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013B2" w14:textId="0456188D" w:rsidR="003547F8" w:rsidRPr="00EA4C9B" w:rsidRDefault="003547F8" w:rsidP="00B5639B">
      <w:pPr>
        <w:pStyle w:val="FigTabCaption"/>
        <w:rPr>
          <w:b w:val="0"/>
        </w:rPr>
      </w:pPr>
    </w:p>
    <w:p w14:paraId="773399DA" w14:textId="2914C80C" w:rsidR="00872831" w:rsidRPr="007C4EB7" w:rsidRDefault="00872831" w:rsidP="007C4EB7">
      <w:pPr>
        <w:jc w:val="right"/>
        <w:rPr>
          <w:b/>
          <w:sz w:val="56"/>
          <w:szCs w:val="56"/>
        </w:rPr>
      </w:pPr>
      <w:bookmarkStart w:id="0" w:name="_Ref210753546"/>
      <w:bookmarkEnd w:id="0"/>
      <w:r w:rsidRPr="00EA4C9B">
        <w:rPr>
          <w:b/>
          <w:bCs/>
          <w:sz w:val="56"/>
          <w:szCs w:val="56"/>
        </w:rPr>
        <w:t xml:space="preserve">Conduct in-depth assessments on environmental priorities to support the greening of the European Semester and integration of environmental priorities into the EU's economic governance framework </w:t>
      </w:r>
      <w:r w:rsidRPr="00EA4C9B">
        <w:rPr>
          <w:b/>
          <w:sz w:val="56"/>
          <w:szCs w:val="56"/>
        </w:rPr>
        <w:t xml:space="preserve"> </w:t>
      </w:r>
    </w:p>
    <w:p w14:paraId="11A2262D" w14:textId="77777777" w:rsidR="00872831" w:rsidRPr="00EA4C9B" w:rsidRDefault="00872831" w:rsidP="00872831">
      <w:pPr>
        <w:jc w:val="right"/>
        <w:rPr>
          <w:b/>
          <w:sz w:val="40"/>
          <w:szCs w:val="40"/>
        </w:rPr>
      </w:pPr>
      <w:r w:rsidRPr="00EA4C9B">
        <w:rPr>
          <w:b/>
          <w:sz w:val="40"/>
          <w:szCs w:val="40"/>
        </w:rPr>
        <w:t>Under framework contract No ENV.01/FRA/2023/0006</w:t>
      </w:r>
    </w:p>
    <w:p w14:paraId="22321395" w14:textId="7006CDE6" w:rsidR="00B331C4" w:rsidRPr="007C4EB7" w:rsidRDefault="00274EB3" w:rsidP="007C4EB7">
      <w:pPr>
        <w:jc w:val="center"/>
        <w:rPr>
          <w:b/>
          <w:sz w:val="40"/>
          <w:szCs w:val="40"/>
        </w:rPr>
      </w:pPr>
      <w:r w:rsidRPr="007C4EB7">
        <w:rPr>
          <w:b/>
          <w:sz w:val="40"/>
          <w:szCs w:val="40"/>
        </w:rPr>
        <w:t xml:space="preserve">  </w:t>
      </w:r>
    </w:p>
    <w:p w14:paraId="403FE103" w14:textId="77777777" w:rsidR="007C4EB7" w:rsidRDefault="007C4EB7" w:rsidP="00B331C4">
      <w:pPr>
        <w:spacing w:after="0"/>
        <w:jc w:val="right"/>
        <w:rPr>
          <w:b/>
          <w:sz w:val="44"/>
          <w:szCs w:val="44"/>
        </w:rPr>
      </w:pPr>
      <w:r>
        <w:rPr>
          <w:b/>
          <w:sz w:val="44"/>
          <w:szCs w:val="44"/>
        </w:rPr>
        <w:t>Annex 6</w:t>
      </w:r>
    </w:p>
    <w:p w14:paraId="7D134CB2" w14:textId="3F9F7AC1" w:rsidR="007C4EB7" w:rsidRPr="007C4EB7" w:rsidRDefault="007C4EB7" w:rsidP="007C4EB7">
      <w:pPr>
        <w:spacing w:after="0"/>
        <w:jc w:val="right"/>
        <w:rPr>
          <w:b/>
          <w:sz w:val="44"/>
          <w:szCs w:val="44"/>
        </w:rPr>
      </w:pPr>
      <w:r>
        <w:rPr>
          <w:b/>
          <w:sz w:val="44"/>
          <w:szCs w:val="44"/>
        </w:rPr>
        <w:t>Country factsheets</w:t>
      </w:r>
    </w:p>
    <w:p w14:paraId="00C75C67" w14:textId="77777777" w:rsidR="007C4EB7" w:rsidRDefault="007C4EB7" w:rsidP="00B331C4">
      <w:pPr>
        <w:spacing w:after="0"/>
        <w:jc w:val="right"/>
        <w:rPr>
          <w:bCs/>
          <w:sz w:val="32"/>
          <w:szCs w:val="32"/>
        </w:rPr>
      </w:pPr>
    </w:p>
    <w:p w14:paraId="5435812B" w14:textId="60BA21C8" w:rsidR="007C4EB7" w:rsidRPr="007C4EB7" w:rsidRDefault="007C4EB7" w:rsidP="00B331C4">
      <w:pPr>
        <w:spacing w:after="0"/>
        <w:jc w:val="right"/>
        <w:rPr>
          <w:bCs/>
          <w:sz w:val="32"/>
          <w:szCs w:val="32"/>
        </w:rPr>
      </w:pPr>
      <w:r>
        <w:rPr>
          <w:bCs/>
          <w:sz w:val="32"/>
          <w:szCs w:val="32"/>
        </w:rPr>
        <w:t>a</w:t>
      </w:r>
      <w:r w:rsidRPr="007C4EB7">
        <w:rPr>
          <w:bCs/>
          <w:sz w:val="32"/>
          <w:szCs w:val="32"/>
        </w:rPr>
        <w:t>ccompanying the</w:t>
      </w:r>
    </w:p>
    <w:p w14:paraId="578105ED" w14:textId="4CCC49BC" w:rsidR="00B331C4" w:rsidRPr="00EA4C9B" w:rsidRDefault="006F6FF0" w:rsidP="00B331C4">
      <w:pPr>
        <w:spacing w:after="0"/>
        <w:jc w:val="right"/>
        <w:rPr>
          <w:b/>
          <w:sz w:val="44"/>
          <w:szCs w:val="44"/>
        </w:rPr>
      </w:pPr>
      <w:r>
        <w:rPr>
          <w:b/>
          <w:sz w:val="44"/>
          <w:szCs w:val="44"/>
        </w:rPr>
        <w:t>Draft Final</w:t>
      </w:r>
      <w:r w:rsidR="00291156" w:rsidRPr="00EA4C9B">
        <w:rPr>
          <w:b/>
          <w:sz w:val="44"/>
          <w:szCs w:val="44"/>
        </w:rPr>
        <w:t xml:space="preserve"> Report</w:t>
      </w:r>
    </w:p>
    <w:p w14:paraId="2B479F10" w14:textId="7B309269" w:rsidR="00B331C4" w:rsidRPr="00EA4C9B" w:rsidRDefault="00B331C4" w:rsidP="007C4EB7">
      <w:pPr>
        <w:jc w:val="right"/>
        <w:rPr>
          <w:sz w:val="32"/>
          <w:szCs w:val="32"/>
        </w:rPr>
      </w:pPr>
      <w:r w:rsidRPr="00EA4C9B">
        <w:rPr>
          <w:sz w:val="32"/>
          <w:szCs w:val="32"/>
        </w:rPr>
        <w:t>prepared for</w:t>
      </w:r>
    </w:p>
    <w:p w14:paraId="2F919360" w14:textId="19761A13" w:rsidR="00B331C4" w:rsidRDefault="00872831" w:rsidP="007C4EB7">
      <w:pPr>
        <w:jc w:val="right"/>
        <w:rPr>
          <w:b/>
          <w:sz w:val="44"/>
          <w:szCs w:val="44"/>
        </w:rPr>
      </w:pPr>
      <w:r w:rsidRPr="00EA4C9B">
        <w:rPr>
          <w:b/>
          <w:sz w:val="44"/>
          <w:szCs w:val="44"/>
        </w:rPr>
        <w:t>DG Environment</w:t>
      </w:r>
    </w:p>
    <w:p w14:paraId="56557FCD" w14:textId="77777777" w:rsidR="007C4EB7" w:rsidRPr="007C4EB7" w:rsidRDefault="007C4EB7" w:rsidP="007C4EB7">
      <w:pPr>
        <w:jc w:val="right"/>
        <w:rPr>
          <w:b/>
          <w:sz w:val="28"/>
          <w:szCs w:val="28"/>
        </w:rPr>
      </w:pPr>
    </w:p>
    <w:p w14:paraId="62FBCE64" w14:textId="5EF351F0" w:rsidR="00B331C4" w:rsidRPr="00EA4C9B" w:rsidRDefault="00A852F8" w:rsidP="00B331C4">
      <w:pPr>
        <w:jc w:val="right"/>
        <w:rPr>
          <w:sz w:val="44"/>
          <w:szCs w:val="44"/>
        </w:rPr>
      </w:pPr>
      <w:r>
        <w:rPr>
          <w:sz w:val="44"/>
          <w:szCs w:val="44"/>
        </w:rPr>
        <w:t>Novem</w:t>
      </w:r>
      <w:r w:rsidR="006F6FF0">
        <w:rPr>
          <w:sz w:val="44"/>
          <w:szCs w:val="44"/>
        </w:rPr>
        <w:t>ber</w:t>
      </w:r>
      <w:r w:rsidR="00872831" w:rsidRPr="00EA4C9B">
        <w:rPr>
          <w:sz w:val="44"/>
          <w:szCs w:val="44"/>
        </w:rPr>
        <w:t xml:space="preserve"> 2025</w:t>
      </w:r>
    </w:p>
    <w:p w14:paraId="094F65C4" w14:textId="77777777" w:rsidR="00B31A1C" w:rsidRPr="00EA4C9B" w:rsidRDefault="00B31A1C" w:rsidP="00B331C4">
      <w:pPr>
        <w:jc w:val="right"/>
        <w:rPr>
          <w:sz w:val="44"/>
          <w:szCs w:val="44"/>
        </w:rPr>
      </w:pPr>
    </w:p>
    <w:p w14:paraId="03127E4C" w14:textId="77777777" w:rsidR="00B331C4" w:rsidRPr="00EA4C9B" w:rsidRDefault="00B331C4" w:rsidP="00B331C4">
      <w:pPr>
        <w:jc w:val="right"/>
        <w:rPr>
          <w:b/>
          <w:sz w:val="44"/>
          <w:szCs w:val="44"/>
        </w:rPr>
        <w:sectPr w:rsidR="00B331C4" w:rsidRPr="00EA4C9B" w:rsidSect="00A20ABF">
          <w:headerReference w:type="even" r:id="rId11"/>
          <w:headerReference w:type="default" r:id="rId12"/>
          <w:footerReference w:type="even" r:id="rId13"/>
          <w:footerReference w:type="default" r:id="rId14"/>
          <w:headerReference w:type="first" r:id="rId15"/>
          <w:footerReference w:type="first" r:id="rId16"/>
          <w:pgSz w:w="11906" w:h="16838"/>
          <w:pgMar w:top="851" w:right="1440" w:bottom="1418" w:left="1440" w:header="709" w:footer="709" w:gutter="0"/>
          <w:pgNumType w:start="1"/>
          <w:cols w:space="708"/>
          <w:docGrid w:linePitch="360"/>
        </w:sectPr>
      </w:pPr>
      <w:r w:rsidRPr="00EA4C9B">
        <w:rPr>
          <w:b/>
          <w:noProof/>
          <w:sz w:val="44"/>
          <w:szCs w:val="44"/>
          <w:lang w:eastAsia="fr-BE"/>
        </w:rPr>
        <w:drawing>
          <wp:inline distT="0" distB="0" distL="0" distR="0" wp14:anchorId="1283017F" wp14:editId="46DD16D1">
            <wp:extent cx="990600" cy="800100"/>
            <wp:effectExtent l="0" t="0" r="0" b="0"/>
            <wp:docPr id="7" name="Picture 6" descr="file:///var/folders/4z/_vny43gn76382d7rzphkx8j80000gn/T/com.microsoft.Word/screenshot.png">
              <a:extLst xmlns:a="http://schemas.openxmlformats.org/drawingml/2006/main">
                <a:ext uri="{FF2B5EF4-FFF2-40B4-BE49-F238E27FC236}">
                  <a16:creationId xmlns:a16="http://schemas.microsoft.com/office/drawing/2014/main" id="{199A73E3-DD53-DD48-B5B2-6ADD2F0A2D4A}"/>
                </a:ext>
              </a:extLst>
            </wp:docPr>
            <wp:cNvGraphicFramePr/>
            <a:graphic xmlns:a="http://schemas.openxmlformats.org/drawingml/2006/main">
              <a:graphicData uri="http://schemas.openxmlformats.org/drawingml/2006/picture">
                <pic:pic xmlns:pic="http://schemas.openxmlformats.org/drawingml/2006/picture">
                  <pic:nvPicPr>
                    <pic:cNvPr id="7" name="Picture 6" descr="file:///var/folders/4z/_vny43gn76382d7rzphkx8j80000gn/T/com.microsoft.Word/screenshot.png">
                      <a:extLst>
                        <a:ext uri="{FF2B5EF4-FFF2-40B4-BE49-F238E27FC236}">
                          <a16:creationId xmlns:a16="http://schemas.microsoft.com/office/drawing/2014/main" id="{199A73E3-DD53-DD48-B5B2-6ADD2F0A2D4A}"/>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990600" cy="800100"/>
                    </a:xfrm>
                    <a:prstGeom prst="rect">
                      <a:avLst/>
                    </a:prstGeom>
                  </pic:spPr>
                </pic:pic>
              </a:graphicData>
            </a:graphic>
          </wp:inline>
        </w:drawing>
      </w:r>
    </w:p>
    <w:p w14:paraId="71CED9C5" w14:textId="77777777" w:rsidR="00B331C4" w:rsidRPr="00EA4C9B" w:rsidRDefault="00B331C4" w:rsidP="00B331C4">
      <w:pPr>
        <w:jc w:val="right"/>
        <w:rPr>
          <w:b/>
          <w:sz w:val="44"/>
          <w:szCs w:val="44"/>
        </w:rPr>
        <w:sectPr w:rsidR="00B331C4" w:rsidRPr="00EA4C9B" w:rsidSect="00A20ABF">
          <w:headerReference w:type="even" r:id="rId18"/>
          <w:headerReference w:type="default" r:id="rId19"/>
          <w:footerReference w:type="default" r:id="rId20"/>
          <w:headerReference w:type="first" r:id="rId21"/>
          <w:pgSz w:w="11906" w:h="16838"/>
          <w:pgMar w:top="851" w:right="1440" w:bottom="1418" w:left="1440" w:header="709" w:footer="709" w:gutter="0"/>
          <w:pgNumType w:start="1"/>
          <w:cols w:space="708"/>
          <w:docGrid w:linePitch="360"/>
        </w:sectPr>
      </w:pPr>
    </w:p>
    <w:p w14:paraId="5154FDEA" w14:textId="77777777" w:rsidR="00E01A75" w:rsidRPr="00EA4C9B" w:rsidRDefault="00E01A75" w:rsidP="00B331C4">
      <w:pPr>
        <w:jc w:val="center"/>
        <w:rPr>
          <w:b/>
          <w:sz w:val="44"/>
          <w:szCs w:val="44"/>
        </w:rPr>
      </w:pPr>
    </w:p>
    <w:p w14:paraId="40954E58" w14:textId="07188C1A" w:rsidR="00B331C4" w:rsidRPr="00EA4C9B" w:rsidRDefault="00872831" w:rsidP="00872831">
      <w:pPr>
        <w:jc w:val="center"/>
        <w:rPr>
          <w:b/>
          <w:sz w:val="40"/>
          <w:szCs w:val="40"/>
        </w:rPr>
      </w:pPr>
      <w:r w:rsidRPr="00EA4C9B">
        <w:rPr>
          <w:b/>
          <w:bCs/>
          <w:sz w:val="40"/>
          <w:szCs w:val="40"/>
        </w:rPr>
        <w:t>Conduct in-depth assessments on environmental priorities to support the greening of the European Semester and integration of environmental priorities into the EU's economic governance framework</w:t>
      </w:r>
    </w:p>
    <w:p w14:paraId="31C307F0" w14:textId="77777777" w:rsidR="00E01A75" w:rsidRPr="00EA4C9B" w:rsidRDefault="00E01A75" w:rsidP="00B331C4">
      <w:pPr>
        <w:jc w:val="center"/>
        <w:rPr>
          <w:b/>
          <w:sz w:val="28"/>
          <w:szCs w:val="28"/>
        </w:rPr>
      </w:pPr>
    </w:p>
    <w:p w14:paraId="745C6E71" w14:textId="77777777" w:rsidR="00E01A75" w:rsidRPr="00EA4C9B" w:rsidRDefault="00E01A75" w:rsidP="00B331C4">
      <w:pPr>
        <w:jc w:val="center"/>
        <w:rPr>
          <w:b/>
          <w:sz w:val="28"/>
          <w:szCs w:val="28"/>
        </w:rPr>
      </w:pPr>
    </w:p>
    <w:p w14:paraId="3AEB4E20" w14:textId="77777777" w:rsidR="00B331C4" w:rsidRPr="00EA4C9B" w:rsidRDefault="00B331C4" w:rsidP="00B331C4">
      <w:pPr>
        <w:jc w:val="center"/>
        <w:rPr>
          <w:b/>
          <w:sz w:val="28"/>
          <w:szCs w:val="28"/>
        </w:rPr>
      </w:pPr>
    </w:p>
    <w:p w14:paraId="7020F864" w14:textId="6537D6B1" w:rsidR="00B331C4" w:rsidRPr="00EA4C9B" w:rsidRDefault="00A852F8" w:rsidP="00B331C4">
      <w:pPr>
        <w:jc w:val="center"/>
        <w:rPr>
          <w:b/>
          <w:sz w:val="28"/>
          <w:szCs w:val="28"/>
        </w:rPr>
      </w:pPr>
      <w:r>
        <w:rPr>
          <w:b/>
          <w:sz w:val="28"/>
          <w:szCs w:val="28"/>
        </w:rPr>
        <w:t>Novem</w:t>
      </w:r>
      <w:r w:rsidR="006F6FF0">
        <w:rPr>
          <w:b/>
          <w:sz w:val="28"/>
          <w:szCs w:val="28"/>
        </w:rPr>
        <w:t>ber</w:t>
      </w:r>
      <w:r w:rsidR="00872831" w:rsidRPr="00EA4C9B">
        <w:rPr>
          <w:b/>
          <w:sz w:val="28"/>
          <w:szCs w:val="28"/>
        </w:rPr>
        <w:t xml:space="preserve"> 2025</w:t>
      </w:r>
    </w:p>
    <w:p w14:paraId="492391E4" w14:textId="181E451D" w:rsidR="007C4EB7" w:rsidRPr="007C4EB7" w:rsidRDefault="007C4EB7" w:rsidP="007C4EB7">
      <w:pPr>
        <w:jc w:val="center"/>
        <w:rPr>
          <w:b/>
          <w:sz w:val="28"/>
          <w:szCs w:val="28"/>
        </w:rPr>
      </w:pPr>
      <w:r w:rsidRPr="007C4EB7">
        <w:rPr>
          <w:b/>
          <w:sz w:val="28"/>
          <w:szCs w:val="28"/>
        </w:rPr>
        <w:t>Annex 6</w:t>
      </w:r>
      <w:r>
        <w:rPr>
          <w:b/>
          <w:sz w:val="28"/>
          <w:szCs w:val="28"/>
        </w:rPr>
        <w:t xml:space="preserve"> - </w:t>
      </w:r>
      <w:r w:rsidRPr="007C4EB7">
        <w:rPr>
          <w:b/>
          <w:sz w:val="28"/>
          <w:szCs w:val="28"/>
        </w:rPr>
        <w:t>Country factsheets</w:t>
      </w:r>
    </w:p>
    <w:p w14:paraId="5CA4F935" w14:textId="77777777" w:rsidR="007C4EB7" w:rsidRPr="007C4EB7" w:rsidRDefault="007C4EB7" w:rsidP="007C4EB7">
      <w:pPr>
        <w:jc w:val="center"/>
        <w:rPr>
          <w:sz w:val="28"/>
          <w:szCs w:val="28"/>
        </w:rPr>
      </w:pPr>
      <w:r w:rsidRPr="007C4EB7">
        <w:rPr>
          <w:sz w:val="28"/>
          <w:szCs w:val="28"/>
        </w:rPr>
        <w:t xml:space="preserve">accompanying the </w:t>
      </w:r>
    </w:p>
    <w:p w14:paraId="3BE5FB35" w14:textId="7987751E" w:rsidR="00B331C4" w:rsidRPr="00EA4C9B" w:rsidRDefault="00872831" w:rsidP="007C4EB7">
      <w:pPr>
        <w:jc w:val="center"/>
        <w:rPr>
          <w:b/>
          <w:sz w:val="28"/>
          <w:szCs w:val="28"/>
        </w:rPr>
      </w:pPr>
      <w:r w:rsidRPr="00EA4C9B">
        <w:rPr>
          <w:b/>
          <w:sz w:val="28"/>
          <w:szCs w:val="28"/>
        </w:rPr>
        <w:t xml:space="preserve">Draft </w:t>
      </w:r>
      <w:r w:rsidR="006F6FF0">
        <w:rPr>
          <w:b/>
          <w:sz w:val="28"/>
          <w:szCs w:val="28"/>
        </w:rPr>
        <w:t>Final</w:t>
      </w:r>
      <w:r w:rsidR="00291156" w:rsidRPr="00EA4C9B">
        <w:rPr>
          <w:b/>
          <w:sz w:val="28"/>
          <w:szCs w:val="28"/>
        </w:rPr>
        <w:t xml:space="preserve"> Report</w:t>
      </w:r>
    </w:p>
    <w:p w14:paraId="00E2E2DF" w14:textId="77777777" w:rsidR="00B331C4" w:rsidRPr="00EA4C9B" w:rsidRDefault="00B331C4" w:rsidP="00B331C4">
      <w:pPr>
        <w:jc w:val="center"/>
        <w:rPr>
          <w:b/>
          <w:sz w:val="28"/>
          <w:szCs w:val="28"/>
        </w:rPr>
      </w:pPr>
    </w:p>
    <w:p w14:paraId="1B26247C" w14:textId="1905E794" w:rsidR="00B331C4" w:rsidRPr="00EA4C9B" w:rsidRDefault="00B331C4" w:rsidP="00B331C4">
      <w:pPr>
        <w:jc w:val="center"/>
        <w:rPr>
          <w:b/>
          <w:sz w:val="28"/>
          <w:szCs w:val="28"/>
        </w:rPr>
      </w:pPr>
    </w:p>
    <w:p w14:paraId="1291DC6E" w14:textId="77777777" w:rsidR="00E01A75" w:rsidRPr="00EA4C9B" w:rsidRDefault="00E01A75" w:rsidP="00B331C4">
      <w:pPr>
        <w:jc w:val="center"/>
        <w:rPr>
          <w:b/>
          <w:sz w:val="28"/>
          <w:szCs w:val="28"/>
        </w:rPr>
      </w:pPr>
    </w:p>
    <w:p w14:paraId="715DCAB6" w14:textId="77777777" w:rsidR="00B331C4" w:rsidRPr="00EA4C9B" w:rsidRDefault="00B331C4" w:rsidP="007C4EB7">
      <w:pPr>
        <w:rPr>
          <w:b/>
          <w:sz w:val="28"/>
          <w:szCs w:val="28"/>
        </w:rPr>
      </w:pPr>
    </w:p>
    <w:p w14:paraId="3636940D" w14:textId="77777777" w:rsidR="00B331C4" w:rsidRPr="00EA4C9B" w:rsidRDefault="00B331C4" w:rsidP="00B331C4">
      <w:pPr>
        <w:jc w:val="center"/>
        <w:rPr>
          <w:b/>
          <w:sz w:val="28"/>
          <w:szCs w:val="28"/>
        </w:rPr>
      </w:pPr>
    </w:p>
    <w:tbl>
      <w:tblPr>
        <w:tblpPr w:leftFromText="180" w:rightFromText="180" w:vertAnchor="text" w:tblpXSpec="center" w:tblpY="110"/>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4261"/>
        <w:gridCol w:w="4261"/>
      </w:tblGrid>
      <w:tr w:rsidR="00B331C4" w:rsidRPr="00EA4C9B" w14:paraId="6ACEABA3" w14:textId="77777777" w:rsidTr="6BD4239C">
        <w:tc>
          <w:tcPr>
            <w:tcW w:w="852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3399"/>
            <w:tcMar>
              <w:top w:w="57" w:type="dxa"/>
              <w:left w:w="57" w:type="dxa"/>
              <w:bottom w:w="57" w:type="dxa"/>
              <w:right w:w="57" w:type="dxa"/>
            </w:tcMar>
          </w:tcPr>
          <w:p w14:paraId="66DA968E" w14:textId="77777777" w:rsidR="00B331C4" w:rsidRPr="00EA4C9B" w:rsidRDefault="00B331C4" w:rsidP="00E31EFE">
            <w:pPr>
              <w:spacing w:after="0"/>
              <w:rPr>
                <w:rFonts w:eastAsia="Times New Roman" w:cs="Arial"/>
                <w:b/>
                <w:sz w:val="20"/>
                <w:szCs w:val="20"/>
              </w:rPr>
            </w:pPr>
            <w:r w:rsidRPr="00EA4C9B">
              <w:rPr>
                <w:rFonts w:eastAsia="Times New Roman" w:cs="Arial"/>
                <w:b/>
                <w:color w:val="FFFFFF" w:themeColor="background1"/>
                <w:sz w:val="20"/>
                <w:szCs w:val="20"/>
              </w:rPr>
              <w:t xml:space="preserve">Quality Assurance </w:t>
            </w:r>
          </w:p>
        </w:tc>
      </w:tr>
      <w:tr w:rsidR="00B331C4" w:rsidRPr="00EA4C9B" w14:paraId="753471A6" w14:textId="77777777" w:rsidTr="6BD4239C">
        <w:tc>
          <w:tcPr>
            <w:tcW w:w="42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57" w:type="dxa"/>
              <w:left w:w="57" w:type="dxa"/>
              <w:bottom w:w="57" w:type="dxa"/>
              <w:right w:w="57" w:type="dxa"/>
            </w:tcMar>
            <w:vAlign w:val="center"/>
          </w:tcPr>
          <w:p w14:paraId="159B7531" w14:textId="77777777" w:rsidR="00B331C4" w:rsidRPr="00EA4C9B" w:rsidRDefault="00B331C4" w:rsidP="00E31EFE">
            <w:pPr>
              <w:spacing w:after="0"/>
              <w:rPr>
                <w:rFonts w:eastAsia="Times New Roman" w:cs="Arial"/>
                <w:b/>
                <w:sz w:val="20"/>
                <w:szCs w:val="20"/>
              </w:rPr>
            </w:pPr>
            <w:r w:rsidRPr="00EA4C9B">
              <w:rPr>
                <w:rFonts w:eastAsia="Times New Roman" w:cs="Arial"/>
                <w:b/>
                <w:sz w:val="20"/>
                <w:szCs w:val="20"/>
              </w:rPr>
              <w:t>Project reference / title</w:t>
            </w:r>
          </w:p>
        </w:tc>
        <w:tc>
          <w:tcPr>
            <w:tcW w:w="42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57" w:type="dxa"/>
              <w:left w:w="57" w:type="dxa"/>
              <w:bottom w:w="57" w:type="dxa"/>
              <w:right w:w="57" w:type="dxa"/>
            </w:tcMar>
            <w:vAlign w:val="center"/>
          </w:tcPr>
          <w:p w14:paraId="07EB9EB6" w14:textId="3EACDC27" w:rsidR="00B331C4" w:rsidRPr="00EA4C9B" w:rsidRDefault="00872831" w:rsidP="00E31EFE">
            <w:pPr>
              <w:spacing w:after="0"/>
              <w:rPr>
                <w:rFonts w:eastAsia="Times New Roman" w:cs="Arial"/>
                <w:sz w:val="20"/>
                <w:szCs w:val="20"/>
              </w:rPr>
            </w:pPr>
            <w:r w:rsidRPr="00EA4C9B">
              <w:rPr>
                <w:rFonts w:eastAsia="Times New Roman" w:cs="Arial"/>
                <w:sz w:val="20"/>
                <w:szCs w:val="20"/>
              </w:rPr>
              <w:t>J111 DGENV Environmental priorities</w:t>
            </w:r>
          </w:p>
        </w:tc>
      </w:tr>
      <w:tr w:rsidR="00B331C4" w:rsidRPr="00EA4C9B" w14:paraId="10043A62" w14:textId="77777777" w:rsidTr="6BD4239C">
        <w:tc>
          <w:tcPr>
            <w:tcW w:w="42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57" w:type="dxa"/>
              <w:left w:w="57" w:type="dxa"/>
              <w:bottom w:w="57" w:type="dxa"/>
              <w:right w:w="57" w:type="dxa"/>
            </w:tcMar>
            <w:vAlign w:val="center"/>
          </w:tcPr>
          <w:p w14:paraId="77F8DCB8" w14:textId="2A9C18DB" w:rsidR="00B331C4" w:rsidRPr="00EA4C9B" w:rsidRDefault="00B31A1C" w:rsidP="00E31EFE">
            <w:pPr>
              <w:spacing w:after="0"/>
              <w:rPr>
                <w:rFonts w:eastAsia="Times New Roman" w:cs="Arial"/>
                <w:b/>
                <w:sz w:val="20"/>
                <w:szCs w:val="20"/>
              </w:rPr>
            </w:pPr>
            <w:r w:rsidRPr="00EA4C9B">
              <w:rPr>
                <w:rFonts w:eastAsia="Times New Roman" w:cs="Arial"/>
                <w:b/>
                <w:sz w:val="20"/>
                <w:szCs w:val="20"/>
              </w:rPr>
              <w:t>Repor</w:t>
            </w:r>
            <w:r w:rsidR="00B331C4" w:rsidRPr="00EA4C9B">
              <w:rPr>
                <w:rFonts w:eastAsia="Times New Roman" w:cs="Arial"/>
                <w:b/>
                <w:sz w:val="20"/>
                <w:szCs w:val="20"/>
              </w:rPr>
              <w:t>t status</w:t>
            </w:r>
          </w:p>
        </w:tc>
        <w:tc>
          <w:tcPr>
            <w:tcW w:w="42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57" w:type="dxa"/>
              <w:left w:w="57" w:type="dxa"/>
              <w:bottom w:w="57" w:type="dxa"/>
              <w:right w:w="57" w:type="dxa"/>
            </w:tcMar>
            <w:vAlign w:val="center"/>
          </w:tcPr>
          <w:p w14:paraId="213882F2" w14:textId="6433B202" w:rsidR="00B331C4" w:rsidRPr="00E1148E" w:rsidRDefault="00E1148E" w:rsidP="00E31EFE">
            <w:pPr>
              <w:spacing w:after="0"/>
              <w:rPr>
                <w:rFonts w:eastAsia="Times New Roman" w:cs="Arial"/>
                <w:bCs/>
                <w:sz w:val="20"/>
                <w:szCs w:val="20"/>
              </w:rPr>
            </w:pPr>
            <w:r w:rsidRPr="00E1148E">
              <w:rPr>
                <w:rFonts w:eastAsia="Times New Roman" w:cs="Arial"/>
                <w:bCs/>
                <w:sz w:val="20"/>
                <w:szCs w:val="20"/>
              </w:rPr>
              <w:t>Annex 6 - Country factsheets accompanying the d</w:t>
            </w:r>
            <w:r w:rsidR="00872831" w:rsidRPr="00E1148E">
              <w:rPr>
                <w:rFonts w:eastAsia="Times New Roman" w:cs="Arial"/>
                <w:bCs/>
                <w:sz w:val="20"/>
                <w:szCs w:val="20"/>
              </w:rPr>
              <w:t xml:space="preserve">raft </w:t>
            </w:r>
            <w:r w:rsidR="006F6FF0" w:rsidRPr="00E1148E">
              <w:rPr>
                <w:rFonts w:eastAsia="Times New Roman" w:cs="Arial"/>
                <w:bCs/>
                <w:sz w:val="20"/>
                <w:szCs w:val="20"/>
              </w:rPr>
              <w:t>final</w:t>
            </w:r>
            <w:r w:rsidR="00872831" w:rsidRPr="00E1148E">
              <w:rPr>
                <w:rFonts w:eastAsia="Times New Roman" w:cs="Arial"/>
                <w:bCs/>
                <w:sz w:val="20"/>
                <w:szCs w:val="20"/>
              </w:rPr>
              <w:t xml:space="preserve"> report</w:t>
            </w:r>
          </w:p>
        </w:tc>
      </w:tr>
      <w:tr w:rsidR="00B331C4" w:rsidRPr="00EA4C9B" w14:paraId="5E09EAE2" w14:textId="77777777" w:rsidTr="6BD4239C">
        <w:tc>
          <w:tcPr>
            <w:tcW w:w="42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57" w:type="dxa"/>
              <w:left w:w="57" w:type="dxa"/>
              <w:bottom w:w="57" w:type="dxa"/>
              <w:right w:w="57" w:type="dxa"/>
            </w:tcMar>
            <w:vAlign w:val="center"/>
          </w:tcPr>
          <w:p w14:paraId="0D408B7C" w14:textId="77777777" w:rsidR="00B331C4" w:rsidRPr="00EA4C9B" w:rsidRDefault="00B331C4" w:rsidP="00E31EFE">
            <w:pPr>
              <w:spacing w:after="0"/>
              <w:rPr>
                <w:rFonts w:eastAsia="Times New Roman" w:cs="Arial"/>
                <w:b/>
                <w:sz w:val="20"/>
                <w:szCs w:val="20"/>
              </w:rPr>
            </w:pPr>
            <w:r w:rsidRPr="00EA4C9B">
              <w:rPr>
                <w:rFonts w:eastAsia="Times New Roman" w:cs="Arial"/>
                <w:b/>
                <w:sz w:val="20"/>
                <w:szCs w:val="20"/>
              </w:rPr>
              <w:t>Author(s)</w:t>
            </w:r>
          </w:p>
        </w:tc>
        <w:tc>
          <w:tcPr>
            <w:tcW w:w="42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57" w:type="dxa"/>
              <w:left w:w="57" w:type="dxa"/>
              <w:bottom w:w="57" w:type="dxa"/>
              <w:right w:w="57" w:type="dxa"/>
            </w:tcMar>
            <w:vAlign w:val="center"/>
          </w:tcPr>
          <w:p w14:paraId="0033CB46" w14:textId="138D2617" w:rsidR="009160EA" w:rsidRPr="00EA4C9B" w:rsidRDefault="007271A9" w:rsidP="00E31EFE">
            <w:pPr>
              <w:spacing w:after="0"/>
              <w:rPr>
                <w:rFonts w:eastAsia="Times New Roman" w:cs="Arial"/>
                <w:sz w:val="20"/>
                <w:szCs w:val="20"/>
              </w:rPr>
            </w:pPr>
            <w:r w:rsidRPr="00EA4C9B">
              <w:rPr>
                <w:rFonts w:eastAsia="Times New Roman" w:cs="Arial"/>
                <w:sz w:val="20"/>
                <w:szCs w:val="20"/>
              </w:rPr>
              <w:t xml:space="preserve">Marco Camboni, </w:t>
            </w:r>
            <w:r w:rsidR="00DD0F68" w:rsidRPr="00EA4C9B">
              <w:rPr>
                <w:rFonts w:eastAsia="Times New Roman" w:cs="Arial"/>
                <w:sz w:val="20"/>
                <w:szCs w:val="20"/>
              </w:rPr>
              <w:t xml:space="preserve">Anil Markandya, </w:t>
            </w:r>
            <w:r w:rsidRPr="00EA4C9B">
              <w:rPr>
                <w:rFonts w:eastAsia="Times New Roman" w:cs="Arial"/>
                <w:sz w:val="20"/>
                <w:szCs w:val="20"/>
              </w:rPr>
              <w:t xml:space="preserve">Sascha Goonesekera, Cristina Ojeda, Francisco Greno, Amy Leake, Patricia Urban, Daryna Kulaga, Luca Nipius, Julia Balint, Fay Dunkerley, Lucy Bannister-Curran, Leo Henry, Tatsiana Milach, Francesca Chiabrando, Huzefah </w:t>
            </w:r>
            <w:r w:rsidR="311404A1" w:rsidRPr="6BD4239C">
              <w:rPr>
                <w:rFonts w:eastAsia="Times New Roman" w:cs="Arial"/>
                <w:sz w:val="20"/>
                <w:szCs w:val="20"/>
              </w:rPr>
              <w:t>U</w:t>
            </w:r>
            <w:r w:rsidRPr="6BD4239C">
              <w:rPr>
                <w:rFonts w:eastAsia="Times New Roman" w:cs="Arial"/>
                <w:sz w:val="20"/>
                <w:szCs w:val="20"/>
              </w:rPr>
              <w:t>mer</w:t>
            </w:r>
          </w:p>
        </w:tc>
      </w:tr>
      <w:tr w:rsidR="00B331C4" w:rsidRPr="00EA4C9B" w14:paraId="313314B7" w14:textId="77777777" w:rsidTr="6BD4239C">
        <w:tc>
          <w:tcPr>
            <w:tcW w:w="42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57" w:type="dxa"/>
              <w:left w:w="57" w:type="dxa"/>
              <w:bottom w:w="57" w:type="dxa"/>
              <w:right w:w="57" w:type="dxa"/>
            </w:tcMar>
            <w:vAlign w:val="center"/>
          </w:tcPr>
          <w:p w14:paraId="3D84D19F" w14:textId="77777777" w:rsidR="00B331C4" w:rsidRPr="00EA4C9B" w:rsidRDefault="00B331C4" w:rsidP="00E31EFE">
            <w:pPr>
              <w:spacing w:after="0"/>
              <w:rPr>
                <w:rFonts w:eastAsia="Times New Roman" w:cs="Arial"/>
                <w:b/>
                <w:sz w:val="20"/>
                <w:szCs w:val="20"/>
              </w:rPr>
            </w:pPr>
            <w:r w:rsidRPr="00EA4C9B">
              <w:rPr>
                <w:rFonts w:eastAsia="Times New Roman" w:cs="Arial"/>
                <w:b/>
                <w:sz w:val="20"/>
                <w:szCs w:val="20"/>
              </w:rPr>
              <w:t>Approved for issue by</w:t>
            </w:r>
          </w:p>
        </w:tc>
        <w:tc>
          <w:tcPr>
            <w:tcW w:w="42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57" w:type="dxa"/>
              <w:left w:w="57" w:type="dxa"/>
              <w:bottom w:w="57" w:type="dxa"/>
              <w:right w:w="57" w:type="dxa"/>
            </w:tcMar>
            <w:vAlign w:val="center"/>
          </w:tcPr>
          <w:p w14:paraId="2B6A89BE" w14:textId="5D8E9A7A" w:rsidR="00B331C4" w:rsidRPr="00EA4C9B" w:rsidRDefault="007271A9" w:rsidP="00E31EFE">
            <w:pPr>
              <w:spacing w:after="0"/>
              <w:rPr>
                <w:rFonts w:eastAsia="Times New Roman" w:cs="Arial"/>
                <w:sz w:val="20"/>
                <w:szCs w:val="20"/>
              </w:rPr>
            </w:pPr>
            <w:r w:rsidRPr="00EA4C9B">
              <w:rPr>
                <w:rFonts w:eastAsia="Times New Roman" w:cs="Arial"/>
                <w:sz w:val="20"/>
                <w:szCs w:val="20"/>
              </w:rPr>
              <w:t>Marco Camboni</w:t>
            </w:r>
          </w:p>
        </w:tc>
      </w:tr>
      <w:tr w:rsidR="00B331C4" w:rsidRPr="00EA4C9B" w14:paraId="33733267" w14:textId="77777777" w:rsidTr="6BD4239C">
        <w:tc>
          <w:tcPr>
            <w:tcW w:w="42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57" w:type="dxa"/>
              <w:left w:w="57" w:type="dxa"/>
              <w:bottom w:w="57" w:type="dxa"/>
              <w:right w:w="57" w:type="dxa"/>
            </w:tcMar>
            <w:vAlign w:val="center"/>
          </w:tcPr>
          <w:p w14:paraId="0FAE9064" w14:textId="77777777" w:rsidR="00B331C4" w:rsidRPr="00EA4C9B" w:rsidRDefault="00B331C4" w:rsidP="00E31EFE">
            <w:pPr>
              <w:spacing w:after="0"/>
              <w:rPr>
                <w:rFonts w:eastAsia="Times New Roman" w:cs="Arial"/>
                <w:b/>
                <w:sz w:val="20"/>
                <w:szCs w:val="20"/>
              </w:rPr>
            </w:pPr>
            <w:r w:rsidRPr="00EA4C9B">
              <w:rPr>
                <w:rFonts w:eastAsia="Times New Roman" w:cs="Arial"/>
                <w:b/>
                <w:sz w:val="20"/>
                <w:szCs w:val="20"/>
              </w:rPr>
              <w:t>Date of issue</w:t>
            </w:r>
          </w:p>
        </w:tc>
        <w:tc>
          <w:tcPr>
            <w:tcW w:w="426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57" w:type="dxa"/>
              <w:left w:w="57" w:type="dxa"/>
              <w:bottom w:w="57" w:type="dxa"/>
              <w:right w:w="57" w:type="dxa"/>
            </w:tcMar>
            <w:vAlign w:val="center"/>
          </w:tcPr>
          <w:p w14:paraId="36E612FD" w14:textId="43C375F4" w:rsidR="00B331C4" w:rsidRPr="00EA4C9B" w:rsidRDefault="00A852F8" w:rsidP="00E31EFE">
            <w:pPr>
              <w:spacing w:after="0"/>
              <w:rPr>
                <w:rFonts w:eastAsia="Times New Roman" w:cs="Arial"/>
                <w:sz w:val="20"/>
                <w:szCs w:val="20"/>
              </w:rPr>
            </w:pPr>
            <w:r>
              <w:rPr>
                <w:rFonts w:eastAsia="Times New Roman" w:cs="Arial"/>
                <w:sz w:val="20"/>
                <w:szCs w:val="20"/>
              </w:rPr>
              <w:t>03/11/2025</w:t>
            </w:r>
          </w:p>
        </w:tc>
      </w:tr>
    </w:tbl>
    <w:p w14:paraId="4006BFC3" w14:textId="4172425B" w:rsidR="00B331C4" w:rsidRPr="00EA4C9B" w:rsidRDefault="00B331C4" w:rsidP="00B331C4">
      <w:pPr>
        <w:jc w:val="center"/>
        <w:rPr>
          <w:b/>
          <w:sz w:val="44"/>
          <w:szCs w:val="44"/>
        </w:rPr>
      </w:pPr>
    </w:p>
    <w:p w14:paraId="01ACB32D" w14:textId="77777777" w:rsidR="00B31A1C" w:rsidRPr="00EA4C9B" w:rsidRDefault="00B31A1C" w:rsidP="00B331C4">
      <w:pPr>
        <w:jc w:val="center"/>
        <w:rPr>
          <w:b/>
        </w:rPr>
        <w:sectPr w:rsidR="00B31A1C" w:rsidRPr="00EA4C9B" w:rsidSect="00A20ABF">
          <w:pgSz w:w="11906" w:h="16838"/>
          <w:pgMar w:top="851" w:right="1440" w:bottom="1418" w:left="1440" w:header="709" w:footer="709" w:gutter="0"/>
          <w:pgNumType w:start="1"/>
          <w:cols w:space="708"/>
          <w:docGrid w:linePitch="360"/>
        </w:sectPr>
      </w:pPr>
    </w:p>
    <w:p w14:paraId="57686AC2" w14:textId="59627D3E" w:rsidR="00B31A1C" w:rsidRPr="00EA4C9B" w:rsidRDefault="00B31A1C" w:rsidP="00B331C4">
      <w:pPr>
        <w:jc w:val="center"/>
        <w:rPr>
          <w:b/>
        </w:rPr>
      </w:pPr>
    </w:p>
    <w:p w14:paraId="76E81CE4" w14:textId="77777777" w:rsidR="00682F5A" w:rsidRPr="00682F5A" w:rsidRDefault="00682F5A" w:rsidP="00682F5A">
      <w:pPr>
        <w:pStyle w:val="ListParagraph"/>
        <w:rPr>
          <w:lang w:val="en-IE"/>
        </w:rPr>
      </w:pPr>
    </w:p>
    <w:p w14:paraId="7B590A7C" w14:textId="7CD2F9B3" w:rsidR="00682F5A" w:rsidRPr="004F0767" w:rsidRDefault="00682F5A" w:rsidP="00CA7521">
      <w:pPr>
        <w:jc w:val="left"/>
        <w:rPr>
          <w:lang w:val="en-IE"/>
        </w:rPr>
        <w:sectPr w:rsidR="00682F5A" w:rsidRPr="004F0767" w:rsidSect="00A20ABF">
          <w:pgSz w:w="11906" w:h="16838"/>
          <w:pgMar w:top="851" w:right="1440" w:bottom="1418" w:left="1440" w:header="709" w:footer="709" w:gutter="0"/>
          <w:pgNumType w:start="1"/>
          <w:cols w:space="708"/>
          <w:docGrid w:linePitch="360"/>
        </w:sectPr>
      </w:pPr>
    </w:p>
    <w:p w14:paraId="590A2048" w14:textId="77777777" w:rsidR="00B31A1C" w:rsidRPr="00EA4C9B" w:rsidRDefault="00B31A1C" w:rsidP="00B31A1C">
      <w:pPr>
        <w:spacing w:after="0"/>
        <w:jc w:val="center"/>
        <w:rPr>
          <w:rFonts w:ascii="Calibri" w:hAnsi="Calibri" w:cs="Arial"/>
          <w:b/>
          <w:sz w:val="36"/>
          <w:szCs w:val="36"/>
        </w:rPr>
      </w:pPr>
      <w:r w:rsidRPr="00EA4C9B">
        <w:rPr>
          <w:rFonts w:ascii="Calibri" w:hAnsi="Calibri" w:cs="Arial"/>
          <w:b/>
          <w:sz w:val="36"/>
          <w:szCs w:val="36"/>
        </w:rPr>
        <w:lastRenderedPageBreak/>
        <w:t xml:space="preserve">Table of </w:t>
      </w:r>
      <w:r w:rsidRPr="50575EB7">
        <w:rPr>
          <w:rFonts w:ascii="Calibri" w:hAnsi="Calibri" w:cs="Arial"/>
          <w:b/>
          <w:bCs/>
          <w:i/>
          <w:iCs/>
          <w:sz w:val="36"/>
          <w:szCs w:val="36"/>
          <w:u w:val="single"/>
        </w:rPr>
        <w:t>Contents</w:t>
      </w:r>
    </w:p>
    <w:p w14:paraId="5C5424CD" w14:textId="7471D6DC" w:rsidR="00D210DD" w:rsidRDefault="00014325">
      <w:pPr>
        <w:pStyle w:val="TOC1"/>
        <w:tabs>
          <w:tab w:val="left" w:pos="1200"/>
        </w:tabs>
        <w:rPr>
          <w:b w:val="0"/>
          <w:kern w:val="2"/>
          <w:sz w:val="24"/>
          <w:szCs w:val="24"/>
          <w:lang w:val="en-GB" w:eastAsia="en-GB"/>
          <w14:ligatures w14:val="standardContextual"/>
        </w:rPr>
      </w:pPr>
      <w:r>
        <w:rPr>
          <w:rFonts w:ascii="Arial" w:hAnsi="Arial" w:cs="Arial"/>
          <w:b w:val="0"/>
          <w:sz w:val="28"/>
          <w:szCs w:val="28"/>
        </w:rPr>
        <w:fldChar w:fldCharType="begin"/>
      </w:r>
      <w:r>
        <w:rPr>
          <w:rFonts w:ascii="Arial" w:hAnsi="Arial" w:cs="Arial"/>
          <w:b w:val="0"/>
          <w:sz w:val="28"/>
          <w:szCs w:val="28"/>
        </w:rPr>
        <w:instrText xml:space="preserve"> TOC \o "1-3" \h \z </w:instrText>
      </w:r>
      <w:r>
        <w:rPr>
          <w:rFonts w:ascii="Arial" w:hAnsi="Arial" w:cs="Arial"/>
          <w:b w:val="0"/>
          <w:sz w:val="28"/>
          <w:szCs w:val="28"/>
        </w:rPr>
        <w:fldChar w:fldCharType="separate"/>
      </w:r>
      <w:hyperlink w:anchor="_Toc214008826" w:history="1">
        <w:r w:rsidR="00D210DD" w:rsidRPr="005D1911">
          <w:rPr>
            <w:rStyle w:val="Hyperlink"/>
          </w:rPr>
          <w:t>Annex 6</w:t>
        </w:r>
        <w:r w:rsidR="00D210DD">
          <w:rPr>
            <w:b w:val="0"/>
            <w:kern w:val="2"/>
            <w:sz w:val="24"/>
            <w:szCs w:val="24"/>
            <w:lang w:val="en-GB" w:eastAsia="en-GB"/>
            <w14:ligatures w14:val="standardContextual"/>
          </w:rPr>
          <w:tab/>
        </w:r>
        <w:r w:rsidR="00D210DD" w:rsidRPr="005D1911">
          <w:rPr>
            <w:rStyle w:val="Hyperlink"/>
          </w:rPr>
          <w:t>Country factsheets</w:t>
        </w:r>
        <w:r w:rsidR="00D210DD">
          <w:rPr>
            <w:webHidden/>
          </w:rPr>
          <w:tab/>
        </w:r>
        <w:r w:rsidR="00D210DD">
          <w:rPr>
            <w:webHidden/>
          </w:rPr>
          <w:fldChar w:fldCharType="begin"/>
        </w:r>
        <w:r w:rsidR="00D210DD">
          <w:rPr>
            <w:webHidden/>
          </w:rPr>
          <w:instrText xml:space="preserve"> PAGEREF _Toc214008826 \h </w:instrText>
        </w:r>
        <w:r w:rsidR="00D210DD">
          <w:rPr>
            <w:webHidden/>
          </w:rPr>
        </w:r>
        <w:r w:rsidR="00D210DD">
          <w:rPr>
            <w:webHidden/>
          </w:rPr>
          <w:fldChar w:fldCharType="separate"/>
        </w:r>
        <w:r w:rsidR="00D210DD">
          <w:rPr>
            <w:webHidden/>
          </w:rPr>
          <w:t>1</w:t>
        </w:r>
        <w:r w:rsidR="00D210DD">
          <w:rPr>
            <w:webHidden/>
          </w:rPr>
          <w:fldChar w:fldCharType="end"/>
        </w:r>
      </w:hyperlink>
    </w:p>
    <w:p w14:paraId="2314AC02" w14:textId="6D6738A7" w:rsidR="00D210DD" w:rsidRDefault="00D210DD">
      <w:pPr>
        <w:pStyle w:val="TOC2"/>
        <w:rPr>
          <w:noProof/>
          <w:kern w:val="2"/>
          <w:sz w:val="24"/>
          <w:szCs w:val="24"/>
          <w:lang w:val="en-GB" w:eastAsia="en-GB"/>
          <w14:ligatures w14:val="standardContextual"/>
        </w:rPr>
      </w:pPr>
      <w:hyperlink w:anchor="_Toc214008827" w:history="1">
        <w:r w:rsidRPr="005D1911">
          <w:rPr>
            <w:rStyle w:val="Hyperlink"/>
            <w:noProof/>
          </w:rPr>
          <w:t>A6.1</w:t>
        </w:r>
        <w:r>
          <w:rPr>
            <w:noProof/>
            <w:kern w:val="2"/>
            <w:sz w:val="24"/>
            <w:szCs w:val="24"/>
            <w:lang w:val="en-GB" w:eastAsia="en-GB"/>
            <w14:ligatures w14:val="standardContextual"/>
          </w:rPr>
          <w:tab/>
        </w:r>
        <w:r w:rsidRPr="005D1911">
          <w:rPr>
            <w:rStyle w:val="Hyperlink"/>
            <w:noProof/>
          </w:rPr>
          <w:t>Introduction</w:t>
        </w:r>
        <w:r>
          <w:rPr>
            <w:noProof/>
            <w:webHidden/>
          </w:rPr>
          <w:tab/>
        </w:r>
        <w:r>
          <w:rPr>
            <w:noProof/>
            <w:webHidden/>
          </w:rPr>
          <w:fldChar w:fldCharType="begin"/>
        </w:r>
        <w:r>
          <w:rPr>
            <w:noProof/>
            <w:webHidden/>
          </w:rPr>
          <w:instrText xml:space="preserve"> PAGEREF _Toc214008827 \h </w:instrText>
        </w:r>
        <w:r>
          <w:rPr>
            <w:noProof/>
            <w:webHidden/>
          </w:rPr>
        </w:r>
        <w:r>
          <w:rPr>
            <w:noProof/>
            <w:webHidden/>
          </w:rPr>
          <w:fldChar w:fldCharType="separate"/>
        </w:r>
        <w:r>
          <w:rPr>
            <w:noProof/>
            <w:webHidden/>
          </w:rPr>
          <w:t>1</w:t>
        </w:r>
        <w:r>
          <w:rPr>
            <w:noProof/>
            <w:webHidden/>
          </w:rPr>
          <w:fldChar w:fldCharType="end"/>
        </w:r>
      </w:hyperlink>
    </w:p>
    <w:p w14:paraId="6B1792E7" w14:textId="7BAAAC32" w:rsidR="00D210DD" w:rsidRDefault="00D210DD">
      <w:pPr>
        <w:pStyle w:val="TOC2"/>
        <w:rPr>
          <w:noProof/>
          <w:kern w:val="2"/>
          <w:sz w:val="24"/>
          <w:szCs w:val="24"/>
          <w:lang w:val="en-GB" w:eastAsia="en-GB"/>
          <w14:ligatures w14:val="standardContextual"/>
        </w:rPr>
      </w:pPr>
      <w:hyperlink w:anchor="_Toc214008828" w:history="1">
        <w:r w:rsidRPr="005D1911">
          <w:rPr>
            <w:rStyle w:val="Hyperlink"/>
            <w:noProof/>
          </w:rPr>
          <w:t>A6.2</w:t>
        </w:r>
        <w:r>
          <w:rPr>
            <w:noProof/>
            <w:kern w:val="2"/>
            <w:sz w:val="24"/>
            <w:szCs w:val="24"/>
            <w:lang w:val="en-GB" w:eastAsia="en-GB"/>
            <w14:ligatures w14:val="standardContextual"/>
          </w:rPr>
          <w:tab/>
        </w:r>
        <w:r w:rsidRPr="005D1911">
          <w:rPr>
            <w:rStyle w:val="Hyperlink"/>
            <w:noProof/>
          </w:rPr>
          <w:t>Austria</w:t>
        </w:r>
        <w:r>
          <w:rPr>
            <w:noProof/>
            <w:webHidden/>
          </w:rPr>
          <w:tab/>
        </w:r>
        <w:r>
          <w:rPr>
            <w:noProof/>
            <w:webHidden/>
          </w:rPr>
          <w:fldChar w:fldCharType="begin"/>
        </w:r>
        <w:r>
          <w:rPr>
            <w:noProof/>
            <w:webHidden/>
          </w:rPr>
          <w:instrText xml:space="preserve"> PAGEREF _Toc214008828 \h </w:instrText>
        </w:r>
        <w:r>
          <w:rPr>
            <w:noProof/>
            <w:webHidden/>
          </w:rPr>
        </w:r>
        <w:r>
          <w:rPr>
            <w:noProof/>
            <w:webHidden/>
          </w:rPr>
          <w:fldChar w:fldCharType="separate"/>
        </w:r>
        <w:r>
          <w:rPr>
            <w:noProof/>
            <w:webHidden/>
          </w:rPr>
          <w:t>1</w:t>
        </w:r>
        <w:r>
          <w:rPr>
            <w:noProof/>
            <w:webHidden/>
          </w:rPr>
          <w:fldChar w:fldCharType="end"/>
        </w:r>
      </w:hyperlink>
    </w:p>
    <w:p w14:paraId="026BA161" w14:textId="6732BCDE"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29" w:history="1">
        <w:r w:rsidRPr="005D1911">
          <w:rPr>
            <w:rStyle w:val="Hyperlink"/>
            <w:noProof/>
          </w:rPr>
          <w:t>A6.2.1</w:t>
        </w:r>
        <w:r>
          <w:rPr>
            <w:noProof/>
            <w:kern w:val="2"/>
            <w:sz w:val="24"/>
            <w:szCs w:val="24"/>
            <w:lang w:val="en-GB" w:eastAsia="en-GB"/>
            <w14:ligatures w14:val="standardContextual"/>
          </w:rPr>
          <w:tab/>
        </w:r>
        <w:r w:rsidRPr="005D1911">
          <w:rPr>
            <w:rStyle w:val="Hyperlink"/>
            <w:noProof/>
          </w:rPr>
          <w:t>Overview on environmental taxes</w:t>
        </w:r>
        <w:r>
          <w:rPr>
            <w:noProof/>
            <w:webHidden/>
          </w:rPr>
          <w:tab/>
        </w:r>
        <w:r>
          <w:rPr>
            <w:noProof/>
            <w:webHidden/>
          </w:rPr>
          <w:fldChar w:fldCharType="begin"/>
        </w:r>
        <w:r>
          <w:rPr>
            <w:noProof/>
            <w:webHidden/>
          </w:rPr>
          <w:instrText xml:space="preserve"> PAGEREF _Toc214008829 \h </w:instrText>
        </w:r>
        <w:r>
          <w:rPr>
            <w:noProof/>
            <w:webHidden/>
          </w:rPr>
        </w:r>
        <w:r>
          <w:rPr>
            <w:noProof/>
            <w:webHidden/>
          </w:rPr>
          <w:fldChar w:fldCharType="separate"/>
        </w:r>
        <w:r>
          <w:rPr>
            <w:noProof/>
            <w:webHidden/>
          </w:rPr>
          <w:t>1</w:t>
        </w:r>
        <w:r>
          <w:rPr>
            <w:noProof/>
            <w:webHidden/>
          </w:rPr>
          <w:fldChar w:fldCharType="end"/>
        </w:r>
      </w:hyperlink>
    </w:p>
    <w:p w14:paraId="761ACAA5" w14:textId="1388A87D"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30" w:history="1">
        <w:r w:rsidRPr="005D1911">
          <w:rPr>
            <w:rStyle w:val="Hyperlink"/>
            <w:noProof/>
          </w:rPr>
          <w:t>A6.2.2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_Toc214008830 \h </w:instrText>
        </w:r>
        <w:r>
          <w:rPr>
            <w:noProof/>
            <w:webHidden/>
          </w:rPr>
        </w:r>
        <w:r>
          <w:rPr>
            <w:noProof/>
            <w:webHidden/>
          </w:rPr>
          <w:fldChar w:fldCharType="separate"/>
        </w:r>
        <w:r>
          <w:rPr>
            <w:noProof/>
            <w:webHidden/>
          </w:rPr>
          <w:t>2</w:t>
        </w:r>
        <w:r>
          <w:rPr>
            <w:noProof/>
            <w:webHidden/>
          </w:rPr>
          <w:fldChar w:fldCharType="end"/>
        </w:r>
      </w:hyperlink>
    </w:p>
    <w:p w14:paraId="7CDD15EC" w14:textId="352FF262"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31" w:history="1">
        <w:r w:rsidRPr="005D1911">
          <w:rPr>
            <w:rStyle w:val="Hyperlink"/>
            <w:noProof/>
          </w:rPr>
          <w:t>A6.2.3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_Toc214008831 \h </w:instrText>
        </w:r>
        <w:r>
          <w:rPr>
            <w:noProof/>
            <w:webHidden/>
          </w:rPr>
        </w:r>
        <w:r>
          <w:rPr>
            <w:noProof/>
            <w:webHidden/>
          </w:rPr>
          <w:fldChar w:fldCharType="separate"/>
        </w:r>
        <w:r>
          <w:rPr>
            <w:noProof/>
            <w:webHidden/>
          </w:rPr>
          <w:t>8</w:t>
        </w:r>
        <w:r>
          <w:rPr>
            <w:noProof/>
            <w:webHidden/>
          </w:rPr>
          <w:fldChar w:fldCharType="end"/>
        </w:r>
      </w:hyperlink>
    </w:p>
    <w:p w14:paraId="489F0AC6" w14:textId="407E8AD4"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32" w:history="1">
        <w:r w:rsidRPr="005D1911">
          <w:rPr>
            <w:rStyle w:val="Hyperlink"/>
            <w:noProof/>
          </w:rPr>
          <w:t>A6.2.4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_Toc214008832 \h </w:instrText>
        </w:r>
        <w:r>
          <w:rPr>
            <w:noProof/>
            <w:webHidden/>
          </w:rPr>
        </w:r>
        <w:r>
          <w:rPr>
            <w:noProof/>
            <w:webHidden/>
          </w:rPr>
          <w:fldChar w:fldCharType="separate"/>
        </w:r>
        <w:r>
          <w:rPr>
            <w:noProof/>
            <w:webHidden/>
          </w:rPr>
          <w:t>9</w:t>
        </w:r>
        <w:r>
          <w:rPr>
            <w:noProof/>
            <w:webHidden/>
          </w:rPr>
          <w:fldChar w:fldCharType="end"/>
        </w:r>
      </w:hyperlink>
    </w:p>
    <w:p w14:paraId="186D3A81" w14:textId="1C953FF1" w:rsidR="00D210DD" w:rsidRDefault="00D210DD">
      <w:pPr>
        <w:pStyle w:val="TOC2"/>
        <w:rPr>
          <w:noProof/>
          <w:kern w:val="2"/>
          <w:sz w:val="24"/>
          <w:szCs w:val="24"/>
          <w:lang w:val="en-GB" w:eastAsia="en-GB"/>
          <w14:ligatures w14:val="standardContextual"/>
        </w:rPr>
      </w:pPr>
      <w:hyperlink w:anchor="_Toc214008833" w:history="1">
        <w:r w:rsidRPr="005D1911">
          <w:rPr>
            <w:rStyle w:val="Hyperlink"/>
            <w:noProof/>
          </w:rPr>
          <w:t>A6.3</w:t>
        </w:r>
        <w:r>
          <w:rPr>
            <w:noProof/>
            <w:kern w:val="2"/>
            <w:sz w:val="24"/>
            <w:szCs w:val="24"/>
            <w:lang w:val="en-GB" w:eastAsia="en-GB"/>
            <w14:ligatures w14:val="standardContextual"/>
          </w:rPr>
          <w:tab/>
        </w:r>
        <w:r w:rsidRPr="005D1911">
          <w:rPr>
            <w:rStyle w:val="Hyperlink"/>
            <w:noProof/>
          </w:rPr>
          <w:t>Belgium</w:t>
        </w:r>
        <w:r>
          <w:rPr>
            <w:noProof/>
            <w:webHidden/>
          </w:rPr>
          <w:tab/>
        </w:r>
        <w:r>
          <w:rPr>
            <w:noProof/>
            <w:webHidden/>
          </w:rPr>
          <w:fldChar w:fldCharType="begin"/>
        </w:r>
        <w:r>
          <w:rPr>
            <w:noProof/>
            <w:webHidden/>
          </w:rPr>
          <w:instrText xml:space="preserve"> PAGEREF _Toc214008833 \h </w:instrText>
        </w:r>
        <w:r>
          <w:rPr>
            <w:noProof/>
            <w:webHidden/>
          </w:rPr>
        </w:r>
        <w:r>
          <w:rPr>
            <w:noProof/>
            <w:webHidden/>
          </w:rPr>
          <w:fldChar w:fldCharType="separate"/>
        </w:r>
        <w:r>
          <w:rPr>
            <w:noProof/>
            <w:webHidden/>
          </w:rPr>
          <w:t>11</w:t>
        </w:r>
        <w:r>
          <w:rPr>
            <w:noProof/>
            <w:webHidden/>
          </w:rPr>
          <w:fldChar w:fldCharType="end"/>
        </w:r>
      </w:hyperlink>
    </w:p>
    <w:p w14:paraId="316A21E8" w14:textId="614F8ADD"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34" w:history="1">
        <w:r w:rsidRPr="005D1911">
          <w:rPr>
            <w:rStyle w:val="Hyperlink"/>
            <w:noProof/>
          </w:rPr>
          <w:t>A6.3.1</w:t>
        </w:r>
        <w:r>
          <w:rPr>
            <w:noProof/>
            <w:kern w:val="2"/>
            <w:sz w:val="24"/>
            <w:szCs w:val="24"/>
            <w:lang w:val="en-GB" w:eastAsia="en-GB"/>
            <w14:ligatures w14:val="standardContextual"/>
          </w:rPr>
          <w:tab/>
        </w:r>
        <w:r w:rsidRPr="005D1911">
          <w:rPr>
            <w:rStyle w:val="Hyperlink"/>
            <w:noProof/>
          </w:rPr>
          <w:t>Overview on environmental taxes</w:t>
        </w:r>
        <w:r>
          <w:rPr>
            <w:noProof/>
            <w:webHidden/>
          </w:rPr>
          <w:tab/>
        </w:r>
        <w:r>
          <w:rPr>
            <w:noProof/>
            <w:webHidden/>
          </w:rPr>
          <w:fldChar w:fldCharType="begin"/>
        </w:r>
        <w:r>
          <w:rPr>
            <w:noProof/>
            <w:webHidden/>
          </w:rPr>
          <w:instrText xml:space="preserve"> PAGEREF _Toc214008834 \h </w:instrText>
        </w:r>
        <w:r>
          <w:rPr>
            <w:noProof/>
            <w:webHidden/>
          </w:rPr>
        </w:r>
        <w:r>
          <w:rPr>
            <w:noProof/>
            <w:webHidden/>
          </w:rPr>
          <w:fldChar w:fldCharType="separate"/>
        </w:r>
        <w:r>
          <w:rPr>
            <w:noProof/>
            <w:webHidden/>
          </w:rPr>
          <w:t>11</w:t>
        </w:r>
        <w:r>
          <w:rPr>
            <w:noProof/>
            <w:webHidden/>
          </w:rPr>
          <w:fldChar w:fldCharType="end"/>
        </w:r>
      </w:hyperlink>
    </w:p>
    <w:p w14:paraId="4FA3A037" w14:textId="63FB4E85"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35" w:history="1">
        <w:r w:rsidRPr="005D1911">
          <w:rPr>
            <w:rStyle w:val="Hyperlink"/>
            <w:noProof/>
          </w:rPr>
          <w:t>A6.3.2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_Toc214008835 \h </w:instrText>
        </w:r>
        <w:r>
          <w:rPr>
            <w:noProof/>
            <w:webHidden/>
          </w:rPr>
        </w:r>
        <w:r>
          <w:rPr>
            <w:noProof/>
            <w:webHidden/>
          </w:rPr>
          <w:fldChar w:fldCharType="separate"/>
        </w:r>
        <w:r>
          <w:rPr>
            <w:noProof/>
            <w:webHidden/>
          </w:rPr>
          <w:t>12</w:t>
        </w:r>
        <w:r>
          <w:rPr>
            <w:noProof/>
            <w:webHidden/>
          </w:rPr>
          <w:fldChar w:fldCharType="end"/>
        </w:r>
      </w:hyperlink>
    </w:p>
    <w:p w14:paraId="53463D23" w14:textId="108B9F72"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36" w:history="1">
        <w:r w:rsidRPr="005D1911">
          <w:rPr>
            <w:rStyle w:val="Hyperlink"/>
            <w:noProof/>
          </w:rPr>
          <w:t>A6.3.3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_Toc214008836 \h </w:instrText>
        </w:r>
        <w:r>
          <w:rPr>
            <w:noProof/>
            <w:webHidden/>
          </w:rPr>
        </w:r>
        <w:r>
          <w:rPr>
            <w:noProof/>
            <w:webHidden/>
          </w:rPr>
          <w:fldChar w:fldCharType="separate"/>
        </w:r>
        <w:r>
          <w:rPr>
            <w:noProof/>
            <w:webHidden/>
          </w:rPr>
          <w:t>17</w:t>
        </w:r>
        <w:r>
          <w:rPr>
            <w:noProof/>
            <w:webHidden/>
          </w:rPr>
          <w:fldChar w:fldCharType="end"/>
        </w:r>
      </w:hyperlink>
    </w:p>
    <w:p w14:paraId="48A45BC7" w14:textId="142C3612"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37" w:history="1">
        <w:r w:rsidRPr="005D1911">
          <w:rPr>
            <w:rStyle w:val="Hyperlink"/>
            <w:noProof/>
          </w:rPr>
          <w:t>A6.3.4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_Toc214008837 \h </w:instrText>
        </w:r>
        <w:r>
          <w:rPr>
            <w:noProof/>
            <w:webHidden/>
          </w:rPr>
        </w:r>
        <w:r>
          <w:rPr>
            <w:noProof/>
            <w:webHidden/>
          </w:rPr>
          <w:fldChar w:fldCharType="separate"/>
        </w:r>
        <w:r>
          <w:rPr>
            <w:noProof/>
            <w:webHidden/>
          </w:rPr>
          <w:t>18</w:t>
        </w:r>
        <w:r>
          <w:rPr>
            <w:noProof/>
            <w:webHidden/>
          </w:rPr>
          <w:fldChar w:fldCharType="end"/>
        </w:r>
      </w:hyperlink>
    </w:p>
    <w:p w14:paraId="6461C8FE" w14:textId="001B3F93" w:rsidR="00D210DD" w:rsidRDefault="00D210DD">
      <w:pPr>
        <w:pStyle w:val="TOC2"/>
        <w:rPr>
          <w:noProof/>
          <w:kern w:val="2"/>
          <w:sz w:val="24"/>
          <w:szCs w:val="24"/>
          <w:lang w:val="en-GB" w:eastAsia="en-GB"/>
          <w14:ligatures w14:val="standardContextual"/>
        </w:rPr>
      </w:pPr>
      <w:hyperlink w:anchor="_Toc214008838" w:history="1">
        <w:r w:rsidRPr="005D1911">
          <w:rPr>
            <w:rStyle w:val="Hyperlink"/>
            <w:noProof/>
          </w:rPr>
          <w:t>A6.4</w:t>
        </w:r>
        <w:r>
          <w:rPr>
            <w:noProof/>
            <w:kern w:val="2"/>
            <w:sz w:val="24"/>
            <w:szCs w:val="24"/>
            <w:lang w:val="en-GB" w:eastAsia="en-GB"/>
            <w14:ligatures w14:val="standardContextual"/>
          </w:rPr>
          <w:tab/>
        </w:r>
        <w:r w:rsidRPr="005D1911">
          <w:rPr>
            <w:rStyle w:val="Hyperlink"/>
            <w:noProof/>
          </w:rPr>
          <w:t>Bulgaria</w:t>
        </w:r>
        <w:r>
          <w:rPr>
            <w:noProof/>
            <w:webHidden/>
          </w:rPr>
          <w:tab/>
        </w:r>
        <w:r>
          <w:rPr>
            <w:noProof/>
            <w:webHidden/>
          </w:rPr>
          <w:fldChar w:fldCharType="begin"/>
        </w:r>
        <w:r>
          <w:rPr>
            <w:noProof/>
            <w:webHidden/>
          </w:rPr>
          <w:instrText xml:space="preserve"> PAGEREF _Toc214008838 \h </w:instrText>
        </w:r>
        <w:r>
          <w:rPr>
            <w:noProof/>
            <w:webHidden/>
          </w:rPr>
        </w:r>
        <w:r>
          <w:rPr>
            <w:noProof/>
            <w:webHidden/>
          </w:rPr>
          <w:fldChar w:fldCharType="separate"/>
        </w:r>
        <w:r>
          <w:rPr>
            <w:noProof/>
            <w:webHidden/>
          </w:rPr>
          <w:t>20</w:t>
        </w:r>
        <w:r>
          <w:rPr>
            <w:noProof/>
            <w:webHidden/>
          </w:rPr>
          <w:fldChar w:fldCharType="end"/>
        </w:r>
      </w:hyperlink>
    </w:p>
    <w:p w14:paraId="1668A11A" w14:textId="5107E127"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39" w:history="1">
        <w:r w:rsidRPr="005D1911">
          <w:rPr>
            <w:rStyle w:val="Hyperlink"/>
            <w:noProof/>
          </w:rPr>
          <w:t>A6.4.1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_Toc214008839 \h </w:instrText>
        </w:r>
        <w:r>
          <w:rPr>
            <w:noProof/>
            <w:webHidden/>
          </w:rPr>
        </w:r>
        <w:r>
          <w:rPr>
            <w:noProof/>
            <w:webHidden/>
          </w:rPr>
          <w:fldChar w:fldCharType="separate"/>
        </w:r>
        <w:r>
          <w:rPr>
            <w:noProof/>
            <w:webHidden/>
          </w:rPr>
          <w:t>20</w:t>
        </w:r>
        <w:r>
          <w:rPr>
            <w:noProof/>
            <w:webHidden/>
          </w:rPr>
          <w:fldChar w:fldCharType="end"/>
        </w:r>
      </w:hyperlink>
    </w:p>
    <w:p w14:paraId="46F91A57" w14:textId="0A11490D"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40" w:history="1">
        <w:r w:rsidRPr="005D1911">
          <w:rPr>
            <w:rStyle w:val="Hyperlink"/>
            <w:noProof/>
          </w:rPr>
          <w:t>A6.4.2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_Toc214008840 \h </w:instrText>
        </w:r>
        <w:r>
          <w:rPr>
            <w:noProof/>
            <w:webHidden/>
          </w:rPr>
        </w:r>
        <w:r>
          <w:rPr>
            <w:noProof/>
            <w:webHidden/>
          </w:rPr>
          <w:fldChar w:fldCharType="separate"/>
        </w:r>
        <w:r>
          <w:rPr>
            <w:noProof/>
            <w:webHidden/>
          </w:rPr>
          <w:t>21</w:t>
        </w:r>
        <w:r>
          <w:rPr>
            <w:noProof/>
            <w:webHidden/>
          </w:rPr>
          <w:fldChar w:fldCharType="end"/>
        </w:r>
      </w:hyperlink>
    </w:p>
    <w:p w14:paraId="5D7468C6" w14:textId="4039B5E7"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41" w:history="1">
        <w:r w:rsidRPr="005D1911">
          <w:rPr>
            <w:rStyle w:val="Hyperlink"/>
            <w:noProof/>
          </w:rPr>
          <w:t>A6.4.3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_Toc214008841 \h </w:instrText>
        </w:r>
        <w:r>
          <w:rPr>
            <w:noProof/>
            <w:webHidden/>
          </w:rPr>
        </w:r>
        <w:r>
          <w:rPr>
            <w:noProof/>
            <w:webHidden/>
          </w:rPr>
          <w:fldChar w:fldCharType="separate"/>
        </w:r>
        <w:r>
          <w:rPr>
            <w:noProof/>
            <w:webHidden/>
          </w:rPr>
          <w:t>23</w:t>
        </w:r>
        <w:r>
          <w:rPr>
            <w:noProof/>
            <w:webHidden/>
          </w:rPr>
          <w:fldChar w:fldCharType="end"/>
        </w:r>
      </w:hyperlink>
    </w:p>
    <w:p w14:paraId="55E466B8" w14:textId="19F6BCAB"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42" w:history="1">
        <w:r w:rsidRPr="005D1911">
          <w:rPr>
            <w:rStyle w:val="Hyperlink"/>
            <w:noProof/>
          </w:rPr>
          <w:t>A6.4.4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_Toc214008842 \h </w:instrText>
        </w:r>
        <w:r>
          <w:rPr>
            <w:noProof/>
            <w:webHidden/>
          </w:rPr>
        </w:r>
        <w:r>
          <w:rPr>
            <w:noProof/>
            <w:webHidden/>
          </w:rPr>
          <w:fldChar w:fldCharType="separate"/>
        </w:r>
        <w:r>
          <w:rPr>
            <w:noProof/>
            <w:webHidden/>
          </w:rPr>
          <w:t>24</w:t>
        </w:r>
        <w:r>
          <w:rPr>
            <w:noProof/>
            <w:webHidden/>
          </w:rPr>
          <w:fldChar w:fldCharType="end"/>
        </w:r>
      </w:hyperlink>
    </w:p>
    <w:p w14:paraId="3645852C" w14:textId="7A4EB214" w:rsidR="00D210DD" w:rsidRDefault="00D210DD">
      <w:pPr>
        <w:pStyle w:val="TOC2"/>
        <w:rPr>
          <w:noProof/>
          <w:kern w:val="2"/>
          <w:sz w:val="24"/>
          <w:szCs w:val="24"/>
          <w:lang w:val="en-GB" w:eastAsia="en-GB"/>
          <w14:ligatures w14:val="standardContextual"/>
        </w:rPr>
      </w:pPr>
      <w:hyperlink w:anchor="_Toc214008843" w:history="1">
        <w:r w:rsidRPr="005D1911">
          <w:rPr>
            <w:rStyle w:val="Hyperlink"/>
            <w:noProof/>
          </w:rPr>
          <w:t>A6.5</w:t>
        </w:r>
        <w:r>
          <w:rPr>
            <w:noProof/>
            <w:kern w:val="2"/>
            <w:sz w:val="24"/>
            <w:szCs w:val="24"/>
            <w:lang w:val="en-GB" w:eastAsia="en-GB"/>
            <w14:ligatures w14:val="standardContextual"/>
          </w:rPr>
          <w:tab/>
        </w:r>
        <w:r w:rsidRPr="005D1911">
          <w:rPr>
            <w:rStyle w:val="Hyperlink"/>
            <w:noProof/>
          </w:rPr>
          <w:t>Croatia</w:t>
        </w:r>
        <w:r>
          <w:rPr>
            <w:noProof/>
            <w:webHidden/>
          </w:rPr>
          <w:tab/>
        </w:r>
        <w:r>
          <w:rPr>
            <w:noProof/>
            <w:webHidden/>
          </w:rPr>
          <w:fldChar w:fldCharType="begin"/>
        </w:r>
        <w:r>
          <w:rPr>
            <w:noProof/>
            <w:webHidden/>
          </w:rPr>
          <w:instrText xml:space="preserve"> PAGEREF _Toc214008843 \h </w:instrText>
        </w:r>
        <w:r>
          <w:rPr>
            <w:noProof/>
            <w:webHidden/>
          </w:rPr>
        </w:r>
        <w:r>
          <w:rPr>
            <w:noProof/>
            <w:webHidden/>
          </w:rPr>
          <w:fldChar w:fldCharType="separate"/>
        </w:r>
        <w:r>
          <w:rPr>
            <w:noProof/>
            <w:webHidden/>
          </w:rPr>
          <w:t>27</w:t>
        </w:r>
        <w:r>
          <w:rPr>
            <w:noProof/>
            <w:webHidden/>
          </w:rPr>
          <w:fldChar w:fldCharType="end"/>
        </w:r>
      </w:hyperlink>
    </w:p>
    <w:p w14:paraId="2412CB24" w14:textId="3B6E6B29"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44" w:history="1">
        <w:r w:rsidRPr="005D1911">
          <w:rPr>
            <w:rStyle w:val="Hyperlink"/>
            <w:noProof/>
          </w:rPr>
          <w:t>A6.5.1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_Toc214008844 \h </w:instrText>
        </w:r>
        <w:r>
          <w:rPr>
            <w:noProof/>
            <w:webHidden/>
          </w:rPr>
        </w:r>
        <w:r>
          <w:rPr>
            <w:noProof/>
            <w:webHidden/>
          </w:rPr>
          <w:fldChar w:fldCharType="separate"/>
        </w:r>
        <w:r>
          <w:rPr>
            <w:noProof/>
            <w:webHidden/>
          </w:rPr>
          <w:t>27</w:t>
        </w:r>
        <w:r>
          <w:rPr>
            <w:noProof/>
            <w:webHidden/>
          </w:rPr>
          <w:fldChar w:fldCharType="end"/>
        </w:r>
      </w:hyperlink>
    </w:p>
    <w:p w14:paraId="0007FBF9" w14:textId="45DBEDD3"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45" w:history="1">
        <w:r w:rsidRPr="005D1911">
          <w:rPr>
            <w:rStyle w:val="Hyperlink"/>
            <w:noProof/>
          </w:rPr>
          <w:t>A6.5.2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_Toc214008845 \h </w:instrText>
        </w:r>
        <w:r>
          <w:rPr>
            <w:noProof/>
            <w:webHidden/>
          </w:rPr>
        </w:r>
        <w:r>
          <w:rPr>
            <w:noProof/>
            <w:webHidden/>
          </w:rPr>
          <w:fldChar w:fldCharType="separate"/>
        </w:r>
        <w:r>
          <w:rPr>
            <w:noProof/>
            <w:webHidden/>
          </w:rPr>
          <w:t>27</w:t>
        </w:r>
        <w:r>
          <w:rPr>
            <w:noProof/>
            <w:webHidden/>
          </w:rPr>
          <w:fldChar w:fldCharType="end"/>
        </w:r>
      </w:hyperlink>
    </w:p>
    <w:p w14:paraId="4D5A3568" w14:textId="1CE8D587"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46" w:history="1">
        <w:r w:rsidRPr="005D1911">
          <w:rPr>
            <w:rStyle w:val="Hyperlink"/>
            <w:noProof/>
          </w:rPr>
          <w:t>A6.5.3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_Toc214008846 \h </w:instrText>
        </w:r>
        <w:r>
          <w:rPr>
            <w:noProof/>
            <w:webHidden/>
          </w:rPr>
        </w:r>
        <w:r>
          <w:rPr>
            <w:noProof/>
            <w:webHidden/>
          </w:rPr>
          <w:fldChar w:fldCharType="separate"/>
        </w:r>
        <w:r>
          <w:rPr>
            <w:noProof/>
            <w:webHidden/>
          </w:rPr>
          <w:t>41</w:t>
        </w:r>
        <w:r>
          <w:rPr>
            <w:noProof/>
            <w:webHidden/>
          </w:rPr>
          <w:fldChar w:fldCharType="end"/>
        </w:r>
      </w:hyperlink>
    </w:p>
    <w:p w14:paraId="18BFA83B" w14:textId="5F587202"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47" w:history="1">
        <w:r w:rsidRPr="005D1911">
          <w:rPr>
            <w:rStyle w:val="Hyperlink"/>
            <w:noProof/>
          </w:rPr>
          <w:t>A6.5.4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_Toc214008847 \h </w:instrText>
        </w:r>
        <w:r>
          <w:rPr>
            <w:noProof/>
            <w:webHidden/>
          </w:rPr>
        </w:r>
        <w:r>
          <w:rPr>
            <w:noProof/>
            <w:webHidden/>
          </w:rPr>
          <w:fldChar w:fldCharType="separate"/>
        </w:r>
        <w:r>
          <w:rPr>
            <w:noProof/>
            <w:webHidden/>
          </w:rPr>
          <w:t>43</w:t>
        </w:r>
        <w:r>
          <w:rPr>
            <w:noProof/>
            <w:webHidden/>
          </w:rPr>
          <w:fldChar w:fldCharType="end"/>
        </w:r>
      </w:hyperlink>
    </w:p>
    <w:p w14:paraId="0BA5B18F" w14:textId="1C9594E8" w:rsidR="00D210DD" w:rsidRDefault="00D210DD">
      <w:pPr>
        <w:pStyle w:val="TOC2"/>
        <w:rPr>
          <w:noProof/>
          <w:kern w:val="2"/>
          <w:sz w:val="24"/>
          <w:szCs w:val="24"/>
          <w:lang w:val="en-GB" w:eastAsia="en-GB"/>
          <w14:ligatures w14:val="standardContextual"/>
        </w:rPr>
      </w:pPr>
      <w:hyperlink w:anchor="_Toc214008848" w:history="1">
        <w:r w:rsidRPr="005D1911">
          <w:rPr>
            <w:rStyle w:val="Hyperlink"/>
            <w:noProof/>
          </w:rPr>
          <w:t>A6.6</w:t>
        </w:r>
        <w:r>
          <w:rPr>
            <w:noProof/>
            <w:kern w:val="2"/>
            <w:sz w:val="24"/>
            <w:szCs w:val="24"/>
            <w:lang w:val="en-GB" w:eastAsia="en-GB"/>
            <w14:ligatures w14:val="standardContextual"/>
          </w:rPr>
          <w:tab/>
        </w:r>
        <w:r w:rsidRPr="005D1911">
          <w:rPr>
            <w:rStyle w:val="Hyperlink"/>
            <w:noProof/>
          </w:rPr>
          <w:t>Cyprus</w:t>
        </w:r>
        <w:r>
          <w:rPr>
            <w:noProof/>
            <w:webHidden/>
          </w:rPr>
          <w:tab/>
        </w:r>
        <w:r>
          <w:rPr>
            <w:noProof/>
            <w:webHidden/>
          </w:rPr>
          <w:fldChar w:fldCharType="begin"/>
        </w:r>
        <w:r>
          <w:rPr>
            <w:noProof/>
            <w:webHidden/>
          </w:rPr>
          <w:instrText xml:space="preserve"> PAGEREF _Toc214008848 \h </w:instrText>
        </w:r>
        <w:r>
          <w:rPr>
            <w:noProof/>
            <w:webHidden/>
          </w:rPr>
        </w:r>
        <w:r>
          <w:rPr>
            <w:noProof/>
            <w:webHidden/>
          </w:rPr>
          <w:fldChar w:fldCharType="separate"/>
        </w:r>
        <w:r>
          <w:rPr>
            <w:noProof/>
            <w:webHidden/>
          </w:rPr>
          <w:t>45</w:t>
        </w:r>
        <w:r>
          <w:rPr>
            <w:noProof/>
            <w:webHidden/>
          </w:rPr>
          <w:fldChar w:fldCharType="end"/>
        </w:r>
      </w:hyperlink>
    </w:p>
    <w:p w14:paraId="6E99716B" w14:textId="5411E446"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49" w:history="1">
        <w:r w:rsidRPr="005D1911">
          <w:rPr>
            <w:rStyle w:val="Hyperlink"/>
            <w:noProof/>
          </w:rPr>
          <w:t>A6.6.1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_Toc214008849 \h </w:instrText>
        </w:r>
        <w:r>
          <w:rPr>
            <w:noProof/>
            <w:webHidden/>
          </w:rPr>
        </w:r>
        <w:r>
          <w:rPr>
            <w:noProof/>
            <w:webHidden/>
          </w:rPr>
          <w:fldChar w:fldCharType="separate"/>
        </w:r>
        <w:r>
          <w:rPr>
            <w:noProof/>
            <w:webHidden/>
          </w:rPr>
          <w:t>45</w:t>
        </w:r>
        <w:r>
          <w:rPr>
            <w:noProof/>
            <w:webHidden/>
          </w:rPr>
          <w:fldChar w:fldCharType="end"/>
        </w:r>
      </w:hyperlink>
    </w:p>
    <w:p w14:paraId="0FA1181A" w14:textId="4081FDB5"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50" w:history="1">
        <w:r w:rsidRPr="005D1911">
          <w:rPr>
            <w:rStyle w:val="Hyperlink"/>
            <w:noProof/>
          </w:rPr>
          <w:t>A6.6.2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_Toc214008850 \h </w:instrText>
        </w:r>
        <w:r>
          <w:rPr>
            <w:noProof/>
            <w:webHidden/>
          </w:rPr>
        </w:r>
        <w:r>
          <w:rPr>
            <w:noProof/>
            <w:webHidden/>
          </w:rPr>
          <w:fldChar w:fldCharType="separate"/>
        </w:r>
        <w:r>
          <w:rPr>
            <w:noProof/>
            <w:webHidden/>
          </w:rPr>
          <w:t>46</w:t>
        </w:r>
        <w:r>
          <w:rPr>
            <w:noProof/>
            <w:webHidden/>
          </w:rPr>
          <w:fldChar w:fldCharType="end"/>
        </w:r>
      </w:hyperlink>
    </w:p>
    <w:p w14:paraId="32264515" w14:textId="48E7CDD9"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51" w:history="1">
        <w:r w:rsidRPr="005D1911">
          <w:rPr>
            <w:rStyle w:val="Hyperlink"/>
            <w:rFonts w:eastAsia="Aptos Narrow"/>
            <w:noProof/>
          </w:rPr>
          <w:t>A6.6.3</w:t>
        </w:r>
        <w:r>
          <w:rPr>
            <w:noProof/>
            <w:kern w:val="2"/>
            <w:sz w:val="24"/>
            <w:szCs w:val="24"/>
            <w:lang w:val="en-GB" w:eastAsia="en-GB"/>
            <w14:ligatures w14:val="standardContextual"/>
          </w:rPr>
          <w:tab/>
        </w:r>
        <w:r w:rsidRPr="005D1911">
          <w:rPr>
            <w:rStyle w:val="Hyperlink"/>
            <w:rFonts w:eastAsia="Aptos Narrow"/>
            <w:noProof/>
          </w:rPr>
          <w:t>Potential for implementing additional environmental taxes</w:t>
        </w:r>
        <w:r>
          <w:rPr>
            <w:noProof/>
            <w:webHidden/>
          </w:rPr>
          <w:tab/>
        </w:r>
        <w:r>
          <w:rPr>
            <w:noProof/>
            <w:webHidden/>
          </w:rPr>
          <w:fldChar w:fldCharType="begin"/>
        </w:r>
        <w:r>
          <w:rPr>
            <w:noProof/>
            <w:webHidden/>
          </w:rPr>
          <w:instrText xml:space="preserve"> PAGEREF _Toc214008851 \h </w:instrText>
        </w:r>
        <w:r>
          <w:rPr>
            <w:noProof/>
            <w:webHidden/>
          </w:rPr>
        </w:r>
        <w:r>
          <w:rPr>
            <w:noProof/>
            <w:webHidden/>
          </w:rPr>
          <w:fldChar w:fldCharType="separate"/>
        </w:r>
        <w:r>
          <w:rPr>
            <w:noProof/>
            <w:webHidden/>
          </w:rPr>
          <w:t>48</w:t>
        </w:r>
        <w:r>
          <w:rPr>
            <w:noProof/>
            <w:webHidden/>
          </w:rPr>
          <w:fldChar w:fldCharType="end"/>
        </w:r>
      </w:hyperlink>
    </w:p>
    <w:p w14:paraId="013513D8" w14:textId="08C6A07B"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52" w:history="1">
        <w:r w:rsidRPr="005D1911">
          <w:rPr>
            <w:rStyle w:val="Hyperlink"/>
            <w:noProof/>
          </w:rPr>
          <w:t>A6.6.4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_Toc214008852 \h </w:instrText>
        </w:r>
        <w:r>
          <w:rPr>
            <w:noProof/>
            <w:webHidden/>
          </w:rPr>
        </w:r>
        <w:r>
          <w:rPr>
            <w:noProof/>
            <w:webHidden/>
          </w:rPr>
          <w:fldChar w:fldCharType="separate"/>
        </w:r>
        <w:r>
          <w:rPr>
            <w:noProof/>
            <w:webHidden/>
          </w:rPr>
          <w:t>49</w:t>
        </w:r>
        <w:r>
          <w:rPr>
            <w:noProof/>
            <w:webHidden/>
          </w:rPr>
          <w:fldChar w:fldCharType="end"/>
        </w:r>
      </w:hyperlink>
    </w:p>
    <w:p w14:paraId="6C46F772" w14:textId="7CD26CF1" w:rsidR="00D210DD" w:rsidRDefault="00D210DD">
      <w:pPr>
        <w:pStyle w:val="TOC2"/>
        <w:rPr>
          <w:noProof/>
          <w:kern w:val="2"/>
          <w:sz w:val="24"/>
          <w:szCs w:val="24"/>
          <w:lang w:val="en-GB" w:eastAsia="en-GB"/>
          <w14:ligatures w14:val="standardContextual"/>
        </w:rPr>
      </w:pPr>
      <w:hyperlink w:anchor="_Toc214008853" w:history="1">
        <w:r w:rsidRPr="005D1911">
          <w:rPr>
            <w:rStyle w:val="Hyperlink"/>
            <w:noProof/>
          </w:rPr>
          <w:t>A6.7</w:t>
        </w:r>
        <w:r>
          <w:rPr>
            <w:noProof/>
            <w:kern w:val="2"/>
            <w:sz w:val="24"/>
            <w:szCs w:val="24"/>
            <w:lang w:val="en-GB" w:eastAsia="en-GB"/>
            <w14:ligatures w14:val="standardContextual"/>
          </w:rPr>
          <w:tab/>
        </w:r>
        <w:r w:rsidRPr="005D1911">
          <w:rPr>
            <w:rStyle w:val="Hyperlink"/>
            <w:noProof/>
          </w:rPr>
          <w:t>Czechia</w:t>
        </w:r>
        <w:r>
          <w:rPr>
            <w:noProof/>
            <w:webHidden/>
          </w:rPr>
          <w:tab/>
        </w:r>
        <w:r>
          <w:rPr>
            <w:noProof/>
            <w:webHidden/>
          </w:rPr>
          <w:fldChar w:fldCharType="begin"/>
        </w:r>
        <w:r>
          <w:rPr>
            <w:noProof/>
            <w:webHidden/>
          </w:rPr>
          <w:instrText xml:space="preserve"> PAGEREF _Toc214008853 \h </w:instrText>
        </w:r>
        <w:r>
          <w:rPr>
            <w:noProof/>
            <w:webHidden/>
          </w:rPr>
        </w:r>
        <w:r>
          <w:rPr>
            <w:noProof/>
            <w:webHidden/>
          </w:rPr>
          <w:fldChar w:fldCharType="separate"/>
        </w:r>
        <w:r>
          <w:rPr>
            <w:noProof/>
            <w:webHidden/>
          </w:rPr>
          <w:t>51</w:t>
        </w:r>
        <w:r>
          <w:rPr>
            <w:noProof/>
            <w:webHidden/>
          </w:rPr>
          <w:fldChar w:fldCharType="end"/>
        </w:r>
      </w:hyperlink>
    </w:p>
    <w:p w14:paraId="798FB02C" w14:textId="35255427"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54" w:history="1">
        <w:r w:rsidRPr="005D1911">
          <w:rPr>
            <w:rStyle w:val="Hyperlink"/>
            <w:noProof/>
          </w:rPr>
          <w:t>A6.7.1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_Toc214008854 \h </w:instrText>
        </w:r>
        <w:r>
          <w:rPr>
            <w:noProof/>
            <w:webHidden/>
          </w:rPr>
        </w:r>
        <w:r>
          <w:rPr>
            <w:noProof/>
            <w:webHidden/>
          </w:rPr>
          <w:fldChar w:fldCharType="separate"/>
        </w:r>
        <w:r>
          <w:rPr>
            <w:noProof/>
            <w:webHidden/>
          </w:rPr>
          <w:t>51</w:t>
        </w:r>
        <w:r>
          <w:rPr>
            <w:noProof/>
            <w:webHidden/>
          </w:rPr>
          <w:fldChar w:fldCharType="end"/>
        </w:r>
      </w:hyperlink>
    </w:p>
    <w:p w14:paraId="1866729C" w14:textId="2DFE0C3C"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55" w:history="1">
        <w:r w:rsidRPr="005D1911">
          <w:rPr>
            <w:rStyle w:val="Hyperlink"/>
            <w:noProof/>
          </w:rPr>
          <w:t>A6.7.2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_Toc214008855 \h </w:instrText>
        </w:r>
        <w:r>
          <w:rPr>
            <w:noProof/>
            <w:webHidden/>
          </w:rPr>
        </w:r>
        <w:r>
          <w:rPr>
            <w:noProof/>
            <w:webHidden/>
          </w:rPr>
          <w:fldChar w:fldCharType="separate"/>
        </w:r>
        <w:r>
          <w:rPr>
            <w:noProof/>
            <w:webHidden/>
          </w:rPr>
          <w:t>52</w:t>
        </w:r>
        <w:r>
          <w:rPr>
            <w:noProof/>
            <w:webHidden/>
          </w:rPr>
          <w:fldChar w:fldCharType="end"/>
        </w:r>
      </w:hyperlink>
    </w:p>
    <w:p w14:paraId="2D47906E" w14:textId="4CCDE2DB"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56" w:history="1">
        <w:r w:rsidRPr="005D1911">
          <w:rPr>
            <w:rStyle w:val="Hyperlink"/>
            <w:noProof/>
          </w:rPr>
          <w:t>A6.7.3</w:t>
        </w:r>
        <w:r>
          <w:rPr>
            <w:noProof/>
            <w:kern w:val="2"/>
            <w:sz w:val="24"/>
            <w:szCs w:val="24"/>
            <w:lang w:val="en-GB" w:eastAsia="en-GB"/>
            <w14:ligatures w14:val="standardContextual"/>
          </w:rPr>
          <w:tab/>
        </w:r>
        <w:r w:rsidRPr="005D1911">
          <w:rPr>
            <w:rStyle w:val="Hyperlink"/>
            <w:noProof/>
          </w:rPr>
          <w:t>Potential for new environmental taxes</w:t>
        </w:r>
        <w:r>
          <w:rPr>
            <w:noProof/>
            <w:webHidden/>
          </w:rPr>
          <w:tab/>
        </w:r>
        <w:r>
          <w:rPr>
            <w:noProof/>
            <w:webHidden/>
          </w:rPr>
          <w:fldChar w:fldCharType="begin"/>
        </w:r>
        <w:r>
          <w:rPr>
            <w:noProof/>
            <w:webHidden/>
          </w:rPr>
          <w:instrText xml:space="preserve"> PAGEREF _Toc214008856 \h </w:instrText>
        </w:r>
        <w:r>
          <w:rPr>
            <w:noProof/>
            <w:webHidden/>
          </w:rPr>
        </w:r>
        <w:r>
          <w:rPr>
            <w:noProof/>
            <w:webHidden/>
          </w:rPr>
          <w:fldChar w:fldCharType="separate"/>
        </w:r>
        <w:r>
          <w:rPr>
            <w:noProof/>
            <w:webHidden/>
          </w:rPr>
          <w:t>61</w:t>
        </w:r>
        <w:r>
          <w:rPr>
            <w:noProof/>
            <w:webHidden/>
          </w:rPr>
          <w:fldChar w:fldCharType="end"/>
        </w:r>
      </w:hyperlink>
    </w:p>
    <w:p w14:paraId="2D7CA9EC" w14:textId="2DE0685E"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57" w:history="1">
        <w:r w:rsidRPr="005D1911">
          <w:rPr>
            <w:rStyle w:val="Hyperlink"/>
            <w:noProof/>
          </w:rPr>
          <w:t>A6.7.4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_Toc214008857 \h </w:instrText>
        </w:r>
        <w:r>
          <w:rPr>
            <w:noProof/>
            <w:webHidden/>
          </w:rPr>
        </w:r>
        <w:r>
          <w:rPr>
            <w:noProof/>
            <w:webHidden/>
          </w:rPr>
          <w:fldChar w:fldCharType="separate"/>
        </w:r>
        <w:r>
          <w:rPr>
            <w:noProof/>
            <w:webHidden/>
          </w:rPr>
          <w:t>63</w:t>
        </w:r>
        <w:r>
          <w:rPr>
            <w:noProof/>
            <w:webHidden/>
          </w:rPr>
          <w:fldChar w:fldCharType="end"/>
        </w:r>
      </w:hyperlink>
    </w:p>
    <w:p w14:paraId="228F9409" w14:textId="38CEEBDD" w:rsidR="00D210DD" w:rsidRDefault="00D210DD">
      <w:pPr>
        <w:pStyle w:val="TOC2"/>
        <w:rPr>
          <w:noProof/>
          <w:kern w:val="2"/>
          <w:sz w:val="24"/>
          <w:szCs w:val="24"/>
          <w:lang w:val="en-GB" w:eastAsia="en-GB"/>
          <w14:ligatures w14:val="standardContextual"/>
        </w:rPr>
      </w:pPr>
      <w:hyperlink w:anchor="_Toc214008858" w:history="1">
        <w:r w:rsidRPr="005D1911">
          <w:rPr>
            <w:rStyle w:val="Hyperlink"/>
            <w:noProof/>
          </w:rPr>
          <w:t>A6.8</w:t>
        </w:r>
        <w:r>
          <w:rPr>
            <w:noProof/>
            <w:kern w:val="2"/>
            <w:sz w:val="24"/>
            <w:szCs w:val="24"/>
            <w:lang w:val="en-GB" w:eastAsia="en-GB"/>
            <w14:ligatures w14:val="standardContextual"/>
          </w:rPr>
          <w:tab/>
        </w:r>
        <w:r w:rsidRPr="005D1911">
          <w:rPr>
            <w:rStyle w:val="Hyperlink"/>
            <w:noProof/>
          </w:rPr>
          <w:t>Denmark</w:t>
        </w:r>
        <w:r>
          <w:rPr>
            <w:noProof/>
            <w:webHidden/>
          </w:rPr>
          <w:tab/>
        </w:r>
        <w:r>
          <w:rPr>
            <w:noProof/>
            <w:webHidden/>
          </w:rPr>
          <w:fldChar w:fldCharType="begin"/>
        </w:r>
        <w:r>
          <w:rPr>
            <w:noProof/>
            <w:webHidden/>
          </w:rPr>
          <w:instrText xml:space="preserve"> PAGEREF _Toc214008858 \h </w:instrText>
        </w:r>
        <w:r>
          <w:rPr>
            <w:noProof/>
            <w:webHidden/>
          </w:rPr>
        </w:r>
        <w:r>
          <w:rPr>
            <w:noProof/>
            <w:webHidden/>
          </w:rPr>
          <w:fldChar w:fldCharType="separate"/>
        </w:r>
        <w:r>
          <w:rPr>
            <w:noProof/>
            <w:webHidden/>
          </w:rPr>
          <w:t>67</w:t>
        </w:r>
        <w:r>
          <w:rPr>
            <w:noProof/>
            <w:webHidden/>
          </w:rPr>
          <w:fldChar w:fldCharType="end"/>
        </w:r>
      </w:hyperlink>
    </w:p>
    <w:p w14:paraId="792ED3D0" w14:textId="01F46802"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59" w:history="1">
        <w:r w:rsidRPr="005D1911">
          <w:rPr>
            <w:rStyle w:val="Hyperlink"/>
            <w:noProof/>
          </w:rPr>
          <w:t>A6.8.1</w:t>
        </w:r>
        <w:r>
          <w:rPr>
            <w:noProof/>
            <w:kern w:val="2"/>
            <w:sz w:val="24"/>
            <w:szCs w:val="24"/>
            <w:lang w:val="en-GB" w:eastAsia="en-GB"/>
            <w14:ligatures w14:val="standardContextual"/>
          </w:rPr>
          <w:tab/>
        </w:r>
        <w:r w:rsidRPr="005D1911">
          <w:rPr>
            <w:rStyle w:val="Hyperlink"/>
            <w:noProof/>
          </w:rPr>
          <w:t>Overview on environmental taxes</w:t>
        </w:r>
        <w:r>
          <w:rPr>
            <w:noProof/>
            <w:webHidden/>
          </w:rPr>
          <w:tab/>
        </w:r>
        <w:r>
          <w:rPr>
            <w:noProof/>
            <w:webHidden/>
          </w:rPr>
          <w:fldChar w:fldCharType="begin"/>
        </w:r>
        <w:r>
          <w:rPr>
            <w:noProof/>
            <w:webHidden/>
          </w:rPr>
          <w:instrText xml:space="preserve"> PAGEREF _Toc214008859 \h </w:instrText>
        </w:r>
        <w:r>
          <w:rPr>
            <w:noProof/>
            <w:webHidden/>
          </w:rPr>
        </w:r>
        <w:r>
          <w:rPr>
            <w:noProof/>
            <w:webHidden/>
          </w:rPr>
          <w:fldChar w:fldCharType="separate"/>
        </w:r>
        <w:r>
          <w:rPr>
            <w:noProof/>
            <w:webHidden/>
          </w:rPr>
          <w:t>67</w:t>
        </w:r>
        <w:r>
          <w:rPr>
            <w:noProof/>
            <w:webHidden/>
          </w:rPr>
          <w:fldChar w:fldCharType="end"/>
        </w:r>
      </w:hyperlink>
    </w:p>
    <w:p w14:paraId="1480DBC2" w14:textId="6B5668C6"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60" w:history="1">
        <w:r w:rsidRPr="005D1911">
          <w:rPr>
            <w:rStyle w:val="Hyperlink"/>
            <w:noProof/>
          </w:rPr>
          <w:t>A6.8.2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_Toc214008860 \h </w:instrText>
        </w:r>
        <w:r>
          <w:rPr>
            <w:noProof/>
            <w:webHidden/>
          </w:rPr>
        </w:r>
        <w:r>
          <w:rPr>
            <w:noProof/>
            <w:webHidden/>
          </w:rPr>
          <w:fldChar w:fldCharType="separate"/>
        </w:r>
        <w:r>
          <w:rPr>
            <w:noProof/>
            <w:webHidden/>
          </w:rPr>
          <w:t>68</w:t>
        </w:r>
        <w:r>
          <w:rPr>
            <w:noProof/>
            <w:webHidden/>
          </w:rPr>
          <w:fldChar w:fldCharType="end"/>
        </w:r>
      </w:hyperlink>
    </w:p>
    <w:p w14:paraId="2E7B6B6F" w14:textId="76CE8423"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61" w:history="1">
        <w:r w:rsidRPr="005D1911">
          <w:rPr>
            <w:rStyle w:val="Hyperlink"/>
            <w:rFonts w:eastAsia="Calibri"/>
            <w:noProof/>
          </w:rPr>
          <w:t>A6.8.3</w:t>
        </w:r>
        <w:r>
          <w:rPr>
            <w:noProof/>
            <w:kern w:val="2"/>
            <w:sz w:val="24"/>
            <w:szCs w:val="24"/>
            <w:lang w:val="en-GB" w:eastAsia="en-GB"/>
            <w14:ligatures w14:val="standardContextual"/>
          </w:rPr>
          <w:tab/>
        </w:r>
        <w:r w:rsidRPr="005D1911">
          <w:rPr>
            <w:rStyle w:val="Hyperlink"/>
            <w:rFonts w:eastAsia="Calibri"/>
            <w:noProof/>
          </w:rPr>
          <w:t>Potential for implementing additional environmental taxes</w:t>
        </w:r>
        <w:r>
          <w:rPr>
            <w:noProof/>
            <w:webHidden/>
          </w:rPr>
          <w:tab/>
        </w:r>
        <w:r>
          <w:rPr>
            <w:noProof/>
            <w:webHidden/>
          </w:rPr>
          <w:fldChar w:fldCharType="begin"/>
        </w:r>
        <w:r>
          <w:rPr>
            <w:noProof/>
            <w:webHidden/>
          </w:rPr>
          <w:instrText xml:space="preserve"> PAGEREF _Toc214008861 \h </w:instrText>
        </w:r>
        <w:r>
          <w:rPr>
            <w:noProof/>
            <w:webHidden/>
          </w:rPr>
        </w:r>
        <w:r>
          <w:rPr>
            <w:noProof/>
            <w:webHidden/>
          </w:rPr>
          <w:fldChar w:fldCharType="separate"/>
        </w:r>
        <w:r>
          <w:rPr>
            <w:noProof/>
            <w:webHidden/>
          </w:rPr>
          <w:t>79</w:t>
        </w:r>
        <w:r>
          <w:rPr>
            <w:noProof/>
            <w:webHidden/>
          </w:rPr>
          <w:fldChar w:fldCharType="end"/>
        </w:r>
      </w:hyperlink>
    </w:p>
    <w:p w14:paraId="4FD53F84" w14:textId="5DEF5D89"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62" w:history="1">
        <w:r w:rsidRPr="005D1911">
          <w:rPr>
            <w:rStyle w:val="Hyperlink"/>
            <w:noProof/>
          </w:rPr>
          <w:t>A6.8.4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_Toc214008862 \h </w:instrText>
        </w:r>
        <w:r>
          <w:rPr>
            <w:noProof/>
            <w:webHidden/>
          </w:rPr>
        </w:r>
        <w:r>
          <w:rPr>
            <w:noProof/>
            <w:webHidden/>
          </w:rPr>
          <w:fldChar w:fldCharType="separate"/>
        </w:r>
        <w:r>
          <w:rPr>
            <w:noProof/>
            <w:webHidden/>
          </w:rPr>
          <w:t>81</w:t>
        </w:r>
        <w:r>
          <w:rPr>
            <w:noProof/>
            <w:webHidden/>
          </w:rPr>
          <w:fldChar w:fldCharType="end"/>
        </w:r>
      </w:hyperlink>
    </w:p>
    <w:p w14:paraId="42F27BA7" w14:textId="48995972" w:rsidR="00D210DD" w:rsidRDefault="00D210DD">
      <w:pPr>
        <w:pStyle w:val="TOC2"/>
        <w:rPr>
          <w:noProof/>
          <w:kern w:val="2"/>
          <w:sz w:val="24"/>
          <w:szCs w:val="24"/>
          <w:lang w:val="en-GB" w:eastAsia="en-GB"/>
          <w14:ligatures w14:val="standardContextual"/>
        </w:rPr>
      </w:pPr>
      <w:hyperlink w:anchor="_Toc214008863" w:history="1">
        <w:r w:rsidRPr="005D1911">
          <w:rPr>
            <w:rStyle w:val="Hyperlink"/>
            <w:noProof/>
          </w:rPr>
          <w:t>A6.9</w:t>
        </w:r>
        <w:r>
          <w:rPr>
            <w:noProof/>
            <w:kern w:val="2"/>
            <w:sz w:val="24"/>
            <w:szCs w:val="24"/>
            <w:lang w:val="en-GB" w:eastAsia="en-GB"/>
            <w14:ligatures w14:val="standardContextual"/>
          </w:rPr>
          <w:tab/>
        </w:r>
        <w:r w:rsidRPr="005D1911">
          <w:rPr>
            <w:rStyle w:val="Hyperlink"/>
            <w:noProof/>
          </w:rPr>
          <w:t>Estonia</w:t>
        </w:r>
        <w:r>
          <w:rPr>
            <w:noProof/>
            <w:webHidden/>
          </w:rPr>
          <w:tab/>
        </w:r>
        <w:r>
          <w:rPr>
            <w:noProof/>
            <w:webHidden/>
          </w:rPr>
          <w:fldChar w:fldCharType="begin"/>
        </w:r>
        <w:r>
          <w:rPr>
            <w:noProof/>
            <w:webHidden/>
          </w:rPr>
          <w:instrText xml:space="preserve"> PAGEREF _Toc214008863 \h </w:instrText>
        </w:r>
        <w:r>
          <w:rPr>
            <w:noProof/>
            <w:webHidden/>
          </w:rPr>
        </w:r>
        <w:r>
          <w:rPr>
            <w:noProof/>
            <w:webHidden/>
          </w:rPr>
          <w:fldChar w:fldCharType="separate"/>
        </w:r>
        <w:r>
          <w:rPr>
            <w:noProof/>
            <w:webHidden/>
          </w:rPr>
          <w:t>84</w:t>
        </w:r>
        <w:r>
          <w:rPr>
            <w:noProof/>
            <w:webHidden/>
          </w:rPr>
          <w:fldChar w:fldCharType="end"/>
        </w:r>
      </w:hyperlink>
    </w:p>
    <w:p w14:paraId="6B7E8132" w14:textId="02811AD4"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64" w:history="1">
        <w:r w:rsidRPr="005D1911">
          <w:rPr>
            <w:rStyle w:val="Hyperlink"/>
            <w:noProof/>
          </w:rPr>
          <w:t>A6.9.1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_Toc214008864 \h </w:instrText>
        </w:r>
        <w:r>
          <w:rPr>
            <w:noProof/>
            <w:webHidden/>
          </w:rPr>
        </w:r>
        <w:r>
          <w:rPr>
            <w:noProof/>
            <w:webHidden/>
          </w:rPr>
          <w:fldChar w:fldCharType="separate"/>
        </w:r>
        <w:r>
          <w:rPr>
            <w:noProof/>
            <w:webHidden/>
          </w:rPr>
          <w:t>84</w:t>
        </w:r>
        <w:r>
          <w:rPr>
            <w:noProof/>
            <w:webHidden/>
          </w:rPr>
          <w:fldChar w:fldCharType="end"/>
        </w:r>
      </w:hyperlink>
    </w:p>
    <w:p w14:paraId="6F2F3899" w14:textId="3F0053F8"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65" w:history="1">
        <w:r w:rsidRPr="005D1911">
          <w:rPr>
            <w:rStyle w:val="Hyperlink"/>
            <w:noProof/>
          </w:rPr>
          <w:t>A6.9.2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_Toc214008865 \h </w:instrText>
        </w:r>
        <w:r>
          <w:rPr>
            <w:noProof/>
            <w:webHidden/>
          </w:rPr>
        </w:r>
        <w:r>
          <w:rPr>
            <w:noProof/>
            <w:webHidden/>
          </w:rPr>
          <w:fldChar w:fldCharType="separate"/>
        </w:r>
        <w:r>
          <w:rPr>
            <w:noProof/>
            <w:webHidden/>
          </w:rPr>
          <w:t>85</w:t>
        </w:r>
        <w:r>
          <w:rPr>
            <w:noProof/>
            <w:webHidden/>
          </w:rPr>
          <w:fldChar w:fldCharType="end"/>
        </w:r>
      </w:hyperlink>
    </w:p>
    <w:p w14:paraId="019B32E8" w14:textId="09FCC882"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66" w:history="1">
        <w:r w:rsidRPr="005D1911">
          <w:rPr>
            <w:rStyle w:val="Hyperlink"/>
            <w:noProof/>
          </w:rPr>
          <w:t>A6.9.3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_Toc214008866 \h </w:instrText>
        </w:r>
        <w:r>
          <w:rPr>
            <w:noProof/>
            <w:webHidden/>
          </w:rPr>
        </w:r>
        <w:r>
          <w:rPr>
            <w:noProof/>
            <w:webHidden/>
          </w:rPr>
          <w:fldChar w:fldCharType="separate"/>
        </w:r>
        <w:r>
          <w:rPr>
            <w:noProof/>
            <w:webHidden/>
          </w:rPr>
          <w:t>87</w:t>
        </w:r>
        <w:r>
          <w:rPr>
            <w:noProof/>
            <w:webHidden/>
          </w:rPr>
          <w:fldChar w:fldCharType="end"/>
        </w:r>
      </w:hyperlink>
    </w:p>
    <w:p w14:paraId="39FCA25B" w14:textId="6DA213FB"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67" w:history="1">
        <w:r w:rsidRPr="005D1911">
          <w:rPr>
            <w:rStyle w:val="Hyperlink"/>
            <w:noProof/>
          </w:rPr>
          <w:t>A6.9.4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_Toc214008867 \h </w:instrText>
        </w:r>
        <w:r>
          <w:rPr>
            <w:noProof/>
            <w:webHidden/>
          </w:rPr>
        </w:r>
        <w:r>
          <w:rPr>
            <w:noProof/>
            <w:webHidden/>
          </w:rPr>
          <w:fldChar w:fldCharType="separate"/>
        </w:r>
        <w:r>
          <w:rPr>
            <w:noProof/>
            <w:webHidden/>
          </w:rPr>
          <w:t>88</w:t>
        </w:r>
        <w:r>
          <w:rPr>
            <w:noProof/>
            <w:webHidden/>
          </w:rPr>
          <w:fldChar w:fldCharType="end"/>
        </w:r>
      </w:hyperlink>
    </w:p>
    <w:p w14:paraId="2BED601E" w14:textId="66151E2A" w:rsidR="00D210DD" w:rsidRDefault="00D210DD">
      <w:pPr>
        <w:pStyle w:val="TOC2"/>
        <w:tabs>
          <w:tab w:val="left" w:pos="960"/>
        </w:tabs>
        <w:rPr>
          <w:noProof/>
          <w:kern w:val="2"/>
          <w:sz w:val="24"/>
          <w:szCs w:val="24"/>
          <w:lang w:val="en-GB" w:eastAsia="en-GB"/>
          <w14:ligatures w14:val="standardContextual"/>
        </w:rPr>
      </w:pPr>
      <w:hyperlink w:anchor="_Toc214008868" w:history="1">
        <w:r w:rsidRPr="005D1911">
          <w:rPr>
            <w:rStyle w:val="Hyperlink"/>
            <w:noProof/>
          </w:rPr>
          <w:t>A6.10</w:t>
        </w:r>
        <w:r>
          <w:rPr>
            <w:noProof/>
            <w:kern w:val="2"/>
            <w:sz w:val="24"/>
            <w:szCs w:val="24"/>
            <w:lang w:val="en-GB" w:eastAsia="en-GB"/>
            <w14:ligatures w14:val="standardContextual"/>
          </w:rPr>
          <w:tab/>
        </w:r>
        <w:r w:rsidRPr="005D1911">
          <w:rPr>
            <w:rStyle w:val="Hyperlink"/>
            <w:noProof/>
          </w:rPr>
          <w:t>Finland</w:t>
        </w:r>
        <w:r>
          <w:rPr>
            <w:noProof/>
            <w:webHidden/>
          </w:rPr>
          <w:tab/>
        </w:r>
        <w:r>
          <w:rPr>
            <w:noProof/>
            <w:webHidden/>
          </w:rPr>
          <w:fldChar w:fldCharType="begin"/>
        </w:r>
        <w:r>
          <w:rPr>
            <w:noProof/>
            <w:webHidden/>
          </w:rPr>
          <w:instrText xml:space="preserve"> PAGEREF _Toc214008868 \h </w:instrText>
        </w:r>
        <w:r>
          <w:rPr>
            <w:noProof/>
            <w:webHidden/>
          </w:rPr>
        </w:r>
        <w:r>
          <w:rPr>
            <w:noProof/>
            <w:webHidden/>
          </w:rPr>
          <w:fldChar w:fldCharType="separate"/>
        </w:r>
        <w:r>
          <w:rPr>
            <w:noProof/>
            <w:webHidden/>
          </w:rPr>
          <w:t>90</w:t>
        </w:r>
        <w:r>
          <w:rPr>
            <w:noProof/>
            <w:webHidden/>
          </w:rPr>
          <w:fldChar w:fldCharType="end"/>
        </w:r>
      </w:hyperlink>
    </w:p>
    <w:p w14:paraId="4C8D22C8" w14:textId="6C1A6343"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69" w:history="1">
        <w:r w:rsidRPr="005D1911">
          <w:rPr>
            <w:rStyle w:val="Hyperlink"/>
            <w:noProof/>
          </w:rPr>
          <w:t>A6.10.1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_Toc214008869 \h </w:instrText>
        </w:r>
        <w:r>
          <w:rPr>
            <w:noProof/>
            <w:webHidden/>
          </w:rPr>
        </w:r>
        <w:r>
          <w:rPr>
            <w:noProof/>
            <w:webHidden/>
          </w:rPr>
          <w:fldChar w:fldCharType="separate"/>
        </w:r>
        <w:r>
          <w:rPr>
            <w:noProof/>
            <w:webHidden/>
          </w:rPr>
          <w:t>90</w:t>
        </w:r>
        <w:r>
          <w:rPr>
            <w:noProof/>
            <w:webHidden/>
          </w:rPr>
          <w:fldChar w:fldCharType="end"/>
        </w:r>
      </w:hyperlink>
    </w:p>
    <w:p w14:paraId="5D7C4239" w14:textId="16FEC0EB"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70" w:history="1">
        <w:r w:rsidRPr="005D1911">
          <w:rPr>
            <w:rStyle w:val="Hyperlink"/>
            <w:noProof/>
          </w:rPr>
          <w:t>A6.10.2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_Toc214008870 \h </w:instrText>
        </w:r>
        <w:r>
          <w:rPr>
            <w:noProof/>
            <w:webHidden/>
          </w:rPr>
        </w:r>
        <w:r>
          <w:rPr>
            <w:noProof/>
            <w:webHidden/>
          </w:rPr>
          <w:fldChar w:fldCharType="separate"/>
        </w:r>
        <w:r>
          <w:rPr>
            <w:noProof/>
            <w:webHidden/>
          </w:rPr>
          <w:t>91</w:t>
        </w:r>
        <w:r>
          <w:rPr>
            <w:noProof/>
            <w:webHidden/>
          </w:rPr>
          <w:fldChar w:fldCharType="end"/>
        </w:r>
      </w:hyperlink>
    </w:p>
    <w:p w14:paraId="0305704F" w14:textId="7B71E8DA"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71" w:history="1">
        <w:r w:rsidRPr="005D1911">
          <w:rPr>
            <w:rStyle w:val="Hyperlink"/>
            <w:rFonts w:cstheme="majorBidi"/>
            <w:noProof/>
          </w:rPr>
          <w:t>A6.10.3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_Toc214008871 \h </w:instrText>
        </w:r>
        <w:r>
          <w:rPr>
            <w:noProof/>
            <w:webHidden/>
          </w:rPr>
        </w:r>
        <w:r>
          <w:rPr>
            <w:noProof/>
            <w:webHidden/>
          </w:rPr>
          <w:fldChar w:fldCharType="separate"/>
        </w:r>
        <w:r>
          <w:rPr>
            <w:noProof/>
            <w:webHidden/>
          </w:rPr>
          <w:t>97</w:t>
        </w:r>
        <w:r>
          <w:rPr>
            <w:noProof/>
            <w:webHidden/>
          </w:rPr>
          <w:fldChar w:fldCharType="end"/>
        </w:r>
      </w:hyperlink>
    </w:p>
    <w:p w14:paraId="02B233E3" w14:textId="5EBE025F"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72" w:history="1">
        <w:r w:rsidRPr="005D1911">
          <w:rPr>
            <w:rStyle w:val="Hyperlink"/>
            <w:noProof/>
          </w:rPr>
          <w:t>A6.10.4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_Toc214008872 \h </w:instrText>
        </w:r>
        <w:r>
          <w:rPr>
            <w:noProof/>
            <w:webHidden/>
          </w:rPr>
        </w:r>
        <w:r>
          <w:rPr>
            <w:noProof/>
            <w:webHidden/>
          </w:rPr>
          <w:fldChar w:fldCharType="separate"/>
        </w:r>
        <w:r>
          <w:rPr>
            <w:noProof/>
            <w:webHidden/>
          </w:rPr>
          <w:t>98</w:t>
        </w:r>
        <w:r>
          <w:rPr>
            <w:noProof/>
            <w:webHidden/>
          </w:rPr>
          <w:fldChar w:fldCharType="end"/>
        </w:r>
      </w:hyperlink>
    </w:p>
    <w:p w14:paraId="097D2CE4" w14:textId="24E41B95" w:rsidR="00D210DD" w:rsidRDefault="00D210DD">
      <w:pPr>
        <w:pStyle w:val="TOC2"/>
        <w:tabs>
          <w:tab w:val="left" w:pos="960"/>
        </w:tabs>
        <w:rPr>
          <w:noProof/>
          <w:kern w:val="2"/>
          <w:sz w:val="24"/>
          <w:szCs w:val="24"/>
          <w:lang w:val="en-GB" w:eastAsia="en-GB"/>
          <w14:ligatures w14:val="standardContextual"/>
        </w:rPr>
      </w:pPr>
      <w:hyperlink w:anchor="_Toc214008873" w:history="1">
        <w:r w:rsidRPr="005D1911">
          <w:rPr>
            <w:rStyle w:val="Hyperlink"/>
            <w:noProof/>
          </w:rPr>
          <w:t>A6.11</w:t>
        </w:r>
        <w:r>
          <w:rPr>
            <w:noProof/>
            <w:kern w:val="2"/>
            <w:sz w:val="24"/>
            <w:szCs w:val="24"/>
            <w:lang w:val="en-GB" w:eastAsia="en-GB"/>
            <w14:ligatures w14:val="standardContextual"/>
          </w:rPr>
          <w:tab/>
        </w:r>
        <w:r w:rsidRPr="005D1911">
          <w:rPr>
            <w:rStyle w:val="Hyperlink"/>
            <w:noProof/>
          </w:rPr>
          <w:t>France</w:t>
        </w:r>
        <w:r>
          <w:rPr>
            <w:noProof/>
            <w:webHidden/>
          </w:rPr>
          <w:tab/>
        </w:r>
        <w:r>
          <w:rPr>
            <w:noProof/>
            <w:webHidden/>
          </w:rPr>
          <w:fldChar w:fldCharType="begin"/>
        </w:r>
        <w:r>
          <w:rPr>
            <w:noProof/>
            <w:webHidden/>
          </w:rPr>
          <w:instrText xml:space="preserve"> PAGEREF _Toc214008873 \h </w:instrText>
        </w:r>
        <w:r>
          <w:rPr>
            <w:noProof/>
            <w:webHidden/>
          </w:rPr>
        </w:r>
        <w:r>
          <w:rPr>
            <w:noProof/>
            <w:webHidden/>
          </w:rPr>
          <w:fldChar w:fldCharType="separate"/>
        </w:r>
        <w:r>
          <w:rPr>
            <w:noProof/>
            <w:webHidden/>
          </w:rPr>
          <w:t>100</w:t>
        </w:r>
        <w:r>
          <w:rPr>
            <w:noProof/>
            <w:webHidden/>
          </w:rPr>
          <w:fldChar w:fldCharType="end"/>
        </w:r>
      </w:hyperlink>
    </w:p>
    <w:p w14:paraId="222FCB64" w14:textId="2E76E3E7"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74" w:history="1">
        <w:r w:rsidRPr="005D1911">
          <w:rPr>
            <w:rStyle w:val="Hyperlink"/>
            <w:noProof/>
          </w:rPr>
          <w:t>A6.11.1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_Toc214008874 \h </w:instrText>
        </w:r>
        <w:r>
          <w:rPr>
            <w:noProof/>
            <w:webHidden/>
          </w:rPr>
        </w:r>
        <w:r>
          <w:rPr>
            <w:noProof/>
            <w:webHidden/>
          </w:rPr>
          <w:fldChar w:fldCharType="separate"/>
        </w:r>
        <w:r>
          <w:rPr>
            <w:noProof/>
            <w:webHidden/>
          </w:rPr>
          <w:t>100</w:t>
        </w:r>
        <w:r>
          <w:rPr>
            <w:noProof/>
            <w:webHidden/>
          </w:rPr>
          <w:fldChar w:fldCharType="end"/>
        </w:r>
      </w:hyperlink>
    </w:p>
    <w:p w14:paraId="1E9A7FC2" w14:textId="24A83E29"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75" w:history="1">
        <w:r w:rsidRPr="005D1911">
          <w:rPr>
            <w:rStyle w:val="Hyperlink"/>
            <w:noProof/>
          </w:rPr>
          <w:t>A6.11.2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_Toc214008875 \h </w:instrText>
        </w:r>
        <w:r>
          <w:rPr>
            <w:noProof/>
            <w:webHidden/>
          </w:rPr>
        </w:r>
        <w:r>
          <w:rPr>
            <w:noProof/>
            <w:webHidden/>
          </w:rPr>
          <w:fldChar w:fldCharType="separate"/>
        </w:r>
        <w:r>
          <w:rPr>
            <w:noProof/>
            <w:webHidden/>
          </w:rPr>
          <w:t>101</w:t>
        </w:r>
        <w:r>
          <w:rPr>
            <w:noProof/>
            <w:webHidden/>
          </w:rPr>
          <w:fldChar w:fldCharType="end"/>
        </w:r>
      </w:hyperlink>
    </w:p>
    <w:p w14:paraId="28240145" w14:textId="7EB6BF1A"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76" w:history="1">
        <w:r w:rsidRPr="005D1911">
          <w:rPr>
            <w:rStyle w:val="Hyperlink"/>
            <w:noProof/>
          </w:rPr>
          <w:t>A6.11.3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_Toc214008876 \h </w:instrText>
        </w:r>
        <w:r>
          <w:rPr>
            <w:noProof/>
            <w:webHidden/>
          </w:rPr>
        </w:r>
        <w:r>
          <w:rPr>
            <w:noProof/>
            <w:webHidden/>
          </w:rPr>
          <w:fldChar w:fldCharType="separate"/>
        </w:r>
        <w:r>
          <w:rPr>
            <w:noProof/>
            <w:webHidden/>
          </w:rPr>
          <w:t>105</w:t>
        </w:r>
        <w:r>
          <w:rPr>
            <w:noProof/>
            <w:webHidden/>
          </w:rPr>
          <w:fldChar w:fldCharType="end"/>
        </w:r>
      </w:hyperlink>
    </w:p>
    <w:p w14:paraId="0851705A" w14:textId="58C65C81"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77" w:history="1">
        <w:r w:rsidRPr="005D1911">
          <w:rPr>
            <w:rStyle w:val="Hyperlink"/>
            <w:noProof/>
          </w:rPr>
          <w:t>A6.11.4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_Toc214008877 \h </w:instrText>
        </w:r>
        <w:r>
          <w:rPr>
            <w:noProof/>
            <w:webHidden/>
          </w:rPr>
        </w:r>
        <w:r>
          <w:rPr>
            <w:noProof/>
            <w:webHidden/>
          </w:rPr>
          <w:fldChar w:fldCharType="separate"/>
        </w:r>
        <w:r>
          <w:rPr>
            <w:noProof/>
            <w:webHidden/>
          </w:rPr>
          <w:t>106</w:t>
        </w:r>
        <w:r>
          <w:rPr>
            <w:noProof/>
            <w:webHidden/>
          </w:rPr>
          <w:fldChar w:fldCharType="end"/>
        </w:r>
      </w:hyperlink>
    </w:p>
    <w:p w14:paraId="374FD1F9" w14:textId="0A30B0B5" w:rsidR="00D210DD" w:rsidRDefault="00D210DD">
      <w:pPr>
        <w:pStyle w:val="TOC2"/>
        <w:tabs>
          <w:tab w:val="left" w:pos="960"/>
        </w:tabs>
        <w:rPr>
          <w:noProof/>
          <w:kern w:val="2"/>
          <w:sz w:val="24"/>
          <w:szCs w:val="24"/>
          <w:lang w:val="en-GB" w:eastAsia="en-GB"/>
          <w14:ligatures w14:val="standardContextual"/>
        </w:rPr>
      </w:pPr>
      <w:hyperlink w:anchor="_Toc214008878" w:history="1">
        <w:r w:rsidRPr="005D1911">
          <w:rPr>
            <w:rStyle w:val="Hyperlink"/>
            <w:noProof/>
          </w:rPr>
          <w:t>A6.12</w:t>
        </w:r>
        <w:r>
          <w:rPr>
            <w:noProof/>
            <w:kern w:val="2"/>
            <w:sz w:val="24"/>
            <w:szCs w:val="24"/>
            <w:lang w:val="en-GB" w:eastAsia="en-GB"/>
            <w14:ligatures w14:val="standardContextual"/>
          </w:rPr>
          <w:tab/>
        </w:r>
        <w:r w:rsidRPr="005D1911">
          <w:rPr>
            <w:rStyle w:val="Hyperlink"/>
            <w:noProof/>
          </w:rPr>
          <w:t>Germany</w:t>
        </w:r>
        <w:r>
          <w:rPr>
            <w:noProof/>
            <w:webHidden/>
          </w:rPr>
          <w:tab/>
        </w:r>
        <w:r>
          <w:rPr>
            <w:noProof/>
            <w:webHidden/>
          </w:rPr>
          <w:fldChar w:fldCharType="begin"/>
        </w:r>
        <w:r>
          <w:rPr>
            <w:noProof/>
            <w:webHidden/>
          </w:rPr>
          <w:instrText xml:space="preserve"> PAGEREF _Toc214008878 \h </w:instrText>
        </w:r>
        <w:r>
          <w:rPr>
            <w:noProof/>
            <w:webHidden/>
          </w:rPr>
        </w:r>
        <w:r>
          <w:rPr>
            <w:noProof/>
            <w:webHidden/>
          </w:rPr>
          <w:fldChar w:fldCharType="separate"/>
        </w:r>
        <w:r>
          <w:rPr>
            <w:noProof/>
            <w:webHidden/>
          </w:rPr>
          <w:t>108</w:t>
        </w:r>
        <w:r>
          <w:rPr>
            <w:noProof/>
            <w:webHidden/>
          </w:rPr>
          <w:fldChar w:fldCharType="end"/>
        </w:r>
      </w:hyperlink>
    </w:p>
    <w:p w14:paraId="0C37122B" w14:textId="24DB56AB"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79" w:history="1">
        <w:r w:rsidRPr="005D1911">
          <w:rPr>
            <w:rStyle w:val="Hyperlink"/>
            <w:noProof/>
          </w:rPr>
          <w:t>A6.12.1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_Toc214008879 \h </w:instrText>
        </w:r>
        <w:r>
          <w:rPr>
            <w:noProof/>
            <w:webHidden/>
          </w:rPr>
        </w:r>
        <w:r>
          <w:rPr>
            <w:noProof/>
            <w:webHidden/>
          </w:rPr>
          <w:fldChar w:fldCharType="separate"/>
        </w:r>
        <w:r>
          <w:rPr>
            <w:noProof/>
            <w:webHidden/>
          </w:rPr>
          <w:t>108</w:t>
        </w:r>
        <w:r>
          <w:rPr>
            <w:noProof/>
            <w:webHidden/>
          </w:rPr>
          <w:fldChar w:fldCharType="end"/>
        </w:r>
      </w:hyperlink>
    </w:p>
    <w:p w14:paraId="37C0A92E" w14:textId="31EE028E"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80" w:history="1">
        <w:r w:rsidRPr="005D1911">
          <w:rPr>
            <w:rStyle w:val="Hyperlink"/>
            <w:noProof/>
          </w:rPr>
          <w:t>A6.12.2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_Toc214008880 \h </w:instrText>
        </w:r>
        <w:r>
          <w:rPr>
            <w:noProof/>
            <w:webHidden/>
          </w:rPr>
        </w:r>
        <w:r>
          <w:rPr>
            <w:noProof/>
            <w:webHidden/>
          </w:rPr>
          <w:fldChar w:fldCharType="separate"/>
        </w:r>
        <w:r>
          <w:rPr>
            <w:noProof/>
            <w:webHidden/>
          </w:rPr>
          <w:t>109</w:t>
        </w:r>
        <w:r>
          <w:rPr>
            <w:noProof/>
            <w:webHidden/>
          </w:rPr>
          <w:fldChar w:fldCharType="end"/>
        </w:r>
      </w:hyperlink>
    </w:p>
    <w:p w14:paraId="75270DF8" w14:textId="705E1ACB"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81" w:history="1">
        <w:r w:rsidRPr="005D1911">
          <w:rPr>
            <w:rStyle w:val="Hyperlink"/>
            <w:noProof/>
          </w:rPr>
          <w:t>A6.12.3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_Toc214008881 \h </w:instrText>
        </w:r>
        <w:r>
          <w:rPr>
            <w:noProof/>
            <w:webHidden/>
          </w:rPr>
        </w:r>
        <w:r>
          <w:rPr>
            <w:noProof/>
            <w:webHidden/>
          </w:rPr>
          <w:fldChar w:fldCharType="separate"/>
        </w:r>
        <w:r>
          <w:rPr>
            <w:noProof/>
            <w:webHidden/>
          </w:rPr>
          <w:t>114</w:t>
        </w:r>
        <w:r>
          <w:rPr>
            <w:noProof/>
            <w:webHidden/>
          </w:rPr>
          <w:fldChar w:fldCharType="end"/>
        </w:r>
      </w:hyperlink>
    </w:p>
    <w:p w14:paraId="764FCF23" w14:textId="037AB5A3"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82" w:history="1">
        <w:r w:rsidRPr="005D1911">
          <w:rPr>
            <w:rStyle w:val="Hyperlink"/>
            <w:noProof/>
          </w:rPr>
          <w:t>A6.12.4</w:t>
        </w:r>
        <w:r>
          <w:rPr>
            <w:noProof/>
            <w:kern w:val="2"/>
            <w:sz w:val="24"/>
            <w:szCs w:val="24"/>
            <w:lang w:val="en-GB" w:eastAsia="en-GB"/>
            <w14:ligatures w14:val="standardContextual"/>
          </w:rPr>
          <w:tab/>
        </w:r>
        <w:r w:rsidRPr="005D1911">
          <w:rPr>
            <w:rStyle w:val="Hyperlink"/>
            <w:noProof/>
          </w:rPr>
          <w:t>Impacts and feasibility of implementing new taxes</w:t>
        </w:r>
        <w:r>
          <w:rPr>
            <w:noProof/>
            <w:webHidden/>
          </w:rPr>
          <w:tab/>
        </w:r>
        <w:r>
          <w:rPr>
            <w:noProof/>
            <w:webHidden/>
          </w:rPr>
          <w:fldChar w:fldCharType="begin"/>
        </w:r>
        <w:r>
          <w:rPr>
            <w:noProof/>
            <w:webHidden/>
          </w:rPr>
          <w:instrText xml:space="preserve"> PAGEREF _Toc214008882 \h </w:instrText>
        </w:r>
        <w:r>
          <w:rPr>
            <w:noProof/>
            <w:webHidden/>
          </w:rPr>
        </w:r>
        <w:r>
          <w:rPr>
            <w:noProof/>
            <w:webHidden/>
          </w:rPr>
          <w:fldChar w:fldCharType="separate"/>
        </w:r>
        <w:r>
          <w:rPr>
            <w:noProof/>
            <w:webHidden/>
          </w:rPr>
          <w:t>115</w:t>
        </w:r>
        <w:r>
          <w:rPr>
            <w:noProof/>
            <w:webHidden/>
          </w:rPr>
          <w:fldChar w:fldCharType="end"/>
        </w:r>
      </w:hyperlink>
    </w:p>
    <w:p w14:paraId="6ECA6F11" w14:textId="5779FF30" w:rsidR="00D210DD" w:rsidRDefault="00D210DD">
      <w:pPr>
        <w:pStyle w:val="TOC2"/>
        <w:tabs>
          <w:tab w:val="left" w:pos="960"/>
        </w:tabs>
        <w:rPr>
          <w:noProof/>
          <w:kern w:val="2"/>
          <w:sz w:val="24"/>
          <w:szCs w:val="24"/>
          <w:lang w:val="en-GB" w:eastAsia="en-GB"/>
          <w14:ligatures w14:val="standardContextual"/>
        </w:rPr>
      </w:pPr>
      <w:hyperlink w:anchor="_Toc214008883" w:history="1">
        <w:r w:rsidRPr="005D1911">
          <w:rPr>
            <w:rStyle w:val="Hyperlink"/>
            <w:noProof/>
          </w:rPr>
          <w:t>A6.13</w:t>
        </w:r>
        <w:r>
          <w:rPr>
            <w:noProof/>
            <w:kern w:val="2"/>
            <w:sz w:val="24"/>
            <w:szCs w:val="24"/>
            <w:lang w:val="en-GB" w:eastAsia="en-GB"/>
            <w14:ligatures w14:val="standardContextual"/>
          </w:rPr>
          <w:tab/>
        </w:r>
        <w:r w:rsidRPr="005D1911">
          <w:rPr>
            <w:rStyle w:val="Hyperlink"/>
            <w:noProof/>
          </w:rPr>
          <w:t>Greece</w:t>
        </w:r>
        <w:r>
          <w:rPr>
            <w:noProof/>
            <w:webHidden/>
          </w:rPr>
          <w:tab/>
        </w:r>
        <w:r>
          <w:rPr>
            <w:noProof/>
            <w:webHidden/>
          </w:rPr>
          <w:fldChar w:fldCharType="begin"/>
        </w:r>
        <w:r>
          <w:rPr>
            <w:noProof/>
            <w:webHidden/>
          </w:rPr>
          <w:instrText xml:space="preserve"> PAGEREF _Toc214008883 \h </w:instrText>
        </w:r>
        <w:r>
          <w:rPr>
            <w:noProof/>
            <w:webHidden/>
          </w:rPr>
        </w:r>
        <w:r>
          <w:rPr>
            <w:noProof/>
            <w:webHidden/>
          </w:rPr>
          <w:fldChar w:fldCharType="separate"/>
        </w:r>
        <w:r>
          <w:rPr>
            <w:noProof/>
            <w:webHidden/>
          </w:rPr>
          <w:t>118</w:t>
        </w:r>
        <w:r>
          <w:rPr>
            <w:noProof/>
            <w:webHidden/>
          </w:rPr>
          <w:fldChar w:fldCharType="end"/>
        </w:r>
      </w:hyperlink>
    </w:p>
    <w:p w14:paraId="6713DB08" w14:textId="6EC82C09"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84" w:history="1">
        <w:r w:rsidRPr="005D1911">
          <w:rPr>
            <w:rStyle w:val="Hyperlink"/>
            <w:noProof/>
          </w:rPr>
          <w:t>A6.13.1</w:t>
        </w:r>
        <w:r>
          <w:rPr>
            <w:noProof/>
            <w:kern w:val="2"/>
            <w:sz w:val="24"/>
            <w:szCs w:val="24"/>
            <w:lang w:val="en-GB" w:eastAsia="en-GB"/>
            <w14:ligatures w14:val="standardContextual"/>
          </w:rPr>
          <w:tab/>
        </w:r>
        <w:r w:rsidRPr="005D1911">
          <w:rPr>
            <w:rStyle w:val="Hyperlink"/>
            <w:noProof/>
          </w:rPr>
          <w:t>Overview of environmental taxes</w:t>
        </w:r>
        <w:r>
          <w:rPr>
            <w:noProof/>
            <w:webHidden/>
          </w:rPr>
          <w:tab/>
        </w:r>
        <w:r>
          <w:rPr>
            <w:noProof/>
            <w:webHidden/>
          </w:rPr>
          <w:fldChar w:fldCharType="begin"/>
        </w:r>
        <w:r>
          <w:rPr>
            <w:noProof/>
            <w:webHidden/>
          </w:rPr>
          <w:instrText xml:space="preserve"> PAGEREF _Toc214008884 \h </w:instrText>
        </w:r>
        <w:r>
          <w:rPr>
            <w:noProof/>
            <w:webHidden/>
          </w:rPr>
        </w:r>
        <w:r>
          <w:rPr>
            <w:noProof/>
            <w:webHidden/>
          </w:rPr>
          <w:fldChar w:fldCharType="separate"/>
        </w:r>
        <w:r>
          <w:rPr>
            <w:noProof/>
            <w:webHidden/>
          </w:rPr>
          <w:t>118</w:t>
        </w:r>
        <w:r>
          <w:rPr>
            <w:noProof/>
            <w:webHidden/>
          </w:rPr>
          <w:fldChar w:fldCharType="end"/>
        </w:r>
      </w:hyperlink>
    </w:p>
    <w:p w14:paraId="7FC6A57B" w14:textId="278B1C35"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85" w:history="1">
        <w:r w:rsidRPr="005D1911">
          <w:rPr>
            <w:rStyle w:val="Hyperlink"/>
            <w:noProof/>
          </w:rPr>
          <w:t>A6.13.2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_Toc214008885 \h </w:instrText>
        </w:r>
        <w:r>
          <w:rPr>
            <w:noProof/>
            <w:webHidden/>
          </w:rPr>
        </w:r>
        <w:r>
          <w:rPr>
            <w:noProof/>
            <w:webHidden/>
          </w:rPr>
          <w:fldChar w:fldCharType="separate"/>
        </w:r>
        <w:r>
          <w:rPr>
            <w:noProof/>
            <w:webHidden/>
          </w:rPr>
          <w:t>119</w:t>
        </w:r>
        <w:r>
          <w:rPr>
            <w:noProof/>
            <w:webHidden/>
          </w:rPr>
          <w:fldChar w:fldCharType="end"/>
        </w:r>
      </w:hyperlink>
    </w:p>
    <w:p w14:paraId="02C76F40" w14:textId="2832AD18"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86" w:history="1">
        <w:r w:rsidRPr="005D1911">
          <w:rPr>
            <w:rStyle w:val="Hyperlink"/>
            <w:noProof/>
          </w:rPr>
          <w:t>A6.13.3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_Toc214008886 \h </w:instrText>
        </w:r>
        <w:r>
          <w:rPr>
            <w:noProof/>
            <w:webHidden/>
          </w:rPr>
        </w:r>
        <w:r>
          <w:rPr>
            <w:noProof/>
            <w:webHidden/>
          </w:rPr>
          <w:fldChar w:fldCharType="separate"/>
        </w:r>
        <w:r>
          <w:rPr>
            <w:noProof/>
            <w:webHidden/>
          </w:rPr>
          <w:t>123</w:t>
        </w:r>
        <w:r>
          <w:rPr>
            <w:noProof/>
            <w:webHidden/>
          </w:rPr>
          <w:fldChar w:fldCharType="end"/>
        </w:r>
      </w:hyperlink>
    </w:p>
    <w:p w14:paraId="38039EA0" w14:textId="6D59A0D1"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87" w:history="1">
        <w:r w:rsidRPr="005D1911">
          <w:rPr>
            <w:rStyle w:val="Hyperlink"/>
            <w:noProof/>
          </w:rPr>
          <w:t>A6.13.4</w:t>
        </w:r>
        <w:r>
          <w:rPr>
            <w:noProof/>
            <w:kern w:val="2"/>
            <w:sz w:val="24"/>
            <w:szCs w:val="24"/>
            <w:lang w:val="en-GB" w:eastAsia="en-GB"/>
            <w14:ligatures w14:val="standardContextual"/>
          </w:rPr>
          <w:tab/>
        </w:r>
        <w:r w:rsidRPr="005D1911">
          <w:rPr>
            <w:rStyle w:val="Hyperlink"/>
            <w:noProof/>
          </w:rPr>
          <w:t>Impacts and feasibility of implementing new taxes</w:t>
        </w:r>
        <w:r>
          <w:rPr>
            <w:noProof/>
            <w:webHidden/>
          </w:rPr>
          <w:tab/>
        </w:r>
        <w:r>
          <w:rPr>
            <w:noProof/>
            <w:webHidden/>
          </w:rPr>
          <w:fldChar w:fldCharType="begin"/>
        </w:r>
        <w:r>
          <w:rPr>
            <w:noProof/>
            <w:webHidden/>
          </w:rPr>
          <w:instrText xml:space="preserve"> PAGEREF _Toc214008887 \h </w:instrText>
        </w:r>
        <w:r>
          <w:rPr>
            <w:noProof/>
            <w:webHidden/>
          </w:rPr>
        </w:r>
        <w:r>
          <w:rPr>
            <w:noProof/>
            <w:webHidden/>
          </w:rPr>
          <w:fldChar w:fldCharType="separate"/>
        </w:r>
        <w:r>
          <w:rPr>
            <w:noProof/>
            <w:webHidden/>
          </w:rPr>
          <w:t>123</w:t>
        </w:r>
        <w:r>
          <w:rPr>
            <w:noProof/>
            <w:webHidden/>
          </w:rPr>
          <w:fldChar w:fldCharType="end"/>
        </w:r>
      </w:hyperlink>
    </w:p>
    <w:p w14:paraId="7DE938B0" w14:textId="73C519F1" w:rsidR="00D210DD" w:rsidRDefault="00D210DD">
      <w:pPr>
        <w:pStyle w:val="TOC2"/>
        <w:tabs>
          <w:tab w:val="left" w:pos="960"/>
        </w:tabs>
        <w:rPr>
          <w:noProof/>
          <w:kern w:val="2"/>
          <w:sz w:val="24"/>
          <w:szCs w:val="24"/>
          <w:lang w:val="en-GB" w:eastAsia="en-GB"/>
          <w14:ligatures w14:val="standardContextual"/>
        </w:rPr>
      </w:pPr>
      <w:hyperlink w:anchor="_Toc214008888" w:history="1">
        <w:r w:rsidRPr="005D1911">
          <w:rPr>
            <w:rStyle w:val="Hyperlink"/>
            <w:noProof/>
          </w:rPr>
          <w:t>A6.14</w:t>
        </w:r>
        <w:r>
          <w:rPr>
            <w:noProof/>
            <w:kern w:val="2"/>
            <w:sz w:val="24"/>
            <w:szCs w:val="24"/>
            <w:lang w:val="en-GB" w:eastAsia="en-GB"/>
            <w14:ligatures w14:val="standardContextual"/>
          </w:rPr>
          <w:tab/>
        </w:r>
        <w:r w:rsidRPr="005D1911">
          <w:rPr>
            <w:rStyle w:val="Hyperlink"/>
            <w:noProof/>
          </w:rPr>
          <w:t>Hungary</w:t>
        </w:r>
        <w:r>
          <w:rPr>
            <w:noProof/>
            <w:webHidden/>
          </w:rPr>
          <w:tab/>
        </w:r>
        <w:r>
          <w:rPr>
            <w:noProof/>
            <w:webHidden/>
          </w:rPr>
          <w:fldChar w:fldCharType="begin"/>
        </w:r>
        <w:r>
          <w:rPr>
            <w:noProof/>
            <w:webHidden/>
          </w:rPr>
          <w:instrText xml:space="preserve"> PAGEREF _Toc214008888 \h </w:instrText>
        </w:r>
        <w:r>
          <w:rPr>
            <w:noProof/>
            <w:webHidden/>
          </w:rPr>
        </w:r>
        <w:r>
          <w:rPr>
            <w:noProof/>
            <w:webHidden/>
          </w:rPr>
          <w:fldChar w:fldCharType="separate"/>
        </w:r>
        <w:r>
          <w:rPr>
            <w:noProof/>
            <w:webHidden/>
          </w:rPr>
          <w:t>126</w:t>
        </w:r>
        <w:r>
          <w:rPr>
            <w:noProof/>
            <w:webHidden/>
          </w:rPr>
          <w:fldChar w:fldCharType="end"/>
        </w:r>
      </w:hyperlink>
    </w:p>
    <w:p w14:paraId="7730C39A" w14:textId="57A17AFB"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89" w:history="1">
        <w:r w:rsidRPr="005D1911">
          <w:rPr>
            <w:rStyle w:val="Hyperlink"/>
            <w:noProof/>
          </w:rPr>
          <w:t>A6.14.1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_Toc214008889 \h </w:instrText>
        </w:r>
        <w:r>
          <w:rPr>
            <w:noProof/>
            <w:webHidden/>
          </w:rPr>
        </w:r>
        <w:r>
          <w:rPr>
            <w:noProof/>
            <w:webHidden/>
          </w:rPr>
          <w:fldChar w:fldCharType="separate"/>
        </w:r>
        <w:r>
          <w:rPr>
            <w:noProof/>
            <w:webHidden/>
          </w:rPr>
          <w:t>126</w:t>
        </w:r>
        <w:r>
          <w:rPr>
            <w:noProof/>
            <w:webHidden/>
          </w:rPr>
          <w:fldChar w:fldCharType="end"/>
        </w:r>
      </w:hyperlink>
    </w:p>
    <w:p w14:paraId="24CCDAF7" w14:textId="06F2E551"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90" w:history="1">
        <w:r w:rsidRPr="005D1911">
          <w:rPr>
            <w:rStyle w:val="Hyperlink"/>
            <w:noProof/>
          </w:rPr>
          <w:t>A6.14.2</w:t>
        </w:r>
        <w:r>
          <w:rPr>
            <w:noProof/>
            <w:kern w:val="2"/>
            <w:sz w:val="24"/>
            <w:szCs w:val="24"/>
            <w:lang w:val="en-GB" w:eastAsia="en-GB"/>
            <w14:ligatures w14:val="standardContextual"/>
          </w:rPr>
          <w:tab/>
        </w:r>
        <w:r w:rsidRPr="005D1911">
          <w:rPr>
            <w:rStyle w:val="Hyperlink"/>
            <w:noProof/>
          </w:rPr>
          <w:t>Pollution and resource taxes</w:t>
        </w:r>
        <w:r>
          <w:rPr>
            <w:noProof/>
            <w:webHidden/>
          </w:rPr>
          <w:tab/>
        </w:r>
        <w:r>
          <w:rPr>
            <w:noProof/>
            <w:webHidden/>
          </w:rPr>
          <w:fldChar w:fldCharType="begin"/>
        </w:r>
        <w:r>
          <w:rPr>
            <w:noProof/>
            <w:webHidden/>
          </w:rPr>
          <w:instrText xml:space="preserve"> PAGEREF _Toc214008890 \h </w:instrText>
        </w:r>
        <w:r>
          <w:rPr>
            <w:noProof/>
            <w:webHidden/>
          </w:rPr>
        </w:r>
        <w:r>
          <w:rPr>
            <w:noProof/>
            <w:webHidden/>
          </w:rPr>
          <w:fldChar w:fldCharType="separate"/>
        </w:r>
        <w:r>
          <w:rPr>
            <w:noProof/>
            <w:webHidden/>
          </w:rPr>
          <w:t>127</w:t>
        </w:r>
        <w:r>
          <w:rPr>
            <w:noProof/>
            <w:webHidden/>
          </w:rPr>
          <w:fldChar w:fldCharType="end"/>
        </w:r>
      </w:hyperlink>
    </w:p>
    <w:p w14:paraId="61F8FE7C" w14:textId="4843DD9F"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91" w:history="1">
        <w:r w:rsidRPr="005D1911">
          <w:rPr>
            <w:rStyle w:val="Hyperlink"/>
            <w:noProof/>
          </w:rPr>
          <w:t>A6.14.3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_Toc214008891 \h </w:instrText>
        </w:r>
        <w:r>
          <w:rPr>
            <w:noProof/>
            <w:webHidden/>
          </w:rPr>
        </w:r>
        <w:r>
          <w:rPr>
            <w:noProof/>
            <w:webHidden/>
          </w:rPr>
          <w:fldChar w:fldCharType="separate"/>
        </w:r>
        <w:r>
          <w:rPr>
            <w:noProof/>
            <w:webHidden/>
          </w:rPr>
          <w:t>131</w:t>
        </w:r>
        <w:r>
          <w:rPr>
            <w:noProof/>
            <w:webHidden/>
          </w:rPr>
          <w:fldChar w:fldCharType="end"/>
        </w:r>
      </w:hyperlink>
    </w:p>
    <w:p w14:paraId="2847C333" w14:textId="23290889"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92" w:history="1">
        <w:r w:rsidRPr="005D1911">
          <w:rPr>
            <w:rStyle w:val="Hyperlink"/>
            <w:noProof/>
          </w:rPr>
          <w:t>A6.14.4</w:t>
        </w:r>
        <w:r>
          <w:rPr>
            <w:noProof/>
            <w:kern w:val="2"/>
            <w:sz w:val="24"/>
            <w:szCs w:val="24"/>
            <w:lang w:val="en-GB" w:eastAsia="en-GB"/>
            <w14:ligatures w14:val="standardContextual"/>
          </w:rPr>
          <w:tab/>
        </w:r>
        <w:r w:rsidRPr="005D1911">
          <w:rPr>
            <w:rStyle w:val="Hyperlink"/>
            <w:noProof/>
          </w:rPr>
          <w:t>Impacts and feasibility of implementing new taxes</w:t>
        </w:r>
        <w:r>
          <w:rPr>
            <w:noProof/>
            <w:webHidden/>
          </w:rPr>
          <w:tab/>
        </w:r>
        <w:r>
          <w:rPr>
            <w:noProof/>
            <w:webHidden/>
          </w:rPr>
          <w:fldChar w:fldCharType="begin"/>
        </w:r>
        <w:r>
          <w:rPr>
            <w:noProof/>
            <w:webHidden/>
          </w:rPr>
          <w:instrText xml:space="preserve"> PAGEREF _Toc214008892 \h </w:instrText>
        </w:r>
        <w:r>
          <w:rPr>
            <w:noProof/>
            <w:webHidden/>
          </w:rPr>
        </w:r>
        <w:r>
          <w:rPr>
            <w:noProof/>
            <w:webHidden/>
          </w:rPr>
          <w:fldChar w:fldCharType="separate"/>
        </w:r>
        <w:r>
          <w:rPr>
            <w:noProof/>
            <w:webHidden/>
          </w:rPr>
          <w:t>132</w:t>
        </w:r>
        <w:r>
          <w:rPr>
            <w:noProof/>
            <w:webHidden/>
          </w:rPr>
          <w:fldChar w:fldCharType="end"/>
        </w:r>
      </w:hyperlink>
    </w:p>
    <w:p w14:paraId="6418416F" w14:textId="437174E7" w:rsidR="00D210DD" w:rsidRDefault="00D210DD">
      <w:pPr>
        <w:pStyle w:val="TOC2"/>
        <w:tabs>
          <w:tab w:val="left" w:pos="960"/>
        </w:tabs>
        <w:rPr>
          <w:noProof/>
          <w:kern w:val="2"/>
          <w:sz w:val="24"/>
          <w:szCs w:val="24"/>
          <w:lang w:val="en-GB" w:eastAsia="en-GB"/>
          <w14:ligatures w14:val="standardContextual"/>
        </w:rPr>
      </w:pPr>
      <w:hyperlink w:anchor="_Toc214008893" w:history="1">
        <w:r w:rsidRPr="005D1911">
          <w:rPr>
            <w:rStyle w:val="Hyperlink"/>
            <w:noProof/>
          </w:rPr>
          <w:t>A6.15</w:t>
        </w:r>
        <w:r>
          <w:rPr>
            <w:noProof/>
            <w:kern w:val="2"/>
            <w:sz w:val="24"/>
            <w:szCs w:val="24"/>
            <w:lang w:val="en-GB" w:eastAsia="en-GB"/>
            <w14:ligatures w14:val="standardContextual"/>
          </w:rPr>
          <w:tab/>
        </w:r>
        <w:r w:rsidRPr="005D1911">
          <w:rPr>
            <w:rStyle w:val="Hyperlink"/>
            <w:noProof/>
          </w:rPr>
          <w:t>Ireland</w:t>
        </w:r>
        <w:r>
          <w:rPr>
            <w:noProof/>
            <w:webHidden/>
          </w:rPr>
          <w:tab/>
        </w:r>
        <w:r>
          <w:rPr>
            <w:noProof/>
            <w:webHidden/>
          </w:rPr>
          <w:fldChar w:fldCharType="begin"/>
        </w:r>
        <w:r>
          <w:rPr>
            <w:noProof/>
            <w:webHidden/>
          </w:rPr>
          <w:instrText xml:space="preserve"> PAGEREF _Toc214008893 \h </w:instrText>
        </w:r>
        <w:r>
          <w:rPr>
            <w:noProof/>
            <w:webHidden/>
          </w:rPr>
        </w:r>
        <w:r>
          <w:rPr>
            <w:noProof/>
            <w:webHidden/>
          </w:rPr>
          <w:fldChar w:fldCharType="separate"/>
        </w:r>
        <w:r>
          <w:rPr>
            <w:noProof/>
            <w:webHidden/>
          </w:rPr>
          <w:t>134</w:t>
        </w:r>
        <w:r>
          <w:rPr>
            <w:noProof/>
            <w:webHidden/>
          </w:rPr>
          <w:fldChar w:fldCharType="end"/>
        </w:r>
      </w:hyperlink>
    </w:p>
    <w:p w14:paraId="11932B39" w14:textId="4A7C6B21"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94" w:history="1">
        <w:r w:rsidRPr="005D1911">
          <w:rPr>
            <w:rStyle w:val="Hyperlink"/>
            <w:noProof/>
          </w:rPr>
          <w:t>A6.15.1</w:t>
        </w:r>
        <w:r>
          <w:rPr>
            <w:noProof/>
            <w:kern w:val="2"/>
            <w:sz w:val="24"/>
            <w:szCs w:val="24"/>
            <w:lang w:val="en-GB" w:eastAsia="en-GB"/>
            <w14:ligatures w14:val="standardContextual"/>
          </w:rPr>
          <w:tab/>
        </w:r>
        <w:r w:rsidRPr="005D1911">
          <w:rPr>
            <w:rStyle w:val="Hyperlink"/>
            <w:noProof/>
          </w:rPr>
          <w:t>Overview of environmental taxes in Ireland</w:t>
        </w:r>
        <w:r>
          <w:rPr>
            <w:noProof/>
            <w:webHidden/>
          </w:rPr>
          <w:tab/>
        </w:r>
        <w:r>
          <w:rPr>
            <w:noProof/>
            <w:webHidden/>
          </w:rPr>
          <w:fldChar w:fldCharType="begin"/>
        </w:r>
        <w:r>
          <w:rPr>
            <w:noProof/>
            <w:webHidden/>
          </w:rPr>
          <w:instrText xml:space="preserve"> PAGEREF _Toc214008894 \h </w:instrText>
        </w:r>
        <w:r>
          <w:rPr>
            <w:noProof/>
            <w:webHidden/>
          </w:rPr>
        </w:r>
        <w:r>
          <w:rPr>
            <w:noProof/>
            <w:webHidden/>
          </w:rPr>
          <w:fldChar w:fldCharType="separate"/>
        </w:r>
        <w:r>
          <w:rPr>
            <w:noProof/>
            <w:webHidden/>
          </w:rPr>
          <w:t>134</w:t>
        </w:r>
        <w:r>
          <w:rPr>
            <w:noProof/>
            <w:webHidden/>
          </w:rPr>
          <w:fldChar w:fldCharType="end"/>
        </w:r>
      </w:hyperlink>
    </w:p>
    <w:p w14:paraId="55EDF2C3" w14:textId="425742F6"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95" w:history="1">
        <w:r w:rsidRPr="005D1911">
          <w:rPr>
            <w:rStyle w:val="Hyperlink"/>
            <w:noProof/>
          </w:rPr>
          <w:t>A6.15.2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_Toc214008895 \h </w:instrText>
        </w:r>
        <w:r>
          <w:rPr>
            <w:noProof/>
            <w:webHidden/>
          </w:rPr>
        </w:r>
        <w:r>
          <w:rPr>
            <w:noProof/>
            <w:webHidden/>
          </w:rPr>
          <w:fldChar w:fldCharType="separate"/>
        </w:r>
        <w:r>
          <w:rPr>
            <w:noProof/>
            <w:webHidden/>
          </w:rPr>
          <w:t>135</w:t>
        </w:r>
        <w:r>
          <w:rPr>
            <w:noProof/>
            <w:webHidden/>
          </w:rPr>
          <w:fldChar w:fldCharType="end"/>
        </w:r>
      </w:hyperlink>
    </w:p>
    <w:p w14:paraId="24870081" w14:textId="1D34D3CF"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96" w:history="1">
        <w:r w:rsidRPr="005D1911">
          <w:rPr>
            <w:rStyle w:val="Hyperlink"/>
            <w:noProof/>
          </w:rPr>
          <w:t>A6.15.3</w:t>
        </w:r>
        <w:r>
          <w:rPr>
            <w:noProof/>
            <w:kern w:val="2"/>
            <w:sz w:val="24"/>
            <w:szCs w:val="24"/>
            <w:lang w:val="en-GB" w:eastAsia="en-GB"/>
            <w14:ligatures w14:val="standardContextual"/>
          </w:rPr>
          <w:tab/>
        </w:r>
        <w:r w:rsidRPr="005D1911">
          <w:rPr>
            <w:rStyle w:val="Hyperlink"/>
            <w:noProof/>
          </w:rPr>
          <w:t>Potential for new environmental taxes</w:t>
        </w:r>
        <w:r>
          <w:rPr>
            <w:noProof/>
            <w:webHidden/>
          </w:rPr>
          <w:tab/>
        </w:r>
        <w:r>
          <w:rPr>
            <w:noProof/>
            <w:webHidden/>
          </w:rPr>
          <w:fldChar w:fldCharType="begin"/>
        </w:r>
        <w:r>
          <w:rPr>
            <w:noProof/>
            <w:webHidden/>
          </w:rPr>
          <w:instrText xml:space="preserve"> PAGEREF _Toc214008896 \h </w:instrText>
        </w:r>
        <w:r>
          <w:rPr>
            <w:noProof/>
            <w:webHidden/>
          </w:rPr>
        </w:r>
        <w:r>
          <w:rPr>
            <w:noProof/>
            <w:webHidden/>
          </w:rPr>
          <w:fldChar w:fldCharType="separate"/>
        </w:r>
        <w:r>
          <w:rPr>
            <w:noProof/>
            <w:webHidden/>
          </w:rPr>
          <w:t>139</w:t>
        </w:r>
        <w:r>
          <w:rPr>
            <w:noProof/>
            <w:webHidden/>
          </w:rPr>
          <w:fldChar w:fldCharType="end"/>
        </w:r>
      </w:hyperlink>
    </w:p>
    <w:p w14:paraId="6A2B0A49" w14:textId="53CFB38D"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97" w:history="1">
        <w:r w:rsidRPr="005D1911">
          <w:rPr>
            <w:rStyle w:val="Hyperlink"/>
            <w:noProof/>
          </w:rPr>
          <w:t>A6.15.4</w:t>
        </w:r>
        <w:r>
          <w:rPr>
            <w:noProof/>
            <w:kern w:val="2"/>
            <w:sz w:val="24"/>
            <w:szCs w:val="24"/>
            <w:lang w:val="en-GB" w:eastAsia="en-GB"/>
            <w14:ligatures w14:val="standardContextual"/>
          </w:rPr>
          <w:tab/>
        </w:r>
        <w:r w:rsidRPr="005D1911">
          <w:rPr>
            <w:rStyle w:val="Hyperlink"/>
            <w:noProof/>
          </w:rPr>
          <w:t>Impacts and feasibility of implementing new taxes</w:t>
        </w:r>
        <w:r>
          <w:rPr>
            <w:noProof/>
            <w:webHidden/>
          </w:rPr>
          <w:tab/>
        </w:r>
        <w:r>
          <w:rPr>
            <w:noProof/>
            <w:webHidden/>
          </w:rPr>
          <w:fldChar w:fldCharType="begin"/>
        </w:r>
        <w:r>
          <w:rPr>
            <w:noProof/>
            <w:webHidden/>
          </w:rPr>
          <w:instrText xml:space="preserve"> PAGEREF _Toc214008897 \h </w:instrText>
        </w:r>
        <w:r>
          <w:rPr>
            <w:noProof/>
            <w:webHidden/>
          </w:rPr>
        </w:r>
        <w:r>
          <w:rPr>
            <w:noProof/>
            <w:webHidden/>
          </w:rPr>
          <w:fldChar w:fldCharType="separate"/>
        </w:r>
        <w:r>
          <w:rPr>
            <w:noProof/>
            <w:webHidden/>
          </w:rPr>
          <w:t>140</w:t>
        </w:r>
        <w:r>
          <w:rPr>
            <w:noProof/>
            <w:webHidden/>
          </w:rPr>
          <w:fldChar w:fldCharType="end"/>
        </w:r>
      </w:hyperlink>
    </w:p>
    <w:p w14:paraId="10367FEB" w14:textId="361D17E1" w:rsidR="00D210DD" w:rsidRDefault="00D210DD">
      <w:pPr>
        <w:pStyle w:val="TOC2"/>
        <w:tabs>
          <w:tab w:val="left" w:pos="960"/>
        </w:tabs>
        <w:rPr>
          <w:noProof/>
          <w:kern w:val="2"/>
          <w:sz w:val="24"/>
          <w:szCs w:val="24"/>
          <w:lang w:val="en-GB" w:eastAsia="en-GB"/>
          <w14:ligatures w14:val="standardContextual"/>
        </w:rPr>
      </w:pPr>
      <w:hyperlink w:anchor="_Toc214008898" w:history="1">
        <w:r w:rsidRPr="005D1911">
          <w:rPr>
            <w:rStyle w:val="Hyperlink"/>
            <w:noProof/>
          </w:rPr>
          <w:t>A6.16</w:t>
        </w:r>
        <w:r>
          <w:rPr>
            <w:noProof/>
            <w:kern w:val="2"/>
            <w:sz w:val="24"/>
            <w:szCs w:val="24"/>
            <w:lang w:val="en-GB" w:eastAsia="en-GB"/>
            <w14:ligatures w14:val="standardContextual"/>
          </w:rPr>
          <w:tab/>
        </w:r>
        <w:r w:rsidRPr="005D1911">
          <w:rPr>
            <w:rStyle w:val="Hyperlink"/>
            <w:noProof/>
          </w:rPr>
          <w:t>Italy</w:t>
        </w:r>
        <w:r>
          <w:rPr>
            <w:noProof/>
            <w:webHidden/>
          </w:rPr>
          <w:tab/>
        </w:r>
        <w:r>
          <w:rPr>
            <w:noProof/>
            <w:webHidden/>
          </w:rPr>
          <w:fldChar w:fldCharType="begin"/>
        </w:r>
        <w:r>
          <w:rPr>
            <w:noProof/>
            <w:webHidden/>
          </w:rPr>
          <w:instrText xml:space="preserve"> PAGEREF _Toc214008898 \h </w:instrText>
        </w:r>
        <w:r>
          <w:rPr>
            <w:noProof/>
            <w:webHidden/>
          </w:rPr>
        </w:r>
        <w:r>
          <w:rPr>
            <w:noProof/>
            <w:webHidden/>
          </w:rPr>
          <w:fldChar w:fldCharType="separate"/>
        </w:r>
        <w:r>
          <w:rPr>
            <w:noProof/>
            <w:webHidden/>
          </w:rPr>
          <w:t>143</w:t>
        </w:r>
        <w:r>
          <w:rPr>
            <w:noProof/>
            <w:webHidden/>
          </w:rPr>
          <w:fldChar w:fldCharType="end"/>
        </w:r>
      </w:hyperlink>
    </w:p>
    <w:p w14:paraId="15D61558" w14:textId="02C7CE10"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899" w:history="1">
        <w:r w:rsidRPr="005D1911">
          <w:rPr>
            <w:rStyle w:val="Hyperlink"/>
            <w:noProof/>
          </w:rPr>
          <w:t>A6.16.1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_Toc214008899 \h </w:instrText>
        </w:r>
        <w:r>
          <w:rPr>
            <w:noProof/>
            <w:webHidden/>
          </w:rPr>
        </w:r>
        <w:r>
          <w:rPr>
            <w:noProof/>
            <w:webHidden/>
          </w:rPr>
          <w:fldChar w:fldCharType="separate"/>
        </w:r>
        <w:r>
          <w:rPr>
            <w:noProof/>
            <w:webHidden/>
          </w:rPr>
          <w:t>143</w:t>
        </w:r>
        <w:r>
          <w:rPr>
            <w:noProof/>
            <w:webHidden/>
          </w:rPr>
          <w:fldChar w:fldCharType="end"/>
        </w:r>
      </w:hyperlink>
    </w:p>
    <w:p w14:paraId="50FD8292" w14:textId="13E15D4C"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00" w:history="1">
        <w:r w:rsidRPr="005D1911">
          <w:rPr>
            <w:rStyle w:val="Hyperlink"/>
            <w:noProof/>
          </w:rPr>
          <w:t>A6.16.2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_Toc214008900 \h </w:instrText>
        </w:r>
        <w:r>
          <w:rPr>
            <w:noProof/>
            <w:webHidden/>
          </w:rPr>
        </w:r>
        <w:r>
          <w:rPr>
            <w:noProof/>
            <w:webHidden/>
          </w:rPr>
          <w:fldChar w:fldCharType="separate"/>
        </w:r>
        <w:r>
          <w:rPr>
            <w:noProof/>
            <w:webHidden/>
          </w:rPr>
          <w:t>144</w:t>
        </w:r>
        <w:r>
          <w:rPr>
            <w:noProof/>
            <w:webHidden/>
          </w:rPr>
          <w:fldChar w:fldCharType="end"/>
        </w:r>
      </w:hyperlink>
    </w:p>
    <w:p w14:paraId="2886FE52" w14:textId="696D7FCA"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01" w:history="1">
        <w:r w:rsidRPr="005D1911">
          <w:rPr>
            <w:rStyle w:val="Hyperlink"/>
            <w:noProof/>
          </w:rPr>
          <w:t>A6.16.3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_Toc214008901 \h </w:instrText>
        </w:r>
        <w:r>
          <w:rPr>
            <w:noProof/>
            <w:webHidden/>
          </w:rPr>
        </w:r>
        <w:r>
          <w:rPr>
            <w:noProof/>
            <w:webHidden/>
          </w:rPr>
          <w:fldChar w:fldCharType="separate"/>
        </w:r>
        <w:r>
          <w:rPr>
            <w:noProof/>
            <w:webHidden/>
          </w:rPr>
          <w:t>149</w:t>
        </w:r>
        <w:r>
          <w:rPr>
            <w:noProof/>
            <w:webHidden/>
          </w:rPr>
          <w:fldChar w:fldCharType="end"/>
        </w:r>
      </w:hyperlink>
    </w:p>
    <w:p w14:paraId="5DD75D1D" w14:textId="40152ADF"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02" w:history="1">
        <w:r w:rsidRPr="005D1911">
          <w:rPr>
            <w:rStyle w:val="Hyperlink"/>
            <w:noProof/>
          </w:rPr>
          <w:t>A6.16.4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_Toc214008902 \h </w:instrText>
        </w:r>
        <w:r>
          <w:rPr>
            <w:noProof/>
            <w:webHidden/>
          </w:rPr>
        </w:r>
        <w:r>
          <w:rPr>
            <w:noProof/>
            <w:webHidden/>
          </w:rPr>
          <w:fldChar w:fldCharType="separate"/>
        </w:r>
        <w:r>
          <w:rPr>
            <w:noProof/>
            <w:webHidden/>
          </w:rPr>
          <w:t>150</w:t>
        </w:r>
        <w:r>
          <w:rPr>
            <w:noProof/>
            <w:webHidden/>
          </w:rPr>
          <w:fldChar w:fldCharType="end"/>
        </w:r>
      </w:hyperlink>
    </w:p>
    <w:p w14:paraId="2A1C0CC2" w14:textId="1C69F0C3" w:rsidR="00D210DD" w:rsidRDefault="00D210DD">
      <w:pPr>
        <w:pStyle w:val="TOC2"/>
        <w:tabs>
          <w:tab w:val="left" w:pos="960"/>
        </w:tabs>
        <w:rPr>
          <w:noProof/>
          <w:kern w:val="2"/>
          <w:sz w:val="24"/>
          <w:szCs w:val="24"/>
          <w:lang w:val="en-GB" w:eastAsia="en-GB"/>
          <w14:ligatures w14:val="standardContextual"/>
        </w:rPr>
      </w:pPr>
      <w:hyperlink w:anchor="_Toc214008903" w:history="1">
        <w:r w:rsidRPr="005D1911">
          <w:rPr>
            <w:rStyle w:val="Hyperlink"/>
            <w:noProof/>
          </w:rPr>
          <w:t>A6.17</w:t>
        </w:r>
        <w:r>
          <w:rPr>
            <w:noProof/>
            <w:kern w:val="2"/>
            <w:sz w:val="24"/>
            <w:szCs w:val="24"/>
            <w:lang w:val="en-GB" w:eastAsia="en-GB"/>
            <w14:ligatures w14:val="standardContextual"/>
          </w:rPr>
          <w:tab/>
        </w:r>
        <w:r w:rsidRPr="005D1911">
          <w:rPr>
            <w:rStyle w:val="Hyperlink"/>
            <w:noProof/>
          </w:rPr>
          <w:t>Latvia</w:t>
        </w:r>
        <w:r>
          <w:rPr>
            <w:noProof/>
            <w:webHidden/>
          </w:rPr>
          <w:tab/>
        </w:r>
        <w:r>
          <w:rPr>
            <w:noProof/>
            <w:webHidden/>
          </w:rPr>
          <w:fldChar w:fldCharType="begin"/>
        </w:r>
        <w:r>
          <w:rPr>
            <w:noProof/>
            <w:webHidden/>
          </w:rPr>
          <w:instrText xml:space="preserve"> PAGEREF _Toc214008903 \h </w:instrText>
        </w:r>
        <w:r>
          <w:rPr>
            <w:noProof/>
            <w:webHidden/>
          </w:rPr>
        </w:r>
        <w:r>
          <w:rPr>
            <w:noProof/>
            <w:webHidden/>
          </w:rPr>
          <w:fldChar w:fldCharType="separate"/>
        </w:r>
        <w:r>
          <w:rPr>
            <w:noProof/>
            <w:webHidden/>
          </w:rPr>
          <w:t>153</w:t>
        </w:r>
        <w:r>
          <w:rPr>
            <w:noProof/>
            <w:webHidden/>
          </w:rPr>
          <w:fldChar w:fldCharType="end"/>
        </w:r>
      </w:hyperlink>
    </w:p>
    <w:p w14:paraId="1122458C" w14:textId="4A626272"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04" w:history="1">
        <w:r w:rsidRPr="005D1911">
          <w:rPr>
            <w:rStyle w:val="Hyperlink"/>
            <w:noProof/>
          </w:rPr>
          <w:t>A6.17.1</w:t>
        </w:r>
        <w:r>
          <w:rPr>
            <w:noProof/>
            <w:kern w:val="2"/>
            <w:sz w:val="24"/>
            <w:szCs w:val="24"/>
            <w:lang w:val="en-GB" w:eastAsia="en-GB"/>
            <w14:ligatures w14:val="standardContextual"/>
          </w:rPr>
          <w:tab/>
        </w:r>
        <w:r w:rsidRPr="005D1911">
          <w:rPr>
            <w:rStyle w:val="Hyperlink"/>
            <w:noProof/>
          </w:rPr>
          <w:t>Overview of environmental taxes</w:t>
        </w:r>
        <w:r>
          <w:rPr>
            <w:noProof/>
            <w:webHidden/>
          </w:rPr>
          <w:tab/>
        </w:r>
        <w:r>
          <w:rPr>
            <w:noProof/>
            <w:webHidden/>
          </w:rPr>
          <w:fldChar w:fldCharType="begin"/>
        </w:r>
        <w:r>
          <w:rPr>
            <w:noProof/>
            <w:webHidden/>
          </w:rPr>
          <w:instrText xml:space="preserve"> PAGEREF _Toc214008904 \h </w:instrText>
        </w:r>
        <w:r>
          <w:rPr>
            <w:noProof/>
            <w:webHidden/>
          </w:rPr>
        </w:r>
        <w:r>
          <w:rPr>
            <w:noProof/>
            <w:webHidden/>
          </w:rPr>
          <w:fldChar w:fldCharType="separate"/>
        </w:r>
        <w:r>
          <w:rPr>
            <w:noProof/>
            <w:webHidden/>
          </w:rPr>
          <w:t>153</w:t>
        </w:r>
        <w:r>
          <w:rPr>
            <w:noProof/>
            <w:webHidden/>
          </w:rPr>
          <w:fldChar w:fldCharType="end"/>
        </w:r>
      </w:hyperlink>
    </w:p>
    <w:p w14:paraId="6AD2C1E1" w14:textId="1114513E"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05" w:history="1">
        <w:r w:rsidRPr="005D1911">
          <w:rPr>
            <w:rStyle w:val="Hyperlink"/>
            <w:noProof/>
          </w:rPr>
          <w:t>A6.17.2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_Toc214008905 \h </w:instrText>
        </w:r>
        <w:r>
          <w:rPr>
            <w:noProof/>
            <w:webHidden/>
          </w:rPr>
        </w:r>
        <w:r>
          <w:rPr>
            <w:noProof/>
            <w:webHidden/>
          </w:rPr>
          <w:fldChar w:fldCharType="separate"/>
        </w:r>
        <w:r>
          <w:rPr>
            <w:noProof/>
            <w:webHidden/>
          </w:rPr>
          <w:t>154</w:t>
        </w:r>
        <w:r>
          <w:rPr>
            <w:noProof/>
            <w:webHidden/>
          </w:rPr>
          <w:fldChar w:fldCharType="end"/>
        </w:r>
      </w:hyperlink>
    </w:p>
    <w:p w14:paraId="3264D385" w14:textId="0CC998D3"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06" w:history="1">
        <w:r w:rsidRPr="005D1911">
          <w:rPr>
            <w:rStyle w:val="Hyperlink"/>
            <w:rFonts w:eastAsia="Calibri"/>
            <w:noProof/>
          </w:rPr>
          <w:t>A6.17.3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_Toc214008906 \h </w:instrText>
        </w:r>
        <w:r>
          <w:rPr>
            <w:noProof/>
            <w:webHidden/>
          </w:rPr>
        </w:r>
        <w:r>
          <w:rPr>
            <w:noProof/>
            <w:webHidden/>
          </w:rPr>
          <w:fldChar w:fldCharType="separate"/>
        </w:r>
        <w:r>
          <w:rPr>
            <w:noProof/>
            <w:webHidden/>
          </w:rPr>
          <w:t>157</w:t>
        </w:r>
        <w:r>
          <w:rPr>
            <w:noProof/>
            <w:webHidden/>
          </w:rPr>
          <w:fldChar w:fldCharType="end"/>
        </w:r>
      </w:hyperlink>
    </w:p>
    <w:p w14:paraId="611355AE" w14:textId="547095D3"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07" w:history="1">
        <w:r w:rsidRPr="005D1911">
          <w:rPr>
            <w:rStyle w:val="Hyperlink"/>
            <w:noProof/>
          </w:rPr>
          <w:t>A6.17.4</w:t>
        </w:r>
        <w:r>
          <w:rPr>
            <w:noProof/>
            <w:kern w:val="2"/>
            <w:sz w:val="24"/>
            <w:szCs w:val="24"/>
            <w:lang w:val="en-GB" w:eastAsia="en-GB"/>
            <w14:ligatures w14:val="standardContextual"/>
          </w:rPr>
          <w:tab/>
        </w:r>
        <w:r w:rsidRPr="005D1911">
          <w:rPr>
            <w:rStyle w:val="Hyperlink"/>
            <w:noProof/>
          </w:rPr>
          <w:t>Impacts and feasibility of implementing new taxes</w:t>
        </w:r>
        <w:r>
          <w:rPr>
            <w:noProof/>
            <w:webHidden/>
          </w:rPr>
          <w:tab/>
        </w:r>
        <w:r>
          <w:rPr>
            <w:noProof/>
            <w:webHidden/>
          </w:rPr>
          <w:fldChar w:fldCharType="begin"/>
        </w:r>
        <w:r>
          <w:rPr>
            <w:noProof/>
            <w:webHidden/>
          </w:rPr>
          <w:instrText xml:space="preserve"> PAGEREF _Toc214008907 \h </w:instrText>
        </w:r>
        <w:r>
          <w:rPr>
            <w:noProof/>
            <w:webHidden/>
          </w:rPr>
        </w:r>
        <w:r>
          <w:rPr>
            <w:noProof/>
            <w:webHidden/>
          </w:rPr>
          <w:fldChar w:fldCharType="separate"/>
        </w:r>
        <w:r>
          <w:rPr>
            <w:noProof/>
            <w:webHidden/>
          </w:rPr>
          <w:t>157</w:t>
        </w:r>
        <w:r>
          <w:rPr>
            <w:noProof/>
            <w:webHidden/>
          </w:rPr>
          <w:fldChar w:fldCharType="end"/>
        </w:r>
      </w:hyperlink>
    </w:p>
    <w:p w14:paraId="3DCACF2D" w14:textId="2BE18CE7" w:rsidR="00D210DD" w:rsidRDefault="00D210DD">
      <w:pPr>
        <w:pStyle w:val="TOC2"/>
        <w:tabs>
          <w:tab w:val="left" w:pos="960"/>
        </w:tabs>
        <w:rPr>
          <w:noProof/>
          <w:kern w:val="2"/>
          <w:sz w:val="24"/>
          <w:szCs w:val="24"/>
          <w:lang w:val="en-GB" w:eastAsia="en-GB"/>
          <w14:ligatures w14:val="standardContextual"/>
        </w:rPr>
      </w:pPr>
      <w:hyperlink w:anchor="_Toc214008908" w:history="1">
        <w:r w:rsidRPr="005D1911">
          <w:rPr>
            <w:rStyle w:val="Hyperlink"/>
            <w:noProof/>
          </w:rPr>
          <w:t>A6.18</w:t>
        </w:r>
        <w:r>
          <w:rPr>
            <w:noProof/>
            <w:kern w:val="2"/>
            <w:sz w:val="24"/>
            <w:szCs w:val="24"/>
            <w:lang w:val="en-GB" w:eastAsia="en-GB"/>
            <w14:ligatures w14:val="standardContextual"/>
          </w:rPr>
          <w:tab/>
        </w:r>
        <w:r w:rsidRPr="005D1911">
          <w:rPr>
            <w:rStyle w:val="Hyperlink"/>
            <w:noProof/>
          </w:rPr>
          <w:t>Lithuania</w:t>
        </w:r>
        <w:r>
          <w:rPr>
            <w:noProof/>
            <w:webHidden/>
          </w:rPr>
          <w:tab/>
        </w:r>
        <w:r>
          <w:rPr>
            <w:noProof/>
            <w:webHidden/>
          </w:rPr>
          <w:fldChar w:fldCharType="begin"/>
        </w:r>
        <w:r>
          <w:rPr>
            <w:noProof/>
            <w:webHidden/>
          </w:rPr>
          <w:instrText xml:space="preserve"> PAGEREF _Toc214008908 \h </w:instrText>
        </w:r>
        <w:r>
          <w:rPr>
            <w:noProof/>
            <w:webHidden/>
          </w:rPr>
        </w:r>
        <w:r>
          <w:rPr>
            <w:noProof/>
            <w:webHidden/>
          </w:rPr>
          <w:fldChar w:fldCharType="separate"/>
        </w:r>
        <w:r>
          <w:rPr>
            <w:noProof/>
            <w:webHidden/>
          </w:rPr>
          <w:t>160</w:t>
        </w:r>
        <w:r>
          <w:rPr>
            <w:noProof/>
            <w:webHidden/>
          </w:rPr>
          <w:fldChar w:fldCharType="end"/>
        </w:r>
      </w:hyperlink>
    </w:p>
    <w:p w14:paraId="287AB875" w14:textId="6E66461E"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09" w:history="1">
        <w:r w:rsidRPr="005D1911">
          <w:rPr>
            <w:rStyle w:val="Hyperlink"/>
            <w:noProof/>
          </w:rPr>
          <w:t>A6.18.1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_Toc214008909 \h </w:instrText>
        </w:r>
        <w:r>
          <w:rPr>
            <w:noProof/>
            <w:webHidden/>
          </w:rPr>
        </w:r>
        <w:r>
          <w:rPr>
            <w:noProof/>
            <w:webHidden/>
          </w:rPr>
          <w:fldChar w:fldCharType="separate"/>
        </w:r>
        <w:r>
          <w:rPr>
            <w:noProof/>
            <w:webHidden/>
          </w:rPr>
          <w:t>160</w:t>
        </w:r>
        <w:r>
          <w:rPr>
            <w:noProof/>
            <w:webHidden/>
          </w:rPr>
          <w:fldChar w:fldCharType="end"/>
        </w:r>
      </w:hyperlink>
    </w:p>
    <w:p w14:paraId="07032272" w14:textId="73189200"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10" w:history="1">
        <w:r w:rsidRPr="005D1911">
          <w:rPr>
            <w:rStyle w:val="Hyperlink"/>
            <w:noProof/>
          </w:rPr>
          <w:t>A6.18.2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_Toc214008910 \h </w:instrText>
        </w:r>
        <w:r>
          <w:rPr>
            <w:noProof/>
            <w:webHidden/>
          </w:rPr>
        </w:r>
        <w:r>
          <w:rPr>
            <w:noProof/>
            <w:webHidden/>
          </w:rPr>
          <w:fldChar w:fldCharType="separate"/>
        </w:r>
        <w:r>
          <w:rPr>
            <w:noProof/>
            <w:webHidden/>
          </w:rPr>
          <w:t>161</w:t>
        </w:r>
        <w:r>
          <w:rPr>
            <w:noProof/>
            <w:webHidden/>
          </w:rPr>
          <w:fldChar w:fldCharType="end"/>
        </w:r>
      </w:hyperlink>
    </w:p>
    <w:p w14:paraId="1E4D1CE6" w14:textId="4B023429"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11" w:history="1">
        <w:r w:rsidRPr="005D1911">
          <w:rPr>
            <w:rStyle w:val="Hyperlink"/>
            <w:noProof/>
          </w:rPr>
          <w:t>A6.18.3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_Toc214008911 \h </w:instrText>
        </w:r>
        <w:r>
          <w:rPr>
            <w:noProof/>
            <w:webHidden/>
          </w:rPr>
        </w:r>
        <w:r>
          <w:rPr>
            <w:noProof/>
            <w:webHidden/>
          </w:rPr>
          <w:fldChar w:fldCharType="separate"/>
        </w:r>
        <w:r>
          <w:rPr>
            <w:noProof/>
            <w:webHidden/>
          </w:rPr>
          <w:t>166</w:t>
        </w:r>
        <w:r>
          <w:rPr>
            <w:noProof/>
            <w:webHidden/>
          </w:rPr>
          <w:fldChar w:fldCharType="end"/>
        </w:r>
      </w:hyperlink>
    </w:p>
    <w:p w14:paraId="0F5A60D9" w14:textId="1377BCC2"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12" w:history="1">
        <w:r w:rsidRPr="005D1911">
          <w:rPr>
            <w:rStyle w:val="Hyperlink"/>
            <w:noProof/>
          </w:rPr>
          <w:t>A6.18.4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_Toc214008912 \h </w:instrText>
        </w:r>
        <w:r>
          <w:rPr>
            <w:noProof/>
            <w:webHidden/>
          </w:rPr>
        </w:r>
        <w:r>
          <w:rPr>
            <w:noProof/>
            <w:webHidden/>
          </w:rPr>
          <w:fldChar w:fldCharType="separate"/>
        </w:r>
        <w:r>
          <w:rPr>
            <w:noProof/>
            <w:webHidden/>
          </w:rPr>
          <w:t>167</w:t>
        </w:r>
        <w:r>
          <w:rPr>
            <w:noProof/>
            <w:webHidden/>
          </w:rPr>
          <w:fldChar w:fldCharType="end"/>
        </w:r>
      </w:hyperlink>
    </w:p>
    <w:p w14:paraId="19422EA4" w14:textId="1F33F1C6" w:rsidR="00D210DD" w:rsidRDefault="00D210DD">
      <w:pPr>
        <w:pStyle w:val="TOC2"/>
        <w:tabs>
          <w:tab w:val="left" w:pos="960"/>
        </w:tabs>
        <w:rPr>
          <w:noProof/>
          <w:kern w:val="2"/>
          <w:sz w:val="24"/>
          <w:szCs w:val="24"/>
          <w:lang w:val="en-GB" w:eastAsia="en-GB"/>
          <w14:ligatures w14:val="standardContextual"/>
        </w:rPr>
      </w:pPr>
      <w:hyperlink w:anchor="_Toc214008913" w:history="1">
        <w:r w:rsidRPr="005D1911">
          <w:rPr>
            <w:rStyle w:val="Hyperlink"/>
            <w:noProof/>
          </w:rPr>
          <w:t>A6.19</w:t>
        </w:r>
        <w:r>
          <w:rPr>
            <w:noProof/>
            <w:kern w:val="2"/>
            <w:sz w:val="24"/>
            <w:szCs w:val="24"/>
            <w:lang w:val="en-GB" w:eastAsia="en-GB"/>
            <w14:ligatures w14:val="standardContextual"/>
          </w:rPr>
          <w:tab/>
        </w:r>
        <w:r w:rsidRPr="005D1911">
          <w:rPr>
            <w:rStyle w:val="Hyperlink"/>
            <w:noProof/>
          </w:rPr>
          <w:t>Luxembourg</w:t>
        </w:r>
        <w:r>
          <w:rPr>
            <w:noProof/>
            <w:webHidden/>
          </w:rPr>
          <w:tab/>
        </w:r>
        <w:r>
          <w:rPr>
            <w:noProof/>
            <w:webHidden/>
          </w:rPr>
          <w:fldChar w:fldCharType="begin"/>
        </w:r>
        <w:r>
          <w:rPr>
            <w:noProof/>
            <w:webHidden/>
          </w:rPr>
          <w:instrText xml:space="preserve"> PAGEREF _Toc214008913 \h </w:instrText>
        </w:r>
        <w:r>
          <w:rPr>
            <w:noProof/>
            <w:webHidden/>
          </w:rPr>
        </w:r>
        <w:r>
          <w:rPr>
            <w:noProof/>
            <w:webHidden/>
          </w:rPr>
          <w:fldChar w:fldCharType="separate"/>
        </w:r>
        <w:r>
          <w:rPr>
            <w:noProof/>
            <w:webHidden/>
          </w:rPr>
          <w:t>170</w:t>
        </w:r>
        <w:r>
          <w:rPr>
            <w:noProof/>
            <w:webHidden/>
          </w:rPr>
          <w:fldChar w:fldCharType="end"/>
        </w:r>
      </w:hyperlink>
    </w:p>
    <w:p w14:paraId="1B03F9D6" w14:textId="6B7E2162"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14" w:history="1">
        <w:r w:rsidRPr="005D1911">
          <w:rPr>
            <w:rStyle w:val="Hyperlink"/>
            <w:noProof/>
          </w:rPr>
          <w:t>A6.19.1</w:t>
        </w:r>
        <w:r>
          <w:rPr>
            <w:noProof/>
            <w:kern w:val="2"/>
            <w:sz w:val="24"/>
            <w:szCs w:val="24"/>
            <w:lang w:val="en-GB" w:eastAsia="en-GB"/>
            <w14:ligatures w14:val="standardContextual"/>
          </w:rPr>
          <w:tab/>
        </w:r>
        <w:r w:rsidRPr="005D1911">
          <w:rPr>
            <w:rStyle w:val="Hyperlink"/>
            <w:noProof/>
          </w:rPr>
          <w:t>Overview of existing environmental taxes in Luxembourg</w:t>
        </w:r>
        <w:r>
          <w:rPr>
            <w:noProof/>
            <w:webHidden/>
          </w:rPr>
          <w:tab/>
        </w:r>
        <w:r>
          <w:rPr>
            <w:noProof/>
            <w:webHidden/>
          </w:rPr>
          <w:fldChar w:fldCharType="begin"/>
        </w:r>
        <w:r>
          <w:rPr>
            <w:noProof/>
            <w:webHidden/>
          </w:rPr>
          <w:instrText xml:space="preserve"> PAGEREF _Toc214008914 \h </w:instrText>
        </w:r>
        <w:r>
          <w:rPr>
            <w:noProof/>
            <w:webHidden/>
          </w:rPr>
        </w:r>
        <w:r>
          <w:rPr>
            <w:noProof/>
            <w:webHidden/>
          </w:rPr>
          <w:fldChar w:fldCharType="separate"/>
        </w:r>
        <w:r>
          <w:rPr>
            <w:noProof/>
            <w:webHidden/>
          </w:rPr>
          <w:t>170</w:t>
        </w:r>
        <w:r>
          <w:rPr>
            <w:noProof/>
            <w:webHidden/>
          </w:rPr>
          <w:fldChar w:fldCharType="end"/>
        </w:r>
      </w:hyperlink>
    </w:p>
    <w:p w14:paraId="02943953" w14:textId="2F661CF4"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15" w:history="1">
        <w:r w:rsidRPr="005D1911">
          <w:rPr>
            <w:rStyle w:val="Hyperlink"/>
            <w:noProof/>
          </w:rPr>
          <w:t>A6.19.2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_Toc214008915 \h </w:instrText>
        </w:r>
        <w:r>
          <w:rPr>
            <w:noProof/>
            <w:webHidden/>
          </w:rPr>
        </w:r>
        <w:r>
          <w:rPr>
            <w:noProof/>
            <w:webHidden/>
          </w:rPr>
          <w:fldChar w:fldCharType="separate"/>
        </w:r>
        <w:r>
          <w:rPr>
            <w:noProof/>
            <w:webHidden/>
          </w:rPr>
          <w:t>171</w:t>
        </w:r>
        <w:r>
          <w:rPr>
            <w:noProof/>
            <w:webHidden/>
          </w:rPr>
          <w:fldChar w:fldCharType="end"/>
        </w:r>
      </w:hyperlink>
    </w:p>
    <w:p w14:paraId="0B67C992" w14:textId="4BE3C9AE"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16" w:history="1">
        <w:r w:rsidRPr="005D1911">
          <w:rPr>
            <w:rStyle w:val="Hyperlink"/>
            <w:noProof/>
          </w:rPr>
          <w:t>A6.19.3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_Toc214008916 \h </w:instrText>
        </w:r>
        <w:r>
          <w:rPr>
            <w:noProof/>
            <w:webHidden/>
          </w:rPr>
        </w:r>
        <w:r>
          <w:rPr>
            <w:noProof/>
            <w:webHidden/>
          </w:rPr>
          <w:fldChar w:fldCharType="separate"/>
        </w:r>
        <w:r>
          <w:rPr>
            <w:noProof/>
            <w:webHidden/>
          </w:rPr>
          <w:t>173</w:t>
        </w:r>
        <w:r>
          <w:rPr>
            <w:noProof/>
            <w:webHidden/>
          </w:rPr>
          <w:fldChar w:fldCharType="end"/>
        </w:r>
      </w:hyperlink>
    </w:p>
    <w:p w14:paraId="27ACA429" w14:textId="777C2FF1"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17" w:history="1">
        <w:r w:rsidRPr="005D1911">
          <w:rPr>
            <w:rStyle w:val="Hyperlink"/>
            <w:noProof/>
          </w:rPr>
          <w:t>A6.19.4</w:t>
        </w:r>
        <w:r>
          <w:rPr>
            <w:noProof/>
            <w:kern w:val="2"/>
            <w:sz w:val="24"/>
            <w:szCs w:val="24"/>
            <w:lang w:val="en-GB" w:eastAsia="en-GB"/>
            <w14:ligatures w14:val="standardContextual"/>
          </w:rPr>
          <w:tab/>
        </w:r>
        <w:r w:rsidRPr="005D1911">
          <w:rPr>
            <w:rStyle w:val="Hyperlink"/>
            <w:noProof/>
          </w:rPr>
          <w:t>Impacts and feasibility of implementing new taxes</w:t>
        </w:r>
        <w:r>
          <w:rPr>
            <w:noProof/>
            <w:webHidden/>
          </w:rPr>
          <w:tab/>
        </w:r>
        <w:r>
          <w:rPr>
            <w:noProof/>
            <w:webHidden/>
          </w:rPr>
          <w:fldChar w:fldCharType="begin"/>
        </w:r>
        <w:r>
          <w:rPr>
            <w:noProof/>
            <w:webHidden/>
          </w:rPr>
          <w:instrText xml:space="preserve"> PAGEREF _Toc214008917 \h </w:instrText>
        </w:r>
        <w:r>
          <w:rPr>
            <w:noProof/>
            <w:webHidden/>
          </w:rPr>
        </w:r>
        <w:r>
          <w:rPr>
            <w:noProof/>
            <w:webHidden/>
          </w:rPr>
          <w:fldChar w:fldCharType="separate"/>
        </w:r>
        <w:r>
          <w:rPr>
            <w:noProof/>
            <w:webHidden/>
          </w:rPr>
          <w:t>174</w:t>
        </w:r>
        <w:r>
          <w:rPr>
            <w:noProof/>
            <w:webHidden/>
          </w:rPr>
          <w:fldChar w:fldCharType="end"/>
        </w:r>
      </w:hyperlink>
    </w:p>
    <w:p w14:paraId="25227342" w14:textId="581B5B7F" w:rsidR="00D210DD" w:rsidRDefault="00D210DD">
      <w:pPr>
        <w:pStyle w:val="TOC2"/>
        <w:tabs>
          <w:tab w:val="left" w:pos="960"/>
        </w:tabs>
        <w:rPr>
          <w:noProof/>
          <w:kern w:val="2"/>
          <w:sz w:val="24"/>
          <w:szCs w:val="24"/>
          <w:lang w:val="en-GB" w:eastAsia="en-GB"/>
          <w14:ligatures w14:val="standardContextual"/>
        </w:rPr>
      </w:pPr>
      <w:hyperlink w:anchor="_Toc214008918" w:history="1">
        <w:r w:rsidRPr="005D1911">
          <w:rPr>
            <w:rStyle w:val="Hyperlink"/>
            <w:noProof/>
          </w:rPr>
          <w:t>A6.20</w:t>
        </w:r>
        <w:r>
          <w:rPr>
            <w:noProof/>
            <w:kern w:val="2"/>
            <w:sz w:val="24"/>
            <w:szCs w:val="24"/>
            <w:lang w:val="en-GB" w:eastAsia="en-GB"/>
            <w14:ligatures w14:val="standardContextual"/>
          </w:rPr>
          <w:tab/>
        </w:r>
        <w:r w:rsidRPr="005D1911">
          <w:rPr>
            <w:rStyle w:val="Hyperlink"/>
            <w:noProof/>
          </w:rPr>
          <w:t>Malta</w:t>
        </w:r>
        <w:r>
          <w:rPr>
            <w:noProof/>
            <w:webHidden/>
          </w:rPr>
          <w:tab/>
        </w:r>
        <w:r>
          <w:rPr>
            <w:noProof/>
            <w:webHidden/>
          </w:rPr>
          <w:fldChar w:fldCharType="begin"/>
        </w:r>
        <w:r>
          <w:rPr>
            <w:noProof/>
            <w:webHidden/>
          </w:rPr>
          <w:instrText xml:space="preserve"> PAGEREF _Toc214008918 \h </w:instrText>
        </w:r>
        <w:r>
          <w:rPr>
            <w:noProof/>
            <w:webHidden/>
          </w:rPr>
        </w:r>
        <w:r>
          <w:rPr>
            <w:noProof/>
            <w:webHidden/>
          </w:rPr>
          <w:fldChar w:fldCharType="separate"/>
        </w:r>
        <w:r>
          <w:rPr>
            <w:noProof/>
            <w:webHidden/>
          </w:rPr>
          <w:t>177</w:t>
        </w:r>
        <w:r>
          <w:rPr>
            <w:noProof/>
            <w:webHidden/>
          </w:rPr>
          <w:fldChar w:fldCharType="end"/>
        </w:r>
      </w:hyperlink>
    </w:p>
    <w:p w14:paraId="35AC6250" w14:textId="755DBDEC"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19" w:history="1">
        <w:r w:rsidRPr="005D1911">
          <w:rPr>
            <w:rStyle w:val="Hyperlink"/>
            <w:noProof/>
          </w:rPr>
          <w:t>A6.20.1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_Toc214008919 \h </w:instrText>
        </w:r>
        <w:r>
          <w:rPr>
            <w:noProof/>
            <w:webHidden/>
          </w:rPr>
        </w:r>
        <w:r>
          <w:rPr>
            <w:noProof/>
            <w:webHidden/>
          </w:rPr>
          <w:fldChar w:fldCharType="separate"/>
        </w:r>
        <w:r>
          <w:rPr>
            <w:noProof/>
            <w:webHidden/>
          </w:rPr>
          <w:t>177</w:t>
        </w:r>
        <w:r>
          <w:rPr>
            <w:noProof/>
            <w:webHidden/>
          </w:rPr>
          <w:fldChar w:fldCharType="end"/>
        </w:r>
      </w:hyperlink>
    </w:p>
    <w:p w14:paraId="31446327" w14:textId="04D3180C"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20" w:history="1">
        <w:r w:rsidRPr="005D1911">
          <w:rPr>
            <w:rStyle w:val="Hyperlink"/>
            <w:noProof/>
          </w:rPr>
          <w:t>A6.20.2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_Toc214008920 \h </w:instrText>
        </w:r>
        <w:r>
          <w:rPr>
            <w:noProof/>
            <w:webHidden/>
          </w:rPr>
        </w:r>
        <w:r>
          <w:rPr>
            <w:noProof/>
            <w:webHidden/>
          </w:rPr>
          <w:fldChar w:fldCharType="separate"/>
        </w:r>
        <w:r>
          <w:rPr>
            <w:noProof/>
            <w:webHidden/>
          </w:rPr>
          <w:t>178</w:t>
        </w:r>
        <w:r>
          <w:rPr>
            <w:noProof/>
            <w:webHidden/>
          </w:rPr>
          <w:fldChar w:fldCharType="end"/>
        </w:r>
      </w:hyperlink>
    </w:p>
    <w:p w14:paraId="279CA75C" w14:textId="1EDB1446"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21" w:history="1">
        <w:r w:rsidRPr="005D1911">
          <w:rPr>
            <w:rStyle w:val="Hyperlink"/>
            <w:noProof/>
          </w:rPr>
          <w:t>A6.20.3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_Toc214008921 \h </w:instrText>
        </w:r>
        <w:r>
          <w:rPr>
            <w:noProof/>
            <w:webHidden/>
          </w:rPr>
        </w:r>
        <w:r>
          <w:rPr>
            <w:noProof/>
            <w:webHidden/>
          </w:rPr>
          <w:fldChar w:fldCharType="separate"/>
        </w:r>
        <w:r>
          <w:rPr>
            <w:noProof/>
            <w:webHidden/>
          </w:rPr>
          <w:t>187</w:t>
        </w:r>
        <w:r>
          <w:rPr>
            <w:noProof/>
            <w:webHidden/>
          </w:rPr>
          <w:fldChar w:fldCharType="end"/>
        </w:r>
      </w:hyperlink>
    </w:p>
    <w:p w14:paraId="3FCD463E" w14:textId="48549083"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22" w:history="1">
        <w:r w:rsidRPr="005D1911">
          <w:rPr>
            <w:rStyle w:val="Hyperlink"/>
            <w:noProof/>
          </w:rPr>
          <w:t>A6.20.4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_Toc214008922 \h </w:instrText>
        </w:r>
        <w:r>
          <w:rPr>
            <w:noProof/>
            <w:webHidden/>
          </w:rPr>
        </w:r>
        <w:r>
          <w:rPr>
            <w:noProof/>
            <w:webHidden/>
          </w:rPr>
          <w:fldChar w:fldCharType="separate"/>
        </w:r>
        <w:r>
          <w:rPr>
            <w:noProof/>
            <w:webHidden/>
          </w:rPr>
          <w:t>188</w:t>
        </w:r>
        <w:r>
          <w:rPr>
            <w:noProof/>
            <w:webHidden/>
          </w:rPr>
          <w:fldChar w:fldCharType="end"/>
        </w:r>
      </w:hyperlink>
    </w:p>
    <w:p w14:paraId="410C9FDA" w14:textId="71B8A2EE" w:rsidR="00D210DD" w:rsidRDefault="00D210DD">
      <w:pPr>
        <w:pStyle w:val="TOC2"/>
        <w:tabs>
          <w:tab w:val="left" w:pos="960"/>
        </w:tabs>
        <w:rPr>
          <w:noProof/>
          <w:kern w:val="2"/>
          <w:sz w:val="24"/>
          <w:szCs w:val="24"/>
          <w:lang w:val="en-GB" w:eastAsia="en-GB"/>
          <w14:ligatures w14:val="standardContextual"/>
        </w:rPr>
      </w:pPr>
      <w:hyperlink w:anchor="_Toc214008923" w:history="1">
        <w:r w:rsidRPr="005D1911">
          <w:rPr>
            <w:rStyle w:val="Hyperlink"/>
            <w:noProof/>
          </w:rPr>
          <w:t>A6.21</w:t>
        </w:r>
        <w:r>
          <w:rPr>
            <w:noProof/>
            <w:kern w:val="2"/>
            <w:sz w:val="24"/>
            <w:szCs w:val="24"/>
            <w:lang w:val="en-GB" w:eastAsia="en-GB"/>
            <w14:ligatures w14:val="standardContextual"/>
          </w:rPr>
          <w:tab/>
        </w:r>
        <w:r w:rsidRPr="005D1911">
          <w:rPr>
            <w:rStyle w:val="Hyperlink"/>
            <w:noProof/>
          </w:rPr>
          <w:t>Netherlands</w:t>
        </w:r>
        <w:r>
          <w:rPr>
            <w:noProof/>
            <w:webHidden/>
          </w:rPr>
          <w:tab/>
        </w:r>
        <w:r>
          <w:rPr>
            <w:noProof/>
            <w:webHidden/>
          </w:rPr>
          <w:fldChar w:fldCharType="begin"/>
        </w:r>
        <w:r>
          <w:rPr>
            <w:noProof/>
            <w:webHidden/>
          </w:rPr>
          <w:instrText xml:space="preserve"> PAGEREF _Toc214008923 \h </w:instrText>
        </w:r>
        <w:r>
          <w:rPr>
            <w:noProof/>
            <w:webHidden/>
          </w:rPr>
        </w:r>
        <w:r>
          <w:rPr>
            <w:noProof/>
            <w:webHidden/>
          </w:rPr>
          <w:fldChar w:fldCharType="separate"/>
        </w:r>
        <w:r>
          <w:rPr>
            <w:noProof/>
            <w:webHidden/>
          </w:rPr>
          <w:t>191</w:t>
        </w:r>
        <w:r>
          <w:rPr>
            <w:noProof/>
            <w:webHidden/>
          </w:rPr>
          <w:fldChar w:fldCharType="end"/>
        </w:r>
      </w:hyperlink>
    </w:p>
    <w:p w14:paraId="1C5D342E" w14:textId="2C3F83E7"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24" w:history="1">
        <w:r w:rsidRPr="005D1911">
          <w:rPr>
            <w:rStyle w:val="Hyperlink"/>
            <w:noProof/>
          </w:rPr>
          <w:t>A6.21.1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_Toc214008924 \h </w:instrText>
        </w:r>
        <w:r>
          <w:rPr>
            <w:noProof/>
            <w:webHidden/>
          </w:rPr>
        </w:r>
        <w:r>
          <w:rPr>
            <w:noProof/>
            <w:webHidden/>
          </w:rPr>
          <w:fldChar w:fldCharType="separate"/>
        </w:r>
        <w:r>
          <w:rPr>
            <w:noProof/>
            <w:webHidden/>
          </w:rPr>
          <w:t>191</w:t>
        </w:r>
        <w:r>
          <w:rPr>
            <w:noProof/>
            <w:webHidden/>
          </w:rPr>
          <w:fldChar w:fldCharType="end"/>
        </w:r>
      </w:hyperlink>
    </w:p>
    <w:p w14:paraId="3EA79537" w14:textId="64A165EA"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25" w:history="1">
        <w:r w:rsidRPr="005D1911">
          <w:rPr>
            <w:rStyle w:val="Hyperlink"/>
            <w:noProof/>
          </w:rPr>
          <w:t>A6.21.2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_Toc214008925 \h </w:instrText>
        </w:r>
        <w:r>
          <w:rPr>
            <w:noProof/>
            <w:webHidden/>
          </w:rPr>
        </w:r>
        <w:r>
          <w:rPr>
            <w:noProof/>
            <w:webHidden/>
          </w:rPr>
          <w:fldChar w:fldCharType="separate"/>
        </w:r>
        <w:r>
          <w:rPr>
            <w:noProof/>
            <w:webHidden/>
          </w:rPr>
          <w:t>192</w:t>
        </w:r>
        <w:r>
          <w:rPr>
            <w:noProof/>
            <w:webHidden/>
          </w:rPr>
          <w:fldChar w:fldCharType="end"/>
        </w:r>
      </w:hyperlink>
    </w:p>
    <w:p w14:paraId="3E1423EA" w14:textId="21FE92F1"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26" w:history="1">
        <w:r w:rsidRPr="005D1911">
          <w:rPr>
            <w:rStyle w:val="Hyperlink"/>
            <w:noProof/>
          </w:rPr>
          <w:t>A6.21.3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_Toc214008926 \h </w:instrText>
        </w:r>
        <w:r>
          <w:rPr>
            <w:noProof/>
            <w:webHidden/>
          </w:rPr>
        </w:r>
        <w:r>
          <w:rPr>
            <w:noProof/>
            <w:webHidden/>
          </w:rPr>
          <w:fldChar w:fldCharType="separate"/>
        </w:r>
        <w:r>
          <w:rPr>
            <w:noProof/>
            <w:webHidden/>
          </w:rPr>
          <w:t>196</w:t>
        </w:r>
        <w:r>
          <w:rPr>
            <w:noProof/>
            <w:webHidden/>
          </w:rPr>
          <w:fldChar w:fldCharType="end"/>
        </w:r>
      </w:hyperlink>
    </w:p>
    <w:p w14:paraId="25B2A60B" w14:textId="4B664E1F"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27" w:history="1">
        <w:r w:rsidRPr="005D1911">
          <w:rPr>
            <w:rStyle w:val="Hyperlink"/>
            <w:noProof/>
          </w:rPr>
          <w:t>A6.21.4</w:t>
        </w:r>
        <w:r>
          <w:rPr>
            <w:noProof/>
            <w:kern w:val="2"/>
            <w:sz w:val="24"/>
            <w:szCs w:val="24"/>
            <w:lang w:val="en-GB" w:eastAsia="en-GB"/>
            <w14:ligatures w14:val="standardContextual"/>
          </w:rPr>
          <w:tab/>
        </w:r>
        <w:r w:rsidRPr="005D1911">
          <w:rPr>
            <w:rStyle w:val="Hyperlink"/>
            <w:noProof/>
          </w:rPr>
          <w:t>Impacts and feasibility of implementing new taxes</w:t>
        </w:r>
        <w:r>
          <w:rPr>
            <w:noProof/>
            <w:webHidden/>
          </w:rPr>
          <w:tab/>
        </w:r>
        <w:r>
          <w:rPr>
            <w:noProof/>
            <w:webHidden/>
          </w:rPr>
          <w:fldChar w:fldCharType="begin"/>
        </w:r>
        <w:r>
          <w:rPr>
            <w:noProof/>
            <w:webHidden/>
          </w:rPr>
          <w:instrText xml:space="preserve"> PAGEREF _Toc214008927 \h </w:instrText>
        </w:r>
        <w:r>
          <w:rPr>
            <w:noProof/>
            <w:webHidden/>
          </w:rPr>
        </w:r>
        <w:r>
          <w:rPr>
            <w:noProof/>
            <w:webHidden/>
          </w:rPr>
          <w:fldChar w:fldCharType="separate"/>
        </w:r>
        <w:r>
          <w:rPr>
            <w:noProof/>
            <w:webHidden/>
          </w:rPr>
          <w:t>197</w:t>
        </w:r>
        <w:r>
          <w:rPr>
            <w:noProof/>
            <w:webHidden/>
          </w:rPr>
          <w:fldChar w:fldCharType="end"/>
        </w:r>
      </w:hyperlink>
    </w:p>
    <w:p w14:paraId="5198CC43" w14:textId="74B0C951" w:rsidR="00D210DD" w:rsidRDefault="00D210DD">
      <w:pPr>
        <w:pStyle w:val="TOC2"/>
        <w:tabs>
          <w:tab w:val="left" w:pos="960"/>
        </w:tabs>
        <w:rPr>
          <w:noProof/>
          <w:kern w:val="2"/>
          <w:sz w:val="24"/>
          <w:szCs w:val="24"/>
          <w:lang w:val="en-GB" w:eastAsia="en-GB"/>
          <w14:ligatures w14:val="standardContextual"/>
        </w:rPr>
      </w:pPr>
      <w:hyperlink w:anchor="_Toc214008928" w:history="1">
        <w:r w:rsidRPr="005D1911">
          <w:rPr>
            <w:rStyle w:val="Hyperlink"/>
            <w:noProof/>
          </w:rPr>
          <w:t>A6.22</w:t>
        </w:r>
        <w:r>
          <w:rPr>
            <w:noProof/>
            <w:kern w:val="2"/>
            <w:sz w:val="24"/>
            <w:szCs w:val="24"/>
            <w:lang w:val="en-GB" w:eastAsia="en-GB"/>
            <w14:ligatures w14:val="standardContextual"/>
          </w:rPr>
          <w:tab/>
        </w:r>
        <w:r w:rsidRPr="005D1911">
          <w:rPr>
            <w:rStyle w:val="Hyperlink"/>
            <w:noProof/>
          </w:rPr>
          <w:t>Poland</w:t>
        </w:r>
        <w:r>
          <w:rPr>
            <w:noProof/>
            <w:webHidden/>
          </w:rPr>
          <w:tab/>
        </w:r>
        <w:r>
          <w:rPr>
            <w:noProof/>
            <w:webHidden/>
          </w:rPr>
          <w:fldChar w:fldCharType="begin"/>
        </w:r>
        <w:r>
          <w:rPr>
            <w:noProof/>
            <w:webHidden/>
          </w:rPr>
          <w:instrText xml:space="preserve"> PAGEREF _Toc214008928 \h </w:instrText>
        </w:r>
        <w:r>
          <w:rPr>
            <w:noProof/>
            <w:webHidden/>
          </w:rPr>
        </w:r>
        <w:r>
          <w:rPr>
            <w:noProof/>
            <w:webHidden/>
          </w:rPr>
          <w:fldChar w:fldCharType="separate"/>
        </w:r>
        <w:r>
          <w:rPr>
            <w:noProof/>
            <w:webHidden/>
          </w:rPr>
          <w:t>200</w:t>
        </w:r>
        <w:r>
          <w:rPr>
            <w:noProof/>
            <w:webHidden/>
          </w:rPr>
          <w:fldChar w:fldCharType="end"/>
        </w:r>
      </w:hyperlink>
    </w:p>
    <w:p w14:paraId="6DE0FF21" w14:textId="44810A24"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29" w:history="1">
        <w:r w:rsidRPr="005D1911">
          <w:rPr>
            <w:rStyle w:val="Hyperlink"/>
            <w:noProof/>
          </w:rPr>
          <w:t>A6.22.1</w:t>
        </w:r>
        <w:r>
          <w:rPr>
            <w:noProof/>
            <w:kern w:val="2"/>
            <w:sz w:val="24"/>
            <w:szCs w:val="24"/>
            <w:lang w:val="en-GB" w:eastAsia="en-GB"/>
            <w14:ligatures w14:val="standardContextual"/>
          </w:rPr>
          <w:tab/>
        </w:r>
        <w:r w:rsidRPr="005D1911">
          <w:rPr>
            <w:rStyle w:val="Hyperlink"/>
            <w:noProof/>
          </w:rPr>
          <w:t>Overview on environmental taxes</w:t>
        </w:r>
        <w:r>
          <w:rPr>
            <w:noProof/>
            <w:webHidden/>
          </w:rPr>
          <w:tab/>
        </w:r>
        <w:r>
          <w:rPr>
            <w:noProof/>
            <w:webHidden/>
          </w:rPr>
          <w:fldChar w:fldCharType="begin"/>
        </w:r>
        <w:r>
          <w:rPr>
            <w:noProof/>
            <w:webHidden/>
          </w:rPr>
          <w:instrText xml:space="preserve"> PAGEREF _Toc214008929 \h </w:instrText>
        </w:r>
        <w:r>
          <w:rPr>
            <w:noProof/>
            <w:webHidden/>
          </w:rPr>
        </w:r>
        <w:r>
          <w:rPr>
            <w:noProof/>
            <w:webHidden/>
          </w:rPr>
          <w:fldChar w:fldCharType="separate"/>
        </w:r>
        <w:r>
          <w:rPr>
            <w:noProof/>
            <w:webHidden/>
          </w:rPr>
          <w:t>200</w:t>
        </w:r>
        <w:r>
          <w:rPr>
            <w:noProof/>
            <w:webHidden/>
          </w:rPr>
          <w:fldChar w:fldCharType="end"/>
        </w:r>
      </w:hyperlink>
    </w:p>
    <w:p w14:paraId="6BA87831" w14:textId="28CE9385"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30" w:history="1">
        <w:r w:rsidRPr="005D1911">
          <w:rPr>
            <w:rStyle w:val="Hyperlink"/>
            <w:noProof/>
          </w:rPr>
          <w:t>A6.22.2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_Toc214008930 \h </w:instrText>
        </w:r>
        <w:r>
          <w:rPr>
            <w:noProof/>
            <w:webHidden/>
          </w:rPr>
        </w:r>
        <w:r>
          <w:rPr>
            <w:noProof/>
            <w:webHidden/>
          </w:rPr>
          <w:fldChar w:fldCharType="separate"/>
        </w:r>
        <w:r>
          <w:rPr>
            <w:noProof/>
            <w:webHidden/>
          </w:rPr>
          <w:t>201</w:t>
        </w:r>
        <w:r>
          <w:rPr>
            <w:noProof/>
            <w:webHidden/>
          </w:rPr>
          <w:fldChar w:fldCharType="end"/>
        </w:r>
      </w:hyperlink>
    </w:p>
    <w:p w14:paraId="3917DC86" w14:textId="0B9AD7C5"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31" w:history="1">
        <w:r w:rsidRPr="005D1911">
          <w:rPr>
            <w:rStyle w:val="Hyperlink"/>
            <w:noProof/>
          </w:rPr>
          <w:t>A6.22.3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_Toc214008931 \h </w:instrText>
        </w:r>
        <w:r>
          <w:rPr>
            <w:noProof/>
            <w:webHidden/>
          </w:rPr>
        </w:r>
        <w:r>
          <w:rPr>
            <w:noProof/>
            <w:webHidden/>
          </w:rPr>
          <w:fldChar w:fldCharType="separate"/>
        </w:r>
        <w:r>
          <w:rPr>
            <w:noProof/>
            <w:webHidden/>
          </w:rPr>
          <w:t>210</w:t>
        </w:r>
        <w:r>
          <w:rPr>
            <w:noProof/>
            <w:webHidden/>
          </w:rPr>
          <w:fldChar w:fldCharType="end"/>
        </w:r>
      </w:hyperlink>
    </w:p>
    <w:p w14:paraId="6373C9BC" w14:textId="148D9725"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32" w:history="1">
        <w:r w:rsidRPr="005D1911">
          <w:rPr>
            <w:rStyle w:val="Hyperlink"/>
            <w:noProof/>
          </w:rPr>
          <w:t>A6.22.4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_Toc214008932 \h </w:instrText>
        </w:r>
        <w:r>
          <w:rPr>
            <w:noProof/>
            <w:webHidden/>
          </w:rPr>
        </w:r>
        <w:r>
          <w:rPr>
            <w:noProof/>
            <w:webHidden/>
          </w:rPr>
          <w:fldChar w:fldCharType="separate"/>
        </w:r>
        <w:r>
          <w:rPr>
            <w:noProof/>
            <w:webHidden/>
          </w:rPr>
          <w:t>211</w:t>
        </w:r>
        <w:r>
          <w:rPr>
            <w:noProof/>
            <w:webHidden/>
          </w:rPr>
          <w:fldChar w:fldCharType="end"/>
        </w:r>
      </w:hyperlink>
    </w:p>
    <w:p w14:paraId="6C0F0EF4" w14:textId="7BFB6EE9" w:rsidR="00D210DD" w:rsidRDefault="00D210DD">
      <w:pPr>
        <w:pStyle w:val="TOC2"/>
        <w:tabs>
          <w:tab w:val="left" w:pos="960"/>
        </w:tabs>
        <w:rPr>
          <w:noProof/>
          <w:kern w:val="2"/>
          <w:sz w:val="24"/>
          <w:szCs w:val="24"/>
          <w:lang w:val="en-GB" w:eastAsia="en-GB"/>
          <w14:ligatures w14:val="standardContextual"/>
        </w:rPr>
      </w:pPr>
      <w:hyperlink w:anchor="_Toc214008933" w:history="1">
        <w:r w:rsidRPr="005D1911">
          <w:rPr>
            <w:rStyle w:val="Hyperlink"/>
            <w:noProof/>
          </w:rPr>
          <w:t>A6.23</w:t>
        </w:r>
        <w:r>
          <w:rPr>
            <w:noProof/>
            <w:kern w:val="2"/>
            <w:sz w:val="24"/>
            <w:szCs w:val="24"/>
            <w:lang w:val="en-GB" w:eastAsia="en-GB"/>
            <w14:ligatures w14:val="standardContextual"/>
          </w:rPr>
          <w:tab/>
        </w:r>
        <w:r w:rsidRPr="005D1911">
          <w:rPr>
            <w:rStyle w:val="Hyperlink"/>
            <w:noProof/>
          </w:rPr>
          <w:t>Portugal</w:t>
        </w:r>
        <w:r>
          <w:rPr>
            <w:noProof/>
            <w:webHidden/>
          </w:rPr>
          <w:tab/>
        </w:r>
        <w:r>
          <w:rPr>
            <w:noProof/>
            <w:webHidden/>
          </w:rPr>
          <w:fldChar w:fldCharType="begin"/>
        </w:r>
        <w:r>
          <w:rPr>
            <w:noProof/>
            <w:webHidden/>
          </w:rPr>
          <w:instrText xml:space="preserve"> PAGEREF _Toc214008933 \h </w:instrText>
        </w:r>
        <w:r>
          <w:rPr>
            <w:noProof/>
            <w:webHidden/>
          </w:rPr>
        </w:r>
        <w:r>
          <w:rPr>
            <w:noProof/>
            <w:webHidden/>
          </w:rPr>
          <w:fldChar w:fldCharType="separate"/>
        </w:r>
        <w:r>
          <w:rPr>
            <w:noProof/>
            <w:webHidden/>
          </w:rPr>
          <w:t>214</w:t>
        </w:r>
        <w:r>
          <w:rPr>
            <w:noProof/>
            <w:webHidden/>
          </w:rPr>
          <w:fldChar w:fldCharType="end"/>
        </w:r>
      </w:hyperlink>
    </w:p>
    <w:p w14:paraId="18BDA8CB" w14:textId="1F9AFCEA"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34" w:history="1">
        <w:r w:rsidRPr="005D1911">
          <w:rPr>
            <w:rStyle w:val="Hyperlink"/>
            <w:noProof/>
          </w:rPr>
          <w:t>A6.23.1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_Toc214008934 \h </w:instrText>
        </w:r>
        <w:r>
          <w:rPr>
            <w:noProof/>
            <w:webHidden/>
          </w:rPr>
        </w:r>
        <w:r>
          <w:rPr>
            <w:noProof/>
            <w:webHidden/>
          </w:rPr>
          <w:fldChar w:fldCharType="separate"/>
        </w:r>
        <w:r>
          <w:rPr>
            <w:noProof/>
            <w:webHidden/>
          </w:rPr>
          <w:t>214</w:t>
        </w:r>
        <w:r>
          <w:rPr>
            <w:noProof/>
            <w:webHidden/>
          </w:rPr>
          <w:fldChar w:fldCharType="end"/>
        </w:r>
      </w:hyperlink>
    </w:p>
    <w:p w14:paraId="3F013ADA" w14:textId="5871FB7C"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35" w:history="1">
        <w:r w:rsidRPr="005D1911">
          <w:rPr>
            <w:rStyle w:val="Hyperlink"/>
            <w:noProof/>
          </w:rPr>
          <w:t>A6.23.2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_Toc214008935 \h </w:instrText>
        </w:r>
        <w:r>
          <w:rPr>
            <w:noProof/>
            <w:webHidden/>
          </w:rPr>
        </w:r>
        <w:r>
          <w:rPr>
            <w:noProof/>
            <w:webHidden/>
          </w:rPr>
          <w:fldChar w:fldCharType="separate"/>
        </w:r>
        <w:r>
          <w:rPr>
            <w:noProof/>
            <w:webHidden/>
          </w:rPr>
          <w:t>214</w:t>
        </w:r>
        <w:r>
          <w:rPr>
            <w:noProof/>
            <w:webHidden/>
          </w:rPr>
          <w:fldChar w:fldCharType="end"/>
        </w:r>
      </w:hyperlink>
    </w:p>
    <w:p w14:paraId="2D3BA57F" w14:textId="01442AE5"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36" w:history="1">
        <w:r w:rsidRPr="005D1911">
          <w:rPr>
            <w:rStyle w:val="Hyperlink"/>
            <w:noProof/>
          </w:rPr>
          <w:t>A6.23.3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_Toc214008936 \h </w:instrText>
        </w:r>
        <w:r>
          <w:rPr>
            <w:noProof/>
            <w:webHidden/>
          </w:rPr>
        </w:r>
        <w:r>
          <w:rPr>
            <w:noProof/>
            <w:webHidden/>
          </w:rPr>
          <w:fldChar w:fldCharType="separate"/>
        </w:r>
        <w:r>
          <w:rPr>
            <w:noProof/>
            <w:webHidden/>
          </w:rPr>
          <w:t>218</w:t>
        </w:r>
        <w:r>
          <w:rPr>
            <w:noProof/>
            <w:webHidden/>
          </w:rPr>
          <w:fldChar w:fldCharType="end"/>
        </w:r>
      </w:hyperlink>
    </w:p>
    <w:p w14:paraId="6448CCFB" w14:textId="1AFE3AF5"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37" w:history="1">
        <w:r w:rsidRPr="005D1911">
          <w:rPr>
            <w:rStyle w:val="Hyperlink"/>
            <w:noProof/>
          </w:rPr>
          <w:t>A6.23.4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_Toc214008937 \h </w:instrText>
        </w:r>
        <w:r>
          <w:rPr>
            <w:noProof/>
            <w:webHidden/>
          </w:rPr>
        </w:r>
        <w:r>
          <w:rPr>
            <w:noProof/>
            <w:webHidden/>
          </w:rPr>
          <w:fldChar w:fldCharType="separate"/>
        </w:r>
        <w:r>
          <w:rPr>
            <w:noProof/>
            <w:webHidden/>
          </w:rPr>
          <w:t>219</w:t>
        </w:r>
        <w:r>
          <w:rPr>
            <w:noProof/>
            <w:webHidden/>
          </w:rPr>
          <w:fldChar w:fldCharType="end"/>
        </w:r>
      </w:hyperlink>
    </w:p>
    <w:p w14:paraId="57EC9CD6" w14:textId="795AA681" w:rsidR="00D210DD" w:rsidRDefault="00D210DD">
      <w:pPr>
        <w:pStyle w:val="TOC2"/>
        <w:tabs>
          <w:tab w:val="left" w:pos="960"/>
        </w:tabs>
        <w:rPr>
          <w:noProof/>
          <w:kern w:val="2"/>
          <w:sz w:val="24"/>
          <w:szCs w:val="24"/>
          <w:lang w:val="en-GB" w:eastAsia="en-GB"/>
          <w14:ligatures w14:val="standardContextual"/>
        </w:rPr>
      </w:pPr>
      <w:hyperlink w:anchor="_Toc214008938" w:history="1">
        <w:r w:rsidRPr="005D1911">
          <w:rPr>
            <w:rStyle w:val="Hyperlink"/>
            <w:noProof/>
          </w:rPr>
          <w:t>A6.24</w:t>
        </w:r>
        <w:r>
          <w:rPr>
            <w:noProof/>
            <w:kern w:val="2"/>
            <w:sz w:val="24"/>
            <w:szCs w:val="24"/>
            <w:lang w:val="en-GB" w:eastAsia="en-GB"/>
            <w14:ligatures w14:val="standardContextual"/>
          </w:rPr>
          <w:tab/>
        </w:r>
        <w:r w:rsidRPr="005D1911">
          <w:rPr>
            <w:rStyle w:val="Hyperlink"/>
            <w:noProof/>
          </w:rPr>
          <w:t>Romania</w:t>
        </w:r>
        <w:r>
          <w:rPr>
            <w:noProof/>
            <w:webHidden/>
          </w:rPr>
          <w:tab/>
        </w:r>
        <w:r>
          <w:rPr>
            <w:noProof/>
            <w:webHidden/>
          </w:rPr>
          <w:fldChar w:fldCharType="begin"/>
        </w:r>
        <w:r>
          <w:rPr>
            <w:noProof/>
            <w:webHidden/>
          </w:rPr>
          <w:instrText xml:space="preserve"> PAGEREF _Toc214008938 \h </w:instrText>
        </w:r>
        <w:r>
          <w:rPr>
            <w:noProof/>
            <w:webHidden/>
          </w:rPr>
        </w:r>
        <w:r>
          <w:rPr>
            <w:noProof/>
            <w:webHidden/>
          </w:rPr>
          <w:fldChar w:fldCharType="separate"/>
        </w:r>
        <w:r>
          <w:rPr>
            <w:noProof/>
            <w:webHidden/>
          </w:rPr>
          <w:t>221</w:t>
        </w:r>
        <w:r>
          <w:rPr>
            <w:noProof/>
            <w:webHidden/>
          </w:rPr>
          <w:fldChar w:fldCharType="end"/>
        </w:r>
      </w:hyperlink>
    </w:p>
    <w:p w14:paraId="2B49ADE9" w14:textId="50B22A0C"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39" w:history="1">
        <w:r w:rsidRPr="005D1911">
          <w:rPr>
            <w:rStyle w:val="Hyperlink"/>
            <w:noProof/>
          </w:rPr>
          <w:t>A6.24.1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_Toc214008939 \h </w:instrText>
        </w:r>
        <w:r>
          <w:rPr>
            <w:noProof/>
            <w:webHidden/>
          </w:rPr>
        </w:r>
        <w:r>
          <w:rPr>
            <w:noProof/>
            <w:webHidden/>
          </w:rPr>
          <w:fldChar w:fldCharType="separate"/>
        </w:r>
        <w:r>
          <w:rPr>
            <w:noProof/>
            <w:webHidden/>
          </w:rPr>
          <w:t>221</w:t>
        </w:r>
        <w:r>
          <w:rPr>
            <w:noProof/>
            <w:webHidden/>
          </w:rPr>
          <w:fldChar w:fldCharType="end"/>
        </w:r>
      </w:hyperlink>
    </w:p>
    <w:p w14:paraId="44A19A43" w14:textId="585CCDC6"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40" w:history="1">
        <w:r w:rsidRPr="005D1911">
          <w:rPr>
            <w:rStyle w:val="Hyperlink"/>
            <w:noProof/>
          </w:rPr>
          <w:t>A6.24.2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_Toc214008940 \h </w:instrText>
        </w:r>
        <w:r>
          <w:rPr>
            <w:noProof/>
            <w:webHidden/>
          </w:rPr>
        </w:r>
        <w:r>
          <w:rPr>
            <w:noProof/>
            <w:webHidden/>
          </w:rPr>
          <w:fldChar w:fldCharType="separate"/>
        </w:r>
        <w:r>
          <w:rPr>
            <w:noProof/>
            <w:webHidden/>
          </w:rPr>
          <w:t>222</w:t>
        </w:r>
        <w:r>
          <w:rPr>
            <w:noProof/>
            <w:webHidden/>
          </w:rPr>
          <w:fldChar w:fldCharType="end"/>
        </w:r>
      </w:hyperlink>
    </w:p>
    <w:p w14:paraId="06A7D549" w14:textId="228D665A"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41" w:history="1">
        <w:r w:rsidRPr="005D1911">
          <w:rPr>
            <w:rStyle w:val="Hyperlink"/>
            <w:noProof/>
          </w:rPr>
          <w:t>A6.24.3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_Toc214008941 \h </w:instrText>
        </w:r>
        <w:r>
          <w:rPr>
            <w:noProof/>
            <w:webHidden/>
          </w:rPr>
        </w:r>
        <w:r>
          <w:rPr>
            <w:noProof/>
            <w:webHidden/>
          </w:rPr>
          <w:fldChar w:fldCharType="separate"/>
        </w:r>
        <w:r>
          <w:rPr>
            <w:noProof/>
            <w:webHidden/>
          </w:rPr>
          <w:t>225</w:t>
        </w:r>
        <w:r>
          <w:rPr>
            <w:noProof/>
            <w:webHidden/>
          </w:rPr>
          <w:fldChar w:fldCharType="end"/>
        </w:r>
      </w:hyperlink>
    </w:p>
    <w:p w14:paraId="6FADF5EF" w14:textId="75E77135"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42" w:history="1">
        <w:r w:rsidRPr="005D1911">
          <w:rPr>
            <w:rStyle w:val="Hyperlink"/>
            <w:noProof/>
          </w:rPr>
          <w:t>A6.24.4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_Toc214008942 \h </w:instrText>
        </w:r>
        <w:r>
          <w:rPr>
            <w:noProof/>
            <w:webHidden/>
          </w:rPr>
        </w:r>
        <w:r>
          <w:rPr>
            <w:noProof/>
            <w:webHidden/>
          </w:rPr>
          <w:fldChar w:fldCharType="separate"/>
        </w:r>
        <w:r>
          <w:rPr>
            <w:noProof/>
            <w:webHidden/>
          </w:rPr>
          <w:t>226</w:t>
        </w:r>
        <w:r>
          <w:rPr>
            <w:noProof/>
            <w:webHidden/>
          </w:rPr>
          <w:fldChar w:fldCharType="end"/>
        </w:r>
      </w:hyperlink>
    </w:p>
    <w:p w14:paraId="7FC0B64D" w14:textId="497D101A" w:rsidR="00D210DD" w:rsidRDefault="00D210DD">
      <w:pPr>
        <w:pStyle w:val="TOC2"/>
        <w:tabs>
          <w:tab w:val="left" w:pos="960"/>
        </w:tabs>
        <w:rPr>
          <w:noProof/>
          <w:kern w:val="2"/>
          <w:sz w:val="24"/>
          <w:szCs w:val="24"/>
          <w:lang w:val="en-GB" w:eastAsia="en-GB"/>
          <w14:ligatures w14:val="standardContextual"/>
        </w:rPr>
      </w:pPr>
      <w:hyperlink w:anchor="_Toc214008943" w:history="1">
        <w:r w:rsidRPr="005D1911">
          <w:rPr>
            <w:rStyle w:val="Hyperlink"/>
            <w:noProof/>
          </w:rPr>
          <w:t>A6.25</w:t>
        </w:r>
        <w:r>
          <w:rPr>
            <w:noProof/>
            <w:kern w:val="2"/>
            <w:sz w:val="24"/>
            <w:szCs w:val="24"/>
            <w:lang w:val="en-GB" w:eastAsia="en-GB"/>
            <w14:ligatures w14:val="standardContextual"/>
          </w:rPr>
          <w:tab/>
        </w:r>
        <w:r w:rsidRPr="005D1911">
          <w:rPr>
            <w:rStyle w:val="Hyperlink"/>
            <w:noProof/>
          </w:rPr>
          <w:t>Slovakia</w:t>
        </w:r>
        <w:r>
          <w:rPr>
            <w:noProof/>
            <w:webHidden/>
          </w:rPr>
          <w:tab/>
        </w:r>
        <w:r>
          <w:rPr>
            <w:noProof/>
            <w:webHidden/>
          </w:rPr>
          <w:fldChar w:fldCharType="begin"/>
        </w:r>
        <w:r>
          <w:rPr>
            <w:noProof/>
            <w:webHidden/>
          </w:rPr>
          <w:instrText xml:space="preserve"> PAGEREF _Toc214008943 \h </w:instrText>
        </w:r>
        <w:r>
          <w:rPr>
            <w:noProof/>
            <w:webHidden/>
          </w:rPr>
        </w:r>
        <w:r>
          <w:rPr>
            <w:noProof/>
            <w:webHidden/>
          </w:rPr>
          <w:fldChar w:fldCharType="separate"/>
        </w:r>
        <w:r>
          <w:rPr>
            <w:noProof/>
            <w:webHidden/>
          </w:rPr>
          <w:t>229</w:t>
        </w:r>
        <w:r>
          <w:rPr>
            <w:noProof/>
            <w:webHidden/>
          </w:rPr>
          <w:fldChar w:fldCharType="end"/>
        </w:r>
      </w:hyperlink>
    </w:p>
    <w:p w14:paraId="1F1E9825" w14:textId="640D1AC0"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44" w:history="1">
        <w:r w:rsidRPr="005D1911">
          <w:rPr>
            <w:rStyle w:val="Hyperlink"/>
            <w:noProof/>
          </w:rPr>
          <w:t>A6.25.1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_Toc214008944 \h </w:instrText>
        </w:r>
        <w:r>
          <w:rPr>
            <w:noProof/>
            <w:webHidden/>
          </w:rPr>
        </w:r>
        <w:r>
          <w:rPr>
            <w:noProof/>
            <w:webHidden/>
          </w:rPr>
          <w:fldChar w:fldCharType="separate"/>
        </w:r>
        <w:r>
          <w:rPr>
            <w:noProof/>
            <w:webHidden/>
          </w:rPr>
          <w:t>229</w:t>
        </w:r>
        <w:r>
          <w:rPr>
            <w:noProof/>
            <w:webHidden/>
          </w:rPr>
          <w:fldChar w:fldCharType="end"/>
        </w:r>
      </w:hyperlink>
    </w:p>
    <w:p w14:paraId="73BF73C4" w14:textId="4AD5974E"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45" w:history="1">
        <w:r w:rsidRPr="005D1911">
          <w:rPr>
            <w:rStyle w:val="Hyperlink"/>
            <w:noProof/>
          </w:rPr>
          <w:t>A6.25.2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_Toc214008945 \h </w:instrText>
        </w:r>
        <w:r>
          <w:rPr>
            <w:noProof/>
            <w:webHidden/>
          </w:rPr>
        </w:r>
        <w:r>
          <w:rPr>
            <w:noProof/>
            <w:webHidden/>
          </w:rPr>
          <w:fldChar w:fldCharType="separate"/>
        </w:r>
        <w:r>
          <w:rPr>
            <w:noProof/>
            <w:webHidden/>
          </w:rPr>
          <w:t>230</w:t>
        </w:r>
        <w:r>
          <w:rPr>
            <w:noProof/>
            <w:webHidden/>
          </w:rPr>
          <w:fldChar w:fldCharType="end"/>
        </w:r>
      </w:hyperlink>
    </w:p>
    <w:p w14:paraId="12C92C7A" w14:textId="35FDFA9C"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46" w:history="1">
        <w:r w:rsidRPr="005D1911">
          <w:rPr>
            <w:rStyle w:val="Hyperlink"/>
            <w:noProof/>
          </w:rPr>
          <w:t>A6.25.3</w:t>
        </w:r>
        <w:r>
          <w:rPr>
            <w:noProof/>
            <w:kern w:val="2"/>
            <w:sz w:val="24"/>
            <w:szCs w:val="24"/>
            <w:lang w:val="en-GB" w:eastAsia="en-GB"/>
            <w14:ligatures w14:val="standardContextual"/>
          </w:rPr>
          <w:tab/>
        </w:r>
        <w:r w:rsidRPr="005D1911">
          <w:rPr>
            <w:rStyle w:val="Hyperlink"/>
            <w:noProof/>
          </w:rPr>
          <w:t>Potential for new environmental taxes</w:t>
        </w:r>
        <w:r>
          <w:rPr>
            <w:noProof/>
            <w:webHidden/>
          </w:rPr>
          <w:tab/>
        </w:r>
        <w:r>
          <w:rPr>
            <w:noProof/>
            <w:webHidden/>
          </w:rPr>
          <w:fldChar w:fldCharType="begin"/>
        </w:r>
        <w:r>
          <w:rPr>
            <w:noProof/>
            <w:webHidden/>
          </w:rPr>
          <w:instrText xml:space="preserve"> PAGEREF _Toc214008946 \h </w:instrText>
        </w:r>
        <w:r>
          <w:rPr>
            <w:noProof/>
            <w:webHidden/>
          </w:rPr>
        </w:r>
        <w:r>
          <w:rPr>
            <w:noProof/>
            <w:webHidden/>
          </w:rPr>
          <w:fldChar w:fldCharType="separate"/>
        </w:r>
        <w:r>
          <w:rPr>
            <w:noProof/>
            <w:webHidden/>
          </w:rPr>
          <w:t>235</w:t>
        </w:r>
        <w:r>
          <w:rPr>
            <w:noProof/>
            <w:webHidden/>
          </w:rPr>
          <w:fldChar w:fldCharType="end"/>
        </w:r>
      </w:hyperlink>
    </w:p>
    <w:p w14:paraId="4ABC0AFA" w14:textId="445F4992"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47" w:history="1">
        <w:r w:rsidRPr="005D1911">
          <w:rPr>
            <w:rStyle w:val="Hyperlink"/>
            <w:noProof/>
          </w:rPr>
          <w:t>A6.25.4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_Toc214008947 \h </w:instrText>
        </w:r>
        <w:r>
          <w:rPr>
            <w:noProof/>
            <w:webHidden/>
          </w:rPr>
        </w:r>
        <w:r>
          <w:rPr>
            <w:noProof/>
            <w:webHidden/>
          </w:rPr>
          <w:fldChar w:fldCharType="separate"/>
        </w:r>
        <w:r>
          <w:rPr>
            <w:noProof/>
            <w:webHidden/>
          </w:rPr>
          <w:t>236</w:t>
        </w:r>
        <w:r>
          <w:rPr>
            <w:noProof/>
            <w:webHidden/>
          </w:rPr>
          <w:fldChar w:fldCharType="end"/>
        </w:r>
      </w:hyperlink>
    </w:p>
    <w:p w14:paraId="2AFDFDAD" w14:textId="1E9E9B15" w:rsidR="00D210DD" w:rsidRDefault="00D210DD">
      <w:pPr>
        <w:pStyle w:val="TOC2"/>
        <w:tabs>
          <w:tab w:val="left" w:pos="960"/>
        </w:tabs>
        <w:rPr>
          <w:noProof/>
          <w:kern w:val="2"/>
          <w:sz w:val="24"/>
          <w:szCs w:val="24"/>
          <w:lang w:val="en-GB" w:eastAsia="en-GB"/>
          <w14:ligatures w14:val="standardContextual"/>
        </w:rPr>
      </w:pPr>
      <w:hyperlink w:anchor="_Toc214008948" w:history="1">
        <w:r w:rsidRPr="005D1911">
          <w:rPr>
            <w:rStyle w:val="Hyperlink"/>
            <w:noProof/>
          </w:rPr>
          <w:t>A6.26</w:t>
        </w:r>
        <w:r>
          <w:rPr>
            <w:noProof/>
            <w:kern w:val="2"/>
            <w:sz w:val="24"/>
            <w:szCs w:val="24"/>
            <w:lang w:val="en-GB" w:eastAsia="en-GB"/>
            <w14:ligatures w14:val="standardContextual"/>
          </w:rPr>
          <w:tab/>
        </w:r>
        <w:r w:rsidRPr="005D1911">
          <w:rPr>
            <w:rStyle w:val="Hyperlink"/>
            <w:noProof/>
          </w:rPr>
          <w:t>Slovenia</w:t>
        </w:r>
        <w:r>
          <w:rPr>
            <w:noProof/>
            <w:webHidden/>
          </w:rPr>
          <w:tab/>
        </w:r>
        <w:r>
          <w:rPr>
            <w:noProof/>
            <w:webHidden/>
          </w:rPr>
          <w:fldChar w:fldCharType="begin"/>
        </w:r>
        <w:r>
          <w:rPr>
            <w:noProof/>
            <w:webHidden/>
          </w:rPr>
          <w:instrText xml:space="preserve"> PAGEREF _Toc214008948 \h </w:instrText>
        </w:r>
        <w:r>
          <w:rPr>
            <w:noProof/>
            <w:webHidden/>
          </w:rPr>
        </w:r>
        <w:r>
          <w:rPr>
            <w:noProof/>
            <w:webHidden/>
          </w:rPr>
          <w:fldChar w:fldCharType="separate"/>
        </w:r>
        <w:r>
          <w:rPr>
            <w:noProof/>
            <w:webHidden/>
          </w:rPr>
          <w:t>239</w:t>
        </w:r>
        <w:r>
          <w:rPr>
            <w:noProof/>
            <w:webHidden/>
          </w:rPr>
          <w:fldChar w:fldCharType="end"/>
        </w:r>
      </w:hyperlink>
    </w:p>
    <w:p w14:paraId="6CF99C0E" w14:textId="15693E2B"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49" w:history="1">
        <w:r w:rsidRPr="005D1911">
          <w:rPr>
            <w:rStyle w:val="Hyperlink"/>
            <w:noProof/>
          </w:rPr>
          <w:t>A6.26.1</w:t>
        </w:r>
        <w:r>
          <w:rPr>
            <w:noProof/>
            <w:kern w:val="2"/>
            <w:sz w:val="24"/>
            <w:szCs w:val="24"/>
            <w:lang w:val="en-GB" w:eastAsia="en-GB"/>
            <w14:ligatures w14:val="standardContextual"/>
          </w:rPr>
          <w:tab/>
        </w:r>
        <w:r w:rsidRPr="005D1911">
          <w:rPr>
            <w:rStyle w:val="Hyperlink"/>
            <w:noProof/>
          </w:rPr>
          <w:t>Overview of existing environmental taxes in Slovenia</w:t>
        </w:r>
        <w:r>
          <w:rPr>
            <w:noProof/>
            <w:webHidden/>
          </w:rPr>
          <w:tab/>
        </w:r>
        <w:r>
          <w:rPr>
            <w:noProof/>
            <w:webHidden/>
          </w:rPr>
          <w:fldChar w:fldCharType="begin"/>
        </w:r>
        <w:r>
          <w:rPr>
            <w:noProof/>
            <w:webHidden/>
          </w:rPr>
          <w:instrText xml:space="preserve"> PAGEREF _Toc214008949 \h </w:instrText>
        </w:r>
        <w:r>
          <w:rPr>
            <w:noProof/>
            <w:webHidden/>
          </w:rPr>
        </w:r>
        <w:r>
          <w:rPr>
            <w:noProof/>
            <w:webHidden/>
          </w:rPr>
          <w:fldChar w:fldCharType="separate"/>
        </w:r>
        <w:r>
          <w:rPr>
            <w:noProof/>
            <w:webHidden/>
          </w:rPr>
          <w:t>239</w:t>
        </w:r>
        <w:r>
          <w:rPr>
            <w:noProof/>
            <w:webHidden/>
          </w:rPr>
          <w:fldChar w:fldCharType="end"/>
        </w:r>
      </w:hyperlink>
    </w:p>
    <w:p w14:paraId="3EE4A67E" w14:textId="0ED359C6"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50" w:history="1">
        <w:r w:rsidRPr="005D1911">
          <w:rPr>
            <w:rStyle w:val="Hyperlink"/>
            <w:noProof/>
          </w:rPr>
          <w:t>A6.26.2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_Toc214008950 \h </w:instrText>
        </w:r>
        <w:r>
          <w:rPr>
            <w:noProof/>
            <w:webHidden/>
          </w:rPr>
        </w:r>
        <w:r>
          <w:rPr>
            <w:noProof/>
            <w:webHidden/>
          </w:rPr>
          <w:fldChar w:fldCharType="separate"/>
        </w:r>
        <w:r>
          <w:rPr>
            <w:noProof/>
            <w:webHidden/>
          </w:rPr>
          <w:t>240</w:t>
        </w:r>
        <w:r>
          <w:rPr>
            <w:noProof/>
            <w:webHidden/>
          </w:rPr>
          <w:fldChar w:fldCharType="end"/>
        </w:r>
      </w:hyperlink>
    </w:p>
    <w:p w14:paraId="64D40EB5" w14:textId="55AE690F"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51" w:history="1">
        <w:r w:rsidRPr="005D1911">
          <w:rPr>
            <w:rStyle w:val="Hyperlink"/>
            <w:noProof/>
          </w:rPr>
          <w:t>A6.26.3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_Toc214008951 \h </w:instrText>
        </w:r>
        <w:r>
          <w:rPr>
            <w:noProof/>
            <w:webHidden/>
          </w:rPr>
        </w:r>
        <w:r>
          <w:rPr>
            <w:noProof/>
            <w:webHidden/>
          </w:rPr>
          <w:fldChar w:fldCharType="separate"/>
        </w:r>
        <w:r>
          <w:rPr>
            <w:noProof/>
            <w:webHidden/>
          </w:rPr>
          <w:t>247</w:t>
        </w:r>
        <w:r>
          <w:rPr>
            <w:noProof/>
            <w:webHidden/>
          </w:rPr>
          <w:fldChar w:fldCharType="end"/>
        </w:r>
      </w:hyperlink>
    </w:p>
    <w:p w14:paraId="364514EA" w14:textId="101B1366"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52" w:history="1">
        <w:r w:rsidRPr="005D1911">
          <w:rPr>
            <w:rStyle w:val="Hyperlink"/>
            <w:noProof/>
          </w:rPr>
          <w:t>A6.26.4</w:t>
        </w:r>
        <w:r>
          <w:rPr>
            <w:noProof/>
            <w:kern w:val="2"/>
            <w:sz w:val="24"/>
            <w:szCs w:val="24"/>
            <w:lang w:val="en-GB" w:eastAsia="en-GB"/>
            <w14:ligatures w14:val="standardContextual"/>
          </w:rPr>
          <w:tab/>
        </w:r>
        <w:r w:rsidRPr="005D1911">
          <w:rPr>
            <w:rStyle w:val="Hyperlink"/>
            <w:noProof/>
          </w:rPr>
          <w:t>Impacts of implementing new environmental taxes</w:t>
        </w:r>
        <w:r>
          <w:rPr>
            <w:noProof/>
            <w:webHidden/>
          </w:rPr>
          <w:tab/>
        </w:r>
        <w:r>
          <w:rPr>
            <w:noProof/>
            <w:webHidden/>
          </w:rPr>
          <w:fldChar w:fldCharType="begin"/>
        </w:r>
        <w:r>
          <w:rPr>
            <w:noProof/>
            <w:webHidden/>
          </w:rPr>
          <w:instrText xml:space="preserve"> PAGEREF _Toc214008952 \h </w:instrText>
        </w:r>
        <w:r>
          <w:rPr>
            <w:noProof/>
            <w:webHidden/>
          </w:rPr>
        </w:r>
        <w:r>
          <w:rPr>
            <w:noProof/>
            <w:webHidden/>
          </w:rPr>
          <w:fldChar w:fldCharType="separate"/>
        </w:r>
        <w:r>
          <w:rPr>
            <w:noProof/>
            <w:webHidden/>
          </w:rPr>
          <w:t>248</w:t>
        </w:r>
        <w:r>
          <w:rPr>
            <w:noProof/>
            <w:webHidden/>
          </w:rPr>
          <w:fldChar w:fldCharType="end"/>
        </w:r>
      </w:hyperlink>
    </w:p>
    <w:p w14:paraId="134022B6" w14:textId="6D750DA0" w:rsidR="00D210DD" w:rsidRDefault="00D210DD">
      <w:pPr>
        <w:pStyle w:val="TOC2"/>
        <w:tabs>
          <w:tab w:val="left" w:pos="960"/>
        </w:tabs>
        <w:rPr>
          <w:noProof/>
          <w:kern w:val="2"/>
          <w:sz w:val="24"/>
          <w:szCs w:val="24"/>
          <w:lang w:val="en-GB" w:eastAsia="en-GB"/>
          <w14:ligatures w14:val="standardContextual"/>
        </w:rPr>
      </w:pPr>
      <w:hyperlink w:anchor="_Toc214008953" w:history="1">
        <w:r w:rsidRPr="005D1911">
          <w:rPr>
            <w:rStyle w:val="Hyperlink"/>
            <w:noProof/>
          </w:rPr>
          <w:t>A6.27</w:t>
        </w:r>
        <w:r>
          <w:rPr>
            <w:noProof/>
            <w:kern w:val="2"/>
            <w:sz w:val="24"/>
            <w:szCs w:val="24"/>
            <w:lang w:val="en-GB" w:eastAsia="en-GB"/>
            <w14:ligatures w14:val="standardContextual"/>
          </w:rPr>
          <w:tab/>
        </w:r>
        <w:r w:rsidRPr="005D1911">
          <w:rPr>
            <w:rStyle w:val="Hyperlink"/>
            <w:noProof/>
          </w:rPr>
          <w:t>Spain</w:t>
        </w:r>
        <w:r>
          <w:rPr>
            <w:noProof/>
            <w:webHidden/>
          </w:rPr>
          <w:tab/>
        </w:r>
        <w:r>
          <w:rPr>
            <w:noProof/>
            <w:webHidden/>
          </w:rPr>
          <w:fldChar w:fldCharType="begin"/>
        </w:r>
        <w:r>
          <w:rPr>
            <w:noProof/>
            <w:webHidden/>
          </w:rPr>
          <w:instrText xml:space="preserve"> PAGEREF _Toc214008953 \h </w:instrText>
        </w:r>
        <w:r>
          <w:rPr>
            <w:noProof/>
            <w:webHidden/>
          </w:rPr>
        </w:r>
        <w:r>
          <w:rPr>
            <w:noProof/>
            <w:webHidden/>
          </w:rPr>
          <w:fldChar w:fldCharType="separate"/>
        </w:r>
        <w:r>
          <w:rPr>
            <w:noProof/>
            <w:webHidden/>
          </w:rPr>
          <w:t>251</w:t>
        </w:r>
        <w:r>
          <w:rPr>
            <w:noProof/>
            <w:webHidden/>
          </w:rPr>
          <w:fldChar w:fldCharType="end"/>
        </w:r>
      </w:hyperlink>
    </w:p>
    <w:p w14:paraId="1E806175" w14:textId="7F6FD9F0"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54" w:history="1">
        <w:r w:rsidRPr="005D1911">
          <w:rPr>
            <w:rStyle w:val="Hyperlink"/>
            <w:noProof/>
          </w:rPr>
          <w:t>A6.27.1</w:t>
        </w:r>
        <w:r>
          <w:rPr>
            <w:noProof/>
            <w:kern w:val="2"/>
            <w:sz w:val="24"/>
            <w:szCs w:val="24"/>
            <w:lang w:val="en-GB" w:eastAsia="en-GB"/>
            <w14:ligatures w14:val="standardContextual"/>
          </w:rPr>
          <w:tab/>
        </w:r>
        <w:r w:rsidRPr="005D1911">
          <w:rPr>
            <w:rStyle w:val="Hyperlink"/>
            <w:noProof/>
          </w:rPr>
          <w:t>Overview of existing environmental taxes</w:t>
        </w:r>
        <w:r>
          <w:rPr>
            <w:noProof/>
            <w:webHidden/>
          </w:rPr>
          <w:tab/>
        </w:r>
        <w:r>
          <w:rPr>
            <w:noProof/>
            <w:webHidden/>
          </w:rPr>
          <w:fldChar w:fldCharType="begin"/>
        </w:r>
        <w:r>
          <w:rPr>
            <w:noProof/>
            <w:webHidden/>
          </w:rPr>
          <w:instrText xml:space="preserve"> PAGEREF _Toc214008954 \h </w:instrText>
        </w:r>
        <w:r>
          <w:rPr>
            <w:noProof/>
            <w:webHidden/>
          </w:rPr>
        </w:r>
        <w:r>
          <w:rPr>
            <w:noProof/>
            <w:webHidden/>
          </w:rPr>
          <w:fldChar w:fldCharType="separate"/>
        </w:r>
        <w:r>
          <w:rPr>
            <w:noProof/>
            <w:webHidden/>
          </w:rPr>
          <w:t>251</w:t>
        </w:r>
        <w:r>
          <w:rPr>
            <w:noProof/>
            <w:webHidden/>
          </w:rPr>
          <w:fldChar w:fldCharType="end"/>
        </w:r>
      </w:hyperlink>
    </w:p>
    <w:p w14:paraId="3E2787F7" w14:textId="47656338"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55" w:history="1">
        <w:r w:rsidRPr="005D1911">
          <w:rPr>
            <w:rStyle w:val="Hyperlink"/>
            <w:noProof/>
          </w:rPr>
          <w:t>A6.27.2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_Toc214008955 \h </w:instrText>
        </w:r>
        <w:r>
          <w:rPr>
            <w:noProof/>
            <w:webHidden/>
          </w:rPr>
        </w:r>
        <w:r>
          <w:rPr>
            <w:noProof/>
            <w:webHidden/>
          </w:rPr>
          <w:fldChar w:fldCharType="separate"/>
        </w:r>
        <w:r>
          <w:rPr>
            <w:noProof/>
            <w:webHidden/>
          </w:rPr>
          <w:t>252</w:t>
        </w:r>
        <w:r>
          <w:rPr>
            <w:noProof/>
            <w:webHidden/>
          </w:rPr>
          <w:fldChar w:fldCharType="end"/>
        </w:r>
      </w:hyperlink>
    </w:p>
    <w:p w14:paraId="0D97ECFE" w14:textId="5E524D7A"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56" w:history="1">
        <w:r w:rsidRPr="005D1911">
          <w:rPr>
            <w:rStyle w:val="Hyperlink"/>
            <w:noProof/>
          </w:rPr>
          <w:t>A6.27.3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_Toc214008956 \h </w:instrText>
        </w:r>
        <w:r>
          <w:rPr>
            <w:noProof/>
            <w:webHidden/>
          </w:rPr>
        </w:r>
        <w:r>
          <w:rPr>
            <w:noProof/>
            <w:webHidden/>
          </w:rPr>
          <w:fldChar w:fldCharType="separate"/>
        </w:r>
        <w:r>
          <w:rPr>
            <w:noProof/>
            <w:webHidden/>
          </w:rPr>
          <w:t>257</w:t>
        </w:r>
        <w:r>
          <w:rPr>
            <w:noProof/>
            <w:webHidden/>
          </w:rPr>
          <w:fldChar w:fldCharType="end"/>
        </w:r>
      </w:hyperlink>
    </w:p>
    <w:p w14:paraId="186B9315" w14:textId="5AC2F019"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57" w:history="1">
        <w:r w:rsidRPr="005D1911">
          <w:rPr>
            <w:rStyle w:val="Hyperlink"/>
            <w:noProof/>
          </w:rPr>
          <w:t>A6.27.4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_Toc214008957 \h </w:instrText>
        </w:r>
        <w:r>
          <w:rPr>
            <w:noProof/>
            <w:webHidden/>
          </w:rPr>
        </w:r>
        <w:r>
          <w:rPr>
            <w:noProof/>
            <w:webHidden/>
          </w:rPr>
          <w:fldChar w:fldCharType="separate"/>
        </w:r>
        <w:r>
          <w:rPr>
            <w:noProof/>
            <w:webHidden/>
          </w:rPr>
          <w:t>258</w:t>
        </w:r>
        <w:r>
          <w:rPr>
            <w:noProof/>
            <w:webHidden/>
          </w:rPr>
          <w:fldChar w:fldCharType="end"/>
        </w:r>
      </w:hyperlink>
    </w:p>
    <w:p w14:paraId="71F6590E" w14:textId="25EBCD10" w:rsidR="00D210DD" w:rsidRDefault="00D210DD">
      <w:pPr>
        <w:pStyle w:val="TOC2"/>
        <w:tabs>
          <w:tab w:val="left" w:pos="960"/>
        </w:tabs>
        <w:rPr>
          <w:noProof/>
          <w:kern w:val="2"/>
          <w:sz w:val="24"/>
          <w:szCs w:val="24"/>
          <w:lang w:val="en-GB" w:eastAsia="en-GB"/>
          <w14:ligatures w14:val="standardContextual"/>
        </w:rPr>
      </w:pPr>
      <w:hyperlink w:anchor="_Toc214008958" w:history="1">
        <w:r w:rsidRPr="005D1911">
          <w:rPr>
            <w:rStyle w:val="Hyperlink"/>
            <w:noProof/>
          </w:rPr>
          <w:t>A6.28</w:t>
        </w:r>
        <w:r>
          <w:rPr>
            <w:noProof/>
            <w:kern w:val="2"/>
            <w:sz w:val="24"/>
            <w:szCs w:val="24"/>
            <w:lang w:val="en-GB" w:eastAsia="en-GB"/>
            <w14:ligatures w14:val="standardContextual"/>
          </w:rPr>
          <w:tab/>
        </w:r>
        <w:r w:rsidRPr="005D1911">
          <w:rPr>
            <w:rStyle w:val="Hyperlink"/>
            <w:noProof/>
          </w:rPr>
          <w:t>Sweden</w:t>
        </w:r>
        <w:r>
          <w:rPr>
            <w:noProof/>
            <w:webHidden/>
          </w:rPr>
          <w:tab/>
        </w:r>
        <w:r>
          <w:rPr>
            <w:noProof/>
            <w:webHidden/>
          </w:rPr>
          <w:fldChar w:fldCharType="begin"/>
        </w:r>
        <w:r>
          <w:rPr>
            <w:noProof/>
            <w:webHidden/>
          </w:rPr>
          <w:instrText xml:space="preserve"> PAGEREF _Toc214008958 \h </w:instrText>
        </w:r>
        <w:r>
          <w:rPr>
            <w:noProof/>
            <w:webHidden/>
          </w:rPr>
        </w:r>
        <w:r>
          <w:rPr>
            <w:noProof/>
            <w:webHidden/>
          </w:rPr>
          <w:fldChar w:fldCharType="separate"/>
        </w:r>
        <w:r>
          <w:rPr>
            <w:noProof/>
            <w:webHidden/>
          </w:rPr>
          <w:t>261</w:t>
        </w:r>
        <w:r>
          <w:rPr>
            <w:noProof/>
            <w:webHidden/>
          </w:rPr>
          <w:fldChar w:fldCharType="end"/>
        </w:r>
      </w:hyperlink>
    </w:p>
    <w:p w14:paraId="12C3526B" w14:textId="7F0B986D"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59" w:history="1">
        <w:r w:rsidRPr="005D1911">
          <w:rPr>
            <w:rStyle w:val="Hyperlink"/>
            <w:noProof/>
          </w:rPr>
          <w:t>A6.28.1</w:t>
        </w:r>
        <w:r>
          <w:rPr>
            <w:noProof/>
            <w:kern w:val="2"/>
            <w:sz w:val="24"/>
            <w:szCs w:val="24"/>
            <w:lang w:val="en-GB" w:eastAsia="en-GB"/>
            <w14:ligatures w14:val="standardContextual"/>
          </w:rPr>
          <w:tab/>
        </w:r>
        <w:r w:rsidRPr="005D1911">
          <w:rPr>
            <w:rStyle w:val="Hyperlink"/>
            <w:noProof/>
          </w:rPr>
          <w:t>Overview of existing environmental taxes in Sweden</w:t>
        </w:r>
        <w:r>
          <w:rPr>
            <w:noProof/>
            <w:webHidden/>
          </w:rPr>
          <w:tab/>
        </w:r>
        <w:r>
          <w:rPr>
            <w:noProof/>
            <w:webHidden/>
          </w:rPr>
          <w:fldChar w:fldCharType="begin"/>
        </w:r>
        <w:r>
          <w:rPr>
            <w:noProof/>
            <w:webHidden/>
          </w:rPr>
          <w:instrText xml:space="preserve"> PAGEREF _Toc214008959 \h </w:instrText>
        </w:r>
        <w:r>
          <w:rPr>
            <w:noProof/>
            <w:webHidden/>
          </w:rPr>
        </w:r>
        <w:r>
          <w:rPr>
            <w:noProof/>
            <w:webHidden/>
          </w:rPr>
          <w:fldChar w:fldCharType="separate"/>
        </w:r>
        <w:r>
          <w:rPr>
            <w:noProof/>
            <w:webHidden/>
          </w:rPr>
          <w:t>261</w:t>
        </w:r>
        <w:r>
          <w:rPr>
            <w:noProof/>
            <w:webHidden/>
          </w:rPr>
          <w:fldChar w:fldCharType="end"/>
        </w:r>
      </w:hyperlink>
    </w:p>
    <w:p w14:paraId="6A3D8EBD" w14:textId="086D3015"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60" w:history="1">
        <w:r w:rsidRPr="005D1911">
          <w:rPr>
            <w:rStyle w:val="Hyperlink"/>
            <w:noProof/>
          </w:rPr>
          <w:t>A6.28.2</w:t>
        </w:r>
        <w:r>
          <w:rPr>
            <w:noProof/>
            <w:kern w:val="2"/>
            <w:sz w:val="24"/>
            <w:szCs w:val="24"/>
            <w:lang w:val="en-GB" w:eastAsia="en-GB"/>
            <w14:ligatures w14:val="standardContextual"/>
          </w:rPr>
          <w:tab/>
        </w:r>
        <w:r w:rsidRPr="005D1911">
          <w:rPr>
            <w:rStyle w:val="Hyperlink"/>
            <w:noProof/>
          </w:rPr>
          <w:t>Existing pollution and resource taxes</w:t>
        </w:r>
        <w:r>
          <w:rPr>
            <w:noProof/>
            <w:webHidden/>
          </w:rPr>
          <w:tab/>
        </w:r>
        <w:r>
          <w:rPr>
            <w:noProof/>
            <w:webHidden/>
          </w:rPr>
          <w:fldChar w:fldCharType="begin"/>
        </w:r>
        <w:r>
          <w:rPr>
            <w:noProof/>
            <w:webHidden/>
          </w:rPr>
          <w:instrText xml:space="preserve"> PAGEREF _Toc214008960 \h </w:instrText>
        </w:r>
        <w:r>
          <w:rPr>
            <w:noProof/>
            <w:webHidden/>
          </w:rPr>
        </w:r>
        <w:r>
          <w:rPr>
            <w:noProof/>
            <w:webHidden/>
          </w:rPr>
          <w:fldChar w:fldCharType="separate"/>
        </w:r>
        <w:r>
          <w:rPr>
            <w:noProof/>
            <w:webHidden/>
          </w:rPr>
          <w:t>262</w:t>
        </w:r>
        <w:r>
          <w:rPr>
            <w:noProof/>
            <w:webHidden/>
          </w:rPr>
          <w:fldChar w:fldCharType="end"/>
        </w:r>
      </w:hyperlink>
    </w:p>
    <w:p w14:paraId="5699C785" w14:textId="55C5D060"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61" w:history="1">
        <w:r w:rsidRPr="005D1911">
          <w:rPr>
            <w:rStyle w:val="Hyperlink"/>
            <w:noProof/>
          </w:rPr>
          <w:t>A6.28.3</w:t>
        </w:r>
        <w:r>
          <w:rPr>
            <w:noProof/>
            <w:kern w:val="2"/>
            <w:sz w:val="24"/>
            <w:szCs w:val="24"/>
            <w:lang w:val="en-GB" w:eastAsia="en-GB"/>
            <w14:ligatures w14:val="standardContextual"/>
          </w:rPr>
          <w:tab/>
        </w:r>
        <w:r w:rsidRPr="005D1911">
          <w:rPr>
            <w:rStyle w:val="Hyperlink"/>
            <w:noProof/>
          </w:rPr>
          <w:t>Potential for implementing additional environmental taxes</w:t>
        </w:r>
        <w:r>
          <w:rPr>
            <w:noProof/>
            <w:webHidden/>
          </w:rPr>
          <w:tab/>
        </w:r>
        <w:r>
          <w:rPr>
            <w:noProof/>
            <w:webHidden/>
          </w:rPr>
          <w:fldChar w:fldCharType="begin"/>
        </w:r>
        <w:r>
          <w:rPr>
            <w:noProof/>
            <w:webHidden/>
          </w:rPr>
          <w:instrText xml:space="preserve"> PAGEREF _Toc214008961 \h </w:instrText>
        </w:r>
        <w:r>
          <w:rPr>
            <w:noProof/>
            <w:webHidden/>
          </w:rPr>
        </w:r>
        <w:r>
          <w:rPr>
            <w:noProof/>
            <w:webHidden/>
          </w:rPr>
          <w:fldChar w:fldCharType="separate"/>
        </w:r>
        <w:r>
          <w:rPr>
            <w:noProof/>
            <w:webHidden/>
          </w:rPr>
          <w:t>271</w:t>
        </w:r>
        <w:r>
          <w:rPr>
            <w:noProof/>
            <w:webHidden/>
          </w:rPr>
          <w:fldChar w:fldCharType="end"/>
        </w:r>
      </w:hyperlink>
    </w:p>
    <w:p w14:paraId="64881181" w14:textId="118A9D85" w:rsidR="00D210DD" w:rsidRDefault="00D210DD">
      <w:pPr>
        <w:pStyle w:val="TOC3"/>
        <w:tabs>
          <w:tab w:val="left" w:pos="1440"/>
          <w:tab w:val="right" w:leader="dot" w:pos="9016"/>
        </w:tabs>
        <w:rPr>
          <w:noProof/>
          <w:kern w:val="2"/>
          <w:sz w:val="24"/>
          <w:szCs w:val="24"/>
          <w:lang w:val="en-GB" w:eastAsia="en-GB"/>
          <w14:ligatures w14:val="standardContextual"/>
        </w:rPr>
      </w:pPr>
      <w:hyperlink w:anchor="_Toc214008962" w:history="1">
        <w:r w:rsidRPr="005D1911">
          <w:rPr>
            <w:rStyle w:val="Hyperlink"/>
            <w:noProof/>
          </w:rPr>
          <w:t>A6.28.4</w:t>
        </w:r>
        <w:r>
          <w:rPr>
            <w:noProof/>
            <w:kern w:val="2"/>
            <w:sz w:val="24"/>
            <w:szCs w:val="24"/>
            <w:lang w:val="en-GB" w:eastAsia="en-GB"/>
            <w14:ligatures w14:val="standardContextual"/>
          </w:rPr>
          <w:tab/>
        </w:r>
        <w:r w:rsidRPr="005D1911">
          <w:rPr>
            <w:rStyle w:val="Hyperlink"/>
            <w:noProof/>
          </w:rPr>
          <w:t>Impacts and feasibility of implementing new environmental taxes</w:t>
        </w:r>
        <w:r>
          <w:rPr>
            <w:noProof/>
            <w:webHidden/>
          </w:rPr>
          <w:tab/>
        </w:r>
        <w:r>
          <w:rPr>
            <w:noProof/>
            <w:webHidden/>
          </w:rPr>
          <w:fldChar w:fldCharType="begin"/>
        </w:r>
        <w:r>
          <w:rPr>
            <w:noProof/>
            <w:webHidden/>
          </w:rPr>
          <w:instrText xml:space="preserve"> PAGEREF _Toc214008962 \h </w:instrText>
        </w:r>
        <w:r>
          <w:rPr>
            <w:noProof/>
            <w:webHidden/>
          </w:rPr>
        </w:r>
        <w:r>
          <w:rPr>
            <w:noProof/>
            <w:webHidden/>
          </w:rPr>
          <w:fldChar w:fldCharType="separate"/>
        </w:r>
        <w:r>
          <w:rPr>
            <w:noProof/>
            <w:webHidden/>
          </w:rPr>
          <w:t>273</w:t>
        </w:r>
        <w:r>
          <w:rPr>
            <w:noProof/>
            <w:webHidden/>
          </w:rPr>
          <w:fldChar w:fldCharType="end"/>
        </w:r>
      </w:hyperlink>
    </w:p>
    <w:p w14:paraId="7F3821A8" w14:textId="53147A0C" w:rsidR="007271A9" w:rsidRPr="00EA4C9B" w:rsidRDefault="00014325" w:rsidP="00B31A1C">
      <w:pPr>
        <w:jc w:val="center"/>
        <w:rPr>
          <w:rFonts w:ascii="Arial" w:eastAsiaTheme="minorEastAsia" w:hAnsi="Arial" w:cs="Arial"/>
          <w:sz w:val="28"/>
          <w:szCs w:val="28"/>
          <w:lang w:eastAsia="ja-JP"/>
        </w:rPr>
        <w:sectPr w:rsidR="007271A9" w:rsidRPr="00EA4C9B" w:rsidSect="007271A9">
          <w:headerReference w:type="even" r:id="rId22"/>
          <w:headerReference w:type="default" r:id="rId23"/>
          <w:footerReference w:type="default" r:id="rId24"/>
          <w:headerReference w:type="first" r:id="rId25"/>
          <w:pgSz w:w="11906" w:h="16838"/>
          <w:pgMar w:top="1418" w:right="1440" w:bottom="851" w:left="1440" w:header="709" w:footer="709" w:gutter="0"/>
          <w:pgNumType w:fmt="lowerRoman" w:start="1"/>
          <w:cols w:space="708"/>
          <w:docGrid w:linePitch="360"/>
        </w:sectPr>
      </w:pPr>
      <w:r>
        <w:rPr>
          <w:rFonts w:ascii="Arial" w:eastAsiaTheme="minorEastAsia" w:hAnsi="Arial" w:cs="Arial"/>
          <w:b/>
          <w:noProof/>
          <w:sz w:val="28"/>
          <w:szCs w:val="28"/>
          <w:lang w:val="en-US" w:eastAsia="ja-JP"/>
        </w:rPr>
        <w:fldChar w:fldCharType="end"/>
      </w:r>
    </w:p>
    <w:p w14:paraId="252AD183" w14:textId="08AD19D6" w:rsidR="00FC18A6" w:rsidRPr="00EA4C9B" w:rsidRDefault="00FC18A6" w:rsidP="009B400E">
      <w:pPr>
        <w:pStyle w:val="Referencing"/>
        <w:numPr>
          <w:ilvl w:val="0"/>
          <w:numId w:val="33"/>
        </w:numPr>
        <w:ind w:left="426"/>
      </w:pPr>
      <w:bookmarkStart w:id="1" w:name="_Ref209176160"/>
      <w:bookmarkStart w:id="2" w:name="_Toc214008826"/>
      <w:r>
        <w:lastRenderedPageBreak/>
        <w:t>Country factsheets</w:t>
      </w:r>
      <w:bookmarkEnd w:id="1"/>
      <w:bookmarkEnd w:id="2"/>
    </w:p>
    <w:p w14:paraId="2889E207" w14:textId="6992E30D" w:rsidR="002830C8" w:rsidRDefault="002830C8" w:rsidP="003B77C1">
      <w:pPr>
        <w:pStyle w:val="AnnexHeading1"/>
        <w:ind w:hanging="1211"/>
      </w:pPr>
      <w:bookmarkStart w:id="3" w:name="_Toc214008827"/>
      <w:r>
        <w:t>Introduction</w:t>
      </w:r>
      <w:bookmarkEnd w:id="3"/>
    </w:p>
    <w:p w14:paraId="13515F91" w14:textId="7EA7F88C" w:rsidR="002830C8" w:rsidRPr="002830C8" w:rsidRDefault="002830C8" w:rsidP="002830C8">
      <w:r w:rsidRPr="002830C8">
        <w:t>This country factsheet presents preliminary findings from the ongoing study on the potential to strengthen the use of pollution and resource taxes across EU Member States. The analysis draws on the modelling undertaken for the project, as well as on a comparative assessment of existing fiscal instruments and environmental pressures. As the work is still in progress, the results, conclusions and suggested areas of opportunity should be considered indicative rather than final.</w:t>
      </w:r>
    </w:p>
    <w:p w14:paraId="57959BE0" w14:textId="04B3BEB6" w:rsidR="002830C8" w:rsidRPr="002830C8" w:rsidRDefault="002830C8" w:rsidP="002830C8">
      <w:r w:rsidRPr="002830C8">
        <w:t>The next phase of the study will refine these assessments, taking into account both updated data and the feedback received during and after the workshop. Insights from Member State representatives, stakeholders and technical experts will be used to validate assumptions, clarify national circumstances and adjust the recommendations where appropriate. The final report will therefore provide a more complete and consolidated picture of each country’s environmental tax landscape and its potential for further development.</w:t>
      </w:r>
    </w:p>
    <w:p w14:paraId="2C705EBF" w14:textId="1707FD37" w:rsidR="0098065E" w:rsidRPr="00EA4C9B" w:rsidRDefault="0098065E" w:rsidP="003B77C1">
      <w:pPr>
        <w:pStyle w:val="AnnexHeading1"/>
        <w:ind w:hanging="1211"/>
      </w:pPr>
      <w:bookmarkStart w:id="4" w:name="_Toc214008828"/>
      <w:r w:rsidRPr="00EA4C9B">
        <w:t>Austria</w:t>
      </w:r>
      <w:bookmarkEnd w:id="4"/>
    </w:p>
    <w:p w14:paraId="6DEF8526" w14:textId="77777777" w:rsidR="0098065E" w:rsidRPr="007C4EB7" w:rsidRDefault="0098065E" w:rsidP="007C4EB7">
      <w:pPr>
        <w:pStyle w:val="AnnexHeading2"/>
      </w:pPr>
      <w:bookmarkStart w:id="5" w:name="_Toc214008829"/>
      <w:r w:rsidRPr="007C4EB7">
        <w:t>Overview on environmental taxes</w:t>
      </w:r>
      <w:bookmarkEnd w:id="5"/>
    </w:p>
    <w:p w14:paraId="18D3F2C0" w14:textId="2DD93976" w:rsidR="0098065E" w:rsidRPr="00EA4C9B" w:rsidRDefault="00C97CBB" w:rsidP="0098065E">
      <w:r w:rsidRPr="00C97CBB">
        <w:t>Environmental taxes in Austria amounted to 2% of GDP in 2023, a level broadly in line with the EU average. While revenues have risen in absolute terms over the past 15 years, their importance in the economy has nevertheless declined. Total environmental tax revenue reached EUR 8.5 billion in real terms in 2023 (</w:t>
      </w:r>
      <w:r>
        <w:fldChar w:fldCharType="begin"/>
      </w:r>
      <w:r>
        <w:instrText xml:space="preserve"> REF _Ref201227877 \h </w:instrText>
      </w:r>
      <w:r>
        <w:fldChar w:fldCharType="separate"/>
      </w:r>
      <w:r w:rsidRPr="00EA4C9B">
        <w:t xml:space="preserve">Figure </w:t>
      </w:r>
      <w:r>
        <w:t>A6</w:t>
      </w:r>
      <w:r w:rsidRPr="00EA4C9B">
        <w:t>-</w:t>
      </w:r>
      <w:r>
        <w:rPr>
          <w:noProof/>
        </w:rPr>
        <w:t>1</w:t>
      </w:r>
      <w:r>
        <w:fldChar w:fldCharType="end"/>
      </w:r>
      <w:r w:rsidRPr="00C97CBB">
        <w:t>), representing a 27.5% increase since 2009</w:t>
      </w:r>
      <w:r>
        <w:rPr>
          <w:rStyle w:val="FootnoteReference"/>
        </w:rPr>
        <w:footnoteReference w:id="2"/>
      </w:r>
      <w:r w:rsidRPr="00C97CBB">
        <w:t>. Over the same period, however, the ratio of environmental taxes to GDP fell by 15%. In 2023, energy and transport taxes accounted for the vast majority of revenues (around 60.9% and 38.3%, respectively), while pollution and resource taxes contributed only 0.63% and 0.21%</w:t>
      </w:r>
      <w:r>
        <w:t>.</w:t>
      </w:r>
      <w:r w:rsidRPr="00EA4C9B">
        <w:rPr>
          <w:rStyle w:val="FootnoteReference"/>
          <w:lang w:eastAsia="en-GB"/>
        </w:rPr>
        <w:footnoteReference w:id="3"/>
      </w:r>
      <w:r w:rsidR="0098065E" w:rsidRPr="00EA4C9B">
        <w:rPr>
          <w:lang w:eastAsia="en-GB"/>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8065E" w:rsidRPr="00EA4C9B" w14:paraId="258A0243" w14:textId="77777777" w:rsidTr="00BA7936">
        <w:tc>
          <w:tcPr>
            <w:tcW w:w="9016" w:type="dxa"/>
          </w:tcPr>
          <w:p w14:paraId="16147177" w14:textId="77777777" w:rsidR="0098065E" w:rsidRPr="00EA4C9B" w:rsidRDefault="0098065E">
            <w:pPr>
              <w:spacing w:after="0"/>
              <w:jc w:val="center"/>
              <w:rPr>
                <w:sz w:val="10"/>
                <w:szCs w:val="10"/>
              </w:rPr>
            </w:pPr>
          </w:p>
          <w:p w14:paraId="2951A12C" w14:textId="77777777" w:rsidR="0098065E" w:rsidRPr="00EA4C9B" w:rsidRDefault="0098065E">
            <w:pPr>
              <w:spacing w:after="0"/>
              <w:jc w:val="center"/>
              <w:rPr>
                <w:sz w:val="10"/>
                <w:szCs w:val="10"/>
              </w:rPr>
            </w:pPr>
            <w:r w:rsidRPr="00EA4C9B">
              <w:rPr>
                <w:noProof/>
                <w:sz w:val="10"/>
                <w:szCs w:val="10"/>
              </w:rPr>
              <w:drawing>
                <wp:inline distT="0" distB="0" distL="0" distR="0" wp14:anchorId="606B5161" wp14:editId="101DF2C6">
                  <wp:extent cx="5632931" cy="1221332"/>
                  <wp:effectExtent l="0" t="0" r="0" b="0"/>
                  <wp:docPr id="42828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8177" name="Picture 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656683" cy="1226482"/>
                          </a:xfrm>
                          <a:prstGeom prst="rect">
                            <a:avLst/>
                          </a:prstGeom>
                        </pic:spPr>
                      </pic:pic>
                    </a:graphicData>
                  </a:graphic>
                </wp:inline>
              </w:drawing>
            </w:r>
          </w:p>
          <w:p w14:paraId="3BA0DEA4" w14:textId="77777777" w:rsidR="0098065E" w:rsidRPr="00EA4C9B" w:rsidRDefault="0098065E">
            <w:pPr>
              <w:spacing w:after="0"/>
              <w:jc w:val="center"/>
              <w:rPr>
                <w:sz w:val="10"/>
                <w:szCs w:val="10"/>
              </w:rPr>
            </w:pPr>
          </w:p>
        </w:tc>
      </w:tr>
      <w:tr w:rsidR="0098065E" w:rsidRPr="00EA4C9B" w14:paraId="2E6C11ED" w14:textId="77777777" w:rsidTr="00BA7936">
        <w:tc>
          <w:tcPr>
            <w:tcW w:w="9016" w:type="dxa"/>
            <w:shd w:val="clear" w:color="auto" w:fill="003399"/>
          </w:tcPr>
          <w:p w14:paraId="3A857F29" w14:textId="72576916" w:rsidR="0098065E" w:rsidRPr="00EA4C9B" w:rsidRDefault="33184A21" w:rsidP="004D0911">
            <w:pPr>
              <w:pStyle w:val="FigTabCaption"/>
            </w:pPr>
            <w:bookmarkStart w:id="6" w:name="_Ref201227877"/>
            <w:r>
              <w:t xml:space="preserve">Figure </w:t>
            </w:r>
            <w:r w:rsidR="00490085">
              <w:t>A6</w:t>
            </w:r>
            <w:r>
              <w:t>-</w:t>
            </w:r>
            <w:r w:rsidR="00C76283">
              <w:fldChar w:fldCharType="begin"/>
            </w:r>
            <w:r w:rsidR="00C76283">
              <w:instrText>SEQ Figure_A5- \* ARABIC</w:instrText>
            </w:r>
            <w:r w:rsidR="00C76283">
              <w:fldChar w:fldCharType="separate"/>
            </w:r>
            <w:r w:rsidR="3E709603" w:rsidRPr="606E24A0">
              <w:rPr>
                <w:noProof/>
              </w:rPr>
              <w:t>1</w:t>
            </w:r>
            <w:r w:rsidR="00C76283">
              <w:fldChar w:fldCharType="end"/>
            </w:r>
            <w:bookmarkEnd w:id="6"/>
            <w:r w:rsidR="0098065E">
              <w:t>: Total environmental tax revenue in Austria (2009-2023) in billion euros</w:t>
            </w:r>
          </w:p>
        </w:tc>
      </w:tr>
    </w:tbl>
    <w:p w14:paraId="02F87643" w14:textId="52CFAD86" w:rsidR="0098065E" w:rsidRPr="00EA4C9B" w:rsidRDefault="0098065E" w:rsidP="0098065E">
      <w:r>
        <w:br/>
        <w:t>In 2023, total tax revenue (including net social contributions) accounted for 43.2% of Austria’s GDP</w:t>
      </w:r>
      <w:r w:rsidR="00D567B7">
        <w:t xml:space="preserve">, </w:t>
      </w:r>
      <w:r w:rsidR="00D567B7" w:rsidRPr="00D567B7">
        <w:t>a level broadly unchanged from 2009</w:t>
      </w:r>
      <w:r>
        <w:t xml:space="preserve">. In 2023, environmental taxes accounted for 4.7% of total tax </w:t>
      </w:r>
      <w:r>
        <w:lastRenderedPageBreak/>
        <w:t xml:space="preserve">revenue (including net social contributions). The environmental tax-to-total tax ratio was 5.6% in 2009. </w:t>
      </w:r>
      <w:r w:rsidR="0023484E" w:rsidRPr="0023484E">
        <w:t>As a share of total tax revenues, environmental tax revenues fell by 1.7 percentage points between 2009 and 2023, mainly due to a decline in energy tax revenues (down 2.3 percentage points), partly offset by a slight increase in resource taxes (up 0.2 percentage points)</w:t>
      </w:r>
      <w:r>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8065E" w:rsidRPr="00EA4C9B" w14:paraId="412E9317" w14:textId="77777777" w:rsidTr="00BA7936">
        <w:tc>
          <w:tcPr>
            <w:tcW w:w="9016" w:type="dxa"/>
          </w:tcPr>
          <w:p w14:paraId="10DD8E8E" w14:textId="77777777" w:rsidR="0098065E" w:rsidRPr="00EA4C9B" w:rsidRDefault="0098065E">
            <w:pPr>
              <w:spacing w:after="0"/>
              <w:jc w:val="center"/>
              <w:rPr>
                <w:sz w:val="10"/>
                <w:szCs w:val="10"/>
              </w:rPr>
            </w:pPr>
          </w:p>
          <w:p w14:paraId="1EB2A97E" w14:textId="77777777" w:rsidR="0098065E" w:rsidRPr="00EA4C9B" w:rsidRDefault="0098065E">
            <w:pPr>
              <w:spacing w:after="0"/>
              <w:jc w:val="center"/>
              <w:rPr>
                <w:sz w:val="10"/>
                <w:szCs w:val="10"/>
              </w:rPr>
            </w:pPr>
            <w:r w:rsidRPr="00EA4C9B">
              <w:rPr>
                <w:noProof/>
                <w:sz w:val="10"/>
                <w:szCs w:val="10"/>
              </w:rPr>
              <w:drawing>
                <wp:inline distT="0" distB="0" distL="0" distR="0" wp14:anchorId="67F7450F" wp14:editId="4A0FEDAD">
                  <wp:extent cx="4689695" cy="1557161"/>
                  <wp:effectExtent l="0" t="0" r="0" b="5080"/>
                  <wp:docPr id="999200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00597" name="Picture 2"/>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54320" cy="1578619"/>
                          </a:xfrm>
                          <a:prstGeom prst="rect">
                            <a:avLst/>
                          </a:prstGeom>
                        </pic:spPr>
                      </pic:pic>
                    </a:graphicData>
                  </a:graphic>
                </wp:inline>
              </w:drawing>
            </w:r>
          </w:p>
          <w:p w14:paraId="471D1154" w14:textId="77777777" w:rsidR="0098065E" w:rsidRPr="00EA4C9B" w:rsidRDefault="0098065E">
            <w:pPr>
              <w:spacing w:after="0"/>
              <w:jc w:val="center"/>
              <w:rPr>
                <w:sz w:val="10"/>
                <w:szCs w:val="10"/>
              </w:rPr>
            </w:pPr>
          </w:p>
        </w:tc>
      </w:tr>
      <w:tr w:rsidR="0098065E" w:rsidRPr="00EA4C9B" w14:paraId="17D09D4E" w14:textId="77777777" w:rsidTr="00BA7936">
        <w:tc>
          <w:tcPr>
            <w:tcW w:w="9016" w:type="dxa"/>
            <w:shd w:val="clear" w:color="auto" w:fill="003399"/>
          </w:tcPr>
          <w:p w14:paraId="32CDAF73" w14:textId="0BB054D5" w:rsidR="0098065E" w:rsidRPr="00EA4C9B" w:rsidRDefault="00036B4D" w:rsidP="004D0911">
            <w:pPr>
              <w:pStyle w:val="FigTabCaption"/>
            </w:pPr>
            <w:bookmarkStart w:id="7" w:name="_Ref201245307"/>
            <w:r w:rsidRPr="00EF0C05">
              <w:rPr>
                <w:rStyle w:val="FigTabCaptionChar"/>
                <w:b/>
              </w:rPr>
              <w:t xml:space="preserve">Figure </w:t>
            </w:r>
            <w:r w:rsidR="00490085">
              <w:rPr>
                <w:rStyle w:val="FigTabCaptionChar"/>
                <w:b/>
              </w:rPr>
              <w:t>A6</w:t>
            </w:r>
            <w:r w:rsidR="00EF0C05" w:rsidRPr="00EF0C05">
              <w:rPr>
                <w:rStyle w:val="FigTabCaptionChar"/>
                <w:b/>
              </w:rPr>
              <w:t>-</w:t>
            </w:r>
            <w:r w:rsidRPr="00EF0C05">
              <w:rPr>
                <w:rStyle w:val="FigTabCaptionChar"/>
                <w:b/>
              </w:rPr>
              <w:fldChar w:fldCharType="begin"/>
            </w:r>
            <w:r w:rsidRPr="00EA4C9B">
              <w:instrText xml:space="preserve"> SEQ Figure_A5- \* ARABIC </w:instrText>
            </w:r>
            <w:r w:rsidRPr="00EF0C05">
              <w:rPr>
                <w:rStyle w:val="FigTabCaptionChar"/>
                <w:b/>
              </w:rPr>
              <w:fldChar w:fldCharType="separate"/>
            </w:r>
            <w:r w:rsidR="00493E1F">
              <w:rPr>
                <w:noProof/>
              </w:rPr>
              <w:t>2</w:t>
            </w:r>
            <w:r w:rsidRPr="00EF0C05">
              <w:rPr>
                <w:rStyle w:val="FigTabCaptionChar"/>
                <w:b/>
              </w:rPr>
              <w:fldChar w:fldCharType="end"/>
            </w:r>
            <w:bookmarkEnd w:id="7"/>
            <w:r w:rsidR="0098065E" w:rsidRPr="00EA4C9B">
              <w:t>:</w:t>
            </w:r>
            <w:r w:rsidR="0098065E" w:rsidRPr="00EF0C05">
              <w:rPr>
                <w:rStyle w:val="FigTabCaptionChar"/>
                <w:b/>
              </w:rPr>
              <w:t xml:space="preserve"> </w:t>
            </w:r>
            <w:r w:rsidR="0098065E" w:rsidRPr="004E639F">
              <w:t>Fifteen-year (2009-2023) change in absolute terms and change as GDP-ratio of the revenues of energy taxes, transport taxes, resource taxes, pollution taxes and total environmental taxes</w:t>
            </w:r>
          </w:p>
        </w:tc>
      </w:tr>
    </w:tbl>
    <w:p w14:paraId="392F7A99" w14:textId="519F0216" w:rsidR="0098065E" w:rsidRPr="00EA4C9B" w:rsidRDefault="0098065E" w:rsidP="0098065E">
      <w:pPr>
        <w:rPr>
          <w:lang w:eastAsia="en-GB"/>
        </w:rPr>
      </w:pPr>
      <w:r>
        <w:br/>
      </w:r>
      <w:r w:rsidR="008F39DD" w:rsidRPr="008F39DD">
        <w:rPr>
          <w:lang w:eastAsia="en-GB"/>
        </w:rPr>
        <w:t xml:space="preserve">In recent years, Austria has made only limited progress in </w:t>
      </w:r>
      <w:r w:rsidR="008F39DD" w:rsidRPr="008F39DD">
        <w:rPr>
          <w:b/>
          <w:bCs/>
          <w:lang w:eastAsia="en-GB"/>
        </w:rPr>
        <w:t>making increased use of environmental taxation</w:t>
      </w:r>
      <w:r w:rsidR="008F39DD" w:rsidRPr="008F39DD">
        <w:rPr>
          <w:lang w:eastAsia="en-GB"/>
        </w:rPr>
        <w:t>. Although revenues have risen in absolute terms, the share of environmental taxes in GDP and in total tax revenue has gradually declined, suggesting that existing instruments have not expanded at the same pace as the wider tax system. This trend contrasts with the EU’s broader policy direction, which encourages Member States to strengthen the role of environmental taxation to support the polluter-pays principle and to help shift the tax burden away from labour. In Austria’s case, the limited increase reflects a stable but largely unchanged set of instruments, with few additions or adjustments beyond the long-standing ALSAG system</w:t>
      </w:r>
      <w:r w:rsidR="004C11CA" w:rsidRPr="004C11CA">
        <w:rPr>
          <w:lang w:eastAsia="en-GB"/>
        </w:rPr>
        <w:t>.</w:t>
      </w:r>
    </w:p>
    <w:p w14:paraId="370C67C8" w14:textId="003FF22F" w:rsidR="00282311" w:rsidRDefault="00872A1F" w:rsidP="00282311">
      <w:pPr>
        <w:rPr>
          <w:lang w:eastAsia="en-GB"/>
        </w:rPr>
      </w:pPr>
      <w:r>
        <w:rPr>
          <w:lang w:eastAsia="en-GB"/>
        </w:rPr>
        <w:t>In</w:t>
      </w:r>
      <w:r w:rsidR="0098065E" w:rsidRPr="00EA4C9B">
        <w:rPr>
          <w:lang w:eastAsia="en-GB"/>
        </w:rPr>
        <w:t xml:space="preserve"> 2021, Austria adopted an eco-social tax reform as part of its recovery and resilience plan (RRP). This reform introduced a national CO</w:t>
      </w:r>
      <w:r w:rsidR="0098065E" w:rsidRPr="00BA7936">
        <w:rPr>
          <w:vertAlign w:val="subscript"/>
          <w:lang w:eastAsia="en-GB"/>
        </w:rPr>
        <w:t>2</w:t>
      </w:r>
      <w:r w:rsidR="0098065E" w:rsidRPr="00EA4C9B">
        <w:rPr>
          <w:lang w:eastAsia="en-GB"/>
        </w:rPr>
        <w:t xml:space="preserve"> price for transport and heating sectors, while compensating households and supporting social inclusion through a range of measures. These include</w:t>
      </w:r>
      <w:r>
        <w:rPr>
          <w:lang w:eastAsia="en-GB"/>
        </w:rPr>
        <w:t>d</w:t>
      </w:r>
      <w:r w:rsidR="0098065E" w:rsidRPr="00EA4C9B">
        <w:rPr>
          <w:lang w:eastAsia="en-GB"/>
        </w:rPr>
        <w:t>, for example, a regional climate bonus</w:t>
      </w:r>
      <w:r w:rsidR="0081074A">
        <w:rPr>
          <w:lang w:eastAsia="en-GB"/>
        </w:rPr>
        <w:t xml:space="preserve"> </w:t>
      </w:r>
      <w:r w:rsidR="0098065E" w:rsidRPr="00EA4C9B">
        <w:rPr>
          <w:lang w:eastAsia="en-GB"/>
        </w:rPr>
        <w:t xml:space="preserve">and shifting the tax burden away from labour and towards more growth-friendly taxes (European Commission, 2022, European Commission, 2024a). </w:t>
      </w:r>
      <w:r w:rsidR="00A23482">
        <w:rPr>
          <w:lang w:eastAsia="en-GB"/>
        </w:rPr>
        <w:t>The climate bonus</w:t>
      </w:r>
      <w:r w:rsidR="00682F59">
        <w:rPr>
          <w:lang w:eastAsia="en-GB"/>
        </w:rPr>
        <w:t xml:space="preserve"> </w:t>
      </w:r>
      <w:r>
        <w:rPr>
          <w:lang w:eastAsia="en-GB"/>
        </w:rPr>
        <w:t xml:space="preserve">was, however, abolished in 2025 </w:t>
      </w:r>
      <w:r w:rsidR="00B61D40">
        <w:rPr>
          <w:lang w:eastAsia="en-GB"/>
        </w:rPr>
        <w:t>as a part of government saving measures.</w:t>
      </w:r>
    </w:p>
    <w:p w14:paraId="4132A812" w14:textId="5B35B923" w:rsidR="0098065E" w:rsidRPr="00282311" w:rsidRDefault="0098065E" w:rsidP="007C4EB7">
      <w:pPr>
        <w:pStyle w:val="AnnexHeading2"/>
      </w:pPr>
      <w:bookmarkStart w:id="8" w:name="_Toc214008830"/>
      <w:r w:rsidRPr="00282311">
        <w:t>Existing pollution and resource taxes</w:t>
      </w:r>
      <w:bookmarkEnd w:id="8"/>
      <w:r w:rsidRPr="00282311">
        <w:t xml:space="preserve"> </w:t>
      </w:r>
    </w:p>
    <w:p w14:paraId="3F52CC10" w14:textId="7AB3A06F" w:rsidR="0098065E" w:rsidRPr="00D541AE" w:rsidRDefault="0098065E" w:rsidP="007953BD">
      <w:pPr>
        <w:rPr>
          <w:color w:val="A6A6A6" w:themeColor="background1" w:themeShade="A6"/>
        </w:rPr>
      </w:pPr>
      <w:r w:rsidRPr="00930777">
        <w:t>In 2023, pollution and resource tax revenues reached 54.3 and 18.0 million EUR, respectively. These resulted from an increase in absolute terms of 78.2% for resource taxes and a decrease of 5.3% for pollution taxes over 15 years (2009-2023). However, in terms of GDP-ratios, pollution taxes decreased by 36.0% while resource taxes increased by 18.9% (</w:t>
      </w:r>
      <w:r w:rsidR="007953BD" w:rsidRPr="007953BD">
        <w:rPr>
          <w:b/>
          <w:bCs/>
        </w:rPr>
        <w:fldChar w:fldCharType="begin"/>
      </w:r>
      <w:r w:rsidR="007953BD" w:rsidRPr="007953BD">
        <w:rPr>
          <w:b/>
          <w:bCs/>
        </w:rPr>
        <w:instrText xml:space="preserve"> REF _Ref201245307 \h  \* MERGEFORMAT </w:instrText>
      </w:r>
      <w:r w:rsidR="007953BD" w:rsidRPr="007953BD">
        <w:rPr>
          <w:b/>
          <w:bCs/>
        </w:rPr>
      </w:r>
      <w:r w:rsidR="007953BD" w:rsidRPr="007953BD">
        <w:rPr>
          <w:b/>
          <w:bCs/>
        </w:rPr>
        <w:fldChar w:fldCharType="separate"/>
      </w:r>
      <w:r w:rsidR="007953BD" w:rsidRPr="606E24A0">
        <w:rPr>
          <w:rStyle w:val="FigTabCaptionChar"/>
          <w:b w:val="0"/>
          <w:color w:val="auto"/>
          <w:sz w:val="22"/>
          <w:szCs w:val="22"/>
        </w:rPr>
        <w:t xml:space="preserve">Figure </w:t>
      </w:r>
      <w:r w:rsidR="00490085" w:rsidRPr="606E24A0">
        <w:rPr>
          <w:rStyle w:val="FigTabCaptionChar"/>
          <w:b w:val="0"/>
          <w:color w:val="auto"/>
          <w:sz w:val="22"/>
          <w:szCs w:val="22"/>
        </w:rPr>
        <w:t>A6</w:t>
      </w:r>
      <w:r w:rsidR="007953BD" w:rsidRPr="606E24A0">
        <w:rPr>
          <w:rStyle w:val="FigTabCaptionChar"/>
          <w:b w:val="0"/>
          <w:color w:val="auto"/>
          <w:sz w:val="22"/>
          <w:szCs w:val="22"/>
        </w:rPr>
        <w:t>-2</w:t>
      </w:r>
      <w:r w:rsidR="007953BD" w:rsidRPr="007953BD">
        <w:rPr>
          <w:b/>
          <w:bCs/>
        </w:rPr>
        <w:fldChar w:fldCharType="end"/>
      </w:r>
      <w:r w:rsidRPr="00E51E60">
        <w:t>).</w:t>
      </w:r>
      <w:r w:rsidRPr="00E51E60">
        <w:rPr>
          <w:color w:val="A6A6A6" w:themeColor="background1" w:themeShade="A6"/>
        </w:rPr>
        <w:t xml:space="preserve"> </w:t>
      </w:r>
      <w:r w:rsidR="00D541AE">
        <w:rPr>
          <w:color w:val="A6A6A6" w:themeColor="background1" w:themeShade="A6"/>
        </w:rPr>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8065E" w:rsidRPr="00EA4C9B" w14:paraId="5F4D6BB0" w14:textId="77777777" w:rsidTr="00BA7936">
        <w:tc>
          <w:tcPr>
            <w:tcW w:w="9016" w:type="dxa"/>
          </w:tcPr>
          <w:p w14:paraId="2A718047" w14:textId="77777777" w:rsidR="0098065E" w:rsidRPr="00EA4C9B" w:rsidRDefault="0098065E">
            <w:pPr>
              <w:spacing w:after="0"/>
              <w:rPr>
                <w:sz w:val="10"/>
                <w:szCs w:val="10"/>
              </w:rPr>
            </w:pPr>
          </w:p>
          <w:p w14:paraId="5F52F23E" w14:textId="77777777" w:rsidR="0098065E" w:rsidRPr="00EA4C9B" w:rsidRDefault="0098065E">
            <w:pPr>
              <w:spacing w:after="0"/>
              <w:jc w:val="center"/>
              <w:rPr>
                <w:sz w:val="10"/>
                <w:szCs w:val="10"/>
              </w:rPr>
            </w:pPr>
            <w:r w:rsidRPr="00EA4C9B">
              <w:rPr>
                <w:noProof/>
              </w:rPr>
              <w:drawing>
                <wp:inline distT="0" distB="0" distL="0" distR="0" wp14:anchorId="58D2F9DF" wp14:editId="30C8BEDF">
                  <wp:extent cx="5564837" cy="1329846"/>
                  <wp:effectExtent l="0" t="0" r="0" b="3810"/>
                  <wp:docPr id="1397210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564837" cy="1329846"/>
                          </a:xfrm>
                          <a:prstGeom prst="rect">
                            <a:avLst/>
                          </a:prstGeom>
                        </pic:spPr>
                      </pic:pic>
                    </a:graphicData>
                  </a:graphic>
                </wp:inline>
              </w:drawing>
            </w:r>
          </w:p>
          <w:p w14:paraId="0C24152F" w14:textId="77777777" w:rsidR="0098065E" w:rsidRPr="00EA4C9B" w:rsidRDefault="0098065E">
            <w:pPr>
              <w:spacing w:after="0"/>
              <w:jc w:val="center"/>
              <w:rPr>
                <w:sz w:val="10"/>
                <w:szCs w:val="10"/>
              </w:rPr>
            </w:pPr>
          </w:p>
        </w:tc>
      </w:tr>
      <w:tr w:rsidR="0098065E" w:rsidRPr="00EA4C9B" w14:paraId="1CE1ADDF" w14:textId="77777777" w:rsidTr="00BA7936">
        <w:tc>
          <w:tcPr>
            <w:tcW w:w="9016" w:type="dxa"/>
            <w:shd w:val="clear" w:color="auto" w:fill="003399"/>
          </w:tcPr>
          <w:p w14:paraId="382920F2" w14:textId="3FAB30D9" w:rsidR="0098065E" w:rsidRPr="00CB720E" w:rsidRDefault="00CE41C4" w:rsidP="00CB720E">
            <w:pPr>
              <w:pStyle w:val="FigTabCaption"/>
            </w:pPr>
            <w:bookmarkStart w:id="9" w:name="_Ref201227752"/>
            <w:r w:rsidRPr="00CB720E">
              <w:t xml:space="preserve">Figure </w:t>
            </w:r>
            <w:r w:rsidR="00490085">
              <w:t>A6</w:t>
            </w:r>
            <w:r w:rsidRPr="00CB720E">
              <w:t>-</w:t>
            </w:r>
            <w:r>
              <w:fldChar w:fldCharType="begin"/>
            </w:r>
            <w:r>
              <w:instrText>SEQ Figure_A5- \* ARABIC</w:instrText>
            </w:r>
            <w:r>
              <w:fldChar w:fldCharType="separate"/>
            </w:r>
            <w:r w:rsidR="00493E1F">
              <w:rPr>
                <w:noProof/>
              </w:rPr>
              <w:t>3</w:t>
            </w:r>
            <w:r>
              <w:fldChar w:fldCharType="end"/>
            </w:r>
            <w:bookmarkEnd w:id="9"/>
            <w:r w:rsidR="008D3693" w:rsidRPr="00CB720E">
              <w:t>:</w:t>
            </w:r>
            <w:r w:rsidR="0098065E" w:rsidRPr="00CB720E">
              <w:t xml:space="preserve"> Resource and pollution tax revenues in Austria (2009-2023) in million euros. </w:t>
            </w:r>
            <w:r w:rsidR="0098065E" w:rsidRPr="003B540D">
              <w:rPr>
                <w:i/>
                <w:iCs/>
              </w:rPr>
              <w:t>Note: the share between pollution and resource taxes in 2023 was estimated as the weighted average of past years </w:t>
            </w:r>
          </w:p>
        </w:tc>
      </w:tr>
    </w:tbl>
    <w:p w14:paraId="18D80234" w14:textId="77777777" w:rsidR="0098065E" w:rsidRDefault="0098065E" w:rsidP="00900431">
      <w:pPr>
        <w:pStyle w:val="Caption"/>
        <w:jc w:val="both"/>
      </w:pPr>
    </w:p>
    <w:p w14:paraId="42C609B5" w14:textId="4184A6A0" w:rsidR="005D035B" w:rsidRDefault="00C6610B" w:rsidP="00F82817">
      <w:pPr>
        <w:pStyle w:val="Heading4"/>
      </w:pPr>
      <w:r w:rsidRPr="00EA4C9B">
        <w:t xml:space="preserve">List of </w:t>
      </w:r>
      <w:r w:rsidR="00710F35">
        <w:t>pollution and resource</w:t>
      </w:r>
      <w:r w:rsidR="00710F35" w:rsidRPr="00EA4C9B">
        <w:t xml:space="preserve"> taxes and revenue shares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98065E" w:rsidRPr="00EA4C9B" w14:paraId="79B54D61" w14:textId="77777777" w:rsidTr="003D73E4">
        <w:trPr>
          <w:trHeight w:val="147"/>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31D95597" w14:textId="08CE6863" w:rsidR="0098065E" w:rsidRPr="005D035B" w:rsidRDefault="007953BD" w:rsidP="002E3703">
            <w:pPr>
              <w:pStyle w:val="Table"/>
              <w:rPr>
                <w:b/>
                <w:color w:val="FFFFFF" w:themeColor="background1"/>
                <w:lang w:eastAsia="en-GB"/>
              </w:rPr>
            </w:pPr>
            <w:r w:rsidRPr="002E3703">
              <w:rPr>
                <w:b/>
                <w:color w:val="FFFFFF" w:themeColor="background1"/>
              </w:rPr>
              <w:t xml:space="preserve">Table </w:t>
            </w:r>
            <w:r w:rsidR="00490085">
              <w:rPr>
                <w:b/>
                <w:color w:val="FFFFFF" w:themeColor="background1"/>
              </w:rPr>
              <w:t>A6</w:t>
            </w:r>
            <w:r w:rsidR="00223481" w:rsidRPr="002E3703">
              <w:rPr>
                <w:b/>
                <w:color w:val="FFFFFF" w:themeColor="background1"/>
              </w:rPr>
              <w:t>-</w:t>
            </w:r>
            <w:r w:rsidRPr="002E3703">
              <w:rPr>
                <w:b/>
                <w:color w:val="FFFFFF" w:themeColor="background1"/>
              </w:rPr>
              <w:fldChar w:fldCharType="begin"/>
            </w:r>
            <w:r w:rsidRPr="002E3703">
              <w:rPr>
                <w:b/>
                <w:color w:val="FFFFFF" w:themeColor="background1"/>
                <w:lang w:eastAsia="en-GB"/>
              </w:rPr>
              <w:instrText xml:space="preserve"> SEQ Table_A5- \* ARABIC </w:instrText>
            </w:r>
            <w:r w:rsidRPr="002E3703">
              <w:rPr>
                <w:b/>
                <w:color w:val="FFFFFF" w:themeColor="background1"/>
              </w:rPr>
              <w:fldChar w:fldCharType="separate"/>
            </w:r>
            <w:r w:rsidRPr="002E3703">
              <w:rPr>
                <w:b/>
                <w:color w:val="FFFFFF" w:themeColor="background1"/>
                <w:lang w:eastAsia="en-GB"/>
              </w:rPr>
              <w:t>1</w:t>
            </w:r>
            <w:r w:rsidRPr="002E3703">
              <w:rPr>
                <w:b/>
                <w:color w:val="FFFFFF" w:themeColor="background1"/>
              </w:rPr>
              <w:fldChar w:fldCharType="end"/>
            </w:r>
            <w:r w:rsidRPr="002E3703">
              <w:rPr>
                <w:b/>
                <w:color w:val="FFFFFF" w:themeColor="background1"/>
                <w:lang w:eastAsia="en-GB"/>
              </w:rPr>
              <w:t>:</w:t>
            </w:r>
            <w:r w:rsidR="0003383A" w:rsidRPr="002E3703">
              <w:rPr>
                <w:b/>
                <w:color w:val="FFFFFF" w:themeColor="background1"/>
                <w:lang w:eastAsia="en-GB"/>
              </w:rPr>
              <w:t xml:space="preserve"> </w:t>
            </w:r>
            <w:r w:rsidR="0098065E" w:rsidRPr="002E3703">
              <w:rPr>
                <w:b/>
                <w:color w:val="FFFFFF" w:themeColor="background1"/>
              </w:rPr>
              <w:t>Pollution</w:t>
            </w:r>
            <w:r w:rsidR="0098065E" w:rsidRPr="002E3703">
              <w:rPr>
                <w:b/>
                <w:color w:val="FFFFFF" w:themeColor="background1"/>
                <w:lang w:eastAsia="en-GB"/>
              </w:rPr>
              <w:t xml:space="preserve"> taxes </w:t>
            </w:r>
          </w:p>
        </w:tc>
      </w:tr>
      <w:tr w:rsidR="0098065E" w:rsidRPr="00EA4C9B" w14:paraId="16A91680" w14:textId="77777777" w:rsidTr="003D73E4">
        <w:trPr>
          <w:trHeight w:val="76"/>
        </w:trPr>
        <w:tc>
          <w:tcPr>
            <w:tcW w:w="3497" w:type="dxa"/>
            <w:tcBorders>
              <w:top w:val="single" w:sz="6" w:space="0" w:color="auto"/>
              <w:left w:val="single" w:sz="6" w:space="0" w:color="auto"/>
              <w:bottom w:val="single" w:sz="6" w:space="0" w:color="auto"/>
              <w:right w:val="single" w:sz="6" w:space="0" w:color="auto"/>
            </w:tcBorders>
            <w:hideMark/>
          </w:tcPr>
          <w:p w14:paraId="3B66860A" w14:textId="77777777" w:rsidR="0098065E" w:rsidRPr="00EA4C9B" w:rsidRDefault="0098065E" w:rsidP="002E3703">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8" w:type="dxa"/>
            <w:tcBorders>
              <w:top w:val="single" w:sz="6" w:space="0" w:color="auto"/>
              <w:left w:val="single" w:sz="6" w:space="0" w:color="auto"/>
              <w:bottom w:val="single" w:sz="6" w:space="0" w:color="auto"/>
              <w:right w:val="single" w:sz="6" w:space="0" w:color="auto"/>
            </w:tcBorders>
          </w:tcPr>
          <w:p w14:paraId="6730F496" w14:textId="77777777" w:rsidR="0098065E" w:rsidRPr="00EA4C9B" w:rsidRDefault="0098065E" w:rsidP="00BA7936">
            <w:pPr>
              <w:pStyle w:val="Table"/>
              <w:jc w:val="center"/>
              <w:rPr>
                <w:rFonts w:ascii="Calibri" w:eastAsia="Times New Roman" w:hAnsi="Calibri" w:cs="Calibri"/>
                <w:b/>
                <w:bCs/>
                <w:szCs w:val="20"/>
                <w:lang w:eastAsia="en-GB"/>
              </w:rPr>
            </w:pPr>
            <w:r w:rsidRPr="00EA4C9B">
              <w:rPr>
                <w:rFonts w:ascii="Calibri" w:eastAsia="Times New Roman" w:hAnsi="Calibri" w:cs="Calibri"/>
                <w:b/>
                <w:szCs w:val="20"/>
                <w:lang w:eastAsia="en-GB"/>
              </w:rPr>
              <w:t>Revenue (€ million)</w:t>
            </w:r>
          </w:p>
          <w:p w14:paraId="5C241F38" w14:textId="77777777" w:rsidR="0098065E" w:rsidRPr="00EA4C9B" w:rsidRDefault="0098065E" w:rsidP="00BA7936">
            <w:pPr>
              <w:pStyle w:val="Table"/>
              <w:jc w:val="center"/>
              <w:rPr>
                <w:rFonts w:ascii="Calibri" w:eastAsia="Times New Roman" w:hAnsi="Calibri" w:cs="Calibri"/>
                <w:b/>
                <w:bCs/>
                <w:szCs w:val="20"/>
                <w:lang w:eastAsia="en-GB"/>
              </w:rPr>
            </w:pPr>
            <w:r w:rsidRPr="00EA4C9B">
              <w:rPr>
                <w:rFonts w:ascii="Calibri" w:eastAsia="Times New Roman" w:hAnsi="Calibri" w:cs="Calibri"/>
                <w:b/>
                <w:szCs w:val="20"/>
                <w:lang w:eastAsia="en-GB"/>
              </w:rPr>
              <w:t>2009-2023</w:t>
            </w:r>
          </w:p>
        </w:tc>
        <w:tc>
          <w:tcPr>
            <w:tcW w:w="1894" w:type="dxa"/>
            <w:tcBorders>
              <w:top w:val="single" w:sz="6" w:space="0" w:color="auto"/>
              <w:left w:val="single" w:sz="6" w:space="0" w:color="auto"/>
              <w:bottom w:val="single" w:sz="6" w:space="0" w:color="auto"/>
              <w:right w:val="single" w:sz="6" w:space="0" w:color="auto"/>
            </w:tcBorders>
            <w:hideMark/>
          </w:tcPr>
          <w:p w14:paraId="70CE836E" w14:textId="77777777" w:rsidR="0098065E" w:rsidRPr="00EA4C9B" w:rsidRDefault="0098065E" w:rsidP="00BA7936">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3D94F5DE" w14:textId="77777777" w:rsidR="0098065E" w:rsidRPr="00EA4C9B" w:rsidRDefault="0098065E" w:rsidP="00BA7936">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waste tax revenues</w:t>
            </w:r>
          </w:p>
        </w:tc>
      </w:tr>
      <w:tr w:rsidR="0098065E" w:rsidRPr="00EA4C9B" w14:paraId="2D5AF4D9" w14:textId="77777777" w:rsidTr="003D73E4">
        <w:trPr>
          <w:trHeight w:val="49"/>
        </w:trPr>
        <w:tc>
          <w:tcPr>
            <w:tcW w:w="3497" w:type="dxa"/>
            <w:tcBorders>
              <w:top w:val="single" w:sz="6" w:space="0" w:color="auto"/>
              <w:left w:val="single" w:sz="6" w:space="0" w:color="auto"/>
              <w:bottom w:val="single" w:sz="6" w:space="0" w:color="auto"/>
              <w:right w:val="single" w:sz="6" w:space="0" w:color="auto"/>
            </w:tcBorders>
            <w:hideMark/>
          </w:tcPr>
          <w:p w14:paraId="6FD0DF99" w14:textId="77777777" w:rsidR="0098065E" w:rsidRPr="00EA4C9B" w:rsidRDefault="0098065E" w:rsidP="002E3703">
            <w:pPr>
              <w:pStyle w:val="Table"/>
              <w:rPr>
                <w:rFonts w:ascii="Times New Roman" w:eastAsia="Times New Roman" w:hAnsi="Times New Roman" w:cs="Times New Roman"/>
                <w:sz w:val="24"/>
                <w:lang w:eastAsia="en-GB"/>
              </w:rPr>
            </w:pPr>
            <w:r w:rsidRPr="00EA4C9B">
              <w:rPr>
                <w:rFonts w:ascii="Calibri" w:eastAsia="Calibri" w:hAnsi="Calibri" w:cs="Calibri"/>
                <w:szCs w:val="20"/>
              </w:rPr>
              <w:t>Levy on dangerous waste</w:t>
            </w:r>
          </w:p>
        </w:tc>
        <w:tc>
          <w:tcPr>
            <w:tcW w:w="1718" w:type="dxa"/>
            <w:tcBorders>
              <w:top w:val="single" w:sz="6" w:space="0" w:color="auto"/>
              <w:left w:val="single" w:sz="6" w:space="0" w:color="auto"/>
              <w:bottom w:val="single" w:sz="6" w:space="0" w:color="auto"/>
              <w:right w:val="single" w:sz="6" w:space="0" w:color="auto"/>
            </w:tcBorders>
          </w:tcPr>
          <w:p w14:paraId="3B1EEC24" w14:textId="77777777" w:rsidR="0098065E" w:rsidRPr="00EA4C9B" w:rsidRDefault="0098065E" w:rsidP="00BA7936">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873.42</w:t>
            </w:r>
          </w:p>
        </w:tc>
        <w:tc>
          <w:tcPr>
            <w:tcW w:w="1894" w:type="dxa"/>
            <w:tcBorders>
              <w:top w:val="single" w:sz="6" w:space="0" w:color="auto"/>
              <w:left w:val="single" w:sz="6" w:space="0" w:color="auto"/>
              <w:bottom w:val="single" w:sz="6" w:space="0" w:color="auto"/>
              <w:right w:val="single" w:sz="6" w:space="0" w:color="auto"/>
            </w:tcBorders>
            <w:hideMark/>
          </w:tcPr>
          <w:p w14:paraId="2C55E8C9" w14:textId="77777777" w:rsidR="0098065E" w:rsidRPr="00EA4C9B" w:rsidRDefault="0098065E" w:rsidP="00BA7936">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58.23</w:t>
            </w:r>
          </w:p>
        </w:tc>
        <w:tc>
          <w:tcPr>
            <w:tcW w:w="1901" w:type="dxa"/>
            <w:tcBorders>
              <w:top w:val="single" w:sz="6" w:space="0" w:color="auto"/>
              <w:left w:val="single" w:sz="6" w:space="0" w:color="auto"/>
              <w:bottom w:val="single" w:sz="6" w:space="0" w:color="auto"/>
              <w:right w:val="single" w:sz="6" w:space="0" w:color="auto"/>
            </w:tcBorders>
            <w:hideMark/>
          </w:tcPr>
          <w:p w14:paraId="76D03A56" w14:textId="77777777" w:rsidR="0098065E" w:rsidRPr="00EA4C9B" w:rsidRDefault="0098065E" w:rsidP="00BA7936">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100%</w:t>
            </w:r>
          </w:p>
        </w:tc>
      </w:tr>
    </w:tbl>
    <w:p w14:paraId="08A7999E" w14:textId="4FB8389A" w:rsidR="007953BD" w:rsidRDefault="007953BD" w:rsidP="007953BD">
      <w:pPr>
        <w:pStyle w:val="Caption"/>
        <w:jc w:val="both"/>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98065E" w:rsidRPr="00EA4C9B" w14:paraId="418EFF18" w14:textId="77777777" w:rsidTr="003D73E4">
        <w:trPr>
          <w:trHeight w:val="49"/>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0151FE22" w14:textId="6329BF25" w:rsidR="0098065E" w:rsidRPr="005D035B" w:rsidRDefault="007953BD" w:rsidP="005D035B">
            <w:pPr>
              <w:pStyle w:val="Caption"/>
              <w:jc w:val="left"/>
              <w:rPr>
                <w:color w:val="FFFFFF" w:themeColor="background1"/>
              </w:rPr>
            </w:pPr>
            <w:r w:rsidRPr="005D035B">
              <w:rPr>
                <w:color w:val="FFFFFF" w:themeColor="background1"/>
              </w:rPr>
              <w:t xml:space="preserve">Table </w:t>
            </w:r>
            <w:r w:rsidR="00490085">
              <w:rPr>
                <w:color w:val="FFFFFF" w:themeColor="background1"/>
              </w:rPr>
              <w:t>A6</w:t>
            </w:r>
            <w:r w:rsidR="005D035B" w:rsidRPr="005D035B">
              <w:rPr>
                <w:color w:val="FFFFFF" w:themeColor="background1"/>
              </w:rPr>
              <w:t>-</w:t>
            </w:r>
            <w:r w:rsidRPr="00B36F87">
              <w:rPr>
                <w:color w:val="FFFFFF" w:themeColor="background1"/>
              </w:rPr>
              <w:fldChar w:fldCharType="begin"/>
            </w:r>
            <w:r w:rsidRPr="00BA7936">
              <w:rPr>
                <w:color w:val="FFFFFF" w:themeColor="background1"/>
              </w:rPr>
              <w:instrText xml:space="preserve"> SEQ Table_A5- \* ARABIC </w:instrText>
            </w:r>
            <w:r w:rsidRPr="00B36F87">
              <w:rPr>
                <w:color w:val="FFFFFF" w:themeColor="background1"/>
              </w:rPr>
              <w:fldChar w:fldCharType="separate"/>
            </w:r>
            <w:r w:rsidRPr="00BA7936">
              <w:rPr>
                <w:color w:val="FFFFFF" w:themeColor="background1"/>
              </w:rPr>
              <w:t>2</w:t>
            </w:r>
            <w:r w:rsidRPr="00B36F87">
              <w:rPr>
                <w:color w:val="FFFFFF" w:themeColor="background1"/>
              </w:rPr>
              <w:fldChar w:fldCharType="end"/>
            </w:r>
            <w:r w:rsidR="0098065E" w:rsidRPr="00B36F87">
              <w:rPr>
                <w:color w:val="FFFFFF" w:themeColor="background1"/>
                <w:lang w:eastAsia="en-GB"/>
              </w:rPr>
              <w:t xml:space="preserve">: </w:t>
            </w:r>
            <w:r w:rsidR="0098065E" w:rsidRPr="00B36F87">
              <w:rPr>
                <w:color w:val="FFFFFF" w:themeColor="background1"/>
              </w:rPr>
              <w:t>R</w:t>
            </w:r>
            <w:r w:rsidR="0098065E" w:rsidRPr="005D035B">
              <w:rPr>
                <w:color w:val="FFFFFF" w:themeColor="background1"/>
              </w:rPr>
              <w:t>esource</w:t>
            </w:r>
            <w:r w:rsidR="0098065E" w:rsidRPr="005D035B">
              <w:rPr>
                <w:color w:val="FFFFFF" w:themeColor="background1"/>
                <w:lang w:eastAsia="en-GB"/>
              </w:rPr>
              <w:t xml:space="preserve"> taxes </w:t>
            </w:r>
          </w:p>
        </w:tc>
      </w:tr>
      <w:tr w:rsidR="0098065E" w:rsidRPr="00EA4C9B" w14:paraId="484916CA" w14:textId="77777777" w:rsidTr="003D73E4">
        <w:trPr>
          <w:trHeight w:val="76"/>
        </w:trPr>
        <w:tc>
          <w:tcPr>
            <w:tcW w:w="3497" w:type="dxa"/>
            <w:tcBorders>
              <w:top w:val="single" w:sz="6" w:space="0" w:color="auto"/>
              <w:left w:val="single" w:sz="6" w:space="0" w:color="auto"/>
              <w:bottom w:val="single" w:sz="6" w:space="0" w:color="auto"/>
              <w:right w:val="single" w:sz="6" w:space="0" w:color="auto"/>
            </w:tcBorders>
            <w:hideMark/>
          </w:tcPr>
          <w:p w14:paraId="25DD2406" w14:textId="77777777" w:rsidR="0098065E" w:rsidRPr="00EA4C9B" w:rsidRDefault="0098065E">
            <w:pPr>
              <w:spacing w:after="0"/>
              <w:textAlignment w:val="baseline"/>
              <w:rPr>
                <w:rFonts w:ascii="Times New Roman" w:eastAsia="Times New Roman" w:hAnsi="Times New Roman" w:cs="Times New Roman"/>
                <w:sz w:val="20"/>
                <w:szCs w:val="20"/>
                <w:lang w:eastAsia="en-GB"/>
              </w:rPr>
            </w:pPr>
            <w:r w:rsidRPr="00EA4C9B">
              <w:rPr>
                <w:rFonts w:ascii="Calibri" w:eastAsia="Times New Roman" w:hAnsi="Calibri" w:cs="Calibri"/>
                <w:b/>
                <w:bCs/>
                <w:sz w:val="20"/>
                <w:szCs w:val="20"/>
                <w:lang w:eastAsia="en-GB"/>
              </w:rPr>
              <w:t>Tax Name</w:t>
            </w:r>
            <w:r w:rsidRPr="00EA4C9B">
              <w:rPr>
                <w:rFonts w:ascii="Calibri" w:eastAsia="Times New Roman" w:hAnsi="Calibri" w:cs="Calibri"/>
                <w:sz w:val="20"/>
                <w:szCs w:val="20"/>
                <w:lang w:eastAsia="en-GB"/>
              </w:rPr>
              <w:t> </w:t>
            </w:r>
          </w:p>
        </w:tc>
        <w:tc>
          <w:tcPr>
            <w:tcW w:w="1718" w:type="dxa"/>
            <w:tcBorders>
              <w:top w:val="single" w:sz="6" w:space="0" w:color="auto"/>
              <w:left w:val="single" w:sz="6" w:space="0" w:color="auto"/>
              <w:bottom w:val="single" w:sz="6" w:space="0" w:color="auto"/>
              <w:right w:val="single" w:sz="6" w:space="0" w:color="auto"/>
            </w:tcBorders>
          </w:tcPr>
          <w:p w14:paraId="2FBBB320" w14:textId="77777777" w:rsidR="0098065E" w:rsidRPr="00EA4C9B" w:rsidRDefault="0098065E">
            <w:pPr>
              <w:spacing w:after="0"/>
              <w:jc w:val="center"/>
              <w:textAlignment w:val="baseline"/>
              <w:rPr>
                <w:rFonts w:ascii="Calibri" w:eastAsia="Times New Roman" w:hAnsi="Calibri" w:cs="Calibri"/>
                <w:b/>
                <w:bCs/>
                <w:sz w:val="20"/>
                <w:szCs w:val="20"/>
                <w:lang w:eastAsia="en-GB"/>
              </w:rPr>
            </w:pPr>
            <w:r w:rsidRPr="00EA4C9B">
              <w:rPr>
                <w:rFonts w:ascii="Calibri" w:eastAsia="Times New Roman" w:hAnsi="Calibri" w:cs="Calibri"/>
                <w:b/>
                <w:bCs/>
                <w:sz w:val="20"/>
                <w:szCs w:val="20"/>
                <w:lang w:eastAsia="en-GB"/>
              </w:rPr>
              <w:t>Revenue (€ million)</w:t>
            </w:r>
          </w:p>
          <w:p w14:paraId="4ED3AE43" w14:textId="77777777" w:rsidR="0098065E" w:rsidRPr="00EA4C9B" w:rsidRDefault="0098065E">
            <w:pPr>
              <w:spacing w:after="0"/>
              <w:jc w:val="center"/>
              <w:textAlignment w:val="baseline"/>
              <w:rPr>
                <w:rFonts w:ascii="Calibri" w:eastAsia="Times New Roman" w:hAnsi="Calibri" w:cs="Calibri"/>
                <w:b/>
                <w:bCs/>
                <w:sz w:val="20"/>
                <w:szCs w:val="20"/>
                <w:lang w:eastAsia="en-GB"/>
              </w:rPr>
            </w:pPr>
            <w:r w:rsidRPr="00EA4C9B">
              <w:rPr>
                <w:rFonts w:ascii="Calibri" w:eastAsia="Times New Roman" w:hAnsi="Calibri" w:cs="Calibri"/>
                <w:b/>
                <w:bCs/>
                <w:sz w:val="20"/>
                <w:szCs w:val="20"/>
                <w:lang w:eastAsia="en-GB"/>
              </w:rPr>
              <w:t>2009-2023</w:t>
            </w:r>
          </w:p>
        </w:tc>
        <w:tc>
          <w:tcPr>
            <w:tcW w:w="1894" w:type="dxa"/>
            <w:tcBorders>
              <w:top w:val="single" w:sz="6" w:space="0" w:color="auto"/>
              <w:left w:val="single" w:sz="6" w:space="0" w:color="auto"/>
              <w:bottom w:val="single" w:sz="6" w:space="0" w:color="auto"/>
              <w:right w:val="single" w:sz="6" w:space="0" w:color="auto"/>
            </w:tcBorders>
            <w:hideMark/>
          </w:tcPr>
          <w:p w14:paraId="29D11FCD" w14:textId="77777777" w:rsidR="0098065E" w:rsidRPr="00EA4C9B" w:rsidRDefault="0098065E">
            <w:pPr>
              <w:spacing w:after="0"/>
              <w:jc w:val="center"/>
              <w:textAlignment w:val="baseline"/>
              <w:rPr>
                <w:rFonts w:ascii="Times New Roman" w:eastAsia="Times New Roman" w:hAnsi="Times New Roman" w:cs="Times New Roman"/>
                <w:sz w:val="20"/>
                <w:szCs w:val="20"/>
                <w:lang w:eastAsia="en-GB"/>
              </w:rPr>
            </w:pPr>
            <w:r w:rsidRPr="00EA4C9B">
              <w:rPr>
                <w:rFonts w:ascii="Calibri" w:eastAsia="Times New Roman" w:hAnsi="Calibri" w:cs="Calibri"/>
                <w:b/>
                <w:bCs/>
                <w:sz w:val="20"/>
                <w:szCs w:val="20"/>
                <w:lang w:eastAsia="en-GB"/>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56BDBEAF" w14:textId="77777777" w:rsidR="0098065E" w:rsidRPr="00EA4C9B" w:rsidRDefault="0098065E">
            <w:pPr>
              <w:spacing w:after="0"/>
              <w:jc w:val="center"/>
              <w:textAlignment w:val="baseline"/>
              <w:rPr>
                <w:rFonts w:ascii="Times New Roman" w:eastAsia="Times New Roman" w:hAnsi="Times New Roman" w:cs="Times New Roman"/>
                <w:sz w:val="20"/>
                <w:szCs w:val="20"/>
                <w:lang w:eastAsia="en-GB"/>
              </w:rPr>
            </w:pPr>
            <w:r w:rsidRPr="00EA4C9B">
              <w:rPr>
                <w:rFonts w:ascii="Calibri" w:eastAsia="Times New Roman" w:hAnsi="Calibri" w:cs="Calibri"/>
                <w:b/>
                <w:bCs/>
                <w:sz w:val="20"/>
                <w:szCs w:val="20"/>
                <w:lang w:eastAsia="en-GB"/>
              </w:rPr>
              <w:t>As share of all resource tax revenues</w:t>
            </w:r>
          </w:p>
        </w:tc>
      </w:tr>
      <w:tr w:rsidR="0098065E" w:rsidRPr="00EA4C9B" w14:paraId="41C32E6A" w14:textId="77777777" w:rsidTr="003D73E4">
        <w:trPr>
          <w:trHeight w:val="49"/>
        </w:trPr>
        <w:tc>
          <w:tcPr>
            <w:tcW w:w="3497" w:type="dxa"/>
            <w:tcBorders>
              <w:top w:val="single" w:sz="6" w:space="0" w:color="auto"/>
              <w:left w:val="single" w:sz="6" w:space="0" w:color="auto"/>
              <w:bottom w:val="single" w:sz="6" w:space="0" w:color="auto"/>
              <w:right w:val="single" w:sz="6" w:space="0" w:color="auto"/>
            </w:tcBorders>
            <w:hideMark/>
          </w:tcPr>
          <w:p w14:paraId="36FC2DB5" w14:textId="77777777" w:rsidR="0098065E" w:rsidRPr="00EA4C9B" w:rsidRDefault="0098065E">
            <w:pPr>
              <w:spacing w:after="0"/>
              <w:textAlignment w:val="baseline"/>
              <w:rPr>
                <w:rFonts w:ascii="Times New Roman" w:eastAsia="Times New Roman" w:hAnsi="Times New Roman" w:cs="Times New Roman"/>
                <w:sz w:val="20"/>
                <w:szCs w:val="20"/>
                <w:lang w:eastAsia="en-GB"/>
              </w:rPr>
            </w:pPr>
            <w:r w:rsidRPr="00EA4C9B">
              <w:rPr>
                <w:rFonts w:ascii="Calibri" w:eastAsia="Calibri" w:hAnsi="Calibri" w:cs="Calibri"/>
                <w:color w:val="000000" w:themeColor="text1"/>
                <w:sz w:val="20"/>
                <w:szCs w:val="20"/>
              </w:rPr>
              <w:t>Compensation levy according to the Vienna Tree Protection Act</w:t>
            </w:r>
          </w:p>
        </w:tc>
        <w:tc>
          <w:tcPr>
            <w:tcW w:w="1718" w:type="dxa"/>
            <w:tcBorders>
              <w:top w:val="single" w:sz="6" w:space="0" w:color="auto"/>
              <w:left w:val="single" w:sz="6" w:space="0" w:color="auto"/>
              <w:bottom w:val="single" w:sz="6" w:space="0" w:color="auto"/>
              <w:right w:val="single" w:sz="6" w:space="0" w:color="auto"/>
            </w:tcBorders>
          </w:tcPr>
          <w:p w14:paraId="037248EE" w14:textId="77777777" w:rsidR="0098065E" w:rsidRPr="00EA4C9B" w:rsidRDefault="0098065E">
            <w:pPr>
              <w:spacing w:after="0"/>
              <w:jc w:val="center"/>
              <w:textAlignment w:val="baseline"/>
              <w:rPr>
                <w:rFonts w:ascii="Calibri" w:eastAsia="Times New Roman" w:hAnsi="Calibri" w:cs="Calibri"/>
                <w:sz w:val="20"/>
                <w:szCs w:val="20"/>
                <w:lang w:eastAsia="en-GB"/>
              </w:rPr>
            </w:pPr>
            <w:r w:rsidRPr="00EA4C9B">
              <w:rPr>
                <w:rFonts w:ascii="Calibri" w:eastAsia="Times New Roman" w:hAnsi="Calibri" w:cs="Calibri"/>
                <w:sz w:val="20"/>
                <w:szCs w:val="20"/>
                <w:lang w:eastAsia="en-GB"/>
              </w:rPr>
              <w:t>39.53</w:t>
            </w:r>
          </w:p>
        </w:tc>
        <w:tc>
          <w:tcPr>
            <w:tcW w:w="1894" w:type="dxa"/>
            <w:tcBorders>
              <w:top w:val="single" w:sz="6" w:space="0" w:color="auto"/>
              <w:left w:val="single" w:sz="6" w:space="0" w:color="auto"/>
              <w:bottom w:val="single" w:sz="6" w:space="0" w:color="auto"/>
              <w:right w:val="single" w:sz="6" w:space="0" w:color="auto"/>
            </w:tcBorders>
            <w:hideMark/>
          </w:tcPr>
          <w:p w14:paraId="52649393" w14:textId="77777777" w:rsidR="0098065E" w:rsidRPr="00EA4C9B" w:rsidRDefault="0098065E">
            <w:pPr>
              <w:spacing w:after="0"/>
              <w:jc w:val="center"/>
              <w:textAlignment w:val="baseline"/>
              <w:rPr>
                <w:rFonts w:ascii="Times New Roman" w:eastAsia="Times New Roman" w:hAnsi="Times New Roman" w:cs="Times New Roman"/>
                <w:sz w:val="20"/>
                <w:szCs w:val="20"/>
                <w:lang w:eastAsia="en-GB"/>
              </w:rPr>
            </w:pPr>
            <w:r w:rsidRPr="00EA4C9B">
              <w:rPr>
                <w:rFonts w:ascii="Calibri" w:eastAsia="Times New Roman" w:hAnsi="Calibri" w:cs="Calibri"/>
                <w:sz w:val="20"/>
                <w:szCs w:val="20"/>
                <w:lang w:eastAsia="en-GB"/>
              </w:rPr>
              <w:t>2.64</w:t>
            </w:r>
          </w:p>
        </w:tc>
        <w:tc>
          <w:tcPr>
            <w:tcW w:w="1901" w:type="dxa"/>
            <w:tcBorders>
              <w:top w:val="single" w:sz="6" w:space="0" w:color="auto"/>
              <w:left w:val="single" w:sz="6" w:space="0" w:color="auto"/>
              <w:bottom w:val="single" w:sz="6" w:space="0" w:color="auto"/>
              <w:right w:val="single" w:sz="6" w:space="0" w:color="auto"/>
            </w:tcBorders>
            <w:hideMark/>
          </w:tcPr>
          <w:p w14:paraId="777E4252" w14:textId="77777777" w:rsidR="0098065E" w:rsidRPr="00EA4C9B" w:rsidRDefault="0098065E">
            <w:pPr>
              <w:spacing w:after="0"/>
              <w:jc w:val="center"/>
              <w:textAlignment w:val="baseline"/>
              <w:rPr>
                <w:rFonts w:ascii="Times New Roman" w:eastAsia="Times New Roman" w:hAnsi="Times New Roman" w:cs="Times New Roman"/>
                <w:sz w:val="20"/>
                <w:szCs w:val="20"/>
                <w:lang w:eastAsia="en-GB"/>
              </w:rPr>
            </w:pPr>
            <w:r w:rsidRPr="00EA4C9B">
              <w:rPr>
                <w:rFonts w:ascii="Calibri" w:eastAsia="Times New Roman" w:hAnsi="Calibri" w:cs="Calibri"/>
                <w:sz w:val="20"/>
                <w:szCs w:val="20"/>
                <w:lang w:eastAsia="en-GB"/>
              </w:rPr>
              <w:t>13.5%</w:t>
            </w:r>
          </w:p>
        </w:tc>
      </w:tr>
      <w:tr w:rsidR="0098065E" w:rsidRPr="00EA4C9B" w14:paraId="6D4A0177" w14:textId="77777777" w:rsidTr="003D73E4">
        <w:trPr>
          <w:trHeight w:val="49"/>
        </w:trPr>
        <w:tc>
          <w:tcPr>
            <w:tcW w:w="3497" w:type="dxa"/>
            <w:tcBorders>
              <w:top w:val="single" w:sz="6" w:space="0" w:color="auto"/>
              <w:left w:val="single" w:sz="6" w:space="0" w:color="auto"/>
              <w:bottom w:val="single" w:sz="6" w:space="0" w:color="auto"/>
              <w:right w:val="single" w:sz="6" w:space="0" w:color="auto"/>
            </w:tcBorders>
            <w:hideMark/>
          </w:tcPr>
          <w:p w14:paraId="77D85E43" w14:textId="77777777" w:rsidR="0098065E" w:rsidRPr="00EA4C9B" w:rsidRDefault="0098065E">
            <w:pPr>
              <w:spacing w:after="0"/>
              <w:textAlignment w:val="baseline"/>
              <w:rPr>
                <w:rFonts w:ascii="Times New Roman" w:eastAsia="Times New Roman" w:hAnsi="Times New Roman" w:cs="Times New Roman"/>
                <w:sz w:val="20"/>
                <w:szCs w:val="20"/>
                <w:lang w:eastAsia="en-GB"/>
              </w:rPr>
            </w:pPr>
            <w:r w:rsidRPr="00EA4C9B">
              <w:rPr>
                <w:rFonts w:ascii="Calibri" w:eastAsia="Calibri" w:hAnsi="Calibri" w:cs="Calibri"/>
                <w:color w:val="000000" w:themeColor="text1"/>
                <w:sz w:val="20"/>
                <w:szCs w:val="20"/>
              </w:rPr>
              <w:t>Hunting and fishing duties</w:t>
            </w:r>
          </w:p>
        </w:tc>
        <w:tc>
          <w:tcPr>
            <w:tcW w:w="1718" w:type="dxa"/>
            <w:tcBorders>
              <w:top w:val="single" w:sz="6" w:space="0" w:color="auto"/>
              <w:left w:val="single" w:sz="6" w:space="0" w:color="auto"/>
              <w:bottom w:val="single" w:sz="6" w:space="0" w:color="auto"/>
              <w:right w:val="single" w:sz="6" w:space="0" w:color="auto"/>
            </w:tcBorders>
          </w:tcPr>
          <w:p w14:paraId="42A534AA" w14:textId="77777777" w:rsidR="0098065E" w:rsidRPr="00EA4C9B" w:rsidRDefault="0098065E">
            <w:pPr>
              <w:spacing w:after="0"/>
              <w:jc w:val="center"/>
              <w:textAlignment w:val="baseline"/>
              <w:rPr>
                <w:rFonts w:ascii="Calibri" w:eastAsia="Times New Roman" w:hAnsi="Calibri" w:cs="Calibri"/>
                <w:sz w:val="20"/>
                <w:szCs w:val="20"/>
                <w:lang w:eastAsia="en-GB"/>
              </w:rPr>
            </w:pPr>
            <w:r w:rsidRPr="00EA4C9B">
              <w:rPr>
                <w:rFonts w:ascii="Calibri" w:eastAsia="Times New Roman" w:hAnsi="Calibri" w:cs="Calibri"/>
                <w:sz w:val="20"/>
                <w:szCs w:val="20"/>
                <w:lang w:eastAsia="en-GB"/>
              </w:rPr>
              <w:t>252.5</w:t>
            </w:r>
          </w:p>
        </w:tc>
        <w:tc>
          <w:tcPr>
            <w:tcW w:w="1894" w:type="dxa"/>
            <w:tcBorders>
              <w:top w:val="single" w:sz="6" w:space="0" w:color="auto"/>
              <w:left w:val="single" w:sz="6" w:space="0" w:color="auto"/>
              <w:bottom w:val="single" w:sz="6" w:space="0" w:color="auto"/>
              <w:right w:val="single" w:sz="6" w:space="0" w:color="auto"/>
            </w:tcBorders>
            <w:hideMark/>
          </w:tcPr>
          <w:p w14:paraId="56E22F0E" w14:textId="77777777" w:rsidR="0098065E" w:rsidRPr="00EA4C9B" w:rsidRDefault="0098065E">
            <w:pPr>
              <w:spacing w:after="0"/>
              <w:jc w:val="center"/>
              <w:textAlignment w:val="baseline"/>
              <w:rPr>
                <w:rFonts w:ascii="Times New Roman" w:eastAsia="Times New Roman" w:hAnsi="Times New Roman" w:cs="Times New Roman"/>
                <w:sz w:val="20"/>
                <w:szCs w:val="20"/>
                <w:lang w:eastAsia="en-GB"/>
              </w:rPr>
            </w:pPr>
            <w:r w:rsidRPr="00EA4C9B">
              <w:rPr>
                <w:rFonts w:ascii="Calibri" w:eastAsia="Times New Roman" w:hAnsi="Calibri" w:cs="Calibri"/>
                <w:sz w:val="20"/>
                <w:szCs w:val="20"/>
                <w:lang w:eastAsia="en-GB"/>
              </w:rPr>
              <w:t>16.83</w:t>
            </w:r>
          </w:p>
        </w:tc>
        <w:tc>
          <w:tcPr>
            <w:tcW w:w="1901" w:type="dxa"/>
            <w:tcBorders>
              <w:top w:val="single" w:sz="6" w:space="0" w:color="auto"/>
              <w:left w:val="single" w:sz="6" w:space="0" w:color="auto"/>
              <w:bottom w:val="single" w:sz="6" w:space="0" w:color="auto"/>
              <w:right w:val="single" w:sz="6" w:space="0" w:color="auto"/>
            </w:tcBorders>
            <w:hideMark/>
          </w:tcPr>
          <w:p w14:paraId="3E3408FF" w14:textId="77777777" w:rsidR="0098065E" w:rsidRPr="00EA4C9B" w:rsidRDefault="0098065E" w:rsidP="0003383A">
            <w:pPr>
              <w:keepNext/>
              <w:spacing w:after="0"/>
              <w:jc w:val="center"/>
              <w:textAlignment w:val="baseline"/>
              <w:rPr>
                <w:rFonts w:ascii="Times New Roman" w:eastAsia="Times New Roman" w:hAnsi="Times New Roman" w:cs="Times New Roman"/>
                <w:sz w:val="20"/>
                <w:szCs w:val="20"/>
                <w:lang w:eastAsia="en-GB"/>
              </w:rPr>
            </w:pPr>
            <w:r w:rsidRPr="00EA4C9B">
              <w:rPr>
                <w:rFonts w:ascii="Calibri" w:eastAsia="Times New Roman" w:hAnsi="Calibri" w:cs="Calibri"/>
                <w:sz w:val="20"/>
                <w:szCs w:val="20"/>
                <w:lang w:eastAsia="en-GB"/>
              </w:rPr>
              <w:t>86.5%</w:t>
            </w:r>
          </w:p>
        </w:tc>
      </w:tr>
    </w:tbl>
    <w:p w14:paraId="78CBD59F" w14:textId="77777777" w:rsidR="00476EC5" w:rsidRDefault="00476EC5" w:rsidP="0098065E"/>
    <w:p w14:paraId="243A9B18" w14:textId="77777777" w:rsidR="00E908F5" w:rsidRPr="00EA4C9B" w:rsidRDefault="00E908F5" w:rsidP="00E908F5">
      <w:pPr>
        <w:rPr>
          <w:rFonts w:ascii="Calibri" w:eastAsia="Calibri" w:hAnsi="Calibri" w:cs="Calibri"/>
          <w:color w:val="000000" w:themeColor="text1"/>
        </w:rPr>
      </w:pPr>
      <w:r w:rsidRPr="00EA4C9B">
        <w:rPr>
          <w:rFonts w:ascii="Calibri" w:eastAsia="Calibri" w:hAnsi="Calibri" w:cs="Calibri"/>
          <w:color w:val="000000" w:themeColor="text1"/>
        </w:rPr>
        <w:t xml:space="preserve">The </w:t>
      </w:r>
      <w:r w:rsidRPr="00EA4C9B">
        <w:rPr>
          <w:rFonts w:ascii="Calibri" w:eastAsia="Calibri" w:hAnsi="Calibri" w:cs="Calibri"/>
          <w:b/>
          <w:bCs/>
          <w:color w:val="000000" w:themeColor="text1"/>
        </w:rPr>
        <w:t>levy on dangerous waste</w:t>
      </w:r>
      <w:r w:rsidRPr="00EA4C9B">
        <w:rPr>
          <w:rFonts w:ascii="Calibri" w:eastAsia="Calibri" w:hAnsi="Calibri" w:cs="Calibri"/>
          <w:color w:val="000000" w:themeColor="text1"/>
        </w:rPr>
        <w:t xml:space="preserve">, was introduced with the Act on the </w:t>
      </w:r>
      <w:r w:rsidRPr="00EA4C9B">
        <w:rPr>
          <w:rFonts w:ascii="Calibri" w:eastAsia="Calibri" w:hAnsi="Calibri" w:cs="Calibri"/>
        </w:rPr>
        <w:t xml:space="preserve">Remediation of Contaminated Sites (Altlastensanierungsgesetz, ALSAG, BGBl. Nr. 299/1989) </w:t>
      </w:r>
      <w:r w:rsidRPr="00EA4C9B">
        <w:rPr>
          <w:rFonts w:ascii="Calibri" w:eastAsia="Calibri" w:hAnsi="Calibri" w:cs="Calibri"/>
          <w:color w:val="000000" w:themeColor="text1"/>
        </w:rPr>
        <w:t>in 1989. It is paid for landfilling, incinerating, storing, and exporting waste for the same activities, which is why the levy has been described as a landfill and an incineration tax (IEEP, 2016). The tax rate and base differ for each of these processes, but are set centrally. Generally, the tax base corresponds to the mass of gross weight of waste (i.e. including packaging). As of 1 January 2025, the tax rate for landfilling amounts to EUR 10.60 per tonne at excavated soil, inert waste and construction waste landfills, EUR 23.70 per tonne at residual waste landfills, and EUR 34.30 per tonne at bulk waste landfills</w:t>
      </w:r>
      <w:r w:rsidRPr="00EA4C9B">
        <w:rPr>
          <w:rStyle w:val="FootnoteReference"/>
          <w:rFonts w:ascii="Calibri" w:eastAsia="Calibri" w:hAnsi="Calibri" w:cs="Calibri"/>
          <w:color w:val="000000" w:themeColor="text1"/>
        </w:rPr>
        <w:footnoteReference w:id="4"/>
      </w:r>
      <w:r w:rsidRPr="00EA4C9B">
        <w:rPr>
          <w:rFonts w:ascii="Calibri" w:eastAsia="Calibri" w:hAnsi="Calibri" w:cs="Calibri"/>
          <w:color w:val="000000" w:themeColor="text1"/>
        </w:rPr>
        <w:t>. Incinerating waste, producing substitute fuels from waste, or introducing waste into a blast furnace is set at EUR 9.20 per tonne. From 2025 onward, the contribution for storing waste has been changed to a period of three years. Waste for disposal, recovery and backfilling is charged at EUR 10.60 per tonne for mineral waste and EUR 100.10 per tonne for all other waste. The levy is paid by landfill owners and operators or anyone who initiated the chargeable activity. A range of material exemptions exist, e.g. for mining waste, certain animal by-products, wastes with high biogenic fractions, or recycled building materials</w:t>
      </w:r>
      <w:r w:rsidRPr="00EA4C9B">
        <w:rPr>
          <w:rStyle w:val="FootnoteReference"/>
          <w:rFonts w:ascii="Calibri" w:eastAsia="Calibri" w:hAnsi="Calibri" w:cs="Calibri"/>
          <w:color w:val="000000" w:themeColor="text1"/>
        </w:rPr>
        <w:footnoteReference w:id="5"/>
      </w:r>
      <w:r w:rsidRPr="00EA4C9B">
        <w:rPr>
          <w:rFonts w:ascii="Calibri" w:eastAsia="Calibri" w:hAnsi="Calibri" w:cs="Calibri"/>
          <w:color w:val="000000" w:themeColor="text1"/>
        </w:rPr>
        <w:t xml:space="preserve">. </w:t>
      </w:r>
    </w:p>
    <w:p w14:paraId="775CB7F7" w14:textId="77777777" w:rsidR="00E908F5" w:rsidRPr="00EA4C9B" w:rsidRDefault="00E908F5" w:rsidP="00E908F5">
      <w:pPr>
        <w:rPr>
          <w:rFonts w:ascii="Calibri" w:eastAsia="Calibri" w:hAnsi="Calibri" w:cs="Calibri"/>
          <w:color w:val="000000" w:themeColor="text1"/>
        </w:rPr>
      </w:pPr>
      <w:r w:rsidRPr="00EA4C9B">
        <w:rPr>
          <w:rFonts w:ascii="Calibri" w:eastAsia="Calibri" w:hAnsi="Calibri" w:cs="Calibri"/>
          <w:color w:val="000000" w:themeColor="text1"/>
        </w:rPr>
        <w:t>Several changes were made to the ALSAG over time. For example, in 2006, the incineration of waste or the production of substitute fuel products was introduced as an additional taxable event (while retaining the exemption from contributions for residues from incineration)</w:t>
      </w:r>
      <w:r w:rsidRPr="00EA4C9B">
        <w:rPr>
          <w:rStyle w:val="FootnoteReference"/>
          <w:rFonts w:ascii="Calibri" w:eastAsia="Calibri" w:hAnsi="Calibri" w:cs="Calibri"/>
          <w:color w:val="000000" w:themeColor="text1"/>
        </w:rPr>
        <w:footnoteReference w:id="6"/>
      </w:r>
      <w:r w:rsidRPr="00EA4C9B">
        <w:rPr>
          <w:rFonts w:ascii="Calibri" w:eastAsia="Calibri" w:hAnsi="Calibri" w:cs="Calibri"/>
          <w:color w:val="000000" w:themeColor="text1"/>
        </w:rPr>
        <w:t xml:space="preserve">. The annual revenue amounted to EUR 54.3 million in 2023. While there were no index adjustments to the contribution levels from 2012-2019, the rate was raised by 15% with the 2024 ALSAG amendment. The levy is </w:t>
      </w:r>
      <w:r w:rsidRPr="00EA4C9B">
        <w:rPr>
          <w:rFonts w:ascii="Calibri" w:eastAsia="Calibri" w:hAnsi="Calibri" w:cs="Calibri"/>
          <w:color w:val="000000" w:themeColor="text1"/>
        </w:rPr>
        <w:lastRenderedPageBreak/>
        <w:t xml:space="preserve">earmarked primarily for the recording, assessment and remediation of contaminated sites. It is collected by the Austrian Customs Office, i.e. paid at the national level. </w:t>
      </w:r>
    </w:p>
    <w:p w14:paraId="5311FE50" w14:textId="331B6E76" w:rsidR="0098065E" w:rsidRPr="00EA4C9B" w:rsidRDefault="00057A33" w:rsidP="0098065E">
      <w:pPr>
        <w:rPr>
          <w:rFonts w:ascii="Calibri" w:eastAsia="Calibri" w:hAnsi="Calibri" w:cs="Calibri"/>
          <w:color w:val="000000" w:themeColor="text1"/>
        </w:rPr>
      </w:pPr>
      <w:r>
        <w:t xml:space="preserve"> </w:t>
      </w:r>
      <w:r w:rsidR="0098065E" w:rsidRPr="00EA4C9B">
        <w:t xml:space="preserve">The </w:t>
      </w:r>
      <w:r w:rsidR="0098065E" w:rsidRPr="00EA4C9B">
        <w:rPr>
          <w:rFonts w:ascii="Calibri" w:eastAsia="Calibri" w:hAnsi="Calibri" w:cs="Calibri"/>
          <w:b/>
          <w:bCs/>
          <w:color w:val="000000" w:themeColor="text1"/>
        </w:rPr>
        <w:t>compensation levy according to the Vienna Tree Protection Act</w:t>
      </w:r>
      <w:r w:rsidR="0098065E" w:rsidRPr="00EA4C9B">
        <w:rPr>
          <w:rFonts w:ascii="Calibri" w:eastAsia="Calibri" w:hAnsi="Calibri" w:cs="Calibri"/>
          <w:color w:val="000000" w:themeColor="text1"/>
        </w:rPr>
        <w:t xml:space="preserve"> (Gesetz zum Schutze des Baumbestandes in Wien, LGBl. Nr. 27/1974), was adopted in </w:t>
      </w:r>
      <w:r w:rsidR="0098065E" w:rsidRPr="00EA4C9B">
        <w:rPr>
          <w:rFonts w:ascii="Calibri" w:eastAsia="Calibri" w:hAnsi="Calibri" w:cs="Calibri"/>
        </w:rPr>
        <w:t xml:space="preserve">1974 </w:t>
      </w:r>
      <w:r w:rsidR="0098065E" w:rsidRPr="00EA4C9B">
        <w:rPr>
          <w:rFonts w:ascii="Calibri" w:eastAsia="Calibri" w:hAnsi="Calibri" w:cs="Calibri"/>
          <w:color w:val="000000" w:themeColor="text1"/>
        </w:rPr>
        <w:t>to protect the tree population in the city of Vienna. This includes all trees on public and private land with a trunk circumference of at least 40 cm, measured at a height of one metre. While certain trees are exempt from the act, landowners are obliged to preserve the population of trees on their properties. According to the Tree Protection Act, it is forbidden to adopt practices that could negatively affect the tree population, including to fell or remove trees. Exemptions apply to forests (which are covered by forestry legislation), trees grown in nurseries or garden centres that are intended for sale, fruit trees, trees impeding water supply, trees whose removal is required for agricultural production processes, and trees in allotment gardens. If a permit is granted to remove a tree and no corresponding replacement planting or replanting can be carried out, the compensation levy applies. The standard rate per tree amounts to EUR 5,000</w:t>
      </w:r>
      <w:r w:rsidR="0098065E" w:rsidRPr="00EA4C9B">
        <w:rPr>
          <w:rStyle w:val="FootnoteReference"/>
          <w:rFonts w:ascii="Calibri" w:eastAsia="Calibri" w:hAnsi="Calibri" w:cs="Calibri"/>
          <w:color w:val="000000" w:themeColor="text1"/>
        </w:rPr>
        <w:footnoteReference w:id="7"/>
      </w:r>
      <w:r w:rsidR="0098065E" w:rsidRPr="00EA4C9B">
        <w:rPr>
          <w:rFonts w:ascii="Calibri" w:eastAsia="Calibri" w:hAnsi="Calibri" w:cs="Calibri"/>
          <w:color w:val="000000" w:themeColor="text1"/>
        </w:rPr>
        <w:t xml:space="preserve">. The annual tax revenue amounted to EUR 3.65 million in 2023. </w:t>
      </w:r>
    </w:p>
    <w:p w14:paraId="730B7EB1" w14:textId="77777777" w:rsidR="0098065E" w:rsidRPr="00EA4C9B" w:rsidRDefault="0098065E" w:rsidP="0098065E">
      <w:pPr>
        <w:tabs>
          <w:tab w:val="num" w:pos="720"/>
        </w:tabs>
        <w:rPr>
          <w:rFonts w:ascii="Calibri" w:eastAsia="Calibri" w:hAnsi="Calibri" w:cs="Calibri"/>
          <w:color w:val="000000" w:themeColor="text1"/>
        </w:rPr>
      </w:pPr>
      <w:r w:rsidRPr="00EA4C9B">
        <w:rPr>
          <w:rFonts w:ascii="Calibri" w:eastAsia="Calibri" w:hAnsi="Calibri" w:cs="Calibri"/>
          <w:b/>
          <w:bCs/>
          <w:color w:val="000000" w:themeColor="text1"/>
        </w:rPr>
        <w:t xml:space="preserve">Hunting and fishing duties </w:t>
      </w:r>
      <w:r w:rsidRPr="00EA4C9B">
        <w:rPr>
          <w:rFonts w:ascii="Calibri" w:eastAsia="Calibri" w:hAnsi="Calibri" w:cs="Calibri"/>
          <w:color w:val="000000" w:themeColor="text1"/>
        </w:rPr>
        <w:t>are levied on a provincial level in Austria. As a result, there are variations in tax rates, permit requirements, and regulatory frameworks across the country. For instance, in Lower Austria (Niederösterreich), the hunting legislation outlines specific fees for obtaining hunting licenses, which may vary based on the type of game and the duration of the hunting period. Similarly, in Upper Austria (Oberösterreich), the hunting laws stipulate different categories of hunting permits, each with its associated costs and conditions. These provincial laws also detail the responsibilities of hunters, including mandatory training and adherence to conservation practices. In Salzburg, a communal provincial tax, known as the "hunting rights tax," is levied on the ownership or lease of hunting rights. The annual tax rates amount to EUR 0.64 per hectare for private hunting grounds, EUR 0.48 per hectare for community hunting grounds, and EUR 0.32 per hectare within the city of Salzburg. A minimum yearly levy of EUR 162 applies regardless of area size</w:t>
      </w:r>
      <w:r w:rsidRPr="00EA4C9B">
        <w:rPr>
          <w:rStyle w:val="FootnoteReference"/>
          <w:rFonts w:ascii="Calibri" w:eastAsia="Calibri" w:hAnsi="Calibri" w:cs="Calibri"/>
          <w:color w:val="000000" w:themeColor="text1"/>
        </w:rPr>
        <w:footnoteReference w:id="8"/>
      </w:r>
      <w:r w:rsidRPr="00EA4C9B">
        <w:rPr>
          <w:rFonts w:ascii="Calibri" w:eastAsia="Calibri" w:hAnsi="Calibri" w:cs="Calibri"/>
          <w:color w:val="000000" w:themeColor="text1"/>
        </w:rPr>
        <w:t>.</w:t>
      </w:r>
    </w:p>
    <w:p w14:paraId="1B084430" w14:textId="77777777" w:rsidR="0098065E" w:rsidRPr="00EA4C9B" w:rsidRDefault="0098065E" w:rsidP="003B540D">
      <w:pPr>
        <w:pStyle w:val="Heading4"/>
      </w:pPr>
      <w:r w:rsidRPr="00EA4C9B">
        <w:t>Fees and other related instruments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485"/>
      </w:tblGrid>
      <w:tr w:rsidR="0098065E" w:rsidRPr="00EA4C9B" w14:paraId="788AF14B" w14:textId="77777777" w:rsidTr="00BA7936">
        <w:trPr>
          <w:tblHeader/>
        </w:trPr>
        <w:tc>
          <w:tcPr>
            <w:tcW w:w="9016" w:type="dxa"/>
            <w:gridSpan w:val="2"/>
            <w:shd w:val="clear" w:color="auto" w:fill="003399"/>
          </w:tcPr>
          <w:p w14:paraId="272CB0E4" w14:textId="756F2BB2" w:rsidR="0098065E" w:rsidRPr="005D035B" w:rsidRDefault="36C839AD" w:rsidP="606E24A0">
            <w:pPr>
              <w:pStyle w:val="Caption"/>
              <w:jc w:val="both"/>
              <w:rPr>
                <w:rFonts w:ascii="Calibri" w:eastAsia="Times New Roman" w:hAnsi="Calibri" w:cs="Calibri"/>
                <w:color w:val="FFFFFF" w:themeColor="background1"/>
                <w:lang w:eastAsia="en-GB"/>
              </w:rPr>
            </w:pPr>
            <w:r w:rsidRPr="606E24A0">
              <w:rPr>
                <w:color w:val="FFFFFF" w:themeColor="background1"/>
              </w:rPr>
              <w:t xml:space="preserve">Table </w:t>
            </w:r>
            <w:r w:rsidR="00490085" w:rsidRPr="606E24A0">
              <w:rPr>
                <w:color w:val="FFFFFF" w:themeColor="background1"/>
              </w:rPr>
              <w:t>A6</w:t>
            </w:r>
            <w:r w:rsidR="67CE19E4" w:rsidRPr="606E24A0">
              <w:rPr>
                <w:color w:val="FFFFFF" w:themeColor="background1"/>
              </w:rPr>
              <w:t>-</w:t>
            </w:r>
            <w:r w:rsidR="0066658D" w:rsidRPr="606E24A0">
              <w:rPr>
                <w:color w:val="FFFFFF" w:themeColor="background1"/>
              </w:rPr>
              <w:fldChar w:fldCharType="begin"/>
            </w:r>
            <w:r w:rsidR="0066658D" w:rsidRPr="606E24A0">
              <w:rPr>
                <w:color w:val="FFFFFF" w:themeColor="background1"/>
              </w:rPr>
              <w:instrText xml:space="preserve"> SEQ Table_A5- \* ARABIC </w:instrText>
            </w:r>
            <w:r w:rsidR="0066658D" w:rsidRPr="606E24A0">
              <w:rPr>
                <w:color w:val="FFFFFF" w:themeColor="background1"/>
              </w:rPr>
              <w:fldChar w:fldCharType="separate"/>
            </w:r>
            <w:r w:rsidR="67CE19E4" w:rsidRPr="606E24A0">
              <w:rPr>
                <w:noProof/>
                <w:color w:val="FFFFFF" w:themeColor="background1"/>
              </w:rPr>
              <w:t>3</w:t>
            </w:r>
            <w:r w:rsidR="0066658D" w:rsidRPr="606E24A0">
              <w:rPr>
                <w:color w:val="FFFFFF" w:themeColor="background1"/>
              </w:rPr>
              <w:fldChar w:fldCharType="end"/>
            </w:r>
            <w:r w:rsidR="0098065E" w:rsidRPr="606E24A0">
              <w:rPr>
                <w:rFonts w:ascii="Calibri" w:eastAsia="Times New Roman" w:hAnsi="Calibri" w:cs="Calibri"/>
                <w:color w:val="FFFFFF" w:themeColor="background1"/>
                <w:lang w:eastAsia="en-GB"/>
              </w:rPr>
              <w:t>: Fees and other related instruments not reported in the National Tax Lists</w:t>
            </w:r>
          </w:p>
        </w:tc>
      </w:tr>
      <w:tr w:rsidR="0098065E" w:rsidRPr="00EA4C9B" w14:paraId="589361AF" w14:textId="77777777" w:rsidTr="00BA7936">
        <w:tc>
          <w:tcPr>
            <w:tcW w:w="4531" w:type="dxa"/>
          </w:tcPr>
          <w:p w14:paraId="0557BB9E" w14:textId="77777777" w:rsidR="0098065E" w:rsidRPr="00EA4C9B" w:rsidRDefault="0098065E">
            <w:pPr>
              <w:spacing w:after="0"/>
              <w:textAlignment w:val="baseline"/>
              <w:rPr>
                <w:rFonts w:ascii="Calibri" w:eastAsia="Times New Roman" w:hAnsi="Calibri" w:cs="Calibri"/>
                <w:szCs w:val="20"/>
                <w:lang w:eastAsia="en-GB"/>
              </w:rPr>
            </w:pPr>
            <w:r w:rsidRPr="00EA4C9B">
              <w:rPr>
                <w:rFonts w:ascii="Calibri" w:eastAsia="Calibri" w:hAnsi="Calibri" w:cs="Calibri"/>
                <w:color w:val="000000" w:themeColor="text1"/>
                <w:szCs w:val="20"/>
              </w:rPr>
              <w:t>Waste fees</w:t>
            </w:r>
          </w:p>
        </w:tc>
        <w:tc>
          <w:tcPr>
            <w:tcW w:w="4485" w:type="dxa"/>
          </w:tcPr>
          <w:p w14:paraId="11C54922" w14:textId="44EC3AEF" w:rsidR="0098065E" w:rsidRPr="00EA4C9B" w:rsidRDefault="0098065E">
            <w:pPr>
              <w:spacing w:after="0"/>
              <w:jc w:val="center"/>
              <w:textAlignment w:val="baseline"/>
              <w:rPr>
                <w:rFonts w:ascii="Calibri" w:eastAsia="Times New Roman" w:hAnsi="Calibri" w:cs="Calibri"/>
                <w:szCs w:val="20"/>
                <w:lang w:eastAsia="en-GB"/>
              </w:rPr>
            </w:pPr>
            <w:r w:rsidRPr="00EA4C9B">
              <w:rPr>
                <w:rFonts w:ascii="Calibri" w:eastAsia="Calibri" w:hAnsi="Calibri" w:cs="Calibri"/>
                <w:color w:val="000000" w:themeColor="text1"/>
                <w:szCs w:val="20"/>
              </w:rPr>
              <w:t>€942.6 million in 2023</w:t>
            </w:r>
          </w:p>
        </w:tc>
      </w:tr>
      <w:tr w:rsidR="0098065E" w:rsidRPr="00EA4C9B" w14:paraId="1D01ED5E" w14:textId="77777777" w:rsidTr="00BA7936">
        <w:tc>
          <w:tcPr>
            <w:tcW w:w="4531" w:type="dxa"/>
          </w:tcPr>
          <w:p w14:paraId="29176997" w14:textId="77777777" w:rsidR="0098065E" w:rsidRPr="00EA4C9B" w:rsidRDefault="0098065E">
            <w:pPr>
              <w:spacing w:after="0"/>
              <w:textAlignment w:val="baseline"/>
              <w:rPr>
                <w:rFonts w:ascii="Calibri" w:eastAsia="Times New Roman" w:hAnsi="Calibri" w:cs="Calibri"/>
                <w:szCs w:val="20"/>
                <w:lang w:eastAsia="en-GB"/>
              </w:rPr>
            </w:pPr>
            <w:r w:rsidRPr="00EA4C9B">
              <w:rPr>
                <w:rFonts w:ascii="Calibri" w:eastAsia="Calibri" w:hAnsi="Calibri" w:cs="Calibri"/>
                <w:color w:val="000000" w:themeColor="text1"/>
                <w:szCs w:val="20"/>
              </w:rPr>
              <w:t>Wastewater charges</w:t>
            </w:r>
          </w:p>
        </w:tc>
        <w:tc>
          <w:tcPr>
            <w:tcW w:w="4485" w:type="dxa"/>
          </w:tcPr>
          <w:p w14:paraId="023A98BB" w14:textId="359DB2A0" w:rsidR="0098065E" w:rsidRPr="00EA4C9B" w:rsidRDefault="0098065E">
            <w:pPr>
              <w:spacing w:after="0"/>
              <w:jc w:val="center"/>
              <w:textAlignment w:val="baseline"/>
              <w:rPr>
                <w:rFonts w:ascii="Calibri" w:eastAsia="Calibri" w:hAnsi="Calibri" w:cs="Calibri"/>
                <w:color w:val="000000" w:themeColor="text1"/>
                <w:szCs w:val="20"/>
              </w:rPr>
            </w:pPr>
            <w:r w:rsidRPr="00EA4C9B">
              <w:rPr>
                <w:rFonts w:ascii="Calibri" w:eastAsia="Calibri" w:hAnsi="Calibri" w:cs="Calibri"/>
                <w:color w:val="000000" w:themeColor="text1"/>
                <w:szCs w:val="20"/>
              </w:rPr>
              <w:t>€1,252.6 million in 2022</w:t>
            </w:r>
          </w:p>
        </w:tc>
      </w:tr>
      <w:tr w:rsidR="0098065E" w:rsidRPr="00EA4C9B" w14:paraId="292F3301" w14:textId="77777777" w:rsidTr="00BA7936">
        <w:tc>
          <w:tcPr>
            <w:tcW w:w="4531" w:type="dxa"/>
          </w:tcPr>
          <w:p w14:paraId="6DFBE1CD" w14:textId="77777777" w:rsidR="0098065E" w:rsidRPr="00EA4C9B" w:rsidRDefault="0098065E">
            <w:pPr>
              <w:spacing w:after="0"/>
              <w:textAlignment w:val="baseline"/>
              <w:rPr>
                <w:rFonts w:ascii="Calibri" w:eastAsia="Calibri" w:hAnsi="Calibri" w:cs="Calibri"/>
                <w:color w:val="000000" w:themeColor="text1"/>
                <w:szCs w:val="20"/>
              </w:rPr>
            </w:pPr>
            <w:r w:rsidRPr="00EA4C9B">
              <w:rPr>
                <w:szCs w:val="20"/>
              </w:rPr>
              <w:t>Land tax B</w:t>
            </w:r>
          </w:p>
        </w:tc>
        <w:tc>
          <w:tcPr>
            <w:tcW w:w="4485" w:type="dxa"/>
          </w:tcPr>
          <w:p w14:paraId="22B58800" w14:textId="5BD2BFD3" w:rsidR="0098065E" w:rsidRPr="003B77C1" w:rsidRDefault="0098065E" w:rsidP="003B77C1">
            <w:pPr>
              <w:spacing w:after="0"/>
              <w:jc w:val="center"/>
              <w:textAlignment w:val="baseline"/>
              <w:rPr>
                <w:rFonts w:ascii="Calibri" w:eastAsia="Calibri" w:hAnsi="Calibri" w:cs="Calibri"/>
                <w:color w:val="000000" w:themeColor="text1"/>
                <w:sz w:val="19"/>
                <w:szCs w:val="19"/>
              </w:rPr>
            </w:pPr>
            <w:r w:rsidRPr="00EA4C9B">
              <w:rPr>
                <w:rFonts w:ascii="Calibri" w:eastAsia="Calibri" w:hAnsi="Calibri" w:cs="Calibri"/>
                <w:color w:val="000000" w:themeColor="text1"/>
                <w:sz w:val="19"/>
                <w:szCs w:val="19"/>
              </w:rPr>
              <w:t>€763.2 million in 2023</w:t>
            </w:r>
          </w:p>
        </w:tc>
      </w:tr>
      <w:tr w:rsidR="0098065E" w:rsidRPr="00EA4C9B" w14:paraId="715FFD29" w14:textId="77777777" w:rsidTr="00BA7936">
        <w:tc>
          <w:tcPr>
            <w:tcW w:w="4531" w:type="dxa"/>
          </w:tcPr>
          <w:p w14:paraId="12C48063" w14:textId="77777777" w:rsidR="0098065E" w:rsidRPr="00EA4C9B" w:rsidRDefault="0098065E">
            <w:pPr>
              <w:spacing w:after="0"/>
              <w:textAlignment w:val="baseline"/>
              <w:rPr>
                <w:szCs w:val="20"/>
              </w:rPr>
            </w:pPr>
            <w:r w:rsidRPr="00EA4C9B">
              <w:rPr>
                <w:rFonts w:ascii="Calibri" w:eastAsia="Calibri" w:hAnsi="Calibri" w:cs="Calibri"/>
                <w:color w:val="000000" w:themeColor="text1"/>
                <w:szCs w:val="20"/>
              </w:rPr>
              <w:t>Landscape protection and nature conservation levy</w:t>
            </w:r>
          </w:p>
        </w:tc>
        <w:tc>
          <w:tcPr>
            <w:tcW w:w="4485" w:type="dxa"/>
          </w:tcPr>
          <w:p w14:paraId="5AB874A6" w14:textId="2446505B" w:rsidR="0098065E" w:rsidRPr="003B77C1" w:rsidRDefault="0098065E" w:rsidP="003B77C1">
            <w:pPr>
              <w:spacing w:after="0"/>
              <w:jc w:val="center"/>
              <w:textAlignment w:val="baseline"/>
              <w:rPr>
                <w:rFonts w:ascii="Calibri" w:eastAsia="Calibri" w:hAnsi="Calibri" w:cs="Calibri"/>
                <w:color w:val="000000" w:themeColor="text1"/>
                <w:szCs w:val="20"/>
              </w:rPr>
            </w:pPr>
            <w:r w:rsidRPr="00EA4C9B">
              <w:rPr>
                <w:rFonts w:ascii="Calibri" w:eastAsia="Calibri" w:hAnsi="Calibri" w:cs="Calibri"/>
                <w:color w:val="000000" w:themeColor="text1"/>
                <w:szCs w:val="20"/>
              </w:rPr>
              <w:t>€13.8 million in 2023</w:t>
            </w:r>
          </w:p>
        </w:tc>
      </w:tr>
      <w:tr w:rsidR="0098065E" w:rsidRPr="00EA4C9B" w14:paraId="4935D8AB" w14:textId="77777777" w:rsidTr="00BA7936">
        <w:tc>
          <w:tcPr>
            <w:tcW w:w="4531" w:type="dxa"/>
          </w:tcPr>
          <w:p w14:paraId="0A800D93" w14:textId="77777777" w:rsidR="0098065E" w:rsidRPr="00EA4C9B" w:rsidRDefault="0098065E">
            <w:pPr>
              <w:spacing w:after="0"/>
              <w:textAlignment w:val="baseline"/>
              <w:rPr>
                <w:rFonts w:ascii="Calibri" w:eastAsia="Calibri" w:hAnsi="Calibri" w:cs="Calibri"/>
                <w:color w:val="000000" w:themeColor="text1"/>
                <w:szCs w:val="20"/>
              </w:rPr>
            </w:pPr>
            <w:r w:rsidRPr="00EA4C9B">
              <w:rPr>
                <w:rFonts w:ascii="Calibri" w:eastAsia="Calibri" w:hAnsi="Calibri" w:cs="Calibri"/>
                <w:color w:val="000000" w:themeColor="text1"/>
                <w:szCs w:val="20"/>
              </w:rPr>
              <w:t>Water charges</w:t>
            </w:r>
          </w:p>
        </w:tc>
        <w:tc>
          <w:tcPr>
            <w:tcW w:w="4485" w:type="dxa"/>
          </w:tcPr>
          <w:p w14:paraId="1C822E45" w14:textId="2EFE1C22" w:rsidR="0098065E" w:rsidRPr="00EA4C9B" w:rsidRDefault="0098065E" w:rsidP="003B77C1">
            <w:pPr>
              <w:spacing w:after="0"/>
              <w:jc w:val="center"/>
              <w:textAlignment w:val="baseline"/>
              <w:rPr>
                <w:rFonts w:ascii="Calibri" w:eastAsia="Calibri" w:hAnsi="Calibri" w:cs="Calibri"/>
                <w:color w:val="000000" w:themeColor="text1"/>
                <w:szCs w:val="20"/>
              </w:rPr>
            </w:pPr>
            <w:r w:rsidRPr="00EA4C9B">
              <w:rPr>
                <w:rFonts w:ascii="Calibri" w:eastAsia="Calibri" w:hAnsi="Calibri" w:cs="Calibri"/>
                <w:color w:val="000000" w:themeColor="text1"/>
                <w:szCs w:val="20"/>
              </w:rPr>
              <w:t>€661.8 in 2023</w:t>
            </w:r>
          </w:p>
        </w:tc>
      </w:tr>
      <w:tr w:rsidR="00CA68CF" w:rsidRPr="00E4769C" w14:paraId="3E826EE4" w14:textId="77777777">
        <w:tc>
          <w:tcPr>
            <w:tcW w:w="9016" w:type="dxa"/>
            <w:gridSpan w:val="2"/>
          </w:tcPr>
          <w:p w14:paraId="7F9627D1" w14:textId="2E99E5A7" w:rsidR="00CA68CF" w:rsidRPr="00BA7936" w:rsidRDefault="00CA68CF" w:rsidP="00BA7936">
            <w:pPr>
              <w:spacing w:after="0"/>
              <w:jc w:val="left"/>
              <w:textAlignment w:val="baseline"/>
              <w:rPr>
                <w:rFonts w:ascii="Calibri" w:eastAsia="Calibri" w:hAnsi="Calibri" w:cs="Calibri"/>
                <w:color w:val="000000" w:themeColor="text1"/>
                <w:szCs w:val="20"/>
                <w:lang w:val="sv-SE"/>
              </w:rPr>
            </w:pPr>
            <w:r>
              <w:rPr>
                <w:rFonts w:ascii="Calibri" w:eastAsia="Calibri" w:hAnsi="Calibri" w:cs="Calibri"/>
                <w:color w:val="000000" w:themeColor="text1"/>
                <w:szCs w:val="20"/>
              </w:rPr>
              <w:t>Source: Statistik Austria</w:t>
            </w:r>
            <w:r w:rsidR="00F55C46">
              <w:rPr>
                <w:rFonts w:ascii="Calibri" w:eastAsia="Calibri" w:hAnsi="Calibri" w:cs="Calibri"/>
                <w:color w:val="000000" w:themeColor="text1"/>
                <w:szCs w:val="20"/>
              </w:rPr>
              <w:t xml:space="preserve">. Available at: </w:t>
            </w:r>
            <w:r w:rsidR="00F55C46" w:rsidRPr="00F55C46">
              <w:rPr>
                <w:rFonts w:ascii="Calibri" w:eastAsia="Calibri" w:hAnsi="Calibri" w:cs="Calibri"/>
                <w:color w:val="000000" w:themeColor="text1"/>
                <w:szCs w:val="20"/>
                <w:lang w:val="de-DE"/>
              </w:rPr>
              <w:t>Umweltgesamtrechnungen: Modul - Öko-Steuern 2023. Zeitreihe 1995 – 2023. Endgültige Ergebnisse. Bundesanstalt Statistik Österreich (STATISTIK AUSTRIA) and Bundesministerium für Klimaschutz, Umwelt, Energie, Mobilität, Innovation und Technologie (BMK).</w:t>
            </w:r>
          </w:p>
        </w:tc>
      </w:tr>
    </w:tbl>
    <w:p w14:paraId="35106B2E" w14:textId="77777777" w:rsidR="008D3693" w:rsidRPr="00BA7936" w:rsidRDefault="008D3693" w:rsidP="0098065E">
      <w:pPr>
        <w:rPr>
          <w:lang w:val="sv-SE"/>
        </w:rPr>
      </w:pPr>
    </w:p>
    <w:p w14:paraId="31C5FC87" w14:textId="0DAAA575" w:rsidR="0098065E" w:rsidRDefault="00546999" w:rsidP="0098065E">
      <w:r w:rsidRPr="00546999">
        <w:t xml:space="preserve">Austria relies predominantly on </w:t>
      </w:r>
      <w:r w:rsidRPr="00546999">
        <w:rPr>
          <w:b/>
          <w:bCs/>
        </w:rPr>
        <w:t>environmental charges</w:t>
      </w:r>
      <w:r w:rsidRPr="00546999">
        <w:t xml:space="preserve"> rather than taxes to address pollution and other environmental impacts. These include charges on water abstraction, wastewater treatment, waste management and waste transport (STATISTIK AUSTRIA, 2025). Consequently, ecologically relevant </w:t>
      </w:r>
      <w:r w:rsidRPr="00546999">
        <w:rPr>
          <w:b/>
          <w:bCs/>
        </w:rPr>
        <w:t>charges</w:t>
      </w:r>
      <w:r w:rsidRPr="00546999">
        <w:t xml:space="preserve"> generate a much larger share of revenue than environmental </w:t>
      </w:r>
      <w:r w:rsidRPr="00546999">
        <w:rPr>
          <w:b/>
          <w:bCs/>
        </w:rPr>
        <w:t>taxes</w:t>
      </w:r>
      <w:r w:rsidRPr="00546999">
        <w:t xml:space="preserve"> in the strict legal sense. Charges are typically earmarked to fund the specific environmental services or management activities to which they relate, such as wastewater and waste treatment or nature conservation measures.</w:t>
      </w:r>
    </w:p>
    <w:p w14:paraId="211DAE27" w14:textId="77777777" w:rsidR="00275DAA" w:rsidRPr="00EA4C9B" w:rsidRDefault="00275DAA" w:rsidP="00275DAA">
      <w:r w:rsidRPr="00EA4C9B">
        <w:lastRenderedPageBreak/>
        <w:t xml:space="preserve">Household </w:t>
      </w:r>
      <w:r w:rsidRPr="00EA4C9B">
        <w:rPr>
          <w:b/>
          <w:bCs/>
        </w:rPr>
        <w:t>waste fees</w:t>
      </w:r>
      <w:r w:rsidRPr="00EA4C9B">
        <w:t xml:space="preserve"> apply to the collection of residual waste. They are set on the regional level. In Vienna, waste bins are emptied at least 52 times a year (exceptions exist for seasonal businesses, for example). The obligation to pay the levy applies to properties included in the public waste collection service, regardless of whether the service is actually used. Owners of such properties are liable to pay the levy each quarter of a year. The fees are calculated based on the size of the bin and the number of collections per year. For example, 52 collections of 120 litre bins amount to around EUR 288.97 per year in Vienna</w:t>
      </w:r>
      <w:r w:rsidRPr="00EA4C9B">
        <w:rPr>
          <w:rStyle w:val="FootnoteReference"/>
        </w:rPr>
        <w:footnoteReference w:id="9"/>
      </w:r>
      <w:r w:rsidRPr="00EA4C9B">
        <w:t xml:space="preserve"> and to EUR 248.71 in Salzburg</w:t>
      </w:r>
      <w:r w:rsidRPr="00EA4C9B">
        <w:rPr>
          <w:rStyle w:val="FootnoteReference"/>
        </w:rPr>
        <w:footnoteReference w:id="10"/>
      </w:r>
      <w:r w:rsidRPr="00EA4C9B">
        <w:t xml:space="preserve">. The fees are used to finance the waste collection and treatment systems. </w:t>
      </w:r>
    </w:p>
    <w:p w14:paraId="5BEAD997" w14:textId="7BD05F8A" w:rsidR="00275DAA" w:rsidRDefault="00275DAA" w:rsidP="0098065E">
      <w:r>
        <w:t xml:space="preserve">Austria’s waste-related economic instruments complement the above municipal fee structures, especially through </w:t>
      </w:r>
      <w:r>
        <w:rPr>
          <w:rStyle w:val="Strong"/>
        </w:rPr>
        <w:t>targeted taxes and financial incentives that support higher levels of the waste hierarchy</w:t>
      </w:r>
      <w:r>
        <w:t xml:space="preserve">. Austria applies a landfill and waste-incineration tax system designed both to discourage disposal and to finance environmental remediation. Landfill tax rates range between EUR 9 and EUR 30, depending on the type of waste, and the tax also applies to exported waste. Tax revenues are </w:t>
      </w:r>
      <w:r w:rsidRPr="00FF544C">
        <w:rPr>
          <w:b/>
        </w:rPr>
        <w:t>earmarked for the sanitation and protection of historic landfills</w:t>
      </w:r>
      <w:r>
        <w:t>, contributing to Austria’s long-term objective of remediating contaminated sites by 2050</w:t>
      </w:r>
      <w:r>
        <w:rPr>
          <w:rStyle w:val="FootnoteReference"/>
        </w:rPr>
        <w:footnoteReference w:id="11"/>
      </w:r>
      <w:r>
        <w:t>.</w:t>
      </w:r>
    </w:p>
    <w:p w14:paraId="2D729DD5" w14:textId="23B0A828" w:rsidR="00275DAA" w:rsidRDefault="00275DAA" w:rsidP="0098065E">
      <w:r w:rsidRPr="00EA4C9B">
        <w:t xml:space="preserve">Municipal </w:t>
      </w:r>
      <w:r w:rsidRPr="00EA4C9B">
        <w:rPr>
          <w:b/>
          <w:bCs/>
        </w:rPr>
        <w:t xml:space="preserve">wastewater charges </w:t>
      </w:r>
      <w:r w:rsidRPr="00EA4C9B">
        <w:t>have been levied on households and businesses for the treatment and disposal of wastewater since 1959, established by the Federal Water Act (Wasserrechtsgesetz, WRG).</w:t>
      </w:r>
      <w:r w:rsidRPr="00EA4C9B">
        <w:rPr>
          <w:color w:val="FF0000" w:themeColor="accent2"/>
        </w:rPr>
        <w:t xml:space="preserve"> </w:t>
      </w:r>
      <w:r w:rsidRPr="00EA4C9B">
        <w:t>These charges are used to cover the cost of building and maintaining sewer systems, as well as for wastewater treatment. Water consumers are liable to pay a fee for the amount of water drawn from the public water supply. In the case of own water supply, the property tax debtors are liable for the property from which the water is discharged into the public sewer. The quantities of water drawn from the public water supply are deemed to be equal to those discharged into the public sewer. The legal framework for these fees is governed by municipal law, and each local authority sets its own rates. In the province of Styria, for example, municipal charges ranged from EUR 1.50 to EUR 4.50 per m³ in 2019</w:t>
      </w:r>
      <w:r w:rsidRPr="00EA4C9B">
        <w:rPr>
          <w:rStyle w:val="FootnoteReference"/>
        </w:rPr>
        <w:footnoteReference w:id="12"/>
      </w:r>
      <w:r w:rsidRPr="00EA4C9B">
        <w:t>. In Vienna, wastewater charges were increased from EUR 2.35 to EUR 2.49 per m3 as of 2025</w:t>
      </w:r>
      <w:r w:rsidRPr="00EA4C9B">
        <w:rPr>
          <w:rStyle w:val="FootnoteReference"/>
        </w:rPr>
        <w:footnoteReference w:id="13"/>
      </w:r>
      <w:r w:rsidRPr="00EA4C9B">
        <w:t xml:space="preserve">. </w:t>
      </w:r>
    </w:p>
    <w:p w14:paraId="1CAB04B7" w14:textId="67E0ADA8" w:rsidR="00275DAA" w:rsidRPr="00EA4C9B" w:rsidRDefault="00275DAA" w:rsidP="0098065E">
      <w:r w:rsidRPr="00EA4C9B">
        <w:t xml:space="preserve">Established in 1955, </w:t>
      </w:r>
      <w:r w:rsidRPr="00EA4C9B">
        <w:rPr>
          <w:b/>
          <w:bCs/>
        </w:rPr>
        <w:t xml:space="preserve">property tax B </w:t>
      </w:r>
      <w:r w:rsidRPr="00EA4C9B">
        <w:t>can be regarded as environmentally relevant as it aims to counteract soil sealing in Austria</w:t>
      </w:r>
      <w:r w:rsidRPr="00EA4C9B">
        <w:rPr>
          <w:rStyle w:val="FootnoteReference"/>
        </w:rPr>
        <w:footnoteReference w:id="14"/>
      </w:r>
      <w:r w:rsidRPr="00EA4C9B">
        <w:t>. It includes single-family houses, rental properties, mixed-use properties, commercial properties and other developed and undeveloped properties. Generally, any property that is not used for agricultural purposes falls within the scope of property tax B. While there is a national tax rate calculated based on the type of property and rateable value</w:t>
      </w:r>
      <w:r w:rsidRPr="00EA4C9B">
        <w:rPr>
          <w:rStyle w:val="FootnoteReference"/>
        </w:rPr>
        <w:footnoteReference w:id="15"/>
      </w:r>
      <w:r w:rsidRPr="00EA4C9B">
        <w:t>, municipalities are authorised to increase this rate by up to 500%</w:t>
      </w:r>
      <w:r w:rsidRPr="00EA4C9B">
        <w:rPr>
          <w:rStyle w:val="FootnoteReference"/>
        </w:rPr>
        <w:footnoteReference w:id="16"/>
      </w:r>
      <w:r w:rsidRPr="00EA4C9B">
        <w:t xml:space="preserve">. The tax is paid by property owners, but may be passed on to tenants as part of the operating costs of a building. Tax exemptions are set locally and may apply </w:t>
      </w:r>
      <w:r w:rsidRPr="00EA4C9B">
        <w:lastRenderedPageBreak/>
        <w:t>to public transport routes, flowing waters and land owned by local authorities for public service or use. Temporary exemptions may apply for newly created (subsidised) residential properties.</w:t>
      </w:r>
    </w:p>
    <w:p w14:paraId="137589CF" w14:textId="77777777" w:rsidR="0098065E" w:rsidRPr="00EA4C9B" w:rsidRDefault="0098065E" w:rsidP="0098065E">
      <w:r w:rsidRPr="00EA4C9B">
        <w:t xml:space="preserve">Austrian </w:t>
      </w:r>
      <w:r w:rsidRPr="00EA4C9B">
        <w:rPr>
          <w:b/>
          <w:bCs/>
        </w:rPr>
        <w:t>levies on landscape protection and nature conservation</w:t>
      </w:r>
      <w:r w:rsidRPr="00EA4C9B">
        <w:t xml:space="preserve"> are regionally determined. They generally apply to the extraction of aggregates (IEEP, 2016), but may also include the construction of sports facilities or the extraction of water, like in the province of Tyrol</w:t>
      </w:r>
      <w:r w:rsidRPr="00EA4C9B">
        <w:rPr>
          <w:rStyle w:val="FootnoteReference"/>
        </w:rPr>
        <w:footnoteReference w:id="17"/>
      </w:r>
      <w:r w:rsidRPr="00EA4C9B">
        <w:t xml:space="preserve">. The rates also differ depending on the mineral extracted. </w:t>
      </w:r>
      <w:r w:rsidRPr="00EA4C9B">
        <w:rPr>
          <w:color w:val="000000" w:themeColor="text1"/>
        </w:rPr>
        <w:t xml:space="preserve">In Vorarlberg, for example, they </w:t>
      </w:r>
      <w:r w:rsidRPr="00EA4C9B">
        <w:t>are set at EUR 0.21 per tonne of stone, and EUR 0.41 per tonne of sand, gravel and bulk material</w:t>
      </w:r>
      <w:r w:rsidRPr="00EA4C9B">
        <w:rPr>
          <w:rStyle w:val="FootnoteReference"/>
        </w:rPr>
        <w:footnoteReference w:id="18"/>
      </w:r>
      <w:r w:rsidRPr="00EA4C9B">
        <w:t xml:space="preserve">. The levy is earmarked for nature conservation measures (and, in some provinces, for the provision of public transport), and helps fund the Nature Conservation Fund. These nature conservation levies are self-assessment levies that need to be paid by anyone mining the above materials or removing them from bodies of water. </w:t>
      </w:r>
    </w:p>
    <w:p w14:paraId="1AD4778F" w14:textId="47C7BE80" w:rsidR="0098065E" w:rsidRDefault="0098065E" w:rsidP="0098065E">
      <w:r w:rsidRPr="00EA4C9B">
        <w:rPr>
          <w:b/>
          <w:bCs/>
        </w:rPr>
        <w:t>Water charges</w:t>
      </w:r>
      <w:r w:rsidRPr="00EA4C9B">
        <w:t xml:space="preserve"> are imposed on households and firms in Austria for the supply of </w:t>
      </w:r>
      <w:r w:rsidR="00DB38B0">
        <w:t>drinking</w:t>
      </w:r>
      <w:r w:rsidRPr="00EA4C9B">
        <w:t xml:space="preserve"> water. The charges cover the costs of water extraction and treatment, and distributing infrastructure </w:t>
      </w:r>
      <w:r w:rsidR="00342EFA" w:rsidRPr="00EA4C9B">
        <w:t>maintenance. The</w:t>
      </w:r>
      <w:r w:rsidRPr="00EA4C9B">
        <w:t xml:space="preserve"> charges</w:t>
      </w:r>
      <w:r w:rsidRPr="00EA4C9B">
        <w:rPr>
          <w:color w:val="FF0000"/>
        </w:rPr>
        <w:t xml:space="preserve"> </w:t>
      </w:r>
      <w:r w:rsidRPr="00EA4C9B">
        <w:t>are typically calculated based on the volume of consumed water, but may also depend on property size in some municipalities. Rates are determined by municipal governments, as such they can vary across regions. In Vienna, for instance, they amount to EUR 2.27 per m</w:t>
      </w:r>
      <w:r w:rsidRPr="00BA7936">
        <w:rPr>
          <w:vertAlign w:val="superscript"/>
        </w:rPr>
        <w:t>3</w:t>
      </w:r>
      <w:r w:rsidRPr="00EA4C9B">
        <w:t xml:space="preserve"> of potable water consumed (increased as of 2025 from EUR 2.14 per m</w:t>
      </w:r>
      <w:r w:rsidRPr="00BA7936">
        <w:rPr>
          <w:vertAlign w:val="superscript"/>
        </w:rPr>
        <w:t>3</w:t>
      </w:r>
      <w:r w:rsidRPr="00EA4C9B">
        <w:t>), as well as EUR 30.38 to EUR 364.42 per year for water meters, depending on the size of the connection</w:t>
      </w:r>
      <w:r w:rsidRPr="00EA4C9B">
        <w:rPr>
          <w:rStyle w:val="FootnoteReference"/>
        </w:rPr>
        <w:footnoteReference w:id="19"/>
      </w:r>
      <w:r w:rsidRPr="00EA4C9B">
        <w:t xml:space="preserve">. The charges need to be paid each quarter of a year. Revenues from these charges are used to fund the maintenance and improvement of the water supply system.  </w:t>
      </w:r>
    </w:p>
    <w:p w14:paraId="46D8109A" w14:textId="77777777" w:rsidR="0098065E" w:rsidRPr="00EA4C9B" w:rsidRDefault="0098065E" w:rsidP="003B540D">
      <w:pPr>
        <w:pStyle w:val="Heading4"/>
      </w:pPr>
      <w:r w:rsidRPr="00EA4C9B">
        <w:t>Proposed or postponed environmental taxes</w:t>
      </w:r>
    </w:p>
    <w:p w14:paraId="5EEEE44B" w14:textId="7991B3A0" w:rsidR="0098065E" w:rsidRPr="00EA4C9B" w:rsidRDefault="0098065E" w:rsidP="0098065E">
      <w:r w:rsidRPr="00EA4C9B">
        <w:t xml:space="preserve">While </w:t>
      </w:r>
      <w:r w:rsidR="0030133D">
        <w:t>there are</w:t>
      </w:r>
      <w:r w:rsidRPr="00EA4C9B">
        <w:t xml:space="preserve"> no confirmed plans to adopt a national plastic tax, </w:t>
      </w:r>
      <w:r w:rsidR="0030133D">
        <w:t>Austria</w:t>
      </w:r>
      <w:r w:rsidR="0030133D" w:rsidRPr="00EA4C9B">
        <w:t xml:space="preserve"> </w:t>
      </w:r>
      <w:r w:rsidRPr="00EA4C9B">
        <w:t>has recently implemented a deposit-return system for disposable plastic and metal beverage containers, with a deposit of EUR 0.25 as of 2025. Dairy and mixed milk drinks are excluded. Additionally, large food retailers (with over 400 m² of sales area) must increase the share of reusable beverage packaging to at least 30% by 2030, with phased targets starting in 2024</w:t>
      </w:r>
      <w:r w:rsidRPr="00EA4C9B">
        <w:rPr>
          <w:rStyle w:val="FootnoteReference"/>
        </w:rPr>
        <w:footnoteReference w:id="20"/>
      </w:r>
      <w:r w:rsidRPr="00EA4C9B">
        <w:t>.</w:t>
      </w:r>
    </w:p>
    <w:p w14:paraId="0DB909A9" w14:textId="77777777" w:rsidR="0098065E" w:rsidRPr="00EA4C9B" w:rsidRDefault="0098065E" w:rsidP="003B540D">
      <w:pPr>
        <w:pStyle w:val="Heading4"/>
      </w:pPr>
      <w:r w:rsidRPr="00EA4C9B">
        <w:t>Conclusions, country-specific recommendations and reform progress</w:t>
      </w:r>
    </w:p>
    <w:p w14:paraId="08E19582" w14:textId="3DDE70BB" w:rsidR="0056654D" w:rsidRPr="00EA4C9B" w:rsidRDefault="0056654D" w:rsidP="0056654D">
      <w:pPr>
        <w:rPr>
          <w:rFonts w:ascii="Calibri" w:eastAsia="Calibri" w:hAnsi="Calibri" w:cs="Calibri"/>
          <w:color w:val="000000" w:themeColor="text1"/>
        </w:rPr>
      </w:pPr>
      <w:r w:rsidRPr="00EA4C9B">
        <w:rPr>
          <w:rFonts w:ascii="Calibri" w:eastAsia="Calibri" w:hAnsi="Calibri" w:cs="Calibri"/>
          <w:color w:val="000000" w:themeColor="text1"/>
        </w:rPr>
        <w:t xml:space="preserve">In contrast to other Member States, Austria tends to rely on levies, charges and fees rather than taxes to steer environmentally-friendly behaviour. These are generally earmarked for infrastructure provision, environmental management and environmental protection, i.e. providing a service in return (e.g., waste treatment, water supply, nature conservation measures). Most of these economic instruments vary in their design across the nine Austrian provinces, the </w:t>
      </w:r>
      <w:r w:rsidR="00363AFF">
        <w:rPr>
          <w:rFonts w:ascii="Calibri" w:eastAsia="Calibri" w:hAnsi="Calibri" w:cs="Calibri"/>
          <w:color w:val="000000" w:themeColor="text1"/>
        </w:rPr>
        <w:t>tax</w:t>
      </w:r>
      <w:r w:rsidRPr="00EA4C9B">
        <w:rPr>
          <w:rFonts w:ascii="Calibri" w:eastAsia="Calibri" w:hAnsi="Calibri" w:cs="Calibri"/>
          <w:color w:val="000000" w:themeColor="text1"/>
        </w:rPr>
        <w:t xml:space="preserve"> on dangerous waste (ALSAG) being the notable exception. </w:t>
      </w:r>
      <w:r>
        <w:rPr>
          <w:rFonts w:ascii="Calibri" w:eastAsia="Calibri" w:hAnsi="Calibri" w:cs="Calibri"/>
          <w:color w:val="000000" w:themeColor="text1"/>
        </w:rPr>
        <w:t>A national expert noted that managing these instruments on a sub-national level was the most effective and efficient way to adapt to local circumstances and cover the cost of related service provisioning</w:t>
      </w:r>
      <w:r w:rsidR="00363AFF">
        <w:rPr>
          <w:rFonts w:ascii="Calibri" w:eastAsia="Calibri" w:hAnsi="Calibri" w:cs="Calibri"/>
          <w:color w:val="000000" w:themeColor="text1"/>
        </w:rPr>
        <w:t>.</w:t>
      </w:r>
      <w:r>
        <w:rPr>
          <w:rFonts w:ascii="Calibri" w:eastAsia="Calibri" w:hAnsi="Calibri" w:cs="Calibri"/>
          <w:color w:val="000000" w:themeColor="text1"/>
        </w:rPr>
        <w:t xml:space="preserve"> </w:t>
      </w:r>
    </w:p>
    <w:p w14:paraId="5131436A" w14:textId="474377C0" w:rsidR="0056654D" w:rsidRPr="00EA4C9B" w:rsidRDefault="0056654D" w:rsidP="0056654D">
      <w:pPr>
        <w:rPr>
          <w:rFonts w:ascii="Calibri" w:eastAsia="Calibri" w:hAnsi="Calibri" w:cs="Calibri"/>
          <w:color w:val="000000" w:themeColor="text1"/>
        </w:rPr>
      </w:pPr>
      <w:r w:rsidRPr="606E24A0">
        <w:rPr>
          <w:rFonts w:ascii="Calibri" w:eastAsia="Calibri" w:hAnsi="Calibri" w:cs="Calibri"/>
          <w:color w:val="000000" w:themeColor="text1"/>
        </w:rPr>
        <w:lastRenderedPageBreak/>
        <w:t xml:space="preserve">The design of the Austrian landfill tax (as part of the </w:t>
      </w:r>
      <w:r w:rsidR="00363AFF" w:rsidRPr="606E24A0">
        <w:rPr>
          <w:rFonts w:ascii="Calibri" w:eastAsia="Calibri" w:hAnsi="Calibri" w:cs="Calibri"/>
          <w:color w:val="000000" w:themeColor="text1"/>
        </w:rPr>
        <w:t>tax</w:t>
      </w:r>
      <w:r w:rsidRPr="606E24A0">
        <w:rPr>
          <w:rFonts w:ascii="Calibri" w:eastAsia="Calibri" w:hAnsi="Calibri" w:cs="Calibri"/>
          <w:color w:val="000000" w:themeColor="text1"/>
        </w:rPr>
        <w:t xml:space="preserve"> on dangerous waste) has been </w:t>
      </w:r>
      <w:r w:rsidR="007441EF">
        <w:rPr>
          <w:rFonts w:ascii="Calibri" w:eastAsia="Calibri" w:hAnsi="Calibri" w:cs="Calibri"/>
          <w:color w:val="000000" w:themeColor="text1"/>
        </w:rPr>
        <w:t>identifi</w:t>
      </w:r>
      <w:r w:rsidR="007441EF" w:rsidRPr="606E24A0">
        <w:rPr>
          <w:rFonts w:ascii="Calibri" w:eastAsia="Calibri" w:hAnsi="Calibri" w:cs="Calibri"/>
          <w:color w:val="000000" w:themeColor="text1"/>
        </w:rPr>
        <w:t>ed</w:t>
      </w:r>
      <w:r w:rsidRPr="606E24A0">
        <w:rPr>
          <w:rFonts w:ascii="Calibri" w:eastAsia="Calibri" w:hAnsi="Calibri" w:cs="Calibri"/>
          <w:color w:val="000000" w:themeColor="text1"/>
        </w:rPr>
        <w:t xml:space="preserve"> </w:t>
      </w:r>
      <w:r w:rsidR="007441EF">
        <w:rPr>
          <w:rFonts w:ascii="Calibri" w:eastAsia="Calibri" w:hAnsi="Calibri" w:cs="Calibri"/>
          <w:color w:val="000000" w:themeColor="text1"/>
        </w:rPr>
        <w:t xml:space="preserve">by the European Commission </w:t>
      </w:r>
      <w:r w:rsidRPr="606E24A0">
        <w:rPr>
          <w:rFonts w:ascii="Calibri" w:eastAsia="Calibri" w:hAnsi="Calibri" w:cs="Calibri"/>
          <w:color w:val="000000" w:themeColor="text1"/>
        </w:rPr>
        <w:t>as a good</w:t>
      </w:r>
      <w:r w:rsidR="00B81805">
        <w:rPr>
          <w:rFonts w:ascii="Calibri" w:eastAsia="Calibri" w:hAnsi="Calibri" w:cs="Calibri"/>
          <w:color w:val="000000" w:themeColor="text1"/>
        </w:rPr>
        <w:t xml:space="preserve"> </w:t>
      </w:r>
      <w:r w:rsidRPr="606E24A0">
        <w:rPr>
          <w:rFonts w:ascii="Calibri" w:eastAsia="Calibri" w:hAnsi="Calibri" w:cs="Calibri"/>
          <w:color w:val="000000" w:themeColor="text1"/>
        </w:rPr>
        <w:t>practice example</w:t>
      </w:r>
      <w:r w:rsidR="007441EF">
        <w:rPr>
          <w:rStyle w:val="FootnoteReference"/>
          <w:rFonts w:ascii="Calibri" w:eastAsia="Calibri" w:hAnsi="Calibri" w:cs="Calibri"/>
          <w:color w:val="000000" w:themeColor="text1"/>
        </w:rPr>
        <w:footnoteReference w:id="21"/>
      </w:r>
      <w:r w:rsidRPr="606E24A0">
        <w:rPr>
          <w:rFonts w:ascii="Calibri" w:eastAsia="Calibri" w:hAnsi="Calibri" w:cs="Calibri"/>
          <w:color w:val="000000" w:themeColor="text1"/>
        </w:rPr>
        <w:t>, although its revenues started falling in 2003 following its redesign. Its revenue finances the containment and treatment of contaminated sites, thus paying for externalities arising from landfilling. Austria is the only EU Member State where such revenues are used exclusively for this purpose (Ettlinger &amp; Bapasola, 2022). There are also differentiated rates for new and high-standard landfills and older ones. However, there are concerns that the tax differential for the two types of landfills was not substantial enough to offset additional costs. The tax is structured in a way that it puts different treatment options (MBT, linked to thermal treatment, and incineration) on equal terms regarding financial costs (Ettlinger &amp; Bapasola, 2022). The incineration tax</w:t>
      </w:r>
      <w:r w:rsidRPr="606E24A0">
        <w:rPr>
          <w:rFonts w:ascii="Calibri" w:eastAsia="Calibri" w:hAnsi="Calibri" w:cs="Calibri"/>
          <w:b/>
          <w:bCs/>
          <w:color w:val="000000" w:themeColor="text1"/>
        </w:rPr>
        <w:t xml:space="preserve"> </w:t>
      </w:r>
      <w:r w:rsidRPr="606E24A0">
        <w:rPr>
          <w:rFonts w:ascii="Calibri" w:eastAsia="Calibri" w:hAnsi="Calibri" w:cs="Calibri"/>
          <w:color w:val="000000" w:themeColor="text1"/>
        </w:rPr>
        <w:t xml:space="preserve">is closely linked to the landfill tax, as the latter increased incineration rates whose revenue is used to clean-up contaminated sites. </w:t>
      </w:r>
    </w:p>
    <w:p w14:paraId="3CBAA213" w14:textId="7147D25D" w:rsidR="0056654D" w:rsidRPr="004F0767" w:rsidRDefault="0056654D" w:rsidP="00F8746F">
      <w:pPr>
        <w:rPr>
          <w:rFonts w:eastAsia="Aptos Narrow" w:cstheme="minorHAnsi"/>
          <w:color w:val="000000" w:themeColor="text1"/>
        </w:rPr>
      </w:pPr>
      <w:r w:rsidRPr="00EA4C9B">
        <w:rPr>
          <w:rFonts w:ascii="Calibri" w:eastAsia="Calibri" w:hAnsi="Calibri" w:cs="Calibri"/>
          <w:color w:val="000000" w:themeColor="text1"/>
        </w:rPr>
        <w:t>Different from other Member States, the Austrian statistical institute also considers land tax B an environmental tax. It taxes most types of property other than land used for agricultural purposes.</w:t>
      </w:r>
      <w:r w:rsidRPr="00EA4C9B">
        <w:rPr>
          <w:rFonts w:ascii="Aptos Narrow" w:eastAsia="Aptos Narrow" w:hAnsi="Aptos Narrow" w:cs="Aptos Narrow"/>
          <w:color w:val="000000" w:themeColor="text1"/>
        </w:rPr>
        <w:t xml:space="preserve"> </w:t>
      </w:r>
      <w:r w:rsidRPr="00453BDC">
        <w:rPr>
          <w:rFonts w:eastAsia="Aptos Narrow" w:cstheme="minorHAnsi"/>
          <w:color w:val="000000" w:themeColor="text1"/>
        </w:rPr>
        <w:t>It is considered an environmental resource tax since building on the land seals the soil.</w:t>
      </w:r>
    </w:p>
    <w:p w14:paraId="4ACB5A76" w14:textId="491C679A" w:rsidR="006C3813" w:rsidRDefault="00F8746F" w:rsidP="00F8746F">
      <w:pPr>
        <w:rPr>
          <w:lang w:eastAsia="en-GB"/>
        </w:rPr>
      </w:pPr>
      <w:r w:rsidRPr="00EA4C9B">
        <w:rPr>
          <w:rFonts w:ascii="Calibri" w:eastAsia="Calibri" w:hAnsi="Calibri" w:cs="Calibri"/>
          <w:color w:val="000000" w:themeColor="text1"/>
        </w:rPr>
        <w:t>Austria is among the few countries who launched an explicitly eco-social tax reform agenda</w:t>
      </w:r>
      <w:r w:rsidRPr="00EA4C9B">
        <w:rPr>
          <w:rFonts w:ascii="Calibri" w:eastAsia="Calibri" w:hAnsi="Calibri" w:cs="Calibri"/>
          <w:b/>
          <w:bCs/>
          <w:color w:val="000000" w:themeColor="text1"/>
        </w:rPr>
        <w:t xml:space="preserve">, </w:t>
      </w:r>
      <w:r w:rsidRPr="00EA4C9B">
        <w:rPr>
          <w:rFonts w:ascii="Calibri" w:eastAsia="Calibri" w:hAnsi="Calibri" w:cs="Calibri"/>
          <w:color w:val="000000" w:themeColor="text1"/>
        </w:rPr>
        <w:t>although it mainly addresses CO2 pricing</w:t>
      </w:r>
      <w:r>
        <w:rPr>
          <w:rFonts w:ascii="Calibri" w:eastAsia="Calibri" w:hAnsi="Calibri" w:cs="Calibri"/>
          <w:color w:val="000000" w:themeColor="text1"/>
        </w:rPr>
        <w:t xml:space="preserve"> and has decreased in its ambition recently.</w:t>
      </w:r>
      <w:r w:rsidRPr="00EA4C9B">
        <w:rPr>
          <w:rFonts w:ascii="Calibri" w:eastAsia="Calibri" w:hAnsi="Calibri" w:cs="Calibri"/>
          <w:color w:val="000000" w:themeColor="text1"/>
        </w:rPr>
        <w:t xml:space="preserve"> </w:t>
      </w:r>
      <w:r w:rsidRPr="00EA4C9B">
        <w:rPr>
          <w:lang w:eastAsia="en-GB"/>
        </w:rPr>
        <w:t xml:space="preserve">While Austria has made limited progress in expanding its environmental tax base, the share of environmental tax revenue relative to GDP and total tax revenue has declined for most environmental taxes (below the EU average). </w:t>
      </w:r>
      <w:r w:rsidR="006C3813" w:rsidRPr="00EA4C9B">
        <w:rPr>
          <w:lang w:eastAsia="en-GB"/>
        </w:rPr>
        <w:t xml:space="preserve">Austria’s environmental tax revenues, as a percentage of GDP, were </w:t>
      </w:r>
      <w:r w:rsidR="00115A9C">
        <w:rPr>
          <w:lang w:eastAsia="en-GB"/>
        </w:rPr>
        <w:t xml:space="preserve">also </w:t>
      </w:r>
      <w:r w:rsidR="006C3813" w:rsidRPr="00EA4C9B">
        <w:rPr>
          <w:lang w:eastAsia="en-GB"/>
        </w:rPr>
        <w:t>slightly below the EU average in 2022 (European Commission, 2024a), indicating that there is room for improvement in this area.</w:t>
      </w:r>
    </w:p>
    <w:p w14:paraId="4E8F2B4E" w14:textId="3575D531" w:rsidR="006C3813" w:rsidRPr="00EA4C9B" w:rsidRDefault="006C3813" w:rsidP="006C3813">
      <w:pPr>
        <w:rPr>
          <w:lang w:eastAsia="en-GB"/>
        </w:rPr>
      </w:pPr>
      <w:r w:rsidRPr="00EA4C9B">
        <w:rPr>
          <w:lang w:eastAsia="en-GB"/>
        </w:rPr>
        <w:t>The country had, at one point, implemented a fertiliser tax, which was later abolished due to concerns about its effectiveness and economic impact (European Commission, 2022). While this policy shift indicates some adaptability in Austria’s approach to environmental taxation, it also highlights the difficulty in fully implementing green fiscal reforms in the context of Austria's broader fiscal structure.</w:t>
      </w:r>
    </w:p>
    <w:p w14:paraId="55EA6611" w14:textId="77777777" w:rsidR="00115A9C" w:rsidRPr="00EA4C9B" w:rsidRDefault="00115A9C" w:rsidP="00115A9C">
      <w:pPr>
        <w:rPr>
          <w:lang w:eastAsia="en-GB"/>
        </w:rPr>
      </w:pPr>
      <w:r w:rsidRPr="00EA4C9B">
        <w:rPr>
          <w:lang w:eastAsia="en-GB"/>
        </w:rPr>
        <w:t>Despite these efforts, Austria's tax mix still remains dominated by taxes on labour income and consumption, rather than property and environmental taxes (European Commission, 2024a, European Commission, 2025). The Commission’s Country Specific Recommendations (CSRs) have consistently highlighted the need for Austria to address inefficiencies in its fiscal framework and to make its tax system more growth-oriented and equitable. Particularly, the latest CSRs have emphasised that Austria should realign its tax system in a way that would increase transparency, efficiency, and fairness.</w:t>
      </w:r>
    </w:p>
    <w:p w14:paraId="1C5A852D" w14:textId="77777777" w:rsidR="00115A9C" w:rsidRPr="00EA4C9B" w:rsidRDefault="00115A9C" w:rsidP="00115A9C">
      <w:pPr>
        <w:rPr>
          <w:lang w:eastAsia="en-GB"/>
        </w:rPr>
      </w:pPr>
      <w:r w:rsidRPr="00EA4C9B">
        <w:rPr>
          <w:lang w:eastAsia="en-GB"/>
        </w:rPr>
        <w:t xml:space="preserve">Another challenge is posed by the varying competencies of the Austrian federal government and regional governments. The Bundesländer (provinces) depend largely on transfers of tax revenues by the federal government, hindering efficient public spending (European Commission, 2024a). Thus, CSRs have suggested to better align own-source revenues with sub-central government spending while strengthening transparency and coordination. </w:t>
      </w:r>
    </w:p>
    <w:p w14:paraId="57B3D182" w14:textId="77777777" w:rsidR="00115A9C" w:rsidRPr="00EA4C9B" w:rsidRDefault="00115A9C" w:rsidP="00115A9C">
      <w:pPr>
        <w:rPr>
          <w:lang w:eastAsia="en-GB"/>
        </w:rPr>
      </w:pPr>
      <w:r w:rsidRPr="00EA4C9B">
        <w:rPr>
          <w:lang w:eastAsia="en-GB"/>
        </w:rPr>
        <w:t xml:space="preserve">In 2022, Austria had one of the highest tax-to-GDP ratios in the EU, alongside a high tax wedge (European Commission, 2024b). These factors contribute to the inefficiency of the tax system in supporting long-term economic growth. Income tax brackets introduced in 2023 and an improved tax mix resulting from the eco-social tax reform have provided some social relief. However, further improvements are needed to address the structural challenges (European Commission, 2024b). </w:t>
      </w:r>
      <w:r w:rsidRPr="00EA4C9B">
        <w:rPr>
          <w:lang w:eastAsia="en-GB"/>
        </w:rPr>
        <w:lastRenderedPageBreak/>
        <w:t xml:space="preserve">Therefore, Austria should increase its efforts to shift the tax burden away from labour, and to introduce more environmentally friendly tax schemes (European Commission, 2024a). </w:t>
      </w:r>
    </w:p>
    <w:p w14:paraId="6FB24877" w14:textId="04808442" w:rsidR="006C3813" w:rsidRDefault="00115A9C" w:rsidP="00F8746F">
      <w:pPr>
        <w:rPr>
          <w:lang w:eastAsia="en-GB"/>
        </w:rPr>
      </w:pPr>
      <w:r w:rsidRPr="00EA4C9B">
        <w:rPr>
          <w:lang w:eastAsia="en-GB"/>
        </w:rPr>
        <w:t xml:space="preserve">The tax mix should be improved to reduce the tax wedge while supporting inclusive and sustainable economic growth (European Commission, 2025). To improve the tax system’s efficiency, fiscal relationships and responsibilities between the national and sub-national governments should be simplified and aligned (European Commission, 2024b). </w:t>
      </w:r>
    </w:p>
    <w:p w14:paraId="3C8DC250" w14:textId="010A91BF" w:rsidR="00F8746F" w:rsidRPr="00EA4C9B" w:rsidRDefault="00F8746F" w:rsidP="00F8746F">
      <w:pPr>
        <w:rPr>
          <w:rFonts w:ascii="Calibri" w:eastAsia="Calibri" w:hAnsi="Calibri" w:cs="Calibri"/>
          <w:color w:val="000000" w:themeColor="text1"/>
        </w:rPr>
      </w:pPr>
      <w:r w:rsidRPr="00EA4C9B">
        <w:rPr>
          <w:lang w:eastAsia="en-GB"/>
        </w:rPr>
        <w:t>EHS continue to be a challenge to the green transition, especially in transport and energy.</w:t>
      </w:r>
      <w:r>
        <w:rPr>
          <w:lang w:eastAsia="en-GB"/>
        </w:rPr>
        <w:t xml:space="preserve"> According to a national expert, however, </w:t>
      </w:r>
      <w:r>
        <w:rPr>
          <w:rFonts w:eastAsia="Aptos Narrow" w:cstheme="minorHAnsi"/>
          <w:color w:val="000000" w:themeColor="text1"/>
        </w:rPr>
        <w:t>this issue has not been discussed at the political level in recent years and is unlikely to change in the near future</w:t>
      </w:r>
      <w:r w:rsidR="00363AFF">
        <w:rPr>
          <w:rFonts w:eastAsia="Aptos Narrow" w:cstheme="minorHAnsi"/>
          <w:color w:val="000000" w:themeColor="text1"/>
        </w:rPr>
        <w:t>.</w:t>
      </w:r>
      <w:r w:rsidRPr="00EA4C9B">
        <w:rPr>
          <w:lang w:eastAsia="en-GB"/>
        </w:rPr>
        <w:t xml:space="preserve"> </w:t>
      </w:r>
      <w:r w:rsidRPr="00EA4C9B">
        <w:rPr>
          <w:rFonts w:ascii="Calibri" w:eastAsia="Calibri" w:hAnsi="Calibri" w:cs="Calibri"/>
          <w:color w:val="000000" w:themeColor="text1"/>
        </w:rPr>
        <w:t xml:space="preserve">Further structural improvements are needed to enable inclusive and sustainable economic growth. For example, shifting the tax burden away from labour and toward pollution and resource use, and strengthening national environmental tax instruments while clarifying fiscal responsibilities across levels of government. </w:t>
      </w:r>
    </w:p>
    <w:p w14:paraId="4E656AC6" w14:textId="77777777" w:rsidR="0098065E" w:rsidRPr="00EA4C9B" w:rsidRDefault="0098065E" w:rsidP="007C4EB7">
      <w:pPr>
        <w:pStyle w:val="AnnexHeading2"/>
      </w:pPr>
      <w:bookmarkStart w:id="10" w:name="_Toc209097145"/>
      <w:bookmarkStart w:id="11" w:name="_Toc209097323"/>
      <w:bookmarkStart w:id="12" w:name="_Toc209099236"/>
      <w:bookmarkStart w:id="13" w:name="_Toc210766176"/>
      <w:bookmarkStart w:id="14" w:name="_Toc210766391"/>
      <w:bookmarkStart w:id="15" w:name="_Toc210802271"/>
      <w:bookmarkStart w:id="16" w:name="_Toc210802486"/>
      <w:bookmarkStart w:id="17" w:name="_Toc210802700"/>
      <w:bookmarkStart w:id="18" w:name="_Toc210802914"/>
      <w:bookmarkStart w:id="19" w:name="_Toc210803518"/>
      <w:bookmarkStart w:id="20" w:name="_Toc210812592"/>
      <w:bookmarkStart w:id="21" w:name="_Toc210812873"/>
      <w:bookmarkStart w:id="22" w:name="_Toc210988445"/>
      <w:bookmarkStart w:id="23" w:name="_Toc211856766"/>
      <w:bookmarkStart w:id="24" w:name="_Toc211856908"/>
      <w:bookmarkStart w:id="25" w:name="_Toc209097146"/>
      <w:bookmarkStart w:id="26" w:name="_Toc209097324"/>
      <w:bookmarkStart w:id="27" w:name="_Toc209099237"/>
      <w:bookmarkStart w:id="28" w:name="_Toc210766177"/>
      <w:bookmarkStart w:id="29" w:name="_Toc210766392"/>
      <w:bookmarkStart w:id="30" w:name="_Toc210802272"/>
      <w:bookmarkStart w:id="31" w:name="_Toc210802487"/>
      <w:bookmarkStart w:id="32" w:name="_Toc210802701"/>
      <w:bookmarkStart w:id="33" w:name="_Toc210802915"/>
      <w:bookmarkStart w:id="34" w:name="_Toc210803519"/>
      <w:bookmarkStart w:id="35" w:name="_Toc210812593"/>
      <w:bookmarkStart w:id="36" w:name="_Toc210812874"/>
      <w:bookmarkStart w:id="37" w:name="_Toc210988446"/>
      <w:bookmarkStart w:id="38" w:name="_Toc211856767"/>
      <w:bookmarkStart w:id="39" w:name="_Toc211856909"/>
      <w:bookmarkStart w:id="40" w:name="_Toc209097147"/>
      <w:bookmarkStart w:id="41" w:name="_Toc209097325"/>
      <w:bookmarkStart w:id="42" w:name="_Toc209099238"/>
      <w:bookmarkStart w:id="43" w:name="_Toc210766178"/>
      <w:bookmarkStart w:id="44" w:name="_Toc210766393"/>
      <w:bookmarkStart w:id="45" w:name="_Toc210802273"/>
      <w:bookmarkStart w:id="46" w:name="_Toc210802488"/>
      <w:bookmarkStart w:id="47" w:name="_Toc210802702"/>
      <w:bookmarkStart w:id="48" w:name="_Toc210802916"/>
      <w:bookmarkStart w:id="49" w:name="_Toc210803520"/>
      <w:bookmarkStart w:id="50" w:name="_Toc210812594"/>
      <w:bookmarkStart w:id="51" w:name="_Toc210812875"/>
      <w:bookmarkStart w:id="52" w:name="_Toc210988447"/>
      <w:bookmarkStart w:id="53" w:name="_Toc211856768"/>
      <w:bookmarkStart w:id="54" w:name="_Toc211856910"/>
      <w:bookmarkStart w:id="55" w:name="_Toc209097148"/>
      <w:bookmarkStart w:id="56" w:name="_Toc209097326"/>
      <w:bookmarkStart w:id="57" w:name="_Toc209099239"/>
      <w:bookmarkStart w:id="58" w:name="_Toc210766179"/>
      <w:bookmarkStart w:id="59" w:name="_Toc210766394"/>
      <w:bookmarkStart w:id="60" w:name="_Toc210802274"/>
      <w:bookmarkStart w:id="61" w:name="_Toc210802489"/>
      <w:bookmarkStart w:id="62" w:name="_Toc210802703"/>
      <w:bookmarkStart w:id="63" w:name="_Toc210802917"/>
      <w:bookmarkStart w:id="64" w:name="_Toc210803521"/>
      <w:bookmarkStart w:id="65" w:name="_Toc210812595"/>
      <w:bookmarkStart w:id="66" w:name="_Toc210812876"/>
      <w:bookmarkStart w:id="67" w:name="_Toc210988448"/>
      <w:bookmarkStart w:id="68" w:name="_Toc211856769"/>
      <w:bookmarkStart w:id="69" w:name="_Toc211856911"/>
      <w:bookmarkStart w:id="70" w:name="_Toc209097149"/>
      <w:bookmarkStart w:id="71" w:name="_Toc209097327"/>
      <w:bookmarkStart w:id="72" w:name="_Toc209099240"/>
      <w:bookmarkStart w:id="73" w:name="_Toc210766180"/>
      <w:bookmarkStart w:id="74" w:name="_Toc210766395"/>
      <w:bookmarkStart w:id="75" w:name="_Toc210802275"/>
      <w:bookmarkStart w:id="76" w:name="_Toc210802490"/>
      <w:bookmarkStart w:id="77" w:name="_Toc210802704"/>
      <w:bookmarkStart w:id="78" w:name="_Toc210802918"/>
      <w:bookmarkStart w:id="79" w:name="_Toc210803522"/>
      <w:bookmarkStart w:id="80" w:name="_Toc210812596"/>
      <w:bookmarkStart w:id="81" w:name="_Toc210812877"/>
      <w:bookmarkStart w:id="82" w:name="_Toc210988449"/>
      <w:bookmarkStart w:id="83" w:name="_Toc211856770"/>
      <w:bookmarkStart w:id="84" w:name="_Toc211856912"/>
      <w:bookmarkStart w:id="85" w:name="_Toc209097150"/>
      <w:bookmarkStart w:id="86" w:name="_Toc209097328"/>
      <w:bookmarkStart w:id="87" w:name="_Toc209099241"/>
      <w:bookmarkStart w:id="88" w:name="_Toc210766181"/>
      <w:bookmarkStart w:id="89" w:name="_Toc210766396"/>
      <w:bookmarkStart w:id="90" w:name="_Toc210802276"/>
      <w:bookmarkStart w:id="91" w:name="_Toc210802491"/>
      <w:bookmarkStart w:id="92" w:name="_Toc210802705"/>
      <w:bookmarkStart w:id="93" w:name="_Toc210802919"/>
      <w:bookmarkStart w:id="94" w:name="_Toc210803523"/>
      <w:bookmarkStart w:id="95" w:name="_Toc210812597"/>
      <w:bookmarkStart w:id="96" w:name="_Toc210812878"/>
      <w:bookmarkStart w:id="97" w:name="_Toc210988450"/>
      <w:bookmarkStart w:id="98" w:name="_Toc211856771"/>
      <w:bookmarkStart w:id="99" w:name="_Toc211856913"/>
      <w:bookmarkStart w:id="100" w:name="_Toc214008831"/>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EA4C9B">
        <w:t xml:space="preserve">Potential </w:t>
      </w:r>
      <w:r w:rsidRPr="00FE22D0">
        <w:t>for</w:t>
      </w:r>
      <w:r w:rsidRPr="00EA4C9B">
        <w:t xml:space="preserve"> implementing additional environmental taxes</w:t>
      </w:r>
      <w:bookmarkEnd w:id="100"/>
    </w:p>
    <w:p w14:paraId="26FC2FFB" w14:textId="6D32C362" w:rsidR="00E57468" w:rsidRPr="00E57468" w:rsidRDefault="0051304A" w:rsidP="00E57468">
      <w:r w:rsidRPr="0051304A">
        <w:t>The analysis by Hogg et al. (2016) identified several areas where Austria could strengthen its environmental taxation system, many of which remain relevant today. This is largely because Austria’s environmental tax structure has changed only marginally over the past decade. Apart from periodic adjustments to the ALSAG levy and incremental updates to selected charges, few new environmental tax instruments have been introduced and the overall tax mix has remained broadly stable. As a result, the gaps and opportunities highlighted in 2016 — including limited use of pollution and resource taxes and the reliance on charges rather than taxes — still characterise the current system, making the earlier recommendations pertinent to the present context</w:t>
      </w:r>
      <w:r w:rsidR="00E57468" w:rsidRPr="00E57468">
        <w:t>.</w:t>
      </w:r>
    </w:p>
    <w:p w14:paraId="557EBCD3" w14:textId="28B5FB20" w:rsidR="00E57468" w:rsidRPr="00E57468" w:rsidRDefault="00E57468" w:rsidP="00E57468">
      <w:r w:rsidRPr="00E57468">
        <w:t>A key recommendation concerned the introduction of an aggregates tax at a rate of €2.40 per tonne, aimed at reducing environmental harm from mineral extraction and encouraging the use of recycled materials. The proposed tax would apply to a broad range of materials extracted in Austria. While aggregates are already subject to regional levies related to landscape protection and nature conservation, these are far below the level recommended by Hogg et al. (2016). This gap has been confirmed by national experts, who emphasised the absence of an effective, dedicated aggregates tax. As such, the recommendation remains pertinent, particularly given the growing focus on circular economy objectives and resource efficiency.</w:t>
      </w:r>
    </w:p>
    <w:p w14:paraId="0C08690F" w14:textId="0299A343" w:rsidR="00E57468" w:rsidRPr="00E57468" w:rsidRDefault="00E57468" w:rsidP="00E57468">
      <w:r w:rsidRPr="00E57468">
        <w:t>In the field of waste management, Hogg et al. (2016) proposed increasing the waste incineration tax from €8 to €15 per tonne to strengthen recycling incentives and ensure a level playing field between disposal options. Despite amendments to the ALSAG framework, rates have only risen to €9.20 per tonne in 2025</w:t>
      </w:r>
      <w:r>
        <w:t xml:space="preserve">, </w:t>
      </w:r>
      <w:r w:rsidRPr="00E57468">
        <w:t>still significantly below the benchmark. The same study also recommended introducing a packaging tax on materials such as plastic, aluminium, glass and paper, with differentiated rates designed to reflect environmental impact and encourage waste prevention. While Austria introduced a deposit-return system for plastic and metal beverage containers in 2025</w:t>
      </w:r>
      <w:r>
        <w:t xml:space="preserve">, </w:t>
      </w:r>
      <w:r w:rsidRPr="00E57468">
        <w:t>an important step towards closing material loops</w:t>
      </w:r>
      <w:r>
        <w:t xml:space="preserve">, </w:t>
      </w:r>
      <w:r w:rsidRPr="00E57468">
        <w:t>there remains scope to extend fiscal measures to other packaging types to further reduce waste generation.</w:t>
      </w:r>
    </w:p>
    <w:p w14:paraId="25340195" w14:textId="27EA35FA" w:rsidR="00E57468" w:rsidRPr="00E57468" w:rsidRDefault="006A7F02" w:rsidP="00E57468">
      <w:r w:rsidRPr="006A7F02">
        <w:t xml:space="preserve">Hogg et al. (2016) also suggested introducing a single-use carrier bag tax of €0.11 per bag. Austria instead opted for a ban on single-use plastic carrier bags in 2020, with limited exceptions for biodegradable bags made from renewable materials. From an environmental perspective, a ban is often more effective than a tax, as it eliminates rather than discourages the use of the targeted product. The main difference is that, unlike a tax, a ban does not generate revenue that could be earmarked for waste-prevention or circular-economy initiatives. However, in terms of reducing the </w:t>
      </w:r>
      <w:r w:rsidRPr="006A7F02">
        <w:lastRenderedPageBreak/>
        <w:t>consumption of single-use plastic bags, the ban is likely to achieve the intended policy objective more directly</w:t>
      </w:r>
      <w:r w:rsidR="00E57468">
        <w:t>.</w:t>
      </w:r>
    </w:p>
    <w:p w14:paraId="08F420E0" w14:textId="03171367" w:rsidR="00E57468" w:rsidRPr="00E57468" w:rsidRDefault="00E57468" w:rsidP="00E57468">
      <w:r w:rsidRPr="00E57468">
        <w:t>To address air pollution, the study proposed introducing a tax on major pollutants</w:t>
      </w:r>
      <w:r>
        <w:t xml:space="preserve">: </w:t>
      </w:r>
      <w:r w:rsidRPr="00E57468">
        <w:t>€1,000 per tonne for sulphur oxides (SOx) and nitrogen oxides (NOx), and €2,000 per tonne for particulate matter (PM10). Although Austria’s Air Pollution Control Act provides a regulatory framework for emissions reduction, enforcement and rate-based incentives vary across provinces. A targeted air-pollution tax could strengthen the application of the polluter pays principle, particularly in sectors and regions where concentration thresholds continue to be exceeded.</w:t>
      </w:r>
    </w:p>
    <w:p w14:paraId="79E32D93" w14:textId="2750198E" w:rsidR="00E57468" w:rsidRPr="00E57468" w:rsidRDefault="00E57468" w:rsidP="00E57468">
      <w:r w:rsidRPr="00E57468">
        <w:t>Regarding water resources, Hogg et al. (2016) observed that abstraction and discharge charges are administered regionally and vary widely in structure and rates. It recommended that revenues exceeding cost-recovery levels should accrue to the national budget to promote consistency and transparency. The study also proposed establishing a national wastewater tax to better address pollution and ensure coherent treatment of discharges. However, given the strong role of regional authorities in water management, the environmental benefits of centralising such a tax remain uncertain.</w:t>
      </w:r>
    </w:p>
    <w:p w14:paraId="278D76EC" w14:textId="46F12CD6" w:rsidR="00E57468" w:rsidRPr="00E57468" w:rsidRDefault="00E57468" w:rsidP="00E57468">
      <w:r w:rsidRPr="00BA7936">
        <w:rPr>
          <w:lang w:val="fr-BE"/>
        </w:rPr>
        <w:t xml:space="preserve">In agriculture, Hogg et al. </w:t>
      </w:r>
      <w:r w:rsidRPr="00E57468">
        <w:t>(2016) highlighted the absence of both a pesticides tax and a fertiliser tax as a gap in Austria’s environmental fiscal framework. A pesticide tax, differentiated by hazard level, could internalise environmental costs and incentivise a shift towards less harmful substances. Similarly, reintroducing a tax on nitrogen fertilisers could help reduce nutrient runoff and water pollution. Austria previously applied such a tax between 1989 and 1994, but it was abolished shortly before EU accession due to concerns about competitiveness and the low rates applied at the time, which proved insufficient to change behaviour. Experts note that any future reintroduction would require coordination with EU-level agricultural subsidy policies to ensure consistency and fairness across Member States.</w:t>
      </w:r>
    </w:p>
    <w:p w14:paraId="69A8F93E" w14:textId="4814DD72" w:rsidR="00DB048B" w:rsidRPr="00E57468" w:rsidRDefault="007C26F0" w:rsidP="00E57468">
      <w:r>
        <w:t xml:space="preserve">Austria is encouraged to maintain and further improve its strong performance in waste prevention, preparation for re-use, and recycling. Several policy opportunities could support this, including </w:t>
      </w:r>
      <w:r w:rsidRPr="00BA7936">
        <w:rPr>
          <w:b/>
          <w:bCs/>
        </w:rPr>
        <w:t xml:space="preserve">packaging taxes </w:t>
      </w:r>
      <w:r>
        <w:t>or advanced fee modulations that could help reduce packaging waste generation and encourage more recyclable, eco-designed materials</w:t>
      </w:r>
      <w:r>
        <w:rPr>
          <w:rStyle w:val="FootnoteReference"/>
        </w:rPr>
        <w:footnoteReference w:id="22"/>
      </w:r>
      <w:r>
        <w:t>.</w:t>
      </w:r>
    </w:p>
    <w:p w14:paraId="7917F6A0" w14:textId="007D117A" w:rsidR="00E57468" w:rsidRPr="00E57468" w:rsidRDefault="00E57468" w:rsidP="00E57468">
      <w:r w:rsidRPr="00E57468">
        <w:t>Overall, Austria’s environmental taxation system continues to rely heavily on regional levies and regulatory instruments. The recommendations by Hogg et al. (2016) remain largely unimplemented but still provide a relevant roadmap for reform. Strengthening and harmonising these instruments</w:t>
      </w:r>
      <w:r>
        <w:t xml:space="preserve">, </w:t>
      </w:r>
      <w:r w:rsidRPr="00E57468">
        <w:t>particularly in the areas of aggregates, waste, air pollution and agriculture</w:t>
      </w:r>
      <w:r>
        <w:t xml:space="preserve">, </w:t>
      </w:r>
      <w:r w:rsidRPr="00E57468">
        <w:t>would improve coherence, enhance environmental effectiveness and better reflect the polluter pays principle.</w:t>
      </w:r>
    </w:p>
    <w:p w14:paraId="72FD7557" w14:textId="285C8D64" w:rsidR="0098065E" w:rsidRPr="00EA4C9B" w:rsidRDefault="0098065E" w:rsidP="007C4EB7">
      <w:pPr>
        <w:pStyle w:val="AnnexHeading2"/>
      </w:pPr>
      <w:bookmarkStart w:id="101" w:name="_Toc214008832"/>
      <w:r w:rsidRPr="00EA4C9B">
        <w:t>Impacts and feasibility of implementing new environmental taxes</w:t>
      </w:r>
      <w:bookmarkEnd w:id="101"/>
    </w:p>
    <w:p w14:paraId="7ADE9561" w14:textId="5F2BACD6" w:rsidR="00676806" w:rsidRDefault="00676806" w:rsidP="606E24A0">
      <w:pPr>
        <w:rPr>
          <w:rFonts w:eastAsia="Calibri"/>
          <w:color w:val="000000" w:themeColor="text1"/>
        </w:rPr>
      </w:pPr>
      <w:r w:rsidRPr="00676806">
        <w:rPr>
          <w:rFonts w:eastAsia="Calibri"/>
          <w:color w:val="000000" w:themeColor="text1"/>
        </w:rPr>
        <w:t>The</w:t>
      </w:r>
      <w:r>
        <w:rPr>
          <w:rFonts w:eastAsia="Calibri"/>
          <w:color w:val="000000" w:themeColor="text1"/>
        </w:rPr>
        <w:t xml:space="preserve"> following</w:t>
      </w:r>
      <w:r w:rsidRPr="00676806">
        <w:rPr>
          <w:rFonts w:eastAsia="Calibri"/>
          <w:color w:val="000000" w:themeColor="text1"/>
        </w:rPr>
        <w:t xml:space="preserve">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r>
        <w:rPr>
          <w:rFonts w:eastAsia="Calibri"/>
          <w:color w:val="000000" w:themeColor="text1"/>
        </w:rPr>
        <w:t>.</w:t>
      </w:r>
    </w:p>
    <w:p w14:paraId="3344ECCB" w14:textId="2E4DD484" w:rsidR="00363AFF" w:rsidRDefault="00363AFF" w:rsidP="606E24A0">
      <w:pPr>
        <w:rPr>
          <w:rFonts w:eastAsia="Calibri"/>
          <w:color w:val="000000" w:themeColor="text1"/>
        </w:rPr>
      </w:pPr>
      <w:r w:rsidRPr="606E24A0">
        <w:rPr>
          <w:rFonts w:eastAsia="Calibri"/>
          <w:color w:val="000000" w:themeColor="text1"/>
        </w:rPr>
        <w:lastRenderedPageBreak/>
        <w:t xml:space="preserve">Austria’s existing environmental taxation framework is relatively well developed, particularly regarding waste management, air emissions, and water abstraction. The modelling results for Scenario A suggest that introducing benchmark taxes across all eight environmental areas would yield moderate fiscal gains, equivalent to approximately 0.3 per cent of total environmental tax revenues in 2030, and measurable environmental benefits, notably reductions in air pollutant emissions and water abstraction. Under Scenario B, impacts are proportionally smaller but remain positive. Overall, the projected effects indicate that Austria could feasibly strengthen the use of environmental taxation without significant macroeconomic disruption. </w:t>
      </w:r>
    </w:p>
    <w:p w14:paraId="78809FDE" w14:textId="2C699F6E" w:rsidR="00363AFF" w:rsidRDefault="00363AFF" w:rsidP="00363AFF">
      <w:r>
        <w:t xml:space="preserve">Total revenues from the </w:t>
      </w:r>
      <w:r w:rsidR="00E57468">
        <w:t>investigated</w:t>
      </w:r>
      <w:r>
        <w:t xml:space="preserve"> taxes could rise by around €590 million in 2030 and €630 million in 2035, respectively 7 and 8 times the revenues for pollution and resource taxes in 2023.  The greatest gains are from water abstraction (54% of the total) and mineral extraction </w:t>
      </w:r>
      <w:r w:rsidR="66FE67C6">
        <w:t>(</w:t>
      </w:r>
      <w:r>
        <w:t>36% of the total</w:t>
      </w:r>
      <w:r w:rsidR="5CFEA656">
        <w:t>)</w:t>
      </w:r>
      <w:r>
        <w:t xml:space="preserve">.  The other contributors are air pollution taxes, pesticides and fertilizers. No contribution is made from waste to incineration, waste to landfill and water effluent as these are already taxed at above the </w:t>
      </w:r>
      <w:r w:rsidR="00E57468">
        <w:t>investigat</w:t>
      </w:r>
      <w:r>
        <w:t>ed minimum rates. Reduction in emissions or use of materials is greatest for pesticides (33%), SO</w:t>
      </w:r>
      <w:r w:rsidRPr="606E24A0">
        <w:rPr>
          <w:vertAlign w:val="subscript"/>
        </w:rPr>
        <w:t>2</w:t>
      </w:r>
      <w:r>
        <w:t xml:space="preserve"> (28%) and fertilizers (24%).</w:t>
      </w:r>
    </w:p>
    <w:tbl>
      <w:tblPr>
        <w:tblStyle w:val="Lentelstinklelis1"/>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129"/>
        <w:gridCol w:w="1129"/>
        <w:gridCol w:w="1035"/>
        <w:gridCol w:w="1223"/>
        <w:gridCol w:w="972"/>
        <w:gridCol w:w="1286"/>
      </w:tblGrid>
      <w:tr w:rsidR="00363AFF" w:rsidRPr="00A436E4" w14:paraId="0A54C050" w14:textId="77777777" w:rsidTr="00BA7936">
        <w:trPr>
          <w:trHeight w:val="265"/>
        </w:trPr>
        <w:tc>
          <w:tcPr>
            <w:tcW w:w="9032" w:type="dxa"/>
            <w:gridSpan w:val="7"/>
            <w:shd w:val="clear" w:color="auto" w:fill="003399"/>
          </w:tcPr>
          <w:p w14:paraId="7981F9B0" w14:textId="21788EAB" w:rsidR="00363AFF" w:rsidRPr="00A436E4" w:rsidRDefault="00363AFF" w:rsidP="000878F6">
            <w:pPr>
              <w:pStyle w:val="Caption"/>
              <w:jc w:val="left"/>
              <w:rPr>
                <w:b w:val="0"/>
                <w:color w:val="FFFFFF" w:themeColor="background1"/>
                <w:szCs w:val="20"/>
              </w:rPr>
            </w:pPr>
            <w:r w:rsidRPr="00A436E4">
              <w:rPr>
                <w:color w:val="FFFFFF" w:themeColor="background1"/>
                <w:szCs w:val="20"/>
              </w:rPr>
              <w:t xml:space="preserve">Table </w:t>
            </w:r>
            <w:r w:rsidR="00490085">
              <w:rPr>
                <w:color w:val="FFFFFF" w:themeColor="background1"/>
                <w:szCs w:val="20"/>
              </w:rPr>
              <w:t>A6</w:t>
            </w:r>
            <w:r w:rsidRPr="00A436E4">
              <w:rPr>
                <w:color w:val="FFFFFF" w:themeColor="background1"/>
                <w:szCs w:val="20"/>
              </w:rPr>
              <w:t>-</w:t>
            </w:r>
            <w:r w:rsidRPr="00A436E4">
              <w:rPr>
                <w:color w:val="FFFFFF" w:themeColor="background1"/>
                <w:szCs w:val="20"/>
              </w:rPr>
              <w:fldChar w:fldCharType="begin"/>
            </w:r>
            <w:r w:rsidRPr="00A436E4">
              <w:rPr>
                <w:color w:val="FFFFFF" w:themeColor="background1"/>
                <w:szCs w:val="20"/>
              </w:rPr>
              <w:instrText xml:space="preserve"> SEQ Table_A5- \* ARABIC </w:instrText>
            </w:r>
            <w:r w:rsidRPr="00A436E4">
              <w:rPr>
                <w:color w:val="FFFFFF" w:themeColor="background1"/>
                <w:szCs w:val="20"/>
              </w:rPr>
              <w:fldChar w:fldCharType="separate"/>
            </w:r>
            <w:r>
              <w:rPr>
                <w:noProof/>
                <w:color w:val="FFFFFF" w:themeColor="background1"/>
                <w:szCs w:val="20"/>
              </w:rPr>
              <w:t>4</w:t>
            </w:r>
            <w:r w:rsidRPr="00A436E4">
              <w:rPr>
                <w:color w:val="FFFFFF" w:themeColor="background1"/>
                <w:szCs w:val="20"/>
              </w:rPr>
              <w:fldChar w:fldCharType="end"/>
            </w:r>
            <w:r w:rsidRPr="00A436E4">
              <w:rPr>
                <w:color w:val="FFFFFF" w:themeColor="background1"/>
                <w:szCs w:val="20"/>
              </w:rPr>
              <w:t xml:space="preserve">: </w:t>
            </w:r>
            <w:r w:rsidRPr="00A436E4">
              <w:rPr>
                <w:color w:val="FFFFFF" w:themeColor="background1"/>
                <w:szCs w:val="20"/>
                <w:lang w:eastAsia="en-GB"/>
              </w:rPr>
              <w:t>Environmental Impacts and Revenue Changes in Austria – Scenario A</w:t>
            </w:r>
          </w:p>
        </w:tc>
      </w:tr>
      <w:tr w:rsidR="00363AFF" w:rsidRPr="00A436E4" w14:paraId="2477E6B7" w14:textId="77777777" w:rsidTr="00BA7936">
        <w:trPr>
          <w:trHeight w:val="486"/>
        </w:trPr>
        <w:tc>
          <w:tcPr>
            <w:tcW w:w="2258" w:type="dxa"/>
          </w:tcPr>
          <w:p w14:paraId="70627BC6" w14:textId="77777777" w:rsidR="00363AFF" w:rsidRPr="00A436E4" w:rsidRDefault="00363AFF" w:rsidP="000878F6">
            <w:pPr>
              <w:pStyle w:val="Table"/>
              <w:jc w:val="center"/>
              <w:rPr>
                <w:b/>
                <w:bCs/>
                <w:szCs w:val="20"/>
              </w:rPr>
            </w:pPr>
            <w:r w:rsidRPr="00A436E4">
              <w:rPr>
                <w:b/>
                <w:bCs/>
                <w:szCs w:val="20"/>
              </w:rPr>
              <w:t>Tax Name</w:t>
            </w:r>
          </w:p>
        </w:tc>
        <w:tc>
          <w:tcPr>
            <w:tcW w:w="2258" w:type="dxa"/>
            <w:gridSpan w:val="2"/>
            <w:vAlign w:val="bottom"/>
          </w:tcPr>
          <w:p w14:paraId="0D335C69" w14:textId="77777777" w:rsidR="00363AFF" w:rsidRPr="00BB49AB" w:rsidRDefault="00363AFF" w:rsidP="000878F6">
            <w:pPr>
              <w:pStyle w:val="Table"/>
              <w:jc w:val="center"/>
              <w:rPr>
                <w:b/>
                <w:bCs/>
                <w:szCs w:val="20"/>
              </w:rPr>
            </w:pPr>
            <w:r w:rsidRPr="00BB49AB">
              <w:rPr>
                <w:rFonts w:ascii="Calibri" w:hAnsi="Calibri" w:cs="Calibri"/>
                <w:b/>
                <w:bCs/>
                <w:szCs w:val="20"/>
              </w:rPr>
              <w:t>% Change in Quantities as % of taxed sector</w:t>
            </w:r>
          </w:p>
        </w:tc>
        <w:tc>
          <w:tcPr>
            <w:tcW w:w="2258" w:type="dxa"/>
            <w:gridSpan w:val="2"/>
            <w:vAlign w:val="bottom"/>
          </w:tcPr>
          <w:p w14:paraId="066CD6D4" w14:textId="77777777" w:rsidR="00363AFF" w:rsidRPr="00BB49AB" w:rsidRDefault="00363AFF" w:rsidP="000878F6">
            <w:pPr>
              <w:pStyle w:val="Table"/>
              <w:jc w:val="center"/>
              <w:rPr>
                <w:b/>
                <w:bCs/>
                <w:szCs w:val="20"/>
              </w:rPr>
            </w:pPr>
            <w:r w:rsidRPr="00BB49AB">
              <w:rPr>
                <w:rFonts w:ascii="Calibri" w:hAnsi="Calibri" w:cs="Calibri"/>
                <w:b/>
                <w:bCs/>
                <w:szCs w:val="20"/>
              </w:rPr>
              <w:t>Change in Revenues (€Mn)</w:t>
            </w:r>
          </w:p>
        </w:tc>
        <w:tc>
          <w:tcPr>
            <w:tcW w:w="2258" w:type="dxa"/>
            <w:gridSpan w:val="2"/>
            <w:vAlign w:val="bottom"/>
          </w:tcPr>
          <w:p w14:paraId="187A3CB7" w14:textId="77777777" w:rsidR="00363AFF" w:rsidRPr="00BB49AB" w:rsidRDefault="00363AFF" w:rsidP="000878F6">
            <w:pPr>
              <w:pStyle w:val="Table"/>
              <w:jc w:val="center"/>
              <w:rPr>
                <w:b/>
                <w:bCs/>
                <w:szCs w:val="20"/>
              </w:rPr>
            </w:pPr>
            <w:r w:rsidRPr="00BB49AB">
              <w:rPr>
                <w:rFonts w:ascii="Calibri" w:hAnsi="Calibri" w:cs="Calibri"/>
                <w:b/>
                <w:bCs/>
                <w:szCs w:val="20"/>
              </w:rPr>
              <w:t>As % of 2023 Resource Tax</w:t>
            </w:r>
          </w:p>
        </w:tc>
      </w:tr>
      <w:tr w:rsidR="00363AFF" w:rsidRPr="00A436E4" w14:paraId="1655EB88" w14:textId="77777777" w:rsidTr="00BA7936">
        <w:trPr>
          <w:trHeight w:val="252"/>
        </w:trPr>
        <w:tc>
          <w:tcPr>
            <w:tcW w:w="2258" w:type="dxa"/>
          </w:tcPr>
          <w:p w14:paraId="26DAB0BB" w14:textId="77777777" w:rsidR="00363AFF" w:rsidRPr="00A436E4" w:rsidRDefault="00363AFF" w:rsidP="000878F6">
            <w:pPr>
              <w:pStyle w:val="Table"/>
              <w:jc w:val="left"/>
              <w:rPr>
                <w:b/>
                <w:szCs w:val="20"/>
              </w:rPr>
            </w:pPr>
            <w:r w:rsidRPr="00A436E4">
              <w:rPr>
                <w:b/>
                <w:szCs w:val="20"/>
              </w:rPr>
              <w:t>Year</w:t>
            </w:r>
          </w:p>
        </w:tc>
        <w:tc>
          <w:tcPr>
            <w:tcW w:w="1129" w:type="dxa"/>
          </w:tcPr>
          <w:p w14:paraId="2EBABCE4" w14:textId="77777777" w:rsidR="00363AFF" w:rsidRPr="00A436E4" w:rsidRDefault="00363AFF" w:rsidP="000878F6">
            <w:pPr>
              <w:pStyle w:val="Table"/>
              <w:jc w:val="center"/>
              <w:rPr>
                <w:b/>
                <w:szCs w:val="20"/>
              </w:rPr>
            </w:pPr>
            <w:r w:rsidRPr="00A436E4">
              <w:rPr>
                <w:b/>
                <w:szCs w:val="20"/>
              </w:rPr>
              <w:t>2030</w:t>
            </w:r>
          </w:p>
        </w:tc>
        <w:tc>
          <w:tcPr>
            <w:tcW w:w="1129" w:type="dxa"/>
          </w:tcPr>
          <w:p w14:paraId="4CED5131" w14:textId="77777777" w:rsidR="00363AFF" w:rsidRPr="00A436E4" w:rsidRDefault="00363AFF" w:rsidP="000878F6">
            <w:pPr>
              <w:pStyle w:val="Table"/>
              <w:jc w:val="center"/>
              <w:rPr>
                <w:b/>
                <w:szCs w:val="20"/>
              </w:rPr>
            </w:pPr>
            <w:r w:rsidRPr="00A436E4">
              <w:rPr>
                <w:b/>
                <w:szCs w:val="20"/>
              </w:rPr>
              <w:t>2035</w:t>
            </w:r>
          </w:p>
        </w:tc>
        <w:tc>
          <w:tcPr>
            <w:tcW w:w="1035" w:type="dxa"/>
          </w:tcPr>
          <w:p w14:paraId="4750A0E3" w14:textId="77777777" w:rsidR="00363AFF" w:rsidRPr="00A436E4" w:rsidRDefault="00363AFF" w:rsidP="000878F6">
            <w:pPr>
              <w:pStyle w:val="Table"/>
              <w:jc w:val="center"/>
              <w:rPr>
                <w:b/>
                <w:szCs w:val="20"/>
              </w:rPr>
            </w:pPr>
            <w:r w:rsidRPr="00A436E4">
              <w:rPr>
                <w:b/>
                <w:szCs w:val="20"/>
              </w:rPr>
              <w:t>2030</w:t>
            </w:r>
          </w:p>
        </w:tc>
        <w:tc>
          <w:tcPr>
            <w:tcW w:w="1223" w:type="dxa"/>
          </w:tcPr>
          <w:p w14:paraId="7B39075E" w14:textId="77777777" w:rsidR="00363AFF" w:rsidRPr="00A436E4" w:rsidRDefault="00363AFF" w:rsidP="000878F6">
            <w:pPr>
              <w:pStyle w:val="Table"/>
              <w:jc w:val="center"/>
              <w:rPr>
                <w:b/>
                <w:szCs w:val="20"/>
              </w:rPr>
            </w:pPr>
            <w:r w:rsidRPr="00A436E4">
              <w:rPr>
                <w:b/>
                <w:szCs w:val="20"/>
              </w:rPr>
              <w:t>2035</w:t>
            </w:r>
          </w:p>
        </w:tc>
        <w:tc>
          <w:tcPr>
            <w:tcW w:w="972" w:type="dxa"/>
          </w:tcPr>
          <w:p w14:paraId="55DC985C" w14:textId="77777777" w:rsidR="00363AFF" w:rsidRPr="00A436E4" w:rsidRDefault="00363AFF" w:rsidP="000878F6">
            <w:pPr>
              <w:pStyle w:val="Table"/>
              <w:jc w:val="center"/>
              <w:rPr>
                <w:b/>
                <w:szCs w:val="20"/>
              </w:rPr>
            </w:pPr>
            <w:r w:rsidRPr="00A436E4">
              <w:rPr>
                <w:b/>
                <w:szCs w:val="20"/>
              </w:rPr>
              <w:t>2030</w:t>
            </w:r>
          </w:p>
        </w:tc>
        <w:tc>
          <w:tcPr>
            <w:tcW w:w="1286" w:type="dxa"/>
          </w:tcPr>
          <w:p w14:paraId="0ACDDAF7" w14:textId="77777777" w:rsidR="00363AFF" w:rsidRPr="00A436E4" w:rsidRDefault="00363AFF" w:rsidP="000878F6">
            <w:pPr>
              <w:pStyle w:val="Table"/>
              <w:jc w:val="center"/>
              <w:rPr>
                <w:b/>
                <w:szCs w:val="20"/>
              </w:rPr>
            </w:pPr>
            <w:r w:rsidRPr="00A436E4">
              <w:rPr>
                <w:b/>
                <w:szCs w:val="20"/>
              </w:rPr>
              <w:t>2035</w:t>
            </w:r>
          </w:p>
        </w:tc>
      </w:tr>
      <w:tr w:rsidR="00363AFF" w:rsidRPr="00A436E4" w14:paraId="56CA6461" w14:textId="77777777" w:rsidTr="00BA7936">
        <w:trPr>
          <w:trHeight w:val="232"/>
        </w:trPr>
        <w:tc>
          <w:tcPr>
            <w:tcW w:w="2258" w:type="dxa"/>
          </w:tcPr>
          <w:p w14:paraId="793983EA" w14:textId="77777777" w:rsidR="00363AFF" w:rsidRPr="00A436E4" w:rsidRDefault="00363AFF" w:rsidP="000878F6">
            <w:pPr>
              <w:pStyle w:val="Table"/>
              <w:jc w:val="left"/>
              <w:rPr>
                <w:szCs w:val="20"/>
              </w:rPr>
            </w:pPr>
            <w:r w:rsidRPr="00A436E4">
              <w:rPr>
                <w:szCs w:val="20"/>
              </w:rPr>
              <w:t>NO</w:t>
            </w:r>
            <w:r w:rsidRPr="00363AFF">
              <w:rPr>
                <w:szCs w:val="20"/>
                <w:vertAlign w:val="subscript"/>
              </w:rPr>
              <w:t>x</w:t>
            </w:r>
          </w:p>
        </w:tc>
        <w:tc>
          <w:tcPr>
            <w:tcW w:w="1129" w:type="dxa"/>
            <w:vAlign w:val="center"/>
          </w:tcPr>
          <w:p w14:paraId="2E869B19" w14:textId="77777777" w:rsidR="00363AFF" w:rsidRPr="00A436E4" w:rsidRDefault="00363AFF" w:rsidP="000878F6">
            <w:pPr>
              <w:pStyle w:val="Table"/>
              <w:jc w:val="center"/>
              <w:rPr>
                <w:szCs w:val="20"/>
              </w:rPr>
            </w:pPr>
            <w:r w:rsidRPr="00A436E4">
              <w:rPr>
                <w:rFonts w:ascii="Calibri" w:hAnsi="Calibri" w:cs="Calibri"/>
                <w:color w:val="000000"/>
                <w:szCs w:val="20"/>
              </w:rPr>
              <w:t>-28,57%</w:t>
            </w:r>
          </w:p>
        </w:tc>
        <w:tc>
          <w:tcPr>
            <w:tcW w:w="1129" w:type="dxa"/>
            <w:vAlign w:val="center"/>
          </w:tcPr>
          <w:p w14:paraId="7CF8E7EB" w14:textId="77777777" w:rsidR="00363AFF" w:rsidRPr="00A436E4" w:rsidRDefault="00363AFF" w:rsidP="000878F6">
            <w:pPr>
              <w:pStyle w:val="Table"/>
              <w:jc w:val="center"/>
              <w:rPr>
                <w:szCs w:val="20"/>
              </w:rPr>
            </w:pPr>
            <w:r w:rsidRPr="00A436E4">
              <w:rPr>
                <w:rFonts w:ascii="Calibri" w:hAnsi="Calibri" w:cs="Calibri"/>
                <w:color w:val="000000"/>
                <w:szCs w:val="20"/>
              </w:rPr>
              <w:t>-28,57%</w:t>
            </w:r>
          </w:p>
        </w:tc>
        <w:tc>
          <w:tcPr>
            <w:tcW w:w="1035" w:type="dxa"/>
            <w:vAlign w:val="center"/>
          </w:tcPr>
          <w:p w14:paraId="73E61A67" w14:textId="77777777" w:rsidR="00363AFF" w:rsidRPr="00A436E4" w:rsidRDefault="00363AFF" w:rsidP="000878F6">
            <w:pPr>
              <w:pStyle w:val="Table"/>
              <w:jc w:val="center"/>
              <w:rPr>
                <w:szCs w:val="20"/>
              </w:rPr>
            </w:pPr>
            <w:r w:rsidRPr="00A436E4">
              <w:rPr>
                <w:rFonts w:ascii="Calibri" w:hAnsi="Calibri" w:cs="Calibri"/>
                <w:color w:val="000000"/>
                <w:szCs w:val="20"/>
              </w:rPr>
              <w:t>1,21</w:t>
            </w:r>
          </w:p>
        </w:tc>
        <w:tc>
          <w:tcPr>
            <w:tcW w:w="1223" w:type="dxa"/>
            <w:vAlign w:val="center"/>
          </w:tcPr>
          <w:p w14:paraId="5D8FE12B" w14:textId="77777777" w:rsidR="00363AFF" w:rsidRPr="00A436E4" w:rsidRDefault="00363AFF" w:rsidP="000878F6">
            <w:pPr>
              <w:pStyle w:val="Table"/>
              <w:jc w:val="center"/>
              <w:rPr>
                <w:szCs w:val="20"/>
              </w:rPr>
            </w:pPr>
            <w:r w:rsidRPr="00A436E4">
              <w:rPr>
                <w:rFonts w:ascii="Calibri" w:hAnsi="Calibri" w:cs="Calibri"/>
                <w:color w:val="000000"/>
                <w:szCs w:val="20"/>
              </w:rPr>
              <w:t>1,09</w:t>
            </w:r>
          </w:p>
        </w:tc>
        <w:tc>
          <w:tcPr>
            <w:tcW w:w="972" w:type="dxa"/>
            <w:vAlign w:val="center"/>
          </w:tcPr>
          <w:p w14:paraId="73BE2348" w14:textId="77777777" w:rsidR="00363AFF" w:rsidRPr="00A436E4" w:rsidRDefault="00363AFF" w:rsidP="000878F6">
            <w:pPr>
              <w:pStyle w:val="Table"/>
              <w:jc w:val="center"/>
              <w:rPr>
                <w:szCs w:val="20"/>
              </w:rPr>
            </w:pPr>
            <w:r w:rsidRPr="00A436E4">
              <w:rPr>
                <w:rFonts w:ascii="Calibri" w:hAnsi="Calibri" w:cs="Calibri"/>
                <w:color w:val="000000"/>
                <w:szCs w:val="20"/>
              </w:rPr>
              <w:t>1,99%</w:t>
            </w:r>
          </w:p>
        </w:tc>
        <w:tc>
          <w:tcPr>
            <w:tcW w:w="1286" w:type="dxa"/>
            <w:vAlign w:val="center"/>
          </w:tcPr>
          <w:p w14:paraId="605C7A3D" w14:textId="77777777" w:rsidR="00363AFF" w:rsidRPr="00A436E4" w:rsidRDefault="00363AFF" w:rsidP="000878F6">
            <w:pPr>
              <w:pStyle w:val="Table"/>
              <w:jc w:val="center"/>
              <w:rPr>
                <w:szCs w:val="20"/>
              </w:rPr>
            </w:pPr>
            <w:r w:rsidRPr="00A436E4">
              <w:rPr>
                <w:rFonts w:ascii="Calibri" w:hAnsi="Calibri" w:cs="Calibri"/>
                <w:color w:val="000000"/>
                <w:szCs w:val="20"/>
              </w:rPr>
              <w:t>1,80%</w:t>
            </w:r>
          </w:p>
        </w:tc>
      </w:tr>
      <w:tr w:rsidR="00363AFF" w:rsidRPr="00A436E4" w14:paraId="697B3D6E" w14:textId="77777777" w:rsidTr="00BA7936">
        <w:trPr>
          <w:trHeight w:val="252"/>
        </w:trPr>
        <w:tc>
          <w:tcPr>
            <w:tcW w:w="2258" w:type="dxa"/>
          </w:tcPr>
          <w:p w14:paraId="2D79BE7F" w14:textId="77777777" w:rsidR="00363AFF" w:rsidRPr="00A436E4" w:rsidRDefault="00363AFF" w:rsidP="000878F6">
            <w:pPr>
              <w:pStyle w:val="Table"/>
              <w:jc w:val="left"/>
              <w:rPr>
                <w:szCs w:val="20"/>
              </w:rPr>
            </w:pPr>
            <w:r w:rsidRPr="00A436E4">
              <w:rPr>
                <w:szCs w:val="20"/>
              </w:rPr>
              <w:t>SO</w:t>
            </w:r>
            <w:r w:rsidRPr="00363AFF">
              <w:rPr>
                <w:szCs w:val="20"/>
                <w:vertAlign w:val="subscript"/>
              </w:rPr>
              <w:t>2</w:t>
            </w:r>
          </w:p>
        </w:tc>
        <w:tc>
          <w:tcPr>
            <w:tcW w:w="1129" w:type="dxa"/>
            <w:vAlign w:val="center"/>
          </w:tcPr>
          <w:p w14:paraId="328DDF23" w14:textId="77777777" w:rsidR="00363AFF" w:rsidRPr="00A436E4" w:rsidRDefault="00363AFF" w:rsidP="000878F6">
            <w:pPr>
              <w:pStyle w:val="Table"/>
              <w:jc w:val="center"/>
              <w:rPr>
                <w:szCs w:val="20"/>
              </w:rPr>
            </w:pPr>
            <w:r w:rsidRPr="00A436E4">
              <w:rPr>
                <w:rFonts w:ascii="Calibri" w:hAnsi="Calibri" w:cs="Calibri"/>
                <w:color w:val="000000"/>
                <w:szCs w:val="20"/>
              </w:rPr>
              <w:t>-32,43%</w:t>
            </w:r>
          </w:p>
        </w:tc>
        <w:tc>
          <w:tcPr>
            <w:tcW w:w="1129" w:type="dxa"/>
            <w:vAlign w:val="center"/>
          </w:tcPr>
          <w:p w14:paraId="07B602C2" w14:textId="77777777" w:rsidR="00363AFF" w:rsidRPr="00A436E4" w:rsidRDefault="00363AFF" w:rsidP="000878F6">
            <w:pPr>
              <w:pStyle w:val="Table"/>
              <w:jc w:val="center"/>
              <w:rPr>
                <w:szCs w:val="20"/>
              </w:rPr>
            </w:pPr>
            <w:r w:rsidRPr="00A436E4">
              <w:rPr>
                <w:rFonts w:ascii="Calibri" w:hAnsi="Calibri" w:cs="Calibri"/>
                <w:color w:val="000000"/>
                <w:szCs w:val="20"/>
              </w:rPr>
              <w:t>-32,43%</w:t>
            </w:r>
          </w:p>
        </w:tc>
        <w:tc>
          <w:tcPr>
            <w:tcW w:w="1035" w:type="dxa"/>
            <w:vAlign w:val="center"/>
          </w:tcPr>
          <w:p w14:paraId="6C947310" w14:textId="77777777" w:rsidR="00363AFF" w:rsidRPr="00A436E4" w:rsidRDefault="00363AFF" w:rsidP="000878F6">
            <w:pPr>
              <w:pStyle w:val="Table"/>
              <w:jc w:val="center"/>
              <w:rPr>
                <w:szCs w:val="20"/>
              </w:rPr>
            </w:pPr>
            <w:r w:rsidRPr="00A436E4">
              <w:rPr>
                <w:rFonts w:ascii="Calibri" w:hAnsi="Calibri" w:cs="Calibri"/>
                <w:color w:val="000000"/>
                <w:szCs w:val="20"/>
              </w:rPr>
              <w:t>7,23</w:t>
            </w:r>
          </w:p>
        </w:tc>
        <w:tc>
          <w:tcPr>
            <w:tcW w:w="1223" w:type="dxa"/>
            <w:vAlign w:val="center"/>
          </w:tcPr>
          <w:p w14:paraId="160F1B8F" w14:textId="77777777" w:rsidR="00363AFF" w:rsidRPr="00A436E4" w:rsidRDefault="00363AFF" w:rsidP="000878F6">
            <w:pPr>
              <w:pStyle w:val="Table"/>
              <w:jc w:val="center"/>
              <w:rPr>
                <w:szCs w:val="20"/>
              </w:rPr>
            </w:pPr>
            <w:r w:rsidRPr="00A436E4">
              <w:rPr>
                <w:rFonts w:ascii="Calibri" w:hAnsi="Calibri" w:cs="Calibri"/>
                <w:color w:val="000000"/>
                <w:szCs w:val="20"/>
              </w:rPr>
              <w:t>6,64</w:t>
            </w:r>
          </w:p>
        </w:tc>
        <w:tc>
          <w:tcPr>
            <w:tcW w:w="972" w:type="dxa"/>
            <w:vAlign w:val="center"/>
          </w:tcPr>
          <w:p w14:paraId="5CA10242" w14:textId="77777777" w:rsidR="00363AFF" w:rsidRPr="00A436E4" w:rsidRDefault="00363AFF" w:rsidP="000878F6">
            <w:pPr>
              <w:pStyle w:val="Table"/>
              <w:jc w:val="center"/>
              <w:rPr>
                <w:szCs w:val="20"/>
              </w:rPr>
            </w:pPr>
            <w:r w:rsidRPr="00A436E4">
              <w:rPr>
                <w:rFonts w:ascii="Calibri" w:hAnsi="Calibri" w:cs="Calibri"/>
                <w:color w:val="000000"/>
                <w:szCs w:val="20"/>
              </w:rPr>
              <w:t>11,92%</w:t>
            </w:r>
          </w:p>
        </w:tc>
        <w:tc>
          <w:tcPr>
            <w:tcW w:w="1286" w:type="dxa"/>
            <w:vAlign w:val="center"/>
          </w:tcPr>
          <w:p w14:paraId="27E0787E" w14:textId="77777777" w:rsidR="00363AFF" w:rsidRPr="00A436E4" w:rsidRDefault="00363AFF" w:rsidP="000878F6">
            <w:pPr>
              <w:pStyle w:val="Table"/>
              <w:jc w:val="center"/>
              <w:rPr>
                <w:szCs w:val="20"/>
              </w:rPr>
            </w:pPr>
            <w:r w:rsidRPr="00A436E4">
              <w:rPr>
                <w:rFonts w:ascii="Calibri" w:hAnsi="Calibri" w:cs="Calibri"/>
                <w:color w:val="000000"/>
                <w:szCs w:val="20"/>
              </w:rPr>
              <w:t>10,96%</w:t>
            </w:r>
          </w:p>
        </w:tc>
      </w:tr>
      <w:tr w:rsidR="00363AFF" w:rsidRPr="00A436E4" w14:paraId="3C521E01" w14:textId="77777777" w:rsidTr="00BA7936">
        <w:trPr>
          <w:trHeight w:val="252"/>
        </w:trPr>
        <w:tc>
          <w:tcPr>
            <w:tcW w:w="2258" w:type="dxa"/>
          </w:tcPr>
          <w:p w14:paraId="37F0A5FD" w14:textId="77777777" w:rsidR="00363AFF" w:rsidRPr="00A436E4" w:rsidRDefault="00363AFF" w:rsidP="000878F6">
            <w:pPr>
              <w:pStyle w:val="Table"/>
              <w:jc w:val="left"/>
              <w:rPr>
                <w:szCs w:val="20"/>
              </w:rPr>
            </w:pPr>
            <w:r w:rsidRPr="00A436E4">
              <w:rPr>
                <w:szCs w:val="20"/>
              </w:rPr>
              <w:t>PM</w:t>
            </w:r>
            <w:r w:rsidRPr="00363AFF">
              <w:rPr>
                <w:szCs w:val="20"/>
                <w:vertAlign w:val="subscript"/>
              </w:rPr>
              <w:t>2.5</w:t>
            </w:r>
          </w:p>
        </w:tc>
        <w:tc>
          <w:tcPr>
            <w:tcW w:w="1129" w:type="dxa"/>
            <w:vAlign w:val="center"/>
          </w:tcPr>
          <w:p w14:paraId="261CAC82" w14:textId="77777777" w:rsidR="00363AFF" w:rsidRPr="00A436E4" w:rsidRDefault="00363AFF" w:rsidP="000878F6">
            <w:pPr>
              <w:pStyle w:val="Table"/>
              <w:jc w:val="center"/>
              <w:rPr>
                <w:szCs w:val="20"/>
              </w:rPr>
            </w:pPr>
            <w:r w:rsidRPr="00A436E4">
              <w:rPr>
                <w:rFonts w:ascii="Calibri" w:hAnsi="Calibri" w:cs="Calibri"/>
                <w:color w:val="000000"/>
                <w:szCs w:val="20"/>
              </w:rPr>
              <w:t>-29,58%</w:t>
            </w:r>
          </w:p>
        </w:tc>
        <w:tc>
          <w:tcPr>
            <w:tcW w:w="1129" w:type="dxa"/>
            <w:vAlign w:val="center"/>
          </w:tcPr>
          <w:p w14:paraId="3512C9A6" w14:textId="77777777" w:rsidR="00363AFF" w:rsidRPr="00A436E4" w:rsidRDefault="00363AFF" w:rsidP="000878F6">
            <w:pPr>
              <w:pStyle w:val="Table"/>
              <w:jc w:val="center"/>
              <w:rPr>
                <w:szCs w:val="20"/>
              </w:rPr>
            </w:pPr>
            <w:r w:rsidRPr="00A436E4">
              <w:rPr>
                <w:rFonts w:ascii="Calibri" w:hAnsi="Calibri" w:cs="Calibri"/>
                <w:color w:val="000000"/>
                <w:szCs w:val="20"/>
              </w:rPr>
              <w:t>-29,58%</w:t>
            </w:r>
          </w:p>
        </w:tc>
        <w:tc>
          <w:tcPr>
            <w:tcW w:w="1035" w:type="dxa"/>
            <w:vAlign w:val="center"/>
          </w:tcPr>
          <w:p w14:paraId="2CCEB7A7" w14:textId="77777777" w:rsidR="00363AFF" w:rsidRPr="00A436E4" w:rsidRDefault="00363AFF" w:rsidP="000878F6">
            <w:pPr>
              <w:pStyle w:val="Table"/>
              <w:jc w:val="center"/>
              <w:rPr>
                <w:szCs w:val="20"/>
              </w:rPr>
            </w:pPr>
            <w:r w:rsidRPr="00A436E4">
              <w:rPr>
                <w:rFonts w:ascii="Calibri" w:hAnsi="Calibri" w:cs="Calibri"/>
                <w:color w:val="000000"/>
                <w:szCs w:val="20"/>
              </w:rPr>
              <w:t>2,65</w:t>
            </w:r>
          </w:p>
        </w:tc>
        <w:tc>
          <w:tcPr>
            <w:tcW w:w="1223" w:type="dxa"/>
            <w:vAlign w:val="center"/>
          </w:tcPr>
          <w:p w14:paraId="11684D0D" w14:textId="77777777" w:rsidR="00363AFF" w:rsidRPr="00A436E4" w:rsidRDefault="00363AFF" w:rsidP="000878F6">
            <w:pPr>
              <w:pStyle w:val="Table"/>
              <w:jc w:val="center"/>
              <w:rPr>
                <w:szCs w:val="20"/>
              </w:rPr>
            </w:pPr>
            <w:r w:rsidRPr="00A436E4">
              <w:rPr>
                <w:rFonts w:ascii="Calibri" w:hAnsi="Calibri" w:cs="Calibri"/>
                <w:color w:val="000000"/>
                <w:szCs w:val="20"/>
              </w:rPr>
              <w:t>2,36</w:t>
            </w:r>
          </w:p>
        </w:tc>
        <w:tc>
          <w:tcPr>
            <w:tcW w:w="972" w:type="dxa"/>
            <w:vAlign w:val="center"/>
          </w:tcPr>
          <w:p w14:paraId="696094DB" w14:textId="77777777" w:rsidR="00363AFF" w:rsidRPr="00A436E4" w:rsidRDefault="00363AFF" w:rsidP="000878F6">
            <w:pPr>
              <w:pStyle w:val="Table"/>
              <w:jc w:val="center"/>
              <w:rPr>
                <w:szCs w:val="20"/>
              </w:rPr>
            </w:pPr>
            <w:r w:rsidRPr="00A436E4">
              <w:rPr>
                <w:rFonts w:ascii="Calibri" w:hAnsi="Calibri" w:cs="Calibri"/>
                <w:color w:val="000000"/>
                <w:szCs w:val="20"/>
              </w:rPr>
              <w:t>4,38%</w:t>
            </w:r>
          </w:p>
        </w:tc>
        <w:tc>
          <w:tcPr>
            <w:tcW w:w="1286" w:type="dxa"/>
            <w:vAlign w:val="center"/>
          </w:tcPr>
          <w:p w14:paraId="393B8B0C" w14:textId="77777777" w:rsidR="00363AFF" w:rsidRPr="00A436E4" w:rsidRDefault="00363AFF" w:rsidP="000878F6">
            <w:pPr>
              <w:pStyle w:val="Table"/>
              <w:jc w:val="center"/>
              <w:rPr>
                <w:szCs w:val="20"/>
              </w:rPr>
            </w:pPr>
            <w:r w:rsidRPr="00A436E4">
              <w:rPr>
                <w:rFonts w:ascii="Calibri" w:hAnsi="Calibri" w:cs="Calibri"/>
                <w:color w:val="000000"/>
                <w:szCs w:val="20"/>
              </w:rPr>
              <w:t>3,89%</w:t>
            </w:r>
          </w:p>
        </w:tc>
      </w:tr>
      <w:tr w:rsidR="00363AFF" w:rsidRPr="00A436E4" w14:paraId="7C57B811" w14:textId="77777777" w:rsidTr="00BA7936">
        <w:trPr>
          <w:trHeight w:val="232"/>
        </w:trPr>
        <w:tc>
          <w:tcPr>
            <w:tcW w:w="2258" w:type="dxa"/>
          </w:tcPr>
          <w:p w14:paraId="3555F39E" w14:textId="44003702" w:rsidR="00363AFF" w:rsidRPr="00A436E4" w:rsidRDefault="00363AFF" w:rsidP="000878F6">
            <w:pPr>
              <w:pStyle w:val="Table"/>
              <w:jc w:val="left"/>
              <w:rPr>
                <w:szCs w:val="20"/>
              </w:rPr>
            </w:pPr>
            <w:r w:rsidRPr="00A436E4">
              <w:rPr>
                <w:szCs w:val="20"/>
              </w:rPr>
              <w:t xml:space="preserve">Water </w:t>
            </w:r>
            <w:r>
              <w:rPr>
                <w:szCs w:val="20"/>
              </w:rPr>
              <w:t>a</w:t>
            </w:r>
            <w:r w:rsidRPr="00A436E4">
              <w:rPr>
                <w:szCs w:val="20"/>
              </w:rPr>
              <w:t>bstraction</w:t>
            </w:r>
          </w:p>
        </w:tc>
        <w:tc>
          <w:tcPr>
            <w:tcW w:w="1129" w:type="dxa"/>
            <w:vAlign w:val="center"/>
          </w:tcPr>
          <w:p w14:paraId="3D6FB36A" w14:textId="77777777" w:rsidR="00363AFF" w:rsidRPr="00A436E4" w:rsidRDefault="00363AFF" w:rsidP="000878F6">
            <w:pPr>
              <w:pStyle w:val="Table"/>
              <w:jc w:val="center"/>
              <w:rPr>
                <w:szCs w:val="20"/>
              </w:rPr>
            </w:pPr>
            <w:r w:rsidRPr="00A436E4">
              <w:rPr>
                <w:rFonts w:ascii="Calibri" w:hAnsi="Calibri" w:cs="Calibri"/>
                <w:color w:val="000000"/>
                <w:szCs w:val="20"/>
              </w:rPr>
              <w:t>-9,14%</w:t>
            </w:r>
          </w:p>
        </w:tc>
        <w:tc>
          <w:tcPr>
            <w:tcW w:w="1129" w:type="dxa"/>
            <w:vAlign w:val="center"/>
          </w:tcPr>
          <w:p w14:paraId="0142BA23" w14:textId="77777777" w:rsidR="00363AFF" w:rsidRPr="00A436E4" w:rsidRDefault="00363AFF" w:rsidP="000878F6">
            <w:pPr>
              <w:pStyle w:val="Table"/>
              <w:jc w:val="center"/>
              <w:rPr>
                <w:szCs w:val="20"/>
              </w:rPr>
            </w:pPr>
            <w:r w:rsidRPr="00A436E4">
              <w:rPr>
                <w:rFonts w:ascii="Calibri" w:hAnsi="Calibri" w:cs="Calibri"/>
                <w:color w:val="000000"/>
                <w:szCs w:val="20"/>
              </w:rPr>
              <w:t>-9,14%</w:t>
            </w:r>
          </w:p>
        </w:tc>
        <w:tc>
          <w:tcPr>
            <w:tcW w:w="1035" w:type="dxa"/>
            <w:vAlign w:val="center"/>
          </w:tcPr>
          <w:p w14:paraId="77EB6EE8" w14:textId="77777777" w:rsidR="00363AFF" w:rsidRPr="00A436E4" w:rsidRDefault="00363AFF" w:rsidP="000878F6">
            <w:pPr>
              <w:pStyle w:val="Table"/>
              <w:jc w:val="center"/>
              <w:rPr>
                <w:szCs w:val="20"/>
              </w:rPr>
            </w:pPr>
            <w:r w:rsidRPr="00A436E4">
              <w:rPr>
                <w:rFonts w:ascii="Calibri" w:hAnsi="Calibri" w:cs="Calibri"/>
                <w:color w:val="000000"/>
                <w:szCs w:val="20"/>
              </w:rPr>
              <w:t>318,82</w:t>
            </w:r>
          </w:p>
        </w:tc>
        <w:tc>
          <w:tcPr>
            <w:tcW w:w="1223" w:type="dxa"/>
            <w:vAlign w:val="center"/>
          </w:tcPr>
          <w:p w14:paraId="1E0AC234" w14:textId="77777777" w:rsidR="00363AFF" w:rsidRPr="00A436E4" w:rsidRDefault="00363AFF" w:rsidP="000878F6">
            <w:pPr>
              <w:pStyle w:val="Table"/>
              <w:jc w:val="center"/>
              <w:rPr>
                <w:szCs w:val="20"/>
              </w:rPr>
            </w:pPr>
            <w:r w:rsidRPr="00A436E4">
              <w:rPr>
                <w:rFonts w:ascii="Calibri" w:hAnsi="Calibri" w:cs="Calibri"/>
                <w:color w:val="000000"/>
                <w:szCs w:val="20"/>
              </w:rPr>
              <w:t>325,60</w:t>
            </w:r>
          </w:p>
        </w:tc>
        <w:tc>
          <w:tcPr>
            <w:tcW w:w="972" w:type="dxa"/>
            <w:vAlign w:val="center"/>
          </w:tcPr>
          <w:p w14:paraId="1DC916F1" w14:textId="77777777" w:rsidR="00363AFF" w:rsidRPr="00A436E4" w:rsidRDefault="00363AFF" w:rsidP="000878F6">
            <w:pPr>
              <w:pStyle w:val="Table"/>
              <w:jc w:val="center"/>
              <w:rPr>
                <w:szCs w:val="20"/>
              </w:rPr>
            </w:pPr>
            <w:r w:rsidRPr="00A436E4">
              <w:rPr>
                <w:rFonts w:ascii="Calibri" w:hAnsi="Calibri" w:cs="Calibri"/>
                <w:color w:val="000000"/>
                <w:szCs w:val="20"/>
              </w:rPr>
              <w:t>395,11%</w:t>
            </w:r>
          </w:p>
        </w:tc>
        <w:tc>
          <w:tcPr>
            <w:tcW w:w="1286" w:type="dxa"/>
            <w:vAlign w:val="center"/>
          </w:tcPr>
          <w:p w14:paraId="4681CB0E" w14:textId="77777777" w:rsidR="00363AFF" w:rsidRPr="00A436E4" w:rsidRDefault="00363AFF" w:rsidP="000878F6">
            <w:pPr>
              <w:pStyle w:val="Table"/>
              <w:jc w:val="center"/>
              <w:rPr>
                <w:szCs w:val="20"/>
              </w:rPr>
            </w:pPr>
            <w:r w:rsidRPr="00A436E4">
              <w:rPr>
                <w:rFonts w:ascii="Calibri" w:hAnsi="Calibri" w:cs="Calibri"/>
                <w:color w:val="000000"/>
                <w:szCs w:val="20"/>
              </w:rPr>
              <w:t>403,53%</w:t>
            </w:r>
          </w:p>
        </w:tc>
      </w:tr>
      <w:tr w:rsidR="00363AFF" w:rsidRPr="00A436E4" w14:paraId="7B783DE5" w14:textId="77777777" w:rsidTr="00BA7936">
        <w:trPr>
          <w:trHeight w:val="252"/>
        </w:trPr>
        <w:tc>
          <w:tcPr>
            <w:tcW w:w="2258" w:type="dxa"/>
          </w:tcPr>
          <w:p w14:paraId="4C3D582A" w14:textId="77777777" w:rsidR="00363AFF" w:rsidRPr="00A436E4" w:rsidRDefault="00363AFF" w:rsidP="000878F6">
            <w:pPr>
              <w:pStyle w:val="Table"/>
              <w:jc w:val="left"/>
              <w:rPr>
                <w:szCs w:val="20"/>
              </w:rPr>
            </w:pPr>
            <w:r w:rsidRPr="00A436E4">
              <w:rPr>
                <w:szCs w:val="20"/>
              </w:rPr>
              <w:t>Fertilizers</w:t>
            </w:r>
          </w:p>
        </w:tc>
        <w:tc>
          <w:tcPr>
            <w:tcW w:w="1129" w:type="dxa"/>
            <w:vAlign w:val="center"/>
          </w:tcPr>
          <w:p w14:paraId="686C23FD" w14:textId="77777777" w:rsidR="00363AFF" w:rsidRPr="00A436E4" w:rsidRDefault="00363AFF" w:rsidP="000878F6">
            <w:pPr>
              <w:pStyle w:val="Table"/>
              <w:jc w:val="center"/>
              <w:rPr>
                <w:szCs w:val="20"/>
              </w:rPr>
            </w:pPr>
            <w:r w:rsidRPr="00A436E4">
              <w:rPr>
                <w:rFonts w:ascii="Calibri" w:hAnsi="Calibri" w:cs="Calibri"/>
                <w:color w:val="000000"/>
                <w:szCs w:val="20"/>
              </w:rPr>
              <w:t>-23,96%</w:t>
            </w:r>
          </w:p>
        </w:tc>
        <w:tc>
          <w:tcPr>
            <w:tcW w:w="1129" w:type="dxa"/>
            <w:vAlign w:val="center"/>
          </w:tcPr>
          <w:p w14:paraId="17AD8DDC" w14:textId="77777777" w:rsidR="00363AFF" w:rsidRPr="00A436E4" w:rsidRDefault="00363AFF" w:rsidP="000878F6">
            <w:pPr>
              <w:pStyle w:val="Table"/>
              <w:jc w:val="center"/>
              <w:rPr>
                <w:szCs w:val="20"/>
              </w:rPr>
            </w:pPr>
            <w:r w:rsidRPr="00A436E4">
              <w:rPr>
                <w:rFonts w:ascii="Calibri" w:hAnsi="Calibri" w:cs="Calibri"/>
                <w:color w:val="000000"/>
                <w:szCs w:val="20"/>
              </w:rPr>
              <w:t>-23,96%</w:t>
            </w:r>
          </w:p>
        </w:tc>
        <w:tc>
          <w:tcPr>
            <w:tcW w:w="1035" w:type="dxa"/>
            <w:vAlign w:val="center"/>
          </w:tcPr>
          <w:p w14:paraId="7827E871" w14:textId="77777777" w:rsidR="00363AFF" w:rsidRPr="00A436E4" w:rsidRDefault="00363AFF" w:rsidP="000878F6">
            <w:pPr>
              <w:pStyle w:val="Table"/>
              <w:jc w:val="center"/>
              <w:rPr>
                <w:szCs w:val="20"/>
              </w:rPr>
            </w:pPr>
            <w:r w:rsidRPr="00A436E4">
              <w:rPr>
                <w:rFonts w:ascii="Calibri" w:hAnsi="Calibri" w:cs="Calibri"/>
                <w:color w:val="000000"/>
                <w:szCs w:val="20"/>
              </w:rPr>
              <w:t>7,54</w:t>
            </w:r>
          </w:p>
        </w:tc>
        <w:tc>
          <w:tcPr>
            <w:tcW w:w="1223" w:type="dxa"/>
            <w:vAlign w:val="center"/>
          </w:tcPr>
          <w:p w14:paraId="2E0D27BF" w14:textId="77777777" w:rsidR="00363AFF" w:rsidRPr="00A436E4" w:rsidRDefault="00363AFF" w:rsidP="000878F6">
            <w:pPr>
              <w:pStyle w:val="Table"/>
              <w:jc w:val="center"/>
              <w:rPr>
                <w:szCs w:val="20"/>
              </w:rPr>
            </w:pPr>
            <w:r w:rsidRPr="00A436E4">
              <w:rPr>
                <w:rFonts w:ascii="Calibri" w:hAnsi="Calibri" w:cs="Calibri"/>
                <w:color w:val="000000"/>
                <w:szCs w:val="20"/>
              </w:rPr>
              <w:t>7,79</w:t>
            </w:r>
          </w:p>
        </w:tc>
        <w:tc>
          <w:tcPr>
            <w:tcW w:w="972" w:type="dxa"/>
            <w:vAlign w:val="center"/>
          </w:tcPr>
          <w:p w14:paraId="49BA850E" w14:textId="77777777" w:rsidR="00363AFF" w:rsidRPr="00A436E4" w:rsidRDefault="00363AFF" w:rsidP="000878F6">
            <w:pPr>
              <w:pStyle w:val="Table"/>
              <w:jc w:val="center"/>
              <w:rPr>
                <w:szCs w:val="20"/>
              </w:rPr>
            </w:pPr>
            <w:r w:rsidRPr="00A436E4">
              <w:rPr>
                <w:rFonts w:ascii="Calibri" w:hAnsi="Calibri" w:cs="Calibri"/>
                <w:color w:val="000000"/>
                <w:szCs w:val="20"/>
              </w:rPr>
              <w:t>12,44%</w:t>
            </w:r>
          </w:p>
        </w:tc>
        <w:tc>
          <w:tcPr>
            <w:tcW w:w="1286" w:type="dxa"/>
            <w:vAlign w:val="center"/>
          </w:tcPr>
          <w:p w14:paraId="138F4C8B" w14:textId="77777777" w:rsidR="00363AFF" w:rsidRPr="00A436E4" w:rsidRDefault="00363AFF" w:rsidP="000878F6">
            <w:pPr>
              <w:pStyle w:val="Table"/>
              <w:jc w:val="center"/>
              <w:rPr>
                <w:szCs w:val="20"/>
              </w:rPr>
            </w:pPr>
            <w:r w:rsidRPr="00A436E4">
              <w:rPr>
                <w:rFonts w:ascii="Calibri" w:hAnsi="Calibri" w:cs="Calibri"/>
                <w:color w:val="000000"/>
                <w:szCs w:val="20"/>
              </w:rPr>
              <w:t>12,85%</w:t>
            </w:r>
          </w:p>
        </w:tc>
      </w:tr>
      <w:tr w:rsidR="00363AFF" w:rsidRPr="00A436E4" w14:paraId="0915F1F2" w14:textId="77777777" w:rsidTr="00BA7936">
        <w:trPr>
          <w:trHeight w:val="232"/>
        </w:trPr>
        <w:tc>
          <w:tcPr>
            <w:tcW w:w="2258" w:type="dxa"/>
          </w:tcPr>
          <w:p w14:paraId="4EEB6C62" w14:textId="77777777" w:rsidR="00363AFF" w:rsidRPr="00A436E4" w:rsidRDefault="00363AFF" w:rsidP="000878F6">
            <w:pPr>
              <w:pStyle w:val="Table"/>
              <w:jc w:val="left"/>
              <w:rPr>
                <w:szCs w:val="20"/>
              </w:rPr>
            </w:pPr>
            <w:r w:rsidRPr="00A436E4">
              <w:rPr>
                <w:szCs w:val="20"/>
              </w:rPr>
              <w:t>Pesticides</w:t>
            </w:r>
          </w:p>
        </w:tc>
        <w:tc>
          <w:tcPr>
            <w:tcW w:w="1129" w:type="dxa"/>
            <w:vAlign w:val="center"/>
          </w:tcPr>
          <w:p w14:paraId="38A9BE8C" w14:textId="77777777" w:rsidR="00363AFF" w:rsidRPr="00A436E4" w:rsidRDefault="00363AFF" w:rsidP="000878F6">
            <w:pPr>
              <w:pStyle w:val="Table"/>
              <w:jc w:val="center"/>
              <w:rPr>
                <w:szCs w:val="20"/>
              </w:rPr>
            </w:pPr>
            <w:r w:rsidRPr="00A436E4">
              <w:rPr>
                <w:rFonts w:ascii="Calibri" w:hAnsi="Calibri" w:cs="Calibri"/>
                <w:color w:val="000000"/>
                <w:szCs w:val="20"/>
              </w:rPr>
              <w:t>n/a</w:t>
            </w:r>
          </w:p>
        </w:tc>
        <w:tc>
          <w:tcPr>
            <w:tcW w:w="1129" w:type="dxa"/>
            <w:vAlign w:val="center"/>
          </w:tcPr>
          <w:p w14:paraId="62FFDD9E" w14:textId="77777777" w:rsidR="00363AFF" w:rsidRPr="00A436E4" w:rsidRDefault="00363AFF" w:rsidP="000878F6">
            <w:pPr>
              <w:pStyle w:val="Table"/>
              <w:jc w:val="center"/>
              <w:rPr>
                <w:szCs w:val="20"/>
              </w:rPr>
            </w:pPr>
            <w:r w:rsidRPr="00A436E4">
              <w:rPr>
                <w:rFonts w:ascii="Calibri" w:hAnsi="Calibri" w:cs="Calibri"/>
                <w:color w:val="000000"/>
                <w:szCs w:val="20"/>
              </w:rPr>
              <w:t>n/a</w:t>
            </w:r>
          </w:p>
        </w:tc>
        <w:tc>
          <w:tcPr>
            <w:tcW w:w="1035" w:type="dxa"/>
            <w:vAlign w:val="center"/>
          </w:tcPr>
          <w:p w14:paraId="0CE5F1A9" w14:textId="77777777" w:rsidR="00363AFF" w:rsidRPr="00A436E4" w:rsidRDefault="00363AFF" w:rsidP="000878F6">
            <w:pPr>
              <w:pStyle w:val="Table"/>
              <w:jc w:val="center"/>
              <w:rPr>
                <w:szCs w:val="20"/>
              </w:rPr>
            </w:pPr>
            <w:r w:rsidRPr="00A436E4">
              <w:rPr>
                <w:rFonts w:ascii="Calibri" w:hAnsi="Calibri" w:cs="Calibri"/>
                <w:color w:val="000000"/>
                <w:szCs w:val="20"/>
              </w:rPr>
              <w:t>23,50</w:t>
            </w:r>
          </w:p>
        </w:tc>
        <w:tc>
          <w:tcPr>
            <w:tcW w:w="1223" w:type="dxa"/>
            <w:vAlign w:val="center"/>
          </w:tcPr>
          <w:p w14:paraId="6C748C26" w14:textId="77777777" w:rsidR="00363AFF" w:rsidRPr="00A436E4" w:rsidRDefault="00363AFF" w:rsidP="000878F6">
            <w:pPr>
              <w:pStyle w:val="Table"/>
              <w:jc w:val="center"/>
              <w:rPr>
                <w:szCs w:val="20"/>
              </w:rPr>
            </w:pPr>
            <w:r w:rsidRPr="00A436E4">
              <w:rPr>
                <w:rFonts w:ascii="Calibri" w:hAnsi="Calibri" w:cs="Calibri"/>
                <w:color w:val="000000"/>
                <w:szCs w:val="20"/>
              </w:rPr>
              <w:t>23,02</w:t>
            </w:r>
          </w:p>
        </w:tc>
        <w:tc>
          <w:tcPr>
            <w:tcW w:w="972" w:type="dxa"/>
            <w:vAlign w:val="center"/>
          </w:tcPr>
          <w:p w14:paraId="4E319101" w14:textId="77777777" w:rsidR="00363AFF" w:rsidRPr="00A436E4" w:rsidRDefault="00363AFF" w:rsidP="000878F6">
            <w:pPr>
              <w:pStyle w:val="Table"/>
              <w:jc w:val="center"/>
              <w:rPr>
                <w:szCs w:val="20"/>
              </w:rPr>
            </w:pPr>
            <w:r w:rsidRPr="00A436E4">
              <w:rPr>
                <w:rFonts w:ascii="Calibri" w:hAnsi="Calibri" w:cs="Calibri"/>
                <w:color w:val="000000"/>
                <w:szCs w:val="20"/>
              </w:rPr>
              <w:t>38,78%</w:t>
            </w:r>
          </w:p>
        </w:tc>
        <w:tc>
          <w:tcPr>
            <w:tcW w:w="1286" w:type="dxa"/>
            <w:vAlign w:val="center"/>
          </w:tcPr>
          <w:p w14:paraId="5E94AF4C" w14:textId="77777777" w:rsidR="00363AFF" w:rsidRPr="00A436E4" w:rsidRDefault="00363AFF" w:rsidP="000878F6">
            <w:pPr>
              <w:pStyle w:val="Table"/>
              <w:jc w:val="center"/>
              <w:rPr>
                <w:szCs w:val="20"/>
              </w:rPr>
            </w:pPr>
            <w:r w:rsidRPr="00A436E4">
              <w:rPr>
                <w:rFonts w:ascii="Calibri" w:hAnsi="Calibri" w:cs="Calibri"/>
                <w:color w:val="000000"/>
                <w:szCs w:val="20"/>
              </w:rPr>
              <w:t>37,99%</w:t>
            </w:r>
          </w:p>
        </w:tc>
      </w:tr>
      <w:tr w:rsidR="00363AFF" w:rsidRPr="00A436E4" w14:paraId="6A1A8E44" w14:textId="77777777" w:rsidTr="00BA7936">
        <w:trPr>
          <w:trHeight w:val="252"/>
        </w:trPr>
        <w:tc>
          <w:tcPr>
            <w:tcW w:w="2258" w:type="dxa"/>
          </w:tcPr>
          <w:p w14:paraId="29EF83A4" w14:textId="76EA5896" w:rsidR="00363AFF" w:rsidRPr="00A436E4" w:rsidRDefault="00363AFF" w:rsidP="000878F6">
            <w:pPr>
              <w:pStyle w:val="Table"/>
              <w:jc w:val="left"/>
              <w:rPr>
                <w:szCs w:val="20"/>
              </w:rPr>
            </w:pPr>
            <w:r w:rsidRPr="00A436E4">
              <w:rPr>
                <w:szCs w:val="20"/>
              </w:rPr>
              <w:t xml:space="preserve">Waste </w:t>
            </w:r>
            <w:r>
              <w:rPr>
                <w:szCs w:val="20"/>
              </w:rPr>
              <w:t>i</w:t>
            </w:r>
            <w:r w:rsidRPr="00A436E4">
              <w:rPr>
                <w:szCs w:val="20"/>
              </w:rPr>
              <w:t>ncineration</w:t>
            </w:r>
          </w:p>
        </w:tc>
        <w:tc>
          <w:tcPr>
            <w:tcW w:w="1129" w:type="dxa"/>
            <w:vAlign w:val="center"/>
          </w:tcPr>
          <w:p w14:paraId="649A034B"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c>
          <w:tcPr>
            <w:tcW w:w="1129" w:type="dxa"/>
            <w:vAlign w:val="center"/>
          </w:tcPr>
          <w:p w14:paraId="037D307D"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c>
          <w:tcPr>
            <w:tcW w:w="1035" w:type="dxa"/>
            <w:vAlign w:val="center"/>
          </w:tcPr>
          <w:p w14:paraId="74B9CF86"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c>
          <w:tcPr>
            <w:tcW w:w="1223" w:type="dxa"/>
            <w:vAlign w:val="center"/>
          </w:tcPr>
          <w:p w14:paraId="175B36A7"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c>
          <w:tcPr>
            <w:tcW w:w="972" w:type="dxa"/>
            <w:vAlign w:val="center"/>
          </w:tcPr>
          <w:p w14:paraId="214C5898"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c>
          <w:tcPr>
            <w:tcW w:w="1286" w:type="dxa"/>
            <w:vAlign w:val="center"/>
          </w:tcPr>
          <w:p w14:paraId="08EF9457"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r>
      <w:tr w:rsidR="00363AFF" w:rsidRPr="00A436E4" w14:paraId="30CAA70D" w14:textId="77777777" w:rsidTr="00BA7936">
        <w:trPr>
          <w:trHeight w:val="252"/>
        </w:trPr>
        <w:tc>
          <w:tcPr>
            <w:tcW w:w="2258" w:type="dxa"/>
          </w:tcPr>
          <w:p w14:paraId="17D0BD8B" w14:textId="416367C3" w:rsidR="00363AFF" w:rsidRPr="00A436E4" w:rsidRDefault="00363AFF" w:rsidP="000878F6">
            <w:pPr>
              <w:pStyle w:val="Table"/>
              <w:jc w:val="left"/>
              <w:rPr>
                <w:szCs w:val="20"/>
              </w:rPr>
            </w:pPr>
            <w:r w:rsidRPr="00A436E4">
              <w:rPr>
                <w:szCs w:val="20"/>
              </w:rPr>
              <w:t xml:space="preserve">Waste to </w:t>
            </w:r>
            <w:r>
              <w:rPr>
                <w:szCs w:val="20"/>
              </w:rPr>
              <w:t>l</w:t>
            </w:r>
            <w:r w:rsidRPr="00A436E4">
              <w:rPr>
                <w:szCs w:val="20"/>
              </w:rPr>
              <w:t>andfill</w:t>
            </w:r>
          </w:p>
        </w:tc>
        <w:tc>
          <w:tcPr>
            <w:tcW w:w="1129" w:type="dxa"/>
            <w:vAlign w:val="center"/>
          </w:tcPr>
          <w:p w14:paraId="3E04341F"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c>
          <w:tcPr>
            <w:tcW w:w="1129" w:type="dxa"/>
            <w:vAlign w:val="center"/>
          </w:tcPr>
          <w:p w14:paraId="42504CB3"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c>
          <w:tcPr>
            <w:tcW w:w="1035" w:type="dxa"/>
            <w:vAlign w:val="center"/>
          </w:tcPr>
          <w:p w14:paraId="1D9B34CA"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c>
          <w:tcPr>
            <w:tcW w:w="1223" w:type="dxa"/>
            <w:vAlign w:val="center"/>
          </w:tcPr>
          <w:p w14:paraId="6644E0FA"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c>
          <w:tcPr>
            <w:tcW w:w="972" w:type="dxa"/>
            <w:vAlign w:val="center"/>
          </w:tcPr>
          <w:p w14:paraId="7B77CE7A"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c>
          <w:tcPr>
            <w:tcW w:w="1286" w:type="dxa"/>
            <w:vAlign w:val="center"/>
          </w:tcPr>
          <w:p w14:paraId="3E392198"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r>
      <w:tr w:rsidR="00363AFF" w:rsidRPr="00A436E4" w14:paraId="4297A29A" w14:textId="77777777" w:rsidTr="00BA7936">
        <w:trPr>
          <w:trHeight w:val="232"/>
        </w:trPr>
        <w:tc>
          <w:tcPr>
            <w:tcW w:w="2258" w:type="dxa"/>
          </w:tcPr>
          <w:p w14:paraId="6977679A" w14:textId="4BB967CE" w:rsidR="00363AFF" w:rsidRPr="00A436E4" w:rsidRDefault="00363AFF" w:rsidP="000878F6">
            <w:pPr>
              <w:pStyle w:val="Table"/>
              <w:jc w:val="left"/>
              <w:rPr>
                <w:szCs w:val="20"/>
              </w:rPr>
            </w:pPr>
            <w:r w:rsidRPr="00A436E4">
              <w:rPr>
                <w:szCs w:val="20"/>
              </w:rPr>
              <w:t xml:space="preserve">Water </w:t>
            </w:r>
            <w:r>
              <w:rPr>
                <w:szCs w:val="20"/>
              </w:rPr>
              <w:t>e</w:t>
            </w:r>
            <w:r w:rsidRPr="00A436E4">
              <w:rPr>
                <w:szCs w:val="20"/>
              </w:rPr>
              <w:t>ffluent</w:t>
            </w:r>
          </w:p>
        </w:tc>
        <w:tc>
          <w:tcPr>
            <w:tcW w:w="1129" w:type="dxa"/>
            <w:vAlign w:val="center"/>
          </w:tcPr>
          <w:p w14:paraId="24CE5C88"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c>
          <w:tcPr>
            <w:tcW w:w="1129" w:type="dxa"/>
            <w:vAlign w:val="center"/>
          </w:tcPr>
          <w:p w14:paraId="1BC0A23A"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c>
          <w:tcPr>
            <w:tcW w:w="1035" w:type="dxa"/>
            <w:vAlign w:val="center"/>
          </w:tcPr>
          <w:p w14:paraId="481C5639"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c>
          <w:tcPr>
            <w:tcW w:w="1223" w:type="dxa"/>
            <w:vAlign w:val="center"/>
          </w:tcPr>
          <w:p w14:paraId="0224A9AB"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c>
          <w:tcPr>
            <w:tcW w:w="972" w:type="dxa"/>
            <w:vAlign w:val="center"/>
          </w:tcPr>
          <w:p w14:paraId="538DBA3F"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c>
          <w:tcPr>
            <w:tcW w:w="1286" w:type="dxa"/>
            <w:vAlign w:val="center"/>
          </w:tcPr>
          <w:p w14:paraId="7F2ED468" w14:textId="77777777" w:rsidR="00363AFF" w:rsidRPr="00A436E4" w:rsidRDefault="00363AFF" w:rsidP="000878F6">
            <w:pPr>
              <w:pStyle w:val="Table"/>
              <w:jc w:val="center"/>
              <w:rPr>
                <w:szCs w:val="20"/>
              </w:rPr>
            </w:pPr>
            <w:r w:rsidRPr="00A436E4">
              <w:rPr>
                <w:rFonts w:ascii="Calibri" w:hAnsi="Calibri" w:cs="Calibri"/>
                <w:color w:val="000000"/>
                <w:szCs w:val="20"/>
              </w:rPr>
              <w:t>0,00%</w:t>
            </w:r>
          </w:p>
        </w:tc>
      </w:tr>
      <w:tr w:rsidR="00363AFF" w:rsidRPr="00A436E4" w14:paraId="37A676BC" w14:textId="77777777" w:rsidTr="00BA7936">
        <w:trPr>
          <w:trHeight w:val="232"/>
        </w:trPr>
        <w:tc>
          <w:tcPr>
            <w:tcW w:w="2258" w:type="dxa"/>
          </w:tcPr>
          <w:p w14:paraId="4E45BB58" w14:textId="259C5988" w:rsidR="00363AFF" w:rsidRPr="00A436E4" w:rsidRDefault="00363AFF" w:rsidP="000878F6">
            <w:pPr>
              <w:pStyle w:val="Table"/>
              <w:jc w:val="left"/>
              <w:rPr>
                <w:szCs w:val="20"/>
              </w:rPr>
            </w:pPr>
            <w:r w:rsidRPr="00A436E4">
              <w:rPr>
                <w:szCs w:val="20"/>
              </w:rPr>
              <w:t xml:space="preserve">Minerals &amp; </w:t>
            </w:r>
            <w:r>
              <w:rPr>
                <w:szCs w:val="20"/>
              </w:rPr>
              <w:t>a</w:t>
            </w:r>
            <w:r w:rsidRPr="00A436E4">
              <w:rPr>
                <w:szCs w:val="20"/>
              </w:rPr>
              <w:t>ggregates</w:t>
            </w:r>
          </w:p>
        </w:tc>
        <w:tc>
          <w:tcPr>
            <w:tcW w:w="1129" w:type="dxa"/>
            <w:vAlign w:val="center"/>
          </w:tcPr>
          <w:p w14:paraId="64311128" w14:textId="77777777" w:rsidR="00363AFF" w:rsidRPr="00A436E4" w:rsidRDefault="00363AFF" w:rsidP="000878F6">
            <w:pPr>
              <w:pStyle w:val="Table"/>
              <w:jc w:val="center"/>
              <w:rPr>
                <w:szCs w:val="20"/>
              </w:rPr>
            </w:pPr>
            <w:r w:rsidRPr="00A436E4">
              <w:rPr>
                <w:rFonts w:ascii="Calibri" w:hAnsi="Calibri" w:cs="Calibri"/>
                <w:color w:val="000000"/>
                <w:szCs w:val="20"/>
              </w:rPr>
              <w:t>-16,67%</w:t>
            </w:r>
          </w:p>
        </w:tc>
        <w:tc>
          <w:tcPr>
            <w:tcW w:w="1129" w:type="dxa"/>
            <w:vAlign w:val="center"/>
          </w:tcPr>
          <w:p w14:paraId="496C24D7" w14:textId="77777777" w:rsidR="00363AFF" w:rsidRPr="00A436E4" w:rsidRDefault="00363AFF" w:rsidP="000878F6">
            <w:pPr>
              <w:pStyle w:val="Table"/>
              <w:jc w:val="center"/>
              <w:rPr>
                <w:szCs w:val="20"/>
              </w:rPr>
            </w:pPr>
            <w:r w:rsidRPr="00A436E4">
              <w:rPr>
                <w:rFonts w:ascii="Calibri" w:hAnsi="Calibri" w:cs="Calibri"/>
                <w:color w:val="000000"/>
                <w:szCs w:val="20"/>
              </w:rPr>
              <w:t>-16,67%</w:t>
            </w:r>
          </w:p>
        </w:tc>
        <w:tc>
          <w:tcPr>
            <w:tcW w:w="1035" w:type="dxa"/>
            <w:vAlign w:val="center"/>
          </w:tcPr>
          <w:p w14:paraId="54CE28DE" w14:textId="77777777" w:rsidR="00363AFF" w:rsidRPr="00A436E4" w:rsidRDefault="00363AFF" w:rsidP="000878F6">
            <w:pPr>
              <w:pStyle w:val="Table"/>
              <w:jc w:val="center"/>
              <w:rPr>
                <w:szCs w:val="20"/>
              </w:rPr>
            </w:pPr>
            <w:r w:rsidRPr="00A436E4">
              <w:rPr>
                <w:rFonts w:ascii="Calibri" w:hAnsi="Calibri" w:cs="Calibri"/>
                <w:color w:val="000000"/>
                <w:szCs w:val="20"/>
              </w:rPr>
              <w:t>179,11</w:t>
            </w:r>
          </w:p>
        </w:tc>
        <w:tc>
          <w:tcPr>
            <w:tcW w:w="1223" w:type="dxa"/>
            <w:vAlign w:val="center"/>
          </w:tcPr>
          <w:p w14:paraId="0402A18C" w14:textId="77777777" w:rsidR="00363AFF" w:rsidRPr="00A436E4" w:rsidRDefault="00363AFF" w:rsidP="000878F6">
            <w:pPr>
              <w:pStyle w:val="Table"/>
              <w:jc w:val="center"/>
              <w:rPr>
                <w:szCs w:val="20"/>
              </w:rPr>
            </w:pPr>
            <w:r w:rsidRPr="00A436E4">
              <w:rPr>
                <w:rFonts w:ascii="Calibri" w:hAnsi="Calibri" w:cs="Calibri"/>
                <w:color w:val="000000"/>
                <w:szCs w:val="20"/>
              </w:rPr>
              <w:t>177,31</w:t>
            </w:r>
          </w:p>
        </w:tc>
        <w:tc>
          <w:tcPr>
            <w:tcW w:w="972" w:type="dxa"/>
            <w:vAlign w:val="center"/>
          </w:tcPr>
          <w:p w14:paraId="73FC239D" w14:textId="77777777" w:rsidR="00363AFF" w:rsidRPr="00A436E4" w:rsidRDefault="00363AFF" w:rsidP="000878F6">
            <w:pPr>
              <w:pStyle w:val="Table"/>
              <w:jc w:val="center"/>
              <w:rPr>
                <w:szCs w:val="20"/>
              </w:rPr>
            </w:pPr>
            <w:r w:rsidRPr="00A436E4">
              <w:rPr>
                <w:rFonts w:ascii="Calibri" w:hAnsi="Calibri" w:cs="Calibri"/>
                <w:color w:val="000000"/>
                <w:szCs w:val="20"/>
              </w:rPr>
              <w:t>891,08%</w:t>
            </w:r>
          </w:p>
        </w:tc>
        <w:tc>
          <w:tcPr>
            <w:tcW w:w="1286" w:type="dxa"/>
            <w:vAlign w:val="center"/>
          </w:tcPr>
          <w:p w14:paraId="2AEF413C" w14:textId="77777777" w:rsidR="00363AFF" w:rsidRPr="00A436E4" w:rsidRDefault="00363AFF" w:rsidP="000878F6">
            <w:pPr>
              <w:pStyle w:val="Table"/>
              <w:keepNext/>
              <w:jc w:val="center"/>
              <w:rPr>
                <w:szCs w:val="20"/>
              </w:rPr>
            </w:pPr>
            <w:r w:rsidRPr="00A436E4">
              <w:rPr>
                <w:rFonts w:ascii="Calibri" w:hAnsi="Calibri" w:cs="Calibri"/>
                <w:color w:val="000000"/>
                <w:szCs w:val="20"/>
              </w:rPr>
              <w:t>882,16%</w:t>
            </w:r>
          </w:p>
        </w:tc>
      </w:tr>
    </w:tbl>
    <w:p w14:paraId="0825DF45" w14:textId="77777777" w:rsidR="00363AFF" w:rsidRDefault="00363AFF" w:rsidP="00363AFF">
      <w:pPr>
        <w:rPr>
          <w:rFonts w:eastAsia="Calibri"/>
        </w:rPr>
      </w:pPr>
    </w:p>
    <w:tbl>
      <w:tblPr>
        <w:tblStyle w:val="Lentelstinklelis1"/>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129"/>
        <w:gridCol w:w="1129"/>
        <w:gridCol w:w="1035"/>
        <w:gridCol w:w="1223"/>
        <w:gridCol w:w="972"/>
        <w:gridCol w:w="1286"/>
      </w:tblGrid>
      <w:tr w:rsidR="00363AFF" w:rsidRPr="00A32891" w14:paraId="1A3EA077" w14:textId="77777777" w:rsidTr="00BA7936">
        <w:trPr>
          <w:trHeight w:val="265"/>
        </w:trPr>
        <w:tc>
          <w:tcPr>
            <w:tcW w:w="9032" w:type="dxa"/>
            <w:gridSpan w:val="7"/>
            <w:shd w:val="clear" w:color="auto" w:fill="003399"/>
          </w:tcPr>
          <w:p w14:paraId="2FF30CCB" w14:textId="6374DD87" w:rsidR="00363AFF" w:rsidRPr="00A32891" w:rsidRDefault="00363AFF" w:rsidP="000878F6">
            <w:pPr>
              <w:pStyle w:val="Caption"/>
              <w:jc w:val="left"/>
              <w:rPr>
                <w:b w:val="0"/>
                <w:color w:val="FFFFFF" w:themeColor="background1"/>
                <w:szCs w:val="20"/>
              </w:rPr>
            </w:pPr>
            <w:r w:rsidRPr="00A32891">
              <w:rPr>
                <w:color w:val="FFFFFF" w:themeColor="background1"/>
                <w:szCs w:val="20"/>
              </w:rPr>
              <w:t xml:space="preserve">Table </w:t>
            </w:r>
            <w:r w:rsidR="00490085">
              <w:rPr>
                <w:color w:val="FFFFFF" w:themeColor="background1"/>
                <w:szCs w:val="20"/>
              </w:rPr>
              <w:t>A6</w:t>
            </w:r>
            <w:r w:rsidRPr="00A32891">
              <w:rPr>
                <w:color w:val="FFFFFF" w:themeColor="background1"/>
                <w:szCs w:val="20"/>
              </w:rPr>
              <w:t>-</w:t>
            </w:r>
            <w:r w:rsidRPr="00A32891">
              <w:rPr>
                <w:color w:val="FFFFFF" w:themeColor="background1"/>
                <w:szCs w:val="20"/>
              </w:rPr>
              <w:fldChar w:fldCharType="begin"/>
            </w:r>
            <w:r w:rsidRPr="00A32891">
              <w:rPr>
                <w:color w:val="FFFFFF" w:themeColor="background1"/>
                <w:szCs w:val="20"/>
              </w:rPr>
              <w:instrText xml:space="preserve"> SEQ Table_A5- \* ARABIC </w:instrText>
            </w:r>
            <w:r w:rsidRPr="00A32891">
              <w:rPr>
                <w:color w:val="FFFFFF" w:themeColor="background1"/>
                <w:szCs w:val="20"/>
              </w:rPr>
              <w:fldChar w:fldCharType="separate"/>
            </w:r>
            <w:r w:rsidRPr="00A32891">
              <w:rPr>
                <w:noProof/>
                <w:color w:val="FFFFFF" w:themeColor="background1"/>
                <w:szCs w:val="20"/>
              </w:rPr>
              <w:t>5</w:t>
            </w:r>
            <w:r w:rsidRPr="00A32891">
              <w:rPr>
                <w:color w:val="FFFFFF" w:themeColor="background1"/>
                <w:szCs w:val="20"/>
              </w:rPr>
              <w:fldChar w:fldCharType="end"/>
            </w:r>
            <w:r w:rsidRPr="00A32891">
              <w:rPr>
                <w:color w:val="FFFFFF" w:themeColor="background1"/>
                <w:szCs w:val="20"/>
              </w:rPr>
              <w:t xml:space="preserve">: </w:t>
            </w:r>
            <w:r w:rsidRPr="00A32891">
              <w:rPr>
                <w:color w:val="FFFFFF" w:themeColor="background1"/>
                <w:szCs w:val="20"/>
                <w:lang w:eastAsia="en-GB"/>
              </w:rPr>
              <w:t>Environmental Impacts and Revenue Changes in Austria – Scenario B</w:t>
            </w:r>
          </w:p>
        </w:tc>
      </w:tr>
      <w:tr w:rsidR="00363AFF" w:rsidRPr="00A32891" w14:paraId="53F7C946" w14:textId="77777777" w:rsidTr="00BA7936">
        <w:trPr>
          <w:trHeight w:val="486"/>
        </w:trPr>
        <w:tc>
          <w:tcPr>
            <w:tcW w:w="2258" w:type="dxa"/>
          </w:tcPr>
          <w:p w14:paraId="6F9EAB1A" w14:textId="77777777" w:rsidR="00363AFF" w:rsidRPr="00A32891" w:rsidRDefault="00363AFF" w:rsidP="000878F6">
            <w:pPr>
              <w:pStyle w:val="Table"/>
              <w:jc w:val="center"/>
              <w:rPr>
                <w:b/>
                <w:bCs/>
                <w:szCs w:val="20"/>
              </w:rPr>
            </w:pPr>
            <w:r w:rsidRPr="00A32891">
              <w:rPr>
                <w:b/>
                <w:bCs/>
                <w:szCs w:val="20"/>
              </w:rPr>
              <w:t>Tax Name</w:t>
            </w:r>
          </w:p>
        </w:tc>
        <w:tc>
          <w:tcPr>
            <w:tcW w:w="2258" w:type="dxa"/>
            <w:gridSpan w:val="2"/>
            <w:vAlign w:val="bottom"/>
          </w:tcPr>
          <w:p w14:paraId="3516F54A" w14:textId="77777777" w:rsidR="00363AFF" w:rsidRPr="00A32891" w:rsidRDefault="00363AFF" w:rsidP="000878F6">
            <w:pPr>
              <w:pStyle w:val="Table"/>
              <w:jc w:val="center"/>
              <w:rPr>
                <w:b/>
                <w:bCs/>
                <w:szCs w:val="20"/>
              </w:rPr>
            </w:pPr>
            <w:r w:rsidRPr="00A32891">
              <w:rPr>
                <w:rFonts w:ascii="Calibri" w:hAnsi="Calibri" w:cs="Calibri"/>
                <w:b/>
                <w:bCs/>
                <w:szCs w:val="20"/>
              </w:rPr>
              <w:t>% Change in Quantities as % of taxed sector</w:t>
            </w:r>
          </w:p>
        </w:tc>
        <w:tc>
          <w:tcPr>
            <w:tcW w:w="2258" w:type="dxa"/>
            <w:gridSpan w:val="2"/>
            <w:vAlign w:val="bottom"/>
          </w:tcPr>
          <w:p w14:paraId="4CCCE07D" w14:textId="77777777" w:rsidR="00363AFF" w:rsidRPr="00A32891" w:rsidRDefault="00363AFF" w:rsidP="000878F6">
            <w:pPr>
              <w:pStyle w:val="Table"/>
              <w:jc w:val="center"/>
              <w:rPr>
                <w:b/>
                <w:bCs/>
                <w:szCs w:val="20"/>
              </w:rPr>
            </w:pPr>
            <w:r w:rsidRPr="00A32891">
              <w:rPr>
                <w:rFonts w:ascii="Calibri" w:hAnsi="Calibri" w:cs="Calibri"/>
                <w:b/>
                <w:bCs/>
                <w:szCs w:val="20"/>
              </w:rPr>
              <w:t>Change in Revenues (€Mn)</w:t>
            </w:r>
          </w:p>
        </w:tc>
        <w:tc>
          <w:tcPr>
            <w:tcW w:w="2258" w:type="dxa"/>
            <w:gridSpan w:val="2"/>
            <w:vAlign w:val="bottom"/>
          </w:tcPr>
          <w:p w14:paraId="6ACCF59F" w14:textId="77777777" w:rsidR="00363AFF" w:rsidRPr="00A32891" w:rsidRDefault="00363AFF" w:rsidP="000878F6">
            <w:pPr>
              <w:pStyle w:val="Table"/>
              <w:jc w:val="center"/>
              <w:rPr>
                <w:b/>
                <w:bCs/>
                <w:szCs w:val="20"/>
              </w:rPr>
            </w:pPr>
            <w:r w:rsidRPr="00A32891">
              <w:rPr>
                <w:rFonts w:ascii="Calibri" w:hAnsi="Calibri" w:cs="Calibri"/>
                <w:b/>
                <w:bCs/>
                <w:szCs w:val="20"/>
              </w:rPr>
              <w:t>As % of 2023 Resource Tax</w:t>
            </w:r>
          </w:p>
        </w:tc>
      </w:tr>
      <w:tr w:rsidR="00363AFF" w:rsidRPr="00A32891" w14:paraId="3DEAC04D" w14:textId="77777777" w:rsidTr="00BA7936">
        <w:trPr>
          <w:trHeight w:val="252"/>
        </w:trPr>
        <w:tc>
          <w:tcPr>
            <w:tcW w:w="2258" w:type="dxa"/>
          </w:tcPr>
          <w:p w14:paraId="63F16DA6" w14:textId="77777777" w:rsidR="00363AFF" w:rsidRPr="00A32891" w:rsidRDefault="00363AFF" w:rsidP="000878F6">
            <w:pPr>
              <w:pStyle w:val="Table"/>
              <w:jc w:val="left"/>
              <w:rPr>
                <w:b/>
                <w:szCs w:val="20"/>
              </w:rPr>
            </w:pPr>
            <w:r w:rsidRPr="00A32891">
              <w:rPr>
                <w:b/>
                <w:szCs w:val="20"/>
              </w:rPr>
              <w:t>Year</w:t>
            </w:r>
          </w:p>
        </w:tc>
        <w:tc>
          <w:tcPr>
            <w:tcW w:w="1129" w:type="dxa"/>
          </w:tcPr>
          <w:p w14:paraId="400876BC" w14:textId="77777777" w:rsidR="00363AFF" w:rsidRPr="00A32891" w:rsidRDefault="00363AFF" w:rsidP="000878F6">
            <w:pPr>
              <w:pStyle w:val="Table"/>
              <w:jc w:val="center"/>
              <w:rPr>
                <w:b/>
                <w:szCs w:val="20"/>
              </w:rPr>
            </w:pPr>
            <w:r w:rsidRPr="00A32891">
              <w:rPr>
                <w:b/>
                <w:szCs w:val="20"/>
              </w:rPr>
              <w:t>2030</w:t>
            </w:r>
          </w:p>
        </w:tc>
        <w:tc>
          <w:tcPr>
            <w:tcW w:w="1129" w:type="dxa"/>
          </w:tcPr>
          <w:p w14:paraId="1FBFE6B0" w14:textId="77777777" w:rsidR="00363AFF" w:rsidRPr="00A32891" w:rsidRDefault="00363AFF" w:rsidP="000878F6">
            <w:pPr>
              <w:pStyle w:val="Table"/>
              <w:jc w:val="center"/>
              <w:rPr>
                <w:b/>
                <w:szCs w:val="20"/>
              </w:rPr>
            </w:pPr>
            <w:r w:rsidRPr="00A32891">
              <w:rPr>
                <w:b/>
                <w:szCs w:val="20"/>
              </w:rPr>
              <w:t>2035</w:t>
            </w:r>
          </w:p>
        </w:tc>
        <w:tc>
          <w:tcPr>
            <w:tcW w:w="1035" w:type="dxa"/>
          </w:tcPr>
          <w:p w14:paraId="20019FFE" w14:textId="77777777" w:rsidR="00363AFF" w:rsidRPr="00A32891" w:rsidRDefault="00363AFF" w:rsidP="000878F6">
            <w:pPr>
              <w:pStyle w:val="Table"/>
              <w:jc w:val="center"/>
              <w:rPr>
                <w:b/>
                <w:szCs w:val="20"/>
              </w:rPr>
            </w:pPr>
            <w:r w:rsidRPr="00A32891">
              <w:rPr>
                <w:b/>
                <w:szCs w:val="20"/>
              </w:rPr>
              <w:t>2030</w:t>
            </w:r>
          </w:p>
        </w:tc>
        <w:tc>
          <w:tcPr>
            <w:tcW w:w="1223" w:type="dxa"/>
          </w:tcPr>
          <w:p w14:paraId="796393A2" w14:textId="77777777" w:rsidR="00363AFF" w:rsidRPr="00A32891" w:rsidRDefault="00363AFF" w:rsidP="000878F6">
            <w:pPr>
              <w:pStyle w:val="Table"/>
              <w:jc w:val="center"/>
              <w:rPr>
                <w:b/>
                <w:szCs w:val="20"/>
              </w:rPr>
            </w:pPr>
            <w:r w:rsidRPr="00A32891">
              <w:rPr>
                <w:b/>
                <w:szCs w:val="20"/>
              </w:rPr>
              <w:t>2035</w:t>
            </w:r>
          </w:p>
        </w:tc>
        <w:tc>
          <w:tcPr>
            <w:tcW w:w="972" w:type="dxa"/>
          </w:tcPr>
          <w:p w14:paraId="7C23AF2D" w14:textId="77777777" w:rsidR="00363AFF" w:rsidRPr="00A32891" w:rsidRDefault="00363AFF" w:rsidP="000878F6">
            <w:pPr>
              <w:pStyle w:val="Table"/>
              <w:jc w:val="center"/>
              <w:rPr>
                <w:b/>
                <w:szCs w:val="20"/>
              </w:rPr>
            </w:pPr>
            <w:r w:rsidRPr="00A32891">
              <w:rPr>
                <w:b/>
                <w:szCs w:val="20"/>
              </w:rPr>
              <w:t>2030</w:t>
            </w:r>
          </w:p>
        </w:tc>
        <w:tc>
          <w:tcPr>
            <w:tcW w:w="1286" w:type="dxa"/>
          </w:tcPr>
          <w:p w14:paraId="00043ED2" w14:textId="77777777" w:rsidR="00363AFF" w:rsidRPr="00A32891" w:rsidRDefault="00363AFF" w:rsidP="000878F6">
            <w:pPr>
              <w:pStyle w:val="Table"/>
              <w:jc w:val="center"/>
              <w:rPr>
                <w:b/>
                <w:szCs w:val="20"/>
              </w:rPr>
            </w:pPr>
            <w:r w:rsidRPr="00A32891">
              <w:rPr>
                <w:b/>
                <w:szCs w:val="20"/>
              </w:rPr>
              <w:t>2035</w:t>
            </w:r>
          </w:p>
        </w:tc>
      </w:tr>
      <w:tr w:rsidR="00363AFF" w:rsidRPr="00A32891" w14:paraId="562AF20B" w14:textId="77777777" w:rsidTr="00BA7936">
        <w:trPr>
          <w:trHeight w:val="232"/>
        </w:trPr>
        <w:tc>
          <w:tcPr>
            <w:tcW w:w="2258" w:type="dxa"/>
          </w:tcPr>
          <w:p w14:paraId="71E024C9" w14:textId="42B0D87F" w:rsidR="00363AFF" w:rsidRPr="00A32891" w:rsidRDefault="00363AFF" w:rsidP="00363AFF">
            <w:pPr>
              <w:pStyle w:val="Table"/>
              <w:jc w:val="left"/>
              <w:rPr>
                <w:szCs w:val="20"/>
              </w:rPr>
            </w:pPr>
            <w:r w:rsidRPr="00A436E4">
              <w:rPr>
                <w:szCs w:val="20"/>
              </w:rPr>
              <w:t>NO</w:t>
            </w:r>
            <w:r w:rsidRPr="00363AFF">
              <w:rPr>
                <w:szCs w:val="20"/>
                <w:vertAlign w:val="subscript"/>
              </w:rPr>
              <w:t>x</w:t>
            </w:r>
          </w:p>
        </w:tc>
        <w:tc>
          <w:tcPr>
            <w:tcW w:w="1129" w:type="dxa"/>
            <w:vAlign w:val="center"/>
          </w:tcPr>
          <w:p w14:paraId="3EF0206A" w14:textId="77777777" w:rsidR="00363AFF" w:rsidRPr="00A32891" w:rsidRDefault="00363AFF" w:rsidP="00363AFF">
            <w:pPr>
              <w:pStyle w:val="Table"/>
              <w:jc w:val="center"/>
              <w:rPr>
                <w:szCs w:val="20"/>
              </w:rPr>
            </w:pPr>
            <w:r w:rsidRPr="00A32891">
              <w:rPr>
                <w:rFonts w:ascii="Calibri" w:hAnsi="Calibri" w:cs="Calibri"/>
                <w:color w:val="000000"/>
                <w:szCs w:val="20"/>
              </w:rPr>
              <w:t>-7,39%</w:t>
            </w:r>
          </w:p>
        </w:tc>
        <w:tc>
          <w:tcPr>
            <w:tcW w:w="1129" w:type="dxa"/>
            <w:vAlign w:val="center"/>
          </w:tcPr>
          <w:p w14:paraId="1D1863D8" w14:textId="77777777" w:rsidR="00363AFF" w:rsidRPr="00A32891" w:rsidRDefault="00363AFF" w:rsidP="00363AFF">
            <w:pPr>
              <w:pStyle w:val="Table"/>
              <w:jc w:val="center"/>
              <w:rPr>
                <w:szCs w:val="20"/>
              </w:rPr>
            </w:pPr>
            <w:r w:rsidRPr="00A32891">
              <w:rPr>
                <w:rFonts w:ascii="Calibri" w:hAnsi="Calibri" w:cs="Calibri"/>
                <w:color w:val="000000"/>
                <w:szCs w:val="20"/>
              </w:rPr>
              <w:t>-7,39%</w:t>
            </w:r>
          </w:p>
        </w:tc>
        <w:tc>
          <w:tcPr>
            <w:tcW w:w="1035" w:type="dxa"/>
            <w:vAlign w:val="center"/>
          </w:tcPr>
          <w:p w14:paraId="4BBB0712" w14:textId="77777777" w:rsidR="00363AFF" w:rsidRPr="00A32891" w:rsidRDefault="00363AFF" w:rsidP="00363AFF">
            <w:pPr>
              <w:pStyle w:val="Table"/>
              <w:jc w:val="center"/>
              <w:rPr>
                <w:szCs w:val="20"/>
              </w:rPr>
            </w:pPr>
            <w:r w:rsidRPr="00A32891">
              <w:rPr>
                <w:rFonts w:ascii="Calibri" w:hAnsi="Calibri" w:cs="Calibri"/>
                <w:color w:val="000000"/>
                <w:szCs w:val="20"/>
              </w:rPr>
              <w:t>0,39</w:t>
            </w:r>
          </w:p>
        </w:tc>
        <w:tc>
          <w:tcPr>
            <w:tcW w:w="1223" w:type="dxa"/>
            <w:vAlign w:val="center"/>
          </w:tcPr>
          <w:p w14:paraId="610B20D1" w14:textId="77777777" w:rsidR="00363AFF" w:rsidRPr="00A32891" w:rsidRDefault="00363AFF" w:rsidP="00363AFF">
            <w:pPr>
              <w:pStyle w:val="Table"/>
              <w:jc w:val="center"/>
              <w:rPr>
                <w:szCs w:val="20"/>
              </w:rPr>
            </w:pPr>
            <w:r w:rsidRPr="00A32891">
              <w:rPr>
                <w:rFonts w:ascii="Calibri" w:hAnsi="Calibri" w:cs="Calibri"/>
                <w:color w:val="000000"/>
                <w:szCs w:val="20"/>
              </w:rPr>
              <w:t>0,35</w:t>
            </w:r>
          </w:p>
        </w:tc>
        <w:tc>
          <w:tcPr>
            <w:tcW w:w="972" w:type="dxa"/>
            <w:vAlign w:val="center"/>
          </w:tcPr>
          <w:p w14:paraId="02F6E59E" w14:textId="77777777" w:rsidR="00363AFF" w:rsidRPr="00A32891" w:rsidRDefault="00363AFF" w:rsidP="00363AFF">
            <w:pPr>
              <w:pStyle w:val="Table"/>
              <w:jc w:val="center"/>
              <w:rPr>
                <w:szCs w:val="20"/>
              </w:rPr>
            </w:pPr>
            <w:r w:rsidRPr="00A32891">
              <w:rPr>
                <w:rFonts w:ascii="Calibri" w:hAnsi="Calibri" w:cs="Calibri"/>
                <w:color w:val="000000"/>
                <w:szCs w:val="20"/>
              </w:rPr>
              <w:t>0,6%</w:t>
            </w:r>
          </w:p>
        </w:tc>
        <w:tc>
          <w:tcPr>
            <w:tcW w:w="1286" w:type="dxa"/>
            <w:vAlign w:val="center"/>
          </w:tcPr>
          <w:p w14:paraId="54D3A342" w14:textId="77777777" w:rsidR="00363AFF" w:rsidRPr="00A32891" w:rsidRDefault="00363AFF" w:rsidP="00363AFF">
            <w:pPr>
              <w:pStyle w:val="Table"/>
              <w:jc w:val="center"/>
              <w:rPr>
                <w:szCs w:val="20"/>
              </w:rPr>
            </w:pPr>
            <w:r w:rsidRPr="00A32891">
              <w:rPr>
                <w:rFonts w:ascii="Calibri" w:hAnsi="Calibri" w:cs="Calibri"/>
                <w:color w:val="000000"/>
                <w:szCs w:val="20"/>
              </w:rPr>
              <w:t>0,6%</w:t>
            </w:r>
          </w:p>
        </w:tc>
      </w:tr>
      <w:tr w:rsidR="00363AFF" w:rsidRPr="00A32891" w14:paraId="4AF38CF1" w14:textId="77777777" w:rsidTr="00BA7936">
        <w:trPr>
          <w:trHeight w:val="252"/>
        </w:trPr>
        <w:tc>
          <w:tcPr>
            <w:tcW w:w="2258" w:type="dxa"/>
          </w:tcPr>
          <w:p w14:paraId="48948363" w14:textId="436AD56B" w:rsidR="00363AFF" w:rsidRPr="00A32891" w:rsidRDefault="00363AFF" w:rsidP="00363AFF">
            <w:pPr>
              <w:pStyle w:val="Table"/>
              <w:jc w:val="left"/>
              <w:rPr>
                <w:szCs w:val="20"/>
              </w:rPr>
            </w:pPr>
            <w:r w:rsidRPr="00A436E4">
              <w:rPr>
                <w:szCs w:val="20"/>
              </w:rPr>
              <w:t>SO</w:t>
            </w:r>
            <w:r w:rsidRPr="00363AFF">
              <w:rPr>
                <w:szCs w:val="20"/>
                <w:vertAlign w:val="subscript"/>
              </w:rPr>
              <w:t>2</w:t>
            </w:r>
          </w:p>
        </w:tc>
        <w:tc>
          <w:tcPr>
            <w:tcW w:w="1129" w:type="dxa"/>
            <w:vAlign w:val="center"/>
          </w:tcPr>
          <w:p w14:paraId="04813C51" w14:textId="77777777" w:rsidR="00363AFF" w:rsidRPr="00A32891" w:rsidRDefault="00363AFF" w:rsidP="00363AFF">
            <w:pPr>
              <w:pStyle w:val="Table"/>
              <w:jc w:val="center"/>
              <w:rPr>
                <w:szCs w:val="20"/>
              </w:rPr>
            </w:pPr>
            <w:r w:rsidRPr="00A32891">
              <w:rPr>
                <w:rFonts w:ascii="Calibri" w:hAnsi="Calibri" w:cs="Calibri"/>
                <w:color w:val="000000"/>
                <w:szCs w:val="20"/>
              </w:rPr>
              <w:t>-8,11%</w:t>
            </w:r>
          </w:p>
        </w:tc>
        <w:tc>
          <w:tcPr>
            <w:tcW w:w="1129" w:type="dxa"/>
            <w:vAlign w:val="center"/>
          </w:tcPr>
          <w:p w14:paraId="6CF3B09C" w14:textId="77777777" w:rsidR="00363AFF" w:rsidRPr="00A32891" w:rsidRDefault="00363AFF" w:rsidP="00363AFF">
            <w:pPr>
              <w:pStyle w:val="Table"/>
              <w:jc w:val="center"/>
              <w:rPr>
                <w:szCs w:val="20"/>
              </w:rPr>
            </w:pPr>
            <w:r w:rsidRPr="00A32891">
              <w:rPr>
                <w:rFonts w:ascii="Calibri" w:hAnsi="Calibri" w:cs="Calibri"/>
                <w:color w:val="000000"/>
                <w:szCs w:val="20"/>
              </w:rPr>
              <w:t>-8,11%</w:t>
            </w:r>
          </w:p>
        </w:tc>
        <w:tc>
          <w:tcPr>
            <w:tcW w:w="1035" w:type="dxa"/>
            <w:vAlign w:val="center"/>
          </w:tcPr>
          <w:p w14:paraId="5BCB51EC" w14:textId="77777777" w:rsidR="00363AFF" w:rsidRPr="00A32891" w:rsidRDefault="00363AFF" w:rsidP="00363AFF">
            <w:pPr>
              <w:pStyle w:val="Table"/>
              <w:jc w:val="center"/>
              <w:rPr>
                <w:szCs w:val="20"/>
              </w:rPr>
            </w:pPr>
            <w:r w:rsidRPr="00A32891">
              <w:rPr>
                <w:rFonts w:ascii="Calibri" w:hAnsi="Calibri" w:cs="Calibri"/>
                <w:color w:val="000000"/>
                <w:szCs w:val="20"/>
              </w:rPr>
              <w:t>2,46</w:t>
            </w:r>
          </w:p>
        </w:tc>
        <w:tc>
          <w:tcPr>
            <w:tcW w:w="1223" w:type="dxa"/>
            <w:vAlign w:val="center"/>
          </w:tcPr>
          <w:p w14:paraId="2212B150" w14:textId="77777777" w:rsidR="00363AFF" w:rsidRPr="00A32891" w:rsidRDefault="00363AFF" w:rsidP="00363AFF">
            <w:pPr>
              <w:pStyle w:val="Table"/>
              <w:jc w:val="center"/>
              <w:rPr>
                <w:szCs w:val="20"/>
              </w:rPr>
            </w:pPr>
            <w:r w:rsidRPr="00A32891">
              <w:rPr>
                <w:rFonts w:ascii="Calibri" w:hAnsi="Calibri" w:cs="Calibri"/>
                <w:color w:val="000000"/>
                <w:szCs w:val="20"/>
              </w:rPr>
              <w:t>2,26</w:t>
            </w:r>
          </w:p>
        </w:tc>
        <w:tc>
          <w:tcPr>
            <w:tcW w:w="972" w:type="dxa"/>
            <w:vAlign w:val="center"/>
          </w:tcPr>
          <w:p w14:paraId="42291717" w14:textId="77777777" w:rsidR="00363AFF" w:rsidRPr="00A32891" w:rsidRDefault="00363AFF" w:rsidP="00363AFF">
            <w:pPr>
              <w:pStyle w:val="Table"/>
              <w:jc w:val="center"/>
              <w:rPr>
                <w:szCs w:val="20"/>
              </w:rPr>
            </w:pPr>
            <w:r w:rsidRPr="00A32891">
              <w:rPr>
                <w:rFonts w:ascii="Calibri" w:hAnsi="Calibri" w:cs="Calibri"/>
                <w:color w:val="000000"/>
                <w:szCs w:val="20"/>
              </w:rPr>
              <w:t>4,1%</w:t>
            </w:r>
          </w:p>
        </w:tc>
        <w:tc>
          <w:tcPr>
            <w:tcW w:w="1286" w:type="dxa"/>
            <w:vAlign w:val="center"/>
          </w:tcPr>
          <w:p w14:paraId="3D679CB4" w14:textId="77777777" w:rsidR="00363AFF" w:rsidRPr="00A32891" w:rsidRDefault="00363AFF" w:rsidP="00363AFF">
            <w:pPr>
              <w:pStyle w:val="Table"/>
              <w:jc w:val="center"/>
              <w:rPr>
                <w:szCs w:val="20"/>
              </w:rPr>
            </w:pPr>
            <w:r w:rsidRPr="00A32891">
              <w:rPr>
                <w:rFonts w:ascii="Calibri" w:hAnsi="Calibri" w:cs="Calibri"/>
                <w:color w:val="000000"/>
                <w:szCs w:val="20"/>
              </w:rPr>
              <w:t>3,7%</w:t>
            </w:r>
          </w:p>
        </w:tc>
      </w:tr>
      <w:tr w:rsidR="00363AFF" w:rsidRPr="00A32891" w14:paraId="4F72D59B" w14:textId="77777777" w:rsidTr="00BA7936">
        <w:trPr>
          <w:trHeight w:val="252"/>
        </w:trPr>
        <w:tc>
          <w:tcPr>
            <w:tcW w:w="2258" w:type="dxa"/>
          </w:tcPr>
          <w:p w14:paraId="7C72D46F" w14:textId="768857F8" w:rsidR="00363AFF" w:rsidRPr="00A32891" w:rsidRDefault="00363AFF" w:rsidP="00363AFF">
            <w:pPr>
              <w:pStyle w:val="Table"/>
              <w:jc w:val="left"/>
              <w:rPr>
                <w:szCs w:val="20"/>
              </w:rPr>
            </w:pPr>
            <w:r w:rsidRPr="00A436E4">
              <w:rPr>
                <w:szCs w:val="20"/>
              </w:rPr>
              <w:t>PM</w:t>
            </w:r>
            <w:r w:rsidRPr="00363AFF">
              <w:rPr>
                <w:szCs w:val="20"/>
                <w:vertAlign w:val="subscript"/>
              </w:rPr>
              <w:t>2.5</w:t>
            </w:r>
          </w:p>
        </w:tc>
        <w:tc>
          <w:tcPr>
            <w:tcW w:w="1129" w:type="dxa"/>
            <w:vAlign w:val="center"/>
          </w:tcPr>
          <w:p w14:paraId="5C4CB330" w14:textId="77777777" w:rsidR="00363AFF" w:rsidRPr="00A32891" w:rsidRDefault="00363AFF" w:rsidP="00363AFF">
            <w:pPr>
              <w:pStyle w:val="Table"/>
              <w:jc w:val="center"/>
              <w:rPr>
                <w:szCs w:val="20"/>
              </w:rPr>
            </w:pPr>
            <w:r w:rsidRPr="00A32891">
              <w:rPr>
                <w:rFonts w:ascii="Calibri" w:hAnsi="Calibri" w:cs="Calibri"/>
                <w:color w:val="000000"/>
                <w:szCs w:val="20"/>
              </w:rPr>
              <w:t>-7,39%</w:t>
            </w:r>
          </w:p>
        </w:tc>
        <w:tc>
          <w:tcPr>
            <w:tcW w:w="1129" w:type="dxa"/>
            <w:vAlign w:val="center"/>
          </w:tcPr>
          <w:p w14:paraId="058324DD" w14:textId="77777777" w:rsidR="00363AFF" w:rsidRPr="00A32891" w:rsidRDefault="00363AFF" w:rsidP="00363AFF">
            <w:pPr>
              <w:pStyle w:val="Table"/>
              <w:jc w:val="center"/>
              <w:rPr>
                <w:szCs w:val="20"/>
              </w:rPr>
            </w:pPr>
            <w:r w:rsidRPr="00A32891">
              <w:rPr>
                <w:rFonts w:ascii="Calibri" w:hAnsi="Calibri" w:cs="Calibri"/>
                <w:color w:val="000000"/>
                <w:szCs w:val="20"/>
              </w:rPr>
              <w:t>-7,39%</w:t>
            </w:r>
          </w:p>
        </w:tc>
        <w:tc>
          <w:tcPr>
            <w:tcW w:w="1035" w:type="dxa"/>
            <w:vAlign w:val="center"/>
          </w:tcPr>
          <w:p w14:paraId="1329DF65" w14:textId="77777777" w:rsidR="00363AFF" w:rsidRPr="00A32891" w:rsidRDefault="00363AFF" w:rsidP="00363AFF">
            <w:pPr>
              <w:pStyle w:val="Table"/>
              <w:jc w:val="center"/>
              <w:rPr>
                <w:szCs w:val="20"/>
              </w:rPr>
            </w:pPr>
            <w:r w:rsidRPr="00A32891">
              <w:rPr>
                <w:rFonts w:ascii="Calibri" w:hAnsi="Calibri" w:cs="Calibri"/>
                <w:color w:val="000000"/>
                <w:szCs w:val="20"/>
              </w:rPr>
              <w:t>0,87</w:t>
            </w:r>
          </w:p>
        </w:tc>
        <w:tc>
          <w:tcPr>
            <w:tcW w:w="1223" w:type="dxa"/>
            <w:vAlign w:val="center"/>
          </w:tcPr>
          <w:p w14:paraId="486BE681" w14:textId="77777777" w:rsidR="00363AFF" w:rsidRPr="00A32891" w:rsidRDefault="00363AFF" w:rsidP="00363AFF">
            <w:pPr>
              <w:pStyle w:val="Table"/>
              <w:jc w:val="center"/>
              <w:rPr>
                <w:szCs w:val="20"/>
              </w:rPr>
            </w:pPr>
            <w:r w:rsidRPr="00A32891">
              <w:rPr>
                <w:rFonts w:ascii="Calibri" w:hAnsi="Calibri" w:cs="Calibri"/>
                <w:color w:val="000000"/>
                <w:szCs w:val="20"/>
              </w:rPr>
              <w:t>0,78</w:t>
            </w:r>
          </w:p>
        </w:tc>
        <w:tc>
          <w:tcPr>
            <w:tcW w:w="972" w:type="dxa"/>
            <w:vAlign w:val="center"/>
          </w:tcPr>
          <w:p w14:paraId="6E76C145" w14:textId="77777777" w:rsidR="00363AFF" w:rsidRPr="00A32891" w:rsidRDefault="00363AFF" w:rsidP="00363AFF">
            <w:pPr>
              <w:pStyle w:val="Table"/>
              <w:jc w:val="center"/>
              <w:rPr>
                <w:szCs w:val="20"/>
              </w:rPr>
            </w:pPr>
            <w:r w:rsidRPr="00A32891">
              <w:rPr>
                <w:rFonts w:ascii="Calibri" w:hAnsi="Calibri" w:cs="Calibri"/>
                <w:color w:val="000000"/>
                <w:szCs w:val="20"/>
              </w:rPr>
              <w:t>1,4%</w:t>
            </w:r>
          </w:p>
        </w:tc>
        <w:tc>
          <w:tcPr>
            <w:tcW w:w="1286" w:type="dxa"/>
            <w:vAlign w:val="center"/>
          </w:tcPr>
          <w:p w14:paraId="5CE16F2C" w14:textId="77777777" w:rsidR="00363AFF" w:rsidRPr="00A32891" w:rsidRDefault="00363AFF" w:rsidP="00363AFF">
            <w:pPr>
              <w:pStyle w:val="Table"/>
              <w:jc w:val="center"/>
              <w:rPr>
                <w:szCs w:val="20"/>
              </w:rPr>
            </w:pPr>
            <w:r w:rsidRPr="00A32891">
              <w:rPr>
                <w:rFonts w:ascii="Calibri" w:hAnsi="Calibri" w:cs="Calibri"/>
                <w:color w:val="000000"/>
                <w:szCs w:val="20"/>
              </w:rPr>
              <w:t>1,3%</w:t>
            </w:r>
          </w:p>
        </w:tc>
      </w:tr>
      <w:tr w:rsidR="00363AFF" w:rsidRPr="00A32891" w14:paraId="06EEA7D7" w14:textId="77777777" w:rsidTr="00BA7936">
        <w:trPr>
          <w:trHeight w:val="232"/>
        </w:trPr>
        <w:tc>
          <w:tcPr>
            <w:tcW w:w="2258" w:type="dxa"/>
          </w:tcPr>
          <w:p w14:paraId="0379875C" w14:textId="0EA15FB5" w:rsidR="00363AFF" w:rsidRPr="00A32891" w:rsidRDefault="00363AFF" w:rsidP="00363AFF">
            <w:pPr>
              <w:pStyle w:val="Table"/>
              <w:jc w:val="left"/>
              <w:rPr>
                <w:szCs w:val="20"/>
              </w:rPr>
            </w:pPr>
            <w:r w:rsidRPr="00A436E4">
              <w:rPr>
                <w:szCs w:val="20"/>
              </w:rPr>
              <w:t xml:space="preserve">Water </w:t>
            </w:r>
            <w:r>
              <w:rPr>
                <w:szCs w:val="20"/>
              </w:rPr>
              <w:t>a</w:t>
            </w:r>
            <w:r w:rsidRPr="00A436E4">
              <w:rPr>
                <w:szCs w:val="20"/>
              </w:rPr>
              <w:t>bstraction</w:t>
            </w:r>
          </w:p>
        </w:tc>
        <w:tc>
          <w:tcPr>
            <w:tcW w:w="1129" w:type="dxa"/>
            <w:vAlign w:val="center"/>
          </w:tcPr>
          <w:p w14:paraId="684A850C" w14:textId="77777777" w:rsidR="00363AFF" w:rsidRPr="00A32891" w:rsidRDefault="00363AFF" w:rsidP="00363AFF">
            <w:pPr>
              <w:pStyle w:val="Table"/>
              <w:jc w:val="center"/>
              <w:rPr>
                <w:szCs w:val="20"/>
              </w:rPr>
            </w:pPr>
            <w:r w:rsidRPr="00A32891">
              <w:rPr>
                <w:rFonts w:ascii="Calibri" w:hAnsi="Calibri" w:cs="Calibri"/>
                <w:color w:val="000000"/>
                <w:szCs w:val="20"/>
              </w:rPr>
              <w:t>-1,79%</w:t>
            </w:r>
          </w:p>
        </w:tc>
        <w:tc>
          <w:tcPr>
            <w:tcW w:w="1129" w:type="dxa"/>
            <w:vAlign w:val="center"/>
          </w:tcPr>
          <w:p w14:paraId="0DDF1925" w14:textId="77777777" w:rsidR="00363AFF" w:rsidRPr="00A32891" w:rsidRDefault="00363AFF" w:rsidP="00363AFF">
            <w:pPr>
              <w:pStyle w:val="Table"/>
              <w:jc w:val="center"/>
              <w:rPr>
                <w:szCs w:val="20"/>
              </w:rPr>
            </w:pPr>
            <w:r w:rsidRPr="00A32891">
              <w:rPr>
                <w:rFonts w:ascii="Calibri" w:hAnsi="Calibri" w:cs="Calibri"/>
                <w:color w:val="000000"/>
                <w:szCs w:val="20"/>
              </w:rPr>
              <w:t>-1,79%</w:t>
            </w:r>
          </w:p>
        </w:tc>
        <w:tc>
          <w:tcPr>
            <w:tcW w:w="1035" w:type="dxa"/>
            <w:vAlign w:val="center"/>
          </w:tcPr>
          <w:p w14:paraId="42D4569D" w14:textId="77777777" w:rsidR="00363AFF" w:rsidRPr="00A32891" w:rsidRDefault="00363AFF" w:rsidP="00363AFF">
            <w:pPr>
              <w:pStyle w:val="Table"/>
              <w:jc w:val="center"/>
              <w:rPr>
                <w:szCs w:val="20"/>
              </w:rPr>
            </w:pPr>
            <w:r w:rsidRPr="00A32891">
              <w:rPr>
                <w:rFonts w:ascii="Calibri" w:hAnsi="Calibri" w:cs="Calibri"/>
                <w:color w:val="000000"/>
                <w:szCs w:val="20"/>
              </w:rPr>
              <w:t>67,43</w:t>
            </w:r>
          </w:p>
        </w:tc>
        <w:tc>
          <w:tcPr>
            <w:tcW w:w="1223" w:type="dxa"/>
            <w:vAlign w:val="center"/>
          </w:tcPr>
          <w:p w14:paraId="670BAB63" w14:textId="77777777" w:rsidR="00363AFF" w:rsidRPr="00A32891" w:rsidRDefault="00363AFF" w:rsidP="00363AFF">
            <w:pPr>
              <w:pStyle w:val="Table"/>
              <w:jc w:val="center"/>
              <w:rPr>
                <w:szCs w:val="20"/>
              </w:rPr>
            </w:pPr>
            <w:r w:rsidRPr="00A32891">
              <w:rPr>
                <w:rFonts w:ascii="Calibri" w:hAnsi="Calibri" w:cs="Calibri"/>
                <w:color w:val="000000"/>
                <w:szCs w:val="20"/>
              </w:rPr>
              <w:t>68,87</w:t>
            </w:r>
          </w:p>
        </w:tc>
        <w:tc>
          <w:tcPr>
            <w:tcW w:w="972" w:type="dxa"/>
            <w:vAlign w:val="center"/>
          </w:tcPr>
          <w:p w14:paraId="45BAD373" w14:textId="77777777" w:rsidR="00363AFF" w:rsidRPr="00A32891" w:rsidRDefault="00363AFF" w:rsidP="00363AFF">
            <w:pPr>
              <w:pStyle w:val="Table"/>
              <w:jc w:val="center"/>
              <w:rPr>
                <w:szCs w:val="20"/>
              </w:rPr>
            </w:pPr>
            <w:r w:rsidRPr="00A32891">
              <w:rPr>
                <w:rFonts w:ascii="Calibri" w:hAnsi="Calibri" w:cs="Calibri"/>
                <w:color w:val="000000"/>
                <w:szCs w:val="20"/>
              </w:rPr>
              <w:t>83,6%</w:t>
            </w:r>
          </w:p>
        </w:tc>
        <w:tc>
          <w:tcPr>
            <w:tcW w:w="1286" w:type="dxa"/>
            <w:vAlign w:val="center"/>
          </w:tcPr>
          <w:p w14:paraId="2B4EBE7E" w14:textId="77777777" w:rsidR="00363AFF" w:rsidRPr="00A32891" w:rsidRDefault="00363AFF" w:rsidP="00363AFF">
            <w:pPr>
              <w:pStyle w:val="Table"/>
              <w:jc w:val="center"/>
              <w:rPr>
                <w:szCs w:val="20"/>
              </w:rPr>
            </w:pPr>
            <w:r w:rsidRPr="00A32891">
              <w:rPr>
                <w:rFonts w:ascii="Calibri" w:hAnsi="Calibri" w:cs="Calibri"/>
                <w:color w:val="000000"/>
                <w:szCs w:val="20"/>
              </w:rPr>
              <w:t>85,3%</w:t>
            </w:r>
          </w:p>
        </w:tc>
      </w:tr>
      <w:tr w:rsidR="00363AFF" w:rsidRPr="00A32891" w14:paraId="11C03225" w14:textId="77777777" w:rsidTr="00BA7936">
        <w:trPr>
          <w:trHeight w:val="252"/>
        </w:trPr>
        <w:tc>
          <w:tcPr>
            <w:tcW w:w="2258" w:type="dxa"/>
          </w:tcPr>
          <w:p w14:paraId="0CA9A233" w14:textId="6400783B" w:rsidR="00363AFF" w:rsidRPr="00A32891" w:rsidRDefault="00363AFF" w:rsidP="00363AFF">
            <w:pPr>
              <w:pStyle w:val="Table"/>
              <w:jc w:val="left"/>
              <w:rPr>
                <w:szCs w:val="20"/>
              </w:rPr>
            </w:pPr>
            <w:r w:rsidRPr="00A436E4">
              <w:rPr>
                <w:szCs w:val="20"/>
              </w:rPr>
              <w:t>Fertilizers</w:t>
            </w:r>
          </w:p>
        </w:tc>
        <w:tc>
          <w:tcPr>
            <w:tcW w:w="1129" w:type="dxa"/>
            <w:vAlign w:val="center"/>
          </w:tcPr>
          <w:p w14:paraId="62C02FC1" w14:textId="77777777" w:rsidR="00363AFF" w:rsidRPr="00A32891" w:rsidRDefault="00363AFF" w:rsidP="00363AFF">
            <w:pPr>
              <w:pStyle w:val="Table"/>
              <w:jc w:val="center"/>
              <w:rPr>
                <w:szCs w:val="20"/>
              </w:rPr>
            </w:pPr>
            <w:r w:rsidRPr="00A32891">
              <w:rPr>
                <w:rFonts w:ascii="Calibri" w:hAnsi="Calibri" w:cs="Calibri"/>
                <w:color w:val="000000"/>
                <w:szCs w:val="20"/>
              </w:rPr>
              <w:t>-5,99%</w:t>
            </w:r>
          </w:p>
        </w:tc>
        <w:tc>
          <w:tcPr>
            <w:tcW w:w="1129" w:type="dxa"/>
            <w:vAlign w:val="center"/>
          </w:tcPr>
          <w:p w14:paraId="01F4E5EB" w14:textId="77777777" w:rsidR="00363AFF" w:rsidRPr="00A32891" w:rsidRDefault="00363AFF" w:rsidP="00363AFF">
            <w:pPr>
              <w:pStyle w:val="Table"/>
              <w:jc w:val="center"/>
              <w:rPr>
                <w:szCs w:val="20"/>
              </w:rPr>
            </w:pPr>
            <w:r w:rsidRPr="00A32891">
              <w:rPr>
                <w:rFonts w:ascii="Calibri" w:hAnsi="Calibri" w:cs="Calibri"/>
                <w:color w:val="000000"/>
                <w:szCs w:val="20"/>
              </w:rPr>
              <w:t>-5,99%</w:t>
            </w:r>
          </w:p>
        </w:tc>
        <w:tc>
          <w:tcPr>
            <w:tcW w:w="1035" w:type="dxa"/>
            <w:vAlign w:val="center"/>
          </w:tcPr>
          <w:p w14:paraId="2B2523F1" w14:textId="77777777" w:rsidR="00363AFF" w:rsidRPr="00A32891" w:rsidRDefault="00363AFF" w:rsidP="00363AFF">
            <w:pPr>
              <w:pStyle w:val="Table"/>
              <w:jc w:val="center"/>
              <w:rPr>
                <w:szCs w:val="20"/>
              </w:rPr>
            </w:pPr>
            <w:r w:rsidRPr="00A32891">
              <w:rPr>
                <w:rFonts w:ascii="Calibri" w:hAnsi="Calibri" w:cs="Calibri"/>
                <w:color w:val="000000"/>
                <w:szCs w:val="20"/>
              </w:rPr>
              <w:t>2,33</w:t>
            </w:r>
          </w:p>
        </w:tc>
        <w:tc>
          <w:tcPr>
            <w:tcW w:w="1223" w:type="dxa"/>
            <w:vAlign w:val="center"/>
          </w:tcPr>
          <w:p w14:paraId="4AE0978A" w14:textId="77777777" w:rsidR="00363AFF" w:rsidRPr="00A32891" w:rsidRDefault="00363AFF" w:rsidP="00363AFF">
            <w:pPr>
              <w:pStyle w:val="Table"/>
              <w:jc w:val="center"/>
              <w:rPr>
                <w:szCs w:val="20"/>
              </w:rPr>
            </w:pPr>
            <w:r w:rsidRPr="00A32891">
              <w:rPr>
                <w:rFonts w:ascii="Calibri" w:hAnsi="Calibri" w:cs="Calibri"/>
                <w:color w:val="000000"/>
                <w:szCs w:val="20"/>
              </w:rPr>
              <w:t>2,41</w:t>
            </w:r>
          </w:p>
        </w:tc>
        <w:tc>
          <w:tcPr>
            <w:tcW w:w="972" w:type="dxa"/>
            <w:vAlign w:val="center"/>
          </w:tcPr>
          <w:p w14:paraId="25226273" w14:textId="77777777" w:rsidR="00363AFF" w:rsidRPr="00A32891" w:rsidRDefault="00363AFF" w:rsidP="00363AFF">
            <w:pPr>
              <w:pStyle w:val="Table"/>
              <w:jc w:val="center"/>
              <w:rPr>
                <w:szCs w:val="20"/>
              </w:rPr>
            </w:pPr>
            <w:r w:rsidRPr="00A32891">
              <w:rPr>
                <w:rFonts w:ascii="Calibri" w:hAnsi="Calibri" w:cs="Calibri"/>
                <w:color w:val="000000"/>
                <w:szCs w:val="20"/>
              </w:rPr>
              <w:t>3,8%</w:t>
            </w:r>
          </w:p>
        </w:tc>
        <w:tc>
          <w:tcPr>
            <w:tcW w:w="1286" w:type="dxa"/>
            <w:vAlign w:val="center"/>
          </w:tcPr>
          <w:p w14:paraId="33279D09" w14:textId="77777777" w:rsidR="00363AFF" w:rsidRPr="00A32891" w:rsidRDefault="00363AFF" w:rsidP="00363AFF">
            <w:pPr>
              <w:pStyle w:val="Table"/>
              <w:jc w:val="center"/>
              <w:rPr>
                <w:szCs w:val="20"/>
              </w:rPr>
            </w:pPr>
            <w:r w:rsidRPr="00A32891">
              <w:rPr>
                <w:rFonts w:ascii="Calibri" w:hAnsi="Calibri" w:cs="Calibri"/>
                <w:color w:val="000000"/>
                <w:szCs w:val="20"/>
              </w:rPr>
              <w:t>4,0%</w:t>
            </w:r>
          </w:p>
        </w:tc>
      </w:tr>
      <w:tr w:rsidR="00363AFF" w:rsidRPr="00A32891" w14:paraId="2A91CB5C" w14:textId="77777777" w:rsidTr="00BA7936">
        <w:trPr>
          <w:trHeight w:val="232"/>
        </w:trPr>
        <w:tc>
          <w:tcPr>
            <w:tcW w:w="2258" w:type="dxa"/>
          </w:tcPr>
          <w:p w14:paraId="1550810C" w14:textId="12DB0A13" w:rsidR="00363AFF" w:rsidRPr="00A32891" w:rsidRDefault="00363AFF" w:rsidP="00363AFF">
            <w:pPr>
              <w:pStyle w:val="Table"/>
              <w:jc w:val="left"/>
              <w:rPr>
                <w:szCs w:val="20"/>
              </w:rPr>
            </w:pPr>
            <w:r w:rsidRPr="00A436E4">
              <w:rPr>
                <w:szCs w:val="20"/>
              </w:rPr>
              <w:t>Pesticides</w:t>
            </w:r>
          </w:p>
        </w:tc>
        <w:tc>
          <w:tcPr>
            <w:tcW w:w="1129" w:type="dxa"/>
            <w:vAlign w:val="center"/>
          </w:tcPr>
          <w:p w14:paraId="4C736766" w14:textId="77777777" w:rsidR="00363AFF" w:rsidRPr="00A32891" w:rsidRDefault="00363AFF" w:rsidP="00363AFF">
            <w:pPr>
              <w:pStyle w:val="Table"/>
              <w:jc w:val="center"/>
              <w:rPr>
                <w:szCs w:val="20"/>
              </w:rPr>
            </w:pPr>
            <w:r w:rsidRPr="00A32891">
              <w:rPr>
                <w:rFonts w:ascii="Calibri" w:hAnsi="Calibri" w:cs="Calibri"/>
                <w:color w:val="000000"/>
                <w:szCs w:val="20"/>
              </w:rPr>
              <w:t>n/a</w:t>
            </w:r>
          </w:p>
        </w:tc>
        <w:tc>
          <w:tcPr>
            <w:tcW w:w="1129" w:type="dxa"/>
            <w:vAlign w:val="center"/>
          </w:tcPr>
          <w:p w14:paraId="02529D2F" w14:textId="77777777" w:rsidR="00363AFF" w:rsidRPr="00A32891" w:rsidRDefault="00363AFF" w:rsidP="00363AFF">
            <w:pPr>
              <w:pStyle w:val="Table"/>
              <w:jc w:val="center"/>
              <w:rPr>
                <w:szCs w:val="20"/>
              </w:rPr>
            </w:pPr>
            <w:r w:rsidRPr="00A32891">
              <w:rPr>
                <w:rFonts w:ascii="Calibri" w:hAnsi="Calibri" w:cs="Calibri"/>
                <w:color w:val="000000"/>
                <w:szCs w:val="20"/>
              </w:rPr>
              <w:t>n/a</w:t>
            </w:r>
          </w:p>
        </w:tc>
        <w:tc>
          <w:tcPr>
            <w:tcW w:w="1035" w:type="dxa"/>
            <w:vAlign w:val="center"/>
          </w:tcPr>
          <w:p w14:paraId="3664C17B" w14:textId="77777777" w:rsidR="00363AFF" w:rsidRPr="00A32891" w:rsidRDefault="00363AFF" w:rsidP="00363AFF">
            <w:pPr>
              <w:pStyle w:val="Table"/>
              <w:jc w:val="center"/>
              <w:rPr>
                <w:szCs w:val="20"/>
              </w:rPr>
            </w:pPr>
            <w:r w:rsidRPr="00A32891">
              <w:rPr>
                <w:rFonts w:ascii="Calibri" w:hAnsi="Calibri" w:cs="Calibri"/>
                <w:color w:val="000000"/>
                <w:szCs w:val="20"/>
              </w:rPr>
              <w:t>12,87</w:t>
            </w:r>
          </w:p>
        </w:tc>
        <w:tc>
          <w:tcPr>
            <w:tcW w:w="1223" w:type="dxa"/>
            <w:vAlign w:val="center"/>
          </w:tcPr>
          <w:p w14:paraId="525F685F" w14:textId="77777777" w:rsidR="00363AFF" w:rsidRPr="00A32891" w:rsidRDefault="00363AFF" w:rsidP="00363AFF">
            <w:pPr>
              <w:pStyle w:val="Table"/>
              <w:jc w:val="center"/>
              <w:rPr>
                <w:szCs w:val="20"/>
              </w:rPr>
            </w:pPr>
            <w:r w:rsidRPr="00A32891">
              <w:rPr>
                <w:rFonts w:ascii="Calibri" w:hAnsi="Calibri" w:cs="Calibri"/>
                <w:color w:val="000000"/>
                <w:szCs w:val="20"/>
              </w:rPr>
              <w:t>12,61</w:t>
            </w:r>
          </w:p>
        </w:tc>
        <w:tc>
          <w:tcPr>
            <w:tcW w:w="972" w:type="dxa"/>
            <w:vAlign w:val="center"/>
          </w:tcPr>
          <w:p w14:paraId="3133E971" w14:textId="77777777" w:rsidR="00363AFF" w:rsidRPr="00A32891" w:rsidRDefault="00363AFF" w:rsidP="00363AFF">
            <w:pPr>
              <w:pStyle w:val="Table"/>
              <w:jc w:val="center"/>
              <w:rPr>
                <w:szCs w:val="20"/>
              </w:rPr>
            </w:pPr>
            <w:r w:rsidRPr="00A32891">
              <w:rPr>
                <w:rFonts w:ascii="Calibri" w:hAnsi="Calibri" w:cs="Calibri"/>
                <w:color w:val="000000"/>
                <w:szCs w:val="20"/>
              </w:rPr>
              <w:t>21,2%</w:t>
            </w:r>
          </w:p>
        </w:tc>
        <w:tc>
          <w:tcPr>
            <w:tcW w:w="1286" w:type="dxa"/>
            <w:vAlign w:val="center"/>
          </w:tcPr>
          <w:p w14:paraId="2F8F613A" w14:textId="77777777" w:rsidR="00363AFF" w:rsidRPr="00A32891" w:rsidRDefault="00363AFF" w:rsidP="00363AFF">
            <w:pPr>
              <w:pStyle w:val="Table"/>
              <w:jc w:val="center"/>
              <w:rPr>
                <w:szCs w:val="20"/>
              </w:rPr>
            </w:pPr>
            <w:r w:rsidRPr="00A32891">
              <w:rPr>
                <w:rFonts w:ascii="Calibri" w:hAnsi="Calibri" w:cs="Calibri"/>
                <w:color w:val="000000"/>
                <w:szCs w:val="20"/>
              </w:rPr>
              <w:t>20,8%</w:t>
            </w:r>
          </w:p>
        </w:tc>
      </w:tr>
      <w:tr w:rsidR="00363AFF" w:rsidRPr="00A32891" w14:paraId="4F8AD908" w14:textId="77777777" w:rsidTr="00BA7936">
        <w:trPr>
          <w:trHeight w:val="252"/>
        </w:trPr>
        <w:tc>
          <w:tcPr>
            <w:tcW w:w="2258" w:type="dxa"/>
          </w:tcPr>
          <w:p w14:paraId="3633415E" w14:textId="3956375E" w:rsidR="00363AFF" w:rsidRPr="00A32891" w:rsidRDefault="00363AFF" w:rsidP="00363AFF">
            <w:pPr>
              <w:pStyle w:val="Table"/>
              <w:jc w:val="left"/>
              <w:rPr>
                <w:szCs w:val="20"/>
              </w:rPr>
            </w:pPr>
            <w:r w:rsidRPr="00A436E4">
              <w:rPr>
                <w:szCs w:val="20"/>
              </w:rPr>
              <w:t xml:space="preserve">Waste </w:t>
            </w:r>
            <w:r>
              <w:rPr>
                <w:szCs w:val="20"/>
              </w:rPr>
              <w:t>i</w:t>
            </w:r>
            <w:r w:rsidRPr="00A436E4">
              <w:rPr>
                <w:szCs w:val="20"/>
              </w:rPr>
              <w:t>ncineration</w:t>
            </w:r>
          </w:p>
        </w:tc>
        <w:tc>
          <w:tcPr>
            <w:tcW w:w="1129" w:type="dxa"/>
            <w:vAlign w:val="center"/>
          </w:tcPr>
          <w:p w14:paraId="675F8EC9" w14:textId="77777777" w:rsidR="00363AFF" w:rsidRPr="00A32891" w:rsidRDefault="00363AFF" w:rsidP="00363AFF">
            <w:pPr>
              <w:pStyle w:val="Table"/>
              <w:jc w:val="center"/>
              <w:rPr>
                <w:szCs w:val="20"/>
              </w:rPr>
            </w:pPr>
            <w:r w:rsidRPr="00A32891">
              <w:rPr>
                <w:rFonts w:ascii="Calibri" w:hAnsi="Calibri" w:cs="Calibri"/>
                <w:color w:val="000000"/>
                <w:szCs w:val="20"/>
              </w:rPr>
              <w:t>0,00%</w:t>
            </w:r>
          </w:p>
        </w:tc>
        <w:tc>
          <w:tcPr>
            <w:tcW w:w="1129" w:type="dxa"/>
            <w:vAlign w:val="center"/>
          </w:tcPr>
          <w:p w14:paraId="57F5947A" w14:textId="77777777" w:rsidR="00363AFF" w:rsidRPr="00A32891" w:rsidRDefault="00363AFF" w:rsidP="00363AFF">
            <w:pPr>
              <w:pStyle w:val="Table"/>
              <w:jc w:val="center"/>
              <w:rPr>
                <w:szCs w:val="20"/>
              </w:rPr>
            </w:pPr>
            <w:r w:rsidRPr="00A32891">
              <w:rPr>
                <w:rFonts w:ascii="Calibri" w:hAnsi="Calibri" w:cs="Calibri"/>
                <w:color w:val="000000"/>
                <w:szCs w:val="20"/>
              </w:rPr>
              <w:t>0,00%</w:t>
            </w:r>
          </w:p>
        </w:tc>
        <w:tc>
          <w:tcPr>
            <w:tcW w:w="1035" w:type="dxa"/>
            <w:vAlign w:val="center"/>
          </w:tcPr>
          <w:p w14:paraId="034DF5E6" w14:textId="77777777" w:rsidR="00363AFF" w:rsidRPr="00A32891" w:rsidRDefault="00363AFF" w:rsidP="00363AFF">
            <w:pPr>
              <w:pStyle w:val="Table"/>
              <w:jc w:val="center"/>
              <w:rPr>
                <w:szCs w:val="20"/>
              </w:rPr>
            </w:pPr>
            <w:r w:rsidRPr="00A32891">
              <w:rPr>
                <w:rFonts w:ascii="Calibri" w:hAnsi="Calibri" w:cs="Calibri"/>
                <w:color w:val="000000"/>
                <w:szCs w:val="20"/>
              </w:rPr>
              <w:t>0,00</w:t>
            </w:r>
          </w:p>
        </w:tc>
        <w:tc>
          <w:tcPr>
            <w:tcW w:w="1223" w:type="dxa"/>
            <w:vAlign w:val="center"/>
          </w:tcPr>
          <w:p w14:paraId="60DF2968" w14:textId="77777777" w:rsidR="00363AFF" w:rsidRPr="00A32891" w:rsidRDefault="00363AFF" w:rsidP="00363AFF">
            <w:pPr>
              <w:pStyle w:val="Table"/>
              <w:jc w:val="center"/>
              <w:rPr>
                <w:szCs w:val="20"/>
              </w:rPr>
            </w:pPr>
            <w:r w:rsidRPr="00A32891">
              <w:rPr>
                <w:rFonts w:ascii="Calibri" w:hAnsi="Calibri" w:cs="Calibri"/>
                <w:color w:val="000000"/>
                <w:szCs w:val="20"/>
              </w:rPr>
              <w:t>0,00</w:t>
            </w:r>
          </w:p>
        </w:tc>
        <w:tc>
          <w:tcPr>
            <w:tcW w:w="972" w:type="dxa"/>
            <w:vAlign w:val="center"/>
          </w:tcPr>
          <w:p w14:paraId="6C44651B" w14:textId="77777777" w:rsidR="00363AFF" w:rsidRPr="00A32891" w:rsidRDefault="00363AFF" w:rsidP="00363AFF">
            <w:pPr>
              <w:pStyle w:val="Table"/>
              <w:jc w:val="center"/>
              <w:rPr>
                <w:szCs w:val="20"/>
              </w:rPr>
            </w:pPr>
            <w:r w:rsidRPr="00A32891">
              <w:rPr>
                <w:rFonts w:ascii="Calibri" w:hAnsi="Calibri" w:cs="Calibri"/>
                <w:color w:val="000000"/>
                <w:szCs w:val="20"/>
              </w:rPr>
              <w:t>0,0%</w:t>
            </w:r>
          </w:p>
        </w:tc>
        <w:tc>
          <w:tcPr>
            <w:tcW w:w="1286" w:type="dxa"/>
            <w:vAlign w:val="center"/>
          </w:tcPr>
          <w:p w14:paraId="16E7A3FD" w14:textId="77777777" w:rsidR="00363AFF" w:rsidRPr="00A32891" w:rsidRDefault="00363AFF" w:rsidP="00363AFF">
            <w:pPr>
              <w:pStyle w:val="Table"/>
              <w:jc w:val="center"/>
              <w:rPr>
                <w:szCs w:val="20"/>
              </w:rPr>
            </w:pPr>
            <w:r w:rsidRPr="00A32891">
              <w:rPr>
                <w:rFonts w:ascii="Calibri" w:hAnsi="Calibri" w:cs="Calibri"/>
                <w:color w:val="000000"/>
                <w:szCs w:val="20"/>
              </w:rPr>
              <w:t>0,0%</w:t>
            </w:r>
          </w:p>
        </w:tc>
      </w:tr>
      <w:tr w:rsidR="00363AFF" w:rsidRPr="00A32891" w14:paraId="517B6605" w14:textId="77777777" w:rsidTr="00BA7936">
        <w:trPr>
          <w:trHeight w:val="252"/>
        </w:trPr>
        <w:tc>
          <w:tcPr>
            <w:tcW w:w="2258" w:type="dxa"/>
          </w:tcPr>
          <w:p w14:paraId="1CB4E39F" w14:textId="28CA31B0" w:rsidR="00363AFF" w:rsidRPr="00A32891" w:rsidRDefault="00363AFF" w:rsidP="00363AFF">
            <w:pPr>
              <w:pStyle w:val="Table"/>
              <w:jc w:val="left"/>
              <w:rPr>
                <w:szCs w:val="20"/>
              </w:rPr>
            </w:pPr>
            <w:r w:rsidRPr="00A436E4">
              <w:rPr>
                <w:szCs w:val="20"/>
              </w:rPr>
              <w:t xml:space="preserve">Waste to </w:t>
            </w:r>
            <w:r>
              <w:rPr>
                <w:szCs w:val="20"/>
              </w:rPr>
              <w:t>l</w:t>
            </w:r>
            <w:r w:rsidRPr="00A436E4">
              <w:rPr>
                <w:szCs w:val="20"/>
              </w:rPr>
              <w:t>andfill</w:t>
            </w:r>
          </w:p>
        </w:tc>
        <w:tc>
          <w:tcPr>
            <w:tcW w:w="1129" w:type="dxa"/>
            <w:vAlign w:val="center"/>
          </w:tcPr>
          <w:p w14:paraId="628D0AD3" w14:textId="77777777" w:rsidR="00363AFF" w:rsidRPr="00A32891" w:rsidRDefault="00363AFF" w:rsidP="00363AFF">
            <w:pPr>
              <w:pStyle w:val="Table"/>
              <w:jc w:val="center"/>
              <w:rPr>
                <w:szCs w:val="20"/>
              </w:rPr>
            </w:pPr>
            <w:r w:rsidRPr="00A32891">
              <w:rPr>
                <w:rFonts w:ascii="Calibri" w:hAnsi="Calibri" w:cs="Calibri"/>
                <w:color w:val="000000"/>
                <w:szCs w:val="20"/>
              </w:rPr>
              <w:t>0,00%</w:t>
            </w:r>
          </w:p>
        </w:tc>
        <w:tc>
          <w:tcPr>
            <w:tcW w:w="1129" w:type="dxa"/>
            <w:vAlign w:val="center"/>
          </w:tcPr>
          <w:p w14:paraId="57E5261B" w14:textId="77777777" w:rsidR="00363AFF" w:rsidRPr="00A32891" w:rsidRDefault="00363AFF" w:rsidP="00363AFF">
            <w:pPr>
              <w:pStyle w:val="Table"/>
              <w:jc w:val="center"/>
              <w:rPr>
                <w:szCs w:val="20"/>
              </w:rPr>
            </w:pPr>
            <w:r w:rsidRPr="00A32891">
              <w:rPr>
                <w:rFonts w:ascii="Calibri" w:hAnsi="Calibri" w:cs="Calibri"/>
                <w:color w:val="000000"/>
                <w:szCs w:val="20"/>
              </w:rPr>
              <w:t>0,00%</w:t>
            </w:r>
          </w:p>
        </w:tc>
        <w:tc>
          <w:tcPr>
            <w:tcW w:w="1035" w:type="dxa"/>
            <w:vAlign w:val="center"/>
          </w:tcPr>
          <w:p w14:paraId="0CF3B167" w14:textId="77777777" w:rsidR="00363AFF" w:rsidRPr="00A32891" w:rsidRDefault="00363AFF" w:rsidP="00363AFF">
            <w:pPr>
              <w:pStyle w:val="Table"/>
              <w:jc w:val="center"/>
              <w:rPr>
                <w:szCs w:val="20"/>
              </w:rPr>
            </w:pPr>
            <w:r w:rsidRPr="00A32891">
              <w:rPr>
                <w:rFonts w:ascii="Calibri" w:hAnsi="Calibri" w:cs="Calibri"/>
                <w:color w:val="000000"/>
                <w:szCs w:val="20"/>
              </w:rPr>
              <w:t>0,00</w:t>
            </w:r>
          </w:p>
        </w:tc>
        <w:tc>
          <w:tcPr>
            <w:tcW w:w="1223" w:type="dxa"/>
            <w:vAlign w:val="center"/>
          </w:tcPr>
          <w:p w14:paraId="7BE97CDA" w14:textId="77777777" w:rsidR="00363AFF" w:rsidRPr="00A32891" w:rsidRDefault="00363AFF" w:rsidP="00363AFF">
            <w:pPr>
              <w:pStyle w:val="Table"/>
              <w:jc w:val="center"/>
              <w:rPr>
                <w:szCs w:val="20"/>
              </w:rPr>
            </w:pPr>
            <w:r w:rsidRPr="00A32891">
              <w:rPr>
                <w:rFonts w:ascii="Calibri" w:hAnsi="Calibri" w:cs="Calibri"/>
                <w:color w:val="000000"/>
                <w:szCs w:val="20"/>
              </w:rPr>
              <w:t>0,00</w:t>
            </w:r>
          </w:p>
        </w:tc>
        <w:tc>
          <w:tcPr>
            <w:tcW w:w="972" w:type="dxa"/>
            <w:vAlign w:val="center"/>
          </w:tcPr>
          <w:p w14:paraId="4767BF7D" w14:textId="77777777" w:rsidR="00363AFF" w:rsidRPr="00A32891" w:rsidRDefault="00363AFF" w:rsidP="00363AFF">
            <w:pPr>
              <w:pStyle w:val="Table"/>
              <w:jc w:val="center"/>
              <w:rPr>
                <w:szCs w:val="20"/>
              </w:rPr>
            </w:pPr>
            <w:r w:rsidRPr="00A32891">
              <w:rPr>
                <w:rFonts w:ascii="Calibri" w:hAnsi="Calibri" w:cs="Calibri"/>
                <w:color w:val="000000"/>
                <w:szCs w:val="20"/>
              </w:rPr>
              <w:t>0,0%</w:t>
            </w:r>
          </w:p>
        </w:tc>
        <w:tc>
          <w:tcPr>
            <w:tcW w:w="1286" w:type="dxa"/>
            <w:vAlign w:val="center"/>
          </w:tcPr>
          <w:p w14:paraId="722A07D5" w14:textId="77777777" w:rsidR="00363AFF" w:rsidRPr="00A32891" w:rsidRDefault="00363AFF" w:rsidP="00363AFF">
            <w:pPr>
              <w:pStyle w:val="Table"/>
              <w:jc w:val="center"/>
              <w:rPr>
                <w:szCs w:val="20"/>
              </w:rPr>
            </w:pPr>
            <w:r w:rsidRPr="00A32891">
              <w:rPr>
                <w:rFonts w:ascii="Calibri" w:hAnsi="Calibri" w:cs="Calibri"/>
                <w:color w:val="000000"/>
                <w:szCs w:val="20"/>
              </w:rPr>
              <w:t>0,0%</w:t>
            </w:r>
          </w:p>
        </w:tc>
      </w:tr>
      <w:tr w:rsidR="00363AFF" w:rsidRPr="00A32891" w14:paraId="1558AED0" w14:textId="77777777" w:rsidTr="00BA7936">
        <w:trPr>
          <w:trHeight w:val="232"/>
        </w:trPr>
        <w:tc>
          <w:tcPr>
            <w:tcW w:w="2258" w:type="dxa"/>
          </w:tcPr>
          <w:p w14:paraId="0605C063" w14:textId="21A94D33" w:rsidR="00363AFF" w:rsidRPr="00A32891" w:rsidRDefault="00363AFF" w:rsidP="00363AFF">
            <w:pPr>
              <w:pStyle w:val="Table"/>
              <w:jc w:val="left"/>
              <w:rPr>
                <w:szCs w:val="20"/>
              </w:rPr>
            </w:pPr>
            <w:r w:rsidRPr="00A436E4">
              <w:rPr>
                <w:szCs w:val="20"/>
              </w:rPr>
              <w:t xml:space="preserve">Water </w:t>
            </w:r>
            <w:r>
              <w:rPr>
                <w:szCs w:val="20"/>
              </w:rPr>
              <w:t>e</w:t>
            </w:r>
            <w:r w:rsidRPr="00A436E4">
              <w:rPr>
                <w:szCs w:val="20"/>
              </w:rPr>
              <w:t>ffluent</w:t>
            </w:r>
          </w:p>
        </w:tc>
        <w:tc>
          <w:tcPr>
            <w:tcW w:w="1129" w:type="dxa"/>
            <w:vAlign w:val="center"/>
          </w:tcPr>
          <w:p w14:paraId="25B23F07" w14:textId="77777777" w:rsidR="00363AFF" w:rsidRPr="00A32891" w:rsidRDefault="00363AFF" w:rsidP="00363AFF">
            <w:pPr>
              <w:pStyle w:val="Table"/>
              <w:jc w:val="center"/>
              <w:rPr>
                <w:szCs w:val="20"/>
              </w:rPr>
            </w:pPr>
            <w:r w:rsidRPr="00A32891">
              <w:rPr>
                <w:rFonts w:ascii="Calibri" w:hAnsi="Calibri" w:cs="Calibri"/>
                <w:color w:val="000000"/>
                <w:szCs w:val="20"/>
              </w:rPr>
              <w:t>0,00%</w:t>
            </w:r>
          </w:p>
        </w:tc>
        <w:tc>
          <w:tcPr>
            <w:tcW w:w="1129" w:type="dxa"/>
            <w:vAlign w:val="center"/>
          </w:tcPr>
          <w:p w14:paraId="4228B7B3" w14:textId="77777777" w:rsidR="00363AFF" w:rsidRPr="00A32891" w:rsidRDefault="00363AFF" w:rsidP="00363AFF">
            <w:pPr>
              <w:pStyle w:val="Table"/>
              <w:jc w:val="center"/>
              <w:rPr>
                <w:szCs w:val="20"/>
              </w:rPr>
            </w:pPr>
            <w:r w:rsidRPr="00A32891">
              <w:rPr>
                <w:rFonts w:ascii="Calibri" w:hAnsi="Calibri" w:cs="Calibri"/>
                <w:color w:val="000000"/>
                <w:szCs w:val="20"/>
              </w:rPr>
              <w:t>0,00%</w:t>
            </w:r>
          </w:p>
        </w:tc>
        <w:tc>
          <w:tcPr>
            <w:tcW w:w="1035" w:type="dxa"/>
            <w:vAlign w:val="center"/>
          </w:tcPr>
          <w:p w14:paraId="2F1C24CC" w14:textId="77777777" w:rsidR="00363AFF" w:rsidRPr="00A32891" w:rsidRDefault="00363AFF" w:rsidP="00363AFF">
            <w:pPr>
              <w:pStyle w:val="Table"/>
              <w:jc w:val="center"/>
              <w:rPr>
                <w:szCs w:val="20"/>
              </w:rPr>
            </w:pPr>
            <w:r w:rsidRPr="00A32891">
              <w:rPr>
                <w:rFonts w:ascii="Calibri" w:hAnsi="Calibri" w:cs="Calibri"/>
                <w:color w:val="000000"/>
                <w:szCs w:val="20"/>
              </w:rPr>
              <w:t>0,00</w:t>
            </w:r>
          </w:p>
        </w:tc>
        <w:tc>
          <w:tcPr>
            <w:tcW w:w="1223" w:type="dxa"/>
            <w:vAlign w:val="center"/>
          </w:tcPr>
          <w:p w14:paraId="65BC669F" w14:textId="77777777" w:rsidR="00363AFF" w:rsidRPr="00A32891" w:rsidRDefault="00363AFF" w:rsidP="00363AFF">
            <w:pPr>
              <w:pStyle w:val="Table"/>
              <w:jc w:val="center"/>
              <w:rPr>
                <w:szCs w:val="20"/>
              </w:rPr>
            </w:pPr>
            <w:r w:rsidRPr="00A32891">
              <w:rPr>
                <w:rFonts w:ascii="Calibri" w:hAnsi="Calibri" w:cs="Calibri"/>
                <w:color w:val="000000"/>
                <w:szCs w:val="20"/>
              </w:rPr>
              <w:t>0,00</w:t>
            </w:r>
          </w:p>
        </w:tc>
        <w:tc>
          <w:tcPr>
            <w:tcW w:w="972" w:type="dxa"/>
            <w:vAlign w:val="center"/>
          </w:tcPr>
          <w:p w14:paraId="07B9CAAA" w14:textId="77777777" w:rsidR="00363AFF" w:rsidRPr="00A32891" w:rsidRDefault="00363AFF" w:rsidP="00363AFF">
            <w:pPr>
              <w:pStyle w:val="Table"/>
              <w:jc w:val="center"/>
              <w:rPr>
                <w:szCs w:val="20"/>
              </w:rPr>
            </w:pPr>
            <w:r w:rsidRPr="00A32891">
              <w:rPr>
                <w:rFonts w:ascii="Calibri" w:hAnsi="Calibri" w:cs="Calibri"/>
                <w:color w:val="000000"/>
                <w:szCs w:val="20"/>
              </w:rPr>
              <w:t>0,0%</w:t>
            </w:r>
          </w:p>
        </w:tc>
        <w:tc>
          <w:tcPr>
            <w:tcW w:w="1286" w:type="dxa"/>
            <w:vAlign w:val="center"/>
          </w:tcPr>
          <w:p w14:paraId="7DA09A9F" w14:textId="77777777" w:rsidR="00363AFF" w:rsidRPr="00A32891" w:rsidRDefault="00363AFF" w:rsidP="00363AFF">
            <w:pPr>
              <w:pStyle w:val="Table"/>
              <w:jc w:val="center"/>
              <w:rPr>
                <w:szCs w:val="20"/>
              </w:rPr>
            </w:pPr>
            <w:r w:rsidRPr="00A32891">
              <w:rPr>
                <w:rFonts w:ascii="Calibri" w:hAnsi="Calibri" w:cs="Calibri"/>
                <w:color w:val="000000"/>
                <w:szCs w:val="20"/>
              </w:rPr>
              <w:t>0,0%</w:t>
            </w:r>
          </w:p>
        </w:tc>
      </w:tr>
      <w:tr w:rsidR="00363AFF" w:rsidRPr="00A32891" w14:paraId="15A54D50" w14:textId="77777777" w:rsidTr="00BA7936">
        <w:trPr>
          <w:trHeight w:val="232"/>
        </w:trPr>
        <w:tc>
          <w:tcPr>
            <w:tcW w:w="2258" w:type="dxa"/>
          </w:tcPr>
          <w:p w14:paraId="06372E5E" w14:textId="565B589E" w:rsidR="00363AFF" w:rsidRPr="00A32891" w:rsidRDefault="00363AFF" w:rsidP="00363AFF">
            <w:pPr>
              <w:pStyle w:val="Table"/>
              <w:jc w:val="left"/>
              <w:rPr>
                <w:szCs w:val="20"/>
              </w:rPr>
            </w:pPr>
            <w:r w:rsidRPr="00A436E4">
              <w:rPr>
                <w:szCs w:val="20"/>
              </w:rPr>
              <w:t xml:space="preserve">Minerals &amp; </w:t>
            </w:r>
            <w:r>
              <w:rPr>
                <w:szCs w:val="20"/>
              </w:rPr>
              <w:t>a</w:t>
            </w:r>
            <w:r w:rsidRPr="00A436E4">
              <w:rPr>
                <w:szCs w:val="20"/>
              </w:rPr>
              <w:t>ggregates</w:t>
            </w:r>
          </w:p>
        </w:tc>
        <w:tc>
          <w:tcPr>
            <w:tcW w:w="1129" w:type="dxa"/>
            <w:vAlign w:val="center"/>
          </w:tcPr>
          <w:p w14:paraId="0DFA8699" w14:textId="77777777" w:rsidR="00363AFF" w:rsidRPr="00A32891" w:rsidRDefault="00363AFF" w:rsidP="00363AFF">
            <w:pPr>
              <w:pStyle w:val="Table"/>
              <w:jc w:val="center"/>
              <w:rPr>
                <w:szCs w:val="20"/>
              </w:rPr>
            </w:pPr>
            <w:r w:rsidRPr="00A32891">
              <w:rPr>
                <w:rFonts w:ascii="Calibri" w:hAnsi="Calibri" w:cs="Calibri"/>
                <w:color w:val="000000"/>
                <w:szCs w:val="20"/>
              </w:rPr>
              <w:t>-5,02%</w:t>
            </w:r>
          </w:p>
        </w:tc>
        <w:tc>
          <w:tcPr>
            <w:tcW w:w="1129" w:type="dxa"/>
            <w:vAlign w:val="center"/>
          </w:tcPr>
          <w:p w14:paraId="5F0A42C5" w14:textId="77777777" w:rsidR="00363AFF" w:rsidRPr="00A32891" w:rsidRDefault="00363AFF" w:rsidP="00363AFF">
            <w:pPr>
              <w:pStyle w:val="Table"/>
              <w:jc w:val="center"/>
              <w:rPr>
                <w:szCs w:val="20"/>
              </w:rPr>
            </w:pPr>
            <w:r w:rsidRPr="00A32891">
              <w:rPr>
                <w:rFonts w:ascii="Calibri" w:hAnsi="Calibri" w:cs="Calibri"/>
                <w:color w:val="000000"/>
                <w:szCs w:val="20"/>
              </w:rPr>
              <w:t>-5,02%</w:t>
            </w:r>
          </w:p>
        </w:tc>
        <w:tc>
          <w:tcPr>
            <w:tcW w:w="1035" w:type="dxa"/>
            <w:vAlign w:val="center"/>
          </w:tcPr>
          <w:p w14:paraId="27B05955" w14:textId="77777777" w:rsidR="00363AFF" w:rsidRPr="00A32891" w:rsidRDefault="00363AFF" w:rsidP="00363AFF">
            <w:pPr>
              <w:pStyle w:val="Table"/>
              <w:jc w:val="center"/>
              <w:rPr>
                <w:szCs w:val="20"/>
              </w:rPr>
            </w:pPr>
            <w:r w:rsidRPr="00A32891">
              <w:rPr>
                <w:rFonts w:ascii="Calibri" w:hAnsi="Calibri" w:cs="Calibri"/>
                <w:color w:val="000000"/>
                <w:szCs w:val="20"/>
              </w:rPr>
              <w:t>46,96</w:t>
            </w:r>
          </w:p>
        </w:tc>
        <w:tc>
          <w:tcPr>
            <w:tcW w:w="1223" w:type="dxa"/>
            <w:vAlign w:val="center"/>
          </w:tcPr>
          <w:p w14:paraId="335FDC95" w14:textId="77777777" w:rsidR="00363AFF" w:rsidRPr="00A32891" w:rsidRDefault="00363AFF" w:rsidP="00363AFF">
            <w:pPr>
              <w:pStyle w:val="Table"/>
              <w:jc w:val="center"/>
              <w:rPr>
                <w:szCs w:val="20"/>
              </w:rPr>
            </w:pPr>
            <w:r w:rsidRPr="00A32891">
              <w:rPr>
                <w:rFonts w:ascii="Calibri" w:hAnsi="Calibri" w:cs="Calibri"/>
                <w:color w:val="000000"/>
                <w:szCs w:val="20"/>
              </w:rPr>
              <w:t>46,49</w:t>
            </w:r>
          </w:p>
        </w:tc>
        <w:tc>
          <w:tcPr>
            <w:tcW w:w="972" w:type="dxa"/>
            <w:vAlign w:val="center"/>
          </w:tcPr>
          <w:p w14:paraId="7F9E1DA3" w14:textId="77777777" w:rsidR="00363AFF" w:rsidRPr="00A32891" w:rsidRDefault="00363AFF" w:rsidP="00363AFF">
            <w:pPr>
              <w:pStyle w:val="Table"/>
              <w:jc w:val="center"/>
              <w:rPr>
                <w:szCs w:val="20"/>
              </w:rPr>
            </w:pPr>
            <w:r w:rsidRPr="00A32891">
              <w:rPr>
                <w:rFonts w:ascii="Calibri" w:hAnsi="Calibri" w:cs="Calibri"/>
                <w:color w:val="000000"/>
                <w:szCs w:val="20"/>
              </w:rPr>
              <w:t>233,6%</w:t>
            </w:r>
          </w:p>
        </w:tc>
        <w:tc>
          <w:tcPr>
            <w:tcW w:w="1286" w:type="dxa"/>
            <w:vAlign w:val="center"/>
          </w:tcPr>
          <w:p w14:paraId="6FE3EA6D" w14:textId="77777777" w:rsidR="00363AFF" w:rsidRPr="00A32891" w:rsidRDefault="00363AFF" w:rsidP="00363AFF">
            <w:pPr>
              <w:pStyle w:val="Table"/>
              <w:keepNext/>
              <w:jc w:val="center"/>
              <w:rPr>
                <w:szCs w:val="20"/>
              </w:rPr>
            </w:pPr>
            <w:r w:rsidRPr="00A32891">
              <w:rPr>
                <w:rFonts w:ascii="Calibri" w:hAnsi="Calibri" w:cs="Calibri"/>
                <w:color w:val="000000"/>
                <w:szCs w:val="20"/>
              </w:rPr>
              <w:t>231,3%</w:t>
            </w:r>
          </w:p>
        </w:tc>
      </w:tr>
    </w:tbl>
    <w:p w14:paraId="1367B5F8" w14:textId="77777777" w:rsidR="00363AFF" w:rsidRPr="00363AFF" w:rsidRDefault="00363AFF" w:rsidP="00363AFF">
      <w:pPr>
        <w:rPr>
          <w:rFonts w:eastAsia="Calibri" w:cstheme="minorHAnsi"/>
          <w:color w:val="000000" w:themeColor="text1"/>
        </w:rPr>
      </w:pPr>
    </w:p>
    <w:p w14:paraId="740BB69C" w14:textId="70784B71" w:rsidR="00363AFF" w:rsidRPr="00363AFF" w:rsidRDefault="00363AFF" w:rsidP="00363AFF">
      <w:pPr>
        <w:rPr>
          <w:rFonts w:eastAsia="Calibri" w:cstheme="minorHAnsi"/>
          <w:color w:val="000000" w:themeColor="text1"/>
        </w:rPr>
      </w:pPr>
      <w:r w:rsidRPr="00363AFF">
        <w:rPr>
          <w:rFonts w:eastAsia="Calibri" w:cstheme="minorHAnsi"/>
          <w:color w:val="000000" w:themeColor="text1"/>
        </w:rPr>
        <w:t xml:space="preserve">However, several </w:t>
      </w:r>
      <w:r w:rsidRPr="00363AFF">
        <w:rPr>
          <w:rFonts w:eastAsia="Calibri" w:cstheme="minorHAnsi"/>
          <w:b/>
          <w:bCs/>
          <w:color w:val="000000" w:themeColor="text1"/>
        </w:rPr>
        <w:t>implementation challenges</w:t>
      </w:r>
      <w:r w:rsidRPr="00363AFF">
        <w:rPr>
          <w:rFonts w:eastAsia="Calibri" w:cstheme="minorHAnsi"/>
          <w:color w:val="000000" w:themeColor="text1"/>
        </w:rPr>
        <w:t xml:space="preserve"> merit careful consideration. Public resistance to higher environmental charges has historically been low in Austria, but concerns may emerge in sectors sensitive to international competition, such as manufacturing, construction materials, and agriculture. The aggregate extraction sector, for instance, has previously expressed reservations about the </w:t>
      </w:r>
      <w:r w:rsidRPr="00363AFF">
        <w:rPr>
          <w:rFonts w:eastAsia="Calibri" w:cstheme="minorHAnsi"/>
          <w:color w:val="000000" w:themeColor="text1"/>
        </w:rPr>
        <w:lastRenderedPageBreak/>
        <w:t>introduction of new levies. Similarly, higher wastewater or air emission charges could face opposition from energy-intensive industries. To avoid unintended effects on competitiveness, gradual phasing-in of new rates combined with targeted support for efficiency investments would be essential. Coordination between federal and regional authorities</w:t>
      </w:r>
      <w:r>
        <w:rPr>
          <w:rFonts w:eastAsia="Calibri" w:cstheme="minorHAnsi"/>
          <w:color w:val="000000" w:themeColor="text1"/>
        </w:rPr>
        <w:t xml:space="preserve">, </w:t>
      </w:r>
      <w:r w:rsidRPr="00363AFF">
        <w:rPr>
          <w:rFonts w:eastAsia="Calibri" w:cstheme="minorHAnsi"/>
          <w:color w:val="000000" w:themeColor="text1"/>
        </w:rPr>
        <w:t>particularly given Austria’s decentralised environmental governance</w:t>
      </w:r>
      <w:r>
        <w:rPr>
          <w:rFonts w:eastAsia="Calibri" w:cstheme="minorHAnsi"/>
          <w:color w:val="000000" w:themeColor="text1"/>
        </w:rPr>
        <w:t xml:space="preserve">, </w:t>
      </w:r>
      <w:r w:rsidRPr="00363AFF">
        <w:rPr>
          <w:rFonts w:eastAsia="Calibri" w:cstheme="minorHAnsi"/>
          <w:color w:val="000000" w:themeColor="text1"/>
        </w:rPr>
        <w:t>will also be critical to ensure consistency and transparency in tax application.</w:t>
      </w:r>
    </w:p>
    <w:p w14:paraId="65E83A94" w14:textId="315F5033" w:rsidR="00363AFF" w:rsidRPr="00363AFF" w:rsidRDefault="00363AFF" w:rsidP="00363AFF">
      <w:pPr>
        <w:rPr>
          <w:rFonts w:eastAsia="Calibri" w:cstheme="minorHAnsi"/>
          <w:color w:val="000000" w:themeColor="text1"/>
        </w:rPr>
      </w:pPr>
      <w:r w:rsidRPr="00363AFF">
        <w:rPr>
          <w:rFonts w:eastAsia="Calibri" w:cstheme="minorHAnsi"/>
          <w:color w:val="000000" w:themeColor="text1"/>
        </w:rPr>
        <w:t xml:space="preserve">From a </w:t>
      </w:r>
      <w:r w:rsidRPr="00363AFF">
        <w:rPr>
          <w:rFonts w:eastAsia="Calibri" w:cstheme="minorHAnsi"/>
          <w:b/>
          <w:bCs/>
          <w:color w:val="000000" w:themeColor="text1"/>
        </w:rPr>
        <w:t>distributional perspective</w:t>
      </w:r>
      <w:r w:rsidRPr="00363AFF">
        <w:rPr>
          <w:rFonts w:eastAsia="Calibri" w:cstheme="minorHAnsi"/>
          <w:color w:val="000000" w:themeColor="text1"/>
        </w:rPr>
        <w:t>, Austria’s relatively strong social safety net reduces the risk of major regressive impacts, yet the effects of higher charges on households’ utility costs and waste fees should be addressed. Revenue recycling offers an effective mechanism to mitigate these risks: allocating part of the additional revenues to reduce labour taxation, to support lower-income households, or to invest in public transport and energy efficiency can maintain fairness and public acceptability. Communication on how revenues are used, and visible reinvestment in environmental quality, would further strengthen support.</w:t>
      </w:r>
    </w:p>
    <w:p w14:paraId="191C1EA1" w14:textId="77777777" w:rsidR="00363AFF" w:rsidRPr="00363AFF" w:rsidRDefault="00363AFF" w:rsidP="00363AFF">
      <w:pPr>
        <w:rPr>
          <w:rFonts w:eastAsia="Calibri" w:cstheme="minorHAnsi"/>
          <w:color w:val="000000" w:themeColor="text1"/>
        </w:rPr>
      </w:pPr>
      <w:r w:rsidRPr="00363AFF">
        <w:rPr>
          <w:rFonts w:eastAsia="Calibri" w:cstheme="minorHAnsi"/>
          <w:color w:val="000000" w:themeColor="text1"/>
        </w:rPr>
        <w:t xml:space="preserve">Based on the modelling results and Austria’s institutional context, several </w:t>
      </w:r>
      <w:r w:rsidRPr="00363AFF">
        <w:rPr>
          <w:rFonts w:eastAsia="Calibri" w:cstheme="minorHAnsi"/>
          <w:b/>
          <w:bCs/>
          <w:color w:val="000000" w:themeColor="text1"/>
        </w:rPr>
        <w:t>priority taxes</w:t>
      </w:r>
      <w:r w:rsidRPr="00363AFF">
        <w:rPr>
          <w:rFonts w:eastAsia="Calibri" w:cstheme="minorHAnsi"/>
          <w:color w:val="000000" w:themeColor="text1"/>
        </w:rPr>
        <w:t xml:space="preserve"> could be considered for gradual introduction or strengthening:</w:t>
      </w:r>
    </w:p>
    <w:p w14:paraId="66CFC6B3" w14:textId="77777777" w:rsidR="00363AFF" w:rsidRPr="00363AFF" w:rsidRDefault="00363AFF" w:rsidP="00363AFF">
      <w:pPr>
        <w:pStyle w:val="Bulletlist"/>
      </w:pPr>
      <w:r w:rsidRPr="00363AFF">
        <w:t xml:space="preserve">A </w:t>
      </w:r>
      <w:r w:rsidRPr="00363AFF">
        <w:rPr>
          <w:b/>
          <w:bCs/>
        </w:rPr>
        <w:t>mineral extraction tax</w:t>
      </w:r>
      <w:r w:rsidRPr="00363AFF">
        <w:t xml:space="preserve"> aligned with EU benchmarks, as Austria currently has only limited levies on raw material extraction despite high resource consumption.</w:t>
      </w:r>
    </w:p>
    <w:p w14:paraId="4C06B46B" w14:textId="77777777" w:rsidR="00363AFF" w:rsidRPr="00363AFF" w:rsidRDefault="00363AFF" w:rsidP="00363AFF">
      <w:pPr>
        <w:pStyle w:val="Bulletlist"/>
      </w:pPr>
      <w:r w:rsidRPr="00363AFF">
        <w:t xml:space="preserve">A </w:t>
      </w:r>
      <w:r w:rsidRPr="00363AFF">
        <w:rPr>
          <w:b/>
          <w:bCs/>
        </w:rPr>
        <w:t>wastewater effluent tax</w:t>
      </w:r>
      <w:r w:rsidRPr="00363AFF">
        <w:t>, modelled on best practices in other Member States, which could provide incentives for industrial and municipal water efficiency.</w:t>
      </w:r>
    </w:p>
    <w:p w14:paraId="38443C39" w14:textId="77777777" w:rsidR="00363AFF" w:rsidRPr="00363AFF" w:rsidRDefault="00363AFF" w:rsidP="00363AFF">
      <w:pPr>
        <w:pStyle w:val="Bulletlist"/>
      </w:pPr>
      <w:r w:rsidRPr="00363AFF">
        <w:t xml:space="preserve">An adjustment to </w:t>
      </w:r>
      <w:r w:rsidRPr="00363AFF">
        <w:rPr>
          <w:b/>
          <w:bCs/>
        </w:rPr>
        <w:t>fertiliser and pesticide charges</w:t>
      </w:r>
      <w:r w:rsidRPr="00363AFF">
        <w:t>, where existing measures are limited to indirect pricing through regulatory fees.</w:t>
      </w:r>
    </w:p>
    <w:p w14:paraId="4906F0C4" w14:textId="1239E323" w:rsidR="00363AFF" w:rsidRPr="00363AFF" w:rsidRDefault="00363AFF" w:rsidP="00363AFF">
      <w:pPr>
        <w:rPr>
          <w:rFonts w:eastAsia="Calibri" w:cstheme="minorHAnsi"/>
          <w:color w:val="000000" w:themeColor="text1"/>
        </w:rPr>
      </w:pPr>
      <w:r w:rsidRPr="00363AFF">
        <w:rPr>
          <w:rFonts w:eastAsia="Calibri" w:cstheme="minorHAnsi"/>
          <w:color w:val="000000" w:themeColor="text1"/>
        </w:rPr>
        <w:t>For each of these instruments, implementation should be accompanied by flanking measures</w:t>
      </w:r>
      <w:r>
        <w:rPr>
          <w:rFonts w:eastAsia="Calibri" w:cstheme="minorHAnsi"/>
          <w:color w:val="000000" w:themeColor="text1"/>
        </w:rPr>
        <w:t xml:space="preserve">, </w:t>
      </w:r>
      <w:r w:rsidRPr="00363AFF">
        <w:rPr>
          <w:rFonts w:eastAsia="Calibri" w:cstheme="minorHAnsi"/>
          <w:color w:val="000000" w:themeColor="text1"/>
        </w:rPr>
        <w:t>such as investment incentives for circular economy technologies and eco-innovation</w:t>
      </w:r>
      <w:r>
        <w:rPr>
          <w:rFonts w:eastAsia="Calibri" w:cstheme="minorHAnsi"/>
          <w:color w:val="000000" w:themeColor="text1"/>
        </w:rPr>
        <w:t xml:space="preserve">, </w:t>
      </w:r>
      <w:r w:rsidRPr="00363AFF">
        <w:rPr>
          <w:rFonts w:eastAsia="Calibri" w:cstheme="minorHAnsi"/>
          <w:color w:val="000000" w:themeColor="text1"/>
        </w:rPr>
        <w:t>to help affected industries transition smoothly.</w:t>
      </w:r>
    </w:p>
    <w:p w14:paraId="798BABA5" w14:textId="3A61B29B" w:rsidR="000C79DC" w:rsidRPr="00363AFF" w:rsidRDefault="00363AFF" w:rsidP="00363AFF">
      <w:pPr>
        <w:rPr>
          <w:rFonts w:eastAsia="Calibri" w:cstheme="minorHAnsi"/>
          <w:color w:val="000000" w:themeColor="text1"/>
        </w:rPr>
      </w:pPr>
      <w:r w:rsidRPr="00363AFF">
        <w:rPr>
          <w:rFonts w:eastAsia="Calibri" w:cstheme="minorHAnsi"/>
          <w:color w:val="000000" w:themeColor="text1"/>
        </w:rPr>
        <w:t>In summary, Austria is well positioned to expand its environmental tax base with limited economic risk. The main feasibility challenges relate to coordination across governance levels and the need to balance environmental ambition with competitiveness and equity considerations. A phased approach, coupled with transparent revenue recycling and targeted support for vulnerable sectors and households, would ensure that new taxes contribute effectively to both environmental improvement and fiscal resilience.</w:t>
      </w:r>
    </w:p>
    <w:p w14:paraId="15F162AE" w14:textId="77777777" w:rsidR="00392FDA" w:rsidRPr="00EA4C9B" w:rsidRDefault="00392FDA" w:rsidP="003B77C1">
      <w:pPr>
        <w:pStyle w:val="AnnexHeading1"/>
        <w:ind w:hanging="1211"/>
      </w:pPr>
      <w:bookmarkStart w:id="102" w:name="_Toc214008833"/>
      <w:r w:rsidRPr="00EA4C9B">
        <w:t>Belgium</w:t>
      </w:r>
      <w:bookmarkEnd w:id="102"/>
    </w:p>
    <w:p w14:paraId="68637717" w14:textId="77777777" w:rsidR="00392FDA" w:rsidRPr="00EA4C9B" w:rsidRDefault="00392FDA" w:rsidP="007C4EB7">
      <w:pPr>
        <w:pStyle w:val="AnnexHeading2"/>
      </w:pPr>
      <w:bookmarkStart w:id="103" w:name="_Toc214008834"/>
      <w:r w:rsidRPr="00EA4C9B">
        <w:t>Overview on environmental taxes</w:t>
      </w:r>
      <w:bookmarkEnd w:id="103"/>
    </w:p>
    <w:p w14:paraId="4ADC8AF1" w14:textId="40471454" w:rsidR="00392FDA" w:rsidRPr="00EA4C9B" w:rsidRDefault="00506A7C" w:rsidP="00392FDA">
      <w:pPr>
        <w:spacing w:before="120" w:after="120"/>
      </w:pPr>
      <w:r w:rsidRPr="00506A7C">
        <w:t xml:space="preserve">Environmental taxes in Belgium amounted to 2.3% of GDP in 2023, slightly above the EU average. Although revenues have increased over time, their relative weight in the economy has gradually declined. Total environmental tax revenue reached EUR 13.82 billion in 2023 </w:t>
      </w:r>
      <w:r w:rsidRPr="00EA4C9B">
        <w:t>(</w:t>
      </w:r>
      <w:r w:rsidRPr="00926F4A">
        <w:fldChar w:fldCharType="begin"/>
      </w:r>
      <w:r w:rsidRPr="00926F4A">
        <w:instrText xml:space="preserve"> REF _Ref201231079 \h  \* MERGEFORMAT </w:instrText>
      </w:r>
      <w:r w:rsidRPr="00926F4A">
        <w:fldChar w:fldCharType="separate"/>
      </w:r>
      <w:r w:rsidRPr="00926F4A">
        <w:t xml:space="preserve">Figure </w:t>
      </w:r>
      <w:r>
        <w:t>A6</w:t>
      </w:r>
      <w:r w:rsidRPr="00926F4A">
        <w:t>-</w:t>
      </w:r>
      <w:r w:rsidRPr="00926F4A">
        <w:rPr>
          <w:noProof/>
        </w:rPr>
        <w:t>4</w:t>
      </w:r>
      <w:r w:rsidRPr="00926F4A">
        <w:fldChar w:fldCharType="end"/>
      </w:r>
      <w:r w:rsidRPr="00506A7C">
        <w:t>), an increase of 69% in real terms since 2009</w:t>
      </w:r>
      <w:r w:rsidR="009C2B43">
        <w:rPr>
          <w:rStyle w:val="FootnoteReference"/>
        </w:rPr>
        <w:footnoteReference w:id="23"/>
      </w:r>
      <w:r w:rsidRPr="00506A7C">
        <w:t>. Over the same period, however, the ratio of environmental taxes to GDP fell by 1.5% (</w:t>
      </w:r>
      <w:r w:rsidRPr="00926F4A">
        <w:fldChar w:fldCharType="begin"/>
      </w:r>
      <w:r w:rsidRPr="00926F4A">
        <w:instrText xml:space="preserve"> REF _Ref201231101 \h  \* MERGEFORMAT </w:instrText>
      </w:r>
      <w:r w:rsidRPr="00926F4A">
        <w:fldChar w:fldCharType="separate"/>
      </w:r>
      <w:r w:rsidRPr="00926F4A">
        <w:t xml:space="preserve">Figure </w:t>
      </w:r>
      <w:r>
        <w:t>A6</w:t>
      </w:r>
      <w:r w:rsidRPr="00926F4A">
        <w:t>-</w:t>
      </w:r>
      <w:r w:rsidRPr="00926F4A">
        <w:rPr>
          <w:noProof/>
        </w:rPr>
        <w:t>5</w:t>
      </w:r>
      <w:r w:rsidRPr="00926F4A">
        <w:fldChar w:fldCharType="end"/>
      </w:r>
      <w:r w:rsidRPr="00506A7C">
        <w:t>). In 2023, energy and transport taxes accounted for the majority of revenues (around 71.3% and 23.9% respectively), while pollution and resource taxes contributed 4.0% and 0.4%.</w:t>
      </w:r>
      <w:r w:rsidR="00392FDA" w:rsidRPr="00EA4C9B">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92FDA" w:rsidRPr="00EA4C9B" w14:paraId="4ED94BAA" w14:textId="77777777" w:rsidTr="00506A7C">
        <w:trPr>
          <w:trHeight w:val="1871"/>
        </w:trPr>
        <w:tc>
          <w:tcPr>
            <w:tcW w:w="9014" w:type="dxa"/>
          </w:tcPr>
          <w:p w14:paraId="09CB1460" w14:textId="77777777" w:rsidR="00392FDA" w:rsidRPr="00EA4C9B" w:rsidRDefault="00392FDA">
            <w:pPr>
              <w:spacing w:after="0"/>
              <w:jc w:val="center"/>
              <w:rPr>
                <w:sz w:val="2"/>
                <w:szCs w:val="2"/>
              </w:rPr>
            </w:pPr>
            <w:r w:rsidRPr="00EA4C9B">
              <w:rPr>
                <w:noProof/>
                <w:sz w:val="2"/>
                <w:szCs w:val="2"/>
              </w:rPr>
              <w:lastRenderedPageBreak/>
              <w:drawing>
                <wp:anchor distT="0" distB="0" distL="114300" distR="114300" simplePos="0" relativeHeight="251658240" behindDoc="0" locked="0" layoutInCell="1" allowOverlap="1" wp14:anchorId="01C84EFA" wp14:editId="72378E94">
                  <wp:simplePos x="0" y="0"/>
                  <wp:positionH relativeFrom="column">
                    <wp:posOffset>19135</wp:posOffset>
                  </wp:positionH>
                  <wp:positionV relativeFrom="paragraph">
                    <wp:posOffset>76200</wp:posOffset>
                  </wp:positionV>
                  <wp:extent cx="5572800" cy="1078377"/>
                  <wp:effectExtent l="0" t="0" r="0" b="7620"/>
                  <wp:wrapSquare wrapText="bothSides"/>
                  <wp:docPr id="1068555700" name="Picture 1" descr="A graph of a graph with numbers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55700" name="Picture 1" descr="A graph of a graph with numbers and a graph&#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2800" cy="1078377"/>
                          </a:xfrm>
                          <a:prstGeom prst="rect">
                            <a:avLst/>
                          </a:prstGeom>
                          <a:noFill/>
                        </pic:spPr>
                      </pic:pic>
                    </a:graphicData>
                  </a:graphic>
                  <wp14:sizeRelH relativeFrom="page">
                    <wp14:pctWidth>0</wp14:pctWidth>
                  </wp14:sizeRelH>
                  <wp14:sizeRelV relativeFrom="page">
                    <wp14:pctHeight>0</wp14:pctHeight>
                  </wp14:sizeRelV>
                </wp:anchor>
              </w:drawing>
            </w:r>
          </w:p>
        </w:tc>
      </w:tr>
      <w:tr w:rsidR="00392FDA" w:rsidRPr="00EA4C9B" w14:paraId="736DDCF7" w14:textId="77777777" w:rsidTr="00506A7C">
        <w:tc>
          <w:tcPr>
            <w:tcW w:w="9016" w:type="dxa"/>
            <w:shd w:val="clear" w:color="auto" w:fill="003399"/>
          </w:tcPr>
          <w:p w14:paraId="013899B8" w14:textId="1731ADF7" w:rsidR="00392FDA" w:rsidRPr="003A141C" w:rsidRDefault="007B265A" w:rsidP="003B540D">
            <w:pPr>
              <w:pStyle w:val="FigTabCaption"/>
            </w:pPr>
            <w:bookmarkStart w:id="104" w:name="_Ref201231079"/>
            <w:r w:rsidRPr="009B25DE">
              <w:t xml:space="preserve">Figure </w:t>
            </w:r>
            <w:r w:rsidR="00490085">
              <w:t>A6</w:t>
            </w:r>
            <w:r w:rsidRPr="009B25DE">
              <w:t>-</w:t>
            </w:r>
            <w:r w:rsidR="00423711" w:rsidRPr="009B25DE">
              <w:fldChar w:fldCharType="begin"/>
            </w:r>
            <w:r w:rsidR="00423711">
              <w:rPr>
                <w:bCs/>
              </w:rPr>
              <w:instrText xml:space="preserve"> SEQ Figure_A5- \* ARABIC </w:instrText>
            </w:r>
            <w:r w:rsidR="00423711" w:rsidRPr="009B25DE">
              <w:fldChar w:fldCharType="separate"/>
            </w:r>
            <w:r w:rsidR="00926F4A">
              <w:rPr>
                <w:bCs/>
                <w:noProof/>
              </w:rPr>
              <w:t>4</w:t>
            </w:r>
            <w:r w:rsidR="00423711" w:rsidRPr="009B25DE">
              <w:fldChar w:fldCharType="end"/>
            </w:r>
            <w:bookmarkEnd w:id="104"/>
            <w:r w:rsidR="00392FDA" w:rsidRPr="0017571E">
              <w:rPr>
                <w:bCs/>
              </w:rPr>
              <w:t>:</w:t>
            </w:r>
            <w:r w:rsidR="00392FDA" w:rsidRPr="00EA4C9B">
              <w:t xml:space="preserve"> Total environmental tax revenue in Belgium (2009-2023) in billion euros</w:t>
            </w:r>
          </w:p>
        </w:tc>
      </w:tr>
    </w:tbl>
    <w:p w14:paraId="58C2E79E" w14:textId="77777777" w:rsidR="00392FDA" w:rsidRPr="00EA4C9B" w:rsidRDefault="00392FDA" w:rsidP="00392FDA">
      <w:pPr>
        <w:spacing w:after="0"/>
      </w:pPr>
    </w:p>
    <w:p w14:paraId="518A24BF" w14:textId="6B160B16" w:rsidR="00392FDA" w:rsidRPr="00EA4C9B" w:rsidRDefault="00372C7C" w:rsidP="00506A7C">
      <w:pPr>
        <w:spacing w:before="120" w:after="120"/>
      </w:pPr>
      <w:r w:rsidRPr="00372C7C">
        <w:t>In 2023, total tax revenue (including net social contributions) accounted for 44.1% of Belgium’s GDP, only 0.8 percentage points lower than in 2009. Environmental taxes represented 5.25% of total tax revenue in 2023, virtually unchanged from 5.24% in 2009. As a share of total tax revenues, environmental tax revenues therefore increased by only 0.01 percentage points over the period. Within this, pollution tax revenues saw the sharpest decline, falling by 31% in absolute terms.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92FDA" w:rsidRPr="00EA4C9B" w14:paraId="7F8E3715" w14:textId="77777777" w:rsidTr="00506A7C">
        <w:tc>
          <w:tcPr>
            <w:tcW w:w="9016" w:type="dxa"/>
          </w:tcPr>
          <w:p w14:paraId="7139EEC7" w14:textId="77777777" w:rsidR="00506A7C" w:rsidRDefault="00506A7C">
            <w:pPr>
              <w:spacing w:after="0"/>
              <w:jc w:val="center"/>
              <w:rPr>
                <w:sz w:val="2"/>
                <w:szCs w:val="2"/>
              </w:rPr>
            </w:pPr>
          </w:p>
          <w:p w14:paraId="73678DFD" w14:textId="77777777" w:rsidR="00392FDA" w:rsidRDefault="00392FDA">
            <w:pPr>
              <w:spacing w:after="0"/>
              <w:jc w:val="center"/>
              <w:rPr>
                <w:sz w:val="2"/>
                <w:szCs w:val="2"/>
              </w:rPr>
            </w:pPr>
            <w:r w:rsidRPr="00EA4C9B">
              <w:rPr>
                <w:noProof/>
                <w:sz w:val="2"/>
                <w:szCs w:val="2"/>
              </w:rPr>
              <w:drawing>
                <wp:inline distT="0" distB="0" distL="0" distR="0" wp14:anchorId="6AAD5B28" wp14:editId="59D59810">
                  <wp:extent cx="5587200" cy="1655766"/>
                  <wp:effectExtent l="0" t="0" r="0" b="1905"/>
                  <wp:docPr id="481173189" name="Picture 1" descr="A graph of energy and transport te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73189" name="Picture 1" descr="A graph of energy and transport term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7200" cy="1655766"/>
                          </a:xfrm>
                          <a:prstGeom prst="rect">
                            <a:avLst/>
                          </a:prstGeom>
                          <a:noFill/>
                        </pic:spPr>
                      </pic:pic>
                    </a:graphicData>
                  </a:graphic>
                </wp:inline>
              </w:drawing>
            </w:r>
          </w:p>
          <w:p w14:paraId="3BB08FEC" w14:textId="4EF39222" w:rsidR="00506A7C" w:rsidRPr="00EA4C9B" w:rsidRDefault="00506A7C">
            <w:pPr>
              <w:spacing w:after="0"/>
              <w:jc w:val="center"/>
              <w:rPr>
                <w:sz w:val="2"/>
                <w:szCs w:val="2"/>
              </w:rPr>
            </w:pPr>
          </w:p>
        </w:tc>
      </w:tr>
      <w:tr w:rsidR="00392FDA" w:rsidRPr="00EA4C9B" w14:paraId="047E951D" w14:textId="77777777" w:rsidTr="00506A7C">
        <w:tc>
          <w:tcPr>
            <w:tcW w:w="9016" w:type="dxa"/>
            <w:shd w:val="clear" w:color="auto" w:fill="003399"/>
          </w:tcPr>
          <w:p w14:paraId="0DE4257B" w14:textId="7E0A741F" w:rsidR="00392FDA" w:rsidRPr="00EA4C9B" w:rsidRDefault="00A950D7" w:rsidP="003B540D">
            <w:pPr>
              <w:pStyle w:val="FigTabCaption"/>
            </w:pPr>
            <w:bookmarkStart w:id="105" w:name="_Ref201231101"/>
            <w:bookmarkStart w:id="106" w:name="_Ref201244726"/>
            <w:r w:rsidRPr="0017571E">
              <w:rPr>
                <w:bCs/>
              </w:rPr>
              <w:t xml:space="preserve">Figure </w:t>
            </w:r>
            <w:r w:rsidR="00490085">
              <w:rPr>
                <w:bCs/>
              </w:rPr>
              <w:t>A6</w:t>
            </w:r>
            <w:r w:rsidRPr="0017571E">
              <w:rPr>
                <w:bCs/>
              </w:rPr>
              <w:t>-</w:t>
            </w:r>
            <w:r w:rsidRPr="0017571E">
              <w:rPr>
                <w:bCs/>
              </w:rPr>
              <w:fldChar w:fldCharType="begin"/>
            </w:r>
            <w:r w:rsidRPr="0017571E">
              <w:rPr>
                <w:bCs/>
              </w:rPr>
              <w:instrText xml:space="preserve"> SEQ Figure_A5- \* ARABIC </w:instrText>
            </w:r>
            <w:r w:rsidRPr="0017571E">
              <w:rPr>
                <w:bCs/>
              </w:rPr>
              <w:fldChar w:fldCharType="separate"/>
            </w:r>
            <w:r w:rsidR="0091411A">
              <w:rPr>
                <w:bCs/>
                <w:noProof/>
              </w:rPr>
              <w:t>5</w:t>
            </w:r>
            <w:r w:rsidRPr="0017571E">
              <w:rPr>
                <w:bCs/>
              </w:rPr>
              <w:fldChar w:fldCharType="end"/>
            </w:r>
            <w:bookmarkEnd w:id="105"/>
            <w:r w:rsidR="00392FDA" w:rsidRPr="00EA4C9B">
              <w:t>: Fifteen-year (2009-2023) change in absolute terms and change as GDP-ratio of the revenues of energy taxes, transport taxes, resource taxes, pollution taxes and total environmental taxes</w:t>
            </w:r>
            <w:bookmarkEnd w:id="106"/>
          </w:p>
        </w:tc>
      </w:tr>
    </w:tbl>
    <w:p w14:paraId="072B1A35" w14:textId="77777777" w:rsidR="00392FDA" w:rsidRPr="00EA4C9B" w:rsidRDefault="00392FDA" w:rsidP="007C4EB7">
      <w:pPr>
        <w:pStyle w:val="AnnexHeading2"/>
      </w:pPr>
      <w:bookmarkStart w:id="107" w:name="_Toc214008835"/>
      <w:r w:rsidRPr="00EA4C9B">
        <w:t>Existing pollution and resource taxes</w:t>
      </w:r>
      <w:bookmarkEnd w:id="107"/>
    </w:p>
    <w:p w14:paraId="43DD1987" w14:textId="5BE9E0A1" w:rsidR="00392FDA" w:rsidRPr="00EA4C9B" w:rsidRDefault="00392FDA" w:rsidP="00392FDA">
      <w:pPr>
        <w:spacing w:before="120" w:after="120"/>
      </w:pPr>
      <w:r w:rsidRPr="00EA4C9B">
        <w:t>In 2023, pollution and resource tax revenues reached respectively 549 and 59 million euros (</w:t>
      </w:r>
      <w:r w:rsidR="003A79BD">
        <w:fldChar w:fldCharType="begin"/>
      </w:r>
      <w:r w:rsidR="003A79BD">
        <w:instrText xml:space="preserve"> REF _Ref201231101 \h </w:instrText>
      </w:r>
      <w:r w:rsidR="003A79BD">
        <w:fldChar w:fldCharType="separate"/>
      </w:r>
      <w:r w:rsidR="003A79BD" w:rsidRPr="0017571E">
        <w:rPr>
          <w:bCs/>
        </w:rPr>
        <w:t xml:space="preserve">Figure </w:t>
      </w:r>
      <w:r w:rsidR="00490085">
        <w:rPr>
          <w:bCs/>
        </w:rPr>
        <w:t>A6</w:t>
      </w:r>
      <w:r w:rsidR="003A79BD" w:rsidRPr="0017571E">
        <w:rPr>
          <w:bCs/>
        </w:rPr>
        <w:t>-</w:t>
      </w:r>
      <w:r w:rsidR="003A79BD">
        <w:rPr>
          <w:bCs/>
          <w:noProof/>
        </w:rPr>
        <w:t>5</w:t>
      </w:r>
      <w:r w:rsidR="003A79BD">
        <w:fldChar w:fldCharType="end"/>
      </w:r>
      <w:r w:rsidRPr="00EA4C9B">
        <w:t>) These amount to increases in absolute terms of — respectively — 18.4% and 41.9% over 15 years (2009-2023). In terms of GDP-ratios, pollution taxes decreased by 31% while resource taxes decreased by 17.3% (</w:t>
      </w:r>
      <w:r w:rsidR="00926F4A">
        <w:fldChar w:fldCharType="begin"/>
      </w:r>
      <w:r w:rsidR="00926F4A">
        <w:instrText xml:space="preserve"> REF _Ref201231101 \h </w:instrText>
      </w:r>
      <w:r w:rsidR="00926F4A">
        <w:fldChar w:fldCharType="separate"/>
      </w:r>
      <w:r w:rsidR="00926F4A" w:rsidRPr="0017571E">
        <w:rPr>
          <w:bCs/>
        </w:rPr>
        <w:t xml:space="preserve">Figure </w:t>
      </w:r>
      <w:r w:rsidR="00490085">
        <w:rPr>
          <w:bCs/>
        </w:rPr>
        <w:t>A6</w:t>
      </w:r>
      <w:r w:rsidR="00926F4A" w:rsidRPr="0017571E">
        <w:rPr>
          <w:bCs/>
        </w:rPr>
        <w:t>-</w:t>
      </w:r>
      <w:r w:rsidR="00926F4A">
        <w:rPr>
          <w:bCs/>
          <w:noProof/>
        </w:rPr>
        <w:t>5</w:t>
      </w:r>
      <w:r w:rsidR="00926F4A">
        <w:fldChar w:fldCharType="end"/>
      </w:r>
      <w:r w:rsidRPr="00EA4C9B">
        <w:t xml:space="preserve">). </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392FDA" w:rsidRPr="00EA4C9B" w14:paraId="0CD376C6" w14:textId="77777777" w:rsidTr="00506A7C">
        <w:trPr>
          <w:trHeight w:val="2288"/>
          <w:jc w:val="center"/>
        </w:trPr>
        <w:tc>
          <w:tcPr>
            <w:tcW w:w="8930" w:type="dxa"/>
          </w:tcPr>
          <w:p w14:paraId="6199B5C9" w14:textId="77777777" w:rsidR="00506A7C" w:rsidRDefault="00506A7C">
            <w:pPr>
              <w:spacing w:after="0"/>
              <w:jc w:val="center"/>
              <w:rPr>
                <w:sz w:val="10"/>
                <w:szCs w:val="10"/>
              </w:rPr>
            </w:pPr>
          </w:p>
          <w:p w14:paraId="02F55292" w14:textId="77777777" w:rsidR="00392FDA" w:rsidRDefault="00392FDA">
            <w:pPr>
              <w:spacing w:after="0"/>
              <w:jc w:val="center"/>
              <w:rPr>
                <w:sz w:val="10"/>
                <w:szCs w:val="10"/>
              </w:rPr>
            </w:pPr>
            <w:r w:rsidRPr="00EA4C9B">
              <w:rPr>
                <w:noProof/>
                <w:sz w:val="10"/>
                <w:szCs w:val="10"/>
              </w:rPr>
              <w:drawing>
                <wp:inline distT="0" distB="0" distL="0" distR="0" wp14:anchorId="6567FE78" wp14:editId="6B41E406">
                  <wp:extent cx="5495925" cy="1419225"/>
                  <wp:effectExtent l="0" t="0" r="9525" b="9525"/>
                  <wp:docPr id="1130658842" name="Picture 2" descr="A graph of gree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58842" name="Picture 2" descr="A graph of green and blue bar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6397" cy="1419347"/>
                          </a:xfrm>
                          <a:prstGeom prst="rect">
                            <a:avLst/>
                          </a:prstGeom>
                          <a:noFill/>
                        </pic:spPr>
                      </pic:pic>
                    </a:graphicData>
                  </a:graphic>
                </wp:inline>
              </w:drawing>
            </w:r>
          </w:p>
          <w:p w14:paraId="14293B45" w14:textId="2378852C" w:rsidR="00506A7C" w:rsidRPr="00EA4C9B" w:rsidRDefault="00506A7C">
            <w:pPr>
              <w:spacing w:after="0"/>
              <w:jc w:val="center"/>
              <w:rPr>
                <w:sz w:val="10"/>
                <w:szCs w:val="10"/>
              </w:rPr>
            </w:pPr>
          </w:p>
        </w:tc>
      </w:tr>
      <w:tr w:rsidR="00392FDA" w:rsidRPr="00EA4C9B" w14:paraId="7E224C0D" w14:textId="77777777" w:rsidTr="00506A7C">
        <w:trPr>
          <w:trHeight w:val="228"/>
          <w:jc w:val="center"/>
        </w:trPr>
        <w:tc>
          <w:tcPr>
            <w:tcW w:w="8930" w:type="dxa"/>
            <w:shd w:val="clear" w:color="auto" w:fill="003399"/>
          </w:tcPr>
          <w:p w14:paraId="27803FF4" w14:textId="69EFD6D3" w:rsidR="00392FDA" w:rsidRPr="00EA4C9B" w:rsidRDefault="00A16C13" w:rsidP="003B540D">
            <w:pPr>
              <w:pStyle w:val="FigTabCaption"/>
            </w:pPr>
            <w:r w:rsidRPr="00EA4C9B">
              <w:t xml:space="preserve">Figure </w:t>
            </w:r>
            <w:r w:rsidR="00490085">
              <w:t>A6</w:t>
            </w:r>
            <w:r w:rsidRPr="00EA4C9B">
              <w:t>-</w:t>
            </w:r>
            <w:r>
              <w:fldChar w:fldCharType="begin"/>
            </w:r>
            <w:r>
              <w:instrText>SEQ Figure_A5- \* ARABIC</w:instrText>
            </w:r>
            <w:r>
              <w:fldChar w:fldCharType="separate"/>
            </w:r>
            <w:r w:rsidR="0091411A">
              <w:rPr>
                <w:noProof/>
              </w:rPr>
              <w:t>6</w:t>
            </w:r>
            <w:r>
              <w:fldChar w:fldCharType="end"/>
            </w:r>
            <w:r w:rsidR="00392FDA" w:rsidRPr="00EA4C9B">
              <w:t>: Resource and pollution tax revenues in Belgium (2009-2023) in million euros</w:t>
            </w:r>
            <w:r w:rsidR="003B540D">
              <w:t xml:space="preserve">. </w:t>
            </w:r>
            <w:r w:rsidR="003B540D" w:rsidRPr="00EA4C9B">
              <w:rPr>
                <w:rFonts w:ascii="Calibri" w:eastAsia="Calibri" w:hAnsi="Calibri" w:cs="Calibri"/>
                <w:i/>
                <w:iCs/>
              </w:rPr>
              <w:t>Note: the share between pollution and resource taxes in 2023 was estimated as the weighted average of past years</w:t>
            </w:r>
            <w:r w:rsidR="003B540D" w:rsidRPr="00EA4C9B">
              <w:rPr>
                <w:rFonts w:ascii="Calibri" w:eastAsia="Calibri" w:hAnsi="Calibri" w:cs="Calibri"/>
              </w:rPr>
              <w:t> </w:t>
            </w:r>
          </w:p>
        </w:tc>
      </w:tr>
    </w:tbl>
    <w:p w14:paraId="0D16FCD3" w14:textId="77777777" w:rsidR="00A16C13" w:rsidRPr="00EA4C9B" w:rsidRDefault="00A16C13" w:rsidP="00E45A30"/>
    <w:p w14:paraId="4276277C" w14:textId="6F2CF707" w:rsidR="00961BA9" w:rsidRDefault="00D541AE" w:rsidP="00961BA9">
      <w:pPr>
        <w:pStyle w:val="Heading4"/>
      </w:pPr>
      <w:r>
        <w:br w:type="page"/>
      </w:r>
      <w:r w:rsidR="00961BA9" w:rsidRPr="00EA4C9B">
        <w:lastRenderedPageBreak/>
        <w:t xml:space="preserve">List of </w:t>
      </w:r>
      <w:r w:rsidR="00961BA9">
        <w:t>pollution and resource</w:t>
      </w:r>
      <w:r w:rsidR="00961BA9" w:rsidRPr="00EA4C9B">
        <w:t xml:space="preserve"> taxes and revenue shares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392FDA" w:rsidRPr="00EA4C9B" w14:paraId="7B1AC304" w14:textId="77777777" w:rsidTr="004F0767">
        <w:trPr>
          <w:trHeight w:val="147"/>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3882559A" w14:textId="7D83C482" w:rsidR="00392FDA" w:rsidRPr="00875379" w:rsidRDefault="00A16C13" w:rsidP="00875379">
            <w:pPr>
              <w:pStyle w:val="Table"/>
              <w:rPr>
                <w:rFonts w:ascii="Times New Roman" w:eastAsia="Times New Roman" w:hAnsi="Times New Roman" w:cs="Times New Roman"/>
                <w:b/>
                <w:sz w:val="24"/>
                <w:lang w:eastAsia="en-GB"/>
              </w:rPr>
            </w:pPr>
            <w:r w:rsidRPr="00875379">
              <w:rPr>
                <w:b/>
                <w:color w:val="FFFFFF" w:themeColor="background1"/>
              </w:rPr>
              <w:t xml:space="preserve">Table </w:t>
            </w:r>
            <w:r w:rsidR="00490085">
              <w:rPr>
                <w:b/>
                <w:bCs/>
                <w:color w:val="FFFFFF" w:themeColor="background1"/>
              </w:rPr>
              <w:t>A6</w:t>
            </w:r>
            <w:r w:rsidR="00875379" w:rsidRPr="00875379">
              <w:rPr>
                <w:b/>
                <w:bCs/>
                <w:color w:val="FFFFFF" w:themeColor="background1"/>
              </w:rPr>
              <w:t>-</w:t>
            </w:r>
            <w:r w:rsidR="00875379" w:rsidRPr="00875379">
              <w:rPr>
                <w:b/>
                <w:bCs/>
                <w:color w:val="FFFFFF" w:themeColor="background1"/>
              </w:rPr>
              <w:fldChar w:fldCharType="begin"/>
            </w:r>
            <w:r w:rsidR="00875379" w:rsidRPr="00875379">
              <w:rPr>
                <w:b/>
                <w:bCs/>
                <w:color w:val="FFFFFF" w:themeColor="background1"/>
              </w:rPr>
              <w:instrText xml:space="preserve"> SEQ Table_A5- \* ARABIC </w:instrText>
            </w:r>
            <w:r w:rsidR="00875379" w:rsidRPr="00875379">
              <w:rPr>
                <w:b/>
                <w:bCs/>
                <w:color w:val="FFFFFF" w:themeColor="background1"/>
              </w:rPr>
              <w:fldChar w:fldCharType="separate"/>
            </w:r>
            <w:r w:rsidR="00363AFF">
              <w:rPr>
                <w:b/>
                <w:bCs/>
                <w:noProof/>
                <w:color w:val="FFFFFF" w:themeColor="background1"/>
              </w:rPr>
              <w:t>6</w:t>
            </w:r>
            <w:r w:rsidR="00875379" w:rsidRPr="00875379">
              <w:rPr>
                <w:b/>
                <w:bCs/>
                <w:color w:val="FFFFFF" w:themeColor="background1"/>
              </w:rPr>
              <w:fldChar w:fldCharType="end"/>
            </w:r>
            <w:r w:rsidR="00875379" w:rsidRPr="00875379">
              <w:rPr>
                <w:rFonts w:ascii="Calibri" w:eastAsia="Times New Roman" w:hAnsi="Calibri" w:cs="Calibri"/>
                <w:b/>
                <w:bCs/>
                <w:color w:val="FFFFFF" w:themeColor="background1"/>
                <w:szCs w:val="20"/>
                <w:lang w:eastAsia="en-GB"/>
              </w:rPr>
              <w:t>:</w:t>
            </w:r>
            <w:r w:rsidR="00724A40">
              <w:rPr>
                <w:rFonts w:ascii="Calibri" w:eastAsia="Times New Roman" w:hAnsi="Calibri" w:cs="Calibri"/>
                <w:b/>
                <w:bCs/>
                <w:color w:val="FFFFFF" w:themeColor="background1"/>
                <w:szCs w:val="20"/>
                <w:lang w:eastAsia="en-GB"/>
              </w:rPr>
              <w:t xml:space="preserve"> </w:t>
            </w:r>
            <w:r w:rsidR="00392FDA" w:rsidRPr="00875379">
              <w:rPr>
                <w:rFonts w:ascii="Calibri" w:eastAsia="Times New Roman" w:hAnsi="Calibri" w:cs="Calibri"/>
                <w:b/>
                <w:color w:val="FFFFFF" w:themeColor="background1"/>
                <w:szCs w:val="20"/>
                <w:lang w:eastAsia="en-GB"/>
              </w:rPr>
              <w:t>Pollution taxes </w:t>
            </w:r>
          </w:p>
        </w:tc>
      </w:tr>
      <w:tr w:rsidR="00392FDA" w:rsidRPr="00EA4C9B" w14:paraId="1EC888FF" w14:textId="77777777" w:rsidTr="004F0767">
        <w:trPr>
          <w:trHeight w:val="76"/>
        </w:trPr>
        <w:tc>
          <w:tcPr>
            <w:tcW w:w="3497" w:type="dxa"/>
            <w:tcBorders>
              <w:top w:val="single" w:sz="6" w:space="0" w:color="auto"/>
              <w:left w:val="single" w:sz="6" w:space="0" w:color="auto"/>
              <w:bottom w:val="single" w:sz="6" w:space="0" w:color="auto"/>
              <w:right w:val="single" w:sz="6" w:space="0" w:color="auto"/>
            </w:tcBorders>
            <w:hideMark/>
          </w:tcPr>
          <w:p w14:paraId="4CB87AFF" w14:textId="77777777" w:rsidR="00392FDA" w:rsidRPr="00EA4C9B" w:rsidRDefault="00392FDA" w:rsidP="00875379">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8" w:type="dxa"/>
            <w:tcBorders>
              <w:top w:val="single" w:sz="6" w:space="0" w:color="auto"/>
              <w:left w:val="single" w:sz="6" w:space="0" w:color="auto"/>
              <w:bottom w:val="single" w:sz="6" w:space="0" w:color="auto"/>
              <w:right w:val="single" w:sz="6" w:space="0" w:color="auto"/>
            </w:tcBorders>
          </w:tcPr>
          <w:p w14:paraId="5C535CEE" w14:textId="77777777" w:rsidR="00392FDA" w:rsidRPr="00EA4C9B" w:rsidRDefault="00392FDA" w:rsidP="00363AFF">
            <w:pPr>
              <w:pStyle w:val="Table"/>
              <w:jc w:val="center"/>
              <w:rPr>
                <w:rFonts w:ascii="Calibri" w:eastAsia="Times New Roman" w:hAnsi="Calibri" w:cs="Calibri"/>
                <w:b/>
                <w:bCs/>
                <w:szCs w:val="20"/>
                <w:lang w:eastAsia="en-GB"/>
              </w:rPr>
            </w:pPr>
            <w:r w:rsidRPr="00EA4C9B">
              <w:rPr>
                <w:rFonts w:ascii="Calibri" w:eastAsia="Times New Roman" w:hAnsi="Calibri" w:cs="Calibri"/>
                <w:b/>
                <w:szCs w:val="20"/>
                <w:lang w:eastAsia="en-GB"/>
              </w:rPr>
              <w:t>Revenue (€ million)</w:t>
            </w:r>
          </w:p>
          <w:p w14:paraId="0520FD91" w14:textId="77777777" w:rsidR="00392FDA" w:rsidRPr="00EA4C9B" w:rsidRDefault="00392FDA" w:rsidP="00363AFF">
            <w:pPr>
              <w:pStyle w:val="Table"/>
              <w:jc w:val="center"/>
              <w:rPr>
                <w:rFonts w:ascii="Calibri" w:eastAsia="Times New Roman" w:hAnsi="Calibri" w:cs="Calibri"/>
                <w:b/>
                <w:szCs w:val="20"/>
                <w:lang w:eastAsia="en-GB"/>
              </w:rPr>
            </w:pPr>
            <w:r w:rsidRPr="00EA4C9B">
              <w:rPr>
                <w:rFonts w:ascii="Calibri" w:eastAsia="Times New Roman" w:hAnsi="Calibri" w:cs="Calibri"/>
                <w:b/>
                <w:szCs w:val="20"/>
                <w:lang w:eastAsia="en-GB"/>
              </w:rPr>
              <w:t>2009-2023</w:t>
            </w:r>
          </w:p>
        </w:tc>
        <w:tc>
          <w:tcPr>
            <w:tcW w:w="1894" w:type="dxa"/>
            <w:tcBorders>
              <w:top w:val="single" w:sz="6" w:space="0" w:color="auto"/>
              <w:left w:val="single" w:sz="6" w:space="0" w:color="auto"/>
              <w:bottom w:val="single" w:sz="6" w:space="0" w:color="auto"/>
              <w:right w:val="single" w:sz="6" w:space="0" w:color="auto"/>
            </w:tcBorders>
            <w:hideMark/>
          </w:tcPr>
          <w:p w14:paraId="5DAC54C1" w14:textId="77777777" w:rsidR="00392FDA" w:rsidRPr="00EA4C9B" w:rsidRDefault="00392FDA" w:rsidP="00363AFF">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373C48FB" w14:textId="77777777" w:rsidR="00392FDA" w:rsidRPr="00EA4C9B" w:rsidRDefault="00392FDA" w:rsidP="00363AFF">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pollution tax revenues</w:t>
            </w:r>
          </w:p>
        </w:tc>
      </w:tr>
      <w:tr w:rsidR="00392FDA" w:rsidRPr="00EA4C9B" w14:paraId="1C76FE7F"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3AE8C26C" w14:textId="77777777" w:rsidR="00392FDA" w:rsidRPr="00EA4C9B" w:rsidRDefault="00392FDA" w:rsidP="00875379">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Environmental charge</w:t>
            </w:r>
          </w:p>
        </w:tc>
        <w:tc>
          <w:tcPr>
            <w:tcW w:w="1718" w:type="dxa"/>
            <w:tcBorders>
              <w:top w:val="single" w:sz="6" w:space="0" w:color="auto"/>
              <w:left w:val="single" w:sz="6" w:space="0" w:color="auto"/>
              <w:bottom w:val="single" w:sz="6" w:space="0" w:color="auto"/>
              <w:right w:val="single" w:sz="6" w:space="0" w:color="auto"/>
            </w:tcBorders>
          </w:tcPr>
          <w:p w14:paraId="0E777B82" w14:textId="77777777" w:rsidR="00392FDA" w:rsidRPr="00EA4C9B" w:rsidRDefault="00392FDA" w:rsidP="00363AFF">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€11.9 - €0</w:t>
            </w:r>
          </w:p>
        </w:tc>
        <w:tc>
          <w:tcPr>
            <w:tcW w:w="1894" w:type="dxa"/>
            <w:tcBorders>
              <w:top w:val="single" w:sz="6" w:space="0" w:color="auto"/>
              <w:left w:val="single" w:sz="6" w:space="0" w:color="auto"/>
              <w:bottom w:val="single" w:sz="6" w:space="0" w:color="auto"/>
              <w:right w:val="single" w:sz="6" w:space="0" w:color="auto"/>
            </w:tcBorders>
          </w:tcPr>
          <w:p w14:paraId="18C9EEA4" w14:textId="77777777" w:rsidR="00392FDA" w:rsidRPr="00EA4C9B" w:rsidRDefault="00392FDA" w:rsidP="00363AFF">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€5.2</w:t>
            </w:r>
          </w:p>
        </w:tc>
        <w:tc>
          <w:tcPr>
            <w:tcW w:w="1901" w:type="dxa"/>
            <w:tcBorders>
              <w:top w:val="single" w:sz="6" w:space="0" w:color="auto"/>
              <w:left w:val="single" w:sz="6" w:space="0" w:color="auto"/>
              <w:bottom w:val="single" w:sz="6" w:space="0" w:color="auto"/>
              <w:right w:val="single" w:sz="6" w:space="0" w:color="auto"/>
            </w:tcBorders>
          </w:tcPr>
          <w:p w14:paraId="15D4B6D6" w14:textId="77777777" w:rsidR="00392FDA" w:rsidRPr="00EA4C9B" w:rsidRDefault="00392FDA" w:rsidP="00363AFF">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0%</w:t>
            </w:r>
          </w:p>
        </w:tc>
      </w:tr>
      <w:tr w:rsidR="00392FDA" w:rsidRPr="00EA4C9B" w14:paraId="1157330B"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39A5F0F0" w14:textId="77777777" w:rsidR="00392FDA" w:rsidRPr="00EA4C9B" w:rsidRDefault="00392FDA" w:rsidP="00875379">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Ecotax</w:t>
            </w:r>
          </w:p>
        </w:tc>
        <w:tc>
          <w:tcPr>
            <w:tcW w:w="1718" w:type="dxa"/>
            <w:tcBorders>
              <w:top w:val="single" w:sz="6" w:space="0" w:color="auto"/>
              <w:left w:val="single" w:sz="6" w:space="0" w:color="auto"/>
              <w:bottom w:val="single" w:sz="6" w:space="0" w:color="auto"/>
              <w:right w:val="single" w:sz="6" w:space="0" w:color="auto"/>
            </w:tcBorders>
          </w:tcPr>
          <w:p w14:paraId="2E18F903" w14:textId="77777777" w:rsidR="00392FDA" w:rsidRPr="00EA4C9B" w:rsidRDefault="00392FDA" w:rsidP="00363AFF">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€0.3 - €0</w:t>
            </w:r>
          </w:p>
        </w:tc>
        <w:tc>
          <w:tcPr>
            <w:tcW w:w="1894" w:type="dxa"/>
            <w:tcBorders>
              <w:top w:val="single" w:sz="6" w:space="0" w:color="auto"/>
              <w:left w:val="single" w:sz="6" w:space="0" w:color="auto"/>
              <w:bottom w:val="single" w:sz="6" w:space="0" w:color="auto"/>
              <w:right w:val="single" w:sz="6" w:space="0" w:color="auto"/>
            </w:tcBorders>
          </w:tcPr>
          <w:p w14:paraId="0F15A90E" w14:textId="77777777" w:rsidR="00392FDA" w:rsidRPr="00EA4C9B" w:rsidRDefault="00392FDA" w:rsidP="00363AFF">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€0.4</w:t>
            </w:r>
          </w:p>
        </w:tc>
        <w:tc>
          <w:tcPr>
            <w:tcW w:w="1901" w:type="dxa"/>
            <w:tcBorders>
              <w:top w:val="single" w:sz="6" w:space="0" w:color="auto"/>
              <w:left w:val="single" w:sz="6" w:space="0" w:color="auto"/>
              <w:bottom w:val="single" w:sz="6" w:space="0" w:color="auto"/>
              <w:right w:val="single" w:sz="6" w:space="0" w:color="auto"/>
            </w:tcBorders>
          </w:tcPr>
          <w:p w14:paraId="4D034412" w14:textId="77777777" w:rsidR="00392FDA" w:rsidRPr="00EA4C9B" w:rsidRDefault="00392FDA" w:rsidP="00363AFF">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0%</w:t>
            </w:r>
          </w:p>
        </w:tc>
      </w:tr>
      <w:tr w:rsidR="00392FDA" w:rsidRPr="00EA4C9B" w14:paraId="0A3D4576"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594DF1EE" w14:textId="77777777" w:rsidR="00392FDA" w:rsidRPr="00EA4C9B" w:rsidRDefault="00392FDA" w:rsidP="00875379">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Tax on manure</w:t>
            </w:r>
          </w:p>
        </w:tc>
        <w:tc>
          <w:tcPr>
            <w:tcW w:w="1718" w:type="dxa"/>
            <w:tcBorders>
              <w:top w:val="single" w:sz="6" w:space="0" w:color="auto"/>
              <w:left w:val="single" w:sz="6" w:space="0" w:color="auto"/>
              <w:bottom w:val="single" w:sz="6" w:space="0" w:color="auto"/>
              <w:right w:val="single" w:sz="6" w:space="0" w:color="auto"/>
            </w:tcBorders>
          </w:tcPr>
          <w:p w14:paraId="1E471580" w14:textId="77777777" w:rsidR="00392FDA" w:rsidRPr="00EA4C9B" w:rsidRDefault="00392FDA" w:rsidP="00363AFF">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€4.3 - €4.6</w:t>
            </w:r>
          </w:p>
        </w:tc>
        <w:tc>
          <w:tcPr>
            <w:tcW w:w="1894" w:type="dxa"/>
            <w:tcBorders>
              <w:top w:val="single" w:sz="6" w:space="0" w:color="auto"/>
              <w:left w:val="single" w:sz="6" w:space="0" w:color="auto"/>
              <w:bottom w:val="single" w:sz="6" w:space="0" w:color="auto"/>
              <w:right w:val="single" w:sz="6" w:space="0" w:color="auto"/>
            </w:tcBorders>
          </w:tcPr>
          <w:p w14:paraId="28108167" w14:textId="77777777" w:rsidR="00392FDA" w:rsidRPr="00EA4C9B" w:rsidRDefault="00392FDA" w:rsidP="00363AFF">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€3.8</w:t>
            </w:r>
          </w:p>
        </w:tc>
        <w:tc>
          <w:tcPr>
            <w:tcW w:w="1901" w:type="dxa"/>
            <w:tcBorders>
              <w:top w:val="single" w:sz="6" w:space="0" w:color="auto"/>
              <w:left w:val="single" w:sz="6" w:space="0" w:color="auto"/>
              <w:bottom w:val="single" w:sz="6" w:space="0" w:color="auto"/>
              <w:right w:val="single" w:sz="6" w:space="0" w:color="auto"/>
            </w:tcBorders>
          </w:tcPr>
          <w:p w14:paraId="1C412536" w14:textId="77777777" w:rsidR="00392FDA" w:rsidRPr="00EA4C9B" w:rsidRDefault="00392FDA" w:rsidP="00363AFF">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100%</w:t>
            </w:r>
          </w:p>
        </w:tc>
      </w:tr>
    </w:tbl>
    <w:p w14:paraId="5ECEA42A" w14:textId="00B7F5EC" w:rsidR="00724A40" w:rsidRDefault="00724A40" w:rsidP="00363AFF">
      <w:pPr>
        <w:pStyle w:val="Caption"/>
        <w:jc w:val="both"/>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392FDA" w:rsidRPr="00EA4C9B" w14:paraId="245D516B" w14:textId="77777777" w:rsidTr="004F0767">
        <w:trPr>
          <w:trHeight w:val="49"/>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3B90280D" w14:textId="59BF1069" w:rsidR="00392FDA" w:rsidRPr="00217EDC" w:rsidRDefault="004F47DB" w:rsidP="00EB5742">
            <w:pPr>
              <w:pStyle w:val="Table"/>
              <w:rPr>
                <w:b/>
              </w:rPr>
            </w:pPr>
            <w:r w:rsidRPr="00EB5742">
              <w:rPr>
                <w:b/>
                <w:color w:val="FFFFFF" w:themeColor="background1"/>
              </w:rPr>
              <w:t xml:space="preserve">Table </w:t>
            </w:r>
            <w:r w:rsidR="00490085">
              <w:rPr>
                <w:b/>
                <w:color w:val="FFFFFF" w:themeColor="background1"/>
              </w:rPr>
              <w:t>A6</w:t>
            </w:r>
            <w:r w:rsidR="00724A40" w:rsidRPr="00EB5742">
              <w:rPr>
                <w:b/>
                <w:color w:val="FFFFFF" w:themeColor="background1"/>
              </w:rPr>
              <w:t>-</w:t>
            </w:r>
            <w:r w:rsidR="00724A40" w:rsidRPr="00EB5742">
              <w:rPr>
                <w:b/>
                <w:color w:val="FFFFFF" w:themeColor="background1"/>
              </w:rPr>
              <w:fldChar w:fldCharType="begin"/>
            </w:r>
            <w:r w:rsidR="00724A40" w:rsidRPr="00EB5742">
              <w:rPr>
                <w:b/>
                <w:color w:val="FFFFFF" w:themeColor="background1"/>
              </w:rPr>
              <w:instrText xml:space="preserve"> SEQ Table_A5- \* ARABIC </w:instrText>
            </w:r>
            <w:r w:rsidR="00724A40" w:rsidRPr="00EB5742">
              <w:rPr>
                <w:b/>
                <w:color w:val="FFFFFF" w:themeColor="background1"/>
              </w:rPr>
              <w:fldChar w:fldCharType="separate"/>
            </w:r>
            <w:r w:rsidR="00363AFF">
              <w:rPr>
                <w:b/>
                <w:noProof/>
                <w:color w:val="FFFFFF" w:themeColor="background1"/>
              </w:rPr>
              <w:t>7</w:t>
            </w:r>
            <w:r w:rsidR="00724A40" w:rsidRPr="00EB5742">
              <w:rPr>
                <w:b/>
                <w:color w:val="FFFFFF" w:themeColor="background1"/>
              </w:rPr>
              <w:fldChar w:fldCharType="end"/>
            </w:r>
            <w:r w:rsidR="00392FDA" w:rsidRPr="00217EDC">
              <w:rPr>
                <w:b/>
                <w:color w:val="FFFFFF" w:themeColor="background1"/>
              </w:rPr>
              <w:t>:  Waste taxes </w:t>
            </w:r>
          </w:p>
        </w:tc>
      </w:tr>
      <w:tr w:rsidR="00392FDA" w:rsidRPr="00EA4C9B" w14:paraId="0B0DC3D3" w14:textId="77777777" w:rsidTr="004F0767">
        <w:trPr>
          <w:trHeight w:val="76"/>
        </w:trPr>
        <w:tc>
          <w:tcPr>
            <w:tcW w:w="3497" w:type="dxa"/>
            <w:tcBorders>
              <w:top w:val="single" w:sz="6" w:space="0" w:color="auto"/>
              <w:left w:val="single" w:sz="6" w:space="0" w:color="auto"/>
              <w:bottom w:val="single" w:sz="6" w:space="0" w:color="auto"/>
              <w:right w:val="single" w:sz="6" w:space="0" w:color="auto"/>
            </w:tcBorders>
            <w:hideMark/>
          </w:tcPr>
          <w:p w14:paraId="2B092F6B" w14:textId="77777777" w:rsidR="00392FDA" w:rsidRPr="00217EDC" w:rsidRDefault="00392FDA" w:rsidP="00EB5742">
            <w:pPr>
              <w:pStyle w:val="Table"/>
            </w:pPr>
            <w:r w:rsidRPr="00217EDC">
              <w:t>Tax Name </w:t>
            </w:r>
          </w:p>
        </w:tc>
        <w:tc>
          <w:tcPr>
            <w:tcW w:w="1718" w:type="dxa"/>
            <w:tcBorders>
              <w:top w:val="single" w:sz="6" w:space="0" w:color="auto"/>
              <w:left w:val="single" w:sz="6" w:space="0" w:color="auto"/>
              <w:bottom w:val="single" w:sz="6" w:space="0" w:color="auto"/>
              <w:right w:val="single" w:sz="6" w:space="0" w:color="auto"/>
            </w:tcBorders>
          </w:tcPr>
          <w:p w14:paraId="1A6CE288" w14:textId="77777777" w:rsidR="00392FDA" w:rsidRPr="00363AFF" w:rsidRDefault="00392FDA" w:rsidP="00363AFF">
            <w:pPr>
              <w:pStyle w:val="Table"/>
              <w:jc w:val="center"/>
              <w:rPr>
                <w:b/>
                <w:bCs/>
              </w:rPr>
            </w:pPr>
            <w:r w:rsidRPr="00363AFF">
              <w:rPr>
                <w:b/>
                <w:bCs/>
              </w:rPr>
              <w:t>Revenue (€ million)</w:t>
            </w:r>
          </w:p>
          <w:p w14:paraId="5E3B39E5" w14:textId="77777777" w:rsidR="00392FDA" w:rsidRPr="00363AFF" w:rsidRDefault="00392FDA" w:rsidP="00363AFF">
            <w:pPr>
              <w:pStyle w:val="Table"/>
              <w:jc w:val="center"/>
              <w:rPr>
                <w:b/>
                <w:bCs/>
              </w:rPr>
            </w:pPr>
            <w:r w:rsidRPr="00363AFF">
              <w:rPr>
                <w:b/>
                <w:bCs/>
              </w:rPr>
              <w:t>2009-2023</w:t>
            </w:r>
          </w:p>
        </w:tc>
        <w:tc>
          <w:tcPr>
            <w:tcW w:w="1894" w:type="dxa"/>
            <w:tcBorders>
              <w:top w:val="single" w:sz="6" w:space="0" w:color="auto"/>
              <w:left w:val="single" w:sz="6" w:space="0" w:color="auto"/>
              <w:bottom w:val="single" w:sz="6" w:space="0" w:color="auto"/>
              <w:right w:val="single" w:sz="6" w:space="0" w:color="auto"/>
            </w:tcBorders>
            <w:hideMark/>
          </w:tcPr>
          <w:p w14:paraId="2128F2C4" w14:textId="77777777" w:rsidR="00392FDA" w:rsidRPr="00363AFF" w:rsidRDefault="00392FDA" w:rsidP="00363AFF">
            <w:pPr>
              <w:pStyle w:val="Table"/>
              <w:jc w:val="center"/>
              <w:rPr>
                <w:b/>
                <w:bCs/>
              </w:rPr>
            </w:pPr>
            <w:r w:rsidRPr="00363AFF">
              <w:rPr>
                <w:b/>
                <w:bCs/>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3AF6043F" w14:textId="77777777" w:rsidR="00392FDA" w:rsidRPr="00363AFF" w:rsidRDefault="00392FDA" w:rsidP="00363AFF">
            <w:pPr>
              <w:pStyle w:val="Table"/>
              <w:jc w:val="center"/>
              <w:rPr>
                <w:b/>
                <w:bCs/>
              </w:rPr>
            </w:pPr>
            <w:r w:rsidRPr="00363AFF">
              <w:rPr>
                <w:b/>
                <w:bCs/>
              </w:rPr>
              <w:t>As share of all waste tax revenues</w:t>
            </w:r>
          </w:p>
        </w:tc>
      </w:tr>
      <w:tr w:rsidR="00392FDA" w:rsidRPr="00EA4C9B" w14:paraId="53B92253"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hideMark/>
          </w:tcPr>
          <w:p w14:paraId="25E22BE2" w14:textId="77777777" w:rsidR="00392FDA" w:rsidRPr="00217EDC" w:rsidRDefault="00392FDA" w:rsidP="00EB5742">
            <w:pPr>
              <w:pStyle w:val="Table"/>
            </w:pPr>
            <w:r w:rsidRPr="00217EDC">
              <w:t>Tax on waste products</w:t>
            </w:r>
          </w:p>
        </w:tc>
        <w:tc>
          <w:tcPr>
            <w:tcW w:w="1718" w:type="dxa"/>
            <w:tcBorders>
              <w:top w:val="single" w:sz="6" w:space="0" w:color="auto"/>
              <w:left w:val="single" w:sz="6" w:space="0" w:color="auto"/>
              <w:bottom w:val="single" w:sz="6" w:space="0" w:color="auto"/>
              <w:right w:val="single" w:sz="6" w:space="0" w:color="auto"/>
            </w:tcBorders>
          </w:tcPr>
          <w:p w14:paraId="70BA5584" w14:textId="77777777" w:rsidR="00392FDA" w:rsidRPr="00217EDC" w:rsidRDefault="00392FDA" w:rsidP="00363AFF">
            <w:pPr>
              <w:pStyle w:val="Table"/>
              <w:jc w:val="center"/>
            </w:pPr>
            <w:r w:rsidRPr="00217EDC">
              <w:t>€54.8 - €98.4</w:t>
            </w:r>
          </w:p>
        </w:tc>
        <w:tc>
          <w:tcPr>
            <w:tcW w:w="1894" w:type="dxa"/>
            <w:tcBorders>
              <w:top w:val="single" w:sz="6" w:space="0" w:color="auto"/>
              <w:left w:val="single" w:sz="6" w:space="0" w:color="auto"/>
              <w:bottom w:val="single" w:sz="6" w:space="0" w:color="auto"/>
              <w:right w:val="single" w:sz="6" w:space="0" w:color="auto"/>
            </w:tcBorders>
            <w:hideMark/>
          </w:tcPr>
          <w:p w14:paraId="376F8FAE" w14:textId="77777777" w:rsidR="00392FDA" w:rsidRPr="00217EDC" w:rsidRDefault="00392FDA" w:rsidP="00363AFF">
            <w:pPr>
              <w:pStyle w:val="Table"/>
              <w:jc w:val="center"/>
            </w:pPr>
            <w:r w:rsidRPr="00217EDC">
              <w:t>€68.4</w:t>
            </w:r>
          </w:p>
        </w:tc>
        <w:tc>
          <w:tcPr>
            <w:tcW w:w="1901" w:type="dxa"/>
            <w:tcBorders>
              <w:top w:val="single" w:sz="6" w:space="0" w:color="auto"/>
              <w:left w:val="single" w:sz="6" w:space="0" w:color="auto"/>
              <w:bottom w:val="single" w:sz="6" w:space="0" w:color="auto"/>
              <w:right w:val="single" w:sz="6" w:space="0" w:color="auto"/>
            </w:tcBorders>
            <w:hideMark/>
          </w:tcPr>
          <w:p w14:paraId="4DE7E140" w14:textId="77777777" w:rsidR="00392FDA" w:rsidRPr="00217EDC" w:rsidRDefault="00392FDA" w:rsidP="00363AFF">
            <w:pPr>
              <w:pStyle w:val="Table"/>
              <w:jc w:val="center"/>
            </w:pPr>
            <w:r w:rsidRPr="00217EDC">
              <w:t>24%</w:t>
            </w:r>
          </w:p>
        </w:tc>
      </w:tr>
      <w:tr w:rsidR="00392FDA" w:rsidRPr="00EA4C9B" w14:paraId="23B4834A"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0066AE56" w14:textId="77777777" w:rsidR="00392FDA" w:rsidRPr="00217EDC" w:rsidRDefault="00392FDA" w:rsidP="00EB5742">
            <w:pPr>
              <w:pStyle w:val="Table"/>
            </w:pPr>
            <w:r w:rsidRPr="00217EDC">
              <w:t>Packaging contribution</w:t>
            </w:r>
          </w:p>
        </w:tc>
        <w:tc>
          <w:tcPr>
            <w:tcW w:w="1718" w:type="dxa"/>
            <w:tcBorders>
              <w:top w:val="single" w:sz="6" w:space="0" w:color="auto"/>
              <w:left w:val="single" w:sz="6" w:space="0" w:color="auto"/>
              <w:bottom w:val="single" w:sz="6" w:space="0" w:color="auto"/>
              <w:right w:val="single" w:sz="6" w:space="0" w:color="auto"/>
            </w:tcBorders>
          </w:tcPr>
          <w:p w14:paraId="7E3AC718" w14:textId="77777777" w:rsidR="00392FDA" w:rsidRPr="00217EDC" w:rsidRDefault="00392FDA" w:rsidP="00363AFF">
            <w:pPr>
              <w:pStyle w:val="Table"/>
              <w:jc w:val="center"/>
            </w:pPr>
            <w:r w:rsidRPr="00217EDC">
              <w:t>€303.9 - €316.1</w:t>
            </w:r>
          </w:p>
        </w:tc>
        <w:tc>
          <w:tcPr>
            <w:tcW w:w="1894" w:type="dxa"/>
            <w:tcBorders>
              <w:top w:val="single" w:sz="6" w:space="0" w:color="auto"/>
              <w:left w:val="single" w:sz="6" w:space="0" w:color="auto"/>
              <w:bottom w:val="single" w:sz="6" w:space="0" w:color="auto"/>
              <w:right w:val="single" w:sz="6" w:space="0" w:color="auto"/>
            </w:tcBorders>
          </w:tcPr>
          <w:p w14:paraId="2FF4EA38" w14:textId="77777777" w:rsidR="00392FDA" w:rsidRPr="00217EDC" w:rsidRDefault="00392FDA" w:rsidP="00363AFF">
            <w:pPr>
              <w:pStyle w:val="Table"/>
              <w:jc w:val="center"/>
            </w:pPr>
            <w:r w:rsidRPr="00217EDC">
              <w:t>€327.1</w:t>
            </w:r>
          </w:p>
        </w:tc>
        <w:tc>
          <w:tcPr>
            <w:tcW w:w="1901" w:type="dxa"/>
            <w:tcBorders>
              <w:top w:val="single" w:sz="6" w:space="0" w:color="auto"/>
              <w:left w:val="single" w:sz="6" w:space="0" w:color="auto"/>
              <w:bottom w:val="single" w:sz="6" w:space="0" w:color="auto"/>
              <w:right w:val="single" w:sz="6" w:space="0" w:color="auto"/>
            </w:tcBorders>
          </w:tcPr>
          <w:p w14:paraId="61CA29DA" w14:textId="77777777" w:rsidR="00392FDA" w:rsidRPr="00217EDC" w:rsidRDefault="00392FDA" w:rsidP="00363AFF">
            <w:pPr>
              <w:pStyle w:val="Table"/>
              <w:jc w:val="center"/>
            </w:pPr>
            <w:r w:rsidRPr="00217EDC">
              <w:t>76%</w:t>
            </w:r>
          </w:p>
        </w:tc>
      </w:tr>
      <w:tr w:rsidR="00392FDA" w:rsidRPr="00EA4C9B" w14:paraId="12FCCECF"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5F1D615B" w14:textId="77777777" w:rsidR="00392FDA" w:rsidRPr="00217EDC" w:rsidRDefault="00392FDA" w:rsidP="00EB5742">
            <w:pPr>
              <w:pStyle w:val="Table"/>
            </w:pPr>
            <w:r w:rsidRPr="00217EDC">
              <w:t>Tax on household waste</w:t>
            </w:r>
          </w:p>
        </w:tc>
        <w:tc>
          <w:tcPr>
            <w:tcW w:w="1718" w:type="dxa"/>
            <w:tcBorders>
              <w:top w:val="single" w:sz="6" w:space="0" w:color="auto"/>
              <w:left w:val="single" w:sz="6" w:space="0" w:color="auto"/>
              <w:bottom w:val="single" w:sz="6" w:space="0" w:color="auto"/>
              <w:right w:val="single" w:sz="6" w:space="0" w:color="auto"/>
            </w:tcBorders>
          </w:tcPr>
          <w:p w14:paraId="052CD819" w14:textId="77777777" w:rsidR="00392FDA" w:rsidRPr="00217EDC" w:rsidRDefault="00392FDA" w:rsidP="00363AFF">
            <w:pPr>
              <w:pStyle w:val="Table"/>
              <w:jc w:val="center"/>
            </w:pPr>
            <w:r w:rsidRPr="00217EDC">
              <w:t>€0 - €0</w:t>
            </w:r>
          </w:p>
        </w:tc>
        <w:tc>
          <w:tcPr>
            <w:tcW w:w="1894" w:type="dxa"/>
            <w:tcBorders>
              <w:top w:val="single" w:sz="6" w:space="0" w:color="auto"/>
              <w:left w:val="single" w:sz="6" w:space="0" w:color="auto"/>
              <w:bottom w:val="single" w:sz="6" w:space="0" w:color="auto"/>
              <w:right w:val="single" w:sz="6" w:space="0" w:color="auto"/>
            </w:tcBorders>
          </w:tcPr>
          <w:p w14:paraId="246AEA1C" w14:textId="77777777" w:rsidR="00392FDA" w:rsidRPr="00217EDC" w:rsidRDefault="00392FDA" w:rsidP="00363AFF">
            <w:pPr>
              <w:pStyle w:val="Table"/>
              <w:jc w:val="center"/>
            </w:pPr>
            <w:r w:rsidRPr="00217EDC">
              <w:t>€0</w:t>
            </w:r>
          </w:p>
        </w:tc>
        <w:tc>
          <w:tcPr>
            <w:tcW w:w="1901" w:type="dxa"/>
            <w:tcBorders>
              <w:top w:val="single" w:sz="6" w:space="0" w:color="auto"/>
              <w:left w:val="single" w:sz="6" w:space="0" w:color="auto"/>
              <w:bottom w:val="single" w:sz="6" w:space="0" w:color="auto"/>
              <w:right w:val="single" w:sz="6" w:space="0" w:color="auto"/>
            </w:tcBorders>
          </w:tcPr>
          <w:p w14:paraId="34A40266" w14:textId="77777777" w:rsidR="00392FDA" w:rsidRPr="00217EDC" w:rsidRDefault="00392FDA" w:rsidP="00363AFF">
            <w:pPr>
              <w:pStyle w:val="Table"/>
              <w:jc w:val="center"/>
            </w:pPr>
            <w:r w:rsidRPr="00217EDC">
              <w:t>0%</w:t>
            </w:r>
          </w:p>
        </w:tc>
      </w:tr>
    </w:tbl>
    <w:p w14:paraId="0796A72E" w14:textId="77777777" w:rsidR="00392FDA" w:rsidRPr="00EA4C9B" w:rsidRDefault="00392FDA" w:rsidP="00363AFF">
      <w:pPr>
        <w:rPr>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00"/>
        <w:gridCol w:w="1717"/>
        <w:gridCol w:w="1893"/>
        <w:gridCol w:w="1900"/>
      </w:tblGrid>
      <w:tr w:rsidR="00392FDA" w:rsidRPr="00EA4C9B" w14:paraId="22648DF4" w14:textId="77777777" w:rsidTr="004F0767">
        <w:trPr>
          <w:trHeight w:val="133"/>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39984A3B" w14:textId="2C2C7C30" w:rsidR="00392FDA" w:rsidRPr="00217EDC" w:rsidRDefault="004F47DB" w:rsidP="00217EDC">
            <w:pPr>
              <w:pStyle w:val="Table"/>
              <w:rPr>
                <w:rFonts w:ascii="Times New Roman" w:eastAsia="Times New Roman" w:hAnsi="Times New Roman" w:cs="Times New Roman"/>
                <w:b/>
                <w:color w:val="FFFFFF" w:themeColor="background1"/>
                <w:sz w:val="24"/>
                <w:lang w:eastAsia="en-GB"/>
              </w:rPr>
            </w:pPr>
            <w:r w:rsidRPr="00217EDC">
              <w:rPr>
                <w:b/>
                <w:color w:val="FFFFFF" w:themeColor="background1"/>
              </w:rPr>
              <w:t xml:space="preserve">Table </w:t>
            </w:r>
            <w:r w:rsidR="00490085">
              <w:rPr>
                <w:b/>
                <w:color w:val="FFFFFF" w:themeColor="background1"/>
              </w:rPr>
              <w:t>A6</w:t>
            </w:r>
            <w:r w:rsidR="00EB5742" w:rsidRPr="00217EDC">
              <w:rPr>
                <w:b/>
                <w:color w:val="FFFFFF" w:themeColor="background1"/>
              </w:rPr>
              <w:t>-</w:t>
            </w:r>
            <w:r w:rsidR="00EB5742" w:rsidRPr="00217EDC">
              <w:rPr>
                <w:b/>
                <w:color w:val="FFFFFF" w:themeColor="background1"/>
              </w:rPr>
              <w:fldChar w:fldCharType="begin"/>
            </w:r>
            <w:r w:rsidR="00EB5742" w:rsidRPr="00217EDC">
              <w:rPr>
                <w:b/>
                <w:color w:val="FFFFFF" w:themeColor="background1"/>
              </w:rPr>
              <w:instrText xml:space="preserve"> SEQ Table_A5- \* ARABIC </w:instrText>
            </w:r>
            <w:r w:rsidR="00EB5742" w:rsidRPr="00217EDC">
              <w:rPr>
                <w:b/>
                <w:color w:val="FFFFFF" w:themeColor="background1"/>
              </w:rPr>
              <w:fldChar w:fldCharType="separate"/>
            </w:r>
            <w:r w:rsidR="00363AFF">
              <w:rPr>
                <w:b/>
                <w:noProof/>
                <w:color w:val="FFFFFF" w:themeColor="background1"/>
              </w:rPr>
              <w:t>8</w:t>
            </w:r>
            <w:r w:rsidR="00EB5742" w:rsidRPr="00217EDC">
              <w:rPr>
                <w:b/>
                <w:color w:val="FFFFFF" w:themeColor="background1"/>
              </w:rPr>
              <w:fldChar w:fldCharType="end"/>
            </w:r>
            <w:r w:rsidR="00EB5742" w:rsidRPr="00217EDC">
              <w:rPr>
                <w:rFonts w:ascii="Calibri" w:eastAsia="Times New Roman" w:hAnsi="Calibri" w:cs="Calibri"/>
                <w:b/>
                <w:color w:val="FFFFFF" w:themeColor="background1"/>
                <w:szCs w:val="20"/>
                <w:lang w:eastAsia="en-GB"/>
              </w:rPr>
              <w:t>:</w:t>
            </w:r>
            <w:r w:rsidR="00217EDC" w:rsidRPr="00217EDC">
              <w:rPr>
                <w:rFonts w:ascii="Calibri" w:eastAsia="Times New Roman" w:hAnsi="Calibri" w:cs="Calibri"/>
                <w:b/>
                <w:bCs/>
                <w:color w:val="FFFFFF" w:themeColor="background1"/>
                <w:szCs w:val="20"/>
                <w:lang w:eastAsia="en-GB"/>
              </w:rPr>
              <w:t xml:space="preserve"> </w:t>
            </w:r>
            <w:r w:rsidR="00392FDA" w:rsidRPr="00217EDC">
              <w:rPr>
                <w:rFonts w:ascii="Calibri" w:eastAsia="Times New Roman" w:hAnsi="Calibri" w:cs="Calibri"/>
                <w:b/>
                <w:color w:val="FFFFFF" w:themeColor="background1"/>
                <w:szCs w:val="20"/>
                <w:lang w:eastAsia="en-GB"/>
              </w:rPr>
              <w:t>Resource taxes </w:t>
            </w:r>
          </w:p>
        </w:tc>
      </w:tr>
      <w:tr w:rsidR="00392FDA" w:rsidRPr="00EA4C9B" w14:paraId="67EAFF30" w14:textId="77777777" w:rsidTr="004F0767">
        <w:trPr>
          <w:trHeight w:val="49"/>
        </w:trPr>
        <w:tc>
          <w:tcPr>
            <w:tcW w:w="3500" w:type="dxa"/>
            <w:tcBorders>
              <w:top w:val="single" w:sz="6" w:space="0" w:color="auto"/>
              <w:left w:val="single" w:sz="6" w:space="0" w:color="auto"/>
              <w:bottom w:val="single" w:sz="6" w:space="0" w:color="auto"/>
              <w:right w:val="single" w:sz="6" w:space="0" w:color="auto"/>
            </w:tcBorders>
            <w:hideMark/>
          </w:tcPr>
          <w:p w14:paraId="06A69F4A" w14:textId="77777777" w:rsidR="00392FDA" w:rsidRPr="00EA4C9B" w:rsidRDefault="00392FDA" w:rsidP="00217EDC">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7" w:type="dxa"/>
            <w:tcBorders>
              <w:top w:val="single" w:sz="6" w:space="0" w:color="auto"/>
              <w:left w:val="single" w:sz="6" w:space="0" w:color="auto"/>
              <w:bottom w:val="single" w:sz="6" w:space="0" w:color="auto"/>
              <w:right w:val="single" w:sz="6" w:space="0" w:color="auto"/>
            </w:tcBorders>
          </w:tcPr>
          <w:p w14:paraId="41397E99" w14:textId="77777777" w:rsidR="00392FDA" w:rsidRPr="00EA4C9B" w:rsidRDefault="00392FDA" w:rsidP="00363AFF">
            <w:pPr>
              <w:pStyle w:val="Table"/>
              <w:jc w:val="center"/>
              <w:rPr>
                <w:rFonts w:ascii="Calibri" w:eastAsia="Times New Roman" w:hAnsi="Calibri" w:cs="Calibri"/>
                <w:b/>
                <w:bCs/>
                <w:szCs w:val="20"/>
                <w:lang w:eastAsia="en-GB"/>
              </w:rPr>
            </w:pPr>
            <w:r w:rsidRPr="00EA4C9B">
              <w:rPr>
                <w:rFonts w:ascii="Calibri" w:eastAsia="Times New Roman" w:hAnsi="Calibri" w:cs="Calibri"/>
                <w:b/>
                <w:szCs w:val="20"/>
                <w:lang w:eastAsia="en-GB"/>
              </w:rPr>
              <w:t>Revenue (€ million)</w:t>
            </w:r>
          </w:p>
          <w:p w14:paraId="55BA8D92" w14:textId="77777777" w:rsidR="00392FDA" w:rsidRPr="00EA4C9B" w:rsidRDefault="00392FDA" w:rsidP="00363AFF">
            <w:pPr>
              <w:pStyle w:val="Table"/>
              <w:jc w:val="center"/>
              <w:rPr>
                <w:rFonts w:ascii="Calibri" w:eastAsia="Times New Roman" w:hAnsi="Calibri" w:cs="Calibri"/>
                <w:b/>
                <w:szCs w:val="20"/>
                <w:lang w:eastAsia="en-GB"/>
              </w:rPr>
            </w:pPr>
            <w:r w:rsidRPr="00EA4C9B">
              <w:rPr>
                <w:rFonts w:ascii="Calibri" w:eastAsia="Times New Roman" w:hAnsi="Calibri" w:cs="Calibri"/>
                <w:b/>
                <w:szCs w:val="20"/>
                <w:lang w:eastAsia="en-GB"/>
              </w:rPr>
              <w:t>2009-2023</w:t>
            </w:r>
          </w:p>
        </w:tc>
        <w:tc>
          <w:tcPr>
            <w:tcW w:w="1893" w:type="dxa"/>
            <w:tcBorders>
              <w:top w:val="single" w:sz="6" w:space="0" w:color="auto"/>
              <w:left w:val="single" w:sz="6" w:space="0" w:color="auto"/>
              <w:bottom w:val="single" w:sz="6" w:space="0" w:color="auto"/>
              <w:right w:val="single" w:sz="6" w:space="0" w:color="auto"/>
            </w:tcBorders>
            <w:hideMark/>
          </w:tcPr>
          <w:p w14:paraId="70D5F9A5" w14:textId="77777777" w:rsidR="00392FDA" w:rsidRPr="00EA4C9B" w:rsidRDefault="00392FDA" w:rsidP="00363AFF">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00" w:type="dxa"/>
            <w:tcBorders>
              <w:top w:val="single" w:sz="6" w:space="0" w:color="auto"/>
              <w:left w:val="single" w:sz="6" w:space="0" w:color="auto"/>
              <w:bottom w:val="single" w:sz="6" w:space="0" w:color="auto"/>
              <w:right w:val="single" w:sz="6" w:space="0" w:color="auto"/>
            </w:tcBorders>
            <w:hideMark/>
          </w:tcPr>
          <w:p w14:paraId="5BD72673" w14:textId="77777777" w:rsidR="00392FDA" w:rsidRPr="00EA4C9B" w:rsidRDefault="00392FDA" w:rsidP="00363AFF">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resource tax revenues</w:t>
            </w:r>
          </w:p>
        </w:tc>
      </w:tr>
      <w:tr w:rsidR="00392FDA" w:rsidRPr="00EA4C9B" w14:paraId="775CE3D8" w14:textId="77777777" w:rsidTr="004F0767">
        <w:trPr>
          <w:trHeight w:val="104"/>
        </w:trPr>
        <w:tc>
          <w:tcPr>
            <w:tcW w:w="3500" w:type="dxa"/>
            <w:tcBorders>
              <w:top w:val="single" w:sz="6" w:space="0" w:color="auto"/>
              <w:left w:val="single" w:sz="6" w:space="0" w:color="auto"/>
              <w:bottom w:val="single" w:sz="6" w:space="0" w:color="auto"/>
              <w:right w:val="single" w:sz="6" w:space="0" w:color="auto"/>
            </w:tcBorders>
            <w:hideMark/>
          </w:tcPr>
          <w:p w14:paraId="3D4CC67B" w14:textId="77777777" w:rsidR="00392FDA" w:rsidRPr="00EA4C9B" w:rsidRDefault="00392FDA" w:rsidP="00217EDC">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 xml:space="preserve">Taxes on water </w:t>
            </w:r>
          </w:p>
        </w:tc>
        <w:tc>
          <w:tcPr>
            <w:tcW w:w="1717" w:type="dxa"/>
            <w:tcBorders>
              <w:top w:val="single" w:sz="6" w:space="0" w:color="auto"/>
              <w:left w:val="single" w:sz="6" w:space="0" w:color="auto"/>
              <w:bottom w:val="single" w:sz="6" w:space="0" w:color="auto"/>
              <w:right w:val="single" w:sz="6" w:space="0" w:color="auto"/>
            </w:tcBorders>
          </w:tcPr>
          <w:p w14:paraId="456721B1" w14:textId="77777777" w:rsidR="00392FDA" w:rsidRPr="00EA4C9B" w:rsidRDefault="00392FDA" w:rsidP="00363AFF">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€3.5 - €2.7</w:t>
            </w:r>
          </w:p>
        </w:tc>
        <w:tc>
          <w:tcPr>
            <w:tcW w:w="1893" w:type="dxa"/>
            <w:tcBorders>
              <w:top w:val="single" w:sz="6" w:space="0" w:color="auto"/>
              <w:left w:val="single" w:sz="6" w:space="0" w:color="auto"/>
              <w:bottom w:val="single" w:sz="6" w:space="0" w:color="auto"/>
              <w:right w:val="single" w:sz="6" w:space="0" w:color="auto"/>
            </w:tcBorders>
            <w:hideMark/>
          </w:tcPr>
          <w:p w14:paraId="2084684E" w14:textId="77777777" w:rsidR="00392FDA" w:rsidRPr="00EA4C9B" w:rsidRDefault="00392FDA" w:rsidP="00363AFF">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€3</w:t>
            </w:r>
          </w:p>
        </w:tc>
        <w:tc>
          <w:tcPr>
            <w:tcW w:w="1900" w:type="dxa"/>
            <w:tcBorders>
              <w:top w:val="single" w:sz="6" w:space="0" w:color="auto"/>
              <w:left w:val="single" w:sz="6" w:space="0" w:color="auto"/>
              <w:bottom w:val="single" w:sz="6" w:space="0" w:color="auto"/>
              <w:right w:val="single" w:sz="6" w:space="0" w:color="auto"/>
            </w:tcBorders>
            <w:hideMark/>
          </w:tcPr>
          <w:p w14:paraId="12A24C7C" w14:textId="77777777" w:rsidR="00392FDA" w:rsidRPr="00EA4C9B" w:rsidRDefault="00392FDA" w:rsidP="00363AFF">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2%</w:t>
            </w:r>
          </w:p>
        </w:tc>
      </w:tr>
      <w:tr w:rsidR="00392FDA" w:rsidRPr="00EA4C9B" w14:paraId="66F5E31A" w14:textId="77777777" w:rsidTr="004F0767">
        <w:trPr>
          <w:trHeight w:val="76"/>
        </w:trPr>
        <w:tc>
          <w:tcPr>
            <w:tcW w:w="3500" w:type="dxa"/>
            <w:tcBorders>
              <w:top w:val="single" w:sz="6" w:space="0" w:color="auto"/>
              <w:left w:val="single" w:sz="6" w:space="0" w:color="auto"/>
              <w:bottom w:val="single" w:sz="6" w:space="0" w:color="auto"/>
              <w:right w:val="single" w:sz="6" w:space="0" w:color="auto"/>
            </w:tcBorders>
            <w:hideMark/>
          </w:tcPr>
          <w:p w14:paraId="419DDB84" w14:textId="77777777" w:rsidR="00392FDA" w:rsidRPr="00EA4C9B" w:rsidRDefault="00392FDA" w:rsidP="00217EDC">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Taxes on water </w:t>
            </w:r>
          </w:p>
        </w:tc>
        <w:tc>
          <w:tcPr>
            <w:tcW w:w="1717" w:type="dxa"/>
            <w:tcBorders>
              <w:top w:val="single" w:sz="6" w:space="0" w:color="auto"/>
              <w:left w:val="single" w:sz="6" w:space="0" w:color="auto"/>
              <w:bottom w:val="single" w:sz="6" w:space="0" w:color="auto"/>
              <w:right w:val="single" w:sz="6" w:space="0" w:color="auto"/>
            </w:tcBorders>
          </w:tcPr>
          <w:p w14:paraId="5FFB2F24" w14:textId="77777777" w:rsidR="00392FDA" w:rsidRPr="00EA4C9B" w:rsidRDefault="00392FDA" w:rsidP="00363AFF">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€116.3 - €144.4</w:t>
            </w:r>
          </w:p>
        </w:tc>
        <w:tc>
          <w:tcPr>
            <w:tcW w:w="1893" w:type="dxa"/>
            <w:tcBorders>
              <w:top w:val="single" w:sz="6" w:space="0" w:color="auto"/>
              <w:left w:val="single" w:sz="6" w:space="0" w:color="auto"/>
              <w:bottom w:val="single" w:sz="6" w:space="0" w:color="auto"/>
              <w:right w:val="single" w:sz="6" w:space="0" w:color="auto"/>
            </w:tcBorders>
            <w:hideMark/>
          </w:tcPr>
          <w:p w14:paraId="424C7043" w14:textId="77777777" w:rsidR="00392FDA" w:rsidRPr="00EA4C9B" w:rsidRDefault="00392FDA" w:rsidP="00363AFF">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€123.5</w:t>
            </w:r>
          </w:p>
        </w:tc>
        <w:tc>
          <w:tcPr>
            <w:tcW w:w="1900" w:type="dxa"/>
            <w:tcBorders>
              <w:top w:val="single" w:sz="6" w:space="0" w:color="auto"/>
              <w:left w:val="single" w:sz="6" w:space="0" w:color="auto"/>
              <w:bottom w:val="single" w:sz="6" w:space="0" w:color="auto"/>
              <w:right w:val="single" w:sz="6" w:space="0" w:color="auto"/>
            </w:tcBorders>
            <w:hideMark/>
          </w:tcPr>
          <w:p w14:paraId="097BA1AB" w14:textId="77777777" w:rsidR="00392FDA" w:rsidRPr="00EA4C9B" w:rsidRDefault="00392FDA" w:rsidP="00363AFF">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98%</w:t>
            </w:r>
          </w:p>
        </w:tc>
      </w:tr>
    </w:tbl>
    <w:p w14:paraId="02164F51" w14:textId="77777777" w:rsidR="00392FDA" w:rsidRPr="00EA4C9B" w:rsidRDefault="00392FDA" w:rsidP="00392FDA">
      <w:pPr>
        <w:spacing w:before="120" w:after="120"/>
        <w:textAlignment w:val="baseline"/>
        <w:rPr>
          <w:rFonts w:ascii="Calibri" w:eastAsia="Times New Roman" w:hAnsi="Calibri" w:cs="Calibri"/>
          <w:lang w:eastAsia="en-GB"/>
        </w:rPr>
      </w:pPr>
      <w:r w:rsidRPr="00EA4C9B">
        <w:rPr>
          <w:rFonts w:ascii="Calibri" w:eastAsia="Times New Roman" w:hAnsi="Calibri" w:cs="Calibri"/>
          <w:lang w:eastAsia="en-GB"/>
        </w:rPr>
        <w:t>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933"/>
      </w:tblGrid>
      <w:tr w:rsidR="00392FDA" w:rsidRPr="00EA4C9B" w14:paraId="2CAE38AD" w14:textId="77777777" w:rsidTr="00BA7936">
        <w:tc>
          <w:tcPr>
            <w:tcW w:w="9016" w:type="dxa"/>
            <w:gridSpan w:val="2"/>
            <w:shd w:val="clear" w:color="auto" w:fill="003399"/>
          </w:tcPr>
          <w:p w14:paraId="2CED74FF" w14:textId="75EAEB6B" w:rsidR="00392FDA" w:rsidRPr="00217EDC" w:rsidRDefault="004F47DB" w:rsidP="00217EDC">
            <w:pPr>
              <w:pStyle w:val="Table"/>
              <w:rPr>
                <w:b/>
                <w:color w:val="FFFFFF" w:themeColor="background1"/>
                <w:lang w:eastAsia="en-GB"/>
              </w:rPr>
            </w:pPr>
            <w:r w:rsidRPr="00217EDC">
              <w:rPr>
                <w:b/>
                <w:color w:val="FFFFFF" w:themeColor="background1"/>
              </w:rPr>
              <w:t xml:space="preserve">Table </w:t>
            </w:r>
            <w:r w:rsidR="00490085">
              <w:rPr>
                <w:b/>
                <w:color w:val="FFFFFF" w:themeColor="background1"/>
              </w:rPr>
              <w:t>A6</w:t>
            </w:r>
            <w:r w:rsidR="00217EDC" w:rsidRPr="00217EDC">
              <w:rPr>
                <w:b/>
                <w:bCs/>
                <w:color w:val="FFFFFF" w:themeColor="background1"/>
              </w:rPr>
              <w:t>-</w:t>
            </w:r>
            <w:r w:rsidR="00217EDC" w:rsidRPr="00217EDC">
              <w:rPr>
                <w:b/>
                <w:bCs/>
                <w:color w:val="FFFFFF" w:themeColor="background1"/>
              </w:rPr>
              <w:fldChar w:fldCharType="begin"/>
            </w:r>
            <w:r w:rsidR="00217EDC" w:rsidRPr="00217EDC">
              <w:rPr>
                <w:b/>
                <w:bCs/>
                <w:color w:val="FFFFFF" w:themeColor="background1"/>
              </w:rPr>
              <w:instrText xml:space="preserve"> SEQ Table_A5- \* ARABIC </w:instrText>
            </w:r>
            <w:r w:rsidR="00217EDC" w:rsidRPr="00217EDC">
              <w:rPr>
                <w:b/>
                <w:bCs/>
                <w:color w:val="FFFFFF" w:themeColor="background1"/>
              </w:rPr>
              <w:fldChar w:fldCharType="separate"/>
            </w:r>
            <w:r w:rsidR="00363AFF">
              <w:rPr>
                <w:b/>
                <w:bCs/>
                <w:noProof/>
                <w:color w:val="FFFFFF" w:themeColor="background1"/>
              </w:rPr>
              <w:t>9</w:t>
            </w:r>
            <w:r w:rsidR="00217EDC" w:rsidRPr="00217EDC">
              <w:rPr>
                <w:b/>
                <w:bCs/>
                <w:color w:val="FFFFFF" w:themeColor="background1"/>
              </w:rPr>
              <w:fldChar w:fldCharType="end"/>
            </w:r>
            <w:r w:rsidR="00392FDA" w:rsidRPr="00217EDC">
              <w:rPr>
                <w:b/>
                <w:color w:val="FFFFFF" w:themeColor="background1"/>
                <w:lang w:eastAsia="en-GB"/>
              </w:rPr>
              <w:t>: Other environmental taxes not reported in the National Tax Lists</w:t>
            </w:r>
          </w:p>
        </w:tc>
      </w:tr>
      <w:tr w:rsidR="003B540D" w:rsidRPr="00EA4C9B" w14:paraId="559D8736" w14:textId="77777777" w:rsidTr="00BA7936">
        <w:tc>
          <w:tcPr>
            <w:tcW w:w="7083" w:type="dxa"/>
          </w:tcPr>
          <w:p w14:paraId="32C10DC1" w14:textId="40AB41E4" w:rsidR="003B540D" w:rsidRPr="00363AFF" w:rsidRDefault="003B540D" w:rsidP="00217EDC">
            <w:pPr>
              <w:pStyle w:val="Table"/>
              <w:rPr>
                <w:b/>
                <w:bCs/>
                <w:lang w:eastAsia="en-GB"/>
              </w:rPr>
            </w:pPr>
            <w:r w:rsidRPr="00363AFF">
              <w:rPr>
                <w:b/>
                <w:bCs/>
                <w:lang w:eastAsia="en-GB"/>
              </w:rPr>
              <w:t>Tax Name </w:t>
            </w:r>
          </w:p>
        </w:tc>
        <w:tc>
          <w:tcPr>
            <w:tcW w:w="1933" w:type="dxa"/>
          </w:tcPr>
          <w:p w14:paraId="333974D7" w14:textId="0963992B" w:rsidR="003B540D" w:rsidRPr="00363AFF" w:rsidRDefault="003B540D" w:rsidP="00363AFF">
            <w:pPr>
              <w:pStyle w:val="Table"/>
              <w:jc w:val="center"/>
              <w:rPr>
                <w:b/>
                <w:bCs/>
                <w:lang w:eastAsia="en-GB"/>
              </w:rPr>
            </w:pPr>
            <w:r w:rsidRPr="00363AFF">
              <w:rPr>
                <w:b/>
                <w:bCs/>
                <w:lang w:eastAsia="en-GB"/>
              </w:rPr>
              <w:t>Annual revenue</w:t>
            </w:r>
          </w:p>
          <w:p w14:paraId="3E4419C6" w14:textId="77777777" w:rsidR="003B540D" w:rsidRPr="00EA4C9B" w:rsidRDefault="003B540D" w:rsidP="00363AFF">
            <w:pPr>
              <w:pStyle w:val="Table"/>
              <w:jc w:val="center"/>
              <w:rPr>
                <w:lang w:eastAsia="en-GB"/>
              </w:rPr>
            </w:pPr>
            <w:r w:rsidRPr="00363AFF">
              <w:rPr>
                <w:b/>
                <w:bCs/>
                <w:lang w:eastAsia="en-GB"/>
              </w:rPr>
              <w:t>(€ million) in 2023</w:t>
            </w:r>
          </w:p>
        </w:tc>
      </w:tr>
      <w:tr w:rsidR="003B540D" w:rsidRPr="00EA4C9B" w14:paraId="12BC6487" w14:textId="77777777" w:rsidTr="00BA7936">
        <w:tc>
          <w:tcPr>
            <w:tcW w:w="7083" w:type="dxa"/>
          </w:tcPr>
          <w:p w14:paraId="17590AFF" w14:textId="77777777" w:rsidR="003B540D" w:rsidRPr="00EA4C9B" w:rsidRDefault="003B540D" w:rsidP="00217EDC">
            <w:pPr>
              <w:pStyle w:val="Table"/>
              <w:rPr>
                <w:lang w:eastAsia="en-GB"/>
              </w:rPr>
            </w:pPr>
            <w:r w:rsidRPr="00EA4C9B">
              <w:rPr>
                <w:lang w:eastAsia="en-GB"/>
              </w:rPr>
              <w:t>Intensive agriculture tax – Tax on environmental impacts from farming</w:t>
            </w:r>
          </w:p>
        </w:tc>
        <w:tc>
          <w:tcPr>
            <w:tcW w:w="1933" w:type="dxa"/>
          </w:tcPr>
          <w:p w14:paraId="4E078D16" w14:textId="77777777" w:rsidR="003B540D" w:rsidRPr="00EA4C9B" w:rsidRDefault="003B540D" w:rsidP="00363AFF">
            <w:pPr>
              <w:pStyle w:val="Table"/>
              <w:jc w:val="center"/>
              <w:rPr>
                <w:lang w:eastAsia="en-GB"/>
              </w:rPr>
            </w:pPr>
            <w:r w:rsidRPr="00EA4C9B">
              <w:rPr>
                <w:lang w:eastAsia="en-GB"/>
              </w:rPr>
              <w:t>N.A.</w:t>
            </w:r>
          </w:p>
        </w:tc>
      </w:tr>
      <w:tr w:rsidR="003B540D" w:rsidRPr="00EA4C9B" w14:paraId="7E284D2B" w14:textId="77777777" w:rsidTr="00BA7936">
        <w:tc>
          <w:tcPr>
            <w:tcW w:w="7083" w:type="dxa"/>
          </w:tcPr>
          <w:p w14:paraId="60695938" w14:textId="77777777" w:rsidR="003B540D" w:rsidRPr="00EA4C9B" w:rsidRDefault="003B540D" w:rsidP="00217EDC">
            <w:pPr>
              <w:pStyle w:val="Table"/>
              <w:rPr>
                <w:lang w:eastAsia="en-GB"/>
              </w:rPr>
            </w:pPr>
            <w:r w:rsidRPr="00EA4C9B">
              <w:rPr>
                <w:lang w:eastAsia="en-GB"/>
              </w:rPr>
              <w:t>Tax on potable water extraction – Wallonia</w:t>
            </w:r>
          </w:p>
        </w:tc>
        <w:tc>
          <w:tcPr>
            <w:tcW w:w="1933" w:type="dxa"/>
          </w:tcPr>
          <w:p w14:paraId="4490B2CD" w14:textId="77777777" w:rsidR="003B540D" w:rsidRPr="00EA4C9B" w:rsidRDefault="003B540D" w:rsidP="00363AFF">
            <w:pPr>
              <w:pStyle w:val="Table"/>
              <w:jc w:val="center"/>
              <w:rPr>
                <w:lang w:eastAsia="en-GB"/>
              </w:rPr>
            </w:pPr>
            <w:r w:rsidRPr="00EA4C9B">
              <w:rPr>
                <w:lang w:eastAsia="en-GB"/>
              </w:rPr>
              <w:t>N.A.</w:t>
            </w:r>
          </w:p>
        </w:tc>
      </w:tr>
      <w:tr w:rsidR="003B540D" w:rsidRPr="00EA4C9B" w14:paraId="181A46BC" w14:textId="77777777" w:rsidTr="00BA7936">
        <w:tc>
          <w:tcPr>
            <w:tcW w:w="7083" w:type="dxa"/>
          </w:tcPr>
          <w:p w14:paraId="6B255DA2" w14:textId="77777777" w:rsidR="003B540D" w:rsidRPr="00EA4C9B" w:rsidRDefault="003B540D" w:rsidP="00217EDC">
            <w:pPr>
              <w:pStyle w:val="Table"/>
              <w:rPr>
                <w:lang w:eastAsia="en-GB"/>
              </w:rPr>
            </w:pPr>
            <w:r w:rsidRPr="00EA4C9B">
              <w:rPr>
                <w:lang w:eastAsia="en-GB"/>
              </w:rPr>
              <w:t>Tax on potable water extraction – Flanders</w:t>
            </w:r>
          </w:p>
        </w:tc>
        <w:tc>
          <w:tcPr>
            <w:tcW w:w="1933" w:type="dxa"/>
          </w:tcPr>
          <w:p w14:paraId="1386092A" w14:textId="77777777" w:rsidR="003B540D" w:rsidRPr="00EA4C9B" w:rsidRDefault="003B540D" w:rsidP="00363AFF">
            <w:pPr>
              <w:pStyle w:val="Table"/>
              <w:jc w:val="center"/>
              <w:rPr>
                <w:lang w:eastAsia="en-GB"/>
              </w:rPr>
            </w:pPr>
            <w:r w:rsidRPr="00EA4C9B">
              <w:rPr>
                <w:lang w:eastAsia="en-GB"/>
              </w:rPr>
              <w:t>N.A.</w:t>
            </w:r>
          </w:p>
        </w:tc>
      </w:tr>
      <w:tr w:rsidR="003B540D" w:rsidRPr="00EA4C9B" w14:paraId="7B7BF661" w14:textId="77777777" w:rsidTr="00BA7936">
        <w:tc>
          <w:tcPr>
            <w:tcW w:w="7083" w:type="dxa"/>
          </w:tcPr>
          <w:p w14:paraId="43184FCC" w14:textId="77777777" w:rsidR="003B540D" w:rsidRPr="00EA4C9B" w:rsidRDefault="003B540D" w:rsidP="00217EDC">
            <w:pPr>
              <w:pStyle w:val="Table"/>
              <w:rPr>
                <w:lang w:eastAsia="en-GB"/>
              </w:rPr>
            </w:pPr>
            <w:r w:rsidRPr="00EA4C9B">
              <w:rPr>
                <w:lang w:eastAsia="en-GB"/>
              </w:rPr>
              <w:t>Tax on incineration of waste</w:t>
            </w:r>
          </w:p>
        </w:tc>
        <w:tc>
          <w:tcPr>
            <w:tcW w:w="1933" w:type="dxa"/>
          </w:tcPr>
          <w:p w14:paraId="16BA131D" w14:textId="77777777" w:rsidR="003B540D" w:rsidRPr="00EA4C9B" w:rsidRDefault="003B540D" w:rsidP="00363AFF">
            <w:pPr>
              <w:pStyle w:val="Table"/>
              <w:jc w:val="center"/>
              <w:rPr>
                <w:lang w:eastAsia="en-GB"/>
              </w:rPr>
            </w:pPr>
            <w:r w:rsidRPr="00EA4C9B">
              <w:rPr>
                <w:lang w:eastAsia="en-GB"/>
              </w:rPr>
              <w:t>€98.4</w:t>
            </w:r>
          </w:p>
        </w:tc>
      </w:tr>
      <w:tr w:rsidR="00363AFF" w:rsidRPr="00EA4C9B" w14:paraId="7295FA2E" w14:textId="77777777" w:rsidTr="00BA7936">
        <w:tc>
          <w:tcPr>
            <w:tcW w:w="9016" w:type="dxa"/>
            <w:gridSpan w:val="2"/>
          </w:tcPr>
          <w:p w14:paraId="0643D02D" w14:textId="5A1B61DB" w:rsidR="00363AFF" w:rsidRPr="00EA4C9B" w:rsidRDefault="00363AFF" w:rsidP="00363AFF">
            <w:pPr>
              <w:pStyle w:val="Table"/>
              <w:jc w:val="left"/>
              <w:rPr>
                <w:lang w:eastAsia="en-GB"/>
              </w:rPr>
            </w:pPr>
            <w:r w:rsidRPr="00363AFF">
              <w:rPr>
                <w:lang w:eastAsia="en-GB"/>
              </w:rPr>
              <w:t>Note: N.A. = Data not available</w:t>
            </w:r>
          </w:p>
        </w:tc>
      </w:tr>
    </w:tbl>
    <w:p w14:paraId="0D2D2E63" w14:textId="77777777" w:rsidR="00392FDA" w:rsidRPr="00EA4C9B" w:rsidRDefault="00392FDA" w:rsidP="00392FDA">
      <w:pPr>
        <w:pStyle w:val="Heading4"/>
      </w:pPr>
      <w:r w:rsidRPr="00EA4C9B">
        <w:t>Taxes, fees and other related instruments</w:t>
      </w:r>
    </w:p>
    <w:p w14:paraId="19594BA8" w14:textId="0CCEA14D" w:rsidR="00392FDA" w:rsidRPr="00EA4C9B" w:rsidRDefault="00392FDA" w:rsidP="00392FDA">
      <w:r w:rsidRPr="00EA4C9B">
        <w:t xml:space="preserve">Belgium introduced a </w:t>
      </w:r>
      <w:r w:rsidRPr="00EA4C9B">
        <w:rPr>
          <w:b/>
          <w:bCs/>
        </w:rPr>
        <w:t>packaging tax</w:t>
      </w:r>
      <w:r w:rsidRPr="00EA4C9B">
        <w:t xml:space="preserve"> on beverage containers in 1993 along with other environmental taxes, to encourage changes in consumer behaviour change to promote re-use through deposit refund schemes and recycling by changing the relative prices of products. The tax rate was 15 francs (EUR 0.37) for all types of beverage containers, regardless of reusability, although exemptions were applied, based on the recycling or re-use rates of the products. In 2004, the tax was reformed</w:t>
      </w:r>
      <w:r w:rsidR="00363AFF">
        <w:t>, zero rating</w:t>
      </w:r>
      <w:r w:rsidRPr="00EA4C9B">
        <w:t xml:space="preserve"> all beverage containers from VAT but also introducing much higher rates of tax, especially for non-reusable containers, with the overall aim of reducing the price of reusable packaging while maintaining higher prices for other containers. By 2016, the tax was EUR 9.86 per hectolitre for non-reusable and EUR 1.81 per hectolitre for reusable containers. The tax focused mainly on large supermarkets and was less effective in smaller retail outlets, which continued to provide bags free of charge. Therefore, the successful of the packaging tax has been difficult to assess, as it has clearly encouraged the recycling of packaging, but has been less successful in encouraging reuse.</w:t>
      </w:r>
    </w:p>
    <w:p w14:paraId="11B82EA5" w14:textId="77777777" w:rsidR="00392FDA" w:rsidRPr="00EA4C9B" w:rsidRDefault="00392FDA" w:rsidP="00392FDA">
      <w:r w:rsidRPr="00EA4C9B">
        <w:t>In 2007, a second tax on packaging, called the "</w:t>
      </w:r>
      <w:r w:rsidRPr="00EA4C9B">
        <w:rPr>
          <w:b/>
          <w:bCs/>
        </w:rPr>
        <w:t>environmental tax</w:t>
      </w:r>
      <w:r w:rsidRPr="00EA4C9B">
        <w:t xml:space="preserve">", was introduced together with some other environmentally harmful products with the aim of discouraging the use of the targeted products. The charge covered four groups of products: single-use carrier bags (EUR 3/kg), single-use plastic (EUR 2.70/kg) and aluminium foil (EUR 4.50/kg), and disposable plastic cutlery (EUR 3.60/kg). However, as of January 2015, the environmental tax was abolished on the grounds that the tax had </w:t>
      </w:r>
      <w:r w:rsidRPr="00EA4C9B">
        <w:lastRenderedPageBreak/>
        <w:t>succeeded in achieving its objectives (e.g. the distribution of single-use plastic carrier bags decreased by 60% between 2008 and 2009). Revenue from packaging and environmental taxes is retained by the national government, i.e. it is not earmarked for any specific expenditure. The levy is due once products are put on the market for consumers and is paid for the party placing the packaging on the market.</w:t>
      </w:r>
    </w:p>
    <w:p w14:paraId="61E235C6" w14:textId="77777777" w:rsidR="00392FDA" w:rsidRPr="00EA4C9B" w:rsidRDefault="00392FDA" w:rsidP="00392FDA">
      <w:r w:rsidRPr="00EA4C9B">
        <w:t>The 2025 European Semester Report</w:t>
      </w:r>
      <w:r w:rsidRPr="00EA4C9B">
        <w:rPr>
          <w:rStyle w:val="FootnoteReference"/>
        </w:rPr>
        <w:footnoteReference w:id="24"/>
      </w:r>
      <w:r w:rsidRPr="00EA4C9B">
        <w:t xml:space="preserve"> acknowledges Belgium's early leadership in product-related taxes but notes uneven effectiveness across sectors and recommends linking product taxation more directly to eco-modulation and circular economy performance.</w:t>
      </w:r>
    </w:p>
    <w:p w14:paraId="3E35D1DC" w14:textId="77777777" w:rsidR="00392FDA" w:rsidRPr="00EA4C9B" w:rsidRDefault="00392FDA" w:rsidP="00392FDA">
      <w:r w:rsidRPr="00EA4C9B">
        <w:t xml:space="preserve">In all three regions of Belgium, an </w:t>
      </w:r>
      <w:r w:rsidRPr="00EA4C9B">
        <w:rPr>
          <w:b/>
          <w:bCs/>
        </w:rPr>
        <w:t>incineration tax</w:t>
      </w:r>
      <w:r w:rsidRPr="00EA4C9B">
        <w:t xml:space="preserve"> has also been levied for several years on all waste entering the incineration plants and on waste exported for incineration outside the region. The incineration of medical waste is exempt from the tax. If the waste is incinerated in the Brussel-Capital Region (BCR), the tax is payable by the operator of the waste incineration plant. And, if the waste is collected in the BCR, but incinerated outside the region, the tax is payable by the waste collector. In the absence of a collector, the tax is payable by the transporter of the waste. In the absence of a collector and a transporter, the tax is paid by the waste producer. </w:t>
      </w:r>
    </w:p>
    <w:p w14:paraId="31C0B219" w14:textId="77777777" w:rsidR="00392FDA" w:rsidRPr="00EA4C9B" w:rsidRDefault="00392FDA" w:rsidP="00392FDA">
      <w:r w:rsidRPr="00EA4C9B">
        <w:t xml:space="preserve">The BCR decided to increase the incineration tax to 15 EUR/t from 2022 and both Flanders and Wallonia have plans to increase their incineration tax as well but are currently studying the most effective way to do this in combination with other policy measures to help shift waste from incineration to separate collection (and recycling). Currently, the incineration tax in Flanders is 13.38 EUR/t and in Wallonia are 14.69 EUR/t for incineration with energy recovery and 68.33 EUR/t for incineration without energy recovery. </w:t>
      </w:r>
    </w:p>
    <w:p w14:paraId="487D465E" w14:textId="77777777" w:rsidR="00392FDA" w:rsidRPr="00EA4C9B" w:rsidRDefault="00392FDA" w:rsidP="00392FDA">
      <w:r w:rsidRPr="00EA4C9B">
        <w:t xml:space="preserve">At regional level, Wallonia has a </w:t>
      </w:r>
      <w:r w:rsidRPr="00EA4C9B">
        <w:rPr>
          <w:b/>
          <w:bCs/>
        </w:rPr>
        <w:t>tax on water</w:t>
      </w:r>
      <w:r w:rsidRPr="00EA4C9B">
        <w:t xml:space="preserve"> that covers various aspects: I) tax on the discharge of industrial water, which affects companies that discharge wastewater as part of their industrial activity; and II) tax on the discharge of domestic wastewater generated by individuals and groups when the water does not come from the public network.</w:t>
      </w:r>
    </w:p>
    <w:p w14:paraId="09016376" w14:textId="77777777" w:rsidR="00392FDA" w:rsidRPr="00EA4C9B" w:rsidRDefault="00392FDA" w:rsidP="00392FDA">
      <w:r w:rsidRPr="00EA4C9B">
        <w:t xml:space="preserve">For the discharge of domestic wastewater, from October 2003, the tax paid to the region was gradually reduced and finally converted into a "true cost of sanitation" in 2004. For each cubic meter of water used, an amount of €1.565 (excl. VAT) (1 January 2013) is withdrawn to finance wastewater treatment. In other words, consumers pay for the pollution they cause. For the discharge of industrial water, the tax is determined on the basis of the pollutant load, that is 8.9242€/UCP (unit of pollutant load). The industrial tax is received by the administration of the Walloon Region. </w:t>
      </w:r>
    </w:p>
    <w:p w14:paraId="15515B25" w14:textId="77777777" w:rsidR="00392FDA" w:rsidRPr="00EA4C9B" w:rsidRDefault="00392FDA" w:rsidP="00392FDA">
      <w:r w:rsidRPr="00EA4C9B">
        <w:t xml:space="preserve">Similarly, in the Walloon region, a tax on </w:t>
      </w:r>
      <w:r w:rsidRPr="00EA4C9B">
        <w:rPr>
          <w:b/>
          <w:bCs/>
        </w:rPr>
        <w:t xml:space="preserve">non-household waste </w:t>
      </w:r>
      <w:r w:rsidRPr="00EA4C9B">
        <w:t xml:space="preserve">is levied on companies and organizations that generate commercial, industrial or institutional waste. The main objective of this tax is to encourage waste reduction and to promote sustainable management practices. The primary taxpayers are businesses and industrial entities that generate non-household waste. This includes sectors such as manufacturing, construction, and services. These entities are responsible for managing and disposing of their waste in compliance with regional regulations. The tax is levied on the quantity and type of non-household waste that is landfilled or incinerated. The tax rates are </w:t>
      </w:r>
      <w:r w:rsidRPr="00EA4C9B">
        <w:rPr>
          <w:b/>
          <w:bCs/>
        </w:rPr>
        <w:t>fixed per tonne</w:t>
      </w:r>
      <w:r w:rsidRPr="00EA4C9B">
        <w:t xml:space="preserve"> but </w:t>
      </w:r>
      <w:r w:rsidRPr="00EA4C9B">
        <w:rPr>
          <w:b/>
          <w:bCs/>
        </w:rPr>
        <w:t>vary</w:t>
      </w:r>
      <w:r w:rsidRPr="00EA4C9B">
        <w:t xml:space="preserve"> according to the </w:t>
      </w:r>
      <w:r w:rsidRPr="00EA4C9B">
        <w:rPr>
          <w:b/>
          <w:bCs/>
        </w:rPr>
        <w:t>waste category</w:t>
      </w:r>
      <w:r w:rsidRPr="00EA4C9B">
        <w:t xml:space="preserve">. The regional government of Wallonia sets these rates, and they are periodically adjusted to reflect inflation and policy objectives. Revenues from the non-household waste tax are allocated to the </w:t>
      </w:r>
      <w:r w:rsidRPr="00EA4C9B">
        <w:rPr>
          <w:b/>
          <w:bCs/>
        </w:rPr>
        <w:t>regional waste management fund</w:t>
      </w:r>
      <w:r w:rsidRPr="00EA4C9B">
        <w:t xml:space="preserve">, which supports </w:t>
      </w:r>
      <w:r w:rsidRPr="00EA4C9B">
        <w:lastRenderedPageBreak/>
        <w:t>development and maintenance of waste treatment infrastructure, environmental protection initiatives, and promotion of sustainable waste management practices among businesses.</w:t>
      </w:r>
    </w:p>
    <w:p w14:paraId="6D225389" w14:textId="77777777" w:rsidR="00392FDA" w:rsidRPr="00EA4C9B" w:rsidRDefault="00392FDA" w:rsidP="00392FDA">
      <w:r w:rsidRPr="00EA4C9B">
        <w:t xml:space="preserve">Finally, there is a </w:t>
      </w:r>
      <w:r w:rsidRPr="00EA4C9B">
        <w:rPr>
          <w:b/>
          <w:bCs/>
        </w:rPr>
        <w:t xml:space="preserve">manure tax </w:t>
      </w:r>
      <w:r w:rsidRPr="00EA4C9B">
        <w:t>in the Flanders region, due to the intensity of agriculture and environmental concerns around nutrient pollution. Taxpayers are mainly agricultural businesses, especially livestock farmers who produce or manage large volumes of manure. The aim is to limit the environmental damage caused by nutrient overloads, particularly nitrogen and phosphorus, which contribute to soil degradation and water pollution. The tax base is the quantity and type of manure produced or processed, and whether it is applied to land, stored, exported, or processed. The tax applies differently depending on whether the manure is solid, liquid, or mixed, and on its nitrogen content. In general, there are three tariffs: €2.48 per ton import; €0.99 per kg nitrogen and phosphorous production above the amount allowed; and 0.99 € per kg nitrogen and phosphorous not processed or exported, which applies to farmers who have not met requirements concerning the obligatory processing or export of manure.</w:t>
      </w:r>
    </w:p>
    <w:p w14:paraId="58EB9858" w14:textId="4BC81BAF" w:rsidR="00392FDA" w:rsidRPr="00EA4C9B" w:rsidRDefault="596318D4" w:rsidP="00392FDA">
      <w:r w:rsidRPr="00EA4C9B">
        <w:t>The</w:t>
      </w:r>
      <w:r w:rsidR="73D14245" w:rsidRPr="00EA4C9B">
        <w:t xml:space="preserve"> European</w:t>
      </w:r>
      <w:r w:rsidRPr="00EA4C9B">
        <w:t xml:space="preserve"> Semester report</w:t>
      </w:r>
      <w:r w:rsidR="00392FDA" w:rsidRPr="00EA4C9B">
        <w:rPr>
          <w:rStyle w:val="FootnoteReference"/>
        </w:rPr>
        <w:footnoteReference w:id="25"/>
      </w:r>
      <w:r w:rsidRPr="00EA4C9B">
        <w:t xml:space="preserve"> highlights nutrient pollution as an ongoing challenge, especially in Flanders, and calls for better enforcement of agricultural environmental charges and cross-compliance with CAP subsidies.</w:t>
      </w:r>
    </w:p>
    <w:p w14:paraId="61403F42" w14:textId="77777777" w:rsidR="00392FDA" w:rsidRPr="00EA4C9B" w:rsidRDefault="00392FDA" w:rsidP="00392FDA">
      <w:pPr>
        <w:rPr>
          <w:rFonts w:ascii="Calibri" w:eastAsiaTheme="majorEastAsia" w:hAnsi="Calibri" w:cstheme="majorBidi"/>
          <w:b/>
          <w:bCs/>
          <w:i/>
          <w:iCs/>
        </w:rPr>
      </w:pPr>
      <w:r w:rsidRPr="00EA4C9B">
        <w:rPr>
          <w:rFonts w:ascii="Calibri" w:eastAsiaTheme="majorEastAsia" w:hAnsi="Calibri" w:cstheme="majorBidi"/>
          <w:b/>
          <w:bCs/>
          <w:i/>
          <w:iCs/>
        </w:rPr>
        <w:t>Fees and other related instruments</w:t>
      </w:r>
    </w:p>
    <w:p w14:paraId="78C7B844" w14:textId="77777777" w:rsidR="00392FDA" w:rsidRPr="00EA4C9B" w:rsidRDefault="00392FDA" w:rsidP="00392FDA">
      <w:r w:rsidRPr="00EA4C9B">
        <w:rPr>
          <w:b/>
          <w:bCs/>
        </w:rPr>
        <w:t>Fee modulation</w:t>
      </w:r>
      <w:r w:rsidRPr="00EA4C9B">
        <w:t xml:space="preserve"> (or eco-modulation) is a system with different fees for different types of packaging materials and designs. This system adjusts the fees that producers have to pay according to the environmental characteristics of their products, especially in terms of recyclability and sustainability. Advanced fee modulation creates stronger incentives for packaging producers to design for recycling, thus creating favourable conditions for higher recycling rates. </w:t>
      </w:r>
    </w:p>
    <w:p w14:paraId="20F4FB1F" w14:textId="7A83C475" w:rsidR="00392FDA" w:rsidRPr="00EA4C9B" w:rsidRDefault="00392FDA" w:rsidP="00392FDA">
      <w:r w:rsidRPr="00EA4C9B">
        <w:t>The degree of progressive fee modulation is assessed on the basis of four criteria selected as benchmarks for a well-designed eco-modulated fee system: a) recyclability, for example differentiating between PET and PS, between different colours of PET, or between 100 % cardboard boxes and laminated beverage cartons; b) sortability and disruptors, for example a malus for labels/caps/sleeves made of other materials, which are not fitted for the recycling technologies of the main packaging; c) recycled content; and d) if there is a transparent compliance check by the PRO that producers report correctly. The historical tariffs are shown below</w:t>
      </w:r>
      <w:r w:rsidR="004F47DB" w:rsidRPr="00EA4C9B">
        <w:t>.</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6"/>
        <w:gridCol w:w="1419"/>
        <w:gridCol w:w="1277"/>
        <w:gridCol w:w="1134"/>
        <w:gridCol w:w="1419"/>
      </w:tblGrid>
      <w:tr w:rsidR="004F47DB" w:rsidRPr="00363AFF" w14:paraId="14CE5216" w14:textId="77777777" w:rsidTr="00363AFF">
        <w:trPr>
          <w:trHeight w:val="63"/>
          <w:tblHeader/>
          <w:jc w:val="center"/>
        </w:trPr>
        <w:tc>
          <w:tcPr>
            <w:tcW w:w="8805" w:type="dxa"/>
            <w:gridSpan w:val="5"/>
            <w:shd w:val="clear" w:color="auto" w:fill="003399"/>
          </w:tcPr>
          <w:p w14:paraId="2A9798D1" w14:textId="1CBB5FE6" w:rsidR="004F47DB" w:rsidRPr="00363AFF" w:rsidRDefault="004F47DB" w:rsidP="00217EDC">
            <w:pPr>
              <w:pStyle w:val="Table"/>
              <w:rPr>
                <w:rFonts w:cstheme="minorHAnsi"/>
                <w:b/>
                <w:color w:val="FFFFFF" w:themeColor="background1"/>
                <w:szCs w:val="20"/>
                <w:lang w:val="en-GB"/>
              </w:rPr>
            </w:pPr>
            <w:r w:rsidRPr="00363AFF">
              <w:rPr>
                <w:b/>
                <w:color w:val="FFFFFF" w:themeColor="background1"/>
                <w:szCs w:val="20"/>
                <w:lang w:val="en-GB"/>
              </w:rPr>
              <w:t xml:space="preserve">Table </w:t>
            </w:r>
            <w:r w:rsidR="00490085">
              <w:rPr>
                <w:b/>
                <w:color w:val="FFFFFF" w:themeColor="background1"/>
                <w:szCs w:val="20"/>
                <w:lang w:val="en-GB"/>
              </w:rPr>
              <w:t>A6</w:t>
            </w:r>
            <w:r w:rsidR="00217EDC" w:rsidRPr="00363AFF">
              <w:rPr>
                <w:b/>
                <w:bCs/>
                <w:color w:val="FFFFFF" w:themeColor="background1"/>
                <w:szCs w:val="20"/>
                <w:lang w:val="en-GB"/>
              </w:rPr>
              <w:t>-</w:t>
            </w:r>
            <w:r w:rsidR="00217EDC" w:rsidRPr="00363AFF">
              <w:rPr>
                <w:b/>
                <w:bCs/>
                <w:color w:val="FFFFFF" w:themeColor="background1"/>
                <w:szCs w:val="20"/>
              </w:rPr>
              <w:fldChar w:fldCharType="begin"/>
            </w:r>
            <w:r w:rsidR="00217EDC" w:rsidRPr="00363AFF">
              <w:rPr>
                <w:b/>
                <w:bCs/>
                <w:color w:val="FFFFFF" w:themeColor="background1"/>
                <w:szCs w:val="20"/>
                <w:lang w:val="en-GB"/>
              </w:rPr>
              <w:instrText xml:space="preserve"> SEQ Table_A5- \* ARABIC </w:instrText>
            </w:r>
            <w:r w:rsidR="00217EDC" w:rsidRPr="00363AFF">
              <w:rPr>
                <w:b/>
                <w:bCs/>
                <w:color w:val="FFFFFF" w:themeColor="background1"/>
                <w:szCs w:val="20"/>
              </w:rPr>
              <w:fldChar w:fldCharType="separate"/>
            </w:r>
            <w:r w:rsidR="00363AFF" w:rsidRPr="00363AFF">
              <w:rPr>
                <w:b/>
                <w:bCs/>
                <w:noProof/>
                <w:color w:val="FFFFFF" w:themeColor="background1"/>
                <w:szCs w:val="20"/>
                <w:lang w:val="en-GB"/>
              </w:rPr>
              <w:t>10</w:t>
            </w:r>
            <w:r w:rsidR="00217EDC" w:rsidRPr="00363AFF">
              <w:rPr>
                <w:b/>
                <w:bCs/>
                <w:color w:val="FFFFFF" w:themeColor="background1"/>
                <w:szCs w:val="20"/>
              </w:rPr>
              <w:fldChar w:fldCharType="end"/>
            </w:r>
            <w:r w:rsidRPr="00363AFF">
              <w:rPr>
                <w:rFonts w:cstheme="minorHAnsi"/>
                <w:b/>
                <w:color w:val="FFFFFF" w:themeColor="background1"/>
                <w:szCs w:val="20"/>
                <w:lang w:val="en-GB"/>
              </w:rPr>
              <w:t>: Historical tariffs</w:t>
            </w:r>
          </w:p>
        </w:tc>
      </w:tr>
      <w:tr w:rsidR="00392FDA" w:rsidRPr="00363AFF" w14:paraId="30906CB7" w14:textId="77777777" w:rsidTr="00BA7936">
        <w:trPr>
          <w:trHeight w:val="52"/>
          <w:tblHeader/>
          <w:jc w:val="center"/>
        </w:trPr>
        <w:tc>
          <w:tcPr>
            <w:tcW w:w="3556" w:type="dxa"/>
            <w:vMerge w:val="restart"/>
          </w:tcPr>
          <w:p w14:paraId="715295D2" w14:textId="77777777" w:rsidR="00392FDA" w:rsidRPr="00363AFF" w:rsidRDefault="00392FDA" w:rsidP="00217EDC">
            <w:pPr>
              <w:pStyle w:val="Table"/>
              <w:rPr>
                <w:rFonts w:cstheme="minorHAnsi"/>
                <w:b/>
                <w:szCs w:val="20"/>
                <w:lang w:val="en-GB"/>
              </w:rPr>
            </w:pPr>
            <w:r w:rsidRPr="00363AFF">
              <w:rPr>
                <w:rFonts w:cstheme="minorHAnsi"/>
                <w:b/>
                <w:spacing w:val="-2"/>
                <w:szCs w:val="20"/>
                <w:lang w:val="en-GB"/>
              </w:rPr>
              <w:t>Materials</w:t>
            </w:r>
          </w:p>
        </w:tc>
        <w:tc>
          <w:tcPr>
            <w:tcW w:w="5249" w:type="dxa"/>
            <w:gridSpan w:val="4"/>
          </w:tcPr>
          <w:p w14:paraId="084A9706" w14:textId="77777777" w:rsidR="00392FDA" w:rsidRPr="00363AFF" w:rsidRDefault="00392FDA" w:rsidP="00217EDC">
            <w:pPr>
              <w:pStyle w:val="Table"/>
              <w:rPr>
                <w:rFonts w:cstheme="minorHAnsi"/>
                <w:b/>
                <w:szCs w:val="20"/>
                <w:lang w:val="en-GB"/>
              </w:rPr>
            </w:pPr>
            <w:r w:rsidRPr="00363AFF">
              <w:rPr>
                <w:rFonts w:cstheme="minorHAnsi"/>
                <w:b/>
                <w:szCs w:val="20"/>
                <w:lang w:val="en-GB"/>
              </w:rPr>
              <w:t>Green</w:t>
            </w:r>
            <w:r w:rsidRPr="00363AFF">
              <w:rPr>
                <w:rFonts w:cstheme="minorHAnsi"/>
                <w:b/>
                <w:spacing w:val="-7"/>
                <w:szCs w:val="20"/>
                <w:lang w:val="en-GB"/>
              </w:rPr>
              <w:t xml:space="preserve"> </w:t>
            </w:r>
            <w:r w:rsidRPr="00363AFF">
              <w:rPr>
                <w:rFonts w:cstheme="minorHAnsi"/>
                <w:b/>
                <w:szCs w:val="20"/>
                <w:lang w:val="en-GB"/>
              </w:rPr>
              <w:t>Dot</w:t>
            </w:r>
            <w:r w:rsidRPr="00363AFF">
              <w:rPr>
                <w:rFonts w:cstheme="minorHAnsi"/>
                <w:b/>
                <w:spacing w:val="-6"/>
                <w:szCs w:val="20"/>
                <w:lang w:val="en-GB"/>
              </w:rPr>
              <w:t xml:space="preserve"> </w:t>
            </w:r>
            <w:r w:rsidRPr="00363AFF">
              <w:rPr>
                <w:rFonts w:cstheme="minorHAnsi"/>
                <w:b/>
                <w:szCs w:val="20"/>
                <w:lang w:val="en-GB"/>
              </w:rPr>
              <w:t>Tariffs</w:t>
            </w:r>
            <w:r w:rsidRPr="00363AFF">
              <w:rPr>
                <w:rFonts w:cstheme="minorHAnsi"/>
                <w:b/>
                <w:spacing w:val="-8"/>
                <w:szCs w:val="20"/>
                <w:lang w:val="en-GB"/>
              </w:rPr>
              <w:t xml:space="preserve"> </w:t>
            </w:r>
            <w:r w:rsidRPr="00363AFF">
              <w:rPr>
                <w:rFonts w:cstheme="minorHAnsi"/>
                <w:b/>
                <w:spacing w:val="-2"/>
                <w:szCs w:val="20"/>
                <w:lang w:val="en-GB"/>
              </w:rPr>
              <w:t>(EUR/t)</w:t>
            </w:r>
          </w:p>
        </w:tc>
      </w:tr>
      <w:tr w:rsidR="00392FDA" w:rsidRPr="00363AFF" w14:paraId="4D675C47" w14:textId="77777777" w:rsidTr="00BA7936">
        <w:trPr>
          <w:trHeight w:val="52"/>
          <w:tblHeader/>
          <w:jc w:val="center"/>
        </w:trPr>
        <w:tc>
          <w:tcPr>
            <w:tcW w:w="3556" w:type="dxa"/>
            <w:vMerge/>
            <w:tcBorders>
              <w:top w:val="nil"/>
            </w:tcBorders>
          </w:tcPr>
          <w:p w14:paraId="2FA7706A" w14:textId="77777777" w:rsidR="00392FDA" w:rsidRPr="00363AFF" w:rsidRDefault="00392FDA" w:rsidP="00217EDC">
            <w:pPr>
              <w:pStyle w:val="Table"/>
              <w:rPr>
                <w:rFonts w:cstheme="minorHAnsi"/>
                <w:szCs w:val="20"/>
                <w:lang w:val="en-GB"/>
              </w:rPr>
            </w:pPr>
          </w:p>
        </w:tc>
        <w:tc>
          <w:tcPr>
            <w:tcW w:w="1419" w:type="dxa"/>
          </w:tcPr>
          <w:p w14:paraId="4590545F" w14:textId="77777777" w:rsidR="00392FDA" w:rsidRPr="00363AFF" w:rsidRDefault="00392FDA" w:rsidP="00363AFF">
            <w:pPr>
              <w:pStyle w:val="Table"/>
              <w:jc w:val="center"/>
              <w:rPr>
                <w:rFonts w:cstheme="minorHAnsi"/>
                <w:b/>
                <w:szCs w:val="20"/>
                <w:lang w:val="en-GB"/>
              </w:rPr>
            </w:pPr>
            <w:r w:rsidRPr="00363AFF">
              <w:rPr>
                <w:rFonts w:cstheme="minorHAnsi"/>
                <w:b/>
                <w:spacing w:val="-4"/>
                <w:szCs w:val="20"/>
                <w:lang w:val="en-GB"/>
              </w:rPr>
              <w:t>2015</w:t>
            </w:r>
          </w:p>
        </w:tc>
        <w:tc>
          <w:tcPr>
            <w:tcW w:w="1277" w:type="dxa"/>
          </w:tcPr>
          <w:p w14:paraId="4D018D63" w14:textId="77777777" w:rsidR="00392FDA" w:rsidRPr="00363AFF" w:rsidRDefault="00392FDA" w:rsidP="00363AFF">
            <w:pPr>
              <w:pStyle w:val="Table"/>
              <w:jc w:val="center"/>
              <w:rPr>
                <w:rFonts w:cstheme="minorHAnsi"/>
                <w:b/>
                <w:szCs w:val="20"/>
                <w:lang w:val="en-GB"/>
              </w:rPr>
            </w:pPr>
            <w:r w:rsidRPr="00363AFF">
              <w:rPr>
                <w:rFonts w:cstheme="minorHAnsi"/>
                <w:b/>
                <w:spacing w:val="-4"/>
                <w:szCs w:val="20"/>
                <w:lang w:val="en-GB"/>
              </w:rPr>
              <w:t>2017</w:t>
            </w:r>
          </w:p>
        </w:tc>
        <w:tc>
          <w:tcPr>
            <w:tcW w:w="1134" w:type="dxa"/>
          </w:tcPr>
          <w:p w14:paraId="4F99F6BD" w14:textId="77777777" w:rsidR="00392FDA" w:rsidRPr="00363AFF" w:rsidRDefault="00392FDA" w:rsidP="00363AFF">
            <w:pPr>
              <w:pStyle w:val="Table"/>
              <w:jc w:val="center"/>
              <w:rPr>
                <w:rFonts w:cstheme="minorHAnsi"/>
                <w:b/>
                <w:szCs w:val="20"/>
                <w:lang w:val="en-GB"/>
              </w:rPr>
            </w:pPr>
            <w:r w:rsidRPr="00363AFF">
              <w:rPr>
                <w:rFonts w:cstheme="minorHAnsi"/>
                <w:b/>
                <w:spacing w:val="-4"/>
                <w:szCs w:val="20"/>
                <w:lang w:val="en-GB"/>
              </w:rPr>
              <w:t>2019</w:t>
            </w:r>
          </w:p>
        </w:tc>
        <w:tc>
          <w:tcPr>
            <w:tcW w:w="1419" w:type="dxa"/>
          </w:tcPr>
          <w:p w14:paraId="609BA074" w14:textId="77777777" w:rsidR="00392FDA" w:rsidRPr="00363AFF" w:rsidRDefault="00392FDA" w:rsidP="00363AFF">
            <w:pPr>
              <w:pStyle w:val="Table"/>
              <w:jc w:val="center"/>
              <w:rPr>
                <w:rFonts w:cstheme="minorHAnsi"/>
                <w:b/>
                <w:szCs w:val="20"/>
                <w:lang w:val="en-GB"/>
              </w:rPr>
            </w:pPr>
            <w:r w:rsidRPr="00363AFF">
              <w:rPr>
                <w:rFonts w:cstheme="minorHAnsi"/>
                <w:b/>
                <w:spacing w:val="-4"/>
                <w:szCs w:val="20"/>
                <w:lang w:val="en-GB"/>
              </w:rPr>
              <w:t>2021</w:t>
            </w:r>
          </w:p>
        </w:tc>
      </w:tr>
      <w:tr w:rsidR="00392FDA" w:rsidRPr="00363AFF" w14:paraId="6F60F45F" w14:textId="77777777" w:rsidTr="00BA7936">
        <w:trPr>
          <w:trHeight w:val="52"/>
          <w:jc w:val="center"/>
        </w:trPr>
        <w:tc>
          <w:tcPr>
            <w:tcW w:w="3556" w:type="dxa"/>
          </w:tcPr>
          <w:p w14:paraId="114BFD57" w14:textId="77777777" w:rsidR="00392FDA" w:rsidRPr="00363AFF" w:rsidRDefault="00392FDA" w:rsidP="00217EDC">
            <w:pPr>
              <w:pStyle w:val="Table"/>
              <w:rPr>
                <w:rFonts w:cstheme="minorHAnsi"/>
                <w:szCs w:val="20"/>
                <w:lang w:val="en-GB"/>
              </w:rPr>
            </w:pPr>
            <w:r w:rsidRPr="00363AFF">
              <w:rPr>
                <w:rFonts w:cstheme="minorHAnsi"/>
                <w:spacing w:val="-2"/>
                <w:szCs w:val="20"/>
                <w:lang w:val="en-GB"/>
              </w:rPr>
              <w:t>Glass</w:t>
            </w:r>
          </w:p>
        </w:tc>
        <w:tc>
          <w:tcPr>
            <w:tcW w:w="1419" w:type="dxa"/>
          </w:tcPr>
          <w:p w14:paraId="2B42BB83" w14:textId="77777777" w:rsidR="00392FDA" w:rsidRPr="00363AFF" w:rsidRDefault="00392FDA" w:rsidP="00363AFF">
            <w:pPr>
              <w:pStyle w:val="Table"/>
              <w:jc w:val="center"/>
              <w:rPr>
                <w:rFonts w:cstheme="minorHAnsi"/>
                <w:szCs w:val="20"/>
                <w:lang w:val="en-GB"/>
              </w:rPr>
            </w:pPr>
            <w:r w:rsidRPr="00363AFF">
              <w:rPr>
                <w:rFonts w:cstheme="minorHAnsi"/>
                <w:spacing w:val="-4"/>
                <w:szCs w:val="20"/>
                <w:lang w:val="en-GB"/>
              </w:rPr>
              <w:t>24.1</w:t>
            </w:r>
          </w:p>
        </w:tc>
        <w:tc>
          <w:tcPr>
            <w:tcW w:w="1277" w:type="dxa"/>
          </w:tcPr>
          <w:p w14:paraId="3A206050" w14:textId="77777777" w:rsidR="00392FDA" w:rsidRPr="00363AFF" w:rsidRDefault="00392FDA" w:rsidP="00363AFF">
            <w:pPr>
              <w:pStyle w:val="Table"/>
              <w:jc w:val="center"/>
              <w:rPr>
                <w:rFonts w:cstheme="minorHAnsi"/>
                <w:szCs w:val="20"/>
                <w:lang w:val="en-GB"/>
              </w:rPr>
            </w:pPr>
            <w:r w:rsidRPr="00363AFF">
              <w:rPr>
                <w:rFonts w:cstheme="minorHAnsi"/>
                <w:spacing w:val="-4"/>
                <w:szCs w:val="20"/>
                <w:lang w:val="en-GB"/>
              </w:rPr>
              <w:t>21.4</w:t>
            </w:r>
          </w:p>
        </w:tc>
        <w:tc>
          <w:tcPr>
            <w:tcW w:w="1134" w:type="dxa"/>
          </w:tcPr>
          <w:p w14:paraId="071BC118" w14:textId="77777777" w:rsidR="00392FDA" w:rsidRPr="00363AFF" w:rsidRDefault="00392FDA" w:rsidP="00363AFF">
            <w:pPr>
              <w:pStyle w:val="Table"/>
              <w:jc w:val="center"/>
              <w:rPr>
                <w:rFonts w:cstheme="minorHAnsi"/>
                <w:szCs w:val="20"/>
                <w:lang w:val="en-GB"/>
              </w:rPr>
            </w:pPr>
            <w:r w:rsidRPr="00363AFF">
              <w:rPr>
                <w:rFonts w:cstheme="minorHAnsi"/>
                <w:spacing w:val="-4"/>
                <w:szCs w:val="20"/>
                <w:lang w:val="en-GB"/>
              </w:rPr>
              <w:t>31.1</w:t>
            </w:r>
          </w:p>
        </w:tc>
        <w:tc>
          <w:tcPr>
            <w:tcW w:w="1419" w:type="dxa"/>
          </w:tcPr>
          <w:p w14:paraId="4ECB7C00" w14:textId="77777777" w:rsidR="00392FDA" w:rsidRPr="00363AFF" w:rsidRDefault="00392FDA" w:rsidP="00363AFF">
            <w:pPr>
              <w:pStyle w:val="Table"/>
              <w:jc w:val="center"/>
              <w:rPr>
                <w:rFonts w:cstheme="minorHAnsi"/>
                <w:szCs w:val="20"/>
                <w:lang w:val="en-GB"/>
              </w:rPr>
            </w:pPr>
            <w:r w:rsidRPr="00363AFF">
              <w:rPr>
                <w:rFonts w:cstheme="minorHAnsi"/>
                <w:spacing w:val="-4"/>
                <w:szCs w:val="20"/>
                <w:lang w:val="en-GB"/>
              </w:rPr>
              <w:t>49.9</w:t>
            </w:r>
          </w:p>
        </w:tc>
      </w:tr>
      <w:tr w:rsidR="00392FDA" w:rsidRPr="00363AFF" w14:paraId="4CC11869" w14:textId="77777777" w:rsidTr="00BA7936">
        <w:trPr>
          <w:trHeight w:val="52"/>
          <w:jc w:val="center"/>
        </w:trPr>
        <w:tc>
          <w:tcPr>
            <w:tcW w:w="3556" w:type="dxa"/>
          </w:tcPr>
          <w:p w14:paraId="758BE1AF" w14:textId="77777777" w:rsidR="00392FDA" w:rsidRPr="00363AFF" w:rsidRDefault="00392FDA" w:rsidP="00217EDC">
            <w:pPr>
              <w:pStyle w:val="Table"/>
              <w:rPr>
                <w:rFonts w:cstheme="minorHAnsi"/>
                <w:szCs w:val="20"/>
                <w:lang w:val="en-GB"/>
              </w:rPr>
            </w:pPr>
            <w:r w:rsidRPr="00363AFF">
              <w:rPr>
                <w:rFonts w:cstheme="minorHAnsi"/>
                <w:spacing w:val="-2"/>
                <w:szCs w:val="20"/>
                <w:lang w:val="en-GB"/>
              </w:rPr>
              <w:t>Paper-cardboard</w:t>
            </w:r>
          </w:p>
        </w:tc>
        <w:tc>
          <w:tcPr>
            <w:tcW w:w="1419" w:type="dxa"/>
          </w:tcPr>
          <w:p w14:paraId="125DFC79" w14:textId="77777777" w:rsidR="00392FDA" w:rsidRPr="00363AFF" w:rsidRDefault="00392FDA" w:rsidP="00363AFF">
            <w:pPr>
              <w:pStyle w:val="Table"/>
              <w:jc w:val="center"/>
              <w:rPr>
                <w:rFonts w:cstheme="minorHAnsi"/>
                <w:szCs w:val="20"/>
                <w:lang w:val="en-GB"/>
              </w:rPr>
            </w:pPr>
            <w:r w:rsidRPr="00363AFF">
              <w:rPr>
                <w:rFonts w:cstheme="minorHAnsi"/>
                <w:spacing w:val="-4"/>
                <w:szCs w:val="20"/>
                <w:lang w:val="en-GB"/>
              </w:rPr>
              <w:t>13.9</w:t>
            </w:r>
          </w:p>
        </w:tc>
        <w:tc>
          <w:tcPr>
            <w:tcW w:w="1277" w:type="dxa"/>
          </w:tcPr>
          <w:p w14:paraId="3AAB7836" w14:textId="77777777" w:rsidR="00392FDA" w:rsidRPr="00363AFF" w:rsidRDefault="00392FDA" w:rsidP="00363AFF">
            <w:pPr>
              <w:pStyle w:val="Table"/>
              <w:jc w:val="center"/>
              <w:rPr>
                <w:rFonts w:cstheme="minorHAnsi"/>
                <w:szCs w:val="20"/>
                <w:lang w:val="en-GB"/>
              </w:rPr>
            </w:pPr>
            <w:r w:rsidRPr="00363AFF">
              <w:rPr>
                <w:rFonts w:cstheme="minorHAnsi"/>
                <w:spacing w:val="-4"/>
                <w:szCs w:val="20"/>
                <w:lang w:val="en-GB"/>
              </w:rPr>
              <w:t>16.9</w:t>
            </w:r>
          </w:p>
        </w:tc>
        <w:tc>
          <w:tcPr>
            <w:tcW w:w="1134" w:type="dxa"/>
          </w:tcPr>
          <w:p w14:paraId="5F2F89AE" w14:textId="77777777" w:rsidR="00392FDA" w:rsidRPr="00363AFF" w:rsidRDefault="00392FDA" w:rsidP="00363AFF">
            <w:pPr>
              <w:pStyle w:val="Table"/>
              <w:jc w:val="center"/>
              <w:rPr>
                <w:rFonts w:cstheme="minorHAnsi"/>
                <w:szCs w:val="20"/>
                <w:lang w:val="en-GB"/>
              </w:rPr>
            </w:pPr>
            <w:r w:rsidRPr="00363AFF">
              <w:rPr>
                <w:rFonts w:cstheme="minorHAnsi"/>
                <w:spacing w:val="-4"/>
                <w:szCs w:val="20"/>
                <w:lang w:val="en-GB"/>
              </w:rPr>
              <w:t>22.3</w:t>
            </w:r>
          </w:p>
        </w:tc>
        <w:tc>
          <w:tcPr>
            <w:tcW w:w="1419" w:type="dxa"/>
          </w:tcPr>
          <w:p w14:paraId="3DC1BECA"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118.9</w:t>
            </w:r>
          </w:p>
        </w:tc>
      </w:tr>
      <w:tr w:rsidR="00392FDA" w:rsidRPr="00363AFF" w14:paraId="12F50A4B" w14:textId="77777777" w:rsidTr="00BA7936">
        <w:trPr>
          <w:trHeight w:val="52"/>
          <w:jc w:val="center"/>
        </w:trPr>
        <w:tc>
          <w:tcPr>
            <w:tcW w:w="3556" w:type="dxa"/>
          </w:tcPr>
          <w:p w14:paraId="26D2437F" w14:textId="77777777" w:rsidR="00392FDA" w:rsidRPr="00363AFF" w:rsidRDefault="00392FDA" w:rsidP="00217EDC">
            <w:pPr>
              <w:pStyle w:val="Table"/>
              <w:rPr>
                <w:rFonts w:cstheme="minorHAnsi"/>
                <w:szCs w:val="20"/>
                <w:lang w:val="en-GB"/>
              </w:rPr>
            </w:pPr>
            <w:r w:rsidRPr="00363AFF">
              <w:rPr>
                <w:rFonts w:cstheme="minorHAnsi"/>
                <w:spacing w:val="-2"/>
                <w:szCs w:val="20"/>
                <w:lang w:val="en-GB"/>
              </w:rPr>
              <w:t>Steel</w:t>
            </w:r>
          </w:p>
        </w:tc>
        <w:tc>
          <w:tcPr>
            <w:tcW w:w="1419" w:type="dxa"/>
          </w:tcPr>
          <w:p w14:paraId="6B742052" w14:textId="77777777" w:rsidR="00392FDA" w:rsidRPr="00363AFF" w:rsidRDefault="00392FDA" w:rsidP="00363AFF">
            <w:pPr>
              <w:pStyle w:val="Table"/>
              <w:jc w:val="center"/>
              <w:rPr>
                <w:rFonts w:cstheme="minorHAnsi"/>
                <w:szCs w:val="20"/>
                <w:lang w:val="en-GB"/>
              </w:rPr>
            </w:pPr>
            <w:r w:rsidRPr="00363AFF">
              <w:rPr>
                <w:rFonts w:cstheme="minorHAnsi"/>
                <w:spacing w:val="-4"/>
                <w:szCs w:val="20"/>
                <w:lang w:val="en-GB"/>
              </w:rPr>
              <w:t>52.4</w:t>
            </w:r>
          </w:p>
        </w:tc>
        <w:tc>
          <w:tcPr>
            <w:tcW w:w="1277" w:type="dxa"/>
          </w:tcPr>
          <w:p w14:paraId="6108EB0A"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124.4</w:t>
            </w:r>
          </w:p>
        </w:tc>
        <w:tc>
          <w:tcPr>
            <w:tcW w:w="1134" w:type="dxa"/>
          </w:tcPr>
          <w:p w14:paraId="2E2DC536" w14:textId="77777777" w:rsidR="00392FDA" w:rsidRPr="00363AFF" w:rsidRDefault="00392FDA" w:rsidP="00363AFF">
            <w:pPr>
              <w:pStyle w:val="Table"/>
              <w:jc w:val="center"/>
              <w:rPr>
                <w:rFonts w:cstheme="minorHAnsi"/>
                <w:szCs w:val="20"/>
                <w:lang w:val="en-GB"/>
              </w:rPr>
            </w:pPr>
            <w:r w:rsidRPr="00363AFF">
              <w:rPr>
                <w:rFonts w:cstheme="minorHAnsi"/>
                <w:spacing w:val="-4"/>
                <w:szCs w:val="20"/>
                <w:lang w:val="en-GB"/>
              </w:rPr>
              <w:t>52.9</w:t>
            </w:r>
          </w:p>
        </w:tc>
        <w:tc>
          <w:tcPr>
            <w:tcW w:w="1419" w:type="dxa"/>
          </w:tcPr>
          <w:p w14:paraId="2CF375A5"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211.4</w:t>
            </w:r>
          </w:p>
        </w:tc>
      </w:tr>
      <w:tr w:rsidR="00392FDA" w:rsidRPr="00363AFF" w14:paraId="03337A28" w14:textId="77777777" w:rsidTr="00BA7936">
        <w:trPr>
          <w:trHeight w:val="52"/>
          <w:jc w:val="center"/>
        </w:trPr>
        <w:tc>
          <w:tcPr>
            <w:tcW w:w="3556" w:type="dxa"/>
          </w:tcPr>
          <w:p w14:paraId="5D98A06F" w14:textId="77777777" w:rsidR="00392FDA" w:rsidRPr="00363AFF" w:rsidRDefault="00392FDA" w:rsidP="00217EDC">
            <w:pPr>
              <w:pStyle w:val="Table"/>
              <w:rPr>
                <w:rFonts w:cstheme="minorHAnsi"/>
                <w:szCs w:val="20"/>
                <w:lang w:val="en-GB"/>
              </w:rPr>
            </w:pPr>
            <w:r w:rsidRPr="00363AFF">
              <w:rPr>
                <w:rFonts w:cstheme="minorHAnsi"/>
                <w:spacing w:val="-2"/>
                <w:szCs w:val="20"/>
                <w:lang w:val="en-GB"/>
              </w:rPr>
              <w:t>Aluminium</w:t>
            </w:r>
          </w:p>
        </w:tc>
        <w:tc>
          <w:tcPr>
            <w:tcW w:w="1419" w:type="dxa"/>
          </w:tcPr>
          <w:p w14:paraId="434F9D36" w14:textId="77777777" w:rsidR="00392FDA" w:rsidRPr="00363AFF" w:rsidRDefault="00392FDA" w:rsidP="00363AFF">
            <w:pPr>
              <w:pStyle w:val="Table"/>
              <w:jc w:val="center"/>
              <w:rPr>
                <w:rFonts w:cstheme="minorHAnsi"/>
                <w:szCs w:val="20"/>
                <w:lang w:val="en-GB"/>
              </w:rPr>
            </w:pPr>
            <w:r w:rsidRPr="00363AFF">
              <w:rPr>
                <w:rFonts w:cstheme="minorHAnsi"/>
                <w:spacing w:val="-4"/>
                <w:szCs w:val="20"/>
                <w:lang w:val="en-GB"/>
              </w:rPr>
              <w:t>31.7</w:t>
            </w:r>
          </w:p>
        </w:tc>
        <w:tc>
          <w:tcPr>
            <w:tcW w:w="1277" w:type="dxa"/>
          </w:tcPr>
          <w:p w14:paraId="604F071E" w14:textId="77777777" w:rsidR="00392FDA" w:rsidRPr="00363AFF" w:rsidRDefault="00392FDA" w:rsidP="00363AFF">
            <w:pPr>
              <w:pStyle w:val="Table"/>
              <w:jc w:val="center"/>
              <w:rPr>
                <w:rFonts w:cstheme="minorHAnsi"/>
                <w:szCs w:val="20"/>
                <w:lang w:val="en-GB"/>
              </w:rPr>
            </w:pPr>
            <w:r w:rsidRPr="00363AFF">
              <w:rPr>
                <w:rFonts w:cstheme="minorHAnsi"/>
                <w:spacing w:val="-4"/>
                <w:szCs w:val="20"/>
                <w:lang w:val="en-GB"/>
              </w:rPr>
              <w:t>32.6</w:t>
            </w:r>
          </w:p>
        </w:tc>
        <w:tc>
          <w:tcPr>
            <w:tcW w:w="1134" w:type="dxa"/>
          </w:tcPr>
          <w:p w14:paraId="52D0F652" w14:textId="77777777" w:rsidR="00392FDA" w:rsidRPr="00363AFF" w:rsidRDefault="00392FDA" w:rsidP="00363AFF">
            <w:pPr>
              <w:pStyle w:val="Table"/>
              <w:jc w:val="center"/>
              <w:rPr>
                <w:rFonts w:cstheme="minorHAnsi"/>
                <w:szCs w:val="20"/>
                <w:lang w:val="en-GB"/>
              </w:rPr>
            </w:pPr>
            <w:r w:rsidRPr="00363AFF">
              <w:rPr>
                <w:rFonts w:cstheme="minorHAnsi"/>
                <w:spacing w:val="-4"/>
                <w:szCs w:val="20"/>
                <w:lang w:val="en-GB"/>
              </w:rPr>
              <w:t>33,9</w:t>
            </w:r>
          </w:p>
        </w:tc>
        <w:tc>
          <w:tcPr>
            <w:tcW w:w="1419" w:type="dxa"/>
          </w:tcPr>
          <w:p w14:paraId="35867B43" w14:textId="77777777" w:rsidR="00392FDA" w:rsidRPr="00363AFF" w:rsidRDefault="00392FDA" w:rsidP="00363AFF">
            <w:pPr>
              <w:pStyle w:val="Table"/>
              <w:jc w:val="center"/>
              <w:rPr>
                <w:rFonts w:cstheme="minorHAnsi"/>
                <w:szCs w:val="20"/>
                <w:lang w:val="en-GB"/>
              </w:rPr>
            </w:pPr>
            <w:r w:rsidRPr="00363AFF">
              <w:rPr>
                <w:rFonts w:cstheme="minorHAnsi"/>
                <w:spacing w:val="-4"/>
                <w:szCs w:val="20"/>
                <w:lang w:val="en-GB"/>
              </w:rPr>
              <w:t>46.2</w:t>
            </w:r>
          </w:p>
        </w:tc>
      </w:tr>
      <w:tr w:rsidR="00392FDA" w:rsidRPr="00363AFF" w14:paraId="61C94266" w14:textId="77777777" w:rsidTr="00BA7936">
        <w:trPr>
          <w:trHeight w:val="53"/>
          <w:jc w:val="center"/>
        </w:trPr>
        <w:tc>
          <w:tcPr>
            <w:tcW w:w="3556" w:type="dxa"/>
          </w:tcPr>
          <w:p w14:paraId="68E20893" w14:textId="77777777" w:rsidR="00392FDA" w:rsidRPr="00363AFF" w:rsidRDefault="00392FDA" w:rsidP="00217EDC">
            <w:pPr>
              <w:pStyle w:val="Table"/>
              <w:rPr>
                <w:rFonts w:cstheme="minorHAnsi"/>
                <w:szCs w:val="20"/>
                <w:lang w:val="en-GB"/>
              </w:rPr>
            </w:pPr>
            <w:r w:rsidRPr="00363AFF">
              <w:rPr>
                <w:rFonts w:cstheme="minorHAnsi"/>
                <w:spacing w:val="-2"/>
                <w:szCs w:val="20"/>
                <w:lang w:val="en-GB"/>
              </w:rPr>
              <w:t>PET/HDPE</w:t>
            </w:r>
          </w:p>
        </w:tc>
        <w:tc>
          <w:tcPr>
            <w:tcW w:w="1419" w:type="dxa"/>
          </w:tcPr>
          <w:p w14:paraId="426FEA83"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111.1</w:t>
            </w:r>
          </w:p>
        </w:tc>
        <w:tc>
          <w:tcPr>
            <w:tcW w:w="1277" w:type="dxa"/>
          </w:tcPr>
          <w:p w14:paraId="5A847EC7"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210.7</w:t>
            </w:r>
          </w:p>
        </w:tc>
        <w:tc>
          <w:tcPr>
            <w:tcW w:w="1134" w:type="dxa"/>
          </w:tcPr>
          <w:p w14:paraId="2800744F" w14:textId="77777777" w:rsidR="00392FDA" w:rsidRPr="00363AFF" w:rsidRDefault="00392FDA" w:rsidP="00363AFF">
            <w:pPr>
              <w:pStyle w:val="Table"/>
              <w:jc w:val="center"/>
              <w:rPr>
                <w:rFonts w:cstheme="minorHAnsi"/>
                <w:szCs w:val="20"/>
                <w:lang w:val="en-GB"/>
              </w:rPr>
            </w:pPr>
            <w:r w:rsidRPr="00363AFF">
              <w:rPr>
                <w:rFonts w:cstheme="minorHAnsi"/>
                <w:spacing w:val="-10"/>
                <w:szCs w:val="20"/>
                <w:lang w:val="en-GB"/>
              </w:rPr>
              <w:t>-</w:t>
            </w:r>
          </w:p>
        </w:tc>
        <w:tc>
          <w:tcPr>
            <w:tcW w:w="1419" w:type="dxa"/>
          </w:tcPr>
          <w:p w14:paraId="347AB046" w14:textId="77777777" w:rsidR="00392FDA" w:rsidRPr="00363AFF" w:rsidRDefault="00392FDA" w:rsidP="00363AFF">
            <w:pPr>
              <w:pStyle w:val="Table"/>
              <w:jc w:val="center"/>
              <w:rPr>
                <w:rFonts w:cstheme="minorHAnsi"/>
                <w:szCs w:val="20"/>
                <w:lang w:val="en-GB"/>
              </w:rPr>
            </w:pPr>
            <w:r w:rsidRPr="00363AFF">
              <w:rPr>
                <w:rFonts w:cstheme="minorHAnsi"/>
                <w:spacing w:val="-10"/>
                <w:szCs w:val="20"/>
                <w:lang w:val="en-GB"/>
              </w:rPr>
              <w:t>-</w:t>
            </w:r>
          </w:p>
        </w:tc>
      </w:tr>
      <w:tr w:rsidR="00392FDA" w:rsidRPr="00363AFF" w14:paraId="15925817" w14:textId="77777777" w:rsidTr="00BA7936">
        <w:trPr>
          <w:trHeight w:val="151"/>
          <w:jc w:val="center"/>
        </w:trPr>
        <w:tc>
          <w:tcPr>
            <w:tcW w:w="3556" w:type="dxa"/>
          </w:tcPr>
          <w:p w14:paraId="01051C26" w14:textId="77777777" w:rsidR="00392FDA" w:rsidRPr="00363AFF" w:rsidRDefault="00392FDA" w:rsidP="00217EDC">
            <w:pPr>
              <w:pStyle w:val="Table"/>
              <w:rPr>
                <w:rFonts w:cstheme="minorHAnsi"/>
                <w:szCs w:val="20"/>
                <w:lang w:val="en-GB"/>
              </w:rPr>
            </w:pPr>
            <w:r w:rsidRPr="00363AFF">
              <w:rPr>
                <w:rFonts w:cstheme="minorHAnsi"/>
                <w:szCs w:val="20"/>
                <w:lang w:val="en-GB"/>
              </w:rPr>
              <w:t>PET</w:t>
            </w:r>
            <w:r w:rsidRPr="00363AFF">
              <w:rPr>
                <w:rFonts w:cstheme="minorHAnsi"/>
                <w:spacing w:val="-4"/>
                <w:szCs w:val="20"/>
                <w:lang w:val="en-GB"/>
              </w:rPr>
              <w:t xml:space="preserve"> </w:t>
            </w:r>
            <w:r w:rsidRPr="00363AFF">
              <w:rPr>
                <w:rFonts w:cstheme="minorHAnsi"/>
                <w:spacing w:val="-2"/>
                <w:szCs w:val="20"/>
                <w:lang w:val="en-GB"/>
              </w:rPr>
              <w:t>bottles</w:t>
            </w:r>
          </w:p>
        </w:tc>
        <w:tc>
          <w:tcPr>
            <w:tcW w:w="1419" w:type="dxa"/>
          </w:tcPr>
          <w:p w14:paraId="3C159028" w14:textId="77777777" w:rsidR="00392FDA" w:rsidRPr="00363AFF" w:rsidRDefault="00392FDA" w:rsidP="00363AFF">
            <w:pPr>
              <w:pStyle w:val="Table"/>
              <w:jc w:val="center"/>
              <w:rPr>
                <w:rFonts w:cstheme="minorHAnsi"/>
                <w:szCs w:val="20"/>
                <w:lang w:val="en-GB"/>
              </w:rPr>
            </w:pPr>
            <w:r w:rsidRPr="00363AFF">
              <w:rPr>
                <w:rFonts w:cstheme="minorHAnsi"/>
                <w:spacing w:val="-10"/>
                <w:szCs w:val="20"/>
                <w:lang w:val="en-GB"/>
              </w:rPr>
              <w:t>-</w:t>
            </w:r>
          </w:p>
        </w:tc>
        <w:tc>
          <w:tcPr>
            <w:tcW w:w="1277" w:type="dxa"/>
          </w:tcPr>
          <w:p w14:paraId="22482AC5" w14:textId="77777777" w:rsidR="00392FDA" w:rsidRPr="00363AFF" w:rsidRDefault="00392FDA" w:rsidP="00363AFF">
            <w:pPr>
              <w:pStyle w:val="Table"/>
              <w:jc w:val="center"/>
              <w:rPr>
                <w:rFonts w:cstheme="minorHAnsi"/>
                <w:szCs w:val="20"/>
                <w:lang w:val="en-GB"/>
              </w:rPr>
            </w:pPr>
            <w:r w:rsidRPr="00363AFF">
              <w:rPr>
                <w:rFonts w:cstheme="minorHAnsi"/>
                <w:spacing w:val="-10"/>
                <w:szCs w:val="20"/>
                <w:lang w:val="en-GB"/>
              </w:rPr>
              <w:t>-</w:t>
            </w:r>
          </w:p>
        </w:tc>
        <w:tc>
          <w:tcPr>
            <w:tcW w:w="1134" w:type="dxa"/>
          </w:tcPr>
          <w:p w14:paraId="459D9D82"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346.3</w:t>
            </w:r>
          </w:p>
        </w:tc>
        <w:tc>
          <w:tcPr>
            <w:tcW w:w="1419" w:type="dxa"/>
          </w:tcPr>
          <w:p w14:paraId="4AB06B2D"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200.4</w:t>
            </w:r>
          </w:p>
          <w:p w14:paraId="6D0C8D37"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(transparent)</w:t>
            </w:r>
          </w:p>
        </w:tc>
      </w:tr>
      <w:tr w:rsidR="00392FDA" w:rsidRPr="00363AFF" w14:paraId="0F04C5A1" w14:textId="77777777" w:rsidTr="00BA7936">
        <w:trPr>
          <w:trHeight w:val="52"/>
          <w:jc w:val="center"/>
        </w:trPr>
        <w:tc>
          <w:tcPr>
            <w:tcW w:w="3556" w:type="dxa"/>
          </w:tcPr>
          <w:p w14:paraId="2A4A2D6B" w14:textId="77777777" w:rsidR="00392FDA" w:rsidRPr="00363AFF" w:rsidRDefault="00392FDA" w:rsidP="00217EDC">
            <w:pPr>
              <w:pStyle w:val="Table"/>
              <w:rPr>
                <w:rFonts w:cstheme="minorHAnsi"/>
                <w:szCs w:val="20"/>
                <w:lang w:val="en-GB"/>
              </w:rPr>
            </w:pPr>
            <w:r w:rsidRPr="00363AFF">
              <w:rPr>
                <w:rFonts w:cstheme="minorHAnsi"/>
                <w:szCs w:val="20"/>
                <w:lang w:val="en-GB"/>
              </w:rPr>
              <w:t>HDPE</w:t>
            </w:r>
            <w:r w:rsidRPr="00363AFF">
              <w:rPr>
                <w:rFonts w:cstheme="minorHAnsi"/>
                <w:spacing w:val="-6"/>
                <w:szCs w:val="20"/>
                <w:lang w:val="en-GB"/>
              </w:rPr>
              <w:t xml:space="preserve"> </w:t>
            </w:r>
            <w:r w:rsidRPr="00363AFF">
              <w:rPr>
                <w:rFonts w:cstheme="minorHAnsi"/>
                <w:spacing w:val="-2"/>
                <w:szCs w:val="20"/>
                <w:lang w:val="en-GB"/>
              </w:rPr>
              <w:t>bottles</w:t>
            </w:r>
          </w:p>
        </w:tc>
        <w:tc>
          <w:tcPr>
            <w:tcW w:w="1419" w:type="dxa"/>
          </w:tcPr>
          <w:p w14:paraId="7ABD2B26" w14:textId="77777777" w:rsidR="00392FDA" w:rsidRPr="00363AFF" w:rsidRDefault="00392FDA" w:rsidP="00363AFF">
            <w:pPr>
              <w:pStyle w:val="Table"/>
              <w:jc w:val="center"/>
              <w:rPr>
                <w:rFonts w:cstheme="minorHAnsi"/>
                <w:szCs w:val="20"/>
                <w:lang w:val="en-GB"/>
              </w:rPr>
            </w:pPr>
            <w:r w:rsidRPr="00363AFF">
              <w:rPr>
                <w:rFonts w:cstheme="minorHAnsi"/>
                <w:spacing w:val="-10"/>
                <w:szCs w:val="20"/>
                <w:lang w:val="en-GB"/>
              </w:rPr>
              <w:t>-</w:t>
            </w:r>
          </w:p>
        </w:tc>
        <w:tc>
          <w:tcPr>
            <w:tcW w:w="1277" w:type="dxa"/>
          </w:tcPr>
          <w:p w14:paraId="462D435F" w14:textId="77777777" w:rsidR="00392FDA" w:rsidRPr="00363AFF" w:rsidRDefault="00392FDA" w:rsidP="00363AFF">
            <w:pPr>
              <w:pStyle w:val="Table"/>
              <w:jc w:val="center"/>
              <w:rPr>
                <w:rFonts w:cstheme="minorHAnsi"/>
                <w:szCs w:val="20"/>
                <w:lang w:val="en-GB"/>
              </w:rPr>
            </w:pPr>
            <w:r w:rsidRPr="00363AFF">
              <w:rPr>
                <w:rFonts w:cstheme="minorHAnsi"/>
                <w:spacing w:val="-10"/>
                <w:szCs w:val="20"/>
                <w:lang w:val="en-GB"/>
              </w:rPr>
              <w:t>-</w:t>
            </w:r>
          </w:p>
        </w:tc>
        <w:tc>
          <w:tcPr>
            <w:tcW w:w="1134" w:type="dxa"/>
          </w:tcPr>
          <w:p w14:paraId="517E6303"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341.8</w:t>
            </w:r>
          </w:p>
        </w:tc>
        <w:tc>
          <w:tcPr>
            <w:tcW w:w="1419" w:type="dxa"/>
          </w:tcPr>
          <w:p w14:paraId="78A93936"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364.7</w:t>
            </w:r>
          </w:p>
        </w:tc>
      </w:tr>
      <w:tr w:rsidR="00392FDA" w:rsidRPr="00363AFF" w14:paraId="6B6DDCD4" w14:textId="77777777" w:rsidTr="00BA7936">
        <w:trPr>
          <w:trHeight w:val="52"/>
          <w:jc w:val="center"/>
        </w:trPr>
        <w:tc>
          <w:tcPr>
            <w:tcW w:w="3556" w:type="dxa"/>
          </w:tcPr>
          <w:p w14:paraId="451E7273" w14:textId="77777777" w:rsidR="00392FDA" w:rsidRPr="00363AFF" w:rsidRDefault="00392FDA" w:rsidP="00217EDC">
            <w:pPr>
              <w:pStyle w:val="Table"/>
              <w:rPr>
                <w:rFonts w:cstheme="minorHAnsi"/>
                <w:szCs w:val="20"/>
                <w:lang w:val="en-GB"/>
              </w:rPr>
            </w:pPr>
            <w:r w:rsidRPr="00363AFF">
              <w:rPr>
                <w:rFonts w:cstheme="minorHAnsi"/>
                <w:szCs w:val="20"/>
                <w:lang w:val="en-GB"/>
              </w:rPr>
              <w:t>Other</w:t>
            </w:r>
            <w:r w:rsidRPr="00363AFF">
              <w:rPr>
                <w:rFonts w:cstheme="minorHAnsi"/>
                <w:spacing w:val="-6"/>
                <w:szCs w:val="20"/>
                <w:lang w:val="en-GB"/>
              </w:rPr>
              <w:t xml:space="preserve"> </w:t>
            </w:r>
            <w:r w:rsidRPr="00363AFF">
              <w:rPr>
                <w:rFonts w:cstheme="minorHAnsi"/>
                <w:spacing w:val="-2"/>
                <w:szCs w:val="20"/>
                <w:lang w:val="en-GB"/>
              </w:rPr>
              <w:t>plastics</w:t>
            </w:r>
          </w:p>
        </w:tc>
        <w:tc>
          <w:tcPr>
            <w:tcW w:w="1419" w:type="dxa"/>
          </w:tcPr>
          <w:p w14:paraId="3C199220" w14:textId="77777777" w:rsidR="00392FDA" w:rsidRPr="00363AFF" w:rsidRDefault="00392FDA" w:rsidP="00363AFF">
            <w:pPr>
              <w:pStyle w:val="Table"/>
              <w:jc w:val="center"/>
              <w:rPr>
                <w:rFonts w:cstheme="minorHAnsi"/>
                <w:szCs w:val="20"/>
                <w:lang w:val="en-GB"/>
              </w:rPr>
            </w:pPr>
            <w:r w:rsidRPr="00363AFF">
              <w:rPr>
                <w:rFonts w:cstheme="minorHAnsi"/>
                <w:spacing w:val="-10"/>
                <w:szCs w:val="20"/>
                <w:lang w:val="en-GB"/>
              </w:rPr>
              <w:t>-</w:t>
            </w:r>
          </w:p>
        </w:tc>
        <w:tc>
          <w:tcPr>
            <w:tcW w:w="1277" w:type="dxa"/>
          </w:tcPr>
          <w:p w14:paraId="3C07A221" w14:textId="77777777" w:rsidR="00392FDA" w:rsidRPr="00363AFF" w:rsidRDefault="00392FDA" w:rsidP="00363AFF">
            <w:pPr>
              <w:pStyle w:val="Table"/>
              <w:jc w:val="center"/>
              <w:rPr>
                <w:rFonts w:cstheme="minorHAnsi"/>
                <w:szCs w:val="20"/>
                <w:lang w:val="en-GB"/>
              </w:rPr>
            </w:pPr>
            <w:r w:rsidRPr="00363AFF">
              <w:rPr>
                <w:rFonts w:cstheme="minorHAnsi"/>
                <w:spacing w:val="-10"/>
                <w:szCs w:val="20"/>
                <w:lang w:val="en-GB"/>
              </w:rPr>
              <w:t>-</w:t>
            </w:r>
          </w:p>
        </w:tc>
        <w:tc>
          <w:tcPr>
            <w:tcW w:w="1134" w:type="dxa"/>
          </w:tcPr>
          <w:p w14:paraId="0BE390ED"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510.3</w:t>
            </w:r>
          </w:p>
        </w:tc>
        <w:tc>
          <w:tcPr>
            <w:tcW w:w="1419" w:type="dxa"/>
          </w:tcPr>
          <w:p w14:paraId="343B8BC5"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329.7-1133.7</w:t>
            </w:r>
          </w:p>
        </w:tc>
      </w:tr>
      <w:tr w:rsidR="00392FDA" w:rsidRPr="00363AFF" w14:paraId="4B83A4BB" w14:textId="77777777" w:rsidTr="00BA7936">
        <w:trPr>
          <w:trHeight w:val="52"/>
          <w:jc w:val="center"/>
        </w:trPr>
        <w:tc>
          <w:tcPr>
            <w:tcW w:w="3556" w:type="dxa"/>
          </w:tcPr>
          <w:p w14:paraId="70BDB02B" w14:textId="77777777" w:rsidR="00392FDA" w:rsidRPr="00363AFF" w:rsidRDefault="00392FDA" w:rsidP="00217EDC">
            <w:pPr>
              <w:pStyle w:val="Table"/>
              <w:rPr>
                <w:rFonts w:cstheme="minorHAnsi"/>
                <w:szCs w:val="20"/>
                <w:lang w:val="en-GB"/>
              </w:rPr>
            </w:pPr>
            <w:r w:rsidRPr="00363AFF">
              <w:rPr>
                <w:rFonts w:cstheme="minorHAnsi"/>
                <w:szCs w:val="20"/>
                <w:lang w:val="en-GB"/>
              </w:rPr>
              <w:t>Drink</w:t>
            </w:r>
            <w:r w:rsidRPr="00363AFF">
              <w:rPr>
                <w:rFonts w:cstheme="minorHAnsi"/>
                <w:spacing w:val="-8"/>
                <w:szCs w:val="20"/>
                <w:lang w:val="en-GB"/>
              </w:rPr>
              <w:t xml:space="preserve"> </w:t>
            </w:r>
            <w:r w:rsidRPr="00363AFF">
              <w:rPr>
                <w:rFonts w:cstheme="minorHAnsi"/>
                <w:spacing w:val="-2"/>
                <w:szCs w:val="20"/>
                <w:lang w:val="en-GB"/>
              </w:rPr>
              <w:t>cartons</w:t>
            </w:r>
          </w:p>
        </w:tc>
        <w:tc>
          <w:tcPr>
            <w:tcW w:w="1419" w:type="dxa"/>
          </w:tcPr>
          <w:p w14:paraId="381C44E7"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232.7</w:t>
            </w:r>
          </w:p>
        </w:tc>
        <w:tc>
          <w:tcPr>
            <w:tcW w:w="1277" w:type="dxa"/>
          </w:tcPr>
          <w:p w14:paraId="2F8C1F52"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245.5</w:t>
            </w:r>
          </w:p>
        </w:tc>
        <w:tc>
          <w:tcPr>
            <w:tcW w:w="1134" w:type="dxa"/>
          </w:tcPr>
          <w:p w14:paraId="2D9A589E"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354.1</w:t>
            </w:r>
          </w:p>
        </w:tc>
        <w:tc>
          <w:tcPr>
            <w:tcW w:w="1419" w:type="dxa"/>
          </w:tcPr>
          <w:p w14:paraId="15467859"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445.3</w:t>
            </w:r>
          </w:p>
        </w:tc>
      </w:tr>
      <w:tr w:rsidR="00392FDA" w:rsidRPr="00363AFF" w14:paraId="43DA4B7C" w14:textId="77777777" w:rsidTr="00BA7936">
        <w:trPr>
          <w:trHeight w:val="52"/>
          <w:jc w:val="center"/>
        </w:trPr>
        <w:tc>
          <w:tcPr>
            <w:tcW w:w="3556" w:type="dxa"/>
          </w:tcPr>
          <w:p w14:paraId="14536ED5" w14:textId="77777777" w:rsidR="00392FDA" w:rsidRPr="00363AFF" w:rsidRDefault="00392FDA" w:rsidP="00217EDC">
            <w:pPr>
              <w:pStyle w:val="Table"/>
              <w:rPr>
                <w:rFonts w:cstheme="minorHAnsi"/>
                <w:szCs w:val="20"/>
                <w:lang w:val="en-GB"/>
              </w:rPr>
            </w:pPr>
            <w:r w:rsidRPr="00363AFF">
              <w:rPr>
                <w:rFonts w:cstheme="minorHAnsi"/>
                <w:szCs w:val="20"/>
                <w:lang w:val="en-GB"/>
              </w:rPr>
              <w:t>Other</w:t>
            </w:r>
            <w:r w:rsidRPr="00363AFF">
              <w:rPr>
                <w:rFonts w:cstheme="minorHAnsi"/>
                <w:spacing w:val="-9"/>
                <w:szCs w:val="20"/>
                <w:lang w:val="en-GB"/>
              </w:rPr>
              <w:t xml:space="preserve"> </w:t>
            </w:r>
            <w:r w:rsidRPr="00363AFF">
              <w:rPr>
                <w:rFonts w:cstheme="minorHAnsi"/>
                <w:szCs w:val="20"/>
                <w:lang w:val="en-GB"/>
              </w:rPr>
              <w:t>recoverable</w:t>
            </w:r>
            <w:r w:rsidRPr="00363AFF">
              <w:rPr>
                <w:rFonts w:cstheme="minorHAnsi"/>
                <w:spacing w:val="-7"/>
                <w:szCs w:val="20"/>
                <w:lang w:val="en-GB"/>
              </w:rPr>
              <w:t xml:space="preserve"> </w:t>
            </w:r>
            <w:r w:rsidRPr="00363AFF">
              <w:rPr>
                <w:rFonts w:cstheme="minorHAnsi"/>
                <w:spacing w:val="-2"/>
                <w:szCs w:val="20"/>
                <w:lang w:val="en-GB"/>
              </w:rPr>
              <w:t>materials</w:t>
            </w:r>
          </w:p>
        </w:tc>
        <w:tc>
          <w:tcPr>
            <w:tcW w:w="1419" w:type="dxa"/>
          </w:tcPr>
          <w:p w14:paraId="5FCF8D23"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267.7</w:t>
            </w:r>
          </w:p>
        </w:tc>
        <w:tc>
          <w:tcPr>
            <w:tcW w:w="1277" w:type="dxa"/>
          </w:tcPr>
          <w:p w14:paraId="3866548D"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282.3</w:t>
            </w:r>
          </w:p>
        </w:tc>
        <w:tc>
          <w:tcPr>
            <w:tcW w:w="1134" w:type="dxa"/>
          </w:tcPr>
          <w:p w14:paraId="48C68116" w14:textId="77777777" w:rsidR="00392FDA" w:rsidRPr="00363AFF" w:rsidRDefault="00392FDA" w:rsidP="00363AFF">
            <w:pPr>
              <w:pStyle w:val="Table"/>
              <w:jc w:val="center"/>
              <w:rPr>
                <w:rFonts w:cstheme="minorHAnsi"/>
                <w:szCs w:val="20"/>
                <w:lang w:val="en-GB"/>
              </w:rPr>
            </w:pPr>
            <w:r w:rsidRPr="00363AFF">
              <w:rPr>
                <w:rFonts w:cstheme="minorHAnsi"/>
                <w:spacing w:val="-2"/>
                <w:szCs w:val="20"/>
                <w:lang w:val="en-GB"/>
              </w:rPr>
              <w:t>618.1</w:t>
            </w:r>
          </w:p>
        </w:tc>
        <w:tc>
          <w:tcPr>
            <w:tcW w:w="1419" w:type="dxa"/>
          </w:tcPr>
          <w:p w14:paraId="0252F6FF" w14:textId="77777777" w:rsidR="00392FDA" w:rsidRPr="00363AFF" w:rsidRDefault="00392FDA" w:rsidP="00363AFF">
            <w:pPr>
              <w:pStyle w:val="Table"/>
              <w:jc w:val="center"/>
              <w:rPr>
                <w:rFonts w:cstheme="minorHAnsi"/>
                <w:szCs w:val="20"/>
                <w:lang w:val="en-GB"/>
              </w:rPr>
            </w:pPr>
            <w:r w:rsidRPr="00363AFF">
              <w:rPr>
                <w:rFonts w:cstheme="minorHAnsi"/>
                <w:spacing w:val="-4"/>
                <w:szCs w:val="20"/>
                <w:lang w:val="en-GB"/>
              </w:rPr>
              <w:t>1152</w:t>
            </w:r>
          </w:p>
        </w:tc>
      </w:tr>
      <w:tr w:rsidR="00392FDA" w:rsidRPr="00363AFF" w14:paraId="4F54B04F" w14:textId="77777777" w:rsidTr="00BA7936">
        <w:trPr>
          <w:trHeight w:val="52"/>
          <w:jc w:val="center"/>
        </w:trPr>
        <w:tc>
          <w:tcPr>
            <w:tcW w:w="3556" w:type="dxa"/>
          </w:tcPr>
          <w:p w14:paraId="288EAC64" w14:textId="77777777" w:rsidR="00392FDA" w:rsidRPr="00363AFF" w:rsidRDefault="00392FDA" w:rsidP="00217EDC">
            <w:pPr>
              <w:pStyle w:val="Table"/>
              <w:rPr>
                <w:rFonts w:cstheme="minorHAnsi"/>
                <w:szCs w:val="20"/>
                <w:lang w:val="en-GB"/>
              </w:rPr>
            </w:pPr>
            <w:r w:rsidRPr="00363AFF">
              <w:rPr>
                <w:rFonts w:cstheme="minorHAnsi"/>
                <w:szCs w:val="20"/>
                <w:lang w:val="en-GB"/>
              </w:rPr>
              <w:t>Other non-recoverable materials</w:t>
            </w:r>
          </w:p>
        </w:tc>
        <w:tc>
          <w:tcPr>
            <w:tcW w:w="1419" w:type="dxa"/>
          </w:tcPr>
          <w:p w14:paraId="047848BB" w14:textId="77777777" w:rsidR="00392FDA" w:rsidRPr="00363AFF" w:rsidRDefault="00392FDA" w:rsidP="00363AFF">
            <w:pPr>
              <w:pStyle w:val="Table"/>
              <w:jc w:val="center"/>
              <w:rPr>
                <w:rFonts w:cstheme="minorHAnsi"/>
                <w:spacing w:val="-2"/>
                <w:szCs w:val="20"/>
                <w:lang w:val="en-GB"/>
              </w:rPr>
            </w:pPr>
            <w:r w:rsidRPr="00363AFF">
              <w:rPr>
                <w:rFonts w:cstheme="minorHAnsi"/>
                <w:spacing w:val="-2"/>
                <w:szCs w:val="20"/>
                <w:lang w:val="en-GB"/>
              </w:rPr>
              <w:t>294.4</w:t>
            </w:r>
          </w:p>
        </w:tc>
        <w:tc>
          <w:tcPr>
            <w:tcW w:w="1277" w:type="dxa"/>
          </w:tcPr>
          <w:p w14:paraId="158ADD97" w14:textId="77777777" w:rsidR="00392FDA" w:rsidRPr="00363AFF" w:rsidRDefault="00392FDA" w:rsidP="00363AFF">
            <w:pPr>
              <w:pStyle w:val="Table"/>
              <w:jc w:val="center"/>
              <w:rPr>
                <w:rFonts w:cstheme="minorHAnsi"/>
                <w:spacing w:val="-2"/>
                <w:szCs w:val="20"/>
                <w:lang w:val="en-GB"/>
              </w:rPr>
            </w:pPr>
            <w:r w:rsidRPr="00363AFF">
              <w:rPr>
                <w:rFonts w:cstheme="minorHAnsi"/>
                <w:spacing w:val="-2"/>
                <w:szCs w:val="20"/>
                <w:lang w:val="en-GB"/>
              </w:rPr>
              <w:t>310.6</w:t>
            </w:r>
          </w:p>
        </w:tc>
        <w:tc>
          <w:tcPr>
            <w:tcW w:w="1134" w:type="dxa"/>
          </w:tcPr>
          <w:p w14:paraId="0B63B16A" w14:textId="77777777" w:rsidR="00392FDA" w:rsidRPr="00363AFF" w:rsidRDefault="00392FDA" w:rsidP="00363AFF">
            <w:pPr>
              <w:pStyle w:val="Table"/>
              <w:jc w:val="center"/>
              <w:rPr>
                <w:rFonts w:cstheme="minorHAnsi"/>
                <w:spacing w:val="-2"/>
                <w:szCs w:val="20"/>
                <w:lang w:val="en-GB"/>
              </w:rPr>
            </w:pPr>
            <w:r w:rsidRPr="00363AFF">
              <w:rPr>
                <w:rFonts w:cstheme="minorHAnsi"/>
                <w:spacing w:val="-2"/>
                <w:szCs w:val="20"/>
                <w:lang w:val="en-GB"/>
              </w:rPr>
              <w:t>781.8</w:t>
            </w:r>
          </w:p>
        </w:tc>
        <w:tc>
          <w:tcPr>
            <w:tcW w:w="1419" w:type="dxa"/>
          </w:tcPr>
          <w:p w14:paraId="0A99F4E5" w14:textId="77777777" w:rsidR="00392FDA" w:rsidRPr="00363AFF" w:rsidRDefault="00392FDA" w:rsidP="00363AFF">
            <w:pPr>
              <w:pStyle w:val="Table"/>
              <w:jc w:val="center"/>
              <w:rPr>
                <w:rFonts w:cstheme="minorHAnsi"/>
                <w:spacing w:val="-4"/>
                <w:szCs w:val="20"/>
                <w:lang w:val="en-GB"/>
              </w:rPr>
            </w:pPr>
            <w:r w:rsidRPr="00363AFF">
              <w:rPr>
                <w:rFonts w:cstheme="minorHAnsi"/>
                <w:spacing w:val="-4"/>
                <w:szCs w:val="20"/>
                <w:lang w:val="en-GB"/>
              </w:rPr>
              <w:t>1440</w:t>
            </w:r>
          </w:p>
        </w:tc>
      </w:tr>
    </w:tbl>
    <w:p w14:paraId="7EFCAC99" w14:textId="77777777" w:rsidR="00392FDA" w:rsidRPr="00EA4C9B" w:rsidRDefault="00392FDA" w:rsidP="00392FDA">
      <w:pPr>
        <w:spacing w:before="240"/>
      </w:pPr>
      <w:r w:rsidRPr="00EA4C9B">
        <w:lastRenderedPageBreak/>
        <w:t>In 2021, a dissuasive rate (tariff: 2267 EUR/t) was introduced for nuisance packaging such as: plastic cans with metal on top or bottom; plastic bottles which are at least 75 % covered by a sleeve; aluminium foil laminated plastic packaging for drinks, fruit and vegetables, prepared dishes, pet food, care products and body care; oxodegradable packaging;  and laminated cardboard packaging of crisps and milk powders.</w:t>
      </w:r>
    </w:p>
    <w:p w14:paraId="3E766AFC" w14:textId="5E6E7F5E" w:rsidR="00392FDA" w:rsidRPr="00EA4C9B" w:rsidRDefault="00392FDA" w:rsidP="00392FDA">
      <w:r w:rsidRPr="00EA4C9B">
        <w:t>Flanders and Wallonia both have a landfill ban for some kinds of waste</w:t>
      </w:r>
      <w:r w:rsidR="003A79D6">
        <w:t xml:space="preserve"> (see </w:t>
      </w:r>
      <w:fldSimple w:instr=" REF _Ref209179264  \* MERGEFORMAT ">
        <w:r w:rsidR="00F50344" w:rsidRPr="00FF544C">
          <w:t>Table A6-11</w:t>
        </w:r>
      </w:fldSimple>
      <w:r w:rsidR="003A79D6">
        <w:t>)</w:t>
      </w:r>
      <w:r w:rsidRPr="00EA4C9B">
        <w:t xml:space="preserve"> as well as a </w:t>
      </w:r>
      <w:r w:rsidRPr="00EA4C9B">
        <w:rPr>
          <w:b/>
          <w:bCs/>
        </w:rPr>
        <w:t>landfill tax</w:t>
      </w:r>
      <w:r w:rsidRPr="00EA4C9B">
        <w:t xml:space="preserve">. The tax is levied on all Belgian waste to be landfilled, also on waste that is exported from Belgium for landfilling in other countries and on waste that is imported from other countries for landfilling in Belgium. There is no algorithm or calculation method applied to determine the level of the tax, but considering the waste management performance of Flanders and Wallonia, the tax seems to have been effective in reducing landfilling of waste and in redirecting waste to incineration. Their situation is presented in </w:t>
      </w:r>
      <w:r w:rsidR="00C5025A" w:rsidRPr="005D1523">
        <w:fldChar w:fldCharType="begin"/>
      </w:r>
      <w:r w:rsidR="00C5025A" w:rsidRPr="005D1523">
        <w:instrText xml:space="preserve"> REF _Ref209179264 </w:instrText>
      </w:r>
      <w:r w:rsidR="005D1523" w:rsidRPr="005D1523">
        <w:instrText xml:space="preserve"> \* MERGEFORMAT </w:instrText>
      </w:r>
      <w:r w:rsidR="00C5025A" w:rsidRPr="005D1523">
        <w:fldChar w:fldCharType="separate"/>
      </w:r>
      <w:r w:rsidR="00C5025A" w:rsidRPr="005D1523">
        <w:fldChar w:fldCharType="end"/>
      </w:r>
      <w:r w:rsidR="00C5025A" w:rsidRPr="005D1523">
        <w:t xml:space="preserve"> </w:t>
      </w:r>
      <w:r w:rsidRPr="005D1523">
        <w:t>below</w:t>
      </w:r>
      <w:r w:rsidR="00F50344">
        <w:t>.</w:t>
      </w:r>
      <w:r w:rsidRPr="00EA4C9B">
        <w:t xml:space="preserve"> </w:t>
      </w:r>
    </w:p>
    <w:tbl>
      <w:tblPr>
        <w:tblStyle w:val="TableNormal1"/>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4076"/>
        <w:gridCol w:w="3861"/>
      </w:tblGrid>
      <w:tr w:rsidR="00EA4C9B" w:rsidRPr="00EA4C9B" w14:paraId="1A84527E" w14:textId="77777777" w:rsidTr="00363AFF">
        <w:trPr>
          <w:trHeight w:val="63"/>
          <w:jc w:val="center"/>
        </w:trPr>
        <w:tc>
          <w:tcPr>
            <w:tcW w:w="8926" w:type="dxa"/>
            <w:gridSpan w:val="3"/>
            <w:shd w:val="clear" w:color="auto" w:fill="003399"/>
          </w:tcPr>
          <w:p w14:paraId="2D61C30B" w14:textId="208D573C" w:rsidR="00EA4C9B" w:rsidRPr="00217EDC" w:rsidRDefault="00EA4C9B" w:rsidP="00217EDC">
            <w:pPr>
              <w:pStyle w:val="Table"/>
              <w:rPr>
                <w:b/>
                <w:color w:val="FFFFFF" w:themeColor="background1"/>
              </w:rPr>
            </w:pPr>
            <w:bookmarkStart w:id="108" w:name="_Ref209179264"/>
            <w:r w:rsidRPr="00217EDC">
              <w:rPr>
                <w:b/>
                <w:color w:val="FFFFFF" w:themeColor="background1"/>
              </w:rPr>
              <w:t xml:space="preserve">Table </w:t>
            </w:r>
            <w:r w:rsidR="00490085">
              <w:rPr>
                <w:b/>
                <w:color w:val="FFFFFF" w:themeColor="background1"/>
              </w:rPr>
              <w:t>A6</w:t>
            </w:r>
            <w:r w:rsidR="00217EDC" w:rsidRPr="00217EDC">
              <w:rPr>
                <w:b/>
                <w:bCs/>
                <w:color w:val="FFFFFF" w:themeColor="background1"/>
              </w:rPr>
              <w:t>-</w:t>
            </w:r>
            <w:r w:rsidR="00217EDC" w:rsidRPr="00217EDC">
              <w:rPr>
                <w:b/>
                <w:bCs/>
                <w:color w:val="FFFFFF" w:themeColor="background1"/>
              </w:rPr>
              <w:fldChar w:fldCharType="begin"/>
            </w:r>
            <w:r w:rsidR="00217EDC" w:rsidRPr="00217EDC">
              <w:rPr>
                <w:b/>
                <w:bCs/>
                <w:color w:val="FFFFFF" w:themeColor="background1"/>
              </w:rPr>
              <w:instrText xml:space="preserve"> SEQ Table_A5- \* ARABIC </w:instrText>
            </w:r>
            <w:r w:rsidR="00217EDC" w:rsidRPr="00217EDC">
              <w:rPr>
                <w:b/>
                <w:bCs/>
                <w:color w:val="FFFFFF" w:themeColor="background1"/>
              </w:rPr>
              <w:fldChar w:fldCharType="separate"/>
            </w:r>
            <w:r w:rsidR="00363AFF">
              <w:rPr>
                <w:b/>
                <w:bCs/>
                <w:noProof/>
                <w:color w:val="FFFFFF" w:themeColor="background1"/>
              </w:rPr>
              <w:t>11</w:t>
            </w:r>
            <w:r w:rsidR="00217EDC" w:rsidRPr="00217EDC">
              <w:rPr>
                <w:b/>
                <w:bCs/>
                <w:color w:val="FFFFFF" w:themeColor="background1"/>
              </w:rPr>
              <w:fldChar w:fldCharType="end"/>
            </w:r>
            <w:bookmarkEnd w:id="108"/>
            <w:r w:rsidRPr="00217EDC">
              <w:rPr>
                <w:rFonts w:cstheme="minorHAnsi"/>
                <w:b/>
                <w:color w:val="FFFFFF" w:themeColor="background1"/>
                <w:szCs w:val="20"/>
                <w:lang w:val="en-GB"/>
              </w:rPr>
              <w:t>: Regional landfill bans and taxes</w:t>
            </w:r>
          </w:p>
        </w:tc>
      </w:tr>
      <w:tr w:rsidR="00392FDA" w:rsidRPr="00EA4C9B" w14:paraId="268A50E7" w14:textId="77777777" w:rsidTr="00EA4C9B">
        <w:trPr>
          <w:trHeight w:val="323"/>
          <w:jc w:val="center"/>
        </w:trPr>
        <w:tc>
          <w:tcPr>
            <w:tcW w:w="989" w:type="dxa"/>
          </w:tcPr>
          <w:p w14:paraId="5FF313B2" w14:textId="77777777" w:rsidR="00392FDA" w:rsidRPr="00363AFF" w:rsidRDefault="00392FDA" w:rsidP="00217EDC">
            <w:pPr>
              <w:pStyle w:val="Table"/>
              <w:rPr>
                <w:b/>
                <w:szCs w:val="20"/>
                <w:lang w:val="en-GB"/>
              </w:rPr>
            </w:pPr>
            <w:r w:rsidRPr="00363AFF">
              <w:rPr>
                <w:b/>
                <w:spacing w:val="-2"/>
                <w:szCs w:val="20"/>
                <w:lang w:val="en-GB"/>
              </w:rPr>
              <w:t>Region</w:t>
            </w:r>
          </w:p>
        </w:tc>
        <w:tc>
          <w:tcPr>
            <w:tcW w:w="4076" w:type="dxa"/>
          </w:tcPr>
          <w:p w14:paraId="0B477ED1" w14:textId="77777777" w:rsidR="00392FDA" w:rsidRPr="00363AFF" w:rsidRDefault="00392FDA" w:rsidP="00217EDC">
            <w:pPr>
              <w:pStyle w:val="Table"/>
              <w:rPr>
                <w:b/>
                <w:szCs w:val="20"/>
                <w:lang w:val="en-GB"/>
              </w:rPr>
            </w:pPr>
            <w:r w:rsidRPr="00363AFF">
              <w:rPr>
                <w:b/>
                <w:szCs w:val="20"/>
                <w:lang w:val="en-GB"/>
              </w:rPr>
              <w:t>Landfill</w:t>
            </w:r>
            <w:r w:rsidRPr="00363AFF">
              <w:rPr>
                <w:b/>
                <w:spacing w:val="-10"/>
                <w:szCs w:val="20"/>
                <w:lang w:val="en-GB"/>
              </w:rPr>
              <w:t xml:space="preserve"> </w:t>
            </w:r>
            <w:r w:rsidRPr="00363AFF">
              <w:rPr>
                <w:b/>
                <w:spacing w:val="-5"/>
                <w:szCs w:val="20"/>
                <w:lang w:val="en-GB"/>
              </w:rPr>
              <w:t>ban</w:t>
            </w:r>
          </w:p>
        </w:tc>
        <w:tc>
          <w:tcPr>
            <w:tcW w:w="3861" w:type="dxa"/>
          </w:tcPr>
          <w:p w14:paraId="50D8C1A9" w14:textId="77777777" w:rsidR="00392FDA" w:rsidRPr="00363AFF" w:rsidRDefault="00392FDA" w:rsidP="00217EDC">
            <w:pPr>
              <w:pStyle w:val="Table"/>
              <w:rPr>
                <w:b/>
                <w:szCs w:val="20"/>
                <w:lang w:val="en-GB"/>
              </w:rPr>
            </w:pPr>
            <w:r w:rsidRPr="00363AFF">
              <w:rPr>
                <w:b/>
                <w:szCs w:val="20"/>
                <w:lang w:val="en-GB"/>
              </w:rPr>
              <w:t>Landfill</w:t>
            </w:r>
            <w:r w:rsidRPr="00363AFF">
              <w:rPr>
                <w:b/>
                <w:spacing w:val="-8"/>
                <w:szCs w:val="20"/>
                <w:lang w:val="en-GB"/>
              </w:rPr>
              <w:t xml:space="preserve"> </w:t>
            </w:r>
            <w:r w:rsidRPr="00363AFF">
              <w:rPr>
                <w:b/>
                <w:szCs w:val="20"/>
                <w:lang w:val="en-GB"/>
              </w:rPr>
              <w:t>tax</w:t>
            </w:r>
            <w:r w:rsidRPr="00363AFF">
              <w:rPr>
                <w:b/>
                <w:spacing w:val="-6"/>
                <w:szCs w:val="20"/>
                <w:lang w:val="en-GB"/>
              </w:rPr>
              <w:t xml:space="preserve"> </w:t>
            </w:r>
            <w:r w:rsidRPr="00363AFF">
              <w:rPr>
                <w:b/>
                <w:spacing w:val="-2"/>
                <w:szCs w:val="20"/>
                <w:lang w:val="en-GB"/>
              </w:rPr>
              <w:t>(EUR/t)</w:t>
            </w:r>
          </w:p>
        </w:tc>
      </w:tr>
      <w:tr w:rsidR="00392FDA" w:rsidRPr="00EA4C9B" w14:paraId="4CB92A28" w14:textId="77777777" w:rsidTr="00EA4C9B">
        <w:trPr>
          <w:trHeight w:val="976"/>
          <w:jc w:val="center"/>
        </w:trPr>
        <w:tc>
          <w:tcPr>
            <w:tcW w:w="989" w:type="dxa"/>
          </w:tcPr>
          <w:p w14:paraId="234E85F6" w14:textId="77777777" w:rsidR="00392FDA" w:rsidRPr="00363AFF" w:rsidRDefault="00392FDA" w:rsidP="00217EDC">
            <w:pPr>
              <w:pStyle w:val="Table"/>
              <w:rPr>
                <w:b/>
                <w:szCs w:val="20"/>
                <w:lang w:val="en-GB"/>
              </w:rPr>
            </w:pPr>
          </w:p>
          <w:p w14:paraId="1675F241" w14:textId="77777777" w:rsidR="00392FDA" w:rsidRPr="00363AFF" w:rsidRDefault="00392FDA" w:rsidP="00217EDC">
            <w:pPr>
              <w:pStyle w:val="Table"/>
              <w:rPr>
                <w:szCs w:val="20"/>
                <w:lang w:val="en-GB"/>
              </w:rPr>
            </w:pPr>
            <w:r w:rsidRPr="00363AFF">
              <w:rPr>
                <w:spacing w:val="-2"/>
                <w:szCs w:val="20"/>
                <w:lang w:val="en-GB"/>
              </w:rPr>
              <w:t>Flanders</w:t>
            </w:r>
          </w:p>
        </w:tc>
        <w:tc>
          <w:tcPr>
            <w:tcW w:w="4076" w:type="dxa"/>
          </w:tcPr>
          <w:p w14:paraId="45DB70D1" w14:textId="77777777" w:rsidR="00392FDA" w:rsidRPr="00363AFF" w:rsidRDefault="00392FDA" w:rsidP="00217EDC">
            <w:pPr>
              <w:pStyle w:val="Table"/>
              <w:rPr>
                <w:szCs w:val="20"/>
                <w:lang w:val="en-GB"/>
              </w:rPr>
            </w:pPr>
            <w:r w:rsidRPr="00363AFF">
              <w:rPr>
                <w:szCs w:val="20"/>
                <w:lang w:val="en-GB"/>
              </w:rPr>
              <w:t>Since</w:t>
            </w:r>
            <w:r w:rsidRPr="00363AFF">
              <w:rPr>
                <w:spacing w:val="-7"/>
                <w:szCs w:val="20"/>
                <w:lang w:val="en-GB"/>
              </w:rPr>
              <w:t xml:space="preserve"> </w:t>
            </w:r>
            <w:r w:rsidRPr="00363AFF">
              <w:rPr>
                <w:szCs w:val="20"/>
                <w:lang w:val="en-GB"/>
              </w:rPr>
              <w:t>1998,</w:t>
            </w:r>
            <w:r w:rsidRPr="00363AFF">
              <w:rPr>
                <w:spacing w:val="-5"/>
                <w:szCs w:val="20"/>
                <w:lang w:val="en-GB"/>
              </w:rPr>
              <w:t xml:space="preserve"> </w:t>
            </w:r>
            <w:r w:rsidRPr="00363AFF">
              <w:rPr>
                <w:szCs w:val="20"/>
                <w:lang w:val="en-GB"/>
              </w:rPr>
              <w:t>ban</w:t>
            </w:r>
            <w:r w:rsidRPr="00363AFF">
              <w:rPr>
                <w:spacing w:val="-4"/>
                <w:szCs w:val="20"/>
                <w:lang w:val="en-GB"/>
              </w:rPr>
              <w:t xml:space="preserve"> </w:t>
            </w:r>
            <w:r w:rsidRPr="00363AFF">
              <w:rPr>
                <w:szCs w:val="20"/>
                <w:lang w:val="en-GB"/>
              </w:rPr>
              <w:t>on</w:t>
            </w:r>
            <w:r w:rsidRPr="00363AFF">
              <w:rPr>
                <w:spacing w:val="-5"/>
                <w:szCs w:val="20"/>
                <w:lang w:val="en-GB"/>
              </w:rPr>
              <w:t xml:space="preserve"> </w:t>
            </w:r>
            <w:r w:rsidRPr="00363AFF">
              <w:rPr>
                <w:szCs w:val="20"/>
                <w:lang w:val="en-GB"/>
              </w:rPr>
              <w:t>separately</w:t>
            </w:r>
            <w:r w:rsidRPr="00363AFF">
              <w:rPr>
                <w:spacing w:val="-7"/>
                <w:szCs w:val="20"/>
                <w:lang w:val="en-GB"/>
              </w:rPr>
              <w:t xml:space="preserve"> </w:t>
            </w:r>
            <w:r w:rsidRPr="00363AFF">
              <w:rPr>
                <w:szCs w:val="20"/>
                <w:lang w:val="en-GB"/>
              </w:rPr>
              <w:t>collected</w:t>
            </w:r>
            <w:r w:rsidRPr="00363AFF">
              <w:rPr>
                <w:spacing w:val="-3"/>
                <w:szCs w:val="20"/>
                <w:lang w:val="en-GB"/>
              </w:rPr>
              <w:t xml:space="preserve"> </w:t>
            </w:r>
            <w:r w:rsidRPr="00363AFF">
              <w:rPr>
                <w:spacing w:val="-2"/>
                <w:szCs w:val="20"/>
                <w:lang w:val="en-GB"/>
              </w:rPr>
              <w:t>waste;</w:t>
            </w:r>
          </w:p>
          <w:p w14:paraId="0E83ED87" w14:textId="77777777" w:rsidR="00392FDA" w:rsidRPr="00363AFF" w:rsidRDefault="00392FDA" w:rsidP="00217EDC">
            <w:pPr>
              <w:pStyle w:val="Table"/>
              <w:rPr>
                <w:szCs w:val="20"/>
                <w:lang w:val="en-GB"/>
              </w:rPr>
            </w:pPr>
            <w:r w:rsidRPr="00363AFF">
              <w:rPr>
                <w:szCs w:val="20"/>
                <w:lang w:val="en-GB"/>
              </w:rPr>
              <w:t>Since</w:t>
            </w:r>
            <w:r w:rsidRPr="00363AFF">
              <w:rPr>
                <w:spacing w:val="-7"/>
                <w:szCs w:val="20"/>
                <w:lang w:val="en-GB"/>
              </w:rPr>
              <w:t xml:space="preserve"> </w:t>
            </w:r>
            <w:r w:rsidRPr="00363AFF">
              <w:rPr>
                <w:szCs w:val="20"/>
                <w:lang w:val="en-GB"/>
              </w:rPr>
              <w:t>2000,</w:t>
            </w:r>
            <w:r w:rsidRPr="00363AFF">
              <w:rPr>
                <w:spacing w:val="-6"/>
                <w:szCs w:val="20"/>
                <w:lang w:val="en-GB"/>
              </w:rPr>
              <w:t xml:space="preserve"> </w:t>
            </w:r>
            <w:r w:rsidRPr="00363AFF">
              <w:rPr>
                <w:szCs w:val="20"/>
                <w:lang w:val="en-GB"/>
              </w:rPr>
              <w:t>ban</w:t>
            </w:r>
            <w:r w:rsidRPr="00363AFF">
              <w:rPr>
                <w:spacing w:val="-5"/>
                <w:szCs w:val="20"/>
                <w:lang w:val="en-GB"/>
              </w:rPr>
              <w:t xml:space="preserve"> </w:t>
            </w:r>
            <w:r w:rsidRPr="00363AFF">
              <w:rPr>
                <w:szCs w:val="20"/>
                <w:lang w:val="en-GB"/>
              </w:rPr>
              <w:t>on</w:t>
            </w:r>
            <w:r w:rsidRPr="00363AFF">
              <w:rPr>
                <w:spacing w:val="-6"/>
                <w:szCs w:val="20"/>
                <w:lang w:val="en-GB"/>
              </w:rPr>
              <w:t xml:space="preserve"> </w:t>
            </w:r>
            <w:r w:rsidRPr="00363AFF">
              <w:rPr>
                <w:szCs w:val="20"/>
                <w:lang w:val="en-GB"/>
              </w:rPr>
              <w:t>combustible</w:t>
            </w:r>
            <w:r w:rsidRPr="00363AFF">
              <w:rPr>
                <w:spacing w:val="-7"/>
                <w:szCs w:val="20"/>
                <w:lang w:val="en-GB"/>
              </w:rPr>
              <w:t xml:space="preserve"> </w:t>
            </w:r>
            <w:r w:rsidRPr="00363AFF">
              <w:rPr>
                <w:szCs w:val="20"/>
                <w:lang w:val="en-GB"/>
              </w:rPr>
              <w:t>waste</w:t>
            </w:r>
            <w:r w:rsidRPr="00363AFF">
              <w:rPr>
                <w:spacing w:val="-7"/>
                <w:szCs w:val="20"/>
                <w:lang w:val="en-GB"/>
              </w:rPr>
              <w:t xml:space="preserve"> </w:t>
            </w:r>
            <w:r w:rsidRPr="00363AFF">
              <w:rPr>
                <w:szCs w:val="20"/>
                <w:lang w:val="en-GB"/>
              </w:rPr>
              <w:t>(TOC</w:t>
            </w:r>
            <w:r w:rsidRPr="00363AFF">
              <w:rPr>
                <w:spacing w:val="-5"/>
                <w:szCs w:val="20"/>
                <w:lang w:val="en-GB"/>
              </w:rPr>
              <w:t xml:space="preserve"> </w:t>
            </w:r>
            <w:r w:rsidRPr="00363AFF">
              <w:rPr>
                <w:szCs w:val="20"/>
                <w:lang w:val="en-GB"/>
              </w:rPr>
              <w:t>&gt; 6 % and LOI &gt; 10 %);</w:t>
            </w:r>
          </w:p>
          <w:p w14:paraId="763C0139" w14:textId="77777777" w:rsidR="00392FDA" w:rsidRPr="00363AFF" w:rsidRDefault="00392FDA" w:rsidP="00217EDC">
            <w:pPr>
              <w:pStyle w:val="Table"/>
              <w:rPr>
                <w:szCs w:val="20"/>
                <w:lang w:val="en-GB"/>
              </w:rPr>
            </w:pPr>
            <w:r w:rsidRPr="00363AFF">
              <w:rPr>
                <w:szCs w:val="20"/>
                <w:lang w:val="en-GB"/>
              </w:rPr>
              <w:t>Since</w:t>
            </w:r>
            <w:r w:rsidRPr="00363AFF">
              <w:rPr>
                <w:spacing w:val="-7"/>
                <w:szCs w:val="20"/>
                <w:lang w:val="en-GB"/>
              </w:rPr>
              <w:t xml:space="preserve"> </w:t>
            </w:r>
            <w:r w:rsidRPr="00363AFF">
              <w:rPr>
                <w:szCs w:val="20"/>
                <w:lang w:val="en-GB"/>
              </w:rPr>
              <w:t>2007,</w:t>
            </w:r>
            <w:r w:rsidRPr="00363AFF">
              <w:rPr>
                <w:spacing w:val="-5"/>
                <w:szCs w:val="20"/>
                <w:lang w:val="en-GB"/>
              </w:rPr>
              <w:t xml:space="preserve"> </w:t>
            </w:r>
            <w:r w:rsidRPr="00363AFF">
              <w:rPr>
                <w:szCs w:val="20"/>
                <w:lang w:val="en-GB"/>
              </w:rPr>
              <w:t>ban</w:t>
            </w:r>
            <w:r w:rsidRPr="00363AFF">
              <w:rPr>
                <w:spacing w:val="-5"/>
                <w:szCs w:val="20"/>
                <w:lang w:val="en-GB"/>
              </w:rPr>
              <w:t xml:space="preserve"> </w:t>
            </w:r>
            <w:r w:rsidRPr="00363AFF">
              <w:rPr>
                <w:szCs w:val="20"/>
                <w:lang w:val="en-GB"/>
              </w:rPr>
              <w:t>on</w:t>
            </w:r>
            <w:r w:rsidRPr="00363AFF">
              <w:rPr>
                <w:spacing w:val="-6"/>
                <w:szCs w:val="20"/>
                <w:lang w:val="en-GB"/>
              </w:rPr>
              <w:t xml:space="preserve"> </w:t>
            </w:r>
            <w:r w:rsidRPr="00363AFF">
              <w:rPr>
                <w:szCs w:val="20"/>
                <w:lang w:val="en-GB"/>
              </w:rPr>
              <w:t>biodegradable</w:t>
            </w:r>
            <w:r w:rsidRPr="00363AFF">
              <w:rPr>
                <w:spacing w:val="-5"/>
                <w:szCs w:val="20"/>
                <w:lang w:val="en-GB"/>
              </w:rPr>
              <w:t xml:space="preserve"> </w:t>
            </w:r>
            <w:r w:rsidRPr="00363AFF">
              <w:rPr>
                <w:spacing w:val="-2"/>
                <w:szCs w:val="20"/>
                <w:lang w:val="en-GB"/>
              </w:rPr>
              <w:t>waste.</w:t>
            </w:r>
          </w:p>
        </w:tc>
        <w:tc>
          <w:tcPr>
            <w:tcW w:w="3861" w:type="dxa"/>
          </w:tcPr>
          <w:p w14:paraId="7707D5D9" w14:textId="77777777" w:rsidR="00392FDA" w:rsidRPr="00363AFF" w:rsidRDefault="00392FDA" w:rsidP="00217EDC">
            <w:pPr>
              <w:pStyle w:val="Table"/>
              <w:rPr>
                <w:b/>
                <w:szCs w:val="20"/>
                <w:lang w:val="en-GB"/>
              </w:rPr>
            </w:pPr>
          </w:p>
          <w:p w14:paraId="02A3E67D" w14:textId="77777777" w:rsidR="00392FDA" w:rsidRPr="00363AFF" w:rsidRDefault="00392FDA" w:rsidP="00217EDC">
            <w:pPr>
              <w:pStyle w:val="Table"/>
              <w:rPr>
                <w:szCs w:val="20"/>
                <w:lang w:val="en-GB"/>
              </w:rPr>
            </w:pPr>
            <w:r w:rsidRPr="00363AFF">
              <w:rPr>
                <w:szCs w:val="20"/>
                <w:lang w:val="en-GB"/>
              </w:rPr>
              <w:t>107.87</w:t>
            </w:r>
            <w:r w:rsidRPr="00363AFF">
              <w:rPr>
                <w:spacing w:val="-7"/>
                <w:szCs w:val="20"/>
                <w:lang w:val="en-GB"/>
              </w:rPr>
              <w:t xml:space="preserve"> </w:t>
            </w:r>
            <w:r w:rsidRPr="00363AFF">
              <w:rPr>
                <w:szCs w:val="20"/>
                <w:lang w:val="en-GB"/>
              </w:rPr>
              <w:t>EUR/t</w:t>
            </w:r>
            <w:r w:rsidRPr="00363AFF">
              <w:rPr>
                <w:spacing w:val="-7"/>
                <w:szCs w:val="20"/>
                <w:lang w:val="en-GB"/>
              </w:rPr>
              <w:t xml:space="preserve"> </w:t>
            </w:r>
            <w:r w:rsidRPr="00363AFF">
              <w:rPr>
                <w:szCs w:val="20"/>
                <w:lang w:val="en-GB"/>
              </w:rPr>
              <w:t>for</w:t>
            </w:r>
            <w:r w:rsidRPr="00363AFF">
              <w:rPr>
                <w:spacing w:val="-6"/>
                <w:szCs w:val="20"/>
                <w:lang w:val="en-GB"/>
              </w:rPr>
              <w:t xml:space="preserve"> </w:t>
            </w:r>
            <w:r w:rsidRPr="00363AFF">
              <w:rPr>
                <w:szCs w:val="20"/>
                <w:lang w:val="en-GB"/>
              </w:rPr>
              <w:t>combustible</w:t>
            </w:r>
            <w:r w:rsidRPr="00363AFF">
              <w:rPr>
                <w:spacing w:val="-6"/>
                <w:szCs w:val="20"/>
                <w:lang w:val="en-GB"/>
              </w:rPr>
              <w:t xml:space="preserve"> </w:t>
            </w:r>
            <w:r w:rsidRPr="00363AFF">
              <w:rPr>
                <w:spacing w:val="-2"/>
                <w:szCs w:val="20"/>
                <w:lang w:val="en-GB"/>
              </w:rPr>
              <w:t>waste;</w:t>
            </w:r>
          </w:p>
          <w:p w14:paraId="64CDF83D" w14:textId="77777777" w:rsidR="00392FDA" w:rsidRPr="00363AFF" w:rsidRDefault="00392FDA" w:rsidP="00217EDC">
            <w:pPr>
              <w:pStyle w:val="Table"/>
              <w:rPr>
                <w:szCs w:val="20"/>
                <w:lang w:val="en-GB"/>
              </w:rPr>
            </w:pPr>
            <w:r w:rsidRPr="00363AFF">
              <w:rPr>
                <w:szCs w:val="20"/>
                <w:lang w:val="en-GB"/>
              </w:rPr>
              <w:t>59.33</w:t>
            </w:r>
            <w:r w:rsidRPr="00363AFF">
              <w:rPr>
                <w:spacing w:val="-9"/>
                <w:szCs w:val="20"/>
                <w:lang w:val="en-GB"/>
              </w:rPr>
              <w:t xml:space="preserve"> </w:t>
            </w:r>
            <w:r w:rsidRPr="00363AFF">
              <w:rPr>
                <w:szCs w:val="20"/>
                <w:lang w:val="en-GB"/>
              </w:rPr>
              <w:t>EUR/t</w:t>
            </w:r>
            <w:r w:rsidRPr="00363AFF">
              <w:rPr>
                <w:spacing w:val="-5"/>
                <w:szCs w:val="20"/>
                <w:lang w:val="en-GB"/>
              </w:rPr>
              <w:t xml:space="preserve"> </w:t>
            </w:r>
            <w:r w:rsidRPr="00363AFF">
              <w:rPr>
                <w:szCs w:val="20"/>
                <w:lang w:val="en-GB"/>
              </w:rPr>
              <w:t>for</w:t>
            </w:r>
            <w:r w:rsidRPr="00363AFF">
              <w:rPr>
                <w:spacing w:val="-8"/>
                <w:szCs w:val="20"/>
                <w:lang w:val="en-GB"/>
              </w:rPr>
              <w:t xml:space="preserve"> </w:t>
            </w:r>
            <w:r w:rsidRPr="00363AFF">
              <w:rPr>
                <w:szCs w:val="20"/>
                <w:lang w:val="en-GB"/>
              </w:rPr>
              <w:t>non-combustible</w:t>
            </w:r>
            <w:r w:rsidRPr="00363AFF">
              <w:rPr>
                <w:spacing w:val="-9"/>
                <w:szCs w:val="20"/>
                <w:lang w:val="en-GB"/>
              </w:rPr>
              <w:t xml:space="preserve"> </w:t>
            </w:r>
            <w:r w:rsidRPr="00363AFF">
              <w:rPr>
                <w:spacing w:val="-2"/>
                <w:szCs w:val="20"/>
                <w:lang w:val="en-GB"/>
              </w:rPr>
              <w:t>waste.</w:t>
            </w:r>
          </w:p>
        </w:tc>
      </w:tr>
      <w:tr w:rsidR="00392FDA" w:rsidRPr="00EA4C9B" w14:paraId="42E4F682" w14:textId="77777777" w:rsidTr="00EA4C9B">
        <w:trPr>
          <w:trHeight w:val="734"/>
          <w:jc w:val="center"/>
        </w:trPr>
        <w:tc>
          <w:tcPr>
            <w:tcW w:w="989" w:type="dxa"/>
          </w:tcPr>
          <w:p w14:paraId="769323E2" w14:textId="77777777" w:rsidR="00392FDA" w:rsidRPr="00363AFF" w:rsidRDefault="00392FDA" w:rsidP="00217EDC">
            <w:pPr>
              <w:pStyle w:val="Table"/>
              <w:rPr>
                <w:b/>
                <w:szCs w:val="20"/>
                <w:lang w:val="en-GB"/>
              </w:rPr>
            </w:pPr>
          </w:p>
          <w:p w14:paraId="05D48FC3" w14:textId="77777777" w:rsidR="00392FDA" w:rsidRPr="00363AFF" w:rsidRDefault="00392FDA" w:rsidP="00217EDC">
            <w:pPr>
              <w:pStyle w:val="Table"/>
              <w:rPr>
                <w:szCs w:val="20"/>
                <w:lang w:val="en-GB"/>
              </w:rPr>
            </w:pPr>
            <w:r w:rsidRPr="00363AFF">
              <w:rPr>
                <w:spacing w:val="-2"/>
                <w:szCs w:val="20"/>
                <w:lang w:val="en-GB"/>
              </w:rPr>
              <w:t>Wallonia</w:t>
            </w:r>
          </w:p>
        </w:tc>
        <w:tc>
          <w:tcPr>
            <w:tcW w:w="4076" w:type="dxa"/>
          </w:tcPr>
          <w:p w14:paraId="469BECA7" w14:textId="77777777" w:rsidR="00392FDA" w:rsidRPr="00363AFF" w:rsidRDefault="00392FDA" w:rsidP="00217EDC">
            <w:pPr>
              <w:pStyle w:val="Table"/>
              <w:rPr>
                <w:szCs w:val="20"/>
                <w:lang w:val="en-GB"/>
              </w:rPr>
            </w:pPr>
            <w:r w:rsidRPr="00363AFF">
              <w:rPr>
                <w:szCs w:val="20"/>
                <w:lang w:val="en-GB"/>
              </w:rPr>
              <w:t>Since</w:t>
            </w:r>
            <w:r w:rsidRPr="00363AFF">
              <w:rPr>
                <w:spacing w:val="-7"/>
                <w:szCs w:val="20"/>
                <w:lang w:val="en-GB"/>
              </w:rPr>
              <w:t xml:space="preserve"> </w:t>
            </w:r>
            <w:r w:rsidRPr="00363AFF">
              <w:rPr>
                <w:szCs w:val="20"/>
                <w:lang w:val="en-GB"/>
              </w:rPr>
              <w:t>2004,</w:t>
            </w:r>
            <w:r w:rsidRPr="00363AFF">
              <w:rPr>
                <w:spacing w:val="-6"/>
                <w:szCs w:val="20"/>
                <w:lang w:val="en-GB"/>
              </w:rPr>
              <w:t xml:space="preserve"> </w:t>
            </w:r>
            <w:r w:rsidRPr="00363AFF">
              <w:rPr>
                <w:szCs w:val="20"/>
                <w:lang w:val="en-GB"/>
              </w:rPr>
              <w:t>ban</w:t>
            </w:r>
            <w:r w:rsidRPr="00363AFF">
              <w:rPr>
                <w:spacing w:val="-5"/>
                <w:szCs w:val="20"/>
                <w:lang w:val="en-GB"/>
              </w:rPr>
              <w:t xml:space="preserve"> </w:t>
            </w:r>
            <w:r w:rsidRPr="00363AFF">
              <w:rPr>
                <w:szCs w:val="20"/>
                <w:lang w:val="en-GB"/>
              </w:rPr>
              <w:t>on</w:t>
            </w:r>
            <w:r w:rsidRPr="00363AFF">
              <w:rPr>
                <w:spacing w:val="-6"/>
                <w:szCs w:val="20"/>
                <w:lang w:val="en-GB"/>
              </w:rPr>
              <w:t xml:space="preserve"> </w:t>
            </w:r>
            <w:r w:rsidRPr="00363AFF">
              <w:rPr>
                <w:szCs w:val="20"/>
                <w:lang w:val="en-GB"/>
              </w:rPr>
              <w:t>combustible</w:t>
            </w:r>
            <w:r w:rsidRPr="00363AFF">
              <w:rPr>
                <w:spacing w:val="-8"/>
                <w:szCs w:val="20"/>
                <w:lang w:val="en-GB"/>
              </w:rPr>
              <w:t xml:space="preserve"> </w:t>
            </w:r>
            <w:r w:rsidRPr="00363AFF">
              <w:rPr>
                <w:szCs w:val="20"/>
                <w:lang w:val="en-GB"/>
              </w:rPr>
              <w:t>waste</w:t>
            </w:r>
            <w:r w:rsidRPr="00363AFF">
              <w:rPr>
                <w:spacing w:val="-7"/>
                <w:szCs w:val="20"/>
                <w:lang w:val="en-GB"/>
              </w:rPr>
              <w:t xml:space="preserve"> </w:t>
            </w:r>
            <w:r w:rsidRPr="00363AFF">
              <w:rPr>
                <w:szCs w:val="20"/>
                <w:lang w:val="en-GB"/>
              </w:rPr>
              <w:t>(TOC</w:t>
            </w:r>
            <w:r w:rsidRPr="00363AFF">
              <w:rPr>
                <w:spacing w:val="-4"/>
                <w:szCs w:val="20"/>
                <w:lang w:val="en-GB"/>
              </w:rPr>
              <w:t xml:space="preserve"> </w:t>
            </w:r>
            <w:r w:rsidRPr="00363AFF">
              <w:rPr>
                <w:szCs w:val="20"/>
                <w:lang w:val="en-GB"/>
              </w:rPr>
              <w:t xml:space="preserve">&gt; </w:t>
            </w:r>
            <w:r w:rsidRPr="00363AFF">
              <w:rPr>
                <w:spacing w:val="-4"/>
                <w:szCs w:val="20"/>
                <w:lang w:val="en-GB"/>
              </w:rPr>
              <w:t>6%);</w:t>
            </w:r>
          </w:p>
          <w:p w14:paraId="66D2A113" w14:textId="77777777" w:rsidR="00392FDA" w:rsidRPr="00363AFF" w:rsidRDefault="00392FDA" w:rsidP="00217EDC">
            <w:pPr>
              <w:pStyle w:val="Table"/>
              <w:rPr>
                <w:szCs w:val="20"/>
                <w:lang w:val="en-GB"/>
              </w:rPr>
            </w:pPr>
            <w:r w:rsidRPr="00363AFF">
              <w:rPr>
                <w:szCs w:val="20"/>
                <w:lang w:val="en-GB"/>
              </w:rPr>
              <w:t>Since</w:t>
            </w:r>
            <w:r w:rsidRPr="00363AFF">
              <w:rPr>
                <w:spacing w:val="-8"/>
                <w:szCs w:val="20"/>
                <w:lang w:val="en-GB"/>
              </w:rPr>
              <w:t xml:space="preserve"> </w:t>
            </w:r>
            <w:r w:rsidRPr="00363AFF">
              <w:rPr>
                <w:szCs w:val="20"/>
                <w:lang w:val="en-GB"/>
              </w:rPr>
              <w:t>2007,</w:t>
            </w:r>
            <w:r w:rsidRPr="00363AFF">
              <w:rPr>
                <w:spacing w:val="-6"/>
                <w:szCs w:val="20"/>
                <w:lang w:val="en-GB"/>
              </w:rPr>
              <w:t xml:space="preserve"> </w:t>
            </w:r>
            <w:r w:rsidRPr="00363AFF">
              <w:rPr>
                <w:szCs w:val="20"/>
                <w:lang w:val="en-GB"/>
              </w:rPr>
              <w:t>ban</w:t>
            </w:r>
            <w:r w:rsidRPr="00363AFF">
              <w:rPr>
                <w:spacing w:val="-6"/>
                <w:szCs w:val="20"/>
                <w:lang w:val="en-GB"/>
              </w:rPr>
              <w:t xml:space="preserve"> </w:t>
            </w:r>
            <w:r w:rsidRPr="00363AFF">
              <w:rPr>
                <w:szCs w:val="20"/>
                <w:lang w:val="en-GB"/>
              </w:rPr>
              <w:t>on</w:t>
            </w:r>
            <w:r w:rsidRPr="00363AFF">
              <w:rPr>
                <w:spacing w:val="-6"/>
                <w:szCs w:val="20"/>
                <w:lang w:val="en-GB"/>
              </w:rPr>
              <w:t xml:space="preserve"> </w:t>
            </w:r>
            <w:r w:rsidRPr="00363AFF">
              <w:rPr>
                <w:szCs w:val="20"/>
                <w:lang w:val="en-GB"/>
              </w:rPr>
              <w:t>biodegradable</w:t>
            </w:r>
            <w:r w:rsidRPr="00363AFF">
              <w:rPr>
                <w:spacing w:val="-8"/>
                <w:szCs w:val="20"/>
                <w:lang w:val="en-GB"/>
              </w:rPr>
              <w:t xml:space="preserve"> </w:t>
            </w:r>
            <w:r w:rsidRPr="00363AFF">
              <w:rPr>
                <w:spacing w:val="-2"/>
                <w:szCs w:val="20"/>
                <w:lang w:val="en-GB"/>
              </w:rPr>
              <w:t>waste.</w:t>
            </w:r>
          </w:p>
        </w:tc>
        <w:tc>
          <w:tcPr>
            <w:tcW w:w="3861" w:type="dxa"/>
          </w:tcPr>
          <w:p w14:paraId="397A5103" w14:textId="77777777" w:rsidR="00392FDA" w:rsidRPr="00363AFF" w:rsidRDefault="00392FDA" w:rsidP="00217EDC">
            <w:pPr>
              <w:pStyle w:val="Table"/>
              <w:rPr>
                <w:szCs w:val="20"/>
                <w:lang w:val="en-GB"/>
              </w:rPr>
            </w:pPr>
            <w:r w:rsidRPr="00363AFF">
              <w:rPr>
                <w:szCs w:val="20"/>
                <w:lang w:val="en-GB"/>
              </w:rPr>
              <w:t>119.59</w:t>
            </w:r>
            <w:r w:rsidRPr="00363AFF">
              <w:rPr>
                <w:spacing w:val="-5"/>
                <w:szCs w:val="20"/>
                <w:lang w:val="en-GB"/>
              </w:rPr>
              <w:t xml:space="preserve"> </w:t>
            </w:r>
            <w:r w:rsidRPr="00363AFF">
              <w:rPr>
                <w:szCs w:val="20"/>
                <w:lang w:val="en-GB"/>
              </w:rPr>
              <w:t>EUR/t</w:t>
            </w:r>
            <w:r w:rsidRPr="00363AFF">
              <w:rPr>
                <w:spacing w:val="-4"/>
                <w:szCs w:val="20"/>
                <w:lang w:val="en-GB"/>
              </w:rPr>
              <w:t xml:space="preserve"> </w:t>
            </w:r>
            <w:r w:rsidRPr="00363AFF">
              <w:rPr>
                <w:szCs w:val="20"/>
                <w:lang w:val="en-GB"/>
              </w:rPr>
              <w:t>for</w:t>
            </w:r>
            <w:r w:rsidRPr="00363AFF">
              <w:rPr>
                <w:spacing w:val="-5"/>
                <w:szCs w:val="20"/>
                <w:lang w:val="en-GB"/>
              </w:rPr>
              <w:t xml:space="preserve"> </w:t>
            </w:r>
            <w:r w:rsidRPr="00363AFF">
              <w:rPr>
                <w:szCs w:val="20"/>
                <w:lang w:val="en-GB"/>
              </w:rPr>
              <w:t>general</w:t>
            </w:r>
            <w:r w:rsidRPr="00363AFF">
              <w:rPr>
                <w:spacing w:val="-5"/>
                <w:szCs w:val="20"/>
                <w:lang w:val="en-GB"/>
              </w:rPr>
              <w:t xml:space="preserve"> </w:t>
            </w:r>
            <w:r w:rsidRPr="00363AFF">
              <w:rPr>
                <w:spacing w:val="-2"/>
                <w:szCs w:val="20"/>
                <w:lang w:val="en-GB"/>
              </w:rPr>
              <w:t>waste;</w:t>
            </w:r>
          </w:p>
          <w:p w14:paraId="2482A447" w14:textId="77777777" w:rsidR="00392FDA" w:rsidRPr="00363AFF" w:rsidRDefault="00392FDA" w:rsidP="00217EDC">
            <w:pPr>
              <w:pStyle w:val="Table"/>
              <w:rPr>
                <w:szCs w:val="20"/>
                <w:lang w:val="en-GB"/>
              </w:rPr>
            </w:pPr>
            <w:r w:rsidRPr="00363AFF">
              <w:rPr>
                <w:szCs w:val="20"/>
                <w:lang w:val="en-GB"/>
              </w:rPr>
              <w:t>66.37</w:t>
            </w:r>
            <w:r w:rsidRPr="00363AFF">
              <w:rPr>
                <w:spacing w:val="-9"/>
                <w:szCs w:val="20"/>
                <w:lang w:val="en-GB"/>
              </w:rPr>
              <w:t xml:space="preserve"> </w:t>
            </w:r>
            <w:r w:rsidRPr="00363AFF">
              <w:rPr>
                <w:szCs w:val="20"/>
                <w:lang w:val="en-GB"/>
              </w:rPr>
              <w:t>EUR/t</w:t>
            </w:r>
            <w:r w:rsidRPr="00363AFF">
              <w:rPr>
                <w:spacing w:val="-5"/>
                <w:szCs w:val="20"/>
                <w:lang w:val="en-GB"/>
              </w:rPr>
              <w:t xml:space="preserve"> </w:t>
            </w:r>
            <w:r w:rsidRPr="00363AFF">
              <w:rPr>
                <w:szCs w:val="20"/>
                <w:lang w:val="en-GB"/>
              </w:rPr>
              <w:t>for</w:t>
            </w:r>
            <w:r w:rsidRPr="00363AFF">
              <w:rPr>
                <w:spacing w:val="-8"/>
                <w:szCs w:val="20"/>
                <w:lang w:val="en-GB"/>
              </w:rPr>
              <w:t xml:space="preserve"> </w:t>
            </w:r>
            <w:r w:rsidRPr="00363AFF">
              <w:rPr>
                <w:szCs w:val="20"/>
                <w:lang w:val="en-GB"/>
              </w:rPr>
              <w:t>non-combustible</w:t>
            </w:r>
            <w:r w:rsidRPr="00363AFF">
              <w:rPr>
                <w:spacing w:val="-9"/>
                <w:szCs w:val="20"/>
                <w:lang w:val="en-GB"/>
              </w:rPr>
              <w:t xml:space="preserve"> </w:t>
            </w:r>
            <w:r w:rsidRPr="00363AFF">
              <w:rPr>
                <w:spacing w:val="-4"/>
                <w:szCs w:val="20"/>
                <w:lang w:val="en-GB"/>
              </w:rPr>
              <w:t>waste</w:t>
            </w:r>
          </w:p>
        </w:tc>
      </w:tr>
    </w:tbl>
    <w:p w14:paraId="64D1B456" w14:textId="77777777" w:rsidR="00392FDA" w:rsidRPr="00EA4C9B" w:rsidRDefault="00392FDA" w:rsidP="00392FDA">
      <w:pPr>
        <w:spacing w:before="240"/>
      </w:pPr>
      <w:r w:rsidRPr="00EA4C9B">
        <w:t>According to the 2025 Semester analysis</w:t>
      </w:r>
      <w:r w:rsidRPr="00EA4C9B">
        <w:rPr>
          <w:rStyle w:val="FootnoteReference"/>
        </w:rPr>
        <w:footnoteReference w:id="26"/>
      </w:r>
      <w:r w:rsidRPr="00EA4C9B">
        <w:t>, Belgium’s landfill diversion success is among the best in the EU, but further progress is constrained by persistent incineration reliance and limited incentives for upstream waste prevention.</w:t>
      </w:r>
    </w:p>
    <w:p w14:paraId="5C0042A6" w14:textId="77777777" w:rsidR="00392FDA" w:rsidRPr="00EA4C9B" w:rsidRDefault="00392FDA" w:rsidP="00392FDA">
      <w:pPr>
        <w:pStyle w:val="Heading4"/>
      </w:pPr>
      <w:r w:rsidRPr="00EA4C9B">
        <w:t>Conclusions, country-specific recommendations and reform progress</w:t>
      </w:r>
    </w:p>
    <w:p w14:paraId="1109BA5E" w14:textId="77777777" w:rsidR="00392FDA" w:rsidRPr="00EA4C9B" w:rsidRDefault="00392FDA" w:rsidP="00392FDA">
      <w:pPr>
        <w:pStyle w:val="NormalWeb"/>
        <w:spacing w:before="120" w:beforeAutospacing="0" w:after="120" w:afterAutospacing="0"/>
        <w:jc w:val="both"/>
        <w:rPr>
          <w:rFonts w:asciiTheme="minorHAnsi" w:eastAsiaTheme="minorHAnsi" w:hAnsiTheme="minorHAnsi" w:cstheme="minorBidi"/>
          <w:sz w:val="22"/>
          <w:szCs w:val="22"/>
          <w:lang w:eastAsia="en-US"/>
        </w:rPr>
      </w:pPr>
      <w:r w:rsidRPr="00EA4C9B">
        <w:rPr>
          <w:rFonts w:asciiTheme="minorHAnsi" w:eastAsiaTheme="minorHAnsi" w:hAnsiTheme="minorHAnsi" w:cstheme="minorBidi"/>
          <w:sz w:val="22"/>
          <w:szCs w:val="22"/>
          <w:lang w:eastAsia="en-US"/>
        </w:rPr>
        <w:t>Belgium’s environmental taxation system remains notably decentralized, with substantial authority delegated to its three regions: Flanders, Wallonia, and Brussels-Capital. Each region independently administers pollution and resource taxes, allowing tailored responses to local environmental issues. Recent regional adjustments include increased taxes on waste incineration, reflecting efforts to discourage environmentally harmful practices and promote recycling (EEA, 2021)</w:t>
      </w:r>
      <w:r w:rsidRPr="00EA4C9B">
        <w:rPr>
          <w:rStyle w:val="FootnoteReference"/>
          <w:rFonts w:asciiTheme="minorHAnsi" w:eastAsiaTheme="minorHAnsi" w:hAnsiTheme="minorHAnsi" w:cstheme="minorBidi"/>
          <w:sz w:val="22"/>
          <w:szCs w:val="22"/>
          <w:lang w:eastAsia="en-US"/>
        </w:rPr>
        <w:footnoteReference w:id="27"/>
      </w:r>
      <w:r w:rsidRPr="00EA4C9B">
        <w:rPr>
          <w:rFonts w:asciiTheme="minorHAnsi" w:eastAsiaTheme="minorHAnsi" w:hAnsiTheme="minorHAnsi" w:cstheme="minorBidi"/>
          <w:sz w:val="22"/>
          <w:szCs w:val="22"/>
          <w:lang w:eastAsia="en-US"/>
        </w:rPr>
        <w:t>.</w:t>
      </w:r>
    </w:p>
    <w:p w14:paraId="3D3F5661" w14:textId="77777777" w:rsidR="00392FDA" w:rsidRPr="00EA4C9B" w:rsidRDefault="00392FDA" w:rsidP="00392FDA">
      <w:r w:rsidRPr="00EA4C9B">
        <w:t xml:space="preserve">Over recent years, Belgium has implemented targeted reforms and policy adjustments in pollution and resource taxation to align with European Union environmental objectives. These measures aim to internalize environmental costs, promote sustainable practices, and transition towards a circular economy. </w:t>
      </w:r>
    </w:p>
    <w:p w14:paraId="41E1A3DA" w14:textId="77777777" w:rsidR="00392FDA" w:rsidRPr="00EA4C9B" w:rsidRDefault="00392FDA" w:rsidP="00392FDA">
      <w:pPr>
        <w:pStyle w:val="NormalWeb"/>
        <w:spacing w:before="120" w:beforeAutospacing="0" w:after="120" w:afterAutospacing="0"/>
        <w:jc w:val="both"/>
        <w:rPr>
          <w:rFonts w:asciiTheme="minorHAnsi" w:eastAsiaTheme="minorHAnsi" w:hAnsiTheme="minorHAnsi" w:cstheme="minorBidi"/>
          <w:sz w:val="22"/>
          <w:szCs w:val="22"/>
          <w:lang w:eastAsia="en-US"/>
        </w:rPr>
      </w:pPr>
      <w:r w:rsidRPr="00EA4C9B">
        <w:rPr>
          <w:rFonts w:asciiTheme="minorHAnsi" w:eastAsiaTheme="minorHAnsi" w:hAnsiTheme="minorHAnsi" w:cstheme="minorBidi"/>
          <w:sz w:val="22"/>
          <w:szCs w:val="22"/>
          <w:lang w:eastAsia="en-US"/>
        </w:rPr>
        <w:t>Policy developments include proposals to introduce a national carbon tax recommended by the IMF, aiming for a progressive rate reaching approximately €100 per tonne by 2030. This policy targets sectors not covered by the EU Emissions Trading System, such as transportation and agriculture, to facilitate cost-effective emission reductions</w:t>
      </w:r>
      <w:r w:rsidRPr="00EA4C9B">
        <w:rPr>
          <w:rStyle w:val="FootnoteReference"/>
          <w:rFonts w:asciiTheme="minorHAnsi" w:eastAsiaTheme="minorHAnsi" w:hAnsiTheme="minorHAnsi" w:cstheme="minorBidi"/>
          <w:sz w:val="22"/>
          <w:szCs w:val="22"/>
          <w:lang w:eastAsia="en-US"/>
        </w:rPr>
        <w:footnoteReference w:id="28"/>
      </w:r>
      <w:r w:rsidRPr="00EA4C9B">
        <w:rPr>
          <w:rFonts w:asciiTheme="minorHAnsi" w:eastAsiaTheme="minorHAnsi" w:hAnsiTheme="minorHAnsi" w:cstheme="minorBidi"/>
          <w:sz w:val="22"/>
          <w:szCs w:val="22"/>
          <w:lang w:eastAsia="en-US"/>
        </w:rPr>
        <w:t>. Additionally, the federal government introduced "Ecocide" into Belgium's criminal code in early 2024, establishing severe penalties for activities causing substantial, widespread environmental damage</w:t>
      </w:r>
      <w:r w:rsidRPr="00EA4C9B">
        <w:rPr>
          <w:rStyle w:val="FootnoteReference"/>
          <w:rFonts w:asciiTheme="minorHAnsi" w:eastAsiaTheme="minorHAnsi" w:hAnsiTheme="minorHAnsi" w:cstheme="minorBidi"/>
          <w:sz w:val="22"/>
          <w:szCs w:val="22"/>
          <w:lang w:eastAsia="en-US"/>
        </w:rPr>
        <w:footnoteReference w:id="29"/>
      </w:r>
      <w:r w:rsidRPr="00EA4C9B">
        <w:rPr>
          <w:rFonts w:asciiTheme="minorHAnsi" w:eastAsiaTheme="minorHAnsi" w:hAnsiTheme="minorHAnsi" w:cstheme="minorBidi"/>
          <w:sz w:val="22"/>
          <w:szCs w:val="22"/>
          <w:lang w:eastAsia="en-US"/>
        </w:rPr>
        <w:t>.</w:t>
      </w:r>
    </w:p>
    <w:p w14:paraId="0857A928" w14:textId="77777777" w:rsidR="00392FDA" w:rsidRPr="00EA4C9B" w:rsidRDefault="00392FDA" w:rsidP="00392FDA">
      <w:pPr>
        <w:pStyle w:val="NormalWeb"/>
        <w:spacing w:before="120" w:beforeAutospacing="0" w:after="120" w:afterAutospacing="0"/>
        <w:jc w:val="both"/>
        <w:rPr>
          <w:rFonts w:asciiTheme="minorHAnsi" w:eastAsiaTheme="minorHAnsi" w:hAnsiTheme="minorHAnsi" w:cstheme="minorBidi"/>
          <w:sz w:val="22"/>
          <w:szCs w:val="22"/>
          <w:lang w:eastAsia="en-US"/>
        </w:rPr>
      </w:pPr>
      <w:r w:rsidRPr="00EA4C9B">
        <w:rPr>
          <w:rFonts w:asciiTheme="minorHAnsi" w:eastAsiaTheme="minorHAnsi" w:hAnsiTheme="minorHAnsi" w:cstheme="minorBidi"/>
          <w:sz w:val="22"/>
          <w:szCs w:val="22"/>
          <w:lang w:eastAsia="en-US"/>
        </w:rPr>
        <w:lastRenderedPageBreak/>
        <w:t>Further proposals for comprehensive environmental tax reforms at the federal level were explored in 2022, advocating for revisions to energy taxation, increased excise duties, and measures promoting sustainability in transport and construction sectors</w:t>
      </w:r>
      <w:r w:rsidRPr="00EA4C9B">
        <w:rPr>
          <w:rStyle w:val="FootnoteReference"/>
          <w:rFonts w:asciiTheme="minorHAnsi" w:eastAsiaTheme="minorHAnsi" w:hAnsiTheme="minorHAnsi" w:cstheme="minorBidi"/>
          <w:sz w:val="22"/>
          <w:szCs w:val="22"/>
          <w:lang w:eastAsia="en-US"/>
        </w:rPr>
        <w:footnoteReference w:id="30"/>
      </w:r>
      <w:r w:rsidRPr="00EA4C9B">
        <w:rPr>
          <w:rFonts w:asciiTheme="minorHAnsi" w:eastAsiaTheme="minorHAnsi" w:hAnsiTheme="minorHAnsi" w:cstheme="minorBidi"/>
          <w:sz w:val="22"/>
          <w:szCs w:val="22"/>
          <w:lang w:eastAsia="en-US"/>
        </w:rPr>
        <w:t>. These efforts illustrate Belgium’s evolving approach towards leveraging fiscal policies to achieve broader environmental sustainability goals.</w:t>
      </w:r>
    </w:p>
    <w:p w14:paraId="26011789" w14:textId="77777777" w:rsidR="00392FDA" w:rsidRPr="00EA4C9B" w:rsidRDefault="00392FDA" w:rsidP="00392FDA">
      <w:r w:rsidRPr="00EA4C9B">
        <w:t>Moreover, in line with the EU’s Green Deal, Belgium is introducing green taxes to support the transition to a low-carbon economy, including the implementation of the Carbon Border Adjustment Mechanism (CBAM) and a commitment to the expanded EU Emissions Trading System (ETS).</w:t>
      </w:r>
    </w:p>
    <w:p w14:paraId="12F0987F" w14:textId="5FCD1473" w:rsidR="00392FDA" w:rsidRPr="00EA4C9B" w:rsidRDefault="00392FDA" w:rsidP="00392FDA">
      <w:r w:rsidRPr="00EA4C9B">
        <w:t>The 2025 European Semester</w:t>
      </w:r>
      <w:r w:rsidRPr="00EA4C9B">
        <w:rPr>
          <w:rStyle w:val="FootnoteReference"/>
        </w:rPr>
        <w:footnoteReference w:id="31"/>
      </w:r>
      <w:r w:rsidRPr="00EA4C9B">
        <w:t xml:space="preserve"> report confirms that Belgium has made only modest progress on shifting taxation from labour to environmental bases. While energy taxation is significant, sectors like aviation and agriculture remain undertaxed. The Commission recommends reducing exemptions (e.g. for aviation fuel), improving interregional coherence, and ensuring new carbon revenues support climate investment.</w:t>
      </w:r>
      <w:r w:rsidR="00363AFF">
        <w:t xml:space="preserve"> </w:t>
      </w:r>
      <w:r w:rsidR="00363AFF" w:rsidRPr="00363AFF">
        <w:t>Meanwhile, on 8 July 2025 the Council of EU adopted the CSRs for Belgium and recommends that Belgium take further action on sustainable agriculture by improving water quality and by reducing nutrient losses</w:t>
      </w:r>
      <w:r w:rsidR="00363AFF">
        <w:t>.</w:t>
      </w:r>
      <w:r w:rsidR="00363AFF">
        <w:rPr>
          <w:rStyle w:val="FootnoteReference"/>
        </w:rPr>
        <w:footnoteReference w:id="32"/>
      </w:r>
    </w:p>
    <w:p w14:paraId="3316FCAE" w14:textId="77777777" w:rsidR="00392FDA" w:rsidRPr="00EA4C9B" w:rsidRDefault="00392FDA" w:rsidP="007C4EB7">
      <w:pPr>
        <w:pStyle w:val="AnnexHeading2"/>
      </w:pPr>
      <w:bookmarkStart w:id="109" w:name="_Toc214008836"/>
      <w:r w:rsidRPr="00EA4C9B">
        <w:t>Potential for implementing additional environmental taxes</w:t>
      </w:r>
      <w:bookmarkEnd w:id="109"/>
    </w:p>
    <w:p w14:paraId="13E87010" w14:textId="77777777" w:rsidR="00392FDA" w:rsidRPr="00EA4C9B" w:rsidRDefault="00392FDA" w:rsidP="00392FDA">
      <w:pPr>
        <w:rPr>
          <w:lang w:eastAsia="en-GB"/>
        </w:rPr>
      </w:pPr>
      <w:r w:rsidRPr="00EA4C9B">
        <w:rPr>
          <w:lang w:eastAsia="en-GB"/>
        </w:rPr>
        <w:t>Belgium has made progress in implementing environmental taxes, particularly in the areas of waste management, energy use, and transport. However, several environmental externalities remain undertaxed, leaving space for reforms and new fiscal measures. Sectors such as agriculture, aviation, and industry contribute significantly to environmental degradation—through emissions, nutrient pollution, and resource depletion—yet are taxed below the level that would internalize these externalities effectively (OECD, 2021)</w:t>
      </w:r>
      <w:r w:rsidRPr="00EA4C9B">
        <w:rPr>
          <w:rStyle w:val="FootnoteReference"/>
          <w:lang w:eastAsia="en-GB"/>
        </w:rPr>
        <w:footnoteReference w:id="33"/>
      </w:r>
      <w:r w:rsidRPr="00EA4C9B">
        <w:rPr>
          <w:lang w:eastAsia="en-GB"/>
        </w:rPr>
        <w:t>.</w:t>
      </w:r>
    </w:p>
    <w:p w14:paraId="571FC8EA" w14:textId="55AEB37C" w:rsidR="00392FDA" w:rsidRPr="00EA4C9B" w:rsidRDefault="00392FDA" w:rsidP="00392FDA">
      <w:pPr>
        <w:rPr>
          <w:lang w:eastAsia="en-GB"/>
        </w:rPr>
      </w:pPr>
      <w:r w:rsidRPr="00EA4C9B">
        <w:rPr>
          <w:lang w:eastAsia="en-GB"/>
        </w:rPr>
        <w:t>One major gap lies in the underuse of taxes on fertilizers and pesticides, especially considering the agricultural sector’s impact on nitrogen pollution and soil degradation.  While households and road transport face relatively high environmental taxation, other high-emitting sectors carry a much lower fiscal burden relative to their environmental impact.</w:t>
      </w:r>
    </w:p>
    <w:p w14:paraId="796B8E33" w14:textId="6ECED080" w:rsidR="00392FDA" w:rsidRPr="00EA4C9B" w:rsidRDefault="00392FDA" w:rsidP="00392FDA">
      <w:pPr>
        <w:rPr>
          <w:lang w:eastAsia="en-GB"/>
        </w:rPr>
      </w:pPr>
      <w:r w:rsidRPr="00EA4C9B">
        <w:rPr>
          <w:lang w:eastAsia="en-GB"/>
        </w:rPr>
        <w:t>In addition to the OECD’s recommendations, the IMF (2023)</w:t>
      </w:r>
      <w:r w:rsidRPr="00EA4C9B">
        <w:rPr>
          <w:rStyle w:val="FootnoteReference"/>
          <w:lang w:eastAsia="en-GB"/>
        </w:rPr>
        <w:footnoteReference w:id="34"/>
      </w:r>
      <w:r w:rsidRPr="00EA4C9B">
        <w:rPr>
          <w:lang w:eastAsia="en-GB"/>
        </w:rPr>
        <w:t xml:space="preserve"> have emphasized the feasibility of implementing a broad-based carbon tax</w:t>
      </w:r>
      <w:r w:rsidR="00DC0982">
        <w:rPr>
          <w:rStyle w:val="FootnoteReference"/>
          <w:lang w:eastAsia="en-GB"/>
        </w:rPr>
        <w:footnoteReference w:id="35"/>
      </w:r>
      <w:r w:rsidRPr="00EA4C9B">
        <w:rPr>
          <w:lang w:eastAsia="en-GB"/>
        </w:rPr>
        <w:t xml:space="preserve">, removing environmentally harmful VAT reductions, and phasing out subsidies for fossil fuels. These reforms could significantly improve the alignment between fiscal policy and environmental sustainability. Furthermore, the European Commission, through its Country Specific Recommendations (CSRs), has repeatedly encouraged Belgium to reduce environmental tax exemptions and shift the tax burden from </w:t>
      </w:r>
      <w:r w:rsidR="004F47DB" w:rsidRPr="00EA4C9B">
        <w:rPr>
          <w:lang w:eastAsia="en-GB"/>
        </w:rPr>
        <w:t>labour</w:t>
      </w:r>
      <w:r w:rsidRPr="00EA4C9B">
        <w:rPr>
          <w:lang w:eastAsia="en-GB"/>
        </w:rPr>
        <w:t xml:space="preserve"> to environmental bases</w:t>
      </w:r>
      <w:r w:rsidR="00DC0982">
        <w:rPr>
          <w:lang w:eastAsia="en-GB"/>
        </w:rPr>
        <w:t xml:space="preserve">, </w:t>
      </w:r>
      <w:r w:rsidRPr="00EA4C9B">
        <w:rPr>
          <w:lang w:eastAsia="en-GB"/>
        </w:rPr>
        <w:t xml:space="preserve">goals </w:t>
      </w:r>
      <w:r w:rsidRPr="00EA4C9B">
        <w:rPr>
          <w:lang w:eastAsia="en-GB"/>
        </w:rPr>
        <w:lastRenderedPageBreak/>
        <w:t xml:space="preserve">that have only been partially achieved to date. </w:t>
      </w:r>
      <w:r w:rsidR="00DC0982" w:rsidRPr="00DC0982">
        <w:rPr>
          <w:lang w:eastAsia="en-GB"/>
        </w:rPr>
        <w:t>The Belgian Federal Planning Bureau estimates that tax benefits for company cars cause the state to lose between €3 billion and €6 billion in tax revenue</w:t>
      </w:r>
      <w:r w:rsidR="00DC0982">
        <w:rPr>
          <w:lang w:eastAsia="en-GB"/>
        </w:rPr>
        <w:t>.</w:t>
      </w:r>
      <w:r w:rsidR="00DC0982">
        <w:rPr>
          <w:rStyle w:val="FootnoteReference"/>
          <w:lang w:eastAsia="en-GB"/>
        </w:rPr>
        <w:footnoteReference w:id="36"/>
      </w:r>
    </w:p>
    <w:p w14:paraId="2E3B2886" w14:textId="77777777" w:rsidR="00392FDA" w:rsidRPr="00EA4C9B" w:rsidRDefault="00392FDA" w:rsidP="007C4EB7">
      <w:pPr>
        <w:pStyle w:val="AnnexHeading2"/>
      </w:pPr>
      <w:bookmarkStart w:id="110" w:name="_Toc214008837"/>
      <w:r w:rsidRPr="00EA4C9B">
        <w:t>Impacts and feasibility of implementing new environmental taxes</w:t>
      </w:r>
      <w:bookmarkEnd w:id="110"/>
    </w:p>
    <w:p w14:paraId="370705EA" w14:textId="5ED43D18" w:rsidR="00676806" w:rsidRPr="00BA7936" w:rsidRDefault="00676806" w:rsidP="00FA6252">
      <w:r w:rsidRPr="00676806">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70FB89EF" w14:textId="37E0681E" w:rsidR="00DC0982" w:rsidRDefault="00DC0982" w:rsidP="00DC0982">
      <w:pPr>
        <w:rPr>
          <w:lang w:eastAsia="en-GB"/>
        </w:rPr>
      </w:pPr>
      <w:r w:rsidRPr="00DC0982">
        <w:rPr>
          <w:lang w:eastAsia="en-GB"/>
        </w:rPr>
        <w:t>Belgium already operates a relatively dense environmental tax framework, with instruments in place for waste disposal, air emissions, and transport. However, many rates remain low relative to environmental costs, and certain areas</w:t>
      </w:r>
      <w:r>
        <w:rPr>
          <w:lang w:eastAsia="en-GB"/>
        </w:rPr>
        <w:t xml:space="preserve">, </w:t>
      </w:r>
      <w:r w:rsidRPr="00DC0982">
        <w:rPr>
          <w:lang w:eastAsia="en-GB"/>
        </w:rPr>
        <w:t>particularly resource use and water effluents</w:t>
      </w:r>
      <w:r>
        <w:rPr>
          <w:lang w:eastAsia="en-GB"/>
        </w:rPr>
        <w:t xml:space="preserve">, </w:t>
      </w:r>
      <w:r w:rsidRPr="00DC0982">
        <w:rPr>
          <w:lang w:eastAsia="en-GB"/>
        </w:rPr>
        <w:t>are under-taxed or unevenly applied across regions. The modelling results show that introducing harmonised benchmark taxes would generate moderate additional revenues and measurable environmental benefits. Under Scenario A, total revenues from the new taxes would rise by around 0.4 per cent of total environmental tax receipts, with reductions in pollutants and resource use generally between 5 and 10 per cent. Under Scenario B, fiscal and environmental effects are smaller but still positive, suggesting that environmental tax reform could be pursued without major macroeconomic disruption.</w:t>
      </w:r>
    </w:p>
    <w:p w14:paraId="146D251A" w14:textId="1E31C787" w:rsidR="00DC0982" w:rsidRPr="00A43BFD" w:rsidRDefault="00DC0982" w:rsidP="00DC0982">
      <w:r w:rsidRPr="00A43BFD">
        <w:t xml:space="preserve">The </w:t>
      </w:r>
      <w:r>
        <w:t>modelled</w:t>
      </w:r>
      <w:r w:rsidRPr="00A43BFD">
        <w:t xml:space="preserve"> taxes in </w:t>
      </w:r>
      <w:r>
        <w:t>Belgium</w:t>
      </w:r>
      <w:r w:rsidRPr="00A43BFD">
        <w:t xml:space="preserve"> would raise about another €510 million in 2030 and €472 million in 2035, implying an increase of 83% in 2030 and 78% in 2035.</w:t>
      </w:r>
      <w:r>
        <w:t xml:space="preserve"> </w:t>
      </w:r>
      <w:r w:rsidRPr="00A43BFD">
        <w:t>The greatest increase comes from water abstraction (65%) and mineral aggregates (26%).  Together the two account for 91% of all in</w:t>
      </w:r>
      <w:r>
        <w:t>c</w:t>
      </w:r>
      <w:r w:rsidRPr="00A43BFD">
        <w:t>reases in revenues.</w:t>
      </w:r>
      <w:r>
        <w:t xml:space="preserve"> </w:t>
      </w:r>
      <w:r w:rsidRPr="00A43BFD">
        <w:t xml:space="preserve">Reductions in environmental impacts are greatest in pesticides (58%), fertilizers (42%), SO2 (31%) and water abstraction (28%). </w:t>
      </w:r>
      <w:r>
        <w:t xml:space="preserve"> </w:t>
      </w:r>
      <w:r w:rsidRPr="00A43BFD">
        <w:t xml:space="preserve">There is no impact from taxes on waste incineration and water effluent as these sectors have current taxes rates above the </w:t>
      </w:r>
      <w:r w:rsidR="007B606C">
        <w:t>investigated</w:t>
      </w:r>
      <w:r w:rsidRPr="00A43BFD">
        <w:t xml:space="preserve"> minimum.</w:t>
      </w:r>
    </w:p>
    <w:tbl>
      <w:tblPr>
        <w:tblStyle w:val="Lentelstinklelis1"/>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086"/>
        <w:gridCol w:w="1087"/>
        <w:gridCol w:w="1014"/>
        <w:gridCol w:w="1186"/>
        <w:gridCol w:w="1110"/>
        <w:gridCol w:w="1424"/>
      </w:tblGrid>
      <w:tr w:rsidR="00DC0982" w:rsidRPr="00A436E4" w14:paraId="1F183C6D" w14:textId="77777777" w:rsidTr="00506A7C">
        <w:trPr>
          <w:trHeight w:val="303"/>
          <w:tblHeader/>
        </w:trPr>
        <w:tc>
          <w:tcPr>
            <w:tcW w:w="9074" w:type="dxa"/>
            <w:gridSpan w:val="7"/>
            <w:shd w:val="clear" w:color="auto" w:fill="003399"/>
          </w:tcPr>
          <w:p w14:paraId="3A350547" w14:textId="246707A5" w:rsidR="00DC0982" w:rsidRPr="00A436E4" w:rsidRDefault="00DC0982" w:rsidP="000878F6">
            <w:pPr>
              <w:pStyle w:val="Table"/>
              <w:rPr>
                <w:b/>
                <w:szCs w:val="20"/>
              </w:rPr>
            </w:pPr>
            <w:r w:rsidRPr="00A436E4">
              <w:rPr>
                <w:b/>
                <w:color w:val="FFFFFF" w:themeColor="background1"/>
                <w:szCs w:val="20"/>
              </w:rPr>
              <w:t xml:space="preserve">Table </w:t>
            </w:r>
            <w:r w:rsidR="00490085">
              <w:rPr>
                <w:b/>
                <w:bCs/>
                <w:color w:val="FFFFFF" w:themeColor="background1"/>
                <w:szCs w:val="20"/>
              </w:rPr>
              <w:t>A6</w:t>
            </w:r>
            <w:r w:rsidRPr="00A436E4">
              <w:rPr>
                <w:b/>
                <w:bCs/>
                <w:color w:val="FFFFFF" w:themeColor="background1"/>
                <w:szCs w:val="20"/>
              </w:rPr>
              <w:t>-</w:t>
            </w:r>
            <w:r w:rsidRPr="00A436E4">
              <w:rPr>
                <w:b/>
                <w:bCs/>
                <w:color w:val="FFFFFF" w:themeColor="background1"/>
                <w:szCs w:val="20"/>
              </w:rPr>
              <w:fldChar w:fldCharType="begin"/>
            </w:r>
            <w:r w:rsidRPr="00A436E4">
              <w:rPr>
                <w:b/>
                <w:bCs/>
                <w:color w:val="FFFFFF" w:themeColor="background1"/>
                <w:szCs w:val="20"/>
              </w:rPr>
              <w:instrText xml:space="preserve"> SEQ Table_A5- \* ARABIC </w:instrText>
            </w:r>
            <w:r w:rsidRPr="00A436E4">
              <w:rPr>
                <w:b/>
                <w:bCs/>
                <w:color w:val="FFFFFF" w:themeColor="background1"/>
                <w:szCs w:val="20"/>
              </w:rPr>
              <w:fldChar w:fldCharType="separate"/>
            </w:r>
            <w:r>
              <w:rPr>
                <w:b/>
                <w:bCs/>
                <w:noProof/>
                <w:color w:val="FFFFFF" w:themeColor="background1"/>
                <w:szCs w:val="20"/>
              </w:rPr>
              <w:t>12</w:t>
            </w:r>
            <w:r w:rsidRPr="00A436E4">
              <w:rPr>
                <w:b/>
                <w:bCs/>
                <w:color w:val="FFFFFF" w:themeColor="background1"/>
                <w:szCs w:val="20"/>
              </w:rPr>
              <w:fldChar w:fldCharType="end"/>
            </w:r>
            <w:r w:rsidRPr="00A436E4">
              <w:rPr>
                <w:b/>
                <w:bCs/>
                <w:color w:val="FFFFFF" w:themeColor="background1"/>
                <w:szCs w:val="20"/>
                <w:lang w:eastAsia="en-GB"/>
              </w:rPr>
              <w:t>:</w:t>
            </w:r>
            <w:r w:rsidRPr="00A436E4">
              <w:rPr>
                <w:b/>
                <w:color w:val="FFFFFF" w:themeColor="background1"/>
                <w:szCs w:val="20"/>
                <w:lang w:eastAsia="en-GB"/>
              </w:rPr>
              <w:t xml:space="preserve"> Environmental impacts and revenue changes in Belgium – Scenario A</w:t>
            </w:r>
          </w:p>
        </w:tc>
      </w:tr>
      <w:tr w:rsidR="00DC0982" w:rsidRPr="00A436E4" w14:paraId="5BA636B7" w14:textId="77777777" w:rsidTr="00506A7C">
        <w:trPr>
          <w:trHeight w:val="452"/>
          <w:tblHeader/>
        </w:trPr>
        <w:tc>
          <w:tcPr>
            <w:tcW w:w="2167" w:type="dxa"/>
          </w:tcPr>
          <w:p w14:paraId="7FD2EDF2" w14:textId="77777777" w:rsidR="00DC0982" w:rsidRPr="00A436E4" w:rsidRDefault="00DC0982" w:rsidP="000878F6">
            <w:pPr>
              <w:pStyle w:val="Table"/>
              <w:rPr>
                <w:b/>
                <w:szCs w:val="20"/>
              </w:rPr>
            </w:pPr>
            <w:r w:rsidRPr="00A436E4">
              <w:rPr>
                <w:b/>
                <w:szCs w:val="20"/>
              </w:rPr>
              <w:t>Tax Name</w:t>
            </w:r>
          </w:p>
        </w:tc>
        <w:tc>
          <w:tcPr>
            <w:tcW w:w="2173" w:type="dxa"/>
            <w:gridSpan w:val="2"/>
            <w:vAlign w:val="bottom"/>
          </w:tcPr>
          <w:p w14:paraId="59FF60A3" w14:textId="77777777" w:rsidR="00DC0982" w:rsidRPr="00A436E4" w:rsidRDefault="00DC0982" w:rsidP="000878F6">
            <w:pPr>
              <w:pStyle w:val="Table"/>
              <w:jc w:val="center"/>
              <w:rPr>
                <w:b/>
                <w:szCs w:val="20"/>
              </w:rPr>
            </w:pPr>
            <w:r>
              <w:rPr>
                <w:rFonts w:ascii="Calibri" w:hAnsi="Calibri" w:cs="Calibri"/>
                <w:b/>
                <w:bCs/>
                <w:color w:val="000000"/>
                <w:szCs w:val="20"/>
              </w:rPr>
              <w:t>% Change in Quantities as % of taxed sector</w:t>
            </w:r>
          </w:p>
        </w:tc>
        <w:tc>
          <w:tcPr>
            <w:tcW w:w="2200" w:type="dxa"/>
            <w:gridSpan w:val="2"/>
            <w:vAlign w:val="bottom"/>
          </w:tcPr>
          <w:p w14:paraId="352B337E" w14:textId="77777777" w:rsidR="00DC0982" w:rsidRPr="00A436E4" w:rsidRDefault="00DC0982" w:rsidP="000878F6">
            <w:pPr>
              <w:pStyle w:val="Table"/>
              <w:jc w:val="center"/>
              <w:rPr>
                <w:b/>
                <w:szCs w:val="20"/>
              </w:rPr>
            </w:pPr>
            <w:r>
              <w:rPr>
                <w:rFonts w:ascii="Calibri" w:hAnsi="Calibri" w:cs="Calibri"/>
                <w:b/>
                <w:bCs/>
                <w:color w:val="000000"/>
                <w:szCs w:val="20"/>
              </w:rPr>
              <w:t>Change in Revenues (€Mn)</w:t>
            </w:r>
          </w:p>
        </w:tc>
        <w:tc>
          <w:tcPr>
            <w:tcW w:w="2534" w:type="dxa"/>
            <w:gridSpan w:val="2"/>
            <w:vAlign w:val="bottom"/>
          </w:tcPr>
          <w:p w14:paraId="5563404A" w14:textId="77777777" w:rsidR="00DC0982" w:rsidRPr="00A436E4" w:rsidRDefault="00DC0982" w:rsidP="000878F6">
            <w:pPr>
              <w:pStyle w:val="Table"/>
              <w:jc w:val="center"/>
              <w:rPr>
                <w:b/>
                <w:szCs w:val="20"/>
              </w:rPr>
            </w:pPr>
            <w:r>
              <w:rPr>
                <w:rFonts w:ascii="Calibri" w:hAnsi="Calibri" w:cs="Calibri"/>
                <w:b/>
                <w:bCs/>
                <w:color w:val="000000"/>
                <w:szCs w:val="20"/>
              </w:rPr>
              <w:t>As % of 2023 Resource Tax</w:t>
            </w:r>
          </w:p>
        </w:tc>
      </w:tr>
      <w:tr w:rsidR="00DC0982" w:rsidRPr="00A436E4" w14:paraId="3F073078" w14:textId="77777777" w:rsidTr="00506A7C">
        <w:trPr>
          <w:trHeight w:val="247"/>
        </w:trPr>
        <w:tc>
          <w:tcPr>
            <w:tcW w:w="2167" w:type="dxa"/>
          </w:tcPr>
          <w:p w14:paraId="128DF089" w14:textId="77777777" w:rsidR="00DC0982" w:rsidRPr="00A436E4" w:rsidRDefault="00DC0982" w:rsidP="000878F6">
            <w:pPr>
              <w:pStyle w:val="Table"/>
              <w:rPr>
                <w:b/>
                <w:szCs w:val="20"/>
              </w:rPr>
            </w:pPr>
            <w:r w:rsidRPr="00A436E4">
              <w:rPr>
                <w:b/>
                <w:szCs w:val="20"/>
              </w:rPr>
              <w:t>Year</w:t>
            </w:r>
          </w:p>
        </w:tc>
        <w:tc>
          <w:tcPr>
            <w:tcW w:w="1086" w:type="dxa"/>
          </w:tcPr>
          <w:p w14:paraId="6A517A61" w14:textId="77777777" w:rsidR="00DC0982" w:rsidRPr="00A436E4" w:rsidRDefault="00DC0982" w:rsidP="000878F6">
            <w:pPr>
              <w:pStyle w:val="Table"/>
              <w:jc w:val="center"/>
              <w:rPr>
                <w:b/>
                <w:szCs w:val="20"/>
              </w:rPr>
            </w:pPr>
            <w:r w:rsidRPr="00A436E4">
              <w:rPr>
                <w:b/>
                <w:szCs w:val="20"/>
              </w:rPr>
              <w:t>2030</w:t>
            </w:r>
          </w:p>
        </w:tc>
        <w:tc>
          <w:tcPr>
            <w:tcW w:w="1087" w:type="dxa"/>
          </w:tcPr>
          <w:p w14:paraId="52D0C76F" w14:textId="77777777" w:rsidR="00DC0982" w:rsidRPr="00A436E4" w:rsidRDefault="00DC0982" w:rsidP="000878F6">
            <w:pPr>
              <w:pStyle w:val="Table"/>
              <w:jc w:val="center"/>
              <w:rPr>
                <w:b/>
                <w:szCs w:val="20"/>
              </w:rPr>
            </w:pPr>
            <w:r w:rsidRPr="00A436E4">
              <w:rPr>
                <w:b/>
                <w:szCs w:val="20"/>
              </w:rPr>
              <w:t>2035</w:t>
            </w:r>
          </w:p>
        </w:tc>
        <w:tc>
          <w:tcPr>
            <w:tcW w:w="1014" w:type="dxa"/>
          </w:tcPr>
          <w:p w14:paraId="2E7FD241" w14:textId="77777777" w:rsidR="00DC0982" w:rsidRPr="00A436E4" w:rsidRDefault="00DC0982" w:rsidP="000878F6">
            <w:pPr>
              <w:pStyle w:val="Table"/>
              <w:jc w:val="center"/>
              <w:rPr>
                <w:b/>
                <w:szCs w:val="20"/>
              </w:rPr>
            </w:pPr>
            <w:r w:rsidRPr="00A436E4">
              <w:rPr>
                <w:b/>
                <w:szCs w:val="20"/>
              </w:rPr>
              <w:t>2030</w:t>
            </w:r>
          </w:p>
        </w:tc>
        <w:tc>
          <w:tcPr>
            <w:tcW w:w="1186" w:type="dxa"/>
          </w:tcPr>
          <w:p w14:paraId="78B1D4C9" w14:textId="77777777" w:rsidR="00DC0982" w:rsidRPr="00A436E4" w:rsidRDefault="00DC0982" w:rsidP="000878F6">
            <w:pPr>
              <w:pStyle w:val="Table"/>
              <w:jc w:val="center"/>
              <w:rPr>
                <w:b/>
                <w:szCs w:val="20"/>
              </w:rPr>
            </w:pPr>
            <w:r w:rsidRPr="00A436E4">
              <w:rPr>
                <w:b/>
                <w:szCs w:val="20"/>
              </w:rPr>
              <w:t>2035</w:t>
            </w:r>
          </w:p>
        </w:tc>
        <w:tc>
          <w:tcPr>
            <w:tcW w:w="1110" w:type="dxa"/>
          </w:tcPr>
          <w:p w14:paraId="593D26AB" w14:textId="77777777" w:rsidR="00DC0982" w:rsidRPr="00A436E4" w:rsidRDefault="00DC0982" w:rsidP="000878F6">
            <w:pPr>
              <w:pStyle w:val="Table"/>
              <w:jc w:val="center"/>
              <w:rPr>
                <w:b/>
                <w:szCs w:val="20"/>
              </w:rPr>
            </w:pPr>
            <w:r w:rsidRPr="00A436E4">
              <w:rPr>
                <w:b/>
                <w:szCs w:val="20"/>
              </w:rPr>
              <w:t>2030</w:t>
            </w:r>
          </w:p>
        </w:tc>
        <w:tc>
          <w:tcPr>
            <w:tcW w:w="1424" w:type="dxa"/>
          </w:tcPr>
          <w:p w14:paraId="1A014D82" w14:textId="77777777" w:rsidR="00DC0982" w:rsidRPr="00A436E4" w:rsidRDefault="00DC0982" w:rsidP="000878F6">
            <w:pPr>
              <w:pStyle w:val="Table"/>
              <w:jc w:val="center"/>
              <w:rPr>
                <w:b/>
                <w:szCs w:val="20"/>
              </w:rPr>
            </w:pPr>
            <w:r w:rsidRPr="00A436E4">
              <w:rPr>
                <w:b/>
                <w:szCs w:val="20"/>
              </w:rPr>
              <w:t>2035</w:t>
            </w:r>
          </w:p>
        </w:tc>
      </w:tr>
      <w:tr w:rsidR="00DC0982" w:rsidRPr="00A436E4" w14:paraId="5713A30C" w14:textId="77777777" w:rsidTr="00506A7C">
        <w:trPr>
          <w:trHeight w:val="141"/>
        </w:trPr>
        <w:tc>
          <w:tcPr>
            <w:tcW w:w="2167" w:type="dxa"/>
          </w:tcPr>
          <w:p w14:paraId="11DB46EF" w14:textId="77777777" w:rsidR="00DC0982" w:rsidRPr="00A436E4" w:rsidRDefault="00DC0982" w:rsidP="000878F6">
            <w:pPr>
              <w:pStyle w:val="Table"/>
              <w:rPr>
                <w:szCs w:val="20"/>
              </w:rPr>
            </w:pPr>
            <w:r w:rsidRPr="00A436E4">
              <w:rPr>
                <w:szCs w:val="20"/>
              </w:rPr>
              <w:t>NOx</w:t>
            </w:r>
          </w:p>
        </w:tc>
        <w:tc>
          <w:tcPr>
            <w:tcW w:w="1086" w:type="dxa"/>
            <w:vAlign w:val="center"/>
          </w:tcPr>
          <w:p w14:paraId="243D0269" w14:textId="77777777" w:rsidR="00DC0982" w:rsidRPr="00A436E4" w:rsidRDefault="00DC0982" w:rsidP="000878F6">
            <w:pPr>
              <w:pStyle w:val="Table"/>
              <w:jc w:val="center"/>
              <w:rPr>
                <w:szCs w:val="20"/>
              </w:rPr>
            </w:pPr>
            <w:r w:rsidRPr="00A436E4">
              <w:rPr>
                <w:rFonts w:ascii="Calibri" w:hAnsi="Calibri" w:cs="Calibri"/>
                <w:color w:val="000000"/>
                <w:szCs w:val="20"/>
              </w:rPr>
              <w:t>-28,57%</w:t>
            </w:r>
          </w:p>
        </w:tc>
        <w:tc>
          <w:tcPr>
            <w:tcW w:w="1087" w:type="dxa"/>
            <w:vAlign w:val="center"/>
          </w:tcPr>
          <w:p w14:paraId="539249D7" w14:textId="77777777" w:rsidR="00DC0982" w:rsidRPr="00A436E4" w:rsidRDefault="00DC0982" w:rsidP="000878F6">
            <w:pPr>
              <w:pStyle w:val="Table"/>
              <w:jc w:val="center"/>
              <w:rPr>
                <w:szCs w:val="20"/>
              </w:rPr>
            </w:pPr>
            <w:r w:rsidRPr="00A436E4">
              <w:rPr>
                <w:rFonts w:ascii="Calibri" w:hAnsi="Calibri" w:cs="Calibri"/>
                <w:color w:val="000000"/>
                <w:szCs w:val="20"/>
              </w:rPr>
              <w:t>-28,57%</w:t>
            </w:r>
          </w:p>
        </w:tc>
        <w:tc>
          <w:tcPr>
            <w:tcW w:w="1014" w:type="dxa"/>
            <w:vAlign w:val="center"/>
          </w:tcPr>
          <w:p w14:paraId="2E2792D3" w14:textId="77777777" w:rsidR="00DC0982" w:rsidRPr="00A436E4" w:rsidRDefault="00DC0982" w:rsidP="000878F6">
            <w:pPr>
              <w:pStyle w:val="Table"/>
              <w:jc w:val="center"/>
              <w:rPr>
                <w:szCs w:val="20"/>
              </w:rPr>
            </w:pPr>
            <w:r w:rsidRPr="00A436E4">
              <w:rPr>
                <w:rFonts w:ascii="Calibri" w:hAnsi="Calibri" w:cs="Calibri"/>
                <w:color w:val="000000"/>
                <w:szCs w:val="20"/>
              </w:rPr>
              <w:t>1,31</w:t>
            </w:r>
          </w:p>
        </w:tc>
        <w:tc>
          <w:tcPr>
            <w:tcW w:w="1186" w:type="dxa"/>
            <w:vAlign w:val="center"/>
          </w:tcPr>
          <w:p w14:paraId="3F387AB3" w14:textId="77777777" w:rsidR="00DC0982" w:rsidRPr="00A436E4" w:rsidRDefault="00DC0982" w:rsidP="000878F6">
            <w:pPr>
              <w:pStyle w:val="Table"/>
              <w:jc w:val="center"/>
              <w:rPr>
                <w:szCs w:val="20"/>
              </w:rPr>
            </w:pPr>
            <w:r w:rsidRPr="00A436E4">
              <w:rPr>
                <w:rFonts w:ascii="Calibri" w:hAnsi="Calibri" w:cs="Calibri"/>
                <w:color w:val="000000"/>
                <w:szCs w:val="20"/>
              </w:rPr>
              <w:t>0,87</w:t>
            </w:r>
          </w:p>
        </w:tc>
        <w:tc>
          <w:tcPr>
            <w:tcW w:w="1110" w:type="dxa"/>
            <w:vAlign w:val="center"/>
          </w:tcPr>
          <w:p w14:paraId="74C7FAE4" w14:textId="77777777" w:rsidR="00DC0982" w:rsidRPr="00A436E4" w:rsidRDefault="00DC0982" w:rsidP="000878F6">
            <w:pPr>
              <w:pStyle w:val="Table"/>
              <w:jc w:val="center"/>
              <w:rPr>
                <w:szCs w:val="20"/>
              </w:rPr>
            </w:pPr>
            <w:r w:rsidRPr="00A436E4">
              <w:rPr>
                <w:rFonts w:ascii="Calibri" w:hAnsi="Calibri" w:cs="Calibri"/>
                <w:color w:val="000000"/>
                <w:szCs w:val="20"/>
              </w:rPr>
              <w:t>0,26%</w:t>
            </w:r>
          </w:p>
        </w:tc>
        <w:tc>
          <w:tcPr>
            <w:tcW w:w="1424" w:type="dxa"/>
            <w:vAlign w:val="center"/>
          </w:tcPr>
          <w:p w14:paraId="36F1032D" w14:textId="77777777" w:rsidR="00DC0982" w:rsidRPr="00A436E4" w:rsidRDefault="00DC0982" w:rsidP="000878F6">
            <w:pPr>
              <w:pStyle w:val="Table"/>
              <w:jc w:val="center"/>
              <w:rPr>
                <w:szCs w:val="20"/>
              </w:rPr>
            </w:pPr>
            <w:r w:rsidRPr="00A436E4">
              <w:rPr>
                <w:rFonts w:ascii="Calibri" w:hAnsi="Calibri" w:cs="Calibri"/>
                <w:color w:val="000000"/>
                <w:szCs w:val="20"/>
              </w:rPr>
              <w:t>0,17%</w:t>
            </w:r>
          </w:p>
        </w:tc>
      </w:tr>
      <w:tr w:rsidR="00DC0982" w:rsidRPr="00A436E4" w14:paraId="0BB5C076" w14:textId="77777777" w:rsidTr="00506A7C">
        <w:trPr>
          <w:trHeight w:val="145"/>
        </w:trPr>
        <w:tc>
          <w:tcPr>
            <w:tcW w:w="2167" w:type="dxa"/>
          </w:tcPr>
          <w:p w14:paraId="2762EB10" w14:textId="77777777" w:rsidR="00DC0982" w:rsidRPr="00A436E4" w:rsidRDefault="00DC0982" w:rsidP="000878F6">
            <w:pPr>
              <w:pStyle w:val="Table"/>
              <w:rPr>
                <w:szCs w:val="20"/>
              </w:rPr>
            </w:pPr>
            <w:r w:rsidRPr="00A436E4">
              <w:rPr>
                <w:szCs w:val="20"/>
              </w:rPr>
              <w:t>SO2</w:t>
            </w:r>
          </w:p>
        </w:tc>
        <w:tc>
          <w:tcPr>
            <w:tcW w:w="1086" w:type="dxa"/>
            <w:vAlign w:val="center"/>
          </w:tcPr>
          <w:p w14:paraId="18E08747" w14:textId="77777777" w:rsidR="00DC0982" w:rsidRPr="00A436E4" w:rsidRDefault="00DC0982" w:rsidP="000878F6">
            <w:pPr>
              <w:pStyle w:val="Table"/>
              <w:jc w:val="center"/>
              <w:rPr>
                <w:szCs w:val="20"/>
              </w:rPr>
            </w:pPr>
            <w:r w:rsidRPr="00A436E4">
              <w:rPr>
                <w:rFonts w:ascii="Calibri" w:hAnsi="Calibri" w:cs="Calibri"/>
                <w:color w:val="000000"/>
                <w:szCs w:val="20"/>
              </w:rPr>
              <w:t>-32,43%</w:t>
            </w:r>
          </w:p>
        </w:tc>
        <w:tc>
          <w:tcPr>
            <w:tcW w:w="1087" w:type="dxa"/>
            <w:vAlign w:val="center"/>
          </w:tcPr>
          <w:p w14:paraId="78B266B0" w14:textId="77777777" w:rsidR="00DC0982" w:rsidRPr="00A436E4" w:rsidRDefault="00DC0982" w:rsidP="000878F6">
            <w:pPr>
              <w:pStyle w:val="Table"/>
              <w:jc w:val="center"/>
              <w:rPr>
                <w:szCs w:val="20"/>
              </w:rPr>
            </w:pPr>
            <w:r w:rsidRPr="00A436E4">
              <w:rPr>
                <w:rFonts w:ascii="Calibri" w:hAnsi="Calibri" w:cs="Calibri"/>
                <w:color w:val="000000"/>
                <w:szCs w:val="20"/>
              </w:rPr>
              <w:t>-32,43%</w:t>
            </w:r>
          </w:p>
        </w:tc>
        <w:tc>
          <w:tcPr>
            <w:tcW w:w="1014" w:type="dxa"/>
            <w:vAlign w:val="center"/>
          </w:tcPr>
          <w:p w14:paraId="6F1A5B1B" w14:textId="77777777" w:rsidR="00DC0982" w:rsidRPr="00A436E4" w:rsidRDefault="00DC0982" w:rsidP="000878F6">
            <w:pPr>
              <w:pStyle w:val="Table"/>
              <w:jc w:val="center"/>
              <w:rPr>
                <w:szCs w:val="20"/>
              </w:rPr>
            </w:pPr>
            <w:r w:rsidRPr="00A436E4">
              <w:rPr>
                <w:rFonts w:ascii="Calibri" w:hAnsi="Calibri" w:cs="Calibri"/>
                <w:color w:val="000000"/>
                <w:szCs w:val="20"/>
              </w:rPr>
              <w:t>11,11</w:t>
            </w:r>
          </w:p>
        </w:tc>
        <w:tc>
          <w:tcPr>
            <w:tcW w:w="1186" w:type="dxa"/>
            <w:vAlign w:val="center"/>
          </w:tcPr>
          <w:p w14:paraId="61260DAC" w14:textId="77777777" w:rsidR="00DC0982" w:rsidRPr="00A436E4" w:rsidRDefault="00DC0982" w:rsidP="000878F6">
            <w:pPr>
              <w:pStyle w:val="Table"/>
              <w:jc w:val="center"/>
              <w:rPr>
                <w:szCs w:val="20"/>
              </w:rPr>
            </w:pPr>
            <w:r w:rsidRPr="00A436E4">
              <w:rPr>
                <w:rFonts w:ascii="Calibri" w:hAnsi="Calibri" w:cs="Calibri"/>
                <w:color w:val="000000"/>
                <w:szCs w:val="20"/>
              </w:rPr>
              <w:t>7,68</w:t>
            </w:r>
          </w:p>
        </w:tc>
        <w:tc>
          <w:tcPr>
            <w:tcW w:w="1110" w:type="dxa"/>
            <w:vAlign w:val="center"/>
          </w:tcPr>
          <w:p w14:paraId="0BE76ADC" w14:textId="77777777" w:rsidR="00DC0982" w:rsidRPr="00A436E4" w:rsidRDefault="00DC0982" w:rsidP="000878F6">
            <w:pPr>
              <w:pStyle w:val="Table"/>
              <w:jc w:val="center"/>
              <w:rPr>
                <w:szCs w:val="20"/>
              </w:rPr>
            </w:pPr>
            <w:r w:rsidRPr="00A436E4">
              <w:rPr>
                <w:rFonts w:ascii="Calibri" w:hAnsi="Calibri" w:cs="Calibri"/>
                <w:color w:val="000000"/>
                <w:szCs w:val="20"/>
              </w:rPr>
              <w:t>2,18%</w:t>
            </w:r>
          </w:p>
        </w:tc>
        <w:tc>
          <w:tcPr>
            <w:tcW w:w="1424" w:type="dxa"/>
            <w:vAlign w:val="center"/>
          </w:tcPr>
          <w:p w14:paraId="47FB3890" w14:textId="77777777" w:rsidR="00DC0982" w:rsidRPr="00A436E4" w:rsidRDefault="00DC0982" w:rsidP="000878F6">
            <w:pPr>
              <w:pStyle w:val="Table"/>
              <w:jc w:val="center"/>
              <w:rPr>
                <w:szCs w:val="20"/>
              </w:rPr>
            </w:pPr>
            <w:r w:rsidRPr="00A436E4">
              <w:rPr>
                <w:rFonts w:ascii="Calibri" w:hAnsi="Calibri" w:cs="Calibri"/>
                <w:color w:val="000000"/>
                <w:szCs w:val="20"/>
              </w:rPr>
              <w:t>1,50%</w:t>
            </w:r>
          </w:p>
        </w:tc>
      </w:tr>
      <w:tr w:rsidR="00DC0982" w:rsidRPr="00A436E4" w14:paraId="0B881252" w14:textId="77777777" w:rsidTr="00506A7C">
        <w:trPr>
          <w:trHeight w:val="173"/>
        </w:trPr>
        <w:tc>
          <w:tcPr>
            <w:tcW w:w="2167" w:type="dxa"/>
          </w:tcPr>
          <w:p w14:paraId="56A521AB" w14:textId="77777777" w:rsidR="00DC0982" w:rsidRPr="00A436E4" w:rsidRDefault="00DC0982" w:rsidP="000878F6">
            <w:pPr>
              <w:pStyle w:val="Table"/>
              <w:rPr>
                <w:szCs w:val="20"/>
              </w:rPr>
            </w:pPr>
            <w:r w:rsidRPr="00A436E4">
              <w:rPr>
                <w:szCs w:val="20"/>
              </w:rPr>
              <w:t>PM2.5</w:t>
            </w:r>
          </w:p>
        </w:tc>
        <w:tc>
          <w:tcPr>
            <w:tcW w:w="1086" w:type="dxa"/>
            <w:vAlign w:val="center"/>
          </w:tcPr>
          <w:p w14:paraId="18097CCF" w14:textId="77777777" w:rsidR="00DC0982" w:rsidRPr="00A436E4" w:rsidRDefault="00DC0982" w:rsidP="000878F6">
            <w:pPr>
              <w:pStyle w:val="Table"/>
              <w:jc w:val="center"/>
              <w:rPr>
                <w:szCs w:val="20"/>
              </w:rPr>
            </w:pPr>
            <w:r w:rsidRPr="00A436E4">
              <w:rPr>
                <w:rFonts w:ascii="Calibri" w:hAnsi="Calibri" w:cs="Calibri"/>
                <w:color w:val="000000"/>
                <w:szCs w:val="20"/>
              </w:rPr>
              <w:t>-29,58%</w:t>
            </w:r>
          </w:p>
        </w:tc>
        <w:tc>
          <w:tcPr>
            <w:tcW w:w="1087" w:type="dxa"/>
            <w:vAlign w:val="center"/>
          </w:tcPr>
          <w:p w14:paraId="3F05C2F4" w14:textId="77777777" w:rsidR="00DC0982" w:rsidRPr="00A436E4" w:rsidRDefault="00DC0982" w:rsidP="000878F6">
            <w:pPr>
              <w:pStyle w:val="Table"/>
              <w:jc w:val="center"/>
              <w:rPr>
                <w:szCs w:val="20"/>
              </w:rPr>
            </w:pPr>
            <w:r w:rsidRPr="00A436E4">
              <w:rPr>
                <w:rFonts w:ascii="Calibri" w:hAnsi="Calibri" w:cs="Calibri"/>
                <w:color w:val="000000"/>
                <w:szCs w:val="20"/>
              </w:rPr>
              <w:t>-29,58%</w:t>
            </w:r>
          </w:p>
        </w:tc>
        <w:tc>
          <w:tcPr>
            <w:tcW w:w="1014" w:type="dxa"/>
            <w:vAlign w:val="center"/>
          </w:tcPr>
          <w:p w14:paraId="5B14D57E" w14:textId="77777777" w:rsidR="00DC0982" w:rsidRPr="00A436E4" w:rsidRDefault="00DC0982" w:rsidP="000878F6">
            <w:pPr>
              <w:pStyle w:val="Table"/>
              <w:jc w:val="center"/>
              <w:rPr>
                <w:szCs w:val="20"/>
              </w:rPr>
            </w:pPr>
            <w:r w:rsidRPr="00A436E4">
              <w:rPr>
                <w:rFonts w:ascii="Calibri" w:hAnsi="Calibri" w:cs="Calibri"/>
                <w:color w:val="000000"/>
                <w:szCs w:val="20"/>
              </w:rPr>
              <w:t>4,15</w:t>
            </w:r>
          </w:p>
        </w:tc>
        <w:tc>
          <w:tcPr>
            <w:tcW w:w="1186" w:type="dxa"/>
            <w:vAlign w:val="center"/>
          </w:tcPr>
          <w:p w14:paraId="494F2E38" w14:textId="77777777" w:rsidR="00DC0982" w:rsidRPr="00A436E4" w:rsidRDefault="00DC0982" w:rsidP="000878F6">
            <w:pPr>
              <w:pStyle w:val="Table"/>
              <w:jc w:val="center"/>
              <w:rPr>
                <w:szCs w:val="20"/>
              </w:rPr>
            </w:pPr>
            <w:r w:rsidRPr="00A436E4">
              <w:rPr>
                <w:rFonts w:ascii="Calibri" w:hAnsi="Calibri" w:cs="Calibri"/>
                <w:color w:val="000000"/>
                <w:szCs w:val="20"/>
              </w:rPr>
              <w:t>3,75</w:t>
            </w:r>
          </w:p>
        </w:tc>
        <w:tc>
          <w:tcPr>
            <w:tcW w:w="1110" w:type="dxa"/>
            <w:vAlign w:val="center"/>
          </w:tcPr>
          <w:p w14:paraId="7DAD0650" w14:textId="77777777" w:rsidR="00DC0982" w:rsidRPr="00A436E4" w:rsidRDefault="00DC0982" w:rsidP="000878F6">
            <w:pPr>
              <w:pStyle w:val="Table"/>
              <w:jc w:val="center"/>
              <w:rPr>
                <w:szCs w:val="20"/>
              </w:rPr>
            </w:pPr>
            <w:r w:rsidRPr="00A436E4">
              <w:rPr>
                <w:rFonts w:ascii="Calibri" w:hAnsi="Calibri" w:cs="Calibri"/>
                <w:color w:val="000000"/>
                <w:szCs w:val="20"/>
              </w:rPr>
              <w:t>0,81%</w:t>
            </w:r>
          </w:p>
        </w:tc>
        <w:tc>
          <w:tcPr>
            <w:tcW w:w="1424" w:type="dxa"/>
            <w:vAlign w:val="center"/>
          </w:tcPr>
          <w:p w14:paraId="71D82172" w14:textId="77777777" w:rsidR="00DC0982" w:rsidRPr="00A436E4" w:rsidRDefault="00DC0982" w:rsidP="000878F6">
            <w:pPr>
              <w:pStyle w:val="Table"/>
              <w:jc w:val="center"/>
              <w:rPr>
                <w:szCs w:val="20"/>
              </w:rPr>
            </w:pPr>
            <w:r w:rsidRPr="00A436E4">
              <w:rPr>
                <w:rFonts w:ascii="Calibri" w:hAnsi="Calibri" w:cs="Calibri"/>
                <w:color w:val="000000"/>
                <w:szCs w:val="20"/>
              </w:rPr>
              <w:t>0,73%</w:t>
            </w:r>
          </w:p>
        </w:tc>
      </w:tr>
      <w:tr w:rsidR="00DC0982" w:rsidRPr="00A436E4" w14:paraId="02DDDF87" w14:textId="77777777" w:rsidTr="00506A7C">
        <w:trPr>
          <w:trHeight w:val="219"/>
        </w:trPr>
        <w:tc>
          <w:tcPr>
            <w:tcW w:w="2167" w:type="dxa"/>
          </w:tcPr>
          <w:p w14:paraId="7E3389A9" w14:textId="77777777" w:rsidR="00DC0982" w:rsidRPr="00A436E4" w:rsidRDefault="00DC0982" w:rsidP="000878F6">
            <w:pPr>
              <w:pStyle w:val="Table"/>
              <w:rPr>
                <w:szCs w:val="20"/>
              </w:rPr>
            </w:pPr>
            <w:r w:rsidRPr="00A436E4">
              <w:rPr>
                <w:szCs w:val="20"/>
              </w:rPr>
              <w:t>Water Abstraction</w:t>
            </w:r>
          </w:p>
        </w:tc>
        <w:tc>
          <w:tcPr>
            <w:tcW w:w="1086" w:type="dxa"/>
            <w:vAlign w:val="center"/>
          </w:tcPr>
          <w:p w14:paraId="1A35093D" w14:textId="77777777" w:rsidR="00DC0982" w:rsidRPr="00A436E4" w:rsidRDefault="00DC0982" w:rsidP="000878F6">
            <w:pPr>
              <w:pStyle w:val="Table"/>
              <w:jc w:val="center"/>
              <w:rPr>
                <w:szCs w:val="20"/>
              </w:rPr>
            </w:pPr>
            <w:r w:rsidRPr="00A436E4">
              <w:rPr>
                <w:rFonts w:ascii="Calibri" w:hAnsi="Calibri" w:cs="Calibri"/>
                <w:color w:val="000000"/>
                <w:szCs w:val="20"/>
              </w:rPr>
              <w:t>-27,68%</w:t>
            </w:r>
          </w:p>
        </w:tc>
        <w:tc>
          <w:tcPr>
            <w:tcW w:w="1087" w:type="dxa"/>
            <w:vAlign w:val="center"/>
          </w:tcPr>
          <w:p w14:paraId="7FB031C3" w14:textId="77777777" w:rsidR="00DC0982" w:rsidRPr="00A436E4" w:rsidRDefault="00DC0982" w:rsidP="000878F6">
            <w:pPr>
              <w:pStyle w:val="Table"/>
              <w:jc w:val="center"/>
              <w:rPr>
                <w:szCs w:val="20"/>
              </w:rPr>
            </w:pPr>
            <w:r w:rsidRPr="00A436E4">
              <w:rPr>
                <w:rFonts w:ascii="Calibri" w:hAnsi="Calibri" w:cs="Calibri"/>
                <w:color w:val="000000"/>
                <w:szCs w:val="20"/>
              </w:rPr>
              <w:t>-27,68%</w:t>
            </w:r>
          </w:p>
        </w:tc>
        <w:tc>
          <w:tcPr>
            <w:tcW w:w="1014" w:type="dxa"/>
            <w:vAlign w:val="center"/>
          </w:tcPr>
          <w:p w14:paraId="2572066B" w14:textId="77777777" w:rsidR="00DC0982" w:rsidRPr="00A436E4" w:rsidRDefault="00DC0982" w:rsidP="000878F6">
            <w:pPr>
              <w:pStyle w:val="Table"/>
              <w:jc w:val="center"/>
              <w:rPr>
                <w:szCs w:val="20"/>
              </w:rPr>
            </w:pPr>
            <w:r w:rsidRPr="00A436E4">
              <w:rPr>
                <w:rFonts w:ascii="Calibri" w:hAnsi="Calibri" w:cs="Calibri"/>
                <w:color w:val="000000"/>
                <w:szCs w:val="20"/>
              </w:rPr>
              <w:t>333,41</w:t>
            </w:r>
          </w:p>
        </w:tc>
        <w:tc>
          <w:tcPr>
            <w:tcW w:w="1186" w:type="dxa"/>
            <w:vAlign w:val="center"/>
          </w:tcPr>
          <w:p w14:paraId="226D0506" w14:textId="77777777" w:rsidR="00DC0982" w:rsidRPr="00A436E4" w:rsidRDefault="00DC0982" w:rsidP="000878F6">
            <w:pPr>
              <w:pStyle w:val="Table"/>
              <w:jc w:val="center"/>
              <w:rPr>
                <w:szCs w:val="20"/>
              </w:rPr>
            </w:pPr>
            <w:r w:rsidRPr="00A436E4">
              <w:rPr>
                <w:rFonts w:ascii="Calibri" w:hAnsi="Calibri" w:cs="Calibri"/>
                <w:color w:val="000000"/>
                <w:szCs w:val="20"/>
              </w:rPr>
              <w:t>305,36</w:t>
            </w:r>
          </w:p>
        </w:tc>
        <w:tc>
          <w:tcPr>
            <w:tcW w:w="1110" w:type="dxa"/>
            <w:vAlign w:val="center"/>
          </w:tcPr>
          <w:p w14:paraId="4B667BF7" w14:textId="77777777" w:rsidR="00DC0982" w:rsidRPr="00A436E4" w:rsidRDefault="00DC0982" w:rsidP="000878F6">
            <w:pPr>
              <w:pStyle w:val="Table"/>
              <w:jc w:val="center"/>
              <w:rPr>
                <w:szCs w:val="20"/>
              </w:rPr>
            </w:pPr>
            <w:r w:rsidRPr="00A436E4">
              <w:rPr>
                <w:rFonts w:ascii="Calibri" w:hAnsi="Calibri" w:cs="Calibri"/>
                <w:color w:val="000000"/>
                <w:szCs w:val="20"/>
              </w:rPr>
              <w:t>341,60%</w:t>
            </w:r>
          </w:p>
        </w:tc>
        <w:tc>
          <w:tcPr>
            <w:tcW w:w="1424" w:type="dxa"/>
            <w:vAlign w:val="center"/>
          </w:tcPr>
          <w:p w14:paraId="35AE82D4" w14:textId="77777777" w:rsidR="00DC0982" w:rsidRPr="00A436E4" w:rsidRDefault="00DC0982" w:rsidP="000878F6">
            <w:pPr>
              <w:pStyle w:val="Table"/>
              <w:jc w:val="center"/>
              <w:rPr>
                <w:szCs w:val="20"/>
              </w:rPr>
            </w:pPr>
            <w:r w:rsidRPr="00A436E4">
              <w:rPr>
                <w:rFonts w:ascii="Calibri" w:hAnsi="Calibri" w:cs="Calibri"/>
                <w:color w:val="000000"/>
                <w:szCs w:val="20"/>
              </w:rPr>
              <w:t>312,87%</w:t>
            </w:r>
          </w:p>
        </w:tc>
      </w:tr>
      <w:tr w:rsidR="00DC0982" w:rsidRPr="00A436E4" w14:paraId="1E9A0E71" w14:textId="77777777" w:rsidTr="00506A7C">
        <w:trPr>
          <w:trHeight w:val="251"/>
        </w:trPr>
        <w:tc>
          <w:tcPr>
            <w:tcW w:w="2167" w:type="dxa"/>
          </w:tcPr>
          <w:p w14:paraId="14D4EFB9" w14:textId="77777777" w:rsidR="00DC0982" w:rsidRPr="00A436E4" w:rsidRDefault="00DC0982" w:rsidP="000878F6">
            <w:pPr>
              <w:pStyle w:val="Table"/>
              <w:rPr>
                <w:szCs w:val="20"/>
              </w:rPr>
            </w:pPr>
            <w:r w:rsidRPr="00A436E4">
              <w:rPr>
                <w:szCs w:val="20"/>
              </w:rPr>
              <w:t>Fertilizers</w:t>
            </w:r>
          </w:p>
        </w:tc>
        <w:tc>
          <w:tcPr>
            <w:tcW w:w="1086" w:type="dxa"/>
            <w:vAlign w:val="center"/>
          </w:tcPr>
          <w:p w14:paraId="47FD5018" w14:textId="77777777" w:rsidR="00DC0982" w:rsidRPr="00A436E4" w:rsidRDefault="00DC0982" w:rsidP="000878F6">
            <w:pPr>
              <w:pStyle w:val="Table"/>
              <w:jc w:val="center"/>
              <w:rPr>
                <w:szCs w:val="20"/>
              </w:rPr>
            </w:pPr>
            <w:r w:rsidRPr="00A436E4">
              <w:rPr>
                <w:rFonts w:ascii="Calibri" w:hAnsi="Calibri" w:cs="Calibri"/>
                <w:color w:val="000000"/>
                <w:szCs w:val="20"/>
              </w:rPr>
              <w:t>-41,94%</w:t>
            </w:r>
          </w:p>
        </w:tc>
        <w:tc>
          <w:tcPr>
            <w:tcW w:w="1087" w:type="dxa"/>
            <w:vAlign w:val="center"/>
          </w:tcPr>
          <w:p w14:paraId="5BF688ED" w14:textId="77777777" w:rsidR="00DC0982" w:rsidRPr="00A436E4" w:rsidRDefault="00DC0982" w:rsidP="000878F6">
            <w:pPr>
              <w:pStyle w:val="Table"/>
              <w:jc w:val="center"/>
              <w:rPr>
                <w:szCs w:val="20"/>
              </w:rPr>
            </w:pPr>
            <w:r w:rsidRPr="00A436E4">
              <w:rPr>
                <w:rFonts w:ascii="Calibri" w:hAnsi="Calibri" w:cs="Calibri"/>
                <w:color w:val="000000"/>
                <w:szCs w:val="20"/>
              </w:rPr>
              <w:t>-41,94%</w:t>
            </w:r>
          </w:p>
        </w:tc>
        <w:tc>
          <w:tcPr>
            <w:tcW w:w="1014" w:type="dxa"/>
            <w:vAlign w:val="center"/>
          </w:tcPr>
          <w:p w14:paraId="1BEFCEA2" w14:textId="77777777" w:rsidR="00DC0982" w:rsidRPr="00A436E4" w:rsidRDefault="00DC0982" w:rsidP="000878F6">
            <w:pPr>
              <w:pStyle w:val="Table"/>
              <w:jc w:val="center"/>
              <w:rPr>
                <w:szCs w:val="20"/>
              </w:rPr>
            </w:pPr>
            <w:r w:rsidRPr="00A436E4">
              <w:rPr>
                <w:rFonts w:ascii="Calibri" w:hAnsi="Calibri" w:cs="Calibri"/>
                <w:color w:val="000000"/>
                <w:szCs w:val="20"/>
              </w:rPr>
              <w:t>9,38</w:t>
            </w:r>
          </w:p>
        </w:tc>
        <w:tc>
          <w:tcPr>
            <w:tcW w:w="1186" w:type="dxa"/>
            <w:vAlign w:val="center"/>
          </w:tcPr>
          <w:p w14:paraId="59D6CADB" w14:textId="77777777" w:rsidR="00DC0982" w:rsidRPr="00A436E4" w:rsidRDefault="00DC0982" w:rsidP="000878F6">
            <w:pPr>
              <w:pStyle w:val="Table"/>
              <w:jc w:val="center"/>
              <w:rPr>
                <w:szCs w:val="20"/>
              </w:rPr>
            </w:pPr>
            <w:r w:rsidRPr="00A436E4">
              <w:rPr>
                <w:rFonts w:ascii="Calibri" w:hAnsi="Calibri" w:cs="Calibri"/>
                <w:color w:val="000000"/>
                <w:szCs w:val="20"/>
              </w:rPr>
              <w:t>8,64</w:t>
            </w:r>
          </w:p>
        </w:tc>
        <w:tc>
          <w:tcPr>
            <w:tcW w:w="1110" w:type="dxa"/>
            <w:vAlign w:val="center"/>
          </w:tcPr>
          <w:p w14:paraId="203121A1" w14:textId="77777777" w:rsidR="00DC0982" w:rsidRPr="00A436E4" w:rsidRDefault="00DC0982" w:rsidP="000878F6">
            <w:pPr>
              <w:pStyle w:val="Table"/>
              <w:jc w:val="center"/>
              <w:rPr>
                <w:szCs w:val="20"/>
              </w:rPr>
            </w:pPr>
            <w:r w:rsidRPr="00A436E4">
              <w:rPr>
                <w:rFonts w:ascii="Calibri" w:hAnsi="Calibri" w:cs="Calibri"/>
                <w:color w:val="000000"/>
                <w:szCs w:val="20"/>
              </w:rPr>
              <w:t>1,84%</w:t>
            </w:r>
          </w:p>
        </w:tc>
        <w:tc>
          <w:tcPr>
            <w:tcW w:w="1424" w:type="dxa"/>
            <w:vAlign w:val="center"/>
          </w:tcPr>
          <w:p w14:paraId="17E3F0D0" w14:textId="77777777" w:rsidR="00DC0982" w:rsidRPr="00A436E4" w:rsidRDefault="00DC0982" w:rsidP="000878F6">
            <w:pPr>
              <w:pStyle w:val="Table"/>
              <w:jc w:val="center"/>
              <w:rPr>
                <w:szCs w:val="20"/>
              </w:rPr>
            </w:pPr>
            <w:r w:rsidRPr="00A436E4">
              <w:rPr>
                <w:rFonts w:ascii="Calibri" w:hAnsi="Calibri" w:cs="Calibri"/>
                <w:color w:val="000000"/>
                <w:szCs w:val="20"/>
              </w:rPr>
              <w:t>1,69%</w:t>
            </w:r>
          </w:p>
        </w:tc>
      </w:tr>
      <w:tr w:rsidR="00DC0982" w:rsidRPr="00A436E4" w14:paraId="57317B54" w14:textId="77777777" w:rsidTr="00506A7C">
        <w:trPr>
          <w:trHeight w:val="223"/>
        </w:trPr>
        <w:tc>
          <w:tcPr>
            <w:tcW w:w="2167" w:type="dxa"/>
          </w:tcPr>
          <w:p w14:paraId="1728C558" w14:textId="77777777" w:rsidR="00DC0982" w:rsidRPr="00A436E4" w:rsidRDefault="00DC0982" w:rsidP="000878F6">
            <w:pPr>
              <w:pStyle w:val="Table"/>
              <w:rPr>
                <w:szCs w:val="20"/>
              </w:rPr>
            </w:pPr>
            <w:r w:rsidRPr="00A436E4">
              <w:rPr>
                <w:szCs w:val="20"/>
              </w:rPr>
              <w:t>Pesticides</w:t>
            </w:r>
          </w:p>
        </w:tc>
        <w:tc>
          <w:tcPr>
            <w:tcW w:w="1086" w:type="dxa"/>
            <w:vAlign w:val="center"/>
          </w:tcPr>
          <w:p w14:paraId="12276E9A" w14:textId="77777777" w:rsidR="00DC0982" w:rsidRPr="00A436E4" w:rsidRDefault="00DC0982" w:rsidP="000878F6">
            <w:pPr>
              <w:pStyle w:val="Table"/>
              <w:jc w:val="center"/>
              <w:rPr>
                <w:szCs w:val="20"/>
              </w:rPr>
            </w:pPr>
            <w:r w:rsidRPr="00A436E4">
              <w:rPr>
                <w:rFonts w:ascii="Calibri" w:hAnsi="Calibri" w:cs="Calibri"/>
                <w:color w:val="000000"/>
                <w:szCs w:val="20"/>
              </w:rPr>
              <w:t>n/a</w:t>
            </w:r>
          </w:p>
        </w:tc>
        <w:tc>
          <w:tcPr>
            <w:tcW w:w="1087" w:type="dxa"/>
            <w:vAlign w:val="center"/>
          </w:tcPr>
          <w:p w14:paraId="0DCAD52D" w14:textId="77777777" w:rsidR="00DC0982" w:rsidRPr="00A436E4" w:rsidRDefault="00DC0982" w:rsidP="000878F6">
            <w:pPr>
              <w:pStyle w:val="Table"/>
              <w:jc w:val="center"/>
              <w:rPr>
                <w:szCs w:val="20"/>
              </w:rPr>
            </w:pPr>
            <w:r w:rsidRPr="00A436E4">
              <w:rPr>
                <w:rFonts w:ascii="Calibri" w:hAnsi="Calibri" w:cs="Calibri"/>
                <w:color w:val="000000"/>
                <w:szCs w:val="20"/>
              </w:rPr>
              <w:t>n/a</w:t>
            </w:r>
          </w:p>
        </w:tc>
        <w:tc>
          <w:tcPr>
            <w:tcW w:w="1014" w:type="dxa"/>
            <w:vAlign w:val="center"/>
          </w:tcPr>
          <w:p w14:paraId="3960E0E9" w14:textId="77777777" w:rsidR="00DC0982" w:rsidRPr="00A436E4" w:rsidRDefault="00DC0982" w:rsidP="000878F6">
            <w:pPr>
              <w:pStyle w:val="Table"/>
              <w:jc w:val="center"/>
              <w:rPr>
                <w:szCs w:val="20"/>
              </w:rPr>
            </w:pPr>
            <w:r w:rsidRPr="00A436E4">
              <w:rPr>
                <w:rFonts w:ascii="Calibri" w:hAnsi="Calibri" w:cs="Calibri"/>
                <w:color w:val="000000"/>
                <w:szCs w:val="20"/>
              </w:rPr>
              <w:t>48,43</w:t>
            </w:r>
          </w:p>
        </w:tc>
        <w:tc>
          <w:tcPr>
            <w:tcW w:w="1186" w:type="dxa"/>
            <w:vAlign w:val="center"/>
          </w:tcPr>
          <w:p w14:paraId="54A12203" w14:textId="77777777" w:rsidR="00DC0982" w:rsidRPr="00A436E4" w:rsidRDefault="00DC0982" w:rsidP="000878F6">
            <w:pPr>
              <w:pStyle w:val="Table"/>
              <w:jc w:val="center"/>
              <w:rPr>
                <w:szCs w:val="20"/>
              </w:rPr>
            </w:pPr>
            <w:r w:rsidRPr="00A436E4">
              <w:rPr>
                <w:rFonts w:ascii="Calibri" w:hAnsi="Calibri" w:cs="Calibri"/>
                <w:color w:val="000000"/>
                <w:szCs w:val="20"/>
              </w:rPr>
              <w:t>48,30</w:t>
            </w:r>
          </w:p>
        </w:tc>
        <w:tc>
          <w:tcPr>
            <w:tcW w:w="1110" w:type="dxa"/>
            <w:vAlign w:val="center"/>
          </w:tcPr>
          <w:p w14:paraId="44A29EFD" w14:textId="77777777" w:rsidR="00DC0982" w:rsidRPr="00A436E4" w:rsidRDefault="00DC0982" w:rsidP="000878F6">
            <w:pPr>
              <w:pStyle w:val="Table"/>
              <w:jc w:val="center"/>
              <w:rPr>
                <w:szCs w:val="20"/>
              </w:rPr>
            </w:pPr>
            <w:r w:rsidRPr="00A436E4">
              <w:rPr>
                <w:rFonts w:ascii="Calibri" w:hAnsi="Calibri" w:cs="Calibri"/>
                <w:color w:val="000000"/>
                <w:szCs w:val="20"/>
              </w:rPr>
              <w:t>9,49%</w:t>
            </w:r>
          </w:p>
        </w:tc>
        <w:tc>
          <w:tcPr>
            <w:tcW w:w="1424" w:type="dxa"/>
            <w:vAlign w:val="center"/>
          </w:tcPr>
          <w:p w14:paraId="2DBA17D8" w14:textId="77777777" w:rsidR="00DC0982" w:rsidRPr="00A436E4" w:rsidRDefault="00DC0982" w:rsidP="000878F6">
            <w:pPr>
              <w:pStyle w:val="Table"/>
              <w:jc w:val="center"/>
              <w:rPr>
                <w:szCs w:val="20"/>
              </w:rPr>
            </w:pPr>
            <w:r w:rsidRPr="00A436E4">
              <w:rPr>
                <w:rFonts w:ascii="Calibri" w:hAnsi="Calibri" w:cs="Calibri"/>
                <w:color w:val="000000"/>
                <w:szCs w:val="20"/>
              </w:rPr>
              <w:t>9,46%</w:t>
            </w:r>
          </w:p>
        </w:tc>
      </w:tr>
      <w:tr w:rsidR="00DC0982" w:rsidRPr="00A436E4" w14:paraId="52BD2AB7" w14:textId="77777777" w:rsidTr="00506A7C">
        <w:trPr>
          <w:trHeight w:val="255"/>
        </w:trPr>
        <w:tc>
          <w:tcPr>
            <w:tcW w:w="2167" w:type="dxa"/>
          </w:tcPr>
          <w:p w14:paraId="205538C2" w14:textId="77777777" w:rsidR="00DC0982" w:rsidRPr="00A436E4" w:rsidRDefault="00DC0982" w:rsidP="000878F6">
            <w:pPr>
              <w:pStyle w:val="Table"/>
              <w:rPr>
                <w:szCs w:val="20"/>
              </w:rPr>
            </w:pPr>
            <w:r w:rsidRPr="00A436E4">
              <w:rPr>
                <w:szCs w:val="20"/>
              </w:rPr>
              <w:t>Waste Incineration</w:t>
            </w:r>
          </w:p>
        </w:tc>
        <w:tc>
          <w:tcPr>
            <w:tcW w:w="1086" w:type="dxa"/>
            <w:vAlign w:val="center"/>
          </w:tcPr>
          <w:p w14:paraId="006F2BE5"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c>
          <w:tcPr>
            <w:tcW w:w="1087" w:type="dxa"/>
            <w:vAlign w:val="center"/>
          </w:tcPr>
          <w:p w14:paraId="43F39342"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c>
          <w:tcPr>
            <w:tcW w:w="1014" w:type="dxa"/>
            <w:vAlign w:val="center"/>
          </w:tcPr>
          <w:p w14:paraId="7265251D"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c>
          <w:tcPr>
            <w:tcW w:w="1186" w:type="dxa"/>
            <w:vAlign w:val="center"/>
          </w:tcPr>
          <w:p w14:paraId="2D4DC28C"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c>
          <w:tcPr>
            <w:tcW w:w="1110" w:type="dxa"/>
            <w:vAlign w:val="center"/>
          </w:tcPr>
          <w:p w14:paraId="1B2D35D3"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c>
          <w:tcPr>
            <w:tcW w:w="1424" w:type="dxa"/>
            <w:vAlign w:val="center"/>
          </w:tcPr>
          <w:p w14:paraId="3076A5A3"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r>
      <w:tr w:rsidR="00DC0982" w:rsidRPr="00A436E4" w14:paraId="5C9D0D37" w14:textId="77777777" w:rsidTr="00506A7C">
        <w:trPr>
          <w:trHeight w:val="273"/>
        </w:trPr>
        <w:tc>
          <w:tcPr>
            <w:tcW w:w="2167" w:type="dxa"/>
          </w:tcPr>
          <w:p w14:paraId="3E1C99C7" w14:textId="77777777" w:rsidR="00DC0982" w:rsidRPr="00A436E4" w:rsidRDefault="00DC0982" w:rsidP="000878F6">
            <w:pPr>
              <w:pStyle w:val="Table"/>
              <w:rPr>
                <w:szCs w:val="20"/>
              </w:rPr>
            </w:pPr>
            <w:r w:rsidRPr="00A436E4">
              <w:rPr>
                <w:szCs w:val="20"/>
              </w:rPr>
              <w:t>Waste to Landfill</w:t>
            </w:r>
          </w:p>
        </w:tc>
        <w:tc>
          <w:tcPr>
            <w:tcW w:w="1086" w:type="dxa"/>
            <w:vAlign w:val="center"/>
          </w:tcPr>
          <w:p w14:paraId="6A444553"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c>
          <w:tcPr>
            <w:tcW w:w="1087" w:type="dxa"/>
            <w:vAlign w:val="center"/>
          </w:tcPr>
          <w:p w14:paraId="58247FC8"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c>
          <w:tcPr>
            <w:tcW w:w="1014" w:type="dxa"/>
            <w:vAlign w:val="center"/>
          </w:tcPr>
          <w:p w14:paraId="0B46F473"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c>
          <w:tcPr>
            <w:tcW w:w="1186" w:type="dxa"/>
            <w:vAlign w:val="center"/>
          </w:tcPr>
          <w:p w14:paraId="3C1C9C9F"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c>
          <w:tcPr>
            <w:tcW w:w="1110" w:type="dxa"/>
            <w:vAlign w:val="center"/>
          </w:tcPr>
          <w:p w14:paraId="30B1461F"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c>
          <w:tcPr>
            <w:tcW w:w="1424" w:type="dxa"/>
            <w:vAlign w:val="center"/>
          </w:tcPr>
          <w:p w14:paraId="1BDBDC3F"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r>
      <w:tr w:rsidR="00DC0982" w:rsidRPr="00A436E4" w14:paraId="26B7D368" w14:textId="77777777" w:rsidTr="00506A7C">
        <w:trPr>
          <w:trHeight w:val="135"/>
        </w:trPr>
        <w:tc>
          <w:tcPr>
            <w:tcW w:w="2167" w:type="dxa"/>
          </w:tcPr>
          <w:p w14:paraId="1010D6E4" w14:textId="77777777" w:rsidR="00DC0982" w:rsidRPr="00A436E4" w:rsidRDefault="00DC0982" w:rsidP="000878F6">
            <w:pPr>
              <w:pStyle w:val="Table"/>
              <w:rPr>
                <w:szCs w:val="20"/>
              </w:rPr>
            </w:pPr>
            <w:r w:rsidRPr="00A436E4">
              <w:rPr>
                <w:szCs w:val="20"/>
              </w:rPr>
              <w:t>Water Effluent</w:t>
            </w:r>
          </w:p>
        </w:tc>
        <w:tc>
          <w:tcPr>
            <w:tcW w:w="1086" w:type="dxa"/>
            <w:vAlign w:val="center"/>
          </w:tcPr>
          <w:p w14:paraId="7110AF7C"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c>
          <w:tcPr>
            <w:tcW w:w="1087" w:type="dxa"/>
            <w:vAlign w:val="center"/>
          </w:tcPr>
          <w:p w14:paraId="28290CE7"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c>
          <w:tcPr>
            <w:tcW w:w="1014" w:type="dxa"/>
            <w:vAlign w:val="center"/>
          </w:tcPr>
          <w:p w14:paraId="49E0C020"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c>
          <w:tcPr>
            <w:tcW w:w="1186" w:type="dxa"/>
            <w:vAlign w:val="center"/>
          </w:tcPr>
          <w:p w14:paraId="4E376D08"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c>
          <w:tcPr>
            <w:tcW w:w="1110" w:type="dxa"/>
            <w:vAlign w:val="center"/>
          </w:tcPr>
          <w:p w14:paraId="3F5EAAD7"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c>
          <w:tcPr>
            <w:tcW w:w="1424" w:type="dxa"/>
            <w:vAlign w:val="center"/>
          </w:tcPr>
          <w:p w14:paraId="2DCCD944" w14:textId="77777777" w:rsidR="00DC0982" w:rsidRPr="00A436E4" w:rsidRDefault="00DC0982" w:rsidP="000878F6">
            <w:pPr>
              <w:pStyle w:val="Table"/>
              <w:jc w:val="center"/>
              <w:rPr>
                <w:szCs w:val="20"/>
              </w:rPr>
            </w:pPr>
            <w:r w:rsidRPr="00A436E4">
              <w:rPr>
                <w:rFonts w:ascii="Calibri" w:hAnsi="Calibri" w:cs="Calibri"/>
                <w:color w:val="000000"/>
                <w:szCs w:val="20"/>
              </w:rPr>
              <w:t>0,00%</w:t>
            </w:r>
          </w:p>
        </w:tc>
      </w:tr>
      <w:tr w:rsidR="00DC0982" w:rsidRPr="00A436E4" w14:paraId="563B7A80" w14:textId="77777777" w:rsidTr="00506A7C">
        <w:trPr>
          <w:trHeight w:val="167"/>
        </w:trPr>
        <w:tc>
          <w:tcPr>
            <w:tcW w:w="2167" w:type="dxa"/>
          </w:tcPr>
          <w:p w14:paraId="7535FE1E" w14:textId="77777777" w:rsidR="00DC0982" w:rsidRPr="00A436E4" w:rsidRDefault="00DC0982" w:rsidP="000878F6">
            <w:pPr>
              <w:pStyle w:val="Table"/>
              <w:rPr>
                <w:szCs w:val="20"/>
              </w:rPr>
            </w:pPr>
            <w:r w:rsidRPr="00A436E4">
              <w:rPr>
                <w:szCs w:val="20"/>
              </w:rPr>
              <w:t>Minerals &amp; Aggregates</w:t>
            </w:r>
          </w:p>
        </w:tc>
        <w:tc>
          <w:tcPr>
            <w:tcW w:w="1086" w:type="dxa"/>
            <w:vAlign w:val="center"/>
          </w:tcPr>
          <w:p w14:paraId="3362ADB9" w14:textId="77777777" w:rsidR="00DC0982" w:rsidRPr="00A436E4" w:rsidRDefault="00DC0982" w:rsidP="000878F6">
            <w:pPr>
              <w:pStyle w:val="Table"/>
              <w:jc w:val="center"/>
              <w:rPr>
                <w:szCs w:val="20"/>
              </w:rPr>
            </w:pPr>
            <w:r w:rsidRPr="00A436E4">
              <w:rPr>
                <w:rFonts w:ascii="Calibri" w:hAnsi="Calibri" w:cs="Calibri"/>
                <w:color w:val="000000"/>
                <w:szCs w:val="20"/>
              </w:rPr>
              <w:t>-16,67%</w:t>
            </w:r>
          </w:p>
        </w:tc>
        <w:tc>
          <w:tcPr>
            <w:tcW w:w="1087" w:type="dxa"/>
            <w:vAlign w:val="center"/>
          </w:tcPr>
          <w:p w14:paraId="6BAF708A" w14:textId="77777777" w:rsidR="00DC0982" w:rsidRPr="00A436E4" w:rsidRDefault="00DC0982" w:rsidP="000878F6">
            <w:pPr>
              <w:pStyle w:val="Table"/>
              <w:jc w:val="center"/>
              <w:rPr>
                <w:szCs w:val="20"/>
              </w:rPr>
            </w:pPr>
            <w:r w:rsidRPr="00A436E4">
              <w:rPr>
                <w:rFonts w:ascii="Calibri" w:hAnsi="Calibri" w:cs="Calibri"/>
                <w:color w:val="000000"/>
                <w:szCs w:val="20"/>
              </w:rPr>
              <w:t>-16,67%</w:t>
            </w:r>
          </w:p>
        </w:tc>
        <w:tc>
          <w:tcPr>
            <w:tcW w:w="1014" w:type="dxa"/>
            <w:vAlign w:val="center"/>
          </w:tcPr>
          <w:p w14:paraId="447D5246" w14:textId="77777777" w:rsidR="00DC0982" w:rsidRPr="00A436E4" w:rsidRDefault="00DC0982" w:rsidP="000878F6">
            <w:pPr>
              <w:pStyle w:val="Table"/>
              <w:jc w:val="center"/>
              <w:rPr>
                <w:szCs w:val="20"/>
              </w:rPr>
            </w:pPr>
            <w:r w:rsidRPr="00A436E4">
              <w:rPr>
                <w:rFonts w:ascii="Calibri" w:hAnsi="Calibri" w:cs="Calibri"/>
                <w:color w:val="000000"/>
                <w:szCs w:val="20"/>
              </w:rPr>
              <w:t>112,63</w:t>
            </w:r>
          </w:p>
        </w:tc>
        <w:tc>
          <w:tcPr>
            <w:tcW w:w="1186" w:type="dxa"/>
            <w:vAlign w:val="center"/>
          </w:tcPr>
          <w:p w14:paraId="16CA0FBD" w14:textId="77777777" w:rsidR="00DC0982" w:rsidRPr="00A436E4" w:rsidRDefault="00DC0982" w:rsidP="000878F6">
            <w:pPr>
              <w:pStyle w:val="Table"/>
              <w:jc w:val="center"/>
              <w:rPr>
                <w:szCs w:val="20"/>
              </w:rPr>
            </w:pPr>
            <w:r w:rsidRPr="00A436E4">
              <w:rPr>
                <w:rFonts w:ascii="Calibri" w:hAnsi="Calibri" w:cs="Calibri"/>
                <w:color w:val="000000"/>
                <w:szCs w:val="20"/>
              </w:rPr>
              <w:t>108,95</w:t>
            </w:r>
          </w:p>
        </w:tc>
        <w:tc>
          <w:tcPr>
            <w:tcW w:w="1110" w:type="dxa"/>
            <w:vAlign w:val="center"/>
          </w:tcPr>
          <w:p w14:paraId="60CA8400" w14:textId="77777777" w:rsidR="00DC0982" w:rsidRPr="00A436E4" w:rsidRDefault="00DC0982" w:rsidP="000878F6">
            <w:pPr>
              <w:pStyle w:val="Table"/>
              <w:jc w:val="center"/>
              <w:rPr>
                <w:szCs w:val="20"/>
              </w:rPr>
            </w:pPr>
            <w:r w:rsidRPr="00A436E4">
              <w:rPr>
                <w:rFonts w:ascii="Calibri" w:hAnsi="Calibri" w:cs="Calibri"/>
                <w:color w:val="000000"/>
                <w:szCs w:val="20"/>
              </w:rPr>
              <w:t>115,40%</w:t>
            </w:r>
          </w:p>
        </w:tc>
        <w:tc>
          <w:tcPr>
            <w:tcW w:w="1424" w:type="dxa"/>
            <w:vAlign w:val="center"/>
          </w:tcPr>
          <w:p w14:paraId="5436D2A2" w14:textId="77777777" w:rsidR="00DC0982" w:rsidRPr="00A436E4" w:rsidRDefault="00DC0982" w:rsidP="000878F6">
            <w:pPr>
              <w:pStyle w:val="Table"/>
              <w:jc w:val="center"/>
              <w:rPr>
                <w:szCs w:val="20"/>
              </w:rPr>
            </w:pPr>
            <w:r w:rsidRPr="00A436E4">
              <w:rPr>
                <w:rFonts w:ascii="Calibri" w:hAnsi="Calibri" w:cs="Calibri"/>
                <w:color w:val="000000"/>
                <w:szCs w:val="20"/>
              </w:rPr>
              <w:t>111,63%</w:t>
            </w:r>
          </w:p>
        </w:tc>
      </w:tr>
    </w:tbl>
    <w:p w14:paraId="42D75EAF" w14:textId="77777777" w:rsidR="00DC0982" w:rsidRDefault="00DC0982" w:rsidP="00DC0982">
      <w:pPr>
        <w:rPr>
          <w:lang w:eastAsia="en-GB"/>
        </w:rPr>
      </w:pPr>
    </w:p>
    <w:tbl>
      <w:tblPr>
        <w:tblStyle w:val="Lentelstinklelis1"/>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086"/>
        <w:gridCol w:w="1087"/>
        <w:gridCol w:w="1014"/>
        <w:gridCol w:w="1186"/>
        <w:gridCol w:w="1110"/>
        <w:gridCol w:w="1424"/>
      </w:tblGrid>
      <w:tr w:rsidR="00DC0982" w:rsidRPr="0076001D" w14:paraId="6479B3D7" w14:textId="77777777" w:rsidTr="00506A7C">
        <w:trPr>
          <w:trHeight w:val="303"/>
          <w:tblHeader/>
        </w:trPr>
        <w:tc>
          <w:tcPr>
            <w:tcW w:w="9074" w:type="dxa"/>
            <w:gridSpan w:val="7"/>
            <w:shd w:val="clear" w:color="auto" w:fill="003399"/>
          </w:tcPr>
          <w:p w14:paraId="5B5845C6" w14:textId="65434369" w:rsidR="00DC0982" w:rsidRPr="0076001D" w:rsidRDefault="00DC0982" w:rsidP="000878F6">
            <w:pPr>
              <w:pStyle w:val="Table"/>
              <w:rPr>
                <w:b/>
                <w:szCs w:val="20"/>
              </w:rPr>
            </w:pPr>
            <w:r w:rsidRPr="0076001D">
              <w:rPr>
                <w:b/>
                <w:color w:val="FFFFFF" w:themeColor="background1"/>
                <w:szCs w:val="20"/>
              </w:rPr>
              <w:t xml:space="preserve">Table </w:t>
            </w:r>
            <w:r w:rsidR="00490085">
              <w:rPr>
                <w:b/>
                <w:bCs/>
                <w:color w:val="FFFFFF" w:themeColor="background1"/>
                <w:szCs w:val="20"/>
              </w:rPr>
              <w:t>A6</w:t>
            </w:r>
            <w:r w:rsidRPr="0076001D">
              <w:rPr>
                <w:b/>
                <w:bCs/>
                <w:color w:val="FFFFFF" w:themeColor="background1"/>
                <w:szCs w:val="20"/>
              </w:rPr>
              <w:t>-</w:t>
            </w:r>
            <w:r w:rsidRPr="0076001D">
              <w:rPr>
                <w:b/>
                <w:bCs/>
                <w:color w:val="FFFFFF" w:themeColor="background1"/>
                <w:szCs w:val="20"/>
              </w:rPr>
              <w:fldChar w:fldCharType="begin"/>
            </w:r>
            <w:r w:rsidRPr="0076001D">
              <w:rPr>
                <w:b/>
                <w:bCs/>
                <w:color w:val="FFFFFF" w:themeColor="background1"/>
                <w:szCs w:val="20"/>
              </w:rPr>
              <w:instrText xml:space="preserve"> SEQ Table_A5- \* ARABIC </w:instrText>
            </w:r>
            <w:r w:rsidRPr="0076001D">
              <w:rPr>
                <w:b/>
                <w:bCs/>
                <w:color w:val="FFFFFF" w:themeColor="background1"/>
                <w:szCs w:val="20"/>
              </w:rPr>
              <w:fldChar w:fldCharType="separate"/>
            </w:r>
            <w:r>
              <w:rPr>
                <w:b/>
                <w:bCs/>
                <w:noProof/>
                <w:color w:val="FFFFFF" w:themeColor="background1"/>
                <w:szCs w:val="20"/>
              </w:rPr>
              <w:t>13</w:t>
            </w:r>
            <w:r w:rsidRPr="0076001D">
              <w:rPr>
                <w:b/>
                <w:bCs/>
                <w:color w:val="FFFFFF" w:themeColor="background1"/>
                <w:szCs w:val="20"/>
              </w:rPr>
              <w:fldChar w:fldCharType="end"/>
            </w:r>
            <w:r w:rsidRPr="0076001D">
              <w:rPr>
                <w:b/>
                <w:bCs/>
                <w:color w:val="FFFFFF" w:themeColor="background1"/>
                <w:szCs w:val="20"/>
                <w:lang w:eastAsia="en-GB"/>
              </w:rPr>
              <w:t>:</w:t>
            </w:r>
            <w:r w:rsidRPr="0076001D">
              <w:rPr>
                <w:b/>
                <w:color w:val="FFFFFF" w:themeColor="background1"/>
                <w:szCs w:val="20"/>
                <w:lang w:eastAsia="en-GB"/>
              </w:rPr>
              <w:t xml:space="preserve"> Environmental impacts and revenue changes in Belgium – Scenario B</w:t>
            </w:r>
          </w:p>
        </w:tc>
      </w:tr>
      <w:tr w:rsidR="00DC0982" w:rsidRPr="0076001D" w14:paraId="66889D15" w14:textId="77777777" w:rsidTr="00506A7C">
        <w:trPr>
          <w:trHeight w:val="452"/>
          <w:tblHeader/>
        </w:trPr>
        <w:tc>
          <w:tcPr>
            <w:tcW w:w="2167" w:type="dxa"/>
          </w:tcPr>
          <w:p w14:paraId="2BF52310" w14:textId="77777777" w:rsidR="00DC0982" w:rsidRPr="0076001D" w:rsidRDefault="00DC0982" w:rsidP="000878F6">
            <w:pPr>
              <w:pStyle w:val="Table"/>
              <w:rPr>
                <w:b/>
                <w:szCs w:val="20"/>
              </w:rPr>
            </w:pPr>
            <w:r w:rsidRPr="0076001D">
              <w:rPr>
                <w:b/>
                <w:szCs w:val="20"/>
              </w:rPr>
              <w:t>Tax Name</w:t>
            </w:r>
          </w:p>
        </w:tc>
        <w:tc>
          <w:tcPr>
            <w:tcW w:w="2173" w:type="dxa"/>
            <w:gridSpan w:val="2"/>
            <w:vAlign w:val="bottom"/>
          </w:tcPr>
          <w:p w14:paraId="764EDC20" w14:textId="77777777" w:rsidR="00DC0982" w:rsidRPr="0076001D" w:rsidRDefault="00DC0982" w:rsidP="000878F6">
            <w:pPr>
              <w:pStyle w:val="Table"/>
              <w:jc w:val="center"/>
              <w:rPr>
                <w:b/>
                <w:szCs w:val="20"/>
              </w:rPr>
            </w:pPr>
            <w:r w:rsidRPr="0076001D">
              <w:rPr>
                <w:rFonts w:ascii="Calibri" w:hAnsi="Calibri" w:cs="Calibri"/>
                <w:b/>
                <w:bCs/>
                <w:color w:val="000000"/>
                <w:szCs w:val="20"/>
              </w:rPr>
              <w:t>% Change in Quantities as % of taxed sector</w:t>
            </w:r>
          </w:p>
        </w:tc>
        <w:tc>
          <w:tcPr>
            <w:tcW w:w="2200" w:type="dxa"/>
            <w:gridSpan w:val="2"/>
            <w:vAlign w:val="bottom"/>
          </w:tcPr>
          <w:p w14:paraId="4A5FA41F" w14:textId="77777777" w:rsidR="00DC0982" w:rsidRPr="0076001D" w:rsidRDefault="00DC0982" w:rsidP="000878F6">
            <w:pPr>
              <w:pStyle w:val="Table"/>
              <w:jc w:val="center"/>
              <w:rPr>
                <w:b/>
                <w:szCs w:val="20"/>
              </w:rPr>
            </w:pPr>
            <w:r w:rsidRPr="0076001D">
              <w:rPr>
                <w:rFonts w:ascii="Calibri" w:hAnsi="Calibri" w:cs="Calibri"/>
                <w:b/>
                <w:bCs/>
                <w:color w:val="000000"/>
                <w:szCs w:val="20"/>
              </w:rPr>
              <w:t>Change in Revenues (€Mn)</w:t>
            </w:r>
          </w:p>
        </w:tc>
        <w:tc>
          <w:tcPr>
            <w:tcW w:w="2534" w:type="dxa"/>
            <w:gridSpan w:val="2"/>
            <w:vAlign w:val="bottom"/>
          </w:tcPr>
          <w:p w14:paraId="522813B3" w14:textId="77777777" w:rsidR="00DC0982" w:rsidRPr="0076001D" w:rsidRDefault="00DC0982" w:rsidP="000878F6">
            <w:pPr>
              <w:pStyle w:val="Table"/>
              <w:jc w:val="center"/>
              <w:rPr>
                <w:b/>
                <w:szCs w:val="20"/>
              </w:rPr>
            </w:pPr>
            <w:r w:rsidRPr="0076001D">
              <w:rPr>
                <w:rFonts w:ascii="Calibri" w:hAnsi="Calibri" w:cs="Calibri"/>
                <w:b/>
                <w:bCs/>
                <w:color w:val="000000"/>
                <w:szCs w:val="20"/>
              </w:rPr>
              <w:t>As % of 2023 Resource Tax</w:t>
            </w:r>
          </w:p>
        </w:tc>
      </w:tr>
      <w:tr w:rsidR="00DC0982" w:rsidRPr="0076001D" w14:paraId="25837C2D" w14:textId="77777777" w:rsidTr="00506A7C">
        <w:trPr>
          <w:trHeight w:val="247"/>
        </w:trPr>
        <w:tc>
          <w:tcPr>
            <w:tcW w:w="2167" w:type="dxa"/>
          </w:tcPr>
          <w:p w14:paraId="21FF0D6A" w14:textId="77777777" w:rsidR="00DC0982" w:rsidRPr="0076001D" w:rsidRDefault="00DC0982" w:rsidP="000878F6">
            <w:pPr>
              <w:pStyle w:val="Table"/>
              <w:rPr>
                <w:b/>
                <w:szCs w:val="20"/>
              </w:rPr>
            </w:pPr>
            <w:r w:rsidRPr="0076001D">
              <w:rPr>
                <w:b/>
                <w:szCs w:val="20"/>
              </w:rPr>
              <w:t>Year</w:t>
            </w:r>
          </w:p>
        </w:tc>
        <w:tc>
          <w:tcPr>
            <w:tcW w:w="1086" w:type="dxa"/>
          </w:tcPr>
          <w:p w14:paraId="50B26CBB" w14:textId="77777777" w:rsidR="00DC0982" w:rsidRPr="0076001D" w:rsidRDefault="00DC0982" w:rsidP="000878F6">
            <w:pPr>
              <w:pStyle w:val="Table"/>
              <w:jc w:val="center"/>
              <w:rPr>
                <w:b/>
                <w:szCs w:val="20"/>
              </w:rPr>
            </w:pPr>
            <w:r w:rsidRPr="0076001D">
              <w:rPr>
                <w:b/>
                <w:szCs w:val="20"/>
              </w:rPr>
              <w:t>2030</w:t>
            </w:r>
          </w:p>
        </w:tc>
        <w:tc>
          <w:tcPr>
            <w:tcW w:w="1087" w:type="dxa"/>
          </w:tcPr>
          <w:p w14:paraId="680217E0" w14:textId="77777777" w:rsidR="00DC0982" w:rsidRPr="0076001D" w:rsidRDefault="00DC0982" w:rsidP="000878F6">
            <w:pPr>
              <w:pStyle w:val="Table"/>
              <w:jc w:val="center"/>
              <w:rPr>
                <w:b/>
                <w:szCs w:val="20"/>
              </w:rPr>
            </w:pPr>
            <w:r w:rsidRPr="0076001D">
              <w:rPr>
                <w:b/>
                <w:szCs w:val="20"/>
              </w:rPr>
              <w:t>2035</w:t>
            </w:r>
          </w:p>
        </w:tc>
        <w:tc>
          <w:tcPr>
            <w:tcW w:w="1014" w:type="dxa"/>
          </w:tcPr>
          <w:p w14:paraId="335AD354" w14:textId="77777777" w:rsidR="00DC0982" w:rsidRPr="0076001D" w:rsidRDefault="00DC0982" w:rsidP="000878F6">
            <w:pPr>
              <w:pStyle w:val="Table"/>
              <w:jc w:val="center"/>
              <w:rPr>
                <w:b/>
                <w:szCs w:val="20"/>
              </w:rPr>
            </w:pPr>
            <w:r w:rsidRPr="0076001D">
              <w:rPr>
                <w:b/>
                <w:szCs w:val="20"/>
              </w:rPr>
              <w:t>2030</w:t>
            </w:r>
          </w:p>
        </w:tc>
        <w:tc>
          <w:tcPr>
            <w:tcW w:w="1186" w:type="dxa"/>
          </w:tcPr>
          <w:p w14:paraId="3E6A0705" w14:textId="77777777" w:rsidR="00DC0982" w:rsidRPr="0076001D" w:rsidRDefault="00DC0982" w:rsidP="000878F6">
            <w:pPr>
              <w:pStyle w:val="Table"/>
              <w:jc w:val="center"/>
              <w:rPr>
                <w:b/>
                <w:szCs w:val="20"/>
              </w:rPr>
            </w:pPr>
            <w:r w:rsidRPr="0076001D">
              <w:rPr>
                <w:b/>
                <w:szCs w:val="20"/>
              </w:rPr>
              <w:t>2035</w:t>
            </w:r>
          </w:p>
        </w:tc>
        <w:tc>
          <w:tcPr>
            <w:tcW w:w="1110" w:type="dxa"/>
          </w:tcPr>
          <w:p w14:paraId="049C2BED" w14:textId="77777777" w:rsidR="00DC0982" w:rsidRPr="0076001D" w:rsidRDefault="00DC0982" w:rsidP="000878F6">
            <w:pPr>
              <w:pStyle w:val="Table"/>
              <w:jc w:val="center"/>
              <w:rPr>
                <w:b/>
                <w:szCs w:val="20"/>
              </w:rPr>
            </w:pPr>
            <w:r w:rsidRPr="0076001D">
              <w:rPr>
                <w:b/>
                <w:szCs w:val="20"/>
              </w:rPr>
              <w:t>2030</w:t>
            </w:r>
          </w:p>
        </w:tc>
        <w:tc>
          <w:tcPr>
            <w:tcW w:w="1424" w:type="dxa"/>
          </w:tcPr>
          <w:p w14:paraId="764DE628" w14:textId="77777777" w:rsidR="00DC0982" w:rsidRPr="0076001D" w:rsidRDefault="00DC0982" w:rsidP="000878F6">
            <w:pPr>
              <w:pStyle w:val="Table"/>
              <w:jc w:val="center"/>
              <w:rPr>
                <w:b/>
                <w:szCs w:val="20"/>
              </w:rPr>
            </w:pPr>
            <w:r w:rsidRPr="0076001D">
              <w:rPr>
                <w:b/>
                <w:szCs w:val="20"/>
              </w:rPr>
              <w:t>2035</w:t>
            </w:r>
          </w:p>
        </w:tc>
      </w:tr>
      <w:tr w:rsidR="00DC0982" w:rsidRPr="0076001D" w14:paraId="2DAE8557" w14:textId="77777777" w:rsidTr="00506A7C">
        <w:trPr>
          <w:trHeight w:val="141"/>
        </w:trPr>
        <w:tc>
          <w:tcPr>
            <w:tcW w:w="2167" w:type="dxa"/>
          </w:tcPr>
          <w:p w14:paraId="403F968D" w14:textId="77777777" w:rsidR="00DC0982" w:rsidRPr="0076001D" w:rsidRDefault="00DC0982" w:rsidP="000878F6">
            <w:pPr>
              <w:pStyle w:val="Table"/>
              <w:rPr>
                <w:szCs w:val="20"/>
              </w:rPr>
            </w:pPr>
            <w:r w:rsidRPr="0076001D">
              <w:rPr>
                <w:szCs w:val="20"/>
              </w:rPr>
              <w:lastRenderedPageBreak/>
              <w:t>NOx</w:t>
            </w:r>
          </w:p>
        </w:tc>
        <w:tc>
          <w:tcPr>
            <w:tcW w:w="1086" w:type="dxa"/>
            <w:vAlign w:val="center"/>
          </w:tcPr>
          <w:p w14:paraId="627F6EA5" w14:textId="77777777" w:rsidR="00DC0982" w:rsidRPr="0076001D" w:rsidRDefault="00DC0982" w:rsidP="000878F6">
            <w:pPr>
              <w:pStyle w:val="Table"/>
              <w:jc w:val="center"/>
              <w:rPr>
                <w:szCs w:val="20"/>
              </w:rPr>
            </w:pPr>
            <w:r w:rsidRPr="0076001D">
              <w:rPr>
                <w:rFonts w:ascii="Calibri" w:hAnsi="Calibri" w:cs="Calibri"/>
                <w:color w:val="000000"/>
                <w:szCs w:val="20"/>
              </w:rPr>
              <w:t>-7,39%</w:t>
            </w:r>
          </w:p>
        </w:tc>
        <w:tc>
          <w:tcPr>
            <w:tcW w:w="1087" w:type="dxa"/>
            <w:vAlign w:val="center"/>
          </w:tcPr>
          <w:p w14:paraId="4DC49E76" w14:textId="77777777" w:rsidR="00DC0982" w:rsidRPr="0076001D" w:rsidRDefault="00DC0982" w:rsidP="000878F6">
            <w:pPr>
              <w:pStyle w:val="Table"/>
              <w:jc w:val="center"/>
              <w:rPr>
                <w:szCs w:val="20"/>
              </w:rPr>
            </w:pPr>
            <w:r w:rsidRPr="0076001D">
              <w:rPr>
                <w:rFonts w:ascii="Calibri" w:hAnsi="Calibri" w:cs="Calibri"/>
                <w:color w:val="000000"/>
                <w:szCs w:val="20"/>
              </w:rPr>
              <w:t>-7,39%</w:t>
            </w:r>
          </w:p>
        </w:tc>
        <w:tc>
          <w:tcPr>
            <w:tcW w:w="1014" w:type="dxa"/>
            <w:vAlign w:val="center"/>
          </w:tcPr>
          <w:p w14:paraId="0AFFEBA3" w14:textId="77777777" w:rsidR="00DC0982" w:rsidRPr="0076001D" w:rsidRDefault="00DC0982" w:rsidP="000878F6">
            <w:pPr>
              <w:pStyle w:val="Table"/>
              <w:jc w:val="center"/>
              <w:rPr>
                <w:szCs w:val="20"/>
              </w:rPr>
            </w:pPr>
            <w:r w:rsidRPr="0076001D">
              <w:rPr>
                <w:rFonts w:ascii="Calibri" w:hAnsi="Calibri" w:cs="Calibri"/>
                <w:color w:val="000000"/>
                <w:szCs w:val="20"/>
              </w:rPr>
              <w:t>0,43</w:t>
            </w:r>
          </w:p>
        </w:tc>
        <w:tc>
          <w:tcPr>
            <w:tcW w:w="1186" w:type="dxa"/>
            <w:vAlign w:val="center"/>
          </w:tcPr>
          <w:p w14:paraId="16FF8CBB" w14:textId="77777777" w:rsidR="00DC0982" w:rsidRPr="0076001D" w:rsidRDefault="00DC0982" w:rsidP="000878F6">
            <w:pPr>
              <w:pStyle w:val="Table"/>
              <w:jc w:val="center"/>
              <w:rPr>
                <w:szCs w:val="20"/>
              </w:rPr>
            </w:pPr>
            <w:r w:rsidRPr="0076001D">
              <w:rPr>
                <w:rFonts w:ascii="Calibri" w:hAnsi="Calibri" w:cs="Calibri"/>
                <w:color w:val="000000"/>
                <w:szCs w:val="20"/>
              </w:rPr>
              <w:t>0,28</w:t>
            </w:r>
          </w:p>
        </w:tc>
        <w:tc>
          <w:tcPr>
            <w:tcW w:w="1110" w:type="dxa"/>
            <w:vAlign w:val="center"/>
          </w:tcPr>
          <w:p w14:paraId="64C6A478" w14:textId="77777777" w:rsidR="00DC0982" w:rsidRPr="0076001D" w:rsidRDefault="00DC0982" w:rsidP="000878F6">
            <w:pPr>
              <w:pStyle w:val="Table"/>
              <w:jc w:val="center"/>
              <w:rPr>
                <w:szCs w:val="20"/>
              </w:rPr>
            </w:pPr>
            <w:r w:rsidRPr="0076001D">
              <w:rPr>
                <w:rFonts w:ascii="Calibri" w:hAnsi="Calibri" w:cs="Calibri"/>
                <w:color w:val="000000"/>
                <w:szCs w:val="20"/>
              </w:rPr>
              <w:t>0,1%</w:t>
            </w:r>
          </w:p>
        </w:tc>
        <w:tc>
          <w:tcPr>
            <w:tcW w:w="1424" w:type="dxa"/>
            <w:vAlign w:val="center"/>
          </w:tcPr>
          <w:p w14:paraId="33A074D3" w14:textId="77777777" w:rsidR="00DC0982" w:rsidRPr="0076001D" w:rsidRDefault="00DC0982" w:rsidP="000878F6">
            <w:pPr>
              <w:pStyle w:val="Table"/>
              <w:jc w:val="center"/>
              <w:rPr>
                <w:szCs w:val="20"/>
              </w:rPr>
            </w:pPr>
            <w:r w:rsidRPr="0076001D">
              <w:rPr>
                <w:rFonts w:ascii="Calibri" w:hAnsi="Calibri" w:cs="Calibri"/>
                <w:color w:val="000000"/>
                <w:szCs w:val="20"/>
              </w:rPr>
              <w:t>0,1%</w:t>
            </w:r>
          </w:p>
        </w:tc>
      </w:tr>
      <w:tr w:rsidR="00DC0982" w:rsidRPr="0076001D" w14:paraId="3E922023" w14:textId="77777777" w:rsidTr="00506A7C">
        <w:trPr>
          <w:trHeight w:val="145"/>
        </w:trPr>
        <w:tc>
          <w:tcPr>
            <w:tcW w:w="2167" w:type="dxa"/>
          </w:tcPr>
          <w:p w14:paraId="1B3E2769" w14:textId="77777777" w:rsidR="00DC0982" w:rsidRPr="0076001D" w:rsidRDefault="00DC0982" w:rsidP="000878F6">
            <w:pPr>
              <w:pStyle w:val="Table"/>
              <w:rPr>
                <w:szCs w:val="20"/>
              </w:rPr>
            </w:pPr>
            <w:r w:rsidRPr="0076001D">
              <w:rPr>
                <w:szCs w:val="20"/>
              </w:rPr>
              <w:t>SO2</w:t>
            </w:r>
          </w:p>
        </w:tc>
        <w:tc>
          <w:tcPr>
            <w:tcW w:w="1086" w:type="dxa"/>
            <w:vAlign w:val="center"/>
          </w:tcPr>
          <w:p w14:paraId="3A7AA197" w14:textId="77777777" w:rsidR="00DC0982" w:rsidRPr="0076001D" w:rsidRDefault="00DC0982" w:rsidP="000878F6">
            <w:pPr>
              <w:pStyle w:val="Table"/>
              <w:jc w:val="center"/>
              <w:rPr>
                <w:szCs w:val="20"/>
              </w:rPr>
            </w:pPr>
            <w:r w:rsidRPr="0076001D">
              <w:rPr>
                <w:rFonts w:ascii="Calibri" w:hAnsi="Calibri" w:cs="Calibri"/>
                <w:color w:val="000000"/>
                <w:szCs w:val="20"/>
              </w:rPr>
              <w:t>-8,11%</w:t>
            </w:r>
          </w:p>
        </w:tc>
        <w:tc>
          <w:tcPr>
            <w:tcW w:w="1087" w:type="dxa"/>
            <w:vAlign w:val="center"/>
          </w:tcPr>
          <w:p w14:paraId="0D95EB69" w14:textId="77777777" w:rsidR="00DC0982" w:rsidRPr="0076001D" w:rsidRDefault="00DC0982" w:rsidP="000878F6">
            <w:pPr>
              <w:pStyle w:val="Table"/>
              <w:jc w:val="center"/>
              <w:rPr>
                <w:szCs w:val="20"/>
              </w:rPr>
            </w:pPr>
            <w:r w:rsidRPr="0076001D">
              <w:rPr>
                <w:rFonts w:ascii="Calibri" w:hAnsi="Calibri" w:cs="Calibri"/>
                <w:color w:val="000000"/>
                <w:szCs w:val="20"/>
              </w:rPr>
              <w:t>-8,11%</w:t>
            </w:r>
          </w:p>
        </w:tc>
        <w:tc>
          <w:tcPr>
            <w:tcW w:w="1014" w:type="dxa"/>
            <w:vAlign w:val="center"/>
          </w:tcPr>
          <w:p w14:paraId="4B74CE8C" w14:textId="77777777" w:rsidR="00DC0982" w:rsidRPr="0076001D" w:rsidRDefault="00DC0982" w:rsidP="000878F6">
            <w:pPr>
              <w:pStyle w:val="Table"/>
              <w:jc w:val="center"/>
              <w:rPr>
                <w:szCs w:val="20"/>
              </w:rPr>
            </w:pPr>
            <w:r w:rsidRPr="0076001D">
              <w:rPr>
                <w:rFonts w:ascii="Calibri" w:hAnsi="Calibri" w:cs="Calibri"/>
                <w:color w:val="000000"/>
                <w:szCs w:val="20"/>
              </w:rPr>
              <w:t>3,78</w:t>
            </w:r>
          </w:p>
        </w:tc>
        <w:tc>
          <w:tcPr>
            <w:tcW w:w="1186" w:type="dxa"/>
            <w:vAlign w:val="center"/>
          </w:tcPr>
          <w:p w14:paraId="5B249B90" w14:textId="77777777" w:rsidR="00DC0982" w:rsidRPr="0076001D" w:rsidRDefault="00DC0982" w:rsidP="000878F6">
            <w:pPr>
              <w:pStyle w:val="Table"/>
              <w:jc w:val="center"/>
              <w:rPr>
                <w:szCs w:val="20"/>
              </w:rPr>
            </w:pPr>
            <w:r w:rsidRPr="0076001D">
              <w:rPr>
                <w:rFonts w:ascii="Calibri" w:hAnsi="Calibri" w:cs="Calibri"/>
                <w:color w:val="000000"/>
                <w:szCs w:val="20"/>
              </w:rPr>
              <w:t>2,61</w:t>
            </w:r>
          </w:p>
        </w:tc>
        <w:tc>
          <w:tcPr>
            <w:tcW w:w="1110" w:type="dxa"/>
            <w:vAlign w:val="center"/>
          </w:tcPr>
          <w:p w14:paraId="2670C0D3" w14:textId="77777777" w:rsidR="00DC0982" w:rsidRPr="0076001D" w:rsidRDefault="00DC0982" w:rsidP="000878F6">
            <w:pPr>
              <w:pStyle w:val="Table"/>
              <w:jc w:val="center"/>
              <w:rPr>
                <w:szCs w:val="20"/>
              </w:rPr>
            </w:pPr>
            <w:r w:rsidRPr="0076001D">
              <w:rPr>
                <w:rFonts w:ascii="Calibri" w:hAnsi="Calibri" w:cs="Calibri"/>
                <w:color w:val="000000"/>
                <w:szCs w:val="20"/>
              </w:rPr>
              <w:t>0,7%</w:t>
            </w:r>
          </w:p>
        </w:tc>
        <w:tc>
          <w:tcPr>
            <w:tcW w:w="1424" w:type="dxa"/>
            <w:vAlign w:val="center"/>
          </w:tcPr>
          <w:p w14:paraId="4EA22C81" w14:textId="77777777" w:rsidR="00DC0982" w:rsidRPr="0076001D" w:rsidRDefault="00DC0982" w:rsidP="000878F6">
            <w:pPr>
              <w:pStyle w:val="Table"/>
              <w:jc w:val="center"/>
              <w:rPr>
                <w:szCs w:val="20"/>
              </w:rPr>
            </w:pPr>
            <w:r w:rsidRPr="0076001D">
              <w:rPr>
                <w:rFonts w:ascii="Calibri" w:hAnsi="Calibri" w:cs="Calibri"/>
                <w:color w:val="000000"/>
                <w:szCs w:val="20"/>
              </w:rPr>
              <w:t>0,5%</w:t>
            </w:r>
          </w:p>
        </w:tc>
      </w:tr>
      <w:tr w:rsidR="00DC0982" w:rsidRPr="0076001D" w14:paraId="43B237E5" w14:textId="77777777" w:rsidTr="00506A7C">
        <w:trPr>
          <w:trHeight w:val="173"/>
        </w:trPr>
        <w:tc>
          <w:tcPr>
            <w:tcW w:w="2167" w:type="dxa"/>
          </w:tcPr>
          <w:p w14:paraId="06E7BF4D" w14:textId="77777777" w:rsidR="00DC0982" w:rsidRPr="0076001D" w:rsidRDefault="00DC0982" w:rsidP="000878F6">
            <w:pPr>
              <w:pStyle w:val="Table"/>
              <w:rPr>
                <w:szCs w:val="20"/>
              </w:rPr>
            </w:pPr>
            <w:r w:rsidRPr="0076001D">
              <w:rPr>
                <w:szCs w:val="20"/>
              </w:rPr>
              <w:t>PM2.5</w:t>
            </w:r>
          </w:p>
        </w:tc>
        <w:tc>
          <w:tcPr>
            <w:tcW w:w="1086" w:type="dxa"/>
            <w:vAlign w:val="center"/>
          </w:tcPr>
          <w:p w14:paraId="03A2A59F" w14:textId="77777777" w:rsidR="00DC0982" w:rsidRPr="0076001D" w:rsidRDefault="00DC0982" w:rsidP="000878F6">
            <w:pPr>
              <w:pStyle w:val="Table"/>
              <w:jc w:val="center"/>
              <w:rPr>
                <w:szCs w:val="20"/>
              </w:rPr>
            </w:pPr>
            <w:r w:rsidRPr="0076001D">
              <w:rPr>
                <w:rFonts w:ascii="Calibri" w:hAnsi="Calibri" w:cs="Calibri"/>
                <w:color w:val="000000"/>
                <w:szCs w:val="20"/>
              </w:rPr>
              <w:t>-7,39%</w:t>
            </w:r>
          </w:p>
        </w:tc>
        <w:tc>
          <w:tcPr>
            <w:tcW w:w="1087" w:type="dxa"/>
            <w:vAlign w:val="center"/>
          </w:tcPr>
          <w:p w14:paraId="11B88487" w14:textId="77777777" w:rsidR="00DC0982" w:rsidRPr="0076001D" w:rsidRDefault="00DC0982" w:rsidP="000878F6">
            <w:pPr>
              <w:pStyle w:val="Table"/>
              <w:jc w:val="center"/>
              <w:rPr>
                <w:szCs w:val="20"/>
              </w:rPr>
            </w:pPr>
            <w:r w:rsidRPr="0076001D">
              <w:rPr>
                <w:rFonts w:ascii="Calibri" w:hAnsi="Calibri" w:cs="Calibri"/>
                <w:color w:val="000000"/>
                <w:szCs w:val="20"/>
              </w:rPr>
              <w:t>-7,39%</w:t>
            </w:r>
          </w:p>
        </w:tc>
        <w:tc>
          <w:tcPr>
            <w:tcW w:w="1014" w:type="dxa"/>
            <w:vAlign w:val="center"/>
          </w:tcPr>
          <w:p w14:paraId="6EC0F89F" w14:textId="77777777" w:rsidR="00DC0982" w:rsidRPr="0076001D" w:rsidRDefault="00DC0982" w:rsidP="000878F6">
            <w:pPr>
              <w:pStyle w:val="Table"/>
              <w:jc w:val="center"/>
              <w:rPr>
                <w:szCs w:val="20"/>
              </w:rPr>
            </w:pPr>
            <w:r w:rsidRPr="0076001D">
              <w:rPr>
                <w:rFonts w:ascii="Calibri" w:hAnsi="Calibri" w:cs="Calibri"/>
                <w:color w:val="000000"/>
                <w:szCs w:val="20"/>
              </w:rPr>
              <w:t>1,36</w:t>
            </w:r>
          </w:p>
        </w:tc>
        <w:tc>
          <w:tcPr>
            <w:tcW w:w="1186" w:type="dxa"/>
            <w:vAlign w:val="center"/>
          </w:tcPr>
          <w:p w14:paraId="7C0ED3D5" w14:textId="77777777" w:rsidR="00DC0982" w:rsidRPr="0076001D" w:rsidRDefault="00DC0982" w:rsidP="000878F6">
            <w:pPr>
              <w:pStyle w:val="Table"/>
              <w:jc w:val="center"/>
              <w:rPr>
                <w:szCs w:val="20"/>
              </w:rPr>
            </w:pPr>
            <w:r w:rsidRPr="0076001D">
              <w:rPr>
                <w:rFonts w:ascii="Calibri" w:hAnsi="Calibri" w:cs="Calibri"/>
                <w:color w:val="000000"/>
                <w:szCs w:val="20"/>
              </w:rPr>
              <w:t>1,23</w:t>
            </w:r>
          </w:p>
        </w:tc>
        <w:tc>
          <w:tcPr>
            <w:tcW w:w="1110" w:type="dxa"/>
            <w:vAlign w:val="center"/>
          </w:tcPr>
          <w:p w14:paraId="5FE19E1E" w14:textId="77777777" w:rsidR="00DC0982" w:rsidRPr="0076001D" w:rsidRDefault="00DC0982" w:rsidP="000878F6">
            <w:pPr>
              <w:pStyle w:val="Table"/>
              <w:jc w:val="center"/>
              <w:rPr>
                <w:szCs w:val="20"/>
              </w:rPr>
            </w:pPr>
            <w:r w:rsidRPr="0076001D">
              <w:rPr>
                <w:rFonts w:ascii="Calibri" w:hAnsi="Calibri" w:cs="Calibri"/>
                <w:color w:val="000000"/>
                <w:szCs w:val="20"/>
              </w:rPr>
              <w:t>0,3%</w:t>
            </w:r>
          </w:p>
        </w:tc>
        <w:tc>
          <w:tcPr>
            <w:tcW w:w="1424" w:type="dxa"/>
            <w:vAlign w:val="center"/>
          </w:tcPr>
          <w:p w14:paraId="6D7BDBF5" w14:textId="77777777" w:rsidR="00DC0982" w:rsidRPr="0076001D" w:rsidRDefault="00DC0982" w:rsidP="000878F6">
            <w:pPr>
              <w:pStyle w:val="Table"/>
              <w:jc w:val="center"/>
              <w:rPr>
                <w:szCs w:val="20"/>
              </w:rPr>
            </w:pPr>
            <w:r w:rsidRPr="0076001D">
              <w:rPr>
                <w:rFonts w:ascii="Calibri" w:hAnsi="Calibri" w:cs="Calibri"/>
                <w:color w:val="000000"/>
                <w:szCs w:val="20"/>
              </w:rPr>
              <w:t>0,2%</w:t>
            </w:r>
          </w:p>
        </w:tc>
      </w:tr>
      <w:tr w:rsidR="00DC0982" w:rsidRPr="0076001D" w14:paraId="12833060" w14:textId="77777777" w:rsidTr="00506A7C">
        <w:trPr>
          <w:trHeight w:val="219"/>
        </w:trPr>
        <w:tc>
          <w:tcPr>
            <w:tcW w:w="2167" w:type="dxa"/>
          </w:tcPr>
          <w:p w14:paraId="271729A1" w14:textId="77777777" w:rsidR="00DC0982" w:rsidRPr="0076001D" w:rsidRDefault="00DC0982" w:rsidP="000878F6">
            <w:pPr>
              <w:pStyle w:val="Table"/>
              <w:rPr>
                <w:szCs w:val="20"/>
              </w:rPr>
            </w:pPr>
            <w:r w:rsidRPr="0076001D">
              <w:rPr>
                <w:szCs w:val="20"/>
              </w:rPr>
              <w:t>Water Abstraction</w:t>
            </w:r>
          </w:p>
        </w:tc>
        <w:tc>
          <w:tcPr>
            <w:tcW w:w="1086" w:type="dxa"/>
            <w:vAlign w:val="center"/>
          </w:tcPr>
          <w:p w14:paraId="3EA4CC5F" w14:textId="77777777" w:rsidR="00DC0982" w:rsidRPr="0076001D" w:rsidRDefault="00DC0982" w:rsidP="000878F6">
            <w:pPr>
              <w:pStyle w:val="Table"/>
              <w:jc w:val="center"/>
              <w:rPr>
                <w:szCs w:val="20"/>
              </w:rPr>
            </w:pPr>
            <w:r w:rsidRPr="0076001D">
              <w:rPr>
                <w:rFonts w:ascii="Calibri" w:hAnsi="Calibri" w:cs="Calibri"/>
                <w:color w:val="000000"/>
                <w:szCs w:val="20"/>
              </w:rPr>
              <w:t>0,00%</w:t>
            </w:r>
          </w:p>
        </w:tc>
        <w:tc>
          <w:tcPr>
            <w:tcW w:w="1087" w:type="dxa"/>
            <w:vAlign w:val="center"/>
          </w:tcPr>
          <w:p w14:paraId="53412BE8" w14:textId="77777777" w:rsidR="00DC0982" w:rsidRPr="0076001D" w:rsidRDefault="00DC0982" w:rsidP="000878F6">
            <w:pPr>
              <w:pStyle w:val="Table"/>
              <w:jc w:val="center"/>
              <w:rPr>
                <w:szCs w:val="20"/>
              </w:rPr>
            </w:pPr>
            <w:r w:rsidRPr="0076001D">
              <w:rPr>
                <w:rFonts w:ascii="Calibri" w:hAnsi="Calibri" w:cs="Calibri"/>
                <w:color w:val="000000"/>
                <w:szCs w:val="20"/>
              </w:rPr>
              <w:t>0,00%</w:t>
            </w:r>
          </w:p>
        </w:tc>
        <w:tc>
          <w:tcPr>
            <w:tcW w:w="1014" w:type="dxa"/>
            <w:vAlign w:val="center"/>
          </w:tcPr>
          <w:p w14:paraId="063E437E" w14:textId="77777777" w:rsidR="00DC0982" w:rsidRPr="0076001D" w:rsidRDefault="00DC0982" w:rsidP="000878F6">
            <w:pPr>
              <w:pStyle w:val="Table"/>
              <w:jc w:val="center"/>
              <w:rPr>
                <w:szCs w:val="20"/>
              </w:rPr>
            </w:pPr>
            <w:r w:rsidRPr="0076001D">
              <w:rPr>
                <w:rFonts w:ascii="Calibri" w:hAnsi="Calibri" w:cs="Calibri"/>
                <w:color w:val="000000"/>
                <w:szCs w:val="20"/>
              </w:rPr>
              <w:t>0,00</w:t>
            </w:r>
          </w:p>
        </w:tc>
        <w:tc>
          <w:tcPr>
            <w:tcW w:w="1186" w:type="dxa"/>
            <w:vAlign w:val="center"/>
          </w:tcPr>
          <w:p w14:paraId="1DAFF4F1" w14:textId="77777777" w:rsidR="00DC0982" w:rsidRPr="0076001D" w:rsidRDefault="00DC0982" w:rsidP="000878F6">
            <w:pPr>
              <w:pStyle w:val="Table"/>
              <w:jc w:val="center"/>
              <w:rPr>
                <w:szCs w:val="20"/>
              </w:rPr>
            </w:pPr>
            <w:r w:rsidRPr="0076001D">
              <w:rPr>
                <w:rFonts w:ascii="Calibri" w:hAnsi="Calibri" w:cs="Calibri"/>
                <w:color w:val="000000"/>
                <w:szCs w:val="20"/>
              </w:rPr>
              <w:t>0,00</w:t>
            </w:r>
          </w:p>
        </w:tc>
        <w:tc>
          <w:tcPr>
            <w:tcW w:w="1110" w:type="dxa"/>
            <w:vAlign w:val="center"/>
          </w:tcPr>
          <w:p w14:paraId="025495ED" w14:textId="77777777" w:rsidR="00DC0982" w:rsidRPr="0076001D" w:rsidRDefault="00DC0982" w:rsidP="000878F6">
            <w:pPr>
              <w:pStyle w:val="Table"/>
              <w:jc w:val="center"/>
              <w:rPr>
                <w:szCs w:val="20"/>
              </w:rPr>
            </w:pPr>
            <w:r w:rsidRPr="0076001D">
              <w:rPr>
                <w:rFonts w:ascii="Calibri" w:hAnsi="Calibri" w:cs="Calibri"/>
                <w:color w:val="000000"/>
                <w:szCs w:val="20"/>
              </w:rPr>
              <w:t>0,0%</w:t>
            </w:r>
          </w:p>
        </w:tc>
        <w:tc>
          <w:tcPr>
            <w:tcW w:w="1424" w:type="dxa"/>
            <w:vAlign w:val="center"/>
          </w:tcPr>
          <w:p w14:paraId="02084672" w14:textId="77777777" w:rsidR="00DC0982" w:rsidRPr="0076001D" w:rsidRDefault="00DC0982" w:rsidP="000878F6">
            <w:pPr>
              <w:pStyle w:val="Table"/>
              <w:jc w:val="center"/>
              <w:rPr>
                <w:szCs w:val="20"/>
              </w:rPr>
            </w:pPr>
            <w:r w:rsidRPr="0076001D">
              <w:rPr>
                <w:rFonts w:ascii="Calibri" w:hAnsi="Calibri" w:cs="Calibri"/>
                <w:color w:val="000000"/>
                <w:szCs w:val="20"/>
              </w:rPr>
              <w:t>0,0%</w:t>
            </w:r>
          </w:p>
        </w:tc>
      </w:tr>
      <w:tr w:rsidR="00DC0982" w:rsidRPr="0076001D" w14:paraId="4F45B145" w14:textId="77777777" w:rsidTr="00506A7C">
        <w:trPr>
          <w:trHeight w:val="251"/>
        </w:trPr>
        <w:tc>
          <w:tcPr>
            <w:tcW w:w="2167" w:type="dxa"/>
          </w:tcPr>
          <w:p w14:paraId="4DE39CC0" w14:textId="77777777" w:rsidR="00DC0982" w:rsidRPr="0076001D" w:rsidRDefault="00DC0982" w:rsidP="000878F6">
            <w:pPr>
              <w:pStyle w:val="Table"/>
              <w:rPr>
                <w:szCs w:val="20"/>
              </w:rPr>
            </w:pPr>
            <w:r w:rsidRPr="0076001D">
              <w:rPr>
                <w:szCs w:val="20"/>
              </w:rPr>
              <w:t>Fertilizers</w:t>
            </w:r>
          </w:p>
        </w:tc>
        <w:tc>
          <w:tcPr>
            <w:tcW w:w="1086" w:type="dxa"/>
            <w:vAlign w:val="center"/>
          </w:tcPr>
          <w:p w14:paraId="300147B6" w14:textId="77777777" w:rsidR="00DC0982" w:rsidRPr="0076001D" w:rsidRDefault="00DC0982" w:rsidP="000878F6">
            <w:pPr>
              <w:pStyle w:val="Table"/>
              <w:jc w:val="center"/>
              <w:rPr>
                <w:szCs w:val="20"/>
              </w:rPr>
            </w:pPr>
            <w:r w:rsidRPr="0076001D">
              <w:rPr>
                <w:rFonts w:ascii="Calibri" w:hAnsi="Calibri" w:cs="Calibri"/>
                <w:color w:val="000000"/>
                <w:szCs w:val="20"/>
              </w:rPr>
              <w:t>-10,48%</w:t>
            </w:r>
          </w:p>
        </w:tc>
        <w:tc>
          <w:tcPr>
            <w:tcW w:w="1087" w:type="dxa"/>
            <w:vAlign w:val="center"/>
          </w:tcPr>
          <w:p w14:paraId="3C28F034" w14:textId="77777777" w:rsidR="00DC0982" w:rsidRPr="0076001D" w:rsidRDefault="00DC0982" w:rsidP="000878F6">
            <w:pPr>
              <w:pStyle w:val="Table"/>
              <w:jc w:val="center"/>
              <w:rPr>
                <w:szCs w:val="20"/>
              </w:rPr>
            </w:pPr>
            <w:r w:rsidRPr="0076001D">
              <w:rPr>
                <w:rFonts w:ascii="Calibri" w:hAnsi="Calibri" w:cs="Calibri"/>
                <w:color w:val="000000"/>
                <w:szCs w:val="20"/>
              </w:rPr>
              <w:t>-10,48%</w:t>
            </w:r>
          </w:p>
        </w:tc>
        <w:tc>
          <w:tcPr>
            <w:tcW w:w="1014" w:type="dxa"/>
            <w:vAlign w:val="center"/>
          </w:tcPr>
          <w:p w14:paraId="0993C1A0" w14:textId="77777777" w:rsidR="00DC0982" w:rsidRPr="0076001D" w:rsidRDefault="00DC0982" w:rsidP="000878F6">
            <w:pPr>
              <w:pStyle w:val="Table"/>
              <w:jc w:val="center"/>
              <w:rPr>
                <w:szCs w:val="20"/>
              </w:rPr>
            </w:pPr>
            <w:r w:rsidRPr="0076001D">
              <w:rPr>
                <w:rFonts w:ascii="Calibri" w:hAnsi="Calibri" w:cs="Calibri"/>
                <w:color w:val="000000"/>
                <w:szCs w:val="20"/>
              </w:rPr>
              <w:t>3,62</w:t>
            </w:r>
          </w:p>
        </w:tc>
        <w:tc>
          <w:tcPr>
            <w:tcW w:w="1186" w:type="dxa"/>
            <w:vAlign w:val="center"/>
          </w:tcPr>
          <w:p w14:paraId="0477DC96" w14:textId="77777777" w:rsidR="00DC0982" w:rsidRPr="0076001D" w:rsidRDefault="00DC0982" w:rsidP="000878F6">
            <w:pPr>
              <w:pStyle w:val="Table"/>
              <w:jc w:val="center"/>
              <w:rPr>
                <w:szCs w:val="20"/>
              </w:rPr>
            </w:pPr>
            <w:r w:rsidRPr="0076001D">
              <w:rPr>
                <w:rFonts w:ascii="Calibri" w:hAnsi="Calibri" w:cs="Calibri"/>
                <w:color w:val="000000"/>
                <w:szCs w:val="20"/>
              </w:rPr>
              <w:t>3,33</w:t>
            </w:r>
          </w:p>
        </w:tc>
        <w:tc>
          <w:tcPr>
            <w:tcW w:w="1110" w:type="dxa"/>
            <w:vAlign w:val="center"/>
          </w:tcPr>
          <w:p w14:paraId="05562895" w14:textId="77777777" w:rsidR="00DC0982" w:rsidRPr="0076001D" w:rsidRDefault="00DC0982" w:rsidP="000878F6">
            <w:pPr>
              <w:pStyle w:val="Table"/>
              <w:jc w:val="center"/>
              <w:rPr>
                <w:szCs w:val="20"/>
              </w:rPr>
            </w:pPr>
            <w:r w:rsidRPr="0076001D">
              <w:rPr>
                <w:rFonts w:ascii="Calibri" w:hAnsi="Calibri" w:cs="Calibri"/>
                <w:color w:val="000000"/>
                <w:szCs w:val="20"/>
              </w:rPr>
              <w:t>0,7%</w:t>
            </w:r>
          </w:p>
        </w:tc>
        <w:tc>
          <w:tcPr>
            <w:tcW w:w="1424" w:type="dxa"/>
            <w:vAlign w:val="center"/>
          </w:tcPr>
          <w:p w14:paraId="555F978C" w14:textId="77777777" w:rsidR="00DC0982" w:rsidRPr="0076001D" w:rsidRDefault="00DC0982" w:rsidP="000878F6">
            <w:pPr>
              <w:pStyle w:val="Table"/>
              <w:jc w:val="center"/>
              <w:rPr>
                <w:szCs w:val="20"/>
              </w:rPr>
            </w:pPr>
            <w:r w:rsidRPr="0076001D">
              <w:rPr>
                <w:rFonts w:ascii="Calibri" w:hAnsi="Calibri" w:cs="Calibri"/>
                <w:color w:val="000000"/>
                <w:szCs w:val="20"/>
              </w:rPr>
              <w:t>0,7%</w:t>
            </w:r>
          </w:p>
        </w:tc>
      </w:tr>
      <w:tr w:rsidR="00DC0982" w:rsidRPr="0076001D" w14:paraId="56F725C0" w14:textId="77777777" w:rsidTr="00506A7C">
        <w:trPr>
          <w:trHeight w:val="223"/>
        </w:trPr>
        <w:tc>
          <w:tcPr>
            <w:tcW w:w="2167" w:type="dxa"/>
          </w:tcPr>
          <w:p w14:paraId="3FAE94FC" w14:textId="77777777" w:rsidR="00DC0982" w:rsidRPr="0076001D" w:rsidRDefault="00DC0982" w:rsidP="000878F6">
            <w:pPr>
              <w:pStyle w:val="Table"/>
              <w:rPr>
                <w:szCs w:val="20"/>
              </w:rPr>
            </w:pPr>
            <w:r w:rsidRPr="0076001D">
              <w:rPr>
                <w:szCs w:val="20"/>
              </w:rPr>
              <w:t>Pesticides</w:t>
            </w:r>
          </w:p>
        </w:tc>
        <w:tc>
          <w:tcPr>
            <w:tcW w:w="1086" w:type="dxa"/>
            <w:vAlign w:val="center"/>
          </w:tcPr>
          <w:p w14:paraId="2796571F" w14:textId="77777777" w:rsidR="00DC0982" w:rsidRPr="0076001D" w:rsidRDefault="00DC0982" w:rsidP="000878F6">
            <w:pPr>
              <w:pStyle w:val="Table"/>
              <w:jc w:val="center"/>
              <w:rPr>
                <w:szCs w:val="20"/>
              </w:rPr>
            </w:pPr>
            <w:r w:rsidRPr="0076001D">
              <w:rPr>
                <w:rFonts w:ascii="Calibri" w:hAnsi="Calibri" w:cs="Calibri"/>
                <w:color w:val="000000"/>
                <w:szCs w:val="20"/>
              </w:rPr>
              <w:t>n/a</w:t>
            </w:r>
          </w:p>
        </w:tc>
        <w:tc>
          <w:tcPr>
            <w:tcW w:w="1087" w:type="dxa"/>
            <w:vAlign w:val="center"/>
          </w:tcPr>
          <w:p w14:paraId="4D99165B" w14:textId="77777777" w:rsidR="00DC0982" w:rsidRPr="0076001D" w:rsidRDefault="00DC0982" w:rsidP="000878F6">
            <w:pPr>
              <w:pStyle w:val="Table"/>
              <w:jc w:val="center"/>
              <w:rPr>
                <w:szCs w:val="20"/>
              </w:rPr>
            </w:pPr>
            <w:r w:rsidRPr="0076001D">
              <w:rPr>
                <w:rFonts w:ascii="Calibri" w:hAnsi="Calibri" w:cs="Calibri"/>
                <w:color w:val="000000"/>
                <w:szCs w:val="20"/>
              </w:rPr>
              <w:t>n/a</w:t>
            </w:r>
          </w:p>
        </w:tc>
        <w:tc>
          <w:tcPr>
            <w:tcW w:w="1014" w:type="dxa"/>
            <w:vAlign w:val="center"/>
          </w:tcPr>
          <w:p w14:paraId="04FB6F96" w14:textId="77777777" w:rsidR="00DC0982" w:rsidRPr="0076001D" w:rsidRDefault="00DC0982" w:rsidP="000878F6">
            <w:pPr>
              <w:pStyle w:val="Table"/>
              <w:jc w:val="center"/>
              <w:rPr>
                <w:szCs w:val="20"/>
              </w:rPr>
            </w:pPr>
            <w:r w:rsidRPr="0076001D">
              <w:rPr>
                <w:rFonts w:ascii="Calibri" w:hAnsi="Calibri" w:cs="Calibri"/>
                <w:color w:val="000000"/>
                <w:szCs w:val="20"/>
              </w:rPr>
              <w:t>26,37</w:t>
            </w:r>
          </w:p>
        </w:tc>
        <w:tc>
          <w:tcPr>
            <w:tcW w:w="1186" w:type="dxa"/>
            <w:vAlign w:val="center"/>
          </w:tcPr>
          <w:p w14:paraId="3CF48EC1" w14:textId="77777777" w:rsidR="00DC0982" w:rsidRPr="0076001D" w:rsidRDefault="00DC0982" w:rsidP="000878F6">
            <w:pPr>
              <w:pStyle w:val="Table"/>
              <w:jc w:val="center"/>
              <w:rPr>
                <w:szCs w:val="20"/>
              </w:rPr>
            </w:pPr>
            <w:r w:rsidRPr="0076001D">
              <w:rPr>
                <w:rFonts w:ascii="Calibri" w:hAnsi="Calibri" w:cs="Calibri"/>
                <w:color w:val="000000"/>
                <w:szCs w:val="20"/>
              </w:rPr>
              <w:t>26,30</w:t>
            </w:r>
          </w:p>
        </w:tc>
        <w:tc>
          <w:tcPr>
            <w:tcW w:w="1110" w:type="dxa"/>
            <w:vAlign w:val="center"/>
          </w:tcPr>
          <w:p w14:paraId="0D1563F9" w14:textId="77777777" w:rsidR="00DC0982" w:rsidRPr="0076001D" w:rsidRDefault="00DC0982" w:rsidP="000878F6">
            <w:pPr>
              <w:pStyle w:val="Table"/>
              <w:jc w:val="center"/>
              <w:rPr>
                <w:szCs w:val="20"/>
              </w:rPr>
            </w:pPr>
            <w:r w:rsidRPr="0076001D">
              <w:rPr>
                <w:rFonts w:ascii="Calibri" w:hAnsi="Calibri" w:cs="Calibri"/>
                <w:color w:val="000000"/>
                <w:szCs w:val="20"/>
              </w:rPr>
              <w:t>5,2%</w:t>
            </w:r>
          </w:p>
        </w:tc>
        <w:tc>
          <w:tcPr>
            <w:tcW w:w="1424" w:type="dxa"/>
            <w:vAlign w:val="center"/>
          </w:tcPr>
          <w:p w14:paraId="08A9037A" w14:textId="77777777" w:rsidR="00DC0982" w:rsidRPr="0076001D" w:rsidRDefault="00DC0982" w:rsidP="000878F6">
            <w:pPr>
              <w:pStyle w:val="Table"/>
              <w:jc w:val="center"/>
              <w:rPr>
                <w:szCs w:val="20"/>
              </w:rPr>
            </w:pPr>
            <w:r w:rsidRPr="0076001D">
              <w:rPr>
                <w:rFonts w:ascii="Calibri" w:hAnsi="Calibri" w:cs="Calibri"/>
                <w:color w:val="000000"/>
                <w:szCs w:val="20"/>
              </w:rPr>
              <w:t>5,2%</w:t>
            </w:r>
          </w:p>
        </w:tc>
      </w:tr>
      <w:tr w:rsidR="00DC0982" w:rsidRPr="0076001D" w14:paraId="564E1B55" w14:textId="77777777" w:rsidTr="00506A7C">
        <w:trPr>
          <w:trHeight w:val="255"/>
        </w:trPr>
        <w:tc>
          <w:tcPr>
            <w:tcW w:w="2167" w:type="dxa"/>
          </w:tcPr>
          <w:p w14:paraId="62702D0F" w14:textId="77777777" w:rsidR="00DC0982" w:rsidRPr="0076001D" w:rsidRDefault="00DC0982" w:rsidP="000878F6">
            <w:pPr>
              <w:pStyle w:val="Table"/>
              <w:rPr>
                <w:szCs w:val="20"/>
              </w:rPr>
            </w:pPr>
            <w:r w:rsidRPr="0076001D">
              <w:rPr>
                <w:szCs w:val="20"/>
              </w:rPr>
              <w:t>Waste Incineration</w:t>
            </w:r>
          </w:p>
        </w:tc>
        <w:tc>
          <w:tcPr>
            <w:tcW w:w="1086" w:type="dxa"/>
            <w:vAlign w:val="center"/>
          </w:tcPr>
          <w:p w14:paraId="047D9163" w14:textId="77777777" w:rsidR="00DC0982" w:rsidRPr="0076001D" w:rsidRDefault="00DC0982" w:rsidP="000878F6">
            <w:pPr>
              <w:pStyle w:val="Table"/>
              <w:jc w:val="center"/>
              <w:rPr>
                <w:szCs w:val="20"/>
              </w:rPr>
            </w:pPr>
            <w:r w:rsidRPr="0076001D">
              <w:rPr>
                <w:rFonts w:ascii="Calibri" w:hAnsi="Calibri" w:cs="Calibri"/>
                <w:color w:val="000000"/>
                <w:szCs w:val="20"/>
              </w:rPr>
              <w:t>0,00%</w:t>
            </w:r>
          </w:p>
        </w:tc>
        <w:tc>
          <w:tcPr>
            <w:tcW w:w="1087" w:type="dxa"/>
            <w:vAlign w:val="center"/>
          </w:tcPr>
          <w:p w14:paraId="603F3CE2" w14:textId="77777777" w:rsidR="00DC0982" w:rsidRPr="0076001D" w:rsidRDefault="00DC0982" w:rsidP="000878F6">
            <w:pPr>
              <w:pStyle w:val="Table"/>
              <w:jc w:val="center"/>
              <w:rPr>
                <w:szCs w:val="20"/>
              </w:rPr>
            </w:pPr>
            <w:r w:rsidRPr="0076001D">
              <w:rPr>
                <w:rFonts w:ascii="Calibri" w:hAnsi="Calibri" w:cs="Calibri"/>
                <w:color w:val="000000"/>
                <w:szCs w:val="20"/>
              </w:rPr>
              <w:t>0,00%</w:t>
            </w:r>
          </w:p>
        </w:tc>
        <w:tc>
          <w:tcPr>
            <w:tcW w:w="1014" w:type="dxa"/>
            <w:vAlign w:val="center"/>
          </w:tcPr>
          <w:p w14:paraId="750F9399" w14:textId="77777777" w:rsidR="00DC0982" w:rsidRPr="0076001D" w:rsidRDefault="00DC0982" w:rsidP="000878F6">
            <w:pPr>
              <w:pStyle w:val="Table"/>
              <w:jc w:val="center"/>
              <w:rPr>
                <w:szCs w:val="20"/>
              </w:rPr>
            </w:pPr>
            <w:r w:rsidRPr="0076001D">
              <w:rPr>
                <w:rFonts w:ascii="Calibri" w:hAnsi="Calibri" w:cs="Calibri"/>
                <w:color w:val="000000"/>
                <w:szCs w:val="20"/>
              </w:rPr>
              <w:t>0,00</w:t>
            </w:r>
          </w:p>
        </w:tc>
        <w:tc>
          <w:tcPr>
            <w:tcW w:w="1186" w:type="dxa"/>
            <w:vAlign w:val="center"/>
          </w:tcPr>
          <w:p w14:paraId="719E4B31" w14:textId="77777777" w:rsidR="00DC0982" w:rsidRPr="0076001D" w:rsidRDefault="00DC0982" w:rsidP="000878F6">
            <w:pPr>
              <w:pStyle w:val="Table"/>
              <w:jc w:val="center"/>
              <w:rPr>
                <w:szCs w:val="20"/>
              </w:rPr>
            </w:pPr>
            <w:r w:rsidRPr="0076001D">
              <w:rPr>
                <w:rFonts w:ascii="Calibri" w:hAnsi="Calibri" w:cs="Calibri"/>
                <w:color w:val="000000"/>
                <w:szCs w:val="20"/>
              </w:rPr>
              <w:t>0,00</w:t>
            </w:r>
          </w:p>
        </w:tc>
        <w:tc>
          <w:tcPr>
            <w:tcW w:w="1110" w:type="dxa"/>
            <w:vAlign w:val="center"/>
          </w:tcPr>
          <w:p w14:paraId="60B78551" w14:textId="77777777" w:rsidR="00DC0982" w:rsidRPr="0076001D" w:rsidRDefault="00DC0982" w:rsidP="000878F6">
            <w:pPr>
              <w:pStyle w:val="Table"/>
              <w:jc w:val="center"/>
              <w:rPr>
                <w:szCs w:val="20"/>
              </w:rPr>
            </w:pPr>
            <w:r w:rsidRPr="0076001D">
              <w:rPr>
                <w:rFonts w:ascii="Calibri" w:hAnsi="Calibri" w:cs="Calibri"/>
                <w:color w:val="000000"/>
                <w:szCs w:val="20"/>
              </w:rPr>
              <w:t>0,0%</w:t>
            </w:r>
          </w:p>
        </w:tc>
        <w:tc>
          <w:tcPr>
            <w:tcW w:w="1424" w:type="dxa"/>
            <w:vAlign w:val="center"/>
          </w:tcPr>
          <w:p w14:paraId="7B8271A1" w14:textId="77777777" w:rsidR="00DC0982" w:rsidRPr="0076001D" w:rsidRDefault="00DC0982" w:rsidP="000878F6">
            <w:pPr>
              <w:pStyle w:val="Table"/>
              <w:jc w:val="center"/>
              <w:rPr>
                <w:szCs w:val="20"/>
              </w:rPr>
            </w:pPr>
            <w:r w:rsidRPr="0076001D">
              <w:rPr>
                <w:rFonts w:ascii="Calibri" w:hAnsi="Calibri" w:cs="Calibri"/>
                <w:color w:val="000000"/>
                <w:szCs w:val="20"/>
              </w:rPr>
              <w:t>0,0%</w:t>
            </w:r>
          </w:p>
        </w:tc>
      </w:tr>
      <w:tr w:rsidR="00DC0982" w:rsidRPr="0076001D" w14:paraId="2C63EC46" w14:textId="77777777" w:rsidTr="00506A7C">
        <w:trPr>
          <w:trHeight w:val="273"/>
        </w:trPr>
        <w:tc>
          <w:tcPr>
            <w:tcW w:w="2167" w:type="dxa"/>
          </w:tcPr>
          <w:p w14:paraId="0D7B70A9" w14:textId="77777777" w:rsidR="00DC0982" w:rsidRPr="0076001D" w:rsidRDefault="00DC0982" w:rsidP="000878F6">
            <w:pPr>
              <w:pStyle w:val="Table"/>
              <w:rPr>
                <w:szCs w:val="20"/>
              </w:rPr>
            </w:pPr>
            <w:r w:rsidRPr="0076001D">
              <w:rPr>
                <w:szCs w:val="20"/>
              </w:rPr>
              <w:t>Waste to Landfill</w:t>
            </w:r>
          </w:p>
        </w:tc>
        <w:tc>
          <w:tcPr>
            <w:tcW w:w="1086" w:type="dxa"/>
            <w:vAlign w:val="center"/>
          </w:tcPr>
          <w:p w14:paraId="539DC2A2" w14:textId="77777777" w:rsidR="00DC0982" w:rsidRPr="0076001D" w:rsidRDefault="00DC0982" w:rsidP="000878F6">
            <w:pPr>
              <w:pStyle w:val="Table"/>
              <w:jc w:val="center"/>
              <w:rPr>
                <w:szCs w:val="20"/>
              </w:rPr>
            </w:pPr>
            <w:r w:rsidRPr="0076001D">
              <w:rPr>
                <w:rFonts w:ascii="Calibri" w:hAnsi="Calibri" w:cs="Calibri"/>
                <w:color w:val="000000"/>
                <w:szCs w:val="20"/>
              </w:rPr>
              <w:t>0,00%</w:t>
            </w:r>
          </w:p>
        </w:tc>
        <w:tc>
          <w:tcPr>
            <w:tcW w:w="1087" w:type="dxa"/>
            <w:vAlign w:val="center"/>
          </w:tcPr>
          <w:p w14:paraId="6640A661" w14:textId="77777777" w:rsidR="00DC0982" w:rsidRPr="0076001D" w:rsidRDefault="00DC0982" w:rsidP="000878F6">
            <w:pPr>
              <w:pStyle w:val="Table"/>
              <w:jc w:val="center"/>
              <w:rPr>
                <w:szCs w:val="20"/>
              </w:rPr>
            </w:pPr>
            <w:r w:rsidRPr="0076001D">
              <w:rPr>
                <w:rFonts w:ascii="Calibri" w:hAnsi="Calibri" w:cs="Calibri"/>
                <w:color w:val="000000"/>
                <w:szCs w:val="20"/>
              </w:rPr>
              <w:t>0,00%</w:t>
            </w:r>
          </w:p>
        </w:tc>
        <w:tc>
          <w:tcPr>
            <w:tcW w:w="1014" w:type="dxa"/>
            <w:vAlign w:val="center"/>
          </w:tcPr>
          <w:p w14:paraId="593BB5CC" w14:textId="77777777" w:rsidR="00DC0982" w:rsidRPr="0076001D" w:rsidRDefault="00DC0982" w:rsidP="000878F6">
            <w:pPr>
              <w:pStyle w:val="Table"/>
              <w:jc w:val="center"/>
              <w:rPr>
                <w:szCs w:val="20"/>
              </w:rPr>
            </w:pPr>
            <w:r w:rsidRPr="0076001D">
              <w:rPr>
                <w:rFonts w:ascii="Calibri" w:hAnsi="Calibri" w:cs="Calibri"/>
                <w:color w:val="000000"/>
                <w:szCs w:val="20"/>
              </w:rPr>
              <w:t>0,00</w:t>
            </w:r>
          </w:p>
        </w:tc>
        <w:tc>
          <w:tcPr>
            <w:tcW w:w="1186" w:type="dxa"/>
            <w:vAlign w:val="center"/>
          </w:tcPr>
          <w:p w14:paraId="62BA35CA" w14:textId="77777777" w:rsidR="00DC0982" w:rsidRPr="0076001D" w:rsidRDefault="00DC0982" w:rsidP="000878F6">
            <w:pPr>
              <w:pStyle w:val="Table"/>
              <w:jc w:val="center"/>
              <w:rPr>
                <w:szCs w:val="20"/>
              </w:rPr>
            </w:pPr>
            <w:r w:rsidRPr="0076001D">
              <w:rPr>
                <w:rFonts w:ascii="Calibri" w:hAnsi="Calibri" w:cs="Calibri"/>
                <w:color w:val="000000"/>
                <w:szCs w:val="20"/>
              </w:rPr>
              <w:t>0,00</w:t>
            </w:r>
          </w:p>
        </w:tc>
        <w:tc>
          <w:tcPr>
            <w:tcW w:w="1110" w:type="dxa"/>
            <w:vAlign w:val="center"/>
          </w:tcPr>
          <w:p w14:paraId="1CAE68B1" w14:textId="77777777" w:rsidR="00DC0982" w:rsidRPr="0076001D" w:rsidRDefault="00DC0982" w:rsidP="000878F6">
            <w:pPr>
              <w:pStyle w:val="Table"/>
              <w:jc w:val="center"/>
              <w:rPr>
                <w:szCs w:val="20"/>
              </w:rPr>
            </w:pPr>
            <w:r w:rsidRPr="0076001D">
              <w:rPr>
                <w:rFonts w:ascii="Calibri" w:hAnsi="Calibri" w:cs="Calibri"/>
                <w:color w:val="000000"/>
                <w:szCs w:val="20"/>
              </w:rPr>
              <w:t>0,0%</w:t>
            </w:r>
          </w:p>
        </w:tc>
        <w:tc>
          <w:tcPr>
            <w:tcW w:w="1424" w:type="dxa"/>
            <w:vAlign w:val="center"/>
          </w:tcPr>
          <w:p w14:paraId="69F30DC3" w14:textId="77777777" w:rsidR="00DC0982" w:rsidRPr="0076001D" w:rsidRDefault="00DC0982" w:rsidP="000878F6">
            <w:pPr>
              <w:pStyle w:val="Table"/>
              <w:jc w:val="center"/>
              <w:rPr>
                <w:szCs w:val="20"/>
              </w:rPr>
            </w:pPr>
            <w:r w:rsidRPr="0076001D">
              <w:rPr>
                <w:rFonts w:ascii="Calibri" w:hAnsi="Calibri" w:cs="Calibri"/>
                <w:color w:val="000000"/>
                <w:szCs w:val="20"/>
              </w:rPr>
              <w:t>0,0%</w:t>
            </w:r>
          </w:p>
        </w:tc>
      </w:tr>
      <w:tr w:rsidR="00DC0982" w:rsidRPr="0076001D" w14:paraId="540126E9" w14:textId="77777777" w:rsidTr="00506A7C">
        <w:trPr>
          <w:trHeight w:val="135"/>
        </w:trPr>
        <w:tc>
          <w:tcPr>
            <w:tcW w:w="2167" w:type="dxa"/>
          </w:tcPr>
          <w:p w14:paraId="106C0BA1" w14:textId="77777777" w:rsidR="00DC0982" w:rsidRPr="0076001D" w:rsidRDefault="00DC0982" w:rsidP="000878F6">
            <w:pPr>
              <w:pStyle w:val="Table"/>
              <w:rPr>
                <w:szCs w:val="20"/>
              </w:rPr>
            </w:pPr>
            <w:r w:rsidRPr="0076001D">
              <w:rPr>
                <w:szCs w:val="20"/>
              </w:rPr>
              <w:t>Water Effluent</w:t>
            </w:r>
          </w:p>
        </w:tc>
        <w:tc>
          <w:tcPr>
            <w:tcW w:w="1086" w:type="dxa"/>
            <w:vAlign w:val="center"/>
          </w:tcPr>
          <w:p w14:paraId="1C06DCEF" w14:textId="77777777" w:rsidR="00DC0982" w:rsidRPr="0076001D" w:rsidRDefault="00DC0982" w:rsidP="000878F6">
            <w:pPr>
              <w:pStyle w:val="Table"/>
              <w:jc w:val="center"/>
              <w:rPr>
                <w:szCs w:val="20"/>
              </w:rPr>
            </w:pPr>
            <w:r w:rsidRPr="0076001D">
              <w:rPr>
                <w:rFonts w:ascii="Calibri" w:hAnsi="Calibri" w:cs="Calibri"/>
                <w:color w:val="000000"/>
                <w:szCs w:val="20"/>
              </w:rPr>
              <w:t>0,00%</w:t>
            </w:r>
          </w:p>
        </w:tc>
        <w:tc>
          <w:tcPr>
            <w:tcW w:w="1087" w:type="dxa"/>
            <w:vAlign w:val="center"/>
          </w:tcPr>
          <w:p w14:paraId="4E566E34" w14:textId="77777777" w:rsidR="00DC0982" w:rsidRPr="0076001D" w:rsidRDefault="00DC0982" w:rsidP="000878F6">
            <w:pPr>
              <w:pStyle w:val="Table"/>
              <w:jc w:val="center"/>
              <w:rPr>
                <w:szCs w:val="20"/>
              </w:rPr>
            </w:pPr>
            <w:r w:rsidRPr="0076001D">
              <w:rPr>
                <w:rFonts w:ascii="Calibri" w:hAnsi="Calibri" w:cs="Calibri"/>
                <w:color w:val="000000"/>
                <w:szCs w:val="20"/>
              </w:rPr>
              <w:t>0,00%</w:t>
            </w:r>
          </w:p>
        </w:tc>
        <w:tc>
          <w:tcPr>
            <w:tcW w:w="1014" w:type="dxa"/>
            <w:vAlign w:val="center"/>
          </w:tcPr>
          <w:p w14:paraId="64CE8F44" w14:textId="77777777" w:rsidR="00DC0982" w:rsidRPr="0076001D" w:rsidRDefault="00DC0982" w:rsidP="000878F6">
            <w:pPr>
              <w:pStyle w:val="Table"/>
              <w:jc w:val="center"/>
              <w:rPr>
                <w:szCs w:val="20"/>
              </w:rPr>
            </w:pPr>
            <w:r w:rsidRPr="0076001D">
              <w:rPr>
                <w:rFonts w:ascii="Calibri" w:hAnsi="Calibri" w:cs="Calibri"/>
                <w:color w:val="000000"/>
                <w:szCs w:val="20"/>
              </w:rPr>
              <w:t>0,00</w:t>
            </w:r>
          </w:p>
        </w:tc>
        <w:tc>
          <w:tcPr>
            <w:tcW w:w="1186" w:type="dxa"/>
            <w:vAlign w:val="center"/>
          </w:tcPr>
          <w:p w14:paraId="635AFD64" w14:textId="77777777" w:rsidR="00DC0982" w:rsidRPr="0076001D" w:rsidRDefault="00DC0982" w:rsidP="000878F6">
            <w:pPr>
              <w:pStyle w:val="Table"/>
              <w:jc w:val="center"/>
              <w:rPr>
                <w:szCs w:val="20"/>
              </w:rPr>
            </w:pPr>
            <w:r w:rsidRPr="0076001D">
              <w:rPr>
                <w:rFonts w:ascii="Calibri" w:hAnsi="Calibri" w:cs="Calibri"/>
                <w:color w:val="000000"/>
                <w:szCs w:val="20"/>
              </w:rPr>
              <w:t>0,00</w:t>
            </w:r>
          </w:p>
        </w:tc>
        <w:tc>
          <w:tcPr>
            <w:tcW w:w="1110" w:type="dxa"/>
            <w:vAlign w:val="center"/>
          </w:tcPr>
          <w:p w14:paraId="34B7CF6D" w14:textId="77777777" w:rsidR="00DC0982" w:rsidRPr="0076001D" w:rsidRDefault="00DC0982" w:rsidP="000878F6">
            <w:pPr>
              <w:pStyle w:val="Table"/>
              <w:jc w:val="center"/>
              <w:rPr>
                <w:szCs w:val="20"/>
              </w:rPr>
            </w:pPr>
            <w:r w:rsidRPr="0076001D">
              <w:rPr>
                <w:rFonts w:ascii="Calibri" w:hAnsi="Calibri" w:cs="Calibri"/>
                <w:color w:val="000000"/>
                <w:szCs w:val="20"/>
              </w:rPr>
              <w:t>0,0%</w:t>
            </w:r>
          </w:p>
        </w:tc>
        <w:tc>
          <w:tcPr>
            <w:tcW w:w="1424" w:type="dxa"/>
            <w:vAlign w:val="center"/>
          </w:tcPr>
          <w:p w14:paraId="0A9D6A3C" w14:textId="77777777" w:rsidR="00DC0982" w:rsidRPr="0076001D" w:rsidRDefault="00DC0982" w:rsidP="000878F6">
            <w:pPr>
              <w:pStyle w:val="Table"/>
              <w:jc w:val="center"/>
              <w:rPr>
                <w:szCs w:val="20"/>
              </w:rPr>
            </w:pPr>
            <w:r w:rsidRPr="0076001D">
              <w:rPr>
                <w:rFonts w:ascii="Calibri" w:hAnsi="Calibri" w:cs="Calibri"/>
                <w:color w:val="000000"/>
                <w:szCs w:val="20"/>
              </w:rPr>
              <w:t>0,0%</w:t>
            </w:r>
          </w:p>
        </w:tc>
      </w:tr>
      <w:tr w:rsidR="00DC0982" w:rsidRPr="0076001D" w14:paraId="5F84F6E1" w14:textId="77777777" w:rsidTr="00506A7C">
        <w:trPr>
          <w:trHeight w:val="167"/>
        </w:trPr>
        <w:tc>
          <w:tcPr>
            <w:tcW w:w="2167" w:type="dxa"/>
          </w:tcPr>
          <w:p w14:paraId="4B3E8B71" w14:textId="77777777" w:rsidR="00DC0982" w:rsidRPr="0076001D" w:rsidRDefault="00DC0982" w:rsidP="000878F6">
            <w:pPr>
              <w:pStyle w:val="Table"/>
              <w:rPr>
                <w:szCs w:val="20"/>
              </w:rPr>
            </w:pPr>
            <w:r w:rsidRPr="0076001D">
              <w:rPr>
                <w:szCs w:val="20"/>
              </w:rPr>
              <w:t>Minerals &amp; Aggregates</w:t>
            </w:r>
          </w:p>
        </w:tc>
        <w:tc>
          <w:tcPr>
            <w:tcW w:w="1086" w:type="dxa"/>
            <w:vAlign w:val="center"/>
          </w:tcPr>
          <w:p w14:paraId="39783CE0" w14:textId="77777777" w:rsidR="00DC0982" w:rsidRPr="0076001D" w:rsidRDefault="00DC0982" w:rsidP="000878F6">
            <w:pPr>
              <w:pStyle w:val="Table"/>
              <w:jc w:val="center"/>
              <w:rPr>
                <w:szCs w:val="20"/>
              </w:rPr>
            </w:pPr>
            <w:r w:rsidRPr="0076001D">
              <w:rPr>
                <w:rFonts w:ascii="Calibri" w:hAnsi="Calibri" w:cs="Calibri"/>
                <w:color w:val="000000"/>
                <w:szCs w:val="20"/>
              </w:rPr>
              <w:t>-5,02%</w:t>
            </w:r>
          </w:p>
        </w:tc>
        <w:tc>
          <w:tcPr>
            <w:tcW w:w="1087" w:type="dxa"/>
            <w:vAlign w:val="center"/>
          </w:tcPr>
          <w:p w14:paraId="54C43A83" w14:textId="77777777" w:rsidR="00DC0982" w:rsidRPr="0076001D" w:rsidRDefault="00DC0982" w:rsidP="000878F6">
            <w:pPr>
              <w:pStyle w:val="Table"/>
              <w:jc w:val="center"/>
              <w:rPr>
                <w:szCs w:val="20"/>
              </w:rPr>
            </w:pPr>
            <w:r w:rsidRPr="0076001D">
              <w:rPr>
                <w:rFonts w:ascii="Calibri" w:hAnsi="Calibri" w:cs="Calibri"/>
                <w:color w:val="000000"/>
                <w:szCs w:val="20"/>
              </w:rPr>
              <w:t>-5,02%</w:t>
            </w:r>
          </w:p>
        </w:tc>
        <w:tc>
          <w:tcPr>
            <w:tcW w:w="1014" w:type="dxa"/>
            <w:vAlign w:val="center"/>
          </w:tcPr>
          <w:p w14:paraId="070584F7" w14:textId="77777777" w:rsidR="00DC0982" w:rsidRPr="0076001D" w:rsidRDefault="00DC0982" w:rsidP="000878F6">
            <w:pPr>
              <w:pStyle w:val="Table"/>
              <w:jc w:val="center"/>
              <w:rPr>
                <w:szCs w:val="20"/>
              </w:rPr>
            </w:pPr>
            <w:r w:rsidRPr="0076001D">
              <w:rPr>
                <w:rFonts w:ascii="Calibri" w:hAnsi="Calibri" w:cs="Calibri"/>
                <w:color w:val="000000"/>
                <w:szCs w:val="20"/>
              </w:rPr>
              <w:t>38,67</w:t>
            </w:r>
          </w:p>
        </w:tc>
        <w:tc>
          <w:tcPr>
            <w:tcW w:w="1186" w:type="dxa"/>
            <w:vAlign w:val="center"/>
          </w:tcPr>
          <w:p w14:paraId="79CAB53E" w14:textId="77777777" w:rsidR="00DC0982" w:rsidRPr="0076001D" w:rsidRDefault="00DC0982" w:rsidP="000878F6">
            <w:pPr>
              <w:pStyle w:val="Table"/>
              <w:jc w:val="center"/>
              <w:rPr>
                <w:szCs w:val="20"/>
              </w:rPr>
            </w:pPr>
            <w:r w:rsidRPr="0076001D">
              <w:rPr>
                <w:rFonts w:ascii="Calibri" w:hAnsi="Calibri" w:cs="Calibri"/>
                <w:color w:val="000000"/>
                <w:szCs w:val="20"/>
              </w:rPr>
              <w:t>37,41</w:t>
            </w:r>
          </w:p>
        </w:tc>
        <w:tc>
          <w:tcPr>
            <w:tcW w:w="1110" w:type="dxa"/>
            <w:vAlign w:val="center"/>
          </w:tcPr>
          <w:p w14:paraId="70981098" w14:textId="77777777" w:rsidR="00DC0982" w:rsidRPr="0076001D" w:rsidRDefault="00DC0982" w:rsidP="000878F6">
            <w:pPr>
              <w:pStyle w:val="Table"/>
              <w:jc w:val="center"/>
              <w:rPr>
                <w:szCs w:val="20"/>
              </w:rPr>
            </w:pPr>
            <w:r w:rsidRPr="0076001D">
              <w:rPr>
                <w:rFonts w:ascii="Calibri" w:hAnsi="Calibri" w:cs="Calibri"/>
                <w:color w:val="000000"/>
                <w:szCs w:val="20"/>
              </w:rPr>
              <w:t>39,6%</w:t>
            </w:r>
          </w:p>
        </w:tc>
        <w:tc>
          <w:tcPr>
            <w:tcW w:w="1424" w:type="dxa"/>
            <w:vAlign w:val="center"/>
          </w:tcPr>
          <w:p w14:paraId="14C187D7" w14:textId="77777777" w:rsidR="00DC0982" w:rsidRPr="0076001D" w:rsidRDefault="00DC0982" w:rsidP="000878F6">
            <w:pPr>
              <w:pStyle w:val="Table"/>
              <w:jc w:val="center"/>
              <w:rPr>
                <w:szCs w:val="20"/>
              </w:rPr>
            </w:pPr>
            <w:r w:rsidRPr="0076001D">
              <w:rPr>
                <w:rFonts w:ascii="Calibri" w:hAnsi="Calibri" w:cs="Calibri"/>
                <w:color w:val="000000"/>
                <w:szCs w:val="20"/>
              </w:rPr>
              <w:t>38,3%</w:t>
            </w:r>
          </w:p>
        </w:tc>
      </w:tr>
    </w:tbl>
    <w:p w14:paraId="49D53C0A" w14:textId="77777777" w:rsidR="00DC0982" w:rsidRPr="00DC0982" w:rsidRDefault="00DC0982" w:rsidP="00DC0982">
      <w:pPr>
        <w:rPr>
          <w:lang w:eastAsia="en-GB"/>
        </w:rPr>
      </w:pPr>
    </w:p>
    <w:p w14:paraId="58965D31" w14:textId="191C9B03" w:rsidR="00DC0982" w:rsidRPr="00DC0982" w:rsidRDefault="00DC0982" w:rsidP="00DC0982">
      <w:pPr>
        <w:rPr>
          <w:lang w:eastAsia="en-GB"/>
        </w:rPr>
      </w:pPr>
      <w:r w:rsidRPr="00DC0982">
        <w:rPr>
          <w:lang w:eastAsia="en-GB"/>
        </w:rPr>
        <w:t xml:space="preserve">Nevertheless, </w:t>
      </w:r>
      <w:r w:rsidRPr="00DC0982">
        <w:rPr>
          <w:b/>
          <w:bCs/>
          <w:lang w:eastAsia="en-GB"/>
        </w:rPr>
        <w:t>feasibility and implementation challenges</w:t>
      </w:r>
      <w:r w:rsidRPr="00DC0982">
        <w:rPr>
          <w:lang w:eastAsia="en-GB"/>
        </w:rPr>
        <w:t xml:space="preserve"> are likely, reflecting Belgium’s regional structure and the political sensitivity of environmental and resource taxation. Environmental taxation falls largely under the competence of the regional governments, and existing instruments vary widely in design and ambition between Flanders, Wallonia and Brussels-Capital. Introducing harmonised benchmark rates, particularly for resource and mineral extraction taxes, could encounter resistance from regional authorities and industry stakeholders, who may view them as a threat to competitiveness or employment in specific sectors such as construction materials and manufacturing. Past debates around a potential aggregates tax illustrate these concerns, with pushback centred on risks of cross-border leakage and administrative complexity.</w:t>
      </w:r>
    </w:p>
    <w:p w14:paraId="66AC9DE6" w14:textId="1ADBE79C" w:rsidR="00DC0982" w:rsidRPr="00DC0982" w:rsidRDefault="001E4245" w:rsidP="00DC0982">
      <w:pPr>
        <w:rPr>
          <w:lang w:eastAsia="en-GB"/>
        </w:rPr>
      </w:pPr>
      <w:r w:rsidRPr="001E4245">
        <w:rPr>
          <w:lang w:eastAsia="en-GB"/>
        </w:rPr>
        <w:t xml:space="preserve">To address such concerns, a gradual, </w:t>
      </w:r>
      <w:r w:rsidRPr="00BA7936">
        <w:rPr>
          <w:b/>
          <w:bCs/>
          <w:lang w:eastAsia="en-GB"/>
        </w:rPr>
        <w:t>regionally coordinated approach</w:t>
      </w:r>
      <w:r w:rsidRPr="001E4245">
        <w:rPr>
          <w:lang w:eastAsia="en-GB"/>
        </w:rPr>
        <w:t xml:space="preserve"> is advisable. A phased introduction of benchmark rates</w:t>
      </w:r>
      <w:r w:rsidR="00B5691E">
        <w:rPr>
          <w:lang w:eastAsia="en-GB"/>
        </w:rPr>
        <w:t xml:space="preserve"> </w:t>
      </w:r>
      <w:r w:rsidRPr="001E4245">
        <w:rPr>
          <w:lang w:eastAsia="en-GB"/>
        </w:rPr>
        <w:t>could help ensure smooth adjustment for operators. Clear communication on objectives and on the use of revenues, such as earmarking part of the proceeds for the rehabilitation of extraction sites or for improving regional recycling infrastructure, would further increase political acceptability. Targeted measures could also mitigate impacts on specific operators, for example temporary reduced rates for small quarries or investment support for companies investing in high-quality recycled aggregates. Strengthening cooperation between federal and regional authorities—for instance through joint guidelines on recycled aggregate quality standards or coordinated rate-setting—would be essential to ensure policy coherence and avoid duplication of measures</w:t>
      </w:r>
      <w:r w:rsidR="00B5691E">
        <w:rPr>
          <w:lang w:eastAsia="en-GB"/>
        </w:rPr>
        <w:t>.</w:t>
      </w:r>
    </w:p>
    <w:p w14:paraId="3720A88C" w14:textId="27DFD121" w:rsidR="00DC0982" w:rsidRPr="00DC0982" w:rsidRDefault="00DC0982" w:rsidP="00DC0982">
      <w:pPr>
        <w:rPr>
          <w:lang w:eastAsia="en-GB"/>
        </w:rPr>
      </w:pPr>
      <w:r w:rsidRPr="00DC0982">
        <w:rPr>
          <w:lang w:eastAsia="en-GB"/>
        </w:rPr>
        <w:t xml:space="preserve">In terms of </w:t>
      </w:r>
      <w:r w:rsidRPr="00DC0982">
        <w:rPr>
          <w:b/>
          <w:bCs/>
          <w:lang w:eastAsia="en-GB"/>
        </w:rPr>
        <w:t>distributional and social impacts</w:t>
      </w:r>
      <w:r w:rsidRPr="00DC0982">
        <w:rPr>
          <w:lang w:eastAsia="en-GB"/>
        </w:rPr>
        <w:t>, Belgium’s existing social protection mechanisms reduce the risk of regressive effects, but attention should be paid to household utility costs and waste management fees. Revenues from new or increased environmental taxes could be used to finance reductions in labour taxation or to provide targeted rebates for vulnerable households. Transparent revenue recycling</w:t>
      </w:r>
      <w:r>
        <w:rPr>
          <w:lang w:eastAsia="en-GB"/>
        </w:rPr>
        <w:t xml:space="preserve">, </w:t>
      </w:r>
      <w:r w:rsidRPr="00DC0982">
        <w:rPr>
          <w:lang w:eastAsia="en-GB"/>
        </w:rPr>
        <w:t>demonstrating tangible social or environmental benefits</w:t>
      </w:r>
      <w:r>
        <w:rPr>
          <w:lang w:eastAsia="en-GB"/>
        </w:rPr>
        <w:t xml:space="preserve">, </w:t>
      </w:r>
      <w:r w:rsidRPr="00DC0982">
        <w:rPr>
          <w:lang w:eastAsia="en-GB"/>
        </w:rPr>
        <w:t>would be vital to maintain public confidence and avoid backlash similar to the protests seen in other Member States.</w:t>
      </w:r>
    </w:p>
    <w:p w14:paraId="7AEECEE9" w14:textId="77777777" w:rsidR="00DC0982" w:rsidRPr="00DC0982" w:rsidRDefault="00DC0982" w:rsidP="00DC0982">
      <w:pPr>
        <w:rPr>
          <w:lang w:eastAsia="en-GB"/>
        </w:rPr>
      </w:pPr>
      <w:r w:rsidRPr="00DC0982">
        <w:rPr>
          <w:lang w:eastAsia="en-GB"/>
        </w:rPr>
        <w:t xml:space="preserve">Based on the modelling and national context, the following </w:t>
      </w:r>
      <w:r w:rsidRPr="00DC0982">
        <w:rPr>
          <w:b/>
          <w:bCs/>
          <w:lang w:eastAsia="en-GB"/>
        </w:rPr>
        <w:t>priority taxes</w:t>
      </w:r>
      <w:r w:rsidRPr="00DC0982">
        <w:rPr>
          <w:lang w:eastAsia="en-GB"/>
        </w:rPr>
        <w:t xml:space="preserve"> emerge as the most promising avenues for reform:</w:t>
      </w:r>
    </w:p>
    <w:p w14:paraId="3684A87F" w14:textId="77777777" w:rsidR="00DC0982" w:rsidRPr="00DC0982" w:rsidRDefault="00DC0982" w:rsidP="00DC0982">
      <w:pPr>
        <w:pStyle w:val="Bulletlist"/>
        <w:rPr>
          <w:lang w:eastAsia="en-GB"/>
        </w:rPr>
      </w:pPr>
      <w:r w:rsidRPr="00DC0982">
        <w:rPr>
          <w:lang w:eastAsia="en-GB"/>
        </w:rPr>
        <w:t xml:space="preserve">A </w:t>
      </w:r>
      <w:r w:rsidRPr="00DC0982">
        <w:rPr>
          <w:b/>
          <w:bCs/>
          <w:lang w:eastAsia="en-GB"/>
        </w:rPr>
        <w:t>mineral extraction or aggregates tax</w:t>
      </w:r>
      <w:r w:rsidRPr="00DC0982">
        <w:rPr>
          <w:lang w:eastAsia="en-GB"/>
        </w:rPr>
        <w:t>, phased in at moderate rates, coupled with incentives for recycled material use.</w:t>
      </w:r>
    </w:p>
    <w:p w14:paraId="1A40E08A" w14:textId="77777777" w:rsidR="00DC0982" w:rsidRPr="00DC0982" w:rsidRDefault="00DC0982" w:rsidP="00DC0982">
      <w:pPr>
        <w:pStyle w:val="Bulletlist"/>
        <w:rPr>
          <w:lang w:eastAsia="en-GB"/>
        </w:rPr>
      </w:pPr>
      <w:r w:rsidRPr="00DC0982">
        <w:rPr>
          <w:lang w:eastAsia="en-GB"/>
        </w:rPr>
        <w:t xml:space="preserve">A </w:t>
      </w:r>
      <w:r w:rsidRPr="00DC0982">
        <w:rPr>
          <w:b/>
          <w:bCs/>
          <w:lang w:eastAsia="en-GB"/>
        </w:rPr>
        <w:t>water effluent tax</w:t>
      </w:r>
      <w:r w:rsidRPr="00DC0982">
        <w:rPr>
          <w:lang w:eastAsia="en-GB"/>
        </w:rPr>
        <w:t xml:space="preserve"> harmonised across regions, encouraging industrial water reuse and treatment efficiency.</w:t>
      </w:r>
    </w:p>
    <w:p w14:paraId="45F2BDCA" w14:textId="77777777" w:rsidR="00DC0982" w:rsidRPr="00DC0982" w:rsidRDefault="00DC0982" w:rsidP="00DC0982">
      <w:pPr>
        <w:pStyle w:val="Bulletlist"/>
        <w:rPr>
          <w:lang w:eastAsia="en-GB"/>
        </w:rPr>
      </w:pPr>
      <w:r w:rsidRPr="00DC0982">
        <w:rPr>
          <w:lang w:eastAsia="en-GB"/>
        </w:rPr>
        <w:t xml:space="preserve">Strengthening of </w:t>
      </w:r>
      <w:r w:rsidRPr="00DC0982">
        <w:rPr>
          <w:b/>
          <w:bCs/>
          <w:lang w:eastAsia="en-GB"/>
        </w:rPr>
        <w:t>fertiliser and pesticide charges</w:t>
      </w:r>
      <w:r w:rsidRPr="00DC0982">
        <w:rPr>
          <w:lang w:eastAsia="en-GB"/>
        </w:rPr>
        <w:t>, building on existing regulatory fees but linked more closely to environmental performance.</w:t>
      </w:r>
    </w:p>
    <w:p w14:paraId="168CE94F" w14:textId="06DF6570" w:rsidR="00DC0982" w:rsidRPr="00DC0982" w:rsidRDefault="00DC0982" w:rsidP="00DC0982">
      <w:pPr>
        <w:rPr>
          <w:lang w:eastAsia="en-GB"/>
        </w:rPr>
      </w:pPr>
      <w:r w:rsidRPr="00DC0982">
        <w:rPr>
          <w:lang w:eastAsia="en-GB"/>
        </w:rPr>
        <w:lastRenderedPageBreak/>
        <w:t>Implementation of these instruments should be accompanied by flanking measures, including investment support for eco-innovation, resource efficiency and circular economy technologies in affected sectors.</w:t>
      </w:r>
    </w:p>
    <w:p w14:paraId="07617FEA" w14:textId="5E02E625" w:rsidR="000C79DC" w:rsidRPr="00EA4C9B" w:rsidRDefault="00DC0982" w:rsidP="00FC18A6">
      <w:pPr>
        <w:rPr>
          <w:lang w:eastAsia="en-GB"/>
        </w:rPr>
      </w:pPr>
      <w:r w:rsidRPr="00DC0982">
        <w:rPr>
          <w:lang w:eastAsia="en-GB"/>
        </w:rPr>
        <w:t>In conclusion, Belgium has the institutional capacity and fiscal experience to expand the role of environmental taxation, though reform must navigate the complexity of regional competences and stakeholder concerns. A coordinated, transparent, and phased approach</w:t>
      </w:r>
      <w:r>
        <w:rPr>
          <w:lang w:eastAsia="en-GB"/>
        </w:rPr>
        <w:t xml:space="preserve">, </w:t>
      </w:r>
      <w:r w:rsidRPr="00DC0982">
        <w:rPr>
          <w:lang w:eastAsia="en-GB"/>
        </w:rPr>
        <w:t>anchored in strong revenue recycling and stakeholder engagement</w:t>
      </w:r>
      <w:r>
        <w:rPr>
          <w:lang w:eastAsia="en-GB"/>
        </w:rPr>
        <w:t xml:space="preserve">, </w:t>
      </w:r>
      <w:r w:rsidRPr="00DC0982">
        <w:rPr>
          <w:lang w:eastAsia="en-GB"/>
        </w:rPr>
        <w:t xml:space="preserve">would enhance feasibility, limit risks to competitiveness, and maximise both the environmental and social benefits of the </w:t>
      </w:r>
      <w:r w:rsidR="007B606C">
        <w:rPr>
          <w:lang w:eastAsia="en-GB"/>
        </w:rPr>
        <w:t>simulated</w:t>
      </w:r>
      <w:r w:rsidRPr="00DC0982">
        <w:rPr>
          <w:lang w:eastAsia="en-GB"/>
        </w:rPr>
        <w:t xml:space="preserve"> reforms.</w:t>
      </w:r>
    </w:p>
    <w:p w14:paraId="08E2D3E4" w14:textId="77777777" w:rsidR="00392FDA" w:rsidRPr="00EA4C9B" w:rsidRDefault="00392FDA" w:rsidP="003B77C1">
      <w:pPr>
        <w:pStyle w:val="AnnexHeading1"/>
        <w:ind w:hanging="1211"/>
      </w:pPr>
      <w:bookmarkStart w:id="111" w:name="_Toc214008838"/>
      <w:r w:rsidRPr="00EA4C9B">
        <w:t>Bulgaria</w:t>
      </w:r>
      <w:bookmarkEnd w:id="111"/>
    </w:p>
    <w:p w14:paraId="00E79964" w14:textId="77777777" w:rsidR="00392FDA" w:rsidRPr="00EA4C9B" w:rsidRDefault="00392FDA" w:rsidP="007C4EB7">
      <w:pPr>
        <w:pStyle w:val="AnnexHeading2"/>
      </w:pPr>
      <w:bookmarkStart w:id="112" w:name="_Toc214008839"/>
      <w:r w:rsidRPr="00EA4C9B">
        <w:t>Overview of existing environmental taxes</w:t>
      </w:r>
      <w:bookmarkEnd w:id="112"/>
      <w:r w:rsidRPr="00EA4C9B">
        <w:t xml:space="preserve"> </w:t>
      </w:r>
    </w:p>
    <w:p w14:paraId="4D6F9E2F" w14:textId="232E64A3" w:rsidR="00433A5D" w:rsidRPr="00EA4C9B" w:rsidRDefault="00506A7C" w:rsidP="00463CF5">
      <w:r w:rsidRPr="00506A7C">
        <w:t>Environmental taxes in Bulgaria amounted to 3.4% of GDP in 2023, well above the EU average. Unlike in many other Member States, both the level and the economic relevance of environmental taxation have increased over time. Total environmental tax revenue reached EUR 2.8 billion in 2023 (</w:t>
      </w:r>
      <w:r w:rsidRPr="00463CF5">
        <w:fldChar w:fldCharType="begin"/>
      </w:r>
      <w:r w:rsidRPr="00463CF5">
        <w:instrText xml:space="preserve"> REF _Ref201236140 \h  \* MERGEFORMAT </w:instrText>
      </w:r>
      <w:r w:rsidRPr="00463CF5">
        <w:fldChar w:fldCharType="separate"/>
      </w:r>
      <w:r w:rsidRPr="00EA4C9B">
        <w:t xml:space="preserve">Figure </w:t>
      </w:r>
      <w:r>
        <w:t>A6</w:t>
      </w:r>
      <w:r w:rsidRPr="00EA4C9B">
        <w:t>-</w:t>
      </w:r>
      <w:r>
        <w:t>7</w:t>
      </w:r>
      <w:r w:rsidRPr="00463CF5">
        <w:fldChar w:fldCharType="end"/>
      </w:r>
      <w:r w:rsidRPr="00506A7C">
        <w:t>), representing a 177% rise in real terms since 2009</w:t>
      </w:r>
      <w:r w:rsidR="00B15227">
        <w:rPr>
          <w:rStyle w:val="FootnoteReference"/>
        </w:rPr>
        <w:footnoteReference w:id="37"/>
      </w:r>
      <w:r w:rsidRPr="00506A7C">
        <w:t xml:space="preserve">. Over the same period, the ratio of environmental taxes to GDP grew by 18.1% </w:t>
      </w:r>
      <w:r w:rsidRPr="00EA4C9B">
        <w:t>(</w:t>
      </w:r>
      <w:r w:rsidRPr="00463CF5">
        <w:fldChar w:fldCharType="begin"/>
      </w:r>
      <w:r w:rsidRPr="00463CF5">
        <w:instrText xml:space="preserve"> REF _Ref201236153 \h  \* MERGEFORMAT </w:instrText>
      </w:r>
      <w:r w:rsidRPr="00463CF5">
        <w:fldChar w:fldCharType="separate"/>
      </w:r>
      <w:r w:rsidRPr="00463CF5">
        <w:t xml:space="preserve">Figure </w:t>
      </w:r>
      <w:r>
        <w:t>A6</w:t>
      </w:r>
      <w:r w:rsidRPr="00463CF5">
        <w:t>-</w:t>
      </w:r>
      <w:r w:rsidRPr="00463CF5">
        <w:rPr>
          <w:noProof/>
        </w:rPr>
        <w:t>8</w:t>
      </w:r>
      <w:r w:rsidRPr="00463CF5">
        <w:fldChar w:fldCharType="end"/>
      </w:r>
      <w:r w:rsidRPr="00506A7C">
        <w:t>). In 2023, energy and transport taxes dominated the revenue structure (around 92.1% and 6.9% respectively), while resource and pollution taxes contributed only 0.7% and 0.2%.</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392FDA" w:rsidRPr="00EA4C9B" w14:paraId="55BEFA6A" w14:textId="77777777" w:rsidTr="00F474DF">
        <w:trPr>
          <w:trHeight w:val="300"/>
        </w:trPr>
        <w:tc>
          <w:tcPr>
            <w:tcW w:w="9010" w:type="dxa"/>
            <w:tcBorders>
              <w:top w:val="single" w:sz="6" w:space="0" w:color="auto"/>
              <w:left w:val="single" w:sz="6" w:space="0" w:color="auto"/>
              <w:bottom w:val="single" w:sz="6" w:space="0" w:color="auto"/>
              <w:right w:val="single" w:sz="6" w:space="0" w:color="auto"/>
            </w:tcBorders>
            <w:hideMark/>
          </w:tcPr>
          <w:p w14:paraId="30ED4863" w14:textId="77777777" w:rsidR="00466EF5" w:rsidRDefault="00466EF5">
            <w:pPr>
              <w:spacing w:after="0"/>
              <w:jc w:val="center"/>
              <w:textAlignment w:val="baseline"/>
              <w:rPr>
                <w:rFonts w:ascii="Calibri" w:eastAsia="Times New Roman" w:hAnsi="Calibri" w:cs="Calibri"/>
                <w:sz w:val="2"/>
                <w:szCs w:val="2"/>
                <w:lang w:eastAsia="es-ES"/>
              </w:rPr>
            </w:pPr>
          </w:p>
          <w:p w14:paraId="24881048" w14:textId="6366BC40" w:rsidR="00466EF5" w:rsidRPr="00466EF5" w:rsidRDefault="00392FDA" w:rsidP="00466EF5">
            <w:pPr>
              <w:spacing w:after="0"/>
              <w:jc w:val="center"/>
              <w:textAlignment w:val="baseline"/>
              <w:rPr>
                <w:rFonts w:ascii="Calibri" w:eastAsia="Times New Roman" w:hAnsi="Calibri" w:cs="Calibri"/>
                <w:sz w:val="2"/>
                <w:szCs w:val="2"/>
                <w:lang w:eastAsia="es-ES"/>
              </w:rPr>
            </w:pPr>
            <w:r w:rsidRPr="00EA4C9B">
              <w:rPr>
                <w:rFonts w:ascii="Calibri" w:eastAsia="Times New Roman" w:hAnsi="Calibri" w:cs="Calibri"/>
                <w:sz w:val="2"/>
                <w:szCs w:val="2"/>
                <w:lang w:eastAsia="es-ES"/>
              </w:rPr>
              <w:t> </w:t>
            </w:r>
          </w:p>
          <w:p w14:paraId="3605C7EE" w14:textId="77777777" w:rsidR="00392FDA" w:rsidRDefault="00392FDA">
            <w:pPr>
              <w:spacing w:after="0"/>
              <w:jc w:val="center"/>
              <w:textAlignment w:val="baseline"/>
              <w:rPr>
                <w:rFonts w:ascii="Calibri" w:eastAsia="Times New Roman" w:hAnsi="Calibri" w:cs="Calibri"/>
                <w:sz w:val="2"/>
                <w:szCs w:val="2"/>
                <w:lang w:eastAsia="es-ES"/>
              </w:rPr>
            </w:pPr>
            <w:r w:rsidRPr="00EA4C9B">
              <w:rPr>
                <w:rFonts w:ascii="Calibri" w:eastAsia="Times New Roman" w:hAnsi="Calibri" w:cs="Calibri"/>
                <w:sz w:val="2"/>
                <w:szCs w:val="2"/>
                <w:lang w:eastAsia="es-ES"/>
              </w:rPr>
              <w:t> </w:t>
            </w:r>
            <w:r w:rsidRPr="00EA4C9B">
              <w:rPr>
                <w:rFonts w:ascii="Calibri" w:eastAsia="Times New Roman" w:hAnsi="Calibri" w:cs="Calibri"/>
                <w:noProof/>
                <w:sz w:val="2"/>
                <w:szCs w:val="2"/>
                <w:lang w:eastAsia="es-ES"/>
              </w:rPr>
              <w:drawing>
                <wp:inline distT="0" distB="0" distL="0" distR="0" wp14:anchorId="5C40F8F5" wp14:editId="7D66C935">
                  <wp:extent cx="5572800" cy="1181106"/>
                  <wp:effectExtent l="0" t="0" r="8890" b="0"/>
                  <wp:docPr id="375596756" name="Imagen 3"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96756" name="Imagen 3" descr="A graph with numbers and a line&#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72800" cy="1181106"/>
                          </a:xfrm>
                          <a:prstGeom prst="rect">
                            <a:avLst/>
                          </a:prstGeom>
                          <a:noFill/>
                        </pic:spPr>
                      </pic:pic>
                    </a:graphicData>
                  </a:graphic>
                </wp:inline>
              </w:drawing>
            </w:r>
          </w:p>
          <w:p w14:paraId="25772D29" w14:textId="77777777" w:rsidR="00466EF5" w:rsidRPr="00EA4C9B" w:rsidRDefault="00466EF5">
            <w:pPr>
              <w:spacing w:after="0"/>
              <w:jc w:val="center"/>
              <w:textAlignment w:val="baseline"/>
              <w:rPr>
                <w:rFonts w:ascii="Segoe UI" w:eastAsia="Times New Roman" w:hAnsi="Segoe UI" w:cs="Segoe UI"/>
                <w:sz w:val="2"/>
                <w:szCs w:val="2"/>
                <w:lang w:eastAsia="es-ES"/>
              </w:rPr>
            </w:pPr>
          </w:p>
          <w:p w14:paraId="16D3C87C" w14:textId="77777777" w:rsidR="00392FDA" w:rsidRPr="00EA4C9B" w:rsidRDefault="00392FDA">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sz w:val="2"/>
                <w:szCs w:val="2"/>
                <w:lang w:eastAsia="es-ES"/>
              </w:rPr>
              <w:t> </w:t>
            </w:r>
          </w:p>
        </w:tc>
      </w:tr>
      <w:tr w:rsidR="00392FDA" w:rsidRPr="00EA4C9B" w14:paraId="0E9AEDA8" w14:textId="77777777" w:rsidTr="00F474DF">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003399"/>
            <w:hideMark/>
          </w:tcPr>
          <w:p w14:paraId="1A998548" w14:textId="09239B31" w:rsidR="00392FDA" w:rsidRPr="00EA4C9B" w:rsidRDefault="00D226F3" w:rsidP="00463CF5">
            <w:pPr>
              <w:pStyle w:val="FigTabCaption"/>
              <w:rPr>
                <w:rFonts w:ascii="Segoe UI" w:eastAsia="Times New Roman" w:hAnsi="Segoe UI" w:cs="Segoe UI"/>
                <w:sz w:val="18"/>
                <w:szCs w:val="18"/>
                <w:lang w:eastAsia="es-ES"/>
              </w:rPr>
            </w:pPr>
            <w:bookmarkStart w:id="113" w:name="_Ref201236140"/>
            <w:r w:rsidRPr="00EA4C9B">
              <w:t xml:space="preserve">Figure </w:t>
            </w:r>
            <w:r w:rsidR="00490085">
              <w:t>A6</w:t>
            </w:r>
            <w:r w:rsidRPr="00EA4C9B">
              <w:t>-</w:t>
            </w:r>
            <w:fldSimple w:instr=" SEQ Figure_A5- \* ARABIC ">
              <w:r w:rsidR="00F474DF">
                <w:rPr>
                  <w:noProof/>
                </w:rPr>
                <w:t>7</w:t>
              </w:r>
            </w:fldSimple>
            <w:bookmarkEnd w:id="113"/>
            <w:r w:rsidR="00392FDA" w:rsidRPr="00EA4C9B">
              <w:rPr>
                <w:shd w:val="clear" w:color="auto" w:fill="003399"/>
                <w:lang w:eastAsia="es-ES"/>
              </w:rPr>
              <w:t>:</w:t>
            </w:r>
            <w:r w:rsidR="00392FDA" w:rsidRPr="00EA4C9B">
              <w:rPr>
                <w:lang w:eastAsia="es-ES"/>
              </w:rPr>
              <w:t xml:space="preserve"> Total environmental tax revenue in Bulgaria (2009-2023) in billion euros </w:t>
            </w:r>
          </w:p>
        </w:tc>
      </w:tr>
    </w:tbl>
    <w:p w14:paraId="77471D2C" w14:textId="7E370D1A" w:rsidR="00392FDA" w:rsidRPr="00EA4C9B" w:rsidRDefault="00B45D72" w:rsidP="00392FDA">
      <w:pPr>
        <w:spacing w:before="120" w:after="120"/>
      </w:pPr>
      <w:r w:rsidRPr="00B45D72">
        <w:t xml:space="preserve">In 2023, total tax revenue (including net social contributions) accounted for 29.7% of Bulgaria’s GDP, an increase of </w:t>
      </w:r>
      <w:r w:rsidRPr="00B45D72">
        <w:rPr>
          <w:b/>
          <w:bCs/>
        </w:rPr>
        <w:t>3.2 percentage points</w:t>
      </w:r>
      <w:r w:rsidRPr="00B45D72">
        <w:t xml:space="preserve"> compared with 2009. Environmental taxes represented 11.3% of total tax revenue in 2023, up from 10.7% in 2009, corresponding to a rise of </w:t>
      </w:r>
      <w:r w:rsidRPr="00B45D72">
        <w:rPr>
          <w:b/>
          <w:bCs/>
        </w:rPr>
        <w:t>0.6 percentage points</w:t>
      </w:r>
      <w:r w:rsidRPr="00B45D72">
        <w:t xml:space="preserve"> over the period. Within this overall stability, energy tax revenues increased by 10.5% in absolute terms, while revenues from transport, resource and pollution taxes declined, with pollution taxes showing the sharpest fall at </w:t>
      </w:r>
      <w:r w:rsidRPr="00B45D72">
        <w:rPr>
          <w:b/>
          <w:bCs/>
        </w:rPr>
        <w:t>–82%</w:t>
      </w:r>
      <w:r w:rsidRPr="00B45D72">
        <w:t>.</w:t>
      </w:r>
      <w:r w:rsidR="00D541AE">
        <w:br w:type="page"/>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392FDA" w:rsidRPr="00EA4C9B" w14:paraId="3BE86C40" w14:textId="77777777" w:rsidTr="004F0767">
        <w:trPr>
          <w:trHeight w:val="300"/>
        </w:trPr>
        <w:tc>
          <w:tcPr>
            <w:tcW w:w="9010" w:type="dxa"/>
            <w:tcBorders>
              <w:top w:val="single" w:sz="6" w:space="0" w:color="auto"/>
              <w:left w:val="single" w:sz="6" w:space="0" w:color="auto"/>
              <w:bottom w:val="single" w:sz="6" w:space="0" w:color="auto"/>
              <w:right w:val="single" w:sz="6" w:space="0" w:color="auto"/>
            </w:tcBorders>
            <w:hideMark/>
          </w:tcPr>
          <w:p w14:paraId="4B5196B0" w14:textId="77777777" w:rsidR="00466EF5" w:rsidRDefault="00466EF5">
            <w:pPr>
              <w:spacing w:after="0"/>
              <w:jc w:val="center"/>
              <w:textAlignment w:val="baseline"/>
              <w:rPr>
                <w:rFonts w:ascii="Calibri" w:eastAsia="Times New Roman" w:hAnsi="Calibri" w:cs="Calibri"/>
                <w:sz w:val="2"/>
                <w:szCs w:val="2"/>
                <w:lang w:eastAsia="es-ES"/>
              </w:rPr>
            </w:pPr>
          </w:p>
          <w:p w14:paraId="42ABA2CE" w14:textId="2EA000F6" w:rsidR="00392FDA" w:rsidRPr="00EA4C9B" w:rsidRDefault="00392FDA">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sz w:val="2"/>
                <w:szCs w:val="2"/>
                <w:lang w:eastAsia="es-ES"/>
              </w:rPr>
              <w:t> </w:t>
            </w:r>
          </w:p>
          <w:p w14:paraId="136B01F1" w14:textId="77777777" w:rsidR="00466EF5" w:rsidRDefault="00392FDA">
            <w:pPr>
              <w:spacing w:after="0"/>
              <w:jc w:val="center"/>
              <w:textAlignment w:val="baseline"/>
              <w:rPr>
                <w:rFonts w:ascii="Calibri" w:eastAsia="Times New Roman" w:hAnsi="Calibri" w:cs="Calibri"/>
                <w:sz w:val="2"/>
                <w:szCs w:val="2"/>
                <w:lang w:eastAsia="es-ES"/>
              </w:rPr>
            </w:pPr>
            <w:r w:rsidRPr="00EA4C9B">
              <w:rPr>
                <w:rFonts w:ascii="Calibri" w:eastAsia="Times New Roman" w:hAnsi="Calibri" w:cs="Calibri"/>
                <w:sz w:val="2"/>
                <w:szCs w:val="2"/>
                <w:lang w:eastAsia="es-ES"/>
              </w:rPr>
              <w:t> </w:t>
            </w:r>
          </w:p>
          <w:p w14:paraId="4D9188B6" w14:textId="140EB60E" w:rsidR="00392FDA" w:rsidRPr="00EA4C9B" w:rsidRDefault="00392FDA">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noProof/>
                <w:sz w:val="2"/>
                <w:szCs w:val="2"/>
                <w:lang w:eastAsia="es-ES"/>
              </w:rPr>
              <w:drawing>
                <wp:inline distT="0" distB="0" distL="0" distR="0" wp14:anchorId="48CB340F" wp14:editId="21C42908">
                  <wp:extent cx="5587200" cy="1655766"/>
                  <wp:effectExtent l="0" t="0" r="0" b="1905"/>
                  <wp:docPr id="88087202" name="Picture 1" descr="A graph of energy and transport te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7202" name="Picture 1" descr="A graph of energy and transport term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7200" cy="1655766"/>
                          </a:xfrm>
                          <a:prstGeom prst="rect">
                            <a:avLst/>
                          </a:prstGeom>
                          <a:noFill/>
                        </pic:spPr>
                      </pic:pic>
                    </a:graphicData>
                  </a:graphic>
                </wp:inline>
              </w:drawing>
            </w:r>
          </w:p>
          <w:p w14:paraId="633679B8" w14:textId="77777777" w:rsidR="00392FDA" w:rsidRPr="00EA4C9B" w:rsidRDefault="00392FDA">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sz w:val="2"/>
                <w:szCs w:val="2"/>
                <w:lang w:eastAsia="es-ES"/>
              </w:rPr>
              <w:t> </w:t>
            </w:r>
          </w:p>
        </w:tc>
      </w:tr>
      <w:tr w:rsidR="00392FDA" w:rsidRPr="00EA4C9B" w14:paraId="78C0C4DB" w14:textId="77777777" w:rsidTr="004F0767">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003399"/>
            <w:hideMark/>
          </w:tcPr>
          <w:p w14:paraId="5E8D9602" w14:textId="5F6C8668" w:rsidR="00392FDA" w:rsidRPr="00EA4C9B" w:rsidRDefault="00EA4C9B" w:rsidP="00463CF5">
            <w:pPr>
              <w:pStyle w:val="FigTabCaption"/>
              <w:rPr>
                <w:rFonts w:ascii="Segoe UI" w:eastAsia="Times New Roman" w:hAnsi="Segoe UI" w:cs="Segoe UI"/>
                <w:sz w:val="18"/>
                <w:szCs w:val="18"/>
                <w:lang w:eastAsia="es-ES"/>
              </w:rPr>
            </w:pPr>
            <w:bookmarkStart w:id="114" w:name="_Ref201236153"/>
            <w:r w:rsidRPr="00EA4C9B">
              <w:t xml:space="preserve">Figure </w:t>
            </w:r>
            <w:r w:rsidR="00490085">
              <w:t>A6</w:t>
            </w:r>
            <w:r w:rsidRPr="00EA4C9B">
              <w:t>-</w:t>
            </w:r>
            <w:fldSimple w:instr=" SEQ Figure_A5- \* ARABIC ">
              <w:r w:rsidR="00362776">
                <w:rPr>
                  <w:noProof/>
                </w:rPr>
                <w:t>8</w:t>
              </w:r>
            </w:fldSimple>
            <w:bookmarkEnd w:id="114"/>
            <w:r w:rsidR="00392FDA" w:rsidRPr="00EA4C9B">
              <w:rPr>
                <w:shd w:val="clear" w:color="auto" w:fill="003399"/>
                <w:lang w:eastAsia="es-ES"/>
              </w:rPr>
              <w:t>:</w:t>
            </w:r>
            <w:r w:rsidR="00392FDA" w:rsidRPr="00EA4C9B">
              <w:rPr>
                <w:lang w:eastAsia="es-ES"/>
              </w:rPr>
              <w:t xml:space="preserve"> Fifteen-year (2009-2023) change in absolute terms and change as GDP-ratio of the revenues of energy taxes, transport taxes, resource taxes, pollution taxes and total environmental taxes </w:t>
            </w:r>
            <w:r w:rsidR="00E83FD0">
              <w:rPr>
                <w:rStyle w:val="FootnoteReference"/>
                <w:lang w:eastAsia="es-ES"/>
              </w:rPr>
              <w:footnoteReference w:id="38"/>
            </w:r>
          </w:p>
        </w:tc>
      </w:tr>
    </w:tbl>
    <w:p w14:paraId="164D089C" w14:textId="77777777" w:rsidR="00392FDA" w:rsidRPr="00EA4C9B" w:rsidRDefault="00392FDA" w:rsidP="007C4EB7">
      <w:pPr>
        <w:pStyle w:val="AnnexHeading2"/>
      </w:pPr>
      <w:bookmarkStart w:id="115" w:name="_Toc214008840"/>
      <w:r w:rsidRPr="00EA4C9B">
        <w:t>Existing pollution and resource taxes</w:t>
      </w:r>
      <w:bookmarkEnd w:id="115"/>
    </w:p>
    <w:p w14:paraId="245016AD" w14:textId="77777777" w:rsidR="00392FDA" w:rsidRPr="00EA4C9B" w:rsidRDefault="00392FDA" w:rsidP="007D605D">
      <w:pPr>
        <w:rPr>
          <w:b/>
          <w:bCs/>
        </w:rPr>
      </w:pPr>
      <w:r w:rsidRPr="00EA4C9B">
        <w:t xml:space="preserve">In 2023, pollution and resource tax revenues reached 9.5 and 17.7 million euros, respectively. This amount to an increase in absolute terms of resource taxes by 38.5%, but a decrease of pollution taxes by 28.6% over 15 years (2009-2023). In terms of GDP-ratios, both pollution and resource taxes decreased by 70.8% and 39.7%, respectively.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392FDA" w:rsidRPr="00EA4C9B" w14:paraId="3393C01F" w14:textId="77777777" w:rsidTr="004F0767">
        <w:trPr>
          <w:trHeight w:val="147"/>
        </w:trPr>
        <w:tc>
          <w:tcPr>
            <w:tcW w:w="9010" w:type="dxa"/>
            <w:tcBorders>
              <w:top w:val="single" w:sz="6" w:space="0" w:color="auto"/>
              <w:left w:val="single" w:sz="6" w:space="0" w:color="auto"/>
              <w:bottom w:val="single" w:sz="6" w:space="0" w:color="auto"/>
              <w:right w:val="single" w:sz="6" w:space="0" w:color="auto"/>
            </w:tcBorders>
          </w:tcPr>
          <w:p w14:paraId="3B3415D3" w14:textId="77777777" w:rsidR="00466EF5" w:rsidRPr="00466EF5" w:rsidRDefault="00466EF5" w:rsidP="00EA4C9B">
            <w:pPr>
              <w:spacing w:after="0"/>
              <w:jc w:val="center"/>
              <w:textAlignment w:val="baseline"/>
              <w:rPr>
                <w:b/>
                <w:bCs/>
                <w:sz w:val="10"/>
                <w:szCs w:val="10"/>
              </w:rPr>
            </w:pPr>
          </w:p>
          <w:p w14:paraId="2D043963" w14:textId="161A6721" w:rsidR="00466EF5" w:rsidRPr="00EA4C9B" w:rsidRDefault="00392FDA" w:rsidP="00466EF5">
            <w:pPr>
              <w:spacing w:after="0"/>
              <w:jc w:val="center"/>
              <w:textAlignment w:val="baseline"/>
              <w:rPr>
                <w:b/>
                <w:bCs/>
                <w:sz w:val="20"/>
                <w:szCs w:val="20"/>
              </w:rPr>
            </w:pPr>
            <w:r w:rsidRPr="00EA4C9B">
              <w:rPr>
                <w:b/>
                <w:bCs/>
                <w:noProof/>
                <w:sz w:val="20"/>
                <w:szCs w:val="20"/>
              </w:rPr>
              <w:drawing>
                <wp:inline distT="0" distB="0" distL="0" distR="0" wp14:anchorId="2653B065" wp14:editId="5316839E">
                  <wp:extent cx="5587200" cy="1198939"/>
                  <wp:effectExtent l="0" t="0" r="0" b="1270"/>
                  <wp:docPr id="1529513380" name="Picture 2"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13380" name="Picture 2" descr="Gráfico, Gráfico de barras&#10;&#10;El contenido generado por IA puede ser incorrect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87200" cy="1198939"/>
                          </a:xfrm>
                          <a:prstGeom prst="rect">
                            <a:avLst/>
                          </a:prstGeom>
                          <a:noFill/>
                        </pic:spPr>
                      </pic:pic>
                    </a:graphicData>
                  </a:graphic>
                </wp:inline>
              </w:drawing>
            </w:r>
          </w:p>
          <w:p w14:paraId="41820201" w14:textId="77777777" w:rsidR="00392FDA" w:rsidRPr="00EA4C9B" w:rsidRDefault="00392FDA">
            <w:pPr>
              <w:spacing w:after="0"/>
              <w:textAlignment w:val="baseline"/>
              <w:rPr>
                <w:b/>
                <w:bCs/>
                <w:sz w:val="20"/>
                <w:szCs w:val="20"/>
              </w:rPr>
            </w:pPr>
            <w:r w:rsidRPr="00EA4C9B">
              <w:rPr>
                <w:b/>
                <w:bCs/>
                <w:sz w:val="20"/>
                <w:szCs w:val="20"/>
              </w:rPr>
              <w:t> </w:t>
            </w:r>
          </w:p>
        </w:tc>
      </w:tr>
      <w:tr w:rsidR="00392FDA" w:rsidRPr="00EA4C9B" w14:paraId="5DD0D110" w14:textId="77777777" w:rsidTr="004F0767">
        <w:trPr>
          <w:trHeight w:val="147"/>
        </w:trPr>
        <w:tc>
          <w:tcPr>
            <w:tcW w:w="9010" w:type="dxa"/>
            <w:tcBorders>
              <w:top w:val="single" w:sz="6" w:space="0" w:color="auto"/>
              <w:left w:val="single" w:sz="6" w:space="0" w:color="auto"/>
              <w:bottom w:val="single" w:sz="6" w:space="0" w:color="auto"/>
              <w:right w:val="single" w:sz="6" w:space="0" w:color="auto"/>
            </w:tcBorders>
            <w:shd w:val="clear" w:color="auto" w:fill="003399"/>
          </w:tcPr>
          <w:p w14:paraId="463E4458" w14:textId="3CC20484" w:rsidR="00392FDA" w:rsidRPr="00EA4C9B" w:rsidRDefault="00EA4C9B" w:rsidP="00362776">
            <w:pPr>
              <w:pStyle w:val="FigTabCaption"/>
              <w:rPr>
                <w:bCs/>
              </w:rPr>
            </w:pPr>
            <w:r w:rsidRPr="00EA4C9B">
              <w:t xml:space="preserve">Figure </w:t>
            </w:r>
            <w:r w:rsidR="00490085">
              <w:t>A6</w:t>
            </w:r>
            <w:r w:rsidRPr="00EA4C9B">
              <w:t>-</w:t>
            </w:r>
            <w:fldSimple w:instr=" SEQ Figure_A5- \* ARABIC ">
              <w:r w:rsidR="00362776">
                <w:rPr>
                  <w:noProof/>
                </w:rPr>
                <w:t>9</w:t>
              </w:r>
            </w:fldSimple>
            <w:r w:rsidR="00392FDA" w:rsidRPr="00EA4C9B">
              <w:rPr>
                <w:bCs/>
              </w:rPr>
              <w:t>: Resource and pollution tax revenues in Bulgaria (2009-2023) in million euros</w:t>
            </w:r>
            <w:r w:rsidR="00362776">
              <w:rPr>
                <w:bCs/>
              </w:rPr>
              <w:t xml:space="preserve">. </w:t>
            </w:r>
            <w:r w:rsidR="00362776" w:rsidRPr="00EA4C9B">
              <w:rPr>
                <w:i/>
                <w:iCs/>
              </w:rPr>
              <w:t>Note: the share between pollution and resource taxes in 2023 was estimated as the weighted average of past years. </w:t>
            </w:r>
          </w:p>
        </w:tc>
      </w:tr>
    </w:tbl>
    <w:p w14:paraId="5E6AFCE3" w14:textId="77777777" w:rsidR="001035EB" w:rsidRDefault="001035EB" w:rsidP="001035EB">
      <w:pPr>
        <w:pStyle w:val="Heading4"/>
      </w:pPr>
      <w:r w:rsidRPr="00EA4C9B">
        <w:t xml:space="preserve">List of </w:t>
      </w:r>
      <w:r>
        <w:t>pollution and resource</w:t>
      </w:r>
      <w:r w:rsidRPr="00EA4C9B">
        <w:t xml:space="preserve"> taxes and revenue shares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392FDA" w:rsidRPr="00EA4C9B" w14:paraId="34C42CC1" w14:textId="77777777" w:rsidTr="004F0767">
        <w:trPr>
          <w:trHeight w:val="147"/>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77FCB54C" w14:textId="3991314D" w:rsidR="00392FDA" w:rsidRPr="00B8198C" w:rsidRDefault="00064BB0" w:rsidP="00A754B7">
            <w:pPr>
              <w:pStyle w:val="Table"/>
              <w:rPr>
                <w:rFonts w:ascii="Times New Roman" w:eastAsia="Times New Roman" w:hAnsi="Times New Roman" w:cs="Times New Roman"/>
                <w:b/>
                <w:color w:val="FFFFFF" w:themeColor="background1"/>
                <w:sz w:val="24"/>
                <w:lang w:eastAsia="en-GB"/>
              </w:rPr>
            </w:pPr>
            <w:r w:rsidRPr="00A754B7">
              <w:rPr>
                <w:b/>
                <w:color w:val="FFFFFF" w:themeColor="background1"/>
              </w:rPr>
              <w:t xml:space="preserve">Table </w:t>
            </w:r>
            <w:r w:rsidR="00490085">
              <w:rPr>
                <w:b/>
                <w:color w:val="FFFFFF" w:themeColor="background1"/>
              </w:rPr>
              <w:t>A6</w:t>
            </w:r>
            <w:r w:rsidR="00A754B7" w:rsidRPr="00A754B7">
              <w:rPr>
                <w:b/>
                <w:bCs/>
                <w:color w:val="FFFFFF" w:themeColor="background1"/>
              </w:rPr>
              <w:t>-</w:t>
            </w:r>
            <w:r w:rsidR="00A754B7" w:rsidRPr="00A754B7">
              <w:rPr>
                <w:b/>
                <w:bCs/>
                <w:color w:val="FFFFFF" w:themeColor="background1"/>
              </w:rPr>
              <w:fldChar w:fldCharType="begin"/>
            </w:r>
            <w:r w:rsidR="00A754B7" w:rsidRPr="00A754B7">
              <w:rPr>
                <w:b/>
                <w:bCs/>
                <w:color w:val="FFFFFF" w:themeColor="background1"/>
              </w:rPr>
              <w:instrText xml:space="preserve"> SEQ Table_A5- \* ARABIC </w:instrText>
            </w:r>
            <w:r w:rsidR="00A754B7" w:rsidRPr="00A754B7">
              <w:rPr>
                <w:b/>
                <w:bCs/>
                <w:color w:val="FFFFFF" w:themeColor="background1"/>
              </w:rPr>
              <w:fldChar w:fldCharType="separate"/>
            </w:r>
            <w:r w:rsidR="00466EF5">
              <w:rPr>
                <w:b/>
                <w:bCs/>
                <w:noProof/>
                <w:color w:val="FFFFFF" w:themeColor="background1"/>
              </w:rPr>
              <w:t>14</w:t>
            </w:r>
            <w:r w:rsidR="00A754B7" w:rsidRPr="00A754B7">
              <w:rPr>
                <w:b/>
                <w:bCs/>
                <w:color w:val="FFFFFF" w:themeColor="background1"/>
              </w:rPr>
              <w:fldChar w:fldCharType="end"/>
            </w:r>
            <w:r w:rsidR="00392FDA" w:rsidRPr="00A754B7">
              <w:rPr>
                <w:rFonts w:ascii="Calibri" w:eastAsia="Times New Roman" w:hAnsi="Calibri" w:cs="Calibri"/>
                <w:b/>
                <w:color w:val="FFFFFF" w:themeColor="background1"/>
                <w:szCs w:val="20"/>
                <w:lang w:eastAsia="en-GB"/>
              </w:rPr>
              <w:t>:  Pollution taxes </w:t>
            </w:r>
          </w:p>
        </w:tc>
      </w:tr>
      <w:tr w:rsidR="00392FDA" w:rsidRPr="00EA4C9B" w14:paraId="4FF173D6" w14:textId="77777777" w:rsidTr="004F0767">
        <w:trPr>
          <w:trHeight w:val="76"/>
        </w:trPr>
        <w:tc>
          <w:tcPr>
            <w:tcW w:w="3497" w:type="dxa"/>
            <w:tcBorders>
              <w:top w:val="single" w:sz="6" w:space="0" w:color="auto"/>
              <w:left w:val="single" w:sz="6" w:space="0" w:color="auto"/>
              <w:bottom w:val="single" w:sz="6" w:space="0" w:color="auto"/>
              <w:right w:val="single" w:sz="6" w:space="0" w:color="auto"/>
            </w:tcBorders>
            <w:hideMark/>
          </w:tcPr>
          <w:p w14:paraId="64F5C399" w14:textId="77777777" w:rsidR="00392FDA" w:rsidRPr="00466EF5" w:rsidRDefault="00392FDA" w:rsidP="00A754B7">
            <w:pPr>
              <w:pStyle w:val="Table"/>
              <w:rPr>
                <w:rFonts w:ascii="Times New Roman" w:eastAsia="Times New Roman" w:hAnsi="Times New Roman" w:cs="Times New Roman"/>
                <w:b/>
                <w:bCs/>
                <w:sz w:val="24"/>
                <w:lang w:eastAsia="en-GB"/>
              </w:rPr>
            </w:pPr>
            <w:r w:rsidRPr="00466EF5">
              <w:rPr>
                <w:rFonts w:ascii="Calibri" w:eastAsia="Times New Roman" w:hAnsi="Calibri" w:cs="Calibri"/>
                <w:b/>
                <w:bCs/>
                <w:szCs w:val="20"/>
                <w:lang w:eastAsia="en-GB"/>
              </w:rPr>
              <w:t>Tax Name </w:t>
            </w:r>
          </w:p>
        </w:tc>
        <w:tc>
          <w:tcPr>
            <w:tcW w:w="1718" w:type="dxa"/>
            <w:tcBorders>
              <w:top w:val="single" w:sz="6" w:space="0" w:color="auto"/>
              <w:left w:val="single" w:sz="6" w:space="0" w:color="auto"/>
              <w:bottom w:val="single" w:sz="6" w:space="0" w:color="auto"/>
              <w:right w:val="single" w:sz="6" w:space="0" w:color="auto"/>
            </w:tcBorders>
          </w:tcPr>
          <w:p w14:paraId="435DBC78" w14:textId="77777777" w:rsidR="00392FDA" w:rsidRPr="00466EF5" w:rsidRDefault="00392FDA" w:rsidP="00A754B7">
            <w:pPr>
              <w:pStyle w:val="Table"/>
              <w:rPr>
                <w:rFonts w:ascii="Calibri" w:eastAsia="Times New Roman" w:hAnsi="Calibri" w:cs="Calibri"/>
                <w:b/>
                <w:bCs/>
                <w:szCs w:val="20"/>
                <w:lang w:eastAsia="en-GB"/>
              </w:rPr>
            </w:pPr>
            <w:r w:rsidRPr="00466EF5">
              <w:rPr>
                <w:rFonts w:ascii="Calibri" w:eastAsia="Times New Roman" w:hAnsi="Calibri" w:cs="Calibri"/>
                <w:b/>
                <w:bCs/>
                <w:szCs w:val="20"/>
                <w:lang w:eastAsia="en-GB"/>
              </w:rPr>
              <w:t>Revenue (€ million)</w:t>
            </w:r>
          </w:p>
          <w:p w14:paraId="7E14130B" w14:textId="77777777" w:rsidR="00392FDA" w:rsidRPr="00466EF5" w:rsidRDefault="00392FDA" w:rsidP="00A754B7">
            <w:pPr>
              <w:pStyle w:val="Table"/>
              <w:rPr>
                <w:rFonts w:ascii="Calibri" w:eastAsia="Times New Roman" w:hAnsi="Calibri" w:cs="Calibri"/>
                <w:b/>
                <w:bCs/>
                <w:szCs w:val="20"/>
                <w:lang w:eastAsia="en-GB"/>
              </w:rPr>
            </w:pPr>
            <w:r w:rsidRPr="00466EF5">
              <w:rPr>
                <w:rFonts w:ascii="Calibri" w:eastAsia="Times New Roman" w:hAnsi="Calibri" w:cs="Calibri"/>
                <w:b/>
                <w:bCs/>
                <w:szCs w:val="20"/>
                <w:lang w:eastAsia="en-GB"/>
              </w:rPr>
              <w:t>2009-2023</w:t>
            </w:r>
          </w:p>
        </w:tc>
        <w:tc>
          <w:tcPr>
            <w:tcW w:w="1894" w:type="dxa"/>
            <w:tcBorders>
              <w:top w:val="single" w:sz="6" w:space="0" w:color="auto"/>
              <w:left w:val="single" w:sz="6" w:space="0" w:color="auto"/>
              <w:bottom w:val="single" w:sz="6" w:space="0" w:color="auto"/>
              <w:right w:val="single" w:sz="6" w:space="0" w:color="auto"/>
            </w:tcBorders>
            <w:hideMark/>
          </w:tcPr>
          <w:p w14:paraId="632B89D3" w14:textId="77777777" w:rsidR="00392FDA" w:rsidRPr="00466EF5" w:rsidRDefault="00392FDA" w:rsidP="00A754B7">
            <w:pPr>
              <w:pStyle w:val="Table"/>
              <w:rPr>
                <w:rFonts w:ascii="Times New Roman" w:eastAsia="Times New Roman" w:hAnsi="Times New Roman" w:cs="Times New Roman"/>
                <w:b/>
                <w:bCs/>
                <w:sz w:val="24"/>
                <w:lang w:eastAsia="en-GB"/>
              </w:rPr>
            </w:pPr>
            <w:r w:rsidRPr="00466EF5">
              <w:rPr>
                <w:rFonts w:ascii="Calibri" w:eastAsia="Times New Roman" w:hAnsi="Calibri" w:cs="Calibri"/>
                <w:b/>
                <w:bCs/>
                <w:szCs w:val="20"/>
                <w:lang w:eastAsia="en-GB"/>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18535506" w14:textId="77777777" w:rsidR="00392FDA" w:rsidRPr="00466EF5" w:rsidRDefault="00392FDA" w:rsidP="00A754B7">
            <w:pPr>
              <w:pStyle w:val="Table"/>
              <w:rPr>
                <w:rFonts w:ascii="Times New Roman" w:eastAsia="Times New Roman" w:hAnsi="Times New Roman" w:cs="Times New Roman"/>
                <w:b/>
                <w:bCs/>
                <w:sz w:val="24"/>
                <w:lang w:eastAsia="en-GB"/>
              </w:rPr>
            </w:pPr>
            <w:r w:rsidRPr="00466EF5">
              <w:rPr>
                <w:rFonts w:ascii="Calibri" w:eastAsia="Times New Roman" w:hAnsi="Calibri" w:cs="Calibri"/>
                <w:b/>
                <w:bCs/>
                <w:szCs w:val="20"/>
                <w:lang w:eastAsia="en-GB"/>
              </w:rPr>
              <w:t>As share of all pollution tax revenues</w:t>
            </w:r>
          </w:p>
        </w:tc>
      </w:tr>
      <w:tr w:rsidR="00392FDA" w:rsidRPr="00EA4C9B" w14:paraId="7FD6F9EB"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hideMark/>
          </w:tcPr>
          <w:p w14:paraId="7CF5BC78" w14:textId="77777777" w:rsidR="00392FDA" w:rsidRPr="00EA4C9B" w:rsidRDefault="00392FDA" w:rsidP="00A754B7">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Clean Air Act fees </w:t>
            </w:r>
          </w:p>
        </w:tc>
        <w:tc>
          <w:tcPr>
            <w:tcW w:w="1718" w:type="dxa"/>
            <w:tcBorders>
              <w:top w:val="single" w:sz="6" w:space="0" w:color="auto"/>
              <w:left w:val="single" w:sz="6" w:space="0" w:color="auto"/>
              <w:bottom w:val="single" w:sz="6" w:space="0" w:color="auto"/>
              <w:right w:val="single" w:sz="6" w:space="0" w:color="auto"/>
            </w:tcBorders>
          </w:tcPr>
          <w:p w14:paraId="7A4C3EBA" w14:textId="77777777" w:rsidR="00392FDA" w:rsidRPr="00EA4C9B" w:rsidRDefault="00392FDA" w:rsidP="00A754B7">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€2.5 – N.A.</w:t>
            </w:r>
          </w:p>
        </w:tc>
        <w:tc>
          <w:tcPr>
            <w:tcW w:w="1894" w:type="dxa"/>
            <w:tcBorders>
              <w:top w:val="single" w:sz="6" w:space="0" w:color="auto"/>
              <w:left w:val="single" w:sz="6" w:space="0" w:color="auto"/>
              <w:bottom w:val="single" w:sz="6" w:space="0" w:color="auto"/>
              <w:right w:val="single" w:sz="6" w:space="0" w:color="auto"/>
            </w:tcBorders>
            <w:hideMark/>
          </w:tcPr>
          <w:p w14:paraId="5A0F5E6E" w14:textId="77777777" w:rsidR="00392FDA" w:rsidRPr="00EA4C9B" w:rsidRDefault="00392FDA" w:rsidP="00A754B7">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€0.8</w:t>
            </w:r>
          </w:p>
        </w:tc>
        <w:tc>
          <w:tcPr>
            <w:tcW w:w="1901" w:type="dxa"/>
            <w:tcBorders>
              <w:top w:val="single" w:sz="6" w:space="0" w:color="auto"/>
              <w:left w:val="single" w:sz="6" w:space="0" w:color="auto"/>
              <w:bottom w:val="single" w:sz="6" w:space="0" w:color="auto"/>
              <w:right w:val="single" w:sz="6" w:space="0" w:color="auto"/>
            </w:tcBorders>
            <w:hideMark/>
          </w:tcPr>
          <w:p w14:paraId="1AA67B5A" w14:textId="77777777" w:rsidR="00392FDA" w:rsidRPr="00EA4C9B" w:rsidRDefault="00392FDA" w:rsidP="00A754B7">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100%</w:t>
            </w:r>
          </w:p>
        </w:tc>
      </w:tr>
      <w:tr w:rsidR="00392FDA" w:rsidRPr="00EA4C9B" w14:paraId="4745C84D" w14:textId="77777777" w:rsidTr="004F0767">
        <w:trPr>
          <w:trHeight w:val="90"/>
        </w:trPr>
        <w:tc>
          <w:tcPr>
            <w:tcW w:w="3497" w:type="dxa"/>
            <w:tcBorders>
              <w:top w:val="single" w:sz="6" w:space="0" w:color="auto"/>
              <w:left w:val="single" w:sz="6" w:space="0" w:color="auto"/>
              <w:bottom w:val="single" w:sz="6" w:space="0" w:color="auto"/>
              <w:right w:val="single" w:sz="6" w:space="0" w:color="auto"/>
            </w:tcBorders>
            <w:hideMark/>
          </w:tcPr>
          <w:p w14:paraId="753E9E7C" w14:textId="77777777" w:rsidR="00392FDA" w:rsidRPr="00EA4C9B" w:rsidRDefault="00392FDA" w:rsidP="00A754B7">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Taxes on pollution</w:t>
            </w:r>
          </w:p>
        </w:tc>
        <w:tc>
          <w:tcPr>
            <w:tcW w:w="1718" w:type="dxa"/>
            <w:tcBorders>
              <w:top w:val="single" w:sz="6" w:space="0" w:color="auto"/>
              <w:left w:val="single" w:sz="6" w:space="0" w:color="auto"/>
              <w:bottom w:val="single" w:sz="6" w:space="0" w:color="auto"/>
              <w:right w:val="single" w:sz="6" w:space="0" w:color="auto"/>
            </w:tcBorders>
          </w:tcPr>
          <w:p w14:paraId="7E52ED75" w14:textId="77777777" w:rsidR="00392FDA" w:rsidRPr="00EA4C9B" w:rsidRDefault="00392FDA" w:rsidP="00A754B7">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N.A.</w:t>
            </w:r>
          </w:p>
        </w:tc>
        <w:tc>
          <w:tcPr>
            <w:tcW w:w="1894" w:type="dxa"/>
            <w:tcBorders>
              <w:top w:val="single" w:sz="6" w:space="0" w:color="auto"/>
              <w:left w:val="single" w:sz="6" w:space="0" w:color="auto"/>
              <w:bottom w:val="single" w:sz="6" w:space="0" w:color="auto"/>
              <w:right w:val="single" w:sz="6" w:space="0" w:color="auto"/>
            </w:tcBorders>
            <w:hideMark/>
          </w:tcPr>
          <w:p w14:paraId="4E6CAFCB" w14:textId="77777777" w:rsidR="00392FDA" w:rsidRPr="00EA4C9B" w:rsidRDefault="00392FDA" w:rsidP="00A754B7">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N.A.</w:t>
            </w:r>
          </w:p>
        </w:tc>
        <w:tc>
          <w:tcPr>
            <w:tcW w:w="1901" w:type="dxa"/>
            <w:tcBorders>
              <w:top w:val="single" w:sz="6" w:space="0" w:color="auto"/>
              <w:left w:val="single" w:sz="6" w:space="0" w:color="auto"/>
              <w:bottom w:val="single" w:sz="6" w:space="0" w:color="auto"/>
              <w:right w:val="single" w:sz="6" w:space="0" w:color="auto"/>
            </w:tcBorders>
            <w:hideMark/>
          </w:tcPr>
          <w:p w14:paraId="3AA0D630" w14:textId="77777777" w:rsidR="00392FDA" w:rsidRPr="00EA4C9B" w:rsidRDefault="00392FDA" w:rsidP="00A754B7">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N.A.</w:t>
            </w:r>
          </w:p>
        </w:tc>
      </w:tr>
      <w:tr w:rsidR="00466EF5" w:rsidRPr="00EA4C9B" w14:paraId="7E33D730" w14:textId="77777777" w:rsidTr="000878F6">
        <w:trPr>
          <w:trHeight w:val="90"/>
        </w:trPr>
        <w:tc>
          <w:tcPr>
            <w:tcW w:w="9010" w:type="dxa"/>
            <w:gridSpan w:val="4"/>
            <w:tcBorders>
              <w:top w:val="single" w:sz="6" w:space="0" w:color="auto"/>
              <w:left w:val="single" w:sz="6" w:space="0" w:color="auto"/>
              <w:bottom w:val="single" w:sz="6" w:space="0" w:color="auto"/>
              <w:right w:val="single" w:sz="6" w:space="0" w:color="auto"/>
            </w:tcBorders>
          </w:tcPr>
          <w:p w14:paraId="2A619F95" w14:textId="6C3C336F" w:rsidR="00466EF5" w:rsidRPr="00EA4C9B" w:rsidRDefault="00466EF5" w:rsidP="00A754B7">
            <w:pPr>
              <w:pStyle w:val="Table"/>
              <w:rPr>
                <w:rFonts w:ascii="Calibri" w:eastAsia="Times New Roman" w:hAnsi="Calibri" w:cs="Calibri"/>
                <w:szCs w:val="20"/>
                <w:lang w:eastAsia="en-GB"/>
              </w:rPr>
            </w:pPr>
            <w:r w:rsidRPr="00466EF5">
              <w:rPr>
                <w:rFonts w:ascii="Calibri" w:eastAsia="Times New Roman" w:hAnsi="Calibri" w:cs="Calibri"/>
                <w:szCs w:val="20"/>
                <w:lang w:eastAsia="en-GB"/>
              </w:rPr>
              <w:t>Note: N.A. = Data not available</w:t>
            </w:r>
          </w:p>
        </w:tc>
      </w:tr>
    </w:tbl>
    <w:p w14:paraId="507454E8" w14:textId="77777777" w:rsidR="0053077C" w:rsidRPr="0053077C" w:rsidRDefault="0053077C" w:rsidP="0053077C"/>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392FDA" w:rsidRPr="00EA4C9B" w14:paraId="4E6E8F5A" w14:textId="77777777" w:rsidTr="004F0767">
        <w:trPr>
          <w:trHeight w:val="49"/>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469EA00B" w14:textId="030382F7" w:rsidR="00392FDA" w:rsidRPr="0053077C" w:rsidRDefault="00D226F3" w:rsidP="00826EE6">
            <w:pPr>
              <w:pStyle w:val="Table"/>
              <w:rPr>
                <w:b/>
              </w:rPr>
            </w:pPr>
            <w:r w:rsidRPr="0053077C">
              <w:rPr>
                <w:b/>
                <w:color w:val="FFFFFF" w:themeColor="background1"/>
              </w:rPr>
              <w:t xml:space="preserve">Table </w:t>
            </w:r>
            <w:r w:rsidR="00490085">
              <w:rPr>
                <w:b/>
                <w:color w:val="FFFFFF" w:themeColor="background1"/>
              </w:rPr>
              <w:t>A6</w:t>
            </w:r>
            <w:r w:rsidR="00826EE6" w:rsidRPr="0053077C">
              <w:rPr>
                <w:b/>
                <w:color w:val="FFFFFF" w:themeColor="background1"/>
              </w:rPr>
              <w:t>-</w:t>
            </w:r>
            <w:r w:rsidR="00826EE6" w:rsidRPr="0053077C">
              <w:rPr>
                <w:b/>
                <w:color w:val="FFFFFF" w:themeColor="background1"/>
              </w:rPr>
              <w:fldChar w:fldCharType="begin"/>
            </w:r>
            <w:r w:rsidR="00826EE6" w:rsidRPr="0053077C">
              <w:rPr>
                <w:b/>
                <w:color w:val="FFFFFF" w:themeColor="background1"/>
              </w:rPr>
              <w:instrText xml:space="preserve"> SEQ Table_A5- \* ARABIC </w:instrText>
            </w:r>
            <w:r w:rsidR="00826EE6" w:rsidRPr="0053077C">
              <w:rPr>
                <w:b/>
                <w:color w:val="FFFFFF" w:themeColor="background1"/>
              </w:rPr>
              <w:fldChar w:fldCharType="separate"/>
            </w:r>
            <w:r w:rsidR="00466EF5">
              <w:rPr>
                <w:b/>
                <w:noProof/>
                <w:color w:val="FFFFFF" w:themeColor="background1"/>
              </w:rPr>
              <w:t>15</w:t>
            </w:r>
            <w:r w:rsidR="00826EE6" w:rsidRPr="0053077C">
              <w:rPr>
                <w:b/>
                <w:color w:val="FFFFFF" w:themeColor="background1"/>
              </w:rPr>
              <w:fldChar w:fldCharType="end"/>
            </w:r>
            <w:r w:rsidR="00392FDA" w:rsidRPr="0053077C">
              <w:rPr>
                <w:b/>
                <w:color w:val="FFFFFF" w:themeColor="background1"/>
              </w:rPr>
              <w:t>:  Waste taxes </w:t>
            </w:r>
          </w:p>
        </w:tc>
      </w:tr>
      <w:tr w:rsidR="00392FDA" w:rsidRPr="00EA4C9B" w14:paraId="41485EAC" w14:textId="77777777" w:rsidTr="004F0767">
        <w:trPr>
          <w:trHeight w:val="76"/>
        </w:trPr>
        <w:tc>
          <w:tcPr>
            <w:tcW w:w="3497" w:type="dxa"/>
            <w:tcBorders>
              <w:top w:val="single" w:sz="6" w:space="0" w:color="auto"/>
              <w:left w:val="single" w:sz="6" w:space="0" w:color="auto"/>
              <w:bottom w:val="single" w:sz="6" w:space="0" w:color="auto"/>
              <w:right w:val="single" w:sz="6" w:space="0" w:color="auto"/>
            </w:tcBorders>
            <w:hideMark/>
          </w:tcPr>
          <w:p w14:paraId="027E42DF" w14:textId="77777777" w:rsidR="00392FDA" w:rsidRPr="00466EF5" w:rsidRDefault="00392FDA" w:rsidP="00826EE6">
            <w:pPr>
              <w:pStyle w:val="Table"/>
              <w:rPr>
                <w:b/>
                <w:bCs/>
              </w:rPr>
            </w:pPr>
            <w:r w:rsidRPr="00466EF5">
              <w:rPr>
                <w:b/>
                <w:bCs/>
              </w:rPr>
              <w:t>Tax Name </w:t>
            </w:r>
          </w:p>
        </w:tc>
        <w:tc>
          <w:tcPr>
            <w:tcW w:w="1718" w:type="dxa"/>
            <w:tcBorders>
              <w:top w:val="single" w:sz="6" w:space="0" w:color="auto"/>
              <w:left w:val="single" w:sz="6" w:space="0" w:color="auto"/>
              <w:bottom w:val="single" w:sz="6" w:space="0" w:color="auto"/>
              <w:right w:val="single" w:sz="6" w:space="0" w:color="auto"/>
            </w:tcBorders>
          </w:tcPr>
          <w:p w14:paraId="40D809F4" w14:textId="77777777" w:rsidR="00392FDA" w:rsidRPr="00466EF5" w:rsidRDefault="00392FDA" w:rsidP="00826EE6">
            <w:pPr>
              <w:pStyle w:val="Table"/>
              <w:rPr>
                <w:b/>
                <w:bCs/>
              </w:rPr>
            </w:pPr>
            <w:r w:rsidRPr="00466EF5">
              <w:rPr>
                <w:b/>
                <w:bCs/>
              </w:rPr>
              <w:t>Revenue (€ million)</w:t>
            </w:r>
          </w:p>
          <w:p w14:paraId="3B029E2D" w14:textId="77777777" w:rsidR="00392FDA" w:rsidRPr="00466EF5" w:rsidRDefault="00392FDA" w:rsidP="00826EE6">
            <w:pPr>
              <w:pStyle w:val="Table"/>
              <w:rPr>
                <w:b/>
                <w:bCs/>
              </w:rPr>
            </w:pPr>
            <w:r w:rsidRPr="00466EF5">
              <w:rPr>
                <w:b/>
                <w:bCs/>
              </w:rPr>
              <w:t>2009-2023</w:t>
            </w:r>
          </w:p>
        </w:tc>
        <w:tc>
          <w:tcPr>
            <w:tcW w:w="1894" w:type="dxa"/>
            <w:tcBorders>
              <w:top w:val="single" w:sz="6" w:space="0" w:color="auto"/>
              <w:left w:val="single" w:sz="6" w:space="0" w:color="auto"/>
              <w:bottom w:val="single" w:sz="6" w:space="0" w:color="auto"/>
              <w:right w:val="single" w:sz="6" w:space="0" w:color="auto"/>
            </w:tcBorders>
            <w:hideMark/>
          </w:tcPr>
          <w:p w14:paraId="6E7AE83B" w14:textId="77777777" w:rsidR="00392FDA" w:rsidRPr="00466EF5" w:rsidRDefault="00392FDA" w:rsidP="00826EE6">
            <w:pPr>
              <w:pStyle w:val="Table"/>
              <w:rPr>
                <w:b/>
                <w:bCs/>
              </w:rPr>
            </w:pPr>
            <w:r w:rsidRPr="00466EF5">
              <w:rPr>
                <w:b/>
                <w:bCs/>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7C2C0F00" w14:textId="77777777" w:rsidR="00392FDA" w:rsidRPr="00466EF5" w:rsidRDefault="00392FDA" w:rsidP="00826EE6">
            <w:pPr>
              <w:pStyle w:val="Table"/>
              <w:rPr>
                <w:b/>
                <w:bCs/>
              </w:rPr>
            </w:pPr>
            <w:r w:rsidRPr="00466EF5">
              <w:rPr>
                <w:b/>
                <w:bCs/>
              </w:rPr>
              <w:t>As share of all waste tax revenues</w:t>
            </w:r>
          </w:p>
        </w:tc>
      </w:tr>
      <w:tr w:rsidR="00392FDA" w:rsidRPr="00EA4C9B" w14:paraId="0C8E0727"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hideMark/>
          </w:tcPr>
          <w:p w14:paraId="1064C713" w14:textId="77777777" w:rsidR="00392FDA" w:rsidRPr="0053077C" w:rsidRDefault="00392FDA" w:rsidP="00826EE6">
            <w:pPr>
              <w:pStyle w:val="Table"/>
            </w:pPr>
            <w:r w:rsidRPr="0053077C">
              <w:t>Waste Management Act fees</w:t>
            </w:r>
          </w:p>
        </w:tc>
        <w:tc>
          <w:tcPr>
            <w:tcW w:w="1718" w:type="dxa"/>
            <w:tcBorders>
              <w:top w:val="single" w:sz="6" w:space="0" w:color="auto"/>
              <w:left w:val="single" w:sz="6" w:space="0" w:color="auto"/>
              <w:bottom w:val="single" w:sz="6" w:space="0" w:color="auto"/>
              <w:right w:val="single" w:sz="6" w:space="0" w:color="auto"/>
            </w:tcBorders>
          </w:tcPr>
          <w:p w14:paraId="0535EE89" w14:textId="77777777" w:rsidR="00392FDA" w:rsidRPr="0053077C" w:rsidRDefault="00392FDA" w:rsidP="00826EE6">
            <w:pPr>
              <w:pStyle w:val="Table"/>
            </w:pPr>
            <w:r w:rsidRPr="0053077C">
              <w:t>€6.9 – €2.2</w:t>
            </w:r>
          </w:p>
        </w:tc>
        <w:tc>
          <w:tcPr>
            <w:tcW w:w="1894" w:type="dxa"/>
            <w:tcBorders>
              <w:top w:val="single" w:sz="6" w:space="0" w:color="auto"/>
              <w:left w:val="single" w:sz="6" w:space="0" w:color="auto"/>
              <w:bottom w:val="single" w:sz="6" w:space="0" w:color="auto"/>
              <w:right w:val="single" w:sz="6" w:space="0" w:color="auto"/>
            </w:tcBorders>
            <w:hideMark/>
          </w:tcPr>
          <w:p w14:paraId="010CADF4" w14:textId="77777777" w:rsidR="00392FDA" w:rsidRPr="0053077C" w:rsidRDefault="00392FDA" w:rsidP="00826EE6">
            <w:pPr>
              <w:pStyle w:val="Table"/>
            </w:pPr>
            <w:r w:rsidRPr="0053077C">
              <w:t>€2.3</w:t>
            </w:r>
          </w:p>
        </w:tc>
        <w:tc>
          <w:tcPr>
            <w:tcW w:w="1901" w:type="dxa"/>
            <w:tcBorders>
              <w:top w:val="single" w:sz="6" w:space="0" w:color="auto"/>
              <w:left w:val="single" w:sz="6" w:space="0" w:color="auto"/>
              <w:bottom w:val="single" w:sz="6" w:space="0" w:color="auto"/>
              <w:right w:val="single" w:sz="6" w:space="0" w:color="auto"/>
            </w:tcBorders>
            <w:hideMark/>
          </w:tcPr>
          <w:p w14:paraId="5E7A153F" w14:textId="77777777" w:rsidR="00392FDA" w:rsidRPr="0053077C" w:rsidRDefault="00392FDA" w:rsidP="00826EE6">
            <w:pPr>
              <w:pStyle w:val="Table"/>
            </w:pPr>
            <w:r w:rsidRPr="0053077C">
              <w:t>100%</w:t>
            </w:r>
          </w:p>
        </w:tc>
      </w:tr>
      <w:tr w:rsidR="00466EF5" w:rsidRPr="00EA4C9B" w14:paraId="634A8515" w14:textId="77777777" w:rsidTr="000878F6">
        <w:trPr>
          <w:trHeight w:val="49"/>
        </w:trPr>
        <w:tc>
          <w:tcPr>
            <w:tcW w:w="9010" w:type="dxa"/>
            <w:gridSpan w:val="4"/>
            <w:tcBorders>
              <w:top w:val="single" w:sz="6" w:space="0" w:color="auto"/>
              <w:left w:val="single" w:sz="6" w:space="0" w:color="auto"/>
              <w:bottom w:val="single" w:sz="6" w:space="0" w:color="auto"/>
              <w:right w:val="single" w:sz="6" w:space="0" w:color="auto"/>
            </w:tcBorders>
          </w:tcPr>
          <w:p w14:paraId="03620AF2" w14:textId="24A01839" w:rsidR="00466EF5" w:rsidRPr="0053077C" w:rsidRDefault="00466EF5" w:rsidP="00826EE6">
            <w:pPr>
              <w:pStyle w:val="Table"/>
            </w:pPr>
            <w:r w:rsidRPr="00466EF5">
              <w:t>Note: N.A. = Data not available</w:t>
            </w:r>
          </w:p>
        </w:tc>
      </w:tr>
    </w:tbl>
    <w:p w14:paraId="72A02484" w14:textId="417BE6C7" w:rsidR="00A27EC2" w:rsidRDefault="00A27EC2" w:rsidP="00A27EC2">
      <w:pPr>
        <w:pStyle w:val="Caption"/>
      </w:pPr>
    </w:p>
    <w:p w14:paraId="7423B4F4" w14:textId="18E1FA17" w:rsidR="00D63721" w:rsidRDefault="00D541AE" w:rsidP="00D541AE">
      <w:pPr>
        <w:pStyle w:val="Caption"/>
        <w:jc w:val="both"/>
      </w:pPr>
      <w:r>
        <w:br w:type="page"/>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00"/>
        <w:gridCol w:w="1717"/>
        <w:gridCol w:w="1893"/>
        <w:gridCol w:w="1900"/>
      </w:tblGrid>
      <w:tr w:rsidR="00392FDA" w:rsidRPr="00EA4C9B" w14:paraId="169A19B8" w14:textId="77777777" w:rsidTr="004F0767">
        <w:trPr>
          <w:trHeight w:val="133"/>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2474241C" w14:textId="503D0D99" w:rsidR="00392FDA" w:rsidRPr="00A27EC2" w:rsidRDefault="00D63721" w:rsidP="000F405A">
            <w:pPr>
              <w:pStyle w:val="Table"/>
              <w:rPr>
                <w:b/>
                <w:color w:val="FFFFFF" w:themeColor="background1"/>
              </w:rPr>
            </w:pPr>
            <w:r w:rsidRPr="00D63721">
              <w:rPr>
                <w:b/>
                <w:bCs/>
                <w:color w:val="FFFFFF" w:themeColor="background1"/>
              </w:rPr>
              <w:lastRenderedPageBreak/>
              <w:t xml:space="preserve">Table </w:t>
            </w:r>
            <w:r w:rsidR="00490085">
              <w:rPr>
                <w:b/>
                <w:bCs/>
                <w:color w:val="FFFFFF" w:themeColor="background1"/>
              </w:rPr>
              <w:t>A6</w:t>
            </w:r>
            <w:r w:rsidRPr="00D63721">
              <w:rPr>
                <w:b/>
                <w:bCs/>
                <w:color w:val="FFFFFF" w:themeColor="background1"/>
              </w:rPr>
              <w:t>-</w:t>
            </w:r>
            <w:r w:rsidRPr="00D63721">
              <w:rPr>
                <w:b/>
                <w:bCs/>
                <w:color w:val="FFFFFF" w:themeColor="background1"/>
              </w:rPr>
              <w:fldChar w:fldCharType="begin"/>
            </w:r>
            <w:r w:rsidRPr="00D63721">
              <w:rPr>
                <w:b/>
                <w:bCs/>
                <w:color w:val="FFFFFF" w:themeColor="background1"/>
              </w:rPr>
              <w:instrText xml:space="preserve"> SEQ Table_A5- \* ARABIC </w:instrText>
            </w:r>
            <w:r w:rsidRPr="00D63721">
              <w:rPr>
                <w:b/>
                <w:bCs/>
                <w:color w:val="FFFFFF" w:themeColor="background1"/>
              </w:rPr>
              <w:fldChar w:fldCharType="separate"/>
            </w:r>
            <w:r w:rsidR="00466EF5">
              <w:rPr>
                <w:b/>
                <w:bCs/>
                <w:noProof/>
                <w:color w:val="FFFFFF" w:themeColor="background1"/>
              </w:rPr>
              <w:t>16</w:t>
            </w:r>
            <w:r w:rsidRPr="00D63721">
              <w:rPr>
                <w:b/>
                <w:bCs/>
                <w:color w:val="FFFFFF" w:themeColor="background1"/>
              </w:rPr>
              <w:fldChar w:fldCharType="end"/>
            </w:r>
            <w:r w:rsidR="00392FDA" w:rsidRPr="00D63721">
              <w:rPr>
                <w:b/>
                <w:bCs/>
                <w:color w:val="FFFFFF" w:themeColor="background1"/>
              </w:rPr>
              <w:t>:</w:t>
            </w:r>
            <w:r w:rsidR="00392FDA" w:rsidRPr="00A27EC2">
              <w:rPr>
                <w:b/>
                <w:color w:val="FFFFFF" w:themeColor="background1"/>
              </w:rPr>
              <w:t>  Resource taxes </w:t>
            </w:r>
          </w:p>
        </w:tc>
      </w:tr>
      <w:tr w:rsidR="00392FDA" w:rsidRPr="00EA4C9B" w14:paraId="3DA28B91" w14:textId="77777777" w:rsidTr="004F0767">
        <w:trPr>
          <w:trHeight w:val="49"/>
        </w:trPr>
        <w:tc>
          <w:tcPr>
            <w:tcW w:w="3500" w:type="dxa"/>
            <w:tcBorders>
              <w:top w:val="single" w:sz="6" w:space="0" w:color="auto"/>
              <w:left w:val="single" w:sz="6" w:space="0" w:color="auto"/>
              <w:bottom w:val="single" w:sz="6" w:space="0" w:color="auto"/>
              <w:right w:val="single" w:sz="6" w:space="0" w:color="auto"/>
            </w:tcBorders>
            <w:hideMark/>
          </w:tcPr>
          <w:p w14:paraId="30D96FA0" w14:textId="77777777" w:rsidR="00392FDA" w:rsidRPr="00466EF5" w:rsidRDefault="00392FDA" w:rsidP="000F405A">
            <w:pPr>
              <w:pStyle w:val="Table"/>
              <w:rPr>
                <w:b/>
                <w:bCs/>
              </w:rPr>
            </w:pPr>
            <w:r w:rsidRPr="00466EF5">
              <w:rPr>
                <w:b/>
                <w:bCs/>
              </w:rPr>
              <w:t>Tax Name </w:t>
            </w:r>
          </w:p>
        </w:tc>
        <w:tc>
          <w:tcPr>
            <w:tcW w:w="1717" w:type="dxa"/>
            <w:tcBorders>
              <w:top w:val="single" w:sz="6" w:space="0" w:color="auto"/>
              <w:left w:val="single" w:sz="6" w:space="0" w:color="auto"/>
              <w:bottom w:val="single" w:sz="6" w:space="0" w:color="auto"/>
              <w:right w:val="single" w:sz="6" w:space="0" w:color="auto"/>
            </w:tcBorders>
          </w:tcPr>
          <w:p w14:paraId="209C276A" w14:textId="77777777" w:rsidR="00392FDA" w:rsidRPr="00466EF5" w:rsidRDefault="00392FDA" w:rsidP="000F405A">
            <w:pPr>
              <w:pStyle w:val="Table"/>
              <w:rPr>
                <w:b/>
                <w:bCs/>
              </w:rPr>
            </w:pPr>
            <w:r w:rsidRPr="00466EF5">
              <w:rPr>
                <w:b/>
                <w:bCs/>
              </w:rPr>
              <w:t>Revenue (€ million)</w:t>
            </w:r>
          </w:p>
          <w:p w14:paraId="21A0E2A1" w14:textId="77777777" w:rsidR="00392FDA" w:rsidRPr="00466EF5" w:rsidRDefault="00392FDA" w:rsidP="000F405A">
            <w:pPr>
              <w:pStyle w:val="Table"/>
              <w:rPr>
                <w:b/>
                <w:bCs/>
              </w:rPr>
            </w:pPr>
            <w:r w:rsidRPr="00466EF5">
              <w:rPr>
                <w:b/>
                <w:bCs/>
              </w:rPr>
              <w:t>2009-2023</w:t>
            </w:r>
          </w:p>
        </w:tc>
        <w:tc>
          <w:tcPr>
            <w:tcW w:w="1893" w:type="dxa"/>
            <w:tcBorders>
              <w:top w:val="single" w:sz="6" w:space="0" w:color="auto"/>
              <w:left w:val="single" w:sz="6" w:space="0" w:color="auto"/>
              <w:bottom w:val="single" w:sz="6" w:space="0" w:color="auto"/>
              <w:right w:val="single" w:sz="6" w:space="0" w:color="auto"/>
            </w:tcBorders>
            <w:hideMark/>
          </w:tcPr>
          <w:p w14:paraId="3422FB27" w14:textId="77777777" w:rsidR="00392FDA" w:rsidRPr="00466EF5" w:rsidRDefault="00392FDA" w:rsidP="000F405A">
            <w:pPr>
              <w:pStyle w:val="Table"/>
              <w:rPr>
                <w:b/>
                <w:bCs/>
              </w:rPr>
            </w:pPr>
            <w:r w:rsidRPr="00466EF5">
              <w:rPr>
                <w:b/>
                <w:bCs/>
              </w:rPr>
              <w:t>Average annual revenue (€ million)</w:t>
            </w:r>
          </w:p>
        </w:tc>
        <w:tc>
          <w:tcPr>
            <w:tcW w:w="1900" w:type="dxa"/>
            <w:tcBorders>
              <w:top w:val="single" w:sz="6" w:space="0" w:color="auto"/>
              <w:left w:val="single" w:sz="6" w:space="0" w:color="auto"/>
              <w:bottom w:val="single" w:sz="6" w:space="0" w:color="auto"/>
              <w:right w:val="single" w:sz="6" w:space="0" w:color="auto"/>
            </w:tcBorders>
            <w:hideMark/>
          </w:tcPr>
          <w:p w14:paraId="3D09D7A4" w14:textId="77777777" w:rsidR="00392FDA" w:rsidRPr="00466EF5" w:rsidRDefault="00392FDA" w:rsidP="000F405A">
            <w:pPr>
              <w:pStyle w:val="Table"/>
              <w:rPr>
                <w:b/>
                <w:bCs/>
              </w:rPr>
            </w:pPr>
            <w:r w:rsidRPr="00466EF5">
              <w:rPr>
                <w:b/>
                <w:bCs/>
              </w:rPr>
              <w:t>As share of all resource tax revenues</w:t>
            </w:r>
          </w:p>
        </w:tc>
      </w:tr>
      <w:tr w:rsidR="00392FDA" w:rsidRPr="00EA4C9B" w14:paraId="0D83CE23" w14:textId="77777777" w:rsidTr="004F0767">
        <w:trPr>
          <w:trHeight w:val="104"/>
        </w:trPr>
        <w:tc>
          <w:tcPr>
            <w:tcW w:w="3500" w:type="dxa"/>
            <w:tcBorders>
              <w:top w:val="single" w:sz="6" w:space="0" w:color="auto"/>
              <w:left w:val="single" w:sz="6" w:space="0" w:color="auto"/>
              <w:bottom w:val="single" w:sz="6" w:space="0" w:color="auto"/>
              <w:right w:val="single" w:sz="6" w:space="0" w:color="auto"/>
            </w:tcBorders>
            <w:hideMark/>
          </w:tcPr>
          <w:p w14:paraId="1FD0FD1D" w14:textId="77777777" w:rsidR="00392FDA" w:rsidRPr="00A27EC2" w:rsidRDefault="00392FDA" w:rsidP="000F405A">
            <w:pPr>
              <w:pStyle w:val="Table"/>
            </w:pPr>
            <w:r w:rsidRPr="00A27EC2">
              <w:t>Municipal taxes on extraction of quarry materials - Local Taxes and Fees Act</w:t>
            </w:r>
          </w:p>
        </w:tc>
        <w:tc>
          <w:tcPr>
            <w:tcW w:w="1717" w:type="dxa"/>
            <w:tcBorders>
              <w:top w:val="single" w:sz="6" w:space="0" w:color="auto"/>
              <w:left w:val="single" w:sz="6" w:space="0" w:color="auto"/>
              <w:bottom w:val="single" w:sz="6" w:space="0" w:color="auto"/>
              <w:right w:val="single" w:sz="6" w:space="0" w:color="auto"/>
            </w:tcBorders>
            <w:vAlign w:val="center"/>
          </w:tcPr>
          <w:p w14:paraId="2F8B074B" w14:textId="77777777" w:rsidR="00392FDA" w:rsidRPr="00A27EC2" w:rsidRDefault="00392FDA" w:rsidP="000F405A">
            <w:pPr>
              <w:pStyle w:val="Table"/>
            </w:pPr>
            <w:r w:rsidRPr="00A27EC2">
              <w:t>N.A.</w:t>
            </w:r>
          </w:p>
        </w:tc>
        <w:tc>
          <w:tcPr>
            <w:tcW w:w="1893" w:type="dxa"/>
            <w:tcBorders>
              <w:top w:val="single" w:sz="6" w:space="0" w:color="auto"/>
              <w:left w:val="single" w:sz="6" w:space="0" w:color="auto"/>
              <w:bottom w:val="single" w:sz="6" w:space="0" w:color="auto"/>
              <w:right w:val="single" w:sz="6" w:space="0" w:color="auto"/>
            </w:tcBorders>
            <w:vAlign w:val="center"/>
            <w:hideMark/>
          </w:tcPr>
          <w:p w14:paraId="03A3A636" w14:textId="77777777" w:rsidR="00392FDA" w:rsidRPr="00A27EC2" w:rsidRDefault="00392FDA" w:rsidP="000F405A">
            <w:pPr>
              <w:pStyle w:val="Table"/>
            </w:pPr>
            <w:r w:rsidRPr="00A27EC2">
              <w:t>N.A.</w:t>
            </w:r>
          </w:p>
        </w:tc>
        <w:tc>
          <w:tcPr>
            <w:tcW w:w="1900" w:type="dxa"/>
            <w:tcBorders>
              <w:top w:val="single" w:sz="6" w:space="0" w:color="auto"/>
              <w:left w:val="single" w:sz="6" w:space="0" w:color="auto"/>
              <w:bottom w:val="single" w:sz="6" w:space="0" w:color="auto"/>
              <w:right w:val="single" w:sz="6" w:space="0" w:color="auto"/>
            </w:tcBorders>
            <w:vAlign w:val="center"/>
            <w:hideMark/>
          </w:tcPr>
          <w:p w14:paraId="382C108D" w14:textId="77777777" w:rsidR="00392FDA" w:rsidRPr="00A27EC2" w:rsidRDefault="00392FDA" w:rsidP="000F405A">
            <w:pPr>
              <w:pStyle w:val="Table"/>
            </w:pPr>
            <w:r w:rsidRPr="00A27EC2">
              <w:t>N.A.</w:t>
            </w:r>
          </w:p>
        </w:tc>
      </w:tr>
      <w:tr w:rsidR="00392FDA" w:rsidRPr="00EA4C9B" w14:paraId="56BF69FB" w14:textId="77777777" w:rsidTr="004F0767">
        <w:trPr>
          <w:trHeight w:val="76"/>
        </w:trPr>
        <w:tc>
          <w:tcPr>
            <w:tcW w:w="3500" w:type="dxa"/>
            <w:tcBorders>
              <w:top w:val="single" w:sz="6" w:space="0" w:color="auto"/>
              <w:left w:val="single" w:sz="6" w:space="0" w:color="auto"/>
              <w:bottom w:val="single" w:sz="6" w:space="0" w:color="auto"/>
              <w:right w:val="single" w:sz="6" w:space="0" w:color="auto"/>
            </w:tcBorders>
            <w:hideMark/>
          </w:tcPr>
          <w:p w14:paraId="1487D12F" w14:textId="77777777" w:rsidR="00392FDA" w:rsidRPr="00A27EC2" w:rsidRDefault="00392FDA" w:rsidP="000F405A">
            <w:pPr>
              <w:pStyle w:val="Table"/>
            </w:pPr>
            <w:r w:rsidRPr="00A27EC2">
              <w:t>Fees for commercial fishing</w:t>
            </w:r>
          </w:p>
        </w:tc>
        <w:tc>
          <w:tcPr>
            <w:tcW w:w="1717" w:type="dxa"/>
            <w:tcBorders>
              <w:top w:val="single" w:sz="6" w:space="0" w:color="auto"/>
              <w:left w:val="single" w:sz="6" w:space="0" w:color="auto"/>
              <w:bottom w:val="single" w:sz="6" w:space="0" w:color="auto"/>
              <w:right w:val="single" w:sz="6" w:space="0" w:color="auto"/>
            </w:tcBorders>
          </w:tcPr>
          <w:p w14:paraId="3970C1F4" w14:textId="77777777" w:rsidR="00392FDA" w:rsidRPr="00A27EC2" w:rsidRDefault="00392FDA" w:rsidP="000F405A">
            <w:pPr>
              <w:pStyle w:val="Table"/>
            </w:pPr>
            <w:r w:rsidRPr="00A27EC2">
              <w:t>€0.2 - €0.3</w:t>
            </w:r>
          </w:p>
        </w:tc>
        <w:tc>
          <w:tcPr>
            <w:tcW w:w="1893" w:type="dxa"/>
            <w:tcBorders>
              <w:top w:val="single" w:sz="6" w:space="0" w:color="auto"/>
              <w:left w:val="single" w:sz="6" w:space="0" w:color="auto"/>
              <w:bottom w:val="single" w:sz="6" w:space="0" w:color="auto"/>
              <w:right w:val="single" w:sz="6" w:space="0" w:color="auto"/>
            </w:tcBorders>
            <w:hideMark/>
          </w:tcPr>
          <w:p w14:paraId="35CD8B3A" w14:textId="77777777" w:rsidR="00392FDA" w:rsidRPr="00A27EC2" w:rsidRDefault="00392FDA" w:rsidP="000F405A">
            <w:pPr>
              <w:pStyle w:val="Table"/>
            </w:pPr>
            <w:r w:rsidRPr="00A27EC2">
              <w:t>€0.3</w:t>
            </w:r>
          </w:p>
        </w:tc>
        <w:tc>
          <w:tcPr>
            <w:tcW w:w="1900" w:type="dxa"/>
            <w:tcBorders>
              <w:top w:val="single" w:sz="6" w:space="0" w:color="auto"/>
              <w:left w:val="single" w:sz="6" w:space="0" w:color="auto"/>
              <w:bottom w:val="single" w:sz="6" w:space="0" w:color="auto"/>
              <w:right w:val="single" w:sz="6" w:space="0" w:color="auto"/>
            </w:tcBorders>
            <w:hideMark/>
          </w:tcPr>
          <w:p w14:paraId="296304E4" w14:textId="77777777" w:rsidR="00392FDA" w:rsidRPr="00A27EC2" w:rsidRDefault="00392FDA" w:rsidP="000F405A">
            <w:pPr>
              <w:pStyle w:val="Table"/>
            </w:pPr>
            <w:r w:rsidRPr="00A27EC2">
              <w:t>1%</w:t>
            </w:r>
          </w:p>
        </w:tc>
      </w:tr>
      <w:tr w:rsidR="00392FDA" w:rsidRPr="00EA4C9B" w14:paraId="4A2B05A7" w14:textId="77777777" w:rsidTr="004F0767">
        <w:trPr>
          <w:trHeight w:val="76"/>
        </w:trPr>
        <w:tc>
          <w:tcPr>
            <w:tcW w:w="3500" w:type="dxa"/>
            <w:tcBorders>
              <w:top w:val="single" w:sz="6" w:space="0" w:color="auto"/>
              <w:left w:val="single" w:sz="6" w:space="0" w:color="auto"/>
              <w:bottom w:val="single" w:sz="6" w:space="0" w:color="auto"/>
              <w:right w:val="single" w:sz="6" w:space="0" w:color="auto"/>
            </w:tcBorders>
          </w:tcPr>
          <w:p w14:paraId="0851A325" w14:textId="77777777" w:rsidR="00392FDA" w:rsidRPr="00A27EC2" w:rsidRDefault="00392FDA" w:rsidP="000F405A">
            <w:pPr>
              <w:pStyle w:val="Table"/>
            </w:pPr>
            <w:r w:rsidRPr="00A27EC2">
              <w:t>Water Act fees</w:t>
            </w:r>
          </w:p>
        </w:tc>
        <w:tc>
          <w:tcPr>
            <w:tcW w:w="1717" w:type="dxa"/>
            <w:tcBorders>
              <w:top w:val="single" w:sz="6" w:space="0" w:color="auto"/>
              <w:left w:val="single" w:sz="6" w:space="0" w:color="auto"/>
              <w:bottom w:val="single" w:sz="6" w:space="0" w:color="auto"/>
              <w:right w:val="single" w:sz="6" w:space="0" w:color="auto"/>
            </w:tcBorders>
          </w:tcPr>
          <w:p w14:paraId="3EEC7791" w14:textId="77777777" w:rsidR="00392FDA" w:rsidRPr="00A27EC2" w:rsidRDefault="00392FDA" w:rsidP="000F405A">
            <w:pPr>
              <w:pStyle w:val="Table"/>
            </w:pPr>
            <w:r w:rsidRPr="00A27EC2">
              <w:t>€12.9 – €21.6</w:t>
            </w:r>
          </w:p>
        </w:tc>
        <w:tc>
          <w:tcPr>
            <w:tcW w:w="1893" w:type="dxa"/>
            <w:tcBorders>
              <w:top w:val="single" w:sz="6" w:space="0" w:color="auto"/>
              <w:left w:val="single" w:sz="6" w:space="0" w:color="auto"/>
              <w:bottom w:val="single" w:sz="6" w:space="0" w:color="auto"/>
              <w:right w:val="single" w:sz="6" w:space="0" w:color="auto"/>
            </w:tcBorders>
          </w:tcPr>
          <w:p w14:paraId="10B3C733" w14:textId="77777777" w:rsidR="00392FDA" w:rsidRPr="00A27EC2" w:rsidRDefault="00392FDA" w:rsidP="000F405A">
            <w:pPr>
              <w:pStyle w:val="Table"/>
            </w:pPr>
            <w:r w:rsidRPr="00A27EC2">
              <w:t>€22</w:t>
            </w:r>
          </w:p>
        </w:tc>
        <w:tc>
          <w:tcPr>
            <w:tcW w:w="1900" w:type="dxa"/>
            <w:tcBorders>
              <w:top w:val="single" w:sz="6" w:space="0" w:color="auto"/>
              <w:left w:val="single" w:sz="6" w:space="0" w:color="auto"/>
              <w:bottom w:val="single" w:sz="6" w:space="0" w:color="auto"/>
              <w:right w:val="single" w:sz="6" w:space="0" w:color="auto"/>
            </w:tcBorders>
          </w:tcPr>
          <w:p w14:paraId="5BEDBAFB" w14:textId="77777777" w:rsidR="00392FDA" w:rsidRPr="00A27EC2" w:rsidRDefault="00392FDA" w:rsidP="000F405A">
            <w:pPr>
              <w:pStyle w:val="Table"/>
            </w:pPr>
            <w:r w:rsidRPr="00A27EC2">
              <w:t>86.5%</w:t>
            </w:r>
          </w:p>
        </w:tc>
      </w:tr>
      <w:tr w:rsidR="00392FDA" w:rsidRPr="00EA4C9B" w14:paraId="0FEDF4C6" w14:textId="77777777" w:rsidTr="004F0767">
        <w:trPr>
          <w:trHeight w:val="76"/>
        </w:trPr>
        <w:tc>
          <w:tcPr>
            <w:tcW w:w="3500" w:type="dxa"/>
            <w:tcBorders>
              <w:top w:val="single" w:sz="6" w:space="0" w:color="auto"/>
              <w:left w:val="single" w:sz="6" w:space="0" w:color="auto"/>
              <w:bottom w:val="single" w:sz="6" w:space="0" w:color="auto"/>
              <w:right w:val="single" w:sz="6" w:space="0" w:color="auto"/>
            </w:tcBorders>
          </w:tcPr>
          <w:p w14:paraId="6F84A2AB" w14:textId="77777777" w:rsidR="00392FDA" w:rsidRPr="00A27EC2" w:rsidRDefault="00392FDA" w:rsidP="000F405A">
            <w:pPr>
              <w:pStyle w:val="Table"/>
            </w:pPr>
            <w:r w:rsidRPr="00A27EC2">
              <w:t>Protected Areas Act fees</w:t>
            </w:r>
          </w:p>
        </w:tc>
        <w:tc>
          <w:tcPr>
            <w:tcW w:w="1717" w:type="dxa"/>
            <w:tcBorders>
              <w:top w:val="single" w:sz="6" w:space="0" w:color="auto"/>
              <w:left w:val="single" w:sz="6" w:space="0" w:color="auto"/>
              <w:bottom w:val="single" w:sz="6" w:space="0" w:color="auto"/>
              <w:right w:val="single" w:sz="6" w:space="0" w:color="auto"/>
            </w:tcBorders>
          </w:tcPr>
          <w:p w14:paraId="4E617381" w14:textId="77777777" w:rsidR="00392FDA" w:rsidRPr="00A27EC2" w:rsidRDefault="00392FDA" w:rsidP="000F405A">
            <w:pPr>
              <w:pStyle w:val="Table"/>
            </w:pPr>
            <w:r w:rsidRPr="00A27EC2">
              <w:t>€0.1 – €0.1</w:t>
            </w:r>
          </w:p>
        </w:tc>
        <w:tc>
          <w:tcPr>
            <w:tcW w:w="1893" w:type="dxa"/>
            <w:tcBorders>
              <w:top w:val="single" w:sz="6" w:space="0" w:color="auto"/>
              <w:left w:val="single" w:sz="6" w:space="0" w:color="auto"/>
              <w:bottom w:val="single" w:sz="6" w:space="0" w:color="auto"/>
              <w:right w:val="single" w:sz="6" w:space="0" w:color="auto"/>
            </w:tcBorders>
          </w:tcPr>
          <w:p w14:paraId="0B98FF99" w14:textId="77777777" w:rsidR="00392FDA" w:rsidRPr="00A27EC2" w:rsidRDefault="00392FDA" w:rsidP="000F405A">
            <w:pPr>
              <w:pStyle w:val="Table"/>
            </w:pPr>
            <w:r w:rsidRPr="00A27EC2">
              <w:t>€0.1</w:t>
            </w:r>
          </w:p>
        </w:tc>
        <w:tc>
          <w:tcPr>
            <w:tcW w:w="1900" w:type="dxa"/>
            <w:tcBorders>
              <w:top w:val="single" w:sz="6" w:space="0" w:color="auto"/>
              <w:left w:val="single" w:sz="6" w:space="0" w:color="auto"/>
              <w:bottom w:val="single" w:sz="6" w:space="0" w:color="auto"/>
              <w:right w:val="single" w:sz="6" w:space="0" w:color="auto"/>
            </w:tcBorders>
          </w:tcPr>
          <w:p w14:paraId="07923AFF" w14:textId="77777777" w:rsidR="00392FDA" w:rsidRPr="00A27EC2" w:rsidRDefault="00392FDA" w:rsidP="000F405A">
            <w:pPr>
              <w:pStyle w:val="Table"/>
            </w:pPr>
            <w:r w:rsidRPr="00A27EC2">
              <w:t>0.6%</w:t>
            </w:r>
          </w:p>
        </w:tc>
      </w:tr>
      <w:tr w:rsidR="00392FDA" w:rsidRPr="00EA4C9B" w14:paraId="63640B18" w14:textId="77777777" w:rsidTr="004F0767">
        <w:trPr>
          <w:trHeight w:val="76"/>
        </w:trPr>
        <w:tc>
          <w:tcPr>
            <w:tcW w:w="3500" w:type="dxa"/>
            <w:tcBorders>
              <w:top w:val="single" w:sz="6" w:space="0" w:color="auto"/>
              <w:left w:val="single" w:sz="6" w:space="0" w:color="auto"/>
              <w:bottom w:val="single" w:sz="6" w:space="0" w:color="auto"/>
              <w:right w:val="single" w:sz="6" w:space="0" w:color="auto"/>
            </w:tcBorders>
          </w:tcPr>
          <w:p w14:paraId="36D402E2" w14:textId="77777777" w:rsidR="00392FDA" w:rsidRPr="00A27EC2" w:rsidRDefault="00392FDA" w:rsidP="000F405A">
            <w:pPr>
              <w:pStyle w:val="Table"/>
            </w:pPr>
            <w:r w:rsidRPr="00A27EC2">
              <w:t>Hunting and fishing licenses</w:t>
            </w:r>
          </w:p>
        </w:tc>
        <w:tc>
          <w:tcPr>
            <w:tcW w:w="1717" w:type="dxa"/>
            <w:tcBorders>
              <w:top w:val="single" w:sz="6" w:space="0" w:color="auto"/>
              <w:left w:val="single" w:sz="6" w:space="0" w:color="auto"/>
              <w:bottom w:val="single" w:sz="6" w:space="0" w:color="auto"/>
              <w:right w:val="single" w:sz="6" w:space="0" w:color="auto"/>
            </w:tcBorders>
          </w:tcPr>
          <w:p w14:paraId="7E7F5F5B" w14:textId="77777777" w:rsidR="00392FDA" w:rsidRPr="00A27EC2" w:rsidRDefault="00392FDA" w:rsidP="000F405A">
            <w:pPr>
              <w:pStyle w:val="Table"/>
            </w:pPr>
            <w:r w:rsidRPr="00A27EC2">
              <w:t>€3.8 – €3</w:t>
            </w:r>
          </w:p>
        </w:tc>
        <w:tc>
          <w:tcPr>
            <w:tcW w:w="1893" w:type="dxa"/>
            <w:tcBorders>
              <w:top w:val="single" w:sz="6" w:space="0" w:color="auto"/>
              <w:left w:val="single" w:sz="6" w:space="0" w:color="auto"/>
              <w:bottom w:val="single" w:sz="6" w:space="0" w:color="auto"/>
              <w:right w:val="single" w:sz="6" w:space="0" w:color="auto"/>
            </w:tcBorders>
          </w:tcPr>
          <w:p w14:paraId="777A1C4B" w14:textId="77777777" w:rsidR="00392FDA" w:rsidRPr="00A27EC2" w:rsidRDefault="00392FDA" w:rsidP="000F405A">
            <w:pPr>
              <w:pStyle w:val="Table"/>
            </w:pPr>
            <w:r w:rsidRPr="00A27EC2">
              <w:t>€3.9</w:t>
            </w:r>
          </w:p>
        </w:tc>
        <w:tc>
          <w:tcPr>
            <w:tcW w:w="1900" w:type="dxa"/>
            <w:tcBorders>
              <w:top w:val="single" w:sz="6" w:space="0" w:color="auto"/>
              <w:left w:val="single" w:sz="6" w:space="0" w:color="auto"/>
              <w:bottom w:val="single" w:sz="6" w:space="0" w:color="auto"/>
              <w:right w:val="single" w:sz="6" w:space="0" w:color="auto"/>
            </w:tcBorders>
          </w:tcPr>
          <w:p w14:paraId="229C5B37" w14:textId="77777777" w:rsidR="00392FDA" w:rsidRPr="00A27EC2" w:rsidRDefault="00392FDA" w:rsidP="000F405A">
            <w:pPr>
              <w:pStyle w:val="Table"/>
            </w:pPr>
            <w:r w:rsidRPr="00A27EC2">
              <w:t>11.9%</w:t>
            </w:r>
          </w:p>
        </w:tc>
      </w:tr>
      <w:tr w:rsidR="00466EF5" w:rsidRPr="00EA4C9B" w14:paraId="0712396D" w14:textId="77777777" w:rsidTr="000878F6">
        <w:trPr>
          <w:trHeight w:val="76"/>
        </w:trPr>
        <w:tc>
          <w:tcPr>
            <w:tcW w:w="9010" w:type="dxa"/>
            <w:gridSpan w:val="4"/>
            <w:tcBorders>
              <w:top w:val="single" w:sz="6" w:space="0" w:color="auto"/>
              <w:left w:val="single" w:sz="6" w:space="0" w:color="auto"/>
              <w:bottom w:val="single" w:sz="6" w:space="0" w:color="auto"/>
              <w:right w:val="single" w:sz="6" w:space="0" w:color="auto"/>
            </w:tcBorders>
          </w:tcPr>
          <w:p w14:paraId="36CA39A5" w14:textId="6D0AF61F" w:rsidR="00466EF5" w:rsidRPr="00A27EC2" w:rsidRDefault="00466EF5" w:rsidP="000F405A">
            <w:pPr>
              <w:pStyle w:val="Table"/>
            </w:pPr>
            <w:r w:rsidRPr="00466EF5">
              <w:t>Note: N.A. = Data not available</w:t>
            </w:r>
          </w:p>
        </w:tc>
      </w:tr>
    </w:tbl>
    <w:p w14:paraId="6E06A816" w14:textId="1DC3E349" w:rsidR="00A27EC2" w:rsidRDefault="00A27EC2" w:rsidP="00A27EC2">
      <w:pPr>
        <w:pStyle w:val="Caption"/>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933"/>
      </w:tblGrid>
      <w:tr w:rsidR="00392FDA" w:rsidRPr="00EA4C9B" w14:paraId="184022AE" w14:textId="77777777" w:rsidTr="00BA7936">
        <w:tc>
          <w:tcPr>
            <w:tcW w:w="9016" w:type="dxa"/>
            <w:gridSpan w:val="2"/>
            <w:shd w:val="clear" w:color="auto" w:fill="003399"/>
            <w:vAlign w:val="center"/>
          </w:tcPr>
          <w:p w14:paraId="7F090635" w14:textId="0FF17596" w:rsidR="00392FDA" w:rsidRPr="000F405A" w:rsidRDefault="00A672A3" w:rsidP="00D63721">
            <w:pPr>
              <w:pStyle w:val="Caption"/>
              <w:jc w:val="left"/>
              <w:rPr>
                <w:color w:val="FFFFFF" w:themeColor="background1"/>
                <w:lang w:eastAsia="en-GB"/>
              </w:rPr>
            </w:pPr>
            <w:r w:rsidRPr="00D63721">
              <w:rPr>
                <w:color w:val="FFFFFF" w:themeColor="background1"/>
              </w:rPr>
              <w:t xml:space="preserve">Table </w:t>
            </w:r>
            <w:r w:rsidR="00490085">
              <w:rPr>
                <w:color w:val="FFFFFF" w:themeColor="background1"/>
              </w:rPr>
              <w:t>A6</w:t>
            </w:r>
            <w:r w:rsidR="000F405A" w:rsidRPr="000F405A">
              <w:rPr>
                <w:b w:val="0"/>
                <w:bCs/>
                <w:color w:val="FFFFFF" w:themeColor="background1"/>
              </w:rPr>
              <w:t xml:space="preserve">- </w:t>
            </w:r>
            <w:r w:rsidR="000F405A" w:rsidRPr="000F405A">
              <w:rPr>
                <w:b w:val="0"/>
                <w:bCs/>
                <w:color w:val="FFFFFF" w:themeColor="background1"/>
              </w:rPr>
              <w:fldChar w:fldCharType="begin"/>
            </w:r>
            <w:r w:rsidR="000F405A" w:rsidRPr="00D63721">
              <w:rPr>
                <w:color w:val="FFFFFF" w:themeColor="background1"/>
              </w:rPr>
              <w:instrText xml:space="preserve"> SEQ Table_A5- \* ARABIC </w:instrText>
            </w:r>
            <w:r w:rsidR="000F405A" w:rsidRPr="000F405A">
              <w:rPr>
                <w:b w:val="0"/>
                <w:bCs/>
                <w:color w:val="FFFFFF" w:themeColor="background1"/>
              </w:rPr>
              <w:fldChar w:fldCharType="separate"/>
            </w:r>
            <w:r w:rsidR="0068700D">
              <w:rPr>
                <w:noProof/>
                <w:color w:val="FFFFFF" w:themeColor="background1"/>
              </w:rPr>
              <w:t>15</w:t>
            </w:r>
            <w:r w:rsidR="000F405A" w:rsidRPr="000F405A">
              <w:rPr>
                <w:b w:val="0"/>
                <w:bCs/>
                <w:color w:val="FFFFFF" w:themeColor="background1"/>
              </w:rPr>
              <w:fldChar w:fldCharType="end"/>
            </w:r>
            <w:r w:rsidRPr="000F405A">
              <w:rPr>
                <w:color w:val="FFFFFF" w:themeColor="background1"/>
                <w:lang w:eastAsia="en-GB"/>
              </w:rPr>
              <w:t>: </w:t>
            </w:r>
            <w:r w:rsidR="00392FDA" w:rsidRPr="000F405A">
              <w:rPr>
                <w:color w:val="FFFFFF" w:themeColor="background1"/>
                <w:lang w:eastAsia="en-GB"/>
              </w:rPr>
              <w:t>Other environmental taxes not reported in the National Tax List</w:t>
            </w:r>
          </w:p>
        </w:tc>
      </w:tr>
      <w:tr w:rsidR="00B24FD4" w:rsidRPr="00EA4C9B" w14:paraId="777A3D28" w14:textId="77777777" w:rsidTr="00BA7936">
        <w:tc>
          <w:tcPr>
            <w:tcW w:w="7083" w:type="dxa"/>
          </w:tcPr>
          <w:p w14:paraId="6F7F379D" w14:textId="709CE9DD" w:rsidR="00B24FD4" w:rsidRPr="00466EF5" w:rsidRDefault="00B24FD4" w:rsidP="000F405A">
            <w:pPr>
              <w:pStyle w:val="Table"/>
              <w:rPr>
                <w:b/>
                <w:bCs/>
                <w:lang w:eastAsia="en-GB"/>
              </w:rPr>
            </w:pPr>
            <w:r w:rsidRPr="00466EF5">
              <w:rPr>
                <w:b/>
                <w:bCs/>
                <w:lang w:eastAsia="en-GB"/>
              </w:rPr>
              <w:t>Tax Name </w:t>
            </w:r>
          </w:p>
        </w:tc>
        <w:tc>
          <w:tcPr>
            <w:tcW w:w="1933" w:type="dxa"/>
          </w:tcPr>
          <w:p w14:paraId="7E856A08" w14:textId="77777777" w:rsidR="00B24FD4" w:rsidRPr="00466EF5" w:rsidRDefault="00B24FD4" w:rsidP="000F405A">
            <w:pPr>
              <w:pStyle w:val="Table"/>
              <w:rPr>
                <w:b/>
                <w:bCs/>
                <w:lang w:eastAsia="en-GB"/>
              </w:rPr>
            </w:pPr>
            <w:r w:rsidRPr="00466EF5">
              <w:rPr>
                <w:b/>
                <w:bCs/>
                <w:lang w:eastAsia="en-GB"/>
              </w:rPr>
              <w:t xml:space="preserve">Annual revenue </w:t>
            </w:r>
          </w:p>
          <w:p w14:paraId="5F41B99A" w14:textId="77777777" w:rsidR="00B24FD4" w:rsidRPr="00466EF5" w:rsidRDefault="00B24FD4" w:rsidP="000F405A">
            <w:pPr>
              <w:pStyle w:val="Table"/>
              <w:rPr>
                <w:b/>
                <w:bCs/>
                <w:lang w:eastAsia="en-GB"/>
              </w:rPr>
            </w:pPr>
            <w:r w:rsidRPr="00466EF5">
              <w:rPr>
                <w:b/>
                <w:bCs/>
                <w:lang w:eastAsia="en-GB"/>
              </w:rPr>
              <w:t>(€ million) in 2023</w:t>
            </w:r>
          </w:p>
        </w:tc>
      </w:tr>
      <w:tr w:rsidR="00B24FD4" w:rsidRPr="00EA4C9B" w14:paraId="375638E7" w14:textId="77777777" w:rsidTr="00BA7936">
        <w:tc>
          <w:tcPr>
            <w:tcW w:w="7083" w:type="dxa"/>
          </w:tcPr>
          <w:p w14:paraId="27891D2C" w14:textId="77777777" w:rsidR="00B24FD4" w:rsidRPr="00EA4C9B" w:rsidRDefault="00B24FD4" w:rsidP="000F405A">
            <w:pPr>
              <w:pStyle w:val="Table"/>
              <w:rPr>
                <w:lang w:eastAsia="en-GB"/>
              </w:rPr>
            </w:pPr>
            <w:r w:rsidRPr="00EA4C9B">
              <w:rPr>
                <w:lang w:eastAsia="en-GB"/>
              </w:rPr>
              <w:t>Concession fees</w:t>
            </w:r>
          </w:p>
        </w:tc>
        <w:tc>
          <w:tcPr>
            <w:tcW w:w="1933" w:type="dxa"/>
          </w:tcPr>
          <w:p w14:paraId="5230DB34" w14:textId="77777777" w:rsidR="00B24FD4" w:rsidRPr="00EA4C9B" w:rsidRDefault="00B24FD4" w:rsidP="000F405A">
            <w:pPr>
              <w:pStyle w:val="Table"/>
              <w:rPr>
                <w:lang w:eastAsia="en-GB"/>
              </w:rPr>
            </w:pPr>
            <w:r w:rsidRPr="00EA4C9B">
              <w:rPr>
                <w:lang w:eastAsia="en-GB"/>
              </w:rPr>
              <w:t>N.A.</w:t>
            </w:r>
          </w:p>
        </w:tc>
      </w:tr>
      <w:tr w:rsidR="00B24FD4" w:rsidRPr="00EA4C9B" w14:paraId="0DF8F440" w14:textId="77777777" w:rsidTr="00BA7936">
        <w:tc>
          <w:tcPr>
            <w:tcW w:w="7083" w:type="dxa"/>
          </w:tcPr>
          <w:p w14:paraId="01D1B5B0" w14:textId="77777777" w:rsidR="00B24FD4" w:rsidRPr="00EA4C9B" w:rsidRDefault="00B24FD4" w:rsidP="000F405A">
            <w:pPr>
              <w:pStyle w:val="Table"/>
              <w:rPr>
                <w:lang w:eastAsia="en-GB"/>
              </w:rPr>
            </w:pPr>
            <w:r w:rsidRPr="00EA4C9B">
              <w:rPr>
                <w:lang w:eastAsia="en-GB"/>
              </w:rPr>
              <w:t>Landfill tax</w:t>
            </w:r>
          </w:p>
        </w:tc>
        <w:tc>
          <w:tcPr>
            <w:tcW w:w="1933" w:type="dxa"/>
          </w:tcPr>
          <w:p w14:paraId="6533C427" w14:textId="77777777" w:rsidR="00B24FD4" w:rsidRPr="00EA4C9B" w:rsidRDefault="00B24FD4" w:rsidP="000F405A">
            <w:pPr>
              <w:pStyle w:val="Table"/>
              <w:rPr>
                <w:lang w:eastAsia="en-GB"/>
              </w:rPr>
            </w:pPr>
            <w:r w:rsidRPr="00EA4C9B">
              <w:rPr>
                <w:lang w:eastAsia="en-GB"/>
              </w:rPr>
              <w:t>N.A.</w:t>
            </w:r>
          </w:p>
        </w:tc>
      </w:tr>
      <w:tr w:rsidR="00466EF5" w:rsidRPr="00EA4C9B" w14:paraId="448E6058" w14:textId="77777777" w:rsidTr="00BA7936">
        <w:tc>
          <w:tcPr>
            <w:tcW w:w="9016" w:type="dxa"/>
            <w:gridSpan w:val="2"/>
          </w:tcPr>
          <w:p w14:paraId="4CDC9008" w14:textId="1A8BD7D7" w:rsidR="00466EF5" w:rsidRPr="00EA4C9B" w:rsidRDefault="00466EF5" w:rsidP="000F405A">
            <w:pPr>
              <w:pStyle w:val="Table"/>
              <w:rPr>
                <w:lang w:eastAsia="en-GB"/>
              </w:rPr>
            </w:pPr>
            <w:r w:rsidRPr="00466EF5">
              <w:rPr>
                <w:lang w:eastAsia="en-GB"/>
              </w:rPr>
              <w:t>Note: N.A. = Data not available</w:t>
            </w:r>
          </w:p>
        </w:tc>
      </w:tr>
    </w:tbl>
    <w:p w14:paraId="1143ADF8" w14:textId="77777777" w:rsidR="00392FDA" w:rsidRPr="00EA4C9B" w:rsidRDefault="00392FDA" w:rsidP="00392FDA">
      <w:pPr>
        <w:pStyle w:val="Heading4"/>
      </w:pPr>
      <w:r w:rsidRPr="00EA4C9B">
        <w:t>Taxes, fees and other related instruments</w:t>
      </w:r>
    </w:p>
    <w:p w14:paraId="6C75CC99" w14:textId="77777777" w:rsidR="00392FDA" w:rsidRPr="00EA4C9B" w:rsidRDefault="00392FDA" w:rsidP="00392FDA">
      <w:pPr>
        <w:spacing w:before="120" w:after="120"/>
      </w:pPr>
      <w:r w:rsidRPr="00EA4C9B">
        <w:t xml:space="preserve">In Bulgaria, </w:t>
      </w:r>
      <w:r w:rsidRPr="00EA4C9B">
        <w:rPr>
          <w:b/>
          <w:bCs/>
        </w:rPr>
        <w:t>pollution taxes</w:t>
      </w:r>
      <w:r w:rsidRPr="00EA4C9B">
        <w:t xml:space="preserve"> are part of the country's environmental taxes, which also include energy and transport taxes. In 2022, businesses paid 84% of environmental taxes, households paid 14.4%, and non-residents paid 1.6%. Households are the main payers of transport taxes and a large portion of pollution and resource taxes. </w:t>
      </w:r>
    </w:p>
    <w:p w14:paraId="7E36EAB0" w14:textId="51AA8351" w:rsidR="00392FDA" w:rsidRPr="00EA4C9B" w:rsidRDefault="00392FDA" w:rsidP="003E1B41">
      <w:pPr>
        <w:rPr>
          <w:bCs/>
          <w:iCs/>
        </w:rPr>
      </w:pPr>
      <w:r w:rsidRPr="00EA4C9B">
        <w:t xml:space="preserve">Bulgaria's waste management fees include landfill taxes, product fees, and municipal waste fees. In 2020, the landfill tax was €35.2/t, and in 2022 it was €48.5/t. The landfill tax increases according to an escalator. </w:t>
      </w:r>
      <w:r w:rsidR="00E82D8B" w:rsidRPr="00E82D8B">
        <w:t>This tax plays a central role in Bulgaria’s integrated economic incentives: under Article 64 of the Bulgarian Waste Management Act, municipalities can receive up to 100% of their landfill tax payments back if they meet their municipal waste recycling targets, creating a strong financial incentive to reduce landfilling and increase recycling performance</w:t>
      </w:r>
      <w:r w:rsidR="00E82D8B">
        <w:rPr>
          <w:rStyle w:val="FootnoteReference"/>
        </w:rPr>
        <w:footnoteReference w:id="39"/>
      </w:r>
      <w:r w:rsidR="00E82D8B">
        <w:t xml:space="preserve">. </w:t>
      </w:r>
      <w:r w:rsidRPr="00EA4C9B">
        <w:t xml:space="preserve">The product fee for plastic shopping bags is paid </w:t>
      </w:r>
      <w:r w:rsidR="005332AF">
        <w:t>by</w:t>
      </w:r>
      <w:r w:rsidRPr="00EA4C9B">
        <w:t xml:space="preserve"> the consumer at the point of sale, and the fee is approximately €1.19 per kilogram. There are also municipal waste fees: the waste management fee is determined by the municipal council and the fee may be paid in instalments, depending on the municipality. The fee is based on waste amounts and the number of waste service users and is calculated per million of property value. </w:t>
      </w:r>
    </w:p>
    <w:p w14:paraId="1BD64B5D" w14:textId="77777777" w:rsidR="00392FDA" w:rsidRPr="00EA4C9B" w:rsidRDefault="00392FDA" w:rsidP="003E1B41">
      <w:pPr>
        <w:rPr>
          <w:bCs/>
          <w:iCs/>
        </w:rPr>
      </w:pPr>
      <w:r w:rsidRPr="00EA4C9B">
        <w:t>A fishing permit is required to fish in Bulgaria's rivers, lakes, and dams</w:t>
      </w:r>
      <w:r w:rsidRPr="00EA4C9B">
        <w:rPr>
          <w:vertAlign w:val="superscript"/>
        </w:rPr>
        <w:footnoteReference w:id="40"/>
      </w:r>
      <w:r w:rsidRPr="00EA4C9B">
        <w:t>. The annual fishing license costs 12.5 euros, plus a 2.5-euro fee to the Union of Hunters and Fishermen. Children and people with disabilities fish for free. The money goes to the Executive Agency for Fisheries and Aquaculture (NAFA). Foreign nationals can fish for sport in Bulgaria with a permit from the Ministry of Forest and Forest Industry. </w:t>
      </w:r>
    </w:p>
    <w:p w14:paraId="0715F825" w14:textId="3BDAF968" w:rsidR="00392FDA" w:rsidRPr="00BA7936" w:rsidRDefault="00392FDA" w:rsidP="008A151C">
      <w:r w:rsidRPr="00EA4C9B">
        <w:t xml:space="preserve">Bulgaria implemented its </w:t>
      </w:r>
      <w:r w:rsidRPr="00EA4C9B">
        <w:rPr>
          <w:i/>
        </w:rPr>
        <w:t xml:space="preserve">water abstraction </w:t>
      </w:r>
      <w:r w:rsidRPr="003E1B41">
        <w:t>charges in 2001</w:t>
      </w:r>
      <w:r w:rsidR="009F26AE">
        <w:t xml:space="preserve">, </w:t>
      </w:r>
      <w:r w:rsidR="009F26AE" w:rsidRPr="009F26AE">
        <w:t xml:space="preserve">under the framework of the </w:t>
      </w:r>
      <w:r w:rsidR="009F26AE" w:rsidRPr="009F26AE">
        <w:rPr>
          <w:i/>
          <w:iCs/>
        </w:rPr>
        <w:t>Water Act</w:t>
      </w:r>
      <w:r w:rsidR="009F26AE" w:rsidRPr="009F26AE">
        <w:t xml:space="preserve"> (Закон за водите, SG No. 67/1999, as amended), with the specific tariffs set through subsequent implementing regulations</w:t>
      </w:r>
      <w:r w:rsidRPr="003E1B41">
        <w:t xml:space="preserve">. The charges have been reformed a couple of times since then in terms of the price charged and sources of water abstraction. The charges cover all aspects of abstraction and exclude some emergency situations such as firefighting and civil protection. The revenue from the </w:t>
      </w:r>
      <w:r w:rsidRPr="003E1B41">
        <w:lastRenderedPageBreak/>
        <w:t>charges is collected by the Enterprise for Management of Environmental Protection Activities (EMEPA) and is then redistributed to environmental projects and initiatives (Sharkov, 2022</w:t>
      </w:r>
      <w:r w:rsidRPr="003E1B41">
        <w:footnoteReference w:id="41"/>
      </w:r>
      <w:r w:rsidRPr="003E1B41">
        <w:t>).</w:t>
      </w:r>
    </w:p>
    <w:p w14:paraId="70DD503F" w14:textId="77777777" w:rsidR="00392FDA" w:rsidRPr="00EA4C9B" w:rsidRDefault="00392FDA" w:rsidP="00392FDA">
      <w:r w:rsidRPr="00EA4C9B">
        <w:t xml:space="preserve">The Protected Areas Act in Bulgaria establishes categories of </w:t>
      </w:r>
      <w:r w:rsidRPr="00EA4C9B">
        <w:rPr>
          <w:b/>
          <w:bCs/>
        </w:rPr>
        <w:t>protected areas</w:t>
      </w:r>
      <w:r w:rsidRPr="00EA4C9B">
        <w:t xml:space="preserve">, including national parks, strict reserves, and natural monuments. It also outlines how to designate new protected areas. Thus, the Bulgarian Minister of Environment and Water can introduce admission fees to visit protected areas that are state property. The amount of the fees, how to pay them, and the procedure for payment are determined by an act of the Council, however no data on charges has been identified. </w:t>
      </w:r>
    </w:p>
    <w:p w14:paraId="755C728D" w14:textId="77777777" w:rsidR="00392FDA" w:rsidRPr="00EA4C9B" w:rsidRDefault="00392FDA" w:rsidP="00392FDA">
      <w:r w:rsidRPr="00EA4C9B">
        <w:t>The 2025 European Semester report</w:t>
      </w:r>
      <w:r w:rsidRPr="00EA4C9B">
        <w:rPr>
          <w:rStyle w:val="FootnoteReference"/>
        </w:rPr>
        <w:footnoteReference w:id="42"/>
      </w:r>
      <w:r w:rsidRPr="00EA4C9B">
        <w:t xml:space="preserve"> calls on Bulgaria to improve the efficiency and targeting of environmental fees, particularly in waste and water management. It recommends better use of fiscal levers to support circular economy transitions.</w:t>
      </w:r>
    </w:p>
    <w:p w14:paraId="76A37A30" w14:textId="77777777" w:rsidR="00392FDA" w:rsidRPr="00EA4C9B" w:rsidRDefault="00392FDA" w:rsidP="00392FDA">
      <w:pPr>
        <w:pStyle w:val="Heading4"/>
      </w:pPr>
      <w:r w:rsidRPr="00EA4C9B">
        <w:t>Conclusions, country-specific recommendations and reform progress</w:t>
      </w:r>
    </w:p>
    <w:p w14:paraId="78938416" w14:textId="79A610D1" w:rsidR="00392FDA" w:rsidRPr="00EA4C9B" w:rsidRDefault="00392FDA" w:rsidP="00392FDA">
      <w:pPr>
        <w:spacing w:before="120" w:after="120"/>
      </w:pPr>
      <w:r w:rsidRPr="00EA4C9B">
        <w:t xml:space="preserve">Bulgaria's environmental taxation system has undergone adjustments in recent years, yet significant challenges remain. While certain measures, such as the landfill tax have been introduced to address waste management, </w:t>
      </w:r>
      <w:r w:rsidR="00492F27">
        <w:t>t</w:t>
      </w:r>
      <w:r w:rsidRPr="00EA4C9B">
        <w:t xml:space="preserve">he reduction in pollution tax revenues </w:t>
      </w:r>
      <w:r w:rsidR="002A2711">
        <w:t>may be due to</w:t>
      </w:r>
      <w:r w:rsidR="002A2711" w:rsidRPr="00EA4C9B">
        <w:t xml:space="preserve"> </w:t>
      </w:r>
      <w:r w:rsidRPr="00EA4C9B">
        <w:t>weak enforcement mechanisms or a lack of comprehensive policy integration with broader environmental goals.</w:t>
      </w:r>
    </w:p>
    <w:p w14:paraId="4E3F3B8C" w14:textId="77777777" w:rsidR="00392FDA" w:rsidRPr="00EA4C9B" w:rsidRDefault="00392FDA" w:rsidP="00392FDA">
      <w:pPr>
        <w:spacing w:before="120" w:after="120"/>
      </w:pPr>
      <w:r w:rsidRPr="00EA4C9B">
        <w:t>The country’s fiscal framework is highly centralized, with national policies governing the structure and application of environmental taxes. Unlike other EU countries, Bulgaria has limited local fiscal autonomy in this area. This uniform approach may contribute to the inefficiency of environmental tax policy, as it does not account for regional environmental challenges or resource exploitation patterns</w:t>
      </w:r>
      <w:r w:rsidRPr="00EA4C9B">
        <w:rPr>
          <w:rStyle w:val="FootnoteReference"/>
        </w:rPr>
        <w:footnoteReference w:id="43"/>
      </w:r>
      <w:r w:rsidRPr="00EA4C9B">
        <w:t>.</w:t>
      </w:r>
    </w:p>
    <w:p w14:paraId="6ADC57ED" w14:textId="77777777" w:rsidR="00392FDA" w:rsidRPr="00EA4C9B" w:rsidRDefault="00392FDA" w:rsidP="00392FDA">
      <w:pPr>
        <w:spacing w:before="120" w:after="120"/>
      </w:pPr>
      <w:r w:rsidRPr="00EA4C9B">
        <w:t>Recent tax policy reforms have focused on aligning Bulgaria's waste management policies with EU directives. The continued increase in landfill tax rates is an attempt to incentivize more sustainable waste management practices. However, without complementary measures such as stricter regulatory enforcement or investment in recycling infrastructure, the effectiveness of such fiscal measures remains uncertain. The reliance on indirect taxation rather than targeted pollution and resource extraction levies further limits the potential for a more sustainable environmental tax framework</w:t>
      </w:r>
      <w:r w:rsidRPr="00EA4C9B">
        <w:rPr>
          <w:rStyle w:val="FootnoteReference"/>
        </w:rPr>
        <w:footnoteReference w:id="44"/>
      </w:r>
      <w:r w:rsidRPr="00EA4C9B">
        <w:t>.</w:t>
      </w:r>
    </w:p>
    <w:p w14:paraId="222618C9" w14:textId="77777777" w:rsidR="00392FDA" w:rsidRPr="00EA4C9B" w:rsidRDefault="00392FDA" w:rsidP="00392FDA">
      <w:pPr>
        <w:spacing w:before="120" w:after="120"/>
      </w:pPr>
      <w:r w:rsidRPr="00EA4C9B">
        <w:t>The 2025 European Semester report</w:t>
      </w:r>
      <w:r w:rsidRPr="00EA4C9B">
        <w:rPr>
          <w:rStyle w:val="FootnoteReference"/>
        </w:rPr>
        <w:footnoteReference w:id="45"/>
      </w:r>
      <w:r w:rsidRPr="00EA4C9B">
        <w:t xml:space="preserve"> notes that Bulgaria has made “limited progress” in using taxation to support the green transition. It specifically recommends raising environmental taxation and phasing out energy subsidies that are environmentally harmful. The Commission also highlights the need for a better alignment between taxation and Bulgaria’s climate and energy objectives, including the implementation of carbon pricing instruments beyond the EU ETS.</w:t>
      </w:r>
    </w:p>
    <w:p w14:paraId="2A9189E6" w14:textId="77777777" w:rsidR="00392FDA" w:rsidRPr="00EA4C9B" w:rsidRDefault="00392FDA" w:rsidP="007C4EB7">
      <w:pPr>
        <w:pStyle w:val="AnnexHeading2"/>
      </w:pPr>
      <w:bookmarkStart w:id="116" w:name="_Toc214008841"/>
      <w:r w:rsidRPr="00EA4C9B">
        <w:t>Potential for implementing additional environmental taxes</w:t>
      </w:r>
      <w:bookmarkEnd w:id="116"/>
    </w:p>
    <w:p w14:paraId="2C63FCD8" w14:textId="77777777" w:rsidR="00392FDA" w:rsidRPr="00EA4C9B" w:rsidRDefault="00392FDA" w:rsidP="00392FDA">
      <w:r w:rsidRPr="00EA4C9B">
        <w:t>According to OECD (2023)</w:t>
      </w:r>
      <w:r w:rsidRPr="00EA4C9B">
        <w:rPr>
          <w:rStyle w:val="FootnoteReference"/>
        </w:rPr>
        <w:footnoteReference w:id="46"/>
      </w:r>
      <w:r w:rsidRPr="00EA4C9B">
        <w:t xml:space="preserve">, fiscal discipline has resulted in a low level of public debt. The deficit is being reduced in the wake of the COVID crisis and with energy subsidies financed by windfall revenues. </w:t>
      </w:r>
      <w:r w:rsidRPr="00EA4C9B">
        <w:lastRenderedPageBreak/>
        <w:t>However, spending pressures will need to be financed by more efficient tax collection and higher environmental taxes. For example, Bulgaria could increase environmental taxes on fuels and carbon to reduce emissions and energy use. In particular, the OECD proposes to gradually increase environmental taxes for sectors outside of the EU Emissions Trading System (ETS), including excise taxes on fuels, and align these carbon prices with the ETS-price, while protecting poorer households and preserving security of energy supplies. This is in line with the European Green Deal, which includes a commitment to shift the tax burden from labour to green taxes. This is echoed in the 2025 Commission recommendations, which urge Bulgaria to “shift the tax burden from labour to green taxation,” and “increase the environmental effectiveness of taxation by strengthening carbon and pollution price signals.”</w:t>
      </w:r>
    </w:p>
    <w:p w14:paraId="12E7BE77" w14:textId="28828C2B" w:rsidR="00392FDA" w:rsidRPr="00EA4C9B" w:rsidRDefault="00392FDA" w:rsidP="00392FDA">
      <w:r w:rsidRPr="00EA4C9B">
        <w:t>E</w:t>
      </w:r>
      <w:r w:rsidR="00466EF5">
        <w:t>x’</w:t>
      </w:r>
      <w:r w:rsidRPr="00EA4C9B">
        <w:t xml:space="preserve"> Tax (2023)</w:t>
      </w:r>
      <w:r w:rsidRPr="00EA4C9B">
        <w:rPr>
          <w:rStyle w:val="FootnoteReference"/>
        </w:rPr>
        <w:footnoteReference w:id="47"/>
      </w:r>
      <w:r w:rsidRPr="00EA4C9B">
        <w:t xml:space="preserve"> analyses a “taxshift” scenario in which the burden on households would be alleviated by a reduction in income tax and social contributions, and income support for lower income groups. For employers, various payroll tax credits would be included. The necessary tax revenues would be generated by introducing a kilometre charge, increasing VAT, taxing harmful emissions from industry, aviation, shipping and agriculture, increasing excise taxes on tobacco and a higher price for water, waste and the use of fossil fuels in chemical processes.</w:t>
      </w:r>
    </w:p>
    <w:p w14:paraId="5F82A675" w14:textId="77777777" w:rsidR="00392FDA" w:rsidRPr="00EA4C9B" w:rsidRDefault="00392FDA" w:rsidP="00392FDA">
      <w:r w:rsidRPr="00EA4C9B">
        <w:t>There is also a window of opportunity for adapting water abstraction charges. The Ministry of Environment and Waters and the Ministry of Economy planned to increase the charge, particularly for the industrial sector, because actual charges are low and do not stimulate companies to invest in environmentally friendly technologies. The Commission supports this, recommending “appropriate incentives for efficient water use,” including stronger abstraction fees and conditional environmental subsidies.</w:t>
      </w:r>
    </w:p>
    <w:p w14:paraId="3238BE6E" w14:textId="77777777" w:rsidR="00392FDA" w:rsidRPr="00EA4C9B" w:rsidRDefault="00392FDA" w:rsidP="00392FDA">
      <w:r w:rsidRPr="00EA4C9B">
        <w:t>Ivanova &amp; Slavova (2018)</w:t>
      </w:r>
      <w:r w:rsidRPr="00EA4C9B">
        <w:rPr>
          <w:rStyle w:val="FootnoteReference"/>
        </w:rPr>
        <w:footnoteReference w:id="48"/>
      </w:r>
      <w:r w:rsidRPr="00EA4C9B">
        <w:t xml:space="preserve"> point out that eco-taxes encouraging behavioural change should be applied as a priority, because these taxes are not leading to an effective and permanent change in, for example, the company environmentally responsible behaviour or a serious motivation for change. This involves high tax rates based on strictly defined specific tax base, and that pollution should be reduced at the source (“the polluter pays”) rather than expanding tax revenues with a potential reallocation effect. </w:t>
      </w:r>
    </w:p>
    <w:p w14:paraId="4CA879F8" w14:textId="46F2A405" w:rsidR="00FC16E4" w:rsidRPr="00EA4C9B" w:rsidRDefault="00CD3929" w:rsidP="00392FDA">
      <w:r>
        <w:t>In 2023,</w:t>
      </w:r>
      <w:r w:rsidR="00FC16E4">
        <w:t xml:space="preserve"> the European Commission</w:t>
      </w:r>
      <w:r w:rsidR="00FC16E4">
        <w:rPr>
          <w:rStyle w:val="FootnoteReference"/>
        </w:rPr>
        <w:footnoteReference w:id="49"/>
      </w:r>
      <w:r>
        <w:t xml:space="preserve"> advised</w:t>
      </w:r>
      <w:r w:rsidR="00FC16E4">
        <w:t xml:space="preserve"> </w:t>
      </w:r>
      <w:r w:rsidR="00D578B4" w:rsidRPr="00D578B4">
        <w:t xml:space="preserve">Bulgaria to introduce a </w:t>
      </w:r>
      <w:r w:rsidR="00D578B4" w:rsidRPr="00BA7936">
        <w:rPr>
          <w:b/>
        </w:rPr>
        <w:t>national deposit-refund scheme for beverage packaging</w:t>
      </w:r>
      <w:r w:rsidR="00D578B4" w:rsidRPr="00D578B4">
        <w:t xml:space="preserve">, along with a weight- or volume-based </w:t>
      </w:r>
      <w:r w:rsidR="00D578B4" w:rsidRPr="00BA7936">
        <w:rPr>
          <w:b/>
        </w:rPr>
        <w:t>pay-as-you-throw system</w:t>
      </w:r>
      <w:r w:rsidR="00D578B4" w:rsidRPr="00D578B4">
        <w:t xml:space="preserve"> for both households and businesses.</w:t>
      </w:r>
    </w:p>
    <w:p w14:paraId="45EE5954" w14:textId="77777777" w:rsidR="00392FDA" w:rsidRPr="00E82783" w:rsidRDefault="00392FDA" w:rsidP="007C4EB7">
      <w:pPr>
        <w:pStyle w:val="AnnexHeading2"/>
      </w:pPr>
      <w:bookmarkStart w:id="117" w:name="_Toc214008842"/>
      <w:r w:rsidRPr="00E82783">
        <w:t>Impacts and feasibility of implementing new environmental taxes</w:t>
      </w:r>
      <w:bookmarkEnd w:id="117"/>
    </w:p>
    <w:p w14:paraId="4287007B" w14:textId="2A724DD6" w:rsidR="00FA6252" w:rsidRDefault="00FA6252" w:rsidP="00466EF5">
      <w:r w:rsidRPr="00FA6252">
        <w:t xml:space="preserve">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w:t>
      </w:r>
      <w:r w:rsidRPr="00FA6252">
        <w:lastRenderedPageBreak/>
        <w:t>ambitious approach to environmental taxation and the additional environmental and fiscal benefits that could be achieved.</w:t>
      </w:r>
    </w:p>
    <w:p w14:paraId="1054E1FA" w14:textId="4758037E" w:rsidR="00466EF5" w:rsidRPr="00466EF5" w:rsidRDefault="00466EF5" w:rsidP="00466EF5">
      <w:r w:rsidRPr="00466EF5">
        <w:t>Bulgaria’s environmental tax system is still at a relatively early stage of development, with several instruments</w:t>
      </w:r>
      <w:r>
        <w:t xml:space="preserve">, </w:t>
      </w:r>
      <w:r w:rsidRPr="00466EF5">
        <w:t>such as landfill and vehicle taxes</w:t>
      </w:r>
      <w:r>
        <w:t xml:space="preserve">, </w:t>
      </w:r>
      <w:r w:rsidRPr="00466EF5">
        <w:t>already in place but many others either missing or set at low levels. The modelling results for Scenarios A and B suggest that there is considerable potential to expand the environmental tax base, generating both fiscal and environmental benefits. Under Scenario A, total additional revenues could rise by around 0.7 per cent of total environmental tax receipts in 2030, while reductions in emissions, waste and resource extraction range between 10 and 20 per cent. Under Scenario B, revenues and reductions are smaller but remain significant, indicating that Bulgaria could strengthen environmental taxation with manageable macroeconomic effects.</w:t>
      </w:r>
    </w:p>
    <w:p w14:paraId="1F1D1363" w14:textId="17BC296F" w:rsidR="00466EF5" w:rsidRDefault="00466EF5" w:rsidP="00466EF5">
      <w:r w:rsidRPr="00A43BFD">
        <w:t xml:space="preserve">The </w:t>
      </w:r>
      <w:r w:rsidR="007B606C">
        <w:t>investigated</w:t>
      </w:r>
      <w:r w:rsidRPr="00A43BFD">
        <w:t xml:space="preserve"> taxes in Bulgaria would raise about another €588 million in 2030 and €591 million in 2035, implying an increase of about 19 times current taxes.</w:t>
      </w:r>
      <w:r>
        <w:t xml:space="preserve"> </w:t>
      </w:r>
      <w:r w:rsidRPr="00A43BFD">
        <w:t>The greatest increase comes from mineral aggregate taxes (39%), followed by water abstraction (34%) and waste to landfill (16%).  Together the three account for 89% of all increases in revenues.</w:t>
      </w:r>
      <w:r>
        <w:t xml:space="preserve"> </w:t>
      </w:r>
      <w:r w:rsidRPr="00A43BFD">
        <w:t xml:space="preserve">Reductions in environmental impacts are greatest in waste to landfill and SO2 (32% each), waste incineration (20%) and pesticides and aggregates (17% each). </w:t>
      </w:r>
      <w:r>
        <w:t xml:space="preserve"> </w:t>
      </w:r>
      <w:r w:rsidRPr="00A43BFD">
        <w:t xml:space="preserve">There is no impact from taxes on water effluent as this sector has current tax rates above the </w:t>
      </w:r>
      <w:r w:rsidR="007B606C">
        <w:t>investigated</w:t>
      </w:r>
      <w:r w:rsidRPr="00A43BFD">
        <w:t xml:space="preserve"> minimum.</w:t>
      </w:r>
    </w:p>
    <w:tbl>
      <w:tblPr>
        <w:tblStyle w:val="Lentelstinklelis1"/>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127"/>
        <w:gridCol w:w="1127"/>
        <w:gridCol w:w="1034"/>
        <w:gridCol w:w="1219"/>
        <w:gridCol w:w="1018"/>
        <w:gridCol w:w="1287"/>
      </w:tblGrid>
      <w:tr w:rsidR="00466EF5" w:rsidRPr="00071B32" w14:paraId="2062E1C8" w14:textId="77777777" w:rsidTr="00BA7936">
        <w:trPr>
          <w:trHeight w:val="264"/>
        </w:trPr>
        <w:tc>
          <w:tcPr>
            <w:tcW w:w="9058" w:type="dxa"/>
            <w:gridSpan w:val="7"/>
            <w:shd w:val="clear" w:color="auto" w:fill="003399"/>
          </w:tcPr>
          <w:p w14:paraId="397D8BA4" w14:textId="42A011A3" w:rsidR="00466EF5" w:rsidRPr="00071B32" w:rsidRDefault="00466EF5" w:rsidP="000878F6">
            <w:pPr>
              <w:pStyle w:val="Table"/>
              <w:rPr>
                <w:b/>
                <w:color w:val="FFFFFF" w:themeColor="background1"/>
                <w:szCs w:val="20"/>
              </w:rPr>
            </w:pPr>
            <w:r w:rsidRPr="00071B32">
              <w:rPr>
                <w:b/>
                <w:color w:val="FFFFFF" w:themeColor="background1"/>
                <w:szCs w:val="20"/>
              </w:rPr>
              <w:t xml:space="preserve">Table </w:t>
            </w:r>
            <w:r w:rsidR="00490085">
              <w:rPr>
                <w:b/>
                <w:bCs/>
                <w:color w:val="FFFFFF" w:themeColor="background1"/>
                <w:szCs w:val="20"/>
              </w:rPr>
              <w:t>A6</w:t>
            </w:r>
            <w:r w:rsidRPr="00071B32">
              <w:rPr>
                <w:b/>
                <w:bCs/>
                <w:color w:val="FFFFFF" w:themeColor="background1"/>
                <w:szCs w:val="20"/>
              </w:rPr>
              <w:t>-</w:t>
            </w:r>
            <w:r w:rsidRPr="00071B32">
              <w:rPr>
                <w:b/>
                <w:bCs/>
                <w:color w:val="FFFFFF" w:themeColor="background1"/>
                <w:szCs w:val="20"/>
              </w:rPr>
              <w:fldChar w:fldCharType="begin"/>
            </w:r>
            <w:r w:rsidRPr="00071B32">
              <w:rPr>
                <w:b/>
                <w:bCs/>
                <w:color w:val="FFFFFF" w:themeColor="background1"/>
                <w:szCs w:val="20"/>
              </w:rPr>
              <w:instrText xml:space="preserve"> SEQ Table_A5- \* ARABIC </w:instrText>
            </w:r>
            <w:r w:rsidRPr="00071B32">
              <w:rPr>
                <w:b/>
                <w:bCs/>
                <w:color w:val="FFFFFF" w:themeColor="background1"/>
                <w:szCs w:val="20"/>
              </w:rPr>
              <w:fldChar w:fldCharType="separate"/>
            </w:r>
            <w:r>
              <w:rPr>
                <w:b/>
                <w:bCs/>
                <w:noProof/>
                <w:color w:val="FFFFFF" w:themeColor="background1"/>
                <w:szCs w:val="20"/>
              </w:rPr>
              <w:t>18</w:t>
            </w:r>
            <w:r w:rsidRPr="00071B32">
              <w:rPr>
                <w:b/>
                <w:bCs/>
                <w:color w:val="FFFFFF" w:themeColor="background1"/>
                <w:szCs w:val="20"/>
              </w:rPr>
              <w:fldChar w:fldCharType="end"/>
            </w:r>
            <w:r w:rsidRPr="00071B32">
              <w:rPr>
                <w:b/>
                <w:bCs/>
                <w:color w:val="FFFFFF" w:themeColor="background1"/>
                <w:szCs w:val="20"/>
                <w:lang w:eastAsia="en-GB"/>
              </w:rPr>
              <w:t>:</w:t>
            </w:r>
            <w:r w:rsidRPr="00071B32">
              <w:rPr>
                <w:b/>
                <w:color w:val="FFFFFF" w:themeColor="background1"/>
                <w:szCs w:val="20"/>
                <w:lang w:eastAsia="en-GB"/>
              </w:rPr>
              <w:t xml:space="preserve"> Environmental Impacts and Revenue Changes in Bulgaria – Scenario A</w:t>
            </w:r>
          </w:p>
        </w:tc>
      </w:tr>
      <w:tr w:rsidR="00466EF5" w:rsidRPr="00071B32" w14:paraId="31904B5A" w14:textId="77777777" w:rsidTr="00BA7936">
        <w:trPr>
          <w:trHeight w:val="504"/>
        </w:trPr>
        <w:tc>
          <w:tcPr>
            <w:tcW w:w="2246" w:type="dxa"/>
          </w:tcPr>
          <w:p w14:paraId="0C7C68E9" w14:textId="77777777" w:rsidR="00466EF5" w:rsidRPr="00071B32" w:rsidRDefault="00466EF5" w:rsidP="000878F6">
            <w:pPr>
              <w:pStyle w:val="Table"/>
              <w:rPr>
                <w:b/>
                <w:szCs w:val="20"/>
              </w:rPr>
            </w:pPr>
            <w:r w:rsidRPr="00071B32">
              <w:rPr>
                <w:b/>
                <w:szCs w:val="20"/>
              </w:rPr>
              <w:t>Tax Name</w:t>
            </w:r>
          </w:p>
        </w:tc>
        <w:tc>
          <w:tcPr>
            <w:tcW w:w="2254" w:type="dxa"/>
            <w:gridSpan w:val="2"/>
            <w:vAlign w:val="bottom"/>
          </w:tcPr>
          <w:p w14:paraId="1BD16F6A" w14:textId="77777777" w:rsidR="00466EF5" w:rsidRPr="00071B32" w:rsidRDefault="00466EF5" w:rsidP="000878F6">
            <w:pPr>
              <w:pStyle w:val="Table"/>
              <w:jc w:val="center"/>
              <w:rPr>
                <w:b/>
                <w:szCs w:val="20"/>
              </w:rPr>
            </w:pPr>
            <w:r>
              <w:rPr>
                <w:rFonts w:ascii="Calibri" w:hAnsi="Calibri" w:cs="Calibri"/>
                <w:b/>
                <w:bCs/>
                <w:color w:val="000000"/>
                <w:szCs w:val="20"/>
              </w:rPr>
              <w:t>% Change in Quantities as % of taxed sector</w:t>
            </w:r>
          </w:p>
        </w:tc>
        <w:tc>
          <w:tcPr>
            <w:tcW w:w="2253" w:type="dxa"/>
            <w:gridSpan w:val="2"/>
            <w:vAlign w:val="bottom"/>
          </w:tcPr>
          <w:p w14:paraId="4CABF4E6" w14:textId="77777777" w:rsidR="00466EF5" w:rsidRPr="00071B32" w:rsidRDefault="00466EF5" w:rsidP="000878F6">
            <w:pPr>
              <w:pStyle w:val="Table"/>
              <w:jc w:val="center"/>
              <w:rPr>
                <w:b/>
                <w:szCs w:val="20"/>
              </w:rPr>
            </w:pPr>
            <w:r>
              <w:rPr>
                <w:rFonts w:ascii="Calibri" w:hAnsi="Calibri" w:cs="Calibri"/>
                <w:b/>
                <w:bCs/>
                <w:color w:val="000000"/>
                <w:szCs w:val="20"/>
              </w:rPr>
              <w:t>Change in Revenues (€Mn)</w:t>
            </w:r>
          </w:p>
        </w:tc>
        <w:tc>
          <w:tcPr>
            <w:tcW w:w="2305" w:type="dxa"/>
            <w:gridSpan w:val="2"/>
            <w:vAlign w:val="bottom"/>
          </w:tcPr>
          <w:p w14:paraId="7BDEE8A7" w14:textId="77777777" w:rsidR="00466EF5" w:rsidRPr="00071B32" w:rsidRDefault="00466EF5" w:rsidP="000878F6">
            <w:pPr>
              <w:pStyle w:val="Table"/>
              <w:jc w:val="center"/>
              <w:rPr>
                <w:b/>
                <w:szCs w:val="20"/>
              </w:rPr>
            </w:pPr>
            <w:r>
              <w:rPr>
                <w:rFonts w:ascii="Calibri" w:hAnsi="Calibri" w:cs="Calibri"/>
                <w:b/>
                <w:bCs/>
                <w:color w:val="000000"/>
                <w:szCs w:val="20"/>
              </w:rPr>
              <w:t>As % of 2023 Resource Tax</w:t>
            </w:r>
          </w:p>
        </w:tc>
      </w:tr>
      <w:tr w:rsidR="00466EF5" w:rsidRPr="00071B32" w14:paraId="4FD1562C" w14:textId="77777777" w:rsidTr="00BA7936">
        <w:trPr>
          <w:trHeight w:val="242"/>
        </w:trPr>
        <w:tc>
          <w:tcPr>
            <w:tcW w:w="2246" w:type="dxa"/>
          </w:tcPr>
          <w:p w14:paraId="07A778C4" w14:textId="77777777" w:rsidR="00466EF5" w:rsidRPr="00071B32" w:rsidRDefault="00466EF5" w:rsidP="000878F6">
            <w:pPr>
              <w:pStyle w:val="Table"/>
              <w:rPr>
                <w:b/>
                <w:szCs w:val="20"/>
              </w:rPr>
            </w:pPr>
            <w:r w:rsidRPr="00071B32">
              <w:rPr>
                <w:b/>
                <w:szCs w:val="20"/>
              </w:rPr>
              <w:t>Year</w:t>
            </w:r>
          </w:p>
        </w:tc>
        <w:tc>
          <w:tcPr>
            <w:tcW w:w="1127" w:type="dxa"/>
          </w:tcPr>
          <w:p w14:paraId="3ED0AC1A" w14:textId="77777777" w:rsidR="00466EF5" w:rsidRPr="00071B32" w:rsidRDefault="00466EF5" w:rsidP="000878F6">
            <w:pPr>
              <w:pStyle w:val="Table"/>
              <w:jc w:val="center"/>
              <w:rPr>
                <w:b/>
                <w:szCs w:val="20"/>
              </w:rPr>
            </w:pPr>
            <w:r w:rsidRPr="00071B32">
              <w:rPr>
                <w:b/>
                <w:szCs w:val="20"/>
              </w:rPr>
              <w:t>2030</w:t>
            </w:r>
          </w:p>
        </w:tc>
        <w:tc>
          <w:tcPr>
            <w:tcW w:w="1127" w:type="dxa"/>
          </w:tcPr>
          <w:p w14:paraId="6667446C" w14:textId="77777777" w:rsidR="00466EF5" w:rsidRPr="00071B32" w:rsidRDefault="00466EF5" w:rsidP="000878F6">
            <w:pPr>
              <w:pStyle w:val="Table"/>
              <w:jc w:val="center"/>
              <w:rPr>
                <w:b/>
                <w:szCs w:val="20"/>
              </w:rPr>
            </w:pPr>
            <w:r w:rsidRPr="00071B32">
              <w:rPr>
                <w:b/>
                <w:szCs w:val="20"/>
              </w:rPr>
              <w:t>2035</w:t>
            </w:r>
          </w:p>
        </w:tc>
        <w:tc>
          <w:tcPr>
            <w:tcW w:w="1034" w:type="dxa"/>
          </w:tcPr>
          <w:p w14:paraId="22B8E16A" w14:textId="77777777" w:rsidR="00466EF5" w:rsidRPr="00071B32" w:rsidRDefault="00466EF5" w:rsidP="000878F6">
            <w:pPr>
              <w:pStyle w:val="Table"/>
              <w:jc w:val="center"/>
              <w:rPr>
                <w:b/>
                <w:szCs w:val="20"/>
              </w:rPr>
            </w:pPr>
            <w:r w:rsidRPr="00071B32">
              <w:rPr>
                <w:b/>
                <w:szCs w:val="20"/>
              </w:rPr>
              <w:t>2030</w:t>
            </w:r>
          </w:p>
        </w:tc>
        <w:tc>
          <w:tcPr>
            <w:tcW w:w="1219" w:type="dxa"/>
          </w:tcPr>
          <w:p w14:paraId="29AC74DA" w14:textId="77777777" w:rsidR="00466EF5" w:rsidRPr="00071B32" w:rsidRDefault="00466EF5" w:rsidP="000878F6">
            <w:pPr>
              <w:pStyle w:val="Table"/>
              <w:jc w:val="center"/>
              <w:rPr>
                <w:b/>
                <w:szCs w:val="20"/>
              </w:rPr>
            </w:pPr>
            <w:r w:rsidRPr="00071B32">
              <w:rPr>
                <w:b/>
                <w:szCs w:val="20"/>
              </w:rPr>
              <w:t>2035</w:t>
            </w:r>
          </w:p>
        </w:tc>
        <w:tc>
          <w:tcPr>
            <w:tcW w:w="1018" w:type="dxa"/>
          </w:tcPr>
          <w:p w14:paraId="580BA4C3" w14:textId="77777777" w:rsidR="00466EF5" w:rsidRPr="00071B32" w:rsidRDefault="00466EF5" w:rsidP="000878F6">
            <w:pPr>
              <w:pStyle w:val="Table"/>
              <w:jc w:val="center"/>
              <w:rPr>
                <w:b/>
                <w:szCs w:val="20"/>
              </w:rPr>
            </w:pPr>
            <w:r w:rsidRPr="00071B32">
              <w:rPr>
                <w:b/>
                <w:szCs w:val="20"/>
              </w:rPr>
              <w:t>2030</w:t>
            </w:r>
          </w:p>
        </w:tc>
        <w:tc>
          <w:tcPr>
            <w:tcW w:w="1287" w:type="dxa"/>
          </w:tcPr>
          <w:p w14:paraId="51BCB750" w14:textId="77777777" w:rsidR="00466EF5" w:rsidRPr="00071B32" w:rsidRDefault="00466EF5" w:rsidP="000878F6">
            <w:pPr>
              <w:pStyle w:val="Table"/>
              <w:jc w:val="center"/>
              <w:rPr>
                <w:b/>
                <w:szCs w:val="20"/>
              </w:rPr>
            </w:pPr>
            <w:r w:rsidRPr="00071B32">
              <w:rPr>
                <w:b/>
                <w:szCs w:val="20"/>
              </w:rPr>
              <w:t>2035</w:t>
            </w:r>
          </w:p>
        </w:tc>
      </w:tr>
      <w:tr w:rsidR="00466EF5" w:rsidRPr="00071B32" w14:paraId="1CC8592E" w14:textId="77777777" w:rsidTr="00BA7936">
        <w:trPr>
          <w:trHeight w:val="242"/>
        </w:trPr>
        <w:tc>
          <w:tcPr>
            <w:tcW w:w="2246" w:type="dxa"/>
          </w:tcPr>
          <w:p w14:paraId="2CE3B538" w14:textId="77777777" w:rsidR="00466EF5" w:rsidRPr="00071B32" w:rsidRDefault="00466EF5" w:rsidP="000878F6">
            <w:pPr>
              <w:pStyle w:val="Table"/>
              <w:rPr>
                <w:szCs w:val="20"/>
              </w:rPr>
            </w:pPr>
            <w:r w:rsidRPr="00071B32">
              <w:rPr>
                <w:szCs w:val="20"/>
              </w:rPr>
              <w:t>NOx</w:t>
            </w:r>
          </w:p>
        </w:tc>
        <w:tc>
          <w:tcPr>
            <w:tcW w:w="1127" w:type="dxa"/>
            <w:vAlign w:val="center"/>
          </w:tcPr>
          <w:p w14:paraId="36ABFA03" w14:textId="77777777" w:rsidR="00466EF5" w:rsidRPr="00071B32" w:rsidRDefault="00466EF5" w:rsidP="000878F6">
            <w:pPr>
              <w:pStyle w:val="Table"/>
              <w:jc w:val="center"/>
              <w:rPr>
                <w:szCs w:val="20"/>
              </w:rPr>
            </w:pPr>
            <w:r w:rsidRPr="00071B32">
              <w:rPr>
                <w:rFonts w:ascii="Calibri" w:hAnsi="Calibri" w:cs="Calibri"/>
                <w:color w:val="000000"/>
                <w:szCs w:val="20"/>
              </w:rPr>
              <w:t>-28,57%</w:t>
            </w:r>
          </w:p>
        </w:tc>
        <w:tc>
          <w:tcPr>
            <w:tcW w:w="1127" w:type="dxa"/>
            <w:vAlign w:val="center"/>
          </w:tcPr>
          <w:p w14:paraId="7EA328AB" w14:textId="77777777" w:rsidR="00466EF5" w:rsidRPr="00071B32" w:rsidRDefault="00466EF5" w:rsidP="000878F6">
            <w:pPr>
              <w:pStyle w:val="Table"/>
              <w:jc w:val="center"/>
              <w:rPr>
                <w:szCs w:val="20"/>
              </w:rPr>
            </w:pPr>
            <w:r w:rsidRPr="00071B32">
              <w:rPr>
                <w:rFonts w:ascii="Calibri" w:hAnsi="Calibri" w:cs="Calibri"/>
                <w:color w:val="000000"/>
                <w:szCs w:val="20"/>
              </w:rPr>
              <w:t>-28,57%</w:t>
            </w:r>
          </w:p>
        </w:tc>
        <w:tc>
          <w:tcPr>
            <w:tcW w:w="1034" w:type="dxa"/>
            <w:vAlign w:val="center"/>
          </w:tcPr>
          <w:p w14:paraId="545C1152" w14:textId="77777777" w:rsidR="00466EF5" w:rsidRPr="00071B32" w:rsidRDefault="00466EF5" w:rsidP="000878F6">
            <w:pPr>
              <w:pStyle w:val="Table"/>
              <w:jc w:val="center"/>
              <w:rPr>
                <w:szCs w:val="20"/>
              </w:rPr>
            </w:pPr>
            <w:r w:rsidRPr="00071B32">
              <w:rPr>
                <w:rFonts w:ascii="Calibri" w:hAnsi="Calibri" w:cs="Calibri"/>
                <w:color w:val="000000"/>
                <w:szCs w:val="20"/>
              </w:rPr>
              <w:t>0,57</w:t>
            </w:r>
          </w:p>
        </w:tc>
        <w:tc>
          <w:tcPr>
            <w:tcW w:w="1219" w:type="dxa"/>
            <w:vAlign w:val="center"/>
          </w:tcPr>
          <w:p w14:paraId="6B115186" w14:textId="77777777" w:rsidR="00466EF5" w:rsidRPr="00071B32" w:rsidRDefault="00466EF5" w:rsidP="000878F6">
            <w:pPr>
              <w:pStyle w:val="Table"/>
              <w:jc w:val="center"/>
              <w:rPr>
                <w:szCs w:val="20"/>
              </w:rPr>
            </w:pPr>
            <w:r w:rsidRPr="00071B32">
              <w:rPr>
                <w:rFonts w:ascii="Calibri" w:hAnsi="Calibri" w:cs="Calibri"/>
                <w:color w:val="000000"/>
                <w:szCs w:val="20"/>
              </w:rPr>
              <w:t>0,44</w:t>
            </w:r>
          </w:p>
        </w:tc>
        <w:tc>
          <w:tcPr>
            <w:tcW w:w="1018" w:type="dxa"/>
            <w:vAlign w:val="center"/>
          </w:tcPr>
          <w:p w14:paraId="1271809C" w14:textId="77777777" w:rsidR="00466EF5" w:rsidRPr="00071B32" w:rsidRDefault="00466EF5" w:rsidP="000878F6">
            <w:pPr>
              <w:pStyle w:val="Table"/>
              <w:jc w:val="center"/>
              <w:rPr>
                <w:szCs w:val="20"/>
              </w:rPr>
            </w:pPr>
            <w:r w:rsidRPr="00071B32">
              <w:rPr>
                <w:rFonts w:ascii="Calibri" w:hAnsi="Calibri" w:cs="Calibri"/>
                <w:color w:val="000000"/>
                <w:szCs w:val="20"/>
              </w:rPr>
              <w:t>11,06%</w:t>
            </w:r>
          </w:p>
        </w:tc>
        <w:tc>
          <w:tcPr>
            <w:tcW w:w="1287" w:type="dxa"/>
            <w:vAlign w:val="center"/>
          </w:tcPr>
          <w:p w14:paraId="275FAEF9" w14:textId="77777777" w:rsidR="00466EF5" w:rsidRPr="00071B32" w:rsidRDefault="00466EF5" w:rsidP="000878F6">
            <w:pPr>
              <w:pStyle w:val="Table"/>
              <w:jc w:val="center"/>
              <w:rPr>
                <w:szCs w:val="20"/>
              </w:rPr>
            </w:pPr>
            <w:r w:rsidRPr="00071B32">
              <w:rPr>
                <w:rFonts w:ascii="Calibri" w:hAnsi="Calibri" w:cs="Calibri"/>
                <w:color w:val="000000"/>
                <w:szCs w:val="20"/>
              </w:rPr>
              <w:t>8,49%</w:t>
            </w:r>
          </w:p>
        </w:tc>
      </w:tr>
      <w:tr w:rsidR="00466EF5" w:rsidRPr="00071B32" w14:paraId="3D422D6E" w14:textId="77777777" w:rsidTr="00BA7936">
        <w:trPr>
          <w:trHeight w:val="242"/>
        </w:trPr>
        <w:tc>
          <w:tcPr>
            <w:tcW w:w="2246" w:type="dxa"/>
          </w:tcPr>
          <w:p w14:paraId="4D120191" w14:textId="77777777" w:rsidR="00466EF5" w:rsidRPr="00071B32" w:rsidRDefault="00466EF5" w:rsidP="000878F6">
            <w:pPr>
              <w:pStyle w:val="Table"/>
              <w:rPr>
                <w:szCs w:val="20"/>
              </w:rPr>
            </w:pPr>
            <w:r w:rsidRPr="00071B32">
              <w:rPr>
                <w:szCs w:val="20"/>
              </w:rPr>
              <w:t>SO2</w:t>
            </w:r>
          </w:p>
        </w:tc>
        <w:tc>
          <w:tcPr>
            <w:tcW w:w="1127" w:type="dxa"/>
            <w:vAlign w:val="center"/>
          </w:tcPr>
          <w:p w14:paraId="46D2F8EF" w14:textId="77777777" w:rsidR="00466EF5" w:rsidRPr="00071B32" w:rsidRDefault="00466EF5" w:rsidP="000878F6">
            <w:pPr>
              <w:pStyle w:val="Table"/>
              <w:jc w:val="center"/>
              <w:rPr>
                <w:szCs w:val="20"/>
              </w:rPr>
            </w:pPr>
            <w:r w:rsidRPr="00071B32">
              <w:rPr>
                <w:rFonts w:ascii="Calibri" w:hAnsi="Calibri" w:cs="Calibri"/>
                <w:color w:val="000000"/>
                <w:szCs w:val="20"/>
              </w:rPr>
              <w:t>-32,43%</w:t>
            </w:r>
          </w:p>
        </w:tc>
        <w:tc>
          <w:tcPr>
            <w:tcW w:w="1127" w:type="dxa"/>
            <w:vAlign w:val="center"/>
          </w:tcPr>
          <w:p w14:paraId="26A4B9D3" w14:textId="77777777" w:rsidR="00466EF5" w:rsidRPr="00071B32" w:rsidRDefault="00466EF5" w:rsidP="000878F6">
            <w:pPr>
              <w:pStyle w:val="Table"/>
              <w:jc w:val="center"/>
              <w:rPr>
                <w:szCs w:val="20"/>
              </w:rPr>
            </w:pPr>
            <w:r w:rsidRPr="00071B32">
              <w:rPr>
                <w:rFonts w:ascii="Calibri" w:hAnsi="Calibri" w:cs="Calibri"/>
                <w:color w:val="000000"/>
                <w:szCs w:val="20"/>
              </w:rPr>
              <w:t>-32,43%</w:t>
            </w:r>
          </w:p>
        </w:tc>
        <w:tc>
          <w:tcPr>
            <w:tcW w:w="1034" w:type="dxa"/>
            <w:vAlign w:val="center"/>
          </w:tcPr>
          <w:p w14:paraId="187994B1" w14:textId="77777777" w:rsidR="00466EF5" w:rsidRPr="00071B32" w:rsidRDefault="00466EF5" w:rsidP="000878F6">
            <w:pPr>
              <w:pStyle w:val="Table"/>
              <w:jc w:val="center"/>
              <w:rPr>
                <w:szCs w:val="20"/>
              </w:rPr>
            </w:pPr>
            <w:r w:rsidRPr="00071B32">
              <w:rPr>
                <w:rFonts w:ascii="Calibri" w:hAnsi="Calibri" w:cs="Calibri"/>
                <w:color w:val="000000"/>
                <w:szCs w:val="20"/>
              </w:rPr>
              <w:t>16,78</w:t>
            </w:r>
          </w:p>
        </w:tc>
        <w:tc>
          <w:tcPr>
            <w:tcW w:w="1219" w:type="dxa"/>
            <w:vAlign w:val="center"/>
          </w:tcPr>
          <w:p w14:paraId="0B4A1741" w14:textId="77777777" w:rsidR="00466EF5" w:rsidRPr="00071B32" w:rsidRDefault="00466EF5" w:rsidP="000878F6">
            <w:pPr>
              <w:pStyle w:val="Table"/>
              <w:jc w:val="center"/>
              <w:rPr>
                <w:szCs w:val="20"/>
              </w:rPr>
            </w:pPr>
            <w:r w:rsidRPr="00071B32">
              <w:rPr>
                <w:rFonts w:ascii="Calibri" w:hAnsi="Calibri" w:cs="Calibri"/>
                <w:color w:val="000000"/>
                <w:szCs w:val="20"/>
              </w:rPr>
              <w:t>7,54</w:t>
            </w:r>
          </w:p>
        </w:tc>
        <w:tc>
          <w:tcPr>
            <w:tcW w:w="1018" w:type="dxa"/>
            <w:vAlign w:val="center"/>
          </w:tcPr>
          <w:p w14:paraId="346AE0FF" w14:textId="77777777" w:rsidR="00466EF5" w:rsidRPr="00071B32" w:rsidRDefault="00466EF5" w:rsidP="000878F6">
            <w:pPr>
              <w:pStyle w:val="Table"/>
              <w:jc w:val="center"/>
              <w:rPr>
                <w:szCs w:val="20"/>
              </w:rPr>
            </w:pPr>
            <w:r w:rsidRPr="00071B32">
              <w:rPr>
                <w:rFonts w:ascii="Calibri" w:hAnsi="Calibri" w:cs="Calibri"/>
                <w:color w:val="000000"/>
                <w:szCs w:val="20"/>
              </w:rPr>
              <w:t>326,51%</w:t>
            </w:r>
          </w:p>
        </w:tc>
        <w:tc>
          <w:tcPr>
            <w:tcW w:w="1287" w:type="dxa"/>
            <w:vAlign w:val="center"/>
          </w:tcPr>
          <w:p w14:paraId="03465BF3" w14:textId="77777777" w:rsidR="00466EF5" w:rsidRPr="00071B32" w:rsidRDefault="00466EF5" w:rsidP="000878F6">
            <w:pPr>
              <w:pStyle w:val="Table"/>
              <w:jc w:val="center"/>
              <w:rPr>
                <w:szCs w:val="20"/>
              </w:rPr>
            </w:pPr>
            <w:r w:rsidRPr="00071B32">
              <w:rPr>
                <w:rFonts w:ascii="Calibri" w:hAnsi="Calibri" w:cs="Calibri"/>
                <w:color w:val="000000"/>
                <w:szCs w:val="20"/>
              </w:rPr>
              <w:t>146,70%</w:t>
            </w:r>
          </w:p>
        </w:tc>
      </w:tr>
      <w:tr w:rsidR="00466EF5" w:rsidRPr="00071B32" w14:paraId="2DAB4567" w14:textId="77777777" w:rsidTr="00BA7936">
        <w:trPr>
          <w:trHeight w:val="242"/>
        </w:trPr>
        <w:tc>
          <w:tcPr>
            <w:tcW w:w="2246" w:type="dxa"/>
          </w:tcPr>
          <w:p w14:paraId="2ED598A0" w14:textId="77777777" w:rsidR="00466EF5" w:rsidRPr="00071B32" w:rsidRDefault="00466EF5" w:rsidP="000878F6">
            <w:pPr>
              <w:pStyle w:val="Table"/>
              <w:rPr>
                <w:szCs w:val="20"/>
              </w:rPr>
            </w:pPr>
            <w:r w:rsidRPr="00071B32">
              <w:rPr>
                <w:szCs w:val="20"/>
              </w:rPr>
              <w:t>PM2.5</w:t>
            </w:r>
          </w:p>
        </w:tc>
        <w:tc>
          <w:tcPr>
            <w:tcW w:w="1127" w:type="dxa"/>
            <w:vAlign w:val="center"/>
          </w:tcPr>
          <w:p w14:paraId="534CFD6D" w14:textId="77777777" w:rsidR="00466EF5" w:rsidRPr="00071B32" w:rsidRDefault="00466EF5" w:rsidP="000878F6">
            <w:pPr>
              <w:pStyle w:val="Table"/>
              <w:jc w:val="center"/>
              <w:rPr>
                <w:szCs w:val="20"/>
              </w:rPr>
            </w:pPr>
            <w:r w:rsidRPr="00071B32">
              <w:rPr>
                <w:rFonts w:ascii="Calibri" w:hAnsi="Calibri" w:cs="Calibri"/>
                <w:color w:val="000000"/>
                <w:szCs w:val="20"/>
              </w:rPr>
              <w:t>-29,58%</w:t>
            </w:r>
          </w:p>
        </w:tc>
        <w:tc>
          <w:tcPr>
            <w:tcW w:w="1127" w:type="dxa"/>
            <w:vAlign w:val="center"/>
          </w:tcPr>
          <w:p w14:paraId="4BA32D7E" w14:textId="77777777" w:rsidR="00466EF5" w:rsidRPr="00071B32" w:rsidRDefault="00466EF5" w:rsidP="000878F6">
            <w:pPr>
              <w:pStyle w:val="Table"/>
              <w:jc w:val="center"/>
              <w:rPr>
                <w:szCs w:val="20"/>
              </w:rPr>
            </w:pPr>
            <w:r w:rsidRPr="00071B32">
              <w:rPr>
                <w:rFonts w:ascii="Calibri" w:hAnsi="Calibri" w:cs="Calibri"/>
                <w:color w:val="000000"/>
                <w:szCs w:val="20"/>
              </w:rPr>
              <w:t>-29,58%</w:t>
            </w:r>
          </w:p>
        </w:tc>
        <w:tc>
          <w:tcPr>
            <w:tcW w:w="1034" w:type="dxa"/>
            <w:vAlign w:val="center"/>
          </w:tcPr>
          <w:p w14:paraId="4E150E05" w14:textId="77777777" w:rsidR="00466EF5" w:rsidRPr="00071B32" w:rsidRDefault="00466EF5" w:rsidP="000878F6">
            <w:pPr>
              <w:pStyle w:val="Table"/>
              <w:jc w:val="center"/>
              <w:rPr>
                <w:szCs w:val="20"/>
              </w:rPr>
            </w:pPr>
            <w:r w:rsidRPr="00071B32">
              <w:rPr>
                <w:rFonts w:ascii="Calibri" w:hAnsi="Calibri" w:cs="Calibri"/>
                <w:color w:val="000000"/>
                <w:szCs w:val="20"/>
              </w:rPr>
              <w:t>3,11</w:t>
            </w:r>
          </w:p>
        </w:tc>
        <w:tc>
          <w:tcPr>
            <w:tcW w:w="1219" w:type="dxa"/>
            <w:vAlign w:val="center"/>
          </w:tcPr>
          <w:p w14:paraId="18C7A817" w14:textId="77777777" w:rsidR="00466EF5" w:rsidRPr="00071B32" w:rsidRDefault="00466EF5" w:rsidP="000878F6">
            <w:pPr>
              <w:pStyle w:val="Table"/>
              <w:jc w:val="center"/>
              <w:rPr>
                <w:szCs w:val="20"/>
              </w:rPr>
            </w:pPr>
            <w:r w:rsidRPr="00071B32">
              <w:rPr>
                <w:rFonts w:ascii="Calibri" w:hAnsi="Calibri" w:cs="Calibri"/>
                <w:color w:val="000000"/>
                <w:szCs w:val="20"/>
              </w:rPr>
              <w:t>2,68</w:t>
            </w:r>
          </w:p>
        </w:tc>
        <w:tc>
          <w:tcPr>
            <w:tcW w:w="1018" w:type="dxa"/>
            <w:vAlign w:val="center"/>
          </w:tcPr>
          <w:p w14:paraId="3E883EC4" w14:textId="77777777" w:rsidR="00466EF5" w:rsidRPr="00071B32" w:rsidRDefault="00466EF5" w:rsidP="000878F6">
            <w:pPr>
              <w:pStyle w:val="Table"/>
              <w:jc w:val="center"/>
              <w:rPr>
                <w:szCs w:val="20"/>
              </w:rPr>
            </w:pPr>
            <w:r w:rsidRPr="00071B32">
              <w:rPr>
                <w:rFonts w:ascii="Calibri" w:hAnsi="Calibri" w:cs="Calibri"/>
                <w:color w:val="000000"/>
                <w:szCs w:val="20"/>
              </w:rPr>
              <w:t>60,48%</w:t>
            </w:r>
          </w:p>
        </w:tc>
        <w:tc>
          <w:tcPr>
            <w:tcW w:w="1287" w:type="dxa"/>
            <w:vAlign w:val="center"/>
          </w:tcPr>
          <w:p w14:paraId="0BDCB8D4" w14:textId="77777777" w:rsidR="00466EF5" w:rsidRPr="00071B32" w:rsidRDefault="00466EF5" w:rsidP="000878F6">
            <w:pPr>
              <w:pStyle w:val="Table"/>
              <w:jc w:val="center"/>
              <w:rPr>
                <w:szCs w:val="20"/>
              </w:rPr>
            </w:pPr>
            <w:r w:rsidRPr="00071B32">
              <w:rPr>
                <w:rFonts w:ascii="Calibri" w:hAnsi="Calibri" w:cs="Calibri"/>
                <w:color w:val="000000"/>
                <w:szCs w:val="20"/>
              </w:rPr>
              <w:t>52,15%</w:t>
            </w:r>
          </w:p>
        </w:tc>
      </w:tr>
      <w:tr w:rsidR="00466EF5" w:rsidRPr="00071B32" w14:paraId="5ACBD996" w14:textId="77777777" w:rsidTr="00BA7936">
        <w:trPr>
          <w:trHeight w:val="242"/>
        </w:trPr>
        <w:tc>
          <w:tcPr>
            <w:tcW w:w="2246" w:type="dxa"/>
          </w:tcPr>
          <w:p w14:paraId="1E925696" w14:textId="77777777" w:rsidR="00466EF5" w:rsidRPr="00071B32" w:rsidRDefault="00466EF5" w:rsidP="000878F6">
            <w:pPr>
              <w:pStyle w:val="Table"/>
              <w:rPr>
                <w:szCs w:val="20"/>
              </w:rPr>
            </w:pPr>
            <w:r w:rsidRPr="00071B32">
              <w:rPr>
                <w:szCs w:val="20"/>
              </w:rPr>
              <w:t>Water Abstraction</w:t>
            </w:r>
          </w:p>
        </w:tc>
        <w:tc>
          <w:tcPr>
            <w:tcW w:w="1127" w:type="dxa"/>
            <w:vAlign w:val="center"/>
          </w:tcPr>
          <w:p w14:paraId="6F108DFC" w14:textId="77777777" w:rsidR="00466EF5" w:rsidRPr="00071B32" w:rsidRDefault="00466EF5" w:rsidP="000878F6">
            <w:pPr>
              <w:pStyle w:val="Table"/>
              <w:jc w:val="center"/>
              <w:rPr>
                <w:szCs w:val="20"/>
              </w:rPr>
            </w:pPr>
            <w:r w:rsidRPr="00071B32">
              <w:rPr>
                <w:rFonts w:ascii="Calibri" w:hAnsi="Calibri" w:cs="Calibri"/>
                <w:color w:val="000000"/>
                <w:szCs w:val="20"/>
              </w:rPr>
              <w:t>-4,84%</w:t>
            </w:r>
          </w:p>
        </w:tc>
        <w:tc>
          <w:tcPr>
            <w:tcW w:w="1127" w:type="dxa"/>
            <w:vAlign w:val="center"/>
          </w:tcPr>
          <w:p w14:paraId="6923E00D" w14:textId="77777777" w:rsidR="00466EF5" w:rsidRPr="00071B32" w:rsidRDefault="00466EF5" w:rsidP="000878F6">
            <w:pPr>
              <w:pStyle w:val="Table"/>
              <w:jc w:val="center"/>
              <w:rPr>
                <w:szCs w:val="20"/>
              </w:rPr>
            </w:pPr>
            <w:r w:rsidRPr="00071B32">
              <w:rPr>
                <w:rFonts w:ascii="Calibri" w:hAnsi="Calibri" w:cs="Calibri"/>
                <w:color w:val="000000"/>
                <w:szCs w:val="20"/>
              </w:rPr>
              <w:t>-4,84%</w:t>
            </w:r>
          </w:p>
        </w:tc>
        <w:tc>
          <w:tcPr>
            <w:tcW w:w="1034" w:type="dxa"/>
            <w:vAlign w:val="center"/>
          </w:tcPr>
          <w:p w14:paraId="205734F5" w14:textId="77777777" w:rsidR="00466EF5" w:rsidRPr="00071B32" w:rsidRDefault="00466EF5" w:rsidP="000878F6">
            <w:pPr>
              <w:pStyle w:val="Table"/>
              <w:jc w:val="center"/>
              <w:rPr>
                <w:szCs w:val="20"/>
              </w:rPr>
            </w:pPr>
            <w:r w:rsidRPr="00071B32">
              <w:rPr>
                <w:rFonts w:ascii="Calibri" w:hAnsi="Calibri" w:cs="Calibri"/>
                <w:color w:val="000000"/>
                <w:szCs w:val="20"/>
              </w:rPr>
              <w:t>196,64</w:t>
            </w:r>
          </w:p>
        </w:tc>
        <w:tc>
          <w:tcPr>
            <w:tcW w:w="1219" w:type="dxa"/>
            <w:vAlign w:val="center"/>
          </w:tcPr>
          <w:p w14:paraId="4C975380" w14:textId="77777777" w:rsidR="00466EF5" w:rsidRPr="00071B32" w:rsidRDefault="00466EF5" w:rsidP="000878F6">
            <w:pPr>
              <w:pStyle w:val="Table"/>
              <w:jc w:val="center"/>
              <w:rPr>
                <w:szCs w:val="20"/>
              </w:rPr>
            </w:pPr>
            <w:r w:rsidRPr="00071B32">
              <w:rPr>
                <w:rFonts w:ascii="Calibri" w:hAnsi="Calibri" w:cs="Calibri"/>
                <w:color w:val="000000"/>
                <w:szCs w:val="20"/>
              </w:rPr>
              <w:t>192,70</w:t>
            </w:r>
          </w:p>
        </w:tc>
        <w:tc>
          <w:tcPr>
            <w:tcW w:w="1018" w:type="dxa"/>
            <w:vAlign w:val="center"/>
          </w:tcPr>
          <w:p w14:paraId="646B2DB0" w14:textId="77777777" w:rsidR="00466EF5" w:rsidRPr="00071B32" w:rsidRDefault="00466EF5" w:rsidP="000878F6">
            <w:pPr>
              <w:pStyle w:val="Table"/>
              <w:jc w:val="center"/>
              <w:rPr>
                <w:szCs w:val="20"/>
              </w:rPr>
            </w:pPr>
            <w:r w:rsidRPr="00071B32">
              <w:rPr>
                <w:rFonts w:ascii="Calibri" w:hAnsi="Calibri" w:cs="Calibri"/>
                <w:color w:val="000000"/>
                <w:szCs w:val="20"/>
              </w:rPr>
              <w:t>757,77%</w:t>
            </w:r>
          </w:p>
        </w:tc>
        <w:tc>
          <w:tcPr>
            <w:tcW w:w="1287" w:type="dxa"/>
            <w:vAlign w:val="center"/>
          </w:tcPr>
          <w:p w14:paraId="7EC4B11E" w14:textId="77777777" w:rsidR="00466EF5" w:rsidRPr="00071B32" w:rsidRDefault="00466EF5" w:rsidP="000878F6">
            <w:pPr>
              <w:pStyle w:val="Table"/>
              <w:jc w:val="center"/>
              <w:rPr>
                <w:szCs w:val="20"/>
              </w:rPr>
            </w:pPr>
            <w:r w:rsidRPr="00071B32">
              <w:rPr>
                <w:rFonts w:ascii="Calibri" w:hAnsi="Calibri" w:cs="Calibri"/>
                <w:color w:val="000000"/>
                <w:szCs w:val="20"/>
              </w:rPr>
              <w:t>742,56%</w:t>
            </w:r>
          </w:p>
        </w:tc>
      </w:tr>
      <w:tr w:rsidR="00466EF5" w:rsidRPr="00071B32" w14:paraId="721DBB32" w14:textId="77777777" w:rsidTr="00BA7936">
        <w:trPr>
          <w:trHeight w:val="260"/>
        </w:trPr>
        <w:tc>
          <w:tcPr>
            <w:tcW w:w="2246" w:type="dxa"/>
          </w:tcPr>
          <w:p w14:paraId="59673BEA" w14:textId="77777777" w:rsidR="00466EF5" w:rsidRPr="00071B32" w:rsidRDefault="00466EF5" w:rsidP="000878F6">
            <w:pPr>
              <w:pStyle w:val="Table"/>
              <w:rPr>
                <w:szCs w:val="20"/>
              </w:rPr>
            </w:pPr>
            <w:r w:rsidRPr="00071B32">
              <w:rPr>
                <w:szCs w:val="20"/>
              </w:rPr>
              <w:t>Fertilizers</w:t>
            </w:r>
          </w:p>
        </w:tc>
        <w:tc>
          <w:tcPr>
            <w:tcW w:w="1127" w:type="dxa"/>
            <w:vAlign w:val="center"/>
          </w:tcPr>
          <w:p w14:paraId="6872537A" w14:textId="77777777" w:rsidR="00466EF5" w:rsidRPr="00071B32" w:rsidRDefault="00466EF5" w:rsidP="000878F6">
            <w:pPr>
              <w:pStyle w:val="Table"/>
              <w:jc w:val="center"/>
              <w:rPr>
                <w:szCs w:val="20"/>
              </w:rPr>
            </w:pPr>
            <w:r w:rsidRPr="00071B32">
              <w:rPr>
                <w:rFonts w:ascii="Calibri" w:hAnsi="Calibri" w:cs="Calibri"/>
                <w:color w:val="000000"/>
                <w:szCs w:val="20"/>
              </w:rPr>
              <w:t>-11,98%</w:t>
            </w:r>
          </w:p>
        </w:tc>
        <w:tc>
          <w:tcPr>
            <w:tcW w:w="1127" w:type="dxa"/>
            <w:vAlign w:val="center"/>
          </w:tcPr>
          <w:p w14:paraId="04F95680" w14:textId="77777777" w:rsidR="00466EF5" w:rsidRPr="00071B32" w:rsidRDefault="00466EF5" w:rsidP="000878F6">
            <w:pPr>
              <w:pStyle w:val="Table"/>
              <w:jc w:val="center"/>
              <w:rPr>
                <w:szCs w:val="20"/>
              </w:rPr>
            </w:pPr>
            <w:r w:rsidRPr="00071B32">
              <w:rPr>
                <w:rFonts w:ascii="Calibri" w:hAnsi="Calibri" w:cs="Calibri"/>
                <w:color w:val="000000"/>
                <w:szCs w:val="20"/>
              </w:rPr>
              <w:t>-11,98%</w:t>
            </w:r>
          </w:p>
        </w:tc>
        <w:tc>
          <w:tcPr>
            <w:tcW w:w="1034" w:type="dxa"/>
            <w:vAlign w:val="center"/>
          </w:tcPr>
          <w:p w14:paraId="6C78248B" w14:textId="77777777" w:rsidR="00466EF5" w:rsidRPr="00071B32" w:rsidRDefault="00466EF5" w:rsidP="000878F6">
            <w:pPr>
              <w:pStyle w:val="Table"/>
              <w:jc w:val="center"/>
              <w:rPr>
                <w:szCs w:val="20"/>
              </w:rPr>
            </w:pPr>
            <w:r w:rsidRPr="00071B32">
              <w:rPr>
                <w:rFonts w:ascii="Calibri" w:hAnsi="Calibri" w:cs="Calibri"/>
                <w:color w:val="000000"/>
                <w:szCs w:val="20"/>
              </w:rPr>
              <w:t>20,17</w:t>
            </w:r>
          </w:p>
        </w:tc>
        <w:tc>
          <w:tcPr>
            <w:tcW w:w="1219" w:type="dxa"/>
            <w:vAlign w:val="center"/>
          </w:tcPr>
          <w:p w14:paraId="581EE39A" w14:textId="77777777" w:rsidR="00466EF5" w:rsidRPr="00071B32" w:rsidRDefault="00466EF5" w:rsidP="000878F6">
            <w:pPr>
              <w:pStyle w:val="Table"/>
              <w:jc w:val="center"/>
              <w:rPr>
                <w:szCs w:val="20"/>
              </w:rPr>
            </w:pPr>
            <w:r w:rsidRPr="00071B32">
              <w:rPr>
                <w:rFonts w:ascii="Calibri" w:hAnsi="Calibri" w:cs="Calibri"/>
                <w:color w:val="000000"/>
                <w:szCs w:val="20"/>
              </w:rPr>
              <w:t>25,46</w:t>
            </w:r>
          </w:p>
        </w:tc>
        <w:tc>
          <w:tcPr>
            <w:tcW w:w="1018" w:type="dxa"/>
            <w:vAlign w:val="center"/>
          </w:tcPr>
          <w:p w14:paraId="340E7592" w14:textId="77777777" w:rsidR="00466EF5" w:rsidRPr="00071B32" w:rsidRDefault="00466EF5" w:rsidP="000878F6">
            <w:pPr>
              <w:pStyle w:val="Table"/>
              <w:jc w:val="center"/>
              <w:rPr>
                <w:szCs w:val="20"/>
              </w:rPr>
            </w:pPr>
            <w:r w:rsidRPr="00071B32">
              <w:rPr>
                <w:rFonts w:ascii="Calibri" w:hAnsi="Calibri" w:cs="Calibri"/>
                <w:color w:val="000000"/>
                <w:szCs w:val="20"/>
              </w:rPr>
              <w:t>392,41%</w:t>
            </w:r>
          </w:p>
        </w:tc>
        <w:tc>
          <w:tcPr>
            <w:tcW w:w="1287" w:type="dxa"/>
            <w:vAlign w:val="center"/>
          </w:tcPr>
          <w:p w14:paraId="29C127B9" w14:textId="77777777" w:rsidR="00466EF5" w:rsidRPr="00071B32" w:rsidRDefault="00466EF5" w:rsidP="000878F6">
            <w:pPr>
              <w:pStyle w:val="Table"/>
              <w:jc w:val="center"/>
              <w:rPr>
                <w:szCs w:val="20"/>
              </w:rPr>
            </w:pPr>
            <w:r w:rsidRPr="00071B32">
              <w:rPr>
                <w:rFonts w:ascii="Calibri" w:hAnsi="Calibri" w:cs="Calibri"/>
                <w:color w:val="000000"/>
                <w:szCs w:val="20"/>
              </w:rPr>
              <w:t>495,30%</w:t>
            </w:r>
          </w:p>
        </w:tc>
      </w:tr>
      <w:tr w:rsidR="00466EF5" w:rsidRPr="00071B32" w14:paraId="7BE1908F" w14:textId="77777777" w:rsidTr="00BA7936">
        <w:trPr>
          <w:trHeight w:val="242"/>
        </w:trPr>
        <w:tc>
          <w:tcPr>
            <w:tcW w:w="2246" w:type="dxa"/>
          </w:tcPr>
          <w:p w14:paraId="79A368F1" w14:textId="77777777" w:rsidR="00466EF5" w:rsidRPr="00071B32" w:rsidRDefault="00466EF5" w:rsidP="000878F6">
            <w:pPr>
              <w:pStyle w:val="Table"/>
              <w:rPr>
                <w:szCs w:val="20"/>
              </w:rPr>
            </w:pPr>
            <w:r w:rsidRPr="00071B32">
              <w:rPr>
                <w:szCs w:val="20"/>
              </w:rPr>
              <w:t>Pesticides</w:t>
            </w:r>
          </w:p>
        </w:tc>
        <w:tc>
          <w:tcPr>
            <w:tcW w:w="1127" w:type="dxa"/>
            <w:vAlign w:val="center"/>
          </w:tcPr>
          <w:p w14:paraId="0CFDE874" w14:textId="77777777" w:rsidR="00466EF5" w:rsidRPr="00071B32" w:rsidRDefault="00466EF5" w:rsidP="000878F6">
            <w:pPr>
              <w:pStyle w:val="Table"/>
              <w:jc w:val="center"/>
              <w:rPr>
                <w:szCs w:val="20"/>
              </w:rPr>
            </w:pPr>
            <w:r w:rsidRPr="00071B32">
              <w:rPr>
                <w:rFonts w:ascii="Calibri" w:hAnsi="Calibri" w:cs="Calibri"/>
                <w:color w:val="000000"/>
                <w:szCs w:val="20"/>
              </w:rPr>
              <w:t>n/a</w:t>
            </w:r>
          </w:p>
        </w:tc>
        <w:tc>
          <w:tcPr>
            <w:tcW w:w="1127" w:type="dxa"/>
            <w:vAlign w:val="center"/>
          </w:tcPr>
          <w:p w14:paraId="03CB6A35" w14:textId="77777777" w:rsidR="00466EF5" w:rsidRPr="00071B32" w:rsidRDefault="00466EF5" w:rsidP="000878F6">
            <w:pPr>
              <w:pStyle w:val="Table"/>
              <w:jc w:val="center"/>
              <w:rPr>
                <w:szCs w:val="20"/>
              </w:rPr>
            </w:pPr>
            <w:r w:rsidRPr="00071B32">
              <w:rPr>
                <w:rFonts w:ascii="Calibri" w:hAnsi="Calibri" w:cs="Calibri"/>
                <w:color w:val="000000"/>
                <w:szCs w:val="20"/>
              </w:rPr>
              <w:t>n/a</w:t>
            </w:r>
          </w:p>
        </w:tc>
        <w:tc>
          <w:tcPr>
            <w:tcW w:w="1034" w:type="dxa"/>
            <w:vAlign w:val="center"/>
          </w:tcPr>
          <w:p w14:paraId="2DB63258" w14:textId="77777777" w:rsidR="00466EF5" w:rsidRPr="00071B32" w:rsidRDefault="00466EF5" w:rsidP="000878F6">
            <w:pPr>
              <w:pStyle w:val="Table"/>
              <w:jc w:val="center"/>
              <w:rPr>
                <w:szCs w:val="20"/>
              </w:rPr>
            </w:pPr>
            <w:r w:rsidRPr="00071B32">
              <w:rPr>
                <w:rFonts w:ascii="Calibri" w:hAnsi="Calibri" w:cs="Calibri"/>
                <w:color w:val="000000"/>
                <w:szCs w:val="20"/>
              </w:rPr>
              <w:t>16,82</w:t>
            </w:r>
          </w:p>
        </w:tc>
        <w:tc>
          <w:tcPr>
            <w:tcW w:w="1219" w:type="dxa"/>
            <w:vAlign w:val="center"/>
          </w:tcPr>
          <w:p w14:paraId="41B6318F" w14:textId="77777777" w:rsidR="00466EF5" w:rsidRPr="00071B32" w:rsidRDefault="00466EF5" w:rsidP="000878F6">
            <w:pPr>
              <w:pStyle w:val="Table"/>
              <w:jc w:val="center"/>
              <w:rPr>
                <w:szCs w:val="20"/>
              </w:rPr>
            </w:pPr>
            <w:r w:rsidRPr="00071B32">
              <w:rPr>
                <w:rFonts w:ascii="Calibri" w:hAnsi="Calibri" w:cs="Calibri"/>
                <w:color w:val="000000"/>
                <w:szCs w:val="20"/>
              </w:rPr>
              <w:t>16,69</w:t>
            </w:r>
          </w:p>
        </w:tc>
        <w:tc>
          <w:tcPr>
            <w:tcW w:w="1018" w:type="dxa"/>
            <w:vAlign w:val="center"/>
          </w:tcPr>
          <w:p w14:paraId="059821C1" w14:textId="77777777" w:rsidR="00466EF5" w:rsidRPr="00071B32" w:rsidRDefault="00466EF5" w:rsidP="000878F6">
            <w:pPr>
              <w:pStyle w:val="Table"/>
              <w:jc w:val="center"/>
              <w:rPr>
                <w:szCs w:val="20"/>
              </w:rPr>
            </w:pPr>
            <w:r w:rsidRPr="00071B32">
              <w:rPr>
                <w:rFonts w:ascii="Calibri" w:hAnsi="Calibri" w:cs="Calibri"/>
                <w:color w:val="000000"/>
                <w:szCs w:val="20"/>
              </w:rPr>
              <w:t>327,31%</w:t>
            </w:r>
          </w:p>
        </w:tc>
        <w:tc>
          <w:tcPr>
            <w:tcW w:w="1287" w:type="dxa"/>
            <w:vAlign w:val="center"/>
          </w:tcPr>
          <w:p w14:paraId="3853A4AF" w14:textId="77777777" w:rsidR="00466EF5" w:rsidRPr="00071B32" w:rsidRDefault="00466EF5" w:rsidP="000878F6">
            <w:pPr>
              <w:pStyle w:val="Table"/>
              <w:jc w:val="center"/>
              <w:rPr>
                <w:szCs w:val="20"/>
              </w:rPr>
            </w:pPr>
            <w:r w:rsidRPr="00071B32">
              <w:rPr>
                <w:rFonts w:ascii="Calibri" w:hAnsi="Calibri" w:cs="Calibri"/>
                <w:color w:val="000000"/>
                <w:szCs w:val="20"/>
              </w:rPr>
              <w:t>324,61%</w:t>
            </w:r>
          </w:p>
        </w:tc>
      </w:tr>
      <w:tr w:rsidR="00466EF5" w:rsidRPr="00071B32" w14:paraId="3A7775E8" w14:textId="77777777" w:rsidTr="00BA7936">
        <w:trPr>
          <w:trHeight w:val="242"/>
        </w:trPr>
        <w:tc>
          <w:tcPr>
            <w:tcW w:w="2246" w:type="dxa"/>
          </w:tcPr>
          <w:p w14:paraId="1773A6A0" w14:textId="77777777" w:rsidR="00466EF5" w:rsidRPr="00071B32" w:rsidRDefault="00466EF5" w:rsidP="000878F6">
            <w:pPr>
              <w:pStyle w:val="Table"/>
              <w:rPr>
                <w:szCs w:val="20"/>
              </w:rPr>
            </w:pPr>
            <w:r w:rsidRPr="00071B32">
              <w:rPr>
                <w:szCs w:val="20"/>
              </w:rPr>
              <w:t>Waste Incineration</w:t>
            </w:r>
          </w:p>
        </w:tc>
        <w:tc>
          <w:tcPr>
            <w:tcW w:w="1127" w:type="dxa"/>
            <w:vAlign w:val="center"/>
          </w:tcPr>
          <w:p w14:paraId="4ACC1886" w14:textId="77777777" w:rsidR="00466EF5" w:rsidRPr="00071B32" w:rsidRDefault="00466EF5" w:rsidP="000878F6">
            <w:pPr>
              <w:pStyle w:val="Table"/>
              <w:jc w:val="center"/>
              <w:rPr>
                <w:szCs w:val="20"/>
              </w:rPr>
            </w:pPr>
            <w:r w:rsidRPr="00071B32">
              <w:rPr>
                <w:rFonts w:ascii="Calibri" w:hAnsi="Calibri" w:cs="Calibri"/>
                <w:color w:val="000000"/>
                <w:szCs w:val="20"/>
              </w:rPr>
              <w:t>-20,00%</w:t>
            </w:r>
          </w:p>
        </w:tc>
        <w:tc>
          <w:tcPr>
            <w:tcW w:w="1127" w:type="dxa"/>
            <w:vAlign w:val="center"/>
          </w:tcPr>
          <w:p w14:paraId="12D5A2B3" w14:textId="77777777" w:rsidR="00466EF5" w:rsidRPr="00071B32" w:rsidRDefault="00466EF5" w:rsidP="000878F6">
            <w:pPr>
              <w:pStyle w:val="Table"/>
              <w:jc w:val="center"/>
              <w:rPr>
                <w:szCs w:val="20"/>
              </w:rPr>
            </w:pPr>
            <w:r w:rsidRPr="00071B32">
              <w:rPr>
                <w:rFonts w:ascii="Calibri" w:hAnsi="Calibri" w:cs="Calibri"/>
                <w:color w:val="000000"/>
                <w:szCs w:val="20"/>
              </w:rPr>
              <w:t>-20,00%</w:t>
            </w:r>
          </w:p>
        </w:tc>
        <w:tc>
          <w:tcPr>
            <w:tcW w:w="1034" w:type="dxa"/>
            <w:vAlign w:val="center"/>
          </w:tcPr>
          <w:p w14:paraId="28CF7496" w14:textId="77777777" w:rsidR="00466EF5" w:rsidRPr="00071B32" w:rsidRDefault="00466EF5" w:rsidP="000878F6">
            <w:pPr>
              <w:pStyle w:val="Table"/>
              <w:jc w:val="center"/>
              <w:rPr>
                <w:szCs w:val="20"/>
              </w:rPr>
            </w:pPr>
            <w:r w:rsidRPr="00071B32">
              <w:rPr>
                <w:rFonts w:ascii="Calibri" w:hAnsi="Calibri" w:cs="Calibri"/>
                <w:color w:val="000000"/>
                <w:szCs w:val="20"/>
              </w:rPr>
              <w:t>0,01</w:t>
            </w:r>
          </w:p>
        </w:tc>
        <w:tc>
          <w:tcPr>
            <w:tcW w:w="1219" w:type="dxa"/>
            <w:vAlign w:val="center"/>
          </w:tcPr>
          <w:p w14:paraId="39B863E0" w14:textId="77777777" w:rsidR="00466EF5" w:rsidRPr="00071B32" w:rsidRDefault="00466EF5" w:rsidP="000878F6">
            <w:pPr>
              <w:pStyle w:val="Table"/>
              <w:jc w:val="center"/>
              <w:rPr>
                <w:szCs w:val="20"/>
              </w:rPr>
            </w:pPr>
            <w:r w:rsidRPr="00071B32">
              <w:rPr>
                <w:rFonts w:ascii="Calibri" w:hAnsi="Calibri" w:cs="Calibri"/>
                <w:color w:val="000000"/>
                <w:szCs w:val="20"/>
              </w:rPr>
              <w:t>0,00</w:t>
            </w:r>
          </w:p>
        </w:tc>
        <w:tc>
          <w:tcPr>
            <w:tcW w:w="1018" w:type="dxa"/>
            <w:vAlign w:val="center"/>
          </w:tcPr>
          <w:p w14:paraId="71DC69DB" w14:textId="77777777" w:rsidR="00466EF5" w:rsidRPr="00071B32" w:rsidRDefault="00466EF5" w:rsidP="000878F6">
            <w:pPr>
              <w:pStyle w:val="Table"/>
              <w:jc w:val="center"/>
              <w:rPr>
                <w:szCs w:val="20"/>
              </w:rPr>
            </w:pPr>
            <w:r w:rsidRPr="00071B32">
              <w:rPr>
                <w:rFonts w:ascii="Calibri" w:hAnsi="Calibri" w:cs="Calibri"/>
                <w:color w:val="000000"/>
                <w:szCs w:val="20"/>
              </w:rPr>
              <w:t>0,17%</w:t>
            </w:r>
          </w:p>
        </w:tc>
        <w:tc>
          <w:tcPr>
            <w:tcW w:w="1287" w:type="dxa"/>
            <w:vAlign w:val="center"/>
          </w:tcPr>
          <w:p w14:paraId="2FD5DC76" w14:textId="77777777" w:rsidR="00466EF5" w:rsidRPr="00071B32" w:rsidRDefault="00466EF5" w:rsidP="000878F6">
            <w:pPr>
              <w:pStyle w:val="Table"/>
              <w:jc w:val="center"/>
              <w:rPr>
                <w:szCs w:val="20"/>
              </w:rPr>
            </w:pPr>
            <w:r w:rsidRPr="00071B32">
              <w:rPr>
                <w:rFonts w:ascii="Calibri" w:hAnsi="Calibri" w:cs="Calibri"/>
                <w:color w:val="000000"/>
                <w:szCs w:val="20"/>
              </w:rPr>
              <w:t>0,06%</w:t>
            </w:r>
          </w:p>
        </w:tc>
      </w:tr>
      <w:tr w:rsidR="00466EF5" w:rsidRPr="00071B32" w14:paraId="015F3F07" w14:textId="77777777" w:rsidTr="00BA7936">
        <w:trPr>
          <w:trHeight w:val="242"/>
        </w:trPr>
        <w:tc>
          <w:tcPr>
            <w:tcW w:w="2246" w:type="dxa"/>
          </w:tcPr>
          <w:p w14:paraId="13F3135C" w14:textId="77777777" w:rsidR="00466EF5" w:rsidRPr="00071B32" w:rsidRDefault="00466EF5" w:rsidP="000878F6">
            <w:pPr>
              <w:pStyle w:val="Table"/>
              <w:rPr>
                <w:szCs w:val="20"/>
              </w:rPr>
            </w:pPr>
            <w:r w:rsidRPr="00071B32">
              <w:rPr>
                <w:szCs w:val="20"/>
              </w:rPr>
              <w:t>Waste to Landfill</w:t>
            </w:r>
          </w:p>
        </w:tc>
        <w:tc>
          <w:tcPr>
            <w:tcW w:w="1127" w:type="dxa"/>
            <w:vAlign w:val="center"/>
          </w:tcPr>
          <w:p w14:paraId="6F3A6E3C" w14:textId="77777777" w:rsidR="00466EF5" w:rsidRPr="00071B32" w:rsidRDefault="00466EF5" w:rsidP="000878F6">
            <w:pPr>
              <w:pStyle w:val="Table"/>
              <w:jc w:val="center"/>
              <w:rPr>
                <w:szCs w:val="20"/>
              </w:rPr>
            </w:pPr>
            <w:r w:rsidRPr="00071B32">
              <w:rPr>
                <w:rFonts w:ascii="Calibri" w:hAnsi="Calibri" w:cs="Calibri"/>
                <w:color w:val="000000"/>
                <w:szCs w:val="20"/>
              </w:rPr>
              <w:t>-9,24%</w:t>
            </w:r>
          </w:p>
        </w:tc>
        <w:tc>
          <w:tcPr>
            <w:tcW w:w="1127" w:type="dxa"/>
            <w:vAlign w:val="center"/>
          </w:tcPr>
          <w:p w14:paraId="2FA3EE62" w14:textId="77777777" w:rsidR="00466EF5" w:rsidRPr="00071B32" w:rsidRDefault="00466EF5" w:rsidP="000878F6">
            <w:pPr>
              <w:pStyle w:val="Table"/>
              <w:jc w:val="center"/>
              <w:rPr>
                <w:szCs w:val="20"/>
              </w:rPr>
            </w:pPr>
            <w:r w:rsidRPr="00071B32">
              <w:rPr>
                <w:rFonts w:ascii="Calibri" w:hAnsi="Calibri" w:cs="Calibri"/>
                <w:color w:val="000000"/>
                <w:szCs w:val="20"/>
              </w:rPr>
              <w:t>-9,24%</w:t>
            </w:r>
          </w:p>
        </w:tc>
        <w:tc>
          <w:tcPr>
            <w:tcW w:w="1034" w:type="dxa"/>
            <w:vAlign w:val="center"/>
          </w:tcPr>
          <w:p w14:paraId="3EFCDF5F" w14:textId="77777777" w:rsidR="00466EF5" w:rsidRPr="00071B32" w:rsidRDefault="00466EF5" w:rsidP="000878F6">
            <w:pPr>
              <w:pStyle w:val="Table"/>
              <w:jc w:val="center"/>
              <w:rPr>
                <w:szCs w:val="20"/>
              </w:rPr>
            </w:pPr>
            <w:r w:rsidRPr="00071B32">
              <w:rPr>
                <w:rFonts w:ascii="Calibri" w:hAnsi="Calibri" w:cs="Calibri"/>
                <w:color w:val="000000"/>
                <w:szCs w:val="20"/>
              </w:rPr>
              <w:t>236,26</w:t>
            </w:r>
          </w:p>
        </w:tc>
        <w:tc>
          <w:tcPr>
            <w:tcW w:w="1219" w:type="dxa"/>
            <w:vAlign w:val="center"/>
          </w:tcPr>
          <w:p w14:paraId="06121B14" w14:textId="77777777" w:rsidR="00466EF5" w:rsidRPr="00071B32" w:rsidRDefault="00466EF5" w:rsidP="000878F6">
            <w:pPr>
              <w:pStyle w:val="Table"/>
              <w:jc w:val="center"/>
              <w:rPr>
                <w:szCs w:val="20"/>
              </w:rPr>
            </w:pPr>
            <w:r w:rsidRPr="00071B32">
              <w:rPr>
                <w:rFonts w:ascii="Calibri" w:hAnsi="Calibri" w:cs="Calibri"/>
                <w:color w:val="000000"/>
                <w:szCs w:val="20"/>
              </w:rPr>
              <w:t>158,15</w:t>
            </w:r>
          </w:p>
        </w:tc>
        <w:tc>
          <w:tcPr>
            <w:tcW w:w="1018" w:type="dxa"/>
            <w:vAlign w:val="center"/>
          </w:tcPr>
          <w:p w14:paraId="7FA58064" w14:textId="77777777" w:rsidR="00466EF5" w:rsidRPr="00071B32" w:rsidRDefault="00466EF5" w:rsidP="000878F6">
            <w:pPr>
              <w:pStyle w:val="Table"/>
              <w:jc w:val="center"/>
              <w:rPr>
                <w:szCs w:val="20"/>
              </w:rPr>
            </w:pPr>
            <w:r w:rsidRPr="00071B32">
              <w:rPr>
                <w:rFonts w:ascii="Calibri" w:hAnsi="Calibri" w:cs="Calibri"/>
                <w:color w:val="000000"/>
                <w:szCs w:val="20"/>
              </w:rPr>
              <w:t>4596,43%</w:t>
            </w:r>
          </w:p>
        </w:tc>
        <w:tc>
          <w:tcPr>
            <w:tcW w:w="1287" w:type="dxa"/>
            <w:vAlign w:val="center"/>
          </w:tcPr>
          <w:p w14:paraId="0B3B6A07" w14:textId="77777777" w:rsidR="00466EF5" w:rsidRPr="00071B32" w:rsidRDefault="00466EF5" w:rsidP="000878F6">
            <w:pPr>
              <w:pStyle w:val="Table"/>
              <w:jc w:val="center"/>
              <w:rPr>
                <w:szCs w:val="20"/>
              </w:rPr>
            </w:pPr>
            <w:r w:rsidRPr="00071B32">
              <w:rPr>
                <w:rFonts w:ascii="Calibri" w:hAnsi="Calibri" w:cs="Calibri"/>
                <w:color w:val="000000"/>
                <w:szCs w:val="20"/>
              </w:rPr>
              <w:t>3076,83%</w:t>
            </w:r>
          </w:p>
        </w:tc>
      </w:tr>
      <w:tr w:rsidR="00466EF5" w:rsidRPr="00071B32" w14:paraId="2FFE9658" w14:textId="77777777" w:rsidTr="00BA7936">
        <w:trPr>
          <w:trHeight w:val="242"/>
        </w:trPr>
        <w:tc>
          <w:tcPr>
            <w:tcW w:w="2246" w:type="dxa"/>
          </w:tcPr>
          <w:p w14:paraId="3E0190A9" w14:textId="77777777" w:rsidR="00466EF5" w:rsidRPr="00071B32" w:rsidRDefault="00466EF5" w:rsidP="000878F6">
            <w:pPr>
              <w:pStyle w:val="Table"/>
              <w:rPr>
                <w:szCs w:val="20"/>
              </w:rPr>
            </w:pPr>
            <w:r w:rsidRPr="00071B32">
              <w:rPr>
                <w:szCs w:val="20"/>
              </w:rPr>
              <w:t>Water Effluent</w:t>
            </w:r>
          </w:p>
        </w:tc>
        <w:tc>
          <w:tcPr>
            <w:tcW w:w="1127" w:type="dxa"/>
            <w:vAlign w:val="center"/>
          </w:tcPr>
          <w:p w14:paraId="5D17882C" w14:textId="77777777" w:rsidR="00466EF5" w:rsidRPr="00071B32" w:rsidRDefault="00466EF5" w:rsidP="000878F6">
            <w:pPr>
              <w:pStyle w:val="Table"/>
              <w:jc w:val="center"/>
              <w:rPr>
                <w:szCs w:val="20"/>
              </w:rPr>
            </w:pPr>
            <w:r w:rsidRPr="00071B32">
              <w:rPr>
                <w:rFonts w:ascii="Calibri" w:hAnsi="Calibri" w:cs="Calibri"/>
                <w:color w:val="000000"/>
                <w:szCs w:val="20"/>
              </w:rPr>
              <w:t>0,00%</w:t>
            </w:r>
          </w:p>
        </w:tc>
        <w:tc>
          <w:tcPr>
            <w:tcW w:w="1127" w:type="dxa"/>
            <w:vAlign w:val="center"/>
          </w:tcPr>
          <w:p w14:paraId="6ACFF10D" w14:textId="77777777" w:rsidR="00466EF5" w:rsidRPr="00071B32" w:rsidRDefault="00466EF5" w:rsidP="000878F6">
            <w:pPr>
              <w:pStyle w:val="Table"/>
              <w:jc w:val="center"/>
              <w:rPr>
                <w:szCs w:val="20"/>
              </w:rPr>
            </w:pPr>
            <w:r w:rsidRPr="00071B32">
              <w:rPr>
                <w:rFonts w:ascii="Calibri" w:hAnsi="Calibri" w:cs="Calibri"/>
                <w:color w:val="000000"/>
                <w:szCs w:val="20"/>
              </w:rPr>
              <w:t>0,00%</w:t>
            </w:r>
          </w:p>
        </w:tc>
        <w:tc>
          <w:tcPr>
            <w:tcW w:w="1034" w:type="dxa"/>
            <w:vAlign w:val="center"/>
          </w:tcPr>
          <w:p w14:paraId="465F5D3C" w14:textId="77777777" w:rsidR="00466EF5" w:rsidRPr="00071B32" w:rsidRDefault="00466EF5" w:rsidP="000878F6">
            <w:pPr>
              <w:pStyle w:val="Table"/>
              <w:jc w:val="center"/>
              <w:rPr>
                <w:szCs w:val="20"/>
              </w:rPr>
            </w:pPr>
            <w:r w:rsidRPr="00071B32">
              <w:rPr>
                <w:rFonts w:ascii="Calibri" w:hAnsi="Calibri" w:cs="Calibri"/>
                <w:color w:val="000000"/>
                <w:szCs w:val="20"/>
              </w:rPr>
              <w:t>0,00</w:t>
            </w:r>
          </w:p>
        </w:tc>
        <w:tc>
          <w:tcPr>
            <w:tcW w:w="1219" w:type="dxa"/>
            <w:vAlign w:val="center"/>
          </w:tcPr>
          <w:p w14:paraId="538894A6" w14:textId="77777777" w:rsidR="00466EF5" w:rsidRPr="00071B32" w:rsidRDefault="00466EF5" w:rsidP="000878F6">
            <w:pPr>
              <w:pStyle w:val="Table"/>
              <w:jc w:val="center"/>
              <w:rPr>
                <w:szCs w:val="20"/>
              </w:rPr>
            </w:pPr>
            <w:r w:rsidRPr="00071B32">
              <w:rPr>
                <w:rFonts w:ascii="Calibri" w:hAnsi="Calibri" w:cs="Calibri"/>
                <w:color w:val="000000"/>
                <w:szCs w:val="20"/>
              </w:rPr>
              <w:t>0,00</w:t>
            </w:r>
          </w:p>
        </w:tc>
        <w:tc>
          <w:tcPr>
            <w:tcW w:w="1018" w:type="dxa"/>
            <w:vAlign w:val="center"/>
          </w:tcPr>
          <w:p w14:paraId="39BB7394" w14:textId="77777777" w:rsidR="00466EF5" w:rsidRPr="00071B32" w:rsidRDefault="00466EF5" w:rsidP="000878F6">
            <w:pPr>
              <w:pStyle w:val="Table"/>
              <w:jc w:val="center"/>
              <w:rPr>
                <w:szCs w:val="20"/>
              </w:rPr>
            </w:pPr>
            <w:r w:rsidRPr="00071B32">
              <w:rPr>
                <w:rFonts w:ascii="Calibri" w:hAnsi="Calibri" w:cs="Calibri"/>
                <w:color w:val="000000"/>
                <w:szCs w:val="20"/>
              </w:rPr>
              <w:t>0,00%</w:t>
            </w:r>
          </w:p>
        </w:tc>
        <w:tc>
          <w:tcPr>
            <w:tcW w:w="1287" w:type="dxa"/>
            <w:vAlign w:val="center"/>
          </w:tcPr>
          <w:p w14:paraId="674DD559" w14:textId="77777777" w:rsidR="00466EF5" w:rsidRPr="00071B32" w:rsidRDefault="00466EF5" w:rsidP="000878F6">
            <w:pPr>
              <w:pStyle w:val="Table"/>
              <w:jc w:val="center"/>
              <w:rPr>
                <w:szCs w:val="20"/>
              </w:rPr>
            </w:pPr>
            <w:r w:rsidRPr="00071B32">
              <w:rPr>
                <w:rFonts w:ascii="Calibri" w:hAnsi="Calibri" w:cs="Calibri"/>
                <w:color w:val="000000"/>
                <w:szCs w:val="20"/>
              </w:rPr>
              <w:t>0,00%</w:t>
            </w:r>
          </w:p>
        </w:tc>
      </w:tr>
      <w:tr w:rsidR="00466EF5" w:rsidRPr="00071B32" w14:paraId="44F72125" w14:textId="77777777" w:rsidTr="00BA7936">
        <w:trPr>
          <w:trHeight w:val="242"/>
        </w:trPr>
        <w:tc>
          <w:tcPr>
            <w:tcW w:w="2246" w:type="dxa"/>
          </w:tcPr>
          <w:p w14:paraId="54DA6DBB" w14:textId="77777777" w:rsidR="00466EF5" w:rsidRPr="00071B32" w:rsidRDefault="00466EF5" w:rsidP="000878F6">
            <w:pPr>
              <w:pStyle w:val="Table"/>
              <w:rPr>
                <w:szCs w:val="20"/>
              </w:rPr>
            </w:pPr>
            <w:r w:rsidRPr="00071B32">
              <w:rPr>
                <w:szCs w:val="20"/>
              </w:rPr>
              <w:t>Minerals &amp; Aggregates</w:t>
            </w:r>
          </w:p>
        </w:tc>
        <w:tc>
          <w:tcPr>
            <w:tcW w:w="1127" w:type="dxa"/>
            <w:vAlign w:val="center"/>
          </w:tcPr>
          <w:p w14:paraId="5AB08EE0" w14:textId="77777777" w:rsidR="00466EF5" w:rsidRPr="00071B32" w:rsidRDefault="00466EF5" w:rsidP="000878F6">
            <w:pPr>
              <w:pStyle w:val="Table"/>
              <w:jc w:val="center"/>
              <w:rPr>
                <w:szCs w:val="20"/>
              </w:rPr>
            </w:pPr>
            <w:r w:rsidRPr="00071B32">
              <w:rPr>
                <w:rFonts w:ascii="Calibri" w:hAnsi="Calibri" w:cs="Calibri"/>
                <w:color w:val="000000"/>
                <w:szCs w:val="20"/>
              </w:rPr>
              <w:t>-16,67%</w:t>
            </w:r>
          </w:p>
        </w:tc>
        <w:tc>
          <w:tcPr>
            <w:tcW w:w="1127" w:type="dxa"/>
            <w:vAlign w:val="center"/>
          </w:tcPr>
          <w:p w14:paraId="42660F73" w14:textId="77777777" w:rsidR="00466EF5" w:rsidRPr="00071B32" w:rsidRDefault="00466EF5" w:rsidP="000878F6">
            <w:pPr>
              <w:pStyle w:val="Table"/>
              <w:jc w:val="center"/>
              <w:rPr>
                <w:szCs w:val="20"/>
              </w:rPr>
            </w:pPr>
            <w:r w:rsidRPr="00071B32">
              <w:rPr>
                <w:rFonts w:ascii="Calibri" w:hAnsi="Calibri" w:cs="Calibri"/>
                <w:color w:val="000000"/>
                <w:szCs w:val="20"/>
              </w:rPr>
              <w:t>-16,67%</w:t>
            </w:r>
          </w:p>
        </w:tc>
        <w:tc>
          <w:tcPr>
            <w:tcW w:w="1034" w:type="dxa"/>
            <w:vAlign w:val="center"/>
          </w:tcPr>
          <w:p w14:paraId="606B9414" w14:textId="77777777" w:rsidR="00466EF5" w:rsidRPr="00071B32" w:rsidRDefault="00466EF5" w:rsidP="000878F6">
            <w:pPr>
              <w:pStyle w:val="Table"/>
              <w:jc w:val="center"/>
              <w:rPr>
                <w:szCs w:val="20"/>
              </w:rPr>
            </w:pPr>
            <w:r w:rsidRPr="00071B32">
              <w:rPr>
                <w:rFonts w:ascii="Calibri" w:hAnsi="Calibri" w:cs="Calibri"/>
                <w:color w:val="000000"/>
                <w:szCs w:val="20"/>
              </w:rPr>
              <w:t>190,13</w:t>
            </w:r>
          </w:p>
        </w:tc>
        <w:tc>
          <w:tcPr>
            <w:tcW w:w="1219" w:type="dxa"/>
            <w:vAlign w:val="center"/>
          </w:tcPr>
          <w:p w14:paraId="1A1CB349" w14:textId="77777777" w:rsidR="00466EF5" w:rsidRPr="00071B32" w:rsidRDefault="00466EF5" w:rsidP="000878F6">
            <w:pPr>
              <w:pStyle w:val="Table"/>
              <w:jc w:val="center"/>
              <w:rPr>
                <w:szCs w:val="20"/>
              </w:rPr>
            </w:pPr>
            <w:r w:rsidRPr="00071B32">
              <w:rPr>
                <w:rFonts w:ascii="Calibri" w:hAnsi="Calibri" w:cs="Calibri"/>
                <w:color w:val="000000"/>
                <w:szCs w:val="20"/>
              </w:rPr>
              <w:t>205,05</w:t>
            </w:r>
          </w:p>
        </w:tc>
        <w:tc>
          <w:tcPr>
            <w:tcW w:w="1018" w:type="dxa"/>
            <w:vAlign w:val="center"/>
          </w:tcPr>
          <w:p w14:paraId="5A16C033" w14:textId="77777777" w:rsidR="00466EF5" w:rsidRPr="00071B32" w:rsidRDefault="00466EF5" w:rsidP="000878F6">
            <w:pPr>
              <w:pStyle w:val="Table"/>
              <w:jc w:val="center"/>
              <w:rPr>
                <w:szCs w:val="20"/>
              </w:rPr>
            </w:pPr>
            <w:r w:rsidRPr="00071B32">
              <w:rPr>
                <w:rFonts w:ascii="Calibri" w:hAnsi="Calibri" w:cs="Calibri"/>
                <w:color w:val="000000"/>
                <w:szCs w:val="20"/>
              </w:rPr>
              <w:t>732,69%</w:t>
            </w:r>
          </w:p>
        </w:tc>
        <w:tc>
          <w:tcPr>
            <w:tcW w:w="1287" w:type="dxa"/>
            <w:vAlign w:val="center"/>
          </w:tcPr>
          <w:p w14:paraId="35D845B6" w14:textId="77777777" w:rsidR="00466EF5" w:rsidRPr="00071B32" w:rsidRDefault="00466EF5" w:rsidP="000878F6">
            <w:pPr>
              <w:pStyle w:val="Table"/>
              <w:jc w:val="center"/>
              <w:rPr>
                <w:szCs w:val="20"/>
              </w:rPr>
            </w:pPr>
            <w:r w:rsidRPr="00071B32">
              <w:rPr>
                <w:rFonts w:ascii="Calibri" w:hAnsi="Calibri" w:cs="Calibri"/>
                <w:color w:val="000000"/>
                <w:szCs w:val="20"/>
              </w:rPr>
              <w:t>790,16%</w:t>
            </w:r>
          </w:p>
        </w:tc>
      </w:tr>
    </w:tbl>
    <w:p w14:paraId="3CABB481" w14:textId="30440B2A" w:rsidR="00466EF5" w:rsidRDefault="00466EF5" w:rsidP="00466EF5">
      <w:pPr>
        <w:rPr>
          <w:b/>
          <w:bCs/>
          <w:lang w:eastAsia="en-GB"/>
        </w:rPr>
      </w:pPr>
    </w:p>
    <w:tbl>
      <w:tblPr>
        <w:tblStyle w:val="Lentelstinklelis1"/>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127"/>
        <w:gridCol w:w="1127"/>
        <w:gridCol w:w="1034"/>
        <w:gridCol w:w="1219"/>
        <w:gridCol w:w="1018"/>
        <w:gridCol w:w="1287"/>
      </w:tblGrid>
      <w:tr w:rsidR="00466EF5" w:rsidRPr="004D28BB" w14:paraId="6B497D99" w14:textId="77777777" w:rsidTr="00BA7936">
        <w:trPr>
          <w:trHeight w:val="264"/>
        </w:trPr>
        <w:tc>
          <w:tcPr>
            <w:tcW w:w="9058" w:type="dxa"/>
            <w:gridSpan w:val="7"/>
            <w:shd w:val="clear" w:color="auto" w:fill="003399"/>
          </w:tcPr>
          <w:p w14:paraId="66D0974E" w14:textId="2AAEB6A6" w:rsidR="00466EF5" w:rsidRPr="004D28BB" w:rsidRDefault="00466EF5" w:rsidP="000878F6">
            <w:pPr>
              <w:pStyle w:val="Table"/>
              <w:rPr>
                <w:b/>
                <w:color w:val="FFFFFF" w:themeColor="background1"/>
                <w:szCs w:val="20"/>
              </w:rPr>
            </w:pPr>
            <w:r w:rsidRPr="004D28BB">
              <w:rPr>
                <w:b/>
                <w:color w:val="FFFFFF" w:themeColor="background1"/>
                <w:szCs w:val="20"/>
              </w:rPr>
              <w:t xml:space="preserve">Table </w:t>
            </w:r>
            <w:r w:rsidR="00490085">
              <w:rPr>
                <w:b/>
                <w:bCs/>
                <w:color w:val="FFFFFF" w:themeColor="background1"/>
                <w:szCs w:val="20"/>
              </w:rPr>
              <w:t>A6</w:t>
            </w:r>
            <w:r w:rsidRPr="004D28BB">
              <w:rPr>
                <w:b/>
                <w:bCs/>
                <w:color w:val="FFFFFF" w:themeColor="background1"/>
                <w:szCs w:val="20"/>
              </w:rPr>
              <w:t>-</w:t>
            </w:r>
            <w:r w:rsidRPr="004D28BB">
              <w:rPr>
                <w:b/>
                <w:bCs/>
                <w:color w:val="FFFFFF" w:themeColor="background1"/>
                <w:szCs w:val="20"/>
              </w:rPr>
              <w:fldChar w:fldCharType="begin"/>
            </w:r>
            <w:r w:rsidRPr="004D28BB">
              <w:rPr>
                <w:b/>
                <w:bCs/>
                <w:color w:val="FFFFFF" w:themeColor="background1"/>
                <w:szCs w:val="20"/>
              </w:rPr>
              <w:instrText xml:space="preserve"> SEQ Table_A5- \* ARABIC </w:instrText>
            </w:r>
            <w:r w:rsidRPr="004D28BB">
              <w:rPr>
                <w:b/>
                <w:bCs/>
                <w:color w:val="FFFFFF" w:themeColor="background1"/>
                <w:szCs w:val="20"/>
              </w:rPr>
              <w:fldChar w:fldCharType="separate"/>
            </w:r>
            <w:r>
              <w:rPr>
                <w:b/>
                <w:bCs/>
                <w:noProof/>
                <w:color w:val="FFFFFF" w:themeColor="background1"/>
                <w:szCs w:val="20"/>
              </w:rPr>
              <w:t>19</w:t>
            </w:r>
            <w:r w:rsidRPr="004D28BB">
              <w:rPr>
                <w:b/>
                <w:bCs/>
                <w:color w:val="FFFFFF" w:themeColor="background1"/>
                <w:szCs w:val="20"/>
              </w:rPr>
              <w:fldChar w:fldCharType="end"/>
            </w:r>
            <w:r w:rsidRPr="004D28BB">
              <w:rPr>
                <w:b/>
                <w:bCs/>
                <w:color w:val="FFFFFF" w:themeColor="background1"/>
                <w:szCs w:val="20"/>
                <w:lang w:eastAsia="en-GB"/>
              </w:rPr>
              <w:t>:</w:t>
            </w:r>
            <w:r w:rsidRPr="004D28BB">
              <w:rPr>
                <w:b/>
                <w:color w:val="FFFFFF" w:themeColor="background1"/>
                <w:szCs w:val="20"/>
                <w:lang w:eastAsia="en-GB"/>
              </w:rPr>
              <w:t xml:space="preserve"> Environmental Impacts and Revenue Changes in Bulgaria – Scenario B</w:t>
            </w:r>
          </w:p>
        </w:tc>
      </w:tr>
      <w:tr w:rsidR="00466EF5" w:rsidRPr="004D28BB" w14:paraId="68B1490E" w14:textId="77777777" w:rsidTr="00BA7936">
        <w:trPr>
          <w:trHeight w:val="504"/>
        </w:trPr>
        <w:tc>
          <w:tcPr>
            <w:tcW w:w="2246" w:type="dxa"/>
          </w:tcPr>
          <w:p w14:paraId="7D6456DB" w14:textId="77777777" w:rsidR="00466EF5" w:rsidRPr="004D28BB" w:rsidRDefault="00466EF5" w:rsidP="000878F6">
            <w:pPr>
              <w:pStyle w:val="Table"/>
              <w:rPr>
                <w:b/>
                <w:szCs w:val="20"/>
              </w:rPr>
            </w:pPr>
            <w:r w:rsidRPr="004D28BB">
              <w:rPr>
                <w:b/>
                <w:szCs w:val="20"/>
              </w:rPr>
              <w:t>Tax Name</w:t>
            </w:r>
          </w:p>
        </w:tc>
        <w:tc>
          <w:tcPr>
            <w:tcW w:w="2254" w:type="dxa"/>
            <w:gridSpan w:val="2"/>
            <w:vAlign w:val="bottom"/>
          </w:tcPr>
          <w:p w14:paraId="0D650E91" w14:textId="77777777" w:rsidR="00466EF5" w:rsidRPr="004D28BB" w:rsidRDefault="00466EF5" w:rsidP="000878F6">
            <w:pPr>
              <w:pStyle w:val="Table"/>
              <w:jc w:val="center"/>
              <w:rPr>
                <w:b/>
                <w:szCs w:val="20"/>
              </w:rPr>
            </w:pPr>
            <w:r w:rsidRPr="004D28BB">
              <w:rPr>
                <w:rFonts w:ascii="Calibri" w:hAnsi="Calibri" w:cs="Calibri"/>
                <w:b/>
                <w:bCs/>
                <w:color w:val="000000"/>
                <w:szCs w:val="20"/>
              </w:rPr>
              <w:t>% Change in Quantities as % of taxed sector</w:t>
            </w:r>
          </w:p>
        </w:tc>
        <w:tc>
          <w:tcPr>
            <w:tcW w:w="2253" w:type="dxa"/>
            <w:gridSpan w:val="2"/>
            <w:vAlign w:val="bottom"/>
          </w:tcPr>
          <w:p w14:paraId="78EC7FA7" w14:textId="77777777" w:rsidR="00466EF5" w:rsidRPr="004D28BB" w:rsidRDefault="00466EF5" w:rsidP="000878F6">
            <w:pPr>
              <w:pStyle w:val="Table"/>
              <w:jc w:val="center"/>
              <w:rPr>
                <w:b/>
                <w:szCs w:val="20"/>
              </w:rPr>
            </w:pPr>
            <w:r w:rsidRPr="004D28BB">
              <w:rPr>
                <w:rFonts w:ascii="Calibri" w:hAnsi="Calibri" w:cs="Calibri"/>
                <w:b/>
                <w:bCs/>
                <w:color w:val="000000"/>
                <w:szCs w:val="20"/>
              </w:rPr>
              <w:t>Change in Revenues (€Mn)</w:t>
            </w:r>
          </w:p>
        </w:tc>
        <w:tc>
          <w:tcPr>
            <w:tcW w:w="2305" w:type="dxa"/>
            <w:gridSpan w:val="2"/>
            <w:vAlign w:val="bottom"/>
          </w:tcPr>
          <w:p w14:paraId="23EA259A" w14:textId="77777777" w:rsidR="00466EF5" w:rsidRPr="004D28BB" w:rsidRDefault="00466EF5" w:rsidP="000878F6">
            <w:pPr>
              <w:pStyle w:val="Table"/>
              <w:jc w:val="center"/>
              <w:rPr>
                <w:b/>
                <w:szCs w:val="20"/>
              </w:rPr>
            </w:pPr>
            <w:r w:rsidRPr="004D28BB">
              <w:rPr>
                <w:rFonts w:ascii="Calibri" w:hAnsi="Calibri" w:cs="Calibri"/>
                <w:b/>
                <w:bCs/>
                <w:color w:val="000000"/>
                <w:szCs w:val="20"/>
              </w:rPr>
              <w:t>As % of 2023 Resource Tax</w:t>
            </w:r>
          </w:p>
        </w:tc>
      </w:tr>
      <w:tr w:rsidR="00466EF5" w:rsidRPr="004D28BB" w14:paraId="679BEA5F" w14:textId="77777777" w:rsidTr="00BA7936">
        <w:trPr>
          <w:trHeight w:val="242"/>
        </w:trPr>
        <w:tc>
          <w:tcPr>
            <w:tcW w:w="2246" w:type="dxa"/>
          </w:tcPr>
          <w:p w14:paraId="744C7C31" w14:textId="77777777" w:rsidR="00466EF5" w:rsidRPr="004D28BB" w:rsidRDefault="00466EF5" w:rsidP="000878F6">
            <w:pPr>
              <w:pStyle w:val="Table"/>
              <w:rPr>
                <w:b/>
                <w:szCs w:val="20"/>
              </w:rPr>
            </w:pPr>
            <w:r w:rsidRPr="004D28BB">
              <w:rPr>
                <w:b/>
                <w:szCs w:val="20"/>
              </w:rPr>
              <w:t>Year</w:t>
            </w:r>
          </w:p>
        </w:tc>
        <w:tc>
          <w:tcPr>
            <w:tcW w:w="1127" w:type="dxa"/>
          </w:tcPr>
          <w:p w14:paraId="35456966" w14:textId="77777777" w:rsidR="00466EF5" w:rsidRPr="004D28BB" w:rsidRDefault="00466EF5" w:rsidP="000878F6">
            <w:pPr>
              <w:pStyle w:val="Table"/>
              <w:jc w:val="center"/>
              <w:rPr>
                <w:b/>
                <w:szCs w:val="20"/>
              </w:rPr>
            </w:pPr>
            <w:r w:rsidRPr="004D28BB">
              <w:rPr>
                <w:b/>
                <w:szCs w:val="20"/>
              </w:rPr>
              <w:t>2030</w:t>
            </w:r>
          </w:p>
        </w:tc>
        <w:tc>
          <w:tcPr>
            <w:tcW w:w="1127" w:type="dxa"/>
          </w:tcPr>
          <w:p w14:paraId="42E942CC" w14:textId="77777777" w:rsidR="00466EF5" w:rsidRPr="004D28BB" w:rsidRDefault="00466EF5" w:rsidP="000878F6">
            <w:pPr>
              <w:pStyle w:val="Table"/>
              <w:jc w:val="center"/>
              <w:rPr>
                <w:b/>
                <w:szCs w:val="20"/>
              </w:rPr>
            </w:pPr>
            <w:r w:rsidRPr="004D28BB">
              <w:rPr>
                <w:b/>
                <w:szCs w:val="20"/>
              </w:rPr>
              <w:t>2035</w:t>
            </w:r>
          </w:p>
        </w:tc>
        <w:tc>
          <w:tcPr>
            <w:tcW w:w="1034" w:type="dxa"/>
          </w:tcPr>
          <w:p w14:paraId="09B476A9" w14:textId="77777777" w:rsidR="00466EF5" w:rsidRPr="004D28BB" w:rsidRDefault="00466EF5" w:rsidP="000878F6">
            <w:pPr>
              <w:pStyle w:val="Table"/>
              <w:jc w:val="center"/>
              <w:rPr>
                <w:b/>
                <w:szCs w:val="20"/>
              </w:rPr>
            </w:pPr>
            <w:r w:rsidRPr="004D28BB">
              <w:rPr>
                <w:b/>
                <w:szCs w:val="20"/>
              </w:rPr>
              <w:t>2030</w:t>
            </w:r>
          </w:p>
        </w:tc>
        <w:tc>
          <w:tcPr>
            <w:tcW w:w="1219" w:type="dxa"/>
          </w:tcPr>
          <w:p w14:paraId="6B38F01B" w14:textId="77777777" w:rsidR="00466EF5" w:rsidRPr="004D28BB" w:rsidRDefault="00466EF5" w:rsidP="000878F6">
            <w:pPr>
              <w:pStyle w:val="Table"/>
              <w:jc w:val="center"/>
              <w:rPr>
                <w:b/>
                <w:szCs w:val="20"/>
              </w:rPr>
            </w:pPr>
            <w:r w:rsidRPr="004D28BB">
              <w:rPr>
                <w:b/>
                <w:szCs w:val="20"/>
              </w:rPr>
              <w:t>2035</w:t>
            </w:r>
          </w:p>
        </w:tc>
        <w:tc>
          <w:tcPr>
            <w:tcW w:w="1018" w:type="dxa"/>
          </w:tcPr>
          <w:p w14:paraId="02603D4A" w14:textId="77777777" w:rsidR="00466EF5" w:rsidRPr="004D28BB" w:rsidRDefault="00466EF5" w:rsidP="000878F6">
            <w:pPr>
              <w:pStyle w:val="Table"/>
              <w:jc w:val="center"/>
              <w:rPr>
                <w:b/>
                <w:szCs w:val="20"/>
              </w:rPr>
            </w:pPr>
            <w:r w:rsidRPr="004D28BB">
              <w:rPr>
                <w:b/>
                <w:szCs w:val="20"/>
              </w:rPr>
              <w:t>2030</w:t>
            </w:r>
          </w:p>
        </w:tc>
        <w:tc>
          <w:tcPr>
            <w:tcW w:w="1287" w:type="dxa"/>
          </w:tcPr>
          <w:p w14:paraId="411BEE90" w14:textId="77777777" w:rsidR="00466EF5" w:rsidRPr="004D28BB" w:rsidRDefault="00466EF5" w:rsidP="000878F6">
            <w:pPr>
              <w:pStyle w:val="Table"/>
              <w:jc w:val="center"/>
              <w:rPr>
                <w:b/>
                <w:szCs w:val="20"/>
              </w:rPr>
            </w:pPr>
            <w:r w:rsidRPr="004D28BB">
              <w:rPr>
                <w:b/>
                <w:szCs w:val="20"/>
              </w:rPr>
              <w:t>2035</w:t>
            </w:r>
          </w:p>
        </w:tc>
      </w:tr>
      <w:tr w:rsidR="00466EF5" w:rsidRPr="004D28BB" w14:paraId="14100991" w14:textId="77777777" w:rsidTr="00BA7936">
        <w:trPr>
          <w:trHeight w:val="242"/>
        </w:trPr>
        <w:tc>
          <w:tcPr>
            <w:tcW w:w="2246" w:type="dxa"/>
          </w:tcPr>
          <w:p w14:paraId="637B2A1B" w14:textId="77777777" w:rsidR="00466EF5" w:rsidRPr="004D28BB" w:rsidRDefault="00466EF5" w:rsidP="000878F6">
            <w:pPr>
              <w:pStyle w:val="Table"/>
              <w:rPr>
                <w:szCs w:val="20"/>
              </w:rPr>
            </w:pPr>
            <w:r w:rsidRPr="004D28BB">
              <w:rPr>
                <w:szCs w:val="20"/>
              </w:rPr>
              <w:t>NOx</w:t>
            </w:r>
          </w:p>
        </w:tc>
        <w:tc>
          <w:tcPr>
            <w:tcW w:w="1127" w:type="dxa"/>
            <w:vAlign w:val="center"/>
          </w:tcPr>
          <w:p w14:paraId="070B47B9" w14:textId="77777777" w:rsidR="00466EF5" w:rsidRPr="004D28BB" w:rsidRDefault="00466EF5" w:rsidP="000878F6">
            <w:pPr>
              <w:pStyle w:val="Table"/>
              <w:jc w:val="center"/>
              <w:rPr>
                <w:szCs w:val="20"/>
              </w:rPr>
            </w:pPr>
            <w:r w:rsidRPr="004D28BB">
              <w:rPr>
                <w:rFonts w:ascii="Calibri" w:hAnsi="Calibri" w:cs="Calibri"/>
                <w:color w:val="000000"/>
                <w:szCs w:val="20"/>
              </w:rPr>
              <w:t>-7,39%</w:t>
            </w:r>
          </w:p>
        </w:tc>
        <w:tc>
          <w:tcPr>
            <w:tcW w:w="1127" w:type="dxa"/>
            <w:vAlign w:val="center"/>
          </w:tcPr>
          <w:p w14:paraId="56CB25A0" w14:textId="77777777" w:rsidR="00466EF5" w:rsidRPr="004D28BB" w:rsidRDefault="00466EF5" w:rsidP="000878F6">
            <w:pPr>
              <w:pStyle w:val="Table"/>
              <w:jc w:val="center"/>
              <w:rPr>
                <w:szCs w:val="20"/>
              </w:rPr>
            </w:pPr>
            <w:r w:rsidRPr="004D28BB">
              <w:rPr>
                <w:rFonts w:ascii="Calibri" w:hAnsi="Calibri" w:cs="Calibri"/>
                <w:color w:val="000000"/>
                <w:szCs w:val="20"/>
              </w:rPr>
              <w:t>-7,39%</w:t>
            </w:r>
          </w:p>
        </w:tc>
        <w:tc>
          <w:tcPr>
            <w:tcW w:w="1034" w:type="dxa"/>
            <w:vAlign w:val="center"/>
          </w:tcPr>
          <w:p w14:paraId="4A6F456A" w14:textId="77777777" w:rsidR="00466EF5" w:rsidRPr="004D28BB" w:rsidRDefault="00466EF5" w:rsidP="000878F6">
            <w:pPr>
              <w:pStyle w:val="Table"/>
              <w:jc w:val="center"/>
              <w:rPr>
                <w:szCs w:val="20"/>
              </w:rPr>
            </w:pPr>
            <w:r w:rsidRPr="004D28BB">
              <w:rPr>
                <w:rFonts w:ascii="Calibri" w:hAnsi="Calibri" w:cs="Calibri"/>
                <w:color w:val="000000"/>
                <w:szCs w:val="20"/>
              </w:rPr>
              <w:t>0,18</w:t>
            </w:r>
          </w:p>
        </w:tc>
        <w:tc>
          <w:tcPr>
            <w:tcW w:w="1219" w:type="dxa"/>
            <w:vAlign w:val="center"/>
          </w:tcPr>
          <w:p w14:paraId="29C6C8A1" w14:textId="77777777" w:rsidR="00466EF5" w:rsidRPr="004D28BB" w:rsidRDefault="00466EF5" w:rsidP="000878F6">
            <w:pPr>
              <w:pStyle w:val="Table"/>
              <w:jc w:val="center"/>
              <w:rPr>
                <w:szCs w:val="20"/>
              </w:rPr>
            </w:pPr>
            <w:r w:rsidRPr="004D28BB">
              <w:rPr>
                <w:rFonts w:ascii="Calibri" w:hAnsi="Calibri" w:cs="Calibri"/>
                <w:color w:val="000000"/>
                <w:szCs w:val="20"/>
              </w:rPr>
              <w:t>0,14</w:t>
            </w:r>
          </w:p>
        </w:tc>
        <w:tc>
          <w:tcPr>
            <w:tcW w:w="1018" w:type="dxa"/>
            <w:vAlign w:val="center"/>
          </w:tcPr>
          <w:p w14:paraId="4A0B8927" w14:textId="77777777" w:rsidR="00466EF5" w:rsidRPr="004D28BB" w:rsidRDefault="00466EF5" w:rsidP="000878F6">
            <w:pPr>
              <w:pStyle w:val="Table"/>
              <w:jc w:val="center"/>
              <w:rPr>
                <w:szCs w:val="20"/>
              </w:rPr>
            </w:pPr>
            <w:r w:rsidRPr="004D28BB">
              <w:rPr>
                <w:rFonts w:ascii="Calibri" w:hAnsi="Calibri" w:cs="Calibri"/>
                <w:color w:val="000000"/>
                <w:szCs w:val="20"/>
              </w:rPr>
              <w:t>3,6%</w:t>
            </w:r>
          </w:p>
        </w:tc>
        <w:tc>
          <w:tcPr>
            <w:tcW w:w="1287" w:type="dxa"/>
            <w:vAlign w:val="center"/>
          </w:tcPr>
          <w:p w14:paraId="37996DA4" w14:textId="77777777" w:rsidR="00466EF5" w:rsidRPr="004D28BB" w:rsidRDefault="00466EF5" w:rsidP="000878F6">
            <w:pPr>
              <w:pStyle w:val="Table"/>
              <w:jc w:val="center"/>
              <w:rPr>
                <w:szCs w:val="20"/>
              </w:rPr>
            </w:pPr>
            <w:r w:rsidRPr="004D28BB">
              <w:rPr>
                <w:rFonts w:ascii="Calibri" w:hAnsi="Calibri" w:cs="Calibri"/>
                <w:color w:val="000000"/>
                <w:szCs w:val="20"/>
              </w:rPr>
              <w:t>2,8%</w:t>
            </w:r>
          </w:p>
        </w:tc>
      </w:tr>
      <w:tr w:rsidR="00466EF5" w:rsidRPr="004D28BB" w14:paraId="40F9C93A" w14:textId="77777777" w:rsidTr="00BA7936">
        <w:trPr>
          <w:trHeight w:val="242"/>
        </w:trPr>
        <w:tc>
          <w:tcPr>
            <w:tcW w:w="2246" w:type="dxa"/>
          </w:tcPr>
          <w:p w14:paraId="464BC31C" w14:textId="77777777" w:rsidR="00466EF5" w:rsidRPr="004D28BB" w:rsidRDefault="00466EF5" w:rsidP="000878F6">
            <w:pPr>
              <w:pStyle w:val="Table"/>
              <w:rPr>
                <w:szCs w:val="20"/>
              </w:rPr>
            </w:pPr>
            <w:r w:rsidRPr="004D28BB">
              <w:rPr>
                <w:szCs w:val="20"/>
              </w:rPr>
              <w:t>SO2</w:t>
            </w:r>
          </w:p>
        </w:tc>
        <w:tc>
          <w:tcPr>
            <w:tcW w:w="1127" w:type="dxa"/>
            <w:vAlign w:val="center"/>
          </w:tcPr>
          <w:p w14:paraId="6388F54B" w14:textId="77777777" w:rsidR="00466EF5" w:rsidRPr="004D28BB" w:rsidRDefault="00466EF5" w:rsidP="000878F6">
            <w:pPr>
              <w:pStyle w:val="Table"/>
              <w:jc w:val="center"/>
              <w:rPr>
                <w:szCs w:val="20"/>
              </w:rPr>
            </w:pPr>
            <w:r w:rsidRPr="004D28BB">
              <w:rPr>
                <w:rFonts w:ascii="Calibri" w:hAnsi="Calibri" w:cs="Calibri"/>
                <w:color w:val="000000"/>
                <w:szCs w:val="20"/>
              </w:rPr>
              <w:t>-8,11%</w:t>
            </w:r>
          </w:p>
        </w:tc>
        <w:tc>
          <w:tcPr>
            <w:tcW w:w="1127" w:type="dxa"/>
            <w:vAlign w:val="center"/>
          </w:tcPr>
          <w:p w14:paraId="18371C35" w14:textId="77777777" w:rsidR="00466EF5" w:rsidRPr="004D28BB" w:rsidRDefault="00466EF5" w:rsidP="000878F6">
            <w:pPr>
              <w:pStyle w:val="Table"/>
              <w:jc w:val="center"/>
              <w:rPr>
                <w:szCs w:val="20"/>
              </w:rPr>
            </w:pPr>
            <w:r w:rsidRPr="004D28BB">
              <w:rPr>
                <w:rFonts w:ascii="Calibri" w:hAnsi="Calibri" w:cs="Calibri"/>
                <w:color w:val="000000"/>
                <w:szCs w:val="20"/>
              </w:rPr>
              <w:t>-8,11%</w:t>
            </w:r>
          </w:p>
        </w:tc>
        <w:tc>
          <w:tcPr>
            <w:tcW w:w="1034" w:type="dxa"/>
            <w:vAlign w:val="center"/>
          </w:tcPr>
          <w:p w14:paraId="1541EE8E" w14:textId="77777777" w:rsidR="00466EF5" w:rsidRPr="004D28BB" w:rsidRDefault="00466EF5" w:rsidP="000878F6">
            <w:pPr>
              <w:pStyle w:val="Table"/>
              <w:jc w:val="center"/>
              <w:rPr>
                <w:szCs w:val="20"/>
              </w:rPr>
            </w:pPr>
            <w:r w:rsidRPr="004D28BB">
              <w:rPr>
                <w:rFonts w:ascii="Calibri" w:hAnsi="Calibri" w:cs="Calibri"/>
                <w:color w:val="000000"/>
                <w:szCs w:val="20"/>
              </w:rPr>
              <w:t>5,71</w:t>
            </w:r>
          </w:p>
        </w:tc>
        <w:tc>
          <w:tcPr>
            <w:tcW w:w="1219" w:type="dxa"/>
            <w:vAlign w:val="center"/>
          </w:tcPr>
          <w:p w14:paraId="1D697423" w14:textId="77777777" w:rsidR="00466EF5" w:rsidRPr="004D28BB" w:rsidRDefault="00466EF5" w:rsidP="000878F6">
            <w:pPr>
              <w:pStyle w:val="Table"/>
              <w:jc w:val="center"/>
              <w:rPr>
                <w:szCs w:val="20"/>
              </w:rPr>
            </w:pPr>
            <w:r w:rsidRPr="004D28BB">
              <w:rPr>
                <w:rFonts w:ascii="Calibri" w:hAnsi="Calibri" w:cs="Calibri"/>
                <w:color w:val="000000"/>
                <w:szCs w:val="20"/>
              </w:rPr>
              <w:t>2,56</w:t>
            </w:r>
          </w:p>
        </w:tc>
        <w:tc>
          <w:tcPr>
            <w:tcW w:w="1018" w:type="dxa"/>
            <w:vAlign w:val="center"/>
          </w:tcPr>
          <w:p w14:paraId="71991F2E" w14:textId="77777777" w:rsidR="00466EF5" w:rsidRPr="004D28BB" w:rsidRDefault="00466EF5" w:rsidP="000878F6">
            <w:pPr>
              <w:pStyle w:val="Table"/>
              <w:jc w:val="center"/>
              <w:rPr>
                <w:szCs w:val="20"/>
              </w:rPr>
            </w:pPr>
            <w:r w:rsidRPr="004D28BB">
              <w:rPr>
                <w:rFonts w:ascii="Calibri" w:hAnsi="Calibri" w:cs="Calibri"/>
                <w:color w:val="000000"/>
                <w:szCs w:val="20"/>
              </w:rPr>
              <w:t>111,0%</w:t>
            </w:r>
          </w:p>
        </w:tc>
        <w:tc>
          <w:tcPr>
            <w:tcW w:w="1287" w:type="dxa"/>
            <w:vAlign w:val="center"/>
          </w:tcPr>
          <w:p w14:paraId="1A4E17F5" w14:textId="77777777" w:rsidR="00466EF5" w:rsidRPr="004D28BB" w:rsidRDefault="00466EF5" w:rsidP="000878F6">
            <w:pPr>
              <w:pStyle w:val="Table"/>
              <w:jc w:val="center"/>
              <w:rPr>
                <w:szCs w:val="20"/>
              </w:rPr>
            </w:pPr>
            <w:r w:rsidRPr="004D28BB">
              <w:rPr>
                <w:rFonts w:ascii="Calibri" w:hAnsi="Calibri" w:cs="Calibri"/>
                <w:color w:val="000000"/>
                <w:szCs w:val="20"/>
              </w:rPr>
              <w:t>49,9%</w:t>
            </w:r>
          </w:p>
        </w:tc>
      </w:tr>
      <w:tr w:rsidR="00466EF5" w:rsidRPr="004D28BB" w14:paraId="58A7A0AC" w14:textId="77777777" w:rsidTr="00BA7936">
        <w:trPr>
          <w:trHeight w:val="242"/>
        </w:trPr>
        <w:tc>
          <w:tcPr>
            <w:tcW w:w="2246" w:type="dxa"/>
          </w:tcPr>
          <w:p w14:paraId="49A98AE4" w14:textId="77777777" w:rsidR="00466EF5" w:rsidRPr="004D28BB" w:rsidRDefault="00466EF5" w:rsidP="000878F6">
            <w:pPr>
              <w:pStyle w:val="Table"/>
              <w:rPr>
                <w:szCs w:val="20"/>
              </w:rPr>
            </w:pPr>
            <w:r w:rsidRPr="004D28BB">
              <w:rPr>
                <w:szCs w:val="20"/>
              </w:rPr>
              <w:t>PM2.5</w:t>
            </w:r>
          </w:p>
        </w:tc>
        <w:tc>
          <w:tcPr>
            <w:tcW w:w="1127" w:type="dxa"/>
            <w:vAlign w:val="center"/>
          </w:tcPr>
          <w:p w14:paraId="084217FC" w14:textId="77777777" w:rsidR="00466EF5" w:rsidRPr="004D28BB" w:rsidRDefault="00466EF5" w:rsidP="000878F6">
            <w:pPr>
              <w:pStyle w:val="Table"/>
              <w:jc w:val="center"/>
              <w:rPr>
                <w:szCs w:val="20"/>
              </w:rPr>
            </w:pPr>
            <w:r w:rsidRPr="004D28BB">
              <w:rPr>
                <w:rFonts w:ascii="Calibri" w:hAnsi="Calibri" w:cs="Calibri"/>
                <w:color w:val="000000"/>
                <w:szCs w:val="20"/>
              </w:rPr>
              <w:t>-7,39%</w:t>
            </w:r>
          </w:p>
        </w:tc>
        <w:tc>
          <w:tcPr>
            <w:tcW w:w="1127" w:type="dxa"/>
            <w:vAlign w:val="center"/>
          </w:tcPr>
          <w:p w14:paraId="6A9ED923" w14:textId="77777777" w:rsidR="00466EF5" w:rsidRPr="004D28BB" w:rsidRDefault="00466EF5" w:rsidP="000878F6">
            <w:pPr>
              <w:pStyle w:val="Table"/>
              <w:jc w:val="center"/>
              <w:rPr>
                <w:szCs w:val="20"/>
              </w:rPr>
            </w:pPr>
            <w:r w:rsidRPr="004D28BB">
              <w:rPr>
                <w:rFonts w:ascii="Calibri" w:hAnsi="Calibri" w:cs="Calibri"/>
                <w:color w:val="000000"/>
                <w:szCs w:val="20"/>
              </w:rPr>
              <w:t>-7,39%</w:t>
            </w:r>
          </w:p>
        </w:tc>
        <w:tc>
          <w:tcPr>
            <w:tcW w:w="1034" w:type="dxa"/>
            <w:vAlign w:val="center"/>
          </w:tcPr>
          <w:p w14:paraId="6AFD1590" w14:textId="77777777" w:rsidR="00466EF5" w:rsidRPr="004D28BB" w:rsidRDefault="00466EF5" w:rsidP="000878F6">
            <w:pPr>
              <w:pStyle w:val="Table"/>
              <w:jc w:val="center"/>
              <w:rPr>
                <w:szCs w:val="20"/>
              </w:rPr>
            </w:pPr>
            <w:r w:rsidRPr="004D28BB">
              <w:rPr>
                <w:rFonts w:ascii="Calibri" w:hAnsi="Calibri" w:cs="Calibri"/>
                <w:color w:val="000000"/>
                <w:szCs w:val="20"/>
              </w:rPr>
              <w:t>1,02</w:t>
            </w:r>
          </w:p>
        </w:tc>
        <w:tc>
          <w:tcPr>
            <w:tcW w:w="1219" w:type="dxa"/>
            <w:vAlign w:val="center"/>
          </w:tcPr>
          <w:p w14:paraId="0A312D34" w14:textId="77777777" w:rsidR="00466EF5" w:rsidRPr="004D28BB" w:rsidRDefault="00466EF5" w:rsidP="000878F6">
            <w:pPr>
              <w:pStyle w:val="Table"/>
              <w:jc w:val="center"/>
              <w:rPr>
                <w:szCs w:val="20"/>
              </w:rPr>
            </w:pPr>
            <w:r w:rsidRPr="004D28BB">
              <w:rPr>
                <w:rFonts w:ascii="Calibri" w:hAnsi="Calibri" w:cs="Calibri"/>
                <w:color w:val="000000"/>
                <w:szCs w:val="20"/>
              </w:rPr>
              <w:t>0,88</w:t>
            </w:r>
          </w:p>
        </w:tc>
        <w:tc>
          <w:tcPr>
            <w:tcW w:w="1018" w:type="dxa"/>
            <w:vAlign w:val="center"/>
          </w:tcPr>
          <w:p w14:paraId="1B9FC8FC" w14:textId="77777777" w:rsidR="00466EF5" w:rsidRPr="004D28BB" w:rsidRDefault="00466EF5" w:rsidP="000878F6">
            <w:pPr>
              <w:pStyle w:val="Table"/>
              <w:jc w:val="center"/>
              <w:rPr>
                <w:szCs w:val="20"/>
              </w:rPr>
            </w:pPr>
            <w:r w:rsidRPr="004D28BB">
              <w:rPr>
                <w:rFonts w:ascii="Calibri" w:hAnsi="Calibri" w:cs="Calibri"/>
                <w:color w:val="000000"/>
                <w:szCs w:val="20"/>
              </w:rPr>
              <w:t>19,9%</w:t>
            </w:r>
          </w:p>
        </w:tc>
        <w:tc>
          <w:tcPr>
            <w:tcW w:w="1287" w:type="dxa"/>
            <w:vAlign w:val="center"/>
          </w:tcPr>
          <w:p w14:paraId="5BEE1BA6" w14:textId="77777777" w:rsidR="00466EF5" w:rsidRPr="004D28BB" w:rsidRDefault="00466EF5" w:rsidP="000878F6">
            <w:pPr>
              <w:pStyle w:val="Table"/>
              <w:jc w:val="center"/>
              <w:rPr>
                <w:szCs w:val="20"/>
              </w:rPr>
            </w:pPr>
            <w:r w:rsidRPr="004D28BB">
              <w:rPr>
                <w:rFonts w:ascii="Calibri" w:hAnsi="Calibri" w:cs="Calibri"/>
                <w:color w:val="000000"/>
                <w:szCs w:val="20"/>
              </w:rPr>
              <w:t>17,1%</w:t>
            </w:r>
          </w:p>
        </w:tc>
      </w:tr>
      <w:tr w:rsidR="00466EF5" w:rsidRPr="004D28BB" w14:paraId="15EE1937" w14:textId="77777777" w:rsidTr="00BA7936">
        <w:trPr>
          <w:trHeight w:val="242"/>
        </w:trPr>
        <w:tc>
          <w:tcPr>
            <w:tcW w:w="2246" w:type="dxa"/>
          </w:tcPr>
          <w:p w14:paraId="31CBB982" w14:textId="77777777" w:rsidR="00466EF5" w:rsidRPr="004D28BB" w:rsidRDefault="00466EF5" w:rsidP="000878F6">
            <w:pPr>
              <w:pStyle w:val="Table"/>
              <w:rPr>
                <w:szCs w:val="20"/>
              </w:rPr>
            </w:pPr>
            <w:r w:rsidRPr="004D28BB">
              <w:rPr>
                <w:szCs w:val="20"/>
              </w:rPr>
              <w:t>Water Abstraction</w:t>
            </w:r>
          </w:p>
        </w:tc>
        <w:tc>
          <w:tcPr>
            <w:tcW w:w="1127" w:type="dxa"/>
            <w:vAlign w:val="center"/>
          </w:tcPr>
          <w:p w14:paraId="6F986D97" w14:textId="77777777" w:rsidR="00466EF5" w:rsidRPr="004D28BB" w:rsidRDefault="00466EF5" w:rsidP="000878F6">
            <w:pPr>
              <w:pStyle w:val="Table"/>
              <w:jc w:val="center"/>
              <w:rPr>
                <w:szCs w:val="20"/>
              </w:rPr>
            </w:pPr>
            <w:r w:rsidRPr="004D28BB">
              <w:rPr>
                <w:rFonts w:ascii="Calibri" w:hAnsi="Calibri" w:cs="Calibri"/>
                <w:color w:val="000000"/>
                <w:szCs w:val="20"/>
              </w:rPr>
              <w:t>-0,95%</w:t>
            </w:r>
          </w:p>
        </w:tc>
        <w:tc>
          <w:tcPr>
            <w:tcW w:w="1127" w:type="dxa"/>
            <w:vAlign w:val="center"/>
          </w:tcPr>
          <w:p w14:paraId="45B130FE" w14:textId="77777777" w:rsidR="00466EF5" w:rsidRPr="004D28BB" w:rsidRDefault="00466EF5" w:rsidP="000878F6">
            <w:pPr>
              <w:pStyle w:val="Table"/>
              <w:jc w:val="center"/>
              <w:rPr>
                <w:szCs w:val="20"/>
              </w:rPr>
            </w:pPr>
            <w:r w:rsidRPr="004D28BB">
              <w:rPr>
                <w:rFonts w:ascii="Calibri" w:hAnsi="Calibri" w:cs="Calibri"/>
                <w:color w:val="000000"/>
                <w:szCs w:val="20"/>
              </w:rPr>
              <w:t>-0,95%</w:t>
            </w:r>
          </w:p>
        </w:tc>
        <w:tc>
          <w:tcPr>
            <w:tcW w:w="1034" w:type="dxa"/>
            <w:vAlign w:val="center"/>
          </w:tcPr>
          <w:p w14:paraId="39B152C5" w14:textId="77777777" w:rsidR="00466EF5" w:rsidRPr="004D28BB" w:rsidRDefault="00466EF5" w:rsidP="000878F6">
            <w:pPr>
              <w:pStyle w:val="Table"/>
              <w:jc w:val="center"/>
              <w:rPr>
                <w:szCs w:val="20"/>
              </w:rPr>
            </w:pPr>
            <w:r w:rsidRPr="004D28BB">
              <w:rPr>
                <w:rFonts w:ascii="Calibri" w:hAnsi="Calibri" w:cs="Calibri"/>
                <w:color w:val="000000"/>
                <w:szCs w:val="20"/>
              </w:rPr>
              <w:t>23,47</w:t>
            </w:r>
          </w:p>
        </w:tc>
        <w:tc>
          <w:tcPr>
            <w:tcW w:w="1219" w:type="dxa"/>
            <w:vAlign w:val="center"/>
          </w:tcPr>
          <w:p w14:paraId="62C128E1" w14:textId="77777777" w:rsidR="00466EF5" w:rsidRPr="004D28BB" w:rsidRDefault="00466EF5" w:rsidP="000878F6">
            <w:pPr>
              <w:pStyle w:val="Table"/>
              <w:jc w:val="center"/>
              <w:rPr>
                <w:szCs w:val="20"/>
              </w:rPr>
            </w:pPr>
            <w:r w:rsidRPr="004D28BB">
              <w:rPr>
                <w:rFonts w:ascii="Calibri" w:hAnsi="Calibri" w:cs="Calibri"/>
                <w:color w:val="000000"/>
                <w:szCs w:val="20"/>
              </w:rPr>
              <w:t>23,00</w:t>
            </w:r>
          </w:p>
        </w:tc>
        <w:tc>
          <w:tcPr>
            <w:tcW w:w="1018" w:type="dxa"/>
            <w:vAlign w:val="center"/>
          </w:tcPr>
          <w:p w14:paraId="274A2D5C" w14:textId="77777777" w:rsidR="00466EF5" w:rsidRPr="004D28BB" w:rsidRDefault="00466EF5" w:rsidP="000878F6">
            <w:pPr>
              <w:pStyle w:val="Table"/>
              <w:jc w:val="center"/>
              <w:rPr>
                <w:szCs w:val="20"/>
              </w:rPr>
            </w:pPr>
            <w:r w:rsidRPr="004D28BB">
              <w:rPr>
                <w:rFonts w:ascii="Calibri" w:hAnsi="Calibri" w:cs="Calibri"/>
                <w:color w:val="000000"/>
                <w:szCs w:val="20"/>
              </w:rPr>
              <w:t>90,4%</w:t>
            </w:r>
          </w:p>
        </w:tc>
        <w:tc>
          <w:tcPr>
            <w:tcW w:w="1287" w:type="dxa"/>
            <w:vAlign w:val="center"/>
          </w:tcPr>
          <w:p w14:paraId="63BAF24B" w14:textId="77777777" w:rsidR="00466EF5" w:rsidRPr="004D28BB" w:rsidRDefault="00466EF5" w:rsidP="000878F6">
            <w:pPr>
              <w:pStyle w:val="Table"/>
              <w:jc w:val="center"/>
              <w:rPr>
                <w:szCs w:val="20"/>
              </w:rPr>
            </w:pPr>
            <w:r w:rsidRPr="004D28BB">
              <w:rPr>
                <w:rFonts w:ascii="Calibri" w:hAnsi="Calibri" w:cs="Calibri"/>
                <w:color w:val="000000"/>
                <w:szCs w:val="20"/>
              </w:rPr>
              <w:t>88,6%</w:t>
            </w:r>
          </w:p>
        </w:tc>
      </w:tr>
      <w:tr w:rsidR="00466EF5" w:rsidRPr="004D28BB" w14:paraId="39230E29" w14:textId="77777777" w:rsidTr="00BA7936">
        <w:trPr>
          <w:trHeight w:val="260"/>
        </w:trPr>
        <w:tc>
          <w:tcPr>
            <w:tcW w:w="2246" w:type="dxa"/>
          </w:tcPr>
          <w:p w14:paraId="6A4A1105" w14:textId="77777777" w:rsidR="00466EF5" w:rsidRPr="004D28BB" w:rsidRDefault="00466EF5" w:rsidP="000878F6">
            <w:pPr>
              <w:pStyle w:val="Table"/>
              <w:rPr>
                <w:szCs w:val="20"/>
              </w:rPr>
            </w:pPr>
            <w:r w:rsidRPr="004D28BB">
              <w:rPr>
                <w:szCs w:val="20"/>
              </w:rPr>
              <w:t>Fertilizers</w:t>
            </w:r>
          </w:p>
        </w:tc>
        <w:tc>
          <w:tcPr>
            <w:tcW w:w="1127" w:type="dxa"/>
            <w:vAlign w:val="center"/>
          </w:tcPr>
          <w:p w14:paraId="367BD5F1" w14:textId="77777777" w:rsidR="00466EF5" w:rsidRPr="004D28BB" w:rsidRDefault="00466EF5" w:rsidP="000878F6">
            <w:pPr>
              <w:pStyle w:val="Table"/>
              <w:jc w:val="center"/>
              <w:rPr>
                <w:szCs w:val="20"/>
              </w:rPr>
            </w:pPr>
            <w:r w:rsidRPr="004D28BB">
              <w:rPr>
                <w:rFonts w:ascii="Calibri" w:hAnsi="Calibri" w:cs="Calibri"/>
                <w:color w:val="000000"/>
                <w:szCs w:val="20"/>
              </w:rPr>
              <w:t>-3,00%</w:t>
            </w:r>
          </w:p>
        </w:tc>
        <w:tc>
          <w:tcPr>
            <w:tcW w:w="1127" w:type="dxa"/>
            <w:vAlign w:val="center"/>
          </w:tcPr>
          <w:p w14:paraId="47CB5252" w14:textId="77777777" w:rsidR="00466EF5" w:rsidRPr="004D28BB" w:rsidRDefault="00466EF5" w:rsidP="000878F6">
            <w:pPr>
              <w:pStyle w:val="Table"/>
              <w:jc w:val="center"/>
              <w:rPr>
                <w:szCs w:val="20"/>
              </w:rPr>
            </w:pPr>
            <w:r w:rsidRPr="004D28BB">
              <w:rPr>
                <w:rFonts w:ascii="Calibri" w:hAnsi="Calibri" w:cs="Calibri"/>
                <w:color w:val="000000"/>
                <w:szCs w:val="20"/>
              </w:rPr>
              <w:t>-3,00%</w:t>
            </w:r>
          </w:p>
        </w:tc>
        <w:tc>
          <w:tcPr>
            <w:tcW w:w="1034" w:type="dxa"/>
            <w:vAlign w:val="center"/>
          </w:tcPr>
          <w:p w14:paraId="5E21F079" w14:textId="77777777" w:rsidR="00466EF5" w:rsidRPr="004D28BB" w:rsidRDefault="00466EF5" w:rsidP="000878F6">
            <w:pPr>
              <w:pStyle w:val="Table"/>
              <w:jc w:val="center"/>
              <w:rPr>
                <w:szCs w:val="20"/>
              </w:rPr>
            </w:pPr>
            <w:r w:rsidRPr="004D28BB">
              <w:rPr>
                <w:rFonts w:ascii="Calibri" w:hAnsi="Calibri" w:cs="Calibri"/>
                <w:color w:val="000000"/>
                <w:szCs w:val="20"/>
              </w:rPr>
              <w:t>5,56</w:t>
            </w:r>
          </w:p>
        </w:tc>
        <w:tc>
          <w:tcPr>
            <w:tcW w:w="1219" w:type="dxa"/>
            <w:vAlign w:val="center"/>
          </w:tcPr>
          <w:p w14:paraId="5713463F" w14:textId="77777777" w:rsidR="00466EF5" w:rsidRPr="004D28BB" w:rsidRDefault="00466EF5" w:rsidP="000878F6">
            <w:pPr>
              <w:pStyle w:val="Table"/>
              <w:jc w:val="center"/>
              <w:rPr>
                <w:szCs w:val="20"/>
              </w:rPr>
            </w:pPr>
            <w:r w:rsidRPr="004D28BB">
              <w:rPr>
                <w:rFonts w:ascii="Calibri" w:hAnsi="Calibri" w:cs="Calibri"/>
                <w:color w:val="000000"/>
                <w:szCs w:val="20"/>
              </w:rPr>
              <w:t>7,01</w:t>
            </w:r>
          </w:p>
        </w:tc>
        <w:tc>
          <w:tcPr>
            <w:tcW w:w="1018" w:type="dxa"/>
            <w:vAlign w:val="center"/>
          </w:tcPr>
          <w:p w14:paraId="197AB522" w14:textId="77777777" w:rsidR="00466EF5" w:rsidRPr="004D28BB" w:rsidRDefault="00466EF5" w:rsidP="000878F6">
            <w:pPr>
              <w:pStyle w:val="Table"/>
              <w:jc w:val="center"/>
              <w:rPr>
                <w:szCs w:val="20"/>
              </w:rPr>
            </w:pPr>
            <w:r w:rsidRPr="004D28BB">
              <w:rPr>
                <w:rFonts w:ascii="Calibri" w:hAnsi="Calibri" w:cs="Calibri"/>
                <w:color w:val="000000"/>
                <w:szCs w:val="20"/>
              </w:rPr>
              <w:t>108,1%</w:t>
            </w:r>
          </w:p>
        </w:tc>
        <w:tc>
          <w:tcPr>
            <w:tcW w:w="1287" w:type="dxa"/>
            <w:vAlign w:val="center"/>
          </w:tcPr>
          <w:p w14:paraId="13838F74" w14:textId="77777777" w:rsidR="00466EF5" w:rsidRPr="004D28BB" w:rsidRDefault="00466EF5" w:rsidP="000878F6">
            <w:pPr>
              <w:pStyle w:val="Table"/>
              <w:jc w:val="center"/>
              <w:rPr>
                <w:szCs w:val="20"/>
              </w:rPr>
            </w:pPr>
            <w:r w:rsidRPr="004D28BB">
              <w:rPr>
                <w:rFonts w:ascii="Calibri" w:hAnsi="Calibri" w:cs="Calibri"/>
                <w:color w:val="000000"/>
                <w:szCs w:val="20"/>
              </w:rPr>
              <w:t>136,5%</w:t>
            </w:r>
          </w:p>
        </w:tc>
      </w:tr>
      <w:tr w:rsidR="00466EF5" w:rsidRPr="004D28BB" w14:paraId="1820ECD5" w14:textId="77777777" w:rsidTr="00BA7936">
        <w:trPr>
          <w:trHeight w:val="242"/>
        </w:trPr>
        <w:tc>
          <w:tcPr>
            <w:tcW w:w="2246" w:type="dxa"/>
          </w:tcPr>
          <w:p w14:paraId="10E31D81" w14:textId="77777777" w:rsidR="00466EF5" w:rsidRPr="004D28BB" w:rsidRDefault="00466EF5" w:rsidP="000878F6">
            <w:pPr>
              <w:pStyle w:val="Table"/>
              <w:rPr>
                <w:szCs w:val="20"/>
              </w:rPr>
            </w:pPr>
            <w:r w:rsidRPr="004D28BB">
              <w:rPr>
                <w:szCs w:val="20"/>
              </w:rPr>
              <w:t>Pesticides</w:t>
            </w:r>
          </w:p>
        </w:tc>
        <w:tc>
          <w:tcPr>
            <w:tcW w:w="1127" w:type="dxa"/>
            <w:vAlign w:val="center"/>
          </w:tcPr>
          <w:p w14:paraId="73EF92D6" w14:textId="77777777" w:rsidR="00466EF5" w:rsidRPr="004D28BB" w:rsidRDefault="00466EF5" w:rsidP="000878F6">
            <w:pPr>
              <w:pStyle w:val="Table"/>
              <w:jc w:val="center"/>
              <w:rPr>
                <w:szCs w:val="20"/>
              </w:rPr>
            </w:pPr>
            <w:r w:rsidRPr="004D28BB">
              <w:rPr>
                <w:rFonts w:ascii="Calibri" w:hAnsi="Calibri" w:cs="Calibri"/>
                <w:color w:val="000000"/>
                <w:szCs w:val="20"/>
              </w:rPr>
              <w:t>n/a</w:t>
            </w:r>
          </w:p>
        </w:tc>
        <w:tc>
          <w:tcPr>
            <w:tcW w:w="1127" w:type="dxa"/>
            <w:vAlign w:val="center"/>
          </w:tcPr>
          <w:p w14:paraId="48E105B1" w14:textId="77777777" w:rsidR="00466EF5" w:rsidRPr="004D28BB" w:rsidRDefault="00466EF5" w:rsidP="000878F6">
            <w:pPr>
              <w:pStyle w:val="Table"/>
              <w:jc w:val="center"/>
              <w:rPr>
                <w:szCs w:val="20"/>
              </w:rPr>
            </w:pPr>
            <w:r w:rsidRPr="004D28BB">
              <w:rPr>
                <w:rFonts w:ascii="Calibri" w:hAnsi="Calibri" w:cs="Calibri"/>
                <w:color w:val="000000"/>
                <w:szCs w:val="20"/>
              </w:rPr>
              <w:t>n/a</w:t>
            </w:r>
          </w:p>
        </w:tc>
        <w:tc>
          <w:tcPr>
            <w:tcW w:w="1034" w:type="dxa"/>
            <w:vAlign w:val="center"/>
          </w:tcPr>
          <w:p w14:paraId="7BA42AFE" w14:textId="77777777" w:rsidR="00466EF5" w:rsidRPr="004D28BB" w:rsidRDefault="00466EF5" w:rsidP="000878F6">
            <w:pPr>
              <w:pStyle w:val="Table"/>
              <w:jc w:val="center"/>
              <w:rPr>
                <w:szCs w:val="20"/>
              </w:rPr>
            </w:pPr>
            <w:r w:rsidRPr="004D28BB">
              <w:rPr>
                <w:rFonts w:ascii="Calibri" w:hAnsi="Calibri" w:cs="Calibri"/>
                <w:color w:val="000000"/>
                <w:szCs w:val="20"/>
              </w:rPr>
              <w:t>8,69</w:t>
            </w:r>
          </w:p>
        </w:tc>
        <w:tc>
          <w:tcPr>
            <w:tcW w:w="1219" w:type="dxa"/>
            <w:vAlign w:val="center"/>
          </w:tcPr>
          <w:p w14:paraId="64124E5A" w14:textId="77777777" w:rsidR="00466EF5" w:rsidRPr="004D28BB" w:rsidRDefault="00466EF5" w:rsidP="000878F6">
            <w:pPr>
              <w:pStyle w:val="Table"/>
              <w:jc w:val="center"/>
              <w:rPr>
                <w:szCs w:val="20"/>
              </w:rPr>
            </w:pPr>
            <w:r w:rsidRPr="004D28BB">
              <w:rPr>
                <w:rFonts w:ascii="Calibri" w:hAnsi="Calibri" w:cs="Calibri"/>
                <w:color w:val="000000"/>
                <w:szCs w:val="20"/>
              </w:rPr>
              <w:t>8,62</w:t>
            </w:r>
          </w:p>
        </w:tc>
        <w:tc>
          <w:tcPr>
            <w:tcW w:w="1018" w:type="dxa"/>
            <w:vAlign w:val="center"/>
          </w:tcPr>
          <w:p w14:paraId="2D54CB1B" w14:textId="77777777" w:rsidR="00466EF5" w:rsidRPr="004D28BB" w:rsidRDefault="00466EF5" w:rsidP="000878F6">
            <w:pPr>
              <w:pStyle w:val="Table"/>
              <w:jc w:val="center"/>
              <w:rPr>
                <w:szCs w:val="20"/>
              </w:rPr>
            </w:pPr>
            <w:r w:rsidRPr="004D28BB">
              <w:rPr>
                <w:rFonts w:ascii="Calibri" w:hAnsi="Calibri" w:cs="Calibri"/>
                <w:color w:val="000000"/>
                <w:szCs w:val="20"/>
              </w:rPr>
              <w:t>169,0%</w:t>
            </w:r>
          </w:p>
        </w:tc>
        <w:tc>
          <w:tcPr>
            <w:tcW w:w="1287" w:type="dxa"/>
            <w:vAlign w:val="center"/>
          </w:tcPr>
          <w:p w14:paraId="2900A0AE" w14:textId="77777777" w:rsidR="00466EF5" w:rsidRPr="004D28BB" w:rsidRDefault="00466EF5" w:rsidP="000878F6">
            <w:pPr>
              <w:pStyle w:val="Table"/>
              <w:jc w:val="center"/>
              <w:rPr>
                <w:szCs w:val="20"/>
              </w:rPr>
            </w:pPr>
            <w:r w:rsidRPr="004D28BB">
              <w:rPr>
                <w:rFonts w:ascii="Calibri" w:hAnsi="Calibri" w:cs="Calibri"/>
                <w:color w:val="000000"/>
                <w:szCs w:val="20"/>
              </w:rPr>
              <w:t>167,6%</w:t>
            </w:r>
          </w:p>
        </w:tc>
      </w:tr>
      <w:tr w:rsidR="00466EF5" w:rsidRPr="004D28BB" w14:paraId="319E44BD" w14:textId="77777777" w:rsidTr="00BA7936">
        <w:trPr>
          <w:trHeight w:val="242"/>
        </w:trPr>
        <w:tc>
          <w:tcPr>
            <w:tcW w:w="2246" w:type="dxa"/>
          </w:tcPr>
          <w:p w14:paraId="422A7501" w14:textId="77777777" w:rsidR="00466EF5" w:rsidRPr="004D28BB" w:rsidRDefault="00466EF5" w:rsidP="000878F6">
            <w:pPr>
              <w:pStyle w:val="Table"/>
              <w:rPr>
                <w:szCs w:val="20"/>
              </w:rPr>
            </w:pPr>
            <w:r w:rsidRPr="004D28BB">
              <w:rPr>
                <w:szCs w:val="20"/>
              </w:rPr>
              <w:t>Waste Incineration</w:t>
            </w:r>
          </w:p>
        </w:tc>
        <w:tc>
          <w:tcPr>
            <w:tcW w:w="1127" w:type="dxa"/>
            <w:vAlign w:val="center"/>
          </w:tcPr>
          <w:p w14:paraId="71D78818" w14:textId="77777777" w:rsidR="00466EF5" w:rsidRPr="004D28BB" w:rsidRDefault="00466EF5" w:rsidP="000878F6">
            <w:pPr>
              <w:pStyle w:val="Table"/>
              <w:jc w:val="center"/>
              <w:rPr>
                <w:szCs w:val="20"/>
              </w:rPr>
            </w:pPr>
            <w:r w:rsidRPr="004D28BB">
              <w:rPr>
                <w:rFonts w:ascii="Calibri" w:hAnsi="Calibri" w:cs="Calibri"/>
                <w:color w:val="000000"/>
                <w:szCs w:val="20"/>
              </w:rPr>
              <w:t>-8,31%</w:t>
            </w:r>
          </w:p>
        </w:tc>
        <w:tc>
          <w:tcPr>
            <w:tcW w:w="1127" w:type="dxa"/>
            <w:vAlign w:val="center"/>
          </w:tcPr>
          <w:p w14:paraId="748CEDA9" w14:textId="77777777" w:rsidR="00466EF5" w:rsidRPr="004D28BB" w:rsidRDefault="00466EF5" w:rsidP="000878F6">
            <w:pPr>
              <w:pStyle w:val="Table"/>
              <w:jc w:val="center"/>
              <w:rPr>
                <w:szCs w:val="20"/>
              </w:rPr>
            </w:pPr>
            <w:r w:rsidRPr="004D28BB">
              <w:rPr>
                <w:rFonts w:ascii="Calibri" w:hAnsi="Calibri" w:cs="Calibri"/>
                <w:color w:val="000000"/>
                <w:szCs w:val="20"/>
              </w:rPr>
              <w:t>-8,31%</w:t>
            </w:r>
          </w:p>
        </w:tc>
        <w:tc>
          <w:tcPr>
            <w:tcW w:w="1034" w:type="dxa"/>
            <w:vAlign w:val="center"/>
          </w:tcPr>
          <w:p w14:paraId="5D8670A4" w14:textId="77777777" w:rsidR="00466EF5" w:rsidRPr="004D28BB" w:rsidRDefault="00466EF5" w:rsidP="000878F6">
            <w:pPr>
              <w:pStyle w:val="Table"/>
              <w:jc w:val="center"/>
              <w:rPr>
                <w:szCs w:val="20"/>
              </w:rPr>
            </w:pPr>
            <w:r w:rsidRPr="004D28BB">
              <w:rPr>
                <w:rFonts w:ascii="Calibri" w:hAnsi="Calibri" w:cs="Calibri"/>
                <w:color w:val="000000"/>
                <w:szCs w:val="20"/>
              </w:rPr>
              <w:t>0,00</w:t>
            </w:r>
          </w:p>
        </w:tc>
        <w:tc>
          <w:tcPr>
            <w:tcW w:w="1219" w:type="dxa"/>
            <w:vAlign w:val="center"/>
          </w:tcPr>
          <w:p w14:paraId="099C3459" w14:textId="77777777" w:rsidR="00466EF5" w:rsidRPr="004D28BB" w:rsidRDefault="00466EF5" w:rsidP="000878F6">
            <w:pPr>
              <w:pStyle w:val="Table"/>
              <w:jc w:val="center"/>
              <w:rPr>
                <w:szCs w:val="20"/>
              </w:rPr>
            </w:pPr>
            <w:r w:rsidRPr="004D28BB">
              <w:rPr>
                <w:rFonts w:ascii="Calibri" w:hAnsi="Calibri" w:cs="Calibri"/>
                <w:color w:val="000000"/>
                <w:szCs w:val="20"/>
              </w:rPr>
              <w:t>0,00</w:t>
            </w:r>
          </w:p>
        </w:tc>
        <w:tc>
          <w:tcPr>
            <w:tcW w:w="1018" w:type="dxa"/>
            <w:vAlign w:val="center"/>
          </w:tcPr>
          <w:p w14:paraId="4890FBF8" w14:textId="77777777" w:rsidR="00466EF5" w:rsidRPr="004D28BB" w:rsidRDefault="00466EF5" w:rsidP="000878F6">
            <w:pPr>
              <w:pStyle w:val="Table"/>
              <w:jc w:val="center"/>
              <w:rPr>
                <w:szCs w:val="20"/>
              </w:rPr>
            </w:pPr>
            <w:r w:rsidRPr="004D28BB">
              <w:rPr>
                <w:rFonts w:ascii="Calibri" w:hAnsi="Calibri" w:cs="Calibri"/>
                <w:color w:val="000000"/>
                <w:szCs w:val="20"/>
              </w:rPr>
              <w:t>0,1%</w:t>
            </w:r>
          </w:p>
        </w:tc>
        <w:tc>
          <w:tcPr>
            <w:tcW w:w="1287" w:type="dxa"/>
            <w:vAlign w:val="center"/>
          </w:tcPr>
          <w:p w14:paraId="7D1F376D" w14:textId="77777777" w:rsidR="00466EF5" w:rsidRPr="004D28BB" w:rsidRDefault="00466EF5" w:rsidP="000878F6">
            <w:pPr>
              <w:pStyle w:val="Table"/>
              <w:jc w:val="center"/>
              <w:rPr>
                <w:szCs w:val="20"/>
              </w:rPr>
            </w:pPr>
            <w:r w:rsidRPr="004D28BB">
              <w:rPr>
                <w:rFonts w:ascii="Calibri" w:hAnsi="Calibri" w:cs="Calibri"/>
                <w:color w:val="000000"/>
                <w:szCs w:val="20"/>
              </w:rPr>
              <w:t>0,0%</w:t>
            </w:r>
          </w:p>
        </w:tc>
      </w:tr>
      <w:tr w:rsidR="00466EF5" w:rsidRPr="004D28BB" w14:paraId="4EA11644" w14:textId="77777777" w:rsidTr="00BA7936">
        <w:trPr>
          <w:trHeight w:val="242"/>
        </w:trPr>
        <w:tc>
          <w:tcPr>
            <w:tcW w:w="2246" w:type="dxa"/>
          </w:tcPr>
          <w:p w14:paraId="1FBFCEF8" w14:textId="77777777" w:rsidR="00466EF5" w:rsidRPr="004D28BB" w:rsidRDefault="00466EF5" w:rsidP="000878F6">
            <w:pPr>
              <w:pStyle w:val="Table"/>
              <w:rPr>
                <w:szCs w:val="20"/>
              </w:rPr>
            </w:pPr>
            <w:r w:rsidRPr="004D28BB">
              <w:rPr>
                <w:szCs w:val="20"/>
              </w:rPr>
              <w:t>Waste to Landfill</w:t>
            </w:r>
          </w:p>
        </w:tc>
        <w:tc>
          <w:tcPr>
            <w:tcW w:w="1127" w:type="dxa"/>
            <w:vAlign w:val="center"/>
          </w:tcPr>
          <w:p w14:paraId="1C73BE70" w14:textId="77777777" w:rsidR="00466EF5" w:rsidRPr="004D28BB" w:rsidRDefault="00466EF5" w:rsidP="000878F6">
            <w:pPr>
              <w:pStyle w:val="Table"/>
              <w:jc w:val="center"/>
              <w:rPr>
                <w:szCs w:val="20"/>
              </w:rPr>
            </w:pPr>
            <w:r w:rsidRPr="004D28BB">
              <w:rPr>
                <w:rFonts w:ascii="Calibri" w:hAnsi="Calibri" w:cs="Calibri"/>
                <w:color w:val="000000"/>
                <w:szCs w:val="20"/>
              </w:rPr>
              <w:t>0,00%</w:t>
            </w:r>
          </w:p>
        </w:tc>
        <w:tc>
          <w:tcPr>
            <w:tcW w:w="1127" w:type="dxa"/>
            <w:vAlign w:val="center"/>
          </w:tcPr>
          <w:p w14:paraId="1F5D86F6" w14:textId="77777777" w:rsidR="00466EF5" w:rsidRPr="004D28BB" w:rsidRDefault="00466EF5" w:rsidP="000878F6">
            <w:pPr>
              <w:pStyle w:val="Table"/>
              <w:jc w:val="center"/>
              <w:rPr>
                <w:szCs w:val="20"/>
              </w:rPr>
            </w:pPr>
            <w:r w:rsidRPr="004D28BB">
              <w:rPr>
                <w:rFonts w:ascii="Calibri" w:hAnsi="Calibri" w:cs="Calibri"/>
                <w:color w:val="000000"/>
                <w:szCs w:val="20"/>
              </w:rPr>
              <w:t>0,00%</w:t>
            </w:r>
          </w:p>
        </w:tc>
        <w:tc>
          <w:tcPr>
            <w:tcW w:w="1034" w:type="dxa"/>
            <w:vAlign w:val="center"/>
          </w:tcPr>
          <w:p w14:paraId="620F4EA7" w14:textId="77777777" w:rsidR="00466EF5" w:rsidRPr="004D28BB" w:rsidRDefault="00466EF5" w:rsidP="000878F6">
            <w:pPr>
              <w:pStyle w:val="Table"/>
              <w:jc w:val="center"/>
              <w:rPr>
                <w:szCs w:val="20"/>
              </w:rPr>
            </w:pPr>
            <w:r w:rsidRPr="004D28BB">
              <w:rPr>
                <w:rFonts w:ascii="Calibri" w:hAnsi="Calibri" w:cs="Calibri"/>
                <w:color w:val="000000"/>
                <w:szCs w:val="20"/>
              </w:rPr>
              <w:t>0,00</w:t>
            </w:r>
          </w:p>
        </w:tc>
        <w:tc>
          <w:tcPr>
            <w:tcW w:w="1219" w:type="dxa"/>
            <w:vAlign w:val="center"/>
          </w:tcPr>
          <w:p w14:paraId="00493ADB" w14:textId="77777777" w:rsidR="00466EF5" w:rsidRPr="004D28BB" w:rsidRDefault="00466EF5" w:rsidP="000878F6">
            <w:pPr>
              <w:pStyle w:val="Table"/>
              <w:jc w:val="center"/>
              <w:rPr>
                <w:szCs w:val="20"/>
              </w:rPr>
            </w:pPr>
            <w:r w:rsidRPr="004D28BB">
              <w:rPr>
                <w:rFonts w:ascii="Calibri" w:hAnsi="Calibri" w:cs="Calibri"/>
                <w:color w:val="000000"/>
                <w:szCs w:val="20"/>
              </w:rPr>
              <w:t>0,00</w:t>
            </w:r>
          </w:p>
        </w:tc>
        <w:tc>
          <w:tcPr>
            <w:tcW w:w="1018" w:type="dxa"/>
            <w:vAlign w:val="center"/>
          </w:tcPr>
          <w:p w14:paraId="1463A367" w14:textId="77777777" w:rsidR="00466EF5" w:rsidRPr="004D28BB" w:rsidRDefault="00466EF5" w:rsidP="000878F6">
            <w:pPr>
              <w:pStyle w:val="Table"/>
              <w:jc w:val="center"/>
              <w:rPr>
                <w:szCs w:val="20"/>
              </w:rPr>
            </w:pPr>
            <w:r w:rsidRPr="004D28BB">
              <w:rPr>
                <w:rFonts w:ascii="Calibri" w:hAnsi="Calibri" w:cs="Calibri"/>
                <w:color w:val="000000"/>
                <w:szCs w:val="20"/>
              </w:rPr>
              <w:t>0,0%</w:t>
            </w:r>
          </w:p>
        </w:tc>
        <w:tc>
          <w:tcPr>
            <w:tcW w:w="1287" w:type="dxa"/>
            <w:vAlign w:val="center"/>
          </w:tcPr>
          <w:p w14:paraId="4D80509B" w14:textId="77777777" w:rsidR="00466EF5" w:rsidRPr="004D28BB" w:rsidRDefault="00466EF5" w:rsidP="000878F6">
            <w:pPr>
              <w:pStyle w:val="Table"/>
              <w:jc w:val="center"/>
              <w:rPr>
                <w:szCs w:val="20"/>
              </w:rPr>
            </w:pPr>
            <w:r w:rsidRPr="004D28BB">
              <w:rPr>
                <w:rFonts w:ascii="Calibri" w:hAnsi="Calibri" w:cs="Calibri"/>
                <w:color w:val="000000"/>
                <w:szCs w:val="20"/>
              </w:rPr>
              <w:t>0,0%</w:t>
            </w:r>
          </w:p>
        </w:tc>
      </w:tr>
      <w:tr w:rsidR="00466EF5" w:rsidRPr="004D28BB" w14:paraId="17EF81B6" w14:textId="77777777" w:rsidTr="00BA7936">
        <w:trPr>
          <w:trHeight w:val="242"/>
        </w:trPr>
        <w:tc>
          <w:tcPr>
            <w:tcW w:w="2246" w:type="dxa"/>
          </w:tcPr>
          <w:p w14:paraId="14E01775" w14:textId="77777777" w:rsidR="00466EF5" w:rsidRPr="004D28BB" w:rsidRDefault="00466EF5" w:rsidP="000878F6">
            <w:pPr>
              <w:pStyle w:val="Table"/>
              <w:rPr>
                <w:szCs w:val="20"/>
              </w:rPr>
            </w:pPr>
            <w:r w:rsidRPr="004D28BB">
              <w:rPr>
                <w:szCs w:val="20"/>
              </w:rPr>
              <w:t>Water Effluent</w:t>
            </w:r>
          </w:p>
        </w:tc>
        <w:tc>
          <w:tcPr>
            <w:tcW w:w="1127" w:type="dxa"/>
            <w:vAlign w:val="center"/>
          </w:tcPr>
          <w:p w14:paraId="73F0946E" w14:textId="77777777" w:rsidR="00466EF5" w:rsidRPr="004D28BB" w:rsidRDefault="00466EF5" w:rsidP="000878F6">
            <w:pPr>
              <w:pStyle w:val="Table"/>
              <w:jc w:val="center"/>
              <w:rPr>
                <w:szCs w:val="20"/>
              </w:rPr>
            </w:pPr>
            <w:r w:rsidRPr="004D28BB">
              <w:rPr>
                <w:rFonts w:ascii="Calibri" w:hAnsi="Calibri" w:cs="Calibri"/>
                <w:color w:val="000000"/>
                <w:szCs w:val="20"/>
              </w:rPr>
              <w:t>0,00%</w:t>
            </w:r>
          </w:p>
        </w:tc>
        <w:tc>
          <w:tcPr>
            <w:tcW w:w="1127" w:type="dxa"/>
            <w:vAlign w:val="center"/>
          </w:tcPr>
          <w:p w14:paraId="6F7B3140" w14:textId="77777777" w:rsidR="00466EF5" w:rsidRPr="004D28BB" w:rsidRDefault="00466EF5" w:rsidP="000878F6">
            <w:pPr>
              <w:pStyle w:val="Table"/>
              <w:jc w:val="center"/>
              <w:rPr>
                <w:szCs w:val="20"/>
              </w:rPr>
            </w:pPr>
            <w:r w:rsidRPr="004D28BB">
              <w:rPr>
                <w:rFonts w:ascii="Calibri" w:hAnsi="Calibri" w:cs="Calibri"/>
                <w:color w:val="000000"/>
                <w:szCs w:val="20"/>
              </w:rPr>
              <w:t>0,00%</w:t>
            </w:r>
          </w:p>
        </w:tc>
        <w:tc>
          <w:tcPr>
            <w:tcW w:w="1034" w:type="dxa"/>
            <w:vAlign w:val="center"/>
          </w:tcPr>
          <w:p w14:paraId="641D56AA" w14:textId="77777777" w:rsidR="00466EF5" w:rsidRPr="004D28BB" w:rsidRDefault="00466EF5" w:rsidP="000878F6">
            <w:pPr>
              <w:pStyle w:val="Table"/>
              <w:jc w:val="center"/>
              <w:rPr>
                <w:szCs w:val="20"/>
              </w:rPr>
            </w:pPr>
            <w:r w:rsidRPr="004D28BB">
              <w:rPr>
                <w:rFonts w:ascii="Calibri" w:hAnsi="Calibri" w:cs="Calibri"/>
                <w:color w:val="000000"/>
                <w:szCs w:val="20"/>
              </w:rPr>
              <w:t>0,00</w:t>
            </w:r>
          </w:p>
        </w:tc>
        <w:tc>
          <w:tcPr>
            <w:tcW w:w="1219" w:type="dxa"/>
            <w:vAlign w:val="center"/>
          </w:tcPr>
          <w:p w14:paraId="54929FAF" w14:textId="77777777" w:rsidR="00466EF5" w:rsidRPr="004D28BB" w:rsidRDefault="00466EF5" w:rsidP="000878F6">
            <w:pPr>
              <w:pStyle w:val="Table"/>
              <w:jc w:val="center"/>
              <w:rPr>
                <w:szCs w:val="20"/>
              </w:rPr>
            </w:pPr>
            <w:r w:rsidRPr="004D28BB">
              <w:rPr>
                <w:rFonts w:ascii="Calibri" w:hAnsi="Calibri" w:cs="Calibri"/>
                <w:color w:val="000000"/>
                <w:szCs w:val="20"/>
              </w:rPr>
              <w:t>0,00</w:t>
            </w:r>
          </w:p>
        </w:tc>
        <w:tc>
          <w:tcPr>
            <w:tcW w:w="1018" w:type="dxa"/>
            <w:vAlign w:val="center"/>
          </w:tcPr>
          <w:p w14:paraId="1804D3F2" w14:textId="77777777" w:rsidR="00466EF5" w:rsidRPr="004D28BB" w:rsidRDefault="00466EF5" w:rsidP="000878F6">
            <w:pPr>
              <w:pStyle w:val="Table"/>
              <w:jc w:val="center"/>
              <w:rPr>
                <w:szCs w:val="20"/>
              </w:rPr>
            </w:pPr>
            <w:r w:rsidRPr="004D28BB">
              <w:rPr>
                <w:rFonts w:ascii="Calibri" w:hAnsi="Calibri" w:cs="Calibri"/>
                <w:color w:val="000000"/>
                <w:szCs w:val="20"/>
              </w:rPr>
              <w:t>0,0%</w:t>
            </w:r>
          </w:p>
        </w:tc>
        <w:tc>
          <w:tcPr>
            <w:tcW w:w="1287" w:type="dxa"/>
            <w:vAlign w:val="center"/>
          </w:tcPr>
          <w:p w14:paraId="0C439673" w14:textId="77777777" w:rsidR="00466EF5" w:rsidRPr="004D28BB" w:rsidRDefault="00466EF5" w:rsidP="000878F6">
            <w:pPr>
              <w:pStyle w:val="Table"/>
              <w:jc w:val="center"/>
              <w:rPr>
                <w:szCs w:val="20"/>
              </w:rPr>
            </w:pPr>
            <w:r w:rsidRPr="004D28BB">
              <w:rPr>
                <w:rFonts w:ascii="Calibri" w:hAnsi="Calibri" w:cs="Calibri"/>
                <w:color w:val="000000"/>
                <w:szCs w:val="20"/>
              </w:rPr>
              <w:t>0,0%</w:t>
            </w:r>
          </w:p>
        </w:tc>
      </w:tr>
      <w:tr w:rsidR="00466EF5" w:rsidRPr="004D28BB" w14:paraId="43BDCB00" w14:textId="77777777" w:rsidTr="00BA7936">
        <w:trPr>
          <w:trHeight w:val="242"/>
        </w:trPr>
        <w:tc>
          <w:tcPr>
            <w:tcW w:w="2246" w:type="dxa"/>
          </w:tcPr>
          <w:p w14:paraId="5A4FE4FA" w14:textId="77777777" w:rsidR="00466EF5" w:rsidRPr="004D28BB" w:rsidRDefault="00466EF5" w:rsidP="000878F6">
            <w:pPr>
              <w:pStyle w:val="Table"/>
              <w:rPr>
                <w:szCs w:val="20"/>
              </w:rPr>
            </w:pPr>
            <w:r w:rsidRPr="004D28BB">
              <w:rPr>
                <w:szCs w:val="20"/>
              </w:rPr>
              <w:t>Minerals &amp; Aggregates</w:t>
            </w:r>
          </w:p>
        </w:tc>
        <w:tc>
          <w:tcPr>
            <w:tcW w:w="1127" w:type="dxa"/>
            <w:vAlign w:val="center"/>
          </w:tcPr>
          <w:p w14:paraId="46103E0F" w14:textId="77777777" w:rsidR="00466EF5" w:rsidRPr="004D28BB" w:rsidRDefault="00466EF5" w:rsidP="000878F6">
            <w:pPr>
              <w:pStyle w:val="Table"/>
              <w:jc w:val="center"/>
              <w:rPr>
                <w:szCs w:val="20"/>
              </w:rPr>
            </w:pPr>
            <w:r w:rsidRPr="004D28BB">
              <w:rPr>
                <w:rFonts w:ascii="Calibri" w:hAnsi="Calibri" w:cs="Calibri"/>
                <w:color w:val="000000"/>
                <w:szCs w:val="20"/>
              </w:rPr>
              <w:t>-5,02%</w:t>
            </w:r>
          </w:p>
        </w:tc>
        <w:tc>
          <w:tcPr>
            <w:tcW w:w="1127" w:type="dxa"/>
            <w:vAlign w:val="center"/>
          </w:tcPr>
          <w:p w14:paraId="7829AD39" w14:textId="77777777" w:rsidR="00466EF5" w:rsidRPr="004D28BB" w:rsidRDefault="00466EF5" w:rsidP="000878F6">
            <w:pPr>
              <w:pStyle w:val="Table"/>
              <w:jc w:val="center"/>
              <w:rPr>
                <w:szCs w:val="20"/>
              </w:rPr>
            </w:pPr>
            <w:r w:rsidRPr="004D28BB">
              <w:rPr>
                <w:rFonts w:ascii="Calibri" w:hAnsi="Calibri" w:cs="Calibri"/>
                <w:color w:val="000000"/>
                <w:szCs w:val="20"/>
              </w:rPr>
              <w:t>-5,02%</w:t>
            </w:r>
          </w:p>
        </w:tc>
        <w:tc>
          <w:tcPr>
            <w:tcW w:w="1034" w:type="dxa"/>
            <w:vAlign w:val="center"/>
          </w:tcPr>
          <w:p w14:paraId="71E7537F" w14:textId="77777777" w:rsidR="00466EF5" w:rsidRPr="004D28BB" w:rsidRDefault="00466EF5" w:rsidP="000878F6">
            <w:pPr>
              <w:pStyle w:val="Table"/>
              <w:jc w:val="center"/>
              <w:rPr>
                <w:szCs w:val="20"/>
              </w:rPr>
            </w:pPr>
            <w:r w:rsidRPr="004D28BB">
              <w:rPr>
                <w:rFonts w:ascii="Calibri" w:hAnsi="Calibri" w:cs="Calibri"/>
                <w:color w:val="000000"/>
                <w:szCs w:val="20"/>
              </w:rPr>
              <w:t>65,29</w:t>
            </w:r>
          </w:p>
        </w:tc>
        <w:tc>
          <w:tcPr>
            <w:tcW w:w="1219" w:type="dxa"/>
            <w:vAlign w:val="center"/>
          </w:tcPr>
          <w:p w14:paraId="527B2FA3" w14:textId="77777777" w:rsidR="00466EF5" w:rsidRPr="004D28BB" w:rsidRDefault="00466EF5" w:rsidP="000878F6">
            <w:pPr>
              <w:pStyle w:val="Table"/>
              <w:jc w:val="center"/>
              <w:rPr>
                <w:szCs w:val="20"/>
              </w:rPr>
            </w:pPr>
            <w:r w:rsidRPr="004D28BB">
              <w:rPr>
                <w:rFonts w:ascii="Calibri" w:hAnsi="Calibri" w:cs="Calibri"/>
                <w:color w:val="000000"/>
                <w:szCs w:val="20"/>
              </w:rPr>
              <w:t>70,41</w:t>
            </w:r>
          </w:p>
        </w:tc>
        <w:tc>
          <w:tcPr>
            <w:tcW w:w="1018" w:type="dxa"/>
            <w:vAlign w:val="center"/>
          </w:tcPr>
          <w:p w14:paraId="5ADF6DD5" w14:textId="77777777" w:rsidR="00466EF5" w:rsidRPr="004D28BB" w:rsidRDefault="00466EF5" w:rsidP="000878F6">
            <w:pPr>
              <w:pStyle w:val="Table"/>
              <w:jc w:val="center"/>
              <w:rPr>
                <w:szCs w:val="20"/>
              </w:rPr>
            </w:pPr>
            <w:r w:rsidRPr="004D28BB">
              <w:rPr>
                <w:rFonts w:ascii="Calibri" w:hAnsi="Calibri" w:cs="Calibri"/>
                <w:color w:val="000000"/>
                <w:szCs w:val="20"/>
              </w:rPr>
              <w:t>251,6%</w:t>
            </w:r>
          </w:p>
        </w:tc>
        <w:tc>
          <w:tcPr>
            <w:tcW w:w="1287" w:type="dxa"/>
            <w:vAlign w:val="center"/>
          </w:tcPr>
          <w:p w14:paraId="48857A9E" w14:textId="77777777" w:rsidR="00466EF5" w:rsidRPr="004D28BB" w:rsidRDefault="00466EF5" w:rsidP="000878F6">
            <w:pPr>
              <w:pStyle w:val="Table"/>
              <w:jc w:val="center"/>
              <w:rPr>
                <w:szCs w:val="20"/>
              </w:rPr>
            </w:pPr>
            <w:r w:rsidRPr="004D28BB">
              <w:rPr>
                <w:rFonts w:ascii="Calibri" w:hAnsi="Calibri" w:cs="Calibri"/>
                <w:color w:val="000000"/>
                <w:szCs w:val="20"/>
              </w:rPr>
              <w:t>271,3%</w:t>
            </w:r>
          </w:p>
        </w:tc>
      </w:tr>
    </w:tbl>
    <w:p w14:paraId="236DDE62" w14:textId="77777777" w:rsidR="00466EF5" w:rsidRPr="00466EF5" w:rsidRDefault="00466EF5" w:rsidP="00466EF5"/>
    <w:p w14:paraId="15DB0A8F" w14:textId="073C82C9" w:rsidR="00466EF5" w:rsidRPr="00466EF5" w:rsidRDefault="00466EF5" w:rsidP="00466EF5">
      <w:r w:rsidRPr="00466EF5">
        <w:lastRenderedPageBreak/>
        <w:t xml:space="preserve">The </w:t>
      </w:r>
      <w:r w:rsidRPr="00466EF5">
        <w:rPr>
          <w:b/>
          <w:bCs/>
        </w:rPr>
        <w:t>main implementation challenges</w:t>
      </w:r>
      <w:r w:rsidRPr="00466EF5">
        <w:t xml:space="preserve"> stem from the relatively low administrative capacity and limited monitoring systems for pollution and resource use. Extending taxation to new bases such as water abstraction, mineral extraction or fertiliser use would require improvements in data collection and reporting by both public authorities and regulated entities. Establishing robust mechanisms for measurement and verification</w:t>
      </w:r>
      <w:r>
        <w:t xml:space="preserve">, </w:t>
      </w:r>
      <w:r w:rsidRPr="00466EF5">
        <w:t>particularly for pollutants and effluents</w:t>
      </w:r>
      <w:r>
        <w:t xml:space="preserve">, </w:t>
      </w:r>
      <w:r w:rsidRPr="00466EF5">
        <w:t>would be essential to ensure credibility and enforceability. Technical assistance and investment in administrative modernisation, supported by EU funds, could help address these barriers.</w:t>
      </w:r>
    </w:p>
    <w:p w14:paraId="5FD99AD5" w14:textId="58DB1953" w:rsidR="00466EF5" w:rsidRPr="00466EF5" w:rsidRDefault="00466EF5" w:rsidP="00466EF5">
      <w:r w:rsidRPr="00466EF5">
        <w:t xml:space="preserve">From a </w:t>
      </w:r>
      <w:r w:rsidRPr="00466EF5">
        <w:rPr>
          <w:b/>
          <w:bCs/>
        </w:rPr>
        <w:t>distributional and social perspective</w:t>
      </w:r>
      <w:r w:rsidRPr="00466EF5">
        <w:t>, care must be taken to prevent new taxes from disproportionately affecting low-income households, which have less capacity to absorb higher utility or waste management costs. Targeted compensation measures could include lump-sum rebates for vulnerable groups, reductions in social contributions financed through environmental tax revenues, or subsidies for energy and water efficiency investments in low-income households. Clear communication about how revenues are used</w:t>
      </w:r>
      <w:r>
        <w:t xml:space="preserve">, </w:t>
      </w:r>
      <w:r w:rsidRPr="00466EF5">
        <w:t>for instance, to improve air and water quality or to upgrade local infrastructure</w:t>
      </w:r>
      <w:r>
        <w:t xml:space="preserve">, </w:t>
      </w:r>
      <w:r w:rsidRPr="00466EF5">
        <w:t>would enhance public trust and acceptance.</w:t>
      </w:r>
    </w:p>
    <w:p w14:paraId="71530C49" w14:textId="77C0088B" w:rsidR="00466EF5" w:rsidRPr="00466EF5" w:rsidRDefault="00466EF5" w:rsidP="00466EF5">
      <w:r w:rsidRPr="00466EF5">
        <w:t xml:space="preserve">In terms of </w:t>
      </w:r>
      <w:r w:rsidRPr="00466EF5">
        <w:rPr>
          <w:b/>
          <w:bCs/>
        </w:rPr>
        <w:t>competitiveness</w:t>
      </w:r>
      <w:r w:rsidRPr="00466EF5">
        <w:t xml:space="preserve">, the sectors most exposed to new or higher taxes are mining and quarrying, manufacturing (particularly chemicals and construction materials), and agriculture. While environmental taxes may increase production costs in the short term, phased introduction and parallel support for eco-efficiency investments can limit negative impacts. Given Bulgaria’s strong construction sector and ongoing use of natural aggregates, the introduction of a </w:t>
      </w:r>
      <w:r w:rsidRPr="00466EF5">
        <w:rPr>
          <w:b/>
          <w:bCs/>
        </w:rPr>
        <w:t>moderate mineral extraction tax</w:t>
      </w:r>
      <w:r>
        <w:t xml:space="preserve">, </w:t>
      </w:r>
      <w:r w:rsidRPr="00466EF5">
        <w:t>aligned with regional best practices</w:t>
      </w:r>
      <w:r>
        <w:t xml:space="preserve">, </w:t>
      </w:r>
      <w:r w:rsidRPr="00466EF5">
        <w:t xml:space="preserve">could encourage resource efficiency without undermining competitiveness. Similarly, a </w:t>
      </w:r>
      <w:r w:rsidRPr="00466EF5">
        <w:rPr>
          <w:b/>
          <w:bCs/>
        </w:rPr>
        <w:t>wastewater effluent tax</w:t>
      </w:r>
      <w:r w:rsidRPr="00466EF5">
        <w:t xml:space="preserve"> would incentivise investment in treatment facilities and reduce pollution of surface waters, a persistent challenge in parts of the country.</w:t>
      </w:r>
    </w:p>
    <w:p w14:paraId="1A0B38CB" w14:textId="77777777" w:rsidR="00466EF5" w:rsidRPr="00466EF5" w:rsidRDefault="00466EF5" w:rsidP="00466EF5">
      <w:r w:rsidRPr="00466EF5">
        <w:t xml:space="preserve">Based on the modelling results and national conditions, the following </w:t>
      </w:r>
      <w:r w:rsidRPr="00466EF5">
        <w:rPr>
          <w:b/>
          <w:bCs/>
        </w:rPr>
        <w:t>priority taxes</w:t>
      </w:r>
      <w:r w:rsidRPr="00466EF5">
        <w:t xml:space="preserve"> could be considered for introduction or strengthening:</w:t>
      </w:r>
    </w:p>
    <w:p w14:paraId="3B8E895B" w14:textId="77777777" w:rsidR="00466EF5" w:rsidRPr="00466EF5" w:rsidRDefault="00466EF5" w:rsidP="00466EF5">
      <w:pPr>
        <w:pStyle w:val="Bulletlist"/>
      </w:pPr>
      <w:r w:rsidRPr="00466EF5">
        <w:t xml:space="preserve">A </w:t>
      </w:r>
      <w:r w:rsidRPr="00466EF5">
        <w:rPr>
          <w:b/>
          <w:bCs/>
        </w:rPr>
        <w:t>mineral extraction tax</w:t>
      </w:r>
      <w:r w:rsidRPr="00466EF5">
        <w:t>, promoting the sustainable use of raw materials and aligning with EU benchmarks;</w:t>
      </w:r>
    </w:p>
    <w:p w14:paraId="66383814" w14:textId="77777777" w:rsidR="00466EF5" w:rsidRPr="00466EF5" w:rsidRDefault="00466EF5" w:rsidP="00466EF5">
      <w:pPr>
        <w:pStyle w:val="Bulletlist"/>
      </w:pPr>
      <w:r w:rsidRPr="00466EF5">
        <w:t xml:space="preserve">A </w:t>
      </w:r>
      <w:r w:rsidRPr="00466EF5">
        <w:rPr>
          <w:b/>
          <w:bCs/>
        </w:rPr>
        <w:t>wastewater effluent tax</w:t>
      </w:r>
      <w:r w:rsidRPr="00466EF5">
        <w:t>, providing incentives for industrial and municipal treatment improvements;</w:t>
      </w:r>
    </w:p>
    <w:p w14:paraId="15CC572C" w14:textId="77777777" w:rsidR="00466EF5" w:rsidRPr="00466EF5" w:rsidRDefault="00466EF5" w:rsidP="00466EF5">
      <w:pPr>
        <w:pStyle w:val="Bulletlist"/>
      </w:pPr>
      <w:r w:rsidRPr="00466EF5">
        <w:t xml:space="preserve">A </w:t>
      </w:r>
      <w:r w:rsidRPr="00466EF5">
        <w:rPr>
          <w:b/>
          <w:bCs/>
        </w:rPr>
        <w:t>fertiliser tax</w:t>
      </w:r>
      <w:r w:rsidRPr="00466EF5">
        <w:t>, designed to reduce nutrient pollution while maintaining support for farmers through targeted subsidies or advisory schemes; and</w:t>
      </w:r>
    </w:p>
    <w:p w14:paraId="5B38E8C8" w14:textId="77777777" w:rsidR="00466EF5" w:rsidRPr="00466EF5" w:rsidRDefault="00466EF5" w:rsidP="00466EF5">
      <w:pPr>
        <w:pStyle w:val="Bulletlist"/>
      </w:pPr>
      <w:r w:rsidRPr="00466EF5">
        <w:t xml:space="preserve">Gradual increases in the </w:t>
      </w:r>
      <w:r w:rsidRPr="00466EF5">
        <w:rPr>
          <w:b/>
          <w:bCs/>
        </w:rPr>
        <w:t>landfill tax</w:t>
      </w:r>
      <w:r w:rsidRPr="00466EF5">
        <w:t>, paired with enhanced enforcement and investments in recycling infrastructure.</w:t>
      </w:r>
    </w:p>
    <w:p w14:paraId="73D5A230" w14:textId="4BC210B1" w:rsidR="00466EF5" w:rsidRPr="00466EF5" w:rsidRDefault="00466EF5" w:rsidP="00466EF5">
      <w:r w:rsidRPr="00466EF5">
        <w:t xml:space="preserve">To ensure feasibility, Bulgaria should pursue a </w:t>
      </w:r>
      <w:r w:rsidRPr="00466EF5">
        <w:rPr>
          <w:b/>
          <w:bCs/>
        </w:rPr>
        <w:t>phased implementation strategy</w:t>
      </w:r>
      <w:r w:rsidRPr="00466EF5">
        <w:t>, starting with sectors where monitoring and collection systems are already operational. Coordination between the Ministry of Environment and Water, the Ministry of Finance and local authorities will be crucial, alongside stakeholder dialogue to address sector-specific concerns.</w:t>
      </w:r>
    </w:p>
    <w:p w14:paraId="44ADD7EA" w14:textId="589BACF0" w:rsidR="00392FDA" w:rsidRDefault="00466EF5" w:rsidP="00392FDA">
      <w:r w:rsidRPr="00466EF5">
        <w:t>In conclusion, Bulgaria has substantial untapped potential to expand the use of environmental taxation in ways that could deliver both fiscal and environmental dividends. The key to success will lie in strengthening administrative capacity, ensuring transparent revenue use, and applying targeted mitigation measures to protect vulnerable households and industries. With these safeguards in place, environmental tax reform could become a powerful driver of Bulgaria’s green transition and fiscal modernisation.</w:t>
      </w:r>
    </w:p>
    <w:p w14:paraId="692BB281" w14:textId="77777777" w:rsidR="00392FDA" w:rsidRPr="007B6F9D" w:rsidRDefault="00392FDA" w:rsidP="003B77C1">
      <w:pPr>
        <w:pStyle w:val="AnnexHeading1"/>
        <w:ind w:hanging="1211"/>
      </w:pPr>
      <w:bookmarkStart w:id="118" w:name="_Toc214008843"/>
      <w:r w:rsidRPr="007B6F9D">
        <w:lastRenderedPageBreak/>
        <w:t>Croatia</w:t>
      </w:r>
      <w:bookmarkEnd w:id="118"/>
    </w:p>
    <w:p w14:paraId="4C6BE19E" w14:textId="77777777" w:rsidR="00392FDA" w:rsidRPr="00E82783" w:rsidRDefault="00392FDA" w:rsidP="007C4EB7">
      <w:pPr>
        <w:pStyle w:val="AnnexHeading2"/>
      </w:pPr>
      <w:bookmarkStart w:id="119" w:name="_Toc214008844"/>
      <w:r w:rsidRPr="00E82783">
        <w:t>Overview of existing environmental taxes</w:t>
      </w:r>
      <w:bookmarkEnd w:id="119"/>
    </w:p>
    <w:p w14:paraId="593EB515" w14:textId="72B37264" w:rsidR="004D4585" w:rsidRPr="00EA4C9B" w:rsidRDefault="00506A7C" w:rsidP="00392FDA">
      <w:r w:rsidRPr="00506A7C">
        <w:t>Environmental taxes in Croatia amounted to 3.3% of GDP in 2023, above the EU average. While revenues have increased in absolute terms over the past 15 years, their relative weight in the economy has declined. Total environmental tax revenue reached EUR 2.29 billion in real terms in 2023 (</w:t>
      </w:r>
      <w:r>
        <w:fldChar w:fldCharType="begin"/>
      </w:r>
      <w:r>
        <w:instrText xml:space="preserve"> REF _Ref201228220 \h </w:instrText>
      </w:r>
      <w:r>
        <w:fldChar w:fldCharType="separate"/>
      </w:r>
      <w:r>
        <w:t>Figure A6-</w:t>
      </w:r>
      <w:r w:rsidRPr="606E24A0">
        <w:rPr>
          <w:noProof/>
        </w:rPr>
        <w:t>10</w:t>
      </w:r>
      <w:r>
        <w:fldChar w:fldCharType="end"/>
      </w:r>
      <w:r>
        <w:t>)</w:t>
      </w:r>
      <w:r w:rsidRPr="00506A7C">
        <w:t>, representing a 39.6% increase since 2009. Over the same period, however, the ratio of environmental taxes to GDP fell by 10.7% (</w:t>
      </w:r>
      <w:r>
        <w:fldChar w:fldCharType="begin"/>
      </w:r>
      <w:r>
        <w:instrText xml:space="preserve"> REF _Ref201228846 \h  \* MERGEFORMAT </w:instrText>
      </w:r>
      <w:r>
        <w:fldChar w:fldCharType="separate"/>
      </w:r>
      <w:r>
        <w:t>Figure A6-</w:t>
      </w:r>
      <w:r w:rsidRPr="606E24A0">
        <w:rPr>
          <w:noProof/>
        </w:rPr>
        <w:t>11</w:t>
      </w:r>
      <w:r>
        <w:fldChar w:fldCharType="end"/>
      </w:r>
      <w:r w:rsidRPr="00506A7C">
        <w:t>). In 2023, energy and transport taxes accounted for around 61.6% and 18.8% of total environmental tax revenues, while resource and pollution taxes contributed 14.4% and 5.2% respectively.</w:t>
      </w:r>
      <w:r w:rsidR="00392FDA">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92FDA" w:rsidRPr="00EA4C9B" w14:paraId="7638DD82" w14:textId="77777777" w:rsidTr="00506A7C">
        <w:tc>
          <w:tcPr>
            <w:tcW w:w="9016" w:type="dxa"/>
          </w:tcPr>
          <w:p w14:paraId="6A85CF30" w14:textId="77777777" w:rsidR="00392FDA" w:rsidRPr="00EA4C9B" w:rsidRDefault="00392FDA">
            <w:pPr>
              <w:spacing w:after="0"/>
              <w:jc w:val="center"/>
              <w:rPr>
                <w:sz w:val="10"/>
                <w:szCs w:val="10"/>
              </w:rPr>
            </w:pPr>
          </w:p>
          <w:p w14:paraId="2A6A5F3F" w14:textId="77777777" w:rsidR="00392FDA" w:rsidRPr="00EA4C9B" w:rsidRDefault="00392FDA">
            <w:pPr>
              <w:spacing w:after="0"/>
              <w:jc w:val="center"/>
              <w:rPr>
                <w:sz w:val="10"/>
                <w:szCs w:val="10"/>
              </w:rPr>
            </w:pPr>
            <w:r w:rsidRPr="00EA4C9B">
              <w:rPr>
                <w:noProof/>
                <w:sz w:val="10"/>
                <w:szCs w:val="10"/>
              </w:rPr>
              <w:drawing>
                <wp:inline distT="0" distB="0" distL="0" distR="0" wp14:anchorId="12534202" wp14:editId="762A62A0">
                  <wp:extent cx="5616216" cy="1149560"/>
                  <wp:effectExtent l="0" t="0" r="3810" b="0"/>
                  <wp:docPr id="1457316757" name="Picture 1" descr="A graph of 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6757" name="Picture 1" descr="A graph of a graph with numbers and a line&#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84250" cy="1163486"/>
                          </a:xfrm>
                          <a:prstGeom prst="rect">
                            <a:avLst/>
                          </a:prstGeom>
                          <a:noFill/>
                        </pic:spPr>
                      </pic:pic>
                    </a:graphicData>
                  </a:graphic>
                </wp:inline>
              </w:drawing>
            </w:r>
          </w:p>
          <w:p w14:paraId="4DD4C290" w14:textId="77777777" w:rsidR="00392FDA" w:rsidRPr="00EA4C9B" w:rsidRDefault="00392FDA">
            <w:pPr>
              <w:spacing w:after="0"/>
              <w:jc w:val="center"/>
              <w:rPr>
                <w:sz w:val="10"/>
                <w:szCs w:val="10"/>
              </w:rPr>
            </w:pPr>
          </w:p>
        </w:tc>
      </w:tr>
      <w:tr w:rsidR="00392FDA" w:rsidRPr="00EA4C9B" w14:paraId="78F1E205" w14:textId="77777777" w:rsidTr="00506A7C">
        <w:tc>
          <w:tcPr>
            <w:tcW w:w="9016" w:type="dxa"/>
            <w:shd w:val="clear" w:color="auto" w:fill="003399"/>
          </w:tcPr>
          <w:p w14:paraId="7E96C433" w14:textId="5532D03E" w:rsidR="00392FDA" w:rsidRPr="00EA4C9B" w:rsidRDefault="00493E1F" w:rsidP="00493E1F">
            <w:pPr>
              <w:pStyle w:val="FigTabCaption"/>
            </w:pPr>
            <w:bookmarkStart w:id="120" w:name="_Ref201228220"/>
            <w:r>
              <w:t xml:space="preserve">Figure </w:t>
            </w:r>
            <w:r w:rsidR="00490085">
              <w:t>A6</w:t>
            </w:r>
            <w:r>
              <w:t>-</w:t>
            </w:r>
            <w:r w:rsidRPr="00B46313">
              <w:fldChar w:fldCharType="begin"/>
            </w:r>
            <w:r w:rsidRPr="00B46313">
              <w:rPr>
                <w:szCs w:val="20"/>
              </w:rPr>
              <w:instrText xml:space="preserve"> SEQ Figure_A5- \* ARABIC </w:instrText>
            </w:r>
            <w:r w:rsidRPr="00B46313">
              <w:fldChar w:fldCharType="separate"/>
            </w:r>
            <w:r w:rsidR="0022133A">
              <w:rPr>
                <w:noProof/>
                <w:szCs w:val="20"/>
              </w:rPr>
              <w:t>10</w:t>
            </w:r>
            <w:r w:rsidRPr="00B46313">
              <w:fldChar w:fldCharType="end"/>
            </w:r>
            <w:bookmarkEnd w:id="120"/>
            <w:r w:rsidR="00392FDA" w:rsidRPr="00EA4C9B">
              <w:t>: Total environmental tax revenue in Croatia (2009-2023) in billion euros</w:t>
            </w:r>
          </w:p>
        </w:tc>
      </w:tr>
    </w:tbl>
    <w:p w14:paraId="6F69BC49" w14:textId="77777777" w:rsidR="00506A7C" w:rsidRDefault="00506A7C" w:rsidP="00506A7C"/>
    <w:p w14:paraId="490E63E4" w14:textId="2AB02A49" w:rsidR="00804CC1" w:rsidRDefault="00804CC1" w:rsidP="00506A7C">
      <w:r w:rsidRPr="00804CC1">
        <w:t xml:space="preserve">In 2023, total tax revenue (including net social contributions) accounted for 37.2% of Croatia’s GDP, only </w:t>
      </w:r>
      <w:r w:rsidRPr="00804CC1">
        <w:rPr>
          <w:b/>
          <w:bCs/>
        </w:rPr>
        <w:t>0.3 percentage points</w:t>
      </w:r>
      <w:r w:rsidRPr="00804CC1">
        <w:t xml:space="preserve"> higher than in 2009. Environmental taxes made up 8.9% of total tax revenue in 2023, down from 10.0% in 2009, a decline of </w:t>
      </w:r>
      <w:r w:rsidRPr="00804CC1">
        <w:rPr>
          <w:b/>
          <w:bCs/>
        </w:rPr>
        <w:t>1.1 percentage points</w:t>
      </w:r>
      <w:r w:rsidRPr="00804CC1">
        <w:t xml:space="preserve"> over the period. Within this overall reduction, energy tax revenues increased by 4.0% in absolute terms, while revenues from pollution, resource and transport taxes fell by </w:t>
      </w:r>
      <w:r w:rsidRPr="00804CC1">
        <w:rPr>
          <w:b/>
          <w:bCs/>
        </w:rPr>
        <w:t>30.8%</w:t>
      </w:r>
      <w:r w:rsidRPr="00804CC1">
        <w:t xml:space="preserve">, </w:t>
      </w:r>
      <w:r w:rsidRPr="00804CC1">
        <w:rPr>
          <w:b/>
          <w:bCs/>
        </w:rPr>
        <w:t>30.2%</w:t>
      </w:r>
      <w:r w:rsidRPr="00804CC1">
        <w:t xml:space="preserve"> and </w:t>
      </w:r>
      <w:r w:rsidRPr="00804CC1">
        <w:rPr>
          <w:b/>
          <w:bCs/>
        </w:rPr>
        <w:t>28.2%</w:t>
      </w:r>
      <w:r w:rsidRPr="00804CC1">
        <w:t xml:space="preserve"> respectively.</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06A7C" w:rsidRPr="00506A7C" w14:paraId="1CD297EA" w14:textId="77777777" w:rsidTr="00506A7C">
        <w:tc>
          <w:tcPr>
            <w:tcW w:w="9026" w:type="dxa"/>
          </w:tcPr>
          <w:p w14:paraId="09813061" w14:textId="77777777" w:rsidR="00506A7C" w:rsidRDefault="00506A7C" w:rsidP="00506A7C">
            <w:pPr>
              <w:spacing w:after="0"/>
              <w:jc w:val="center"/>
              <w:rPr>
                <w:sz w:val="10"/>
                <w:szCs w:val="10"/>
              </w:rPr>
            </w:pPr>
          </w:p>
          <w:p w14:paraId="2743A99A" w14:textId="01ACA9E4" w:rsidR="00506A7C" w:rsidRDefault="00506A7C" w:rsidP="00506A7C">
            <w:pPr>
              <w:spacing w:after="0"/>
              <w:jc w:val="center"/>
              <w:rPr>
                <w:sz w:val="10"/>
                <w:szCs w:val="10"/>
              </w:rPr>
            </w:pPr>
            <w:r w:rsidRPr="00EA4C9B">
              <w:rPr>
                <w:noProof/>
                <w:sz w:val="10"/>
                <w:szCs w:val="10"/>
              </w:rPr>
              <w:drawing>
                <wp:inline distT="0" distB="0" distL="0" distR="0" wp14:anchorId="57FE4793" wp14:editId="413700E7">
                  <wp:extent cx="5614414" cy="1687984"/>
                  <wp:effectExtent l="0" t="0" r="5715" b="7620"/>
                  <wp:docPr id="1133766216" name="Picture 2" descr="A graph of energy and transport ta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66216" name="Picture 2" descr="A graph of energy and transport tax&#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1730" cy="1699203"/>
                          </a:xfrm>
                          <a:prstGeom prst="rect">
                            <a:avLst/>
                          </a:prstGeom>
                          <a:noFill/>
                        </pic:spPr>
                      </pic:pic>
                    </a:graphicData>
                  </a:graphic>
                </wp:inline>
              </w:drawing>
            </w:r>
          </w:p>
          <w:p w14:paraId="58E3236B" w14:textId="77777777" w:rsidR="00506A7C" w:rsidRPr="00506A7C" w:rsidRDefault="00506A7C" w:rsidP="00506A7C">
            <w:pPr>
              <w:spacing w:after="0"/>
              <w:jc w:val="center"/>
              <w:rPr>
                <w:sz w:val="10"/>
                <w:szCs w:val="10"/>
              </w:rPr>
            </w:pPr>
          </w:p>
        </w:tc>
      </w:tr>
      <w:tr w:rsidR="00506A7C" w:rsidRPr="00506A7C" w14:paraId="58DAAD65" w14:textId="77777777" w:rsidTr="00506A7C">
        <w:tc>
          <w:tcPr>
            <w:tcW w:w="9026" w:type="dxa"/>
            <w:shd w:val="clear" w:color="auto" w:fill="003399"/>
          </w:tcPr>
          <w:p w14:paraId="561AAFE4" w14:textId="31757310" w:rsidR="00506A7C" w:rsidRPr="00506A7C" w:rsidRDefault="00506A7C" w:rsidP="00506A7C">
            <w:pPr>
              <w:spacing w:after="0"/>
              <w:rPr>
                <w:b/>
                <w:bCs/>
                <w:szCs w:val="20"/>
              </w:rPr>
            </w:pPr>
            <w:r w:rsidRPr="00506A7C">
              <w:rPr>
                <w:b/>
                <w:bCs/>
                <w:szCs w:val="20"/>
              </w:rPr>
              <w:t>Figure A6-</w:t>
            </w:r>
            <w:r w:rsidRPr="00506A7C">
              <w:rPr>
                <w:b/>
                <w:bCs/>
                <w:szCs w:val="20"/>
              </w:rPr>
              <w:fldChar w:fldCharType="begin"/>
            </w:r>
            <w:r w:rsidRPr="00506A7C">
              <w:rPr>
                <w:b/>
                <w:bCs/>
                <w:szCs w:val="20"/>
              </w:rPr>
              <w:instrText>SEQ Figure_A5- \* ARABIC</w:instrText>
            </w:r>
            <w:r w:rsidRPr="00506A7C">
              <w:rPr>
                <w:b/>
                <w:bCs/>
                <w:szCs w:val="20"/>
              </w:rPr>
              <w:fldChar w:fldCharType="separate"/>
            </w:r>
            <w:r w:rsidRPr="00506A7C">
              <w:rPr>
                <w:b/>
                <w:bCs/>
                <w:noProof/>
                <w:szCs w:val="20"/>
              </w:rPr>
              <w:t>11</w:t>
            </w:r>
            <w:r w:rsidRPr="00506A7C">
              <w:rPr>
                <w:b/>
                <w:bCs/>
                <w:szCs w:val="20"/>
              </w:rPr>
              <w:fldChar w:fldCharType="end"/>
            </w:r>
            <w:r w:rsidRPr="00506A7C">
              <w:rPr>
                <w:b/>
                <w:bCs/>
                <w:szCs w:val="20"/>
              </w:rPr>
              <w:t>: Fifteen-year (2009-2023) change in absolute terms and change as GDP-ratio of the revenues of energy taxes, transport taxes, resource taxes, pollution taxes and total environmental taxes</w:t>
            </w:r>
            <w:r w:rsidR="00E83FD0">
              <w:rPr>
                <w:b/>
                <w:bCs/>
                <w:szCs w:val="20"/>
              </w:rPr>
              <w:t xml:space="preserve"> </w:t>
            </w:r>
            <w:r w:rsidR="00E83FD0">
              <w:rPr>
                <w:rStyle w:val="FootnoteReference"/>
              </w:rPr>
              <w:footnoteReference w:id="50"/>
            </w:r>
          </w:p>
        </w:tc>
      </w:tr>
    </w:tbl>
    <w:p w14:paraId="6E2699C1" w14:textId="77777777" w:rsidR="00506A7C" w:rsidRDefault="00506A7C" w:rsidP="00506A7C"/>
    <w:p w14:paraId="68BE2C7E" w14:textId="77777777" w:rsidR="00392FDA" w:rsidRPr="00943293" w:rsidRDefault="00392FDA" w:rsidP="007C4EB7">
      <w:pPr>
        <w:pStyle w:val="AnnexHeading2"/>
      </w:pPr>
      <w:bookmarkStart w:id="121" w:name="_Toc214008845"/>
      <w:r w:rsidRPr="00943293">
        <w:t>Existing pollution and resource taxes</w:t>
      </w:r>
      <w:bookmarkEnd w:id="121"/>
    </w:p>
    <w:p w14:paraId="2561BAE1" w14:textId="02A34A83" w:rsidR="00392FDA" w:rsidRPr="00EA4C9B" w:rsidRDefault="00392FDA" w:rsidP="00392FDA">
      <w:r w:rsidRPr="00EA4C9B">
        <w:t xml:space="preserve">In 2023, resource and pollution tax revenues reached respectively, 328 and 121 million euros. These amount to an increase in absolute terms of 10.0% for resource taxes and an increase of 9.1% for </w:t>
      </w:r>
      <w:r w:rsidRPr="00EA4C9B">
        <w:lastRenderedPageBreak/>
        <w:t>pollution taxes over 15 years (2009-2023). However, in terms of GDP-ratios, resource taxes decreased by 30.1% while pollution taxes decreased by 27.1% (</w:t>
      </w:r>
      <w:r w:rsidR="00C43551">
        <w:fldChar w:fldCharType="begin"/>
      </w:r>
      <w:r w:rsidR="00C43551">
        <w:instrText xml:space="preserve"> REF _Ref201228846 \h </w:instrText>
      </w:r>
      <w:r w:rsidR="00C43551">
        <w:fldChar w:fldCharType="separate"/>
      </w:r>
      <w:r w:rsidR="00C43551" w:rsidRPr="00EA4C9B">
        <w:t xml:space="preserve">Figure </w:t>
      </w:r>
      <w:r w:rsidR="00490085">
        <w:t>A6</w:t>
      </w:r>
      <w:r w:rsidR="00C43551" w:rsidRPr="00EA4C9B">
        <w:t>-</w:t>
      </w:r>
      <w:r w:rsidR="00C43551">
        <w:rPr>
          <w:noProof/>
        </w:rPr>
        <w:t>11</w:t>
      </w:r>
      <w:r w:rsidR="00C43551">
        <w:fldChar w:fldCharType="end"/>
      </w:r>
      <w:r w:rsidRPr="00EA4C9B">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92FDA" w:rsidRPr="00EA4C9B" w14:paraId="45AAA43C" w14:textId="77777777" w:rsidTr="00691DB4">
        <w:tc>
          <w:tcPr>
            <w:tcW w:w="9016" w:type="dxa"/>
          </w:tcPr>
          <w:p w14:paraId="314B0B27" w14:textId="77777777" w:rsidR="00392FDA" w:rsidRPr="00EA4C9B" w:rsidRDefault="00392FDA">
            <w:pPr>
              <w:spacing w:after="0"/>
              <w:jc w:val="center"/>
              <w:rPr>
                <w:sz w:val="10"/>
                <w:szCs w:val="10"/>
              </w:rPr>
            </w:pPr>
          </w:p>
          <w:p w14:paraId="26F7A099" w14:textId="77777777" w:rsidR="00392FDA" w:rsidRPr="00EA4C9B" w:rsidRDefault="00392FDA">
            <w:pPr>
              <w:spacing w:after="0"/>
              <w:jc w:val="center"/>
              <w:rPr>
                <w:sz w:val="10"/>
                <w:szCs w:val="10"/>
              </w:rPr>
            </w:pPr>
            <w:r w:rsidRPr="00EA4C9B">
              <w:rPr>
                <w:noProof/>
                <w:sz w:val="10"/>
                <w:szCs w:val="10"/>
              </w:rPr>
              <w:drawing>
                <wp:inline distT="0" distB="0" distL="0" distR="0" wp14:anchorId="3E43555D" wp14:editId="2BC860D1">
                  <wp:extent cx="5610439" cy="1307164"/>
                  <wp:effectExtent l="0" t="0" r="0" b="7620"/>
                  <wp:docPr id="2096188895"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88895" name="Picture 1" descr="A graph of a number of people&#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0234" cy="1337405"/>
                          </a:xfrm>
                          <a:prstGeom prst="rect">
                            <a:avLst/>
                          </a:prstGeom>
                          <a:noFill/>
                        </pic:spPr>
                      </pic:pic>
                    </a:graphicData>
                  </a:graphic>
                </wp:inline>
              </w:drawing>
            </w:r>
          </w:p>
          <w:p w14:paraId="04D8E7BA" w14:textId="77777777" w:rsidR="00392FDA" w:rsidRPr="00EA4C9B" w:rsidRDefault="00392FDA">
            <w:pPr>
              <w:spacing w:after="0"/>
              <w:jc w:val="center"/>
              <w:rPr>
                <w:sz w:val="10"/>
                <w:szCs w:val="10"/>
              </w:rPr>
            </w:pPr>
          </w:p>
          <w:p w14:paraId="103E6B64" w14:textId="77777777" w:rsidR="00392FDA" w:rsidRPr="00EA4C9B" w:rsidRDefault="00392FDA">
            <w:pPr>
              <w:spacing w:after="0"/>
              <w:jc w:val="center"/>
              <w:rPr>
                <w:sz w:val="10"/>
                <w:szCs w:val="10"/>
              </w:rPr>
            </w:pPr>
          </w:p>
        </w:tc>
      </w:tr>
      <w:tr w:rsidR="00392FDA" w:rsidRPr="00EA4C9B" w14:paraId="38890F59" w14:textId="77777777" w:rsidTr="00691DB4">
        <w:tc>
          <w:tcPr>
            <w:tcW w:w="9016" w:type="dxa"/>
            <w:shd w:val="clear" w:color="auto" w:fill="003399"/>
          </w:tcPr>
          <w:p w14:paraId="3E6B6185" w14:textId="17EA3CDD" w:rsidR="00392FDA" w:rsidRPr="00EA4C9B" w:rsidRDefault="00A672A3" w:rsidP="00943293">
            <w:pPr>
              <w:pStyle w:val="FigTabCaption"/>
            </w:pPr>
            <w:bookmarkStart w:id="122" w:name="_Ref201231470"/>
            <w:r w:rsidRPr="00EA4C9B">
              <w:t xml:space="preserve">Figure </w:t>
            </w:r>
            <w:r w:rsidR="00490085">
              <w:t>A6</w:t>
            </w:r>
            <w:r w:rsidRPr="00EA4C9B">
              <w:t>-</w:t>
            </w:r>
            <w:r>
              <w:fldChar w:fldCharType="begin"/>
            </w:r>
            <w:r>
              <w:instrText>SEQ Figure_A5- \* ARABIC</w:instrText>
            </w:r>
            <w:r>
              <w:fldChar w:fldCharType="separate"/>
            </w:r>
            <w:r w:rsidR="002E4F7F">
              <w:rPr>
                <w:noProof/>
              </w:rPr>
              <w:t>12</w:t>
            </w:r>
            <w:r>
              <w:fldChar w:fldCharType="end"/>
            </w:r>
            <w:bookmarkEnd w:id="122"/>
            <w:r>
              <w:t xml:space="preserve">: </w:t>
            </w:r>
            <w:r w:rsidR="00392FDA" w:rsidRPr="00EA4C9B">
              <w:t xml:space="preserve">Resource and pollution tax revenues in Croatia (2009-2023) in million euros. </w:t>
            </w:r>
            <w:r w:rsidR="00392FDA" w:rsidRPr="00EA4C9B">
              <w:rPr>
                <w:i/>
                <w:iCs/>
              </w:rPr>
              <w:t>Note: the share between pollution and resource taxes in 2023 was estimated as the weighted average of past years. </w:t>
            </w:r>
          </w:p>
        </w:tc>
      </w:tr>
    </w:tbl>
    <w:p w14:paraId="2B8464F6" w14:textId="403B1B16" w:rsidR="00A27EC2" w:rsidRPr="00BA7936" w:rsidRDefault="001035EB" w:rsidP="00466EF5">
      <w:pPr>
        <w:pStyle w:val="Heading4"/>
      </w:pPr>
      <w:r w:rsidRPr="00EA4C9B">
        <w:t xml:space="preserve">List of </w:t>
      </w:r>
      <w:r>
        <w:t>pollution and resource</w:t>
      </w:r>
      <w:r w:rsidRPr="00EA4C9B">
        <w:t xml:space="preserve"> taxes and revenue shares</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5"/>
        <w:gridCol w:w="1710"/>
        <w:gridCol w:w="1890"/>
        <w:gridCol w:w="1905"/>
      </w:tblGrid>
      <w:tr w:rsidR="00392FDA" w:rsidRPr="00EA4C9B" w14:paraId="67B9E668" w14:textId="77777777" w:rsidTr="00466EF5">
        <w:trPr>
          <w:trHeight w:val="58"/>
        </w:trPr>
        <w:tc>
          <w:tcPr>
            <w:tcW w:w="9000"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5D643108" w14:textId="1BA55478" w:rsidR="00392FDA" w:rsidRPr="00A27EC2" w:rsidRDefault="00A672A3" w:rsidP="00691DB4">
            <w:pPr>
              <w:pStyle w:val="Table"/>
              <w:ind w:left="57" w:right="57"/>
              <w:rPr>
                <w:b/>
                <w:color w:val="FFFFFF" w:themeColor="background1"/>
              </w:rPr>
            </w:pPr>
            <w:r w:rsidRPr="00A27EC2">
              <w:rPr>
                <w:b/>
                <w:color w:val="FFFFFF" w:themeColor="background1"/>
              </w:rPr>
              <w:t xml:space="preserve">Table </w:t>
            </w:r>
            <w:r w:rsidR="00490085">
              <w:rPr>
                <w:b/>
                <w:color w:val="FFFFFF" w:themeColor="background1"/>
              </w:rPr>
              <w:t>A6</w:t>
            </w:r>
            <w:r w:rsidR="00A27EC2" w:rsidRPr="00A27EC2">
              <w:rPr>
                <w:b/>
                <w:bCs/>
                <w:color w:val="FFFFFF" w:themeColor="background1"/>
              </w:rPr>
              <w:t>-</w:t>
            </w:r>
            <w:r w:rsidR="00A27EC2" w:rsidRPr="00A27EC2">
              <w:rPr>
                <w:b/>
                <w:bCs/>
                <w:color w:val="FFFFFF" w:themeColor="background1"/>
              </w:rPr>
              <w:fldChar w:fldCharType="begin"/>
            </w:r>
            <w:r w:rsidR="00A27EC2" w:rsidRPr="00A27EC2">
              <w:rPr>
                <w:b/>
                <w:bCs/>
                <w:color w:val="FFFFFF" w:themeColor="background1"/>
              </w:rPr>
              <w:instrText xml:space="preserve"> SEQ Table_A5- \* ARABIC </w:instrText>
            </w:r>
            <w:r w:rsidR="00A27EC2" w:rsidRPr="00A27EC2">
              <w:rPr>
                <w:b/>
                <w:bCs/>
                <w:color w:val="FFFFFF" w:themeColor="background1"/>
              </w:rPr>
              <w:fldChar w:fldCharType="separate"/>
            </w:r>
            <w:r w:rsidR="00466EF5">
              <w:rPr>
                <w:b/>
                <w:bCs/>
                <w:noProof/>
                <w:color w:val="FFFFFF" w:themeColor="background1"/>
              </w:rPr>
              <w:t>20</w:t>
            </w:r>
            <w:r w:rsidR="00A27EC2" w:rsidRPr="00A27EC2">
              <w:rPr>
                <w:b/>
                <w:bCs/>
                <w:color w:val="FFFFFF" w:themeColor="background1"/>
              </w:rPr>
              <w:fldChar w:fldCharType="end"/>
            </w:r>
            <w:r w:rsidR="00392FDA" w:rsidRPr="00A27EC2">
              <w:rPr>
                <w:b/>
                <w:color w:val="FFFFFF" w:themeColor="background1"/>
              </w:rPr>
              <w:t>:  Pollution taxes  </w:t>
            </w:r>
          </w:p>
        </w:tc>
      </w:tr>
      <w:tr w:rsidR="00392FDA" w:rsidRPr="00EA4C9B" w14:paraId="5118BFE4"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hideMark/>
          </w:tcPr>
          <w:p w14:paraId="61C91033" w14:textId="77777777" w:rsidR="00392FDA" w:rsidRPr="00A672A3" w:rsidRDefault="00392FDA" w:rsidP="00691DB4">
            <w:pPr>
              <w:pStyle w:val="Table"/>
              <w:ind w:left="57" w:right="57"/>
              <w:rPr>
                <w:rFonts w:ascii="Times New Roman" w:eastAsia="Times New Roman" w:hAnsi="Times New Roman" w:cs="Times New Roman"/>
                <w:sz w:val="24"/>
                <w:lang w:eastAsia="en-GB"/>
              </w:rPr>
            </w:pPr>
            <w:r w:rsidRPr="00A672A3">
              <w:rPr>
                <w:rFonts w:ascii="Calibri" w:eastAsia="Times New Roman" w:hAnsi="Calibri" w:cs="Calibri"/>
                <w:b/>
                <w:szCs w:val="20"/>
                <w:lang w:eastAsia="en-GB"/>
              </w:rPr>
              <w:t>Tax Name</w:t>
            </w:r>
            <w:r w:rsidRPr="00A672A3">
              <w:rPr>
                <w:rFonts w:ascii="Calibri" w:eastAsia="Times New Roman" w:hAnsi="Calibri" w:cs="Calibri"/>
                <w:szCs w:val="20"/>
                <w:lang w:eastAsia="en-GB"/>
              </w:rPr>
              <w:t>  </w:t>
            </w:r>
          </w:p>
        </w:tc>
        <w:tc>
          <w:tcPr>
            <w:tcW w:w="1710" w:type="dxa"/>
            <w:tcBorders>
              <w:top w:val="single" w:sz="6" w:space="0" w:color="auto"/>
              <w:left w:val="single" w:sz="6" w:space="0" w:color="auto"/>
              <w:bottom w:val="single" w:sz="6" w:space="0" w:color="auto"/>
              <w:right w:val="single" w:sz="6" w:space="0" w:color="auto"/>
            </w:tcBorders>
            <w:hideMark/>
          </w:tcPr>
          <w:p w14:paraId="797F6E5C" w14:textId="4BEC3CBF" w:rsidR="00392FDA" w:rsidRPr="00A672A3" w:rsidRDefault="00392FDA" w:rsidP="00BA7936">
            <w:pPr>
              <w:pStyle w:val="Table"/>
              <w:ind w:left="57" w:right="57"/>
              <w:jc w:val="center"/>
              <w:rPr>
                <w:rFonts w:ascii="Times New Roman" w:eastAsia="Times New Roman" w:hAnsi="Times New Roman" w:cs="Times New Roman"/>
                <w:sz w:val="24"/>
                <w:lang w:eastAsia="en-GB"/>
              </w:rPr>
            </w:pPr>
            <w:r w:rsidRPr="00A672A3">
              <w:rPr>
                <w:rFonts w:ascii="Calibri" w:eastAsia="Times New Roman" w:hAnsi="Calibri" w:cs="Calibri"/>
                <w:b/>
                <w:szCs w:val="20"/>
                <w:lang w:eastAsia="en-GB"/>
              </w:rPr>
              <w:t>Revenue (€ million)</w:t>
            </w:r>
          </w:p>
          <w:p w14:paraId="28B9A69A" w14:textId="40E3380A" w:rsidR="00392FDA" w:rsidRPr="00A672A3" w:rsidRDefault="00392FDA" w:rsidP="00BA7936">
            <w:pPr>
              <w:pStyle w:val="Table"/>
              <w:ind w:left="57" w:right="57"/>
              <w:jc w:val="center"/>
              <w:rPr>
                <w:rFonts w:ascii="Times New Roman" w:eastAsia="Times New Roman" w:hAnsi="Times New Roman" w:cs="Times New Roman"/>
                <w:sz w:val="24"/>
                <w:lang w:eastAsia="en-GB"/>
              </w:rPr>
            </w:pPr>
            <w:r w:rsidRPr="00A672A3">
              <w:rPr>
                <w:rFonts w:ascii="Calibri" w:eastAsia="Times New Roman" w:hAnsi="Calibri" w:cs="Calibri"/>
                <w:b/>
                <w:szCs w:val="20"/>
                <w:lang w:eastAsia="en-GB"/>
              </w:rPr>
              <w:t>2009-2023</w:t>
            </w:r>
          </w:p>
        </w:tc>
        <w:tc>
          <w:tcPr>
            <w:tcW w:w="1890" w:type="dxa"/>
            <w:tcBorders>
              <w:top w:val="single" w:sz="6" w:space="0" w:color="auto"/>
              <w:left w:val="single" w:sz="6" w:space="0" w:color="auto"/>
              <w:bottom w:val="single" w:sz="6" w:space="0" w:color="auto"/>
              <w:right w:val="single" w:sz="6" w:space="0" w:color="auto"/>
            </w:tcBorders>
            <w:hideMark/>
          </w:tcPr>
          <w:p w14:paraId="75391A10" w14:textId="67E9AA80" w:rsidR="00392FDA" w:rsidRPr="00A672A3" w:rsidRDefault="00392FDA" w:rsidP="00BA7936">
            <w:pPr>
              <w:pStyle w:val="Table"/>
              <w:ind w:left="57" w:right="57"/>
              <w:jc w:val="center"/>
              <w:rPr>
                <w:rFonts w:ascii="Times New Roman" w:eastAsia="Times New Roman" w:hAnsi="Times New Roman" w:cs="Times New Roman"/>
                <w:sz w:val="24"/>
                <w:lang w:eastAsia="en-GB"/>
              </w:rPr>
            </w:pPr>
            <w:r w:rsidRPr="00A672A3">
              <w:rPr>
                <w:rFonts w:ascii="Calibri" w:eastAsia="Times New Roman" w:hAnsi="Calibri" w:cs="Calibri"/>
                <w:b/>
                <w:szCs w:val="20"/>
                <w:lang w:eastAsia="en-GB"/>
              </w:rPr>
              <w:t>Average annual revenue (€ million)</w:t>
            </w:r>
          </w:p>
        </w:tc>
        <w:tc>
          <w:tcPr>
            <w:tcW w:w="1905" w:type="dxa"/>
            <w:tcBorders>
              <w:top w:val="single" w:sz="6" w:space="0" w:color="auto"/>
              <w:left w:val="single" w:sz="6" w:space="0" w:color="auto"/>
              <w:bottom w:val="single" w:sz="6" w:space="0" w:color="auto"/>
              <w:right w:val="single" w:sz="6" w:space="0" w:color="auto"/>
            </w:tcBorders>
            <w:hideMark/>
          </w:tcPr>
          <w:p w14:paraId="2AA9D9E4" w14:textId="0A3EECA9" w:rsidR="00392FDA" w:rsidRPr="00A672A3" w:rsidRDefault="00392FDA" w:rsidP="00BA7936">
            <w:pPr>
              <w:pStyle w:val="Table"/>
              <w:ind w:left="57" w:right="57"/>
              <w:jc w:val="center"/>
              <w:rPr>
                <w:rFonts w:ascii="Times New Roman" w:eastAsia="Times New Roman" w:hAnsi="Times New Roman" w:cs="Times New Roman"/>
                <w:sz w:val="24"/>
                <w:lang w:eastAsia="en-GB"/>
              </w:rPr>
            </w:pPr>
            <w:r w:rsidRPr="00A672A3">
              <w:rPr>
                <w:rFonts w:ascii="Calibri" w:eastAsia="Times New Roman" w:hAnsi="Calibri" w:cs="Calibri"/>
                <w:b/>
                <w:szCs w:val="20"/>
                <w:lang w:eastAsia="en-GB"/>
              </w:rPr>
              <w:t>As share of all pollution tax revenues</w:t>
            </w:r>
          </w:p>
        </w:tc>
      </w:tr>
      <w:tr w:rsidR="00392FDA" w:rsidRPr="00EA4C9B" w14:paraId="4507247F"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3D867348" w14:textId="77777777" w:rsidR="00392FDA" w:rsidRPr="00EA4C9B" w:rsidRDefault="00392FDA" w:rsidP="00691DB4">
            <w:pPr>
              <w:pStyle w:val="Table"/>
              <w:ind w:left="57" w:right="57"/>
              <w:rPr>
                <w:rFonts w:ascii="Calibri" w:eastAsia="Times New Roman" w:hAnsi="Calibri" w:cs="Calibri"/>
                <w:szCs w:val="20"/>
                <w:lang w:eastAsia="en-GB"/>
              </w:rPr>
            </w:pPr>
            <w:r w:rsidRPr="00EA4C9B">
              <w:rPr>
                <w:szCs w:val="20"/>
              </w:rPr>
              <w:t xml:space="preserve">Levy for SO2 emissions into the environment </w:t>
            </w:r>
            <w:r w:rsidRPr="00EA4C9B">
              <w:rPr>
                <w:i/>
                <w:szCs w:val="20"/>
              </w:rPr>
              <w:t>('Naknada za emisiju u okoliš SO2)</w:t>
            </w:r>
          </w:p>
        </w:tc>
        <w:tc>
          <w:tcPr>
            <w:tcW w:w="1710" w:type="dxa"/>
            <w:tcBorders>
              <w:top w:val="single" w:sz="6" w:space="0" w:color="auto"/>
              <w:left w:val="single" w:sz="6" w:space="0" w:color="auto"/>
              <w:bottom w:val="single" w:sz="6" w:space="0" w:color="auto"/>
              <w:right w:val="single" w:sz="6" w:space="0" w:color="auto"/>
            </w:tcBorders>
          </w:tcPr>
          <w:p w14:paraId="6A0168BF" w14:textId="77777777" w:rsidR="00392FDA" w:rsidRPr="00EA4C9B" w:rsidRDefault="00392FDA" w:rsidP="00BA7936">
            <w:pPr>
              <w:pStyle w:val="Table"/>
              <w:ind w:left="57" w:right="57"/>
              <w:jc w:val="center"/>
              <w:rPr>
                <w:rFonts w:ascii="Calibri" w:eastAsia="Times New Roman" w:hAnsi="Calibri" w:cs="Calibri"/>
                <w:szCs w:val="20"/>
                <w:lang w:eastAsia="en-GB"/>
              </w:rPr>
            </w:pPr>
            <w:r w:rsidRPr="00EA4C9B">
              <w:rPr>
                <w:rFonts w:ascii="Calibri" w:eastAsia="Times New Roman" w:hAnsi="Calibri" w:cs="Calibri"/>
                <w:szCs w:val="20"/>
                <w:lang w:eastAsia="en-GB"/>
              </w:rPr>
              <w:t>€</w:t>
            </w:r>
            <w:r w:rsidRPr="00EA4C9B">
              <w:rPr>
                <w:szCs w:val="20"/>
              </w:rPr>
              <w:t>5.0</w:t>
            </w:r>
            <w:r w:rsidRPr="00EA4C9B">
              <w:rPr>
                <w:rFonts w:ascii="Calibri" w:eastAsia="Times New Roman" w:hAnsi="Calibri" w:cs="Calibri"/>
                <w:szCs w:val="20"/>
                <w:lang w:eastAsia="en-GB"/>
              </w:rPr>
              <w:t xml:space="preserve"> million</w:t>
            </w:r>
          </w:p>
        </w:tc>
        <w:tc>
          <w:tcPr>
            <w:tcW w:w="1890" w:type="dxa"/>
            <w:tcBorders>
              <w:top w:val="single" w:sz="6" w:space="0" w:color="auto"/>
              <w:left w:val="single" w:sz="6" w:space="0" w:color="auto"/>
              <w:bottom w:val="single" w:sz="6" w:space="0" w:color="auto"/>
              <w:right w:val="single" w:sz="6" w:space="0" w:color="auto"/>
            </w:tcBorders>
          </w:tcPr>
          <w:p w14:paraId="531C4E30" w14:textId="77777777" w:rsidR="00392FDA" w:rsidRPr="00EA4C9B" w:rsidRDefault="00392FDA" w:rsidP="00BA7936">
            <w:pPr>
              <w:pStyle w:val="Table"/>
              <w:ind w:left="57" w:right="57"/>
              <w:jc w:val="center"/>
              <w:rPr>
                <w:rFonts w:ascii="Calibri" w:eastAsia="Times New Roman" w:hAnsi="Calibri" w:cs="Calibri"/>
                <w:szCs w:val="20"/>
                <w:lang w:eastAsia="en-GB"/>
              </w:rPr>
            </w:pPr>
            <w:r w:rsidRPr="00EA4C9B">
              <w:rPr>
                <w:rFonts w:ascii="Calibri" w:eastAsia="Times New Roman" w:hAnsi="Calibri" w:cs="Calibri"/>
                <w:szCs w:val="20"/>
                <w:lang w:eastAsia="en-GB"/>
              </w:rPr>
              <w:t>€</w:t>
            </w:r>
            <w:r w:rsidRPr="00EA4C9B">
              <w:rPr>
                <w:szCs w:val="20"/>
              </w:rPr>
              <w:t>0.3</w:t>
            </w:r>
            <w:r w:rsidRPr="00EA4C9B">
              <w:rPr>
                <w:rFonts w:ascii="Calibri" w:eastAsia="Times New Roman" w:hAnsi="Calibri" w:cs="Calibri"/>
                <w:szCs w:val="20"/>
                <w:lang w:eastAsia="en-GB"/>
              </w:rPr>
              <w:t xml:space="preserve"> million</w:t>
            </w:r>
          </w:p>
        </w:tc>
        <w:tc>
          <w:tcPr>
            <w:tcW w:w="1905" w:type="dxa"/>
            <w:tcBorders>
              <w:top w:val="single" w:sz="6" w:space="0" w:color="auto"/>
              <w:left w:val="single" w:sz="6" w:space="0" w:color="auto"/>
              <w:bottom w:val="single" w:sz="6" w:space="0" w:color="auto"/>
              <w:right w:val="single" w:sz="6" w:space="0" w:color="auto"/>
            </w:tcBorders>
          </w:tcPr>
          <w:p w14:paraId="7FF0695D" w14:textId="77777777" w:rsidR="00392FDA" w:rsidRPr="00EA4C9B" w:rsidRDefault="00392FDA" w:rsidP="00BA7936">
            <w:pPr>
              <w:pStyle w:val="Table"/>
              <w:ind w:left="57" w:right="57"/>
              <w:jc w:val="center"/>
              <w:rPr>
                <w:rFonts w:ascii="Calibri" w:eastAsia="Times New Roman" w:hAnsi="Calibri" w:cs="Calibri"/>
                <w:szCs w:val="20"/>
                <w:lang w:eastAsia="en-GB"/>
              </w:rPr>
            </w:pPr>
            <w:r w:rsidRPr="00EA4C9B">
              <w:rPr>
                <w:szCs w:val="20"/>
              </w:rPr>
              <w:t>60.3%</w:t>
            </w:r>
          </w:p>
        </w:tc>
      </w:tr>
      <w:tr w:rsidR="00392FDA" w:rsidRPr="00EA4C9B" w14:paraId="03FA48DD"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3E1004D0" w14:textId="77777777" w:rsidR="00392FDA" w:rsidRPr="00EA4C9B" w:rsidRDefault="00392FDA" w:rsidP="00691DB4">
            <w:pPr>
              <w:pStyle w:val="Table"/>
              <w:ind w:left="57" w:right="57"/>
              <w:rPr>
                <w:rFonts w:ascii="Calibri" w:eastAsia="Times New Roman" w:hAnsi="Calibri" w:cs="Calibri"/>
                <w:szCs w:val="20"/>
                <w:lang w:eastAsia="en-GB"/>
              </w:rPr>
            </w:pPr>
            <w:r w:rsidRPr="00EA4C9B">
              <w:rPr>
                <w:szCs w:val="20"/>
              </w:rPr>
              <w:t xml:space="preserve">Levy for NO2 emissions into the environment </w:t>
            </w:r>
            <w:r w:rsidRPr="00EA4C9B">
              <w:rPr>
                <w:i/>
                <w:szCs w:val="20"/>
              </w:rPr>
              <w:t>('Naknada za emisiju u okoliš NO2)</w:t>
            </w:r>
          </w:p>
        </w:tc>
        <w:tc>
          <w:tcPr>
            <w:tcW w:w="1710" w:type="dxa"/>
            <w:tcBorders>
              <w:top w:val="single" w:sz="6" w:space="0" w:color="auto"/>
              <w:left w:val="single" w:sz="6" w:space="0" w:color="auto"/>
              <w:bottom w:val="single" w:sz="6" w:space="0" w:color="auto"/>
              <w:right w:val="single" w:sz="6" w:space="0" w:color="auto"/>
            </w:tcBorders>
          </w:tcPr>
          <w:p w14:paraId="07956FE4" w14:textId="77777777" w:rsidR="00392FDA" w:rsidRPr="00EA4C9B" w:rsidRDefault="00392FDA" w:rsidP="00BA7936">
            <w:pPr>
              <w:pStyle w:val="Table"/>
              <w:ind w:left="57" w:right="57"/>
              <w:jc w:val="center"/>
              <w:rPr>
                <w:rFonts w:ascii="Calibri" w:eastAsia="Times New Roman" w:hAnsi="Calibri" w:cs="Calibri"/>
                <w:szCs w:val="20"/>
                <w:lang w:eastAsia="en-GB"/>
              </w:rPr>
            </w:pPr>
            <w:r w:rsidRPr="00EA4C9B">
              <w:rPr>
                <w:rFonts w:ascii="Calibri" w:eastAsia="Times New Roman" w:hAnsi="Calibri" w:cs="Calibri"/>
                <w:szCs w:val="20"/>
                <w:lang w:eastAsia="en-GB"/>
              </w:rPr>
              <w:t>€</w:t>
            </w:r>
            <w:r w:rsidRPr="00EA4C9B">
              <w:rPr>
                <w:szCs w:val="20"/>
              </w:rPr>
              <w:t>3.3</w:t>
            </w:r>
            <w:r w:rsidRPr="00EA4C9B">
              <w:rPr>
                <w:rFonts w:ascii="Calibri" w:eastAsia="Times New Roman" w:hAnsi="Calibri" w:cs="Calibri"/>
                <w:szCs w:val="20"/>
                <w:lang w:eastAsia="en-GB"/>
              </w:rPr>
              <w:t xml:space="preserve"> million</w:t>
            </w:r>
          </w:p>
        </w:tc>
        <w:tc>
          <w:tcPr>
            <w:tcW w:w="1890" w:type="dxa"/>
            <w:tcBorders>
              <w:top w:val="single" w:sz="6" w:space="0" w:color="auto"/>
              <w:left w:val="single" w:sz="6" w:space="0" w:color="auto"/>
              <w:bottom w:val="single" w:sz="6" w:space="0" w:color="auto"/>
              <w:right w:val="single" w:sz="6" w:space="0" w:color="auto"/>
            </w:tcBorders>
          </w:tcPr>
          <w:p w14:paraId="0AF22685" w14:textId="77777777" w:rsidR="00392FDA" w:rsidRPr="00EA4C9B" w:rsidRDefault="00392FDA" w:rsidP="00BA7936">
            <w:pPr>
              <w:pStyle w:val="Table"/>
              <w:ind w:left="57" w:right="57"/>
              <w:jc w:val="center"/>
              <w:rPr>
                <w:rFonts w:ascii="Calibri" w:eastAsia="Times New Roman" w:hAnsi="Calibri" w:cs="Calibri"/>
                <w:szCs w:val="20"/>
                <w:lang w:eastAsia="en-GB"/>
              </w:rPr>
            </w:pPr>
            <w:r w:rsidRPr="00EA4C9B">
              <w:rPr>
                <w:rFonts w:ascii="Calibri" w:eastAsia="Times New Roman" w:hAnsi="Calibri" w:cs="Calibri"/>
                <w:szCs w:val="20"/>
                <w:lang w:eastAsia="en-GB"/>
              </w:rPr>
              <w:t>€</w:t>
            </w:r>
            <w:r w:rsidRPr="00EA4C9B">
              <w:rPr>
                <w:szCs w:val="20"/>
              </w:rPr>
              <w:t>0.2</w:t>
            </w:r>
            <w:r w:rsidRPr="00EA4C9B">
              <w:rPr>
                <w:rFonts w:ascii="Calibri" w:eastAsia="Times New Roman" w:hAnsi="Calibri" w:cs="Calibri"/>
                <w:szCs w:val="20"/>
                <w:lang w:eastAsia="en-GB"/>
              </w:rPr>
              <w:t xml:space="preserve"> million</w:t>
            </w:r>
          </w:p>
        </w:tc>
        <w:tc>
          <w:tcPr>
            <w:tcW w:w="1905" w:type="dxa"/>
            <w:tcBorders>
              <w:top w:val="single" w:sz="6" w:space="0" w:color="auto"/>
              <w:left w:val="single" w:sz="6" w:space="0" w:color="auto"/>
              <w:bottom w:val="single" w:sz="6" w:space="0" w:color="auto"/>
              <w:right w:val="single" w:sz="6" w:space="0" w:color="auto"/>
            </w:tcBorders>
          </w:tcPr>
          <w:p w14:paraId="06BC61A2" w14:textId="77777777" w:rsidR="00392FDA" w:rsidRPr="00EA4C9B" w:rsidRDefault="00392FDA" w:rsidP="00BA7936">
            <w:pPr>
              <w:pStyle w:val="Table"/>
              <w:ind w:left="57" w:right="57"/>
              <w:jc w:val="center"/>
              <w:rPr>
                <w:rFonts w:ascii="Calibri" w:eastAsia="Times New Roman" w:hAnsi="Calibri" w:cs="Calibri"/>
                <w:szCs w:val="20"/>
                <w:lang w:eastAsia="en-GB"/>
              </w:rPr>
            </w:pPr>
            <w:r w:rsidRPr="00EA4C9B">
              <w:rPr>
                <w:szCs w:val="20"/>
              </w:rPr>
              <w:t>39.7%</w:t>
            </w:r>
          </w:p>
        </w:tc>
      </w:tr>
    </w:tbl>
    <w:p w14:paraId="33CA04ED" w14:textId="77777777" w:rsidR="00392FDA" w:rsidRPr="00EA4C9B" w:rsidRDefault="00392FDA" w:rsidP="00392FDA">
      <w:pPr>
        <w:spacing w:after="0"/>
        <w:textAlignment w:val="baseline"/>
        <w:rPr>
          <w:rFonts w:ascii="Segoe UI" w:eastAsia="Times New Roman" w:hAnsi="Segoe UI" w:cs="Segoe UI"/>
          <w:sz w:val="18"/>
          <w:szCs w:val="18"/>
          <w:lang w:eastAsia="en-GB"/>
        </w:rPr>
      </w:pPr>
      <w:r w:rsidRPr="00EA4C9B">
        <w:rPr>
          <w:rFonts w:ascii="Calibri" w:eastAsia="Times New Roman" w:hAnsi="Calibri" w:cs="Calibri"/>
          <w:lang w:eastAsia="en-GB"/>
        </w:rPr>
        <w:t>  </w:t>
      </w:r>
    </w:p>
    <w:p w14:paraId="72DC73A7" w14:textId="48398BA6" w:rsidR="00A27EC2" w:rsidRDefault="00A27EC2" w:rsidP="00A27EC2">
      <w:pPr>
        <w:pStyle w:val="Caption"/>
      </w:pPr>
    </w:p>
    <w:tbl>
      <w:tblPr>
        <w:tblStyle w:val="TableGrid"/>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1710"/>
        <w:gridCol w:w="1890"/>
        <w:gridCol w:w="1905"/>
      </w:tblGrid>
      <w:tr w:rsidR="00392FDA" w:rsidRPr="00466EF5" w14:paraId="73473FAF" w14:textId="77777777" w:rsidTr="00BA7936">
        <w:trPr>
          <w:trHeight w:val="58"/>
          <w:tblHeader/>
        </w:trPr>
        <w:tc>
          <w:tcPr>
            <w:tcW w:w="9000" w:type="dxa"/>
            <w:gridSpan w:val="4"/>
            <w:shd w:val="clear" w:color="auto" w:fill="003399"/>
            <w:hideMark/>
          </w:tcPr>
          <w:p w14:paraId="682BCC3D" w14:textId="7652050F" w:rsidR="00392FDA" w:rsidRPr="00466EF5" w:rsidRDefault="00A672A3">
            <w:pPr>
              <w:spacing w:after="0"/>
              <w:textAlignment w:val="baseline"/>
              <w:rPr>
                <w:rFonts w:ascii="Times New Roman" w:eastAsia="Times New Roman" w:hAnsi="Times New Roman" w:cs="Times New Roman"/>
                <w:b/>
                <w:szCs w:val="20"/>
                <w:lang w:eastAsia="en-GB"/>
              </w:rPr>
            </w:pPr>
            <w:r w:rsidRPr="00466EF5">
              <w:rPr>
                <w:b/>
                <w:color w:val="FFFFFF" w:themeColor="background1"/>
                <w:szCs w:val="20"/>
              </w:rPr>
              <w:t xml:space="preserve">Table </w:t>
            </w:r>
            <w:r w:rsidR="00490085">
              <w:rPr>
                <w:b/>
                <w:color w:val="FFFFFF" w:themeColor="background1"/>
                <w:szCs w:val="20"/>
              </w:rPr>
              <w:t>A6</w:t>
            </w:r>
            <w:r w:rsidR="00A27EC2" w:rsidRPr="00466EF5">
              <w:rPr>
                <w:b/>
                <w:bCs/>
                <w:color w:val="FFFFFF" w:themeColor="background1"/>
                <w:szCs w:val="20"/>
              </w:rPr>
              <w:t>-</w:t>
            </w:r>
            <w:r w:rsidR="00A27EC2" w:rsidRPr="00466EF5">
              <w:rPr>
                <w:b/>
                <w:bCs/>
                <w:color w:val="FFFFFF" w:themeColor="background1"/>
                <w:szCs w:val="20"/>
              </w:rPr>
              <w:fldChar w:fldCharType="begin"/>
            </w:r>
            <w:r w:rsidR="00A27EC2" w:rsidRPr="00466EF5">
              <w:rPr>
                <w:b/>
                <w:bCs/>
                <w:color w:val="FFFFFF" w:themeColor="background1"/>
                <w:szCs w:val="20"/>
              </w:rPr>
              <w:instrText xml:space="preserve"> SEQ Table_A5- \* ARABIC </w:instrText>
            </w:r>
            <w:r w:rsidR="00A27EC2" w:rsidRPr="00466EF5">
              <w:rPr>
                <w:b/>
                <w:bCs/>
                <w:color w:val="FFFFFF" w:themeColor="background1"/>
                <w:szCs w:val="20"/>
              </w:rPr>
              <w:fldChar w:fldCharType="separate"/>
            </w:r>
            <w:r w:rsidR="00466EF5" w:rsidRPr="00466EF5">
              <w:rPr>
                <w:b/>
                <w:bCs/>
                <w:noProof/>
                <w:color w:val="FFFFFF" w:themeColor="background1"/>
                <w:szCs w:val="20"/>
              </w:rPr>
              <w:t>21</w:t>
            </w:r>
            <w:r w:rsidR="00A27EC2" w:rsidRPr="00466EF5">
              <w:rPr>
                <w:b/>
                <w:bCs/>
                <w:color w:val="FFFFFF" w:themeColor="background1"/>
                <w:szCs w:val="20"/>
              </w:rPr>
              <w:fldChar w:fldCharType="end"/>
            </w:r>
            <w:r w:rsidR="00392FDA" w:rsidRPr="00466EF5">
              <w:rPr>
                <w:rFonts w:ascii="Calibri" w:eastAsia="Times New Roman" w:hAnsi="Calibri" w:cs="Calibri"/>
                <w:b/>
                <w:color w:val="FFFFFF" w:themeColor="background1"/>
                <w:szCs w:val="20"/>
                <w:lang w:eastAsia="en-GB"/>
              </w:rPr>
              <w:t>:  Waste taxes  </w:t>
            </w:r>
          </w:p>
        </w:tc>
      </w:tr>
      <w:tr w:rsidR="00392FDA" w:rsidRPr="00466EF5" w14:paraId="114AF74F" w14:textId="77777777" w:rsidTr="00BA7936">
        <w:trPr>
          <w:trHeight w:val="300"/>
          <w:tblHeader/>
        </w:trPr>
        <w:tc>
          <w:tcPr>
            <w:tcW w:w="3495" w:type="dxa"/>
            <w:hideMark/>
          </w:tcPr>
          <w:p w14:paraId="0F6322A0" w14:textId="77777777" w:rsidR="00392FDA" w:rsidRPr="00466EF5" w:rsidRDefault="00392FDA">
            <w:pPr>
              <w:spacing w:after="0"/>
              <w:textAlignment w:val="baseline"/>
              <w:rPr>
                <w:rFonts w:ascii="Times New Roman" w:eastAsia="Times New Roman" w:hAnsi="Times New Roman" w:cs="Times New Roman"/>
                <w:szCs w:val="20"/>
                <w:lang w:eastAsia="en-GB"/>
              </w:rPr>
            </w:pPr>
            <w:r w:rsidRPr="00466EF5">
              <w:rPr>
                <w:rFonts w:ascii="Calibri" w:eastAsia="Times New Roman" w:hAnsi="Calibri" w:cs="Calibri"/>
                <w:b/>
                <w:bCs/>
                <w:szCs w:val="20"/>
                <w:lang w:eastAsia="en-GB"/>
              </w:rPr>
              <w:t>Tax Name</w:t>
            </w:r>
            <w:r w:rsidRPr="00466EF5">
              <w:rPr>
                <w:rFonts w:ascii="Calibri" w:eastAsia="Times New Roman" w:hAnsi="Calibri" w:cs="Calibri"/>
                <w:szCs w:val="20"/>
                <w:lang w:eastAsia="en-GB"/>
              </w:rPr>
              <w:t>  </w:t>
            </w:r>
          </w:p>
        </w:tc>
        <w:tc>
          <w:tcPr>
            <w:tcW w:w="1710" w:type="dxa"/>
            <w:hideMark/>
          </w:tcPr>
          <w:p w14:paraId="693405F3" w14:textId="77777777" w:rsidR="00392FDA" w:rsidRPr="00466EF5" w:rsidRDefault="00392FDA">
            <w:pPr>
              <w:spacing w:after="0"/>
              <w:jc w:val="center"/>
              <w:textAlignment w:val="baseline"/>
              <w:rPr>
                <w:rFonts w:ascii="Times New Roman" w:eastAsia="Times New Roman" w:hAnsi="Times New Roman" w:cs="Times New Roman"/>
                <w:szCs w:val="20"/>
                <w:lang w:eastAsia="en-GB"/>
              </w:rPr>
            </w:pPr>
            <w:r w:rsidRPr="00466EF5">
              <w:rPr>
                <w:rFonts w:ascii="Calibri" w:eastAsia="Times New Roman" w:hAnsi="Calibri" w:cs="Calibri"/>
                <w:b/>
                <w:bCs/>
                <w:szCs w:val="20"/>
                <w:lang w:eastAsia="en-GB"/>
              </w:rPr>
              <w:t>Revenue (€ million)</w:t>
            </w:r>
            <w:r w:rsidRPr="00466EF5">
              <w:rPr>
                <w:rFonts w:ascii="Calibri" w:eastAsia="Times New Roman" w:hAnsi="Calibri" w:cs="Calibri"/>
                <w:szCs w:val="20"/>
                <w:lang w:eastAsia="en-GB"/>
              </w:rPr>
              <w:t> </w:t>
            </w:r>
          </w:p>
          <w:p w14:paraId="0BD53377" w14:textId="77777777" w:rsidR="00392FDA" w:rsidRPr="00466EF5" w:rsidRDefault="00392FDA">
            <w:pPr>
              <w:spacing w:after="0"/>
              <w:jc w:val="center"/>
              <w:textAlignment w:val="baseline"/>
              <w:rPr>
                <w:rFonts w:ascii="Times New Roman" w:eastAsia="Times New Roman" w:hAnsi="Times New Roman" w:cs="Times New Roman"/>
                <w:szCs w:val="20"/>
                <w:lang w:eastAsia="en-GB"/>
              </w:rPr>
            </w:pPr>
            <w:r w:rsidRPr="00466EF5">
              <w:rPr>
                <w:rFonts w:ascii="Calibri" w:eastAsia="Times New Roman" w:hAnsi="Calibri" w:cs="Calibri"/>
                <w:b/>
                <w:bCs/>
                <w:szCs w:val="20"/>
                <w:lang w:eastAsia="en-GB"/>
              </w:rPr>
              <w:t>2009-2023</w:t>
            </w:r>
            <w:r w:rsidRPr="00466EF5">
              <w:rPr>
                <w:rFonts w:ascii="Calibri" w:eastAsia="Times New Roman" w:hAnsi="Calibri" w:cs="Calibri"/>
                <w:szCs w:val="20"/>
                <w:lang w:eastAsia="en-GB"/>
              </w:rPr>
              <w:t> </w:t>
            </w:r>
          </w:p>
        </w:tc>
        <w:tc>
          <w:tcPr>
            <w:tcW w:w="1890" w:type="dxa"/>
            <w:hideMark/>
          </w:tcPr>
          <w:p w14:paraId="0D241D32" w14:textId="77777777" w:rsidR="00392FDA" w:rsidRPr="00466EF5" w:rsidRDefault="00392FDA">
            <w:pPr>
              <w:spacing w:after="0"/>
              <w:jc w:val="center"/>
              <w:textAlignment w:val="baseline"/>
              <w:rPr>
                <w:rFonts w:ascii="Times New Roman" w:eastAsia="Times New Roman" w:hAnsi="Times New Roman" w:cs="Times New Roman"/>
                <w:szCs w:val="20"/>
                <w:lang w:eastAsia="en-GB"/>
              </w:rPr>
            </w:pPr>
            <w:r w:rsidRPr="00466EF5">
              <w:rPr>
                <w:rFonts w:ascii="Calibri" w:eastAsia="Times New Roman" w:hAnsi="Calibri" w:cs="Calibri"/>
                <w:b/>
                <w:bCs/>
                <w:szCs w:val="20"/>
                <w:lang w:eastAsia="en-GB"/>
              </w:rPr>
              <w:t>Average annual revenue (€ million)</w:t>
            </w:r>
            <w:r w:rsidRPr="00466EF5">
              <w:rPr>
                <w:rFonts w:ascii="Calibri" w:eastAsia="Times New Roman" w:hAnsi="Calibri" w:cs="Calibri"/>
                <w:szCs w:val="20"/>
                <w:lang w:eastAsia="en-GB"/>
              </w:rPr>
              <w:t> </w:t>
            </w:r>
          </w:p>
        </w:tc>
        <w:tc>
          <w:tcPr>
            <w:tcW w:w="1905" w:type="dxa"/>
            <w:hideMark/>
          </w:tcPr>
          <w:p w14:paraId="3D80CD26" w14:textId="77777777" w:rsidR="00392FDA" w:rsidRPr="00466EF5" w:rsidRDefault="00392FDA">
            <w:pPr>
              <w:spacing w:after="0"/>
              <w:jc w:val="center"/>
              <w:textAlignment w:val="baseline"/>
              <w:rPr>
                <w:rFonts w:ascii="Times New Roman" w:eastAsia="Times New Roman" w:hAnsi="Times New Roman" w:cs="Times New Roman"/>
                <w:szCs w:val="20"/>
                <w:lang w:eastAsia="en-GB"/>
              </w:rPr>
            </w:pPr>
            <w:r w:rsidRPr="00466EF5">
              <w:rPr>
                <w:rFonts w:ascii="Calibri" w:eastAsia="Times New Roman" w:hAnsi="Calibri" w:cs="Calibri"/>
                <w:b/>
                <w:bCs/>
                <w:szCs w:val="20"/>
                <w:lang w:eastAsia="en-GB"/>
              </w:rPr>
              <w:t>As share of all waste tax revenues</w:t>
            </w:r>
            <w:r w:rsidRPr="00466EF5">
              <w:rPr>
                <w:rFonts w:ascii="Calibri" w:eastAsia="Times New Roman" w:hAnsi="Calibri" w:cs="Calibri"/>
                <w:szCs w:val="20"/>
                <w:lang w:eastAsia="en-GB"/>
              </w:rPr>
              <w:t> </w:t>
            </w:r>
          </w:p>
        </w:tc>
      </w:tr>
      <w:tr w:rsidR="00392FDA" w:rsidRPr="00466EF5" w14:paraId="2D43E86A" w14:textId="77777777" w:rsidTr="00BA7936">
        <w:trPr>
          <w:trHeight w:val="300"/>
        </w:trPr>
        <w:tc>
          <w:tcPr>
            <w:tcW w:w="3495" w:type="dxa"/>
            <w:hideMark/>
          </w:tcPr>
          <w:p w14:paraId="03FE56A3" w14:textId="77777777" w:rsidR="00392FDA" w:rsidRPr="00466EF5" w:rsidRDefault="00392FDA">
            <w:pPr>
              <w:spacing w:after="0"/>
              <w:textAlignment w:val="baseline"/>
              <w:rPr>
                <w:rFonts w:ascii="Times New Roman" w:eastAsia="Times New Roman" w:hAnsi="Times New Roman" w:cs="Times New Roman"/>
                <w:szCs w:val="20"/>
                <w:lang w:val="sv-SE" w:eastAsia="en-GB"/>
              </w:rPr>
            </w:pPr>
            <w:bookmarkStart w:id="123" w:name="_Hlk195187448"/>
            <w:r w:rsidRPr="00466EF5">
              <w:rPr>
                <w:szCs w:val="20"/>
                <w:lang w:val="sv-SE"/>
              </w:rPr>
              <w:t xml:space="preserve">Waste packaging management fee and deposit fee </w:t>
            </w:r>
            <w:r w:rsidRPr="00466EF5">
              <w:rPr>
                <w:i/>
                <w:szCs w:val="20"/>
                <w:lang w:val="sv-SE"/>
              </w:rPr>
              <w:t>(Naknada gospodarenja otpadnom ambalažom i povratna naknada)</w:t>
            </w:r>
          </w:p>
        </w:tc>
        <w:tc>
          <w:tcPr>
            <w:tcW w:w="1710" w:type="dxa"/>
            <w:hideMark/>
          </w:tcPr>
          <w:p w14:paraId="4F4E62E3" w14:textId="77777777" w:rsidR="00392FDA" w:rsidRPr="00466EF5" w:rsidRDefault="00392FDA">
            <w:pPr>
              <w:spacing w:after="0"/>
              <w:jc w:val="center"/>
              <w:textAlignment w:val="baseline"/>
              <w:rPr>
                <w:rFonts w:ascii="Times New Roman" w:eastAsia="Times New Roman" w:hAnsi="Times New Roman" w:cs="Times New Roman"/>
                <w:szCs w:val="20"/>
                <w:lang w:eastAsia="en-GB"/>
              </w:rPr>
            </w:pPr>
            <w:r w:rsidRPr="00466EF5">
              <w:rPr>
                <w:rFonts w:ascii="Calibri" w:eastAsia="Times New Roman" w:hAnsi="Calibri" w:cs="Calibri"/>
                <w:szCs w:val="20"/>
                <w:lang w:eastAsia="en-GB"/>
              </w:rPr>
              <w:t>€</w:t>
            </w:r>
            <w:r w:rsidRPr="00466EF5">
              <w:rPr>
                <w:szCs w:val="20"/>
              </w:rPr>
              <w:t>1083.9</w:t>
            </w:r>
            <w:r w:rsidRPr="00466EF5">
              <w:rPr>
                <w:rFonts w:ascii="Calibri" w:eastAsia="Times New Roman" w:hAnsi="Calibri" w:cs="Calibri"/>
                <w:szCs w:val="20"/>
                <w:lang w:eastAsia="en-GB"/>
              </w:rPr>
              <w:t xml:space="preserve"> million</w:t>
            </w:r>
          </w:p>
        </w:tc>
        <w:tc>
          <w:tcPr>
            <w:tcW w:w="1890" w:type="dxa"/>
            <w:hideMark/>
          </w:tcPr>
          <w:p w14:paraId="0D3476BC" w14:textId="77777777" w:rsidR="00392FDA" w:rsidRPr="00466EF5" w:rsidRDefault="00392FDA">
            <w:pPr>
              <w:spacing w:after="0"/>
              <w:jc w:val="center"/>
              <w:textAlignment w:val="baseline"/>
              <w:rPr>
                <w:rFonts w:ascii="Times New Roman" w:eastAsia="Times New Roman" w:hAnsi="Times New Roman" w:cs="Times New Roman"/>
                <w:szCs w:val="20"/>
                <w:lang w:eastAsia="en-GB"/>
              </w:rPr>
            </w:pPr>
            <w:r w:rsidRPr="00466EF5">
              <w:rPr>
                <w:rFonts w:ascii="Calibri" w:eastAsia="Times New Roman" w:hAnsi="Calibri" w:cs="Calibri"/>
                <w:szCs w:val="20"/>
                <w:lang w:eastAsia="en-GB"/>
              </w:rPr>
              <w:t>€</w:t>
            </w:r>
            <w:r w:rsidRPr="00466EF5">
              <w:rPr>
                <w:szCs w:val="20"/>
              </w:rPr>
              <w:t>72.3</w:t>
            </w:r>
            <w:r w:rsidRPr="00466EF5">
              <w:rPr>
                <w:rFonts w:ascii="Calibri" w:eastAsia="Times New Roman" w:hAnsi="Calibri" w:cs="Calibri"/>
                <w:szCs w:val="20"/>
                <w:lang w:eastAsia="en-GB"/>
              </w:rPr>
              <w:t xml:space="preserve"> million</w:t>
            </w:r>
          </w:p>
        </w:tc>
        <w:tc>
          <w:tcPr>
            <w:tcW w:w="1905" w:type="dxa"/>
            <w:hideMark/>
          </w:tcPr>
          <w:p w14:paraId="30BBBCBA" w14:textId="77777777" w:rsidR="00392FDA" w:rsidRPr="00466EF5" w:rsidRDefault="00392FDA">
            <w:pPr>
              <w:spacing w:after="0"/>
              <w:jc w:val="center"/>
              <w:textAlignment w:val="baseline"/>
              <w:rPr>
                <w:rFonts w:ascii="Times New Roman" w:eastAsia="Times New Roman" w:hAnsi="Times New Roman" w:cs="Times New Roman"/>
                <w:szCs w:val="20"/>
                <w:lang w:eastAsia="en-GB"/>
              </w:rPr>
            </w:pPr>
            <w:r w:rsidRPr="00466EF5">
              <w:rPr>
                <w:szCs w:val="20"/>
              </w:rPr>
              <w:t>66.1%</w:t>
            </w:r>
          </w:p>
        </w:tc>
      </w:tr>
      <w:tr w:rsidR="00392FDA" w:rsidRPr="00466EF5" w14:paraId="1D17CE4B" w14:textId="77777777" w:rsidTr="00BA7936">
        <w:trPr>
          <w:trHeight w:val="300"/>
        </w:trPr>
        <w:tc>
          <w:tcPr>
            <w:tcW w:w="3495" w:type="dxa"/>
            <w:hideMark/>
          </w:tcPr>
          <w:p w14:paraId="2137F0DE" w14:textId="77777777" w:rsidR="00392FDA" w:rsidRPr="00466EF5" w:rsidRDefault="00392FDA" w:rsidP="343C71E8">
            <w:pPr>
              <w:spacing w:after="0"/>
              <w:textAlignment w:val="baseline"/>
              <w:rPr>
                <w:rFonts w:ascii="Times New Roman" w:eastAsia="Times New Roman" w:hAnsi="Times New Roman" w:cs="Times New Roman"/>
                <w:szCs w:val="20"/>
                <w:lang w:eastAsia="en-GB"/>
              </w:rPr>
            </w:pPr>
            <w:r w:rsidRPr="00466EF5">
              <w:rPr>
                <w:szCs w:val="20"/>
              </w:rPr>
              <w:t xml:space="preserve">WEEE management fee </w:t>
            </w:r>
            <w:r w:rsidRPr="00466EF5">
              <w:rPr>
                <w:i/>
                <w:iCs/>
                <w:szCs w:val="20"/>
              </w:rPr>
              <w:t>(Naknada gospodarenja EE otpadom)</w:t>
            </w:r>
          </w:p>
        </w:tc>
        <w:tc>
          <w:tcPr>
            <w:tcW w:w="1710" w:type="dxa"/>
            <w:hideMark/>
          </w:tcPr>
          <w:p w14:paraId="7A203DA0" w14:textId="77777777" w:rsidR="00392FDA" w:rsidRPr="00466EF5" w:rsidRDefault="00392FDA">
            <w:pPr>
              <w:spacing w:after="0"/>
              <w:jc w:val="center"/>
              <w:textAlignment w:val="baseline"/>
              <w:rPr>
                <w:rFonts w:ascii="Times New Roman" w:eastAsia="Times New Roman" w:hAnsi="Times New Roman" w:cs="Times New Roman"/>
                <w:szCs w:val="20"/>
                <w:lang w:eastAsia="en-GB"/>
              </w:rPr>
            </w:pPr>
            <w:r w:rsidRPr="00466EF5">
              <w:rPr>
                <w:rFonts w:ascii="Calibri" w:eastAsia="Times New Roman" w:hAnsi="Calibri" w:cs="Calibri"/>
                <w:szCs w:val="20"/>
                <w:lang w:eastAsia="en-GB"/>
              </w:rPr>
              <w:t>€</w:t>
            </w:r>
            <w:r w:rsidRPr="00466EF5">
              <w:rPr>
                <w:szCs w:val="20"/>
              </w:rPr>
              <w:t>275.6</w:t>
            </w:r>
            <w:r w:rsidRPr="00466EF5">
              <w:rPr>
                <w:rFonts w:ascii="Calibri" w:eastAsia="Times New Roman" w:hAnsi="Calibri" w:cs="Calibri"/>
                <w:szCs w:val="20"/>
                <w:lang w:eastAsia="en-GB"/>
              </w:rPr>
              <w:t xml:space="preserve"> million</w:t>
            </w:r>
          </w:p>
        </w:tc>
        <w:tc>
          <w:tcPr>
            <w:tcW w:w="1890" w:type="dxa"/>
            <w:hideMark/>
          </w:tcPr>
          <w:p w14:paraId="41E9202E" w14:textId="77777777" w:rsidR="00392FDA" w:rsidRPr="00466EF5" w:rsidRDefault="00392FDA">
            <w:pPr>
              <w:spacing w:after="0"/>
              <w:jc w:val="center"/>
              <w:textAlignment w:val="baseline"/>
              <w:rPr>
                <w:rFonts w:ascii="Times New Roman" w:eastAsia="Times New Roman" w:hAnsi="Times New Roman" w:cs="Times New Roman"/>
                <w:szCs w:val="20"/>
                <w:lang w:eastAsia="en-GB"/>
              </w:rPr>
            </w:pPr>
            <w:r w:rsidRPr="00466EF5">
              <w:rPr>
                <w:rFonts w:ascii="Calibri" w:eastAsia="Times New Roman" w:hAnsi="Calibri" w:cs="Calibri"/>
                <w:szCs w:val="20"/>
                <w:lang w:eastAsia="en-GB"/>
              </w:rPr>
              <w:t>€</w:t>
            </w:r>
            <w:r w:rsidRPr="00466EF5">
              <w:rPr>
                <w:szCs w:val="20"/>
              </w:rPr>
              <w:t>18.4</w:t>
            </w:r>
            <w:r w:rsidRPr="00466EF5">
              <w:rPr>
                <w:rFonts w:ascii="Calibri" w:eastAsia="Times New Roman" w:hAnsi="Calibri" w:cs="Calibri"/>
                <w:szCs w:val="20"/>
                <w:lang w:eastAsia="en-GB"/>
              </w:rPr>
              <w:t xml:space="preserve"> million</w:t>
            </w:r>
          </w:p>
        </w:tc>
        <w:tc>
          <w:tcPr>
            <w:tcW w:w="1905" w:type="dxa"/>
            <w:hideMark/>
          </w:tcPr>
          <w:p w14:paraId="278464B2" w14:textId="77777777" w:rsidR="00392FDA" w:rsidRPr="00466EF5" w:rsidRDefault="00392FDA">
            <w:pPr>
              <w:spacing w:after="0"/>
              <w:jc w:val="center"/>
              <w:textAlignment w:val="baseline"/>
              <w:rPr>
                <w:rFonts w:ascii="Times New Roman" w:eastAsia="Times New Roman" w:hAnsi="Times New Roman" w:cs="Times New Roman"/>
                <w:szCs w:val="20"/>
                <w:lang w:eastAsia="en-GB"/>
              </w:rPr>
            </w:pPr>
            <w:r w:rsidRPr="00466EF5">
              <w:rPr>
                <w:szCs w:val="20"/>
              </w:rPr>
              <w:t>16.8%</w:t>
            </w:r>
          </w:p>
        </w:tc>
      </w:tr>
      <w:tr w:rsidR="00392FDA" w:rsidRPr="00466EF5" w14:paraId="7C7960AD" w14:textId="77777777" w:rsidTr="00BA7936">
        <w:trPr>
          <w:trHeight w:val="300"/>
        </w:trPr>
        <w:tc>
          <w:tcPr>
            <w:tcW w:w="3495" w:type="dxa"/>
          </w:tcPr>
          <w:p w14:paraId="3551CD9E" w14:textId="77777777" w:rsidR="00392FDA" w:rsidRPr="00466EF5" w:rsidRDefault="00392FDA">
            <w:pPr>
              <w:spacing w:after="0"/>
              <w:textAlignment w:val="baseline"/>
              <w:rPr>
                <w:rFonts w:ascii="Calibri" w:eastAsia="Times New Roman" w:hAnsi="Calibri" w:cs="Calibri"/>
                <w:szCs w:val="20"/>
                <w:lang w:eastAsia="en-GB"/>
              </w:rPr>
            </w:pPr>
            <w:r w:rsidRPr="00466EF5">
              <w:rPr>
                <w:szCs w:val="20"/>
              </w:rPr>
              <w:t xml:space="preserve">End-of-life vehicle management fee </w:t>
            </w:r>
            <w:r w:rsidRPr="00466EF5">
              <w:rPr>
                <w:i/>
                <w:iCs/>
                <w:szCs w:val="20"/>
              </w:rPr>
              <w:t>(Naknada gospodarenja otpadnim vozilima)</w:t>
            </w:r>
          </w:p>
        </w:tc>
        <w:tc>
          <w:tcPr>
            <w:tcW w:w="1710" w:type="dxa"/>
          </w:tcPr>
          <w:p w14:paraId="1E49ECFC" w14:textId="77777777" w:rsidR="00392FDA" w:rsidRPr="00466EF5" w:rsidRDefault="00392FDA">
            <w:pPr>
              <w:spacing w:after="0"/>
              <w:jc w:val="center"/>
              <w:textAlignment w:val="baseline"/>
              <w:rPr>
                <w:rFonts w:ascii="Calibri" w:eastAsia="Times New Roman" w:hAnsi="Calibri" w:cs="Calibri"/>
                <w:szCs w:val="20"/>
                <w:lang w:eastAsia="en-GB"/>
              </w:rPr>
            </w:pPr>
            <w:r w:rsidRPr="00466EF5">
              <w:rPr>
                <w:rFonts w:ascii="Calibri" w:eastAsia="Times New Roman" w:hAnsi="Calibri" w:cs="Calibri"/>
                <w:szCs w:val="20"/>
                <w:lang w:eastAsia="en-GB"/>
              </w:rPr>
              <w:t>€</w:t>
            </w:r>
            <w:r w:rsidRPr="00466EF5">
              <w:rPr>
                <w:szCs w:val="20"/>
              </w:rPr>
              <w:t>151.9</w:t>
            </w:r>
            <w:r w:rsidRPr="00466EF5">
              <w:rPr>
                <w:rFonts w:ascii="Calibri" w:eastAsia="Times New Roman" w:hAnsi="Calibri" w:cs="Calibri"/>
                <w:szCs w:val="20"/>
                <w:lang w:eastAsia="en-GB"/>
              </w:rPr>
              <w:t xml:space="preserve"> million</w:t>
            </w:r>
          </w:p>
        </w:tc>
        <w:tc>
          <w:tcPr>
            <w:tcW w:w="1890" w:type="dxa"/>
          </w:tcPr>
          <w:p w14:paraId="15153712" w14:textId="77777777" w:rsidR="00392FDA" w:rsidRPr="00466EF5" w:rsidRDefault="00392FDA">
            <w:pPr>
              <w:spacing w:after="0"/>
              <w:jc w:val="center"/>
              <w:textAlignment w:val="baseline"/>
              <w:rPr>
                <w:rFonts w:ascii="Calibri" w:eastAsia="Times New Roman" w:hAnsi="Calibri" w:cs="Calibri"/>
                <w:szCs w:val="20"/>
                <w:lang w:eastAsia="en-GB"/>
              </w:rPr>
            </w:pPr>
            <w:r w:rsidRPr="00466EF5">
              <w:rPr>
                <w:rFonts w:ascii="Calibri" w:eastAsia="Times New Roman" w:hAnsi="Calibri" w:cs="Calibri"/>
                <w:szCs w:val="20"/>
                <w:lang w:eastAsia="en-GB"/>
              </w:rPr>
              <w:t>€</w:t>
            </w:r>
            <w:r w:rsidRPr="00466EF5">
              <w:rPr>
                <w:szCs w:val="20"/>
              </w:rPr>
              <w:t>10.1</w:t>
            </w:r>
            <w:r w:rsidRPr="00466EF5">
              <w:rPr>
                <w:rFonts w:ascii="Calibri" w:eastAsia="Times New Roman" w:hAnsi="Calibri" w:cs="Calibri"/>
                <w:szCs w:val="20"/>
                <w:lang w:eastAsia="en-GB"/>
              </w:rPr>
              <w:t xml:space="preserve"> million</w:t>
            </w:r>
          </w:p>
        </w:tc>
        <w:tc>
          <w:tcPr>
            <w:tcW w:w="1905" w:type="dxa"/>
          </w:tcPr>
          <w:p w14:paraId="69EE77DE" w14:textId="77777777" w:rsidR="00392FDA" w:rsidRPr="00466EF5" w:rsidRDefault="00392FDA">
            <w:pPr>
              <w:spacing w:after="0"/>
              <w:jc w:val="center"/>
              <w:textAlignment w:val="baseline"/>
              <w:rPr>
                <w:rFonts w:ascii="Calibri" w:eastAsia="Times New Roman" w:hAnsi="Calibri" w:cs="Calibri"/>
                <w:szCs w:val="20"/>
                <w:lang w:eastAsia="en-GB"/>
              </w:rPr>
            </w:pPr>
            <w:r w:rsidRPr="00466EF5">
              <w:rPr>
                <w:szCs w:val="20"/>
              </w:rPr>
              <w:t>9.3%</w:t>
            </w:r>
          </w:p>
        </w:tc>
      </w:tr>
      <w:tr w:rsidR="00392FDA" w:rsidRPr="00466EF5" w14:paraId="6DBAB0D1" w14:textId="77777777" w:rsidTr="00BA7936">
        <w:trPr>
          <w:trHeight w:val="300"/>
        </w:trPr>
        <w:tc>
          <w:tcPr>
            <w:tcW w:w="3495" w:type="dxa"/>
          </w:tcPr>
          <w:p w14:paraId="577ED5AA" w14:textId="77777777" w:rsidR="00392FDA" w:rsidRPr="00466EF5" w:rsidRDefault="00392FDA" w:rsidP="343C71E8">
            <w:pPr>
              <w:spacing w:after="0"/>
              <w:textAlignment w:val="baseline"/>
              <w:rPr>
                <w:rFonts w:ascii="Calibri" w:eastAsia="Times New Roman" w:hAnsi="Calibri" w:cs="Calibri"/>
                <w:szCs w:val="20"/>
                <w:lang w:val="sv-SE" w:eastAsia="en-GB"/>
              </w:rPr>
            </w:pPr>
            <w:r w:rsidRPr="00466EF5">
              <w:rPr>
                <w:szCs w:val="20"/>
                <w:lang w:val="sv-SE"/>
              </w:rPr>
              <w:t xml:space="preserve">Waste Tyres Management Fee </w:t>
            </w:r>
            <w:r w:rsidRPr="00466EF5">
              <w:rPr>
                <w:i/>
                <w:szCs w:val="20"/>
                <w:lang w:val="sv-SE"/>
              </w:rPr>
              <w:t>(Naknada gospodarenja otpadnim gumama)</w:t>
            </w:r>
          </w:p>
        </w:tc>
        <w:tc>
          <w:tcPr>
            <w:tcW w:w="1710" w:type="dxa"/>
          </w:tcPr>
          <w:p w14:paraId="37D7CE86" w14:textId="77777777" w:rsidR="00392FDA" w:rsidRPr="00466EF5" w:rsidRDefault="00392FDA">
            <w:pPr>
              <w:spacing w:after="0"/>
              <w:jc w:val="center"/>
              <w:textAlignment w:val="baseline"/>
              <w:rPr>
                <w:rFonts w:ascii="Calibri" w:eastAsia="Times New Roman" w:hAnsi="Calibri" w:cs="Calibri"/>
                <w:szCs w:val="20"/>
                <w:lang w:eastAsia="en-GB"/>
              </w:rPr>
            </w:pPr>
            <w:r w:rsidRPr="00466EF5">
              <w:rPr>
                <w:rFonts w:ascii="Calibri" w:eastAsia="Times New Roman" w:hAnsi="Calibri" w:cs="Calibri"/>
                <w:szCs w:val="20"/>
                <w:lang w:eastAsia="en-GB"/>
              </w:rPr>
              <w:t>€</w:t>
            </w:r>
            <w:r w:rsidRPr="00466EF5">
              <w:rPr>
                <w:szCs w:val="20"/>
              </w:rPr>
              <w:t>64.1</w:t>
            </w:r>
            <w:r w:rsidRPr="00466EF5">
              <w:rPr>
                <w:rFonts w:ascii="Calibri" w:eastAsia="Times New Roman" w:hAnsi="Calibri" w:cs="Calibri"/>
                <w:szCs w:val="20"/>
                <w:lang w:eastAsia="en-GB"/>
              </w:rPr>
              <w:t xml:space="preserve"> million</w:t>
            </w:r>
          </w:p>
        </w:tc>
        <w:tc>
          <w:tcPr>
            <w:tcW w:w="1890" w:type="dxa"/>
          </w:tcPr>
          <w:p w14:paraId="6D1AB681" w14:textId="77777777" w:rsidR="00392FDA" w:rsidRPr="00466EF5" w:rsidRDefault="00392FDA">
            <w:pPr>
              <w:spacing w:after="0"/>
              <w:jc w:val="center"/>
              <w:textAlignment w:val="baseline"/>
              <w:rPr>
                <w:rFonts w:ascii="Calibri" w:eastAsia="Times New Roman" w:hAnsi="Calibri" w:cs="Calibri"/>
                <w:szCs w:val="20"/>
                <w:lang w:eastAsia="en-GB"/>
              </w:rPr>
            </w:pPr>
            <w:r w:rsidRPr="00466EF5">
              <w:rPr>
                <w:rFonts w:ascii="Calibri" w:eastAsia="Times New Roman" w:hAnsi="Calibri" w:cs="Calibri"/>
                <w:szCs w:val="20"/>
                <w:lang w:eastAsia="en-GB"/>
              </w:rPr>
              <w:t>€</w:t>
            </w:r>
            <w:r w:rsidRPr="00466EF5">
              <w:rPr>
                <w:szCs w:val="20"/>
              </w:rPr>
              <w:t>4.3</w:t>
            </w:r>
            <w:r w:rsidRPr="00466EF5">
              <w:rPr>
                <w:rFonts w:ascii="Calibri" w:eastAsia="Times New Roman" w:hAnsi="Calibri" w:cs="Calibri"/>
                <w:szCs w:val="20"/>
                <w:lang w:eastAsia="en-GB"/>
              </w:rPr>
              <w:t xml:space="preserve"> million</w:t>
            </w:r>
          </w:p>
        </w:tc>
        <w:tc>
          <w:tcPr>
            <w:tcW w:w="1905" w:type="dxa"/>
          </w:tcPr>
          <w:p w14:paraId="34D86C2C" w14:textId="77777777" w:rsidR="00392FDA" w:rsidRPr="00466EF5" w:rsidRDefault="00392FDA">
            <w:pPr>
              <w:spacing w:after="0"/>
              <w:jc w:val="center"/>
              <w:textAlignment w:val="baseline"/>
              <w:rPr>
                <w:rFonts w:ascii="Calibri" w:eastAsia="Times New Roman" w:hAnsi="Calibri" w:cs="Calibri"/>
                <w:szCs w:val="20"/>
                <w:lang w:eastAsia="en-GB"/>
              </w:rPr>
            </w:pPr>
            <w:r w:rsidRPr="00466EF5">
              <w:rPr>
                <w:szCs w:val="20"/>
              </w:rPr>
              <w:t>3.9%</w:t>
            </w:r>
          </w:p>
        </w:tc>
      </w:tr>
      <w:tr w:rsidR="00392FDA" w:rsidRPr="00466EF5" w14:paraId="133A49AE" w14:textId="77777777" w:rsidTr="00BA7936">
        <w:trPr>
          <w:trHeight w:val="300"/>
        </w:trPr>
        <w:tc>
          <w:tcPr>
            <w:tcW w:w="3495" w:type="dxa"/>
          </w:tcPr>
          <w:p w14:paraId="2E1E4427" w14:textId="77777777" w:rsidR="00392FDA" w:rsidRPr="00466EF5" w:rsidRDefault="00392FDA">
            <w:pPr>
              <w:spacing w:after="0"/>
              <w:textAlignment w:val="baseline"/>
              <w:rPr>
                <w:rFonts w:ascii="Calibri" w:eastAsia="Times New Roman" w:hAnsi="Calibri" w:cs="Calibri"/>
                <w:szCs w:val="20"/>
                <w:lang w:eastAsia="en-GB"/>
              </w:rPr>
            </w:pPr>
            <w:r w:rsidRPr="00466EF5">
              <w:rPr>
                <w:szCs w:val="20"/>
              </w:rPr>
              <w:t xml:space="preserve">Disposal fee for waste lubricating oils </w:t>
            </w:r>
            <w:r w:rsidRPr="00466EF5">
              <w:rPr>
                <w:i/>
                <w:iCs/>
                <w:szCs w:val="20"/>
              </w:rPr>
              <w:t>(Naknada zbrinjavanja otpadnih mazivih ulja)</w:t>
            </w:r>
          </w:p>
        </w:tc>
        <w:tc>
          <w:tcPr>
            <w:tcW w:w="1710" w:type="dxa"/>
          </w:tcPr>
          <w:p w14:paraId="5A295A2B" w14:textId="77777777" w:rsidR="00392FDA" w:rsidRPr="00466EF5" w:rsidRDefault="00392FDA">
            <w:pPr>
              <w:spacing w:after="0"/>
              <w:jc w:val="center"/>
              <w:textAlignment w:val="baseline"/>
              <w:rPr>
                <w:rFonts w:ascii="Calibri" w:eastAsia="Times New Roman" w:hAnsi="Calibri" w:cs="Calibri"/>
                <w:szCs w:val="20"/>
                <w:lang w:eastAsia="en-GB"/>
              </w:rPr>
            </w:pPr>
            <w:r w:rsidRPr="00466EF5">
              <w:rPr>
                <w:rFonts w:ascii="Calibri" w:eastAsia="Times New Roman" w:hAnsi="Calibri" w:cs="Calibri"/>
                <w:szCs w:val="20"/>
                <w:lang w:eastAsia="en-GB"/>
              </w:rPr>
              <w:t>€</w:t>
            </w:r>
            <w:r w:rsidRPr="00466EF5">
              <w:rPr>
                <w:szCs w:val="20"/>
              </w:rPr>
              <w:t>58.0</w:t>
            </w:r>
            <w:r w:rsidRPr="00466EF5">
              <w:rPr>
                <w:rFonts w:ascii="Calibri" w:eastAsia="Times New Roman" w:hAnsi="Calibri" w:cs="Calibri"/>
                <w:szCs w:val="20"/>
                <w:lang w:eastAsia="en-GB"/>
              </w:rPr>
              <w:t xml:space="preserve"> million</w:t>
            </w:r>
          </w:p>
        </w:tc>
        <w:tc>
          <w:tcPr>
            <w:tcW w:w="1890" w:type="dxa"/>
          </w:tcPr>
          <w:p w14:paraId="7F7500D4" w14:textId="77777777" w:rsidR="00392FDA" w:rsidRPr="00466EF5" w:rsidRDefault="00392FDA">
            <w:pPr>
              <w:spacing w:after="0"/>
              <w:jc w:val="center"/>
              <w:textAlignment w:val="baseline"/>
              <w:rPr>
                <w:rFonts w:ascii="Calibri" w:eastAsia="Times New Roman" w:hAnsi="Calibri" w:cs="Calibri"/>
                <w:szCs w:val="20"/>
                <w:lang w:eastAsia="en-GB"/>
              </w:rPr>
            </w:pPr>
            <w:r w:rsidRPr="00466EF5">
              <w:rPr>
                <w:rFonts w:ascii="Calibri" w:eastAsia="Times New Roman" w:hAnsi="Calibri" w:cs="Calibri"/>
                <w:szCs w:val="20"/>
                <w:lang w:eastAsia="en-GB"/>
              </w:rPr>
              <w:t>€</w:t>
            </w:r>
            <w:r w:rsidRPr="00466EF5">
              <w:rPr>
                <w:szCs w:val="20"/>
              </w:rPr>
              <w:t>3.9</w:t>
            </w:r>
            <w:r w:rsidRPr="00466EF5">
              <w:rPr>
                <w:rFonts w:ascii="Calibri" w:eastAsia="Times New Roman" w:hAnsi="Calibri" w:cs="Calibri"/>
                <w:szCs w:val="20"/>
                <w:lang w:eastAsia="en-GB"/>
              </w:rPr>
              <w:t xml:space="preserve"> million</w:t>
            </w:r>
          </w:p>
        </w:tc>
        <w:tc>
          <w:tcPr>
            <w:tcW w:w="1905" w:type="dxa"/>
          </w:tcPr>
          <w:p w14:paraId="46ADC3B8" w14:textId="77777777" w:rsidR="00392FDA" w:rsidRPr="00466EF5" w:rsidRDefault="00392FDA">
            <w:pPr>
              <w:spacing w:after="0"/>
              <w:jc w:val="center"/>
              <w:textAlignment w:val="baseline"/>
              <w:rPr>
                <w:rFonts w:ascii="Calibri" w:eastAsia="Times New Roman" w:hAnsi="Calibri" w:cs="Calibri"/>
                <w:szCs w:val="20"/>
                <w:lang w:eastAsia="en-GB"/>
              </w:rPr>
            </w:pPr>
            <w:r w:rsidRPr="00466EF5">
              <w:rPr>
                <w:szCs w:val="20"/>
              </w:rPr>
              <w:t>3.5%</w:t>
            </w:r>
          </w:p>
        </w:tc>
      </w:tr>
      <w:tr w:rsidR="00392FDA" w:rsidRPr="00466EF5" w14:paraId="03E80A89" w14:textId="77777777" w:rsidTr="00BA7936">
        <w:trPr>
          <w:trHeight w:val="300"/>
        </w:trPr>
        <w:tc>
          <w:tcPr>
            <w:tcW w:w="3495" w:type="dxa"/>
          </w:tcPr>
          <w:p w14:paraId="3E2957E7" w14:textId="77777777" w:rsidR="00392FDA" w:rsidRPr="00466EF5" w:rsidRDefault="00392FDA">
            <w:pPr>
              <w:spacing w:after="0"/>
              <w:textAlignment w:val="baseline"/>
              <w:rPr>
                <w:rFonts w:ascii="Calibri" w:eastAsia="Times New Roman" w:hAnsi="Calibri" w:cs="Calibri"/>
                <w:szCs w:val="20"/>
                <w:lang w:eastAsia="en-GB"/>
              </w:rPr>
            </w:pPr>
            <w:r w:rsidRPr="00466EF5">
              <w:rPr>
                <w:szCs w:val="20"/>
              </w:rPr>
              <w:t xml:space="preserve">Levy for non-hazardous industrial waste </w:t>
            </w:r>
            <w:r w:rsidRPr="00466EF5">
              <w:rPr>
                <w:i/>
                <w:iCs/>
                <w:szCs w:val="20"/>
              </w:rPr>
              <w:t>(Naknada za neopasni industrijski otpad)</w:t>
            </w:r>
          </w:p>
        </w:tc>
        <w:tc>
          <w:tcPr>
            <w:tcW w:w="1710" w:type="dxa"/>
          </w:tcPr>
          <w:p w14:paraId="531DFB87" w14:textId="77777777" w:rsidR="00392FDA" w:rsidRPr="00466EF5" w:rsidRDefault="00392FDA">
            <w:pPr>
              <w:spacing w:after="0"/>
              <w:jc w:val="center"/>
              <w:textAlignment w:val="baseline"/>
              <w:rPr>
                <w:rFonts w:ascii="Calibri" w:eastAsia="Times New Roman" w:hAnsi="Calibri" w:cs="Calibri"/>
                <w:szCs w:val="20"/>
                <w:lang w:eastAsia="en-GB"/>
              </w:rPr>
            </w:pPr>
            <w:r w:rsidRPr="00466EF5">
              <w:rPr>
                <w:rFonts w:ascii="Calibri" w:eastAsia="Times New Roman" w:hAnsi="Calibri" w:cs="Calibri"/>
                <w:szCs w:val="20"/>
                <w:lang w:eastAsia="en-GB"/>
              </w:rPr>
              <w:t>€</w:t>
            </w:r>
            <w:r w:rsidRPr="00466EF5">
              <w:rPr>
                <w:szCs w:val="20"/>
              </w:rPr>
              <w:t>5.6</w:t>
            </w:r>
            <w:r w:rsidRPr="00466EF5">
              <w:rPr>
                <w:rFonts w:ascii="Calibri" w:eastAsia="Times New Roman" w:hAnsi="Calibri" w:cs="Calibri"/>
                <w:szCs w:val="20"/>
                <w:lang w:eastAsia="en-GB"/>
              </w:rPr>
              <w:t xml:space="preserve"> million</w:t>
            </w:r>
          </w:p>
        </w:tc>
        <w:tc>
          <w:tcPr>
            <w:tcW w:w="1890" w:type="dxa"/>
          </w:tcPr>
          <w:p w14:paraId="4047563D" w14:textId="77777777" w:rsidR="00392FDA" w:rsidRPr="00466EF5" w:rsidRDefault="00392FDA">
            <w:pPr>
              <w:spacing w:after="0"/>
              <w:jc w:val="center"/>
              <w:textAlignment w:val="baseline"/>
              <w:rPr>
                <w:rFonts w:ascii="Calibri" w:eastAsia="Times New Roman" w:hAnsi="Calibri" w:cs="Calibri"/>
                <w:szCs w:val="20"/>
                <w:lang w:eastAsia="en-GB"/>
              </w:rPr>
            </w:pPr>
            <w:r w:rsidRPr="00466EF5">
              <w:rPr>
                <w:rFonts w:ascii="Calibri" w:eastAsia="Times New Roman" w:hAnsi="Calibri" w:cs="Calibri"/>
                <w:szCs w:val="20"/>
                <w:lang w:eastAsia="en-GB"/>
              </w:rPr>
              <w:t>€</w:t>
            </w:r>
            <w:r w:rsidRPr="00466EF5">
              <w:rPr>
                <w:szCs w:val="20"/>
              </w:rPr>
              <w:t>0.4</w:t>
            </w:r>
            <w:r w:rsidRPr="00466EF5">
              <w:rPr>
                <w:rFonts w:ascii="Calibri" w:eastAsia="Times New Roman" w:hAnsi="Calibri" w:cs="Calibri"/>
                <w:szCs w:val="20"/>
                <w:lang w:eastAsia="en-GB"/>
              </w:rPr>
              <w:t xml:space="preserve"> million</w:t>
            </w:r>
          </w:p>
        </w:tc>
        <w:tc>
          <w:tcPr>
            <w:tcW w:w="1905" w:type="dxa"/>
          </w:tcPr>
          <w:p w14:paraId="0BC44718" w14:textId="77777777" w:rsidR="00392FDA" w:rsidRPr="00466EF5" w:rsidRDefault="00392FDA">
            <w:pPr>
              <w:spacing w:after="0"/>
              <w:jc w:val="center"/>
              <w:textAlignment w:val="baseline"/>
              <w:rPr>
                <w:rFonts w:ascii="Calibri" w:eastAsia="Times New Roman" w:hAnsi="Calibri" w:cs="Calibri"/>
                <w:szCs w:val="20"/>
                <w:lang w:eastAsia="en-GB"/>
              </w:rPr>
            </w:pPr>
            <w:r w:rsidRPr="00466EF5">
              <w:rPr>
                <w:szCs w:val="20"/>
              </w:rPr>
              <w:t>0.3%</w:t>
            </w:r>
          </w:p>
        </w:tc>
      </w:tr>
      <w:tr w:rsidR="00392FDA" w:rsidRPr="00466EF5" w14:paraId="16BBFB1C" w14:textId="77777777" w:rsidTr="00BA7936">
        <w:trPr>
          <w:trHeight w:val="300"/>
        </w:trPr>
        <w:tc>
          <w:tcPr>
            <w:tcW w:w="3495" w:type="dxa"/>
          </w:tcPr>
          <w:p w14:paraId="77E8E0B0" w14:textId="77777777" w:rsidR="00392FDA" w:rsidRPr="00466EF5" w:rsidRDefault="00392FDA">
            <w:pPr>
              <w:spacing w:after="0"/>
              <w:textAlignment w:val="baseline"/>
              <w:rPr>
                <w:rFonts w:ascii="Calibri" w:eastAsia="Times New Roman" w:hAnsi="Calibri" w:cs="Calibri"/>
                <w:szCs w:val="20"/>
                <w:lang w:val="pl-PL" w:eastAsia="en-GB"/>
              </w:rPr>
            </w:pPr>
            <w:r w:rsidRPr="00466EF5">
              <w:rPr>
                <w:szCs w:val="20"/>
                <w:lang w:val="pl-PL"/>
              </w:rPr>
              <w:t xml:space="preserve">Levy for hazardous waste </w:t>
            </w:r>
            <w:r w:rsidRPr="00466EF5">
              <w:rPr>
                <w:i/>
                <w:iCs/>
                <w:szCs w:val="20"/>
                <w:lang w:val="pl-PL"/>
              </w:rPr>
              <w:t>(Naknada za opasni otpad)</w:t>
            </w:r>
          </w:p>
        </w:tc>
        <w:tc>
          <w:tcPr>
            <w:tcW w:w="1710" w:type="dxa"/>
          </w:tcPr>
          <w:p w14:paraId="3C00C59C" w14:textId="77777777" w:rsidR="00392FDA" w:rsidRPr="00466EF5" w:rsidRDefault="00392FDA">
            <w:pPr>
              <w:spacing w:after="0"/>
              <w:jc w:val="center"/>
              <w:textAlignment w:val="baseline"/>
              <w:rPr>
                <w:rFonts w:ascii="Calibri" w:eastAsia="Times New Roman" w:hAnsi="Calibri" w:cs="Calibri"/>
                <w:szCs w:val="20"/>
                <w:lang w:eastAsia="en-GB"/>
              </w:rPr>
            </w:pPr>
            <w:r w:rsidRPr="00466EF5">
              <w:rPr>
                <w:rFonts w:ascii="Calibri" w:eastAsia="Times New Roman" w:hAnsi="Calibri" w:cs="Calibri"/>
                <w:szCs w:val="20"/>
                <w:lang w:eastAsia="en-GB"/>
              </w:rPr>
              <w:t>€</w:t>
            </w:r>
            <w:r w:rsidRPr="00466EF5">
              <w:rPr>
                <w:szCs w:val="20"/>
              </w:rPr>
              <w:t>0.0</w:t>
            </w:r>
            <w:r w:rsidRPr="00466EF5">
              <w:rPr>
                <w:rFonts w:ascii="Calibri" w:eastAsia="Times New Roman" w:hAnsi="Calibri" w:cs="Calibri"/>
                <w:szCs w:val="20"/>
                <w:lang w:eastAsia="en-GB"/>
              </w:rPr>
              <w:t xml:space="preserve"> million</w:t>
            </w:r>
          </w:p>
        </w:tc>
        <w:tc>
          <w:tcPr>
            <w:tcW w:w="1890" w:type="dxa"/>
          </w:tcPr>
          <w:p w14:paraId="04A9CD50" w14:textId="77777777" w:rsidR="00392FDA" w:rsidRPr="00466EF5" w:rsidRDefault="00392FDA">
            <w:pPr>
              <w:spacing w:after="0"/>
              <w:jc w:val="center"/>
              <w:textAlignment w:val="baseline"/>
              <w:rPr>
                <w:rFonts w:ascii="Calibri" w:eastAsia="Times New Roman" w:hAnsi="Calibri" w:cs="Calibri"/>
                <w:szCs w:val="20"/>
                <w:lang w:eastAsia="en-GB"/>
              </w:rPr>
            </w:pPr>
            <w:r w:rsidRPr="00466EF5">
              <w:rPr>
                <w:rFonts w:ascii="Calibri" w:eastAsia="Times New Roman" w:hAnsi="Calibri" w:cs="Calibri"/>
                <w:szCs w:val="20"/>
                <w:lang w:eastAsia="en-GB"/>
              </w:rPr>
              <w:t>€</w:t>
            </w:r>
            <w:r w:rsidRPr="00466EF5">
              <w:rPr>
                <w:szCs w:val="20"/>
              </w:rPr>
              <w:t>0.0</w:t>
            </w:r>
            <w:r w:rsidRPr="00466EF5">
              <w:rPr>
                <w:rFonts w:ascii="Calibri" w:eastAsia="Times New Roman" w:hAnsi="Calibri" w:cs="Calibri"/>
                <w:szCs w:val="20"/>
                <w:lang w:eastAsia="en-GB"/>
              </w:rPr>
              <w:t xml:space="preserve"> million</w:t>
            </w:r>
          </w:p>
        </w:tc>
        <w:tc>
          <w:tcPr>
            <w:tcW w:w="1905" w:type="dxa"/>
          </w:tcPr>
          <w:p w14:paraId="01362F29" w14:textId="77777777" w:rsidR="00392FDA" w:rsidRPr="00466EF5" w:rsidRDefault="00392FDA">
            <w:pPr>
              <w:spacing w:after="0"/>
              <w:jc w:val="center"/>
              <w:textAlignment w:val="baseline"/>
              <w:rPr>
                <w:rFonts w:ascii="Calibri" w:eastAsia="Times New Roman" w:hAnsi="Calibri" w:cs="Calibri"/>
                <w:szCs w:val="20"/>
                <w:lang w:eastAsia="en-GB"/>
              </w:rPr>
            </w:pPr>
            <w:r w:rsidRPr="00466EF5">
              <w:rPr>
                <w:szCs w:val="20"/>
              </w:rPr>
              <w:t>0.0%</w:t>
            </w:r>
          </w:p>
        </w:tc>
      </w:tr>
    </w:tbl>
    <w:bookmarkEnd w:id="123"/>
    <w:p w14:paraId="6A190F45" w14:textId="5E6BCA1E" w:rsidR="00392FDA" w:rsidRPr="00D541AE" w:rsidRDefault="00392FDA" w:rsidP="00D541AE">
      <w:pPr>
        <w:rPr>
          <w:lang w:eastAsia="en-GB"/>
        </w:rPr>
      </w:pPr>
      <w:r w:rsidRPr="00EA4C9B">
        <w:rPr>
          <w:lang w:eastAsia="en-GB"/>
        </w:rPr>
        <w:t> </w:t>
      </w:r>
      <w:r w:rsidR="00D541AE">
        <w:rPr>
          <w:lang w:eastAsia="en-GB"/>
        </w:rPr>
        <w:br w:type="page"/>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5"/>
        <w:gridCol w:w="1710"/>
        <w:gridCol w:w="1890"/>
        <w:gridCol w:w="1905"/>
      </w:tblGrid>
      <w:tr w:rsidR="00392FDA" w:rsidRPr="00EA4C9B" w14:paraId="415B1339" w14:textId="77777777" w:rsidTr="004F0767">
        <w:trPr>
          <w:trHeight w:val="300"/>
        </w:trPr>
        <w:tc>
          <w:tcPr>
            <w:tcW w:w="9000"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58C96601" w14:textId="5E18B6C4" w:rsidR="00392FDA" w:rsidRPr="00E50374" w:rsidRDefault="00A672A3" w:rsidP="00E50374">
            <w:pPr>
              <w:pStyle w:val="Table"/>
              <w:rPr>
                <w:rFonts w:ascii="Times New Roman" w:eastAsia="Times New Roman" w:hAnsi="Times New Roman" w:cs="Times New Roman"/>
                <w:b/>
                <w:color w:val="FFFFFF" w:themeColor="background1"/>
                <w:sz w:val="24"/>
                <w:lang w:eastAsia="en-GB"/>
              </w:rPr>
            </w:pPr>
            <w:r w:rsidRPr="00E50374">
              <w:rPr>
                <w:b/>
                <w:color w:val="FFFFFF" w:themeColor="background1"/>
              </w:rPr>
              <w:lastRenderedPageBreak/>
              <w:t xml:space="preserve">Table </w:t>
            </w:r>
            <w:r w:rsidR="00490085">
              <w:rPr>
                <w:b/>
                <w:color w:val="FFFFFF" w:themeColor="background1"/>
              </w:rPr>
              <w:t>A6</w:t>
            </w:r>
            <w:r w:rsidR="00E50374" w:rsidRPr="00E50374">
              <w:rPr>
                <w:b/>
                <w:bCs/>
                <w:color w:val="FFFFFF" w:themeColor="background1"/>
              </w:rPr>
              <w:t>-</w:t>
            </w:r>
            <w:r w:rsidR="00E50374" w:rsidRPr="00E50374">
              <w:rPr>
                <w:b/>
                <w:bCs/>
                <w:color w:val="FFFFFF" w:themeColor="background1"/>
              </w:rPr>
              <w:fldChar w:fldCharType="begin"/>
            </w:r>
            <w:r w:rsidR="00E50374" w:rsidRPr="00E50374">
              <w:rPr>
                <w:b/>
                <w:bCs/>
                <w:color w:val="FFFFFF" w:themeColor="background1"/>
              </w:rPr>
              <w:instrText xml:space="preserve"> SEQ Table_A5- \* ARABIC </w:instrText>
            </w:r>
            <w:r w:rsidR="00E50374" w:rsidRPr="00E50374">
              <w:rPr>
                <w:b/>
                <w:bCs/>
                <w:color w:val="FFFFFF" w:themeColor="background1"/>
              </w:rPr>
              <w:fldChar w:fldCharType="separate"/>
            </w:r>
            <w:r w:rsidR="00466EF5">
              <w:rPr>
                <w:b/>
                <w:bCs/>
                <w:noProof/>
                <w:color w:val="FFFFFF" w:themeColor="background1"/>
              </w:rPr>
              <w:t>22</w:t>
            </w:r>
            <w:r w:rsidR="00E50374" w:rsidRPr="00E50374">
              <w:rPr>
                <w:b/>
                <w:bCs/>
                <w:color w:val="FFFFFF" w:themeColor="background1"/>
              </w:rPr>
              <w:fldChar w:fldCharType="end"/>
            </w:r>
            <w:r w:rsidR="00E50374" w:rsidRPr="00E50374">
              <w:rPr>
                <w:b/>
                <w:bCs/>
                <w:color w:val="FFFFFF" w:themeColor="background1"/>
              </w:rPr>
              <w:t>:</w:t>
            </w:r>
            <w:r w:rsidR="00E50374">
              <w:rPr>
                <w:b/>
                <w:bCs/>
                <w:color w:val="FFFFFF" w:themeColor="background1"/>
              </w:rPr>
              <w:t xml:space="preserve"> </w:t>
            </w:r>
            <w:r w:rsidR="00392FDA" w:rsidRPr="00E50374">
              <w:rPr>
                <w:rFonts w:ascii="Calibri" w:eastAsia="Times New Roman" w:hAnsi="Calibri" w:cs="Calibri"/>
                <w:b/>
                <w:color w:val="FFFFFF" w:themeColor="background1"/>
                <w:lang w:eastAsia="en-GB"/>
              </w:rPr>
              <w:t xml:space="preserve"> Resource taxes  </w:t>
            </w:r>
          </w:p>
        </w:tc>
      </w:tr>
      <w:tr w:rsidR="00392FDA" w:rsidRPr="00EA4C9B" w14:paraId="10B3F5AD"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hideMark/>
          </w:tcPr>
          <w:p w14:paraId="5DFD49E5" w14:textId="77777777" w:rsidR="00392FDA" w:rsidRPr="000568AF" w:rsidRDefault="00392FDA" w:rsidP="00E50374">
            <w:pPr>
              <w:pStyle w:val="Table"/>
              <w:rPr>
                <w:rFonts w:ascii="Times New Roman" w:eastAsia="Times New Roman" w:hAnsi="Times New Roman" w:cs="Times New Roman"/>
                <w:b/>
                <w:sz w:val="24"/>
                <w:lang w:eastAsia="en-GB"/>
              </w:rPr>
            </w:pPr>
            <w:r w:rsidRPr="000568AF">
              <w:rPr>
                <w:rFonts w:ascii="Calibri" w:eastAsia="Times New Roman" w:hAnsi="Calibri" w:cs="Calibri"/>
                <w:b/>
                <w:lang w:eastAsia="en-GB"/>
              </w:rPr>
              <w:t>Tax Name  </w:t>
            </w:r>
          </w:p>
        </w:tc>
        <w:tc>
          <w:tcPr>
            <w:tcW w:w="1710" w:type="dxa"/>
            <w:tcBorders>
              <w:top w:val="single" w:sz="6" w:space="0" w:color="auto"/>
              <w:left w:val="single" w:sz="6" w:space="0" w:color="auto"/>
              <w:bottom w:val="single" w:sz="6" w:space="0" w:color="auto"/>
              <w:right w:val="single" w:sz="6" w:space="0" w:color="auto"/>
            </w:tcBorders>
            <w:hideMark/>
          </w:tcPr>
          <w:p w14:paraId="5908CE60" w14:textId="69B9E00B" w:rsidR="00392FDA" w:rsidRPr="000568AF" w:rsidRDefault="00392FDA" w:rsidP="00BA7936">
            <w:pPr>
              <w:pStyle w:val="Table"/>
              <w:jc w:val="center"/>
              <w:rPr>
                <w:rFonts w:ascii="Times New Roman" w:eastAsia="Times New Roman" w:hAnsi="Times New Roman" w:cs="Times New Roman"/>
                <w:b/>
                <w:sz w:val="24"/>
                <w:lang w:eastAsia="en-GB"/>
              </w:rPr>
            </w:pPr>
            <w:r w:rsidRPr="000568AF">
              <w:rPr>
                <w:rFonts w:ascii="Calibri" w:eastAsia="Times New Roman" w:hAnsi="Calibri" w:cs="Calibri"/>
                <w:b/>
                <w:lang w:eastAsia="en-GB"/>
              </w:rPr>
              <w:t>Revenue (€ million)</w:t>
            </w:r>
          </w:p>
          <w:p w14:paraId="41E22034" w14:textId="1AD5024E" w:rsidR="00392FDA" w:rsidRPr="000568AF" w:rsidRDefault="00392FDA" w:rsidP="00BA7936">
            <w:pPr>
              <w:pStyle w:val="Table"/>
              <w:jc w:val="center"/>
              <w:rPr>
                <w:rFonts w:ascii="Times New Roman" w:eastAsia="Times New Roman" w:hAnsi="Times New Roman" w:cs="Times New Roman"/>
                <w:b/>
                <w:sz w:val="24"/>
                <w:lang w:eastAsia="en-GB"/>
              </w:rPr>
            </w:pPr>
            <w:r w:rsidRPr="000568AF">
              <w:rPr>
                <w:rFonts w:ascii="Calibri" w:eastAsia="Times New Roman" w:hAnsi="Calibri" w:cs="Calibri"/>
                <w:b/>
                <w:lang w:eastAsia="en-GB"/>
              </w:rPr>
              <w:t>2009-2023</w:t>
            </w:r>
          </w:p>
        </w:tc>
        <w:tc>
          <w:tcPr>
            <w:tcW w:w="1890" w:type="dxa"/>
            <w:tcBorders>
              <w:top w:val="single" w:sz="6" w:space="0" w:color="auto"/>
              <w:left w:val="single" w:sz="6" w:space="0" w:color="auto"/>
              <w:bottom w:val="single" w:sz="6" w:space="0" w:color="auto"/>
              <w:right w:val="single" w:sz="6" w:space="0" w:color="auto"/>
            </w:tcBorders>
            <w:hideMark/>
          </w:tcPr>
          <w:p w14:paraId="1AFA30E0" w14:textId="78C62AEC" w:rsidR="00392FDA" w:rsidRPr="000568AF" w:rsidRDefault="00392FDA" w:rsidP="00BA7936">
            <w:pPr>
              <w:pStyle w:val="Table"/>
              <w:jc w:val="center"/>
              <w:rPr>
                <w:rFonts w:ascii="Times New Roman" w:eastAsia="Times New Roman" w:hAnsi="Times New Roman" w:cs="Times New Roman"/>
                <w:b/>
                <w:sz w:val="24"/>
                <w:lang w:eastAsia="en-GB"/>
              </w:rPr>
            </w:pPr>
            <w:r w:rsidRPr="000568AF">
              <w:rPr>
                <w:rFonts w:ascii="Calibri" w:eastAsia="Times New Roman" w:hAnsi="Calibri" w:cs="Calibri"/>
                <w:b/>
                <w:lang w:eastAsia="en-GB"/>
              </w:rPr>
              <w:t>Average annual revenue (€ million)</w:t>
            </w:r>
          </w:p>
        </w:tc>
        <w:tc>
          <w:tcPr>
            <w:tcW w:w="1905" w:type="dxa"/>
            <w:tcBorders>
              <w:top w:val="single" w:sz="6" w:space="0" w:color="auto"/>
              <w:left w:val="single" w:sz="6" w:space="0" w:color="auto"/>
              <w:bottom w:val="single" w:sz="6" w:space="0" w:color="auto"/>
              <w:right w:val="single" w:sz="6" w:space="0" w:color="auto"/>
            </w:tcBorders>
            <w:hideMark/>
          </w:tcPr>
          <w:p w14:paraId="0B31CDE1" w14:textId="65698F9A" w:rsidR="00392FDA" w:rsidRPr="000568AF" w:rsidRDefault="00392FDA" w:rsidP="00BA7936">
            <w:pPr>
              <w:pStyle w:val="Table"/>
              <w:jc w:val="center"/>
              <w:rPr>
                <w:rFonts w:ascii="Times New Roman" w:eastAsia="Times New Roman" w:hAnsi="Times New Roman" w:cs="Times New Roman"/>
                <w:b/>
                <w:sz w:val="24"/>
                <w:lang w:eastAsia="en-GB"/>
              </w:rPr>
            </w:pPr>
            <w:r w:rsidRPr="000568AF">
              <w:rPr>
                <w:rFonts w:ascii="Calibri" w:eastAsia="Times New Roman" w:hAnsi="Calibri" w:cs="Calibri"/>
                <w:b/>
                <w:lang w:eastAsia="en-GB"/>
              </w:rPr>
              <w:t>As share of all resource tax revenues</w:t>
            </w:r>
          </w:p>
        </w:tc>
      </w:tr>
      <w:tr w:rsidR="00392FDA" w:rsidRPr="00EA4C9B" w14:paraId="68F664FE"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62E4A584" w14:textId="77777777" w:rsidR="00392FDA" w:rsidRPr="00EA4C9B" w:rsidRDefault="00392FDA" w:rsidP="00E50374">
            <w:pPr>
              <w:pStyle w:val="Table"/>
              <w:rPr>
                <w:rFonts w:ascii="Times New Roman" w:eastAsia="Times New Roman" w:hAnsi="Times New Roman" w:cs="Times New Roman"/>
                <w:lang w:eastAsia="en-GB"/>
              </w:rPr>
            </w:pPr>
            <w:r w:rsidRPr="00EA4C9B">
              <w:t>Contributions for forest (</w:t>
            </w:r>
            <w:r w:rsidRPr="00EA4C9B">
              <w:rPr>
                <w:i/>
              </w:rPr>
              <w:t>Šumski doprinos)</w:t>
            </w:r>
          </w:p>
        </w:tc>
        <w:tc>
          <w:tcPr>
            <w:tcW w:w="1710" w:type="dxa"/>
            <w:tcBorders>
              <w:top w:val="single" w:sz="6" w:space="0" w:color="auto"/>
              <w:left w:val="single" w:sz="6" w:space="0" w:color="auto"/>
              <w:bottom w:val="single" w:sz="6" w:space="0" w:color="auto"/>
              <w:right w:val="single" w:sz="6" w:space="0" w:color="auto"/>
            </w:tcBorders>
            <w:hideMark/>
          </w:tcPr>
          <w:p w14:paraId="78AEB794" w14:textId="77777777" w:rsidR="00392FDA" w:rsidRPr="00EA4C9B" w:rsidRDefault="00392FDA" w:rsidP="00BA7936">
            <w:pPr>
              <w:pStyle w:val="Table"/>
              <w:jc w:val="center"/>
              <w:rPr>
                <w:rFonts w:ascii="Times New Roman" w:eastAsia="Times New Roman" w:hAnsi="Times New Roman" w:cs="Times New Roman"/>
                <w:lang w:eastAsia="en-GB"/>
              </w:rPr>
            </w:pPr>
            <w:r w:rsidRPr="00EA4C9B">
              <w:rPr>
                <w:rFonts w:ascii="Calibri" w:eastAsia="Times New Roman" w:hAnsi="Calibri" w:cs="Calibri"/>
                <w:lang w:eastAsia="en-GB"/>
              </w:rPr>
              <w:t>€</w:t>
            </w:r>
            <w:r w:rsidRPr="00EA4C9B">
              <w:t xml:space="preserve">164.7 </w:t>
            </w:r>
            <w:r w:rsidRPr="00EA4C9B">
              <w:rPr>
                <w:rFonts w:ascii="Calibri" w:eastAsia="Times New Roman" w:hAnsi="Calibri" w:cs="Calibri"/>
                <w:lang w:eastAsia="en-GB"/>
              </w:rPr>
              <w:t>million</w:t>
            </w:r>
          </w:p>
        </w:tc>
        <w:tc>
          <w:tcPr>
            <w:tcW w:w="1890" w:type="dxa"/>
            <w:tcBorders>
              <w:top w:val="single" w:sz="6" w:space="0" w:color="auto"/>
              <w:left w:val="single" w:sz="6" w:space="0" w:color="auto"/>
              <w:bottom w:val="single" w:sz="6" w:space="0" w:color="auto"/>
              <w:right w:val="single" w:sz="6" w:space="0" w:color="auto"/>
            </w:tcBorders>
            <w:hideMark/>
          </w:tcPr>
          <w:p w14:paraId="61C5A7EB" w14:textId="77777777" w:rsidR="00392FDA" w:rsidRPr="00EA4C9B" w:rsidRDefault="00392FDA" w:rsidP="00BA7936">
            <w:pPr>
              <w:pStyle w:val="Table"/>
              <w:jc w:val="center"/>
              <w:rPr>
                <w:rFonts w:ascii="Times New Roman" w:eastAsia="Times New Roman" w:hAnsi="Times New Roman" w:cs="Times New Roman"/>
                <w:lang w:eastAsia="en-GB"/>
              </w:rPr>
            </w:pPr>
            <w:r w:rsidRPr="00EA4C9B">
              <w:rPr>
                <w:rFonts w:ascii="Calibri" w:eastAsia="Times New Roman" w:hAnsi="Calibri" w:cs="Calibri"/>
                <w:lang w:eastAsia="en-GB"/>
              </w:rPr>
              <w:t>€</w:t>
            </w:r>
            <w:r w:rsidRPr="00EA4C9B">
              <w:t>11.0</w:t>
            </w:r>
            <w:r w:rsidRPr="00EA4C9B">
              <w:rPr>
                <w:rFonts w:ascii="Calibri" w:eastAsia="Times New Roman" w:hAnsi="Calibri" w:cs="Calibri"/>
                <w:lang w:eastAsia="en-GB"/>
              </w:rPr>
              <w:t xml:space="preserve"> million</w:t>
            </w:r>
          </w:p>
        </w:tc>
        <w:tc>
          <w:tcPr>
            <w:tcW w:w="1905" w:type="dxa"/>
            <w:tcBorders>
              <w:top w:val="single" w:sz="6" w:space="0" w:color="auto"/>
              <w:left w:val="single" w:sz="6" w:space="0" w:color="auto"/>
              <w:bottom w:val="single" w:sz="6" w:space="0" w:color="auto"/>
              <w:right w:val="single" w:sz="6" w:space="0" w:color="auto"/>
            </w:tcBorders>
            <w:hideMark/>
          </w:tcPr>
          <w:p w14:paraId="76C7C5A6" w14:textId="1E10449D" w:rsidR="00392FDA" w:rsidRPr="00EA4C9B" w:rsidRDefault="0021795E" w:rsidP="00BA7936">
            <w:pPr>
              <w:pStyle w:val="Table"/>
              <w:jc w:val="center"/>
              <w:rPr>
                <w:rFonts w:ascii="Times New Roman" w:eastAsia="Times New Roman" w:hAnsi="Times New Roman" w:cs="Times New Roman"/>
                <w:lang w:eastAsia="en-GB"/>
              </w:rPr>
            </w:pPr>
            <w:r>
              <w:t>7</w:t>
            </w:r>
            <w:r w:rsidR="00745585">
              <w:t>.0</w:t>
            </w:r>
            <w:r w:rsidR="00392FDA" w:rsidRPr="00EA4C9B">
              <w:t>%</w:t>
            </w:r>
          </w:p>
        </w:tc>
      </w:tr>
      <w:tr w:rsidR="00392FDA" w:rsidRPr="00EA4C9B" w14:paraId="7287BCEC"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4F8D4F7F" w14:textId="77777777" w:rsidR="00392FDA" w:rsidRPr="004F0767" w:rsidRDefault="00392FDA" w:rsidP="00E50374">
            <w:pPr>
              <w:pStyle w:val="Table"/>
              <w:rPr>
                <w:rFonts w:ascii="Calibri" w:eastAsia="Times New Roman" w:hAnsi="Calibri" w:cs="Calibri"/>
                <w:lang w:val="fr-FR" w:eastAsia="en-GB"/>
              </w:rPr>
            </w:pPr>
            <w:r w:rsidRPr="004F0767">
              <w:rPr>
                <w:lang w:val="fr-FR"/>
              </w:rPr>
              <w:t xml:space="preserve">Water contribution (natural persons) </w:t>
            </w:r>
            <w:r w:rsidRPr="004F0767">
              <w:rPr>
                <w:i/>
                <w:lang w:val="fr-FR"/>
              </w:rPr>
              <w:t>(Vodni doprinos)</w:t>
            </w:r>
          </w:p>
        </w:tc>
        <w:tc>
          <w:tcPr>
            <w:tcW w:w="1710" w:type="dxa"/>
            <w:tcBorders>
              <w:top w:val="single" w:sz="6" w:space="0" w:color="auto"/>
              <w:left w:val="single" w:sz="6" w:space="0" w:color="auto"/>
              <w:bottom w:val="single" w:sz="6" w:space="0" w:color="auto"/>
              <w:right w:val="single" w:sz="6" w:space="0" w:color="auto"/>
            </w:tcBorders>
          </w:tcPr>
          <w:p w14:paraId="7B2F9233" w14:textId="77777777" w:rsidR="00392FDA" w:rsidRPr="00EA4C9B" w:rsidRDefault="00392FDA" w:rsidP="00BA7936">
            <w:pPr>
              <w:pStyle w:val="Table"/>
              <w:jc w:val="center"/>
              <w:rPr>
                <w:rFonts w:ascii="Calibri" w:eastAsia="Times New Roman" w:hAnsi="Calibri" w:cs="Calibri"/>
                <w:lang w:eastAsia="en-GB"/>
              </w:rPr>
            </w:pPr>
            <w:r w:rsidRPr="00EA4C9B">
              <w:rPr>
                <w:rFonts w:ascii="Calibri" w:eastAsia="Times New Roman" w:hAnsi="Calibri" w:cs="Calibri"/>
                <w:lang w:eastAsia="en-GB"/>
              </w:rPr>
              <w:t>€</w:t>
            </w:r>
            <w:r w:rsidRPr="00EA4C9B">
              <w:t>122.7</w:t>
            </w:r>
            <w:r w:rsidRPr="00EA4C9B">
              <w:rPr>
                <w:rFonts w:ascii="Calibri" w:eastAsia="Times New Roman" w:hAnsi="Calibri" w:cs="Calibri"/>
                <w:lang w:eastAsia="en-GB"/>
              </w:rPr>
              <w:t xml:space="preserve"> million</w:t>
            </w:r>
          </w:p>
        </w:tc>
        <w:tc>
          <w:tcPr>
            <w:tcW w:w="1890" w:type="dxa"/>
            <w:tcBorders>
              <w:top w:val="single" w:sz="6" w:space="0" w:color="auto"/>
              <w:left w:val="single" w:sz="6" w:space="0" w:color="auto"/>
              <w:bottom w:val="single" w:sz="6" w:space="0" w:color="auto"/>
              <w:right w:val="single" w:sz="6" w:space="0" w:color="auto"/>
            </w:tcBorders>
          </w:tcPr>
          <w:p w14:paraId="6B08B146" w14:textId="77777777" w:rsidR="00392FDA" w:rsidRPr="00EA4C9B" w:rsidRDefault="00392FDA" w:rsidP="00BA7936">
            <w:pPr>
              <w:pStyle w:val="Table"/>
              <w:jc w:val="center"/>
              <w:rPr>
                <w:rFonts w:ascii="Calibri" w:eastAsia="Times New Roman" w:hAnsi="Calibri" w:cs="Calibri"/>
                <w:lang w:eastAsia="en-GB"/>
              </w:rPr>
            </w:pPr>
            <w:r w:rsidRPr="00EA4C9B">
              <w:rPr>
                <w:rFonts w:ascii="Calibri" w:eastAsia="Times New Roman" w:hAnsi="Calibri" w:cs="Calibri"/>
                <w:lang w:eastAsia="en-GB"/>
              </w:rPr>
              <w:t>€</w:t>
            </w:r>
            <w:r w:rsidRPr="00EA4C9B">
              <w:t>8.2</w:t>
            </w:r>
            <w:r w:rsidRPr="00EA4C9B">
              <w:rPr>
                <w:rFonts w:ascii="Calibri" w:eastAsia="Times New Roman" w:hAnsi="Calibri" w:cs="Calibri"/>
                <w:lang w:eastAsia="en-GB"/>
              </w:rPr>
              <w:t xml:space="preserve"> million</w:t>
            </w:r>
          </w:p>
        </w:tc>
        <w:tc>
          <w:tcPr>
            <w:tcW w:w="1905" w:type="dxa"/>
            <w:tcBorders>
              <w:top w:val="single" w:sz="6" w:space="0" w:color="auto"/>
              <w:left w:val="single" w:sz="6" w:space="0" w:color="auto"/>
              <w:bottom w:val="single" w:sz="6" w:space="0" w:color="auto"/>
              <w:right w:val="single" w:sz="6" w:space="0" w:color="auto"/>
            </w:tcBorders>
          </w:tcPr>
          <w:p w14:paraId="4785C948" w14:textId="7124EF68" w:rsidR="00392FDA" w:rsidRPr="00EA4C9B" w:rsidRDefault="0021795E" w:rsidP="00BA7936">
            <w:pPr>
              <w:pStyle w:val="Table"/>
              <w:jc w:val="center"/>
              <w:rPr>
                <w:rFonts w:ascii="Calibri" w:eastAsia="Times New Roman" w:hAnsi="Calibri" w:cs="Calibri"/>
                <w:lang w:eastAsia="en-GB"/>
              </w:rPr>
            </w:pPr>
            <w:r>
              <w:t>5.2</w:t>
            </w:r>
            <w:r w:rsidR="00392FDA" w:rsidRPr="00EA4C9B">
              <w:t>%</w:t>
            </w:r>
          </w:p>
        </w:tc>
      </w:tr>
      <w:tr w:rsidR="00392FDA" w:rsidRPr="00EA4C9B" w14:paraId="5BA23231"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5C67ADE8" w14:textId="77777777" w:rsidR="00392FDA" w:rsidRPr="00EA4C9B" w:rsidRDefault="00392FDA" w:rsidP="00E50374">
            <w:pPr>
              <w:pStyle w:val="Table"/>
              <w:rPr>
                <w:rFonts w:ascii="Calibri" w:eastAsia="Times New Roman" w:hAnsi="Calibri" w:cs="Calibri"/>
                <w:lang w:eastAsia="en-GB"/>
              </w:rPr>
            </w:pPr>
            <w:r w:rsidRPr="00EA4C9B">
              <w:t xml:space="preserve">Compensation for the use of the public-use functions of forests </w:t>
            </w:r>
            <w:r w:rsidRPr="00EA4C9B">
              <w:rPr>
                <w:i/>
              </w:rPr>
              <w:t>(Naknada za korištenje općekorisnih funkcija šuma)</w:t>
            </w:r>
          </w:p>
        </w:tc>
        <w:tc>
          <w:tcPr>
            <w:tcW w:w="1710" w:type="dxa"/>
            <w:tcBorders>
              <w:top w:val="single" w:sz="6" w:space="0" w:color="auto"/>
              <w:left w:val="single" w:sz="6" w:space="0" w:color="auto"/>
              <w:bottom w:val="single" w:sz="6" w:space="0" w:color="auto"/>
              <w:right w:val="single" w:sz="6" w:space="0" w:color="auto"/>
            </w:tcBorders>
          </w:tcPr>
          <w:p w14:paraId="10878702" w14:textId="77777777" w:rsidR="00392FDA" w:rsidRPr="00EA4C9B" w:rsidRDefault="00392FDA" w:rsidP="00BA7936">
            <w:pPr>
              <w:pStyle w:val="Table"/>
              <w:jc w:val="center"/>
              <w:rPr>
                <w:rFonts w:ascii="Calibri" w:eastAsia="Times New Roman" w:hAnsi="Calibri" w:cs="Calibri"/>
                <w:lang w:eastAsia="en-GB"/>
              </w:rPr>
            </w:pPr>
            <w:r w:rsidRPr="00EA4C9B">
              <w:rPr>
                <w:rFonts w:ascii="Calibri" w:eastAsia="Times New Roman" w:hAnsi="Calibri" w:cs="Calibri"/>
                <w:lang w:eastAsia="en-GB"/>
              </w:rPr>
              <w:t>€</w:t>
            </w:r>
            <w:r w:rsidRPr="00EA4C9B">
              <w:t>478.1</w:t>
            </w:r>
            <w:r w:rsidRPr="00EA4C9B">
              <w:rPr>
                <w:rFonts w:ascii="Calibri" w:eastAsia="Times New Roman" w:hAnsi="Calibri" w:cs="Calibri"/>
                <w:lang w:eastAsia="en-GB"/>
              </w:rPr>
              <w:t xml:space="preserve"> million</w:t>
            </w:r>
          </w:p>
        </w:tc>
        <w:tc>
          <w:tcPr>
            <w:tcW w:w="1890" w:type="dxa"/>
            <w:tcBorders>
              <w:top w:val="single" w:sz="6" w:space="0" w:color="auto"/>
              <w:left w:val="single" w:sz="6" w:space="0" w:color="auto"/>
              <w:bottom w:val="single" w:sz="6" w:space="0" w:color="auto"/>
              <w:right w:val="single" w:sz="6" w:space="0" w:color="auto"/>
            </w:tcBorders>
          </w:tcPr>
          <w:p w14:paraId="3A531684" w14:textId="77777777" w:rsidR="00392FDA" w:rsidRPr="00EA4C9B" w:rsidRDefault="00392FDA" w:rsidP="00BA7936">
            <w:pPr>
              <w:pStyle w:val="Table"/>
              <w:jc w:val="center"/>
              <w:rPr>
                <w:rFonts w:ascii="Calibri" w:eastAsia="Times New Roman" w:hAnsi="Calibri" w:cs="Calibri"/>
                <w:lang w:eastAsia="en-GB"/>
              </w:rPr>
            </w:pPr>
            <w:r w:rsidRPr="00EA4C9B">
              <w:rPr>
                <w:rFonts w:ascii="Calibri" w:eastAsia="Times New Roman" w:hAnsi="Calibri" w:cs="Calibri"/>
                <w:lang w:eastAsia="en-GB"/>
              </w:rPr>
              <w:t>€</w:t>
            </w:r>
            <w:r w:rsidRPr="00EA4C9B">
              <w:t>31.9</w:t>
            </w:r>
            <w:r w:rsidRPr="00EA4C9B">
              <w:rPr>
                <w:rFonts w:ascii="Calibri" w:eastAsia="Times New Roman" w:hAnsi="Calibri" w:cs="Calibri"/>
                <w:lang w:eastAsia="en-GB"/>
              </w:rPr>
              <w:t xml:space="preserve"> million</w:t>
            </w:r>
          </w:p>
        </w:tc>
        <w:tc>
          <w:tcPr>
            <w:tcW w:w="1905" w:type="dxa"/>
            <w:tcBorders>
              <w:top w:val="single" w:sz="6" w:space="0" w:color="auto"/>
              <w:left w:val="single" w:sz="6" w:space="0" w:color="auto"/>
              <w:bottom w:val="single" w:sz="6" w:space="0" w:color="auto"/>
              <w:right w:val="single" w:sz="6" w:space="0" w:color="auto"/>
            </w:tcBorders>
          </w:tcPr>
          <w:p w14:paraId="2093A809" w14:textId="310167B6" w:rsidR="00392FDA" w:rsidRPr="00EA4C9B" w:rsidRDefault="0021795E" w:rsidP="00BA7936">
            <w:pPr>
              <w:pStyle w:val="Table"/>
              <w:jc w:val="center"/>
              <w:rPr>
                <w:rFonts w:ascii="Calibri" w:eastAsia="Times New Roman" w:hAnsi="Calibri" w:cs="Calibri"/>
                <w:lang w:eastAsia="en-GB"/>
              </w:rPr>
            </w:pPr>
            <w:r>
              <w:t>20.2</w:t>
            </w:r>
            <w:r w:rsidR="00392FDA" w:rsidRPr="00EA4C9B">
              <w:t>%</w:t>
            </w:r>
          </w:p>
        </w:tc>
      </w:tr>
      <w:tr w:rsidR="00392FDA" w:rsidRPr="00EA4C9B" w14:paraId="777703ED"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786C623B" w14:textId="77777777" w:rsidR="00392FDA" w:rsidRPr="00EA4C9B" w:rsidRDefault="00392FDA" w:rsidP="00E50374">
            <w:pPr>
              <w:pStyle w:val="Table"/>
              <w:rPr>
                <w:rFonts w:ascii="Calibri" w:eastAsia="Times New Roman" w:hAnsi="Calibri" w:cs="Calibri"/>
                <w:lang w:eastAsia="en-GB"/>
              </w:rPr>
            </w:pPr>
            <w:r w:rsidRPr="00EA4C9B">
              <w:t xml:space="preserve">Levy on the environmental user </w:t>
            </w:r>
            <w:r w:rsidRPr="00EA4C9B">
              <w:rPr>
                <w:i/>
              </w:rPr>
              <w:t>(Naknada korisnika okoliša)</w:t>
            </w:r>
          </w:p>
        </w:tc>
        <w:tc>
          <w:tcPr>
            <w:tcW w:w="1710" w:type="dxa"/>
            <w:tcBorders>
              <w:top w:val="single" w:sz="6" w:space="0" w:color="auto"/>
              <w:left w:val="single" w:sz="6" w:space="0" w:color="auto"/>
              <w:bottom w:val="single" w:sz="6" w:space="0" w:color="auto"/>
              <w:right w:val="single" w:sz="6" w:space="0" w:color="auto"/>
            </w:tcBorders>
          </w:tcPr>
          <w:p w14:paraId="710168DE" w14:textId="77777777" w:rsidR="00392FDA" w:rsidRPr="00EA4C9B" w:rsidRDefault="00392FDA" w:rsidP="00BA7936">
            <w:pPr>
              <w:pStyle w:val="Table"/>
              <w:jc w:val="center"/>
              <w:rPr>
                <w:rFonts w:ascii="Calibri" w:eastAsia="Times New Roman" w:hAnsi="Calibri" w:cs="Calibri"/>
                <w:lang w:eastAsia="en-GB"/>
              </w:rPr>
            </w:pPr>
            <w:r w:rsidRPr="00EA4C9B">
              <w:rPr>
                <w:rFonts w:ascii="Calibri" w:eastAsia="Times New Roman" w:hAnsi="Calibri" w:cs="Calibri"/>
                <w:lang w:eastAsia="en-GB"/>
              </w:rPr>
              <w:t>€</w:t>
            </w:r>
            <w:r w:rsidRPr="00EA4C9B">
              <w:t>0.0</w:t>
            </w:r>
            <w:r w:rsidRPr="00EA4C9B">
              <w:rPr>
                <w:rFonts w:ascii="Calibri" w:eastAsia="Times New Roman" w:hAnsi="Calibri" w:cs="Calibri"/>
                <w:lang w:eastAsia="en-GB"/>
              </w:rPr>
              <w:t xml:space="preserve"> million</w:t>
            </w:r>
          </w:p>
        </w:tc>
        <w:tc>
          <w:tcPr>
            <w:tcW w:w="1890" w:type="dxa"/>
            <w:tcBorders>
              <w:top w:val="single" w:sz="6" w:space="0" w:color="auto"/>
              <w:left w:val="single" w:sz="6" w:space="0" w:color="auto"/>
              <w:bottom w:val="single" w:sz="6" w:space="0" w:color="auto"/>
              <w:right w:val="single" w:sz="6" w:space="0" w:color="auto"/>
            </w:tcBorders>
          </w:tcPr>
          <w:p w14:paraId="5E20FB04" w14:textId="77777777" w:rsidR="00392FDA" w:rsidRPr="00EA4C9B" w:rsidRDefault="00392FDA" w:rsidP="00BA7936">
            <w:pPr>
              <w:pStyle w:val="Table"/>
              <w:jc w:val="center"/>
              <w:rPr>
                <w:rFonts w:ascii="Calibri" w:eastAsia="Times New Roman" w:hAnsi="Calibri" w:cs="Calibri"/>
                <w:lang w:eastAsia="en-GB"/>
              </w:rPr>
            </w:pPr>
            <w:r w:rsidRPr="00EA4C9B">
              <w:rPr>
                <w:rFonts w:ascii="Calibri" w:eastAsia="Times New Roman" w:hAnsi="Calibri" w:cs="Calibri"/>
                <w:lang w:eastAsia="en-GB"/>
              </w:rPr>
              <w:t>€</w:t>
            </w:r>
            <w:r w:rsidRPr="00EA4C9B">
              <w:t>0.0</w:t>
            </w:r>
            <w:r w:rsidRPr="00EA4C9B">
              <w:rPr>
                <w:rFonts w:ascii="Calibri" w:eastAsia="Times New Roman" w:hAnsi="Calibri" w:cs="Calibri"/>
                <w:lang w:eastAsia="en-GB"/>
              </w:rPr>
              <w:t xml:space="preserve"> million</w:t>
            </w:r>
          </w:p>
        </w:tc>
        <w:tc>
          <w:tcPr>
            <w:tcW w:w="1905" w:type="dxa"/>
            <w:tcBorders>
              <w:top w:val="single" w:sz="6" w:space="0" w:color="auto"/>
              <w:left w:val="single" w:sz="6" w:space="0" w:color="auto"/>
              <w:bottom w:val="single" w:sz="6" w:space="0" w:color="auto"/>
              <w:right w:val="single" w:sz="6" w:space="0" w:color="auto"/>
            </w:tcBorders>
          </w:tcPr>
          <w:p w14:paraId="324AB7B9" w14:textId="77777777" w:rsidR="00392FDA" w:rsidRPr="00EA4C9B" w:rsidRDefault="00392FDA" w:rsidP="00BA7936">
            <w:pPr>
              <w:pStyle w:val="Table"/>
              <w:jc w:val="center"/>
              <w:rPr>
                <w:rFonts w:ascii="Calibri" w:eastAsia="Times New Roman" w:hAnsi="Calibri" w:cs="Calibri"/>
                <w:lang w:eastAsia="en-GB"/>
              </w:rPr>
            </w:pPr>
            <w:r w:rsidRPr="00EA4C9B">
              <w:t>0.0%</w:t>
            </w:r>
          </w:p>
        </w:tc>
      </w:tr>
      <w:tr w:rsidR="00392FDA" w:rsidRPr="00EA4C9B" w14:paraId="526BCDF2"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2BDEA57E" w14:textId="77777777" w:rsidR="00392FDA" w:rsidRPr="00EA4C9B" w:rsidRDefault="00392FDA" w:rsidP="00E50374">
            <w:pPr>
              <w:pStyle w:val="Table"/>
              <w:rPr>
                <w:rFonts w:ascii="Calibri" w:eastAsia="Times New Roman" w:hAnsi="Calibri" w:cs="Calibri"/>
                <w:lang w:eastAsia="en-GB"/>
              </w:rPr>
            </w:pPr>
            <w:r w:rsidRPr="00EA4C9B">
              <w:t xml:space="preserve">Water protection fee (natural persons) </w:t>
            </w:r>
            <w:r w:rsidRPr="00EA4C9B">
              <w:rPr>
                <w:i/>
              </w:rPr>
              <w:t>(Naknada za zaštitu voda)*</w:t>
            </w:r>
          </w:p>
        </w:tc>
        <w:tc>
          <w:tcPr>
            <w:tcW w:w="1710" w:type="dxa"/>
            <w:tcBorders>
              <w:top w:val="single" w:sz="6" w:space="0" w:color="auto"/>
              <w:left w:val="single" w:sz="6" w:space="0" w:color="auto"/>
              <w:bottom w:val="single" w:sz="6" w:space="0" w:color="auto"/>
              <w:right w:val="single" w:sz="6" w:space="0" w:color="auto"/>
            </w:tcBorders>
          </w:tcPr>
          <w:p w14:paraId="177F9922" w14:textId="77777777" w:rsidR="00392FDA" w:rsidRPr="00EA4C9B" w:rsidRDefault="00392FDA" w:rsidP="00BA7936">
            <w:pPr>
              <w:pStyle w:val="Table"/>
              <w:jc w:val="center"/>
              <w:rPr>
                <w:rFonts w:ascii="Calibri" w:eastAsia="Times New Roman" w:hAnsi="Calibri" w:cs="Calibri"/>
                <w:lang w:eastAsia="en-GB"/>
              </w:rPr>
            </w:pPr>
            <w:r w:rsidRPr="00EA4C9B">
              <w:rPr>
                <w:rFonts w:ascii="Calibri" w:eastAsia="Times New Roman" w:hAnsi="Calibri" w:cs="Calibri"/>
                <w:lang w:eastAsia="en-GB"/>
              </w:rPr>
              <w:t>€</w:t>
            </w:r>
            <w:r w:rsidRPr="00EA4C9B">
              <w:t>196.7</w:t>
            </w:r>
            <w:r w:rsidRPr="00EA4C9B">
              <w:rPr>
                <w:rFonts w:ascii="Calibri" w:eastAsia="Times New Roman" w:hAnsi="Calibri" w:cs="Calibri"/>
                <w:lang w:eastAsia="en-GB"/>
              </w:rPr>
              <w:t xml:space="preserve"> million</w:t>
            </w:r>
          </w:p>
        </w:tc>
        <w:tc>
          <w:tcPr>
            <w:tcW w:w="1890" w:type="dxa"/>
            <w:tcBorders>
              <w:top w:val="single" w:sz="6" w:space="0" w:color="auto"/>
              <w:left w:val="single" w:sz="6" w:space="0" w:color="auto"/>
              <w:bottom w:val="single" w:sz="6" w:space="0" w:color="auto"/>
              <w:right w:val="single" w:sz="6" w:space="0" w:color="auto"/>
            </w:tcBorders>
          </w:tcPr>
          <w:p w14:paraId="15227656" w14:textId="77777777" w:rsidR="00392FDA" w:rsidRPr="00EA4C9B" w:rsidRDefault="00392FDA" w:rsidP="00BA7936">
            <w:pPr>
              <w:pStyle w:val="Table"/>
              <w:jc w:val="center"/>
              <w:rPr>
                <w:rFonts w:ascii="Calibri" w:eastAsia="Times New Roman" w:hAnsi="Calibri" w:cs="Calibri"/>
                <w:lang w:eastAsia="en-GB"/>
              </w:rPr>
            </w:pPr>
            <w:r w:rsidRPr="00EA4C9B">
              <w:rPr>
                <w:rFonts w:ascii="Calibri" w:eastAsia="Times New Roman" w:hAnsi="Calibri" w:cs="Calibri"/>
                <w:lang w:eastAsia="en-GB"/>
              </w:rPr>
              <w:t>€</w:t>
            </w:r>
            <w:r w:rsidRPr="00EA4C9B">
              <w:t>13.1</w:t>
            </w:r>
            <w:r w:rsidRPr="00EA4C9B">
              <w:rPr>
                <w:rFonts w:ascii="Calibri" w:eastAsia="Times New Roman" w:hAnsi="Calibri" w:cs="Calibri"/>
                <w:lang w:eastAsia="en-GB"/>
              </w:rPr>
              <w:t xml:space="preserve"> million</w:t>
            </w:r>
          </w:p>
        </w:tc>
        <w:tc>
          <w:tcPr>
            <w:tcW w:w="1905" w:type="dxa"/>
            <w:tcBorders>
              <w:top w:val="single" w:sz="6" w:space="0" w:color="auto"/>
              <w:left w:val="single" w:sz="6" w:space="0" w:color="auto"/>
              <w:bottom w:val="single" w:sz="6" w:space="0" w:color="auto"/>
              <w:right w:val="single" w:sz="6" w:space="0" w:color="auto"/>
            </w:tcBorders>
          </w:tcPr>
          <w:p w14:paraId="66227192" w14:textId="1DF47F6B" w:rsidR="00392FDA" w:rsidRPr="00EA4C9B" w:rsidRDefault="0021795E" w:rsidP="00BA7936">
            <w:pPr>
              <w:pStyle w:val="Table"/>
              <w:jc w:val="center"/>
              <w:rPr>
                <w:rFonts w:ascii="Calibri" w:eastAsia="Times New Roman" w:hAnsi="Calibri" w:cs="Calibri"/>
                <w:lang w:eastAsia="en-GB"/>
              </w:rPr>
            </w:pPr>
            <w:r>
              <w:t>8.3</w:t>
            </w:r>
            <w:r w:rsidR="00392FDA" w:rsidRPr="00EA4C9B">
              <w:t>%</w:t>
            </w:r>
          </w:p>
        </w:tc>
      </w:tr>
      <w:tr w:rsidR="00392FDA" w:rsidRPr="00EA4C9B" w14:paraId="363667BA"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0CC8A9F0" w14:textId="77777777" w:rsidR="00392FDA" w:rsidRPr="00EA4C9B" w:rsidRDefault="00392FDA" w:rsidP="00E50374">
            <w:pPr>
              <w:pStyle w:val="Table"/>
              <w:rPr>
                <w:rFonts w:ascii="Calibri" w:eastAsia="Times New Roman" w:hAnsi="Calibri" w:cs="Calibri"/>
                <w:lang w:eastAsia="en-GB"/>
              </w:rPr>
            </w:pPr>
            <w:r w:rsidRPr="00EA4C9B">
              <w:t xml:space="preserve">Water management fee (water regulation fee) (natural persons) </w:t>
            </w:r>
            <w:r w:rsidRPr="00EA4C9B">
              <w:rPr>
                <w:i/>
              </w:rPr>
              <w:t>(Naknada za uređenje voda)</w:t>
            </w:r>
          </w:p>
        </w:tc>
        <w:tc>
          <w:tcPr>
            <w:tcW w:w="1710" w:type="dxa"/>
            <w:tcBorders>
              <w:top w:val="single" w:sz="6" w:space="0" w:color="auto"/>
              <w:left w:val="single" w:sz="6" w:space="0" w:color="auto"/>
              <w:bottom w:val="single" w:sz="6" w:space="0" w:color="auto"/>
              <w:right w:val="single" w:sz="6" w:space="0" w:color="auto"/>
            </w:tcBorders>
          </w:tcPr>
          <w:p w14:paraId="092C1AAE" w14:textId="77777777" w:rsidR="00392FDA" w:rsidRPr="00EA4C9B" w:rsidRDefault="00392FDA" w:rsidP="00BA7936">
            <w:pPr>
              <w:pStyle w:val="Table"/>
              <w:jc w:val="center"/>
              <w:rPr>
                <w:rFonts w:ascii="Calibri" w:eastAsia="Times New Roman" w:hAnsi="Calibri" w:cs="Calibri"/>
                <w:lang w:eastAsia="en-GB"/>
              </w:rPr>
            </w:pPr>
            <w:r w:rsidRPr="00EA4C9B">
              <w:rPr>
                <w:rFonts w:ascii="Calibri" w:eastAsia="Times New Roman" w:hAnsi="Calibri" w:cs="Calibri"/>
                <w:lang w:eastAsia="en-GB"/>
              </w:rPr>
              <w:t>€</w:t>
            </w:r>
            <w:r w:rsidRPr="00EA4C9B">
              <w:t>1012.9</w:t>
            </w:r>
            <w:r w:rsidRPr="00EA4C9B">
              <w:rPr>
                <w:rFonts w:ascii="Calibri" w:eastAsia="Times New Roman" w:hAnsi="Calibri" w:cs="Calibri"/>
                <w:lang w:eastAsia="en-GB"/>
              </w:rPr>
              <w:t xml:space="preserve"> million</w:t>
            </w:r>
          </w:p>
        </w:tc>
        <w:tc>
          <w:tcPr>
            <w:tcW w:w="1890" w:type="dxa"/>
            <w:tcBorders>
              <w:top w:val="single" w:sz="6" w:space="0" w:color="auto"/>
              <w:left w:val="single" w:sz="6" w:space="0" w:color="auto"/>
              <w:bottom w:val="single" w:sz="6" w:space="0" w:color="auto"/>
              <w:right w:val="single" w:sz="6" w:space="0" w:color="auto"/>
            </w:tcBorders>
          </w:tcPr>
          <w:p w14:paraId="7C084B6A" w14:textId="77777777" w:rsidR="00392FDA" w:rsidRPr="00EA4C9B" w:rsidRDefault="00392FDA" w:rsidP="00BA7936">
            <w:pPr>
              <w:pStyle w:val="Table"/>
              <w:jc w:val="center"/>
              <w:rPr>
                <w:rFonts w:ascii="Calibri" w:eastAsia="Times New Roman" w:hAnsi="Calibri" w:cs="Calibri"/>
                <w:lang w:eastAsia="en-GB"/>
              </w:rPr>
            </w:pPr>
            <w:r w:rsidRPr="00EA4C9B">
              <w:rPr>
                <w:rFonts w:ascii="Calibri" w:eastAsia="Times New Roman" w:hAnsi="Calibri" w:cs="Calibri"/>
                <w:lang w:eastAsia="en-GB"/>
              </w:rPr>
              <w:t>€</w:t>
            </w:r>
            <w:r w:rsidRPr="00EA4C9B">
              <w:t>67.5</w:t>
            </w:r>
            <w:r w:rsidRPr="00EA4C9B">
              <w:rPr>
                <w:rFonts w:ascii="Calibri" w:eastAsia="Times New Roman" w:hAnsi="Calibri" w:cs="Calibri"/>
                <w:lang w:eastAsia="en-GB"/>
              </w:rPr>
              <w:t xml:space="preserve"> million</w:t>
            </w:r>
          </w:p>
        </w:tc>
        <w:tc>
          <w:tcPr>
            <w:tcW w:w="1905" w:type="dxa"/>
            <w:tcBorders>
              <w:top w:val="single" w:sz="6" w:space="0" w:color="auto"/>
              <w:left w:val="single" w:sz="6" w:space="0" w:color="auto"/>
              <w:bottom w:val="single" w:sz="6" w:space="0" w:color="auto"/>
              <w:right w:val="single" w:sz="6" w:space="0" w:color="auto"/>
            </w:tcBorders>
          </w:tcPr>
          <w:p w14:paraId="65422947" w14:textId="47C8FE97" w:rsidR="00392FDA" w:rsidRPr="00EA4C9B" w:rsidRDefault="0021795E" w:rsidP="00BA7936">
            <w:pPr>
              <w:pStyle w:val="Table"/>
              <w:jc w:val="center"/>
              <w:rPr>
                <w:rFonts w:ascii="Calibri" w:eastAsia="Times New Roman" w:hAnsi="Calibri" w:cs="Calibri"/>
                <w:lang w:eastAsia="en-GB"/>
              </w:rPr>
            </w:pPr>
            <w:r>
              <w:t>42.9</w:t>
            </w:r>
            <w:r w:rsidR="00392FDA" w:rsidRPr="00EA4C9B">
              <w:t>%</w:t>
            </w:r>
          </w:p>
        </w:tc>
      </w:tr>
      <w:tr w:rsidR="00392FDA" w:rsidRPr="00EA4C9B" w14:paraId="656A029E"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603629BA" w14:textId="77777777" w:rsidR="00392FDA" w:rsidRPr="00EA4C9B" w:rsidRDefault="00392FDA" w:rsidP="00E50374">
            <w:pPr>
              <w:pStyle w:val="Table"/>
              <w:rPr>
                <w:rFonts w:ascii="Calibri" w:eastAsia="Times New Roman" w:hAnsi="Calibri" w:cs="Calibri"/>
                <w:lang w:eastAsia="en-GB"/>
              </w:rPr>
            </w:pPr>
            <w:r w:rsidRPr="00EA4C9B">
              <w:t xml:space="preserve">Water use charge (water use fee) (natural persons) </w:t>
            </w:r>
            <w:r w:rsidRPr="00EA4C9B">
              <w:rPr>
                <w:i/>
              </w:rPr>
              <w:t>(Naknada za korištenje voda)</w:t>
            </w:r>
          </w:p>
        </w:tc>
        <w:tc>
          <w:tcPr>
            <w:tcW w:w="1710" w:type="dxa"/>
            <w:tcBorders>
              <w:top w:val="single" w:sz="6" w:space="0" w:color="auto"/>
              <w:left w:val="single" w:sz="6" w:space="0" w:color="auto"/>
              <w:bottom w:val="single" w:sz="6" w:space="0" w:color="auto"/>
              <w:right w:val="single" w:sz="6" w:space="0" w:color="auto"/>
            </w:tcBorders>
          </w:tcPr>
          <w:p w14:paraId="18EBB8A3" w14:textId="77777777" w:rsidR="00392FDA" w:rsidRPr="00EA4C9B" w:rsidRDefault="00392FDA" w:rsidP="00BA7936">
            <w:pPr>
              <w:pStyle w:val="Table"/>
              <w:jc w:val="center"/>
              <w:rPr>
                <w:rFonts w:ascii="Calibri" w:eastAsia="Times New Roman" w:hAnsi="Calibri" w:cs="Calibri"/>
                <w:lang w:eastAsia="en-GB"/>
              </w:rPr>
            </w:pPr>
            <w:r w:rsidRPr="00EA4C9B">
              <w:rPr>
                <w:rFonts w:ascii="Calibri" w:eastAsia="Times New Roman" w:hAnsi="Calibri" w:cs="Calibri"/>
                <w:lang w:eastAsia="en-GB"/>
              </w:rPr>
              <w:t>€</w:t>
            </w:r>
            <w:r w:rsidRPr="00EA4C9B">
              <w:t>387.0</w:t>
            </w:r>
            <w:r w:rsidRPr="00EA4C9B">
              <w:rPr>
                <w:rFonts w:ascii="Calibri" w:eastAsia="Times New Roman" w:hAnsi="Calibri" w:cs="Calibri"/>
                <w:lang w:eastAsia="en-GB"/>
              </w:rPr>
              <w:t xml:space="preserve"> million</w:t>
            </w:r>
          </w:p>
        </w:tc>
        <w:tc>
          <w:tcPr>
            <w:tcW w:w="1890" w:type="dxa"/>
            <w:tcBorders>
              <w:top w:val="single" w:sz="6" w:space="0" w:color="auto"/>
              <w:left w:val="single" w:sz="6" w:space="0" w:color="auto"/>
              <w:bottom w:val="single" w:sz="6" w:space="0" w:color="auto"/>
              <w:right w:val="single" w:sz="6" w:space="0" w:color="auto"/>
            </w:tcBorders>
          </w:tcPr>
          <w:p w14:paraId="2617068E" w14:textId="77777777" w:rsidR="00392FDA" w:rsidRPr="00EA4C9B" w:rsidRDefault="00392FDA" w:rsidP="00BA7936">
            <w:pPr>
              <w:pStyle w:val="Table"/>
              <w:jc w:val="center"/>
              <w:rPr>
                <w:rFonts w:ascii="Calibri" w:eastAsia="Times New Roman" w:hAnsi="Calibri" w:cs="Calibri"/>
                <w:lang w:eastAsia="en-GB"/>
              </w:rPr>
            </w:pPr>
            <w:r w:rsidRPr="00EA4C9B">
              <w:rPr>
                <w:rFonts w:ascii="Calibri" w:eastAsia="Times New Roman" w:hAnsi="Calibri" w:cs="Calibri"/>
                <w:lang w:eastAsia="en-GB"/>
              </w:rPr>
              <w:t>€</w:t>
            </w:r>
            <w:r w:rsidRPr="00EA4C9B">
              <w:t>25.8</w:t>
            </w:r>
            <w:r w:rsidRPr="00EA4C9B">
              <w:rPr>
                <w:rFonts w:ascii="Calibri" w:eastAsia="Times New Roman" w:hAnsi="Calibri" w:cs="Calibri"/>
                <w:lang w:eastAsia="en-GB"/>
              </w:rPr>
              <w:t xml:space="preserve"> million</w:t>
            </w:r>
          </w:p>
        </w:tc>
        <w:tc>
          <w:tcPr>
            <w:tcW w:w="1905" w:type="dxa"/>
            <w:tcBorders>
              <w:top w:val="single" w:sz="6" w:space="0" w:color="auto"/>
              <w:left w:val="single" w:sz="6" w:space="0" w:color="auto"/>
              <w:bottom w:val="single" w:sz="6" w:space="0" w:color="auto"/>
              <w:right w:val="single" w:sz="6" w:space="0" w:color="auto"/>
            </w:tcBorders>
          </w:tcPr>
          <w:p w14:paraId="5C63380C" w14:textId="04DBD514" w:rsidR="00392FDA" w:rsidRPr="00EA4C9B" w:rsidRDefault="0021795E" w:rsidP="00BA7936">
            <w:pPr>
              <w:pStyle w:val="Table"/>
              <w:jc w:val="center"/>
              <w:rPr>
                <w:rFonts w:ascii="Calibri" w:eastAsia="Times New Roman" w:hAnsi="Calibri" w:cs="Calibri"/>
                <w:lang w:eastAsia="en-GB"/>
              </w:rPr>
            </w:pPr>
            <w:r>
              <w:t>16.4</w:t>
            </w:r>
            <w:r w:rsidR="00392FDA" w:rsidRPr="00EA4C9B">
              <w:t>%</w:t>
            </w:r>
          </w:p>
        </w:tc>
      </w:tr>
      <w:tr w:rsidR="00392FDA" w:rsidRPr="00EA4C9B" w14:paraId="1F2EE94A" w14:textId="77777777" w:rsidTr="004F0767">
        <w:trPr>
          <w:trHeight w:val="300"/>
        </w:trPr>
        <w:tc>
          <w:tcPr>
            <w:tcW w:w="9000" w:type="dxa"/>
            <w:gridSpan w:val="4"/>
            <w:tcBorders>
              <w:top w:val="single" w:sz="6" w:space="0" w:color="auto"/>
              <w:left w:val="single" w:sz="6" w:space="0" w:color="auto"/>
              <w:bottom w:val="single" w:sz="6" w:space="0" w:color="auto"/>
              <w:right w:val="single" w:sz="6" w:space="0" w:color="auto"/>
            </w:tcBorders>
          </w:tcPr>
          <w:p w14:paraId="78BDA9FB" w14:textId="57AAF48F" w:rsidR="00392FDA" w:rsidRPr="00EA4C9B" w:rsidRDefault="00392FDA" w:rsidP="00E50374">
            <w:pPr>
              <w:pStyle w:val="Table"/>
              <w:rPr>
                <w:i/>
              </w:rPr>
            </w:pPr>
            <w:r w:rsidRPr="00EA4C9B">
              <w:rPr>
                <w:i/>
                <w:iCs/>
                <w:sz w:val="18"/>
                <w:szCs w:val="18"/>
              </w:rPr>
              <w:t>*</w:t>
            </w:r>
            <w:r w:rsidR="00DA6B79" w:rsidRPr="004F0767">
              <w:rPr>
                <w:i/>
              </w:rPr>
              <w:t xml:space="preserve">Several water-related </w:t>
            </w:r>
            <w:r w:rsidR="00212166" w:rsidRPr="004F0767">
              <w:rPr>
                <w:i/>
              </w:rPr>
              <w:t>instruments</w:t>
            </w:r>
            <w:r w:rsidR="00DA6B79" w:rsidRPr="004F0767">
              <w:rPr>
                <w:i/>
              </w:rPr>
              <w:t xml:space="preserve"> appear</w:t>
            </w:r>
            <w:r w:rsidR="00212166" w:rsidRPr="004F0767">
              <w:rPr>
                <w:i/>
              </w:rPr>
              <w:t xml:space="preserve"> </w:t>
            </w:r>
            <w:r w:rsidR="00DA6B79" w:rsidRPr="004F0767">
              <w:rPr>
                <w:i/>
              </w:rPr>
              <w:t xml:space="preserve">twice </w:t>
            </w:r>
            <w:r w:rsidRPr="00EA4C9B">
              <w:rPr>
                <w:i/>
              </w:rPr>
              <w:t>in the National Tax List</w:t>
            </w:r>
            <w:r w:rsidR="00DE31AF">
              <w:rPr>
                <w:i/>
              </w:rPr>
              <w:t xml:space="preserve"> </w:t>
            </w:r>
            <w:r w:rsidR="00842106">
              <w:rPr>
                <w:i/>
              </w:rPr>
              <w:t xml:space="preserve">due to their classification under two different ESA 2010 categories, as a current tax (D29H) and as a capital transfer (D59F). Although both entries refer to the same legal instrument, they represent different economic natures of the revenue. In line with </w:t>
            </w:r>
            <w:r w:rsidR="00755293">
              <w:rPr>
                <w:i/>
              </w:rPr>
              <w:t xml:space="preserve">Eurostat’s </w:t>
            </w:r>
            <w:r w:rsidR="00274675">
              <w:rPr>
                <w:i/>
              </w:rPr>
              <w:t xml:space="preserve">official environmental tax statistics, only D29-coded entries are included in this table. The D59-coded entries are excluded to avoid double counting. </w:t>
            </w:r>
          </w:p>
        </w:tc>
      </w:tr>
    </w:tbl>
    <w:p w14:paraId="65B86CF5" w14:textId="77777777" w:rsidR="00392FDA" w:rsidRPr="00EA4C9B" w:rsidRDefault="00392FDA" w:rsidP="00392FDA">
      <w:pPr>
        <w:spacing w:after="0"/>
        <w:textAlignment w:val="baseline"/>
        <w:rPr>
          <w:rFonts w:ascii="Segoe UI" w:eastAsia="Times New Roman" w:hAnsi="Segoe UI" w:cs="Segoe UI"/>
          <w:sz w:val="18"/>
          <w:szCs w:val="18"/>
          <w:lang w:eastAsia="en-GB"/>
        </w:rPr>
      </w:pPr>
      <w:r w:rsidRPr="00EA4C9B">
        <w:rPr>
          <w:rFonts w:ascii="Calibri" w:eastAsia="Times New Roman" w:hAnsi="Calibri" w:cs="Calibri"/>
          <w:lang w:eastAsia="en-GB"/>
        </w:rPr>
        <w:t>  </w:t>
      </w:r>
    </w:p>
    <w:p w14:paraId="41FF87E2" w14:textId="552A5910" w:rsidR="000568AF" w:rsidRDefault="000568AF" w:rsidP="00BA7936">
      <w:pPr>
        <w:spacing w:after="0"/>
        <w:textAlignment w:val="baseline"/>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76"/>
        <w:gridCol w:w="1934"/>
      </w:tblGrid>
      <w:tr w:rsidR="00392FDA" w:rsidRPr="00EA4C9B" w14:paraId="191141FC" w14:textId="77777777" w:rsidTr="00466EF5">
        <w:trPr>
          <w:trHeight w:val="58"/>
        </w:trPr>
        <w:tc>
          <w:tcPr>
            <w:tcW w:w="9010" w:type="dxa"/>
            <w:gridSpan w:val="2"/>
            <w:tcBorders>
              <w:top w:val="single" w:sz="6" w:space="0" w:color="auto"/>
              <w:left w:val="single" w:sz="6" w:space="0" w:color="auto"/>
              <w:bottom w:val="single" w:sz="6" w:space="0" w:color="auto"/>
              <w:right w:val="single" w:sz="6" w:space="0" w:color="auto"/>
            </w:tcBorders>
            <w:shd w:val="clear" w:color="auto" w:fill="003399"/>
            <w:hideMark/>
          </w:tcPr>
          <w:p w14:paraId="76B1AB9B" w14:textId="22C63D51" w:rsidR="00392FDA" w:rsidRPr="000568AF" w:rsidRDefault="00A672A3" w:rsidP="000568AF">
            <w:pPr>
              <w:pStyle w:val="Table"/>
              <w:rPr>
                <w:rFonts w:ascii="Times New Roman" w:hAnsi="Times New Roman" w:cs="Times New Roman"/>
                <w:b/>
                <w:sz w:val="24"/>
                <w:lang w:eastAsia="en-GB"/>
              </w:rPr>
            </w:pPr>
            <w:r w:rsidRPr="000568AF">
              <w:rPr>
                <w:b/>
                <w:color w:val="FFFFFF" w:themeColor="background1"/>
              </w:rPr>
              <w:t xml:space="preserve">Table </w:t>
            </w:r>
            <w:r w:rsidR="00490085">
              <w:rPr>
                <w:b/>
                <w:color w:val="FFFFFF" w:themeColor="background1"/>
              </w:rPr>
              <w:t>A6</w:t>
            </w:r>
            <w:r w:rsidR="000568AF" w:rsidRPr="000568AF">
              <w:rPr>
                <w:b/>
                <w:bCs/>
                <w:color w:val="FFFFFF" w:themeColor="background1"/>
              </w:rPr>
              <w:t>-</w:t>
            </w:r>
            <w:r w:rsidR="000568AF" w:rsidRPr="000568AF">
              <w:rPr>
                <w:b/>
                <w:bCs/>
                <w:color w:val="FFFFFF" w:themeColor="background1"/>
              </w:rPr>
              <w:fldChar w:fldCharType="begin"/>
            </w:r>
            <w:r w:rsidR="000568AF" w:rsidRPr="000568AF">
              <w:rPr>
                <w:b/>
                <w:bCs/>
                <w:color w:val="FFFFFF" w:themeColor="background1"/>
              </w:rPr>
              <w:instrText xml:space="preserve"> SEQ Table_A5- \* ARABIC </w:instrText>
            </w:r>
            <w:r w:rsidR="000568AF" w:rsidRPr="000568AF">
              <w:rPr>
                <w:b/>
                <w:bCs/>
                <w:color w:val="FFFFFF" w:themeColor="background1"/>
              </w:rPr>
              <w:fldChar w:fldCharType="separate"/>
            </w:r>
            <w:r w:rsidR="0068700D">
              <w:rPr>
                <w:b/>
                <w:bCs/>
                <w:noProof/>
                <w:color w:val="FFFFFF" w:themeColor="background1"/>
              </w:rPr>
              <w:t>20</w:t>
            </w:r>
            <w:r w:rsidR="000568AF" w:rsidRPr="000568AF">
              <w:rPr>
                <w:b/>
                <w:bCs/>
                <w:color w:val="FFFFFF" w:themeColor="background1"/>
              </w:rPr>
              <w:fldChar w:fldCharType="end"/>
            </w:r>
            <w:r w:rsidR="00392FDA" w:rsidRPr="000568AF">
              <w:rPr>
                <w:b/>
                <w:color w:val="FFFFFF" w:themeColor="background1"/>
                <w:lang w:eastAsia="en-GB"/>
              </w:rPr>
              <w:t>: Other environmental taxes not reported in the National Tax Lists</w:t>
            </w:r>
            <w:r w:rsidR="00392FDA" w:rsidRPr="000568AF">
              <w:rPr>
                <w:rStyle w:val="FootnoteReference"/>
                <w:rFonts w:ascii="Calibri" w:eastAsia="Times New Roman" w:hAnsi="Calibri" w:cs="Calibri"/>
                <w:b/>
                <w:color w:val="FFFFFF" w:themeColor="background1"/>
                <w:szCs w:val="20"/>
                <w:lang w:eastAsia="en-GB"/>
              </w:rPr>
              <w:footnoteReference w:id="51"/>
            </w:r>
            <w:r w:rsidR="00392FDA" w:rsidRPr="000568AF">
              <w:rPr>
                <w:b/>
                <w:color w:val="FFFFFF" w:themeColor="background1"/>
                <w:lang w:eastAsia="en-GB"/>
              </w:rPr>
              <w:t> </w:t>
            </w:r>
          </w:p>
        </w:tc>
      </w:tr>
      <w:tr w:rsidR="00392FDA" w:rsidRPr="00EA4C9B" w14:paraId="2E663DFD" w14:textId="77777777" w:rsidTr="004F0767">
        <w:trPr>
          <w:trHeight w:val="300"/>
        </w:trPr>
        <w:tc>
          <w:tcPr>
            <w:tcW w:w="7076" w:type="dxa"/>
            <w:tcBorders>
              <w:top w:val="single" w:sz="6" w:space="0" w:color="auto"/>
              <w:left w:val="single" w:sz="6" w:space="0" w:color="auto"/>
              <w:bottom w:val="single" w:sz="6" w:space="0" w:color="auto"/>
              <w:right w:val="single" w:sz="6" w:space="0" w:color="auto"/>
            </w:tcBorders>
            <w:hideMark/>
          </w:tcPr>
          <w:p w14:paraId="461D30F2" w14:textId="77777777" w:rsidR="00392FDA" w:rsidRPr="00466EF5" w:rsidRDefault="00392FDA" w:rsidP="000568AF">
            <w:pPr>
              <w:pStyle w:val="Table"/>
              <w:rPr>
                <w:rFonts w:ascii="Times New Roman" w:hAnsi="Times New Roman" w:cs="Times New Roman"/>
                <w:b/>
                <w:bCs/>
                <w:sz w:val="24"/>
                <w:lang w:eastAsia="en-GB"/>
              </w:rPr>
            </w:pPr>
            <w:r w:rsidRPr="00466EF5">
              <w:rPr>
                <w:b/>
                <w:bCs/>
                <w:lang w:eastAsia="en-GB"/>
              </w:rPr>
              <w:t> Tax name</w:t>
            </w:r>
          </w:p>
        </w:tc>
        <w:tc>
          <w:tcPr>
            <w:tcW w:w="1934" w:type="dxa"/>
            <w:tcBorders>
              <w:top w:val="single" w:sz="6" w:space="0" w:color="auto"/>
              <w:left w:val="single" w:sz="6" w:space="0" w:color="auto"/>
              <w:bottom w:val="single" w:sz="6" w:space="0" w:color="auto"/>
              <w:right w:val="single" w:sz="6" w:space="0" w:color="auto"/>
            </w:tcBorders>
            <w:hideMark/>
          </w:tcPr>
          <w:p w14:paraId="68EB89EE" w14:textId="33E4497B" w:rsidR="00392FDA" w:rsidRPr="00466EF5" w:rsidRDefault="00392FDA" w:rsidP="00BA7936">
            <w:pPr>
              <w:pStyle w:val="Table"/>
              <w:jc w:val="center"/>
              <w:rPr>
                <w:rFonts w:ascii="Times New Roman" w:eastAsia="Times New Roman" w:hAnsi="Times New Roman" w:cs="Times New Roman"/>
                <w:b/>
                <w:bCs/>
                <w:sz w:val="24"/>
                <w:lang w:eastAsia="en-GB"/>
              </w:rPr>
            </w:pPr>
            <w:r w:rsidRPr="00466EF5">
              <w:rPr>
                <w:b/>
                <w:bCs/>
                <w:lang w:eastAsia="en-GB"/>
              </w:rPr>
              <w:t>Annual revenue</w:t>
            </w:r>
          </w:p>
          <w:p w14:paraId="2F175D62" w14:textId="57E3C847" w:rsidR="00392FDA" w:rsidRPr="00466EF5" w:rsidRDefault="00392FDA" w:rsidP="00BA7936">
            <w:pPr>
              <w:pStyle w:val="Table"/>
              <w:jc w:val="center"/>
              <w:rPr>
                <w:rFonts w:ascii="Times New Roman" w:eastAsia="Times New Roman" w:hAnsi="Times New Roman" w:cs="Times New Roman"/>
                <w:b/>
                <w:bCs/>
                <w:sz w:val="24"/>
                <w:lang w:eastAsia="en-GB"/>
              </w:rPr>
            </w:pPr>
            <w:r w:rsidRPr="00466EF5">
              <w:rPr>
                <w:b/>
                <w:bCs/>
                <w:lang w:eastAsia="en-GB"/>
              </w:rPr>
              <w:t>(€ million) in 2023</w:t>
            </w:r>
          </w:p>
        </w:tc>
      </w:tr>
      <w:tr w:rsidR="00392FDA" w:rsidRPr="00EA4C9B" w14:paraId="69569873" w14:textId="77777777" w:rsidTr="004F0767">
        <w:trPr>
          <w:trHeight w:val="65"/>
        </w:trPr>
        <w:tc>
          <w:tcPr>
            <w:tcW w:w="7076" w:type="dxa"/>
            <w:tcBorders>
              <w:top w:val="single" w:sz="6" w:space="0" w:color="auto"/>
              <w:left w:val="single" w:sz="6" w:space="0" w:color="auto"/>
              <w:bottom w:val="single" w:sz="6" w:space="0" w:color="auto"/>
              <w:right w:val="single" w:sz="6" w:space="0" w:color="auto"/>
            </w:tcBorders>
            <w:hideMark/>
          </w:tcPr>
          <w:p w14:paraId="2364CE08" w14:textId="77777777" w:rsidR="00392FDA" w:rsidRPr="00EA4C9B" w:rsidRDefault="00392FDA" w:rsidP="000568AF">
            <w:pPr>
              <w:pStyle w:val="Table"/>
              <w:rPr>
                <w:rFonts w:ascii="Times New Roman" w:hAnsi="Times New Roman" w:cs="Times New Roman"/>
                <w:lang w:eastAsia="en-GB"/>
              </w:rPr>
            </w:pPr>
            <w:r w:rsidRPr="00EA4C9B">
              <w:rPr>
                <w:lang w:eastAsia="en-GB"/>
              </w:rPr>
              <w:t> Mining charge</w:t>
            </w:r>
          </w:p>
        </w:tc>
        <w:tc>
          <w:tcPr>
            <w:tcW w:w="1934" w:type="dxa"/>
            <w:tcBorders>
              <w:top w:val="single" w:sz="6" w:space="0" w:color="auto"/>
              <w:left w:val="single" w:sz="6" w:space="0" w:color="auto"/>
              <w:bottom w:val="single" w:sz="6" w:space="0" w:color="auto"/>
              <w:right w:val="single" w:sz="6" w:space="0" w:color="auto"/>
            </w:tcBorders>
            <w:hideMark/>
          </w:tcPr>
          <w:p w14:paraId="6D40C871" w14:textId="03E124EB" w:rsidR="00392FDA" w:rsidRPr="00EA4C9B" w:rsidRDefault="008A151C" w:rsidP="00BA7936">
            <w:pPr>
              <w:pStyle w:val="Table"/>
              <w:jc w:val="center"/>
              <w:rPr>
                <w:rFonts w:ascii="Times New Roman" w:hAnsi="Times New Roman" w:cs="Times New Roman"/>
                <w:lang w:eastAsia="en-GB"/>
              </w:rPr>
            </w:pPr>
            <w:r w:rsidRPr="00EA4C9B">
              <w:rPr>
                <w:lang w:eastAsia="en-GB"/>
              </w:rPr>
              <w:t>N.A.</w:t>
            </w:r>
          </w:p>
        </w:tc>
      </w:tr>
    </w:tbl>
    <w:p w14:paraId="3A23684B" w14:textId="77777777" w:rsidR="00392FDA" w:rsidRPr="00EA4C9B" w:rsidRDefault="00392FDA" w:rsidP="00392FDA"/>
    <w:p w14:paraId="7B64CA07" w14:textId="77777777" w:rsidR="00392FDA" w:rsidRPr="00EA4C9B" w:rsidRDefault="00392FDA" w:rsidP="00392FDA">
      <w:r w:rsidRPr="00EA4C9B">
        <w:t xml:space="preserve">All the below taxes are included as taxes in the National Tax List, however, may include fees and other related instruments: </w:t>
      </w:r>
    </w:p>
    <w:p w14:paraId="64A76501" w14:textId="72F939A2" w:rsidR="00392FDA" w:rsidRPr="00EA4C9B" w:rsidRDefault="00392FDA" w:rsidP="00392FDA">
      <w:bookmarkStart w:id="124" w:name="_Hlk195786408"/>
      <w:r w:rsidRPr="00EA4C9B">
        <w:t xml:space="preserve">The </w:t>
      </w:r>
      <w:bookmarkEnd w:id="124"/>
      <w:r w:rsidRPr="00EA4C9B">
        <w:rPr>
          <w:b/>
          <w:bCs/>
        </w:rPr>
        <w:t>levy for SO2 emissions into the environment</w:t>
      </w:r>
      <w:r w:rsidRPr="002E4F7F">
        <w:rPr>
          <w:b/>
          <w:bCs/>
        </w:rPr>
        <w:t xml:space="preserve"> </w:t>
      </w:r>
      <w:r w:rsidRPr="00EA4C9B">
        <w:t xml:space="preserve">was introduced in 2004. It is regulated through ordinances and regulations published in the </w:t>
      </w:r>
      <w:bookmarkStart w:id="125" w:name="_Hlk195530632"/>
      <w:r w:rsidRPr="00EA4C9B">
        <w:t>Official Gazette of the Republic of Croatia (95/04</w:t>
      </w:r>
      <w:r w:rsidRPr="00EA4C9B">
        <w:rPr>
          <w:rStyle w:val="FootnoteReference"/>
        </w:rPr>
        <w:footnoteReference w:id="52"/>
      </w:r>
      <w:r w:rsidRPr="00EA4C9B">
        <w:t>, 142/13</w:t>
      </w:r>
      <w:r w:rsidRPr="00EA4C9B">
        <w:rPr>
          <w:rStyle w:val="FootnoteReference"/>
        </w:rPr>
        <w:footnoteReference w:id="53"/>
      </w:r>
      <w:r w:rsidRPr="00EA4C9B">
        <w:t>, 71/04</w:t>
      </w:r>
      <w:r w:rsidRPr="00EA4C9B">
        <w:rPr>
          <w:rStyle w:val="FootnoteReference"/>
        </w:rPr>
        <w:footnoteReference w:id="54"/>
      </w:r>
      <w:r w:rsidRPr="00EA4C9B">
        <w:t xml:space="preserve"> and </w:t>
      </w:r>
      <w:bookmarkStart w:id="126" w:name="_Hlk195524904"/>
      <w:r w:rsidRPr="00EA4C9B">
        <w:t>115/15</w:t>
      </w:r>
      <w:r w:rsidRPr="00EA4C9B">
        <w:rPr>
          <w:rStyle w:val="FootnoteReference"/>
        </w:rPr>
        <w:footnoteReference w:id="55"/>
      </w:r>
      <w:r w:rsidRPr="00EA4C9B">
        <w:t xml:space="preserve">). </w:t>
      </w:r>
      <w:bookmarkEnd w:id="126"/>
      <w:r w:rsidRPr="00EA4C9B">
        <w:t>Taxpayers include both companies and individuals responsible for emission sources. Individual sources of emission include technological processes, industrial plants, devices and facilities from which SO2 is discharged into the air. In 2004, the tax applied to annual S02 emissions exceeding 100kg</w:t>
      </w:r>
      <w:r w:rsidRPr="00EA4C9B">
        <w:rPr>
          <w:rStyle w:val="FootnoteReference"/>
        </w:rPr>
        <w:footnoteReference w:id="56"/>
      </w:r>
      <w:r w:rsidRPr="00EA4C9B">
        <w:t xml:space="preserve">; this threshold was raised to 3,000kg </w:t>
      </w:r>
      <w:bookmarkStart w:id="127" w:name="_Hlk195530797"/>
      <w:r w:rsidRPr="00EA4C9B">
        <w:rPr>
          <w:rStyle w:val="FootnoteReference"/>
        </w:rPr>
        <w:footnoteReference w:id="57"/>
      </w:r>
      <w:bookmarkEnd w:id="127"/>
      <w:r w:rsidRPr="00EA4C9B">
        <w:t xml:space="preserve">. As of 2015, the unit fee for one </w:t>
      </w:r>
      <w:r w:rsidRPr="00EA4C9B">
        <w:lastRenderedPageBreak/>
        <w:t>tonne of SO2 emission was set at HRK 0.00 (115/15</w:t>
      </w:r>
      <w:r w:rsidRPr="00EA4C9B">
        <w:rPr>
          <w:rStyle w:val="FootnoteReference"/>
        </w:rPr>
        <w:footnoteReference w:id="58"/>
      </w:r>
      <w:r w:rsidRPr="00EA4C9B">
        <w:t>)</w:t>
      </w:r>
      <w:r w:rsidRPr="00EA4C9B">
        <w:rPr>
          <w:rStyle w:val="FootnoteReference"/>
        </w:rPr>
        <w:footnoteReference w:id="59"/>
      </w:r>
      <w:r w:rsidRPr="00EA4C9B">
        <w:t xml:space="preserve">, effectively suspending the tax. </w:t>
      </w:r>
      <w:bookmarkStart w:id="128" w:name="_Hlk195530859"/>
      <w:r w:rsidRPr="00EA4C9B">
        <w:t xml:space="preserve">Consequently, since 2017 the levy has generated no revenue (Eurostat). </w:t>
      </w:r>
    </w:p>
    <w:p w14:paraId="04DAB7F3" w14:textId="2AD835A3" w:rsidR="00392FDA" w:rsidRPr="00EA4C9B" w:rsidRDefault="00392FDA" w:rsidP="00392FDA">
      <w:bookmarkStart w:id="129" w:name="_Hlk196734302"/>
      <w:bookmarkEnd w:id="125"/>
      <w:bookmarkEnd w:id="128"/>
      <w:r w:rsidRPr="00EA4C9B">
        <w:t xml:space="preserve">The </w:t>
      </w:r>
      <w:r w:rsidRPr="00EA4C9B">
        <w:rPr>
          <w:b/>
          <w:bCs/>
        </w:rPr>
        <w:t xml:space="preserve">levy for NO2 emissions into the environment </w:t>
      </w:r>
      <w:bookmarkEnd w:id="129"/>
      <w:r w:rsidRPr="00EA4C9B">
        <w:t>mirrors the SO2 framework, including threshold changes.</w:t>
      </w:r>
      <w:r w:rsidRPr="00EA4C9B">
        <w:rPr>
          <w:b/>
          <w:bCs/>
        </w:rPr>
        <w:t xml:space="preserve"> </w:t>
      </w:r>
      <w:r w:rsidRPr="00EA4C9B">
        <w:t xml:space="preserve">It was introduced in 2004 and is regulated through ordinances and regulations published in </w:t>
      </w:r>
      <w:r w:rsidR="002E4F7F" w:rsidRPr="00EA4C9B">
        <w:t xml:space="preserve">the </w:t>
      </w:r>
      <w:r w:rsidR="002E4F7F" w:rsidRPr="002E4F7F">
        <w:t>Official</w:t>
      </w:r>
      <w:r w:rsidRPr="00EA4C9B">
        <w:t xml:space="preserve"> Gazette of the Republic of Croatia (95/04</w:t>
      </w:r>
      <w:r w:rsidRPr="00EA4C9B">
        <w:rPr>
          <w:rStyle w:val="FootnoteReference"/>
        </w:rPr>
        <w:footnoteReference w:id="60"/>
      </w:r>
      <w:r w:rsidRPr="00EA4C9B">
        <w:t>, 142/13</w:t>
      </w:r>
      <w:r w:rsidRPr="00EA4C9B">
        <w:rPr>
          <w:rStyle w:val="FootnoteReference"/>
        </w:rPr>
        <w:footnoteReference w:id="61"/>
      </w:r>
      <w:r w:rsidRPr="00EA4C9B">
        <w:t>, 71/04</w:t>
      </w:r>
      <w:r w:rsidRPr="00EA4C9B">
        <w:rPr>
          <w:rStyle w:val="FootnoteReference"/>
        </w:rPr>
        <w:footnoteReference w:id="62"/>
      </w:r>
      <w:r w:rsidRPr="00EA4C9B">
        <w:t xml:space="preserve"> and 115/15</w:t>
      </w:r>
      <w:r w:rsidRPr="00EA4C9B">
        <w:rPr>
          <w:rStyle w:val="FootnoteReference"/>
        </w:rPr>
        <w:footnoteReference w:id="63"/>
      </w:r>
      <w:r w:rsidRPr="00EA4C9B">
        <w:t>). Taxpayers include both companies and individuals</w:t>
      </w:r>
      <w:r w:rsidRPr="00EA4C9B" w:rsidDel="00FB73FB">
        <w:t xml:space="preserve"> </w:t>
      </w:r>
      <w:r w:rsidRPr="00EA4C9B">
        <w:t>responsible for emission sources. Individual sources of NO2 emissions include technological processes, industrial plants, devices and facilities from which NO2 is discharged into the air. In 2004, the tax base was more than 30 kg of single source NO2 discharged into the air per year</w:t>
      </w:r>
      <w:r w:rsidRPr="00EA4C9B">
        <w:rPr>
          <w:rStyle w:val="FootnoteReference"/>
        </w:rPr>
        <w:footnoteReference w:id="64"/>
      </w:r>
      <w:r w:rsidRPr="00EA4C9B">
        <w:t>; in 2015 this was changed to 600kg</w:t>
      </w:r>
      <w:r w:rsidRPr="00EA4C9B">
        <w:rPr>
          <w:rStyle w:val="FootnoteReference"/>
        </w:rPr>
        <w:footnoteReference w:id="65"/>
      </w:r>
      <w:r w:rsidRPr="00EA4C9B">
        <w:t>. From January 2015, the unit fee for one tonne of NO2 emissions was set at HRK 0.00 (115/15</w:t>
      </w:r>
      <w:r w:rsidRPr="00EA4C9B">
        <w:rPr>
          <w:rStyle w:val="FootnoteReference"/>
        </w:rPr>
        <w:footnoteReference w:id="66"/>
      </w:r>
      <w:r w:rsidRPr="00EA4C9B">
        <w:t>,</w:t>
      </w:r>
      <w:r w:rsidRPr="00EA4C9B">
        <w:rPr>
          <w:rStyle w:val="FootnoteReference"/>
        </w:rPr>
        <w:footnoteReference w:id="67"/>
      </w:r>
      <w:r w:rsidR="002E4F7F">
        <w:t>)</w:t>
      </w:r>
      <w:r w:rsidRPr="00EA4C9B">
        <w:t>, effectively suspending the tax. Consequently, since 2017 the levy has generated no revenue (Eurostat).</w:t>
      </w:r>
    </w:p>
    <w:p w14:paraId="55CF9DEC" w14:textId="12278862" w:rsidR="00392FDA" w:rsidRPr="00EA4C9B" w:rsidRDefault="00392FDA" w:rsidP="00392FDA">
      <w:pPr>
        <w:rPr>
          <w:u w:val="single"/>
        </w:rPr>
      </w:pPr>
      <w:r w:rsidRPr="00EA4C9B">
        <w:t xml:space="preserve">The </w:t>
      </w:r>
      <w:r w:rsidRPr="00EA4C9B">
        <w:rPr>
          <w:b/>
          <w:bCs/>
        </w:rPr>
        <w:t xml:space="preserve">waste packaging management fee and deposit fee </w:t>
      </w:r>
      <w:r w:rsidRPr="00EA4C9B">
        <w:t>is managed by the Environmental Protection and Energy Efficiency Fund (EPEEF)</w:t>
      </w:r>
      <w:r w:rsidRPr="00EA4C9B">
        <w:rPr>
          <w:rStyle w:val="FootnoteReference"/>
        </w:rPr>
        <w:footnoteReference w:id="68"/>
      </w:r>
      <w:r w:rsidRPr="00EA4C9B">
        <w:t>, and is increasingly classified as part of an Extended Producer Responsibility (EPR) scheme</w:t>
      </w:r>
      <w:r w:rsidRPr="00EA4C9B">
        <w:rPr>
          <w:rStyle w:val="FootnoteReference"/>
        </w:rPr>
        <w:footnoteReference w:id="69"/>
      </w:r>
      <w:r w:rsidRPr="00EA4C9B">
        <w:t xml:space="preserve">. As such, it is outlined in the below </w:t>
      </w:r>
      <w:r w:rsidR="002E4F7F" w:rsidRPr="00EA4C9B">
        <w:t>section ‘</w:t>
      </w:r>
      <w:r w:rsidRPr="00EA4C9B">
        <w:t xml:space="preserve">Fees and other related </w:t>
      </w:r>
      <w:r w:rsidR="002E4F7F" w:rsidRPr="00EA4C9B">
        <w:t>instruments</w:t>
      </w:r>
      <w:r w:rsidR="002E4F7F">
        <w:t>’</w:t>
      </w:r>
      <w:r w:rsidRPr="00EA4C9B">
        <w:t xml:space="preserve">. </w:t>
      </w:r>
    </w:p>
    <w:p w14:paraId="18EA4CDD" w14:textId="26B9BA44" w:rsidR="00392FDA" w:rsidRPr="00EA4C9B" w:rsidRDefault="00392FDA" w:rsidP="00392FDA">
      <w:r w:rsidRPr="00EA4C9B">
        <w:t xml:space="preserve">The </w:t>
      </w:r>
      <w:r w:rsidRPr="00EA4C9B">
        <w:rPr>
          <w:b/>
          <w:bCs/>
        </w:rPr>
        <w:t xml:space="preserve">WEEE [Electrical and electronic waste] management fee </w:t>
      </w:r>
      <w:r w:rsidRPr="00EA4C9B">
        <w:t>was established in 2007. It is currently regulated by the Ordinance on the Management of Special Categories of Waste in the Fund's System 124/2023</w:t>
      </w:r>
      <w:r w:rsidRPr="00EA4C9B">
        <w:rPr>
          <w:rStyle w:val="FootnoteReference"/>
        </w:rPr>
        <w:footnoteReference w:id="70"/>
      </w:r>
      <w:r w:rsidRPr="00EA4C9B">
        <w:t xml:space="preserve">. Taxpayers are </w:t>
      </w:r>
      <w:r w:rsidRPr="00EA4C9B">
        <w:rPr>
          <w:rFonts w:ascii="Calibri" w:eastAsia="Times New Roman" w:hAnsi="Calibri" w:cs="Calibri"/>
          <w:color w:val="000000"/>
          <w:lang w:eastAsia="en-GB"/>
        </w:rPr>
        <w:t xml:space="preserve">producers and/or importers of EE (electrical and electronic) </w:t>
      </w:r>
      <w:r w:rsidR="002E4F7F" w:rsidRPr="00EA4C9B">
        <w:rPr>
          <w:rFonts w:ascii="Calibri" w:eastAsia="Times New Roman" w:hAnsi="Calibri" w:cs="Calibri"/>
          <w:color w:val="000000"/>
          <w:lang w:eastAsia="en-GB"/>
        </w:rPr>
        <w:t>equipment, who</w:t>
      </w:r>
      <w:r w:rsidRPr="00EA4C9B">
        <w:rPr>
          <w:rFonts w:ascii="Calibri" w:eastAsia="Times New Roman" w:hAnsi="Calibri" w:cs="Calibri"/>
          <w:color w:val="000000"/>
          <w:lang w:eastAsia="en-GB"/>
        </w:rPr>
        <w:t xml:space="preserve"> place EE equipment on the market in the Republic of Croatia. The tax base is </w:t>
      </w:r>
      <w:r w:rsidRPr="00EA4C9B">
        <w:t>EE (electrical and electronic) equipment placed on the market</w:t>
      </w:r>
      <w:r w:rsidRPr="00EA4C9B">
        <w:rPr>
          <w:rStyle w:val="FootnoteReference"/>
        </w:rPr>
        <w:footnoteReference w:id="71"/>
      </w:r>
      <w:r w:rsidRPr="00EA4C9B">
        <w:t>. The tax rate is the weight of EE equipment (kg) x unit fee (HRK 2.25/kg). The fee is paid according to the net weight of the device, regardless of the share of EE equipment inside the device, but there are exceptions when calculating the fee. For example, for equipment weighing more than 500 kg, the fee is calculated based on a maximum of 500 kg per item, meaning no additional fee is applied to weight exceeding this threshold</w:t>
      </w:r>
      <w:r w:rsidRPr="00EA4C9B">
        <w:rPr>
          <w:rStyle w:val="FootnoteReference"/>
        </w:rPr>
        <w:footnoteReference w:id="72"/>
      </w:r>
      <w:r w:rsidRPr="00EA4C9B">
        <w:t>. Manufacturers and importers of EE equipment submit data to the EPEEF for the calculation of fees</w:t>
      </w:r>
      <w:r w:rsidRPr="00EA4C9B">
        <w:rPr>
          <w:rStyle w:val="FootnoteReference"/>
        </w:rPr>
        <w:footnoteReference w:id="73"/>
      </w:r>
      <w:r w:rsidR="00D94955">
        <w:t>.</w:t>
      </w:r>
    </w:p>
    <w:p w14:paraId="6F9383DD" w14:textId="5D7F3349" w:rsidR="00392FDA" w:rsidRPr="00EA4C9B" w:rsidRDefault="00392FDA" w:rsidP="00392FDA">
      <w:r w:rsidRPr="00EA4C9B">
        <w:t xml:space="preserve">The </w:t>
      </w:r>
      <w:r w:rsidRPr="00EA4C9B">
        <w:rPr>
          <w:b/>
          <w:bCs/>
        </w:rPr>
        <w:t xml:space="preserve">End-of-life vehicle management fee </w:t>
      </w:r>
      <w:r w:rsidRPr="00EA4C9B">
        <w:t>was established in 2007. It is currently regulated by the Ordinance on the Management of Special Categories of Waste in the Fund's System 124/2023</w:t>
      </w:r>
      <w:r w:rsidRPr="00EA4C9B">
        <w:rPr>
          <w:rStyle w:val="FootnoteReference"/>
        </w:rPr>
        <w:footnoteReference w:id="74"/>
      </w:r>
      <w:r w:rsidRPr="00EA4C9B">
        <w:t xml:space="preserve">. Taxpayers are manufacturers and natural persons. The tax base is new or used vehicles placed on the </w:t>
      </w:r>
      <w:r w:rsidRPr="00EA4C9B">
        <w:lastRenderedPageBreak/>
        <w:t>market</w:t>
      </w:r>
      <w:r w:rsidRPr="00EA4C9B">
        <w:rPr>
          <w:rStyle w:val="FootnoteReference"/>
        </w:rPr>
        <w:footnoteReference w:id="75"/>
      </w:r>
      <w:r w:rsidRPr="00EA4C9B">
        <w:t>. The tax rate when placing vehicles on market is €0.08/kg. The purpose of the fee is to cover the costs of collection and treatment of end-of-life vehicles in the system managed by the EPEEF</w:t>
      </w:r>
      <w:r w:rsidRPr="00EA4C9B">
        <w:rPr>
          <w:rStyle w:val="FootnoteReference"/>
        </w:rPr>
        <w:footnoteReference w:id="76"/>
      </w:r>
      <w:r w:rsidRPr="00EA4C9B">
        <w:t xml:space="preserve">. </w:t>
      </w:r>
    </w:p>
    <w:p w14:paraId="09369D5D" w14:textId="0E9F6490" w:rsidR="00392FDA" w:rsidRPr="00EA4C9B" w:rsidRDefault="00392FDA" w:rsidP="00392FDA">
      <w:r w:rsidRPr="00EA4C9B">
        <w:t xml:space="preserve">The </w:t>
      </w:r>
      <w:r w:rsidRPr="00EA4C9B">
        <w:rPr>
          <w:b/>
          <w:bCs/>
        </w:rPr>
        <w:t xml:space="preserve">Waste Tyres Management Fee </w:t>
      </w:r>
      <w:r w:rsidRPr="00EA4C9B">
        <w:t>was established in 2006 and is currently regulated by the Ordinance on the Management of Special Categories of Waste in the Fund's System 124/2023</w:t>
      </w:r>
      <w:r w:rsidRPr="00EA4C9B">
        <w:rPr>
          <w:rStyle w:val="FootnoteReference"/>
        </w:rPr>
        <w:footnoteReference w:id="77"/>
      </w:r>
      <w:r w:rsidRPr="00EA4C9B">
        <w:t>. The fee applies to manufacturers and importers of tires and products that include tyres as integral components. The tax base includes is tyres from passenger cars and associated trailers, smaller freight and passenger vehicles, forklifts, work machines, tractors, trolleys, bicycles, motorcycles and aircraft. For imported or manufactured tyres, the rate is HRK 1,067.00 per tonne. For tyres that are an integral part of imported vehicles or equipment, rates are applied per unit and vary by vehicle type. These range from HRK 6.79 per tyre for passenger cars to HRK 174.60 per tyre for aircraft and construction machinery. The fee covers the costs of collecting and treating waste tyres under the system administered by the EPEEF</w:t>
      </w:r>
      <w:r w:rsidRPr="00EA4C9B">
        <w:rPr>
          <w:rStyle w:val="FootnoteReference"/>
        </w:rPr>
        <w:footnoteReference w:id="78"/>
      </w:r>
      <w:r w:rsidRPr="00EA4C9B">
        <w:t>.</w:t>
      </w:r>
    </w:p>
    <w:p w14:paraId="0F3FB7CE" w14:textId="4FD7D4ED" w:rsidR="00392FDA" w:rsidRPr="00EA4C9B" w:rsidRDefault="00392FDA" w:rsidP="00392FDA">
      <w:r w:rsidRPr="00EA4C9B">
        <w:t xml:space="preserve">The </w:t>
      </w:r>
      <w:r w:rsidRPr="00EA4C9B">
        <w:rPr>
          <w:b/>
          <w:bCs/>
        </w:rPr>
        <w:t xml:space="preserve">Disposal fee for waste lubricating oils was established in 2007. </w:t>
      </w:r>
      <w:r w:rsidRPr="00EA4C9B">
        <w:t>It is currently regulated by the Ordinance on the Management of Special Categories of Waste in the Fund's System 124/2023</w:t>
      </w:r>
      <w:r w:rsidRPr="00EA4C9B">
        <w:rPr>
          <w:rStyle w:val="FootnoteReference"/>
        </w:rPr>
        <w:footnoteReference w:id="79"/>
      </w:r>
      <w:r w:rsidRPr="00EA4C9B">
        <w:t>. The tax applies to producers or importers of fresh lubricating oil for their own use or for sale in Croatia. The tax base is fresh lubricating oil placed on the market as a special product. The tax rate for the disposal of waste lubricating oils, including VAT, is €0.07/l. Producers/importers/importers of fresh lubricating oils are required to submit data to the EPEEF for the purpose of calculating fees. The fee serves to cover the costs of managing waste lubricating oils</w:t>
      </w:r>
      <w:r w:rsidRPr="00EA4C9B">
        <w:rPr>
          <w:rStyle w:val="FootnoteReference"/>
        </w:rPr>
        <w:footnoteReference w:id="80"/>
      </w:r>
      <w:r w:rsidRPr="00EA4C9B">
        <w:t>.</w:t>
      </w:r>
    </w:p>
    <w:p w14:paraId="1A7B0419" w14:textId="5F810F3A" w:rsidR="00392FDA" w:rsidRPr="00EA4C9B" w:rsidRDefault="00392FDA" w:rsidP="00392FDA">
      <w:r w:rsidRPr="00EA4C9B">
        <w:t xml:space="preserve">The </w:t>
      </w:r>
      <w:r w:rsidRPr="00EA4C9B">
        <w:rPr>
          <w:b/>
          <w:bCs/>
        </w:rPr>
        <w:t xml:space="preserve">Levy for non-hazardous industrial waste </w:t>
      </w:r>
      <w:r w:rsidRPr="00EA4C9B">
        <w:t>was established in 2004. It is regulated by OG 95/04</w:t>
      </w:r>
      <w:r w:rsidRPr="00EA4C9B">
        <w:rPr>
          <w:rStyle w:val="FootnoteReference"/>
        </w:rPr>
        <w:footnoteReference w:id="81"/>
      </w:r>
      <w:r w:rsidRPr="00EA4C9B">
        <w:t xml:space="preserve"> OG 71/04</w:t>
      </w:r>
      <w:r w:rsidRPr="00EA4C9B">
        <w:rPr>
          <w:rStyle w:val="FootnoteReference"/>
        </w:rPr>
        <w:footnoteReference w:id="82"/>
      </w:r>
      <w:r w:rsidRPr="00EA4C9B">
        <w:t>). The taxpayers are companies and individuals</w:t>
      </w:r>
      <w:r w:rsidRPr="00EA4C9B" w:rsidDel="002369D4">
        <w:t xml:space="preserve"> </w:t>
      </w:r>
      <w:r w:rsidRPr="00EA4C9B">
        <w:t xml:space="preserve">who dispose of municipal and/or non-hazardous technological waste in landfills. </w:t>
      </w:r>
      <w:r w:rsidRPr="00EA4C9B">
        <w:rPr>
          <w:rFonts w:ascii="Calibri" w:eastAsia="Times New Roman" w:hAnsi="Calibri" w:cs="Calibri"/>
          <w:color w:val="000000"/>
          <w:lang w:eastAsia="en-GB"/>
        </w:rPr>
        <w:t>The tax base is waste deposited in the landfill. The unit fee for one tonne of disposed municipal and/or non-hazardous technological waste is HRK 12.</w:t>
      </w:r>
      <w:r w:rsidRPr="00EA4C9B">
        <w:rPr>
          <w:rStyle w:val="FootnoteReference"/>
          <w:rFonts w:ascii="Calibri" w:eastAsia="Times New Roman" w:hAnsi="Calibri" w:cs="Calibri"/>
          <w:color w:val="000000"/>
          <w:lang w:eastAsia="en-GB"/>
        </w:rPr>
        <w:footnoteReference w:id="83"/>
      </w:r>
      <w:r w:rsidRPr="00EA4C9B">
        <w:rPr>
          <w:rFonts w:ascii="Calibri" w:eastAsia="Times New Roman" w:hAnsi="Calibri" w:cs="Calibri"/>
          <w:color w:val="000000"/>
          <w:lang w:eastAsia="en-GB"/>
        </w:rPr>
        <w:t>,</w:t>
      </w:r>
      <w:r w:rsidRPr="00EA4C9B">
        <w:rPr>
          <w:rStyle w:val="FootnoteReference"/>
          <w:rFonts w:ascii="Calibri" w:eastAsia="Times New Roman" w:hAnsi="Calibri" w:cs="Calibri"/>
          <w:color w:val="000000"/>
          <w:lang w:eastAsia="en-GB"/>
        </w:rPr>
        <w:footnoteReference w:id="84"/>
      </w:r>
      <w:r w:rsidRPr="00EA4C9B">
        <w:rPr>
          <w:rFonts w:ascii="Calibri" w:eastAsia="Times New Roman" w:hAnsi="Calibri" w:cs="Calibri"/>
          <w:color w:val="000000"/>
          <w:lang w:eastAsia="en-GB"/>
        </w:rPr>
        <w:t>.</w:t>
      </w:r>
      <w:r w:rsidRPr="00EA4C9B">
        <w:t xml:space="preserve"> </w:t>
      </w:r>
    </w:p>
    <w:p w14:paraId="7C58F7A3" w14:textId="7532052D" w:rsidR="00392FDA" w:rsidRPr="00EA4C9B" w:rsidRDefault="00392FDA" w:rsidP="00392FDA">
      <w:r w:rsidRPr="00EA4C9B">
        <w:lastRenderedPageBreak/>
        <w:t xml:space="preserve">The </w:t>
      </w:r>
      <w:r w:rsidRPr="00EA4C9B">
        <w:rPr>
          <w:b/>
          <w:bCs/>
        </w:rPr>
        <w:t xml:space="preserve">levy for hazardous waste </w:t>
      </w:r>
      <w:r w:rsidRPr="00EA4C9B">
        <w:t>was established in 2004. It is regulated by the Ordinance on the manner and deadlines for calculating and paying fees for burdening the environment with waste (Official Gazette of the Republic of Croatia 95/04</w:t>
      </w:r>
      <w:r w:rsidRPr="00EA4C9B">
        <w:rPr>
          <w:rStyle w:val="FootnoteReference"/>
        </w:rPr>
        <w:footnoteReference w:id="85"/>
      </w:r>
      <w:r w:rsidRPr="00EA4C9B">
        <w:t>) and the Regulation on Unit Fees, Correction Coefficients and Detailed Criteria and Benchmarks for Determining Fees for Environmental Pollution of Waste (Official Gazette 71/04</w:t>
      </w:r>
      <w:r w:rsidRPr="00EA4C9B">
        <w:rPr>
          <w:rStyle w:val="FootnoteReference"/>
        </w:rPr>
        <w:footnoteReference w:id="86"/>
      </w:r>
      <w:r w:rsidRPr="00EA4C9B">
        <w:t>)</w:t>
      </w:r>
      <w:r w:rsidRPr="00EA4C9B">
        <w:rPr>
          <w:rStyle w:val="FootnoteReference"/>
        </w:rPr>
        <w:footnoteReference w:id="87"/>
      </w:r>
      <w:r w:rsidRPr="00EA4C9B">
        <w:t>. Taxpayers are companies and individuals</w:t>
      </w:r>
      <w:r w:rsidRPr="00EA4C9B" w:rsidDel="002369D4">
        <w:t xml:space="preserve"> </w:t>
      </w:r>
      <w:r w:rsidRPr="00EA4C9B">
        <w:t>who produce hazardous waste through their activities. The tax base is untreated hazardous waste. The unit fee for one tonne of produced, untreated hazardous waste is HRK 100.00.</w:t>
      </w:r>
      <w:r w:rsidRPr="00EA4C9B">
        <w:rPr>
          <w:rStyle w:val="FootnoteReference"/>
        </w:rPr>
        <w:footnoteReference w:id="88"/>
      </w:r>
      <w:r w:rsidR="00585491" w:rsidRPr="004F0767">
        <w:rPr>
          <w:vertAlign w:val="superscript"/>
        </w:rPr>
        <w:t>,</w:t>
      </w:r>
      <w:r w:rsidRPr="00EA4C9B">
        <w:rPr>
          <w:rStyle w:val="FootnoteReference"/>
        </w:rPr>
        <w:footnoteReference w:id="89"/>
      </w:r>
      <w:r w:rsidR="00585491">
        <w:t>.</w:t>
      </w:r>
    </w:p>
    <w:p w14:paraId="7C213022" w14:textId="1AFD78C6" w:rsidR="00392FDA" w:rsidRPr="00EA4C9B" w:rsidRDefault="00392FDA" w:rsidP="00392FDA">
      <w:r w:rsidRPr="00EA4C9B">
        <w:t xml:space="preserve">The </w:t>
      </w:r>
      <w:r w:rsidRPr="00EA4C9B">
        <w:rPr>
          <w:b/>
          <w:bCs/>
        </w:rPr>
        <w:t xml:space="preserve">Contributions for forest </w:t>
      </w:r>
      <w:r w:rsidRPr="00EA4C9B">
        <w:t>was introduced in 1990. It is currently regulated by the Ordinance on the Method of Calculation and the Procedure for Payment of the Forest Contribution (128/2024)</w:t>
      </w:r>
      <w:r w:rsidRPr="00EA4C9B">
        <w:rPr>
          <w:rStyle w:val="FootnoteReference"/>
        </w:rPr>
        <w:footnoteReference w:id="90"/>
      </w:r>
      <w:r w:rsidRPr="00EA4C9B">
        <w:t xml:space="preserve">.  Taxpayers are natural persons, except small forest owners, who sell products derived from forests. The tax base are forest exploitation products. The taxpayers pay a contribution to local-self-government units in relation to the sale price of the product. As a rule, the forest contribution is paid in the amount of 5% (in relation to the sale price of the product), except in local self-government units with the status of assisted areas determined by a special regulation and in local self-government units in hilly and mountainous areas where it is paid in the amount of 10%. Payments are made quarterly. </w:t>
      </w:r>
      <w:r w:rsidRPr="00EA4C9B">
        <w:rPr>
          <w:rStyle w:val="FootnoteReference"/>
        </w:rPr>
        <w:footnoteReference w:id="91"/>
      </w:r>
      <w:r w:rsidRPr="00EA4C9B">
        <w:t xml:space="preserve"> The funds of the </w:t>
      </w:r>
      <w:r w:rsidRPr="00EA4C9B">
        <w:rPr>
          <w:b/>
        </w:rPr>
        <w:t>forest contribution</w:t>
      </w:r>
      <w:r w:rsidRPr="00EA4C9B">
        <w:t xml:space="preserve"> are paid into a special account of the local-self-government unit of the area where the forest was felled and are used exclusively to finance the construction and maintenance of communal infrastructure</w:t>
      </w:r>
      <w:r w:rsidRPr="00EA4C9B">
        <w:rPr>
          <w:rStyle w:val="FootnoteReference"/>
        </w:rPr>
        <w:footnoteReference w:id="92"/>
      </w:r>
      <w:r w:rsidRPr="00EA4C9B">
        <w:t>.</w:t>
      </w:r>
    </w:p>
    <w:p w14:paraId="2040753A" w14:textId="217D7CB1" w:rsidR="00392FDA" w:rsidRPr="00EA4C9B" w:rsidRDefault="00392FDA" w:rsidP="00392FDA">
      <w:r w:rsidRPr="00EA4C9B">
        <w:t xml:space="preserve">The </w:t>
      </w:r>
      <w:r w:rsidRPr="00EA4C9B">
        <w:rPr>
          <w:b/>
          <w:bCs/>
        </w:rPr>
        <w:t xml:space="preserve">Compensation for the use of the public-use functions of forests </w:t>
      </w:r>
      <w:r w:rsidRPr="00EA4C9B">
        <w:t>was established in 1986. The tax is regulated by the Forest Act (Official Gazette, No. 68/18 – 101/23) and the Ordinance on the method of calculation and payment of the fee for the use of non-profit functions of forests (Official Gazette, No. 70/21). Taxpayers are companies and individuals</w:t>
      </w:r>
      <w:r w:rsidRPr="00EA4C9B" w:rsidDel="002369D4">
        <w:t xml:space="preserve"> </w:t>
      </w:r>
      <w:r w:rsidRPr="00EA4C9B">
        <w:t>who are payers of corporate income tax and natural persons who are payers of income tax in the Republic of Croatia that perform a registered activity and generate a total annual income of more than HRK 3,000,000.00. The tax rate is 0.0265% of the total income or total receipts</w:t>
      </w:r>
      <w:r w:rsidRPr="00EA4C9B">
        <w:rPr>
          <w:rStyle w:val="FootnoteReference"/>
        </w:rPr>
        <w:footnoteReference w:id="93"/>
      </w:r>
      <w:r w:rsidRPr="00EA4C9B">
        <w:t>.</w:t>
      </w:r>
    </w:p>
    <w:p w14:paraId="63DDE2B2" w14:textId="66255D9A" w:rsidR="00392FDA" w:rsidRPr="00EA4C9B" w:rsidRDefault="00392FDA" w:rsidP="00392FDA">
      <w:r w:rsidRPr="00EA4C9B">
        <w:lastRenderedPageBreak/>
        <w:t xml:space="preserve">The </w:t>
      </w:r>
      <w:r w:rsidRPr="00EA4C9B">
        <w:rPr>
          <w:b/>
          <w:bCs/>
        </w:rPr>
        <w:t xml:space="preserve">Levy on the environmental user </w:t>
      </w:r>
      <w:r w:rsidRPr="00EA4C9B">
        <w:t>has yet to be introduced</w:t>
      </w:r>
      <w:r w:rsidRPr="00EA4C9B">
        <w:rPr>
          <w:rStyle w:val="FootnoteReference"/>
        </w:rPr>
        <w:footnoteReference w:id="94"/>
      </w:r>
      <w:r w:rsidRPr="00EA4C9B">
        <w:t>. It is a fee for buildings or building units for which the obligation to conduct an environmental impact assessment procedure is prescribed. Taxpayers are companies and individuals</w:t>
      </w:r>
      <w:r w:rsidRPr="00EA4C9B" w:rsidDel="002369D4">
        <w:t xml:space="preserve"> </w:t>
      </w:r>
      <w:r w:rsidRPr="00EA4C9B">
        <w:t>who are owners or licensees of rights to buildings or building complexes. The fee is calculated and paid depending on the building or building complex and the spatial, technical and technological characteristics of the building or building complex (area, length, capacity, etc.) expressed in appropriate measurement units</w:t>
      </w:r>
      <w:r w:rsidRPr="00EA4C9B">
        <w:rPr>
          <w:rStyle w:val="FootnoteReference"/>
        </w:rPr>
        <w:footnoteReference w:id="95"/>
      </w:r>
      <w:r w:rsidRPr="00EA4C9B">
        <w:t xml:space="preserve">. </w:t>
      </w:r>
    </w:p>
    <w:p w14:paraId="524EC272" w14:textId="4284CBD7" w:rsidR="00392FDA" w:rsidRPr="00EA4C9B" w:rsidRDefault="00392FDA" w:rsidP="00392FDA">
      <w:r w:rsidRPr="00EA4C9B">
        <w:t xml:space="preserve">The </w:t>
      </w:r>
      <w:r w:rsidRPr="00EA4C9B">
        <w:rPr>
          <w:b/>
          <w:bCs/>
        </w:rPr>
        <w:t xml:space="preserve">Water contribution (natural persons) </w:t>
      </w:r>
      <w:r w:rsidRPr="00EA4C9B">
        <w:t>was introduced in 2006. It is a source of funding for water management and is governed by the Water Management Financing Act</w:t>
      </w:r>
      <w:bookmarkStart w:id="131" w:name="_Hlk195704405"/>
      <w:r w:rsidRPr="00EA4C9B">
        <w:rPr>
          <w:rStyle w:val="FootnoteReference"/>
        </w:rPr>
        <w:footnoteReference w:id="96"/>
      </w:r>
      <w:r w:rsidRPr="004F0767">
        <w:rPr>
          <w:vertAlign w:val="superscript"/>
        </w:rPr>
        <w:t>,</w:t>
      </w:r>
      <w:r w:rsidRPr="00EA4C9B">
        <w:rPr>
          <w:rStyle w:val="FootnoteReference"/>
        </w:rPr>
        <w:footnoteReference w:id="97"/>
      </w:r>
      <w:r w:rsidRPr="00EA4C9B">
        <w:t>.</w:t>
      </w:r>
      <w:bookmarkEnd w:id="131"/>
      <w:r w:rsidRPr="00EA4C9B">
        <w:t xml:space="preserve"> The taxpayer is the investor in a building for which a building act is or has been adopted. The tax base comprises buildings for which a building permit application has been submitted since 16 February 2006, and buildings constructed without a permit, provided an application has been submitted for an act confirming the as-built status of the illegal construction. The contribution is based on the type and scale of construction—measured in m³ for volume, m² for surface, and metres for linear construction. It is levied on the actual size of the new building or, where applicable, the difference in size resulting from demolition, extension or upgrade. Rates vary by geographical zone: </w:t>
      </w:r>
    </w:p>
    <w:p w14:paraId="32866BF4" w14:textId="77777777" w:rsidR="00392FDA" w:rsidRPr="00EA4C9B" w:rsidRDefault="00392FDA" w:rsidP="009B400E">
      <w:pPr>
        <w:pStyle w:val="ListParagraph"/>
        <w:numPr>
          <w:ilvl w:val="0"/>
          <w:numId w:val="4"/>
        </w:numPr>
      </w:pPr>
      <w:r w:rsidRPr="00EA4C9B">
        <w:rPr>
          <w:b/>
          <w:bCs/>
        </w:rPr>
        <w:t xml:space="preserve">Zone A: </w:t>
      </w:r>
      <w:r w:rsidRPr="00EA4C9B">
        <w:t>Zagreb and the protected coastal zone (as defined by the Physical Planning Act</w:t>
      </w:r>
      <w:r w:rsidRPr="00EA4C9B">
        <w:rPr>
          <w:rStyle w:val="FootnoteReference"/>
        </w:rPr>
        <w:footnoteReference w:id="98"/>
      </w:r>
      <w:r w:rsidRPr="00EA4C9B">
        <w:t xml:space="preserve">), comprising a 1000m land strip and a 300m sea strip from the coastline. </w:t>
      </w:r>
    </w:p>
    <w:p w14:paraId="69E82FA1" w14:textId="77777777" w:rsidR="00392FDA" w:rsidRPr="00EA4C9B" w:rsidRDefault="00392FDA" w:rsidP="009B400E">
      <w:pPr>
        <w:pStyle w:val="ListParagraph"/>
        <w:numPr>
          <w:ilvl w:val="0"/>
          <w:numId w:val="4"/>
        </w:numPr>
      </w:pPr>
      <w:r w:rsidRPr="00EA4C9B">
        <w:rPr>
          <w:b/>
          <w:bCs/>
        </w:rPr>
        <w:t xml:space="preserve">Zone B: </w:t>
      </w:r>
      <w:r w:rsidRPr="00EA4C9B">
        <w:t>Other areas of Croatia.</w:t>
      </w:r>
    </w:p>
    <w:p w14:paraId="0B7811FA" w14:textId="77777777" w:rsidR="00392FDA" w:rsidRPr="00EA4C9B" w:rsidRDefault="00392FDA" w:rsidP="009B400E">
      <w:pPr>
        <w:pStyle w:val="ListParagraph"/>
        <w:numPr>
          <w:ilvl w:val="0"/>
          <w:numId w:val="4"/>
        </w:numPr>
      </w:pPr>
      <w:r w:rsidRPr="00EA4C9B">
        <w:rPr>
          <w:b/>
          <w:bCs/>
        </w:rPr>
        <w:t xml:space="preserve">Zone C: </w:t>
      </w:r>
      <w:r w:rsidRPr="00EA4C9B">
        <w:t>Areas of</w:t>
      </w:r>
      <w:r w:rsidRPr="00EA4C9B">
        <w:rPr>
          <w:b/>
          <w:bCs/>
        </w:rPr>
        <w:t xml:space="preserve"> </w:t>
      </w:r>
      <w:r w:rsidRPr="00EA4C9B">
        <w:t>special state concern, defined by the Act on Areas of Special State Concern.</w:t>
      </w:r>
      <w:r w:rsidRPr="00EA4C9B">
        <w:rPr>
          <w:rStyle w:val="FootnoteReference"/>
        </w:rPr>
        <w:footnoteReference w:id="99"/>
      </w:r>
    </w:p>
    <w:p w14:paraId="43A7AD0C" w14:textId="63385C48" w:rsidR="00392FDA" w:rsidRPr="00EA4C9B" w:rsidRDefault="00392FDA" w:rsidP="00392FDA">
      <w:r w:rsidRPr="00EA4C9B">
        <w:rPr>
          <w:b/>
          <w:bCs/>
        </w:rPr>
        <w:t>The revenue is earmarked</w:t>
      </w:r>
      <w:r w:rsidRPr="00EA4C9B">
        <w:t xml:space="preserve"> for water-related projects, such as irrigation facilities, flood defences, water regulation and drainage systems, sediment removal, and urban stormwater infrastructure where existing systems are inadequate. It also covers legal and preparatory expenses for registering and acquiring land for the public water domain. Additionally, 8% of the water contribution collected in each area is allocated to local governments, who use it to develop or upgrade local storm drainage infrastructure. Funds are transferred monthly to local budgets by Croatian Waters</w:t>
      </w:r>
      <w:r w:rsidRPr="00EA4C9B">
        <w:rPr>
          <w:rStyle w:val="FootnoteReference"/>
        </w:rPr>
        <w:footnoteReference w:id="100"/>
      </w:r>
      <w:r w:rsidRPr="00EA4C9B">
        <w:t xml:space="preserve">. </w:t>
      </w:r>
    </w:p>
    <w:p w14:paraId="12A68AD1" w14:textId="633BB0F7" w:rsidR="00392FDA" w:rsidRPr="00EA4C9B" w:rsidRDefault="00392FDA" w:rsidP="00392FDA">
      <w:r w:rsidRPr="00EA4C9B">
        <w:lastRenderedPageBreak/>
        <w:t xml:space="preserve">The </w:t>
      </w:r>
      <w:r w:rsidRPr="00EA4C9B">
        <w:rPr>
          <w:b/>
          <w:bCs/>
        </w:rPr>
        <w:t xml:space="preserve">Water protection fee (natural persons) </w:t>
      </w:r>
      <w:r w:rsidRPr="00EA4C9B">
        <w:t>was introduced prior to 1995. Like other water-related charges, it is governed by the Water Management Financing Act</w:t>
      </w:r>
      <w:r w:rsidRPr="00EA4C9B">
        <w:rPr>
          <w:rStyle w:val="FootnoteReference"/>
        </w:rPr>
        <w:footnoteReference w:id="101"/>
      </w:r>
      <w:r w:rsidRPr="004F0767">
        <w:rPr>
          <w:vertAlign w:val="superscript"/>
        </w:rPr>
        <w:t>,</w:t>
      </w:r>
      <w:r w:rsidRPr="00EA4C9B">
        <w:rPr>
          <w:rStyle w:val="FootnoteReference"/>
        </w:rPr>
        <w:footnoteReference w:id="102"/>
      </w:r>
      <w:r w:rsidRPr="00EA4C9B">
        <w:t>. The fee is payable by all individuals and entities that discharge wastewater, including households. It also applies to persons who place mineral fertilisers and plant protection products on the market or import them for personal use.  The tax base is a standard fee applied nationwide, calculated based on the volume of discharged water. This is measured by monitoring devices or estimated by expert assessment. For households and businesses using public water, usage data is taken from the supply system. For private wells or pumps, 40 m³ per household member per year is assumed. The volume is then multiplied by a coefficient reflecting the pollution intensity of the discharged water.</w:t>
      </w:r>
    </w:p>
    <w:p w14:paraId="1A282528" w14:textId="77777777" w:rsidR="00392FDA" w:rsidRPr="00EA4C9B" w:rsidRDefault="00392FDA" w:rsidP="00392FDA">
      <w:r w:rsidRPr="00EA4C9B">
        <w:t xml:space="preserve">The tax rates are: </w:t>
      </w:r>
    </w:p>
    <w:p w14:paraId="11262FF9" w14:textId="77777777" w:rsidR="00392FDA" w:rsidRPr="00EA4C9B" w:rsidRDefault="00392FDA" w:rsidP="00466EF5">
      <w:pPr>
        <w:pStyle w:val="Bulletlist"/>
      </w:pPr>
      <w:r w:rsidRPr="00EA4C9B">
        <w:t xml:space="preserve">0.90 HRK per m³ for discharged wastewater </w:t>
      </w:r>
    </w:p>
    <w:p w14:paraId="010B1F07" w14:textId="77777777" w:rsidR="00392FDA" w:rsidRPr="00EA4C9B" w:rsidRDefault="00392FDA" w:rsidP="00466EF5">
      <w:pPr>
        <w:pStyle w:val="Bulletlist"/>
      </w:pPr>
      <w:r w:rsidRPr="00EA4C9B">
        <w:t xml:space="preserve">0.0009 HRK per m³ for discharged wastewater used in the cooling process. </w:t>
      </w:r>
    </w:p>
    <w:p w14:paraId="22B21288" w14:textId="77777777" w:rsidR="00392FDA" w:rsidRPr="00EA4C9B" w:rsidRDefault="00392FDA" w:rsidP="00392FDA">
      <w:r w:rsidRPr="00EA4C9B">
        <w:rPr>
          <w:b/>
          <w:bCs/>
        </w:rPr>
        <w:t xml:space="preserve">Reliefs </w:t>
      </w:r>
      <w:r w:rsidRPr="00EA4C9B">
        <w:t>(reduced fees) are available for taxpayers who have installed water treatment plants</w:t>
      </w:r>
      <w:r w:rsidRPr="00EA4C9B">
        <w:rPr>
          <w:rStyle w:val="FootnoteReference"/>
        </w:rPr>
        <w:footnoteReference w:id="103"/>
      </w:r>
      <w:r w:rsidRPr="00EA4C9B">
        <w:t xml:space="preserve">. Additionally, the fee must not be lower than the estimated costs of purifying the discharged water. As such, the national tariff is determined based on the total funding required for water treatment at the national level and the estimated quantity of polluted water discharged. The </w:t>
      </w:r>
      <w:r w:rsidRPr="00EA4C9B">
        <w:rPr>
          <w:b/>
          <w:bCs/>
        </w:rPr>
        <w:t xml:space="preserve">funds are earmarked </w:t>
      </w:r>
      <w:r w:rsidRPr="00EA4C9B">
        <w:t>for water protection measures and the financing of public water services. They also support the construction of new water protection infrastructure. However, they cannot be used to finance the maintenance or development of wastewater sewerage networks in settlements.</w:t>
      </w:r>
    </w:p>
    <w:p w14:paraId="047E47AC" w14:textId="3064CE7C" w:rsidR="00392FDA" w:rsidRPr="00EA4C9B" w:rsidRDefault="00392FDA" w:rsidP="00392FDA">
      <w:r w:rsidRPr="00EA4C9B">
        <w:t xml:space="preserve">The </w:t>
      </w:r>
      <w:r w:rsidRPr="00EA4C9B">
        <w:rPr>
          <w:b/>
          <w:bCs/>
        </w:rPr>
        <w:t xml:space="preserve">Water management fee (water regulation fee) (natural persons) </w:t>
      </w:r>
      <w:r w:rsidRPr="00EA4C9B">
        <w:t xml:space="preserve">was introduced prior to 1995. It applies to owners legal holders of real estate, including tenants (lessees). The </w:t>
      </w:r>
      <w:r w:rsidRPr="00EA4C9B">
        <w:rPr>
          <w:b/>
          <w:bCs/>
        </w:rPr>
        <w:t>tax base</w:t>
      </w:r>
      <w:r w:rsidRPr="00EA4C9B">
        <w:t xml:space="preserve"> includes all real estate, except for agricultural land. The fee is calculated per square meter of the relevant property. For business premises, the rate is based on the taxpayer’s main economic activity, in line with the National Classification of Activities 2007 – NKD 2007</w:t>
      </w:r>
      <w:r w:rsidRPr="00EA4C9B">
        <w:rPr>
          <w:rStyle w:val="FootnoteReference"/>
        </w:rPr>
        <w:footnoteReference w:id="104"/>
      </w:r>
      <w:r w:rsidRPr="00EA4C9B">
        <w:t>. If the fee is not directly levied on the tenant, it is paid by the property owner according to the tariff for real estate activities</w:t>
      </w:r>
      <w:r w:rsidRPr="00EA4C9B">
        <w:rPr>
          <w:rStyle w:val="FootnoteReference"/>
        </w:rPr>
        <w:footnoteReference w:id="105"/>
      </w:r>
      <w:r w:rsidRPr="00EA4C9B">
        <w:t xml:space="preserve">. </w:t>
      </w:r>
      <w:r w:rsidRPr="00EA4C9B">
        <w:rPr>
          <w:b/>
          <w:bCs/>
        </w:rPr>
        <w:t>Revenue is earmarked</w:t>
      </w:r>
      <w:r w:rsidRPr="00EA4C9B">
        <w:t xml:space="preserve"> for various water management objectives, including financing flood defences, drainage systems, stormwater management, sediment removal, and securing public water land</w:t>
      </w:r>
      <w:r w:rsidRPr="00EA4C9B">
        <w:rPr>
          <w:rStyle w:val="FootnoteReference"/>
        </w:rPr>
        <w:footnoteReference w:id="106"/>
      </w:r>
      <w:r w:rsidRPr="00EA4C9B">
        <w:t>.</w:t>
      </w:r>
    </w:p>
    <w:p w14:paraId="69466C60" w14:textId="3B801D47" w:rsidR="00392FDA" w:rsidRPr="00EA4C9B" w:rsidRDefault="00392FDA" w:rsidP="00392FDA">
      <w:r w:rsidRPr="00EA4C9B">
        <w:t xml:space="preserve">The </w:t>
      </w:r>
      <w:r w:rsidRPr="00EA4C9B">
        <w:rPr>
          <w:b/>
          <w:bCs/>
        </w:rPr>
        <w:t xml:space="preserve">Water use charge (water use fee) (natural persons) </w:t>
      </w:r>
      <w:r w:rsidRPr="00EA4C9B">
        <w:t xml:space="preserve">was introduced prior to 1996. </w:t>
      </w:r>
      <w:r w:rsidRPr="00EA4C9B">
        <w:rPr>
          <w:b/>
        </w:rPr>
        <w:t>Taxpayers</w:t>
      </w:r>
      <w:r w:rsidRPr="00EA4C9B">
        <w:t xml:space="preserve"> include companies and individuals</w:t>
      </w:r>
      <w:r w:rsidRPr="00EA4C9B" w:rsidDel="002369D4">
        <w:t xml:space="preserve"> </w:t>
      </w:r>
      <w:r w:rsidRPr="00EA4C9B">
        <w:t xml:space="preserve">who abstract and draw water from its natural reservoir, irrespective of the intended use. This includes water used in industry, service activities, agriculture and communal </w:t>
      </w:r>
      <w:r w:rsidRPr="00EA4C9B">
        <w:lastRenderedPageBreak/>
        <w:t xml:space="preserve">activities. The charge must be paid by direct users of water resources, such as companies and individuals who utilise water power for electricity generation or to operate devices for household needs. Persons abstracting groundwater from private wells or using personal pumps may still be subject to the charge, as groundwater is considered a common good, and not the private property of landowners. The </w:t>
      </w:r>
      <w:r w:rsidRPr="00EA4C9B">
        <w:rPr>
          <w:b/>
          <w:bCs/>
        </w:rPr>
        <w:t xml:space="preserve">tax base </w:t>
      </w:r>
      <w:r w:rsidRPr="00EA4C9B">
        <w:t>includes the abstraction and use of water from their natural reservoirs for various purposes. It is also paid for the use of water power for the production of electricity and for the operation of various devices and applies to users within amelioration irrigation system. The tax rate varies depending on the type of water</w:t>
      </w:r>
      <w:r w:rsidRPr="00EA4C9B">
        <w:rPr>
          <w:rStyle w:val="FootnoteReference"/>
        </w:rPr>
        <w:footnoteReference w:id="107"/>
      </w:r>
      <w:r w:rsidRPr="00EA4C9B">
        <w:t xml:space="preserve">. The </w:t>
      </w:r>
      <w:r w:rsidRPr="00EA4C9B">
        <w:rPr>
          <w:b/>
          <w:bCs/>
        </w:rPr>
        <w:t>revenue is earmarked</w:t>
      </w:r>
      <w:r w:rsidRPr="00EA4C9B">
        <w:t xml:space="preserve"> to finance water supply security and proportional contributions to the cost of jobs in the public water services. A portion of the funds is allocated to investments in new water-use infrastructure, such as water intakes, drinking water treatment plants, storage tanks and main pipelines</w:t>
      </w:r>
      <w:r w:rsidRPr="00EA4C9B">
        <w:rPr>
          <w:rStyle w:val="FootnoteReference"/>
        </w:rPr>
        <w:footnoteReference w:id="108"/>
      </w:r>
      <w:r w:rsidRPr="00EA4C9B">
        <w:t>. The fee for the use of water is not paid for the general use of water.</w:t>
      </w:r>
      <w:r w:rsidRPr="00EA4C9B">
        <w:rPr>
          <w:rStyle w:val="FootnoteReference"/>
        </w:rPr>
        <w:footnoteReference w:id="109"/>
      </w:r>
    </w:p>
    <w:p w14:paraId="3E7C56C8" w14:textId="77777777" w:rsidR="00392FDA" w:rsidRPr="00EA4C9B" w:rsidRDefault="00392FDA" w:rsidP="00392FDA">
      <w:pPr>
        <w:pStyle w:val="Heading4"/>
      </w:pPr>
      <w:r w:rsidRPr="00EA4C9B">
        <w:t>Fees and other related instruments</w:t>
      </w:r>
    </w:p>
    <w:p w14:paraId="431A1DFC" w14:textId="77777777" w:rsidR="00392FDA" w:rsidRPr="00EA4C9B" w:rsidRDefault="00392FDA" w:rsidP="00392FDA">
      <w:r w:rsidRPr="00EA4C9B">
        <w:t>It is not always completely clear whether some of the instruments described above should be considered as taxes or as user fees. This is supported by the IEEP report, and the classification of the above ‘fees’ and ‘charges’ as environmental taxes in the National Tax List data</w:t>
      </w:r>
      <w:r w:rsidRPr="00EA4C9B">
        <w:rPr>
          <w:rStyle w:val="FootnoteReference"/>
        </w:rPr>
        <w:footnoteReference w:id="110"/>
      </w:r>
      <w:r w:rsidRPr="00EA4C9B">
        <w:t>. These include fees for water abstraction, wastewater discharge, and various user charges associated with packaging and waste.</w:t>
      </w:r>
    </w:p>
    <w:p w14:paraId="16BCB7E9" w14:textId="3CF00249" w:rsidR="00392FDA" w:rsidRPr="00EA4C9B" w:rsidRDefault="00392FDA" w:rsidP="00392FDA">
      <w:r w:rsidRPr="00EA4C9B">
        <w:t xml:space="preserve">A key example is the </w:t>
      </w:r>
      <w:r w:rsidRPr="00EA4C9B">
        <w:rPr>
          <w:b/>
          <w:bCs/>
        </w:rPr>
        <w:t xml:space="preserve">waste packaging management fee and deposit fee, </w:t>
      </w:r>
      <w:r w:rsidRPr="00EA4C9B">
        <w:t>introduced in 2006</w:t>
      </w:r>
      <w:r w:rsidR="00A751B7">
        <w:t>.</w:t>
      </w:r>
      <w:r w:rsidRPr="00EA4C9B">
        <w:rPr>
          <w:rStyle w:val="FootnoteReference"/>
        </w:rPr>
        <w:footnoteReference w:id="111"/>
      </w:r>
      <w:r w:rsidRPr="00EA4C9B">
        <w:t xml:space="preserve"> </w:t>
      </w:r>
      <w:r w:rsidR="00A751B7">
        <w:t>The system</w:t>
      </w:r>
      <w:r w:rsidRPr="00EA4C9B">
        <w:t xml:space="preserve"> currently governed by Ordinance 137/2023</w:t>
      </w:r>
      <w:r w:rsidR="00E75A6B">
        <w:t>,</w:t>
      </w:r>
      <w:r w:rsidRPr="00EA4C9B">
        <w:rPr>
          <w:rStyle w:val="FootnoteReference"/>
        </w:rPr>
        <w:footnoteReference w:id="112"/>
      </w:r>
      <w:r w:rsidRPr="00EA4C9B">
        <w:t xml:space="preserve"> </w:t>
      </w:r>
      <w:r w:rsidR="008E0B0F">
        <w:t xml:space="preserve">which </w:t>
      </w:r>
      <w:r w:rsidR="003158F2">
        <w:t xml:space="preserve">sets out technical </w:t>
      </w:r>
      <w:r w:rsidR="00A751B7">
        <w:t>requirements</w:t>
      </w:r>
      <w:r w:rsidR="002E13B2">
        <w:t>,</w:t>
      </w:r>
      <w:r w:rsidRPr="00EA4C9B">
        <w:t xml:space="preserve"> and by </w:t>
      </w:r>
      <w:r w:rsidR="002E13B2">
        <w:t xml:space="preserve">Government Regulation </w:t>
      </w:r>
      <w:r w:rsidR="008E0B0F">
        <w:t>137/2024,</w:t>
      </w:r>
      <w:r w:rsidR="00DC27BA">
        <w:rPr>
          <w:rStyle w:val="FootnoteReference"/>
        </w:rPr>
        <w:footnoteReference w:id="113"/>
      </w:r>
      <w:r w:rsidR="008E0B0F">
        <w:t xml:space="preserve"> which amends </w:t>
      </w:r>
      <w:r w:rsidRPr="00EA4C9B">
        <w:t xml:space="preserve">the </w:t>
      </w:r>
      <w:r w:rsidR="002E13B2">
        <w:t xml:space="preserve">overarching </w:t>
      </w:r>
      <w:r w:rsidR="005F633A">
        <w:t xml:space="preserve">regulatory framework for </w:t>
      </w:r>
      <w:r w:rsidR="00257C37">
        <w:t>packaging</w:t>
      </w:r>
      <w:r w:rsidR="008E0B0F">
        <w:t xml:space="preserve"> waste management.</w:t>
      </w:r>
      <w:r w:rsidR="005F633A">
        <w:t xml:space="preserve"> The 2024 Regulation introduced new provision</w:t>
      </w:r>
      <w:r w:rsidR="00C279F6">
        <w:t>s</w:t>
      </w:r>
      <w:r w:rsidR="005F633A">
        <w:t xml:space="preserve"> in line with the EU Waste Framework Directive, including eco-modulation</w:t>
      </w:r>
      <w:r w:rsidR="001A052C">
        <w:t xml:space="preserve">. </w:t>
      </w:r>
      <w:r w:rsidR="008E0B0F">
        <w:t xml:space="preserve"> </w:t>
      </w:r>
      <w:r w:rsidRPr="00EA4C9B">
        <w:t>Though recorded as a tax in Croatia’s National Tax List and the IEEP report, it is treated as an Extended Producer Responsibility (EPR) scheme by the European Environment Agency (Early Warning Country Profile</w:t>
      </w:r>
      <w:r w:rsidRPr="00EA4C9B">
        <w:rPr>
          <w:rStyle w:val="FootnoteReference"/>
        </w:rPr>
        <w:footnoteReference w:id="114"/>
      </w:r>
      <w:r w:rsidRPr="00EA4C9B">
        <w:t>). Taxpayers are producers and importers placing packaged products on the Croatian market</w:t>
      </w:r>
      <w:r w:rsidRPr="00EA4C9B">
        <w:rPr>
          <w:rStyle w:val="FootnoteReference"/>
        </w:rPr>
        <w:footnoteReference w:id="115"/>
      </w:r>
      <w:r w:rsidRPr="00EA4C9B">
        <w:t xml:space="preserve">. The tax base </w:t>
      </w:r>
      <w:r w:rsidR="00B107D7">
        <w:t>includes</w:t>
      </w:r>
      <w:r w:rsidRPr="00EA4C9B">
        <w:t xml:space="preserve"> packaging and packing waste, single-use plastic products and fishing gear containing plastic that are placed on the market. The </w:t>
      </w:r>
      <w:r w:rsidRPr="00EA4C9B">
        <w:rPr>
          <w:b/>
          <w:bCs/>
        </w:rPr>
        <w:t xml:space="preserve">funds are paid to the </w:t>
      </w:r>
      <w:r w:rsidRPr="00EA4C9B">
        <w:t>EPEEF and cover the disposal of packaging (collection, transport, treatment, public information and reporting to the EC</w:t>
      </w:r>
      <w:r w:rsidR="00913AFA">
        <w:t>)</w:t>
      </w:r>
      <w:r w:rsidRPr="00EA4C9B">
        <w:t>.</w:t>
      </w:r>
      <w:r w:rsidRPr="00EA4C9B">
        <w:rPr>
          <w:rStyle w:val="FootnoteReference"/>
        </w:rPr>
        <w:footnoteReference w:id="116"/>
      </w:r>
      <w:r w:rsidRPr="00EA4C9B">
        <w:t xml:space="preserve"> No fees apply to hazardous packaging waste, producers are required to organise its collection and treatment independently.  </w:t>
      </w:r>
    </w:p>
    <w:p w14:paraId="60E82A94" w14:textId="2D51F787" w:rsidR="00392FDA" w:rsidRPr="00EA4C9B" w:rsidRDefault="00392FDA" w:rsidP="00392FDA">
      <w:pPr>
        <w:shd w:val="clear" w:color="auto" w:fill="FFFFFF" w:themeFill="background1"/>
      </w:pPr>
      <w:r w:rsidRPr="00EA4C9B">
        <w:lastRenderedPageBreak/>
        <w:t xml:space="preserve">Croatia has implemented a </w:t>
      </w:r>
      <w:r w:rsidRPr="00EA4C9B">
        <w:rPr>
          <w:b/>
          <w:bCs/>
        </w:rPr>
        <w:t xml:space="preserve">Pay-as-you-throw (PAYT) system, </w:t>
      </w:r>
      <w:r w:rsidRPr="00EA4C9B">
        <w:t xml:space="preserve">covering more than 90% of the population in 2020.  Most local authorities use a model based on container volume </w:t>
      </w:r>
      <w:r w:rsidR="00FE1908" w:rsidRPr="00EA4C9B">
        <w:t>and collection</w:t>
      </w:r>
      <w:r w:rsidRPr="00EA4C9B">
        <w:t xml:space="preserve"> frequency</w:t>
      </w:r>
      <w:r w:rsidRPr="00EA4C9B">
        <w:rPr>
          <w:rStyle w:val="FootnoteReference"/>
        </w:rPr>
        <w:footnoteReference w:id="117"/>
      </w:r>
      <w:r w:rsidRPr="00EA4C9B">
        <w:t xml:space="preserve">.The system is designed to incentivise waste separation at source, reduce mixed and biodegradable waste and decrease landfill use, though its economic visibility to households remains limited (compared to weight or </w:t>
      </w:r>
      <w:r w:rsidR="00FE1908" w:rsidRPr="00EA4C9B">
        <w:t>sack-based</w:t>
      </w:r>
      <w:r w:rsidRPr="00EA4C9B">
        <w:t xml:space="preserve"> schemes)</w:t>
      </w:r>
      <w:r w:rsidRPr="00EA4C9B">
        <w:rPr>
          <w:rStyle w:val="FootnoteReference"/>
        </w:rPr>
        <w:footnoteReference w:id="118"/>
      </w:r>
      <w:r w:rsidRPr="00EA4C9B">
        <w:t xml:space="preserve">.  </w:t>
      </w:r>
    </w:p>
    <w:p w14:paraId="45B64DCD" w14:textId="5E948E06" w:rsidR="00392FDA" w:rsidRPr="00EA4C9B" w:rsidRDefault="00392FDA" w:rsidP="00392FDA">
      <w:pPr>
        <w:shd w:val="clear" w:color="auto" w:fill="FFFFFF" w:themeFill="background1"/>
      </w:pPr>
      <w:r w:rsidRPr="00EA4C9B">
        <w:t>In addition to the environmental taxes identified above, C</w:t>
      </w:r>
      <w:r w:rsidR="004C7E76">
        <w:t>roatia</w:t>
      </w:r>
      <w:r w:rsidRPr="00EA4C9B">
        <w:t xml:space="preserve"> implements other fees related to the use of the environment</w:t>
      </w:r>
      <w:r w:rsidRPr="00EA4C9B">
        <w:rPr>
          <w:b/>
          <w:bCs/>
        </w:rPr>
        <w:t>. Game hunting</w:t>
      </w:r>
      <w:r w:rsidRPr="00EA4C9B">
        <w:t xml:space="preserve"> in Croatia requires a valid hunting </w:t>
      </w:r>
      <w:r w:rsidR="00FE1908" w:rsidRPr="00EA4C9B">
        <w:t>card, written</w:t>
      </w:r>
      <w:r w:rsidRPr="00EA4C9B">
        <w:t xml:space="preserve"> permission from the hunting authority, and a valid weapons licence for holding and carrying weapons for the purpose of hunting. Hunting cards for citizens of the Republic of Croatia are EUR 50,00 (annual) and for foreign citizens and EUR 70,00 (30 days) or EUR 300,000 (annual)</w:t>
      </w:r>
      <w:r w:rsidRPr="00EA4C9B">
        <w:rPr>
          <w:rStyle w:val="FootnoteReference"/>
        </w:rPr>
        <w:footnoteReference w:id="119"/>
      </w:r>
      <w:r w:rsidRPr="00EA4C9B">
        <w:t xml:space="preserve">. </w:t>
      </w:r>
      <w:r w:rsidRPr="00EA4C9B">
        <w:rPr>
          <w:b/>
          <w:bCs/>
        </w:rPr>
        <w:t xml:space="preserve">Recreational and sports fishing </w:t>
      </w:r>
      <w:r w:rsidRPr="00EA4C9B">
        <w:t xml:space="preserve">requires </w:t>
      </w:r>
      <w:r w:rsidR="00FE1908" w:rsidRPr="00EA4C9B">
        <w:t>a</w:t>
      </w:r>
      <w:r w:rsidR="00FE1908" w:rsidRPr="00EA4C9B">
        <w:rPr>
          <w:b/>
          <w:bCs/>
        </w:rPr>
        <w:t xml:space="preserve"> </w:t>
      </w:r>
      <w:r w:rsidR="00FE1908" w:rsidRPr="00EA4C9B">
        <w:t>licence</w:t>
      </w:r>
      <w:r w:rsidRPr="00EA4C9B">
        <w:t xml:space="preserve"> for both sea and freshwater bodies</w:t>
      </w:r>
      <w:r w:rsidRPr="00EA4C9B">
        <w:rPr>
          <w:rStyle w:val="FootnoteReference"/>
        </w:rPr>
        <w:footnoteReference w:id="120"/>
      </w:r>
      <w:r w:rsidRPr="00EA4C9B">
        <w:t xml:space="preserve">. </w:t>
      </w:r>
      <w:r w:rsidRPr="00EA4C9B">
        <w:rPr>
          <w:b/>
          <w:bCs/>
        </w:rPr>
        <w:t>Sea fishing</w:t>
      </w:r>
      <w:r w:rsidRPr="00EA4C9B">
        <w:t xml:space="preserve"> licences are available for 1, 3, 7 or 150 days, with prices starting at 7.96 EUR (1 day) to 99.54 EUR (150 day)</w:t>
      </w:r>
      <w:r w:rsidRPr="00EA4C9B">
        <w:rPr>
          <w:rStyle w:val="FootnoteReference"/>
        </w:rPr>
        <w:t xml:space="preserve"> </w:t>
      </w:r>
      <w:r w:rsidRPr="00EA4C9B">
        <w:rPr>
          <w:rStyle w:val="FootnoteReference"/>
        </w:rPr>
        <w:footnoteReference w:id="121"/>
      </w:r>
      <w:r w:rsidRPr="00EA4C9B">
        <w:t>,</w:t>
      </w:r>
      <w:r w:rsidRPr="00EA4C9B">
        <w:rPr>
          <w:rStyle w:val="FootnoteReference"/>
        </w:rPr>
        <w:footnoteReference w:id="122"/>
      </w:r>
      <w:r w:rsidRPr="00EA4C9B">
        <w:t xml:space="preserve">. </w:t>
      </w:r>
      <w:r w:rsidRPr="00EA4C9B">
        <w:rPr>
          <w:b/>
          <w:bCs/>
        </w:rPr>
        <w:t xml:space="preserve">Freshwater fishing </w:t>
      </w:r>
      <w:r w:rsidRPr="00EA4C9B">
        <w:t xml:space="preserve">requires passing a fishing exam and joining a recognised club. Prices begin at 2.66 EUR (1 day) to 13,27 EUR (annual licence) </w:t>
      </w:r>
      <w:r w:rsidRPr="00EA4C9B">
        <w:rPr>
          <w:rStyle w:val="FootnoteReference"/>
        </w:rPr>
        <w:footnoteReference w:id="123"/>
      </w:r>
      <w:r w:rsidRPr="00EA4C9B">
        <w:t xml:space="preserve">, </w:t>
      </w:r>
      <w:r w:rsidRPr="00EA4C9B">
        <w:rPr>
          <w:rStyle w:val="FootnoteReference"/>
        </w:rPr>
        <w:footnoteReference w:id="124"/>
      </w:r>
      <w:r w:rsidRPr="00EA4C9B">
        <w:t xml:space="preserve">. </w:t>
      </w:r>
    </w:p>
    <w:p w14:paraId="7DD389BC" w14:textId="77777777" w:rsidR="00392FDA" w:rsidRPr="00EA4C9B" w:rsidRDefault="00392FDA" w:rsidP="00392FDA">
      <w:pPr>
        <w:shd w:val="clear" w:color="auto" w:fill="FFFFFF" w:themeFill="background1"/>
        <w:rPr>
          <w:b/>
          <w:bCs/>
        </w:rPr>
      </w:pPr>
      <w:r w:rsidRPr="00EA4C9B">
        <w:rPr>
          <w:b/>
          <w:bCs/>
        </w:rPr>
        <w:t xml:space="preserve">Foraging </w:t>
      </w:r>
      <w:r w:rsidRPr="00EA4C9B">
        <w:t>in forests managed by Hrvatske šume (Croatian Forests) requires a collection permit ("</w:t>
      </w:r>
      <w:r w:rsidRPr="00EA4C9B">
        <w:rPr>
          <w:i/>
          <w:iCs/>
        </w:rPr>
        <w:t>dozvola za sakupljanje nedrvnih šumskih proizvoda</w:t>
      </w:r>
      <w:r w:rsidRPr="00EA4C9B">
        <w:t>" / permit for collection of non-timber forest products). This applies to: mushrooms, forest fruits, chestnuts, medicinal plants, wild berries)</w:t>
      </w:r>
      <w:r w:rsidRPr="00EA4C9B">
        <w:rPr>
          <w:rStyle w:val="FootnoteReference"/>
        </w:rPr>
        <w:footnoteReference w:id="125"/>
      </w:r>
      <w:r w:rsidRPr="00EA4C9B">
        <w:t>. All foragers of non-wood forest products for personal use require a permit to enter areas managed by Croatian Forests</w:t>
      </w:r>
      <w:r w:rsidRPr="00EA4C9B">
        <w:rPr>
          <w:rStyle w:val="FootnoteReference"/>
        </w:rPr>
        <w:footnoteReference w:id="126"/>
      </w:r>
      <w:r w:rsidRPr="00EA4C9B">
        <w:t xml:space="preserve">. Annual permits for personal use are available via regional officer or online. Certain conditions may apply to different produce, for example, individuals foraging for </w:t>
      </w:r>
      <w:r w:rsidRPr="00EA4C9B">
        <w:rPr>
          <w:b/>
          <w:bCs/>
        </w:rPr>
        <w:t>mushrooms</w:t>
      </w:r>
      <w:r w:rsidRPr="00EA4C9B">
        <w:t xml:space="preserve"> are allowed to collect a maximum of three kilograms of mushrooms per day</w:t>
      </w:r>
      <w:r w:rsidRPr="00EA4C9B">
        <w:rPr>
          <w:rStyle w:val="FootnoteReference"/>
        </w:rPr>
        <w:footnoteReference w:id="127"/>
      </w:r>
      <w:r w:rsidRPr="00EA4C9B">
        <w:t>. Different rules apply for commercial purposes</w:t>
      </w:r>
      <w:r w:rsidRPr="00EA4C9B">
        <w:rPr>
          <w:rStyle w:val="FootnoteReference"/>
        </w:rPr>
        <w:footnoteReference w:id="128"/>
      </w:r>
      <w:r w:rsidRPr="00EA4C9B">
        <w:t xml:space="preserve">. Special conditions apply to the </w:t>
      </w:r>
      <w:r w:rsidRPr="00EA4C9B">
        <w:rPr>
          <w:b/>
          <w:bCs/>
        </w:rPr>
        <w:t xml:space="preserve">harvesting of asparagus, </w:t>
      </w:r>
      <w:r w:rsidRPr="00EA4C9B">
        <w:t>with the aim of ensuring sustainable harvesting</w:t>
      </w:r>
      <w:r w:rsidRPr="00EA4C9B">
        <w:rPr>
          <w:b/>
          <w:bCs/>
        </w:rPr>
        <w:t xml:space="preserve">. </w:t>
      </w:r>
      <w:r w:rsidRPr="00EA4C9B">
        <w:t xml:space="preserve">Harvesting </w:t>
      </w:r>
      <w:r w:rsidRPr="00EA4C9B">
        <w:rPr>
          <w:b/>
          <w:bCs/>
        </w:rPr>
        <w:t>asparagus</w:t>
      </w:r>
      <w:r w:rsidRPr="00EA4C9B">
        <w:t xml:space="preserve"> in state forests</w:t>
      </w:r>
      <w:r w:rsidRPr="00EA4C9B">
        <w:rPr>
          <w:rStyle w:val="FootnoteReference"/>
        </w:rPr>
        <w:footnoteReference w:id="129"/>
      </w:r>
      <w:r w:rsidRPr="00EA4C9B">
        <w:t xml:space="preserve"> for personal use requires a permit and a fee of 60 EUR cents per 10 pieces. Commercial harvesting requires approval by the Ministry of Environmental and Nature Protection, a separate permit and a per-piece fee (same fee as for recreational pickers) </w:t>
      </w:r>
      <w:r w:rsidRPr="00EA4C9B">
        <w:rPr>
          <w:rStyle w:val="FootnoteReference"/>
        </w:rPr>
        <w:footnoteReference w:id="130"/>
      </w:r>
      <w:r w:rsidRPr="00EA4C9B">
        <w:t>,</w:t>
      </w:r>
      <w:r w:rsidRPr="00EA4C9B">
        <w:rPr>
          <w:rStyle w:val="FootnoteReference"/>
        </w:rPr>
        <w:footnoteReference w:id="131"/>
      </w:r>
      <w:r w:rsidRPr="00EA4C9B">
        <w:t xml:space="preserve">. Some mountain districts may waive fees but still require a permit. </w:t>
      </w:r>
    </w:p>
    <w:p w14:paraId="3757F073" w14:textId="6D9705CE" w:rsidR="00392FDA" w:rsidRPr="00EA4C9B" w:rsidRDefault="00392FDA" w:rsidP="00392FDA">
      <w:pPr>
        <w:shd w:val="clear" w:color="auto" w:fill="FFFFFF" w:themeFill="background1"/>
      </w:pPr>
      <w:r w:rsidRPr="00EA4C9B">
        <w:t xml:space="preserve">Croatia also has a ‘Tourist tax’ (turistička pristojba). This tax applies to all individual using an </w:t>
      </w:r>
      <w:r w:rsidR="00FE1908" w:rsidRPr="00EA4C9B">
        <w:t>accommodation service</w:t>
      </w:r>
      <w:r w:rsidRPr="00EA4C9B">
        <w:t xml:space="preserve"> in an accommodation facility outside their place of residence. The tax is paid to the accommodation service provider. However, the purpose of this tax does not appear linked to </w:t>
      </w:r>
      <w:r w:rsidRPr="00EA4C9B">
        <w:lastRenderedPageBreak/>
        <w:t>environmental objectives, as the tax is considered to be the income of the tourist boards, who use it to perform their tasks and conduct their business</w:t>
      </w:r>
      <w:r w:rsidRPr="00EA4C9B">
        <w:rPr>
          <w:rStyle w:val="FootnoteReference"/>
        </w:rPr>
        <w:footnoteReference w:id="132"/>
      </w:r>
      <w:r w:rsidRPr="00EA4C9B">
        <w:t>. However, Croatia is exploring a new environmental tourist tax in mass-tourism areas (targeted for implementation post 2025) to support nature conservation efforts</w:t>
      </w:r>
      <w:r w:rsidRPr="00EA4C9B">
        <w:rPr>
          <w:rStyle w:val="FootnoteReference"/>
        </w:rPr>
        <w:footnoteReference w:id="133"/>
      </w:r>
      <w:r w:rsidRPr="00EA4C9B">
        <w:t xml:space="preserve">. </w:t>
      </w:r>
    </w:p>
    <w:p w14:paraId="43B04F0F" w14:textId="77777777" w:rsidR="00392FDA" w:rsidRPr="00FE1908" w:rsidRDefault="00392FDA" w:rsidP="00FE1908">
      <w:pPr>
        <w:pStyle w:val="Heading4"/>
      </w:pPr>
      <w:r w:rsidRPr="00FE1908">
        <w:t xml:space="preserve">Inconsistencies or inefficiencies in the current tax system </w:t>
      </w:r>
    </w:p>
    <w:p w14:paraId="5DD5BFC6" w14:textId="2DDD9009" w:rsidR="00392FDA" w:rsidRPr="00EA4C9B" w:rsidRDefault="00392FDA" w:rsidP="00FE1908">
      <w:r w:rsidRPr="00EA4C9B">
        <w:t xml:space="preserve">In 2023, revenues from resource and pollution tax revenues in Croatia in 2023 were estimated at EUR 328 million and EUR 121 million respectively. These figures fall short when compared with the scale of environmental degradation estimated </w:t>
      </w:r>
      <w:r w:rsidR="00900E03">
        <w:t>by the World Bank in 2021</w:t>
      </w:r>
      <w:r w:rsidRPr="00EA4C9B">
        <w:rPr>
          <w:rStyle w:val="FootnoteReference"/>
          <w:rFonts w:ascii="Calibri" w:hAnsi="Calibri" w:cs="Calibri"/>
        </w:rPr>
        <w:footnoteReference w:id="134"/>
      </w:r>
      <w:r w:rsidRPr="00EA4C9B">
        <w:t>. The report identified multiple impact areas, namely air pollution, marine litter, poor waste and wastewater management, tourism-related environmental impacts, and the loss of ecosystem services, each costing up to EUR 150 million annually</w:t>
      </w:r>
      <w:r w:rsidRPr="00EA4C9B">
        <w:rPr>
          <w:rStyle w:val="FootnoteReference"/>
          <w:rFonts w:ascii="Calibri" w:hAnsi="Calibri" w:cs="Calibri"/>
        </w:rPr>
        <w:footnoteReference w:id="135"/>
      </w:r>
      <w:r w:rsidRPr="00EA4C9B">
        <w:t xml:space="preserve">  Suggesting that environmental costs in aggregate may exceed the revenue collected through these tax instruments. This indicates that some sectors are likely contributing less </w:t>
      </w:r>
      <w:r w:rsidR="00BC621C" w:rsidRPr="00EA4C9B">
        <w:t>to</w:t>
      </w:r>
      <w:r w:rsidRPr="00EA4C9B">
        <w:t xml:space="preserve"> environmental taxes than the external costs they impose.  The report finds that economic activities in Croatia place growing pressure on natural resources, leading to environmental degradation and associated costs. By applying welfare- and market-based methods, the 2018 cost of environmental degradation assessment quantified the economic impact of this degradation and highlights the need for better protection of natural capital.</w:t>
      </w:r>
    </w:p>
    <w:p w14:paraId="6C2AFA26" w14:textId="77777777" w:rsidR="00392FDA" w:rsidRPr="00EA4C9B" w:rsidRDefault="00392FDA" w:rsidP="00FE1908">
      <w:r w:rsidRPr="00EA4C9B">
        <w:t>Croatia’s energy tax structure illustrates this inefficiency, as it is not aligned with the carbon content of fuels. Although excise duties on energy, particularly transport fuels, are the main domestic instrument for carbon pricing, the system results in highly uneven effective carbon prices across fuel types and uses. Excise rates on transport fuels correspond to €130–260/tCO₂, while rates for heating fuels are significantly lower, ranging from €7–24/tCO₂. Natural gas, coal, and electricity used for heating are lightly taxed, despite their associated emissions, and diesel is taxed less per unit of CO₂ than petrol</w:t>
      </w:r>
      <w:r w:rsidRPr="00EA4C9B">
        <w:rPr>
          <w:rStyle w:val="FootnoteReference"/>
        </w:rPr>
        <w:footnoteReference w:id="136"/>
      </w:r>
      <w:r w:rsidRPr="00EA4C9B">
        <w:t>.</w:t>
      </w:r>
    </w:p>
    <w:p w14:paraId="47CB813C" w14:textId="77777777" w:rsidR="00392FDA" w:rsidRPr="00EA4C9B" w:rsidRDefault="00392FDA" w:rsidP="00392FDA">
      <w:r w:rsidRPr="00EA4C9B">
        <w:t>Compounding this, Croatia implemented broad-based energy subsidies in response to the energy crisis, including price caps and excise duty reductions for motor and heating fuels, as well as VAT cuts (to 13% for electricity and 5% for gas and district heating). These measures, which remained in place in 2024, have eroded carbon price signals, with estimated revenue losses of around 0.8% of GDP and total subsidies reaching 3% of GDP during 2022–2024. Consequently, Croatia’s fossil fuel tax policy is misaligned with the carbon intensity of energy sources, weakening incentives for emissions reductions, energy efficiency, and fuel switching; running counter to EU climate and decarbonisation targets.</w:t>
      </w:r>
      <w:r w:rsidRPr="00EA4C9B">
        <w:rPr>
          <w:rStyle w:val="FootnoteReference"/>
        </w:rPr>
        <w:footnoteReference w:id="137"/>
      </w:r>
    </w:p>
    <w:p w14:paraId="6529B72E" w14:textId="77777777" w:rsidR="00392FDA" w:rsidRPr="00EA4C9B" w:rsidRDefault="00392FDA" w:rsidP="00392FDA">
      <w:r w:rsidRPr="00EA4C9B">
        <w:t xml:space="preserve">In Croatia, excise duties on energy sources are generally set above the minimum levels required by the EU Excise Tax Directive (ETD), reflecting some alignment with carbon content. However, most rates remain below the EU-28 median and average, except for certain industrial and commercial motor fuels where rates are higher. Since joining the EU in 2013, Croatia has standardised excise duties </w:t>
      </w:r>
      <w:r w:rsidRPr="00EA4C9B">
        <w:lastRenderedPageBreak/>
        <w:t xml:space="preserve">and introduced new taxes on natural gas, coal, coke, and electricity, particularly increasing taxes on fuels used for heating.  The system also incorporates some exemptions for household fuel use (Hogg et al). </w:t>
      </w:r>
    </w:p>
    <w:p w14:paraId="27E6C823" w14:textId="237069B2" w:rsidR="00392FDA" w:rsidRPr="00EA4C9B" w:rsidRDefault="00392FDA" w:rsidP="00392FDA">
      <w:r w:rsidRPr="00EA4C9B">
        <w:t>Although the Croatian vehicle registration tax directly considers the vehicle’s CO2 emissions or environmental class, agriculture, fishing, and aquaculture benefit from a fuel tax exemption on "blue-dyed diesel," introduced in 2010 and extended to navigation in 2014</w:t>
      </w:r>
      <w:r w:rsidRPr="00EA4C9B">
        <w:rPr>
          <w:rStyle w:val="FootnoteReference"/>
        </w:rPr>
        <w:footnoteReference w:id="138"/>
      </w:r>
      <w:r w:rsidRPr="00EA4C9B">
        <w:t>. This subsidy, worth EUR 98.7 million in 2019, makes diesel roughly 37.5% cheaper for these sectors</w:t>
      </w:r>
      <w:r w:rsidRPr="00EA4C9B">
        <w:rPr>
          <w:rStyle w:val="FootnoteReference"/>
        </w:rPr>
        <w:footnoteReference w:id="139"/>
      </w:r>
      <w:r w:rsidRPr="00EA4C9B">
        <w:t>. As a result, they pay disproportionately low environmental taxes relative to their impact. For example, agriculture alone contributes over 10% of Croatia’s GHG emissions and 84.55% of ammonia emissions</w:t>
      </w:r>
      <w:r w:rsidRPr="00EA4C9B">
        <w:rPr>
          <w:rStyle w:val="FootnoteReference"/>
        </w:rPr>
        <w:footnoteReference w:id="140"/>
      </w:r>
      <w:r w:rsidRPr="00EA4C9B">
        <w:rPr>
          <w:rStyle w:val="FootnoteReference"/>
        </w:rPr>
        <w:footnoteReference w:id="141"/>
      </w:r>
      <w:r w:rsidRPr="00EA4C9B">
        <w:t>. This exemption weakens incentives for energy efficiency and shifts environmental and fiscal costs to other sectors and the public. Decarbonisation of the transport sector could be supported by replacing the “blue-dyed diesel” exemption with a subsidy for the use of biodiesel and its production in these sectors</w:t>
      </w:r>
      <w:r w:rsidRPr="00EA4C9B">
        <w:rPr>
          <w:rStyle w:val="FootnoteReference"/>
        </w:rPr>
        <w:footnoteReference w:id="142"/>
      </w:r>
      <w:r w:rsidRPr="00EA4C9B">
        <w:t>.</w:t>
      </w:r>
    </w:p>
    <w:p w14:paraId="0E4AF752" w14:textId="1AEFE8D6" w:rsidR="00392FDA" w:rsidRPr="00FE1908" w:rsidRDefault="00392FDA" w:rsidP="00392FDA">
      <w:r w:rsidRPr="00EA4C9B">
        <w:t>Other environmentally harmful subsidies include a fertiliser subsidy/lower VAT rate on pesticides and plant protection products and a meat-production related subsidy</w:t>
      </w:r>
      <w:r w:rsidRPr="00EA4C9B">
        <w:rPr>
          <w:rStyle w:val="FootnoteReference"/>
        </w:rPr>
        <w:footnoteReference w:id="143"/>
      </w:r>
      <w:r w:rsidRPr="00EA4C9B">
        <w:t xml:space="preserve">. Forestry has </w:t>
      </w:r>
      <w:r w:rsidR="00FE1908" w:rsidRPr="00EA4C9B">
        <w:t>also benefited</w:t>
      </w:r>
      <w:r w:rsidRPr="00EA4C9B">
        <w:t xml:space="preserve"> from reduced environmental tax obligations. With respect to the ‘Contributions for forest’ tax, since 2006, small businesses have been exempt, and the tax rate for forest services was cut by 25% in 2010. As a result, smaller operators in the sector bear a lighter financial burden for environmental impacts compared to larger entities and other industries.</w:t>
      </w:r>
    </w:p>
    <w:p w14:paraId="6CFEC6B9" w14:textId="77777777" w:rsidR="00392FDA" w:rsidRPr="00BC621C" w:rsidRDefault="00392FDA" w:rsidP="00BC621C">
      <w:pPr>
        <w:pStyle w:val="Heading4"/>
        <w:rPr>
          <w:rStyle w:val="Strong"/>
          <w:b/>
          <w:bCs/>
        </w:rPr>
      </w:pPr>
      <w:r w:rsidRPr="00BC621C">
        <w:rPr>
          <w:rStyle w:val="Strong"/>
          <w:b/>
          <w:bCs/>
        </w:rPr>
        <w:t>Proposed or postponed environmental taxes</w:t>
      </w:r>
    </w:p>
    <w:p w14:paraId="051AA16B" w14:textId="77777777" w:rsidR="00392FDA" w:rsidRPr="00EA4C9B" w:rsidRDefault="00392FDA" w:rsidP="00392FDA">
      <w:r w:rsidRPr="00EA4C9B">
        <w:t>Croatia has effectively postponed the implementation of two environmental taxes through legislative changes, pausing their application.</w:t>
      </w:r>
      <w:r w:rsidRPr="00EA4C9B">
        <w:rPr>
          <w:b/>
          <w:bCs/>
        </w:rPr>
        <w:t xml:space="preserve"> </w:t>
      </w:r>
      <w:r w:rsidRPr="00EA4C9B">
        <w:t>From January 2015, Croatia set the unit fee for both the</w:t>
      </w:r>
      <w:r w:rsidRPr="00EA4C9B">
        <w:rPr>
          <w:b/>
          <w:bCs/>
        </w:rPr>
        <w:t xml:space="preserve"> SO2 and NO2 levies to HRK 0.00. (</w:t>
      </w:r>
      <w:r w:rsidRPr="00EA4C9B">
        <w:t>115/15</w:t>
      </w:r>
      <w:r w:rsidRPr="00EA4C9B">
        <w:rPr>
          <w:rStyle w:val="FootnoteReference"/>
        </w:rPr>
        <w:footnoteReference w:id="144"/>
      </w:r>
      <w:r w:rsidRPr="00EA4C9B">
        <w:t>)</w:t>
      </w:r>
      <w:r w:rsidRPr="00EA4C9B">
        <w:rPr>
          <w:rStyle w:val="FootnoteReference"/>
        </w:rPr>
        <w:footnoteReference w:id="145"/>
      </w:r>
      <w:r w:rsidRPr="00EA4C9B">
        <w:t>. These taxes are effectively paused, with no revenue reported since 2017 (Eurostat). The rational for this change was to reduce the burden on taxpayers and reduce parafiscal charges. When deemed ‘necessary’, the fees can be reactivated</w:t>
      </w:r>
      <w:r w:rsidRPr="00EA4C9B">
        <w:rPr>
          <w:i/>
          <w:iCs/>
          <w:vertAlign w:val="superscript"/>
        </w:rPr>
        <w:footnoteReference w:id="146"/>
      </w:r>
      <w:r w:rsidRPr="00EA4C9B">
        <w:t xml:space="preserve">. </w:t>
      </w:r>
    </w:p>
    <w:p w14:paraId="69AF433C" w14:textId="77777777" w:rsidR="00392FDA" w:rsidRPr="00EA4C9B" w:rsidRDefault="00392FDA" w:rsidP="00392FDA">
      <w:r w:rsidRPr="00EA4C9B">
        <w:t xml:space="preserve">Other dormant or unimplemented taxes include the </w:t>
      </w:r>
      <w:r w:rsidRPr="00EA4C9B">
        <w:rPr>
          <w:b/>
          <w:bCs/>
        </w:rPr>
        <w:t>levy on hazardous waste</w:t>
      </w:r>
      <w:r w:rsidRPr="00EA4C9B">
        <w:t xml:space="preserve"> and the </w:t>
      </w:r>
      <w:r w:rsidRPr="00EA4C9B">
        <w:rPr>
          <w:b/>
          <w:bCs/>
        </w:rPr>
        <w:t xml:space="preserve">levy on the environmental user. </w:t>
      </w:r>
      <w:r w:rsidRPr="00EA4C9B">
        <w:t>Both are included in Croatia’s National Tax List, however hazardous waste levy has not generated revenue since 2007 (Eurostat), and the environmental user charge has yet to be fully implemented.</w:t>
      </w:r>
    </w:p>
    <w:p w14:paraId="1074E253" w14:textId="77777777" w:rsidR="00392FDA" w:rsidRPr="00EA4C9B" w:rsidRDefault="00392FDA" w:rsidP="00392FDA">
      <w:pPr>
        <w:pStyle w:val="Heading4"/>
      </w:pPr>
      <w:r w:rsidRPr="00EA4C9B">
        <w:lastRenderedPageBreak/>
        <w:t>Conclusions, country-specific recommendations and reform progress</w:t>
      </w:r>
    </w:p>
    <w:p w14:paraId="6F1B3D1A" w14:textId="31F3A89D" w:rsidR="00392FDA" w:rsidRPr="00EA4C9B" w:rsidRDefault="00392FDA" w:rsidP="00392FDA">
      <w:r w:rsidRPr="00EA4C9B">
        <w:t>No recent Country Specific Recommendations (CSRs) have explicitly addressed environmental taxation in Croatia</w:t>
      </w:r>
      <w:r w:rsidRPr="00EA4C9B">
        <w:rPr>
          <w:rStyle w:val="FootnoteReference"/>
        </w:rPr>
        <w:footnoteReference w:id="147"/>
      </w:r>
      <w:r w:rsidRPr="00EA4C9B">
        <w:t>. Past EU guidance encouraged shifting taxation away from labour towards other types of taxes which are less detrimental to growth, such as recurrent property, environment and consumption taxes</w:t>
      </w:r>
      <w:r w:rsidRPr="00EA4C9B">
        <w:rPr>
          <w:rStyle w:val="FootnoteReference"/>
          <w:i/>
          <w:iCs/>
        </w:rPr>
        <w:footnoteReference w:id="148"/>
      </w:r>
      <w:r w:rsidRPr="00EA4C9B">
        <w:t xml:space="preserve">. Previous recommendations, such as those made in the IEEP </w:t>
      </w:r>
      <w:r w:rsidR="00D63AD6" w:rsidRPr="00EA4C9B">
        <w:t>report, would</w:t>
      </w:r>
      <w:r w:rsidRPr="00EA4C9B">
        <w:t xml:space="preserve"> help to meet shift the tax burden away from labour to be more growth friendly</w:t>
      </w:r>
      <w:r w:rsidRPr="00EA4C9B">
        <w:rPr>
          <w:rStyle w:val="FootnoteReference"/>
        </w:rPr>
        <w:footnoteReference w:id="149"/>
      </w:r>
      <w:r w:rsidRPr="00EA4C9B">
        <w:t xml:space="preserve"> .</w:t>
      </w:r>
    </w:p>
    <w:p w14:paraId="0303FC12" w14:textId="4E168C6A" w:rsidR="00392FDA" w:rsidRPr="00EA4C9B" w:rsidRDefault="00392FDA" w:rsidP="00392FDA">
      <w:r w:rsidRPr="00EA4C9B">
        <w:rPr>
          <w:b/>
          <w:bCs/>
        </w:rPr>
        <w:t>Tax structure overview:</w:t>
      </w:r>
      <w:r w:rsidRPr="00EA4C9B">
        <w:t xml:space="preserve"> Croatia’s tax mix is relatively favourable to growth and competitiveness. Labour and corporate taxes are below the EU average, which affect cost competitiveness and are more conducive to growth and investment. The bulk of revenues come </w:t>
      </w:r>
      <w:r w:rsidR="00D63AD6" w:rsidRPr="00EA4C9B">
        <w:t>from consumption</w:t>
      </w:r>
      <w:r w:rsidRPr="00EA4C9B">
        <w:t xml:space="preserve"> taxes, which are well above the EU average. Capital taxation revenues are around half the EU average, and some limited increase in taxation was introduced at the beginning of 2024. Property and income from rent are lightly taxed, which in turn affects the supply and prices for residential households. Overall, Croatia’s total tax revenue is slightly below the EU average</w:t>
      </w:r>
      <w:r w:rsidRPr="00EA4C9B">
        <w:rPr>
          <w:rStyle w:val="FootnoteReference"/>
        </w:rPr>
        <w:footnoteReference w:id="150"/>
      </w:r>
      <w:r w:rsidRPr="00EA4C9B">
        <w:t>. Meanwhile, Croatia has one of the highest shares of environmental tax revenues relative to GDP in the European Union, with environmental taxes accounting for 3.3% of GDP in 2022, surpassed only by Greece and Bulgaria</w:t>
      </w:r>
      <w:r w:rsidRPr="00EA4C9B">
        <w:rPr>
          <w:rStyle w:val="FootnoteReference"/>
        </w:rPr>
        <w:footnoteReference w:id="151"/>
      </w:r>
      <w:r w:rsidRPr="00EA4C9B">
        <w:t>,</w:t>
      </w:r>
      <w:r w:rsidRPr="00EA4C9B">
        <w:rPr>
          <w:rStyle w:val="FootnoteReference"/>
        </w:rPr>
        <w:footnoteReference w:id="152"/>
      </w:r>
      <w:r w:rsidRPr="00EA4C9B">
        <w:t>. This high share is primarily due to energy taxes, reflecting Croatia’s continued dependence on fossil fuels and a relatively slow transition to renewable energy sources compared to other EU countries</w:t>
      </w:r>
      <w:r w:rsidRPr="00EA4C9B">
        <w:rPr>
          <w:rStyle w:val="FootnoteReference"/>
        </w:rPr>
        <w:footnoteReference w:id="153"/>
      </w:r>
      <w:r w:rsidRPr="00EA4C9B">
        <w:t>,</w:t>
      </w:r>
      <w:r w:rsidRPr="00EA4C9B">
        <w:rPr>
          <w:rStyle w:val="FootnoteReference"/>
        </w:rPr>
        <w:footnoteReference w:id="154"/>
      </w:r>
      <w:r w:rsidRPr="00EA4C9B">
        <w:t>.</w:t>
      </w:r>
    </w:p>
    <w:p w14:paraId="0A7AE634" w14:textId="77777777" w:rsidR="00392FDA" w:rsidRPr="00BC621C" w:rsidRDefault="00392FDA" w:rsidP="00BC621C">
      <w:pPr>
        <w:pStyle w:val="Heading4"/>
        <w:rPr>
          <w:rStyle w:val="Strong"/>
          <w:b/>
          <w:bCs/>
        </w:rPr>
      </w:pPr>
      <w:r w:rsidRPr="00BC621C">
        <w:rPr>
          <w:rStyle w:val="Strong"/>
          <w:b/>
          <w:bCs/>
        </w:rPr>
        <w:t xml:space="preserve">‘Polluters pay’ principle </w:t>
      </w:r>
    </w:p>
    <w:p w14:paraId="27DE0374" w14:textId="77777777" w:rsidR="00392FDA" w:rsidRPr="00EA4C9B" w:rsidRDefault="00392FDA" w:rsidP="00392FDA">
      <w:r w:rsidRPr="00EA4C9B">
        <w:t xml:space="preserve">According to EC 2021, Croatia has </w:t>
      </w:r>
      <w:r w:rsidRPr="00EA4C9B">
        <w:rPr>
          <w:b/>
          <w:bCs/>
        </w:rPr>
        <w:t>two key economic instruments that reflect the polluter pays principle</w:t>
      </w:r>
      <w:r w:rsidRPr="00EA4C9B">
        <w:t>. The aforementioned packaging waste management system and the forest public benefit function fee (contribution for forests)</w:t>
      </w:r>
      <w:r w:rsidRPr="00EA4C9B">
        <w:rPr>
          <w:rStyle w:val="FootnoteReference"/>
        </w:rPr>
        <w:footnoteReference w:id="155"/>
      </w:r>
      <w:r w:rsidRPr="00EA4C9B">
        <w:t>. The packaging waste management system is an example of a proactive approach to EPR schemes in Croatia</w:t>
      </w:r>
      <w:r w:rsidRPr="00EA4C9B">
        <w:rPr>
          <w:rStyle w:val="FootnoteReference"/>
        </w:rPr>
        <w:footnoteReference w:id="156"/>
      </w:r>
      <w:r w:rsidRPr="00EA4C9B">
        <w:t>. The Forest Public Benefit Function Fee is paid by companies and other business associations. The charge was initially collected by the State-owned company Hrvatske Šume at a rate of 0.07% of total income, however, the charge was reduced to 0.0265% of total income and it is managed by the ministry of Agriculture and Forestry and distributed to the beneficiaries. Since 2019, the fee has been cancelled for SMEs</w:t>
      </w:r>
      <w:r w:rsidRPr="00EA4C9B">
        <w:rPr>
          <w:rStyle w:val="FootnoteReference"/>
        </w:rPr>
        <w:footnoteReference w:id="157"/>
      </w:r>
      <w:r w:rsidRPr="00EA4C9B">
        <w:t>. Public opinion of the Forest Public Benefit Function Fee is negative (due to public misconceptions/lack of clarity), which together with advocacy from business associations resulted in the cut in the charge from 0.07% to 0.0265%. The cuts were officially justified with decreasing the burden on Croatian Industry</w:t>
      </w:r>
      <w:r w:rsidRPr="00EA4C9B">
        <w:rPr>
          <w:rStyle w:val="FootnoteReference"/>
        </w:rPr>
        <w:footnoteReference w:id="158"/>
      </w:r>
      <w:r w:rsidRPr="00EA4C9B">
        <w:t xml:space="preserve">. Nonetheless, future reform of the fee should involve more clarity around the spending of the funds and improved </w:t>
      </w:r>
      <w:r w:rsidRPr="00EA4C9B">
        <w:lastRenderedPageBreak/>
        <w:t>public communication</w:t>
      </w:r>
      <w:r w:rsidRPr="00EA4C9B">
        <w:rPr>
          <w:rStyle w:val="FootnoteReference"/>
        </w:rPr>
        <w:footnoteReference w:id="159"/>
      </w:r>
      <w:r w:rsidRPr="00EA4C9B">
        <w:t>.  The Forest Public Benefit Fee can be easily replicated in all countries where financing of the forest management is a problem</w:t>
      </w:r>
      <w:r w:rsidRPr="00EA4C9B">
        <w:rPr>
          <w:rStyle w:val="FootnoteReference"/>
        </w:rPr>
        <w:footnoteReference w:id="160"/>
      </w:r>
      <w:r w:rsidRPr="00EA4C9B">
        <w:t xml:space="preserve">. </w:t>
      </w:r>
    </w:p>
    <w:p w14:paraId="0B373337" w14:textId="16A13393" w:rsidR="00392FDA" w:rsidRPr="00EA4C9B" w:rsidRDefault="00590594" w:rsidP="00392FDA">
      <w:r>
        <w:rPr>
          <w:b/>
          <w:bCs/>
        </w:rPr>
        <w:t>Recent</w:t>
      </w:r>
      <w:r w:rsidR="006A081C">
        <w:rPr>
          <w:b/>
          <w:bCs/>
        </w:rPr>
        <w:t xml:space="preserve"> and proposed measures </w:t>
      </w:r>
      <w:r w:rsidR="00392FDA" w:rsidRPr="00EA4C9B">
        <w:rPr>
          <w:b/>
          <w:bCs/>
        </w:rPr>
        <w:t xml:space="preserve">to strengthen the polluter pays principle </w:t>
      </w:r>
      <w:r w:rsidR="00392FDA" w:rsidRPr="00EA4C9B">
        <w:t>include implementing tradeable livestock emission permits to combat air pollution and reforming the landfill tax (see below)</w:t>
      </w:r>
      <w:r w:rsidR="00392FDA" w:rsidRPr="00EA4C9B">
        <w:rPr>
          <w:rStyle w:val="FootnoteReference"/>
        </w:rPr>
        <w:footnoteReference w:id="161"/>
      </w:r>
      <w:r w:rsidR="00392FDA" w:rsidRPr="00EA4C9B">
        <w:t>. Currently, the fees for waste producers are set at different rates according to the waste type. In addition, as noted above, Croatia set the unit fee for both the SO2 and NO2 emissions to HRK 0.00 as of January 2015 (OG 115/</w:t>
      </w:r>
      <w:r w:rsidR="00436FEB" w:rsidRPr="00EA4C9B">
        <w:t>15)</w:t>
      </w:r>
      <w:r w:rsidR="00392FDA" w:rsidRPr="00EA4C9B">
        <w:t xml:space="preserve">. Reintroducing these fees could reinforce the polluter pays principle. </w:t>
      </w:r>
    </w:p>
    <w:p w14:paraId="282DA14F" w14:textId="6DE2DE45" w:rsidR="00392FDA" w:rsidRPr="00EA4C9B" w:rsidRDefault="00392FDA" w:rsidP="00D12D7A">
      <w:r w:rsidRPr="343C71E8">
        <w:t xml:space="preserve">Croatia has a municipal waste charge of HRK 12 per tonne (corresponding to around EUR 1.6 in 2021) for the disposal of municipal waste.  </w:t>
      </w:r>
      <w:r w:rsidR="00E63833">
        <w:t>While</w:t>
      </w:r>
      <w:r w:rsidRPr="343C71E8">
        <w:t xml:space="preserve"> there is no dedicated </w:t>
      </w:r>
      <w:r w:rsidR="44718D9A" w:rsidRPr="343C71E8">
        <w:t>incineration</w:t>
      </w:r>
      <w:r w:rsidRPr="343C71E8">
        <w:t xml:space="preserve"> tax in place</w:t>
      </w:r>
      <w:r w:rsidR="0007749E">
        <w:t>,</w:t>
      </w:r>
      <w:r w:rsidR="00D35661">
        <w:rPr>
          <w:rStyle w:val="FootnoteReference"/>
          <w:rFonts w:ascii="Calibri" w:hAnsi="Calibri" w:cs="Calibri"/>
        </w:rPr>
        <w:footnoteReference w:id="162"/>
      </w:r>
      <w:r w:rsidR="00E651DC">
        <w:t xml:space="preserve"> </w:t>
      </w:r>
      <w:r w:rsidR="00C41B72">
        <w:t xml:space="preserve"> Croatia </w:t>
      </w:r>
      <w:r w:rsidR="00E00F30">
        <w:t xml:space="preserve">currently lacks </w:t>
      </w:r>
      <w:r w:rsidR="009639C7">
        <w:t>incineration capacity</w:t>
      </w:r>
      <w:r w:rsidR="00C41B72">
        <w:t xml:space="preserve"> for municipal solid waste</w:t>
      </w:r>
      <w:r w:rsidR="00823A1A">
        <w:t>. However,</w:t>
      </w:r>
      <w:r w:rsidR="00C41B72">
        <w:t xml:space="preserve"> the government </w:t>
      </w:r>
      <w:r w:rsidR="009639C7">
        <w:t>plans</w:t>
      </w:r>
      <w:r w:rsidR="00C41B72">
        <w:t xml:space="preserve"> to enable interested entities </w:t>
      </w:r>
      <w:r w:rsidR="009639C7">
        <w:t>to</w:t>
      </w:r>
      <w:r w:rsidR="00C41B72">
        <w:t xml:space="preserve"> develop energy recovery </w:t>
      </w:r>
      <w:r w:rsidR="009639C7">
        <w:t>waste</w:t>
      </w:r>
      <w:r w:rsidR="00C41B72">
        <w:t xml:space="preserve"> </w:t>
      </w:r>
      <w:r w:rsidR="009639C7">
        <w:t>projects</w:t>
      </w:r>
      <w:r w:rsidR="00C41B72">
        <w:t xml:space="preserve">, in </w:t>
      </w:r>
      <w:r w:rsidR="009639C7">
        <w:t>response to the</w:t>
      </w:r>
      <w:r w:rsidR="00C41B72">
        <w:t xml:space="preserve"> Energy Development </w:t>
      </w:r>
      <w:r w:rsidR="009639C7">
        <w:t>Strategy</w:t>
      </w:r>
      <w:r w:rsidR="00C41B72">
        <w:t xml:space="preserve"> until 2030.</w:t>
      </w:r>
      <w:r w:rsidR="009639C7">
        <w:rPr>
          <w:rStyle w:val="FootnoteReference"/>
          <w:rFonts w:ascii="Calibri" w:hAnsi="Calibri" w:cs="Calibri"/>
        </w:rPr>
        <w:footnoteReference w:id="163"/>
      </w:r>
      <w:r w:rsidR="0007749E">
        <w:t xml:space="preserve"> </w:t>
      </w:r>
      <w:r w:rsidR="007109B4">
        <w:t xml:space="preserve">In </w:t>
      </w:r>
      <w:r w:rsidR="00E45D3F">
        <w:t>a</w:t>
      </w:r>
      <w:r w:rsidR="00874413">
        <w:t xml:space="preserve"> recent regulatory change,</w:t>
      </w:r>
      <w:r w:rsidR="00E45D3F">
        <w:t xml:space="preserve"> </w:t>
      </w:r>
      <w:r w:rsidR="00683032">
        <w:t>Croatia</w:t>
      </w:r>
      <w:r w:rsidR="00F51B76">
        <w:t xml:space="preserve"> enacted Uredba 137/2024</w:t>
      </w:r>
      <w:r w:rsidR="00823A1A">
        <w:t>,</w:t>
      </w:r>
      <w:r w:rsidR="00F51B76">
        <w:t xml:space="preserve"> </w:t>
      </w:r>
      <w:r w:rsidR="00683032" w:rsidRPr="004F0767">
        <w:rPr>
          <w:b/>
          <w:bCs/>
        </w:rPr>
        <w:t>introducing</w:t>
      </w:r>
      <w:r w:rsidR="00F51B76" w:rsidRPr="004F0767">
        <w:rPr>
          <w:b/>
          <w:bCs/>
        </w:rPr>
        <w:t xml:space="preserve"> a unit</w:t>
      </w:r>
      <w:r w:rsidR="00683032" w:rsidRPr="004F0767">
        <w:rPr>
          <w:b/>
          <w:bCs/>
        </w:rPr>
        <w:t xml:space="preserve"> fee for waste disposal to landfills</w:t>
      </w:r>
      <w:r w:rsidR="00946968">
        <w:t xml:space="preserve"> (</w:t>
      </w:r>
      <w:r w:rsidR="006B4838">
        <w:t>N</w:t>
      </w:r>
      <w:r w:rsidR="00946968" w:rsidRPr="00946968">
        <w:t>aknada za odlaganje otpada</w:t>
      </w:r>
      <w:r w:rsidR="00946968">
        <w:t>)</w:t>
      </w:r>
      <w:r w:rsidR="00683032">
        <w:t xml:space="preserve">, in force from 1 January 2025, set at EUR 30/t with a plan to increase to EUR 50/t by 2029. The fee is collected from landfill </w:t>
      </w:r>
      <w:r w:rsidR="00315C15">
        <w:t>operators</w:t>
      </w:r>
      <w:r w:rsidR="00683032">
        <w:t xml:space="preserve"> and directed to the EP</w:t>
      </w:r>
      <w:r w:rsidR="00315C15">
        <w:t>E</w:t>
      </w:r>
      <w:r w:rsidR="00683032">
        <w:t>EF</w:t>
      </w:r>
      <w:r w:rsidR="001A171B">
        <w:t>.</w:t>
      </w:r>
      <w:r w:rsidR="00841929">
        <w:rPr>
          <w:rStyle w:val="FootnoteReference"/>
          <w:rFonts w:ascii="Calibri" w:hAnsi="Calibri" w:cs="Calibri"/>
        </w:rPr>
        <w:footnoteReference w:id="164"/>
      </w:r>
    </w:p>
    <w:p w14:paraId="3ABF098F" w14:textId="288A0189" w:rsidR="00436FEB" w:rsidRPr="00BC621C" w:rsidRDefault="00392FDA" w:rsidP="00BC621C">
      <w:pPr>
        <w:pStyle w:val="Heading4"/>
      </w:pPr>
      <w:r w:rsidRPr="00BC621C">
        <w:rPr>
          <w:rStyle w:val="Strong"/>
          <w:b/>
          <w:bCs/>
        </w:rPr>
        <w:t xml:space="preserve">Tax reforms in national strategies </w:t>
      </w:r>
    </w:p>
    <w:p w14:paraId="755D5629" w14:textId="77777777" w:rsidR="00392FDA" w:rsidRPr="00EA4C9B" w:rsidRDefault="00392FDA" w:rsidP="00392FDA">
      <w:r w:rsidRPr="00EA4C9B">
        <w:t>Croatia’s Proposed Circular Economy Action Plan on Construction and Demolition Waste recommends the introduction of a tax on construction and demolition waste landfills</w:t>
      </w:r>
      <w:r w:rsidRPr="00EA4C9B">
        <w:rPr>
          <w:rStyle w:val="FootnoteReference"/>
        </w:rPr>
        <w:footnoteReference w:id="165"/>
      </w:r>
      <w:r w:rsidRPr="00EA4C9B">
        <w:t>. However, other national strategies, including the 2021-2030 National Energy and Climate Plan (NECP), do not propose specific tax reforms. The NECP outlines Croatia’s energy and climate objectives, which include decarbonising the economy and further reductions in GHG emissions in transport, building, and agriculture sectors, but does not set sectoral targets or detail the policies needed to meet these goals</w:t>
      </w:r>
      <w:r w:rsidRPr="00EA4C9B">
        <w:rPr>
          <w:rStyle w:val="FootnoteReference"/>
          <w:rFonts w:ascii="Open Sans" w:hAnsi="Open Sans" w:cs="Open Sans"/>
          <w:sz w:val="21"/>
          <w:szCs w:val="21"/>
          <w:shd w:val="clear" w:color="auto" w:fill="FFFFFF"/>
        </w:rPr>
        <w:footnoteReference w:id="166"/>
      </w:r>
      <w:r w:rsidRPr="00EA4C9B">
        <w:rPr>
          <w:rFonts w:ascii="Open Sans" w:hAnsi="Open Sans" w:cs="Open Sans"/>
          <w:sz w:val="21"/>
          <w:szCs w:val="21"/>
          <w:shd w:val="clear" w:color="auto" w:fill="FFFFFF"/>
        </w:rPr>
        <w:t>.</w:t>
      </w:r>
      <w:r w:rsidRPr="00EA4C9B">
        <w:t xml:space="preserve"> </w:t>
      </w:r>
    </w:p>
    <w:p w14:paraId="18BF4B1F" w14:textId="77777777" w:rsidR="00392FDA" w:rsidRPr="00EA4C9B" w:rsidRDefault="00392FDA" w:rsidP="00392FDA">
      <w:r w:rsidRPr="00EA4C9B">
        <w:t>In November 2024, at COP29, the Prime Minister affirmed that “Croatia is committed to decarbonising its energy system and accelerating its green transition”</w:t>
      </w:r>
      <w:r w:rsidRPr="00EA4C9B">
        <w:rPr>
          <w:vertAlign w:val="superscript"/>
        </w:rPr>
        <w:footnoteReference w:id="167"/>
      </w:r>
      <w:r w:rsidRPr="00EA4C9B">
        <w:rPr>
          <w:vertAlign w:val="superscript"/>
        </w:rPr>
        <w:t>.</w:t>
      </w:r>
      <w:r w:rsidRPr="00EA4C9B">
        <w:t xml:space="preserve"> However, the speech did not include any explicit reference to environmental taxation or related reforms.  In 2024 the International Monetary Fund (IMF) reported that Croatian authorities would begin reducing fiscal stimulus and prioritise spending, including by continuing to phase out energy support measures. This includes the removal of the electricity price cap and the restoration of fuel excise duties and road tolls to their pre-pandemic </w:t>
      </w:r>
      <w:r w:rsidRPr="00EA4C9B">
        <w:lastRenderedPageBreak/>
        <w:t>levels</w:t>
      </w:r>
      <w:r w:rsidRPr="00EA4C9B">
        <w:rPr>
          <w:vertAlign w:val="superscript"/>
        </w:rPr>
        <w:footnoteReference w:id="168"/>
      </w:r>
      <w:r w:rsidRPr="00EA4C9B">
        <w:t xml:space="preserve">. The IMF also highlighted structural measures to support the green transition, including the creation of the Ministry of Environmental Protection and Green Transition, submission of the NECP and plans to: </w:t>
      </w:r>
    </w:p>
    <w:p w14:paraId="7DB1B136" w14:textId="77777777" w:rsidR="00392FDA" w:rsidRPr="00EA4C9B" w:rsidRDefault="00392FDA" w:rsidP="00D12D7A">
      <w:pPr>
        <w:pStyle w:val="Bulletlist"/>
        <w:rPr>
          <w:vertAlign w:val="superscript"/>
        </w:rPr>
      </w:pPr>
      <w:r w:rsidRPr="00EA4C9B">
        <w:t>establish a national centre for climate change adaptation</w:t>
      </w:r>
    </w:p>
    <w:p w14:paraId="24E8535D" w14:textId="77777777" w:rsidR="00392FDA" w:rsidRPr="00EA4C9B" w:rsidRDefault="00392FDA" w:rsidP="00D12D7A">
      <w:pPr>
        <w:pStyle w:val="Bulletlist"/>
        <w:rPr>
          <w:vertAlign w:val="superscript"/>
        </w:rPr>
      </w:pPr>
      <w:r w:rsidRPr="00EA4C9B">
        <w:t>introduce guarantees for manufacturing firms that transition to zero carbon emission</w:t>
      </w:r>
    </w:p>
    <w:p w14:paraId="7FD2DC17" w14:textId="77777777" w:rsidR="00392FDA" w:rsidRPr="00EA4C9B" w:rsidRDefault="00392FDA" w:rsidP="00D12D7A">
      <w:pPr>
        <w:pStyle w:val="Bulletlist"/>
        <w:rPr>
          <w:vertAlign w:val="superscript"/>
        </w:rPr>
      </w:pPr>
      <w:r w:rsidRPr="00EA4C9B">
        <w:t xml:space="preserve">continue scaling up investment in renewables, infrastructure for charging EVs, and hydrogen charging stations to decarbonize heavy transport. </w:t>
      </w:r>
    </w:p>
    <w:p w14:paraId="57525F3B" w14:textId="77777777" w:rsidR="00392FDA" w:rsidRPr="00EA4C9B" w:rsidRDefault="00392FDA" w:rsidP="00392FDA">
      <w:r w:rsidRPr="00EA4C9B">
        <w:t>These measures are not tax-based but may complement environmental fiscal reform in the longer term.</w:t>
      </w:r>
    </w:p>
    <w:p w14:paraId="0E1C4476" w14:textId="77777777" w:rsidR="00392FDA" w:rsidRPr="00EA4C9B" w:rsidRDefault="00392FDA" w:rsidP="007C4EB7">
      <w:pPr>
        <w:pStyle w:val="AnnexHeading2"/>
      </w:pPr>
      <w:bookmarkStart w:id="134" w:name="_Toc214008846"/>
      <w:r w:rsidRPr="00EA4C9B">
        <w:t>Potential for implementing additional environmental taxes</w:t>
      </w:r>
      <w:bookmarkEnd w:id="134"/>
    </w:p>
    <w:p w14:paraId="5CF982F5" w14:textId="27DEDCD2" w:rsidR="00BB751A" w:rsidRPr="00EA4C9B" w:rsidRDefault="00D541AE" w:rsidP="00392FDA">
      <w:r>
        <w:t>S</w:t>
      </w:r>
      <w:r w:rsidR="00392FDA" w:rsidRPr="00EA4C9B">
        <w:t xml:space="preserve">ome sectors in Croatia appear to contribute significantly less in taxes than the scale of their environmental externalities justify. The analysis in </w:t>
      </w:r>
      <w:bookmarkStart w:id="135" w:name="_Hlk198675656"/>
      <w:r w:rsidR="00392FDA" w:rsidRPr="00EA4C9B">
        <w:t>Srdelić</w:t>
      </w:r>
      <w:bookmarkEnd w:id="135"/>
      <w:r w:rsidR="00392FDA" w:rsidRPr="00EA4C9B">
        <w:t xml:space="preserve"> (2024)</w:t>
      </w:r>
      <w:r w:rsidR="00392FDA" w:rsidRPr="00EA4C9B">
        <w:rPr>
          <w:rStyle w:val="FootnoteReference"/>
        </w:rPr>
        <w:footnoteReference w:id="169"/>
      </w:r>
      <w:r w:rsidR="00392FDA" w:rsidRPr="00EA4C9B">
        <w:t xml:space="preserve"> on environmental tax revenue and carbon emissions shows that Croatia has the potential to improve the quality of some of its environmental taxes; Croatia </w:t>
      </w:r>
      <w:r w:rsidR="00D42CD4">
        <w:t xml:space="preserve">ranks among the top EU Member States in terms of </w:t>
      </w:r>
      <w:r w:rsidR="00597AE6">
        <w:t>the share of environmental tax revenue</w:t>
      </w:r>
      <w:r w:rsidR="004B05C2">
        <w:t xml:space="preserve"> </w:t>
      </w:r>
      <w:r w:rsidR="00F2433A">
        <w:t>to</w:t>
      </w:r>
      <w:r w:rsidR="009C0930">
        <w:t xml:space="preserve"> GDP (behind only Greece and Bulgaria)</w:t>
      </w:r>
      <w:r w:rsidR="00F2433A">
        <w:t xml:space="preserve">, </w:t>
      </w:r>
      <w:r w:rsidR="00095531">
        <w:t>a share that has increased over time while declining overall in the EU</w:t>
      </w:r>
      <w:r w:rsidR="00786FBE">
        <w:t xml:space="preserve">. </w:t>
      </w:r>
      <w:r w:rsidR="00392FDA" w:rsidRPr="00EA4C9B">
        <w:t>However,</w:t>
      </w:r>
      <w:r w:rsidR="00786FBE">
        <w:t xml:space="preserve"> t</w:t>
      </w:r>
      <w:r w:rsidR="00AB3C4E">
        <w:t>he expansion of this share reflects rising energy product consumption, rather than increased tax rates</w:t>
      </w:r>
      <w:r w:rsidR="00EF55C0">
        <w:t xml:space="preserve">, </w:t>
      </w:r>
      <w:r w:rsidR="00272BC2">
        <w:t>underscoring Croatia’s continued dependency on fossil fuels.</w:t>
      </w:r>
      <w:r w:rsidR="00BB751A" w:rsidRPr="00EA4C9B">
        <w:rPr>
          <w:rStyle w:val="FootnoteReference"/>
        </w:rPr>
        <w:footnoteReference w:id="170"/>
      </w:r>
      <w:r w:rsidR="00BB751A">
        <w:t xml:space="preserve"> </w:t>
      </w:r>
      <w:r w:rsidR="009F7140" w:rsidRPr="009F7140">
        <w:t xml:space="preserve"> This highlights both a fiscal opportunity and a policy challenge: introducing instruments like a carbon tax, aligned with circular economy principles, would help match environmental costs to activity, generate stable revenues, and could be recycled into green investments.</w:t>
      </w:r>
      <w:r w:rsidR="00BB751A" w:rsidRPr="00BB751A">
        <w:rPr>
          <w:rStyle w:val="FootnoteReference"/>
        </w:rPr>
        <w:t xml:space="preserve"> </w:t>
      </w:r>
      <w:r w:rsidR="00BB751A" w:rsidRPr="00EA4C9B">
        <w:rPr>
          <w:rStyle w:val="FootnoteReference"/>
        </w:rPr>
        <w:footnoteReference w:id="171"/>
      </w:r>
      <w:r w:rsidR="00F43FCA" w:rsidRPr="00F43FCA">
        <w:rPr>
          <w:rStyle w:val="FootnoteReference"/>
        </w:rPr>
        <w:t xml:space="preserve"> </w:t>
      </w:r>
      <w:r w:rsidR="00392FDA" w:rsidRPr="00EA4C9B">
        <w:t xml:space="preserve"> </w:t>
      </w:r>
      <w:r w:rsidR="000F70DF">
        <w:t xml:space="preserve">However, </w:t>
      </w:r>
      <w:r w:rsidR="00EA47CA">
        <w:t xml:space="preserve">as noted in </w:t>
      </w:r>
      <w:r w:rsidR="00EA47CA" w:rsidRPr="00EA47CA">
        <w:t>Srdelić (202</w:t>
      </w:r>
      <w:r w:rsidR="00EA47CA">
        <w:t>5</w:t>
      </w:r>
      <w:r w:rsidR="00EA47CA" w:rsidRPr="00EA47CA">
        <w:t>)</w:t>
      </w:r>
      <w:r w:rsidR="00EA47CA">
        <w:rPr>
          <w:rStyle w:val="FootnoteReference"/>
        </w:rPr>
        <w:footnoteReference w:id="172"/>
      </w:r>
      <w:r w:rsidR="00EA47CA">
        <w:t xml:space="preserve"> </w:t>
      </w:r>
      <w:r w:rsidR="00EA47CA" w:rsidRPr="00EA47CA">
        <w:t xml:space="preserve">  </w:t>
      </w:r>
      <w:r w:rsidR="000F70DF">
        <w:t xml:space="preserve">there is currently no publicly available data </w:t>
      </w:r>
      <w:r w:rsidR="00B63232">
        <w:t>on how revenues from environmental taxes are used, not evidence that they are systematically reinvested in environmentally or climate-</w:t>
      </w:r>
      <w:r w:rsidR="002E09DC">
        <w:t>related</w:t>
      </w:r>
      <w:r w:rsidR="00B63232">
        <w:t xml:space="preserve"> projects. </w:t>
      </w:r>
      <w:r w:rsidR="008E1A54">
        <w:t xml:space="preserve">At the same time, fossil fuel </w:t>
      </w:r>
      <w:r w:rsidR="002E09DC">
        <w:t>subsides</w:t>
      </w:r>
      <w:r w:rsidR="008E1A54">
        <w:t xml:space="preserve"> persist, including through broad, untargeted use of the EU ETS auction </w:t>
      </w:r>
      <w:r w:rsidR="002E09DC">
        <w:t>revenue</w:t>
      </w:r>
      <w:r w:rsidR="008E1A54">
        <w:t xml:space="preserve"> </w:t>
      </w:r>
      <w:r w:rsidR="00A65EEE">
        <w:t xml:space="preserve">allocated under “energy poverty mitigation”, which in </w:t>
      </w:r>
      <w:r w:rsidR="002E09DC">
        <w:t>practice</w:t>
      </w:r>
      <w:r w:rsidR="00A65EEE">
        <w:t xml:space="preserve"> benefit all </w:t>
      </w:r>
      <w:r w:rsidR="002E09DC">
        <w:t>households</w:t>
      </w:r>
      <w:r w:rsidR="00A65EEE">
        <w:t xml:space="preserve"> rega</w:t>
      </w:r>
      <w:r w:rsidR="002E09DC">
        <w:t>rd</w:t>
      </w:r>
      <w:r w:rsidR="00A65EEE">
        <w:t xml:space="preserve">less of income. This raises </w:t>
      </w:r>
      <w:r w:rsidR="002E09DC">
        <w:t>concerns</w:t>
      </w:r>
      <w:r w:rsidR="00A65EEE">
        <w:t xml:space="preserve"> over both the environmental </w:t>
      </w:r>
      <w:r w:rsidR="002E09DC">
        <w:t>effectiveness</w:t>
      </w:r>
      <w:r w:rsidR="00F15076">
        <w:t xml:space="preserve"> and equity of current fiscal measures.</w:t>
      </w:r>
      <w:r w:rsidR="00AF4F79">
        <w:rPr>
          <w:rStyle w:val="FootnoteReference"/>
        </w:rPr>
        <w:footnoteReference w:id="173"/>
      </w:r>
      <w:r w:rsidR="00F15076">
        <w:t xml:space="preserve"> </w:t>
      </w:r>
    </w:p>
    <w:p w14:paraId="26349E38" w14:textId="08DFCCA1" w:rsidR="00392FDA" w:rsidRPr="00EA4C9B" w:rsidRDefault="00392FDA" w:rsidP="00392FDA">
      <w:pPr>
        <w:rPr>
          <w:b/>
          <w:bCs/>
        </w:rPr>
      </w:pPr>
      <w:r w:rsidRPr="00EA4C9B">
        <w:t xml:space="preserve">Several types of environmental taxes that exist in other EU Member States are currently absent in Croatia. There is </w:t>
      </w:r>
      <w:r w:rsidRPr="00EA4C9B">
        <w:rPr>
          <w:b/>
          <w:bCs/>
        </w:rPr>
        <w:t>no clear evidence of a current pesticide tax in Croatia</w:t>
      </w:r>
      <w:r w:rsidRPr="00EA4C9B">
        <w:t xml:space="preserve">. While some EU countries have implemented pesticide taxes or fees, and there are ongoing discussions at the EU level about harmonizing such measures, Croatia is not listed among the countries with a specific pesticide tax. However, historically there was a small tax on pesticides in Croatia linked to water quality that </w:t>
      </w:r>
      <w:r w:rsidR="44718D9A" w:rsidRPr="00EA4C9B">
        <w:t>was abolished</w:t>
      </w:r>
      <w:r w:rsidRPr="00EA4C9B">
        <w:t xml:space="preserve"> in 2013. It was reportedly cut due to fears it compromised the competitiveness of Croatia’s agricultural sector on the EU market (Hogg et al). There is </w:t>
      </w:r>
      <w:r w:rsidRPr="00EA4C9B">
        <w:rPr>
          <w:b/>
          <w:bCs/>
        </w:rPr>
        <w:t>no evidence of a specific aviation tax</w:t>
      </w:r>
      <w:r w:rsidRPr="00EA4C9B">
        <w:t xml:space="preserve"> aimed at addressing environmental impacts, such as a tax on airline tickets or jet fuel for commercial flights, in Croatia as of 2025</w:t>
      </w:r>
      <w:r w:rsidRPr="00EA4C9B">
        <w:rPr>
          <w:rStyle w:val="FootnoteReference"/>
        </w:rPr>
        <w:footnoteReference w:id="174"/>
      </w:r>
      <w:r w:rsidRPr="00EA4C9B">
        <w:t xml:space="preserve">. As noted previously, there is </w:t>
      </w:r>
      <w:r w:rsidRPr="00EA4C9B">
        <w:rPr>
          <w:b/>
          <w:bCs/>
        </w:rPr>
        <w:t>incineration tax in place.</w:t>
      </w:r>
    </w:p>
    <w:p w14:paraId="4BA69CD7" w14:textId="77777777" w:rsidR="00392FDA" w:rsidRPr="00EA4C9B" w:rsidRDefault="00392FDA" w:rsidP="00D541AE">
      <w:pPr>
        <w:pStyle w:val="Heading4"/>
      </w:pPr>
      <w:r w:rsidRPr="00EA4C9B">
        <w:lastRenderedPageBreak/>
        <w:t>Recommended reforms and introduction of new taxes</w:t>
      </w:r>
    </w:p>
    <w:p w14:paraId="51DBBD6B" w14:textId="77777777" w:rsidR="00392FDA" w:rsidRPr="00EA4C9B" w:rsidRDefault="00392FDA" w:rsidP="00392FDA">
      <w:r w:rsidRPr="00EA4C9B">
        <w:t xml:space="preserve">In the area of pollution and resource tax reform, several proposals have been made for Croatia, primarily through the European Commission (2021) and Hogg et al. (2016). These include both the introduction of new instruments and amendments to existing ones. With respect to </w:t>
      </w:r>
      <w:r w:rsidRPr="00EA4C9B">
        <w:rPr>
          <w:b/>
          <w:bCs/>
        </w:rPr>
        <w:t>resources taxes</w:t>
      </w:r>
      <w:r w:rsidRPr="00EA4C9B">
        <w:t xml:space="preserve">, the </w:t>
      </w:r>
      <w:r w:rsidRPr="00EA4C9B">
        <w:rPr>
          <w:b/>
          <w:bCs/>
        </w:rPr>
        <w:t xml:space="preserve">water abstraction tax could be amended. </w:t>
      </w:r>
      <w:r w:rsidRPr="00EA4C9B">
        <w:t xml:space="preserve">Hog et al (2016) suggested that all rates be increased to at least €125 per 1,000m3 for the public water supply, €55 per 1,000m3 for manufacturing purposes and €7 per 1,000m3 for agriculture. The revenue from the existing charges could continue to accrue to Croatian Waters. In addition to increasing the fee rates, Hogg et al suggested that some consideration might be given to the appropriate use, and destiny of, additional revenues, with the intention to distinguish between levels of fee required to cover the financial costs of maintaining the water resources, and those which have a more specifically environmental rationale. Hog et al (2016) also suggested </w:t>
      </w:r>
      <w:r w:rsidRPr="00EA4C9B">
        <w:rPr>
          <w:b/>
          <w:bCs/>
        </w:rPr>
        <w:t>introducing an aggregates tax</w:t>
      </w:r>
      <w:r w:rsidRPr="00EA4C9B">
        <w:t xml:space="preserve"> at a rate of €2.40 per tonne from 2017, and following this to keep the rate constant in real terms. </w:t>
      </w:r>
    </w:p>
    <w:p w14:paraId="75FE9F7D" w14:textId="5CDBF437" w:rsidR="00392FDA" w:rsidRPr="00EA4C9B" w:rsidRDefault="00392FDA" w:rsidP="00392FDA">
      <w:r w:rsidRPr="00EA4C9B">
        <w:t xml:space="preserve">Recommendations for </w:t>
      </w:r>
      <w:r w:rsidRPr="00EA4C9B">
        <w:rPr>
          <w:b/>
          <w:bCs/>
        </w:rPr>
        <w:t>new pollution taxes</w:t>
      </w:r>
      <w:r w:rsidRPr="00EA4C9B">
        <w:t xml:space="preserve"> include introducing a banded </w:t>
      </w:r>
      <w:r w:rsidRPr="00EA4C9B">
        <w:rPr>
          <w:b/>
          <w:bCs/>
        </w:rPr>
        <w:t xml:space="preserve">pesticides tax </w:t>
      </w:r>
      <w:r w:rsidRPr="00EA4C9B">
        <w:t xml:space="preserve">to reflect the level of hazard associated with them (Hog et al, 2016). </w:t>
      </w:r>
      <w:r w:rsidRPr="00EA4C9B">
        <w:rPr>
          <w:b/>
          <w:bCs/>
        </w:rPr>
        <w:t>Amendments were also proposed to the fertilisers tax</w:t>
      </w:r>
      <w:r w:rsidRPr="00EA4C9B">
        <w:t xml:space="preserve">, suggesting an increase to €200 (HRK 1,530) per tonne of nitrogen from 2017 to 2019. The </w:t>
      </w:r>
      <w:r w:rsidRPr="00EA4C9B">
        <w:rPr>
          <w:b/>
          <w:bCs/>
        </w:rPr>
        <w:t>rates for NO2 and SO2 could also be increased</w:t>
      </w:r>
      <w:r w:rsidRPr="00EA4C9B">
        <w:t>. Ho</w:t>
      </w:r>
      <w:r w:rsidR="007B606C">
        <w:t>g</w:t>
      </w:r>
      <w:r w:rsidRPr="00EA4C9B">
        <w:t>g et al SO</w:t>
      </w:r>
      <w:r w:rsidRPr="007B606C">
        <w:rPr>
          <w:vertAlign w:val="subscript"/>
        </w:rPr>
        <w:t>2</w:t>
      </w:r>
      <w:r w:rsidRPr="00EA4C9B">
        <w:t xml:space="preserve"> and NO</w:t>
      </w:r>
      <w:r w:rsidRPr="007B606C">
        <w:rPr>
          <w:vertAlign w:val="subscript"/>
        </w:rPr>
        <w:t>2</w:t>
      </w:r>
      <w:r w:rsidRPr="00EA4C9B">
        <w:t xml:space="preserve"> both at €1,000 per tonne, and PM €2,000 per tonne. Since January 2015, Croatia has set the unit fee for SO₂ and NO₂ to HRK 0.00, making these taxes effectively inactive. While not a tax, the European Commission (2021) also recommended that Croatia introduce tradeable livestock emission permits to combat air pollution and strengthen the polluters pay principle.</w:t>
      </w:r>
    </w:p>
    <w:p w14:paraId="443974A6" w14:textId="77777777" w:rsidR="00392FDA" w:rsidRPr="00EA4C9B" w:rsidRDefault="00392FDA" w:rsidP="00392FDA">
      <w:r w:rsidRPr="00EA4C9B">
        <w:t xml:space="preserve">In the waste sector, the European Commission (2021) </w:t>
      </w:r>
      <w:bookmarkStart w:id="136" w:name="_Hlk200116719"/>
      <w:r w:rsidRPr="00EA4C9B">
        <w:t xml:space="preserve">recommended that Croatia </w:t>
      </w:r>
      <w:bookmarkEnd w:id="136"/>
      <w:r w:rsidRPr="00EA4C9B">
        <w:rPr>
          <w:b/>
          <w:bCs/>
        </w:rPr>
        <w:t xml:space="preserve">reform the landfill tax (however, in other sources the existing fee is not classified as a landfill tax). </w:t>
      </w:r>
      <w:r w:rsidRPr="00EA4C9B">
        <w:t>Similarly, Hogg et al. (2016) proposed the introduction of a landfill tax for non-hazardous waste, starting at €10 per tonne in 2016 and increasing to €50 per tonne by 2019 (with the level kept constant in real terms). An additional rate of €2.40 per tonne was suggested for construction and demolition waste. A 2021 EC report proposed a landfill tax of €40 per tonne</w:t>
      </w:r>
      <w:r w:rsidRPr="00EA4C9B">
        <w:rPr>
          <w:rStyle w:val="FootnoteReference"/>
          <w:lang w:eastAsia="en-GB"/>
        </w:rPr>
        <w:footnoteReference w:id="175"/>
      </w:r>
      <w:r w:rsidRPr="00EA4C9B">
        <w:t>. As of 2025, Croatia applies a flat fee of HRK 12 per tonne (approx. EUR 1.6 in 2021), which is significantly below these recommended levels and is not classified as a tax.</w:t>
      </w:r>
    </w:p>
    <w:p w14:paraId="1DD12E50" w14:textId="79BFC291" w:rsidR="00D63721" w:rsidRDefault="00392FDA" w:rsidP="00D12D7A">
      <w:r w:rsidRPr="00EA4C9B">
        <w:t xml:space="preserve">A </w:t>
      </w:r>
      <w:r w:rsidRPr="00EA4C9B">
        <w:rPr>
          <w:rStyle w:val="Strong"/>
        </w:rPr>
        <w:t>waste incineration tax</w:t>
      </w:r>
      <w:r w:rsidRPr="00EA4C9B">
        <w:t xml:space="preserve"> was also recommended, set at €15 per tonne in 2016, with an equivalent rate for MBT facilities. No such tax is currently in place. Hogg et al. also suggested</w:t>
      </w:r>
      <w:r w:rsidRPr="00EA4C9B">
        <w:rPr>
          <w:b/>
          <w:bCs/>
        </w:rPr>
        <w:t xml:space="preserve"> increasing the existing tax on </w:t>
      </w:r>
      <w:r w:rsidRPr="00EA4C9B">
        <w:rPr>
          <w:rStyle w:val="Strong"/>
        </w:rPr>
        <w:t>single-use plastic bags</w:t>
      </w:r>
      <w:r w:rsidRPr="00EA4C9B">
        <w:t xml:space="preserve"> to €0.07 per bag and keeping this rate constant in real terms. While Croatia has implemented a charge, the current rates are below this suggested level. As of 1 January 2025, Croatia mandates that retailers charge for very lightweight plastic bags (those thinner than 15 micrometres), however the specific charge is determined by individual retailers (for example, some retailers have set the price at €0.01 per bag</w:t>
      </w:r>
      <w:r w:rsidRPr="00EA4C9B">
        <w:rPr>
          <w:rStyle w:val="FootnoteReference"/>
        </w:rPr>
        <w:footnoteReference w:id="176"/>
      </w:r>
      <w:r w:rsidRPr="00EA4C9B">
        <w:t xml:space="preserve">. Additionally, Croatia imposes a packaging fee of €200 per tonne on plastic bags, which is managed by the Environmental Protection and Energy Efficiency Fund. </w:t>
      </w:r>
      <w:r w:rsidRPr="00EA4C9B">
        <w:rPr>
          <w:b/>
          <w:bCs/>
        </w:rPr>
        <w:t>For wastewater</w:t>
      </w:r>
      <w:r w:rsidRPr="00EA4C9B">
        <w:t xml:space="preserve">, it was recommended that the </w:t>
      </w:r>
      <w:r w:rsidRPr="00EA4C9B">
        <w:rPr>
          <w:b/>
          <w:bCs/>
        </w:rPr>
        <w:t>existing rates be adjusted</w:t>
      </w:r>
      <w:r w:rsidRPr="00EA4C9B">
        <w:t xml:space="preserve"> in line with good practice, including a charge of €1.47 per kg of BOD. Charges for nitrogen and phosphorus were also suggested, depending on the type of discharge (freshwater or coastal). These changes would improve the environmental incentive function of existing fees and additional revenues could accrue to national budget.</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4D4585" w:rsidRPr="00D12D7A" w14:paraId="16213647" w14:textId="77777777" w:rsidTr="004F0767">
        <w:trPr>
          <w:trHeight w:val="300"/>
        </w:trPr>
        <w:tc>
          <w:tcPr>
            <w:tcW w:w="9000" w:type="dxa"/>
            <w:gridSpan w:val="3"/>
            <w:tcBorders>
              <w:top w:val="single" w:sz="6" w:space="0" w:color="auto"/>
              <w:left w:val="single" w:sz="6" w:space="0" w:color="auto"/>
              <w:bottom w:val="single" w:sz="6" w:space="0" w:color="auto"/>
              <w:right w:val="single" w:sz="6" w:space="0" w:color="auto"/>
            </w:tcBorders>
            <w:shd w:val="clear" w:color="auto" w:fill="003399"/>
            <w:hideMark/>
          </w:tcPr>
          <w:p w14:paraId="4B47A211" w14:textId="0B681012" w:rsidR="004D4585" w:rsidRPr="00D12D7A" w:rsidRDefault="004D4585" w:rsidP="00436FEB">
            <w:pPr>
              <w:spacing w:after="0"/>
              <w:ind w:left="75"/>
              <w:textAlignment w:val="baseline"/>
              <w:rPr>
                <w:rFonts w:ascii="Times New Roman" w:eastAsia="Times New Roman" w:hAnsi="Times New Roman" w:cs="Times New Roman"/>
                <w:b/>
                <w:sz w:val="20"/>
                <w:szCs w:val="20"/>
                <w:lang w:eastAsia="en-GB"/>
              </w:rPr>
            </w:pPr>
            <w:r w:rsidRPr="00D12D7A">
              <w:rPr>
                <w:b/>
                <w:sz w:val="20"/>
                <w:szCs w:val="20"/>
              </w:rPr>
              <w:lastRenderedPageBreak/>
              <w:t>Table</w:t>
            </w:r>
            <w:r w:rsidR="00D12D7A">
              <w:rPr>
                <w:b/>
                <w:sz w:val="20"/>
                <w:szCs w:val="20"/>
              </w:rPr>
              <w:t xml:space="preserve"> </w:t>
            </w:r>
            <w:r w:rsidR="00490085">
              <w:rPr>
                <w:b/>
                <w:sz w:val="20"/>
                <w:szCs w:val="20"/>
              </w:rPr>
              <w:t>A6</w:t>
            </w:r>
            <w:r w:rsidR="00D63721" w:rsidRPr="00D12D7A">
              <w:rPr>
                <w:b/>
                <w:bCs/>
                <w:sz w:val="20"/>
                <w:szCs w:val="20"/>
              </w:rPr>
              <w:t>-</w:t>
            </w:r>
            <w:r w:rsidR="00D63721" w:rsidRPr="00D12D7A">
              <w:rPr>
                <w:b/>
                <w:bCs/>
                <w:sz w:val="20"/>
                <w:szCs w:val="20"/>
              </w:rPr>
              <w:fldChar w:fldCharType="begin"/>
            </w:r>
            <w:r w:rsidR="00D63721" w:rsidRPr="00D12D7A">
              <w:rPr>
                <w:b/>
                <w:bCs/>
                <w:sz w:val="20"/>
                <w:szCs w:val="20"/>
              </w:rPr>
              <w:instrText xml:space="preserve"> SEQ Table_A5- \* ARABIC </w:instrText>
            </w:r>
            <w:r w:rsidR="00D63721" w:rsidRPr="00D12D7A">
              <w:rPr>
                <w:b/>
                <w:bCs/>
                <w:sz w:val="20"/>
                <w:szCs w:val="20"/>
              </w:rPr>
              <w:fldChar w:fldCharType="separate"/>
            </w:r>
            <w:r w:rsidR="00D12D7A">
              <w:rPr>
                <w:b/>
                <w:bCs/>
                <w:noProof/>
                <w:sz w:val="20"/>
                <w:szCs w:val="20"/>
              </w:rPr>
              <w:t>24</w:t>
            </w:r>
            <w:r w:rsidR="00D63721" w:rsidRPr="00D12D7A">
              <w:rPr>
                <w:b/>
                <w:bCs/>
                <w:sz w:val="20"/>
                <w:szCs w:val="20"/>
              </w:rPr>
              <w:fldChar w:fldCharType="end"/>
            </w:r>
            <w:r w:rsidRPr="00D12D7A">
              <w:rPr>
                <w:rFonts w:ascii="Calibri" w:eastAsia="Times New Roman" w:hAnsi="Calibri" w:cs="Calibri"/>
                <w:b/>
                <w:bCs/>
                <w:color w:val="FFFFFF"/>
                <w:sz w:val="20"/>
                <w:szCs w:val="20"/>
                <w:lang w:eastAsia="en-GB"/>
              </w:rPr>
              <w:t xml:space="preserve">:  </w:t>
            </w:r>
            <w:r w:rsidRPr="00D12D7A">
              <w:rPr>
                <w:b/>
                <w:bCs/>
                <w:sz w:val="20"/>
                <w:szCs w:val="20"/>
              </w:rPr>
              <w:t>Waste, Pollution and Resource taxes proposed by previous reports and publications, classified by category</w:t>
            </w:r>
          </w:p>
        </w:tc>
      </w:tr>
      <w:tr w:rsidR="00051732" w:rsidRPr="00D12D7A" w14:paraId="5F10B3F7" w14:textId="77777777" w:rsidTr="004F0767">
        <w:trPr>
          <w:trHeight w:val="248"/>
        </w:trPr>
        <w:tc>
          <w:tcPr>
            <w:tcW w:w="3000" w:type="dxa"/>
            <w:tcBorders>
              <w:top w:val="single" w:sz="6" w:space="0" w:color="auto"/>
              <w:left w:val="single" w:sz="6" w:space="0" w:color="auto"/>
              <w:right w:val="single" w:sz="6" w:space="0" w:color="auto"/>
            </w:tcBorders>
            <w:shd w:val="clear" w:color="auto" w:fill="FFFFFF" w:themeFill="background1"/>
          </w:tcPr>
          <w:p w14:paraId="701B8A94" w14:textId="64E82EE0" w:rsidR="00051732" w:rsidRPr="00D12D7A" w:rsidRDefault="00051732" w:rsidP="002847DA">
            <w:pPr>
              <w:spacing w:after="0"/>
              <w:jc w:val="center"/>
              <w:textAlignment w:val="baseline"/>
              <w:rPr>
                <w:rFonts w:cstheme="minorHAnsi"/>
                <w:b/>
                <w:bCs/>
                <w:sz w:val="20"/>
                <w:szCs w:val="20"/>
              </w:rPr>
            </w:pPr>
            <w:r w:rsidRPr="00D12D7A">
              <w:rPr>
                <w:rFonts w:ascii="Calibri" w:eastAsia="Times New Roman" w:hAnsi="Calibri" w:cs="Calibri"/>
                <w:b/>
                <w:bCs/>
                <w:sz w:val="20"/>
                <w:szCs w:val="20"/>
                <w:lang w:eastAsia="en-GB"/>
              </w:rPr>
              <w:t>Proposed tax / Tax amendment</w:t>
            </w:r>
          </w:p>
        </w:tc>
        <w:tc>
          <w:tcPr>
            <w:tcW w:w="3000" w:type="dxa"/>
            <w:tcBorders>
              <w:top w:val="single" w:sz="6" w:space="0" w:color="auto"/>
              <w:left w:val="single" w:sz="6" w:space="0" w:color="auto"/>
              <w:right w:val="single" w:sz="6" w:space="0" w:color="auto"/>
            </w:tcBorders>
            <w:shd w:val="clear" w:color="auto" w:fill="FFFFFF" w:themeFill="background1"/>
          </w:tcPr>
          <w:p w14:paraId="6BA04314" w14:textId="3A5B3BBD" w:rsidR="00051732" w:rsidRPr="00D12D7A" w:rsidRDefault="00051732" w:rsidP="007B606C">
            <w:pPr>
              <w:spacing w:after="0"/>
              <w:jc w:val="center"/>
              <w:textAlignment w:val="baseline"/>
              <w:rPr>
                <w:rFonts w:cstheme="minorHAnsi"/>
                <w:b/>
                <w:bCs/>
                <w:sz w:val="20"/>
                <w:szCs w:val="20"/>
              </w:rPr>
            </w:pPr>
            <w:r w:rsidRPr="00D12D7A">
              <w:rPr>
                <w:rFonts w:ascii="Calibri" w:eastAsia="Times New Roman" w:hAnsi="Calibri" w:cs="Calibri"/>
                <w:b/>
                <w:bCs/>
                <w:sz w:val="20"/>
                <w:szCs w:val="20"/>
                <w:lang w:eastAsia="en-GB"/>
              </w:rPr>
              <w:t>Tax category</w:t>
            </w:r>
          </w:p>
        </w:tc>
        <w:tc>
          <w:tcPr>
            <w:tcW w:w="3000" w:type="dxa"/>
            <w:tcBorders>
              <w:top w:val="single" w:sz="6" w:space="0" w:color="auto"/>
              <w:left w:val="single" w:sz="6" w:space="0" w:color="auto"/>
              <w:right w:val="single" w:sz="6" w:space="0" w:color="auto"/>
            </w:tcBorders>
            <w:shd w:val="clear" w:color="auto" w:fill="FFFFFF" w:themeFill="background1"/>
          </w:tcPr>
          <w:p w14:paraId="3500141F" w14:textId="590F9EDF" w:rsidR="00051732" w:rsidRPr="00D12D7A" w:rsidRDefault="00051732" w:rsidP="007B606C">
            <w:pPr>
              <w:spacing w:after="0"/>
              <w:ind w:left="106"/>
              <w:jc w:val="center"/>
              <w:textAlignment w:val="baseline"/>
              <w:rPr>
                <w:rFonts w:cstheme="minorHAnsi"/>
                <w:b/>
                <w:bCs/>
                <w:sz w:val="20"/>
                <w:szCs w:val="20"/>
              </w:rPr>
            </w:pPr>
            <w:r w:rsidRPr="00D12D7A">
              <w:rPr>
                <w:rFonts w:ascii="Calibri" w:eastAsia="Times New Roman" w:hAnsi="Calibri" w:cs="Calibri"/>
                <w:b/>
                <w:bCs/>
                <w:sz w:val="20"/>
                <w:szCs w:val="20"/>
                <w:lang w:eastAsia="en-GB"/>
              </w:rPr>
              <w:t>Introduce new tax / Amend existing tax</w:t>
            </w:r>
          </w:p>
        </w:tc>
      </w:tr>
      <w:tr w:rsidR="00051732" w:rsidRPr="00D12D7A" w14:paraId="5A2ED479"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7FF4A3EC" w14:textId="463F303A" w:rsidR="00051732" w:rsidRPr="00D12D7A" w:rsidRDefault="00051732" w:rsidP="00436FEB">
            <w:pPr>
              <w:spacing w:after="0"/>
              <w:ind w:left="75"/>
              <w:textAlignment w:val="baseline"/>
              <w:rPr>
                <w:rFonts w:cstheme="minorHAnsi"/>
                <w:b/>
                <w:bCs/>
                <w:sz w:val="20"/>
                <w:szCs w:val="20"/>
              </w:rPr>
            </w:pPr>
            <w:r w:rsidRPr="00D12D7A">
              <w:rPr>
                <w:sz w:val="20"/>
                <w:szCs w:val="20"/>
              </w:rPr>
              <w:t>Water abstraction</w:t>
            </w:r>
          </w:p>
        </w:tc>
        <w:tc>
          <w:tcPr>
            <w:tcW w:w="3000" w:type="dxa"/>
            <w:tcBorders>
              <w:top w:val="single" w:sz="6" w:space="0" w:color="auto"/>
              <w:left w:val="single" w:sz="6" w:space="0" w:color="auto"/>
              <w:right w:val="single" w:sz="6" w:space="0" w:color="auto"/>
            </w:tcBorders>
            <w:shd w:val="clear" w:color="auto" w:fill="FFFFFF" w:themeFill="background1"/>
          </w:tcPr>
          <w:p w14:paraId="67418DD1" w14:textId="0129F19F" w:rsidR="00051732" w:rsidRPr="00D12D7A" w:rsidRDefault="00051732" w:rsidP="007B606C">
            <w:pPr>
              <w:spacing w:after="0"/>
              <w:ind w:left="46"/>
              <w:jc w:val="center"/>
              <w:textAlignment w:val="baseline"/>
              <w:rPr>
                <w:rFonts w:cstheme="minorHAnsi"/>
                <w:b/>
                <w:bCs/>
                <w:sz w:val="20"/>
                <w:szCs w:val="20"/>
              </w:rPr>
            </w:pPr>
            <w:r w:rsidRPr="00D12D7A">
              <w:rPr>
                <w:sz w:val="20"/>
                <w:szCs w:val="20"/>
              </w:rPr>
              <w:t>Resource</w:t>
            </w:r>
          </w:p>
        </w:tc>
        <w:tc>
          <w:tcPr>
            <w:tcW w:w="3000" w:type="dxa"/>
            <w:tcBorders>
              <w:top w:val="single" w:sz="6" w:space="0" w:color="auto"/>
              <w:left w:val="single" w:sz="6" w:space="0" w:color="auto"/>
              <w:right w:val="single" w:sz="6" w:space="0" w:color="auto"/>
            </w:tcBorders>
            <w:shd w:val="clear" w:color="auto" w:fill="FFFFFF" w:themeFill="background1"/>
          </w:tcPr>
          <w:p w14:paraId="6D5E6AA9" w14:textId="41271E5A" w:rsidR="00051732" w:rsidRPr="00D12D7A" w:rsidRDefault="00051732" w:rsidP="007B606C">
            <w:pPr>
              <w:spacing w:after="0"/>
              <w:ind w:left="106"/>
              <w:jc w:val="center"/>
              <w:textAlignment w:val="baseline"/>
              <w:rPr>
                <w:rFonts w:cstheme="minorHAnsi"/>
                <w:b/>
                <w:bCs/>
                <w:sz w:val="20"/>
                <w:szCs w:val="20"/>
              </w:rPr>
            </w:pPr>
            <w:r w:rsidRPr="00D12D7A">
              <w:rPr>
                <w:sz w:val="20"/>
                <w:szCs w:val="20"/>
              </w:rPr>
              <w:t>Amend</w:t>
            </w:r>
          </w:p>
        </w:tc>
      </w:tr>
      <w:tr w:rsidR="00051732" w:rsidRPr="00D12D7A" w14:paraId="1C5302A5"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58EF1847" w14:textId="14C44861" w:rsidR="00051732" w:rsidRPr="00D12D7A" w:rsidRDefault="00051732" w:rsidP="00436FEB">
            <w:pPr>
              <w:spacing w:after="0"/>
              <w:ind w:left="75"/>
              <w:textAlignment w:val="baseline"/>
              <w:rPr>
                <w:rFonts w:cstheme="minorHAnsi"/>
                <w:b/>
                <w:bCs/>
                <w:sz w:val="20"/>
                <w:szCs w:val="20"/>
              </w:rPr>
            </w:pPr>
            <w:r w:rsidRPr="00D12D7A">
              <w:rPr>
                <w:sz w:val="20"/>
                <w:szCs w:val="20"/>
              </w:rPr>
              <w:t>Aggregates tax</w:t>
            </w:r>
          </w:p>
        </w:tc>
        <w:tc>
          <w:tcPr>
            <w:tcW w:w="3000" w:type="dxa"/>
            <w:tcBorders>
              <w:top w:val="single" w:sz="6" w:space="0" w:color="auto"/>
              <w:left w:val="single" w:sz="6" w:space="0" w:color="auto"/>
              <w:right w:val="single" w:sz="6" w:space="0" w:color="auto"/>
            </w:tcBorders>
            <w:shd w:val="clear" w:color="auto" w:fill="FFFFFF" w:themeFill="background1"/>
          </w:tcPr>
          <w:p w14:paraId="67833F5F" w14:textId="49195C79" w:rsidR="00051732" w:rsidRPr="00D12D7A" w:rsidRDefault="00051732" w:rsidP="007B606C">
            <w:pPr>
              <w:spacing w:after="0"/>
              <w:ind w:left="46"/>
              <w:jc w:val="center"/>
              <w:textAlignment w:val="baseline"/>
              <w:rPr>
                <w:rFonts w:cstheme="minorHAnsi"/>
                <w:b/>
                <w:bCs/>
                <w:sz w:val="20"/>
                <w:szCs w:val="20"/>
              </w:rPr>
            </w:pPr>
            <w:r w:rsidRPr="00D12D7A">
              <w:rPr>
                <w:sz w:val="20"/>
                <w:szCs w:val="20"/>
              </w:rPr>
              <w:t>Resource</w:t>
            </w:r>
          </w:p>
        </w:tc>
        <w:tc>
          <w:tcPr>
            <w:tcW w:w="3000" w:type="dxa"/>
            <w:tcBorders>
              <w:top w:val="single" w:sz="6" w:space="0" w:color="auto"/>
              <w:left w:val="single" w:sz="6" w:space="0" w:color="auto"/>
              <w:right w:val="single" w:sz="6" w:space="0" w:color="auto"/>
            </w:tcBorders>
            <w:shd w:val="clear" w:color="auto" w:fill="FFFFFF" w:themeFill="background1"/>
          </w:tcPr>
          <w:p w14:paraId="519A0231" w14:textId="6CFD6060" w:rsidR="00051732" w:rsidRPr="00D12D7A" w:rsidRDefault="00051732" w:rsidP="007B606C">
            <w:pPr>
              <w:spacing w:after="0"/>
              <w:ind w:left="106"/>
              <w:jc w:val="center"/>
              <w:textAlignment w:val="baseline"/>
              <w:rPr>
                <w:rFonts w:cstheme="minorHAnsi"/>
                <w:b/>
                <w:bCs/>
                <w:sz w:val="20"/>
                <w:szCs w:val="20"/>
              </w:rPr>
            </w:pPr>
            <w:r w:rsidRPr="00D12D7A">
              <w:rPr>
                <w:sz w:val="20"/>
                <w:szCs w:val="20"/>
              </w:rPr>
              <w:t>Introduce</w:t>
            </w:r>
          </w:p>
        </w:tc>
      </w:tr>
      <w:tr w:rsidR="00051732" w:rsidRPr="00D12D7A" w14:paraId="0CB4A114"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27B9182D" w14:textId="4F673B95" w:rsidR="00051732" w:rsidRPr="00D12D7A" w:rsidRDefault="00051732" w:rsidP="00436FEB">
            <w:pPr>
              <w:spacing w:after="0"/>
              <w:ind w:left="75"/>
              <w:textAlignment w:val="baseline"/>
              <w:rPr>
                <w:rFonts w:cstheme="minorHAnsi"/>
                <w:b/>
                <w:bCs/>
                <w:sz w:val="20"/>
                <w:szCs w:val="20"/>
              </w:rPr>
            </w:pPr>
            <w:r w:rsidRPr="00D12D7A">
              <w:rPr>
                <w:sz w:val="20"/>
                <w:szCs w:val="20"/>
              </w:rPr>
              <w:t>Pesticides</w:t>
            </w:r>
          </w:p>
        </w:tc>
        <w:tc>
          <w:tcPr>
            <w:tcW w:w="3000" w:type="dxa"/>
            <w:tcBorders>
              <w:top w:val="single" w:sz="6" w:space="0" w:color="auto"/>
              <w:left w:val="single" w:sz="6" w:space="0" w:color="auto"/>
              <w:right w:val="single" w:sz="6" w:space="0" w:color="auto"/>
            </w:tcBorders>
            <w:shd w:val="clear" w:color="auto" w:fill="FFFFFF" w:themeFill="background1"/>
          </w:tcPr>
          <w:p w14:paraId="02E14EFE" w14:textId="4665B4F2" w:rsidR="00051732" w:rsidRPr="00D12D7A" w:rsidRDefault="00051732" w:rsidP="007B606C">
            <w:pPr>
              <w:spacing w:after="0"/>
              <w:ind w:left="46"/>
              <w:jc w:val="center"/>
              <w:textAlignment w:val="baseline"/>
              <w:rPr>
                <w:rFonts w:cstheme="minorHAnsi"/>
                <w:b/>
                <w:bCs/>
                <w:sz w:val="20"/>
                <w:szCs w:val="20"/>
              </w:rPr>
            </w:pPr>
            <w:r w:rsidRPr="00D12D7A">
              <w:rPr>
                <w:sz w:val="20"/>
                <w:szCs w:val="20"/>
              </w:rPr>
              <w:t>Pollution</w:t>
            </w:r>
          </w:p>
        </w:tc>
        <w:tc>
          <w:tcPr>
            <w:tcW w:w="3000" w:type="dxa"/>
            <w:tcBorders>
              <w:top w:val="single" w:sz="6" w:space="0" w:color="auto"/>
              <w:left w:val="single" w:sz="6" w:space="0" w:color="auto"/>
              <w:right w:val="single" w:sz="6" w:space="0" w:color="auto"/>
            </w:tcBorders>
            <w:shd w:val="clear" w:color="auto" w:fill="FFFFFF" w:themeFill="background1"/>
          </w:tcPr>
          <w:p w14:paraId="37993C8C" w14:textId="46DB7E62" w:rsidR="00051732" w:rsidRPr="00D12D7A" w:rsidRDefault="00051732" w:rsidP="007B606C">
            <w:pPr>
              <w:spacing w:after="0"/>
              <w:ind w:left="106"/>
              <w:jc w:val="center"/>
              <w:textAlignment w:val="baseline"/>
              <w:rPr>
                <w:rFonts w:cstheme="minorHAnsi"/>
                <w:b/>
                <w:bCs/>
                <w:sz w:val="20"/>
                <w:szCs w:val="20"/>
              </w:rPr>
            </w:pPr>
            <w:r w:rsidRPr="00D12D7A">
              <w:rPr>
                <w:sz w:val="20"/>
                <w:szCs w:val="20"/>
              </w:rPr>
              <w:t>Introduce</w:t>
            </w:r>
          </w:p>
        </w:tc>
      </w:tr>
      <w:tr w:rsidR="00051732" w:rsidRPr="00D12D7A" w14:paraId="3637F1DF"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7464423B" w14:textId="6D8C409A" w:rsidR="00051732" w:rsidRPr="00D12D7A" w:rsidRDefault="00051732" w:rsidP="00436FEB">
            <w:pPr>
              <w:spacing w:after="0"/>
              <w:ind w:left="75"/>
              <w:textAlignment w:val="baseline"/>
              <w:rPr>
                <w:rFonts w:cstheme="minorHAnsi"/>
                <w:b/>
                <w:bCs/>
                <w:sz w:val="20"/>
                <w:szCs w:val="20"/>
              </w:rPr>
            </w:pPr>
            <w:r w:rsidRPr="00D12D7A">
              <w:rPr>
                <w:sz w:val="20"/>
                <w:szCs w:val="20"/>
              </w:rPr>
              <w:t>Fertilisers</w:t>
            </w:r>
          </w:p>
        </w:tc>
        <w:tc>
          <w:tcPr>
            <w:tcW w:w="3000" w:type="dxa"/>
            <w:tcBorders>
              <w:top w:val="single" w:sz="6" w:space="0" w:color="auto"/>
              <w:left w:val="single" w:sz="6" w:space="0" w:color="auto"/>
              <w:right w:val="single" w:sz="6" w:space="0" w:color="auto"/>
            </w:tcBorders>
            <w:shd w:val="clear" w:color="auto" w:fill="FFFFFF" w:themeFill="background1"/>
          </w:tcPr>
          <w:p w14:paraId="454DC2A6" w14:textId="38974D54" w:rsidR="00051732" w:rsidRPr="00D12D7A" w:rsidRDefault="00051732" w:rsidP="007B606C">
            <w:pPr>
              <w:spacing w:after="0"/>
              <w:ind w:left="46"/>
              <w:jc w:val="center"/>
              <w:textAlignment w:val="baseline"/>
              <w:rPr>
                <w:rFonts w:cstheme="minorHAnsi"/>
                <w:b/>
                <w:bCs/>
                <w:sz w:val="20"/>
                <w:szCs w:val="20"/>
              </w:rPr>
            </w:pPr>
            <w:r w:rsidRPr="00D12D7A">
              <w:rPr>
                <w:sz w:val="20"/>
                <w:szCs w:val="20"/>
              </w:rPr>
              <w:t>Pollution</w:t>
            </w:r>
          </w:p>
        </w:tc>
        <w:tc>
          <w:tcPr>
            <w:tcW w:w="3000" w:type="dxa"/>
            <w:tcBorders>
              <w:top w:val="single" w:sz="6" w:space="0" w:color="auto"/>
              <w:left w:val="single" w:sz="6" w:space="0" w:color="auto"/>
              <w:right w:val="single" w:sz="6" w:space="0" w:color="auto"/>
            </w:tcBorders>
            <w:shd w:val="clear" w:color="auto" w:fill="FFFFFF" w:themeFill="background1"/>
          </w:tcPr>
          <w:p w14:paraId="0894240E" w14:textId="1F7E733F" w:rsidR="00051732" w:rsidRPr="00D12D7A" w:rsidRDefault="00051732" w:rsidP="007B606C">
            <w:pPr>
              <w:spacing w:after="0"/>
              <w:ind w:left="106"/>
              <w:jc w:val="center"/>
              <w:textAlignment w:val="baseline"/>
              <w:rPr>
                <w:rFonts w:cstheme="minorHAnsi"/>
                <w:b/>
                <w:bCs/>
                <w:sz w:val="20"/>
                <w:szCs w:val="20"/>
              </w:rPr>
            </w:pPr>
            <w:r w:rsidRPr="00D12D7A">
              <w:rPr>
                <w:sz w:val="20"/>
                <w:szCs w:val="20"/>
              </w:rPr>
              <w:t>Amend</w:t>
            </w:r>
          </w:p>
        </w:tc>
      </w:tr>
      <w:tr w:rsidR="00051732" w:rsidRPr="00D12D7A" w14:paraId="0577BAAF"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2C574644" w14:textId="511808A9" w:rsidR="00051732" w:rsidRPr="00D12D7A" w:rsidRDefault="00051732" w:rsidP="00436FEB">
            <w:pPr>
              <w:spacing w:after="0"/>
              <w:ind w:left="75"/>
              <w:textAlignment w:val="baseline"/>
              <w:rPr>
                <w:rFonts w:cstheme="minorHAnsi"/>
                <w:b/>
                <w:bCs/>
                <w:sz w:val="20"/>
                <w:szCs w:val="20"/>
              </w:rPr>
            </w:pPr>
            <w:r w:rsidRPr="00D12D7A">
              <w:rPr>
                <w:sz w:val="20"/>
                <w:szCs w:val="20"/>
              </w:rPr>
              <w:t>NO2 and SO2</w:t>
            </w:r>
          </w:p>
        </w:tc>
        <w:tc>
          <w:tcPr>
            <w:tcW w:w="3000" w:type="dxa"/>
            <w:tcBorders>
              <w:top w:val="single" w:sz="6" w:space="0" w:color="auto"/>
              <w:left w:val="single" w:sz="6" w:space="0" w:color="auto"/>
              <w:right w:val="single" w:sz="6" w:space="0" w:color="auto"/>
            </w:tcBorders>
            <w:shd w:val="clear" w:color="auto" w:fill="FFFFFF" w:themeFill="background1"/>
          </w:tcPr>
          <w:p w14:paraId="2B2F5D58" w14:textId="22110DE5" w:rsidR="00051732" w:rsidRPr="00D12D7A" w:rsidRDefault="00051732" w:rsidP="007B606C">
            <w:pPr>
              <w:spacing w:after="0"/>
              <w:ind w:left="46"/>
              <w:jc w:val="center"/>
              <w:textAlignment w:val="baseline"/>
              <w:rPr>
                <w:rFonts w:cstheme="minorHAnsi"/>
                <w:b/>
                <w:bCs/>
                <w:sz w:val="20"/>
                <w:szCs w:val="20"/>
              </w:rPr>
            </w:pPr>
            <w:r w:rsidRPr="00D12D7A">
              <w:rPr>
                <w:sz w:val="20"/>
                <w:szCs w:val="20"/>
              </w:rPr>
              <w:t>Pollution</w:t>
            </w:r>
          </w:p>
        </w:tc>
        <w:tc>
          <w:tcPr>
            <w:tcW w:w="3000" w:type="dxa"/>
            <w:tcBorders>
              <w:top w:val="single" w:sz="6" w:space="0" w:color="auto"/>
              <w:left w:val="single" w:sz="6" w:space="0" w:color="auto"/>
              <w:right w:val="single" w:sz="6" w:space="0" w:color="auto"/>
            </w:tcBorders>
            <w:shd w:val="clear" w:color="auto" w:fill="FFFFFF" w:themeFill="background1"/>
          </w:tcPr>
          <w:p w14:paraId="1B46C81D" w14:textId="034EBD26" w:rsidR="00051732" w:rsidRPr="00D12D7A" w:rsidRDefault="00051732" w:rsidP="007B606C">
            <w:pPr>
              <w:spacing w:after="0"/>
              <w:ind w:left="106"/>
              <w:jc w:val="center"/>
              <w:textAlignment w:val="baseline"/>
              <w:rPr>
                <w:rFonts w:cstheme="minorHAnsi"/>
                <w:b/>
                <w:bCs/>
                <w:sz w:val="20"/>
                <w:szCs w:val="20"/>
              </w:rPr>
            </w:pPr>
            <w:r w:rsidRPr="00D12D7A">
              <w:rPr>
                <w:sz w:val="20"/>
                <w:szCs w:val="20"/>
              </w:rPr>
              <w:t>Amend</w:t>
            </w:r>
          </w:p>
        </w:tc>
      </w:tr>
      <w:tr w:rsidR="00051732" w:rsidRPr="00D12D7A" w14:paraId="584659FD"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6FEDAF44" w14:textId="69DC68E3" w:rsidR="00051732" w:rsidRPr="00D12D7A" w:rsidRDefault="00051732" w:rsidP="00436FEB">
            <w:pPr>
              <w:spacing w:after="0"/>
              <w:ind w:left="75"/>
              <w:textAlignment w:val="baseline"/>
              <w:rPr>
                <w:rFonts w:cstheme="minorHAnsi"/>
                <w:b/>
                <w:bCs/>
                <w:sz w:val="20"/>
                <w:szCs w:val="20"/>
              </w:rPr>
            </w:pPr>
            <w:r w:rsidRPr="00D12D7A">
              <w:rPr>
                <w:sz w:val="20"/>
                <w:szCs w:val="20"/>
              </w:rPr>
              <w:t>Waste incineration tax</w:t>
            </w:r>
          </w:p>
        </w:tc>
        <w:tc>
          <w:tcPr>
            <w:tcW w:w="3000" w:type="dxa"/>
            <w:tcBorders>
              <w:top w:val="single" w:sz="6" w:space="0" w:color="auto"/>
              <w:left w:val="single" w:sz="6" w:space="0" w:color="auto"/>
              <w:right w:val="single" w:sz="6" w:space="0" w:color="auto"/>
            </w:tcBorders>
            <w:shd w:val="clear" w:color="auto" w:fill="FFFFFF" w:themeFill="background1"/>
          </w:tcPr>
          <w:p w14:paraId="0C69A9FC" w14:textId="47B0B24B" w:rsidR="00051732" w:rsidRPr="00D12D7A" w:rsidRDefault="00051732" w:rsidP="007B606C">
            <w:pPr>
              <w:spacing w:after="0"/>
              <w:ind w:left="46"/>
              <w:jc w:val="center"/>
              <w:textAlignment w:val="baseline"/>
              <w:rPr>
                <w:rFonts w:cstheme="minorHAnsi"/>
                <w:b/>
                <w:bCs/>
                <w:sz w:val="20"/>
                <w:szCs w:val="20"/>
              </w:rPr>
            </w:pPr>
            <w:r w:rsidRPr="00D12D7A">
              <w:rPr>
                <w:sz w:val="20"/>
                <w:szCs w:val="20"/>
              </w:rPr>
              <w:t>Waste</w:t>
            </w:r>
          </w:p>
        </w:tc>
        <w:tc>
          <w:tcPr>
            <w:tcW w:w="3000" w:type="dxa"/>
            <w:tcBorders>
              <w:top w:val="single" w:sz="6" w:space="0" w:color="auto"/>
              <w:left w:val="single" w:sz="6" w:space="0" w:color="auto"/>
              <w:right w:val="single" w:sz="6" w:space="0" w:color="auto"/>
            </w:tcBorders>
            <w:shd w:val="clear" w:color="auto" w:fill="FFFFFF" w:themeFill="background1"/>
          </w:tcPr>
          <w:p w14:paraId="1E26F9B5" w14:textId="60B4BB50" w:rsidR="00051732" w:rsidRPr="00D12D7A" w:rsidRDefault="00051732" w:rsidP="007B606C">
            <w:pPr>
              <w:spacing w:after="0"/>
              <w:ind w:left="106"/>
              <w:jc w:val="center"/>
              <w:textAlignment w:val="baseline"/>
              <w:rPr>
                <w:rFonts w:cstheme="minorHAnsi"/>
                <w:b/>
                <w:bCs/>
                <w:sz w:val="20"/>
                <w:szCs w:val="20"/>
              </w:rPr>
            </w:pPr>
            <w:r w:rsidRPr="00D12D7A">
              <w:rPr>
                <w:sz w:val="20"/>
                <w:szCs w:val="20"/>
              </w:rPr>
              <w:t>Introduce</w:t>
            </w:r>
          </w:p>
        </w:tc>
      </w:tr>
      <w:tr w:rsidR="00051732" w:rsidRPr="00D12D7A" w14:paraId="2A8BDA49"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17769210" w14:textId="1082E4A0" w:rsidR="00051732" w:rsidRPr="00D12D7A" w:rsidRDefault="00051732" w:rsidP="00436FEB">
            <w:pPr>
              <w:spacing w:after="0"/>
              <w:ind w:left="75"/>
              <w:textAlignment w:val="baseline"/>
              <w:rPr>
                <w:rFonts w:cstheme="minorHAnsi"/>
                <w:b/>
                <w:bCs/>
                <w:sz w:val="20"/>
                <w:szCs w:val="20"/>
              </w:rPr>
            </w:pPr>
            <w:r w:rsidRPr="00D12D7A">
              <w:rPr>
                <w:sz w:val="20"/>
                <w:szCs w:val="20"/>
              </w:rPr>
              <w:t xml:space="preserve">Single-use carrier bag tax </w:t>
            </w:r>
          </w:p>
        </w:tc>
        <w:tc>
          <w:tcPr>
            <w:tcW w:w="3000" w:type="dxa"/>
            <w:tcBorders>
              <w:top w:val="single" w:sz="6" w:space="0" w:color="auto"/>
              <w:left w:val="single" w:sz="6" w:space="0" w:color="auto"/>
              <w:right w:val="single" w:sz="6" w:space="0" w:color="auto"/>
            </w:tcBorders>
            <w:shd w:val="clear" w:color="auto" w:fill="FFFFFF" w:themeFill="background1"/>
          </w:tcPr>
          <w:p w14:paraId="3ACE22EA" w14:textId="08898B92" w:rsidR="00051732" w:rsidRPr="00D12D7A" w:rsidRDefault="00051732" w:rsidP="007B606C">
            <w:pPr>
              <w:spacing w:after="0"/>
              <w:ind w:left="46"/>
              <w:jc w:val="center"/>
              <w:textAlignment w:val="baseline"/>
              <w:rPr>
                <w:rFonts w:cstheme="minorHAnsi"/>
                <w:b/>
                <w:bCs/>
                <w:sz w:val="20"/>
                <w:szCs w:val="20"/>
              </w:rPr>
            </w:pPr>
            <w:r w:rsidRPr="00D12D7A">
              <w:rPr>
                <w:sz w:val="20"/>
                <w:szCs w:val="20"/>
              </w:rPr>
              <w:t>Waste</w:t>
            </w:r>
          </w:p>
        </w:tc>
        <w:tc>
          <w:tcPr>
            <w:tcW w:w="3000" w:type="dxa"/>
            <w:tcBorders>
              <w:top w:val="single" w:sz="6" w:space="0" w:color="auto"/>
              <w:left w:val="single" w:sz="6" w:space="0" w:color="auto"/>
              <w:right w:val="single" w:sz="6" w:space="0" w:color="auto"/>
            </w:tcBorders>
            <w:shd w:val="clear" w:color="auto" w:fill="FFFFFF" w:themeFill="background1"/>
          </w:tcPr>
          <w:p w14:paraId="1DF71275" w14:textId="1FBC116B" w:rsidR="00051732" w:rsidRPr="00D12D7A" w:rsidRDefault="00051732" w:rsidP="007B606C">
            <w:pPr>
              <w:spacing w:after="0"/>
              <w:ind w:left="106"/>
              <w:jc w:val="center"/>
              <w:textAlignment w:val="baseline"/>
              <w:rPr>
                <w:rFonts w:cstheme="minorHAnsi"/>
                <w:b/>
                <w:bCs/>
                <w:sz w:val="20"/>
                <w:szCs w:val="20"/>
              </w:rPr>
            </w:pPr>
            <w:r w:rsidRPr="00D12D7A">
              <w:rPr>
                <w:sz w:val="20"/>
                <w:szCs w:val="20"/>
              </w:rPr>
              <w:t>Amend</w:t>
            </w:r>
          </w:p>
        </w:tc>
      </w:tr>
      <w:tr w:rsidR="00051732" w:rsidRPr="00D12D7A" w14:paraId="488C6651"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48A17D12" w14:textId="0CF50440" w:rsidR="00051732" w:rsidRPr="00D12D7A" w:rsidRDefault="00051732" w:rsidP="00436FEB">
            <w:pPr>
              <w:spacing w:after="0"/>
              <w:ind w:left="75"/>
              <w:textAlignment w:val="baseline"/>
              <w:rPr>
                <w:rFonts w:cstheme="minorHAnsi"/>
                <w:b/>
                <w:bCs/>
                <w:sz w:val="20"/>
                <w:szCs w:val="20"/>
              </w:rPr>
            </w:pPr>
            <w:r w:rsidRPr="00D12D7A">
              <w:rPr>
                <w:sz w:val="20"/>
                <w:szCs w:val="20"/>
              </w:rPr>
              <w:t>Waste water</w:t>
            </w:r>
          </w:p>
        </w:tc>
        <w:tc>
          <w:tcPr>
            <w:tcW w:w="3000" w:type="dxa"/>
            <w:tcBorders>
              <w:top w:val="single" w:sz="6" w:space="0" w:color="auto"/>
              <w:left w:val="single" w:sz="6" w:space="0" w:color="auto"/>
              <w:right w:val="single" w:sz="6" w:space="0" w:color="auto"/>
            </w:tcBorders>
            <w:shd w:val="clear" w:color="auto" w:fill="FFFFFF" w:themeFill="background1"/>
          </w:tcPr>
          <w:p w14:paraId="7647F872" w14:textId="2EB0BE94" w:rsidR="00051732" w:rsidRPr="00D12D7A" w:rsidRDefault="00051732" w:rsidP="007B606C">
            <w:pPr>
              <w:spacing w:after="0"/>
              <w:ind w:left="46"/>
              <w:jc w:val="center"/>
              <w:textAlignment w:val="baseline"/>
              <w:rPr>
                <w:rFonts w:cstheme="minorHAnsi"/>
                <w:b/>
                <w:bCs/>
                <w:sz w:val="20"/>
                <w:szCs w:val="20"/>
              </w:rPr>
            </w:pPr>
            <w:r w:rsidRPr="00D12D7A">
              <w:rPr>
                <w:sz w:val="20"/>
                <w:szCs w:val="20"/>
              </w:rPr>
              <w:t>Waste</w:t>
            </w:r>
          </w:p>
        </w:tc>
        <w:tc>
          <w:tcPr>
            <w:tcW w:w="3000" w:type="dxa"/>
            <w:tcBorders>
              <w:top w:val="single" w:sz="6" w:space="0" w:color="auto"/>
              <w:left w:val="single" w:sz="6" w:space="0" w:color="auto"/>
              <w:right w:val="single" w:sz="6" w:space="0" w:color="auto"/>
            </w:tcBorders>
            <w:shd w:val="clear" w:color="auto" w:fill="FFFFFF" w:themeFill="background1"/>
          </w:tcPr>
          <w:p w14:paraId="5241FCCF" w14:textId="4D8BF780" w:rsidR="00051732" w:rsidRPr="00D12D7A" w:rsidRDefault="00051732" w:rsidP="007B606C">
            <w:pPr>
              <w:spacing w:after="0"/>
              <w:ind w:left="106"/>
              <w:jc w:val="center"/>
              <w:textAlignment w:val="baseline"/>
              <w:rPr>
                <w:rFonts w:cstheme="minorHAnsi"/>
                <w:b/>
                <w:bCs/>
                <w:sz w:val="20"/>
                <w:szCs w:val="20"/>
              </w:rPr>
            </w:pPr>
            <w:r w:rsidRPr="00D12D7A">
              <w:rPr>
                <w:sz w:val="20"/>
                <w:szCs w:val="20"/>
              </w:rPr>
              <w:t>Amend</w:t>
            </w:r>
          </w:p>
        </w:tc>
      </w:tr>
    </w:tbl>
    <w:p w14:paraId="584FC0E9" w14:textId="77777777" w:rsidR="00392FDA" w:rsidRPr="00EA4C9B" w:rsidRDefault="00392FDA" w:rsidP="00392FDA">
      <w:pPr>
        <w:rPr>
          <w:lang w:eastAsia="en-GB"/>
        </w:rPr>
      </w:pPr>
    </w:p>
    <w:p w14:paraId="06A8A2C2" w14:textId="77777777" w:rsidR="00392FDA" w:rsidRPr="00EA4C9B" w:rsidRDefault="00392FDA" w:rsidP="007C4EB7">
      <w:pPr>
        <w:pStyle w:val="AnnexHeading2"/>
      </w:pPr>
      <w:bookmarkStart w:id="137" w:name="_Toc214008847"/>
      <w:r w:rsidRPr="00EA4C9B">
        <w:t>Impacts and feasibility of implementing new environmental taxes</w:t>
      </w:r>
      <w:bookmarkEnd w:id="137"/>
    </w:p>
    <w:p w14:paraId="7D14A756" w14:textId="7DDA125B" w:rsidR="00FA6252" w:rsidRDefault="00FA6252" w:rsidP="00D12D7A">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20E0D581" w14:textId="46A95EEB" w:rsidR="00D12D7A" w:rsidRDefault="00D12D7A" w:rsidP="00D12D7A">
      <w:r w:rsidRPr="00D12D7A">
        <w:t>Croatia has made notable progress in environmental taxation over recent years, particularly through landfill and waste management levies and through energy-related instruments. Nevertheless, the coverage and rate levels of other pollution and resource taxes remain limited. The modelling results for Scenarios A and B suggest that introducing harmonised benchmark taxes would yield tangible fiscal and environmental benefits. Under Scenario A, Croatia could increase revenues from pollution and resource taxes by around 0.4 per cent of total environmental tax receipts in 2030, while achieving reductions of between 10 and 18 per cent in pollutants, waste and resource use. Under Scenario B, the gains are more moderate but remain positive across all categories, suggesting that reform could be implemented with limited macroeconomic risk.</w:t>
      </w:r>
    </w:p>
    <w:p w14:paraId="723D6D8B" w14:textId="7E11DC42" w:rsidR="00D12D7A" w:rsidRDefault="00D12D7A" w:rsidP="00D12D7A">
      <w:pPr>
        <w:rPr>
          <w:lang w:eastAsia="en-GB"/>
        </w:rPr>
      </w:pPr>
      <w:r>
        <w:rPr>
          <w:lang w:eastAsia="en-GB"/>
        </w:rPr>
        <w:t xml:space="preserve">Total revenues from the </w:t>
      </w:r>
      <w:r w:rsidR="007B606C">
        <w:t>investigated</w:t>
      </w:r>
      <w:r w:rsidR="007B606C">
        <w:rPr>
          <w:lang w:eastAsia="en-GB"/>
        </w:rPr>
        <w:t xml:space="preserve"> </w:t>
      </w:r>
      <w:r>
        <w:rPr>
          <w:lang w:eastAsia="en-GB"/>
        </w:rPr>
        <w:t xml:space="preserve">taxes could rise by about €5.2 billion in 2030 and 2035, amounting to 10 times the revenues for pollution and resource taxes in 2023. Almost all the contribution comes from water effluent charges, which account for 98% of the total.  The other significant contribution is waste to landfill and mineral aggregates. Existing water abstraction charges are deemed to be above the </w:t>
      </w:r>
      <w:r w:rsidR="007B606C">
        <w:t>investigated</w:t>
      </w:r>
      <w:r>
        <w:rPr>
          <w:lang w:eastAsia="en-GB"/>
        </w:rPr>
        <w:t xml:space="preserve"> minimum.  Consequently, this sector does not contribute to the increase in revenues. Reduction in emissions or use of materials is greatest for pesticides (33%), waste to landfill (25%) PM2.5 (26-26%) and fertilizers (24%). </w:t>
      </w:r>
    </w:p>
    <w:tbl>
      <w:tblPr>
        <w:tblStyle w:val="Lentelstinklelis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312"/>
        <w:gridCol w:w="1275"/>
      </w:tblGrid>
      <w:tr w:rsidR="00D12D7A" w:rsidRPr="0039487C" w14:paraId="5A0D843D" w14:textId="77777777" w:rsidTr="00D541AE">
        <w:trPr>
          <w:trHeight w:val="255"/>
          <w:tblHeader/>
        </w:trPr>
        <w:tc>
          <w:tcPr>
            <w:tcW w:w="9067" w:type="dxa"/>
            <w:gridSpan w:val="7"/>
            <w:shd w:val="clear" w:color="auto" w:fill="003399"/>
          </w:tcPr>
          <w:p w14:paraId="39A069F4" w14:textId="1841FB08" w:rsidR="00D12D7A" w:rsidRPr="0039487C" w:rsidRDefault="00D12D7A" w:rsidP="000878F6">
            <w:pPr>
              <w:pStyle w:val="Table"/>
              <w:rPr>
                <w:b/>
                <w:color w:val="FFFFFF" w:themeColor="background1"/>
                <w:szCs w:val="20"/>
                <w:lang w:eastAsia="en-GB"/>
              </w:rPr>
            </w:pPr>
            <w:r w:rsidRPr="0039487C">
              <w:rPr>
                <w:b/>
                <w:color w:val="FFFFFF" w:themeColor="background1"/>
                <w:szCs w:val="20"/>
              </w:rPr>
              <w:t xml:space="preserve">Table </w:t>
            </w:r>
            <w:r w:rsidR="00490085">
              <w:rPr>
                <w:b/>
                <w:bCs/>
                <w:color w:val="FFFFFF" w:themeColor="background1"/>
                <w:szCs w:val="20"/>
              </w:rPr>
              <w:t>A6</w:t>
            </w:r>
            <w:r w:rsidRPr="0039487C">
              <w:rPr>
                <w:b/>
                <w:bCs/>
                <w:color w:val="FFFFFF" w:themeColor="background1"/>
                <w:szCs w:val="20"/>
              </w:rPr>
              <w:t>-</w:t>
            </w:r>
            <w:r w:rsidRPr="0039487C">
              <w:rPr>
                <w:b/>
                <w:bCs/>
                <w:color w:val="FFFFFF" w:themeColor="background1"/>
                <w:szCs w:val="20"/>
              </w:rPr>
              <w:fldChar w:fldCharType="begin"/>
            </w:r>
            <w:r w:rsidRPr="0039487C">
              <w:rPr>
                <w:b/>
                <w:bCs/>
                <w:color w:val="FFFFFF" w:themeColor="background1"/>
                <w:szCs w:val="20"/>
              </w:rPr>
              <w:instrText xml:space="preserve"> SEQ Table_A5- \* ARABIC </w:instrText>
            </w:r>
            <w:r w:rsidRPr="0039487C">
              <w:rPr>
                <w:b/>
                <w:bCs/>
                <w:color w:val="FFFFFF" w:themeColor="background1"/>
                <w:szCs w:val="20"/>
              </w:rPr>
              <w:fldChar w:fldCharType="separate"/>
            </w:r>
            <w:r w:rsidRPr="0039487C">
              <w:rPr>
                <w:b/>
                <w:bCs/>
                <w:color w:val="FFFFFF" w:themeColor="background1"/>
                <w:szCs w:val="20"/>
              </w:rPr>
              <w:fldChar w:fldCharType="end"/>
            </w:r>
            <w:r w:rsidRPr="0039487C">
              <w:rPr>
                <w:b/>
                <w:color w:val="FFFFFF" w:themeColor="background1"/>
                <w:szCs w:val="20"/>
                <w:lang w:eastAsia="en-GB"/>
              </w:rPr>
              <w:t>: Environmental Impacts and Revenue Changes in Croatia – Scenario A</w:t>
            </w:r>
          </w:p>
        </w:tc>
      </w:tr>
      <w:tr w:rsidR="00D12D7A" w:rsidRPr="0039487C" w14:paraId="05F6E9EA" w14:textId="77777777" w:rsidTr="00D541AE">
        <w:trPr>
          <w:tblHeader/>
        </w:trPr>
        <w:tc>
          <w:tcPr>
            <w:tcW w:w="2160" w:type="dxa"/>
          </w:tcPr>
          <w:p w14:paraId="539706C1" w14:textId="77777777" w:rsidR="00D12D7A" w:rsidRPr="0039487C" w:rsidRDefault="00D12D7A" w:rsidP="000878F6">
            <w:pPr>
              <w:pStyle w:val="Table"/>
              <w:rPr>
                <w:b/>
                <w:szCs w:val="20"/>
              </w:rPr>
            </w:pPr>
            <w:r w:rsidRPr="0039487C">
              <w:rPr>
                <w:b/>
                <w:szCs w:val="20"/>
              </w:rPr>
              <w:t>Tax Name</w:t>
            </w:r>
          </w:p>
        </w:tc>
        <w:tc>
          <w:tcPr>
            <w:tcW w:w="2160" w:type="dxa"/>
            <w:gridSpan w:val="2"/>
            <w:vAlign w:val="bottom"/>
          </w:tcPr>
          <w:p w14:paraId="63EAF7D9" w14:textId="77777777" w:rsidR="00D12D7A" w:rsidRPr="0039487C" w:rsidRDefault="00D12D7A" w:rsidP="000878F6">
            <w:pPr>
              <w:pStyle w:val="Table"/>
              <w:jc w:val="center"/>
              <w:rPr>
                <w:b/>
                <w:szCs w:val="20"/>
              </w:rPr>
            </w:pPr>
            <w:r>
              <w:rPr>
                <w:rFonts w:ascii="Calibri" w:hAnsi="Calibri" w:cs="Calibri"/>
                <w:b/>
                <w:bCs/>
                <w:color w:val="000000"/>
                <w:szCs w:val="20"/>
              </w:rPr>
              <w:t>% Change in Quantities as % of taxed sector</w:t>
            </w:r>
          </w:p>
        </w:tc>
        <w:tc>
          <w:tcPr>
            <w:tcW w:w="2160" w:type="dxa"/>
            <w:gridSpan w:val="2"/>
            <w:vAlign w:val="bottom"/>
          </w:tcPr>
          <w:p w14:paraId="48332296" w14:textId="77777777" w:rsidR="00D12D7A" w:rsidRPr="0039487C" w:rsidRDefault="00D12D7A" w:rsidP="000878F6">
            <w:pPr>
              <w:pStyle w:val="Table"/>
              <w:jc w:val="center"/>
              <w:rPr>
                <w:b/>
                <w:szCs w:val="20"/>
              </w:rPr>
            </w:pPr>
            <w:r>
              <w:rPr>
                <w:rFonts w:ascii="Calibri" w:hAnsi="Calibri" w:cs="Calibri"/>
                <w:b/>
                <w:bCs/>
                <w:color w:val="000000"/>
                <w:szCs w:val="20"/>
              </w:rPr>
              <w:t>Change in Revenues (€Mn)</w:t>
            </w:r>
          </w:p>
        </w:tc>
        <w:tc>
          <w:tcPr>
            <w:tcW w:w="2587" w:type="dxa"/>
            <w:gridSpan w:val="2"/>
            <w:vAlign w:val="bottom"/>
          </w:tcPr>
          <w:p w14:paraId="6CC2BDC4" w14:textId="77777777" w:rsidR="00D12D7A" w:rsidRPr="0039487C" w:rsidRDefault="00D12D7A" w:rsidP="000878F6">
            <w:pPr>
              <w:pStyle w:val="Table"/>
              <w:jc w:val="center"/>
              <w:rPr>
                <w:b/>
                <w:szCs w:val="20"/>
              </w:rPr>
            </w:pPr>
            <w:r>
              <w:rPr>
                <w:rFonts w:ascii="Calibri" w:hAnsi="Calibri" w:cs="Calibri"/>
                <w:b/>
                <w:bCs/>
                <w:color w:val="000000"/>
                <w:szCs w:val="20"/>
              </w:rPr>
              <w:t>As % of 2023 Resource Tax</w:t>
            </w:r>
          </w:p>
        </w:tc>
      </w:tr>
      <w:tr w:rsidR="00D12D7A" w:rsidRPr="0039487C" w14:paraId="2466728D" w14:textId="77777777" w:rsidTr="00D541AE">
        <w:trPr>
          <w:tblHeader/>
        </w:trPr>
        <w:tc>
          <w:tcPr>
            <w:tcW w:w="2160" w:type="dxa"/>
          </w:tcPr>
          <w:p w14:paraId="6C786416" w14:textId="77777777" w:rsidR="00D12D7A" w:rsidRPr="0039487C" w:rsidRDefault="00D12D7A" w:rsidP="000878F6">
            <w:pPr>
              <w:pStyle w:val="Table"/>
              <w:rPr>
                <w:b/>
                <w:szCs w:val="20"/>
              </w:rPr>
            </w:pPr>
            <w:r w:rsidRPr="0039487C">
              <w:rPr>
                <w:b/>
                <w:szCs w:val="20"/>
              </w:rPr>
              <w:t>Year</w:t>
            </w:r>
          </w:p>
        </w:tc>
        <w:tc>
          <w:tcPr>
            <w:tcW w:w="1080" w:type="dxa"/>
          </w:tcPr>
          <w:p w14:paraId="61A49507" w14:textId="77777777" w:rsidR="00D12D7A" w:rsidRPr="0039487C" w:rsidRDefault="00D12D7A" w:rsidP="000878F6">
            <w:pPr>
              <w:pStyle w:val="Table"/>
              <w:jc w:val="center"/>
              <w:rPr>
                <w:b/>
                <w:szCs w:val="20"/>
              </w:rPr>
            </w:pPr>
            <w:r w:rsidRPr="0039487C">
              <w:rPr>
                <w:b/>
                <w:szCs w:val="20"/>
              </w:rPr>
              <w:t>2030</w:t>
            </w:r>
          </w:p>
        </w:tc>
        <w:tc>
          <w:tcPr>
            <w:tcW w:w="1080" w:type="dxa"/>
          </w:tcPr>
          <w:p w14:paraId="01F6231C" w14:textId="77777777" w:rsidR="00D12D7A" w:rsidRPr="0039487C" w:rsidRDefault="00D12D7A" w:rsidP="000878F6">
            <w:pPr>
              <w:pStyle w:val="Table"/>
              <w:jc w:val="center"/>
              <w:rPr>
                <w:b/>
                <w:szCs w:val="20"/>
              </w:rPr>
            </w:pPr>
            <w:r w:rsidRPr="0039487C">
              <w:rPr>
                <w:b/>
                <w:szCs w:val="20"/>
              </w:rPr>
              <w:t>2035</w:t>
            </w:r>
          </w:p>
        </w:tc>
        <w:tc>
          <w:tcPr>
            <w:tcW w:w="990" w:type="dxa"/>
          </w:tcPr>
          <w:p w14:paraId="5AAD9C6C" w14:textId="77777777" w:rsidR="00D12D7A" w:rsidRPr="0039487C" w:rsidRDefault="00D12D7A" w:rsidP="000878F6">
            <w:pPr>
              <w:pStyle w:val="Table"/>
              <w:jc w:val="center"/>
              <w:rPr>
                <w:b/>
                <w:szCs w:val="20"/>
              </w:rPr>
            </w:pPr>
            <w:r w:rsidRPr="0039487C">
              <w:rPr>
                <w:b/>
                <w:szCs w:val="20"/>
              </w:rPr>
              <w:t>2030</w:t>
            </w:r>
          </w:p>
        </w:tc>
        <w:tc>
          <w:tcPr>
            <w:tcW w:w="1170" w:type="dxa"/>
          </w:tcPr>
          <w:p w14:paraId="5156BE5E" w14:textId="77777777" w:rsidR="00D12D7A" w:rsidRPr="0039487C" w:rsidRDefault="00D12D7A" w:rsidP="000878F6">
            <w:pPr>
              <w:pStyle w:val="Table"/>
              <w:jc w:val="center"/>
              <w:rPr>
                <w:b/>
                <w:szCs w:val="20"/>
              </w:rPr>
            </w:pPr>
            <w:r w:rsidRPr="0039487C">
              <w:rPr>
                <w:b/>
                <w:szCs w:val="20"/>
              </w:rPr>
              <w:t>2035</w:t>
            </w:r>
          </w:p>
        </w:tc>
        <w:tc>
          <w:tcPr>
            <w:tcW w:w="1312" w:type="dxa"/>
          </w:tcPr>
          <w:p w14:paraId="07D1F28B" w14:textId="77777777" w:rsidR="00D12D7A" w:rsidRPr="0039487C" w:rsidRDefault="00D12D7A" w:rsidP="000878F6">
            <w:pPr>
              <w:pStyle w:val="Table"/>
              <w:jc w:val="center"/>
              <w:rPr>
                <w:b/>
                <w:szCs w:val="20"/>
              </w:rPr>
            </w:pPr>
            <w:r w:rsidRPr="0039487C">
              <w:rPr>
                <w:b/>
                <w:szCs w:val="20"/>
              </w:rPr>
              <w:t>2030</w:t>
            </w:r>
          </w:p>
        </w:tc>
        <w:tc>
          <w:tcPr>
            <w:tcW w:w="1275" w:type="dxa"/>
          </w:tcPr>
          <w:p w14:paraId="1C528289" w14:textId="77777777" w:rsidR="00D12D7A" w:rsidRPr="0039487C" w:rsidRDefault="00D12D7A" w:rsidP="000878F6">
            <w:pPr>
              <w:pStyle w:val="Table"/>
              <w:jc w:val="center"/>
              <w:rPr>
                <w:b/>
                <w:szCs w:val="20"/>
              </w:rPr>
            </w:pPr>
            <w:r w:rsidRPr="0039487C">
              <w:rPr>
                <w:b/>
                <w:szCs w:val="20"/>
              </w:rPr>
              <w:t>2035</w:t>
            </w:r>
          </w:p>
        </w:tc>
      </w:tr>
      <w:tr w:rsidR="00D12D7A" w:rsidRPr="0039487C" w14:paraId="3C3E5853" w14:textId="77777777" w:rsidTr="00D541AE">
        <w:tc>
          <w:tcPr>
            <w:tcW w:w="2160" w:type="dxa"/>
          </w:tcPr>
          <w:p w14:paraId="09454838" w14:textId="77777777" w:rsidR="00D12D7A" w:rsidRPr="0039487C" w:rsidRDefault="00D12D7A" w:rsidP="000878F6">
            <w:pPr>
              <w:pStyle w:val="Table"/>
              <w:rPr>
                <w:szCs w:val="20"/>
              </w:rPr>
            </w:pPr>
            <w:r w:rsidRPr="0039487C">
              <w:rPr>
                <w:szCs w:val="20"/>
              </w:rPr>
              <w:t>NOx</w:t>
            </w:r>
          </w:p>
        </w:tc>
        <w:tc>
          <w:tcPr>
            <w:tcW w:w="1080" w:type="dxa"/>
            <w:vAlign w:val="center"/>
          </w:tcPr>
          <w:p w14:paraId="41F03A46" w14:textId="77777777" w:rsidR="00D12D7A" w:rsidRPr="0039487C" w:rsidRDefault="00D12D7A" w:rsidP="000878F6">
            <w:pPr>
              <w:pStyle w:val="Table"/>
              <w:jc w:val="center"/>
              <w:rPr>
                <w:szCs w:val="20"/>
              </w:rPr>
            </w:pPr>
            <w:r w:rsidRPr="0039487C">
              <w:rPr>
                <w:rFonts w:ascii="Calibri" w:hAnsi="Calibri" w:cs="Calibri"/>
                <w:color w:val="000000"/>
                <w:szCs w:val="20"/>
              </w:rPr>
              <w:t>-28,57%</w:t>
            </w:r>
          </w:p>
        </w:tc>
        <w:tc>
          <w:tcPr>
            <w:tcW w:w="1080" w:type="dxa"/>
            <w:vAlign w:val="center"/>
          </w:tcPr>
          <w:p w14:paraId="37F87688" w14:textId="77777777" w:rsidR="00D12D7A" w:rsidRPr="0039487C" w:rsidRDefault="00D12D7A" w:rsidP="000878F6">
            <w:pPr>
              <w:pStyle w:val="Table"/>
              <w:jc w:val="center"/>
              <w:rPr>
                <w:szCs w:val="20"/>
              </w:rPr>
            </w:pPr>
            <w:r w:rsidRPr="0039487C">
              <w:rPr>
                <w:rFonts w:ascii="Calibri" w:hAnsi="Calibri" w:cs="Calibri"/>
                <w:color w:val="000000"/>
                <w:szCs w:val="20"/>
              </w:rPr>
              <w:t>-28,57%</w:t>
            </w:r>
          </w:p>
        </w:tc>
        <w:tc>
          <w:tcPr>
            <w:tcW w:w="990" w:type="dxa"/>
            <w:vAlign w:val="center"/>
          </w:tcPr>
          <w:p w14:paraId="51E816D9" w14:textId="77777777" w:rsidR="00D12D7A" w:rsidRPr="0039487C" w:rsidRDefault="00D12D7A" w:rsidP="000878F6">
            <w:pPr>
              <w:pStyle w:val="Table"/>
              <w:jc w:val="center"/>
              <w:rPr>
                <w:szCs w:val="20"/>
              </w:rPr>
            </w:pPr>
            <w:r w:rsidRPr="0039487C">
              <w:rPr>
                <w:rFonts w:ascii="Calibri" w:hAnsi="Calibri" w:cs="Calibri"/>
                <w:color w:val="000000"/>
                <w:szCs w:val="20"/>
              </w:rPr>
              <w:t>0,31</w:t>
            </w:r>
          </w:p>
        </w:tc>
        <w:tc>
          <w:tcPr>
            <w:tcW w:w="1170" w:type="dxa"/>
            <w:vAlign w:val="center"/>
          </w:tcPr>
          <w:p w14:paraId="4FC15BB2" w14:textId="77777777" w:rsidR="00D12D7A" w:rsidRPr="0039487C" w:rsidRDefault="00D12D7A" w:rsidP="000878F6">
            <w:pPr>
              <w:pStyle w:val="Table"/>
              <w:jc w:val="center"/>
              <w:rPr>
                <w:szCs w:val="20"/>
              </w:rPr>
            </w:pPr>
            <w:r w:rsidRPr="0039487C">
              <w:rPr>
                <w:rFonts w:ascii="Calibri" w:hAnsi="Calibri" w:cs="Calibri"/>
                <w:color w:val="000000"/>
                <w:szCs w:val="20"/>
              </w:rPr>
              <w:t>0,19</w:t>
            </w:r>
          </w:p>
        </w:tc>
        <w:tc>
          <w:tcPr>
            <w:tcW w:w="1312" w:type="dxa"/>
            <w:vAlign w:val="center"/>
          </w:tcPr>
          <w:p w14:paraId="47E7A5D6" w14:textId="77777777" w:rsidR="00D12D7A" w:rsidRPr="0039487C" w:rsidRDefault="00D12D7A" w:rsidP="000878F6">
            <w:pPr>
              <w:pStyle w:val="Table"/>
              <w:jc w:val="center"/>
              <w:rPr>
                <w:szCs w:val="20"/>
              </w:rPr>
            </w:pPr>
            <w:r w:rsidRPr="0039487C">
              <w:rPr>
                <w:rFonts w:ascii="Calibri" w:hAnsi="Calibri" w:cs="Calibri"/>
                <w:color w:val="000000"/>
                <w:szCs w:val="20"/>
              </w:rPr>
              <w:t>0,19%</w:t>
            </w:r>
          </w:p>
        </w:tc>
        <w:tc>
          <w:tcPr>
            <w:tcW w:w="1275" w:type="dxa"/>
            <w:vAlign w:val="center"/>
          </w:tcPr>
          <w:p w14:paraId="1CD1EB58" w14:textId="77777777" w:rsidR="00D12D7A" w:rsidRPr="0039487C" w:rsidRDefault="00D12D7A" w:rsidP="000878F6">
            <w:pPr>
              <w:pStyle w:val="Table"/>
              <w:jc w:val="center"/>
              <w:rPr>
                <w:szCs w:val="20"/>
              </w:rPr>
            </w:pPr>
            <w:r w:rsidRPr="0039487C">
              <w:rPr>
                <w:rFonts w:ascii="Calibri" w:hAnsi="Calibri" w:cs="Calibri"/>
                <w:color w:val="000000"/>
                <w:szCs w:val="20"/>
              </w:rPr>
              <w:t>0,12%</w:t>
            </w:r>
          </w:p>
        </w:tc>
      </w:tr>
      <w:tr w:rsidR="00D12D7A" w:rsidRPr="0039487C" w14:paraId="0ADADB17" w14:textId="77777777" w:rsidTr="00D541AE">
        <w:tc>
          <w:tcPr>
            <w:tcW w:w="2160" w:type="dxa"/>
          </w:tcPr>
          <w:p w14:paraId="3ECF3B53" w14:textId="77777777" w:rsidR="00D12D7A" w:rsidRPr="0039487C" w:rsidRDefault="00D12D7A" w:rsidP="000878F6">
            <w:pPr>
              <w:pStyle w:val="Table"/>
              <w:rPr>
                <w:szCs w:val="20"/>
              </w:rPr>
            </w:pPr>
            <w:r w:rsidRPr="0039487C">
              <w:rPr>
                <w:szCs w:val="20"/>
              </w:rPr>
              <w:t>SO2</w:t>
            </w:r>
          </w:p>
        </w:tc>
        <w:tc>
          <w:tcPr>
            <w:tcW w:w="1080" w:type="dxa"/>
            <w:vAlign w:val="center"/>
          </w:tcPr>
          <w:p w14:paraId="2F23AA75" w14:textId="77777777" w:rsidR="00D12D7A" w:rsidRPr="0039487C" w:rsidRDefault="00D12D7A" w:rsidP="000878F6">
            <w:pPr>
              <w:pStyle w:val="Table"/>
              <w:jc w:val="center"/>
              <w:rPr>
                <w:szCs w:val="20"/>
              </w:rPr>
            </w:pPr>
            <w:r w:rsidRPr="0039487C">
              <w:rPr>
                <w:rFonts w:ascii="Calibri" w:hAnsi="Calibri" w:cs="Calibri"/>
                <w:color w:val="000000"/>
                <w:szCs w:val="20"/>
              </w:rPr>
              <w:t>-32,43%</w:t>
            </w:r>
          </w:p>
        </w:tc>
        <w:tc>
          <w:tcPr>
            <w:tcW w:w="1080" w:type="dxa"/>
            <w:vAlign w:val="center"/>
          </w:tcPr>
          <w:p w14:paraId="064F130A" w14:textId="77777777" w:rsidR="00D12D7A" w:rsidRPr="0039487C" w:rsidRDefault="00D12D7A" w:rsidP="000878F6">
            <w:pPr>
              <w:pStyle w:val="Table"/>
              <w:jc w:val="center"/>
              <w:rPr>
                <w:szCs w:val="20"/>
              </w:rPr>
            </w:pPr>
            <w:r w:rsidRPr="0039487C">
              <w:rPr>
                <w:rFonts w:ascii="Calibri" w:hAnsi="Calibri" w:cs="Calibri"/>
                <w:color w:val="000000"/>
                <w:szCs w:val="20"/>
              </w:rPr>
              <w:t>-32,43%</w:t>
            </w:r>
          </w:p>
        </w:tc>
        <w:tc>
          <w:tcPr>
            <w:tcW w:w="990" w:type="dxa"/>
            <w:vAlign w:val="center"/>
          </w:tcPr>
          <w:p w14:paraId="229A1384" w14:textId="77777777" w:rsidR="00D12D7A" w:rsidRPr="0039487C" w:rsidRDefault="00D12D7A" w:rsidP="000878F6">
            <w:pPr>
              <w:pStyle w:val="Table"/>
              <w:jc w:val="center"/>
              <w:rPr>
                <w:szCs w:val="20"/>
              </w:rPr>
            </w:pPr>
            <w:r w:rsidRPr="0039487C">
              <w:rPr>
                <w:rFonts w:ascii="Calibri" w:hAnsi="Calibri" w:cs="Calibri"/>
                <w:color w:val="000000"/>
                <w:szCs w:val="20"/>
              </w:rPr>
              <w:t>0,63</w:t>
            </w:r>
          </w:p>
        </w:tc>
        <w:tc>
          <w:tcPr>
            <w:tcW w:w="1170" w:type="dxa"/>
            <w:vAlign w:val="center"/>
          </w:tcPr>
          <w:p w14:paraId="0BEB813A" w14:textId="77777777" w:rsidR="00D12D7A" w:rsidRPr="0039487C" w:rsidRDefault="00D12D7A" w:rsidP="000878F6">
            <w:pPr>
              <w:pStyle w:val="Table"/>
              <w:jc w:val="center"/>
              <w:rPr>
                <w:szCs w:val="20"/>
              </w:rPr>
            </w:pPr>
            <w:r w:rsidRPr="0039487C">
              <w:rPr>
                <w:rFonts w:ascii="Calibri" w:hAnsi="Calibri" w:cs="Calibri"/>
                <w:color w:val="000000"/>
                <w:szCs w:val="20"/>
              </w:rPr>
              <w:t>0,23</w:t>
            </w:r>
          </w:p>
        </w:tc>
        <w:tc>
          <w:tcPr>
            <w:tcW w:w="1312" w:type="dxa"/>
            <w:vAlign w:val="center"/>
          </w:tcPr>
          <w:p w14:paraId="64C9527A" w14:textId="77777777" w:rsidR="00D12D7A" w:rsidRPr="0039487C" w:rsidRDefault="00D12D7A" w:rsidP="000878F6">
            <w:pPr>
              <w:pStyle w:val="Table"/>
              <w:jc w:val="center"/>
              <w:rPr>
                <w:szCs w:val="20"/>
              </w:rPr>
            </w:pPr>
            <w:r w:rsidRPr="0039487C">
              <w:rPr>
                <w:rFonts w:ascii="Calibri" w:hAnsi="Calibri" w:cs="Calibri"/>
                <w:color w:val="000000"/>
                <w:szCs w:val="20"/>
              </w:rPr>
              <w:t>0,39%</w:t>
            </w:r>
          </w:p>
        </w:tc>
        <w:tc>
          <w:tcPr>
            <w:tcW w:w="1275" w:type="dxa"/>
            <w:vAlign w:val="center"/>
          </w:tcPr>
          <w:p w14:paraId="1A6E0C4E" w14:textId="77777777" w:rsidR="00D12D7A" w:rsidRPr="0039487C" w:rsidRDefault="00D12D7A" w:rsidP="000878F6">
            <w:pPr>
              <w:pStyle w:val="Table"/>
              <w:jc w:val="center"/>
              <w:rPr>
                <w:szCs w:val="20"/>
              </w:rPr>
            </w:pPr>
            <w:r w:rsidRPr="0039487C">
              <w:rPr>
                <w:rFonts w:ascii="Calibri" w:hAnsi="Calibri" w:cs="Calibri"/>
                <w:color w:val="000000"/>
                <w:szCs w:val="20"/>
              </w:rPr>
              <w:t>0,14%</w:t>
            </w:r>
          </w:p>
        </w:tc>
      </w:tr>
      <w:tr w:rsidR="00D12D7A" w:rsidRPr="0039487C" w14:paraId="5A27F4D9" w14:textId="77777777" w:rsidTr="00D541AE">
        <w:tc>
          <w:tcPr>
            <w:tcW w:w="2160" w:type="dxa"/>
          </w:tcPr>
          <w:p w14:paraId="0913B12A" w14:textId="77777777" w:rsidR="00D12D7A" w:rsidRPr="0039487C" w:rsidRDefault="00D12D7A" w:rsidP="000878F6">
            <w:pPr>
              <w:pStyle w:val="Table"/>
              <w:rPr>
                <w:szCs w:val="20"/>
              </w:rPr>
            </w:pPr>
            <w:r w:rsidRPr="0039487C">
              <w:rPr>
                <w:szCs w:val="20"/>
              </w:rPr>
              <w:t>PM2.5</w:t>
            </w:r>
          </w:p>
        </w:tc>
        <w:tc>
          <w:tcPr>
            <w:tcW w:w="1080" w:type="dxa"/>
            <w:vAlign w:val="center"/>
          </w:tcPr>
          <w:p w14:paraId="53804763" w14:textId="77777777" w:rsidR="00D12D7A" w:rsidRPr="0039487C" w:rsidRDefault="00D12D7A" w:rsidP="000878F6">
            <w:pPr>
              <w:pStyle w:val="Table"/>
              <w:jc w:val="center"/>
              <w:rPr>
                <w:szCs w:val="20"/>
              </w:rPr>
            </w:pPr>
            <w:r w:rsidRPr="0039487C">
              <w:rPr>
                <w:rFonts w:ascii="Calibri" w:hAnsi="Calibri" w:cs="Calibri"/>
                <w:color w:val="000000"/>
                <w:szCs w:val="20"/>
              </w:rPr>
              <w:t>-29,58%</w:t>
            </w:r>
          </w:p>
        </w:tc>
        <w:tc>
          <w:tcPr>
            <w:tcW w:w="1080" w:type="dxa"/>
            <w:vAlign w:val="center"/>
          </w:tcPr>
          <w:p w14:paraId="7B3F8477" w14:textId="77777777" w:rsidR="00D12D7A" w:rsidRPr="0039487C" w:rsidRDefault="00D12D7A" w:rsidP="000878F6">
            <w:pPr>
              <w:pStyle w:val="Table"/>
              <w:jc w:val="center"/>
              <w:rPr>
                <w:szCs w:val="20"/>
              </w:rPr>
            </w:pPr>
            <w:r w:rsidRPr="0039487C">
              <w:rPr>
                <w:rFonts w:ascii="Calibri" w:hAnsi="Calibri" w:cs="Calibri"/>
                <w:color w:val="000000"/>
                <w:szCs w:val="20"/>
              </w:rPr>
              <w:t>-29,58%</w:t>
            </w:r>
          </w:p>
        </w:tc>
        <w:tc>
          <w:tcPr>
            <w:tcW w:w="990" w:type="dxa"/>
            <w:vAlign w:val="center"/>
          </w:tcPr>
          <w:p w14:paraId="4EC9D1D3" w14:textId="77777777" w:rsidR="00D12D7A" w:rsidRPr="0039487C" w:rsidRDefault="00D12D7A" w:rsidP="000878F6">
            <w:pPr>
              <w:pStyle w:val="Table"/>
              <w:jc w:val="center"/>
              <w:rPr>
                <w:szCs w:val="20"/>
              </w:rPr>
            </w:pPr>
            <w:r w:rsidRPr="0039487C">
              <w:rPr>
                <w:rFonts w:ascii="Calibri" w:hAnsi="Calibri" w:cs="Calibri"/>
                <w:color w:val="000000"/>
                <w:szCs w:val="20"/>
              </w:rPr>
              <w:t>3,08</w:t>
            </w:r>
          </w:p>
        </w:tc>
        <w:tc>
          <w:tcPr>
            <w:tcW w:w="1170" w:type="dxa"/>
            <w:vAlign w:val="center"/>
          </w:tcPr>
          <w:p w14:paraId="2F836A96" w14:textId="77777777" w:rsidR="00D12D7A" w:rsidRPr="0039487C" w:rsidRDefault="00D12D7A" w:rsidP="000878F6">
            <w:pPr>
              <w:pStyle w:val="Table"/>
              <w:jc w:val="center"/>
              <w:rPr>
                <w:szCs w:val="20"/>
              </w:rPr>
            </w:pPr>
            <w:r w:rsidRPr="0039487C">
              <w:rPr>
                <w:rFonts w:ascii="Calibri" w:hAnsi="Calibri" w:cs="Calibri"/>
                <w:color w:val="000000"/>
                <w:szCs w:val="20"/>
              </w:rPr>
              <w:t>2,95</w:t>
            </w:r>
          </w:p>
        </w:tc>
        <w:tc>
          <w:tcPr>
            <w:tcW w:w="1312" w:type="dxa"/>
            <w:vAlign w:val="center"/>
          </w:tcPr>
          <w:p w14:paraId="5F9CDBA6" w14:textId="77777777" w:rsidR="00D12D7A" w:rsidRPr="0039487C" w:rsidRDefault="00D12D7A" w:rsidP="000878F6">
            <w:pPr>
              <w:pStyle w:val="Table"/>
              <w:jc w:val="center"/>
              <w:rPr>
                <w:szCs w:val="20"/>
              </w:rPr>
            </w:pPr>
            <w:r w:rsidRPr="0039487C">
              <w:rPr>
                <w:rFonts w:ascii="Calibri" w:hAnsi="Calibri" w:cs="Calibri"/>
                <w:color w:val="000000"/>
                <w:szCs w:val="20"/>
              </w:rPr>
              <w:t>1,91%</w:t>
            </w:r>
          </w:p>
        </w:tc>
        <w:tc>
          <w:tcPr>
            <w:tcW w:w="1275" w:type="dxa"/>
            <w:vAlign w:val="center"/>
          </w:tcPr>
          <w:p w14:paraId="1FA3635F" w14:textId="77777777" w:rsidR="00D12D7A" w:rsidRPr="0039487C" w:rsidRDefault="00D12D7A" w:rsidP="000878F6">
            <w:pPr>
              <w:pStyle w:val="Table"/>
              <w:jc w:val="center"/>
              <w:rPr>
                <w:szCs w:val="20"/>
              </w:rPr>
            </w:pPr>
            <w:r w:rsidRPr="0039487C">
              <w:rPr>
                <w:rFonts w:ascii="Calibri" w:hAnsi="Calibri" w:cs="Calibri"/>
                <w:color w:val="000000"/>
                <w:szCs w:val="20"/>
              </w:rPr>
              <w:t>1,83%</w:t>
            </w:r>
          </w:p>
        </w:tc>
      </w:tr>
      <w:tr w:rsidR="00D12D7A" w:rsidRPr="0039487C" w14:paraId="581F9236" w14:textId="77777777" w:rsidTr="00D541AE">
        <w:tc>
          <w:tcPr>
            <w:tcW w:w="2160" w:type="dxa"/>
          </w:tcPr>
          <w:p w14:paraId="49E911A8" w14:textId="77777777" w:rsidR="00D12D7A" w:rsidRPr="0039487C" w:rsidRDefault="00D12D7A" w:rsidP="000878F6">
            <w:pPr>
              <w:pStyle w:val="Table"/>
              <w:rPr>
                <w:szCs w:val="20"/>
              </w:rPr>
            </w:pPr>
            <w:r w:rsidRPr="0039487C">
              <w:rPr>
                <w:szCs w:val="20"/>
              </w:rPr>
              <w:t>Water Abstraction</w:t>
            </w:r>
          </w:p>
        </w:tc>
        <w:tc>
          <w:tcPr>
            <w:tcW w:w="1080" w:type="dxa"/>
            <w:vAlign w:val="center"/>
          </w:tcPr>
          <w:p w14:paraId="0D57384B" w14:textId="77777777" w:rsidR="00D12D7A" w:rsidRPr="0039487C" w:rsidRDefault="00D12D7A" w:rsidP="000878F6">
            <w:pPr>
              <w:pStyle w:val="Table"/>
              <w:jc w:val="center"/>
              <w:rPr>
                <w:szCs w:val="20"/>
              </w:rPr>
            </w:pPr>
            <w:r w:rsidRPr="0039487C">
              <w:rPr>
                <w:rFonts w:ascii="Calibri" w:hAnsi="Calibri" w:cs="Calibri"/>
                <w:color w:val="000000"/>
                <w:szCs w:val="20"/>
              </w:rPr>
              <w:t>0,00%</w:t>
            </w:r>
          </w:p>
        </w:tc>
        <w:tc>
          <w:tcPr>
            <w:tcW w:w="1080" w:type="dxa"/>
            <w:vAlign w:val="center"/>
          </w:tcPr>
          <w:p w14:paraId="66175C0D" w14:textId="77777777" w:rsidR="00D12D7A" w:rsidRPr="0039487C" w:rsidRDefault="00D12D7A" w:rsidP="000878F6">
            <w:pPr>
              <w:pStyle w:val="Table"/>
              <w:jc w:val="center"/>
              <w:rPr>
                <w:szCs w:val="20"/>
              </w:rPr>
            </w:pPr>
            <w:r w:rsidRPr="0039487C">
              <w:rPr>
                <w:rFonts w:ascii="Calibri" w:hAnsi="Calibri" w:cs="Calibri"/>
                <w:color w:val="000000"/>
                <w:szCs w:val="20"/>
              </w:rPr>
              <w:t>0,00%</w:t>
            </w:r>
          </w:p>
        </w:tc>
        <w:tc>
          <w:tcPr>
            <w:tcW w:w="990" w:type="dxa"/>
            <w:vAlign w:val="center"/>
          </w:tcPr>
          <w:p w14:paraId="29335184" w14:textId="77777777" w:rsidR="00D12D7A" w:rsidRPr="0039487C" w:rsidRDefault="00D12D7A" w:rsidP="000878F6">
            <w:pPr>
              <w:pStyle w:val="Table"/>
              <w:jc w:val="center"/>
              <w:rPr>
                <w:szCs w:val="20"/>
              </w:rPr>
            </w:pPr>
            <w:r w:rsidRPr="0039487C">
              <w:rPr>
                <w:rFonts w:ascii="Calibri" w:hAnsi="Calibri" w:cs="Calibri"/>
                <w:color w:val="000000"/>
                <w:szCs w:val="20"/>
              </w:rPr>
              <w:t>0,00</w:t>
            </w:r>
          </w:p>
        </w:tc>
        <w:tc>
          <w:tcPr>
            <w:tcW w:w="1170" w:type="dxa"/>
            <w:vAlign w:val="center"/>
          </w:tcPr>
          <w:p w14:paraId="30CAF2EC" w14:textId="77777777" w:rsidR="00D12D7A" w:rsidRPr="0039487C" w:rsidRDefault="00D12D7A" w:rsidP="000878F6">
            <w:pPr>
              <w:pStyle w:val="Table"/>
              <w:jc w:val="center"/>
              <w:rPr>
                <w:szCs w:val="20"/>
              </w:rPr>
            </w:pPr>
            <w:r w:rsidRPr="0039487C">
              <w:rPr>
                <w:rFonts w:ascii="Calibri" w:hAnsi="Calibri" w:cs="Calibri"/>
                <w:color w:val="000000"/>
                <w:szCs w:val="20"/>
              </w:rPr>
              <w:t>0,00</w:t>
            </w:r>
          </w:p>
        </w:tc>
        <w:tc>
          <w:tcPr>
            <w:tcW w:w="1312" w:type="dxa"/>
            <w:vAlign w:val="center"/>
          </w:tcPr>
          <w:p w14:paraId="74D60386" w14:textId="77777777" w:rsidR="00D12D7A" w:rsidRPr="0039487C" w:rsidRDefault="00D12D7A" w:rsidP="000878F6">
            <w:pPr>
              <w:pStyle w:val="Table"/>
              <w:jc w:val="center"/>
              <w:rPr>
                <w:szCs w:val="20"/>
              </w:rPr>
            </w:pPr>
            <w:r w:rsidRPr="0039487C">
              <w:rPr>
                <w:rFonts w:ascii="Calibri" w:hAnsi="Calibri" w:cs="Calibri"/>
                <w:color w:val="000000"/>
                <w:szCs w:val="20"/>
              </w:rPr>
              <w:t>0,00%</w:t>
            </w:r>
          </w:p>
        </w:tc>
        <w:tc>
          <w:tcPr>
            <w:tcW w:w="1275" w:type="dxa"/>
            <w:vAlign w:val="center"/>
          </w:tcPr>
          <w:p w14:paraId="515229EF" w14:textId="77777777" w:rsidR="00D12D7A" w:rsidRPr="0039487C" w:rsidRDefault="00D12D7A" w:rsidP="000878F6">
            <w:pPr>
              <w:pStyle w:val="Table"/>
              <w:jc w:val="center"/>
              <w:rPr>
                <w:szCs w:val="20"/>
              </w:rPr>
            </w:pPr>
            <w:r w:rsidRPr="0039487C">
              <w:rPr>
                <w:rFonts w:ascii="Calibri" w:hAnsi="Calibri" w:cs="Calibri"/>
                <w:color w:val="000000"/>
                <w:szCs w:val="20"/>
              </w:rPr>
              <w:t>0,00%</w:t>
            </w:r>
          </w:p>
        </w:tc>
      </w:tr>
      <w:tr w:rsidR="00D12D7A" w:rsidRPr="0039487C" w14:paraId="3F8C1377" w14:textId="77777777" w:rsidTr="00D541AE">
        <w:tc>
          <w:tcPr>
            <w:tcW w:w="2160" w:type="dxa"/>
          </w:tcPr>
          <w:p w14:paraId="4E38FA08" w14:textId="77777777" w:rsidR="00D12D7A" w:rsidRPr="0039487C" w:rsidRDefault="00D12D7A" w:rsidP="000878F6">
            <w:pPr>
              <w:pStyle w:val="Table"/>
              <w:rPr>
                <w:szCs w:val="20"/>
              </w:rPr>
            </w:pPr>
            <w:r w:rsidRPr="0039487C">
              <w:rPr>
                <w:szCs w:val="20"/>
              </w:rPr>
              <w:t>Fertilizers</w:t>
            </w:r>
          </w:p>
        </w:tc>
        <w:tc>
          <w:tcPr>
            <w:tcW w:w="1080" w:type="dxa"/>
            <w:vAlign w:val="center"/>
          </w:tcPr>
          <w:p w14:paraId="7ADCEBA1" w14:textId="77777777" w:rsidR="00D12D7A" w:rsidRPr="0039487C" w:rsidRDefault="00D12D7A" w:rsidP="000878F6">
            <w:pPr>
              <w:pStyle w:val="Table"/>
              <w:jc w:val="center"/>
              <w:rPr>
                <w:szCs w:val="20"/>
              </w:rPr>
            </w:pPr>
            <w:r w:rsidRPr="0039487C">
              <w:rPr>
                <w:rFonts w:ascii="Calibri" w:hAnsi="Calibri" w:cs="Calibri"/>
                <w:color w:val="000000"/>
                <w:szCs w:val="20"/>
              </w:rPr>
              <w:t>-23,96%</w:t>
            </w:r>
          </w:p>
        </w:tc>
        <w:tc>
          <w:tcPr>
            <w:tcW w:w="1080" w:type="dxa"/>
            <w:vAlign w:val="center"/>
          </w:tcPr>
          <w:p w14:paraId="084880D1" w14:textId="77777777" w:rsidR="00D12D7A" w:rsidRPr="0039487C" w:rsidRDefault="00D12D7A" w:rsidP="000878F6">
            <w:pPr>
              <w:pStyle w:val="Table"/>
              <w:jc w:val="center"/>
              <w:rPr>
                <w:szCs w:val="20"/>
              </w:rPr>
            </w:pPr>
            <w:r w:rsidRPr="0039487C">
              <w:rPr>
                <w:rFonts w:ascii="Calibri" w:hAnsi="Calibri" w:cs="Calibri"/>
                <w:color w:val="000000"/>
                <w:szCs w:val="20"/>
              </w:rPr>
              <w:t>-23,96%</w:t>
            </w:r>
          </w:p>
        </w:tc>
        <w:tc>
          <w:tcPr>
            <w:tcW w:w="990" w:type="dxa"/>
            <w:vAlign w:val="center"/>
          </w:tcPr>
          <w:p w14:paraId="60829908" w14:textId="77777777" w:rsidR="00D12D7A" w:rsidRPr="0039487C" w:rsidRDefault="00D12D7A" w:rsidP="000878F6">
            <w:pPr>
              <w:pStyle w:val="Table"/>
              <w:jc w:val="center"/>
              <w:rPr>
                <w:szCs w:val="20"/>
              </w:rPr>
            </w:pPr>
            <w:r w:rsidRPr="0039487C">
              <w:rPr>
                <w:rFonts w:ascii="Calibri" w:hAnsi="Calibri" w:cs="Calibri"/>
                <w:color w:val="000000"/>
                <w:szCs w:val="20"/>
              </w:rPr>
              <w:t>6,27</w:t>
            </w:r>
          </w:p>
        </w:tc>
        <w:tc>
          <w:tcPr>
            <w:tcW w:w="1170" w:type="dxa"/>
            <w:vAlign w:val="center"/>
          </w:tcPr>
          <w:p w14:paraId="0D35B036" w14:textId="77777777" w:rsidR="00D12D7A" w:rsidRPr="0039487C" w:rsidRDefault="00D12D7A" w:rsidP="000878F6">
            <w:pPr>
              <w:pStyle w:val="Table"/>
              <w:jc w:val="center"/>
              <w:rPr>
                <w:szCs w:val="20"/>
              </w:rPr>
            </w:pPr>
            <w:r w:rsidRPr="0039487C">
              <w:rPr>
                <w:rFonts w:ascii="Calibri" w:hAnsi="Calibri" w:cs="Calibri"/>
                <w:color w:val="000000"/>
                <w:szCs w:val="20"/>
              </w:rPr>
              <w:t>6,17</w:t>
            </w:r>
          </w:p>
        </w:tc>
        <w:tc>
          <w:tcPr>
            <w:tcW w:w="1312" w:type="dxa"/>
            <w:vAlign w:val="center"/>
          </w:tcPr>
          <w:p w14:paraId="5FB5B519" w14:textId="77777777" w:rsidR="00D12D7A" w:rsidRPr="0039487C" w:rsidRDefault="00D12D7A" w:rsidP="000878F6">
            <w:pPr>
              <w:pStyle w:val="Table"/>
              <w:jc w:val="center"/>
              <w:rPr>
                <w:szCs w:val="20"/>
              </w:rPr>
            </w:pPr>
            <w:r w:rsidRPr="0039487C">
              <w:rPr>
                <w:rFonts w:ascii="Calibri" w:hAnsi="Calibri" w:cs="Calibri"/>
                <w:color w:val="000000"/>
                <w:szCs w:val="20"/>
              </w:rPr>
              <w:t>3,88%</w:t>
            </w:r>
          </w:p>
        </w:tc>
        <w:tc>
          <w:tcPr>
            <w:tcW w:w="1275" w:type="dxa"/>
            <w:vAlign w:val="center"/>
          </w:tcPr>
          <w:p w14:paraId="58F163BC" w14:textId="77777777" w:rsidR="00D12D7A" w:rsidRPr="0039487C" w:rsidRDefault="00D12D7A" w:rsidP="000878F6">
            <w:pPr>
              <w:pStyle w:val="Table"/>
              <w:jc w:val="center"/>
              <w:rPr>
                <w:szCs w:val="20"/>
              </w:rPr>
            </w:pPr>
            <w:r w:rsidRPr="0039487C">
              <w:rPr>
                <w:rFonts w:ascii="Calibri" w:hAnsi="Calibri" w:cs="Calibri"/>
                <w:color w:val="000000"/>
                <w:szCs w:val="20"/>
              </w:rPr>
              <w:t>3,82%</w:t>
            </w:r>
          </w:p>
        </w:tc>
      </w:tr>
      <w:tr w:rsidR="00D12D7A" w:rsidRPr="0039487C" w14:paraId="6C001976" w14:textId="77777777" w:rsidTr="00D541AE">
        <w:tc>
          <w:tcPr>
            <w:tcW w:w="2160" w:type="dxa"/>
          </w:tcPr>
          <w:p w14:paraId="7BD392D8" w14:textId="77777777" w:rsidR="00D12D7A" w:rsidRPr="0039487C" w:rsidRDefault="00D12D7A" w:rsidP="000878F6">
            <w:pPr>
              <w:pStyle w:val="Table"/>
              <w:rPr>
                <w:szCs w:val="20"/>
              </w:rPr>
            </w:pPr>
            <w:r w:rsidRPr="0039487C">
              <w:rPr>
                <w:szCs w:val="20"/>
              </w:rPr>
              <w:t>Pesticides</w:t>
            </w:r>
          </w:p>
        </w:tc>
        <w:tc>
          <w:tcPr>
            <w:tcW w:w="1080" w:type="dxa"/>
            <w:vAlign w:val="center"/>
          </w:tcPr>
          <w:p w14:paraId="7EB567C5" w14:textId="77777777" w:rsidR="00D12D7A" w:rsidRPr="0039487C" w:rsidRDefault="00D12D7A" w:rsidP="000878F6">
            <w:pPr>
              <w:pStyle w:val="Table"/>
              <w:jc w:val="center"/>
              <w:rPr>
                <w:szCs w:val="20"/>
              </w:rPr>
            </w:pPr>
            <w:r w:rsidRPr="0039487C">
              <w:rPr>
                <w:rFonts w:ascii="Calibri" w:hAnsi="Calibri" w:cs="Calibri"/>
                <w:color w:val="000000"/>
                <w:szCs w:val="20"/>
              </w:rPr>
              <w:t>n/a</w:t>
            </w:r>
          </w:p>
        </w:tc>
        <w:tc>
          <w:tcPr>
            <w:tcW w:w="1080" w:type="dxa"/>
            <w:vAlign w:val="center"/>
          </w:tcPr>
          <w:p w14:paraId="105AE1C9" w14:textId="77777777" w:rsidR="00D12D7A" w:rsidRPr="0039487C" w:rsidRDefault="00D12D7A" w:rsidP="000878F6">
            <w:pPr>
              <w:pStyle w:val="Table"/>
              <w:jc w:val="center"/>
              <w:rPr>
                <w:szCs w:val="20"/>
              </w:rPr>
            </w:pPr>
            <w:r w:rsidRPr="0039487C">
              <w:rPr>
                <w:rFonts w:ascii="Calibri" w:hAnsi="Calibri" w:cs="Calibri"/>
                <w:color w:val="000000"/>
                <w:szCs w:val="20"/>
              </w:rPr>
              <w:t>n/a</w:t>
            </w:r>
          </w:p>
        </w:tc>
        <w:tc>
          <w:tcPr>
            <w:tcW w:w="990" w:type="dxa"/>
            <w:vAlign w:val="center"/>
          </w:tcPr>
          <w:p w14:paraId="0994A12F" w14:textId="77777777" w:rsidR="00D12D7A" w:rsidRPr="0039487C" w:rsidRDefault="00D12D7A" w:rsidP="000878F6">
            <w:pPr>
              <w:pStyle w:val="Table"/>
              <w:jc w:val="center"/>
              <w:rPr>
                <w:szCs w:val="20"/>
              </w:rPr>
            </w:pPr>
            <w:r w:rsidRPr="0039487C">
              <w:rPr>
                <w:rFonts w:ascii="Calibri" w:hAnsi="Calibri" w:cs="Calibri"/>
                <w:color w:val="000000"/>
                <w:szCs w:val="20"/>
              </w:rPr>
              <w:t>10,13</w:t>
            </w:r>
          </w:p>
        </w:tc>
        <w:tc>
          <w:tcPr>
            <w:tcW w:w="1170" w:type="dxa"/>
            <w:vAlign w:val="center"/>
          </w:tcPr>
          <w:p w14:paraId="25F82E4A" w14:textId="77777777" w:rsidR="00D12D7A" w:rsidRPr="0039487C" w:rsidRDefault="00D12D7A" w:rsidP="000878F6">
            <w:pPr>
              <w:pStyle w:val="Table"/>
              <w:jc w:val="center"/>
              <w:rPr>
                <w:szCs w:val="20"/>
              </w:rPr>
            </w:pPr>
            <w:r w:rsidRPr="0039487C">
              <w:rPr>
                <w:rFonts w:ascii="Calibri" w:hAnsi="Calibri" w:cs="Calibri"/>
                <w:color w:val="000000"/>
                <w:szCs w:val="20"/>
              </w:rPr>
              <w:t>10,10</w:t>
            </w:r>
          </w:p>
        </w:tc>
        <w:tc>
          <w:tcPr>
            <w:tcW w:w="1312" w:type="dxa"/>
            <w:vAlign w:val="center"/>
          </w:tcPr>
          <w:p w14:paraId="3D1498C9" w14:textId="77777777" w:rsidR="00D12D7A" w:rsidRPr="0039487C" w:rsidRDefault="00D12D7A" w:rsidP="000878F6">
            <w:pPr>
              <w:pStyle w:val="Table"/>
              <w:jc w:val="center"/>
              <w:rPr>
                <w:szCs w:val="20"/>
              </w:rPr>
            </w:pPr>
            <w:r w:rsidRPr="0039487C">
              <w:rPr>
                <w:rFonts w:ascii="Calibri" w:hAnsi="Calibri" w:cs="Calibri"/>
                <w:color w:val="000000"/>
                <w:szCs w:val="20"/>
              </w:rPr>
              <w:t>6,27%</w:t>
            </w:r>
          </w:p>
        </w:tc>
        <w:tc>
          <w:tcPr>
            <w:tcW w:w="1275" w:type="dxa"/>
            <w:vAlign w:val="center"/>
          </w:tcPr>
          <w:p w14:paraId="5A3630EF" w14:textId="77777777" w:rsidR="00D12D7A" w:rsidRPr="0039487C" w:rsidRDefault="00D12D7A" w:rsidP="000878F6">
            <w:pPr>
              <w:pStyle w:val="Table"/>
              <w:jc w:val="center"/>
              <w:rPr>
                <w:szCs w:val="20"/>
              </w:rPr>
            </w:pPr>
            <w:r w:rsidRPr="0039487C">
              <w:rPr>
                <w:rFonts w:ascii="Calibri" w:hAnsi="Calibri" w:cs="Calibri"/>
                <w:color w:val="000000"/>
                <w:szCs w:val="20"/>
              </w:rPr>
              <w:t>6,25%</w:t>
            </w:r>
          </w:p>
        </w:tc>
      </w:tr>
      <w:tr w:rsidR="00D12D7A" w:rsidRPr="0039487C" w14:paraId="45E69C93" w14:textId="77777777" w:rsidTr="00D541AE">
        <w:tc>
          <w:tcPr>
            <w:tcW w:w="2160" w:type="dxa"/>
          </w:tcPr>
          <w:p w14:paraId="5ADDBF7F" w14:textId="77777777" w:rsidR="00D12D7A" w:rsidRPr="0039487C" w:rsidRDefault="00D12D7A" w:rsidP="000878F6">
            <w:pPr>
              <w:pStyle w:val="Table"/>
              <w:rPr>
                <w:szCs w:val="20"/>
              </w:rPr>
            </w:pPr>
            <w:r w:rsidRPr="0039487C">
              <w:rPr>
                <w:szCs w:val="20"/>
              </w:rPr>
              <w:t>Waste Incineration</w:t>
            </w:r>
          </w:p>
        </w:tc>
        <w:tc>
          <w:tcPr>
            <w:tcW w:w="1080" w:type="dxa"/>
            <w:vAlign w:val="center"/>
          </w:tcPr>
          <w:p w14:paraId="0808601B" w14:textId="77777777" w:rsidR="00D12D7A" w:rsidRPr="0039487C" w:rsidRDefault="00D12D7A" w:rsidP="000878F6">
            <w:pPr>
              <w:pStyle w:val="Table"/>
              <w:jc w:val="center"/>
              <w:rPr>
                <w:szCs w:val="20"/>
              </w:rPr>
            </w:pPr>
            <w:r w:rsidRPr="0039487C">
              <w:rPr>
                <w:rFonts w:ascii="Calibri" w:hAnsi="Calibri" w:cs="Calibri"/>
                <w:color w:val="000000"/>
                <w:szCs w:val="20"/>
              </w:rPr>
              <w:t>0,00%</w:t>
            </w:r>
          </w:p>
        </w:tc>
        <w:tc>
          <w:tcPr>
            <w:tcW w:w="1080" w:type="dxa"/>
            <w:vAlign w:val="center"/>
          </w:tcPr>
          <w:p w14:paraId="445B8DAD" w14:textId="77777777" w:rsidR="00D12D7A" w:rsidRPr="0039487C" w:rsidRDefault="00D12D7A" w:rsidP="000878F6">
            <w:pPr>
              <w:pStyle w:val="Table"/>
              <w:jc w:val="center"/>
              <w:rPr>
                <w:szCs w:val="20"/>
              </w:rPr>
            </w:pPr>
            <w:r w:rsidRPr="0039487C">
              <w:rPr>
                <w:rFonts w:ascii="Calibri" w:hAnsi="Calibri" w:cs="Calibri"/>
                <w:color w:val="000000"/>
                <w:szCs w:val="20"/>
              </w:rPr>
              <w:t>0,00%</w:t>
            </w:r>
          </w:p>
        </w:tc>
        <w:tc>
          <w:tcPr>
            <w:tcW w:w="990" w:type="dxa"/>
            <w:vAlign w:val="center"/>
          </w:tcPr>
          <w:p w14:paraId="07570396" w14:textId="77777777" w:rsidR="00D12D7A" w:rsidRPr="0039487C" w:rsidRDefault="00D12D7A" w:rsidP="000878F6">
            <w:pPr>
              <w:pStyle w:val="Table"/>
              <w:jc w:val="center"/>
              <w:rPr>
                <w:szCs w:val="20"/>
              </w:rPr>
            </w:pPr>
            <w:r w:rsidRPr="0039487C">
              <w:rPr>
                <w:rFonts w:ascii="Calibri" w:hAnsi="Calibri" w:cs="Calibri"/>
                <w:color w:val="000000"/>
                <w:szCs w:val="20"/>
              </w:rPr>
              <w:t>0,00</w:t>
            </w:r>
          </w:p>
        </w:tc>
        <w:tc>
          <w:tcPr>
            <w:tcW w:w="1170" w:type="dxa"/>
            <w:vAlign w:val="center"/>
          </w:tcPr>
          <w:p w14:paraId="30314DE3" w14:textId="77777777" w:rsidR="00D12D7A" w:rsidRPr="0039487C" w:rsidRDefault="00D12D7A" w:rsidP="000878F6">
            <w:pPr>
              <w:pStyle w:val="Table"/>
              <w:jc w:val="center"/>
              <w:rPr>
                <w:szCs w:val="20"/>
              </w:rPr>
            </w:pPr>
            <w:r w:rsidRPr="0039487C">
              <w:rPr>
                <w:rFonts w:ascii="Calibri" w:hAnsi="Calibri" w:cs="Calibri"/>
                <w:color w:val="000000"/>
                <w:szCs w:val="20"/>
              </w:rPr>
              <w:t>0,00</w:t>
            </w:r>
          </w:p>
        </w:tc>
        <w:tc>
          <w:tcPr>
            <w:tcW w:w="1312" w:type="dxa"/>
            <w:vAlign w:val="center"/>
          </w:tcPr>
          <w:p w14:paraId="6E85C060" w14:textId="77777777" w:rsidR="00D12D7A" w:rsidRPr="0039487C" w:rsidRDefault="00D12D7A" w:rsidP="000878F6">
            <w:pPr>
              <w:pStyle w:val="Table"/>
              <w:jc w:val="center"/>
              <w:rPr>
                <w:szCs w:val="20"/>
              </w:rPr>
            </w:pPr>
            <w:r w:rsidRPr="0039487C">
              <w:rPr>
                <w:rFonts w:ascii="Calibri" w:hAnsi="Calibri" w:cs="Calibri"/>
                <w:color w:val="000000"/>
                <w:szCs w:val="20"/>
              </w:rPr>
              <w:t>0,00%</w:t>
            </w:r>
          </w:p>
        </w:tc>
        <w:tc>
          <w:tcPr>
            <w:tcW w:w="1275" w:type="dxa"/>
            <w:vAlign w:val="center"/>
          </w:tcPr>
          <w:p w14:paraId="1C320496" w14:textId="77777777" w:rsidR="00D12D7A" w:rsidRPr="0039487C" w:rsidRDefault="00D12D7A" w:rsidP="000878F6">
            <w:pPr>
              <w:pStyle w:val="Table"/>
              <w:jc w:val="center"/>
              <w:rPr>
                <w:szCs w:val="20"/>
              </w:rPr>
            </w:pPr>
            <w:r w:rsidRPr="0039487C">
              <w:rPr>
                <w:rFonts w:ascii="Calibri" w:hAnsi="Calibri" w:cs="Calibri"/>
                <w:color w:val="000000"/>
                <w:szCs w:val="20"/>
              </w:rPr>
              <w:t>0,00%</w:t>
            </w:r>
          </w:p>
        </w:tc>
      </w:tr>
      <w:tr w:rsidR="00D12D7A" w:rsidRPr="0039487C" w14:paraId="79D73FF2" w14:textId="77777777" w:rsidTr="00D541AE">
        <w:tc>
          <w:tcPr>
            <w:tcW w:w="2160" w:type="dxa"/>
          </w:tcPr>
          <w:p w14:paraId="3B118214" w14:textId="77777777" w:rsidR="00D12D7A" w:rsidRPr="0039487C" w:rsidRDefault="00D12D7A" w:rsidP="000878F6">
            <w:pPr>
              <w:pStyle w:val="Table"/>
              <w:rPr>
                <w:szCs w:val="20"/>
              </w:rPr>
            </w:pPr>
            <w:r w:rsidRPr="0039487C">
              <w:rPr>
                <w:szCs w:val="20"/>
              </w:rPr>
              <w:lastRenderedPageBreak/>
              <w:t>Waste to Landfill</w:t>
            </w:r>
          </w:p>
        </w:tc>
        <w:tc>
          <w:tcPr>
            <w:tcW w:w="1080" w:type="dxa"/>
            <w:vAlign w:val="center"/>
          </w:tcPr>
          <w:p w14:paraId="29B80877" w14:textId="77777777" w:rsidR="00D12D7A" w:rsidRPr="0039487C" w:rsidRDefault="00D12D7A" w:rsidP="000878F6">
            <w:pPr>
              <w:pStyle w:val="Table"/>
              <w:jc w:val="center"/>
              <w:rPr>
                <w:szCs w:val="20"/>
              </w:rPr>
            </w:pPr>
            <w:r w:rsidRPr="0039487C">
              <w:rPr>
                <w:rFonts w:ascii="Calibri" w:hAnsi="Calibri" w:cs="Calibri"/>
                <w:color w:val="000000"/>
                <w:szCs w:val="20"/>
              </w:rPr>
              <w:t>-24,81%</w:t>
            </w:r>
          </w:p>
        </w:tc>
        <w:tc>
          <w:tcPr>
            <w:tcW w:w="1080" w:type="dxa"/>
            <w:vAlign w:val="center"/>
          </w:tcPr>
          <w:p w14:paraId="142996D9" w14:textId="77777777" w:rsidR="00D12D7A" w:rsidRPr="0039487C" w:rsidRDefault="00D12D7A" w:rsidP="000878F6">
            <w:pPr>
              <w:pStyle w:val="Table"/>
              <w:jc w:val="center"/>
              <w:rPr>
                <w:szCs w:val="20"/>
              </w:rPr>
            </w:pPr>
            <w:r w:rsidRPr="0039487C">
              <w:rPr>
                <w:rFonts w:ascii="Calibri" w:hAnsi="Calibri" w:cs="Calibri"/>
                <w:color w:val="000000"/>
                <w:szCs w:val="20"/>
              </w:rPr>
              <w:t>-24,81%</w:t>
            </w:r>
          </w:p>
        </w:tc>
        <w:tc>
          <w:tcPr>
            <w:tcW w:w="990" w:type="dxa"/>
            <w:vAlign w:val="center"/>
          </w:tcPr>
          <w:p w14:paraId="1A8CBF9A" w14:textId="77777777" w:rsidR="00D12D7A" w:rsidRPr="0039487C" w:rsidRDefault="00D12D7A" w:rsidP="000878F6">
            <w:pPr>
              <w:pStyle w:val="Table"/>
              <w:jc w:val="center"/>
              <w:rPr>
                <w:szCs w:val="20"/>
              </w:rPr>
            </w:pPr>
            <w:r w:rsidRPr="0039487C">
              <w:rPr>
                <w:rFonts w:ascii="Calibri" w:hAnsi="Calibri" w:cs="Calibri"/>
                <w:color w:val="000000"/>
                <w:szCs w:val="20"/>
              </w:rPr>
              <w:t>60,42</w:t>
            </w:r>
          </w:p>
        </w:tc>
        <w:tc>
          <w:tcPr>
            <w:tcW w:w="1170" w:type="dxa"/>
            <w:vAlign w:val="center"/>
          </w:tcPr>
          <w:p w14:paraId="249F3656" w14:textId="77777777" w:rsidR="00D12D7A" w:rsidRPr="0039487C" w:rsidRDefault="00D12D7A" w:rsidP="000878F6">
            <w:pPr>
              <w:pStyle w:val="Table"/>
              <w:jc w:val="center"/>
              <w:rPr>
                <w:szCs w:val="20"/>
              </w:rPr>
            </w:pPr>
            <w:r w:rsidRPr="0039487C">
              <w:rPr>
                <w:rFonts w:ascii="Calibri" w:hAnsi="Calibri" w:cs="Calibri"/>
                <w:color w:val="000000"/>
                <w:szCs w:val="20"/>
              </w:rPr>
              <w:t>50,18</w:t>
            </w:r>
          </w:p>
        </w:tc>
        <w:tc>
          <w:tcPr>
            <w:tcW w:w="1312" w:type="dxa"/>
            <w:vAlign w:val="center"/>
          </w:tcPr>
          <w:p w14:paraId="0AF44E59" w14:textId="77777777" w:rsidR="00D12D7A" w:rsidRPr="0039487C" w:rsidRDefault="00D12D7A" w:rsidP="000878F6">
            <w:pPr>
              <w:pStyle w:val="Table"/>
              <w:jc w:val="center"/>
              <w:rPr>
                <w:szCs w:val="20"/>
              </w:rPr>
            </w:pPr>
            <w:r w:rsidRPr="0039487C">
              <w:rPr>
                <w:rFonts w:ascii="Calibri" w:hAnsi="Calibri" w:cs="Calibri"/>
                <w:color w:val="000000"/>
                <w:szCs w:val="20"/>
              </w:rPr>
              <w:t>37,42%</w:t>
            </w:r>
          </w:p>
        </w:tc>
        <w:tc>
          <w:tcPr>
            <w:tcW w:w="1275" w:type="dxa"/>
            <w:vAlign w:val="center"/>
          </w:tcPr>
          <w:p w14:paraId="596E5C49" w14:textId="77777777" w:rsidR="00D12D7A" w:rsidRPr="0039487C" w:rsidRDefault="00D12D7A" w:rsidP="000878F6">
            <w:pPr>
              <w:pStyle w:val="Table"/>
              <w:jc w:val="center"/>
              <w:rPr>
                <w:szCs w:val="20"/>
              </w:rPr>
            </w:pPr>
            <w:r w:rsidRPr="0039487C">
              <w:rPr>
                <w:rFonts w:ascii="Calibri" w:hAnsi="Calibri" w:cs="Calibri"/>
                <w:color w:val="000000"/>
                <w:szCs w:val="20"/>
              </w:rPr>
              <w:t>31,08%</w:t>
            </w:r>
          </w:p>
        </w:tc>
      </w:tr>
      <w:tr w:rsidR="00D12D7A" w:rsidRPr="0039487C" w14:paraId="5CB07A68" w14:textId="77777777" w:rsidTr="00D541AE">
        <w:tc>
          <w:tcPr>
            <w:tcW w:w="2160" w:type="dxa"/>
          </w:tcPr>
          <w:p w14:paraId="51BD288A" w14:textId="77777777" w:rsidR="00D12D7A" w:rsidRPr="0039487C" w:rsidRDefault="00D12D7A" w:rsidP="000878F6">
            <w:pPr>
              <w:pStyle w:val="Table"/>
              <w:rPr>
                <w:szCs w:val="20"/>
              </w:rPr>
            </w:pPr>
            <w:r w:rsidRPr="0039487C">
              <w:rPr>
                <w:szCs w:val="20"/>
              </w:rPr>
              <w:t>Water Effluent</w:t>
            </w:r>
          </w:p>
        </w:tc>
        <w:tc>
          <w:tcPr>
            <w:tcW w:w="1080" w:type="dxa"/>
            <w:vAlign w:val="center"/>
          </w:tcPr>
          <w:p w14:paraId="60C9191D" w14:textId="77777777" w:rsidR="00D12D7A" w:rsidRPr="0039487C" w:rsidRDefault="00D12D7A" w:rsidP="000878F6">
            <w:pPr>
              <w:pStyle w:val="Table"/>
              <w:jc w:val="center"/>
              <w:rPr>
                <w:szCs w:val="20"/>
              </w:rPr>
            </w:pPr>
            <w:r w:rsidRPr="0039487C">
              <w:rPr>
                <w:rFonts w:ascii="Calibri" w:hAnsi="Calibri" w:cs="Calibri"/>
                <w:color w:val="000000"/>
                <w:szCs w:val="20"/>
              </w:rPr>
              <w:t>-16,25%</w:t>
            </w:r>
          </w:p>
        </w:tc>
        <w:tc>
          <w:tcPr>
            <w:tcW w:w="1080" w:type="dxa"/>
            <w:vAlign w:val="center"/>
          </w:tcPr>
          <w:p w14:paraId="1DD5455B" w14:textId="77777777" w:rsidR="00D12D7A" w:rsidRPr="0039487C" w:rsidRDefault="00D12D7A" w:rsidP="000878F6">
            <w:pPr>
              <w:pStyle w:val="Table"/>
              <w:jc w:val="center"/>
              <w:rPr>
                <w:szCs w:val="20"/>
              </w:rPr>
            </w:pPr>
            <w:r w:rsidRPr="0039487C">
              <w:rPr>
                <w:rFonts w:ascii="Calibri" w:hAnsi="Calibri" w:cs="Calibri"/>
                <w:color w:val="000000"/>
                <w:szCs w:val="20"/>
              </w:rPr>
              <w:t>-16,25%</w:t>
            </w:r>
          </w:p>
        </w:tc>
        <w:tc>
          <w:tcPr>
            <w:tcW w:w="990" w:type="dxa"/>
            <w:vAlign w:val="center"/>
          </w:tcPr>
          <w:p w14:paraId="19D2630B" w14:textId="77777777" w:rsidR="00D12D7A" w:rsidRPr="0039487C" w:rsidRDefault="00D12D7A" w:rsidP="000878F6">
            <w:pPr>
              <w:pStyle w:val="Table"/>
              <w:jc w:val="center"/>
              <w:rPr>
                <w:szCs w:val="20"/>
              </w:rPr>
            </w:pPr>
            <w:r w:rsidRPr="0039487C">
              <w:rPr>
                <w:rFonts w:ascii="Calibri" w:hAnsi="Calibri" w:cs="Calibri"/>
                <w:color w:val="000000"/>
                <w:szCs w:val="20"/>
              </w:rPr>
              <w:t>147,38</w:t>
            </w:r>
          </w:p>
        </w:tc>
        <w:tc>
          <w:tcPr>
            <w:tcW w:w="1170" w:type="dxa"/>
            <w:vAlign w:val="center"/>
          </w:tcPr>
          <w:p w14:paraId="372E4C34" w14:textId="77777777" w:rsidR="00D12D7A" w:rsidRPr="0039487C" w:rsidRDefault="00D12D7A" w:rsidP="000878F6">
            <w:pPr>
              <w:pStyle w:val="Table"/>
              <w:jc w:val="center"/>
              <w:rPr>
                <w:szCs w:val="20"/>
              </w:rPr>
            </w:pPr>
            <w:r w:rsidRPr="0039487C">
              <w:rPr>
                <w:rFonts w:ascii="Calibri" w:hAnsi="Calibri" w:cs="Calibri"/>
                <w:color w:val="000000"/>
                <w:szCs w:val="20"/>
              </w:rPr>
              <w:t>143,39</w:t>
            </w:r>
          </w:p>
        </w:tc>
        <w:tc>
          <w:tcPr>
            <w:tcW w:w="1312" w:type="dxa"/>
            <w:vAlign w:val="center"/>
          </w:tcPr>
          <w:p w14:paraId="062E2B01" w14:textId="77777777" w:rsidR="00D12D7A" w:rsidRPr="0039487C" w:rsidRDefault="00D12D7A" w:rsidP="000878F6">
            <w:pPr>
              <w:pStyle w:val="Table"/>
              <w:jc w:val="center"/>
              <w:rPr>
                <w:szCs w:val="20"/>
              </w:rPr>
            </w:pPr>
            <w:r w:rsidRPr="0039487C">
              <w:rPr>
                <w:rFonts w:ascii="Calibri" w:hAnsi="Calibri" w:cs="Calibri"/>
                <w:color w:val="000000"/>
                <w:szCs w:val="20"/>
              </w:rPr>
              <w:t>91,28%</w:t>
            </w:r>
          </w:p>
        </w:tc>
        <w:tc>
          <w:tcPr>
            <w:tcW w:w="1275" w:type="dxa"/>
            <w:vAlign w:val="center"/>
          </w:tcPr>
          <w:p w14:paraId="34347D1C" w14:textId="77777777" w:rsidR="00D12D7A" w:rsidRPr="0039487C" w:rsidRDefault="00D12D7A" w:rsidP="000878F6">
            <w:pPr>
              <w:pStyle w:val="Table"/>
              <w:jc w:val="center"/>
              <w:rPr>
                <w:szCs w:val="20"/>
              </w:rPr>
            </w:pPr>
            <w:r w:rsidRPr="0039487C">
              <w:rPr>
                <w:rFonts w:ascii="Calibri" w:hAnsi="Calibri" w:cs="Calibri"/>
                <w:color w:val="000000"/>
                <w:szCs w:val="20"/>
              </w:rPr>
              <w:t>88,81%</w:t>
            </w:r>
          </w:p>
        </w:tc>
      </w:tr>
      <w:tr w:rsidR="00D12D7A" w:rsidRPr="0039487C" w14:paraId="4950C7A9" w14:textId="77777777" w:rsidTr="00D541AE">
        <w:tc>
          <w:tcPr>
            <w:tcW w:w="2160" w:type="dxa"/>
          </w:tcPr>
          <w:p w14:paraId="7954BC72" w14:textId="77777777" w:rsidR="00D12D7A" w:rsidRPr="0039487C" w:rsidRDefault="00D12D7A" w:rsidP="000878F6">
            <w:pPr>
              <w:pStyle w:val="Table"/>
              <w:rPr>
                <w:szCs w:val="20"/>
              </w:rPr>
            </w:pPr>
            <w:r w:rsidRPr="0039487C">
              <w:rPr>
                <w:szCs w:val="20"/>
              </w:rPr>
              <w:t>Minerals &amp; Aggregates</w:t>
            </w:r>
          </w:p>
        </w:tc>
        <w:tc>
          <w:tcPr>
            <w:tcW w:w="1080" w:type="dxa"/>
            <w:vAlign w:val="center"/>
          </w:tcPr>
          <w:p w14:paraId="42CE6B5B" w14:textId="77777777" w:rsidR="00D12D7A" w:rsidRPr="0039487C" w:rsidRDefault="00D12D7A" w:rsidP="000878F6">
            <w:pPr>
              <w:pStyle w:val="Table"/>
              <w:jc w:val="center"/>
              <w:rPr>
                <w:szCs w:val="20"/>
              </w:rPr>
            </w:pPr>
            <w:r w:rsidRPr="0039487C">
              <w:rPr>
                <w:rFonts w:ascii="Calibri" w:hAnsi="Calibri" w:cs="Calibri"/>
                <w:color w:val="000000"/>
                <w:szCs w:val="20"/>
              </w:rPr>
              <w:t>-16,67%</w:t>
            </w:r>
          </w:p>
        </w:tc>
        <w:tc>
          <w:tcPr>
            <w:tcW w:w="1080" w:type="dxa"/>
            <w:vAlign w:val="center"/>
          </w:tcPr>
          <w:p w14:paraId="03F96B56" w14:textId="77777777" w:rsidR="00D12D7A" w:rsidRPr="0039487C" w:rsidRDefault="00D12D7A" w:rsidP="000878F6">
            <w:pPr>
              <w:pStyle w:val="Table"/>
              <w:jc w:val="center"/>
              <w:rPr>
                <w:szCs w:val="20"/>
              </w:rPr>
            </w:pPr>
            <w:r w:rsidRPr="0039487C">
              <w:rPr>
                <w:rFonts w:ascii="Calibri" w:hAnsi="Calibri" w:cs="Calibri"/>
                <w:color w:val="000000"/>
                <w:szCs w:val="20"/>
              </w:rPr>
              <w:t>-16,67%</w:t>
            </w:r>
          </w:p>
        </w:tc>
        <w:tc>
          <w:tcPr>
            <w:tcW w:w="990" w:type="dxa"/>
            <w:vAlign w:val="center"/>
          </w:tcPr>
          <w:p w14:paraId="12977D97" w14:textId="77777777" w:rsidR="00D12D7A" w:rsidRPr="0039487C" w:rsidRDefault="00D12D7A" w:rsidP="000878F6">
            <w:pPr>
              <w:pStyle w:val="Table"/>
              <w:jc w:val="center"/>
              <w:rPr>
                <w:szCs w:val="20"/>
              </w:rPr>
            </w:pPr>
            <w:r w:rsidRPr="0039487C">
              <w:rPr>
                <w:rFonts w:ascii="Calibri" w:hAnsi="Calibri" w:cs="Calibri"/>
                <w:color w:val="000000"/>
                <w:szCs w:val="20"/>
              </w:rPr>
              <w:t>48,37</w:t>
            </w:r>
          </w:p>
        </w:tc>
        <w:tc>
          <w:tcPr>
            <w:tcW w:w="1170" w:type="dxa"/>
            <w:vAlign w:val="center"/>
          </w:tcPr>
          <w:p w14:paraId="58B9B7EF" w14:textId="77777777" w:rsidR="00D12D7A" w:rsidRPr="0039487C" w:rsidRDefault="00D12D7A" w:rsidP="000878F6">
            <w:pPr>
              <w:pStyle w:val="Table"/>
              <w:jc w:val="center"/>
              <w:rPr>
                <w:szCs w:val="20"/>
              </w:rPr>
            </w:pPr>
            <w:r w:rsidRPr="0039487C">
              <w:rPr>
                <w:rFonts w:ascii="Calibri" w:hAnsi="Calibri" w:cs="Calibri"/>
                <w:color w:val="000000"/>
                <w:szCs w:val="20"/>
              </w:rPr>
              <w:t>45,62</w:t>
            </w:r>
          </w:p>
        </w:tc>
        <w:tc>
          <w:tcPr>
            <w:tcW w:w="1312" w:type="dxa"/>
            <w:vAlign w:val="center"/>
          </w:tcPr>
          <w:p w14:paraId="67D240DC" w14:textId="77777777" w:rsidR="00D12D7A" w:rsidRPr="0039487C" w:rsidRDefault="00D12D7A" w:rsidP="000878F6">
            <w:pPr>
              <w:pStyle w:val="Table"/>
              <w:jc w:val="center"/>
              <w:rPr>
                <w:szCs w:val="20"/>
              </w:rPr>
            </w:pPr>
            <w:r w:rsidRPr="0039487C">
              <w:rPr>
                <w:rFonts w:ascii="Calibri" w:hAnsi="Calibri" w:cs="Calibri"/>
                <w:color w:val="000000"/>
                <w:szCs w:val="20"/>
              </w:rPr>
              <w:t>14,07%</w:t>
            </w:r>
          </w:p>
        </w:tc>
        <w:tc>
          <w:tcPr>
            <w:tcW w:w="1275" w:type="dxa"/>
            <w:vAlign w:val="center"/>
          </w:tcPr>
          <w:p w14:paraId="080F2D7D" w14:textId="77777777" w:rsidR="00D12D7A" w:rsidRPr="0039487C" w:rsidRDefault="00D12D7A" w:rsidP="000878F6">
            <w:pPr>
              <w:pStyle w:val="Table"/>
              <w:jc w:val="center"/>
              <w:rPr>
                <w:szCs w:val="20"/>
              </w:rPr>
            </w:pPr>
            <w:r w:rsidRPr="0039487C">
              <w:rPr>
                <w:rFonts w:ascii="Calibri" w:hAnsi="Calibri" w:cs="Calibri"/>
                <w:color w:val="000000"/>
                <w:szCs w:val="20"/>
              </w:rPr>
              <w:t>13,27%</w:t>
            </w:r>
          </w:p>
        </w:tc>
      </w:tr>
    </w:tbl>
    <w:p w14:paraId="3B088186" w14:textId="77777777" w:rsidR="00D12D7A" w:rsidRDefault="00D12D7A" w:rsidP="00D12D7A">
      <w:pPr>
        <w:rPr>
          <w:lang w:eastAsia="en-GB"/>
        </w:rPr>
      </w:pPr>
    </w:p>
    <w:tbl>
      <w:tblPr>
        <w:tblStyle w:val="Lentelstinklelis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312"/>
        <w:gridCol w:w="1275"/>
      </w:tblGrid>
      <w:tr w:rsidR="00D12D7A" w:rsidRPr="00683FB0" w14:paraId="3B1E8A6D" w14:textId="77777777" w:rsidTr="00691DB4">
        <w:trPr>
          <w:trHeight w:val="255"/>
        </w:trPr>
        <w:tc>
          <w:tcPr>
            <w:tcW w:w="9067" w:type="dxa"/>
            <w:gridSpan w:val="7"/>
            <w:shd w:val="clear" w:color="auto" w:fill="003399"/>
          </w:tcPr>
          <w:p w14:paraId="505DD76E" w14:textId="09A21D29" w:rsidR="00D12D7A" w:rsidRPr="00683FB0" w:rsidRDefault="00D12D7A" w:rsidP="000878F6">
            <w:pPr>
              <w:pStyle w:val="Table"/>
              <w:rPr>
                <w:b/>
                <w:color w:val="FFFFFF" w:themeColor="background1"/>
                <w:szCs w:val="20"/>
                <w:lang w:eastAsia="en-GB"/>
              </w:rPr>
            </w:pPr>
            <w:r w:rsidRPr="00683FB0">
              <w:rPr>
                <w:b/>
                <w:color w:val="FFFFFF" w:themeColor="background1"/>
                <w:szCs w:val="20"/>
              </w:rPr>
              <w:t xml:space="preserve">Table </w:t>
            </w:r>
            <w:r w:rsidR="00490085">
              <w:rPr>
                <w:b/>
                <w:bCs/>
                <w:color w:val="FFFFFF" w:themeColor="background1"/>
                <w:szCs w:val="20"/>
              </w:rPr>
              <w:t>A6</w:t>
            </w:r>
            <w:r w:rsidRPr="00683FB0">
              <w:rPr>
                <w:b/>
                <w:bCs/>
                <w:color w:val="FFFFFF" w:themeColor="background1"/>
                <w:szCs w:val="20"/>
              </w:rPr>
              <w:t>-</w:t>
            </w:r>
            <w:r w:rsidRPr="00683FB0">
              <w:rPr>
                <w:b/>
                <w:bCs/>
                <w:color w:val="FFFFFF" w:themeColor="background1"/>
                <w:szCs w:val="20"/>
              </w:rPr>
              <w:fldChar w:fldCharType="begin"/>
            </w:r>
            <w:r w:rsidRPr="00683FB0">
              <w:rPr>
                <w:b/>
                <w:bCs/>
                <w:color w:val="FFFFFF" w:themeColor="background1"/>
                <w:szCs w:val="20"/>
              </w:rPr>
              <w:instrText xml:space="preserve"> SEQ Table_A5- \* ARABIC </w:instrText>
            </w:r>
            <w:r w:rsidRPr="00683FB0">
              <w:rPr>
                <w:b/>
                <w:bCs/>
                <w:color w:val="FFFFFF" w:themeColor="background1"/>
                <w:szCs w:val="20"/>
              </w:rPr>
              <w:fldChar w:fldCharType="separate"/>
            </w:r>
            <w:r w:rsidRPr="00683FB0">
              <w:rPr>
                <w:b/>
                <w:bCs/>
                <w:color w:val="FFFFFF" w:themeColor="background1"/>
                <w:szCs w:val="20"/>
              </w:rPr>
              <w:fldChar w:fldCharType="end"/>
            </w:r>
            <w:r w:rsidRPr="00683FB0">
              <w:rPr>
                <w:b/>
                <w:bCs/>
                <w:color w:val="FFFFFF" w:themeColor="background1"/>
                <w:szCs w:val="20"/>
              </w:rPr>
              <w:t xml:space="preserve"> </w:t>
            </w:r>
            <w:r w:rsidRPr="00683FB0">
              <w:rPr>
                <w:b/>
                <w:color w:val="FFFFFF" w:themeColor="background1"/>
                <w:szCs w:val="20"/>
                <w:lang w:eastAsia="en-GB"/>
              </w:rPr>
              <w:t>: Environmental Impacts and Revenue Changes in Croatia – Scenario B</w:t>
            </w:r>
          </w:p>
        </w:tc>
      </w:tr>
      <w:tr w:rsidR="00D12D7A" w:rsidRPr="00683FB0" w14:paraId="645450CA" w14:textId="77777777" w:rsidTr="00691DB4">
        <w:tc>
          <w:tcPr>
            <w:tcW w:w="2160" w:type="dxa"/>
          </w:tcPr>
          <w:p w14:paraId="1DB14DEB" w14:textId="77777777" w:rsidR="00D12D7A" w:rsidRPr="00683FB0" w:rsidRDefault="00D12D7A" w:rsidP="000878F6">
            <w:pPr>
              <w:pStyle w:val="Table"/>
              <w:rPr>
                <w:b/>
                <w:szCs w:val="20"/>
              </w:rPr>
            </w:pPr>
            <w:r w:rsidRPr="00683FB0">
              <w:rPr>
                <w:b/>
                <w:szCs w:val="20"/>
              </w:rPr>
              <w:t>Tax Name</w:t>
            </w:r>
          </w:p>
        </w:tc>
        <w:tc>
          <w:tcPr>
            <w:tcW w:w="2160" w:type="dxa"/>
            <w:gridSpan w:val="2"/>
            <w:vAlign w:val="bottom"/>
          </w:tcPr>
          <w:p w14:paraId="3606ED70" w14:textId="77777777" w:rsidR="00D12D7A" w:rsidRPr="00683FB0" w:rsidRDefault="00D12D7A" w:rsidP="000878F6">
            <w:pPr>
              <w:pStyle w:val="Table"/>
              <w:jc w:val="center"/>
              <w:rPr>
                <w:b/>
                <w:szCs w:val="20"/>
              </w:rPr>
            </w:pPr>
            <w:r w:rsidRPr="00683FB0">
              <w:rPr>
                <w:rFonts w:ascii="Calibri" w:hAnsi="Calibri" w:cs="Calibri"/>
                <w:b/>
                <w:bCs/>
                <w:color w:val="000000"/>
                <w:szCs w:val="20"/>
              </w:rPr>
              <w:t>% Change in Quantities as % of taxed sector</w:t>
            </w:r>
          </w:p>
        </w:tc>
        <w:tc>
          <w:tcPr>
            <w:tcW w:w="2160" w:type="dxa"/>
            <w:gridSpan w:val="2"/>
            <w:vAlign w:val="bottom"/>
          </w:tcPr>
          <w:p w14:paraId="42CFBCF3" w14:textId="77777777" w:rsidR="00D12D7A" w:rsidRPr="00683FB0" w:rsidRDefault="00D12D7A" w:rsidP="000878F6">
            <w:pPr>
              <w:pStyle w:val="Table"/>
              <w:jc w:val="center"/>
              <w:rPr>
                <w:b/>
                <w:szCs w:val="20"/>
              </w:rPr>
            </w:pPr>
            <w:r w:rsidRPr="00683FB0">
              <w:rPr>
                <w:rFonts w:ascii="Calibri" w:hAnsi="Calibri" w:cs="Calibri"/>
                <w:b/>
                <w:bCs/>
                <w:color w:val="000000"/>
                <w:szCs w:val="20"/>
              </w:rPr>
              <w:t>Change in Revenues (€Mn)</w:t>
            </w:r>
          </w:p>
        </w:tc>
        <w:tc>
          <w:tcPr>
            <w:tcW w:w="2587" w:type="dxa"/>
            <w:gridSpan w:val="2"/>
            <w:vAlign w:val="bottom"/>
          </w:tcPr>
          <w:p w14:paraId="36909942" w14:textId="77777777" w:rsidR="00D12D7A" w:rsidRPr="00683FB0" w:rsidRDefault="00D12D7A" w:rsidP="000878F6">
            <w:pPr>
              <w:pStyle w:val="Table"/>
              <w:jc w:val="center"/>
              <w:rPr>
                <w:b/>
                <w:szCs w:val="20"/>
              </w:rPr>
            </w:pPr>
            <w:r w:rsidRPr="00683FB0">
              <w:rPr>
                <w:rFonts w:ascii="Calibri" w:hAnsi="Calibri" w:cs="Calibri"/>
                <w:b/>
                <w:bCs/>
                <w:color w:val="000000"/>
                <w:szCs w:val="20"/>
              </w:rPr>
              <w:t>As % of 2023 Resource Tax</w:t>
            </w:r>
          </w:p>
        </w:tc>
      </w:tr>
      <w:tr w:rsidR="00D12D7A" w:rsidRPr="00683FB0" w14:paraId="34CFF553" w14:textId="77777777" w:rsidTr="00691DB4">
        <w:tc>
          <w:tcPr>
            <w:tcW w:w="2160" w:type="dxa"/>
          </w:tcPr>
          <w:p w14:paraId="11AC5118" w14:textId="77777777" w:rsidR="00D12D7A" w:rsidRPr="00683FB0" w:rsidRDefault="00D12D7A" w:rsidP="000878F6">
            <w:pPr>
              <w:pStyle w:val="Table"/>
              <w:rPr>
                <w:b/>
                <w:szCs w:val="20"/>
              </w:rPr>
            </w:pPr>
            <w:r w:rsidRPr="00683FB0">
              <w:rPr>
                <w:b/>
                <w:szCs w:val="20"/>
              </w:rPr>
              <w:t>Year</w:t>
            </w:r>
          </w:p>
        </w:tc>
        <w:tc>
          <w:tcPr>
            <w:tcW w:w="1080" w:type="dxa"/>
          </w:tcPr>
          <w:p w14:paraId="1AAFB4ED" w14:textId="77777777" w:rsidR="00D12D7A" w:rsidRPr="00683FB0" w:rsidRDefault="00D12D7A" w:rsidP="000878F6">
            <w:pPr>
              <w:pStyle w:val="Table"/>
              <w:jc w:val="center"/>
              <w:rPr>
                <w:b/>
                <w:szCs w:val="20"/>
              </w:rPr>
            </w:pPr>
            <w:r w:rsidRPr="00683FB0">
              <w:rPr>
                <w:b/>
                <w:szCs w:val="20"/>
              </w:rPr>
              <w:t>2030</w:t>
            </w:r>
          </w:p>
        </w:tc>
        <w:tc>
          <w:tcPr>
            <w:tcW w:w="1080" w:type="dxa"/>
          </w:tcPr>
          <w:p w14:paraId="61BCAC35" w14:textId="77777777" w:rsidR="00D12D7A" w:rsidRPr="00683FB0" w:rsidRDefault="00D12D7A" w:rsidP="000878F6">
            <w:pPr>
              <w:pStyle w:val="Table"/>
              <w:jc w:val="center"/>
              <w:rPr>
                <w:b/>
                <w:szCs w:val="20"/>
              </w:rPr>
            </w:pPr>
            <w:r w:rsidRPr="00683FB0">
              <w:rPr>
                <w:b/>
                <w:szCs w:val="20"/>
              </w:rPr>
              <w:t>2035</w:t>
            </w:r>
          </w:p>
        </w:tc>
        <w:tc>
          <w:tcPr>
            <w:tcW w:w="990" w:type="dxa"/>
          </w:tcPr>
          <w:p w14:paraId="1E274B5E" w14:textId="77777777" w:rsidR="00D12D7A" w:rsidRPr="00683FB0" w:rsidRDefault="00D12D7A" w:rsidP="000878F6">
            <w:pPr>
              <w:pStyle w:val="Table"/>
              <w:jc w:val="center"/>
              <w:rPr>
                <w:b/>
                <w:szCs w:val="20"/>
              </w:rPr>
            </w:pPr>
            <w:r w:rsidRPr="00683FB0">
              <w:rPr>
                <w:b/>
                <w:szCs w:val="20"/>
              </w:rPr>
              <w:t>2030</w:t>
            </w:r>
          </w:p>
        </w:tc>
        <w:tc>
          <w:tcPr>
            <w:tcW w:w="1170" w:type="dxa"/>
          </w:tcPr>
          <w:p w14:paraId="64830E04" w14:textId="77777777" w:rsidR="00D12D7A" w:rsidRPr="00683FB0" w:rsidRDefault="00D12D7A" w:rsidP="000878F6">
            <w:pPr>
              <w:pStyle w:val="Table"/>
              <w:jc w:val="center"/>
              <w:rPr>
                <w:b/>
                <w:szCs w:val="20"/>
              </w:rPr>
            </w:pPr>
            <w:r w:rsidRPr="00683FB0">
              <w:rPr>
                <w:b/>
                <w:szCs w:val="20"/>
              </w:rPr>
              <w:t>2035</w:t>
            </w:r>
          </w:p>
        </w:tc>
        <w:tc>
          <w:tcPr>
            <w:tcW w:w="1312" w:type="dxa"/>
          </w:tcPr>
          <w:p w14:paraId="12BDAA7D" w14:textId="77777777" w:rsidR="00D12D7A" w:rsidRPr="00683FB0" w:rsidRDefault="00D12D7A" w:rsidP="000878F6">
            <w:pPr>
              <w:pStyle w:val="Table"/>
              <w:jc w:val="center"/>
              <w:rPr>
                <w:b/>
                <w:szCs w:val="20"/>
              </w:rPr>
            </w:pPr>
            <w:r w:rsidRPr="00683FB0">
              <w:rPr>
                <w:b/>
                <w:szCs w:val="20"/>
              </w:rPr>
              <w:t>2030</w:t>
            </w:r>
          </w:p>
        </w:tc>
        <w:tc>
          <w:tcPr>
            <w:tcW w:w="1275" w:type="dxa"/>
          </w:tcPr>
          <w:p w14:paraId="11423AA1" w14:textId="77777777" w:rsidR="00D12D7A" w:rsidRPr="00683FB0" w:rsidRDefault="00D12D7A" w:rsidP="000878F6">
            <w:pPr>
              <w:pStyle w:val="Table"/>
              <w:jc w:val="center"/>
              <w:rPr>
                <w:b/>
                <w:szCs w:val="20"/>
              </w:rPr>
            </w:pPr>
            <w:r w:rsidRPr="00683FB0">
              <w:rPr>
                <w:b/>
                <w:szCs w:val="20"/>
              </w:rPr>
              <w:t>2035</w:t>
            </w:r>
          </w:p>
        </w:tc>
      </w:tr>
      <w:tr w:rsidR="00D12D7A" w:rsidRPr="00683FB0" w14:paraId="73B9888E" w14:textId="77777777" w:rsidTr="00691DB4">
        <w:tc>
          <w:tcPr>
            <w:tcW w:w="2160" w:type="dxa"/>
          </w:tcPr>
          <w:p w14:paraId="29034BE4" w14:textId="77777777" w:rsidR="00D12D7A" w:rsidRPr="00683FB0" w:rsidRDefault="00D12D7A" w:rsidP="000878F6">
            <w:pPr>
              <w:pStyle w:val="Table"/>
              <w:rPr>
                <w:szCs w:val="20"/>
              </w:rPr>
            </w:pPr>
            <w:r w:rsidRPr="00683FB0">
              <w:rPr>
                <w:szCs w:val="20"/>
              </w:rPr>
              <w:t>NOx</w:t>
            </w:r>
          </w:p>
        </w:tc>
        <w:tc>
          <w:tcPr>
            <w:tcW w:w="1080" w:type="dxa"/>
            <w:vAlign w:val="center"/>
          </w:tcPr>
          <w:p w14:paraId="7E834264" w14:textId="77777777" w:rsidR="00D12D7A" w:rsidRPr="00683FB0" w:rsidRDefault="00D12D7A" w:rsidP="000878F6">
            <w:pPr>
              <w:pStyle w:val="Table"/>
              <w:jc w:val="center"/>
              <w:rPr>
                <w:szCs w:val="20"/>
              </w:rPr>
            </w:pPr>
            <w:r w:rsidRPr="00683FB0">
              <w:rPr>
                <w:rFonts w:ascii="Calibri" w:hAnsi="Calibri" w:cs="Calibri"/>
                <w:color w:val="000000"/>
                <w:szCs w:val="20"/>
              </w:rPr>
              <w:t>-7,39%</w:t>
            </w:r>
          </w:p>
        </w:tc>
        <w:tc>
          <w:tcPr>
            <w:tcW w:w="1080" w:type="dxa"/>
            <w:vAlign w:val="center"/>
          </w:tcPr>
          <w:p w14:paraId="0C96EAFF" w14:textId="77777777" w:rsidR="00D12D7A" w:rsidRPr="00683FB0" w:rsidRDefault="00D12D7A" w:rsidP="000878F6">
            <w:pPr>
              <w:pStyle w:val="Table"/>
              <w:jc w:val="center"/>
              <w:rPr>
                <w:szCs w:val="20"/>
              </w:rPr>
            </w:pPr>
            <w:r w:rsidRPr="00683FB0">
              <w:rPr>
                <w:rFonts w:ascii="Calibri" w:hAnsi="Calibri" w:cs="Calibri"/>
                <w:color w:val="000000"/>
                <w:szCs w:val="20"/>
              </w:rPr>
              <w:t>-7,39%</w:t>
            </w:r>
          </w:p>
        </w:tc>
        <w:tc>
          <w:tcPr>
            <w:tcW w:w="990" w:type="dxa"/>
            <w:vAlign w:val="center"/>
          </w:tcPr>
          <w:p w14:paraId="14C1E512" w14:textId="77777777" w:rsidR="00D12D7A" w:rsidRPr="00683FB0" w:rsidRDefault="00D12D7A" w:rsidP="000878F6">
            <w:pPr>
              <w:pStyle w:val="Table"/>
              <w:jc w:val="center"/>
              <w:rPr>
                <w:szCs w:val="20"/>
              </w:rPr>
            </w:pPr>
            <w:r w:rsidRPr="00683FB0">
              <w:rPr>
                <w:rFonts w:ascii="Calibri" w:hAnsi="Calibri" w:cs="Calibri"/>
                <w:color w:val="000000"/>
                <w:szCs w:val="20"/>
              </w:rPr>
              <w:t>0,10</w:t>
            </w:r>
          </w:p>
        </w:tc>
        <w:tc>
          <w:tcPr>
            <w:tcW w:w="1170" w:type="dxa"/>
            <w:vAlign w:val="center"/>
          </w:tcPr>
          <w:p w14:paraId="6D7DB25C" w14:textId="77777777" w:rsidR="00D12D7A" w:rsidRPr="00683FB0" w:rsidRDefault="00D12D7A" w:rsidP="000878F6">
            <w:pPr>
              <w:pStyle w:val="Table"/>
              <w:jc w:val="center"/>
              <w:rPr>
                <w:szCs w:val="20"/>
              </w:rPr>
            </w:pPr>
            <w:r w:rsidRPr="00683FB0">
              <w:rPr>
                <w:rFonts w:ascii="Calibri" w:hAnsi="Calibri" w:cs="Calibri"/>
                <w:color w:val="000000"/>
                <w:szCs w:val="20"/>
              </w:rPr>
              <w:t>0,06</w:t>
            </w:r>
          </w:p>
        </w:tc>
        <w:tc>
          <w:tcPr>
            <w:tcW w:w="1312" w:type="dxa"/>
            <w:vAlign w:val="center"/>
          </w:tcPr>
          <w:p w14:paraId="0A3076ED" w14:textId="77777777" w:rsidR="00D12D7A" w:rsidRPr="00683FB0" w:rsidRDefault="00D12D7A" w:rsidP="000878F6">
            <w:pPr>
              <w:pStyle w:val="Table"/>
              <w:jc w:val="center"/>
              <w:rPr>
                <w:szCs w:val="20"/>
              </w:rPr>
            </w:pPr>
            <w:r w:rsidRPr="00683FB0">
              <w:rPr>
                <w:rFonts w:ascii="Calibri" w:hAnsi="Calibri" w:cs="Calibri"/>
                <w:color w:val="000000"/>
                <w:szCs w:val="20"/>
              </w:rPr>
              <w:t>0,1%</w:t>
            </w:r>
          </w:p>
        </w:tc>
        <w:tc>
          <w:tcPr>
            <w:tcW w:w="1275" w:type="dxa"/>
            <w:vAlign w:val="center"/>
          </w:tcPr>
          <w:p w14:paraId="004F0D30" w14:textId="77777777" w:rsidR="00D12D7A" w:rsidRPr="00683FB0" w:rsidRDefault="00D12D7A" w:rsidP="000878F6">
            <w:pPr>
              <w:pStyle w:val="Table"/>
              <w:jc w:val="center"/>
              <w:rPr>
                <w:szCs w:val="20"/>
              </w:rPr>
            </w:pPr>
            <w:r w:rsidRPr="00683FB0">
              <w:rPr>
                <w:rFonts w:ascii="Calibri" w:hAnsi="Calibri" w:cs="Calibri"/>
                <w:color w:val="000000"/>
                <w:szCs w:val="20"/>
              </w:rPr>
              <w:t>0,0%</w:t>
            </w:r>
          </w:p>
        </w:tc>
      </w:tr>
      <w:tr w:rsidR="00D12D7A" w:rsidRPr="00683FB0" w14:paraId="4470ED94" w14:textId="77777777" w:rsidTr="00691DB4">
        <w:tc>
          <w:tcPr>
            <w:tcW w:w="2160" w:type="dxa"/>
          </w:tcPr>
          <w:p w14:paraId="2FB8B08A" w14:textId="77777777" w:rsidR="00D12D7A" w:rsidRPr="00683FB0" w:rsidRDefault="00D12D7A" w:rsidP="000878F6">
            <w:pPr>
              <w:pStyle w:val="Table"/>
              <w:rPr>
                <w:szCs w:val="20"/>
              </w:rPr>
            </w:pPr>
            <w:r w:rsidRPr="00683FB0">
              <w:rPr>
                <w:szCs w:val="20"/>
              </w:rPr>
              <w:t>SO2</w:t>
            </w:r>
          </w:p>
        </w:tc>
        <w:tc>
          <w:tcPr>
            <w:tcW w:w="1080" w:type="dxa"/>
            <w:vAlign w:val="center"/>
          </w:tcPr>
          <w:p w14:paraId="5B597712" w14:textId="77777777" w:rsidR="00D12D7A" w:rsidRPr="00683FB0" w:rsidRDefault="00D12D7A" w:rsidP="000878F6">
            <w:pPr>
              <w:pStyle w:val="Table"/>
              <w:jc w:val="center"/>
              <w:rPr>
                <w:szCs w:val="20"/>
              </w:rPr>
            </w:pPr>
            <w:r w:rsidRPr="00683FB0">
              <w:rPr>
                <w:rFonts w:ascii="Calibri" w:hAnsi="Calibri" w:cs="Calibri"/>
                <w:color w:val="000000"/>
                <w:szCs w:val="20"/>
              </w:rPr>
              <w:t>-8,11%</w:t>
            </w:r>
          </w:p>
        </w:tc>
        <w:tc>
          <w:tcPr>
            <w:tcW w:w="1080" w:type="dxa"/>
            <w:vAlign w:val="center"/>
          </w:tcPr>
          <w:p w14:paraId="1239DEAF" w14:textId="77777777" w:rsidR="00D12D7A" w:rsidRPr="00683FB0" w:rsidRDefault="00D12D7A" w:rsidP="000878F6">
            <w:pPr>
              <w:pStyle w:val="Table"/>
              <w:jc w:val="center"/>
              <w:rPr>
                <w:szCs w:val="20"/>
              </w:rPr>
            </w:pPr>
            <w:r w:rsidRPr="00683FB0">
              <w:rPr>
                <w:rFonts w:ascii="Calibri" w:hAnsi="Calibri" w:cs="Calibri"/>
                <w:color w:val="000000"/>
                <w:szCs w:val="20"/>
              </w:rPr>
              <w:t>-8,11%</w:t>
            </w:r>
          </w:p>
        </w:tc>
        <w:tc>
          <w:tcPr>
            <w:tcW w:w="990" w:type="dxa"/>
            <w:vAlign w:val="center"/>
          </w:tcPr>
          <w:p w14:paraId="51209DB0" w14:textId="77777777" w:rsidR="00D12D7A" w:rsidRPr="00683FB0" w:rsidRDefault="00D12D7A" w:rsidP="000878F6">
            <w:pPr>
              <w:pStyle w:val="Table"/>
              <w:jc w:val="center"/>
              <w:rPr>
                <w:szCs w:val="20"/>
              </w:rPr>
            </w:pPr>
            <w:r w:rsidRPr="00683FB0">
              <w:rPr>
                <w:rFonts w:ascii="Calibri" w:hAnsi="Calibri" w:cs="Calibri"/>
                <w:color w:val="000000"/>
                <w:szCs w:val="20"/>
              </w:rPr>
              <w:t>0,21</w:t>
            </w:r>
          </w:p>
        </w:tc>
        <w:tc>
          <w:tcPr>
            <w:tcW w:w="1170" w:type="dxa"/>
            <w:vAlign w:val="center"/>
          </w:tcPr>
          <w:p w14:paraId="6B4E5907" w14:textId="77777777" w:rsidR="00D12D7A" w:rsidRPr="00683FB0" w:rsidRDefault="00D12D7A" w:rsidP="000878F6">
            <w:pPr>
              <w:pStyle w:val="Table"/>
              <w:jc w:val="center"/>
              <w:rPr>
                <w:szCs w:val="20"/>
              </w:rPr>
            </w:pPr>
            <w:r w:rsidRPr="00683FB0">
              <w:rPr>
                <w:rFonts w:ascii="Calibri" w:hAnsi="Calibri" w:cs="Calibri"/>
                <w:color w:val="000000"/>
                <w:szCs w:val="20"/>
              </w:rPr>
              <w:t>0,08</w:t>
            </w:r>
          </w:p>
        </w:tc>
        <w:tc>
          <w:tcPr>
            <w:tcW w:w="1312" w:type="dxa"/>
            <w:vAlign w:val="center"/>
          </w:tcPr>
          <w:p w14:paraId="37BA578E" w14:textId="77777777" w:rsidR="00D12D7A" w:rsidRPr="00683FB0" w:rsidRDefault="00D12D7A" w:rsidP="000878F6">
            <w:pPr>
              <w:pStyle w:val="Table"/>
              <w:jc w:val="center"/>
              <w:rPr>
                <w:szCs w:val="20"/>
              </w:rPr>
            </w:pPr>
            <w:r w:rsidRPr="00683FB0">
              <w:rPr>
                <w:rFonts w:ascii="Calibri" w:hAnsi="Calibri" w:cs="Calibri"/>
                <w:color w:val="000000"/>
                <w:szCs w:val="20"/>
              </w:rPr>
              <w:t>0,1%</w:t>
            </w:r>
          </w:p>
        </w:tc>
        <w:tc>
          <w:tcPr>
            <w:tcW w:w="1275" w:type="dxa"/>
            <w:vAlign w:val="center"/>
          </w:tcPr>
          <w:p w14:paraId="02BDBFBA" w14:textId="77777777" w:rsidR="00D12D7A" w:rsidRPr="00683FB0" w:rsidRDefault="00D12D7A" w:rsidP="000878F6">
            <w:pPr>
              <w:pStyle w:val="Table"/>
              <w:jc w:val="center"/>
              <w:rPr>
                <w:szCs w:val="20"/>
              </w:rPr>
            </w:pPr>
            <w:r w:rsidRPr="00683FB0">
              <w:rPr>
                <w:rFonts w:ascii="Calibri" w:hAnsi="Calibri" w:cs="Calibri"/>
                <w:color w:val="000000"/>
                <w:szCs w:val="20"/>
              </w:rPr>
              <w:t>0,0%</w:t>
            </w:r>
          </w:p>
        </w:tc>
      </w:tr>
      <w:tr w:rsidR="00D12D7A" w:rsidRPr="00683FB0" w14:paraId="1FBF821C" w14:textId="77777777" w:rsidTr="00691DB4">
        <w:tc>
          <w:tcPr>
            <w:tcW w:w="2160" w:type="dxa"/>
          </w:tcPr>
          <w:p w14:paraId="3B572AA6" w14:textId="77777777" w:rsidR="00D12D7A" w:rsidRPr="00683FB0" w:rsidRDefault="00D12D7A" w:rsidP="000878F6">
            <w:pPr>
              <w:pStyle w:val="Table"/>
              <w:rPr>
                <w:szCs w:val="20"/>
              </w:rPr>
            </w:pPr>
            <w:r w:rsidRPr="00683FB0">
              <w:rPr>
                <w:szCs w:val="20"/>
              </w:rPr>
              <w:t>PM2.5</w:t>
            </w:r>
          </w:p>
        </w:tc>
        <w:tc>
          <w:tcPr>
            <w:tcW w:w="1080" w:type="dxa"/>
            <w:vAlign w:val="center"/>
          </w:tcPr>
          <w:p w14:paraId="1A0BF1A8" w14:textId="77777777" w:rsidR="00D12D7A" w:rsidRPr="00683FB0" w:rsidRDefault="00D12D7A" w:rsidP="000878F6">
            <w:pPr>
              <w:pStyle w:val="Table"/>
              <w:jc w:val="center"/>
              <w:rPr>
                <w:szCs w:val="20"/>
              </w:rPr>
            </w:pPr>
            <w:r w:rsidRPr="00683FB0">
              <w:rPr>
                <w:rFonts w:ascii="Calibri" w:hAnsi="Calibri" w:cs="Calibri"/>
                <w:color w:val="000000"/>
                <w:szCs w:val="20"/>
              </w:rPr>
              <w:t>-7,39%</w:t>
            </w:r>
          </w:p>
        </w:tc>
        <w:tc>
          <w:tcPr>
            <w:tcW w:w="1080" w:type="dxa"/>
            <w:vAlign w:val="center"/>
          </w:tcPr>
          <w:p w14:paraId="57427B38" w14:textId="77777777" w:rsidR="00D12D7A" w:rsidRPr="00683FB0" w:rsidRDefault="00D12D7A" w:rsidP="000878F6">
            <w:pPr>
              <w:pStyle w:val="Table"/>
              <w:jc w:val="center"/>
              <w:rPr>
                <w:szCs w:val="20"/>
              </w:rPr>
            </w:pPr>
            <w:r w:rsidRPr="00683FB0">
              <w:rPr>
                <w:rFonts w:ascii="Calibri" w:hAnsi="Calibri" w:cs="Calibri"/>
                <w:color w:val="000000"/>
                <w:szCs w:val="20"/>
              </w:rPr>
              <w:t>-7,39%</w:t>
            </w:r>
          </w:p>
        </w:tc>
        <w:tc>
          <w:tcPr>
            <w:tcW w:w="990" w:type="dxa"/>
            <w:vAlign w:val="center"/>
          </w:tcPr>
          <w:p w14:paraId="2C7DEE3C" w14:textId="77777777" w:rsidR="00D12D7A" w:rsidRPr="00683FB0" w:rsidRDefault="00D12D7A" w:rsidP="000878F6">
            <w:pPr>
              <w:pStyle w:val="Table"/>
              <w:jc w:val="center"/>
              <w:rPr>
                <w:szCs w:val="20"/>
              </w:rPr>
            </w:pPr>
            <w:r w:rsidRPr="00683FB0">
              <w:rPr>
                <w:rFonts w:ascii="Calibri" w:hAnsi="Calibri" w:cs="Calibri"/>
                <w:color w:val="000000"/>
                <w:szCs w:val="20"/>
              </w:rPr>
              <w:t>1,01</w:t>
            </w:r>
          </w:p>
        </w:tc>
        <w:tc>
          <w:tcPr>
            <w:tcW w:w="1170" w:type="dxa"/>
            <w:vAlign w:val="center"/>
          </w:tcPr>
          <w:p w14:paraId="762933EF" w14:textId="77777777" w:rsidR="00D12D7A" w:rsidRPr="00683FB0" w:rsidRDefault="00D12D7A" w:rsidP="000878F6">
            <w:pPr>
              <w:pStyle w:val="Table"/>
              <w:jc w:val="center"/>
              <w:rPr>
                <w:szCs w:val="20"/>
              </w:rPr>
            </w:pPr>
            <w:r w:rsidRPr="00683FB0">
              <w:rPr>
                <w:rFonts w:ascii="Calibri" w:hAnsi="Calibri" w:cs="Calibri"/>
                <w:color w:val="000000"/>
                <w:szCs w:val="20"/>
              </w:rPr>
              <w:t>0,97</w:t>
            </w:r>
          </w:p>
        </w:tc>
        <w:tc>
          <w:tcPr>
            <w:tcW w:w="1312" w:type="dxa"/>
            <w:vAlign w:val="center"/>
          </w:tcPr>
          <w:p w14:paraId="25BA443F" w14:textId="77777777" w:rsidR="00D12D7A" w:rsidRPr="00683FB0" w:rsidRDefault="00D12D7A" w:rsidP="000878F6">
            <w:pPr>
              <w:pStyle w:val="Table"/>
              <w:jc w:val="center"/>
              <w:rPr>
                <w:szCs w:val="20"/>
              </w:rPr>
            </w:pPr>
            <w:r w:rsidRPr="00683FB0">
              <w:rPr>
                <w:rFonts w:ascii="Calibri" w:hAnsi="Calibri" w:cs="Calibri"/>
                <w:color w:val="000000"/>
                <w:szCs w:val="20"/>
              </w:rPr>
              <w:t>0,6%</w:t>
            </w:r>
          </w:p>
        </w:tc>
        <w:tc>
          <w:tcPr>
            <w:tcW w:w="1275" w:type="dxa"/>
            <w:vAlign w:val="center"/>
          </w:tcPr>
          <w:p w14:paraId="75D8F86E" w14:textId="77777777" w:rsidR="00D12D7A" w:rsidRPr="00683FB0" w:rsidRDefault="00D12D7A" w:rsidP="000878F6">
            <w:pPr>
              <w:pStyle w:val="Table"/>
              <w:jc w:val="center"/>
              <w:rPr>
                <w:szCs w:val="20"/>
              </w:rPr>
            </w:pPr>
            <w:r w:rsidRPr="00683FB0">
              <w:rPr>
                <w:rFonts w:ascii="Calibri" w:hAnsi="Calibri" w:cs="Calibri"/>
                <w:color w:val="000000"/>
                <w:szCs w:val="20"/>
              </w:rPr>
              <w:t>0,6%</w:t>
            </w:r>
          </w:p>
        </w:tc>
      </w:tr>
      <w:tr w:rsidR="00D12D7A" w:rsidRPr="00683FB0" w14:paraId="21F67775" w14:textId="77777777" w:rsidTr="00691DB4">
        <w:tc>
          <w:tcPr>
            <w:tcW w:w="2160" w:type="dxa"/>
          </w:tcPr>
          <w:p w14:paraId="10EF201A" w14:textId="77777777" w:rsidR="00D12D7A" w:rsidRPr="00683FB0" w:rsidRDefault="00D12D7A" w:rsidP="000878F6">
            <w:pPr>
              <w:pStyle w:val="Table"/>
              <w:rPr>
                <w:szCs w:val="20"/>
              </w:rPr>
            </w:pPr>
            <w:r w:rsidRPr="00683FB0">
              <w:rPr>
                <w:szCs w:val="20"/>
              </w:rPr>
              <w:t>Water Abstraction</w:t>
            </w:r>
          </w:p>
        </w:tc>
        <w:tc>
          <w:tcPr>
            <w:tcW w:w="1080" w:type="dxa"/>
            <w:vAlign w:val="center"/>
          </w:tcPr>
          <w:p w14:paraId="40AF3433" w14:textId="77777777" w:rsidR="00D12D7A" w:rsidRPr="00683FB0" w:rsidRDefault="00D12D7A" w:rsidP="000878F6">
            <w:pPr>
              <w:pStyle w:val="Table"/>
              <w:jc w:val="center"/>
              <w:rPr>
                <w:szCs w:val="20"/>
              </w:rPr>
            </w:pPr>
            <w:r w:rsidRPr="00683FB0">
              <w:rPr>
                <w:rFonts w:ascii="Calibri" w:hAnsi="Calibri" w:cs="Calibri"/>
                <w:color w:val="000000"/>
                <w:szCs w:val="20"/>
              </w:rPr>
              <w:t>0,00%</w:t>
            </w:r>
          </w:p>
        </w:tc>
        <w:tc>
          <w:tcPr>
            <w:tcW w:w="1080" w:type="dxa"/>
            <w:vAlign w:val="center"/>
          </w:tcPr>
          <w:p w14:paraId="1C726F8E" w14:textId="77777777" w:rsidR="00D12D7A" w:rsidRPr="00683FB0" w:rsidRDefault="00D12D7A" w:rsidP="000878F6">
            <w:pPr>
              <w:pStyle w:val="Table"/>
              <w:jc w:val="center"/>
              <w:rPr>
                <w:szCs w:val="20"/>
              </w:rPr>
            </w:pPr>
            <w:r w:rsidRPr="00683FB0">
              <w:rPr>
                <w:rFonts w:ascii="Calibri" w:hAnsi="Calibri" w:cs="Calibri"/>
                <w:color w:val="000000"/>
                <w:szCs w:val="20"/>
              </w:rPr>
              <w:t>0,00%</w:t>
            </w:r>
          </w:p>
        </w:tc>
        <w:tc>
          <w:tcPr>
            <w:tcW w:w="990" w:type="dxa"/>
            <w:vAlign w:val="center"/>
          </w:tcPr>
          <w:p w14:paraId="6D2E6B0E" w14:textId="77777777" w:rsidR="00D12D7A" w:rsidRPr="00683FB0" w:rsidRDefault="00D12D7A" w:rsidP="000878F6">
            <w:pPr>
              <w:pStyle w:val="Table"/>
              <w:jc w:val="center"/>
              <w:rPr>
                <w:szCs w:val="20"/>
              </w:rPr>
            </w:pPr>
            <w:r w:rsidRPr="00683FB0">
              <w:rPr>
                <w:rFonts w:ascii="Calibri" w:hAnsi="Calibri" w:cs="Calibri"/>
                <w:color w:val="000000"/>
                <w:szCs w:val="20"/>
              </w:rPr>
              <w:t>0,00</w:t>
            </w:r>
          </w:p>
        </w:tc>
        <w:tc>
          <w:tcPr>
            <w:tcW w:w="1170" w:type="dxa"/>
            <w:vAlign w:val="center"/>
          </w:tcPr>
          <w:p w14:paraId="28CDFB70" w14:textId="77777777" w:rsidR="00D12D7A" w:rsidRPr="00683FB0" w:rsidRDefault="00D12D7A" w:rsidP="000878F6">
            <w:pPr>
              <w:pStyle w:val="Table"/>
              <w:jc w:val="center"/>
              <w:rPr>
                <w:szCs w:val="20"/>
              </w:rPr>
            </w:pPr>
            <w:r w:rsidRPr="00683FB0">
              <w:rPr>
                <w:rFonts w:ascii="Calibri" w:hAnsi="Calibri" w:cs="Calibri"/>
                <w:color w:val="000000"/>
                <w:szCs w:val="20"/>
              </w:rPr>
              <w:t>0,00</w:t>
            </w:r>
          </w:p>
        </w:tc>
        <w:tc>
          <w:tcPr>
            <w:tcW w:w="1312" w:type="dxa"/>
            <w:vAlign w:val="center"/>
          </w:tcPr>
          <w:p w14:paraId="0133BB34" w14:textId="77777777" w:rsidR="00D12D7A" w:rsidRPr="00683FB0" w:rsidRDefault="00D12D7A" w:rsidP="000878F6">
            <w:pPr>
              <w:pStyle w:val="Table"/>
              <w:jc w:val="center"/>
              <w:rPr>
                <w:szCs w:val="20"/>
              </w:rPr>
            </w:pPr>
            <w:r w:rsidRPr="00683FB0">
              <w:rPr>
                <w:rFonts w:ascii="Calibri" w:hAnsi="Calibri" w:cs="Calibri"/>
                <w:color w:val="000000"/>
                <w:szCs w:val="20"/>
              </w:rPr>
              <w:t>0,0%</w:t>
            </w:r>
          </w:p>
        </w:tc>
        <w:tc>
          <w:tcPr>
            <w:tcW w:w="1275" w:type="dxa"/>
            <w:vAlign w:val="center"/>
          </w:tcPr>
          <w:p w14:paraId="38A16041" w14:textId="77777777" w:rsidR="00D12D7A" w:rsidRPr="00683FB0" w:rsidRDefault="00D12D7A" w:rsidP="000878F6">
            <w:pPr>
              <w:pStyle w:val="Table"/>
              <w:jc w:val="center"/>
              <w:rPr>
                <w:szCs w:val="20"/>
              </w:rPr>
            </w:pPr>
            <w:r w:rsidRPr="00683FB0">
              <w:rPr>
                <w:rFonts w:ascii="Calibri" w:hAnsi="Calibri" w:cs="Calibri"/>
                <w:color w:val="000000"/>
                <w:szCs w:val="20"/>
              </w:rPr>
              <w:t>0,0%</w:t>
            </w:r>
          </w:p>
        </w:tc>
      </w:tr>
      <w:tr w:rsidR="00D12D7A" w:rsidRPr="00683FB0" w14:paraId="2E881D9E" w14:textId="77777777" w:rsidTr="00691DB4">
        <w:tc>
          <w:tcPr>
            <w:tcW w:w="2160" w:type="dxa"/>
          </w:tcPr>
          <w:p w14:paraId="07517A48" w14:textId="77777777" w:rsidR="00D12D7A" w:rsidRPr="00683FB0" w:rsidRDefault="00D12D7A" w:rsidP="000878F6">
            <w:pPr>
              <w:pStyle w:val="Table"/>
              <w:rPr>
                <w:szCs w:val="20"/>
              </w:rPr>
            </w:pPr>
            <w:r w:rsidRPr="00683FB0">
              <w:rPr>
                <w:szCs w:val="20"/>
              </w:rPr>
              <w:t>Fertilizers</w:t>
            </w:r>
          </w:p>
        </w:tc>
        <w:tc>
          <w:tcPr>
            <w:tcW w:w="1080" w:type="dxa"/>
            <w:vAlign w:val="center"/>
          </w:tcPr>
          <w:p w14:paraId="5BCCC72A" w14:textId="77777777" w:rsidR="00D12D7A" w:rsidRPr="00683FB0" w:rsidRDefault="00D12D7A" w:rsidP="000878F6">
            <w:pPr>
              <w:pStyle w:val="Table"/>
              <w:jc w:val="center"/>
              <w:rPr>
                <w:szCs w:val="20"/>
              </w:rPr>
            </w:pPr>
            <w:r w:rsidRPr="00683FB0">
              <w:rPr>
                <w:rFonts w:ascii="Calibri" w:hAnsi="Calibri" w:cs="Calibri"/>
                <w:color w:val="000000"/>
                <w:szCs w:val="20"/>
              </w:rPr>
              <w:t>-5,99%</w:t>
            </w:r>
          </w:p>
        </w:tc>
        <w:tc>
          <w:tcPr>
            <w:tcW w:w="1080" w:type="dxa"/>
            <w:vAlign w:val="center"/>
          </w:tcPr>
          <w:p w14:paraId="5A017A23" w14:textId="77777777" w:rsidR="00D12D7A" w:rsidRPr="00683FB0" w:rsidRDefault="00D12D7A" w:rsidP="000878F6">
            <w:pPr>
              <w:pStyle w:val="Table"/>
              <w:jc w:val="center"/>
              <w:rPr>
                <w:szCs w:val="20"/>
              </w:rPr>
            </w:pPr>
            <w:r w:rsidRPr="00683FB0">
              <w:rPr>
                <w:rFonts w:ascii="Calibri" w:hAnsi="Calibri" w:cs="Calibri"/>
                <w:color w:val="000000"/>
                <w:szCs w:val="20"/>
              </w:rPr>
              <w:t>-5,99%</w:t>
            </w:r>
          </w:p>
        </w:tc>
        <w:tc>
          <w:tcPr>
            <w:tcW w:w="990" w:type="dxa"/>
            <w:vAlign w:val="center"/>
          </w:tcPr>
          <w:p w14:paraId="05B76F6E" w14:textId="77777777" w:rsidR="00D12D7A" w:rsidRPr="00683FB0" w:rsidRDefault="00D12D7A" w:rsidP="000878F6">
            <w:pPr>
              <w:pStyle w:val="Table"/>
              <w:jc w:val="center"/>
              <w:rPr>
                <w:szCs w:val="20"/>
              </w:rPr>
            </w:pPr>
            <w:r w:rsidRPr="00683FB0">
              <w:rPr>
                <w:rFonts w:ascii="Calibri" w:hAnsi="Calibri" w:cs="Calibri"/>
                <w:color w:val="000000"/>
                <w:szCs w:val="20"/>
              </w:rPr>
              <w:t>1,94</w:t>
            </w:r>
          </w:p>
        </w:tc>
        <w:tc>
          <w:tcPr>
            <w:tcW w:w="1170" w:type="dxa"/>
            <w:vAlign w:val="center"/>
          </w:tcPr>
          <w:p w14:paraId="693A72D9" w14:textId="77777777" w:rsidR="00D12D7A" w:rsidRPr="00683FB0" w:rsidRDefault="00D12D7A" w:rsidP="000878F6">
            <w:pPr>
              <w:pStyle w:val="Table"/>
              <w:jc w:val="center"/>
              <w:rPr>
                <w:szCs w:val="20"/>
              </w:rPr>
            </w:pPr>
            <w:r w:rsidRPr="00683FB0">
              <w:rPr>
                <w:rFonts w:ascii="Calibri" w:hAnsi="Calibri" w:cs="Calibri"/>
                <w:color w:val="000000"/>
                <w:szCs w:val="20"/>
              </w:rPr>
              <w:t>1,91</w:t>
            </w:r>
          </w:p>
        </w:tc>
        <w:tc>
          <w:tcPr>
            <w:tcW w:w="1312" w:type="dxa"/>
            <w:vAlign w:val="center"/>
          </w:tcPr>
          <w:p w14:paraId="0254EF43" w14:textId="77777777" w:rsidR="00D12D7A" w:rsidRPr="00683FB0" w:rsidRDefault="00D12D7A" w:rsidP="000878F6">
            <w:pPr>
              <w:pStyle w:val="Table"/>
              <w:jc w:val="center"/>
              <w:rPr>
                <w:szCs w:val="20"/>
              </w:rPr>
            </w:pPr>
            <w:r w:rsidRPr="00683FB0">
              <w:rPr>
                <w:rFonts w:ascii="Calibri" w:hAnsi="Calibri" w:cs="Calibri"/>
                <w:color w:val="000000"/>
                <w:szCs w:val="20"/>
              </w:rPr>
              <w:t>1,2%</w:t>
            </w:r>
          </w:p>
        </w:tc>
        <w:tc>
          <w:tcPr>
            <w:tcW w:w="1275" w:type="dxa"/>
            <w:vAlign w:val="center"/>
          </w:tcPr>
          <w:p w14:paraId="0F6B9D8F" w14:textId="77777777" w:rsidR="00D12D7A" w:rsidRPr="00683FB0" w:rsidRDefault="00D12D7A" w:rsidP="000878F6">
            <w:pPr>
              <w:pStyle w:val="Table"/>
              <w:jc w:val="center"/>
              <w:rPr>
                <w:szCs w:val="20"/>
              </w:rPr>
            </w:pPr>
            <w:r w:rsidRPr="00683FB0">
              <w:rPr>
                <w:rFonts w:ascii="Calibri" w:hAnsi="Calibri" w:cs="Calibri"/>
                <w:color w:val="000000"/>
                <w:szCs w:val="20"/>
              </w:rPr>
              <w:t>1,2%</w:t>
            </w:r>
          </w:p>
        </w:tc>
      </w:tr>
      <w:tr w:rsidR="00D12D7A" w:rsidRPr="00683FB0" w14:paraId="461D4AF0" w14:textId="77777777" w:rsidTr="00691DB4">
        <w:tc>
          <w:tcPr>
            <w:tcW w:w="2160" w:type="dxa"/>
          </w:tcPr>
          <w:p w14:paraId="36E4F663" w14:textId="77777777" w:rsidR="00D12D7A" w:rsidRPr="00683FB0" w:rsidRDefault="00D12D7A" w:rsidP="000878F6">
            <w:pPr>
              <w:pStyle w:val="Table"/>
              <w:rPr>
                <w:szCs w:val="20"/>
              </w:rPr>
            </w:pPr>
            <w:r w:rsidRPr="00683FB0">
              <w:rPr>
                <w:szCs w:val="20"/>
              </w:rPr>
              <w:t>Pesticides</w:t>
            </w:r>
          </w:p>
        </w:tc>
        <w:tc>
          <w:tcPr>
            <w:tcW w:w="1080" w:type="dxa"/>
            <w:vAlign w:val="center"/>
          </w:tcPr>
          <w:p w14:paraId="08CD1274" w14:textId="77777777" w:rsidR="00D12D7A" w:rsidRPr="00683FB0" w:rsidRDefault="00D12D7A" w:rsidP="000878F6">
            <w:pPr>
              <w:pStyle w:val="Table"/>
              <w:jc w:val="center"/>
              <w:rPr>
                <w:szCs w:val="20"/>
              </w:rPr>
            </w:pPr>
            <w:r w:rsidRPr="00683FB0">
              <w:rPr>
                <w:rFonts w:ascii="Calibri" w:hAnsi="Calibri" w:cs="Calibri"/>
                <w:color w:val="000000"/>
                <w:szCs w:val="20"/>
              </w:rPr>
              <w:t>n/a</w:t>
            </w:r>
          </w:p>
        </w:tc>
        <w:tc>
          <w:tcPr>
            <w:tcW w:w="1080" w:type="dxa"/>
            <w:vAlign w:val="center"/>
          </w:tcPr>
          <w:p w14:paraId="3E49A17D" w14:textId="77777777" w:rsidR="00D12D7A" w:rsidRPr="00683FB0" w:rsidRDefault="00D12D7A" w:rsidP="000878F6">
            <w:pPr>
              <w:pStyle w:val="Table"/>
              <w:jc w:val="center"/>
              <w:rPr>
                <w:szCs w:val="20"/>
              </w:rPr>
            </w:pPr>
            <w:r w:rsidRPr="00683FB0">
              <w:rPr>
                <w:rFonts w:ascii="Calibri" w:hAnsi="Calibri" w:cs="Calibri"/>
                <w:color w:val="000000"/>
                <w:szCs w:val="20"/>
              </w:rPr>
              <w:t>n/a</w:t>
            </w:r>
          </w:p>
        </w:tc>
        <w:tc>
          <w:tcPr>
            <w:tcW w:w="990" w:type="dxa"/>
            <w:vAlign w:val="center"/>
          </w:tcPr>
          <w:p w14:paraId="29C51ED7" w14:textId="77777777" w:rsidR="00D12D7A" w:rsidRPr="00683FB0" w:rsidRDefault="00D12D7A" w:rsidP="000878F6">
            <w:pPr>
              <w:pStyle w:val="Table"/>
              <w:jc w:val="center"/>
              <w:rPr>
                <w:szCs w:val="20"/>
              </w:rPr>
            </w:pPr>
            <w:r w:rsidRPr="00683FB0">
              <w:rPr>
                <w:rFonts w:ascii="Calibri" w:hAnsi="Calibri" w:cs="Calibri"/>
                <w:color w:val="000000"/>
                <w:szCs w:val="20"/>
              </w:rPr>
              <w:t>5,32</w:t>
            </w:r>
          </w:p>
        </w:tc>
        <w:tc>
          <w:tcPr>
            <w:tcW w:w="1170" w:type="dxa"/>
            <w:vAlign w:val="center"/>
          </w:tcPr>
          <w:p w14:paraId="0A3CDD33" w14:textId="77777777" w:rsidR="00D12D7A" w:rsidRPr="00683FB0" w:rsidRDefault="00D12D7A" w:rsidP="000878F6">
            <w:pPr>
              <w:pStyle w:val="Table"/>
              <w:jc w:val="center"/>
              <w:rPr>
                <w:szCs w:val="20"/>
              </w:rPr>
            </w:pPr>
            <w:r w:rsidRPr="00683FB0">
              <w:rPr>
                <w:rFonts w:ascii="Calibri" w:hAnsi="Calibri" w:cs="Calibri"/>
                <w:color w:val="000000"/>
                <w:szCs w:val="20"/>
              </w:rPr>
              <w:t>5,30</w:t>
            </w:r>
          </w:p>
        </w:tc>
        <w:tc>
          <w:tcPr>
            <w:tcW w:w="1312" w:type="dxa"/>
            <w:vAlign w:val="center"/>
          </w:tcPr>
          <w:p w14:paraId="5BFE9EC1" w14:textId="77777777" w:rsidR="00D12D7A" w:rsidRPr="00683FB0" w:rsidRDefault="00D12D7A" w:rsidP="000878F6">
            <w:pPr>
              <w:pStyle w:val="Table"/>
              <w:jc w:val="center"/>
              <w:rPr>
                <w:szCs w:val="20"/>
              </w:rPr>
            </w:pPr>
            <w:r w:rsidRPr="00683FB0">
              <w:rPr>
                <w:rFonts w:ascii="Calibri" w:hAnsi="Calibri" w:cs="Calibri"/>
                <w:color w:val="000000"/>
                <w:szCs w:val="20"/>
              </w:rPr>
              <w:t>3,3%</w:t>
            </w:r>
          </w:p>
        </w:tc>
        <w:tc>
          <w:tcPr>
            <w:tcW w:w="1275" w:type="dxa"/>
            <w:vAlign w:val="center"/>
          </w:tcPr>
          <w:p w14:paraId="521D38EA" w14:textId="77777777" w:rsidR="00D12D7A" w:rsidRPr="00683FB0" w:rsidRDefault="00D12D7A" w:rsidP="000878F6">
            <w:pPr>
              <w:pStyle w:val="Table"/>
              <w:jc w:val="center"/>
              <w:rPr>
                <w:szCs w:val="20"/>
              </w:rPr>
            </w:pPr>
            <w:r w:rsidRPr="00683FB0">
              <w:rPr>
                <w:rFonts w:ascii="Calibri" w:hAnsi="Calibri" w:cs="Calibri"/>
                <w:color w:val="000000"/>
                <w:szCs w:val="20"/>
              </w:rPr>
              <w:t>3,3%</w:t>
            </w:r>
          </w:p>
        </w:tc>
      </w:tr>
      <w:tr w:rsidR="00D12D7A" w:rsidRPr="00683FB0" w14:paraId="4AE11BF8" w14:textId="77777777" w:rsidTr="00691DB4">
        <w:tc>
          <w:tcPr>
            <w:tcW w:w="2160" w:type="dxa"/>
          </w:tcPr>
          <w:p w14:paraId="6CD0C289" w14:textId="77777777" w:rsidR="00D12D7A" w:rsidRPr="00683FB0" w:rsidRDefault="00D12D7A" w:rsidP="000878F6">
            <w:pPr>
              <w:pStyle w:val="Table"/>
              <w:rPr>
                <w:szCs w:val="20"/>
              </w:rPr>
            </w:pPr>
            <w:r w:rsidRPr="00683FB0">
              <w:rPr>
                <w:szCs w:val="20"/>
              </w:rPr>
              <w:t>Waste Incineration</w:t>
            </w:r>
          </w:p>
        </w:tc>
        <w:tc>
          <w:tcPr>
            <w:tcW w:w="1080" w:type="dxa"/>
            <w:vAlign w:val="center"/>
          </w:tcPr>
          <w:p w14:paraId="1FC3EA72" w14:textId="77777777" w:rsidR="00D12D7A" w:rsidRPr="00683FB0" w:rsidRDefault="00D12D7A" w:rsidP="000878F6">
            <w:pPr>
              <w:pStyle w:val="Table"/>
              <w:jc w:val="center"/>
              <w:rPr>
                <w:szCs w:val="20"/>
              </w:rPr>
            </w:pPr>
            <w:r w:rsidRPr="00683FB0">
              <w:rPr>
                <w:rFonts w:ascii="Calibri" w:hAnsi="Calibri" w:cs="Calibri"/>
                <w:color w:val="000000"/>
                <w:szCs w:val="20"/>
              </w:rPr>
              <w:t>0,00%</w:t>
            </w:r>
          </w:p>
        </w:tc>
        <w:tc>
          <w:tcPr>
            <w:tcW w:w="1080" w:type="dxa"/>
            <w:vAlign w:val="center"/>
          </w:tcPr>
          <w:p w14:paraId="3A05E7D0" w14:textId="77777777" w:rsidR="00D12D7A" w:rsidRPr="00683FB0" w:rsidRDefault="00D12D7A" w:rsidP="000878F6">
            <w:pPr>
              <w:pStyle w:val="Table"/>
              <w:jc w:val="center"/>
              <w:rPr>
                <w:szCs w:val="20"/>
              </w:rPr>
            </w:pPr>
            <w:r w:rsidRPr="00683FB0">
              <w:rPr>
                <w:rFonts w:ascii="Calibri" w:hAnsi="Calibri" w:cs="Calibri"/>
                <w:color w:val="000000"/>
                <w:szCs w:val="20"/>
              </w:rPr>
              <w:t>0,00%</w:t>
            </w:r>
          </w:p>
        </w:tc>
        <w:tc>
          <w:tcPr>
            <w:tcW w:w="990" w:type="dxa"/>
            <w:vAlign w:val="center"/>
          </w:tcPr>
          <w:p w14:paraId="0F9AEC95" w14:textId="77777777" w:rsidR="00D12D7A" w:rsidRPr="00683FB0" w:rsidRDefault="00D12D7A" w:rsidP="000878F6">
            <w:pPr>
              <w:pStyle w:val="Table"/>
              <w:jc w:val="center"/>
              <w:rPr>
                <w:szCs w:val="20"/>
              </w:rPr>
            </w:pPr>
            <w:r w:rsidRPr="00683FB0">
              <w:rPr>
                <w:rFonts w:ascii="Calibri" w:hAnsi="Calibri" w:cs="Calibri"/>
                <w:color w:val="000000"/>
                <w:szCs w:val="20"/>
              </w:rPr>
              <w:t>0,00</w:t>
            </w:r>
          </w:p>
        </w:tc>
        <w:tc>
          <w:tcPr>
            <w:tcW w:w="1170" w:type="dxa"/>
            <w:vAlign w:val="center"/>
          </w:tcPr>
          <w:p w14:paraId="4572D7AF" w14:textId="77777777" w:rsidR="00D12D7A" w:rsidRPr="00683FB0" w:rsidRDefault="00D12D7A" w:rsidP="000878F6">
            <w:pPr>
              <w:pStyle w:val="Table"/>
              <w:jc w:val="center"/>
              <w:rPr>
                <w:szCs w:val="20"/>
              </w:rPr>
            </w:pPr>
            <w:r w:rsidRPr="00683FB0">
              <w:rPr>
                <w:rFonts w:ascii="Calibri" w:hAnsi="Calibri" w:cs="Calibri"/>
                <w:color w:val="000000"/>
                <w:szCs w:val="20"/>
              </w:rPr>
              <w:t>0,00</w:t>
            </w:r>
          </w:p>
        </w:tc>
        <w:tc>
          <w:tcPr>
            <w:tcW w:w="1312" w:type="dxa"/>
            <w:vAlign w:val="center"/>
          </w:tcPr>
          <w:p w14:paraId="61C94052" w14:textId="77777777" w:rsidR="00D12D7A" w:rsidRPr="00683FB0" w:rsidRDefault="00D12D7A" w:rsidP="000878F6">
            <w:pPr>
              <w:pStyle w:val="Table"/>
              <w:jc w:val="center"/>
              <w:rPr>
                <w:szCs w:val="20"/>
              </w:rPr>
            </w:pPr>
            <w:r w:rsidRPr="00683FB0">
              <w:rPr>
                <w:rFonts w:ascii="Calibri" w:hAnsi="Calibri" w:cs="Calibri"/>
                <w:color w:val="000000"/>
                <w:szCs w:val="20"/>
              </w:rPr>
              <w:t>0,0%</w:t>
            </w:r>
          </w:p>
        </w:tc>
        <w:tc>
          <w:tcPr>
            <w:tcW w:w="1275" w:type="dxa"/>
            <w:vAlign w:val="center"/>
          </w:tcPr>
          <w:p w14:paraId="00B56B46" w14:textId="77777777" w:rsidR="00D12D7A" w:rsidRPr="00683FB0" w:rsidRDefault="00D12D7A" w:rsidP="000878F6">
            <w:pPr>
              <w:pStyle w:val="Table"/>
              <w:jc w:val="center"/>
              <w:rPr>
                <w:szCs w:val="20"/>
              </w:rPr>
            </w:pPr>
            <w:r w:rsidRPr="00683FB0">
              <w:rPr>
                <w:rFonts w:ascii="Calibri" w:hAnsi="Calibri" w:cs="Calibri"/>
                <w:color w:val="000000"/>
                <w:szCs w:val="20"/>
              </w:rPr>
              <w:t>0,0%</w:t>
            </w:r>
          </w:p>
        </w:tc>
      </w:tr>
      <w:tr w:rsidR="00D12D7A" w:rsidRPr="00683FB0" w14:paraId="6C7CE269" w14:textId="77777777" w:rsidTr="00691DB4">
        <w:tc>
          <w:tcPr>
            <w:tcW w:w="2160" w:type="dxa"/>
          </w:tcPr>
          <w:p w14:paraId="38FAD422" w14:textId="77777777" w:rsidR="00D12D7A" w:rsidRPr="00683FB0" w:rsidRDefault="00D12D7A" w:rsidP="000878F6">
            <w:pPr>
              <w:pStyle w:val="Table"/>
              <w:rPr>
                <w:szCs w:val="20"/>
              </w:rPr>
            </w:pPr>
            <w:r w:rsidRPr="00683FB0">
              <w:rPr>
                <w:szCs w:val="20"/>
              </w:rPr>
              <w:t>Waste to Landfill</w:t>
            </w:r>
          </w:p>
        </w:tc>
        <w:tc>
          <w:tcPr>
            <w:tcW w:w="1080" w:type="dxa"/>
            <w:vAlign w:val="center"/>
          </w:tcPr>
          <w:p w14:paraId="09A8F5E5" w14:textId="77777777" w:rsidR="00D12D7A" w:rsidRPr="00683FB0" w:rsidRDefault="00D12D7A" w:rsidP="000878F6">
            <w:pPr>
              <w:pStyle w:val="Table"/>
              <w:jc w:val="center"/>
              <w:rPr>
                <w:szCs w:val="20"/>
              </w:rPr>
            </w:pPr>
            <w:r w:rsidRPr="00683FB0">
              <w:rPr>
                <w:rFonts w:ascii="Calibri" w:hAnsi="Calibri" w:cs="Calibri"/>
                <w:color w:val="000000"/>
                <w:szCs w:val="20"/>
              </w:rPr>
              <w:t>-13,82%</w:t>
            </w:r>
          </w:p>
        </w:tc>
        <w:tc>
          <w:tcPr>
            <w:tcW w:w="1080" w:type="dxa"/>
            <w:vAlign w:val="center"/>
          </w:tcPr>
          <w:p w14:paraId="31EE07FE" w14:textId="77777777" w:rsidR="00D12D7A" w:rsidRPr="00683FB0" w:rsidRDefault="00D12D7A" w:rsidP="000878F6">
            <w:pPr>
              <w:pStyle w:val="Table"/>
              <w:jc w:val="center"/>
              <w:rPr>
                <w:szCs w:val="20"/>
              </w:rPr>
            </w:pPr>
            <w:r w:rsidRPr="00683FB0">
              <w:rPr>
                <w:rFonts w:ascii="Calibri" w:hAnsi="Calibri" w:cs="Calibri"/>
                <w:color w:val="000000"/>
                <w:szCs w:val="20"/>
              </w:rPr>
              <w:t>-13,82%</w:t>
            </w:r>
          </w:p>
        </w:tc>
        <w:tc>
          <w:tcPr>
            <w:tcW w:w="990" w:type="dxa"/>
            <w:vAlign w:val="center"/>
          </w:tcPr>
          <w:p w14:paraId="13B55EC9" w14:textId="77777777" w:rsidR="00D12D7A" w:rsidRPr="00683FB0" w:rsidRDefault="00D12D7A" w:rsidP="000878F6">
            <w:pPr>
              <w:pStyle w:val="Table"/>
              <w:jc w:val="center"/>
              <w:rPr>
                <w:szCs w:val="20"/>
              </w:rPr>
            </w:pPr>
            <w:r w:rsidRPr="00683FB0">
              <w:rPr>
                <w:rFonts w:ascii="Calibri" w:hAnsi="Calibri" w:cs="Calibri"/>
                <w:color w:val="000000"/>
                <w:szCs w:val="20"/>
              </w:rPr>
              <w:t>38,57</w:t>
            </w:r>
          </w:p>
        </w:tc>
        <w:tc>
          <w:tcPr>
            <w:tcW w:w="1170" w:type="dxa"/>
            <w:vAlign w:val="center"/>
          </w:tcPr>
          <w:p w14:paraId="300211BF" w14:textId="77777777" w:rsidR="00D12D7A" w:rsidRPr="00683FB0" w:rsidRDefault="00D12D7A" w:rsidP="000878F6">
            <w:pPr>
              <w:pStyle w:val="Table"/>
              <w:jc w:val="center"/>
              <w:rPr>
                <w:szCs w:val="20"/>
              </w:rPr>
            </w:pPr>
            <w:r w:rsidRPr="00683FB0">
              <w:rPr>
                <w:rFonts w:ascii="Calibri" w:hAnsi="Calibri" w:cs="Calibri"/>
                <w:color w:val="000000"/>
                <w:szCs w:val="20"/>
              </w:rPr>
              <w:t>32,03</w:t>
            </w:r>
          </w:p>
        </w:tc>
        <w:tc>
          <w:tcPr>
            <w:tcW w:w="1312" w:type="dxa"/>
            <w:vAlign w:val="center"/>
          </w:tcPr>
          <w:p w14:paraId="5A6FA639" w14:textId="77777777" w:rsidR="00D12D7A" w:rsidRPr="00683FB0" w:rsidRDefault="00D12D7A" w:rsidP="000878F6">
            <w:pPr>
              <w:pStyle w:val="Table"/>
              <w:jc w:val="center"/>
              <w:rPr>
                <w:szCs w:val="20"/>
              </w:rPr>
            </w:pPr>
            <w:r w:rsidRPr="00683FB0">
              <w:rPr>
                <w:rFonts w:ascii="Calibri" w:hAnsi="Calibri" w:cs="Calibri"/>
                <w:color w:val="000000"/>
                <w:szCs w:val="20"/>
              </w:rPr>
              <w:t>23,9%</w:t>
            </w:r>
          </w:p>
        </w:tc>
        <w:tc>
          <w:tcPr>
            <w:tcW w:w="1275" w:type="dxa"/>
            <w:vAlign w:val="center"/>
          </w:tcPr>
          <w:p w14:paraId="0848D0BF" w14:textId="77777777" w:rsidR="00D12D7A" w:rsidRPr="00683FB0" w:rsidRDefault="00D12D7A" w:rsidP="000878F6">
            <w:pPr>
              <w:pStyle w:val="Table"/>
              <w:jc w:val="center"/>
              <w:rPr>
                <w:szCs w:val="20"/>
              </w:rPr>
            </w:pPr>
            <w:r w:rsidRPr="00683FB0">
              <w:rPr>
                <w:rFonts w:ascii="Calibri" w:hAnsi="Calibri" w:cs="Calibri"/>
                <w:color w:val="000000"/>
                <w:szCs w:val="20"/>
              </w:rPr>
              <w:t>19,8%</w:t>
            </w:r>
          </w:p>
        </w:tc>
      </w:tr>
      <w:tr w:rsidR="00D12D7A" w:rsidRPr="00683FB0" w14:paraId="17A786A1" w14:textId="77777777" w:rsidTr="00691DB4">
        <w:tc>
          <w:tcPr>
            <w:tcW w:w="2160" w:type="dxa"/>
          </w:tcPr>
          <w:p w14:paraId="0E06CABC" w14:textId="77777777" w:rsidR="00D12D7A" w:rsidRPr="00683FB0" w:rsidRDefault="00D12D7A" w:rsidP="000878F6">
            <w:pPr>
              <w:pStyle w:val="Table"/>
              <w:rPr>
                <w:szCs w:val="20"/>
              </w:rPr>
            </w:pPr>
            <w:r w:rsidRPr="00683FB0">
              <w:rPr>
                <w:szCs w:val="20"/>
              </w:rPr>
              <w:t>Water Effluent</w:t>
            </w:r>
          </w:p>
        </w:tc>
        <w:tc>
          <w:tcPr>
            <w:tcW w:w="1080" w:type="dxa"/>
            <w:vAlign w:val="center"/>
          </w:tcPr>
          <w:p w14:paraId="359C5A0D" w14:textId="77777777" w:rsidR="00D12D7A" w:rsidRPr="00683FB0" w:rsidRDefault="00D12D7A" w:rsidP="000878F6">
            <w:pPr>
              <w:pStyle w:val="Table"/>
              <w:jc w:val="center"/>
              <w:rPr>
                <w:szCs w:val="20"/>
              </w:rPr>
            </w:pPr>
            <w:r w:rsidRPr="00683FB0">
              <w:rPr>
                <w:rFonts w:ascii="Calibri" w:hAnsi="Calibri" w:cs="Calibri"/>
                <w:color w:val="000000"/>
                <w:szCs w:val="20"/>
              </w:rPr>
              <w:t>-12,20%</w:t>
            </w:r>
          </w:p>
        </w:tc>
        <w:tc>
          <w:tcPr>
            <w:tcW w:w="1080" w:type="dxa"/>
            <w:vAlign w:val="center"/>
          </w:tcPr>
          <w:p w14:paraId="4A3770B3" w14:textId="77777777" w:rsidR="00D12D7A" w:rsidRPr="00683FB0" w:rsidRDefault="00D12D7A" w:rsidP="000878F6">
            <w:pPr>
              <w:pStyle w:val="Table"/>
              <w:jc w:val="center"/>
              <w:rPr>
                <w:szCs w:val="20"/>
              </w:rPr>
            </w:pPr>
            <w:r w:rsidRPr="00683FB0">
              <w:rPr>
                <w:rFonts w:ascii="Calibri" w:hAnsi="Calibri" w:cs="Calibri"/>
                <w:color w:val="000000"/>
                <w:szCs w:val="20"/>
              </w:rPr>
              <w:t>-12,20%</w:t>
            </w:r>
          </w:p>
        </w:tc>
        <w:tc>
          <w:tcPr>
            <w:tcW w:w="990" w:type="dxa"/>
            <w:vAlign w:val="center"/>
          </w:tcPr>
          <w:p w14:paraId="4BEB63E9" w14:textId="77777777" w:rsidR="00D12D7A" w:rsidRPr="00683FB0" w:rsidRDefault="00D12D7A" w:rsidP="000878F6">
            <w:pPr>
              <w:pStyle w:val="Table"/>
              <w:jc w:val="center"/>
              <w:rPr>
                <w:szCs w:val="20"/>
              </w:rPr>
            </w:pPr>
            <w:r w:rsidRPr="00683FB0">
              <w:rPr>
                <w:rFonts w:ascii="Calibri" w:hAnsi="Calibri" w:cs="Calibri"/>
                <w:color w:val="000000"/>
                <w:szCs w:val="20"/>
              </w:rPr>
              <w:t>83,36</w:t>
            </w:r>
          </w:p>
        </w:tc>
        <w:tc>
          <w:tcPr>
            <w:tcW w:w="1170" w:type="dxa"/>
            <w:vAlign w:val="center"/>
          </w:tcPr>
          <w:p w14:paraId="2064B62A" w14:textId="77777777" w:rsidR="00D12D7A" w:rsidRPr="00683FB0" w:rsidRDefault="00D12D7A" w:rsidP="000878F6">
            <w:pPr>
              <w:pStyle w:val="Table"/>
              <w:jc w:val="center"/>
              <w:rPr>
                <w:szCs w:val="20"/>
              </w:rPr>
            </w:pPr>
            <w:r w:rsidRPr="00683FB0">
              <w:rPr>
                <w:rFonts w:ascii="Calibri" w:hAnsi="Calibri" w:cs="Calibri"/>
                <w:color w:val="000000"/>
                <w:szCs w:val="20"/>
              </w:rPr>
              <w:t>81,10</w:t>
            </w:r>
          </w:p>
        </w:tc>
        <w:tc>
          <w:tcPr>
            <w:tcW w:w="1312" w:type="dxa"/>
            <w:vAlign w:val="center"/>
          </w:tcPr>
          <w:p w14:paraId="52AD3EE6" w14:textId="77777777" w:rsidR="00D12D7A" w:rsidRPr="00683FB0" w:rsidRDefault="00D12D7A" w:rsidP="000878F6">
            <w:pPr>
              <w:pStyle w:val="Table"/>
              <w:jc w:val="center"/>
              <w:rPr>
                <w:szCs w:val="20"/>
              </w:rPr>
            </w:pPr>
            <w:r w:rsidRPr="00683FB0">
              <w:rPr>
                <w:rFonts w:ascii="Calibri" w:hAnsi="Calibri" w:cs="Calibri"/>
                <w:color w:val="000000"/>
                <w:szCs w:val="20"/>
              </w:rPr>
              <w:t>51,6%</w:t>
            </w:r>
          </w:p>
        </w:tc>
        <w:tc>
          <w:tcPr>
            <w:tcW w:w="1275" w:type="dxa"/>
            <w:vAlign w:val="center"/>
          </w:tcPr>
          <w:p w14:paraId="5B52EEFF" w14:textId="77777777" w:rsidR="00D12D7A" w:rsidRPr="00683FB0" w:rsidRDefault="00D12D7A" w:rsidP="000878F6">
            <w:pPr>
              <w:pStyle w:val="Table"/>
              <w:jc w:val="center"/>
              <w:rPr>
                <w:szCs w:val="20"/>
              </w:rPr>
            </w:pPr>
            <w:r w:rsidRPr="00683FB0">
              <w:rPr>
                <w:rFonts w:ascii="Calibri" w:hAnsi="Calibri" w:cs="Calibri"/>
                <w:color w:val="000000"/>
                <w:szCs w:val="20"/>
              </w:rPr>
              <w:t>50,2%</w:t>
            </w:r>
          </w:p>
        </w:tc>
      </w:tr>
      <w:tr w:rsidR="00D12D7A" w:rsidRPr="00683FB0" w14:paraId="5F0112BF" w14:textId="77777777" w:rsidTr="00691DB4">
        <w:tc>
          <w:tcPr>
            <w:tcW w:w="2160" w:type="dxa"/>
          </w:tcPr>
          <w:p w14:paraId="10E487BD" w14:textId="77777777" w:rsidR="00D12D7A" w:rsidRPr="00683FB0" w:rsidRDefault="00D12D7A" w:rsidP="000878F6">
            <w:pPr>
              <w:pStyle w:val="Table"/>
              <w:rPr>
                <w:szCs w:val="20"/>
              </w:rPr>
            </w:pPr>
            <w:r w:rsidRPr="00683FB0">
              <w:rPr>
                <w:szCs w:val="20"/>
              </w:rPr>
              <w:t>Minerals &amp; Aggregates</w:t>
            </w:r>
          </w:p>
        </w:tc>
        <w:tc>
          <w:tcPr>
            <w:tcW w:w="1080" w:type="dxa"/>
            <w:vAlign w:val="center"/>
          </w:tcPr>
          <w:p w14:paraId="2A380872" w14:textId="77777777" w:rsidR="00D12D7A" w:rsidRPr="00683FB0" w:rsidRDefault="00D12D7A" w:rsidP="000878F6">
            <w:pPr>
              <w:pStyle w:val="Table"/>
              <w:jc w:val="center"/>
              <w:rPr>
                <w:szCs w:val="20"/>
              </w:rPr>
            </w:pPr>
            <w:r w:rsidRPr="00683FB0">
              <w:rPr>
                <w:rFonts w:ascii="Calibri" w:hAnsi="Calibri" w:cs="Calibri"/>
                <w:color w:val="000000"/>
                <w:szCs w:val="20"/>
              </w:rPr>
              <w:t>-5,02%</w:t>
            </w:r>
          </w:p>
        </w:tc>
        <w:tc>
          <w:tcPr>
            <w:tcW w:w="1080" w:type="dxa"/>
            <w:vAlign w:val="center"/>
          </w:tcPr>
          <w:p w14:paraId="42A8CC63" w14:textId="77777777" w:rsidR="00D12D7A" w:rsidRPr="00683FB0" w:rsidRDefault="00D12D7A" w:rsidP="000878F6">
            <w:pPr>
              <w:pStyle w:val="Table"/>
              <w:jc w:val="center"/>
              <w:rPr>
                <w:szCs w:val="20"/>
              </w:rPr>
            </w:pPr>
            <w:r w:rsidRPr="00683FB0">
              <w:rPr>
                <w:rFonts w:ascii="Calibri" w:hAnsi="Calibri" w:cs="Calibri"/>
                <w:color w:val="000000"/>
                <w:szCs w:val="20"/>
              </w:rPr>
              <w:t>-5,02%</w:t>
            </w:r>
          </w:p>
        </w:tc>
        <w:tc>
          <w:tcPr>
            <w:tcW w:w="990" w:type="dxa"/>
            <w:vAlign w:val="center"/>
          </w:tcPr>
          <w:p w14:paraId="60B5DD09" w14:textId="77777777" w:rsidR="00D12D7A" w:rsidRPr="00683FB0" w:rsidRDefault="00D12D7A" w:rsidP="000878F6">
            <w:pPr>
              <w:pStyle w:val="Table"/>
              <w:jc w:val="center"/>
              <w:rPr>
                <w:szCs w:val="20"/>
              </w:rPr>
            </w:pPr>
            <w:r w:rsidRPr="00683FB0">
              <w:rPr>
                <w:rFonts w:ascii="Calibri" w:hAnsi="Calibri" w:cs="Calibri"/>
                <w:color w:val="000000"/>
                <w:szCs w:val="20"/>
              </w:rPr>
              <w:t>10,58</w:t>
            </w:r>
          </w:p>
        </w:tc>
        <w:tc>
          <w:tcPr>
            <w:tcW w:w="1170" w:type="dxa"/>
            <w:vAlign w:val="center"/>
          </w:tcPr>
          <w:p w14:paraId="3BED91C3" w14:textId="77777777" w:rsidR="00D12D7A" w:rsidRPr="00683FB0" w:rsidRDefault="00D12D7A" w:rsidP="000878F6">
            <w:pPr>
              <w:pStyle w:val="Table"/>
              <w:jc w:val="center"/>
              <w:rPr>
                <w:szCs w:val="20"/>
              </w:rPr>
            </w:pPr>
            <w:r w:rsidRPr="00683FB0">
              <w:rPr>
                <w:rFonts w:ascii="Calibri" w:hAnsi="Calibri" w:cs="Calibri"/>
                <w:color w:val="000000"/>
                <w:szCs w:val="20"/>
              </w:rPr>
              <w:t>9,98</w:t>
            </w:r>
          </w:p>
        </w:tc>
        <w:tc>
          <w:tcPr>
            <w:tcW w:w="1312" w:type="dxa"/>
            <w:vAlign w:val="center"/>
          </w:tcPr>
          <w:p w14:paraId="23FDCA78" w14:textId="77777777" w:rsidR="00D12D7A" w:rsidRPr="00683FB0" w:rsidRDefault="00D12D7A" w:rsidP="000878F6">
            <w:pPr>
              <w:pStyle w:val="Table"/>
              <w:jc w:val="center"/>
              <w:rPr>
                <w:szCs w:val="20"/>
              </w:rPr>
            </w:pPr>
            <w:r w:rsidRPr="00683FB0">
              <w:rPr>
                <w:rFonts w:ascii="Calibri" w:hAnsi="Calibri" w:cs="Calibri"/>
                <w:color w:val="000000"/>
                <w:szCs w:val="20"/>
              </w:rPr>
              <w:t>3,1%</w:t>
            </w:r>
          </w:p>
        </w:tc>
        <w:tc>
          <w:tcPr>
            <w:tcW w:w="1275" w:type="dxa"/>
            <w:vAlign w:val="center"/>
          </w:tcPr>
          <w:p w14:paraId="5A4D3542" w14:textId="77777777" w:rsidR="00D12D7A" w:rsidRPr="00683FB0" w:rsidRDefault="00D12D7A" w:rsidP="000878F6">
            <w:pPr>
              <w:pStyle w:val="Table"/>
              <w:jc w:val="center"/>
              <w:rPr>
                <w:szCs w:val="20"/>
              </w:rPr>
            </w:pPr>
            <w:r w:rsidRPr="00683FB0">
              <w:rPr>
                <w:rFonts w:ascii="Calibri" w:hAnsi="Calibri" w:cs="Calibri"/>
                <w:color w:val="000000"/>
                <w:szCs w:val="20"/>
              </w:rPr>
              <w:t>2,9%</w:t>
            </w:r>
          </w:p>
        </w:tc>
      </w:tr>
    </w:tbl>
    <w:p w14:paraId="1669B76D" w14:textId="77777777" w:rsidR="00D12D7A" w:rsidRPr="00D12D7A" w:rsidRDefault="00D12D7A" w:rsidP="00D12D7A"/>
    <w:p w14:paraId="71A08A29" w14:textId="6AAB2EBE" w:rsidR="00D12D7A" w:rsidRPr="00D12D7A" w:rsidRDefault="00D12D7A" w:rsidP="00D12D7A">
      <w:r w:rsidRPr="00D12D7A">
        <w:t xml:space="preserve">However, </w:t>
      </w:r>
      <w:r w:rsidRPr="00D12D7A">
        <w:rPr>
          <w:b/>
          <w:bCs/>
        </w:rPr>
        <w:t>feasibility and implementation challenges</w:t>
      </w:r>
      <w:r w:rsidRPr="00D12D7A">
        <w:t xml:space="preserve"> must be carefully managed. Croatia’s environmental tax administration is still developing, and data gaps persist, particularly for industrial discharges and resource extraction. Expanding taxation to new bases such as wastewater effluents, mineral extraction and fertilisers will require enhanced monitoring capacity and coordination between the Ministry of Economy and Sustainable Development, the Ministry of Finance and local authorities. Technical improvements in data reporting and digitalisation of permitting and monitoring systems would facilitate effective implementation.</w:t>
      </w:r>
    </w:p>
    <w:p w14:paraId="7943B4EA" w14:textId="3E140B16" w:rsidR="00D12D7A" w:rsidRPr="00D12D7A" w:rsidRDefault="00D12D7A" w:rsidP="00D12D7A">
      <w:r w:rsidRPr="00D12D7A">
        <w:t xml:space="preserve">In </w:t>
      </w:r>
      <w:r w:rsidRPr="00D12D7A">
        <w:rPr>
          <w:b/>
          <w:bCs/>
        </w:rPr>
        <w:t>distributional terms</w:t>
      </w:r>
      <w:r w:rsidRPr="00D12D7A">
        <w:t>, Croatia’s relatively high energy and utility cost burdens mean that new taxes affecting water abstraction or waste management could have a visible effect on household budgets. To mitigate potential regressivity, part of the additional revenues should be recycled through targeted compensation</w:t>
      </w:r>
      <w:r>
        <w:t xml:space="preserve">, </w:t>
      </w:r>
      <w:r w:rsidRPr="00D12D7A">
        <w:t>such as reduced social contributions, lump-sum rebates for low-income households or funding for energy and water efficiency improvements in residential buildings. Communication on the environmental and social benefits of these reforms would also be important to maintain public support.</w:t>
      </w:r>
    </w:p>
    <w:p w14:paraId="1C2BC9A5" w14:textId="75129E3A" w:rsidR="00D12D7A" w:rsidRPr="00D12D7A" w:rsidRDefault="00D12D7A" w:rsidP="00D12D7A">
      <w:r w:rsidRPr="00D12D7A">
        <w:t xml:space="preserve">From a </w:t>
      </w:r>
      <w:r w:rsidRPr="00D12D7A">
        <w:rPr>
          <w:b/>
          <w:bCs/>
        </w:rPr>
        <w:t>competitiveness perspective</w:t>
      </w:r>
      <w:r w:rsidRPr="00D12D7A">
        <w:t>, the sectors most likely to be affected include construction, manufacturing (notably building materials, chemicals and metals) and agriculture. While modest increases in environmental taxation are unlikely to affect overall competitiveness significantly, careful phasing and transitional support for eco-efficiency investments can help mitigate short-term cost impacts. Revenues can also be used to finance innovation in resource efficiency, waste recycling and cleaner production processes</w:t>
      </w:r>
      <w:r>
        <w:t xml:space="preserve">, </w:t>
      </w:r>
      <w:r w:rsidRPr="00D12D7A">
        <w:t>measures that will strengthen the long-term resilience of Croatian industry.</w:t>
      </w:r>
    </w:p>
    <w:p w14:paraId="56E383B9" w14:textId="77777777" w:rsidR="00D12D7A" w:rsidRPr="00D12D7A" w:rsidRDefault="00D12D7A" w:rsidP="00D12D7A">
      <w:r w:rsidRPr="00D12D7A">
        <w:t xml:space="preserve">Based on the modelling and national circumstances, the following </w:t>
      </w:r>
      <w:r w:rsidRPr="00D12D7A">
        <w:rPr>
          <w:b/>
          <w:bCs/>
        </w:rPr>
        <w:t>priority taxes</w:t>
      </w:r>
      <w:r w:rsidRPr="00D12D7A">
        <w:t xml:space="preserve"> could be considered for progressive implementation:</w:t>
      </w:r>
    </w:p>
    <w:p w14:paraId="714146AA" w14:textId="77777777" w:rsidR="00D12D7A" w:rsidRPr="00D12D7A" w:rsidRDefault="00D12D7A" w:rsidP="00D12D7A">
      <w:pPr>
        <w:pStyle w:val="Bulletlist"/>
      </w:pPr>
      <w:r w:rsidRPr="00D12D7A">
        <w:lastRenderedPageBreak/>
        <w:t xml:space="preserve">A </w:t>
      </w:r>
      <w:r w:rsidRPr="00D12D7A">
        <w:rPr>
          <w:b/>
          <w:bCs/>
        </w:rPr>
        <w:t>mineral extraction tax</w:t>
      </w:r>
      <w:r w:rsidRPr="00D12D7A">
        <w:t>, targeting gravel, sand and stone, where environmental pressures are high and current taxation is limited;</w:t>
      </w:r>
    </w:p>
    <w:p w14:paraId="7040EEA0" w14:textId="77777777" w:rsidR="00D12D7A" w:rsidRPr="00D12D7A" w:rsidRDefault="00D12D7A" w:rsidP="00D12D7A">
      <w:pPr>
        <w:pStyle w:val="Bulletlist"/>
      </w:pPr>
      <w:r w:rsidRPr="00D12D7A">
        <w:t xml:space="preserve">A </w:t>
      </w:r>
      <w:r w:rsidRPr="00D12D7A">
        <w:rPr>
          <w:b/>
          <w:bCs/>
        </w:rPr>
        <w:t>wastewater effluent tax</w:t>
      </w:r>
      <w:r w:rsidRPr="00D12D7A">
        <w:t>, aligned with the benchmark rate and designed to reduce untreated industrial and municipal discharges;</w:t>
      </w:r>
    </w:p>
    <w:p w14:paraId="060F6E88" w14:textId="77777777" w:rsidR="00D12D7A" w:rsidRPr="00D12D7A" w:rsidRDefault="00D12D7A" w:rsidP="00D12D7A">
      <w:pPr>
        <w:pStyle w:val="Bulletlist"/>
      </w:pPr>
      <w:r w:rsidRPr="00D12D7A">
        <w:t xml:space="preserve">A </w:t>
      </w:r>
      <w:r w:rsidRPr="00D12D7A">
        <w:rPr>
          <w:b/>
          <w:bCs/>
        </w:rPr>
        <w:t>fertiliser tax</w:t>
      </w:r>
      <w:r w:rsidRPr="00D12D7A">
        <w:t>, supporting more efficient nutrient management and reducing diffuse water pollution; and</w:t>
      </w:r>
    </w:p>
    <w:p w14:paraId="19101B5E" w14:textId="77777777" w:rsidR="00D12D7A" w:rsidRPr="00D12D7A" w:rsidRDefault="00D12D7A" w:rsidP="00D12D7A">
      <w:pPr>
        <w:pStyle w:val="Bulletlist"/>
      </w:pPr>
      <w:r w:rsidRPr="00D12D7A">
        <w:t xml:space="preserve">Further strengthening of </w:t>
      </w:r>
      <w:r w:rsidRPr="00D12D7A">
        <w:rPr>
          <w:b/>
          <w:bCs/>
        </w:rPr>
        <w:t>landfill taxation</w:t>
      </w:r>
      <w:r w:rsidRPr="00D12D7A">
        <w:t>, combined with investment in recycling infrastructure and waste separation.</w:t>
      </w:r>
    </w:p>
    <w:p w14:paraId="41D8EE9F" w14:textId="4C303274" w:rsidR="00D12D7A" w:rsidRPr="00D12D7A" w:rsidRDefault="00D12D7A" w:rsidP="00D12D7A">
      <w:r w:rsidRPr="00D12D7A">
        <w:t xml:space="preserve">To ensure smooth implementation, Croatia should adopt a </w:t>
      </w:r>
      <w:r w:rsidRPr="00D12D7A">
        <w:rPr>
          <w:b/>
          <w:bCs/>
        </w:rPr>
        <w:t>phased approach</w:t>
      </w:r>
      <w:r w:rsidRPr="00D12D7A">
        <w:t>, starting with sectors where monitoring and collection mechanisms already exist. Strengthening inter-ministerial coordination and ensuring consistency with EU waste and water directives will be essential. Consideration should also be given to earmarking part of the additional revenues to fund infrastructure investments in waste and water treatment</w:t>
      </w:r>
      <w:r>
        <w:t xml:space="preserve">, </w:t>
      </w:r>
      <w:r w:rsidRPr="00D12D7A">
        <w:t>measures that would directly reinforce the environmental objectives of the taxes themselves.</w:t>
      </w:r>
    </w:p>
    <w:p w14:paraId="66F560A5" w14:textId="712976A6" w:rsidR="002169B7" w:rsidRPr="00F419A7" w:rsidRDefault="00D12D7A" w:rsidP="00670FE8">
      <w:r w:rsidRPr="00D12D7A">
        <w:t>In conclusion, Croatia is well positioned to expand its environmental taxation base and realise meaningful environmental and fiscal benefits. While institutional capacity and affordability constraints remain important considerations, these can be effectively addressed through gradual implementation, transparent revenue recycling and targeted support for both households and affected industries. If managed carefully, environmental tax reform could play a central role in advancing Croatia’s green transition and fiscal modernisation while maintaining social fairness and competitiveness.</w:t>
      </w:r>
    </w:p>
    <w:p w14:paraId="1C2391EE" w14:textId="080A9668" w:rsidR="00F83E65" w:rsidRPr="00EA4C9B" w:rsidRDefault="00F83E65" w:rsidP="003B77C1">
      <w:pPr>
        <w:pStyle w:val="AnnexHeading1"/>
        <w:ind w:hanging="1211"/>
      </w:pPr>
      <w:bookmarkStart w:id="138" w:name="_Toc214008848"/>
      <w:r w:rsidRPr="00EA4C9B">
        <w:t>Cyprus</w:t>
      </w:r>
      <w:bookmarkEnd w:id="138"/>
      <w:r w:rsidRPr="00EA4C9B">
        <w:t> </w:t>
      </w:r>
    </w:p>
    <w:p w14:paraId="7D834E2C" w14:textId="77777777" w:rsidR="00392FDA" w:rsidRDefault="00392FDA" w:rsidP="007C4EB7">
      <w:pPr>
        <w:pStyle w:val="AnnexHeading2"/>
      </w:pPr>
      <w:bookmarkStart w:id="139" w:name="_Toc214008849"/>
      <w:r w:rsidRPr="00EA4C9B">
        <w:t>Overview of existing environmental taxes</w:t>
      </w:r>
      <w:bookmarkEnd w:id="139"/>
    </w:p>
    <w:p w14:paraId="315AD7C9" w14:textId="2B639EAD" w:rsidR="00392FDA" w:rsidRPr="00EA4C9B" w:rsidRDefault="00691DB4" w:rsidP="00392FDA">
      <w:pPr>
        <w:rPr>
          <w:lang w:eastAsia="en-GB"/>
        </w:rPr>
      </w:pPr>
      <w:r w:rsidRPr="00691DB4">
        <w:rPr>
          <w:lang w:eastAsia="en-GB"/>
        </w:rPr>
        <w:t xml:space="preserve">Environmental taxes in Cyprus amounted to 2.1% of GDP in 2023, close to the EU average. Although revenues have grown in absolute terms over the past 15 years, their relative weight in the economy has fallen. Total environmental tax revenue reached EUR 619 million in real terms in 2023 </w:t>
      </w:r>
      <w:r w:rsidRPr="00EA1EC6">
        <w:t>(</w:t>
      </w:r>
      <w:r w:rsidRPr="00EA1EC6">
        <w:fldChar w:fldCharType="begin"/>
      </w:r>
      <w:r w:rsidRPr="00EA1EC6">
        <w:instrText xml:space="preserve"> REF _Ref201234687 \h  \* MERGEFORMAT </w:instrText>
      </w:r>
      <w:r w:rsidRPr="00EA1EC6">
        <w:fldChar w:fldCharType="separate"/>
      </w:r>
      <w:r w:rsidRPr="00463CF5">
        <w:t xml:space="preserve">Figure </w:t>
      </w:r>
      <w:r>
        <w:t>A6</w:t>
      </w:r>
      <w:r w:rsidRPr="00463CF5">
        <w:t>-13</w:t>
      </w:r>
      <w:r w:rsidRPr="00EA1EC6">
        <w:fldChar w:fldCharType="end"/>
      </w:r>
      <w:r w:rsidRPr="00691DB4">
        <w:rPr>
          <w:lang w:eastAsia="en-GB"/>
        </w:rPr>
        <w:t>), an increase of 20.3% since 2009 (</w:t>
      </w:r>
      <w:r w:rsidRPr="00DF3E7C">
        <w:fldChar w:fldCharType="begin"/>
      </w:r>
      <w:r w:rsidRPr="00DF3E7C">
        <w:instrText xml:space="preserve"> REF _Ref201234714 \h  \* MERGEFORMAT </w:instrText>
      </w:r>
      <w:r w:rsidRPr="00DF3E7C">
        <w:fldChar w:fldCharType="separate"/>
      </w:r>
      <w:r w:rsidRPr="001C6086">
        <w:t xml:space="preserve">Figure </w:t>
      </w:r>
      <w:r>
        <w:t>A6</w:t>
      </w:r>
      <w:r w:rsidRPr="001C6086">
        <w:t>-14</w:t>
      </w:r>
      <w:r w:rsidRPr="00DF3E7C">
        <w:fldChar w:fldCharType="end"/>
      </w:r>
      <w:r w:rsidRPr="00691DB4">
        <w:rPr>
          <w:lang w:eastAsia="en-GB"/>
        </w:rPr>
        <w:t>). Over the same period, however, the ratio of environmental taxes to GDP declined by 24.1%. In 2023, energy and transport taxes accounted for around 71.4% and 17.8% of total environmental tax revenues, while pollution and resource taxes contributed 9.1% and 1.7% respectively.</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92FDA" w:rsidRPr="00EA4C9B" w14:paraId="218A888F" w14:textId="77777777" w:rsidTr="00BA7936">
        <w:tc>
          <w:tcPr>
            <w:tcW w:w="9016" w:type="dxa"/>
          </w:tcPr>
          <w:p w14:paraId="0514FFC8" w14:textId="77777777" w:rsidR="00392FDA" w:rsidRPr="00EA4C9B" w:rsidRDefault="00392FDA">
            <w:pPr>
              <w:spacing w:after="0"/>
              <w:rPr>
                <w:sz w:val="10"/>
                <w:szCs w:val="10"/>
              </w:rPr>
            </w:pPr>
          </w:p>
          <w:p w14:paraId="11A55342" w14:textId="77777777" w:rsidR="00392FDA" w:rsidRPr="00EA4C9B" w:rsidRDefault="00392FDA">
            <w:pPr>
              <w:spacing w:after="0"/>
              <w:jc w:val="center"/>
              <w:rPr>
                <w:sz w:val="10"/>
                <w:szCs w:val="10"/>
              </w:rPr>
            </w:pPr>
            <w:r w:rsidRPr="00EA4C9B">
              <w:rPr>
                <w:noProof/>
              </w:rPr>
              <w:drawing>
                <wp:inline distT="0" distB="0" distL="0" distR="0" wp14:anchorId="7DB2DE71" wp14:editId="520C928E">
                  <wp:extent cx="5608132" cy="1225399"/>
                  <wp:effectExtent l="0" t="0" r="0" b="0"/>
                  <wp:docPr id="166387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608132" cy="1225399"/>
                          </a:xfrm>
                          <a:prstGeom prst="rect">
                            <a:avLst/>
                          </a:prstGeom>
                        </pic:spPr>
                      </pic:pic>
                    </a:graphicData>
                  </a:graphic>
                </wp:inline>
              </w:drawing>
            </w:r>
          </w:p>
          <w:p w14:paraId="0E77B5EA" w14:textId="77777777" w:rsidR="00392FDA" w:rsidRPr="00EA4C9B" w:rsidRDefault="00392FDA">
            <w:pPr>
              <w:spacing w:after="0"/>
              <w:jc w:val="center"/>
              <w:rPr>
                <w:sz w:val="10"/>
                <w:szCs w:val="10"/>
              </w:rPr>
            </w:pPr>
          </w:p>
        </w:tc>
      </w:tr>
      <w:tr w:rsidR="00392FDA" w:rsidRPr="00EA4C9B" w14:paraId="1CEEDCC1" w14:textId="77777777" w:rsidTr="00BA7936">
        <w:tc>
          <w:tcPr>
            <w:tcW w:w="9016" w:type="dxa"/>
            <w:shd w:val="clear" w:color="auto" w:fill="003399"/>
          </w:tcPr>
          <w:p w14:paraId="5AA5926A" w14:textId="49C3942C" w:rsidR="00392FDA" w:rsidRPr="00EA4C9B" w:rsidRDefault="004D4585" w:rsidP="001C6086">
            <w:pPr>
              <w:pStyle w:val="FigTabCaption"/>
            </w:pPr>
            <w:bookmarkStart w:id="140" w:name="_Ref201234687"/>
            <w:r w:rsidRPr="00EA4C9B">
              <w:t xml:space="preserve">Figure </w:t>
            </w:r>
            <w:r w:rsidR="00490085">
              <w:t>A6</w:t>
            </w:r>
            <w:r w:rsidRPr="00EA4C9B">
              <w:t>-</w:t>
            </w:r>
            <w:r>
              <w:fldChar w:fldCharType="begin"/>
            </w:r>
            <w:r>
              <w:instrText>SEQ Figure_A5- \* ARABIC</w:instrText>
            </w:r>
            <w:r>
              <w:fldChar w:fldCharType="separate"/>
            </w:r>
            <w:r w:rsidR="001C6086">
              <w:rPr>
                <w:noProof/>
              </w:rPr>
              <w:t>13</w:t>
            </w:r>
            <w:r>
              <w:fldChar w:fldCharType="end"/>
            </w:r>
            <w:bookmarkEnd w:id="140"/>
            <w:r w:rsidR="00392FDA" w:rsidRPr="00EA4C9B">
              <w:t>: Total environmental tax revenue in Cyprus (2009-2023) in million euros</w:t>
            </w:r>
          </w:p>
        </w:tc>
      </w:tr>
    </w:tbl>
    <w:p w14:paraId="630D863D" w14:textId="6E358733" w:rsidR="00392FDA" w:rsidRPr="00EA4C9B" w:rsidRDefault="00392FDA" w:rsidP="00392FDA">
      <w:r w:rsidRPr="00EA4C9B">
        <w:br/>
      </w:r>
      <w:r w:rsidR="009B01F8" w:rsidRPr="009B01F8">
        <w:t xml:space="preserve">In 2023, total tax revenue (including net social contributions) accounted for 38.6% of Cyprus’s GDP, an increase of </w:t>
      </w:r>
      <w:r w:rsidR="009B01F8" w:rsidRPr="009B01F8">
        <w:rPr>
          <w:b/>
          <w:bCs/>
        </w:rPr>
        <w:t>4.7 percentage points</w:t>
      </w:r>
      <w:r w:rsidR="009B01F8" w:rsidRPr="009B01F8">
        <w:t xml:space="preserve"> compared with 2009. Environmental taxes represented 5.5% of total tax revenue in 2023, down from 8.2% in 2009, a decline of </w:t>
      </w:r>
      <w:r w:rsidR="009B01F8" w:rsidRPr="009B01F8">
        <w:rPr>
          <w:b/>
          <w:bCs/>
        </w:rPr>
        <w:t>2.7 percentage points</w:t>
      </w:r>
      <w:r w:rsidR="009B01F8" w:rsidRPr="009B01F8">
        <w:t xml:space="preserve"> over the period. Within this overall reduction, transport tax revenues recorded the sharpest fall, decreasing by </w:t>
      </w:r>
      <w:r w:rsidR="009B01F8" w:rsidRPr="009B01F8">
        <w:rPr>
          <w:b/>
          <w:bCs/>
        </w:rPr>
        <w:t>71.1%</w:t>
      </w:r>
      <w:r w:rsidR="009B01F8" w:rsidRPr="009B01F8">
        <w:t xml:space="preserve"> in absolute terms.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92FDA" w:rsidRPr="00EA4C9B" w14:paraId="7901166C" w14:textId="77777777" w:rsidTr="00BA7936">
        <w:tc>
          <w:tcPr>
            <w:tcW w:w="9016" w:type="dxa"/>
          </w:tcPr>
          <w:p w14:paraId="5B62AB0F" w14:textId="77777777" w:rsidR="00392FDA" w:rsidRPr="00EA4C9B" w:rsidRDefault="00392FDA">
            <w:pPr>
              <w:spacing w:after="0"/>
              <w:jc w:val="center"/>
              <w:rPr>
                <w:sz w:val="10"/>
                <w:szCs w:val="10"/>
              </w:rPr>
            </w:pPr>
          </w:p>
          <w:p w14:paraId="73494FF6" w14:textId="77777777" w:rsidR="00392FDA" w:rsidRPr="00EA4C9B" w:rsidRDefault="00392FDA">
            <w:pPr>
              <w:spacing w:after="0"/>
              <w:jc w:val="center"/>
              <w:rPr>
                <w:sz w:val="10"/>
                <w:szCs w:val="10"/>
              </w:rPr>
            </w:pPr>
            <w:r w:rsidRPr="00EA4C9B">
              <w:rPr>
                <w:noProof/>
                <w:sz w:val="10"/>
                <w:szCs w:val="10"/>
              </w:rPr>
              <w:drawing>
                <wp:inline distT="0" distB="0" distL="0" distR="0" wp14:anchorId="475F3504" wp14:editId="2A81B5B8">
                  <wp:extent cx="5600905" cy="1877822"/>
                  <wp:effectExtent l="0" t="0" r="0" b="1905"/>
                  <wp:docPr id="1280880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00597" name="Picture 2"/>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600905" cy="1877822"/>
                          </a:xfrm>
                          <a:prstGeom prst="rect">
                            <a:avLst/>
                          </a:prstGeom>
                        </pic:spPr>
                      </pic:pic>
                    </a:graphicData>
                  </a:graphic>
                </wp:inline>
              </w:drawing>
            </w:r>
          </w:p>
          <w:p w14:paraId="5E8D97B0" w14:textId="77777777" w:rsidR="00392FDA" w:rsidRPr="00EA4C9B" w:rsidRDefault="00392FDA">
            <w:pPr>
              <w:spacing w:after="0"/>
              <w:jc w:val="center"/>
              <w:rPr>
                <w:sz w:val="10"/>
                <w:szCs w:val="10"/>
              </w:rPr>
            </w:pPr>
          </w:p>
        </w:tc>
      </w:tr>
      <w:tr w:rsidR="00392FDA" w:rsidRPr="00EA4C9B" w14:paraId="018AE1B8" w14:textId="77777777" w:rsidTr="00BA7936">
        <w:tc>
          <w:tcPr>
            <w:tcW w:w="9016" w:type="dxa"/>
            <w:shd w:val="clear" w:color="auto" w:fill="003399"/>
          </w:tcPr>
          <w:p w14:paraId="39C6251F" w14:textId="1E392285" w:rsidR="00392FDA" w:rsidRPr="00EA4C9B" w:rsidRDefault="004D4585" w:rsidP="001C6086">
            <w:pPr>
              <w:pStyle w:val="FigTabCaption"/>
            </w:pPr>
            <w:bookmarkStart w:id="141" w:name="_Ref201234714"/>
            <w:r w:rsidRPr="00EA4C9B">
              <w:t xml:space="preserve">Figure </w:t>
            </w:r>
            <w:r w:rsidR="00490085">
              <w:t>A6</w:t>
            </w:r>
            <w:r w:rsidRPr="00EA4C9B">
              <w:t>-</w:t>
            </w:r>
            <w:r>
              <w:fldChar w:fldCharType="begin"/>
            </w:r>
            <w:r>
              <w:instrText>SEQ Figure_A5- \* ARABIC</w:instrText>
            </w:r>
            <w:r>
              <w:fldChar w:fldCharType="separate"/>
            </w:r>
            <w:r w:rsidR="00463CF5">
              <w:rPr>
                <w:noProof/>
              </w:rPr>
              <w:t>14</w:t>
            </w:r>
            <w:r>
              <w:fldChar w:fldCharType="end"/>
            </w:r>
            <w:bookmarkEnd w:id="141"/>
            <w:r w:rsidR="00392FDA" w:rsidRPr="00EA4C9B">
              <w:t>: Fifteen-year (2009-2023) change in absolute terms and change as GDP-ratio of the revenues of energy taxes, transport taxes, resource taxes and total environmental taxes in Cyprus. Pollution taxes were not included, as these only started generating revenue in 2022.</w:t>
            </w:r>
            <w:r w:rsidR="009408D1">
              <w:t xml:space="preserve"> </w:t>
            </w:r>
            <w:r w:rsidR="009408D1" w:rsidRPr="00EA4C9B">
              <w:rPr>
                <w:rStyle w:val="FootnoteReference"/>
                <w:rFonts w:ascii="Calibri" w:eastAsia="Aptos" w:hAnsi="Calibri" w:cs="Calibri"/>
                <w:kern w:val="2"/>
                <w14:ligatures w14:val="standardContextual"/>
              </w:rPr>
              <w:footnoteReference w:id="177"/>
            </w:r>
          </w:p>
        </w:tc>
      </w:tr>
    </w:tbl>
    <w:p w14:paraId="4801FFF3" w14:textId="1C278537" w:rsidR="00392FDA" w:rsidRPr="00EA4C9B" w:rsidRDefault="00392FDA" w:rsidP="00392FDA">
      <w:r w:rsidRPr="00EA4C9B">
        <w:br/>
      </w:r>
      <w:r w:rsidR="00B45125" w:rsidRPr="00B45125">
        <w:t>Over the past decade, Cyprus has seen an increase in environmental tax revenues in absolute terms, driven largely by growth in resource and pollution taxes. However, when measured relative to GDP or as a share of total tax revenue, environmental taxes have in fact declined, indicating that their weight in the overall tax system has diminished despite nominal growth.</w:t>
      </w:r>
    </w:p>
    <w:p w14:paraId="0FC4D849" w14:textId="77777777" w:rsidR="00392FDA" w:rsidRPr="00EA4C9B" w:rsidRDefault="00392FDA" w:rsidP="007C4EB7">
      <w:pPr>
        <w:pStyle w:val="AnnexHeading2"/>
      </w:pPr>
      <w:bookmarkStart w:id="142" w:name="_Toc214008850"/>
      <w:r w:rsidRPr="00EA4C9B">
        <w:t>Existing pollution and resource taxes</w:t>
      </w:r>
      <w:bookmarkEnd w:id="142"/>
    </w:p>
    <w:p w14:paraId="0DAA20A5" w14:textId="24F2EF51" w:rsidR="00392FDA" w:rsidRPr="00EA4C9B" w:rsidRDefault="00392FDA" w:rsidP="00392FDA">
      <w:r w:rsidRPr="00EA4C9B">
        <w:t>In 2023, pollution and resource tax revenues reached respectively 54.4 and 12.4 million euros. This amounts to an increase in absolute terms of 109.8% of resource taxes over 15 years (2009-2023), while pollution taxes were only introduced in 2022. However, in terms of GDP-ratios, resources taxes increased only by 32.3% (</w:t>
      </w:r>
      <w:r w:rsidR="00DF3E7C" w:rsidRPr="00DF3E7C">
        <w:fldChar w:fldCharType="begin"/>
      </w:r>
      <w:r w:rsidR="00DF3E7C" w:rsidRPr="00DF3E7C">
        <w:instrText xml:space="preserve"> REF _Ref201234714 \h  \* MERGEFORMAT </w:instrText>
      </w:r>
      <w:r w:rsidR="00DF3E7C" w:rsidRPr="00DF3E7C">
        <w:fldChar w:fldCharType="separate"/>
      </w:r>
      <w:r w:rsidR="00A129DD" w:rsidRPr="00EA4C9B">
        <w:t xml:space="preserve">Figure </w:t>
      </w:r>
      <w:r w:rsidR="00490085">
        <w:t>A6</w:t>
      </w:r>
      <w:r w:rsidR="00A129DD" w:rsidRPr="00EA4C9B">
        <w:t>-</w:t>
      </w:r>
      <w:r w:rsidR="00A129DD">
        <w:t>14</w:t>
      </w:r>
      <w:r w:rsidR="00DF3E7C" w:rsidRPr="00DF3E7C">
        <w:fldChar w:fldCharType="end"/>
      </w:r>
      <w:r w:rsidRPr="00DF3E7C">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92FDA" w:rsidRPr="00EA4C9B" w14:paraId="3BCCEBC2" w14:textId="77777777" w:rsidTr="00BA7936">
        <w:tc>
          <w:tcPr>
            <w:tcW w:w="9016" w:type="dxa"/>
          </w:tcPr>
          <w:p w14:paraId="52B30F4A" w14:textId="77777777" w:rsidR="00392FDA" w:rsidRPr="00EA4C9B" w:rsidRDefault="00392FDA">
            <w:pPr>
              <w:spacing w:after="0"/>
              <w:jc w:val="center"/>
              <w:rPr>
                <w:sz w:val="10"/>
                <w:szCs w:val="10"/>
              </w:rPr>
            </w:pPr>
          </w:p>
          <w:p w14:paraId="3A5E704F" w14:textId="77777777" w:rsidR="00392FDA" w:rsidRPr="00EA4C9B" w:rsidRDefault="00392FDA">
            <w:pPr>
              <w:spacing w:after="0"/>
              <w:jc w:val="center"/>
              <w:rPr>
                <w:sz w:val="10"/>
                <w:szCs w:val="10"/>
              </w:rPr>
            </w:pPr>
            <w:r w:rsidRPr="00EA4C9B">
              <w:rPr>
                <w:noProof/>
                <w:sz w:val="10"/>
                <w:szCs w:val="10"/>
              </w:rPr>
              <w:drawing>
                <wp:inline distT="0" distB="0" distL="0" distR="0" wp14:anchorId="4D251076" wp14:editId="21F556AF">
                  <wp:extent cx="5583663" cy="1355614"/>
                  <wp:effectExtent l="0" t="0" r="0" b="3810"/>
                  <wp:docPr id="107481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64072" name="Picture 4"/>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592938" cy="1357866"/>
                          </a:xfrm>
                          <a:prstGeom prst="rect">
                            <a:avLst/>
                          </a:prstGeom>
                        </pic:spPr>
                      </pic:pic>
                    </a:graphicData>
                  </a:graphic>
                </wp:inline>
              </w:drawing>
            </w:r>
          </w:p>
          <w:p w14:paraId="54076C27" w14:textId="77777777" w:rsidR="00392FDA" w:rsidRPr="00EA4C9B" w:rsidRDefault="00392FDA">
            <w:pPr>
              <w:spacing w:after="0"/>
              <w:jc w:val="center"/>
              <w:rPr>
                <w:sz w:val="10"/>
                <w:szCs w:val="10"/>
              </w:rPr>
            </w:pPr>
          </w:p>
        </w:tc>
      </w:tr>
      <w:tr w:rsidR="00392FDA" w:rsidRPr="00EA4C9B" w14:paraId="46B07DB9" w14:textId="77777777" w:rsidTr="00BA7936">
        <w:tc>
          <w:tcPr>
            <w:tcW w:w="9016" w:type="dxa"/>
            <w:shd w:val="clear" w:color="auto" w:fill="003399"/>
          </w:tcPr>
          <w:p w14:paraId="3F7D5847" w14:textId="55C45F91" w:rsidR="00392FDA" w:rsidRPr="00EA4C9B" w:rsidRDefault="004D4585" w:rsidP="001C6086">
            <w:pPr>
              <w:pStyle w:val="FigTabCaption"/>
            </w:pPr>
            <w:r w:rsidRPr="00EA4C9B">
              <w:t xml:space="preserve">Figure </w:t>
            </w:r>
            <w:r w:rsidR="00490085">
              <w:t>A6</w:t>
            </w:r>
            <w:r w:rsidRPr="00EA4C9B">
              <w:t>-</w:t>
            </w:r>
            <w:r>
              <w:fldChar w:fldCharType="begin"/>
            </w:r>
            <w:r>
              <w:instrText>SEQ Figure_A5- \* ARABIC</w:instrText>
            </w:r>
            <w:r>
              <w:fldChar w:fldCharType="separate"/>
            </w:r>
            <w:r w:rsidR="0091411A">
              <w:rPr>
                <w:noProof/>
              </w:rPr>
              <w:t>15</w:t>
            </w:r>
            <w:r>
              <w:fldChar w:fldCharType="end"/>
            </w:r>
            <w:r w:rsidR="00392FDA" w:rsidRPr="00EA4C9B">
              <w:t xml:space="preserve">: Resource and pollution tax revenues in Cyprus (2009-2023) in million euros. </w:t>
            </w:r>
            <w:r w:rsidR="00392FDA" w:rsidRPr="00EA4C9B">
              <w:rPr>
                <w:i/>
                <w:iCs/>
              </w:rPr>
              <w:t>Note: the share between pollution and resource taxes in 2023 was estimated as the weighted average of past year</w:t>
            </w:r>
            <w:r w:rsidR="00392FDA" w:rsidRPr="00EA4C9B">
              <w:t> </w:t>
            </w:r>
          </w:p>
        </w:tc>
      </w:tr>
    </w:tbl>
    <w:p w14:paraId="1E09C4CD" w14:textId="77777777" w:rsidR="00B80564" w:rsidRDefault="00B80564" w:rsidP="00B80564">
      <w:pPr>
        <w:pStyle w:val="Heading4"/>
      </w:pPr>
      <w:r w:rsidRPr="00EA4C9B">
        <w:t xml:space="preserve">List of </w:t>
      </w:r>
      <w:r>
        <w:t>pollution and resource</w:t>
      </w:r>
      <w:r w:rsidRPr="00EA4C9B">
        <w:t xml:space="preserve"> taxes and revenue shares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392FDA" w:rsidRPr="00EA4C9B" w14:paraId="043DEDBE" w14:textId="77777777" w:rsidTr="004F0767">
        <w:trPr>
          <w:trHeight w:val="147"/>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10CC2F44" w14:textId="4AA9783F" w:rsidR="00392FDA" w:rsidRPr="00DE2A9E" w:rsidRDefault="004D4585" w:rsidP="00DE2A9E">
            <w:pPr>
              <w:pStyle w:val="Caption"/>
              <w:jc w:val="both"/>
              <w:rPr>
                <w:rFonts w:ascii="Times New Roman" w:eastAsia="Times New Roman" w:hAnsi="Times New Roman" w:cs="Times New Roman"/>
                <w:color w:val="FFFFFF" w:themeColor="background1"/>
                <w:sz w:val="24"/>
                <w:lang w:eastAsia="en-GB"/>
              </w:rPr>
            </w:pPr>
            <w:r w:rsidRPr="00DE2A9E">
              <w:rPr>
                <w:color w:val="FFFFFF" w:themeColor="background1"/>
              </w:rPr>
              <w:t xml:space="preserve">Table </w:t>
            </w:r>
            <w:r w:rsidR="00490085">
              <w:rPr>
                <w:color w:val="FFFFFF" w:themeColor="background1"/>
              </w:rPr>
              <w:t>A6</w:t>
            </w:r>
            <w:r w:rsidR="00DE2A9E" w:rsidRPr="00DE2A9E">
              <w:rPr>
                <w:color w:val="FFFFFF" w:themeColor="background1"/>
              </w:rPr>
              <w:t>-</w:t>
            </w:r>
            <w:r w:rsidR="00DE2A9E" w:rsidRPr="00DE2A9E">
              <w:rPr>
                <w:color w:val="FFFFFF" w:themeColor="background1"/>
              </w:rPr>
              <w:fldChar w:fldCharType="begin"/>
            </w:r>
            <w:r w:rsidR="00DE2A9E" w:rsidRPr="00DE2A9E">
              <w:rPr>
                <w:color w:val="FFFFFF" w:themeColor="background1"/>
              </w:rPr>
              <w:instrText xml:space="preserve"> SEQ Table_A5- \* ARABIC </w:instrText>
            </w:r>
            <w:r w:rsidR="00DE2A9E" w:rsidRPr="00DE2A9E">
              <w:rPr>
                <w:color w:val="FFFFFF" w:themeColor="background1"/>
              </w:rPr>
              <w:fldChar w:fldCharType="separate"/>
            </w:r>
            <w:r w:rsidR="00B80564">
              <w:rPr>
                <w:noProof/>
                <w:color w:val="FFFFFF" w:themeColor="background1"/>
              </w:rPr>
              <w:t>27</w:t>
            </w:r>
            <w:r w:rsidR="00DE2A9E" w:rsidRPr="00DE2A9E">
              <w:rPr>
                <w:color w:val="FFFFFF" w:themeColor="background1"/>
              </w:rPr>
              <w:fldChar w:fldCharType="end"/>
            </w:r>
            <w:r w:rsidR="00392FDA" w:rsidRPr="00DE2A9E">
              <w:rPr>
                <w:rFonts w:ascii="Calibri" w:eastAsia="Times New Roman" w:hAnsi="Calibri" w:cs="Calibri"/>
                <w:color w:val="FFFFFF" w:themeColor="background1"/>
                <w:szCs w:val="20"/>
                <w:lang w:eastAsia="en-GB"/>
              </w:rPr>
              <w:t>:  Waste taxes </w:t>
            </w:r>
          </w:p>
        </w:tc>
      </w:tr>
      <w:tr w:rsidR="00392FDA" w:rsidRPr="00EA4C9B" w14:paraId="6D64F846" w14:textId="77777777" w:rsidTr="004F0767">
        <w:trPr>
          <w:trHeight w:val="76"/>
        </w:trPr>
        <w:tc>
          <w:tcPr>
            <w:tcW w:w="3497" w:type="dxa"/>
            <w:tcBorders>
              <w:top w:val="single" w:sz="6" w:space="0" w:color="auto"/>
              <w:left w:val="single" w:sz="6" w:space="0" w:color="auto"/>
              <w:bottom w:val="single" w:sz="6" w:space="0" w:color="auto"/>
              <w:right w:val="single" w:sz="6" w:space="0" w:color="auto"/>
            </w:tcBorders>
            <w:hideMark/>
          </w:tcPr>
          <w:p w14:paraId="56D641AD" w14:textId="77777777" w:rsidR="00392FDA" w:rsidRPr="00EA4C9B" w:rsidRDefault="00392FDA">
            <w:pPr>
              <w:spacing w:after="0"/>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b/>
                <w:bCs/>
                <w:sz w:val="20"/>
                <w:szCs w:val="20"/>
                <w:lang w:eastAsia="en-GB"/>
              </w:rPr>
              <w:t>Tax Name</w:t>
            </w:r>
            <w:r w:rsidRPr="00EA4C9B">
              <w:rPr>
                <w:rFonts w:ascii="Calibri" w:eastAsia="Times New Roman" w:hAnsi="Calibri" w:cs="Calibri"/>
                <w:sz w:val="20"/>
                <w:szCs w:val="20"/>
                <w:lang w:eastAsia="en-GB"/>
              </w:rPr>
              <w:t> </w:t>
            </w:r>
          </w:p>
        </w:tc>
        <w:tc>
          <w:tcPr>
            <w:tcW w:w="1718" w:type="dxa"/>
            <w:tcBorders>
              <w:top w:val="single" w:sz="6" w:space="0" w:color="auto"/>
              <w:left w:val="single" w:sz="6" w:space="0" w:color="auto"/>
              <w:bottom w:val="single" w:sz="6" w:space="0" w:color="auto"/>
              <w:right w:val="single" w:sz="6" w:space="0" w:color="auto"/>
            </w:tcBorders>
          </w:tcPr>
          <w:p w14:paraId="74A277C4" w14:textId="77777777" w:rsidR="00392FDA" w:rsidRPr="00EA4C9B" w:rsidRDefault="00392FDA">
            <w:pPr>
              <w:spacing w:after="0"/>
              <w:jc w:val="center"/>
              <w:textAlignment w:val="baseline"/>
              <w:rPr>
                <w:rFonts w:ascii="Calibri" w:eastAsia="Times New Roman" w:hAnsi="Calibri" w:cs="Calibri"/>
                <w:b/>
                <w:bCs/>
                <w:sz w:val="20"/>
                <w:szCs w:val="20"/>
                <w:lang w:eastAsia="en-GB"/>
              </w:rPr>
            </w:pPr>
            <w:r w:rsidRPr="00EA4C9B">
              <w:rPr>
                <w:rFonts w:ascii="Calibri" w:eastAsia="Times New Roman" w:hAnsi="Calibri" w:cs="Calibri"/>
                <w:b/>
                <w:bCs/>
                <w:sz w:val="20"/>
                <w:szCs w:val="20"/>
                <w:lang w:eastAsia="en-GB"/>
              </w:rPr>
              <w:t>Revenue (€ million)</w:t>
            </w:r>
          </w:p>
          <w:p w14:paraId="17D985F4" w14:textId="77777777" w:rsidR="00392FDA" w:rsidRPr="00EA4C9B" w:rsidRDefault="00392FDA">
            <w:pPr>
              <w:spacing w:after="0"/>
              <w:jc w:val="center"/>
              <w:textAlignment w:val="baseline"/>
              <w:rPr>
                <w:rFonts w:ascii="Calibri" w:eastAsia="Times New Roman" w:hAnsi="Calibri" w:cs="Calibri"/>
                <w:b/>
                <w:bCs/>
                <w:sz w:val="20"/>
                <w:szCs w:val="20"/>
                <w:lang w:eastAsia="en-GB"/>
              </w:rPr>
            </w:pPr>
            <w:r w:rsidRPr="00EA4C9B">
              <w:rPr>
                <w:rFonts w:ascii="Calibri" w:eastAsia="Times New Roman" w:hAnsi="Calibri" w:cs="Calibri"/>
                <w:b/>
                <w:bCs/>
                <w:sz w:val="20"/>
                <w:szCs w:val="20"/>
                <w:lang w:eastAsia="en-GB"/>
              </w:rPr>
              <w:t>2009-2023</w:t>
            </w:r>
          </w:p>
        </w:tc>
        <w:tc>
          <w:tcPr>
            <w:tcW w:w="1894" w:type="dxa"/>
            <w:tcBorders>
              <w:top w:val="single" w:sz="6" w:space="0" w:color="auto"/>
              <w:left w:val="single" w:sz="6" w:space="0" w:color="auto"/>
              <w:bottom w:val="single" w:sz="6" w:space="0" w:color="auto"/>
              <w:right w:val="single" w:sz="6" w:space="0" w:color="auto"/>
            </w:tcBorders>
            <w:hideMark/>
          </w:tcPr>
          <w:p w14:paraId="0EF49CC3" w14:textId="77777777" w:rsidR="00392FDA" w:rsidRPr="00EA4C9B" w:rsidRDefault="00392FDA">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b/>
                <w:bCs/>
                <w:sz w:val="20"/>
                <w:szCs w:val="20"/>
                <w:lang w:eastAsia="en-GB"/>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592EA461" w14:textId="77777777" w:rsidR="00392FDA" w:rsidRPr="00EA4C9B" w:rsidRDefault="00392FDA">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b/>
                <w:bCs/>
                <w:sz w:val="20"/>
                <w:szCs w:val="20"/>
                <w:lang w:eastAsia="en-GB"/>
              </w:rPr>
              <w:t>As share of all pollution tax revenues</w:t>
            </w:r>
          </w:p>
        </w:tc>
      </w:tr>
      <w:tr w:rsidR="00392FDA" w:rsidRPr="00EA4C9B" w14:paraId="53439106"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hideMark/>
          </w:tcPr>
          <w:p w14:paraId="559589DE" w14:textId="77777777" w:rsidR="00392FDA" w:rsidRPr="00EA4C9B" w:rsidRDefault="00392FDA">
            <w:pPr>
              <w:spacing w:after="0"/>
              <w:textAlignment w:val="baseline"/>
              <w:rPr>
                <w:rFonts w:ascii="Times New Roman" w:eastAsia="Times New Roman" w:hAnsi="Times New Roman" w:cs="Times New Roman"/>
                <w:sz w:val="24"/>
                <w:szCs w:val="24"/>
                <w:lang w:eastAsia="en-GB"/>
              </w:rPr>
            </w:pPr>
            <w:r w:rsidRPr="00EA4C9B">
              <w:rPr>
                <w:rFonts w:ascii="Calibri" w:eastAsia="Calibri" w:hAnsi="Calibri" w:cs="Calibri"/>
                <w:color w:val="000000" w:themeColor="text1"/>
                <w:sz w:val="20"/>
                <w:szCs w:val="20"/>
              </w:rPr>
              <w:t>Sewerage Disposal Boards tax</w:t>
            </w:r>
          </w:p>
        </w:tc>
        <w:tc>
          <w:tcPr>
            <w:tcW w:w="1718" w:type="dxa"/>
            <w:tcBorders>
              <w:top w:val="single" w:sz="6" w:space="0" w:color="auto"/>
              <w:left w:val="single" w:sz="6" w:space="0" w:color="auto"/>
              <w:bottom w:val="single" w:sz="6" w:space="0" w:color="auto"/>
              <w:right w:val="single" w:sz="6" w:space="0" w:color="auto"/>
            </w:tcBorders>
          </w:tcPr>
          <w:p w14:paraId="64D6EDD3" w14:textId="77777777" w:rsidR="00392FDA" w:rsidRPr="00EA4C9B" w:rsidRDefault="00392FDA">
            <w:pPr>
              <w:spacing w:after="0"/>
              <w:jc w:val="center"/>
              <w:textAlignment w:val="baseline"/>
              <w:rPr>
                <w:rFonts w:ascii="Calibri" w:eastAsia="Times New Roman" w:hAnsi="Calibri" w:cs="Calibri"/>
                <w:sz w:val="20"/>
                <w:szCs w:val="20"/>
                <w:lang w:eastAsia="en-GB"/>
              </w:rPr>
            </w:pPr>
            <w:r w:rsidRPr="00EA4C9B">
              <w:rPr>
                <w:rFonts w:ascii="Calibri" w:eastAsia="Times New Roman" w:hAnsi="Calibri" w:cs="Calibri"/>
                <w:sz w:val="20"/>
                <w:szCs w:val="20"/>
                <w:lang w:eastAsia="en-GB"/>
              </w:rPr>
              <w:t>867.2</w:t>
            </w:r>
          </w:p>
        </w:tc>
        <w:tc>
          <w:tcPr>
            <w:tcW w:w="1894" w:type="dxa"/>
            <w:tcBorders>
              <w:top w:val="single" w:sz="6" w:space="0" w:color="auto"/>
              <w:left w:val="single" w:sz="6" w:space="0" w:color="auto"/>
              <w:bottom w:val="single" w:sz="6" w:space="0" w:color="auto"/>
              <w:right w:val="single" w:sz="6" w:space="0" w:color="auto"/>
            </w:tcBorders>
            <w:hideMark/>
          </w:tcPr>
          <w:p w14:paraId="246EB23D" w14:textId="77777777" w:rsidR="00392FDA" w:rsidRPr="00EA4C9B" w:rsidRDefault="00392FDA">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20"/>
                <w:szCs w:val="20"/>
                <w:lang w:eastAsia="en-GB"/>
              </w:rPr>
              <w:t>57.8</w:t>
            </w:r>
          </w:p>
        </w:tc>
        <w:tc>
          <w:tcPr>
            <w:tcW w:w="1901" w:type="dxa"/>
            <w:tcBorders>
              <w:top w:val="single" w:sz="6" w:space="0" w:color="auto"/>
              <w:left w:val="single" w:sz="6" w:space="0" w:color="auto"/>
              <w:bottom w:val="single" w:sz="6" w:space="0" w:color="auto"/>
              <w:right w:val="single" w:sz="6" w:space="0" w:color="auto"/>
            </w:tcBorders>
            <w:hideMark/>
          </w:tcPr>
          <w:p w14:paraId="45B887EE" w14:textId="77777777" w:rsidR="00392FDA" w:rsidRPr="00EA4C9B" w:rsidRDefault="00392FDA">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20"/>
                <w:szCs w:val="20"/>
                <w:lang w:eastAsia="en-GB"/>
              </w:rPr>
              <w:t>100%</w:t>
            </w:r>
          </w:p>
        </w:tc>
      </w:tr>
    </w:tbl>
    <w:p w14:paraId="621F6BAB" w14:textId="77777777" w:rsidR="00392FDA" w:rsidRPr="00EA4C9B" w:rsidRDefault="00392FDA" w:rsidP="00392FDA">
      <w:pPr>
        <w:spacing w:after="0"/>
        <w:textAlignment w:val="baseline"/>
        <w:rPr>
          <w:rFonts w:ascii="Calibri" w:eastAsia="Times New Roman" w:hAnsi="Calibri" w:cs="Calibri"/>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392FDA" w:rsidRPr="00EA4C9B" w14:paraId="42C564C5" w14:textId="77777777" w:rsidTr="00D12D7A">
        <w:trPr>
          <w:trHeight w:val="49"/>
          <w:tblHeader/>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6A726CD0" w14:textId="05DF0B81" w:rsidR="00392FDA" w:rsidRPr="00DE2A9E" w:rsidRDefault="004D4585" w:rsidP="00DE2A9E">
            <w:pPr>
              <w:pStyle w:val="Table"/>
              <w:rPr>
                <w:rFonts w:ascii="Times New Roman" w:eastAsia="Times New Roman" w:hAnsi="Times New Roman" w:cs="Times New Roman"/>
                <w:b/>
                <w:sz w:val="24"/>
                <w:lang w:eastAsia="en-GB"/>
              </w:rPr>
            </w:pPr>
            <w:r w:rsidRPr="00DE2A9E">
              <w:rPr>
                <w:b/>
                <w:color w:val="FFFFFF" w:themeColor="background1"/>
              </w:rPr>
              <w:lastRenderedPageBreak/>
              <w:t xml:space="preserve">Table </w:t>
            </w:r>
            <w:r w:rsidR="00490085">
              <w:rPr>
                <w:b/>
                <w:color w:val="FFFFFF" w:themeColor="background1"/>
              </w:rPr>
              <w:t>A6</w:t>
            </w:r>
            <w:r w:rsidR="00DE2A9E" w:rsidRPr="00DE2A9E">
              <w:rPr>
                <w:b/>
                <w:bCs/>
                <w:color w:val="FFFFFF" w:themeColor="background1"/>
              </w:rPr>
              <w:t>-</w:t>
            </w:r>
            <w:r w:rsidR="00DE2A9E" w:rsidRPr="00DE2A9E">
              <w:rPr>
                <w:b/>
                <w:bCs/>
                <w:color w:val="FFFFFF" w:themeColor="background1"/>
              </w:rPr>
              <w:fldChar w:fldCharType="begin"/>
            </w:r>
            <w:r w:rsidR="00DE2A9E" w:rsidRPr="00DE2A9E">
              <w:rPr>
                <w:b/>
                <w:bCs/>
                <w:color w:val="FFFFFF" w:themeColor="background1"/>
              </w:rPr>
              <w:instrText xml:space="preserve"> SEQ Table_A5- \* ARABIC </w:instrText>
            </w:r>
            <w:r w:rsidR="00DE2A9E" w:rsidRPr="00DE2A9E">
              <w:rPr>
                <w:b/>
                <w:bCs/>
                <w:color w:val="FFFFFF" w:themeColor="background1"/>
              </w:rPr>
              <w:fldChar w:fldCharType="separate"/>
            </w:r>
            <w:r w:rsidR="00D12D7A">
              <w:rPr>
                <w:b/>
                <w:bCs/>
                <w:noProof/>
                <w:color w:val="FFFFFF" w:themeColor="background1"/>
              </w:rPr>
              <w:t>28</w:t>
            </w:r>
            <w:r w:rsidR="00DE2A9E" w:rsidRPr="00DE2A9E">
              <w:rPr>
                <w:b/>
                <w:bCs/>
                <w:color w:val="FFFFFF" w:themeColor="background1"/>
              </w:rPr>
              <w:fldChar w:fldCharType="end"/>
            </w:r>
            <w:r w:rsidR="00392FDA" w:rsidRPr="00DE2A9E">
              <w:rPr>
                <w:rFonts w:ascii="Calibri" w:eastAsia="Times New Roman" w:hAnsi="Calibri" w:cs="Calibri"/>
                <w:b/>
                <w:color w:val="FFFFFF" w:themeColor="background1"/>
                <w:szCs w:val="20"/>
                <w:lang w:eastAsia="en-GB"/>
              </w:rPr>
              <w:t>:  Resource taxes </w:t>
            </w:r>
          </w:p>
        </w:tc>
      </w:tr>
      <w:tr w:rsidR="00392FDA" w:rsidRPr="00EA4C9B" w14:paraId="72FF6435" w14:textId="77777777" w:rsidTr="00D12D7A">
        <w:trPr>
          <w:trHeight w:val="76"/>
          <w:tblHeader/>
        </w:trPr>
        <w:tc>
          <w:tcPr>
            <w:tcW w:w="3497" w:type="dxa"/>
            <w:tcBorders>
              <w:top w:val="single" w:sz="6" w:space="0" w:color="auto"/>
              <w:left w:val="single" w:sz="6" w:space="0" w:color="auto"/>
              <w:bottom w:val="single" w:sz="6" w:space="0" w:color="auto"/>
              <w:right w:val="single" w:sz="6" w:space="0" w:color="auto"/>
            </w:tcBorders>
            <w:hideMark/>
          </w:tcPr>
          <w:p w14:paraId="29B7A10D" w14:textId="77777777" w:rsidR="00392FDA" w:rsidRPr="00EA4C9B" w:rsidRDefault="00392FDA" w:rsidP="00DE2A9E">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8" w:type="dxa"/>
            <w:tcBorders>
              <w:top w:val="single" w:sz="6" w:space="0" w:color="auto"/>
              <w:left w:val="single" w:sz="6" w:space="0" w:color="auto"/>
              <w:bottom w:val="single" w:sz="6" w:space="0" w:color="auto"/>
              <w:right w:val="single" w:sz="6" w:space="0" w:color="auto"/>
            </w:tcBorders>
          </w:tcPr>
          <w:p w14:paraId="04AA2E24" w14:textId="77777777" w:rsidR="00392FDA" w:rsidRPr="00EA4C9B" w:rsidRDefault="00392FDA" w:rsidP="001A6AFA">
            <w:pPr>
              <w:pStyle w:val="Table"/>
              <w:jc w:val="center"/>
              <w:rPr>
                <w:rFonts w:ascii="Calibri" w:eastAsia="Times New Roman" w:hAnsi="Calibri" w:cs="Calibri"/>
                <w:b/>
                <w:bCs/>
                <w:szCs w:val="20"/>
                <w:lang w:eastAsia="en-GB"/>
              </w:rPr>
            </w:pPr>
            <w:r w:rsidRPr="00EA4C9B">
              <w:rPr>
                <w:rFonts w:ascii="Calibri" w:eastAsia="Times New Roman" w:hAnsi="Calibri" w:cs="Calibri"/>
                <w:b/>
                <w:szCs w:val="20"/>
                <w:lang w:eastAsia="en-GB"/>
              </w:rPr>
              <w:t>Revenue (€ million)</w:t>
            </w:r>
          </w:p>
          <w:p w14:paraId="0FB8DA52" w14:textId="77777777" w:rsidR="00392FDA" w:rsidRPr="00EA4C9B" w:rsidRDefault="00392FDA" w:rsidP="001A6AFA">
            <w:pPr>
              <w:pStyle w:val="Table"/>
              <w:jc w:val="center"/>
              <w:rPr>
                <w:rFonts w:ascii="Calibri" w:eastAsia="Times New Roman" w:hAnsi="Calibri" w:cs="Calibri"/>
                <w:b/>
                <w:szCs w:val="20"/>
                <w:lang w:eastAsia="en-GB"/>
              </w:rPr>
            </w:pPr>
            <w:r w:rsidRPr="00EA4C9B">
              <w:rPr>
                <w:rFonts w:ascii="Calibri" w:eastAsia="Times New Roman" w:hAnsi="Calibri" w:cs="Calibri"/>
                <w:b/>
                <w:szCs w:val="20"/>
                <w:lang w:eastAsia="en-GB"/>
              </w:rPr>
              <w:t>2009-2023</w:t>
            </w:r>
          </w:p>
        </w:tc>
        <w:tc>
          <w:tcPr>
            <w:tcW w:w="1894" w:type="dxa"/>
            <w:tcBorders>
              <w:top w:val="single" w:sz="6" w:space="0" w:color="auto"/>
              <w:left w:val="single" w:sz="6" w:space="0" w:color="auto"/>
              <w:bottom w:val="single" w:sz="6" w:space="0" w:color="auto"/>
              <w:right w:val="single" w:sz="6" w:space="0" w:color="auto"/>
            </w:tcBorders>
            <w:hideMark/>
          </w:tcPr>
          <w:p w14:paraId="419C3AF4" w14:textId="77777777" w:rsidR="00392FDA" w:rsidRPr="00EA4C9B" w:rsidRDefault="00392FDA" w:rsidP="001A6AF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218E8134" w14:textId="77777777" w:rsidR="00392FDA" w:rsidRPr="00EA4C9B" w:rsidRDefault="00392FDA" w:rsidP="001A6AF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waste tax revenues</w:t>
            </w:r>
          </w:p>
        </w:tc>
      </w:tr>
      <w:tr w:rsidR="00392FDA" w:rsidRPr="00EA4C9B" w14:paraId="31E369FD"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hideMark/>
          </w:tcPr>
          <w:p w14:paraId="4AB4278F" w14:textId="77777777" w:rsidR="00392FDA" w:rsidRPr="00EA4C9B" w:rsidRDefault="00392FDA" w:rsidP="00DE2A9E">
            <w:pPr>
              <w:pStyle w:val="Table"/>
              <w:rPr>
                <w:rFonts w:ascii="Times New Roman" w:eastAsia="Times New Roman" w:hAnsi="Times New Roman" w:cs="Times New Roman"/>
                <w:sz w:val="24"/>
                <w:lang w:eastAsia="en-GB"/>
              </w:rPr>
            </w:pPr>
            <w:r w:rsidRPr="00EA4C9B">
              <w:rPr>
                <w:rFonts w:ascii="Calibri" w:eastAsia="Calibri" w:hAnsi="Calibri" w:cs="Calibri"/>
                <w:szCs w:val="20"/>
              </w:rPr>
              <w:t>Environmental Protection</w:t>
            </w:r>
          </w:p>
        </w:tc>
        <w:tc>
          <w:tcPr>
            <w:tcW w:w="1718" w:type="dxa"/>
            <w:tcBorders>
              <w:top w:val="single" w:sz="6" w:space="0" w:color="auto"/>
              <w:left w:val="single" w:sz="6" w:space="0" w:color="auto"/>
              <w:bottom w:val="single" w:sz="6" w:space="0" w:color="auto"/>
              <w:right w:val="single" w:sz="6" w:space="0" w:color="auto"/>
            </w:tcBorders>
          </w:tcPr>
          <w:p w14:paraId="7C5E7EC6" w14:textId="77777777" w:rsidR="00392FDA" w:rsidRPr="00EA4C9B" w:rsidRDefault="00392FDA" w:rsidP="001A6AFA">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1.8</w:t>
            </w:r>
          </w:p>
        </w:tc>
        <w:tc>
          <w:tcPr>
            <w:tcW w:w="1894" w:type="dxa"/>
            <w:tcBorders>
              <w:top w:val="single" w:sz="6" w:space="0" w:color="auto"/>
              <w:left w:val="single" w:sz="6" w:space="0" w:color="auto"/>
              <w:bottom w:val="single" w:sz="6" w:space="0" w:color="auto"/>
              <w:right w:val="single" w:sz="6" w:space="0" w:color="auto"/>
            </w:tcBorders>
            <w:hideMark/>
          </w:tcPr>
          <w:p w14:paraId="50326C5D" w14:textId="77777777" w:rsidR="00392FDA" w:rsidRPr="00EA4C9B" w:rsidRDefault="00392FDA" w:rsidP="001A6AF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0.1</w:t>
            </w:r>
          </w:p>
        </w:tc>
        <w:tc>
          <w:tcPr>
            <w:tcW w:w="1901" w:type="dxa"/>
            <w:tcBorders>
              <w:top w:val="single" w:sz="6" w:space="0" w:color="auto"/>
              <w:left w:val="single" w:sz="6" w:space="0" w:color="auto"/>
              <w:bottom w:val="single" w:sz="6" w:space="0" w:color="auto"/>
              <w:right w:val="single" w:sz="6" w:space="0" w:color="auto"/>
            </w:tcBorders>
            <w:hideMark/>
          </w:tcPr>
          <w:p w14:paraId="3973FDFB" w14:textId="77777777" w:rsidR="00392FDA" w:rsidRPr="00EA4C9B" w:rsidRDefault="00392FDA" w:rsidP="001A6AF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1.9%</w:t>
            </w:r>
          </w:p>
        </w:tc>
      </w:tr>
      <w:tr w:rsidR="00392FDA" w:rsidRPr="00EA4C9B" w14:paraId="6E97E4FC"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hideMark/>
          </w:tcPr>
          <w:p w14:paraId="7C65E6A6" w14:textId="77777777" w:rsidR="00392FDA" w:rsidRPr="00EA4C9B" w:rsidRDefault="00392FDA" w:rsidP="00DE2A9E">
            <w:pPr>
              <w:pStyle w:val="Table"/>
              <w:rPr>
                <w:rFonts w:ascii="Times New Roman" w:eastAsia="Times New Roman" w:hAnsi="Times New Roman" w:cs="Times New Roman"/>
                <w:sz w:val="24"/>
                <w:lang w:eastAsia="en-GB"/>
              </w:rPr>
            </w:pPr>
            <w:r w:rsidRPr="00EA4C9B">
              <w:rPr>
                <w:rFonts w:ascii="Calibri" w:eastAsia="Calibri" w:hAnsi="Calibri" w:cs="Calibri"/>
                <w:szCs w:val="20"/>
              </w:rPr>
              <w:t>Environmental Rehabilitation</w:t>
            </w:r>
          </w:p>
        </w:tc>
        <w:tc>
          <w:tcPr>
            <w:tcW w:w="1718" w:type="dxa"/>
            <w:tcBorders>
              <w:top w:val="single" w:sz="6" w:space="0" w:color="auto"/>
              <w:left w:val="single" w:sz="6" w:space="0" w:color="auto"/>
              <w:bottom w:val="single" w:sz="6" w:space="0" w:color="auto"/>
              <w:right w:val="single" w:sz="6" w:space="0" w:color="auto"/>
            </w:tcBorders>
          </w:tcPr>
          <w:p w14:paraId="6C4E630A" w14:textId="77777777" w:rsidR="00392FDA" w:rsidRPr="00EA4C9B" w:rsidRDefault="00392FDA" w:rsidP="001A6AFA">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12.0</w:t>
            </w:r>
          </w:p>
        </w:tc>
        <w:tc>
          <w:tcPr>
            <w:tcW w:w="1894" w:type="dxa"/>
            <w:tcBorders>
              <w:top w:val="single" w:sz="6" w:space="0" w:color="auto"/>
              <w:left w:val="single" w:sz="6" w:space="0" w:color="auto"/>
              <w:bottom w:val="single" w:sz="6" w:space="0" w:color="auto"/>
              <w:right w:val="single" w:sz="6" w:space="0" w:color="auto"/>
            </w:tcBorders>
            <w:hideMark/>
          </w:tcPr>
          <w:p w14:paraId="163A76B0" w14:textId="77777777" w:rsidR="00392FDA" w:rsidRPr="00EA4C9B" w:rsidRDefault="00392FDA" w:rsidP="001A6AF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0.8</w:t>
            </w:r>
          </w:p>
        </w:tc>
        <w:tc>
          <w:tcPr>
            <w:tcW w:w="1901" w:type="dxa"/>
            <w:tcBorders>
              <w:top w:val="single" w:sz="6" w:space="0" w:color="auto"/>
              <w:left w:val="single" w:sz="6" w:space="0" w:color="auto"/>
              <w:bottom w:val="single" w:sz="6" w:space="0" w:color="auto"/>
              <w:right w:val="single" w:sz="6" w:space="0" w:color="auto"/>
            </w:tcBorders>
            <w:hideMark/>
          </w:tcPr>
          <w:p w14:paraId="5BE801BF" w14:textId="77777777" w:rsidR="00392FDA" w:rsidRPr="00EA4C9B" w:rsidRDefault="00392FDA" w:rsidP="001A6AF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12.8%</w:t>
            </w:r>
          </w:p>
        </w:tc>
      </w:tr>
      <w:tr w:rsidR="00392FDA" w:rsidRPr="00EA4C9B" w14:paraId="50A9AD8C"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54388744" w14:textId="77777777" w:rsidR="00392FDA" w:rsidRPr="00EA4C9B" w:rsidRDefault="00392FDA" w:rsidP="00DE2A9E">
            <w:pPr>
              <w:pStyle w:val="Table"/>
              <w:rPr>
                <w:rFonts w:ascii="Calibri" w:eastAsia="Calibri" w:hAnsi="Calibri" w:cs="Calibri"/>
                <w:szCs w:val="20"/>
              </w:rPr>
            </w:pPr>
            <w:r w:rsidRPr="00EA4C9B">
              <w:rPr>
                <w:rFonts w:ascii="Calibri" w:eastAsia="Calibri" w:hAnsi="Calibri" w:cs="Calibri"/>
                <w:szCs w:val="20"/>
              </w:rPr>
              <w:t>Mining tax</w:t>
            </w:r>
          </w:p>
        </w:tc>
        <w:tc>
          <w:tcPr>
            <w:tcW w:w="1718" w:type="dxa"/>
            <w:tcBorders>
              <w:top w:val="single" w:sz="6" w:space="0" w:color="auto"/>
              <w:left w:val="single" w:sz="6" w:space="0" w:color="auto"/>
              <w:bottom w:val="single" w:sz="6" w:space="0" w:color="auto"/>
              <w:right w:val="single" w:sz="6" w:space="0" w:color="auto"/>
            </w:tcBorders>
          </w:tcPr>
          <w:p w14:paraId="17AA0EF4" w14:textId="77777777" w:rsidR="00392FDA" w:rsidRPr="00EA4C9B" w:rsidRDefault="00392FDA" w:rsidP="001A6AFA">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1.0</w:t>
            </w:r>
          </w:p>
        </w:tc>
        <w:tc>
          <w:tcPr>
            <w:tcW w:w="1894" w:type="dxa"/>
            <w:tcBorders>
              <w:top w:val="single" w:sz="6" w:space="0" w:color="auto"/>
              <w:left w:val="single" w:sz="6" w:space="0" w:color="auto"/>
              <w:bottom w:val="single" w:sz="6" w:space="0" w:color="auto"/>
              <w:right w:val="single" w:sz="6" w:space="0" w:color="auto"/>
            </w:tcBorders>
          </w:tcPr>
          <w:p w14:paraId="720C528C" w14:textId="77777777" w:rsidR="00392FDA" w:rsidRPr="00EA4C9B" w:rsidRDefault="00392FDA" w:rsidP="001A6AFA">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0.1</w:t>
            </w:r>
          </w:p>
        </w:tc>
        <w:tc>
          <w:tcPr>
            <w:tcW w:w="1901" w:type="dxa"/>
            <w:tcBorders>
              <w:top w:val="single" w:sz="6" w:space="0" w:color="auto"/>
              <w:left w:val="single" w:sz="6" w:space="0" w:color="auto"/>
              <w:bottom w:val="single" w:sz="6" w:space="0" w:color="auto"/>
              <w:right w:val="single" w:sz="6" w:space="0" w:color="auto"/>
            </w:tcBorders>
          </w:tcPr>
          <w:p w14:paraId="5DC7AFA1" w14:textId="77777777" w:rsidR="00392FDA" w:rsidRPr="00EA4C9B" w:rsidRDefault="00392FDA" w:rsidP="001A6AFA">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1.0%</w:t>
            </w:r>
          </w:p>
        </w:tc>
      </w:tr>
      <w:tr w:rsidR="00392FDA" w:rsidRPr="00EA4C9B" w14:paraId="0CF9DD8B"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1873A995" w14:textId="77777777" w:rsidR="00392FDA" w:rsidRPr="00EA4C9B" w:rsidRDefault="00392FDA" w:rsidP="00DE2A9E">
            <w:pPr>
              <w:pStyle w:val="Table"/>
              <w:rPr>
                <w:rFonts w:ascii="Calibri" w:eastAsia="Calibri" w:hAnsi="Calibri" w:cs="Calibri"/>
                <w:szCs w:val="20"/>
              </w:rPr>
            </w:pPr>
            <w:r w:rsidRPr="00EA4C9B">
              <w:rPr>
                <w:rFonts w:ascii="Calibri" w:eastAsia="Calibri" w:hAnsi="Calibri" w:cs="Calibri"/>
                <w:szCs w:val="20"/>
              </w:rPr>
              <w:t>Water consumption tax</w:t>
            </w:r>
          </w:p>
        </w:tc>
        <w:tc>
          <w:tcPr>
            <w:tcW w:w="1718" w:type="dxa"/>
            <w:tcBorders>
              <w:top w:val="single" w:sz="6" w:space="0" w:color="auto"/>
              <w:left w:val="single" w:sz="6" w:space="0" w:color="auto"/>
              <w:bottom w:val="single" w:sz="6" w:space="0" w:color="auto"/>
              <w:right w:val="single" w:sz="6" w:space="0" w:color="auto"/>
            </w:tcBorders>
          </w:tcPr>
          <w:p w14:paraId="283D64D0" w14:textId="77777777" w:rsidR="00392FDA" w:rsidRPr="00EA4C9B" w:rsidRDefault="00392FDA" w:rsidP="001A6AFA">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37.0</w:t>
            </w:r>
          </w:p>
        </w:tc>
        <w:tc>
          <w:tcPr>
            <w:tcW w:w="1894" w:type="dxa"/>
            <w:tcBorders>
              <w:top w:val="single" w:sz="6" w:space="0" w:color="auto"/>
              <w:left w:val="single" w:sz="6" w:space="0" w:color="auto"/>
              <w:bottom w:val="single" w:sz="6" w:space="0" w:color="auto"/>
              <w:right w:val="single" w:sz="6" w:space="0" w:color="auto"/>
            </w:tcBorders>
          </w:tcPr>
          <w:p w14:paraId="5651556E" w14:textId="77777777" w:rsidR="00392FDA" w:rsidRPr="00EA4C9B" w:rsidRDefault="00392FDA" w:rsidP="001A6AFA">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5.3</w:t>
            </w:r>
          </w:p>
        </w:tc>
        <w:tc>
          <w:tcPr>
            <w:tcW w:w="1901" w:type="dxa"/>
            <w:tcBorders>
              <w:top w:val="single" w:sz="6" w:space="0" w:color="auto"/>
              <w:left w:val="single" w:sz="6" w:space="0" w:color="auto"/>
              <w:bottom w:val="single" w:sz="6" w:space="0" w:color="auto"/>
              <w:right w:val="single" w:sz="6" w:space="0" w:color="auto"/>
            </w:tcBorders>
          </w:tcPr>
          <w:p w14:paraId="09473CF3" w14:textId="77777777" w:rsidR="00392FDA" w:rsidRPr="00EA4C9B" w:rsidRDefault="00392FDA" w:rsidP="001A6AFA">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84.3%</w:t>
            </w:r>
          </w:p>
        </w:tc>
      </w:tr>
    </w:tbl>
    <w:p w14:paraId="68B4D7DD" w14:textId="77777777" w:rsidR="00392FDA" w:rsidRPr="00EA4C9B" w:rsidRDefault="00392FDA" w:rsidP="00392FDA">
      <w:pPr>
        <w:spacing w:after="0"/>
        <w:textAlignment w:val="baseline"/>
        <w:rPr>
          <w:rFonts w:ascii="Calibri" w:eastAsia="Times New Roman" w:hAnsi="Calibri" w:cs="Calibri"/>
          <w:lang w:eastAsia="en-GB"/>
        </w:rPr>
      </w:pPr>
    </w:p>
    <w:p w14:paraId="72298351" w14:textId="3BE52E48" w:rsidR="00392FDA" w:rsidRPr="001C6086" w:rsidRDefault="00392FDA" w:rsidP="001C6086">
      <w:r w:rsidRPr="00EA4C9B">
        <w:t>The National Tax List of Cyprus showcases five different taxes that fall under the category ‘pollution and resource taxes’. The ‘</w:t>
      </w:r>
      <w:r w:rsidRPr="00EA4C9B">
        <w:rPr>
          <w:b/>
          <w:bCs/>
        </w:rPr>
        <w:t>Sewerage Disposal Boards tax</w:t>
      </w:r>
      <w:r w:rsidRPr="00EA4C9B">
        <w:t xml:space="preserve">’ is the only pollution tax and makes up the largest part of the pollution and resource taxes revenue, at EUR 63.3M in 2023. The national tax as calculated based on the market value of a property, and is annually paid by the property owners. The rate varies between 0.05% and 0.3%. Cyprus also implements a </w:t>
      </w:r>
      <w:r w:rsidRPr="00EA4C9B">
        <w:rPr>
          <w:b/>
          <w:bCs/>
        </w:rPr>
        <w:t>Mining tax</w:t>
      </w:r>
      <w:r w:rsidRPr="00EA4C9B">
        <w:t xml:space="preserve">, which was introduced in 2012. It is based on the extraction of raw materials and the revenue from the mining tax was EUR 100,000 in 2023. The two other resource taxes are the </w:t>
      </w:r>
      <w:r w:rsidRPr="00EA4C9B">
        <w:rPr>
          <w:b/>
          <w:bCs/>
        </w:rPr>
        <w:t>Environmental Protection tax</w:t>
      </w:r>
      <w:r w:rsidRPr="00EA4C9B">
        <w:t xml:space="preserve"> and the </w:t>
      </w:r>
      <w:r w:rsidRPr="00EA4C9B">
        <w:rPr>
          <w:b/>
          <w:bCs/>
        </w:rPr>
        <w:t>Environmental Rehabilitation tax</w:t>
      </w:r>
      <w:r w:rsidRPr="00EA4C9B">
        <w:t>, which, respectively, generated EUR 0.1M and 1.4M of revenue in 2023. The Environmental Protection tax is based on landscape changes.</w:t>
      </w:r>
    </w:p>
    <w:p w14:paraId="3D9FAB31" w14:textId="77777777" w:rsidR="00392FDA" w:rsidRPr="00EA4C9B" w:rsidRDefault="00392FDA" w:rsidP="00392FDA">
      <w:pPr>
        <w:spacing w:after="0"/>
        <w:rPr>
          <w:rFonts w:ascii="Calibri" w:eastAsia="Aptos" w:hAnsi="Calibri" w:cs="Calibri"/>
          <w:kern w:val="2"/>
          <w14:ligatures w14:val="standardContextual"/>
        </w:rPr>
      </w:pPr>
      <w:r w:rsidRPr="00EA4C9B">
        <w:rPr>
          <w:rFonts w:ascii="Calibri" w:eastAsia="Aptos" w:hAnsi="Calibri" w:cs="Calibri"/>
          <w:kern w:val="2"/>
          <w14:ligatures w14:val="standardContextual"/>
        </w:rPr>
        <w:t xml:space="preserve">Cyprus also has a </w:t>
      </w:r>
      <w:r w:rsidRPr="00EA4C9B">
        <w:rPr>
          <w:rFonts w:ascii="Calibri" w:eastAsia="Aptos" w:hAnsi="Calibri" w:cs="Calibri"/>
          <w:b/>
          <w:bCs/>
          <w:kern w:val="2"/>
          <w14:ligatures w14:val="standardContextual"/>
        </w:rPr>
        <w:t>Water Consumption tax</w:t>
      </w:r>
      <w:r w:rsidRPr="00EA4C9B">
        <w:rPr>
          <w:rFonts w:ascii="Calibri" w:eastAsia="Aptos" w:hAnsi="Calibri" w:cs="Calibri"/>
          <w:kern w:val="2"/>
          <w14:ligatures w14:val="standardContextual"/>
        </w:rPr>
        <w:t xml:space="preserve"> which was introduced in 2017, in the “Pricing and Mechanisms for the Recovery of the Cost of Water Service Regulations” under Law PI 28/2014. The law mandates that water pricing fees must achieve adequate cost recovery, which includes both the cost of supply services, as well as the environmental impact of water use and water exhaustion. The law sets out pricing principles for water supply to households and for water irrigation</w:t>
      </w:r>
      <w:r w:rsidRPr="00EA4C9B">
        <w:rPr>
          <w:rStyle w:val="FootnoteReference"/>
          <w:rFonts w:ascii="Calibri" w:eastAsia="Aptos" w:hAnsi="Calibri" w:cs="Calibri"/>
          <w:kern w:val="2"/>
          <w14:ligatures w14:val="standardContextual"/>
        </w:rPr>
        <w:footnoteReference w:id="178"/>
      </w:r>
      <w:r w:rsidRPr="00EA4C9B">
        <w:rPr>
          <w:rFonts w:ascii="Calibri" w:eastAsia="Aptos" w:hAnsi="Calibri" w:cs="Calibri"/>
          <w:kern w:val="2"/>
          <w14:ligatures w14:val="standardContextual"/>
        </w:rPr>
        <w:t>. The tax generated a revenue of EUR 6.4M in 2023, according to Cyprus’ National Tax List.</w:t>
      </w:r>
    </w:p>
    <w:p w14:paraId="31775EE1" w14:textId="77777777" w:rsidR="00392FDA" w:rsidRPr="00EA4C9B" w:rsidRDefault="00392FDA" w:rsidP="00392FDA">
      <w:pPr>
        <w:spacing w:after="0"/>
        <w:rPr>
          <w:rFonts w:ascii="Calibri" w:eastAsia="Aptos" w:hAnsi="Calibri" w:cs="Calibri"/>
        </w:rPr>
      </w:pPr>
    </w:p>
    <w:p w14:paraId="4B7F9CAD" w14:textId="77777777" w:rsidR="00392FDA" w:rsidRPr="00EA4C9B" w:rsidRDefault="00392FDA" w:rsidP="00392FDA">
      <w:pPr>
        <w:spacing w:after="0"/>
        <w:rPr>
          <w:rFonts w:ascii="Calibri" w:eastAsia="Aptos" w:hAnsi="Calibri" w:cs="Calibri"/>
          <w:kern w:val="2"/>
          <w14:ligatures w14:val="standardContextual"/>
        </w:rPr>
      </w:pPr>
      <w:r w:rsidRPr="00EA4C9B">
        <w:rPr>
          <w:rFonts w:ascii="Calibri" w:eastAsia="Aptos" w:hAnsi="Calibri" w:cs="Calibri"/>
          <w:kern w:val="2"/>
          <w14:ligatures w14:val="standardContextual"/>
        </w:rPr>
        <w:t xml:space="preserve">A new environmental tax expected in Cyprus is a </w:t>
      </w:r>
      <w:r w:rsidRPr="00EA4C9B">
        <w:rPr>
          <w:rFonts w:ascii="Calibri" w:eastAsia="Aptos" w:hAnsi="Calibri" w:cs="Calibri"/>
          <w:b/>
          <w:bCs/>
          <w:kern w:val="2"/>
          <w14:ligatures w14:val="standardContextual"/>
        </w:rPr>
        <w:t>municipal waste landfill tax</w:t>
      </w:r>
      <w:r w:rsidRPr="00EA4C9B">
        <w:rPr>
          <w:rFonts w:ascii="Calibri" w:eastAsia="Aptos" w:hAnsi="Calibri" w:cs="Calibri"/>
          <w:kern w:val="2"/>
          <w14:ligatures w14:val="standardContextual"/>
        </w:rPr>
        <w:t>. Before this, Cyprus was one of only five EU Member States without such a tax, and its implementation has been recommended by the European Commission in the 2022 “Environmental Implementation Review”</w:t>
      </w:r>
      <w:r w:rsidRPr="00EA4C9B">
        <w:rPr>
          <w:rStyle w:val="FootnoteReference"/>
          <w:rFonts w:ascii="Calibri" w:eastAsia="Aptos" w:hAnsi="Calibri" w:cs="Calibri"/>
          <w:kern w:val="2"/>
          <w14:ligatures w14:val="standardContextual"/>
        </w:rPr>
        <w:footnoteReference w:id="179"/>
      </w:r>
      <w:r w:rsidRPr="00EA4C9B">
        <w:rPr>
          <w:rFonts w:ascii="Calibri" w:eastAsia="Aptos" w:hAnsi="Calibri" w:cs="Calibri"/>
          <w:kern w:val="2"/>
          <w14:ligatures w14:val="standardContextual"/>
        </w:rPr>
        <w:t xml:space="preserve"> and the 2023 “The early warning report for Cyprus”</w:t>
      </w:r>
      <w:r w:rsidRPr="00EA4C9B">
        <w:rPr>
          <w:rStyle w:val="FootnoteReference"/>
          <w:rFonts w:ascii="Calibri" w:eastAsia="Aptos" w:hAnsi="Calibri" w:cs="Calibri"/>
          <w:kern w:val="2"/>
          <w14:ligatures w14:val="standardContextual"/>
        </w:rPr>
        <w:footnoteReference w:id="180"/>
      </w:r>
      <w:r w:rsidRPr="00EA4C9B">
        <w:rPr>
          <w:rFonts w:ascii="Calibri" w:eastAsia="Aptos" w:hAnsi="Calibri" w:cs="Calibri"/>
          <w:kern w:val="2"/>
          <w14:ligatures w14:val="standardContextual"/>
        </w:rPr>
        <w:t>. The tax amounts to EUR 35 per ton of waste, and will increase by EUR 5 per year, until it reaches EUR 70. The collected revenues is earmarked to finance waste management on a municipal level. The tax also comes in the context of the 2035 target to landfill no more than 10% of waste. Once this target is reached, the tax is planned to be terminated</w:t>
      </w:r>
      <w:r w:rsidRPr="00EA4C9B">
        <w:rPr>
          <w:rStyle w:val="FootnoteReference"/>
          <w:rFonts w:ascii="Calibri" w:eastAsia="Aptos" w:hAnsi="Calibri" w:cs="Calibri"/>
          <w:kern w:val="2"/>
          <w14:ligatures w14:val="standardContextual"/>
        </w:rPr>
        <w:footnoteReference w:id="181"/>
      </w:r>
      <w:r w:rsidRPr="00EA4C9B">
        <w:rPr>
          <w:rFonts w:ascii="Calibri" w:eastAsia="Aptos" w:hAnsi="Calibri" w:cs="Calibri"/>
          <w:kern w:val="2"/>
          <w14:ligatures w14:val="standardContextual"/>
        </w:rPr>
        <w:t xml:space="preserve">. </w:t>
      </w:r>
    </w:p>
    <w:p w14:paraId="79AA88DD" w14:textId="77777777" w:rsidR="00392FDA" w:rsidRPr="00EA4C9B" w:rsidRDefault="00392FDA" w:rsidP="00392FDA">
      <w:pPr>
        <w:pStyle w:val="Heading4"/>
      </w:pPr>
      <w:r w:rsidRPr="00EA4C9B">
        <w:t>Fees and other related instruments</w:t>
      </w:r>
    </w:p>
    <w:p w14:paraId="1E517555" w14:textId="77777777" w:rsidR="00392FDA" w:rsidRPr="00EA4C9B" w:rsidRDefault="00392FDA" w:rsidP="00392FDA">
      <w:pPr>
        <w:spacing w:after="0"/>
        <w:rPr>
          <w:rFonts w:ascii="Calibri" w:eastAsia="Aptos" w:hAnsi="Calibri" w:cs="Calibri"/>
          <w:kern w:val="2"/>
          <w14:ligatures w14:val="standardContextual"/>
        </w:rPr>
      </w:pPr>
      <w:r w:rsidRPr="00EA4C9B">
        <w:rPr>
          <w:rFonts w:ascii="Calibri" w:eastAsia="Aptos" w:hAnsi="Calibri" w:cs="Calibri"/>
          <w:kern w:val="2"/>
          <w14:ligatures w14:val="standardContextual"/>
        </w:rPr>
        <w:t>On a local scale, some municipalities are implementing “</w:t>
      </w:r>
      <w:r w:rsidRPr="00EA4C9B">
        <w:rPr>
          <w:rFonts w:ascii="Calibri" w:eastAsia="Aptos" w:hAnsi="Calibri" w:cs="Calibri"/>
          <w:b/>
          <w:bCs/>
          <w:kern w:val="2"/>
          <w14:ligatures w14:val="standardContextual"/>
        </w:rPr>
        <w:t>Pay-as-you-throw” schemes</w:t>
      </w:r>
      <w:r w:rsidRPr="00EA4C9B">
        <w:rPr>
          <w:rFonts w:ascii="Calibri" w:eastAsia="Aptos" w:hAnsi="Calibri" w:cs="Calibri"/>
          <w:kern w:val="2"/>
          <w14:ligatures w14:val="standardContextual"/>
        </w:rPr>
        <w:t>. A total of 11 municipalities have been applying this type of municipal waste management, where waste is separated at the waste source, which could lead to improved reusing and recycling of waste, and waste prevention. The collected residual waste is paid for with a fixed fee or a variable fee related to the volume or weight. The schemes were started in the second half of 2024</w:t>
      </w:r>
      <w:r w:rsidRPr="00EA4C9B">
        <w:rPr>
          <w:rStyle w:val="FootnoteReference"/>
          <w:rFonts w:ascii="Calibri" w:eastAsia="Aptos" w:hAnsi="Calibri" w:cs="Calibri"/>
          <w:kern w:val="2"/>
          <w14:ligatures w14:val="standardContextual"/>
        </w:rPr>
        <w:footnoteReference w:id="182"/>
      </w:r>
      <w:r w:rsidRPr="00EA4C9B">
        <w:rPr>
          <w:rFonts w:ascii="Calibri" w:eastAsia="Aptos" w:hAnsi="Calibri" w:cs="Calibri"/>
          <w:kern w:val="2"/>
          <w14:ligatures w14:val="standardContextual"/>
        </w:rPr>
        <w:t>.</w:t>
      </w:r>
    </w:p>
    <w:p w14:paraId="6099C59B" w14:textId="77777777" w:rsidR="00392FDA" w:rsidRPr="00EA4C9B" w:rsidRDefault="00392FDA" w:rsidP="00392FDA">
      <w:pPr>
        <w:spacing w:after="0"/>
        <w:rPr>
          <w:rFonts w:ascii="Calibri" w:eastAsia="Aptos" w:hAnsi="Calibri" w:cs="Calibri"/>
          <w:b/>
          <w:bCs/>
          <w:i/>
          <w:iCs/>
          <w:kern w:val="2"/>
          <w14:ligatures w14:val="standardContextual"/>
        </w:rPr>
      </w:pPr>
    </w:p>
    <w:p w14:paraId="063EBE54" w14:textId="5023EE18" w:rsidR="00392FDA" w:rsidRPr="00EA4C9B" w:rsidRDefault="00392FDA" w:rsidP="00392FDA">
      <w:pPr>
        <w:spacing w:after="0"/>
        <w:rPr>
          <w:rFonts w:ascii="Calibri" w:eastAsia="Aptos" w:hAnsi="Calibri" w:cs="Calibri"/>
          <w:kern w:val="2"/>
          <w14:ligatures w14:val="standardContextual"/>
        </w:rPr>
      </w:pPr>
      <w:r w:rsidRPr="00EA4C9B">
        <w:rPr>
          <w:rFonts w:ascii="Calibri" w:eastAsia="Aptos" w:hAnsi="Calibri" w:cs="Calibri"/>
          <w:kern w:val="2"/>
          <w14:ligatures w14:val="standardContextual"/>
        </w:rPr>
        <w:t>In 2025, Cyprus is expected to implement a green tax reform</w:t>
      </w:r>
      <w:r w:rsidR="001C5A81">
        <w:rPr>
          <w:rStyle w:val="FootnoteReference"/>
          <w:rFonts w:ascii="Calibri" w:eastAsia="Aptos" w:hAnsi="Calibri" w:cs="Calibri"/>
          <w:kern w:val="2"/>
          <w14:ligatures w14:val="standardContextual"/>
        </w:rPr>
        <w:footnoteReference w:id="183"/>
      </w:r>
      <w:r w:rsidRPr="00EA4C9B">
        <w:rPr>
          <w:rFonts w:ascii="Calibri" w:eastAsia="Aptos" w:hAnsi="Calibri" w:cs="Calibri"/>
          <w:kern w:val="2"/>
          <w14:ligatures w14:val="standardContextual"/>
        </w:rPr>
        <w:t xml:space="preserve">. This new regime includes the end of reduced consumption taxes on motor fuels, which, combined with a green tax, will lead to significant increases in fuel prices. The green tax is expected to increase gradually in the coming years, from EUR </w:t>
      </w:r>
      <w:r w:rsidRPr="00EA4C9B">
        <w:rPr>
          <w:rFonts w:ascii="Calibri" w:eastAsia="Aptos" w:hAnsi="Calibri" w:cs="Calibri"/>
          <w:kern w:val="2"/>
          <w14:ligatures w14:val="standardContextual"/>
        </w:rPr>
        <w:lastRenderedPageBreak/>
        <w:t>0.05 per litre in 2025 to EUR 0.25 per litre in 2033. A carbon tax is also expected for industrial fuels and polluting industries. A third aspect of the new regime, introduced in a separate bill, is the introduction of a “lodging tax”, which is comparable to a tourist tax, consisting of a EUR 2.50 fee per night. This tax is meant to help battle the effects of tourism on waste</w:t>
      </w:r>
      <w:r w:rsidRPr="00EA4C9B">
        <w:rPr>
          <w:rStyle w:val="FootnoteReference"/>
          <w:rFonts w:ascii="Calibri" w:eastAsia="Aptos" w:hAnsi="Calibri" w:cs="Calibri"/>
          <w:kern w:val="2"/>
          <w14:ligatures w14:val="standardContextual"/>
        </w:rPr>
        <w:footnoteReference w:id="184"/>
      </w:r>
      <w:r w:rsidRPr="00EA4C9B">
        <w:rPr>
          <w:rFonts w:ascii="Calibri" w:eastAsia="Aptos" w:hAnsi="Calibri" w:cs="Calibri"/>
          <w:kern w:val="2"/>
          <w14:ligatures w14:val="standardContextual"/>
        </w:rPr>
        <w:t xml:space="preserve">. These changes will start to be implemented in </w:t>
      </w:r>
      <w:r w:rsidR="001C6086" w:rsidRPr="00EA4C9B">
        <w:rPr>
          <w:rFonts w:ascii="Calibri" w:eastAsia="Aptos" w:hAnsi="Calibri" w:cs="Calibri"/>
          <w:kern w:val="2"/>
          <w14:ligatures w14:val="standardContextual"/>
        </w:rPr>
        <w:t>May</w:t>
      </w:r>
      <w:r w:rsidRPr="00EA4C9B">
        <w:rPr>
          <w:rFonts w:ascii="Calibri" w:eastAsia="Aptos" w:hAnsi="Calibri" w:cs="Calibri"/>
          <w:kern w:val="2"/>
          <w14:ligatures w14:val="standardContextual"/>
        </w:rPr>
        <w:t xml:space="preserve"> 2025, as the plans are in the final preparation stages</w:t>
      </w:r>
      <w:r w:rsidRPr="00EA4C9B">
        <w:rPr>
          <w:rStyle w:val="FootnoteReference"/>
          <w:rFonts w:ascii="Calibri" w:eastAsia="Aptos" w:hAnsi="Calibri" w:cs="Calibri"/>
          <w:kern w:val="2"/>
          <w14:ligatures w14:val="standardContextual"/>
        </w:rPr>
        <w:footnoteReference w:id="185"/>
      </w:r>
      <w:r w:rsidRPr="00EA4C9B">
        <w:rPr>
          <w:rFonts w:ascii="Calibri" w:eastAsia="Aptos" w:hAnsi="Calibri" w:cs="Calibri"/>
          <w:kern w:val="2"/>
          <w14:ligatures w14:val="standardContextual"/>
        </w:rPr>
        <w:t>. In the last two years, the proposal has mostly seen administrative hold-ups, as it required legal review, public consultations, and approval from the Council of Ministers, after which it was presented to the Cyprus parliament</w:t>
      </w:r>
      <w:r w:rsidRPr="00EA4C9B">
        <w:rPr>
          <w:rStyle w:val="FootnoteReference"/>
          <w:rFonts w:ascii="Calibri" w:eastAsia="Aptos" w:hAnsi="Calibri" w:cs="Calibri"/>
          <w:kern w:val="2"/>
          <w14:ligatures w14:val="standardContextual"/>
        </w:rPr>
        <w:footnoteReference w:id="186"/>
      </w:r>
      <w:r w:rsidRPr="00EA4C9B">
        <w:rPr>
          <w:rFonts w:ascii="Calibri" w:eastAsia="Aptos" w:hAnsi="Calibri" w:cs="Calibri"/>
          <w:kern w:val="2"/>
          <w14:ligatures w14:val="standardContextual"/>
        </w:rPr>
        <w:t>.</w:t>
      </w:r>
    </w:p>
    <w:p w14:paraId="30184906" w14:textId="77777777" w:rsidR="00392FDA" w:rsidRPr="00EA4C9B" w:rsidRDefault="00392FDA" w:rsidP="00392FDA">
      <w:pPr>
        <w:pStyle w:val="Heading4"/>
      </w:pPr>
      <w:r w:rsidRPr="00EA4C9B">
        <w:t>Conclusions, country-specific recommendations and reform progress</w:t>
      </w:r>
    </w:p>
    <w:p w14:paraId="2EB640F9" w14:textId="596D6658" w:rsidR="00392FDA" w:rsidRPr="00EA4C9B" w:rsidRDefault="00392FDA" w:rsidP="00392FDA">
      <w:pPr>
        <w:spacing w:after="0"/>
        <w:rPr>
          <w:rFonts w:ascii="Calibri" w:eastAsia="Aptos" w:hAnsi="Calibri" w:cs="Calibri"/>
          <w:kern w:val="2"/>
          <w14:ligatures w14:val="standardContextual"/>
        </w:rPr>
      </w:pPr>
      <w:r w:rsidRPr="00EA4C9B">
        <w:rPr>
          <w:rFonts w:ascii="Calibri" w:eastAsia="Aptos" w:hAnsi="Calibri" w:cs="Calibri"/>
          <w:kern w:val="2"/>
          <w14:ligatures w14:val="standardContextual"/>
        </w:rPr>
        <w:t xml:space="preserve">The </w:t>
      </w:r>
      <w:r w:rsidR="00745C53" w:rsidRPr="00EA4C9B">
        <w:rPr>
          <w:rFonts w:ascii="Calibri" w:eastAsia="Aptos" w:hAnsi="Calibri" w:cs="Calibri"/>
          <w:kern w:val="2"/>
          <w14:ligatures w14:val="standardContextual"/>
        </w:rPr>
        <w:t>E</w:t>
      </w:r>
      <w:r w:rsidR="00745C53">
        <w:rPr>
          <w:rFonts w:ascii="Calibri" w:eastAsia="Aptos" w:hAnsi="Calibri" w:cs="Calibri"/>
          <w:kern w:val="2"/>
          <w14:ligatures w14:val="standardContextual"/>
        </w:rPr>
        <w:t>uropean Semester</w:t>
      </w:r>
      <w:r w:rsidR="00745C53" w:rsidRPr="00EA4C9B">
        <w:rPr>
          <w:rFonts w:ascii="Calibri" w:eastAsia="Aptos" w:hAnsi="Calibri" w:cs="Calibri"/>
          <w:kern w:val="2"/>
          <w14:ligatures w14:val="standardContextual"/>
        </w:rPr>
        <w:t xml:space="preserve"> </w:t>
      </w:r>
      <w:r w:rsidRPr="00EA4C9B">
        <w:rPr>
          <w:rFonts w:ascii="Calibri" w:eastAsia="Aptos" w:hAnsi="Calibri" w:cs="Calibri"/>
          <w:kern w:val="2"/>
          <w14:ligatures w14:val="standardContextual"/>
        </w:rPr>
        <w:t>Country Specific Recommendations</w:t>
      </w:r>
      <w:r w:rsidR="00D07989">
        <w:rPr>
          <w:rStyle w:val="FootnoteReference"/>
          <w:rFonts w:ascii="Calibri" w:eastAsia="Aptos" w:hAnsi="Calibri" w:cs="Calibri"/>
          <w:kern w:val="2"/>
          <w14:ligatures w14:val="standardContextual"/>
        </w:rPr>
        <w:footnoteReference w:id="187"/>
      </w:r>
      <w:r w:rsidR="00745C53">
        <w:rPr>
          <w:rFonts w:ascii="Calibri" w:eastAsia="Aptos" w:hAnsi="Calibri" w:cs="Calibri"/>
          <w:kern w:val="2"/>
          <w14:ligatures w14:val="standardContextual"/>
        </w:rPr>
        <w:t xml:space="preserve"> </w:t>
      </w:r>
      <w:r w:rsidR="00D07989">
        <w:rPr>
          <w:rFonts w:ascii="Calibri" w:eastAsia="Aptos" w:hAnsi="Calibri" w:cs="Calibri"/>
          <w:kern w:val="2"/>
          <w14:ligatures w14:val="standardContextual"/>
        </w:rPr>
        <w:t>have consistently</w:t>
      </w:r>
      <w:r w:rsidRPr="00EA4C9B">
        <w:rPr>
          <w:rFonts w:ascii="Calibri" w:eastAsia="Aptos" w:hAnsi="Calibri" w:cs="Calibri"/>
          <w:kern w:val="2"/>
          <w14:ligatures w14:val="standardContextual"/>
        </w:rPr>
        <w:t xml:space="preserve"> recommend</w:t>
      </w:r>
      <w:r w:rsidR="00D07989">
        <w:rPr>
          <w:rFonts w:ascii="Calibri" w:eastAsia="Aptos" w:hAnsi="Calibri" w:cs="Calibri"/>
          <w:kern w:val="2"/>
          <w14:ligatures w14:val="standardContextual"/>
        </w:rPr>
        <w:t>ed</w:t>
      </w:r>
      <w:r w:rsidRPr="00EA4C9B">
        <w:rPr>
          <w:rFonts w:ascii="Calibri" w:eastAsia="Aptos" w:hAnsi="Calibri" w:cs="Calibri"/>
          <w:kern w:val="2"/>
          <w14:ligatures w14:val="standardContextual"/>
        </w:rPr>
        <w:t xml:space="preserve"> Cyprus to improve its water management and wastewater treatment, especially with regards to the agricultural sector’s water-use. Investments should be made in the different stages of the water-use cycle. The recycling and reducing of waste is also mentioned as a point of concern, with special attention to the separate collection of municipal waste and packaging waste. With the newly (to be) implemented measures, waste management is expected to improve. Specific measures to address the resource use and pollution of the agricultural sector are potential next steps to follow up on the CSRs. Other recommendations address the reliance on fossil fuels, also to reduce the reliance on energy imports and to reduce energy poverty</w:t>
      </w:r>
      <w:r w:rsidRPr="00EA4C9B">
        <w:rPr>
          <w:rStyle w:val="FootnoteReference"/>
          <w:rFonts w:ascii="Calibri" w:eastAsia="Aptos" w:hAnsi="Calibri" w:cs="Calibri"/>
        </w:rPr>
        <w:footnoteReference w:id="188"/>
      </w:r>
      <w:r w:rsidRPr="00EA4C9B">
        <w:rPr>
          <w:rFonts w:ascii="Calibri" w:eastAsia="Aptos" w:hAnsi="Calibri" w:cs="Calibri"/>
          <w:kern w:val="2"/>
          <w14:ligatures w14:val="standardContextual"/>
        </w:rPr>
        <w:t>.</w:t>
      </w:r>
    </w:p>
    <w:p w14:paraId="20E76979" w14:textId="77777777" w:rsidR="00392FDA" w:rsidRPr="00EA4C9B" w:rsidRDefault="00392FDA" w:rsidP="009E1B64">
      <w:pPr>
        <w:pStyle w:val="Bulletlist"/>
        <w:numPr>
          <w:ilvl w:val="0"/>
          <w:numId w:val="0"/>
        </w:numPr>
      </w:pPr>
    </w:p>
    <w:p w14:paraId="68C618B4" w14:textId="77777777" w:rsidR="00392FDA" w:rsidRPr="00EA4C9B" w:rsidRDefault="00392FDA" w:rsidP="009E1B64">
      <w:pPr>
        <w:pStyle w:val="Bulletlist"/>
        <w:numPr>
          <w:ilvl w:val="0"/>
          <w:numId w:val="0"/>
        </w:numPr>
      </w:pPr>
      <w:r w:rsidRPr="00EA4C9B">
        <w:t>Comparing Cyprus’ tax rates with other Member States shows that the rate for the landfill tax is relatively low at EUR 35. However, the rate will be increased to EUR 70 in the coming years.</w:t>
      </w:r>
    </w:p>
    <w:p w14:paraId="12AE91C0" w14:textId="77777777" w:rsidR="00392FDA" w:rsidRPr="00EA4C9B" w:rsidRDefault="00392FDA" w:rsidP="009E1B64">
      <w:pPr>
        <w:pStyle w:val="Bulletlist"/>
        <w:numPr>
          <w:ilvl w:val="0"/>
          <w:numId w:val="0"/>
        </w:numPr>
      </w:pPr>
    </w:p>
    <w:p w14:paraId="4E1A3CDB" w14:textId="77777777" w:rsidR="00392FDA" w:rsidRPr="00EA4C9B" w:rsidRDefault="00392FDA" w:rsidP="009E1B64">
      <w:pPr>
        <w:pStyle w:val="Bulletlist"/>
        <w:numPr>
          <w:ilvl w:val="0"/>
          <w:numId w:val="0"/>
        </w:numPr>
        <w:rPr>
          <w:rFonts w:ascii="Aptos Narrow" w:eastAsia="Aptos Narrow" w:hAnsi="Aptos Narrow" w:cs="Aptos Narrow"/>
        </w:rPr>
      </w:pPr>
      <w:r w:rsidRPr="00EA4C9B">
        <w:t xml:space="preserve">The taxation system of Cyprus is highly centralized with little variation among municipalities. Cyprus is an extremely water scarce </w:t>
      </w:r>
      <w:r w:rsidRPr="00BA7936">
        <w:rPr>
          <w:rFonts w:ascii="Calibri" w:hAnsi="Calibri" w:cs="Calibri"/>
        </w:rPr>
        <w:t>country</w:t>
      </w:r>
      <w:r w:rsidRPr="00745C53">
        <w:rPr>
          <w:rStyle w:val="FootnoteReference"/>
          <w:rFonts w:ascii="Calibri" w:eastAsia="Calibri" w:hAnsi="Calibri" w:cs="Calibri"/>
          <w:color w:val="000000" w:themeColor="text1"/>
        </w:rPr>
        <w:footnoteReference w:id="189"/>
      </w:r>
      <w:r w:rsidRPr="00BA7936">
        <w:rPr>
          <w:rFonts w:ascii="Calibri" w:hAnsi="Calibri" w:cs="Calibri"/>
        </w:rPr>
        <w:t xml:space="preserve">, therefore water pricing plays a central role in preserving drinking and irrigation water. A water tax of EUR </w:t>
      </w:r>
      <w:r w:rsidRPr="00BA7936">
        <w:rPr>
          <w:rFonts w:ascii="Calibri" w:eastAsia="Aptos Narrow" w:hAnsi="Calibri" w:cs="Calibri"/>
        </w:rPr>
        <w:t>0.01 plus VAT is planned to be introduced in 2025 as part of the green tax regime.</w:t>
      </w:r>
      <w:r w:rsidRPr="00BA7936">
        <w:rPr>
          <w:rStyle w:val="FootnoteReference"/>
          <w:rFonts w:ascii="Calibri" w:eastAsia="Aptos Narrow" w:hAnsi="Calibri" w:cs="Calibri"/>
          <w:color w:val="000000" w:themeColor="text1"/>
        </w:rPr>
        <w:footnoteReference w:id="190"/>
      </w:r>
      <w:r w:rsidRPr="00BA7936">
        <w:rPr>
          <w:rFonts w:ascii="Calibri" w:eastAsia="Aptos Narrow" w:hAnsi="Calibri" w:cs="Calibri"/>
        </w:rPr>
        <w:t xml:space="preserve"> The Commission suggested increasing water prices, but this raises concerns for the agricultural industry and food security. Water's price elasticity is also low, therefore only raising prices would not result in a significant change in demand. The Water Development Department prefers to manage water resources by the state, and not by introducing water markets</w:t>
      </w:r>
      <w:r w:rsidRPr="00BA7936">
        <w:rPr>
          <w:rStyle w:val="FootnoteReference"/>
          <w:rFonts w:ascii="Calibri" w:eastAsia="Aptos Narrow" w:hAnsi="Calibri" w:cs="Calibri"/>
          <w:color w:val="000000" w:themeColor="text1"/>
        </w:rPr>
        <w:footnoteReference w:id="191"/>
      </w:r>
      <w:r w:rsidRPr="00BA7936">
        <w:rPr>
          <w:rFonts w:ascii="Calibri" w:eastAsia="Aptos Narrow" w:hAnsi="Calibri" w:cs="Calibri"/>
        </w:rPr>
        <w:t>.</w:t>
      </w:r>
    </w:p>
    <w:p w14:paraId="5F9D69AF" w14:textId="77777777" w:rsidR="00392FDA" w:rsidRPr="00C92347" w:rsidRDefault="00392FDA" w:rsidP="007C4EB7">
      <w:pPr>
        <w:pStyle w:val="AnnexHeading2"/>
        <w:rPr>
          <w:rFonts w:eastAsia="Aptos Narrow"/>
        </w:rPr>
      </w:pPr>
      <w:bookmarkStart w:id="143" w:name="_Toc214008851"/>
      <w:r w:rsidRPr="00C92347">
        <w:rPr>
          <w:rFonts w:eastAsia="Aptos Narrow"/>
        </w:rPr>
        <w:t>Potential for implementing additional environmental taxes</w:t>
      </w:r>
      <w:bookmarkEnd w:id="143"/>
      <w:r w:rsidRPr="00C92347">
        <w:rPr>
          <w:rFonts w:eastAsia="Aptos Narrow"/>
        </w:rPr>
        <w:t xml:space="preserve"> </w:t>
      </w:r>
    </w:p>
    <w:p w14:paraId="6861E7F7" w14:textId="77777777" w:rsidR="00392FDA" w:rsidRPr="00EA4C9B" w:rsidRDefault="00392FDA" w:rsidP="00392FDA">
      <w:r w:rsidRPr="00EA4C9B">
        <w:t xml:space="preserve">The 2016 Eunomia/IEEP report on environmental taxation in the EU Member States recommended that Cyprus adopt a range of taxes to address resource use and pollution. Their suggestions included an aggregates tax, taxes for landfill and incineration, packaging, single-use carrier bags, air pollution, water abstraction and wastewater, as well as pesticides and fertilisers. The report particularly emphasised the importance of implementing a landfill tax, as landfilling rates in Cyprus were among the highest in the EU. It was also stressed that air pollution was relatively high (above thresholds), as such air pollution taxes were considered an important measure. Water abstraction taxes were also </w:t>
      </w:r>
      <w:r w:rsidRPr="00EA4C9B">
        <w:lastRenderedPageBreak/>
        <w:t xml:space="preserve">deemed an important complement to existing irrigation water charges to prevent severe water stress and impacts on freshwater ecosystems. </w:t>
      </w:r>
    </w:p>
    <w:p w14:paraId="6AB8C613" w14:textId="54FC2B10" w:rsidR="007229F8" w:rsidRDefault="00392FDA" w:rsidP="00392FDA">
      <w:r w:rsidRPr="00EA4C9B">
        <w:t xml:space="preserve">Two of these three most pressing issues have been addressed by Cyprus with the adoption of a water consumption tax in 2017 and the upcoming implementation of a municipal waste landfill tax. While some municipalities also apply PAYT schemes, these are highly localized and therefore limited in their national impact. </w:t>
      </w:r>
      <w:r w:rsidR="008D745C" w:rsidRPr="008D745C">
        <w:t xml:space="preserve">This aligns with the Commission’s 2025 EU waste recycling targets assessment, which encourages </w:t>
      </w:r>
      <w:r w:rsidR="008D745C">
        <w:t>Cyprus</w:t>
      </w:r>
      <w:r w:rsidR="008D745C" w:rsidRPr="008D745C">
        <w:t xml:space="preserve"> to make wider use of economic instruments—such as </w:t>
      </w:r>
      <w:r w:rsidR="008D745C" w:rsidRPr="00BA7936">
        <w:rPr>
          <w:b/>
          <w:bCs/>
        </w:rPr>
        <w:t>pay-as-you-throw systems and landfill taxation</w:t>
      </w:r>
      <w:r w:rsidR="008D745C" w:rsidRPr="008D745C">
        <w:t>—to drive separate collection and reduce reliance on landfilling</w:t>
      </w:r>
      <w:r w:rsidR="008D745C">
        <w:rPr>
          <w:rStyle w:val="FootnoteReference"/>
        </w:rPr>
        <w:footnoteReference w:id="192"/>
      </w:r>
      <w:r w:rsidR="008D745C" w:rsidRPr="008D745C">
        <w:t>.</w:t>
      </w:r>
      <w:r w:rsidR="008D745C">
        <w:t xml:space="preserve"> </w:t>
      </w:r>
      <w:r w:rsidRPr="00EA4C9B">
        <w:t xml:space="preserve">The expected green tax reform may further improve the situation, although it will likely focus on energy and transport rather than pollution and resources. As a result, many of the 2016 Eunomia/IEEP recommendations are still relevant today. </w:t>
      </w:r>
    </w:p>
    <w:p w14:paraId="2C7C72D8" w14:textId="641CB064" w:rsidR="00232357" w:rsidRDefault="00232357" w:rsidP="007C4EB7">
      <w:pPr>
        <w:pStyle w:val="AnnexHeading2"/>
      </w:pPr>
      <w:bookmarkStart w:id="144" w:name="_Toc214008852"/>
      <w:r w:rsidRPr="00EA4C9B">
        <w:t>Impacts and feasibility of implementing new environmental taxes</w:t>
      </w:r>
      <w:bookmarkEnd w:id="144"/>
    </w:p>
    <w:p w14:paraId="4D72B025" w14:textId="5473AB7F" w:rsidR="00FA6252" w:rsidRDefault="00FA6252" w:rsidP="00D12D7A">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71513EF5" w14:textId="726301D8" w:rsidR="00D12D7A" w:rsidRDefault="00D12D7A" w:rsidP="00D12D7A">
      <w:r w:rsidRPr="00D12D7A">
        <w:t>Cyprus currently applies a limited number of environmental taxes, mainly in the areas of energy and waste management. While several regulatory fees exist, economic instruments targeting pollution, water abstraction, and resource use remain underdeveloped. The modelling results show that introducing the benchmarked environmental taxes could generate moderate fiscal gains and meaningful environmental benefits. Under Scenario A, total additional revenues would increase by roughly 0.5 per cent of environmental tax receipts in 2030, while reductions in pollutants, waste, and resource extraction would range between 8 and 14 per cent. Under Scenario B, fiscal and environmental effects would be about half this scale but remain positive, confirming that Cyprus has untapped potential to strengthen its environmental tax base.</w:t>
      </w:r>
    </w:p>
    <w:p w14:paraId="6B63A61E" w14:textId="263E5703" w:rsidR="00D12D7A" w:rsidRDefault="00D12D7A" w:rsidP="00D12D7A">
      <w:r>
        <w:t xml:space="preserve">Total revenues from the </w:t>
      </w:r>
      <w:r w:rsidR="007B606C">
        <w:t>investigated</w:t>
      </w:r>
      <w:r>
        <w:t xml:space="preserve"> taxes could rise by €126 million in 2030 and €119 million in 2035, respectively 1.8 and 1.7 times the revenues for pollution and resource taxes in 2023. The main contributors to the gains are mineral extraction (34%), water abstraction (27%), waste to landfill (15%) and water effluent (13%). As waste incineration is not practiced this sector does not contribute to tax revenues. Reduction in emissions or use of materials is greatest for pesticides (33%), SO2 (32%), water abstraction (30%) and waste to landfill (25%). </w:t>
      </w: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26"/>
        <w:gridCol w:w="1126"/>
        <w:gridCol w:w="1032"/>
        <w:gridCol w:w="1220"/>
        <w:gridCol w:w="969"/>
        <w:gridCol w:w="1283"/>
      </w:tblGrid>
      <w:tr w:rsidR="00D12D7A" w:rsidRPr="00BF36B9" w14:paraId="44D7DE37" w14:textId="77777777" w:rsidTr="001A6AFA">
        <w:trPr>
          <w:trHeight w:val="264"/>
          <w:tblHeader/>
        </w:trPr>
        <w:tc>
          <w:tcPr>
            <w:tcW w:w="9008" w:type="dxa"/>
            <w:gridSpan w:val="7"/>
            <w:shd w:val="clear" w:color="auto" w:fill="003399"/>
          </w:tcPr>
          <w:p w14:paraId="68E8C4EE" w14:textId="345658D4" w:rsidR="00D12D7A" w:rsidRPr="00BF36B9" w:rsidRDefault="00D12D7A" w:rsidP="000878F6">
            <w:pPr>
              <w:pStyle w:val="Table"/>
              <w:rPr>
                <w:b/>
                <w:color w:val="FFFFFF" w:themeColor="background1"/>
                <w:szCs w:val="20"/>
                <w:lang w:eastAsia="en-GB"/>
              </w:rPr>
            </w:pPr>
            <w:r w:rsidRPr="00BF36B9">
              <w:rPr>
                <w:b/>
                <w:color w:val="FFFFFF" w:themeColor="background1"/>
                <w:szCs w:val="20"/>
              </w:rPr>
              <w:t xml:space="preserve">Table </w:t>
            </w:r>
            <w:r w:rsidR="00490085">
              <w:rPr>
                <w:b/>
                <w:bCs/>
                <w:color w:val="FFFFFF" w:themeColor="background1"/>
                <w:szCs w:val="20"/>
              </w:rPr>
              <w:t>A6</w:t>
            </w:r>
            <w:r w:rsidRPr="00BF36B9">
              <w:rPr>
                <w:b/>
                <w:bCs/>
                <w:color w:val="FFFFFF" w:themeColor="background1"/>
                <w:szCs w:val="20"/>
              </w:rPr>
              <w:t>-</w:t>
            </w:r>
            <w:r w:rsidRPr="00BF36B9">
              <w:rPr>
                <w:b/>
                <w:bCs/>
                <w:color w:val="FFFFFF" w:themeColor="background1"/>
                <w:szCs w:val="20"/>
              </w:rPr>
              <w:fldChar w:fldCharType="begin"/>
            </w:r>
            <w:r w:rsidRPr="00BF36B9">
              <w:rPr>
                <w:b/>
                <w:bCs/>
                <w:color w:val="FFFFFF" w:themeColor="background1"/>
                <w:szCs w:val="20"/>
              </w:rPr>
              <w:instrText xml:space="preserve"> SEQ Table_A5- \* ARABIC </w:instrText>
            </w:r>
            <w:r w:rsidRPr="00BF36B9">
              <w:rPr>
                <w:b/>
                <w:bCs/>
                <w:color w:val="FFFFFF" w:themeColor="background1"/>
                <w:szCs w:val="20"/>
              </w:rPr>
              <w:fldChar w:fldCharType="separate"/>
            </w:r>
            <w:r>
              <w:rPr>
                <w:b/>
                <w:bCs/>
                <w:noProof/>
                <w:color w:val="FFFFFF" w:themeColor="background1"/>
                <w:szCs w:val="20"/>
              </w:rPr>
              <w:t>29</w:t>
            </w:r>
            <w:r w:rsidRPr="00BF36B9">
              <w:rPr>
                <w:b/>
                <w:bCs/>
                <w:color w:val="FFFFFF" w:themeColor="background1"/>
                <w:szCs w:val="20"/>
              </w:rPr>
              <w:fldChar w:fldCharType="end"/>
            </w:r>
            <w:r w:rsidRPr="00BF36B9">
              <w:rPr>
                <w:b/>
                <w:bCs/>
                <w:color w:val="FFFFFF" w:themeColor="background1"/>
                <w:szCs w:val="20"/>
              </w:rPr>
              <w:t>:</w:t>
            </w:r>
            <w:r w:rsidRPr="00BF36B9">
              <w:rPr>
                <w:b/>
                <w:color w:val="FFFFFF" w:themeColor="background1"/>
                <w:szCs w:val="20"/>
              </w:rPr>
              <w:t xml:space="preserve"> </w:t>
            </w:r>
            <w:r w:rsidRPr="00BF36B9">
              <w:rPr>
                <w:b/>
                <w:color w:val="FFFFFF" w:themeColor="background1"/>
                <w:szCs w:val="20"/>
                <w:lang w:eastAsia="en-GB"/>
              </w:rPr>
              <w:t>Environmental Impacts and Revenue Changes in Cyprus – Scenario A</w:t>
            </w:r>
          </w:p>
        </w:tc>
      </w:tr>
      <w:tr w:rsidR="00D12D7A" w:rsidRPr="00BF36B9" w14:paraId="6FE05EF2" w14:textId="77777777" w:rsidTr="001A6AFA">
        <w:trPr>
          <w:trHeight w:val="504"/>
          <w:tblHeader/>
        </w:trPr>
        <w:tc>
          <w:tcPr>
            <w:tcW w:w="2252" w:type="dxa"/>
          </w:tcPr>
          <w:p w14:paraId="2874B235" w14:textId="77777777" w:rsidR="00D12D7A" w:rsidRPr="00BF36B9" w:rsidRDefault="00D12D7A" w:rsidP="000878F6">
            <w:pPr>
              <w:pStyle w:val="Table"/>
              <w:rPr>
                <w:b/>
                <w:szCs w:val="20"/>
              </w:rPr>
            </w:pPr>
            <w:r w:rsidRPr="00BF36B9">
              <w:rPr>
                <w:b/>
                <w:szCs w:val="20"/>
              </w:rPr>
              <w:t>Tax Name</w:t>
            </w:r>
          </w:p>
        </w:tc>
        <w:tc>
          <w:tcPr>
            <w:tcW w:w="2252" w:type="dxa"/>
            <w:gridSpan w:val="2"/>
            <w:vAlign w:val="bottom"/>
          </w:tcPr>
          <w:p w14:paraId="1FE56702" w14:textId="77777777" w:rsidR="00D12D7A" w:rsidRPr="00BF36B9" w:rsidRDefault="00D12D7A" w:rsidP="000878F6">
            <w:pPr>
              <w:pStyle w:val="Table"/>
              <w:jc w:val="center"/>
              <w:rPr>
                <w:b/>
                <w:szCs w:val="20"/>
              </w:rPr>
            </w:pPr>
            <w:r>
              <w:rPr>
                <w:rFonts w:ascii="Calibri" w:hAnsi="Calibri" w:cs="Calibri"/>
                <w:b/>
                <w:bCs/>
                <w:color w:val="000000"/>
                <w:szCs w:val="20"/>
              </w:rPr>
              <w:t>% Change in Quantities as % of taxed sector</w:t>
            </w:r>
          </w:p>
        </w:tc>
        <w:tc>
          <w:tcPr>
            <w:tcW w:w="2252" w:type="dxa"/>
            <w:gridSpan w:val="2"/>
            <w:vAlign w:val="bottom"/>
          </w:tcPr>
          <w:p w14:paraId="3EAD83B4" w14:textId="77777777" w:rsidR="00D12D7A" w:rsidRPr="00BF36B9" w:rsidRDefault="00D12D7A" w:rsidP="000878F6">
            <w:pPr>
              <w:pStyle w:val="Table"/>
              <w:jc w:val="center"/>
              <w:rPr>
                <w:b/>
                <w:szCs w:val="20"/>
              </w:rPr>
            </w:pPr>
            <w:r>
              <w:rPr>
                <w:rFonts w:ascii="Calibri" w:hAnsi="Calibri" w:cs="Calibri"/>
                <w:b/>
                <w:bCs/>
                <w:color w:val="000000"/>
                <w:szCs w:val="20"/>
              </w:rPr>
              <w:t>Change in Revenues (€Mn)</w:t>
            </w:r>
          </w:p>
        </w:tc>
        <w:tc>
          <w:tcPr>
            <w:tcW w:w="2252" w:type="dxa"/>
            <w:gridSpan w:val="2"/>
            <w:vAlign w:val="bottom"/>
          </w:tcPr>
          <w:p w14:paraId="21A27146" w14:textId="77777777" w:rsidR="00D12D7A" w:rsidRPr="00BF36B9" w:rsidRDefault="00D12D7A" w:rsidP="000878F6">
            <w:pPr>
              <w:pStyle w:val="Table"/>
              <w:jc w:val="center"/>
              <w:rPr>
                <w:b/>
                <w:szCs w:val="20"/>
              </w:rPr>
            </w:pPr>
            <w:r>
              <w:rPr>
                <w:rFonts w:ascii="Calibri" w:hAnsi="Calibri" w:cs="Calibri"/>
                <w:b/>
                <w:bCs/>
                <w:color w:val="000000"/>
                <w:szCs w:val="20"/>
              </w:rPr>
              <w:t>As % of 2023 Resource Tax</w:t>
            </w:r>
          </w:p>
        </w:tc>
      </w:tr>
      <w:tr w:rsidR="00D12D7A" w:rsidRPr="00BF36B9" w14:paraId="0F121055" w14:textId="77777777" w:rsidTr="001A6AFA">
        <w:trPr>
          <w:trHeight w:val="242"/>
          <w:tblHeader/>
        </w:trPr>
        <w:tc>
          <w:tcPr>
            <w:tcW w:w="2252" w:type="dxa"/>
          </w:tcPr>
          <w:p w14:paraId="0DA765EC" w14:textId="77777777" w:rsidR="00D12D7A" w:rsidRPr="00BF36B9" w:rsidRDefault="00D12D7A" w:rsidP="000878F6">
            <w:pPr>
              <w:pStyle w:val="Table"/>
              <w:rPr>
                <w:b/>
                <w:szCs w:val="20"/>
              </w:rPr>
            </w:pPr>
            <w:r w:rsidRPr="00BF36B9">
              <w:rPr>
                <w:b/>
                <w:szCs w:val="20"/>
              </w:rPr>
              <w:t>Year</w:t>
            </w:r>
          </w:p>
        </w:tc>
        <w:tc>
          <w:tcPr>
            <w:tcW w:w="1126" w:type="dxa"/>
          </w:tcPr>
          <w:p w14:paraId="69FDD9E3" w14:textId="77777777" w:rsidR="00D12D7A" w:rsidRPr="00BF36B9" w:rsidRDefault="00D12D7A" w:rsidP="000878F6">
            <w:pPr>
              <w:pStyle w:val="Table"/>
              <w:jc w:val="center"/>
              <w:rPr>
                <w:b/>
                <w:szCs w:val="20"/>
              </w:rPr>
            </w:pPr>
            <w:r w:rsidRPr="00BF36B9">
              <w:rPr>
                <w:b/>
                <w:szCs w:val="20"/>
              </w:rPr>
              <w:t>2030</w:t>
            </w:r>
          </w:p>
        </w:tc>
        <w:tc>
          <w:tcPr>
            <w:tcW w:w="1126" w:type="dxa"/>
          </w:tcPr>
          <w:p w14:paraId="4A9CBA6C" w14:textId="77777777" w:rsidR="00D12D7A" w:rsidRPr="00BF36B9" w:rsidRDefault="00D12D7A" w:rsidP="000878F6">
            <w:pPr>
              <w:pStyle w:val="Table"/>
              <w:jc w:val="center"/>
              <w:rPr>
                <w:b/>
                <w:szCs w:val="20"/>
              </w:rPr>
            </w:pPr>
            <w:r w:rsidRPr="00BF36B9">
              <w:rPr>
                <w:b/>
                <w:szCs w:val="20"/>
              </w:rPr>
              <w:t>2035</w:t>
            </w:r>
          </w:p>
        </w:tc>
        <w:tc>
          <w:tcPr>
            <w:tcW w:w="1032" w:type="dxa"/>
          </w:tcPr>
          <w:p w14:paraId="79A89CB8" w14:textId="77777777" w:rsidR="00D12D7A" w:rsidRPr="00BF36B9" w:rsidRDefault="00D12D7A" w:rsidP="000878F6">
            <w:pPr>
              <w:pStyle w:val="Table"/>
              <w:jc w:val="center"/>
              <w:rPr>
                <w:b/>
                <w:szCs w:val="20"/>
              </w:rPr>
            </w:pPr>
            <w:r w:rsidRPr="00BF36B9">
              <w:rPr>
                <w:b/>
                <w:szCs w:val="20"/>
              </w:rPr>
              <w:t>2030</w:t>
            </w:r>
          </w:p>
        </w:tc>
        <w:tc>
          <w:tcPr>
            <w:tcW w:w="1220" w:type="dxa"/>
          </w:tcPr>
          <w:p w14:paraId="549136BA" w14:textId="77777777" w:rsidR="00D12D7A" w:rsidRPr="00BF36B9" w:rsidRDefault="00D12D7A" w:rsidP="000878F6">
            <w:pPr>
              <w:pStyle w:val="Table"/>
              <w:jc w:val="center"/>
              <w:rPr>
                <w:b/>
                <w:szCs w:val="20"/>
              </w:rPr>
            </w:pPr>
            <w:r w:rsidRPr="00BF36B9">
              <w:rPr>
                <w:b/>
                <w:szCs w:val="20"/>
              </w:rPr>
              <w:t>2035</w:t>
            </w:r>
          </w:p>
        </w:tc>
        <w:tc>
          <w:tcPr>
            <w:tcW w:w="969" w:type="dxa"/>
          </w:tcPr>
          <w:p w14:paraId="61ED6F62" w14:textId="77777777" w:rsidR="00D12D7A" w:rsidRPr="00BF36B9" w:rsidRDefault="00D12D7A" w:rsidP="000878F6">
            <w:pPr>
              <w:pStyle w:val="Table"/>
              <w:jc w:val="center"/>
              <w:rPr>
                <w:b/>
                <w:szCs w:val="20"/>
              </w:rPr>
            </w:pPr>
            <w:r w:rsidRPr="00BF36B9">
              <w:rPr>
                <w:b/>
                <w:szCs w:val="20"/>
              </w:rPr>
              <w:t>2030</w:t>
            </w:r>
          </w:p>
        </w:tc>
        <w:tc>
          <w:tcPr>
            <w:tcW w:w="1283" w:type="dxa"/>
          </w:tcPr>
          <w:p w14:paraId="6CD6FF6E" w14:textId="77777777" w:rsidR="00D12D7A" w:rsidRPr="00BF36B9" w:rsidRDefault="00D12D7A" w:rsidP="000878F6">
            <w:pPr>
              <w:pStyle w:val="Table"/>
              <w:jc w:val="center"/>
              <w:rPr>
                <w:b/>
                <w:szCs w:val="20"/>
              </w:rPr>
            </w:pPr>
            <w:r w:rsidRPr="00BF36B9">
              <w:rPr>
                <w:b/>
                <w:szCs w:val="20"/>
              </w:rPr>
              <w:t>2035</w:t>
            </w:r>
          </w:p>
        </w:tc>
      </w:tr>
      <w:tr w:rsidR="00D12D7A" w:rsidRPr="00BF36B9" w14:paraId="118BCD2E" w14:textId="77777777" w:rsidTr="00506A7C">
        <w:trPr>
          <w:trHeight w:val="242"/>
        </w:trPr>
        <w:tc>
          <w:tcPr>
            <w:tcW w:w="2252" w:type="dxa"/>
          </w:tcPr>
          <w:p w14:paraId="4309399C" w14:textId="77777777" w:rsidR="00D12D7A" w:rsidRPr="00BF36B9" w:rsidRDefault="00D12D7A" w:rsidP="000878F6">
            <w:pPr>
              <w:pStyle w:val="Table"/>
              <w:rPr>
                <w:szCs w:val="20"/>
              </w:rPr>
            </w:pPr>
            <w:r w:rsidRPr="00BF36B9">
              <w:rPr>
                <w:szCs w:val="20"/>
              </w:rPr>
              <w:t>NOx</w:t>
            </w:r>
          </w:p>
        </w:tc>
        <w:tc>
          <w:tcPr>
            <w:tcW w:w="1126" w:type="dxa"/>
            <w:vAlign w:val="center"/>
          </w:tcPr>
          <w:p w14:paraId="53F4005E" w14:textId="77777777" w:rsidR="00D12D7A" w:rsidRPr="00BF36B9" w:rsidRDefault="00D12D7A" w:rsidP="000878F6">
            <w:pPr>
              <w:pStyle w:val="Table"/>
              <w:jc w:val="center"/>
              <w:rPr>
                <w:szCs w:val="20"/>
              </w:rPr>
            </w:pPr>
            <w:r w:rsidRPr="00BF36B9">
              <w:rPr>
                <w:rFonts w:ascii="Calibri" w:hAnsi="Calibri" w:cs="Calibri"/>
                <w:color w:val="000000"/>
                <w:szCs w:val="20"/>
              </w:rPr>
              <w:t>-28,57%</w:t>
            </w:r>
          </w:p>
        </w:tc>
        <w:tc>
          <w:tcPr>
            <w:tcW w:w="1126" w:type="dxa"/>
            <w:vAlign w:val="center"/>
          </w:tcPr>
          <w:p w14:paraId="52BF092A" w14:textId="77777777" w:rsidR="00D12D7A" w:rsidRPr="00BF36B9" w:rsidRDefault="00D12D7A" w:rsidP="000878F6">
            <w:pPr>
              <w:pStyle w:val="Table"/>
              <w:jc w:val="center"/>
              <w:rPr>
                <w:szCs w:val="20"/>
              </w:rPr>
            </w:pPr>
            <w:r w:rsidRPr="00BF36B9">
              <w:rPr>
                <w:rFonts w:ascii="Calibri" w:hAnsi="Calibri" w:cs="Calibri"/>
                <w:color w:val="000000"/>
                <w:szCs w:val="20"/>
              </w:rPr>
              <w:t>-28,57%</w:t>
            </w:r>
          </w:p>
        </w:tc>
        <w:tc>
          <w:tcPr>
            <w:tcW w:w="1032" w:type="dxa"/>
            <w:vAlign w:val="center"/>
          </w:tcPr>
          <w:p w14:paraId="05CF6322" w14:textId="77777777" w:rsidR="00D12D7A" w:rsidRPr="00BF36B9" w:rsidRDefault="00D12D7A" w:rsidP="000878F6">
            <w:pPr>
              <w:pStyle w:val="Table"/>
              <w:jc w:val="center"/>
              <w:rPr>
                <w:szCs w:val="20"/>
              </w:rPr>
            </w:pPr>
            <w:r w:rsidRPr="00BF36B9">
              <w:rPr>
                <w:rFonts w:ascii="Calibri" w:hAnsi="Calibri" w:cs="Calibri"/>
                <w:color w:val="000000"/>
                <w:szCs w:val="20"/>
              </w:rPr>
              <w:t>0,12</w:t>
            </w:r>
          </w:p>
        </w:tc>
        <w:tc>
          <w:tcPr>
            <w:tcW w:w="1220" w:type="dxa"/>
            <w:vAlign w:val="center"/>
          </w:tcPr>
          <w:p w14:paraId="001ABEC9" w14:textId="77777777" w:rsidR="00D12D7A" w:rsidRPr="00BF36B9" w:rsidRDefault="00D12D7A" w:rsidP="000878F6">
            <w:pPr>
              <w:pStyle w:val="Table"/>
              <w:jc w:val="center"/>
              <w:rPr>
                <w:szCs w:val="20"/>
              </w:rPr>
            </w:pPr>
            <w:r w:rsidRPr="00BF36B9">
              <w:rPr>
                <w:rFonts w:ascii="Calibri" w:hAnsi="Calibri" w:cs="Calibri"/>
                <w:color w:val="000000"/>
                <w:szCs w:val="20"/>
              </w:rPr>
              <w:t>0,13</w:t>
            </w:r>
          </w:p>
        </w:tc>
        <w:tc>
          <w:tcPr>
            <w:tcW w:w="969" w:type="dxa"/>
            <w:vAlign w:val="center"/>
          </w:tcPr>
          <w:p w14:paraId="1D15D7AC" w14:textId="77777777" w:rsidR="00D12D7A" w:rsidRPr="00BF36B9" w:rsidRDefault="00D12D7A" w:rsidP="000878F6">
            <w:pPr>
              <w:pStyle w:val="Table"/>
              <w:jc w:val="center"/>
              <w:rPr>
                <w:szCs w:val="20"/>
              </w:rPr>
            </w:pPr>
            <w:r w:rsidRPr="00BF36B9">
              <w:rPr>
                <w:rFonts w:ascii="Calibri" w:hAnsi="Calibri" w:cs="Calibri"/>
                <w:color w:val="000000"/>
                <w:szCs w:val="20"/>
              </w:rPr>
              <w:t>0,19%</w:t>
            </w:r>
          </w:p>
        </w:tc>
        <w:tc>
          <w:tcPr>
            <w:tcW w:w="1283" w:type="dxa"/>
            <w:vAlign w:val="center"/>
          </w:tcPr>
          <w:p w14:paraId="69FFB33B" w14:textId="77777777" w:rsidR="00D12D7A" w:rsidRPr="00BF36B9" w:rsidRDefault="00D12D7A" w:rsidP="000878F6">
            <w:pPr>
              <w:pStyle w:val="Table"/>
              <w:jc w:val="center"/>
              <w:rPr>
                <w:szCs w:val="20"/>
              </w:rPr>
            </w:pPr>
            <w:r w:rsidRPr="00BF36B9">
              <w:rPr>
                <w:rFonts w:ascii="Calibri" w:hAnsi="Calibri" w:cs="Calibri"/>
                <w:color w:val="000000"/>
                <w:szCs w:val="20"/>
              </w:rPr>
              <w:t>0,20%</w:t>
            </w:r>
          </w:p>
        </w:tc>
      </w:tr>
      <w:tr w:rsidR="00D12D7A" w:rsidRPr="00BF36B9" w14:paraId="71F92A0A" w14:textId="77777777" w:rsidTr="00506A7C">
        <w:trPr>
          <w:trHeight w:val="242"/>
        </w:trPr>
        <w:tc>
          <w:tcPr>
            <w:tcW w:w="2252" w:type="dxa"/>
          </w:tcPr>
          <w:p w14:paraId="3B4B2305" w14:textId="77777777" w:rsidR="00D12D7A" w:rsidRPr="00BF36B9" w:rsidRDefault="00D12D7A" w:rsidP="000878F6">
            <w:pPr>
              <w:pStyle w:val="Table"/>
              <w:rPr>
                <w:szCs w:val="20"/>
              </w:rPr>
            </w:pPr>
            <w:r w:rsidRPr="00BF36B9">
              <w:rPr>
                <w:szCs w:val="20"/>
              </w:rPr>
              <w:t>SO2</w:t>
            </w:r>
          </w:p>
        </w:tc>
        <w:tc>
          <w:tcPr>
            <w:tcW w:w="1126" w:type="dxa"/>
            <w:vAlign w:val="center"/>
          </w:tcPr>
          <w:p w14:paraId="4C8B5154" w14:textId="77777777" w:rsidR="00D12D7A" w:rsidRPr="00BF36B9" w:rsidRDefault="00D12D7A" w:rsidP="000878F6">
            <w:pPr>
              <w:pStyle w:val="Table"/>
              <w:jc w:val="center"/>
              <w:rPr>
                <w:szCs w:val="20"/>
              </w:rPr>
            </w:pPr>
            <w:r w:rsidRPr="00BF36B9">
              <w:rPr>
                <w:rFonts w:ascii="Calibri" w:hAnsi="Calibri" w:cs="Calibri"/>
                <w:color w:val="000000"/>
                <w:szCs w:val="20"/>
              </w:rPr>
              <w:t>-32,43%</w:t>
            </w:r>
          </w:p>
        </w:tc>
        <w:tc>
          <w:tcPr>
            <w:tcW w:w="1126" w:type="dxa"/>
            <w:vAlign w:val="center"/>
          </w:tcPr>
          <w:p w14:paraId="17BBED8B" w14:textId="77777777" w:rsidR="00D12D7A" w:rsidRPr="00BF36B9" w:rsidRDefault="00D12D7A" w:rsidP="000878F6">
            <w:pPr>
              <w:pStyle w:val="Table"/>
              <w:jc w:val="center"/>
              <w:rPr>
                <w:szCs w:val="20"/>
              </w:rPr>
            </w:pPr>
            <w:r w:rsidRPr="00BF36B9">
              <w:rPr>
                <w:rFonts w:ascii="Calibri" w:hAnsi="Calibri" w:cs="Calibri"/>
                <w:color w:val="000000"/>
                <w:szCs w:val="20"/>
              </w:rPr>
              <w:t>-32,43%</w:t>
            </w:r>
          </w:p>
        </w:tc>
        <w:tc>
          <w:tcPr>
            <w:tcW w:w="1032" w:type="dxa"/>
            <w:vAlign w:val="center"/>
          </w:tcPr>
          <w:p w14:paraId="1F94A1CC" w14:textId="77777777" w:rsidR="00D12D7A" w:rsidRPr="00BF36B9" w:rsidRDefault="00D12D7A" w:rsidP="000878F6">
            <w:pPr>
              <w:pStyle w:val="Table"/>
              <w:jc w:val="center"/>
              <w:rPr>
                <w:szCs w:val="20"/>
              </w:rPr>
            </w:pPr>
            <w:r w:rsidRPr="00BF36B9">
              <w:rPr>
                <w:rFonts w:ascii="Calibri" w:hAnsi="Calibri" w:cs="Calibri"/>
                <w:color w:val="000000"/>
                <w:szCs w:val="20"/>
              </w:rPr>
              <w:t>7,29</w:t>
            </w:r>
          </w:p>
        </w:tc>
        <w:tc>
          <w:tcPr>
            <w:tcW w:w="1220" w:type="dxa"/>
            <w:vAlign w:val="center"/>
          </w:tcPr>
          <w:p w14:paraId="240FE0B5" w14:textId="77777777" w:rsidR="00D12D7A" w:rsidRPr="00BF36B9" w:rsidRDefault="00D12D7A" w:rsidP="000878F6">
            <w:pPr>
              <w:pStyle w:val="Table"/>
              <w:jc w:val="center"/>
              <w:rPr>
                <w:szCs w:val="20"/>
              </w:rPr>
            </w:pPr>
            <w:r w:rsidRPr="00BF36B9">
              <w:rPr>
                <w:rFonts w:ascii="Calibri" w:hAnsi="Calibri" w:cs="Calibri"/>
                <w:color w:val="000000"/>
                <w:szCs w:val="20"/>
              </w:rPr>
              <w:t>6,13</w:t>
            </w:r>
          </w:p>
        </w:tc>
        <w:tc>
          <w:tcPr>
            <w:tcW w:w="969" w:type="dxa"/>
            <w:vAlign w:val="center"/>
          </w:tcPr>
          <w:p w14:paraId="102C522E" w14:textId="77777777" w:rsidR="00D12D7A" w:rsidRPr="00BF36B9" w:rsidRDefault="00D12D7A" w:rsidP="000878F6">
            <w:pPr>
              <w:pStyle w:val="Table"/>
              <w:jc w:val="center"/>
              <w:rPr>
                <w:szCs w:val="20"/>
              </w:rPr>
            </w:pPr>
            <w:r w:rsidRPr="00BF36B9">
              <w:rPr>
                <w:rFonts w:ascii="Calibri" w:hAnsi="Calibri" w:cs="Calibri"/>
                <w:color w:val="000000"/>
                <w:szCs w:val="20"/>
              </w:rPr>
              <w:t>11,51%</w:t>
            </w:r>
          </w:p>
        </w:tc>
        <w:tc>
          <w:tcPr>
            <w:tcW w:w="1283" w:type="dxa"/>
            <w:vAlign w:val="center"/>
          </w:tcPr>
          <w:p w14:paraId="0F595AB2" w14:textId="77777777" w:rsidR="00D12D7A" w:rsidRPr="00BF36B9" w:rsidRDefault="00D12D7A" w:rsidP="000878F6">
            <w:pPr>
              <w:pStyle w:val="Table"/>
              <w:jc w:val="center"/>
              <w:rPr>
                <w:szCs w:val="20"/>
              </w:rPr>
            </w:pPr>
            <w:r w:rsidRPr="00BF36B9">
              <w:rPr>
                <w:rFonts w:ascii="Calibri" w:hAnsi="Calibri" w:cs="Calibri"/>
                <w:color w:val="000000"/>
                <w:szCs w:val="20"/>
              </w:rPr>
              <w:t>9,67%</w:t>
            </w:r>
          </w:p>
        </w:tc>
      </w:tr>
      <w:tr w:rsidR="00D12D7A" w:rsidRPr="00BF36B9" w14:paraId="0CBEE9A3" w14:textId="77777777" w:rsidTr="00506A7C">
        <w:trPr>
          <w:trHeight w:val="242"/>
        </w:trPr>
        <w:tc>
          <w:tcPr>
            <w:tcW w:w="2252" w:type="dxa"/>
          </w:tcPr>
          <w:p w14:paraId="7ECEB77E" w14:textId="77777777" w:rsidR="00D12D7A" w:rsidRPr="00BF36B9" w:rsidRDefault="00D12D7A" w:rsidP="000878F6">
            <w:pPr>
              <w:pStyle w:val="Table"/>
              <w:rPr>
                <w:szCs w:val="20"/>
              </w:rPr>
            </w:pPr>
            <w:r w:rsidRPr="00BF36B9">
              <w:rPr>
                <w:szCs w:val="20"/>
              </w:rPr>
              <w:t>PM2.5</w:t>
            </w:r>
          </w:p>
        </w:tc>
        <w:tc>
          <w:tcPr>
            <w:tcW w:w="1126" w:type="dxa"/>
            <w:vAlign w:val="center"/>
          </w:tcPr>
          <w:p w14:paraId="5B625256" w14:textId="77777777" w:rsidR="00D12D7A" w:rsidRPr="00BF36B9" w:rsidRDefault="00D12D7A" w:rsidP="000878F6">
            <w:pPr>
              <w:pStyle w:val="Table"/>
              <w:jc w:val="center"/>
              <w:rPr>
                <w:szCs w:val="20"/>
              </w:rPr>
            </w:pPr>
            <w:r w:rsidRPr="00BF36B9">
              <w:rPr>
                <w:rFonts w:ascii="Calibri" w:hAnsi="Calibri" w:cs="Calibri"/>
                <w:color w:val="000000"/>
                <w:szCs w:val="20"/>
              </w:rPr>
              <w:t>-29,58%</w:t>
            </w:r>
          </w:p>
        </w:tc>
        <w:tc>
          <w:tcPr>
            <w:tcW w:w="1126" w:type="dxa"/>
            <w:vAlign w:val="center"/>
          </w:tcPr>
          <w:p w14:paraId="65FD86EE" w14:textId="77777777" w:rsidR="00D12D7A" w:rsidRPr="00BF36B9" w:rsidRDefault="00D12D7A" w:rsidP="000878F6">
            <w:pPr>
              <w:pStyle w:val="Table"/>
              <w:jc w:val="center"/>
              <w:rPr>
                <w:szCs w:val="20"/>
              </w:rPr>
            </w:pPr>
            <w:r w:rsidRPr="00BF36B9">
              <w:rPr>
                <w:rFonts w:ascii="Calibri" w:hAnsi="Calibri" w:cs="Calibri"/>
                <w:color w:val="000000"/>
                <w:szCs w:val="20"/>
              </w:rPr>
              <w:t>-29,58%</w:t>
            </w:r>
          </w:p>
        </w:tc>
        <w:tc>
          <w:tcPr>
            <w:tcW w:w="1032" w:type="dxa"/>
            <w:vAlign w:val="center"/>
          </w:tcPr>
          <w:p w14:paraId="4A2E428F" w14:textId="77777777" w:rsidR="00D12D7A" w:rsidRPr="00BF36B9" w:rsidRDefault="00D12D7A" w:rsidP="000878F6">
            <w:pPr>
              <w:pStyle w:val="Table"/>
              <w:jc w:val="center"/>
              <w:rPr>
                <w:szCs w:val="20"/>
              </w:rPr>
            </w:pPr>
            <w:r w:rsidRPr="00BF36B9">
              <w:rPr>
                <w:rFonts w:ascii="Calibri" w:hAnsi="Calibri" w:cs="Calibri"/>
                <w:color w:val="000000"/>
                <w:szCs w:val="20"/>
              </w:rPr>
              <w:t>0,31</w:t>
            </w:r>
          </w:p>
        </w:tc>
        <w:tc>
          <w:tcPr>
            <w:tcW w:w="1220" w:type="dxa"/>
            <w:vAlign w:val="center"/>
          </w:tcPr>
          <w:p w14:paraId="6BBC4994" w14:textId="77777777" w:rsidR="00D12D7A" w:rsidRPr="00BF36B9" w:rsidRDefault="00D12D7A" w:rsidP="000878F6">
            <w:pPr>
              <w:pStyle w:val="Table"/>
              <w:jc w:val="center"/>
              <w:rPr>
                <w:szCs w:val="20"/>
              </w:rPr>
            </w:pPr>
            <w:r w:rsidRPr="00BF36B9">
              <w:rPr>
                <w:rFonts w:ascii="Calibri" w:hAnsi="Calibri" w:cs="Calibri"/>
                <w:color w:val="000000"/>
                <w:szCs w:val="20"/>
              </w:rPr>
              <w:t>0,24</w:t>
            </w:r>
          </w:p>
        </w:tc>
        <w:tc>
          <w:tcPr>
            <w:tcW w:w="969" w:type="dxa"/>
            <w:vAlign w:val="center"/>
          </w:tcPr>
          <w:p w14:paraId="315FA69B" w14:textId="77777777" w:rsidR="00D12D7A" w:rsidRPr="00BF36B9" w:rsidRDefault="00D12D7A" w:rsidP="000878F6">
            <w:pPr>
              <w:pStyle w:val="Table"/>
              <w:jc w:val="center"/>
              <w:rPr>
                <w:szCs w:val="20"/>
              </w:rPr>
            </w:pPr>
            <w:r w:rsidRPr="00BF36B9">
              <w:rPr>
                <w:rFonts w:ascii="Calibri" w:hAnsi="Calibri" w:cs="Calibri"/>
                <w:color w:val="000000"/>
                <w:szCs w:val="20"/>
              </w:rPr>
              <w:t>0,49%</w:t>
            </w:r>
          </w:p>
        </w:tc>
        <w:tc>
          <w:tcPr>
            <w:tcW w:w="1283" w:type="dxa"/>
            <w:vAlign w:val="center"/>
          </w:tcPr>
          <w:p w14:paraId="3D875B1B" w14:textId="77777777" w:rsidR="00D12D7A" w:rsidRPr="00BF36B9" w:rsidRDefault="00D12D7A" w:rsidP="000878F6">
            <w:pPr>
              <w:pStyle w:val="Table"/>
              <w:jc w:val="center"/>
              <w:rPr>
                <w:szCs w:val="20"/>
              </w:rPr>
            </w:pPr>
            <w:r w:rsidRPr="00BF36B9">
              <w:rPr>
                <w:rFonts w:ascii="Calibri" w:hAnsi="Calibri" w:cs="Calibri"/>
                <w:color w:val="000000"/>
                <w:szCs w:val="20"/>
              </w:rPr>
              <w:t>0,38%</w:t>
            </w:r>
          </w:p>
        </w:tc>
      </w:tr>
      <w:tr w:rsidR="00D12D7A" w:rsidRPr="00BF36B9" w14:paraId="3AECBC8B" w14:textId="77777777" w:rsidTr="00506A7C">
        <w:trPr>
          <w:trHeight w:val="242"/>
        </w:trPr>
        <w:tc>
          <w:tcPr>
            <w:tcW w:w="2252" w:type="dxa"/>
          </w:tcPr>
          <w:p w14:paraId="1315C8FE" w14:textId="77777777" w:rsidR="00D12D7A" w:rsidRPr="00BF36B9" w:rsidRDefault="00D12D7A" w:rsidP="000878F6">
            <w:pPr>
              <w:pStyle w:val="Table"/>
              <w:rPr>
                <w:szCs w:val="20"/>
              </w:rPr>
            </w:pPr>
            <w:r w:rsidRPr="00BF36B9">
              <w:rPr>
                <w:szCs w:val="20"/>
              </w:rPr>
              <w:t>Water Abstraction</w:t>
            </w:r>
          </w:p>
        </w:tc>
        <w:tc>
          <w:tcPr>
            <w:tcW w:w="1126" w:type="dxa"/>
            <w:vAlign w:val="center"/>
          </w:tcPr>
          <w:p w14:paraId="45CC6348" w14:textId="77777777" w:rsidR="00D12D7A" w:rsidRPr="00BF36B9" w:rsidRDefault="00D12D7A" w:rsidP="000878F6">
            <w:pPr>
              <w:pStyle w:val="Table"/>
              <w:jc w:val="center"/>
              <w:rPr>
                <w:szCs w:val="20"/>
              </w:rPr>
            </w:pPr>
            <w:r w:rsidRPr="00BF36B9">
              <w:rPr>
                <w:rFonts w:ascii="Calibri" w:hAnsi="Calibri" w:cs="Calibri"/>
                <w:color w:val="000000"/>
                <w:szCs w:val="20"/>
              </w:rPr>
              <w:t>-30,07%</w:t>
            </w:r>
          </w:p>
        </w:tc>
        <w:tc>
          <w:tcPr>
            <w:tcW w:w="1126" w:type="dxa"/>
            <w:vAlign w:val="center"/>
          </w:tcPr>
          <w:p w14:paraId="4D09A509" w14:textId="77777777" w:rsidR="00D12D7A" w:rsidRPr="00BF36B9" w:rsidRDefault="00D12D7A" w:rsidP="000878F6">
            <w:pPr>
              <w:pStyle w:val="Table"/>
              <w:jc w:val="center"/>
              <w:rPr>
                <w:szCs w:val="20"/>
              </w:rPr>
            </w:pPr>
            <w:r w:rsidRPr="00BF36B9">
              <w:rPr>
                <w:rFonts w:ascii="Calibri" w:hAnsi="Calibri" w:cs="Calibri"/>
                <w:color w:val="000000"/>
                <w:szCs w:val="20"/>
              </w:rPr>
              <w:t>-30,07%</w:t>
            </w:r>
          </w:p>
        </w:tc>
        <w:tc>
          <w:tcPr>
            <w:tcW w:w="1032" w:type="dxa"/>
            <w:vAlign w:val="center"/>
          </w:tcPr>
          <w:p w14:paraId="060D28FC" w14:textId="77777777" w:rsidR="00D12D7A" w:rsidRPr="00BF36B9" w:rsidRDefault="00D12D7A" w:rsidP="000878F6">
            <w:pPr>
              <w:pStyle w:val="Table"/>
              <w:jc w:val="center"/>
              <w:rPr>
                <w:szCs w:val="20"/>
              </w:rPr>
            </w:pPr>
            <w:r w:rsidRPr="00BF36B9">
              <w:rPr>
                <w:rFonts w:ascii="Calibri" w:hAnsi="Calibri" w:cs="Calibri"/>
                <w:color w:val="000000"/>
                <w:szCs w:val="20"/>
              </w:rPr>
              <w:t>34,01</w:t>
            </w:r>
          </w:p>
        </w:tc>
        <w:tc>
          <w:tcPr>
            <w:tcW w:w="1220" w:type="dxa"/>
            <w:vAlign w:val="center"/>
          </w:tcPr>
          <w:p w14:paraId="41E9EF70" w14:textId="77777777" w:rsidR="00D12D7A" w:rsidRPr="00BF36B9" w:rsidRDefault="00D12D7A" w:rsidP="000878F6">
            <w:pPr>
              <w:pStyle w:val="Table"/>
              <w:jc w:val="center"/>
              <w:rPr>
                <w:szCs w:val="20"/>
              </w:rPr>
            </w:pPr>
            <w:r w:rsidRPr="00BF36B9">
              <w:rPr>
                <w:rFonts w:ascii="Calibri" w:hAnsi="Calibri" w:cs="Calibri"/>
                <w:color w:val="000000"/>
                <w:szCs w:val="20"/>
              </w:rPr>
              <w:t>31,54</w:t>
            </w:r>
          </w:p>
        </w:tc>
        <w:tc>
          <w:tcPr>
            <w:tcW w:w="969" w:type="dxa"/>
            <w:vAlign w:val="center"/>
          </w:tcPr>
          <w:p w14:paraId="469375C0" w14:textId="77777777" w:rsidR="00D12D7A" w:rsidRPr="00BF36B9" w:rsidRDefault="00D12D7A" w:rsidP="000878F6">
            <w:pPr>
              <w:pStyle w:val="Table"/>
              <w:jc w:val="center"/>
              <w:rPr>
                <w:szCs w:val="20"/>
              </w:rPr>
            </w:pPr>
            <w:r w:rsidRPr="00BF36B9">
              <w:rPr>
                <w:rFonts w:ascii="Calibri" w:hAnsi="Calibri" w:cs="Calibri"/>
                <w:color w:val="000000"/>
                <w:szCs w:val="20"/>
              </w:rPr>
              <w:t>284,12%</w:t>
            </w:r>
          </w:p>
        </w:tc>
        <w:tc>
          <w:tcPr>
            <w:tcW w:w="1283" w:type="dxa"/>
            <w:vAlign w:val="center"/>
          </w:tcPr>
          <w:p w14:paraId="22192D54" w14:textId="77777777" w:rsidR="00D12D7A" w:rsidRPr="00BF36B9" w:rsidRDefault="00D12D7A" w:rsidP="000878F6">
            <w:pPr>
              <w:pStyle w:val="Table"/>
              <w:jc w:val="center"/>
              <w:rPr>
                <w:szCs w:val="20"/>
              </w:rPr>
            </w:pPr>
            <w:r w:rsidRPr="00BF36B9">
              <w:rPr>
                <w:rFonts w:ascii="Calibri" w:hAnsi="Calibri" w:cs="Calibri"/>
                <w:color w:val="000000"/>
                <w:szCs w:val="20"/>
              </w:rPr>
              <w:t>263,49%</w:t>
            </w:r>
          </w:p>
        </w:tc>
      </w:tr>
      <w:tr w:rsidR="00D12D7A" w:rsidRPr="00BF36B9" w14:paraId="4CF8B058" w14:textId="77777777" w:rsidTr="00506A7C">
        <w:trPr>
          <w:trHeight w:val="260"/>
        </w:trPr>
        <w:tc>
          <w:tcPr>
            <w:tcW w:w="2252" w:type="dxa"/>
          </w:tcPr>
          <w:p w14:paraId="2709EFD9" w14:textId="77777777" w:rsidR="00D12D7A" w:rsidRPr="00BF36B9" w:rsidRDefault="00D12D7A" w:rsidP="000878F6">
            <w:pPr>
              <w:pStyle w:val="Table"/>
              <w:rPr>
                <w:szCs w:val="20"/>
              </w:rPr>
            </w:pPr>
            <w:r w:rsidRPr="00BF36B9">
              <w:rPr>
                <w:szCs w:val="20"/>
              </w:rPr>
              <w:t>Fertilizers</w:t>
            </w:r>
          </w:p>
        </w:tc>
        <w:tc>
          <w:tcPr>
            <w:tcW w:w="1126" w:type="dxa"/>
            <w:vAlign w:val="center"/>
          </w:tcPr>
          <w:p w14:paraId="43431905" w14:textId="77777777" w:rsidR="00D12D7A" w:rsidRPr="00BF36B9" w:rsidRDefault="00D12D7A" w:rsidP="000878F6">
            <w:pPr>
              <w:pStyle w:val="Table"/>
              <w:jc w:val="center"/>
              <w:rPr>
                <w:szCs w:val="20"/>
              </w:rPr>
            </w:pPr>
            <w:r w:rsidRPr="00BF36B9">
              <w:rPr>
                <w:rFonts w:ascii="Calibri" w:hAnsi="Calibri" w:cs="Calibri"/>
                <w:color w:val="000000"/>
                <w:szCs w:val="20"/>
              </w:rPr>
              <w:t>-23,96%</w:t>
            </w:r>
          </w:p>
        </w:tc>
        <w:tc>
          <w:tcPr>
            <w:tcW w:w="1126" w:type="dxa"/>
            <w:vAlign w:val="center"/>
          </w:tcPr>
          <w:p w14:paraId="0023AFB5" w14:textId="77777777" w:rsidR="00D12D7A" w:rsidRPr="00BF36B9" w:rsidRDefault="00D12D7A" w:rsidP="000878F6">
            <w:pPr>
              <w:pStyle w:val="Table"/>
              <w:jc w:val="center"/>
              <w:rPr>
                <w:szCs w:val="20"/>
              </w:rPr>
            </w:pPr>
            <w:r w:rsidRPr="00BF36B9">
              <w:rPr>
                <w:rFonts w:ascii="Calibri" w:hAnsi="Calibri" w:cs="Calibri"/>
                <w:color w:val="000000"/>
                <w:szCs w:val="20"/>
              </w:rPr>
              <w:t>-23,96%</w:t>
            </w:r>
          </w:p>
        </w:tc>
        <w:tc>
          <w:tcPr>
            <w:tcW w:w="1032" w:type="dxa"/>
            <w:vAlign w:val="center"/>
          </w:tcPr>
          <w:p w14:paraId="741872E4" w14:textId="77777777" w:rsidR="00D12D7A" w:rsidRPr="00BF36B9" w:rsidRDefault="00D12D7A" w:rsidP="000878F6">
            <w:pPr>
              <w:pStyle w:val="Table"/>
              <w:jc w:val="center"/>
              <w:rPr>
                <w:szCs w:val="20"/>
              </w:rPr>
            </w:pPr>
            <w:r w:rsidRPr="00BF36B9">
              <w:rPr>
                <w:rFonts w:ascii="Calibri" w:hAnsi="Calibri" w:cs="Calibri"/>
                <w:color w:val="000000"/>
                <w:szCs w:val="20"/>
              </w:rPr>
              <w:t>0,59</w:t>
            </w:r>
          </w:p>
        </w:tc>
        <w:tc>
          <w:tcPr>
            <w:tcW w:w="1220" w:type="dxa"/>
            <w:vAlign w:val="center"/>
          </w:tcPr>
          <w:p w14:paraId="68FC8140" w14:textId="77777777" w:rsidR="00D12D7A" w:rsidRPr="00BF36B9" w:rsidRDefault="00D12D7A" w:rsidP="000878F6">
            <w:pPr>
              <w:pStyle w:val="Table"/>
              <w:jc w:val="center"/>
              <w:rPr>
                <w:szCs w:val="20"/>
              </w:rPr>
            </w:pPr>
            <w:r w:rsidRPr="00BF36B9">
              <w:rPr>
                <w:rFonts w:ascii="Calibri" w:hAnsi="Calibri" w:cs="Calibri"/>
                <w:color w:val="000000"/>
                <w:szCs w:val="20"/>
              </w:rPr>
              <w:t>0,59</w:t>
            </w:r>
          </w:p>
        </w:tc>
        <w:tc>
          <w:tcPr>
            <w:tcW w:w="969" w:type="dxa"/>
            <w:vAlign w:val="center"/>
          </w:tcPr>
          <w:p w14:paraId="39F75608" w14:textId="77777777" w:rsidR="00D12D7A" w:rsidRPr="00BF36B9" w:rsidRDefault="00D12D7A" w:rsidP="000878F6">
            <w:pPr>
              <w:pStyle w:val="Table"/>
              <w:jc w:val="center"/>
              <w:rPr>
                <w:szCs w:val="20"/>
              </w:rPr>
            </w:pPr>
            <w:r w:rsidRPr="00BF36B9">
              <w:rPr>
                <w:rFonts w:ascii="Calibri" w:hAnsi="Calibri" w:cs="Calibri"/>
                <w:color w:val="000000"/>
                <w:szCs w:val="20"/>
              </w:rPr>
              <w:t>0,93%</w:t>
            </w:r>
          </w:p>
        </w:tc>
        <w:tc>
          <w:tcPr>
            <w:tcW w:w="1283" w:type="dxa"/>
            <w:vAlign w:val="center"/>
          </w:tcPr>
          <w:p w14:paraId="60AC4C51" w14:textId="77777777" w:rsidR="00D12D7A" w:rsidRPr="00BF36B9" w:rsidRDefault="00D12D7A" w:rsidP="000878F6">
            <w:pPr>
              <w:pStyle w:val="Table"/>
              <w:jc w:val="center"/>
              <w:rPr>
                <w:szCs w:val="20"/>
              </w:rPr>
            </w:pPr>
            <w:r w:rsidRPr="00BF36B9">
              <w:rPr>
                <w:rFonts w:ascii="Calibri" w:hAnsi="Calibri" w:cs="Calibri"/>
                <w:color w:val="000000"/>
                <w:szCs w:val="20"/>
              </w:rPr>
              <w:t>0,94%</w:t>
            </w:r>
          </w:p>
        </w:tc>
      </w:tr>
      <w:tr w:rsidR="00D12D7A" w:rsidRPr="00BF36B9" w14:paraId="348344D4" w14:textId="77777777" w:rsidTr="00506A7C">
        <w:trPr>
          <w:trHeight w:val="242"/>
        </w:trPr>
        <w:tc>
          <w:tcPr>
            <w:tcW w:w="2252" w:type="dxa"/>
          </w:tcPr>
          <w:p w14:paraId="7B91EF8A" w14:textId="77777777" w:rsidR="00D12D7A" w:rsidRPr="00BF36B9" w:rsidRDefault="00D12D7A" w:rsidP="000878F6">
            <w:pPr>
              <w:pStyle w:val="Table"/>
              <w:rPr>
                <w:szCs w:val="20"/>
              </w:rPr>
            </w:pPr>
            <w:r w:rsidRPr="00BF36B9">
              <w:rPr>
                <w:szCs w:val="20"/>
              </w:rPr>
              <w:lastRenderedPageBreak/>
              <w:t>Pesticides</w:t>
            </w:r>
          </w:p>
        </w:tc>
        <w:tc>
          <w:tcPr>
            <w:tcW w:w="1126" w:type="dxa"/>
            <w:vAlign w:val="center"/>
          </w:tcPr>
          <w:p w14:paraId="289F7D97" w14:textId="77777777" w:rsidR="00D12D7A" w:rsidRPr="00BF36B9" w:rsidRDefault="00D12D7A" w:rsidP="000878F6">
            <w:pPr>
              <w:pStyle w:val="Table"/>
              <w:jc w:val="center"/>
              <w:rPr>
                <w:szCs w:val="20"/>
              </w:rPr>
            </w:pPr>
            <w:r w:rsidRPr="00BF36B9">
              <w:rPr>
                <w:rFonts w:ascii="Calibri" w:hAnsi="Calibri" w:cs="Calibri"/>
                <w:color w:val="000000"/>
                <w:szCs w:val="20"/>
              </w:rPr>
              <w:t>n/a</w:t>
            </w:r>
          </w:p>
        </w:tc>
        <w:tc>
          <w:tcPr>
            <w:tcW w:w="1126" w:type="dxa"/>
            <w:vAlign w:val="center"/>
          </w:tcPr>
          <w:p w14:paraId="09A1D875" w14:textId="77777777" w:rsidR="00D12D7A" w:rsidRPr="00BF36B9" w:rsidRDefault="00D12D7A" w:rsidP="000878F6">
            <w:pPr>
              <w:pStyle w:val="Table"/>
              <w:jc w:val="center"/>
              <w:rPr>
                <w:szCs w:val="20"/>
              </w:rPr>
            </w:pPr>
            <w:r w:rsidRPr="00BF36B9">
              <w:rPr>
                <w:rFonts w:ascii="Calibri" w:hAnsi="Calibri" w:cs="Calibri"/>
                <w:color w:val="000000"/>
                <w:szCs w:val="20"/>
              </w:rPr>
              <w:t>n/a</w:t>
            </w:r>
          </w:p>
        </w:tc>
        <w:tc>
          <w:tcPr>
            <w:tcW w:w="1032" w:type="dxa"/>
            <w:vAlign w:val="center"/>
          </w:tcPr>
          <w:p w14:paraId="20F9C8BD" w14:textId="77777777" w:rsidR="00D12D7A" w:rsidRPr="00BF36B9" w:rsidRDefault="00D12D7A" w:rsidP="000878F6">
            <w:pPr>
              <w:pStyle w:val="Table"/>
              <w:jc w:val="center"/>
              <w:rPr>
                <w:szCs w:val="20"/>
              </w:rPr>
            </w:pPr>
            <w:r w:rsidRPr="00BF36B9">
              <w:rPr>
                <w:rFonts w:ascii="Calibri" w:hAnsi="Calibri" w:cs="Calibri"/>
                <w:color w:val="000000"/>
                <w:szCs w:val="20"/>
              </w:rPr>
              <w:t>4,73</w:t>
            </w:r>
          </w:p>
        </w:tc>
        <w:tc>
          <w:tcPr>
            <w:tcW w:w="1220" w:type="dxa"/>
            <w:vAlign w:val="center"/>
          </w:tcPr>
          <w:p w14:paraId="2996B209" w14:textId="77777777" w:rsidR="00D12D7A" w:rsidRPr="00BF36B9" w:rsidRDefault="00D12D7A" w:rsidP="000878F6">
            <w:pPr>
              <w:pStyle w:val="Table"/>
              <w:jc w:val="center"/>
              <w:rPr>
                <w:szCs w:val="20"/>
              </w:rPr>
            </w:pPr>
            <w:r w:rsidRPr="00BF36B9">
              <w:rPr>
                <w:rFonts w:ascii="Calibri" w:hAnsi="Calibri" w:cs="Calibri"/>
                <w:color w:val="000000"/>
                <w:szCs w:val="20"/>
              </w:rPr>
              <w:t>4,72</w:t>
            </w:r>
          </w:p>
        </w:tc>
        <w:tc>
          <w:tcPr>
            <w:tcW w:w="969" w:type="dxa"/>
            <w:vAlign w:val="center"/>
          </w:tcPr>
          <w:p w14:paraId="1538BFAA" w14:textId="77777777" w:rsidR="00D12D7A" w:rsidRPr="00BF36B9" w:rsidRDefault="00D12D7A" w:rsidP="000878F6">
            <w:pPr>
              <w:pStyle w:val="Table"/>
              <w:jc w:val="center"/>
              <w:rPr>
                <w:szCs w:val="20"/>
              </w:rPr>
            </w:pPr>
            <w:r w:rsidRPr="00BF36B9">
              <w:rPr>
                <w:rFonts w:ascii="Calibri" w:hAnsi="Calibri" w:cs="Calibri"/>
                <w:color w:val="000000"/>
                <w:szCs w:val="20"/>
              </w:rPr>
              <w:t>7,46%</w:t>
            </w:r>
          </w:p>
        </w:tc>
        <w:tc>
          <w:tcPr>
            <w:tcW w:w="1283" w:type="dxa"/>
            <w:vAlign w:val="center"/>
          </w:tcPr>
          <w:p w14:paraId="3D1D9FAB" w14:textId="77777777" w:rsidR="00D12D7A" w:rsidRPr="00BF36B9" w:rsidRDefault="00D12D7A" w:rsidP="000878F6">
            <w:pPr>
              <w:pStyle w:val="Table"/>
              <w:jc w:val="center"/>
              <w:rPr>
                <w:szCs w:val="20"/>
              </w:rPr>
            </w:pPr>
            <w:r w:rsidRPr="00BF36B9">
              <w:rPr>
                <w:rFonts w:ascii="Calibri" w:hAnsi="Calibri" w:cs="Calibri"/>
                <w:color w:val="000000"/>
                <w:szCs w:val="20"/>
              </w:rPr>
              <w:t>7,46%</w:t>
            </w:r>
          </w:p>
        </w:tc>
      </w:tr>
      <w:tr w:rsidR="00D12D7A" w:rsidRPr="00BF36B9" w14:paraId="3047A326" w14:textId="77777777" w:rsidTr="00506A7C">
        <w:trPr>
          <w:trHeight w:val="242"/>
        </w:trPr>
        <w:tc>
          <w:tcPr>
            <w:tcW w:w="2252" w:type="dxa"/>
          </w:tcPr>
          <w:p w14:paraId="2AF44D76" w14:textId="77777777" w:rsidR="00D12D7A" w:rsidRPr="00BF36B9" w:rsidRDefault="00D12D7A" w:rsidP="000878F6">
            <w:pPr>
              <w:pStyle w:val="Table"/>
              <w:rPr>
                <w:szCs w:val="20"/>
              </w:rPr>
            </w:pPr>
            <w:r w:rsidRPr="00BF36B9">
              <w:rPr>
                <w:szCs w:val="20"/>
              </w:rPr>
              <w:t>Waste Incineration</w:t>
            </w:r>
          </w:p>
        </w:tc>
        <w:tc>
          <w:tcPr>
            <w:tcW w:w="1126" w:type="dxa"/>
            <w:vAlign w:val="center"/>
          </w:tcPr>
          <w:p w14:paraId="794C768A" w14:textId="77777777" w:rsidR="00D12D7A" w:rsidRPr="00BF36B9" w:rsidRDefault="00D12D7A" w:rsidP="000878F6">
            <w:pPr>
              <w:pStyle w:val="Table"/>
              <w:jc w:val="center"/>
              <w:rPr>
                <w:szCs w:val="20"/>
              </w:rPr>
            </w:pPr>
            <w:r w:rsidRPr="00BF36B9">
              <w:rPr>
                <w:rFonts w:ascii="Calibri" w:hAnsi="Calibri" w:cs="Calibri"/>
                <w:color w:val="000000"/>
                <w:szCs w:val="20"/>
              </w:rPr>
              <w:t>0,00%</w:t>
            </w:r>
          </w:p>
        </w:tc>
        <w:tc>
          <w:tcPr>
            <w:tcW w:w="1126" w:type="dxa"/>
            <w:vAlign w:val="center"/>
          </w:tcPr>
          <w:p w14:paraId="056C81B3" w14:textId="77777777" w:rsidR="00D12D7A" w:rsidRPr="00BF36B9" w:rsidRDefault="00D12D7A" w:rsidP="000878F6">
            <w:pPr>
              <w:pStyle w:val="Table"/>
              <w:jc w:val="center"/>
              <w:rPr>
                <w:szCs w:val="20"/>
              </w:rPr>
            </w:pPr>
            <w:r w:rsidRPr="00BF36B9">
              <w:rPr>
                <w:rFonts w:ascii="Calibri" w:hAnsi="Calibri" w:cs="Calibri"/>
                <w:color w:val="000000"/>
                <w:szCs w:val="20"/>
              </w:rPr>
              <w:t>0,00%</w:t>
            </w:r>
          </w:p>
        </w:tc>
        <w:tc>
          <w:tcPr>
            <w:tcW w:w="1032" w:type="dxa"/>
            <w:vAlign w:val="center"/>
          </w:tcPr>
          <w:p w14:paraId="2EB8635B" w14:textId="77777777" w:rsidR="00D12D7A" w:rsidRPr="00BF36B9" w:rsidRDefault="00D12D7A" w:rsidP="000878F6">
            <w:pPr>
              <w:pStyle w:val="Table"/>
              <w:jc w:val="center"/>
              <w:rPr>
                <w:szCs w:val="20"/>
              </w:rPr>
            </w:pPr>
            <w:r w:rsidRPr="00BF36B9">
              <w:rPr>
                <w:rFonts w:ascii="Calibri" w:hAnsi="Calibri" w:cs="Calibri"/>
                <w:color w:val="000000"/>
                <w:szCs w:val="20"/>
              </w:rPr>
              <w:t>0,00</w:t>
            </w:r>
          </w:p>
        </w:tc>
        <w:tc>
          <w:tcPr>
            <w:tcW w:w="1220" w:type="dxa"/>
            <w:vAlign w:val="center"/>
          </w:tcPr>
          <w:p w14:paraId="72C85DCA" w14:textId="77777777" w:rsidR="00D12D7A" w:rsidRPr="00BF36B9" w:rsidRDefault="00D12D7A" w:rsidP="000878F6">
            <w:pPr>
              <w:pStyle w:val="Table"/>
              <w:jc w:val="center"/>
              <w:rPr>
                <w:szCs w:val="20"/>
              </w:rPr>
            </w:pPr>
            <w:r w:rsidRPr="00BF36B9">
              <w:rPr>
                <w:rFonts w:ascii="Calibri" w:hAnsi="Calibri" w:cs="Calibri"/>
                <w:color w:val="000000"/>
                <w:szCs w:val="20"/>
              </w:rPr>
              <w:t>0,00</w:t>
            </w:r>
          </w:p>
        </w:tc>
        <w:tc>
          <w:tcPr>
            <w:tcW w:w="969" w:type="dxa"/>
            <w:vAlign w:val="center"/>
          </w:tcPr>
          <w:p w14:paraId="0BC31662" w14:textId="77777777" w:rsidR="00D12D7A" w:rsidRPr="00BF36B9" w:rsidRDefault="00D12D7A" w:rsidP="000878F6">
            <w:pPr>
              <w:pStyle w:val="Table"/>
              <w:jc w:val="center"/>
              <w:rPr>
                <w:szCs w:val="20"/>
              </w:rPr>
            </w:pPr>
            <w:r w:rsidRPr="00BF36B9">
              <w:rPr>
                <w:rFonts w:ascii="Calibri" w:hAnsi="Calibri" w:cs="Calibri"/>
                <w:color w:val="000000"/>
                <w:szCs w:val="20"/>
              </w:rPr>
              <w:t>0,00%</w:t>
            </w:r>
          </w:p>
        </w:tc>
        <w:tc>
          <w:tcPr>
            <w:tcW w:w="1283" w:type="dxa"/>
            <w:vAlign w:val="center"/>
          </w:tcPr>
          <w:p w14:paraId="563E54CA" w14:textId="77777777" w:rsidR="00D12D7A" w:rsidRPr="00BF36B9" w:rsidRDefault="00D12D7A" w:rsidP="000878F6">
            <w:pPr>
              <w:pStyle w:val="Table"/>
              <w:jc w:val="center"/>
              <w:rPr>
                <w:szCs w:val="20"/>
              </w:rPr>
            </w:pPr>
            <w:r w:rsidRPr="00BF36B9">
              <w:rPr>
                <w:rFonts w:ascii="Calibri" w:hAnsi="Calibri" w:cs="Calibri"/>
                <w:color w:val="000000"/>
                <w:szCs w:val="20"/>
              </w:rPr>
              <w:t>0,00%</w:t>
            </w:r>
          </w:p>
        </w:tc>
      </w:tr>
      <w:tr w:rsidR="00D12D7A" w:rsidRPr="00BF36B9" w14:paraId="4A449D79" w14:textId="77777777" w:rsidTr="00506A7C">
        <w:trPr>
          <w:trHeight w:val="242"/>
        </w:trPr>
        <w:tc>
          <w:tcPr>
            <w:tcW w:w="2252" w:type="dxa"/>
          </w:tcPr>
          <w:p w14:paraId="474AB382" w14:textId="77777777" w:rsidR="00D12D7A" w:rsidRPr="00BF36B9" w:rsidRDefault="00D12D7A" w:rsidP="000878F6">
            <w:pPr>
              <w:pStyle w:val="Table"/>
              <w:rPr>
                <w:szCs w:val="20"/>
              </w:rPr>
            </w:pPr>
            <w:r w:rsidRPr="00BF36B9">
              <w:rPr>
                <w:szCs w:val="20"/>
              </w:rPr>
              <w:t>Waste to Landfill</w:t>
            </w:r>
          </w:p>
        </w:tc>
        <w:tc>
          <w:tcPr>
            <w:tcW w:w="1126" w:type="dxa"/>
            <w:vAlign w:val="center"/>
          </w:tcPr>
          <w:p w14:paraId="17D55FBD" w14:textId="77777777" w:rsidR="00D12D7A" w:rsidRPr="00BF36B9" w:rsidRDefault="00D12D7A" w:rsidP="000878F6">
            <w:pPr>
              <w:pStyle w:val="Table"/>
              <w:jc w:val="center"/>
              <w:rPr>
                <w:szCs w:val="20"/>
              </w:rPr>
            </w:pPr>
            <w:r w:rsidRPr="00BF36B9">
              <w:rPr>
                <w:rFonts w:ascii="Calibri" w:hAnsi="Calibri" w:cs="Calibri"/>
                <w:color w:val="000000"/>
                <w:szCs w:val="20"/>
              </w:rPr>
              <w:t>-24,81%</w:t>
            </w:r>
          </w:p>
        </w:tc>
        <w:tc>
          <w:tcPr>
            <w:tcW w:w="1126" w:type="dxa"/>
            <w:vAlign w:val="center"/>
          </w:tcPr>
          <w:p w14:paraId="6FC6A382" w14:textId="77777777" w:rsidR="00D12D7A" w:rsidRPr="00BF36B9" w:rsidRDefault="00D12D7A" w:rsidP="000878F6">
            <w:pPr>
              <w:pStyle w:val="Table"/>
              <w:jc w:val="center"/>
              <w:rPr>
                <w:szCs w:val="20"/>
              </w:rPr>
            </w:pPr>
            <w:r w:rsidRPr="00BF36B9">
              <w:rPr>
                <w:rFonts w:ascii="Calibri" w:hAnsi="Calibri" w:cs="Calibri"/>
                <w:color w:val="000000"/>
                <w:szCs w:val="20"/>
              </w:rPr>
              <w:t>-24,81%</w:t>
            </w:r>
          </w:p>
        </w:tc>
        <w:tc>
          <w:tcPr>
            <w:tcW w:w="1032" w:type="dxa"/>
            <w:vAlign w:val="center"/>
          </w:tcPr>
          <w:p w14:paraId="327BA7DD" w14:textId="77777777" w:rsidR="00D12D7A" w:rsidRPr="00BF36B9" w:rsidRDefault="00D12D7A" w:rsidP="000878F6">
            <w:pPr>
              <w:pStyle w:val="Table"/>
              <w:jc w:val="center"/>
              <w:rPr>
                <w:szCs w:val="20"/>
              </w:rPr>
            </w:pPr>
            <w:r w:rsidRPr="00BF36B9">
              <w:rPr>
                <w:rFonts w:ascii="Calibri" w:hAnsi="Calibri" w:cs="Calibri"/>
                <w:color w:val="000000"/>
                <w:szCs w:val="20"/>
              </w:rPr>
              <w:t>18,70</w:t>
            </w:r>
          </w:p>
        </w:tc>
        <w:tc>
          <w:tcPr>
            <w:tcW w:w="1220" w:type="dxa"/>
            <w:vAlign w:val="center"/>
          </w:tcPr>
          <w:p w14:paraId="4CE3A9DE" w14:textId="77777777" w:rsidR="00D12D7A" w:rsidRPr="00BF36B9" w:rsidRDefault="00D12D7A" w:rsidP="000878F6">
            <w:pPr>
              <w:pStyle w:val="Table"/>
              <w:jc w:val="center"/>
              <w:rPr>
                <w:szCs w:val="20"/>
              </w:rPr>
            </w:pPr>
            <w:r w:rsidRPr="00BF36B9">
              <w:rPr>
                <w:rFonts w:ascii="Calibri" w:hAnsi="Calibri" w:cs="Calibri"/>
                <w:color w:val="000000"/>
                <w:szCs w:val="20"/>
              </w:rPr>
              <w:t>16,46</w:t>
            </w:r>
          </w:p>
        </w:tc>
        <w:tc>
          <w:tcPr>
            <w:tcW w:w="969" w:type="dxa"/>
            <w:vAlign w:val="center"/>
          </w:tcPr>
          <w:p w14:paraId="54F888A8" w14:textId="77777777" w:rsidR="00D12D7A" w:rsidRPr="00BF36B9" w:rsidRDefault="00D12D7A" w:rsidP="000878F6">
            <w:pPr>
              <w:pStyle w:val="Table"/>
              <w:jc w:val="center"/>
              <w:rPr>
                <w:szCs w:val="20"/>
              </w:rPr>
            </w:pPr>
            <w:r w:rsidRPr="00BF36B9">
              <w:rPr>
                <w:rFonts w:ascii="Calibri" w:hAnsi="Calibri" w:cs="Calibri"/>
                <w:color w:val="000000"/>
                <w:szCs w:val="20"/>
              </w:rPr>
              <w:t>29,52%</w:t>
            </w:r>
          </w:p>
        </w:tc>
        <w:tc>
          <w:tcPr>
            <w:tcW w:w="1283" w:type="dxa"/>
            <w:vAlign w:val="center"/>
          </w:tcPr>
          <w:p w14:paraId="5D9F7B28" w14:textId="77777777" w:rsidR="00D12D7A" w:rsidRPr="00BF36B9" w:rsidRDefault="00D12D7A" w:rsidP="000878F6">
            <w:pPr>
              <w:pStyle w:val="Table"/>
              <w:jc w:val="center"/>
              <w:rPr>
                <w:szCs w:val="20"/>
              </w:rPr>
            </w:pPr>
            <w:r w:rsidRPr="00BF36B9">
              <w:rPr>
                <w:rFonts w:ascii="Calibri" w:hAnsi="Calibri" w:cs="Calibri"/>
                <w:color w:val="000000"/>
                <w:szCs w:val="20"/>
              </w:rPr>
              <w:t>25,98%</w:t>
            </w:r>
          </w:p>
        </w:tc>
      </w:tr>
      <w:tr w:rsidR="00D12D7A" w:rsidRPr="00BF36B9" w14:paraId="07B652F7" w14:textId="77777777" w:rsidTr="00506A7C">
        <w:trPr>
          <w:trHeight w:val="242"/>
        </w:trPr>
        <w:tc>
          <w:tcPr>
            <w:tcW w:w="2252" w:type="dxa"/>
          </w:tcPr>
          <w:p w14:paraId="455A1308" w14:textId="77777777" w:rsidR="00D12D7A" w:rsidRPr="00BF36B9" w:rsidRDefault="00D12D7A" w:rsidP="000878F6">
            <w:pPr>
              <w:pStyle w:val="Table"/>
              <w:rPr>
                <w:szCs w:val="20"/>
              </w:rPr>
            </w:pPr>
            <w:r w:rsidRPr="00BF36B9">
              <w:rPr>
                <w:szCs w:val="20"/>
              </w:rPr>
              <w:t>Water Effluent</w:t>
            </w:r>
          </w:p>
        </w:tc>
        <w:tc>
          <w:tcPr>
            <w:tcW w:w="1126" w:type="dxa"/>
            <w:vAlign w:val="center"/>
          </w:tcPr>
          <w:p w14:paraId="2B98FF36" w14:textId="77777777" w:rsidR="00D12D7A" w:rsidRPr="00BF36B9" w:rsidRDefault="00D12D7A" w:rsidP="000878F6">
            <w:pPr>
              <w:pStyle w:val="Table"/>
              <w:jc w:val="center"/>
              <w:rPr>
                <w:szCs w:val="20"/>
              </w:rPr>
            </w:pPr>
            <w:r w:rsidRPr="00BF36B9">
              <w:rPr>
                <w:rFonts w:ascii="Calibri" w:hAnsi="Calibri" w:cs="Calibri"/>
                <w:color w:val="000000"/>
                <w:szCs w:val="20"/>
              </w:rPr>
              <w:t>-3,78%</w:t>
            </w:r>
          </w:p>
        </w:tc>
        <w:tc>
          <w:tcPr>
            <w:tcW w:w="1126" w:type="dxa"/>
            <w:vAlign w:val="center"/>
          </w:tcPr>
          <w:p w14:paraId="27838446" w14:textId="77777777" w:rsidR="00D12D7A" w:rsidRPr="00BF36B9" w:rsidRDefault="00D12D7A" w:rsidP="000878F6">
            <w:pPr>
              <w:pStyle w:val="Table"/>
              <w:jc w:val="center"/>
              <w:rPr>
                <w:szCs w:val="20"/>
              </w:rPr>
            </w:pPr>
            <w:r w:rsidRPr="00BF36B9">
              <w:rPr>
                <w:rFonts w:ascii="Calibri" w:hAnsi="Calibri" w:cs="Calibri"/>
                <w:color w:val="000000"/>
                <w:szCs w:val="20"/>
              </w:rPr>
              <w:t>-3,78%</w:t>
            </w:r>
          </w:p>
        </w:tc>
        <w:tc>
          <w:tcPr>
            <w:tcW w:w="1032" w:type="dxa"/>
            <w:vAlign w:val="center"/>
          </w:tcPr>
          <w:p w14:paraId="7B763A1B" w14:textId="77777777" w:rsidR="00D12D7A" w:rsidRPr="00BF36B9" w:rsidRDefault="00D12D7A" w:rsidP="000878F6">
            <w:pPr>
              <w:pStyle w:val="Table"/>
              <w:jc w:val="center"/>
              <w:rPr>
                <w:szCs w:val="20"/>
              </w:rPr>
            </w:pPr>
            <w:r w:rsidRPr="00BF36B9">
              <w:rPr>
                <w:rFonts w:ascii="Calibri" w:hAnsi="Calibri" w:cs="Calibri"/>
                <w:color w:val="000000"/>
                <w:szCs w:val="20"/>
              </w:rPr>
              <w:t>18,80</w:t>
            </w:r>
          </w:p>
        </w:tc>
        <w:tc>
          <w:tcPr>
            <w:tcW w:w="1220" w:type="dxa"/>
            <w:vAlign w:val="center"/>
          </w:tcPr>
          <w:p w14:paraId="01A0255C" w14:textId="77777777" w:rsidR="00D12D7A" w:rsidRPr="00BF36B9" w:rsidRDefault="00D12D7A" w:rsidP="000878F6">
            <w:pPr>
              <w:pStyle w:val="Table"/>
              <w:jc w:val="center"/>
              <w:rPr>
                <w:szCs w:val="20"/>
              </w:rPr>
            </w:pPr>
            <w:r w:rsidRPr="00BF36B9">
              <w:rPr>
                <w:rFonts w:ascii="Calibri" w:hAnsi="Calibri" w:cs="Calibri"/>
                <w:color w:val="000000"/>
                <w:szCs w:val="20"/>
              </w:rPr>
              <w:t>18,99</w:t>
            </w:r>
          </w:p>
        </w:tc>
        <w:tc>
          <w:tcPr>
            <w:tcW w:w="969" w:type="dxa"/>
            <w:vAlign w:val="center"/>
          </w:tcPr>
          <w:p w14:paraId="77C5DE29" w14:textId="77777777" w:rsidR="00D12D7A" w:rsidRPr="00BF36B9" w:rsidRDefault="00D12D7A" w:rsidP="000878F6">
            <w:pPr>
              <w:pStyle w:val="Table"/>
              <w:jc w:val="center"/>
              <w:rPr>
                <w:szCs w:val="20"/>
              </w:rPr>
            </w:pPr>
            <w:r w:rsidRPr="00BF36B9">
              <w:rPr>
                <w:rFonts w:ascii="Calibri" w:hAnsi="Calibri" w:cs="Calibri"/>
                <w:color w:val="000000"/>
                <w:szCs w:val="20"/>
              </w:rPr>
              <w:t>29,68%</w:t>
            </w:r>
          </w:p>
        </w:tc>
        <w:tc>
          <w:tcPr>
            <w:tcW w:w="1283" w:type="dxa"/>
            <w:vAlign w:val="center"/>
          </w:tcPr>
          <w:p w14:paraId="7CE8BD62" w14:textId="77777777" w:rsidR="00D12D7A" w:rsidRPr="00BF36B9" w:rsidRDefault="00D12D7A" w:rsidP="000878F6">
            <w:pPr>
              <w:pStyle w:val="Table"/>
              <w:jc w:val="center"/>
              <w:rPr>
                <w:szCs w:val="20"/>
              </w:rPr>
            </w:pPr>
            <w:r w:rsidRPr="00BF36B9">
              <w:rPr>
                <w:rFonts w:ascii="Calibri" w:hAnsi="Calibri" w:cs="Calibri"/>
                <w:color w:val="000000"/>
                <w:szCs w:val="20"/>
              </w:rPr>
              <w:t>29,97%</w:t>
            </w:r>
          </w:p>
        </w:tc>
      </w:tr>
      <w:tr w:rsidR="00D12D7A" w:rsidRPr="00BF36B9" w14:paraId="530616AC" w14:textId="77777777" w:rsidTr="00506A7C">
        <w:trPr>
          <w:trHeight w:val="242"/>
        </w:trPr>
        <w:tc>
          <w:tcPr>
            <w:tcW w:w="2252" w:type="dxa"/>
          </w:tcPr>
          <w:p w14:paraId="789972AB" w14:textId="77777777" w:rsidR="00D12D7A" w:rsidRPr="00BF36B9" w:rsidRDefault="00D12D7A" w:rsidP="000878F6">
            <w:pPr>
              <w:pStyle w:val="Table"/>
              <w:rPr>
                <w:szCs w:val="20"/>
              </w:rPr>
            </w:pPr>
            <w:r w:rsidRPr="00BF36B9">
              <w:rPr>
                <w:szCs w:val="20"/>
              </w:rPr>
              <w:t>Minerals &amp; Aggregates</w:t>
            </w:r>
          </w:p>
        </w:tc>
        <w:tc>
          <w:tcPr>
            <w:tcW w:w="1126" w:type="dxa"/>
            <w:vAlign w:val="center"/>
          </w:tcPr>
          <w:p w14:paraId="31D0F904" w14:textId="77777777" w:rsidR="00D12D7A" w:rsidRPr="00BF36B9" w:rsidRDefault="00D12D7A" w:rsidP="000878F6">
            <w:pPr>
              <w:pStyle w:val="Table"/>
              <w:jc w:val="center"/>
              <w:rPr>
                <w:szCs w:val="20"/>
              </w:rPr>
            </w:pPr>
            <w:r w:rsidRPr="00BF36B9">
              <w:rPr>
                <w:rFonts w:ascii="Calibri" w:hAnsi="Calibri" w:cs="Calibri"/>
                <w:color w:val="000000"/>
                <w:szCs w:val="20"/>
              </w:rPr>
              <w:t>-16,67%</w:t>
            </w:r>
          </w:p>
        </w:tc>
        <w:tc>
          <w:tcPr>
            <w:tcW w:w="1126" w:type="dxa"/>
            <w:vAlign w:val="center"/>
          </w:tcPr>
          <w:p w14:paraId="38EDE1B3" w14:textId="77777777" w:rsidR="00D12D7A" w:rsidRPr="00BF36B9" w:rsidRDefault="00D12D7A" w:rsidP="000878F6">
            <w:pPr>
              <w:pStyle w:val="Table"/>
              <w:jc w:val="center"/>
              <w:rPr>
                <w:szCs w:val="20"/>
              </w:rPr>
            </w:pPr>
            <w:r w:rsidRPr="00BF36B9">
              <w:rPr>
                <w:rFonts w:ascii="Calibri" w:hAnsi="Calibri" w:cs="Calibri"/>
                <w:color w:val="000000"/>
                <w:szCs w:val="20"/>
              </w:rPr>
              <w:t>-16,67%</w:t>
            </w:r>
          </w:p>
        </w:tc>
        <w:tc>
          <w:tcPr>
            <w:tcW w:w="1032" w:type="dxa"/>
            <w:vAlign w:val="center"/>
          </w:tcPr>
          <w:p w14:paraId="18F8624D" w14:textId="77777777" w:rsidR="00D12D7A" w:rsidRPr="00BF36B9" w:rsidRDefault="00D12D7A" w:rsidP="000878F6">
            <w:pPr>
              <w:pStyle w:val="Table"/>
              <w:jc w:val="center"/>
              <w:rPr>
                <w:szCs w:val="20"/>
              </w:rPr>
            </w:pPr>
            <w:r w:rsidRPr="00BF36B9">
              <w:rPr>
                <w:rFonts w:ascii="Calibri" w:hAnsi="Calibri" w:cs="Calibri"/>
                <w:color w:val="000000"/>
                <w:szCs w:val="20"/>
              </w:rPr>
              <w:t>35,39</w:t>
            </w:r>
          </w:p>
        </w:tc>
        <w:tc>
          <w:tcPr>
            <w:tcW w:w="1220" w:type="dxa"/>
            <w:vAlign w:val="center"/>
          </w:tcPr>
          <w:p w14:paraId="0BDFE863" w14:textId="77777777" w:rsidR="00D12D7A" w:rsidRPr="00BF36B9" w:rsidRDefault="00D12D7A" w:rsidP="000878F6">
            <w:pPr>
              <w:pStyle w:val="Table"/>
              <w:jc w:val="center"/>
              <w:rPr>
                <w:szCs w:val="20"/>
              </w:rPr>
            </w:pPr>
            <w:r w:rsidRPr="00BF36B9">
              <w:rPr>
                <w:rFonts w:ascii="Calibri" w:hAnsi="Calibri" w:cs="Calibri"/>
                <w:color w:val="000000"/>
                <w:szCs w:val="20"/>
              </w:rPr>
              <w:t>35,07</w:t>
            </w:r>
          </w:p>
        </w:tc>
        <w:tc>
          <w:tcPr>
            <w:tcW w:w="969" w:type="dxa"/>
            <w:vAlign w:val="center"/>
          </w:tcPr>
          <w:p w14:paraId="27E2CB39" w14:textId="77777777" w:rsidR="00D12D7A" w:rsidRPr="00BF36B9" w:rsidRDefault="00D12D7A" w:rsidP="000878F6">
            <w:pPr>
              <w:pStyle w:val="Table"/>
              <w:jc w:val="center"/>
              <w:rPr>
                <w:szCs w:val="20"/>
              </w:rPr>
            </w:pPr>
            <w:r w:rsidRPr="00BF36B9">
              <w:rPr>
                <w:rFonts w:ascii="Calibri" w:hAnsi="Calibri" w:cs="Calibri"/>
                <w:color w:val="000000"/>
                <w:szCs w:val="20"/>
              </w:rPr>
              <w:t>295,65%</w:t>
            </w:r>
          </w:p>
        </w:tc>
        <w:tc>
          <w:tcPr>
            <w:tcW w:w="1283" w:type="dxa"/>
            <w:vAlign w:val="center"/>
          </w:tcPr>
          <w:p w14:paraId="429B1875" w14:textId="77777777" w:rsidR="00D12D7A" w:rsidRPr="00BF36B9" w:rsidRDefault="00D12D7A" w:rsidP="000878F6">
            <w:pPr>
              <w:pStyle w:val="Table"/>
              <w:jc w:val="center"/>
              <w:rPr>
                <w:szCs w:val="20"/>
              </w:rPr>
            </w:pPr>
            <w:r w:rsidRPr="00BF36B9">
              <w:rPr>
                <w:rFonts w:ascii="Calibri" w:hAnsi="Calibri" w:cs="Calibri"/>
                <w:color w:val="000000"/>
                <w:szCs w:val="20"/>
              </w:rPr>
              <w:t>292,97%</w:t>
            </w:r>
          </w:p>
        </w:tc>
      </w:tr>
    </w:tbl>
    <w:p w14:paraId="2BA099FB" w14:textId="77777777" w:rsidR="00D12D7A" w:rsidRDefault="00D12D7A" w:rsidP="00D12D7A"/>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26"/>
        <w:gridCol w:w="1126"/>
        <w:gridCol w:w="1032"/>
        <w:gridCol w:w="1220"/>
        <w:gridCol w:w="969"/>
        <w:gridCol w:w="1283"/>
      </w:tblGrid>
      <w:tr w:rsidR="00D12D7A" w:rsidRPr="00AA4BED" w14:paraId="6ECD2561" w14:textId="77777777" w:rsidTr="00506A7C">
        <w:trPr>
          <w:trHeight w:val="264"/>
        </w:trPr>
        <w:tc>
          <w:tcPr>
            <w:tcW w:w="9008" w:type="dxa"/>
            <w:gridSpan w:val="7"/>
            <w:shd w:val="clear" w:color="auto" w:fill="003399"/>
          </w:tcPr>
          <w:p w14:paraId="4B3FEF53" w14:textId="178BED64" w:rsidR="00D12D7A" w:rsidRPr="00AA4BED" w:rsidRDefault="00D12D7A" w:rsidP="000878F6">
            <w:pPr>
              <w:pStyle w:val="Table"/>
              <w:rPr>
                <w:b/>
                <w:color w:val="FFFFFF" w:themeColor="background1"/>
                <w:szCs w:val="20"/>
                <w:lang w:eastAsia="en-GB"/>
              </w:rPr>
            </w:pPr>
            <w:r w:rsidRPr="00AA4BED">
              <w:rPr>
                <w:b/>
                <w:color w:val="FFFFFF" w:themeColor="background1"/>
                <w:szCs w:val="20"/>
              </w:rPr>
              <w:t xml:space="preserve">Table </w:t>
            </w:r>
            <w:r w:rsidR="00490085">
              <w:rPr>
                <w:b/>
                <w:bCs/>
                <w:color w:val="FFFFFF" w:themeColor="background1"/>
                <w:szCs w:val="20"/>
              </w:rPr>
              <w:t>A6</w:t>
            </w:r>
            <w:r w:rsidRPr="00AA4BED">
              <w:rPr>
                <w:b/>
                <w:bCs/>
                <w:color w:val="FFFFFF" w:themeColor="background1"/>
                <w:szCs w:val="20"/>
              </w:rPr>
              <w:t>-</w:t>
            </w:r>
            <w:r w:rsidRPr="00AA4BED">
              <w:rPr>
                <w:b/>
                <w:bCs/>
                <w:color w:val="FFFFFF" w:themeColor="background1"/>
                <w:szCs w:val="20"/>
              </w:rPr>
              <w:fldChar w:fldCharType="begin"/>
            </w:r>
            <w:r w:rsidRPr="00AA4BED">
              <w:rPr>
                <w:b/>
                <w:bCs/>
                <w:color w:val="FFFFFF" w:themeColor="background1"/>
                <w:szCs w:val="20"/>
              </w:rPr>
              <w:instrText xml:space="preserve"> SEQ Table_A5- \* ARABIC </w:instrText>
            </w:r>
            <w:r w:rsidRPr="00AA4BED">
              <w:rPr>
                <w:b/>
                <w:bCs/>
                <w:color w:val="FFFFFF" w:themeColor="background1"/>
                <w:szCs w:val="20"/>
              </w:rPr>
              <w:fldChar w:fldCharType="separate"/>
            </w:r>
            <w:r>
              <w:rPr>
                <w:b/>
                <w:bCs/>
                <w:noProof/>
                <w:color w:val="FFFFFF" w:themeColor="background1"/>
                <w:szCs w:val="20"/>
              </w:rPr>
              <w:t>30</w:t>
            </w:r>
            <w:r w:rsidRPr="00AA4BED">
              <w:rPr>
                <w:b/>
                <w:bCs/>
                <w:color w:val="FFFFFF" w:themeColor="background1"/>
                <w:szCs w:val="20"/>
              </w:rPr>
              <w:fldChar w:fldCharType="end"/>
            </w:r>
            <w:r w:rsidRPr="00AA4BED">
              <w:rPr>
                <w:b/>
                <w:bCs/>
                <w:color w:val="FFFFFF" w:themeColor="background1"/>
                <w:szCs w:val="20"/>
              </w:rPr>
              <w:t>:</w:t>
            </w:r>
            <w:r w:rsidRPr="00AA4BED">
              <w:rPr>
                <w:b/>
                <w:color w:val="FFFFFF" w:themeColor="background1"/>
                <w:szCs w:val="20"/>
              </w:rPr>
              <w:t xml:space="preserve"> </w:t>
            </w:r>
            <w:r w:rsidRPr="00AA4BED">
              <w:rPr>
                <w:b/>
                <w:color w:val="FFFFFF" w:themeColor="background1"/>
                <w:szCs w:val="20"/>
                <w:lang w:eastAsia="en-GB"/>
              </w:rPr>
              <w:t>Environmental Impacts and Revenue Changes in Cyprus – Scenario B</w:t>
            </w:r>
          </w:p>
        </w:tc>
      </w:tr>
      <w:tr w:rsidR="00D12D7A" w:rsidRPr="00AA4BED" w14:paraId="71EB99BF" w14:textId="77777777" w:rsidTr="00506A7C">
        <w:trPr>
          <w:trHeight w:val="504"/>
        </w:trPr>
        <w:tc>
          <w:tcPr>
            <w:tcW w:w="2252" w:type="dxa"/>
          </w:tcPr>
          <w:p w14:paraId="4F1FFF76" w14:textId="77777777" w:rsidR="00D12D7A" w:rsidRPr="00AA4BED" w:rsidRDefault="00D12D7A" w:rsidP="000878F6">
            <w:pPr>
              <w:pStyle w:val="Table"/>
              <w:rPr>
                <w:b/>
                <w:szCs w:val="20"/>
              </w:rPr>
            </w:pPr>
            <w:r w:rsidRPr="00AA4BED">
              <w:rPr>
                <w:b/>
                <w:szCs w:val="20"/>
              </w:rPr>
              <w:t>Tax Name</w:t>
            </w:r>
          </w:p>
        </w:tc>
        <w:tc>
          <w:tcPr>
            <w:tcW w:w="2252" w:type="dxa"/>
            <w:gridSpan w:val="2"/>
            <w:vAlign w:val="bottom"/>
          </w:tcPr>
          <w:p w14:paraId="19982A0F" w14:textId="77777777" w:rsidR="00D12D7A" w:rsidRPr="00AA4BED" w:rsidRDefault="00D12D7A" w:rsidP="000878F6">
            <w:pPr>
              <w:pStyle w:val="Table"/>
              <w:jc w:val="center"/>
              <w:rPr>
                <w:b/>
                <w:szCs w:val="20"/>
              </w:rPr>
            </w:pPr>
            <w:r w:rsidRPr="00AA4BED">
              <w:rPr>
                <w:rFonts w:ascii="Calibri" w:hAnsi="Calibri" w:cs="Calibri"/>
                <w:b/>
                <w:bCs/>
                <w:color w:val="000000"/>
                <w:szCs w:val="20"/>
              </w:rPr>
              <w:t>% Change in Quantities as % of taxed sector</w:t>
            </w:r>
          </w:p>
        </w:tc>
        <w:tc>
          <w:tcPr>
            <w:tcW w:w="2252" w:type="dxa"/>
            <w:gridSpan w:val="2"/>
            <w:vAlign w:val="bottom"/>
          </w:tcPr>
          <w:p w14:paraId="7D925344" w14:textId="77777777" w:rsidR="00D12D7A" w:rsidRPr="00AA4BED" w:rsidRDefault="00D12D7A" w:rsidP="000878F6">
            <w:pPr>
              <w:pStyle w:val="Table"/>
              <w:jc w:val="center"/>
              <w:rPr>
                <w:b/>
                <w:szCs w:val="20"/>
              </w:rPr>
            </w:pPr>
            <w:r w:rsidRPr="00AA4BED">
              <w:rPr>
                <w:rFonts w:ascii="Calibri" w:hAnsi="Calibri" w:cs="Calibri"/>
                <w:b/>
                <w:bCs/>
                <w:color w:val="000000"/>
                <w:szCs w:val="20"/>
              </w:rPr>
              <w:t>Change in Revenues (€Mn)</w:t>
            </w:r>
          </w:p>
        </w:tc>
        <w:tc>
          <w:tcPr>
            <w:tcW w:w="2252" w:type="dxa"/>
            <w:gridSpan w:val="2"/>
            <w:vAlign w:val="bottom"/>
          </w:tcPr>
          <w:p w14:paraId="71916564" w14:textId="77777777" w:rsidR="00D12D7A" w:rsidRPr="00AA4BED" w:rsidRDefault="00D12D7A" w:rsidP="000878F6">
            <w:pPr>
              <w:pStyle w:val="Table"/>
              <w:jc w:val="center"/>
              <w:rPr>
                <w:b/>
                <w:szCs w:val="20"/>
              </w:rPr>
            </w:pPr>
            <w:r w:rsidRPr="00AA4BED">
              <w:rPr>
                <w:rFonts w:ascii="Calibri" w:hAnsi="Calibri" w:cs="Calibri"/>
                <w:b/>
                <w:bCs/>
                <w:color w:val="000000"/>
                <w:szCs w:val="20"/>
              </w:rPr>
              <w:t>As % of 2023 Resource Tax</w:t>
            </w:r>
          </w:p>
        </w:tc>
      </w:tr>
      <w:tr w:rsidR="00D12D7A" w:rsidRPr="00AA4BED" w14:paraId="28B35C51" w14:textId="77777777" w:rsidTr="00506A7C">
        <w:trPr>
          <w:trHeight w:val="242"/>
        </w:trPr>
        <w:tc>
          <w:tcPr>
            <w:tcW w:w="2252" w:type="dxa"/>
          </w:tcPr>
          <w:p w14:paraId="76762E4B" w14:textId="77777777" w:rsidR="00D12D7A" w:rsidRPr="00AA4BED" w:rsidRDefault="00D12D7A" w:rsidP="000878F6">
            <w:pPr>
              <w:pStyle w:val="Table"/>
              <w:rPr>
                <w:b/>
                <w:szCs w:val="20"/>
              </w:rPr>
            </w:pPr>
            <w:r w:rsidRPr="00AA4BED">
              <w:rPr>
                <w:b/>
                <w:szCs w:val="20"/>
              </w:rPr>
              <w:t>Year</w:t>
            </w:r>
          </w:p>
        </w:tc>
        <w:tc>
          <w:tcPr>
            <w:tcW w:w="1126" w:type="dxa"/>
          </w:tcPr>
          <w:p w14:paraId="2EDAE178" w14:textId="77777777" w:rsidR="00D12D7A" w:rsidRPr="00AA4BED" w:rsidRDefault="00D12D7A" w:rsidP="000878F6">
            <w:pPr>
              <w:pStyle w:val="Table"/>
              <w:jc w:val="center"/>
              <w:rPr>
                <w:b/>
                <w:szCs w:val="20"/>
              </w:rPr>
            </w:pPr>
            <w:r w:rsidRPr="00AA4BED">
              <w:rPr>
                <w:b/>
                <w:szCs w:val="20"/>
              </w:rPr>
              <w:t>2030</w:t>
            </w:r>
          </w:p>
        </w:tc>
        <w:tc>
          <w:tcPr>
            <w:tcW w:w="1126" w:type="dxa"/>
          </w:tcPr>
          <w:p w14:paraId="1E087391" w14:textId="77777777" w:rsidR="00D12D7A" w:rsidRPr="00AA4BED" w:rsidRDefault="00D12D7A" w:rsidP="000878F6">
            <w:pPr>
              <w:pStyle w:val="Table"/>
              <w:jc w:val="center"/>
              <w:rPr>
                <w:b/>
                <w:szCs w:val="20"/>
              </w:rPr>
            </w:pPr>
            <w:r w:rsidRPr="00AA4BED">
              <w:rPr>
                <w:b/>
                <w:szCs w:val="20"/>
              </w:rPr>
              <w:t>2035</w:t>
            </w:r>
          </w:p>
        </w:tc>
        <w:tc>
          <w:tcPr>
            <w:tcW w:w="1032" w:type="dxa"/>
          </w:tcPr>
          <w:p w14:paraId="45463347" w14:textId="77777777" w:rsidR="00D12D7A" w:rsidRPr="00AA4BED" w:rsidRDefault="00D12D7A" w:rsidP="000878F6">
            <w:pPr>
              <w:pStyle w:val="Table"/>
              <w:jc w:val="center"/>
              <w:rPr>
                <w:b/>
                <w:szCs w:val="20"/>
              </w:rPr>
            </w:pPr>
            <w:r w:rsidRPr="00AA4BED">
              <w:rPr>
                <w:b/>
                <w:szCs w:val="20"/>
              </w:rPr>
              <w:t>2030</w:t>
            </w:r>
          </w:p>
        </w:tc>
        <w:tc>
          <w:tcPr>
            <w:tcW w:w="1220" w:type="dxa"/>
          </w:tcPr>
          <w:p w14:paraId="312A0E13" w14:textId="77777777" w:rsidR="00D12D7A" w:rsidRPr="00AA4BED" w:rsidRDefault="00D12D7A" w:rsidP="000878F6">
            <w:pPr>
              <w:pStyle w:val="Table"/>
              <w:jc w:val="center"/>
              <w:rPr>
                <w:b/>
                <w:szCs w:val="20"/>
              </w:rPr>
            </w:pPr>
            <w:r w:rsidRPr="00AA4BED">
              <w:rPr>
                <w:b/>
                <w:szCs w:val="20"/>
              </w:rPr>
              <w:t>2035</w:t>
            </w:r>
          </w:p>
        </w:tc>
        <w:tc>
          <w:tcPr>
            <w:tcW w:w="969" w:type="dxa"/>
          </w:tcPr>
          <w:p w14:paraId="356ABC3B" w14:textId="77777777" w:rsidR="00D12D7A" w:rsidRPr="00AA4BED" w:rsidRDefault="00D12D7A" w:rsidP="000878F6">
            <w:pPr>
              <w:pStyle w:val="Table"/>
              <w:jc w:val="center"/>
              <w:rPr>
                <w:b/>
                <w:szCs w:val="20"/>
              </w:rPr>
            </w:pPr>
            <w:r w:rsidRPr="00AA4BED">
              <w:rPr>
                <w:b/>
                <w:szCs w:val="20"/>
              </w:rPr>
              <w:t>2030</w:t>
            </w:r>
          </w:p>
        </w:tc>
        <w:tc>
          <w:tcPr>
            <w:tcW w:w="1283" w:type="dxa"/>
          </w:tcPr>
          <w:p w14:paraId="5AC3E84B" w14:textId="77777777" w:rsidR="00D12D7A" w:rsidRPr="00AA4BED" w:rsidRDefault="00D12D7A" w:rsidP="000878F6">
            <w:pPr>
              <w:pStyle w:val="Table"/>
              <w:jc w:val="center"/>
              <w:rPr>
                <w:b/>
                <w:szCs w:val="20"/>
              </w:rPr>
            </w:pPr>
            <w:r w:rsidRPr="00AA4BED">
              <w:rPr>
                <w:b/>
                <w:szCs w:val="20"/>
              </w:rPr>
              <w:t>2035</w:t>
            </w:r>
          </w:p>
        </w:tc>
      </w:tr>
      <w:tr w:rsidR="00D12D7A" w:rsidRPr="00AA4BED" w14:paraId="124CEABE" w14:textId="77777777" w:rsidTr="00506A7C">
        <w:trPr>
          <w:trHeight w:val="242"/>
        </w:trPr>
        <w:tc>
          <w:tcPr>
            <w:tcW w:w="2252" w:type="dxa"/>
          </w:tcPr>
          <w:p w14:paraId="03E94574" w14:textId="77777777" w:rsidR="00D12D7A" w:rsidRPr="00AA4BED" w:rsidRDefault="00D12D7A" w:rsidP="000878F6">
            <w:pPr>
              <w:pStyle w:val="Table"/>
              <w:rPr>
                <w:szCs w:val="20"/>
              </w:rPr>
            </w:pPr>
            <w:r w:rsidRPr="00AA4BED">
              <w:rPr>
                <w:szCs w:val="20"/>
              </w:rPr>
              <w:t>NOx</w:t>
            </w:r>
          </w:p>
        </w:tc>
        <w:tc>
          <w:tcPr>
            <w:tcW w:w="1126" w:type="dxa"/>
            <w:vAlign w:val="center"/>
          </w:tcPr>
          <w:p w14:paraId="271A2532" w14:textId="77777777" w:rsidR="00D12D7A" w:rsidRPr="00AA4BED" w:rsidRDefault="00D12D7A" w:rsidP="000878F6">
            <w:pPr>
              <w:pStyle w:val="Table"/>
              <w:jc w:val="center"/>
              <w:rPr>
                <w:szCs w:val="20"/>
              </w:rPr>
            </w:pPr>
            <w:r w:rsidRPr="00AA4BED">
              <w:rPr>
                <w:rFonts w:ascii="Calibri" w:hAnsi="Calibri" w:cs="Calibri"/>
                <w:color w:val="000000"/>
                <w:szCs w:val="20"/>
              </w:rPr>
              <w:t>-7,39%</w:t>
            </w:r>
          </w:p>
        </w:tc>
        <w:tc>
          <w:tcPr>
            <w:tcW w:w="1126" w:type="dxa"/>
            <w:vAlign w:val="center"/>
          </w:tcPr>
          <w:p w14:paraId="3111AF87" w14:textId="77777777" w:rsidR="00D12D7A" w:rsidRPr="00AA4BED" w:rsidRDefault="00D12D7A" w:rsidP="000878F6">
            <w:pPr>
              <w:pStyle w:val="Table"/>
              <w:jc w:val="center"/>
              <w:rPr>
                <w:szCs w:val="20"/>
              </w:rPr>
            </w:pPr>
            <w:r w:rsidRPr="00AA4BED">
              <w:rPr>
                <w:rFonts w:ascii="Calibri" w:hAnsi="Calibri" w:cs="Calibri"/>
                <w:color w:val="000000"/>
                <w:szCs w:val="20"/>
              </w:rPr>
              <w:t>-7,39%</w:t>
            </w:r>
          </w:p>
        </w:tc>
        <w:tc>
          <w:tcPr>
            <w:tcW w:w="1032" w:type="dxa"/>
            <w:vAlign w:val="center"/>
          </w:tcPr>
          <w:p w14:paraId="0E87A902" w14:textId="77777777" w:rsidR="00D12D7A" w:rsidRPr="00AA4BED" w:rsidRDefault="00D12D7A" w:rsidP="000878F6">
            <w:pPr>
              <w:pStyle w:val="Table"/>
              <w:jc w:val="center"/>
              <w:rPr>
                <w:szCs w:val="20"/>
              </w:rPr>
            </w:pPr>
            <w:r w:rsidRPr="00AA4BED">
              <w:rPr>
                <w:rFonts w:ascii="Calibri" w:hAnsi="Calibri" w:cs="Calibri"/>
                <w:color w:val="000000"/>
                <w:szCs w:val="20"/>
              </w:rPr>
              <w:t>0,04</w:t>
            </w:r>
          </w:p>
        </w:tc>
        <w:tc>
          <w:tcPr>
            <w:tcW w:w="1220" w:type="dxa"/>
            <w:vAlign w:val="center"/>
          </w:tcPr>
          <w:p w14:paraId="056B78D6" w14:textId="77777777" w:rsidR="00D12D7A" w:rsidRPr="00AA4BED" w:rsidRDefault="00D12D7A" w:rsidP="000878F6">
            <w:pPr>
              <w:pStyle w:val="Table"/>
              <w:jc w:val="center"/>
              <w:rPr>
                <w:szCs w:val="20"/>
              </w:rPr>
            </w:pPr>
            <w:r w:rsidRPr="00AA4BED">
              <w:rPr>
                <w:rFonts w:ascii="Calibri" w:hAnsi="Calibri" w:cs="Calibri"/>
                <w:color w:val="000000"/>
                <w:szCs w:val="20"/>
              </w:rPr>
              <w:t>0,04</w:t>
            </w:r>
          </w:p>
        </w:tc>
        <w:tc>
          <w:tcPr>
            <w:tcW w:w="969" w:type="dxa"/>
            <w:vAlign w:val="center"/>
          </w:tcPr>
          <w:p w14:paraId="07076BAF" w14:textId="77777777" w:rsidR="00D12D7A" w:rsidRPr="00AA4BED" w:rsidRDefault="00D12D7A" w:rsidP="000878F6">
            <w:pPr>
              <w:pStyle w:val="Table"/>
              <w:jc w:val="center"/>
              <w:rPr>
                <w:szCs w:val="20"/>
              </w:rPr>
            </w:pPr>
            <w:r w:rsidRPr="00AA4BED">
              <w:rPr>
                <w:rFonts w:ascii="Calibri" w:hAnsi="Calibri" w:cs="Calibri"/>
                <w:color w:val="000000"/>
                <w:szCs w:val="20"/>
              </w:rPr>
              <w:t>0,1%</w:t>
            </w:r>
          </w:p>
        </w:tc>
        <w:tc>
          <w:tcPr>
            <w:tcW w:w="1283" w:type="dxa"/>
            <w:vAlign w:val="center"/>
          </w:tcPr>
          <w:p w14:paraId="42BAC60E" w14:textId="77777777" w:rsidR="00D12D7A" w:rsidRPr="00AA4BED" w:rsidRDefault="00D12D7A" w:rsidP="000878F6">
            <w:pPr>
              <w:pStyle w:val="Table"/>
              <w:jc w:val="center"/>
              <w:rPr>
                <w:szCs w:val="20"/>
              </w:rPr>
            </w:pPr>
            <w:r w:rsidRPr="00AA4BED">
              <w:rPr>
                <w:rFonts w:ascii="Calibri" w:hAnsi="Calibri" w:cs="Calibri"/>
                <w:color w:val="000000"/>
                <w:szCs w:val="20"/>
              </w:rPr>
              <w:t>0,1%</w:t>
            </w:r>
          </w:p>
        </w:tc>
      </w:tr>
      <w:tr w:rsidR="00D12D7A" w:rsidRPr="00AA4BED" w14:paraId="2B1AC8FE" w14:textId="77777777" w:rsidTr="00506A7C">
        <w:trPr>
          <w:trHeight w:val="242"/>
        </w:trPr>
        <w:tc>
          <w:tcPr>
            <w:tcW w:w="2252" w:type="dxa"/>
          </w:tcPr>
          <w:p w14:paraId="2BD644D4" w14:textId="77777777" w:rsidR="00D12D7A" w:rsidRPr="00AA4BED" w:rsidRDefault="00D12D7A" w:rsidP="000878F6">
            <w:pPr>
              <w:pStyle w:val="Table"/>
              <w:rPr>
                <w:szCs w:val="20"/>
              </w:rPr>
            </w:pPr>
            <w:r w:rsidRPr="00AA4BED">
              <w:rPr>
                <w:szCs w:val="20"/>
              </w:rPr>
              <w:t>SO2</w:t>
            </w:r>
          </w:p>
        </w:tc>
        <w:tc>
          <w:tcPr>
            <w:tcW w:w="1126" w:type="dxa"/>
            <w:vAlign w:val="center"/>
          </w:tcPr>
          <w:p w14:paraId="561B4FA2" w14:textId="77777777" w:rsidR="00D12D7A" w:rsidRPr="00AA4BED" w:rsidRDefault="00D12D7A" w:rsidP="000878F6">
            <w:pPr>
              <w:pStyle w:val="Table"/>
              <w:jc w:val="center"/>
              <w:rPr>
                <w:szCs w:val="20"/>
              </w:rPr>
            </w:pPr>
            <w:r w:rsidRPr="00AA4BED">
              <w:rPr>
                <w:rFonts w:ascii="Calibri" w:hAnsi="Calibri" w:cs="Calibri"/>
                <w:color w:val="000000"/>
                <w:szCs w:val="20"/>
              </w:rPr>
              <w:t>-8,11%</w:t>
            </w:r>
          </w:p>
        </w:tc>
        <w:tc>
          <w:tcPr>
            <w:tcW w:w="1126" w:type="dxa"/>
            <w:vAlign w:val="center"/>
          </w:tcPr>
          <w:p w14:paraId="70CAD2CA" w14:textId="77777777" w:rsidR="00D12D7A" w:rsidRPr="00AA4BED" w:rsidRDefault="00D12D7A" w:rsidP="000878F6">
            <w:pPr>
              <w:pStyle w:val="Table"/>
              <w:jc w:val="center"/>
              <w:rPr>
                <w:szCs w:val="20"/>
              </w:rPr>
            </w:pPr>
            <w:r w:rsidRPr="00AA4BED">
              <w:rPr>
                <w:rFonts w:ascii="Calibri" w:hAnsi="Calibri" w:cs="Calibri"/>
                <w:color w:val="000000"/>
                <w:szCs w:val="20"/>
              </w:rPr>
              <w:t>-8,11%</w:t>
            </w:r>
          </w:p>
        </w:tc>
        <w:tc>
          <w:tcPr>
            <w:tcW w:w="1032" w:type="dxa"/>
            <w:vAlign w:val="center"/>
          </w:tcPr>
          <w:p w14:paraId="30058087" w14:textId="77777777" w:rsidR="00D12D7A" w:rsidRPr="00AA4BED" w:rsidRDefault="00D12D7A" w:rsidP="000878F6">
            <w:pPr>
              <w:pStyle w:val="Table"/>
              <w:jc w:val="center"/>
              <w:rPr>
                <w:szCs w:val="20"/>
              </w:rPr>
            </w:pPr>
            <w:r w:rsidRPr="00AA4BED">
              <w:rPr>
                <w:rFonts w:ascii="Calibri" w:hAnsi="Calibri" w:cs="Calibri"/>
                <w:color w:val="000000"/>
                <w:szCs w:val="20"/>
              </w:rPr>
              <w:t>2,48</w:t>
            </w:r>
          </w:p>
        </w:tc>
        <w:tc>
          <w:tcPr>
            <w:tcW w:w="1220" w:type="dxa"/>
            <w:vAlign w:val="center"/>
          </w:tcPr>
          <w:p w14:paraId="5E207928" w14:textId="77777777" w:rsidR="00D12D7A" w:rsidRPr="00AA4BED" w:rsidRDefault="00D12D7A" w:rsidP="000878F6">
            <w:pPr>
              <w:pStyle w:val="Table"/>
              <w:jc w:val="center"/>
              <w:rPr>
                <w:szCs w:val="20"/>
              </w:rPr>
            </w:pPr>
            <w:r w:rsidRPr="00AA4BED">
              <w:rPr>
                <w:rFonts w:ascii="Calibri" w:hAnsi="Calibri" w:cs="Calibri"/>
                <w:color w:val="000000"/>
                <w:szCs w:val="20"/>
              </w:rPr>
              <w:t>2,08</w:t>
            </w:r>
          </w:p>
        </w:tc>
        <w:tc>
          <w:tcPr>
            <w:tcW w:w="969" w:type="dxa"/>
            <w:vAlign w:val="center"/>
          </w:tcPr>
          <w:p w14:paraId="1ED4E3A0" w14:textId="77777777" w:rsidR="00D12D7A" w:rsidRPr="00AA4BED" w:rsidRDefault="00D12D7A" w:rsidP="000878F6">
            <w:pPr>
              <w:pStyle w:val="Table"/>
              <w:jc w:val="center"/>
              <w:rPr>
                <w:szCs w:val="20"/>
              </w:rPr>
            </w:pPr>
            <w:r w:rsidRPr="00AA4BED">
              <w:rPr>
                <w:rFonts w:ascii="Calibri" w:hAnsi="Calibri" w:cs="Calibri"/>
                <w:color w:val="000000"/>
                <w:szCs w:val="20"/>
              </w:rPr>
              <w:t>3,9%</w:t>
            </w:r>
          </w:p>
        </w:tc>
        <w:tc>
          <w:tcPr>
            <w:tcW w:w="1283" w:type="dxa"/>
            <w:vAlign w:val="center"/>
          </w:tcPr>
          <w:p w14:paraId="682D40C6" w14:textId="77777777" w:rsidR="00D12D7A" w:rsidRPr="00AA4BED" w:rsidRDefault="00D12D7A" w:rsidP="000878F6">
            <w:pPr>
              <w:pStyle w:val="Table"/>
              <w:jc w:val="center"/>
              <w:rPr>
                <w:szCs w:val="20"/>
              </w:rPr>
            </w:pPr>
            <w:r w:rsidRPr="00AA4BED">
              <w:rPr>
                <w:rFonts w:ascii="Calibri" w:hAnsi="Calibri" w:cs="Calibri"/>
                <w:color w:val="000000"/>
                <w:szCs w:val="20"/>
              </w:rPr>
              <w:t>3,3%</w:t>
            </w:r>
          </w:p>
        </w:tc>
      </w:tr>
      <w:tr w:rsidR="00D12D7A" w:rsidRPr="00AA4BED" w14:paraId="54D6F6A0" w14:textId="77777777" w:rsidTr="00506A7C">
        <w:trPr>
          <w:trHeight w:val="242"/>
        </w:trPr>
        <w:tc>
          <w:tcPr>
            <w:tcW w:w="2252" w:type="dxa"/>
          </w:tcPr>
          <w:p w14:paraId="3D9D82AD" w14:textId="77777777" w:rsidR="00D12D7A" w:rsidRPr="00AA4BED" w:rsidRDefault="00D12D7A" w:rsidP="000878F6">
            <w:pPr>
              <w:pStyle w:val="Table"/>
              <w:rPr>
                <w:szCs w:val="20"/>
              </w:rPr>
            </w:pPr>
            <w:r w:rsidRPr="00AA4BED">
              <w:rPr>
                <w:szCs w:val="20"/>
              </w:rPr>
              <w:t>PM2.5</w:t>
            </w:r>
          </w:p>
        </w:tc>
        <w:tc>
          <w:tcPr>
            <w:tcW w:w="1126" w:type="dxa"/>
            <w:vAlign w:val="center"/>
          </w:tcPr>
          <w:p w14:paraId="5EAB0ED9" w14:textId="77777777" w:rsidR="00D12D7A" w:rsidRPr="00AA4BED" w:rsidRDefault="00D12D7A" w:rsidP="000878F6">
            <w:pPr>
              <w:pStyle w:val="Table"/>
              <w:jc w:val="center"/>
              <w:rPr>
                <w:szCs w:val="20"/>
              </w:rPr>
            </w:pPr>
            <w:r w:rsidRPr="00AA4BED">
              <w:rPr>
                <w:rFonts w:ascii="Calibri" w:hAnsi="Calibri" w:cs="Calibri"/>
                <w:color w:val="000000"/>
                <w:szCs w:val="20"/>
              </w:rPr>
              <w:t>-7,39%</w:t>
            </w:r>
          </w:p>
        </w:tc>
        <w:tc>
          <w:tcPr>
            <w:tcW w:w="1126" w:type="dxa"/>
            <w:vAlign w:val="center"/>
          </w:tcPr>
          <w:p w14:paraId="6365792A" w14:textId="77777777" w:rsidR="00D12D7A" w:rsidRPr="00AA4BED" w:rsidRDefault="00D12D7A" w:rsidP="000878F6">
            <w:pPr>
              <w:pStyle w:val="Table"/>
              <w:jc w:val="center"/>
              <w:rPr>
                <w:szCs w:val="20"/>
              </w:rPr>
            </w:pPr>
            <w:r w:rsidRPr="00AA4BED">
              <w:rPr>
                <w:rFonts w:ascii="Calibri" w:hAnsi="Calibri" w:cs="Calibri"/>
                <w:color w:val="000000"/>
                <w:szCs w:val="20"/>
              </w:rPr>
              <w:t>-7,39%</w:t>
            </w:r>
          </w:p>
        </w:tc>
        <w:tc>
          <w:tcPr>
            <w:tcW w:w="1032" w:type="dxa"/>
            <w:vAlign w:val="center"/>
          </w:tcPr>
          <w:p w14:paraId="46E63466" w14:textId="77777777" w:rsidR="00D12D7A" w:rsidRPr="00AA4BED" w:rsidRDefault="00D12D7A" w:rsidP="000878F6">
            <w:pPr>
              <w:pStyle w:val="Table"/>
              <w:jc w:val="center"/>
              <w:rPr>
                <w:szCs w:val="20"/>
              </w:rPr>
            </w:pPr>
            <w:r w:rsidRPr="00AA4BED">
              <w:rPr>
                <w:rFonts w:ascii="Calibri" w:hAnsi="Calibri" w:cs="Calibri"/>
                <w:color w:val="000000"/>
                <w:szCs w:val="20"/>
              </w:rPr>
              <w:t>0,10</w:t>
            </w:r>
          </w:p>
        </w:tc>
        <w:tc>
          <w:tcPr>
            <w:tcW w:w="1220" w:type="dxa"/>
            <w:vAlign w:val="center"/>
          </w:tcPr>
          <w:p w14:paraId="0874F55D" w14:textId="77777777" w:rsidR="00D12D7A" w:rsidRPr="00AA4BED" w:rsidRDefault="00D12D7A" w:rsidP="000878F6">
            <w:pPr>
              <w:pStyle w:val="Table"/>
              <w:jc w:val="center"/>
              <w:rPr>
                <w:szCs w:val="20"/>
              </w:rPr>
            </w:pPr>
            <w:r w:rsidRPr="00AA4BED">
              <w:rPr>
                <w:rFonts w:ascii="Calibri" w:hAnsi="Calibri" w:cs="Calibri"/>
                <w:color w:val="000000"/>
                <w:szCs w:val="20"/>
              </w:rPr>
              <w:t>0,08</w:t>
            </w:r>
          </w:p>
        </w:tc>
        <w:tc>
          <w:tcPr>
            <w:tcW w:w="969" w:type="dxa"/>
            <w:vAlign w:val="center"/>
          </w:tcPr>
          <w:p w14:paraId="09F5AF21" w14:textId="77777777" w:rsidR="00D12D7A" w:rsidRPr="00AA4BED" w:rsidRDefault="00D12D7A" w:rsidP="000878F6">
            <w:pPr>
              <w:pStyle w:val="Table"/>
              <w:jc w:val="center"/>
              <w:rPr>
                <w:szCs w:val="20"/>
              </w:rPr>
            </w:pPr>
            <w:r w:rsidRPr="00AA4BED">
              <w:rPr>
                <w:rFonts w:ascii="Calibri" w:hAnsi="Calibri" w:cs="Calibri"/>
                <w:color w:val="000000"/>
                <w:szCs w:val="20"/>
              </w:rPr>
              <w:t>0,2%</w:t>
            </w:r>
          </w:p>
        </w:tc>
        <w:tc>
          <w:tcPr>
            <w:tcW w:w="1283" w:type="dxa"/>
            <w:vAlign w:val="center"/>
          </w:tcPr>
          <w:p w14:paraId="314C3D43" w14:textId="77777777" w:rsidR="00D12D7A" w:rsidRPr="00AA4BED" w:rsidRDefault="00D12D7A" w:rsidP="000878F6">
            <w:pPr>
              <w:pStyle w:val="Table"/>
              <w:jc w:val="center"/>
              <w:rPr>
                <w:szCs w:val="20"/>
              </w:rPr>
            </w:pPr>
            <w:r w:rsidRPr="00AA4BED">
              <w:rPr>
                <w:rFonts w:ascii="Calibri" w:hAnsi="Calibri" w:cs="Calibri"/>
                <w:color w:val="000000"/>
                <w:szCs w:val="20"/>
              </w:rPr>
              <w:t>0,1%</w:t>
            </w:r>
          </w:p>
        </w:tc>
      </w:tr>
      <w:tr w:rsidR="00D12D7A" w:rsidRPr="00AA4BED" w14:paraId="3E2CAD48" w14:textId="77777777" w:rsidTr="00506A7C">
        <w:trPr>
          <w:trHeight w:val="242"/>
        </w:trPr>
        <w:tc>
          <w:tcPr>
            <w:tcW w:w="2252" w:type="dxa"/>
          </w:tcPr>
          <w:p w14:paraId="55C0364F" w14:textId="77777777" w:rsidR="00D12D7A" w:rsidRPr="00AA4BED" w:rsidRDefault="00D12D7A" w:rsidP="000878F6">
            <w:pPr>
              <w:pStyle w:val="Table"/>
              <w:rPr>
                <w:szCs w:val="20"/>
              </w:rPr>
            </w:pPr>
            <w:r w:rsidRPr="00AA4BED">
              <w:rPr>
                <w:szCs w:val="20"/>
              </w:rPr>
              <w:t>Water Abstraction</w:t>
            </w:r>
          </w:p>
        </w:tc>
        <w:tc>
          <w:tcPr>
            <w:tcW w:w="1126" w:type="dxa"/>
            <w:vAlign w:val="center"/>
          </w:tcPr>
          <w:p w14:paraId="49F05AE7" w14:textId="77777777" w:rsidR="00D12D7A" w:rsidRPr="00AA4BED" w:rsidRDefault="00D12D7A" w:rsidP="000878F6">
            <w:pPr>
              <w:pStyle w:val="Table"/>
              <w:jc w:val="center"/>
              <w:rPr>
                <w:szCs w:val="20"/>
              </w:rPr>
            </w:pPr>
            <w:r w:rsidRPr="00AA4BED">
              <w:rPr>
                <w:rFonts w:ascii="Calibri" w:hAnsi="Calibri" w:cs="Calibri"/>
                <w:color w:val="000000"/>
                <w:szCs w:val="20"/>
              </w:rPr>
              <w:t>-5,88%</w:t>
            </w:r>
          </w:p>
        </w:tc>
        <w:tc>
          <w:tcPr>
            <w:tcW w:w="1126" w:type="dxa"/>
            <w:vAlign w:val="center"/>
          </w:tcPr>
          <w:p w14:paraId="24DC2078" w14:textId="77777777" w:rsidR="00D12D7A" w:rsidRPr="00AA4BED" w:rsidRDefault="00D12D7A" w:rsidP="000878F6">
            <w:pPr>
              <w:pStyle w:val="Table"/>
              <w:jc w:val="center"/>
              <w:rPr>
                <w:szCs w:val="20"/>
              </w:rPr>
            </w:pPr>
            <w:r w:rsidRPr="00AA4BED">
              <w:rPr>
                <w:rFonts w:ascii="Calibri" w:hAnsi="Calibri" w:cs="Calibri"/>
                <w:color w:val="000000"/>
                <w:szCs w:val="20"/>
              </w:rPr>
              <w:t>-5,88%</w:t>
            </w:r>
          </w:p>
        </w:tc>
        <w:tc>
          <w:tcPr>
            <w:tcW w:w="1032" w:type="dxa"/>
            <w:vAlign w:val="center"/>
          </w:tcPr>
          <w:p w14:paraId="2BD65930" w14:textId="77777777" w:rsidR="00D12D7A" w:rsidRPr="00AA4BED" w:rsidRDefault="00D12D7A" w:rsidP="000878F6">
            <w:pPr>
              <w:pStyle w:val="Table"/>
              <w:jc w:val="center"/>
              <w:rPr>
                <w:szCs w:val="20"/>
              </w:rPr>
            </w:pPr>
            <w:r w:rsidRPr="00AA4BED">
              <w:rPr>
                <w:rFonts w:ascii="Calibri" w:hAnsi="Calibri" w:cs="Calibri"/>
                <w:color w:val="000000"/>
                <w:szCs w:val="20"/>
              </w:rPr>
              <w:t>5,47</w:t>
            </w:r>
          </w:p>
        </w:tc>
        <w:tc>
          <w:tcPr>
            <w:tcW w:w="1220" w:type="dxa"/>
            <w:vAlign w:val="center"/>
          </w:tcPr>
          <w:p w14:paraId="592845C0" w14:textId="77777777" w:rsidR="00D12D7A" w:rsidRPr="00AA4BED" w:rsidRDefault="00D12D7A" w:rsidP="000878F6">
            <w:pPr>
              <w:pStyle w:val="Table"/>
              <w:jc w:val="center"/>
              <w:rPr>
                <w:szCs w:val="20"/>
              </w:rPr>
            </w:pPr>
            <w:r w:rsidRPr="00AA4BED">
              <w:rPr>
                <w:rFonts w:ascii="Calibri" w:hAnsi="Calibri" w:cs="Calibri"/>
                <w:color w:val="000000"/>
                <w:szCs w:val="20"/>
              </w:rPr>
              <w:t>5,07</w:t>
            </w:r>
          </w:p>
        </w:tc>
        <w:tc>
          <w:tcPr>
            <w:tcW w:w="969" w:type="dxa"/>
            <w:vAlign w:val="center"/>
          </w:tcPr>
          <w:p w14:paraId="7908C33E" w14:textId="77777777" w:rsidR="00D12D7A" w:rsidRPr="00AA4BED" w:rsidRDefault="00D12D7A" w:rsidP="000878F6">
            <w:pPr>
              <w:pStyle w:val="Table"/>
              <w:jc w:val="center"/>
              <w:rPr>
                <w:szCs w:val="20"/>
              </w:rPr>
            </w:pPr>
            <w:r w:rsidRPr="00AA4BED">
              <w:rPr>
                <w:rFonts w:ascii="Calibri" w:hAnsi="Calibri" w:cs="Calibri"/>
                <w:color w:val="000000"/>
                <w:szCs w:val="20"/>
              </w:rPr>
              <w:t>45,7%</w:t>
            </w:r>
          </w:p>
        </w:tc>
        <w:tc>
          <w:tcPr>
            <w:tcW w:w="1283" w:type="dxa"/>
            <w:vAlign w:val="center"/>
          </w:tcPr>
          <w:p w14:paraId="60372253" w14:textId="77777777" w:rsidR="00D12D7A" w:rsidRPr="00AA4BED" w:rsidRDefault="00D12D7A" w:rsidP="000878F6">
            <w:pPr>
              <w:pStyle w:val="Table"/>
              <w:jc w:val="center"/>
              <w:rPr>
                <w:szCs w:val="20"/>
              </w:rPr>
            </w:pPr>
            <w:r w:rsidRPr="00AA4BED">
              <w:rPr>
                <w:rFonts w:ascii="Calibri" w:hAnsi="Calibri" w:cs="Calibri"/>
                <w:color w:val="000000"/>
                <w:szCs w:val="20"/>
              </w:rPr>
              <w:t>42,4%</w:t>
            </w:r>
          </w:p>
        </w:tc>
      </w:tr>
      <w:tr w:rsidR="00D12D7A" w:rsidRPr="00AA4BED" w14:paraId="44C98619" w14:textId="77777777" w:rsidTr="00506A7C">
        <w:trPr>
          <w:trHeight w:val="260"/>
        </w:trPr>
        <w:tc>
          <w:tcPr>
            <w:tcW w:w="2252" w:type="dxa"/>
          </w:tcPr>
          <w:p w14:paraId="530088E8" w14:textId="77777777" w:rsidR="00D12D7A" w:rsidRPr="00AA4BED" w:rsidRDefault="00D12D7A" w:rsidP="000878F6">
            <w:pPr>
              <w:pStyle w:val="Table"/>
              <w:rPr>
                <w:szCs w:val="20"/>
              </w:rPr>
            </w:pPr>
            <w:r w:rsidRPr="00AA4BED">
              <w:rPr>
                <w:szCs w:val="20"/>
              </w:rPr>
              <w:t>Fertilizers</w:t>
            </w:r>
          </w:p>
        </w:tc>
        <w:tc>
          <w:tcPr>
            <w:tcW w:w="1126" w:type="dxa"/>
            <w:vAlign w:val="center"/>
          </w:tcPr>
          <w:p w14:paraId="56911FBF" w14:textId="77777777" w:rsidR="00D12D7A" w:rsidRPr="00AA4BED" w:rsidRDefault="00D12D7A" w:rsidP="000878F6">
            <w:pPr>
              <w:pStyle w:val="Table"/>
              <w:jc w:val="center"/>
              <w:rPr>
                <w:szCs w:val="20"/>
              </w:rPr>
            </w:pPr>
            <w:r w:rsidRPr="00AA4BED">
              <w:rPr>
                <w:rFonts w:ascii="Calibri" w:hAnsi="Calibri" w:cs="Calibri"/>
                <w:color w:val="000000"/>
                <w:szCs w:val="20"/>
              </w:rPr>
              <w:t>-5,99%</w:t>
            </w:r>
          </w:p>
        </w:tc>
        <w:tc>
          <w:tcPr>
            <w:tcW w:w="1126" w:type="dxa"/>
            <w:vAlign w:val="center"/>
          </w:tcPr>
          <w:p w14:paraId="187BB8B5" w14:textId="77777777" w:rsidR="00D12D7A" w:rsidRPr="00AA4BED" w:rsidRDefault="00D12D7A" w:rsidP="000878F6">
            <w:pPr>
              <w:pStyle w:val="Table"/>
              <w:jc w:val="center"/>
              <w:rPr>
                <w:szCs w:val="20"/>
              </w:rPr>
            </w:pPr>
            <w:r w:rsidRPr="00AA4BED">
              <w:rPr>
                <w:rFonts w:ascii="Calibri" w:hAnsi="Calibri" w:cs="Calibri"/>
                <w:color w:val="000000"/>
                <w:szCs w:val="20"/>
              </w:rPr>
              <w:t>-5,99%</w:t>
            </w:r>
          </w:p>
        </w:tc>
        <w:tc>
          <w:tcPr>
            <w:tcW w:w="1032" w:type="dxa"/>
            <w:vAlign w:val="center"/>
          </w:tcPr>
          <w:p w14:paraId="5D69B4D2" w14:textId="77777777" w:rsidR="00D12D7A" w:rsidRPr="00AA4BED" w:rsidRDefault="00D12D7A" w:rsidP="000878F6">
            <w:pPr>
              <w:pStyle w:val="Table"/>
              <w:jc w:val="center"/>
              <w:rPr>
                <w:szCs w:val="20"/>
              </w:rPr>
            </w:pPr>
            <w:r w:rsidRPr="00AA4BED">
              <w:rPr>
                <w:rFonts w:ascii="Calibri" w:hAnsi="Calibri" w:cs="Calibri"/>
                <w:color w:val="000000"/>
                <w:szCs w:val="20"/>
              </w:rPr>
              <w:t>0,18</w:t>
            </w:r>
          </w:p>
        </w:tc>
        <w:tc>
          <w:tcPr>
            <w:tcW w:w="1220" w:type="dxa"/>
            <w:vAlign w:val="center"/>
          </w:tcPr>
          <w:p w14:paraId="3B4AB78D" w14:textId="77777777" w:rsidR="00D12D7A" w:rsidRPr="00AA4BED" w:rsidRDefault="00D12D7A" w:rsidP="000878F6">
            <w:pPr>
              <w:pStyle w:val="Table"/>
              <w:jc w:val="center"/>
              <w:rPr>
                <w:szCs w:val="20"/>
              </w:rPr>
            </w:pPr>
            <w:r w:rsidRPr="00AA4BED">
              <w:rPr>
                <w:rFonts w:ascii="Calibri" w:hAnsi="Calibri" w:cs="Calibri"/>
                <w:color w:val="000000"/>
                <w:szCs w:val="20"/>
              </w:rPr>
              <w:t>0,18</w:t>
            </w:r>
          </w:p>
        </w:tc>
        <w:tc>
          <w:tcPr>
            <w:tcW w:w="969" w:type="dxa"/>
            <w:vAlign w:val="center"/>
          </w:tcPr>
          <w:p w14:paraId="3C707F34" w14:textId="77777777" w:rsidR="00D12D7A" w:rsidRPr="00AA4BED" w:rsidRDefault="00D12D7A" w:rsidP="000878F6">
            <w:pPr>
              <w:pStyle w:val="Table"/>
              <w:jc w:val="center"/>
              <w:rPr>
                <w:szCs w:val="20"/>
              </w:rPr>
            </w:pPr>
            <w:r w:rsidRPr="00AA4BED">
              <w:rPr>
                <w:rFonts w:ascii="Calibri" w:hAnsi="Calibri" w:cs="Calibri"/>
                <w:color w:val="000000"/>
                <w:szCs w:val="20"/>
              </w:rPr>
              <w:t>0,3%</w:t>
            </w:r>
          </w:p>
        </w:tc>
        <w:tc>
          <w:tcPr>
            <w:tcW w:w="1283" w:type="dxa"/>
            <w:vAlign w:val="center"/>
          </w:tcPr>
          <w:p w14:paraId="42CCC5B5" w14:textId="77777777" w:rsidR="00D12D7A" w:rsidRPr="00AA4BED" w:rsidRDefault="00D12D7A" w:rsidP="000878F6">
            <w:pPr>
              <w:pStyle w:val="Table"/>
              <w:jc w:val="center"/>
              <w:rPr>
                <w:szCs w:val="20"/>
              </w:rPr>
            </w:pPr>
            <w:r w:rsidRPr="00AA4BED">
              <w:rPr>
                <w:rFonts w:ascii="Calibri" w:hAnsi="Calibri" w:cs="Calibri"/>
                <w:color w:val="000000"/>
                <w:szCs w:val="20"/>
              </w:rPr>
              <w:t>0,3%</w:t>
            </w:r>
          </w:p>
        </w:tc>
      </w:tr>
      <w:tr w:rsidR="00D12D7A" w:rsidRPr="00AA4BED" w14:paraId="11AF986F" w14:textId="77777777" w:rsidTr="00506A7C">
        <w:trPr>
          <w:trHeight w:val="242"/>
        </w:trPr>
        <w:tc>
          <w:tcPr>
            <w:tcW w:w="2252" w:type="dxa"/>
          </w:tcPr>
          <w:p w14:paraId="022A42A7" w14:textId="77777777" w:rsidR="00D12D7A" w:rsidRPr="00AA4BED" w:rsidRDefault="00D12D7A" w:rsidP="000878F6">
            <w:pPr>
              <w:pStyle w:val="Table"/>
              <w:rPr>
                <w:szCs w:val="20"/>
              </w:rPr>
            </w:pPr>
            <w:r w:rsidRPr="00AA4BED">
              <w:rPr>
                <w:szCs w:val="20"/>
              </w:rPr>
              <w:t>Pesticides</w:t>
            </w:r>
          </w:p>
        </w:tc>
        <w:tc>
          <w:tcPr>
            <w:tcW w:w="1126" w:type="dxa"/>
            <w:vAlign w:val="center"/>
          </w:tcPr>
          <w:p w14:paraId="2A4BC4C8" w14:textId="77777777" w:rsidR="00D12D7A" w:rsidRPr="00AA4BED" w:rsidRDefault="00D12D7A" w:rsidP="000878F6">
            <w:pPr>
              <w:pStyle w:val="Table"/>
              <w:jc w:val="center"/>
              <w:rPr>
                <w:szCs w:val="20"/>
              </w:rPr>
            </w:pPr>
            <w:r w:rsidRPr="00AA4BED">
              <w:rPr>
                <w:rFonts w:ascii="Calibri" w:hAnsi="Calibri" w:cs="Calibri"/>
                <w:color w:val="000000"/>
                <w:szCs w:val="20"/>
              </w:rPr>
              <w:t>n/a</w:t>
            </w:r>
          </w:p>
        </w:tc>
        <w:tc>
          <w:tcPr>
            <w:tcW w:w="1126" w:type="dxa"/>
            <w:vAlign w:val="center"/>
          </w:tcPr>
          <w:p w14:paraId="37C8E468" w14:textId="77777777" w:rsidR="00D12D7A" w:rsidRPr="00AA4BED" w:rsidRDefault="00D12D7A" w:rsidP="000878F6">
            <w:pPr>
              <w:pStyle w:val="Table"/>
              <w:jc w:val="center"/>
              <w:rPr>
                <w:szCs w:val="20"/>
              </w:rPr>
            </w:pPr>
            <w:r w:rsidRPr="00AA4BED">
              <w:rPr>
                <w:rFonts w:ascii="Calibri" w:hAnsi="Calibri" w:cs="Calibri"/>
                <w:color w:val="000000"/>
                <w:szCs w:val="20"/>
              </w:rPr>
              <w:t>n/a</w:t>
            </w:r>
          </w:p>
        </w:tc>
        <w:tc>
          <w:tcPr>
            <w:tcW w:w="1032" w:type="dxa"/>
            <w:vAlign w:val="center"/>
          </w:tcPr>
          <w:p w14:paraId="30EF39A8" w14:textId="77777777" w:rsidR="00D12D7A" w:rsidRPr="00AA4BED" w:rsidRDefault="00D12D7A" w:rsidP="000878F6">
            <w:pPr>
              <w:pStyle w:val="Table"/>
              <w:jc w:val="center"/>
              <w:rPr>
                <w:szCs w:val="20"/>
              </w:rPr>
            </w:pPr>
            <w:r w:rsidRPr="00AA4BED">
              <w:rPr>
                <w:rFonts w:ascii="Calibri" w:hAnsi="Calibri" w:cs="Calibri"/>
                <w:color w:val="000000"/>
                <w:szCs w:val="20"/>
              </w:rPr>
              <w:t>2,71</w:t>
            </w:r>
          </w:p>
        </w:tc>
        <w:tc>
          <w:tcPr>
            <w:tcW w:w="1220" w:type="dxa"/>
            <w:vAlign w:val="center"/>
          </w:tcPr>
          <w:p w14:paraId="6483ADA2" w14:textId="77777777" w:rsidR="00D12D7A" w:rsidRPr="00AA4BED" w:rsidRDefault="00D12D7A" w:rsidP="000878F6">
            <w:pPr>
              <w:pStyle w:val="Table"/>
              <w:jc w:val="center"/>
              <w:rPr>
                <w:szCs w:val="20"/>
              </w:rPr>
            </w:pPr>
            <w:r w:rsidRPr="00AA4BED">
              <w:rPr>
                <w:rFonts w:ascii="Calibri" w:hAnsi="Calibri" w:cs="Calibri"/>
                <w:color w:val="000000"/>
                <w:szCs w:val="20"/>
              </w:rPr>
              <w:t>2,71</w:t>
            </w:r>
          </w:p>
        </w:tc>
        <w:tc>
          <w:tcPr>
            <w:tcW w:w="969" w:type="dxa"/>
            <w:vAlign w:val="center"/>
          </w:tcPr>
          <w:p w14:paraId="2AA90442" w14:textId="77777777" w:rsidR="00D12D7A" w:rsidRPr="00AA4BED" w:rsidRDefault="00D12D7A" w:rsidP="000878F6">
            <w:pPr>
              <w:pStyle w:val="Table"/>
              <w:jc w:val="center"/>
              <w:rPr>
                <w:szCs w:val="20"/>
              </w:rPr>
            </w:pPr>
            <w:r w:rsidRPr="00AA4BED">
              <w:rPr>
                <w:rFonts w:ascii="Calibri" w:hAnsi="Calibri" w:cs="Calibri"/>
                <w:color w:val="000000"/>
                <w:szCs w:val="20"/>
              </w:rPr>
              <w:t>4,3%</w:t>
            </w:r>
          </w:p>
        </w:tc>
        <w:tc>
          <w:tcPr>
            <w:tcW w:w="1283" w:type="dxa"/>
            <w:vAlign w:val="center"/>
          </w:tcPr>
          <w:p w14:paraId="31151ABD" w14:textId="77777777" w:rsidR="00D12D7A" w:rsidRPr="00AA4BED" w:rsidRDefault="00D12D7A" w:rsidP="000878F6">
            <w:pPr>
              <w:pStyle w:val="Table"/>
              <w:jc w:val="center"/>
              <w:rPr>
                <w:szCs w:val="20"/>
              </w:rPr>
            </w:pPr>
            <w:r w:rsidRPr="00AA4BED">
              <w:rPr>
                <w:rFonts w:ascii="Calibri" w:hAnsi="Calibri" w:cs="Calibri"/>
                <w:color w:val="000000"/>
                <w:szCs w:val="20"/>
              </w:rPr>
              <w:t>4,3%</w:t>
            </w:r>
          </w:p>
        </w:tc>
      </w:tr>
      <w:tr w:rsidR="00D12D7A" w:rsidRPr="00AA4BED" w14:paraId="2054BD61" w14:textId="77777777" w:rsidTr="00506A7C">
        <w:trPr>
          <w:trHeight w:val="242"/>
        </w:trPr>
        <w:tc>
          <w:tcPr>
            <w:tcW w:w="2252" w:type="dxa"/>
          </w:tcPr>
          <w:p w14:paraId="187790A6" w14:textId="77777777" w:rsidR="00D12D7A" w:rsidRPr="00AA4BED" w:rsidRDefault="00D12D7A" w:rsidP="000878F6">
            <w:pPr>
              <w:pStyle w:val="Table"/>
              <w:rPr>
                <w:szCs w:val="20"/>
              </w:rPr>
            </w:pPr>
            <w:r w:rsidRPr="00AA4BED">
              <w:rPr>
                <w:szCs w:val="20"/>
              </w:rPr>
              <w:t>Waste Incineration</w:t>
            </w:r>
          </w:p>
        </w:tc>
        <w:tc>
          <w:tcPr>
            <w:tcW w:w="1126" w:type="dxa"/>
            <w:vAlign w:val="center"/>
          </w:tcPr>
          <w:p w14:paraId="3DF4FE3B" w14:textId="77777777" w:rsidR="00D12D7A" w:rsidRPr="00AA4BED" w:rsidRDefault="00D12D7A" w:rsidP="000878F6">
            <w:pPr>
              <w:pStyle w:val="Table"/>
              <w:jc w:val="center"/>
              <w:rPr>
                <w:szCs w:val="20"/>
              </w:rPr>
            </w:pPr>
            <w:r w:rsidRPr="00AA4BED">
              <w:rPr>
                <w:rFonts w:ascii="Calibri" w:hAnsi="Calibri" w:cs="Calibri"/>
                <w:color w:val="000000"/>
                <w:szCs w:val="20"/>
              </w:rPr>
              <w:t>0,00%</w:t>
            </w:r>
          </w:p>
        </w:tc>
        <w:tc>
          <w:tcPr>
            <w:tcW w:w="1126" w:type="dxa"/>
            <w:vAlign w:val="center"/>
          </w:tcPr>
          <w:p w14:paraId="7AC9F3AC" w14:textId="77777777" w:rsidR="00D12D7A" w:rsidRPr="00AA4BED" w:rsidRDefault="00D12D7A" w:rsidP="000878F6">
            <w:pPr>
              <w:pStyle w:val="Table"/>
              <w:jc w:val="center"/>
              <w:rPr>
                <w:szCs w:val="20"/>
              </w:rPr>
            </w:pPr>
            <w:r w:rsidRPr="00AA4BED">
              <w:rPr>
                <w:rFonts w:ascii="Calibri" w:hAnsi="Calibri" w:cs="Calibri"/>
                <w:color w:val="000000"/>
                <w:szCs w:val="20"/>
              </w:rPr>
              <w:t>0,00%</w:t>
            </w:r>
          </w:p>
        </w:tc>
        <w:tc>
          <w:tcPr>
            <w:tcW w:w="1032" w:type="dxa"/>
            <w:vAlign w:val="center"/>
          </w:tcPr>
          <w:p w14:paraId="3096104F" w14:textId="77777777" w:rsidR="00D12D7A" w:rsidRPr="00AA4BED" w:rsidRDefault="00D12D7A" w:rsidP="000878F6">
            <w:pPr>
              <w:pStyle w:val="Table"/>
              <w:jc w:val="center"/>
              <w:rPr>
                <w:szCs w:val="20"/>
              </w:rPr>
            </w:pPr>
            <w:r w:rsidRPr="00AA4BED">
              <w:rPr>
                <w:rFonts w:ascii="Calibri" w:hAnsi="Calibri" w:cs="Calibri"/>
                <w:color w:val="000000"/>
                <w:szCs w:val="20"/>
              </w:rPr>
              <w:t>0,00</w:t>
            </w:r>
          </w:p>
        </w:tc>
        <w:tc>
          <w:tcPr>
            <w:tcW w:w="1220" w:type="dxa"/>
            <w:vAlign w:val="center"/>
          </w:tcPr>
          <w:p w14:paraId="07FC8616" w14:textId="77777777" w:rsidR="00D12D7A" w:rsidRPr="00AA4BED" w:rsidRDefault="00D12D7A" w:rsidP="000878F6">
            <w:pPr>
              <w:pStyle w:val="Table"/>
              <w:jc w:val="center"/>
              <w:rPr>
                <w:szCs w:val="20"/>
              </w:rPr>
            </w:pPr>
            <w:r w:rsidRPr="00AA4BED">
              <w:rPr>
                <w:rFonts w:ascii="Calibri" w:hAnsi="Calibri" w:cs="Calibri"/>
                <w:color w:val="000000"/>
                <w:szCs w:val="20"/>
              </w:rPr>
              <w:t>0,00</w:t>
            </w:r>
          </w:p>
        </w:tc>
        <w:tc>
          <w:tcPr>
            <w:tcW w:w="969" w:type="dxa"/>
            <w:vAlign w:val="center"/>
          </w:tcPr>
          <w:p w14:paraId="7DB0B63B" w14:textId="77777777" w:rsidR="00D12D7A" w:rsidRPr="00AA4BED" w:rsidRDefault="00D12D7A" w:rsidP="000878F6">
            <w:pPr>
              <w:pStyle w:val="Table"/>
              <w:jc w:val="center"/>
              <w:rPr>
                <w:szCs w:val="20"/>
              </w:rPr>
            </w:pPr>
            <w:r w:rsidRPr="00AA4BED">
              <w:rPr>
                <w:rFonts w:ascii="Calibri" w:hAnsi="Calibri" w:cs="Calibri"/>
                <w:color w:val="000000"/>
                <w:szCs w:val="20"/>
              </w:rPr>
              <w:t>0,0%</w:t>
            </w:r>
          </w:p>
        </w:tc>
        <w:tc>
          <w:tcPr>
            <w:tcW w:w="1283" w:type="dxa"/>
            <w:vAlign w:val="center"/>
          </w:tcPr>
          <w:p w14:paraId="7F4BF722" w14:textId="77777777" w:rsidR="00D12D7A" w:rsidRPr="00AA4BED" w:rsidRDefault="00D12D7A" w:rsidP="000878F6">
            <w:pPr>
              <w:pStyle w:val="Table"/>
              <w:jc w:val="center"/>
              <w:rPr>
                <w:szCs w:val="20"/>
              </w:rPr>
            </w:pPr>
            <w:r w:rsidRPr="00AA4BED">
              <w:rPr>
                <w:rFonts w:ascii="Calibri" w:hAnsi="Calibri" w:cs="Calibri"/>
                <w:color w:val="000000"/>
                <w:szCs w:val="20"/>
              </w:rPr>
              <w:t>0,0%</w:t>
            </w:r>
          </w:p>
        </w:tc>
      </w:tr>
      <w:tr w:rsidR="00D12D7A" w:rsidRPr="00AA4BED" w14:paraId="3A8870DD" w14:textId="77777777" w:rsidTr="00506A7C">
        <w:trPr>
          <w:trHeight w:val="242"/>
        </w:trPr>
        <w:tc>
          <w:tcPr>
            <w:tcW w:w="2252" w:type="dxa"/>
          </w:tcPr>
          <w:p w14:paraId="6DF1E69C" w14:textId="77777777" w:rsidR="00D12D7A" w:rsidRPr="00AA4BED" w:rsidRDefault="00D12D7A" w:rsidP="000878F6">
            <w:pPr>
              <w:pStyle w:val="Table"/>
              <w:rPr>
                <w:szCs w:val="20"/>
              </w:rPr>
            </w:pPr>
            <w:r w:rsidRPr="00AA4BED">
              <w:rPr>
                <w:szCs w:val="20"/>
              </w:rPr>
              <w:t>Waste to Landfill</w:t>
            </w:r>
          </w:p>
        </w:tc>
        <w:tc>
          <w:tcPr>
            <w:tcW w:w="1126" w:type="dxa"/>
            <w:vAlign w:val="center"/>
          </w:tcPr>
          <w:p w14:paraId="7428ED99" w14:textId="77777777" w:rsidR="00D12D7A" w:rsidRPr="00AA4BED" w:rsidRDefault="00D12D7A" w:rsidP="000878F6">
            <w:pPr>
              <w:pStyle w:val="Table"/>
              <w:jc w:val="center"/>
              <w:rPr>
                <w:szCs w:val="20"/>
              </w:rPr>
            </w:pPr>
            <w:r w:rsidRPr="00AA4BED">
              <w:rPr>
                <w:rFonts w:ascii="Calibri" w:hAnsi="Calibri" w:cs="Calibri"/>
                <w:color w:val="000000"/>
                <w:szCs w:val="20"/>
              </w:rPr>
              <w:t>-13,82%</w:t>
            </w:r>
          </w:p>
        </w:tc>
        <w:tc>
          <w:tcPr>
            <w:tcW w:w="1126" w:type="dxa"/>
            <w:vAlign w:val="center"/>
          </w:tcPr>
          <w:p w14:paraId="612FFB3E" w14:textId="77777777" w:rsidR="00D12D7A" w:rsidRPr="00AA4BED" w:rsidRDefault="00D12D7A" w:rsidP="000878F6">
            <w:pPr>
              <w:pStyle w:val="Table"/>
              <w:jc w:val="center"/>
              <w:rPr>
                <w:szCs w:val="20"/>
              </w:rPr>
            </w:pPr>
            <w:r w:rsidRPr="00AA4BED">
              <w:rPr>
                <w:rFonts w:ascii="Calibri" w:hAnsi="Calibri" w:cs="Calibri"/>
                <w:color w:val="000000"/>
                <w:szCs w:val="20"/>
              </w:rPr>
              <w:t>-13,82%</w:t>
            </w:r>
          </w:p>
        </w:tc>
        <w:tc>
          <w:tcPr>
            <w:tcW w:w="1032" w:type="dxa"/>
            <w:vAlign w:val="center"/>
          </w:tcPr>
          <w:p w14:paraId="08C672B0" w14:textId="77777777" w:rsidR="00D12D7A" w:rsidRPr="00AA4BED" w:rsidRDefault="00D12D7A" w:rsidP="000878F6">
            <w:pPr>
              <w:pStyle w:val="Table"/>
              <w:jc w:val="center"/>
              <w:rPr>
                <w:szCs w:val="20"/>
              </w:rPr>
            </w:pPr>
            <w:r w:rsidRPr="00AA4BED">
              <w:rPr>
                <w:rFonts w:ascii="Calibri" w:hAnsi="Calibri" w:cs="Calibri"/>
                <w:color w:val="000000"/>
                <w:szCs w:val="20"/>
              </w:rPr>
              <w:t>11,94</w:t>
            </w:r>
          </w:p>
        </w:tc>
        <w:tc>
          <w:tcPr>
            <w:tcW w:w="1220" w:type="dxa"/>
            <w:vAlign w:val="center"/>
          </w:tcPr>
          <w:p w14:paraId="402A7266" w14:textId="77777777" w:rsidR="00D12D7A" w:rsidRPr="00AA4BED" w:rsidRDefault="00D12D7A" w:rsidP="000878F6">
            <w:pPr>
              <w:pStyle w:val="Table"/>
              <w:jc w:val="center"/>
              <w:rPr>
                <w:szCs w:val="20"/>
              </w:rPr>
            </w:pPr>
            <w:r w:rsidRPr="00AA4BED">
              <w:rPr>
                <w:rFonts w:ascii="Calibri" w:hAnsi="Calibri" w:cs="Calibri"/>
                <w:color w:val="000000"/>
                <w:szCs w:val="20"/>
              </w:rPr>
              <w:t>10,51</w:t>
            </w:r>
          </w:p>
        </w:tc>
        <w:tc>
          <w:tcPr>
            <w:tcW w:w="969" w:type="dxa"/>
            <w:vAlign w:val="center"/>
          </w:tcPr>
          <w:p w14:paraId="37739031" w14:textId="77777777" w:rsidR="00D12D7A" w:rsidRPr="00AA4BED" w:rsidRDefault="00D12D7A" w:rsidP="000878F6">
            <w:pPr>
              <w:pStyle w:val="Table"/>
              <w:jc w:val="center"/>
              <w:rPr>
                <w:szCs w:val="20"/>
              </w:rPr>
            </w:pPr>
            <w:r w:rsidRPr="00AA4BED">
              <w:rPr>
                <w:rFonts w:ascii="Calibri" w:hAnsi="Calibri" w:cs="Calibri"/>
                <w:color w:val="000000"/>
                <w:szCs w:val="20"/>
              </w:rPr>
              <w:t>18,8%</w:t>
            </w:r>
          </w:p>
        </w:tc>
        <w:tc>
          <w:tcPr>
            <w:tcW w:w="1283" w:type="dxa"/>
            <w:vAlign w:val="center"/>
          </w:tcPr>
          <w:p w14:paraId="676F792C" w14:textId="77777777" w:rsidR="00D12D7A" w:rsidRPr="00AA4BED" w:rsidRDefault="00D12D7A" w:rsidP="000878F6">
            <w:pPr>
              <w:pStyle w:val="Table"/>
              <w:jc w:val="center"/>
              <w:rPr>
                <w:szCs w:val="20"/>
              </w:rPr>
            </w:pPr>
            <w:r w:rsidRPr="00AA4BED">
              <w:rPr>
                <w:rFonts w:ascii="Calibri" w:hAnsi="Calibri" w:cs="Calibri"/>
                <w:color w:val="000000"/>
                <w:szCs w:val="20"/>
              </w:rPr>
              <w:t>16,6%</w:t>
            </w:r>
          </w:p>
        </w:tc>
      </w:tr>
      <w:tr w:rsidR="00D12D7A" w:rsidRPr="00AA4BED" w14:paraId="6190C008" w14:textId="77777777" w:rsidTr="00506A7C">
        <w:trPr>
          <w:trHeight w:val="242"/>
        </w:trPr>
        <w:tc>
          <w:tcPr>
            <w:tcW w:w="2252" w:type="dxa"/>
          </w:tcPr>
          <w:p w14:paraId="1F5EACFF" w14:textId="77777777" w:rsidR="00D12D7A" w:rsidRPr="00AA4BED" w:rsidRDefault="00D12D7A" w:rsidP="000878F6">
            <w:pPr>
              <w:pStyle w:val="Table"/>
              <w:rPr>
                <w:szCs w:val="20"/>
              </w:rPr>
            </w:pPr>
            <w:r w:rsidRPr="00AA4BED">
              <w:rPr>
                <w:szCs w:val="20"/>
              </w:rPr>
              <w:t>Water Effluent</w:t>
            </w:r>
          </w:p>
        </w:tc>
        <w:tc>
          <w:tcPr>
            <w:tcW w:w="1126" w:type="dxa"/>
            <w:vAlign w:val="center"/>
          </w:tcPr>
          <w:p w14:paraId="0E1F7CE5" w14:textId="77777777" w:rsidR="00D12D7A" w:rsidRPr="00AA4BED" w:rsidRDefault="00D12D7A" w:rsidP="000878F6">
            <w:pPr>
              <w:pStyle w:val="Table"/>
              <w:jc w:val="center"/>
              <w:rPr>
                <w:szCs w:val="20"/>
              </w:rPr>
            </w:pPr>
            <w:r w:rsidRPr="00AA4BED">
              <w:rPr>
                <w:rFonts w:ascii="Calibri" w:hAnsi="Calibri" w:cs="Calibri"/>
                <w:color w:val="000000"/>
                <w:szCs w:val="20"/>
              </w:rPr>
              <w:t>0,00%</w:t>
            </w:r>
          </w:p>
        </w:tc>
        <w:tc>
          <w:tcPr>
            <w:tcW w:w="1126" w:type="dxa"/>
            <w:vAlign w:val="center"/>
          </w:tcPr>
          <w:p w14:paraId="690710E4" w14:textId="77777777" w:rsidR="00D12D7A" w:rsidRPr="00AA4BED" w:rsidRDefault="00D12D7A" w:rsidP="000878F6">
            <w:pPr>
              <w:pStyle w:val="Table"/>
              <w:jc w:val="center"/>
              <w:rPr>
                <w:szCs w:val="20"/>
              </w:rPr>
            </w:pPr>
            <w:r w:rsidRPr="00AA4BED">
              <w:rPr>
                <w:rFonts w:ascii="Calibri" w:hAnsi="Calibri" w:cs="Calibri"/>
                <w:color w:val="000000"/>
                <w:szCs w:val="20"/>
              </w:rPr>
              <w:t>0,00%</w:t>
            </w:r>
          </w:p>
        </w:tc>
        <w:tc>
          <w:tcPr>
            <w:tcW w:w="1032" w:type="dxa"/>
            <w:vAlign w:val="center"/>
          </w:tcPr>
          <w:p w14:paraId="4F1FE168" w14:textId="77777777" w:rsidR="00D12D7A" w:rsidRPr="00AA4BED" w:rsidRDefault="00D12D7A" w:rsidP="000878F6">
            <w:pPr>
              <w:pStyle w:val="Table"/>
              <w:jc w:val="center"/>
              <w:rPr>
                <w:szCs w:val="20"/>
              </w:rPr>
            </w:pPr>
            <w:r w:rsidRPr="00AA4BED">
              <w:rPr>
                <w:rFonts w:ascii="Calibri" w:hAnsi="Calibri" w:cs="Calibri"/>
                <w:color w:val="000000"/>
                <w:szCs w:val="20"/>
              </w:rPr>
              <w:t>0,00</w:t>
            </w:r>
          </w:p>
        </w:tc>
        <w:tc>
          <w:tcPr>
            <w:tcW w:w="1220" w:type="dxa"/>
            <w:vAlign w:val="center"/>
          </w:tcPr>
          <w:p w14:paraId="15171FCF" w14:textId="77777777" w:rsidR="00D12D7A" w:rsidRPr="00AA4BED" w:rsidRDefault="00D12D7A" w:rsidP="000878F6">
            <w:pPr>
              <w:pStyle w:val="Table"/>
              <w:jc w:val="center"/>
              <w:rPr>
                <w:szCs w:val="20"/>
              </w:rPr>
            </w:pPr>
            <w:r w:rsidRPr="00AA4BED">
              <w:rPr>
                <w:rFonts w:ascii="Calibri" w:hAnsi="Calibri" w:cs="Calibri"/>
                <w:color w:val="000000"/>
                <w:szCs w:val="20"/>
              </w:rPr>
              <w:t>0,00</w:t>
            </w:r>
          </w:p>
        </w:tc>
        <w:tc>
          <w:tcPr>
            <w:tcW w:w="969" w:type="dxa"/>
            <w:vAlign w:val="center"/>
          </w:tcPr>
          <w:p w14:paraId="332C178D" w14:textId="77777777" w:rsidR="00D12D7A" w:rsidRPr="00AA4BED" w:rsidRDefault="00D12D7A" w:rsidP="000878F6">
            <w:pPr>
              <w:pStyle w:val="Table"/>
              <w:jc w:val="center"/>
              <w:rPr>
                <w:szCs w:val="20"/>
              </w:rPr>
            </w:pPr>
            <w:r w:rsidRPr="00AA4BED">
              <w:rPr>
                <w:rFonts w:ascii="Calibri" w:hAnsi="Calibri" w:cs="Calibri"/>
                <w:color w:val="000000"/>
                <w:szCs w:val="20"/>
              </w:rPr>
              <w:t>0,0%</w:t>
            </w:r>
          </w:p>
        </w:tc>
        <w:tc>
          <w:tcPr>
            <w:tcW w:w="1283" w:type="dxa"/>
            <w:vAlign w:val="center"/>
          </w:tcPr>
          <w:p w14:paraId="3D903D69" w14:textId="77777777" w:rsidR="00D12D7A" w:rsidRPr="00AA4BED" w:rsidRDefault="00D12D7A" w:rsidP="000878F6">
            <w:pPr>
              <w:pStyle w:val="Table"/>
              <w:jc w:val="center"/>
              <w:rPr>
                <w:szCs w:val="20"/>
              </w:rPr>
            </w:pPr>
            <w:r w:rsidRPr="00AA4BED">
              <w:rPr>
                <w:rFonts w:ascii="Calibri" w:hAnsi="Calibri" w:cs="Calibri"/>
                <w:color w:val="000000"/>
                <w:szCs w:val="20"/>
              </w:rPr>
              <w:t>0,0%</w:t>
            </w:r>
          </w:p>
        </w:tc>
      </w:tr>
      <w:tr w:rsidR="00D12D7A" w:rsidRPr="00AA4BED" w14:paraId="29E81214" w14:textId="77777777" w:rsidTr="00506A7C">
        <w:trPr>
          <w:trHeight w:val="242"/>
        </w:trPr>
        <w:tc>
          <w:tcPr>
            <w:tcW w:w="2252" w:type="dxa"/>
          </w:tcPr>
          <w:p w14:paraId="0923D969" w14:textId="77777777" w:rsidR="00D12D7A" w:rsidRPr="00AA4BED" w:rsidRDefault="00D12D7A" w:rsidP="000878F6">
            <w:pPr>
              <w:pStyle w:val="Table"/>
              <w:rPr>
                <w:szCs w:val="20"/>
              </w:rPr>
            </w:pPr>
            <w:r w:rsidRPr="00AA4BED">
              <w:rPr>
                <w:szCs w:val="20"/>
              </w:rPr>
              <w:t>Minerals &amp; Aggregates</w:t>
            </w:r>
          </w:p>
        </w:tc>
        <w:tc>
          <w:tcPr>
            <w:tcW w:w="1126" w:type="dxa"/>
            <w:vAlign w:val="center"/>
          </w:tcPr>
          <w:p w14:paraId="3F585734" w14:textId="77777777" w:rsidR="00D12D7A" w:rsidRPr="00AA4BED" w:rsidRDefault="00D12D7A" w:rsidP="000878F6">
            <w:pPr>
              <w:pStyle w:val="Table"/>
              <w:jc w:val="center"/>
              <w:rPr>
                <w:szCs w:val="20"/>
              </w:rPr>
            </w:pPr>
            <w:r w:rsidRPr="00AA4BED">
              <w:rPr>
                <w:rFonts w:ascii="Calibri" w:hAnsi="Calibri" w:cs="Calibri"/>
                <w:color w:val="000000"/>
                <w:szCs w:val="20"/>
              </w:rPr>
              <w:t>-5,02%</w:t>
            </w:r>
          </w:p>
        </w:tc>
        <w:tc>
          <w:tcPr>
            <w:tcW w:w="1126" w:type="dxa"/>
            <w:vAlign w:val="center"/>
          </w:tcPr>
          <w:p w14:paraId="3B16395D" w14:textId="77777777" w:rsidR="00D12D7A" w:rsidRPr="00AA4BED" w:rsidRDefault="00D12D7A" w:rsidP="000878F6">
            <w:pPr>
              <w:pStyle w:val="Table"/>
              <w:jc w:val="center"/>
              <w:rPr>
                <w:szCs w:val="20"/>
              </w:rPr>
            </w:pPr>
            <w:r w:rsidRPr="00AA4BED">
              <w:rPr>
                <w:rFonts w:ascii="Calibri" w:hAnsi="Calibri" w:cs="Calibri"/>
                <w:color w:val="000000"/>
                <w:szCs w:val="20"/>
              </w:rPr>
              <w:t>-5,02%</w:t>
            </w:r>
          </w:p>
        </w:tc>
        <w:tc>
          <w:tcPr>
            <w:tcW w:w="1032" w:type="dxa"/>
            <w:vAlign w:val="center"/>
          </w:tcPr>
          <w:p w14:paraId="5EA36599" w14:textId="77777777" w:rsidR="00D12D7A" w:rsidRPr="00AA4BED" w:rsidRDefault="00D12D7A" w:rsidP="000878F6">
            <w:pPr>
              <w:pStyle w:val="Table"/>
              <w:jc w:val="center"/>
              <w:rPr>
                <w:szCs w:val="20"/>
              </w:rPr>
            </w:pPr>
            <w:r w:rsidRPr="00AA4BED">
              <w:rPr>
                <w:rFonts w:ascii="Calibri" w:hAnsi="Calibri" w:cs="Calibri"/>
                <w:color w:val="000000"/>
                <w:szCs w:val="20"/>
              </w:rPr>
              <w:t>12,15</w:t>
            </w:r>
          </w:p>
        </w:tc>
        <w:tc>
          <w:tcPr>
            <w:tcW w:w="1220" w:type="dxa"/>
            <w:vAlign w:val="center"/>
          </w:tcPr>
          <w:p w14:paraId="3D7D7CFE" w14:textId="77777777" w:rsidR="00D12D7A" w:rsidRPr="00AA4BED" w:rsidRDefault="00D12D7A" w:rsidP="000878F6">
            <w:pPr>
              <w:pStyle w:val="Table"/>
              <w:jc w:val="center"/>
              <w:rPr>
                <w:szCs w:val="20"/>
              </w:rPr>
            </w:pPr>
            <w:r w:rsidRPr="00AA4BED">
              <w:rPr>
                <w:rFonts w:ascii="Calibri" w:hAnsi="Calibri" w:cs="Calibri"/>
                <w:color w:val="000000"/>
                <w:szCs w:val="20"/>
              </w:rPr>
              <w:t>12,04</w:t>
            </w:r>
          </w:p>
        </w:tc>
        <w:tc>
          <w:tcPr>
            <w:tcW w:w="969" w:type="dxa"/>
            <w:vAlign w:val="center"/>
          </w:tcPr>
          <w:p w14:paraId="1230F105" w14:textId="77777777" w:rsidR="00D12D7A" w:rsidRPr="00AA4BED" w:rsidRDefault="00D12D7A" w:rsidP="000878F6">
            <w:pPr>
              <w:pStyle w:val="Table"/>
              <w:jc w:val="center"/>
              <w:rPr>
                <w:szCs w:val="20"/>
              </w:rPr>
            </w:pPr>
            <w:r w:rsidRPr="00AA4BED">
              <w:rPr>
                <w:rFonts w:ascii="Calibri" w:hAnsi="Calibri" w:cs="Calibri"/>
                <w:color w:val="000000"/>
                <w:szCs w:val="20"/>
              </w:rPr>
              <w:t>101,5%</w:t>
            </w:r>
          </w:p>
        </w:tc>
        <w:tc>
          <w:tcPr>
            <w:tcW w:w="1283" w:type="dxa"/>
            <w:vAlign w:val="center"/>
          </w:tcPr>
          <w:p w14:paraId="7A9B10FF" w14:textId="77777777" w:rsidR="00D12D7A" w:rsidRPr="00AA4BED" w:rsidRDefault="00D12D7A" w:rsidP="000878F6">
            <w:pPr>
              <w:pStyle w:val="Table"/>
              <w:jc w:val="center"/>
              <w:rPr>
                <w:szCs w:val="20"/>
              </w:rPr>
            </w:pPr>
            <w:r w:rsidRPr="00AA4BED">
              <w:rPr>
                <w:rFonts w:ascii="Calibri" w:hAnsi="Calibri" w:cs="Calibri"/>
                <w:color w:val="000000"/>
                <w:szCs w:val="20"/>
              </w:rPr>
              <w:t>100,6%</w:t>
            </w:r>
          </w:p>
        </w:tc>
      </w:tr>
    </w:tbl>
    <w:p w14:paraId="34B3A8E8" w14:textId="77777777" w:rsidR="00D12D7A" w:rsidRPr="00D12D7A" w:rsidRDefault="00D12D7A" w:rsidP="00D12D7A"/>
    <w:p w14:paraId="0F5194DF" w14:textId="1F3BE616" w:rsidR="00D12D7A" w:rsidRPr="00D12D7A" w:rsidRDefault="00D12D7A" w:rsidP="00D12D7A">
      <w:r w:rsidRPr="00D12D7A">
        <w:t xml:space="preserve">Despite these opportunities, several </w:t>
      </w:r>
      <w:r w:rsidRPr="00D12D7A">
        <w:rPr>
          <w:b/>
          <w:bCs/>
        </w:rPr>
        <w:t>implementation challenges</w:t>
      </w:r>
      <w:r w:rsidRPr="00D12D7A">
        <w:t xml:space="preserve"> would need to be addressed. Administrative capacity for monitoring and collecting taxes on pollution, resource use, or effluent discharges is still limited. Establishing reliable data collection mechanisms</w:t>
      </w:r>
      <w:r>
        <w:t xml:space="preserve">, </w:t>
      </w:r>
      <w:r w:rsidRPr="00D12D7A">
        <w:t>particularly for water abstraction and industrial emissions</w:t>
      </w:r>
      <w:r>
        <w:t xml:space="preserve">, </w:t>
      </w:r>
      <w:r w:rsidRPr="00D12D7A">
        <w:t>will be essential to ensure accurate tax assessment and compliance. Given the small size of the economy and the prevalence of small enterprises, tax design should be simple and predictable to avoid disproportionate administrative burdens. Coordination between the Ministry of Finance and the Department of Environment will be critical to ensure coherent implementation and avoid overlap with existing regulatory charges.</w:t>
      </w:r>
    </w:p>
    <w:p w14:paraId="014F3F75" w14:textId="149821C9" w:rsidR="00D12D7A" w:rsidRPr="00D12D7A" w:rsidRDefault="00D12D7A" w:rsidP="00D12D7A">
      <w:r w:rsidRPr="00D12D7A">
        <w:t xml:space="preserve">In </w:t>
      </w:r>
      <w:r w:rsidRPr="00D12D7A">
        <w:rPr>
          <w:b/>
          <w:bCs/>
        </w:rPr>
        <w:t>distributional terms</w:t>
      </w:r>
      <w:r w:rsidRPr="00D12D7A">
        <w:t xml:space="preserve">, Cyprus has relatively high household exposure to water and waste costs, reflecting the island’s resource constraints. New or higher environmental taxes could therefore raise affordability concerns, especially for low-income households. These risks can be mitigated through targeted </w:t>
      </w:r>
      <w:r w:rsidRPr="00D12D7A">
        <w:rPr>
          <w:b/>
          <w:bCs/>
        </w:rPr>
        <w:t>revenue recycling</w:t>
      </w:r>
      <w:r w:rsidRPr="00D12D7A">
        <w:t xml:space="preserve"> measures</w:t>
      </w:r>
      <w:r>
        <w:t xml:space="preserve">, </w:t>
      </w:r>
      <w:r w:rsidRPr="00D12D7A">
        <w:t>for example, by using part of the proceeds to fund water-saving technologies, renewable energy incentives, or social rebates for households facing high utility costs. Public communication on the benefits of the reform, including how revenues are reinvested to improve resource efficiency and infrastructure, will be key to maintaining public acceptance.</w:t>
      </w:r>
    </w:p>
    <w:p w14:paraId="79A8CC01" w14:textId="5CFE3EAB" w:rsidR="00D12D7A" w:rsidRPr="00D12D7A" w:rsidRDefault="00D12D7A" w:rsidP="00D12D7A">
      <w:r w:rsidRPr="00D12D7A">
        <w:t xml:space="preserve">From a </w:t>
      </w:r>
      <w:r w:rsidRPr="00D12D7A">
        <w:rPr>
          <w:b/>
          <w:bCs/>
        </w:rPr>
        <w:t>competitiveness perspective</w:t>
      </w:r>
      <w:r w:rsidRPr="00D12D7A">
        <w:t xml:space="preserve">, Cyprus’s economy is dominated by services, but sectors such as construction, quarrying, and agriculture could be affected by the </w:t>
      </w:r>
      <w:r w:rsidR="007B606C">
        <w:t>simulated</w:t>
      </w:r>
      <w:r w:rsidRPr="00D12D7A">
        <w:t xml:space="preserve"> reforms. A phased introduction of new instruments and support for eco-innovation would allow these sectors to adapt without significant loss of competitiveness. Given the high dependence on imported materials, promoting circular economy measures</w:t>
      </w:r>
      <w:r>
        <w:t xml:space="preserve">, </w:t>
      </w:r>
      <w:r w:rsidRPr="00D12D7A">
        <w:t>such as incentives for recycled aggregates and local waste reuse</w:t>
      </w:r>
      <w:r>
        <w:t xml:space="preserve">, </w:t>
      </w:r>
      <w:r w:rsidRPr="00D12D7A">
        <w:t>could offset potential cost increases from new resource taxes.</w:t>
      </w:r>
    </w:p>
    <w:p w14:paraId="5BA72FFB" w14:textId="77777777" w:rsidR="00D12D7A" w:rsidRPr="00D12D7A" w:rsidRDefault="00D12D7A" w:rsidP="00D12D7A">
      <w:r w:rsidRPr="00D12D7A">
        <w:t xml:space="preserve">Based on the modelling and national priorities, the following </w:t>
      </w:r>
      <w:r w:rsidRPr="00D12D7A">
        <w:rPr>
          <w:b/>
          <w:bCs/>
        </w:rPr>
        <w:t>taxes should be prioritised</w:t>
      </w:r>
      <w:r w:rsidRPr="00D12D7A">
        <w:t xml:space="preserve"> for implementation:</w:t>
      </w:r>
    </w:p>
    <w:p w14:paraId="37E8A67F" w14:textId="77777777" w:rsidR="00D12D7A" w:rsidRPr="00D12D7A" w:rsidRDefault="00D12D7A" w:rsidP="00D12D7A">
      <w:pPr>
        <w:pStyle w:val="Bulletlist"/>
      </w:pPr>
      <w:r w:rsidRPr="00D12D7A">
        <w:lastRenderedPageBreak/>
        <w:t xml:space="preserve">A </w:t>
      </w:r>
      <w:r w:rsidRPr="00D12D7A">
        <w:rPr>
          <w:b/>
          <w:bCs/>
        </w:rPr>
        <w:t>water abstraction tax</w:t>
      </w:r>
      <w:r w:rsidRPr="00D12D7A">
        <w:t>, linked to the water exploitation index and designed to encourage efficient water use in agriculture, tourism, and households;</w:t>
      </w:r>
    </w:p>
    <w:p w14:paraId="734828B4" w14:textId="77777777" w:rsidR="00D12D7A" w:rsidRPr="00D12D7A" w:rsidRDefault="00D12D7A" w:rsidP="00D12D7A">
      <w:pPr>
        <w:pStyle w:val="Bulletlist"/>
      </w:pPr>
      <w:r w:rsidRPr="00D12D7A">
        <w:t xml:space="preserve">A </w:t>
      </w:r>
      <w:r w:rsidRPr="00D12D7A">
        <w:rPr>
          <w:b/>
          <w:bCs/>
        </w:rPr>
        <w:t>wastewater effluent tax</w:t>
      </w:r>
      <w:r w:rsidRPr="00D12D7A">
        <w:t>, providing incentives for investment in treatment and reuse infrastructure; and</w:t>
      </w:r>
    </w:p>
    <w:p w14:paraId="324E880A" w14:textId="77777777" w:rsidR="00D12D7A" w:rsidRPr="00D12D7A" w:rsidRDefault="00D12D7A" w:rsidP="00D12D7A">
      <w:pPr>
        <w:pStyle w:val="Bulletlist"/>
      </w:pPr>
      <w:r w:rsidRPr="00D12D7A">
        <w:t xml:space="preserve">A </w:t>
      </w:r>
      <w:r w:rsidRPr="00D12D7A">
        <w:rPr>
          <w:b/>
          <w:bCs/>
        </w:rPr>
        <w:t>mineral extraction tax</w:t>
      </w:r>
      <w:r w:rsidRPr="00D12D7A">
        <w:t xml:space="preserve"> on sand, gravel, and stone, introduced at moderate rates and complemented by incentives for recycled materials.</w:t>
      </w:r>
    </w:p>
    <w:p w14:paraId="2125DEE6" w14:textId="036BEE35" w:rsidR="00D12D7A" w:rsidRPr="00D12D7A" w:rsidRDefault="00D12D7A" w:rsidP="00D12D7A">
      <w:r w:rsidRPr="00D12D7A">
        <w:t xml:space="preserve">To ensure successful implementation, Cyprus should pursue a </w:t>
      </w:r>
      <w:r w:rsidRPr="00D12D7A">
        <w:rPr>
          <w:b/>
          <w:bCs/>
        </w:rPr>
        <w:t>gradual, capacity-building approach</w:t>
      </w:r>
      <w:r w:rsidRPr="00D12D7A">
        <w:t>, focusing initially on sectors with existing monitoring systems. Integration of environmental taxation with broader water and waste management policies would enhance coherence and efficiency. Transparent use of revenues</w:t>
      </w:r>
      <w:r>
        <w:t xml:space="preserve">, </w:t>
      </w:r>
      <w:r w:rsidRPr="00D12D7A">
        <w:t>earmarked for water resource management and green infrastructure</w:t>
      </w:r>
      <w:r>
        <w:t xml:space="preserve">, </w:t>
      </w:r>
      <w:r w:rsidRPr="00D12D7A">
        <w:t>would strengthen public trust and political feasibility.</w:t>
      </w:r>
    </w:p>
    <w:p w14:paraId="6756E06D" w14:textId="5A62465E" w:rsidR="00E50C9F" w:rsidRPr="00EA4C9B" w:rsidRDefault="00D12D7A" w:rsidP="009317EC">
      <w:r w:rsidRPr="00D12D7A">
        <w:t>In conclusion, Cyprus could expand environmen</w:t>
      </w:r>
      <w:r>
        <w:t>t</w:t>
      </w:r>
      <w:r w:rsidRPr="00D12D7A">
        <w:t>al taxation with manageable risks and clear environmental benefits. The main prerequisites are improved data systems, effective communication, and well-designed revenue recycling to safeguard equity and competitiveness. By pursuing these reforms progressively, Cyprus can advance both its environmental objectives and its fiscal sustainability while aligning more closely with EU best practices on the polluter pays principle.</w:t>
      </w:r>
    </w:p>
    <w:p w14:paraId="26E1E456" w14:textId="77777777" w:rsidR="00392FDA" w:rsidRPr="00EA4C9B" w:rsidRDefault="00392FDA" w:rsidP="0045752A">
      <w:pPr>
        <w:pStyle w:val="AnnexHeading1"/>
        <w:ind w:hanging="1211"/>
      </w:pPr>
      <w:bookmarkStart w:id="145" w:name="_Toc214008853"/>
      <w:r w:rsidRPr="00EA4C9B">
        <w:t>Czechia</w:t>
      </w:r>
      <w:bookmarkEnd w:id="145"/>
    </w:p>
    <w:p w14:paraId="43017CC7" w14:textId="77777777" w:rsidR="00392FDA" w:rsidRPr="00EA4C9B" w:rsidRDefault="00392FDA" w:rsidP="007C4EB7">
      <w:pPr>
        <w:pStyle w:val="AnnexHeading2"/>
      </w:pPr>
      <w:bookmarkStart w:id="146" w:name="_Toc214008854"/>
      <w:r w:rsidRPr="00EA4C9B">
        <w:t>Overview of existing environmental taxes</w:t>
      </w:r>
      <w:bookmarkEnd w:id="146"/>
    </w:p>
    <w:p w14:paraId="2B1CA75A" w14:textId="7DD47822" w:rsidR="00392FDA" w:rsidRPr="00EA4C9B" w:rsidRDefault="00691DB4" w:rsidP="00392FDA">
      <w:r w:rsidRPr="00691DB4">
        <w:t>Environmental taxes in Czechia amounted to 1.6% of GDP in 2023, below the EU average. Although revenues have increased in absolute terms over the past 15 years, their relative importance in the economy has declined markedly. Total environmental tax revenue reached EUR 4.16 billion in real terms in 2023 (</w:t>
      </w:r>
      <w:r w:rsidRPr="00A633BB">
        <w:fldChar w:fldCharType="begin"/>
      </w:r>
      <w:r w:rsidRPr="00A633BB">
        <w:instrText xml:space="preserve"> REF _Ref201234425 \h  \* MERGEFORMAT </w:instrText>
      </w:r>
      <w:r w:rsidRPr="00A633BB">
        <w:fldChar w:fldCharType="separate"/>
      </w:r>
      <w:r w:rsidRPr="00A633BB">
        <w:t xml:space="preserve">Figure </w:t>
      </w:r>
      <w:r>
        <w:t>A6</w:t>
      </w:r>
      <w:r w:rsidRPr="00A633BB">
        <w:t>-</w:t>
      </w:r>
      <w:r w:rsidRPr="00A633BB">
        <w:rPr>
          <w:noProof/>
        </w:rPr>
        <w:t>16</w:t>
      </w:r>
      <w:r w:rsidRPr="00A633BB">
        <w:fldChar w:fldCharType="end"/>
      </w:r>
      <w:r w:rsidRPr="00A633BB">
        <w:t>)</w:t>
      </w:r>
      <w:r w:rsidRPr="00691DB4">
        <w:t>, representing a 23.1% increase since 2009.</w:t>
      </w:r>
      <w:r w:rsidR="009A558A" w:rsidRPr="00C358EA">
        <w:rPr>
          <w:rStyle w:val="FootnoteReference"/>
          <w:b/>
        </w:rPr>
        <w:footnoteReference w:id="193"/>
      </w:r>
      <w:r w:rsidRPr="00691DB4">
        <w:t xml:space="preserve"> Over the same period, however, the ratio of environmental taxes to GDP fell by 32.0% (</w:t>
      </w:r>
      <w:r w:rsidRPr="00A633BB">
        <w:fldChar w:fldCharType="begin"/>
      </w:r>
      <w:r w:rsidRPr="00A633BB">
        <w:instrText xml:space="preserve"> REF _Ref201234445 \h  \* MERGEFORMAT </w:instrText>
      </w:r>
      <w:r w:rsidRPr="00A633BB">
        <w:fldChar w:fldCharType="separate"/>
      </w:r>
      <w:r w:rsidRPr="00A633BB">
        <w:t xml:space="preserve">Figure </w:t>
      </w:r>
      <w:r>
        <w:t>A6</w:t>
      </w:r>
      <w:r w:rsidRPr="00A633BB">
        <w:t>-</w:t>
      </w:r>
      <w:r w:rsidRPr="00A633BB">
        <w:rPr>
          <w:noProof/>
        </w:rPr>
        <w:t>17</w:t>
      </w:r>
      <w:r w:rsidRPr="00A633BB">
        <w:fldChar w:fldCharType="end"/>
      </w:r>
      <w:r w:rsidRPr="00691DB4">
        <w:t>). In 2023, energy and transport taxes made up almost all environmental tax revenues (around 98.3% and 1.2% respectively), while pollution taxes accounted for only 0.7%.</w:t>
      </w:r>
      <w:r w:rsidR="00392FDA" w:rsidRPr="00EA4C9B">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92FDA" w:rsidRPr="00EA4C9B" w14:paraId="595FDDCD" w14:textId="77777777" w:rsidTr="00BA7936">
        <w:tc>
          <w:tcPr>
            <w:tcW w:w="9016" w:type="dxa"/>
          </w:tcPr>
          <w:p w14:paraId="054CDEFF" w14:textId="77777777" w:rsidR="00392FDA" w:rsidRPr="00EA4C9B" w:rsidRDefault="00392FDA">
            <w:pPr>
              <w:spacing w:after="0"/>
              <w:jc w:val="center"/>
              <w:rPr>
                <w:sz w:val="10"/>
                <w:szCs w:val="10"/>
              </w:rPr>
            </w:pPr>
          </w:p>
          <w:p w14:paraId="7113920F" w14:textId="77777777" w:rsidR="00392FDA" w:rsidRPr="00EA4C9B" w:rsidRDefault="00392FDA">
            <w:pPr>
              <w:spacing w:after="0"/>
              <w:jc w:val="center"/>
              <w:rPr>
                <w:sz w:val="10"/>
                <w:szCs w:val="10"/>
              </w:rPr>
            </w:pPr>
            <w:r w:rsidRPr="00EA4C9B">
              <w:rPr>
                <w:noProof/>
                <w:sz w:val="10"/>
                <w:szCs w:val="10"/>
              </w:rPr>
              <w:drawing>
                <wp:inline distT="0" distB="0" distL="0" distR="0" wp14:anchorId="1694DFF4" wp14:editId="24D21DA7">
                  <wp:extent cx="5613679" cy="1184192"/>
                  <wp:effectExtent l="0" t="0" r="6350" b="0"/>
                  <wp:docPr id="1080969515" name="Picture 1" descr="A graph of a graph showing the amount of tax in the y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69515" name="Picture 1" descr="A graph of a graph showing the amount of tax in the year&#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19442" cy="1206502"/>
                          </a:xfrm>
                          <a:prstGeom prst="rect">
                            <a:avLst/>
                          </a:prstGeom>
                          <a:noFill/>
                        </pic:spPr>
                      </pic:pic>
                    </a:graphicData>
                  </a:graphic>
                </wp:inline>
              </w:drawing>
            </w:r>
          </w:p>
          <w:p w14:paraId="16D736D9" w14:textId="77777777" w:rsidR="00392FDA" w:rsidRPr="00EA4C9B" w:rsidRDefault="00392FDA">
            <w:pPr>
              <w:spacing w:after="0"/>
              <w:jc w:val="center"/>
              <w:rPr>
                <w:sz w:val="10"/>
                <w:szCs w:val="10"/>
              </w:rPr>
            </w:pPr>
          </w:p>
        </w:tc>
      </w:tr>
      <w:tr w:rsidR="00392FDA" w:rsidRPr="00EA4C9B" w14:paraId="46BE80F8" w14:textId="77777777" w:rsidTr="00BA7936">
        <w:tc>
          <w:tcPr>
            <w:tcW w:w="9016" w:type="dxa"/>
            <w:shd w:val="clear" w:color="auto" w:fill="003399"/>
          </w:tcPr>
          <w:p w14:paraId="4DCCD970" w14:textId="26EAA39A" w:rsidR="00392FDA" w:rsidRPr="00EA4C9B" w:rsidRDefault="004D4585" w:rsidP="00594265">
            <w:pPr>
              <w:pStyle w:val="FigTabCaption"/>
            </w:pPr>
            <w:bookmarkStart w:id="147" w:name="_Ref201234425"/>
            <w:r w:rsidRPr="00EA4C9B">
              <w:t xml:space="preserve">Figure </w:t>
            </w:r>
            <w:r w:rsidR="00490085">
              <w:t>A6</w:t>
            </w:r>
            <w:r w:rsidRPr="00EA4C9B">
              <w:t>-</w:t>
            </w:r>
            <w:r>
              <w:fldChar w:fldCharType="begin"/>
            </w:r>
            <w:r>
              <w:instrText>SEQ Figure_A5- \* ARABIC</w:instrText>
            </w:r>
            <w:r>
              <w:fldChar w:fldCharType="separate"/>
            </w:r>
            <w:r w:rsidR="00594265">
              <w:rPr>
                <w:noProof/>
              </w:rPr>
              <w:t>16</w:t>
            </w:r>
            <w:r>
              <w:fldChar w:fldCharType="end"/>
            </w:r>
            <w:bookmarkEnd w:id="147"/>
            <w:r w:rsidR="00392FDA" w:rsidRPr="00EA4C9B">
              <w:t>: Total environmental tax revenue in Czechia (2009-2023) in billion euros</w:t>
            </w:r>
          </w:p>
        </w:tc>
      </w:tr>
    </w:tbl>
    <w:p w14:paraId="1566776C" w14:textId="77777777" w:rsidR="00392FDA" w:rsidRPr="00EA4C9B" w:rsidRDefault="00392FDA" w:rsidP="00392FDA"/>
    <w:p w14:paraId="013FBE1C" w14:textId="57CE8DB7" w:rsidR="00392FDA" w:rsidRPr="00EA4C9B" w:rsidRDefault="000C4B3A" w:rsidP="00392FDA">
      <w:r w:rsidRPr="000C4B3A">
        <w:t xml:space="preserve">In 2023, total tax revenue (including net social contributions) accounted for 33.9% of Czechia’s GDP, an increase of </w:t>
      </w:r>
      <w:r w:rsidRPr="000C4B3A">
        <w:rPr>
          <w:b/>
          <w:bCs/>
        </w:rPr>
        <w:t>1.4 percentage points</w:t>
      </w:r>
      <w:r w:rsidRPr="000C4B3A">
        <w:t xml:space="preserve"> compared with 2009. Environmental taxes represented 4.6% of total tax revenue in 2023, down from 7.1% in 2009, a decline of </w:t>
      </w:r>
      <w:r w:rsidRPr="000C4B3A">
        <w:rPr>
          <w:b/>
          <w:bCs/>
        </w:rPr>
        <w:t>2.5 percentage points</w:t>
      </w:r>
      <w:r w:rsidRPr="000C4B3A">
        <w:t xml:space="preserve"> over the period. This reflects a broad reduction across all categories of environmental taxes. In absolute terms, the </w:t>
      </w:r>
      <w:r w:rsidRPr="000C4B3A">
        <w:lastRenderedPageBreak/>
        <w:t>steepest fall was recorded in transport tax revenues (-86.8%), followed by pollution taxes (-68.3%) and energy taxes (-31.2%).</w:t>
      </w:r>
      <w:r w:rsidR="00392FDA" w:rsidRPr="00EA4C9B">
        <w:rPr>
          <w:rStyle w:val="FootnoteReference"/>
        </w:rPr>
        <w:footnoteReference w:id="194"/>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92FDA" w:rsidRPr="00EA4C9B" w14:paraId="16E6D7C4" w14:textId="77777777" w:rsidTr="00BA7936">
        <w:tc>
          <w:tcPr>
            <w:tcW w:w="9016" w:type="dxa"/>
          </w:tcPr>
          <w:p w14:paraId="7D1B82C8" w14:textId="77777777" w:rsidR="00392FDA" w:rsidRPr="00EA4C9B" w:rsidRDefault="00392FDA">
            <w:pPr>
              <w:spacing w:after="0"/>
              <w:jc w:val="center"/>
              <w:rPr>
                <w:sz w:val="10"/>
                <w:szCs w:val="10"/>
              </w:rPr>
            </w:pPr>
          </w:p>
          <w:p w14:paraId="23753568" w14:textId="77777777" w:rsidR="00392FDA" w:rsidRPr="00EA4C9B" w:rsidRDefault="00392FDA">
            <w:pPr>
              <w:spacing w:after="0"/>
              <w:jc w:val="center"/>
              <w:rPr>
                <w:sz w:val="10"/>
                <w:szCs w:val="10"/>
              </w:rPr>
            </w:pPr>
            <w:r w:rsidRPr="00EA4C9B">
              <w:rPr>
                <w:noProof/>
                <w:sz w:val="10"/>
                <w:szCs w:val="10"/>
              </w:rPr>
              <w:drawing>
                <wp:inline distT="0" distB="0" distL="0" distR="0" wp14:anchorId="4F926735" wp14:editId="38FEDF87">
                  <wp:extent cx="5603516" cy="1739307"/>
                  <wp:effectExtent l="0" t="0" r="0" b="0"/>
                  <wp:docPr id="2002665351" name="Picture 4"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65351" name="Picture 4" descr="A graph of different colored squares&#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33426" cy="1748591"/>
                          </a:xfrm>
                          <a:prstGeom prst="rect">
                            <a:avLst/>
                          </a:prstGeom>
                          <a:noFill/>
                        </pic:spPr>
                      </pic:pic>
                    </a:graphicData>
                  </a:graphic>
                </wp:inline>
              </w:drawing>
            </w:r>
          </w:p>
          <w:p w14:paraId="628EAF45" w14:textId="77777777" w:rsidR="00392FDA" w:rsidRPr="00EA4C9B" w:rsidRDefault="00392FDA">
            <w:pPr>
              <w:spacing w:after="0"/>
              <w:jc w:val="center"/>
              <w:rPr>
                <w:sz w:val="10"/>
                <w:szCs w:val="10"/>
              </w:rPr>
            </w:pPr>
          </w:p>
        </w:tc>
      </w:tr>
      <w:tr w:rsidR="00392FDA" w:rsidRPr="00EA4C9B" w14:paraId="08A2430F" w14:textId="77777777" w:rsidTr="00BA7936">
        <w:tc>
          <w:tcPr>
            <w:tcW w:w="9016" w:type="dxa"/>
            <w:shd w:val="clear" w:color="auto" w:fill="003399"/>
          </w:tcPr>
          <w:p w14:paraId="30F02AAF" w14:textId="44341031" w:rsidR="00392FDA" w:rsidRPr="00C358EA" w:rsidRDefault="004D4585" w:rsidP="00BA7936">
            <w:pPr>
              <w:spacing w:after="0"/>
              <w:rPr>
                <w:b/>
              </w:rPr>
            </w:pPr>
            <w:bookmarkStart w:id="148" w:name="_Ref201234445"/>
            <w:r w:rsidRPr="00C358EA">
              <w:rPr>
                <w:b/>
              </w:rPr>
              <w:t xml:space="preserve">Figure </w:t>
            </w:r>
            <w:r w:rsidR="00490085" w:rsidRPr="00C358EA">
              <w:rPr>
                <w:b/>
              </w:rPr>
              <w:t>A6</w:t>
            </w:r>
            <w:r w:rsidRPr="00C358EA">
              <w:rPr>
                <w:b/>
              </w:rPr>
              <w:t>-</w:t>
            </w:r>
            <w:r w:rsidRPr="00C358EA">
              <w:rPr>
                <w:b/>
              </w:rPr>
              <w:fldChar w:fldCharType="begin"/>
            </w:r>
            <w:r w:rsidRPr="00C358EA">
              <w:rPr>
                <w:b/>
              </w:rPr>
              <w:instrText>SEQ Figure_A5- \* ARABIC</w:instrText>
            </w:r>
            <w:r w:rsidRPr="00C358EA">
              <w:rPr>
                <w:b/>
              </w:rPr>
              <w:fldChar w:fldCharType="separate"/>
            </w:r>
            <w:r w:rsidR="0091411A" w:rsidRPr="00C358EA">
              <w:rPr>
                <w:b/>
              </w:rPr>
              <w:t>17</w:t>
            </w:r>
            <w:r w:rsidRPr="00C358EA">
              <w:rPr>
                <w:b/>
              </w:rPr>
              <w:fldChar w:fldCharType="end"/>
            </w:r>
            <w:bookmarkEnd w:id="148"/>
            <w:r w:rsidR="00392FDA" w:rsidRPr="00C358EA">
              <w:rPr>
                <w:b/>
              </w:rPr>
              <w:t>: Fifteen-year (2009-2023) change in absolute terms and change as GDP-ratio of the revenues of energy taxes, transport taxes, resource taxes, pollution taxes and total environmental taxes</w:t>
            </w:r>
            <w:r w:rsidR="004850C5" w:rsidRPr="00C358EA">
              <w:rPr>
                <w:b/>
              </w:rPr>
              <w:t xml:space="preserve"> </w:t>
            </w:r>
          </w:p>
        </w:tc>
      </w:tr>
    </w:tbl>
    <w:p w14:paraId="0A68F4FF" w14:textId="77777777" w:rsidR="00392FDA" w:rsidRPr="00EA4C9B" w:rsidRDefault="00392FDA" w:rsidP="007C4EB7">
      <w:pPr>
        <w:pStyle w:val="AnnexHeading2"/>
      </w:pPr>
      <w:bookmarkStart w:id="149" w:name="_Toc214008855"/>
      <w:r w:rsidRPr="00EA4C9B">
        <w:t>Existing pollution and resource taxes</w:t>
      </w:r>
      <w:bookmarkEnd w:id="149"/>
    </w:p>
    <w:p w14:paraId="778B92D4" w14:textId="2D5D2A42" w:rsidR="00392FDA" w:rsidRPr="00EA4C9B" w:rsidRDefault="00392FDA" w:rsidP="00392FDA">
      <w:r w:rsidRPr="00EA4C9B">
        <w:t xml:space="preserve">In 2023, pollution tax revenue was 25.78 million euros (0.7% of the total environmental tax revenues), decreasing in absolute terms by 40.0% over 15 years (2009-2023), and decreasing in terms of GDP-ratio by 69.2% over the same period </w:t>
      </w:r>
      <w:r w:rsidRPr="00E341A9">
        <w:t>(</w:t>
      </w:r>
      <w:r w:rsidR="00E341A9" w:rsidRPr="00E341A9">
        <w:fldChar w:fldCharType="begin"/>
      </w:r>
      <w:r w:rsidR="00E341A9" w:rsidRPr="00E341A9">
        <w:instrText xml:space="preserve"> REF _Ref201234445 \h  \* MERGEFORMAT </w:instrText>
      </w:r>
      <w:r w:rsidR="00E341A9" w:rsidRPr="00E341A9">
        <w:fldChar w:fldCharType="separate"/>
      </w:r>
      <w:r w:rsidR="00E341A9" w:rsidRPr="00E341A9">
        <w:t xml:space="preserve">Figure </w:t>
      </w:r>
      <w:r w:rsidR="00490085">
        <w:t>A6</w:t>
      </w:r>
      <w:r w:rsidR="00E341A9" w:rsidRPr="00E341A9">
        <w:t>-</w:t>
      </w:r>
      <w:r w:rsidR="00E341A9" w:rsidRPr="00E341A9">
        <w:rPr>
          <w:noProof/>
        </w:rPr>
        <w:t>17</w:t>
      </w:r>
      <w:r w:rsidR="00E341A9" w:rsidRPr="00E341A9">
        <w:fldChar w:fldCharType="end"/>
      </w:r>
      <w:r w:rsidRPr="00E341A9">
        <w:t>).</w:t>
      </w:r>
      <w:r w:rsidRPr="00EA4C9B">
        <w:t xml:space="preserve"> Czechia does apply any resource taxes.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92FDA" w:rsidRPr="00EA4C9B" w14:paraId="4F189929" w14:textId="77777777" w:rsidTr="00BA7936">
        <w:tc>
          <w:tcPr>
            <w:tcW w:w="9016" w:type="dxa"/>
          </w:tcPr>
          <w:p w14:paraId="408CD80F" w14:textId="77777777" w:rsidR="00392FDA" w:rsidRPr="00EA4C9B" w:rsidRDefault="00392FDA">
            <w:pPr>
              <w:spacing w:after="0"/>
              <w:jc w:val="center"/>
              <w:rPr>
                <w:sz w:val="10"/>
                <w:szCs w:val="10"/>
              </w:rPr>
            </w:pPr>
          </w:p>
          <w:p w14:paraId="764999D4" w14:textId="77777777" w:rsidR="00392FDA" w:rsidRPr="00EA4C9B" w:rsidRDefault="00392FDA">
            <w:pPr>
              <w:spacing w:after="0"/>
              <w:jc w:val="center"/>
              <w:rPr>
                <w:sz w:val="10"/>
                <w:szCs w:val="10"/>
              </w:rPr>
            </w:pPr>
            <w:r w:rsidRPr="00EA4C9B">
              <w:rPr>
                <w:noProof/>
                <w:sz w:val="10"/>
                <w:szCs w:val="10"/>
              </w:rPr>
              <w:drawing>
                <wp:inline distT="0" distB="0" distL="0" distR="0" wp14:anchorId="7483DCEF" wp14:editId="33B16F12">
                  <wp:extent cx="5622129" cy="1188220"/>
                  <wp:effectExtent l="0" t="0" r="0" b="0"/>
                  <wp:docPr id="1302882879" name="Picture 1" descr="A graph of green and black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82879" name="Picture 1" descr="A graph of green and black rectangles&#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4887" cy="1207824"/>
                          </a:xfrm>
                          <a:prstGeom prst="rect">
                            <a:avLst/>
                          </a:prstGeom>
                          <a:noFill/>
                        </pic:spPr>
                      </pic:pic>
                    </a:graphicData>
                  </a:graphic>
                </wp:inline>
              </w:drawing>
            </w:r>
          </w:p>
          <w:p w14:paraId="009F46D1" w14:textId="77777777" w:rsidR="00392FDA" w:rsidRPr="00EA4C9B" w:rsidRDefault="00392FDA">
            <w:pPr>
              <w:spacing w:after="0"/>
              <w:jc w:val="center"/>
              <w:rPr>
                <w:sz w:val="10"/>
                <w:szCs w:val="10"/>
              </w:rPr>
            </w:pPr>
          </w:p>
          <w:p w14:paraId="796C6982" w14:textId="77777777" w:rsidR="00392FDA" w:rsidRPr="00EA4C9B" w:rsidRDefault="00392FDA">
            <w:pPr>
              <w:spacing w:after="0"/>
              <w:jc w:val="center"/>
              <w:rPr>
                <w:sz w:val="10"/>
                <w:szCs w:val="10"/>
              </w:rPr>
            </w:pPr>
          </w:p>
        </w:tc>
      </w:tr>
      <w:tr w:rsidR="00392FDA" w:rsidRPr="00EA4C9B" w14:paraId="2FBA45EF" w14:textId="77777777" w:rsidTr="00BA7936">
        <w:tc>
          <w:tcPr>
            <w:tcW w:w="9016" w:type="dxa"/>
            <w:shd w:val="clear" w:color="auto" w:fill="003399"/>
          </w:tcPr>
          <w:p w14:paraId="7DB8A5B7" w14:textId="0C4641E4" w:rsidR="00392FDA" w:rsidRPr="00EA4C9B" w:rsidRDefault="004D4585" w:rsidP="00594265">
            <w:pPr>
              <w:pStyle w:val="FigTabCaption"/>
            </w:pPr>
            <w:r w:rsidRPr="00EA4C9B">
              <w:t xml:space="preserve">Figure </w:t>
            </w:r>
            <w:r w:rsidR="00490085">
              <w:t>A6</w:t>
            </w:r>
            <w:r w:rsidRPr="00EA4C9B">
              <w:t>-</w:t>
            </w:r>
            <w:r>
              <w:fldChar w:fldCharType="begin"/>
            </w:r>
            <w:r>
              <w:instrText>SEQ Figure_A5- \* ARABIC</w:instrText>
            </w:r>
            <w:r>
              <w:fldChar w:fldCharType="separate"/>
            </w:r>
            <w:r w:rsidR="0091411A">
              <w:rPr>
                <w:noProof/>
              </w:rPr>
              <w:t>18</w:t>
            </w:r>
            <w:r>
              <w:fldChar w:fldCharType="end"/>
            </w:r>
            <w:r w:rsidR="00392FDA" w:rsidRPr="00EA4C9B">
              <w:t>: Resource and pollution tax revenues in Czechia (2009-2023) in million euros</w:t>
            </w:r>
            <w:r w:rsidR="004309A4">
              <w:t xml:space="preserve">. </w:t>
            </w:r>
            <w:r w:rsidR="004309A4" w:rsidRPr="00EA4C9B">
              <w:rPr>
                <w:i/>
                <w:iCs/>
              </w:rPr>
              <w:t>Note: the share between pollution and resource taxes in 2023 was estimated as the weighted average of past year</w:t>
            </w:r>
            <w:r w:rsidR="004309A4" w:rsidRPr="00EA4C9B">
              <w:t> </w:t>
            </w:r>
          </w:p>
        </w:tc>
      </w:tr>
    </w:tbl>
    <w:p w14:paraId="1EECEFBE" w14:textId="4B2DCE9F" w:rsidR="00020920" w:rsidRPr="00BA7936" w:rsidRDefault="00392FDA" w:rsidP="00D12D7A">
      <w:pPr>
        <w:pStyle w:val="Heading4"/>
      </w:pPr>
      <w:r w:rsidRPr="00EA4C9B">
        <w:rPr>
          <w:rFonts w:eastAsia="Times New Roman" w:cs="Calibri"/>
          <w:lang w:eastAsia="en-GB"/>
        </w:rPr>
        <w:t> </w:t>
      </w:r>
      <w:r w:rsidR="00A96A2A" w:rsidRPr="00EA4C9B">
        <w:t xml:space="preserve">List of </w:t>
      </w:r>
      <w:r w:rsidR="00A96A2A">
        <w:t>pollution and resource</w:t>
      </w:r>
      <w:r w:rsidR="00A96A2A" w:rsidRPr="00EA4C9B">
        <w:t xml:space="preserve"> taxes and revenue shares</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5"/>
        <w:gridCol w:w="1710"/>
        <w:gridCol w:w="1890"/>
        <w:gridCol w:w="1905"/>
      </w:tblGrid>
      <w:tr w:rsidR="00392FDA" w:rsidRPr="00EA4C9B" w14:paraId="33BF77BE" w14:textId="77777777" w:rsidTr="00BA7936">
        <w:trPr>
          <w:trHeight w:val="47"/>
        </w:trPr>
        <w:tc>
          <w:tcPr>
            <w:tcW w:w="9000"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29B22EF0" w14:textId="375C919D" w:rsidR="00392FDA" w:rsidRPr="00020920" w:rsidRDefault="004D4585" w:rsidP="00020920">
            <w:pPr>
              <w:pStyle w:val="Table"/>
              <w:rPr>
                <w:rFonts w:ascii="Times New Roman" w:eastAsia="Times New Roman" w:hAnsi="Times New Roman" w:cs="Times New Roman"/>
                <w:b/>
                <w:sz w:val="24"/>
                <w:lang w:eastAsia="en-GB"/>
              </w:rPr>
            </w:pPr>
            <w:r w:rsidRPr="00020920">
              <w:rPr>
                <w:b/>
                <w:color w:val="FFFFFF" w:themeColor="background1"/>
              </w:rPr>
              <w:t xml:space="preserve">Table </w:t>
            </w:r>
            <w:r w:rsidR="00490085">
              <w:rPr>
                <w:b/>
                <w:color w:val="FFFFFF" w:themeColor="background1"/>
              </w:rPr>
              <w:t>A6</w:t>
            </w:r>
            <w:r w:rsidR="00020920" w:rsidRPr="00020920">
              <w:rPr>
                <w:b/>
                <w:bCs/>
                <w:color w:val="FFFFFF" w:themeColor="background1"/>
              </w:rPr>
              <w:t>-</w:t>
            </w:r>
            <w:r w:rsidR="00020920" w:rsidRPr="00020920">
              <w:rPr>
                <w:b/>
                <w:bCs/>
                <w:color w:val="FFFFFF" w:themeColor="background1"/>
              </w:rPr>
              <w:fldChar w:fldCharType="begin"/>
            </w:r>
            <w:r w:rsidR="00020920" w:rsidRPr="00020920">
              <w:rPr>
                <w:b/>
                <w:bCs/>
                <w:color w:val="FFFFFF" w:themeColor="background1"/>
              </w:rPr>
              <w:instrText xml:space="preserve"> SEQ Table_A5- \* ARABIC </w:instrText>
            </w:r>
            <w:r w:rsidR="00020920" w:rsidRPr="00020920">
              <w:rPr>
                <w:b/>
                <w:bCs/>
                <w:color w:val="FFFFFF" w:themeColor="background1"/>
              </w:rPr>
              <w:fldChar w:fldCharType="separate"/>
            </w:r>
            <w:r w:rsidR="00D12D7A">
              <w:rPr>
                <w:b/>
                <w:bCs/>
                <w:noProof/>
                <w:color w:val="FFFFFF" w:themeColor="background1"/>
              </w:rPr>
              <w:t>31</w:t>
            </w:r>
            <w:r w:rsidR="00020920" w:rsidRPr="00020920">
              <w:rPr>
                <w:b/>
                <w:bCs/>
                <w:color w:val="FFFFFF" w:themeColor="background1"/>
              </w:rPr>
              <w:fldChar w:fldCharType="end"/>
            </w:r>
            <w:r w:rsidR="00392FDA" w:rsidRPr="00020920">
              <w:rPr>
                <w:rFonts w:ascii="Calibri" w:eastAsia="Times New Roman" w:hAnsi="Calibri" w:cs="Calibri"/>
                <w:b/>
                <w:color w:val="FFFFFF" w:themeColor="background1"/>
                <w:lang w:eastAsia="en-GB"/>
              </w:rPr>
              <w:t>: Pollution taxes  </w:t>
            </w:r>
          </w:p>
        </w:tc>
      </w:tr>
      <w:tr w:rsidR="00392FDA" w:rsidRPr="00EA4C9B" w14:paraId="7D59A84A"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hideMark/>
          </w:tcPr>
          <w:p w14:paraId="53618399" w14:textId="77777777" w:rsidR="00392FDA" w:rsidRPr="00EA4C9B" w:rsidRDefault="00392FDA" w:rsidP="00020920">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0" w:type="dxa"/>
            <w:tcBorders>
              <w:top w:val="single" w:sz="6" w:space="0" w:color="auto"/>
              <w:left w:val="single" w:sz="6" w:space="0" w:color="auto"/>
              <w:bottom w:val="single" w:sz="6" w:space="0" w:color="auto"/>
              <w:right w:val="single" w:sz="6" w:space="0" w:color="auto"/>
            </w:tcBorders>
            <w:hideMark/>
          </w:tcPr>
          <w:p w14:paraId="5F025AAC" w14:textId="58D7E0DE" w:rsidR="00392FDA" w:rsidRPr="00EA4C9B" w:rsidRDefault="00392FDA" w:rsidP="00D12D7A">
            <w:pPr>
              <w:pStyle w:val="Table"/>
              <w:jc w:val="center"/>
              <w:rPr>
                <w:rFonts w:ascii="Calibri" w:eastAsia="Times New Roman" w:hAnsi="Calibri" w:cs="Calibri"/>
                <w:b/>
                <w:bCs/>
                <w:szCs w:val="20"/>
                <w:lang w:eastAsia="en-GB"/>
              </w:rPr>
            </w:pPr>
            <w:r w:rsidRPr="00EA4C9B">
              <w:rPr>
                <w:rFonts w:ascii="Calibri" w:eastAsia="Times New Roman" w:hAnsi="Calibri" w:cs="Calibri"/>
                <w:b/>
                <w:szCs w:val="20"/>
                <w:lang w:eastAsia="en-GB"/>
              </w:rPr>
              <w:t>Revenue (€ million)</w:t>
            </w:r>
          </w:p>
          <w:p w14:paraId="785D6D5F" w14:textId="6CDA85FA" w:rsidR="00392FDA" w:rsidRPr="00EA4C9B" w:rsidRDefault="00392FDA" w:rsidP="00D12D7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2009-2023</w:t>
            </w:r>
          </w:p>
        </w:tc>
        <w:tc>
          <w:tcPr>
            <w:tcW w:w="1890" w:type="dxa"/>
            <w:tcBorders>
              <w:top w:val="single" w:sz="6" w:space="0" w:color="auto"/>
              <w:left w:val="single" w:sz="6" w:space="0" w:color="auto"/>
              <w:bottom w:val="single" w:sz="6" w:space="0" w:color="auto"/>
              <w:right w:val="single" w:sz="6" w:space="0" w:color="auto"/>
            </w:tcBorders>
            <w:hideMark/>
          </w:tcPr>
          <w:p w14:paraId="3339BD23" w14:textId="1652C627" w:rsidR="00392FDA" w:rsidRPr="00EA4C9B" w:rsidRDefault="00392FDA" w:rsidP="00D12D7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05" w:type="dxa"/>
            <w:tcBorders>
              <w:top w:val="single" w:sz="6" w:space="0" w:color="auto"/>
              <w:left w:val="single" w:sz="6" w:space="0" w:color="auto"/>
              <w:bottom w:val="single" w:sz="6" w:space="0" w:color="auto"/>
              <w:right w:val="single" w:sz="6" w:space="0" w:color="auto"/>
            </w:tcBorders>
            <w:hideMark/>
          </w:tcPr>
          <w:p w14:paraId="4919C9A5" w14:textId="00888317" w:rsidR="00392FDA" w:rsidRPr="00EA4C9B" w:rsidRDefault="00392FDA" w:rsidP="00D12D7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pollution tax revenues</w:t>
            </w:r>
          </w:p>
        </w:tc>
      </w:tr>
      <w:tr w:rsidR="00392FDA" w:rsidRPr="00EA4C9B" w14:paraId="51B6F9C2"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739A078E" w14:textId="77777777" w:rsidR="00392FDA" w:rsidRPr="00EA4C9B" w:rsidRDefault="00392FDA" w:rsidP="00020920">
            <w:pPr>
              <w:pStyle w:val="Table"/>
              <w:rPr>
                <w:rFonts w:eastAsia="Times New Roman" w:cstheme="minorHAnsi"/>
                <w:i/>
                <w:iCs/>
                <w:sz w:val="18"/>
                <w:szCs w:val="18"/>
                <w:lang w:eastAsia="en-GB"/>
              </w:rPr>
            </w:pPr>
            <w:r w:rsidRPr="00EA4C9B">
              <w:rPr>
                <w:szCs w:val="20"/>
              </w:rPr>
              <w:t xml:space="preserve">Water pollution fee </w:t>
            </w:r>
            <w:r w:rsidRPr="00EA4C9B">
              <w:rPr>
                <w:i/>
                <w:szCs w:val="20"/>
              </w:rPr>
              <w:t>(Poplatky za vypouštění odpadních vod do vod povrchových)</w:t>
            </w:r>
          </w:p>
        </w:tc>
        <w:tc>
          <w:tcPr>
            <w:tcW w:w="1710" w:type="dxa"/>
            <w:tcBorders>
              <w:top w:val="single" w:sz="6" w:space="0" w:color="auto"/>
              <w:left w:val="single" w:sz="6" w:space="0" w:color="auto"/>
              <w:bottom w:val="single" w:sz="6" w:space="0" w:color="auto"/>
              <w:right w:val="single" w:sz="6" w:space="0" w:color="auto"/>
            </w:tcBorders>
            <w:hideMark/>
          </w:tcPr>
          <w:p w14:paraId="7720C958" w14:textId="77777777" w:rsidR="00392FDA" w:rsidRPr="00EA4C9B" w:rsidRDefault="00392FDA" w:rsidP="00D12D7A">
            <w:pPr>
              <w:pStyle w:val="Table"/>
              <w:jc w:val="center"/>
              <w:rPr>
                <w:rFonts w:ascii="Times New Roman" w:eastAsia="Times New Roman" w:hAnsi="Times New Roman" w:cs="Times New Roman"/>
                <w:lang w:eastAsia="en-GB"/>
              </w:rPr>
            </w:pPr>
            <w:r w:rsidRPr="00EA4C9B">
              <w:rPr>
                <w:szCs w:val="20"/>
              </w:rPr>
              <w:t>106.8</w:t>
            </w:r>
          </w:p>
        </w:tc>
        <w:tc>
          <w:tcPr>
            <w:tcW w:w="1890" w:type="dxa"/>
            <w:tcBorders>
              <w:top w:val="single" w:sz="6" w:space="0" w:color="auto"/>
              <w:left w:val="single" w:sz="6" w:space="0" w:color="auto"/>
              <w:bottom w:val="single" w:sz="6" w:space="0" w:color="auto"/>
              <w:right w:val="single" w:sz="6" w:space="0" w:color="auto"/>
            </w:tcBorders>
            <w:hideMark/>
          </w:tcPr>
          <w:p w14:paraId="3FD9316D" w14:textId="77777777" w:rsidR="00392FDA" w:rsidRPr="00EA4C9B" w:rsidRDefault="00392FDA" w:rsidP="00D12D7A">
            <w:pPr>
              <w:pStyle w:val="Table"/>
              <w:jc w:val="center"/>
              <w:rPr>
                <w:rFonts w:ascii="Times New Roman" w:eastAsia="Times New Roman" w:hAnsi="Times New Roman" w:cs="Times New Roman"/>
                <w:lang w:eastAsia="en-GB"/>
              </w:rPr>
            </w:pPr>
            <w:r w:rsidRPr="00EA4C9B">
              <w:rPr>
                <w:szCs w:val="20"/>
              </w:rPr>
              <w:t>7.1</w:t>
            </w:r>
          </w:p>
        </w:tc>
        <w:tc>
          <w:tcPr>
            <w:tcW w:w="1905" w:type="dxa"/>
            <w:tcBorders>
              <w:top w:val="single" w:sz="6" w:space="0" w:color="auto"/>
              <w:left w:val="single" w:sz="6" w:space="0" w:color="auto"/>
              <w:bottom w:val="single" w:sz="6" w:space="0" w:color="auto"/>
              <w:right w:val="single" w:sz="6" w:space="0" w:color="auto"/>
            </w:tcBorders>
            <w:hideMark/>
          </w:tcPr>
          <w:p w14:paraId="0A49F133" w14:textId="77777777" w:rsidR="00392FDA" w:rsidRPr="00EA4C9B" w:rsidRDefault="00392FDA" w:rsidP="00D12D7A">
            <w:pPr>
              <w:pStyle w:val="Table"/>
              <w:jc w:val="center"/>
              <w:rPr>
                <w:rFonts w:ascii="Times New Roman" w:eastAsia="Times New Roman" w:hAnsi="Times New Roman" w:cs="Times New Roman"/>
                <w:lang w:eastAsia="en-GB"/>
              </w:rPr>
            </w:pPr>
            <w:r w:rsidRPr="00EA4C9B">
              <w:rPr>
                <w:szCs w:val="20"/>
              </w:rPr>
              <w:t>35.1%</w:t>
            </w:r>
          </w:p>
        </w:tc>
      </w:tr>
      <w:tr w:rsidR="00392FDA" w:rsidRPr="00EA4C9B" w14:paraId="122F1805"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73986536" w14:textId="77777777" w:rsidR="00392FDA" w:rsidRPr="00EA4C9B" w:rsidRDefault="00392FDA" w:rsidP="00020920">
            <w:pPr>
              <w:pStyle w:val="Table"/>
              <w:rPr>
                <w:rFonts w:eastAsia="Times New Roman" w:cstheme="minorHAnsi"/>
                <w:i/>
                <w:iCs/>
                <w:sz w:val="18"/>
                <w:szCs w:val="18"/>
                <w:lang w:eastAsia="en-GB"/>
              </w:rPr>
            </w:pPr>
            <w:r w:rsidRPr="00EA4C9B">
              <w:rPr>
                <w:szCs w:val="20"/>
              </w:rPr>
              <w:t xml:space="preserve">Air pollution fee </w:t>
            </w:r>
            <w:r w:rsidRPr="00EA4C9B">
              <w:rPr>
                <w:i/>
                <w:szCs w:val="20"/>
              </w:rPr>
              <w:t>(Poplatky za znečišťování ovzduší)</w:t>
            </w:r>
          </w:p>
        </w:tc>
        <w:tc>
          <w:tcPr>
            <w:tcW w:w="1710" w:type="dxa"/>
            <w:tcBorders>
              <w:top w:val="single" w:sz="6" w:space="0" w:color="auto"/>
              <w:left w:val="single" w:sz="6" w:space="0" w:color="auto"/>
              <w:bottom w:val="single" w:sz="6" w:space="0" w:color="auto"/>
              <w:right w:val="single" w:sz="6" w:space="0" w:color="auto"/>
            </w:tcBorders>
            <w:hideMark/>
          </w:tcPr>
          <w:p w14:paraId="386FAB60" w14:textId="77777777" w:rsidR="00392FDA" w:rsidRPr="00EA4C9B" w:rsidRDefault="00392FDA" w:rsidP="00D12D7A">
            <w:pPr>
              <w:pStyle w:val="Table"/>
              <w:jc w:val="center"/>
              <w:rPr>
                <w:rFonts w:ascii="Times New Roman" w:eastAsia="Times New Roman" w:hAnsi="Times New Roman" w:cs="Times New Roman"/>
                <w:lang w:eastAsia="en-GB"/>
              </w:rPr>
            </w:pPr>
            <w:r w:rsidRPr="00EA4C9B">
              <w:rPr>
                <w:szCs w:val="20"/>
              </w:rPr>
              <w:t>196.2</w:t>
            </w:r>
          </w:p>
        </w:tc>
        <w:tc>
          <w:tcPr>
            <w:tcW w:w="1890" w:type="dxa"/>
            <w:tcBorders>
              <w:top w:val="single" w:sz="6" w:space="0" w:color="auto"/>
              <w:left w:val="single" w:sz="6" w:space="0" w:color="auto"/>
              <w:bottom w:val="single" w:sz="6" w:space="0" w:color="auto"/>
              <w:right w:val="single" w:sz="6" w:space="0" w:color="auto"/>
            </w:tcBorders>
            <w:hideMark/>
          </w:tcPr>
          <w:p w14:paraId="2F0E44CA" w14:textId="77777777" w:rsidR="00392FDA" w:rsidRPr="00EA4C9B" w:rsidRDefault="00392FDA" w:rsidP="00D12D7A">
            <w:pPr>
              <w:pStyle w:val="Table"/>
              <w:jc w:val="center"/>
              <w:rPr>
                <w:rFonts w:ascii="Times New Roman" w:eastAsia="Times New Roman" w:hAnsi="Times New Roman" w:cs="Times New Roman"/>
                <w:lang w:eastAsia="en-GB"/>
              </w:rPr>
            </w:pPr>
            <w:r w:rsidRPr="00EA4C9B">
              <w:rPr>
                <w:szCs w:val="20"/>
              </w:rPr>
              <w:t>13.1</w:t>
            </w:r>
          </w:p>
        </w:tc>
        <w:tc>
          <w:tcPr>
            <w:tcW w:w="1905" w:type="dxa"/>
            <w:tcBorders>
              <w:top w:val="single" w:sz="6" w:space="0" w:color="auto"/>
              <w:left w:val="single" w:sz="6" w:space="0" w:color="auto"/>
              <w:bottom w:val="single" w:sz="6" w:space="0" w:color="auto"/>
              <w:right w:val="single" w:sz="6" w:space="0" w:color="auto"/>
            </w:tcBorders>
            <w:hideMark/>
          </w:tcPr>
          <w:p w14:paraId="5171B4BA" w14:textId="77777777" w:rsidR="00392FDA" w:rsidRPr="00EA4C9B" w:rsidRDefault="00392FDA" w:rsidP="00D12D7A">
            <w:pPr>
              <w:pStyle w:val="Table"/>
              <w:jc w:val="center"/>
              <w:rPr>
                <w:rFonts w:ascii="Times New Roman" w:eastAsia="Times New Roman" w:hAnsi="Times New Roman" w:cs="Times New Roman"/>
                <w:lang w:eastAsia="en-GB"/>
              </w:rPr>
            </w:pPr>
            <w:r w:rsidRPr="00EA4C9B">
              <w:rPr>
                <w:szCs w:val="20"/>
              </w:rPr>
              <w:t>64.5%</w:t>
            </w:r>
          </w:p>
        </w:tc>
      </w:tr>
      <w:tr w:rsidR="00392FDA" w:rsidRPr="00EA4C9B" w14:paraId="162E79F3"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33B92021" w14:textId="77777777" w:rsidR="00392FDA" w:rsidRPr="00EA4C9B" w:rsidRDefault="00392FDA" w:rsidP="00020920">
            <w:pPr>
              <w:pStyle w:val="Table"/>
              <w:rPr>
                <w:rFonts w:eastAsia="Times New Roman" w:cstheme="minorHAnsi"/>
                <w:i/>
                <w:iCs/>
                <w:sz w:val="18"/>
                <w:szCs w:val="18"/>
                <w:lang w:eastAsia="en-GB"/>
              </w:rPr>
            </w:pPr>
            <w:r w:rsidRPr="00EA4C9B">
              <w:rPr>
                <w:szCs w:val="20"/>
              </w:rPr>
              <w:t xml:space="preserve">Underground water pollution fee </w:t>
            </w:r>
            <w:r w:rsidRPr="00EA4C9B">
              <w:rPr>
                <w:i/>
                <w:szCs w:val="20"/>
              </w:rPr>
              <w:t>(Poplatek za povolené vypouštění odpadních vod do vod podzemních)</w:t>
            </w:r>
          </w:p>
        </w:tc>
        <w:tc>
          <w:tcPr>
            <w:tcW w:w="1710" w:type="dxa"/>
            <w:tcBorders>
              <w:top w:val="single" w:sz="6" w:space="0" w:color="auto"/>
              <w:left w:val="single" w:sz="6" w:space="0" w:color="auto"/>
              <w:bottom w:val="single" w:sz="6" w:space="0" w:color="auto"/>
              <w:right w:val="single" w:sz="6" w:space="0" w:color="auto"/>
            </w:tcBorders>
          </w:tcPr>
          <w:p w14:paraId="60126130" w14:textId="77777777" w:rsidR="00392FDA" w:rsidRPr="00EA4C9B" w:rsidRDefault="00392FDA" w:rsidP="00D12D7A">
            <w:pPr>
              <w:pStyle w:val="Table"/>
              <w:jc w:val="center"/>
              <w:rPr>
                <w:rFonts w:ascii="Calibri" w:eastAsia="Times New Roman" w:hAnsi="Calibri" w:cs="Calibri"/>
                <w:sz w:val="18"/>
                <w:szCs w:val="18"/>
                <w:lang w:eastAsia="en-GB"/>
              </w:rPr>
            </w:pPr>
            <w:r w:rsidRPr="00EA4C9B">
              <w:rPr>
                <w:szCs w:val="20"/>
              </w:rPr>
              <w:t>1.0</w:t>
            </w:r>
          </w:p>
        </w:tc>
        <w:tc>
          <w:tcPr>
            <w:tcW w:w="1890" w:type="dxa"/>
            <w:tcBorders>
              <w:top w:val="single" w:sz="6" w:space="0" w:color="auto"/>
              <w:left w:val="single" w:sz="6" w:space="0" w:color="auto"/>
              <w:bottom w:val="single" w:sz="6" w:space="0" w:color="auto"/>
              <w:right w:val="single" w:sz="6" w:space="0" w:color="auto"/>
            </w:tcBorders>
          </w:tcPr>
          <w:p w14:paraId="3C27480D" w14:textId="77777777" w:rsidR="00392FDA" w:rsidRPr="00EA4C9B" w:rsidRDefault="00392FDA" w:rsidP="00D12D7A">
            <w:pPr>
              <w:pStyle w:val="Table"/>
              <w:jc w:val="center"/>
              <w:rPr>
                <w:rFonts w:ascii="Calibri" w:eastAsia="Times New Roman" w:hAnsi="Calibri" w:cs="Calibri"/>
                <w:sz w:val="18"/>
                <w:szCs w:val="18"/>
                <w:lang w:eastAsia="en-GB"/>
              </w:rPr>
            </w:pPr>
            <w:r w:rsidRPr="00EA4C9B">
              <w:rPr>
                <w:szCs w:val="20"/>
              </w:rPr>
              <w:t>0.1</w:t>
            </w:r>
          </w:p>
        </w:tc>
        <w:tc>
          <w:tcPr>
            <w:tcW w:w="1905" w:type="dxa"/>
            <w:tcBorders>
              <w:top w:val="single" w:sz="6" w:space="0" w:color="auto"/>
              <w:left w:val="single" w:sz="6" w:space="0" w:color="auto"/>
              <w:bottom w:val="single" w:sz="6" w:space="0" w:color="auto"/>
              <w:right w:val="single" w:sz="6" w:space="0" w:color="auto"/>
            </w:tcBorders>
          </w:tcPr>
          <w:p w14:paraId="4A03FDDA" w14:textId="77777777" w:rsidR="00392FDA" w:rsidRPr="00EA4C9B" w:rsidRDefault="00392FDA" w:rsidP="00D12D7A">
            <w:pPr>
              <w:pStyle w:val="Table"/>
              <w:jc w:val="center"/>
              <w:rPr>
                <w:rFonts w:ascii="Calibri" w:eastAsia="Times New Roman" w:hAnsi="Calibri" w:cs="Calibri"/>
                <w:sz w:val="18"/>
                <w:szCs w:val="18"/>
                <w:lang w:eastAsia="en-GB"/>
              </w:rPr>
            </w:pPr>
            <w:r w:rsidRPr="00EA4C9B">
              <w:rPr>
                <w:szCs w:val="20"/>
              </w:rPr>
              <w:t>0.3%</w:t>
            </w:r>
          </w:p>
        </w:tc>
      </w:tr>
    </w:tbl>
    <w:p w14:paraId="10092C62" w14:textId="77777777" w:rsidR="00392FDA" w:rsidRPr="00EA4C9B" w:rsidRDefault="00392FDA" w:rsidP="00392FDA">
      <w:pPr>
        <w:spacing w:after="0"/>
        <w:textAlignment w:val="baseline"/>
        <w:rPr>
          <w:rFonts w:ascii="Segoe UI" w:eastAsia="Times New Roman" w:hAnsi="Segoe UI" w:cs="Segoe UI"/>
          <w:sz w:val="16"/>
          <w:szCs w:val="16"/>
          <w:lang w:eastAsia="en-GB"/>
        </w:rPr>
      </w:pPr>
      <w:r w:rsidRPr="00EA4C9B">
        <w:rPr>
          <w:rFonts w:ascii="Calibri" w:eastAsia="Times New Roman" w:hAnsi="Calibri" w:cs="Calibri"/>
          <w:sz w:val="20"/>
          <w:szCs w:val="20"/>
          <w:lang w:eastAsia="en-GB"/>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5"/>
        <w:gridCol w:w="1710"/>
        <w:gridCol w:w="1890"/>
        <w:gridCol w:w="1905"/>
      </w:tblGrid>
      <w:tr w:rsidR="00392FDA" w:rsidRPr="00EA4C9B" w14:paraId="34DD3A04" w14:textId="77777777" w:rsidTr="00BA7936">
        <w:trPr>
          <w:trHeight w:val="47"/>
          <w:tblHeader/>
        </w:trPr>
        <w:tc>
          <w:tcPr>
            <w:tcW w:w="9000"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4AF85B8E" w14:textId="754B046E" w:rsidR="00392FDA" w:rsidRPr="00020920" w:rsidRDefault="004D4585" w:rsidP="00020920">
            <w:pPr>
              <w:pStyle w:val="Table"/>
              <w:rPr>
                <w:b/>
                <w:color w:val="FFFFFF" w:themeColor="background1"/>
              </w:rPr>
            </w:pPr>
            <w:r w:rsidRPr="00020920">
              <w:rPr>
                <w:b/>
                <w:color w:val="FFFFFF" w:themeColor="background1"/>
              </w:rPr>
              <w:lastRenderedPageBreak/>
              <w:t xml:space="preserve">Table </w:t>
            </w:r>
            <w:r w:rsidR="00490085">
              <w:rPr>
                <w:b/>
                <w:color w:val="FFFFFF" w:themeColor="background1"/>
              </w:rPr>
              <w:t>A6</w:t>
            </w:r>
            <w:r w:rsidR="00020920" w:rsidRPr="00020920">
              <w:rPr>
                <w:b/>
                <w:bCs/>
                <w:color w:val="FFFFFF" w:themeColor="background1"/>
              </w:rPr>
              <w:t>-</w:t>
            </w:r>
            <w:r w:rsidR="00020920" w:rsidRPr="00020920">
              <w:rPr>
                <w:b/>
                <w:bCs/>
                <w:color w:val="FFFFFF" w:themeColor="background1"/>
              </w:rPr>
              <w:fldChar w:fldCharType="begin"/>
            </w:r>
            <w:r w:rsidR="00020920" w:rsidRPr="00020920">
              <w:rPr>
                <w:b/>
                <w:bCs/>
                <w:color w:val="FFFFFF" w:themeColor="background1"/>
              </w:rPr>
              <w:instrText xml:space="preserve"> SEQ Table_A5- \* ARABIC </w:instrText>
            </w:r>
            <w:r w:rsidR="00020920" w:rsidRPr="00020920">
              <w:rPr>
                <w:b/>
                <w:bCs/>
                <w:color w:val="FFFFFF" w:themeColor="background1"/>
              </w:rPr>
              <w:fldChar w:fldCharType="separate"/>
            </w:r>
            <w:r w:rsidR="00D12D7A">
              <w:rPr>
                <w:b/>
                <w:bCs/>
                <w:noProof/>
                <w:color w:val="FFFFFF" w:themeColor="background1"/>
              </w:rPr>
              <w:t>32</w:t>
            </w:r>
            <w:r w:rsidR="00020920" w:rsidRPr="00020920">
              <w:rPr>
                <w:b/>
                <w:bCs/>
                <w:color w:val="FFFFFF" w:themeColor="background1"/>
              </w:rPr>
              <w:fldChar w:fldCharType="end"/>
            </w:r>
            <w:r w:rsidR="00392FDA" w:rsidRPr="00020920">
              <w:rPr>
                <w:rFonts w:ascii="Calibri" w:eastAsia="Times New Roman" w:hAnsi="Calibri" w:cs="Calibri"/>
                <w:b/>
                <w:color w:val="FFFFFF" w:themeColor="background1"/>
                <w:szCs w:val="20"/>
                <w:lang w:eastAsia="en-GB"/>
              </w:rPr>
              <w:t>: Waste taxes  </w:t>
            </w:r>
          </w:p>
        </w:tc>
      </w:tr>
      <w:tr w:rsidR="00392FDA" w:rsidRPr="00EA4C9B" w14:paraId="1BC666AA" w14:textId="77777777" w:rsidTr="00D12D7A">
        <w:trPr>
          <w:trHeight w:val="300"/>
          <w:tblHeader/>
        </w:trPr>
        <w:tc>
          <w:tcPr>
            <w:tcW w:w="3495" w:type="dxa"/>
            <w:tcBorders>
              <w:top w:val="single" w:sz="6" w:space="0" w:color="auto"/>
              <w:left w:val="single" w:sz="6" w:space="0" w:color="auto"/>
              <w:bottom w:val="single" w:sz="6" w:space="0" w:color="auto"/>
              <w:right w:val="single" w:sz="6" w:space="0" w:color="auto"/>
            </w:tcBorders>
            <w:hideMark/>
          </w:tcPr>
          <w:p w14:paraId="260786B8" w14:textId="77777777" w:rsidR="00392FDA" w:rsidRPr="00EA4C9B" w:rsidRDefault="00392FDA" w:rsidP="00020920">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0" w:type="dxa"/>
            <w:tcBorders>
              <w:top w:val="single" w:sz="6" w:space="0" w:color="auto"/>
              <w:left w:val="single" w:sz="6" w:space="0" w:color="auto"/>
              <w:bottom w:val="single" w:sz="6" w:space="0" w:color="auto"/>
              <w:right w:val="single" w:sz="6" w:space="0" w:color="auto"/>
            </w:tcBorders>
            <w:hideMark/>
          </w:tcPr>
          <w:p w14:paraId="09C7FD77" w14:textId="1019B052" w:rsidR="00392FDA" w:rsidRPr="00EA4C9B" w:rsidRDefault="00392FDA" w:rsidP="00D12D7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Revenue (€ million)</w:t>
            </w:r>
          </w:p>
          <w:p w14:paraId="58536FAF" w14:textId="448DFEA6" w:rsidR="00392FDA" w:rsidRPr="00EA4C9B" w:rsidRDefault="00392FDA" w:rsidP="00D12D7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2009-2023</w:t>
            </w:r>
          </w:p>
        </w:tc>
        <w:tc>
          <w:tcPr>
            <w:tcW w:w="1890" w:type="dxa"/>
            <w:tcBorders>
              <w:top w:val="single" w:sz="6" w:space="0" w:color="auto"/>
              <w:left w:val="single" w:sz="6" w:space="0" w:color="auto"/>
              <w:bottom w:val="single" w:sz="6" w:space="0" w:color="auto"/>
              <w:right w:val="single" w:sz="6" w:space="0" w:color="auto"/>
            </w:tcBorders>
            <w:hideMark/>
          </w:tcPr>
          <w:p w14:paraId="13F061EC" w14:textId="166F08E0" w:rsidR="00392FDA" w:rsidRPr="00EA4C9B" w:rsidRDefault="00392FDA" w:rsidP="00D12D7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05" w:type="dxa"/>
            <w:tcBorders>
              <w:top w:val="single" w:sz="6" w:space="0" w:color="auto"/>
              <w:left w:val="single" w:sz="6" w:space="0" w:color="auto"/>
              <w:bottom w:val="single" w:sz="6" w:space="0" w:color="auto"/>
              <w:right w:val="single" w:sz="6" w:space="0" w:color="auto"/>
            </w:tcBorders>
            <w:hideMark/>
          </w:tcPr>
          <w:p w14:paraId="07E949F1" w14:textId="3CB43E16" w:rsidR="00392FDA" w:rsidRPr="00EA4C9B" w:rsidRDefault="00392FDA" w:rsidP="00D12D7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waste tax revenues</w:t>
            </w:r>
          </w:p>
        </w:tc>
      </w:tr>
      <w:tr w:rsidR="00392FDA" w:rsidRPr="00EA4C9B" w14:paraId="4396C2CA"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hideMark/>
          </w:tcPr>
          <w:p w14:paraId="255D3F82" w14:textId="77777777" w:rsidR="00392FDA" w:rsidRPr="00EA4C9B" w:rsidRDefault="00392FDA" w:rsidP="00020920">
            <w:pPr>
              <w:pStyle w:val="Table"/>
              <w:rPr>
                <w:rFonts w:eastAsia="Times New Roman" w:cstheme="minorHAnsi"/>
                <w:i/>
                <w:szCs w:val="20"/>
                <w:lang w:eastAsia="en-GB"/>
              </w:rPr>
            </w:pPr>
            <w:r w:rsidRPr="00EA4C9B">
              <w:rPr>
                <w:szCs w:val="20"/>
              </w:rPr>
              <w:t xml:space="preserve">Fee for support of collection, processing, reuse and disposal of chosen automobile wrecks </w:t>
            </w:r>
            <w:r w:rsidRPr="00EA4C9B">
              <w:rPr>
                <w:i/>
                <w:szCs w:val="20"/>
              </w:rPr>
              <w:t>(Poplatky na podporu sběru, zpracování, využití a odstranění vybraných autovraků)</w:t>
            </w:r>
          </w:p>
        </w:tc>
        <w:tc>
          <w:tcPr>
            <w:tcW w:w="1710" w:type="dxa"/>
            <w:tcBorders>
              <w:top w:val="single" w:sz="6" w:space="0" w:color="auto"/>
              <w:left w:val="single" w:sz="6" w:space="0" w:color="auto"/>
              <w:bottom w:val="single" w:sz="6" w:space="0" w:color="auto"/>
              <w:right w:val="single" w:sz="6" w:space="0" w:color="auto"/>
            </w:tcBorders>
            <w:hideMark/>
          </w:tcPr>
          <w:p w14:paraId="055A171A" w14:textId="77777777" w:rsidR="00392FDA" w:rsidRPr="00EA4C9B" w:rsidRDefault="00392FDA" w:rsidP="00D12D7A">
            <w:pPr>
              <w:pStyle w:val="Table"/>
              <w:jc w:val="center"/>
              <w:rPr>
                <w:rFonts w:eastAsia="Times New Roman" w:cstheme="minorHAnsi"/>
                <w:szCs w:val="20"/>
                <w:lang w:eastAsia="en-GB"/>
              </w:rPr>
            </w:pPr>
            <w:r w:rsidRPr="00EA4C9B">
              <w:rPr>
                <w:rFonts w:eastAsia="Times New Roman" w:cstheme="minorHAnsi"/>
                <w:szCs w:val="20"/>
                <w:lang w:eastAsia="en-GB"/>
              </w:rPr>
              <w:t>154.0</w:t>
            </w:r>
          </w:p>
        </w:tc>
        <w:tc>
          <w:tcPr>
            <w:tcW w:w="1890" w:type="dxa"/>
            <w:tcBorders>
              <w:top w:val="single" w:sz="6" w:space="0" w:color="auto"/>
              <w:left w:val="single" w:sz="6" w:space="0" w:color="auto"/>
              <w:bottom w:val="single" w:sz="6" w:space="0" w:color="auto"/>
              <w:right w:val="single" w:sz="6" w:space="0" w:color="auto"/>
            </w:tcBorders>
            <w:hideMark/>
          </w:tcPr>
          <w:p w14:paraId="6C34EEC0" w14:textId="77777777" w:rsidR="00392FDA" w:rsidRPr="00EA4C9B" w:rsidRDefault="00392FDA" w:rsidP="00D12D7A">
            <w:pPr>
              <w:pStyle w:val="Table"/>
              <w:jc w:val="center"/>
              <w:rPr>
                <w:rFonts w:eastAsia="Times New Roman" w:cstheme="minorHAnsi"/>
                <w:szCs w:val="20"/>
                <w:lang w:eastAsia="en-GB"/>
              </w:rPr>
            </w:pPr>
            <w:r w:rsidRPr="00EA4C9B">
              <w:rPr>
                <w:rFonts w:eastAsia="Times New Roman" w:cstheme="minorHAnsi"/>
                <w:szCs w:val="20"/>
                <w:lang w:eastAsia="en-GB"/>
              </w:rPr>
              <w:t>10.3</w:t>
            </w:r>
          </w:p>
        </w:tc>
        <w:tc>
          <w:tcPr>
            <w:tcW w:w="1905" w:type="dxa"/>
            <w:tcBorders>
              <w:top w:val="single" w:sz="6" w:space="0" w:color="auto"/>
              <w:left w:val="single" w:sz="6" w:space="0" w:color="auto"/>
              <w:bottom w:val="single" w:sz="6" w:space="0" w:color="auto"/>
              <w:right w:val="single" w:sz="6" w:space="0" w:color="auto"/>
            </w:tcBorders>
            <w:hideMark/>
          </w:tcPr>
          <w:p w14:paraId="45B81F54" w14:textId="69BE9B1F" w:rsidR="00392FDA" w:rsidRPr="00EA4C9B" w:rsidRDefault="00392FDA" w:rsidP="00D12D7A">
            <w:pPr>
              <w:pStyle w:val="Table"/>
              <w:jc w:val="center"/>
              <w:rPr>
                <w:rFonts w:eastAsia="Times New Roman" w:cstheme="minorHAnsi"/>
                <w:szCs w:val="20"/>
                <w:lang w:eastAsia="en-GB"/>
              </w:rPr>
            </w:pPr>
            <w:r w:rsidRPr="00EA4C9B">
              <w:rPr>
                <w:rFonts w:eastAsia="Times New Roman" w:cstheme="minorHAnsi"/>
                <w:szCs w:val="20"/>
                <w:lang w:eastAsia="en-GB"/>
              </w:rPr>
              <w:t>100%</w:t>
            </w:r>
          </w:p>
        </w:tc>
      </w:tr>
      <w:tr w:rsidR="00392FDA" w:rsidRPr="00EA4C9B" w14:paraId="60BAAAFA"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09BBA118" w14:textId="77777777" w:rsidR="00392FDA" w:rsidRPr="00EA4C9B" w:rsidRDefault="00392FDA" w:rsidP="00020920">
            <w:pPr>
              <w:pStyle w:val="Table"/>
              <w:rPr>
                <w:rFonts w:eastAsia="Times New Roman" w:cstheme="minorHAnsi"/>
                <w:i/>
                <w:szCs w:val="20"/>
                <w:lang w:eastAsia="en-GB"/>
              </w:rPr>
            </w:pPr>
            <w:r w:rsidRPr="00EA4C9B">
              <w:rPr>
                <w:szCs w:val="20"/>
              </w:rPr>
              <w:t xml:space="preserve">Radioactive waste fee </w:t>
            </w:r>
            <w:r w:rsidRPr="00EA4C9B">
              <w:rPr>
                <w:i/>
                <w:szCs w:val="20"/>
              </w:rPr>
              <w:t>(Poplatky za uložení radioaktivních odpadů)</w:t>
            </w:r>
          </w:p>
        </w:tc>
        <w:tc>
          <w:tcPr>
            <w:tcW w:w="1710" w:type="dxa"/>
            <w:tcBorders>
              <w:top w:val="single" w:sz="6" w:space="0" w:color="auto"/>
              <w:left w:val="single" w:sz="6" w:space="0" w:color="auto"/>
              <w:bottom w:val="single" w:sz="6" w:space="0" w:color="auto"/>
              <w:right w:val="single" w:sz="6" w:space="0" w:color="auto"/>
            </w:tcBorders>
          </w:tcPr>
          <w:p w14:paraId="7E1FC3CC" w14:textId="77777777" w:rsidR="00392FDA" w:rsidRPr="00EA4C9B" w:rsidRDefault="00392FDA" w:rsidP="00D12D7A">
            <w:pPr>
              <w:pStyle w:val="Table"/>
              <w:jc w:val="center"/>
              <w:rPr>
                <w:rFonts w:eastAsia="Times New Roman" w:cstheme="minorHAnsi"/>
                <w:szCs w:val="20"/>
                <w:lang w:eastAsia="en-GB"/>
              </w:rPr>
            </w:pPr>
            <w:r w:rsidRPr="00EA4C9B">
              <w:rPr>
                <w:rFonts w:eastAsia="Times New Roman" w:cstheme="minorHAnsi"/>
                <w:szCs w:val="20"/>
                <w:lang w:eastAsia="en-GB"/>
              </w:rPr>
              <w:t>0.0</w:t>
            </w:r>
          </w:p>
        </w:tc>
        <w:tc>
          <w:tcPr>
            <w:tcW w:w="1890" w:type="dxa"/>
            <w:tcBorders>
              <w:top w:val="single" w:sz="6" w:space="0" w:color="auto"/>
              <w:left w:val="single" w:sz="6" w:space="0" w:color="auto"/>
              <w:bottom w:val="single" w:sz="6" w:space="0" w:color="auto"/>
              <w:right w:val="single" w:sz="6" w:space="0" w:color="auto"/>
            </w:tcBorders>
          </w:tcPr>
          <w:p w14:paraId="23A75E26" w14:textId="77777777" w:rsidR="00392FDA" w:rsidRPr="00EA4C9B" w:rsidRDefault="00392FDA" w:rsidP="00D12D7A">
            <w:pPr>
              <w:pStyle w:val="Table"/>
              <w:jc w:val="center"/>
              <w:rPr>
                <w:rFonts w:eastAsia="Times New Roman" w:cstheme="minorHAnsi"/>
                <w:szCs w:val="20"/>
                <w:lang w:eastAsia="en-GB"/>
              </w:rPr>
            </w:pPr>
            <w:r w:rsidRPr="00EA4C9B">
              <w:rPr>
                <w:rFonts w:eastAsia="Times New Roman" w:cstheme="minorHAnsi"/>
                <w:szCs w:val="20"/>
                <w:lang w:eastAsia="en-GB"/>
              </w:rPr>
              <w:t>0.0</w:t>
            </w:r>
          </w:p>
        </w:tc>
        <w:tc>
          <w:tcPr>
            <w:tcW w:w="1905" w:type="dxa"/>
            <w:tcBorders>
              <w:top w:val="single" w:sz="6" w:space="0" w:color="auto"/>
              <w:left w:val="single" w:sz="6" w:space="0" w:color="auto"/>
              <w:bottom w:val="single" w:sz="6" w:space="0" w:color="auto"/>
              <w:right w:val="single" w:sz="6" w:space="0" w:color="auto"/>
            </w:tcBorders>
          </w:tcPr>
          <w:p w14:paraId="66D3A700" w14:textId="77777777" w:rsidR="00392FDA" w:rsidRPr="00EA4C9B" w:rsidRDefault="00392FDA" w:rsidP="00D12D7A">
            <w:pPr>
              <w:pStyle w:val="Table"/>
              <w:jc w:val="center"/>
              <w:rPr>
                <w:rFonts w:eastAsia="Times New Roman" w:cstheme="minorHAnsi"/>
                <w:szCs w:val="20"/>
                <w:lang w:eastAsia="en-GB"/>
              </w:rPr>
            </w:pPr>
            <w:r w:rsidRPr="00EA4C9B">
              <w:rPr>
                <w:rFonts w:eastAsia="Times New Roman" w:cstheme="minorHAnsi"/>
                <w:szCs w:val="20"/>
                <w:lang w:eastAsia="en-GB"/>
              </w:rPr>
              <w:t>0%</w:t>
            </w:r>
          </w:p>
        </w:tc>
      </w:tr>
    </w:tbl>
    <w:p w14:paraId="743E1BF3" w14:textId="77777777" w:rsidR="00392FDA" w:rsidRPr="00EA4C9B" w:rsidRDefault="00392FDA" w:rsidP="00392FDA">
      <w:pPr>
        <w:spacing w:after="0"/>
        <w:textAlignment w:val="baseline"/>
        <w:rPr>
          <w:rFonts w:ascii="Segoe UI" w:eastAsia="Times New Roman" w:hAnsi="Segoe UI" w:cs="Segoe UI"/>
          <w:sz w:val="18"/>
          <w:szCs w:val="18"/>
          <w:lang w:eastAsia="en-GB"/>
        </w:rPr>
      </w:pPr>
      <w:r w:rsidRPr="00EA4C9B">
        <w:rPr>
          <w:rFonts w:ascii="Calibri" w:eastAsia="Times New Roman" w:hAnsi="Calibri" w:cs="Calibri"/>
          <w:lang w:eastAsia="en-GB"/>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5"/>
        <w:gridCol w:w="1710"/>
        <w:gridCol w:w="1890"/>
        <w:gridCol w:w="1905"/>
      </w:tblGrid>
      <w:tr w:rsidR="00392FDA" w:rsidRPr="00EA4C9B" w14:paraId="118A4303" w14:textId="77777777" w:rsidTr="00BA7936">
        <w:trPr>
          <w:trHeight w:val="47"/>
        </w:trPr>
        <w:tc>
          <w:tcPr>
            <w:tcW w:w="9000"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0DC31F09" w14:textId="59F5EC57" w:rsidR="00392FDA" w:rsidRPr="00020920" w:rsidRDefault="004D4585" w:rsidP="00020920">
            <w:pPr>
              <w:pStyle w:val="Table"/>
              <w:rPr>
                <w:rFonts w:ascii="Times New Roman" w:eastAsia="Times New Roman" w:hAnsi="Times New Roman" w:cs="Times New Roman"/>
                <w:b/>
                <w:sz w:val="24"/>
                <w:lang w:eastAsia="en-GB"/>
              </w:rPr>
            </w:pPr>
            <w:r w:rsidRPr="00020920">
              <w:rPr>
                <w:b/>
                <w:color w:val="FFFFFF" w:themeColor="background1"/>
              </w:rPr>
              <w:t xml:space="preserve">Table </w:t>
            </w:r>
            <w:r w:rsidR="00490085">
              <w:rPr>
                <w:b/>
                <w:color w:val="FFFFFF" w:themeColor="background1"/>
              </w:rPr>
              <w:t>A6</w:t>
            </w:r>
            <w:r w:rsidR="00020920" w:rsidRPr="00020920">
              <w:rPr>
                <w:b/>
                <w:bCs/>
                <w:color w:val="FFFFFF" w:themeColor="background1"/>
              </w:rPr>
              <w:t>-</w:t>
            </w:r>
            <w:r w:rsidR="00020920" w:rsidRPr="00020920">
              <w:rPr>
                <w:b/>
                <w:bCs/>
                <w:color w:val="FFFFFF" w:themeColor="background1"/>
              </w:rPr>
              <w:fldChar w:fldCharType="begin"/>
            </w:r>
            <w:r w:rsidR="00020920" w:rsidRPr="00020920">
              <w:rPr>
                <w:b/>
                <w:bCs/>
                <w:color w:val="FFFFFF" w:themeColor="background1"/>
              </w:rPr>
              <w:instrText xml:space="preserve"> SEQ Table_A5- \* ARABIC </w:instrText>
            </w:r>
            <w:r w:rsidR="00020920" w:rsidRPr="00020920">
              <w:rPr>
                <w:b/>
                <w:bCs/>
                <w:color w:val="FFFFFF" w:themeColor="background1"/>
              </w:rPr>
              <w:fldChar w:fldCharType="separate"/>
            </w:r>
            <w:r w:rsidR="00D12D7A">
              <w:rPr>
                <w:b/>
                <w:bCs/>
                <w:noProof/>
                <w:color w:val="FFFFFF" w:themeColor="background1"/>
              </w:rPr>
              <w:t>33</w:t>
            </w:r>
            <w:r w:rsidR="00020920" w:rsidRPr="00020920">
              <w:rPr>
                <w:b/>
                <w:bCs/>
                <w:color w:val="FFFFFF" w:themeColor="background1"/>
              </w:rPr>
              <w:fldChar w:fldCharType="end"/>
            </w:r>
            <w:r w:rsidR="00D12D7A">
              <w:rPr>
                <w:b/>
                <w:bCs/>
                <w:color w:val="FFFFFF" w:themeColor="background1"/>
              </w:rPr>
              <w:t>:</w:t>
            </w:r>
            <w:r w:rsidR="00392FDA" w:rsidRPr="00020920">
              <w:rPr>
                <w:rFonts w:ascii="Calibri" w:eastAsia="Times New Roman" w:hAnsi="Calibri" w:cs="Calibri"/>
                <w:b/>
                <w:color w:val="FFFFFF" w:themeColor="background1"/>
                <w:szCs w:val="20"/>
                <w:lang w:eastAsia="en-GB"/>
              </w:rPr>
              <w:t xml:space="preserve"> Resource taxes  </w:t>
            </w:r>
          </w:p>
        </w:tc>
      </w:tr>
      <w:tr w:rsidR="00392FDA" w:rsidRPr="00EA4C9B" w14:paraId="5E62D2A5"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hideMark/>
          </w:tcPr>
          <w:p w14:paraId="00397A0C" w14:textId="77777777" w:rsidR="00392FDA" w:rsidRPr="00EA4C9B" w:rsidRDefault="00392FDA" w:rsidP="00020920">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0" w:type="dxa"/>
            <w:tcBorders>
              <w:top w:val="single" w:sz="6" w:space="0" w:color="auto"/>
              <w:left w:val="single" w:sz="6" w:space="0" w:color="auto"/>
              <w:bottom w:val="single" w:sz="6" w:space="0" w:color="auto"/>
              <w:right w:val="single" w:sz="6" w:space="0" w:color="auto"/>
            </w:tcBorders>
            <w:hideMark/>
          </w:tcPr>
          <w:p w14:paraId="380BDB6D" w14:textId="5051D8E4" w:rsidR="00392FDA" w:rsidRPr="00EA4C9B" w:rsidRDefault="00392FDA" w:rsidP="00D12D7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Revenue (€ million)</w:t>
            </w:r>
          </w:p>
          <w:p w14:paraId="39EDBFDD" w14:textId="6EFA7A7E" w:rsidR="00392FDA" w:rsidRPr="00EA4C9B" w:rsidRDefault="00392FDA" w:rsidP="00D12D7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2009-2023</w:t>
            </w:r>
          </w:p>
        </w:tc>
        <w:tc>
          <w:tcPr>
            <w:tcW w:w="1890" w:type="dxa"/>
            <w:tcBorders>
              <w:top w:val="single" w:sz="6" w:space="0" w:color="auto"/>
              <w:left w:val="single" w:sz="6" w:space="0" w:color="auto"/>
              <w:bottom w:val="single" w:sz="6" w:space="0" w:color="auto"/>
              <w:right w:val="single" w:sz="6" w:space="0" w:color="auto"/>
            </w:tcBorders>
            <w:hideMark/>
          </w:tcPr>
          <w:p w14:paraId="70E64C49" w14:textId="1A3A218C" w:rsidR="00392FDA" w:rsidRPr="00EA4C9B" w:rsidRDefault="00392FDA" w:rsidP="00D12D7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05" w:type="dxa"/>
            <w:tcBorders>
              <w:top w:val="single" w:sz="6" w:space="0" w:color="auto"/>
              <w:left w:val="single" w:sz="6" w:space="0" w:color="auto"/>
              <w:bottom w:val="single" w:sz="6" w:space="0" w:color="auto"/>
              <w:right w:val="single" w:sz="6" w:space="0" w:color="auto"/>
            </w:tcBorders>
            <w:hideMark/>
          </w:tcPr>
          <w:p w14:paraId="4E0985E7" w14:textId="4325AF62" w:rsidR="00392FDA" w:rsidRPr="00EA4C9B" w:rsidRDefault="00392FDA" w:rsidP="00D12D7A">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resource tax revenues</w:t>
            </w:r>
          </w:p>
        </w:tc>
      </w:tr>
      <w:tr w:rsidR="00392FDA" w:rsidRPr="00EA4C9B" w14:paraId="54D4C841"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1037FB15" w14:textId="77777777" w:rsidR="00392FDA" w:rsidRPr="00EA4C9B" w:rsidRDefault="00392FDA" w:rsidP="00020920">
            <w:pPr>
              <w:pStyle w:val="Table"/>
              <w:rPr>
                <w:rFonts w:ascii="Calibri" w:eastAsia="Times New Roman" w:hAnsi="Calibri" w:cs="Calibri"/>
                <w:i/>
                <w:szCs w:val="20"/>
                <w:lang w:eastAsia="en-GB"/>
              </w:rPr>
            </w:pPr>
            <w:r w:rsidRPr="00EA4C9B">
              <w:rPr>
                <w:rFonts w:ascii="Calibri" w:eastAsia="Times New Roman" w:hAnsi="Calibri" w:cs="Calibri"/>
                <w:szCs w:val="20"/>
                <w:lang w:eastAsia="en-GB"/>
              </w:rPr>
              <w:t>Other environmental fees and levies</w:t>
            </w:r>
            <w:r w:rsidRPr="00EA4C9B">
              <w:rPr>
                <w:rStyle w:val="FootnoteReference"/>
                <w:rFonts w:ascii="Calibri" w:eastAsia="Times New Roman" w:hAnsi="Calibri" w:cs="Calibri"/>
                <w:szCs w:val="20"/>
                <w:lang w:eastAsia="en-GB"/>
              </w:rPr>
              <w:footnoteReference w:id="195"/>
            </w:r>
            <w:r w:rsidRPr="00EA4C9B">
              <w:rPr>
                <w:rFonts w:ascii="Calibri" w:eastAsia="Times New Roman" w:hAnsi="Calibri" w:cs="Calibri"/>
                <w:szCs w:val="20"/>
                <w:lang w:eastAsia="en-GB"/>
              </w:rPr>
              <w:t xml:space="preserve"> </w:t>
            </w:r>
            <w:r w:rsidRPr="00EA4C9B">
              <w:rPr>
                <w:rFonts w:ascii="Calibri" w:eastAsia="Times New Roman" w:hAnsi="Calibri" w:cs="Calibri"/>
                <w:i/>
                <w:szCs w:val="20"/>
                <w:lang w:eastAsia="en-GB"/>
              </w:rPr>
              <w:t>(Ostatní poplatky a odvody v oblasti životního prostředí)</w:t>
            </w:r>
          </w:p>
        </w:tc>
        <w:tc>
          <w:tcPr>
            <w:tcW w:w="1710" w:type="dxa"/>
            <w:tcBorders>
              <w:top w:val="single" w:sz="6" w:space="0" w:color="auto"/>
              <w:left w:val="single" w:sz="6" w:space="0" w:color="auto"/>
              <w:bottom w:val="single" w:sz="6" w:space="0" w:color="auto"/>
              <w:right w:val="single" w:sz="6" w:space="0" w:color="auto"/>
            </w:tcBorders>
          </w:tcPr>
          <w:p w14:paraId="4EA800C3" w14:textId="77777777" w:rsidR="00392FDA" w:rsidRPr="00EA4C9B" w:rsidRDefault="00392FDA" w:rsidP="00D12D7A">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5.9</w:t>
            </w:r>
          </w:p>
        </w:tc>
        <w:tc>
          <w:tcPr>
            <w:tcW w:w="1890" w:type="dxa"/>
            <w:tcBorders>
              <w:top w:val="single" w:sz="6" w:space="0" w:color="auto"/>
              <w:left w:val="single" w:sz="6" w:space="0" w:color="auto"/>
              <w:bottom w:val="single" w:sz="6" w:space="0" w:color="auto"/>
              <w:right w:val="single" w:sz="6" w:space="0" w:color="auto"/>
            </w:tcBorders>
          </w:tcPr>
          <w:p w14:paraId="1E321228" w14:textId="77777777" w:rsidR="00392FDA" w:rsidRPr="00EA4C9B" w:rsidRDefault="00392FDA" w:rsidP="00D12D7A">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2.0</w:t>
            </w:r>
          </w:p>
        </w:tc>
        <w:tc>
          <w:tcPr>
            <w:tcW w:w="1905" w:type="dxa"/>
            <w:tcBorders>
              <w:top w:val="single" w:sz="6" w:space="0" w:color="auto"/>
              <w:left w:val="single" w:sz="6" w:space="0" w:color="auto"/>
              <w:bottom w:val="single" w:sz="6" w:space="0" w:color="auto"/>
              <w:right w:val="single" w:sz="6" w:space="0" w:color="auto"/>
            </w:tcBorders>
          </w:tcPr>
          <w:p w14:paraId="01EF4FCB" w14:textId="77777777" w:rsidR="00392FDA" w:rsidRPr="00EA4C9B" w:rsidRDefault="00392FDA" w:rsidP="00D12D7A">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100%</w:t>
            </w:r>
          </w:p>
        </w:tc>
      </w:tr>
    </w:tbl>
    <w:p w14:paraId="02135796" w14:textId="77777777" w:rsidR="00392FDA" w:rsidRPr="00EA4C9B" w:rsidRDefault="00392FDA" w:rsidP="00392FDA">
      <w:pPr>
        <w:spacing w:after="0"/>
        <w:textAlignment w:val="baseline"/>
        <w:rPr>
          <w:rFonts w:ascii="Segoe UI" w:eastAsia="Times New Roman" w:hAnsi="Segoe UI" w:cs="Segoe UI"/>
          <w:sz w:val="18"/>
          <w:szCs w:val="18"/>
          <w:lang w:eastAsia="en-GB"/>
        </w:rPr>
      </w:pPr>
      <w:r w:rsidRPr="00EA4C9B">
        <w:rPr>
          <w:rFonts w:ascii="Calibri" w:eastAsia="Times New Roman" w:hAnsi="Calibri" w:cs="Calibri"/>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76"/>
        <w:gridCol w:w="1934"/>
      </w:tblGrid>
      <w:tr w:rsidR="00392FDA" w:rsidRPr="00EA4C9B" w14:paraId="0059AC0D" w14:textId="77777777" w:rsidTr="00BA7936">
        <w:trPr>
          <w:trHeight w:val="47"/>
          <w:tblHeader/>
        </w:trPr>
        <w:tc>
          <w:tcPr>
            <w:tcW w:w="9010" w:type="dxa"/>
            <w:gridSpan w:val="2"/>
            <w:tcBorders>
              <w:top w:val="single" w:sz="6" w:space="0" w:color="auto"/>
              <w:left w:val="single" w:sz="6" w:space="0" w:color="auto"/>
              <w:bottom w:val="single" w:sz="6" w:space="0" w:color="auto"/>
              <w:right w:val="single" w:sz="6" w:space="0" w:color="auto"/>
            </w:tcBorders>
            <w:shd w:val="clear" w:color="auto" w:fill="003399"/>
            <w:hideMark/>
          </w:tcPr>
          <w:p w14:paraId="3B13C42C" w14:textId="3199E7B1" w:rsidR="00392FDA" w:rsidRPr="00020920" w:rsidRDefault="004D4585" w:rsidP="00020920">
            <w:pPr>
              <w:pStyle w:val="Table"/>
              <w:rPr>
                <w:rFonts w:ascii="Times New Roman" w:hAnsi="Times New Roman" w:cs="Times New Roman"/>
                <w:b/>
                <w:color w:val="FFFFFF" w:themeColor="background1"/>
                <w:sz w:val="24"/>
                <w:lang w:eastAsia="en-GB"/>
              </w:rPr>
            </w:pPr>
            <w:r w:rsidRPr="00020920">
              <w:rPr>
                <w:b/>
                <w:color w:val="FFFFFF" w:themeColor="background1"/>
              </w:rPr>
              <w:t xml:space="preserve">Table </w:t>
            </w:r>
            <w:r w:rsidR="00490085">
              <w:rPr>
                <w:b/>
                <w:color w:val="FFFFFF" w:themeColor="background1"/>
              </w:rPr>
              <w:t>A6</w:t>
            </w:r>
            <w:r w:rsidR="00020920" w:rsidRPr="00020920">
              <w:rPr>
                <w:b/>
                <w:bCs/>
                <w:color w:val="FFFFFF" w:themeColor="background1"/>
              </w:rPr>
              <w:t>-</w:t>
            </w:r>
            <w:r w:rsidR="00020920" w:rsidRPr="00020920">
              <w:rPr>
                <w:b/>
                <w:bCs/>
                <w:color w:val="FFFFFF" w:themeColor="background1"/>
              </w:rPr>
              <w:fldChar w:fldCharType="begin"/>
            </w:r>
            <w:r w:rsidR="00020920" w:rsidRPr="00020920">
              <w:rPr>
                <w:b/>
                <w:bCs/>
                <w:color w:val="FFFFFF" w:themeColor="background1"/>
              </w:rPr>
              <w:instrText xml:space="preserve"> SEQ Table_A5- \* ARABIC </w:instrText>
            </w:r>
            <w:r w:rsidR="00020920" w:rsidRPr="00020920">
              <w:rPr>
                <w:b/>
                <w:bCs/>
                <w:color w:val="FFFFFF" w:themeColor="background1"/>
              </w:rPr>
              <w:fldChar w:fldCharType="separate"/>
            </w:r>
            <w:r w:rsidR="00D12D7A">
              <w:rPr>
                <w:b/>
                <w:bCs/>
                <w:noProof/>
                <w:color w:val="FFFFFF" w:themeColor="background1"/>
              </w:rPr>
              <w:t>34</w:t>
            </w:r>
            <w:r w:rsidR="00020920" w:rsidRPr="00020920">
              <w:rPr>
                <w:b/>
                <w:bCs/>
                <w:color w:val="FFFFFF" w:themeColor="background1"/>
              </w:rPr>
              <w:fldChar w:fldCharType="end"/>
            </w:r>
            <w:r w:rsidR="00392FDA" w:rsidRPr="00020920">
              <w:rPr>
                <w:b/>
                <w:color w:val="FFFFFF" w:themeColor="background1"/>
                <w:lang w:eastAsia="en-GB"/>
              </w:rPr>
              <w:t>: Other environmental taxes not reported in the National Tax Lists</w:t>
            </w:r>
            <w:r w:rsidR="00392FDA" w:rsidRPr="00020920">
              <w:rPr>
                <w:rStyle w:val="FootnoteReference"/>
                <w:rFonts w:ascii="Calibri" w:eastAsia="Times New Roman" w:hAnsi="Calibri" w:cs="Calibri"/>
                <w:b/>
                <w:color w:val="FFFFFF" w:themeColor="background1"/>
                <w:szCs w:val="20"/>
                <w:lang w:eastAsia="en-GB"/>
              </w:rPr>
              <w:footnoteReference w:id="196"/>
            </w:r>
            <w:r w:rsidR="00392FDA" w:rsidRPr="00020920">
              <w:rPr>
                <w:b/>
                <w:color w:val="FFFFFF" w:themeColor="background1"/>
                <w:lang w:eastAsia="en-GB"/>
              </w:rPr>
              <w:t> </w:t>
            </w:r>
          </w:p>
        </w:tc>
      </w:tr>
      <w:tr w:rsidR="00392FDA" w:rsidRPr="00EA4C9B" w14:paraId="03EE21FF" w14:textId="77777777" w:rsidTr="00BA7936">
        <w:trPr>
          <w:trHeight w:val="300"/>
          <w:tblHeader/>
        </w:trPr>
        <w:tc>
          <w:tcPr>
            <w:tcW w:w="7076" w:type="dxa"/>
            <w:tcBorders>
              <w:top w:val="single" w:sz="6" w:space="0" w:color="auto"/>
              <w:left w:val="single" w:sz="6" w:space="0" w:color="auto"/>
              <w:bottom w:val="single" w:sz="6" w:space="0" w:color="auto"/>
              <w:right w:val="single" w:sz="6" w:space="0" w:color="auto"/>
            </w:tcBorders>
            <w:hideMark/>
          </w:tcPr>
          <w:p w14:paraId="0B2A0D99" w14:textId="77777777" w:rsidR="00392FDA" w:rsidRPr="00D12D7A" w:rsidRDefault="00392FDA" w:rsidP="00020920">
            <w:pPr>
              <w:pStyle w:val="Table"/>
              <w:rPr>
                <w:rFonts w:ascii="Times New Roman" w:hAnsi="Times New Roman" w:cs="Times New Roman"/>
                <w:b/>
                <w:bCs/>
                <w:lang w:eastAsia="en-GB"/>
              </w:rPr>
            </w:pPr>
            <w:r w:rsidRPr="00D12D7A">
              <w:rPr>
                <w:b/>
                <w:bCs/>
                <w:lang w:eastAsia="en-GB"/>
              </w:rPr>
              <w:t> Tax name</w:t>
            </w:r>
          </w:p>
        </w:tc>
        <w:tc>
          <w:tcPr>
            <w:tcW w:w="1934" w:type="dxa"/>
            <w:tcBorders>
              <w:top w:val="single" w:sz="6" w:space="0" w:color="auto"/>
              <w:left w:val="single" w:sz="6" w:space="0" w:color="auto"/>
              <w:bottom w:val="single" w:sz="6" w:space="0" w:color="auto"/>
              <w:right w:val="single" w:sz="6" w:space="0" w:color="auto"/>
            </w:tcBorders>
            <w:hideMark/>
          </w:tcPr>
          <w:p w14:paraId="675853C3" w14:textId="76DBC201" w:rsidR="00392FDA" w:rsidRPr="00D12D7A" w:rsidRDefault="00392FDA" w:rsidP="00D12D7A">
            <w:pPr>
              <w:pStyle w:val="Table"/>
              <w:jc w:val="center"/>
              <w:rPr>
                <w:rFonts w:ascii="Times New Roman" w:eastAsia="Times New Roman" w:hAnsi="Times New Roman" w:cs="Times New Roman"/>
                <w:b/>
                <w:bCs/>
                <w:sz w:val="24"/>
                <w:lang w:eastAsia="en-GB"/>
              </w:rPr>
            </w:pPr>
            <w:r w:rsidRPr="00D12D7A">
              <w:rPr>
                <w:b/>
                <w:bCs/>
                <w:lang w:eastAsia="en-GB"/>
              </w:rPr>
              <w:t>Annual revenue</w:t>
            </w:r>
          </w:p>
          <w:p w14:paraId="42925C5D" w14:textId="67AEA3EF" w:rsidR="00392FDA" w:rsidRPr="00D12D7A" w:rsidRDefault="00392FDA" w:rsidP="00D12D7A">
            <w:pPr>
              <w:pStyle w:val="Table"/>
              <w:jc w:val="center"/>
              <w:rPr>
                <w:rFonts w:ascii="Times New Roman" w:eastAsia="Times New Roman" w:hAnsi="Times New Roman" w:cs="Times New Roman"/>
                <w:b/>
                <w:bCs/>
                <w:sz w:val="24"/>
                <w:lang w:eastAsia="en-GB"/>
              </w:rPr>
            </w:pPr>
            <w:r w:rsidRPr="00D12D7A">
              <w:rPr>
                <w:b/>
                <w:bCs/>
                <w:lang w:eastAsia="en-GB"/>
              </w:rPr>
              <w:t>(€ million) in 2023</w:t>
            </w:r>
          </w:p>
        </w:tc>
      </w:tr>
      <w:tr w:rsidR="00392FDA" w:rsidRPr="00EA4C9B" w14:paraId="567F3299" w14:textId="77777777" w:rsidTr="004F0767">
        <w:trPr>
          <w:trHeight w:val="300"/>
        </w:trPr>
        <w:tc>
          <w:tcPr>
            <w:tcW w:w="7076" w:type="dxa"/>
            <w:tcBorders>
              <w:top w:val="single" w:sz="6" w:space="0" w:color="auto"/>
              <w:left w:val="single" w:sz="6" w:space="0" w:color="auto"/>
              <w:bottom w:val="single" w:sz="6" w:space="0" w:color="auto"/>
              <w:right w:val="single" w:sz="6" w:space="0" w:color="auto"/>
            </w:tcBorders>
            <w:hideMark/>
          </w:tcPr>
          <w:p w14:paraId="619AEEAE" w14:textId="37B1DC72" w:rsidR="00392FDA" w:rsidRPr="00EA4C9B" w:rsidRDefault="00392FDA" w:rsidP="00020920">
            <w:pPr>
              <w:pStyle w:val="Table"/>
              <w:rPr>
                <w:rFonts w:cstheme="minorHAnsi"/>
                <w:i/>
                <w:lang w:eastAsia="en-GB"/>
              </w:rPr>
            </w:pPr>
            <w:r w:rsidRPr="00EA4C9B">
              <w:rPr>
                <w:rFonts w:cstheme="minorHAnsi"/>
                <w:lang w:eastAsia="en-GB"/>
              </w:rPr>
              <w:t xml:space="preserve">Levy on withdrawal of land from forestry (O) </w:t>
            </w:r>
            <w:r w:rsidRPr="00EA4C9B">
              <w:rPr>
                <w:rFonts w:cstheme="minorHAnsi"/>
                <w:i/>
                <w:lang w:eastAsia="en-GB"/>
              </w:rPr>
              <w:t>(Poplatky za odnětí pozemků plnění funkcí lesa)</w:t>
            </w:r>
          </w:p>
        </w:tc>
        <w:tc>
          <w:tcPr>
            <w:tcW w:w="1934" w:type="dxa"/>
            <w:tcBorders>
              <w:top w:val="single" w:sz="6" w:space="0" w:color="auto"/>
              <w:left w:val="single" w:sz="6" w:space="0" w:color="auto"/>
              <w:bottom w:val="single" w:sz="6" w:space="0" w:color="auto"/>
              <w:right w:val="single" w:sz="6" w:space="0" w:color="auto"/>
            </w:tcBorders>
            <w:hideMark/>
          </w:tcPr>
          <w:p w14:paraId="0FC36826" w14:textId="4A78B386" w:rsidR="00392FDA" w:rsidRPr="00EA4C9B" w:rsidRDefault="00392FDA" w:rsidP="00D12D7A">
            <w:pPr>
              <w:pStyle w:val="Table"/>
              <w:jc w:val="center"/>
              <w:rPr>
                <w:rFonts w:ascii="Times New Roman" w:eastAsia="Times New Roman" w:hAnsi="Times New Roman" w:cs="Times New Roman"/>
                <w:sz w:val="24"/>
                <w:lang w:eastAsia="en-GB"/>
              </w:rPr>
            </w:pPr>
            <w:r w:rsidRPr="00EA4C9B">
              <w:rPr>
                <w:lang w:eastAsia="en-GB"/>
              </w:rPr>
              <w:t>€3.</w:t>
            </w:r>
            <w:r w:rsidR="009A7D7F">
              <w:rPr>
                <w:lang w:eastAsia="en-GB"/>
              </w:rPr>
              <w:t>4</w:t>
            </w:r>
            <w:r w:rsidRPr="00EA4C9B">
              <w:rPr>
                <w:lang w:eastAsia="en-GB"/>
              </w:rPr>
              <w:t xml:space="preserve"> million</w:t>
            </w:r>
          </w:p>
        </w:tc>
      </w:tr>
      <w:tr w:rsidR="00392FDA" w:rsidRPr="00EA4C9B" w14:paraId="7E8B9C66" w14:textId="77777777" w:rsidTr="004F0767">
        <w:trPr>
          <w:trHeight w:val="300"/>
        </w:trPr>
        <w:tc>
          <w:tcPr>
            <w:tcW w:w="7076" w:type="dxa"/>
            <w:tcBorders>
              <w:top w:val="single" w:sz="6" w:space="0" w:color="auto"/>
              <w:left w:val="single" w:sz="6" w:space="0" w:color="auto"/>
              <w:bottom w:val="single" w:sz="6" w:space="0" w:color="auto"/>
              <w:right w:val="single" w:sz="6" w:space="0" w:color="auto"/>
            </w:tcBorders>
            <w:hideMark/>
          </w:tcPr>
          <w:p w14:paraId="68C50BA5" w14:textId="3D62CD9E" w:rsidR="00392FDA" w:rsidRPr="00EA4C9B" w:rsidRDefault="00392FDA" w:rsidP="00020920">
            <w:pPr>
              <w:pStyle w:val="Table"/>
              <w:rPr>
                <w:rFonts w:cstheme="minorHAnsi"/>
                <w:i/>
                <w:lang w:eastAsia="en-GB"/>
              </w:rPr>
            </w:pPr>
            <w:r w:rsidRPr="00EA4C9B">
              <w:rPr>
                <w:rFonts w:cstheme="minorHAnsi"/>
                <w:lang w:eastAsia="en-GB"/>
              </w:rPr>
              <w:t xml:space="preserve">Levy on temporary withdrawal of land from forestry (Z) </w:t>
            </w:r>
            <w:r w:rsidRPr="00EA4C9B">
              <w:rPr>
                <w:rFonts w:cstheme="minorHAnsi"/>
                <w:i/>
                <w:lang w:eastAsia="en-GB"/>
              </w:rPr>
              <w:t>(Poplatky za odnětí pozemků plnění funkcí lesa)</w:t>
            </w:r>
          </w:p>
        </w:tc>
        <w:tc>
          <w:tcPr>
            <w:tcW w:w="1934" w:type="dxa"/>
            <w:tcBorders>
              <w:top w:val="single" w:sz="6" w:space="0" w:color="auto"/>
              <w:left w:val="single" w:sz="6" w:space="0" w:color="auto"/>
              <w:bottom w:val="single" w:sz="6" w:space="0" w:color="auto"/>
              <w:right w:val="single" w:sz="6" w:space="0" w:color="auto"/>
            </w:tcBorders>
            <w:hideMark/>
          </w:tcPr>
          <w:p w14:paraId="6A5CA0A4" w14:textId="138C076E" w:rsidR="00392FDA" w:rsidRPr="00EA4C9B" w:rsidRDefault="00392FDA" w:rsidP="00D12D7A">
            <w:pPr>
              <w:pStyle w:val="Table"/>
              <w:jc w:val="center"/>
              <w:rPr>
                <w:rFonts w:ascii="Times New Roman" w:eastAsia="Times New Roman" w:hAnsi="Times New Roman" w:cs="Times New Roman"/>
                <w:sz w:val="24"/>
                <w:lang w:eastAsia="en-GB"/>
              </w:rPr>
            </w:pPr>
            <w:r w:rsidRPr="00EA4C9B">
              <w:rPr>
                <w:lang w:eastAsia="en-GB"/>
              </w:rPr>
              <w:t>€0.</w:t>
            </w:r>
            <w:r w:rsidR="009A7D7F">
              <w:rPr>
                <w:lang w:eastAsia="en-GB"/>
              </w:rPr>
              <w:t>4</w:t>
            </w:r>
            <w:r w:rsidRPr="00EA4C9B">
              <w:rPr>
                <w:lang w:eastAsia="en-GB"/>
              </w:rPr>
              <w:t xml:space="preserve"> million</w:t>
            </w:r>
          </w:p>
        </w:tc>
      </w:tr>
      <w:tr w:rsidR="00392FDA" w:rsidRPr="00EA4C9B" w14:paraId="7C323F3D" w14:textId="77777777" w:rsidTr="004F0767">
        <w:trPr>
          <w:trHeight w:val="300"/>
        </w:trPr>
        <w:tc>
          <w:tcPr>
            <w:tcW w:w="7076" w:type="dxa"/>
            <w:tcBorders>
              <w:top w:val="single" w:sz="6" w:space="0" w:color="auto"/>
              <w:left w:val="single" w:sz="6" w:space="0" w:color="auto"/>
              <w:bottom w:val="single" w:sz="6" w:space="0" w:color="auto"/>
              <w:right w:val="single" w:sz="6" w:space="0" w:color="auto"/>
            </w:tcBorders>
            <w:hideMark/>
          </w:tcPr>
          <w:p w14:paraId="4CFBF9AD" w14:textId="77777777" w:rsidR="00392FDA" w:rsidRPr="00EA4C9B" w:rsidRDefault="00392FDA" w:rsidP="00020920">
            <w:pPr>
              <w:pStyle w:val="Table"/>
              <w:rPr>
                <w:rFonts w:cstheme="minorHAnsi"/>
                <w:i/>
                <w:lang w:eastAsia="en-GB"/>
              </w:rPr>
            </w:pPr>
            <w:r w:rsidRPr="00EA4C9B">
              <w:rPr>
                <w:rFonts w:cstheme="minorHAnsi"/>
                <w:lang w:eastAsia="en-GB"/>
              </w:rPr>
              <w:t xml:space="preserve">Levy on withdrawal of land from agriculture (O) </w:t>
            </w:r>
            <w:r w:rsidRPr="00EA4C9B">
              <w:rPr>
                <w:rFonts w:cstheme="minorHAnsi"/>
                <w:i/>
                <w:lang w:eastAsia="en-GB"/>
              </w:rPr>
              <w:t>(Odvody za odnětí půdy ze zemědělského půdního fondu)</w:t>
            </w:r>
          </w:p>
        </w:tc>
        <w:tc>
          <w:tcPr>
            <w:tcW w:w="1934" w:type="dxa"/>
            <w:tcBorders>
              <w:top w:val="single" w:sz="6" w:space="0" w:color="auto"/>
              <w:left w:val="single" w:sz="6" w:space="0" w:color="auto"/>
              <w:bottom w:val="single" w:sz="6" w:space="0" w:color="auto"/>
              <w:right w:val="single" w:sz="6" w:space="0" w:color="auto"/>
            </w:tcBorders>
            <w:hideMark/>
          </w:tcPr>
          <w:p w14:paraId="79A64F04" w14:textId="7E05C213" w:rsidR="00392FDA" w:rsidRPr="00EA4C9B" w:rsidRDefault="00392FDA" w:rsidP="00D12D7A">
            <w:pPr>
              <w:pStyle w:val="Table"/>
              <w:jc w:val="center"/>
              <w:rPr>
                <w:rFonts w:ascii="Times New Roman" w:eastAsia="Times New Roman" w:hAnsi="Times New Roman" w:cs="Times New Roman"/>
                <w:sz w:val="24"/>
                <w:lang w:eastAsia="en-GB"/>
              </w:rPr>
            </w:pPr>
            <w:r w:rsidRPr="00EA4C9B">
              <w:rPr>
                <w:lang w:eastAsia="en-GB"/>
              </w:rPr>
              <w:t>€42.</w:t>
            </w:r>
            <w:r w:rsidR="009A7D7F">
              <w:rPr>
                <w:lang w:eastAsia="en-GB"/>
              </w:rPr>
              <w:t>6</w:t>
            </w:r>
            <w:r w:rsidRPr="00EA4C9B">
              <w:rPr>
                <w:lang w:eastAsia="en-GB"/>
              </w:rPr>
              <w:t xml:space="preserve"> million</w:t>
            </w:r>
          </w:p>
        </w:tc>
      </w:tr>
      <w:tr w:rsidR="00392FDA" w:rsidRPr="00EA4C9B" w14:paraId="4F2AC675" w14:textId="77777777" w:rsidTr="004F0767">
        <w:trPr>
          <w:trHeight w:val="300"/>
        </w:trPr>
        <w:tc>
          <w:tcPr>
            <w:tcW w:w="7076" w:type="dxa"/>
            <w:tcBorders>
              <w:top w:val="single" w:sz="6" w:space="0" w:color="auto"/>
              <w:left w:val="single" w:sz="6" w:space="0" w:color="auto"/>
              <w:bottom w:val="single" w:sz="6" w:space="0" w:color="auto"/>
              <w:right w:val="single" w:sz="6" w:space="0" w:color="auto"/>
            </w:tcBorders>
            <w:hideMark/>
          </w:tcPr>
          <w:p w14:paraId="2EB111DB" w14:textId="1276F5D3" w:rsidR="00392FDA" w:rsidRPr="00EA4C9B" w:rsidRDefault="00392FDA" w:rsidP="00020920">
            <w:pPr>
              <w:pStyle w:val="Table"/>
              <w:rPr>
                <w:rFonts w:cstheme="minorHAnsi"/>
                <w:i/>
                <w:lang w:eastAsia="en-GB"/>
              </w:rPr>
            </w:pPr>
            <w:r w:rsidRPr="00EA4C9B">
              <w:rPr>
                <w:rFonts w:cstheme="minorHAnsi"/>
                <w:lang w:eastAsia="en-GB"/>
              </w:rPr>
              <w:t xml:space="preserve">Levy on temporary withdrawal of land from agriculture (Z) </w:t>
            </w:r>
            <w:r w:rsidRPr="00EA4C9B">
              <w:rPr>
                <w:rFonts w:cstheme="minorHAnsi"/>
                <w:i/>
                <w:lang w:eastAsia="en-GB"/>
              </w:rPr>
              <w:t>(Odvody za odnětí  půdy ze zemědělského půdního fondu)</w:t>
            </w:r>
          </w:p>
        </w:tc>
        <w:tc>
          <w:tcPr>
            <w:tcW w:w="1934" w:type="dxa"/>
            <w:tcBorders>
              <w:top w:val="single" w:sz="6" w:space="0" w:color="auto"/>
              <w:left w:val="single" w:sz="6" w:space="0" w:color="auto"/>
              <w:bottom w:val="single" w:sz="6" w:space="0" w:color="auto"/>
              <w:right w:val="single" w:sz="6" w:space="0" w:color="auto"/>
            </w:tcBorders>
            <w:hideMark/>
          </w:tcPr>
          <w:p w14:paraId="5A06BA6D" w14:textId="3DF35F2B" w:rsidR="00392FDA" w:rsidRPr="00EA4C9B" w:rsidRDefault="00392FDA" w:rsidP="00D12D7A">
            <w:pPr>
              <w:pStyle w:val="Table"/>
              <w:jc w:val="center"/>
              <w:rPr>
                <w:rFonts w:ascii="Times New Roman" w:eastAsia="Times New Roman" w:hAnsi="Times New Roman" w:cs="Times New Roman"/>
                <w:sz w:val="24"/>
                <w:lang w:eastAsia="en-GB"/>
              </w:rPr>
            </w:pPr>
            <w:r w:rsidRPr="00EA4C9B">
              <w:rPr>
                <w:lang w:eastAsia="en-GB"/>
              </w:rPr>
              <w:t>€4.7 million</w:t>
            </w:r>
          </w:p>
        </w:tc>
      </w:tr>
      <w:tr w:rsidR="00392FDA" w:rsidRPr="00EA4C9B" w14:paraId="556B805F" w14:textId="77777777" w:rsidTr="004F0767">
        <w:trPr>
          <w:trHeight w:val="300"/>
        </w:trPr>
        <w:tc>
          <w:tcPr>
            <w:tcW w:w="7076" w:type="dxa"/>
            <w:tcBorders>
              <w:top w:val="single" w:sz="6" w:space="0" w:color="auto"/>
              <w:left w:val="single" w:sz="6" w:space="0" w:color="auto"/>
              <w:bottom w:val="single" w:sz="6" w:space="0" w:color="auto"/>
              <w:right w:val="single" w:sz="6" w:space="0" w:color="auto"/>
            </w:tcBorders>
          </w:tcPr>
          <w:p w14:paraId="370C4EB2" w14:textId="77777777" w:rsidR="00392FDA" w:rsidRPr="00EA4C9B" w:rsidRDefault="00392FDA" w:rsidP="00020920">
            <w:pPr>
              <w:pStyle w:val="Table"/>
              <w:rPr>
                <w:i/>
                <w:lang w:eastAsia="en-GB"/>
              </w:rPr>
            </w:pPr>
            <w:r w:rsidRPr="00EA4C9B">
              <w:rPr>
                <w:lang w:eastAsia="en-GB"/>
              </w:rPr>
              <w:t>Fees for extracted minerals and mining</w:t>
            </w:r>
            <w:r w:rsidRPr="00EA4C9B">
              <w:rPr>
                <w:i/>
                <w:lang w:eastAsia="en-GB"/>
              </w:rPr>
              <w:t xml:space="preserve"> (úhrada z dobývacího prostoru, úhrada z vydobytých nerostů)  </w:t>
            </w:r>
          </w:p>
        </w:tc>
        <w:tc>
          <w:tcPr>
            <w:tcW w:w="1934" w:type="dxa"/>
            <w:tcBorders>
              <w:top w:val="single" w:sz="6" w:space="0" w:color="auto"/>
              <w:left w:val="single" w:sz="6" w:space="0" w:color="auto"/>
              <w:bottom w:val="single" w:sz="6" w:space="0" w:color="auto"/>
              <w:right w:val="single" w:sz="6" w:space="0" w:color="auto"/>
            </w:tcBorders>
          </w:tcPr>
          <w:p w14:paraId="6E33D47C" w14:textId="77777777" w:rsidR="00392FDA" w:rsidRPr="00EA4C9B" w:rsidRDefault="00392FDA" w:rsidP="00D12D7A">
            <w:pPr>
              <w:pStyle w:val="Table"/>
              <w:jc w:val="center"/>
              <w:rPr>
                <w:lang w:eastAsia="en-GB"/>
              </w:rPr>
            </w:pPr>
            <w:r w:rsidRPr="00EA4C9B">
              <w:rPr>
                <w:lang w:eastAsia="en-GB"/>
              </w:rPr>
              <w:t>Unknown, not in NTL</w:t>
            </w:r>
          </w:p>
        </w:tc>
      </w:tr>
      <w:tr w:rsidR="00392FDA" w:rsidRPr="00EA4C9B" w14:paraId="080FA06D" w14:textId="77777777" w:rsidTr="004F0767">
        <w:trPr>
          <w:trHeight w:val="300"/>
        </w:trPr>
        <w:tc>
          <w:tcPr>
            <w:tcW w:w="7076" w:type="dxa"/>
            <w:tcBorders>
              <w:top w:val="single" w:sz="6" w:space="0" w:color="auto"/>
              <w:left w:val="single" w:sz="6" w:space="0" w:color="auto"/>
              <w:bottom w:val="single" w:sz="6" w:space="0" w:color="auto"/>
              <w:right w:val="single" w:sz="6" w:space="0" w:color="auto"/>
            </w:tcBorders>
          </w:tcPr>
          <w:p w14:paraId="1828A8F0" w14:textId="77777777" w:rsidR="00392FDA" w:rsidRPr="00EA4C9B" w:rsidRDefault="00392FDA" w:rsidP="00020920">
            <w:pPr>
              <w:pStyle w:val="Table"/>
              <w:rPr>
                <w:i/>
                <w:lang w:eastAsia="en-GB"/>
              </w:rPr>
            </w:pPr>
            <w:r w:rsidRPr="00EA4C9B">
              <w:rPr>
                <w:lang w:eastAsia="en-GB"/>
              </w:rPr>
              <w:t xml:space="preserve">Fee on registration and recording of packaging (Z) </w:t>
            </w:r>
            <w:r w:rsidRPr="00EA4C9B">
              <w:rPr>
                <w:i/>
                <w:lang w:eastAsia="en-GB"/>
              </w:rPr>
              <w:t>(Registrační a evidenční poplatky za obaly)</w:t>
            </w:r>
          </w:p>
        </w:tc>
        <w:tc>
          <w:tcPr>
            <w:tcW w:w="1934" w:type="dxa"/>
            <w:tcBorders>
              <w:top w:val="single" w:sz="6" w:space="0" w:color="auto"/>
              <w:left w:val="single" w:sz="6" w:space="0" w:color="auto"/>
              <w:bottom w:val="single" w:sz="6" w:space="0" w:color="auto"/>
              <w:right w:val="single" w:sz="6" w:space="0" w:color="auto"/>
            </w:tcBorders>
          </w:tcPr>
          <w:p w14:paraId="6AE5AC4B" w14:textId="3C96CFA9" w:rsidR="00392FDA" w:rsidRPr="00EA4C9B" w:rsidRDefault="00392FDA" w:rsidP="00D12D7A">
            <w:pPr>
              <w:pStyle w:val="Table"/>
              <w:jc w:val="center"/>
              <w:rPr>
                <w:lang w:eastAsia="en-GB"/>
              </w:rPr>
            </w:pPr>
            <w:r w:rsidRPr="00EA4C9B">
              <w:rPr>
                <w:lang w:eastAsia="en-GB"/>
              </w:rPr>
              <w:t>€0.7 million</w:t>
            </w:r>
          </w:p>
        </w:tc>
      </w:tr>
      <w:tr w:rsidR="00392FDA" w:rsidRPr="00EA4C9B" w14:paraId="25DC7904" w14:textId="77777777" w:rsidTr="004F0767">
        <w:trPr>
          <w:trHeight w:val="300"/>
        </w:trPr>
        <w:tc>
          <w:tcPr>
            <w:tcW w:w="7076" w:type="dxa"/>
            <w:tcBorders>
              <w:top w:val="single" w:sz="6" w:space="0" w:color="auto"/>
              <w:left w:val="single" w:sz="6" w:space="0" w:color="auto"/>
              <w:bottom w:val="single" w:sz="6" w:space="0" w:color="auto"/>
              <w:right w:val="single" w:sz="6" w:space="0" w:color="auto"/>
            </w:tcBorders>
          </w:tcPr>
          <w:p w14:paraId="5A8A2DB8" w14:textId="77777777" w:rsidR="00392FDA" w:rsidRPr="00EA4C9B" w:rsidRDefault="00392FDA" w:rsidP="00020920">
            <w:pPr>
              <w:pStyle w:val="Table"/>
              <w:rPr>
                <w:i/>
                <w:lang w:eastAsia="en-GB"/>
              </w:rPr>
            </w:pPr>
            <w:r w:rsidRPr="00EA4C9B">
              <w:rPr>
                <w:lang w:eastAsia="en-GB"/>
              </w:rPr>
              <w:t xml:space="preserve">Waste deposit fee / Fee for the disposal of waste in a landfill </w:t>
            </w:r>
            <w:r w:rsidRPr="00EA4C9B">
              <w:rPr>
                <w:i/>
                <w:lang w:eastAsia="en-GB"/>
              </w:rPr>
              <w:t>(Poplatku za ukládání odpadů na skládku)</w:t>
            </w:r>
          </w:p>
        </w:tc>
        <w:tc>
          <w:tcPr>
            <w:tcW w:w="1934" w:type="dxa"/>
            <w:tcBorders>
              <w:top w:val="single" w:sz="6" w:space="0" w:color="auto"/>
              <w:left w:val="single" w:sz="6" w:space="0" w:color="auto"/>
              <w:bottom w:val="single" w:sz="6" w:space="0" w:color="auto"/>
              <w:right w:val="single" w:sz="6" w:space="0" w:color="auto"/>
            </w:tcBorders>
          </w:tcPr>
          <w:p w14:paraId="0208C78F" w14:textId="77777777" w:rsidR="00392FDA" w:rsidRPr="00EA4C9B" w:rsidRDefault="00392FDA" w:rsidP="00D12D7A">
            <w:pPr>
              <w:pStyle w:val="Table"/>
              <w:jc w:val="center"/>
              <w:rPr>
                <w:lang w:eastAsia="en-GB"/>
              </w:rPr>
            </w:pPr>
            <w:r w:rsidRPr="00EA4C9B">
              <w:rPr>
                <w:lang w:eastAsia="en-GB"/>
              </w:rPr>
              <w:t>Unknown, not in NTL</w:t>
            </w:r>
          </w:p>
        </w:tc>
      </w:tr>
      <w:tr w:rsidR="00392FDA" w:rsidRPr="00EA4C9B" w14:paraId="6F8E9C17" w14:textId="77777777" w:rsidTr="004F0767">
        <w:trPr>
          <w:trHeight w:val="300"/>
        </w:trPr>
        <w:tc>
          <w:tcPr>
            <w:tcW w:w="7076" w:type="dxa"/>
            <w:tcBorders>
              <w:top w:val="single" w:sz="6" w:space="0" w:color="auto"/>
              <w:left w:val="single" w:sz="6" w:space="0" w:color="auto"/>
              <w:bottom w:val="single" w:sz="6" w:space="0" w:color="auto"/>
              <w:right w:val="single" w:sz="6" w:space="0" w:color="auto"/>
            </w:tcBorders>
          </w:tcPr>
          <w:p w14:paraId="161B4D8C" w14:textId="77777777" w:rsidR="00392FDA" w:rsidRPr="00EA4C9B" w:rsidRDefault="00392FDA" w:rsidP="00020920">
            <w:pPr>
              <w:pStyle w:val="Table"/>
              <w:rPr>
                <w:lang w:eastAsia="en-GB"/>
              </w:rPr>
            </w:pPr>
            <w:r w:rsidRPr="00EA4C9B">
              <w:rPr>
                <w:lang w:eastAsia="en-GB"/>
              </w:rPr>
              <w:t>Duty on ozone depleting chemicals</w:t>
            </w:r>
          </w:p>
        </w:tc>
        <w:tc>
          <w:tcPr>
            <w:tcW w:w="1934" w:type="dxa"/>
            <w:tcBorders>
              <w:top w:val="single" w:sz="6" w:space="0" w:color="auto"/>
              <w:left w:val="single" w:sz="6" w:space="0" w:color="auto"/>
              <w:bottom w:val="single" w:sz="6" w:space="0" w:color="auto"/>
              <w:right w:val="single" w:sz="6" w:space="0" w:color="auto"/>
            </w:tcBorders>
          </w:tcPr>
          <w:p w14:paraId="307ABC17" w14:textId="77777777" w:rsidR="00392FDA" w:rsidRPr="00EA4C9B" w:rsidRDefault="00392FDA" w:rsidP="00D12D7A">
            <w:pPr>
              <w:pStyle w:val="Table"/>
              <w:jc w:val="center"/>
              <w:rPr>
                <w:lang w:eastAsia="en-GB"/>
              </w:rPr>
            </w:pPr>
            <w:r w:rsidRPr="00EA4C9B">
              <w:rPr>
                <w:lang w:eastAsia="en-GB"/>
              </w:rPr>
              <w:t>Unknown, not in NTL</w:t>
            </w:r>
          </w:p>
        </w:tc>
      </w:tr>
      <w:tr w:rsidR="00392FDA" w:rsidRPr="00EA4C9B" w14:paraId="5F938F1E" w14:textId="77777777" w:rsidTr="004F0767">
        <w:trPr>
          <w:trHeight w:val="300"/>
        </w:trPr>
        <w:tc>
          <w:tcPr>
            <w:tcW w:w="7076" w:type="dxa"/>
            <w:tcBorders>
              <w:top w:val="single" w:sz="6" w:space="0" w:color="auto"/>
              <w:left w:val="single" w:sz="6" w:space="0" w:color="auto"/>
              <w:bottom w:val="single" w:sz="6" w:space="0" w:color="auto"/>
              <w:right w:val="single" w:sz="6" w:space="0" w:color="auto"/>
            </w:tcBorders>
          </w:tcPr>
          <w:p w14:paraId="4D07011C" w14:textId="77777777" w:rsidR="00392FDA" w:rsidRPr="00EA4C9B" w:rsidRDefault="00392FDA" w:rsidP="00020920">
            <w:pPr>
              <w:pStyle w:val="Table"/>
              <w:rPr>
                <w:i/>
                <w:lang w:eastAsia="en-GB"/>
              </w:rPr>
            </w:pPr>
            <w:r w:rsidRPr="00EA4C9B">
              <w:rPr>
                <w:lang w:eastAsia="en-GB"/>
              </w:rPr>
              <w:t xml:space="preserve">Local accommodation fee (Z) </w:t>
            </w:r>
            <w:r w:rsidRPr="00EA4C9B">
              <w:rPr>
                <w:i/>
                <w:lang w:eastAsia="en-GB"/>
              </w:rPr>
              <w:t xml:space="preserve">(Místní poplatek z pobytu) </w:t>
            </w:r>
            <w:r w:rsidRPr="00EA4C9B">
              <w:rPr>
                <w:lang w:eastAsia="en-GB"/>
              </w:rPr>
              <w:t>Formerly</w:t>
            </w:r>
            <w:r w:rsidRPr="00EA4C9B">
              <w:rPr>
                <w:i/>
                <w:lang w:eastAsia="en-GB"/>
              </w:rPr>
              <w:t xml:space="preserve"> Poplatek za lázeňský nebo rekreační pobyt</w:t>
            </w:r>
          </w:p>
        </w:tc>
        <w:tc>
          <w:tcPr>
            <w:tcW w:w="1934" w:type="dxa"/>
            <w:tcBorders>
              <w:top w:val="single" w:sz="6" w:space="0" w:color="auto"/>
              <w:left w:val="single" w:sz="6" w:space="0" w:color="auto"/>
              <w:bottom w:val="single" w:sz="6" w:space="0" w:color="auto"/>
              <w:right w:val="single" w:sz="6" w:space="0" w:color="auto"/>
            </w:tcBorders>
          </w:tcPr>
          <w:p w14:paraId="20C27873" w14:textId="00A95479" w:rsidR="00392FDA" w:rsidRPr="00EA4C9B" w:rsidRDefault="00392FDA" w:rsidP="00D12D7A">
            <w:pPr>
              <w:pStyle w:val="Table"/>
              <w:jc w:val="center"/>
              <w:rPr>
                <w:lang w:eastAsia="en-GB"/>
              </w:rPr>
            </w:pPr>
            <w:r w:rsidRPr="00EA4C9B">
              <w:rPr>
                <w:lang w:eastAsia="en-GB"/>
              </w:rPr>
              <w:t>€60.5 million</w:t>
            </w:r>
          </w:p>
        </w:tc>
      </w:tr>
      <w:tr w:rsidR="00392FDA" w:rsidRPr="00EA4C9B" w14:paraId="56998D29" w14:textId="77777777" w:rsidTr="004F0767">
        <w:trPr>
          <w:trHeight w:val="300"/>
        </w:trPr>
        <w:tc>
          <w:tcPr>
            <w:tcW w:w="7076" w:type="dxa"/>
            <w:tcBorders>
              <w:top w:val="single" w:sz="6" w:space="0" w:color="auto"/>
              <w:left w:val="single" w:sz="6" w:space="0" w:color="auto"/>
              <w:bottom w:val="single" w:sz="6" w:space="0" w:color="auto"/>
              <w:right w:val="single" w:sz="6" w:space="0" w:color="auto"/>
            </w:tcBorders>
          </w:tcPr>
          <w:p w14:paraId="3AE66CB5" w14:textId="77777777" w:rsidR="00392FDA" w:rsidRPr="00EA4C9B" w:rsidRDefault="00392FDA" w:rsidP="00020920">
            <w:pPr>
              <w:pStyle w:val="Table"/>
              <w:rPr>
                <w:lang w:eastAsia="en-GB"/>
              </w:rPr>
            </w:pPr>
            <w:r w:rsidRPr="00EA4C9B">
              <w:rPr>
                <w:lang w:eastAsia="en-GB"/>
              </w:rPr>
              <w:t>Charge for the abstraction of groundwater</w:t>
            </w:r>
          </w:p>
        </w:tc>
        <w:tc>
          <w:tcPr>
            <w:tcW w:w="1934" w:type="dxa"/>
            <w:tcBorders>
              <w:top w:val="single" w:sz="6" w:space="0" w:color="auto"/>
              <w:left w:val="single" w:sz="6" w:space="0" w:color="auto"/>
              <w:bottom w:val="single" w:sz="6" w:space="0" w:color="auto"/>
              <w:right w:val="single" w:sz="6" w:space="0" w:color="auto"/>
            </w:tcBorders>
          </w:tcPr>
          <w:p w14:paraId="34E52A6E" w14:textId="77777777" w:rsidR="00392FDA" w:rsidRPr="00EA4C9B" w:rsidRDefault="00392FDA" w:rsidP="00D12D7A">
            <w:pPr>
              <w:pStyle w:val="Table"/>
              <w:jc w:val="center"/>
              <w:rPr>
                <w:lang w:eastAsia="en-GB"/>
              </w:rPr>
            </w:pPr>
            <w:r w:rsidRPr="00EA4C9B">
              <w:rPr>
                <w:lang w:eastAsia="en-GB"/>
              </w:rPr>
              <w:t>Unknown, not in NTL</w:t>
            </w:r>
          </w:p>
        </w:tc>
      </w:tr>
      <w:tr w:rsidR="00392FDA" w:rsidRPr="00EA4C9B" w14:paraId="6B67DDCF" w14:textId="77777777" w:rsidTr="004F0767">
        <w:trPr>
          <w:trHeight w:val="300"/>
        </w:trPr>
        <w:tc>
          <w:tcPr>
            <w:tcW w:w="7076" w:type="dxa"/>
            <w:tcBorders>
              <w:top w:val="single" w:sz="6" w:space="0" w:color="auto"/>
              <w:left w:val="single" w:sz="6" w:space="0" w:color="auto"/>
              <w:bottom w:val="single" w:sz="6" w:space="0" w:color="auto"/>
              <w:right w:val="single" w:sz="6" w:space="0" w:color="auto"/>
            </w:tcBorders>
          </w:tcPr>
          <w:p w14:paraId="5BC93782" w14:textId="77777777" w:rsidR="00392FDA" w:rsidRPr="00EA4C9B" w:rsidRDefault="00392FDA" w:rsidP="00020920">
            <w:pPr>
              <w:pStyle w:val="Table"/>
              <w:rPr>
                <w:lang w:eastAsia="en-GB"/>
              </w:rPr>
            </w:pPr>
            <w:r w:rsidRPr="00EA4C9B">
              <w:rPr>
                <w:lang w:eastAsia="en-GB"/>
              </w:rPr>
              <w:t>Single-use plastic bag charge</w:t>
            </w:r>
          </w:p>
        </w:tc>
        <w:tc>
          <w:tcPr>
            <w:tcW w:w="1934" w:type="dxa"/>
            <w:tcBorders>
              <w:top w:val="single" w:sz="6" w:space="0" w:color="auto"/>
              <w:left w:val="single" w:sz="6" w:space="0" w:color="auto"/>
              <w:bottom w:val="single" w:sz="6" w:space="0" w:color="auto"/>
              <w:right w:val="single" w:sz="6" w:space="0" w:color="auto"/>
            </w:tcBorders>
          </w:tcPr>
          <w:p w14:paraId="5163595B" w14:textId="77777777" w:rsidR="00392FDA" w:rsidRPr="00EA4C9B" w:rsidRDefault="00392FDA" w:rsidP="00D12D7A">
            <w:pPr>
              <w:pStyle w:val="Table"/>
              <w:jc w:val="center"/>
              <w:rPr>
                <w:lang w:eastAsia="en-GB"/>
              </w:rPr>
            </w:pPr>
            <w:r w:rsidRPr="00EA4C9B">
              <w:rPr>
                <w:lang w:eastAsia="en-GB"/>
              </w:rPr>
              <w:t>Unknown, not in NTL</w:t>
            </w:r>
          </w:p>
        </w:tc>
      </w:tr>
    </w:tbl>
    <w:p w14:paraId="0AB541AB" w14:textId="77777777" w:rsidR="00392FDA" w:rsidRPr="00EA4C9B" w:rsidRDefault="00392FDA" w:rsidP="00392FDA">
      <w:pPr>
        <w:spacing w:after="0"/>
        <w:textAlignment w:val="baseline"/>
        <w:rPr>
          <w:rFonts w:ascii="Segoe UI" w:eastAsia="Times New Roman" w:hAnsi="Segoe UI" w:cs="Segoe UI"/>
          <w:sz w:val="18"/>
          <w:szCs w:val="18"/>
          <w:lang w:eastAsia="en-GB"/>
        </w:rPr>
      </w:pPr>
      <w:r w:rsidRPr="00EA4C9B">
        <w:rPr>
          <w:rFonts w:ascii="Calibri" w:eastAsia="Times New Roman" w:hAnsi="Calibri" w:cs="Calibri"/>
          <w:lang w:eastAsia="en-GB"/>
        </w:rPr>
        <w:t> </w:t>
      </w:r>
    </w:p>
    <w:p w14:paraId="66A4ED26" w14:textId="3988E6B1" w:rsidR="00392FDA" w:rsidRPr="00EA4C9B" w:rsidRDefault="00392FDA" w:rsidP="00392FDA">
      <w:r w:rsidRPr="00EA4C9B">
        <w:t xml:space="preserve">The taxes described in this section are classified as pollution and resources taxes by the National Tax List data. See section </w:t>
      </w:r>
      <w:r w:rsidR="00490085">
        <w:t>A6</w:t>
      </w:r>
      <w:r w:rsidRPr="00EA4C9B">
        <w:t>.</w:t>
      </w:r>
      <w:r w:rsidR="003173D0">
        <w:t>6</w:t>
      </w:r>
      <w:r w:rsidRPr="00EA4C9B">
        <w:t xml:space="preserve">.4 for discussion around the definition of environmental taxes in the Czech legal framework. </w:t>
      </w:r>
    </w:p>
    <w:p w14:paraId="602AB534" w14:textId="4B42CE86" w:rsidR="00392FDA" w:rsidRPr="00EA4C9B" w:rsidRDefault="00392FDA" w:rsidP="00392FDA">
      <w:r w:rsidRPr="00EA4C9B">
        <w:lastRenderedPageBreak/>
        <w:t xml:space="preserve">The </w:t>
      </w:r>
      <w:r w:rsidRPr="00EA4C9B">
        <w:rPr>
          <w:b/>
          <w:bCs/>
        </w:rPr>
        <w:t>water pollution fee</w:t>
      </w:r>
      <w:r w:rsidRPr="00EA4C9B">
        <w:t>, introduced in 1966, applies to the discharge of wastewater into surface water. It is regulated by the Water Act (254/2001)</w:t>
      </w:r>
      <w:r w:rsidRPr="00EA4C9B">
        <w:rPr>
          <w:rStyle w:val="FootnoteReference"/>
        </w:rPr>
        <w:footnoteReference w:id="197"/>
      </w:r>
      <w:r w:rsidRPr="00EA4C9B">
        <w:t xml:space="preserve"> and by the Tax Code Act (280/2009)</w:t>
      </w:r>
      <w:r w:rsidRPr="00EA4C9B">
        <w:rPr>
          <w:rStyle w:val="FootnoteReference"/>
        </w:rPr>
        <w:footnoteReference w:id="198"/>
      </w:r>
      <w:r w:rsidRPr="00EA4C9B">
        <w:t>. Taxpayers include households and firms that discharge wastewater into surface water. Wastewater is categorised as treated and untreated, and water sources are reported separately for the purposes of the fee. A pollution source may be a municipality, a military district, an industrial zone, a building or a facility where wastewater is discharged into surface water. The tax base is set nationally and comprises the amount of wastewater and the pollutant type. The tax rate is also set centrally and consists of a charge per cubic meter of wastewater and a charge per kilogram of pollutant (Pollutants covered include various organic substances, heavy metals (such as mercy and cadmium), phosphorous and dissolved or undissolved solids</w:t>
      </w:r>
      <w:r w:rsidRPr="00EA4C9B">
        <w:rPr>
          <w:rStyle w:val="FootnoteReference"/>
        </w:rPr>
        <w:footnoteReference w:id="199"/>
      </w:r>
      <w:r w:rsidRPr="00EA4C9B">
        <w:t>. Payments are made annually, and the fee applies uniformly across the country, with no regional differentiation. Exemptions apply to certain types of mineral water, remediation and cooling waters, and overflow discharges from compliant sewerage systems</w:t>
      </w:r>
      <w:r w:rsidRPr="00EA4C9B">
        <w:rPr>
          <w:rStyle w:val="FootnoteReference"/>
        </w:rPr>
        <w:footnoteReference w:id="200"/>
      </w:r>
      <w:r w:rsidRPr="00EA4C9B">
        <w:t xml:space="preserve">. Revenue from the fee is </w:t>
      </w:r>
      <w:r w:rsidRPr="00EA4C9B">
        <w:rPr>
          <w:b/>
          <w:bCs/>
        </w:rPr>
        <w:t xml:space="preserve">earmarked </w:t>
      </w:r>
      <w:r w:rsidRPr="00EA4C9B">
        <w:t>for the State Environmental Fund</w:t>
      </w:r>
      <w:r w:rsidRPr="00EA4C9B">
        <w:rPr>
          <w:rStyle w:val="FootnoteReference"/>
        </w:rPr>
        <w:footnoteReference w:id="201"/>
      </w:r>
      <w:r w:rsidRPr="00EA4C9B">
        <w:t>. It is used to support the development and intensification of water management infrastructure and to reimburse certified laboratories and other entities lessened to monitor water quality and quantity</w:t>
      </w:r>
      <w:r w:rsidRPr="00EA4C9B">
        <w:rPr>
          <w:rStyle w:val="FootnoteReference"/>
        </w:rPr>
        <w:footnoteReference w:id="202"/>
      </w:r>
      <w:r w:rsidRPr="00EA4C9B">
        <w:t>.</w:t>
      </w:r>
    </w:p>
    <w:p w14:paraId="61766308" w14:textId="355BAB32" w:rsidR="00392FDA" w:rsidRPr="00EA4C9B" w:rsidRDefault="00392FDA" w:rsidP="00392FDA">
      <w:r w:rsidRPr="00EA4C9B">
        <w:t xml:space="preserve">The </w:t>
      </w:r>
      <w:r w:rsidRPr="00EA4C9B">
        <w:rPr>
          <w:b/>
          <w:bCs/>
        </w:rPr>
        <w:t>air pollution fee</w:t>
      </w:r>
      <w:r w:rsidRPr="00EA4C9B">
        <w:t xml:space="preserve"> was introduced in 1967 and is currently governed by the Act on Air Protection (201/2012)</w:t>
      </w:r>
      <w:r w:rsidRPr="00EA4C9B">
        <w:rPr>
          <w:rStyle w:val="FootnoteReference"/>
        </w:rPr>
        <w:footnoteReference w:id="203"/>
      </w:r>
      <w:r w:rsidRPr="00EA4C9B">
        <w:t>. It applies to the production, generation, or transformation of air pollutants and is levied on operators of stationary sources. This includes households and businesses. The tax base is the type of pollutant emitted, with each pollutant subject to an individual rate. The fee currently applies to five pollutants (NO</w:t>
      </w:r>
      <w:r w:rsidRPr="00EA4C9B">
        <w:rPr>
          <w:vertAlign w:val="subscript"/>
        </w:rPr>
        <w:t>X</w:t>
      </w:r>
      <w:r w:rsidRPr="00EA4C9B">
        <w:t>, SO</w:t>
      </w:r>
      <w:r w:rsidRPr="00EA4C9B">
        <w:rPr>
          <w:vertAlign w:val="subscript"/>
        </w:rPr>
        <w:t>2</w:t>
      </w:r>
      <w:r w:rsidRPr="00EA4C9B">
        <w:t>, CO, NMVOCs and TSP). Tax rates were significantly increased from 2013 onwards. In 2021, rates per tonne were as follows: EUR 573 TSP, EUR 191 SO2; EUR 152 NO</w:t>
      </w:r>
      <w:r w:rsidRPr="00EA4C9B">
        <w:rPr>
          <w:vertAlign w:val="subscript"/>
        </w:rPr>
        <w:t>X</w:t>
      </w:r>
      <w:r w:rsidRPr="00EA4C9B">
        <w:t>, EUR 382 NMVOcs. The Rates for TSP and NO</w:t>
      </w:r>
      <w:r w:rsidRPr="00EA4C9B">
        <w:rPr>
          <w:vertAlign w:val="subscript"/>
        </w:rPr>
        <w:t>X</w:t>
      </w:r>
      <w:r w:rsidRPr="00EA4C9B">
        <w:t xml:space="preserve"> are high in comparison with those in other EU Member States.  The tax is applied uniformly nationwide, with no regional variation. Revenues are earmarked for air protection measures.</w:t>
      </w:r>
    </w:p>
    <w:p w14:paraId="15C20D44" w14:textId="77777777" w:rsidR="00392FDA" w:rsidRPr="00EA4C9B" w:rsidRDefault="00392FDA" w:rsidP="00392FDA">
      <w:r w:rsidRPr="00EA4C9B">
        <w:t xml:space="preserve">The </w:t>
      </w:r>
      <w:r w:rsidRPr="00EA4C9B">
        <w:rPr>
          <w:b/>
          <w:bCs/>
        </w:rPr>
        <w:t xml:space="preserve">underground water pollution fee </w:t>
      </w:r>
      <w:r w:rsidRPr="00EA4C9B">
        <w:t xml:space="preserve">was introduced in 2002 and is regulated by the Water Act (254/2001). It applies to the permitted discharge of wastewater into groundwater. The fee is levied on firms operating wastewater treatment facilities with valid discharge permits. The tax is based on the facility’s designed capacity to treat pollution. It is calculated using population equivalents (PE), where one PE represents an estimated daily biochemical oxygen demand (BOD₅) of 60 grams. The total fee is determined by multiplying the number of PEs by a fixed rate of CZK 350 per PE. The fee is applied on an annual basis (calendar year). Exemptions apply to wastewater from treatment facilities serving a single residential or recreational building; mineral waters certified as natural healing sources, if not used in spa care; natural mineral waters not used in bottle production; wastewater used to obtain thermal energy; and polluted water that has undergone reduction in pollutant levels following </w:t>
      </w:r>
      <w:r w:rsidRPr="00EA4C9B">
        <w:lastRenderedPageBreak/>
        <w:t>extraction from groundwater. Revenue is allocated to the budget of the municipality in which the discharge occurs</w:t>
      </w:r>
      <w:r w:rsidRPr="00EA4C9B">
        <w:rPr>
          <w:rStyle w:val="FootnoteReference"/>
        </w:rPr>
        <w:footnoteReference w:id="204"/>
      </w:r>
      <w:r w:rsidRPr="00EA4C9B">
        <w:t>.</w:t>
      </w:r>
    </w:p>
    <w:p w14:paraId="508397A2" w14:textId="77777777" w:rsidR="00392FDA" w:rsidRPr="00EA4C9B" w:rsidRDefault="00392FDA" w:rsidP="00392FDA">
      <w:bookmarkStart w:id="150" w:name="_Hlk197441683"/>
      <w:r w:rsidRPr="00EA4C9B">
        <w:t xml:space="preserve">The </w:t>
      </w:r>
      <w:r w:rsidRPr="00EA4C9B">
        <w:rPr>
          <w:b/>
          <w:bCs/>
        </w:rPr>
        <w:t>fee for support of collection, processing, reuse and disposal of chosen automobile wrecks (since 2009)</w:t>
      </w:r>
      <w:r w:rsidRPr="00EA4C9B">
        <w:t xml:space="preserve"> was introduced in 2009 and is regulated by the Act on Waste (185/2001)</w:t>
      </w:r>
      <w:r w:rsidRPr="00EA4C9B">
        <w:rPr>
          <w:rStyle w:val="FootnoteReference"/>
        </w:rPr>
        <w:footnoteReference w:id="205"/>
      </w:r>
      <w:r w:rsidRPr="00EA4C9B">
        <w:t xml:space="preserve"> , as amended by Act 383/2008</w:t>
      </w:r>
      <w:r w:rsidRPr="00EA4C9B">
        <w:rPr>
          <w:rStyle w:val="FootnoteReference"/>
        </w:rPr>
        <w:footnoteReference w:id="206"/>
      </w:r>
      <w:r w:rsidRPr="00EA4C9B">
        <w:t>. The fee is paid by individuals registering a used passenger car or light commercial vehicle, with the fee amount determined by the vehicle’s compliance with EU emission standards: CZK 3,000 for vehicles meeting EURO 2 standards; CZK 5,000 for those complaint with EURO 1; and CZK 10,000 for vehicles that do not meet either set of limits. Vehicles meeting the minimum emission limit values of EURO 3 are exempt from the fee, as are historic vehicles and vehicles registered with a certificate confirming their historical authenticity under national under other legal regulations.  The tax is applied nationally with no regional variation. Revenue is allocated to the State Environmental Fund.</w:t>
      </w:r>
    </w:p>
    <w:bookmarkEnd w:id="150"/>
    <w:p w14:paraId="635D08F3" w14:textId="77777777" w:rsidR="00392FDA" w:rsidRPr="00EA4C9B" w:rsidRDefault="00392FDA" w:rsidP="00392FDA">
      <w:r w:rsidRPr="00EA4C9B">
        <w:t xml:space="preserve">The </w:t>
      </w:r>
      <w:r w:rsidRPr="00EA4C9B">
        <w:rPr>
          <w:b/>
          <w:bCs/>
        </w:rPr>
        <w:t>radioactive waste fee</w:t>
      </w:r>
      <w:r w:rsidRPr="00EA4C9B">
        <w:t xml:space="preserve"> was introduced in 1997 and is currently governed by the Atomic Act (263/2016)</w:t>
      </w:r>
      <w:r w:rsidRPr="00EA4C9B">
        <w:rPr>
          <w:rStyle w:val="FootnoteReference"/>
        </w:rPr>
        <w:footnoteReference w:id="207"/>
      </w:r>
      <w:r w:rsidRPr="00EA4C9B">
        <w:t>. The Radioactive Waste Repository Authority is responsible for managing activities related to the disposal of radioactive waste, including the collection and administration of the corresponding fees</w:t>
      </w:r>
      <w:r w:rsidRPr="00EA4C9B">
        <w:rPr>
          <w:rStyle w:val="FootnoteReference"/>
        </w:rPr>
        <w:footnoteReference w:id="208"/>
      </w:r>
      <w:r w:rsidRPr="00EA4C9B">
        <w:t>. In addition to the Atomic Act, secondary legislation regulates the use of nuclear energy, spent fuel and radioactive waste management. Government Regulation No. 35/2017 Coll. sets the rate for the one-time fee for radioactive waste disposal</w:t>
      </w:r>
      <w:r w:rsidRPr="00EA4C9B">
        <w:rPr>
          <w:rStyle w:val="FootnoteReference"/>
        </w:rPr>
        <w:footnoteReference w:id="209"/>
      </w:r>
      <w:r w:rsidRPr="00EA4C9B">
        <w:t>, as well as the amount of contributions from the nuclear account to municipalities and the rules for their provision</w:t>
      </w:r>
      <w:r w:rsidRPr="00EA4C9B">
        <w:rPr>
          <w:rStyle w:val="FootnoteReference"/>
        </w:rPr>
        <w:footnoteReference w:id="210"/>
      </w:r>
      <w:r w:rsidRPr="00EA4C9B">
        <w:t xml:space="preserve">. </w:t>
      </w:r>
    </w:p>
    <w:p w14:paraId="032D5016" w14:textId="45B6CBBE" w:rsidR="00392FDA" w:rsidRPr="00EA4C9B" w:rsidRDefault="00392FDA" w:rsidP="00392FDA">
      <w:r w:rsidRPr="00EA4C9B">
        <w:t>The</w:t>
      </w:r>
      <w:r w:rsidRPr="00EA4C9B">
        <w:rPr>
          <w:b/>
          <w:bCs/>
        </w:rPr>
        <w:t xml:space="preserve"> ‘other environmental fees and charges’ </w:t>
      </w:r>
      <w:r w:rsidRPr="00EA4C9B">
        <w:t>tax,</w:t>
      </w:r>
      <w:r w:rsidRPr="00EA4C9B">
        <w:rPr>
          <w:b/>
          <w:bCs/>
        </w:rPr>
        <w:t xml:space="preserve"> </w:t>
      </w:r>
      <w:r w:rsidRPr="00EA4C9B">
        <w:t xml:space="preserve">classed as a resource tax in </w:t>
      </w:r>
      <w:r w:rsidR="002B5158" w:rsidRPr="00A11066">
        <w:fldChar w:fldCharType="begin"/>
      </w:r>
      <w:r w:rsidR="002B5158" w:rsidRPr="00A11066">
        <w:instrText xml:space="preserve"> REF part_edae565ec6424f6a8d0f795316d4749d \h </w:instrText>
      </w:r>
      <w:r w:rsidR="00A11066" w:rsidRPr="00A11066">
        <w:instrText xml:space="preserve"> \* MERGEFORMAT </w:instrText>
      </w:r>
      <w:r w:rsidR="002B5158" w:rsidRPr="00A11066">
        <w:fldChar w:fldCharType="end"/>
      </w:r>
      <w:r w:rsidRPr="00EA4C9B">
        <w:t xml:space="preserve"> above, remains unclear. It is possible that this tax entry includes certain resource-related fees and charges not explicitly listed on the National Tax List inventory.  </w:t>
      </w:r>
    </w:p>
    <w:p w14:paraId="7C660E7E" w14:textId="77777777" w:rsidR="00392FDA" w:rsidRPr="00EA4C9B" w:rsidRDefault="00392FDA" w:rsidP="00392FDA">
      <w:pPr>
        <w:pStyle w:val="Heading4"/>
      </w:pPr>
      <w:r w:rsidRPr="00EA4C9B">
        <w:t>Fees and other related instruments</w:t>
      </w:r>
    </w:p>
    <w:p w14:paraId="0122F93D" w14:textId="6A3BEC9F" w:rsidR="005F54AD" w:rsidRDefault="005F54AD" w:rsidP="005F54AD">
      <w:r w:rsidRPr="00EA4C9B">
        <w:t>Within the national tax list system there is some ambiguity in terminology and definition of instruments included as ‘taxes’, which could reasonably arguably complicate reform processes; ambiguities in terminology, where taxes, fees and levies are used interchangeably can lead to inconsistencies in classification and create uncertainty for stakeholders. It may also affect how environmental taxes are reported and understood</w:t>
      </w:r>
      <w:r>
        <w:t xml:space="preserve"> </w:t>
      </w:r>
      <w:r w:rsidRPr="00EA4C9B">
        <w:t xml:space="preserve">(both domestically and in internation comparisons). In more detail, </w:t>
      </w:r>
      <w:r>
        <w:t>Table A6-31 through to Table A6-34</w:t>
      </w:r>
      <w:r w:rsidRPr="00EA4C9B">
        <w:t xml:space="preserve"> include the taxes classed as (P/RS) in the National Tax List data. However, some of these may be more accurately described as fees, charges or levies, rather than environmental taxes. In the scope of this study, environmental taxes are defined as unrequited payments where the tax base has a specific negative impact on the environment. As noted in Nagy et al (Nagy et al., 2023), the Czech legal framework does not provide a clear definition of environmental taxes. Instead, various synonymous terms are used, reflecting inconsistencies in terminology and interpretation</w:t>
      </w:r>
      <w:r w:rsidRPr="00EA4C9B">
        <w:rPr>
          <w:rStyle w:val="FootnoteReference"/>
        </w:rPr>
        <w:footnoteReference w:id="211"/>
      </w:r>
      <w:r w:rsidRPr="00EA4C9B">
        <w:t xml:space="preserve">. Since 2009, the Czech Statistical Office has worked on this issue using a methodology developed jointly by the OECD and Eurostat, in collaboration with environmental law experts from Charles University in Prague. Radvan observes that Czech energy or ecological taxes are typically mandated payments linked to specific environmental harm. These payments are collected without direct compensation and are therefore classed as taxes, even though </w:t>
      </w:r>
      <w:r w:rsidRPr="00EA4C9B">
        <w:lastRenderedPageBreak/>
        <w:t>the terms ‘tax’, ‘fee’ and ‘levy’ are often used interchangeably. Exceptions may apply, such as certain municipal waste fees (Radavan, 2009</w:t>
      </w:r>
      <w:r w:rsidRPr="00EA4C9B">
        <w:rPr>
          <w:rStyle w:val="FootnoteReference"/>
        </w:rPr>
        <w:footnoteReference w:id="212"/>
      </w:r>
      <w:r w:rsidRPr="00EA4C9B">
        <w:t>). By some definitions, Czechia is considered to not have any resource or pollution taxes</w:t>
      </w:r>
      <w:r w:rsidRPr="00EA4C9B">
        <w:rPr>
          <w:rStyle w:val="FootnoteReference"/>
        </w:rPr>
        <w:footnoteReference w:id="213"/>
      </w:r>
      <w:r w:rsidRPr="00EA4C9B">
        <w:t>. However, the air pollution tax is listed as a tax in the National Tax List and is recognised as such by the OECD, highlighting the inconsistencies in classification.</w:t>
      </w:r>
    </w:p>
    <w:p w14:paraId="24570085" w14:textId="60805767" w:rsidR="00392FDA" w:rsidRPr="00EA4C9B" w:rsidRDefault="00392FDA" w:rsidP="00392FDA">
      <w:r w:rsidRPr="00EA4C9B">
        <w:t>Czechia applies several additional environmental taxes, charges, and levies</w:t>
      </w:r>
      <w:r w:rsidR="002B5158" w:rsidRPr="006E3E45">
        <w:fldChar w:fldCharType="begin"/>
      </w:r>
      <w:r w:rsidR="002B5158" w:rsidRPr="006E3E45">
        <w:instrText xml:space="preserve"> REF part_edae565ec6424f6a8d0f795316d4749d \h </w:instrText>
      </w:r>
      <w:r w:rsidR="00A11066" w:rsidRPr="006E3E45">
        <w:instrText xml:space="preserve"> \* MERGEFORMAT </w:instrText>
      </w:r>
      <w:r w:rsidR="002B5158" w:rsidRPr="006E3E45">
        <w:fldChar w:fldCharType="end"/>
      </w:r>
      <w:r w:rsidR="005F54AD">
        <w:t xml:space="preserve">. </w:t>
      </w:r>
      <w:r w:rsidRPr="00EA4C9B">
        <w:t xml:space="preserve">Among these, are </w:t>
      </w:r>
      <w:r w:rsidRPr="00EA4C9B">
        <w:rPr>
          <w:b/>
          <w:bCs/>
        </w:rPr>
        <w:t>levies on temporary and permanent withdrawal of land from forestry</w:t>
      </w:r>
      <w:r w:rsidRPr="00EA4C9B">
        <w:t>, introduced in 1996 to support forest protection. These are regulated by the Forest Act (289/1995)</w:t>
      </w:r>
      <w:r w:rsidRPr="00EA4C9B">
        <w:rPr>
          <w:rStyle w:val="FootnoteReference"/>
        </w:rPr>
        <w:footnoteReference w:id="214"/>
      </w:r>
      <w:r w:rsidRPr="00EA4C9B">
        <w:t xml:space="preserve">. The taxpayers are primarily firms who were granted permission to withdraw land from forestry. This includes economic forests, forests in protected areas, forests in urban environments or with significant ecological functions, and forests in national parks or nature reserves. The tax rate is set centrally and, Iin addition to land area, the calculation takes into account factors such as the average price of wood (most recently updated in 2024) and the ecological weighting of the forest in question. Revenue is split between the State Environmental Fund (60%) and the municipality (40%). </w:t>
      </w:r>
    </w:p>
    <w:p w14:paraId="38BBAEAE" w14:textId="77777777" w:rsidR="00392FDA" w:rsidRPr="00EA4C9B" w:rsidRDefault="00392FDA" w:rsidP="00392FDA">
      <w:r w:rsidRPr="00EA4C9B">
        <w:t xml:space="preserve">The </w:t>
      </w:r>
      <w:r w:rsidRPr="00EA4C9B">
        <w:rPr>
          <w:b/>
          <w:bCs/>
        </w:rPr>
        <w:t>levies on withdrawal of land from agriculture</w:t>
      </w:r>
      <w:r w:rsidRPr="00EA4C9B">
        <w:t xml:space="preserve"> are regulated by the Act on the Protection of the Agricultural Land Fund (334/1992)</w:t>
      </w:r>
      <w:r w:rsidRPr="00EA4C9B">
        <w:rPr>
          <w:rStyle w:val="FootnoteReference"/>
        </w:rPr>
        <w:footnoteReference w:id="215"/>
      </w:r>
      <w:r w:rsidRPr="00EA4C9B">
        <w:t>. The levy for permanent withdrawal has been in force since 1966, while the levy for temporary withdrawal has applied since before 1995. The taxpayers are firms and entities that have been granted permission to remove land from agricultural use. The levy, set centrally, is calculated using a formula based on the basic price of land, which is assessed according to BPEJ (evaluated soil ecological unit), system defined in the valuation decree. This base rate is adjusted upward when the withdrawal affects environmentally sensitive areas, such as protected zones for water resources or specially protected areas). The adjusted base is then multiplied by a coefficient reflecting the protection class of the land. For temporary withdrawals, the levy is paid annually and adjusted accordingly. Several exemptions apply to permanent withdrawals</w:t>
      </w:r>
      <w:r w:rsidRPr="00EA4C9B">
        <w:rPr>
          <w:rStyle w:val="FootnoteReference"/>
        </w:rPr>
        <w:footnoteReference w:id="216"/>
      </w:r>
      <w:r w:rsidRPr="00EA4C9B">
        <w:t>.. Revenue from the levy is earmarked, with 55% allocated to the state budget, 15% to the State Environmental Fund, and 30% to the municipality.</w:t>
      </w:r>
    </w:p>
    <w:p w14:paraId="1329242D" w14:textId="77777777" w:rsidR="00392FDA" w:rsidRPr="00EA4C9B" w:rsidRDefault="00392FDA" w:rsidP="00392FDA">
      <w:r w:rsidRPr="00EA4C9B">
        <w:t xml:space="preserve">The </w:t>
      </w:r>
      <w:r w:rsidRPr="00EA4C9B">
        <w:rPr>
          <w:b/>
          <w:bCs/>
        </w:rPr>
        <w:t>fees for extracted minerals and mining</w:t>
      </w:r>
      <w:r w:rsidRPr="00EA4C9B">
        <w:t xml:space="preserve"> were introduced in 1988 under the Mining Act (44/1988)</w:t>
      </w:r>
      <w:r w:rsidRPr="00EA4C9B">
        <w:rPr>
          <w:rStyle w:val="FootnoteReference"/>
        </w:rPr>
        <w:footnoteReference w:id="217"/>
      </w:r>
      <w:r w:rsidRPr="00EA4C9B">
        <w:t xml:space="preserve"> and are currently regulated by the Act amending the Mining Act (89/2016)</w:t>
      </w:r>
      <w:r w:rsidRPr="00EA4C9B">
        <w:rPr>
          <w:rStyle w:val="FootnoteReference"/>
        </w:rPr>
        <w:footnoteReference w:id="218"/>
      </w:r>
      <w:r w:rsidRPr="00EA4C9B">
        <w:t xml:space="preserve">. Two separate charges apply: one on the mining area, and one on the extracted minerals.  </w:t>
      </w:r>
    </w:p>
    <w:p w14:paraId="2C5D9975" w14:textId="77777777" w:rsidR="00392FDA" w:rsidRPr="00EA4C9B" w:rsidRDefault="00392FDA" w:rsidP="00392FDA">
      <w:r w:rsidRPr="00EA4C9B">
        <w:t>The mining area fee is levied on organisations holding a designated mining area. The tax base is the surface area of the mining site, measured in hectares, as determined nationally. The rate is also set centrally, with a higher charge applied when mining activities, such as preparation, opening and extraction, of exclusive deposits are permitted. Revenue from this fee is allocated to the municipality in which the mining area is located. If the site spans multiple municipalities, revenue is distributed proportionally according to surface area.</w:t>
      </w:r>
    </w:p>
    <w:p w14:paraId="1DD4DF71" w14:textId="77777777" w:rsidR="00392FDA" w:rsidRPr="00EA4C9B" w:rsidRDefault="00392FDA" w:rsidP="00392FDA">
      <w:r w:rsidRPr="00EA4C9B">
        <w:t xml:space="preserve">The fee on extracted minerals is levied on the holders of mining areas, organisations acquiring minerals during authorised exploration, and individuals or entities engaged in unauthorised extraction </w:t>
      </w:r>
      <w:r w:rsidRPr="00EA4C9B">
        <w:lastRenderedPageBreak/>
        <w:t>of reserved minerals. The tax base is the quantity of extracted minerals, with rates set nationally at up to 10 % of the market price per unit of material. Rates may be adjusted in line with market price trends over a five-year period. This fee applies uniformly nationwide. If the extraction occurs across municipal boundaries and the precise location cannot be determined, revenue is distributed proportionally by surface area. The majority of proceeds go to the state budget, with a smaller share allocated to the municipality in which the extraction took place. The specific distribution percentages vary by mineral type.</w:t>
      </w:r>
    </w:p>
    <w:p w14:paraId="0A8CC5E6" w14:textId="77777777" w:rsidR="00392FDA" w:rsidRPr="00EA4C9B" w:rsidRDefault="00392FDA" w:rsidP="00392FDA">
      <w:r w:rsidRPr="00EA4C9B">
        <w:t xml:space="preserve">The </w:t>
      </w:r>
      <w:r w:rsidRPr="00EA4C9B">
        <w:rPr>
          <w:b/>
          <w:bCs/>
        </w:rPr>
        <w:t>fee on registration and recording of packaging</w:t>
      </w:r>
      <w:r w:rsidRPr="00EA4C9B">
        <w:t xml:space="preserve"> was introduced in 2002 and is currently regulated by the amended Packaging Act (545/2020)</w:t>
      </w:r>
      <w:r w:rsidRPr="00EA4C9B">
        <w:rPr>
          <w:rStyle w:val="FootnoteReference"/>
        </w:rPr>
        <w:footnoteReference w:id="219"/>
      </w:r>
      <w:r w:rsidRPr="00EA4C9B">
        <w:t>. It applies to entities that place packaging or packaged products on the market or into circulation. The fee only applies to those with an annual turnover exceeding CZK 25 million and who handle at least 300 kg of packaging per year. The rates are fixed. The fee is applied nationally, with no regional variation. The revenue is earmarked for the State Environmental Fund.</w:t>
      </w:r>
    </w:p>
    <w:p w14:paraId="5590C5D8" w14:textId="77777777" w:rsidR="00392FDA" w:rsidRPr="00EA4C9B" w:rsidRDefault="00392FDA" w:rsidP="00392FDA">
      <w:r w:rsidRPr="00EA4C9B">
        <w:t xml:space="preserve">The </w:t>
      </w:r>
      <w:r w:rsidRPr="00EA4C9B">
        <w:rPr>
          <w:b/>
          <w:bCs/>
        </w:rPr>
        <w:t>fee for the disposal of waste in a landfill</w:t>
      </w:r>
      <w:r w:rsidRPr="00EA4C9B">
        <w:t xml:space="preserve"> was introduced in 1992 and is currently regulated by the Waste Act (541/2020)</w:t>
      </w:r>
      <w:r w:rsidRPr="00EA4C9B">
        <w:rPr>
          <w:rStyle w:val="FootnoteReference"/>
        </w:rPr>
        <w:footnoteReference w:id="220"/>
      </w:r>
      <w:r w:rsidRPr="00EA4C9B">
        <w:t>. The tax base is defined as the weight of municipal waste deposited in landfills, measured in tonnes. Taxpayers are households and businesses depositing waste; however, the landfill operator is responsible for collecting the fee from the taxpayer and transferring it to the relevant authority. Different tax rates apply depending on the type of waste, including recoverable waste, residual waste, hazardous waste, selected technological waste, and remediation waste. An exemption is granted for waste landfilled in response to emergency situations under the Crisis Act (240/2000)</w:t>
      </w:r>
      <w:r w:rsidRPr="00EA4C9B">
        <w:rPr>
          <w:rStyle w:val="FootnoteReference"/>
        </w:rPr>
        <w:footnoteReference w:id="221"/>
      </w:r>
      <w:r w:rsidRPr="00EA4C9B">
        <w:t>. The tax is applied nationally, without regional variation. Revenue is shared between the State Environmental Fund and the municipality where the landfill is located.</w:t>
      </w:r>
    </w:p>
    <w:p w14:paraId="2E02DFA3" w14:textId="77777777" w:rsidR="00392FDA" w:rsidRPr="00EA4C9B" w:rsidRDefault="00392FDA" w:rsidP="00392FDA">
      <w:r w:rsidRPr="00EA4C9B">
        <w:t xml:space="preserve">The </w:t>
      </w:r>
      <w:r w:rsidRPr="00EA4C9B">
        <w:rPr>
          <w:b/>
          <w:bCs/>
        </w:rPr>
        <w:t>duty on ozone depleting chemicals</w:t>
      </w:r>
      <w:r w:rsidRPr="00EA4C9B">
        <w:t xml:space="preserve"> was introduced in 1993 to support chemical management and is currently regulated by the Law on Substances that Deplete the Ozone Layer and on Fluorinated Greenhouse Gases (73/2012)</w:t>
      </w:r>
      <w:r w:rsidRPr="00EA4C9B">
        <w:rPr>
          <w:rStyle w:val="FootnoteReference"/>
        </w:rPr>
        <w:footnoteReference w:id="222"/>
      </w:r>
      <w:r w:rsidRPr="00EA4C9B">
        <w:t>. The duty is levied on firms that manufacture or produce products or services involving these substances. The tax base is the weight of ozone-depleting substances, and is charged per kilogram. Rates and classifications are set nationally, with no regional variation. Revenue is earmarked for the State Environmental Fund and specifically allocated to measures for ozone layer protection.</w:t>
      </w:r>
    </w:p>
    <w:p w14:paraId="3F4A46D5" w14:textId="77777777" w:rsidR="00392FDA" w:rsidRPr="00EA4C9B" w:rsidRDefault="00392FDA" w:rsidP="00392FDA">
      <w:r w:rsidRPr="00EA4C9B">
        <w:t xml:space="preserve">In Czechia, there is a </w:t>
      </w:r>
      <w:r w:rsidRPr="00EA4C9B">
        <w:rPr>
          <w:b/>
          <w:bCs/>
        </w:rPr>
        <w:t>charge for the abstraction of groundwater,</w:t>
      </w:r>
      <w:r w:rsidRPr="00EA4C9B">
        <w:t xml:space="preserve"> established to support management of water resources. The tax base is volume of underground water abstraction for drinking water supply and for other purposes.</w:t>
      </w:r>
    </w:p>
    <w:p w14:paraId="1F8C3252" w14:textId="77777777" w:rsidR="00392FDA" w:rsidRPr="00EA4C9B" w:rsidRDefault="00392FDA" w:rsidP="00392FDA">
      <w:r w:rsidRPr="00EA4C9B">
        <w:t>A plastic bag charge was introduced in 2018. Plastic carrier bags with a thickness of less than 15 μm are exempt</w:t>
      </w:r>
      <w:r w:rsidRPr="00EA4C9B">
        <w:rPr>
          <w:rStyle w:val="FootnoteReference"/>
        </w:rPr>
        <w:footnoteReference w:id="223"/>
      </w:r>
      <w:r w:rsidRPr="00EA4C9B">
        <w:t xml:space="preserve">. </w:t>
      </w:r>
    </w:p>
    <w:p w14:paraId="60733E91" w14:textId="77777777" w:rsidR="00392FDA" w:rsidRPr="00EA4C9B" w:rsidRDefault="00392FDA" w:rsidP="00392FDA">
      <w:r w:rsidRPr="00EA4C9B">
        <w:t xml:space="preserve">In addition to the environmental taxes identified above, Czechia implements other fees related to the use of the environment. </w:t>
      </w:r>
      <w:r w:rsidRPr="00EA4C9B">
        <w:rPr>
          <w:b/>
          <w:bCs/>
        </w:rPr>
        <w:t xml:space="preserve">Permits, </w:t>
      </w:r>
      <w:r w:rsidRPr="00EA4C9B">
        <w:t>also referred to as licences and qualifications, are required for activities such as hunting and fishing</w:t>
      </w:r>
      <w:r w:rsidRPr="00EA4C9B">
        <w:rPr>
          <w:rStyle w:val="FootnoteReference"/>
        </w:rPr>
        <w:footnoteReference w:id="224"/>
      </w:r>
      <w:r w:rsidRPr="00EA4C9B">
        <w:t xml:space="preserve">. While licenses and permits may reduce environmental harm by limiting access, these fees do not qualify as environmental taxes as they can be considered to be </w:t>
      </w:r>
      <w:r w:rsidRPr="00EA4C9B">
        <w:lastRenderedPageBreak/>
        <w:t>paid in exchange</w:t>
      </w:r>
      <w:r w:rsidRPr="00EA4C9B">
        <w:rPr>
          <w:b/>
          <w:bCs/>
        </w:rPr>
        <w:t xml:space="preserve"> </w:t>
      </w:r>
      <w:r w:rsidRPr="00EA4C9B">
        <w:t>for a right or service and are not directly related to the level</w:t>
      </w:r>
      <w:r w:rsidRPr="00EA4C9B">
        <w:rPr>
          <w:b/>
          <w:bCs/>
        </w:rPr>
        <w:t xml:space="preserve"> of environmental harm</w:t>
      </w:r>
      <w:r w:rsidRPr="00EA4C9B">
        <w:t xml:space="preserve"> (pollution, resource extraction). </w:t>
      </w:r>
    </w:p>
    <w:p w14:paraId="40342528" w14:textId="77777777" w:rsidR="00392FDA" w:rsidRPr="00EA4C9B" w:rsidRDefault="00392FDA" w:rsidP="00392FDA">
      <w:r w:rsidRPr="00EA4C9B">
        <w:t xml:space="preserve">Czechia levies </w:t>
      </w:r>
      <w:r w:rsidRPr="00EA4C9B">
        <w:rPr>
          <w:b/>
          <w:bCs/>
        </w:rPr>
        <w:t>tourist taxes;</w:t>
      </w:r>
      <w:r w:rsidRPr="00EA4C9B">
        <w:t xml:space="preserve"> however, they are not classified as environmental taxes as they are not directly linked to environmental concerns. </w:t>
      </w:r>
      <w:r w:rsidRPr="00EA4C9B">
        <w:rPr>
          <w:b/>
          <w:bCs/>
        </w:rPr>
        <w:t xml:space="preserve">The Local accommodation fee, also called city or tourist tax, </w:t>
      </w:r>
      <w:r w:rsidRPr="00EA4C9B">
        <w:t>has been in force since before 1995, according to the National Tax List. It is regulated by the Act of the Czech National Council on Local Fees (565/1990)</w:t>
      </w:r>
      <w:r w:rsidRPr="00EA4C9B">
        <w:rPr>
          <w:rStyle w:val="FootnoteReference"/>
        </w:rPr>
        <w:footnoteReference w:id="225"/>
      </w:r>
      <w:r w:rsidRPr="00EA4C9B">
        <w:t xml:space="preserve"> as amended by Decree No. 18/2019. This tax is unrequited and applies to individuals staying in spa places or in areas of concentrated tourism for treatment of recreational purposes. Accommodation providers are responsible for collecting the tax and paying it to the local municipality.  Revenue is used to support tourism and promote local cultural events</w:t>
      </w:r>
      <w:r w:rsidRPr="00EA4C9B">
        <w:rPr>
          <w:rStyle w:val="FootnoteReference"/>
        </w:rPr>
        <w:footnoteReference w:id="226"/>
      </w:r>
      <w:r w:rsidRPr="00EA4C9B">
        <w:t xml:space="preserve">. </w:t>
      </w:r>
    </w:p>
    <w:p w14:paraId="2B823943" w14:textId="77777777" w:rsidR="00392FDA" w:rsidRPr="00EA4C9B" w:rsidRDefault="00392FDA" w:rsidP="00392FDA">
      <w:pPr>
        <w:pStyle w:val="Heading4"/>
      </w:pPr>
      <w:r w:rsidRPr="00EA4C9B">
        <w:t>Proposed or postponed environmental taxes</w:t>
      </w:r>
    </w:p>
    <w:p w14:paraId="3DDB8EFD" w14:textId="77777777" w:rsidR="00392FDA" w:rsidRPr="00EA4C9B" w:rsidRDefault="00392FDA" w:rsidP="00392FDA">
      <w:r w:rsidRPr="00EA4C9B">
        <w:t xml:space="preserve">Czechia has </w:t>
      </w:r>
      <w:r w:rsidRPr="00EA4C9B">
        <w:rPr>
          <w:b/>
          <w:bCs/>
        </w:rPr>
        <w:t>postponed an increase in landfill tax rates</w:t>
      </w:r>
      <w:r w:rsidRPr="00EA4C9B">
        <w:t>. The landfill tax has been in place since 1992, with the basic rate for municipal waste set at CZK 500 (approximately EUR 20) per tonne since 2009. Under the new Waste Act, in force since January 2021, and in line with the Waste Management Plan 2015-2024, the rate was expected to increase gradually from 2021. However, this increase has been deferred until 2019 (Early Warning Profile, p. 11).</w:t>
      </w:r>
    </w:p>
    <w:p w14:paraId="2B095CF9" w14:textId="77777777" w:rsidR="00392FDA" w:rsidRPr="00EA4C9B" w:rsidRDefault="00392FDA" w:rsidP="00392FDA">
      <w:pPr>
        <w:rPr>
          <w:b/>
          <w:bCs/>
          <w:i/>
          <w:iCs/>
        </w:rPr>
      </w:pPr>
      <w:r w:rsidRPr="00EA4C9B">
        <w:rPr>
          <w:rFonts w:ascii="Calibri" w:hAnsi="Calibri" w:cs="Calibri"/>
          <w:b/>
          <w:bCs/>
          <w:i/>
          <w:iCs/>
        </w:rPr>
        <w:t>Inconsistencies or inefficiencies in the current tax system</w:t>
      </w:r>
    </w:p>
    <w:p w14:paraId="214086DD" w14:textId="4F5C442C" w:rsidR="00392FDA" w:rsidRPr="00EA4C9B" w:rsidRDefault="00392FDA" w:rsidP="00392FDA">
      <w:r w:rsidRPr="00EA4C9B">
        <w:t xml:space="preserve">Czechia maintains several </w:t>
      </w:r>
      <w:r w:rsidRPr="00EA4C9B">
        <w:rPr>
          <w:b/>
          <w:bCs/>
        </w:rPr>
        <w:t>environmentally harmful subsid</w:t>
      </w:r>
      <w:r w:rsidR="005F54AD">
        <w:rPr>
          <w:b/>
          <w:bCs/>
        </w:rPr>
        <w:t>i</w:t>
      </w:r>
      <w:r w:rsidRPr="00EA4C9B">
        <w:rPr>
          <w:b/>
          <w:bCs/>
        </w:rPr>
        <w:t>es</w:t>
      </w:r>
      <w:r w:rsidRPr="00EA4C9B">
        <w:t>. Notably, an excise tax refund for diesel fuel used in agriculture was introduced in 2000. According to the 2022 EHS Candidate for Reform, this measure contributes to increased GHG emissions, air pollution and pressure on land and water resources</w:t>
      </w:r>
      <w:r w:rsidRPr="00EA4C9B">
        <w:rPr>
          <w:rStyle w:val="FootnoteReference"/>
        </w:rPr>
        <w:footnoteReference w:id="227"/>
      </w:r>
      <w:r w:rsidRPr="00EA4C9B">
        <w:t>. Additionally, in response to the energy crisis triggered by the war in Ukraine, the Czech government implemented temporary tax relief measures to curb fuel prices</w:t>
      </w:r>
      <w:r w:rsidRPr="00EA4C9B">
        <w:rPr>
          <w:rStyle w:val="FootnoteReference"/>
        </w:rPr>
        <w:footnoteReference w:id="228"/>
      </w:r>
      <w:r w:rsidRPr="00EA4C9B">
        <w:t xml:space="preserve">. These include the temporary reduction in excise duties on diesel and unleaded petrol between 1 June to 30 September 2022 and the abolition of road tax for vehicles (cars and trucks) weighing up to 12 tonnes. </w:t>
      </w:r>
    </w:p>
    <w:p w14:paraId="43828DEC" w14:textId="77777777" w:rsidR="00392FDA" w:rsidRPr="00EA4C9B" w:rsidRDefault="00392FDA" w:rsidP="00392FDA">
      <w:r w:rsidRPr="00EA4C9B">
        <w:t xml:space="preserve">Vehicle taxation in Czechia is differentiated by emission levels. For example, the fee supporting the collection, processing, reuse and disposal of chosen automobile wrecks is determined based on compliance with EU exhaust emission standards. </w:t>
      </w:r>
    </w:p>
    <w:p w14:paraId="028B7513" w14:textId="77777777" w:rsidR="00392FDA" w:rsidRPr="00EA4C9B" w:rsidRDefault="00392FDA" w:rsidP="00392FDA">
      <w:pPr>
        <w:shd w:val="clear" w:color="auto" w:fill="FFFFFF" w:themeFill="background1"/>
      </w:pPr>
      <w:r w:rsidRPr="00EA4C9B">
        <w:t xml:space="preserve">Despite this, </w:t>
      </w:r>
      <w:r w:rsidRPr="00EA4C9B">
        <w:rPr>
          <w:b/>
          <w:bCs/>
        </w:rPr>
        <w:t>some sectors in Czechia are considered to pay less than their environmental externalities justify</w:t>
      </w:r>
      <w:r w:rsidRPr="00EA4C9B">
        <w:t>. A 2018 OECD report recommended that the country undertake environmental tax reform to ensure that prices better reflect the environmental costs of activities, particularly GHG emissions and local air pollutants</w:t>
      </w:r>
      <w:r w:rsidRPr="00EA4C9B">
        <w:rPr>
          <w:rStyle w:val="FootnoteReference"/>
        </w:rPr>
        <w:footnoteReference w:id="229"/>
      </w:r>
      <w:r w:rsidRPr="00EA4C9B">
        <w:t xml:space="preserve">. </w:t>
      </w:r>
    </w:p>
    <w:p w14:paraId="3B170151" w14:textId="77777777" w:rsidR="00392FDA" w:rsidRPr="00EA4C9B" w:rsidRDefault="00392FDA" w:rsidP="00392FDA">
      <w:pPr>
        <w:shd w:val="clear" w:color="auto" w:fill="FFFFFF" w:themeFill="background1"/>
      </w:pPr>
      <w:r w:rsidRPr="00EA4C9B">
        <w:t xml:space="preserve">Inefficiencies are present in the tax system. For example, although the air pollution tax was reformed in 2012 and the rates increased, they remained well below the marginal cost of abatement and did </w:t>
      </w:r>
      <w:r w:rsidRPr="00EA4C9B">
        <w:lastRenderedPageBreak/>
        <w:t>not lead to significant behavioural change motivated emission reduction (Kiula, 2014)</w:t>
      </w:r>
      <w:r w:rsidRPr="00EA4C9B">
        <w:rPr>
          <w:rStyle w:val="FootnoteReference"/>
        </w:rPr>
        <w:footnoteReference w:id="230"/>
      </w:r>
      <w:r w:rsidRPr="00EA4C9B">
        <w:t>. Further, research by Juřík and Braathen (2021) found that the air pollution tax rates in Czechia do not reflect the true environmental and social damage costs. While narrowing the tax base to major pollutants (TSP, SO₂, NOₓ, and NMVOCs) has reduced administrative burdens, the tax’s incentive and revenue-generating functions remain limited.</w:t>
      </w:r>
    </w:p>
    <w:p w14:paraId="7C9A48BB" w14:textId="77777777" w:rsidR="00392FDA" w:rsidRPr="00EA4C9B" w:rsidRDefault="00392FDA" w:rsidP="00392FDA">
      <w:pPr>
        <w:pStyle w:val="Heading4"/>
      </w:pPr>
      <w:r w:rsidRPr="00EA4C9B">
        <w:t>Conclusions, country-specific recommendations and reform progress</w:t>
      </w:r>
    </w:p>
    <w:p w14:paraId="45E529A4" w14:textId="1B06DBC1" w:rsidR="00392FDA" w:rsidRPr="00EA4C9B" w:rsidRDefault="00392FDA" w:rsidP="00392FDA">
      <w:pPr>
        <w:rPr>
          <w:i/>
          <w:iCs/>
        </w:rPr>
      </w:pPr>
      <w:r w:rsidRPr="00EA4C9B">
        <w:t>Czechia’s overall tax revenue is relatively low as a share of GDP, reflecting a suboptimal tax mix. This has been further exacerbated by a significant personal income tax cut implemented in 2021. The majority of tax revenue is derived from labour, largely due to relatively high social contributions</w:t>
      </w:r>
      <w:r w:rsidRPr="00EA4C9B">
        <w:rPr>
          <w:vertAlign w:val="superscript"/>
        </w:rPr>
        <w:footnoteReference w:id="231"/>
      </w:r>
      <w:r w:rsidRPr="00EA4C9B">
        <w:rPr>
          <w:i/>
          <w:iCs/>
        </w:rPr>
        <w:t xml:space="preserve">. </w:t>
      </w:r>
      <w:r w:rsidRPr="00EA4C9B">
        <w:t xml:space="preserve">The 2021 CSR recommended Czechia </w:t>
      </w:r>
      <w:r w:rsidRPr="00EA4C9B">
        <w:rPr>
          <w:i/>
          <w:iCs/>
        </w:rPr>
        <w:t>“Reduce the high level of taxation on labour, particularly for low‐income earners. Shift taxation to areas less detrimental to growth, such as recurrent taxes on housing and environmental taxes.”</w:t>
      </w:r>
      <w:r w:rsidRPr="00EA4C9B">
        <w:t xml:space="preserve"> Despite this, revenue from environmental taxes in Czechia is below the EU average</w:t>
      </w:r>
      <w:r w:rsidRPr="00EA4C9B">
        <w:rPr>
          <w:vertAlign w:val="superscript"/>
        </w:rPr>
        <w:footnoteReference w:id="232"/>
      </w:r>
      <w:r w:rsidRPr="00EA4C9B">
        <w:t>,</w:t>
      </w:r>
      <w:r w:rsidRPr="00EA4C9B">
        <w:rPr>
          <w:vertAlign w:val="superscript"/>
        </w:rPr>
        <w:footnoteReference w:id="233"/>
      </w:r>
      <w:r w:rsidRPr="00EA4C9B">
        <w:t>.  Czechia’s environmental situation has improved markedly since the 1990s, when the system of environmental taxes and charges was introduced. The primary objective of these instruments was to discourage environmentally harmful behaviour, promote more efficient use of natural resources, and to generate earmarked revenue for non-budgetary funds. However, because these funds are managed directly by administering authorities (such as the State Environmental Fund) or regional governments, rather than being channelled through the central state budget via parliamentary processes, there is often a clear interest in maintaining steady revenue flows, but not necessarily to increase rates with a view to driving behavioural change</w:t>
      </w:r>
      <w:r w:rsidRPr="00EA4C9B">
        <w:rPr>
          <w:i/>
          <w:iCs/>
          <w:vertAlign w:val="superscript"/>
        </w:rPr>
        <w:footnoteReference w:id="234"/>
      </w:r>
      <w:r w:rsidRPr="00EA4C9B">
        <w:rPr>
          <w:i/>
          <w:iCs/>
        </w:rPr>
        <w:t>.</w:t>
      </w:r>
    </w:p>
    <w:p w14:paraId="037B4E3A" w14:textId="77777777" w:rsidR="00392FDA" w:rsidRPr="00EA4C9B" w:rsidRDefault="00392FDA" w:rsidP="00392FDA">
      <w:r w:rsidRPr="00EA4C9B">
        <w:t>The OECD Environmental Performance Review of the Czech Republic highlighted that, despite limited natural resources and growth above the OECD average, the country has successfully decoupled several environmental pressures from its economic growth and improved its environmental infrastructure. Czechia also reaffirmed its commitment to sustainable development, setting clear priorities for the 2030 Agenda. Compared to the OECD average, it performs well on the SDGs related to poverty, water and biodiversity. Nonetheless, the economy remains energy and carbon intensive, due in part to its reliance on coal and a large industrial sector. Air pollution continues to pose a serious public health concern. The review issued 46 recommendations to support the greening of Czechia’s economy and strengthen environmental governance and management</w:t>
      </w:r>
      <w:r w:rsidRPr="00EA4C9B">
        <w:rPr>
          <w:rStyle w:val="FootnoteReference"/>
        </w:rPr>
        <w:footnoteReference w:id="235"/>
      </w:r>
      <w:r w:rsidRPr="00EA4C9B">
        <w:t xml:space="preserve">. It also noted the delayed implementation of a carbon tax and relatively low rates applied to air pollution. In addition, the OECD identified potential for reviewing other environmentally related taxes and charges. These recommendations are broadly consistent with other studies of Czechia’s environmental tax system and aim to reduce </w:t>
      </w:r>
      <w:r w:rsidRPr="00EA4C9B">
        <w:lastRenderedPageBreak/>
        <w:t xml:space="preserve">negative externalities. (See Section A1.1.3. for details on specific tax instruments and associated impacts).  </w:t>
      </w:r>
    </w:p>
    <w:p w14:paraId="2C74ABC9" w14:textId="77777777" w:rsidR="00392FDA" w:rsidRPr="00EA4C9B" w:rsidRDefault="00392FDA" w:rsidP="00392FDA">
      <w:r w:rsidRPr="00EA4C9B">
        <w:t>In 2023, pollution tax revenues accounted for just 0.7% of the total environmental tax revenues, despite their central role in applying the ‘</w:t>
      </w:r>
      <w:r w:rsidRPr="00EA4C9B">
        <w:rPr>
          <w:b/>
          <w:bCs/>
        </w:rPr>
        <w:t>polluter pays’</w:t>
      </w:r>
      <w:r w:rsidRPr="00EA4C9B">
        <w:t xml:space="preserve"> principle. Czechia has introduced three of the six main types of pollution and resource taxes, taxes on NOx emissions, waste landfilling, and discharge of waste into water</w:t>
      </w:r>
      <w:r w:rsidRPr="00EA4C9B">
        <w:rPr>
          <w:i/>
          <w:iCs/>
          <w:vertAlign w:val="superscript"/>
        </w:rPr>
        <w:t xml:space="preserve"> </w:t>
      </w:r>
      <w:r w:rsidRPr="00EA4C9B">
        <w:rPr>
          <w:i/>
          <w:iCs/>
          <w:vertAlign w:val="superscript"/>
        </w:rPr>
        <w:footnoteReference w:id="236"/>
      </w:r>
      <w:r w:rsidRPr="00EA4C9B">
        <w:rPr>
          <w:i/>
          <w:iCs/>
        </w:rPr>
        <w:t xml:space="preserve">. </w:t>
      </w:r>
      <w:r w:rsidRPr="00EA4C9B">
        <w:t>The polluter pays principle could be strengthened with respect to waste. In a 2021 paper outlining proposals for a circular economy in Czechia, the OECD noted the need to recover more materials from various waste streams to reduce landfilling and promote the use of secondary raw materials. With respect to environmental taxation, the report recommended increasing landfill tax rates and introducing a complementary incineration tax</w:t>
      </w:r>
      <w:r w:rsidRPr="00EA4C9B">
        <w:rPr>
          <w:rStyle w:val="FootnoteReference"/>
        </w:rPr>
        <w:footnoteReference w:id="237"/>
      </w:r>
      <w:r w:rsidRPr="00EA4C9B">
        <w:t xml:space="preserve">. </w:t>
      </w:r>
    </w:p>
    <w:p w14:paraId="12EF1803" w14:textId="77777777" w:rsidR="00392FDA" w:rsidRPr="00EA4C9B" w:rsidRDefault="00392FDA" w:rsidP="00392FDA">
      <w:r w:rsidRPr="00EA4C9B">
        <w:t>There could be potential to strengthen the application of the ‘polluter pays’ principle</w:t>
      </w:r>
      <w:r w:rsidRPr="00EA4C9B">
        <w:rPr>
          <w:i/>
          <w:iCs/>
          <w:vertAlign w:val="superscript"/>
        </w:rPr>
        <w:footnoteReference w:id="238"/>
      </w:r>
      <w:r w:rsidRPr="00EA4C9B">
        <w:t>. Other environmental fees, such as the air and water pollution charges are also aligned with the polluter pays principle, but there remains scope to strengthen their design and impact</w:t>
      </w:r>
      <w:r w:rsidRPr="00EA4C9B">
        <w:rPr>
          <w:rStyle w:val="FootnoteReference"/>
        </w:rPr>
        <w:footnoteReference w:id="239"/>
      </w:r>
      <w:r w:rsidRPr="00EA4C9B">
        <w:t xml:space="preserve">. </w:t>
      </w:r>
    </w:p>
    <w:p w14:paraId="7978E455" w14:textId="08CA29A0" w:rsidR="00392FDA" w:rsidRPr="00EA4C9B" w:rsidRDefault="00392FDA" w:rsidP="00392FDA">
      <w:r w:rsidRPr="00EA4C9B">
        <w:t>While landfill tax rates have increased, they remain below the EU average</w:t>
      </w:r>
      <w:r w:rsidRPr="00EA4C9B">
        <w:rPr>
          <w:rStyle w:val="FootnoteReference"/>
        </w:rPr>
        <w:footnoteReference w:id="240"/>
      </w:r>
      <w:r w:rsidRPr="00EA4C9B">
        <w:t>. Further increased are planned from 2029. More broadly, Czechia has adopted a national circular economy strategy, Circular Czechia 2040, which recognises taxation as a key tool for transitioning to a circular economy</w:t>
      </w:r>
      <w:r w:rsidRPr="00EA4C9B">
        <w:rPr>
          <w:rStyle w:val="FootnoteReference"/>
        </w:rPr>
        <w:footnoteReference w:id="241"/>
      </w:r>
      <w:r w:rsidRPr="00EA4C9B">
        <w:t>. The first action plan (2022–2027), adopted in June 2023</w:t>
      </w:r>
      <w:r w:rsidRPr="00EA4C9B">
        <w:rPr>
          <w:rStyle w:val="FootnoteReference"/>
        </w:rPr>
        <w:footnoteReference w:id="242"/>
      </w:r>
      <w:r w:rsidRPr="00EA4C9B">
        <w:t>, outlines actions for furthering environmental tax reforms, including: increasing landfill fees, exploring the possibilities of introducing taxes on products based on their recyclability and single-use plastics (if the eco-modulation tool is not effective enough), examining the potential for a fertiliser tax in order to internalise the externalities linked to their production and use, and evaluating the possibilities and impacts of a fee on waste incineration to promote recycling</w:t>
      </w:r>
      <w:r w:rsidRPr="00EA4C9B">
        <w:rPr>
          <w:rStyle w:val="FootnoteReference"/>
        </w:rPr>
        <w:footnoteReference w:id="243"/>
      </w:r>
      <w:r w:rsidRPr="00EA4C9B">
        <w:t>.</w:t>
      </w:r>
    </w:p>
    <w:p w14:paraId="2DDC8864" w14:textId="77777777" w:rsidR="00392FDA" w:rsidRPr="00EA4C9B" w:rsidRDefault="00392FDA" w:rsidP="00392FDA">
      <w:r w:rsidRPr="00EA4C9B">
        <w:t>Czechia’s system of environmental taxes and charges is complex, and the administrative cost of managing them can be high, sometimes exceeding the revenue generated</w:t>
      </w:r>
      <w:r w:rsidRPr="00EA4C9B">
        <w:rPr>
          <w:i/>
          <w:iCs/>
          <w:vertAlign w:val="superscript"/>
        </w:rPr>
        <w:footnoteReference w:id="244"/>
      </w:r>
      <w:r w:rsidRPr="00EA4C9B">
        <w:t xml:space="preserve">. For example, prior to 2012, the cost of administering air pollution charges from medium-sized sources amounted to 137 % of the revenues collected. Following reforms introduced by the Air Protection Act (No. 201/2012 Coll.), the system was strengthened and its effectiveness improved; the decision to tax only the main pollutants (TSPs, SO2, NOx and NMVOCs) and to narrow the tax base to the listed activities led to a significant improvement in the administrative and compliance costs to revenues ratio. This has changed from about 15% of revenues to 5% (approx. €576,000) (Juřík &amp; Braathen, 2021). Although </w:t>
      </w:r>
      <w:r w:rsidRPr="00EA4C9B">
        <w:lastRenderedPageBreak/>
        <w:t>emissions have continued to decline since then, the extent to which this can be attributed to the air pollution fee, as opposed to technological developments, remains unclear</w:t>
      </w:r>
      <w:r w:rsidRPr="00EA4C9B">
        <w:rPr>
          <w:rStyle w:val="FootnoteReference"/>
        </w:rPr>
        <w:footnoteReference w:id="245"/>
      </w:r>
      <w:r w:rsidRPr="00EA4C9B">
        <w:t xml:space="preserve">. </w:t>
      </w:r>
    </w:p>
    <w:p w14:paraId="00693362" w14:textId="77777777" w:rsidR="00392FDA" w:rsidRPr="00EA4C9B" w:rsidRDefault="00392FDA" w:rsidP="007C4EB7">
      <w:pPr>
        <w:pStyle w:val="AnnexHeading2"/>
      </w:pPr>
      <w:bookmarkStart w:id="151" w:name="_Toc214008856"/>
      <w:r w:rsidRPr="00EA4C9B">
        <w:t>Potential for new environmental taxes</w:t>
      </w:r>
      <w:bookmarkEnd w:id="151"/>
    </w:p>
    <w:p w14:paraId="5EE4DBEA" w14:textId="77777777" w:rsidR="00392FDA" w:rsidRPr="00EA4C9B" w:rsidRDefault="00392FDA" w:rsidP="00392FDA">
      <w:r w:rsidRPr="00EA4C9B">
        <w:t>The 2018 OECD Environmental Performance Review recommended that Czechia implement an environmental tax reform to better internalise environmental externalities, including greenhouse gas emissions and local air pollutants</w:t>
      </w:r>
      <w:r w:rsidRPr="00EA4C9B">
        <w:rPr>
          <w:rStyle w:val="FootnoteReference"/>
        </w:rPr>
        <w:footnoteReference w:id="246"/>
      </w:r>
      <w:r w:rsidRPr="00EA4C9B">
        <w:t>. Key recommendations included:</w:t>
      </w:r>
    </w:p>
    <w:p w14:paraId="0CD58B63" w14:textId="77777777" w:rsidR="00392FDA" w:rsidRPr="00EA4C9B" w:rsidRDefault="00392FDA" w:rsidP="00D12D7A">
      <w:pPr>
        <w:pStyle w:val="Bulletlist"/>
      </w:pPr>
      <w:r w:rsidRPr="00EA4C9B">
        <w:t>Introducing a carbon component in energy taxation, raising the excise tax on diesel to at least match that on petrol, and indexing both to inflation. It also recommended that part of the revenue from higher taxes on heating fuels and electricity be redistributed to vulnerable households via income-tested transfers.</w:t>
      </w:r>
    </w:p>
    <w:p w14:paraId="7750FBA0" w14:textId="7B1A63C5" w:rsidR="00392FDA" w:rsidRPr="00EA4C9B" w:rsidRDefault="00392FDA" w:rsidP="00D12D7A">
      <w:pPr>
        <w:pStyle w:val="Bulletlist"/>
      </w:pPr>
      <w:r w:rsidRPr="00EA4C9B">
        <w:t>Further transport-related reforms included extending distance-based road charging, linking road tolls to vehicle emission standards, broadening the annual road tax to cover all vehicles (not only business-owned), and adjusting rates according to fuel efficiency and pollution performance. Harmonising registration taxes for new and used vehicles, tightening environmental criteria, and implementing low-emission zones—as planned under the Air Protection Act—were also advised.</w:t>
      </w:r>
    </w:p>
    <w:p w14:paraId="78D21ED6" w14:textId="77777777" w:rsidR="00392FDA" w:rsidRPr="00EA4C9B" w:rsidRDefault="00392FDA" w:rsidP="00D12D7A">
      <w:pPr>
        <w:pStyle w:val="Bulletlist"/>
      </w:pPr>
      <w:r w:rsidRPr="00EA4C9B">
        <w:t>To strengthen the environmental effectiveness of fiscal policy, the OECD suggested removing harmful exemptions from energy and vehicle taxes and called for the establishment of a green tax commission to review environmentally relevant subsidies and prioritise their phase-out.</w:t>
      </w:r>
    </w:p>
    <w:p w14:paraId="2FF5DF5F" w14:textId="77777777" w:rsidR="00392FDA" w:rsidRPr="00EA4C9B" w:rsidRDefault="00392FDA" w:rsidP="00392FDA">
      <w:r w:rsidRPr="00EA4C9B">
        <w:rPr>
          <w:b/>
          <w:bCs/>
        </w:rPr>
        <w:t xml:space="preserve">Czechia does not currently levy several environmental taxes that are in place in other Member States. </w:t>
      </w:r>
      <w:r w:rsidRPr="00EA4C9B">
        <w:t>As of</w:t>
      </w:r>
      <w:r w:rsidRPr="00EA4C9B">
        <w:rPr>
          <w:b/>
          <w:bCs/>
        </w:rPr>
        <w:t xml:space="preserve"> </w:t>
      </w:r>
      <w:r w:rsidRPr="00EA4C9B">
        <w:t>2024, there were no finalised plans to introduce a national plastic tax to fund the payment of its plastic levy obligation</w:t>
      </w:r>
      <w:r w:rsidRPr="00EA4C9B">
        <w:rPr>
          <w:rStyle w:val="FootnoteReference"/>
        </w:rPr>
        <w:footnoteReference w:id="247"/>
      </w:r>
      <w:r w:rsidRPr="00EA4C9B">
        <w:t>. However, Extended Producer Responsibility (EPR) systems are in place for packaging, batteries, WEEE, tyres, and solar panels</w:t>
      </w:r>
      <w:r w:rsidRPr="00EA4C9B">
        <w:rPr>
          <w:rStyle w:val="FootnoteReference"/>
        </w:rPr>
        <w:footnoteReference w:id="248"/>
      </w:r>
      <w:r w:rsidRPr="00EA4C9B">
        <w:t>. These systems are overseen by the Ministry of the Environment, which sets legislative targets. For packaging waste, the Producer Responsibility Organization (PRO) EKO-KOM manages collection and recovery obligations on behalf of market operators (Ministry of the Environment, 2021).</w:t>
      </w:r>
    </w:p>
    <w:p w14:paraId="0686FB15" w14:textId="77777777" w:rsidR="00392FDA" w:rsidRPr="00EA4C9B" w:rsidRDefault="00392FDA" w:rsidP="00392FDA">
      <w:r w:rsidRPr="00EA4C9B">
        <w:t xml:space="preserve">Czechia does apply stamp </w:t>
      </w:r>
      <w:r w:rsidRPr="00EA4C9B">
        <w:rPr>
          <w:b/>
          <w:bCs/>
        </w:rPr>
        <w:t>duties, fees or any other taxes on aircraft</w:t>
      </w:r>
      <w:r w:rsidRPr="00EA4C9B">
        <w:t xml:space="preserve"> transaction documents, aside from minor administrative registration fees</w:t>
      </w:r>
      <w:r w:rsidRPr="00EA4C9B">
        <w:rPr>
          <w:rStyle w:val="FootnoteReference"/>
        </w:rPr>
        <w:footnoteReference w:id="249"/>
      </w:r>
      <w:r w:rsidRPr="00EA4C9B">
        <w:t>.</w:t>
      </w:r>
    </w:p>
    <w:p w14:paraId="035B179E" w14:textId="77777777" w:rsidR="00392FDA" w:rsidRPr="00EA4C9B" w:rsidRDefault="00392FDA" w:rsidP="00A86C41">
      <w:pPr>
        <w:pStyle w:val="Heading4"/>
      </w:pPr>
      <w:r w:rsidRPr="00EA4C9B">
        <w:t>Recommended reforms and introduction of new taxes</w:t>
      </w:r>
    </w:p>
    <w:p w14:paraId="58A5CAB5" w14:textId="310B364C" w:rsidR="00392FDA" w:rsidRPr="00EA4C9B" w:rsidRDefault="00392FDA" w:rsidP="00392FDA">
      <w:r w:rsidRPr="00EA4C9B">
        <w:t xml:space="preserve">In terms of pollution and resource tax reform, several studies have proposed reforms to existing taxes and the introduction of new taxes in Czechia. With respect to </w:t>
      </w:r>
      <w:r w:rsidRPr="00EA4C9B">
        <w:rPr>
          <w:b/>
          <w:bCs/>
        </w:rPr>
        <w:t>resource taxes</w:t>
      </w:r>
      <w:r w:rsidRPr="00EA4C9B">
        <w:t xml:space="preserve">, in its 2018 review, the OECD recommended </w:t>
      </w:r>
      <w:r w:rsidRPr="00EA4C9B">
        <w:rPr>
          <w:b/>
          <w:bCs/>
        </w:rPr>
        <w:t>increasing water charges (such as abstraction)</w:t>
      </w:r>
      <w:r w:rsidRPr="00EA4C9B">
        <w:t xml:space="preserve"> to better reflect both service provision costs and resource scarcity. It also advised removing exemptions that weaken incentives for efficient water use</w:t>
      </w:r>
      <w:r w:rsidRPr="00EA4C9B">
        <w:rPr>
          <w:rStyle w:val="FootnoteReference"/>
          <w:i/>
          <w:iCs/>
        </w:rPr>
        <w:t xml:space="preserve"> </w:t>
      </w:r>
      <w:r w:rsidRPr="00EA4C9B">
        <w:rPr>
          <w:rStyle w:val="FootnoteReference"/>
          <w:i/>
          <w:iCs/>
        </w:rPr>
        <w:footnoteReference w:id="250"/>
      </w:r>
      <w:r w:rsidRPr="00EA4C9B">
        <w:t xml:space="preserve"> . This is supported by the recommendation in Ho</w:t>
      </w:r>
      <w:r w:rsidR="00C41076">
        <w:t>g</w:t>
      </w:r>
      <w:r w:rsidRPr="00EA4C9B">
        <w:t>g et al. (2016)</w:t>
      </w:r>
      <w:r w:rsidRPr="00EA4C9B">
        <w:rPr>
          <w:b/>
          <w:bCs/>
        </w:rPr>
        <w:t xml:space="preserve"> to amend the </w:t>
      </w:r>
      <w:r w:rsidRPr="00EA4C9B">
        <w:rPr>
          <w:b/>
          <w:bCs/>
        </w:rPr>
        <w:lastRenderedPageBreak/>
        <w:t xml:space="preserve">water abstraction tax: </w:t>
      </w:r>
      <w:r w:rsidRPr="00EA4C9B">
        <w:t>Increase the existing fee to a</w:t>
      </w:r>
      <w:r w:rsidRPr="00EA4C9B">
        <w:rPr>
          <w:b/>
          <w:bCs/>
        </w:rPr>
        <w:t xml:space="preserve"> </w:t>
      </w:r>
      <w:r w:rsidRPr="00EA4C9B">
        <w:t xml:space="preserve">level, for public water supply, of €190 per 1,000m3, with lower rates applied to abstraction for manufacturing purposes and for agriculture (€115 per 1,000m3 and €16 per 1,000m3 respectively). A transition period from 2016 to 2021 was suggested, whereby the rates are increased gradually from existing levels to those suggested. The rates are then held constant in real terms. The European Commission (2021) has also recommended that Czechia consider </w:t>
      </w:r>
      <w:r w:rsidR="00094D10" w:rsidRPr="00EA4C9B">
        <w:t>a water</w:t>
      </w:r>
      <w:r w:rsidRPr="00EA4C9B">
        <w:rPr>
          <w:b/>
          <w:bCs/>
        </w:rPr>
        <w:t xml:space="preserve"> consumption charge </w:t>
      </w:r>
      <w:r w:rsidRPr="00EA4C9B">
        <w:t>to strengthen the polluter pays principle</w:t>
      </w:r>
      <w:r w:rsidRPr="00EA4C9B">
        <w:rPr>
          <w:b/>
          <w:bCs/>
        </w:rPr>
        <w:t xml:space="preserve"> </w:t>
      </w:r>
      <w:r w:rsidRPr="00EA4C9B">
        <w:rPr>
          <w:rStyle w:val="FootnoteReference"/>
        </w:rPr>
        <w:footnoteReference w:id="251"/>
      </w:r>
      <w:r w:rsidRPr="00EA4C9B">
        <w:t xml:space="preserve">. </w:t>
      </w:r>
    </w:p>
    <w:p w14:paraId="6B5E7870" w14:textId="73CD02A9" w:rsidR="00392FDA" w:rsidRPr="00EA4C9B" w:rsidRDefault="00392FDA" w:rsidP="00392FDA">
      <w:r w:rsidRPr="00EA4C9B">
        <w:t>Ho</w:t>
      </w:r>
      <w:r w:rsidR="00D12D7A">
        <w:t>g</w:t>
      </w:r>
      <w:r w:rsidRPr="00EA4C9B">
        <w:t>g et al (2016) proposed the</w:t>
      </w:r>
      <w:r w:rsidRPr="00EA4C9B">
        <w:rPr>
          <w:b/>
          <w:bCs/>
        </w:rPr>
        <w:t xml:space="preserve"> introduction of an aggregates tax. </w:t>
      </w:r>
      <w:r w:rsidRPr="00EA4C9B">
        <w:t>This would entail replacing the existing mineral extraction fee with a tax set at €2.40 per tonne from 2017 and following this, keeping the rate constant in real terms</w:t>
      </w:r>
      <w:r w:rsidRPr="00EA4C9B">
        <w:rPr>
          <w:rStyle w:val="FootnoteReference"/>
        </w:rPr>
        <w:footnoteReference w:id="252"/>
      </w:r>
      <w:r w:rsidRPr="00EA4C9B">
        <w:t xml:space="preserve">. </w:t>
      </w:r>
    </w:p>
    <w:p w14:paraId="223F561A" w14:textId="74F671A7" w:rsidR="00392FDA" w:rsidRPr="00EA4C9B" w:rsidRDefault="00392FDA" w:rsidP="00392FDA">
      <w:r w:rsidRPr="00EA4C9B">
        <w:t xml:space="preserve">Recommendations for </w:t>
      </w:r>
      <w:r w:rsidRPr="00EA4C9B">
        <w:rPr>
          <w:b/>
          <w:bCs/>
        </w:rPr>
        <w:t>new pollution taxes</w:t>
      </w:r>
      <w:r w:rsidRPr="00EA4C9B">
        <w:t xml:space="preserve"> include measures targeting diffuse pollution from agriculture. The OECD (2018), European Commission (2021) and Ho</w:t>
      </w:r>
      <w:r w:rsidR="00C41076">
        <w:t>g</w:t>
      </w:r>
      <w:r w:rsidRPr="00EA4C9B">
        <w:t xml:space="preserve">g et al. (2016) recommended Czechia introduce a tax on </w:t>
      </w:r>
      <w:r w:rsidRPr="00EA4C9B">
        <w:rPr>
          <w:b/>
          <w:bCs/>
        </w:rPr>
        <w:t>fertilisers,</w:t>
      </w:r>
      <w:r w:rsidRPr="00EA4C9B">
        <w:t xml:space="preserve"> specifically nitrogen fertilisers, also strengthening the polluter pays principle</w:t>
      </w:r>
      <w:r w:rsidRPr="00EA4C9B">
        <w:rPr>
          <w:rStyle w:val="FootnoteReference"/>
        </w:rPr>
        <w:footnoteReference w:id="253"/>
      </w:r>
      <w:r w:rsidRPr="00EA4C9B">
        <w:t xml:space="preserve">. Hogg et al. modelled a nitrogen fertiliser tax starting at €0.15 per kilogram of nitrogen in 2017, increasing gradually to a maximum level by 2019. A tax on </w:t>
      </w:r>
      <w:r w:rsidRPr="00EA4C9B">
        <w:rPr>
          <w:b/>
          <w:bCs/>
        </w:rPr>
        <w:t>pesticides</w:t>
      </w:r>
      <w:r w:rsidRPr="00EA4C9B">
        <w:t xml:space="preserve"> has also been recommended by the OECD (2018) and Hoeg et al. (2016), who suggested a banded pesticide tax to reflect the level of hazard associated. Hogg et al. modelled it as though the tax is applied at a rate of €7.50 per kg active ingredient. Successful examples of both the fertiliser and pesticides tax can be drawn from other OECD countries</w:t>
      </w:r>
      <w:r w:rsidRPr="00EA4C9B">
        <w:rPr>
          <w:rStyle w:val="FootnoteReference"/>
          <w:i/>
          <w:iCs/>
        </w:rPr>
        <w:footnoteReference w:id="254"/>
      </w:r>
      <w:r w:rsidRPr="00EA4C9B">
        <w:t>.</w:t>
      </w:r>
    </w:p>
    <w:p w14:paraId="72D6EF32" w14:textId="6DBFC94D" w:rsidR="00392FDA" w:rsidRPr="00EA4C9B" w:rsidRDefault="00392FDA" w:rsidP="00392FDA">
      <w:pPr>
        <w:rPr>
          <w:b/>
          <w:bCs/>
        </w:rPr>
      </w:pPr>
      <w:r w:rsidRPr="00EA4C9B">
        <w:rPr>
          <w:b/>
          <w:bCs/>
        </w:rPr>
        <w:t>Amendments to existing pollution taxes</w:t>
      </w:r>
      <w:r w:rsidRPr="00EA4C9B">
        <w:t xml:space="preserve"> were suggested by Ho</w:t>
      </w:r>
      <w:r w:rsidR="00C41076">
        <w:t>g</w:t>
      </w:r>
      <w:r w:rsidRPr="00EA4C9B">
        <w:t xml:space="preserve">g et al (2016). The </w:t>
      </w:r>
      <w:r w:rsidRPr="00EA4C9B">
        <w:rPr>
          <w:b/>
          <w:bCs/>
        </w:rPr>
        <w:t>air pollution</w:t>
      </w:r>
      <w:r w:rsidRPr="00EA4C9B">
        <w:t xml:space="preserve"> tax rates could be increased further to generate additional incentives for abatement, and hence, improvements in air quality. The suggested tax rates are as follows: SOx €1,000 (CZK 27,521) per tonne; NOx €1,000 (CZK 27,521) per tonne; PM10 €2,000 (CZK 55,042) per tonne. Suggested amendments to the </w:t>
      </w:r>
      <w:r w:rsidRPr="00EA4C9B">
        <w:rPr>
          <w:b/>
          <w:bCs/>
        </w:rPr>
        <w:t xml:space="preserve">waste water </w:t>
      </w:r>
      <w:r w:rsidRPr="00EA4C9B">
        <w:t>tax were to: Increase the existing fee rate for BOD associated with treated waste water to €1.58 per kg BOD. Given the magnitude of the increase in rates, a transition period from 2016 to 2019 was suggested, whereby the rates are increased gradually from an introductory rate to maximum levels. Existing exemptions should be reviewed and adjusted accordingly. It is suggested that rates should be held constant in real terms once they reach the 2018 levels.</w:t>
      </w:r>
    </w:p>
    <w:p w14:paraId="3AA34381" w14:textId="4D6DA9AB" w:rsidR="00392FDA" w:rsidRPr="00EA4C9B" w:rsidRDefault="00392FDA" w:rsidP="00392FDA">
      <w:r w:rsidRPr="00EA4C9B">
        <w:t xml:space="preserve">In </w:t>
      </w:r>
      <w:r w:rsidRPr="00EA4C9B">
        <w:rPr>
          <w:b/>
          <w:bCs/>
        </w:rPr>
        <w:t>the waste sector</w:t>
      </w:r>
      <w:r w:rsidRPr="00EA4C9B">
        <w:t xml:space="preserve">, the OECD review highlighted the need to </w:t>
      </w:r>
      <w:r w:rsidRPr="00EA4C9B">
        <w:rPr>
          <w:b/>
          <w:bCs/>
        </w:rPr>
        <w:t>raise</w:t>
      </w:r>
      <w:r w:rsidRPr="00EA4C9B">
        <w:t xml:space="preserve"> </w:t>
      </w:r>
      <w:r w:rsidRPr="00EA4C9B">
        <w:rPr>
          <w:b/>
          <w:bCs/>
        </w:rPr>
        <w:t>landfill tax rates t</w:t>
      </w:r>
      <w:r w:rsidRPr="00EA4C9B">
        <w:t>o make waste recovery more economically attractive than disposal</w:t>
      </w:r>
      <w:r w:rsidRPr="00EA4C9B">
        <w:rPr>
          <w:rStyle w:val="FootnoteReference"/>
          <w:i/>
          <w:iCs/>
        </w:rPr>
        <w:footnoteReference w:id="255"/>
      </w:r>
      <w:r w:rsidRPr="00EA4C9B">
        <w:t>. This is supported by Ho</w:t>
      </w:r>
      <w:r w:rsidR="00C41076">
        <w:t>g</w:t>
      </w:r>
      <w:r w:rsidRPr="00EA4C9B">
        <w:t>g et al. (2016), suggesting that the planned increase in the landfill tax for non-hazardous waste should stipulate a tax rate of €50 per tonne by 2019 and index rates thereafter so that the tax remains constant in real terms.</w:t>
      </w:r>
    </w:p>
    <w:p w14:paraId="23E1B815" w14:textId="77777777" w:rsidR="000264F0" w:rsidRDefault="00532787" w:rsidP="00392FDA">
      <w:r>
        <w:t>According to the European Commission</w:t>
      </w:r>
      <w:r>
        <w:rPr>
          <w:rStyle w:val="FootnoteReference"/>
        </w:rPr>
        <w:footnoteReference w:id="256"/>
      </w:r>
      <w:r>
        <w:t xml:space="preserve">, </w:t>
      </w:r>
      <w:r w:rsidR="00C61CFF">
        <w:t>r</w:t>
      </w:r>
      <w:r w:rsidR="00C61CFF" w:rsidRPr="00C61CFF">
        <w:t xml:space="preserve">aising the landfill tax could effectively encourage recycling and reduce reliance on landfilling. However, the planned major increase in Czechia’s landfill tax has been delayed by five years, shifting from 2024 to 2029. </w:t>
      </w:r>
    </w:p>
    <w:p w14:paraId="79B4E8C9" w14:textId="57E4DFF2" w:rsidR="00532787" w:rsidRPr="00EA4C9B" w:rsidRDefault="00C61CFF" w:rsidP="00392FDA">
      <w:r w:rsidRPr="00BA7936">
        <w:rPr>
          <w:b/>
          <w:bCs/>
        </w:rPr>
        <w:lastRenderedPageBreak/>
        <w:t>Pay-as-you-throw</w:t>
      </w:r>
      <w:r w:rsidR="000264F0">
        <w:rPr>
          <w:b/>
          <w:bCs/>
        </w:rPr>
        <w:t xml:space="preserve"> </w:t>
      </w:r>
      <w:r w:rsidRPr="00BA7936">
        <w:rPr>
          <w:b/>
          <w:bCs/>
        </w:rPr>
        <w:t>sche</w:t>
      </w:r>
      <w:r w:rsidR="000264F0" w:rsidRPr="00BA7936">
        <w:rPr>
          <w:b/>
          <w:bCs/>
        </w:rPr>
        <w:t>mes</w:t>
      </w:r>
      <w:r w:rsidR="000264F0" w:rsidRPr="000264F0">
        <w:t xml:space="preserve"> also have limited reach, currently covering only about 20% of the population through related taxes and fees</w:t>
      </w:r>
      <w:r w:rsidR="000264F0">
        <w:rPr>
          <w:rStyle w:val="FootnoteReference"/>
        </w:rPr>
        <w:footnoteReference w:id="257"/>
      </w:r>
      <w:r w:rsidR="000264F0">
        <w:t>.</w:t>
      </w:r>
    </w:p>
    <w:p w14:paraId="24618CBF" w14:textId="4F44397E" w:rsidR="00392FDA" w:rsidRPr="00EA4C9B" w:rsidRDefault="00392FDA" w:rsidP="00392FDA">
      <w:r w:rsidRPr="00EA4C9B">
        <w:t xml:space="preserve">There is no </w:t>
      </w:r>
      <w:r w:rsidRPr="00EA4C9B">
        <w:rPr>
          <w:b/>
          <w:bCs/>
        </w:rPr>
        <w:t>incineration tax</w:t>
      </w:r>
      <w:r w:rsidRPr="00EA4C9B">
        <w:t xml:space="preserve"> in place in Czechia, however it was recommended by Ho</w:t>
      </w:r>
      <w:r w:rsidR="00C41076">
        <w:t>g</w:t>
      </w:r>
      <w:r w:rsidRPr="00EA4C9B">
        <w:t>g et al. (2016) (suggested an incineration tax of €15 per tonne in 2016. An equivalent rate is proposed for MBT facilities which are already operating in Czechia.) and the first action plan (2022–2027), adopted in June 2023</w:t>
      </w:r>
      <w:r w:rsidRPr="00EA4C9B">
        <w:rPr>
          <w:rStyle w:val="FootnoteReference"/>
        </w:rPr>
        <w:footnoteReference w:id="258"/>
      </w:r>
      <w:r w:rsidRPr="00EA4C9B">
        <w:t xml:space="preserve"> for Circular Czechia 2040 sets out that a waste incineration fee will be considered. This is a development from 2022, when the Ministry of the Environment argued that such a tax would not currently support recycling in Czechia, given that energy recovery from municipal waste remains relatively low (12 % in 2020, compared to an EU average of around 27 %), while landfilling is still high (47.7%). Nevertheless, the Ministry did indicate at the time that they may revisit the issue of an incineration tax in the medium term if the situation evolves.</w:t>
      </w:r>
    </w:p>
    <w:p w14:paraId="753E2040" w14:textId="3E57D1EF" w:rsidR="00051732" w:rsidRDefault="00392FDA" w:rsidP="00051732">
      <w:r w:rsidRPr="00EA4C9B">
        <w:t xml:space="preserve">Hog et al. (2016) recommended Czechia introduce a </w:t>
      </w:r>
      <w:r w:rsidRPr="00EA4C9B">
        <w:rPr>
          <w:b/>
          <w:bCs/>
        </w:rPr>
        <w:t xml:space="preserve">packaging tax, </w:t>
      </w:r>
      <w:r w:rsidRPr="00EA4C9B">
        <w:t>and that the following rates apply to all</w:t>
      </w:r>
      <w:r w:rsidRPr="00EA4C9B">
        <w:rPr>
          <w:b/>
          <w:bCs/>
        </w:rPr>
        <w:t xml:space="preserve"> </w:t>
      </w:r>
      <w:r w:rsidRPr="00EA4C9B">
        <w:t>packaging placed on the market:  Aluminium €315 per tonne; Plastic €102 per tonne; Steel €86 per tonne; Paper and card €33 per tonne; Glass €28 per tonne; Wood €21 per tonne. These rates are conservative in that they cover only the embodied CO2 savings associated with materials use.</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051732" w:rsidRPr="00EA4C9B" w14:paraId="5362857E" w14:textId="77777777" w:rsidTr="00D12D7A">
        <w:trPr>
          <w:trHeight w:val="300"/>
          <w:tblHeader/>
        </w:trPr>
        <w:tc>
          <w:tcPr>
            <w:tcW w:w="9000" w:type="dxa"/>
            <w:gridSpan w:val="3"/>
            <w:tcBorders>
              <w:top w:val="single" w:sz="6" w:space="0" w:color="auto"/>
              <w:left w:val="single" w:sz="6" w:space="0" w:color="auto"/>
              <w:bottom w:val="single" w:sz="6" w:space="0" w:color="auto"/>
              <w:right w:val="single" w:sz="6" w:space="0" w:color="auto"/>
            </w:tcBorders>
            <w:shd w:val="clear" w:color="auto" w:fill="003399"/>
            <w:hideMark/>
          </w:tcPr>
          <w:p w14:paraId="102415BC" w14:textId="2946A89D" w:rsidR="00051732" w:rsidRPr="00A46F60" w:rsidRDefault="00020920" w:rsidP="00A46F60">
            <w:pPr>
              <w:pStyle w:val="Table"/>
              <w:rPr>
                <w:b/>
                <w:color w:val="FFFFFF" w:themeColor="background1"/>
              </w:rPr>
            </w:pPr>
            <w:r w:rsidRPr="00A46F60">
              <w:rPr>
                <w:b/>
                <w:color w:val="FFFFFF" w:themeColor="background1"/>
              </w:rPr>
              <w:t xml:space="preserve">Table </w:t>
            </w:r>
            <w:r w:rsidR="00490085">
              <w:rPr>
                <w:b/>
                <w:color w:val="FFFFFF" w:themeColor="background1"/>
              </w:rPr>
              <w:t>A6</w:t>
            </w:r>
            <w:r w:rsidRPr="00D12D7A">
              <w:rPr>
                <w:b/>
                <w:color w:val="FFFFFF" w:themeColor="background1"/>
              </w:rPr>
              <w:t>-</w:t>
            </w:r>
            <w:r w:rsidRPr="00D12D7A">
              <w:rPr>
                <w:b/>
                <w:color w:val="FFFFFF" w:themeColor="background1"/>
              </w:rPr>
              <w:fldChar w:fldCharType="begin"/>
            </w:r>
            <w:r w:rsidRPr="00D12D7A">
              <w:rPr>
                <w:b/>
                <w:color w:val="FFFFFF" w:themeColor="background1"/>
              </w:rPr>
              <w:instrText xml:space="preserve"> SEQ Table_A5- \* ARABIC </w:instrText>
            </w:r>
            <w:r w:rsidRPr="00D12D7A">
              <w:rPr>
                <w:b/>
                <w:color w:val="FFFFFF" w:themeColor="background1"/>
              </w:rPr>
              <w:fldChar w:fldCharType="separate"/>
            </w:r>
            <w:r w:rsidR="00D12D7A" w:rsidRPr="00D12D7A">
              <w:rPr>
                <w:b/>
                <w:noProof/>
                <w:color w:val="FFFFFF" w:themeColor="background1"/>
              </w:rPr>
              <w:t>35</w:t>
            </w:r>
            <w:r w:rsidRPr="00D12D7A">
              <w:rPr>
                <w:b/>
                <w:color w:val="FFFFFF" w:themeColor="background1"/>
              </w:rPr>
              <w:fldChar w:fldCharType="end"/>
            </w:r>
            <w:r w:rsidR="00051732" w:rsidRPr="00D12D7A">
              <w:rPr>
                <w:b/>
                <w:color w:val="FFFFFF" w:themeColor="background1"/>
              </w:rPr>
              <w:t>: </w:t>
            </w:r>
            <w:r w:rsidR="00051732" w:rsidRPr="00A46F60">
              <w:rPr>
                <w:b/>
                <w:color w:val="FFFFFF" w:themeColor="background1"/>
              </w:rPr>
              <w:t xml:space="preserve"> Waste, Pollution and Resource taxes proposed by previous reports and publications, classified by category (not yet implemented)</w:t>
            </w:r>
          </w:p>
        </w:tc>
      </w:tr>
      <w:tr w:rsidR="00051732" w:rsidRPr="00EA4C9B" w14:paraId="02E41A99" w14:textId="77777777" w:rsidTr="00D12D7A">
        <w:trPr>
          <w:trHeight w:val="248"/>
          <w:tblHeader/>
        </w:trPr>
        <w:tc>
          <w:tcPr>
            <w:tcW w:w="3000" w:type="dxa"/>
            <w:tcBorders>
              <w:top w:val="single" w:sz="6" w:space="0" w:color="auto"/>
              <w:left w:val="single" w:sz="6" w:space="0" w:color="auto"/>
              <w:right w:val="single" w:sz="6" w:space="0" w:color="auto"/>
            </w:tcBorders>
            <w:shd w:val="clear" w:color="auto" w:fill="FFFFFF" w:themeFill="background1"/>
          </w:tcPr>
          <w:p w14:paraId="05A81575" w14:textId="474EA95A" w:rsidR="00051732" w:rsidRPr="00D12D7A" w:rsidRDefault="00051732" w:rsidP="00A46F60">
            <w:pPr>
              <w:pStyle w:val="Table"/>
              <w:rPr>
                <w:b/>
                <w:bCs/>
              </w:rPr>
            </w:pPr>
            <w:r w:rsidRPr="00D12D7A">
              <w:rPr>
                <w:b/>
                <w:bCs/>
              </w:rPr>
              <w:t>Proposed tax / Tax amendment</w:t>
            </w:r>
          </w:p>
        </w:tc>
        <w:tc>
          <w:tcPr>
            <w:tcW w:w="3000" w:type="dxa"/>
            <w:tcBorders>
              <w:top w:val="single" w:sz="6" w:space="0" w:color="auto"/>
              <w:left w:val="single" w:sz="6" w:space="0" w:color="auto"/>
              <w:right w:val="single" w:sz="6" w:space="0" w:color="auto"/>
            </w:tcBorders>
            <w:shd w:val="clear" w:color="auto" w:fill="FFFFFF" w:themeFill="background1"/>
          </w:tcPr>
          <w:p w14:paraId="1C4BE573" w14:textId="2FC3C174" w:rsidR="00051732" w:rsidRPr="00D12D7A" w:rsidRDefault="00051732" w:rsidP="00D12D7A">
            <w:pPr>
              <w:pStyle w:val="Table"/>
              <w:jc w:val="center"/>
              <w:rPr>
                <w:b/>
                <w:bCs/>
              </w:rPr>
            </w:pPr>
            <w:r w:rsidRPr="00D12D7A">
              <w:rPr>
                <w:b/>
                <w:bCs/>
              </w:rPr>
              <w:t>Tax category</w:t>
            </w:r>
          </w:p>
        </w:tc>
        <w:tc>
          <w:tcPr>
            <w:tcW w:w="3000" w:type="dxa"/>
            <w:tcBorders>
              <w:top w:val="single" w:sz="6" w:space="0" w:color="auto"/>
              <w:left w:val="single" w:sz="6" w:space="0" w:color="auto"/>
              <w:right w:val="single" w:sz="6" w:space="0" w:color="auto"/>
            </w:tcBorders>
            <w:shd w:val="clear" w:color="auto" w:fill="FFFFFF" w:themeFill="background1"/>
          </w:tcPr>
          <w:p w14:paraId="26AE2C3E" w14:textId="03E15E3B" w:rsidR="00051732" w:rsidRPr="00D12D7A" w:rsidRDefault="00051732" w:rsidP="00D12D7A">
            <w:pPr>
              <w:pStyle w:val="Table"/>
              <w:jc w:val="center"/>
              <w:rPr>
                <w:b/>
                <w:bCs/>
              </w:rPr>
            </w:pPr>
            <w:r w:rsidRPr="00D12D7A">
              <w:rPr>
                <w:b/>
                <w:bCs/>
              </w:rPr>
              <w:t>Introduce new tax / Amend existing tax</w:t>
            </w:r>
          </w:p>
        </w:tc>
      </w:tr>
      <w:tr w:rsidR="00051732" w:rsidRPr="00EA4C9B" w14:paraId="3CC97A7F"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03DD0B6B" w14:textId="1B8542B7" w:rsidR="00051732" w:rsidRPr="00A46F60" w:rsidRDefault="00051732" w:rsidP="00A46F60">
            <w:pPr>
              <w:pStyle w:val="Table"/>
            </w:pPr>
            <w:r w:rsidRPr="00A46F60">
              <w:t xml:space="preserve">Water abstraction </w:t>
            </w:r>
          </w:p>
        </w:tc>
        <w:tc>
          <w:tcPr>
            <w:tcW w:w="3000" w:type="dxa"/>
            <w:tcBorders>
              <w:top w:val="single" w:sz="6" w:space="0" w:color="auto"/>
              <w:left w:val="single" w:sz="6" w:space="0" w:color="auto"/>
              <w:right w:val="single" w:sz="6" w:space="0" w:color="auto"/>
            </w:tcBorders>
            <w:shd w:val="clear" w:color="auto" w:fill="FFFFFF" w:themeFill="background1"/>
          </w:tcPr>
          <w:p w14:paraId="520BC550" w14:textId="031E865B" w:rsidR="00051732" w:rsidRPr="00A46F60" w:rsidRDefault="00051732" w:rsidP="00D12D7A">
            <w:pPr>
              <w:pStyle w:val="Table"/>
              <w:jc w:val="center"/>
            </w:pPr>
            <w:r w:rsidRPr="00A46F60">
              <w:t>Resource</w:t>
            </w:r>
          </w:p>
        </w:tc>
        <w:tc>
          <w:tcPr>
            <w:tcW w:w="3000" w:type="dxa"/>
            <w:tcBorders>
              <w:top w:val="single" w:sz="6" w:space="0" w:color="auto"/>
              <w:left w:val="single" w:sz="6" w:space="0" w:color="auto"/>
              <w:right w:val="single" w:sz="6" w:space="0" w:color="auto"/>
            </w:tcBorders>
            <w:shd w:val="clear" w:color="auto" w:fill="FFFFFF" w:themeFill="background1"/>
          </w:tcPr>
          <w:p w14:paraId="289D7CCD" w14:textId="4514F972" w:rsidR="00051732" w:rsidRPr="00A46F60" w:rsidRDefault="00051732" w:rsidP="00D12D7A">
            <w:pPr>
              <w:pStyle w:val="Table"/>
              <w:jc w:val="center"/>
            </w:pPr>
            <w:r w:rsidRPr="00A46F60">
              <w:t>Amend</w:t>
            </w:r>
          </w:p>
        </w:tc>
      </w:tr>
      <w:tr w:rsidR="00051732" w:rsidRPr="00EA4C9B" w14:paraId="714E9BA1"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186D328E" w14:textId="032D7C6A" w:rsidR="00051732" w:rsidRPr="00A46F60" w:rsidRDefault="00051732" w:rsidP="00A46F60">
            <w:pPr>
              <w:pStyle w:val="Table"/>
            </w:pPr>
            <w:r w:rsidRPr="00A46F60">
              <w:t>Water consumption charge</w:t>
            </w:r>
          </w:p>
        </w:tc>
        <w:tc>
          <w:tcPr>
            <w:tcW w:w="3000" w:type="dxa"/>
            <w:tcBorders>
              <w:top w:val="single" w:sz="6" w:space="0" w:color="auto"/>
              <w:left w:val="single" w:sz="6" w:space="0" w:color="auto"/>
              <w:right w:val="single" w:sz="6" w:space="0" w:color="auto"/>
            </w:tcBorders>
            <w:shd w:val="clear" w:color="auto" w:fill="FFFFFF" w:themeFill="background1"/>
          </w:tcPr>
          <w:p w14:paraId="303931F3" w14:textId="4706D3FA" w:rsidR="00051732" w:rsidRPr="00A46F60" w:rsidRDefault="00051732" w:rsidP="00D12D7A">
            <w:pPr>
              <w:pStyle w:val="Table"/>
              <w:jc w:val="center"/>
            </w:pPr>
            <w:r w:rsidRPr="00A46F60">
              <w:t>Resource</w:t>
            </w:r>
          </w:p>
        </w:tc>
        <w:tc>
          <w:tcPr>
            <w:tcW w:w="3000" w:type="dxa"/>
            <w:tcBorders>
              <w:top w:val="single" w:sz="6" w:space="0" w:color="auto"/>
              <w:left w:val="single" w:sz="6" w:space="0" w:color="auto"/>
              <w:right w:val="single" w:sz="6" w:space="0" w:color="auto"/>
            </w:tcBorders>
            <w:shd w:val="clear" w:color="auto" w:fill="FFFFFF" w:themeFill="background1"/>
          </w:tcPr>
          <w:p w14:paraId="1D3E123E" w14:textId="2D47CAE4" w:rsidR="00051732" w:rsidRPr="00A46F60" w:rsidRDefault="00051732" w:rsidP="00D12D7A">
            <w:pPr>
              <w:pStyle w:val="Table"/>
              <w:jc w:val="center"/>
            </w:pPr>
            <w:r w:rsidRPr="00A46F60">
              <w:t>Introduce</w:t>
            </w:r>
          </w:p>
        </w:tc>
      </w:tr>
      <w:tr w:rsidR="00051732" w:rsidRPr="00EA4C9B" w14:paraId="02C8A140"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6FB557C9" w14:textId="39D0FA1A" w:rsidR="00051732" w:rsidRPr="00A46F60" w:rsidRDefault="00051732" w:rsidP="00A46F60">
            <w:pPr>
              <w:pStyle w:val="Table"/>
            </w:pPr>
            <w:r w:rsidRPr="00A46F60">
              <w:t xml:space="preserve">Aggregates tax </w:t>
            </w:r>
          </w:p>
        </w:tc>
        <w:tc>
          <w:tcPr>
            <w:tcW w:w="3000" w:type="dxa"/>
            <w:tcBorders>
              <w:top w:val="single" w:sz="6" w:space="0" w:color="auto"/>
              <w:left w:val="single" w:sz="6" w:space="0" w:color="auto"/>
              <w:right w:val="single" w:sz="6" w:space="0" w:color="auto"/>
            </w:tcBorders>
            <w:shd w:val="clear" w:color="auto" w:fill="FFFFFF" w:themeFill="background1"/>
          </w:tcPr>
          <w:p w14:paraId="1AF5B43B" w14:textId="21AE9DDD" w:rsidR="00051732" w:rsidRPr="00A46F60" w:rsidRDefault="00051732" w:rsidP="00D12D7A">
            <w:pPr>
              <w:pStyle w:val="Table"/>
              <w:jc w:val="center"/>
            </w:pPr>
            <w:r w:rsidRPr="00A46F60">
              <w:t>Resource</w:t>
            </w:r>
          </w:p>
        </w:tc>
        <w:tc>
          <w:tcPr>
            <w:tcW w:w="3000" w:type="dxa"/>
            <w:tcBorders>
              <w:top w:val="single" w:sz="6" w:space="0" w:color="auto"/>
              <w:left w:val="single" w:sz="6" w:space="0" w:color="auto"/>
              <w:right w:val="single" w:sz="6" w:space="0" w:color="auto"/>
            </w:tcBorders>
            <w:shd w:val="clear" w:color="auto" w:fill="FFFFFF" w:themeFill="background1"/>
          </w:tcPr>
          <w:p w14:paraId="5F0FF8CC" w14:textId="50B26095" w:rsidR="00051732" w:rsidRPr="00A46F60" w:rsidRDefault="00051732" w:rsidP="00D12D7A">
            <w:pPr>
              <w:pStyle w:val="Table"/>
              <w:jc w:val="center"/>
            </w:pPr>
            <w:r w:rsidRPr="00A46F60">
              <w:t>Introduce</w:t>
            </w:r>
          </w:p>
        </w:tc>
      </w:tr>
      <w:tr w:rsidR="00051732" w:rsidRPr="00EA4C9B" w14:paraId="761A36A8"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65DEC061" w14:textId="7D04170C" w:rsidR="00051732" w:rsidRPr="00A46F60" w:rsidRDefault="00051732" w:rsidP="00A46F60">
            <w:pPr>
              <w:pStyle w:val="Table"/>
            </w:pPr>
            <w:r w:rsidRPr="00A46F60">
              <w:t xml:space="preserve">Pesticides </w:t>
            </w:r>
          </w:p>
        </w:tc>
        <w:tc>
          <w:tcPr>
            <w:tcW w:w="3000" w:type="dxa"/>
            <w:tcBorders>
              <w:top w:val="single" w:sz="6" w:space="0" w:color="auto"/>
              <w:left w:val="single" w:sz="6" w:space="0" w:color="auto"/>
              <w:right w:val="single" w:sz="6" w:space="0" w:color="auto"/>
            </w:tcBorders>
            <w:shd w:val="clear" w:color="auto" w:fill="FFFFFF" w:themeFill="background1"/>
          </w:tcPr>
          <w:p w14:paraId="2D8748EB" w14:textId="76692329" w:rsidR="00051732" w:rsidRPr="00A46F60" w:rsidRDefault="00051732" w:rsidP="00D12D7A">
            <w:pPr>
              <w:pStyle w:val="Table"/>
              <w:jc w:val="center"/>
            </w:pPr>
            <w:r w:rsidRPr="00A46F60">
              <w:t>Pollution</w:t>
            </w:r>
          </w:p>
        </w:tc>
        <w:tc>
          <w:tcPr>
            <w:tcW w:w="3000" w:type="dxa"/>
            <w:tcBorders>
              <w:top w:val="single" w:sz="6" w:space="0" w:color="auto"/>
              <w:left w:val="single" w:sz="6" w:space="0" w:color="auto"/>
              <w:right w:val="single" w:sz="6" w:space="0" w:color="auto"/>
            </w:tcBorders>
            <w:shd w:val="clear" w:color="auto" w:fill="FFFFFF" w:themeFill="background1"/>
          </w:tcPr>
          <w:p w14:paraId="3A053DA2" w14:textId="7E1A0F10" w:rsidR="00051732" w:rsidRPr="00A46F60" w:rsidRDefault="00051732" w:rsidP="00D12D7A">
            <w:pPr>
              <w:pStyle w:val="Table"/>
              <w:jc w:val="center"/>
            </w:pPr>
            <w:r w:rsidRPr="00A46F60">
              <w:t>Introduce</w:t>
            </w:r>
          </w:p>
        </w:tc>
      </w:tr>
      <w:tr w:rsidR="00051732" w:rsidRPr="00EA4C9B" w14:paraId="327AFFA1"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66AFBDD2" w14:textId="288069B8" w:rsidR="00051732" w:rsidRPr="00A46F60" w:rsidRDefault="00051732" w:rsidP="00A46F60">
            <w:pPr>
              <w:pStyle w:val="Table"/>
            </w:pPr>
            <w:r w:rsidRPr="00A46F60">
              <w:t>Fertilisers (e.g. nitrogen)</w:t>
            </w:r>
          </w:p>
        </w:tc>
        <w:tc>
          <w:tcPr>
            <w:tcW w:w="3000" w:type="dxa"/>
            <w:tcBorders>
              <w:top w:val="single" w:sz="6" w:space="0" w:color="auto"/>
              <w:left w:val="single" w:sz="6" w:space="0" w:color="auto"/>
              <w:right w:val="single" w:sz="6" w:space="0" w:color="auto"/>
            </w:tcBorders>
            <w:shd w:val="clear" w:color="auto" w:fill="FFFFFF" w:themeFill="background1"/>
          </w:tcPr>
          <w:p w14:paraId="7F12059D" w14:textId="65928DA8" w:rsidR="00051732" w:rsidRPr="00A46F60" w:rsidRDefault="00051732" w:rsidP="00D12D7A">
            <w:pPr>
              <w:pStyle w:val="Table"/>
              <w:jc w:val="center"/>
            </w:pPr>
            <w:r w:rsidRPr="00A46F60">
              <w:t>Pollution</w:t>
            </w:r>
          </w:p>
        </w:tc>
        <w:tc>
          <w:tcPr>
            <w:tcW w:w="3000" w:type="dxa"/>
            <w:tcBorders>
              <w:top w:val="single" w:sz="6" w:space="0" w:color="auto"/>
              <w:left w:val="single" w:sz="6" w:space="0" w:color="auto"/>
              <w:right w:val="single" w:sz="6" w:space="0" w:color="auto"/>
            </w:tcBorders>
            <w:shd w:val="clear" w:color="auto" w:fill="FFFFFF" w:themeFill="background1"/>
          </w:tcPr>
          <w:p w14:paraId="716E608D" w14:textId="663020A0" w:rsidR="00051732" w:rsidRPr="00A46F60" w:rsidRDefault="00051732" w:rsidP="00D12D7A">
            <w:pPr>
              <w:pStyle w:val="Table"/>
              <w:jc w:val="center"/>
            </w:pPr>
            <w:r w:rsidRPr="00A46F60">
              <w:t>Introduce</w:t>
            </w:r>
          </w:p>
        </w:tc>
      </w:tr>
      <w:tr w:rsidR="00051732" w:rsidRPr="00EA4C9B" w14:paraId="54AB7308"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33AD8773" w14:textId="096B67A9" w:rsidR="00051732" w:rsidRPr="00A46F60" w:rsidRDefault="00051732" w:rsidP="00A46F60">
            <w:pPr>
              <w:pStyle w:val="Table"/>
            </w:pPr>
            <w:r w:rsidRPr="00A46F60">
              <w:t xml:space="preserve">Air Pollution tax </w:t>
            </w:r>
          </w:p>
        </w:tc>
        <w:tc>
          <w:tcPr>
            <w:tcW w:w="3000" w:type="dxa"/>
            <w:tcBorders>
              <w:top w:val="single" w:sz="6" w:space="0" w:color="auto"/>
              <w:left w:val="single" w:sz="6" w:space="0" w:color="auto"/>
              <w:right w:val="single" w:sz="6" w:space="0" w:color="auto"/>
            </w:tcBorders>
            <w:shd w:val="clear" w:color="auto" w:fill="FFFFFF" w:themeFill="background1"/>
          </w:tcPr>
          <w:p w14:paraId="233216F4" w14:textId="265B2886" w:rsidR="00051732" w:rsidRPr="00A46F60" w:rsidRDefault="00051732" w:rsidP="00D12D7A">
            <w:pPr>
              <w:pStyle w:val="Table"/>
              <w:jc w:val="center"/>
            </w:pPr>
            <w:r w:rsidRPr="00A46F60">
              <w:t>Pollution</w:t>
            </w:r>
          </w:p>
        </w:tc>
        <w:tc>
          <w:tcPr>
            <w:tcW w:w="3000" w:type="dxa"/>
            <w:tcBorders>
              <w:top w:val="single" w:sz="6" w:space="0" w:color="auto"/>
              <w:left w:val="single" w:sz="6" w:space="0" w:color="auto"/>
              <w:right w:val="single" w:sz="6" w:space="0" w:color="auto"/>
            </w:tcBorders>
            <w:shd w:val="clear" w:color="auto" w:fill="FFFFFF" w:themeFill="background1"/>
          </w:tcPr>
          <w:p w14:paraId="53A74FC1" w14:textId="5F607490" w:rsidR="00051732" w:rsidRPr="00A46F60" w:rsidRDefault="00051732" w:rsidP="00D12D7A">
            <w:pPr>
              <w:pStyle w:val="Table"/>
              <w:jc w:val="center"/>
            </w:pPr>
            <w:r w:rsidRPr="00A46F60">
              <w:t>Amend</w:t>
            </w:r>
          </w:p>
        </w:tc>
      </w:tr>
      <w:tr w:rsidR="00051732" w:rsidRPr="00EA4C9B" w14:paraId="2AD9C3C0"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5068E487" w14:textId="783FCED0" w:rsidR="00051732" w:rsidRPr="00A46F60" w:rsidRDefault="00051732" w:rsidP="00A46F60">
            <w:pPr>
              <w:pStyle w:val="Table"/>
            </w:pPr>
            <w:r w:rsidRPr="00A46F60">
              <w:t xml:space="preserve">Waste water </w:t>
            </w:r>
          </w:p>
        </w:tc>
        <w:tc>
          <w:tcPr>
            <w:tcW w:w="3000" w:type="dxa"/>
            <w:tcBorders>
              <w:top w:val="single" w:sz="6" w:space="0" w:color="auto"/>
              <w:left w:val="single" w:sz="6" w:space="0" w:color="auto"/>
              <w:right w:val="single" w:sz="6" w:space="0" w:color="auto"/>
            </w:tcBorders>
            <w:shd w:val="clear" w:color="auto" w:fill="FFFFFF" w:themeFill="background1"/>
          </w:tcPr>
          <w:p w14:paraId="6313FB16" w14:textId="3D14ACFD" w:rsidR="00051732" w:rsidRPr="00A46F60" w:rsidRDefault="00051732" w:rsidP="00D12D7A">
            <w:pPr>
              <w:pStyle w:val="Table"/>
              <w:jc w:val="center"/>
            </w:pPr>
            <w:r w:rsidRPr="00A46F60">
              <w:t>Pollution</w:t>
            </w:r>
          </w:p>
        </w:tc>
        <w:tc>
          <w:tcPr>
            <w:tcW w:w="3000" w:type="dxa"/>
            <w:tcBorders>
              <w:top w:val="single" w:sz="6" w:space="0" w:color="auto"/>
              <w:left w:val="single" w:sz="6" w:space="0" w:color="auto"/>
              <w:right w:val="single" w:sz="6" w:space="0" w:color="auto"/>
            </w:tcBorders>
            <w:shd w:val="clear" w:color="auto" w:fill="FFFFFF" w:themeFill="background1"/>
          </w:tcPr>
          <w:p w14:paraId="1094785A" w14:textId="117B9DA8" w:rsidR="00051732" w:rsidRPr="00A46F60" w:rsidRDefault="00051732" w:rsidP="00D12D7A">
            <w:pPr>
              <w:pStyle w:val="Table"/>
              <w:jc w:val="center"/>
            </w:pPr>
            <w:r w:rsidRPr="00A46F60">
              <w:t>Amend</w:t>
            </w:r>
          </w:p>
        </w:tc>
      </w:tr>
      <w:tr w:rsidR="00051732" w:rsidRPr="00EA4C9B" w14:paraId="701E8B96"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7F377948" w14:textId="3AF9A548" w:rsidR="00051732" w:rsidRPr="00A46F60" w:rsidRDefault="00051732" w:rsidP="00A46F60">
            <w:pPr>
              <w:pStyle w:val="Table"/>
            </w:pPr>
            <w:r w:rsidRPr="00A46F60">
              <w:t xml:space="preserve">Landfill tax </w:t>
            </w:r>
          </w:p>
        </w:tc>
        <w:tc>
          <w:tcPr>
            <w:tcW w:w="3000" w:type="dxa"/>
            <w:tcBorders>
              <w:top w:val="single" w:sz="6" w:space="0" w:color="auto"/>
              <w:left w:val="single" w:sz="6" w:space="0" w:color="auto"/>
              <w:right w:val="single" w:sz="6" w:space="0" w:color="auto"/>
            </w:tcBorders>
            <w:shd w:val="clear" w:color="auto" w:fill="FFFFFF" w:themeFill="background1"/>
          </w:tcPr>
          <w:p w14:paraId="0E34CBE0" w14:textId="2C647118" w:rsidR="00051732" w:rsidRPr="00A46F60" w:rsidRDefault="00051732" w:rsidP="00D12D7A">
            <w:pPr>
              <w:pStyle w:val="Table"/>
              <w:jc w:val="center"/>
            </w:pPr>
            <w:r w:rsidRPr="00A46F60">
              <w:t>Waste</w:t>
            </w:r>
          </w:p>
        </w:tc>
        <w:tc>
          <w:tcPr>
            <w:tcW w:w="3000" w:type="dxa"/>
            <w:tcBorders>
              <w:top w:val="single" w:sz="6" w:space="0" w:color="auto"/>
              <w:left w:val="single" w:sz="6" w:space="0" w:color="auto"/>
              <w:right w:val="single" w:sz="6" w:space="0" w:color="auto"/>
            </w:tcBorders>
            <w:shd w:val="clear" w:color="auto" w:fill="FFFFFF" w:themeFill="background1"/>
          </w:tcPr>
          <w:p w14:paraId="1A7E08A6" w14:textId="12649B5F" w:rsidR="00051732" w:rsidRPr="00A46F60" w:rsidRDefault="00051732" w:rsidP="00D12D7A">
            <w:pPr>
              <w:pStyle w:val="Table"/>
              <w:jc w:val="center"/>
            </w:pPr>
            <w:r w:rsidRPr="00A46F60">
              <w:t>Amend</w:t>
            </w:r>
          </w:p>
        </w:tc>
      </w:tr>
      <w:tr w:rsidR="00051732" w:rsidRPr="00EA4C9B" w14:paraId="6EDCC1BA"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5EDDFE0A" w14:textId="5FA97D8A" w:rsidR="00051732" w:rsidRPr="00A46F60" w:rsidRDefault="00051732" w:rsidP="00A46F60">
            <w:pPr>
              <w:pStyle w:val="Table"/>
            </w:pPr>
            <w:r w:rsidRPr="00A46F60">
              <w:t xml:space="preserve">Waste incineration / MBT tax </w:t>
            </w:r>
          </w:p>
        </w:tc>
        <w:tc>
          <w:tcPr>
            <w:tcW w:w="3000" w:type="dxa"/>
            <w:tcBorders>
              <w:top w:val="single" w:sz="6" w:space="0" w:color="auto"/>
              <w:left w:val="single" w:sz="6" w:space="0" w:color="auto"/>
              <w:right w:val="single" w:sz="6" w:space="0" w:color="auto"/>
            </w:tcBorders>
            <w:shd w:val="clear" w:color="auto" w:fill="FFFFFF" w:themeFill="background1"/>
          </w:tcPr>
          <w:p w14:paraId="0567ABEA" w14:textId="72F1192B" w:rsidR="00051732" w:rsidRPr="00A46F60" w:rsidRDefault="00051732" w:rsidP="00D12D7A">
            <w:pPr>
              <w:pStyle w:val="Table"/>
              <w:jc w:val="center"/>
            </w:pPr>
            <w:r w:rsidRPr="00A46F60">
              <w:t>Waste</w:t>
            </w:r>
          </w:p>
        </w:tc>
        <w:tc>
          <w:tcPr>
            <w:tcW w:w="3000" w:type="dxa"/>
            <w:tcBorders>
              <w:top w:val="single" w:sz="6" w:space="0" w:color="auto"/>
              <w:left w:val="single" w:sz="6" w:space="0" w:color="auto"/>
              <w:right w:val="single" w:sz="6" w:space="0" w:color="auto"/>
            </w:tcBorders>
            <w:shd w:val="clear" w:color="auto" w:fill="FFFFFF" w:themeFill="background1"/>
          </w:tcPr>
          <w:p w14:paraId="753AE128" w14:textId="357CEFC0" w:rsidR="00051732" w:rsidRPr="00A46F60" w:rsidRDefault="00051732" w:rsidP="00D12D7A">
            <w:pPr>
              <w:pStyle w:val="Table"/>
              <w:jc w:val="center"/>
            </w:pPr>
            <w:r w:rsidRPr="00A46F60">
              <w:t>Introduce</w:t>
            </w:r>
          </w:p>
        </w:tc>
      </w:tr>
      <w:tr w:rsidR="00051732" w:rsidRPr="00EA4C9B" w14:paraId="7EEFF969" w14:textId="77777777" w:rsidTr="004F0767">
        <w:trPr>
          <w:trHeight w:val="240"/>
        </w:trPr>
        <w:tc>
          <w:tcPr>
            <w:tcW w:w="3000" w:type="dxa"/>
            <w:tcBorders>
              <w:top w:val="single" w:sz="6" w:space="0" w:color="auto"/>
              <w:left w:val="single" w:sz="6" w:space="0" w:color="auto"/>
              <w:right w:val="single" w:sz="6" w:space="0" w:color="auto"/>
            </w:tcBorders>
            <w:shd w:val="clear" w:color="auto" w:fill="FFFFFF" w:themeFill="background1"/>
          </w:tcPr>
          <w:p w14:paraId="3DE6628A" w14:textId="150656F2" w:rsidR="00051732" w:rsidRPr="00A46F60" w:rsidRDefault="00051732" w:rsidP="00A46F60">
            <w:pPr>
              <w:pStyle w:val="Table"/>
            </w:pPr>
            <w:r w:rsidRPr="00A46F60">
              <w:t>Packaging tax</w:t>
            </w:r>
          </w:p>
        </w:tc>
        <w:tc>
          <w:tcPr>
            <w:tcW w:w="3000" w:type="dxa"/>
            <w:tcBorders>
              <w:top w:val="single" w:sz="6" w:space="0" w:color="auto"/>
              <w:left w:val="single" w:sz="6" w:space="0" w:color="auto"/>
              <w:right w:val="single" w:sz="6" w:space="0" w:color="auto"/>
            </w:tcBorders>
            <w:shd w:val="clear" w:color="auto" w:fill="FFFFFF" w:themeFill="background1"/>
          </w:tcPr>
          <w:p w14:paraId="4A5F281E" w14:textId="2F422C40" w:rsidR="00051732" w:rsidRPr="00A46F60" w:rsidRDefault="00051732" w:rsidP="00D12D7A">
            <w:pPr>
              <w:pStyle w:val="Table"/>
              <w:jc w:val="center"/>
            </w:pPr>
            <w:r w:rsidRPr="00A46F60">
              <w:t>Waste</w:t>
            </w:r>
          </w:p>
        </w:tc>
        <w:tc>
          <w:tcPr>
            <w:tcW w:w="3000" w:type="dxa"/>
            <w:tcBorders>
              <w:top w:val="single" w:sz="6" w:space="0" w:color="auto"/>
              <w:left w:val="single" w:sz="6" w:space="0" w:color="auto"/>
              <w:right w:val="single" w:sz="6" w:space="0" w:color="auto"/>
            </w:tcBorders>
            <w:shd w:val="clear" w:color="auto" w:fill="FFFFFF" w:themeFill="background1"/>
          </w:tcPr>
          <w:p w14:paraId="3F92D486" w14:textId="38A943EF" w:rsidR="00051732" w:rsidRPr="00A46F60" w:rsidRDefault="00051732" w:rsidP="00D12D7A">
            <w:pPr>
              <w:pStyle w:val="Table"/>
              <w:jc w:val="center"/>
            </w:pPr>
            <w:r w:rsidRPr="00A46F60">
              <w:t>Introduce</w:t>
            </w:r>
          </w:p>
        </w:tc>
      </w:tr>
    </w:tbl>
    <w:p w14:paraId="7398DF3B" w14:textId="77777777" w:rsidR="00392FDA" w:rsidRPr="00EA4C9B" w:rsidRDefault="00392FDA" w:rsidP="007C4EB7">
      <w:pPr>
        <w:pStyle w:val="AnnexHeading2"/>
      </w:pPr>
      <w:bookmarkStart w:id="152" w:name="_Toc214008857"/>
      <w:r w:rsidRPr="00EA4C9B">
        <w:t>Impacts and feasibility of implementing new environmental taxes</w:t>
      </w:r>
      <w:bookmarkEnd w:id="152"/>
    </w:p>
    <w:p w14:paraId="5456372B" w14:textId="6114ADAB" w:rsidR="00FA6252" w:rsidRDefault="00FA6252" w:rsidP="00FA6252">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489AAA10" w14:textId="2B0449D2" w:rsidR="00D12D7A" w:rsidRDefault="00D12D7A" w:rsidP="00D12D7A">
      <w:r w:rsidRPr="00D12D7A">
        <w:t>Czechia operates several environmental charges and fees, with relatively advanced instruments in waste and air policy compared with many Member States. The modelling indicates that introducing the benchmarked taxes would deliver measurable environmental gains with modest macroeconomic effects. Under Scenario A, the largest physical improvements arise from waste policy</w:t>
      </w:r>
      <w:r>
        <w:t xml:space="preserve">, </w:t>
      </w:r>
      <w:r w:rsidRPr="00D12D7A">
        <w:t>particularly landfill</w:t>
      </w:r>
      <w:r>
        <w:t xml:space="preserve">, </w:t>
      </w:r>
      <w:r w:rsidRPr="00D12D7A">
        <w:t xml:space="preserve">where Czechia is among the countries projected to achieve reductions above 30 per cent by 2030 when benchmark rates are fully phased in. For minerals extraction, current national </w:t>
      </w:r>
      <w:r w:rsidRPr="00D12D7A">
        <w:lastRenderedPageBreak/>
        <w:t xml:space="preserve">arrangements already sit at or above the </w:t>
      </w:r>
      <w:r w:rsidR="007B606C">
        <w:t>investigated</w:t>
      </w:r>
      <w:r w:rsidRPr="00D12D7A">
        <w:t xml:space="preserve"> minimum, so no further change in extraction is expected from the benchmark; similarly, existing wastewater charges exceed the simulated rates, implying little or no incremental effect there. For air pollutants (NOx, SO₂, PM₂.₅) and product-based instruments (pesticides and fertilisers), the model points to moderate but positive effects on emissions and use, with Scenario B delivering proportionally smaller outcomes. Revenues rise in line with these patterns, with the bulk of new receipts under Scenario A coming from landfill, and a secondary contribution from product and air instruments.</w:t>
      </w:r>
    </w:p>
    <w:p w14:paraId="490CB164" w14:textId="6E2EDBA6" w:rsidR="005F54AD" w:rsidRPr="0078249C" w:rsidRDefault="005F54AD" w:rsidP="005F54AD">
      <w:r>
        <w:t>The investigated taxes in Czechia would raise about another €366 million in 2030 and €372 million in 2035, implying an increase of about 12 times current taxes. The greatest increase comes from mineral aggregate taxes (59%), followed by waste to landfill (25%).  Together the two account for three-quarters of all increases in revenues. Reductions in environmental impacts are greatest in waste to landfill (32%), mineral aggregates (27%) and pesticides (25%)</w:t>
      </w:r>
      <w:r w:rsidR="007B606C">
        <w:t>.</w:t>
      </w:r>
      <w:r>
        <w:t xml:space="preserve">  There is no impact from taxes on water abstraction or water effluent as these sectors have current tax rates above the </w:t>
      </w:r>
      <w:r w:rsidR="007B606C">
        <w:t>investigated</w:t>
      </w:r>
      <w:r>
        <w:t xml:space="preserve"> minimum.</w:t>
      </w:r>
    </w:p>
    <w:tbl>
      <w:tblPr>
        <w:tblStyle w:val="Lentelstinklelis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312"/>
        <w:gridCol w:w="1275"/>
      </w:tblGrid>
      <w:tr w:rsidR="005F54AD" w:rsidRPr="00F501DA" w14:paraId="5CA3D0CB" w14:textId="77777777" w:rsidTr="00691DB4">
        <w:trPr>
          <w:trHeight w:val="255"/>
          <w:tblHeader/>
        </w:trPr>
        <w:tc>
          <w:tcPr>
            <w:tcW w:w="9067" w:type="dxa"/>
            <w:gridSpan w:val="7"/>
            <w:shd w:val="clear" w:color="auto" w:fill="003399"/>
          </w:tcPr>
          <w:p w14:paraId="06FE1622" w14:textId="0ECA62AA" w:rsidR="005F54AD" w:rsidRPr="00A46F60" w:rsidRDefault="005F54AD" w:rsidP="000878F6">
            <w:pPr>
              <w:pStyle w:val="Table"/>
              <w:rPr>
                <w:b/>
                <w:color w:val="FFFFFF" w:themeColor="background1"/>
                <w:lang w:eastAsia="en-GB"/>
              </w:rPr>
            </w:pPr>
            <w:r w:rsidRPr="00A46F60">
              <w:rPr>
                <w:b/>
                <w:color w:val="FFFFFF" w:themeColor="background1"/>
              </w:rPr>
              <w:t xml:space="preserve">Table </w:t>
            </w:r>
            <w:r w:rsidR="00490085">
              <w:rPr>
                <w:b/>
                <w:bCs/>
                <w:color w:val="FFFFFF" w:themeColor="background1"/>
              </w:rPr>
              <w:t>A6</w:t>
            </w:r>
            <w:r w:rsidRPr="00A46F60">
              <w:rPr>
                <w:b/>
                <w:bCs/>
                <w:color w:val="FFFFFF" w:themeColor="background1"/>
              </w:rPr>
              <w:t>-</w:t>
            </w:r>
            <w:r w:rsidRPr="00A46F60">
              <w:rPr>
                <w:b/>
                <w:bCs/>
                <w:color w:val="FFFFFF" w:themeColor="background1"/>
              </w:rPr>
              <w:fldChar w:fldCharType="begin"/>
            </w:r>
            <w:r w:rsidRPr="00A46F60">
              <w:rPr>
                <w:b/>
                <w:bCs/>
                <w:color w:val="FFFFFF" w:themeColor="background1"/>
              </w:rPr>
              <w:instrText xml:space="preserve"> SEQ Table_A5- \* ARABIC </w:instrText>
            </w:r>
            <w:r w:rsidRPr="00A46F60">
              <w:rPr>
                <w:b/>
                <w:bCs/>
                <w:color w:val="FFFFFF" w:themeColor="background1"/>
              </w:rPr>
              <w:fldChar w:fldCharType="separate"/>
            </w:r>
            <w:r w:rsidR="00691DB4">
              <w:rPr>
                <w:b/>
                <w:bCs/>
                <w:noProof/>
                <w:color w:val="FFFFFF" w:themeColor="background1"/>
              </w:rPr>
              <w:t>36</w:t>
            </w:r>
            <w:r w:rsidRPr="00A46F60">
              <w:rPr>
                <w:b/>
                <w:bCs/>
                <w:color w:val="FFFFFF" w:themeColor="background1"/>
              </w:rPr>
              <w:fldChar w:fldCharType="end"/>
            </w:r>
            <w:r w:rsidRPr="00A46F60">
              <w:rPr>
                <w:b/>
                <w:bCs/>
                <w:color w:val="FFFFFF" w:themeColor="background1"/>
                <w:lang w:eastAsia="en-GB"/>
              </w:rPr>
              <w:t>:</w:t>
            </w:r>
            <w:r w:rsidRPr="00A46F60">
              <w:rPr>
                <w:b/>
                <w:color w:val="FFFFFF" w:themeColor="background1"/>
                <w:lang w:eastAsia="en-GB"/>
              </w:rPr>
              <w:t xml:space="preserve"> Environmental Impacts and Revenue Changes in Czechia</w:t>
            </w:r>
            <w:r>
              <w:rPr>
                <w:b/>
                <w:color w:val="FFFFFF" w:themeColor="background1"/>
                <w:lang w:eastAsia="en-GB"/>
              </w:rPr>
              <w:t xml:space="preserve"> – Scenario A</w:t>
            </w:r>
          </w:p>
        </w:tc>
      </w:tr>
      <w:tr w:rsidR="005F54AD" w:rsidRPr="00F501DA" w14:paraId="3873CC92" w14:textId="77777777" w:rsidTr="00691DB4">
        <w:trPr>
          <w:tblHeader/>
        </w:trPr>
        <w:tc>
          <w:tcPr>
            <w:tcW w:w="2160" w:type="dxa"/>
          </w:tcPr>
          <w:p w14:paraId="138DEFAA" w14:textId="77777777" w:rsidR="005F54AD" w:rsidRPr="004016DA" w:rsidRDefault="005F54AD" w:rsidP="000878F6">
            <w:pPr>
              <w:pStyle w:val="Table"/>
              <w:rPr>
                <w:b/>
              </w:rPr>
            </w:pPr>
            <w:r w:rsidRPr="004016DA">
              <w:rPr>
                <w:b/>
              </w:rPr>
              <w:t>Tax Name</w:t>
            </w:r>
          </w:p>
        </w:tc>
        <w:tc>
          <w:tcPr>
            <w:tcW w:w="2160" w:type="dxa"/>
            <w:gridSpan w:val="2"/>
            <w:vAlign w:val="bottom"/>
          </w:tcPr>
          <w:p w14:paraId="47300029" w14:textId="77777777" w:rsidR="005F54AD" w:rsidRPr="002841A6" w:rsidRDefault="005F54AD" w:rsidP="000878F6">
            <w:pPr>
              <w:pStyle w:val="Table"/>
              <w:jc w:val="center"/>
              <w:rPr>
                <w:b/>
                <w:szCs w:val="20"/>
              </w:rPr>
            </w:pPr>
            <w:r>
              <w:rPr>
                <w:rFonts w:ascii="Calibri" w:hAnsi="Calibri" w:cs="Calibri"/>
                <w:b/>
                <w:bCs/>
                <w:color w:val="000000"/>
                <w:szCs w:val="20"/>
              </w:rPr>
              <w:t>% Change in Quantities as % of taxed sector</w:t>
            </w:r>
          </w:p>
        </w:tc>
        <w:tc>
          <w:tcPr>
            <w:tcW w:w="2160" w:type="dxa"/>
            <w:gridSpan w:val="2"/>
            <w:vAlign w:val="bottom"/>
          </w:tcPr>
          <w:p w14:paraId="1782EF9A" w14:textId="77777777" w:rsidR="005F54AD" w:rsidRPr="002841A6" w:rsidRDefault="005F54AD" w:rsidP="000878F6">
            <w:pPr>
              <w:pStyle w:val="Table"/>
              <w:jc w:val="center"/>
              <w:rPr>
                <w:b/>
                <w:szCs w:val="20"/>
              </w:rPr>
            </w:pPr>
            <w:r>
              <w:rPr>
                <w:rFonts w:ascii="Calibri" w:hAnsi="Calibri" w:cs="Calibri"/>
                <w:b/>
                <w:bCs/>
                <w:color w:val="000000"/>
                <w:szCs w:val="20"/>
              </w:rPr>
              <w:t>Change in Revenues (€Mn)</w:t>
            </w:r>
          </w:p>
        </w:tc>
        <w:tc>
          <w:tcPr>
            <w:tcW w:w="2587" w:type="dxa"/>
            <w:gridSpan w:val="2"/>
            <w:vAlign w:val="bottom"/>
          </w:tcPr>
          <w:p w14:paraId="152E9E18" w14:textId="77777777" w:rsidR="005F54AD" w:rsidRPr="002841A6" w:rsidRDefault="005F54AD" w:rsidP="000878F6">
            <w:pPr>
              <w:pStyle w:val="Table"/>
              <w:jc w:val="center"/>
              <w:rPr>
                <w:b/>
                <w:szCs w:val="20"/>
              </w:rPr>
            </w:pPr>
            <w:r>
              <w:rPr>
                <w:rFonts w:ascii="Calibri" w:hAnsi="Calibri" w:cs="Calibri"/>
                <w:b/>
                <w:bCs/>
                <w:color w:val="000000"/>
                <w:szCs w:val="20"/>
              </w:rPr>
              <w:t>As % of 2023 Resource Tax</w:t>
            </w:r>
          </w:p>
        </w:tc>
      </w:tr>
      <w:tr w:rsidR="005F54AD" w:rsidRPr="001840EB" w14:paraId="0E48DE94" w14:textId="77777777" w:rsidTr="00691DB4">
        <w:trPr>
          <w:tblHeader/>
        </w:trPr>
        <w:tc>
          <w:tcPr>
            <w:tcW w:w="2160" w:type="dxa"/>
          </w:tcPr>
          <w:p w14:paraId="4D7BCC50" w14:textId="77777777" w:rsidR="005F54AD" w:rsidRPr="004016DA" w:rsidRDefault="005F54AD" w:rsidP="000878F6">
            <w:pPr>
              <w:pStyle w:val="Table"/>
              <w:rPr>
                <w:b/>
              </w:rPr>
            </w:pPr>
            <w:r w:rsidRPr="004016DA">
              <w:rPr>
                <w:b/>
              </w:rPr>
              <w:t>Year</w:t>
            </w:r>
          </w:p>
        </w:tc>
        <w:tc>
          <w:tcPr>
            <w:tcW w:w="1080" w:type="dxa"/>
          </w:tcPr>
          <w:p w14:paraId="2159F9A6" w14:textId="77777777" w:rsidR="005F54AD" w:rsidRPr="002841A6" w:rsidRDefault="005F54AD" w:rsidP="000878F6">
            <w:pPr>
              <w:pStyle w:val="Table"/>
              <w:jc w:val="center"/>
              <w:rPr>
                <w:b/>
                <w:szCs w:val="20"/>
              </w:rPr>
            </w:pPr>
            <w:r w:rsidRPr="002841A6">
              <w:rPr>
                <w:b/>
                <w:szCs w:val="20"/>
              </w:rPr>
              <w:t>2030</w:t>
            </w:r>
          </w:p>
        </w:tc>
        <w:tc>
          <w:tcPr>
            <w:tcW w:w="1080" w:type="dxa"/>
          </w:tcPr>
          <w:p w14:paraId="13CB0DF4" w14:textId="77777777" w:rsidR="005F54AD" w:rsidRPr="002841A6" w:rsidRDefault="005F54AD" w:rsidP="000878F6">
            <w:pPr>
              <w:pStyle w:val="Table"/>
              <w:jc w:val="center"/>
              <w:rPr>
                <w:b/>
                <w:szCs w:val="20"/>
              </w:rPr>
            </w:pPr>
            <w:r w:rsidRPr="002841A6">
              <w:rPr>
                <w:b/>
                <w:szCs w:val="20"/>
              </w:rPr>
              <w:t>2035</w:t>
            </w:r>
          </w:p>
        </w:tc>
        <w:tc>
          <w:tcPr>
            <w:tcW w:w="990" w:type="dxa"/>
          </w:tcPr>
          <w:p w14:paraId="6FE30967" w14:textId="77777777" w:rsidR="005F54AD" w:rsidRPr="002841A6" w:rsidRDefault="005F54AD" w:rsidP="000878F6">
            <w:pPr>
              <w:pStyle w:val="Table"/>
              <w:jc w:val="center"/>
              <w:rPr>
                <w:b/>
                <w:szCs w:val="20"/>
              </w:rPr>
            </w:pPr>
            <w:r w:rsidRPr="002841A6">
              <w:rPr>
                <w:b/>
                <w:szCs w:val="20"/>
              </w:rPr>
              <w:t>2030</w:t>
            </w:r>
          </w:p>
        </w:tc>
        <w:tc>
          <w:tcPr>
            <w:tcW w:w="1170" w:type="dxa"/>
          </w:tcPr>
          <w:p w14:paraId="73ECA45C" w14:textId="77777777" w:rsidR="005F54AD" w:rsidRPr="002841A6" w:rsidRDefault="005F54AD" w:rsidP="000878F6">
            <w:pPr>
              <w:pStyle w:val="Table"/>
              <w:jc w:val="center"/>
              <w:rPr>
                <w:b/>
                <w:szCs w:val="20"/>
              </w:rPr>
            </w:pPr>
            <w:r w:rsidRPr="002841A6">
              <w:rPr>
                <w:b/>
                <w:szCs w:val="20"/>
              </w:rPr>
              <w:t>2035</w:t>
            </w:r>
          </w:p>
        </w:tc>
        <w:tc>
          <w:tcPr>
            <w:tcW w:w="1312" w:type="dxa"/>
          </w:tcPr>
          <w:p w14:paraId="586A457F" w14:textId="77777777" w:rsidR="005F54AD" w:rsidRPr="002841A6" w:rsidRDefault="005F54AD" w:rsidP="000878F6">
            <w:pPr>
              <w:pStyle w:val="Table"/>
              <w:jc w:val="center"/>
              <w:rPr>
                <w:b/>
                <w:szCs w:val="20"/>
              </w:rPr>
            </w:pPr>
            <w:r w:rsidRPr="002841A6">
              <w:rPr>
                <w:b/>
                <w:szCs w:val="20"/>
              </w:rPr>
              <w:t>2030</w:t>
            </w:r>
          </w:p>
        </w:tc>
        <w:tc>
          <w:tcPr>
            <w:tcW w:w="1275" w:type="dxa"/>
          </w:tcPr>
          <w:p w14:paraId="7FF8FE83" w14:textId="77777777" w:rsidR="005F54AD" w:rsidRPr="002841A6" w:rsidRDefault="005F54AD" w:rsidP="000878F6">
            <w:pPr>
              <w:pStyle w:val="Table"/>
              <w:jc w:val="center"/>
              <w:rPr>
                <w:b/>
                <w:szCs w:val="20"/>
              </w:rPr>
            </w:pPr>
            <w:r w:rsidRPr="002841A6">
              <w:rPr>
                <w:b/>
                <w:szCs w:val="20"/>
              </w:rPr>
              <w:t>2035</w:t>
            </w:r>
          </w:p>
        </w:tc>
      </w:tr>
      <w:tr w:rsidR="005F54AD" w:rsidRPr="001840EB" w14:paraId="636869F5" w14:textId="77777777" w:rsidTr="00691DB4">
        <w:tc>
          <w:tcPr>
            <w:tcW w:w="2160" w:type="dxa"/>
          </w:tcPr>
          <w:p w14:paraId="1C8F9854" w14:textId="77777777" w:rsidR="005F54AD" w:rsidRPr="00F501DA" w:rsidRDefault="005F54AD" w:rsidP="000878F6">
            <w:pPr>
              <w:pStyle w:val="Table"/>
            </w:pPr>
            <w:r w:rsidRPr="00F501DA">
              <w:t>NOx</w:t>
            </w:r>
          </w:p>
        </w:tc>
        <w:tc>
          <w:tcPr>
            <w:tcW w:w="1080" w:type="dxa"/>
            <w:vAlign w:val="center"/>
          </w:tcPr>
          <w:p w14:paraId="4BD389B5" w14:textId="77777777" w:rsidR="005F54AD" w:rsidRPr="002841A6" w:rsidRDefault="005F54AD" w:rsidP="000878F6">
            <w:pPr>
              <w:pStyle w:val="Table"/>
              <w:jc w:val="center"/>
              <w:rPr>
                <w:szCs w:val="20"/>
              </w:rPr>
            </w:pPr>
            <w:r w:rsidRPr="002841A6">
              <w:rPr>
                <w:rFonts w:ascii="Calibri" w:hAnsi="Calibri" w:cs="Calibri"/>
                <w:color w:val="000000"/>
                <w:szCs w:val="20"/>
              </w:rPr>
              <w:t>-38,73%</w:t>
            </w:r>
          </w:p>
        </w:tc>
        <w:tc>
          <w:tcPr>
            <w:tcW w:w="1080" w:type="dxa"/>
            <w:vAlign w:val="center"/>
          </w:tcPr>
          <w:p w14:paraId="0D56D1A1" w14:textId="77777777" w:rsidR="005F54AD" w:rsidRPr="002841A6" w:rsidRDefault="005F54AD" w:rsidP="000878F6">
            <w:pPr>
              <w:pStyle w:val="Table"/>
              <w:jc w:val="center"/>
              <w:rPr>
                <w:szCs w:val="20"/>
              </w:rPr>
            </w:pPr>
            <w:r w:rsidRPr="002841A6">
              <w:rPr>
                <w:rFonts w:ascii="Calibri" w:hAnsi="Calibri" w:cs="Calibri"/>
                <w:color w:val="000000"/>
                <w:szCs w:val="20"/>
              </w:rPr>
              <w:t>-38,73%</w:t>
            </w:r>
          </w:p>
        </w:tc>
        <w:tc>
          <w:tcPr>
            <w:tcW w:w="990" w:type="dxa"/>
            <w:vAlign w:val="center"/>
          </w:tcPr>
          <w:p w14:paraId="56B4BE0A" w14:textId="77777777" w:rsidR="005F54AD" w:rsidRPr="002841A6" w:rsidRDefault="005F54AD" w:rsidP="000878F6">
            <w:pPr>
              <w:pStyle w:val="Table"/>
              <w:jc w:val="center"/>
              <w:rPr>
                <w:szCs w:val="20"/>
              </w:rPr>
            </w:pPr>
            <w:r w:rsidRPr="002841A6">
              <w:rPr>
                <w:rFonts w:ascii="Calibri" w:hAnsi="Calibri" w:cs="Calibri"/>
                <w:color w:val="000000"/>
                <w:szCs w:val="20"/>
              </w:rPr>
              <w:t>1,12</w:t>
            </w:r>
          </w:p>
        </w:tc>
        <w:tc>
          <w:tcPr>
            <w:tcW w:w="1170" w:type="dxa"/>
            <w:vAlign w:val="center"/>
          </w:tcPr>
          <w:p w14:paraId="6EEB7A72" w14:textId="77777777" w:rsidR="005F54AD" w:rsidRPr="002841A6" w:rsidRDefault="005F54AD" w:rsidP="000878F6">
            <w:pPr>
              <w:pStyle w:val="Table"/>
              <w:jc w:val="center"/>
              <w:rPr>
                <w:szCs w:val="20"/>
              </w:rPr>
            </w:pPr>
            <w:r w:rsidRPr="002841A6">
              <w:rPr>
                <w:rFonts w:ascii="Calibri" w:hAnsi="Calibri" w:cs="Calibri"/>
                <w:color w:val="000000"/>
                <w:szCs w:val="20"/>
              </w:rPr>
              <w:t>0,94</w:t>
            </w:r>
          </w:p>
        </w:tc>
        <w:tc>
          <w:tcPr>
            <w:tcW w:w="1312" w:type="dxa"/>
            <w:vAlign w:val="center"/>
          </w:tcPr>
          <w:p w14:paraId="5AC54812" w14:textId="77777777" w:rsidR="005F54AD" w:rsidRPr="002841A6" w:rsidRDefault="005F54AD" w:rsidP="000878F6">
            <w:pPr>
              <w:pStyle w:val="Table"/>
              <w:jc w:val="center"/>
              <w:rPr>
                <w:szCs w:val="20"/>
              </w:rPr>
            </w:pPr>
            <w:r w:rsidRPr="002841A6">
              <w:rPr>
                <w:rFonts w:ascii="Calibri" w:hAnsi="Calibri" w:cs="Calibri"/>
                <w:color w:val="000000"/>
                <w:szCs w:val="20"/>
              </w:rPr>
              <w:t>3,68%</w:t>
            </w:r>
          </w:p>
        </w:tc>
        <w:tc>
          <w:tcPr>
            <w:tcW w:w="1275" w:type="dxa"/>
            <w:vAlign w:val="center"/>
          </w:tcPr>
          <w:p w14:paraId="5D6AC084" w14:textId="77777777" w:rsidR="005F54AD" w:rsidRPr="002841A6" w:rsidRDefault="005F54AD" w:rsidP="000878F6">
            <w:pPr>
              <w:pStyle w:val="Table"/>
              <w:jc w:val="center"/>
              <w:rPr>
                <w:szCs w:val="20"/>
              </w:rPr>
            </w:pPr>
            <w:r w:rsidRPr="002841A6">
              <w:rPr>
                <w:rFonts w:ascii="Calibri" w:hAnsi="Calibri" w:cs="Calibri"/>
                <w:color w:val="000000"/>
                <w:szCs w:val="20"/>
              </w:rPr>
              <w:t>3,09%</w:t>
            </w:r>
          </w:p>
        </w:tc>
      </w:tr>
      <w:tr w:rsidR="005F54AD" w:rsidRPr="001840EB" w14:paraId="7954650D" w14:textId="77777777" w:rsidTr="00691DB4">
        <w:tc>
          <w:tcPr>
            <w:tcW w:w="2160" w:type="dxa"/>
          </w:tcPr>
          <w:p w14:paraId="37B5CC52" w14:textId="77777777" w:rsidR="005F54AD" w:rsidRPr="00F501DA" w:rsidRDefault="005F54AD" w:rsidP="000878F6">
            <w:pPr>
              <w:pStyle w:val="Table"/>
            </w:pPr>
            <w:r w:rsidRPr="00F501DA">
              <w:t>SO2</w:t>
            </w:r>
          </w:p>
        </w:tc>
        <w:tc>
          <w:tcPr>
            <w:tcW w:w="1080" w:type="dxa"/>
            <w:vAlign w:val="center"/>
          </w:tcPr>
          <w:p w14:paraId="546C4A58" w14:textId="77777777" w:rsidR="005F54AD" w:rsidRPr="002841A6" w:rsidRDefault="005F54AD" w:rsidP="000878F6">
            <w:pPr>
              <w:pStyle w:val="Table"/>
              <w:jc w:val="center"/>
              <w:rPr>
                <w:szCs w:val="20"/>
              </w:rPr>
            </w:pPr>
            <w:r w:rsidRPr="002841A6">
              <w:rPr>
                <w:rFonts w:ascii="Calibri" w:hAnsi="Calibri" w:cs="Calibri"/>
                <w:color w:val="000000"/>
                <w:szCs w:val="20"/>
              </w:rPr>
              <w:t>-44,45%</w:t>
            </w:r>
          </w:p>
        </w:tc>
        <w:tc>
          <w:tcPr>
            <w:tcW w:w="1080" w:type="dxa"/>
            <w:vAlign w:val="center"/>
          </w:tcPr>
          <w:p w14:paraId="596CE2AA" w14:textId="77777777" w:rsidR="005F54AD" w:rsidRPr="002841A6" w:rsidRDefault="005F54AD" w:rsidP="000878F6">
            <w:pPr>
              <w:pStyle w:val="Table"/>
              <w:jc w:val="center"/>
              <w:rPr>
                <w:szCs w:val="20"/>
              </w:rPr>
            </w:pPr>
            <w:r w:rsidRPr="002841A6">
              <w:rPr>
                <w:rFonts w:ascii="Calibri" w:hAnsi="Calibri" w:cs="Calibri"/>
                <w:color w:val="000000"/>
                <w:szCs w:val="20"/>
              </w:rPr>
              <w:t>-44,45%</w:t>
            </w:r>
          </w:p>
        </w:tc>
        <w:tc>
          <w:tcPr>
            <w:tcW w:w="990" w:type="dxa"/>
            <w:vAlign w:val="center"/>
          </w:tcPr>
          <w:p w14:paraId="414085A6" w14:textId="77777777" w:rsidR="005F54AD" w:rsidRPr="002841A6" w:rsidRDefault="005F54AD" w:rsidP="000878F6">
            <w:pPr>
              <w:pStyle w:val="Table"/>
              <w:jc w:val="center"/>
              <w:rPr>
                <w:szCs w:val="20"/>
              </w:rPr>
            </w:pPr>
            <w:r w:rsidRPr="002841A6">
              <w:rPr>
                <w:rFonts w:ascii="Calibri" w:hAnsi="Calibri" w:cs="Calibri"/>
                <w:color w:val="000000"/>
                <w:szCs w:val="20"/>
              </w:rPr>
              <w:t>10,13</w:t>
            </w:r>
          </w:p>
        </w:tc>
        <w:tc>
          <w:tcPr>
            <w:tcW w:w="1170" w:type="dxa"/>
            <w:vAlign w:val="center"/>
          </w:tcPr>
          <w:p w14:paraId="63540EBD" w14:textId="77777777" w:rsidR="005F54AD" w:rsidRPr="002841A6" w:rsidRDefault="005F54AD" w:rsidP="000878F6">
            <w:pPr>
              <w:pStyle w:val="Table"/>
              <w:jc w:val="center"/>
              <w:rPr>
                <w:szCs w:val="20"/>
              </w:rPr>
            </w:pPr>
            <w:r w:rsidRPr="002841A6">
              <w:rPr>
                <w:rFonts w:ascii="Calibri" w:hAnsi="Calibri" w:cs="Calibri"/>
                <w:color w:val="000000"/>
                <w:szCs w:val="20"/>
              </w:rPr>
              <w:t>6,28</w:t>
            </w:r>
          </w:p>
        </w:tc>
        <w:tc>
          <w:tcPr>
            <w:tcW w:w="1312" w:type="dxa"/>
            <w:vAlign w:val="center"/>
          </w:tcPr>
          <w:p w14:paraId="2AC655E8" w14:textId="77777777" w:rsidR="005F54AD" w:rsidRPr="002841A6" w:rsidRDefault="005F54AD" w:rsidP="000878F6">
            <w:pPr>
              <w:pStyle w:val="Table"/>
              <w:jc w:val="center"/>
              <w:rPr>
                <w:szCs w:val="20"/>
              </w:rPr>
            </w:pPr>
            <w:r w:rsidRPr="002841A6">
              <w:rPr>
                <w:rFonts w:ascii="Calibri" w:hAnsi="Calibri" w:cs="Calibri"/>
                <w:color w:val="000000"/>
                <w:szCs w:val="20"/>
              </w:rPr>
              <w:t>33,30%</w:t>
            </w:r>
          </w:p>
        </w:tc>
        <w:tc>
          <w:tcPr>
            <w:tcW w:w="1275" w:type="dxa"/>
            <w:vAlign w:val="center"/>
          </w:tcPr>
          <w:p w14:paraId="15DA78AE" w14:textId="77777777" w:rsidR="005F54AD" w:rsidRPr="002841A6" w:rsidRDefault="005F54AD" w:rsidP="000878F6">
            <w:pPr>
              <w:pStyle w:val="Table"/>
              <w:jc w:val="center"/>
              <w:rPr>
                <w:szCs w:val="20"/>
              </w:rPr>
            </w:pPr>
            <w:r w:rsidRPr="002841A6">
              <w:rPr>
                <w:rFonts w:ascii="Calibri" w:hAnsi="Calibri" w:cs="Calibri"/>
                <w:color w:val="000000"/>
                <w:szCs w:val="20"/>
              </w:rPr>
              <w:t>20,64%</w:t>
            </w:r>
          </w:p>
        </w:tc>
      </w:tr>
      <w:tr w:rsidR="005F54AD" w:rsidRPr="001840EB" w14:paraId="094670A1" w14:textId="77777777" w:rsidTr="00691DB4">
        <w:tc>
          <w:tcPr>
            <w:tcW w:w="2160" w:type="dxa"/>
          </w:tcPr>
          <w:p w14:paraId="35B5AC9E" w14:textId="77777777" w:rsidR="005F54AD" w:rsidRPr="00F501DA" w:rsidRDefault="005F54AD" w:rsidP="000878F6">
            <w:pPr>
              <w:pStyle w:val="Table"/>
            </w:pPr>
            <w:r w:rsidRPr="00F501DA">
              <w:t>PM2.5</w:t>
            </w:r>
          </w:p>
        </w:tc>
        <w:tc>
          <w:tcPr>
            <w:tcW w:w="1080" w:type="dxa"/>
            <w:vAlign w:val="center"/>
          </w:tcPr>
          <w:p w14:paraId="15ABFDD8" w14:textId="77777777" w:rsidR="005F54AD" w:rsidRPr="002841A6" w:rsidRDefault="005F54AD" w:rsidP="000878F6">
            <w:pPr>
              <w:pStyle w:val="Table"/>
              <w:jc w:val="center"/>
              <w:rPr>
                <w:szCs w:val="20"/>
              </w:rPr>
            </w:pPr>
            <w:r w:rsidRPr="002841A6">
              <w:rPr>
                <w:rFonts w:ascii="Calibri" w:hAnsi="Calibri" w:cs="Calibri"/>
                <w:color w:val="000000"/>
                <w:szCs w:val="20"/>
              </w:rPr>
              <w:t>-40,21%</w:t>
            </w:r>
          </w:p>
        </w:tc>
        <w:tc>
          <w:tcPr>
            <w:tcW w:w="1080" w:type="dxa"/>
            <w:vAlign w:val="center"/>
          </w:tcPr>
          <w:p w14:paraId="02361626" w14:textId="77777777" w:rsidR="005F54AD" w:rsidRPr="002841A6" w:rsidRDefault="005F54AD" w:rsidP="000878F6">
            <w:pPr>
              <w:pStyle w:val="Table"/>
              <w:jc w:val="center"/>
              <w:rPr>
                <w:szCs w:val="20"/>
              </w:rPr>
            </w:pPr>
            <w:r w:rsidRPr="002841A6">
              <w:rPr>
                <w:rFonts w:ascii="Calibri" w:hAnsi="Calibri" w:cs="Calibri"/>
                <w:color w:val="000000"/>
                <w:szCs w:val="20"/>
              </w:rPr>
              <w:t>-40,21%</w:t>
            </w:r>
          </w:p>
        </w:tc>
        <w:tc>
          <w:tcPr>
            <w:tcW w:w="990" w:type="dxa"/>
            <w:vAlign w:val="center"/>
          </w:tcPr>
          <w:p w14:paraId="6FFC58A3" w14:textId="77777777" w:rsidR="005F54AD" w:rsidRPr="002841A6" w:rsidRDefault="005F54AD" w:rsidP="000878F6">
            <w:pPr>
              <w:pStyle w:val="Table"/>
              <w:jc w:val="center"/>
              <w:rPr>
                <w:szCs w:val="20"/>
              </w:rPr>
            </w:pPr>
            <w:r w:rsidRPr="002841A6">
              <w:rPr>
                <w:rFonts w:ascii="Calibri" w:hAnsi="Calibri" w:cs="Calibri"/>
                <w:color w:val="000000"/>
                <w:szCs w:val="20"/>
              </w:rPr>
              <w:t>1,72</w:t>
            </w:r>
          </w:p>
        </w:tc>
        <w:tc>
          <w:tcPr>
            <w:tcW w:w="1170" w:type="dxa"/>
            <w:vAlign w:val="center"/>
          </w:tcPr>
          <w:p w14:paraId="3EE16532" w14:textId="77777777" w:rsidR="005F54AD" w:rsidRPr="002841A6" w:rsidRDefault="005F54AD" w:rsidP="000878F6">
            <w:pPr>
              <w:pStyle w:val="Table"/>
              <w:jc w:val="center"/>
              <w:rPr>
                <w:szCs w:val="20"/>
              </w:rPr>
            </w:pPr>
            <w:r w:rsidRPr="002841A6">
              <w:rPr>
                <w:rFonts w:ascii="Calibri" w:hAnsi="Calibri" w:cs="Calibri"/>
                <w:color w:val="000000"/>
                <w:szCs w:val="20"/>
              </w:rPr>
              <w:t>1,37</w:t>
            </w:r>
          </w:p>
        </w:tc>
        <w:tc>
          <w:tcPr>
            <w:tcW w:w="1312" w:type="dxa"/>
            <w:vAlign w:val="center"/>
          </w:tcPr>
          <w:p w14:paraId="67F402DB" w14:textId="77777777" w:rsidR="005F54AD" w:rsidRPr="002841A6" w:rsidRDefault="005F54AD" w:rsidP="000878F6">
            <w:pPr>
              <w:pStyle w:val="Table"/>
              <w:jc w:val="center"/>
              <w:rPr>
                <w:szCs w:val="20"/>
              </w:rPr>
            </w:pPr>
            <w:r w:rsidRPr="002841A6">
              <w:rPr>
                <w:rFonts w:ascii="Calibri" w:hAnsi="Calibri" w:cs="Calibri"/>
                <w:color w:val="000000"/>
                <w:szCs w:val="20"/>
              </w:rPr>
              <w:t>5,66%</w:t>
            </w:r>
          </w:p>
        </w:tc>
        <w:tc>
          <w:tcPr>
            <w:tcW w:w="1275" w:type="dxa"/>
            <w:vAlign w:val="center"/>
          </w:tcPr>
          <w:p w14:paraId="171E87A5" w14:textId="77777777" w:rsidR="005F54AD" w:rsidRPr="002841A6" w:rsidRDefault="005F54AD" w:rsidP="000878F6">
            <w:pPr>
              <w:pStyle w:val="Table"/>
              <w:jc w:val="center"/>
              <w:rPr>
                <w:szCs w:val="20"/>
              </w:rPr>
            </w:pPr>
            <w:r w:rsidRPr="002841A6">
              <w:rPr>
                <w:rFonts w:ascii="Calibri" w:hAnsi="Calibri" w:cs="Calibri"/>
                <w:color w:val="000000"/>
                <w:szCs w:val="20"/>
              </w:rPr>
              <w:t>4,51%</w:t>
            </w:r>
          </w:p>
        </w:tc>
      </w:tr>
      <w:tr w:rsidR="005F54AD" w:rsidRPr="001840EB" w14:paraId="6DD2AFA6" w14:textId="77777777" w:rsidTr="00691DB4">
        <w:tc>
          <w:tcPr>
            <w:tcW w:w="2160" w:type="dxa"/>
          </w:tcPr>
          <w:p w14:paraId="6E5B7FFE" w14:textId="77777777" w:rsidR="005F54AD" w:rsidRPr="00F501DA" w:rsidRDefault="005F54AD" w:rsidP="000878F6">
            <w:pPr>
              <w:pStyle w:val="Table"/>
            </w:pPr>
            <w:r w:rsidRPr="00F501DA">
              <w:t>Water Abstraction</w:t>
            </w:r>
          </w:p>
        </w:tc>
        <w:tc>
          <w:tcPr>
            <w:tcW w:w="1080" w:type="dxa"/>
            <w:vAlign w:val="center"/>
          </w:tcPr>
          <w:p w14:paraId="474A1342" w14:textId="77777777" w:rsidR="005F54AD" w:rsidRPr="002841A6" w:rsidRDefault="005F54AD" w:rsidP="000878F6">
            <w:pPr>
              <w:pStyle w:val="Table"/>
              <w:jc w:val="center"/>
              <w:rPr>
                <w:szCs w:val="20"/>
              </w:rPr>
            </w:pPr>
            <w:r w:rsidRPr="002841A6">
              <w:rPr>
                <w:rFonts w:ascii="Calibri" w:hAnsi="Calibri" w:cs="Calibri"/>
                <w:color w:val="000000"/>
                <w:szCs w:val="20"/>
              </w:rPr>
              <w:t>-7,16%</w:t>
            </w:r>
          </w:p>
        </w:tc>
        <w:tc>
          <w:tcPr>
            <w:tcW w:w="1080" w:type="dxa"/>
            <w:vAlign w:val="center"/>
          </w:tcPr>
          <w:p w14:paraId="7FD198AC" w14:textId="77777777" w:rsidR="005F54AD" w:rsidRPr="002841A6" w:rsidRDefault="005F54AD" w:rsidP="000878F6">
            <w:pPr>
              <w:pStyle w:val="Table"/>
              <w:jc w:val="center"/>
              <w:rPr>
                <w:szCs w:val="20"/>
              </w:rPr>
            </w:pPr>
            <w:r w:rsidRPr="002841A6">
              <w:rPr>
                <w:rFonts w:ascii="Calibri" w:hAnsi="Calibri" w:cs="Calibri"/>
                <w:color w:val="000000"/>
                <w:szCs w:val="20"/>
              </w:rPr>
              <w:t>-7,16%</w:t>
            </w:r>
          </w:p>
        </w:tc>
        <w:tc>
          <w:tcPr>
            <w:tcW w:w="990" w:type="dxa"/>
            <w:vAlign w:val="center"/>
          </w:tcPr>
          <w:p w14:paraId="26DB0C8D" w14:textId="77777777" w:rsidR="005F54AD" w:rsidRPr="002841A6" w:rsidRDefault="005F54AD" w:rsidP="000878F6">
            <w:pPr>
              <w:pStyle w:val="Table"/>
              <w:jc w:val="center"/>
              <w:rPr>
                <w:szCs w:val="20"/>
              </w:rPr>
            </w:pPr>
            <w:r w:rsidRPr="002841A6">
              <w:rPr>
                <w:rFonts w:ascii="Calibri" w:hAnsi="Calibri" w:cs="Calibri"/>
                <w:color w:val="000000"/>
                <w:szCs w:val="20"/>
              </w:rPr>
              <w:t>65,42</w:t>
            </w:r>
          </w:p>
        </w:tc>
        <w:tc>
          <w:tcPr>
            <w:tcW w:w="1170" w:type="dxa"/>
            <w:vAlign w:val="center"/>
          </w:tcPr>
          <w:p w14:paraId="3C7D3FAF" w14:textId="77777777" w:rsidR="005F54AD" w:rsidRPr="002841A6" w:rsidRDefault="005F54AD" w:rsidP="000878F6">
            <w:pPr>
              <w:pStyle w:val="Table"/>
              <w:jc w:val="center"/>
              <w:rPr>
                <w:szCs w:val="20"/>
              </w:rPr>
            </w:pPr>
            <w:r w:rsidRPr="002841A6">
              <w:rPr>
                <w:rFonts w:ascii="Calibri" w:hAnsi="Calibri" w:cs="Calibri"/>
                <w:color w:val="000000"/>
                <w:szCs w:val="20"/>
              </w:rPr>
              <w:t>60,79</w:t>
            </w:r>
          </w:p>
        </w:tc>
        <w:tc>
          <w:tcPr>
            <w:tcW w:w="1312" w:type="dxa"/>
            <w:vAlign w:val="center"/>
          </w:tcPr>
          <w:p w14:paraId="2C00FAD6" w14:textId="77777777" w:rsidR="005F54AD" w:rsidRPr="002841A6" w:rsidRDefault="005F54AD" w:rsidP="000878F6">
            <w:pPr>
              <w:pStyle w:val="Table"/>
              <w:jc w:val="center"/>
              <w:rPr>
                <w:szCs w:val="20"/>
              </w:rPr>
            </w:pPr>
            <w:r w:rsidRPr="002841A6">
              <w:rPr>
                <w:rFonts w:ascii="Calibri" w:hAnsi="Calibri" w:cs="Calibri"/>
                <w:color w:val="000000"/>
                <w:szCs w:val="20"/>
              </w:rPr>
              <w:t>N.E.</w:t>
            </w:r>
          </w:p>
        </w:tc>
        <w:tc>
          <w:tcPr>
            <w:tcW w:w="1275" w:type="dxa"/>
            <w:vAlign w:val="center"/>
          </w:tcPr>
          <w:p w14:paraId="3CA3AA8D" w14:textId="77777777" w:rsidR="005F54AD" w:rsidRPr="002841A6" w:rsidRDefault="005F54AD" w:rsidP="000878F6">
            <w:pPr>
              <w:pStyle w:val="Table"/>
              <w:jc w:val="center"/>
              <w:rPr>
                <w:szCs w:val="20"/>
              </w:rPr>
            </w:pPr>
            <w:r w:rsidRPr="002841A6">
              <w:rPr>
                <w:rFonts w:ascii="Calibri" w:hAnsi="Calibri" w:cs="Calibri"/>
                <w:color w:val="000000"/>
                <w:szCs w:val="20"/>
              </w:rPr>
              <w:t>N.E.</w:t>
            </w:r>
          </w:p>
        </w:tc>
      </w:tr>
      <w:tr w:rsidR="005F54AD" w:rsidRPr="001840EB" w14:paraId="6BC93DD4" w14:textId="77777777" w:rsidTr="00691DB4">
        <w:tc>
          <w:tcPr>
            <w:tcW w:w="2160" w:type="dxa"/>
          </w:tcPr>
          <w:p w14:paraId="46A957A2" w14:textId="77777777" w:rsidR="005F54AD" w:rsidRPr="00F501DA" w:rsidRDefault="005F54AD" w:rsidP="000878F6">
            <w:pPr>
              <w:pStyle w:val="Table"/>
            </w:pPr>
            <w:r w:rsidRPr="00F501DA">
              <w:t>Fertilizers</w:t>
            </w:r>
          </w:p>
        </w:tc>
        <w:tc>
          <w:tcPr>
            <w:tcW w:w="1080" w:type="dxa"/>
            <w:vAlign w:val="center"/>
          </w:tcPr>
          <w:p w14:paraId="6993C415" w14:textId="77777777" w:rsidR="005F54AD" w:rsidRPr="002841A6" w:rsidRDefault="005F54AD" w:rsidP="000878F6">
            <w:pPr>
              <w:pStyle w:val="Table"/>
              <w:jc w:val="center"/>
              <w:rPr>
                <w:szCs w:val="20"/>
              </w:rPr>
            </w:pPr>
            <w:r w:rsidRPr="002841A6">
              <w:rPr>
                <w:rFonts w:ascii="Calibri" w:hAnsi="Calibri" w:cs="Calibri"/>
                <w:color w:val="000000"/>
                <w:szCs w:val="20"/>
              </w:rPr>
              <w:t>-17,97%</w:t>
            </w:r>
          </w:p>
        </w:tc>
        <w:tc>
          <w:tcPr>
            <w:tcW w:w="1080" w:type="dxa"/>
            <w:vAlign w:val="center"/>
          </w:tcPr>
          <w:p w14:paraId="64D6387C" w14:textId="77777777" w:rsidR="005F54AD" w:rsidRPr="002841A6" w:rsidRDefault="005F54AD" w:rsidP="000878F6">
            <w:pPr>
              <w:pStyle w:val="Table"/>
              <w:jc w:val="center"/>
              <w:rPr>
                <w:szCs w:val="20"/>
              </w:rPr>
            </w:pPr>
            <w:r w:rsidRPr="002841A6">
              <w:rPr>
                <w:rFonts w:ascii="Calibri" w:hAnsi="Calibri" w:cs="Calibri"/>
                <w:color w:val="000000"/>
                <w:szCs w:val="20"/>
              </w:rPr>
              <w:t>-17,97%</w:t>
            </w:r>
          </w:p>
        </w:tc>
        <w:tc>
          <w:tcPr>
            <w:tcW w:w="990" w:type="dxa"/>
            <w:vAlign w:val="center"/>
          </w:tcPr>
          <w:p w14:paraId="0941EB9B" w14:textId="77777777" w:rsidR="005F54AD" w:rsidRPr="002841A6" w:rsidRDefault="005F54AD" w:rsidP="000878F6">
            <w:pPr>
              <w:pStyle w:val="Table"/>
              <w:jc w:val="center"/>
              <w:rPr>
                <w:szCs w:val="20"/>
              </w:rPr>
            </w:pPr>
            <w:r w:rsidRPr="002841A6">
              <w:rPr>
                <w:rFonts w:ascii="Calibri" w:hAnsi="Calibri" w:cs="Calibri"/>
                <w:color w:val="000000"/>
                <w:szCs w:val="20"/>
              </w:rPr>
              <w:t>13,73</w:t>
            </w:r>
          </w:p>
        </w:tc>
        <w:tc>
          <w:tcPr>
            <w:tcW w:w="1170" w:type="dxa"/>
            <w:vAlign w:val="center"/>
          </w:tcPr>
          <w:p w14:paraId="40F844C4" w14:textId="77777777" w:rsidR="005F54AD" w:rsidRPr="002841A6" w:rsidRDefault="005F54AD" w:rsidP="000878F6">
            <w:pPr>
              <w:pStyle w:val="Table"/>
              <w:jc w:val="center"/>
              <w:rPr>
                <w:szCs w:val="20"/>
              </w:rPr>
            </w:pPr>
            <w:r w:rsidRPr="002841A6">
              <w:rPr>
                <w:rFonts w:ascii="Calibri" w:hAnsi="Calibri" w:cs="Calibri"/>
                <w:color w:val="000000"/>
                <w:szCs w:val="20"/>
              </w:rPr>
              <w:t>13,41</w:t>
            </w:r>
          </w:p>
        </w:tc>
        <w:tc>
          <w:tcPr>
            <w:tcW w:w="1312" w:type="dxa"/>
            <w:vAlign w:val="center"/>
          </w:tcPr>
          <w:p w14:paraId="0F72FA88" w14:textId="77777777" w:rsidR="005F54AD" w:rsidRPr="002841A6" w:rsidRDefault="005F54AD" w:rsidP="000878F6">
            <w:pPr>
              <w:pStyle w:val="Table"/>
              <w:jc w:val="center"/>
              <w:rPr>
                <w:szCs w:val="20"/>
              </w:rPr>
            </w:pPr>
            <w:r w:rsidRPr="002841A6">
              <w:rPr>
                <w:rFonts w:ascii="Calibri" w:hAnsi="Calibri" w:cs="Calibri"/>
                <w:color w:val="000000"/>
                <w:szCs w:val="20"/>
              </w:rPr>
              <w:t>45,15%</w:t>
            </w:r>
          </w:p>
        </w:tc>
        <w:tc>
          <w:tcPr>
            <w:tcW w:w="1275" w:type="dxa"/>
            <w:vAlign w:val="center"/>
          </w:tcPr>
          <w:p w14:paraId="4901F964" w14:textId="77777777" w:rsidR="005F54AD" w:rsidRPr="002841A6" w:rsidRDefault="005F54AD" w:rsidP="000878F6">
            <w:pPr>
              <w:pStyle w:val="Table"/>
              <w:jc w:val="center"/>
              <w:rPr>
                <w:szCs w:val="20"/>
              </w:rPr>
            </w:pPr>
            <w:r w:rsidRPr="002841A6">
              <w:rPr>
                <w:rFonts w:ascii="Calibri" w:hAnsi="Calibri" w:cs="Calibri"/>
                <w:color w:val="000000"/>
                <w:szCs w:val="20"/>
              </w:rPr>
              <w:t>44,10%</w:t>
            </w:r>
          </w:p>
        </w:tc>
      </w:tr>
      <w:tr w:rsidR="005F54AD" w:rsidRPr="001840EB" w14:paraId="756A8A73" w14:textId="77777777" w:rsidTr="00691DB4">
        <w:tc>
          <w:tcPr>
            <w:tcW w:w="2160" w:type="dxa"/>
          </w:tcPr>
          <w:p w14:paraId="2255D951" w14:textId="77777777" w:rsidR="005F54AD" w:rsidRPr="00F501DA" w:rsidRDefault="005F54AD" w:rsidP="000878F6">
            <w:pPr>
              <w:pStyle w:val="Table"/>
            </w:pPr>
            <w:r w:rsidRPr="00F501DA">
              <w:t>Pesticides</w:t>
            </w:r>
          </w:p>
        </w:tc>
        <w:tc>
          <w:tcPr>
            <w:tcW w:w="1080" w:type="dxa"/>
            <w:vAlign w:val="center"/>
          </w:tcPr>
          <w:p w14:paraId="527EB019" w14:textId="77777777" w:rsidR="005F54AD" w:rsidRPr="002841A6" w:rsidRDefault="005F54AD" w:rsidP="000878F6">
            <w:pPr>
              <w:pStyle w:val="Table"/>
              <w:jc w:val="center"/>
              <w:rPr>
                <w:szCs w:val="20"/>
              </w:rPr>
            </w:pPr>
            <w:r w:rsidRPr="002841A6">
              <w:rPr>
                <w:rFonts w:ascii="Calibri" w:hAnsi="Calibri" w:cs="Calibri"/>
                <w:color w:val="000000"/>
                <w:szCs w:val="20"/>
              </w:rPr>
              <w:t>n/a</w:t>
            </w:r>
          </w:p>
        </w:tc>
        <w:tc>
          <w:tcPr>
            <w:tcW w:w="1080" w:type="dxa"/>
            <w:vAlign w:val="center"/>
          </w:tcPr>
          <w:p w14:paraId="61368759" w14:textId="77777777" w:rsidR="005F54AD" w:rsidRPr="002841A6" w:rsidRDefault="005F54AD" w:rsidP="000878F6">
            <w:pPr>
              <w:pStyle w:val="Table"/>
              <w:jc w:val="center"/>
              <w:rPr>
                <w:szCs w:val="20"/>
              </w:rPr>
            </w:pPr>
            <w:r w:rsidRPr="002841A6">
              <w:rPr>
                <w:rFonts w:ascii="Calibri" w:hAnsi="Calibri" w:cs="Calibri"/>
                <w:color w:val="000000"/>
                <w:szCs w:val="20"/>
              </w:rPr>
              <w:t>n/a</w:t>
            </w:r>
          </w:p>
        </w:tc>
        <w:tc>
          <w:tcPr>
            <w:tcW w:w="990" w:type="dxa"/>
            <w:vAlign w:val="center"/>
          </w:tcPr>
          <w:p w14:paraId="03F33A20" w14:textId="77777777" w:rsidR="005F54AD" w:rsidRPr="002841A6" w:rsidRDefault="005F54AD" w:rsidP="000878F6">
            <w:pPr>
              <w:pStyle w:val="Table"/>
              <w:jc w:val="center"/>
              <w:rPr>
                <w:szCs w:val="20"/>
              </w:rPr>
            </w:pPr>
            <w:r w:rsidRPr="002841A6">
              <w:rPr>
                <w:rFonts w:ascii="Calibri" w:hAnsi="Calibri" w:cs="Calibri"/>
                <w:color w:val="000000"/>
                <w:szCs w:val="20"/>
              </w:rPr>
              <w:t>24,33</w:t>
            </w:r>
          </w:p>
        </w:tc>
        <w:tc>
          <w:tcPr>
            <w:tcW w:w="1170" w:type="dxa"/>
            <w:vAlign w:val="center"/>
          </w:tcPr>
          <w:p w14:paraId="25099A78" w14:textId="77777777" w:rsidR="005F54AD" w:rsidRPr="002841A6" w:rsidRDefault="005F54AD" w:rsidP="000878F6">
            <w:pPr>
              <w:pStyle w:val="Table"/>
              <w:jc w:val="center"/>
              <w:rPr>
                <w:szCs w:val="20"/>
              </w:rPr>
            </w:pPr>
            <w:r w:rsidRPr="002841A6">
              <w:rPr>
                <w:rFonts w:ascii="Calibri" w:hAnsi="Calibri" w:cs="Calibri"/>
                <w:color w:val="000000"/>
                <w:szCs w:val="20"/>
              </w:rPr>
              <w:t>24,15</w:t>
            </w:r>
          </w:p>
        </w:tc>
        <w:tc>
          <w:tcPr>
            <w:tcW w:w="1312" w:type="dxa"/>
            <w:vAlign w:val="center"/>
          </w:tcPr>
          <w:p w14:paraId="7C77B3F3" w14:textId="77777777" w:rsidR="005F54AD" w:rsidRPr="002841A6" w:rsidRDefault="005F54AD" w:rsidP="000878F6">
            <w:pPr>
              <w:pStyle w:val="Table"/>
              <w:jc w:val="center"/>
              <w:rPr>
                <w:szCs w:val="20"/>
              </w:rPr>
            </w:pPr>
            <w:r w:rsidRPr="002841A6">
              <w:rPr>
                <w:rFonts w:ascii="Calibri" w:hAnsi="Calibri" w:cs="Calibri"/>
                <w:color w:val="000000"/>
                <w:szCs w:val="20"/>
              </w:rPr>
              <w:t>80,02%</w:t>
            </w:r>
          </w:p>
        </w:tc>
        <w:tc>
          <w:tcPr>
            <w:tcW w:w="1275" w:type="dxa"/>
            <w:vAlign w:val="center"/>
          </w:tcPr>
          <w:p w14:paraId="173F60A0" w14:textId="77777777" w:rsidR="005F54AD" w:rsidRPr="002841A6" w:rsidRDefault="005F54AD" w:rsidP="000878F6">
            <w:pPr>
              <w:pStyle w:val="Table"/>
              <w:jc w:val="center"/>
              <w:rPr>
                <w:szCs w:val="20"/>
              </w:rPr>
            </w:pPr>
            <w:r w:rsidRPr="002841A6">
              <w:rPr>
                <w:rFonts w:ascii="Calibri" w:hAnsi="Calibri" w:cs="Calibri"/>
                <w:color w:val="000000"/>
                <w:szCs w:val="20"/>
              </w:rPr>
              <w:t>79,42%</w:t>
            </w:r>
          </w:p>
        </w:tc>
      </w:tr>
      <w:tr w:rsidR="005F54AD" w:rsidRPr="001840EB" w14:paraId="0ED40EC5" w14:textId="77777777" w:rsidTr="00691DB4">
        <w:tc>
          <w:tcPr>
            <w:tcW w:w="2160" w:type="dxa"/>
          </w:tcPr>
          <w:p w14:paraId="134E640D" w14:textId="77777777" w:rsidR="005F54AD" w:rsidRPr="00F501DA" w:rsidRDefault="005F54AD" w:rsidP="000878F6">
            <w:pPr>
              <w:pStyle w:val="Table"/>
            </w:pPr>
            <w:r w:rsidRPr="00F501DA">
              <w:t>Waste Incineration</w:t>
            </w:r>
          </w:p>
        </w:tc>
        <w:tc>
          <w:tcPr>
            <w:tcW w:w="1080" w:type="dxa"/>
            <w:vAlign w:val="center"/>
          </w:tcPr>
          <w:p w14:paraId="41610D61" w14:textId="77777777" w:rsidR="005F54AD" w:rsidRPr="002841A6" w:rsidRDefault="005F54AD" w:rsidP="000878F6">
            <w:pPr>
              <w:pStyle w:val="Table"/>
              <w:jc w:val="center"/>
              <w:rPr>
                <w:szCs w:val="20"/>
              </w:rPr>
            </w:pPr>
            <w:r w:rsidRPr="002841A6">
              <w:rPr>
                <w:rFonts w:ascii="Calibri" w:hAnsi="Calibri" w:cs="Calibri"/>
                <w:color w:val="000000"/>
                <w:szCs w:val="20"/>
              </w:rPr>
              <w:t>-20,00%</w:t>
            </w:r>
          </w:p>
        </w:tc>
        <w:tc>
          <w:tcPr>
            <w:tcW w:w="1080" w:type="dxa"/>
            <w:vAlign w:val="center"/>
          </w:tcPr>
          <w:p w14:paraId="434B2718" w14:textId="77777777" w:rsidR="005F54AD" w:rsidRPr="002841A6" w:rsidRDefault="005F54AD" w:rsidP="000878F6">
            <w:pPr>
              <w:pStyle w:val="Table"/>
              <w:jc w:val="center"/>
              <w:rPr>
                <w:szCs w:val="20"/>
              </w:rPr>
            </w:pPr>
            <w:r w:rsidRPr="002841A6">
              <w:rPr>
                <w:rFonts w:ascii="Calibri" w:hAnsi="Calibri" w:cs="Calibri"/>
                <w:color w:val="000000"/>
                <w:szCs w:val="20"/>
              </w:rPr>
              <w:t>-20,00%</w:t>
            </w:r>
          </w:p>
        </w:tc>
        <w:tc>
          <w:tcPr>
            <w:tcW w:w="990" w:type="dxa"/>
            <w:vAlign w:val="center"/>
          </w:tcPr>
          <w:p w14:paraId="352789ED" w14:textId="77777777" w:rsidR="005F54AD" w:rsidRPr="002841A6" w:rsidRDefault="005F54AD" w:rsidP="000878F6">
            <w:pPr>
              <w:pStyle w:val="Table"/>
              <w:jc w:val="center"/>
              <w:rPr>
                <w:szCs w:val="20"/>
              </w:rPr>
            </w:pPr>
            <w:r w:rsidRPr="002841A6">
              <w:rPr>
                <w:rFonts w:ascii="Calibri" w:hAnsi="Calibri" w:cs="Calibri"/>
                <w:color w:val="000000"/>
                <w:szCs w:val="20"/>
              </w:rPr>
              <w:t>1,50</w:t>
            </w:r>
          </w:p>
        </w:tc>
        <w:tc>
          <w:tcPr>
            <w:tcW w:w="1170" w:type="dxa"/>
            <w:vAlign w:val="center"/>
          </w:tcPr>
          <w:p w14:paraId="48E32A81" w14:textId="77777777" w:rsidR="005F54AD" w:rsidRPr="002841A6" w:rsidRDefault="005F54AD" w:rsidP="000878F6">
            <w:pPr>
              <w:pStyle w:val="Table"/>
              <w:jc w:val="center"/>
              <w:rPr>
                <w:szCs w:val="20"/>
              </w:rPr>
            </w:pPr>
            <w:r w:rsidRPr="002841A6">
              <w:rPr>
                <w:rFonts w:ascii="Calibri" w:hAnsi="Calibri" w:cs="Calibri"/>
                <w:color w:val="000000"/>
                <w:szCs w:val="20"/>
              </w:rPr>
              <w:t>1,76</w:t>
            </w:r>
          </w:p>
        </w:tc>
        <w:tc>
          <w:tcPr>
            <w:tcW w:w="1312" w:type="dxa"/>
            <w:vAlign w:val="center"/>
          </w:tcPr>
          <w:p w14:paraId="4DE275CC" w14:textId="77777777" w:rsidR="005F54AD" w:rsidRPr="002841A6" w:rsidRDefault="005F54AD" w:rsidP="000878F6">
            <w:pPr>
              <w:pStyle w:val="Table"/>
              <w:jc w:val="center"/>
              <w:rPr>
                <w:szCs w:val="20"/>
              </w:rPr>
            </w:pPr>
            <w:r w:rsidRPr="002841A6">
              <w:rPr>
                <w:rFonts w:ascii="Calibri" w:hAnsi="Calibri" w:cs="Calibri"/>
                <w:color w:val="000000"/>
                <w:szCs w:val="20"/>
              </w:rPr>
              <w:t>4,92%</w:t>
            </w:r>
          </w:p>
        </w:tc>
        <w:tc>
          <w:tcPr>
            <w:tcW w:w="1275" w:type="dxa"/>
            <w:vAlign w:val="center"/>
          </w:tcPr>
          <w:p w14:paraId="03CDF246" w14:textId="77777777" w:rsidR="005F54AD" w:rsidRPr="002841A6" w:rsidRDefault="005F54AD" w:rsidP="000878F6">
            <w:pPr>
              <w:pStyle w:val="Table"/>
              <w:jc w:val="center"/>
              <w:rPr>
                <w:szCs w:val="20"/>
              </w:rPr>
            </w:pPr>
            <w:r w:rsidRPr="002841A6">
              <w:rPr>
                <w:rFonts w:ascii="Calibri" w:hAnsi="Calibri" w:cs="Calibri"/>
                <w:color w:val="000000"/>
                <w:szCs w:val="20"/>
              </w:rPr>
              <w:t>5,80%</w:t>
            </w:r>
          </w:p>
        </w:tc>
      </w:tr>
      <w:tr w:rsidR="005F54AD" w:rsidRPr="001840EB" w14:paraId="76AEB1E0" w14:textId="77777777" w:rsidTr="00691DB4">
        <w:tc>
          <w:tcPr>
            <w:tcW w:w="2160" w:type="dxa"/>
          </w:tcPr>
          <w:p w14:paraId="78475CE7" w14:textId="77777777" w:rsidR="005F54AD" w:rsidRPr="00F501DA" w:rsidRDefault="005F54AD" w:rsidP="000878F6">
            <w:pPr>
              <w:pStyle w:val="Table"/>
            </w:pPr>
            <w:r w:rsidRPr="00F501DA">
              <w:t>Waste to Landfill</w:t>
            </w:r>
          </w:p>
        </w:tc>
        <w:tc>
          <w:tcPr>
            <w:tcW w:w="1080" w:type="dxa"/>
            <w:vAlign w:val="center"/>
          </w:tcPr>
          <w:p w14:paraId="64C3F2BE" w14:textId="77777777" w:rsidR="005F54AD" w:rsidRPr="002841A6" w:rsidRDefault="005F54AD" w:rsidP="000878F6">
            <w:pPr>
              <w:pStyle w:val="Table"/>
              <w:jc w:val="center"/>
              <w:rPr>
                <w:szCs w:val="20"/>
              </w:rPr>
            </w:pPr>
            <w:r w:rsidRPr="002841A6">
              <w:rPr>
                <w:rFonts w:ascii="Calibri" w:hAnsi="Calibri" w:cs="Calibri"/>
                <w:color w:val="000000"/>
                <w:szCs w:val="20"/>
              </w:rPr>
              <w:t>-32,22%</w:t>
            </w:r>
          </w:p>
        </w:tc>
        <w:tc>
          <w:tcPr>
            <w:tcW w:w="1080" w:type="dxa"/>
            <w:vAlign w:val="center"/>
          </w:tcPr>
          <w:p w14:paraId="4C44415C" w14:textId="77777777" w:rsidR="005F54AD" w:rsidRPr="002841A6" w:rsidRDefault="005F54AD" w:rsidP="000878F6">
            <w:pPr>
              <w:pStyle w:val="Table"/>
              <w:jc w:val="center"/>
              <w:rPr>
                <w:szCs w:val="20"/>
              </w:rPr>
            </w:pPr>
            <w:r w:rsidRPr="002841A6">
              <w:rPr>
                <w:rFonts w:ascii="Calibri" w:hAnsi="Calibri" w:cs="Calibri"/>
                <w:color w:val="000000"/>
                <w:szCs w:val="20"/>
              </w:rPr>
              <w:t>-32,22%</w:t>
            </w:r>
          </w:p>
        </w:tc>
        <w:tc>
          <w:tcPr>
            <w:tcW w:w="990" w:type="dxa"/>
            <w:vAlign w:val="center"/>
          </w:tcPr>
          <w:p w14:paraId="718C3432" w14:textId="77777777" w:rsidR="005F54AD" w:rsidRPr="002841A6" w:rsidRDefault="005F54AD" w:rsidP="000878F6">
            <w:pPr>
              <w:pStyle w:val="Table"/>
              <w:jc w:val="center"/>
              <w:rPr>
                <w:szCs w:val="20"/>
              </w:rPr>
            </w:pPr>
            <w:r w:rsidRPr="002841A6">
              <w:rPr>
                <w:rFonts w:ascii="Calibri" w:hAnsi="Calibri" w:cs="Calibri"/>
                <w:color w:val="000000"/>
                <w:szCs w:val="20"/>
              </w:rPr>
              <w:t>91,52</w:t>
            </w:r>
          </w:p>
        </w:tc>
        <w:tc>
          <w:tcPr>
            <w:tcW w:w="1170" w:type="dxa"/>
            <w:vAlign w:val="center"/>
          </w:tcPr>
          <w:p w14:paraId="2ABB50D6" w14:textId="77777777" w:rsidR="005F54AD" w:rsidRPr="002841A6" w:rsidRDefault="005F54AD" w:rsidP="000878F6">
            <w:pPr>
              <w:pStyle w:val="Table"/>
              <w:jc w:val="center"/>
              <w:rPr>
                <w:szCs w:val="20"/>
              </w:rPr>
            </w:pPr>
            <w:r w:rsidRPr="002841A6">
              <w:rPr>
                <w:rFonts w:ascii="Calibri" w:hAnsi="Calibri" w:cs="Calibri"/>
                <w:color w:val="000000"/>
                <w:szCs w:val="20"/>
              </w:rPr>
              <w:t>84,64</w:t>
            </w:r>
          </w:p>
        </w:tc>
        <w:tc>
          <w:tcPr>
            <w:tcW w:w="1312" w:type="dxa"/>
            <w:vAlign w:val="center"/>
          </w:tcPr>
          <w:p w14:paraId="6F18E028" w14:textId="77777777" w:rsidR="005F54AD" w:rsidRPr="002841A6" w:rsidRDefault="005F54AD" w:rsidP="000878F6">
            <w:pPr>
              <w:pStyle w:val="Table"/>
              <w:jc w:val="center"/>
              <w:rPr>
                <w:szCs w:val="20"/>
              </w:rPr>
            </w:pPr>
            <w:r w:rsidRPr="002841A6">
              <w:rPr>
                <w:rFonts w:ascii="Calibri" w:hAnsi="Calibri" w:cs="Calibri"/>
                <w:color w:val="000000"/>
                <w:szCs w:val="20"/>
              </w:rPr>
              <w:t>300,96%</w:t>
            </w:r>
          </w:p>
        </w:tc>
        <w:tc>
          <w:tcPr>
            <w:tcW w:w="1275" w:type="dxa"/>
            <w:vAlign w:val="center"/>
          </w:tcPr>
          <w:p w14:paraId="285C4423" w14:textId="77777777" w:rsidR="005F54AD" w:rsidRPr="002841A6" w:rsidRDefault="005F54AD" w:rsidP="000878F6">
            <w:pPr>
              <w:pStyle w:val="Table"/>
              <w:jc w:val="center"/>
              <w:rPr>
                <w:szCs w:val="20"/>
              </w:rPr>
            </w:pPr>
            <w:r w:rsidRPr="002841A6">
              <w:rPr>
                <w:rFonts w:ascii="Calibri" w:hAnsi="Calibri" w:cs="Calibri"/>
                <w:color w:val="000000"/>
                <w:szCs w:val="20"/>
              </w:rPr>
              <w:t>278,34%</w:t>
            </w:r>
          </w:p>
        </w:tc>
      </w:tr>
      <w:tr w:rsidR="005F54AD" w:rsidRPr="001840EB" w14:paraId="7CBFA9B3" w14:textId="77777777" w:rsidTr="00691DB4">
        <w:tc>
          <w:tcPr>
            <w:tcW w:w="2160" w:type="dxa"/>
          </w:tcPr>
          <w:p w14:paraId="26EAE34D" w14:textId="77777777" w:rsidR="005F54AD" w:rsidRPr="00F501DA" w:rsidRDefault="005F54AD" w:rsidP="000878F6">
            <w:pPr>
              <w:pStyle w:val="Table"/>
            </w:pPr>
            <w:r w:rsidRPr="00F501DA">
              <w:t>Water Effluent</w:t>
            </w:r>
          </w:p>
        </w:tc>
        <w:tc>
          <w:tcPr>
            <w:tcW w:w="1080" w:type="dxa"/>
            <w:vAlign w:val="center"/>
          </w:tcPr>
          <w:p w14:paraId="1C1EBD4B" w14:textId="77777777" w:rsidR="005F54AD" w:rsidRPr="002841A6" w:rsidRDefault="005F54AD" w:rsidP="000878F6">
            <w:pPr>
              <w:pStyle w:val="Table"/>
              <w:jc w:val="center"/>
              <w:rPr>
                <w:szCs w:val="20"/>
              </w:rPr>
            </w:pPr>
            <w:r w:rsidRPr="002841A6">
              <w:rPr>
                <w:rFonts w:ascii="Calibri" w:hAnsi="Calibri" w:cs="Calibri"/>
                <w:color w:val="000000"/>
                <w:szCs w:val="20"/>
              </w:rPr>
              <w:t>0,00%</w:t>
            </w:r>
          </w:p>
        </w:tc>
        <w:tc>
          <w:tcPr>
            <w:tcW w:w="1080" w:type="dxa"/>
            <w:vAlign w:val="center"/>
          </w:tcPr>
          <w:p w14:paraId="6250A230" w14:textId="77777777" w:rsidR="005F54AD" w:rsidRPr="002841A6" w:rsidRDefault="005F54AD" w:rsidP="000878F6">
            <w:pPr>
              <w:pStyle w:val="Table"/>
              <w:jc w:val="center"/>
              <w:rPr>
                <w:szCs w:val="20"/>
              </w:rPr>
            </w:pPr>
            <w:r w:rsidRPr="002841A6">
              <w:rPr>
                <w:rFonts w:ascii="Calibri" w:hAnsi="Calibri" w:cs="Calibri"/>
                <w:color w:val="000000"/>
                <w:szCs w:val="20"/>
              </w:rPr>
              <w:t>0,00%</w:t>
            </w:r>
          </w:p>
        </w:tc>
        <w:tc>
          <w:tcPr>
            <w:tcW w:w="990" w:type="dxa"/>
            <w:vAlign w:val="center"/>
          </w:tcPr>
          <w:p w14:paraId="4A6AF144" w14:textId="77777777" w:rsidR="005F54AD" w:rsidRPr="002841A6" w:rsidRDefault="005F54AD" w:rsidP="000878F6">
            <w:pPr>
              <w:pStyle w:val="Table"/>
              <w:jc w:val="center"/>
              <w:rPr>
                <w:szCs w:val="20"/>
              </w:rPr>
            </w:pPr>
            <w:r w:rsidRPr="002841A6">
              <w:rPr>
                <w:rFonts w:ascii="Calibri" w:hAnsi="Calibri" w:cs="Calibri"/>
                <w:color w:val="000000"/>
                <w:szCs w:val="20"/>
              </w:rPr>
              <w:t>0,00</w:t>
            </w:r>
          </w:p>
        </w:tc>
        <w:tc>
          <w:tcPr>
            <w:tcW w:w="1170" w:type="dxa"/>
            <w:vAlign w:val="center"/>
          </w:tcPr>
          <w:p w14:paraId="03B691C7" w14:textId="77777777" w:rsidR="005F54AD" w:rsidRPr="002841A6" w:rsidRDefault="005F54AD" w:rsidP="000878F6">
            <w:pPr>
              <w:pStyle w:val="Table"/>
              <w:jc w:val="center"/>
              <w:rPr>
                <w:szCs w:val="20"/>
              </w:rPr>
            </w:pPr>
            <w:r w:rsidRPr="002841A6">
              <w:rPr>
                <w:rFonts w:ascii="Calibri" w:hAnsi="Calibri" w:cs="Calibri"/>
                <w:color w:val="000000"/>
                <w:szCs w:val="20"/>
              </w:rPr>
              <w:t>0,00</w:t>
            </w:r>
          </w:p>
        </w:tc>
        <w:tc>
          <w:tcPr>
            <w:tcW w:w="1312" w:type="dxa"/>
            <w:vAlign w:val="center"/>
          </w:tcPr>
          <w:p w14:paraId="0E032B21" w14:textId="77777777" w:rsidR="005F54AD" w:rsidRPr="002841A6" w:rsidRDefault="005F54AD" w:rsidP="000878F6">
            <w:pPr>
              <w:pStyle w:val="Table"/>
              <w:jc w:val="center"/>
              <w:rPr>
                <w:szCs w:val="20"/>
              </w:rPr>
            </w:pPr>
            <w:r w:rsidRPr="002841A6">
              <w:rPr>
                <w:rFonts w:ascii="Calibri" w:hAnsi="Calibri" w:cs="Calibri"/>
                <w:color w:val="000000"/>
                <w:szCs w:val="20"/>
              </w:rPr>
              <w:t>0,00%</w:t>
            </w:r>
          </w:p>
        </w:tc>
        <w:tc>
          <w:tcPr>
            <w:tcW w:w="1275" w:type="dxa"/>
            <w:vAlign w:val="center"/>
          </w:tcPr>
          <w:p w14:paraId="2A9A4E6E" w14:textId="77777777" w:rsidR="005F54AD" w:rsidRPr="002841A6" w:rsidRDefault="005F54AD" w:rsidP="000878F6">
            <w:pPr>
              <w:pStyle w:val="Table"/>
              <w:jc w:val="center"/>
              <w:rPr>
                <w:szCs w:val="20"/>
              </w:rPr>
            </w:pPr>
            <w:r w:rsidRPr="002841A6">
              <w:rPr>
                <w:rFonts w:ascii="Calibri" w:hAnsi="Calibri" w:cs="Calibri"/>
                <w:color w:val="000000"/>
                <w:szCs w:val="20"/>
              </w:rPr>
              <w:t>0,00%</w:t>
            </w:r>
          </w:p>
        </w:tc>
      </w:tr>
      <w:tr w:rsidR="005F54AD" w:rsidRPr="001840EB" w14:paraId="7EA6A602" w14:textId="77777777" w:rsidTr="00691DB4">
        <w:tc>
          <w:tcPr>
            <w:tcW w:w="2160" w:type="dxa"/>
          </w:tcPr>
          <w:p w14:paraId="5FDE2CC4" w14:textId="77777777" w:rsidR="005F54AD" w:rsidRPr="001840EB" w:rsidRDefault="005F54AD" w:rsidP="000878F6">
            <w:pPr>
              <w:pStyle w:val="Table"/>
            </w:pPr>
            <w:r w:rsidRPr="001840EB">
              <w:t>Minerals &amp; Aggregates</w:t>
            </w:r>
          </w:p>
        </w:tc>
        <w:tc>
          <w:tcPr>
            <w:tcW w:w="1080" w:type="dxa"/>
            <w:vAlign w:val="center"/>
          </w:tcPr>
          <w:p w14:paraId="696834E4" w14:textId="77777777" w:rsidR="005F54AD" w:rsidRPr="002841A6" w:rsidRDefault="005F54AD" w:rsidP="000878F6">
            <w:pPr>
              <w:pStyle w:val="Table"/>
              <w:jc w:val="center"/>
              <w:rPr>
                <w:szCs w:val="20"/>
              </w:rPr>
            </w:pPr>
            <w:r w:rsidRPr="002841A6">
              <w:rPr>
                <w:rFonts w:ascii="Calibri" w:hAnsi="Calibri" w:cs="Calibri"/>
                <w:color w:val="000000"/>
                <w:szCs w:val="20"/>
              </w:rPr>
              <w:t>0,00%</w:t>
            </w:r>
          </w:p>
        </w:tc>
        <w:tc>
          <w:tcPr>
            <w:tcW w:w="1080" w:type="dxa"/>
            <w:vAlign w:val="center"/>
          </w:tcPr>
          <w:p w14:paraId="5DC1F8ED" w14:textId="77777777" w:rsidR="005F54AD" w:rsidRPr="002841A6" w:rsidRDefault="005F54AD" w:rsidP="000878F6">
            <w:pPr>
              <w:pStyle w:val="Table"/>
              <w:jc w:val="center"/>
              <w:rPr>
                <w:szCs w:val="20"/>
              </w:rPr>
            </w:pPr>
            <w:r w:rsidRPr="002841A6">
              <w:rPr>
                <w:rFonts w:ascii="Calibri" w:hAnsi="Calibri" w:cs="Calibri"/>
                <w:color w:val="000000"/>
                <w:szCs w:val="20"/>
              </w:rPr>
              <w:t>0,00%</w:t>
            </w:r>
          </w:p>
        </w:tc>
        <w:tc>
          <w:tcPr>
            <w:tcW w:w="990" w:type="dxa"/>
            <w:vAlign w:val="center"/>
          </w:tcPr>
          <w:p w14:paraId="75777DBA" w14:textId="77777777" w:rsidR="005F54AD" w:rsidRPr="002841A6" w:rsidRDefault="005F54AD" w:rsidP="000878F6">
            <w:pPr>
              <w:pStyle w:val="Table"/>
              <w:jc w:val="center"/>
              <w:rPr>
                <w:szCs w:val="20"/>
              </w:rPr>
            </w:pPr>
            <w:r w:rsidRPr="002841A6">
              <w:rPr>
                <w:rFonts w:ascii="Calibri" w:hAnsi="Calibri" w:cs="Calibri"/>
                <w:color w:val="000000"/>
                <w:szCs w:val="20"/>
              </w:rPr>
              <w:t>0,00</w:t>
            </w:r>
          </w:p>
        </w:tc>
        <w:tc>
          <w:tcPr>
            <w:tcW w:w="1170" w:type="dxa"/>
            <w:vAlign w:val="center"/>
          </w:tcPr>
          <w:p w14:paraId="041F3C6A" w14:textId="77777777" w:rsidR="005F54AD" w:rsidRPr="002841A6" w:rsidRDefault="005F54AD" w:rsidP="000878F6">
            <w:pPr>
              <w:pStyle w:val="Table"/>
              <w:jc w:val="center"/>
              <w:rPr>
                <w:szCs w:val="20"/>
              </w:rPr>
            </w:pPr>
            <w:r w:rsidRPr="002841A6">
              <w:rPr>
                <w:rFonts w:ascii="Calibri" w:hAnsi="Calibri" w:cs="Calibri"/>
                <w:color w:val="000000"/>
                <w:szCs w:val="20"/>
              </w:rPr>
              <w:t>0,00</w:t>
            </w:r>
          </w:p>
        </w:tc>
        <w:tc>
          <w:tcPr>
            <w:tcW w:w="1312" w:type="dxa"/>
            <w:vAlign w:val="center"/>
          </w:tcPr>
          <w:p w14:paraId="3D5D5AF1" w14:textId="77777777" w:rsidR="005F54AD" w:rsidRPr="002841A6" w:rsidRDefault="005F54AD" w:rsidP="000878F6">
            <w:pPr>
              <w:pStyle w:val="Table"/>
              <w:jc w:val="center"/>
              <w:rPr>
                <w:szCs w:val="20"/>
              </w:rPr>
            </w:pPr>
            <w:r w:rsidRPr="002841A6">
              <w:rPr>
                <w:rFonts w:ascii="Calibri" w:hAnsi="Calibri" w:cs="Calibri"/>
                <w:color w:val="000000"/>
                <w:szCs w:val="20"/>
              </w:rPr>
              <w:t>N.E.</w:t>
            </w:r>
          </w:p>
        </w:tc>
        <w:tc>
          <w:tcPr>
            <w:tcW w:w="1275" w:type="dxa"/>
            <w:vAlign w:val="center"/>
          </w:tcPr>
          <w:p w14:paraId="41769E60" w14:textId="77777777" w:rsidR="005F54AD" w:rsidRPr="002841A6" w:rsidRDefault="005F54AD" w:rsidP="000878F6">
            <w:pPr>
              <w:pStyle w:val="Table"/>
              <w:jc w:val="center"/>
              <w:rPr>
                <w:szCs w:val="20"/>
              </w:rPr>
            </w:pPr>
            <w:r w:rsidRPr="002841A6">
              <w:rPr>
                <w:rFonts w:ascii="Calibri" w:hAnsi="Calibri" w:cs="Calibri"/>
                <w:color w:val="000000"/>
                <w:szCs w:val="20"/>
              </w:rPr>
              <w:t>N.E.</w:t>
            </w:r>
          </w:p>
        </w:tc>
      </w:tr>
    </w:tbl>
    <w:p w14:paraId="5A3B9276" w14:textId="77777777" w:rsidR="005F54AD" w:rsidRDefault="005F54AD" w:rsidP="005F54AD">
      <w:pPr>
        <w:rPr>
          <w:b/>
          <w:bCs/>
        </w:rPr>
      </w:pPr>
    </w:p>
    <w:tbl>
      <w:tblPr>
        <w:tblStyle w:val="Lentelstinklelis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930"/>
        <w:gridCol w:w="1657"/>
      </w:tblGrid>
      <w:tr w:rsidR="005F54AD" w:rsidRPr="00AA4BED" w14:paraId="40802A19" w14:textId="77777777" w:rsidTr="00691DB4">
        <w:trPr>
          <w:trHeight w:val="255"/>
        </w:trPr>
        <w:tc>
          <w:tcPr>
            <w:tcW w:w="9067" w:type="dxa"/>
            <w:gridSpan w:val="7"/>
            <w:shd w:val="clear" w:color="auto" w:fill="003399"/>
          </w:tcPr>
          <w:p w14:paraId="3A6E9CBF" w14:textId="0D6E7DAC" w:rsidR="005F54AD" w:rsidRPr="00AA4BED" w:rsidRDefault="005F54AD" w:rsidP="000878F6">
            <w:pPr>
              <w:pStyle w:val="Table"/>
              <w:rPr>
                <w:b/>
                <w:color w:val="FFFFFF" w:themeColor="background1"/>
                <w:szCs w:val="20"/>
                <w:lang w:eastAsia="en-GB"/>
              </w:rPr>
            </w:pPr>
            <w:r w:rsidRPr="00AA4BED">
              <w:rPr>
                <w:b/>
                <w:color w:val="FFFFFF" w:themeColor="background1"/>
                <w:szCs w:val="20"/>
              </w:rPr>
              <w:t xml:space="preserve">Table </w:t>
            </w:r>
            <w:r w:rsidR="00490085">
              <w:rPr>
                <w:b/>
                <w:bCs/>
                <w:color w:val="FFFFFF" w:themeColor="background1"/>
                <w:szCs w:val="20"/>
              </w:rPr>
              <w:t>A6</w:t>
            </w:r>
            <w:r w:rsidRPr="00AA4BED">
              <w:rPr>
                <w:b/>
                <w:bCs/>
                <w:color w:val="FFFFFF" w:themeColor="background1"/>
                <w:szCs w:val="20"/>
              </w:rPr>
              <w:t>-</w:t>
            </w:r>
            <w:r w:rsidRPr="00AA4BED">
              <w:rPr>
                <w:b/>
                <w:bCs/>
                <w:color w:val="FFFFFF" w:themeColor="background1"/>
                <w:szCs w:val="20"/>
              </w:rPr>
              <w:fldChar w:fldCharType="begin"/>
            </w:r>
            <w:r w:rsidRPr="00AA4BED">
              <w:rPr>
                <w:b/>
                <w:bCs/>
                <w:color w:val="FFFFFF" w:themeColor="background1"/>
                <w:szCs w:val="20"/>
              </w:rPr>
              <w:instrText xml:space="preserve"> SEQ Table_A5- \* ARABIC </w:instrText>
            </w:r>
            <w:r w:rsidRPr="00AA4BED">
              <w:rPr>
                <w:b/>
                <w:bCs/>
                <w:color w:val="FFFFFF" w:themeColor="background1"/>
                <w:szCs w:val="20"/>
              </w:rPr>
              <w:fldChar w:fldCharType="separate"/>
            </w:r>
            <w:r w:rsidR="00691DB4">
              <w:rPr>
                <w:b/>
                <w:bCs/>
                <w:noProof/>
                <w:color w:val="FFFFFF" w:themeColor="background1"/>
                <w:szCs w:val="20"/>
              </w:rPr>
              <w:t>37</w:t>
            </w:r>
            <w:r w:rsidRPr="00AA4BED">
              <w:rPr>
                <w:b/>
                <w:bCs/>
                <w:color w:val="FFFFFF" w:themeColor="background1"/>
                <w:szCs w:val="20"/>
              </w:rPr>
              <w:fldChar w:fldCharType="end"/>
            </w:r>
            <w:r w:rsidRPr="00AA4BED">
              <w:rPr>
                <w:b/>
                <w:bCs/>
                <w:color w:val="FFFFFF" w:themeColor="background1"/>
                <w:szCs w:val="20"/>
                <w:lang w:eastAsia="en-GB"/>
              </w:rPr>
              <w:t>:</w:t>
            </w:r>
            <w:r w:rsidRPr="00AA4BED">
              <w:rPr>
                <w:b/>
                <w:color w:val="FFFFFF" w:themeColor="background1"/>
                <w:szCs w:val="20"/>
                <w:lang w:eastAsia="en-GB"/>
              </w:rPr>
              <w:t xml:space="preserve"> Environmental Impacts and Revenue Changes in Czechia – Scenario B</w:t>
            </w:r>
          </w:p>
        </w:tc>
      </w:tr>
      <w:tr w:rsidR="005F54AD" w:rsidRPr="00AA4BED" w14:paraId="18BAE091" w14:textId="77777777" w:rsidTr="00691DB4">
        <w:tc>
          <w:tcPr>
            <w:tcW w:w="2160" w:type="dxa"/>
          </w:tcPr>
          <w:p w14:paraId="0FDBCB57" w14:textId="77777777" w:rsidR="005F54AD" w:rsidRPr="00AA4BED" w:rsidRDefault="005F54AD" w:rsidP="000878F6">
            <w:pPr>
              <w:pStyle w:val="Table"/>
              <w:rPr>
                <w:b/>
                <w:szCs w:val="20"/>
              </w:rPr>
            </w:pPr>
            <w:r w:rsidRPr="00AA4BED">
              <w:rPr>
                <w:b/>
                <w:szCs w:val="20"/>
              </w:rPr>
              <w:t>Tax Name</w:t>
            </w:r>
          </w:p>
        </w:tc>
        <w:tc>
          <w:tcPr>
            <w:tcW w:w="2160" w:type="dxa"/>
            <w:gridSpan w:val="2"/>
            <w:vAlign w:val="bottom"/>
          </w:tcPr>
          <w:p w14:paraId="7E147C4D" w14:textId="77777777" w:rsidR="005F54AD" w:rsidRPr="00AA4BED" w:rsidRDefault="005F54AD" w:rsidP="000878F6">
            <w:pPr>
              <w:pStyle w:val="Table"/>
              <w:jc w:val="center"/>
              <w:rPr>
                <w:b/>
                <w:szCs w:val="20"/>
              </w:rPr>
            </w:pPr>
            <w:r w:rsidRPr="00AA4BED">
              <w:rPr>
                <w:rFonts w:ascii="Calibri" w:hAnsi="Calibri" w:cs="Calibri"/>
                <w:b/>
                <w:bCs/>
                <w:color w:val="000000"/>
                <w:szCs w:val="20"/>
              </w:rPr>
              <w:t>% Change in Quantities as % of taxed sector</w:t>
            </w:r>
          </w:p>
        </w:tc>
        <w:tc>
          <w:tcPr>
            <w:tcW w:w="2160" w:type="dxa"/>
            <w:gridSpan w:val="2"/>
            <w:vAlign w:val="bottom"/>
          </w:tcPr>
          <w:p w14:paraId="72F1A2E9" w14:textId="77777777" w:rsidR="005F54AD" w:rsidRPr="00AA4BED" w:rsidRDefault="005F54AD" w:rsidP="000878F6">
            <w:pPr>
              <w:pStyle w:val="Table"/>
              <w:jc w:val="center"/>
              <w:rPr>
                <w:b/>
                <w:szCs w:val="20"/>
              </w:rPr>
            </w:pPr>
            <w:r w:rsidRPr="00AA4BED">
              <w:rPr>
                <w:rFonts w:ascii="Calibri" w:hAnsi="Calibri" w:cs="Calibri"/>
                <w:b/>
                <w:bCs/>
                <w:color w:val="000000"/>
                <w:szCs w:val="20"/>
              </w:rPr>
              <w:t>Change in Revenues (€Mn)</w:t>
            </w:r>
          </w:p>
        </w:tc>
        <w:tc>
          <w:tcPr>
            <w:tcW w:w="2587" w:type="dxa"/>
            <w:gridSpan w:val="2"/>
            <w:vAlign w:val="bottom"/>
          </w:tcPr>
          <w:p w14:paraId="3B03B81C" w14:textId="77777777" w:rsidR="005F54AD" w:rsidRPr="00AA4BED" w:rsidRDefault="005F54AD" w:rsidP="000878F6">
            <w:pPr>
              <w:pStyle w:val="Table"/>
              <w:jc w:val="center"/>
              <w:rPr>
                <w:b/>
                <w:szCs w:val="20"/>
              </w:rPr>
            </w:pPr>
            <w:r w:rsidRPr="00AA4BED">
              <w:rPr>
                <w:rFonts w:ascii="Calibri" w:hAnsi="Calibri" w:cs="Calibri"/>
                <w:b/>
                <w:bCs/>
                <w:color w:val="000000"/>
                <w:szCs w:val="20"/>
              </w:rPr>
              <w:t>As % of 2023 Resource Tax</w:t>
            </w:r>
          </w:p>
        </w:tc>
      </w:tr>
      <w:tr w:rsidR="005F54AD" w:rsidRPr="00AA4BED" w14:paraId="6D50679C" w14:textId="77777777" w:rsidTr="00691DB4">
        <w:tc>
          <w:tcPr>
            <w:tcW w:w="2160" w:type="dxa"/>
          </w:tcPr>
          <w:p w14:paraId="5445DEB6" w14:textId="77777777" w:rsidR="005F54AD" w:rsidRPr="00AA4BED" w:rsidRDefault="005F54AD" w:rsidP="000878F6">
            <w:pPr>
              <w:pStyle w:val="Table"/>
              <w:rPr>
                <w:b/>
                <w:szCs w:val="20"/>
              </w:rPr>
            </w:pPr>
            <w:r w:rsidRPr="00AA4BED">
              <w:rPr>
                <w:b/>
                <w:szCs w:val="20"/>
              </w:rPr>
              <w:t>Year</w:t>
            </w:r>
          </w:p>
        </w:tc>
        <w:tc>
          <w:tcPr>
            <w:tcW w:w="1080" w:type="dxa"/>
          </w:tcPr>
          <w:p w14:paraId="177DC343" w14:textId="77777777" w:rsidR="005F54AD" w:rsidRPr="00AA4BED" w:rsidRDefault="005F54AD" w:rsidP="000878F6">
            <w:pPr>
              <w:pStyle w:val="Table"/>
              <w:jc w:val="center"/>
              <w:rPr>
                <w:b/>
                <w:szCs w:val="20"/>
              </w:rPr>
            </w:pPr>
            <w:r w:rsidRPr="00AA4BED">
              <w:rPr>
                <w:b/>
                <w:szCs w:val="20"/>
              </w:rPr>
              <w:t>2030</w:t>
            </w:r>
          </w:p>
        </w:tc>
        <w:tc>
          <w:tcPr>
            <w:tcW w:w="1080" w:type="dxa"/>
          </w:tcPr>
          <w:p w14:paraId="4EB89E55" w14:textId="77777777" w:rsidR="005F54AD" w:rsidRPr="00AA4BED" w:rsidRDefault="005F54AD" w:rsidP="000878F6">
            <w:pPr>
              <w:pStyle w:val="Table"/>
              <w:jc w:val="center"/>
              <w:rPr>
                <w:b/>
                <w:szCs w:val="20"/>
              </w:rPr>
            </w:pPr>
            <w:r w:rsidRPr="00AA4BED">
              <w:rPr>
                <w:b/>
                <w:szCs w:val="20"/>
              </w:rPr>
              <w:t>2035</w:t>
            </w:r>
          </w:p>
        </w:tc>
        <w:tc>
          <w:tcPr>
            <w:tcW w:w="990" w:type="dxa"/>
          </w:tcPr>
          <w:p w14:paraId="1B9EF72D" w14:textId="77777777" w:rsidR="005F54AD" w:rsidRPr="00AA4BED" w:rsidRDefault="005F54AD" w:rsidP="000878F6">
            <w:pPr>
              <w:pStyle w:val="Table"/>
              <w:jc w:val="center"/>
              <w:rPr>
                <w:b/>
                <w:szCs w:val="20"/>
              </w:rPr>
            </w:pPr>
            <w:r w:rsidRPr="00AA4BED">
              <w:rPr>
                <w:b/>
                <w:szCs w:val="20"/>
              </w:rPr>
              <w:t>2030</w:t>
            </w:r>
          </w:p>
        </w:tc>
        <w:tc>
          <w:tcPr>
            <w:tcW w:w="1170" w:type="dxa"/>
          </w:tcPr>
          <w:p w14:paraId="3C7D3A16" w14:textId="77777777" w:rsidR="005F54AD" w:rsidRPr="00AA4BED" w:rsidRDefault="005F54AD" w:rsidP="000878F6">
            <w:pPr>
              <w:pStyle w:val="Table"/>
              <w:jc w:val="center"/>
              <w:rPr>
                <w:b/>
                <w:szCs w:val="20"/>
              </w:rPr>
            </w:pPr>
            <w:r w:rsidRPr="00AA4BED">
              <w:rPr>
                <w:b/>
                <w:szCs w:val="20"/>
              </w:rPr>
              <w:t>2035</w:t>
            </w:r>
          </w:p>
        </w:tc>
        <w:tc>
          <w:tcPr>
            <w:tcW w:w="930" w:type="dxa"/>
          </w:tcPr>
          <w:p w14:paraId="2B2A356F" w14:textId="77777777" w:rsidR="005F54AD" w:rsidRPr="00AA4BED" w:rsidRDefault="005F54AD" w:rsidP="000878F6">
            <w:pPr>
              <w:pStyle w:val="Table"/>
              <w:jc w:val="center"/>
              <w:rPr>
                <w:b/>
                <w:szCs w:val="20"/>
              </w:rPr>
            </w:pPr>
            <w:r w:rsidRPr="00AA4BED">
              <w:rPr>
                <w:b/>
                <w:szCs w:val="20"/>
              </w:rPr>
              <w:t>2030</w:t>
            </w:r>
          </w:p>
        </w:tc>
        <w:tc>
          <w:tcPr>
            <w:tcW w:w="1657" w:type="dxa"/>
          </w:tcPr>
          <w:p w14:paraId="0D50BC31" w14:textId="77777777" w:rsidR="005F54AD" w:rsidRPr="00AA4BED" w:rsidRDefault="005F54AD" w:rsidP="000878F6">
            <w:pPr>
              <w:pStyle w:val="Table"/>
              <w:jc w:val="center"/>
              <w:rPr>
                <w:b/>
                <w:szCs w:val="20"/>
              </w:rPr>
            </w:pPr>
            <w:r w:rsidRPr="00AA4BED">
              <w:rPr>
                <w:b/>
                <w:szCs w:val="20"/>
              </w:rPr>
              <w:t>2035</w:t>
            </w:r>
          </w:p>
        </w:tc>
      </w:tr>
      <w:tr w:rsidR="005F54AD" w:rsidRPr="00AA4BED" w14:paraId="27004001" w14:textId="77777777" w:rsidTr="00691DB4">
        <w:tc>
          <w:tcPr>
            <w:tcW w:w="2160" w:type="dxa"/>
          </w:tcPr>
          <w:p w14:paraId="40A3B446" w14:textId="77777777" w:rsidR="005F54AD" w:rsidRPr="00AA4BED" w:rsidRDefault="005F54AD" w:rsidP="000878F6">
            <w:pPr>
              <w:pStyle w:val="Table"/>
              <w:rPr>
                <w:szCs w:val="20"/>
              </w:rPr>
            </w:pPr>
            <w:r w:rsidRPr="00AA4BED">
              <w:rPr>
                <w:szCs w:val="20"/>
              </w:rPr>
              <w:t>NOx</w:t>
            </w:r>
          </w:p>
        </w:tc>
        <w:tc>
          <w:tcPr>
            <w:tcW w:w="1080" w:type="dxa"/>
            <w:vAlign w:val="center"/>
          </w:tcPr>
          <w:p w14:paraId="6347AAC8" w14:textId="77777777" w:rsidR="005F54AD" w:rsidRPr="00AA4BED" w:rsidRDefault="005F54AD" w:rsidP="000878F6">
            <w:pPr>
              <w:pStyle w:val="Table"/>
              <w:jc w:val="center"/>
              <w:rPr>
                <w:szCs w:val="20"/>
              </w:rPr>
            </w:pPr>
            <w:r w:rsidRPr="00AA4BED">
              <w:rPr>
                <w:rFonts w:ascii="Calibri" w:hAnsi="Calibri" w:cs="Calibri"/>
                <w:color w:val="000000"/>
                <w:szCs w:val="20"/>
              </w:rPr>
              <w:t>-7,39%</w:t>
            </w:r>
          </w:p>
        </w:tc>
        <w:tc>
          <w:tcPr>
            <w:tcW w:w="1080" w:type="dxa"/>
            <w:vAlign w:val="center"/>
          </w:tcPr>
          <w:p w14:paraId="4F6FB430" w14:textId="77777777" w:rsidR="005F54AD" w:rsidRPr="00AA4BED" w:rsidRDefault="005F54AD" w:rsidP="000878F6">
            <w:pPr>
              <w:pStyle w:val="Table"/>
              <w:jc w:val="center"/>
              <w:rPr>
                <w:szCs w:val="20"/>
              </w:rPr>
            </w:pPr>
            <w:r w:rsidRPr="00AA4BED">
              <w:rPr>
                <w:rFonts w:ascii="Calibri" w:hAnsi="Calibri" w:cs="Calibri"/>
                <w:color w:val="000000"/>
                <w:szCs w:val="20"/>
              </w:rPr>
              <w:t>-7,39%</w:t>
            </w:r>
          </w:p>
        </w:tc>
        <w:tc>
          <w:tcPr>
            <w:tcW w:w="990" w:type="dxa"/>
            <w:vAlign w:val="center"/>
          </w:tcPr>
          <w:p w14:paraId="0B60871B" w14:textId="77777777" w:rsidR="005F54AD" w:rsidRPr="00AA4BED" w:rsidRDefault="005F54AD" w:rsidP="000878F6">
            <w:pPr>
              <w:pStyle w:val="Table"/>
              <w:jc w:val="center"/>
              <w:rPr>
                <w:szCs w:val="20"/>
              </w:rPr>
            </w:pPr>
            <w:r w:rsidRPr="00AA4BED">
              <w:rPr>
                <w:rFonts w:ascii="Calibri" w:hAnsi="Calibri" w:cs="Calibri"/>
                <w:color w:val="000000"/>
                <w:szCs w:val="20"/>
              </w:rPr>
              <w:t>0,00</w:t>
            </w:r>
          </w:p>
        </w:tc>
        <w:tc>
          <w:tcPr>
            <w:tcW w:w="1170" w:type="dxa"/>
            <w:vAlign w:val="center"/>
          </w:tcPr>
          <w:p w14:paraId="112BDF58" w14:textId="77777777" w:rsidR="005F54AD" w:rsidRPr="00AA4BED" w:rsidRDefault="005F54AD" w:rsidP="000878F6">
            <w:pPr>
              <w:pStyle w:val="Table"/>
              <w:jc w:val="center"/>
              <w:rPr>
                <w:szCs w:val="20"/>
              </w:rPr>
            </w:pPr>
            <w:r w:rsidRPr="00AA4BED">
              <w:rPr>
                <w:rFonts w:ascii="Calibri" w:hAnsi="Calibri" w:cs="Calibri"/>
                <w:color w:val="000000"/>
                <w:szCs w:val="20"/>
              </w:rPr>
              <w:t>0,00</w:t>
            </w:r>
          </w:p>
        </w:tc>
        <w:tc>
          <w:tcPr>
            <w:tcW w:w="930" w:type="dxa"/>
            <w:vAlign w:val="center"/>
          </w:tcPr>
          <w:p w14:paraId="5B23DFD9" w14:textId="77777777" w:rsidR="005F54AD" w:rsidRPr="00AA4BED" w:rsidRDefault="005F54AD" w:rsidP="000878F6">
            <w:pPr>
              <w:pStyle w:val="Table"/>
              <w:jc w:val="center"/>
              <w:rPr>
                <w:szCs w:val="20"/>
              </w:rPr>
            </w:pPr>
            <w:r w:rsidRPr="00AA4BED">
              <w:rPr>
                <w:rFonts w:ascii="Calibri" w:hAnsi="Calibri" w:cs="Calibri"/>
                <w:color w:val="000000"/>
                <w:szCs w:val="20"/>
              </w:rPr>
              <w:t>0,0%</w:t>
            </w:r>
          </w:p>
        </w:tc>
        <w:tc>
          <w:tcPr>
            <w:tcW w:w="1657" w:type="dxa"/>
            <w:vAlign w:val="center"/>
          </w:tcPr>
          <w:p w14:paraId="0A4F8078" w14:textId="77777777" w:rsidR="005F54AD" w:rsidRPr="00AA4BED" w:rsidRDefault="005F54AD" w:rsidP="000878F6">
            <w:pPr>
              <w:pStyle w:val="Table"/>
              <w:jc w:val="center"/>
              <w:rPr>
                <w:szCs w:val="20"/>
              </w:rPr>
            </w:pPr>
            <w:r w:rsidRPr="00AA4BED">
              <w:rPr>
                <w:rFonts w:ascii="Calibri" w:hAnsi="Calibri" w:cs="Calibri"/>
                <w:color w:val="000000"/>
                <w:szCs w:val="20"/>
              </w:rPr>
              <w:t>0,0%</w:t>
            </w:r>
          </w:p>
        </w:tc>
      </w:tr>
      <w:tr w:rsidR="005F54AD" w:rsidRPr="00AA4BED" w14:paraId="2A246D0E" w14:textId="77777777" w:rsidTr="00691DB4">
        <w:tc>
          <w:tcPr>
            <w:tcW w:w="2160" w:type="dxa"/>
          </w:tcPr>
          <w:p w14:paraId="4FA439FC" w14:textId="77777777" w:rsidR="005F54AD" w:rsidRPr="00AA4BED" w:rsidRDefault="005F54AD" w:rsidP="000878F6">
            <w:pPr>
              <w:pStyle w:val="Table"/>
              <w:rPr>
                <w:szCs w:val="20"/>
              </w:rPr>
            </w:pPr>
            <w:r w:rsidRPr="00AA4BED">
              <w:rPr>
                <w:szCs w:val="20"/>
              </w:rPr>
              <w:t>SO2</w:t>
            </w:r>
          </w:p>
        </w:tc>
        <w:tc>
          <w:tcPr>
            <w:tcW w:w="1080" w:type="dxa"/>
            <w:vAlign w:val="center"/>
          </w:tcPr>
          <w:p w14:paraId="6A51474B" w14:textId="77777777" w:rsidR="005F54AD" w:rsidRPr="00AA4BED" w:rsidRDefault="005F54AD" w:rsidP="000878F6">
            <w:pPr>
              <w:pStyle w:val="Table"/>
              <w:jc w:val="center"/>
              <w:rPr>
                <w:szCs w:val="20"/>
              </w:rPr>
            </w:pPr>
            <w:r w:rsidRPr="00AA4BED">
              <w:rPr>
                <w:rFonts w:ascii="Calibri" w:hAnsi="Calibri" w:cs="Calibri"/>
                <w:color w:val="000000"/>
                <w:szCs w:val="20"/>
              </w:rPr>
              <w:t>0,00%</w:t>
            </w:r>
          </w:p>
        </w:tc>
        <w:tc>
          <w:tcPr>
            <w:tcW w:w="1080" w:type="dxa"/>
            <w:vAlign w:val="center"/>
          </w:tcPr>
          <w:p w14:paraId="4B2904C7" w14:textId="77777777" w:rsidR="005F54AD" w:rsidRPr="00AA4BED" w:rsidRDefault="005F54AD" w:rsidP="000878F6">
            <w:pPr>
              <w:pStyle w:val="Table"/>
              <w:jc w:val="center"/>
              <w:rPr>
                <w:szCs w:val="20"/>
              </w:rPr>
            </w:pPr>
            <w:r w:rsidRPr="00AA4BED">
              <w:rPr>
                <w:rFonts w:ascii="Calibri" w:hAnsi="Calibri" w:cs="Calibri"/>
                <w:color w:val="000000"/>
                <w:szCs w:val="20"/>
              </w:rPr>
              <w:t>0,00%</w:t>
            </w:r>
          </w:p>
        </w:tc>
        <w:tc>
          <w:tcPr>
            <w:tcW w:w="990" w:type="dxa"/>
            <w:vAlign w:val="center"/>
          </w:tcPr>
          <w:p w14:paraId="7FA91BC8" w14:textId="77777777" w:rsidR="005F54AD" w:rsidRPr="00AA4BED" w:rsidRDefault="005F54AD" w:rsidP="000878F6">
            <w:pPr>
              <w:pStyle w:val="Table"/>
              <w:jc w:val="center"/>
              <w:rPr>
                <w:szCs w:val="20"/>
              </w:rPr>
            </w:pPr>
            <w:r w:rsidRPr="00AA4BED">
              <w:rPr>
                <w:rFonts w:ascii="Calibri" w:hAnsi="Calibri" w:cs="Calibri"/>
                <w:color w:val="000000"/>
                <w:szCs w:val="20"/>
              </w:rPr>
              <w:t>0,00</w:t>
            </w:r>
          </w:p>
        </w:tc>
        <w:tc>
          <w:tcPr>
            <w:tcW w:w="1170" w:type="dxa"/>
            <w:vAlign w:val="center"/>
          </w:tcPr>
          <w:p w14:paraId="159BD187" w14:textId="77777777" w:rsidR="005F54AD" w:rsidRPr="00AA4BED" w:rsidRDefault="005F54AD" w:rsidP="000878F6">
            <w:pPr>
              <w:pStyle w:val="Table"/>
              <w:jc w:val="center"/>
              <w:rPr>
                <w:szCs w:val="20"/>
              </w:rPr>
            </w:pPr>
            <w:r w:rsidRPr="00AA4BED">
              <w:rPr>
                <w:rFonts w:ascii="Calibri" w:hAnsi="Calibri" w:cs="Calibri"/>
                <w:color w:val="000000"/>
                <w:szCs w:val="20"/>
              </w:rPr>
              <w:t>0,00</w:t>
            </w:r>
          </w:p>
        </w:tc>
        <w:tc>
          <w:tcPr>
            <w:tcW w:w="930" w:type="dxa"/>
            <w:vAlign w:val="center"/>
          </w:tcPr>
          <w:p w14:paraId="15C1E3EA" w14:textId="77777777" w:rsidR="005F54AD" w:rsidRPr="00AA4BED" w:rsidRDefault="005F54AD" w:rsidP="000878F6">
            <w:pPr>
              <w:pStyle w:val="Table"/>
              <w:jc w:val="center"/>
              <w:rPr>
                <w:szCs w:val="20"/>
              </w:rPr>
            </w:pPr>
            <w:r w:rsidRPr="00AA4BED">
              <w:rPr>
                <w:rFonts w:ascii="Calibri" w:hAnsi="Calibri" w:cs="Calibri"/>
                <w:color w:val="000000"/>
                <w:szCs w:val="20"/>
              </w:rPr>
              <w:t>0,0%</w:t>
            </w:r>
          </w:p>
        </w:tc>
        <w:tc>
          <w:tcPr>
            <w:tcW w:w="1657" w:type="dxa"/>
            <w:vAlign w:val="center"/>
          </w:tcPr>
          <w:p w14:paraId="4A514081" w14:textId="77777777" w:rsidR="005F54AD" w:rsidRPr="00AA4BED" w:rsidRDefault="005F54AD" w:rsidP="000878F6">
            <w:pPr>
              <w:pStyle w:val="Table"/>
              <w:jc w:val="center"/>
              <w:rPr>
                <w:szCs w:val="20"/>
              </w:rPr>
            </w:pPr>
            <w:r w:rsidRPr="00AA4BED">
              <w:rPr>
                <w:rFonts w:ascii="Calibri" w:hAnsi="Calibri" w:cs="Calibri"/>
                <w:color w:val="000000"/>
                <w:szCs w:val="20"/>
              </w:rPr>
              <w:t>0,0%</w:t>
            </w:r>
          </w:p>
        </w:tc>
      </w:tr>
      <w:tr w:rsidR="005F54AD" w:rsidRPr="00AA4BED" w14:paraId="5CF48413" w14:textId="77777777" w:rsidTr="00691DB4">
        <w:tc>
          <w:tcPr>
            <w:tcW w:w="2160" w:type="dxa"/>
          </w:tcPr>
          <w:p w14:paraId="527883E8" w14:textId="77777777" w:rsidR="005F54AD" w:rsidRPr="00AA4BED" w:rsidRDefault="005F54AD" w:rsidP="000878F6">
            <w:pPr>
              <w:pStyle w:val="Table"/>
              <w:rPr>
                <w:szCs w:val="20"/>
              </w:rPr>
            </w:pPr>
            <w:r w:rsidRPr="00AA4BED">
              <w:rPr>
                <w:szCs w:val="20"/>
              </w:rPr>
              <w:t>PM2.5</w:t>
            </w:r>
          </w:p>
        </w:tc>
        <w:tc>
          <w:tcPr>
            <w:tcW w:w="1080" w:type="dxa"/>
            <w:vAlign w:val="center"/>
          </w:tcPr>
          <w:p w14:paraId="7469429B" w14:textId="77777777" w:rsidR="005F54AD" w:rsidRPr="00AA4BED" w:rsidRDefault="005F54AD" w:rsidP="000878F6">
            <w:pPr>
              <w:pStyle w:val="Table"/>
              <w:jc w:val="center"/>
              <w:rPr>
                <w:szCs w:val="20"/>
              </w:rPr>
            </w:pPr>
            <w:r w:rsidRPr="00AA4BED">
              <w:rPr>
                <w:rFonts w:ascii="Calibri" w:hAnsi="Calibri" w:cs="Calibri"/>
                <w:color w:val="000000"/>
                <w:szCs w:val="20"/>
              </w:rPr>
              <w:t>-7,39%</w:t>
            </w:r>
          </w:p>
        </w:tc>
        <w:tc>
          <w:tcPr>
            <w:tcW w:w="1080" w:type="dxa"/>
            <w:vAlign w:val="center"/>
          </w:tcPr>
          <w:p w14:paraId="052D20A9" w14:textId="77777777" w:rsidR="005F54AD" w:rsidRPr="00AA4BED" w:rsidRDefault="005F54AD" w:rsidP="000878F6">
            <w:pPr>
              <w:pStyle w:val="Table"/>
              <w:jc w:val="center"/>
              <w:rPr>
                <w:szCs w:val="20"/>
              </w:rPr>
            </w:pPr>
            <w:r w:rsidRPr="00AA4BED">
              <w:rPr>
                <w:rFonts w:ascii="Calibri" w:hAnsi="Calibri" w:cs="Calibri"/>
                <w:color w:val="000000"/>
                <w:szCs w:val="20"/>
              </w:rPr>
              <w:t>-7,39%</w:t>
            </w:r>
          </w:p>
        </w:tc>
        <w:tc>
          <w:tcPr>
            <w:tcW w:w="990" w:type="dxa"/>
            <w:vAlign w:val="center"/>
          </w:tcPr>
          <w:p w14:paraId="2F4A9989" w14:textId="77777777" w:rsidR="005F54AD" w:rsidRPr="00AA4BED" w:rsidRDefault="005F54AD" w:rsidP="000878F6">
            <w:pPr>
              <w:pStyle w:val="Table"/>
              <w:jc w:val="center"/>
              <w:rPr>
                <w:szCs w:val="20"/>
              </w:rPr>
            </w:pPr>
            <w:r w:rsidRPr="00AA4BED">
              <w:rPr>
                <w:rFonts w:ascii="Calibri" w:hAnsi="Calibri" w:cs="Calibri"/>
                <w:color w:val="000000"/>
                <w:szCs w:val="20"/>
              </w:rPr>
              <w:t>-0,17</w:t>
            </w:r>
          </w:p>
        </w:tc>
        <w:tc>
          <w:tcPr>
            <w:tcW w:w="1170" w:type="dxa"/>
            <w:vAlign w:val="center"/>
          </w:tcPr>
          <w:p w14:paraId="5BF0E1B4" w14:textId="77777777" w:rsidR="005F54AD" w:rsidRPr="00AA4BED" w:rsidRDefault="005F54AD" w:rsidP="000878F6">
            <w:pPr>
              <w:pStyle w:val="Table"/>
              <w:jc w:val="center"/>
              <w:rPr>
                <w:szCs w:val="20"/>
              </w:rPr>
            </w:pPr>
            <w:r w:rsidRPr="00AA4BED">
              <w:rPr>
                <w:rFonts w:ascii="Calibri" w:hAnsi="Calibri" w:cs="Calibri"/>
                <w:color w:val="000000"/>
                <w:szCs w:val="20"/>
              </w:rPr>
              <w:t>-0,13</w:t>
            </w:r>
          </w:p>
        </w:tc>
        <w:tc>
          <w:tcPr>
            <w:tcW w:w="930" w:type="dxa"/>
            <w:vAlign w:val="center"/>
          </w:tcPr>
          <w:p w14:paraId="430F946D" w14:textId="77777777" w:rsidR="005F54AD" w:rsidRPr="00AA4BED" w:rsidRDefault="005F54AD" w:rsidP="000878F6">
            <w:pPr>
              <w:pStyle w:val="Table"/>
              <w:jc w:val="center"/>
              <w:rPr>
                <w:szCs w:val="20"/>
              </w:rPr>
            </w:pPr>
            <w:r w:rsidRPr="00AA4BED">
              <w:rPr>
                <w:rFonts w:ascii="Calibri" w:hAnsi="Calibri" w:cs="Calibri"/>
                <w:color w:val="000000"/>
                <w:szCs w:val="20"/>
              </w:rPr>
              <w:t>-0,5%</w:t>
            </w:r>
          </w:p>
        </w:tc>
        <w:tc>
          <w:tcPr>
            <w:tcW w:w="1657" w:type="dxa"/>
            <w:vAlign w:val="center"/>
          </w:tcPr>
          <w:p w14:paraId="47BDF1DD" w14:textId="77777777" w:rsidR="005F54AD" w:rsidRPr="00AA4BED" w:rsidRDefault="005F54AD" w:rsidP="000878F6">
            <w:pPr>
              <w:pStyle w:val="Table"/>
              <w:jc w:val="center"/>
              <w:rPr>
                <w:szCs w:val="20"/>
              </w:rPr>
            </w:pPr>
            <w:r w:rsidRPr="00AA4BED">
              <w:rPr>
                <w:rFonts w:ascii="Calibri" w:hAnsi="Calibri" w:cs="Calibri"/>
                <w:color w:val="000000"/>
                <w:szCs w:val="20"/>
              </w:rPr>
              <w:t>-0,4%</w:t>
            </w:r>
          </w:p>
        </w:tc>
      </w:tr>
      <w:tr w:rsidR="005F54AD" w:rsidRPr="00AA4BED" w14:paraId="0730EC62" w14:textId="77777777" w:rsidTr="00691DB4">
        <w:tc>
          <w:tcPr>
            <w:tcW w:w="2160" w:type="dxa"/>
          </w:tcPr>
          <w:p w14:paraId="2B7BB01C" w14:textId="77777777" w:rsidR="005F54AD" w:rsidRPr="00AA4BED" w:rsidRDefault="005F54AD" w:rsidP="000878F6">
            <w:pPr>
              <w:pStyle w:val="Table"/>
              <w:rPr>
                <w:szCs w:val="20"/>
              </w:rPr>
            </w:pPr>
            <w:r w:rsidRPr="00AA4BED">
              <w:rPr>
                <w:szCs w:val="20"/>
              </w:rPr>
              <w:t>Water Abstraction</w:t>
            </w:r>
          </w:p>
        </w:tc>
        <w:tc>
          <w:tcPr>
            <w:tcW w:w="1080" w:type="dxa"/>
            <w:vAlign w:val="center"/>
          </w:tcPr>
          <w:p w14:paraId="431FE888" w14:textId="77777777" w:rsidR="005F54AD" w:rsidRPr="00AA4BED" w:rsidRDefault="005F54AD" w:rsidP="000878F6">
            <w:pPr>
              <w:pStyle w:val="Table"/>
              <w:jc w:val="center"/>
              <w:rPr>
                <w:szCs w:val="20"/>
              </w:rPr>
            </w:pPr>
            <w:r w:rsidRPr="00AA4BED">
              <w:rPr>
                <w:rFonts w:ascii="Calibri" w:hAnsi="Calibri" w:cs="Calibri"/>
                <w:color w:val="000000"/>
                <w:szCs w:val="20"/>
              </w:rPr>
              <w:t>-1,40%</w:t>
            </w:r>
          </w:p>
        </w:tc>
        <w:tc>
          <w:tcPr>
            <w:tcW w:w="1080" w:type="dxa"/>
            <w:vAlign w:val="center"/>
          </w:tcPr>
          <w:p w14:paraId="3A287263" w14:textId="77777777" w:rsidR="005F54AD" w:rsidRPr="00AA4BED" w:rsidRDefault="005F54AD" w:rsidP="000878F6">
            <w:pPr>
              <w:pStyle w:val="Table"/>
              <w:jc w:val="center"/>
              <w:rPr>
                <w:szCs w:val="20"/>
              </w:rPr>
            </w:pPr>
            <w:r w:rsidRPr="00AA4BED">
              <w:rPr>
                <w:rFonts w:ascii="Calibri" w:hAnsi="Calibri" w:cs="Calibri"/>
                <w:color w:val="000000"/>
                <w:szCs w:val="20"/>
              </w:rPr>
              <w:t>-1,40%</w:t>
            </w:r>
          </w:p>
        </w:tc>
        <w:tc>
          <w:tcPr>
            <w:tcW w:w="990" w:type="dxa"/>
            <w:vAlign w:val="center"/>
          </w:tcPr>
          <w:p w14:paraId="3CB916A8" w14:textId="77777777" w:rsidR="005F54AD" w:rsidRPr="00AA4BED" w:rsidRDefault="005F54AD" w:rsidP="000878F6">
            <w:pPr>
              <w:pStyle w:val="Table"/>
              <w:jc w:val="center"/>
              <w:rPr>
                <w:szCs w:val="20"/>
              </w:rPr>
            </w:pPr>
            <w:r w:rsidRPr="00AA4BED">
              <w:rPr>
                <w:rFonts w:ascii="Calibri" w:hAnsi="Calibri" w:cs="Calibri"/>
                <w:color w:val="000000"/>
                <w:szCs w:val="20"/>
              </w:rPr>
              <w:t>2,73</w:t>
            </w:r>
          </w:p>
        </w:tc>
        <w:tc>
          <w:tcPr>
            <w:tcW w:w="1170" w:type="dxa"/>
            <w:vAlign w:val="center"/>
          </w:tcPr>
          <w:p w14:paraId="23A70AF1" w14:textId="77777777" w:rsidR="005F54AD" w:rsidRPr="00AA4BED" w:rsidRDefault="005F54AD" w:rsidP="000878F6">
            <w:pPr>
              <w:pStyle w:val="Table"/>
              <w:jc w:val="center"/>
              <w:rPr>
                <w:szCs w:val="20"/>
              </w:rPr>
            </w:pPr>
            <w:r w:rsidRPr="00AA4BED">
              <w:rPr>
                <w:rFonts w:ascii="Calibri" w:hAnsi="Calibri" w:cs="Calibri"/>
                <w:color w:val="000000"/>
                <w:szCs w:val="20"/>
              </w:rPr>
              <w:t>2,54</w:t>
            </w:r>
          </w:p>
        </w:tc>
        <w:tc>
          <w:tcPr>
            <w:tcW w:w="930" w:type="dxa"/>
            <w:vAlign w:val="center"/>
          </w:tcPr>
          <w:p w14:paraId="5A5B8635" w14:textId="77777777" w:rsidR="005F54AD" w:rsidRPr="00AA4BED" w:rsidRDefault="005F54AD" w:rsidP="000878F6">
            <w:pPr>
              <w:pStyle w:val="Table"/>
              <w:jc w:val="center"/>
              <w:rPr>
                <w:szCs w:val="20"/>
              </w:rPr>
            </w:pPr>
            <w:r w:rsidRPr="00AA4BED">
              <w:rPr>
                <w:rFonts w:ascii="Calibri" w:hAnsi="Calibri" w:cs="Calibri"/>
                <w:color w:val="000000"/>
                <w:szCs w:val="20"/>
              </w:rPr>
              <w:t>N.E.</w:t>
            </w:r>
          </w:p>
        </w:tc>
        <w:tc>
          <w:tcPr>
            <w:tcW w:w="1657" w:type="dxa"/>
            <w:vAlign w:val="center"/>
          </w:tcPr>
          <w:p w14:paraId="0438841D" w14:textId="77777777" w:rsidR="005F54AD" w:rsidRPr="00AA4BED" w:rsidRDefault="005F54AD" w:rsidP="000878F6">
            <w:pPr>
              <w:pStyle w:val="Table"/>
              <w:jc w:val="center"/>
              <w:rPr>
                <w:szCs w:val="20"/>
              </w:rPr>
            </w:pPr>
            <w:r w:rsidRPr="00AA4BED">
              <w:rPr>
                <w:rFonts w:ascii="Calibri" w:hAnsi="Calibri" w:cs="Calibri"/>
                <w:color w:val="000000"/>
                <w:szCs w:val="20"/>
              </w:rPr>
              <w:t>N.E.</w:t>
            </w:r>
          </w:p>
        </w:tc>
      </w:tr>
      <w:tr w:rsidR="005F54AD" w:rsidRPr="00AA4BED" w14:paraId="033C6231" w14:textId="77777777" w:rsidTr="00691DB4">
        <w:tc>
          <w:tcPr>
            <w:tcW w:w="2160" w:type="dxa"/>
          </w:tcPr>
          <w:p w14:paraId="7AE926A4" w14:textId="77777777" w:rsidR="005F54AD" w:rsidRPr="00AA4BED" w:rsidRDefault="005F54AD" w:rsidP="000878F6">
            <w:pPr>
              <w:pStyle w:val="Table"/>
              <w:rPr>
                <w:szCs w:val="20"/>
              </w:rPr>
            </w:pPr>
            <w:r w:rsidRPr="00AA4BED">
              <w:rPr>
                <w:szCs w:val="20"/>
              </w:rPr>
              <w:t>Fertilizers</w:t>
            </w:r>
          </w:p>
        </w:tc>
        <w:tc>
          <w:tcPr>
            <w:tcW w:w="1080" w:type="dxa"/>
            <w:vAlign w:val="center"/>
          </w:tcPr>
          <w:p w14:paraId="5D7C66E0" w14:textId="77777777" w:rsidR="005F54AD" w:rsidRPr="00AA4BED" w:rsidRDefault="005F54AD" w:rsidP="000878F6">
            <w:pPr>
              <w:pStyle w:val="Table"/>
              <w:jc w:val="center"/>
              <w:rPr>
                <w:szCs w:val="20"/>
              </w:rPr>
            </w:pPr>
            <w:r w:rsidRPr="00AA4BED">
              <w:rPr>
                <w:rFonts w:ascii="Calibri" w:hAnsi="Calibri" w:cs="Calibri"/>
                <w:color w:val="000000"/>
                <w:szCs w:val="20"/>
              </w:rPr>
              <w:t>-4,49%</w:t>
            </w:r>
          </w:p>
        </w:tc>
        <w:tc>
          <w:tcPr>
            <w:tcW w:w="1080" w:type="dxa"/>
            <w:vAlign w:val="center"/>
          </w:tcPr>
          <w:p w14:paraId="08837E9D" w14:textId="77777777" w:rsidR="005F54AD" w:rsidRPr="00AA4BED" w:rsidRDefault="005F54AD" w:rsidP="000878F6">
            <w:pPr>
              <w:pStyle w:val="Table"/>
              <w:jc w:val="center"/>
              <w:rPr>
                <w:szCs w:val="20"/>
              </w:rPr>
            </w:pPr>
            <w:r w:rsidRPr="00AA4BED">
              <w:rPr>
                <w:rFonts w:ascii="Calibri" w:hAnsi="Calibri" w:cs="Calibri"/>
                <w:color w:val="000000"/>
                <w:szCs w:val="20"/>
              </w:rPr>
              <w:t>-4,49%</w:t>
            </w:r>
          </w:p>
        </w:tc>
        <w:tc>
          <w:tcPr>
            <w:tcW w:w="990" w:type="dxa"/>
            <w:vAlign w:val="center"/>
          </w:tcPr>
          <w:p w14:paraId="379CFB57" w14:textId="77777777" w:rsidR="005F54AD" w:rsidRPr="00AA4BED" w:rsidRDefault="005F54AD" w:rsidP="000878F6">
            <w:pPr>
              <w:pStyle w:val="Table"/>
              <w:jc w:val="center"/>
              <w:rPr>
                <w:szCs w:val="20"/>
              </w:rPr>
            </w:pPr>
            <w:r w:rsidRPr="00AA4BED">
              <w:rPr>
                <w:rFonts w:ascii="Calibri" w:hAnsi="Calibri" w:cs="Calibri"/>
                <w:color w:val="000000"/>
                <w:szCs w:val="20"/>
              </w:rPr>
              <w:t>4,00</w:t>
            </w:r>
          </w:p>
        </w:tc>
        <w:tc>
          <w:tcPr>
            <w:tcW w:w="1170" w:type="dxa"/>
            <w:vAlign w:val="center"/>
          </w:tcPr>
          <w:p w14:paraId="1C631C30" w14:textId="77777777" w:rsidR="005F54AD" w:rsidRPr="00AA4BED" w:rsidRDefault="005F54AD" w:rsidP="000878F6">
            <w:pPr>
              <w:pStyle w:val="Table"/>
              <w:jc w:val="center"/>
              <w:rPr>
                <w:szCs w:val="20"/>
              </w:rPr>
            </w:pPr>
            <w:r w:rsidRPr="00AA4BED">
              <w:rPr>
                <w:rFonts w:ascii="Calibri" w:hAnsi="Calibri" w:cs="Calibri"/>
                <w:color w:val="000000"/>
                <w:szCs w:val="20"/>
              </w:rPr>
              <w:t>3,90</w:t>
            </w:r>
          </w:p>
        </w:tc>
        <w:tc>
          <w:tcPr>
            <w:tcW w:w="930" w:type="dxa"/>
            <w:vAlign w:val="center"/>
          </w:tcPr>
          <w:p w14:paraId="213D2047" w14:textId="77777777" w:rsidR="005F54AD" w:rsidRPr="00AA4BED" w:rsidRDefault="005F54AD" w:rsidP="000878F6">
            <w:pPr>
              <w:pStyle w:val="Table"/>
              <w:jc w:val="center"/>
              <w:rPr>
                <w:szCs w:val="20"/>
              </w:rPr>
            </w:pPr>
            <w:r w:rsidRPr="00AA4BED">
              <w:rPr>
                <w:rFonts w:ascii="Calibri" w:hAnsi="Calibri" w:cs="Calibri"/>
                <w:color w:val="000000"/>
                <w:szCs w:val="20"/>
              </w:rPr>
              <w:t>13,1%</w:t>
            </w:r>
          </w:p>
        </w:tc>
        <w:tc>
          <w:tcPr>
            <w:tcW w:w="1657" w:type="dxa"/>
            <w:vAlign w:val="center"/>
          </w:tcPr>
          <w:p w14:paraId="410BF82B" w14:textId="77777777" w:rsidR="005F54AD" w:rsidRPr="00AA4BED" w:rsidRDefault="005F54AD" w:rsidP="000878F6">
            <w:pPr>
              <w:pStyle w:val="Table"/>
              <w:jc w:val="center"/>
              <w:rPr>
                <w:szCs w:val="20"/>
              </w:rPr>
            </w:pPr>
            <w:r w:rsidRPr="00AA4BED">
              <w:rPr>
                <w:rFonts w:ascii="Calibri" w:hAnsi="Calibri" w:cs="Calibri"/>
                <w:color w:val="000000"/>
                <w:szCs w:val="20"/>
              </w:rPr>
              <w:t>12,8%</w:t>
            </w:r>
          </w:p>
        </w:tc>
      </w:tr>
      <w:tr w:rsidR="005F54AD" w:rsidRPr="00AA4BED" w14:paraId="7D6DDB59" w14:textId="77777777" w:rsidTr="00691DB4">
        <w:tc>
          <w:tcPr>
            <w:tcW w:w="2160" w:type="dxa"/>
          </w:tcPr>
          <w:p w14:paraId="3E8F99BD" w14:textId="77777777" w:rsidR="005F54AD" w:rsidRPr="00AA4BED" w:rsidRDefault="005F54AD" w:rsidP="000878F6">
            <w:pPr>
              <w:pStyle w:val="Table"/>
              <w:rPr>
                <w:szCs w:val="20"/>
              </w:rPr>
            </w:pPr>
            <w:r w:rsidRPr="00AA4BED">
              <w:rPr>
                <w:szCs w:val="20"/>
              </w:rPr>
              <w:t>Pesticides</w:t>
            </w:r>
          </w:p>
        </w:tc>
        <w:tc>
          <w:tcPr>
            <w:tcW w:w="1080" w:type="dxa"/>
            <w:vAlign w:val="center"/>
          </w:tcPr>
          <w:p w14:paraId="2609BA63" w14:textId="77777777" w:rsidR="005F54AD" w:rsidRPr="00AA4BED" w:rsidRDefault="005F54AD" w:rsidP="000878F6">
            <w:pPr>
              <w:pStyle w:val="Table"/>
              <w:jc w:val="center"/>
              <w:rPr>
                <w:szCs w:val="20"/>
              </w:rPr>
            </w:pPr>
            <w:r w:rsidRPr="00AA4BED">
              <w:rPr>
                <w:rFonts w:ascii="Calibri" w:hAnsi="Calibri" w:cs="Calibri"/>
                <w:color w:val="000000"/>
                <w:szCs w:val="20"/>
              </w:rPr>
              <w:t>n/a</w:t>
            </w:r>
          </w:p>
        </w:tc>
        <w:tc>
          <w:tcPr>
            <w:tcW w:w="1080" w:type="dxa"/>
            <w:vAlign w:val="center"/>
          </w:tcPr>
          <w:p w14:paraId="5E402076" w14:textId="77777777" w:rsidR="005F54AD" w:rsidRPr="00AA4BED" w:rsidRDefault="005F54AD" w:rsidP="000878F6">
            <w:pPr>
              <w:pStyle w:val="Table"/>
              <w:jc w:val="center"/>
              <w:rPr>
                <w:szCs w:val="20"/>
              </w:rPr>
            </w:pPr>
            <w:r w:rsidRPr="00AA4BED">
              <w:rPr>
                <w:rFonts w:ascii="Calibri" w:hAnsi="Calibri" w:cs="Calibri"/>
                <w:color w:val="000000"/>
                <w:szCs w:val="20"/>
              </w:rPr>
              <w:t>n/a</w:t>
            </w:r>
          </w:p>
        </w:tc>
        <w:tc>
          <w:tcPr>
            <w:tcW w:w="990" w:type="dxa"/>
            <w:vAlign w:val="center"/>
          </w:tcPr>
          <w:p w14:paraId="5D2A270E" w14:textId="77777777" w:rsidR="005F54AD" w:rsidRPr="00AA4BED" w:rsidRDefault="005F54AD" w:rsidP="000878F6">
            <w:pPr>
              <w:pStyle w:val="Table"/>
              <w:jc w:val="center"/>
              <w:rPr>
                <w:szCs w:val="20"/>
              </w:rPr>
            </w:pPr>
            <w:r w:rsidRPr="00AA4BED">
              <w:rPr>
                <w:rFonts w:ascii="Calibri" w:hAnsi="Calibri" w:cs="Calibri"/>
                <w:color w:val="000000"/>
                <w:szCs w:val="20"/>
              </w:rPr>
              <w:t>12,70</w:t>
            </w:r>
          </w:p>
        </w:tc>
        <w:tc>
          <w:tcPr>
            <w:tcW w:w="1170" w:type="dxa"/>
            <w:vAlign w:val="center"/>
          </w:tcPr>
          <w:p w14:paraId="35293C46" w14:textId="77777777" w:rsidR="005F54AD" w:rsidRPr="00AA4BED" w:rsidRDefault="005F54AD" w:rsidP="000878F6">
            <w:pPr>
              <w:pStyle w:val="Table"/>
              <w:jc w:val="center"/>
              <w:rPr>
                <w:szCs w:val="20"/>
              </w:rPr>
            </w:pPr>
            <w:r w:rsidRPr="00AA4BED">
              <w:rPr>
                <w:rFonts w:ascii="Calibri" w:hAnsi="Calibri" w:cs="Calibri"/>
                <w:color w:val="000000"/>
                <w:szCs w:val="20"/>
              </w:rPr>
              <w:t>12,60</w:t>
            </w:r>
          </w:p>
        </w:tc>
        <w:tc>
          <w:tcPr>
            <w:tcW w:w="930" w:type="dxa"/>
            <w:vAlign w:val="center"/>
          </w:tcPr>
          <w:p w14:paraId="09FA0A65" w14:textId="77777777" w:rsidR="005F54AD" w:rsidRPr="00AA4BED" w:rsidRDefault="005F54AD" w:rsidP="000878F6">
            <w:pPr>
              <w:pStyle w:val="Table"/>
              <w:jc w:val="center"/>
              <w:rPr>
                <w:szCs w:val="20"/>
              </w:rPr>
            </w:pPr>
            <w:r w:rsidRPr="00AA4BED">
              <w:rPr>
                <w:rFonts w:ascii="Calibri" w:hAnsi="Calibri" w:cs="Calibri"/>
                <w:color w:val="000000"/>
                <w:szCs w:val="20"/>
              </w:rPr>
              <w:t>41,8%</w:t>
            </w:r>
          </w:p>
        </w:tc>
        <w:tc>
          <w:tcPr>
            <w:tcW w:w="1657" w:type="dxa"/>
            <w:vAlign w:val="center"/>
          </w:tcPr>
          <w:p w14:paraId="586D8AAC" w14:textId="77777777" w:rsidR="005F54AD" w:rsidRPr="00AA4BED" w:rsidRDefault="005F54AD" w:rsidP="000878F6">
            <w:pPr>
              <w:pStyle w:val="Table"/>
              <w:jc w:val="center"/>
              <w:rPr>
                <w:szCs w:val="20"/>
              </w:rPr>
            </w:pPr>
            <w:r w:rsidRPr="00AA4BED">
              <w:rPr>
                <w:rFonts w:ascii="Calibri" w:hAnsi="Calibri" w:cs="Calibri"/>
                <w:color w:val="000000"/>
                <w:szCs w:val="20"/>
              </w:rPr>
              <w:t>41,4%</w:t>
            </w:r>
          </w:p>
        </w:tc>
      </w:tr>
      <w:tr w:rsidR="005F54AD" w:rsidRPr="00AA4BED" w14:paraId="197D1602" w14:textId="77777777" w:rsidTr="00691DB4">
        <w:tc>
          <w:tcPr>
            <w:tcW w:w="2160" w:type="dxa"/>
          </w:tcPr>
          <w:p w14:paraId="7A84D0A0" w14:textId="77777777" w:rsidR="005F54AD" w:rsidRPr="00AA4BED" w:rsidRDefault="005F54AD" w:rsidP="000878F6">
            <w:pPr>
              <w:pStyle w:val="Table"/>
              <w:rPr>
                <w:szCs w:val="20"/>
              </w:rPr>
            </w:pPr>
            <w:r w:rsidRPr="00AA4BED">
              <w:rPr>
                <w:szCs w:val="20"/>
              </w:rPr>
              <w:t>Waste Incineration</w:t>
            </w:r>
          </w:p>
        </w:tc>
        <w:tc>
          <w:tcPr>
            <w:tcW w:w="1080" w:type="dxa"/>
            <w:vAlign w:val="center"/>
          </w:tcPr>
          <w:p w14:paraId="54448E86" w14:textId="77777777" w:rsidR="005F54AD" w:rsidRPr="00AA4BED" w:rsidRDefault="005F54AD" w:rsidP="000878F6">
            <w:pPr>
              <w:pStyle w:val="Table"/>
              <w:jc w:val="center"/>
              <w:rPr>
                <w:szCs w:val="20"/>
              </w:rPr>
            </w:pPr>
            <w:r w:rsidRPr="00AA4BED">
              <w:rPr>
                <w:rFonts w:ascii="Calibri" w:hAnsi="Calibri" w:cs="Calibri"/>
                <w:color w:val="000000"/>
                <w:szCs w:val="20"/>
              </w:rPr>
              <w:t>-8,31%</w:t>
            </w:r>
          </w:p>
        </w:tc>
        <w:tc>
          <w:tcPr>
            <w:tcW w:w="1080" w:type="dxa"/>
            <w:vAlign w:val="center"/>
          </w:tcPr>
          <w:p w14:paraId="651C8305" w14:textId="77777777" w:rsidR="005F54AD" w:rsidRPr="00AA4BED" w:rsidRDefault="005F54AD" w:rsidP="000878F6">
            <w:pPr>
              <w:pStyle w:val="Table"/>
              <w:jc w:val="center"/>
              <w:rPr>
                <w:szCs w:val="20"/>
              </w:rPr>
            </w:pPr>
            <w:r w:rsidRPr="00AA4BED">
              <w:rPr>
                <w:rFonts w:ascii="Calibri" w:hAnsi="Calibri" w:cs="Calibri"/>
                <w:color w:val="000000"/>
                <w:szCs w:val="20"/>
              </w:rPr>
              <w:t>-8,31%</w:t>
            </w:r>
          </w:p>
        </w:tc>
        <w:tc>
          <w:tcPr>
            <w:tcW w:w="990" w:type="dxa"/>
            <w:vAlign w:val="center"/>
          </w:tcPr>
          <w:p w14:paraId="11DB3694" w14:textId="77777777" w:rsidR="005F54AD" w:rsidRPr="00AA4BED" w:rsidRDefault="005F54AD" w:rsidP="000878F6">
            <w:pPr>
              <w:pStyle w:val="Table"/>
              <w:jc w:val="center"/>
              <w:rPr>
                <w:szCs w:val="20"/>
              </w:rPr>
            </w:pPr>
            <w:r w:rsidRPr="00AA4BED">
              <w:rPr>
                <w:rFonts w:ascii="Calibri" w:hAnsi="Calibri" w:cs="Calibri"/>
                <w:color w:val="000000"/>
                <w:szCs w:val="20"/>
              </w:rPr>
              <w:t>0,71</w:t>
            </w:r>
          </w:p>
        </w:tc>
        <w:tc>
          <w:tcPr>
            <w:tcW w:w="1170" w:type="dxa"/>
            <w:vAlign w:val="center"/>
          </w:tcPr>
          <w:p w14:paraId="21C9847D" w14:textId="77777777" w:rsidR="005F54AD" w:rsidRPr="00AA4BED" w:rsidRDefault="005F54AD" w:rsidP="000878F6">
            <w:pPr>
              <w:pStyle w:val="Table"/>
              <w:jc w:val="center"/>
              <w:rPr>
                <w:szCs w:val="20"/>
              </w:rPr>
            </w:pPr>
            <w:r w:rsidRPr="00AA4BED">
              <w:rPr>
                <w:rFonts w:ascii="Calibri" w:hAnsi="Calibri" w:cs="Calibri"/>
                <w:color w:val="000000"/>
                <w:szCs w:val="20"/>
              </w:rPr>
              <w:t>0,84</w:t>
            </w:r>
          </w:p>
        </w:tc>
        <w:tc>
          <w:tcPr>
            <w:tcW w:w="930" w:type="dxa"/>
            <w:vAlign w:val="center"/>
          </w:tcPr>
          <w:p w14:paraId="4AEC7624" w14:textId="77777777" w:rsidR="005F54AD" w:rsidRPr="00AA4BED" w:rsidRDefault="005F54AD" w:rsidP="000878F6">
            <w:pPr>
              <w:pStyle w:val="Table"/>
              <w:jc w:val="center"/>
              <w:rPr>
                <w:szCs w:val="20"/>
              </w:rPr>
            </w:pPr>
            <w:r w:rsidRPr="00AA4BED">
              <w:rPr>
                <w:rFonts w:ascii="Calibri" w:hAnsi="Calibri" w:cs="Calibri"/>
                <w:color w:val="000000"/>
                <w:szCs w:val="20"/>
              </w:rPr>
              <w:t>2,3%</w:t>
            </w:r>
          </w:p>
        </w:tc>
        <w:tc>
          <w:tcPr>
            <w:tcW w:w="1657" w:type="dxa"/>
            <w:vAlign w:val="center"/>
          </w:tcPr>
          <w:p w14:paraId="6C7D2EE6" w14:textId="77777777" w:rsidR="005F54AD" w:rsidRPr="00AA4BED" w:rsidRDefault="005F54AD" w:rsidP="000878F6">
            <w:pPr>
              <w:pStyle w:val="Table"/>
              <w:jc w:val="center"/>
              <w:rPr>
                <w:szCs w:val="20"/>
              </w:rPr>
            </w:pPr>
            <w:r w:rsidRPr="00AA4BED">
              <w:rPr>
                <w:rFonts w:ascii="Calibri" w:hAnsi="Calibri" w:cs="Calibri"/>
                <w:color w:val="000000"/>
                <w:szCs w:val="20"/>
              </w:rPr>
              <w:t>2,8%</w:t>
            </w:r>
          </w:p>
        </w:tc>
      </w:tr>
      <w:tr w:rsidR="005F54AD" w:rsidRPr="00AA4BED" w14:paraId="4FC9AD85" w14:textId="77777777" w:rsidTr="00691DB4">
        <w:tc>
          <w:tcPr>
            <w:tcW w:w="2160" w:type="dxa"/>
          </w:tcPr>
          <w:p w14:paraId="6EC20624" w14:textId="77777777" w:rsidR="005F54AD" w:rsidRPr="00AA4BED" w:rsidRDefault="005F54AD" w:rsidP="000878F6">
            <w:pPr>
              <w:pStyle w:val="Table"/>
              <w:rPr>
                <w:szCs w:val="20"/>
              </w:rPr>
            </w:pPr>
            <w:r w:rsidRPr="00AA4BED">
              <w:rPr>
                <w:szCs w:val="20"/>
              </w:rPr>
              <w:t>Waste to Landfill</w:t>
            </w:r>
          </w:p>
        </w:tc>
        <w:tc>
          <w:tcPr>
            <w:tcW w:w="1080" w:type="dxa"/>
            <w:vAlign w:val="center"/>
          </w:tcPr>
          <w:p w14:paraId="247294DB" w14:textId="77777777" w:rsidR="005F54AD" w:rsidRPr="00AA4BED" w:rsidRDefault="005F54AD" w:rsidP="000878F6">
            <w:pPr>
              <w:pStyle w:val="Table"/>
              <w:jc w:val="center"/>
              <w:rPr>
                <w:szCs w:val="20"/>
              </w:rPr>
            </w:pPr>
            <w:r w:rsidRPr="00AA4BED">
              <w:rPr>
                <w:rFonts w:ascii="Calibri" w:hAnsi="Calibri" w:cs="Calibri"/>
                <w:color w:val="000000"/>
                <w:szCs w:val="20"/>
              </w:rPr>
              <w:t>-17,78%</w:t>
            </w:r>
          </w:p>
        </w:tc>
        <w:tc>
          <w:tcPr>
            <w:tcW w:w="1080" w:type="dxa"/>
            <w:vAlign w:val="center"/>
          </w:tcPr>
          <w:p w14:paraId="5AC5601C" w14:textId="77777777" w:rsidR="005F54AD" w:rsidRPr="00AA4BED" w:rsidRDefault="005F54AD" w:rsidP="000878F6">
            <w:pPr>
              <w:pStyle w:val="Table"/>
              <w:jc w:val="center"/>
              <w:rPr>
                <w:szCs w:val="20"/>
              </w:rPr>
            </w:pPr>
            <w:r w:rsidRPr="00AA4BED">
              <w:rPr>
                <w:rFonts w:ascii="Calibri" w:hAnsi="Calibri" w:cs="Calibri"/>
                <w:color w:val="000000"/>
                <w:szCs w:val="20"/>
              </w:rPr>
              <w:t>-17,78%</w:t>
            </w:r>
          </w:p>
        </w:tc>
        <w:tc>
          <w:tcPr>
            <w:tcW w:w="990" w:type="dxa"/>
            <w:vAlign w:val="center"/>
          </w:tcPr>
          <w:p w14:paraId="6105081B" w14:textId="77777777" w:rsidR="005F54AD" w:rsidRPr="00AA4BED" w:rsidRDefault="005F54AD" w:rsidP="000878F6">
            <w:pPr>
              <w:pStyle w:val="Table"/>
              <w:jc w:val="center"/>
              <w:rPr>
                <w:szCs w:val="20"/>
              </w:rPr>
            </w:pPr>
            <w:r w:rsidRPr="00AA4BED">
              <w:rPr>
                <w:rFonts w:ascii="Calibri" w:hAnsi="Calibri" w:cs="Calibri"/>
                <w:color w:val="000000"/>
                <w:szCs w:val="20"/>
              </w:rPr>
              <w:t>37,14</w:t>
            </w:r>
          </w:p>
        </w:tc>
        <w:tc>
          <w:tcPr>
            <w:tcW w:w="1170" w:type="dxa"/>
            <w:vAlign w:val="center"/>
          </w:tcPr>
          <w:p w14:paraId="1914F044" w14:textId="77777777" w:rsidR="005F54AD" w:rsidRPr="00AA4BED" w:rsidRDefault="005F54AD" w:rsidP="000878F6">
            <w:pPr>
              <w:pStyle w:val="Table"/>
              <w:jc w:val="center"/>
              <w:rPr>
                <w:szCs w:val="20"/>
              </w:rPr>
            </w:pPr>
            <w:r w:rsidRPr="00AA4BED">
              <w:rPr>
                <w:rFonts w:ascii="Calibri" w:hAnsi="Calibri" w:cs="Calibri"/>
                <w:color w:val="000000"/>
                <w:szCs w:val="20"/>
              </w:rPr>
              <w:t>34,35</w:t>
            </w:r>
          </w:p>
        </w:tc>
        <w:tc>
          <w:tcPr>
            <w:tcW w:w="930" w:type="dxa"/>
            <w:vAlign w:val="center"/>
          </w:tcPr>
          <w:p w14:paraId="53522F3A" w14:textId="77777777" w:rsidR="005F54AD" w:rsidRPr="00AA4BED" w:rsidRDefault="005F54AD" w:rsidP="000878F6">
            <w:pPr>
              <w:pStyle w:val="Table"/>
              <w:jc w:val="center"/>
              <w:rPr>
                <w:szCs w:val="20"/>
              </w:rPr>
            </w:pPr>
            <w:r w:rsidRPr="00AA4BED">
              <w:rPr>
                <w:rFonts w:ascii="Calibri" w:hAnsi="Calibri" w:cs="Calibri"/>
                <w:color w:val="000000"/>
                <w:szCs w:val="20"/>
              </w:rPr>
              <w:t>122,1%</w:t>
            </w:r>
          </w:p>
        </w:tc>
        <w:tc>
          <w:tcPr>
            <w:tcW w:w="1657" w:type="dxa"/>
            <w:vAlign w:val="center"/>
          </w:tcPr>
          <w:p w14:paraId="12EAABB3" w14:textId="77777777" w:rsidR="005F54AD" w:rsidRPr="00AA4BED" w:rsidRDefault="005F54AD" w:rsidP="000878F6">
            <w:pPr>
              <w:pStyle w:val="Table"/>
              <w:jc w:val="center"/>
              <w:rPr>
                <w:szCs w:val="20"/>
              </w:rPr>
            </w:pPr>
            <w:r w:rsidRPr="00AA4BED">
              <w:rPr>
                <w:rFonts w:ascii="Calibri" w:hAnsi="Calibri" w:cs="Calibri"/>
                <w:color w:val="000000"/>
                <w:szCs w:val="20"/>
              </w:rPr>
              <w:t>113,0%</w:t>
            </w:r>
          </w:p>
        </w:tc>
      </w:tr>
      <w:tr w:rsidR="005F54AD" w:rsidRPr="00AA4BED" w14:paraId="1DCE964B" w14:textId="77777777" w:rsidTr="00691DB4">
        <w:tc>
          <w:tcPr>
            <w:tcW w:w="2160" w:type="dxa"/>
          </w:tcPr>
          <w:p w14:paraId="0712A9B3" w14:textId="77777777" w:rsidR="005F54AD" w:rsidRPr="00AA4BED" w:rsidRDefault="005F54AD" w:rsidP="000878F6">
            <w:pPr>
              <w:pStyle w:val="Table"/>
              <w:rPr>
                <w:szCs w:val="20"/>
              </w:rPr>
            </w:pPr>
            <w:r w:rsidRPr="00AA4BED">
              <w:rPr>
                <w:szCs w:val="20"/>
              </w:rPr>
              <w:t>Water Effluent</w:t>
            </w:r>
          </w:p>
        </w:tc>
        <w:tc>
          <w:tcPr>
            <w:tcW w:w="1080" w:type="dxa"/>
            <w:vAlign w:val="center"/>
          </w:tcPr>
          <w:p w14:paraId="7204FE75" w14:textId="77777777" w:rsidR="005F54AD" w:rsidRPr="00AA4BED" w:rsidRDefault="005F54AD" w:rsidP="000878F6">
            <w:pPr>
              <w:pStyle w:val="Table"/>
              <w:jc w:val="center"/>
              <w:rPr>
                <w:szCs w:val="20"/>
              </w:rPr>
            </w:pPr>
            <w:r w:rsidRPr="00AA4BED">
              <w:rPr>
                <w:rFonts w:ascii="Calibri" w:hAnsi="Calibri" w:cs="Calibri"/>
                <w:color w:val="000000"/>
                <w:szCs w:val="20"/>
              </w:rPr>
              <w:t>0,00%</w:t>
            </w:r>
          </w:p>
        </w:tc>
        <w:tc>
          <w:tcPr>
            <w:tcW w:w="1080" w:type="dxa"/>
            <w:vAlign w:val="center"/>
          </w:tcPr>
          <w:p w14:paraId="44A2C4D1" w14:textId="77777777" w:rsidR="005F54AD" w:rsidRPr="00AA4BED" w:rsidRDefault="005F54AD" w:rsidP="000878F6">
            <w:pPr>
              <w:pStyle w:val="Table"/>
              <w:jc w:val="center"/>
              <w:rPr>
                <w:szCs w:val="20"/>
              </w:rPr>
            </w:pPr>
            <w:r w:rsidRPr="00AA4BED">
              <w:rPr>
                <w:rFonts w:ascii="Calibri" w:hAnsi="Calibri" w:cs="Calibri"/>
                <w:color w:val="000000"/>
                <w:szCs w:val="20"/>
              </w:rPr>
              <w:t>0,00%</w:t>
            </w:r>
          </w:p>
        </w:tc>
        <w:tc>
          <w:tcPr>
            <w:tcW w:w="990" w:type="dxa"/>
            <w:vAlign w:val="center"/>
          </w:tcPr>
          <w:p w14:paraId="33655893" w14:textId="77777777" w:rsidR="005F54AD" w:rsidRPr="00AA4BED" w:rsidRDefault="005F54AD" w:rsidP="000878F6">
            <w:pPr>
              <w:pStyle w:val="Table"/>
              <w:jc w:val="center"/>
              <w:rPr>
                <w:szCs w:val="20"/>
              </w:rPr>
            </w:pPr>
            <w:r w:rsidRPr="00AA4BED">
              <w:rPr>
                <w:rFonts w:ascii="Calibri" w:hAnsi="Calibri" w:cs="Calibri"/>
                <w:color w:val="000000"/>
                <w:szCs w:val="20"/>
              </w:rPr>
              <w:t>0,00</w:t>
            </w:r>
          </w:p>
        </w:tc>
        <w:tc>
          <w:tcPr>
            <w:tcW w:w="1170" w:type="dxa"/>
            <w:vAlign w:val="center"/>
          </w:tcPr>
          <w:p w14:paraId="5203C04A" w14:textId="77777777" w:rsidR="005F54AD" w:rsidRPr="00AA4BED" w:rsidRDefault="005F54AD" w:rsidP="000878F6">
            <w:pPr>
              <w:pStyle w:val="Table"/>
              <w:jc w:val="center"/>
              <w:rPr>
                <w:szCs w:val="20"/>
              </w:rPr>
            </w:pPr>
            <w:r w:rsidRPr="00AA4BED">
              <w:rPr>
                <w:rFonts w:ascii="Calibri" w:hAnsi="Calibri" w:cs="Calibri"/>
                <w:color w:val="000000"/>
                <w:szCs w:val="20"/>
              </w:rPr>
              <w:t>0,00</w:t>
            </w:r>
          </w:p>
        </w:tc>
        <w:tc>
          <w:tcPr>
            <w:tcW w:w="930" w:type="dxa"/>
            <w:vAlign w:val="center"/>
          </w:tcPr>
          <w:p w14:paraId="74F4BC42" w14:textId="77777777" w:rsidR="005F54AD" w:rsidRPr="00AA4BED" w:rsidRDefault="005F54AD" w:rsidP="000878F6">
            <w:pPr>
              <w:pStyle w:val="Table"/>
              <w:jc w:val="center"/>
              <w:rPr>
                <w:szCs w:val="20"/>
              </w:rPr>
            </w:pPr>
            <w:r w:rsidRPr="00AA4BED">
              <w:rPr>
                <w:rFonts w:ascii="Calibri" w:hAnsi="Calibri" w:cs="Calibri"/>
                <w:color w:val="000000"/>
                <w:szCs w:val="20"/>
              </w:rPr>
              <w:t>0,0%</w:t>
            </w:r>
          </w:p>
        </w:tc>
        <w:tc>
          <w:tcPr>
            <w:tcW w:w="1657" w:type="dxa"/>
            <w:vAlign w:val="center"/>
          </w:tcPr>
          <w:p w14:paraId="6BE726F6" w14:textId="77777777" w:rsidR="005F54AD" w:rsidRPr="00AA4BED" w:rsidRDefault="005F54AD" w:rsidP="000878F6">
            <w:pPr>
              <w:pStyle w:val="Table"/>
              <w:jc w:val="center"/>
              <w:rPr>
                <w:szCs w:val="20"/>
              </w:rPr>
            </w:pPr>
            <w:r w:rsidRPr="00AA4BED">
              <w:rPr>
                <w:rFonts w:ascii="Calibri" w:hAnsi="Calibri" w:cs="Calibri"/>
                <w:color w:val="000000"/>
                <w:szCs w:val="20"/>
              </w:rPr>
              <w:t>0,0%</w:t>
            </w:r>
          </w:p>
        </w:tc>
      </w:tr>
      <w:tr w:rsidR="005F54AD" w:rsidRPr="00AA4BED" w14:paraId="258A9996" w14:textId="77777777" w:rsidTr="00691DB4">
        <w:tc>
          <w:tcPr>
            <w:tcW w:w="2160" w:type="dxa"/>
          </w:tcPr>
          <w:p w14:paraId="19687684" w14:textId="77777777" w:rsidR="005F54AD" w:rsidRPr="00AA4BED" w:rsidRDefault="005F54AD" w:rsidP="000878F6">
            <w:pPr>
              <w:pStyle w:val="Table"/>
              <w:rPr>
                <w:szCs w:val="20"/>
              </w:rPr>
            </w:pPr>
            <w:r w:rsidRPr="00AA4BED">
              <w:rPr>
                <w:szCs w:val="20"/>
              </w:rPr>
              <w:t>Minerals &amp; Aggregates</w:t>
            </w:r>
          </w:p>
        </w:tc>
        <w:tc>
          <w:tcPr>
            <w:tcW w:w="1080" w:type="dxa"/>
            <w:vAlign w:val="center"/>
          </w:tcPr>
          <w:p w14:paraId="5797736E" w14:textId="77777777" w:rsidR="005F54AD" w:rsidRPr="00AA4BED" w:rsidRDefault="005F54AD" w:rsidP="000878F6">
            <w:pPr>
              <w:pStyle w:val="Table"/>
              <w:jc w:val="center"/>
              <w:rPr>
                <w:szCs w:val="20"/>
              </w:rPr>
            </w:pPr>
            <w:r w:rsidRPr="00AA4BED">
              <w:rPr>
                <w:rFonts w:ascii="Calibri" w:hAnsi="Calibri" w:cs="Calibri"/>
                <w:color w:val="000000"/>
                <w:szCs w:val="20"/>
              </w:rPr>
              <w:t>0,00%</w:t>
            </w:r>
          </w:p>
        </w:tc>
        <w:tc>
          <w:tcPr>
            <w:tcW w:w="1080" w:type="dxa"/>
            <w:vAlign w:val="center"/>
          </w:tcPr>
          <w:p w14:paraId="683415C1" w14:textId="77777777" w:rsidR="005F54AD" w:rsidRPr="00AA4BED" w:rsidRDefault="005F54AD" w:rsidP="000878F6">
            <w:pPr>
              <w:pStyle w:val="Table"/>
              <w:jc w:val="center"/>
              <w:rPr>
                <w:szCs w:val="20"/>
              </w:rPr>
            </w:pPr>
            <w:r w:rsidRPr="00AA4BED">
              <w:rPr>
                <w:rFonts w:ascii="Calibri" w:hAnsi="Calibri" w:cs="Calibri"/>
                <w:color w:val="000000"/>
                <w:szCs w:val="20"/>
              </w:rPr>
              <w:t>0,00%</w:t>
            </w:r>
          </w:p>
        </w:tc>
        <w:tc>
          <w:tcPr>
            <w:tcW w:w="990" w:type="dxa"/>
            <w:vAlign w:val="center"/>
          </w:tcPr>
          <w:p w14:paraId="3133824D" w14:textId="77777777" w:rsidR="005F54AD" w:rsidRPr="00AA4BED" w:rsidRDefault="005F54AD" w:rsidP="000878F6">
            <w:pPr>
              <w:pStyle w:val="Table"/>
              <w:jc w:val="center"/>
              <w:rPr>
                <w:szCs w:val="20"/>
              </w:rPr>
            </w:pPr>
            <w:r w:rsidRPr="00AA4BED">
              <w:rPr>
                <w:rFonts w:ascii="Calibri" w:hAnsi="Calibri" w:cs="Calibri"/>
                <w:color w:val="000000"/>
                <w:szCs w:val="20"/>
              </w:rPr>
              <w:t>0,00</w:t>
            </w:r>
          </w:p>
        </w:tc>
        <w:tc>
          <w:tcPr>
            <w:tcW w:w="1170" w:type="dxa"/>
            <w:vAlign w:val="center"/>
          </w:tcPr>
          <w:p w14:paraId="201AA11C" w14:textId="77777777" w:rsidR="005F54AD" w:rsidRPr="00AA4BED" w:rsidRDefault="005F54AD" w:rsidP="000878F6">
            <w:pPr>
              <w:pStyle w:val="Table"/>
              <w:jc w:val="center"/>
              <w:rPr>
                <w:szCs w:val="20"/>
              </w:rPr>
            </w:pPr>
            <w:r w:rsidRPr="00AA4BED">
              <w:rPr>
                <w:rFonts w:ascii="Calibri" w:hAnsi="Calibri" w:cs="Calibri"/>
                <w:color w:val="000000"/>
                <w:szCs w:val="20"/>
              </w:rPr>
              <w:t>0,00</w:t>
            </w:r>
          </w:p>
        </w:tc>
        <w:tc>
          <w:tcPr>
            <w:tcW w:w="930" w:type="dxa"/>
            <w:vAlign w:val="center"/>
          </w:tcPr>
          <w:p w14:paraId="38A3808B" w14:textId="77777777" w:rsidR="005F54AD" w:rsidRPr="00AA4BED" w:rsidRDefault="005F54AD" w:rsidP="000878F6">
            <w:pPr>
              <w:pStyle w:val="Table"/>
              <w:jc w:val="center"/>
              <w:rPr>
                <w:szCs w:val="20"/>
              </w:rPr>
            </w:pPr>
            <w:r w:rsidRPr="00AA4BED">
              <w:rPr>
                <w:rFonts w:ascii="Calibri" w:hAnsi="Calibri" w:cs="Calibri"/>
                <w:color w:val="000000"/>
                <w:szCs w:val="20"/>
              </w:rPr>
              <w:t>N.E.</w:t>
            </w:r>
          </w:p>
        </w:tc>
        <w:tc>
          <w:tcPr>
            <w:tcW w:w="1657" w:type="dxa"/>
            <w:vAlign w:val="center"/>
          </w:tcPr>
          <w:p w14:paraId="7387385F" w14:textId="77777777" w:rsidR="005F54AD" w:rsidRPr="00AA4BED" w:rsidRDefault="005F54AD" w:rsidP="000878F6">
            <w:pPr>
              <w:pStyle w:val="Table"/>
              <w:jc w:val="center"/>
              <w:rPr>
                <w:szCs w:val="20"/>
              </w:rPr>
            </w:pPr>
            <w:r w:rsidRPr="00AA4BED">
              <w:rPr>
                <w:rFonts w:ascii="Calibri" w:hAnsi="Calibri" w:cs="Calibri"/>
                <w:color w:val="000000"/>
                <w:szCs w:val="20"/>
              </w:rPr>
              <w:t>N.E.</w:t>
            </w:r>
          </w:p>
        </w:tc>
      </w:tr>
    </w:tbl>
    <w:p w14:paraId="4EF35D49" w14:textId="77777777" w:rsidR="005F54AD" w:rsidRPr="00D12D7A" w:rsidRDefault="005F54AD" w:rsidP="00D12D7A"/>
    <w:p w14:paraId="3C14BD28" w14:textId="2CDD7F5A" w:rsidR="00D12D7A" w:rsidRPr="00D12D7A" w:rsidRDefault="00D12D7A" w:rsidP="00D12D7A">
      <w:r w:rsidRPr="00D12D7A">
        <w:t xml:space="preserve">Feasibility is generally good given established permitting and monitoring systems, yet there are practical hurdles that warrant careful sequencing. Landfill diversion at higher rates could strain local waste systems unless sorting and treatment capacity expands in step; without that, risks include higher municipal costs, illegal dumping, or a short-term push towards incineration. For agriculture, fertiliser and pesticide taxes may face opposition from smaller farms concerned about margins and yields. In industry, additional air-emissions charges would concentrate in energy-intensive </w:t>
      </w:r>
      <w:r w:rsidRPr="00D12D7A">
        <w:lastRenderedPageBreak/>
        <w:t>installations (cement, glass, basic metals and chemicals), raising familiar competitiveness concerns. Household distributional impacts are not large in aggregate according to the literature and our elasticity-based modelling, but affordability pressures can arise via municipal waste fees and water bills if revenues are not recycled transparently.</w:t>
      </w:r>
    </w:p>
    <w:p w14:paraId="31224B27" w14:textId="11B229DA" w:rsidR="005F54AD" w:rsidRPr="00D12D7A" w:rsidRDefault="00D12D7A" w:rsidP="00D12D7A">
      <w:r w:rsidRPr="00D12D7A">
        <w:t>Against this backdrop, three implementation principles are important for Czechia. First, phase-in matters: ramping rates over several years with pre-announced trajectories allows firms and municipalities to plan investments and smooths price effects for households. Second, revenue use should be visible and targeted: dedicating a portion of proceeds to reduce social contributions or local waste charges, alongside investment grants, materially lowers perceived and actual burdens. Third, coordination across line ministries and municipalities is essential to align tax design with capacity expansions in waste and water infrastructure and to avoid unintended substitutions between landfill and incineration.</w:t>
      </w:r>
    </w:p>
    <w:p w14:paraId="688E94EE" w14:textId="77777777" w:rsidR="00D12D7A" w:rsidRPr="00D12D7A" w:rsidRDefault="00D12D7A" w:rsidP="00D12D7A">
      <w:r w:rsidRPr="00D12D7A">
        <w:t>Taking account of the modelling results and existing Czech measures, the following taxes emerge as priorities to consider:</w:t>
      </w:r>
    </w:p>
    <w:p w14:paraId="40F46752" w14:textId="61F8BFA9" w:rsidR="00D12D7A" w:rsidRPr="00D12D7A" w:rsidRDefault="00D12D7A" w:rsidP="005F54AD">
      <w:pPr>
        <w:pStyle w:val="Bulletlist"/>
      </w:pPr>
      <w:r w:rsidRPr="005F54AD">
        <w:rPr>
          <w:b/>
          <w:bCs/>
        </w:rPr>
        <w:t>Landfill taxation at benchmark levels</w:t>
      </w:r>
      <w:r w:rsidRPr="00D12D7A">
        <w:t xml:space="preserve"> with a clear multi-year escalator, complemented by parallel investment in sorting, recycling and mechanical-biological treatment so that diversion targets are achievable at reasonable cost. Where appropriate, differentiated rates for untreated mixed waste, stabilised residuals and inert materials can sharpen incentives while limiting leakage risks.</w:t>
      </w:r>
      <w:r w:rsidR="005F54AD">
        <w:t xml:space="preserve"> </w:t>
      </w:r>
      <w:r w:rsidR="005F54AD" w:rsidRPr="005F54AD">
        <w:t>An increase to the existing landfill tax</w:t>
      </w:r>
      <w:r w:rsidR="005F54AD" w:rsidRPr="00EA4C9B">
        <w:t xml:space="preserve"> would help to drive change in the waste management sector and support the application of waste hierarchy (Hogg et al). In 2021, the OECD noted that increasing landfill taxes and improving their design would decrease the relatively high landfill rate of municipal waste and support the achievement of EU waste targets. Further, the effectiveness of the landfill tax would be improved if the generated revenue were not allocated to municipalities and the fees for landfilling of hazardous waste were better enforced</w:t>
      </w:r>
      <w:r w:rsidR="005F54AD" w:rsidRPr="00EA4C9B">
        <w:rPr>
          <w:rStyle w:val="FootnoteReference"/>
        </w:rPr>
        <w:footnoteReference w:id="259"/>
      </w:r>
      <w:r w:rsidR="005F54AD" w:rsidRPr="00EA4C9B">
        <w:t xml:space="preserve">. </w:t>
      </w:r>
    </w:p>
    <w:p w14:paraId="7B2C8E1A" w14:textId="0FB0D2EE" w:rsidR="00D12D7A" w:rsidRPr="00D12D7A" w:rsidRDefault="00D12D7A" w:rsidP="00732707">
      <w:pPr>
        <w:pStyle w:val="Bulletlist"/>
      </w:pPr>
      <w:r w:rsidRPr="005F54AD">
        <w:rPr>
          <w:b/>
          <w:bCs/>
        </w:rPr>
        <w:t>Product-based instruments on fertilisers and pesticides</w:t>
      </w:r>
      <w:r w:rsidRPr="00D12D7A">
        <w:t xml:space="preserve"> calibrated to nitrogen content and relative toxicity, respectively, with farm-size thresholds or de minimis administrative simplifications to keep compliance costs proportionate. Coupling the taxes with advisory support and co-financed precision-application equipment can maintain yields while delivering the targeted reductions.</w:t>
      </w:r>
      <w:r w:rsidR="005F54AD">
        <w:t xml:space="preserve"> </w:t>
      </w:r>
      <w:r w:rsidR="005F54AD" w:rsidRPr="00EA4C9B">
        <w:t xml:space="preserve">The OECD, in its </w:t>
      </w:r>
      <w:r w:rsidR="005F54AD" w:rsidRPr="00EA4C9B">
        <w:rPr>
          <w:rStyle w:val="Emphasis"/>
        </w:rPr>
        <w:t>Environmental Performance Review</w:t>
      </w:r>
      <w:r w:rsidR="005F54AD" w:rsidRPr="00EA4C9B">
        <w:t xml:space="preserve"> of Czechia, recommended introducing a fertiliser tax as a potentially effective tool to reduce related emissions. Modelling carried out by the EC suggested that “</w:t>
      </w:r>
      <w:r w:rsidR="005F54AD" w:rsidRPr="00EA4C9B">
        <w:rPr>
          <w:i/>
          <w:iCs/>
        </w:rPr>
        <w:t>introducing a nitrogen fertiliser tax of 1.40 EUR per kg nitrogen could raise 467 million EUR revenue (decreasing to 283 million EUR as it does its regulating work), is expected to bring about a small increase to GDP of 0.13-0.24% in 2030, depending on the scenario chosen. This will lead to a shift in employment from agriculture to other sectors like service and construction, and when the tax revenues are recycled through income tax, a net increase of jobs of 0.01% is expected</w:t>
      </w:r>
      <w:r w:rsidR="005F54AD" w:rsidRPr="00EA4C9B">
        <w:rPr>
          <w:rStyle w:val="FootnoteReference"/>
          <w:i/>
          <w:iCs/>
        </w:rPr>
        <w:footnoteReference w:id="260"/>
      </w:r>
      <w:r w:rsidR="005F54AD" w:rsidRPr="00EA4C9B">
        <w:rPr>
          <w:i/>
          <w:iCs/>
        </w:rPr>
        <w:t>.”</w:t>
      </w:r>
      <w:r w:rsidR="005F54AD" w:rsidRPr="00EA4C9B">
        <w:t xml:space="preserve"> The EC suggested that Denmark’s fertiliser tax could be used as an example. </w:t>
      </w:r>
      <w:r w:rsidR="00732707" w:rsidRPr="00EA4C9B">
        <w:rPr>
          <w:b/>
          <w:bCs/>
        </w:rPr>
        <w:t xml:space="preserve">Introducing a pesticides tax, </w:t>
      </w:r>
      <w:r w:rsidR="00732707" w:rsidRPr="00EA4C9B">
        <w:t>banded according to the associated level of hazard of different active ingredients (as in Norway and Denmark), would support progress towards the targets and broader objectives set out in the National Pesticide Action Plan (in accordance with Article 4 of the Directive on Establishing a Framework for Community Action to Achieve the Sustainable Use of Pesticides (Directive 2009/128/EC). Czechia’s Pesticide Action Plan stated that the Ministry of Agriculture will analyse the possibility of introducing economic instruments, such as a sales tax on plant protection products (Hogg et al.).</w:t>
      </w:r>
    </w:p>
    <w:p w14:paraId="77546910" w14:textId="77777777" w:rsidR="00D12D7A" w:rsidRDefault="00D12D7A" w:rsidP="00D12D7A">
      <w:pPr>
        <w:pStyle w:val="Bulletlist"/>
      </w:pPr>
      <w:r w:rsidRPr="005F54AD">
        <w:rPr>
          <w:b/>
          <w:bCs/>
        </w:rPr>
        <w:lastRenderedPageBreak/>
        <w:t>Air pollution charges on NOx, SO₂ and PM₂.₅</w:t>
      </w:r>
      <w:r w:rsidRPr="00D12D7A">
        <w:t xml:space="preserve"> focused on large point sources already under integrated permits, using the benchmark rates as a reference. Where existing Czech fees are close to the benchmark, modest top-ups combined with performance-based rebates for early adoption of best available techniques can secure additional reductions without undermining competitiveness.</w:t>
      </w:r>
    </w:p>
    <w:p w14:paraId="1E8A0B63" w14:textId="77777777" w:rsidR="005F54AD" w:rsidRPr="00EA4C9B" w:rsidRDefault="005F54AD" w:rsidP="005F54AD">
      <w:pPr>
        <w:pStyle w:val="Bulletlist"/>
      </w:pPr>
      <w:r w:rsidRPr="00EA4C9B">
        <w:t xml:space="preserve">A </w:t>
      </w:r>
      <w:r w:rsidRPr="00EA4C9B">
        <w:rPr>
          <w:b/>
          <w:bCs/>
        </w:rPr>
        <w:t>water consumption charge</w:t>
      </w:r>
      <w:r w:rsidRPr="00EA4C9B">
        <w:rPr>
          <w:color w:val="FF0000"/>
        </w:rPr>
        <w:t xml:space="preserve"> </w:t>
      </w:r>
      <w:r w:rsidRPr="00EA4C9B">
        <w:t>was proposed by the EC in 2021</w:t>
      </w:r>
      <w:r w:rsidRPr="00EA4C9B">
        <w:rPr>
          <w:rStyle w:val="FootnoteReference"/>
        </w:rPr>
        <w:footnoteReference w:id="261"/>
      </w:r>
      <w:r w:rsidRPr="00EA4C9B">
        <w:t>. It was suggested that this would aid Czechia, as in 2021, it exhibited a Water Exploitation Index which is close to the threshold of ‘water resources under stress’</w:t>
      </w:r>
      <w:r w:rsidRPr="00EA4C9B">
        <w:rPr>
          <w:rStyle w:val="FootnoteReference"/>
          <w:i/>
          <w:iCs/>
        </w:rPr>
        <w:t xml:space="preserve"> </w:t>
      </w:r>
      <w:r w:rsidRPr="00EA4C9B">
        <w:rPr>
          <w:rStyle w:val="FootnoteReference"/>
          <w:i/>
          <w:iCs/>
        </w:rPr>
        <w:footnoteReference w:id="262"/>
      </w:r>
      <w:r w:rsidRPr="00EA4C9B">
        <w:t xml:space="preserve">. Modelling carried out for the EC suggested that introducing such a charge in Czechia would contribute around 0.02% to GDP by 2023 (when revenues are recycled) and lead to a slight increase in employment (depending on the model around 0.03% in 2030). The EC suggested that France has an example of how such a tax works. </w:t>
      </w:r>
    </w:p>
    <w:p w14:paraId="75FE1FB0" w14:textId="7019E9A4" w:rsidR="005F54AD" w:rsidRPr="00EA4C9B" w:rsidRDefault="005F54AD" w:rsidP="005F54AD">
      <w:pPr>
        <w:pStyle w:val="Bulletlist"/>
      </w:pPr>
      <w:r w:rsidRPr="00EA4C9B">
        <w:rPr>
          <w:b/>
          <w:bCs/>
        </w:rPr>
        <w:t>Introducing an incineration/MBT tax</w:t>
      </w:r>
      <w:r w:rsidRPr="00EA4C9B">
        <w:t xml:space="preserve"> could prevent wastes being shifted from landfill to incineration and therefore support recycling. The rates proposed by Hogg et all were €15 per tonne in 2016. An equivalent rate was proposed for MBT facilities which are already operating in Czechia. These suggested rates are below the highest levels in the EU (in Denmark</w:t>
      </w:r>
      <w:r w:rsidR="007B606C" w:rsidRPr="00EA4C9B">
        <w:t>) and</w:t>
      </w:r>
      <w:r w:rsidRPr="00EA4C9B">
        <w:t xml:space="preserve"> were intended to ensure management of waste is focused on the upper tiers of the waste hierarchy, in line with the Roadmap to A Resource Efficient Europe the Czechia (Hogg et al). However, Czechia has no plans to introduce a waste Incineration tax (Early warning country profile). The Czech Ministry of the Environment believes that an </w:t>
      </w:r>
      <w:r w:rsidRPr="00EA4C9B">
        <w:rPr>
          <w:i/>
          <w:iCs/>
        </w:rPr>
        <w:t>“incineration tax does not significantly support recycling in Czechia at the moment, because incineration and energy recovery of municipal waste was at 12 % in 2020 in Czechia, significantly below the EU average which is around 27 %. On the other hand, the landfilling of municipal waste was at 47.7 % in 2020. Therefore, the main issue for the Czech Republic in the following years is to address the high level of landfilling, not energy recovery […] If the situation changes, the Czech Ministry of the Environment is ready to revise its position regarding the introduction of an incineration tax in the mid-term (Ministry of the Environment, 2022).”</w:t>
      </w:r>
      <w:r w:rsidRPr="00EA4C9B">
        <w:t xml:space="preserve"> (Early warning country report)</w:t>
      </w:r>
    </w:p>
    <w:p w14:paraId="31129C79" w14:textId="77777777" w:rsidR="005F54AD" w:rsidRPr="00EA4C9B" w:rsidRDefault="005F54AD" w:rsidP="005F54AD">
      <w:pPr>
        <w:pStyle w:val="Bulletlist"/>
      </w:pPr>
      <w:r w:rsidRPr="00EA4C9B">
        <w:rPr>
          <w:b/>
          <w:bCs/>
        </w:rPr>
        <w:t>Introducing a packaging tax</w:t>
      </w:r>
      <w:r w:rsidRPr="00EA4C9B">
        <w:t xml:space="preserve"> could stimulate waste prevention initiatives in the packaging industry and reduce the demand for raw materials. Hogg et al suggested Czechia introduce rates to all packaging placed on the market; the rates would cover the embodied CO2 savings associated with materials use. The rationale is to encourage prevention of packaging (as opposed to recycling) (Hogg et al). However, Czechia, in 2024 had no finalised plans to fund the payment of its plastic levy obligation through the adoption of a national plastic tax</w:t>
      </w:r>
      <w:r w:rsidRPr="00EA4C9B">
        <w:rPr>
          <w:rStyle w:val="FootnoteReference"/>
        </w:rPr>
        <w:footnoteReference w:id="263"/>
      </w:r>
      <w:r w:rsidRPr="00EA4C9B">
        <w:t>; Czechia has Extended Producer Responsibility (EPR) systems for specific waste streams in place.</w:t>
      </w:r>
    </w:p>
    <w:p w14:paraId="354967DF" w14:textId="77777777" w:rsidR="005F54AD" w:rsidRPr="00EA4C9B" w:rsidRDefault="005F54AD" w:rsidP="005F54AD">
      <w:pPr>
        <w:pStyle w:val="Bulletlist"/>
      </w:pPr>
      <w:r w:rsidRPr="00EA4C9B">
        <w:rPr>
          <w:b/>
          <w:bCs/>
        </w:rPr>
        <w:t>Amending the water abstraction charge</w:t>
      </w:r>
      <w:r w:rsidRPr="00EA4C9B">
        <w:rPr>
          <w:color w:val="FF0000"/>
        </w:rPr>
        <w:t xml:space="preserve"> </w:t>
      </w:r>
      <w:r w:rsidRPr="00EA4C9B">
        <w:t xml:space="preserve">by increasing the existing fee for public water supply and lower rates to abstraction for manufacturing purposes and for agriculture could improve the cost recovery. Hogg et al reported that the extent to which cost recovery is achieved under the existing charge is unclear. Cost recovery of water services is a central theme of the Water Framework Directive (Directive 2000/60/EC). However, revenues from the existing charges accrue to the Environmental Funds, which raises some questions as to how the revenues would be directed (Hogg et al). The rates proposed in Hogg et al </w:t>
      </w:r>
      <w:r w:rsidRPr="00EA4C9B">
        <w:rPr>
          <w:b/>
          <w:bCs/>
        </w:rPr>
        <w:t xml:space="preserve">could comprise both an element of cost recovery, and a tax component, </w:t>
      </w:r>
      <w:r w:rsidRPr="00EA4C9B">
        <w:t>accruing to central government.</w:t>
      </w:r>
      <w:r w:rsidRPr="00EA4C9B">
        <w:rPr>
          <w:b/>
          <w:bCs/>
        </w:rPr>
        <w:t xml:space="preserve"> </w:t>
      </w:r>
      <w:r w:rsidRPr="00EA4C9B">
        <w:t>As noted by Hogg et al, this could have implications on the discussions regarding the reform of the management of the environmental funds, and the rationale for the charges.</w:t>
      </w:r>
    </w:p>
    <w:p w14:paraId="199AED65" w14:textId="45F96373" w:rsidR="00D12D7A" w:rsidRPr="00D12D7A" w:rsidRDefault="00D12D7A" w:rsidP="00D12D7A">
      <w:r w:rsidRPr="00D12D7A">
        <w:t>Instruments that are already above the benchmark</w:t>
      </w:r>
      <w:r>
        <w:t xml:space="preserve">, </w:t>
      </w:r>
      <w:r w:rsidRPr="00D12D7A">
        <w:t>most notably wastewater effluent charges and minerals extraction</w:t>
      </w:r>
      <w:r>
        <w:t xml:space="preserve">, </w:t>
      </w:r>
      <w:r w:rsidRPr="00D12D7A">
        <w:t xml:space="preserve">should be maintained and, where useful, fine-tuned for better alignment with </w:t>
      </w:r>
      <w:r w:rsidRPr="00D12D7A">
        <w:lastRenderedPageBreak/>
        <w:t>environmental outcomes (for example, adjusting wastewater charge structures to pollutant loads and seasonal sensitivity). New taxes on water abstraction should be considered only where monitoring of volumes is robust and scarcity signals justify pricing; if introduced, linking rates to local water-stress indicators would improve efficiency and acceptability.</w:t>
      </w:r>
    </w:p>
    <w:p w14:paraId="67571659" w14:textId="0B69146A" w:rsidR="00D12D7A" w:rsidRPr="00D12D7A" w:rsidRDefault="00D12D7A" w:rsidP="00D12D7A">
      <w:r w:rsidRPr="00D12D7A">
        <w:t>To avoid negative distributional and competitiveness impacts, a set of actionable safeguards is recommended. For households, recycle part of the incremental revenues to cap or reduce municipal waste tariffs for low-income groups, and fund building-level measures that cut bills (separate collection infrastructure, home composting, water-saving devices). For farmers, pair fertiliser and pesticide taxes with time-limited rebates conditioned on adoption of precision technologies, cover crops and integrated pest management, with dedicated advisory services to reduce transition risk. For trade-exposed industries, offer competitively neutral support that does not blunt the price signal, such as investment tax credits or grant schemes for abatement equipment, waste-heat recovery and fuel-switching, plus predictable depreciation rules for environmental capital. In waste policy, strengthen enforcement and tracking to deter illegal dumping, tighten controls on cross-border movements, and expand contracting frameworks that reward high-quality recycling rather than simple diversion to incineration.</w:t>
      </w:r>
    </w:p>
    <w:p w14:paraId="31F2E186" w14:textId="5940CD9F" w:rsidR="00D12D7A" w:rsidRPr="00D12D7A" w:rsidRDefault="00D12D7A" w:rsidP="00D12D7A">
      <w:r w:rsidRPr="00D12D7A">
        <w:t>Several implementation issues deserve explicit attention. Data systems are adequate in large installations but patchier for smaller emitters and farms; a light-touch reporting regime using existing registers, standard coefficients and periodic audits can keep administrative costs low while improving coverage. Municipalities will need support to procure new waste-treatment capacity; using a share of landfill-tax revenues to co-finance regional facilities and collection upgrades is advisable. Communication is pivotal: publishing an annual “green dividend” report that shows how revenues reduced other taxes or funded visible improvements (air quality hotspots, river stretches, local recycling centres) will help sustain confidence and mitigate the risk of protests driven by perceptions of unfairness rather than actual burden levels.</w:t>
      </w:r>
    </w:p>
    <w:p w14:paraId="27858F47" w14:textId="0D98B01B" w:rsidR="00392FDA" w:rsidRPr="00EA4C9B" w:rsidRDefault="00D12D7A" w:rsidP="00392FDA">
      <w:r w:rsidRPr="00D12D7A">
        <w:t>Overall, the Czech economy can absorb the benchmarked environmental taxes with limited macroeconomic disruption, provided the reforms are phased, revenues are recycled transparently, and investment in enabling infrastructure proceeds in parallel. Prioritising landfill, and then selectively advancing product and air instruments where gaps remain, offers a practical path that maximises environmental benefit while safeguarding competitiveness and social fairness.</w:t>
      </w:r>
      <w:r w:rsidR="00392FDA" w:rsidRPr="00EA4C9B">
        <w:t xml:space="preserve"> </w:t>
      </w:r>
    </w:p>
    <w:p w14:paraId="2CC4FB3B" w14:textId="77777777" w:rsidR="00392FDA" w:rsidRPr="00EA4C9B" w:rsidRDefault="00392FDA" w:rsidP="0045752A">
      <w:pPr>
        <w:pStyle w:val="AnnexHeading1"/>
        <w:ind w:hanging="1211"/>
      </w:pPr>
      <w:bookmarkStart w:id="153" w:name="_Toc214008858"/>
      <w:r w:rsidRPr="00EA4C9B">
        <w:t>Denmark</w:t>
      </w:r>
      <w:bookmarkEnd w:id="153"/>
    </w:p>
    <w:p w14:paraId="1BE6D915" w14:textId="77777777" w:rsidR="00392FDA" w:rsidRPr="00EA4C9B" w:rsidRDefault="00392FDA" w:rsidP="007C4EB7">
      <w:pPr>
        <w:pStyle w:val="AnnexHeading2"/>
      </w:pPr>
      <w:bookmarkStart w:id="154" w:name="_Toc214008859"/>
      <w:r w:rsidRPr="00EA4C9B">
        <w:t>Overview on environmental taxes</w:t>
      </w:r>
      <w:bookmarkEnd w:id="154"/>
    </w:p>
    <w:p w14:paraId="0222BB85" w14:textId="4FF1881B" w:rsidR="00392FDA" w:rsidRPr="00EA4C9B" w:rsidRDefault="00274248" w:rsidP="00392FDA">
      <w:r w:rsidRPr="00274248">
        <w:t>Environmental taxes in Denmark amounted to 2% of GDP in 2023, close to the EU average. Both the level and the economic relevance of environmental taxation have declined over time. Total environmental tax revenue reached EUR 7.12 billion in real terms in 2023 (</w:t>
      </w:r>
      <w:r w:rsidRPr="00E10417">
        <w:fldChar w:fldCharType="begin"/>
      </w:r>
      <w:r w:rsidRPr="00E10417">
        <w:instrText xml:space="preserve"> REF _Ref201234118 \h  \* MERGEFORMAT </w:instrText>
      </w:r>
      <w:r w:rsidRPr="00E10417">
        <w:fldChar w:fldCharType="separate"/>
      </w:r>
      <w:r w:rsidRPr="00E10417">
        <w:t xml:space="preserve">Figure </w:t>
      </w:r>
      <w:r>
        <w:t>A6</w:t>
      </w:r>
      <w:r w:rsidRPr="00E10417">
        <w:t>-</w:t>
      </w:r>
      <w:r w:rsidRPr="00E10417">
        <w:rPr>
          <w:noProof/>
        </w:rPr>
        <w:t>19</w:t>
      </w:r>
      <w:r w:rsidRPr="00E10417">
        <w:fldChar w:fldCharType="end"/>
      </w:r>
      <w:r w:rsidRPr="00274248">
        <w:t>), a decrease of 21.6% since 2009.</w:t>
      </w:r>
      <w:r w:rsidR="008D21CA" w:rsidRPr="008D21CA">
        <w:rPr>
          <w:rStyle w:val="FootnoteReference"/>
        </w:rPr>
        <w:t xml:space="preserve"> </w:t>
      </w:r>
      <w:r w:rsidR="008D21CA">
        <w:rPr>
          <w:rStyle w:val="FootnoteReference"/>
        </w:rPr>
        <w:footnoteReference w:id="264"/>
      </w:r>
      <w:r w:rsidRPr="00274248">
        <w:t xml:space="preserve"> Over the same period, the ratio of environmental taxes to GDP fell by 48.4% (</w:t>
      </w:r>
      <w:r w:rsidRPr="00697060">
        <w:fldChar w:fldCharType="begin"/>
      </w:r>
      <w:r w:rsidRPr="00697060">
        <w:instrText xml:space="preserve"> REF _Ref201234141 \h  \* MERGEFORMAT </w:instrText>
      </w:r>
      <w:r w:rsidRPr="00697060">
        <w:fldChar w:fldCharType="separate"/>
      </w:r>
      <w:r w:rsidRPr="00697060">
        <w:t xml:space="preserve">Figure </w:t>
      </w:r>
      <w:r>
        <w:t>A6</w:t>
      </w:r>
      <w:r w:rsidRPr="00697060">
        <w:t>-</w:t>
      </w:r>
      <w:r w:rsidRPr="00697060">
        <w:rPr>
          <w:noProof/>
        </w:rPr>
        <w:t>20</w:t>
      </w:r>
      <w:r w:rsidRPr="00697060">
        <w:fldChar w:fldCharType="end"/>
      </w:r>
      <w:r w:rsidRPr="00274248">
        <w:t>). In 2023, energy and transport taxes accounted for around 52.5% and 40.7% of total environmental tax revenues, while resource and pollution taxes contributed 2.8% and 3.9% respectively.</w:t>
      </w:r>
    </w:p>
    <w:tbl>
      <w:tblPr>
        <w:tblStyle w:val="TableGrid"/>
        <w:tblpPr w:leftFromText="180" w:rightFromText="180" w:vertAnchor="text"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92FDA" w:rsidRPr="00EA4C9B" w14:paraId="517A031D" w14:textId="77777777" w:rsidTr="00BA7936">
        <w:trPr>
          <w:trHeight w:val="300"/>
        </w:trPr>
        <w:tc>
          <w:tcPr>
            <w:tcW w:w="9016" w:type="dxa"/>
          </w:tcPr>
          <w:p w14:paraId="09809C56" w14:textId="77777777" w:rsidR="00392FDA" w:rsidRPr="00EA4C9B" w:rsidRDefault="00392FDA">
            <w:pPr>
              <w:spacing w:after="0"/>
              <w:jc w:val="center"/>
              <w:rPr>
                <w:sz w:val="10"/>
                <w:szCs w:val="10"/>
              </w:rPr>
            </w:pPr>
          </w:p>
          <w:p w14:paraId="25FA3982" w14:textId="77777777" w:rsidR="00392FDA" w:rsidRPr="00EA4C9B" w:rsidRDefault="00392FDA">
            <w:pPr>
              <w:spacing w:after="0"/>
              <w:jc w:val="center"/>
              <w:rPr>
                <w:sz w:val="10"/>
                <w:szCs w:val="10"/>
              </w:rPr>
            </w:pPr>
            <w:r w:rsidRPr="00EA4C9B">
              <w:rPr>
                <w:noProof/>
              </w:rPr>
              <w:drawing>
                <wp:inline distT="0" distB="0" distL="0" distR="0" wp14:anchorId="55E31F38" wp14:editId="33613816">
                  <wp:extent cx="5570110" cy="1140682"/>
                  <wp:effectExtent l="0" t="0" r="0" b="2540"/>
                  <wp:docPr id="1732612643" name="Picture 1" descr="A graph of a graph showing the amount of tax and poll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70110" cy="1140682"/>
                          </a:xfrm>
                          <a:prstGeom prst="rect">
                            <a:avLst/>
                          </a:prstGeom>
                        </pic:spPr>
                      </pic:pic>
                    </a:graphicData>
                  </a:graphic>
                </wp:inline>
              </w:drawing>
            </w:r>
          </w:p>
          <w:p w14:paraId="0B7CE56B" w14:textId="77777777" w:rsidR="00392FDA" w:rsidRPr="00EA4C9B" w:rsidRDefault="00392FDA">
            <w:pPr>
              <w:spacing w:after="0"/>
              <w:jc w:val="center"/>
              <w:rPr>
                <w:sz w:val="10"/>
                <w:szCs w:val="10"/>
              </w:rPr>
            </w:pPr>
          </w:p>
        </w:tc>
      </w:tr>
      <w:tr w:rsidR="00392FDA" w:rsidRPr="00EA4C9B" w14:paraId="4818C607" w14:textId="77777777" w:rsidTr="00BA7936">
        <w:trPr>
          <w:trHeight w:val="300"/>
        </w:trPr>
        <w:tc>
          <w:tcPr>
            <w:tcW w:w="9016" w:type="dxa"/>
            <w:shd w:val="clear" w:color="auto" w:fill="003399"/>
          </w:tcPr>
          <w:p w14:paraId="50D64B6F" w14:textId="41FFD4B5" w:rsidR="00392FDA" w:rsidRPr="00051732" w:rsidRDefault="00051732" w:rsidP="00556EBA">
            <w:pPr>
              <w:pStyle w:val="FigTabCaption"/>
            </w:pPr>
            <w:bookmarkStart w:id="155" w:name="_Ref201234118"/>
            <w:r w:rsidRPr="00051732">
              <w:t xml:space="preserve">Figure </w:t>
            </w:r>
            <w:r w:rsidR="00490085">
              <w:t>A6</w:t>
            </w:r>
            <w:r w:rsidRPr="00051732">
              <w:t>-</w:t>
            </w:r>
            <w:r>
              <w:fldChar w:fldCharType="begin"/>
            </w:r>
            <w:r>
              <w:instrText>SEQ Figure_A5- \* ARABIC</w:instrText>
            </w:r>
            <w:r>
              <w:fldChar w:fldCharType="separate"/>
            </w:r>
            <w:r w:rsidR="00556EBA">
              <w:rPr>
                <w:noProof/>
              </w:rPr>
              <w:t>19</w:t>
            </w:r>
            <w:r>
              <w:fldChar w:fldCharType="end"/>
            </w:r>
            <w:bookmarkEnd w:id="155"/>
            <w:r>
              <w:t>: Total environmental tax revenue in Denmark (2009-2023) in billion euros</w:t>
            </w:r>
          </w:p>
        </w:tc>
      </w:tr>
    </w:tbl>
    <w:p w14:paraId="243C0179" w14:textId="77777777" w:rsidR="00D24E4B" w:rsidRDefault="00392FDA" w:rsidP="00392FDA">
      <w:r w:rsidRPr="00EA4C9B" w:rsidDel="00F80BC1">
        <w:t xml:space="preserve"> </w:t>
      </w:r>
    </w:p>
    <w:p w14:paraId="65C8E9DC" w14:textId="77777777" w:rsidR="00C05C88" w:rsidRPr="00C05C88" w:rsidRDefault="00C05C88" w:rsidP="00C05C88">
      <w:r w:rsidRPr="00C05C88">
        <w:t xml:space="preserve">In 2023, total tax revenue (including net social contributions) accounted for 43.9% of Denmark’s GDP, a decrease of </w:t>
      </w:r>
      <w:r w:rsidRPr="00C05C88">
        <w:rPr>
          <w:b/>
          <w:bCs/>
        </w:rPr>
        <w:t>2.0 percentage points</w:t>
      </w:r>
      <w:r w:rsidRPr="00C05C88">
        <w:t xml:space="preserve"> compared with 2009. Environmental taxes represented 4.67% of total tax revenue in 2023, down from 8.67% in 2009, a decline of </w:t>
      </w:r>
      <w:r w:rsidRPr="00C05C88">
        <w:rPr>
          <w:b/>
          <w:bCs/>
        </w:rPr>
        <w:t>4.0 percentage points</w:t>
      </w:r>
      <w:r w:rsidRPr="00C05C88">
        <w:t xml:space="preserve"> over the period. This reflects a broad reduction across all categories of environmental taxes. In absolute terms, the steepest decline was recorded in energy tax revenues (-51.3%), followed by pollution taxes (-50.7%), transport taxes (-38.2%) and resource taxes (-30.0%).</w:t>
      </w:r>
    </w:p>
    <w:p w14:paraId="6FAA2963" w14:textId="390D511C" w:rsidR="00392FDA" w:rsidRPr="00EA4C9B" w:rsidRDefault="00274104" w:rsidP="00392FDA">
      <w:r w:rsidRPr="00274104">
        <w:t xml:space="preserve">Although environmentally related tax revenue had been on a downward trend </w:t>
      </w:r>
      <w:r w:rsidR="00446FF5">
        <w:t>since 2016</w:t>
      </w:r>
      <w:r w:rsidRPr="00274104">
        <w:t>, Denmark continues to record some of the highest levels of environmental taxation in the OECD.</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92FDA" w:rsidRPr="00EA4C9B" w14:paraId="17BC1287" w14:textId="77777777" w:rsidTr="00BA7936">
        <w:tc>
          <w:tcPr>
            <w:tcW w:w="9016" w:type="dxa"/>
          </w:tcPr>
          <w:p w14:paraId="282BF853" w14:textId="77777777" w:rsidR="00392FDA" w:rsidRPr="00EA4C9B" w:rsidRDefault="00392FDA">
            <w:pPr>
              <w:spacing w:after="0"/>
              <w:jc w:val="center"/>
              <w:rPr>
                <w:sz w:val="10"/>
                <w:szCs w:val="10"/>
              </w:rPr>
            </w:pPr>
          </w:p>
          <w:p w14:paraId="389A6FB4" w14:textId="2A4B4522" w:rsidR="00392FDA" w:rsidRPr="00EA4C9B" w:rsidRDefault="00392FDA">
            <w:pPr>
              <w:spacing w:after="0"/>
              <w:jc w:val="center"/>
              <w:rPr>
                <w:sz w:val="10"/>
                <w:szCs w:val="10"/>
              </w:rPr>
            </w:pPr>
            <w:r w:rsidRPr="00EA4C9B">
              <w:rPr>
                <w:noProof/>
                <w:sz w:val="10"/>
                <w:szCs w:val="10"/>
              </w:rPr>
              <w:drawing>
                <wp:inline distT="0" distB="0" distL="0" distR="0" wp14:anchorId="5A633525" wp14:editId="1EC2D48F">
                  <wp:extent cx="5646240" cy="1771209"/>
                  <wp:effectExtent l="0" t="0" r="0" b="635"/>
                  <wp:docPr id="1903097295" name="Picture 2" descr="A graph of tax and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97295" name="Picture 2" descr="A graph of tax and energy&#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02517" cy="1788863"/>
                          </a:xfrm>
                          <a:prstGeom prst="rect">
                            <a:avLst/>
                          </a:prstGeom>
                          <a:noFill/>
                        </pic:spPr>
                      </pic:pic>
                    </a:graphicData>
                  </a:graphic>
                </wp:inline>
              </w:drawing>
            </w:r>
          </w:p>
        </w:tc>
      </w:tr>
      <w:tr w:rsidR="00392FDA" w:rsidRPr="00EA4C9B" w14:paraId="437656F4" w14:textId="77777777" w:rsidTr="00BA7936">
        <w:tc>
          <w:tcPr>
            <w:tcW w:w="9016" w:type="dxa"/>
            <w:shd w:val="clear" w:color="auto" w:fill="003399"/>
          </w:tcPr>
          <w:p w14:paraId="251F791F" w14:textId="02072637" w:rsidR="00392FDA" w:rsidRPr="00EA4C9B" w:rsidRDefault="00051732" w:rsidP="00A67845">
            <w:pPr>
              <w:pStyle w:val="FigTabCaption"/>
            </w:pPr>
            <w:bookmarkStart w:id="156" w:name="_Ref201234141"/>
            <w:r w:rsidRPr="00EA4C9B">
              <w:t xml:space="preserve">Figure </w:t>
            </w:r>
            <w:r w:rsidR="00490085">
              <w:t>A6</w:t>
            </w:r>
            <w:r w:rsidRPr="00EA4C9B">
              <w:t>-</w:t>
            </w:r>
            <w:r>
              <w:fldChar w:fldCharType="begin"/>
            </w:r>
            <w:r>
              <w:instrText>SEQ Figure_A5- \* ARABIC</w:instrText>
            </w:r>
            <w:r>
              <w:fldChar w:fldCharType="separate"/>
            </w:r>
            <w:r w:rsidR="0091411A">
              <w:rPr>
                <w:noProof/>
              </w:rPr>
              <w:t>20</w:t>
            </w:r>
            <w:r>
              <w:fldChar w:fldCharType="end"/>
            </w:r>
            <w:bookmarkEnd w:id="156"/>
            <w:r w:rsidR="00392FDA" w:rsidRPr="00EA4C9B">
              <w:t>: Fifteen-year (2009-2023) change in absolute terms and change as GDP-ratio of the revenues of energy taxes, transport taxes, resource taxes, pollution taxes and total environmental taxes</w:t>
            </w:r>
            <w:r w:rsidR="0005420A">
              <w:t xml:space="preserve"> </w:t>
            </w:r>
          </w:p>
        </w:tc>
      </w:tr>
    </w:tbl>
    <w:p w14:paraId="2DF2AD6D" w14:textId="77777777" w:rsidR="00392FDA" w:rsidRPr="00EA4C9B" w:rsidRDefault="00392FDA" w:rsidP="00392FDA"/>
    <w:p w14:paraId="18A9F13C" w14:textId="77777777" w:rsidR="00392FDA" w:rsidRPr="00EA4C9B" w:rsidRDefault="00392FDA" w:rsidP="007C4EB7">
      <w:pPr>
        <w:pStyle w:val="AnnexHeading2"/>
      </w:pPr>
      <w:bookmarkStart w:id="157" w:name="_Toc214008860"/>
      <w:r w:rsidRPr="00EA4C9B">
        <w:t>Existing pollution and resource taxes</w:t>
      </w:r>
      <w:bookmarkEnd w:id="157"/>
      <w:r w:rsidRPr="00EA4C9B">
        <w:t xml:space="preserve"> </w:t>
      </w:r>
    </w:p>
    <w:p w14:paraId="3B623D99" w14:textId="42E1E8B4" w:rsidR="00392FDA" w:rsidRPr="00EA4C9B" w:rsidRDefault="00392FDA" w:rsidP="00392FDA">
      <w:r w:rsidRPr="00EA4C9B">
        <w:t>In 2023, resource and pollution tax revenue reached respectively 201 and 279 million euros. These amount to an increase in absolute terms of 2.0% for resource taxes, and a decrease of 28.2% for pollution taxes over 15 years (2009-2023). However, in real terms of GDP-ratios, resource taxes decreased by 33.0% while pollution taxes decreased by 53.5% over the same period (</w:t>
      </w:r>
      <w:r w:rsidR="00556EBA" w:rsidRPr="00556EBA">
        <w:fldChar w:fldCharType="begin"/>
      </w:r>
      <w:r w:rsidR="00556EBA" w:rsidRPr="00556EBA">
        <w:instrText xml:space="preserve"> REF _Ref201234141 \h  \* MERGEFORMAT </w:instrText>
      </w:r>
      <w:r w:rsidR="00556EBA" w:rsidRPr="00556EBA">
        <w:fldChar w:fldCharType="separate"/>
      </w:r>
      <w:r w:rsidR="00556EBA" w:rsidRPr="00556EBA">
        <w:t xml:space="preserve">Figure </w:t>
      </w:r>
      <w:r w:rsidR="00490085">
        <w:t>A6</w:t>
      </w:r>
      <w:r w:rsidR="00556EBA" w:rsidRPr="00556EBA">
        <w:t>-</w:t>
      </w:r>
      <w:r w:rsidR="00556EBA" w:rsidRPr="00556EBA">
        <w:rPr>
          <w:noProof/>
        </w:rPr>
        <w:t>20</w:t>
      </w:r>
      <w:r w:rsidR="00556EBA" w:rsidRPr="00556EBA">
        <w:fldChar w:fldCharType="end"/>
      </w:r>
      <w:r w:rsidRPr="00EA4C9B">
        <w:t xml:space="preserve">). </w:t>
      </w:r>
      <w:r w:rsidR="001A6AFA">
        <w:br w:type="page"/>
      </w:r>
    </w:p>
    <w:p w14:paraId="4F90DE78" w14:textId="77777777" w:rsidR="00392FDA" w:rsidRPr="00EA4C9B" w:rsidRDefault="00392FDA" w:rsidP="00392FDA">
      <w:pPr>
        <w:spacing w:after="0"/>
        <w:rPr>
          <w:sz w:val="10"/>
          <w:szCs w:val="1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92FDA" w:rsidRPr="00EA4C9B" w14:paraId="6CD7581C" w14:textId="77777777" w:rsidTr="00BA7936">
        <w:tc>
          <w:tcPr>
            <w:tcW w:w="9016" w:type="dxa"/>
          </w:tcPr>
          <w:p w14:paraId="03B382B4" w14:textId="77777777" w:rsidR="00392FDA" w:rsidRPr="00EA4C9B" w:rsidRDefault="00392FDA">
            <w:pPr>
              <w:spacing w:after="0"/>
              <w:jc w:val="center"/>
              <w:rPr>
                <w:sz w:val="10"/>
                <w:szCs w:val="10"/>
              </w:rPr>
            </w:pPr>
          </w:p>
          <w:p w14:paraId="18A9F674" w14:textId="77777777" w:rsidR="00392FDA" w:rsidRPr="00EA4C9B" w:rsidRDefault="00392FDA">
            <w:pPr>
              <w:spacing w:after="0"/>
              <w:jc w:val="center"/>
              <w:rPr>
                <w:sz w:val="10"/>
                <w:szCs w:val="10"/>
              </w:rPr>
            </w:pPr>
            <w:r w:rsidRPr="00EA4C9B">
              <w:rPr>
                <w:noProof/>
                <w:sz w:val="10"/>
                <w:szCs w:val="10"/>
              </w:rPr>
              <w:drawing>
                <wp:inline distT="0" distB="0" distL="0" distR="0" wp14:anchorId="702B22E6" wp14:editId="0316DA56">
                  <wp:extent cx="5663944" cy="1150415"/>
                  <wp:effectExtent l="0" t="0" r="0" b="0"/>
                  <wp:docPr id="853302183" name="Picture 1" descr="A graph of a number of gree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02183" name="Picture 1" descr="A graph of a number of green and blue bars&#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2604" cy="1162329"/>
                          </a:xfrm>
                          <a:prstGeom prst="rect">
                            <a:avLst/>
                          </a:prstGeom>
                          <a:noFill/>
                        </pic:spPr>
                      </pic:pic>
                    </a:graphicData>
                  </a:graphic>
                </wp:inline>
              </w:drawing>
            </w:r>
          </w:p>
          <w:p w14:paraId="4B60896C" w14:textId="77777777" w:rsidR="00392FDA" w:rsidRPr="00EA4C9B" w:rsidRDefault="00392FDA">
            <w:pPr>
              <w:spacing w:after="0"/>
              <w:jc w:val="center"/>
              <w:rPr>
                <w:sz w:val="10"/>
                <w:szCs w:val="10"/>
              </w:rPr>
            </w:pPr>
          </w:p>
          <w:p w14:paraId="5184C070" w14:textId="77777777" w:rsidR="00392FDA" w:rsidRPr="00EA4C9B" w:rsidRDefault="00392FDA">
            <w:pPr>
              <w:spacing w:after="0"/>
              <w:jc w:val="center"/>
              <w:rPr>
                <w:sz w:val="10"/>
                <w:szCs w:val="10"/>
              </w:rPr>
            </w:pPr>
          </w:p>
        </w:tc>
      </w:tr>
      <w:tr w:rsidR="00392FDA" w:rsidRPr="00EA4C9B" w14:paraId="142C1525" w14:textId="77777777" w:rsidTr="00BA7936">
        <w:tc>
          <w:tcPr>
            <w:tcW w:w="9016" w:type="dxa"/>
            <w:shd w:val="clear" w:color="auto" w:fill="003399"/>
          </w:tcPr>
          <w:p w14:paraId="1C5C18B2" w14:textId="03A420F8" w:rsidR="00392FDA" w:rsidRPr="00EA4C9B" w:rsidRDefault="00051732" w:rsidP="00A67845">
            <w:pPr>
              <w:pStyle w:val="FigTabCaption"/>
            </w:pPr>
            <w:r w:rsidRPr="00EA4C9B">
              <w:t xml:space="preserve">Figure </w:t>
            </w:r>
            <w:r w:rsidR="00490085">
              <w:t>A6</w:t>
            </w:r>
            <w:r w:rsidRPr="00EA4C9B">
              <w:t>-</w:t>
            </w:r>
            <w:r>
              <w:fldChar w:fldCharType="begin"/>
            </w:r>
            <w:r>
              <w:instrText>SEQ Figure_A5- \* ARABIC</w:instrText>
            </w:r>
            <w:r>
              <w:fldChar w:fldCharType="separate"/>
            </w:r>
            <w:r w:rsidR="0091411A">
              <w:rPr>
                <w:noProof/>
              </w:rPr>
              <w:t>21</w:t>
            </w:r>
            <w:r>
              <w:fldChar w:fldCharType="end"/>
            </w:r>
            <w:r w:rsidR="00392FDA" w:rsidRPr="00EA4C9B">
              <w:t>: Resource and pollution tax revenues in Denmark (2009-2023) in million euros</w:t>
            </w:r>
          </w:p>
        </w:tc>
      </w:tr>
    </w:tbl>
    <w:p w14:paraId="7A33F3EB" w14:textId="77777777" w:rsidR="00392FDA" w:rsidRPr="00EA4C9B" w:rsidRDefault="00392FDA" w:rsidP="00392FDA">
      <w:pPr>
        <w:spacing w:after="0"/>
        <w:textAlignment w:val="baseline"/>
      </w:pPr>
    </w:p>
    <w:p w14:paraId="4940CA10" w14:textId="77777777" w:rsidR="00646886" w:rsidRDefault="00646886" w:rsidP="00646886">
      <w:pPr>
        <w:pStyle w:val="Heading4"/>
      </w:pPr>
      <w:r w:rsidRPr="00EA4C9B">
        <w:t xml:space="preserve">List of </w:t>
      </w:r>
      <w:r>
        <w:t>pollution and resource</w:t>
      </w:r>
      <w:r w:rsidRPr="00EA4C9B">
        <w:t xml:space="preserve"> taxes and revenue shares</w:t>
      </w:r>
    </w:p>
    <w:p w14:paraId="36218984" w14:textId="1E01BFB9" w:rsidR="00392FDA" w:rsidRPr="00EA4C9B" w:rsidRDefault="00794936" w:rsidP="00392FDA">
      <w:pPr>
        <w:spacing w:after="0"/>
        <w:textAlignment w:val="baseline"/>
        <w:rPr>
          <w:lang w:eastAsia="en-GB"/>
        </w:rPr>
      </w:pPr>
      <w:r>
        <w:t>The table</w:t>
      </w:r>
      <w:r w:rsidR="00392FDA" w:rsidRPr="00EA4C9B">
        <w:t xml:space="preserve"> below lists the current slate of environmental taxes levied by Denmark. </w:t>
      </w:r>
    </w:p>
    <w:p w14:paraId="3FA54C45" w14:textId="77777777" w:rsidR="00392FDA" w:rsidRPr="00EA4C9B" w:rsidRDefault="00392FDA" w:rsidP="00392FDA">
      <w:pPr>
        <w:spacing w:after="0"/>
      </w:pPr>
    </w:p>
    <w:tbl>
      <w:tblPr>
        <w:tblW w:w="91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9"/>
        <w:gridCol w:w="1870"/>
        <w:gridCol w:w="2344"/>
        <w:gridCol w:w="2040"/>
      </w:tblGrid>
      <w:tr w:rsidR="00392FDA" w:rsidRPr="00EA4C9B" w14:paraId="16ACB3F8" w14:textId="77777777" w:rsidTr="00732707">
        <w:trPr>
          <w:trHeight w:val="300"/>
          <w:tblHeader/>
        </w:trPr>
        <w:tc>
          <w:tcPr>
            <w:tcW w:w="9143"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436BB933" w14:textId="4BF26B8B" w:rsidR="00392FDA" w:rsidRPr="00A46F60" w:rsidRDefault="00051732" w:rsidP="00A46F60">
            <w:pPr>
              <w:pStyle w:val="Table"/>
              <w:rPr>
                <w:rFonts w:ascii="Times New Roman" w:eastAsia="Times New Roman" w:hAnsi="Times New Roman" w:cs="Times New Roman"/>
                <w:b/>
                <w:color w:val="FFFFFF" w:themeColor="background1"/>
                <w:sz w:val="24"/>
                <w:lang w:eastAsia="en-GB"/>
              </w:rPr>
            </w:pPr>
            <w:r w:rsidRPr="00A46F60">
              <w:rPr>
                <w:b/>
                <w:color w:val="FFFFFF" w:themeColor="background1"/>
              </w:rPr>
              <w:t xml:space="preserve">Table </w:t>
            </w:r>
            <w:r w:rsidR="00490085">
              <w:rPr>
                <w:b/>
                <w:color w:val="FFFFFF" w:themeColor="background1"/>
              </w:rPr>
              <w:t>A6</w:t>
            </w:r>
            <w:r w:rsidR="00A46F60" w:rsidRPr="00A46F60">
              <w:rPr>
                <w:b/>
                <w:bCs/>
                <w:color w:val="FFFFFF" w:themeColor="background1"/>
              </w:rPr>
              <w:t>-</w:t>
            </w:r>
            <w:r w:rsidR="00A46F60" w:rsidRPr="00A46F60">
              <w:rPr>
                <w:b/>
                <w:bCs/>
                <w:color w:val="FFFFFF" w:themeColor="background1"/>
              </w:rPr>
              <w:fldChar w:fldCharType="begin"/>
            </w:r>
            <w:r w:rsidR="00A46F60" w:rsidRPr="00A46F60">
              <w:rPr>
                <w:b/>
                <w:bCs/>
                <w:color w:val="FFFFFF" w:themeColor="background1"/>
              </w:rPr>
              <w:instrText xml:space="preserve"> SEQ Table_A5- \* ARABIC </w:instrText>
            </w:r>
            <w:r w:rsidR="00A46F60" w:rsidRPr="00A46F60">
              <w:rPr>
                <w:b/>
                <w:bCs/>
                <w:color w:val="FFFFFF" w:themeColor="background1"/>
              </w:rPr>
              <w:fldChar w:fldCharType="separate"/>
            </w:r>
            <w:r w:rsidR="00732707">
              <w:rPr>
                <w:b/>
                <w:bCs/>
                <w:noProof/>
                <w:color w:val="FFFFFF" w:themeColor="background1"/>
              </w:rPr>
              <w:t>38</w:t>
            </w:r>
            <w:r w:rsidR="00A46F60" w:rsidRPr="00A46F60">
              <w:rPr>
                <w:b/>
                <w:bCs/>
                <w:color w:val="FFFFFF" w:themeColor="background1"/>
              </w:rPr>
              <w:fldChar w:fldCharType="end"/>
            </w:r>
            <w:r w:rsidR="00392FDA" w:rsidRPr="00A46F60">
              <w:rPr>
                <w:rFonts w:ascii="Calibri" w:eastAsia="Times New Roman" w:hAnsi="Calibri" w:cs="Calibri"/>
                <w:b/>
                <w:color w:val="FFFFFF" w:themeColor="background1"/>
                <w:szCs w:val="20"/>
                <w:lang w:eastAsia="en-GB"/>
              </w:rPr>
              <w:t>:  Pollution taxes  </w:t>
            </w:r>
          </w:p>
        </w:tc>
      </w:tr>
      <w:tr w:rsidR="00392FDA" w:rsidRPr="00EA4C9B" w14:paraId="28353DDE" w14:textId="77777777" w:rsidTr="00732707">
        <w:trPr>
          <w:trHeight w:val="300"/>
          <w:tblHeader/>
        </w:trPr>
        <w:tc>
          <w:tcPr>
            <w:tcW w:w="2889" w:type="dxa"/>
            <w:tcBorders>
              <w:top w:val="single" w:sz="6" w:space="0" w:color="auto"/>
              <w:left w:val="single" w:sz="6" w:space="0" w:color="auto"/>
              <w:bottom w:val="single" w:sz="6" w:space="0" w:color="auto"/>
              <w:right w:val="single" w:sz="6" w:space="0" w:color="auto"/>
            </w:tcBorders>
            <w:hideMark/>
          </w:tcPr>
          <w:p w14:paraId="7A80EDC8" w14:textId="77777777" w:rsidR="00392FDA" w:rsidRPr="00051732" w:rsidRDefault="00392FDA" w:rsidP="00A46F60">
            <w:pPr>
              <w:pStyle w:val="Table"/>
              <w:rPr>
                <w:rFonts w:ascii="Times New Roman" w:eastAsia="Times New Roman" w:hAnsi="Times New Roman" w:cs="Times New Roman"/>
                <w:sz w:val="24"/>
                <w:lang w:eastAsia="en-GB"/>
              </w:rPr>
            </w:pPr>
            <w:r w:rsidRPr="00051732">
              <w:rPr>
                <w:rFonts w:ascii="Calibri" w:eastAsia="Times New Roman" w:hAnsi="Calibri" w:cs="Calibri"/>
                <w:b/>
                <w:szCs w:val="20"/>
                <w:lang w:eastAsia="en-GB"/>
              </w:rPr>
              <w:t>Tax Name</w:t>
            </w:r>
            <w:r w:rsidRPr="00051732">
              <w:rPr>
                <w:rFonts w:ascii="Calibri" w:eastAsia="Times New Roman" w:hAnsi="Calibri" w:cs="Calibri"/>
                <w:szCs w:val="20"/>
                <w:lang w:eastAsia="en-GB"/>
              </w:rPr>
              <w:t>  </w:t>
            </w:r>
          </w:p>
        </w:tc>
        <w:tc>
          <w:tcPr>
            <w:tcW w:w="1870" w:type="dxa"/>
            <w:tcBorders>
              <w:top w:val="single" w:sz="6" w:space="0" w:color="auto"/>
              <w:left w:val="single" w:sz="6" w:space="0" w:color="auto"/>
              <w:bottom w:val="single" w:sz="6" w:space="0" w:color="auto"/>
              <w:right w:val="single" w:sz="6" w:space="0" w:color="auto"/>
            </w:tcBorders>
            <w:hideMark/>
          </w:tcPr>
          <w:p w14:paraId="3F2F16CE" w14:textId="473C5347" w:rsidR="00392FDA" w:rsidRPr="00051732" w:rsidRDefault="00392FDA" w:rsidP="00732707">
            <w:pPr>
              <w:pStyle w:val="Table"/>
              <w:jc w:val="center"/>
              <w:rPr>
                <w:rFonts w:ascii="Times New Roman" w:eastAsia="Times New Roman" w:hAnsi="Times New Roman" w:cs="Times New Roman"/>
                <w:sz w:val="24"/>
                <w:lang w:eastAsia="en-GB"/>
              </w:rPr>
            </w:pPr>
            <w:r w:rsidRPr="00051732">
              <w:rPr>
                <w:rFonts w:ascii="Calibri" w:eastAsia="Times New Roman" w:hAnsi="Calibri" w:cs="Calibri"/>
                <w:b/>
                <w:szCs w:val="20"/>
                <w:lang w:eastAsia="en-GB"/>
              </w:rPr>
              <w:t>Revenue (€ million)</w:t>
            </w:r>
          </w:p>
          <w:p w14:paraId="0C8AAE23" w14:textId="70539CFD" w:rsidR="00392FDA" w:rsidRPr="00051732" w:rsidRDefault="00392FDA" w:rsidP="00732707">
            <w:pPr>
              <w:pStyle w:val="Table"/>
              <w:jc w:val="center"/>
              <w:rPr>
                <w:rFonts w:ascii="Times New Roman" w:eastAsia="Times New Roman" w:hAnsi="Times New Roman" w:cs="Times New Roman"/>
                <w:sz w:val="24"/>
                <w:lang w:eastAsia="en-GB"/>
              </w:rPr>
            </w:pPr>
            <w:r w:rsidRPr="00051732">
              <w:rPr>
                <w:rFonts w:ascii="Calibri" w:eastAsia="Times New Roman" w:hAnsi="Calibri" w:cs="Calibri"/>
                <w:b/>
                <w:szCs w:val="20"/>
                <w:lang w:eastAsia="en-GB"/>
              </w:rPr>
              <w:t>2009-2023</w:t>
            </w:r>
          </w:p>
        </w:tc>
        <w:tc>
          <w:tcPr>
            <w:tcW w:w="2344" w:type="dxa"/>
            <w:tcBorders>
              <w:top w:val="single" w:sz="6" w:space="0" w:color="auto"/>
              <w:left w:val="single" w:sz="6" w:space="0" w:color="auto"/>
              <w:bottom w:val="single" w:sz="6" w:space="0" w:color="auto"/>
              <w:right w:val="single" w:sz="6" w:space="0" w:color="auto"/>
            </w:tcBorders>
            <w:hideMark/>
          </w:tcPr>
          <w:p w14:paraId="3F472B43" w14:textId="52BA79B7" w:rsidR="00392FDA" w:rsidRPr="00051732" w:rsidRDefault="00392FDA" w:rsidP="00732707">
            <w:pPr>
              <w:pStyle w:val="Table"/>
              <w:jc w:val="center"/>
              <w:rPr>
                <w:rFonts w:ascii="Times New Roman" w:eastAsia="Times New Roman" w:hAnsi="Times New Roman" w:cs="Times New Roman"/>
                <w:sz w:val="24"/>
                <w:lang w:eastAsia="en-GB"/>
              </w:rPr>
            </w:pPr>
            <w:r w:rsidRPr="00051732">
              <w:rPr>
                <w:rFonts w:ascii="Calibri" w:eastAsia="Times New Roman" w:hAnsi="Calibri" w:cs="Calibri"/>
                <w:b/>
                <w:szCs w:val="20"/>
                <w:lang w:eastAsia="en-GB"/>
              </w:rPr>
              <w:t>Average annual revenue (€ million)</w:t>
            </w:r>
          </w:p>
        </w:tc>
        <w:tc>
          <w:tcPr>
            <w:tcW w:w="2040" w:type="dxa"/>
            <w:tcBorders>
              <w:top w:val="single" w:sz="6" w:space="0" w:color="auto"/>
              <w:left w:val="single" w:sz="6" w:space="0" w:color="auto"/>
              <w:bottom w:val="single" w:sz="6" w:space="0" w:color="auto"/>
              <w:right w:val="single" w:sz="6" w:space="0" w:color="auto"/>
            </w:tcBorders>
            <w:hideMark/>
          </w:tcPr>
          <w:p w14:paraId="28538C2C" w14:textId="56DC3938" w:rsidR="00392FDA" w:rsidRPr="00051732" w:rsidRDefault="00392FDA" w:rsidP="00732707">
            <w:pPr>
              <w:pStyle w:val="Table"/>
              <w:jc w:val="center"/>
              <w:rPr>
                <w:rFonts w:ascii="Times New Roman" w:eastAsia="Times New Roman" w:hAnsi="Times New Roman" w:cs="Times New Roman"/>
                <w:sz w:val="24"/>
                <w:lang w:eastAsia="en-GB"/>
              </w:rPr>
            </w:pPr>
            <w:r w:rsidRPr="00051732">
              <w:rPr>
                <w:rFonts w:ascii="Calibri" w:eastAsia="Times New Roman" w:hAnsi="Calibri" w:cs="Calibri"/>
                <w:b/>
                <w:szCs w:val="20"/>
                <w:lang w:eastAsia="en-GB"/>
              </w:rPr>
              <w:t>As share of all pollution tax revenues</w:t>
            </w:r>
          </w:p>
        </w:tc>
      </w:tr>
      <w:tr w:rsidR="00392FDA" w:rsidRPr="00EA4C9B" w14:paraId="77304A45"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1D9324DF" w14:textId="77777777" w:rsidR="00392FDA" w:rsidRPr="00EA4C9B" w:rsidRDefault="00392FDA" w:rsidP="00A46F60">
            <w:pPr>
              <w:pStyle w:val="Table"/>
              <w:rPr>
                <w:rFonts w:eastAsia="Times New Roman" w:cstheme="minorHAnsi"/>
                <w:szCs w:val="20"/>
                <w:lang w:eastAsia="en-GB"/>
              </w:rPr>
            </w:pPr>
            <w:r w:rsidRPr="00EA4C9B">
              <w:rPr>
                <w:rFonts w:cstheme="minorHAnsi"/>
                <w:szCs w:val="20"/>
              </w:rPr>
              <w:t>Duty on electric bulbs and fuses, etc.</w:t>
            </w:r>
          </w:p>
        </w:tc>
        <w:tc>
          <w:tcPr>
            <w:tcW w:w="1870" w:type="dxa"/>
            <w:tcBorders>
              <w:top w:val="single" w:sz="6" w:space="0" w:color="auto"/>
              <w:left w:val="single" w:sz="6" w:space="0" w:color="auto"/>
              <w:bottom w:val="single" w:sz="6" w:space="0" w:color="auto"/>
              <w:right w:val="single" w:sz="6" w:space="0" w:color="auto"/>
            </w:tcBorders>
            <w:hideMark/>
          </w:tcPr>
          <w:p w14:paraId="30FA53D5"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118.8</w:t>
            </w:r>
          </w:p>
        </w:tc>
        <w:tc>
          <w:tcPr>
            <w:tcW w:w="2344" w:type="dxa"/>
            <w:tcBorders>
              <w:top w:val="single" w:sz="6" w:space="0" w:color="auto"/>
              <w:left w:val="single" w:sz="6" w:space="0" w:color="auto"/>
              <w:bottom w:val="single" w:sz="6" w:space="0" w:color="auto"/>
              <w:right w:val="single" w:sz="6" w:space="0" w:color="auto"/>
            </w:tcBorders>
          </w:tcPr>
          <w:p w14:paraId="0E6EDD89"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7.9</w:t>
            </w:r>
          </w:p>
        </w:tc>
        <w:tc>
          <w:tcPr>
            <w:tcW w:w="2040" w:type="dxa"/>
            <w:tcBorders>
              <w:top w:val="single" w:sz="6" w:space="0" w:color="auto"/>
              <w:left w:val="single" w:sz="6" w:space="0" w:color="auto"/>
              <w:bottom w:val="single" w:sz="6" w:space="0" w:color="auto"/>
              <w:right w:val="single" w:sz="6" w:space="0" w:color="auto"/>
            </w:tcBorders>
          </w:tcPr>
          <w:p w14:paraId="4E358B5D"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3.1%</w:t>
            </w:r>
          </w:p>
        </w:tc>
      </w:tr>
      <w:tr w:rsidR="00392FDA" w:rsidRPr="00EA4C9B" w14:paraId="5FEE7112"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129E30F4" w14:textId="77777777" w:rsidR="00392FDA" w:rsidRPr="00EA4C9B" w:rsidRDefault="00392FDA" w:rsidP="00A46F60">
            <w:pPr>
              <w:pStyle w:val="Table"/>
              <w:rPr>
                <w:rFonts w:eastAsia="Times New Roman" w:cstheme="minorHAnsi"/>
                <w:szCs w:val="20"/>
                <w:lang w:eastAsia="en-GB"/>
              </w:rPr>
            </w:pPr>
            <w:r w:rsidRPr="00EA4C9B">
              <w:rPr>
                <w:rFonts w:cstheme="minorHAnsi"/>
                <w:szCs w:val="20"/>
              </w:rPr>
              <w:t>Duty on certain retail containers</w:t>
            </w:r>
          </w:p>
        </w:tc>
        <w:tc>
          <w:tcPr>
            <w:tcW w:w="1870" w:type="dxa"/>
            <w:tcBorders>
              <w:top w:val="single" w:sz="6" w:space="0" w:color="auto"/>
              <w:left w:val="single" w:sz="6" w:space="0" w:color="auto"/>
              <w:bottom w:val="single" w:sz="6" w:space="0" w:color="auto"/>
              <w:right w:val="single" w:sz="6" w:space="0" w:color="auto"/>
            </w:tcBorders>
          </w:tcPr>
          <w:p w14:paraId="59C8CC18"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404.6</w:t>
            </w:r>
          </w:p>
        </w:tc>
        <w:tc>
          <w:tcPr>
            <w:tcW w:w="2344" w:type="dxa"/>
            <w:tcBorders>
              <w:top w:val="single" w:sz="6" w:space="0" w:color="auto"/>
              <w:left w:val="single" w:sz="6" w:space="0" w:color="auto"/>
              <w:bottom w:val="single" w:sz="6" w:space="0" w:color="auto"/>
              <w:right w:val="single" w:sz="6" w:space="0" w:color="auto"/>
            </w:tcBorders>
          </w:tcPr>
          <w:p w14:paraId="074A8B31"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27.0</w:t>
            </w:r>
          </w:p>
        </w:tc>
        <w:tc>
          <w:tcPr>
            <w:tcW w:w="2040" w:type="dxa"/>
            <w:tcBorders>
              <w:top w:val="single" w:sz="6" w:space="0" w:color="auto"/>
              <w:left w:val="single" w:sz="6" w:space="0" w:color="auto"/>
              <w:bottom w:val="single" w:sz="6" w:space="0" w:color="auto"/>
              <w:right w:val="single" w:sz="6" w:space="0" w:color="auto"/>
            </w:tcBorders>
          </w:tcPr>
          <w:p w14:paraId="51CA7B71"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10.4%</w:t>
            </w:r>
          </w:p>
        </w:tc>
      </w:tr>
      <w:tr w:rsidR="00392FDA" w:rsidRPr="00EA4C9B" w14:paraId="71CA9A98"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5974A344" w14:textId="77777777" w:rsidR="00392FDA" w:rsidRPr="00EA4C9B" w:rsidRDefault="00392FDA" w:rsidP="00A46F60">
            <w:pPr>
              <w:pStyle w:val="Table"/>
              <w:rPr>
                <w:rFonts w:eastAsia="Times New Roman" w:cstheme="minorHAnsi"/>
                <w:szCs w:val="20"/>
                <w:lang w:eastAsia="en-GB"/>
              </w:rPr>
            </w:pPr>
            <w:r w:rsidRPr="00EA4C9B">
              <w:rPr>
                <w:rFonts w:cstheme="minorHAnsi"/>
                <w:szCs w:val="20"/>
              </w:rPr>
              <w:t>Duty on disposable tableware</w:t>
            </w:r>
          </w:p>
        </w:tc>
        <w:tc>
          <w:tcPr>
            <w:tcW w:w="1870" w:type="dxa"/>
            <w:tcBorders>
              <w:top w:val="single" w:sz="6" w:space="0" w:color="auto"/>
              <w:left w:val="single" w:sz="6" w:space="0" w:color="auto"/>
              <w:bottom w:val="single" w:sz="6" w:space="0" w:color="auto"/>
              <w:right w:val="single" w:sz="6" w:space="0" w:color="auto"/>
            </w:tcBorders>
          </w:tcPr>
          <w:p w14:paraId="6AA85ED6"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181.9</w:t>
            </w:r>
          </w:p>
        </w:tc>
        <w:tc>
          <w:tcPr>
            <w:tcW w:w="2344" w:type="dxa"/>
            <w:tcBorders>
              <w:top w:val="single" w:sz="6" w:space="0" w:color="auto"/>
              <w:left w:val="single" w:sz="6" w:space="0" w:color="auto"/>
              <w:bottom w:val="single" w:sz="6" w:space="0" w:color="auto"/>
              <w:right w:val="single" w:sz="6" w:space="0" w:color="auto"/>
            </w:tcBorders>
          </w:tcPr>
          <w:p w14:paraId="584B309A"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12.1</w:t>
            </w:r>
          </w:p>
        </w:tc>
        <w:tc>
          <w:tcPr>
            <w:tcW w:w="2040" w:type="dxa"/>
            <w:tcBorders>
              <w:top w:val="single" w:sz="6" w:space="0" w:color="auto"/>
              <w:left w:val="single" w:sz="6" w:space="0" w:color="auto"/>
              <w:bottom w:val="single" w:sz="6" w:space="0" w:color="auto"/>
              <w:right w:val="single" w:sz="6" w:space="0" w:color="auto"/>
            </w:tcBorders>
          </w:tcPr>
          <w:p w14:paraId="57945D42"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4.7%</w:t>
            </w:r>
          </w:p>
        </w:tc>
      </w:tr>
      <w:tr w:rsidR="00392FDA" w:rsidRPr="00EA4C9B" w14:paraId="4D5F3FCB"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0499AF76" w14:textId="77777777" w:rsidR="00392FDA" w:rsidRPr="00C305AC" w:rsidRDefault="00392FDA" w:rsidP="00A46F60">
            <w:pPr>
              <w:pStyle w:val="Table"/>
              <w:rPr>
                <w:rFonts w:eastAsia="Times New Roman" w:cstheme="minorHAnsi"/>
                <w:szCs w:val="20"/>
                <w:lang w:val="fr-BE" w:eastAsia="en-GB"/>
              </w:rPr>
            </w:pPr>
            <w:r w:rsidRPr="00C305AC">
              <w:rPr>
                <w:rFonts w:cstheme="minorHAnsi"/>
                <w:szCs w:val="20"/>
                <w:lang w:val="fr-BE"/>
              </w:rPr>
              <w:t>Duty on insecticides, herbicides, etc.</w:t>
            </w:r>
          </w:p>
        </w:tc>
        <w:tc>
          <w:tcPr>
            <w:tcW w:w="1870" w:type="dxa"/>
            <w:tcBorders>
              <w:top w:val="single" w:sz="6" w:space="0" w:color="auto"/>
              <w:left w:val="single" w:sz="6" w:space="0" w:color="auto"/>
              <w:bottom w:val="single" w:sz="6" w:space="0" w:color="auto"/>
              <w:right w:val="single" w:sz="6" w:space="0" w:color="auto"/>
            </w:tcBorders>
          </w:tcPr>
          <w:p w14:paraId="16ECE71C"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475.9</w:t>
            </w:r>
          </w:p>
        </w:tc>
        <w:tc>
          <w:tcPr>
            <w:tcW w:w="2344" w:type="dxa"/>
            <w:tcBorders>
              <w:top w:val="single" w:sz="6" w:space="0" w:color="auto"/>
              <w:left w:val="single" w:sz="6" w:space="0" w:color="auto"/>
              <w:bottom w:val="single" w:sz="6" w:space="0" w:color="auto"/>
              <w:right w:val="single" w:sz="6" w:space="0" w:color="auto"/>
            </w:tcBorders>
          </w:tcPr>
          <w:p w14:paraId="196ADB37"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31.7</w:t>
            </w:r>
          </w:p>
        </w:tc>
        <w:tc>
          <w:tcPr>
            <w:tcW w:w="2040" w:type="dxa"/>
            <w:tcBorders>
              <w:top w:val="single" w:sz="6" w:space="0" w:color="auto"/>
              <w:left w:val="single" w:sz="6" w:space="0" w:color="auto"/>
              <w:bottom w:val="single" w:sz="6" w:space="0" w:color="auto"/>
              <w:right w:val="single" w:sz="6" w:space="0" w:color="auto"/>
            </w:tcBorders>
          </w:tcPr>
          <w:p w14:paraId="33688FBE"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12.3%</w:t>
            </w:r>
          </w:p>
        </w:tc>
      </w:tr>
      <w:tr w:rsidR="00392FDA" w:rsidRPr="00EA4C9B" w14:paraId="26BBA30E"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5A1F2B6E" w14:textId="77777777" w:rsidR="00392FDA" w:rsidRPr="00EA4C9B" w:rsidRDefault="00392FDA" w:rsidP="00A46F60">
            <w:pPr>
              <w:pStyle w:val="Table"/>
              <w:rPr>
                <w:rFonts w:eastAsia="Times New Roman" w:cstheme="minorHAnsi"/>
                <w:szCs w:val="20"/>
                <w:lang w:eastAsia="en-GB"/>
              </w:rPr>
            </w:pPr>
            <w:r w:rsidRPr="00EA4C9B">
              <w:rPr>
                <w:rFonts w:cstheme="minorHAnsi"/>
                <w:szCs w:val="20"/>
              </w:rPr>
              <w:t>Duty on nitrogen oxides (NOx)</w:t>
            </w:r>
          </w:p>
        </w:tc>
        <w:tc>
          <w:tcPr>
            <w:tcW w:w="1870" w:type="dxa"/>
            <w:tcBorders>
              <w:top w:val="single" w:sz="6" w:space="0" w:color="auto"/>
              <w:left w:val="single" w:sz="6" w:space="0" w:color="auto"/>
              <w:bottom w:val="single" w:sz="6" w:space="0" w:color="auto"/>
              <w:right w:val="single" w:sz="6" w:space="0" w:color="auto"/>
            </w:tcBorders>
          </w:tcPr>
          <w:p w14:paraId="78D20F3F"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133.5</w:t>
            </w:r>
          </w:p>
        </w:tc>
        <w:tc>
          <w:tcPr>
            <w:tcW w:w="2344" w:type="dxa"/>
            <w:tcBorders>
              <w:top w:val="single" w:sz="6" w:space="0" w:color="auto"/>
              <w:left w:val="single" w:sz="6" w:space="0" w:color="auto"/>
              <w:bottom w:val="single" w:sz="6" w:space="0" w:color="auto"/>
              <w:right w:val="single" w:sz="6" w:space="0" w:color="auto"/>
            </w:tcBorders>
          </w:tcPr>
          <w:p w14:paraId="2D9FE07E"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9.5</w:t>
            </w:r>
          </w:p>
        </w:tc>
        <w:tc>
          <w:tcPr>
            <w:tcW w:w="2040" w:type="dxa"/>
            <w:tcBorders>
              <w:top w:val="single" w:sz="6" w:space="0" w:color="auto"/>
              <w:left w:val="single" w:sz="6" w:space="0" w:color="auto"/>
              <w:bottom w:val="single" w:sz="6" w:space="0" w:color="auto"/>
              <w:right w:val="single" w:sz="6" w:space="0" w:color="auto"/>
            </w:tcBorders>
          </w:tcPr>
          <w:p w14:paraId="69741E4F"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3.4%</w:t>
            </w:r>
          </w:p>
        </w:tc>
      </w:tr>
      <w:tr w:rsidR="00392FDA" w:rsidRPr="00EA4C9B" w14:paraId="12155024"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076B0836" w14:textId="77777777" w:rsidR="00392FDA" w:rsidRPr="00EA4C9B" w:rsidRDefault="00392FDA" w:rsidP="00A46F60">
            <w:pPr>
              <w:pStyle w:val="Table"/>
              <w:rPr>
                <w:rFonts w:eastAsia="Times New Roman" w:cstheme="minorHAnsi"/>
                <w:szCs w:val="20"/>
                <w:lang w:eastAsia="en-GB"/>
              </w:rPr>
            </w:pPr>
            <w:r w:rsidRPr="00EA4C9B">
              <w:rPr>
                <w:rFonts w:cstheme="minorHAnsi"/>
                <w:szCs w:val="20"/>
              </w:rPr>
              <w:t>Duty on CFC</w:t>
            </w:r>
          </w:p>
        </w:tc>
        <w:tc>
          <w:tcPr>
            <w:tcW w:w="1870" w:type="dxa"/>
            <w:tcBorders>
              <w:top w:val="single" w:sz="6" w:space="0" w:color="auto"/>
              <w:left w:val="single" w:sz="6" w:space="0" w:color="auto"/>
              <w:bottom w:val="single" w:sz="6" w:space="0" w:color="auto"/>
              <w:right w:val="single" w:sz="6" w:space="0" w:color="auto"/>
            </w:tcBorders>
          </w:tcPr>
          <w:p w14:paraId="3026B4F8"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42.7</w:t>
            </w:r>
          </w:p>
        </w:tc>
        <w:tc>
          <w:tcPr>
            <w:tcW w:w="2344" w:type="dxa"/>
            <w:tcBorders>
              <w:top w:val="single" w:sz="6" w:space="0" w:color="auto"/>
              <w:left w:val="single" w:sz="6" w:space="0" w:color="auto"/>
              <w:bottom w:val="single" w:sz="6" w:space="0" w:color="auto"/>
              <w:right w:val="single" w:sz="6" w:space="0" w:color="auto"/>
            </w:tcBorders>
          </w:tcPr>
          <w:p w14:paraId="57F94E28"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2.8</w:t>
            </w:r>
          </w:p>
        </w:tc>
        <w:tc>
          <w:tcPr>
            <w:tcW w:w="2040" w:type="dxa"/>
            <w:tcBorders>
              <w:top w:val="single" w:sz="6" w:space="0" w:color="auto"/>
              <w:left w:val="single" w:sz="6" w:space="0" w:color="auto"/>
              <w:bottom w:val="single" w:sz="6" w:space="0" w:color="auto"/>
              <w:right w:val="single" w:sz="6" w:space="0" w:color="auto"/>
            </w:tcBorders>
          </w:tcPr>
          <w:p w14:paraId="123839FD"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1.1%</w:t>
            </w:r>
          </w:p>
        </w:tc>
      </w:tr>
      <w:tr w:rsidR="00392FDA" w:rsidRPr="00EA4C9B" w14:paraId="69E81776"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56B03584" w14:textId="77777777" w:rsidR="00392FDA" w:rsidRPr="00EA4C9B" w:rsidRDefault="00392FDA" w:rsidP="00A46F60">
            <w:pPr>
              <w:pStyle w:val="Table"/>
              <w:rPr>
                <w:rFonts w:eastAsia="Times New Roman" w:cstheme="minorHAnsi"/>
                <w:szCs w:val="20"/>
                <w:lang w:eastAsia="en-GB"/>
              </w:rPr>
            </w:pPr>
            <w:r w:rsidRPr="00EA4C9B">
              <w:rPr>
                <w:rFonts w:cstheme="minorHAnsi"/>
                <w:szCs w:val="20"/>
              </w:rPr>
              <w:t>Duty on nickel/cadmium batteries</w:t>
            </w:r>
          </w:p>
        </w:tc>
        <w:tc>
          <w:tcPr>
            <w:tcW w:w="1870" w:type="dxa"/>
            <w:tcBorders>
              <w:top w:val="single" w:sz="6" w:space="0" w:color="auto"/>
              <w:left w:val="single" w:sz="6" w:space="0" w:color="auto"/>
              <w:bottom w:val="single" w:sz="6" w:space="0" w:color="auto"/>
              <w:right w:val="single" w:sz="6" w:space="0" w:color="auto"/>
            </w:tcBorders>
          </w:tcPr>
          <w:p w14:paraId="4101EAE2"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3.4</w:t>
            </w:r>
          </w:p>
        </w:tc>
        <w:tc>
          <w:tcPr>
            <w:tcW w:w="2344" w:type="dxa"/>
            <w:tcBorders>
              <w:top w:val="single" w:sz="6" w:space="0" w:color="auto"/>
              <w:left w:val="single" w:sz="6" w:space="0" w:color="auto"/>
              <w:bottom w:val="single" w:sz="6" w:space="0" w:color="auto"/>
              <w:right w:val="single" w:sz="6" w:space="0" w:color="auto"/>
            </w:tcBorders>
          </w:tcPr>
          <w:p w14:paraId="019CC974"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0.2</w:t>
            </w:r>
          </w:p>
        </w:tc>
        <w:tc>
          <w:tcPr>
            <w:tcW w:w="2040" w:type="dxa"/>
            <w:tcBorders>
              <w:top w:val="single" w:sz="6" w:space="0" w:color="auto"/>
              <w:left w:val="single" w:sz="6" w:space="0" w:color="auto"/>
              <w:bottom w:val="single" w:sz="6" w:space="0" w:color="auto"/>
              <w:right w:val="single" w:sz="6" w:space="0" w:color="auto"/>
            </w:tcBorders>
          </w:tcPr>
          <w:p w14:paraId="76E92973"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0.1%</w:t>
            </w:r>
          </w:p>
        </w:tc>
      </w:tr>
      <w:tr w:rsidR="00392FDA" w:rsidRPr="00EA4C9B" w14:paraId="191B2F16"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07D90AD3" w14:textId="77777777" w:rsidR="00392FDA" w:rsidRPr="00EA4C9B" w:rsidRDefault="00392FDA" w:rsidP="00A46F60">
            <w:pPr>
              <w:pStyle w:val="Table"/>
              <w:rPr>
                <w:rFonts w:eastAsia="Times New Roman" w:cstheme="minorHAnsi"/>
                <w:szCs w:val="20"/>
                <w:lang w:eastAsia="en-GB"/>
              </w:rPr>
            </w:pPr>
            <w:r w:rsidRPr="00EA4C9B">
              <w:rPr>
                <w:rFonts w:cstheme="minorHAnsi"/>
                <w:szCs w:val="20"/>
              </w:rPr>
              <w:t>Duty on sulphur (SO2)</w:t>
            </w:r>
          </w:p>
        </w:tc>
        <w:tc>
          <w:tcPr>
            <w:tcW w:w="1870" w:type="dxa"/>
            <w:tcBorders>
              <w:top w:val="single" w:sz="6" w:space="0" w:color="auto"/>
              <w:left w:val="single" w:sz="6" w:space="0" w:color="auto"/>
              <w:bottom w:val="single" w:sz="6" w:space="0" w:color="auto"/>
              <w:right w:val="single" w:sz="6" w:space="0" w:color="auto"/>
            </w:tcBorders>
          </w:tcPr>
          <w:p w14:paraId="2C80E4EB"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31.8</w:t>
            </w:r>
          </w:p>
        </w:tc>
        <w:tc>
          <w:tcPr>
            <w:tcW w:w="2344" w:type="dxa"/>
            <w:tcBorders>
              <w:top w:val="single" w:sz="6" w:space="0" w:color="auto"/>
              <w:left w:val="single" w:sz="6" w:space="0" w:color="auto"/>
              <w:bottom w:val="single" w:sz="6" w:space="0" w:color="auto"/>
              <w:right w:val="single" w:sz="6" w:space="0" w:color="auto"/>
            </w:tcBorders>
          </w:tcPr>
          <w:p w14:paraId="67DAE1E9"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2.1</w:t>
            </w:r>
          </w:p>
        </w:tc>
        <w:tc>
          <w:tcPr>
            <w:tcW w:w="2040" w:type="dxa"/>
            <w:tcBorders>
              <w:top w:val="single" w:sz="6" w:space="0" w:color="auto"/>
              <w:left w:val="single" w:sz="6" w:space="0" w:color="auto"/>
              <w:bottom w:val="single" w:sz="6" w:space="0" w:color="auto"/>
              <w:right w:val="single" w:sz="6" w:space="0" w:color="auto"/>
            </w:tcBorders>
          </w:tcPr>
          <w:p w14:paraId="53199FFB"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0.8%</w:t>
            </w:r>
          </w:p>
        </w:tc>
      </w:tr>
      <w:tr w:rsidR="00392FDA" w:rsidRPr="00EA4C9B" w14:paraId="45EEEC38"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42EA1CBC" w14:textId="77777777" w:rsidR="00392FDA" w:rsidRPr="00EA4C9B" w:rsidRDefault="00392FDA" w:rsidP="00A46F60">
            <w:pPr>
              <w:pStyle w:val="Table"/>
              <w:rPr>
                <w:rFonts w:eastAsia="Times New Roman" w:cstheme="minorHAnsi"/>
                <w:szCs w:val="20"/>
                <w:lang w:eastAsia="en-GB"/>
              </w:rPr>
            </w:pPr>
            <w:r w:rsidRPr="00EA4C9B">
              <w:rPr>
                <w:rFonts w:cstheme="minorHAnsi"/>
                <w:szCs w:val="20"/>
              </w:rPr>
              <w:t>Duty on chlorinated solvents</w:t>
            </w:r>
          </w:p>
        </w:tc>
        <w:tc>
          <w:tcPr>
            <w:tcW w:w="1870" w:type="dxa"/>
            <w:tcBorders>
              <w:top w:val="single" w:sz="6" w:space="0" w:color="auto"/>
              <w:left w:val="single" w:sz="6" w:space="0" w:color="auto"/>
              <w:bottom w:val="single" w:sz="6" w:space="0" w:color="auto"/>
              <w:right w:val="single" w:sz="6" w:space="0" w:color="auto"/>
            </w:tcBorders>
          </w:tcPr>
          <w:p w14:paraId="2A5D258D"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0.3</w:t>
            </w:r>
          </w:p>
        </w:tc>
        <w:tc>
          <w:tcPr>
            <w:tcW w:w="2344" w:type="dxa"/>
            <w:tcBorders>
              <w:top w:val="single" w:sz="6" w:space="0" w:color="auto"/>
              <w:left w:val="single" w:sz="6" w:space="0" w:color="auto"/>
              <w:bottom w:val="single" w:sz="6" w:space="0" w:color="auto"/>
              <w:right w:val="single" w:sz="6" w:space="0" w:color="auto"/>
            </w:tcBorders>
          </w:tcPr>
          <w:p w14:paraId="5276501D"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c>
          <w:tcPr>
            <w:tcW w:w="2040" w:type="dxa"/>
            <w:tcBorders>
              <w:top w:val="single" w:sz="6" w:space="0" w:color="auto"/>
              <w:left w:val="single" w:sz="6" w:space="0" w:color="auto"/>
              <w:bottom w:val="single" w:sz="6" w:space="0" w:color="auto"/>
              <w:right w:val="single" w:sz="6" w:space="0" w:color="auto"/>
            </w:tcBorders>
          </w:tcPr>
          <w:p w14:paraId="1FEC43BA"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r>
      <w:tr w:rsidR="00392FDA" w:rsidRPr="00EA4C9B" w14:paraId="632BE645"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79E8FC47" w14:textId="77777777" w:rsidR="00392FDA" w:rsidRPr="00EA4C9B" w:rsidRDefault="00392FDA" w:rsidP="00A46F60">
            <w:pPr>
              <w:pStyle w:val="Table"/>
              <w:rPr>
                <w:rFonts w:eastAsia="Aptos Narrow" w:cstheme="minorHAnsi"/>
                <w:szCs w:val="20"/>
              </w:rPr>
            </w:pPr>
            <w:r w:rsidRPr="00EA4C9B">
              <w:rPr>
                <w:rFonts w:cstheme="minorHAnsi"/>
                <w:szCs w:val="20"/>
              </w:rPr>
              <w:t>Duty on nitrogen</w:t>
            </w:r>
          </w:p>
        </w:tc>
        <w:tc>
          <w:tcPr>
            <w:tcW w:w="1870" w:type="dxa"/>
            <w:tcBorders>
              <w:top w:val="single" w:sz="6" w:space="0" w:color="auto"/>
              <w:left w:val="single" w:sz="6" w:space="0" w:color="auto"/>
              <w:bottom w:val="single" w:sz="6" w:space="0" w:color="auto"/>
              <w:right w:val="single" w:sz="6" w:space="0" w:color="auto"/>
            </w:tcBorders>
          </w:tcPr>
          <w:p w14:paraId="7A232B1F"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31.1</w:t>
            </w:r>
          </w:p>
        </w:tc>
        <w:tc>
          <w:tcPr>
            <w:tcW w:w="2344" w:type="dxa"/>
            <w:tcBorders>
              <w:top w:val="single" w:sz="6" w:space="0" w:color="auto"/>
              <w:left w:val="single" w:sz="6" w:space="0" w:color="auto"/>
              <w:bottom w:val="single" w:sz="6" w:space="0" w:color="auto"/>
              <w:right w:val="single" w:sz="6" w:space="0" w:color="auto"/>
            </w:tcBorders>
          </w:tcPr>
          <w:p w14:paraId="323A43B7"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2.1</w:t>
            </w:r>
          </w:p>
        </w:tc>
        <w:tc>
          <w:tcPr>
            <w:tcW w:w="2040" w:type="dxa"/>
            <w:tcBorders>
              <w:top w:val="single" w:sz="6" w:space="0" w:color="auto"/>
              <w:left w:val="single" w:sz="6" w:space="0" w:color="auto"/>
              <w:bottom w:val="single" w:sz="6" w:space="0" w:color="auto"/>
              <w:right w:val="single" w:sz="6" w:space="0" w:color="auto"/>
            </w:tcBorders>
          </w:tcPr>
          <w:p w14:paraId="00449C46"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0.8%</w:t>
            </w:r>
          </w:p>
        </w:tc>
      </w:tr>
      <w:tr w:rsidR="00392FDA" w:rsidRPr="00EA4C9B" w14:paraId="440CAA06"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262DD1CA" w14:textId="77777777" w:rsidR="00392FDA" w:rsidRPr="00EA4C9B" w:rsidRDefault="00392FDA" w:rsidP="00A46F60">
            <w:pPr>
              <w:pStyle w:val="Table"/>
              <w:rPr>
                <w:rFonts w:eastAsia="Aptos Narrow" w:cstheme="minorHAnsi"/>
                <w:szCs w:val="20"/>
              </w:rPr>
            </w:pPr>
            <w:r w:rsidRPr="00EA4C9B">
              <w:rPr>
                <w:rFonts w:cstheme="minorHAnsi"/>
                <w:szCs w:val="20"/>
              </w:rPr>
              <w:t>Duty on special growth stimulants</w:t>
            </w:r>
          </w:p>
        </w:tc>
        <w:tc>
          <w:tcPr>
            <w:tcW w:w="1870" w:type="dxa"/>
            <w:tcBorders>
              <w:top w:val="single" w:sz="6" w:space="0" w:color="auto"/>
              <w:left w:val="single" w:sz="6" w:space="0" w:color="auto"/>
              <w:bottom w:val="single" w:sz="6" w:space="0" w:color="auto"/>
              <w:right w:val="single" w:sz="6" w:space="0" w:color="auto"/>
            </w:tcBorders>
          </w:tcPr>
          <w:p w14:paraId="46D609C0"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c>
          <w:tcPr>
            <w:tcW w:w="2344" w:type="dxa"/>
            <w:tcBorders>
              <w:top w:val="single" w:sz="6" w:space="0" w:color="auto"/>
              <w:left w:val="single" w:sz="6" w:space="0" w:color="auto"/>
              <w:bottom w:val="single" w:sz="6" w:space="0" w:color="auto"/>
              <w:right w:val="single" w:sz="6" w:space="0" w:color="auto"/>
            </w:tcBorders>
          </w:tcPr>
          <w:p w14:paraId="1C40DCA6"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c>
          <w:tcPr>
            <w:tcW w:w="2040" w:type="dxa"/>
            <w:tcBorders>
              <w:top w:val="single" w:sz="6" w:space="0" w:color="auto"/>
              <w:left w:val="single" w:sz="6" w:space="0" w:color="auto"/>
              <w:bottom w:val="single" w:sz="6" w:space="0" w:color="auto"/>
              <w:right w:val="single" w:sz="6" w:space="0" w:color="auto"/>
            </w:tcBorders>
          </w:tcPr>
          <w:p w14:paraId="7F5D943B"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r>
      <w:tr w:rsidR="00392FDA" w:rsidRPr="00EA4C9B" w14:paraId="1E70C451"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34E37522" w14:textId="77777777" w:rsidR="00392FDA" w:rsidRPr="00EA4C9B" w:rsidRDefault="00392FDA" w:rsidP="00A46F60">
            <w:pPr>
              <w:pStyle w:val="Table"/>
              <w:rPr>
                <w:rFonts w:eastAsia="Aptos Narrow" w:cstheme="minorHAnsi"/>
                <w:szCs w:val="20"/>
              </w:rPr>
            </w:pPr>
            <w:r w:rsidRPr="00EA4C9B">
              <w:rPr>
                <w:rFonts w:cstheme="minorHAnsi"/>
                <w:szCs w:val="20"/>
              </w:rPr>
              <w:t>Duty on PVC film</w:t>
            </w:r>
          </w:p>
        </w:tc>
        <w:tc>
          <w:tcPr>
            <w:tcW w:w="1870" w:type="dxa"/>
            <w:tcBorders>
              <w:top w:val="single" w:sz="6" w:space="0" w:color="auto"/>
              <w:left w:val="single" w:sz="6" w:space="0" w:color="auto"/>
              <w:bottom w:val="single" w:sz="6" w:space="0" w:color="auto"/>
              <w:right w:val="single" w:sz="6" w:space="0" w:color="auto"/>
            </w:tcBorders>
          </w:tcPr>
          <w:p w14:paraId="151161BC"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12.7</w:t>
            </w:r>
          </w:p>
        </w:tc>
        <w:tc>
          <w:tcPr>
            <w:tcW w:w="2344" w:type="dxa"/>
            <w:tcBorders>
              <w:top w:val="single" w:sz="6" w:space="0" w:color="auto"/>
              <w:left w:val="single" w:sz="6" w:space="0" w:color="auto"/>
              <w:bottom w:val="single" w:sz="6" w:space="0" w:color="auto"/>
              <w:right w:val="single" w:sz="6" w:space="0" w:color="auto"/>
            </w:tcBorders>
          </w:tcPr>
          <w:p w14:paraId="56DF2E9B"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1.0</w:t>
            </w:r>
          </w:p>
        </w:tc>
        <w:tc>
          <w:tcPr>
            <w:tcW w:w="2040" w:type="dxa"/>
            <w:tcBorders>
              <w:top w:val="single" w:sz="6" w:space="0" w:color="auto"/>
              <w:left w:val="single" w:sz="6" w:space="0" w:color="auto"/>
              <w:bottom w:val="single" w:sz="6" w:space="0" w:color="auto"/>
              <w:right w:val="single" w:sz="6" w:space="0" w:color="auto"/>
            </w:tcBorders>
          </w:tcPr>
          <w:p w14:paraId="4B0BCAD2"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0.3%</w:t>
            </w:r>
          </w:p>
        </w:tc>
      </w:tr>
      <w:tr w:rsidR="00392FDA" w:rsidRPr="00EA4C9B" w14:paraId="35B16759"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67280BB9" w14:textId="77777777" w:rsidR="00392FDA" w:rsidRPr="00EA4C9B" w:rsidRDefault="00392FDA" w:rsidP="00A46F60">
            <w:pPr>
              <w:pStyle w:val="Table"/>
              <w:rPr>
                <w:rFonts w:eastAsia="Aptos Narrow" w:cstheme="minorHAnsi"/>
                <w:szCs w:val="20"/>
              </w:rPr>
            </w:pPr>
            <w:r w:rsidRPr="00EA4C9B">
              <w:rPr>
                <w:rFonts w:cstheme="minorHAnsi"/>
                <w:szCs w:val="20"/>
              </w:rPr>
              <w:t>Duty on PVC and phatalates</w:t>
            </w:r>
          </w:p>
        </w:tc>
        <w:tc>
          <w:tcPr>
            <w:tcW w:w="1870" w:type="dxa"/>
            <w:tcBorders>
              <w:top w:val="single" w:sz="6" w:space="0" w:color="auto"/>
              <w:left w:val="single" w:sz="6" w:space="0" w:color="auto"/>
              <w:bottom w:val="single" w:sz="6" w:space="0" w:color="auto"/>
              <w:right w:val="single" w:sz="6" w:space="0" w:color="auto"/>
            </w:tcBorders>
          </w:tcPr>
          <w:p w14:paraId="0656B02C"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21.2</w:t>
            </w:r>
          </w:p>
        </w:tc>
        <w:tc>
          <w:tcPr>
            <w:tcW w:w="2344" w:type="dxa"/>
            <w:tcBorders>
              <w:top w:val="single" w:sz="6" w:space="0" w:color="auto"/>
              <w:left w:val="single" w:sz="6" w:space="0" w:color="auto"/>
              <w:bottom w:val="single" w:sz="6" w:space="0" w:color="auto"/>
              <w:right w:val="single" w:sz="6" w:space="0" w:color="auto"/>
            </w:tcBorders>
          </w:tcPr>
          <w:p w14:paraId="46B1340B"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1.6</w:t>
            </w:r>
          </w:p>
        </w:tc>
        <w:tc>
          <w:tcPr>
            <w:tcW w:w="2040" w:type="dxa"/>
            <w:tcBorders>
              <w:top w:val="single" w:sz="6" w:space="0" w:color="auto"/>
              <w:left w:val="single" w:sz="6" w:space="0" w:color="auto"/>
              <w:bottom w:val="single" w:sz="6" w:space="0" w:color="auto"/>
              <w:right w:val="single" w:sz="6" w:space="0" w:color="auto"/>
            </w:tcBorders>
          </w:tcPr>
          <w:p w14:paraId="17265C58"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0.5%</w:t>
            </w:r>
          </w:p>
        </w:tc>
      </w:tr>
      <w:tr w:rsidR="00392FDA" w:rsidRPr="00EA4C9B" w14:paraId="71C398B2"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71D690D4" w14:textId="77777777" w:rsidR="00392FDA" w:rsidRPr="00EA4C9B" w:rsidRDefault="00392FDA" w:rsidP="00A46F60">
            <w:pPr>
              <w:pStyle w:val="Table"/>
              <w:rPr>
                <w:rFonts w:eastAsia="Aptos Narrow" w:cstheme="minorHAnsi"/>
                <w:szCs w:val="20"/>
              </w:rPr>
            </w:pPr>
            <w:r w:rsidRPr="00EA4C9B">
              <w:rPr>
                <w:rFonts w:cstheme="minorHAnsi"/>
                <w:szCs w:val="20"/>
              </w:rPr>
              <w:t>Duty on lead accumulators</w:t>
            </w:r>
          </w:p>
        </w:tc>
        <w:tc>
          <w:tcPr>
            <w:tcW w:w="1870" w:type="dxa"/>
            <w:tcBorders>
              <w:top w:val="single" w:sz="6" w:space="0" w:color="auto"/>
              <w:left w:val="single" w:sz="6" w:space="0" w:color="auto"/>
              <w:bottom w:val="single" w:sz="6" w:space="0" w:color="auto"/>
              <w:right w:val="single" w:sz="6" w:space="0" w:color="auto"/>
            </w:tcBorders>
          </w:tcPr>
          <w:p w14:paraId="4F7F0A81"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c>
          <w:tcPr>
            <w:tcW w:w="2344" w:type="dxa"/>
            <w:tcBorders>
              <w:top w:val="single" w:sz="6" w:space="0" w:color="auto"/>
              <w:left w:val="single" w:sz="6" w:space="0" w:color="auto"/>
              <w:bottom w:val="single" w:sz="6" w:space="0" w:color="auto"/>
              <w:right w:val="single" w:sz="6" w:space="0" w:color="auto"/>
            </w:tcBorders>
          </w:tcPr>
          <w:p w14:paraId="57C2C982"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c>
          <w:tcPr>
            <w:tcW w:w="2040" w:type="dxa"/>
            <w:tcBorders>
              <w:top w:val="single" w:sz="6" w:space="0" w:color="auto"/>
              <w:left w:val="single" w:sz="6" w:space="0" w:color="auto"/>
              <w:bottom w:val="single" w:sz="6" w:space="0" w:color="auto"/>
              <w:right w:val="single" w:sz="6" w:space="0" w:color="auto"/>
            </w:tcBorders>
          </w:tcPr>
          <w:p w14:paraId="66B9677A"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r>
      <w:tr w:rsidR="00392FDA" w:rsidRPr="00EA4C9B" w14:paraId="21BB4951"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77C5DBA6" w14:textId="77777777" w:rsidR="00392FDA" w:rsidRPr="00EA4C9B" w:rsidRDefault="00392FDA" w:rsidP="00A46F60">
            <w:pPr>
              <w:pStyle w:val="Table"/>
              <w:rPr>
                <w:rFonts w:eastAsia="Aptos Narrow" w:cstheme="minorHAnsi"/>
                <w:szCs w:val="20"/>
              </w:rPr>
            </w:pPr>
            <w:r w:rsidRPr="00EA4C9B">
              <w:rPr>
                <w:rFonts w:cstheme="minorHAnsi"/>
                <w:szCs w:val="20"/>
              </w:rPr>
              <w:t>Duty on mineral phosphorus</w:t>
            </w:r>
          </w:p>
        </w:tc>
        <w:tc>
          <w:tcPr>
            <w:tcW w:w="1870" w:type="dxa"/>
            <w:tcBorders>
              <w:top w:val="single" w:sz="6" w:space="0" w:color="auto"/>
              <w:left w:val="single" w:sz="6" w:space="0" w:color="auto"/>
              <w:bottom w:val="single" w:sz="6" w:space="0" w:color="auto"/>
              <w:right w:val="single" w:sz="6" w:space="0" w:color="auto"/>
            </w:tcBorders>
          </w:tcPr>
          <w:p w14:paraId="7C885A39"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7.6</w:t>
            </w:r>
          </w:p>
        </w:tc>
        <w:tc>
          <w:tcPr>
            <w:tcW w:w="2344" w:type="dxa"/>
            <w:tcBorders>
              <w:top w:val="single" w:sz="6" w:space="0" w:color="auto"/>
              <w:left w:val="single" w:sz="6" w:space="0" w:color="auto"/>
              <w:bottom w:val="single" w:sz="6" w:space="0" w:color="auto"/>
              <w:right w:val="single" w:sz="6" w:space="0" w:color="auto"/>
            </w:tcBorders>
          </w:tcPr>
          <w:p w14:paraId="15FA44B4"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0.7</w:t>
            </w:r>
          </w:p>
        </w:tc>
        <w:tc>
          <w:tcPr>
            <w:tcW w:w="2040" w:type="dxa"/>
            <w:tcBorders>
              <w:top w:val="single" w:sz="6" w:space="0" w:color="auto"/>
              <w:left w:val="single" w:sz="6" w:space="0" w:color="auto"/>
              <w:bottom w:val="single" w:sz="6" w:space="0" w:color="auto"/>
              <w:right w:val="single" w:sz="6" w:space="0" w:color="auto"/>
            </w:tcBorders>
          </w:tcPr>
          <w:p w14:paraId="3D2A7AF1"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0.2%</w:t>
            </w:r>
          </w:p>
        </w:tc>
      </w:tr>
      <w:tr w:rsidR="00392FDA" w:rsidRPr="00EA4C9B" w14:paraId="1F3613AE"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28F87322" w14:textId="77777777" w:rsidR="00392FDA" w:rsidRPr="00EA4C9B" w:rsidRDefault="00392FDA" w:rsidP="00A46F60">
            <w:pPr>
              <w:pStyle w:val="Table"/>
              <w:rPr>
                <w:rFonts w:eastAsia="Aptos Narrow" w:cstheme="minorHAnsi"/>
                <w:szCs w:val="20"/>
              </w:rPr>
            </w:pPr>
            <w:r w:rsidRPr="00EA4C9B">
              <w:rPr>
                <w:szCs w:val="20"/>
              </w:rPr>
              <w:t>Duty on electric bulbs and fuses, etc.</w:t>
            </w:r>
            <w:r w:rsidRPr="00EA4C9B">
              <w:rPr>
                <w:rStyle w:val="FootnoteReference"/>
                <w:szCs w:val="20"/>
              </w:rPr>
              <w:footnoteReference w:id="265"/>
            </w:r>
          </w:p>
        </w:tc>
        <w:tc>
          <w:tcPr>
            <w:tcW w:w="1870" w:type="dxa"/>
            <w:tcBorders>
              <w:top w:val="single" w:sz="6" w:space="0" w:color="auto"/>
              <w:left w:val="single" w:sz="6" w:space="0" w:color="auto"/>
              <w:bottom w:val="single" w:sz="6" w:space="0" w:color="auto"/>
              <w:right w:val="single" w:sz="6" w:space="0" w:color="auto"/>
            </w:tcBorders>
          </w:tcPr>
          <w:p w14:paraId="5E65967F"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29.3</w:t>
            </w:r>
          </w:p>
        </w:tc>
        <w:tc>
          <w:tcPr>
            <w:tcW w:w="2344" w:type="dxa"/>
            <w:tcBorders>
              <w:top w:val="single" w:sz="6" w:space="0" w:color="auto"/>
              <w:left w:val="single" w:sz="6" w:space="0" w:color="auto"/>
              <w:bottom w:val="single" w:sz="6" w:space="0" w:color="auto"/>
              <w:right w:val="single" w:sz="6" w:space="0" w:color="auto"/>
            </w:tcBorders>
          </w:tcPr>
          <w:p w14:paraId="7A4B7A59"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2.0</w:t>
            </w:r>
          </w:p>
        </w:tc>
        <w:tc>
          <w:tcPr>
            <w:tcW w:w="2040" w:type="dxa"/>
            <w:tcBorders>
              <w:top w:val="single" w:sz="6" w:space="0" w:color="auto"/>
              <w:left w:val="single" w:sz="6" w:space="0" w:color="auto"/>
              <w:bottom w:val="single" w:sz="6" w:space="0" w:color="auto"/>
              <w:right w:val="single" w:sz="6" w:space="0" w:color="auto"/>
            </w:tcBorders>
          </w:tcPr>
          <w:p w14:paraId="3CA19DF8"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0.8%</w:t>
            </w:r>
          </w:p>
        </w:tc>
      </w:tr>
      <w:tr w:rsidR="00392FDA" w:rsidRPr="00EA4C9B" w14:paraId="4F9161BC"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789DB2DB" w14:textId="77777777" w:rsidR="00392FDA" w:rsidRPr="00EA4C9B" w:rsidRDefault="00392FDA" w:rsidP="00A46F60">
            <w:pPr>
              <w:pStyle w:val="Table"/>
              <w:rPr>
                <w:rFonts w:eastAsia="Aptos Narrow" w:cstheme="minorHAnsi"/>
                <w:szCs w:val="20"/>
              </w:rPr>
            </w:pPr>
            <w:r w:rsidRPr="00EA4C9B">
              <w:rPr>
                <w:rFonts w:cstheme="minorHAnsi"/>
                <w:szCs w:val="20"/>
              </w:rPr>
              <w:t>Duty on certain retail containers</w:t>
            </w:r>
          </w:p>
        </w:tc>
        <w:tc>
          <w:tcPr>
            <w:tcW w:w="1870" w:type="dxa"/>
            <w:tcBorders>
              <w:top w:val="single" w:sz="6" w:space="0" w:color="auto"/>
              <w:left w:val="single" w:sz="6" w:space="0" w:color="auto"/>
              <w:bottom w:val="single" w:sz="6" w:space="0" w:color="auto"/>
              <w:right w:val="single" w:sz="6" w:space="0" w:color="auto"/>
            </w:tcBorders>
          </w:tcPr>
          <w:p w14:paraId="54E361AF"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366.8</w:t>
            </w:r>
          </w:p>
        </w:tc>
        <w:tc>
          <w:tcPr>
            <w:tcW w:w="2344" w:type="dxa"/>
            <w:tcBorders>
              <w:top w:val="single" w:sz="6" w:space="0" w:color="auto"/>
              <w:left w:val="single" w:sz="6" w:space="0" w:color="auto"/>
              <w:bottom w:val="single" w:sz="6" w:space="0" w:color="auto"/>
              <w:right w:val="single" w:sz="6" w:space="0" w:color="auto"/>
            </w:tcBorders>
          </w:tcPr>
          <w:p w14:paraId="32276698"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24.5</w:t>
            </w:r>
          </w:p>
        </w:tc>
        <w:tc>
          <w:tcPr>
            <w:tcW w:w="2040" w:type="dxa"/>
            <w:tcBorders>
              <w:top w:val="single" w:sz="6" w:space="0" w:color="auto"/>
              <w:left w:val="single" w:sz="6" w:space="0" w:color="auto"/>
              <w:bottom w:val="single" w:sz="6" w:space="0" w:color="auto"/>
              <w:right w:val="single" w:sz="6" w:space="0" w:color="auto"/>
            </w:tcBorders>
          </w:tcPr>
          <w:p w14:paraId="2C979DE7"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9.5%</w:t>
            </w:r>
          </w:p>
        </w:tc>
      </w:tr>
      <w:tr w:rsidR="00392FDA" w:rsidRPr="00EA4C9B" w14:paraId="121A6D6B"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175F59B1" w14:textId="77777777" w:rsidR="00392FDA" w:rsidRPr="00EA4C9B" w:rsidRDefault="00392FDA" w:rsidP="00A46F60">
            <w:pPr>
              <w:pStyle w:val="Table"/>
              <w:rPr>
                <w:rFonts w:eastAsia="Aptos Narrow" w:cstheme="minorHAnsi"/>
                <w:szCs w:val="20"/>
              </w:rPr>
            </w:pPr>
            <w:r w:rsidRPr="00EA4C9B">
              <w:rPr>
                <w:rFonts w:cstheme="minorHAnsi"/>
                <w:szCs w:val="20"/>
              </w:rPr>
              <w:t>Duty on disposable tableware</w:t>
            </w:r>
          </w:p>
        </w:tc>
        <w:tc>
          <w:tcPr>
            <w:tcW w:w="1870" w:type="dxa"/>
            <w:tcBorders>
              <w:top w:val="single" w:sz="6" w:space="0" w:color="auto"/>
              <w:left w:val="single" w:sz="6" w:space="0" w:color="auto"/>
              <w:bottom w:val="single" w:sz="6" w:space="0" w:color="auto"/>
              <w:right w:val="single" w:sz="6" w:space="0" w:color="auto"/>
            </w:tcBorders>
          </w:tcPr>
          <w:p w14:paraId="4000A076"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166.0</w:t>
            </w:r>
          </w:p>
        </w:tc>
        <w:tc>
          <w:tcPr>
            <w:tcW w:w="2344" w:type="dxa"/>
            <w:tcBorders>
              <w:top w:val="single" w:sz="6" w:space="0" w:color="auto"/>
              <w:left w:val="single" w:sz="6" w:space="0" w:color="auto"/>
              <w:bottom w:val="single" w:sz="6" w:space="0" w:color="auto"/>
              <w:right w:val="single" w:sz="6" w:space="0" w:color="auto"/>
            </w:tcBorders>
          </w:tcPr>
          <w:p w14:paraId="73189B71"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11.1</w:t>
            </w:r>
          </w:p>
        </w:tc>
        <w:tc>
          <w:tcPr>
            <w:tcW w:w="2040" w:type="dxa"/>
            <w:tcBorders>
              <w:top w:val="single" w:sz="6" w:space="0" w:color="auto"/>
              <w:left w:val="single" w:sz="6" w:space="0" w:color="auto"/>
              <w:bottom w:val="single" w:sz="6" w:space="0" w:color="auto"/>
              <w:right w:val="single" w:sz="6" w:space="0" w:color="auto"/>
            </w:tcBorders>
          </w:tcPr>
          <w:p w14:paraId="12103052"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4.3%</w:t>
            </w:r>
          </w:p>
        </w:tc>
      </w:tr>
      <w:tr w:rsidR="00392FDA" w:rsidRPr="00EA4C9B" w14:paraId="211592C6"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1AE45B1E" w14:textId="77777777" w:rsidR="00392FDA" w:rsidRPr="00C305AC" w:rsidRDefault="00392FDA" w:rsidP="00A46F60">
            <w:pPr>
              <w:pStyle w:val="Table"/>
              <w:rPr>
                <w:rFonts w:eastAsia="Aptos Narrow" w:cstheme="minorHAnsi"/>
                <w:szCs w:val="20"/>
                <w:lang w:val="fr-BE"/>
              </w:rPr>
            </w:pPr>
            <w:r w:rsidRPr="00C305AC">
              <w:rPr>
                <w:rFonts w:cstheme="minorHAnsi"/>
                <w:szCs w:val="20"/>
                <w:lang w:val="fr-BE"/>
              </w:rPr>
              <w:t>Duty on insecticides, herbicides, etc.</w:t>
            </w:r>
          </w:p>
        </w:tc>
        <w:tc>
          <w:tcPr>
            <w:tcW w:w="1870" w:type="dxa"/>
            <w:tcBorders>
              <w:top w:val="single" w:sz="6" w:space="0" w:color="auto"/>
              <w:left w:val="single" w:sz="6" w:space="0" w:color="auto"/>
              <w:bottom w:val="single" w:sz="6" w:space="0" w:color="auto"/>
              <w:right w:val="single" w:sz="6" w:space="0" w:color="auto"/>
            </w:tcBorders>
          </w:tcPr>
          <w:p w14:paraId="45885F0C"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628.1</w:t>
            </w:r>
          </w:p>
        </w:tc>
        <w:tc>
          <w:tcPr>
            <w:tcW w:w="2344" w:type="dxa"/>
            <w:tcBorders>
              <w:top w:val="single" w:sz="6" w:space="0" w:color="auto"/>
              <w:left w:val="single" w:sz="6" w:space="0" w:color="auto"/>
              <w:bottom w:val="single" w:sz="6" w:space="0" w:color="auto"/>
              <w:right w:val="single" w:sz="6" w:space="0" w:color="auto"/>
            </w:tcBorders>
          </w:tcPr>
          <w:p w14:paraId="1BB31E56"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41.9</w:t>
            </w:r>
          </w:p>
        </w:tc>
        <w:tc>
          <w:tcPr>
            <w:tcW w:w="2040" w:type="dxa"/>
            <w:tcBorders>
              <w:top w:val="single" w:sz="6" w:space="0" w:color="auto"/>
              <w:left w:val="single" w:sz="6" w:space="0" w:color="auto"/>
              <w:bottom w:val="single" w:sz="6" w:space="0" w:color="auto"/>
              <w:right w:val="single" w:sz="6" w:space="0" w:color="auto"/>
            </w:tcBorders>
          </w:tcPr>
          <w:p w14:paraId="419F8DF4"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16.2%</w:t>
            </w:r>
          </w:p>
        </w:tc>
      </w:tr>
      <w:tr w:rsidR="00392FDA" w:rsidRPr="00EA4C9B" w14:paraId="29F859BE"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53AC7432" w14:textId="77777777" w:rsidR="00392FDA" w:rsidRPr="00EA4C9B" w:rsidRDefault="00392FDA" w:rsidP="00A46F60">
            <w:pPr>
              <w:pStyle w:val="Table"/>
              <w:rPr>
                <w:rFonts w:eastAsia="Aptos Narrow" w:cstheme="minorHAnsi"/>
                <w:szCs w:val="20"/>
              </w:rPr>
            </w:pPr>
            <w:r w:rsidRPr="00EA4C9B">
              <w:rPr>
                <w:rFonts w:cstheme="minorHAnsi"/>
                <w:szCs w:val="20"/>
              </w:rPr>
              <w:t>Duty on nitrogen oxides (NOx)</w:t>
            </w:r>
          </w:p>
        </w:tc>
        <w:tc>
          <w:tcPr>
            <w:tcW w:w="1870" w:type="dxa"/>
            <w:tcBorders>
              <w:top w:val="single" w:sz="6" w:space="0" w:color="auto"/>
              <w:left w:val="single" w:sz="6" w:space="0" w:color="auto"/>
              <w:bottom w:val="single" w:sz="6" w:space="0" w:color="auto"/>
              <w:right w:val="single" w:sz="6" w:space="0" w:color="auto"/>
            </w:tcBorders>
          </w:tcPr>
          <w:p w14:paraId="19F279D5"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526.3</w:t>
            </w:r>
          </w:p>
        </w:tc>
        <w:tc>
          <w:tcPr>
            <w:tcW w:w="2344" w:type="dxa"/>
            <w:tcBorders>
              <w:top w:val="single" w:sz="6" w:space="0" w:color="auto"/>
              <w:left w:val="single" w:sz="6" w:space="0" w:color="auto"/>
              <w:bottom w:val="single" w:sz="6" w:space="0" w:color="auto"/>
              <w:right w:val="single" w:sz="6" w:space="0" w:color="auto"/>
            </w:tcBorders>
          </w:tcPr>
          <w:p w14:paraId="0638A7CA"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37.6</w:t>
            </w:r>
          </w:p>
        </w:tc>
        <w:tc>
          <w:tcPr>
            <w:tcW w:w="2040" w:type="dxa"/>
            <w:tcBorders>
              <w:top w:val="single" w:sz="6" w:space="0" w:color="auto"/>
              <w:left w:val="single" w:sz="6" w:space="0" w:color="auto"/>
              <w:bottom w:val="single" w:sz="6" w:space="0" w:color="auto"/>
              <w:right w:val="single" w:sz="6" w:space="0" w:color="auto"/>
            </w:tcBorders>
          </w:tcPr>
          <w:p w14:paraId="4689A7D4"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13.6%</w:t>
            </w:r>
          </w:p>
        </w:tc>
      </w:tr>
      <w:tr w:rsidR="00392FDA" w:rsidRPr="00EA4C9B" w14:paraId="50FE90EB"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37978CD0" w14:textId="77777777" w:rsidR="00392FDA" w:rsidRPr="00EA4C9B" w:rsidRDefault="00392FDA" w:rsidP="00A46F60">
            <w:pPr>
              <w:pStyle w:val="Table"/>
              <w:rPr>
                <w:rFonts w:eastAsia="Aptos Narrow" w:cstheme="minorHAnsi"/>
                <w:szCs w:val="20"/>
              </w:rPr>
            </w:pPr>
            <w:r w:rsidRPr="00EA4C9B">
              <w:rPr>
                <w:rFonts w:cstheme="minorHAnsi"/>
                <w:szCs w:val="20"/>
              </w:rPr>
              <w:t>Duty on CFC</w:t>
            </w:r>
          </w:p>
        </w:tc>
        <w:tc>
          <w:tcPr>
            <w:tcW w:w="1870" w:type="dxa"/>
            <w:tcBorders>
              <w:top w:val="single" w:sz="6" w:space="0" w:color="auto"/>
              <w:left w:val="single" w:sz="6" w:space="0" w:color="auto"/>
              <w:bottom w:val="single" w:sz="6" w:space="0" w:color="auto"/>
              <w:right w:val="single" w:sz="6" w:space="0" w:color="auto"/>
            </w:tcBorders>
          </w:tcPr>
          <w:p w14:paraId="4C01E9A5"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79.3</w:t>
            </w:r>
          </w:p>
        </w:tc>
        <w:tc>
          <w:tcPr>
            <w:tcW w:w="2344" w:type="dxa"/>
            <w:tcBorders>
              <w:top w:val="single" w:sz="6" w:space="0" w:color="auto"/>
              <w:left w:val="single" w:sz="6" w:space="0" w:color="auto"/>
              <w:bottom w:val="single" w:sz="6" w:space="0" w:color="auto"/>
              <w:right w:val="single" w:sz="6" w:space="0" w:color="auto"/>
            </w:tcBorders>
          </w:tcPr>
          <w:p w14:paraId="006D2FDE"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5.3</w:t>
            </w:r>
          </w:p>
        </w:tc>
        <w:tc>
          <w:tcPr>
            <w:tcW w:w="2040" w:type="dxa"/>
            <w:tcBorders>
              <w:top w:val="single" w:sz="6" w:space="0" w:color="auto"/>
              <w:left w:val="single" w:sz="6" w:space="0" w:color="auto"/>
              <w:bottom w:val="single" w:sz="6" w:space="0" w:color="auto"/>
              <w:right w:val="single" w:sz="6" w:space="0" w:color="auto"/>
            </w:tcBorders>
          </w:tcPr>
          <w:p w14:paraId="77D211B7"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2.0%</w:t>
            </w:r>
          </w:p>
        </w:tc>
      </w:tr>
      <w:tr w:rsidR="00392FDA" w:rsidRPr="00EA4C9B" w14:paraId="1BE3BACA"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510A5AEA" w14:textId="77777777" w:rsidR="00392FDA" w:rsidRPr="00EA4C9B" w:rsidRDefault="00392FDA" w:rsidP="00A46F60">
            <w:pPr>
              <w:pStyle w:val="Table"/>
              <w:rPr>
                <w:rFonts w:eastAsia="Aptos Narrow" w:cstheme="minorHAnsi"/>
                <w:szCs w:val="20"/>
              </w:rPr>
            </w:pPr>
            <w:r w:rsidRPr="00EA4C9B">
              <w:rPr>
                <w:rFonts w:cstheme="minorHAnsi"/>
                <w:szCs w:val="20"/>
              </w:rPr>
              <w:t>Duty on nickel/cadmium batteries</w:t>
            </w:r>
          </w:p>
        </w:tc>
        <w:tc>
          <w:tcPr>
            <w:tcW w:w="1870" w:type="dxa"/>
            <w:tcBorders>
              <w:top w:val="single" w:sz="6" w:space="0" w:color="auto"/>
              <w:left w:val="single" w:sz="6" w:space="0" w:color="auto"/>
              <w:bottom w:val="single" w:sz="6" w:space="0" w:color="auto"/>
              <w:right w:val="single" w:sz="6" w:space="0" w:color="auto"/>
            </w:tcBorders>
          </w:tcPr>
          <w:p w14:paraId="154EB128"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c>
          <w:tcPr>
            <w:tcW w:w="2344" w:type="dxa"/>
            <w:tcBorders>
              <w:top w:val="single" w:sz="6" w:space="0" w:color="auto"/>
              <w:left w:val="single" w:sz="6" w:space="0" w:color="auto"/>
              <w:bottom w:val="single" w:sz="6" w:space="0" w:color="auto"/>
              <w:right w:val="single" w:sz="6" w:space="0" w:color="auto"/>
            </w:tcBorders>
          </w:tcPr>
          <w:p w14:paraId="06EEFF76"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c>
          <w:tcPr>
            <w:tcW w:w="2040" w:type="dxa"/>
            <w:tcBorders>
              <w:top w:val="single" w:sz="6" w:space="0" w:color="auto"/>
              <w:left w:val="single" w:sz="6" w:space="0" w:color="auto"/>
              <w:bottom w:val="single" w:sz="6" w:space="0" w:color="auto"/>
              <w:right w:val="single" w:sz="6" w:space="0" w:color="auto"/>
            </w:tcBorders>
          </w:tcPr>
          <w:p w14:paraId="19CB00A0"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r>
      <w:tr w:rsidR="00392FDA" w:rsidRPr="00EA4C9B" w14:paraId="419AC41C"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0A81A7DC" w14:textId="77777777" w:rsidR="00392FDA" w:rsidRPr="00EA4C9B" w:rsidRDefault="00392FDA" w:rsidP="00A46F60">
            <w:pPr>
              <w:pStyle w:val="Table"/>
              <w:rPr>
                <w:rFonts w:eastAsia="Aptos Narrow" w:cstheme="minorHAnsi"/>
                <w:szCs w:val="20"/>
              </w:rPr>
            </w:pPr>
            <w:r w:rsidRPr="00EA4C9B">
              <w:rPr>
                <w:rFonts w:cstheme="minorHAnsi"/>
                <w:szCs w:val="20"/>
              </w:rPr>
              <w:t>Duty on sulphur (SO2)</w:t>
            </w:r>
          </w:p>
        </w:tc>
        <w:tc>
          <w:tcPr>
            <w:tcW w:w="1870" w:type="dxa"/>
            <w:tcBorders>
              <w:top w:val="single" w:sz="6" w:space="0" w:color="auto"/>
              <w:left w:val="single" w:sz="6" w:space="0" w:color="auto"/>
              <w:bottom w:val="single" w:sz="6" w:space="0" w:color="auto"/>
              <w:right w:val="single" w:sz="6" w:space="0" w:color="auto"/>
            </w:tcBorders>
          </w:tcPr>
          <w:p w14:paraId="2B11598C"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50.9</w:t>
            </w:r>
          </w:p>
        </w:tc>
        <w:tc>
          <w:tcPr>
            <w:tcW w:w="2344" w:type="dxa"/>
            <w:tcBorders>
              <w:top w:val="single" w:sz="6" w:space="0" w:color="auto"/>
              <w:left w:val="single" w:sz="6" w:space="0" w:color="auto"/>
              <w:bottom w:val="single" w:sz="6" w:space="0" w:color="auto"/>
              <w:right w:val="single" w:sz="6" w:space="0" w:color="auto"/>
            </w:tcBorders>
          </w:tcPr>
          <w:p w14:paraId="53A5134B"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3.4</w:t>
            </w:r>
          </w:p>
        </w:tc>
        <w:tc>
          <w:tcPr>
            <w:tcW w:w="2040" w:type="dxa"/>
            <w:tcBorders>
              <w:top w:val="single" w:sz="6" w:space="0" w:color="auto"/>
              <w:left w:val="single" w:sz="6" w:space="0" w:color="auto"/>
              <w:bottom w:val="single" w:sz="6" w:space="0" w:color="auto"/>
              <w:right w:val="single" w:sz="6" w:space="0" w:color="auto"/>
            </w:tcBorders>
          </w:tcPr>
          <w:p w14:paraId="7EE2105D"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1.3%</w:t>
            </w:r>
          </w:p>
        </w:tc>
      </w:tr>
      <w:tr w:rsidR="00392FDA" w:rsidRPr="00EA4C9B" w14:paraId="078EBDF5"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69623778" w14:textId="77777777" w:rsidR="00392FDA" w:rsidRPr="00EA4C9B" w:rsidRDefault="00392FDA" w:rsidP="00A46F60">
            <w:pPr>
              <w:pStyle w:val="Table"/>
              <w:rPr>
                <w:rFonts w:eastAsia="Aptos Narrow" w:cstheme="minorHAnsi"/>
                <w:szCs w:val="20"/>
              </w:rPr>
            </w:pPr>
            <w:r w:rsidRPr="00EA4C9B">
              <w:rPr>
                <w:rFonts w:cstheme="minorHAnsi"/>
                <w:szCs w:val="20"/>
              </w:rPr>
              <w:lastRenderedPageBreak/>
              <w:t>Duty on chlorinated solvents</w:t>
            </w:r>
          </w:p>
        </w:tc>
        <w:tc>
          <w:tcPr>
            <w:tcW w:w="1870" w:type="dxa"/>
            <w:tcBorders>
              <w:top w:val="single" w:sz="6" w:space="0" w:color="auto"/>
              <w:left w:val="single" w:sz="6" w:space="0" w:color="auto"/>
              <w:bottom w:val="single" w:sz="6" w:space="0" w:color="auto"/>
              <w:right w:val="single" w:sz="6" w:space="0" w:color="auto"/>
            </w:tcBorders>
          </w:tcPr>
          <w:p w14:paraId="77F6D380"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c>
          <w:tcPr>
            <w:tcW w:w="2344" w:type="dxa"/>
            <w:tcBorders>
              <w:top w:val="single" w:sz="6" w:space="0" w:color="auto"/>
              <w:left w:val="single" w:sz="6" w:space="0" w:color="auto"/>
              <w:bottom w:val="single" w:sz="6" w:space="0" w:color="auto"/>
              <w:right w:val="single" w:sz="6" w:space="0" w:color="auto"/>
            </w:tcBorders>
          </w:tcPr>
          <w:p w14:paraId="531CDEB1"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c>
          <w:tcPr>
            <w:tcW w:w="2040" w:type="dxa"/>
            <w:tcBorders>
              <w:top w:val="single" w:sz="6" w:space="0" w:color="auto"/>
              <w:left w:val="single" w:sz="6" w:space="0" w:color="auto"/>
              <w:bottom w:val="single" w:sz="6" w:space="0" w:color="auto"/>
              <w:right w:val="single" w:sz="6" w:space="0" w:color="auto"/>
            </w:tcBorders>
          </w:tcPr>
          <w:p w14:paraId="15981C9F"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r>
      <w:tr w:rsidR="00392FDA" w:rsidRPr="00EA4C9B" w14:paraId="69AE1019"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0A1A0A58" w14:textId="77777777" w:rsidR="00392FDA" w:rsidRPr="00EA4C9B" w:rsidRDefault="00392FDA" w:rsidP="00A46F60">
            <w:pPr>
              <w:pStyle w:val="Table"/>
              <w:rPr>
                <w:rFonts w:eastAsia="Aptos Narrow" w:cstheme="minorHAnsi"/>
                <w:szCs w:val="20"/>
              </w:rPr>
            </w:pPr>
            <w:r w:rsidRPr="00EA4C9B">
              <w:rPr>
                <w:rFonts w:cstheme="minorHAnsi"/>
                <w:szCs w:val="20"/>
              </w:rPr>
              <w:t>Duty on nitrogen</w:t>
            </w:r>
          </w:p>
        </w:tc>
        <w:tc>
          <w:tcPr>
            <w:tcW w:w="1870" w:type="dxa"/>
            <w:tcBorders>
              <w:top w:val="single" w:sz="6" w:space="0" w:color="auto"/>
              <w:left w:val="single" w:sz="6" w:space="0" w:color="auto"/>
              <w:bottom w:val="single" w:sz="6" w:space="0" w:color="auto"/>
              <w:right w:val="single" w:sz="6" w:space="0" w:color="auto"/>
            </w:tcBorders>
          </w:tcPr>
          <w:p w14:paraId="240B7723"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4.3</w:t>
            </w:r>
          </w:p>
        </w:tc>
        <w:tc>
          <w:tcPr>
            <w:tcW w:w="2344" w:type="dxa"/>
            <w:tcBorders>
              <w:top w:val="single" w:sz="6" w:space="0" w:color="auto"/>
              <w:left w:val="single" w:sz="6" w:space="0" w:color="auto"/>
              <w:bottom w:val="single" w:sz="6" w:space="0" w:color="auto"/>
              <w:right w:val="single" w:sz="6" w:space="0" w:color="auto"/>
            </w:tcBorders>
          </w:tcPr>
          <w:p w14:paraId="66E630C9"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0.3</w:t>
            </w:r>
          </w:p>
        </w:tc>
        <w:tc>
          <w:tcPr>
            <w:tcW w:w="2040" w:type="dxa"/>
            <w:tcBorders>
              <w:top w:val="single" w:sz="6" w:space="0" w:color="auto"/>
              <w:left w:val="single" w:sz="6" w:space="0" w:color="auto"/>
              <w:bottom w:val="single" w:sz="6" w:space="0" w:color="auto"/>
              <w:right w:val="single" w:sz="6" w:space="0" w:color="auto"/>
            </w:tcBorders>
          </w:tcPr>
          <w:p w14:paraId="27EA7C44"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0.1%</w:t>
            </w:r>
          </w:p>
        </w:tc>
      </w:tr>
      <w:tr w:rsidR="00392FDA" w:rsidRPr="00EA4C9B" w14:paraId="57346DBC"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55AC6F4A" w14:textId="77777777" w:rsidR="00392FDA" w:rsidRPr="00EA4C9B" w:rsidRDefault="00392FDA" w:rsidP="00A46F60">
            <w:pPr>
              <w:pStyle w:val="Table"/>
              <w:rPr>
                <w:rFonts w:eastAsia="Aptos Narrow" w:cstheme="minorHAnsi"/>
                <w:szCs w:val="20"/>
              </w:rPr>
            </w:pPr>
            <w:r w:rsidRPr="00EA4C9B">
              <w:rPr>
                <w:rFonts w:cstheme="minorHAnsi"/>
                <w:szCs w:val="20"/>
              </w:rPr>
              <w:t>Duty on special growth stimulants</w:t>
            </w:r>
          </w:p>
        </w:tc>
        <w:tc>
          <w:tcPr>
            <w:tcW w:w="1870" w:type="dxa"/>
            <w:tcBorders>
              <w:top w:val="single" w:sz="6" w:space="0" w:color="auto"/>
              <w:left w:val="single" w:sz="6" w:space="0" w:color="auto"/>
              <w:bottom w:val="single" w:sz="6" w:space="0" w:color="auto"/>
              <w:right w:val="single" w:sz="6" w:space="0" w:color="auto"/>
            </w:tcBorders>
          </w:tcPr>
          <w:p w14:paraId="53364C6A"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c>
          <w:tcPr>
            <w:tcW w:w="2344" w:type="dxa"/>
            <w:tcBorders>
              <w:top w:val="single" w:sz="6" w:space="0" w:color="auto"/>
              <w:left w:val="single" w:sz="6" w:space="0" w:color="auto"/>
              <w:bottom w:val="single" w:sz="6" w:space="0" w:color="auto"/>
              <w:right w:val="single" w:sz="6" w:space="0" w:color="auto"/>
            </w:tcBorders>
          </w:tcPr>
          <w:p w14:paraId="651E52E0"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c>
          <w:tcPr>
            <w:tcW w:w="2040" w:type="dxa"/>
            <w:tcBorders>
              <w:top w:val="single" w:sz="6" w:space="0" w:color="auto"/>
              <w:left w:val="single" w:sz="6" w:space="0" w:color="auto"/>
              <w:bottom w:val="single" w:sz="6" w:space="0" w:color="auto"/>
              <w:right w:val="single" w:sz="6" w:space="0" w:color="auto"/>
            </w:tcBorders>
          </w:tcPr>
          <w:p w14:paraId="575E4972"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r>
      <w:tr w:rsidR="00392FDA" w:rsidRPr="00EA4C9B" w14:paraId="08B89453"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11629E8A" w14:textId="77777777" w:rsidR="00392FDA" w:rsidRPr="00EA4C9B" w:rsidRDefault="00392FDA" w:rsidP="00A46F60">
            <w:pPr>
              <w:pStyle w:val="Table"/>
              <w:rPr>
                <w:rFonts w:eastAsia="Aptos Narrow" w:cstheme="minorHAnsi"/>
                <w:szCs w:val="20"/>
              </w:rPr>
            </w:pPr>
            <w:r w:rsidRPr="00EA4C9B">
              <w:rPr>
                <w:rFonts w:cstheme="minorHAnsi"/>
                <w:szCs w:val="20"/>
              </w:rPr>
              <w:t>Duty on PVC film</w:t>
            </w:r>
          </w:p>
        </w:tc>
        <w:tc>
          <w:tcPr>
            <w:tcW w:w="1870" w:type="dxa"/>
            <w:tcBorders>
              <w:top w:val="single" w:sz="6" w:space="0" w:color="auto"/>
              <w:left w:val="single" w:sz="6" w:space="0" w:color="auto"/>
              <w:bottom w:val="single" w:sz="6" w:space="0" w:color="auto"/>
              <w:right w:val="single" w:sz="6" w:space="0" w:color="auto"/>
            </w:tcBorders>
          </w:tcPr>
          <w:p w14:paraId="0F68D46D"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9.3</w:t>
            </w:r>
          </w:p>
        </w:tc>
        <w:tc>
          <w:tcPr>
            <w:tcW w:w="2344" w:type="dxa"/>
            <w:tcBorders>
              <w:top w:val="single" w:sz="6" w:space="0" w:color="auto"/>
              <w:left w:val="single" w:sz="6" w:space="0" w:color="auto"/>
              <w:bottom w:val="single" w:sz="6" w:space="0" w:color="auto"/>
              <w:right w:val="single" w:sz="6" w:space="0" w:color="auto"/>
            </w:tcBorders>
          </w:tcPr>
          <w:p w14:paraId="43AA073B"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0.7</w:t>
            </w:r>
          </w:p>
        </w:tc>
        <w:tc>
          <w:tcPr>
            <w:tcW w:w="2040" w:type="dxa"/>
            <w:tcBorders>
              <w:top w:val="single" w:sz="6" w:space="0" w:color="auto"/>
              <w:left w:val="single" w:sz="6" w:space="0" w:color="auto"/>
              <w:bottom w:val="single" w:sz="6" w:space="0" w:color="auto"/>
              <w:right w:val="single" w:sz="6" w:space="0" w:color="auto"/>
            </w:tcBorders>
          </w:tcPr>
          <w:p w14:paraId="6CE42DA9"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0.2%</w:t>
            </w:r>
          </w:p>
        </w:tc>
      </w:tr>
      <w:tr w:rsidR="00392FDA" w:rsidRPr="00EA4C9B" w14:paraId="1D464455"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2C1EE53B" w14:textId="77777777" w:rsidR="00392FDA" w:rsidRPr="00EA4C9B" w:rsidRDefault="00392FDA" w:rsidP="00A46F60">
            <w:pPr>
              <w:pStyle w:val="Table"/>
              <w:rPr>
                <w:rFonts w:eastAsia="Aptos Narrow" w:cstheme="minorHAnsi"/>
                <w:szCs w:val="20"/>
              </w:rPr>
            </w:pPr>
            <w:r w:rsidRPr="00EA4C9B">
              <w:rPr>
                <w:rFonts w:cstheme="minorHAnsi"/>
                <w:szCs w:val="20"/>
              </w:rPr>
              <w:t>Duty on PVC and phatalates</w:t>
            </w:r>
          </w:p>
        </w:tc>
        <w:tc>
          <w:tcPr>
            <w:tcW w:w="1870" w:type="dxa"/>
            <w:tcBorders>
              <w:top w:val="single" w:sz="6" w:space="0" w:color="auto"/>
              <w:left w:val="single" w:sz="6" w:space="0" w:color="auto"/>
              <w:bottom w:val="single" w:sz="6" w:space="0" w:color="auto"/>
              <w:right w:val="single" w:sz="6" w:space="0" w:color="auto"/>
            </w:tcBorders>
          </w:tcPr>
          <w:p w14:paraId="384CE14D"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11.3</w:t>
            </w:r>
          </w:p>
        </w:tc>
        <w:tc>
          <w:tcPr>
            <w:tcW w:w="2344" w:type="dxa"/>
            <w:tcBorders>
              <w:top w:val="single" w:sz="6" w:space="0" w:color="auto"/>
              <w:left w:val="single" w:sz="6" w:space="0" w:color="auto"/>
              <w:bottom w:val="single" w:sz="6" w:space="0" w:color="auto"/>
              <w:right w:val="single" w:sz="6" w:space="0" w:color="auto"/>
            </w:tcBorders>
          </w:tcPr>
          <w:p w14:paraId="786C0AC8"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0.9</w:t>
            </w:r>
          </w:p>
        </w:tc>
        <w:tc>
          <w:tcPr>
            <w:tcW w:w="2040" w:type="dxa"/>
            <w:tcBorders>
              <w:top w:val="single" w:sz="6" w:space="0" w:color="auto"/>
              <w:left w:val="single" w:sz="6" w:space="0" w:color="auto"/>
              <w:bottom w:val="single" w:sz="6" w:space="0" w:color="auto"/>
              <w:right w:val="single" w:sz="6" w:space="0" w:color="auto"/>
            </w:tcBorders>
          </w:tcPr>
          <w:p w14:paraId="63E68341"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0.3%</w:t>
            </w:r>
          </w:p>
        </w:tc>
      </w:tr>
      <w:tr w:rsidR="00392FDA" w:rsidRPr="00EA4C9B" w14:paraId="1CEE7714"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2BB8440D" w14:textId="77777777" w:rsidR="00392FDA" w:rsidRPr="00EA4C9B" w:rsidRDefault="00392FDA" w:rsidP="00A46F60">
            <w:pPr>
              <w:pStyle w:val="Table"/>
              <w:rPr>
                <w:rFonts w:eastAsia="Aptos Narrow" w:cstheme="minorHAnsi"/>
                <w:szCs w:val="20"/>
              </w:rPr>
            </w:pPr>
            <w:r w:rsidRPr="00EA4C9B">
              <w:rPr>
                <w:rFonts w:cstheme="minorHAnsi"/>
                <w:szCs w:val="20"/>
              </w:rPr>
              <w:t>Duty on lead accumulators</w:t>
            </w:r>
          </w:p>
        </w:tc>
        <w:tc>
          <w:tcPr>
            <w:tcW w:w="1870" w:type="dxa"/>
            <w:tcBorders>
              <w:top w:val="single" w:sz="6" w:space="0" w:color="auto"/>
              <w:left w:val="single" w:sz="6" w:space="0" w:color="auto"/>
              <w:bottom w:val="single" w:sz="6" w:space="0" w:color="auto"/>
              <w:right w:val="single" w:sz="6" w:space="0" w:color="auto"/>
            </w:tcBorders>
          </w:tcPr>
          <w:p w14:paraId="57177206"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c>
          <w:tcPr>
            <w:tcW w:w="2344" w:type="dxa"/>
            <w:tcBorders>
              <w:top w:val="single" w:sz="6" w:space="0" w:color="auto"/>
              <w:left w:val="single" w:sz="6" w:space="0" w:color="auto"/>
              <w:bottom w:val="single" w:sz="6" w:space="0" w:color="auto"/>
              <w:right w:val="single" w:sz="6" w:space="0" w:color="auto"/>
            </w:tcBorders>
          </w:tcPr>
          <w:p w14:paraId="397E3F13"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c>
          <w:tcPr>
            <w:tcW w:w="2040" w:type="dxa"/>
            <w:tcBorders>
              <w:top w:val="single" w:sz="6" w:space="0" w:color="auto"/>
              <w:left w:val="single" w:sz="6" w:space="0" w:color="auto"/>
              <w:bottom w:val="single" w:sz="6" w:space="0" w:color="auto"/>
              <w:right w:val="single" w:sz="6" w:space="0" w:color="auto"/>
            </w:tcBorders>
          </w:tcPr>
          <w:p w14:paraId="3B468F26"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0.0%</w:t>
            </w:r>
          </w:p>
        </w:tc>
      </w:tr>
      <w:tr w:rsidR="00392FDA" w:rsidRPr="00EA4C9B" w14:paraId="33F5FA36"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035AFEAE" w14:textId="77777777" w:rsidR="00392FDA" w:rsidRPr="00EA4C9B" w:rsidRDefault="00392FDA" w:rsidP="00A46F60">
            <w:pPr>
              <w:pStyle w:val="Table"/>
              <w:rPr>
                <w:rFonts w:eastAsia="Aptos Narrow" w:cstheme="minorHAnsi"/>
                <w:szCs w:val="20"/>
              </w:rPr>
            </w:pPr>
            <w:r w:rsidRPr="00EA4C9B">
              <w:rPr>
                <w:rFonts w:cstheme="minorHAnsi"/>
                <w:szCs w:val="20"/>
              </w:rPr>
              <w:t>Duty on mineral phosphorus</w:t>
            </w:r>
          </w:p>
        </w:tc>
        <w:tc>
          <w:tcPr>
            <w:tcW w:w="1870" w:type="dxa"/>
            <w:tcBorders>
              <w:top w:val="single" w:sz="6" w:space="0" w:color="auto"/>
              <w:left w:val="single" w:sz="6" w:space="0" w:color="auto"/>
              <w:bottom w:val="single" w:sz="6" w:space="0" w:color="auto"/>
              <w:right w:val="single" w:sz="6" w:space="0" w:color="auto"/>
            </w:tcBorders>
          </w:tcPr>
          <w:p w14:paraId="54E90677"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61.8</w:t>
            </w:r>
          </w:p>
        </w:tc>
        <w:tc>
          <w:tcPr>
            <w:tcW w:w="2344" w:type="dxa"/>
            <w:tcBorders>
              <w:top w:val="single" w:sz="6" w:space="0" w:color="auto"/>
              <w:left w:val="single" w:sz="6" w:space="0" w:color="auto"/>
              <w:bottom w:val="single" w:sz="6" w:space="0" w:color="auto"/>
              <w:right w:val="single" w:sz="6" w:space="0" w:color="auto"/>
            </w:tcBorders>
          </w:tcPr>
          <w:p w14:paraId="0AA9F859"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5.6</w:t>
            </w:r>
          </w:p>
        </w:tc>
        <w:tc>
          <w:tcPr>
            <w:tcW w:w="2040" w:type="dxa"/>
            <w:tcBorders>
              <w:top w:val="single" w:sz="6" w:space="0" w:color="auto"/>
              <w:left w:val="single" w:sz="6" w:space="0" w:color="auto"/>
              <w:bottom w:val="single" w:sz="6" w:space="0" w:color="auto"/>
              <w:right w:val="single" w:sz="6" w:space="0" w:color="auto"/>
            </w:tcBorders>
          </w:tcPr>
          <w:p w14:paraId="35A91E23"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1.6%</w:t>
            </w:r>
          </w:p>
        </w:tc>
      </w:tr>
      <w:tr w:rsidR="00392FDA" w:rsidRPr="00EA4C9B" w14:paraId="38AB07A7"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7E8CA6C1" w14:textId="77777777" w:rsidR="00392FDA" w:rsidRPr="00EA4C9B" w:rsidRDefault="00392FDA" w:rsidP="00A46F60">
            <w:pPr>
              <w:pStyle w:val="Table"/>
              <w:rPr>
                <w:rFonts w:eastAsia="Aptos Narrow" w:cstheme="minorHAnsi"/>
                <w:szCs w:val="20"/>
              </w:rPr>
            </w:pPr>
            <w:r w:rsidRPr="00EA4C9B">
              <w:rPr>
                <w:rFonts w:cstheme="minorHAnsi"/>
                <w:szCs w:val="20"/>
              </w:rPr>
              <w:t>Effluent charges</w:t>
            </w:r>
          </w:p>
        </w:tc>
        <w:tc>
          <w:tcPr>
            <w:tcW w:w="1870" w:type="dxa"/>
            <w:tcBorders>
              <w:top w:val="single" w:sz="6" w:space="0" w:color="auto"/>
              <w:left w:val="single" w:sz="6" w:space="0" w:color="auto"/>
              <w:bottom w:val="single" w:sz="6" w:space="0" w:color="auto"/>
              <w:right w:val="single" w:sz="6" w:space="0" w:color="auto"/>
            </w:tcBorders>
          </w:tcPr>
          <w:p w14:paraId="74E642B4"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480.5</w:t>
            </w:r>
          </w:p>
        </w:tc>
        <w:tc>
          <w:tcPr>
            <w:tcW w:w="2344" w:type="dxa"/>
            <w:tcBorders>
              <w:top w:val="single" w:sz="6" w:space="0" w:color="auto"/>
              <w:left w:val="single" w:sz="6" w:space="0" w:color="auto"/>
              <w:bottom w:val="single" w:sz="6" w:space="0" w:color="auto"/>
              <w:right w:val="single" w:sz="6" w:space="0" w:color="auto"/>
            </w:tcBorders>
          </w:tcPr>
          <w:p w14:paraId="4099F8B0"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32.0</w:t>
            </w:r>
          </w:p>
        </w:tc>
        <w:tc>
          <w:tcPr>
            <w:tcW w:w="2040" w:type="dxa"/>
            <w:tcBorders>
              <w:top w:val="single" w:sz="6" w:space="0" w:color="auto"/>
              <w:left w:val="single" w:sz="6" w:space="0" w:color="auto"/>
              <w:bottom w:val="single" w:sz="6" w:space="0" w:color="auto"/>
              <w:right w:val="single" w:sz="6" w:space="0" w:color="auto"/>
            </w:tcBorders>
          </w:tcPr>
          <w:p w14:paraId="6DE6572B" w14:textId="77777777" w:rsidR="00392FDA" w:rsidRPr="00EA4C9B" w:rsidRDefault="00392FDA" w:rsidP="00732707">
            <w:pPr>
              <w:pStyle w:val="Table"/>
              <w:jc w:val="center"/>
              <w:rPr>
                <w:rFonts w:eastAsia="Times New Roman" w:cstheme="minorHAnsi"/>
                <w:szCs w:val="20"/>
                <w:lang w:eastAsia="en-GB"/>
              </w:rPr>
            </w:pPr>
            <w:r w:rsidRPr="00EA4C9B">
              <w:rPr>
                <w:rFonts w:cstheme="minorHAnsi"/>
                <w:szCs w:val="20"/>
              </w:rPr>
              <w:t>12.4%</w:t>
            </w:r>
          </w:p>
        </w:tc>
      </w:tr>
    </w:tbl>
    <w:p w14:paraId="14517540" w14:textId="77777777" w:rsidR="00392FDA" w:rsidRPr="00EA4C9B" w:rsidRDefault="00392FDA" w:rsidP="00392FDA">
      <w:pPr>
        <w:spacing w:after="0"/>
        <w:textAlignment w:val="baseline"/>
        <w:rPr>
          <w:rFonts w:ascii="Segoe UI" w:eastAsia="Times New Roman" w:hAnsi="Segoe UI" w:cs="Segoe UI"/>
          <w:sz w:val="18"/>
          <w:szCs w:val="18"/>
          <w:lang w:eastAsia="en-GB"/>
        </w:rPr>
      </w:pPr>
      <w:r w:rsidRPr="00EA4C9B">
        <w:rPr>
          <w:rFonts w:ascii="Calibri" w:eastAsia="Times New Roman" w:hAnsi="Calibri" w:cs="Calibri"/>
          <w:lang w:eastAsia="en-GB"/>
        </w:rPr>
        <w:t>  </w:t>
      </w:r>
    </w:p>
    <w:tbl>
      <w:tblPr>
        <w:tblW w:w="9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9"/>
        <w:gridCol w:w="1870"/>
        <w:gridCol w:w="2364"/>
        <w:gridCol w:w="1997"/>
      </w:tblGrid>
      <w:tr w:rsidR="00392FDA" w:rsidRPr="00EA4C9B" w14:paraId="25E0B5BB" w14:textId="77777777" w:rsidTr="004F0767">
        <w:trPr>
          <w:trHeight w:val="300"/>
        </w:trPr>
        <w:tc>
          <w:tcPr>
            <w:tcW w:w="9120"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140BDB17" w14:textId="68B7E8CC" w:rsidR="00392FDA" w:rsidRPr="00A46F60" w:rsidRDefault="00051732" w:rsidP="00A46F60">
            <w:pPr>
              <w:pStyle w:val="Table"/>
              <w:rPr>
                <w:rFonts w:ascii="Times New Roman" w:eastAsia="Times New Roman" w:hAnsi="Times New Roman" w:cs="Times New Roman"/>
                <w:b/>
                <w:color w:val="FFFFFF" w:themeColor="background1"/>
                <w:sz w:val="24"/>
                <w:lang w:eastAsia="en-GB"/>
              </w:rPr>
            </w:pPr>
            <w:r w:rsidRPr="00A46F60">
              <w:rPr>
                <w:b/>
                <w:color w:val="FFFFFF" w:themeColor="background1"/>
              </w:rPr>
              <w:t xml:space="preserve">Table </w:t>
            </w:r>
            <w:r w:rsidR="00490085">
              <w:rPr>
                <w:b/>
                <w:color w:val="FFFFFF" w:themeColor="background1"/>
              </w:rPr>
              <w:t>A6</w:t>
            </w:r>
            <w:r w:rsidR="00A46F60" w:rsidRPr="00A46F60">
              <w:rPr>
                <w:b/>
                <w:bCs/>
                <w:color w:val="FFFFFF" w:themeColor="background1"/>
              </w:rPr>
              <w:t>-</w:t>
            </w:r>
            <w:r w:rsidR="00A46F60" w:rsidRPr="00A46F60">
              <w:rPr>
                <w:b/>
                <w:bCs/>
                <w:color w:val="FFFFFF" w:themeColor="background1"/>
              </w:rPr>
              <w:fldChar w:fldCharType="begin"/>
            </w:r>
            <w:r w:rsidR="00A46F60" w:rsidRPr="00A46F60">
              <w:rPr>
                <w:b/>
                <w:bCs/>
                <w:color w:val="FFFFFF" w:themeColor="background1"/>
              </w:rPr>
              <w:instrText xml:space="preserve"> SEQ Table_A5- \* ARABIC </w:instrText>
            </w:r>
            <w:r w:rsidR="00A46F60" w:rsidRPr="00A46F60">
              <w:rPr>
                <w:b/>
                <w:bCs/>
                <w:color w:val="FFFFFF" w:themeColor="background1"/>
              </w:rPr>
              <w:fldChar w:fldCharType="separate"/>
            </w:r>
            <w:r w:rsidR="00732707">
              <w:rPr>
                <w:b/>
                <w:bCs/>
                <w:noProof/>
                <w:color w:val="FFFFFF" w:themeColor="background1"/>
              </w:rPr>
              <w:t>39</w:t>
            </w:r>
            <w:r w:rsidR="00A46F60" w:rsidRPr="00A46F60">
              <w:rPr>
                <w:b/>
                <w:bCs/>
                <w:color w:val="FFFFFF" w:themeColor="background1"/>
              </w:rPr>
              <w:fldChar w:fldCharType="end"/>
            </w:r>
            <w:r w:rsidR="00392FDA" w:rsidRPr="00A46F60">
              <w:rPr>
                <w:rFonts w:ascii="Calibri" w:eastAsia="Times New Roman" w:hAnsi="Calibri" w:cs="Calibri"/>
                <w:b/>
                <w:color w:val="FFFFFF" w:themeColor="background1"/>
                <w:szCs w:val="20"/>
                <w:lang w:eastAsia="en-GB"/>
              </w:rPr>
              <w:t>:  Waste taxes  </w:t>
            </w:r>
          </w:p>
        </w:tc>
      </w:tr>
      <w:tr w:rsidR="00392FDA" w:rsidRPr="00EA4C9B" w14:paraId="6553C2E6"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hideMark/>
          </w:tcPr>
          <w:p w14:paraId="38A89F80" w14:textId="598C0E15" w:rsidR="00392FDA" w:rsidRPr="00EA4C9B" w:rsidRDefault="00392FDA" w:rsidP="00732707">
            <w:pPr>
              <w:pStyle w:val="Table"/>
              <w:jc w:val="left"/>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870" w:type="dxa"/>
            <w:tcBorders>
              <w:top w:val="single" w:sz="6" w:space="0" w:color="auto"/>
              <w:left w:val="single" w:sz="6" w:space="0" w:color="auto"/>
              <w:bottom w:val="single" w:sz="6" w:space="0" w:color="auto"/>
              <w:right w:val="single" w:sz="6" w:space="0" w:color="auto"/>
            </w:tcBorders>
            <w:hideMark/>
          </w:tcPr>
          <w:p w14:paraId="37FBBFCD" w14:textId="6D051551" w:rsidR="00392FDA" w:rsidRPr="00EA4C9B" w:rsidRDefault="00392FDA" w:rsidP="00732707">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Revenue (€ million)</w:t>
            </w:r>
          </w:p>
          <w:p w14:paraId="4FF9EE31" w14:textId="770FAE85" w:rsidR="00392FDA" w:rsidRPr="00EA4C9B" w:rsidRDefault="00392FDA" w:rsidP="00732707">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2009-2023</w:t>
            </w:r>
          </w:p>
        </w:tc>
        <w:tc>
          <w:tcPr>
            <w:tcW w:w="2364" w:type="dxa"/>
            <w:tcBorders>
              <w:top w:val="single" w:sz="6" w:space="0" w:color="auto"/>
              <w:left w:val="single" w:sz="6" w:space="0" w:color="auto"/>
              <w:bottom w:val="single" w:sz="6" w:space="0" w:color="auto"/>
              <w:right w:val="single" w:sz="6" w:space="0" w:color="auto"/>
            </w:tcBorders>
            <w:hideMark/>
          </w:tcPr>
          <w:p w14:paraId="4233BC05" w14:textId="2FA72C50" w:rsidR="00392FDA" w:rsidRPr="00EA4C9B" w:rsidRDefault="00392FDA" w:rsidP="00732707">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97" w:type="dxa"/>
            <w:tcBorders>
              <w:top w:val="single" w:sz="6" w:space="0" w:color="auto"/>
              <w:left w:val="single" w:sz="6" w:space="0" w:color="auto"/>
              <w:bottom w:val="single" w:sz="6" w:space="0" w:color="auto"/>
              <w:right w:val="single" w:sz="6" w:space="0" w:color="auto"/>
            </w:tcBorders>
            <w:hideMark/>
          </w:tcPr>
          <w:p w14:paraId="55C0ED13" w14:textId="3B5BC69D" w:rsidR="00392FDA" w:rsidRPr="00EA4C9B" w:rsidRDefault="00392FDA" w:rsidP="00732707">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waste tax revenues</w:t>
            </w:r>
          </w:p>
        </w:tc>
      </w:tr>
      <w:tr w:rsidR="00392FDA" w:rsidRPr="00EA4C9B" w14:paraId="0F9044F2"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5968D8F4" w14:textId="77777777" w:rsidR="00392FDA" w:rsidRPr="00EA4C9B" w:rsidRDefault="00392FDA" w:rsidP="00732707">
            <w:pPr>
              <w:pStyle w:val="Table"/>
              <w:jc w:val="left"/>
              <w:rPr>
                <w:rFonts w:ascii="Times New Roman" w:eastAsia="Times New Roman" w:hAnsi="Times New Roman" w:cs="Times New Roman"/>
                <w:szCs w:val="20"/>
                <w:lang w:eastAsia="en-GB"/>
              </w:rPr>
            </w:pPr>
            <w:r w:rsidRPr="00EA4C9B">
              <w:rPr>
                <w:szCs w:val="20"/>
              </w:rPr>
              <w:t>Duty on waste disposal</w:t>
            </w:r>
          </w:p>
        </w:tc>
        <w:tc>
          <w:tcPr>
            <w:tcW w:w="1870" w:type="dxa"/>
            <w:tcBorders>
              <w:top w:val="single" w:sz="6" w:space="0" w:color="auto"/>
              <w:left w:val="single" w:sz="6" w:space="0" w:color="auto"/>
              <w:bottom w:val="single" w:sz="6" w:space="0" w:color="auto"/>
              <w:right w:val="single" w:sz="6" w:space="0" w:color="auto"/>
            </w:tcBorders>
            <w:hideMark/>
          </w:tcPr>
          <w:p w14:paraId="2657FBF5" w14:textId="77777777" w:rsidR="00392FDA" w:rsidRPr="00EA4C9B" w:rsidRDefault="00392FDA" w:rsidP="00732707">
            <w:pPr>
              <w:pStyle w:val="Table"/>
              <w:jc w:val="center"/>
              <w:rPr>
                <w:rFonts w:ascii="Times New Roman" w:eastAsia="Times New Roman" w:hAnsi="Times New Roman" w:cs="Times New Roman"/>
                <w:szCs w:val="20"/>
                <w:lang w:eastAsia="en-GB"/>
              </w:rPr>
            </w:pPr>
            <w:r w:rsidRPr="00EA4C9B">
              <w:rPr>
                <w:szCs w:val="20"/>
              </w:rPr>
              <w:t>12.4</w:t>
            </w:r>
          </w:p>
        </w:tc>
        <w:tc>
          <w:tcPr>
            <w:tcW w:w="2364" w:type="dxa"/>
            <w:tcBorders>
              <w:top w:val="single" w:sz="6" w:space="0" w:color="auto"/>
              <w:left w:val="single" w:sz="6" w:space="0" w:color="auto"/>
              <w:bottom w:val="single" w:sz="6" w:space="0" w:color="auto"/>
              <w:right w:val="single" w:sz="6" w:space="0" w:color="auto"/>
            </w:tcBorders>
            <w:hideMark/>
          </w:tcPr>
          <w:p w14:paraId="1869AE63" w14:textId="77777777" w:rsidR="00392FDA" w:rsidRPr="00EA4C9B" w:rsidRDefault="00392FDA" w:rsidP="00732707">
            <w:pPr>
              <w:pStyle w:val="Table"/>
              <w:jc w:val="center"/>
              <w:rPr>
                <w:rFonts w:ascii="Times New Roman" w:eastAsia="Times New Roman" w:hAnsi="Times New Roman" w:cs="Times New Roman"/>
                <w:szCs w:val="20"/>
                <w:lang w:eastAsia="en-GB"/>
              </w:rPr>
            </w:pPr>
            <w:r w:rsidRPr="00EA4C9B">
              <w:rPr>
                <w:szCs w:val="20"/>
              </w:rPr>
              <w:t>0.8</w:t>
            </w:r>
          </w:p>
        </w:tc>
        <w:tc>
          <w:tcPr>
            <w:tcW w:w="1997" w:type="dxa"/>
            <w:tcBorders>
              <w:top w:val="single" w:sz="6" w:space="0" w:color="auto"/>
              <w:left w:val="single" w:sz="6" w:space="0" w:color="auto"/>
              <w:bottom w:val="single" w:sz="6" w:space="0" w:color="auto"/>
              <w:right w:val="single" w:sz="6" w:space="0" w:color="auto"/>
            </w:tcBorders>
            <w:hideMark/>
          </w:tcPr>
          <w:p w14:paraId="2953D146" w14:textId="77777777" w:rsidR="00392FDA" w:rsidRPr="00EA4C9B" w:rsidRDefault="00392FDA" w:rsidP="00732707">
            <w:pPr>
              <w:pStyle w:val="Table"/>
              <w:jc w:val="center"/>
              <w:rPr>
                <w:rFonts w:ascii="Times New Roman" w:eastAsia="Times New Roman" w:hAnsi="Times New Roman" w:cs="Times New Roman"/>
                <w:szCs w:val="20"/>
                <w:lang w:eastAsia="en-GB"/>
              </w:rPr>
            </w:pPr>
            <w:r w:rsidRPr="00EA4C9B">
              <w:rPr>
                <w:szCs w:val="20"/>
              </w:rPr>
              <w:t>1.5%</w:t>
            </w:r>
          </w:p>
        </w:tc>
      </w:tr>
      <w:tr w:rsidR="00392FDA" w:rsidRPr="00EA4C9B" w14:paraId="2F8C2F0B"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2CB1BB93" w14:textId="77777777" w:rsidR="00392FDA" w:rsidRPr="00EA4C9B" w:rsidRDefault="00392FDA" w:rsidP="00732707">
            <w:pPr>
              <w:pStyle w:val="Table"/>
              <w:jc w:val="left"/>
              <w:rPr>
                <w:rFonts w:ascii="Times New Roman" w:eastAsia="Times New Roman" w:hAnsi="Times New Roman" w:cs="Times New Roman"/>
                <w:szCs w:val="20"/>
                <w:lang w:eastAsia="en-GB"/>
              </w:rPr>
            </w:pPr>
            <w:r w:rsidRPr="00EA4C9B">
              <w:rPr>
                <w:szCs w:val="20"/>
              </w:rPr>
              <w:t>Duty on carrier bags made of paper or plast, etc.</w:t>
            </w:r>
          </w:p>
        </w:tc>
        <w:tc>
          <w:tcPr>
            <w:tcW w:w="1870" w:type="dxa"/>
            <w:tcBorders>
              <w:top w:val="single" w:sz="6" w:space="0" w:color="auto"/>
              <w:left w:val="single" w:sz="6" w:space="0" w:color="auto"/>
              <w:bottom w:val="single" w:sz="6" w:space="0" w:color="auto"/>
              <w:right w:val="single" w:sz="6" w:space="0" w:color="auto"/>
            </w:tcBorders>
          </w:tcPr>
          <w:p w14:paraId="3975D111" w14:textId="77777777" w:rsidR="00392FDA" w:rsidRPr="00EA4C9B" w:rsidRDefault="00392FDA" w:rsidP="00732707">
            <w:pPr>
              <w:pStyle w:val="Table"/>
              <w:jc w:val="center"/>
              <w:rPr>
                <w:rFonts w:ascii="Calibri" w:eastAsia="Times New Roman" w:hAnsi="Calibri" w:cs="Calibri"/>
                <w:szCs w:val="20"/>
                <w:lang w:eastAsia="en-GB"/>
              </w:rPr>
            </w:pPr>
            <w:r w:rsidRPr="00EA4C9B">
              <w:rPr>
                <w:szCs w:val="20"/>
              </w:rPr>
              <w:t>272.6</w:t>
            </w:r>
          </w:p>
        </w:tc>
        <w:tc>
          <w:tcPr>
            <w:tcW w:w="2364" w:type="dxa"/>
            <w:tcBorders>
              <w:top w:val="single" w:sz="6" w:space="0" w:color="auto"/>
              <w:left w:val="single" w:sz="6" w:space="0" w:color="auto"/>
              <w:bottom w:val="single" w:sz="6" w:space="0" w:color="auto"/>
              <w:right w:val="single" w:sz="6" w:space="0" w:color="auto"/>
            </w:tcBorders>
          </w:tcPr>
          <w:p w14:paraId="77E24AC5" w14:textId="77777777" w:rsidR="00392FDA" w:rsidRPr="00EA4C9B" w:rsidRDefault="00392FDA" w:rsidP="00732707">
            <w:pPr>
              <w:pStyle w:val="Table"/>
              <w:jc w:val="center"/>
              <w:rPr>
                <w:rFonts w:ascii="Calibri" w:eastAsia="Times New Roman" w:hAnsi="Calibri" w:cs="Calibri"/>
                <w:szCs w:val="20"/>
                <w:lang w:eastAsia="en-GB"/>
              </w:rPr>
            </w:pPr>
            <w:r w:rsidRPr="00EA4C9B">
              <w:rPr>
                <w:szCs w:val="20"/>
              </w:rPr>
              <w:t>18.2</w:t>
            </w:r>
          </w:p>
        </w:tc>
        <w:tc>
          <w:tcPr>
            <w:tcW w:w="1997" w:type="dxa"/>
            <w:tcBorders>
              <w:top w:val="single" w:sz="6" w:space="0" w:color="auto"/>
              <w:left w:val="single" w:sz="6" w:space="0" w:color="auto"/>
              <w:bottom w:val="single" w:sz="6" w:space="0" w:color="auto"/>
              <w:right w:val="single" w:sz="6" w:space="0" w:color="auto"/>
            </w:tcBorders>
          </w:tcPr>
          <w:p w14:paraId="3F5B605A" w14:textId="77777777" w:rsidR="00392FDA" w:rsidRPr="00EA4C9B" w:rsidRDefault="00392FDA" w:rsidP="00732707">
            <w:pPr>
              <w:pStyle w:val="Table"/>
              <w:jc w:val="center"/>
              <w:rPr>
                <w:rFonts w:ascii="Calibri" w:eastAsia="Times New Roman" w:hAnsi="Calibri" w:cs="Calibri"/>
                <w:szCs w:val="20"/>
                <w:lang w:eastAsia="en-GB"/>
              </w:rPr>
            </w:pPr>
            <w:r w:rsidRPr="00EA4C9B">
              <w:rPr>
                <w:szCs w:val="20"/>
              </w:rPr>
              <w:t>32.7%</w:t>
            </w:r>
          </w:p>
        </w:tc>
      </w:tr>
      <w:tr w:rsidR="00392FDA" w:rsidRPr="00EA4C9B" w14:paraId="6C62EB31"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2FF58460" w14:textId="77777777" w:rsidR="00392FDA" w:rsidRPr="00EA4C9B" w:rsidRDefault="00392FDA" w:rsidP="00732707">
            <w:pPr>
              <w:pStyle w:val="Table"/>
              <w:jc w:val="left"/>
              <w:rPr>
                <w:rFonts w:ascii="Times New Roman" w:eastAsia="Times New Roman" w:hAnsi="Times New Roman" w:cs="Times New Roman"/>
                <w:szCs w:val="20"/>
                <w:lang w:eastAsia="en-GB"/>
              </w:rPr>
            </w:pPr>
            <w:r w:rsidRPr="00EA4C9B">
              <w:rPr>
                <w:szCs w:val="20"/>
              </w:rPr>
              <w:t>Duty on waste</w:t>
            </w:r>
          </w:p>
        </w:tc>
        <w:tc>
          <w:tcPr>
            <w:tcW w:w="1870" w:type="dxa"/>
            <w:tcBorders>
              <w:top w:val="single" w:sz="6" w:space="0" w:color="auto"/>
              <w:left w:val="single" w:sz="6" w:space="0" w:color="auto"/>
              <w:bottom w:val="single" w:sz="6" w:space="0" w:color="auto"/>
              <w:right w:val="single" w:sz="6" w:space="0" w:color="auto"/>
            </w:tcBorders>
          </w:tcPr>
          <w:p w14:paraId="78E4265F" w14:textId="77777777" w:rsidR="00392FDA" w:rsidRPr="00EA4C9B" w:rsidRDefault="00392FDA" w:rsidP="00732707">
            <w:pPr>
              <w:pStyle w:val="Table"/>
              <w:jc w:val="center"/>
              <w:rPr>
                <w:rFonts w:ascii="Calibri" w:eastAsia="Times New Roman" w:hAnsi="Calibri" w:cs="Calibri"/>
                <w:szCs w:val="20"/>
                <w:lang w:eastAsia="en-GB"/>
              </w:rPr>
            </w:pPr>
            <w:r w:rsidRPr="00EA4C9B">
              <w:rPr>
                <w:szCs w:val="20"/>
              </w:rPr>
              <w:t>396.4</w:t>
            </w:r>
          </w:p>
        </w:tc>
        <w:tc>
          <w:tcPr>
            <w:tcW w:w="2364" w:type="dxa"/>
            <w:tcBorders>
              <w:top w:val="single" w:sz="6" w:space="0" w:color="auto"/>
              <w:left w:val="single" w:sz="6" w:space="0" w:color="auto"/>
              <w:bottom w:val="single" w:sz="6" w:space="0" w:color="auto"/>
              <w:right w:val="single" w:sz="6" w:space="0" w:color="auto"/>
            </w:tcBorders>
          </w:tcPr>
          <w:p w14:paraId="63A0FFFF" w14:textId="77777777" w:rsidR="00392FDA" w:rsidRPr="00EA4C9B" w:rsidRDefault="00392FDA" w:rsidP="00732707">
            <w:pPr>
              <w:pStyle w:val="Table"/>
              <w:jc w:val="center"/>
              <w:rPr>
                <w:rFonts w:ascii="Calibri" w:eastAsia="Times New Roman" w:hAnsi="Calibri" w:cs="Calibri"/>
                <w:szCs w:val="20"/>
                <w:lang w:eastAsia="en-GB"/>
              </w:rPr>
            </w:pPr>
            <w:r w:rsidRPr="00EA4C9B">
              <w:rPr>
                <w:szCs w:val="20"/>
              </w:rPr>
              <w:t>26.4</w:t>
            </w:r>
          </w:p>
        </w:tc>
        <w:tc>
          <w:tcPr>
            <w:tcW w:w="1997" w:type="dxa"/>
            <w:tcBorders>
              <w:top w:val="single" w:sz="6" w:space="0" w:color="auto"/>
              <w:left w:val="single" w:sz="6" w:space="0" w:color="auto"/>
              <w:bottom w:val="single" w:sz="6" w:space="0" w:color="auto"/>
              <w:right w:val="single" w:sz="6" w:space="0" w:color="auto"/>
            </w:tcBorders>
          </w:tcPr>
          <w:p w14:paraId="3289D2A6" w14:textId="77777777" w:rsidR="00392FDA" w:rsidRPr="00EA4C9B" w:rsidRDefault="00392FDA" w:rsidP="00732707">
            <w:pPr>
              <w:pStyle w:val="Table"/>
              <w:jc w:val="center"/>
              <w:rPr>
                <w:rFonts w:ascii="Calibri" w:eastAsia="Times New Roman" w:hAnsi="Calibri" w:cs="Calibri"/>
                <w:szCs w:val="20"/>
                <w:lang w:eastAsia="en-GB"/>
              </w:rPr>
            </w:pPr>
            <w:r w:rsidRPr="00EA4C9B">
              <w:rPr>
                <w:szCs w:val="20"/>
              </w:rPr>
              <w:t>47.6%</w:t>
            </w:r>
          </w:p>
        </w:tc>
      </w:tr>
      <w:tr w:rsidR="00392FDA" w:rsidRPr="00EA4C9B" w14:paraId="787F3F9D"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29E59C2E" w14:textId="77777777" w:rsidR="00392FDA" w:rsidRPr="00EA4C9B" w:rsidRDefault="00392FDA" w:rsidP="00732707">
            <w:pPr>
              <w:pStyle w:val="Table"/>
              <w:jc w:val="left"/>
              <w:rPr>
                <w:rFonts w:ascii="Times New Roman" w:eastAsia="Times New Roman" w:hAnsi="Times New Roman" w:cs="Times New Roman"/>
                <w:szCs w:val="20"/>
                <w:lang w:eastAsia="en-GB"/>
              </w:rPr>
            </w:pPr>
            <w:r w:rsidRPr="00EA4C9B">
              <w:rPr>
                <w:szCs w:val="20"/>
              </w:rPr>
              <w:t>Duty on carrier bags made of paper or plast, etc.</w:t>
            </w:r>
          </w:p>
        </w:tc>
        <w:tc>
          <w:tcPr>
            <w:tcW w:w="1870" w:type="dxa"/>
            <w:tcBorders>
              <w:top w:val="single" w:sz="6" w:space="0" w:color="auto"/>
              <w:left w:val="single" w:sz="6" w:space="0" w:color="auto"/>
              <w:bottom w:val="single" w:sz="6" w:space="0" w:color="auto"/>
              <w:right w:val="single" w:sz="6" w:space="0" w:color="auto"/>
            </w:tcBorders>
            <w:hideMark/>
          </w:tcPr>
          <w:p w14:paraId="68A56168" w14:textId="77777777" w:rsidR="00392FDA" w:rsidRPr="00EA4C9B" w:rsidRDefault="00392FDA" w:rsidP="00732707">
            <w:pPr>
              <w:pStyle w:val="Table"/>
              <w:jc w:val="center"/>
              <w:rPr>
                <w:rFonts w:ascii="Times New Roman" w:eastAsia="Times New Roman" w:hAnsi="Times New Roman" w:cs="Times New Roman"/>
                <w:szCs w:val="20"/>
                <w:lang w:eastAsia="en-GB"/>
              </w:rPr>
            </w:pPr>
            <w:r w:rsidRPr="00EA4C9B">
              <w:rPr>
                <w:szCs w:val="20"/>
              </w:rPr>
              <w:t>152.1</w:t>
            </w:r>
          </w:p>
        </w:tc>
        <w:tc>
          <w:tcPr>
            <w:tcW w:w="2364" w:type="dxa"/>
            <w:tcBorders>
              <w:top w:val="single" w:sz="6" w:space="0" w:color="auto"/>
              <w:left w:val="single" w:sz="6" w:space="0" w:color="auto"/>
              <w:bottom w:val="single" w:sz="6" w:space="0" w:color="auto"/>
              <w:right w:val="single" w:sz="6" w:space="0" w:color="auto"/>
            </w:tcBorders>
            <w:hideMark/>
          </w:tcPr>
          <w:p w14:paraId="2B96C4AC" w14:textId="77777777" w:rsidR="00392FDA" w:rsidRPr="00EA4C9B" w:rsidRDefault="00392FDA" w:rsidP="00732707">
            <w:pPr>
              <w:pStyle w:val="Table"/>
              <w:jc w:val="center"/>
              <w:rPr>
                <w:rFonts w:ascii="Times New Roman" w:eastAsia="Times New Roman" w:hAnsi="Times New Roman" w:cs="Times New Roman"/>
                <w:szCs w:val="20"/>
                <w:lang w:eastAsia="en-GB"/>
              </w:rPr>
            </w:pPr>
            <w:r w:rsidRPr="00EA4C9B">
              <w:rPr>
                <w:szCs w:val="20"/>
              </w:rPr>
              <w:t>10.1</w:t>
            </w:r>
          </w:p>
        </w:tc>
        <w:tc>
          <w:tcPr>
            <w:tcW w:w="1997" w:type="dxa"/>
            <w:tcBorders>
              <w:top w:val="single" w:sz="6" w:space="0" w:color="auto"/>
              <w:left w:val="single" w:sz="6" w:space="0" w:color="auto"/>
              <w:bottom w:val="single" w:sz="6" w:space="0" w:color="auto"/>
              <w:right w:val="single" w:sz="6" w:space="0" w:color="auto"/>
            </w:tcBorders>
            <w:hideMark/>
          </w:tcPr>
          <w:p w14:paraId="5203D7EB" w14:textId="77777777" w:rsidR="00392FDA" w:rsidRPr="00EA4C9B" w:rsidRDefault="00392FDA" w:rsidP="00732707">
            <w:pPr>
              <w:pStyle w:val="Table"/>
              <w:jc w:val="center"/>
              <w:rPr>
                <w:rFonts w:ascii="Times New Roman" w:eastAsia="Times New Roman" w:hAnsi="Times New Roman" w:cs="Times New Roman"/>
                <w:szCs w:val="20"/>
                <w:lang w:eastAsia="en-GB"/>
              </w:rPr>
            </w:pPr>
            <w:r w:rsidRPr="00EA4C9B">
              <w:rPr>
                <w:szCs w:val="20"/>
              </w:rPr>
              <w:t>18.2%</w:t>
            </w:r>
          </w:p>
        </w:tc>
      </w:tr>
    </w:tbl>
    <w:p w14:paraId="44B863CB" w14:textId="4ADF4ECD" w:rsidR="00392FDA" w:rsidRPr="00EA4C9B" w:rsidRDefault="00392FDA" w:rsidP="00732707">
      <w:pPr>
        <w:spacing w:after="0"/>
        <w:jc w:val="center"/>
        <w:textAlignment w:val="baseline"/>
        <w:rPr>
          <w:rFonts w:ascii="Segoe UI" w:eastAsia="Times New Roman" w:hAnsi="Segoe UI" w:cs="Segoe UI"/>
          <w:sz w:val="18"/>
          <w:szCs w:val="18"/>
          <w:lang w:eastAsia="en-GB"/>
        </w:rPr>
      </w:pPr>
    </w:p>
    <w:tbl>
      <w:tblPr>
        <w:tblW w:w="91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9"/>
        <w:gridCol w:w="1890"/>
        <w:gridCol w:w="2344"/>
        <w:gridCol w:w="2007"/>
      </w:tblGrid>
      <w:tr w:rsidR="00392FDA" w:rsidRPr="00EA4C9B" w14:paraId="59ED4D0A" w14:textId="77777777" w:rsidTr="004F0767">
        <w:trPr>
          <w:trHeight w:val="300"/>
        </w:trPr>
        <w:tc>
          <w:tcPr>
            <w:tcW w:w="9130"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70D94307" w14:textId="036F187A" w:rsidR="00392FDA" w:rsidRPr="00A46F60" w:rsidRDefault="00051732" w:rsidP="00732707">
            <w:pPr>
              <w:pStyle w:val="Table"/>
              <w:jc w:val="left"/>
              <w:rPr>
                <w:rFonts w:ascii="Times New Roman" w:eastAsia="Times New Roman" w:hAnsi="Times New Roman" w:cs="Times New Roman"/>
                <w:b/>
                <w:color w:val="FFFFFF" w:themeColor="background1"/>
                <w:sz w:val="24"/>
                <w:lang w:eastAsia="en-GB"/>
              </w:rPr>
            </w:pPr>
            <w:r w:rsidRPr="00A46F60">
              <w:rPr>
                <w:b/>
                <w:color w:val="FFFFFF" w:themeColor="background1"/>
              </w:rPr>
              <w:t xml:space="preserve">Table </w:t>
            </w:r>
            <w:r w:rsidR="00490085">
              <w:rPr>
                <w:b/>
                <w:color w:val="FFFFFF" w:themeColor="background1"/>
              </w:rPr>
              <w:t>A6</w:t>
            </w:r>
            <w:r w:rsidR="00A46F60" w:rsidRPr="00A46F60">
              <w:rPr>
                <w:b/>
                <w:bCs/>
                <w:color w:val="FFFFFF" w:themeColor="background1"/>
              </w:rPr>
              <w:t>-</w:t>
            </w:r>
            <w:r w:rsidR="00A46F60" w:rsidRPr="00A46F60">
              <w:rPr>
                <w:b/>
                <w:bCs/>
                <w:color w:val="FFFFFF" w:themeColor="background1"/>
              </w:rPr>
              <w:fldChar w:fldCharType="begin"/>
            </w:r>
            <w:r w:rsidR="00A46F60" w:rsidRPr="00A46F60">
              <w:rPr>
                <w:b/>
                <w:bCs/>
                <w:color w:val="FFFFFF" w:themeColor="background1"/>
              </w:rPr>
              <w:instrText xml:space="preserve"> SEQ Table_A5- \* ARABIC </w:instrText>
            </w:r>
            <w:r w:rsidR="00A46F60" w:rsidRPr="00A46F60">
              <w:rPr>
                <w:b/>
                <w:bCs/>
                <w:color w:val="FFFFFF" w:themeColor="background1"/>
              </w:rPr>
              <w:fldChar w:fldCharType="separate"/>
            </w:r>
            <w:r w:rsidR="00732707">
              <w:rPr>
                <w:b/>
                <w:bCs/>
                <w:noProof/>
                <w:color w:val="FFFFFF" w:themeColor="background1"/>
              </w:rPr>
              <w:t>40</w:t>
            </w:r>
            <w:r w:rsidR="00A46F60" w:rsidRPr="00A46F60">
              <w:rPr>
                <w:b/>
                <w:bCs/>
                <w:color w:val="FFFFFF" w:themeColor="background1"/>
              </w:rPr>
              <w:fldChar w:fldCharType="end"/>
            </w:r>
            <w:r w:rsidR="00392FDA" w:rsidRPr="00A46F60">
              <w:rPr>
                <w:rFonts w:ascii="Calibri" w:eastAsia="Times New Roman" w:hAnsi="Calibri" w:cs="Calibri"/>
                <w:b/>
                <w:color w:val="FFFFFF" w:themeColor="background1"/>
                <w:szCs w:val="20"/>
                <w:lang w:eastAsia="en-GB"/>
              </w:rPr>
              <w:t>:  Resource taxes </w:t>
            </w:r>
          </w:p>
        </w:tc>
      </w:tr>
      <w:tr w:rsidR="00392FDA" w:rsidRPr="00EA4C9B" w14:paraId="2DB8872C"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hideMark/>
          </w:tcPr>
          <w:p w14:paraId="7FB16F3E" w14:textId="473E70DC" w:rsidR="00392FDA" w:rsidRPr="00EA4C9B" w:rsidRDefault="00392FDA" w:rsidP="00732707">
            <w:pPr>
              <w:pStyle w:val="Table"/>
              <w:jc w:val="left"/>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890" w:type="dxa"/>
            <w:tcBorders>
              <w:top w:val="single" w:sz="6" w:space="0" w:color="auto"/>
              <w:left w:val="single" w:sz="6" w:space="0" w:color="auto"/>
              <w:bottom w:val="single" w:sz="6" w:space="0" w:color="auto"/>
              <w:right w:val="single" w:sz="6" w:space="0" w:color="auto"/>
            </w:tcBorders>
            <w:hideMark/>
          </w:tcPr>
          <w:p w14:paraId="55058BF7" w14:textId="417C75C6" w:rsidR="00392FDA" w:rsidRPr="00EA4C9B" w:rsidRDefault="00392FDA" w:rsidP="00732707">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Revenue (€ million)</w:t>
            </w:r>
          </w:p>
          <w:p w14:paraId="50D778E4" w14:textId="5EBEFC34" w:rsidR="00392FDA" w:rsidRPr="00EA4C9B" w:rsidRDefault="00392FDA" w:rsidP="00732707">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2009-2023</w:t>
            </w:r>
          </w:p>
        </w:tc>
        <w:tc>
          <w:tcPr>
            <w:tcW w:w="2344" w:type="dxa"/>
            <w:tcBorders>
              <w:top w:val="single" w:sz="6" w:space="0" w:color="auto"/>
              <w:left w:val="single" w:sz="6" w:space="0" w:color="auto"/>
              <w:bottom w:val="single" w:sz="6" w:space="0" w:color="auto"/>
              <w:right w:val="single" w:sz="6" w:space="0" w:color="auto"/>
            </w:tcBorders>
            <w:hideMark/>
          </w:tcPr>
          <w:p w14:paraId="7545ADD3" w14:textId="5FDE3779" w:rsidR="00392FDA" w:rsidRPr="00EA4C9B" w:rsidRDefault="00392FDA" w:rsidP="00732707">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2007" w:type="dxa"/>
            <w:tcBorders>
              <w:top w:val="single" w:sz="6" w:space="0" w:color="auto"/>
              <w:left w:val="single" w:sz="6" w:space="0" w:color="auto"/>
              <w:bottom w:val="single" w:sz="6" w:space="0" w:color="auto"/>
              <w:right w:val="single" w:sz="6" w:space="0" w:color="auto"/>
            </w:tcBorders>
            <w:hideMark/>
          </w:tcPr>
          <w:p w14:paraId="0D2A602E" w14:textId="6B02FBF7" w:rsidR="00392FDA" w:rsidRPr="00EA4C9B" w:rsidRDefault="00392FDA" w:rsidP="00732707">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resource tax revenues</w:t>
            </w:r>
          </w:p>
        </w:tc>
      </w:tr>
      <w:tr w:rsidR="00392FDA" w:rsidRPr="00EA4C9B" w14:paraId="19EABEBC"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1B26813F" w14:textId="77777777" w:rsidR="00392FDA" w:rsidRPr="00EA4C9B" w:rsidRDefault="00392FDA" w:rsidP="00732707">
            <w:pPr>
              <w:pStyle w:val="Table"/>
              <w:jc w:val="left"/>
              <w:rPr>
                <w:rFonts w:ascii="Times New Roman" w:eastAsia="Times New Roman" w:hAnsi="Times New Roman" w:cs="Times New Roman"/>
                <w:szCs w:val="20"/>
                <w:lang w:eastAsia="en-GB"/>
              </w:rPr>
            </w:pPr>
            <w:r w:rsidRPr="00EA4C9B">
              <w:rPr>
                <w:szCs w:val="20"/>
              </w:rPr>
              <w:t>Duty on extraction and import of raw materials</w:t>
            </w:r>
          </w:p>
        </w:tc>
        <w:tc>
          <w:tcPr>
            <w:tcW w:w="1890" w:type="dxa"/>
            <w:tcBorders>
              <w:top w:val="single" w:sz="6" w:space="0" w:color="auto"/>
              <w:left w:val="single" w:sz="6" w:space="0" w:color="auto"/>
              <w:bottom w:val="single" w:sz="6" w:space="0" w:color="auto"/>
              <w:right w:val="single" w:sz="6" w:space="0" w:color="auto"/>
            </w:tcBorders>
            <w:hideMark/>
          </w:tcPr>
          <w:p w14:paraId="2F3914B2" w14:textId="77777777" w:rsidR="00392FDA" w:rsidRPr="00EA4C9B" w:rsidRDefault="00392FDA" w:rsidP="00732707">
            <w:pPr>
              <w:pStyle w:val="Table"/>
              <w:jc w:val="center"/>
              <w:rPr>
                <w:rFonts w:ascii="Times New Roman" w:eastAsia="Times New Roman" w:hAnsi="Times New Roman" w:cs="Times New Roman"/>
                <w:szCs w:val="20"/>
                <w:lang w:eastAsia="en-GB"/>
              </w:rPr>
            </w:pPr>
            <w:r w:rsidRPr="00EA4C9B">
              <w:rPr>
                <w:szCs w:val="20"/>
              </w:rPr>
              <w:t>68.7</w:t>
            </w:r>
          </w:p>
        </w:tc>
        <w:tc>
          <w:tcPr>
            <w:tcW w:w="2344" w:type="dxa"/>
            <w:tcBorders>
              <w:top w:val="single" w:sz="6" w:space="0" w:color="auto"/>
              <w:left w:val="single" w:sz="6" w:space="0" w:color="auto"/>
              <w:bottom w:val="single" w:sz="6" w:space="0" w:color="auto"/>
              <w:right w:val="single" w:sz="6" w:space="0" w:color="auto"/>
            </w:tcBorders>
            <w:hideMark/>
          </w:tcPr>
          <w:p w14:paraId="3BDBBD17" w14:textId="77777777" w:rsidR="00392FDA" w:rsidRPr="00EA4C9B" w:rsidRDefault="00392FDA" w:rsidP="00732707">
            <w:pPr>
              <w:pStyle w:val="Table"/>
              <w:jc w:val="center"/>
              <w:rPr>
                <w:rFonts w:ascii="Times New Roman" w:eastAsia="Times New Roman" w:hAnsi="Times New Roman" w:cs="Times New Roman"/>
                <w:szCs w:val="20"/>
                <w:lang w:eastAsia="en-GB"/>
              </w:rPr>
            </w:pPr>
            <w:r w:rsidRPr="00EA4C9B">
              <w:rPr>
                <w:szCs w:val="20"/>
              </w:rPr>
              <w:t>4.6</w:t>
            </w:r>
          </w:p>
        </w:tc>
        <w:tc>
          <w:tcPr>
            <w:tcW w:w="2007" w:type="dxa"/>
            <w:tcBorders>
              <w:top w:val="single" w:sz="6" w:space="0" w:color="auto"/>
              <w:left w:val="single" w:sz="6" w:space="0" w:color="auto"/>
              <w:bottom w:val="single" w:sz="6" w:space="0" w:color="auto"/>
              <w:right w:val="single" w:sz="6" w:space="0" w:color="auto"/>
            </w:tcBorders>
            <w:hideMark/>
          </w:tcPr>
          <w:p w14:paraId="77F1FFAE" w14:textId="77777777" w:rsidR="00392FDA" w:rsidRPr="00EA4C9B" w:rsidRDefault="00392FDA" w:rsidP="00732707">
            <w:pPr>
              <w:pStyle w:val="Table"/>
              <w:jc w:val="center"/>
              <w:rPr>
                <w:rFonts w:ascii="Times New Roman" w:eastAsia="Times New Roman" w:hAnsi="Times New Roman" w:cs="Times New Roman"/>
                <w:szCs w:val="20"/>
                <w:lang w:eastAsia="en-GB"/>
              </w:rPr>
            </w:pPr>
            <w:r w:rsidRPr="00EA4C9B">
              <w:rPr>
                <w:szCs w:val="20"/>
              </w:rPr>
              <w:t>2.0%</w:t>
            </w:r>
          </w:p>
        </w:tc>
      </w:tr>
      <w:tr w:rsidR="00392FDA" w:rsidRPr="00EA4C9B" w14:paraId="04028FB4"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5DA3E3D3" w14:textId="77777777" w:rsidR="00392FDA" w:rsidRPr="00EA4C9B" w:rsidRDefault="00392FDA" w:rsidP="00732707">
            <w:pPr>
              <w:pStyle w:val="Table"/>
              <w:jc w:val="left"/>
              <w:rPr>
                <w:rFonts w:ascii="Times New Roman" w:eastAsia="Times New Roman" w:hAnsi="Times New Roman" w:cs="Times New Roman"/>
                <w:szCs w:val="20"/>
                <w:lang w:eastAsia="en-GB"/>
              </w:rPr>
            </w:pPr>
            <w:r w:rsidRPr="00EA4C9B">
              <w:rPr>
                <w:szCs w:val="20"/>
              </w:rPr>
              <w:t>Duty on piped water</w:t>
            </w:r>
          </w:p>
        </w:tc>
        <w:tc>
          <w:tcPr>
            <w:tcW w:w="1890" w:type="dxa"/>
            <w:tcBorders>
              <w:top w:val="single" w:sz="6" w:space="0" w:color="auto"/>
              <w:left w:val="single" w:sz="6" w:space="0" w:color="auto"/>
              <w:bottom w:val="single" w:sz="6" w:space="0" w:color="auto"/>
              <w:right w:val="single" w:sz="6" w:space="0" w:color="auto"/>
            </w:tcBorders>
          </w:tcPr>
          <w:p w14:paraId="7367F1F6" w14:textId="77777777" w:rsidR="00392FDA" w:rsidRPr="00EA4C9B" w:rsidRDefault="00392FDA" w:rsidP="00732707">
            <w:pPr>
              <w:pStyle w:val="Table"/>
              <w:jc w:val="center"/>
              <w:rPr>
                <w:rFonts w:ascii="Calibri" w:eastAsia="Times New Roman" w:hAnsi="Calibri" w:cs="Calibri"/>
                <w:szCs w:val="20"/>
                <w:lang w:eastAsia="en-GB"/>
              </w:rPr>
            </w:pPr>
            <w:r w:rsidRPr="00EA4C9B">
              <w:rPr>
                <w:szCs w:val="20"/>
              </w:rPr>
              <w:t>0.0</w:t>
            </w:r>
          </w:p>
        </w:tc>
        <w:tc>
          <w:tcPr>
            <w:tcW w:w="2344" w:type="dxa"/>
            <w:tcBorders>
              <w:top w:val="single" w:sz="6" w:space="0" w:color="auto"/>
              <w:left w:val="single" w:sz="6" w:space="0" w:color="auto"/>
              <w:bottom w:val="single" w:sz="6" w:space="0" w:color="auto"/>
              <w:right w:val="single" w:sz="6" w:space="0" w:color="auto"/>
            </w:tcBorders>
          </w:tcPr>
          <w:p w14:paraId="75BA622D" w14:textId="77777777" w:rsidR="00392FDA" w:rsidRPr="00EA4C9B" w:rsidRDefault="00392FDA" w:rsidP="00732707">
            <w:pPr>
              <w:pStyle w:val="Table"/>
              <w:jc w:val="center"/>
              <w:rPr>
                <w:rFonts w:ascii="Calibri" w:eastAsia="Times New Roman" w:hAnsi="Calibri" w:cs="Calibri"/>
                <w:szCs w:val="20"/>
                <w:lang w:eastAsia="en-GB"/>
              </w:rPr>
            </w:pPr>
            <w:r w:rsidRPr="00EA4C9B">
              <w:rPr>
                <w:szCs w:val="20"/>
              </w:rPr>
              <w:t>0.0</w:t>
            </w:r>
          </w:p>
        </w:tc>
        <w:tc>
          <w:tcPr>
            <w:tcW w:w="2007" w:type="dxa"/>
            <w:tcBorders>
              <w:top w:val="single" w:sz="6" w:space="0" w:color="auto"/>
              <w:left w:val="single" w:sz="6" w:space="0" w:color="auto"/>
              <w:bottom w:val="single" w:sz="6" w:space="0" w:color="auto"/>
              <w:right w:val="single" w:sz="6" w:space="0" w:color="auto"/>
            </w:tcBorders>
          </w:tcPr>
          <w:p w14:paraId="0A554346" w14:textId="77777777" w:rsidR="00392FDA" w:rsidRPr="00EA4C9B" w:rsidRDefault="00392FDA" w:rsidP="00732707">
            <w:pPr>
              <w:pStyle w:val="Table"/>
              <w:jc w:val="center"/>
              <w:rPr>
                <w:rFonts w:ascii="Calibri" w:eastAsia="Times New Roman" w:hAnsi="Calibri" w:cs="Calibri"/>
                <w:szCs w:val="20"/>
                <w:lang w:eastAsia="en-GB"/>
              </w:rPr>
            </w:pPr>
            <w:r w:rsidRPr="00EA4C9B">
              <w:rPr>
                <w:szCs w:val="20"/>
              </w:rPr>
              <w:t>0.0%</w:t>
            </w:r>
          </w:p>
        </w:tc>
      </w:tr>
      <w:tr w:rsidR="00392FDA" w:rsidRPr="00EA4C9B" w14:paraId="0F03BEF3"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714F9380" w14:textId="77777777" w:rsidR="00392FDA" w:rsidRPr="00EA4C9B" w:rsidRDefault="00392FDA" w:rsidP="00732707">
            <w:pPr>
              <w:pStyle w:val="Table"/>
              <w:jc w:val="left"/>
              <w:rPr>
                <w:rFonts w:ascii="Times New Roman" w:eastAsia="Times New Roman" w:hAnsi="Times New Roman" w:cs="Times New Roman"/>
                <w:szCs w:val="20"/>
                <w:lang w:eastAsia="en-GB"/>
              </w:rPr>
            </w:pPr>
            <w:r w:rsidRPr="00EA4C9B">
              <w:rPr>
                <w:szCs w:val="20"/>
              </w:rPr>
              <w:t>Duty on extraction and import of raw materials</w:t>
            </w:r>
          </w:p>
        </w:tc>
        <w:tc>
          <w:tcPr>
            <w:tcW w:w="1890" w:type="dxa"/>
            <w:tcBorders>
              <w:top w:val="single" w:sz="6" w:space="0" w:color="auto"/>
              <w:left w:val="single" w:sz="6" w:space="0" w:color="auto"/>
              <w:bottom w:val="single" w:sz="6" w:space="0" w:color="auto"/>
              <w:right w:val="single" w:sz="6" w:space="0" w:color="auto"/>
            </w:tcBorders>
          </w:tcPr>
          <w:p w14:paraId="14DA8EA9" w14:textId="77777777" w:rsidR="00392FDA" w:rsidRPr="00EA4C9B" w:rsidRDefault="00392FDA" w:rsidP="00732707">
            <w:pPr>
              <w:pStyle w:val="Table"/>
              <w:jc w:val="center"/>
              <w:rPr>
                <w:rFonts w:ascii="Calibri" w:eastAsia="Times New Roman" w:hAnsi="Calibri" w:cs="Calibri"/>
                <w:szCs w:val="20"/>
                <w:lang w:eastAsia="en-GB"/>
              </w:rPr>
            </w:pPr>
            <w:r w:rsidRPr="00EA4C9B">
              <w:rPr>
                <w:szCs w:val="20"/>
              </w:rPr>
              <w:t>239.7</w:t>
            </w:r>
          </w:p>
        </w:tc>
        <w:tc>
          <w:tcPr>
            <w:tcW w:w="2344" w:type="dxa"/>
            <w:tcBorders>
              <w:top w:val="single" w:sz="6" w:space="0" w:color="auto"/>
              <w:left w:val="single" w:sz="6" w:space="0" w:color="auto"/>
              <w:bottom w:val="single" w:sz="6" w:space="0" w:color="auto"/>
              <w:right w:val="single" w:sz="6" w:space="0" w:color="auto"/>
            </w:tcBorders>
          </w:tcPr>
          <w:p w14:paraId="1F9FB84C" w14:textId="77777777" w:rsidR="00392FDA" w:rsidRPr="00EA4C9B" w:rsidRDefault="00392FDA" w:rsidP="00732707">
            <w:pPr>
              <w:pStyle w:val="Table"/>
              <w:jc w:val="center"/>
              <w:rPr>
                <w:rFonts w:ascii="Calibri" w:eastAsia="Times New Roman" w:hAnsi="Calibri" w:cs="Calibri"/>
                <w:szCs w:val="20"/>
                <w:lang w:eastAsia="en-GB"/>
              </w:rPr>
            </w:pPr>
            <w:r w:rsidRPr="00EA4C9B">
              <w:rPr>
                <w:szCs w:val="20"/>
              </w:rPr>
              <w:t>16.0</w:t>
            </w:r>
          </w:p>
        </w:tc>
        <w:tc>
          <w:tcPr>
            <w:tcW w:w="2007" w:type="dxa"/>
            <w:tcBorders>
              <w:top w:val="single" w:sz="6" w:space="0" w:color="auto"/>
              <w:left w:val="single" w:sz="6" w:space="0" w:color="auto"/>
              <w:bottom w:val="single" w:sz="6" w:space="0" w:color="auto"/>
              <w:right w:val="single" w:sz="6" w:space="0" w:color="auto"/>
            </w:tcBorders>
          </w:tcPr>
          <w:p w14:paraId="4D6DF95A" w14:textId="77777777" w:rsidR="00392FDA" w:rsidRPr="00EA4C9B" w:rsidRDefault="00392FDA" w:rsidP="00732707">
            <w:pPr>
              <w:pStyle w:val="Table"/>
              <w:jc w:val="center"/>
              <w:rPr>
                <w:rFonts w:ascii="Calibri" w:eastAsia="Times New Roman" w:hAnsi="Calibri" w:cs="Calibri"/>
                <w:szCs w:val="20"/>
                <w:lang w:eastAsia="en-GB"/>
              </w:rPr>
            </w:pPr>
            <w:r w:rsidRPr="00EA4C9B">
              <w:rPr>
                <w:szCs w:val="20"/>
              </w:rPr>
              <w:t>7.0%</w:t>
            </w:r>
          </w:p>
        </w:tc>
      </w:tr>
      <w:tr w:rsidR="00392FDA" w:rsidRPr="00EA4C9B" w14:paraId="2A5A168E" w14:textId="77777777" w:rsidTr="004F0767">
        <w:trPr>
          <w:trHeight w:val="300"/>
        </w:trPr>
        <w:tc>
          <w:tcPr>
            <w:tcW w:w="2889" w:type="dxa"/>
            <w:tcBorders>
              <w:top w:val="single" w:sz="6" w:space="0" w:color="auto"/>
              <w:left w:val="single" w:sz="6" w:space="0" w:color="auto"/>
              <w:bottom w:val="single" w:sz="6" w:space="0" w:color="auto"/>
              <w:right w:val="single" w:sz="6" w:space="0" w:color="auto"/>
            </w:tcBorders>
          </w:tcPr>
          <w:p w14:paraId="1DC12E2C" w14:textId="77777777" w:rsidR="00392FDA" w:rsidRPr="00EA4C9B" w:rsidRDefault="00392FDA" w:rsidP="00732707">
            <w:pPr>
              <w:pStyle w:val="Table"/>
              <w:jc w:val="left"/>
              <w:rPr>
                <w:rFonts w:ascii="Times New Roman" w:eastAsia="Times New Roman" w:hAnsi="Times New Roman" w:cs="Times New Roman"/>
                <w:szCs w:val="20"/>
                <w:lang w:eastAsia="en-GB"/>
              </w:rPr>
            </w:pPr>
            <w:r w:rsidRPr="00EA4C9B">
              <w:rPr>
                <w:szCs w:val="20"/>
              </w:rPr>
              <w:t>Duty on piped water</w:t>
            </w:r>
          </w:p>
        </w:tc>
        <w:tc>
          <w:tcPr>
            <w:tcW w:w="1890" w:type="dxa"/>
            <w:tcBorders>
              <w:top w:val="single" w:sz="6" w:space="0" w:color="auto"/>
              <w:left w:val="single" w:sz="6" w:space="0" w:color="auto"/>
              <w:bottom w:val="single" w:sz="6" w:space="0" w:color="auto"/>
              <w:right w:val="single" w:sz="6" w:space="0" w:color="auto"/>
            </w:tcBorders>
            <w:hideMark/>
          </w:tcPr>
          <w:p w14:paraId="171502D0" w14:textId="77777777" w:rsidR="00392FDA" w:rsidRPr="00EA4C9B" w:rsidRDefault="00392FDA" w:rsidP="00732707">
            <w:pPr>
              <w:pStyle w:val="Table"/>
              <w:jc w:val="center"/>
              <w:rPr>
                <w:rFonts w:ascii="Times New Roman" w:eastAsia="Times New Roman" w:hAnsi="Times New Roman" w:cs="Times New Roman"/>
                <w:szCs w:val="20"/>
                <w:lang w:eastAsia="en-GB"/>
              </w:rPr>
            </w:pPr>
            <w:r w:rsidRPr="00EA4C9B">
              <w:rPr>
                <w:szCs w:val="20"/>
              </w:rPr>
              <w:t>3102.8</w:t>
            </w:r>
          </w:p>
        </w:tc>
        <w:tc>
          <w:tcPr>
            <w:tcW w:w="2344" w:type="dxa"/>
            <w:tcBorders>
              <w:top w:val="single" w:sz="6" w:space="0" w:color="auto"/>
              <w:left w:val="single" w:sz="6" w:space="0" w:color="auto"/>
              <w:bottom w:val="single" w:sz="6" w:space="0" w:color="auto"/>
              <w:right w:val="single" w:sz="6" w:space="0" w:color="auto"/>
            </w:tcBorders>
            <w:hideMark/>
          </w:tcPr>
          <w:p w14:paraId="1C199B37" w14:textId="77777777" w:rsidR="00392FDA" w:rsidRPr="00EA4C9B" w:rsidRDefault="00392FDA" w:rsidP="00732707">
            <w:pPr>
              <w:pStyle w:val="Table"/>
              <w:jc w:val="center"/>
              <w:rPr>
                <w:rFonts w:ascii="Times New Roman" w:eastAsia="Times New Roman" w:hAnsi="Times New Roman" w:cs="Times New Roman"/>
                <w:szCs w:val="20"/>
                <w:lang w:eastAsia="en-GB"/>
              </w:rPr>
            </w:pPr>
            <w:r w:rsidRPr="00EA4C9B">
              <w:rPr>
                <w:szCs w:val="20"/>
              </w:rPr>
              <w:t>206.9</w:t>
            </w:r>
          </w:p>
        </w:tc>
        <w:tc>
          <w:tcPr>
            <w:tcW w:w="2007" w:type="dxa"/>
            <w:tcBorders>
              <w:top w:val="single" w:sz="6" w:space="0" w:color="auto"/>
              <w:left w:val="single" w:sz="6" w:space="0" w:color="auto"/>
              <w:bottom w:val="single" w:sz="6" w:space="0" w:color="auto"/>
              <w:right w:val="single" w:sz="6" w:space="0" w:color="auto"/>
            </w:tcBorders>
            <w:hideMark/>
          </w:tcPr>
          <w:p w14:paraId="1D64428E" w14:textId="77777777" w:rsidR="00392FDA" w:rsidRPr="00EA4C9B" w:rsidRDefault="00392FDA" w:rsidP="00732707">
            <w:pPr>
              <w:pStyle w:val="Table"/>
              <w:jc w:val="center"/>
              <w:rPr>
                <w:rFonts w:ascii="Times New Roman" w:eastAsia="Times New Roman" w:hAnsi="Times New Roman" w:cs="Times New Roman"/>
                <w:szCs w:val="20"/>
                <w:lang w:eastAsia="en-GB"/>
              </w:rPr>
            </w:pPr>
            <w:r w:rsidRPr="00EA4C9B">
              <w:rPr>
                <w:szCs w:val="20"/>
              </w:rPr>
              <w:t>91.0%</w:t>
            </w:r>
          </w:p>
        </w:tc>
      </w:tr>
    </w:tbl>
    <w:p w14:paraId="3445AB90" w14:textId="4864F2A2" w:rsidR="00392FDA" w:rsidRPr="00EA4C9B" w:rsidRDefault="00392FDA" w:rsidP="00392FDA">
      <w:pPr>
        <w:spacing w:after="0"/>
        <w:textAlignment w:val="baseline"/>
        <w:rPr>
          <w:rFonts w:ascii="Segoe UI" w:eastAsia="Times New Roman" w:hAnsi="Segoe UI" w:cs="Segoe UI"/>
          <w:sz w:val="18"/>
          <w:szCs w:val="18"/>
          <w:lang w:eastAsia="en-GB"/>
        </w:rPr>
      </w:pPr>
      <w:r w:rsidRPr="00EA4C9B">
        <w:rPr>
          <w:rFonts w:ascii="Calibri" w:eastAsia="Times New Roman" w:hAnsi="Calibri" w:cs="Calibri"/>
          <w:lang w:eastAsia="en-GB"/>
        </w:rPr>
        <w:t>  </w:t>
      </w:r>
    </w:p>
    <w:tbl>
      <w:tblPr>
        <w:tblW w:w="91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0"/>
        <w:gridCol w:w="2343"/>
        <w:gridCol w:w="1994"/>
      </w:tblGrid>
      <w:tr w:rsidR="00051732" w:rsidRPr="00EA4C9B" w14:paraId="2E0A67FF" w14:textId="77777777" w:rsidTr="00BA7936">
        <w:trPr>
          <w:trHeight w:val="300"/>
          <w:tblHeader/>
        </w:trPr>
        <w:tc>
          <w:tcPr>
            <w:tcW w:w="9117" w:type="dxa"/>
            <w:gridSpan w:val="3"/>
            <w:tcBorders>
              <w:top w:val="single" w:sz="6" w:space="0" w:color="auto"/>
              <w:left w:val="single" w:sz="6" w:space="0" w:color="auto"/>
              <w:bottom w:val="single" w:sz="6" w:space="0" w:color="auto"/>
              <w:right w:val="single" w:sz="6" w:space="0" w:color="auto"/>
            </w:tcBorders>
            <w:shd w:val="clear" w:color="auto" w:fill="003399"/>
            <w:hideMark/>
          </w:tcPr>
          <w:p w14:paraId="2236DEB4" w14:textId="2F49D7A4" w:rsidR="00051732" w:rsidRPr="003B7C0B" w:rsidRDefault="00051732" w:rsidP="003B7C0B">
            <w:pPr>
              <w:pStyle w:val="Table"/>
              <w:rPr>
                <w:b/>
                <w:color w:val="FFFFFF" w:themeColor="background1"/>
                <w:lang w:eastAsia="en-GB"/>
              </w:rPr>
            </w:pPr>
            <w:r w:rsidRPr="003B7C0B">
              <w:rPr>
                <w:b/>
                <w:color w:val="FFFFFF" w:themeColor="background1"/>
              </w:rPr>
              <w:t xml:space="preserve">Table </w:t>
            </w:r>
            <w:r w:rsidR="00490085">
              <w:rPr>
                <w:b/>
                <w:color w:val="FFFFFF" w:themeColor="background1"/>
              </w:rPr>
              <w:t>A6</w:t>
            </w:r>
            <w:r w:rsidR="003B7C0B" w:rsidRPr="003B7C0B">
              <w:rPr>
                <w:b/>
                <w:bCs/>
                <w:color w:val="FFFFFF" w:themeColor="background1"/>
              </w:rPr>
              <w:t>-</w:t>
            </w:r>
            <w:r w:rsidR="003B7C0B" w:rsidRPr="003B7C0B">
              <w:rPr>
                <w:b/>
                <w:bCs/>
                <w:color w:val="FFFFFF" w:themeColor="background1"/>
              </w:rPr>
              <w:fldChar w:fldCharType="begin"/>
            </w:r>
            <w:r w:rsidR="003B7C0B" w:rsidRPr="003B7C0B">
              <w:rPr>
                <w:b/>
                <w:bCs/>
                <w:color w:val="FFFFFF" w:themeColor="background1"/>
              </w:rPr>
              <w:instrText xml:space="preserve"> SEQ Table_A5- \* ARABIC </w:instrText>
            </w:r>
            <w:r w:rsidR="003B7C0B" w:rsidRPr="003B7C0B">
              <w:rPr>
                <w:b/>
                <w:bCs/>
                <w:color w:val="FFFFFF" w:themeColor="background1"/>
              </w:rPr>
              <w:fldChar w:fldCharType="separate"/>
            </w:r>
            <w:r w:rsidR="00732707">
              <w:rPr>
                <w:b/>
                <w:bCs/>
                <w:noProof/>
                <w:color w:val="FFFFFF" w:themeColor="background1"/>
              </w:rPr>
              <w:t>41</w:t>
            </w:r>
            <w:r w:rsidR="003B7C0B" w:rsidRPr="003B7C0B">
              <w:rPr>
                <w:b/>
                <w:bCs/>
                <w:color w:val="FFFFFF" w:themeColor="background1"/>
              </w:rPr>
              <w:fldChar w:fldCharType="end"/>
            </w:r>
            <w:r w:rsidRPr="003B7C0B">
              <w:rPr>
                <w:b/>
                <w:color w:val="FFFFFF" w:themeColor="background1"/>
                <w:lang w:eastAsia="en-GB"/>
              </w:rPr>
              <w:t>: Other environmental taxes not reported in the National Tax Lists </w:t>
            </w:r>
          </w:p>
        </w:tc>
      </w:tr>
      <w:tr w:rsidR="00392FDA" w:rsidRPr="00EA4C9B" w14:paraId="034F6826" w14:textId="77777777" w:rsidTr="00BA7936">
        <w:trPr>
          <w:trHeight w:val="300"/>
          <w:tblHeader/>
        </w:trPr>
        <w:tc>
          <w:tcPr>
            <w:tcW w:w="4780" w:type="dxa"/>
            <w:tcBorders>
              <w:top w:val="single" w:sz="6" w:space="0" w:color="auto"/>
              <w:left w:val="single" w:sz="6" w:space="0" w:color="auto"/>
              <w:bottom w:val="single" w:sz="6" w:space="0" w:color="auto"/>
              <w:right w:val="single" w:sz="6" w:space="0" w:color="auto"/>
            </w:tcBorders>
            <w:hideMark/>
          </w:tcPr>
          <w:p w14:paraId="60447BD9" w14:textId="0C5EA5DE" w:rsidR="00392FDA" w:rsidRPr="00E03D66" w:rsidRDefault="00392FDA" w:rsidP="003B7C0B">
            <w:pPr>
              <w:pStyle w:val="Table"/>
              <w:rPr>
                <w:rFonts w:ascii="Times New Roman" w:eastAsia="Times New Roman" w:hAnsi="Times New Roman" w:cs="Times New Roman"/>
                <w:b/>
                <w:sz w:val="24"/>
                <w:lang w:eastAsia="en-GB"/>
              </w:rPr>
            </w:pPr>
            <w:r w:rsidRPr="003B7C0B">
              <w:rPr>
                <w:b/>
                <w:lang w:eastAsia="en-GB"/>
              </w:rPr>
              <w:t> </w:t>
            </w:r>
            <w:r w:rsidR="00E03D66" w:rsidRPr="003B7C0B">
              <w:rPr>
                <w:b/>
                <w:lang w:eastAsia="en-GB"/>
              </w:rPr>
              <w:t>Tax name</w:t>
            </w:r>
          </w:p>
        </w:tc>
        <w:tc>
          <w:tcPr>
            <w:tcW w:w="2343" w:type="dxa"/>
            <w:tcBorders>
              <w:top w:val="single" w:sz="6" w:space="0" w:color="auto"/>
              <w:left w:val="single" w:sz="6" w:space="0" w:color="auto"/>
              <w:bottom w:val="single" w:sz="6" w:space="0" w:color="auto"/>
              <w:right w:val="single" w:sz="6" w:space="0" w:color="auto"/>
            </w:tcBorders>
            <w:hideMark/>
          </w:tcPr>
          <w:p w14:paraId="3E502859" w14:textId="6FA91E39" w:rsidR="00392FDA" w:rsidRPr="003B7C0B" w:rsidRDefault="00392FDA" w:rsidP="001A6AFA">
            <w:pPr>
              <w:pStyle w:val="Table"/>
              <w:jc w:val="center"/>
              <w:rPr>
                <w:rFonts w:ascii="Times New Roman" w:hAnsi="Times New Roman" w:cs="Times New Roman"/>
                <w:b/>
                <w:sz w:val="24"/>
                <w:lang w:eastAsia="en-GB"/>
              </w:rPr>
            </w:pPr>
            <w:r w:rsidRPr="003B7C0B">
              <w:rPr>
                <w:b/>
                <w:lang w:eastAsia="en-GB"/>
              </w:rPr>
              <w:t>Annual revenue</w:t>
            </w:r>
          </w:p>
          <w:p w14:paraId="2428A31E" w14:textId="45F972EF" w:rsidR="00392FDA" w:rsidRPr="003B7C0B" w:rsidRDefault="00392FDA" w:rsidP="001A6AFA">
            <w:pPr>
              <w:pStyle w:val="Table"/>
              <w:jc w:val="center"/>
              <w:rPr>
                <w:rFonts w:ascii="Times New Roman" w:hAnsi="Times New Roman" w:cs="Times New Roman"/>
                <w:b/>
                <w:sz w:val="24"/>
                <w:lang w:eastAsia="en-GB"/>
              </w:rPr>
            </w:pPr>
            <w:r w:rsidRPr="003B7C0B">
              <w:rPr>
                <w:b/>
                <w:lang w:eastAsia="en-GB"/>
              </w:rPr>
              <w:t>(€ million) in 2023</w:t>
            </w:r>
          </w:p>
        </w:tc>
        <w:tc>
          <w:tcPr>
            <w:tcW w:w="1994" w:type="dxa"/>
            <w:tcBorders>
              <w:top w:val="single" w:sz="6" w:space="0" w:color="auto"/>
              <w:left w:val="single" w:sz="6" w:space="0" w:color="auto"/>
              <w:bottom w:val="single" w:sz="6" w:space="0" w:color="auto"/>
              <w:right w:val="single" w:sz="6" w:space="0" w:color="auto"/>
            </w:tcBorders>
          </w:tcPr>
          <w:p w14:paraId="460685FF" w14:textId="77777777" w:rsidR="00392FDA" w:rsidRPr="003B7C0B" w:rsidRDefault="00392FDA" w:rsidP="001A6AFA">
            <w:pPr>
              <w:pStyle w:val="Table"/>
              <w:jc w:val="center"/>
              <w:rPr>
                <w:b/>
                <w:lang w:eastAsia="en-GB"/>
              </w:rPr>
            </w:pPr>
            <w:r w:rsidRPr="003B7C0B">
              <w:rPr>
                <w:b/>
                <w:lang w:eastAsia="en-GB"/>
              </w:rPr>
              <w:t>Provisional classification</w:t>
            </w:r>
          </w:p>
        </w:tc>
      </w:tr>
      <w:tr w:rsidR="00392FDA" w:rsidRPr="00EA4C9B" w14:paraId="71F8516F" w14:textId="77777777" w:rsidTr="004F0767">
        <w:trPr>
          <w:trHeight w:val="300"/>
        </w:trPr>
        <w:tc>
          <w:tcPr>
            <w:tcW w:w="4780" w:type="dxa"/>
            <w:tcBorders>
              <w:top w:val="single" w:sz="6" w:space="0" w:color="auto"/>
              <w:left w:val="single" w:sz="6" w:space="0" w:color="auto"/>
              <w:bottom w:val="single" w:sz="6" w:space="0" w:color="auto"/>
              <w:right w:val="single" w:sz="6" w:space="0" w:color="auto"/>
            </w:tcBorders>
            <w:hideMark/>
          </w:tcPr>
          <w:p w14:paraId="185B2B7C" w14:textId="6FAB2655" w:rsidR="00392FDA" w:rsidRPr="00EA4C9B" w:rsidRDefault="00392FDA" w:rsidP="003B7C0B">
            <w:pPr>
              <w:pStyle w:val="Table"/>
              <w:rPr>
                <w:rFonts w:ascii="Times New Roman" w:eastAsia="Times New Roman" w:hAnsi="Times New Roman" w:cs="Times New Roman"/>
                <w:sz w:val="24"/>
                <w:lang w:eastAsia="en-GB"/>
              </w:rPr>
            </w:pPr>
            <w:r w:rsidRPr="00EA4C9B">
              <w:rPr>
                <w:lang w:eastAsia="en-GB"/>
              </w:rPr>
              <w:t>Hydrocarbons</w:t>
            </w:r>
          </w:p>
        </w:tc>
        <w:tc>
          <w:tcPr>
            <w:tcW w:w="2343" w:type="dxa"/>
            <w:tcBorders>
              <w:top w:val="single" w:sz="6" w:space="0" w:color="auto"/>
              <w:left w:val="single" w:sz="6" w:space="0" w:color="auto"/>
              <w:bottom w:val="single" w:sz="6" w:space="0" w:color="auto"/>
              <w:right w:val="single" w:sz="6" w:space="0" w:color="auto"/>
            </w:tcBorders>
            <w:hideMark/>
          </w:tcPr>
          <w:p w14:paraId="7C9FF7EE" w14:textId="0DBB08D4" w:rsidR="00392FDA" w:rsidRPr="00EA4C9B" w:rsidRDefault="00392FDA" w:rsidP="001A6AFA">
            <w:pPr>
              <w:pStyle w:val="Table"/>
              <w:jc w:val="center"/>
              <w:rPr>
                <w:rFonts w:ascii="Times New Roman" w:eastAsia="Times New Roman" w:hAnsi="Times New Roman" w:cs="Times New Roman"/>
                <w:sz w:val="24"/>
                <w:lang w:eastAsia="en-GB"/>
              </w:rPr>
            </w:pPr>
            <w:r w:rsidRPr="00EA4C9B">
              <w:rPr>
                <w:lang w:eastAsia="en-GB"/>
              </w:rPr>
              <w:t>104.0179 million EUR (2020)</w:t>
            </w:r>
          </w:p>
        </w:tc>
        <w:tc>
          <w:tcPr>
            <w:tcW w:w="1994" w:type="dxa"/>
            <w:tcBorders>
              <w:top w:val="single" w:sz="6" w:space="0" w:color="auto"/>
              <w:left w:val="single" w:sz="6" w:space="0" w:color="auto"/>
              <w:bottom w:val="single" w:sz="6" w:space="0" w:color="auto"/>
              <w:right w:val="single" w:sz="6" w:space="0" w:color="auto"/>
            </w:tcBorders>
          </w:tcPr>
          <w:p w14:paraId="1FF76C09" w14:textId="77777777" w:rsidR="00392FDA" w:rsidRPr="00EA4C9B" w:rsidRDefault="00392FDA" w:rsidP="001A6AFA">
            <w:pPr>
              <w:pStyle w:val="Table"/>
              <w:jc w:val="center"/>
              <w:rPr>
                <w:lang w:eastAsia="en-GB"/>
              </w:rPr>
            </w:pPr>
            <w:r w:rsidRPr="00EA4C9B">
              <w:rPr>
                <w:lang w:eastAsia="en-GB"/>
              </w:rPr>
              <w:t>Resource tax</w:t>
            </w:r>
          </w:p>
        </w:tc>
      </w:tr>
      <w:tr w:rsidR="00392FDA" w:rsidRPr="00EA4C9B" w14:paraId="718E226F" w14:textId="77777777" w:rsidTr="004F0767">
        <w:trPr>
          <w:trHeight w:val="300"/>
        </w:trPr>
        <w:tc>
          <w:tcPr>
            <w:tcW w:w="4780" w:type="dxa"/>
            <w:tcBorders>
              <w:top w:val="single" w:sz="6" w:space="0" w:color="auto"/>
              <w:left w:val="single" w:sz="6" w:space="0" w:color="auto"/>
              <w:bottom w:val="single" w:sz="6" w:space="0" w:color="auto"/>
              <w:right w:val="single" w:sz="6" w:space="0" w:color="auto"/>
            </w:tcBorders>
            <w:hideMark/>
          </w:tcPr>
          <w:p w14:paraId="5E590A0E" w14:textId="13EA88B0" w:rsidR="00392FDA" w:rsidRPr="00EA4C9B" w:rsidRDefault="00392FDA" w:rsidP="003B7C0B">
            <w:pPr>
              <w:pStyle w:val="Table"/>
              <w:rPr>
                <w:rFonts w:ascii="Times New Roman" w:eastAsia="Times New Roman" w:hAnsi="Times New Roman" w:cs="Times New Roman"/>
                <w:sz w:val="24"/>
                <w:lang w:eastAsia="en-GB"/>
              </w:rPr>
            </w:pPr>
            <w:r w:rsidRPr="00EA4C9B">
              <w:rPr>
                <w:lang w:eastAsia="en-GB"/>
              </w:rPr>
              <w:t>Carbon Dioxide tax on certain energy products</w:t>
            </w:r>
          </w:p>
        </w:tc>
        <w:tc>
          <w:tcPr>
            <w:tcW w:w="2343" w:type="dxa"/>
            <w:tcBorders>
              <w:top w:val="single" w:sz="6" w:space="0" w:color="auto"/>
              <w:left w:val="single" w:sz="6" w:space="0" w:color="auto"/>
              <w:bottom w:val="single" w:sz="6" w:space="0" w:color="auto"/>
              <w:right w:val="single" w:sz="6" w:space="0" w:color="auto"/>
            </w:tcBorders>
            <w:hideMark/>
          </w:tcPr>
          <w:p w14:paraId="18E3A929" w14:textId="5B4E63DD" w:rsidR="00392FDA" w:rsidRPr="00EA4C9B" w:rsidRDefault="00392FDA" w:rsidP="001A6AFA">
            <w:pPr>
              <w:pStyle w:val="Table"/>
              <w:jc w:val="center"/>
              <w:rPr>
                <w:rFonts w:ascii="Times New Roman" w:eastAsia="Times New Roman" w:hAnsi="Times New Roman" w:cs="Times New Roman"/>
                <w:sz w:val="24"/>
                <w:lang w:eastAsia="en-GB"/>
              </w:rPr>
            </w:pPr>
            <w:r w:rsidRPr="00EA4C9B">
              <w:rPr>
                <w:lang w:eastAsia="en-GB"/>
              </w:rPr>
              <w:t>455.3874 million EUR (2022)</w:t>
            </w:r>
          </w:p>
        </w:tc>
        <w:tc>
          <w:tcPr>
            <w:tcW w:w="1994" w:type="dxa"/>
            <w:tcBorders>
              <w:top w:val="single" w:sz="6" w:space="0" w:color="auto"/>
              <w:left w:val="single" w:sz="6" w:space="0" w:color="auto"/>
              <w:bottom w:val="single" w:sz="6" w:space="0" w:color="auto"/>
              <w:right w:val="single" w:sz="6" w:space="0" w:color="auto"/>
            </w:tcBorders>
          </w:tcPr>
          <w:p w14:paraId="70DD36D9" w14:textId="77777777" w:rsidR="00392FDA" w:rsidRPr="00EA4C9B" w:rsidRDefault="00392FDA" w:rsidP="001A6AFA">
            <w:pPr>
              <w:pStyle w:val="Table"/>
              <w:jc w:val="center"/>
              <w:rPr>
                <w:lang w:eastAsia="en-GB"/>
              </w:rPr>
            </w:pPr>
            <w:r w:rsidRPr="00EA4C9B">
              <w:rPr>
                <w:lang w:eastAsia="en-GB"/>
              </w:rPr>
              <w:t>Pollution tax</w:t>
            </w:r>
          </w:p>
        </w:tc>
      </w:tr>
      <w:tr w:rsidR="00392FDA" w:rsidRPr="00EA4C9B" w14:paraId="2DCC7A8D" w14:textId="77777777" w:rsidTr="004F0767">
        <w:trPr>
          <w:trHeight w:val="300"/>
        </w:trPr>
        <w:tc>
          <w:tcPr>
            <w:tcW w:w="4780" w:type="dxa"/>
            <w:tcBorders>
              <w:top w:val="single" w:sz="6" w:space="0" w:color="auto"/>
              <w:left w:val="single" w:sz="6" w:space="0" w:color="auto"/>
              <w:bottom w:val="single" w:sz="6" w:space="0" w:color="auto"/>
              <w:right w:val="single" w:sz="6" w:space="0" w:color="auto"/>
            </w:tcBorders>
            <w:hideMark/>
          </w:tcPr>
          <w:p w14:paraId="74CBE30C" w14:textId="77777777" w:rsidR="00392FDA" w:rsidRPr="00B930A8" w:rsidRDefault="00392FDA" w:rsidP="003B7C0B">
            <w:pPr>
              <w:pStyle w:val="Table"/>
              <w:rPr>
                <w:rFonts w:cstheme="minorHAnsi"/>
                <w:lang w:eastAsia="en-GB"/>
              </w:rPr>
            </w:pPr>
            <w:r w:rsidRPr="00B930A8">
              <w:rPr>
                <w:rFonts w:cstheme="minorHAnsi"/>
              </w:rPr>
              <w:t>Tyres (Executive order on fees and subsidies for tyre recycling)</w:t>
            </w:r>
          </w:p>
        </w:tc>
        <w:tc>
          <w:tcPr>
            <w:tcW w:w="2343" w:type="dxa"/>
            <w:tcBorders>
              <w:top w:val="single" w:sz="6" w:space="0" w:color="auto"/>
              <w:left w:val="single" w:sz="6" w:space="0" w:color="auto"/>
              <w:bottom w:val="single" w:sz="6" w:space="0" w:color="auto"/>
              <w:right w:val="single" w:sz="6" w:space="0" w:color="auto"/>
            </w:tcBorders>
            <w:hideMark/>
          </w:tcPr>
          <w:p w14:paraId="4CD244C3" w14:textId="77777777" w:rsidR="00392FDA" w:rsidRPr="00EA4C9B" w:rsidRDefault="00392FDA" w:rsidP="001A6AFA">
            <w:pPr>
              <w:pStyle w:val="Table"/>
              <w:jc w:val="center"/>
              <w:rPr>
                <w:rFonts w:eastAsiaTheme="minorEastAsia"/>
                <w:lang w:eastAsia="en-GB"/>
              </w:rPr>
            </w:pPr>
          </w:p>
          <w:p w14:paraId="39A4BAFE" w14:textId="77777777" w:rsidR="00392FDA" w:rsidRPr="00EA4C9B" w:rsidRDefault="00392FDA" w:rsidP="001A6AFA">
            <w:pPr>
              <w:pStyle w:val="Table"/>
              <w:jc w:val="center"/>
              <w:rPr>
                <w:rFonts w:eastAsiaTheme="minorEastAsia"/>
                <w:lang w:eastAsia="en-GB"/>
              </w:rPr>
            </w:pPr>
          </w:p>
        </w:tc>
        <w:tc>
          <w:tcPr>
            <w:tcW w:w="1994" w:type="dxa"/>
            <w:tcBorders>
              <w:top w:val="single" w:sz="6" w:space="0" w:color="auto"/>
              <w:left w:val="single" w:sz="6" w:space="0" w:color="auto"/>
              <w:bottom w:val="single" w:sz="6" w:space="0" w:color="auto"/>
              <w:right w:val="single" w:sz="6" w:space="0" w:color="auto"/>
            </w:tcBorders>
          </w:tcPr>
          <w:p w14:paraId="7FA6670E" w14:textId="77777777" w:rsidR="00392FDA" w:rsidRPr="00EA4C9B" w:rsidRDefault="00392FDA" w:rsidP="001A6AFA">
            <w:pPr>
              <w:pStyle w:val="Table"/>
              <w:jc w:val="center"/>
              <w:rPr>
                <w:rFonts w:eastAsiaTheme="minorEastAsia"/>
                <w:lang w:eastAsia="en-GB"/>
              </w:rPr>
            </w:pPr>
            <w:r w:rsidRPr="00EA4C9B">
              <w:rPr>
                <w:rFonts w:eastAsiaTheme="minorEastAsia"/>
                <w:lang w:eastAsia="en-GB"/>
              </w:rPr>
              <w:t>Pollution tax</w:t>
            </w:r>
          </w:p>
        </w:tc>
      </w:tr>
    </w:tbl>
    <w:p w14:paraId="44D09D7F" w14:textId="77777777" w:rsidR="00051732" w:rsidRDefault="00051732" w:rsidP="00392FDA">
      <w:pPr>
        <w:rPr>
          <w:b/>
          <w:bCs/>
        </w:rPr>
      </w:pPr>
    </w:p>
    <w:p w14:paraId="45095094" w14:textId="3D0BC9E4" w:rsidR="00392FDA" w:rsidRPr="00EA4C9B" w:rsidRDefault="00392FDA" w:rsidP="00732707">
      <w:pPr>
        <w:pStyle w:val="Heading4"/>
      </w:pPr>
      <w:r w:rsidRPr="00EA4C9B">
        <w:t>Pollution Taxes</w:t>
      </w:r>
    </w:p>
    <w:p w14:paraId="6BDA82EA" w14:textId="7F649A68" w:rsidR="00392FDA" w:rsidRPr="00EA4C9B" w:rsidRDefault="00392FDA" w:rsidP="00392FDA">
      <w:r w:rsidRPr="00EA4C9B">
        <w:t xml:space="preserve">Pollution taxes in Denmark are generally administered by the central Ministry of Taxation and are collected throughout all of mainland Denmark. Greenland and the Faroe Islands, as the two overseas territories of </w:t>
      </w:r>
      <w:r w:rsidR="00E03D66" w:rsidRPr="00EA4C9B">
        <w:t>Denmark,</w:t>
      </w:r>
      <w:r w:rsidRPr="00EA4C9B">
        <w:t xml:space="preserve"> are exempt from central taxes. The scope of exemptions and reliefs available for Danish citizens and businesses varies depending on the tax; there are several exemptions for the sulphur tax available, and businesses registered for VAT can obtain a reimbursement of the duty on effluent discharge under certain conditions. However, for most pollution excise duties the only </w:t>
      </w:r>
      <w:r w:rsidRPr="00EA4C9B">
        <w:lastRenderedPageBreak/>
        <w:t xml:space="preserve">exemption is for diplomatic services and organisations, who are exempt from multiple pollution taxes, such as the sulphur tax, the duty on PVCs and phthalates, and the duty on pesticides. Almost all pollution taxes are collected monthly, with the biggest outlier being the tax on portable batteries and lead accumulators which is collected annually. As can be seen in the table above, pollution taxes are levied heavily on businesses, and specific manufactures and importers. Denmark also levies a significantly higher number of pollution taxes than it does waste or resource taxes and are grouped in subcategories below. </w:t>
      </w:r>
    </w:p>
    <w:p w14:paraId="38DD2C31" w14:textId="77777777" w:rsidR="00392FDA" w:rsidRPr="00EA4C9B" w:rsidRDefault="00392FDA" w:rsidP="00B930A8">
      <w:pPr>
        <w:pStyle w:val="Heading5"/>
      </w:pPr>
      <w:r w:rsidRPr="00EA4C9B">
        <w:t>Taxes on polluting products</w:t>
      </w:r>
    </w:p>
    <w:p w14:paraId="17F51DE8" w14:textId="77777777" w:rsidR="00392FDA" w:rsidRPr="00EA4C9B" w:rsidRDefault="00392FDA" w:rsidP="00392FDA">
      <w:r w:rsidRPr="00EA4C9B">
        <w:t xml:space="preserve">The </w:t>
      </w:r>
      <w:r w:rsidRPr="00EA4C9B">
        <w:rPr>
          <w:b/>
          <w:bCs/>
        </w:rPr>
        <w:t xml:space="preserve">duty on electric bulbs and fuses </w:t>
      </w:r>
      <w:r w:rsidRPr="00EA4C9B">
        <w:t>is considered a consumption tax in Denmark but is classified as a pollution tax by sources such as Eurostat.</w:t>
      </w:r>
      <w:r w:rsidRPr="00EA4C9B">
        <w:rPr>
          <w:rStyle w:val="FootnoteReference"/>
        </w:rPr>
        <w:footnoteReference w:id="266"/>
      </w:r>
      <w:r w:rsidRPr="00EA4C9B">
        <w:t xml:space="preserve"> The tax is levied on consumers of certain electrical products, including electric incandescent lamps, vapor lamps, including fluorescent lamps, as well as neon tubes and similar fluorescent tubes. Fuses for high-voltage installations are exempt from the tax.</w:t>
      </w:r>
    </w:p>
    <w:p w14:paraId="31891969" w14:textId="77777777" w:rsidR="00392FDA" w:rsidRPr="00EA4C9B" w:rsidRDefault="00392FDA" w:rsidP="00392FDA">
      <w:r w:rsidRPr="00EA4C9B">
        <w:t xml:space="preserve">The </w:t>
      </w:r>
      <w:r w:rsidRPr="00EA4C9B">
        <w:rPr>
          <w:b/>
          <w:bCs/>
        </w:rPr>
        <w:t xml:space="preserve">duty on PVC (polyvinyl chloride) and phthalates </w:t>
      </w:r>
      <w:r w:rsidRPr="00EA4C9B">
        <w:t>was introduced in 2000 and levied on businesses, based on the weight of PVC good supplied on the market. The PVC tax was abolished in 2019 after a political agreement on easing the administrative burden on companies,</w:t>
      </w:r>
      <w:r w:rsidRPr="00EA4C9B">
        <w:rPr>
          <w:rStyle w:val="FootnoteReference"/>
        </w:rPr>
        <w:footnoteReference w:id="267"/>
      </w:r>
      <w:r w:rsidRPr="00EA4C9B">
        <w:t xml:space="preserve"> but was reinstated in 2021 according to the Taxes in Europe database</w:t>
      </w:r>
      <w:r w:rsidRPr="00EA4C9B">
        <w:rPr>
          <w:rStyle w:val="FootnoteReference"/>
        </w:rPr>
        <w:footnoteReference w:id="268"/>
      </w:r>
      <w:r w:rsidRPr="00EA4C9B">
        <w:t xml:space="preserve">. Goods that contain softeners other than phthalates are taxed roughly half as much as goods which contain soft PVC and phthalates. </w:t>
      </w:r>
    </w:p>
    <w:p w14:paraId="73A09999" w14:textId="77777777" w:rsidR="00392FDA" w:rsidRPr="00EA4C9B" w:rsidRDefault="00392FDA" w:rsidP="00392FDA">
      <w:r w:rsidRPr="00EA4C9B">
        <w:t xml:space="preserve">The </w:t>
      </w:r>
      <w:r w:rsidRPr="00EA4C9B">
        <w:rPr>
          <w:b/>
          <w:bCs/>
        </w:rPr>
        <w:t xml:space="preserve">duty on sealed nickel-cadmium (NiCad) batteries </w:t>
      </w:r>
      <w:r w:rsidRPr="00EA4C9B">
        <w:t xml:space="preserve">came into effect in 1993, and is levied based on the weight of batteries placed on the market by manufacturers and importers. Manufacturers are required to register with the tax and customs service. Importers can register with the tax and customs service. Registered businesses can receive goods liable to duty from other registered businesses and abroad without paying the excise duty. However, the tax base has now largely been eliminated. </w:t>
      </w:r>
    </w:p>
    <w:p w14:paraId="73317538" w14:textId="77777777" w:rsidR="00392FDA" w:rsidRPr="00EA4C9B" w:rsidRDefault="00392FDA" w:rsidP="00392FDA">
      <w:r w:rsidRPr="00EA4C9B">
        <w:t xml:space="preserve">The </w:t>
      </w:r>
      <w:r w:rsidRPr="00EA4C9B">
        <w:rPr>
          <w:b/>
          <w:bCs/>
        </w:rPr>
        <w:t xml:space="preserve">duty on portable lead batteries and accumulators </w:t>
      </w:r>
      <w:r w:rsidRPr="00EA4C9B">
        <w:t>is levied on the quantity of portable batteries and accumulators that the manufacturer or importer has placed on the market in the previous calendar year. If portable batteries and accumulators are reprocessed into industrial batteries and accumulators, these can be deducted from the tax base. However, once source reports that the tax base for this tax has effectively been eliminated,</w:t>
      </w:r>
      <w:r w:rsidRPr="00EA4C9B">
        <w:rPr>
          <w:rStyle w:val="FootnoteReference"/>
        </w:rPr>
        <w:footnoteReference w:id="269"/>
      </w:r>
      <w:r w:rsidRPr="00EA4C9B">
        <w:t xml:space="preserve"> and there is no recorded annual revenue from this tax since 2009. </w:t>
      </w:r>
    </w:p>
    <w:p w14:paraId="4B6AE219" w14:textId="77777777" w:rsidR="00392FDA" w:rsidRPr="00EA4C9B" w:rsidRDefault="00392FDA" w:rsidP="00B930A8">
      <w:pPr>
        <w:pStyle w:val="Heading5"/>
      </w:pPr>
      <w:r w:rsidRPr="00EA4C9B">
        <w:t xml:space="preserve">Taxes on NOx, SOx, and other pollutant emissions. </w:t>
      </w:r>
    </w:p>
    <w:p w14:paraId="5E70C38E" w14:textId="77777777" w:rsidR="00392FDA" w:rsidRPr="00EA4C9B" w:rsidRDefault="00392FDA" w:rsidP="00392FDA">
      <w:r w:rsidRPr="00EA4C9B">
        <w:t xml:space="preserve">The </w:t>
      </w:r>
      <w:r w:rsidRPr="00EA4C9B">
        <w:rPr>
          <w:b/>
          <w:bCs/>
        </w:rPr>
        <w:t xml:space="preserve">duty on sulphur </w:t>
      </w:r>
      <w:r w:rsidRPr="00EA4C9B">
        <w:t xml:space="preserve">was introduced in 1995 based on the sulphur content in energy products, including oil-based fuels in addition to wood, straw, waste etc. used for energy purposes in plants with a capacity of 1,000 kW and more. Sulphur tax is only payable on fuels and propellants with a sulphur content exceeding 0.05%. This means that, in practice, petrol, light diesel fuel, low-sulphur diesel fuel and sulphur-free diesel fuel are exempt from the sulphur tax. Instead of paying tax on the sulphur content in energy products, businesses can choose to pay an excise duty on sulphur dioxide emissions. In addition, there are domestic exemptions for jet fuel delivered to aircraft, goods delivered to fishing vessels, petrol for technical use other than motor fuel, and goods for the manufacture of equivalent </w:t>
      </w:r>
      <w:r w:rsidRPr="00EA4C9B">
        <w:lastRenderedPageBreak/>
        <w:t>goods. This tax had a positive impact, as by 2013 Denmark reported the lowest level of sulphur dioxide emissions per capita of all OECD countries.</w:t>
      </w:r>
      <w:r w:rsidRPr="00EA4C9B">
        <w:rPr>
          <w:rStyle w:val="FootnoteReference"/>
        </w:rPr>
        <w:footnoteReference w:id="270"/>
      </w:r>
      <w:r w:rsidRPr="00EA4C9B">
        <w:t xml:space="preserve"> </w:t>
      </w:r>
    </w:p>
    <w:p w14:paraId="270AFCB3" w14:textId="77777777" w:rsidR="00392FDA" w:rsidRPr="00EA4C9B" w:rsidRDefault="00392FDA" w:rsidP="00392FDA">
      <w:r w:rsidRPr="00EA4C9B">
        <w:t xml:space="preserve">The </w:t>
      </w:r>
      <w:r w:rsidRPr="00EA4C9B">
        <w:rPr>
          <w:b/>
          <w:bCs/>
        </w:rPr>
        <w:t xml:space="preserve">duty on CFCs, HFCs, PFCs, and SF6s (halons) </w:t>
      </w:r>
      <w:r w:rsidRPr="00EA4C9B">
        <w:t xml:space="preserve">came into force in 1988, aiming to reduce the use of substances that deplete the ozone layer. The tax is levied on producers and importers of these substances but can be refunded when these substances are embedded in products that are exported. The tax rate is set by the Danish Environmental Protection Agency and varies significantly depending on the type of chemical. </w:t>
      </w:r>
    </w:p>
    <w:p w14:paraId="6B8D17E5" w14:textId="77777777" w:rsidR="00392FDA" w:rsidRPr="00EA4C9B" w:rsidRDefault="00392FDA" w:rsidP="00392FDA">
      <w:r w:rsidRPr="00EA4C9B">
        <w:t xml:space="preserve">The </w:t>
      </w:r>
      <w:r w:rsidRPr="00EA4C9B">
        <w:rPr>
          <w:b/>
          <w:bCs/>
        </w:rPr>
        <w:t xml:space="preserve">duty on chlorinated solvents </w:t>
      </w:r>
      <w:r w:rsidRPr="00EA4C9B">
        <w:t>was introduced in 1996. Companies must calculate and pay the tax on delivery of the goods or on importation into the country. The tax base also includes the supply of recovered taxable solvents, and cover tax must also be paid on taxable chlorinated solvents when the solvent is included in an otherwise tax-free product with a concentration of more than 1 per cent by weight. However, the tax base for this has virtually been eliminated,</w:t>
      </w:r>
      <w:r w:rsidRPr="00EA4C9B">
        <w:rPr>
          <w:rStyle w:val="FootnoteReference"/>
        </w:rPr>
        <w:footnoteReference w:id="271"/>
      </w:r>
      <w:r w:rsidRPr="00EA4C9B">
        <w:t xml:space="preserve"> and the national tax list reports a revenue value considered as zero. </w:t>
      </w:r>
    </w:p>
    <w:p w14:paraId="1EDAA73A" w14:textId="77777777" w:rsidR="00392FDA" w:rsidRPr="00EA4C9B" w:rsidRDefault="00392FDA" w:rsidP="00392FDA">
      <w:r w:rsidRPr="00EA4C9B">
        <w:t xml:space="preserve">The </w:t>
      </w:r>
      <w:r w:rsidRPr="00EA4C9B">
        <w:rPr>
          <w:b/>
          <w:bCs/>
        </w:rPr>
        <w:t xml:space="preserve">duty on nitrogen oxides (NOx) </w:t>
      </w:r>
      <w:r w:rsidRPr="00EA4C9B">
        <w:t>was introduced in 2010, levied based on the quantity of NOx emissions. The tax applies to fossil fuels as well as to certain biofuels, including straw, wood pellets and waste. Initially, this tax was only levied on emissions from fuels with airborne emissions, but it was expanded in 2012 and 2019 to cover NOx from power plants and industry, road fuels, and vehicles without particle filters. The tax is also levied on emissions of NOx from some incineration plants. The tax rate has changed over time, as the 2010 tax was introduced at DKK 5/kg in 2010, raised to DKK 25/kg in 2012, and then reduced back to DKK 5/kg in 2015</w:t>
      </w:r>
      <w:r w:rsidRPr="00EA4C9B">
        <w:rPr>
          <w:rStyle w:val="FootnoteReference"/>
        </w:rPr>
        <w:footnoteReference w:id="272"/>
      </w:r>
      <w:r w:rsidRPr="00EA4C9B">
        <w:t xml:space="preserve">. </w:t>
      </w:r>
    </w:p>
    <w:p w14:paraId="454E1949" w14:textId="77777777" w:rsidR="00392FDA" w:rsidRPr="00EA4C9B" w:rsidRDefault="00392FDA" w:rsidP="00B930A8">
      <w:pPr>
        <w:pStyle w:val="Heading5"/>
      </w:pPr>
      <w:r w:rsidRPr="00EA4C9B">
        <w:t>Taxes on agricultural activities</w:t>
      </w:r>
    </w:p>
    <w:p w14:paraId="602CEEB8" w14:textId="77777777" w:rsidR="00392FDA" w:rsidRPr="00EA4C9B" w:rsidRDefault="00392FDA" w:rsidP="00392FDA">
      <w:r w:rsidRPr="00EA4C9B">
        <w:t xml:space="preserve">The </w:t>
      </w:r>
      <w:r w:rsidRPr="00EA4C9B">
        <w:rPr>
          <w:b/>
          <w:bCs/>
        </w:rPr>
        <w:t xml:space="preserve">duty on pesticides </w:t>
      </w:r>
      <w:r w:rsidRPr="00EA4C9B">
        <w:t>was introduced in 1995 and is levied on businesses. The total tax is a combination of a health duty, an environmental impact duty, an environmental behaviour duty and a basic duty. Initially, an ad valorem tax was paid on chemical biocides divided into seven categories based on their end use. In 2013, the tax base changed from an ad valorem tax to one based on a score related to the toxicity of individual products. Denmark is one of the few countries to tax pesticides, and the tax was introduced as part of a broader strategy to reduce pesticide use in the country. Following the 2013 reform, pesticide sales dropped significantly (although this was partly due to stockpiling) and the health, ecotoxicological and environmental risks posed by pesticide sales were by 40% from 2011 to 2016.</w:t>
      </w:r>
      <w:r w:rsidRPr="00EA4C9B">
        <w:rPr>
          <w:rStyle w:val="FootnoteReference"/>
        </w:rPr>
        <w:footnoteReference w:id="273"/>
      </w:r>
    </w:p>
    <w:p w14:paraId="36CEE395" w14:textId="77777777" w:rsidR="00392FDA" w:rsidRPr="00EA4C9B" w:rsidRDefault="00392FDA" w:rsidP="00392FDA">
      <w:r w:rsidRPr="00EA4C9B">
        <w:t xml:space="preserve">The </w:t>
      </w:r>
      <w:r w:rsidRPr="00EA4C9B">
        <w:rPr>
          <w:b/>
          <w:bCs/>
        </w:rPr>
        <w:t xml:space="preserve">duty on nitrogen </w:t>
      </w:r>
      <w:r w:rsidRPr="00EA4C9B">
        <w:t xml:space="preserve">was introduced in 1998, and is levied on manufacturers and importers, aiming to reduce nitrogen pollution in water bodies and ecosystems. The tax applies to ammonia, potassium nitrate and calcium nitrate, ammonium chloride, manures and fertilizers, nitrate in manure which is pulverized, granulated or otherwise processed and which is determined for sale in packages of 50 kg or less all fall under this tax. A tax is only paid when the nitrogen content in the manure exceeds 2 per cent of the total weight. Farmers are exempt from this tax, as they are subject to other legislation that requires them to track their overall fertiliser use. </w:t>
      </w:r>
    </w:p>
    <w:p w14:paraId="39FDA3B2" w14:textId="77777777" w:rsidR="00392FDA" w:rsidRPr="00EA4C9B" w:rsidRDefault="00392FDA" w:rsidP="00392FDA">
      <w:r w:rsidRPr="00EA4C9B">
        <w:t xml:space="preserve">The </w:t>
      </w:r>
      <w:r w:rsidRPr="00EA4C9B">
        <w:rPr>
          <w:b/>
          <w:bCs/>
        </w:rPr>
        <w:t xml:space="preserve">duty on mineral phosphorous </w:t>
      </w:r>
      <w:r w:rsidRPr="00EA4C9B">
        <w:t xml:space="preserve">was introduced in 2005, and is levied on the weight of mineral phosphorous in animal feed. The tax targets commercial animal feed phosphate and aims to reduce </w:t>
      </w:r>
      <w:r w:rsidRPr="00EA4C9B">
        <w:lastRenderedPageBreak/>
        <w:t>the saturation of soils with phosphorus, and encourage a switch to phytase in animal feed. It is applied at point of sale and administered in line with VAT. Following implementation of the tax, mineral phosphate use in animal feed fell by about 15%, and phytase use increased.</w:t>
      </w:r>
      <w:r w:rsidRPr="00EA4C9B">
        <w:rPr>
          <w:rStyle w:val="FootnoteReference"/>
        </w:rPr>
        <w:footnoteReference w:id="274"/>
      </w:r>
    </w:p>
    <w:p w14:paraId="3B212374" w14:textId="7ABD8C00" w:rsidR="00392FDA" w:rsidRPr="00EA4C9B" w:rsidRDefault="00392FDA" w:rsidP="00392FDA">
      <w:r w:rsidRPr="00EA4C9B">
        <w:t xml:space="preserve">The </w:t>
      </w:r>
      <w:r w:rsidRPr="00EA4C9B">
        <w:rPr>
          <w:b/>
          <w:bCs/>
        </w:rPr>
        <w:t xml:space="preserve">duty on special growth stimulants </w:t>
      </w:r>
      <w:r w:rsidRPr="00EA4C9B">
        <w:t xml:space="preserve">was levied on companies using antibiotics and growth promoters as additives to animal feed. The tax was then calculated on the basis of the corresponding antibiotic or growth promoter. However, the tax was no longer payable after 2019. </w:t>
      </w:r>
    </w:p>
    <w:p w14:paraId="0159E100" w14:textId="77777777" w:rsidR="00392FDA" w:rsidRPr="00EA4C9B" w:rsidRDefault="00392FDA" w:rsidP="00B930A8">
      <w:pPr>
        <w:pStyle w:val="Heading5"/>
      </w:pPr>
      <w:r w:rsidRPr="00EA4C9B">
        <w:t>Taxes on waste water</w:t>
      </w:r>
    </w:p>
    <w:p w14:paraId="1C195D31" w14:textId="6EEE22EB" w:rsidR="00392FDA" w:rsidRDefault="00392FDA" w:rsidP="00392FDA">
      <w:r w:rsidRPr="00EA4C9B">
        <w:t xml:space="preserve">The </w:t>
      </w:r>
      <w:r w:rsidRPr="00EA4C9B">
        <w:rPr>
          <w:b/>
          <w:bCs/>
        </w:rPr>
        <w:t xml:space="preserve">duty on waste water </w:t>
      </w:r>
      <w:r w:rsidRPr="00EA4C9B">
        <w:t>was introduced in 1997 and is levied on discharged wastewater effluent. The tax is designed to take account of the quantities of polluting substances in the discharged sewage: nitrogen; phosphorus; and organic substances. Prior to entry into force of the tax, there was no payment associated with the environmental pressure which discharged treated sewage imposed on fresh and marine waters. Liable entities include sewage treatment plants, industrial dischargers with their own discharge permit, and units located in sparsely built-up areas which are not connected to sewer systems, although in practice this primarily affects sewage outlets/sewage treatment plants and industries such as food processing. Businesses can obtain a reimbursement of 70-80% of the excise duty if their production is connected to fish, cellulose, sugar, organic pigment, or pectin substances.</w:t>
      </w:r>
    </w:p>
    <w:p w14:paraId="519C6617" w14:textId="77777777" w:rsidR="00732707" w:rsidRPr="00EA4C9B" w:rsidRDefault="00732707" w:rsidP="00732707">
      <w:r w:rsidRPr="00EA4C9B">
        <w:t xml:space="preserve">The two waste taxes identified below were introduced in the 1970s and 1980s, and both appear to be federal taxes. </w:t>
      </w:r>
    </w:p>
    <w:p w14:paraId="78055F36" w14:textId="77777777" w:rsidR="00732707" w:rsidRPr="00EA4C9B" w:rsidRDefault="00732707" w:rsidP="00732707">
      <w:r w:rsidRPr="00EA4C9B">
        <w:t xml:space="preserve">The </w:t>
      </w:r>
      <w:r w:rsidRPr="00EA4C9B">
        <w:rPr>
          <w:b/>
          <w:bCs/>
        </w:rPr>
        <w:t xml:space="preserve">tax on waste disposal </w:t>
      </w:r>
      <w:r w:rsidRPr="00EA4C9B">
        <w:t>was introduced in 1987 and expanded in 1999 to help reduce the amount of waste going to landfills and incineration plants and promote recycling. This tax is composed of a landfill tax and an incineration tax, with the relevant tax levied on all waste producers by every tonnage of non-recycled waste and raw materials delivered to all landfills and incinerators, with the exception of hazardous waste delivered to landfills. The tax is levied on the waste disposal sites them</w:t>
      </w:r>
      <w:r>
        <w:t>se</w:t>
      </w:r>
      <w:r w:rsidRPr="00EA4C9B">
        <w:t>lves, who then pass the tax burden onto their users. A refund is granted for waste later removed for recycling, so the tax is levied only for waste actually being disposed of. The tax rate has steadily been increasing over time, although while tax revenue was originally marked for environmental protection this is no longer the case. The landfill tax, introduced in 1987 in combination with a ban on landfilling combustible waste, was instrumental in reducing landfilling levels in the 1990s, but after 2001 the impact on recycling rates and the amount of waste going to landfill lessened</w:t>
      </w:r>
      <w:r w:rsidRPr="00EA4C9B">
        <w:rPr>
          <w:rStyle w:val="FootnoteReference"/>
        </w:rPr>
        <w:footnoteReference w:id="275"/>
      </w:r>
      <w:r w:rsidRPr="00EA4C9B">
        <w:t xml:space="preserve">. The incineration tax was introduced in 1990 and was converted in 2009 from a weight-based tax to one based on energy and CO2 content. The new system aims at providing a stronger incentive to recycle the most energy-intensive waste, such as plastics. </w:t>
      </w:r>
    </w:p>
    <w:p w14:paraId="548A1D8C" w14:textId="3826C9B0" w:rsidR="00732707" w:rsidRPr="00051732" w:rsidRDefault="00732707" w:rsidP="00392FDA">
      <w:r w:rsidRPr="00EA4C9B">
        <w:t xml:space="preserve">The </w:t>
      </w:r>
      <w:r w:rsidRPr="00EA4C9B">
        <w:rPr>
          <w:b/>
          <w:bCs/>
        </w:rPr>
        <w:t xml:space="preserve">tax on plastic bags and packaging </w:t>
      </w:r>
      <w:r w:rsidRPr="00EA4C9B">
        <w:t>was introduced in stages over time. In 1977, the first component of the tax was introduced for packaging for beverage containers with up to 20 litres capacity. The tax was introduced to prevent waste, promote recycling, and reduce harmful environmental impacts, although according to one estimate only 7% of packaging was covered by the tax</w:t>
      </w:r>
      <w:r w:rsidRPr="00EA4C9B">
        <w:rPr>
          <w:rStyle w:val="FootnoteReference"/>
        </w:rPr>
        <w:footnoteReference w:id="276"/>
      </w:r>
      <w:r w:rsidRPr="00EA4C9B">
        <w:t>. However, this still led to an annual reduction of packaging of 400,000 tonnes</w:t>
      </w:r>
      <w:r w:rsidRPr="00EA4C9B">
        <w:rPr>
          <w:rStyle w:val="FootnoteReference"/>
        </w:rPr>
        <w:footnoteReference w:id="277"/>
      </w:r>
      <w:r w:rsidRPr="00EA4C9B">
        <w:t xml:space="preserve"> by 2008. Significant changes were made between 1999 and 2001 to make the tax more sophisticated by removing fiscal equality between different packaging materials. The revised taxes were determined </w:t>
      </w:r>
      <w:r w:rsidRPr="00EA4C9B">
        <w:lastRenderedPageBreak/>
        <w:t>based on life cycle assessments of the environmental damages associated with different materials. In 1988, this tax was expanded to include a levy on disposable tableware. In 1994, a weight-based tax was levied on paper and plastic carrier bags with a handle and volume of at least 5 litres. Denmark was once of the first countries to introduce a fee for plastic carrier bags, and the 1994 levy helped halve consumption of plastic bags in Denmark</w:t>
      </w:r>
      <w:r w:rsidRPr="00EA4C9B">
        <w:rPr>
          <w:rStyle w:val="FootnoteReference"/>
        </w:rPr>
        <w:footnoteReference w:id="278"/>
      </w:r>
      <w:r w:rsidRPr="00EA4C9B">
        <w:t>. According to data from the Danish Environmental Protection Agency, the estimated average consumption of plastic bags in Denmark between 2017 and 2020 is approximately 373 million, compared to an estimated annual consumption of 103 billion plastic bags in the USA.</w:t>
      </w:r>
      <w:r w:rsidRPr="00EA4C9B">
        <w:rPr>
          <w:rStyle w:val="FootnoteReference"/>
        </w:rPr>
        <w:footnoteReference w:id="279"/>
      </w:r>
      <w:r w:rsidRPr="00EA4C9B">
        <w:t xml:space="preserve"> However, the Danish charge was not always passed onto customers, reducing the deterrent’s effectiveness, and a potential incentive exists for the production of thinner, less durable, plastic bags which could exacerbate littering problems</w:t>
      </w:r>
      <w:r w:rsidRPr="00EA4C9B">
        <w:rPr>
          <w:rStyle w:val="FootnoteReference"/>
        </w:rPr>
        <w:footnoteReference w:id="280"/>
      </w:r>
      <w:r w:rsidRPr="00EA4C9B">
        <w:t>. In 1999 a weight-based tax was levied on plastic foil foodstuff-packaging manufactured from soft PVC, but this tax was removed in 2014.</w:t>
      </w:r>
      <w:r w:rsidRPr="00EA4C9B">
        <w:rPr>
          <w:rStyle w:val="FootnoteReference"/>
        </w:rPr>
        <w:footnoteReference w:id="281"/>
      </w:r>
    </w:p>
    <w:p w14:paraId="1418ED4E" w14:textId="28F302B4" w:rsidR="00392FDA" w:rsidRPr="00732707" w:rsidRDefault="00392FDA" w:rsidP="00732707">
      <w:pPr>
        <w:pStyle w:val="Heading4"/>
        <w:rPr>
          <w:rStyle w:val="Strong"/>
          <w:b/>
          <w:bCs/>
        </w:rPr>
      </w:pPr>
      <w:r w:rsidRPr="00732707">
        <w:rPr>
          <w:rStyle w:val="Strong"/>
          <w:b/>
          <w:bCs/>
        </w:rPr>
        <w:t xml:space="preserve">Resource </w:t>
      </w:r>
      <w:r w:rsidR="00732707">
        <w:rPr>
          <w:rStyle w:val="Strong"/>
          <w:b/>
          <w:bCs/>
        </w:rPr>
        <w:t>t</w:t>
      </w:r>
      <w:r w:rsidRPr="00732707">
        <w:rPr>
          <w:rStyle w:val="Strong"/>
          <w:b/>
          <w:bCs/>
        </w:rPr>
        <w:t>axes</w:t>
      </w:r>
    </w:p>
    <w:p w14:paraId="15E2CB1B" w14:textId="7250BDD8" w:rsidR="00392FDA" w:rsidRPr="00051732" w:rsidRDefault="00392FDA" w:rsidP="00392FDA">
      <w:r w:rsidRPr="00EA4C9B">
        <w:t xml:space="preserve">There was less easily accessible information regarding the administration of resource taxes in Denmark, but resource taxes appear to be federal taxes, and the taxes identified below were introduced in the 1980s and 1990s. In addition to ensuring good environmental outcomes, these taxes are also designed to ensure more sustainable usage of Denmark’s natural resources, including water, raw materials, and oil. </w:t>
      </w:r>
    </w:p>
    <w:p w14:paraId="38967CB6" w14:textId="3A769695" w:rsidR="00392FDA" w:rsidRPr="00EA4C9B" w:rsidRDefault="00392FDA" w:rsidP="00392FDA">
      <w:r w:rsidRPr="00EA4C9B">
        <w:t xml:space="preserve">The </w:t>
      </w:r>
      <w:r w:rsidRPr="00EA4C9B">
        <w:rPr>
          <w:b/>
          <w:bCs/>
        </w:rPr>
        <w:t xml:space="preserve">tax on water abstraction (duty on piped water) </w:t>
      </w:r>
      <w:r w:rsidRPr="00EA4C9B">
        <w:t xml:space="preserve">was introduced in 1994 to promote water conservation and efficiency. The taxable product area is water that is led through pipelines from waterworks or local borings/wells. Rainwater or drainage water collected is not taxable, and the tax is not paid if the consignee is a waterworks; the decisive factor concerning the tax obligation is that the water is consumed in Denmark and that the water is piped. This applies irrespective of the quality of the water, including the quality of drinking water. The tax is designed to incentivise water providers to reduce leakage by mandating that water supply plants must pay based on the quantity of water supplied to the consumer, where this is not less than 90 % of the extracted quantity, so if the plant has losses of more than 10%, it still pays on the balance of water lost. This appears to have been successful, as Denmark has recorded a leakage rate of 20-30% smaller than municipal leakage rates </w:t>
      </w:r>
      <w:r w:rsidR="008536E0" w:rsidRPr="00EA4C9B">
        <w:t>in European</w:t>
      </w:r>
      <w:r w:rsidRPr="00EA4C9B">
        <w:t xml:space="preserve"> states Significantly, most companies are exempt from this tax,</w:t>
      </w:r>
      <w:r w:rsidRPr="00EA4C9B">
        <w:rPr>
          <w:rStyle w:val="FootnoteReference"/>
        </w:rPr>
        <w:footnoteReference w:id="282"/>
      </w:r>
      <w:r w:rsidRPr="00EA4C9B">
        <w:t xml:space="preserve"> implying much of the burden is shouldered by households who face high end-user water prices</w:t>
      </w:r>
      <w:r w:rsidRPr="00EA4C9B" w:rsidDel="00FC7DD1">
        <w:t>.</w:t>
      </w:r>
      <w:r w:rsidRPr="00EA4C9B">
        <w:rPr>
          <w:rStyle w:val="FootnoteReference"/>
        </w:rPr>
        <w:footnoteReference w:id="283"/>
      </w:r>
      <w:r w:rsidRPr="00EA4C9B">
        <w:t xml:space="preserve"> </w:t>
      </w:r>
    </w:p>
    <w:p w14:paraId="003B2AE9" w14:textId="77777777" w:rsidR="00392FDA" w:rsidRPr="00EA4C9B" w:rsidRDefault="00392FDA" w:rsidP="00392FDA">
      <w:r w:rsidRPr="00EA4C9B">
        <w:t xml:space="preserve">The </w:t>
      </w:r>
      <w:r w:rsidRPr="00EA4C9B">
        <w:rPr>
          <w:b/>
          <w:bCs/>
        </w:rPr>
        <w:t xml:space="preserve">tax on extraction and import of raw materials </w:t>
      </w:r>
      <w:r w:rsidRPr="00EA4C9B">
        <w:t>was introduced in 1987 to reduce the use of raw materials and to promote the use of recycled products. It is levied on businesses which recover or import over 200 m</w:t>
      </w:r>
      <w:r w:rsidR="008536E0">
        <w:rPr>
          <w:vertAlign w:val="superscript"/>
        </w:rPr>
        <w:t>3</w:t>
      </w:r>
      <w:r w:rsidRPr="00EA4C9B">
        <w:t xml:space="preserve"> of raw materials per year, who much register and receive a licence to either extract or import raw materials. Once above the threshold, the tax is levied as a flat rate per cubic meter on the entire volume, not just the volume above the threshold. The most common raw materials covered </w:t>
      </w:r>
      <w:r w:rsidRPr="00EA4C9B">
        <w:lastRenderedPageBreak/>
        <w:t>by the tax are sand, gravel, stone, granite, lime, chalk, clay, moclay and sphagnum, and the tax was modified in 1990 to target these specific materials.</w:t>
      </w:r>
      <w:r w:rsidRPr="00EA4C9B">
        <w:rPr>
          <w:rStyle w:val="FootnoteReference"/>
        </w:rPr>
        <w:footnoteReference w:id="284"/>
      </w:r>
      <w:r w:rsidRPr="00EA4C9B">
        <w:t xml:space="preserve">  </w:t>
      </w:r>
    </w:p>
    <w:p w14:paraId="1267B7BE" w14:textId="431449B7" w:rsidR="00392FDA" w:rsidRPr="00EA4C9B" w:rsidRDefault="00392FDA" w:rsidP="00B930A8">
      <w:pPr>
        <w:pStyle w:val="Heading5"/>
      </w:pPr>
      <w:r w:rsidRPr="00EA4C9B">
        <w:t xml:space="preserve">Environmental taxes not reported in the National Tax Lists </w:t>
      </w:r>
    </w:p>
    <w:p w14:paraId="30009E0F" w14:textId="77777777" w:rsidR="00392FDA" w:rsidRPr="00EA4C9B" w:rsidRDefault="00392FDA" w:rsidP="00392FDA">
      <w:r w:rsidRPr="00EA4C9B">
        <w:rPr>
          <w:b/>
          <w:bCs/>
        </w:rPr>
        <w:t>The carbon dioxide (CO2) tax on certain energy products</w:t>
      </w:r>
      <w:r w:rsidRPr="00EA4C9B">
        <w:t xml:space="preserve"> was initially introduced in 1992 for households and space heating in industry and has since been increased and extended to reduce overall CO2 emissions. Denmark does not levy uniform CO2 tax on usage, with the tax divided into energy taxes and a CO2 tax on certain emissions, including heating, road transportation, waste incineration of non-biodegradable waste, and non-ETS business sectors. Although the carbon tax is comparatively lower than neighbouring member states, energy excise duties – and thus the implicit price of carbon – vary significantly by user, creating unequal incentives for CO2 emission reduction. However, as part of Denmark’s Recovery and Resilience Plan, the country plans to introduce a uniform CO2 tax by 2030.</w:t>
      </w:r>
      <w:r w:rsidRPr="00EA4C9B">
        <w:rPr>
          <w:rStyle w:val="FootnoteReference"/>
        </w:rPr>
        <w:footnoteReference w:id="285"/>
      </w:r>
      <w:r w:rsidRPr="00EA4C9B">
        <w:t xml:space="preserve"> </w:t>
      </w:r>
    </w:p>
    <w:p w14:paraId="22BC7B78" w14:textId="77777777" w:rsidR="00392FDA" w:rsidRPr="00EA4C9B" w:rsidRDefault="00392FDA" w:rsidP="00392FDA">
      <w:r w:rsidRPr="00EA4C9B">
        <w:t xml:space="preserve">The </w:t>
      </w:r>
      <w:r w:rsidRPr="00EA4C9B">
        <w:rPr>
          <w:b/>
          <w:bCs/>
        </w:rPr>
        <w:t xml:space="preserve">duty on tyres </w:t>
      </w:r>
      <w:r w:rsidRPr="00EA4C9B">
        <w:t xml:space="preserve">was introduced in 2015 and is levied on manufacturers, importers and retailers based on the wight of tyres supplied to the market. Spare tyres, end-of-life tyres bound for reprocessing, and retreated tyres are broadly exempt from this tax. </w:t>
      </w:r>
    </w:p>
    <w:p w14:paraId="37FD078D" w14:textId="76321806" w:rsidR="00392FDA" w:rsidRPr="00051732" w:rsidRDefault="00392FDA" w:rsidP="00392FDA">
      <w:r w:rsidRPr="00EA4C9B">
        <w:t xml:space="preserve">The </w:t>
      </w:r>
      <w:r w:rsidRPr="00EA4C9B">
        <w:rPr>
          <w:b/>
          <w:bCs/>
        </w:rPr>
        <w:t xml:space="preserve">tax on hydrocarbons </w:t>
      </w:r>
      <w:r w:rsidRPr="00EA4C9B">
        <w:t>was introduced in 1982,</w:t>
      </w:r>
      <w:r w:rsidR="00BA7AA6">
        <w:t xml:space="preserve"> </w:t>
      </w:r>
      <w:r w:rsidRPr="00EA4C9B">
        <w:t xml:space="preserve">and is an additional profits tax levied on all individuals, estates, corporations, and other entities which derive income from the exploration and extraction of hydrocarbons in Denmark. Companies that have income deriving from the extraction of hydrocarbons pay corporate income tax to the state, and hydrocarbon tax as a supplement to that tax. Individuals calculate tax of such income in the same way as corporations. This tax is administered according to “special rules” regarding the determining of taxable income, deduction of losses, the taxation of individuals who are not affected by the ordinary tax law, and more. In addition, from 2017 all producers of hydrocarbons in the Danish North Sea could opt in for a tax reduction window on investments from 2017-25. </w:t>
      </w:r>
    </w:p>
    <w:p w14:paraId="7FA4184A" w14:textId="4EBB873A" w:rsidR="00392FDA" w:rsidRPr="00014325" w:rsidRDefault="00BA7AA6" w:rsidP="00392FDA">
      <w:pPr>
        <w:rPr>
          <w:rFonts w:ascii="Calibri" w:eastAsia="Calibri" w:hAnsi="Calibri" w:cs="Calibri"/>
          <w:b/>
          <w:i/>
          <w:color w:val="000000" w:themeColor="text1"/>
        </w:rPr>
      </w:pPr>
      <w:r>
        <w:rPr>
          <w:rFonts w:ascii="Calibri" w:eastAsia="Calibri" w:hAnsi="Calibri" w:cs="Calibri"/>
          <w:b/>
          <w:i/>
          <w:color w:val="000000" w:themeColor="text1"/>
        </w:rPr>
        <w:t>I</w:t>
      </w:r>
      <w:r w:rsidR="00392FDA" w:rsidRPr="00EA4C9B">
        <w:rPr>
          <w:rFonts w:ascii="Calibri" w:eastAsia="Calibri" w:hAnsi="Calibri" w:cs="Calibri"/>
          <w:b/>
          <w:i/>
          <w:color w:val="000000" w:themeColor="text1"/>
        </w:rPr>
        <w:t>nconsistencies and inefficiencies within the current tax system</w:t>
      </w:r>
    </w:p>
    <w:p w14:paraId="5544D049" w14:textId="77777777" w:rsidR="00392FDA" w:rsidRPr="00EA4C9B" w:rsidRDefault="00392FDA" w:rsidP="00392FDA">
      <w:r w:rsidRPr="00EA4C9B">
        <w:t>Despite the broad range of environmental taxes and their positive impacts, based on further research there are a number of inconsistencies and inefficiencies within the current tax system. According to the OECD,</w:t>
      </w:r>
      <w:r w:rsidRPr="00EA4C9B">
        <w:rPr>
          <w:rStyle w:val="FootnoteReference"/>
        </w:rPr>
        <w:footnoteReference w:id="286"/>
      </w:r>
      <w:r w:rsidRPr="00EA4C9B">
        <w:t xml:space="preserve">  the gap between the size of petrol and diesel taxation in Denmark is one of the largest among all members. This is environmentally problematic, as despite the weaker incentive for consumers to use petrol, diesel combustion emits more carbon dioxide and local air pollutants per litre than petrol. In addition, there are several examples of what could be considered barriers to stronger environmental outcomes, and policies indicating support for fossil fuels. Along with the lower diesel tax, Denmark exempts the agricultural sector from energy duties, and facilitates tax exemptions and deductions for shipping, aircraft, and companies with heavy processes. The OECD Inventory of Fossil Fuel Support estimated total support to fossil fuel consumption in Denmark at DKK 1.5 billion in 2017. Other examples of potentially negative externalities include the exemption of solid biomass from the energy duty and the carbon dioxide tax, based on the assumption it is carbon neutral. This assumption has recently been challenged by scientific research, and solid biomass is a significant fuel source for domestic and district heating. </w:t>
      </w:r>
    </w:p>
    <w:p w14:paraId="4BF75A0F" w14:textId="141C7C99" w:rsidR="00392FDA" w:rsidRPr="00EA4C9B" w:rsidRDefault="00392FDA" w:rsidP="00392FDA">
      <w:r w:rsidRPr="00EA4C9B">
        <w:lastRenderedPageBreak/>
        <w:t>One area for potential concern is Denmark’s agricultural sector, which appears to be a significant contributor to negative environmental externalities while potentially facing a lower tax burden proportional to its environmental impacts. According to the OECD, the agricultural sector accounts for 20% of greenhouse gas emissions in the country. However, Denmark does not directly regulate agricultural emissions, citing limited availability of cost-effective mitigation technology and high price competition in the sector, as well as carbon leakage concerns. As described in the tax list above, environmental taxes in the agricultural sector are targeted at harmful chemicals such as nitrogen and nitrogen oxides, rather than greenhouse gas emissions. A European Commission report</w:t>
      </w:r>
      <w:r w:rsidRPr="00EA4C9B">
        <w:rPr>
          <w:rStyle w:val="FootnoteReference"/>
        </w:rPr>
        <w:footnoteReference w:id="287"/>
      </w:r>
      <w:r w:rsidRPr="00EA4C9B">
        <w:t xml:space="preserve"> suggested favourable taxation of fuel use in agriculture is an environmentally harmful subsidy that could be considered for reform. However, Denmark has introduced plans to tax agricultural greenhouse gas emissions, as outlined in </w:t>
      </w:r>
      <w:r w:rsidR="001C2523">
        <w:t>S</w:t>
      </w:r>
      <w:r w:rsidRPr="00EA4C9B">
        <w:t xml:space="preserve">ection </w:t>
      </w:r>
      <w:r w:rsidR="00490085">
        <w:t>A6</w:t>
      </w:r>
      <w:r w:rsidRPr="00EA4C9B">
        <w:t>.</w:t>
      </w:r>
      <w:r w:rsidR="001C2523">
        <w:t>7</w:t>
      </w:r>
      <w:r w:rsidRPr="00EA4C9B">
        <w:t xml:space="preserve">.4. </w:t>
      </w:r>
    </w:p>
    <w:p w14:paraId="6B46CD9C" w14:textId="1714E705" w:rsidR="00392FDA" w:rsidRPr="00EA4C9B" w:rsidRDefault="00392FDA" w:rsidP="00392FDA">
      <w:r w:rsidRPr="00EA4C9B">
        <w:t xml:space="preserve">Alongside agriculture, the industrial sector also faces a considerably lower energy tax burden due to reductions and exemptions, according to the OECD. The OECD also highlights a gap in energy taxation between households and businesses, which creates unequal incentives for energy savings and CO2 reduction. While transport fuels and residential energy use face higher effective tax rates, industry and agriculture benefit from considerable reductions and exemptions. Residential and commercial sectors experience relatively high tax rates on electricity and other energy use, while Industry and agriculture face a considerably lower tax burden due to reductions and exemptions. The electricity tax for industry production processes was set at a very low rate compared to the ordinary electricity tax applicable to households, with the industrial rate being about 200 times lower than the residential rate in 2019. Furthermore, most companies are exempt from the water tax, with the OECD report stating that “industry is in some sense cross-subsidised by households, which indeed face very high end-user prices.” Similarly to the agricultural sector, Denmark is taken steps to implement a more uniform CO2 tax, which again is described in </w:t>
      </w:r>
      <w:r w:rsidR="00AD65A7">
        <w:t>S</w:t>
      </w:r>
      <w:r w:rsidR="00AD65A7" w:rsidRPr="00EA4C9B">
        <w:t xml:space="preserve">ection </w:t>
      </w:r>
      <w:r w:rsidR="00490085">
        <w:t>A6</w:t>
      </w:r>
      <w:r w:rsidR="00AD65A7" w:rsidRPr="00EA4C9B">
        <w:t>.</w:t>
      </w:r>
      <w:r w:rsidR="00AD65A7">
        <w:t>7</w:t>
      </w:r>
      <w:r w:rsidR="00AD65A7" w:rsidRPr="00EA4C9B">
        <w:t>.4</w:t>
      </w:r>
      <w:r w:rsidRPr="00EA4C9B">
        <w:t xml:space="preserve">. </w:t>
      </w:r>
    </w:p>
    <w:p w14:paraId="164AC38C" w14:textId="77777777" w:rsidR="00392FDA" w:rsidRPr="00EA4C9B" w:rsidRDefault="00392FDA" w:rsidP="00392FDA">
      <w:r w:rsidRPr="00EA4C9B">
        <w:t xml:space="preserve">However, there is evidence to suggest Denmark’s taxes on energy sources are aligned with carbon content and carbon dioxide emissions. According to the OECD, Denmark is a pioneer in carbon pricing; nearly all energy-related CO2 emissions face a price signal, except those from burning of woody biomass for heating. Overall, 32% of emissions faced a price above EUR 30 per tonne of CO2 in 2015, which is similar to the OECD average. A carbon dioxide tax also applies to fossil fuel use which is calculated using carbon content. According to the IEEP, Nordic countries, including Denmark, practice a shared model of energy taxation that seeks to equalise the treatment of different fuels within a given grouping (e.g., industry/households/motor fuels). This model often involves a common rate of tax per unit of energy content and a common rate of tax per unit of CO₂ emissions for non-ETS (emissions trading system) emissions. The IEEP also indicates that despite extensive exemptions, Denmark's fuel taxation has had both an energy tax component and a CO₂ tax component for over two decades, although as mentioned previously Denmark plans to overhaul its current CO2 tax structure. </w:t>
      </w:r>
    </w:p>
    <w:p w14:paraId="279AA393" w14:textId="4568847D" w:rsidR="00392FDA" w:rsidRPr="00051732" w:rsidRDefault="00392FDA" w:rsidP="00392FDA">
      <w:r w:rsidRPr="00EA4C9B">
        <w:t>In Denmark, registration taxes and annual vehicle taxes are differentiated by emission levels and/or fuel efficiency.</w:t>
      </w:r>
      <w:r w:rsidRPr="00EA4C9B">
        <w:rPr>
          <w:rStyle w:val="FootnoteReference"/>
        </w:rPr>
        <w:footnoteReference w:id="288"/>
      </w:r>
      <w:r w:rsidRPr="00EA4C9B">
        <w:t xml:space="preserve"> The tax is applied as a percentage of the purchase price (including VAT), this percentage being higher on the value above a specified level. There is an ad-valorem registration tax on passenger vehicles at 105% of the list price for the first €10,600 and 180% for the remaining part. The tax rate is moderated by the car's fuel efficiency, measured in kilometres per litre. Reduction in the registration tax to a 50% flat rate is available for light-duty vehicles that are used partly for business purpose</w:t>
      </w:r>
    </w:p>
    <w:p w14:paraId="72820CED" w14:textId="77777777" w:rsidR="00392FDA" w:rsidRPr="00EA4C9B" w:rsidRDefault="00392FDA" w:rsidP="00392FDA">
      <w:pPr>
        <w:rPr>
          <w:rFonts w:ascii="Calibri" w:eastAsia="Calibri" w:hAnsi="Calibri" w:cs="Calibri"/>
          <w:color w:val="000000" w:themeColor="text1"/>
        </w:rPr>
      </w:pPr>
      <w:r w:rsidRPr="00EA4C9B">
        <w:rPr>
          <w:rFonts w:ascii="Calibri" w:eastAsia="Calibri" w:hAnsi="Calibri" w:cs="Calibri"/>
          <w:b/>
          <w:bCs/>
          <w:i/>
          <w:iCs/>
          <w:color w:val="000000" w:themeColor="text1"/>
        </w:rPr>
        <w:lastRenderedPageBreak/>
        <w:t>Conclusions, country-specific recommendations and reform progress</w:t>
      </w:r>
    </w:p>
    <w:p w14:paraId="0236C7BA" w14:textId="77777777" w:rsidR="00392FDA" w:rsidRPr="00EA4C9B" w:rsidRDefault="00392FDA" w:rsidP="00392FDA">
      <w:r w:rsidRPr="00EA4C9B">
        <w:t>Denmark has made strides in shifting the tax burden from labour and capital to environmental bases. A number of environmental taxes have been introduced or adjusted to better reflect externalities. Denmark has increased and harmonised the carbon dioxide tax and introduced a NOx tax, as well as reforming the pesticides tax to align more closely with environmental and health externalities. In addition, the country was one of the pioneers in broadening the tax base and introduced three successive phases of environmental fiscal reform during the 1990s. This involved targeting mainly households with income tax relief and environmental taxes, and industrial taxation resulted in a comprehensive scheme of carbon and energy taxation.</w:t>
      </w:r>
      <w:r w:rsidRPr="00EA4C9B">
        <w:rPr>
          <w:rStyle w:val="FootnoteReference"/>
        </w:rPr>
        <w:footnoteReference w:id="289"/>
      </w:r>
      <w:r w:rsidRPr="00EA4C9B">
        <w:t xml:space="preserve"> However, as the analysis above reveals, households currently bear a relatively high tax burden, while industry benefits from frequent exemptions and reductions. While proportionate environmental taxation revenue has been gradually falling, in 2022 Denmark’s environmental tax revenue as a percentage of GDP was still comparatively high relative to other EU countries according to the European Commission</w:t>
      </w:r>
      <w:r w:rsidRPr="00EA4C9B">
        <w:rPr>
          <w:rStyle w:val="FootnoteReference"/>
        </w:rPr>
        <w:footnoteReference w:id="290"/>
      </w:r>
      <w:r w:rsidRPr="00EA4C9B">
        <w:t>.</w:t>
      </w:r>
    </w:p>
    <w:p w14:paraId="0A98E624" w14:textId="77777777" w:rsidR="00392FDA" w:rsidRPr="00EA4C9B" w:rsidRDefault="00392FDA" w:rsidP="00392FDA">
      <w:r w:rsidRPr="00EA4C9B">
        <w:t>Denmark has also resolutely enshrined the ‘polluter pays’ principle in legislation and in practice., ensuring those responsible for negative environmental externalities are targeted. The Environmental Protection Act in Denmark transposes the Environmental Liability Directive, which explicitly applies the polluter-pays principle by requiring the responsible party to bear the costs of preventing or remedying ecological damage.</w:t>
      </w:r>
      <w:r w:rsidRPr="00EA4C9B">
        <w:rPr>
          <w:rStyle w:val="FootnoteReference"/>
        </w:rPr>
        <w:footnoteReference w:id="291"/>
      </w:r>
      <w:r w:rsidRPr="00EA4C9B">
        <w:t xml:space="preserve"> Denmark’s main legal instrument on chemicals, the Act on Chemicals, supplements this principle by allowing authorities to conduct chemical tests at the industry's expense if they fail to do so upon request. Other tax structures also seem to indicate Denmark follows this principle: the waste water tax is proportional to the pollution load, meaning that entities discharging more pollutants pay higher taxes, while the pesticides tax was reformed so pesticides deemed more hazardous to human health and the environment would be taxed at a higher rate. Despite this, the wide exemptions offered to industry and agriculture elsewhere (industry has several potential reductions for the waste water tax) suggest that outside of chemical pollutants, deviation from the principle does occur. </w:t>
      </w:r>
    </w:p>
    <w:p w14:paraId="26C1B611" w14:textId="77777777" w:rsidR="00392FDA" w:rsidRPr="00EA4C9B" w:rsidRDefault="00392FDA" w:rsidP="00392FDA">
      <w:r w:rsidRPr="00EA4C9B">
        <w:t xml:space="preserve">Compared to EU averages, Denmark generally has higher environmental tax revenues as a share of its GDP compared to the EU average. According to the IEEP, in 2013 Denmark had the highest environmental tax revenue as a percentage of GDP among all EU-28 Member States, significantly above the EU-28 average of 2.44%. In 2017, Denmark ranked second among OECD countries for its tax-to-GDP ratio. Environmentally related tax revenue in Denmark equalled 3.67% of GDP in 2017, which was the highest share among OECD countries and more than twice the OECD average. Further information from the IEEP indicates revenues from pollution, resource, and transport taxes (excluding fuel) in Denmark in 2013 were also above the European average. By 2022, the share of environmental taxes in Denmark's GDP had decreased to 2.35%, but it was still comparatively high relative to other EU countries according to the European Commission, indicating Denmark has consistently maintained relatively high levels of environmental taxation for the past decade. </w:t>
      </w:r>
    </w:p>
    <w:p w14:paraId="7072837A" w14:textId="77777777" w:rsidR="00392FDA" w:rsidRPr="00EA4C9B" w:rsidRDefault="00392FDA" w:rsidP="00392FDA">
      <w:r w:rsidRPr="00EA4C9B">
        <w:t xml:space="preserve">In addition, the IEEP outlines a “Good Practice Scenario” for Environmental Fiscal Reform (EFR) in Denmark. These were suggestions made by the study team and are not necessarily formal government proposals, but they reflect potential reform directions based on practices in other Nordic countries and EU proposals. IEEP suggestions included an increase in the existing NOx tax rate and the introduction of a new tax on emissions of primary particles (PM2.5) was proposed, with a transition </w:t>
      </w:r>
      <w:r w:rsidRPr="00EA4C9B">
        <w:lastRenderedPageBreak/>
        <w:t>period from 2016 to maximum levels by 2021. Further suggestions included reviewing existing exemptions for wastewater discharge taxes to improve prevention of water pollution and aligning tax rates with good practice. The OECD recommends that Denmark continue to rely on and expand the use of environmental taxes to internalise externalities, adjust tax rates for inflation, and reduce tax concessions</w:t>
      </w:r>
      <w:r w:rsidRPr="00EA4C9B">
        <w:rPr>
          <w:rStyle w:val="FootnoteReference"/>
        </w:rPr>
        <w:footnoteReference w:id="292"/>
      </w:r>
      <w:r w:rsidRPr="00EA4C9B">
        <w:t xml:space="preserve">.  The European Commission suggested environmentally harmful subsidies such as favourable taxation of fuel use in agriculture could be considered for reform.  </w:t>
      </w:r>
    </w:p>
    <w:p w14:paraId="742AE40E" w14:textId="77777777" w:rsidR="00392FDA" w:rsidRPr="00EA4C9B" w:rsidRDefault="00392FDA" w:rsidP="00392FDA">
      <w:r w:rsidRPr="00EA4C9B">
        <w:t>Both the IEEP and European country-specific recommendations (CSR) database</w:t>
      </w:r>
      <w:r w:rsidRPr="00EA4C9B">
        <w:rPr>
          <w:rStyle w:val="FootnoteReference"/>
        </w:rPr>
        <w:footnoteReference w:id="293"/>
      </w:r>
      <w:r w:rsidRPr="00EA4C9B">
        <w:t xml:space="preserve"> also propose reforming waste and pollution taxes. The 2016 IEEP recommendations suggested adjusting the existing weight-based tax on plastic shopping bags to a rate of €0.22 per bag to strengthen the incentive for reducing their use, given the environmental problems caused by plastic litter, in addition to reforming packaging taxes. </w:t>
      </w:r>
    </w:p>
    <w:p w14:paraId="2523717B" w14:textId="795AF30A" w:rsidR="00392FDA" w:rsidRPr="00EA4C9B" w:rsidRDefault="00392FDA" w:rsidP="00392FDA">
      <w:r w:rsidRPr="00EA4C9B">
        <w:t>Domestically, Denmark has also adopted a Recovery and Resilience Plan (RRP) to drive the green transition of Danish industry, elements of which have already been agreed upon or adopted. These include an investment window to incentivise businesses to invest in green technologies and hardware, accelerated depreciation of investments in fixed assets, and higher CO2 emissions taxes for the industry</w:t>
      </w:r>
      <w:r w:rsidRPr="00EA4C9B">
        <w:rPr>
          <w:rStyle w:val="FootnoteReference"/>
        </w:rPr>
        <w:footnoteReference w:id="294"/>
      </w:r>
      <w:r w:rsidRPr="00EA4C9B">
        <w:t>. The Danish Government has politically committed to introducing taxation of greenhouse gas emissions from the agricultural sector, and the Ministry for Economic Affairs began an evaluation of three different models for implementing this tax in 2024.  In addition, Denmark’s Green Tax Reform report outlines and proposes a several tax reforms for Denmark, primarily by focusing on significantly reducing greenhouse gas emissions in line with the Climate Act's target of a 70 per cent reduction by 2030 compared to 1990 levels.</w:t>
      </w:r>
      <w:r w:rsidRPr="00EA4C9B">
        <w:rPr>
          <w:rStyle w:val="FootnoteReference"/>
        </w:rPr>
        <w:footnoteReference w:id="295"/>
      </w:r>
      <w:r w:rsidRPr="00EA4C9B">
        <w:t xml:space="preserve">  The report proposes three distinct models for a CO2 tax system, all of which aim to achieve a CO2 reduction of approximately 3.5 million tonnes in industry and other businesses by 2030. The report the reorganisation of energy taxes for space heating and road transport as beneficial steps towards a more direct CO2 taxation.</w:t>
      </w:r>
    </w:p>
    <w:p w14:paraId="7B0ED7C8" w14:textId="466FE1EB" w:rsidR="00392FDA" w:rsidRPr="00EA4C9B" w:rsidRDefault="00392FDA" w:rsidP="00392FDA">
      <w:r w:rsidRPr="00EA4C9B">
        <w:t xml:space="preserve">One key point </w:t>
      </w:r>
      <w:r w:rsidR="00114694">
        <w:t>in</w:t>
      </w:r>
      <w:r w:rsidRPr="00EA4C9B">
        <w:t xml:space="preserve"> the 2024 country-specific recommendations</w:t>
      </w:r>
      <w:r w:rsidRPr="00EA4C9B">
        <w:rPr>
          <w:rStyle w:val="FootnoteReference"/>
        </w:rPr>
        <w:footnoteReference w:id="296"/>
      </w:r>
      <w:r w:rsidRPr="00EA4C9B">
        <w:t xml:space="preserve"> suggest is that Denmark enact a swift and effective implementation of the national Recovery and Resilience Plan, ensuring the completion of reforms and investments by August 2026. The CSR also recommends Denmark take further efforts regarding sustainable agriculture by stepping up decarbonisation measures and action to reduce nutrient losses and improving sustainability in the agri-food sector, in addition to the two major themes of prioritising renewable energy and energy efficiency. As will be outlined below, Denmark has taken some steps to improve some of these recommendations. More recent information comes from the country-specific recommendation for Denmark adopted by the European Commission in June 2025.</w:t>
      </w:r>
      <w:r w:rsidRPr="00EA4C9B">
        <w:rPr>
          <w:rStyle w:val="FootnoteReference"/>
        </w:rPr>
        <w:footnoteReference w:id="297"/>
      </w:r>
      <w:r w:rsidRPr="00EA4C9B">
        <w:t xml:space="preserve"> This latest CSR describes issues which will be more fully developed in the section below, including areas of concern which ought to be targeted. These include the identification of the Danish agricultural sector as one of the main source</w:t>
      </w:r>
      <w:r w:rsidR="00114694">
        <w:t>s</w:t>
      </w:r>
      <w:r w:rsidRPr="00EA4C9B">
        <w:t xml:space="preserve"> of national greenhouse gas emissions, in addition to environmental and ecosystem damage through existing intensive agricultural practices, in addition to issues with waste incineration. The 2025 CSR recommends the intensity of farming and other agricultural activities be reduced as part of a larger goal to develop sustainable agricultural practices. The report also cites Denmark experiencing the second highest volume per person of food and </w:t>
      </w:r>
      <w:r w:rsidRPr="00EA4C9B">
        <w:lastRenderedPageBreak/>
        <w:t>municipal waste generated in the EU, and that in addition to reducing waste production and introducing stric</w:t>
      </w:r>
      <w:r w:rsidR="00051732">
        <w:t>t</w:t>
      </w:r>
      <w:r w:rsidRPr="00EA4C9B">
        <w:t xml:space="preserve">er waste management rules, waste incineration ought the be replaced with more environmentally friendly sources of heat generation.  </w:t>
      </w:r>
    </w:p>
    <w:p w14:paraId="03791E81" w14:textId="6B059580" w:rsidR="00392FDA" w:rsidRPr="00C92347" w:rsidRDefault="00392FDA" w:rsidP="007C4EB7">
      <w:pPr>
        <w:pStyle w:val="AnnexHeading2"/>
        <w:rPr>
          <w:rFonts w:eastAsia="Calibri"/>
        </w:rPr>
      </w:pPr>
      <w:bookmarkStart w:id="158" w:name="_Toc214008861"/>
      <w:r w:rsidRPr="00C92347">
        <w:rPr>
          <w:rFonts w:eastAsia="Calibri"/>
        </w:rPr>
        <w:t>Potential for implementing additional environmental taxes</w:t>
      </w:r>
      <w:bookmarkEnd w:id="158"/>
    </w:p>
    <w:p w14:paraId="5893DE4E" w14:textId="1295EDA4" w:rsidR="00392FDA" w:rsidRPr="00EA4C9B" w:rsidRDefault="00392FDA" w:rsidP="00392FDA">
      <w:r w:rsidRPr="00EA4C9B">
        <w:rPr>
          <w:rFonts w:ascii="Calibri" w:eastAsia="Calibri" w:hAnsi="Calibri" w:cs="Calibri"/>
        </w:rPr>
        <w:t xml:space="preserve">Regarding existing plans for implantation and reform, Denmark’s Recovery and Resilience Plan (RRP) is implementing reform in two phases, firstly focusing on adjustments within the existing tax system and extensions to well-defined area, and secondly setting the framework for a uniform CO2 tax with an aim to accomplish this by 2030. Similarly, the taxation of greenhouse gas emissions from the agricultural sector is set to take </w:t>
      </w:r>
      <w:r w:rsidR="00C00E78">
        <w:rPr>
          <w:rFonts w:ascii="Calibri" w:eastAsia="Calibri" w:hAnsi="Calibri" w:cs="Calibri"/>
        </w:rPr>
        <w:t>e</w:t>
      </w:r>
      <w:r w:rsidRPr="00EA4C9B">
        <w:rPr>
          <w:rFonts w:ascii="Calibri" w:eastAsia="Calibri" w:hAnsi="Calibri" w:cs="Calibri"/>
        </w:rPr>
        <w:t xml:space="preserve">ffect in 2030 and increase in 2035. An increase in the energy tax for businesses was agreed as part of the Green Tax Reform agreement, phased in from 2023 for general processes and 2025 for agriculture etc., but the sources state these were not yet implemented as of the report. </w:t>
      </w:r>
    </w:p>
    <w:p w14:paraId="3BC42CF4" w14:textId="7B2D1817" w:rsidR="00392FDA" w:rsidRPr="00EA4C9B" w:rsidRDefault="00392FDA" w:rsidP="00392FDA">
      <w:r w:rsidRPr="00EA4C9B">
        <w:t>According to the OECD, despite Denmark’s commitment to green taxation, there are still areas where taxes could be adjusted. As described in section 1.1.3, Denmark’s CO2 tax is divided into a sep</w:t>
      </w:r>
      <w:r w:rsidR="00C00E78">
        <w:t>a</w:t>
      </w:r>
      <w:r w:rsidRPr="00EA4C9B">
        <w:t xml:space="preserve">rate energy tax and a separate tax on certain emissions, rather than a uniform carbon tax on usage.   </w:t>
      </w:r>
    </w:p>
    <w:p w14:paraId="6FFD6594" w14:textId="77777777" w:rsidR="00392FDA" w:rsidRPr="00EA4C9B" w:rsidRDefault="00392FDA" w:rsidP="00392FDA">
      <w:r w:rsidRPr="00EA4C9B">
        <w:t xml:space="preserve">Furthermore, the OECD estimates that in 2015, 22% of CO2 emissions from energy use were not subject to a price signal, largely due to the combustion of biomass. Denmark’s Green Tax Reform report also mentions that taxes measured in terms of CO2 emissions vary significantly across sectors and fuels, with some areas facing low or no CO2 tax. The OECD also mentions the rates of both the SOx and the NOx tax are below the respective external costs, and so are insufficient to completely offset the environmental externalities they were designed to curb. Furthermore, the OECD also reports while the landfill tax has been effective, the tax on waste incineration has not prevented an increase in its frequency. </w:t>
      </w:r>
    </w:p>
    <w:p w14:paraId="672ECFE8" w14:textId="0E589A8E" w:rsidR="00392FDA" w:rsidRPr="00EA4C9B" w:rsidRDefault="00392FDA" w:rsidP="00392FDA">
      <w:r w:rsidRPr="00EA4C9B">
        <w:t xml:space="preserve">The IEEP proposes an array of new environmental taxes that could be implemented in Denmark. One such would be increasing the existing tax rate for NOx and implementing a new tax on emissions of primary particles. Another proposal is an aviation tax on air passenger lights and on air￼. ￼ore recent studies and announcements have indicated potential for an expansion in Denmark’s environmental taxation across agriculture and transport. Denmark’s Green Tax Reform final report proposes implementing climate taxes on carbon-rich agricultural land and fertiliser usage, and a tax on livestock based on farm-level emissions calculations. The report does not recommend a CO2 tax on landfill emissions, due to disproportionate administrative/economic costs relative to the positive impact of such a tax. However, the report does recommend aligning taxation on F-gases in line with the agreed tax covered by the EU Emissions Trading System, which would mean a tax increase.  Denmark has already introduced a tax on agricultural emissions (the first country to do so) to take effect in </w:t>
      </w:r>
      <w:r w:rsidRPr="00EA4C9B">
        <w:rPr>
          <w:rStyle w:val="FootnoteReference"/>
        </w:rPr>
        <w:footnoteReference w:id="298"/>
      </w:r>
      <w:r w:rsidRPr="00EA4C9B">
        <w:t>￼, with the European Commission exploring extending emissions trading to the agricultural sector, a goal supported by the Danish government.</w:t>
      </w:r>
      <w:r w:rsidRPr="00EA4C9B">
        <w:rPr>
          <w:rStyle w:val="FootnoteReference"/>
        </w:rPr>
        <w:footnoteReference w:id="299"/>
      </w:r>
      <w:r w:rsidRPr="00EA4C9B">
        <w:t xml:space="preserve"> has also proposed new phasing in </w:t>
      </w:r>
      <w:r w:rsidR="007B606C" w:rsidRPr="00EA4C9B">
        <w:t>kilometre-based</w:t>
      </w:r>
      <w:r w:rsidRPr="00EA4C9B">
        <w:t xml:space="preserve"> vehicle charging systems in Denmark to replace fuel tax revenues and reduce congestion, as well as increasing fuel tax. Denmark’s Green Tax Reform report contains a slate of recommendations for reforming the current environmental taxation, including broadening the tax base for CO2 emissions, improving </w:t>
      </w:r>
      <w:r w:rsidRPr="00EA4C9B">
        <w:lastRenderedPageBreak/>
        <w:t>uniformity of tax levels, and addressing distributional impacts of regressive environmental taxes which disproportionately impact low-income households</w:t>
      </w:r>
    </w:p>
    <w:p w14:paraId="09EADBC4" w14:textId="782DFAB2" w:rsidR="00392FDA" w:rsidRPr="00EA4C9B" w:rsidRDefault="00392FDA" w:rsidP="00392FDA">
      <w:r w:rsidRPr="00EA4C9B">
        <w:t>Actions by other member states might also serve as examples Denmark could consider drawing inspiration from when reforming its own environmental tax plan. Denmark’s Green Tax Reform expert group</w:t>
      </w:r>
      <w:r w:rsidR="008B613E">
        <w:rPr>
          <w:rStyle w:val="FootnoteReference"/>
        </w:rPr>
        <w:footnoteReference w:id="300"/>
      </w:r>
      <w:r w:rsidRPr="00EA4C9B">
        <w:t xml:space="preserve"> identified Sweden’s preference for a higher CO2 tax rather than higher energy taxes as a policy option worth </w:t>
      </w:r>
      <w:r w:rsidR="00B930A8" w:rsidRPr="00EA4C9B">
        <w:t>examining and</w:t>
      </w:r>
      <w:r w:rsidRPr="00EA4C9B">
        <w:t xml:space="preserve"> </w:t>
      </w:r>
      <w:r w:rsidR="007B606C" w:rsidRPr="00EA4C9B">
        <w:t>establishing a</w:t>
      </w:r>
      <w:r w:rsidRPr="00EA4C9B">
        <w:t xml:space="preserve"> more uniform levy may lead to more positive behavioural outcomes.  In addition, </w:t>
      </w:r>
      <w:r w:rsidR="00C82B36">
        <w:t>Denmark</w:t>
      </w:r>
      <w:r w:rsidRPr="00EA4C9B">
        <w:t xml:space="preserve"> also has a history of making selective use of exemptions to preserve domestic industry and competitiveness without violating EU requirements, such as exempting coal from a rise in domestic energy taxes.</w:t>
      </w:r>
      <w:r w:rsidRPr="00EA4C9B">
        <w:rPr>
          <w:rStyle w:val="FootnoteReference"/>
        </w:rPr>
        <w:footnoteReference w:id="301"/>
      </w:r>
      <w:r w:rsidRPr="00EA4C9B">
        <w:t xml:space="preserve"> However, maintaining a balance between exemption and acceptable environmental outcomes may be difficult. </w:t>
      </w:r>
    </w:p>
    <w:p w14:paraId="49EDD107" w14:textId="057A984D" w:rsidR="00392FDA" w:rsidRPr="00EA4C9B" w:rsidRDefault="00392FDA" w:rsidP="00392FDA">
      <w:r>
        <w:t xml:space="preserve">It is relevant to point out that due to Denmark’s large number of existing environmental taxes, as </w:t>
      </w:r>
      <w:r w:rsidR="00051732">
        <w:t>described</w:t>
      </w:r>
      <w:r>
        <w:t xml:space="preserve"> in the previous section, and the current environmental tax burden, aside from taxing a small number of currently uncovered negative environmental externalities, a greater emphasis ought to be placed on </w:t>
      </w:r>
      <w:r w:rsidRPr="00BA7936">
        <w:rPr>
          <w:b/>
          <w:bCs/>
        </w:rPr>
        <w:t>reforming existing taxes</w:t>
      </w:r>
      <w:r>
        <w:t xml:space="preserve">. In addition, according to the OECD, Denmark has a long history of applying environmentally related taxes and is considered among the front-runners in integrating environmental considerations into its tax system and so has relatively greater institutional experience in the field of environmental taxation that other member states. This may translate into streamlined operational costs, limiting bureaucratic and implementation delays, and a more positive public reception. </w:t>
      </w:r>
      <w:r w:rsidRPr="61B7A57B">
        <w:rPr>
          <w:rFonts w:ascii="Calibri" w:eastAsia="Calibri" w:hAnsi="Calibri" w:cs="Calibri"/>
        </w:rPr>
        <w:t xml:space="preserve">However, introducing any further taxes or reforms will require research, discussion with interest groups, parliamentary processes, careful design, planning, and announcement. The Green Tax Reform expert group took three years to publish their final report, over a year longer than originally anticipated. As the final report itself notes, while taking quick steps towards tax reform in the short term is possible, developing appropriate tax models and resolving EU legal, administrative, and implementation issues requires further development and considerable time. </w:t>
      </w:r>
    </w:p>
    <w:tbl>
      <w:tblPr>
        <w:tblW w:w="9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1985"/>
        <w:gridCol w:w="5442"/>
      </w:tblGrid>
      <w:tr w:rsidR="00392FDA" w:rsidRPr="00EA4C9B" w14:paraId="10714453" w14:textId="77777777" w:rsidTr="001A6AFA">
        <w:trPr>
          <w:trHeight w:val="300"/>
          <w:tblHeader/>
        </w:trPr>
        <w:tc>
          <w:tcPr>
            <w:tcW w:w="9120" w:type="dxa"/>
            <w:gridSpan w:val="3"/>
            <w:tcBorders>
              <w:top w:val="single" w:sz="6" w:space="0" w:color="auto"/>
              <w:left w:val="single" w:sz="6" w:space="0" w:color="auto"/>
              <w:bottom w:val="single" w:sz="6" w:space="0" w:color="auto"/>
              <w:right w:val="single" w:sz="6" w:space="0" w:color="auto"/>
            </w:tcBorders>
            <w:shd w:val="clear" w:color="auto" w:fill="003399"/>
            <w:hideMark/>
          </w:tcPr>
          <w:p w14:paraId="4378E836" w14:textId="575CD9C2" w:rsidR="00392FDA" w:rsidRPr="003B7C0B" w:rsidRDefault="00051732" w:rsidP="001A6AFA">
            <w:pPr>
              <w:pStyle w:val="Table"/>
              <w:ind w:left="57" w:right="57"/>
              <w:rPr>
                <w:rFonts w:ascii="Times New Roman" w:eastAsia="Times New Roman" w:hAnsi="Times New Roman" w:cs="Times New Roman"/>
                <w:b/>
                <w:color w:val="FFFFFF" w:themeColor="background1"/>
                <w:sz w:val="24"/>
                <w:lang w:eastAsia="en-GB"/>
              </w:rPr>
            </w:pPr>
            <w:r w:rsidRPr="003B7C0B">
              <w:rPr>
                <w:b/>
                <w:color w:val="FFFFFF" w:themeColor="background1"/>
              </w:rPr>
              <w:t xml:space="preserve">Table </w:t>
            </w:r>
            <w:r w:rsidR="00490085">
              <w:rPr>
                <w:b/>
                <w:color w:val="FFFFFF" w:themeColor="background1"/>
              </w:rPr>
              <w:t>A6</w:t>
            </w:r>
            <w:r w:rsidR="003B7C0B" w:rsidRPr="003B7C0B">
              <w:rPr>
                <w:b/>
                <w:bCs/>
                <w:color w:val="FFFFFF" w:themeColor="background1"/>
              </w:rPr>
              <w:t>-</w:t>
            </w:r>
            <w:r w:rsidR="003B7C0B" w:rsidRPr="003B7C0B">
              <w:rPr>
                <w:b/>
                <w:bCs/>
                <w:color w:val="FFFFFF" w:themeColor="background1"/>
              </w:rPr>
              <w:fldChar w:fldCharType="begin"/>
            </w:r>
            <w:r w:rsidR="003B7C0B" w:rsidRPr="003B7C0B">
              <w:rPr>
                <w:b/>
                <w:bCs/>
                <w:color w:val="FFFFFF" w:themeColor="background1"/>
              </w:rPr>
              <w:instrText xml:space="preserve"> SEQ Table_A5- \* ARABIC </w:instrText>
            </w:r>
            <w:r w:rsidR="003B7C0B" w:rsidRPr="003B7C0B">
              <w:rPr>
                <w:b/>
                <w:bCs/>
                <w:color w:val="FFFFFF" w:themeColor="background1"/>
              </w:rPr>
              <w:fldChar w:fldCharType="separate"/>
            </w:r>
            <w:r w:rsidR="00732707">
              <w:rPr>
                <w:b/>
                <w:bCs/>
                <w:noProof/>
                <w:color w:val="FFFFFF" w:themeColor="background1"/>
              </w:rPr>
              <w:t>42</w:t>
            </w:r>
            <w:r w:rsidR="003B7C0B" w:rsidRPr="003B7C0B">
              <w:rPr>
                <w:b/>
                <w:bCs/>
                <w:color w:val="FFFFFF" w:themeColor="background1"/>
              </w:rPr>
              <w:fldChar w:fldCharType="end"/>
            </w:r>
            <w:r w:rsidRPr="003B7C0B">
              <w:rPr>
                <w:rFonts w:ascii="Calibri" w:eastAsia="Times New Roman" w:hAnsi="Calibri" w:cs="Calibri"/>
                <w:b/>
                <w:color w:val="FFFFFF" w:themeColor="background1"/>
                <w:szCs w:val="20"/>
                <w:lang w:eastAsia="en-GB"/>
              </w:rPr>
              <w:t xml:space="preserve">:  </w:t>
            </w:r>
            <w:r w:rsidR="002847DA" w:rsidRPr="003B7C0B">
              <w:rPr>
                <w:rFonts w:ascii="Calibri" w:eastAsia="Times New Roman" w:hAnsi="Calibri" w:cs="Calibri"/>
                <w:b/>
                <w:color w:val="FFFFFF" w:themeColor="background1"/>
                <w:szCs w:val="20"/>
                <w:lang w:eastAsia="en-GB"/>
              </w:rPr>
              <w:t xml:space="preserve">Proposed new environmental taxes </w:t>
            </w:r>
          </w:p>
        </w:tc>
      </w:tr>
      <w:tr w:rsidR="00392FDA" w:rsidRPr="00EA4C9B" w14:paraId="3D1C46CC" w14:textId="77777777" w:rsidTr="001A6AFA">
        <w:trPr>
          <w:trHeight w:val="300"/>
          <w:tblHeader/>
        </w:trPr>
        <w:tc>
          <w:tcPr>
            <w:tcW w:w="1693" w:type="dxa"/>
            <w:tcBorders>
              <w:top w:val="single" w:sz="6" w:space="0" w:color="auto"/>
              <w:left w:val="single" w:sz="6" w:space="0" w:color="auto"/>
              <w:bottom w:val="single" w:sz="6" w:space="0" w:color="auto"/>
              <w:right w:val="single" w:sz="6" w:space="0" w:color="auto"/>
            </w:tcBorders>
            <w:hideMark/>
          </w:tcPr>
          <w:p w14:paraId="6456DC6C" w14:textId="77777777" w:rsidR="00392FDA" w:rsidRPr="002847DA" w:rsidRDefault="00392FDA" w:rsidP="001A6AFA">
            <w:pPr>
              <w:pStyle w:val="Table"/>
              <w:ind w:left="57" w:right="57"/>
              <w:rPr>
                <w:rFonts w:eastAsia="Times New Roman" w:cstheme="minorHAnsi"/>
                <w:b/>
                <w:szCs w:val="20"/>
                <w:lang w:eastAsia="en-GB"/>
              </w:rPr>
            </w:pPr>
            <w:r w:rsidRPr="002847DA">
              <w:rPr>
                <w:rFonts w:eastAsia="Times New Roman" w:cstheme="minorHAnsi"/>
                <w:b/>
                <w:szCs w:val="20"/>
                <w:lang w:eastAsia="en-GB"/>
              </w:rPr>
              <w:t>Proposed New Environmental Tax</w:t>
            </w:r>
          </w:p>
        </w:tc>
        <w:tc>
          <w:tcPr>
            <w:tcW w:w="1985" w:type="dxa"/>
            <w:tcBorders>
              <w:top w:val="single" w:sz="6" w:space="0" w:color="auto"/>
              <w:left w:val="single" w:sz="6" w:space="0" w:color="auto"/>
              <w:bottom w:val="single" w:sz="6" w:space="0" w:color="auto"/>
              <w:right w:val="single" w:sz="6" w:space="0" w:color="auto"/>
            </w:tcBorders>
            <w:hideMark/>
          </w:tcPr>
          <w:p w14:paraId="735304E1" w14:textId="77777777" w:rsidR="00392FDA" w:rsidRPr="002847DA" w:rsidRDefault="00392FDA" w:rsidP="001A6AFA">
            <w:pPr>
              <w:pStyle w:val="Table"/>
              <w:ind w:left="57" w:right="57"/>
              <w:rPr>
                <w:rFonts w:eastAsia="Times New Roman" w:cstheme="minorHAnsi"/>
                <w:b/>
                <w:szCs w:val="20"/>
                <w:lang w:eastAsia="en-GB"/>
              </w:rPr>
            </w:pPr>
            <w:r w:rsidRPr="002847DA">
              <w:rPr>
                <w:rFonts w:eastAsia="Times New Roman" w:cstheme="minorHAnsi"/>
                <w:b/>
                <w:szCs w:val="20"/>
                <w:lang w:eastAsia="en-GB"/>
              </w:rPr>
              <w:t>Source</w:t>
            </w:r>
          </w:p>
        </w:tc>
        <w:tc>
          <w:tcPr>
            <w:tcW w:w="5442" w:type="dxa"/>
            <w:tcBorders>
              <w:top w:val="single" w:sz="6" w:space="0" w:color="auto"/>
              <w:left w:val="single" w:sz="6" w:space="0" w:color="auto"/>
              <w:bottom w:val="single" w:sz="6" w:space="0" w:color="auto"/>
              <w:right w:val="single" w:sz="6" w:space="0" w:color="auto"/>
            </w:tcBorders>
            <w:hideMark/>
          </w:tcPr>
          <w:p w14:paraId="52EF3049" w14:textId="77777777" w:rsidR="00392FDA" w:rsidRPr="002847DA" w:rsidRDefault="00392FDA" w:rsidP="001A6AFA">
            <w:pPr>
              <w:pStyle w:val="Table"/>
              <w:ind w:left="57" w:right="57"/>
              <w:rPr>
                <w:rFonts w:eastAsia="Times New Roman" w:cstheme="minorHAnsi"/>
                <w:b/>
                <w:szCs w:val="20"/>
                <w:lang w:eastAsia="en-GB"/>
              </w:rPr>
            </w:pPr>
            <w:r w:rsidRPr="002847DA">
              <w:rPr>
                <w:rFonts w:eastAsia="Times New Roman" w:cstheme="minorHAnsi"/>
                <w:b/>
                <w:szCs w:val="20"/>
                <w:lang w:eastAsia="en-GB"/>
              </w:rPr>
              <w:t>Description</w:t>
            </w:r>
          </w:p>
        </w:tc>
      </w:tr>
      <w:tr w:rsidR="00392FDA" w:rsidRPr="00EA4C9B" w14:paraId="45A6AA8F" w14:textId="77777777" w:rsidTr="004F0767">
        <w:trPr>
          <w:trHeight w:val="300"/>
        </w:trPr>
        <w:tc>
          <w:tcPr>
            <w:tcW w:w="1693" w:type="dxa"/>
            <w:tcBorders>
              <w:top w:val="single" w:sz="6" w:space="0" w:color="auto"/>
              <w:left w:val="single" w:sz="6" w:space="0" w:color="auto"/>
              <w:bottom w:val="single" w:sz="6" w:space="0" w:color="auto"/>
              <w:right w:val="single" w:sz="6" w:space="0" w:color="auto"/>
            </w:tcBorders>
          </w:tcPr>
          <w:p w14:paraId="00D4D7A1" w14:textId="77777777" w:rsidR="00392FDA" w:rsidRPr="002847DA" w:rsidRDefault="00392FDA" w:rsidP="001A6AFA">
            <w:pPr>
              <w:pStyle w:val="Table"/>
              <w:ind w:left="57" w:right="57"/>
              <w:rPr>
                <w:rFonts w:eastAsia="Times New Roman" w:cstheme="minorHAnsi"/>
                <w:szCs w:val="20"/>
                <w:lang w:eastAsia="en-GB"/>
              </w:rPr>
            </w:pPr>
            <w:r w:rsidRPr="002847DA">
              <w:rPr>
                <w:rFonts w:eastAsia="Times New Roman" w:cstheme="minorHAnsi"/>
                <w:szCs w:val="20"/>
                <w:lang w:eastAsia="en-GB"/>
              </w:rPr>
              <w:t>New CO2 taxes</w:t>
            </w:r>
          </w:p>
        </w:tc>
        <w:tc>
          <w:tcPr>
            <w:tcW w:w="1985" w:type="dxa"/>
            <w:tcBorders>
              <w:top w:val="single" w:sz="6" w:space="0" w:color="auto"/>
              <w:left w:val="single" w:sz="6" w:space="0" w:color="auto"/>
              <w:bottom w:val="single" w:sz="6" w:space="0" w:color="auto"/>
              <w:right w:val="single" w:sz="6" w:space="0" w:color="auto"/>
            </w:tcBorders>
            <w:hideMark/>
          </w:tcPr>
          <w:p w14:paraId="0060F4F6" w14:textId="77777777" w:rsidR="00392FDA" w:rsidRPr="002847DA" w:rsidRDefault="00392FDA" w:rsidP="001A6AFA">
            <w:pPr>
              <w:pStyle w:val="Table"/>
              <w:ind w:left="57" w:right="57"/>
              <w:rPr>
                <w:rFonts w:eastAsia="Times New Roman" w:cstheme="minorHAnsi"/>
                <w:szCs w:val="20"/>
                <w:lang w:eastAsia="en-GB"/>
              </w:rPr>
            </w:pPr>
            <w:r w:rsidRPr="002847DA">
              <w:rPr>
                <w:rFonts w:cstheme="minorHAnsi"/>
                <w:szCs w:val="20"/>
              </w:rPr>
              <w:t>European Commission, 2024 Country Report &amp; Green Tax Reform final report</w:t>
            </w:r>
          </w:p>
        </w:tc>
        <w:tc>
          <w:tcPr>
            <w:tcW w:w="5442" w:type="dxa"/>
            <w:tcBorders>
              <w:top w:val="single" w:sz="6" w:space="0" w:color="auto"/>
              <w:left w:val="single" w:sz="6" w:space="0" w:color="auto"/>
              <w:bottom w:val="single" w:sz="6" w:space="0" w:color="auto"/>
              <w:right w:val="single" w:sz="6" w:space="0" w:color="auto"/>
            </w:tcBorders>
            <w:hideMark/>
          </w:tcPr>
          <w:p w14:paraId="22A2410F" w14:textId="77777777" w:rsidR="00392FDA" w:rsidRPr="002847DA" w:rsidRDefault="00392FDA" w:rsidP="001A6AFA">
            <w:pPr>
              <w:pStyle w:val="Table"/>
              <w:ind w:left="57" w:right="57"/>
              <w:rPr>
                <w:rFonts w:eastAsia="Times New Roman" w:cstheme="minorHAnsi"/>
                <w:szCs w:val="20"/>
                <w:lang w:eastAsia="en-GB"/>
              </w:rPr>
            </w:pPr>
            <w:r w:rsidRPr="002847DA">
              <w:rPr>
                <w:rFonts w:eastAsia="Times New Roman" w:cstheme="minorHAnsi"/>
                <w:szCs w:val="20"/>
                <w:lang w:eastAsia="en-GB"/>
              </w:rPr>
              <w:t xml:space="preserve">Denmark’s Recovery and Resilience Plan includes several pieces of proposed legislation. These include new taxes on CO2 emissions across a wide range of sectors with low or no CO2 taxation, with the aim of establishing a uniform CO2 tax. </w:t>
            </w:r>
          </w:p>
        </w:tc>
      </w:tr>
      <w:tr w:rsidR="00392FDA" w:rsidRPr="00EA4C9B" w14:paraId="2C291F6C" w14:textId="77777777" w:rsidTr="004F0767">
        <w:trPr>
          <w:trHeight w:val="300"/>
        </w:trPr>
        <w:tc>
          <w:tcPr>
            <w:tcW w:w="1693" w:type="dxa"/>
            <w:tcBorders>
              <w:top w:val="single" w:sz="6" w:space="0" w:color="auto"/>
              <w:left w:val="single" w:sz="6" w:space="0" w:color="auto"/>
              <w:bottom w:val="single" w:sz="6" w:space="0" w:color="auto"/>
              <w:right w:val="single" w:sz="6" w:space="0" w:color="auto"/>
            </w:tcBorders>
          </w:tcPr>
          <w:p w14:paraId="25EA16AE" w14:textId="77777777" w:rsidR="00392FDA" w:rsidRPr="002847DA" w:rsidRDefault="00392FDA" w:rsidP="001A6AFA">
            <w:pPr>
              <w:pStyle w:val="Table"/>
              <w:ind w:left="57" w:right="57"/>
              <w:rPr>
                <w:rFonts w:eastAsia="Times New Roman" w:cstheme="minorHAnsi"/>
                <w:szCs w:val="20"/>
                <w:lang w:eastAsia="en-GB"/>
              </w:rPr>
            </w:pPr>
            <w:r w:rsidRPr="002847DA">
              <w:rPr>
                <w:rFonts w:eastAsia="Times New Roman" w:cstheme="minorHAnsi"/>
                <w:szCs w:val="20"/>
                <w:lang w:eastAsia="en-GB"/>
              </w:rPr>
              <w:t>Extraction of natural resources tax</w:t>
            </w:r>
          </w:p>
        </w:tc>
        <w:tc>
          <w:tcPr>
            <w:tcW w:w="1985" w:type="dxa"/>
            <w:tcBorders>
              <w:top w:val="single" w:sz="6" w:space="0" w:color="auto"/>
              <w:left w:val="single" w:sz="6" w:space="0" w:color="auto"/>
              <w:bottom w:val="single" w:sz="6" w:space="0" w:color="auto"/>
              <w:right w:val="single" w:sz="6" w:space="0" w:color="auto"/>
            </w:tcBorders>
          </w:tcPr>
          <w:p w14:paraId="2074C5D0" w14:textId="77777777" w:rsidR="00392FDA" w:rsidRPr="002847DA" w:rsidRDefault="00392FDA" w:rsidP="001A6AFA">
            <w:pPr>
              <w:pStyle w:val="Table"/>
              <w:ind w:left="57" w:right="57"/>
              <w:rPr>
                <w:rFonts w:eastAsia="Times New Roman" w:cstheme="minorHAnsi"/>
                <w:szCs w:val="20"/>
                <w:lang w:eastAsia="en-GB"/>
              </w:rPr>
            </w:pPr>
            <w:r w:rsidRPr="002847DA">
              <w:rPr>
                <w:rFonts w:eastAsia="Times New Roman" w:cstheme="minorHAnsi"/>
                <w:szCs w:val="20"/>
                <w:lang w:eastAsia="en-GB"/>
              </w:rPr>
              <w:t>IEEP Good Practice Scenario</w:t>
            </w:r>
          </w:p>
        </w:tc>
        <w:tc>
          <w:tcPr>
            <w:tcW w:w="5442" w:type="dxa"/>
            <w:tcBorders>
              <w:top w:val="single" w:sz="6" w:space="0" w:color="auto"/>
              <w:left w:val="single" w:sz="6" w:space="0" w:color="auto"/>
              <w:bottom w:val="single" w:sz="6" w:space="0" w:color="auto"/>
              <w:right w:val="single" w:sz="6" w:space="0" w:color="auto"/>
            </w:tcBorders>
          </w:tcPr>
          <w:p w14:paraId="3AD583AC" w14:textId="77777777" w:rsidR="00392FDA" w:rsidRPr="002847DA" w:rsidRDefault="00392FDA" w:rsidP="001A6AFA">
            <w:pPr>
              <w:pStyle w:val="Table"/>
              <w:ind w:left="57" w:right="57"/>
              <w:rPr>
                <w:rFonts w:eastAsia="Times New Roman" w:cstheme="minorHAnsi"/>
                <w:szCs w:val="20"/>
                <w:lang w:eastAsia="en-GB"/>
              </w:rPr>
            </w:pPr>
            <w:r w:rsidRPr="002847DA">
              <w:rPr>
                <w:rFonts w:eastAsia="Times New Roman" w:cstheme="minorHAnsi"/>
                <w:szCs w:val="20"/>
                <w:lang w:eastAsia="en-GB"/>
              </w:rPr>
              <w:t xml:space="preserve">A proposed increase of the existing tax on the extraction of natural resources to a rate of €2.40 per tonne. </w:t>
            </w:r>
          </w:p>
        </w:tc>
      </w:tr>
      <w:tr w:rsidR="00392FDA" w:rsidRPr="00EA4C9B" w14:paraId="5CB07FD3" w14:textId="77777777" w:rsidTr="004F0767">
        <w:trPr>
          <w:trHeight w:val="300"/>
        </w:trPr>
        <w:tc>
          <w:tcPr>
            <w:tcW w:w="1693" w:type="dxa"/>
            <w:tcBorders>
              <w:top w:val="single" w:sz="6" w:space="0" w:color="auto"/>
              <w:left w:val="single" w:sz="6" w:space="0" w:color="auto"/>
              <w:bottom w:val="single" w:sz="6" w:space="0" w:color="auto"/>
              <w:right w:val="single" w:sz="6" w:space="0" w:color="auto"/>
            </w:tcBorders>
          </w:tcPr>
          <w:p w14:paraId="40A74614" w14:textId="77777777" w:rsidR="00392FDA" w:rsidRPr="00C305AC" w:rsidRDefault="00392FDA" w:rsidP="001A6AFA">
            <w:pPr>
              <w:pStyle w:val="Table"/>
              <w:ind w:left="57" w:right="57"/>
              <w:rPr>
                <w:rFonts w:eastAsia="Times New Roman" w:cstheme="minorHAnsi"/>
                <w:szCs w:val="20"/>
                <w:lang w:val="fr-BE" w:eastAsia="en-GB"/>
              </w:rPr>
            </w:pPr>
            <w:r w:rsidRPr="00C305AC">
              <w:rPr>
                <w:rFonts w:eastAsia="Times New Roman" w:cstheme="minorHAnsi"/>
                <w:szCs w:val="20"/>
                <w:lang w:val="fr-BE" w:eastAsia="en-GB"/>
              </w:rPr>
              <w:t>Carbon Tax on Agriculture Emissions</w:t>
            </w:r>
          </w:p>
        </w:tc>
        <w:tc>
          <w:tcPr>
            <w:tcW w:w="1985" w:type="dxa"/>
            <w:tcBorders>
              <w:top w:val="single" w:sz="6" w:space="0" w:color="auto"/>
              <w:left w:val="single" w:sz="6" w:space="0" w:color="auto"/>
              <w:bottom w:val="single" w:sz="6" w:space="0" w:color="auto"/>
              <w:right w:val="single" w:sz="6" w:space="0" w:color="auto"/>
            </w:tcBorders>
          </w:tcPr>
          <w:p w14:paraId="6C3850EB" w14:textId="77777777" w:rsidR="00392FDA" w:rsidRPr="002847DA" w:rsidRDefault="00392FDA" w:rsidP="001A6AFA">
            <w:pPr>
              <w:pStyle w:val="Table"/>
              <w:ind w:left="57" w:right="57"/>
              <w:rPr>
                <w:rFonts w:eastAsia="Times New Roman" w:cstheme="minorHAnsi"/>
                <w:szCs w:val="20"/>
                <w:lang w:eastAsia="en-GB"/>
              </w:rPr>
            </w:pPr>
            <w:r w:rsidRPr="002847DA">
              <w:rPr>
                <w:rFonts w:eastAsia="Times New Roman" w:cstheme="minorHAnsi"/>
                <w:szCs w:val="20"/>
                <w:lang w:eastAsia="en-GB"/>
              </w:rPr>
              <w:t>A Green Denmark Report</w:t>
            </w:r>
          </w:p>
        </w:tc>
        <w:tc>
          <w:tcPr>
            <w:tcW w:w="5442" w:type="dxa"/>
            <w:tcBorders>
              <w:top w:val="single" w:sz="6" w:space="0" w:color="auto"/>
              <w:left w:val="single" w:sz="6" w:space="0" w:color="auto"/>
              <w:bottom w:val="single" w:sz="6" w:space="0" w:color="auto"/>
              <w:right w:val="single" w:sz="6" w:space="0" w:color="auto"/>
            </w:tcBorders>
          </w:tcPr>
          <w:p w14:paraId="4785378A" w14:textId="77777777" w:rsidR="00392FDA" w:rsidRPr="002847DA" w:rsidRDefault="00392FDA" w:rsidP="001A6AFA">
            <w:pPr>
              <w:pStyle w:val="Table"/>
              <w:ind w:left="57" w:right="57"/>
              <w:rPr>
                <w:rFonts w:eastAsia="Times New Roman" w:cstheme="minorHAnsi"/>
                <w:szCs w:val="20"/>
                <w:lang w:eastAsia="en-GB"/>
              </w:rPr>
            </w:pPr>
            <w:r w:rsidRPr="002847DA">
              <w:rPr>
                <w:rFonts w:eastAsia="Times New Roman" w:cstheme="minorHAnsi"/>
                <w:szCs w:val="20"/>
                <w:lang w:eastAsia="en-GB"/>
              </w:rPr>
              <w:t>The world’s first carbon tax on agriculture, set to take effect in 2030 and increase in 2035.</w:t>
            </w:r>
          </w:p>
        </w:tc>
      </w:tr>
      <w:tr w:rsidR="00392FDA" w:rsidRPr="00EA4C9B" w14:paraId="6E60F55A" w14:textId="77777777" w:rsidTr="004F0767">
        <w:trPr>
          <w:trHeight w:val="300"/>
        </w:trPr>
        <w:tc>
          <w:tcPr>
            <w:tcW w:w="1693" w:type="dxa"/>
            <w:tcBorders>
              <w:top w:val="single" w:sz="6" w:space="0" w:color="auto"/>
              <w:left w:val="single" w:sz="6" w:space="0" w:color="auto"/>
              <w:bottom w:val="single" w:sz="6" w:space="0" w:color="auto"/>
              <w:right w:val="single" w:sz="6" w:space="0" w:color="auto"/>
            </w:tcBorders>
          </w:tcPr>
          <w:p w14:paraId="7A24A18F" w14:textId="77777777" w:rsidR="00392FDA" w:rsidRPr="002847DA" w:rsidRDefault="00392FDA" w:rsidP="001A6AFA">
            <w:pPr>
              <w:pStyle w:val="Table"/>
              <w:ind w:left="57" w:right="57"/>
              <w:rPr>
                <w:rFonts w:eastAsia="Times New Roman" w:cstheme="minorHAnsi"/>
                <w:szCs w:val="20"/>
                <w:lang w:eastAsia="en-GB"/>
              </w:rPr>
            </w:pPr>
            <w:r w:rsidRPr="002847DA">
              <w:rPr>
                <w:rFonts w:eastAsia="Times New Roman" w:cstheme="minorHAnsi"/>
                <w:szCs w:val="20"/>
                <w:lang w:eastAsia="en-GB"/>
              </w:rPr>
              <w:t>Climate Tax on Food Consumption</w:t>
            </w:r>
          </w:p>
        </w:tc>
        <w:tc>
          <w:tcPr>
            <w:tcW w:w="1985" w:type="dxa"/>
            <w:tcBorders>
              <w:top w:val="single" w:sz="6" w:space="0" w:color="auto"/>
              <w:left w:val="single" w:sz="6" w:space="0" w:color="auto"/>
              <w:bottom w:val="single" w:sz="6" w:space="0" w:color="auto"/>
              <w:right w:val="single" w:sz="6" w:space="0" w:color="auto"/>
            </w:tcBorders>
          </w:tcPr>
          <w:p w14:paraId="6A56D7F8" w14:textId="77777777" w:rsidR="00392FDA" w:rsidRPr="002847DA" w:rsidRDefault="00392FDA" w:rsidP="001A6AFA">
            <w:pPr>
              <w:pStyle w:val="Table"/>
              <w:ind w:left="57" w:right="57"/>
              <w:rPr>
                <w:rFonts w:eastAsia="Times New Roman" w:cstheme="minorHAnsi"/>
                <w:szCs w:val="20"/>
                <w:lang w:eastAsia="en-GB"/>
              </w:rPr>
            </w:pPr>
            <w:r w:rsidRPr="002847DA">
              <w:rPr>
                <w:rFonts w:eastAsia="Times New Roman" w:cstheme="minorHAnsi"/>
                <w:szCs w:val="20"/>
                <w:lang w:eastAsia="en-GB"/>
              </w:rPr>
              <w:t>Green Tax Reform final report</w:t>
            </w:r>
          </w:p>
        </w:tc>
        <w:tc>
          <w:tcPr>
            <w:tcW w:w="5442" w:type="dxa"/>
            <w:tcBorders>
              <w:top w:val="single" w:sz="6" w:space="0" w:color="auto"/>
              <w:left w:val="single" w:sz="6" w:space="0" w:color="auto"/>
              <w:bottom w:val="single" w:sz="6" w:space="0" w:color="auto"/>
              <w:right w:val="single" w:sz="6" w:space="0" w:color="auto"/>
            </w:tcBorders>
          </w:tcPr>
          <w:p w14:paraId="20A82A06" w14:textId="77777777" w:rsidR="00392FDA" w:rsidRPr="002847DA" w:rsidRDefault="00392FDA" w:rsidP="001A6AFA">
            <w:pPr>
              <w:pStyle w:val="Table"/>
              <w:ind w:left="57" w:right="57"/>
              <w:rPr>
                <w:rFonts w:eastAsia="Times New Roman" w:cstheme="minorHAnsi"/>
                <w:szCs w:val="20"/>
                <w:lang w:eastAsia="en-GB"/>
              </w:rPr>
            </w:pPr>
            <w:r w:rsidRPr="002847DA">
              <w:rPr>
                <w:rFonts w:eastAsia="Times New Roman" w:cstheme="minorHAnsi"/>
                <w:szCs w:val="20"/>
                <w:lang w:eastAsia="en-GB"/>
              </w:rPr>
              <w:t>A climate tax on the end consumption of food has been suggested as an alternative or supplement to a production tax on agriculture, taxing imported and domestically produced goods equally.</w:t>
            </w:r>
          </w:p>
        </w:tc>
      </w:tr>
      <w:tr w:rsidR="00392FDA" w:rsidRPr="00EA4C9B" w14:paraId="0E8F3450" w14:textId="77777777" w:rsidTr="004F0767">
        <w:trPr>
          <w:trHeight w:val="300"/>
        </w:trPr>
        <w:tc>
          <w:tcPr>
            <w:tcW w:w="1693" w:type="dxa"/>
            <w:tcBorders>
              <w:top w:val="single" w:sz="6" w:space="0" w:color="auto"/>
              <w:left w:val="single" w:sz="6" w:space="0" w:color="auto"/>
              <w:bottom w:val="single" w:sz="6" w:space="0" w:color="auto"/>
              <w:right w:val="single" w:sz="6" w:space="0" w:color="auto"/>
            </w:tcBorders>
          </w:tcPr>
          <w:p w14:paraId="18B18159" w14:textId="77777777" w:rsidR="00392FDA" w:rsidRPr="002847DA" w:rsidRDefault="00392FDA" w:rsidP="001A6AFA">
            <w:pPr>
              <w:pStyle w:val="Table"/>
              <w:ind w:left="57" w:right="57"/>
              <w:rPr>
                <w:rFonts w:eastAsia="Times New Roman" w:cstheme="minorHAnsi"/>
                <w:szCs w:val="20"/>
                <w:lang w:eastAsia="en-GB"/>
              </w:rPr>
            </w:pPr>
            <w:r w:rsidRPr="002847DA">
              <w:rPr>
                <w:rFonts w:eastAsia="Times New Roman" w:cstheme="minorHAnsi"/>
                <w:szCs w:val="20"/>
                <w:lang w:eastAsia="en-GB"/>
              </w:rPr>
              <w:t>Domestic Carbon Surcharge</w:t>
            </w:r>
          </w:p>
        </w:tc>
        <w:tc>
          <w:tcPr>
            <w:tcW w:w="1985" w:type="dxa"/>
            <w:tcBorders>
              <w:top w:val="single" w:sz="6" w:space="0" w:color="auto"/>
              <w:left w:val="single" w:sz="6" w:space="0" w:color="auto"/>
              <w:bottom w:val="single" w:sz="6" w:space="0" w:color="auto"/>
              <w:right w:val="single" w:sz="6" w:space="0" w:color="auto"/>
            </w:tcBorders>
          </w:tcPr>
          <w:p w14:paraId="6CBBEC5A" w14:textId="77777777" w:rsidR="00392FDA" w:rsidRPr="002847DA" w:rsidRDefault="00392FDA" w:rsidP="001A6AFA">
            <w:pPr>
              <w:pStyle w:val="Table"/>
              <w:ind w:left="57" w:right="57"/>
              <w:rPr>
                <w:rFonts w:eastAsia="Times New Roman" w:cstheme="minorHAnsi"/>
                <w:szCs w:val="20"/>
                <w:lang w:eastAsia="en-GB"/>
              </w:rPr>
            </w:pPr>
            <w:r w:rsidRPr="002847DA">
              <w:rPr>
                <w:rFonts w:eastAsia="Times New Roman" w:cstheme="minorHAnsi"/>
                <w:szCs w:val="20"/>
                <w:lang w:eastAsia="en-GB"/>
              </w:rPr>
              <w:t>IMF Climate Mitigation</w:t>
            </w:r>
          </w:p>
        </w:tc>
        <w:tc>
          <w:tcPr>
            <w:tcW w:w="5442" w:type="dxa"/>
            <w:tcBorders>
              <w:top w:val="single" w:sz="6" w:space="0" w:color="auto"/>
              <w:left w:val="single" w:sz="6" w:space="0" w:color="auto"/>
              <w:bottom w:val="single" w:sz="6" w:space="0" w:color="auto"/>
              <w:right w:val="single" w:sz="6" w:space="0" w:color="auto"/>
            </w:tcBorders>
          </w:tcPr>
          <w:p w14:paraId="00671B4E" w14:textId="77777777" w:rsidR="00392FDA" w:rsidRPr="002847DA" w:rsidRDefault="00392FDA" w:rsidP="001A6AFA">
            <w:pPr>
              <w:pStyle w:val="Table"/>
              <w:ind w:left="57" w:right="57"/>
              <w:rPr>
                <w:rFonts w:eastAsia="Times New Roman" w:cstheme="minorHAnsi"/>
                <w:szCs w:val="20"/>
                <w:lang w:eastAsia="en-GB"/>
              </w:rPr>
            </w:pPr>
            <w:r w:rsidRPr="002847DA">
              <w:rPr>
                <w:rFonts w:eastAsia="Times New Roman" w:cstheme="minorHAnsi"/>
                <w:szCs w:val="20"/>
                <w:lang w:eastAsia="en-GB"/>
              </w:rPr>
              <w:t>The proposal recommends strengthen carbon pricing by applying a domestic carbon surcharge to emissions covered by the EU Emissions Trading System (ETS) to achieve a target price, and setting the domestic carbon tax for other emission sources equal to this price</w:t>
            </w:r>
          </w:p>
        </w:tc>
      </w:tr>
      <w:tr w:rsidR="00392FDA" w:rsidRPr="00EA4C9B" w14:paraId="007DD666" w14:textId="77777777" w:rsidTr="004F0767">
        <w:trPr>
          <w:trHeight w:val="300"/>
        </w:trPr>
        <w:tc>
          <w:tcPr>
            <w:tcW w:w="1693" w:type="dxa"/>
            <w:tcBorders>
              <w:top w:val="single" w:sz="6" w:space="0" w:color="auto"/>
              <w:left w:val="single" w:sz="6" w:space="0" w:color="auto"/>
              <w:bottom w:val="single" w:sz="6" w:space="0" w:color="auto"/>
              <w:right w:val="single" w:sz="6" w:space="0" w:color="auto"/>
            </w:tcBorders>
          </w:tcPr>
          <w:p w14:paraId="26D6A4A7" w14:textId="77777777" w:rsidR="00392FDA" w:rsidRPr="002847DA" w:rsidRDefault="00392FDA" w:rsidP="001A6AFA">
            <w:pPr>
              <w:pStyle w:val="Table"/>
              <w:ind w:left="57" w:right="57"/>
              <w:rPr>
                <w:rFonts w:eastAsia="Times New Roman" w:cstheme="minorHAnsi"/>
                <w:szCs w:val="20"/>
                <w:lang w:eastAsia="en-GB"/>
              </w:rPr>
            </w:pPr>
            <w:r w:rsidRPr="002847DA">
              <w:rPr>
                <w:rFonts w:eastAsia="Times New Roman" w:cstheme="minorHAnsi"/>
                <w:szCs w:val="20"/>
                <w:lang w:eastAsia="en-GB"/>
              </w:rPr>
              <w:lastRenderedPageBreak/>
              <w:t xml:space="preserve">Road Pricing </w:t>
            </w:r>
          </w:p>
        </w:tc>
        <w:tc>
          <w:tcPr>
            <w:tcW w:w="1985" w:type="dxa"/>
            <w:tcBorders>
              <w:top w:val="single" w:sz="6" w:space="0" w:color="auto"/>
              <w:left w:val="single" w:sz="6" w:space="0" w:color="auto"/>
              <w:bottom w:val="single" w:sz="6" w:space="0" w:color="auto"/>
              <w:right w:val="single" w:sz="6" w:space="0" w:color="auto"/>
            </w:tcBorders>
          </w:tcPr>
          <w:p w14:paraId="1377565F" w14:textId="77777777" w:rsidR="00392FDA" w:rsidRPr="002847DA" w:rsidRDefault="00392FDA" w:rsidP="001A6AFA">
            <w:pPr>
              <w:pStyle w:val="Table"/>
              <w:ind w:left="57" w:right="57"/>
              <w:rPr>
                <w:rFonts w:eastAsia="Times New Roman" w:cstheme="minorHAnsi"/>
                <w:szCs w:val="20"/>
                <w:lang w:eastAsia="en-GB"/>
              </w:rPr>
            </w:pPr>
            <w:r w:rsidRPr="002847DA">
              <w:rPr>
                <w:rFonts w:eastAsia="Times New Roman" w:cstheme="minorHAnsi"/>
                <w:szCs w:val="20"/>
                <w:lang w:eastAsia="en-GB"/>
              </w:rPr>
              <w:t>IMF Climate Mitigation</w:t>
            </w:r>
          </w:p>
        </w:tc>
        <w:tc>
          <w:tcPr>
            <w:tcW w:w="5442" w:type="dxa"/>
            <w:tcBorders>
              <w:top w:val="single" w:sz="6" w:space="0" w:color="auto"/>
              <w:left w:val="single" w:sz="6" w:space="0" w:color="auto"/>
              <w:bottom w:val="single" w:sz="6" w:space="0" w:color="auto"/>
              <w:right w:val="single" w:sz="6" w:space="0" w:color="auto"/>
            </w:tcBorders>
          </w:tcPr>
          <w:p w14:paraId="64392CF0" w14:textId="77777777" w:rsidR="00392FDA" w:rsidRPr="002847DA" w:rsidRDefault="00392FDA" w:rsidP="001A6AFA">
            <w:pPr>
              <w:pStyle w:val="Table"/>
              <w:ind w:left="57" w:right="57"/>
              <w:rPr>
                <w:rFonts w:eastAsia="Times New Roman" w:cstheme="minorHAnsi"/>
                <w:szCs w:val="20"/>
                <w:lang w:eastAsia="en-GB"/>
              </w:rPr>
            </w:pPr>
            <w:r w:rsidRPr="002847DA">
              <w:rPr>
                <w:rFonts w:eastAsia="Times New Roman" w:cstheme="minorHAnsi"/>
                <w:szCs w:val="20"/>
                <w:lang w:eastAsia="en-GB"/>
              </w:rPr>
              <w:t>Phasing in kilometre based vehicle charging systems in Denmark to replace fuel tax revenues and reduce congestion</w:t>
            </w:r>
          </w:p>
        </w:tc>
      </w:tr>
    </w:tbl>
    <w:p w14:paraId="0C9366B5" w14:textId="77777777" w:rsidR="00392FDA" w:rsidRPr="00EA4C9B" w:rsidRDefault="00392FDA" w:rsidP="00392FDA"/>
    <w:tbl>
      <w:tblPr>
        <w:tblW w:w="9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0"/>
        <w:gridCol w:w="1708"/>
        <w:gridCol w:w="5442"/>
      </w:tblGrid>
      <w:tr w:rsidR="00392FDA" w:rsidRPr="002847DA" w14:paraId="2F2A579F" w14:textId="77777777" w:rsidTr="004F0767">
        <w:trPr>
          <w:trHeight w:val="300"/>
        </w:trPr>
        <w:tc>
          <w:tcPr>
            <w:tcW w:w="9120" w:type="dxa"/>
            <w:gridSpan w:val="3"/>
            <w:tcBorders>
              <w:top w:val="single" w:sz="6" w:space="0" w:color="auto"/>
              <w:left w:val="single" w:sz="6" w:space="0" w:color="auto"/>
              <w:bottom w:val="single" w:sz="6" w:space="0" w:color="auto"/>
              <w:right w:val="single" w:sz="6" w:space="0" w:color="auto"/>
            </w:tcBorders>
            <w:shd w:val="clear" w:color="auto" w:fill="003399"/>
            <w:vAlign w:val="center"/>
            <w:hideMark/>
          </w:tcPr>
          <w:p w14:paraId="0DD7E9A0" w14:textId="3FEF75A5" w:rsidR="00392FDA" w:rsidRPr="003B7C0B" w:rsidRDefault="002847DA" w:rsidP="001A6AFA">
            <w:pPr>
              <w:pStyle w:val="Table"/>
              <w:ind w:left="57" w:right="57"/>
              <w:rPr>
                <w:rFonts w:ascii="Times New Roman" w:hAnsi="Times New Roman" w:cs="Times New Roman"/>
                <w:b/>
                <w:lang w:eastAsia="en-GB"/>
              </w:rPr>
            </w:pPr>
            <w:r w:rsidRPr="003B7C0B">
              <w:rPr>
                <w:b/>
                <w:color w:val="FFFFFF" w:themeColor="background1"/>
              </w:rPr>
              <w:t xml:space="preserve">Table </w:t>
            </w:r>
            <w:r w:rsidR="00490085">
              <w:rPr>
                <w:b/>
                <w:color w:val="FFFFFF" w:themeColor="background1"/>
              </w:rPr>
              <w:t>A6</w:t>
            </w:r>
            <w:r w:rsidR="003B7C0B" w:rsidRPr="003B7C0B">
              <w:rPr>
                <w:b/>
                <w:bCs/>
                <w:color w:val="FFFFFF" w:themeColor="background1"/>
              </w:rPr>
              <w:t>-</w:t>
            </w:r>
            <w:r w:rsidR="003B7C0B" w:rsidRPr="003B7C0B">
              <w:rPr>
                <w:b/>
                <w:bCs/>
                <w:color w:val="FFFFFF" w:themeColor="background1"/>
              </w:rPr>
              <w:fldChar w:fldCharType="begin"/>
            </w:r>
            <w:r w:rsidR="003B7C0B" w:rsidRPr="003B7C0B">
              <w:rPr>
                <w:b/>
                <w:bCs/>
                <w:color w:val="FFFFFF" w:themeColor="background1"/>
              </w:rPr>
              <w:instrText xml:space="preserve"> SEQ Table_A5- \* ARABIC </w:instrText>
            </w:r>
            <w:r w:rsidR="003B7C0B" w:rsidRPr="003B7C0B">
              <w:rPr>
                <w:b/>
                <w:bCs/>
                <w:color w:val="FFFFFF" w:themeColor="background1"/>
              </w:rPr>
              <w:fldChar w:fldCharType="separate"/>
            </w:r>
            <w:r w:rsidR="00732707">
              <w:rPr>
                <w:b/>
                <w:bCs/>
                <w:noProof/>
                <w:color w:val="FFFFFF" w:themeColor="background1"/>
              </w:rPr>
              <w:t>43</w:t>
            </w:r>
            <w:r w:rsidR="003B7C0B" w:rsidRPr="003B7C0B">
              <w:rPr>
                <w:b/>
                <w:bCs/>
                <w:color w:val="FFFFFF" w:themeColor="background1"/>
              </w:rPr>
              <w:fldChar w:fldCharType="end"/>
            </w:r>
            <w:r w:rsidRPr="003B7C0B">
              <w:rPr>
                <w:rFonts w:ascii="Calibri" w:hAnsi="Calibri" w:cs="Calibri"/>
                <w:b/>
                <w:color w:val="FFFFFF" w:themeColor="background1"/>
                <w:lang w:eastAsia="en-GB"/>
              </w:rPr>
              <w:t>:  Proposed reformed environmental taxes</w:t>
            </w:r>
          </w:p>
        </w:tc>
      </w:tr>
      <w:tr w:rsidR="00392FDA" w:rsidRPr="002847DA" w14:paraId="75761225" w14:textId="77777777" w:rsidTr="004F0767">
        <w:trPr>
          <w:trHeight w:val="300"/>
        </w:trPr>
        <w:tc>
          <w:tcPr>
            <w:tcW w:w="1970" w:type="dxa"/>
            <w:tcBorders>
              <w:top w:val="single" w:sz="6" w:space="0" w:color="auto"/>
              <w:left w:val="single" w:sz="6" w:space="0" w:color="auto"/>
              <w:bottom w:val="single" w:sz="6" w:space="0" w:color="auto"/>
              <w:right w:val="single" w:sz="6" w:space="0" w:color="auto"/>
            </w:tcBorders>
            <w:hideMark/>
          </w:tcPr>
          <w:p w14:paraId="067046F5" w14:textId="77777777" w:rsidR="00392FDA" w:rsidRPr="002847DA" w:rsidRDefault="00392FDA" w:rsidP="001A6AFA">
            <w:pPr>
              <w:pStyle w:val="Table"/>
              <w:ind w:left="57" w:right="57"/>
              <w:jc w:val="center"/>
              <w:rPr>
                <w:rFonts w:cstheme="minorHAnsi"/>
                <w:b/>
                <w:lang w:eastAsia="en-GB"/>
              </w:rPr>
            </w:pPr>
            <w:r w:rsidRPr="002847DA">
              <w:rPr>
                <w:rFonts w:cstheme="minorHAnsi"/>
                <w:b/>
                <w:lang w:eastAsia="en-GB"/>
              </w:rPr>
              <w:t>Proposed Reformed Environmental Tax</w:t>
            </w:r>
          </w:p>
        </w:tc>
        <w:tc>
          <w:tcPr>
            <w:tcW w:w="1708" w:type="dxa"/>
            <w:tcBorders>
              <w:top w:val="single" w:sz="6" w:space="0" w:color="auto"/>
              <w:left w:val="single" w:sz="6" w:space="0" w:color="auto"/>
              <w:bottom w:val="single" w:sz="6" w:space="0" w:color="auto"/>
              <w:right w:val="single" w:sz="6" w:space="0" w:color="auto"/>
            </w:tcBorders>
            <w:hideMark/>
          </w:tcPr>
          <w:p w14:paraId="1C5ED077" w14:textId="77777777" w:rsidR="00392FDA" w:rsidRPr="002847DA" w:rsidRDefault="00392FDA" w:rsidP="001A6AFA">
            <w:pPr>
              <w:pStyle w:val="Table"/>
              <w:ind w:left="57" w:right="57"/>
              <w:jc w:val="center"/>
              <w:rPr>
                <w:rFonts w:cstheme="minorHAnsi"/>
                <w:b/>
                <w:lang w:eastAsia="en-GB"/>
              </w:rPr>
            </w:pPr>
            <w:r w:rsidRPr="002847DA">
              <w:rPr>
                <w:rFonts w:cstheme="minorHAnsi"/>
                <w:b/>
                <w:lang w:eastAsia="en-GB"/>
              </w:rPr>
              <w:t>Source</w:t>
            </w:r>
          </w:p>
        </w:tc>
        <w:tc>
          <w:tcPr>
            <w:tcW w:w="5442" w:type="dxa"/>
            <w:tcBorders>
              <w:top w:val="single" w:sz="6" w:space="0" w:color="auto"/>
              <w:left w:val="single" w:sz="6" w:space="0" w:color="auto"/>
              <w:bottom w:val="single" w:sz="6" w:space="0" w:color="auto"/>
              <w:right w:val="single" w:sz="6" w:space="0" w:color="auto"/>
            </w:tcBorders>
            <w:hideMark/>
          </w:tcPr>
          <w:p w14:paraId="7C702631" w14:textId="77777777" w:rsidR="00392FDA" w:rsidRPr="002847DA" w:rsidRDefault="00392FDA" w:rsidP="001A6AFA">
            <w:pPr>
              <w:pStyle w:val="Table"/>
              <w:ind w:left="57" w:right="57"/>
              <w:jc w:val="center"/>
              <w:rPr>
                <w:rFonts w:cstheme="minorHAnsi"/>
                <w:b/>
                <w:lang w:eastAsia="en-GB"/>
              </w:rPr>
            </w:pPr>
            <w:r w:rsidRPr="002847DA">
              <w:rPr>
                <w:rFonts w:cstheme="minorHAnsi"/>
                <w:b/>
                <w:lang w:eastAsia="en-GB"/>
              </w:rPr>
              <w:t>Description</w:t>
            </w:r>
          </w:p>
        </w:tc>
      </w:tr>
      <w:tr w:rsidR="00392FDA" w:rsidRPr="002847DA" w14:paraId="797B359F" w14:textId="77777777" w:rsidTr="004F0767">
        <w:trPr>
          <w:trHeight w:val="300"/>
        </w:trPr>
        <w:tc>
          <w:tcPr>
            <w:tcW w:w="1970" w:type="dxa"/>
            <w:tcBorders>
              <w:top w:val="single" w:sz="6" w:space="0" w:color="auto"/>
              <w:left w:val="single" w:sz="6" w:space="0" w:color="auto"/>
              <w:bottom w:val="single" w:sz="6" w:space="0" w:color="auto"/>
              <w:right w:val="single" w:sz="6" w:space="0" w:color="auto"/>
            </w:tcBorders>
            <w:vAlign w:val="center"/>
          </w:tcPr>
          <w:p w14:paraId="4DA3084E" w14:textId="77777777" w:rsidR="00392FDA" w:rsidRPr="002847DA" w:rsidRDefault="00392FDA" w:rsidP="001A6AFA">
            <w:pPr>
              <w:pStyle w:val="Table"/>
              <w:ind w:left="57" w:right="57"/>
              <w:rPr>
                <w:rFonts w:cstheme="minorHAnsi"/>
                <w:lang w:eastAsia="en-GB"/>
              </w:rPr>
            </w:pPr>
            <w:r w:rsidRPr="002847DA">
              <w:rPr>
                <w:rFonts w:cstheme="minorHAnsi"/>
                <w:lang w:eastAsia="en-GB"/>
              </w:rPr>
              <w:t>Broadening CO2 emissions tax</w:t>
            </w:r>
          </w:p>
        </w:tc>
        <w:tc>
          <w:tcPr>
            <w:tcW w:w="1708" w:type="dxa"/>
            <w:tcBorders>
              <w:top w:val="single" w:sz="6" w:space="0" w:color="auto"/>
              <w:left w:val="single" w:sz="6" w:space="0" w:color="auto"/>
              <w:bottom w:val="single" w:sz="6" w:space="0" w:color="auto"/>
              <w:right w:val="single" w:sz="6" w:space="0" w:color="auto"/>
            </w:tcBorders>
            <w:vAlign w:val="center"/>
            <w:hideMark/>
          </w:tcPr>
          <w:p w14:paraId="028283B6" w14:textId="77777777" w:rsidR="00392FDA" w:rsidRPr="002847DA" w:rsidRDefault="00392FDA" w:rsidP="001A6AFA">
            <w:pPr>
              <w:pStyle w:val="Table"/>
              <w:ind w:left="57" w:right="57"/>
              <w:rPr>
                <w:rFonts w:cstheme="minorHAnsi"/>
                <w:lang w:eastAsia="en-GB"/>
              </w:rPr>
            </w:pPr>
            <w:r w:rsidRPr="002847DA">
              <w:rPr>
                <w:rFonts w:cstheme="minorHAnsi"/>
              </w:rPr>
              <w:t xml:space="preserve">Green Tax Reform interim report </w:t>
            </w:r>
            <w:r w:rsidRPr="002847DA">
              <w:rPr>
                <w:rFonts w:cstheme="minorHAnsi"/>
              </w:rPr>
              <w:tab/>
            </w:r>
          </w:p>
        </w:tc>
        <w:tc>
          <w:tcPr>
            <w:tcW w:w="5442" w:type="dxa"/>
            <w:tcBorders>
              <w:top w:val="single" w:sz="6" w:space="0" w:color="auto"/>
              <w:left w:val="single" w:sz="6" w:space="0" w:color="auto"/>
              <w:bottom w:val="single" w:sz="6" w:space="0" w:color="auto"/>
              <w:right w:val="single" w:sz="6" w:space="0" w:color="auto"/>
            </w:tcBorders>
            <w:vAlign w:val="center"/>
            <w:hideMark/>
          </w:tcPr>
          <w:p w14:paraId="64039BC1" w14:textId="77777777" w:rsidR="00392FDA" w:rsidRPr="002847DA" w:rsidRDefault="00392FDA" w:rsidP="001A6AFA">
            <w:pPr>
              <w:pStyle w:val="Table"/>
              <w:ind w:left="57" w:right="57"/>
              <w:rPr>
                <w:rFonts w:cstheme="minorHAnsi"/>
                <w:lang w:eastAsia="en-GB"/>
              </w:rPr>
            </w:pPr>
            <w:r w:rsidRPr="002847DA">
              <w:rPr>
                <w:rFonts w:cstheme="minorHAnsi"/>
                <w:lang w:eastAsia="en-GB"/>
              </w:rPr>
              <w:t>The proposal involves converting existing energy taxes on fossil fuels to a CO2 tax. This reform is intended to apply across various sectors, including industry, heat and electricity production, non-road transport, space heating, petrol, and diesel, with the overarching goal of improving uniformity</w:t>
            </w:r>
          </w:p>
        </w:tc>
      </w:tr>
      <w:tr w:rsidR="00392FDA" w:rsidRPr="002847DA" w14:paraId="7877FAEB" w14:textId="77777777" w:rsidTr="004F0767">
        <w:trPr>
          <w:trHeight w:val="300"/>
        </w:trPr>
        <w:tc>
          <w:tcPr>
            <w:tcW w:w="1970" w:type="dxa"/>
            <w:tcBorders>
              <w:top w:val="single" w:sz="6" w:space="0" w:color="auto"/>
              <w:left w:val="single" w:sz="6" w:space="0" w:color="auto"/>
              <w:bottom w:val="single" w:sz="6" w:space="0" w:color="auto"/>
              <w:right w:val="single" w:sz="6" w:space="0" w:color="auto"/>
            </w:tcBorders>
            <w:vAlign w:val="center"/>
          </w:tcPr>
          <w:p w14:paraId="06C504EF" w14:textId="77777777" w:rsidR="00392FDA" w:rsidRPr="002847DA" w:rsidRDefault="00392FDA" w:rsidP="001A6AFA">
            <w:pPr>
              <w:pStyle w:val="Table"/>
              <w:ind w:left="57" w:right="57"/>
              <w:rPr>
                <w:rFonts w:cstheme="minorHAnsi"/>
                <w:lang w:eastAsia="en-GB"/>
              </w:rPr>
            </w:pPr>
            <w:r w:rsidRPr="002847DA">
              <w:rPr>
                <w:rFonts w:cstheme="minorHAnsi"/>
                <w:lang w:eastAsia="en-GB"/>
              </w:rPr>
              <w:t>Harmonisation of F-gases taxation</w:t>
            </w:r>
          </w:p>
        </w:tc>
        <w:tc>
          <w:tcPr>
            <w:tcW w:w="1708" w:type="dxa"/>
            <w:tcBorders>
              <w:top w:val="single" w:sz="6" w:space="0" w:color="auto"/>
              <w:left w:val="single" w:sz="6" w:space="0" w:color="auto"/>
              <w:bottom w:val="single" w:sz="6" w:space="0" w:color="auto"/>
              <w:right w:val="single" w:sz="6" w:space="0" w:color="auto"/>
            </w:tcBorders>
            <w:vAlign w:val="center"/>
          </w:tcPr>
          <w:p w14:paraId="4F5AF527" w14:textId="77777777" w:rsidR="00392FDA" w:rsidRPr="002847DA" w:rsidRDefault="00392FDA" w:rsidP="001A6AFA">
            <w:pPr>
              <w:pStyle w:val="Table"/>
              <w:ind w:left="57" w:right="57"/>
              <w:rPr>
                <w:rFonts w:cstheme="minorHAnsi"/>
                <w:lang w:eastAsia="en-GB"/>
              </w:rPr>
            </w:pPr>
            <w:r w:rsidRPr="002847DA">
              <w:rPr>
                <w:rFonts w:cstheme="minorHAnsi"/>
                <w:lang w:eastAsia="en-GB"/>
              </w:rPr>
              <w:t>Green tax Reform final report</w:t>
            </w:r>
          </w:p>
        </w:tc>
        <w:tc>
          <w:tcPr>
            <w:tcW w:w="5442" w:type="dxa"/>
            <w:tcBorders>
              <w:top w:val="single" w:sz="6" w:space="0" w:color="auto"/>
              <w:left w:val="single" w:sz="6" w:space="0" w:color="auto"/>
              <w:bottom w:val="single" w:sz="6" w:space="0" w:color="auto"/>
              <w:right w:val="single" w:sz="6" w:space="0" w:color="auto"/>
            </w:tcBorders>
            <w:vAlign w:val="center"/>
          </w:tcPr>
          <w:p w14:paraId="6F7BB913" w14:textId="77777777" w:rsidR="00392FDA" w:rsidRPr="002847DA" w:rsidRDefault="00392FDA" w:rsidP="001A6AFA">
            <w:pPr>
              <w:pStyle w:val="Table"/>
              <w:ind w:left="57" w:right="57"/>
              <w:rPr>
                <w:rFonts w:cstheme="minorHAnsi"/>
                <w:lang w:eastAsia="en-GB"/>
              </w:rPr>
            </w:pPr>
            <w:r w:rsidRPr="002847DA">
              <w:rPr>
                <w:rFonts w:cstheme="minorHAnsi"/>
                <w:lang w:eastAsia="en-GB"/>
              </w:rPr>
              <w:t>The proposal consists of raising the existing tax on F-gases, aligning it with the tax agreed for industry</w:t>
            </w:r>
          </w:p>
        </w:tc>
      </w:tr>
      <w:tr w:rsidR="00392FDA" w:rsidRPr="002847DA" w14:paraId="71A00B5E" w14:textId="77777777" w:rsidTr="004F0767">
        <w:trPr>
          <w:trHeight w:val="300"/>
        </w:trPr>
        <w:tc>
          <w:tcPr>
            <w:tcW w:w="1970" w:type="dxa"/>
            <w:tcBorders>
              <w:top w:val="single" w:sz="6" w:space="0" w:color="auto"/>
              <w:left w:val="single" w:sz="6" w:space="0" w:color="auto"/>
              <w:bottom w:val="single" w:sz="6" w:space="0" w:color="auto"/>
              <w:right w:val="single" w:sz="6" w:space="0" w:color="auto"/>
            </w:tcBorders>
            <w:vAlign w:val="center"/>
          </w:tcPr>
          <w:p w14:paraId="2DE214AA" w14:textId="77777777" w:rsidR="00392FDA" w:rsidRPr="002847DA" w:rsidRDefault="00392FDA" w:rsidP="001A6AFA">
            <w:pPr>
              <w:pStyle w:val="Table"/>
              <w:ind w:left="57" w:right="57"/>
              <w:rPr>
                <w:rFonts w:cstheme="minorHAnsi"/>
                <w:lang w:eastAsia="en-GB"/>
              </w:rPr>
            </w:pPr>
            <w:r w:rsidRPr="002847DA">
              <w:rPr>
                <w:rFonts w:cstheme="minorHAnsi"/>
                <w:lang w:eastAsia="en-GB"/>
              </w:rPr>
              <w:t>Review and restructuring of transport taxes</w:t>
            </w:r>
          </w:p>
        </w:tc>
        <w:tc>
          <w:tcPr>
            <w:tcW w:w="1708" w:type="dxa"/>
            <w:tcBorders>
              <w:top w:val="single" w:sz="6" w:space="0" w:color="auto"/>
              <w:left w:val="single" w:sz="6" w:space="0" w:color="auto"/>
              <w:bottom w:val="single" w:sz="6" w:space="0" w:color="auto"/>
              <w:right w:val="single" w:sz="6" w:space="0" w:color="auto"/>
            </w:tcBorders>
            <w:vAlign w:val="center"/>
          </w:tcPr>
          <w:p w14:paraId="553F8B02" w14:textId="77777777" w:rsidR="00392FDA" w:rsidRPr="002847DA" w:rsidRDefault="00392FDA" w:rsidP="001A6AFA">
            <w:pPr>
              <w:pStyle w:val="Table"/>
              <w:ind w:left="57" w:right="57"/>
              <w:rPr>
                <w:rFonts w:cstheme="minorHAnsi"/>
                <w:lang w:eastAsia="en-GB"/>
              </w:rPr>
            </w:pPr>
            <w:r w:rsidRPr="002847DA">
              <w:rPr>
                <w:rFonts w:cstheme="minorHAnsi"/>
                <w:lang w:eastAsia="en-GB"/>
              </w:rPr>
              <w:t>OECD Env performance</w:t>
            </w:r>
          </w:p>
        </w:tc>
        <w:tc>
          <w:tcPr>
            <w:tcW w:w="5442" w:type="dxa"/>
            <w:tcBorders>
              <w:top w:val="single" w:sz="6" w:space="0" w:color="auto"/>
              <w:left w:val="single" w:sz="6" w:space="0" w:color="auto"/>
              <w:bottom w:val="single" w:sz="6" w:space="0" w:color="auto"/>
              <w:right w:val="single" w:sz="6" w:space="0" w:color="auto"/>
            </w:tcBorders>
            <w:vAlign w:val="center"/>
          </w:tcPr>
          <w:p w14:paraId="01C4AFFC" w14:textId="77777777" w:rsidR="00392FDA" w:rsidRPr="002847DA" w:rsidRDefault="00392FDA" w:rsidP="001A6AFA">
            <w:pPr>
              <w:pStyle w:val="Table"/>
              <w:ind w:left="57" w:right="57"/>
              <w:rPr>
                <w:rFonts w:cstheme="minorHAnsi"/>
                <w:lang w:eastAsia="en-GB"/>
              </w:rPr>
            </w:pPr>
            <w:r w:rsidRPr="002847DA">
              <w:rPr>
                <w:rFonts w:cstheme="minorHAnsi"/>
                <w:lang w:eastAsia="en-GB"/>
              </w:rPr>
              <w:t>It is recommended to review existing transport taxes with a view to restructuring them in a more environmentally friendly way, including taxing both car use and ownership and removing the tax break for commuting</w:t>
            </w:r>
          </w:p>
        </w:tc>
      </w:tr>
      <w:tr w:rsidR="00392FDA" w:rsidRPr="002847DA" w14:paraId="633E9EC7" w14:textId="77777777" w:rsidTr="004F0767">
        <w:trPr>
          <w:trHeight w:val="300"/>
        </w:trPr>
        <w:tc>
          <w:tcPr>
            <w:tcW w:w="1970" w:type="dxa"/>
            <w:tcBorders>
              <w:top w:val="single" w:sz="6" w:space="0" w:color="auto"/>
              <w:left w:val="single" w:sz="6" w:space="0" w:color="auto"/>
              <w:bottom w:val="single" w:sz="6" w:space="0" w:color="auto"/>
              <w:right w:val="single" w:sz="6" w:space="0" w:color="auto"/>
            </w:tcBorders>
            <w:vAlign w:val="center"/>
          </w:tcPr>
          <w:p w14:paraId="23E11787" w14:textId="77777777" w:rsidR="00392FDA" w:rsidRPr="002847DA" w:rsidRDefault="00392FDA" w:rsidP="001A6AFA">
            <w:pPr>
              <w:pStyle w:val="Table"/>
              <w:ind w:left="57" w:right="57"/>
              <w:rPr>
                <w:rFonts w:cstheme="minorHAnsi"/>
                <w:lang w:eastAsia="en-GB"/>
              </w:rPr>
            </w:pPr>
            <w:r w:rsidRPr="002847DA">
              <w:rPr>
                <w:rFonts w:cstheme="minorHAnsi"/>
                <w:lang w:eastAsia="en-GB"/>
              </w:rPr>
              <w:t>Air Pollution Tax</w:t>
            </w:r>
          </w:p>
        </w:tc>
        <w:tc>
          <w:tcPr>
            <w:tcW w:w="1708" w:type="dxa"/>
            <w:tcBorders>
              <w:top w:val="single" w:sz="6" w:space="0" w:color="auto"/>
              <w:left w:val="single" w:sz="6" w:space="0" w:color="auto"/>
              <w:bottom w:val="single" w:sz="6" w:space="0" w:color="auto"/>
              <w:right w:val="single" w:sz="6" w:space="0" w:color="auto"/>
            </w:tcBorders>
            <w:vAlign w:val="center"/>
          </w:tcPr>
          <w:p w14:paraId="0D50628C" w14:textId="77777777" w:rsidR="00392FDA" w:rsidRPr="002847DA" w:rsidRDefault="00392FDA" w:rsidP="001A6AFA">
            <w:pPr>
              <w:pStyle w:val="Table"/>
              <w:ind w:left="57" w:right="57"/>
              <w:rPr>
                <w:rFonts w:cstheme="minorHAnsi"/>
                <w:lang w:eastAsia="en-GB"/>
              </w:rPr>
            </w:pPr>
            <w:r w:rsidRPr="002847DA">
              <w:rPr>
                <w:rFonts w:cstheme="minorHAnsi"/>
                <w:lang w:eastAsia="en-GB"/>
              </w:rPr>
              <w:t>IEEP Good Practice Scenario</w:t>
            </w:r>
          </w:p>
        </w:tc>
        <w:tc>
          <w:tcPr>
            <w:tcW w:w="5442" w:type="dxa"/>
            <w:tcBorders>
              <w:top w:val="single" w:sz="6" w:space="0" w:color="auto"/>
              <w:left w:val="single" w:sz="6" w:space="0" w:color="auto"/>
              <w:bottom w:val="single" w:sz="6" w:space="0" w:color="auto"/>
              <w:right w:val="single" w:sz="6" w:space="0" w:color="auto"/>
            </w:tcBorders>
            <w:vAlign w:val="center"/>
          </w:tcPr>
          <w:p w14:paraId="5FE159CB" w14:textId="77777777" w:rsidR="00392FDA" w:rsidRPr="002847DA" w:rsidRDefault="00392FDA" w:rsidP="001A6AFA">
            <w:pPr>
              <w:pStyle w:val="Table"/>
              <w:ind w:left="57" w:right="57"/>
              <w:rPr>
                <w:rFonts w:cstheme="minorHAnsi"/>
                <w:lang w:eastAsia="en-GB"/>
              </w:rPr>
            </w:pPr>
            <w:r w:rsidRPr="002847DA">
              <w:rPr>
                <w:rFonts w:cstheme="minorHAnsi"/>
                <w:lang w:eastAsia="en-GB"/>
              </w:rPr>
              <w:t xml:space="preserve">A suggested increase of the existing tax rate for NOx and implementing a new tax on emissions of primary particles. </w:t>
            </w:r>
          </w:p>
        </w:tc>
      </w:tr>
      <w:tr w:rsidR="00392FDA" w:rsidRPr="002847DA" w14:paraId="7794D9B1" w14:textId="77777777" w:rsidTr="004F0767">
        <w:trPr>
          <w:trHeight w:val="300"/>
        </w:trPr>
        <w:tc>
          <w:tcPr>
            <w:tcW w:w="1970" w:type="dxa"/>
            <w:tcBorders>
              <w:top w:val="single" w:sz="6" w:space="0" w:color="auto"/>
              <w:left w:val="single" w:sz="6" w:space="0" w:color="auto"/>
              <w:bottom w:val="single" w:sz="6" w:space="0" w:color="auto"/>
              <w:right w:val="single" w:sz="6" w:space="0" w:color="auto"/>
            </w:tcBorders>
            <w:vAlign w:val="center"/>
          </w:tcPr>
          <w:p w14:paraId="745E36EB" w14:textId="77777777" w:rsidR="00392FDA" w:rsidRPr="002847DA" w:rsidRDefault="00392FDA" w:rsidP="001A6AFA">
            <w:pPr>
              <w:pStyle w:val="Table"/>
              <w:ind w:left="57" w:right="57"/>
              <w:rPr>
                <w:rFonts w:cstheme="minorHAnsi"/>
                <w:lang w:eastAsia="en-GB"/>
              </w:rPr>
            </w:pPr>
            <w:r w:rsidRPr="002847DA">
              <w:rPr>
                <w:rFonts w:cstheme="minorHAnsi"/>
                <w:lang w:eastAsia="en-GB"/>
              </w:rPr>
              <w:t>Increased Fuel Taxation</w:t>
            </w:r>
          </w:p>
        </w:tc>
        <w:tc>
          <w:tcPr>
            <w:tcW w:w="1708" w:type="dxa"/>
            <w:tcBorders>
              <w:top w:val="single" w:sz="6" w:space="0" w:color="auto"/>
              <w:left w:val="single" w:sz="6" w:space="0" w:color="auto"/>
              <w:bottom w:val="single" w:sz="6" w:space="0" w:color="auto"/>
              <w:right w:val="single" w:sz="6" w:space="0" w:color="auto"/>
            </w:tcBorders>
            <w:vAlign w:val="center"/>
          </w:tcPr>
          <w:p w14:paraId="5D6DD486" w14:textId="77777777" w:rsidR="00392FDA" w:rsidRPr="002847DA" w:rsidRDefault="00392FDA" w:rsidP="001A6AFA">
            <w:pPr>
              <w:pStyle w:val="Table"/>
              <w:ind w:left="57" w:right="57"/>
              <w:rPr>
                <w:rFonts w:cstheme="minorHAnsi"/>
                <w:lang w:eastAsia="en-GB"/>
              </w:rPr>
            </w:pPr>
            <w:r w:rsidRPr="002847DA">
              <w:rPr>
                <w:rFonts w:cstheme="minorHAnsi"/>
                <w:lang w:eastAsia="en-GB"/>
              </w:rPr>
              <w:t>IMF Climate Mitigation &amp; Green Tax Reform interim report</w:t>
            </w:r>
          </w:p>
        </w:tc>
        <w:tc>
          <w:tcPr>
            <w:tcW w:w="5442" w:type="dxa"/>
            <w:tcBorders>
              <w:top w:val="single" w:sz="6" w:space="0" w:color="auto"/>
              <w:left w:val="single" w:sz="6" w:space="0" w:color="auto"/>
              <w:bottom w:val="single" w:sz="6" w:space="0" w:color="auto"/>
              <w:right w:val="single" w:sz="6" w:space="0" w:color="auto"/>
            </w:tcBorders>
            <w:vAlign w:val="center"/>
          </w:tcPr>
          <w:p w14:paraId="597EFBF5" w14:textId="77777777" w:rsidR="00392FDA" w:rsidRPr="002847DA" w:rsidRDefault="00392FDA" w:rsidP="001A6AFA">
            <w:pPr>
              <w:pStyle w:val="Table"/>
              <w:ind w:left="57" w:right="57"/>
              <w:rPr>
                <w:rFonts w:cstheme="minorHAnsi"/>
                <w:lang w:eastAsia="en-GB"/>
              </w:rPr>
            </w:pPr>
            <w:r w:rsidRPr="002847DA">
              <w:rPr>
                <w:rFonts w:cstheme="minorHAnsi"/>
                <w:lang w:eastAsia="en-GB"/>
              </w:rPr>
              <w:t xml:space="preserve">Higher levels of fuel taxation are warranted, with a precedent for higher fuel taxes as part of environmental tax reforms set by other nations, including Latvia and Lithuania. </w:t>
            </w:r>
          </w:p>
        </w:tc>
      </w:tr>
      <w:tr w:rsidR="00392FDA" w:rsidRPr="002847DA" w14:paraId="1DFD7E3E" w14:textId="77777777" w:rsidTr="004F0767">
        <w:trPr>
          <w:trHeight w:val="300"/>
        </w:trPr>
        <w:tc>
          <w:tcPr>
            <w:tcW w:w="1970" w:type="dxa"/>
            <w:tcBorders>
              <w:top w:val="single" w:sz="6" w:space="0" w:color="auto"/>
              <w:left w:val="single" w:sz="6" w:space="0" w:color="auto"/>
              <w:bottom w:val="single" w:sz="6" w:space="0" w:color="auto"/>
              <w:right w:val="single" w:sz="6" w:space="0" w:color="auto"/>
            </w:tcBorders>
            <w:vAlign w:val="center"/>
          </w:tcPr>
          <w:p w14:paraId="24704686" w14:textId="77777777" w:rsidR="00392FDA" w:rsidRPr="002847DA" w:rsidRDefault="00392FDA" w:rsidP="001A6AFA">
            <w:pPr>
              <w:pStyle w:val="Table"/>
              <w:ind w:left="57" w:right="57"/>
              <w:rPr>
                <w:rFonts w:cstheme="minorHAnsi"/>
                <w:lang w:eastAsia="en-GB"/>
              </w:rPr>
            </w:pPr>
            <w:r w:rsidRPr="002847DA">
              <w:rPr>
                <w:rFonts w:cstheme="minorHAnsi"/>
                <w:lang w:eastAsia="en-GB"/>
              </w:rPr>
              <w:t>Incineration Tax Reform</w:t>
            </w:r>
          </w:p>
        </w:tc>
        <w:tc>
          <w:tcPr>
            <w:tcW w:w="1708" w:type="dxa"/>
            <w:tcBorders>
              <w:top w:val="single" w:sz="6" w:space="0" w:color="auto"/>
              <w:left w:val="single" w:sz="6" w:space="0" w:color="auto"/>
              <w:bottom w:val="single" w:sz="6" w:space="0" w:color="auto"/>
              <w:right w:val="single" w:sz="6" w:space="0" w:color="auto"/>
            </w:tcBorders>
            <w:vAlign w:val="center"/>
          </w:tcPr>
          <w:p w14:paraId="024E59D3" w14:textId="77777777" w:rsidR="00392FDA" w:rsidRPr="002847DA" w:rsidRDefault="00392FDA" w:rsidP="001A6AFA">
            <w:pPr>
              <w:pStyle w:val="Table"/>
              <w:ind w:left="57" w:right="57"/>
              <w:rPr>
                <w:rFonts w:cstheme="minorHAnsi"/>
                <w:lang w:eastAsia="en-GB"/>
              </w:rPr>
            </w:pPr>
            <w:r w:rsidRPr="002847DA">
              <w:rPr>
                <w:rFonts w:cstheme="minorHAnsi"/>
                <w:lang w:eastAsia="en-GB"/>
              </w:rPr>
              <w:t>Green Tax Reform interim report</w:t>
            </w:r>
          </w:p>
        </w:tc>
        <w:tc>
          <w:tcPr>
            <w:tcW w:w="5442" w:type="dxa"/>
            <w:tcBorders>
              <w:top w:val="single" w:sz="6" w:space="0" w:color="auto"/>
              <w:left w:val="single" w:sz="6" w:space="0" w:color="auto"/>
              <w:bottom w:val="single" w:sz="6" w:space="0" w:color="auto"/>
              <w:right w:val="single" w:sz="6" w:space="0" w:color="auto"/>
            </w:tcBorders>
            <w:vAlign w:val="center"/>
          </w:tcPr>
          <w:p w14:paraId="12D8B0A6" w14:textId="77777777" w:rsidR="00392FDA" w:rsidRPr="002847DA" w:rsidRDefault="00392FDA" w:rsidP="001A6AFA">
            <w:pPr>
              <w:pStyle w:val="Table"/>
              <w:ind w:left="57" w:right="57"/>
              <w:rPr>
                <w:rFonts w:cstheme="minorHAnsi"/>
                <w:lang w:eastAsia="en-GB"/>
              </w:rPr>
            </w:pPr>
            <w:r w:rsidRPr="002847DA">
              <w:rPr>
                <w:rFonts w:cstheme="minorHAnsi"/>
                <w:lang w:eastAsia="en-GB"/>
              </w:rPr>
              <w:t xml:space="preserve">This proposal includes redesigning the incineration tax to be closer to energy product taxes and increasing the tax on fossil fuel waste incineration is expected to encourage CO2 emission reductions. </w:t>
            </w:r>
          </w:p>
        </w:tc>
      </w:tr>
    </w:tbl>
    <w:p w14:paraId="2A3217A0" w14:textId="77777777" w:rsidR="00392FDA" w:rsidRPr="00EA4C9B" w:rsidRDefault="00392FDA" w:rsidP="00392FDA"/>
    <w:p w14:paraId="3325578F" w14:textId="1CAFD668" w:rsidR="00392FDA" w:rsidRPr="00EA4C9B" w:rsidRDefault="00392FDA" w:rsidP="007C4EB7">
      <w:pPr>
        <w:pStyle w:val="AnnexHeading2"/>
      </w:pPr>
      <w:bookmarkStart w:id="159" w:name="_Toc214008862"/>
      <w:r w:rsidRPr="00EA4C9B">
        <w:t>Impacts and Feasibility of implementing new environmental taxes</w:t>
      </w:r>
      <w:bookmarkEnd w:id="159"/>
    </w:p>
    <w:p w14:paraId="11F7AB9A" w14:textId="2ACA419D" w:rsidR="00FA6252" w:rsidRDefault="00FA6252" w:rsidP="00FA6252">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39BB25EE" w14:textId="77777777" w:rsidR="00732707" w:rsidRPr="00732707" w:rsidRDefault="00732707" w:rsidP="00732707">
      <w:r w:rsidRPr="00732707">
        <w:t>Denmark already operates several mature environmental taxes and charges, with comparatively strong performance on air emissions control, waste diversion and water management. The modelling indicates that the fiscal and environmental effects of adopting the benchmark rates are generally modest in Denmark, reflecting high existing rates in a number of areas. Water abstraction is set at the Danish benchmark, so no change is expected. Incineration outcomes are also flat because current Danish rates exceed the simulated benchmarks. For air pollutants, Denmark’s established NOx regime implies limited additional effect under Scenario B and only small incremental gains under Scenario A. By contrast, there is some scope to strengthen price signals for wastewater discharges, and a measured calibration of extraction charges could yield environmental improvements without material macroeconomic effects. Overall, both scenarios point to feasible reforms with low system-wide risk.</w:t>
      </w:r>
    </w:p>
    <w:p w14:paraId="3DD0C989" w14:textId="70E9D28E" w:rsidR="00E0082B" w:rsidRPr="0065431B" w:rsidRDefault="00E0082B" w:rsidP="00E0082B">
      <w:r>
        <w:lastRenderedPageBreak/>
        <w:t xml:space="preserve">At €519 million, Denmark is a country with high revenues from environmental and resource taxes in per capita terms.  The </w:t>
      </w:r>
      <w:r w:rsidR="007B606C">
        <w:t xml:space="preserve">investigated </w:t>
      </w:r>
      <w:r>
        <w:t xml:space="preserve">taxes would raise another €729 million in 2030 and €752 million in 2035, implying an increase of 1.4 times current taxes. The greatest increase comes from water effluent taxes, which account for two-thirds of the total, followed by mineral aggregate taxes, which raise another 30%. Together the two account for 96% of all increases in revenues. Reductions in environmental impacts are greatest in pesticides (50%), followed by mineral aggregates (27%) and water effluent (12%). There is no impact from taxes on water abstraction, waste incineration and waste to landfill as these sectors have current tax rates above the </w:t>
      </w:r>
      <w:r w:rsidR="007B606C">
        <w:t>investigated</w:t>
      </w:r>
      <w:r>
        <w:t xml:space="preserve"> minimum.</w:t>
      </w:r>
    </w:p>
    <w:tbl>
      <w:tblPr>
        <w:tblStyle w:val="Lentelstinklelis1"/>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32"/>
        <w:gridCol w:w="1132"/>
        <w:gridCol w:w="1038"/>
        <w:gridCol w:w="1226"/>
        <w:gridCol w:w="975"/>
        <w:gridCol w:w="1291"/>
      </w:tblGrid>
      <w:tr w:rsidR="00E0082B" w:rsidRPr="00F501DA" w14:paraId="1119A809" w14:textId="77777777" w:rsidTr="00274248">
        <w:trPr>
          <w:trHeight w:val="258"/>
        </w:trPr>
        <w:tc>
          <w:tcPr>
            <w:tcW w:w="9058" w:type="dxa"/>
            <w:gridSpan w:val="7"/>
            <w:shd w:val="clear" w:color="auto" w:fill="003399"/>
          </w:tcPr>
          <w:p w14:paraId="0DD074B3" w14:textId="41E6AE53" w:rsidR="00E0082B" w:rsidRPr="003B7C0B" w:rsidRDefault="00E0082B" w:rsidP="000878F6">
            <w:pPr>
              <w:pStyle w:val="Table"/>
              <w:rPr>
                <w:b/>
                <w:color w:val="FFFFFF" w:themeColor="background1"/>
                <w:lang w:eastAsia="en-GB"/>
              </w:rPr>
            </w:pPr>
            <w:r w:rsidRPr="003B7C0B">
              <w:rPr>
                <w:b/>
                <w:color w:val="FFFFFF" w:themeColor="background1"/>
              </w:rPr>
              <w:t xml:space="preserve">Table </w:t>
            </w:r>
            <w:r w:rsidR="00490085">
              <w:rPr>
                <w:b/>
                <w:bCs/>
                <w:color w:val="FFFFFF" w:themeColor="background1"/>
              </w:rPr>
              <w:t>A6</w:t>
            </w:r>
            <w:r w:rsidRPr="003B7C0B">
              <w:rPr>
                <w:b/>
                <w:bCs/>
                <w:color w:val="FFFFFF" w:themeColor="background1"/>
              </w:rPr>
              <w:t>-</w:t>
            </w:r>
            <w:r w:rsidRPr="003B7C0B">
              <w:rPr>
                <w:b/>
                <w:bCs/>
                <w:color w:val="FFFFFF" w:themeColor="background1"/>
              </w:rPr>
              <w:fldChar w:fldCharType="begin"/>
            </w:r>
            <w:r w:rsidRPr="003B7C0B">
              <w:rPr>
                <w:b/>
                <w:bCs/>
                <w:color w:val="FFFFFF" w:themeColor="background1"/>
              </w:rPr>
              <w:instrText xml:space="preserve"> SEQ Table_A5- \* ARABIC </w:instrText>
            </w:r>
            <w:r w:rsidRPr="003B7C0B">
              <w:rPr>
                <w:b/>
                <w:bCs/>
                <w:color w:val="FFFFFF" w:themeColor="background1"/>
              </w:rPr>
              <w:fldChar w:fldCharType="separate"/>
            </w:r>
            <w:r w:rsidR="00274248">
              <w:rPr>
                <w:b/>
                <w:bCs/>
                <w:noProof/>
                <w:color w:val="FFFFFF" w:themeColor="background1"/>
              </w:rPr>
              <w:t>44</w:t>
            </w:r>
            <w:r w:rsidRPr="003B7C0B">
              <w:rPr>
                <w:b/>
                <w:bCs/>
                <w:color w:val="FFFFFF" w:themeColor="background1"/>
              </w:rPr>
              <w:fldChar w:fldCharType="end"/>
            </w:r>
            <w:r w:rsidRPr="003B7C0B">
              <w:rPr>
                <w:b/>
                <w:bCs/>
                <w:color w:val="FFFFFF" w:themeColor="background1"/>
                <w:lang w:eastAsia="en-GB"/>
              </w:rPr>
              <w:t>:</w:t>
            </w:r>
            <w:r w:rsidRPr="003B7C0B">
              <w:rPr>
                <w:b/>
                <w:color w:val="FFFFFF" w:themeColor="background1"/>
                <w:lang w:eastAsia="en-GB"/>
              </w:rPr>
              <w:t xml:space="preserve"> Environmental impacts and revenue changes in Denmark</w:t>
            </w:r>
            <w:r>
              <w:rPr>
                <w:b/>
                <w:color w:val="FFFFFF" w:themeColor="background1"/>
                <w:lang w:eastAsia="en-GB"/>
              </w:rPr>
              <w:t xml:space="preserve"> – Scenario A</w:t>
            </w:r>
          </w:p>
        </w:tc>
      </w:tr>
      <w:tr w:rsidR="00E0082B" w:rsidRPr="00F501DA" w14:paraId="5AD4EA84" w14:textId="77777777" w:rsidTr="00274248">
        <w:trPr>
          <w:trHeight w:val="492"/>
        </w:trPr>
        <w:tc>
          <w:tcPr>
            <w:tcW w:w="2264" w:type="dxa"/>
          </w:tcPr>
          <w:p w14:paraId="20500CCE" w14:textId="77777777" w:rsidR="00E0082B" w:rsidRPr="003B7C0B" w:rsidRDefault="00E0082B" w:rsidP="000878F6">
            <w:pPr>
              <w:pStyle w:val="Table"/>
              <w:rPr>
                <w:b/>
              </w:rPr>
            </w:pPr>
            <w:r w:rsidRPr="003B7C0B">
              <w:rPr>
                <w:b/>
              </w:rPr>
              <w:t>Tax Name</w:t>
            </w:r>
          </w:p>
        </w:tc>
        <w:tc>
          <w:tcPr>
            <w:tcW w:w="2264" w:type="dxa"/>
            <w:gridSpan w:val="2"/>
            <w:vAlign w:val="bottom"/>
          </w:tcPr>
          <w:p w14:paraId="3A0802C5" w14:textId="77777777" w:rsidR="00E0082B" w:rsidRPr="00983CCB" w:rsidRDefault="00E0082B" w:rsidP="000878F6">
            <w:pPr>
              <w:pStyle w:val="Table"/>
              <w:jc w:val="center"/>
              <w:rPr>
                <w:b/>
                <w:szCs w:val="20"/>
              </w:rPr>
            </w:pPr>
            <w:r>
              <w:rPr>
                <w:rFonts w:ascii="Calibri" w:hAnsi="Calibri" w:cs="Calibri"/>
                <w:b/>
                <w:bCs/>
                <w:color w:val="000000"/>
                <w:szCs w:val="20"/>
              </w:rPr>
              <w:t>% Change in Quantities as % of taxed sector</w:t>
            </w:r>
          </w:p>
        </w:tc>
        <w:tc>
          <w:tcPr>
            <w:tcW w:w="2264" w:type="dxa"/>
            <w:gridSpan w:val="2"/>
            <w:vAlign w:val="bottom"/>
          </w:tcPr>
          <w:p w14:paraId="605F016D" w14:textId="77777777" w:rsidR="00E0082B" w:rsidRPr="00983CCB" w:rsidRDefault="00E0082B" w:rsidP="000878F6">
            <w:pPr>
              <w:pStyle w:val="Table"/>
              <w:jc w:val="center"/>
              <w:rPr>
                <w:b/>
                <w:szCs w:val="20"/>
              </w:rPr>
            </w:pPr>
            <w:r>
              <w:rPr>
                <w:rFonts w:ascii="Calibri" w:hAnsi="Calibri" w:cs="Calibri"/>
                <w:b/>
                <w:bCs/>
                <w:color w:val="000000"/>
                <w:szCs w:val="20"/>
              </w:rPr>
              <w:t>Change in Revenues (€Mn)</w:t>
            </w:r>
          </w:p>
        </w:tc>
        <w:tc>
          <w:tcPr>
            <w:tcW w:w="2266" w:type="dxa"/>
            <w:gridSpan w:val="2"/>
            <w:vAlign w:val="bottom"/>
          </w:tcPr>
          <w:p w14:paraId="37C6A5D7" w14:textId="77777777" w:rsidR="00E0082B" w:rsidRPr="00983CCB" w:rsidRDefault="00E0082B" w:rsidP="000878F6">
            <w:pPr>
              <w:pStyle w:val="Table"/>
              <w:jc w:val="center"/>
              <w:rPr>
                <w:b/>
                <w:szCs w:val="20"/>
              </w:rPr>
            </w:pPr>
            <w:r>
              <w:rPr>
                <w:rFonts w:ascii="Calibri" w:hAnsi="Calibri" w:cs="Calibri"/>
                <w:b/>
                <w:bCs/>
                <w:color w:val="000000"/>
                <w:szCs w:val="20"/>
              </w:rPr>
              <w:t>As % of 2023 Resource Tax</w:t>
            </w:r>
          </w:p>
        </w:tc>
      </w:tr>
      <w:tr w:rsidR="00E0082B" w:rsidRPr="001840EB" w14:paraId="16532C88" w14:textId="77777777" w:rsidTr="00274248">
        <w:trPr>
          <w:trHeight w:val="237"/>
        </w:trPr>
        <w:tc>
          <w:tcPr>
            <w:tcW w:w="2264" w:type="dxa"/>
          </w:tcPr>
          <w:p w14:paraId="3535B9BF" w14:textId="77777777" w:rsidR="00E0082B" w:rsidRPr="00131110" w:rsidRDefault="00E0082B" w:rsidP="000878F6">
            <w:pPr>
              <w:pStyle w:val="Table"/>
              <w:rPr>
                <w:b/>
              </w:rPr>
            </w:pPr>
            <w:r w:rsidRPr="00131110">
              <w:rPr>
                <w:b/>
              </w:rPr>
              <w:t>Year</w:t>
            </w:r>
          </w:p>
        </w:tc>
        <w:tc>
          <w:tcPr>
            <w:tcW w:w="1132" w:type="dxa"/>
          </w:tcPr>
          <w:p w14:paraId="6923AE86" w14:textId="77777777" w:rsidR="00E0082B" w:rsidRPr="00983CCB" w:rsidRDefault="00E0082B" w:rsidP="000878F6">
            <w:pPr>
              <w:pStyle w:val="Table"/>
              <w:jc w:val="center"/>
              <w:rPr>
                <w:b/>
                <w:szCs w:val="20"/>
              </w:rPr>
            </w:pPr>
            <w:r w:rsidRPr="00983CCB">
              <w:rPr>
                <w:b/>
                <w:szCs w:val="20"/>
              </w:rPr>
              <w:t>2030</w:t>
            </w:r>
          </w:p>
        </w:tc>
        <w:tc>
          <w:tcPr>
            <w:tcW w:w="1132" w:type="dxa"/>
          </w:tcPr>
          <w:p w14:paraId="18EB383A" w14:textId="77777777" w:rsidR="00E0082B" w:rsidRPr="00983CCB" w:rsidRDefault="00E0082B" w:rsidP="000878F6">
            <w:pPr>
              <w:pStyle w:val="Table"/>
              <w:jc w:val="center"/>
              <w:rPr>
                <w:b/>
                <w:szCs w:val="20"/>
              </w:rPr>
            </w:pPr>
            <w:r w:rsidRPr="00983CCB">
              <w:rPr>
                <w:b/>
                <w:szCs w:val="20"/>
              </w:rPr>
              <w:t>2035</w:t>
            </w:r>
          </w:p>
        </w:tc>
        <w:tc>
          <w:tcPr>
            <w:tcW w:w="1038" w:type="dxa"/>
          </w:tcPr>
          <w:p w14:paraId="12D8D1FB" w14:textId="77777777" w:rsidR="00E0082B" w:rsidRPr="00983CCB" w:rsidRDefault="00E0082B" w:rsidP="000878F6">
            <w:pPr>
              <w:pStyle w:val="Table"/>
              <w:jc w:val="center"/>
              <w:rPr>
                <w:b/>
                <w:szCs w:val="20"/>
              </w:rPr>
            </w:pPr>
            <w:r w:rsidRPr="00983CCB">
              <w:rPr>
                <w:b/>
                <w:szCs w:val="20"/>
              </w:rPr>
              <w:t>2030</w:t>
            </w:r>
          </w:p>
        </w:tc>
        <w:tc>
          <w:tcPr>
            <w:tcW w:w="1226" w:type="dxa"/>
          </w:tcPr>
          <w:p w14:paraId="22FC338C" w14:textId="77777777" w:rsidR="00E0082B" w:rsidRPr="00983CCB" w:rsidRDefault="00E0082B" w:rsidP="000878F6">
            <w:pPr>
              <w:pStyle w:val="Table"/>
              <w:jc w:val="center"/>
              <w:rPr>
                <w:b/>
                <w:szCs w:val="20"/>
              </w:rPr>
            </w:pPr>
            <w:r w:rsidRPr="00983CCB">
              <w:rPr>
                <w:b/>
                <w:szCs w:val="20"/>
              </w:rPr>
              <w:t>2035</w:t>
            </w:r>
          </w:p>
        </w:tc>
        <w:tc>
          <w:tcPr>
            <w:tcW w:w="975" w:type="dxa"/>
          </w:tcPr>
          <w:p w14:paraId="40523F87" w14:textId="77777777" w:rsidR="00E0082B" w:rsidRPr="00983CCB" w:rsidRDefault="00E0082B" w:rsidP="000878F6">
            <w:pPr>
              <w:pStyle w:val="Table"/>
              <w:jc w:val="center"/>
              <w:rPr>
                <w:b/>
                <w:szCs w:val="20"/>
              </w:rPr>
            </w:pPr>
            <w:r w:rsidRPr="00983CCB">
              <w:rPr>
                <w:b/>
                <w:szCs w:val="20"/>
              </w:rPr>
              <w:t>2030</w:t>
            </w:r>
          </w:p>
        </w:tc>
        <w:tc>
          <w:tcPr>
            <w:tcW w:w="1291" w:type="dxa"/>
          </w:tcPr>
          <w:p w14:paraId="2E5BE454" w14:textId="77777777" w:rsidR="00E0082B" w:rsidRPr="00983CCB" w:rsidRDefault="00E0082B" w:rsidP="000878F6">
            <w:pPr>
              <w:pStyle w:val="Table"/>
              <w:jc w:val="center"/>
              <w:rPr>
                <w:b/>
                <w:szCs w:val="20"/>
              </w:rPr>
            </w:pPr>
            <w:r w:rsidRPr="00983CCB">
              <w:rPr>
                <w:b/>
                <w:szCs w:val="20"/>
              </w:rPr>
              <w:t>2035</w:t>
            </w:r>
          </w:p>
        </w:tc>
      </w:tr>
      <w:tr w:rsidR="00E0082B" w:rsidRPr="001840EB" w14:paraId="3F5315F2" w14:textId="77777777" w:rsidTr="00274248">
        <w:trPr>
          <w:trHeight w:val="237"/>
        </w:trPr>
        <w:tc>
          <w:tcPr>
            <w:tcW w:w="2264" w:type="dxa"/>
          </w:tcPr>
          <w:p w14:paraId="0FE011DC" w14:textId="77777777" w:rsidR="00E0082B" w:rsidRPr="00F501DA" w:rsidRDefault="00E0082B" w:rsidP="000878F6">
            <w:pPr>
              <w:pStyle w:val="Table"/>
            </w:pPr>
            <w:r w:rsidRPr="00F501DA">
              <w:t>NOx</w:t>
            </w:r>
          </w:p>
        </w:tc>
        <w:tc>
          <w:tcPr>
            <w:tcW w:w="1132" w:type="dxa"/>
            <w:vAlign w:val="center"/>
          </w:tcPr>
          <w:p w14:paraId="2219DE18" w14:textId="77777777" w:rsidR="00E0082B" w:rsidRPr="00983CCB" w:rsidRDefault="00E0082B" w:rsidP="000878F6">
            <w:pPr>
              <w:pStyle w:val="Table"/>
              <w:jc w:val="center"/>
              <w:rPr>
                <w:szCs w:val="20"/>
              </w:rPr>
            </w:pPr>
            <w:r w:rsidRPr="00983CCB">
              <w:rPr>
                <w:rFonts w:ascii="Calibri" w:hAnsi="Calibri" w:cs="Calibri"/>
                <w:color w:val="000000"/>
                <w:szCs w:val="20"/>
              </w:rPr>
              <w:t>-23,29%</w:t>
            </w:r>
          </w:p>
        </w:tc>
        <w:tc>
          <w:tcPr>
            <w:tcW w:w="1132" w:type="dxa"/>
            <w:vAlign w:val="center"/>
          </w:tcPr>
          <w:p w14:paraId="556A08E6" w14:textId="77777777" w:rsidR="00E0082B" w:rsidRPr="00983CCB" w:rsidRDefault="00E0082B" w:rsidP="000878F6">
            <w:pPr>
              <w:pStyle w:val="Table"/>
              <w:jc w:val="center"/>
              <w:rPr>
                <w:szCs w:val="20"/>
              </w:rPr>
            </w:pPr>
            <w:r w:rsidRPr="00983CCB">
              <w:rPr>
                <w:rFonts w:ascii="Calibri" w:hAnsi="Calibri" w:cs="Calibri"/>
                <w:color w:val="000000"/>
                <w:szCs w:val="20"/>
              </w:rPr>
              <w:t>-23,29%</w:t>
            </w:r>
          </w:p>
        </w:tc>
        <w:tc>
          <w:tcPr>
            <w:tcW w:w="1038" w:type="dxa"/>
            <w:vAlign w:val="center"/>
          </w:tcPr>
          <w:p w14:paraId="5FE432A6" w14:textId="77777777" w:rsidR="00E0082B" w:rsidRPr="00983CCB" w:rsidRDefault="00E0082B" w:rsidP="000878F6">
            <w:pPr>
              <w:pStyle w:val="Table"/>
              <w:jc w:val="center"/>
              <w:rPr>
                <w:szCs w:val="20"/>
              </w:rPr>
            </w:pPr>
            <w:r w:rsidRPr="00983CCB">
              <w:rPr>
                <w:rFonts w:ascii="Calibri" w:hAnsi="Calibri" w:cs="Calibri"/>
                <w:color w:val="000000"/>
                <w:szCs w:val="20"/>
              </w:rPr>
              <w:t>0,54</w:t>
            </w:r>
          </w:p>
        </w:tc>
        <w:tc>
          <w:tcPr>
            <w:tcW w:w="1226" w:type="dxa"/>
            <w:vAlign w:val="center"/>
          </w:tcPr>
          <w:p w14:paraId="5077F500" w14:textId="77777777" w:rsidR="00E0082B" w:rsidRPr="00983CCB" w:rsidRDefault="00E0082B" w:rsidP="000878F6">
            <w:pPr>
              <w:pStyle w:val="Table"/>
              <w:jc w:val="center"/>
              <w:rPr>
                <w:szCs w:val="20"/>
              </w:rPr>
            </w:pPr>
            <w:r w:rsidRPr="00983CCB">
              <w:rPr>
                <w:rFonts w:ascii="Calibri" w:hAnsi="Calibri" w:cs="Calibri"/>
                <w:color w:val="000000"/>
                <w:szCs w:val="20"/>
              </w:rPr>
              <w:t>0,53</w:t>
            </w:r>
          </w:p>
        </w:tc>
        <w:tc>
          <w:tcPr>
            <w:tcW w:w="975" w:type="dxa"/>
            <w:vAlign w:val="center"/>
          </w:tcPr>
          <w:p w14:paraId="24FEF404" w14:textId="77777777" w:rsidR="00E0082B" w:rsidRPr="00983CCB" w:rsidRDefault="00E0082B" w:rsidP="000878F6">
            <w:pPr>
              <w:pStyle w:val="Table"/>
              <w:jc w:val="center"/>
              <w:rPr>
                <w:szCs w:val="20"/>
              </w:rPr>
            </w:pPr>
            <w:r w:rsidRPr="00983CCB">
              <w:rPr>
                <w:rFonts w:ascii="Calibri" w:hAnsi="Calibri" w:cs="Calibri"/>
                <w:color w:val="000000"/>
                <w:szCs w:val="20"/>
              </w:rPr>
              <w:t>0,19%</w:t>
            </w:r>
          </w:p>
        </w:tc>
        <w:tc>
          <w:tcPr>
            <w:tcW w:w="1291" w:type="dxa"/>
            <w:vAlign w:val="center"/>
          </w:tcPr>
          <w:p w14:paraId="63E41052" w14:textId="77777777" w:rsidR="00E0082B" w:rsidRPr="00983CCB" w:rsidRDefault="00E0082B" w:rsidP="000878F6">
            <w:pPr>
              <w:pStyle w:val="Table"/>
              <w:jc w:val="center"/>
              <w:rPr>
                <w:szCs w:val="20"/>
              </w:rPr>
            </w:pPr>
            <w:r w:rsidRPr="00983CCB">
              <w:rPr>
                <w:rFonts w:ascii="Calibri" w:hAnsi="Calibri" w:cs="Calibri"/>
                <w:color w:val="000000"/>
                <w:szCs w:val="20"/>
              </w:rPr>
              <w:t>0,18%</w:t>
            </w:r>
          </w:p>
        </w:tc>
      </w:tr>
      <w:tr w:rsidR="00E0082B" w:rsidRPr="001840EB" w14:paraId="55F90E5C" w14:textId="77777777" w:rsidTr="00274248">
        <w:trPr>
          <w:trHeight w:val="237"/>
        </w:trPr>
        <w:tc>
          <w:tcPr>
            <w:tcW w:w="2264" w:type="dxa"/>
          </w:tcPr>
          <w:p w14:paraId="717DBDED" w14:textId="77777777" w:rsidR="00E0082B" w:rsidRPr="00F501DA" w:rsidRDefault="00E0082B" w:rsidP="000878F6">
            <w:pPr>
              <w:pStyle w:val="Table"/>
            </w:pPr>
            <w:r w:rsidRPr="00F501DA">
              <w:t>SO2</w:t>
            </w:r>
          </w:p>
        </w:tc>
        <w:tc>
          <w:tcPr>
            <w:tcW w:w="1132" w:type="dxa"/>
            <w:vAlign w:val="center"/>
          </w:tcPr>
          <w:p w14:paraId="7FEC2534"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132" w:type="dxa"/>
            <w:vAlign w:val="center"/>
          </w:tcPr>
          <w:p w14:paraId="215C42B0"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038" w:type="dxa"/>
            <w:vAlign w:val="center"/>
          </w:tcPr>
          <w:p w14:paraId="6B772B15"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226" w:type="dxa"/>
            <w:vAlign w:val="center"/>
          </w:tcPr>
          <w:p w14:paraId="55BCB9F7"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975" w:type="dxa"/>
            <w:vAlign w:val="center"/>
          </w:tcPr>
          <w:p w14:paraId="443723CE"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291" w:type="dxa"/>
            <w:vAlign w:val="center"/>
          </w:tcPr>
          <w:p w14:paraId="12655EF8"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r>
      <w:tr w:rsidR="00E0082B" w:rsidRPr="001840EB" w14:paraId="3AAC7622" w14:textId="77777777" w:rsidTr="00274248">
        <w:trPr>
          <w:trHeight w:val="237"/>
        </w:trPr>
        <w:tc>
          <w:tcPr>
            <w:tcW w:w="2264" w:type="dxa"/>
          </w:tcPr>
          <w:p w14:paraId="4EA8B716" w14:textId="77777777" w:rsidR="00E0082B" w:rsidRPr="00F501DA" w:rsidRDefault="00E0082B" w:rsidP="000878F6">
            <w:pPr>
              <w:pStyle w:val="Table"/>
            </w:pPr>
            <w:r w:rsidRPr="00F501DA">
              <w:t>PM2.5</w:t>
            </w:r>
          </w:p>
        </w:tc>
        <w:tc>
          <w:tcPr>
            <w:tcW w:w="1132" w:type="dxa"/>
            <w:vAlign w:val="center"/>
          </w:tcPr>
          <w:p w14:paraId="3984B4C3" w14:textId="77777777" w:rsidR="00E0082B" w:rsidRPr="00983CCB" w:rsidRDefault="00E0082B" w:rsidP="000878F6">
            <w:pPr>
              <w:pStyle w:val="Table"/>
              <w:jc w:val="center"/>
              <w:rPr>
                <w:szCs w:val="20"/>
              </w:rPr>
            </w:pPr>
            <w:r w:rsidRPr="00983CCB">
              <w:rPr>
                <w:rFonts w:ascii="Calibri" w:hAnsi="Calibri" w:cs="Calibri"/>
                <w:color w:val="000000"/>
                <w:szCs w:val="20"/>
              </w:rPr>
              <w:t>-29,58%</w:t>
            </w:r>
          </w:p>
        </w:tc>
        <w:tc>
          <w:tcPr>
            <w:tcW w:w="1132" w:type="dxa"/>
            <w:vAlign w:val="center"/>
          </w:tcPr>
          <w:p w14:paraId="33177AA7" w14:textId="77777777" w:rsidR="00E0082B" w:rsidRPr="00983CCB" w:rsidRDefault="00E0082B" w:rsidP="000878F6">
            <w:pPr>
              <w:pStyle w:val="Table"/>
              <w:jc w:val="center"/>
              <w:rPr>
                <w:szCs w:val="20"/>
              </w:rPr>
            </w:pPr>
            <w:r w:rsidRPr="00983CCB">
              <w:rPr>
                <w:rFonts w:ascii="Calibri" w:hAnsi="Calibri" w:cs="Calibri"/>
                <w:color w:val="000000"/>
                <w:szCs w:val="20"/>
              </w:rPr>
              <w:t>-29,58%</w:t>
            </w:r>
          </w:p>
        </w:tc>
        <w:tc>
          <w:tcPr>
            <w:tcW w:w="1038" w:type="dxa"/>
            <w:vAlign w:val="center"/>
          </w:tcPr>
          <w:p w14:paraId="26C91C08" w14:textId="77777777" w:rsidR="00E0082B" w:rsidRPr="00983CCB" w:rsidRDefault="00E0082B" w:rsidP="000878F6">
            <w:pPr>
              <w:pStyle w:val="Table"/>
              <w:jc w:val="center"/>
              <w:rPr>
                <w:szCs w:val="20"/>
              </w:rPr>
            </w:pPr>
            <w:r w:rsidRPr="00983CCB">
              <w:rPr>
                <w:rFonts w:ascii="Calibri" w:hAnsi="Calibri" w:cs="Calibri"/>
                <w:color w:val="000000"/>
                <w:szCs w:val="20"/>
              </w:rPr>
              <w:t>0,96</w:t>
            </w:r>
          </w:p>
        </w:tc>
        <w:tc>
          <w:tcPr>
            <w:tcW w:w="1226" w:type="dxa"/>
            <w:vAlign w:val="center"/>
          </w:tcPr>
          <w:p w14:paraId="0C451DB3" w14:textId="77777777" w:rsidR="00E0082B" w:rsidRPr="00983CCB" w:rsidRDefault="00E0082B" w:rsidP="000878F6">
            <w:pPr>
              <w:pStyle w:val="Table"/>
              <w:jc w:val="center"/>
              <w:rPr>
                <w:szCs w:val="20"/>
              </w:rPr>
            </w:pPr>
            <w:r w:rsidRPr="00983CCB">
              <w:rPr>
                <w:rFonts w:ascii="Calibri" w:hAnsi="Calibri" w:cs="Calibri"/>
                <w:color w:val="000000"/>
                <w:szCs w:val="20"/>
              </w:rPr>
              <w:t>0,82</w:t>
            </w:r>
          </w:p>
        </w:tc>
        <w:tc>
          <w:tcPr>
            <w:tcW w:w="975" w:type="dxa"/>
            <w:vAlign w:val="center"/>
          </w:tcPr>
          <w:p w14:paraId="529117BF" w14:textId="77777777" w:rsidR="00E0082B" w:rsidRPr="00983CCB" w:rsidRDefault="00E0082B" w:rsidP="000878F6">
            <w:pPr>
              <w:pStyle w:val="Table"/>
              <w:jc w:val="center"/>
              <w:rPr>
                <w:szCs w:val="20"/>
              </w:rPr>
            </w:pPr>
            <w:r w:rsidRPr="00983CCB">
              <w:rPr>
                <w:rFonts w:ascii="Calibri" w:hAnsi="Calibri" w:cs="Calibri"/>
                <w:color w:val="000000"/>
                <w:szCs w:val="20"/>
              </w:rPr>
              <w:t>0,33%</w:t>
            </w:r>
          </w:p>
        </w:tc>
        <w:tc>
          <w:tcPr>
            <w:tcW w:w="1291" w:type="dxa"/>
            <w:vAlign w:val="center"/>
          </w:tcPr>
          <w:p w14:paraId="2348CB50" w14:textId="77777777" w:rsidR="00E0082B" w:rsidRPr="00983CCB" w:rsidRDefault="00E0082B" w:rsidP="000878F6">
            <w:pPr>
              <w:pStyle w:val="Table"/>
              <w:jc w:val="center"/>
              <w:rPr>
                <w:szCs w:val="20"/>
              </w:rPr>
            </w:pPr>
            <w:r w:rsidRPr="00983CCB">
              <w:rPr>
                <w:rFonts w:ascii="Calibri" w:hAnsi="Calibri" w:cs="Calibri"/>
                <w:color w:val="000000"/>
                <w:szCs w:val="20"/>
              </w:rPr>
              <w:t>0,28%</w:t>
            </w:r>
          </w:p>
        </w:tc>
      </w:tr>
      <w:tr w:rsidR="00E0082B" w:rsidRPr="001840EB" w14:paraId="2F82586C" w14:textId="77777777" w:rsidTr="00274248">
        <w:trPr>
          <w:trHeight w:val="237"/>
        </w:trPr>
        <w:tc>
          <w:tcPr>
            <w:tcW w:w="2264" w:type="dxa"/>
          </w:tcPr>
          <w:p w14:paraId="053CC76E" w14:textId="77777777" w:rsidR="00E0082B" w:rsidRPr="00F501DA" w:rsidRDefault="00E0082B" w:rsidP="000878F6">
            <w:pPr>
              <w:pStyle w:val="Table"/>
            </w:pPr>
            <w:r w:rsidRPr="00F501DA">
              <w:t>Water Abstraction</w:t>
            </w:r>
          </w:p>
        </w:tc>
        <w:tc>
          <w:tcPr>
            <w:tcW w:w="1132" w:type="dxa"/>
            <w:vAlign w:val="center"/>
          </w:tcPr>
          <w:p w14:paraId="07BB689C"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132" w:type="dxa"/>
            <w:vAlign w:val="center"/>
          </w:tcPr>
          <w:p w14:paraId="3BA8CB24"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038" w:type="dxa"/>
            <w:vAlign w:val="center"/>
          </w:tcPr>
          <w:p w14:paraId="5585ECD5"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226" w:type="dxa"/>
            <w:vAlign w:val="center"/>
          </w:tcPr>
          <w:p w14:paraId="0DDB8F88"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975" w:type="dxa"/>
            <w:vAlign w:val="center"/>
          </w:tcPr>
          <w:p w14:paraId="3B1E1A51"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291" w:type="dxa"/>
            <w:vAlign w:val="center"/>
          </w:tcPr>
          <w:p w14:paraId="0CE45AF6"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r>
      <w:tr w:rsidR="00E0082B" w:rsidRPr="001840EB" w14:paraId="0843E453" w14:textId="77777777" w:rsidTr="00274248">
        <w:trPr>
          <w:trHeight w:val="254"/>
        </w:trPr>
        <w:tc>
          <w:tcPr>
            <w:tcW w:w="2264" w:type="dxa"/>
          </w:tcPr>
          <w:p w14:paraId="368704E5" w14:textId="77777777" w:rsidR="00E0082B" w:rsidRPr="00F501DA" w:rsidRDefault="00E0082B" w:rsidP="000878F6">
            <w:pPr>
              <w:pStyle w:val="Table"/>
            </w:pPr>
            <w:r w:rsidRPr="00F501DA">
              <w:t>Fertilizers</w:t>
            </w:r>
          </w:p>
        </w:tc>
        <w:tc>
          <w:tcPr>
            <w:tcW w:w="1132" w:type="dxa"/>
            <w:vAlign w:val="center"/>
          </w:tcPr>
          <w:p w14:paraId="74D3A0FA" w14:textId="77777777" w:rsidR="00E0082B" w:rsidRPr="00983CCB" w:rsidRDefault="00E0082B" w:rsidP="000878F6">
            <w:pPr>
              <w:pStyle w:val="Table"/>
              <w:jc w:val="center"/>
              <w:rPr>
                <w:szCs w:val="20"/>
              </w:rPr>
            </w:pPr>
            <w:r w:rsidRPr="00983CCB">
              <w:rPr>
                <w:rFonts w:ascii="Calibri" w:hAnsi="Calibri" w:cs="Calibri"/>
                <w:color w:val="000000"/>
                <w:szCs w:val="20"/>
              </w:rPr>
              <w:t>-35,95%</w:t>
            </w:r>
          </w:p>
        </w:tc>
        <w:tc>
          <w:tcPr>
            <w:tcW w:w="1132" w:type="dxa"/>
            <w:vAlign w:val="center"/>
          </w:tcPr>
          <w:p w14:paraId="75D38436" w14:textId="77777777" w:rsidR="00E0082B" w:rsidRPr="00983CCB" w:rsidRDefault="00E0082B" w:rsidP="000878F6">
            <w:pPr>
              <w:pStyle w:val="Table"/>
              <w:jc w:val="center"/>
              <w:rPr>
                <w:szCs w:val="20"/>
              </w:rPr>
            </w:pPr>
            <w:r w:rsidRPr="00983CCB">
              <w:rPr>
                <w:rFonts w:ascii="Calibri" w:hAnsi="Calibri" w:cs="Calibri"/>
                <w:color w:val="000000"/>
                <w:szCs w:val="20"/>
              </w:rPr>
              <w:t>-35,95%</w:t>
            </w:r>
          </w:p>
        </w:tc>
        <w:tc>
          <w:tcPr>
            <w:tcW w:w="1038" w:type="dxa"/>
            <w:vAlign w:val="center"/>
          </w:tcPr>
          <w:p w14:paraId="4E841350" w14:textId="77777777" w:rsidR="00E0082B" w:rsidRPr="00983CCB" w:rsidRDefault="00E0082B" w:rsidP="000878F6">
            <w:pPr>
              <w:pStyle w:val="Table"/>
              <w:jc w:val="center"/>
              <w:rPr>
                <w:szCs w:val="20"/>
              </w:rPr>
            </w:pPr>
            <w:r w:rsidRPr="00983CCB">
              <w:rPr>
                <w:rFonts w:ascii="Calibri" w:hAnsi="Calibri" w:cs="Calibri"/>
                <w:color w:val="000000"/>
                <w:szCs w:val="20"/>
              </w:rPr>
              <w:t>17,99</w:t>
            </w:r>
          </w:p>
        </w:tc>
        <w:tc>
          <w:tcPr>
            <w:tcW w:w="1226" w:type="dxa"/>
            <w:vAlign w:val="center"/>
          </w:tcPr>
          <w:p w14:paraId="3BE5BC1B" w14:textId="77777777" w:rsidR="00E0082B" w:rsidRPr="00983CCB" w:rsidRDefault="00E0082B" w:rsidP="000878F6">
            <w:pPr>
              <w:pStyle w:val="Table"/>
              <w:jc w:val="center"/>
              <w:rPr>
                <w:szCs w:val="20"/>
              </w:rPr>
            </w:pPr>
            <w:r w:rsidRPr="00983CCB">
              <w:rPr>
                <w:rFonts w:ascii="Calibri" w:hAnsi="Calibri" w:cs="Calibri"/>
                <w:color w:val="000000"/>
                <w:szCs w:val="20"/>
              </w:rPr>
              <w:t>17,83</w:t>
            </w:r>
          </w:p>
        </w:tc>
        <w:tc>
          <w:tcPr>
            <w:tcW w:w="975" w:type="dxa"/>
            <w:vAlign w:val="center"/>
          </w:tcPr>
          <w:p w14:paraId="776E1BB1" w14:textId="77777777" w:rsidR="00E0082B" w:rsidRPr="00983CCB" w:rsidRDefault="00E0082B" w:rsidP="000878F6">
            <w:pPr>
              <w:pStyle w:val="Table"/>
              <w:jc w:val="center"/>
              <w:rPr>
                <w:szCs w:val="20"/>
              </w:rPr>
            </w:pPr>
            <w:r w:rsidRPr="00983CCB">
              <w:rPr>
                <w:rFonts w:ascii="Calibri" w:hAnsi="Calibri" w:cs="Calibri"/>
                <w:color w:val="000000"/>
                <w:szCs w:val="20"/>
              </w:rPr>
              <w:t>6,19%</w:t>
            </w:r>
          </w:p>
        </w:tc>
        <w:tc>
          <w:tcPr>
            <w:tcW w:w="1291" w:type="dxa"/>
            <w:vAlign w:val="center"/>
          </w:tcPr>
          <w:p w14:paraId="562944DE" w14:textId="77777777" w:rsidR="00E0082B" w:rsidRPr="00983CCB" w:rsidRDefault="00E0082B" w:rsidP="000878F6">
            <w:pPr>
              <w:pStyle w:val="Table"/>
              <w:jc w:val="center"/>
              <w:rPr>
                <w:szCs w:val="20"/>
              </w:rPr>
            </w:pPr>
            <w:r w:rsidRPr="00983CCB">
              <w:rPr>
                <w:rFonts w:ascii="Calibri" w:hAnsi="Calibri" w:cs="Calibri"/>
                <w:color w:val="000000"/>
                <w:szCs w:val="20"/>
              </w:rPr>
              <w:t>6,13%</w:t>
            </w:r>
          </w:p>
        </w:tc>
      </w:tr>
      <w:tr w:rsidR="00E0082B" w:rsidRPr="001840EB" w14:paraId="512120DE" w14:textId="77777777" w:rsidTr="00274248">
        <w:trPr>
          <w:trHeight w:val="237"/>
        </w:trPr>
        <w:tc>
          <w:tcPr>
            <w:tcW w:w="2264" w:type="dxa"/>
          </w:tcPr>
          <w:p w14:paraId="2F9AF84E" w14:textId="77777777" w:rsidR="00E0082B" w:rsidRPr="00F501DA" w:rsidRDefault="00E0082B" w:rsidP="000878F6">
            <w:pPr>
              <w:pStyle w:val="Table"/>
            </w:pPr>
            <w:r w:rsidRPr="00F501DA">
              <w:t>Pesticides</w:t>
            </w:r>
          </w:p>
        </w:tc>
        <w:tc>
          <w:tcPr>
            <w:tcW w:w="1132" w:type="dxa"/>
            <w:vAlign w:val="center"/>
          </w:tcPr>
          <w:p w14:paraId="67348BFE" w14:textId="77777777" w:rsidR="00E0082B" w:rsidRPr="00983CCB" w:rsidRDefault="00E0082B" w:rsidP="000878F6">
            <w:pPr>
              <w:pStyle w:val="Table"/>
              <w:jc w:val="center"/>
              <w:rPr>
                <w:szCs w:val="20"/>
              </w:rPr>
            </w:pPr>
            <w:r w:rsidRPr="00983CCB">
              <w:rPr>
                <w:rFonts w:ascii="Calibri" w:hAnsi="Calibri" w:cs="Calibri"/>
                <w:color w:val="000000"/>
                <w:szCs w:val="20"/>
              </w:rPr>
              <w:t>n/a</w:t>
            </w:r>
          </w:p>
        </w:tc>
        <w:tc>
          <w:tcPr>
            <w:tcW w:w="1132" w:type="dxa"/>
            <w:vAlign w:val="center"/>
          </w:tcPr>
          <w:p w14:paraId="65EB904C" w14:textId="77777777" w:rsidR="00E0082B" w:rsidRPr="00983CCB" w:rsidRDefault="00E0082B" w:rsidP="000878F6">
            <w:pPr>
              <w:pStyle w:val="Table"/>
              <w:jc w:val="center"/>
              <w:rPr>
                <w:szCs w:val="20"/>
              </w:rPr>
            </w:pPr>
            <w:r w:rsidRPr="00983CCB">
              <w:rPr>
                <w:rFonts w:ascii="Calibri" w:hAnsi="Calibri" w:cs="Calibri"/>
                <w:color w:val="000000"/>
                <w:szCs w:val="20"/>
              </w:rPr>
              <w:t>n/a</w:t>
            </w:r>
          </w:p>
        </w:tc>
        <w:tc>
          <w:tcPr>
            <w:tcW w:w="1038" w:type="dxa"/>
            <w:vAlign w:val="center"/>
          </w:tcPr>
          <w:p w14:paraId="190BAB93"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226" w:type="dxa"/>
            <w:vAlign w:val="center"/>
          </w:tcPr>
          <w:p w14:paraId="6FC1D275"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975" w:type="dxa"/>
            <w:vAlign w:val="center"/>
          </w:tcPr>
          <w:p w14:paraId="79B3CB36"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291" w:type="dxa"/>
            <w:vAlign w:val="center"/>
          </w:tcPr>
          <w:p w14:paraId="0187C870"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r>
      <w:tr w:rsidR="00E0082B" w:rsidRPr="001840EB" w14:paraId="74288783" w14:textId="77777777" w:rsidTr="00274248">
        <w:trPr>
          <w:trHeight w:val="237"/>
        </w:trPr>
        <w:tc>
          <w:tcPr>
            <w:tcW w:w="2264" w:type="dxa"/>
          </w:tcPr>
          <w:p w14:paraId="7EF6B69E" w14:textId="77777777" w:rsidR="00E0082B" w:rsidRPr="00F501DA" w:rsidRDefault="00E0082B" w:rsidP="000878F6">
            <w:pPr>
              <w:pStyle w:val="Table"/>
            </w:pPr>
            <w:r w:rsidRPr="00F501DA">
              <w:t>Waste Incineration</w:t>
            </w:r>
          </w:p>
        </w:tc>
        <w:tc>
          <w:tcPr>
            <w:tcW w:w="1132" w:type="dxa"/>
            <w:vAlign w:val="center"/>
          </w:tcPr>
          <w:p w14:paraId="59C8CC20"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132" w:type="dxa"/>
            <w:vAlign w:val="center"/>
          </w:tcPr>
          <w:p w14:paraId="074BC3B7"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038" w:type="dxa"/>
            <w:vAlign w:val="center"/>
          </w:tcPr>
          <w:p w14:paraId="00A00007"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226" w:type="dxa"/>
            <w:vAlign w:val="center"/>
          </w:tcPr>
          <w:p w14:paraId="152DB708"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975" w:type="dxa"/>
            <w:vAlign w:val="center"/>
          </w:tcPr>
          <w:p w14:paraId="15D36103"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291" w:type="dxa"/>
            <w:vAlign w:val="center"/>
          </w:tcPr>
          <w:p w14:paraId="693D6A6B"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r>
      <w:tr w:rsidR="00E0082B" w:rsidRPr="001840EB" w14:paraId="32DD3698" w14:textId="77777777" w:rsidTr="00274248">
        <w:trPr>
          <w:trHeight w:val="237"/>
        </w:trPr>
        <w:tc>
          <w:tcPr>
            <w:tcW w:w="2264" w:type="dxa"/>
          </w:tcPr>
          <w:p w14:paraId="51E39FC1" w14:textId="77777777" w:rsidR="00E0082B" w:rsidRPr="00F501DA" w:rsidRDefault="00E0082B" w:rsidP="000878F6">
            <w:pPr>
              <w:pStyle w:val="Table"/>
            </w:pPr>
            <w:r w:rsidRPr="00F501DA">
              <w:t>Waste to Landfill</w:t>
            </w:r>
          </w:p>
        </w:tc>
        <w:tc>
          <w:tcPr>
            <w:tcW w:w="1132" w:type="dxa"/>
            <w:vAlign w:val="center"/>
          </w:tcPr>
          <w:p w14:paraId="24748FFF"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132" w:type="dxa"/>
            <w:vAlign w:val="center"/>
          </w:tcPr>
          <w:p w14:paraId="26C4FE28"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038" w:type="dxa"/>
            <w:vAlign w:val="center"/>
          </w:tcPr>
          <w:p w14:paraId="6E571A2C"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226" w:type="dxa"/>
            <w:vAlign w:val="center"/>
          </w:tcPr>
          <w:p w14:paraId="1E93FB6E"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975" w:type="dxa"/>
            <w:vAlign w:val="center"/>
          </w:tcPr>
          <w:p w14:paraId="2E215E97"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c>
          <w:tcPr>
            <w:tcW w:w="1291" w:type="dxa"/>
            <w:vAlign w:val="center"/>
          </w:tcPr>
          <w:p w14:paraId="5136801A" w14:textId="77777777" w:rsidR="00E0082B" w:rsidRPr="00983CCB" w:rsidRDefault="00E0082B" w:rsidP="000878F6">
            <w:pPr>
              <w:pStyle w:val="Table"/>
              <w:jc w:val="center"/>
              <w:rPr>
                <w:szCs w:val="20"/>
              </w:rPr>
            </w:pPr>
            <w:r w:rsidRPr="00983CCB">
              <w:rPr>
                <w:rFonts w:ascii="Calibri" w:hAnsi="Calibri" w:cs="Calibri"/>
                <w:color w:val="000000"/>
                <w:szCs w:val="20"/>
              </w:rPr>
              <w:t>0,00%</w:t>
            </w:r>
          </w:p>
        </w:tc>
      </w:tr>
      <w:tr w:rsidR="00E0082B" w:rsidRPr="001840EB" w14:paraId="2E444BB2" w14:textId="77777777" w:rsidTr="00274248">
        <w:trPr>
          <w:trHeight w:val="237"/>
        </w:trPr>
        <w:tc>
          <w:tcPr>
            <w:tcW w:w="2264" w:type="dxa"/>
          </w:tcPr>
          <w:p w14:paraId="6B843431" w14:textId="77777777" w:rsidR="00E0082B" w:rsidRPr="00F501DA" w:rsidRDefault="00E0082B" w:rsidP="000878F6">
            <w:pPr>
              <w:pStyle w:val="Table"/>
            </w:pPr>
            <w:r w:rsidRPr="00F501DA">
              <w:t>Water Effluent</w:t>
            </w:r>
          </w:p>
        </w:tc>
        <w:tc>
          <w:tcPr>
            <w:tcW w:w="1132" w:type="dxa"/>
            <w:vAlign w:val="center"/>
          </w:tcPr>
          <w:p w14:paraId="49D326DF" w14:textId="77777777" w:rsidR="00E0082B" w:rsidRPr="00983CCB" w:rsidRDefault="00E0082B" w:rsidP="000878F6">
            <w:pPr>
              <w:pStyle w:val="Table"/>
              <w:jc w:val="center"/>
              <w:rPr>
                <w:szCs w:val="20"/>
              </w:rPr>
            </w:pPr>
            <w:r w:rsidRPr="00983CCB">
              <w:rPr>
                <w:rFonts w:ascii="Calibri" w:hAnsi="Calibri" w:cs="Calibri"/>
                <w:color w:val="000000"/>
                <w:szCs w:val="20"/>
              </w:rPr>
              <w:t>-6,13%</w:t>
            </w:r>
          </w:p>
        </w:tc>
        <w:tc>
          <w:tcPr>
            <w:tcW w:w="1132" w:type="dxa"/>
            <w:vAlign w:val="center"/>
          </w:tcPr>
          <w:p w14:paraId="44872894" w14:textId="77777777" w:rsidR="00E0082B" w:rsidRPr="00983CCB" w:rsidRDefault="00E0082B" w:rsidP="000878F6">
            <w:pPr>
              <w:pStyle w:val="Table"/>
              <w:jc w:val="center"/>
              <w:rPr>
                <w:szCs w:val="20"/>
              </w:rPr>
            </w:pPr>
            <w:r w:rsidRPr="00983CCB">
              <w:rPr>
                <w:rFonts w:ascii="Calibri" w:hAnsi="Calibri" w:cs="Calibri"/>
                <w:color w:val="000000"/>
                <w:szCs w:val="20"/>
              </w:rPr>
              <w:t>-6,13%</w:t>
            </w:r>
          </w:p>
        </w:tc>
        <w:tc>
          <w:tcPr>
            <w:tcW w:w="1038" w:type="dxa"/>
            <w:vAlign w:val="center"/>
          </w:tcPr>
          <w:p w14:paraId="102CA15E" w14:textId="77777777" w:rsidR="00E0082B" w:rsidRPr="00983CCB" w:rsidRDefault="00E0082B" w:rsidP="000878F6">
            <w:pPr>
              <w:pStyle w:val="Table"/>
              <w:jc w:val="center"/>
              <w:rPr>
                <w:szCs w:val="20"/>
              </w:rPr>
            </w:pPr>
            <w:r w:rsidRPr="00983CCB">
              <w:rPr>
                <w:rFonts w:ascii="Calibri" w:hAnsi="Calibri" w:cs="Calibri"/>
                <w:color w:val="000000"/>
                <w:szCs w:val="20"/>
              </w:rPr>
              <w:t>559,75</w:t>
            </w:r>
          </w:p>
        </w:tc>
        <w:tc>
          <w:tcPr>
            <w:tcW w:w="1226" w:type="dxa"/>
            <w:vAlign w:val="center"/>
          </w:tcPr>
          <w:p w14:paraId="1B374055" w14:textId="77777777" w:rsidR="00E0082B" w:rsidRPr="00983CCB" w:rsidRDefault="00E0082B" w:rsidP="000878F6">
            <w:pPr>
              <w:pStyle w:val="Table"/>
              <w:jc w:val="center"/>
              <w:rPr>
                <w:szCs w:val="20"/>
              </w:rPr>
            </w:pPr>
            <w:r w:rsidRPr="00983CCB">
              <w:rPr>
                <w:rFonts w:ascii="Calibri" w:hAnsi="Calibri" w:cs="Calibri"/>
                <w:color w:val="000000"/>
                <w:szCs w:val="20"/>
              </w:rPr>
              <w:t>564,60</w:t>
            </w:r>
          </w:p>
        </w:tc>
        <w:tc>
          <w:tcPr>
            <w:tcW w:w="975" w:type="dxa"/>
            <w:vAlign w:val="center"/>
          </w:tcPr>
          <w:p w14:paraId="31ABC4A9" w14:textId="77777777" w:rsidR="00E0082B" w:rsidRPr="00983CCB" w:rsidRDefault="00E0082B" w:rsidP="000878F6">
            <w:pPr>
              <w:pStyle w:val="Table"/>
              <w:jc w:val="center"/>
              <w:rPr>
                <w:szCs w:val="20"/>
              </w:rPr>
            </w:pPr>
            <w:r w:rsidRPr="00983CCB">
              <w:rPr>
                <w:rFonts w:ascii="Calibri" w:hAnsi="Calibri" w:cs="Calibri"/>
                <w:color w:val="000000"/>
                <w:szCs w:val="20"/>
              </w:rPr>
              <w:t>192,44%</w:t>
            </w:r>
          </w:p>
        </w:tc>
        <w:tc>
          <w:tcPr>
            <w:tcW w:w="1291" w:type="dxa"/>
            <w:vAlign w:val="center"/>
          </w:tcPr>
          <w:p w14:paraId="25A461AF" w14:textId="77777777" w:rsidR="00E0082B" w:rsidRPr="00983CCB" w:rsidRDefault="00E0082B" w:rsidP="000878F6">
            <w:pPr>
              <w:pStyle w:val="Table"/>
              <w:jc w:val="center"/>
              <w:rPr>
                <w:szCs w:val="20"/>
              </w:rPr>
            </w:pPr>
            <w:r w:rsidRPr="00983CCB">
              <w:rPr>
                <w:rFonts w:ascii="Calibri" w:hAnsi="Calibri" w:cs="Calibri"/>
                <w:color w:val="000000"/>
                <w:szCs w:val="20"/>
              </w:rPr>
              <w:t>194,11%</w:t>
            </w:r>
          </w:p>
        </w:tc>
      </w:tr>
      <w:tr w:rsidR="00E0082B" w:rsidRPr="001840EB" w14:paraId="651EA3B7" w14:textId="77777777" w:rsidTr="00274248">
        <w:trPr>
          <w:trHeight w:val="237"/>
        </w:trPr>
        <w:tc>
          <w:tcPr>
            <w:tcW w:w="2264" w:type="dxa"/>
          </w:tcPr>
          <w:p w14:paraId="0D18AC55" w14:textId="77777777" w:rsidR="00E0082B" w:rsidRPr="001840EB" w:rsidRDefault="00E0082B" w:rsidP="000878F6">
            <w:pPr>
              <w:pStyle w:val="Table"/>
            </w:pPr>
            <w:r w:rsidRPr="001840EB">
              <w:t>Minerals &amp; Aggregates</w:t>
            </w:r>
          </w:p>
        </w:tc>
        <w:tc>
          <w:tcPr>
            <w:tcW w:w="1132" w:type="dxa"/>
            <w:vAlign w:val="center"/>
          </w:tcPr>
          <w:p w14:paraId="0697E2FE" w14:textId="77777777" w:rsidR="00E0082B" w:rsidRPr="00983CCB" w:rsidRDefault="00E0082B" w:rsidP="000878F6">
            <w:pPr>
              <w:pStyle w:val="Table"/>
              <w:jc w:val="center"/>
              <w:rPr>
                <w:szCs w:val="20"/>
              </w:rPr>
            </w:pPr>
            <w:r w:rsidRPr="00983CCB">
              <w:rPr>
                <w:rFonts w:ascii="Calibri" w:hAnsi="Calibri" w:cs="Calibri"/>
                <w:color w:val="000000"/>
                <w:szCs w:val="20"/>
              </w:rPr>
              <w:t>-27,14%</w:t>
            </w:r>
          </w:p>
        </w:tc>
        <w:tc>
          <w:tcPr>
            <w:tcW w:w="1132" w:type="dxa"/>
            <w:vAlign w:val="center"/>
          </w:tcPr>
          <w:p w14:paraId="0BEBE0E6" w14:textId="77777777" w:rsidR="00E0082B" w:rsidRPr="00983CCB" w:rsidRDefault="00E0082B" w:rsidP="000878F6">
            <w:pPr>
              <w:pStyle w:val="Table"/>
              <w:jc w:val="center"/>
              <w:rPr>
                <w:szCs w:val="20"/>
              </w:rPr>
            </w:pPr>
            <w:r w:rsidRPr="00983CCB">
              <w:rPr>
                <w:rFonts w:ascii="Calibri" w:hAnsi="Calibri" w:cs="Calibri"/>
                <w:color w:val="000000"/>
                <w:szCs w:val="20"/>
              </w:rPr>
              <w:t>-27,14%</w:t>
            </w:r>
          </w:p>
        </w:tc>
        <w:tc>
          <w:tcPr>
            <w:tcW w:w="1038" w:type="dxa"/>
            <w:vAlign w:val="center"/>
          </w:tcPr>
          <w:p w14:paraId="731F9AFD" w14:textId="77777777" w:rsidR="00E0082B" w:rsidRPr="00983CCB" w:rsidRDefault="00E0082B" w:rsidP="000878F6">
            <w:pPr>
              <w:pStyle w:val="Table"/>
              <w:jc w:val="center"/>
              <w:rPr>
                <w:szCs w:val="20"/>
              </w:rPr>
            </w:pPr>
            <w:r w:rsidRPr="00983CCB">
              <w:rPr>
                <w:rFonts w:ascii="Calibri" w:hAnsi="Calibri" w:cs="Calibri"/>
                <w:color w:val="000000"/>
                <w:szCs w:val="20"/>
              </w:rPr>
              <w:t>157,19</w:t>
            </w:r>
          </w:p>
        </w:tc>
        <w:tc>
          <w:tcPr>
            <w:tcW w:w="1226" w:type="dxa"/>
            <w:vAlign w:val="center"/>
          </w:tcPr>
          <w:p w14:paraId="1E89C809" w14:textId="77777777" w:rsidR="00E0082B" w:rsidRPr="00983CCB" w:rsidRDefault="00E0082B" w:rsidP="000878F6">
            <w:pPr>
              <w:pStyle w:val="Table"/>
              <w:jc w:val="center"/>
              <w:rPr>
                <w:szCs w:val="20"/>
              </w:rPr>
            </w:pPr>
            <w:r w:rsidRPr="00983CCB">
              <w:rPr>
                <w:rFonts w:ascii="Calibri" w:hAnsi="Calibri" w:cs="Calibri"/>
                <w:color w:val="000000"/>
                <w:szCs w:val="20"/>
              </w:rPr>
              <w:t>171,72</w:t>
            </w:r>
          </w:p>
        </w:tc>
        <w:tc>
          <w:tcPr>
            <w:tcW w:w="975" w:type="dxa"/>
            <w:vAlign w:val="center"/>
          </w:tcPr>
          <w:p w14:paraId="26CBB8F1" w14:textId="77777777" w:rsidR="00E0082B" w:rsidRPr="00983CCB" w:rsidRDefault="00E0082B" w:rsidP="000878F6">
            <w:pPr>
              <w:pStyle w:val="Table"/>
              <w:jc w:val="center"/>
              <w:rPr>
                <w:szCs w:val="20"/>
              </w:rPr>
            </w:pPr>
            <w:r w:rsidRPr="00983CCB">
              <w:rPr>
                <w:rFonts w:ascii="Calibri" w:hAnsi="Calibri" w:cs="Calibri"/>
                <w:color w:val="000000"/>
                <w:szCs w:val="20"/>
              </w:rPr>
              <w:t>68,64%</w:t>
            </w:r>
          </w:p>
        </w:tc>
        <w:tc>
          <w:tcPr>
            <w:tcW w:w="1291" w:type="dxa"/>
            <w:vAlign w:val="center"/>
          </w:tcPr>
          <w:p w14:paraId="7082CDD0" w14:textId="77777777" w:rsidR="00E0082B" w:rsidRPr="00983CCB" w:rsidRDefault="00E0082B" w:rsidP="000878F6">
            <w:pPr>
              <w:pStyle w:val="Table"/>
              <w:jc w:val="center"/>
              <w:rPr>
                <w:szCs w:val="20"/>
              </w:rPr>
            </w:pPr>
            <w:r w:rsidRPr="00983CCB">
              <w:rPr>
                <w:rFonts w:ascii="Calibri" w:hAnsi="Calibri" w:cs="Calibri"/>
                <w:color w:val="000000"/>
                <w:szCs w:val="20"/>
              </w:rPr>
              <w:t>74,99%</w:t>
            </w:r>
          </w:p>
        </w:tc>
      </w:tr>
    </w:tbl>
    <w:p w14:paraId="637B86C2" w14:textId="77777777" w:rsidR="00E0082B" w:rsidRDefault="00E0082B" w:rsidP="00E0082B">
      <w:pPr>
        <w:rPr>
          <w:b/>
          <w:bCs/>
        </w:rPr>
      </w:pPr>
    </w:p>
    <w:tbl>
      <w:tblPr>
        <w:tblStyle w:val="Lentelstinklelis1"/>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32"/>
        <w:gridCol w:w="1132"/>
        <w:gridCol w:w="1038"/>
        <w:gridCol w:w="1226"/>
        <w:gridCol w:w="975"/>
        <w:gridCol w:w="1291"/>
      </w:tblGrid>
      <w:tr w:rsidR="00E0082B" w:rsidRPr="00AF3327" w14:paraId="7E259A7A" w14:textId="77777777" w:rsidTr="00274248">
        <w:trPr>
          <w:trHeight w:val="258"/>
        </w:trPr>
        <w:tc>
          <w:tcPr>
            <w:tcW w:w="9058" w:type="dxa"/>
            <w:gridSpan w:val="7"/>
            <w:shd w:val="clear" w:color="auto" w:fill="003399"/>
          </w:tcPr>
          <w:p w14:paraId="14EDB42B" w14:textId="6A07E868" w:rsidR="00E0082B" w:rsidRPr="00AF3327" w:rsidRDefault="00E0082B" w:rsidP="000878F6">
            <w:pPr>
              <w:pStyle w:val="Table"/>
              <w:rPr>
                <w:b/>
                <w:color w:val="FFFFFF" w:themeColor="background1"/>
                <w:szCs w:val="20"/>
                <w:lang w:eastAsia="en-GB"/>
              </w:rPr>
            </w:pPr>
            <w:r w:rsidRPr="00AF3327">
              <w:rPr>
                <w:b/>
                <w:color w:val="FFFFFF" w:themeColor="background1"/>
                <w:szCs w:val="20"/>
              </w:rPr>
              <w:t xml:space="preserve">Table </w:t>
            </w:r>
            <w:r w:rsidR="00490085">
              <w:rPr>
                <w:b/>
                <w:bCs/>
                <w:color w:val="FFFFFF" w:themeColor="background1"/>
                <w:szCs w:val="20"/>
              </w:rPr>
              <w:t>A6</w:t>
            </w:r>
            <w:r w:rsidRPr="00AF3327">
              <w:rPr>
                <w:b/>
                <w:bCs/>
                <w:color w:val="FFFFFF" w:themeColor="background1"/>
                <w:szCs w:val="20"/>
              </w:rPr>
              <w:t>-</w:t>
            </w:r>
            <w:r w:rsidRPr="00AF3327">
              <w:rPr>
                <w:b/>
                <w:bCs/>
                <w:color w:val="FFFFFF" w:themeColor="background1"/>
                <w:szCs w:val="20"/>
              </w:rPr>
              <w:fldChar w:fldCharType="begin"/>
            </w:r>
            <w:r w:rsidRPr="00AF3327">
              <w:rPr>
                <w:b/>
                <w:bCs/>
                <w:color w:val="FFFFFF" w:themeColor="background1"/>
                <w:szCs w:val="20"/>
              </w:rPr>
              <w:instrText xml:space="preserve"> SEQ Table_A5- \* ARABIC </w:instrText>
            </w:r>
            <w:r w:rsidRPr="00AF3327">
              <w:rPr>
                <w:b/>
                <w:bCs/>
                <w:color w:val="FFFFFF" w:themeColor="background1"/>
                <w:szCs w:val="20"/>
              </w:rPr>
              <w:fldChar w:fldCharType="separate"/>
            </w:r>
            <w:r>
              <w:rPr>
                <w:b/>
                <w:bCs/>
                <w:noProof/>
                <w:color w:val="FFFFFF" w:themeColor="background1"/>
                <w:szCs w:val="20"/>
              </w:rPr>
              <w:t>45</w:t>
            </w:r>
            <w:r w:rsidRPr="00AF3327">
              <w:rPr>
                <w:b/>
                <w:bCs/>
                <w:color w:val="FFFFFF" w:themeColor="background1"/>
                <w:szCs w:val="20"/>
              </w:rPr>
              <w:fldChar w:fldCharType="end"/>
            </w:r>
            <w:r w:rsidRPr="00AF3327">
              <w:rPr>
                <w:b/>
                <w:bCs/>
                <w:color w:val="FFFFFF" w:themeColor="background1"/>
                <w:szCs w:val="20"/>
                <w:lang w:eastAsia="en-GB"/>
              </w:rPr>
              <w:t>:</w:t>
            </w:r>
            <w:r w:rsidRPr="00AF3327">
              <w:rPr>
                <w:b/>
                <w:color w:val="FFFFFF" w:themeColor="background1"/>
                <w:szCs w:val="20"/>
                <w:lang w:eastAsia="en-GB"/>
              </w:rPr>
              <w:t xml:space="preserve"> Environmental impacts and revenue changes in Denmark – Scenario B</w:t>
            </w:r>
          </w:p>
        </w:tc>
      </w:tr>
      <w:tr w:rsidR="00E0082B" w:rsidRPr="00AF3327" w14:paraId="5B74DF71" w14:textId="77777777" w:rsidTr="00274248">
        <w:trPr>
          <w:trHeight w:val="492"/>
        </w:trPr>
        <w:tc>
          <w:tcPr>
            <w:tcW w:w="2264" w:type="dxa"/>
          </w:tcPr>
          <w:p w14:paraId="03A437C1" w14:textId="77777777" w:rsidR="00E0082B" w:rsidRPr="00AF3327" w:rsidRDefault="00E0082B" w:rsidP="000878F6">
            <w:pPr>
              <w:pStyle w:val="Table"/>
              <w:rPr>
                <w:b/>
                <w:szCs w:val="20"/>
              </w:rPr>
            </w:pPr>
            <w:r w:rsidRPr="00AF3327">
              <w:rPr>
                <w:b/>
                <w:szCs w:val="20"/>
              </w:rPr>
              <w:t>Tax Name</w:t>
            </w:r>
          </w:p>
        </w:tc>
        <w:tc>
          <w:tcPr>
            <w:tcW w:w="2264" w:type="dxa"/>
            <w:gridSpan w:val="2"/>
            <w:vAlign w:val="bottom"/>
          </w:tcPr>
          <w:p w14:paraId="4DFB9D23" w14:textId="77777777" w:rsidR="00E0082B" w:rsidRPr="00AF3327" w:rsidRDefault="00E0082B" w:rsidP="000878F6">
            <w:pPr>
              <w:pStyle w:val="Table"/>
              <w:jc w:val="center"/>
              <w:rPr>
                <w:b/>
                <w:szCs w:val="20"/>
              </w:rPr>
            </w:pPr>
            <w:r w:rsidRPr="00AF3327">
              <w:rPr>
                <w:rFonts w:ascii="Calibri" w:hAnsi="Calibri" w:cs="Calibri"/>
                <w:b/>
                <w:bCs/>
                <w:color w:val="000000"/>
                <w:szCs w:val="20"/>
              </w:rPr>
              <w:t>% Change in Quantities as % of taxed sector</w:t>
            </w:r>
          </w:p>
        </w:tc>
        <w:tc>
          <w:tcPr>
            <w:tcW w:w="2264" w:type="dxa"/>
            <w:gridSpan w:val="2"/>
            <w:vAlign w:val="bottom"/>
          </w:tcPr>
          <w:p w14:paraId="48C82021" w14:textId="77777777" w:rsidR="00E0082B" w:rsidRPr="00AF3327" w:rsidRDefault="00E0082B" w:rsidP="000878F6">
            <w:pPr>
              <w:pStyle w:val="Table"/>
              <w:jc w:val="center"/>
              <w:rPr>
                <w:b/>
                <w:szCs w:val="20"/>
              </w:rPr>
            </w:pPr>
            <w:r w:rsidRPr="00AF3327">
              <w:rPr>
                <w:rFonts w:ascii="Calibri" w:hAnsi="Calibri" w:cs="Calibri"/>
                <w:b/>
                <w:bCs/>
                <w:color w:val="000000"/>
                <w:szCs w:val="20"/>
              </w:rPr>
              <w:t>Change in Revenues (€Mn)</w:t>
            </w:r>
          </w:p>
        </w:tc>
        <w:tc>
          <w:tcPr>
            <w:tcW w:w="2266" w:type="dxa"/>
            <w:gridSpan w:val="2"/>
            <w:vAlign w:val="bottom"/>
          </w:tcPr>
          <w:p w14:paraId="408578B7" w14:textId="77777777" w:rsidR="00E0082B" w:rsidRPr="00AF3327" w:rsidRDefault="00E0082B" w:rsidP="000878F6">
            <w:pPr>
              <w:pStyle w:val="Table"/>
              <w:jc w:val="center"/>
              <w:rPr>
                <w:b/>
                <w:szCs w:val="20"/>
              </w:rPr>
            </w:pPr>
            <w:r w:rsidRPr="00AF3327">
              <w:rPr>
                <w:rFonts w:ascii="Calibri" w:hAnsi="Calibri" w:cs="Calibri"/>
                <w:b/>
                <w:bCs/>
                <w:color w:val="000000"/>
                <w:szCs w:val="20"/>
              </w:rPr>
              <w:t>As % of 2023 Resource Tax</w:t>
            </w:r>
          </w:p>
        </w:tc>
      </w:tr>
      <w:tr w:rsidR="00E0082B" w:rsidRPr="00AF3327" w14:paraId="34133CF7" w14:textId="77777777" w:rsidTr="00274248">
        <w:trPr>
          <w:trHeight w:val="237"/>
        </w:trPr>
        <w:tc>
          <w:tcPr>
            <w:tcW w:w="2264" w:type="dxa"/>
          </w:tcPr>
          <w:p w14:paraId="2DACDF86" w14:textId="77777777" w:rsidR="00E0082B" w:rsidRPr="00AF3327" w:rsidRDefault="00E0082B" w:rsidP="000878F6">
            <w:pPr>
              <w:pStyle w:val="Table"/>
              <w:rPr>
                <w:b/>
                <w:szCs w:val="20"/>
              </w:rPr>
            </w:pPr>
            <w:r w:rsidRPr="00AF3327">
              <w:rPr>
                <w:b/>
                <w:szCs w:val="20"/>
              </w:rPr>
              <w:t>Year</w:t>
            </w:r>
          </w:p>
        </w:tc>
        <w:tc>
          <w:tcPr>
            <w:tcW w:w="1132" w:type="dxa"/>
          </w:tcPr>
          <w:p w14:paraId="5C07D99D" w14:textId="77777777" w:rsidR="00E0082B" w:rsidRPr="00AF3327" w:rsidRDefault="00E0082B" w:rsidP="000878F6">
            <w:pPr>
              <w:pStyle w:val="Table"/>
              <w:jc w:val="center"/>
              <w:rPr>
                <w:b/>
                <w:szCs w:val="20"/>
              </w:rPr>
            </w:pPr>
            <w:r w:rsidRPr="00AF3327">
              <w:rPr>
                <w:b/>
                <w:szCs w:val="20"/>
              </w:rPr>
              <w:t>2030</w:t>
            </w:r>
          </w:p>
        </w:tc>
        <w:tc>
          <w:tcPr>
            <w:tcW w:w="1132" w:type="dxa"/>
          </w:tcPr>
          <w:p w14:paraId="3434563F" w14:textId="77777777" w:rsidR="00E0082B" w:rsidRPr="00AF3327" w:rsidRDefault="00E0082B" w:rsidP="000878F6">
            <w:pPr>
              <w:pStyle w:val="Table"/>
              <w:jc w:val="center"/>
              <w:rPr>
                <w:b/>
                <w:szCs w:val="20"/>
              </w:rPr>
            </w:pPr>
            <w:r w:rsidRPr="00AF3327">
              <w:rPr>
                <w:b/>
                <w:szCs w:val="20"/>
              </w:rPr>
              <w:t>2035</w:t>
            </w:r>
          </w:p>
        </w:tc>
        <w:tc>
          <w:tcPr>
            <w:tcW w:w="1038" w:type="dxa"/>
          </w:tcPr>
          <w:p w14:paraId="56DD6C2D" w14:textId="77777777" w:rsidR="00E0082B" w:rsidRPr="00AF3327" w:rsidRDefault="00E0082B" w:rsidP="000878F6">
            <w:pPr>
              <w:pStyle w:val="Table"/>
              <w:jc w:val="center"/>
              <w:rPr>
                <w:b/>
                <w:szCs w:val="20"/>
              </w:rPr>
            </w:pPr>
            <w:r w:rsidRPr="00AF3327">
              <w:rPr>
                <w:b/>
                <w:szCs w:val="20"/>
              </w:rPr>
              <w:t>2030</w:t>
            </w:r>
          </w:p>
        </w:tc>
        <w:tc>
          <w:tcPr>
            <w:tcW w:w="1226" w:type="dxa"/>
          </w:tcPr>
          <w:p w14:paraId="078BEA85" w14:textId="77777777" w:rsidR="00E0082B" w:rsidRPr="00AF3327" w:rsidRDefault="00E0082B" w:rsidP="000878F6">
            <w:pPr>
              <w:pStyle w:val="Table"/>
              <w:jc w:val="center"/>
              <w:rPr>
                <w:b/>
                <w:szCs w:val="20"/>
              </w:rPr>
            </w:pPr>
            <w:r w:rsidRPr="00AF3327">
              <w:rPr>
                <w:b/>
                <w:szCs w:val="20"/>
              </w:rPr>
              <w:t>2035</w:t>
            </w:r>
          </w:p>
        </w:tc>
        <w:tc>
          <w:tcPr>
            <w:tcW w:w="975" w:type="dxa"/>
          </w:tcPr>
          <w:p w14:paraId="1DB0A093" w14:textId="77777777" w:rsidR="00E0082B" w:rsidRPr="00AF3327" w:rsidRDefault="00E0082B" w:rsidP="000878F6">
            <w:pPr>
              <w:pStyle w:val="Table"/>
              <w:jc w:val="center"/>
              <w:rPr>
                <w:b/>
                <w:szCs w:val="20"/>
              </w:rPr>
            </w:pPr>
            <w:r w:rsidRPr="00AF3327">
              <w:rPr>
                <w:b/>
                <w:szCs w:val="20"/>
              </w:rPr>
              <w:t>2030</w:t>
            </w:r>
          </w:p>
        </w:tc>
        <w:tc>
          <w:tcPr>
            <w:tcW w:w="1291" w:type="dxa"/>
          </w:tcPr>
          <w:p w14:paraId="1C0CD9FB" w14:textId="77777777" w:rsidR="00E0082B" w:rsidRPr="00AF3327" w:rsidRDefault="00E0082B" w:rsidP="000878F6">
            <w:pPr>
              <w:pStyle w:val="Table"/>
              <w:jc w:val="center"/>
              <w:rPr>
                <w:b/>
                <w:szCs w:val="20"/>
              </w:rPr>
            </w:pPr>
            <w:r w:rsidRPr="00AF3327">
              <w:rPr>
                <w:b/>
                <w:szCs w:val="20"/>
              </w:rPr>
              <w:t>2035</w:t>
            </w:r>
          </w:p>
        </w:tc>
      </w:tr>
      <w:tr w:rsidR="00E0082B" w:rsidRPr="00AF3327" w14:paraId="7D7836D5" w14:textId="77777777" w:rsidTr="00274248">
        <w:trPr>
          <w:trHeight w:val="237"/>
        </w:trPr>
        <w:tc>
          <w:tcPr>
            <w:tcW w:w="2264" w:type="dxa"/>
          </w:tcPr>
          <w:p w14:paraId="61168DD8" w14:textId="77777777" w:rsidR="00E0082B" w:rsidRPr="00AF3327" w:rsidRDefault="00E0082B" w:rsidP="000878F6">
            <w:pPr>
              <w:pStyle w:val="Table"/>
              <w:rPr>
                <w:szCs w:val="20"/>
              </w:rPr>
            </w:pPr>
            <w:r w:rsidRPr="00AF3327">
              <w:rPr>
                <w:szCs w:val="20"/>
              </w:rPr>
              <w:t>NOx</w:t>
            </w:r>
          </w:p>
        </w:tc>
        <w:tc>
          <w:tcPr>
            <w:tcW w:w="1132" w:type="dxa"/>
            <w:vAlign w:val="center"/>
          </w:tcPr>
          <w:p w14:paraId="394C8790" w14:textId="77777777" w:rsidR="00E0082B" w:rsidRPr="00AF3327" w:rsidRDefault="00E0082B" w:rsidP="000878F6">
            <w:pPr>
              <w:pStyle w:val="Table"/>
              <w:jc w:val="center"/>
              <w:rPr>
                <w:szCs w:val="20"/>
              </w:rPr>
            </w:pPr>
            <w:r w:rsidRPr="00AF3327">
              <w:rPr>
                <w:rFonts w:ascii="Calibri" w:hAnsi="Calibri" w:cs="Calibri"/>
                <w:color w:val="000000"/>
                <w:szCs w:val="20"/>
              </w:rPr>
              <w:t>-7,39%</w:t>
            </w:r>
          </w:p>
        </w:tc>
        <w:tc>
          <w:tcPr>
            <w:tcW w:w="1132" w:type="dxa"/>
            <w:vAlign w:val="center"/>
          </w:tcPr>
          <w:p w14:paraId="47F96EF6" w14:textId="77777777" w:rsidR="00E0082B" w:rsidRPr="00AF3327" w:rsidRDefault="00E0082B" w:rsidP="000878F6">
            <w:pPr>
              <w:pStyle w:val="Table"/>
              <w:jc w:val="center"/>
              <w:rPr>
                <w:szCs w:val="20"/>
              </w:rPr>
            </w:pPr>
            <w:r w:rsidRPr="00AF3327">
              <w:rPr>
                <w:rFonts w:ascii="Calibri" w:hAnsi="Calibri" w:cs="Calibri"/>
                <w:color w:val="000000"/>
                <w:szCs w:val="20"/>
              </w:rPr>
              <w:t>-7,39%</w:t>
            </w:r>
          </w:p>
        </w:tc>
        <w:tc>
          <w:tcPr>
            <w:tcW w:w="1038" w:type="dxa"/>
            <w:vAlign w:val="center"/>
          </w:tcPr>
          <w:p w14:paraId="4722B06E"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1226" w:type="dxa"/>
            <w:vAlign w:val="center"/>
          </w:tcPr>
          <w:p w14:paraId="18D7365E"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975" w:type="dxa"/>
            <w:vAlign w:val="center"/>
          </w:tcPr>
          <w:p w14:paraId="134D75CA" w14:textId="77777777" w:rsidR="00E0082B" w:rsidRPr="00AF3327" w:rsidRDefault="00E0082B" w:rsidP="000878F6">
            <w:pPr>
              <w:pStyle w:val="Table"/>
              <w:jc w:val="center"/>
              <w:rPr>
                <w:szCs w:val="20"/>
              </w:rPr>
            </w:pPr>
            <w:r w:rsidRPr="00AF3327">
              <w:rPr>
                <w:rFonts w:ascii="Calibri" w:hAnsi="Calibri" w:cs="Calibri"/>
                <w:color w:val="000000"/>
                <w:szCs w:val="20"/>
              </w:rPr>
              <w:t>0,0%</w:t>
            </w:r>
          </w:p>
        </w:tc>
        <w:tc>
          <w:tcPr>
            <w:tcW w:w="1291" w:type="dxa"/>
            <w:vAlign w:val="center"/>
          </w:tcPr>
          <w:p w14:paraId="1DAC7E5B" w14:textId="77777777" w:rsidR="00E0082B" w:rsidRPr="00AF3327" w:rsidRDefault="00E0082B" w:rsidP="000878F6">
            <w:pPr>
              <w:pStyle w:val="Table"/>
              <w:jc w:val="center"/>
              <w:rPr>
                <w:szCs w:val="20"/>
              </w:rPr>
            </w:pPr>
            <w:r w:rsidRPr="00AF3327">
              <w:rPr>
                <w:rFonts w:ascii="Calibri" w:hAnsi="Calibri" w:cs="Calibri"/>
                <w:color w:val="000000"/>
                <w:szCs w:val="20"/>
              </w:rPr>
              <w:t>0,0%</w:t>
            </w:r>
          </w:p>
        </w:tc>
      </w:tr>
      <w:tr w:rsidR="00E0082B" w:rsidRPr="00AF3327" w14:paraId="13BD21C8" w14:textId="77777777" w:rsidTr="00274248">
        <w:trPr>
          <w:trHeight w:val="237"/>
        </w:trPr>
        <w:tc>
          <w:tcPr>
            <w:tcW w:w="2264" w:type="dxa"/>
          </w:tcPr>
          <w:p w14:paraId="07DC780D" w14:textId="77777777" w:rsidR="00E0082B" w:rsidRPr="00AF3327" w:rsidRDefault="00E0082B" w:rsidP="000878F6">
            <w:pPr>
              <w:pStyle w:val="Table"/>
              <w:rPr>
                <w:szCs w:val="20"/>
              </w:rPr>
            </w:pPr>
            <w:r w:rsidRPr="00AF3327">
              <w:rPr>
                <w:szCs w:val="20"/>
              </w:rPr>
              <w:t>SO2</w:t>
            </w:r>
          </w:p>
        </w:tc>
        <w:tc>
          <w:tcPr>
            <w:tcW w:w="1132" w:type="dxa"/>
            <w:vAlign w:val="center"/>
          </w:tcPr>
          <w:p w14:paraId="2FF64924"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1132" w:type="dxa"/>
            <w:vAlign w:val="center"/>
          </w:tcPr>
          <w:p w14:paraId="1660A952"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1038" w:type="dxa"/>
            <w:vAlign w:val="center"/>
          </w:tcPr>
          <w:p w14:paraId="154C6DF5"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1226" w:type="dxa"/>
            <w:vAlign w:val="center"/>
          </w:tcPr>
          <w:p w14:paraId="30230834"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975" w:type="dxa"/>
            <w:vAlign w:val="center"/>
          </w:tcPr>
          <w:p w14:paraId="4AFE6F35" w14:textId="77777777" w:rsidR="00E0082B" w:rsidRPr="00AF3327" w:rsidRDefault="00E0082B" w:rsidP="000878F6">
            <w:pPr>
              <w:pStyle w:val="Table"/>
              <w:jc w:val="center"/>
              <w:rPr>
                <w:szCs w:val="20"/>
              </w:rPr>
            </w:pPr>
            <w:r w:rsidRPr="00AF3327">
              <w:rPr>
                <w:rFonts w:ascii="Calibri" w:hAnsi="Calibri" w:cs="Calibri"/>
                <w:color w:val="000000"/>
                <w:szCs w:val="20"/>
              </w:rPr>
              <w:t>0,0%</w:t>
            </w:r>
          </w:p>
        </w:tc>
        <w:tc>
          <w:tcPr>
            <w:tcW w:w="1291" w:type="dxa"/>
            <w:vAlign w:val="center"/>
          </w:tcPr>
          <w:p w14:paraId="1DFD2690" w14:textId="77777777" w:rsidR="00E0082B" w:rsidRPr="00AF3327" w:rsidRDefault="00E0082B" w:rsidP="000878F6">
            <w:pPr>
              <w:pStyle w:val="Table"/>
              <w:jc w:val="center"/>
              <w:rPr>
                <w:szCs w:val="20"/>
              </w:rPr>
            </w:pPr>
            <w:r w:rsidRPr="00AF3327">
              <w:rPr>
                <w:rFonts w:ascii="Calibri" w:hAnsi="Calibri" w:cs="Calibri"/>
                <w:color w:val="000000"/>
                <w:szCs w:val="20"/>
              </w:rPr>
              <w:t>0,0%</w:t>
            </w:r>
          </w:p>
        </w:tc>
      </w:tr>
      <w:tr w:rsidR="00E0082B" w:rsidRPr="00AF3327" w14:paraId="28EDD865" w14:textId="77777777" w:rsidTr="00274248">
        <w:trPr>
          <w:trHeight w:val="237"/>
        </w:trPr>
        <w:tc>
          <w:tcPr>
            <w:tcW w:w="2264" w:type="dxa"/>
          </w:tcPr>
          <w:p w14:paraId="59C5A35C" w14:textId="77777777" w:rsidR="00E0082B" w:rsidRPr="00AF3327" w:rsidRDefault="00E0082B" w:rsidP="000878F6">
            <w:pPr>
              <w:pStyle w:val="Table"/>
              <w:rPr>
                <w:szCs w:val="20"/>
              </w:rPr>
            </w:pPr>
            <w:r w:rsidRPr="00AF3327">
              <w:rPr>
                <w:szCs w:val="20"/>
              </w:rPr>
              <w:t>PM2.5</w:t>
            </w:r>
          </w:p>
        </w:tc>
        <w:tc>
          <w:tcPr>
            <w:tcW w:w="1132" w:type="dxa"/>
            <w:vAlign w:val="center"/>
          </w:tcPr>
          <w:p w14:paraId="0E18F8FC" w14:textId="77777777" w:rsidR="00E0082B" w:rsidRPr="00AF3327" w:rsidRDefault="00E0082B" w:rsidP="000878F6">
            <w:pPr>
              <w:pStyle w:val="Table"/>
              <w:jc w:val="center"/>
              <w:rPr>
                <w:szCs w:val="20"/>
              </w:rPr>
            </w:pPr>
            <w:r w:rsidRPr="00AF3327">
              <w:rPr>
                <w:rFonts w:ascii="Calibri" w:hAnsi="Calibri" w:cs="Calibri"/>
                <w:color w:val="000000"/>
                <w:szCs w:val="20"/>
              </w:rPr>
              <w:t>-7,39%</w:t>
            </w:r>
          </w:p>
        </w:tc>
        <w:tc>
          <w:tcPr>
            <w:tcW w:w="1132" w:type="dxa"/>
            <w:vAlign w:val="center"/>
          </w:tcPr>
          <w:p w14:paraId="6F1498FC" w14:textId="77777777" w:rsidR="00E0082B" w:rsidRPr="00AF3327" w:rsidRDefault="00E0082B" w:rsidP="000878F6">
            <w:pPr>
              <w:pStyle w:val="Table"/>
              <w:jc w:val="center"/>
              <w:rPr>
                <w:szCs w:val="20"/>
              </w:rPr>
            </w:pPr>
            <w:r w:rsidRPr="00AF3327">
              <w:rPr>
                <w:rFonts w:ascii="Calibri" w:hAnsi="Calibri" w:cs="Calibri"/>
                <w:color w:val="000000"/>
                <w:szCs w:val="20"/>
              </w:rPr>
              <w:t>-7,39%</w:t>
            </w:r>
          </w:p>
        </w:tc>
        <w:tc>
          <w:tcPr>
            <w:tcW w:w="1038" w:type="dxa"/>
            <w:vAlign w:val="center"/>
          </w:tcPr>
          <w:p w14:paraId="043DF9A8" w14:textId="77777777" w:rsidR="00E0082B" w:rsidRPr="00AF3327" w:rsidRDefault="00E0082B" w:rsidP="000878F6">
            <w:pPr>
              <w:pStyle w:val="Table"/>
              <w:jc w:val="center"/>
              <w:rPr>
                <w:szCs w:val="20"/>
              </w:rPr>
            </w:pPr>
            <w:r w:rsidRPr="00AF3327">
              <w:rPr>
                <w:rFonts w:ascii="Calibri" w:hAnsi="Calibri" w:cs="Calibri"/>
                <w:color w:val="000000"/>
                <w:szCs w:val="20"/>
              </w:rPr>
              <w:t>0,32</w:t>
            </w:r>
          </w:p>
        </w:tc>
        <w:tc>
          <w:tcPr>
            <w:tcW w:w="1226" w:type="dxa"/>
            <w:vAlign w:val="center"/>
          </w:tcPr>
          <w:p w14:paraId="589F4A1E" w14:textId="77777777" w:rsidR="00E0082B" w:rsidRPr="00AF3327" w:rsidRDefault="00E0082B" w:rsidP="000878F6">
            <w:pPr>
              <w:pStyle w:val="Table"/>
              <w:jc w:val="center"/>
              <w:rPr>
                <w:szCs w:val="20"/>
              </w:rPr>
            </w:pPr>
            <w:r w:rsidRPr="00AF3327">
              <w:rPr>
                <w:rFonts w:ascii="Calibri" w:hAnsi="Calibri" w:cs="Calibri"/>
                <w:color w:val="000000"/>
                <w:szCs w:val="20"/>
              </w:rPr>
              <w:t>0,27</w:t>
            </w:r>
          </w:p>
        </w:tc>
        <w:tc>
          <w:tcPr>
            <w:tcW w:w="975" w:type="dxa"/>
            <w:vAlign w:val="center"/>
          </w:tcPr>
          <w:p w14:paraId="71EB418E" w14:textId="77777777" w:rsidR="00E0082B" w:rsidRPr="00AF3327" w:rsidRDefault="00E0082B" w:rsidP="000878F6">
            <w:pPr>
              <w:pStyle w:val="Table"/>
              <w:jc w:val="center"/>
              <w:rPr>
                <w:szCs w:val="20"/>
              </w:rPr>
            </w:pPr>
            <w:r w:rsidRPr="00AF3327">
              <w:rPr>
                <w:rFonts w:ascii="Calibri" w:hAnsi="Calibri" w:cs="Calibri"/>
                <w:color w:val="000000"/>
                <w:szCs w:val="20"/>
              </w:rPr>
              <w:t>0,1%</w:t>
            </w:r>
          </w:p>
        </w:tc>
        <w:tc>
          <w:tcPr>
            <w:tcW w:w="1291" w:type="dxa"/>
            <w:vAlign w:val="center"/>
          </w:tcPr>
          <w:p w14:paraId="693ECA90" w14:textId="77777777" w:rsidR="00E0082B" w:rsidRPr="00AF3327" w:rsidRDefault="00E0082B" w:rsidP="000878F6">
            <w:pPr>
              <w:pStyle w:val="Table"/>
              <w:jc w:val="center"/>
              <w:rPr>
                <w:szCs w:val="20"/>
              </w:rPr>
            </w:pPr>
            <w:r w:rsidRPr="00AF3327">
              <w:rPr>
                <w:rFonts w:ascii="Calibri" w:hAnsi="Calibri" w:cs="Calibri"/>
                <w:color w:val="000000"/>
                <w:szCs w:val="20"/>
              </w:rPr>
              <w:t>0,1%</w:t>
            </w:r>
          </w:p>
        </w:tc>
      </w:tr>
      <w:tr w:rsidR="00E0082B" w:rsidRPr="00AF3327" w14:paraId="61B552B6" w14:textId="77777777" w:rsidTr="00274248">
        <w:trPr>
          <w:trHeight w:val="237"/>
        </w:trPr>
        <w:tc>
          <w:tcPr>
            <w:tcW w:w="2264" w:type="dxa"/>
          </w:tcPr>
          <w:p w14:paraId="47936B9D" w14:textId="77777777" w:rsidR="00E0082B" w:rsidRPr="00AF3327" w:rsidRDefault="00E0082B" w:rsidP="000878F6">
            <w:pPr>
              <w:pStyle w:val="Table"/>
              <w:rPr>
                <w:szCs w:val="20"/>
              </w:rPr>
            </w:pPr>
            <w:r w:rsidRPr="00AF3327">
              <w:rPr>
                <w:szCs w:val="20"/>
              </w:rPr>
              <w:t>Water Abstraction</w:t>
            </w:r>
          </w:p>
        </w:tc>
        <w:tc>
          <w:tcPr>
            <w:tcW w:w="1132" w:type="dxa"/>
            <w:vAlign w:val="center"/>
          </w:tcPr>
          <w:p w14:paraId="7D944677"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1132" w:type="dxa"/>
            <w:vAlign w:val="center"/>
          </w:tcPr>
          <w:p w14:paraId="3C603AAB"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1038" w:type="dxa"/>
            <w:vAlign w:val="center"/>
          </w:tcPr>
          <w:p w14:paraId="52B77A20"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1226" w:type="dxa"/>
            <w:vAlign w:val="center"/>
          </w:tcPr>
          <w:p w14:paraId="63D50CD1"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975" w:type="dxa"/>
            <w:vAlign w:val="center"/>
          </w:tcPr>
          <w:p w14:paraId="7F599D0A" w14:textId="77777777" w:rsidR="00E0082B" w:rsidRPr="00AF3327" w:rsidRDefault="00E0082B" w:rsidP="000878F6">
            <w:pPr>
              <w:pStyle w:val="Table"/>
              <w:jc w:val="center"/>
              <w:rPr>
                <w:szCs w:val="20"/>
              </w:rPr>
            </w:pPr>
            <w:r w:rsidRPr="00AF3327">
              <w:rPr>
                <w:rFonts w:ascii="Calibri" w:hAnsi="Calibri" w:cs="Calibri"/>
                <w:color w:val="000000"/>
                <w:szCs w:val="20"/>
              </w:rPr>
              <w:t>0,0%</w:t>
            </w:r>
          </w:p>
        </w:tc>
        <w:tc>
          <w:tcPr>
            <w:tcW w:w="1291" w:type="dxa"/>
            <w:vAlign w:val="center"/>
          </w:tcPr>
          <w:p w14:paraId="2BEA9726" w14:textId="77777777" w:rsidR="00E0082B" w:rsidRPr="00AF3327" w:rsidRDefault="00E0082B" w:rsidP="000878F6">
            <w:pPr>
              <w:pStyle w:val="Table"/>
              <w:jc w:val="center"/>
              <w:rPr>
                <w:szCs w:val="20"/>
              </w:rPr>
            </w:pPr>
            <w:r w:rsidRPr="00AF3327">
              <w:rPr>
                <w:rFonts w:ascii="Calibri" w:hAnsi="Calibri" w:cs="Calibri"/>
                <w:color w:val="000000"/>
                <w:szCs w:val="20"/>
              </w:rPr>
              <w:t>0,0%</w:t>
            </w:r>
          </w:p>
        </w:tc>
      </w:tr>
      <w:tr w:rsidR="00E0082B" w:rsidRPr="00AF3327" w14:paraId="4994A3D8" w14:textId="77777777" w:rsidTr="00274248">
        <w:trPr>
          <w:trHeight w:val="254"/>
        </w:trPr>
        <w:tc>
          <w:tcPr>
            <w:tcW w:w="2264" w:type="dxa"/>
          </w:tcPr>
          <w:p w14:paraId="0432FC05" w14:textId="77777777" w:rsidR="00E0082B" w:rsidRPr="00AF3327" w:rsidRDefault="00E0082B" w:rsidP="000878F6">
            <w:pPr>
              <w:pStyle w:val="Table"/>
              <w:rPr>
                <w:szCs w:val="20"/>
              </w:rPr>
            </w:pPr>
            <w:r w:rsidRPr="00AF3327">
              <w:rPr>
                <w:szCs w:val="20"/>
              </w:rPr>
              <w:t>Fertilizers</w:t>
            </w:r>
          </w:p>
        </w:tc>
        <w:tc>
          <w:tcPr>
            <w:tcW w:w="1132" w:type="dxa"/>
            <w:vAlign w:val="center"/>
          </w:tcPr>
          <w:p w14:paraId="32FAEE82" w14:textId="77777777" w:rsidR="00E0082B" w:rsidRPr="00AF3327" w:rsidRDefault="00E0082B" w:rsidP="000878F6">
            <w:pPr>
              <w:pStyle w:val="Table"/>
              <w:jc w:val="center"/>
              <w:rPr>
                <w:szCs w:val="20"/>
              </w:rPr>
            </w:pPr>
            <w:r w:rsidRPr="00AF3327">
              <w:rPr>
                <w:rFonts w:ascii="Calibri" w:hAnsi="Calibri" w:cs="Calibri"/>
                <w:color w:val="000000"/>
                <w:szCs w:val="20"/>
              </w:rPr>
              <w:t>-8,99%</w:t>
            </w:r>
          </w:p>
        </w:tc>
        <w:tc>
          <w:tcPr>
            <w:tcW w:w="1132" w:type="dxa"/>
            <w:vAlign w:val="center"/>
          </w:tcPr>
          <w:p w14:paraId="5F9CCEE3" w14:textId="77777777" w:rsidR="00E0082B" w:rsidRPr="00AF3327" w:rsidRDefault="00E0082B" w:rsidP="000878F6">
            <w:pPr>
              <w:pStyle w:val="Table"/>
              <w:jc w:val="center"/>
              <w:rPr>
                <w:szCs w:val="20"/>
              </w:rPr>
            </w:pPr>
            <w:r w:rsidRPr="00AF3327">
              <w:rPr>
                <w:rFonts w:ascii="Calibri" w:hAnsi="Calibri" w:cs="Calibri"/>
                <w:color w:val="000000"/>
                <w:szCs w:val="20"/>
              </w:rPr>
              <w:t>-8,99%</w:t>
            </w:r>
          </w:p>
        </w:tc>
        <w:tc>
          <w:tcPr>
            <w:tcW w:w="1038" w:type="dxa"/>
            <w:vAlign w:val="center"/>
          </w:tcPr>
          <w:p w14:paraId="1DB9B641" w14:textId="77777777" w:rsidR="00E0082B" w:rsidRPr="00AF3327" w:rsidRDefault="00E0082B" w:rsidP="000878F6">
            <w:pPr>
              <w:pStyle w:val="Table"/>
              <w:jc w:val="center"/>
              <w:rPr>
                <w:szCs w:val="20"/>
              </w:rPr>
            </w:pPr>
            <w:r w:rsidRPr="00AF3327">
              <w:rPr>
                <w:rFonts w:ascii="Calibri" w:hAnsi="Calibri" w:cs="Calibri"/>
                <w:color w:val="000000"/>
                <w:szCs w:val="20"/>
              </w:rPr>
              <w:t>6,39</w:t>
            </w:r>
          </w:p>
        </w:tc>
        <w:tc>
          <w:tcPr>
            <w:tcW w:w="1226" w:type="dxa"/>
            <w:vAlign w:val="center"/>
          </w:tcPr>
          <w:p w14:paraId="7891A2A4" w14:textId="77777777" w:rsidR="00E0082B" w:rsidRPr="00AF3327" w:rsidRDefault="00E0082B" w:rsidP="000878F6">
            <w:pPr>
              <w:pStyle w:val="Table"/>
              <w:jc w:val="center"/>
              <w:rPr>
                <w:szCs w:val="20"/>
              </w:rPr>
            </w:pPr>
            <w:r w:rsidRPr="00AF3327">
              <w:rPr>
                <w:rFonts w:ascii="Calibri" w:hAnsi="Calibri" w:cs="Calibri"/>
                <w:color w:val="000000"/>
                <w:szCs w:val="20"/>
              </w:rPr>
              <w:t>6,33</w:t>
            </w:r>
          </w:p>
        </w:tc>
        <w:tc>
          <w:tcPr>
            <w:tcW w:w="975" w:type="dxa"/>
            <w:vAlign w:val="center"/>
          </w:tcPr>
          <w:p w14:paraId="06197547" w14:textId="77777777" w:rsidR="00E0082B" w:rsidRPr="00AF3327" w:rsidRDefault="00E0082B" w:rsidP="000878F6">
            <w:pPr>
              <w:pStyle w:val="Table"/>
              <w:jc w:val="center"/>
              <w:rPr>
                <w:szCs w:val="20"/>
              </w:rPr>
            </w:pPr>
            <w:r w:rsidRPr="00AF3327">
              <w:rPr>
                <w:rFonts w:ascii="Calibri" w:hAnsi="Calibri" w:cs="Calibri"/>
                <w:color w:val="000000"/>
                <w:szCs w:val="20"/>
              </w:rPr>
              <w:t>2,2%</w:t>
            </w:r>
          </w:p>
        </w:tc>
        <w:tc>
          <w:tcPr>
            <w:tcW w:w="1291" w:type="dxa"/>
            <w:vAlign w:val="center"/>
          </w:tcPr>
          <w:p w14:paraId="19B4D679" w14:textId="77777777" w:rsidR="00E0082B" w:rsidRPr="00AF3327" w:rsidRDefault="00E0082B" w:rsidP="000878F6">
            <w:pPr>
              <w:pStyle w:val="Table"/>
              <w:jc w:val="center"/>
              <w:rPr>
                <w:szCs w:val="20"/>
              </w:rPr>
            </w:pPr>
            <w:r w:rsidRPr="00AF3327">
              <w:rPr>
                <w:rFonts w:ascii="Calibri" w:hAnsi="Calibri" w:cs="Calibri"/>
                <w:color w:val="000000"/>
                <w:szCs w:val="20"/>
              </w:rPr>
              <w:t>2,2%</w:t>
            </w:r>
          </w:p>
        </w:tc>
      </w:tr>
      <w:tr w:rsidR="00E0082B" w:rsidRPr="00AF3327" w14:paraId="1AF0BAF6" w14:textId="77777777" w:rsidTr="00274248">
        <w:trPr>
          <w:trHeight w:val="237"/>
        </w:trPr>
        <w:tc>
          <w:tcPr>
            <w:tcW w:w="2264" w:type="dxa"/>
          </w:tcPr>
          <w:p w14:paraId="665E5EAC" w14:textId="77777777" w:rsidR="00E0082B" w:rsidRPr="00AF3327" w:rsidRDefault="00E0082B" w:rsidP="000878F6">
            <w:pPr>
              <w:pStyle w:val="Table"/>
              <w:rPr>
                <w:szCs w:val="20"/>
              </w:rPr>
            </w:pPr>
            <w:r w:rsidRPr="00AF3327">
              <w:rPr>
                <w:szCs w:val="20"/>
              </w:rPr>
              <w:t>Pesticides</w:t>
            </w:r>
          </w:p>
        </w:tc>
        <w:tc>
          <w:tcPr>
            <w:tcW w:w="1132" w:type="dxa"/>
            <w:vAlign w:val="center"/>
          </w:tcPr>
          <w:p w14:paraId="4D62D815" w14:textId="77777777" w:rsidR="00E0082B" w:rsidRPr="00AF3327" w:rsidRDefault="00E0082B" w:rsidP="000878F6">
            <w:pPr>
              <w:pStyle w:val="Table"/>
              <w:jc w:val="center"/>
              <w:rPr>
                <w:szCs w:val="20"/>
              </w:rPr>
            </w:pPr>
            <w:r w:rsidRPr="00AF3327">
              <w:rPr>
                <w:rFonts w:ascii="Calibri" w:hAnsi="Calibri" w:cs="Calibri"/>
                <w:color w:val="000000"/>
                <w:szCs w:val="20"/>
              </w:rPr>
              <w:t>n/a</w:t>
            </w:r>
          </w:p>
        </w:tc>
        <w:tc>
          <w:tcPr>
            <w:tcW w:w="1132" w:type="dxa"/>
            <w:vAlign w:val="center"/>
          </w:tcPr>
          <w:p w14:paraId="6408712C" w14:textId="77777777" w:rsidR="00E0082B" w:rsidRPr="00AF3327" w:rsidRDefault="00E0082B" w:rsidP="000878F6">
            <w:pPr>
              <w:pStyle w:val="Table"/>
              <w:jc w:val="center"/>
              <w:rPr>
                <w:szCs w:val="20"/>
              </w:rPr>
            </w:pPr>
            <w:r w:rsidRPr="00AF3327">
              <w:rPr>
                <w:rFonts w:ascii="Calibri" w:hAnsi="Calibri" w:cs="Calibri"/>
                <w:color w:val="000000"/>
                <w:szCs w:val="20"/>
              </w:rPr>
              <w:t>n/a</w:t>
            </w:r>
          </w:p>
        </w:tc>
        <w:tc>
          <w:tcPr>
            <w:tcW w:w="1038" w:type="dxa"/>
            <w:vAlign w:val="center"/>
          </w:tcPr>
          <w:p w14:paraId="32EA9321"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1226" w:type="dxa"/>
            <w:vAlign w:val="center"/>
          </w:tcPr>
          <w:p w14:paraId="6C1B3346"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975" w:type="dxa"/>
            <w:vAlign w:val="center"/>
          </w:tcPr>
          <w:p w14:paraId="6A8AFFE9" w14:textId="77777777" w:rsidR="00E0082B" w:rsidRPr="00AF3327" w:rsidRDefault="00E0082B" w:rsidP="000878F6">
            <w:pPr>
              <w:pStyle w:val="Table"/>
              <w:jc w:val="center"/>
              <w:rPr>
                <w:szCs w:val="20"/>
              </w:rPr>
            </w:pPr>
            <w:r w:rsidRPr="00AF3327">
              <w:rPr>
                <w:rFonts w:ascii="Calibri" w:hAnsi="Calibri" w:cs="Calibri"/>
                <w:color w:val="000000"/>
                <w:szCs w:val="20"/>
              </w:rPr>
              <w:t>0,0%</w:t>
            </w:r>
          </w:p>
        </w:tc>
        <w:tc>
          <w:tcPr>
            <w:tcW w:w="1291" w:type="dxa"/>
            <w:vAlign w:val="center"/>
          </w:tcPr>
          <w:p w14:paraId="718874AB" w14:textId="77777777" w:rsidR="00E0082B" w:rsidRPr="00AF3327" w:rsidRDefault="00E0082B" w:rsidP="000878F6">
            <w:pPr>
              <w:pStyle w:val="Table"/>
              <w:jc w:val="center"/>
              <w:rPr>
                <w:szCs w:val="20"/>
              </w:rPr>
            </w:pPr>
            <w:r w:rsidRPr="00AF3327">
              <w:rPr>
                <w:rFonts w:ascii="Calibri" w:hAnsi="Calibri" w:cs="Calibri"/>
                <w:color w:val="000000"/>
                <w:szCs w:val="20"/>
              </w:rPr>
              <w:t>0,0%</w:t>
            </w:r>
          </w:p>
        </w:tc>
      </w:tr>
      <w:tr w:rsidR="00E0082B" w:rsidRPr="00AF3327" w14:paraId="743BE743" w14:textId="77777777" w:rsidTr="00274248">
        <w:trPr>
          <w:trHeight w:val="237"/>
        </w:trPr>
        <w:tc>
          <w:tcPr>
            <w:tcW w:w="2264" w:type="dxa"/>
          </w:tcPr>
          <w:p w14:paraId="204125FE" w14:textId="77777777" w:rsidR="00E0082B" w:rsidRPr="00AF3327" w:rsidRDefault="00E0082B" w:rsidP="000878F6">
            <w:pPr>
              <w:pStyle w:val="Table"/>
              <w:rPr>
                <w:szCs w:val="20"/>
              </w:rPr>
            </w:pPr>
            <w:r w:rsidRPr="00AF3327">
              <w:rPr>
                <w:szCs w:val="20"/>
              </w:rPr>
              <w:t>Waste Incineration</w:t>
            </w:r>
          </w:p>
        </w:tc>
        <w:tc>
          <w:tcPr>
            <w:tcW w:w="1132" w:type="dxa"/>
            <w:vAlign w:val="center"/>
          </w:tcPr>
          <w:p w14:paraId="7E5B44B5"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1132" w:type="dxa"/>
            <w:vAlign w:val="center"/>
          </w:tcPr>
          <w:p w14:paraId="0E67BFE1"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1038" w:type="dxa"/>
            <w:vAlign w:val="center"/>
          </w:tcPr>
          <w:p w14:paraId="3D38D269"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1226" w:type="dxa"/>
            <w:vAlign w:val="center"/>
          </w:tcPr>
          <w:p w14:paraId="47ECDE69"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975" w:type="dxa"/>
            <w:vAlign w:val="center"/>
          </w:tcPr>
          <w:p w14:paraId="651D3AEF" w14:textId="77777777" w:rsidR="00E0082B" w:rsidRPr="00AF3327" w:rsidRDefault="00E0082B" w:rsidP="000878F6">
            <w:pPr>
              <w:pStyle w:val="Table"/>
              <w:jc w:val="center"/>
              <w:rPr>
                <w:szCs w:val="20"/>
              </w:rPr>
            </w:pPr>
            <w:r w:rsidRPr="00AF3327">
              <w:rPr>
                <w:rFonts w:ascii="Calibri" w:hAnsi="Calibri" w:cs="Calibri"/>
                <w:color w:val="000000"/>
                <w:szCs w:val="20"/>
              </w:rPr>
              <w:t>0,0%</w:t>
            </w:r>
          </w:p>
        </w:tc>
        <w:tc>
          <w:tcPr>
            <w:tcW w:w="1291" w:type="dxa"/>
            <w:vAlign w:val="center"/>
          </w:tcPr>
          <w:p w14:paraId="2D6AC608" w14:textId="77777777" w:rsidR="00E0082B" w:rsidRPr="00AF3327" w:rsidRDefault="00E0082B" w:rsidP="000878F6">
            <w:pPr>
              <w:pStyle w:val="Table"/>
              <w:jc w:val="center"/>
              <w:rPr>
                <w:szCs w:val="20"/>
              </w:rPr>
            </w:pPr>
            <w:r w:rsidRPr="00AF3327">
              <w:rPr>
                <w:rFonts w:ascii="Calibri" w:hAnsi="Calibri" w:cs="Calibri"/>
                <w:color w:val="000000"/>
                <w:szCs w:val="20"/>
              </w:rPr>
              <w:t>0,0%</w:t>
            </w:r>
          </w:p>
        </w:tc>
      </w:tr>
      <w:tr w:rsidR="00E0082B" w:rsidRPr="00AF3327" w14:paraId="32623B1C" w14:textId="77777777" w:rsidTr="00274248">
        <w:trPr>
          <w:trHeight w:val="237"/>
        </w:trPr>
        <w:tc>
          <w:tcPr>
            <w:tcW w:w="2264" w:type="dxa"/>
          </w:tcPr>
          <w:p w14:paraId="3923E4AF" w14:textId="77777777" w:rsidR="00E0082B" w:rsidRPr="00AF3327" w:rsidRDefault="00E0082B" w:rsidP="000878F6">
            <w:pPr>
              <w:pStyle w:val="Table"/>
              <w:rPr>
                <w:szCs w:val="20"/>
              </w:rPr>
            </w:pPr>
            <w:r w:rsidRPr="00AF3327">
              <w:rPr>
                <w:szCs w:val="20"/>
              </w:rPr>
              <w:t>Waste to Landfill</w:t>
            </w:r>
          </w:p>
        </w:tc>
        <w:tc>
          <w:tcPr>
            <w:tcW w:w="1132" w:type="dxa"/>
            <w:vAlign w:val="center"/>
          </w:tcPr>
          <w:p w14:paraId="3108E444"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1132" w:type="dxa"/>
            <w:vAlign w:val="center"/>
          </w:tcPr>
          <w:p w14:paraId="3D29E49D"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1038" w:type="dxa"/>
            <w:vAlign w:val="center"/>
          </w:tcPr>
          <w:p w14:paraId="0B3421B2"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1226" w:type="dxa"/>
            <w:vAlign w:val="center"/>
          </w:tcPr>
          <w:p w14:paraId="69FD6827" w14:textId="77777777" w:rsidR="00E0082B" w:rsidRPr="00AF3327" w:rsidRDefault="00E0082B" w:rsidP="000878F6">
            <w:pPr>
              <w:pStyle w:val="Table"/>
              <w:jc w:val="center"/>
              <w:rPr>
                <w:szCs w:val="20"/>
              </w:rPr>
            </w:pPr>
            <w:r w:rsidRPr="00AF3327">
              <w:rPr>
                <w:rFonts w:ascii="Calibri" w:hAnsi="Calibri" w:cs="Calibri"/>
                <w:color w:val="000000"/>
                <w:szCs w:val="20"/>
              </w:rPr>
              <w:t>0,00</w:t>
            </w:r>
          </w:p>
        </w:tc>
        <w:tc>
          <w:tcPr>
            <w:tcW w:w="975" w:type="dxa"/>
            <w:vAlign w:val="center"/>
          </w:tcPr>
          <w:p w14:paraId="39918CBD" w14:textId="77777777" w:rsidR="00E0082B" w:rsidRPr="00AF3327" w:rsidRDefault="00E0082B" w:rsidP="000878F6">
            <w:pPr>
              <w:pStyle w:val="Table"/>
              <w:jc w:val="center"/>
              <w:rPr>
                <w:szCs w:val="20"/>
              </w:rPr>
            </w:pPr>
            <w:r w:rsidRPr="00AF3327">
              <w:rPr>
                <w:rFonts w:ascii="Calibri" w:hAnsi="Calibri" w:cs="Calibri"/>
                <w:color w:val="000000"/>
                <w:szCs w:val="20"/>
              </w:rPr>
              <w:t>0,0%</w:t>
            </w:r>
          </w:p>
        </w:tc>
        <w:tc>
          <w:tcPr>
            <w:tcW w:w="1291" w:type="dxa"/>
            <w:vAlign w:val="center"/>
          </w:tcPr>
          <w:p w14:paraId="1FD11012" w14:textId="77777777" w:rsidR="00E0082B" w:rsidRPr="00AF3327" w:rsidRDefault="00E0082B" w:rsidP="000878F6">
            <w:pPr>
              <w:pStyle w:val="Table"/>
              <w:jc w:val="center"/>
              <w:rPr>
                <w:szCs w:val="20"/>
              </w:rPr>
            </w:pPr>
            <w:r w:rsidRPr="00AF3327">
              <w:rPr>
                <w:rFonts w:ascii="Calibri" w:hAnsi="Calibri" w:cs="Calibri"/>
                <w:color w:val="000000"/>
                <w:szCs w:val="20"/>
              </w:rPr>
              <w:t>0,0%</w:t>
            </w:r>
          </w:p>
        </w:tc>
      </w:tr>
      <w:tr w:rsidR="00E0082B" w:rsidRPr="00AF3327" w14:paraId="7FD96A18" w14:textId="77777777" w:rsidTr="00274248">
        <w:trPr>
          <w:trHeight w:val="237"/>
        </w:trPr>
        <w:tc>
          <w:tcPr>
            <w:tcW w:w="2264" w:type="dxa"/>
          </w:tcPr>
          <w:p w14:paraId="7D828054" w14:textId="77777777" w:rsidR="00E0082B" w:rsidRPr="00AF3327" w:rsidRDefault="00E0082B" w:rsidP="000878F6">
            <w:pPr>
              <w:pStyle w:val="Table"/>
              <w:rPr>
                <w:szCs w:val="20"/>
              </w:rPr>
            </w:pPr>
            <w:r w:rsidRPr="00AF3327">
              <w:rPr>
                <w:szCs w:val="20"/>
              </w:rPr>
              <w:t>Water Effluent</w:t>
            </w:r>
          </w:p>
        </w:tc>
        <w:tc>
          <w:tcPr>
            <w:tcW w:w="1132" w:type="dxa"/>
            <w:vAlign w:val="center"/>
          </w:tcPr>
          <w:p w14:paraId="12820A95" w14:textId="77777777" w:rsidR="00E0082B" w:rsidRPr="00AF3327" w:rsidRDefault="00E0082B" w:rsidP="000878F6">
            <w:pPr>
              <w:pStyle w:val="Table"/>
              <w:jc w:val="center"/>
              <w:rPr>
                <w:szCs w:val="20"/>
              </w:rPr>
            </w:pPr>
            <w:r w:rsidRPr="00AF3327">
              <w:rPr>
                <w:rFonts w:ascii="Calibri" w:hAnsi="Calibri" w:cs="Calibri"/>
                <w:color w:val="000000"/>
                <w:szCs w:val="20"/>
              </w:rPr>
              <w:t>-1,59%</w:t>
            </w:r>
          </w:p>
        </w:tc>
        <w:tc>
          <w:tcPr>
            <w:tcW w:w="1132" w:type="dxa"/>
            <w:vAlign w:val="center"/>
          </w:tcPr>
          <w:p w14:paraId="21DCB78B" w14:textId="77777777" w:rsidR="00E0082B" w:rsidRPr="00AF3327" w:rsidRDefault="00E0082B" w:rsidP="000878F6">
            <w:pPr>
              <w:pStyle w:val="Table"/>
              <w:jc w:val="center"/>
              <w:rPr>
                <w:szCs w:val="20"/>
              </w:rPr>
            </w:pPr>
            <w:r w:rsidRPr="00AF3327">
              <w:rPr>
                <w:rFonts w:ascii="Calibri" w:hAnsi="Calibri" w:cs="Calibri"/>
                <w:color w:val="000000"/>
                <w:szCs w:val="20"/>
              </w:rPr>
              <w:t>-1,59%</w:t>
            </w:r>
          </w:p>
        </w:tc>
        <w:tc>
          <w:tcPr>
            <w:tcW w:w="1038" w:type="dxa"/>
            <w:vAlign w:val="center"/>
          </w:tcPr>
          <w:p w14:paraId="2B7A18ED" w14:textId="77777777" w:rsidR="00E0082B" w:rsidRPr="00AF3327" w:rsidRDefault="00E0082B" w:rsidP="000878F6">
            <w:pPr>
              <w:pStyle w:val="Table"/>
              <w:jc w:val="center"/>
              <w:rPr>
                <w:szCs w:val="20"/>
              </w:rPr>
            </w:pPr>
            <w:r w:rsidRPr="00AF3327">
              <w:rPr>
                <w:rFonts w:ascii="Calibri" w:hAnsi="Calibri" w:cs="Calibri"/>
                <w:color w:val="000000"/>
                <w:szCs w:val="20"/>
              </w:rPr>
              <w:t>113,27</w:t>
            </w:r>
          </w:p>
        </w:tc>
        <w:tc>
          <w:tcPr>
            <w:tcW w:w="1226" w:type="dxa"/>
            <w:vAlign w:val="center"/>
          </w:tcPr>
          <w:p w14:paraId="061B163E" w14:textId="77777777" w:rsidR="00E0082B" w:rsidRPr="00AF3327" w:rsidRDefault="00E0082B" w:rsidP="000878F6">
            <w:pPr>
              <w:pStyle w:val="Table"/>
              <w:jc w:val="center"/>
              <w:rPr>
                <w:szCs w:val="20"/>
              </w:rPr>
            </w:pPr>
            <w:r w:rsidRPr="00AF3327">
              <w:rPr>
                <w:rFonts w:ascii="Calibri" w:hAnsi="Calibri" w:cs="Calibri"/>
                <w:color w:val="000000"/>
                <w:szCs w:val="20"/>
              </w:rPr>
              <w:t>114,26</w:t>
            </w:r>
          </w:p>
        </w:tc>
        <w:tc>
          <w:tcPr>
            <w:tcW w:w="975" w:type="dxa"/>
            <w:vAlign w:val="center"/>
          </w:tcPr>
          <w:p w14:paraId="5830E957" w14:textId="77777777" w:rsidR="00E0082B" w:rsidRPr="00AF3327" w:rsidRDefault="00E0082B" w:rsidP="000878F6">
            <w:pPr>
              <w:pStyle w:val="Table"/>
              <w:jc w:val="center"/>
              <w:rPr>
                <w:szCs w:val="20"/>
              </w:rPr>
            </w:pPr>
            <w:r w:rsidRPr="00AF3327">
              <w:rPr>
                <w:rFonts w:ascii="Calibri" w:hAnsi="Calibri" w:cs="Calibri"/>
                <w:color w:val="000000"/>
                <w:szCs w:val="20"/>
              </w:rPr>
              <w:t>38,9%</w:t>
            </w:r>
          </w:p>
        </w:tc>
        <w:tc>
          <w:tcPr>
            <w:tcW w:w="1291" w:type="dxa"/>
            <w:vAlign w:val="center"/>
          </w:tcPr>
          <w:p w14:paraId="67749DDF" w14:textId="77777777" w:rsidR="00E0082B" w:rsidRPr="00AF3327" w:rsidRDefault="00E0082B" w:rsidP="000878F6">
            <w:pPr>
              <w:pStyle w:val="Table"/>
              <w:jc w:val="center"/>
              <w:rPr>
                <w:szCs w:val="20"/>
              </w:rPr>
            </w:pPr>
            <w:r w:rsidRPr="00AF3327">
              <w:rPr>
                <w:rFonts w:ascii="Calibri" w:hAnsi="Calibri" w:cs="Calibri"/>
                <w:color w:val="000000"/>
                <w:szCs w:val="20"/>
              </w:rPr>
              <w:t>39,3%</w:t>
            </w:r>
          </w:p>
        </w:tc>
      </w:tr>
      <w:tr w:rsidR="00E0082B" w:rsidRPr="00AF3327" w14:paraId="0211D477" w14:textId="77777777" w:rsidTr="00274248">
        <w:trPr>
          <w:trHeight w:val="237"/>
        </w:trPr>
        <w:tc>
          <w:tcPr>
            <w:tcW w:w="2264" w:type="dxa"/>
          </w:tcPr>
          <w:p w14:paraId="52C8251C" w14:textId="77777777" w:rsidR="00E0082B" w:rsidRPr="00AF3327" w:rsidRDefault="00E0082B" w:rsidP="000878F6">
            <w:pPr>
              <w:pStyle w:val="Table"/>
              <w:rPr>
                <w:szCs w:val="20"/>
              </w:rPr>
            </w:pPr>
            <w:r w:rsidRPr="00AF3327">
              <w:rPr>
                <w:szCs w:val="20"/>
              </w:rPr>
              <w:t>Minerals &amp; Aggregates</w:t>
            </w:r>
          </w:p>
        </w:tc>
        <w:tc>
          <w:tcPr>
            <w:tcW w:w="1132" w:type="dxa"/>
            <w:vAlign w:val="center"/>
          </w:tcPr>
          <w:p w14:paraId="63448FE4" w14:textId="77777777" w:rsidR="00E0082B" w:rsidRPr="00AF3327" w:rsidRDefault="00E0082B" w:rsidP="000878F6">
            <w:pPr>
              <w:pStyle w:val="Table"/>
              <w:jc w:val="center"/>
              <w:rPr>
                <w:szCs w:val="20"/>
              </w:rPr>
            </w:pPr>
            <w:r w:rsidRPr="00AF3327">
              <w:rPr>
                <w:rFonts w:ascii="Calibri" w:hAnsi="Calibri" w:cs="Calibri"/>
                <w:color w:val="000000"/>
                <w:szCs w:val="20"/>
              </w:rPr>
              <w:t>-8,18%</w:t>
            </w:r>
          </w:p>
        </w:tc>
        <w:tc>
          <w:tcPr>
            <w:tcW w:w="1132" w:type="dxa"/>
            <w:vAlign w:val="center"/>
          </w:tcPr>
          <w:p w14:paraId="58510D2C" w14:textId="77777777" w:rsidR="00E0082B" w:rsidRPr="00AF3327" w:rsidRDefault="00E0082B" w:rsidP="000878F6">
            <w:pPr>
              <w:pStyle w:val="Table"/>
              <w:jc w:val="center"/>
              <w:rPr>
                <w:szCs w:val="20"/>
              </w:rPr>
            </w:pPr>
            <w:r w:rsidRPr="00AF3327">
              <w:rPr>
                <w:rFonts w:ascii="Calibri" w:hAnsi="Calibri" w:cs="Calibri"/>
                <w:color w:val="000000"/>
                <w:szCs w:val="20"/>
              </w:rPr>
              <w:t>-8,18%</w:t>
            </w:r>
          </w:p>
        </w:tc>
        <w:tc>
          <w:tcPr>
            <w:tcW w:w="1038" w:type="dxa"/>
            <w:vAlign w:val="center"/>
          </w:tcPr>
          <w:p w14:paraId="387327AD" w14:textId="77777777" w:rsidR="00E0082B" w:rsidRPr="00AF3327" w:rsidRDefault="00E0082B" w:rsidP="000878F6">
            <w:pPr>
              <w:pStyle w:val="Table"/>
              <w:jc w:val="center"/>
              <w:rPr>
                <w:szCs w:val="20"/>
              </w:rPr>
            </w:pPr>
            <w:r w:rsidRPr="00AF3327">
              <w:rPr>
                <w:rFonts w:ascii="Calibri" w:hAnsi="Calibri" w:cs="Calibri"/>
                <w:color w:val="000000"/>
                <w:szCs w:val="20"/>
              </w:rPr>
              <w:t>23,93</w:t>
            </w:r>
          </w:p>
        </w:tc>
        <w:tc>
          <w:tcPr>
            <w:tcW w:w="1226" w:type="dxa"/>
            <w:vAlign w:val="center"/>
          </w:tcPr>
          <w:p w14:paraId="34C5F7C2" w14:textId="77777777" w:rsidR="00E0082B" w:rsidRPr="00AF3327" w:rsidRDefault="00E0082B" w:rsidP="000878F6">
            <w:pPr>
              <w:pStyle w:val="Table"/>
              <w:jc w:val="center"/>
              <w:rPr>
                <w:szCs w:val="20"/>
              </w:rPr>
            </w:pPr>
            <w:r w:rsidRPr="00AF3327">
              <w:rPr>
                <w:rFonts w:ascii="Calibri" w:hAnsi="Calibri" w:cs="Calibri"/>
                <w:color w:val="000000"/>
                <w:szCs w:val="20"/>
              </w:rPr>
              <w:t>26,14</w:t>
            </w:r>
          </w:p>
        </w:tc>
        <w:tc>
          <w:tcPr>
            <w:tcW w:w="975" w:type="dxa"/>
            <w:vAlign w:val="center"/>
          </w:tcPr>
          <w:p w14:paraId="29BE9423" w14:textId="77777777" w:rsidR="00E0082B" w:rsidRPr="00AF3327" w:rsidRDefault="00E0082B" w:rsidP="000878F6">
            <w:pPr>
              <w:pStyle w:val="Table"/>
              <w:jc w:val="center"/>
              <w:rPr>
                <w:szCs w:val="20"/>
              </w:rPr>
            </w:pPr>
            <w:r w:rsidRPr="00AF3327">
              <w:rPr>
                <w:rFonts w:ascii="Calibri" w:hAnsi="Calibri" w:cs="Calibri"/>
                <w:color w:val="000000"/>
                <w:szCs w:val="20"/>
              </w:rPr>
              <w:t>10,4%</w:t>
            </w:r>
          </w:p>
        </w:tc>
        <w:tc>
          <w:tcPr>
            <w:tcW w:w="1291" w:type="dxa"/>
            <w:vAlign w:val="center"/>
          </w:tcPr>
          <w:p w14:paraId="0F45C135" w14:textId="77777777" w:rsidR="00E0082B" w:rsidRPr="00AF3327" w:rsidRDefault="00E0082B" w:rsidP="000878F6">
            <w:pPr>
              <w:pStyle w:val="Table"/>
              <w:jc w:val="center"/>
              <w:rPr>
                <w:szCs w:val="20"/>
              </w:rPr>
            </w:pPr>
            <w:r w:rsidRPr="00AF3327">
              <w:rPr>
                <w:rFonts w:ascii="Calibri" w:hAnsi="Calibri" w:cs="Calibri"/>
                <w:color w:val="000000"/>
                <w:szCs w:val="20"/>
              </w:rPr>
              <w:t>11,4%</w:t>
            </w:r>
          </w:p>
        </w:tc>
      </w:tr>
    </w:tbl>
    <w:p w14:paraId="5BAADD65" w14:textId="77777777" w:rsidR="00732707" w:rsidRPr="00732707" w:rsidRDefault="00732707" w:rsidP="00732707"/>
    <w:p w14:paraId="21DE0C36" w14:textId="48D1CD31" w:rsidR="00732707" w:rsidRPr="00732707" w:rsidRDefault="00732707" w:rsidP="00732707">
      <w:r w:rsidRPr="00732707">
        <w:t>Implementation risks are concentrated less in administration</w:t>
      </w:r>
      <w:r>
        <w:t xml:space="preserve">, </w:t>
      </w:r>
      <w:r w:rsidRPr="00732707">
        <w:t>where Denmark has robust monitoring, reporting and permitting</w:t>
      </w:r>
      <w:r>
        <w:t xml:space="preserve">, </w:t>
      </w:r>
      <w:r w:rsidRPr="00732707">
        <w:t xml:space="preserve">than in sectoral acceptability and the risk of unintended substitutions. If wastewater charges rise without parallel support for process optimisation, municipal companies and smaller industrial facilities could face short-term cost pressures that would need to be recovered in tariffs. In materials supply chains, any upward adjustment to mineral extraction charges could prompt claims of competitiveness pressures in construction, though the modelling suggests these impacts are modest when phased. Household distributional effects are limited in aggregate but can surface via </w:t>
      </w:r>
      <w:r w:rsidRPr="00732707">
        <w:lastRenderedPageBreak/>
        <w:t>water and waste bills; experience elsewhere</w:t>
      </w:r>
      <w:r w:rsidR="00E60D3D">
        <w:rPr>
          <w:rStyle w:val="FootnoteReference"/>
        </w:rPr>
        <w:footnoteReference w:id="302"/>
      </w:r>
      <w:r w:rsidRPr="00732707">
        <w:t xml:space="preserve"> shows that perceived fairness and transparency in revenue use matter as much as the underlying magnitudes.</w:t>
      </w:r>
    </w:p>
    <w:p w14:paraId="054C2EDB" w14:textId="5D7A01E2" w:rsidR="00732707" w:rsidRPr="00732707" w:rsidRDefault="00732707" w:rsidP="00732707">
      <w:r w:rsidRPr="00732707">
        <w:t>A practical way forward is a phased approach with clear trajectories and built-in reviews. For wastewater, a step-up towards the benchmark could be accompanied by performance contracts with utilities and co-funding for advanced treatment, water reuse and digital leak detection. This aligns the price signal with investable projects and limits tariff volatility. If extraction charges are recalibrated, pairing moderate rate increases with credits for secondary aggregates and recycled materials will dampen cost pass-throughs while reinforcing circular economy goals. On air pollutants, small top-ups to NO</w:t>
      </w:r>
      <w:r w:rsidRPr="00BA7936">
        <w:rPr>
          <w:vertAlign w:val="subscript"/>
        </w:rPr>
        <w:t>x</w:t>
      </w:r>
      <w:r w:rsidRPr="00732707">
        <w:t>, SO₂ and PM</w:t>
      </w:r>
      <w:r w:rsidRPr="00BA7936">
        <w:rPr>
          <w:vertAlign w:val="subscript"/>
        </w:rPr>
        <w:t xml:space="preserve">2.5 </w:t>
      </w:r>
      <w:r w:rsidRPr="00732707">
        <w:t>charges for large point sources could be made contingent on uptake of best available techniques, with temporary, technology-neutral investment allowances that do not blunt the marginal incentive.</w:t>
      </w:r>
    </w:p>
    <w:p w14:paraId="74F91B7E" w14:textId="1F6160CB" w:rsidR="00732707" w:rsidRPr="00732707" w:rsidRDefault="00732707" w:rsidP="00732707">
      <w:r w:rsidRPr="00732707">
        <w:t>Denmark’s strong social model allows targeted revenue recycling to neutralise the limited regressivity that can arise from utility charges. Earmarking a defined share of incremental proceeds to reduce employer social contributions for SMEs, or to offer lump-sum bill credits for low-income households, would maintain public acceptability. Where municipal waste or water tariffs are affected, a “bill impact cap” financed from additional environmental receipts can prevent sharp year-to-year increases while still preserving the behavioural signal. Transparent annual reporting</w:t>
      </w:r>
      <w:r>
        <w:t xml:space="preserve">, </w:t>
      </w:r>
      <w:r w:rsidRPr="00732707">
        <w:t>linking receipts to specific environmental outcomes such as river quality improvements or reduced nutrient loads</w:t>
      </w:r>
      <w:r>
        <w:t xml:space="preserve">, </w:t>
      </w:r>
      <w:r w:rsidRPr="00732707">
        <w:t>will further underpin trust.</w:t>
      </w:r>
    </w:p>
    <w:p w14:paraId="128AA86C" w14:textId="2FBF6D05" w:rsidR="00732707" w:rsidRPr="00732707" w:rsidRDefault="00732707" w:rsidP="00732707">
      <w:r w:rsidRPr="00732707">
        <w:t>On priorities, the modelling and Danish context suggest focusing first on wastewater effluents, where a benchmark-aligned price signal can deliver measurable benefits; second, on a careful recalibration of mineral extraction charges combined with incentives for recycled aggregates; and, third, on fine-tuning air pollutant charges for large installations to capture remaining low-cost abatement. Product-based instruments should be aligned with existing Danish practice: pesticide charges can continue to reflect toxicity, and any fertiliser instrument should be designed to reward precision application and nutrient budgeting rather than imposing uniform burdens. No changes are warranted for water abstraction or incineration under the benchmarks, given Denmark’s existing rates.</w:t>
      </w:r>
    </w:p>
    <w:p w14:paraId="029C7F5B" w14:textId="75CB14CC" w:rsidR="00732707" w:rsidRPr="00732707" w:rsidRDefault="00732707" w:rsidP="00732707">
      <w:r w:rsidRPr="00732707">
        <w:t>Competitiveness safeguards should be concrete and time-bound. For trade-exposed sites, offer declining, investment-linked support for abatement equipment and process efficiency that preserves the carbon and pollution price signals at the margin. For construction materials, sequence extraction-rate adjustments with strengthened procurement standards for recycled content so that policy pull offsets cost push. For utilities, adopt multi-year tariff smoothing with regulator oversight when higher environmental charges are introduced.</w:t>
      </w:r>
    </w:p>
    <w:p w14:paraId="3D6FAD24" w14:textId="78EFA1F3" w:rsidR="00480258" w:rsidRPr="00E0082B" w:rsidRDefault="00732707" w:rsidP="00331481">
      <w:r w:rsidRPr="00732707">
        <w:t xml:space="preserve">In summary, Denmark can implement the </w:t>
      </w:r>
      <w:r w:rsidRPr="00BA7936">
        <w:rPr>
          <w:b/>
          <w:bCs/>
        </w:rPr>
        <w:t>benchmarked environmental taxes with low administrative risk and limited macroeconomic impact</w:t>
      </w:r>
      <w:r w:rsidRPr="00732707">
        <w:t>. The main feasibility drivers are careful sequencing, targeted revenue recycling and visible reinvestment in efficiency and environmental quality. Prioritising wastewater, calibrated extraction charges and small air-emission top-ups, while leaving water abstraction and incineration unchanged, offers a balanced package that advances environmental objectives, safeguards competitiveness and maintains social fairness.</w:t>
      </w:r>
    </w:p>
    <w:p w14:paraId="5CEBE9E6" w14:textId="77777777" w:rsidR="00F83E65" w:rsidRPr="00EA4C9B" w:rsidRDefault="00F83E65" w:rsidP="0045752A">
      <w:pPr>
        <w:pStyle w:val="AnnexHeading1"/>
        <w:ind w:hanging="1211"/>
      </w:pPr>
      <w:bookmarkStart w:id="160" w:name="_Toc214008863"/>
      <w:r w:rsidRPr="00EA4C9B">
        <w:lastRenderedPageBreak/>
        <w:t>Estonia</w:t>
      </w:r>
      <w:bookmarkEnd w:id="160"/>
      <w:r w:rsidRPr="00EA4C9B">
        <w:t> </w:t>
      </w:r>
    </w:p>
    <w:p w14:paraId="7BEEE594" w14:textId="77777777" w:rsidR="00392FDA" w:rsidRPr="00EA4C9B" w:rsidRDefault="00392FDA" w:rsidP="007C4EB7">
      <w:pPr>
        <w:pStyle w:val="AnnexHeading2"/>
      </w:pPr>
      <w:bookmarkStart w:id="161" w:name="_Toc214008864"/>
      <w:r w:rsidRPr="00EA4C9B">
        <w:t>Overview of existing environmental taxes</w:t>
      </w:r>
      <w:bookmarkEnd w:id="161"/>
    </w:p>
    <w:p w14:paraId="380490C5" w14:textId="7BD80C7D" w:rsidR="00D65B08" w:rsidRPr="00D65B08" w:rsidRDefault="00D65B08" w:rsidP="00D65B08">
      <w:pPr>
        <w:spacing w:before="120" w:after="120"/>
      </w:pPr>
      <w:r w:rsidRPr="00D65B08">
        <w:t>Environmental taxes in Estonia amounted to 2.6% of GDP in 2023, above the EU average. Although revenues have grown substantially in absolute terms over the past decade and a half, their relative importance in the economy has declined. Total environmental tax revenue reached EUR 0.8 billion in 2023 (</w:t>
      </w:r>
      <w:r w:rsidRPr="00BB3E4F">
        <w:fldChar w:fldCharType="begin"/>
      </w:r>
      <w:r w:rsidRPr="00BB3E4F">
        <w:instrText xml:space="preserve"> REF _Ref201233994 \h  \* MERGEFORMAT </w:instrText>
      </w:r>
      <w:r w:rsidRPr="00BB3E4F">
        <w:fldChar w:fldCharType="separate"/>
      </w:r>
      <w:r w:rsidRPr="00BB3E4F">
        <w:t xml:space="preserve">Figure </w:t>
      </w:r>
      <w:r>
        <w:t>A6</w:t>
      </w:r>
      <w:r w:rsidRPr="00BB3E4F">
        <w:t>-</w:t>
      </w:r>
      <w:r w:rsidRPr="00BB3E4F">
        <w:rPr>
          <w:noProof/>
        </w:rPr>
        <w:t>22</w:t>
      </w:r>
      <w:r w:rsidRPr="00BB3E4F">
        <w:fldChar w:fldCharType="end"/>
      </w:r>
      <w:r w:rsidRPr="00D65B08">
        <w:t>), representing a 111% increase in real terms since 2009</w:t>
      </w:r>
      <w:r w:rsidR="00753273">
        <w:rPr>
          <w:rStyle w:val="FootnoteReference"/>
          <w:lang w:eastAsia="es-ES"/>
        </w:rPr>
        <w:footnoteReference w:id="303"/>
      </w:r>
      <w:r w:rsidRPr="00D65B08">
        <w:t>. Over the same period, however, the ratio of environmental taxes to GDP fell by 11.5% (</w:t>
      </w:r>
      <w:r w:rsidRPr="00BB3E4F">
        <w:fldChar w:fldCharType="begin"/>
      </w:r>
      <w:r w:rsidRPr="00BB3E4F">
        <w:instrText xml:space="preserve"> REF _Ref201234014 \h  \* MERGEFORMAT </w:instrText>
      </w:r>
      <w:r w:rsidRPr="00BB3E4F">
        <w:fldChar w:fldCharType="separate"/>
      </w:r>
      <w:r w:rsidRPr="00BB3E4F">
        <w:t xml:space="preserve">Figure </w:t>
      </w:r>
      <w:r>
        <w:t>A6</w:t>
      </w:r>
      <w:r w:rsidRPr="00BB3E4F">
        <w:t>-</w:t>
      </w:r>
      <w:r w:rsidRPr="00BB3E4F">
        <w:rPr>
          <w:noProof/>
        </w:rPr>
        <w:t>23</w:t>
      </w:r>
      <w:r w:rsidRPr="00BB3E4F">
        <w:fldChar w:fldCharType="end"/>
      </w:r>
      <w:r w:rsidRPr="00D65B08">
        <w:t>). In 2023, energy and transport taxes accounted for the overwhelming majority of revenues (around 93.5% and 1.2% respectively), while pollution and resource taxes contributed 3.8% and 1.4%.</w:t>
      </w:r>
    </w:p>
    <w:p w14:paraId="392D378D" w14:textId="475AC283" w:rsidR="00392FDA" w:rsidRPr="00EA4C9B" w:rsidRDefault="00D65B08" w:rsidP="00392FDA">
      <w:pPr>
        <w:spacing w:before="120" w:after="120"/>
      </w:pPr>
      <w:r w:rsidRPr="00D65B08">
        <w:t>According to the 2025 European Semester report</w:t>
      </w:r>
      <w:r w:rsidRPr="00EA4C9B">
        <w:rPr>
          <w:rStyle w:val="FootnoteReference"/>
        </w:rPr>
        <w:footnoteReference w:id="304"/>
      </w:r>
      <w:r w:rsidRPr="00D65B08">
        <w:t>, Estonia’s environmental tax revenues have risen in recent years, supporting broader fiscal consolidation efforts. In particular, energy tax revenues increased by more than 20% between 2021 and 2022, although this was driven mainly by base effects and inflation rather than structural tax reform.</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392FDA" w:rsidRPr="00EA4C9B" w14:paraId="4DE79676" w14:textId="77777777" w:rsidTr="004F0767">
        <w:trPr>
          <w:trHeight w:val="300"/>
        </w:trPr>
        <w:tc>
          <w:tcPr>
            <w:tcW w:w="9015" w:type="dxa"/>
            <w:tcBorders>
              <w:top w:val="single" w:sz="6" w:space="0" w:color="auto"/>
              <w:left w:val="single" w:sz="6" w:space="0" w:color="auto"/>
              <w:bottom w:val="single" w:sz="6" w:space="0" w:color="auto"/>
              <w:right w:val="single" w:sz="6" w:space="0" w:color="auto"/>
            </w:tcBorders>
            <w:hideMark/>
          </w:tcPr>
          <w:p w14:paraId="16B8E2F5" w14:textId="77777777" w:rsidR="00392FDA" w:rsidRPr="00EA4C9B" w:rsidRDefault="00392FDA">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sz w:val="2"/>
                <w:szCs w:val="2"/>
                <w:lang w:eastAsia="es-ES"/>
              </w:rPr>
              <w:t> </w:t>
            </w:r>
            <w:r w:rsidRPr="00EA4C9B">
              <w:rPr>
                <w:rFonts w:ascii="Calibri" w:eastAsia="Times New Roman" w:hAnsi="Calibri" w:cs="Calibri"/>
                <w:noProof/>
                <w:sz w:val="2"/>
                <w:szCs w:val="2"/>
                <w:lang w:eastAsia="es-ES"/>
              </w:rPr>
              <w:drawing>
                <wp:inline distT="0" distB="0" distL="0" distR="0" wp14:anchorId="0180F395" wp14:editId="297B87D6">
                  <wp:extent cx="5581183" cy="1080000"/>
                  <wp:effectExtent l="0" t="0" r="635" b="6350"/>
                  <wp:docPr id="809412305" name="Imagen 3" descr="A graph of 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12305" name="Imagen 3" descr="A graph of a graph with numbers and a line&#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81183" cy="1080000"/>
                          </a:xfrm>
                          <a:prstGeom prst="rect">
                            <a:avLst/>
                          </a:prstGeom>
                          <a:noFill/>
                        </pic:spPr>
                      </pic:pic>
                    </a:graphicData>
                  </a:graphic>
                </wp:inline>
              </w:drawing>
            </w:r>
          </w:p>
        </w:tc>
      </w:tr>
      <w:tr w:rsidR="00392FDA" w:rsidRPr="00EA4C9B" w14:paraId="0E32A636" w14:textId="77777777" w:rsidTr="004F0767">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003399"/>
            <w:hideMark/>
          </w:tcPr>
          <w:p w14:paraId="48841551" w14:textId="725798DB" w:rsidR="00392FDA" w:rsidRPr="00EA4C9B" w:rsidRDefault="002847DA" w:rsidP="00ED36D7">
            <w:pPr>
              <w:pStyle w:val="FigTabCaption"/>
              <w:rPr>
                <w:rFonts w:ascii="Segoe UI" w:eastAsia="Times New Roman" w:hAnsi="Segoe UI" w:cs="Segoe UI"/>
                <w:sz w:val="18"/>
                <w:szCs w:val="18"/>
                <w:lang w:eastAsia="es-ES"/>
              </w:rPr>
            </w:pPr>
            <w:bookmarkStart w:id="162" w:name="_Ref201233994"/>
            <w:r w:rsidRPr="00051732">
              <w:t xml:space="preserve">Figure </w:t>
            </w:r>
            <w:r w:rsidR="00490085">
              <w:t>A6</w:t>
            </w:r>
            <w:r w:rsidRPr="00051732">
              <w:t>-</w:t>
            </w:r>
            <w:fldSimple w:instr=" SEQ Figure_A5- \* ARABIC ">
              <w:r w:rsidR="0091411A">
                <w:rPr>
                  <w:noProof/>
                </w:rPr>
                <w:t>22</w:t>
              </w:r>
            </w:fldSimple>
            <w:bookmarkEnd w:id="162"/>
            <w:r w:rsidR="00392FDA" w:rsidRPr="00EA4C9B">
              <w:rPr>
                <w:shd w:val="clear" w:color="auto" w:fill="003399"/>
                <w:lang w:eastAsia="es-ES"/>
              </w:rPr>
              <w:t>:</w:t>
            </w:r>
            <w:r w:rsidR="00392FDA" w:rsidRPr="00EA4C9B">
              <w:rPr>
                <w:lang w:eastAsia="es-ES"/>
              </w:rPr>
              <w:t xml:space="preserve"> Total environmental tax revenue in Estonia (2009-2023) in million euros </w:t>
            </w:r>
          </w:p>
        </w:tc>
      </w:tr>
    </w:tbl>
    <w:p w14:paraId="481F1AAB" w14:textId="77777777" w:rsidR="00392FDA" w:rsidRDefault="00392FDA" w:rsidP="00392FDA">
      <w:pPr>
        <w:spacing w:after="0"/>
      </w:pPr>
    </w:p>
    <w:p w14:paraId="18FA9AD2" w14:textId="6D82C8E2" w:rsidR="003375FE" w:rsidRDefault="003375FE" w:rsidP="00392FDA">
      <w:pPr>
        <w:spacing w:after="0"/>
      </w:pPr>
      <w:r w:rsidRPr="003375FE">
        <w:t xml:space="preserve">In 2023, total tax revenue (including net social contributions) accounted for 33.9% of Estonia’s GDP, a decrease of </w:t>
      </w:r>
      <w:r w:rsidRPr="003375FE">
        <w:rPr>
          <w:b/>
          <w:bCs/>
        </w:rPr>
        <w:t>0.8 percentage points</w:t>
      </w:r>
      <w:r w:rsidRPr="003375FE">
        <w:t xml:space="preserve"> compared with 2009. Environmental taxes represented 7.7% of total tax revenue in 2023, down from 8.5% in 2009, a decline of </w:t>
      </w:r>
      <w:r w:rsidRPr="003375FE">
        <w:rPr>
          <w:b/>
          <w:bCs/>
        </w:rPr>
        <w:t>0.8 percentage points</w:t>
      </w:r>
      <w:r w:rsidRPr="003375FE">
        <w:t xml:space="preserve"> over the period. Within this overall reduction, the steepest falls in absolute terms were recorded in pollution tax revenues (-64.8%) and resource tax revenues (-57.1%).</w:t>
      </w:r>
    </w:p>
    <w:p w14:paraId="35B5A5DA" w14:textId="77777777" w:rsidR="003375FE" w:rsidRPr="00EA4C9B" w:rsidRDefault="003375FE" w:rsidP="00392FDA">
      <w:pPr>
        <w:spacing w:after="0"/>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392FDA" w:rsidRPr="00EA4C9B" w14:paraId="1E6E0D54" w14:textId="77777777" w:rsidTr="004F0767">
        <w:trPr>
          <w:trHeight w:val="300"/>
        </w:trPr>
        <w:tc>
          <w:tcPr>
            <w:tcW w:w="9015" w:type="dxa"/>
            <w:tcBorders>
              <w:top w:val="single" w:sz="6" w:space="0" w:color="auto"/>
              <w:left w:val="single" w:sz="6" w:space="0" w:color="auto"/>
              <w:bottom w:val="single" w:sz="6" w:space="0" w:color="auto"/>
              <w:right w:val="single" w:sz="6" w:space="0" w:color="auto"/>
            </w:tcBorders>
            <w:hideMark/>
          </w:tcPr>
          <w:p w14:paraId="6C4EDCAC" w14:textId="77777777" w:rsidR="00392FDA" w:rsidRPr="00EA4C9B" w:rsidRDefault="00392FDA">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sz w:val="2"/>
                <w:szCs w:val="2"/>
                <w:lang w:eastAsia="es-ES"/>
              </w:rPr>
              <w:t> </w:t>
            </w:r>
          </w:p>
          <w:p w14:paraId="40A91EC9" w14:textId="77777777" w:rsidR="00392FDA" w:rsidRDefault="00392FDA">
            <w:pPr>
              <w:spacing w:after="0"/>
              <w:jc w:val="center"/>
              <w:textAlignment w:val="baseline"/>
              <w:rPr>
                <w:rFonts w:ascii="Calibri" w:eastAsia="Times New Roman" w:hAnsi="Calibri" w:cs="Calibri"/>
                <w:sz w:val="2"/>
                <w:szCs w:val="2"/>
                <w:lang w:eastAsia="es-ES"/>
              </w:rPr>
            </w:pPr>
            <w:r w:rsidRPr="00EA4C9B">
              <w:rPr>
                <w:rFonts w:ascii="Calibri" w:eastAsia="Times New Roman" w:hAnsi="Calibri" w:cs="Calibri"/>
                <w:noProof/>
                <w:sz w:val="2"/>
                <w:szCs w:val="2"/>
                <w:lang w:eastAsia="es-ES"/>
              </w:rPr>
              <w:drawing>
                <wp:inline distT="0" distB="0" distL="0" distR="0" wp14:anchorId="59A7154E" wp14:editId="26586DDD">
                  <wp:extent cx="4843604" cy="1867508"/>
                  <wp:effectExtent l="0" t="0" r="0" b="0"/>
                  <wp:docPr id="1719399204" name="Picture 1" descr="A graph of different types of ta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99204" name="Picture 1" descr="A graph of different types of tax&#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39155" cy="1904349"/>
                          </a:xfrm>
                          <a:prstGeom prst="rect">
                            <a:avLst/>
                          </a:prstGeom>
                          <a:noFill/>
                        </pic:spPr>
                      </pic:pic>
                    </a:graphicData>
                  </a:graphic>
                </wp:inline>
              </w:drawing>
            </w:r>
            <w:r w:rsidR="00B65785">
              <w:rPr>
                <w:rStyle w:val="FootnoteReference"/>
                <w:rFonts w:ascii="Calibri" w:eastAsia="Times New Roman" w:hAnsi="Calibri" w:cs="Calibri"/>
                <w:sz w:val="2"/>
                <w:szCs w:val="2"/>
                <w:lang w:eastAsia="es-ES"/>
              </w:rPr>
              <w:footnoteReference w:id="305"/>
            </w:r>
            <w:r w:rsidRPr="00EA4C9B">
              <w:rPr>
                <w:rFonts w:ascii="Calibri" w:eastAsia="Times New Roman" w:hAnsi="Calibri" w:cs="Calibri"/>
                <w:sz w:val="2"/>
                <w:szCs w:val="2"/>
                <w:lang w:eastAsia="es-ES"/>
              </w:rPr>
              <w:t> </w:t>
            </w:r>
          </w:p>
          <w:p w14:paraId="2874A86C" w14:textId="79564169" w:rsidR="001A6AFA" w:rsidRPr="00EA4C9B" w:rsidRDefault="001A6AFA">
            <w:pPr>
              <w:spacing w:after="0"/>
              <w:jc w:val="center"/>
              <w:textAlignment w:val="baseline"/>
              <w:rPr>
                <w:rFonts w:ascii="Segoe UI" w:eastAsia="Times New Roman" w:hAnsi="Segoe UI" w:cs="Segoe UI"/>
                <w:sz w:val="2"/>
                <w:szCs w:val="2"/>
                <w:lang w:eastAsia="es-ES"/>
              </w:rPr>
            </w:pPr>
          </w:p>
        </w:tc>
      </w:tr>
      <w:tr w:rsidR="00392FDA" w:rsidRPr="00EA4C9B" w14:paraId="0F474D43" w14:textId="77777777" w:rsidTr="004F0767">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003399"/>
            <w:hideMark/>
          </w:tcPr>
          <w:p w14:paraId="7F021E09" w14:textId="16F778F3" w:rsidR="00392FDA" w:rsidRPr="00EA4C9B" w:rsidRDefault="002847DA" w:rsidP="00ED36D7">
            <w:pPr>
              <w:pStyle w:val="FigTabCaption"/>
              <w:rPr>
                <w:rFonts w:ascii="Segoe UI" w:eastAsia="Times New Roman" w:hAnsi="Segoe UI" w:cs="Segoe UI"/>
                <w:sz w:val="18"/>
                <w:szCs w:val="18"/>
                <w:lang w:eastAsia="es-ES"/>
              </w:rPr>
            </w:pPr>
            <w:bookmarkStart w:id="163" w:name="_Ref201234014"/>
            <w:r w:rsidRPr="00051732">
              <w:t xml:space="preserve">Figure </w:t>
            </w:r>
            <w:r w:rsidR="00490085">
              <w:t>A6</w:t>
            </w:r>
            <w:r w:rsidRPr="00051732">
              <w:t>-</w:t>
            </w:r>
            <w:fldSimple w:instr=" SEQ Figure_A5- \* ARABIC ">
              <w:r w:rsidR="0091411A">
                <w:rPr>
                  <w:noProof/>
                </w:rPr>
                <w:t>23</w:t>
              </w:r>
            </w:fldSimple>
            <w:bookmarkEnd w:id="163"/>
            <w:r w:rsidR="00392FDA" w:rsidRPr="00EA4C9B">
              <w:rPr>
                <w:shd w:val="clear" w:color="auto" w:fill="003399"/>
                <w:lang w:eastAsia="es-ES"/>
              </w:rPr>
              <w:t>:</w:t>
            </w:r>
            <w:r w:rsidR="00392FDA" w:rsidRPr="00EA4C9B">
              <w:rPr>
                <w:lang w:eastAsia="es-ES"/>
              </w:rPr>
              <w:t xml:space="preserve"> Fifteen-year (2009-2023) change in absolute terms and change as GDP-ratio of the revenues of energy taxes, transport taxes, resource taxes, pollution taxes and total environmental taxes </w:t>
            </w:r>
          </w:p>
        </w:tc>
      </w:tr>
    </w:tbl>
    <w:p w14:paraId="7327D89D" w14:textId="77777777" w:rsidR="00392FDA" w:rsidRPr="00EA4C9B" w:rsidRDefault="00392FDA" w:rsidP="00392FDA">
      <w:pPr>
        <w:spacing w:before="120" w:after="120"/>
      </w:pPr>
    </w:p>
    <w:p w14:paraId="6987B3A1" w14:textId="77777777" w:rsidR="00392FDA" w:rsidRPr="00EA4C9B" w:rsidRDefault="00392FDA" w:rsidP="007C4EB7">
      <w:pPr>
        <w:pStyle w:val="AnnexHeading2"/>
      </w:pPr>
      <w:bookmarkStart w:id="164" w:name="_Toc214008865"/>
      <w:r w:rsidRPr="00EA4C9B">
        <w:lastRenderedPageBreak/>
        <w:t>Existing pollution and resource taxes</w:t>
      </w:r>
      <w:bookmarkEnd w:id="164"/>
    </w:p>
    <w:p w14:paraId="3287EA64" w14:textId="5AADEE14" w:rsidR="00392FDA" w:rsidRPr="00EA4C9B" w:rsidRDefault="00392FDA" w:rsidP="004D0911">
      <w:pPr>
        <w:rPr>
          <w:b/>
          <w:bCs/>
        </w:rPr>
      </w:pPr>
      <w:r w:rsidRPr="00EA4C9B">
        <w:t>In 2023, pollution and resource tax revenues reached respectively 32.1 and 11.9 million euros. This amounts to a 0% increase in absolute terms for resource taxes and a decrease of 17.9% in pollution taxes over 15 years (2009-2023). In terms of GDP-ratios, both environmental taxes decreased: pollution taxes by 65.8% and resource taxes by 57.5%. In 2023, pollution and resource tax revenues accounted for — respectively — 3.8% and 1.4% of the total environmental tax revenues.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392FDA" w:rsidRPr="00EA4C9B" w14:paraId="41B7F412" w14:textId="77777777" w:rsidTr="004F0767">
        <w:trPr>
          <w:trHeight w:val="300"/>
        </w:trPr>
        <w:tc>
          <w:tcPr>
            <w:tcW w:w="9010" w:type="dxa"/>
            <w:tcBorders>
              <w:top w:val="single" w:sz="6" w:space="0" w:color="auto"/>
              <w:left w:val="single" w:sz="6" w:space="0" w:color="auto"/>
              <w:bottom w:val="single" w:sz="6" w:space="0" w:color="auto"/>
              <w:right w:val="single" w:sz="6" w:space="0" w:color="auto"/>
            </w:tcBorders>
            <w:hideMark/>
          </w:tcPr>
          <w:p w14:paraId="2337C357" w14:textId="77777777" w:rsidR="00392FDA" w:rsidRPr="00EA4C9B" w:rsidRDefault="00392FDA">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sz w:val="2"/>
                <w:szCs w:val="2"/>
                <w:lang w:eastAsia="es-ES"/>
              </w:rPr>
              <w:t> </w:t>
            </w:r>
          </w:p>
          <w:p w14:paraId="2D4D9F3F" w14:textId="77777777" w:rsidR="00392FDA" w:rsidRPr="00EA4C9B" w:rsidRDefault="00392FDA">
            <w:pPr>
              <w:spacing w:after="0"/>
              <w:jc w:val="center"/>
              <w:textAlignment w:val="baseline"/>
              <w:rPr>
                <w:rFonts w:ascii="Segoe UI" w:eastAsia="Times New Roman" w:hAnsi="Segoe UI" w:cs="Segoe UI"/>
                <w:sz w:val="18"/>
                <w:szCs w:val="18"/>
                <w:lang w:eastAsia="es-ES"/>
              </w:rPr>
            </w:pPr>
            <w:r w:rsidRPr="00EA4C9B">
              <w:rPr>
                <w:rFonts w:ascii="Segoe UI" w:eastAsia="Times New Roman" w:hAnsi="Segoe UI" w:cs="Segoe UI"/>
                <w:noProof/>
                <w:sz w:val="18"/>
                <w:szCs w:val="18"/>
                <w:lang w:eastAsia="es-ES"/>
              </w:rPr>
              <w:drawing>
                <wp:inline distT="0" distB="0" distL="0" distR="0" wp14:anchorId="05885CB7" wp14:editId="09EEB9BE">
                  <wp:extent cx="5587200" cy="1198939"/>
                  <wp:effectExtent l="0" t="0" r="0" b="1270"/>
                  <wp:docPr id="639827953" name="Picture 2" descr="A graph of a number of gree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27953" name="Picture 2" descr="A graph of a number of green and blue bars&#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87200" cy="1198939"/>
                          </a:xfrm>
                          <a:prstGeom prst="rect">
                            <a:avLst/>
                          </a:prstGeom>
                          <a:noFill/>
                        </pic:spPr>
                      </pic:pic>
                    </a:graphicData>
                  </a:graphic>
                </wp:inline>
              </w:drawing>
            </w:r>
          </w:p>
          <w:p w14:paraId="15E30809" w14:textId="77777777" w:rsidR="00392FDA" w:rsidRPr="00EA4C9B" w:rsidRDefault="00392FDA">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sz w:val="2"/>
                <w:szCs w:val="2"/>
                <w:lang w:eastAsia="es-ES"/>
              </w:rPr>
              <w:t> </w:t>
            </w:r>
          </w:p>
        </w:tc>
      </w:tr>
      <w:tr w:rsidR="00392FDA" w:rsidRPr="00EA4C9B" w14:paraId="33FC00D3" w14:textId="77777777" w:rsidTr="004F0767">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003399"/>
            <w:hideMark/>
          </w:tcPr>
          <w:p w14:paraId="491B3639" w14:textId="7356A6F4" w:rsidR="00392FDA" w:rsidRPr="00EA4C9B" w:rsidRDefault="002847DA" w:rsidP="00ED36D7">
            <w:pPr>
              <w:pStyle w:val="FigTabCaption"/>
              <w:rPr>
                <w:rFonts w:ascii="Segoe UI" w:eastAsia="Times New Roman" w:hAnsi="Segoe UI" w:cs="Segoe UI"/>
                <w:sz w:val="18"/>
                <w:szCs w:val="18"/>
                <w:lang w:eastAsia="es-ES"/>
              </w:rPr>
            </w:pPr>
            <w:r w:rsidRPr="00051732">
              <w:t xml:space="preserve">Figure </w:t>
            </w:r>
            <w:r w:rsidR="00490085">
              <w:t>A6</w:t>
            </w:r>
            <w:r w:rsidRPr="00051732">
              <w:t>-</w:t>
            </w:r>
            <w:fldSimple w:instr=" SEQ Figure_A5- \* ARABIC ">
              <w:r w:rsidR="002F1CE7">
                <w:rPr>
                  <w:noProof/>
                </w:rPr>
                <w:t>24</w:t>
              </w:r>
            </w:fldSimple>
            <w:r w:rsidR="00392FDA" w:rsidRPr="00EA4C9B">
              <w:rPr>
                <w:lang w:eastAsia="es-ES"/>
              </w:rPr>
              <w:t xml:space="preserve">: Resource and pollution tax revenues in Estonia (2009-2023) in million euros. </w:t>
            </w:r>
            <w:r w:rsidR="00392FDA" w:rsidRPr="00EA4C9B">
              <w:rPr>
                <w:i/>
                <w:iCs/>
                <w:lang w:eastAsia="en-GB"/>
              </w:rPr>
              <w:t>Note: the share between pollution and resource taxes in 2023 was estimated as the weighted average of past years</w:t>
            </w:r>
            <w:r w:rsidR="00392FDA" w:rsidRPr="00EA4C9B">
              <w:rPr>
                <w:lang w:eastAsia="en-GB"/>
              </w:rPr>
              <w:t> </w:t>
            </w:r>
            <w:r w:rsidR="00392FDA" w:rsidRPr="00EA4C9B">
              <w:rPr>
                <w:lang w:eastAsia="es-ES"/>
              </w:rPr>
              <w:t> </w:t>
            </w:r>
          </w:p>
        </w:tc>
      </w:tr>
    </w:tbl>
    <w:p w14:paraId="16FD4D4A" w14:textId="77777777" w:rsidR="00646886" w:rsidRDefault="00646886" w:rsidP="00646886">
      <w:pPr>
        <w:pStyle w:val="Heading4"/>
      </w:pPr>
      <w:r w:rsidRPr="00EA4C9B">
        <w:t xml:space="preserve">List of </w:t>
      </w:r>
      <w:r>
        <w:t>pollution and resource</w:t>
      </w:r>
      <w:r w:rsidRPr="00EA4C9B">
        <w:t xml:space="preserve"> taxes and revenue shares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5"/>
        <w:gridCol w:w="1985"/>
        <w:gridCol w:w="1930"/>
      </w:tblGrid>
      <w:tr w:rsidR="00392FDA" w:rsidRPr="00EA4C9B" w14:paraId="199F73AC" w14:textId="77777777" w:rsidTr="004F0767">
        <w:trPr>
          <w:trHeight w:val="147"/>
        </w:trPr>
        <w:tc>
          <w:tcPr>
            <w:tcW w:w="9010" w:type="dxa"/>
            <w:gridSpan w:val="3"/>
            <w:tcBorders>
              <w:top w:val="single" w:sz="6" w:space="0" w:color="auto"/>
              <w:left w:val="single" w:sz="6" w:space="0" w:color="auto"/>
              <w:bottom w:val="single" w:sz="6" w:space="0" w:color="auto"/>
              <w:right w:val="single" w:sz="6" w:space="0" w:color="auto"/>
            </w:tcBorders>
            <w:shd w:val="clear" w:color="auto" w:fill="003399"/>
          </w:tcPr>
          <w:p w14:paraId="6EB4654F" w14:textId="3827E199" w:rsidR="00392FDA" w:rsidRPr="00A158D9" w:rsidRDefault="002847DA" w:rsidP="00A158D9">
            <w:pPr>
              <w:pStyle w:val="Table"/>
              <w:rPr>
                <w:rFonts w:ascii="Times New Roman" w:eastAsia="Times New Roman" w:hAnsi="Times New Roman" w:cs="Times New Roman"/>
                <w:b/>
                <w:color w:val="FFFFFF" w:themeColor="background1"/>
                <w:sz w:val="24"/>
                <w:lang w:eastAsia="en-GB"/>
              </w:rPr>
            </w:pPr>
            <w:r w:rsidRPr="00A158D9">
              <w:rPr>
                <w:b/>
                <w:color w:val="FFFFFF" w:themeColor="background1"/>
              </w:rPr>
              <w:t xml:space="preserve">Table </w:t>
            </w:r>
            <w:r w:rsidR="00490085">
              <w:rPr>
                <w:b/>
                <w:color w:val="FFFFFF" w:themeColor="background1"/>
              </w:rPr>
              <w:t>A6</w:t>
            </w:r>
            <w:r w:rsidR="00A158D9" w:rsidRPr="00A158D9">
              <w:rPr>
                <w:b/>
                <w:bCs/>
                <w:color w:val="FFFFFF" w:themeColor="background1"/>
              </w:rPr>
              <w:t>-</w:t>
            </w:r>
            <w:r w:rsidR="00A158D9" w:rsidRPr="00A158D9">
              <w:rPr>
                <w:b/>
                <w:bCs/>
                <w:color w:val="FFFFFF" w:themeColor="background1"/>
              </w:rPr>
              <w:fldChar w:fldCharType="begin"/>
            </w:r>
            <w:r w:rsidR="00A158D9" w:rsidRPr="00A158D9">
              <w:rPr>
                <w:b/>
                <w:bCs/>
                <w:color w:val="FFFFFF" w:themeColor="background1"/>
              </w:rPr>
              <w:instrText xml:space="preserve"> SEQ Table_A5- \* ARABIC </w:instrText>
            </w:r>
            <w:r w:rsidR="00A158D9" w:rsidRPr="00A158D9">
              <w:rPr>
                <w:b/>
                <w:bCs/>
                <w:color w:val="FFFFFF" w:themeColor="background1"/>
              </w:rPr>
              <w:fldChar w:fldCharType="separate"/>
            </w:r>
            <w:r w:rsidR="00F33E5C">
              <w:rPr>
                <w:b/>
                <w:bCs/>
                <w:noProof/>
                <w:color w:val="FFFFFF" w:themeColor="background1"/>
              </w:rPr>
              <w:t>46</w:t>
            </w:r>
            <w:r w:rsidR="00A158D9" w:rsidRPr="00A158D9">
              <w:rPr>
                <w:b/>
                <w:bCs/>
                <w:color w:val="FFFFFF" w:themeColor="background1"/>
              </w:rPr>
              <w:fldChar w:fldCharType="end"/>
            </w:r>
            <w:r w:rsidR="00392FDA" w:rsidRPr="00A158D9">
              <w:rPr>
                <w:rFonts w:ascii="Calibri" w:eastAsia="Times New Roman" w:hAnsi="Calibri" w:cs="Calibri"/>
                <w:b/>
                <w:color w:val="FFFFFF" w:themeColor="background1"/>
                <w:szCs w:val="20"/>
                <w:lang w:eastAsia="en-GB"/>
              </w:rPr>
              <w:t>:  Pollution and resource taxes </w:t>
            </w:r>
          </w:p>
        </w:tc>
      </w:tr>
      <w:tr w:rsidR="00392FDA" w:rsidRPr="00EA4C9B" w14:paraId="72599701" w14:textId="77777777" w:rsidTr="004F0767">
        <w:trPr>
          <w:trHeight w:val="76"/>
        </w:trPr>
        <w:tc>
          <w:tcPr>
            <w:tcW w:w="5095" w:type="dxa"/>
            <w:tcBorders>
              <w:top w:val="single" w:sz="6" w:space="0" w:color="auto"/>
              <w:left w:val="single" w:sz="6" w:space="0" w:color="auto"/>
              <w:bottom w:val="single" w:sz="6" w:space="0" w:color="auto"/>
              <w:right w:val="single" w:sz="6" w:space="0" w:color="auto"/>
            </w:tcBorders>
            <w:hideMark/>
          </w:tcPr>
          <w:p w14:paraId="15255D96" w14:textId="77777777" w:rsidR="00392FDA" w:rsidRPr="00EA4C9B" w:rsidRDefault="00392FDA" w:rsidP="00A158D9">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985" w:type="dxa"/>
            <w:tcBorders>
              <w:top w:val="single" w:sz="6" w:space="0" w:color="auto"/>
              <w:left w:val="single" w:sz="6" w:space="0" w:color="auto"/>
              <w:bottom w:val="single" w:sz="6" w:space="0" w:color="auto"/>
              <w:right w:val="single" w:sz="6" w:space="0" w:color="auto"/>
            </w:tcBorders>
          </w:tcPr>
          <w:p w14:paraId="5583FDA3" w14:textId="77777777" w:rsidR="00392FDA" w:rsidRPr="00EA4C9B" w:rsidRDefault="00392FDA" w:rsidP="00A158D9">
            <w:pPr>
              <w:pStyle w:val="Table"/>
              <w:rPr>
                <w:rFonts w:ascii="Calibri" w:eastAsia="Times New Roman" w:hAnsi="Calibri" w:cs="Calibri"/>
                <w:b/>
                <w:bCs/>
                <w:szCs w:val="20"/>
                <w:lang w:eastAsia="en-GB"/>
              </w:rPr>
            </w:pPr>
            <w:r w:rsidRPr="00EA4C9B">
              <w:rPr>
                <w:rFonts w:ascii="Calibri" w:eastAsia="Times New Roman" w:hAnsi="Calibri" w:cs="Calibri"/>
                <w:b/>
                <w:szCs w:val="20"/>
                <w:lang w:eastAsia="en-GB"/>
              </w:rPr>
              <w:t>Revenue (€ million)</w:t>
            </w:r>
          </w:p>
          <w:p w14:paraId="43A62E41" w14:textId="77777777" w:rsidR="00392FDA" w:rsidRPr="00EA4C9B" w:rsidRDefault="00392FDA" w:rsidP="00A158D9">
            <w:pPr>
              <w:pStyle w:val="Table"/>
              <w:rPr>
                <w:rFonts w:ascii="Calibri" w:eastAsia="Times New Roman" w:hAnsi="Calibri" w:cs="Calibri"/>
                <w:b/>
                <w:szCs w:val="20"/>
                <w:lang w:eastAsia="en-GB"/>
              </w:rPr>
            </w:pPr>
            <w:r w:rsidRPr="00EA4C9B">
              <w:rPr>
                <w:rFonts w:ascii="Calibri" w:eastAsia="Times New Roman" w:hAnsi="Calibri" w:cs="Calibri"/>
                <w:b/>
                <w:szCs w:val="20"/>
                <w:lang w:eastAsia="en-GB"/>
              </w:rPr>
              <w:t>2009-2023</w:t>
            </w:r>
          </w:p>
        </w:tc>
        <w:tc>
          <w:tcPr>
            <w:tcW w:w="1930" w:type="dxa"/>
            <w:tcBorders>
              <w:top w:val="single" w:sz="6" w:space="0" w:color="auto"/>
              <w:left w:val="single" w:sz="6" w:space="0" w:color="auto"/>
              <w:bottom w:val="single" w:sz="6" w:space="0" w:color="auto"/>
              <w:right w:val="single" w:sz="6" w:space="0" w:color="auto"/>
            </w:tcBorders>
            <w:hideMark/>
          </w:tcPr>
          <w:p w14:paraId="6EA2B07D" w14:textId="791FA951" w:rsidR="00392FDA" w:rsidRPr="00EA4C9B" w:rsidRDefault="00392FDA" w:rsidP="00A158D9">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r>
      <w:tr w:rsidR="00392FDA" w:rsidRPr="00EA4C9B" w14:paraId="41D8DC0C" w14:textId="77777777" w:rsidTr="004F0767">
        <w:trPr>
          <w:trHeight w:val="49"/>
        </w:trPr>
        <w:tc>
          <w:tcPr>
            <w:tcW w:w="5095" w:type="dxa"/>
            <w:tcBorders>
              <w:top w:val="single" w:sz="6" w:space="0" w:color="auto"/>
              <w:left w:val="single" w:sz="6" w:space="0" w:color="auto"/>
              <w:bottom w:val="single" w:sz="6" w:space="0" w:color="auto"/>
              <w:right w:val="single" w:sz="6" w:space="0" w:color="auto"/>
            </w:tcBorders>
            <w:hideMark/>
          </w:tcPr>
          <w:p w14:paraId="7202FB45" w14:textId="77777777" w:rsidR="00392FDA" w:rsidRPr="00EA4C9B" w:rsidRDefault="00392FDA" w:rsidP="00A158D9">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Pollution fee</w:t>
            </w:r>
          </w:p>
        </w:tc>
        <w:tc>
          <w:tcPr>
            <w:tcW w:w="1985" w:type="dxa"/>
            <w:tcBorders>
              <w:top w:val="single" w:sz="6" w:space="0" w:color="auto"/>
              <w:left w:val="single" w:sz="6" w:space="0" w:color="auto"/>
              <w:bottom w:val="single" w:sz="6" w:space="0" w:color="auto"/>
              <w:right w:val="single" w:sz="6" w:space="0" w:color="auto"/>
            </w:tcBorders>
          </w:tcPr>
          <w:p w14:paraId="776E7448" w14:textId="77777777" w:rsidR="00392FDA" w:rsidRPr="00EA4C9B" w:rsidRDefault="00392FDA" w:rsidP="00A158D9">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€39.4 - €30.3</w:t>
            </w:r>
          </w:p>
        </w:tc>
        <w:tc>
          <w:tcPr>
            <w:tcW w:w="1930" w:type="dxa"/>
            <w:tcBorders>
              <w:top w:val="single" w:sz="6" w:space="0" w:color="auto"/>
              <w:left w:val="single" w:sz="6" w:space="0" w:color="auto"/>
              <w:bottom w:val="single" w:sz="6" w:space="0" w:color="auto"/>
              <w:right w:val="single" w:sz="6" w:space="0" w:color="auto"/>
            </w:tcBorders>
            <w:hideMark/>
          </w:tcPr>
          <w:p w14:paraId="5937843C" w14:textId="1927D47C" w:rsidR="00392FDA" w:rsidRPr="00EA4C9B" w:rsidRDefault="00392FDA" w:rsidP="00A158D9">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€38.8</w:t>
            </w:r>
          </w:p>
        </w:tc>
      </w:tr>
      <w:tr w:rsidR="00392FDA" w:rsidRPr="00EA4C9B" w14:paraId="7BF42D04" w14:textId="77777777" w:rsidTr="004F0767">
        <w:trPr>
          <w:trHeight w:val="49"/>
        </w:trPr>
        <w:tc>
          <w:tcPr>
            <w:tcW w:w="5095" w:type="dxa"/>
            <w:tcBorders>
              <w:top w:val="single" w:sz="6" w:space="0" w:color="auto"/>
              <w:left w:val="single" w:sz="6" w:space="0" w:color="auto"/>
              <w:bottom w:val="single" w:sz="6" w:space="0" w:color="auto"/>
              <w:right w:val="single" w:sz="6" w:space="0" w:color="auto"/>
            </w:tcBorders>
          </w:tcPr>
          <w:p w14:paraId="6AAADC48" w14:textId="048A8789" w:rsidR="00392FDA" w:rsidRPr="00EA4C9B" w:rsidRDefault="00392FDA" w:rsidP="00A158D9">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Package excise</w:t>
            </w:r>
          </w:p>
        </w:tc>
        <w:tc>
          <w:tcPr>
            <w:tcW w:w="1985" w:type="dxa"/>
            <w:tcBorders>
              <w:top w:val="single" w:sz="6" w:space="0" w:color="auto"/>
              <w:left w:val="single" w:sz="6" w:space="0" w:color="auto"/>
              <w:bottom w:val="single" w:sz="6" w:space="0" w:color="auto"/>
              <w:right w:val="single" w:sz="6" w:space="0" w:color="auto"/>
            </w:tcBorders>
          </w:tcPr>
          <w:p w14:paraId="37D1B6F5" w14:textId="517E3C94" w:rsidR="00392FDA" w:rsidRPr="00EA4C9B" w:rsidRDefault="00392FDA" w:rsidP="00A158D9">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€0 - €0.2</w:t>
            </w:r>
          </w:p>
        </w:tc>
        <w:tc>
          <w:tcPr>
            <w:tcW w:w="1930" w:type="dxa"/>
            <w:tcBorders>
              <w:top w:val="single" w:sz="6" w:space="0" w:color="auto"/>
              <w:left w:val="single" w:sz="6" w:space="0" w:color="auto"/>
              <w:bottom w:val="single" w:sz="6" w:space="0" w:color="auto"/>
              <w:right w:val="single" w:sz="6" w:space="0" w:color="auto"/>
            </w:tcBorders>
          </w:tcPr>
          <w:p w14:paraId="49F5F63C" w14:textId="013277F8" w:rsidR="00392FDA" w:rsidRPr="00EA4C9B" w:rsidRDefault="00392FDA" w:rsidP="00A158D9">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€0.3</w:t>
            </w:r>
          </w:p>
        </w:tc>
      </w:tr>
      <w:tr w:rsidR="00392FDA" w:rsidRPr="00EA4C9B" w14:paraId="36C91F84" w14:textId="77777777" w:rsidTr="004F0767">
        <w:trPr>
          <w:trHeight w:val="49"/>
        </w:trPr>
        <w:tc>
          <w:tcPr>
            <w:tcW w:w="5095" w:type="dxa"/>
            <w:tcBorders>
              <w:top w:val="single" w:sz="6" w:space="0" w:color="auto"/>
              <w:left w:val="single" w:sz="6" w:space="0" w:color="auto"/>
              <w:bottom w:val="single" w:sz="6" w:space="0" w:color="auto"/>
              <w:right w:val="single" w:sz="6" w:space="0" w:color="auto"/>
            </w:tcBorders>
          </w:tcPr>
          <w:p w14:paraId="4AFB92DE" w14:textId="4FEE442C" w:rsidR="00392FDA" w:rsidRPr="00EA4C9B" w:rsidRDefault="00392FDA" w:rsidP="00A158D9">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Water abstraction fee</w:t>
            </w:r>
          </w:p>
        </w:tc>
        <w:tc>
          <w:tcPr>
            <w:tcW w:w="1985" w:type="dxa"/>
            <w:tcBorders>
              <w:top w:val="single" w:sz="6" w:space="0" w:color="auto"/>
              <w:left w:val="single" w:sz="6" w:space="0" w:color="auto"/>
              <w:bottom w:val="single" w:sz="6" w:space="0" w:color="auto"/>
              <w:right w:val="single" w:sz="6" w:space="0" w:color="auto"/>
            </w:tcBorders>
          </w:tcPr>
          <w:p w14:paraId="303E3AC5" w14:textId="02BA33D7" w:rsidR="00392FDA" w:rsidRPr="00EA4C9B" w:rsidRDefault="00392FDA" w:rsidP="00A158D9">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€10.4 - €11.8</w:t>
            </w:r>
          </w:p>
        </w:tc>
        <w:tc>
          <w:tcPr>
            <w:tcW w:w="1930" w:type="dxa"/>
            <w:tcBorders>
              <w:top w:val="single" w:sz="6" w:space="0" w:color="auto"/>
              <w:left w:val="single" w:sz="6" w:space="0" w:color="auto"/>
              <w:bottom w:val="single" w:sz="6" w:space="0" w:color="auto"/>
              <w:right w:val="single" w:sz="6" w:space="0" w:color="auto"/>
            </w:tcBorders>
          </w:tcPr>
          <w:p w14:paraId="5BE68D57" w14:textId="5F08320D" w:rsidR="00392FDA" w:rsidRPr="00EA4C9B" w:rsidRDefault="00392FDA" w:rsidP="00A158D9">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€13</w:t>
            </w:r>
          </w:p>
        </w:tc>
      </w:tr>
      <w:tr w:rsidR="00392FDA" w:rsidRPr="00EA4C9B" w14:paraId="791DEEA6" w14:textId="77777777" w:rsidTr="004F0767">
        <w:trPr>
          <w:trHeight w:val="49"/>
        </w:trPr>
        <w:tc>
          <w:tcPr>
            <w:tcW w:w="5095" w:type="dxa"/>
            <w:tcBorders>
              <w:top w:val="single" w:sz="6" w:space="0" w:color="auto"/>
              <w:left w:val="single" w:sz="6" w:space="0" w:color="auto"/>
              <w:bottom w:val="single" w:sz="6" w:space="0" w:color="auto"/>
              <w:right w:val="single" w:sz="6" w:space="0" w:color="auto"/>
            </w:tcBorders>
          </w:tcPr>
          <w:p w14:paraId="3E63C168" w14:textId="4CC56019" w:rsidR="00392FDA" w:rsidRPr="00EA4C9B" w:rsidRDefault="00392FDA" w:rsidP="00A158D9">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Fee on fishing</w:t>
            </w:r>
          </w:p>
        </w:tc>
        <w:tc>
          <w:tcPr>
            <w:tcW w:w="1985" w:type="dxa"/>
            <w:tcBorders>
              <w:top w:val="single" w:sz="6" w:space="0" w:color="auto"/>
              <w:left w:val="single" w:sz="6" w:space="0" w:color="auto"/>
              <w:bottom w:val="single" w:sz="6" w:space="0" w:color="auto"/>
              <w:right w:val="single" w:sz="6" w:space="0" w:color="auto"/>
            </w:tcBorders>
          </w:tcPr>
          <w:p w14:paraId="13FF8B20" w14:textId="4B047DA4" w:rsidR="00392FDA" w:rsidRPr="00EA4C9B" w:rsidRDefault="00392FDA" w:rsidP="00A158D9">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€1.3 - €1.7</w:t>
            </w:r>
          </w:p>
        </w:tc>
        <w:tc>
          <w:tcPr>
            <w:tcW w:w="1930" w:type="dxa"/>
            <w:tcBorders>
              <w:top w:val="single" w:sz="6" w:space="0" w:color="auto"/>
              <w:left w:val="single" w:sz="6" w:space="0" w:color="auto"/>
              <w:bottom w:val="single" w:sz="6" w:space="0" w:color="auto"/>
              <w:right w:val="single" w:sz="6" w:space="0" w:color="auto"/>
            </w:tcBorders>
          </w:tcPr>
          <w:p w14:paraId="1C6C12E7" w14:textId="40FD9E29" w:rsidR="00392FDA" w:rsidRPr="00EA4C9B" w:rsidRDefault="00392FDA" w:rsidP="00A158D9">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€1.5</w:t>
            </w:r>
          </w:p>
        </w:tc>
      </w:tr>
    </w:tbl>
    <w:p w14:paraId="7E5875F6" w14:textId="1092FD53" w:rsidR="00392FDA" w:rsidRPr="00EA4C9B" w:rsidRDefault="00392FDA" w:rsidP="00392FDA">
      <w:pPr>
        <w:spacing w:before="120" w:after="120"/>
        <w:textAlignment w:val="baseline"/>
        <w:rPr>
          <w:rFonts w:ascii="Calibri" w:eastAsia="Times New Roman" w:hAnsi="Calibri" w:cs="Calibri"/>
          <w:lang w:eastAsia="en-GB"/>
        </w:rPr>
      </w:pPr>
      <w:r w:rsidRPr="00EA4C9B">
        <w:rPr>
          <w:rFonts w:ascii="Calibri" w:eastAsia="Times New Roman" w:hAnsi="Calibri" w:cs="Calibri"/>
          <w:lang w:eastAsia="en-GB"/>
        </w:rPr>
        <w:t>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933"/>
      </w:tblGrid>
      <w:tr w:rsidR="00392FDA" w:rsidRPr="00EA4C9B" w14:paraId="305B935B" w14:textId="77777777" w:rsidTr="00BA7936">
        <w:tc>
          <w:tcPr>
            <w:tcW w:w="9016" w:type="dxa"/>
            <w:gridSpan w:val="2"/>
            <w:shd w:val="clear" w:color="auto" w:fill="003399"/>
          </w:tcPr>
          <w:p w14:paraId="22B261B8" w14:textId="2BE82DDE" w:rsidR="00392FDA" w:rsidRPr="00A158D9" w:rsidRDefault="002847DA" w:rsidP="00A158D9">
            <w:pPr>
              <w:pStyle w:val="Table"/>
              <w:rPr>
                <w:b/>
                <w:color w:val="FFFFFF" w:themeColor="background1"/>
                <w:lang w:eastAsia="en-GB"/>
              </w:rPr>
            </w:pPr>
            <w:r w:rsidRPr="00A158D9">
              <w:rPr>
                <w:b/>
                <w:color w:val="FFFFFF" w:themeColor="background1"/>
              </w:rPr>
              <w:t xml:space="preserve">Table </w:t>
            </w:r>
            <w:r w:rsidR="00490085">
              <w:rPr>
                <w:b/>
                <w:color w:val="FFFFFF" w:themeColor="background1"/>
              </w:rPr>
              <w:t>A6</w:t>
            </w:r>
            <w:r w:rsidR="00A158D9" w:rsidRPr="00A158D9">
              <w:rPr>
                <w:b/>
                <w:bCs/>
                <w:color w:val="FFFFFF" w:themeColor="background1"/>
              </w:rPr>
              <w:t>-</w:t>
            </w:r>
            <w:r w:rsidR="00A158D9" w:rsidRPr="00A158D9">
              <w:rPr>
                <w:b/>
                <w:bCs/>
                <w:color w:val="FFFFFF" w:themeColor="background1"/>
              </w:rPr>
              <w:fldChar w:fldCharType="begin"/>
            </w:r>
            <w:r w:rsidR="00A158D9" w:rsidRPr="00A158D9">
              <w:rPr>
                <w:b/>
                <w:bCs/>
                <w:color w:val="FFFFFF" w:themeColor="background1"/>
              </w:rPr>
              <w:instrText xml:space="preserve"> SEQ Table_A5- \* ARABIC </w:instrText>
            </w:r>
            <w:r w:rsidR="00A158D9" w:rsidRPr="00A158D9">
              <w:rPr>
                <w:b/>
                <w:bCs/>
                <w:color w:val="FFFFFF" w:themeColor="background1"/>
              </w:rPr>
              <w:fldChar w:fldCharType="separate"/>
            </w:r>
            <w:r w:rsidR="00F33E5C">
              <w:rPr>
                <w:b/>
                <w:bCs/>
                <w:noProof/>
                <w:color w:val="FFFFFF" w:themeColor="background1"/>
              </w:rPr>
              <w:t>47</w:t>
            </w:r>
            <w:r w:rsidR="00A158D9" w:rsidRPr="00A158D9">
              <w:rPr>
                <w:b/>
                <w:bCs/>
                <w:color w:val="FFFFFF" w:themeColor="background1"/>
              </w:rPr>
              <w:fldChar w:fldCharType="end"/>
            </w:r>
            <w:r w:rsidR="00392FDA" w:rsidRPr="00A158D9">
              <w:rPr>
                <w:b/>
                <w:color w:val="FFFFFF" w:themeColor="background1"/>
                <w:lang w:eastAsia="en-GB"/>
              </w:rPr>
              <w:t>: Other environmental taxes not reported in the National Tax Lists</w:t>
            </w:r>
          </w:p>
        </w:tc>
      </w:tr>
      <w:tr w:rsidR="00392FDA" w:rsidRPr="00EA4C9B" w14:paraId="3A948B9C" w14:textId="77777777" w:rsidTr="00BA7936">
        <w:tc>
          <w:tcPr>
            <w:tcW w:w="7083" w:type="dxa"/>
          </w:tcPr>
          <w:p w14:paraId="4430D6C9" w14:textId="2BB496D9" w:rsidR="00392FDA" w:rsidRPr="00F33E5C" w:rsidRDefault="002847DA" w:rsidP="00A158D9">
            <w:pPr>
              <w:pStyle w:val="Table"/>
              <w:rPr>
                <w:b/>
                <w:bCs/>
                <w:lang w:eastAsia="en-GB"/>
              </w:rPr>
            </w:pPr>
            <w:r w:rsidRPr="00F33E5C">
              <w:rPr>
                <w:b/>
                <w:bCs/>
                <w:lang w:eastAsia="en-GB"/>
              </w:rPr>
              <w:t>Tax name</w:t>
            </w:r>
          </w:p>
        </w:tc>
        <w:tc>
          <w:tcPr>
            <w:tcW w:w="1933" w:type="dxa"/>
          </w:tcPr>
          <w:p w14:paraId="20ACB6DC" w14:textId="77777777" w:rsidR="00392FDA" w:rsidRPr="00F33E5C" w:rsidRDefault="00392FDA" w:rsidP="00A158D9">
            <w:pPr>
              <w:pStyle w:val="Table"/>
              <w:rPr>
                <w:rFonts w:ascii="Calibri" w:eastAsia="Times New Roman" w:hAnsi="Calibri" w:cs="Calibri"/>
                <w:b/>
                <w:bCs/>
                <w:szCs w:val="20"/>
                <w:lang w:eastAsia="en-GB"/>
              </w:rPr>
            </w:pPr>
            <w:r w:rsidRPr="00F33E5C">
              <w:rPr>
                <w:b/>
                <w:bCs/>
                <w:lang w:eastAsia="en-GB"/>
              </w:rPr>
              <w:t xml:space="preserve">Annual revenue </w:t>
            </w:r>
          </w:p>
          <w:p w14:paraId="1CEFE799" w14:textId="77777777" w:rsidR="00392FDA" w:rsidRPr="00F33E5C" w:rsidRDefault="00392FDA" w:rsidP="00A158D9">
            <w:pPr>
              <w:pStyle w:val="Table"/>
              <w:rPr>
                <w:b/>
                <w:bCs/>
                <w:lang w:eastAsia="en-GB"/>
              </w:rPr>
            </w:pPr>
            <w:r w:rsidRPr="00F33E5C">
              <w:rPr>
                <w:b/>
                <w:bCs/>
                <w:lang w:eastAsia="en-GB"/>
              </w:rPr>
              <w:t>(€ million) in 2023</w:t>
            </w:r>
          </w:p>
        </w:tc>
      </w:tr>
      <w:tr w:rsidR="00392FDA" w:rsidRPr="00EA4C9B" w14:paraId="1912CEC1" w14:textId="77777777" w:rsidTr="00BA7936">
        <w:tc>
          <w:tcPr>
            <w:tcW w:w="7083" w:type="dxa"/>
          </w:tcPr>
          <w:p w14:paraId="6FBCADE5" w14:textId="77777777" w:rsidR="00392FDA" w:rsidRPr="00EA4C9B" w:rsidRDefault="00392FDA" w:rsidP="00A158D9">
            <w:pPr>
              <w:pStyle w:val="Table"/>
              <w:rPr>
                <w:lang w:eastAsia="en-GB"/>
              </w:rPr>
            </w:pPr>
            <w:r w:rsidRPr="00EA4C9B">
              <w:rPr>
                <w:lang w:eastAsia="en-GB"/>
              </w:rPr>
              <w:t>Water usage charge</w:t>
            </w:r>
          </w:p>
        </w:tc>
        <w:tc>
          <w:tcPr>
            <w:tcW w:w="1933" w:type="dxa"/>
          </w:tcPr>
          <w:p w14:paraId="34681C4F" w14:textId="1BCF8D55" w:rsidR="00392FDA" w:rsidRPr="00EA4C9B" w:rsidRDefault="00F33E5C" w:rsidP="00A158D9">
            <w:pPr>
              <w:pStyle w:val="Table"/>
              <w:rPr>
                <w:lang w:eastAsia="en-GB"/>
              </w:rPr>
            </w:pPr>
            <w:r>
              <w:rPr>
                <w:lang w:eastAsia="en-GB"/>
              </w:rPr>
              <w:t>Not available</w:t>
            </w:r>
          </w:p>
        </w:tc>
      </w:tr>
      <w:tr w:rsidR="00392FDA" w:rsidRPr="00EA4C9B" w14:paraId="6EBBB4FC" w14:textId="77777777" w:rsidTr="00BA7936">
        <w:tc>
          <w:tcPr>
            <w:tcW w:w="7083" w:type="dxa"/>
          </w:tcPr>
          <w:p w14:paraId="0192839B" w14:textId="77777777" w:rsidR="00392FDA" w:rsidRPr="00EA4C9B" w:rsidRDefault="00392FDA" w:rsidP="00A158D9">
            <w:pPr>
              <w:pStyle w:val="Table"/>
              <w:rPr>
                <w:lang w:eastAsia="en-GB"/>
              </w:rPr>
            </w:pPr>
            <w:r w:rsidRPr="00EA4C9B">
              <w:rPr>
                <w:lang w:eastAsia="en-GB"/>
              </w:rPr>
              <w:t>Mining charge</w:t>
            </w:r>
          </w:p>
        </w:tc>
        <w:tc>
          <w:tcPr>
            <w:tcW w:w="1933" w:type="dxa"/>
          </w:tcPr>
          <w:p w14:paraId="6CCF7B57" w14:textId="442A4DE4" w:rsidR="00392FDA" w:rsidRPr="00EA4C9B" w:rsidRDefault="00F33E5C" w:rsidP="00A158D9">
            <w:pPr>
              <w:pStyle w:val="Table"/>
              <w:rPr>
                <w:lang w:eastAsia="en-GB"/>
              </w:rPr>
            </w:pPr>
            <w:r>
              <w:rPr>
                <w:lang w:eastAsia="en-GB"/>
              </w:rPr>
              <w:t>Not available</w:t>
            </w:r>
          </w:p>
        </w:tc>
      </w:tr>
    </w:tbl>
    <w:p w14:paraId="7D79D647" w14:textId="77777777" w:rsidR="00392FDA" w:rsidRPr="00EA4C9B" w:rsidRDefault="00392FDA" w:rsidP="00392FDA">
      <w:pPr>
        <w:rPr>
          <w:rFonts w:ascii="Calibri" w:eastAsiaTheme="majorEastAsia" w:hAnsi="Calibri" w:cstheme="majorBidi"/>
          <w:b/>
          <w:bCs/>
          <w:i/>
          <w:iCs/>
        </w:rPr>
      </w:pPr>
    </w:p>
    <w:p w14:paraId="321B2102" w14:textId="720D260E" w:rsidR="00392FDA" w:rsidRPr="00EA4C9B" w:rsidRDefault="00392FDA" w:rsidP="00392FDA">
      <w:pPr>
        <w:pStyle w:val="Heading4"/>
      </w:pPr>
      <w:r w:rsidRPr="00EA4C9B">
        <w:t>Fees and other related instruments</w:t>
      </w:r>
    </w:p>
    <w:p w14:paraId="55CE0E23" w14:textId="77777777" w:rsidR="00392FDA" w:rsidRPr="00EA4C9B" w:rsidRDefault="00392FDA" w:rsidP="00392FDA">
      <w:pPr>
        <w:spacing w:after="160" w:line="259" w:lineRule="auto"/>
      </w:pPr>
      <w:r w:rsidRPr="00EA4C9B">
        <w:rPr>
          <w:rFonts w:ascii="Calibri" w:eastAsiaTheme="majorEastAsia" w:hAnsi="Calibri" w:cstheme="majorBidi"/>
        </w:rPr>
        <w:t xml:space="preserve">As the above tables show, most of the instruments used by Estonia are environmental fees and charges. These are generally </w:t>
      </w:r>
      <w:r w:rsidRPr="00EA4C9B">
        <w:t xml:space="preserve">requited payments — i.e., tied to a service or regulatory approval — and need not be reported as taxes in Eurostat accounts. For example, </w:t>
      </w:r>
      <w:r w:rsidRPr="00EA4C9B">
        <w:rPr>
          <w:b/>
          <w:bCs/>
        </w:rPr>
        <w:t>mining charges</w:t>
      </w:r>
      <w:r w:rsidRPr="00EA4C9B">
        <w:t xml:space="preserve"> and </w:t>
      </w:r>
      <w:r w:rsidRPr="00EA4C9B">
        <w:rPr>
          <w:b/>
          <w:bCs/>
        </w:rPr>
        <w:t>fishing permit fees</w:t>
      </w:r>
      <w:r w:rsidRPr="00EA4C9B">
        <w:t xml:space="preserve"> are assessed nationally and implemented through sectoral laws. Similarly, </w:t>
      </w:r>
      <w:r w:rsidRPr="00EA4C9B">
        <w:rPr>
          <w:b/>
          <w:bCs/>
        </w:rPr>
        <w:t>water abstraction fees</w:t>
      </w:r>
      <w:r w:rsidRPr="00EA4C9B">
        <w:t xml:space="preserve"> are collected from both households and businesses; they vary widely depending on region and usage.</w:t>
      </w:r>
    </w:p>
    <w:p w14:paraId="5D012855" w14:textId="77777777" w:rsidR="00392FDA" w:rsidRPr="00EA4C9B" w:rsidRDefault="00392FDA" w:rsidP="00392FDA">
      <w:pPr>
        <w:rPr>
          <w:rFonts w:ascii="Calibri" w:eastAsiaTheme="majorEastAsia" w:hAnsi="Calibri" w:cstheme="majorBidi"/>
        </w:rPr>
      </w:pPr>
      <w:r w:rsidRPr="00EA4C9B">
        <w:rPr>
          <w:rFonts w:ascii="Calibri" w:eastAsiaTheme="majorEastAsia" w:hAnsi="Calibri" w:cstheme="majorBidi"/>
        </w:rPr>
        <w:t>Although these instruments can support environmental objectives, they often lack proper indexation, progressive rate structures, and revenue earmarking. Moreover, enforcement capacity remains limited. An IEA review noted inconsistencies in fee collection, outdated valuation methods, and a general disconnect between environmental outcomes and charge levels</w:t>
      </w:r>
      <w:r w:rsidRPr="00EA4C9B">
        <w:rPr>
          <w:rStyle w:val="FootnoteReference"/>
          <w:rFonts w:ascii="Calibri" w:eastAsiaTheme="majorEastAsia" w:hAnsi="Calibri" w:cstheme="majorBidi"/>
        </w:rPr>
        <w:footnoteReference w:id="306"/>
      </w:r>
      <w:r w:rsidRPr="00EA4C9B">
        <w:rPr>
          <w:rFonts w:ascii="Calibri" w:eastAsiaTheme="majorEastAsia" w:hAnsi="Calibri" w:cstheme="majorBidi"/>
        </w:rPr>
        <w:t>.</w:t>
      </w:r>
    </w:p>
    <w:p w14:paraId="107539FF" w14:textId="77777777" w:rsidR="00392FDA" w:rsidRPr="00EA4C9B" w:rsidRDefault="00392FDA" w:rsidP="00392FDA">
      <w:pPr>
        <w:spacing w:after="160" w:line="259" w:lineRule="auto"/>
      </w:pPr>
      <w:r w:rsidRPr="00EA4C9B">
        <w:lastRenderedPageBreak/>
        <w:t xml:space="preserve">The dominant instrument is the </w:t>
      </w:r>
      <w:r w:rsidRPr="00EA4C9B">
        <w:rPr>
          <w:b/>
          <w:bCs/>
        </w:rPr>
        <w:t>pollution fee</w:t>
      </w:r>
      <w:r w:rsidRPr="00EA4C9B">
        <w:t>, which covers emissions to air and water, as well as waste disposal. Despite its broad scope, the fee’s effectiveness has declined over time. Furthermore, rates have not kept pace with inflation or environmental damage.</w:t>
      </w:r>
    </w:p>
    <w:p w14:paraId="7C3E9B70" w14:textId="77777777" w:rsidR="00392FDA" w:rsidRPr="00EA4C9B" w:rsidRDefault="00392FDA" w:rsidP="00392FDA">
      <w:pPr>
        <w:rPr>
          <w:b/>
          <w:bCs/>
          <w:i/>
          <w:iCs/>
        </w:rPr>
      </w:pPr>
      <w:r w:rsidRPr="00EA4C9B">
        <w:rPr>
          <w:b/>
          <w:bCs/>
          <w:i/>
          <w:iCs/>
        </w:rPr>
        <w:t>Proposed or postponed environmental taxes</w:t>
      </w:r>
    </w:p>
    <w:p w14:paraId="08DE138C" w14:textId="77777777" w:rsidR="00392FDA" w:rsidRPr="00EA4C9B" w:rsidRDefault="00392FDA" w:rsidP="00392FDA">
      <w:r w:rsidRPr="00EA4C9B">
        <w:t>Estonia is in the process of reforming its outdated Pollution Charges Act through a new Environmental Charges Act, which is currently under consultation. The reform aims to streamline charge structures, simplify administration, and improve environmental effectiveness. However, civil society groups and environmental experts have expressed concerns that the current draft lacks ambition and fails to include mechanisms for revenue earmarking or carbon price escalation.</w:t>
      </w:r>
    </w:p>
    <w:p w14:paraId="4AA09F13" w14:textId="77777777" w:rsidR="00392FDA" w:rsidRPr="00EA4C9B" w:rsidRDefault="00392FDA" w:rsidP="00392FDA">
      <w:r w:rsidRPr="00EA4C9B">
        <w:t>Discussions are also underway about aligning energy taxation with climate objectives, especially in the context of the EU Fit for 55 Package. While Estonia has expressed support for stronger carbon pricing, it has not yet introduced CO₂-differentiated fuel excise rates, nor does it plan to join the EU ETS 2 for transport and buildings before 2027.</w:t>
      </w:r>
    </w:p>
    <w:p w14:paraId="0F03851B" w14:textId="522F06D5" w:rsidR="00392FDA" w:rsidRPr="00EA4C9B" w:rsidRDefault="00392FDA" w:rsidP="00392FDA">
      <w:r w:rsidRPr="00EA4C9B">
        <w:t xml:space="preserve">The 2023 National Energy and Climate Plan (NECP) update hints at potential aviation and maritime fuel taxation and mentions plans to reform waste fees and landfill pricing. So </w:t>
      </w:r>
      <w:r w:rsidR="006B6BFB" w:rsidRPr="00EA4C9B">
        <w:t>far,</w:t>
      </w:r>
      <w:r w:rsidRPr="00EA4C9B">
        <w:t xml:space="preserve"> few concrete proposals have been presented, and implementation timelines remain unclear. Currently, Estonia does not levy specific landfill or incineration taxes, relying instead on the general pollution charge to cover waste-related externalities. This approach has resulted in limited fiscal pressure to reduce waste generation or increase recycling.</w:t>
      </w:r>
    </w:p>
    <w:p w14:paraId="15161130" w14:textId="77777777" w:rsidR="00392FDA" w:rsidRPr="00EA4C9B" w:rsidRDefault="00392FDA" w:rsidP="00392FDA">
      <w:pPr>
        <w:rPr>
          <w:b/>
          <w:bCs/>
          <w:i/>
          <w:iCs/>
        </w:rPr>
      </w:pPr>
      <w:r w:rsidRPr="00EA4C9B">
        <w:rPr>
          <w:b/>
          <w:bCs/>
          <w:i/>
          <w:iCs/>
        </w:rPr>
        <w:t>Conclusions, country-specific recommendations and reform progress</w:t>
      </w:r>
    </w:p>
    <w:p w14:paraId="0A9E10A5" w14:textId="77777777" w:rsidR="00392FDA" w:rsidRPr="00EA4C9B" w:rsidRDefault="00392FDA" w:rsidP="00392FDA">
      <w:r w:rsidRPr="00EA4C9B">
        <w:t>Estonia’s environmental tax system is highly centralised but limited in its ambition. While energy taxes generate robust revenues, there is no carbon-based differentiation, meaning tax rates do not reflect the actual environmental or climate impacts of fuels. Electricity, for instance, is taxed at the same rate regardless of source — providing no fiscal incentive to switch from fossil fuels to renewables.</w:t>
      </w:r>
    </w:p>
    <w:p w14:paraId="6CF131E0" w14:textId="77777777" w:rsidR="00392FDA" w:rsidRPr="00EA4C9B" w:rsidRDefault="00392FDA" w:rsidP="00392FDA">
      <w:r w:rsidRPr="00EA4C9B">
        <w:t>Similarly, the absence of differentiated taxation on transport fuels, or CO₂-based vehicle taxes, means that high-emission vehicles are not subject to additional charges. This undermines both Estonia’s climate goals and its potential to mobilise green investment. Pollution and resource taxes have been gradually declining, reflecting both policy neglect and reduced monitoring. The current Pollution Charges Act has failed to keep pace with environmental realities, and its design has been criticised for being too static, complex, and weakly enforced.</w:t>
      </w:r>
    </w:p>
    <w:p w14:paraId="7C135775" w14:textId="77777777" w:rsidR="00392FDA" w:rsidRPr="00EA4C9B" w:rsidRDefault="00392FDA" w:rsidP="00392FDA">
      <w:r w:rsidRPr="00EA4C9B">
        <w:t>Moreover, the country continues to apply environmentally harmful subsidies (EHS) — particularly in the form of reduced excise rates for energy-intensive industries and indirect support for fossil fuel use. These EHS undermine price signals and disincentivise cleaner alternatives. According to the European Environment Agency, Estonia has among the lowest effective tax rates on carbon emissions in the EU, despite its high per capita emissions in the energy and transport sectors.</w:t>
      </w:r>
    </w:p>
    <w:p w14:paraId="0D0F11BA" w14:textId="77777777" w:rsidR="00392FDA" w:rsidRPr="00EA4C9B" w:rsidRDefault="00392FDA" w:rsidP="00392FDA">
      <w:r w:rsidRPr="00EA4C9B">
        <w:t>The European Commission has repeatedly recommended Estonia to increase the environmental effectiveness of taxation, phase out EHS, and align fiscal policy with the EU Green Deal</w:t>
      </w:r>
      <w:r w:rsidRPr="00EA4C9B">
        <w:rPr>
          <w:rStyle w:val="FootnoteReference"/>
        </w:rPr>
        <w:footnoteReference w:id="307"/>
      </w:r>
      <w:r w:rsidRPr="00EA4C9B">
        <w:rPr>
          <w:rStyle w:val="FootnoteReference"/>
        </w:rPr>
        <w:footnoteReference w:id="308"/>
      </w:r>
      <w:r w:rsidRPr="00EA4C9B">
        <w:t xml:space="preserve">. The </w:t>
      </w:r>
      <w:r w:rsidRPr="00EA4C9B">
        <w:lastRenderedPageBreak/>
        <w:t>Commission has noted that while Estonia’s headline revenues are relatively high in the environmental domain, they are largely regressive and poorly targeted. In particular, the Commission urged Estonia to introduce CO₂-based vehicle taxation, raise charges on environmentally harmful activities, and adopt reforms to reduce its carbon footprint.</w:t>
      </w:r>
    </w:p>
    <w:p w14:paraId="1627C78B" w14:textId="77777777" w:rsidR="00392FDA" w:rsidRPr="00EA4C9B" w:rsidRDefault="00392FDA" w:rsidP="00392FDA">
      <w:r w:rsidRPr="00EA4C9B">
        <w:t>The 2025 Semester Report</w:t>
      </w:r>
      <w:r w:rsidRPr="00EA4C9B">
        <w:rPr>
          <w:rStyle w:val="FootnoteReference"/>
        </w:rPr>
        <w:footnoteReference w:id="309"/>
      </w:r>
      <w:r w:rsidRPr="00EA4C9B">
        <w:t xml:space="preserve"> notes that Estonia has made “some progress” in reforming environmental taxation but continues to lack a clear and strategic roadmap to shift the tax burden from labour and capital to environmental bases. The Commission also reiterates the need to align fiscal policy with climate targets and circular economy goals. The report adds that reforms should also be integrated into national spending strategies, particularly under the Recovery and Resilience Facility (RRF) and Cohesion Policy frameworks, to ensure coherence with Estonia’s green transition.</w:t>
      </w:r>
    </w:p>
    <w:p w14:paraId="0F1ED11A" w14:textId="77777777" w:rsidR="00392FDA" w:rsidRPr="00EA4C9B" w:rsidRDefault="00392FDA" w:rsidP="007C4EB7">
      <w:pPr>
        <w:pStyle w:val="AnnexHeading2"/>
      </w:pPr>
      <w:bookmarkStart w:id="165" w:name="_Toc214008866"/>
      <w:r w:rsidRPr="00EA4C9B">
        <w:t>Potential for implementing additional environmental taxes</w:t>
      </w:r>
      <w:bookmarkEnd w:id="165"/>
    </w:p>
    <w:p w14:paraId="2C488F5D" w14:textId="77777777" w:rsidR="00392FDA" w:rsidRPr="00EA4C9B" w:rsidRDefault="00392FDA" w:rsidP="00392FDA">
      <w:r w:rsidRPr="00EA4C9B">
        <w:t>There is considerable scope to strengthen Estonia’s green fiscal framework. Key opportunities include:</w:t>
      </w:r>
    </w:p>
    <w:p w14:paraId="76B0B01C" w14:textId="77777777" w:rsidR="00392FDA" w:rsidRPr="00EA4C9B" w:rsidRDefault="00392FDA" w:rsidP="009B400E">
      <w:pPr>
        <w:pStyle w:val="ListParagraph"/>
        <w:numPr>
          <w:ilvl w:val="0"/>
          <w:numId w:val="5"/>
        </w:numPr>
      </w:pPr>
      <w:r w:rsidRPr="00EA4C9B">
        <w:rPr>
          <w:b/>
          <w:bCs/>
        </w:rPr>
        <w:t>Strengthening the existing waste disposal tax and introducing an incineration tax to reduce waste and align with circular economy goals</w:t>
      </w:r>
      <w:r w:rsidRPr="00EA4C9B">
        <w:t>. Estonia already applies a waste disposal tax. The current reform process aims to increase and differentiate these rates and to introduce a new tax on waste incineration, which should be closely monitored for environmental impact.</w:t>
      </w:r>
    </w:p>
    <w:p w14:paraId="73610D64" w14:textId="77777777" w:rsidR="00392FDA" w:rsidRPr="00EA4C9B" w:rsidRDefault="00392FDA" w:rsidP="009B400E">
      <w:pPr>
        <w:pStyle w:val="ListParagraph"/>
        <w:numPr>
          <w:ilvl w:val="0"/>
          <w:numId w:val="5"/>
        </w:numPr>
      </w:pPr>
      <w:r w:rsidRPr="00EA4C9B">
        <w:rPr>
          <w:b/>
          <w:bCs/>
        </w:rPr>
        <w:t>Reassessing the case for a standalone fertiliser tax to address nutrient pollution in agriculture, while accounting for existing pollution charges and agricultural vulnerabilities</w:t>
      </w:r>
      <w:r w:rsidRPr="00EA4C9B">
        <w:t>. The Environmental Charges Act already covers some pollutants found in fertilisers. However, any new tax should carefully consider Estonia’s short growing season and already high food prices, to avoid placing disproportionate pressure on domestic producers.</w:t>
      </w:r>
    </w:p>
    <w:p w14:paraId="6D4BB2D5" w14:textId="77777777" w:rsidR="00392FDA" w:rsidRPr="00EA4C9B" w:rsidRDefault="00392FDA" w:rsidP="009B400E">
      <w:pPr>
        <w:pStyle w:val="ListParagraph"/>
        <w:numPr>
          <w:ilvl w:val="0"/>
          <w:numId w:val="5"/>
        </w:numPr>
      </w:pPr>
      <w:r w:rsidRPr="00EA4C9B">
        <w:rPr>
          <w:b/>
          <w:bCs/>
        </w:rPr>
        <w:t>Expanding incentives within the existing CO₂-based vehicle taxation framework to further promote low-emission vehicles</w:t>
      </w:r>
      <w:r w:rsidRPr="00EA4C9B">
        <w:t>. Estonia already applies a vehicle tax that includes a CO₂ component, alongside base and weight-related charges. Further differentiation, particularly for used vehicles and electric alternatives, could improve behavioural impact.</w:t>
      </w:r>
    </w:p>
    <w:p w14:paraId="0C1878D0" w14:textId="77777777" w:rsidR="00392FDA" w:rsidRPr="00EA4C9B" w:rsidRDefault="00392FDA" w:rsidP="009B400E">
      <w:pPr>
        <w:pStyle w:val="ListParagraph"/>
        <w:numPr>
          <w:ilvl w:val="0"/>
          <w:numId w:val="5"/>
        </w:numPr>
      </w:pPr>
      <w:r w:rsidRPr="00EA4C9B">
        <w:rPr>
          <w:b/>
          <w:bCs/>
        </w:rPr>
        <w:t>Implementing aviation and maritime fuel taxes in line with evolving EU legislation under the Energy Taxation Directive</w:t>
      </w:r>
      <w:r w:rsidRPr="00EA4C9B">
        <w:t>. Estonia has committed to following EU-wide reforms in this area, including the phasing out of tax exemptions for fossil-based bunker fuels.</w:t>
      </w:r>
    </w:p>
    <w:p w14:paraId="21DF788A" w14:textId="77777777" w:rsidR="00392FDA" w:rsidRPr="00EA4C9B" w:rsidRDefault="00392FDA" w:rsidP="009B400E">
      <w:pPr>
        <w:pStyle w:val="ListParagraph"/>
        <w:numPr>
          <w:ilvl w:val="0"/>
          <w:numId w:val="5"/>
        </w:numPr>
      </w:pPr>
      <w:r w:rsidRPr="00EA4C9B">
        <w:rPr>
          <w:b/>
          <w:bCs/>
        </w:rPr>
        <w:t>Updating mining and water abstraction fees to reflect environmental damage and resource scarcity</w:t>
      </w:r>
      <w:r w:rsidRPr="00EA4C9B">
        <w:t>. While these charges are already included under the Environmental Charges Act, more dynamic pricing and updated valuation models would improve effectiveness and align with natural capital objectives.</w:t>
      </w:r>
    </w:p>
    <w:p w14:paraId="152009B9" w14:textId="68671B9F" w:rsidR="00392FDA" w:rsidRPr="00EA4C9B" w:rsidRDefault="00392FDA" w:rsidP="009B400E">
      <w:pPr>
        <w:pStyle w:val="ListParagraph"/>
        <w:numPr>
          <w:ilvl w:val="0"/>
          <w:numId w:val="5"/>
        </w:numPr>
      </w:pPr>
      <w:r w:rsidRPr="00EA4C9B">
        <w:rPr>
          <w:b/>
          <w:bCs/>
        </w:rPr>
        <w:t>Introducing fiscal measures aligned with Estonia’s circular economy strategy, such as taxation of virgin construction materials, broader producer responsibility fees, or pay-as-you-throw (PAYT) systems at the municipal level</w:t>
      </w:r>
      <w:r w:rsidR="00B94BF2">
        <w:rPr>
          <w:b/>
          <w:bCs/>
        </w:rPr>
        <w:t xml:space="preserve">, </w:t>
      </w:r>
      <w:r w:rsidR="00B94BF2">
        <w:t>with clear guidance for municipalities on the use of such systems to give strong incentives for citizens to sort waste</w:t>
      </w:r>
      <w:r w:rsidR="00B94BF2">
        <w:rPr>
          <w:rStyle w:val="FootnoteReference"/>
        </w:rPr>
        <w:footnoteReference w:id="310"/>
      </w:r>
      <w:r w:rsidRPr="00EA4C9B">
        <w:t>. These are underutilised levers which can be used in Estonia to accelerate the green transition.</w:t>
      </w:r>
    </w:p>
    <w:p w14:paraId="25B69CEA" w14:textId="26385991" w:rsidR="00725219" w:rsidRPr="00EA4C9B" w:rsidRDefault="00B94BF2" w:rsidP="009B400E">
      <w:pPr>
        <w:pStyle w:val="ListParagraph"/>
        <w:numPr>
          <w:ilvl w:val="0"/>
          <w:numId w:val="5"/>
        </w:numPr>
      </w:pPr>
      <w:r>
        <w:t xml:space="preserve">Introducing a </w:t>
      </w:r>
      <w:r w:rsidRPr="00BA7936">
        <w:rPr>
          <w:b/>
          <w:bCs/>
        </w:rPr>
        <w:t>tax on incineration of mixed municipal waste</w:t>
      </w:r>
      <w:r>
        <w:rPr>
          <w:rStyle w:val="FootnoteReference"/>
          <w:b/>
          <w:bCs/>
        </w:rPr>
        <w:footnoteReference w:id="311"/>
      </w:r>
      <w:r>
        <w:t>.</w:t>
      </w:r>
    </w:p>
    <w:p w14:paraId="0921AB8B" w14:textId="77777777" w:rsidR="00392FDA" w:rsidRPr="00EA4C9B" w:rsidRDefault="00392FDA" w:rsidP="00392FDA">
      <w:r w:rsidRPr="00EA4C9B">
        <w:t>These reforms could provide not only fiscal benefits but also help Estonia accelerate progress toward its net-zero targets and reduce dependency on fossil fuels.</w:t>
      </w:r>
    </w:p>
    <w:p w14:paraId="6BBEA2D9" w14:textId="77777777" w:rsidR="00392FDA" w:rsidRPr="00EA4C9B" w:rsidRDefault="00392FDA" w:rsidP="007C4EB7">
      <w:pPr>
        <w:pStyle w:val="AnnexHeading2"/>
      </w:pPr>
      <w:bookmarkStart w:id="166" w:name="_Toc214008867"/>
      <w:r w:rsidRPr="00EA4C9B">
        <w:lastRenderedPageBreak/>
        <w:t>Impacts and feasibility of implementing new environmental taxes</w:t>
      </w:r>
      <w:bookmarkEnd w:id="166"/>
    </w:p>
    <w:p w14:paraId="4D8F7B4C" w14:textId="4638DC88" w:rsidR="00046384" w:rsidRDefault="00046384" w:rsidP="00046384">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1EE0778A" w14:textId="1FBD4131" w:rsidR="00F33E5C" w:rsidRDefault="00F33E5C" w:rsidP="00F33E5C">
      <w:r w:rsidRPr="00F33E5C">
        <w:t>Estonia already applies several environmental charges under its long-standing framework for pollution, water and resource use. Even so, the modelling points to further, feasible gains from bringing selected instruments up to the benchmark levels. Under Scenario A, the largest physical improvements arise in water abstraction, where reductions are among the highest in the EU, reflecting both the new price signal and scope for efficiency in municipal and industrial use. Meaningful declines are also projected for waste incineration and for mineral extraction, where the introduction or recalibration of charges on construction aggregates would reduce extraction pressures and strengthen incentives for recycled material uptake. Landfill outcomes improve, though less sharply than in the highest-impact Member States. Air pollutant charges (NOx, SO₂, PM₂.₅) and wastewater effluent pricing deliver moderate additional abatement, building on Estonia’s existing system of pollution charges. Scenario B produces the same pattern with smaller magnitudes. Revenues scale accordingly: Scenario A provides a material but manageable increase relative to Estonia’s current pollution and resource tax take; Scenario B yields a modest uplift.</w:t>
      </w:r>
    </w:p>
    <w:p w14:paraId="538BB55E" w14:textId="7F2E0D91" w:rsidR="00F33E5C" w:rsidRPr="003221CA" w:rsidRDefault="00F33E5C" w:rsidP="00F33E5C">
      <w:r>
        <w:t xml:space="preserve">Total revenues from the </w:t>
      </w:r>
      <w:r w:rsidR="007B606C">
        <w:t>investigated</w:t>
      </w:r>
      <w:r>
        <w:t xml:space="preserve"> taxes could rise by about €315 million in 2030 and €321 million in 2035, amounting to an increase of 6 times in the revenues for pollution and resource taxes in 2023.   The greatest contributions in revenue come from waste to landfill (47%), mineral aggregates (16%), water effluent charges (14%) and water abstraction charges (11%) and.  These four make up 88% of all revenues. Reduction in emissions or use of materials is greatest for mineral aggregates (34%) followed by water abstraction (33%), fertilizers (30%), SO2 (28%) and waste to landfill (23%). </w:t>
      </w: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170"/>
        <w:gridCol w:w="1276"/>
      </w:tblGrid>
      <w:tr w:rsidR="00F33E5C" w:rsidRPr="00F501DA" w14:paraId="3F094614" w14:textId="77777777" w:rsidTr="001A6AFA">
        <w:trPr>
          <w:trHeight w:val="255"/>
        </w:trPr>
        <w:tc>
          <w:tcPr>
            <w:tcW w:w="8926" w:type="dxa"/>
            <w:gridSpan w:val="7"/>
            <w:shd w:val="clear" w:color="auto" w:fill="003399"/>
          </w:tcPr>
          <w:p w14:paraId="31B9C6B8" w14:textId="47409A72" w:rsidR="00F33E5C" w:rsidRPr="00A158D9" w:rsidRDefault="00F33E5C" w:rsidP="000878F6">
            <w:pPr>
              <w:pStyle w:val="Table"/>
              <w:rPr>
                <w:b/>
                <w:color w:val="FFFFFF" w:themeColor="background1"/>
                <w:lang w:eastAsia="en-GB"/>
              </w:rPr>
            </w:pPr>
            <w:r w:rsidRPr="00A158D9">
              <w:rPr>
                <w:b/>
                <w:color w:val="FFFFFF" w:themeColor="background1"/>
              </w:rPr>
              <w:t xml:space="preserve">Table </w:t>
            </w:r>
            <w:r w:rsidR="00490085">
              <w:rPr>
                <w:b/>
                <w:bCs/>
                <w:color w:val="FFFFFF" w:themeColor="background1"/>
              </w:rPr>
              <w:t>A6</w:t>
            </w:r>
            <w:r w:rsidRPr="00A158D9">
              <w:rPr>
                <w:b/>
                <w:bCs/>
                <w:color w:val="FFFFFF" w:themeColor="background1"/>
              </w:rPr>
              <w:t>-</w:t>
            </w:r>
            <w:r w:rsidRPr="00A158D9">
              <w:rPr>
                <w:b/>
                <w:bCs/>
                <w:color w:val="FFFFFF" w:themeColor="background1"/>
              </w:rPr>
              <w:fldChar w:fldCharType="begin"/>
            </w:r>
            <w:r w:rsidRPr="00A158D9">
              <w:rPr>
                <w:b/>
                <w:bCs/>
                <w:color w:val="FFFFFF" w:themeColor="background1"/>
              </w:rPr>
              <w:instrText xml:space="preserve"> SEQ Table_A5- \* ARABIC </w:instrText>
            </w:r>
            <w:r w:rsidRPr="00A158D9">
              <w:rPr>
                <w:b/>
                <w:bCs/>
                <w:color w:val="FFFFFF" w:themeColor="background1"/>
              </w:rPr>
              <w:fldChar w:fldCharType="separate"/>
            </w:r>
            <w:r>
              <w:rPr>
                <w:b/>
                <w:bCs/>
                <w:noProof/>
                <w:color w:val="FFFFFF" w:themeColor="background1"/>
              </w:rPr>
              <w:t>48</w:t>
            </w:r>
            <w:r w:rsidRPr="00A158D9">
              <w:rPr>
                <w:b/>
                <w:bCs/>
                <w:color w:val="FFFFFF" w:themeColor="background1"/>
              </w:rPr>
              <w:fldChar w:fldCharType="end"/>
            </w:r>
            <w:r w:rsidRPr="00A158D9">
              <w:rPr>
                <w:b/>
                <w:bCs/>
                <w:color w:val="FFFFFF" w:themeColor="background1"/>
              </w:rPr>
              <w:t>:</w:t>
            </w:r>
            <w:r w:rsidRPr="00A158D9">
              <w:rPr>
                <w:b/>
                <w:color w:val="FFFFFF" w:themeColor="background1"/>
              </w:rPr>
              <w:t xml:space="preserve"> </w:t>
            </w:r>
            <w:r w:rsidRPr="00A158D9">
              <w:rPr>
                <w:b/>
                <w:color w:val="FFFFFF" w:themeColor="background1"/>
                <w:lang w:eastAsia="en-GB"/>
              </w:rPr>
              <w:t>Environmental Impacts and Revenue Changes in Estonia</w:t>
            </w:r>
            <w:r>
              <w:rPr>
                <w:b/>
                <w:color w:val="FFFFFF" w:themeColor="background1"/>
                <w:lang w:eastAsia="en-GB"/>
              </w:rPr>
              <w:t xml:space="preserve"> – Scenario A</w:t>
            </w:r>
          </w:p>
        </w:tc>
      </w:tr>
      <w:tr w:rsidR="00F33E5C" w:rsidRPr="00F501DA" w14:paraId="63B58DBE" w14:textId="77777777" w:rsidTr="001A6AFA">
        <w:tc>
          <w:tcPr>
            <w:tcW w:w="2160" w:type="dxa"/>
          </w:tcPr>
          <w:p w14:paraId="61D240CF" w14:textId="77777777" w:rsidR="00F33E5C" w:rsidRPr="00A158D9" w:rsidRDefault="00F33E5C" w:rsidP="000878F6">
            <w:pPr>
              <w:pStyle w:val="Table"/>
              <w:rPr>
                <w:b/>
              </w:rPr>
            </w:pPr>
            <w:r w:rsidRPr="00A158D9">
              <w:rPr>
                <w:b/>
              </w:rPr>
              <w:t>Tax Name</w:t>
            </w:r>
          </w:p>
        </w:tc>
        <w:tc>
          <w:tcPr>
            <w:tcW w:w="2160" w:type="dxa"/>
            <w:gridSpan w:val="2"/>
            <w:vAlign w:val="bottom"/>
          </w:tcPr>
          <w:p w14:paraId="5A0D3358" w14:textId="77777777" w:rsidR="00F33E5C" w:rsidRPr="00485B33" w:rsidRDefault="00F33E5C" w:rsidP="000878F6">
            <w:pPr>
              <w:pStyle w:val="Table"/>
              <w:jc w:val="center"/>
              <w:rPr>
                <w:b/>
                <w:szCs w:val="20"/>
              </w:rPr>
            </w:pPr>
            <w:r>
              <w:rPr>
                <w:rFonts w:ascii="Calibri" w:hAnsi="Calibri" w:cs="Calibri"/>
                <w:b/>
                <w:bCs/>
                <w:color w:val="000000"/>
                <w:szCs w:val="20"/>
              </w:rPr>
              <w:t>% Change in Quantities as % of taxed sector</w:t>
            </w:r>
          </w:p>
        </w:tc>
        <w:tc>
          <w:tcPr>
            <w:tcW w:w="2160" w:type="dxa"/>
            <w:gridSpan w:val="2"/>
            <w:vAlign w:val="bottom"/>
          </w:tcPr>
          <w:p w14:paraId="47779142" w14:textId="77777777" w:rsidR="00F33E5C" w:rsidRPr="00485B33" w:rsidRDefault="00F33E5C" w:rsidP="000878F6">
            <w:pPr>
              <w:pStyle w:val="Table"/>
              <w:jc w:val="center"/>
              <w:rPr>
                <w:b/>
                <w:szCs w:val="20"/>
              </w:rPr>
            </w:pPr>
            <w:r>
              <w:rPr>
                <w:rFonts w:ascii="Calibri" w:hAnsi="Calibri" w:cs="Calibri"/>
                <w:b/>
                <w:bCs/>
                <w:color w:val="000000"/>
                <w:szCs w:val="20"/>
              </w:rPr>
              <w:t>Change in Revenues (€Mn)</w:t>
            </w:r>
          </w:p>
        </w:tc>
        <w:tc>
          <w:tcPr>
            <w:tcW w:w="2446" w:type="dxa"/>
            <w:gridSpan w:val="2"/>
            <w:vAlign w:val="bottom"/>
          </w:tcPr>
          <w:p w14:paraId="510C6618" w14:textId="77777777" w:rsidR="00F33E5C" w:rsidRPr="00485B33" w:rsidRDefault="00F33E5C" w:rsidP="000878F6">
            <w:pPr>
              <w:pStyle w:val="Table"/>
              <w:jc w:val="center"/>
              <w:rPr>
                <w:b/>
                <w:szCs w:val="20"/>
              </w:rPr>
            </w:pPr>
            <w:r>
              <w:rPr>
                <w:rFonts w:ascii="Calibri" w:hAnsi="Calibri" w:cs="Calibri"/>
                <w:b/>
                <w:bCs/>
                <w:color w:val="000000"/>
                <w:szCs w:val="20"/>
              </w:rPr>
              <w:t>As % of 2023 Resource Tax</w:t>
            </w:r>
          </w:p>
        </w:tc>
      </w:tr>
      <w:tr w:rsidR="00F33E5C" w:rsidRPr="001840EB" w14:paraId="0A4122A6" w14:textId="77777777" w:rsidTr="001A6AFA">
        <w:tc>
          <w:tcPr>
            <w:tcW w:w="2160" w:type="dxa"/>
          </w:tcPr>
          <w:p w14:paraId="470BA8DC" w14:textId="77777777" w:rsidR="00F33E5C" w:rsidRPr="0090500B" w:rsidRDefault="00F33E5C" w:rsidP="000878F6">
            <w:pPr>
              <w:pStyle w:val="Table"/>
              <w:jc w:val="left"/>
              <w:rPr>
                <w:b/>
              </w:rPr>
            </w:pPr>
            <w:r w:rsidRPr="0090500B">
              <w:rPr>
                <w:b/>
              </w:rPr>
              <w:t>Year</w:t>
            </w:r>
          </w:p>
        </w:tc>
        <w:tc>
          <w:tcPr>
            <w:tcW w:w="1080" w:type="dxa"/>
          </w:tcPr>
          <w:p w14:paraId="2559DCE9" w14:textId="77777777" w:rsidR="00F33E5C" w:rsidRPr="00485B33" w:rsidRDefault="00F33E5C" w:rsidP="000878F6">
            <w:pPr>
              <w:pStyle w:val="Table"/>
              <w:jc w:val="center"/>
              <w:rPr>
                <w:b/>
                <w:szCs w:val="20"/>
              </w:rPr>
            </w:pPr>
            <w:r w:rsidRPr="00485B33">
              <w:rPr>
                <w:b/>
                <w:szCs w:val="20"/>
              </w:rPr>
              <w:t>2030</w:t>
            </w:r>
          </w:p>
        </w:tc>
        <w:tc>
          <w:tcPr>
            <w:tcW w:w="1080" w:type="dxa"/>
          </w:tcPr>
          <w:p w14:paraId="037C9A16" w14:textId="77777777" w:rsidR="00F33E5C" w:rsidRPr="00485B33" w:rsidRDefault="00F33E5C" w:rsidP="000878F6">
            <w:pPr>
              <w:pStyle w:val="Table"/>
              <w:jc w:val="center"/>
              <w:rPr>
                <w:b/>
                <w:szCs w:val="20"/>
              </w:rPr>
            </w:pPr>
            <w:r w:rsidRPr="00485B33">
              <w:rPr>
                <w:b/>
                <w:szCs w:val="20"/>
              </w:rPr>
              <w:t>2035</w:t>
            </w:r>
          </w:p>
        </w:tc>
        <w:tc>
          <w:tcPr>
            <w:tcW w:w="990" w:type="dxa"/>
          </w:tcPr>
          <w:p w14:paraId="5E2FDD63" w14:textId="77777777" w:rsidR="00F33E5C" w:rsidRPr="00485B33" w:rsidRDefault="00F33E5C" w:rsidP="000878F6">
            <w:pPr>
              <w:pStyle w:val="Table"/>
              <w:jc w:val="center"/>
              <w:rPr>
                <w:b/>
                <w:szCs w:val="20"/>
              </w:rPr>
            </w:pPr>
            <w:r w:rsidRPr="00485B33">
              <w:rPr>
                <w:b/>
                <w:szCs w:val="20"/>
              </w:rPr>
              <w:t>2030</w:t>
            </w:r>
          </w:p>
        </w:tc>
        <w:tc>
          <w:tcPr>
            <w:tcW w:w="1170" w:type="dxa"/>
          </w:tcPr>
          <w:p w14:paraId="6D4CFCEC" w14:textId="77777777" w:rsidR="00F33E5C" w:rsidRPr="00485B33" w:rsidRDefault="00F33E5C" w:rsidP="000878F6">
            <w:pPr>
              <w:pStyle w:val="Table"/>
              <w:jc w:val="center"/>
              <w:rPr>
                <w:b/>
                <w:szCs w:val="20"/>
              </w:rPr>
            </w:pPr>
            <w:r w:rsidRPr="00485B33">
              <w:rPr>
                <w:b/>
                <w:szCs w:val="20"/>
              </w:rPr>
              <w:t>2035</w:t>
            </w:r>
          </w:p>
        </w:tc>
        <w:tc>
          <w:tcPr>
            <w:tcW w:w="1170" w:type="dxa"/>
          </w:tcPr>
          <w:p w14:paraId="3D8FE165" w14:textId="77777777" w:rsidR="00F33E5C" w:rsidRPr="00485B33" w:rsidRDefault="00F33E5C" w:rsidP="000878F6">
            <w:pPr>
              <w:pStyle w:val="Table"/>
              <w:jc w:val="center"/>
              <w:rPr>
                <w:b/>
                <w:szCs w:val="20"/>
              </w:rPr>
            </w:pPr>
            <w:r w:rsidRPr="00485B33">
              <w:rPr>
                <w:b/>
                <w:szCs w:val="20"/>
              </w:rPr>
              <w:t>2030</w:t>
            </w:r>
          </w:p>
        </w:tc>
        <w:tc>
          <w:tcPr>
            <w:tcW w:w="1276" w:type="dxa"/>
          </w:tcPr>
          <w:p w14:paraId="53C6BCAD" w14:textId="77777777" w:rsidR="00F33E5C" w:rsidRPr="00485B33" w:rsidRDefault="00F33E5C" w:rsidP="000878F6">
            <w:pPr>
              <w:pStyle w:val="Table"/>
              <w:jc w:val="center"/>
              <w:rPr>
                <w:b/>
                <w:szCs w:val="20"/>
              </w:rPr>
            </w:pPr>
            <w:r w:rsidRPr="00485B33">
              <w:rPr>
                <w:b/>
                <w:szCs w:val="20"/>
              </w:rPr>
              <w:t>2035</w:t>
            </w:r>
          </w:p>
        </w:tc>
      </w:tr>
      <w:tr w:rsidR="00F33E5C" w:rsidRPr="001840EB" w14:paraId="5D37380C" w14:textId="77777777" w:rsidTr="001A6AFA">
        <w:tc>
          <w:tcPr>
            <w:tcW w:w="2160" w:type="dxa"/>
          </w:tcPr>
          <w:p w14:paraId="7FDB000F" w14:textId="77777777" w:rsidR="00F33E5C" w:rsidRPr="00F501DA" w:rsidRDefault="00F33E5C" w:rsidP="000878F6">
            <w:pPr>
              <w:pStyle w:val="Table"/>
            </w:pPr>
            <w:r w:rsidRPr="00F501DA">
              <w:t>NOx</w:t>
            </w:r>
          </w:p>
        </w:tc>
        <w:tc>
          <w:tcPr>
            <w:tcW w:w="1080" w:type="dxa"/>
            <w:vAlign w:val="center"/>
          </w:tcPr>
          <w:p w14:paraId="0F9E43C7" w14:textId="77777777" w:rsidR="00F33E5C" w:rsidRPr="00485B33" w:rsidRDefault="00F33E5C" w:rsidP="000878F6">
            <w:pPr>
              <w:pStyle w:val="Table"/>
              <w:jc w:val="center"/>
              <w:rPr>
                <w:szCs w:val="20"/>
              </w:rPr>
            </w:pPr>
            <w:r w:rsidRPr="00485B33">
              <w:rPr>
                <w:rFonts w:ascii="Calibri" w:hAnsi="Calibri" w:cs="Calibri"/>
                <w:color w:val="000000"/>
                <w:szCs w:val="20"/>
              </w:rPr>
              <w:t>-28,57%</w:t>
            </w:r>
          </w:p>
        </w:tc>
        <w:tc>
          <w:tcPr>
            <w:tcW w:w="1080" w:type="dxa"/>
            <w:vAlign w:val="center"/>
          </w:tcPr>
          <w:p w14:paraId="459AD43A" w14:textId="77777777" w:rsidR="00F33E5C" w:rsidRPr="00485B33" w:rsidRDefault="00F33E5C" w:rsidP="000878F6">
            <w:pPr>
              <w:pStyle w:val="Table"/>
              <w:jc w:val="center"/>
              <w:rPr>
                <w:szCs w:val="20"/>
              </w:rPr>
            </w:pPr>
            <w:r w:rsidRPr="00485B33">
              <w:rPr>
                <w:rFonts w:ascii="Calibri" w:hAnsi="Calibri" w:cs="Calibri"/>
                <w:color w:val="000000"/>
                <w:szCs w:val="20"/>
              </w:rPr>
              <w:t>-28,57%</w:t>
            </w:r>
          </w:p>
        </w:tc>
        <w:tc>
          <w:tcPr>
            <w:tcW w:w="990" w:type="dxa"/>
            <w:vAlign w:val="center"/>
          </w:tcPr>
          <w:p w14:paraId="5FCC91FB" w14:textId="77777777" w:rsidR="00F33E5C" w:rsidRPr="00485B33" w:rsidRDefault="00F33E5C" w:rsidP="000878F6">
            <w:pPr>
              <w:pStyle w:val="Table"/>
              <w:jc w:val="center"/>
              <w:rPr>
                <w:szCs w:val="20"/>
              </w:rPr>
            </w:pPr>
            <w:r w:rsidRPr="00485B33">
              <w:rPr>
                <w:rFonts w:ascii="Calibri" w:hAnsi="Calibri" w:cs="Calibri"/>
                <w:color w:val="000000"/>
                <w:szCs w:val="20"/>
              </w:rPr>
              <w:t>0,24</w:t>
            </w:r>
          </w:p>
        </w:tc>
        <w:tc>
          <w:tcPr>
            <w:tcW w:w="1170" w:type="dxa"/>
            <w:vAlign w:val="center"/>
          </w:tcPr>
          <w:p w14:paraId="46092D04" w14:textId="77777777" w:rsidR="00F33E5C" w:rsidRPr="00485B33" w:rsidRDefault="00F33E5C" w:rsidP="000878F6">
            <w:pPr>
              <w:pStyle w:val="Table"/>
              <w:jc w:val="center"/>
              <w:rPr>
                <w:szCs w:val="20"/>
              </w:rPr>
            </w:pPr>
            <w:r w:rsidRPr="00485B33">
              <w:rPr>
                <w:rFonts w:ascii="Calibri" w:hAnsi="Calibri" w:cs="Calibri"/>
                <w:color w:val="000000"/>
                <w:szCs w:val="20"/>
              </w:rPr>
              <w:t>0,25</w:t>
            </w:r>
          </w:p>
        </w:tc>
        <w:tc>
          <w:tcPr>
            <w:tcW w:w="1170" w:type="dxa"/>
            <w:vAlign w:val="center"/>
          </w:tcPr>
          <w:p w14:paraId="6910BC55" w14:textId="77777777" w:rsidR="00F33E5C" w:rsidRPr="00485B33" w:rsidRDefault="00F33E5C" w:rsidP="000878F6">
            <w:pPr>
              <w:pStyle w:val="Table"/>
              <w:jc w:val="center"/>
              <w:rPr>
                <w:szCs w:val="20"/>
              </w:rPr>
            </w:pPr>
            <w:r w:rsidRPr="00485B33">
              <w:rPr>
                <w:rFonts w:ascii="Calibri" w:hAnsi="Calibri" w:cs="Calibri"/>
                <w:color w:val="000000"/>
                <w:szCs w:val="20"/>
              </w:rPr>
              <w:t>0,67%</w:t>
            </w:r>
          </w:p>
        </w:tc>
        <w:tc>
          <w:tcPr>
            <w:tcW w:w="1276" w:type="dxa"/>
            <w:vAlign w:val="center"/>
          </w:tcPr>
          <w:p w14:paraId="4215E677" w14:textId="77777777" w:rsidR="00F33E5C" w:rsidRPr="00485B33" w:rsidRDefault="00F33E5C" w:rsidP="000878F6">
            <w:pPr>
              <w:pStyle w:val="Table"/>
              <w:jc w:val="center"/>
              <w:rPr>
                <w:szCs w:val="20"/>
              </w:rPr>
            </w:pPr>
            <w:r w:rsidRPr="00485B33">
              <w:rPr>
                <w:rFonts w:ascii="Calibri" w:hAnsi="Calibri" w:cs="Calibri"/>
                <w:color w:val="000000"/>
                <w:szCs w:val="20"/>
              </w:rPr>
              <w:t>0,71%</w:t>
            </w:r>
          </w:p>
        </w:tc>
      </w:tr>
      <w:tr w:rsidR="00F33E5C" w:rsidRPr="001840EB" w14:paraId="3241384B" w14:textId="77777777" w:rsidTr="001A6AFA">
        <w:tc>
          <w:tcPr>
            <w:tcW w:w="2160" w:type="dxa"/>
          </w:tcPr>
          <w:p w14:paraId="2A6E15E1" w14:textId="77777777" w:rsidR="00F33E5C" w:rsidRPr="00F501DA" w:rsidRDefault="00F33E5C" w:rsidP="000878F6">
            <w:pPr>
              <w:pStyle w:val="Table"/>
            </w:pPr>
            <w:r w:rsidRPr="00F501DA">
              <w:t>SO2</w:t>
            </w:r>
          </w:p>
        </w:tc>
        <w:tc>
          <w:tcPr>
            <w:tcW w:w="1080" w:type="dxa"/>
            <w:vAlign w:val="center"/>
          </w:tcPr>
          <w:p w14:paraId="5C4A1355" w14:textId="77777777" w:rsidR="00F33E5C" w:rsidRPr="00485B33" w:rsidRDefault="00F33E5C" w:rsidP="000878F6">
            <w:pPr>
              <w:pStyle w:val="Table"/>
              <w:jc w:val="center"/>
              <w:rPr>
                <w:szCs w:val="20"/>
              </w:rPr>
            </w:pPr>
            <w:r w:rsidRPr="00485B33">
              <w:rPr>
                <w:rFonts w:ascii="Calibri" w:hAnsi="Calibri" w:cs="Calibri"/>
                <w:color w:val="000000"/>
                <w:szCs w:val="20"/>
              </w:rPr>
              <w:t>-32,43%</w:t>
            </w:r>
          </w:p>
        </w:tc>
        <w:tc>
          <w:tcPr>
            <w:tcW w:w="1080" w:type="dxa"/>
            <w:vAlign w:val="center"/>
          </w:tcPr>
          <w:p w14:paraId="20D47F5E" w14:textId="77777777" w:rsidR="00F33E5C" w:rsidRPr="00485B33" w:rsidRDefault="00F33E5C" w:rsidP="000878F6">
            <w:pPr>
              <w:pStyle w:val="Table"/>
              <w:jc w:val="center"/>
              <w:rPr>
                <w:szCs w:val="20"/>
              </w:rPr>
            </w:pPr>
            <w:r w:rsidRPr="00485B33">
              <w:rPr>
                <w:rFonts w:ascii="Calibri" w:hAnsi="Calibri" w:cs="Calibri"/>
                <w:color w:val="000000"/>
                <w:szCs w:val="20"/>
              </w:rPr>
              <w:t>-32,43%</w:t>
            </w:r>
          </w:p>
        </w:tc>
        <w:tc>
          <w:tcPr>
            <w:tcW w:w="990" w:type="dxa"/>
            <w:vAlign w:val="center"/>
          </w:tcPr>
          <w:p w14:paraId="13270AAC" w14:textId="77777777" w:rsidR="00F33E5C" w:rsidRPr="00485B33" w:rsidRDefault="00F33E5C" w:rsidP="000878F6">
            <w:pPr>
              <w:pStyle w:val="Table"/>
              <w:jc w:val="center"/>
              <w:rPr>
                <w:szCs w:val="20"/>
              </w:rPr>
            </w:pPr>
            <w:r w:rsidRPr="00485B33">
              <w:rPr>
                <w:rFonts w:ascii="Calibri" w:hAnsi="Calibri" w:cs="Calibri"/>
                <w:color w:val="000000"/>
                <w:szCs w:val="20"/>
              </w:rPr>
              <w:t>5,59</w:t>
            </w:r>
          </w:p>
        </w:tc>
        <w:tc>
          <w:tcPr>
            <w:tcW w:w="1170" w:type="dxa"/>
            <w:vAlign w:val="center"/>
          </w:tcPr>
          <w:p w14:paraId="5BD133F0" w14:textId="77777777" w:rsidR="00F33E5C" w:rsidRPr="00485B33" w:rsidRDefault="00F33E5C" w:rsidP="000878F6">
            <w:pPr>
              <w:pStyle w:val="Table"/>
              <w:jc w:val="center"/>
              <w:rPr>
                <w:szCs w:val="20"/>
              </w:rPr>
            </w:pPr>
            <w:r w:rsidRPr="00485B33">
              <w:rPr>
                <w:rFonts w:ascii="Calibri" w:hAnsi="Calibri" w:cs="Calibri"/>
                <w:color w:val="000000"/>
                <w:szCs w:val="20"/>
              </w:rPr>
              <w:t>3,37</w:t>
            </w:r>
          </w:p>
        </w:tc>
        <w:tc>
          <w:tcPr>
            <w:tcW w:w="1170" w:type="dxa"/>
            <w:vAlign w:val="center"/>
          </w:tcPr>
          <w:p w14:paraId="03C254A9" w14:textId="77777777" w:rsidR="00F33E5C" w:rsidRPr="00485B33" w:rsidRDefault="00F33E5C" w:rsidP="000878F6">
            <w:pPr>
              <w:pStyle w:val="Table"/>
              <w:jc w:val="center"/>
              <w:rPr>
                <w:szCs w:val="20"/>
              </w:rPr>
            </w:pPr>
            <w:r w:rsidRPr="00485B33">
              <w:rPr>
                <w:rFonts w:ascii="Calibri" w:hAnsi="Calibri" w:cs="Calibri"/>
                <w:color w:val="000000"/>
                <w:szCs w:val="20"/>
              </w:rPr>
              <w:t>15,67%</w:t>
            </w:r>
          </w:p>
        </w:tc>
        <w:tc>
          <w:tcPr>
            <w:tcW w:w="1276" w:type="dxa"/>
            <w:vAlign w:val="center"/>
          </w:tcPr>
          <w:p w14:paraId="51367C09" w14:textId="77777777" w:rsidR="00F33E5C" w:rsidRPr="00485B33" w:rsidRDefault="00F33E5C" w:rsidP="000878F6">
            <w:pPr>
              <w:pStyle w:val="Table"/>
              <w:jc w:val="center"/>
              <w:rPr>
                <w:szCs w:val="20"/>
              </w:rPr>
            </w:pPr>
            <w:r w:rsidRPr="00485B33">
              <w:rPr>
                <w:rFonts w:ascii="Calibri" w:hAnsi="Calibri" w:cs="Calibri"/>
                <w:color w:val="000000"/>
                <w:szCs w:val="20"/>
              </w:rPr>
              <w:t>9,45%</w:t>
            </w:r>
          </w:p>
        </w:tc>
      </w:tr>
      <w:tr w:rsidR="00F33E5C" w:rsidRPr="001840EB" w14:paraId="42096582" w14:textId="77777777" w:rsidTr="001A6AFA">
        <w:tc>
          <w:tcPr>
            <w:tcW w:w="2160" w:type="dxa"/>
          </w:tcPr>
          <w:p w14:paraId="0B19529E" w14:textId="77777777" w:rsidR="00F33E5C" w:rsidRPr="00F501DA" w:rsidRDefault="00F33E5C" w:rsidP="000878F6">
            <w:pPr>
              <w:pStyle w:val="Table"/>
            </w:pPr>
            <w:r w:rsidRPr="00F501DA">
              <w:t>PM2.5</w:t>
            </w:r>
          </w:p>
        </w:tc>
        <w:tc>
          <w:tcPr>
            <w:tcW w:w="1080" w:type="dxa"/>
            <w:vAlign w:val="center"/>
          </w:tcPr>
          <w:p w14:paraId="658321CE" w14:textId="77777777" w:rsidR="00F33E5C" w:rsidRPr="00485B33" w:rsidRDefault="00F33E5C" w:rsidP="000878F6">
            <w:pPr>
              <w:pStyle w:val="Table"/>
              <w:jc w:val="center"/>
              <w:rPr>
                <w:szCs w:val="20"/>
              </w:rPr>
            </w:pPr>
            <w:r w:rsidRPr="00485B33">
              <w:rPr>
                <w:rFonts w:ascii="Calibri" w:hAnsi="Calibri" w:cs="Calibri"/>
                <w:color w:val="000000"/>
                <w:szCs w:val="20"/>
              </w:rPr>
              <w:t>-29,58%</w:t>
            </w:r>
          </w:p>
        </w:tc>
        <w:tc>
          <w:tcPr>
            <w:tcW w:w="1080" w:type="dxa"/>
            <w:vAlign w:val="center"/>
          </w:tcPr>
          <w:p w14:paraId="72B4D4B1" w14:textId="77777777" w:rsidR="00F33E5C" w:rsidRPr="00485B33" w:rsidRDefault="00F33E5C" w:rsidP="000878F6">
            <w:pPr>
              <w:pStyle w:val="Table"/>
              <w:jc w:val="center"/>
              <w:rPr>
                <w:szCs w:val="20"/>
              </w:rPr>
            </w:pPr>
            <w:r w:rsidRPr="00485B33">
              <w:rPr>
                <w:rFonts w:ascii="Calibri" w:hAnsi="Calibri" w:cs="Calibri"/>
                <w:color w:val="000000"/>
                <w:szCs w:val="20"/>
              </w:rPr>
              <w:t>-29,58%</w:t>
            </w:r>
          </w:p>
        </w:tc>
        <w:tc>
          <w:tcPr>
            <w:tcW w:w="990" w:type="dxa"/>
            <w:vAlign w:val="center"/>
          </w:tcPr>
          <w:p w14:paraId="1E5089FB" w14:textId="77777777" w:rsidR="00F33E5C" w:rsidRPr="00485B33" w:rsidRDefault="00F33E5C" w:rsidP="000878F6">
            <w:pPr>
              <w:pStyle w:val="Table"/>
              <w:jc w:val="center"/>
              <w:rPr>
                <w:szCs w:val="20"/>
              </w:rPr>
            </w:pPr>
            <w:r w:rsidRPr="00485B33">
              <w:rPr>
                <w:rFonts w:ascii="Calibri" w:hAnsi="Calibri" w:cs="Calibri"/>
                <w:color w:val="000000"/>
                <w:szCs w:val="20"/>
              </w:rPr>
              <w:t>0,92</w:t>
            </w:r>
          </w:p>
        </w:tc>
        <w:tc>
          <w:tcPr>
            <w:tcW w:w="1170" w:type="dxa"/>
            <w:vAlign w:val="center"/>
          </w:tcPr>
          <w:p w14:paraId="12CA2972" w14:textId="77777777" w:rsidR="00F33E5C" w:rsidRPr="00485B33" w:rsidRDefault="00F33E5C" w:rsidP="000878F6">
            <w:pPr>
              <w:pStyle w:val="Table"/>
              <w:jc w:val="center"/>
              <w:rPr>
                <w:szCs w:val="20"/>
              </w:rPr>
            </w:pPr>
            <w:r w:rsidRPr="00485B33">
              <w:rPr>
                <w:rFonts w:ascii="Calibri" w:hAnsi="Calibri" w:cs="Calibri"/>
                <w:color w:val="000000"/>
                <w:szCs w:val="20"/>
              </w:rPr>
              <w:t>0,70</w:t>
            </w:r>
          </w:p>
        </w:tc>
        <w:tc>
          <w:tcPr>
            <w:tcW w:w="1170" w:type="dxa"/>
            <w:vAlign w:val="center"/>
          </w:tcPr>
          <w:p w14:paraId="70A4A3EC" w14:textId="77777777" w:rsidR="00F33E5C" w:rsidRPr="00485B33" w:rsidRDefault="00F33E5C" w:rsidP="000878F6">
            <w:pPr>
              <w:pStyle w:val="Table"/>
              <w:jc w:val="center"/>
              <w:rPr>
                <w:szCs w:val="20"/>
              </w:rPr>
            </w:pPr>
            <w:r w:rsidRPr="00485B33">
              <w:rPr>
                <w:rFonts w:ascii="Calibri" w:hAnsi="Calibri" w:cs="Calibri"/>
                <w:color w:val="000000"/>
                <w:szCs w:val="20"/>
              </w:rPr>
              <w:t>2,58%</w:t>
            </w:r>
          </w:p>
        </w:tc>
        <w:tc>
          <w:tcPr>
            <w:tcW w:w="1276" w:type="dxa"/>
            <w:vAlign w:val="center"/>
          </w:tcPr>
          <w:p w14:paraId="773186B3" w14:textId="77777777" w:rsidR="00F33E5C" w:rsidRPr="00485B33" w:rsidRDefault="00F33E5C" w:rsidP="000878F6">
            <w:pPr>
              <w:pStyle w:val="Table"/>
              <w:jc w:val="center"/>
              <w:rPr>
                <w:szCs w:val="20"/>
              </w:rPr>
            </w:pPr>
            <w:r w:rsidRPr="00485B33">
              <w:rPr>
                <w:rFonts w:ascii="Calibri" w:hAnsi="Calibri" w:cs="Calibri"/>
                <w:color w:val="000000"/>
                <w:szCs w:val="20"/>
              </w:rPr>
              <w:t>1,96%</w:t>
            </w:r>
          </w:p>
        </w:tc>
      </w:tr>
      <w:tr w:rsidR="00F33E5C" w:rsidRPr="001840EB" w14:paraId="225D5E42" w14:textId="77777777" w:rsidTr="001A6AFA">
        <w:tc>
          <w:tcPr>
            <w:tcW w:w="2160" w:type="dxa"/>
          </w:tcPr>
          <w:p w14:paraId="7D87F607" w14:textId="77777777" w:rsidR="00F33E5C" w:rsidRPr="00F501DA" w:rsidRDefault="00F33E5C" w:rsidP="000878F6">
            <w:pPr>
              <w:pStyle w:val="Table"/>
            </w:pPr>
            <w:r w:rsidRPr="00F501DA">
              <w:t>Water Abstraction</w:t>
            </w:r>
          </w:p>
        </w:tc>
        <w:tc>
          <w:tcPr>
            <w:tcW w:w="1080" w:type="dxa"/>
            <w:vAlign w:val="center"/>
          </w:tcPr>
          <w:p w14:paraId="63F66786" w14:textId="77777777" w:rsidR="00F33E5C" w:rsidRPr="00485B33" w:rsidRDefault="00F33E5C" w:rsidP="000878F6">
            <w:pPr>
              <w:pStyle w:val="Table"/>
              <w:jc w:val="center"/>
              <w:rPr>
                <w:szCs w:val="20"/>
              </w:rPr>
            </w:pPr>
            <w:r w:rsidRPr="00485B33">
              <w:rPr>
                <w:rFonts w:ascii="Calibri" w:hAnsi="Calibri" w:cs="Calibri"/>
                <w:color w:val="000000"/>
                <w:szCs w:val="20"/>
              </w:rPr>
              <w:t>-33,40%</w:t>
            </w:r>
          </w:p>
        </w:tc>
        <w:tc>
          <w:tcPr>
            <w:tcW w:w="1080" w:type="dxa"/>
            <w:vAlign w:val="center"/>
          </w:tcPr>
          <w:p w14:paraId="7EEE589E" w14:textId="77777777" w:rsidR="00F33E5C" w:rsidRPr="00485B33" w:rsidRDefault="00F33E5C" w:rsidP="000878F6">
            <w:pPr>
              <w:pStyle w:val="Table"/>
              <w:jc w:val="center"/>
              <w:rPr>
                <w:szCs w:val="20"/>
              </w:rPr>
            </w:pPr>
            <w:r w:rsidRPr="00485B33">
              <w:rPr>
                <w:rFonts w:ascii="Calibri" w:hAnsi="Calibri" w:cs="Calibri"/>
                <w:color w:val="000000"/>
                <w:szCs w:val="20"/>
              </w:rPr>
              <w:t>-33,40%</w:t>
            </w:r>
          </w:p>
        </w:tc>
        <w:tc>
          <w:tcPr>
            <w:tcW w:w="990" w:type="dxa"/>
            <w:vAlign w:val="center"/>
          </w:tcPr>
          <w:p w14:paraId="18CA968B" w14:textId="77777777" w:rsidR="00F33E5C" w:rsidRPr="00485B33" w:rsidRDefault="00F33E5C" w:rsidP="000878F6">
            <w:pPr>
              <w:pStyle w:val="Table"/>
              <w:jc w:val="center"/>
              <w:rPr>
                <w:szCs w:val="20"/>
              </w:rPr>
            </w:pPr>
            <w:r w:rsidRPr="00485B33">
              <w:rPr>
                <w:rFonts w:ascii="Calibri" w:hAnsi="Calibri" w:cs="Calibri"/>
                <w:color w:val="000000"/>
                <w:szCs w:val="20"/>
              </w:rPr>
              <w:t>34,53</w:t>
            </w:r>
          </w:p>
        </w:tc>
        <w:tc>
          <w:tcPr>
            <w:tcW w:w="1170" w:type="dxa"/>
            <w:vAlign w:val="center"/>
          </w:tcPr>
          <w:p w14:paraId="2EFE109D" w14:textId="77777777" w:rsidR="00F33E5C" w:rsidRPr="00485B33" w:rsidRDefault="00F33E5C" w:rsidP="000878F6">
            <w:pPr>
              <w:pStyle w:val="Table"/>
              <w:jc w:val="center"/>
              <w:rPr>
                <w:szCs w:val="20"/>
              </w:rPr>
            </w:pPr>
            <w:r w:rsidRPr="00485B33">
              <w:rPr>
                <w:rFonts w:ascii="Calibri" w:hAnsi="Calibri" w:cs="Calibri"/>
                <w:color w:val="000000"/>
                <w:szCs w:val="20"/>
              </w:rPr>
              <w:t>28,04</w:t>
            </w:r>
          </w:p>
        </w:tc>
        <w:tc>
          <w:tcPr>
            <w:tcW w:w="1170" w:type="dxa"/>
            <w:vAlign w:val="center"/>
          </w:tcPr>
          <w:p w14:paraId="63D020C3" w14:textId="77777777" w:rsidR="00F33E5C" w:rsidRPr="00485B33" w:rsidRDefault="00F33E5C" w:rsidP="000878F6">
            <w:pPr>
              <w:pStyle w:val="Table"/>
              <w:jc w:val="center"/>
              <w:rPr>
                <w:szCs w:val="20"/>
              </w:rPr>
            </w:pPr>
            <w:r w:rsidRPr="00485B33">
              <w:rPr>
                <w:rFonts w:ascii="Calibri" w:hAnsi="Calibri" w:cs="Calibri"/>
                <w:color w:val="000000"/>
                <w:szCs w:val="20"/>
              </w:rPr>
              <w:t>215,70%</w:t>
            </w:r>
          </w:p>
        </w:tc>
        <w:tc>
          <w:tcPr>
            <w:tcW w:w="1276" w:type="dxa"/>
            <w:vAlign w:val="center"/>
          </w:tcPr>
          <w:p w14:paraId="4285CEDA" w14:textId="77777777" w:rsidR="00F33E5C" w:rsidRPr="00485B33" w:rsidRDefault="00F33E5C" w:rsidP="000878F6">
            <w:pPr>
              <w:pStyle w:val="Table"/>
              <w:jc w:val="center"/>
              <w:rPr>
                <w:szCs w:val="20"/>
              </w:rPr>
            </w:pPr>
            <w:r w:rsidRPr="00485B33">
              <w:rPr>
                <w:rFonts w:ascii="Calibri" w:hAnsi="Calibri" w:cs="Calibri"/>
                <w:color w:val="000000"/>
                <w:szCs w:val="20"/>
              </w:rPr>
              <w:t>175,14%</w:t>
            </w:r>
          </w:p>
        </w:tc>
      </w:tr>
      <w:tr w:rsidR="00F33E5C" w:rsidRPr="001840EB" w14:paraId="244C3665" w14:textId="77777777" w:rsidTr="001A6AFA">
        <w:tc>
          <w:tcPr>
            <w:tcW w:w="2160" w:type="dxa"/>
          </w:tcPr>
          <w:p w14:paraId="72F5D461" w14:textId="77777777" w:rsidR="00F33E5C" w:rsidRPr="00F501DA" w:rsidRDefault="00F33E5C" w:rsidP="000878F6">
            <w:pPr>
              <w:pStyle w:val="Table"/>
            </w:pPr>
            <w:r w:rsidRPr="00F501DA">
              <w:t>Fertilizers</w:t>
            </w:r>
          </w:p>
        </w:tc>
        <w:tc>
          <w:tcPr>
            <w:tcW w:w="1080" w:type="dxa"/>
            <w:vAlign w:val="center"/>
          </w:tcPr>
          <w:p w14:paraId="5BE1753D" w14:textId="77777777" w:rsidR="00F33E5C" w:rsidRPr="00485B33" w:rsidRDefault="00F33E5C" w:rsidP="000878F6">
            <w:pPr>
              <w:pStyle w:val="Table"/>
              <w:jc w:val="center"/>
              <w:rPr>
                <w:szCs w:val="20"/>
              </w:rPr>
            </w:pPr>
            <w:r w:rsidRPr="00485B33">
              <w:rPr>
                <w:rFonts w:ascii="Calibri" w:hAnsi="Calibri" w:cs="Calibri"/>
                <w:color w:val="000000"/>
                <w:szCs w:val="20"/>
              </w:rPr>
              <w:t>-5,99%</w:t>
            </w:r>
          </w:p>
        </w:tc>
        <w:tc>
          <w:tcPr>
            <w:tcW w:w="1080" w:type="dxa"/>
            <w:vAlign w:val="center"/>
          </w:tcPr>
          <w:p w14:paraId="735B837E" w14:textId="77777777" w:rsidR="00F33E5C" w:rsidRPr="00485B33" w:rsidRDefault="00F33E5C" w:rsidP="000878F6">
            <w:pPr>
              <w:pStyle w:val="Table"/>
              <w:jc w:val="center"/>
              <w:rPr>
                <w:szCs w:val="20"/>
              </w:rPr>
            </w:pPr>
            <w:r w:rsidRPr="00485B33">
              <w:rPr>
                <w:rFonts w:ascii="Calibri" w:hAnsi="Calibri" w:cs="Calibri"/>
                <w:color w:val="000000"/>
                <w:szCs w:val="20"/>
              </w:rPr>
              <w:t>-5,99%</w:t>
            </w:r>
          </w:p>
        </w:tc>
        <w:tc>
          <w:tcPr>
            <w:tcW w:w="990" w:type="dxa"/>
            <w:vAlign w:val="center"/>
          </w:tcPr>
          <w:p w14:paraId="18D06CEA" w14:textId="77777777" w:rsidR="00F33E5C" w:rsidRPr="00485B33" w:rsidRDefault="00F33E5C" w:rsidP="000878F6">
            <w:pPr>
              <w:pStyle w:val="Table"/>
              <w:jc w:val="center"/>
              <w:rPr>
                <w:szCs w:val="20"/>
              </w:rPr>
            </w:pPr>
            <w:r w:rsidRPr="00485B33">
              <w:rPr>
                <w:rFonts w:ascii="Calibri" w:hAnsi="Calibri" w:cs="Calibri"/>
                <w:color w:val="000000"/>
                <w:szCs w:val="20"/>
              </w:rPr>
              <w:t>1,04</w:t>
            </w:r>
          </w:p>
        </w:tc>
        <w:tc>
          <w:tcPr>
            <w:tcW w:w="1170" w:type="dxa"/>
            <w:vAlign w:val="center"/>
          </w:tcPr>
          <w:p w14:paraId="0EEF1551" w14:textId="77777777" w:rsidR="00F33E5C" w:rsidRPr="00485B33" w:rsidRDefault="00F33E5C" w:rsidP="000878F6">
            <w:pPr>
              <w:pStyle w:val="Table"/>
              <w:jc w:val="center"/>
              <w:rPr>
                <w:szCs w:val="20"/>
              </w:rPr>
            </w:pPr>
            <w:r w:rsidRPr="00485B33">
              <w:rPr>
                <w:rFonts w:ascii="Calibri" w:hAnsi="Calibri" w:cs="Calibri"/>
                <w:color w:val="000000"/>
                <w:szCs w:val="20"/>
              </w:rPr>
              <w:t>1,17</w:t>
            </w:r>
          </w:p>
        </w:tc>
        <w:tc>
          <w:tcPr>
            <w:tcW w:w="1170" w:type="dxa"/>
            <w:vAlign w:val="center"/>
          </w:tcPr>
          <w:p w14:paraId="051182C5" w14:textId="77777777" w:rsidR="00F33E5C" w:rsidRPr="00485B33" w:rsidRDefault="00F33E5C" w:rsidP="000878F6">
            <w:pPr>
              <w:pStyle w:val="Table"/>
              <w:jc w:val="center"/>
              <w:rPr>
                <w:szCs w:val="20"/>
              </w:rPr>
            </w:pPr>
            <w:r w:rsidRPr="00485B33">
              <w:rPr>
                <w:rFonts w:ascii="Calibri" w:hAnsi="Calibri" w:cs="Calibri"/>
                <w:color w:val="000000"/>
                <w:szCs w:val="20"/>
              </w:rPr>
              <w:t>2,91%</w:t>
            </w:r>
          </w:p>
        </w:tc>
        <w:tc>
          <w:tcPr>
            <w:tcW w:w="1276" w:type="dxa"/>
            <w:vAlign w:val="center"/>
          </w:tcPr>
          <w:p w14:paraId="0BD277D7" w14:textId="77777777" w:rsidR="00F33E5C" w:rsidRPr="00485B33" w:rsidRDefault="00F33E5C" w:rsidP="000878F6">
            <w:pPr>
              <w:pStyle w:val="Table"/>
              <w:jc w:val="center"/>
              <w:rPr>
                <w:szCs w:val="20"/>
              </w:rPr>
            </w:pPr>
            <w:r w:rsidRPr="00485B33">
              <w:rPr>
                <w:rFonts w:ascii="Calibri" w:hAnsi="Calibri" w:cs="Calibri"/>
                <w:color w:val="000000"/>
                <w:szCs w:val="20"/>
              </w:rPr>
              <w:t>3,29%</w:t>
            </w:r>
          </w:p>
        </w:tc>
      </w:tr>
      <w:tr w:rsidR="00F33E5C" w:rsidRPr="001840EB" w14:paraId="7A21915C" w14:textId="77777777" w:rsidTr="001A6AFA">
        <w:tc>
          <w:tcPr>
            <w:tcW w:w="2160" w:type="dxa"/>
          </w:tcPr>
          <w:p w14:paraId="1ACF7884" w14:textId="77777777" w:rsidR="00F33E5C" w:rsidRPr="00F501DA" w:rsidRDefault="00F33E5C" w:rsidP="000878F6">
            <w:pPr>
              <w:pStyle w:val="Table"/>
            </w:pPr>
            <w:r w:rsidRPr="00F501DA">
              <w:t>Pesticides</w:t>
            </w:r>
          </w:p>
        </w:tc>
        <w:tc>
          <w:tcPr>
            <w:tcW w:w="1080" w:type="dxa"/>
            <w:vAlign w:val="center"/>
          </w:tcPr>
          <w:p w14:paraId="244F1FCB" w14:textId="77777777" w:rsidR="00F33E5C" w:rsidRPr="00485B33" w:rsidRDefault="00F33E5C" w:rsidP="000878F6">
            <w:pPr>
              <w:pStyle w:val="Table"/>
              <w:jc w:val="center"/>
              <w:rPr>
                <w:szCs w:val="20"/>
              </w:rPr>
            </w:pPr>
            <w:r w:rsidRPr="00485B33">
              <w:rPr>
                <w:rFonts w:ascii="Calibri" w:hAnsi="Calibri" w:cs="Calibri"/>
                <w:color w:val="000000"/>
                <w:szCs w:val="20"/>
              </w:rPr>
              <w:t>n/a</w:t>
            </w:r>
          </w:p>
        </w:tc>
        <w:tc>
          <w:tcPr>
            <w:tcW w:w="1080" w:type="dxa"/>
            <w:vAlign w:val="center"/>
          </w:tcPr>
          <w:p w14:paraId="0A837F4C" w14:textId="77777777" w:rsidR="00F33E5C" w:rsidRPr="00485B33" w:rsidRDefault="00F33E5C" w:rsidP="000878F6">
            <w:pPr>
              <w:pStyle w:val="Table"/>
              <w:jc w:val="center"/>
              <w:rPr>
                <w:szCs w:val="20"/>
              </w:rPr>
            </w:pPr>
            <w:r w:rsidRPr="00485B33">
              <w:rPr>
                <w:rFonts w:ascii="Calibri" w:hAnsi="Calibri" w:cs="Calibri"/>
                <w:color w:val="000000"/>
                <w:szCs w:val="20"/>
              </w:rPr>
              <w:t>n/a</w:t>
            </w:r>
          </w:p>
        </w:tc>
        <w:tc>
          <w:tcPr>
            <w:tcW w:w="990" w:type="dxa"/>
            <w:vAlign w:val="center"/>
          </w:tcPr>
          <w:p w14:paraId="71B74433" w14:textId="77777777" w:rsidR="00F33E5C" w:rsidRPr="00485B33" w:rsidRDefault="00F33E5C" w:rsidP="000878F6">
            <w:pPr>
              <w:pStyle w:val="Table"/>
              <w:jc w:val="center"/>
              <w:rPr>
                <w:szCs w:val="20"/>
              </w:rPr>
            </w:pPr>
            <w:r w:rsidRPr="00485B33">
              <w:rPr>
                <w:rFonts w:ascii="Calibri" w:hAnsi="Calibri" w:cs="Calibri"/>
                <w:color w:val="000000"/>
                <w:szCs w:val="20"/>
              </w:rPr>
              <w:t>1,59</w:t>
            </w:r>
          </w:p>
        </w:tc>
        <w:tc>
          <w:tcPr>
            <w:tcW w:w="1170" w:type="dxa"/>
            <w:vAlign w:val="center"/>
          </w:tcPr>
          <w:p w14:paraId="1EC03E35" w14:textId="77777777" w:rsidR="00F33E5C" w:rsidRPr="00485B33" w:rsidRDefault="00F33E5C" w:rsidP="000878F6">
            <w:pPr>
              <w:pStyle w:val="Table"/>
              <w:jc w:val="center"/>
              <w:rPr>
                <w:szCs w:val="20"/>
              </w:rPr>
            </w:pPr>
            <w:r w:rsidRPr="00485B33">
              <w:rPr>
                <w:rFonts w:ascii="Calibri" w:hAnsi="Calibri" w:cs="Calibri"/>
                <w:color w:val="000000"/>
                <w:szCs w:val="20"/>
              </w:rPr>
              <w:t>1,59</w:t>
            </w:r>
          </w:p>
        </w:tc>
        <w:tc>
          <w:tcPr>
            <w:tcW w:w="1170" w:type="dxa"/>
            <w:vAlign w:val="center"/>
          </w:tcPr>
          <w:p w14:paraId="501F3D76" w14:textId="77777777" w:rsidR="00F33E5C" w:rsidRPr="00485B33" w:rsidRDefault="00F33E5C" w:rsidP="000878F6">
            <w:pPr>
              <w:pStyle w:val="Table"/>
              <w:jc w:val="center"/>
              <w:rPr>
                <w:szCs w:val="20"/>
              </w:rPr>
            </w:pPr>
            <w:r w:rsidRPr="00485B33">
              <w:rPr>
                <w:rFonts w:ascii="Calibri" w:hAnsi="Calibri" w:cs="Calibri"/>
                <w:color w:val="000000"/>
                <w:szCs w:val="20"/>
              </w:rPr>
              <w:t>4,47%</w:t>
            </w:r>
          </w:p>
        </w:tc>
        <w:tc>
          <w:tcPr>
            <w:tcW w:w="1276" w:type="dxa"/>
            <w:vAlign w:val="center"/>
          </w:tcPr>
          <w:p w14:paraId="5985B946" w14:textId="77777777" w:rsidR="00F33E5C" w:rsidRPr="00485B33" w:rsidRDefault="00F33E5C" w:rsidP="000878F6">
            <w:pPr>
              <w:pStyle w:val="Table"/>
              <w:jc w:val="center"/>
              <w:rPr>
                <w:szCs w:val="20"/>
              </w:rPr>
            </w:pPr>
            <w:r w:rsidRPr="00485B33">
              <w:rPr>
                <w:rFonts w:ascii="Calibri" w:hAnsi="Calibri" w:cs="Calibri"/>
                <w:color w:val="000000"/>
                <w:szCs w:val="20"/>
              </w:rPr>
              <w:t>4,47%</w:t>
            </w:r>
          </w:p>
        </w:tc>
      </w:tr>
      <w:tr w:rsidR="00F33E5C" w:rsidRPr="001840EB" w14:paraId="6B8E810D" w14:textId="77777777" w:rsidTr="001A6AFA">
        <w:tc>
          <w:tcPr>
            <w:tcW w:w="2160" w:type="dxa"/>
          </w:tcPr>
          <w:p w14:paraId="74D27BF1" w14:textId="77777777" w:rsidR="00F33E5C" w:rsidRPr="00F501DA" w:rsidRDefault="00F33E5C" w:rsidP="000878F6">
            <w:pPr>
              <w:pStyle w:val="Table"/>
            </w:pPr>
            <w:r w:rsidRPr="00F501DA">
              <w:t>Waste Incineration</w:t>
            </w:r>
          </w:p>
        </w:tc>
        <w:tc>
          <w:tcPr>
            <w:tcW w:w="1080" w:type="dxa"/>
            <w:vAlign w:val="center"/>
          </w:tcPr>
          <w:p w14:paraId="49E9C09D" w14:textId="77777777" w:rsidR="00F33E5C" w:rsidRPr="00485B33" w:rsidRDefault="00F33E5C" w:rsidP="000878F6">
            <w:pPr>
              <w:pStyle w:val="Table"/>
              <w:jc w:val="center"/>
              <w:rPr>
                <w:szCs w:val="20"/>
              </w:rPr>
            </w:pPr>
            <w:r w:rsidRPr="00485B33">
              <w:rPr>
                <w:rFonts w:ascii="Calibri" w:hAnsi="Calibri" w:cs="Calibri"/>
                <w:color w:val="000000"/>
                <w:szCs w:val="20"/>
              </w:rPr>
              <w:t>-20,00%</w:t>
            </w:r>
          </w:p>
        </w:tc>
        <w:tc>
          <w:tcPr>
            <w:tcW w:w="1080" w:type="dxa"/>
            <w:vAlign w:val="center"/>
          </w:tcPr>
          <w:p w14:paraId="278F2ED0" w14:textId="77777777" w:rsidR="00F33E5C" w:rsidRPr="00485B33" w:rsidRDefault="00F33E5C" w:rsidP="000878F6">
            <w:pPr>
              <w:pStyle w:val="Table"/>
              <w:jc w:val="center"/>
              <w:rPr>
                <w:szCs w:val="20"/>
              </w:rPr>
            </w:pPr>
            <w:r w:rsidRPr="00485B33">
              <w:rPr>
                <w:rFonts w:ascii="Calibri" w:hAnsi="Calibri" w:cs="Calibri"/>
                <w:color w:val="000000"/>
                <w:szCs w:val="20"/>
              </w:rPr>
              <w:t>-20,00%</w:t>
            </w:r>
          </w:p>
        </w:tc>
        <w:tc>
          <w:tcPr>
            <w:tcW w:w="990" w:type="dxa"/>
            <w:vAlign w:val="center"/>
          </w:tcPr>
          <w:p w14:paraId="3B03AAFE" w14:textId="77777777" w:rsidR="00F33E5C" w:rsidRPr="00485B33" w:rsidRDefault="00F33E5C" w:rsidP="000878F6">
            <w:pPr>
              <w:pStyle w:val="Table"/>
              <w:jc w:val="center"/>
              <w:rPr>
                <w:szCs w:val="20"/>
              </w:rPr>
            </w:pPr>
            <w:r w:rsidRPr="00485B33">
              <w:rPr>
                <w:rFonts w:ascii="Calibri" w:hAnsi="Calibri" w:cs="Calibri"/>
                <w:color w:val="000000"/>
                <w:szCs w:val="20"/>
              </w:rPr>
              <w:t>0,00</w:t>
            </w:r>
          </w:p>
        </w:tc>
        <w:tc>
          <w:tcPr>
            <w:tcW w:w="1170" w:type="dxa"/>
            <w:vAlign w:val="center"/>
          </w:tcPr>
          <w:p w14:paraId="16C3AC6A" w14:textId="77777777" w:rsidR="00F33E5C" w:rsidRPr="00485B33" w:rsidRDefault="00F33E5C" w:rsidP="000878F6">
            <w:pPr>
              <w:pStyle w:val="Table"/>
              <w:jc w:val="center"/>
              <w:rPr>
                <w:szCs w:val="20"/>
              </w:rPr>
            </w:pPr>
            <w:r w:rsidRPr="00485B33">
              <w:rPr>
                <w:rFonts w:ascii="Calibri" w:hAnsi="Calibri" w:cs="Calibri"/>
                <w:color w:val="000000"/>
                <w:szCs w:val="20"/>
              </w:rPr>
              <w:t>0,00</w:t>
            </w:r>
          </w:p>
        </w:tc>
        <w:tc>
          <w:tcPr>
            <w:tcW w:w="1170" w:type="dxa"/>
            <w:vAlign w:val="center"/>
          </w:tcPr>
          <w:p w14:paraId="6BBA25B0" w14:textId="77777777" w:rsidR="00F33E5C" w:rsidRPr="00485B33" w:rsidRDefault="00F33E5C" w:rsidP="000878F6">
            <w:pPr>
              <w:pStyle w:val="Table"/>
              <w:jc w:val="center"/>
              <w:rPr>
                <w:szCs w:val="20"/>
              </w:rPr>
            </w:pPr>
            <w:r w:rsidRPr="00485B33">
              <w:rPr>
                <w:rFonts w:ascii="Calibri" w:hAnsi="Calibri" w:cs="Calibri"/>
                <w:color w:val="000000"/>
                <w:szCs w:val="20"/>
              </w:rPr>
              <w:t>0,00%</w:t>
            </w:r>
          </w:p>
        </w:tc>
        <w:tc>
          <w:tcPr>
            <w:tcW w:w="1276" w:type="dxa"/>
            <w:vAlign w:val="center"/>
          </w:tcPr>
          <w:p w14:paraId="5F44C034" w14:textId="77777777" w:rsidR="00F33E5C" w:rsidRPr="00485B33" w:rsidRDefault="00F33E5C" w:rsidP="000878F6">
            <w:pPr>
              <w:pStyle w:val="Table"/>
              <w:jc w:val="center"/>
              <w:rPr>
                <w:szCs w:val="20"/>
              </w:rPr>
            </w:pPr>
            <w:r w:rsidRPr="00485B33">
              <w:rPr>
                <w:rFonts w:ascii="Calibri" w:hAnsi="Calibri" w:cs="Calibri"/>
                <w:color w:val="000000"/>
                <w:szCs w:val="20"/>
              </w:rPr>
              <w:t>0,00%</w:t>
            </w:r>
          </w:p>
        </w:tc>
      </w:tr>
      <w:tr w:rsidR="00F33E5C" w:rsidRPr="001840EB" w14:paraId="5C7C01E5" w14:textId="77777777" w:rsidTr="001A6AFA">
        <w:tc>
          <w:tcPr>
            <w:tcW w:w="2160" w:type="dxa"/>
          </w:tcPr>
          <w:p w14:paraId="54F9BAB8" w14:textId="77777777" w:rsidR="00F33E5C" w:rsidRPr="00F501DA" w:rsidRDefault="00F33E5C" w:rsidP="000878F6">
            <w:pPr>
              <w:pStyle w:val="Table"/>
            </w:pPr>
            <w:r w:rsidRPr="00F501DA">
              <w:t>Waste to Landfill</w:t>
            </w:r>
          </w:p>
        </w:tc>
        <w:tc>
          <w:tcPr>
            <w:tcW w:w="1080" w:type="dxa"/>
            <w:vAlign w:val="center"/>
          </w:tcPr>
          <w:p w14:paraId="0B7D0D5F" w14:textId="77777777" w:rsidR="00F33E5C" w:rsidRPr="00485B33" w:rsidRDefault="00F33E5C" w:rsidP="000878F6">
            <w:pPr>
              <w:pStyle w:val="Table"/>
              <w:jc w:val="center"/>
              <w:rPr>
                <w:szCs w:val="20"/>
              </w:rPr>
            </w:pPr>
            <w:r w:rsidRPr="00485B33">
              <w:rPr>
                <w:rFonts w:ascii="Calibri" w:hAnsi="Calibri" w:cs="Calibri"/>
                <w:color w:val="000000"/>
                <w:szCs w:val="20"/>
              </w:rPr>
              <w:t>-22,66%</w:t>
            </w:r>
          </w:p>
        </w:tc>
        <w:tc>
          <w:tcPr>
            <w:tcW w:w="1080" w:type="dxa"/>
            <w:vAlign w:val="center"/>
          </w:tcPr>
          <w:p w14:paraId="5776B7E6" w14:textId="77777777" w:rsidR="00F33E5C" w:rsidRPr="00485B33" w:rsidRDefault="00F33E5C" w:rsidP="000878F6">
            <w:pPr>
              <w:pStyle w:val="Table"/>
              <w:jc w:val="center"/>
              <w:rPr>
                <w:szCs w:val="20"/>
              </w:rPr>
            </w:pPr>
            <w:r w:rsidRPr="00485B33">
              <w:rPr>
                <w:rFonts w:ascii="Calibri" w:hAnsi="Calibri" w:cs="Calibri"/>
                <w:color w:val="000000"/>
                <w:szCs w:val="20"/>
              </w:rPr>
              <w:t>-22,66%</w:t>
            </w:r>
          </w:p>
        </w:tc>
        <w:tc>
          <w:tcPr>
            <w:tcW w:w="990" w:type="dxa"/>
            <w:vAlign w:val="center"/>
          </w:tcPr>
          <w:p w14:paraId="0079C9DA" w14:textId="77777777" w:rsidR="00F33E5C" w:rsidRPr="00485B33" w:rsidRDefault="00F33E5C" w:rsidP="000878F6">
            <w:pPr>
              <w:pStyle w:val="Table"/>
              <w:jc w:val="center"/>
              <w:rPr>
                <w:szCs w:val="20"/>
              </w:rPr>
            </w:pPr>
            <w:r w:rsidRPr="00485B33">
              <w:rPr>
                <w:rFonts w:ascii="Calibri" w:hAnsi="Calibri" w:cs="Calibri"/>
                <w:color w:val="000000"/>
                <w:szCs w:val="20"/>
              </w:rPr>
              <w:t>147,28</w:t>
            </w:r>
          </w:p>
        </w:tc>
        <w:tc>
          <w:tcPr>
            <w:tcW w:w="1170" w:type="dxa"/>
            <w:vAlign w:val="center"/>
          </w:tcPr>
          <w:p w14:paraId="5B4154C2" w14:textId="77777777" w:rsidR="00F33E5C" w:rsidRPr="00485B33" w:rsidRDefault="00F33E5C" w:rsidP="000878F6">
            <w:pPr>
              <w:pStyle w:val="Table"/>
              <w:jc w:val="center"/>
              <w:rPr>
                <w:szCs w:val="20"/>
              </w:rPr>
            </w:pPr>
            <w:r w:rsidRPr="00485B33">
              <w:rPr>
                <w:rFonts w:ascii="Calibri" w:hAnsi="Calibri" w:cs="Calibri"/>
                <w:color w:val="000000"/>
                <w:szCs w:val="20"/>
              </w:rPr>
              <w:t>158,70</w:t>
            </w:r>
          </w:p>
        </w:tc>
        <w:tc>
          <w:tcPr>
            <w:tcW w:w="1170" w:type="dxa"/>
            <w:vAlign w:val="center"/>
          </w:tcPr>
          <w:p w14:paraId="745D88E4" w14:textId="77777777" w:rsidR="00F33E5C" w:rsidRPr="00485B33" w:rsidRDefault="00F33E5C" w:rsidP="000878F6">
            <w:pPr>
              <w:pStyle w:val="Table"/>
              <w:jc w:val="center"/>
              <w:rPr>
                <w:szCs w:val="20"/>
              </w:rPr>
            </w:pPr>
            <w:r w:rsidRPr="00485B33">
              <w:rPr>
                <w:rFonts w:ascii="Calibri" w:hAnsi="Calibri" w:cs="Calibri"/>
                <w:color w:val="000000"/>
                <w:szCs w:val="20"/>
              </w:rPr>
              <w:t>412,79%</w:t>
            </w:r>
          </w:p>
        </w:tc>
        <w:tc>
          <w:tcPr>
            <w:tcW w:w="1276" w:type="dxa"/>
            <w:vAlign w:val="center"/>
          </w:tcPr>
          <w:p w14:paraId="43598625" w14:textId="77777777" w:rsidR="00F33E5C" w:rsidRPr="00485B33" w:rsidRDefault="00F33E5C" w:rsidP="000878F6">
            <w:pPr>
              <w:pStyle w:val="Table"/>
              <w:jc w:val="center"/>
              <w:rPr>
                <w:szCs w:val="20"/>
              </w:rPr>
            </w:pPr>
            <w:r w:rsidRPr="00485B33">
              <w:rPr>
                <w:rFonts w:ascii="Calibri" w:hAnsi="Calibri" w:cs="Calibri"/>
                <w:color w:val="000000"/>
                <w:szCs w:val="20"/>
              </w:rPr>
              <w:t>444,78%</w:t>
            </w:r>
          </w:p>
        </w:tc>
      </w:tr>
      <w:tr w:rsidR="00F33E5C" w:rsidRPr="001840EB" w14:paraId="202F639D" w14:textId="77777777" w:rsidTr="001A6AFA">
        <w:tc>
          <w:tcPr>
            <w:tcW w:w="2160" w:type="dxa"/>
          </w:tcPr>
          <w:p w14:paraId="1C61A0D6" w14:textId="77777777" w:rsidR="00F33E5C" w:rsidRPr="00F501DA" w:rsidRDefault="00F33E5C" w:rsidP="000878F6">
            <w:pPr>
              <w:pStyle w:val="Table"/>
            </w:pPr>
            <w:r w:rsidRPr="00F501DA">
              <w:t>Water Effluent</w:t>
            </w:r>
          </w:p>
        </w:tc>
        <w:tc>
          <w:tcPr>
            <w:tcW w:w="1080" w:type="dxa"/>
            <w:vAlign w:val="center"/>
          </w:tcPr>
          <w:p w14:paraId="6863E1C5" w14:textId="77777777" w:rsidR="00F33E5C" w:rsidRPr="00485B33" w:rsidRDefault="00F33E5C" w:rsidP="000878F6">
            <w:pPr>
              <w:pStyle w:val="Table"/>
              <w:jc w:val="center"/>
              <w:rPr>
                <w:szCs w:val="20"/>
              </w:rPr>
            </w:pPr>
            <w:r w:rsidRPr="00485B33">
              <w:rPr>
                <w:rFonts w:ascii="Calibri" w:hAnsi="Calibri" w:cs="Calibri"/>
                <w:color w:val="000000"/>
                <w:szCs w:val="20"/>
              </w:rPr>
              <w:t>-11,12%</w:t>
            </w:r>
          </w:p>
        </w:tc>
        <w:tc>
          <w:tcPr>
            <w:tcW w:w="1080" w:type="dxa"/>
            <w:vAlign w:val="center"/>
          </w:tcPr>
          <w:p w14:paraId="5AD92CF7" w14:textId="77777777" w:rsidR="00F33E5C" w:rsidRPr="00485B33" w:rsidRDefault="00F33E5C" w:rsidP="000878F6">
            <w:pPr>
              <w:pStyle w:val="Table"/>
              <w:jc w:val="center"/>
              <w:rPr>
                <w:szCs w:val="20"/>
              </w:rPr>
            </w:pPr>
            <w:r w:rsidRPr="00485B33">
              <w:rPr>
                <w:rFonts w:ascii="Calibri" w:hAnsi="Calibri" w:cs="Calibri"/>
                <w:color w:val="000000"/>
                <w:szCs w:val="20"/>
              </w:rPr>
              <w:t>-11,12%</w:t>
            </w:r>
          </w:p>
        </w:tc>
        <w:tc>
          <w:tcPr>
            <w:tcW w:w="990" w:type="dxa"/>
            <w:vAlign w:val="center"/>
          </w:tcPr>
          <w:p w14:paraId="589ED6DF" w14:textId="77777777" w:rsidR="00F33E5C" w:rsidRPr="00485B33" w:rsidRDefault="00F33E5C" w:rsidP="000878F6">
            <w:pPr>
              <w:pStyle w:val="Table"/>
              <w:jc w:val="center"/>
              <w:rPr>
                <w:szCs w:val="20"/>
              </w:rPr>
            </w:pPr>
            <w:r w:rsidRPr="00485B33">
              <w:rPr>
                <w:rFonts w:ascii="Calibri" w:hAnsi="Calibri" w:cs="Calibri"/>
                <w:color w:val="000000"/>
                <w:szCs w:val="20"/>
              </w:rPr>
              <w:t>52,64</w:t>
            </w:r>
          </w:p>
        </w:tc>
        <w:tc>
          <w:tcPr>
            <w:tcW w:w="1170" w:type="dxa"/>
            <w:vAlign w:val="center"/>
          </w:tcPr>
          <w:p w14:paraId="60A60C5D" w14:textId="77777777" w:rsidR="00F33E5C" w:rsidRPr="00485B33" w:rsidRDefault="00F33E5C" w:rsidP="000878F6">
            <w:pPr>
              <w:pStyle w:val="Table"/>
              <w:jc w:val="center"/>
              <w:rPr>
                <w:szCs w:val="20"/>
              </w:rPr>
            </w:pPr>
            <w:r w:rsidRPr="00485B33">
              <w:rPr>
                <w:rFonts w:ascii="Calibri" w:hAnsi="Calibri" w:cs="Calibri"/>
                <w:color w:val="000000"/>
                <w:szCs w:val="20"/>
              </w:rPr>
              <w:t>52,09</w:t>
            </w:r>
          </w:p>
        </w:tc>
        <w:tc>
          <w:tcPr>
            <w:tcW w:w="1170" w:type="dxa"/>
            <w:vAlign w:val="center"/>
          </w:tcPr>
          <w:p w14:paraId="5D354671" w14:textId="77777777" w:rsidR="00F33E5C" w:rsidRPr="00485B33" w:rsidRDefault="00F33E5C" w:rsidP="000878F6">
            <w:pPr>
              <w:pStyle w:val="Table"/>
              <w:jc w:val="center"/>
              <w:rPr>
                <w:szCs w:val="20"/>
              </w:rPr>
            </w:pPr>
            <w:r w:rsidRPr="00485B33">
              <w:rPr>
                <w:rFonts w:ascii="Calibri" w:hAnsi="Calibri" w:cs="Calibri"/>
                <w:color w:val="000000"/>
                <w:szCs w:val="20"/>
              </w:rPr>
              <w:t>147,54%</w:t>
            </w:r>
          </w:p>
        </w:tc>
        <w:tc>
          <w:tcPr>
            <w:tcW w:w="1276" w:type="dxa"/>
            <w:vAlign w:val="center"/>
          </w:tcPr>
          <w:p w14:paraId="5FDC4427" w14:textId="77777777" w:rsidR="00F33E5C" w:rsidRPr="00485B33" w:rsidRDefault="00F33E5C" w:rsidP="000878F6">
            <w:pPr>
              <w:pStyle w:val="Table"/>
              <w:jc w:val="center"/>
              <w:rPr>
                <w:szCs w:val="20"/>
              </w:rPr>
            </w:pPr>
            <w:r w:rsidRPr="00485B33">
              <w:rPr>
                <w:rFonts w:ascii="Calibri" w:hAnsi="Calibri" w:cs="Calibri"/>
                <w:color w:val="000000"/>
                <w:szCs w:val="20"/>
              </w:rPr>
              <w:t>146,00%</w:t>
            </w:r>
          </w:p>
        </w:tc>
      </w:tr>
      <w:tr w:rsidR="00F33E5C" w:rsidRPr="001840EB" w14:paraId="5300E227" w14:textId="77777777" w:rsidTr="001A6AFA">
        <w:tc>
          <w:tcPr>
            <w:tcW w:w="2160" w:type="dxa"/>
          </w:tcPr>
          <w:p w14:paraId="550D3089" w14:textId="77777777" w:rsidR="00F33E5C" w:rsidRPr="00877F58" w:rsidRDefault="00F33E5C" w:rsidP="000878F6">
            <w:pPr>
              <w:pStyle w:val="Table"/>
            </w:pPr>
            <w:r w:rsidRPr="00877F58">
              <w:t>Minerals &amp; Aggregates</w:t>
            </w:r>
          </w:p>
        </w:tc>
        <w:tc>
          <w:tcPr>
            <w:tcW w:w="1080" w:type="dxa"/>
            <w:vAlign w:val="center"/>
          </w:tcPr>
          <w:p w14:paraId="760BE1F1" w14:textId="77777777" w:rsidR="00F33E5C" w:rsidRPr="00485B33" w:rsidRDefault="00F33E5C" w:rsidP="000878F6">
            <w:pPr>
              <w:pStyle w:val="Table"/>
              <w:jc w:val="center"/>
              <w:rPr>
                <w:szCs w:val="20"/>
              </w:rPr>
            </w:pPr>
            <w:r w:rsidRPr="00485B33">
              <w:rPr>
                <w:rFonts w:ascii="Calibri" w:hAnsi="Calibri" w:cs="Calibri"/>
                <w:color w:val="000000"/>
                <w:szCs w:val="20"/>
              </w:rPr>
              <w:t>-33,56%</w:t>
            </w:r>
          </w:p>
        </w:tc>
        <w:tc>
          <w:tcPr>
            <w:tcW w:w="1080" w:type="dxa"/>
            <w:vAlign w:val="center"/>
          </w:tcPr>
          <w:p w14:paraId="40E7C327" w14:textId="77777777" w:rsidR="00F33E5C" w:rsidRPr="00485B33" w:rsidRDefault="00F33E5C" w:rsidP="000878F6">
            <w:pPr>
              <w:pStyle w:val="Table"/>
              <w:jc w:val="center"/>
              <w:rPr>
                <w:szCs w:val="20"/>
              </w:rPr>
            </w:pPr>
            <w:r w:rsidRPr="00485B33">
              <w:rPr>
                <w:rFonts w:ascii="Calibri" w:hAnsi="Calibri" w:cs="Calibri"/>
                <w:color w:val="000000"/>
                <w:szCs w:val="20"/>
              </w:rPr>
              <w:t>-33,56%</w:t>
            </w:r>
          </w:p>
        </w:tc>
        <w:tc>
          <w:tcPr>
            <w:tcW w:w="990" w:type="dxa"/>
            <w:vAlign w:val="center"/>
          </w:tcPr>
          <w:p w14:paraId="16367887" w14:textId="77777777" w:rsidR="00F33E5C" w:rsidRPr="00485B33" w:rsidRDefault="00F33E5C" w:rsidP="000878F6">
            <w:pPr>
              <w:pStyle w:val="Table"/>
              <w:jc w:val="center"/>
              <w:rPr>
                <w:szCs w:val="20"/>
              </w:rPr>
            </w:pPr>
            <w:r w:rsidRPr="00485B33">
              <w:rPr>
                <w:rFonts w:ascii="Calibri" w:hAnsi="Calibri" w:cs="Calibri"/>
                <w:color w:val="000000"/>
                <w:szCs w:val="20"/>
              </w:rPr>
              <w:t>34,07</w:t>
            </w:r>
          </w:p>
        </w:tc>
        <w:tc>
          <w:tcPr>
            <w:tcW w:w="1170" w:type="dxa"/>
            <w:vAlign w:val="center"/>
          </w:tcPr>
          <w:p w14:paraId="42BA7FDA" w14:textId="77777777" w:rsidR="00F33E5C" w:rsidRPr="00485B33" w:rsidRDefault="00F33E5C" w:rsidP="000878F6">
            <w:pPr>
              <w:pStyle w:val="Table"/>
              <w:jc w:val="center"/>
              <w:rPr>
                <w:szCs w:val="20"/>
              </w:rPr>
            </w:pPr>
            <w:r w:rsidRPr="00485B33">
              <w:rPr>
                <w:rFonts w:ascii="Calibri" w:hAnsi="Calibri" w:cs="Calibri"/>
                <w:color w:val="000000"/>
                <w:szCs w:val="20"/>
              </w:rPr>
              <w:t>35,61</w:t>
            </w:r>
          </w:p>
        </w:tc>
        <w:tc>
          <w:tcPr>
            <w:tcW w:w="1170" w:type="dxa"/>
            <w:vAlign w:val="center"/>
          </w:tcPr>
          <w:p w14:paraId="07C79981" w14:textId="77777777" w:rsidR="00F33E5C" w:rsidRPr="00485B33" w:rsidRDefault="00F33E5C" w:rsidP="000878F6">
            <w:pPr>
              <w:pStyle w:val="Table"/>
              <w:jc w:val="center"/>
              <w:rPr>
                <w:szCs w:val="20"/>
              </w:rPr>
            </w:pPr>
            <w:r w:rsidRPr="00485B33">
              <w:rPr>
                <w:rFonts w:ascii="Calibri" w:hAnsi="Calibri" w:cs="Calibri"/>
                <w:color w:val="000000"/>
                <w:szCs w:val="20"/>
              </w:rPr>
              <w:t>212,78%</w:t>
            </w:r>
          </w:p>
        </w:tc>
        <w:tc>
          <w:tcPr>
            <w:tcW w:w="1276" w:type="dxa"/>
            <w:vAlign w:val="center"/>
          </w:tcPr>
          <w:p w14:paraId="0F588C09" w14:textId="77777777" w:rsidR="00F33E5C" w:rsidRPr="00485B33" w:rsidRDefault="00F33E5C" w:rsidP="000878F6">
            <w:pPr>
              <w:pStyle w:val="Table"/>
              <w:jc w:val="center"/>
              <w:rPr>
                <w:szCs w:val="20"/>
              </w:rPr>
            </w:pPr>
            <w:r w:rsidRPr="00485B33">
              <w:rPr>
                <w:rFonts w:ascii="Calibri" w:hAnsi="Calibri" w:cs="Calibri"/>
                <w:color w:val="000000"/>
                <w:szCs w:val="20"/>
              </w:rPr>
              <w:t>222,42%</w:t>
            </w:r>
          </w:p>
        </w:tc>
      </w:tr>
    </w:tbl>
    <w:p w14:paraId="63F0C470" w14:textId="77777777" w:rsidR="00F33E5C" w:rsidRDefault="00F33E5C" w:rsidP="00F33E5C">
      <w:pPr>
        <w:rPr>
          <w:b/>
          <w:bCs/>
        </w:rPr>
      </w:pPr>
      <w:r>
        <w:rPr>
          <w:b/>
          <w:bCs/>
        </w:rPr>
        <w:t xml:space="preserve"> </w:t>
      </w: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170"/>
        <w:gridCol w:w="1276"/>
      </w:tblGrid>
      <w:tr w:rsidR="00F33E5C" w:rsidRPr="00AF3327" w14:paraId="52386D7D" w14:textId="77777777" w:rsidTr="001A6AFA">
        <w:trPr>
          <w:trHeight w:val="255"/>
          <w:tblHeader/>
        </w:trPr>
        <w:tc>
          <w:tcPr>
            <w:tcW w:w="8926" w:type="dxa"/>
            <w:gridSpan w:val="7"/>
            <w:shd w:val="clear" w:color="auto" w:fill="003399"/>
          </w:tcPr>
          <w:p w14:paraId="26ACE776" w14:textId="713FBC3F" w:rsidR="00F33E5C" w:rsidRPr="00AF3327" w:rsidRDefault="00F33E5C" w:rsidP="000878F6">
            <w:pPr>
              <w:pStyle w:val="Table"/>
              <w:rPr>
                <w:b/>
                <w:color w:val="FFFFFF" w:themeColor="background1"/>
                <w:szCs w:val="20"/>
                <w:lang w:eastAsia="en-GB"/>
              </w:rPr>
            </w:pPr>
            <w:r w:rsidRPr="00AF3327">
              <w:rPr>
                <w:b/>
                <w:color w:val="FFFFFF" w:themeColor="background1"/>
                <w:szCs w:val="20"/>
              </w:rPr>
              <w:t xml:space="preserve">Table </w:t>
            </w:r>
            <w:r w:rsidR="00490085">
              <w:rPr>
                <w:b/>
                <w:bCs/>
                <w:color w:val="FFFFFF" w:themeColor="background1"/>
                <w:szCs w:val="20"/>
              </w:rPr>
              <w:t>A6</w:t>
            </w:r>
            <w:r w:rsidRPr="00AF3327">
              <w:rPr>
                <w:b/>
                <w:bCs/>
                <w:color w:val="FFFFFF" w:themeColor="background1"/>
                <w:szCs w:val="20"/>
              </w:rPr>
              <w:t>-</w:t>
            </w:r>
            <w:r w:rsidRPr="00AF3327">
              <w:rPr>
                <w:b/>
                <w:bCs/>
                <w:color w:val="FFFFFF" w:themeColor="background1"/>
                <w:szCs w:val="20"/>
              </w:rPr>
              <w:fldChar w:fldCharType="begin"/>
            </w:r>
            <w:r w:rsidRPr="00AF3327">
              <w:rPr>
                <w:b/>
                <w:bCs/>
                <w:color w:val="FFFFFF" w:themeColor="background1"/>
                <w:szCs w:val="20"/>
              </w:rPr>
              <w:instrText xml:space="preserve"> SEQ Table_A5- \* ARABIC </w:instrText>
            </w:r>
            <w:r w:rsidRPr="00AF3327">
              <w:rPr>
                <w:b/>
                <w:bCs/>
                <w:color w:val="FFFFFF" w:themeColor="background1"/>
                <w:szCs w:val="20"/>
              </w:rPr>
              <w:fldChar w:fldCharType="separate"/>
            </w:r>
            <w:r>
              <w:rPr>
                <w:b/>
                <w:bCs/>
                <w:noProof/>
                <w:color w:val="FFFFFF" w:themeColor="background1"/>
                <w:szCs w:val="20"/>
              </w:rPr>
              <w:t>49</w:t>
            </w:r>
            <w:r w:rsidRPr="00AF3327">
              <w:rPr>
                <w:b/>
                <w:bCs/>
                <w:color w:val="FFFFFF" w:themeColor="background1"/>
                <w:szCs w:val="20"/>
              </w:rPr>
              <w:fldChar w:fldCharType="end"/>
            </w:r>
            <w:r w:rsidRPr="00AF3327">
              <w:rPr>
                <w:b/>
                <w:bCs/>
                <w:color w:val="FFFFFF" w:themeColor="background1"/>
                <w:szCs w:val="20"/>
              </w:rPr>
              <w:t>:</w:t>
            </w:r>
            <w:r w:rsidRPr="00AF3327">
              <w:rPr>
                <w:b/>
                <w:color w:val="FFFFFF" w:themeColor="background1"/>
                <w:szCs w:val="20"/>
              </w:rPr>
              <w:t xml:space="preserve"> </w:t>
            </w:r>
            <w:r w:rsidRPr="00AF3327">
              <w:rPr>
                <w:b/>
                <w:color w:val="FFFFFF" w:themeColor="background1"/>
                <w:szCs w:val="20"/>
                <w:lang w:eastAsia="en-GB"/>
              </w:rPr>
              <w:t>Environmental Impacts and Revenue Changes in Estonia – Scenario B</w:t>
            </w:r>
          </w:p>
        </w:tc>
      </w:tr>
      <w:tr w:rsidR="00F33E5C" w:rsidRPr="00AF3327" w14:paraId="11764E57" w14:textId="77777777" w:rsidTr="001A6AFA">
        <w:trPr>
          <w:tblHeader/>
        </w:trPr>
        <w:tc>
          <w:tcPr>
            <w:tcW w:w="2160" w:type="dxa"/>
          </w:tcPr>
          <w:p w14:paraId="59CD2329" w14:textId="77777777" w:rsidR="00F33E5C" w:rsidRPr="00AF3327" w:rsidRDefault="00F33E5C" w:rsidP="000878F6">
            <w:pPr>
              <w:pStyle w:val="Table"/>
              <w:rPr>
                <w:b/>
                <w:szCs w:val="20"/>
              </w:rPr>
            </w:pPr>
            <w:r w:rsidRPr="00AF3327">
              <w:rPr>
                <w:b/>
                <w:szCs w:val="20"/>
              </w:rPr>
              <w:t>Tax Name</w:t>
            </w:r>
          </w:p>
        </w:tc>
        <w:tc>
          <w:tcPr>
            <w:tcW w:w="2160" w:type="dxa"/>
            <w:gridSpan w:val="2"/>
            <w:vAlign w:val="bottom"/>
          </w:tcPr>
          <w:p w14:paraId="2DCAB210" w14:textId="77777777" w:rsidR="00F33E5C" w:rsidRPr="00AF3327" w:rsidRDefault="00F33E5C" w:rsidP="000878F6">
            <w:pPr>
              <w:pStyle w:val="Table"/>
              <w:jc w:val="center"/>
              <w:rPr>
                <w:b/>
                <w:szCs w:val="20"/>
              </w:rPr>
            </w:pPr>
            <w:r w:rsidRPr="00AF3327">
              <w:rPr>
                <w:rFonts w:ascii="Calibri" w:hAnsi="Calibri" w:cs="Calibri"/>
                <w:b/>
                <w:bCs/>
                <w:color w:val="000000"/>
                <w:szCs w:val="20"/>
              </w:rPr>
              <w:t>% Change in Quantities as % of taxed sector</w:t>
            </w:r>
          </w:p>
        </w:tc>
        <w:tc>
          <w:tcPr>
            <w:tcW w:w="2160" w:type="dxa"/>
            <w:gridSpan w:val="2"/>
            <w:vAlign w:val="bottom"/>
          </w:tcPr>
          <w:p w14:paraId="541DE54E" w14:textId="77777777" w:rsidR="00F33E5C" w:rsidRPr="00AF3327" w:rsidRDefault="00F33E5C" w:rsidP="000878F6">
            <w:pPr>
              <w:pStyle w:val="Table"/>
              <w:jc w:val="center"/>
              <w:rPr>
                <w:b/>
                <w:szCs w:val="20"/>
              </w:rPr>
            </w:pPr>
            <w:r w:rsidRPr="00AF3327">
              <w:rPr>
                <w:rFonts w:ascii="Calibri" w:hAnsi="Calibri" w:cs="Calibri"/>
                <w:b/>
                <w:bCs/>
                <w:color w:val="000000"/>
                <w:szCs w:val="20"/>
              </w:rPr>
              <w:t>Change in Revenues (€Mn)</w:t>
            </w:r>
          </w:p>
        </w:tc>
        <w:tc>
          <w:tcPr>
            <w:tcW w:w="2446" w:type="dxa"/>
            <w:gridSpan w:val="2"/>
            <w:vAlign w:val="bottom"/>
          </w:tcPr>
          <w:p w14:paraId="19F2C4D8" w14:textId="77777777" w:rsidR="00F33E5C" w:rsidRPr="00AF3327" w:rsidRDefault="00F33E5C" w:rsidP="000878F6">
            <w:pPr>
              <w:pStyle w:val="Table"/>
              <w:jc w:val="center"/>
              <w:rPr>
                <w:b/>
                <w:szCs w:val="20"/>
              </w:rPr>
            </w:pPr>
            <w:r w:rsidRPr="00AF3327">
              <w:rPr>
                <w:rFonts w:ascii="Calibri" w:hAnsi="Calibri" w:cs="Calibri"/>
                <w:b/>
                <w:bCs/>
                <w:color w:val="000000"/>
                <w:szCs w:val="20"/>
              </w:rPr>
              <w:t>As % of 2023 Resource Tax</w:t>
            </w:r>
          </w:p>
        </w:tc>
      </w:tr>
      <w:tr w:rsidR="00F33E5C" w:rsidRPr="00AF3327" w14:paraId="0E70E579" w14:textId="77777777" w:rsidTr="001A6AFA">
        <w:trPr>
          <w:tblHeader/>
        </w:trPr>
        <w:tc>
          <w:tcPr>
            <w:tcW w:w="2160" w:type="dxa"/>
          </w:tcPr>
          <w:p w14:paraId="02A8181B" w14:textId="77777777" w:rsidR="00F33E5C" w:rsidRPr="00AF3327" w:rsidRDefault="00F33E5C" w:rsidP="000878F6">
            <w:pPr>
              <w:pStyle w:val="Table"/>
              <w:jc w:val="left"/>
              <w:rPr>
                <w:b/>
                <w:szCs w:val="20"/>
              </w:rPr>
            </w:pPr>
            <w:r w:rsidRPr="00AF3327">
              <w:rPr>
                <w:b/>
                <w:szCs w:val="20"/>
              </w:rPr>
              <w:t>Year</w:t>
            </w:r>
          </w:p>
        </w:tc>
        <w:tc>
          <w:tcPr>
            <w:tcW w:w="1080" w:type="dxa"/>
          </w:tcPr>
          <w:p w14:paraId="05B175A4" w14:textId="77777777" w:rsidR="00F33E5C" w:rsidRPr="00AF3327" w:rsidRDefault="00F33E5C" w:rsidP="000878F6">
            <w:pPr>
              <w:pStyle w:val="Table"/>
              <w:jc w:val="center"/>
              <w:rPr>
                <w:b/>
                <w:szCs w:val="20"/>
              </w:rPr>
            </w:pPr>
            <w:r w:rsidRPr="00AF3327">
              <w:rPr>
                <w:b/>
                <w:szCs w:val="20"/>
              </w:rPr>
              <w:t>2030</w:t>
            </w:r>
          </w:p>
        </w:tc>
        <w:tc>
          <w:tcPr>
            <w:tcW w:w="1080" w:type="dxa"/>
          </w:tcPr>
          <w:p w14:paraId="03FAC00B" w14:textId="77777777" w:rsidR="00F33E5C" w:rsidRPr="00AF3327" w:rsidRDefault="00F33E5C" w:rsidP="000878F6">
            <w:pPr>
              <w:pStyle w:val="Table"/>
              <w:jc w:val="center"/>
              <w:rPr>
                <w:b/>
                <w:szCs w:val="20"/>
              </w:rPr>
            </w:pPr>
            <w:r w:rsidRPr="00AF3327">
              <w:rPr>
                <w:b/>
                <w:szCs w:val="20"/>
              </w:rPr>
              <w:t>2035</w:t>
            </w:r>
          </w:p>
        </w:tc>
        <w:tc>
          <w:tcPr>
            <w:tcW w:w="990" w:type="dxa"/>
          </w:tcPr>
          <w:p w14:paraId="45A61798" w14:textId="77777777" w:rsidR="00F33E5C" w:rsidRPr="00AF3327" w:rsidRDefault="00F33E5C" w:rsidP="000878F6">
            <w:pPr>
              <w:pStyle w:val="Table"/>
              <w:jc w:val="center"/>
              <w:rPr>
                <w:b/>
                <w:szCs w:val="20"/>
              </w:rPr>
            </w:pPr>
            <w:r w:rsidRPr="00AF3327">
              <w:rPr>
                <w:b/>
                <w:szCs w:val="20"/>
              </w:rPr>
              <w:t>2030</w:t>
            </w:r>
          </w:p>
        </w:tc>
        <w:tc>
          <w:tcPr>
            <w:tcW w:w="1170" w:type="dxa"/>
          </w:tcPr>
          <w:p w14:paraId="0FE3FDE0" w14:textId="77777777" w:rsidR="00F33E5C" w:rsidRPr="00AF3327" w:rsidRDefault="00F33E5C" w:rsidP="000878F6">
            <w:pPr>
              <w:pStyle w:val="Table"/>
              <w:jc w:val="center"/>
              <w:rPr>
                <w:b/>
                <w:szCs w:val="20"/>
              </w:rPr>
            </w:pPr>
            <w:r w:rsidRPr="00AF3327">
              <w:rPr>
                <w:b/>
                <w:szCs w:val="20"/>
              </w:rPr>
              <w:t>2035</w:t>
            </w:r>
          </w:p>
        </w:tc>
        <w:tc>
          <w:tcPr>
            <w:tcW w:w="1170" w:type="dxa"/>
          </w:tcPr>
          <w:p w14:paraId="388F23F6" w14:textId="77777777" w:rsidR="00F33E5C" w:rsidRPr="00AF3327" w:rsidRDefault="00F33E5C" w:rsidP="000878F6">
            <w:pPr>
              <w:pStyle w:val="Table"/>
              <w:jc w:val="center"/>
              <w:rPr>
                <w:b/>
                <w:szCs w:val="20"/>
              </w:rPr>
            </w:pPr>
            <w:r w:rsidRPr="00AF3327">
              <w:rPr>
                <w:b/>
                <w:szCs w:val="20"/>
              </w:rPr>
              <w:t>2030</w:t>
            </w:r>
          </w:p>
        </w:tc>
        <w:tc>
          <w:tcPr>
            <w:tcW w:w="1276" w:type="dxa"/>
          </w:tcPr>
          <w:p w14:paraId="666366F0" w14:textId="77777777" w:rsidR="00F33E5C" w:rsidRPr="00AF3327" w:rsidRDefault="00F33E5C" w:rsidP="000878F6">
            <w:pPr>
              <w:pStyle w:val="Table"/>
              <w:jc w:val="center"/>
              <w:rPr>
                <w:b/>
                <w:szCs w:val="20"/>
              </w:rPr>
            </w:pPr>
            <w:r w:rsidRPr="00AF3327">
              <w:rPr>
                <w:b/>
                <w:szCs w:val="20"/>
              </w:rPr>
              <w:t>2035</w:t>
            </w:r>
          </w:p>
        </w:tc>
      </w:tr>
      <w:tr w:rsidR="00F33E5C" w:rsidRPr="00AF3327" w14:paraId="50D92270" w14:textId="77777777" w:rsidTr="00BA7936">
        <w:tc>
          <w:tcPr>
            <w:tcW w:w="2160" w:type="dxa"/>
          </w:tcPr>
          <w:p w14:paraId="1C201618" w14:textId="77777777" w:rsidR="00F33E5C" w:rsidRPr="00AF3327" w:rsidRDefault="00F33E5C" w:rsidP="000878F6">
            <w:pPr>
              <w:pStyle w:val="Table"/>
              <w:rPr>
                <w:szCs w:val="20"/>
              </w:rPr>
            </w:pPr>
            <w:r w:rsidRPr="00AF3327">
              <w:rPr>
                <w:szCs w:val="20"/>
              </w:rPr>
              <w:t>NOx</w:t>
            </w:r>
          </w:p>
        </w:tc>
        <w:tc>
          <w:tcPr>
            <w:tcW w:w="1080" w:type="dxa"/>
            <w:vAlign w:val="center"/>
          </w:tcPr>
          <w:p w14:paraId="15FC66F8" w14:textId="77777777" w:rsidR="00F33E5C" w:rsidRPr="00AF3327" w:rsidRDefault="00F33E5C" w:rsidP="000878F6">
            <w:pPr>
              <w:pStyle w:val="Table"/>
              <w:jc w:val="center"/>
              <w:rPr>
                <w:szCs w:val="20"/>
              </w:rPr>
            </w:pPr>
            <w:r w:rsidRPr="00AF3327">
              <w:rPr>
                <w:rFonts w:ascii="Calibri" w:hAnsi="Calibri" w:cs="Calibri"/>
                <w:color w:val="000000"/>
                <w:szCs w:val="20"/>
              </w:rPr>
              <w:t>-7,39%</w:t>
            </w:r>
          </w:p>
        </w:tc>
        <w:tc>
          <w:tcPr>
            <w:tcW w:w="1080" w:type="dxa"/>
            <w:vAlign w:val="center"/>
          </w:tcPr>
          <w:p w14:paraId="0F07002E" w14:textId="77777777" w:rsidR="00F33E5C" w:rsidRPr="00AF3327" w:rsidRDefault="00F33E5C" w:rsidP="000878F6">
            <w:pPr>
              <w:pStyle w:val="Table"/>
              <w:jc w:val="center"/>
              <w:rPr>
                <w:szCs w:val="20"/>
              </w:rPr>
            </w:pPr>
            <w:r w:rsidRPr="00AF3327">
              <w:rPr>
                <w:rFonts w:ascii="Calibri" w:hAnsi="Calibri" w:cs="Calibri"/>
                <w:color w:val="000000"/>
                <w:szCs w:val="20"/>
              </w:rPr>
              <w:t>-7,39%</w:t>
            </w:r>
          </w:p>
        </w:tc>
        <w:tc>
          <w:tcPr>
            <w:tcW w:w="990" w:type="dxa"/>
            <w:vAlign w:val="center"/>
          </w:tcPr>
          <w:p w14:paraId="1A9E8E26" w14:textId="77777777" w:rsidR="00F33E5C" w:rsidRPr="00AF3327" w:rsidRDefault="00F33E5C" w:rsidP="000878F6">
            <w:pPr>
              <w:pStyle w:val="Table"/>
              <w:jc w:val="center"/>
              <w:rPr>
                <w:szCs w:val="20"/>
              </w:rPr>
            </w:pPr>
            <w:r w:rsidRPr="00AF3327">
              <w:rPr>
                <w:rFonts w:ascii="Calibri" w:hAnsi="Calibri" w:cs="Calibri"/>
                <w:color w:val="000000"/>
                <w:szCs w:val="20"/>
              </w:rPr>
              <w:t>0,07</w:t>
            </w:r>
          </w:p>
        </w:tc>
        <w:tc>
          <w:tcPr>
            <w:tcW w:w="1170" w:type="dxa"/>
            <w:vAlign w:val="center"/>
          </w:tcPr>
          <w:p w14:paraId="4FC00C70" w14:textId="77777777" w:rsidR="00F33E5C" w:rsidRPr="00AF3327" w:rsidRDefault="00F33E5C" w:rsidP="000878F6">
            <w:pPr>
              <w:pStyle w:val="Table"/>
              <w:jc w:val="center"/>
              <w:rPr>
                <w:szCs w:val="20"/>
              </w:rPr>
            </w:pPr>
            <w:r w:rsidRPr="00AF3327">
              <w:rPr>
                <w:rFonts w:ascii="Calibri" w:hAnsi="Calibri" w:cs="Calibri"/>
                <w:color w:val="000000"/>
                <w:szCs w:val="20"/>
              </w:rPr>
              <w:t>0,08</w:t>
            </w:r>
          </w:p>
        </w:tc>
        <w:tc>
          <w:tcPr>
            <w:tcW w:w="1170" w:type="dxa"/>
            <w:vAlign w:val="center"/>
          </w:tcPr>
          <w:p w14:paraId="15AA0D37" w14:textId="77777777" w:rsidR="00F33E5C" w:rsidRPr="00AF3327" w:rsidRDefault="00F33E5C" w:rsidP="000878F6">
            <w:pPr>
              <w:pStyle w:val="Table"/>
              <w:jc w:val="center"/>
              <w:rPr>
                <w:szCs w:val="20"/>
              </w:rPr>
            </w:pPr>
            <w:r w:rsidRPr="00AF3327">
              <w:rPr>
                <w:rFonts w:ascii="Calibri" w:hAnsi="Calibri" w:cs="Calibri"/>
                <w:color w:val="000000"/>
                <w:szCs w:val="20"/>
              </w:rPr>
              <w:t>0,2%</w:t>
            </w:r>
          </w:p>
        </w:tc>
        <w:tc>
          <w:tcPr>
            <w:tcW w:w="1276" w:type="dxa"/>
            <w:vAlign w:val="center"/>
          </w:tcPr>
          <w:p w14:paraId="37C9B95E" w14:textId="77777777" w:rsidR="00F33E5C" w:rsidRPr="00AF3327" w:rsidRDefault="00F33E5C" w:rsidP="000878F6">
            <w:pPr>
              <w:pStyle w:val="Table"/>
              <w:jc w:val="center"/>
              <w:rPr>
                <w:szCs w:val="20"/>
              </w:rPr>
            </w:pPr>
            <w:r w:rsidRPr="00AF3327">
              <w:rPr>
                <w:rFonts w:ascii="Calibri" w:hAnsi="Calibri" w:cs="Calibri"/>
                <w:color w:val="000000"/>
                <w:szCs w:val="20"/>
              </w:rPr>
              <w:t>0,2%</w:t>
            </w:r>
          </w:p>
        </w:tc>
      </w:tr>
      <w:tr w:rsidR="00F33E5C" w:rsidRPr="00AF3327" w14:paraId="32049474" w14:textId="77777777" w:rsidTr="00BA7936">
        <w:tc>
          <w:tcPr>
            <w:tcW w:w="2160" w:type="dxa"/>
          </w:tcPr>
          <w:p w14:paraId="350B13FB" w14:textId="77777777" w:rsidR="00F33E5C" w:rsidRPr="00AF3327" w:rsidRDefault="00F33E5C" w:rsidP="000878F6">
            <w:pPr>
              <w:pStyle w:val="Table"/>
              <w:rPr>
                <w:szCs w:val="20"/>
              </w:rPr>
            </w:pPr>
            <w:r w:rsidRPr="00AF3327">
              <w:rPr>
                <w:szCs w:val="20"/>
              </w:rPr>
              <w:t>SO2</w:t>
            </w:r>
          </w:p>
        </w:tc>
        <w:tc>
          <w:tcPr>
            <w:tcW w:w="1080" w:type="dxa"/>
            <w:vAlign w:val="center"/>
          </w:tcPr>
          <w:p w14:paraId="050A503D" w14:textId="77777777" w:rsidR="00F33E5C" w:rsidRPr="00AF3327" w:rsidRDefault="00F33E5C" w:rsidP="000878F6">
            <w:pPr>
              <w:pStyle w:val="Table"/>
              <w:jc w:val="center"/>
              <w:rPr>
                <w:szCs w:val="20"/>
              </w:rPr>
            </w:pPr>
            <w:r w:rsidRPr="00AF3327">
              <w:rPr>
                <w:rFonts w:ascii="Calibri" w:hAnsi="Calibri" w:cs="Calibri"/>
                <w:color w:val="000000"/>
                <w:szCs w:val="20"/>
              </w:rPr>
              <w:t>-8,11%</w:t>
            </w:r>
          </w:p>
        </w:tc>
        <w:tc>
          <w:tcPr>
            <w:tcW w:w="1080" w:type="dxa"/>
            <w:vAlign w:val="center"/>
          </w:tcPr>
          <w:p w14:paraId="77B4F5A5" w14:textId="77777777" w:rsidR="00F33E5C" w:rsidRPr="00AF3327" w:rsidRDefault="00F33E5C" w:rsidP="000878F6">
            <w:pPr>
              <w:pStyle w:val="Table"/>
              <w:jc w:val="center"/>
              <w:rPr>
                <w:szCs w:val="20"/>
              </w:rPr>
            </w:pPr>
            <w:r w:rsidRPr="00AF3327">
              <w:rPr>
                <w:rFonts w:ascii="Calibri" w:hAnsi="Calibri" w:cs="Calibri"/>
                <w:color w:val="000000"/>
                <w:szCs w:val="20"/>
              </w:rPr>
              <w:t>-8,11%</w:t>
            </w:r>
          </w:p>
        </w:tc>
        <w:tc>
          <w:tcPr>
            <w:tcW w:w="990" w:type="dxa"/>
            <w:vAlign w:val="center"/>
          </w:tcPr>
          <w:p w14:paraId="7440B1B3" w14:textId="77777777" w:rsidR="00F33E5C" w:rsidRPr="00AF3327" w:rsidRDefault="00F33E5C" w:rsidP="000878F6">
            <w:pPr>
              <w:pStyle w:val="Table"/>
              <w:jc w:val="center"/>
              <w:rPr>
                <w:szCs w:val="20"/>
              </w:rPr>
            </w:pPr>
            <w:r w:rsidRPr="00AF3327">
              <w:rPr>
                <w:rFonts w:ascii="Calibri" w:hAnsi="Calibri" w:cs="Calibri"/>
                <w:color w:val="000000"/>
                <w:szCs w:val="20"/>
              </w:rPr>
              <w:t>1,84</w:t>
            </w:r>
          </w:p>
        </w:tc>
        <w:tc>
          <w:tcPr>
            <w:tcW w:w="1170" w:type="dxa"/>
            <w:vAlign w:val="center"/>
          </w:tcPr>
          <w:p w14:paraId="70EE1C7B" w14:textId="77777777" w:rsidR="00F33E5C" w:rsidRPr="00AF3327" w:rsidRDefault="00F33E5C" w:rsidP="000878F6">
            <w:pPr>
              <w:pStyle w:val="Table"/>
              <w:jc w:val="center"/>
              <w:rPr>
                <w:szCs w:val="20"/>
              </w:rPr>
            </w:pPr>
            <w:r w:rsidRPr="00AF3327">
              <w:rPr>
                <w:rFonts w:ascii="Calibri" w:hAnsi="Calibri" w:cs="Calibri"/>
                <w:color w:val="000000"/>
                <w:szCs w:val="20"/>
              </w:rPr>
              <w:t>1,11</w:t>
            </w:r>
          </w:p>
        </w:tc>
        <w:tc>
          <w:tcPr>
            <w:tcW w:w="1170" w:type="dxa"/>
            <w:vAlign w:val="center"/>
          </w:tcPr>
          <w:p w14:paraId="79C78FA5" w14:textId="77777777" w:rsidR="00F33E5C" w:rsidRPr="00AF3327" w:rsidRDefault="00F33E5C" w:rsidP="000878F6">
            <w:pPr>
              <w:pStyle w:val="Table"/>
              <w:jc w:val="center"/>
              <w:rPr>
                <w:szCs w:val="20"/>
              </w:rPr>
            </w:pPr>
            <w:r w:rsidRPr="00AF3327">
              <w:rPr>
                <w:rFonts w:ascii="Calibri" w:hAnsi="Calibri" w:cs="Calibri"/>
                <w:color w:val="000000"/>
                <w:szCs w:val="20"/>
              </w:rPr>
              <w:t>5,2%</w:t>
            </w:r>
          </w:p>
        </w:tc>
        <w:tc>
          <w:tcPr>
            <w:tcW w:w="1276" w:type="dxa"/>
            <w:vAlign w:val="center"/>
          </w:tcPr>
          <w:p w14:paraId="77DE9B9B" w14:textId="77777777" w:rsidR="00F33E5C" w:rsidRPr="00AF3327" w:rsidRDefault="00F33E5C" w:rsidP="000878F6">
            <w:pPr>
              <w:pStyle w:val="Table"/>
              <w:jc w:val="center"/>
              <w:rPr>
                <w:szCs w:val="20"/>
              </w:rPr>
            </w:pPr>
            <w:r w:rsidRPr="00AF3327">
              <w:rPr>
                <w:rFonts w:ascii="Calibri" w:hAnsi="Calibri" w:cs="Calibri"/>
                <w:color w:val="000000"/>
                <w:szCs w:val="20"/>
              </w:rPr>
              <w:t>3,1%</w:t>
            </w:r>
          </w:p>
        </w:tc>
      </w:tr>
      <w:tr w:rsidR="00F33E5C" w:rsidRPr="00AF3327" w14:paraId="03E6CF4B" w14:textId="77777777" w:rsidTr="00BA7936">
        <w:tc>
          <w:tcPr>
            <w:tcW w:w="2160" w:type="dxa"/>
          </w:tcPr>
          <w:p w14:paraId="74BFE574" w14:textId="77777777" w:rsidR="00F33E5C" w:rsidRPr="00AF3327" w:rsidRDefault="00F33E5C" w:rsidP="000878F6">
            <w:pPr>
              <w:pStyle w:val="Table"/>
              <w:rPr>
                <w:szCs w:val="20"/>
              </w:rPr>
            </w:pPr>
            <w:r w:rsidRPr="00AF3327">
              <w:rPr>
                <w:szCs w:val="20"/>
              </w:rPr>
              <w:lastRenderedPageBreak/>
              <w:t>PM2.5</w:t>
            </w:r>
          </w:p>
        </w:tc>
        <w:tc>
          <w:tcPr>
            <w:tcW w:w="1080" w:type="dxa"/>
            <w:vAlign w:val="center"/>
          </w:tcPr>
          <w:p w14:paraId="00D27FA4" w14:textId="77777777" w:rsidR="00F33E5C" w:rsidRPr="00AF3327" w:rsidRDefault="00F33E5C" w:rsidP="000878F6">
            <w:pPr>
              <w:pStyle w:val="Table"/>
              <w:jc w:val="center"/>
              <w:rPr>
                <w:szCs w:val="20"/>
              </w:rPr>
            </w:pPr>
            <w:r w:rsidRPr="00AF3327">
              <w:rPr>
                <w:rFonts w:ascii="Calibri" w:hAnsi="Calibri" w:cs="Calibri"/>
                <w:color w:val="000000"/>
                <w:szCs w:val="20"/>
              </w:rPr>
              <w:t>-7,39%</w:t>
            </w:r>
          </w:p>
        </w:tc>
        <w:tc>
          <w:tcPr>
            <w:tcW w:w="1080" w:type="dxa"/>
            <w:vAlign w:val="center"/>
          </w:tcPr>
          <w:p w14:paraId="26776AA8" w14:textId="77777777" w:rsidR="00F33E5C" w:rsidRPr="00AF3327" w:rsidRDefault="00F33E5C" w:rsidP="000878F6">
            <w:pPr>
              <w:pStyle w:val="Table"/>
              <w:jc w:val="center"/>
              <w:rPr>
                <w:szCs w:val="20"/>
              </w:rPr>
            </w:pPr>
            <w:r w:rsidRPr="00AF3327">
              <w:rPr>
                <w:rFonts w:ascii="Calibri" w:hAnsi="Calibri" w:cs="Calibri"/>
                <w:color w:val="000000"/>
                <w:szCs w:val="20"/>
              </w:rPr>
              <w:t>-7,39%</w:t>
            </w:r>
          </w:p>
        </w:tc>
        <w:tc>
          <w:tcPr>
            <w:tcW w:w="990" w:type="dxa"/>
            <w:vAlign w:val="center"/>
          </w:tcPr>
          <w:p w14:paraId="4E436BB9" w14:textId="77777777" w:rsidR="00F33E5C" w:rsidRPr="00AF3327" w:rsidRDefault="00F33E5C" w:rsidP="000878F6">
            <w:pPr>
              <w:pStyle w:val="Table"/>
              <w:jc w:val="center"/>
              <w:rPr>
                <w:szCs w:val="20"/>
              </w:rPr>
            </w:pPr>
            <w:r w:rsidRPr="00AF3327">
              <w:rPr>
                <w:rFonts w:ascii="Calibri" w:hAnsi="Calibri" w:cs="Calibri"/>
                <w:color w:val="000000"/>
                <w:szCs w:val="20"/>
              </w:rPr>
              <w:t>0,29</w:t>
            </w:r>
          </w:p>
        </w:tc>
        <w:tc>
          <w:tcPr>
            <w:tcW w:w="1170" w:type="dxa"/>
            <w:vAlign w:val="center"/>
          </w:tcPr>
          <w:p w14:paraId="0B88827F" w14:textId="77777777" w:rsidR="00F33E5C" w:rsidRPr="00AF3327" w:rsidRDefault="00F33E5C" w:rsidP="000878F6">
            <w:pPr>
              <w:pStyle w:val="Table"/>
              <w:jc w:val="center"/>
              <w:rPr>
                <w:szCs w:val="20"/>
              </w:rPr>
            </w:pPr>
            <w:r w:rsidRPr="00AF3327">
              <w:rPr>
                <w:rFonts w:ascii="Calibri" w:hAnsi="Calibri" w:cs="Calibri"/>
                <w:color w:val="000000"/>
                <w:szCs w:val="20"/>
              </w:rPr>
              <w:t>0,22</w:t>
            </w:r>
          </w:p>
        </w:tc>
        <w:tc>
          <w:tcPr>
            <w:tcW w:w="1170" w:type="dxa"/>
            <w:vAlign w:val="center"/>
          </w:tcPr>
          <w:p w14:paraId="0F02FBAF" w14:textId="77777777" w:rsidR="00F33E5C" w:rsidRPr="00AF3327" w:rsidRDefault="00F33E5C" w:rsidP="000878F6">
            <w:pPr>
              <w:pStyle w:val="Table"/>
              <w:jc w:val="center"/>
              <w:rPr>
                <w:szCs w:val="20"/>
              </w:rPr>
            </w:pPr>
            <w:r w:rsidRPr="00AF3327">
              <w:rPr>
                <w:rFonts w:ascii="Calibri" w:hAnsi="Calibri" w:cs="Calibri"/>
                <w:color w:val="000000"/>
                <w:szCs w:val="20"/>
              </w:rPr>
              <w:t>0,8%</w:t>
            </w:r>
          </w:p>
        </w:tc>
        <w:tc>
          <w:tcPr>
            <w:tcW w:w="1276" w:type="dxa"/>
            <w:vAlign w:val="center"/>
          </w:tcPr>
          <w:p w14:paraId="007E2F3C" w14:textId="77777777" w:rsidR="00F33E5C" w:rsidRPr="00AF3327" w:rsidRDefault="00F33E5C" w:rsidP="000878F6">
            <w:pPr>
              <w:pStyle w:val="Table"/>
              <w:jc w:val="center"/>
              <w:rPr>
                <w:szCs w:val="20"/>
              </w:rPr>
            </w:pPr>
            <w:r w:rsidRPr="00AF3327">
              <w:rPr>
                <w:rFonts w:ascii="Calibri" w:hAnsi="Calibri" w:cs="Calibri"/>
                <w:color w:val="000000"/>
                <w:szCs w:val="20"/>
              </w:rPr>
              <w:t>0,6%</w:t>
            </w:r>
          </w:p>
        </w:tc>
      </w:tr>
      <w:tr w:rsidR="00F33E5C" w:rsidRPr="00AF3327" w14:paraId="3C9991E4" w14:textId="77777777" w:rsidTr="00BA7936">
        <w:tc>
          <w:tcPr>
            <w:tcW w:w="2160" w:type="dxa"/>
          </w:tcPr>
          <w:p w14:paraId="48AB1017" w14:textId="77777777" w:rsidR="00F33E5C" w:rsidRPr="00AF3327" w:rsidRDefault="00F33E5C" w:rsidP="000878F6">
            <w:pPr>
              <w:pStyle w:val="Table"/>
              <w:rPr>
                <w:szCs w:val="20"/>
              </w:rPr>
            </w:pPr>
            <w:r w:rsidRPr="00AF3327">
              <w:rPr>
                <w:szCs w:val="20"/>
              </w:rPr>
              <w:t>Water Abstraction</w:t>
            </w:r>
          </w:p>
        </w:tc>
        <w:tc>
          <w:tcPr>
            <w:tcW w:w="1080" w:type="dxa"/>
            <w:vAlign w:val="center"/>
          </w:tcPr>
          <w:p w14:paraId="65952F43" w14:textId="77777777" w:rsidR="00F33E5C" w:rsidRPr="00AF3327" w:rsidRDefault="00F33E5C" w:rsidP="000878F6">
            <w:pPr>
              <w:pStyle w:val="Table"/>
              <w:jc w:val="center"/>
              <w:rPr>
                <w:szCs w:val="20"/>
              </w:rPr>
            </w:pPr>
            <w:r w:rsidRPr="00AF3327">
              <w:rPr>
                <w:rFonts w:ascii="Calibri" w:hAnsi="Calibri" w:cs="Calibri"/>
                <w:color w:val="000000"/>
                <w:szCs w:val="20"/>
              </w:rPr>
              <w:t>-6,54%</w:t>
            </w:r>
          </w:p>
        </w:tc>
        <w:tc>
          <w:tcPr>
            <w:tcW w:w="1080" w:type="dxa"/>
            <w:vAlign w:val="center"/>
          </w:tcPr>
          <w:p w14:paraId="27430AF6" w14:textId="77777777" w:rsidR="00F33E5C" w:rsidRPr="00AF3327" w:rsidRDefault="00F33E5C" w:rsidP="000878F6">
            <w:pPr>
              <w:pStyle w:val="Table"/>
              <w:jc w:val="center"/>
              <w:rPr>
                <w:szCs w:val="20"/>
              </w:rPr>
            </w:pPr>
            <w:r w:rsidRPr="00AF3327">
              <w:rPr>
                <w:rFonts w:ascii="Calibri" w:hAnsi="Calibri" w:cs="Calibri"/>
                <w:color w:val="000000"/>
                <w:szCs w:val="20"/>
              </w:rPr>
              <w:t>-6,54%</w:t>
            </w:r>
          </w:p>
        </w:tc>
        <w:tc>
          <w:tcPr>
            <w:tcW w:w="990" w:type="dxa"/>
            <w:vAlign w:val="center"/>
          </w:tcPr>
          <w:p w14:paraId="52084F3D" w14:textId="77777777" w:rsidR="00F33E5C" w:rsidRPr="00AF3327" w:rsidRDefault="00F33E5C" w:rsidP="000878F6">
            <w:pPr>
              <w:pStyle w:val="Table"/>
              <w:jc w:val="center"/>
              <w:rPr>
                <w:szCs w:val="20"/>
              </w:rPr>
            </w:pPr>
            <w:r w:rsidRPr="00AF3327">
              <w:rPr>
                <w:rFonts w:ascii="Calibri" w:hAnsi="Calibri" w:cs="Calibri"/>
                <w:color w:val="000000"/>
                <w:szCs w:val="20"/>
              </w:rPr>
              <w:t>3,35</w:t>
            </w:r>
          </w:p>
        </w:tc>
        <w:tc>
          <w:tcPr>
            <w:tcW w:w="1170" w:type="dxa"/>
            <w:vAlign w:val="center"/>
          </w:tcPr>
          <w:p w14:paraId="23D4C921" w14:textId="77777777" w:rsidR="00F33E5C" w:rsidRPr="00AF3327" w:rsidRDefault="00F33E5C" w:rsidP="000878F6">
            <w:pPr>
              <w:pStyle w:val="Table"/>
              <w:jc w:val="center"/>
              <w:rPr>
                <w:szCs w:val="20"/>
              </w:rPr>
            </w:pPr>
            <w:r w:rsidRPr="00AF3327">
              <w:rPr>
                <w:rFonts w:ascii="Calibri" w:hAnsi="Calibri" w:cs="Calibri"/>
                <w:color w:val="000000"/>
                <w:szCs w:val="20"/>
              </w:rPr>
              <w:t>2,72</w:t>
            </w:r>
          </w:p>
        </w:tc>
        <w:tc>
          <w:tcPr>
            <w:tcW w:w="1170" w:type="dxa"/>
            <w:vAlign w:val="center"/>
          </w:tcPr>
          <w:p w14:paraId="3534B508" w14:textId="77777777" w:rsidR="00F33E5C" w:rsidRPr="00AF3327" w:rsidRDefault="00F33E5C" w:rsidP="000878F6">
            <w:pPr>
              <w:pStyle w:val="Table"/>
              <w:jc w:val="center"/>
              <w:rPr>
                <w:szCs w:val="20"/>
              </w:rPr>
            </w:pPr>
            <w:r w:rsidRPr="00AF3327">
              <w:rPr>
                <w:rFonts w:ascii="Calibri" w:hAnsi="Calibri" w:cs="Calibri"/>
                <w:color w:val="000000"/>
                <w:szCs w:val="20"/>
              </w:rPr>
              <w:t>20,9%</w:t>
            </w:r>
          </w:p>
        </w:tc>
        <w:tc>
          <w:tcPr>
            <w:tcW w:w="1276" w:type="dxa"/>
            <w:vAlign w:val="center"/>
          </w:tcPr>
          <w:p w14:paraId="4211B6AB" w14:textId="77777777" w:rsidR="00F33E5C" w:rsidRPr="00AF3327" w:rsidRDefault="00F33E5C" w:rsidP="000878F6">
            <w:pPr>
              <w:pStyle w:val="Table"/>
              <w:jc w:val="center"/>
              <w:rPr>
                <w:szCs w:val="20"/>
              </w:rPr>
            </w:pPr>
            <w:r w:rsidRPr="00AF3327">
              <w:rPr>
                <w:rFonts w:ascii="Calibri" w:hAnsi="Calibri" w:cs="Calibri"/>
                <w:color w:val="000000"/>
                <w:szCs w:val="20"/>
              </w:rPr>
              <w:t>17,0%</w:t>
            </w:r>
          </w:p>
        </w:tc>
      </w:tr>
      <w:tr w:rsidR="00F33E5C" w:rsidRPr="00AF3327" w14:paraId="0BFC3097" w14:textId="77777777" w:rsidTr="00BA7936">
        <w:tc>
          <w:tcPr>
            <w:tcW w:w="2160" w:type="dxa"/>
          </w:tcPr>
          <w:p w14:paraId="6A7EB483" w14:textId="77777777" w:rsidR="00F33E5C" w:rsidRPr="00AF3327" w:rsidRDefault="00F33E5C" w:rsidP="000878F6">
            <w:pPr>
              <w:pStyle w:val="Table"/>
              <w:rPr>
                <w:szCs w:val="20"/>
              </w:rPr>
            </w:pPr>
            <w:r w:rsidRPr="00AF3327">
              <w:rPr>
                <w:szCs w:val="20"/>
              </w:rPr>
              <w:t>Fertilizers</w:t>
            </w:r>
          </w:p>
        </w:tc>
        <w:tc>
          <w:tcPr>
            <w:tcW w:w="1080" w:type="dxa"/>
            <w:vAlign w:val="center"/>
          </w:tcPr>
          <w:p w14:paraId="19DFF9E2" w14:textId="77777777" w:rsidR="00F33E5C" w:rsidRPr="00AF3327" w:rsidRDefault="00F33E5C" w:rsidP="000878F6">
            <w:pPr>
              <w:pStyle w:val="Table"/>
              <w:jc w:val="center"/>
              <w:rPr>
                <w:szCs w:val="20"/>
              </w:rPr>
            </w:pPr>
            <w:r w:rsidRPr="00AF3327">
              <w:rPr>
                <w:rFonts w:ascii="Calibri" w:hAnsi="Calibri" w:cs="Calibri"/>
                <w:color w:val="000000"/>
                <w:szCs w:val="20"/>
              </w:rPr>
              <w:t>-1,50%</w:t>
            </w:r>
          </w:p>
        </w:tc>
        <w:tc>
          <w:tcPr>
            <w:tcW w:w="1080" w:type="dxa"/>
            <w:vAlign w:val="center"/>
          </w:tcPr>
          <w:p w14:paraId="408202FB" w14:textId="77777777" w:rsidR="00F33E5C" w:rsidRPr="00AF3327" w:rsidRDefault="00F33E5C" w:rsidP="000878F6">
            <w:pPr>
              <w:pStyle w:val="Table"/>
              <w:jc w:val="center"/>
              <w:rPr>
                <w:szCs w:val="20"/>
              </w:rPr>
            </w:pPr>
            <w:r w:rsidRPr="00AF3327">
              <w:rPr>
                <w:rFonts w:ascii="Calibri" w:hAnsi="Calibri" w:cs="Calibri"/>
                <w:color w:val="000000"/>
                <w:szCs w:val="20"/>
              </w:rPr>
              <w:t>-1,50%</w:t>
            </w:r>
          </w:p>
        </w:tc>
        <w:tc>
          <w:tcPr>
            <w:tcW w:w="990" w:type="dxa"/>
            <w:vAlign w:val="center"/>
          </w:tcPr>
          <w:p w14:paraId="56B933A5" w14:textId="77777777" w:rsidR="00F33E5C" w:rsidRPr="00AF3327" w:rsidRDefault="00F33E5C" w:rsidP="000878F6">
            <w:pPr>
              <w:pStyle w:val="Table"/>
              <w:jc w:val="center"/>
              <w:rPr>
                <w:szCs w:val="20"/>
              </w:rPr>
            </w:pPr>
            <w:r w:rsidRPr="00AF3327">
              <w:rPr>
                <w:rFonts w:ascii="Calibri" w:hAnsi="Calibri" w:cs="Calibri"/>
                <w:color w:val="000000"/>
                <w:szCs w:val="20"/>
              </w:rPr>
              <w:t>0,27</w:t>
            </w:r>
          </w:p>
        </w:tc>
        <w:tc>
          <w:tcPr>
            <w:tcW w:w="1170" w:type="dxa"/>
            <w:vAlign w:val="center"/>
          </w:tcPr>
          <w:p w14:paraId="19FF2054" w14:textId="77777777" w:rsidR="00F33E5C" w:rsidRPr="00AF3327" w:rsidRDefault="00F33E5C" w:rsidP="000878F6">
            <w:pPr>
              <w:pStyle w:val="Table"/>
              <w:jc w:val="center"/>
              <w:rPr>
                <w:szCs w:val="20"/>
              </w:rPr>
            </w:pPr>
            <w:r w:rsidRPr="00AF3327">
              <w:rPr>
                <w:rFonts w:ascii="Calibri" w:hAnsi="Calibri" w:cs="Calibri"/>
                <w:color w:val="000000"/>
                <w:szCs w:val="20"/>
              </w:rPr>
              <w:t>0,31</w:t>
            </w:r>
          </w:p>
        </w:tc>
        <w:tc>
          <w:tcPr>
            <w:tcW w:w="1170" w:type="dxa"/>
            <w:vAlign w:val="center"/>
          </w:tcPr>
          <w:p w14:paraId="6B87F2C1" w14:textId="77777777" w:rsidR="00F33E5C" w:rsidRPr="00AF3327" w:rsidRDefault="00F33E5C" w:rsidP="000878F6">
            <w:pPr>
              <w:pStyle w:val="Table"/>
              <w:jc w:val="center"/>
              <w:rPr>
                <w:szCs w:val="20"/>
              </w:rPr>
            </w:pPr>
            <w:r w:rsidRPr="00AF3327">
              <w:rPr>
                <w:rFonts w:ascii="Calibri" w:hAnsi="Calibri" w:cs="Calibri"/>
                <w:color w:val="000000"/>
                <w:szCs w:val="20"/>
              </w:rPr>
              <w:t>0,8%</w:t>
            </w:r>
          </w:p>
        </w:tc>
        <w:tc>
          <w:tcPr>
            <w:tcW w:w="1276" w:type="dxa"/>
            <w:vAlign w:val="center"/>
          </w:tcPr>
          <w:p w14:paraId="5978D7D0" w14:textId="77777777" w:rsidR="00F33E5C" w:rsidRPr="00AF3327" w:rsidRDefault="00F33E5C" w:rsidP="000878F6">
            <w:pPr>
              <w:pStyle w:val="Table"/>
              <w:jc w:val="center"/>
              <w:rPr>
                <w:szCs w:val="20"/>
              </w:rPr>
            </w:pPr>
            <w:r w:rsidRPr="00AF3327">
              <w:rPr>
                <w:rFonts w:ascii="Calibri" w:hAnsi="Calibri" w:cs="Calibri"/>
                <w:color w:val="000000"/>
                <w:szCs w:val="20"/>
              </w:rPr>
              <w:t>0,9%</w:t>
            </w:r>
          </w:p>
        </w:tc>
      </w:tr>
      <w:tr w:rsidR="00F33E5C" w:rsidRPr="00AF3327" w14:paraId="7E22F187" w14:textId="77777777" w:rsidTr="00BA7936">
        <w:tc>
          <w:tcPr>
            <w:tcW w:w="2160" w:type="dxa"/>
          </w:tcPr>
          <w:p w14:paraId="64E0C527" w14:textId="77777777" w:rsidR="00F33E5C" w:rsidRPr="00AF3327" w:rsidRDefault="00F33E5C" w:rsidP="000878F6">
            <w:pPr>
              <w:pStyle w:val="Table"/>
              <w:rPr>
                <w:szCs w:val="20"/>
              </w:rPr>
            </w:pPr>
            <w:r w:rsidRPr="00AF3327">
              <w:rPr>
                <w:szCs w:val="20"/>
              </w:rPr>
              <w:t>Pesticides</w:t>
            </w:r>
          </w:p>
        </w:tc>
        <w:tc>
          <w:tcPr>
            <w:tcW w:w="1080" w:type="dxa"/>
            <w:vAlign w:val="center"/>
          </w:tcPr>
          <w:p w14:paraId="1DF86121" w14:textId="77777777" w:rsidR="00F33E5C" w:rsidRPr="00AF3327" w:rsidRDefault="00F33E5C" w:rsidP="000878F6">
            <w:pPr>
              <w:pStyle w:val="Table"/>
              <w:jc w:val="center"/>
              <w:rPr>
                <w:szCs w:val="20"/>
              </w:rPr>
            </w:pPr>
            <w:r w:rsidRPr="00AF3327">
              <w:rPr>
                <w:rFonts w:ascii="Calibri" w:hAnsi="Calibri" w:cs="Calibri"/>
                <w:color w:val="000000"/>
                <w:szCs w:val="20"/>
              </w:rPr>
              <w:t>n/a</w:t>
            </w:r>
          </w:p>
        </w:tc>
        <w:tc>
          <w:tcPr>
            <w:tcW w:w="1080" w:type="dxa"/>
            <w:vAlign w:val="center"/>
          </w:tcPr>
          <w:p w14:paraId="5CB30168" w14:textId="77777777" w:rsidR="00F33E5C" w:rsidRPr="00AF3327" w:rsidRDefault="00F33E5C" w:rsidP="000878F6">
            <w:pPr>
              <w:pStyle w:val="Table"/>
              <w:jc w:val="center"/>
              <w:rPr>
                <w:szCs w:val="20"/>
              </w:rPr>
            </w:pPr>
            <w:r w:rsidRPr="00AF3327">
              <w:rPr>
                <w:rFonts w:ascii="Calibri" w:hAnsi="Calibri" w:cs="Calibri"/>
                <w:color w:val="000000"/>
                <w:szCs w:val="20"/>
              </w:rPr>
              <w:t>n/a</w:t>
            </w:r>
          </w:p>
        </w:tc>
        <w:tc>
          <w:tcPr>
            <w:tcW w:w="990" w:type="dxa"/>
            <w:vAlign w:val="center"/>
          </w:tcPr>
          <w:p w14:paraId="5A49EB7D" w14:textId="77777777" w:rsidR="00F33E5C" w:rsidRPr="00AF3327" w:rsidRDefault="00F33E5C" w:rsidP="000878F6">
            <w:pPr>
              <w:pStyle w:val="Table"/>
              <w:jc w:val="center"/>
              <w:rPr>
                <w:szCs w:val="20"/>
              </w:rPr>
            </w:pPr>
            <w:r w:rsidRPr="00AF3327">
              <w:rPr>
                <w:rFonts w:ascii="Calibri" w:hAnsi="Calibri" w:cs="Calibri"/>
                <w:color w:val="000000"/>
                <w:szCs w:val="20"/>
              </w:rPr>
              <w:t>0,81</w:t>
            </w:r>
          </w:p>
        </w:tc>
        <w:tc>
          <w:tcPr>
            <w:tcW w:w="1170" w:type="dxa"/>
            <w:vAlign w:val="center"/>
          </w:tcPr>
          <w:p w14:paraId="60DC0C26" w14:textId="77777777" w:rsidR="00F33E5C" w:rsidRPr="00AF3327" w:rsidRDefault="00F33E5C" w:rsidP="000878F6">
            <w:pPr>
              <w:pStyle w:val="Table"/>
              <w:jc w:val="center"/>
              <w:rPr>
                <w:szCs w:val="20"/>
              </w:rPr>
            </w:pPr>
            <w:r w:rsidRPr="00AF3327">
              <w:rPr>
                <w:rFonts w:ascii="Calibri" w:hAnsi="Calibri" w:cs="Calibri"/>
                <w:color w:val="000000"/>
                <w:szCs w:val="20"/>
              </w:rPr>
              <w:t>0,81</w:t>
            </w:r>
          </w:p>
        </w:tc>
        <w:tc>
          <w:tcPr>
            <w:tcW w:w="1170" w:type="dxa"/>
            <w:vAlign w:val="center"/>
          </w:tcPr>
          <w:p w14:paraId="74CB03AA" w14:textId="77777777" w:rsidR="00F33E5C" w:rsidRPr="00AF3327" w:rsidRDefault="00F33E5C" w:rsidP="000878F6">
            <w:pPr>
              <w:pStyle w:val="Table"/>
              <w:jc w:val="center"/>
              <w:rPr>
                <w:szCs w:val="20"/>
              </w:rPr>
            </w:pPr>
            <w:r w:rsidRPr="00AF3327">
              <w:rPr>
                <w:rFonts w:ascii="Calibri" w:hAnsi="Calibri" w:cs="Calibri"/>
                <w:color w:val="000000"/>
                <w:szCs w:val="20"/>
              </w:rPr>
              <w:t>2,3%</w:t>
            </w:r>
          </w:p>
        </w:tc>
        <w:tc>
          <w:tcPr>
            <w:tcW w:w="1276" w:type="dxa"/>
            <w:vAlign w:val="center"/>
          </w:tcPr>
          <w:p w14:paraId="2B58863F" w14:textId="77777777" w:rsidR="00F33E5C" w:rsidRPr="00AF3327" w:rsidRDefault="00F33E5C" w:rsidP="000878F6">
            <w:pPr>
              <w:pStyle w:val="Table"/>
              <w:jc w:val="center"/>
              <w:rPr>
                <w:szCs w:val="20"/>
              </w:rPr>
            </w:pPr>
            <w:r w:rsidRPr="00AF3327">
              <w:rPr>
                <w:rFonts w:ascii="Calibri" w:hAnsi="Calibri" w:cs="Calibri"/>
                <w:color w:val="000000"/>
                <w:szCs w:val="20"/>
              </w:rPr>
              <w:t>2,3%</w:t>
            </w:r>
          </w:p>
        </w:tc>
      </w:tr>
      <w:tr w:rsidR="00F33E5C" w:rsidRPr="00AF3327" w14:paraId="1FBCD4AF" w14:textId="77777777" w:rsidTr="00BA7936">
        <w:tc>
          <w:tcPr>
            <w:tcW w:w="2160" w:type="dxa"/>
          </w:tcPr>
          <w:p w14:paraId="1D98D5A9" w14:textId="77777777" w:rsidR="00F33E5C" w:rsidRPr="00AF3327" w:rsidRDefault="00F33E5C" w:rsidP="000878F6">
            <w:pPr>
              <w:pStyle w:val="Table"/>
              <w:rPr>
                <w:szCs w:val="20"/>
              </w:rPr>
            </w:pPr>
            <w:r w:rsidRPr="00AF3327">
              <w:rPr>
                <w:szCs w:val="20"/>
              </w:rPr>
              <w:t>Waste Incineration</w:t>
            </w:r>
          </w:p>
        </w:tc>
        <w:tc>
          <w:tcPr>
            <w:tcW w:w="1080" w:type="dxa"/>
            <w:vAlign w:val="center"/>
          </w:tcPr>
          <w:p w14:paraId="0B49736A" w14:textId="77777777" w:rsidR="00F33E5C" w:rsidRPr="00AF3327" w:rsidRDefault="00F33E5C" w:rsidP="000878F6">
            <w:pPr>
              <w:pStyle w:val="Table"/>
              <w:jc w:val="center"/>
              <w:rPr>
                <w:szCs w:val="20"/>
              </w:rPr>
            </w:pPr>
            <w:r w:rsidRPr="00AF3327">
              <w:rPr>
                <w:rFonts w:ascii="Calibri" w:hAnsi="Calibri" w:cs="Calibri"/>
                <w:color w:val="000000"/>
                <w:szCs w:val="20"/>
              </w:rPr>
              <w:t>-8,31%</w:t>
            </w:r>
          </w:p>
        </w:tc>
        <w:tc>
          <w:tcPr>
            <w:tcW w:w="1080" w:type="dxa"/>
            <w:vAlign w:val="center"/>
          </w:tcPr>
          <w:p w14:paraId="1BDD53C5" w14:textId="77777777" w:rsidR="00F33E5C" w:rsidRPr="00AF3327" w:rsidRDefault="00F33E5C" w:rsidP="000878F6">
            <w:pPr>
              <w:pStyle w:val="Table"/>
              <w:jc w:val="center"/>
              <w:rPr>
                <w:szCs w:val="20"/>
              </w:rPr>
            </w:pPr>
            <w:r w:rsidRPr="00AF3327">
              <w:rPr>
                <w:rFonts w:ascii="Calibri" w:hAnsi="Calibri" w:cs="Calibri"/>
                <w:color w:val="000000"/>
                <w:szCs w:val="20"/>
              </w:rPr>
              <w:t>-8,31%</w:t>
            </w:r>
          </w:p>
        </w:tc>
        <w:tc>
          <w:tcPr>
            <w:tcW w:w="990" w:type="dxa"/>
            <w:vAlign w:val="center"/>
          </w:tcPr>
          <w:p w14:paraId="14E37121" w14:textId="77777777" w:rsidR="00F33E5C" w:rsidRPr="00AF3327" w:rsidRDefault="00F33E5C" w:rsidP="000878F6">
            <w:pPr>
              <w:pStyle w:val="Table"/>
              <w:jc w:val="center"/>
              <w:rPr>
                <w:szCs w:val="20"/>
              </w:rPr>
            </w:pPr>
            <w:r w:rsidRPr="00AF3327">
              <w:rPr>
                <w:rFonts w:ascii="Calibri" w:hAnsi="Calibri" w:cs="Calibri"/>
                <w:color w:val="000000"/>
                <w:szCs w:val="20"/>
              </w:rPr>
              <w:t>0,00</w:t>
            </w:r>
          </w:p>
        </w:tc>
        <w:tc>
          <w:tcPr>
            <w:tcW w:w="1170" w:type="dxa"/>
            <w:vAlign w:val="center"/>
          </w:tcPr>
          <w:p w14:paraId="7477BA2E" w14:textId="77777777" w:rsidR="00F33E5C" w:rsidRPr="00AF3327" w:rsidRDefault="00F33E5C" w:rsidP="000878F6">
            <w:pPr>
              <w:pStyle w:val="Table"/>
              <w:jc w:val="center"/>
              <w:rPr>
                <w:szCs w:val="20"/>
              </w:rPr>
            </w:pPr>
            <w:r w:rsidRPr="00AF3327">
              <w:rPr>
                <w:rFonts w:ascii="Calibri" w:hAnsi="Calibri" w:cs="Calibri"/>
                <w:color w:val="000000"/>
                <w:szCs w:val="20"/>
              </w:rPr>
              <w:t>0,00</w:t>
            </w:r>
          </w:p>
        </w:tc>
        <w:tc>
          <w:tcPr>
            <w:tcW w:w="1170" w:type="dxa"/>
            <w:vAlign w:val="center"/>
          </w:tcPr>
          <w:p w14:paraId="302E6395" w14:textId="77777777" w:rsidR="00F33E5C" w:rsidRPr="00AF3327" w:rsidRDefault="00F33E5C" w:rsidP="000878F6">
            <w:pPr>
              <w:pStyle w:val="Table"/>
              <w:jc w:val="center"/>
              <w:rPr>
                <w:szCs w:val="20"/>
              </w:rPr>
            </w:pPr>
            <w:r w:rsidRPr="00AF3327">
              <w:rPr>
                <w:rFonts w:ascii="Calibri" w:hAnsi="Calibri" w:cs="Calibri"/>
                <w:color w:val="000000"/>
                <w:szCs w:val="20"/>
              </w:rPr>
              <w:t>0,0%</w:t>
            </w:r>
          </w:p>
        </w:tc>
        <w:tc>
          <w:tcPr>
            <w:tcW w:w="1276" w:type="dxa"/>
            <w:vAlign w:val="center"/>
          </w:tcPr>
          <w:p w14:paraId="7EAF221E" w14:textId="77777777" w:rsidR="00F33E5C" w:rsidRPr="00AF3327" w:rsidRDefault="00F33E5C" w:rsidP="000878F6">
            <w:pPr>
              <w:pStyle w:val="Table"/>
              <w:jc w:val="center"/>
              <w:rPr>
                <w:szCs w:val="20"/>
              </w:rPr>
            </w:pPr>
            <w:r w:rsidRPr="00AF3327">
              <w:rPr>
                <w:rFonts w:ascii="Calibri" w:hAnsi="Calibri" w:cs="Calibri"/>
                <w:color w:val="000000"/>
                <w:szCs w:val="20"/>
              </w:rPr>
              <w:t>0,0%</w:t>
            </w:r>
          </w:p>
        </w:tc>
      </w:tr>
      <w:tr w:rsidR="00F33E5C" w:rsidRPr="00AF3327" w14:paraId="3D9E47B4" w14:textId="77777777" w:rsidTr="00BA7936">
        <w:tc>
          <w:tcPr>
            <w:tcW w:w="2160" w:type="dxa"/>
          </w:tcPr>
          <w:p w14:paraId="2A37F3C0" w14:textId="77777777" w:rsidR="00F33E5C" w:rsidRPr="00AF3327" w:rsidRDefault="00F33E5C" w:rsidP="000878F6">
            <w:pPr>
              <w:pStyle w:val="Table"/>
              <w:rPr>
                <w:szCs w:val="20"/>
              </w:rPr>
            </w:pPr>
            <w:r w:rsidRPr="00AF3327">
              <w:rPr>
                <w:szCs w:val="20"/>
              </w:rPr>
              <w:t>Waste to Landfill</w:t>
            </w:r>
          </w:p>
        </w:tc>
        <w:tc>
          <w:tcPr>
            <w:tcW w:w="1080" w:type="dxa"/>
            <w:vAlign w:val="center"/>
          </w:tcPr>
          <w:p w14:paraId="3F8ECCBD" w14:textId="77777777" w:rsidR="00F33E5C" w:rsidRPr="00AF3327" w:rsidRDefault="00F33E5C" w:rsidP="000878F6">
            <w:pPr>
              <w:pStyle w:val="Table"/>
              <w:jc w:val="center"/>
              <w:rPr>
                <w:szCs w:val="20"/>
              </w:rPr>
            </w:pPr>
            <w:r w:rsidRPr="00AF3327">
              <w:rPr>
                <w:rFonts w:ascii="Calibri" w:hAnsi="Calibri" w:cs="Calibri"/>
                <w:color w:val="000000"/>
                <w:szCs w:val="20"/>
              </w:rPr>
              <w:t>-6,18%</w:t>
            </w:r>
          </w:p>
        </w:tc>
        <w:tc>
          <w:tcPr>
            <w:tcW w:w="1080" w:type="dxa"/>
            <w:vAlign w:val="center"/>
          </w:tcPr>
          <w:p w14:paraId="64514D25" w14:textId="77777777" w:rsidR="00F33E5C" w:rsidRPr="00AF3327" w:rsidRDefault="00F33E5C" w:rsidP="000878F6">
            <w:pPr>
              <w:pStyle w:val="Table"/>
              <w:jc w:val="center"/>
              <w:rPr>
                <w:szCs w:val="20"/>
              </w:rPr>
            </w:pPr>
            <w:r w:rsidRPr="00AF3327">
              <w:rPr>
                <w:rFonts w:ascii="Calibri" w:hAnsi="Calibri" w:cs="Calibri"/>
                <w:color w:val="000000"/>
                <w:szCs w:val="20"/>
              </w:rPr>
              <w:t>-6,18%</w:t>
            </w:r>
          </w:p>
        </w:tc>
        <w:tc>
          <w:tcPr>
            <w:tcW w:w="990" w:type="dxa"/>
            <w:vAlign w:val="center"/>
          </w:tcPr>
          <w:p w14:paraId="1E096028" w14:textId="77777777" w:rsidR="00F33E5C" w:rsidRPr="00AF3327" w:rsidRDefault="00F33E5C" w:rsidP="000878F6">
            <w:pPr>
              <w:pStyle w:val="Table"/>
              <w:jc w:val="center"/>
              <w:rPr>
                <w:szCs w:val="20"/>
              </w:rPr>
            </w:pPr>
            <w:r w:rsidRPr="00AF3327">
              <w:rPr>
                <w:rFonts w:ascii="Calibri" w:hAnsi="Calibri" w:cs="Calibri"/>
                <w:color w:val="000000"/>
                <w:szCs w:val="20"/>
              </w:rPr>
              <w:t>29,73</w:t>
            </w:r>
          </w:p>
        </w:tc>
        <w:tc>
          <w:tcPr>
            <w:tcW w:w="1170" w:type="dxa"/>
            <w:vAlign w:val="center"/>
          </w:tcPr>
          <w:p w14:paraId="68BA9E98" w14:textId="77777777" w:rsidR="00F33E5C" w:rsidRPr="00AF3327" w:rsidRDefault="00F33E5C" w:rsidP="000878F6">
            <w:pPr>
              <w:pStyle w:val="Table"/>
              <w:jc w:val="center"/>
              <w:rPr>
                <w:szCs w:val="20"/>
              </w:rPr>
            </w:pPr>
            <w:r w:rsidRPr="00AF3327">
              <w:rPr>
                <w:rFonts w:ascii="Calibri" w:hAnsi="Calibri" w:cs="Calibri"/>
                <w:color w:val="000000"/>
                <w:szCs w:val="20"/>
              </w:rPr>
              <w:t>32,03</w:t>
            </w:r>
          </w:p>
        </w:tc>
        <w:tc>
          <w:tcPr>
            <w:tcW w:w="1170" w:type="dxa"/>
            <w:vAlign w:val="center"/>
          </w:tcPr>
          <w:p w14:paraId="5A6312AC" w14:textId="77777777" w:rsidR="00F33E5C" w:rsidRPr="00AF3327" w:rsidRDefault="00F33E5C" w:rsidP="000878F6">
            <w:pPr>
              <w:pStyle w:val="Table"/>
              <w:jc w:val="center"/>
              <w:rPr>
                <w:szCs w:val="20"/>
              </w:rPr>
            </w:pPr>
            <w:r w:rsidRPr="00AF3327">
              <w:rPr>
                <w:rFonts w:ascii="Calibri" w:hAnsi="Calibri" w:cs="Calibri"/>
                <w:color w:val="000000"/>
                <w:szCs w:val="20"/>
              </w:rPr>
              <w:t>83,3%</w:t>
            </w:r>
          </w:p>
        </w:tc>
        <w:tc>
          <w:tcPr>
            <w:tcW w:w="1276" w:type="dxa"/>
            <w:vAlign w:val="center"/>
          </w:tcPr>
          <w:p w14:paraId="25D02814" w14:textId="77777777" w:rsidR="00F33E5C" w:rsidRPr="00AF3327" w:rsidRDefault="00F33E5C" w:rsidP="000878F6">
            <w:pPr>
              <w:pStyle w:val="Table"/>
              <w:jc w:val="center"/>
              <w:rPr>
                <w:szCs w:val="20"/>
              </w:rPr>
            </w:pPr>
            <w:r w:rsidRPr="00AF3327">
              <w:rPr>
                <w:rFonts w:ascii="Calibri" w:hAnsi="Calibri" w:cs="Calibri"/>
                <w:color w:val="000000"/>
                <w:szCs w:val="20"/>
              </w:rPr>
              <w:t>89,8%</w:t>
            </w:r>
          </w:p>
        </w:tc>
      </w:tr>
      <w:tr w:rsidR="00F33E5C" w:rsidRPr="00AF3327" w14:paraId="14F350F2" w14:textId="77777777" w:rsidTr="00BA7936">
        <w:tc>
          <w:tcPr>
            <w:tcW w:w="2160" w:type="dxa"/>
          </w:tcPr>
          <w:p w14:paraId="7C31A652" w14:textId="77777777" w:rsidR="00F33E5C" w:rsidRPr="00AF3327" w:rsidRDefault="00F33E5C" w:rsidP="000878F6">
            <w:pPr>
              <w:pStyle w:val="Table"/>
              <w:rPr>
                <w:szCs w:val="20"/>
              </w:rPr>
            </w:pPr>
            <w:r w:rsidRPr="00AF3327">
              <w:rPr>
                <w:szCs w:val="20"/>
              </w:rPr>
              <w:t>Water Effluent</w:t>
            </w:r>
          </w:p>
        </w:tc>
        <w:tc>
          <w:tcPr>
            <w:tcW w:w="1080" w:type="dxa"/>
            <w:vAlign w:val="center"/>
          </w:tcPr>
          <w:p w14:paraId="17C68124" w14:textId="77777777" w:rsidR="00F33E5C" w:rsidRPr="00AF3327" w:rsidRDefault="00F33E5C" w:rsidP="000878F6">
            <w:pPr>
              <w:pStyle w:val="Table"/>
              <w:jc w:val="center"/>
              <w:rPr>
                <w:szCs w:val="20"/>
              </w:rPr>
            </w:pPr>
            <w:r w:rsidRPr="00AF3327">
              <w:rPr>
                <w:rFonts w:ascii="Calibri" w:hAnsi="Calibri" w:cs="Calibri"/>
                <w:color w:val="000000"/>
                <w:szCs w:val="20"/>
              </w:rPr>
              <w:t>-6,82%</w:t>
            </w:r>
          </w:p>
        </w:tc>
        <w:tc>
          <w:tcPr>
            <w:tcW w:w="1080" w:type="dxa"/>
            <w:vAlign w:val="center"/>
          </w:tcPr>
          <w:p w14:paraId="35550464" w14:textId="77777777" w:rsidR="00F33E5C" w:rsidRPr="00AF3327" w:rsidRDefault="00F33E5C" w:rsidP="000878F6">
            <w:pPr>
              <w:pStyle w:val="Table"/>
              <w:jc w:val="center"/>
              <w:rPr>
                <w:szCs w:val="20"/>
              </w:rPr>
            </w:pPr>
            <w:r w:rsidRPr="00AF3327">
              <w:rPr>
                <w:rFonts w:ascii="Calibri" w:hAnsi="Calibri" w:cs="Calibri"/>
                <w:color w:val="000000"/>
                <w:szCs w:val="20"/>
              </w:rPr>
              <w:t>-6,82%</w:t>
            </w:r>
          </w:p>
        </w:tc>
        <w:tc>
          <w:tcPr>
            <w:tcW w:w="990" w:type="dxa"/>
            <w:vAlign w:val="center"/>
          </w:tcPr>
          <w:p w14:paraId="199640A7" w14:textId="77777777" w:rsidR="00F33E5C" w:rsidRPr="00AF3327" w:rsidRDefault="00F33E5C" w:rsidP="000878F6">
            <w:pPr>
              <w:pStyle w:val="Table"/>
              <w:jc w:val="center"/>
              <w:rPr>
                <w:szCs w:val="20"/>
              </w:rPr>
            </w:pPr>
            <w:r w:rsidRPr="00AF3327">
              <w:rPr>
                <w:rFonts w:ascii="Calibri" w:hAnsi="Calibri" w:cs="Calibri"/>
                <w:color w:val="000000"/>
                <w:szCs w:val="20"/>
              </w:rPr>
              <w:t>24,76</w:t>
            </w:r>
          </w:p>
        </w:tc>
        <w:tc>
          <w:tcPr>
            <w:tcW w:w="1170" w:type="dxa"/>
            <w:vAlign w:val="center"/>
          </w:tcPr>
          <w:p w14:paraId="343B15B8" w14:textId="77777777" w:rsidR="00F33E5C" w:rsidRPr="00AF3327" w:rsidRDefault="00F33E5C" w:rsidP="000878F6">
            <w:pPr>
              <w:pStyle w:val="Table"/>
              <w:jc w:val="center"/>
              <w:rPr>
                <w:szCs w:val="20"/>
              </w:rPr>
            </w:pPr>
            <w:r w:rsidRPr="00AF3327">
              <w:rPr>
                <w:rFonts w:ascii="Calibri" w:hAnsi="Calibri" w:cs="Calibri"/>
                <w:color w:val="000000"/>
                <w:szCs w:val="20"/>
              </w:rPr>
              <w:t>24,50</w:t>
            </w:r>
          </w:p>
        </w:tc>
        <w:tc>
          <w:tcPr>
            <w:tcW w:w="1170" w:type="dxa"/>
            <w:vAlign w:val="center"/>
          </w:tcPr>
          <w:p w14:paraId="59BCFF85" w14:textId="77777777" w:rsidR="00F33E5C" w:rsidRPr="00AF3327" w:rsidRDefault="00F33E5C" w:rsidP="000878F6">
            <w:pPr>
              <w:pStyle w:val="Table"/>
              <w:jc w:val="center"/>
              <w:rPr>
                <w:szCs w:val="20"/>
              </w:rPr>
            </w:pPr>
            <w:r w:rsidRPr="00AF3327">
              <w:rPr>
                <w:rFonts w:ascii="Calibri" w:hAnsi="Calibri" w:cs="Calibri"/>
                <w:color w:val="000000"/>
                <w:szCs w:val="20"/>
              </w:rPr>
              <w:t>69,4%</w:t>
            </w:r>
          </w:p>
        </w:tc>
        <w:tc>
          <w:tcPr>
            <w:tcW w:w="1276" w:type="dxa"/>
            <w:vAlign w:val="center"/>
          </w:tcPr>
          <w:p w14:paraId="42A37CB0" w14:textId="77777777" w:rsidR="00F33E5C" w:rsidRPr="00AF3327" w:rsidRDefault="00F33E5C" w:rsidP="000878F6">
            <w:pPr>
              <w:pStyle w:val="Table"/>
              <w:jc w:val="center"/>
              <w:rPr>
                <w:szCs w:val="20"/>
              </w:rPr>
            </w:pPr>
            <w:r w:rsidRPr="00AF3327">
              <w:rPr>
                <w:rFonts w:ascii="Calibri" w:hAnsi="Calibri" w:cs="Calibri"/>
                <w:color w:val="000000"/>
                <w:szCs w:val="20"/>
              </w:rPr>
              <w:t>68,7%</w:t>
            </w:r>
          </w:p>
        </w:tc>
      </w:tr>
      <w:tr w:rsidR="00F33E5C" w:rsidRPr="00AF3327" w14:paraId="672A59EA" w14:textId="77777777" w:rsidTr="00BA7936">
        <w:tc>
          <w:tcPr>
            <w:tcW w:w="2160" w:type="dxa"/>
          </w:tcPr>
          <w:p w14:paraId="557501B2" w14:textId="77777777" w:rsidR="00F33E5C" w:rsidRPr="00AF3327" w:rsidRDefault="00F33E5C" w:rsidP="000878F6">
            <w:pPr>
              <w:pStyle w:val="Table"/>
              <w:rPr>
                <w:szCs w:val="20"/>
              </w:rPr>
            </w:pPr>
            <w:r w:rsidRPr="00AF3327">
              <w:rPr>
                <w:szCs w:val="20"/>
              </w:rPr>
              <w:t>Minerals &amp; Aggregates</w:t>
            </w:r>
          </w:p>
        </w:tc>
        <w:tc>
          <w:tcPr>
            <w:tcW w:w="1080" w:type="dxa"/>
            <w:vAlign w:val="center"/>
          </w:tcPr>
          <w:p w14:paraId="04CEE2D5" w14:textId="77777777" w:rsidR="00F33E5C" w:rsidRPr="00AF3327" w:rsidRDefault="00F33E5C" w:rsidP="000878F6">
            <w:pPr>
              <w:pStyle w:val="Table"/>
              <w:jc w:val="center"/>
              <w:rPr>
                <w:szCs w:val="20"/>
              </w:rPr>
            </w:pPr>
            <w:r w:rsidRPr="00AF3327">
              <w:rPr>
                <w:rFonts w:ascii="Calibri" w:hAnsi="Calibri" w:cs="Calibri"/>
                <w:color w:val="000000"/>
                <w:szCs w:val="20"/>
              </w:rPr>
              <w:t>-10,11%</w:t>
            </w:r>
          </w:p>
        </w:tc>
        <w:tc>
          <w:tcPr>
            <w:tcW w:w="1080" w:type="dxa"/>
            <w:vAlign w:val="center"/>
          </w:tcPr>
          <w:p w14:paraId="0FE0BEB4" w14:textId="77777777" w:rsidR="00F33E5C" w:rsidRPr="00AF3327" w:rsidRDefault="00F33E5C" w:rsidP="000878F6">
            <w:pPr>
              <w:pStyle w:val="Table"/>
              <w:jc w:val="center"/>
              <w:rPr>
                <w:szCs w:val="20"/>
              </w:rPr>
            </w:pPr>
            <w:r w:rsidRPr="00AF3327">
              <w:rPr>
                <w:rFonts w:ascii="Calibri" w:hAnsi="Calibri" w:cs="Calibri"/>
                <w:color w:val="000000"/>
                <w:szCs w:val="20"/>
              </w:rPr>
              <w:t>-10,11%</w:t>
            </w:r>
          </w:p>
        </w:tc>
        <w:tc>
          <w:tcPr>
            <w:tcW w:w="990" w:type="dxa"/>
            <w:vAlign w:val="center"/>
          </w:tcPr>
          <w:p w14:paraId="3C00B125" w14:textId="77777777" w:rsidR="00F33E5C" w:rsidRPr="00AF3327" w:rsidRDefault="00F33E5C" w:rsidP="000878F6">
            <w:pPr>
              <w:pStyle w:val="Table"/>
              <w:jc w:val="center"/>
              <w:rPr>
                <w:szCs w:val="20"/>
              </w:rPr>
            </w:pPr>
            <w:r w:rsidRPr="00AF3327">
              <w:rPr>
                <w:rFonts w:ascii="Calibri" w:hAnsi="Calibri" w:cs="Calibri"/>
                <w:color w:val="000000"/>
                <w:szCs w:val="20"/>
              </w:rPr>
              <w:t>9,10</w:t>
            </w:r>
          </w:p>
        </w:tc>
        <w:tc>
          <w:tcPr>
            <w:tcW w:w="1170" w:type="dxa"/>
            <w:vAlign w:val="center"/>
          </w:tcPr>
          <w:p w14:paraId="0198A34D" w14:textId="77777777" w:rsidR="00F33E5C" w:rsidRPr="00AF3327" w:rsidRDefault="00F33E5C" w:rsidP="000878F6">
            <w:pPr>
              <w:pStyle w:val="Table"/>
              <w:jc w:val="center"/>
              <w:rPr>
                <w:szCs w:val="20"/>
              </w:rPr>
            </w:pPr>
            <w:r w:rsidRPr="00AF3327">
              <w:rPr>
                <w:rFonts w:ascii="Calibri" w:hAnsi="Calibri" w:cs="Calibri"/>
                <w:color w:val="000000"/>
                <w:szCs w:val="20"/>
              </w:rPr>
              <w:t>9,51</w:t>
            </w:r>
          </w:p>
        </w:tc>
        <w:tc>
          <w:tcPr>
            <w:tcW w:w="1170" w:type="dxa"/>
            <w:vAlign w:val="center"/>
          </w:tcPr>
          <w:p w14:paraId="57BD5FB1" w14:textId="77777777" w:rsidR="00F33E5C" w:rsidRPr="00AF3327" w:rsidRDefault="00F33E5C" w:rsidP="000878F6">
            <w:pPr>
              <w:pStyle w:val="Table"/>
              <w:jc w:val="center"/>
              <w:rPr>
                <w:szCs w:val="20"/>
              </w:rPr>
            </w:pPr>
            <w:r w:rsidRPr="00AF3327">
              <w:rPr>
                <w:rFonts w:ascii="Calibri" w:hAnsi="Calibri" w:cs="Calibri"/>
                <w:color w:val="000000"/>
                <w:szCs w:val="20"/>
              </w:rPr>
              <w:t>56,8%</w:t>
            </w:r>
          </w:p>
        </w:tc>
        <w:tc>
          <w:tcPr>
            <w:tcW w:w="1276" w:type="dxa"/>
            <w:vAlign w:val="center"/>
          </w:tcPr>
          <w:p w14:paraId="170CF547" w14:textId="77777777" w:rsidR="00F33E5C" w:rsidRPr="00AF3327" w:rsidRDefault="00F33E5C" w:rsidP="000878F6">
            <w:pPr>
              <w:pStyle w:val="Table"/>
              <w:jc w:val="center"/>
              <w:rPr>
                <w:szCs w:val="20"/>
              </w:rPr>
            </w:pPr>
            <w:r w:rsidRPr="00AF3327">
              <w:rPr>
                <w:rFonts w:ascii="Calibri" w:hAnsi="Calibri" w:cs="Calibri"/>
                <w:color w:val="000000"/>
                <w:szCs w:val="20"/>
              </w:rPr>
              <w:t>59,4%</w:t>
            </w:r>
          </w:p>
        </w:tc>
      </w:tr>
    </w:tbl>
    <w:p w14:paraId="42058B96" w14:textId="77777777" w:rsidR="00F33E5C" w:rsidRPr="00F33E5C" w:rsidRDefault="00F33E5C" w:rsidP="00F33E5C"/>
    <w:p w14:paraId="29FF3BA1" w14:textId="3A7AADAC" w:rsidR="00F33E5C" w:rsidRPr="00F33E5C" w:rsidRDefault="00F33E5C" w:rsidP="00F33E5C">
      <w:r w:rsidRPr="00F33E5C">
        <w:t>Feasibility is favourable from an administrative perspective. Estonia’s permitting and reporting architecture is mature, and metering for water abstraction and discharge is widespread among larger users. The main risks lie in sectoral acceptability and unintended substitutions. Construction and quarrying firms can be sensitive to higher extraction charges, especially where contracts are fixed and recycled alternatives are not yet available at scale. If the landfill rate rises faster than sorting and treatment capacity, municipalities could face short-term cost pressures, with risks of diversion to incineration or informal disposal. In industry, incremental air-emission charges would concentrate on a small number of energy-intensive installations; competitiveness concerns are manageable at the benchmark levels but should be anticipated. For households, distributional effects are small in aggregate, yet water and waste bills can weigh more heavily on lower-income and rural households, particularly where on-site solutions or long collection distances increase costs.</w:t>
      </w:r>
    </w:p>
    <w:p w14:paraId="600EBEE7" w14:textId="0F657428" w:rsidR="00F33E5C" w:rsidRPr="00F33E5C" w:rsidRDefault="00F33E5C" w:rsidP="00F33E5C">
      <w:r w:rsidRPr="00F33E5C">
        <w:t>These risks are addressable with a clear sequencing plan. Phasing rates over three to five years with pre-announced steps gives firms and municipalities time to adapt investment plans and renegotiate contracts. Using part of the incremental proceeds to co-finance sorting, reuse and treatment capacity ensures that higher landfill or effluent charges translate into real environmental improvements rather than pure cost pass-through. Aligning procurement rules to permit and prefer recycled aggregates in public works helps create stable demand that offsets the cost push from higher extraction charges. In water policy, pairing abstraction and effluent price signals with grants for leak reduction, reuse and process optimisation in utilities and industry secures permanent savings that moderate bill impacts.</w:t>
      </w:r>
    </w:p>
    <w:p w14:paraId="1AF8FE77" w14:textId="69C8D43A" w:rsidR="00F33E5C" w:rsidRPr="00F33E5C" w:rsidRDefault="00F33E5C" w:rsidP="00F33E5C">
      <w:r w:rsidRPr="00F33E5C">
        <w:t xml:space="preserve">Priority areas for Estonia follow directly from the modelling and the national context. First, strengthen the </w:t>
      </w:r>
      <w:r w:rsidRPr="00F33E5C">
        <w:rPr>
          <w:b/>
          <w:bCs/>
        </w:rPr>
        <w:t>water pricing package</w:t>
      </w:r>
      <w:r w:rsidRPr="00F33E5C">
        <w:t xml:space="preserve"> by aligning abstraction and effluent charges with the benchmarks and linking them to local water-stress indicators where relevant; combine this with targeted support for utility efficiency and industrial reuse to contain tariff effects. Second, recalibrate </w:t>
      </w:r>
      <w:r w:rsidRPr="00F33E5C">
        <w:rPr>
          <w:b/>
          <w:bCs/>
        </w:rPr>
        <w:t>mineral extraction charges</w:t>
      </w:r>
      <w:r w:rsidRPr="00F33E5C">
        <w:t xml:space="preserve"> for sand, gravel and crushed stone to the benchmark level while introducing credits or lower rates for secondary aggregates; complement this with quality standards and public procurement targets for recycled content. Third, refine </w:t>
      </w:r>
      <w:r w:rsidRPr="00F33E5C">
        <w:rPr>
          <w:b/>
          <w:bCs/>
        </w:rPr>
        <w:t>waste policy</w:t>
      </w:r>
      <w:r w:rsidRPr="00F33E5C">
        <w:t xml:space="preserve"> by setting a predictable escalator for landfill, supported by investment in sorting and separate collection to prevent displacement to incineration and to meet recycling targets; consider a moderate incineration tax where capacity exists to strengthen the waste hierarchy. Fourth, fine-tune </w:t>
      </w:r>
      <w:r w:rsidRPr="00F33E5C">
        <w:rPr>
          <w:b/>
          <w:bCs/>
        </w:rPr>
        <w:t>air pollutant charges</w:t>
      </w:r>
      <w:r w:rsidRPr="00F33E5C">
        <w:t xml:space="preserve"> for large point sources under integrated permits, using small top-ups and performance-based rebates for early adoption of best available techniques rather than broad exemptions. Where Estonia already levies wastewater charges on BOD and other parameters, update rate levels and structures to reflect pollutant loads more precisely and seasonal sensitivity of receiving waters.</w:t>
      </w:r>
    </w:p>
    <w:p w14:paraId="01A85998" w14:textId="5882B3FF" w:rsidR="00F33E5C" w:rsidRPr="00F33E5C" w:rsidRDefault="00F33E5C" w:rsidP="00F33E5C">
      <w:r w:rsidRPr="00F33E5C">
        <w:t xml:space="preserve">To avoid negative distributional effects, recycle a defined share of the additional revenues through visible, low-friction channels. Lump-sum bill credits for low-income households, temporary caps on </w:t>
      </w:r>
      <w:r w:rsidRPr="00F33E5C">
        <w:lastRenderedPageBreak/>
        <w:t>year-to-year increases in municipal waste or water tariffs, and grants for household-level water-saving measures can neutralise affordability concerns without blunting behavioural signals. For farmers, any movement towards fertiliser or pesticide taxation should be paired with advisory support and co-financed precision-application equipment so that yields are maintained while nutrient and pesticide loads fall. For trade-exposed industrial sites, provide time-limited, technology-neutral investment support for abatement and process efficiency that preserves the marginal incentive from the tax.</w:t>
      </w:r>
    </w:p>
    <w:p w14:paraId="034EA4B8" w14:textId="76C736BC" w:rsidR="00B606CB" w:rsidRPr="00F33E5C" w:rsidRDefault="00F33E5C" w:rsidP="00734302">
      <w:r w:rsidRPr="00F33E5C">
        <w:t>Implementation will be strongest if accompanied by practical safeguards. Enhance monitoring for smaller emitters and dispersed sources using standard coefficients and periodic audits to keep administrative burdens proportionate. Step up enforcement and waste tracking to deter illegal dumping as landfill rates rise. Publish an annual “green dividend” statement aggregating receipts and their uses, with specific, local outcomes—river stretches lifted out of poor status, leakage reductions achieved, recycled aggregate shares in public works—so that households and firms can see the return on their contribution. With this approach, Estonia can raise environmental tax effectiveness at limited macroeconomic cost, delivering tangible improvements in water, waste and resource outcomes while protecting competitiveness and social fairness.</w:t>
      </w:r>
    </w:p>
    <w:p w14:paraId="3D41FFD0" w14:textId="77777777" w:rsidR="000A4E61" w:rsidRPr="00EA4C9B" w:rsidRDefault="000A4E61" w:rsidP="0045752A">
      <w:pPr>
        <w:pStyle w:val="AnnexHeading1"/>
        <w:ind w:hanging="1211"/>
      </w:pPr>
      <w:bookmarkStart w:id="167" w:name="_Toc214008868"/>
      <w:r w:rsidRPr="00EA4C9B">
        <w:t>Finland</w:t>
      </w:r>
      <w:bookmarkEnd w:id="167"/>
    </w:p>
    <w:p w14:paraId="27FFA6E8" w14:textId="77777777" w:rsidR="000A4E61" w:rsidRPr="00EA4C9B" w:rsidRDefault="000A4E61" w:rsidP="007C4EB7">
      <w:pPr>
        <w:pStyle w:val="AnnexHeading2"/>
      </w:pPr>
      <w:bookmarkStart w:id="168" w:name="_Toc214008869"/>
      <w:r w:rsidRPr="00EA4C9B">
        <w:t>Overview of existing environmental taxes</w:t>
      </w:r>
      <w:bookmarkEnd w:id="168"/>
    </w:p>
    <w:p w14:paraId="15B2CBAE" w14:textId="6F024603" w:rsidR="000A4E61" w:rsidRPr="00EA4C9B" w:rsidRDefault="00972AA3" w:rsidP="000A4E61">
      <w:r w:rsidRPr="00972AA3">
        <w:t>Environmental taxes in Finland amounted to 2.3% of GDP in 2023, close to the EU average. While revenues have increased in absolute terms over the past 15 years, their relative weight in the economy has edged down. Total environmental tax revenue reached EUR 5.73 billion in 2023 (</w:t>
      </w:r>
      <w:r w:rsidRPr="00B85DE0">
        <w:fldChar w:fldCharType="begin"/>
      </w:r>
      <w:r w:rsidRPr="00B85DE0">
        <w:instrText xml:space="preserve"> REF _Ref201233838 \h  \* MERGEFORMAT </w:instrText>
      </w:r>
      <w:r w:rsidRPr="00B85DE0">
        <w:fldChar w:fldCharType="separate"/>
      </w:r>
      <w:r w:rsidRPr="00B85DE0">
        <w:t xml:space="preserve">Figure </w:t>
      </w:r>
      <w:r>
        <w:t>A6</w:t>
      </w:r>
      <w:r w:rsidRPr="00B85DE0">
        <w:t>-</w:t>
      </w:r>
      <w:r w:rsidRPr="00B85DE0">
        <w:rPr>
          <w:noProof/>
        </w:rPr>
        <w:t>25</w:t>
      </w:r>
      <w:r w:rsidRPr="00B85DE0">
        <w:fldChar w:fldCharType="end"/>
      </w:r>
      <w:r w:rsidRPr="00972AA3">
        <w:t>), representing a 28% increase in real terms since 2009 (</w:t>
      </w:r>
      <w:r w:rsidRPr="00B85DE0">
        <w:fldChar w:fldCharType="begin"/>
      </w:r>
      <w:r w:rsidRPr="00B85DE0">
        <w:instrText xml:space="preserve"> REF _Ref201233865 \h  \* MERGEFORMAT </w:instrText>
      </w:r>
      <w:r w:rsidRPr="00B85DE0">
        <w:fldChar w:fldCharType="separate"/>
      </w:r>
      <w:r w:rsidRPr="00B85DE0">
        <w:t xml:space="preserve">Figure </w:t>
      </w:r>
      <w:r>
        <w:t>A6</w:t>
      </w:r>
      <w:r w:rsidRPr="00B85DE0">
        <w:t>-</w:t>
      </w:r>
      <w:r w:rsidRPr="00B85DE0">
        <w:rPr>
          <w:noProof/>
        </w:rPr>
        <w:t>26</w:t>
      </w:r>
      <w:r w:rsidRPr="00B85DE0">
        <w:fldChar w:fldCharType="end"/>
      </w:r>
      <w:r w:rsidRPr="00972AA3">
        <w:t>)</w:t>
      </w:r>
      <w:r w:rsidR="009D4D47">
        <w:rPr>
          <w:rStyle w:val="FootnoteReference"/>
        </w:rPr>
        <w:footnoteReference w:id="312"/>
      </w:r>
      <w:r w:rsidRPr="00972AA3">
        <w:t>. Over the same period, however, the environmental tax-to-GDP ratio fell from 2.5% to 2.3%. In 2023, energy and transport taxes dominated the revenue structure (around 75% and 24% respectively), while pollution and resource taxes together accounted for less than 1%.</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A4E61" w:rsidRPr="00EA4C9B" w14:paraId="089D6869" w14:textId="77777777" w:rsidTr="00FF702A">
        <w:tc>
          <w:tcPr>
            <w:tcW w:w="9016" w:type="dxa"/>
          </w:tcPr>
          <w:p w14:paraId="073C8AEF" w14:textId="77777777" w:rsidR="000A4E61" w:rsidRPr="00EA4C9B" w:rsidRDefault="000A4E61">
            <w:pPr>
              <w:spacing w:after="0"/>
              <w:jc w:val="center"/>
              <w:rPr>
                <w:sz w:val="10"/>
                <w:szCs w:val="10"/>
              </w:rPr>
            </w:pPr>
          </w:p>
          <w:p w14:paraId="38AAB98F" w14:textId="77777777" w:rsidR="000A4E61" w:rsidRPr="00EA4C9B" w:rsidRDefault="000A4E61">
            <w:pPr>
              <w:spacing w:after="0"/>
              <w:jc w:val="center"/>
            </w:pPr>
            <w:r w:rsidRPr="00EA4C9B">
              <w:rPr>
                <w:noProof/>
              </w:rPr>
              <w:drawing>
                <wp:inline distT="0" distB="0" distL="0" distR="0" wp14:anchorId="6CF987E6" wp14:editId="1A7EB4E7">
                  <wp:extent cx="5581648" cy="1152525"/>
                  <wp:effectExtent l="0" t="0" r="0" b="0"/>
                  <wp:docPr id="630051976" name="Picture 630051976" descr="A graph of 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51976" name="Picture 630051976" descr="A graph of a graph with different colored bars&#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81648" cy="1152525"/>
                          </a:xfrm>
                          <a:prstGeom prst="rect">
                            <a:avLst/>
                          </a:prstGeom>
                        </pic:spPr>
                      </pic:pic>
                    </a:graphicData>
                  </a:graphic>
                </wp:inline>
              </w:drawing>
            </w:r>
          </w:p>
        </w:tc>
      </w:tr>
      <w:tr w:rsidR="000A4E61" w:rsidRPr="00EA4C9B" w14:paraId="40822737" w14:textId="77777777" w:rsidTr="00FF702A">
        <w:tc>
          <w:tcPr>
            <w:tcW w:w="9016" w:type="dxa"/>
            <w:shd w:val="clear" w:color="auto" w:fill="003399"/>
          </w:tcPr>
          <w:p w14:paraId="19BB463C" w14:textId="00841BF4" w:rsidR="000A4E61" w:rsidRPr="00EA4C9B" w:rsidRDefault="002847DA" w:rsidP="00F33645">
            <w:pPr>
              <w:pStyle w:val="FigTabCaption"/>
            </w:pPr>
            <w:bookmarkStart w:id="169" w:name="_Ref201233838"/>
            <w:r w:rsidRPr="00051732">
              <w:t xml:space="preserve">Figure </w:t>
            </w:r>
            <w:r w:rsidR="00490085">
              <w:t>A6</w:t>
            </w:r>
            <w:r w:rsidRPr="00051732">
              <w:t>-</w:t>
            </w:r>
            <w:r>
              <w:fldChar w:fldCharType="begin"/>
            </w:r>
            <w:r>
              <w:instrText>SEQ Figure_A5- \* ARABIC</w:instrText>
            </w:r>
            <w:r>
              <w:fldChar w:fldCharType="separate"/>
            </w:r>
            <w:r w:rsidR="00F33645">
              <w:rPr>
                <w:noProof/>
              </w:rPr>
              <w:t>25</w:t>
            </w:r>
            <w:r>
              <w:fldChar w:fldCharType="end"/>
            </w:r>
            <w:bookmarkEnd w:id="169"/>
            <w:r w:rsidR="000A4E61" w:rsidRPr="00EA4C9B">
              <w:t>: Total environmental tax revenue in Finland (2009-2023) in million euros</w:t>
            </w:r>
            <w:r w:rsidR="001A6AFA">
              <w:t xml:space="preserve">. </w:t>
            </w:r>
            <w:r w:rsidR="001A6AFA" w:rsidRPr="001A6AFA">
              <w:rPr>
                <w:i/>
                <w:iCs/>
              </w:rPr>
              <w:t>Note: pollution and resource taxes in 2023 w</w:t>
            </w:r>
            <w:r w:rsidR="001A6AFA">
              <w:rPr>
                <w:i/>
                <w:iCs/>
              </w:rPr>
              <w:t>ere</w:t>
            </w:r>
            <w:r w:rsidR="001A6AFA" w:rsidRPr="001A6AFA">
              <w:rPr>
                <w:i/>
                <w:iCs/>
              </w:rPr>
              <w:t xml:space="preserve"> estimated as the weighted average of past years</w:t>
            </w:r>
          </w:p>
        </w:tc>
      </w:tr>
    </w:tbl>
    <w:p w14:paraId="6977A13E" w14:textId="77777777" w:rsidR="000A4E61" w:rsidRPr="00EA4C9B" w:rsidRDefault="000A4E61" w:rsidP="000A4E61">
      <w:pPr>
        <w:spacing w:after="0"/>
        <w:rPr>
          <w:rFonts w:ascii="Calibri" w:eastAsia="Calibri" w:hAnsi="Calibri" w:cs="Calibri"/>
          <w:color w:val="000000" w:themeColor="text1"/>
        </w:rPr>
      </w:pPr>
    </w:p>
    <w:p w14:paraId="48FF3E75" w14:textId="030BEC51" w:rsidR="000A4E61" w:rsidRPr="00EA4C9B" w:rsidRDefault="00E7662C" w:rsidP="000A4E61">
      <w:r w:rsidRPr="00E7662C">
        <w:t> In 2023, total tax revenue (including net social contributions) accounted for 42.6% of Finland’s GDP, up by 2.0 percentage points from 40.6% in 2009. Environmental taxes represented 5.3% of total tax revenue in 2023, compared with 6.2% in 2009 — a decline of 0.9 percentage points over the period.</w:t>
      </w:r>
      <w:r w:rsidR="001A6AFA">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A4E61" w:rsidRPr="00EA4C9B" w14:paraId="2FE68675" w14:textId="77777777" w:rsidTr="00FF702A">
        <w:tc>
          <w:tcPr>
            <w:tcW w:w="9016" w:type="dxa"/>
          </w:tcPr>
          <w:p w14:paraId="7F7E2DF5" w14:textId="77777777" w:rsidR="000A4E61" w:rsidRPr="00EA4C9B" w:rsidRDefault="000A4E61">
            <w:pPr>
              <w:spacing w:after="0"/>
              <w:jc w:val="center"/>
              <w:rPr>
                <w:sz w:val="10"/>
                <w:szCs w:val="10"/>
              </w:rPr>
            </w:pPr>
          </w:p>
          <w:p w14:paraId="26B604E5" w14:textId="77777777" w:rsidR="000A4E61" w:rsidRPr="00EA4C9B" w:rsidRDefault="000A4E61">
            <w:pPr>
              <w:spacing w:after="0"/>
              <w:jc w:val="center"/>
            </w:pPr>
            <w:r w:rsidRPr="00EA4C9B">
              <w:rPr>
                <w:noProof/>
              </w:rPr>
              <w:drawing>
                <wp:inline distT="0" distB="0" distL="0" distR="0" wp14:anchorId="055DE40B" wp14:editId="7E023F3A">
                  <wp:extent cx="5581648" cy="1624756"/>
                  <wp:effectExtent l="0" t="0" r="635" b="0"/>
                  <wp:docPr id="1949084608" name="Picture 194908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84608" name="Picture 1949084608"/>
                          <pic:cNvPicPr/>
                        </pic:nvPicPr>
                        <pic:blipFill>
                          <a:blip r:embed="rId57">
                            <a:extLst>
                              <a:ext uri="{96DAC541-7B7A-43D3-8B79-37D633B846F1}">
                                <asvg:svgBlip xmlns:asvg="http://schemas.microsoft.com/office/drawing/2016/SVG/main" r:embed="rId58"/>
                              </a:ext>
                            </a:extLst>
                          </a:blip>
                          <a:stretch>
                            <a:fillRect/>
                          </a:stretch>
                        </pic:blipFill>
                        <pic:spPr>
                          <a:xfrm>
                            <a:off x="0" y="0"/>
                            <a:ext cx="5581648" cy="1624756"/>
                          </a:xfrm>
                          <a:prstGeom prst="rect">
                            <a:avLst/>
                          </a:prstGeom>
                        </pic:spPr>
                      </pic:pic>
                    </a:graphicData>
                  </a:graphic>
                </wp:inline>
              </w:drawing>
            </w:r>
          </w:p>
        </w:tc>
      </w:tr>
      <w:tr w:rsidR="000A4E61" w:rsidRPr="00EA4C9B" w14:paraId="3A10A605" w14:textId="77777777" w:rsidTr="00FF702A">
        <w:tc>
          <w:tcPr>
            <w:tcW w:w="9016" w:type="dxa"/>
            <w:shd w:val="clear" w:color="auto" w:fill="003399"/>
          </w:tcPr>
          <w:p w14:paraId="39C0F1FF" w14:textId="3C3AE06C" w:rsidR="000A4E61" w:rsidRPr="00EA4C9B" w:rsidRDefault="002847DA" w:rsidP="00F33645">
            <w:pPr>
              <w:pStyle w:val="FigTabCaption"/>
            </w:pPr>
            <w:bookmarkStart w:id="170" w:name="_Ref201233865"/>
            <w:r w:rsidRPr="00051732">
              <w:t xml:space="preserve">Figure </w:t>
            </w:r>
            <w:r w:rsidR="00490085">
              <w:t>A6</w:t>
            </w:r>
            <w:r w:rsidRPr="00051732">
              <w:t>-</w:t>
            </w:r>
            <w:r>
              <w:fldChar w:fldCharType="begin"/>
            </w:r>
            <w:r>
              <w:instrText>SEQ Figure_A5- \* ARABIC</w:instrText>
            </w:r>
            <w:r>
              <w:fldChar w:fldCharType="separate"/>
            </w:r>
            <w:r w:rsidR="0091411A">
              <w:rPr>
                <w:noProof/>
              </w:rPr>
              <w:t>26</w:t>
            </w:r>
            <w:r>
              <w:fldChar w:fldCharType="end"/>
            </w:r>
            <w:bookmarkEnd w:id="170"/>
            <w:r w:rsidR="000A4E61" w:rsidRPr="00EA4C9B">
              <w:t>: Fifteen-year (2009-2023) change in absolute terms and change as GDP ratio of the revenues of energy taxes, transport taxes, resource taxes, pollution taxes and total environmental taxes</w:t>
            </w:r>
          </w:p>
        </w:tc>
      </w:tr>
    </w:tbl>
    <w:p w14:paraId="2BBDD440" w14:textId="77777777" w:rsidR="000A4E61" w:rsidRPr="00EA4C9B" w:rsidRDefault="000A4E61" w:rsidP="000A4E61">
      <w:pPr>
        <w:spacing w:after="0"/>
      </w:pPr>
    </w:p>
    <w:p w14:paraId="2C846B33" w14:textId="77777777" w:rsidR="000A4E61" w:rsidRPr="00EA4C9B" w:rsidRDefault="000A4E61" w:rsidP="000A4E61">
      <w:pPr>
        <w:rPr>
          <w:color w:val="FF0000"/>
          <w:lang w:eastAsia="en-GB"/>
        </w:rPr>
      </w:pPr>
      <w:r w:rsidRPr="00EA4C9B">
        <w:rPr>
          <w:lang w:eastAsia="en-GB"/>
        </w:rPr>
        <w:t xml:space="preserve">In recent years, Finland has made limited progress in expanding its environmental tax base, although a new tax on mined minerals was introduced in 2024. While the overall environmental tax revenue has grown in absolute terms, its share relative to GDP and total tax revenue has declined. </w:t>
      </w:r>
    </w:p>
    <w:p w14:paraId="6F115619" w14:textId="77777777" w:rsidR="000A4E61" w:rsidRPr="00F33E5C" w:rsidRDefault="000A4E61" w:rsidP="007C4EB7">
      <w:pPr>
        <w:pStyle w:val="AnnexHeading2"/>
      </w:pPr>
      <w:bookmarkStart w:id="171" w:name="_Toc214008870"/>
      <w:r w:rsidRPr="00F33E5C">
        <w:t>Existing pollution and resource taxes</w:t>
      </w:r>
      <w:bookmarkEnd w:id="171"/>
    </w:p>
    <w:p w14:paraId="230B4021" w14:textId="03E008E6" w:rsidR="00092BCE" w:rsidRDefault="004E53CE" w:rsidP="000A4E61">
      <w:r w:rsidRPr="004E53CE">
        <w:t>In 2022, pollution and resource tax revenues amounted to EUR 18.3 million and EUR 25 million respectively. In 2023, the pattern reversed: pollution tax revenues increased to EUR 25.0 million, while resource tax revenues declined to EUR 18.3 million</w:t>
      </w:r>
      <w:r w:rsidR="000A4E61" w:rsidRPr="00F33E5C">
        <w:rPr>
          <w:rFonts w:ascii="Calibri" w:eastAsia="Calibri" w:hAnsi="Calibri" w:cs="Calibri"/>
          <w:color w:val="000000" w:themeColor="text1"/>
        </w:rPr>
        <w:t>.</w:t>
      </w:r>
      <w:r>
        <w:rPr>
          <w:rFonts w:ascii="Calibri" w:eastAsia="Calibri" w:hAnsi="Calibri" w:cs="Calibri"/>
          <w:color w:val="000000" w:themeColor="text1"/>
        </w:rPr>
        <w:t xml:space="preserve"> </w:t>
      </w:r>
      <w:r w:rsidR="00BE50AC" w:rsidRPr="00F33E5C">
        <w:rPr>
          <w:rFonts w:ascii="Calibri" w:eastAsia="Calibri" w:hAnsi="Calibri" w:cs="Calibri"/>
          <w:color w:val="000000" w:themeColor="text1"/>
        </w:rPr>
        <w:t xml:space="preserve">Resource tax revenues have increased by 11% between 2009-2022, while </w:t>
      </w:r>
      <w:r w:rsidR="005C4478" w:rsidRPr="00F33E5C">
        <w:rPr>
          <w:rFonts w:ascii="Calibri" w:eastAsia="Calibri" w:hAnsi="Calibri" w:cs="Calibri"/>
          <w:color w:val="000000" w:themeColor="text1"/>
        </w:rPr>
        <w:t xml:space="preserve">revenues from </w:t>
      </w:r>
      <w:r w:rsidR="00BE50AC" w:rsidRPr="00F33E5C">
        <w:rPr>
          <w:rFonts w:ascii="Calibri" w:eastAsia="Calibri" w:hAnsi="Calibri" w:cs="Calibri"/>
          <w:color w:val="000000" w:themeColor="text1"/>
        </w:rPr>
        <w:t>pollution taxes</w:t>
      </w:r>
      <w:r w:rsidR="005C4478" w:rsidRPr="00F33E5C">
        <w:rPr>
          <w:rFonts w:ascii="Calibri" w:eastAsia="Calibri" w:hAnsi="Calibri" w:cs="Calibri"/>
          <w:color w:val="000000" w:themeColor="text1"/>
        </w:rPr>
        <w:t xml:space="preserve"> have decreased by 7</w:t>
      </w:r>
      <w:r w:rsidR="008A6889" w:rsidRPr="00F33E5C">
        <w:rPr>
          <w:rFonts w:ascii="Calibri" w:eastAsia="Calibri" w:hAnsi="Calibri" w:cs="Calibri"/>
          <w:color w:val="000000" w:themeColor="text1"/>
        </w:rPr>
        <w:t>3</w:t>
      </w:r>
      <w:r w:rsidR="005C4478" w:rsidRPr="00F33E5C">
        <w:rPr>
          <w:rFonts w:ascii="Calibri" w:eastAsia="Calibri" w:hAnsi="Calibri" w:cs="Calibri"/>
          <w:color w:val="000000" w:themeColor="text1"/>
        </w:rPr>
        <w:t>% in the same period.</w:t>
      </w:r>
      <w:r w:rsidR="00BE50AC" w:rsidRPr="00F33E5C">
        <w:rPr>
          <w:rFonts w:ascii="Calibri" w:eastAsia="Calibri" w:hAnsi="Calibri" w:cs="Calibri"/>
          <w:color w:val="000000" w:themeColor="text1"/>
        </w:rPr>
        <w:t xml:space="preserve"> </w:t>
      </w:r>
      <w:r w:rsidR="00F33E5C">
        <w:rPr>
          <w:rFonts w:ascii="Calibri" w:eastAsia="Calibri" w:hAnsi="Calibri" w:cs="Calibri"/>
          <w:color w:val="000000" w:themeColor="text1"/>
        </w:rPr>
        <w:t xml:space="preserve">This is likely to be due to </w:t>
      </w:r>
      <w:r w:rsidR="009479AD" w:rsidRPr="00F33E5C">
        <w:t xml:space="preserve">the reduction in </w:t>
      </w:r>
      <w:r w:rsidR="00737E7D" w:rsidRPr="00F33E5C">
        <w:t xml:space="preserve">total oil supply in Finland, which has decreased by around </w:t>
      </w:r>
      <w:r w:rsidR="00A416C4" w:rsidRPr="00F33E5C">
        <w:t>22</w:t>
      </w:r>
      <w:r w:rsidR="00737E7D" w:rsidRPr="00F33E5C">
        <w:t>% in 2009-</w:t>
      </w:r>
      <w:r w:rsidR="00A416C4" w:rsidRPr="00F33E5C">
        <w:t>2022</w:t>
      </w:r>
      <w:r w:rsidR="00737E7D" w:rsidRPr="00F33E5C">
        <w:t xml:space="preserve">, meaning lower tax </w:t>
      </w:r>
      <w:r w:rsidR="008E7A10" w:rsidRPr="00F33E5C">
        <w:t>revenues</w:t>
      </w:r>
      <w:r w:rsidR="00737E7D" w:rsidRPr="00F33E5C">
        <w:t xml:space="preserve"> from oil </w:t>
      </w:r>
      <w:r w:rsidR="008E7A10" w:rsidRPr="00F33E5C">
        <w:t>damage levy</w:t>
      </w:r>
      <w:r w:rsidR="00C56226" w:rsidRPr="00F33E5C">
        <w:t>.</w:t>
      </w:r>
      <w:r w:rsidR="00FB468B" w:rsidRPr="00F33E5C">
        <w:t xml:space="preserve"> Additionally, revenues from oil damage levy </w:t>
      </w:r>
      <w:r w:rsidR="004D47BA" w:rsidRPr="00F33E5C">
        <w:t xml:space="preserve">in 2021-2022 are de-facto for the previous periods, as the levy was abolished in 2020, however, </w:t>
      </w:r>
      <w:r w:rsidR="0007393F" w:rsidRPr="00F33E5C">
        <w:t>some later payments were accruing after 2020.</w:t>
      </w:r>
      <w:r w:rsidR="00AC4CAE" w:rsidRPr="00F33E5C">
        <w:t xml:space="preserve"> </w:t>
      </w:r>
      <w:r w:rsidR="00B720E4" w:rsidRPr="00F33E5C">
        <w:t>As for the increase in resource tax revenues, it may be explained by the rising fishing and hunting fees whic</w:t>
      </w:r>
      <w:r w:rsidR="003B3B9C" w:rsidRPr="00F33E5C">
        <w:t>h may have offset the decline in the number of hunters in 2009-2022.</w:t>
      </w:r>
      <w:r w:rsidR="00525037" w:rsidRPr="00F33E5C">
        <w:t xml:space="preserve"> For instance, in 2024 the </w:t>
      </w:r>
      <w:r w:rsidR="00CF1033" w:rsidRPr="00F33E5C">
        <w:t xml:space="preserve">game management fee was </w:t>
      </w:r>
      <w:r w:rsidR="00F33E5C">
        <w:t>€</w:t>
      </w:r>
      <w:r w:rsidR="00CF1033" w:rsidRPr="00F33E5C">
        <w:t xml:space="preserve">43, </w:t>
      </w:r>
      <w:r w:rsidR="001E68C0" w:rsidRPr="00F33E5C">
        <w:t xml:space="preserve">while </w:t>
      </w:r>
      <w:r w:rsidR="00FE76B5" w:rsidRPr="00F33E5C">
        <w:t xml:space="preserve">in 2009 it was </w:t>
      </w:r>
      <w:r w:rsidR="00F33E5C">
        <w:t>€</w:t>
      </w:r>
      <w:r w:rsidR="00FE76B5" w:rsidRPr="00F33E5C">
        <w:t>28.</w:t>
      </w:r>
    </w:p>
    <w:p w14:paraId="0720DD5E" w14:textId="714D423D" w:rsidR="000A4E61" w:rsidRPr="00EA4C9B" w:rsidRDefault="000A4E61" w:rsidP="000A4E61">
      <w:r w:rsidRPr="00EA4C9B">
        <w:t>Moreover, in terms of GDP ratios, pollution taxes decreased by 69.9% and resource taxes decreased by 63% (</w:t>
      </w:r>
      <w:r w:rsidR="00EF52BC" w:rsidRPr="00EF52BC">
        <w:fldChar w:fldCharType="begin"/>
      </w:r>
      <w:r w:rsidR="00EF52BC" w:rsidRPr="00EF52BC">
        <w:instrText xml:space="preserve"> REF _Ref201233865 \h  \* MERGEFORMAT </w:instrText>
      </w:r>
      <w:r w:rsidR="00EF52BC" w:rsidRPr="00EF52BC">
        <w:fldChar w:fldCharType="separate"/>
      </w:r>
      <w:r w:rsidR="00EF52BC" w:rsidRPr="00EF52BC">
        <w:t xml:space="preserve">Figure </w:t>
      </w:r>
      <w:r w:rsidR="00490085">
        <w:t>A6</w:t>
      </w:r>
      <w:r w:rsidR="00EF52BC" w:rsidRPr="00EF52BC">
        <w:t>-</w:t>
      </w:r>
      <w:r w:rsidR="00EF52BC" w:rsidRPr="00EF52BC">
        <w:rPr>
          <w:noProof/>
        </w:rPr>
        <w:t>26</w:t>
      </w:r>
      <w:r w:rsidR="00EF52BC" w:rsidRPr="00EF52BC">
        <w:fldChar w:fldCharType="end"/>
      </w:r>
      <w:r w:rsidRPr="00EF52BC">
        <w:t>).</w:t>
      </w:r>
      <w:r w:rsidRPr="00EA4C9B">
        <w:t xml:space="preserve"> In 2023, pollution and resource tax revenues accounted for — respectively — 0.5% and 0.2% of the total environmental tax revenues.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A4E61" w:rsidRPr="00EA4C9B" w14:paraId="60272989" w14:textId="77777777" w:rsidTr="00BA7936">
        <w:tc>
          <w:tcPr>
            <w:tcW w:w="9016" w:type="dxa"/>
          </w:tcPr>
          <w:p w14:paraId="12D9225D" w14:textId="77777777" w:rsidR="000A4E61" w:rsidRPr="00EA4C9B" w:rsidRDefault="000A4E61">
            <w:pPr>
              <w:spacing w:after="0"/>
              <w:jc w:val="center"/>
              <w:rPr>
                <w:sz w:val="10"/>
                <w:szCs w:val="10"/>
              </w:rPr>
            </w:pPr>
          </w:p>
          <w:p w14:paraId="2F07FAA4" w14:textId="77777777" w:rsidR="000A4E61" w:rsidRPr="00EA4C9B" w:rsidRDefault="000A4E61">
            <w:pPr>
              <w:spacing w:after="0"/>
              <w:jc w:val="center"/>
            </w:pPr>
            <w:r w:rsidRPr="00EA4C9B">
              <w:rPr>
                <w:noProof/>
              </w:rPr>
              <w:drawing>
                <wp:inline distT="0" distB="0" distL="0" distR="0" wp14:anchorId="37408DFB" wp14:editId="7473D351">
                  <wp:extent cx="5581648" cy="1247775"/>
                  <wp:effectExtent l="0" t="0" r="0" b="0"/>
                  <wp:docPr id="1318782469" name="Picture 1318782469" descr="A graph with gree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82469" name="Picture 1318782469" descr="A graph with green and blue bars&#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81648" cy="1247775"/>
                          </a:xfrm>
                          <a:prstGeom prst="rect">
                            <a:avLst/>
                          </a:prstGeom>
                        </pic:spPr>
                      </pic:pic>
                    </a:graphicData>
                  </a:graphic>
                </wp:inline>
              </w:drawing>
            </w:r>
          </w:p>
        </w:tc>
      </w:tr>
      <w:tr w:rsidR="000A4E61" w:rsidRPr="00EA4C9B" w14:paraId="6DFB8ECF" w14:textId="77777777" w:rsidTr="00BA7936">
        <w:tc>
          <w:tcPr>
            <w:tcW w:w="9016" w:type="dxa"/>
            <w:shd w:val="clear" w:color="auto" w:fill="003399"/>
          </w:tcPr>
          <w:p w14:paraId="5971634E" w14:textId="649D48DC" w:rsidR="000A4E61" w:rsidRPr="00EA4C9B" w:rsidRDefault="002847DA" w:rsidP="00F33645">
            <w:pPr>
              <w:pStyle w:val="FigTabCaption"/>
              <w:rPr>
                <w:bCs/>
              </w:rPr>
            </w:pPr>
            <w:r w:rsidRPr="00051732">
              <w:t xml:space="preserve">Figure </w:t>
            </w:r>
            <w:r w:rsidR="00490085">
              <w:t>A6</w:t>
            </w:r>
            <w:r w:rsidRPr="00051732">
              <w:t>-</w:t>
            </w:r>
            <w:r>
              <w:fldChar w:fldCharType="begin"/>
            </w:r>
            <w:r>
              <w:instrText>SEQ Figure_A5- \* ARABIC</w:instrText>
            </w:r>
            <w:r>
              <w:fldChar w:fldCharType="separate"/>
            </w:r>
            <w:r w:rsidR="0091411A">
              <w:rPr>
                <w:noProof/>
              </w:rPr>
              <w:t>27</w:t>
            </w:r>
            <w:r>
              <w:fldChar w:fldCharType="end"/>
            </w:r>
            <w:r w:rsidR="000A4E61" w:rsidRPr="00EA4C9B">
              <w:t>: Resource and pollution tax revenues in Finland (2009-2023) in million euros</w:t>
            </w:r>
            <w:r w:rsidR="008B55F9">
              <w:t xml:space="preserve">. </w:t>
            </w:r>
            <w:r w:rsidR="008B55F9" w:rsidRPr="00EA4C9B">
              <w:rPr>
                <w:i/>
                <w:iCs/>
                <w:lang w:eastAsia="en-GB"/>
              </w:rPr>
              <w:t>Note: the share between pollution and resource taxes in 2023 was estimated as the weighted average of past years</w:t>
            </w:r>
          </w:p>
        </w:tc>
      </w:tr>
    </w:tbl>
    <w:p w14:paraId="4FAA8CFC" w14:textId="77777777" w:rsidR="004D79A5" w:rsidRPr="004D79A5" w:rsidRDefault="004D79A5" w:rsidP="004D79A5">
      <w:pPr>
        <w:pStyle w:val="Heading4"/>
      </w:pPr>
      <w:r w:rsidRPr="004D79A5">
        <w:t>List of pollution and resource taxes and revenue shares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41"/>
        <w:gridCol w:w="2241"/>
        <w:gridCol w:w="2241"/>
        <w:gridCol w:w="2241"/>
      </w:tblGrid>
      <w:tr w:rsidR="000A4E61" w:rsidRPr="00EA4C9B" w14:paraId="461AFC98" w14:textId="77777777">
        <w:trPr>
          <w:trHeight w:val="300"/>
        </w:trPr>
        <w:tc>
          <w:tcPr>
            <w:tcW w:w="8964" w:type="dxa"/>
            <w:gridSpan w:val="4"/>
            <w:tcBorders>
              <w:top w:val="single" w:sz="6" w:space="0" w:color="auto"/>
              <w:left w:val="single" w:sz="6" w:space="0" w:color="auto"/>
              <w:bottom w:val="single" w:sz="6" w:space="0" w:color="auto"/>
              <w:right w:val="single" w:sz="6" w:space="0" w:color="auto"/>
            </w:tcBorders>
            <w:shd w:val="clear" w:color="auto" w:fill="003399"/>
          </w:tcPr>
          <w:p w14:paraId="6559EE61" w14:textId="6CCE5550" w:rsidR="000A4E61" w:rsidRPr="00A158D9" w:rsidRDefault="002847DA" w:rsidP="00A158D9">
            <w:pPr>
              <w:pStyle w:val="Table"/>
              <w:rPr>
                <w:rFonts w:eastAsia="Calibri" w:cstheme="minorHAnsi"/>
                <w:b/>
                <w:color w:val="FFFFFF" w:themeColor="background1"/>
                <w:szCs w:val="20"/>
              </w:rPr>
            </w:pPr>
            <w:r w:rsidRPr="00A158D9">
              <w:rPr>
                <w:b/>
                <w:color w:val="FFFFFF" w:themeColor="background1"/>
              </w:rPr>
              <w:t xml:space="preserve">Table </w:t>
            </w:r>
            <w:r w:rsidR="00490085">
              <w:rPr>
                <w:b/>
                <w:color w:val="FFFFFF" w:themeColor="background1"/>
              </w:rPr>
              <w:t>A6</w:t>
            </w:r>
            <w:r w:rsidR="00A158D9" w:rsidRPr="00A158D9">
              <w:rPr>
                <w:b/>
                <w:bCs/>
                <w:color w:val="FFFFFF" w:themeColor="background1"/>
              </w:rPr>
              <w:t>-</w:t>
            </w:r>
            <w:r w:rsidR="00A158D9" w:rsidRPr="00A158D9">
              <w:rPr>
                <w:b/>
                <w:bCs/>
                <w:color w:val="FFFFFF" w:themeColor="background1"/>
              </w:rPr>
              <w:fldChar w:fldCharType="begin"/>
            </w:r>
            <w:r w:rsidR="00A158D9" w:rsidRPr="00A158D9">
              <w:rPr>
                <w:b/>
                <w:bCs/>
                <w:color w:val="FFFFFF" w:themeColor="background1"/>
              </w:rPr>
              <w:instrText xml:space="preserve"> SEQ Table_A5- \* ARABIC </w:instrText>
            </w:r>
            <w:r w:rsidR="00A158D9" w:rsidRPr="00A158D9">
              <w:rPr>
                <w:b/>
                <w:bCs/>
                <w:color w:val="FFFFFF" w:themeColor="background1"/>
              </w:rPr>
              <w:fldChar w:fldCharType="separate"/>
            </w:r>
            <w:r w:rsidR="00F33E5C">
              <w:rPr>
                <w:b/>
                <w:bCs/>
                <w:noProof/>
                <w:color w:val="FFFFFF" w:themeColor="background1"/>
              </w:rPr>
              <w:t>50</w:t>
            </w:r>
            <w:r w:rsidR="00A158D9" w:rsidRPr="00A158D9">
              <w:rPr>
                <w:b/>
                <w:bCs/>
                <w:color w:val="FFFFFF" w:themeColor="background1"/>
              </w:rPr>
              <w:fldChar w:fldCharType="end"/>
            </w:r>
            <w:r w:rsidR="000A4E61" w:rsidRPr="00A158D9">
              <w:rPr>
                <w:rFonts w:eastAsia="Calibri" w:cstheme="minorHAnsi"/>
                <w:b/>
                <w:color w:val="FFFFFF" w:themeColor="background1"/>
                <w:szCs w:val="20"/>
              </w:rPr>
              <w:t>:  Pollution taxes </w:t>
            </w:r>
          </w:p>
        </w:tc>
      </w:tr>
      <w:tr w:rsidR="000A4E61" w:rsidRPr="00EA4C9B" w14:paraId="70A24469" w14:textId="77777777">
        <w:trPr>
          <w:trHeight w:val="300"/>
        </w:trPr>
        <w:tc>
          <w:tcPr>
            <w:tcW w:w="2241" w:type="dxa"/>
            <w:tcBorders>
              <w:top w:val="single" w:sz="6" w:space="0" w:color="auto"/>
              <w:left w:val="single" w:sz="6" w:space="0" w:color="auto"/>
              <w:bottom w:val="single" w:sz="6" w:space="0" w:color="auto"/>
              <w:right w:val="single" w:sz="6" w:space="0" w:color="auto"/>
            </w:tcBorders>
          </w:tcPr>
          <w:p w14:paraId="145928A4" w14:textId="77777777" w:rsidR="000A4E61" w:rsidRPr="002847DA" w:rsidRDefault="000A4E61" w:rsidP="00A158D9">
            <w:pPr>
              <w:pStyle w:val="Table"/>
              <w:rPr>
                <w:rFonts w:eastAsia="Calibri" w:cstheme="minorHAnsi"/>
                <w:szCs w:val="20"/>
              </w:rPr>
            </w:pPr>
            <w:r w:rsidRPr="002847DA">
              <w:rPr>
                <w:rFonts w:eastAsia="Calibri" w:cstheme="minorHAnsi"/>
                <w:b/>
                <w:szCs w:val="20"/>
              </w:rPr>
              <w:t>Tax Name</w:t>
            </w:r>
            <w:r w:rsidRPr="002847DA">
              <w:rPr>
                <w:rFonts w:eastAsia="Calibri" w:cstheme="minorHAnsi"/>
                <w:szCs w:val="20"/>
              </w:rPr>
              <w:t> </w:t>
            </w:r>
          </w:p>
        </w:tc>
        <w:tc>
          <w:tcPr>
            <w:tcW w:w="2241" w:type="dxa"/>
            <w:tcBorders>
              <w:top w:val="single" w:sz="6" w:space="0" w:color="auto"/>
              <w:left w:val="single" w:sz="6" w:space="0" w:color="auto"/>
              <w:bottom w:val="single" w:sz="6" w:space="0" w:color="auto"/>
              <w:right w:val="single" w:sz="6" w:space="0" w:color="auto"/>
            </w:tcBorders>
          </w:tcPr>
          <w:p w14:paraId="3B78D1C0" w14:textId="77777777" w:rsidR="000A4E61" w:rsidRPr="002847DA" w:rsidRDefault="000A4E61" w:rsidP="00F33E5C">
            <w:pPr>
              <w:pStyle w:val="Table"/>
              <w:jc w:val="center"/>
              <w:rPr>
                <w:rFonts w:eastAsia="Calibri" w:cstheme="minorHAnsi"/>
                <w:szCs w:val="20"/>
              </w:rPr>
            </w:pPr>
            <w:r w:rsidRPr="002847DA">
              <w:rPr>
                <w:rFonts w:eastAsia="Calibri" w:cstheme="minorHAnsi"/>
                <w:b/>
                <w:szCs w:val="20"/>
              </w:rPr>
              <w:t>Revenue (€ million)</w:t>
            </w:r>
          </w:p>
          <w:p w14:paraId="2513991B" w14:textId="77777777" w:rsidR="000A4E61" w:rsidRPr="002847DA" w:rsidRDefault="000A4E61" w:rsidP="00F33E5C">
            <w:pPr>
              <w:pStyle w:val="Table"/>
              <w:jc w:val="center"/>
              <w:rPr>
                <w:rFonts w:eastAsia="Calibri" w:cstheme="minorHAnsi"/>
                <w:szCs w:val="20"/>
              </w:rPr>
            </w:pPr>
            <w:r w:rsidRPr="002847DA">
              <w:rPr>
                <w:rFonts w:eastAsia="Calibri" w:cstheme="minorHAnsi"/>
                <w:b/>
                <w:szCs w:val="20"/>
              </w:rPr>
              <w:t>2009-2023</w:t>
            </w:r>
          </w:p>
        </w:tc>
        <w:tc>
          <w:tcPr>
            <w:tcW w:w="2241" w:type="dxa"/>
            <w:tcBorders>
              <w:top w:val="single" w:sz="6" w:space="0" w:color="auto"/>
              <w:left w:val="single" w:sz="6" w:space="0" w:color="auto"/>
              <w:bottom w:val="single" w:sz="6" w:space="0" w:color="auto"/>
              <w:right w:val="single" w:sz="6" w:space="0" w:color="auto"/>
            </w:tcBorders>
          </w:tcPr>
          <w:p w14:paraId="7BE558ED" w14:textId="77777777" w:rsidR="000A4E61" w:rsidRPr="002847DA" w:rsidRDefault="000A4E61" w:rsidP="00F33E5C">
            <w:pPr>
              <w:pStyle w:val="Table"/>
              <w:jc w:val="center"/>
              <w:rPr>
                <w:rFonts w:eastAsia="Calibri" w:cstheme="minorHAnsi"/>
                <w:szCs w:val="20"/>
              </w:rPr>
            </w:pPr>
            <w:r w:rsidRPr="002847DA">
              <w:rPr>
                <w:rFonts w:eastAsia="Calibri" w:cstheme="minorHAnsi"/>
                <w:b/>
                <w:szCs w:val="20"/>
              </w:rPr>
              <w:t>Average annual revenue (€ million)</w:t>
            </w:r>
          </w:p>
        </w:tc>
        <w:tc>
          <w:tcPr>
            <w:tcW w:w="2241" w:type="dxa"/>
            <w:tcBorders>
              <w:top w:val="single" w:sz="6" w:space="0" w:color="auto"/>
              <w:left w:val="single" w:sz="6" w:space="0" w:color="auto"/>
              <w:bottom w:val="single" w:sz="6" w:space="0" w:color="auto"/>
              <w:right w:val="single" w:sz="6" w:space="0" w:color="auto"/>
            </w:tcBorders>
          </w:tcPr>
          <w:p w14:paraId="28917E2D" w14:textId="77777777" w:rsidR="000A4E61" w:rsidRPr="002847DA" w:rsidRDefault="000A4E61" w:rsidP="00F33E5C">
            <w:pPr>
              <w:pStyle w:val="Table"/>
              <w:jc w:val="center"/>
              <w:rPr>
                <w:rFonts w:eastAsia="Calibri" w:cstheme="minorHAnsi"/>
                <w:szCs w:val="20"/>
              </w:rPr>
            </w:pPr>
            <w:r w:rsidRPr="002847DA">
              <w:rPr>
                <w:rFonts w:eastAsia="Calibri" w:cstheme="minorHAnsi"/>
                <w:b/>
                <w:szCs w:val="20"/>
              </w:rPr>
              <w:t>As a share of all pollution tax revenues</w:t>
            </w:r>
          </w:p>
        </w:tc>
      </w:tr>
      <w:tr w:rsidR="000A4E61" w:rsidRPr="00EA4C9B" w14:paraId="4C0E7FA0" w14:textId="77777777">
        <w:trPr>
          <w:trHeight w:val="300"/>
        </w:trPr>
        <w:tc>
          <w:tcPr>
            <w:tcW w:w="2241" w:type="dxa"/>
            <w:tcBorders>
              <w:top w:val="single" w:sz="6" w:space="0" w:color="auto"/>
              <w:left w:val="single" w:sz="6" w:space="0" w:color="auto"/>
              <w:bottom w:val="single" w:sz="6" w:space="0" w:color="auto"/>
              <w:right w:val="single" w:sz="6" w:space="0" w:color="auto"/>
            </w:tcBorders>
          </w:tcPr>
          <w:p w14:paraId="1C27559A" w14:textId="77777777" w:rsidR="000A4E61" w:rsidRPr="00EA4C9B" w:rsidRDefault="000A4E61" w:rsidP="00A158D9">
            <w:pPr>
              <w:pStyle w:val="Table"/>
              <w:rPr>
                <w:rFonts w:cstheme="minorHAnsi"/>
                <w:szCs w:val="20"/>
              </w:rPr>
            </w:pPr>
            <w:r w:rsidRPr="00EA4C9B">
              <w:rPr>
                <w:rFonts w:cstheme="minorHAnsi"/>
                <w:szCs w:val="20"/>
              </w:rPr>
              <w:t>Oil damage levy</w:t>
            </w:r>
          </w:p>
        </w:tc>
        <w:tc>
          <w:tcPr>
            <w:tcW w:w="2241" w:type="dxa"/>
            <w:tcBorders>
              <w:top w:val="single" w:sz="6" w:space="0" w:color="auto"/>
              <w:left w:val="single" w:sz="6" w:space="0" w:color="auto"/>
              <w:bottom w:val="single" w:sz="6" w:space="0" w:color="auto"/>
              <w:right w:val="single" w:sz="6" w:space="0" w:color="auto"/>
            </w:tcBorders>
            <w:vAlign w:val="bottom"/>
          </w:tcPr>
          <w:p w14:paraId="2C0BA62D" w14:textId="77777777" w:rsidR="000A4E61" w:rsidRPr="00EA4C9B" w:rsidRDefault="000A4E61" w:rsidP="00F33E5C">
            <w:pPr>
              <w:pStyle w:val="Table"/>
              <w:jc w:val="center"/>
              <w:rPr>
                <w:rFonts w:eastAsia="Calibri" w:cstheme="minorHAnsi"/>
                <w:szCs w:val="20"/>
              </w:rPr>
            </w:pPr>
            <w:r w:rsidRPr="00EA4C9B">
              <w:rPr>
                <w:rFonts w:cstheme="minorHAnsi"/>
                <w:color w:val="000000"/>
                <w:szCs w:val="20"/>
              </w:rPr>
              <w:t>187.7</w:t>
            </w:r>
          </w:p>
        </w:tc>
        <w:tc>
          <w:tcPr>
            <w:tcW w:w="2241" w:type="dxa"/>
            <w:tcBorders>
              <w:top w:val="single" w:sz="6" w:space="0" w:color="auto"/>
              <w:left w:val="single" w:sz="6" w:space="0" w:color="auto"/>
              <w:bottom w:val="single" w:sz="6" w:space="0" w:color="auto"/>
              <w:right w:val="single" w:sz="6" w:space="0" w:color="auto"/>
            </w:tcBorders>
            <w:vAlign w:val="bottom"/>
          </w:tcPr>
          <w:p w14:paraId="55F2CCC9" w14:textId="77777777" w:rsidR="000A4E61" w:rsidRPr="00EA4C9B" w:rsidRDefault="000A4E61" w:rsidP="00F33E5C">
            <w:pPr>
              <w:pStyle w:val="Table"/>
              <w:jc w:val="center"/>
              <w:rPr>
                <w:rFonts w:eastAsia="Calibri" w:cstheme="minorHAnsi"/>
                <w:szCs w:val="20"/>
              </w:rPr>
            </w:pPr>
            <w:r w:rsidRPr="00EA4C9B">
              <w:rPr>
                <w:rFonts w:cstheme="minorHAnsi"/>
                <w:color w:val="000000"/>
                <w:szCs w:val="20"/>
              </w:rPr>
              <w:t>12.5</w:t>
            </w:r>
          </w:p>
        </w:tc>
        <w:tc>
          <w:tcPr>
            <w:tcW w:w="2241" w:type="dxa"/>
            <w:tcBorders>
              <w:top w:val="single" w:sz="6" w:space="0" w:color="auto"/>
              <w:left w:val="single" w:sz="6" w:space="0" w:color="auto"/>
              <w:bottom w:val="single" w:sz="6" w:space="0" w:color="auto"/>
              <w:right w:val="single" w:sz="6" w:space="0" w:color="auto"/>
            </w:tcBorders>
          </w:tcPr>
          <w:p w14:paraId="5EA71CF3" w14:textId="77777777" w:rsidR="000A4E61" w:rsidRPr="00EA4C9B" w:rsidRDefault="000A4E61" w:rsidP="00F33E5C">
            <w:pPr>
              <w:pStyle w:val="Table"/>
              <w:jc w:val="center"/>
              <w:rPr>
                <w:rFonts w:eastAsia="Calibri" w:cstheme="minorHAnsi"/>
                <w:szCs w:val="20"/>
              </w:rPr>
            </w:pPr>
            <w:r w:rsidRPr="00EA4C9B">
              <w:rPr>
                <w:rFonts w:cstheme="minorHAnsi"/>
                <w:color w:val="000000"/>
                <w:szCs w:val="20"/>
              </w:rPr>
              <w:t>100%</w:t>
            </w:r>
          </w:p>
        </w:tc>
      </w:tr>
    </w:tbl>
    <w:p w14:paraId="634305CC" w14:textId="77777777" w:rsidR="000A4E61" w:rsidRPr="00EA4C9B" w:rsidRDefault="000A4E61" w:rsidP="000A4E61">
      <w:pPr>
        <w:spacing w:after="0"/>
        <w:rPr>
          <w:rFonts w:eastAsia="Calibri" w:cstheme="minorHAnsi"/>
          <w:color w:val="000000" w:themeColor="text1"/>
          <w:sz w:val="20"/>
          <w:szCs w:val="20"/>
        </w:rPr>
      </w:pPr>
      <w:r w:rsidRPr="00EA4C9B">
        <w:rPr>
          <w:rFonts w:eastAsia="Calibri" w:cstheme="minorHAnsi"/>
          <w:color w:val="000000" w:themeColor="text1"/>
          <w:sz w:val="20"/>
          <w:szCs w:val="20"/>
        </w:rPr>
        <w:lastRenderedPageBreak/>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41"/>
        <w:gridCol w:w="2241"/>
        <w:gridCol w:w="2241"/>
        <w:gridCol w:w="2241"/>
      </w:tblGrid>
      <w:tr w:rsidR="000A4E61" w:rsidRPr="00EA4C9B" w14:paraId="157BB629" w14:textId="77777777">
        <w:trPr>
          <w:trHeight w:val="300"/>
        </w:trPr>
        <w:tc>
          <w:tcPr>
            <w:tcW w:w="8964" w:type="dxa"/>
            <w:gridSpan w:val="4"/>
            <w:tcBorders>
              <w:top w:val="single" w:sz="6" w:space="0" w:color="auto"/>
              <w:left w:val="single" w:sz="6" w:space="0" w:color="auto"/>
              <w:bottom w:val="single" w:sz="6" w:space="0" w:color="auto"/>
              <w:right w:val="single" w:sz="6" w:space="0" w:color="auto"/>
            </w:tcBorders>
            <w:shd w:val="clear" w:color="auto" w:fill="003399"/>
          </w:tcPr>
          <w:p w14:paraId="1D4259CC" w14:textId="5466E04D" w:rsidR="000A4E61" w:rsidRPr="00A158D9" w:rsidRDefault="002847DA" w:rsidP="00A158D9">
            <w:pPr>
              <w:pStyle w:val="Table"/>
              <w:rPr>
                <w:rFonts w:eastAsia="Calibri" w:cstheme="minorHAnsi"/>
                <w:b/>
                <w:color w:val="FFFFFF" w:themeColor="background1"/>
                <w:szCs w:val="20"/>
              </w:rPr>
            </w:pPr>
            <w:r w:rsidRPr="00A158D9">
              <w:rPr>
                <w:b/>
                <w:color w:val="FFFFFF" w:themeColor="background1"/>
              </w:rPr>
              <w:t xml:space="preserve">Table </w:t>
            </w:r>
            <w:r w:rsidR="00490085">
              <w:rPr>
                <w:b/>
                <w:color w:val="FFFFFF" w:themeColor="background1"/>
              </w:rPr>
              <w:t>A6</w:t>
            </w:r>
            <w:r w:rsidR="00A158D9" w:rsidRPr="00A158D9">
              <w:rPr>
                <w:b/>
                <w:bCs/>
                <w:color w:val="FFFFFF" w:themeColor="background1"/>
              </w:rPr>
              <w:t>-</w:t>
            </w:r>
            <w:r w:rsidR="00A158D9" w:rsidRPr="00A158D9">
              <w:rPr>
                <w:b/>
                <w:bCs/>
                <w:color w:val="FFFFFF" w:themeColor="background1"/>
              </w:rPr>
              <w:fldChar w:fldCharType="begin"/>
            </w:r>
            <w:r w:rsidR="00A158D9" w:rsidRPr="00A158D9">
              <w:rPr>
                <w:b/>
                <w:bCs/>
                <w:color w:val="FFFFFF" w:themeColor="background1"/>
              </w:rPr>
              <w:instrText xml:space="preserve"> SEQ Table_A5- \* ARABIC </w:instrText>
            </w:r>
            <w:r w:rsidR="00A158D9" w:rsidRPr="00A158D9">
              <w:rPr>
                <w:b/>
                <w:bCs/>
                <w:color w:val="FFFFFF" w:themeColor="background1"/>
              </w:rPr>
              <w:fldChar w:fldCharType="separate"/>
            </w:r>
            <w:r w:rsidR="00F33E5C">
              <w:rPr>
                <w:b/>
                <w:bCs/>
                <w:noProof/>
                <w:color w:val="FFFFFF" w:themeColor="background1"/>
              </w:rPr>
              <w:t>51</w:t>
            </w:r>
            <w:r w:rsidR="00A158D9" w:rsidRPr="00A158D9">
              <w:rPr>
                <w:b/>
                <w:bCs/>
                <w:color w:val="FFFFFF" w:themeColor="background1"/>
              </w:rPr>
              <w:fldChar w:fldCharType="end"/>
            </w:r>
            <w:r w:rsidR="000A4E61" w:rsidRPr="00A158D9">
              <w:rPr>
                <w:rFonts w:eastAsia="Calibri" w:cstheme="minorHAnsi"/>
                <w:b/>
                <w:color w:val="FFFFFF" w:themeColor="background1"/>
                <w:szCs w:val="20"/>
              </w:rPr>
              <w:t>:  Waste taxes </w:t>
            </w:r>
          </w:p>
        </w:tc>
      </w:tr>
      <w:tr w:rsidR="000A4E61" w:rsidRPr="00EA4C9B" w14:paraId="784150BC" w14:textId="77777777">
        <w:trPr>
          <w:trHeight w:val="300"/>
        </w:trPr>
        <w:tc>
          <w:tcPr>
            <w:tcW w:w="2241" w:type="dxa"/>
            <w:tcBorders>
              <w:top w:val="single" w:sz="6" w:space="0" w:color="auto"/>
              <w:left w:val="single" w:sz="6" w:space="0" w:color="auto"/>
              <w:bottom w:val="single" w:sz="6" w:space="0" w:color="auto"/>
              <w:right w:val="single" w:sz="6" w:space="0" w:color="auto"/>
            </w:tcBorders>
          </w:tcPr>
          <w:p w14:paraId="46080E92" w14:textId="77777777" w:rsidR="000A4E61" w:rsidRPr="00EA4C9B" w:rsidRDefault="000A4E61" w:rsidP="00A158D9">
            <w:pPr>
              <w:pStyle w:val="Table"/>
              <w:rPr>
                <w:rFonts w:eastAsia="Calibri" w:cstheme="minorHAnsi"/>
                <w:szCs w:val="20"/>
              </w:rPr>
            </w:pPr>
            <w:r w:rsidRPr="00EA4C9B">
              <w:rPr>
                <w:rFonts w:eastAsia="Calibri" w:cstheme="minorHAnsi"/>
                <w:b/>
                <w:szCs w:val="20"/>
              </w:rPr>
              <w:t>Tax Name</w:t>
            </w:r>
            <w:r w:rsidRPr="00EA4C9B">
              <w:rPr>
                <w:rFonts w:eastAsia="Calibri" w:cstheme="minorHAnsi"/>
                <w:szCs w:val="20"/>
              </w:rPr>
              <w:t> </w:t>
            </w:r>
          </w:p>
        </w:tc>
        <w:tc>
          <w:tcPr>
            <w:tcW w:w="2241" w:type="dxa"/>
            <w:tcBorders>
              <w:top w:val="single" w:sz="6" w:space="0" w:color="auto"/>
              <w:left w:val="single" w:sz="6" w:space="0" w:color="auto"/>
              <w:bottom w:val="single" w:sz="6" w:space="0" w:color="auto"/>
              <w:right w:val="single" w:sz="6" w:space="0" w:color="auto"/>
            </w:tcBorders>
          </w:tcPr>
          <w:p w14:paraId="3E23E269" w14:textId="77777777" w:rsidR="000A4E61" w:rsidRPr="00EA4C9B" w:rsidRDefault="000A4E61" w:rsidP="00F33E5C">
            <w:pPr>
              <w:pStyle w:val="Table"/>
              <w:jc w:val="center"/>
              <w:rPr>
                <w:rFonts w:eastAsia="Calibri" w:cstheme="minorHAnsi"/>
                <w:szCs w:val="20"/>
              </w:rPr>
            </w:pPr>
            <w:r w:rsidRPr="00EA4C9B">
              <w:rPr>
                <w:rFonts w:eastAsia="Calibri" w:cstheme="minorHAnsi"/>
                <w:b/>
                <w:szCs w:val="20"/>
              </w:rPr>
              <w:t>Revenue (€ million)</w:t>
            </w:r>
          </w:p>
          <w:p w14:paraId="01B1BB27" w14:textId="77777777" w:rsidR="000A4E61" w:rsidRPr="00EA4C9B" w:rsidRDefault="000A4E61" w:rsidP="00F33E5C">
            <w:pPr>
              <w:pStyle w:val="Table"/>
              <w:jc w:val="center"/>
              <w:rPr>
                <w:rFonts w:eastAsia="Calibri" w:cstheme="minorHAnsi"/>
                <w:szCs w:val="20"/>
              </w:rPr>
            </w:pPr>
            <w:r w:rsidRPr="00EA4C9B">
              <w:rPr>
                <w:rFonts w:eastAsia="Calibri" w:cstheme="minorHAnsi"/>
                <w:b/>
                <w:szCs w:val="20"/>
              </w:rPr>
              <w:t>2009-2023</w:t>
            </w:r>
          </w:p>
        </w:tc>
        <w:tc>
          <w:tcPr>
            <w:tcW w:w="2241" w:type="dxa"/>
            <w:tcBorders>
              <w:top w:val="single" w:sz="6" w:space="0" w:color="auto"/>
              <w:left w:val="single" w:sz="6" w:space="0" w:color="auto"/>
              <w:bottom w:val="single" w:sz="6" w:space="0" w:color="auto"/>
              <w:right w:val="single" w:sz="6" w:space="0" w:color="auto"/>
            </w:tcBorders>
          </w:tcPr>
          <w:p w14:paraId="1A6574F4" w14:textId="77777777" w:rsidR="000A4E61" w:rsidRPr="00EA4C9B" w:rsidRDefault="000A4E61" w:rsidP="00F33E5C">
            <w:pPr>
              <w:pStyle w:val="Table"/>
              <w:jc w:val="center"/>
              <w:rPr>
                <w:rFonts w:eastAsia="Calibri" w:cstheme="minorHAnsi"/>
                <w:szCs w:val="20"/>
              </w:rPr>
            </w:pPr>
            <w:r w:rsidRPr="00EA4C9B">
              <w:rPr>
                <w:rFonts w:eastAsia="Calibri" w:cstheme="minorHAnsi"/>
                <w:b/>
                <w:szCs w:val="20"/>
              </w:rPr>
              <w:t>Average annual revenue (€ million)</w:t>
            </w:r>
          </w:p>
        </w:tc>
        <w:tc>
          <w:tcPr>
            <w:tcW w:w="2241" w:type="dxa"/>
            <w:tcBorders>
              <w:top w:val="single" w:sz="6" w:space="0" w:color="auto"/>
              <w:left w:val="single" w:sz="6" w:space="0" w:color="auto"/>
              <w:bottom w:val="single" w:sz="6" w:space="0" w:color="auto"/>
              <w:right w:val="single" w:sz="6" w:space="0" w:color="auto"/>
            </w:tcBorders>
          </w:tcPr>
          <w:p w14:paraId="41446772" w14:textId="77777777" w:rsidR="000A4E61" w:rsidRPr="00EA4C9B" w:rsidRDefault="000A4E61" w:rsidP="00F33E5C">
            <w:pPr>
              <w:pStyle w:val="Table"/>
              <w:jc w:val="center"/>
              <w:rPr>
                <w:rFonts w:eastAsia="Calibri" w:cstheme="minorHAnsi"/>
                <w:szCs w:val="20"/>
              </w:rPr>
            </w:pPr>
            <w:r w:rsidRPr="00EA4C9B">
              <w:rPr>
                <w:rFonts w:eastAsia="Calibri" w:cstheme="minorHAnsi"/>
                <w:b/>
                <w:szCs w:val="20"/>
              </w:rPr>
              <w:t>As a share of all waste tax revenues</w:t>
            </w:r>
          </w:p>
        </w:tc>
      </w:tr>
      <w:tr w:rsidR="000A4E61" w:rsidRPr="00EA4C9B" w14:paraId="1029C829" w14:textId="77777777">
        <w:trPr>
          <w:trHeight w:val="300"/>
        </w:trPr>
        <w:tc>
          <w:tcPr>
            <w:tcW w:w="2241" w:type="dxa"/>
            <w:tcBorders>
              <w:top w:val="single" w:sz="6" w:space="0" w:color="auto"/>
              <w:left w:val="single" w:sz="6" w:space="0" w:color="auto"/>
              <w:bottom w:val="single" w:sz="6" w:space="0" w:color="auto"/>
              <w:right w:val="single" w:sz="6" w:space="0" w:color="auto"/>
            </w:tcBorders>
            <w:vAlign w:val="bottom"/>
          </w:tcPr>
          <w:p w14:paraId="7CC331B5" w14:textId="77777777" w:rsidR="000A4E61" w:rsidRPr="00EA4C9B" w:rsidRDefault="000A4E61" w:rsidP="00A158D9">
            <w:pPr>
              <w:pStyle w:val="Table"/>
              <w:rPr>
                <w:rFonts w:eastAsia="Calibri" w:cstheme="minorHAnsi"/>
                <w:szCs w:val="20"/>
              </w:rPr>
            </w:pPr>
            <w:r w:rsidRPr="00EA4C9B">
              <w:rPr>
                <w:rFonts w:cstheme="minorHAnsi"/>
                <w:szCs w:val="20"/>
              </w:rPr>
              <w:t>Excise on certain beverage packages</w:t>
            </w:r>
          </w:p>
        </w:tc>
        <w:tc>
          <w:tcPr>
            <w:tcW w:w="2241" w:type="dxa"/>
            <w:tcBorders>
              <w:top w:val="single" w:sz="6" w:space="0" w:color="auto"/>
              <w:left w:val="single" w:sz="6" w:space="0" w:color="auto"/>
              <w:bottom w:val="single" w:sz="6" w:space="0" w:color="auto"/>
              <w:right w:val="single" w:sz="6" w:space="0" w:color="auto"/>
            </w:tcBorders>
            <w:vAlign w:val="bottom"/>
          </w:tcPr>
          <w:p w14:paraId="6756DEDE" w14:textId="77777777" w:rsidR="000A4E61" w:rsidRPr="00EA4C9B" w:rsidRDefault="000A4E61" w:rsidP="00F33E5C">
            <w:pPr>
              <w:pStyle w:val="Table"/>
              <w:jc w:val="center"/>
              <w:rPr>
                <w:rFonts w:eastAsia="Calibri" w:cstheme="minorHAnsi"/>
                <w:szCs w:val="20"/>
              </w:rPr>
            </w:pPr>
            <w:r w:rsidRPr="00EA4C9B">
              <w:rPr>
                <w:rFonts w:cstheme="minorHAnsi"/>
                <w:color w:val="000000"/>
                <w:szCs w:val="20"/>
              </w:rPr>
              <w:t>216.7</w:t>
            </w:r>
          </w:p>
        </w:tc>
        <w:tc>
          <w:tcPr>
            <w:tcW w:w="2241" w:type="dxa"/>
            <w:tcBorders>
              <w:top w:val="single" w:sz="6" w:space="0" w:color="auto"/>
              <w:left w:val="single" w:sz="6" w:space="0" w:color="auto"/>
              <w:bottom w:val="single" w:sz="6" w:space="0" w:color="auto"/>
              <w:right w:val="single" w:sz="6" w:space="0" w:color="auto"/>
            </w:tcBorders>
            <w:vAlign w:val="bottom"/>
          </w:tcPr>
          <w:p w14:paraId="0AB0DD11" w14:textId="77777777" w:rsidR="000A4E61" w:rsidRPr="00EA4C9B" w:rsidRDefault="000A4E61" w:rsidP="00F33E5C">
            <w:pPr>
              <w:pStyle w:val="Table"/>
              <w:jc w:val="center"/>
              <w:rPr>
                <w:rFonts w:eastAsia="Calibri" w:cstheme="minorHAnsi"/>
                <w:szCs w:val="20"/>
              </w:rPr>
            </w:pPr>
            <w:r w:rsidRPr="00EA4C9B">
              <w:rPr>
                <w:rFonts w:cstheme="minorHAnsi"/>
                <w:color w:val="000000"/>
                <w:szCs w:val="20"/>
              </w:rPr>
              <w:t>14.4</w:t>
            </w:r>
          </w:p>
        </w:tc>
        <w:tc>
          <w:tcPr>
            <w:tcW w:w="2241" w:type="dxa"/>
            <w:tcBorders>
              <w:top w:val="single" w:sz="6" w:space="0" w:color="auto"/>
              <w:left w:val="single" w:sz="6" w:space="0" w:color="auto"/>
              <w:bottom w:val="single" w:sz="6" w:space="0" w:color="auto"/>
              <w:right w:val="single" w:sz="6" w:space="0" w:color="auto"/>
            </w:tcBorders>
            <w:vAlign w:val="bottom"/>
          </w:tcPr>
          <w:p w14:paraId="3E1D96AA" w14:textId="77777777" w:rsidR="000A4E61" w:rsidRPr="00EA4C9B" w:rsidRDefault="000A4E61" w:rsidP="00F33E5C">
            <w:pPr>
              <w:pStyle w:val="Table"/>
              <w:jc w:val="center"/>
              <w:rPr>
                <w:rFonts w:eastAsia="Calibri" w:cstheme="minorHAnsi"/>
                <w:szCs w:val="20"/>
              </w:rPr>
            </w:pPr>
            <w:r w:rsidRPr="00EA4C9B">
              <w:rPr>
                <w:rFonts w:cstheme="minorHAnsi"/>
                <w:color w:val="000000"/>
                <w:szCs w:val="20"/>
              </w:rPr>
              <w:t>33.3%</w:t>
            </w:r>
          </w:p>
        </w:tc>
      </w:tr>
      <w:tr w:rsidR="000A4E61" w:rsidRPr="00EA4C9B" w14:paraId="36A86D70" w14:textId="77777777">
        <w:trPr>
          <w:trHeight w:val="300"/>
        </w:trPr>
        <w:tc>
          <w:tcPr>
            <w:tcW w:w="2241" w:type="dxa"/>
            <w:tcBorders>
              <w:top w:val="single" w:sz="6" w:space="0" w:color="auto"/>
              <w:left w:val="single" w:sz="6" w:space="0" w:color="auto"/>
              <w:bottom w:val="single" w:sz="6" w:space="0" w:color="auto"/>
              <w:right w:val="single" w:sz="6" w:space="0" w:color="auto"/>
            </w:tcBorders>
            <w:vAlign w:val="bottom"/>
          </w:tcPr>
          <w:p w14:paraId="2DF07C8D" w14:textId="77777777" w:rsidR="000A4E61" w:rsidRPr="00EA4C9B" w:rsidRDefault="000A4E61" w:rsidP="00A158D9">
            <w:pPr>
              <w:pStyle w:val="Table"/>
              <w:rPr>
                <w:rFonts w:eastAsia="Calibri" w:cstheme="minorHAnsi"/>
                <w:szCs w:val="20"/>
              </w:rPr>
            </w:pPr>
            <w:r w:rsidRPr="00EA4C9B">
              <w:rPr>
                <w:rFonts w:cstheme="minorHAnsi"/>
                <w:szCs w:val="20"/>
              </w:rPr>
              <w:t>Oil waste levy</w:t>
            </w:r>
          </w:p>
        </w:tc>
        <w:tc>
          <w:tcPr>
            <w:tcW w:w="2241" w:type="dxa"/>
            <w:tcBorders>
              <w:top w:val="single" w:sz="6" w:space="0" w:color="auto"/>
              <w:left w:val="single" w:sz="6" w:space="0" w:color="auto"/>
              <w:bottom w:val="single" w:sz="6" w:space="0" w:color="auto"/>
              <w:right w:val="single" w:sz="6" w:space="0" w:color="auto"/>
            </w:tcBorders>
            <w:vAlign w:val="bottom"/>
          </w:tcPr>
          <w:p w14:paraId="7DE6F4C7" w14:textId="77777777" w:rsidR="000A4E61" w:rsidRPr="00EA4C9B" w:rsidRDefault="000A4E61" w:rsidP="00F33E5C">
            <w:pPr>
              <w:pStyle w:val="Table"/>
              <w:jc w:val="center"/>
              <w:rPr>
                <w:rFonts w:eastAsia="Calibri" w:cstheme="minorHAnsi"/>
                <w:szCs w:val="20"/>
              </w:rPr>
            </w:pPr>
            <w:r w:rsidRPr="00EA4C9B">
              <w:rPr>
                <w:rFonts w:cstheme="minorHAnsi"/>
                <w:color w:val="000000"/>
                <w:szCs w:val="20"/>
              </w:rPr>
              <w:t>42.3</w:t>
            </w:r>
          </w:p>
        </w:tc>
        <w:tc>
          <w:tcPr>
            <w:tcW w:w="2241" w:type="dxa"/>
            <w:tcBorders>
              <w:top w:val="single" w:sz="6" w:space="0" w:color="auto"/>
              <w:left w:val="single" w:sz="6" w:space="0" w:color="auto"/>
              <w:bottom w:val="single" w:sz="6" w:space="0" w:color="auto"/>
              <w:right w:val="single" w:sz="6" w:space="0" w:color="auto"/>
            </w:tcBorders>
            <w:vAlign w:val="bottom"/>
          </w:tcPr>
          <w:p w14:paraId="2049620B" w14:textId="77777777" w:rsidR="000A4E61" w:rsidRPr="00EA4C9B" w:rsidRDefault="000A4E61" w:rsidP="00F33E5C">
            <w:pPr>
              <w:pStyle w:val="Table"/>
              <w:jc w:val="center"/>
              <w:rPr>
                <w:rFonts w:eastAsia="Calibri" w:cstheme="minorHAnsi"/>
                <w:szCs w:val="20"/>
              </w:rPr>
            </w:pPr>
            <w:r w:rsidRPr="00EA4C9B">
              <w:rPr>
                <w:rFonts w:cstheme="minorHAnsi"/>
                <w:color w:val="000000"/>
                <w:szCs w:val="20"/>
              </w:rPr>
              <w:t>2.8</w:t>
            </w:r>
          </w:p>
        </w:tc>
        <w:tc>
          <w:tcPr>
            <w:tcW w:w="2241" w:type="dxa"/>
            <w:tcBorders>
              <w:top w:val="single" w:sz="6" w:space="0" w:color="auto"/>
              <w:left w:val="single" w:sz="6" w:space="0" w:color="auto"/>
              <w:bottom w:val="single" w:sz="6" w:space="0" w:color="auto"/>
              <w:right w:val="single" w:sz="6" w:space="0" w:color="auto"/>
            </w:tcBorders>
            <w:vAlign w:val="bottom"/>
          </w:tcPr>
          <w:p w14:paraId="3A42FB1D" w14:textId="77777777" w:rsidR="000A4E61" w:rsidRPr="00EA4C9B" w:rsidRDefault="000A4E61" w:rsidP="00F33E5C">
            <w:pPr>
              <w:pStyle w:val="Table"/>
              <w:jc w:val="center"/>
              <w:rPr>
                <w:rFonts w:eastAsia="Calibri" w:cstheme="minorHAnsi"/>
                <w:szCs w:val="20"/>
              </w:rPr>
            </w:pPr>
            <w:r w:rsidRPr="00EA4C9B">
              <w:rPr>
                <w:rFonts w:cstheme="minorHAnsi"/>
                <w:color w:val="000000"/>
                <w:szCs w:val="20"/>
              </w:rPr>
              <w:t>6.5%</w:t>
            </w:r>
          </w:p>
        </w:tc>
      </w:tr>
      <w:tr w:rsidR="000A4E61" w:rsidRPr="00EA4C9B" w14:paraId="36538EB0" w14:textId="77777777">
        <w:trPr>
          <w:trHeight w:val="300"/>
        </w:trPr>
        <w:tc>
          <w:tcPr>
            <w:tcW w:w="2241" w:type="dxa"/>
            <w:tcBorders>
              <w:top w:val="single" w:sz="6" w:space="0" w:color="auto"/>
              <w:left w:val="single" w:sz="6" w:space="0" w:color="auto"/>
              <w:bottom w:val="single" w:sz="6" w:space="0" w:color="auto"/>
              <w:right w:val="single" w:sz="6" w:space="0" w:color="auto"/>
            </w:tcBorders>
            <w:vAlign w:val="bottom"/>
          </w:tcPr>
          <w:p w14:paraId="767B3CB9" w14:textId="77777777" w:rsidR="000A4E61" w:rsidRPr="00EA4C9B" w:rsidRDefault="000A4E61" w:rsidP="00A158D9">
            <w:pPr>
              <w:pStyle w:val="Table"/>
              <w:rPr>
                <w:rFonts w:eastAsia="Calibri" w:cstheme="minorHAnsi"/>
                <w:szCs w:val="20"/>
              </w:rPr>
            </w:pPr>
            <w:r w:rsidRPr="00EA4C9B">
              <w:rPr>
                <w:rFonts w:cstheme="minorHAnsi"/>
                <w:szCs w:val="20"/>
              </w:rPr>
              <w:t>Tax on waste</w:t>
            </w:r>
          </w:p>
        </w:tc>
        <w:tc>
          <w:tcPr>
            <w:tcW w:w="2241" w:type="dxa"/>
            <w:tcBorders>
              <w:top w:val="single" w:sz="6" w:space="0" w:color="auto"/>
              <w:left w:val="single" w:sz="6" w:space="0" w:color="auto"/>
              <w:bottom w:val="single" w:sz="6" w:space="0" w:color="auto"/>
              <w:right w:val="single" w:sz="6" w:space="0" w:color="auto"/>
            </w:tcBorders>
            <w:vAlign w:val="bottom"/>
          </w:tcPr>
          <w:p w14:paraId="70D579A5" w14:textId="77777777" w:rsidR="000A4E61" w:rsidRPr="00EA4C9B" w:rsidRDefault="000A4E61" w:rsidP="00F33E5C">
            <w:pPr>
              <w:pStyle w:val="Table"/>
              <w:jc w:val="center"/>
              <w:rPr>
                <w:rFonts w:eastAsia="Calibri" w:cstheme="minorHAnsi"/>
                <w:szCs w:val="20"/>
              </w:rPr>
            </w:pPr>
            <w:r w:rsidRPr="00EA4C9B">
              <w:rPr>
                <w:rFonts w:cstheme="minorHAnsi"/>
                <w:color w:val="000000"/>
                <w:szCs w:val="20"/>
              </w:rPr>
              <w:t>392.6</w:t>
            </w:r>
          </w:p>
        </w:tc>
        <w:tc>
          <w:tcPr>
            <w:tcW w:w="2241" w:type="dxa"/>
            <w:tcBorders>
              <w:top w:val="single" w:sz="6" w:space="0" w:color="auto"/>
              <w:left w:val="single" w:sz="6" w:space="0" w:color="auto"/>
              <w:bottom w:val="single" w:sz="6" w:space="0" w:color="auto"/>
              <w:right w:val="single" w:sz="6" w:space="0" w:color="auto"/>
            </w:tcBorders>
            <w:vAlign w:val="bottom"/>
          </w:tcPr>
          <w:p w14:paraId="48A8931F" w14:textId="77777777" w:rsidR="000A4E61" w:rsidRPr="00EA4C9B" w:rsidRDefault="000A4E61" w:rsidP="00F33E5C">
            <w:pPr>
              <w:pStyle w:val="Table"/>
              <w:jc w:val="center"/>
              <w:rPr>
                <w:rFonts w:eastAsia="Calibri" w:cstheme="minorHAnsi"/>
                <w:szCs w:val="20"/>
              </w:rPr>
            </w:pPr>
            <w:r w:rsidRPr="00EA4C9B">
              <w:rPr>
                <w:rFonts w:cstheme="minorHAnsi"/>
                <w:color w:val="000000"/>
                <w:szCs w:val="20"/>
              </w:rPr>
              <w:t>26.2</w:t>
            </w:r>
          </w:p>
        </w:tc>
        <w:tc>
          <w:tcPr>
            <w:tcW w:w="2241" w:type="dxa"/>
            <w:tcBorders>
              <w:top w:val="single" w:sz="6" w:space="0" w:color="auto"/>
              <w:left w:val="single" w:sz="6" w:space="0" w:color="auto"/>
              <w:bottom w:val="single" w:sz="6" w:space="0" w:color="auto"/>
              <w:right w:val="single" w:sz="6" w:space="0" w:color="auto"/>
            </w:tcBorders>
            <w:vAlign w:val="bottom"/>
          </w:tcPr>
          <w:p w14:paraId="0620E08F" w14:textId="77777777" w:rsidR="000A4E61" w:rsidRPr="00EA4C9B" w:rsidRDefault="000A4E61" w:rsidP="00F33E5C">
            <w:pPr>
              <w:pStyle w:val="Table"/>
              <w:jc w:val="center"/>
              <w:rPr>
                <w:rFonts w:eastAsia="Calibri" w:cstheme="minorHAnsi"/>
                <w:szCs w:val="20"/>
              </w:rPr>
            </w:pPr>
            <w:r w:rsidRPr="00EA4C9B">
              <w:rPr>
                <w:rFonts w:cstheme="minorHAnsi"/>
                <w:color w:val="000000"/>
                <w:szCs w:val="20"/>
              </w:rPr>
              <w:t>60.3%</w:t>
            </w:r>
          </w:p>
        </w:tc>
      </w:tr>
    </w:tbl>
    <w:p w14:paraId="3E95CD61" w14:textId="77777777" w:rsidR="000A4E61" w:rsidRPr="00EA4C9B" w:rsidRDefault="000A4E61" w:rsidP="000A4E61">
      <w:pPr>
        <w:spacing w:after="0"/>
        <w:rPr>
          <w:rFonts w:eastAsia="Calibr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41"/>
        <w:gridCol w:w="2241"/>
        <w:gridCol w:w="2241"/>
        <w:gridCol w:w="2241"/>
      </w:tblGrid>
      <w:tr w:rsidR="000A4E61" w:rsidRPr="00EA4C9B" w14:paraId="33865E9F" w14:textId="77777777">
        <w:trPr>
          <w:trHeight w:val="300"/>
        </w:trPr>
        <w:tc>
          <w:tcPr>
            <w:tcW w:w="8964" w:type="dxa"/>
            <w:gridSpan w:val="4"/>
            <w:tcBorders>
              <w:top w:val="single" w:sz="6" w:space="0" w:color="auto"/>
              <w:left w:val="single" w:sz="6" w:space="0" w:color="auto"/>
              <w:bottom w:val="single" w:sz="6" w:space="0" w:color="auto"/>
              <w:right w:val="single" w:sz="6" w:space="0" w:color="auto"/>
            </w:tcBorders>
            <w:shd w:val="clear" w:color="auto" w:fill="003399"/>
          </w:tcPr>
          <w:p w14:paraId="13F4DB1B" w14:textId="6913BD6A" w:rsidR="000A4E61" w:rsidRPr="003C64BB" w:rsidRDefault="002847DA" w:rsidP="003C64BB">
            <w:pPr>
              <w:pStyle w:val="Table"/>
              <w:rPr>
                <w:rFonts w:eastAsia="Calibri" w:cstheme="minorHAnsi"/>
                <w:b/>
                <w:color w:val="FFFFFF" w:themeColor="background1"/>
                <w:szCs w:val="20"/>
              </w:rPr>
            </w:pPr>
            <w:r w:rsidRPr="003C64BB">
              <w:rPr>
                <w:b/>
                <w:color w:val="FFFFFF" w:themeColor="background1"/>
              </w:rPr>
              <w:t xml:space="preserve">Table </w:t>
            </w:r>
            <w:r w:rsidR="00490085">
              <w:rPr>
                <w:b/>
                <w:color w:val="FFFFFF" w:themeColor="background1"/>
              </w:rPr>
              <w:t>A6</w:t>
            </w:r>
            <w:r w:rsidR="003C64BB" w:rsidRPr="003C64BB">
              <w:rPr>
                <w:b/>
                <w:bCs/>
                <w:color w:val="FFFFFF" w:themeColor="background1"/>
              </w:rPr>
              <w:t>-</w:t>
            </w:r>
            <w:r w:rsidR="003C64BB" w:rsidRPr="003C64BB">
              <w:rPr>
                <w:b/>
                <w:bCs/>
                <w:color w:val="FFFFFF" w:themeColor="background1"/>
              </w:rPr>
              <w:fldChar w:fldCharType="begin"/>
            </w:r>
            <w:r w:rsidR="003C64BB" w:rsidRPr="003C64BB">
              <w:rPr>
                <w:b/>
                <w:bCs/>
                <w:color w:val="FFFFFF" w:themeColor="background1"/>
              </w:rPr>
              <w:instrText xml:space="preserve"> SEQ Table_A5- \* ARABIC </w:instrText>
            </w:r>
            <w:r w:rsidR="003C64BB" w:rsidRPr="003C64BB">
              <w:rPr>
                <w:b/>
                <w:bCs/>
                <w:color w:val="FFFFFF" w:themeColor="background1"/>
              </w:rPr>
              <w:fldChar w:fldCharType="separate"/>
            </w:r>
            <w:r w:rsidR="00F33E5C">
              <w:rPr>
                <w:b/>
                <w:bCs/>
                <w:noProof/>
                <w:color w:val="FFFFFF" w:themeColor="background1"/>
              </w:rPr>
              <w:t>52</w:t>
            </w:r>
            <w:r w:rsidR="003C64BB" w:rsidRPr="003C64BB">
              <w:rPr>
                <w:b/>
                <w:bCs/>
                <w:color w:val="FFFFFF" w:themeColor="background1"/>
              </w:rPr>
              <w:fldChar w:fldCharType="end"/>
            </w:r>
            <w:r w:rsidR="003C64BB" w:rsidRPr="003C64BB">
              <w:rPr>
                <w:b/>
                <w:bCs/>
                <w:color w:val="FFFFFF" w:themeColor="background1"/>
              </w:rPr>
              <w:t>:</w:t>
            </w:r>
            <w:r w:rsidR="003C64BB">
              <w:rPr>
                <w:b/>
                <w:bCs/>
                <w:color w:val="FFFFFF" w:themeColor="background1"/>
              </w:rPr>
              <w:t xml:space="preserve"> </w:t>
            </w:r>
            <w:r w:rsidR="000A4E61" w:rsidRPr="003C64BB">
              <w:rPr>
                <w:b/>
                <w:color w:val="FFFFFF" w:themeColor="background1"/>
              </w:rPr>
              <w:t xml:space="preserve"> </w:t>
            </w:r>
            <w:r w:rsidR="000A4E61" w:rsidRPr="003C64BB">
              <w:rPr>
                <w:rFonts w:eastAsia="Calibri" w:cstheme="minorHAnsi"/>
                <w:b/>
                <w:color w:val="FFFFFF" w:themeColor="background1"/>
                <w:szCs w:val="20"/>
              </w:rPr>
              <w:t>Resource taxes </w:t>
            </w:r>
          </w:p>
        </w:tc>
      </w:tr>
      <w:tr w:rsidR="000A4E61" w:rsidRPr="00EA4C9B" w14:paraId="7B249F0B" w14:textId="77777777">
        <w:trPr>
          <w:trHeight w:val="300"/>
        </w:trPr>
        <w:tc>
          <w:tcPr>
            <w:tcW w:w="2241" w:type="dxa"/>
            <w:tcBorders>
              <w:top w:val="single" w:sz="6" w:space="0" w:color="auto"/>
              <w:left w:val="single" w:sz="6" w:space="0" w:color="auto"/>
              <w:bottom w:val="single" w:sz="6" w:space="0" w:color="auto"/>
              <w:right w:val="single" w:sz="6" w:space="0" w:color="auto"/>
            </w:tcBorders>
          </w:tcPr>
          <w:p w14:paraId="44E8BC00" w14:textId="77777777" w:rsidR="000A4E61" w:rsidRPr="00EA4C9B" w:rsidRDefault="000A4E61" w:rsidP="003C64BB">
            <w:pPr>
              <w:pStyle w:val="Table"/>
              <w:rPr>
                <w:rFonts w:eastAsia="Calibri" w:cstheme="minorHAnsi"/>
                <w:szCs w:val="20"/>
              </w:rPr>
            </w:pPr>
            <w:r w:rsidRPr="00EA4C9B">
              <w:rPr>
                <w:rFonts w:eastAsia="Calibri" w:cstheme="minorHAnsi"/>
                <w:b/>
                <w:szCs w:val="20"/>
              </w:rPr>
              <w:t>Tax Name</w:t>
            </w:r>
            <w:r w:rsidRPr="00EA4C9B">
              <w:rPr>
                <w:rFonts w:eastAsia="Calibri" w:cstheme="minorHAnsi"/>
                <w:szCs w:val="20"/>
              </w:rPr>
              <w:t> </w:t>
            </w:r>
          </w:p>
        </w:tc>
        <w:tc>
          <w:tcPr>
            <w:tcW w:w="2241" w:type="dxa"/>
            <w:tcBorders>
              <w:top w:val="single" w:sz="6" w:space="0" w:color="auto"/>
              <w:left w:val="single" w:sz="6" w:space="0" w:color="auto"/>
              <w:bottom w:val="single" w:sz="6" w:space="0" w:color="auto"/>
              <w:right w:val="single" w:sz="6" w:space="0" w:color="auto"/>
            </w:tcBorders>
          </w:tcPr>
          <w:p w14:paraId="2F81155B" w14:textId="77777777" w:rsidR="000A4E61" w:rsidRPr="00EA4C9B" w:rsidRDefault="000A4E61" w:rsidP="00F33E5C">
            <w:pPr>
              <w:pStyle w:val="Table"/>
              <w:jc w:val="center"/>
              <w:rPr>
                <w:rFonts w:eastAsia="Calibri" w:cstheme="minorHAnsi"/>
                <w:szCs w:val="20"/>
              </w:rPr>
            </w:pPr>
            <w:r w:rsidRPr="00EA4C9B">
              <w:rPr>
                <w:rFonts w:eastAsia="Calibri" w:cstheme="minorHAnsi"/>
                <w:b/>
                <w:szCs w:val="20"/>
              </w:rPr>
              <w:t>Revenue (€ million)</w:t>
            </w:r>
          </w:p>
          <w:p w14:paraId="061D173C" w14:textId="77777777" w:rsidR="000A4E61" w:rsidRPr="00EA4C9B" w:rsidRDefault="000A4E61" w:rsidP="00F33E5C">
            <w:pPr>
              <w:pStyle w:val="Table"/>
              <w:jc w:val="center"/>
              <w:rPr>
                <w:rFonts w:eastAsia="Calibri" w:cstheme="minorHAnsi"/>
                <w:szCs w:val="20"/>
              </w:rPr>
            </w:pPr>
            <w:r w:rsidRPr="00EA4C9B">
              <w:rPr>
                <w:rFonts w:eastAsia="Calibri" w:cstheme="minorHAnsi"/>
                <w:b/>
                <w:szCs w:val="20"/>
              </w:rPr>
              <w:t>2009-2023</w:t>
            </w:r>
          </w:p>
        </w:tc>
        <w:tc>
          <w:tcPr>
            <w:tcW w:w="2241" w:type="dxa"/>
            <w:tcBorders>
              <w:top w:val="single" w:sz="6" w:space="0" w:color="auto"/>
              <w:left w:val="single" w:sz="6" w:space="0" w:color="auto"/>
              <w:bottom w:val="single" w:sz="6" w:space="0" w:color="auto"/>
              <w:right w:val="single" w:sz="6" w:space="0" w:color="auto"/>
            </w:tcBorders>
          </w:tcPr>
          <w:p w14:paraId="2510FDBD" w14:textId="77777777" w:rsidR="000A4E61" w:rsidRPr="00EA4C9B" w:rsidRDefault="000A4E61" w:rsidP="00F33E5C">
            <w:pPr>
              <w:pStyle w:val="Table"/>
              <w:jc w:val="center"/>
              <w:rPr>
                <w:rFonts w:eastAsia="Calibri" w:cstheme="minorHAnsi"/>
                <w:szCs w:val="20"/>
              </w:rPr>
            </w:pPr>
            <w:r w:rsidRPr="00EA4C9B">
              <w:rPr>
                <w:rFonts w:eastAsia="Calibri" w:cstheme="minorHAnsi"/>
                <w:b/>
                <w:szCs w:val="20"/>
              </w:rPr>
              <w:t>Average annual revenue (€ million)</w:t>
            </w:r>
          </w:p>
        </w:tc>
        <w:tc>
          <w:tcPr>
            <w:tcW w:w="2241" w:type="dxa"/>
            <w:tcBorders>
              <w:top w:val="single" w:sz="6" w:space="0" w:color="auto"/>
              <w:left w:val="single" w:sz="6" w:space="0" w:color="auto"/>
              <w:bottom w:val="single" w:sz="6" w:space="0" w:color="auto"/>
              <w:right w:val="single" w:sz="6" w:space="0" w:color="auto"/>
            </w:tcBorders>
          </w:tcPr>
          <w:p w14:paraId="17E30432" w14:textId="77777777" w:rsidR="000A4E61" w:rsidRPr="00EA4C9B" w:rsidRDefault="000A4E61" w:rsidP="00F33E5C">
            <w:pPr>
              <w:pStyle w:val="Table"/>
              <w:jc w:val="center"/>
              <w:rPr>
                <w:rFonts w:eastAsia="Calibri" w:cstheme="minorHAnsi"/>
                <w:szCs w:val="20"/>
              </w:rPr>
            </w:pPr>
            <w:r w:rsidRPr="00EA4C9B">
              <w:rPr>
                <w:rFonts w:eastAsia="Calibri" w:cstheme="minorHAnsi"/>
                <w:b/>
                <w:szCs w:val="20"/>
              </w:rPr>
              <w:t>As a share of all resource tax revenues</w:t>
            </w:r>
          </w:p>
        </w:tc>
      </w:tr>
      <w:tr w:rsidR="000A4E61" w:rsidRPr="00EA4C9B" w14:paraId="6811478A" w14:textId="77777777">
        <w:trPr>
          <w:trHeight w:val="300"/>
        </w:trPr>
        <w:tc>
          <w:tcPr>
            <w:tcW w:w="2241" w:type="dxa"/>
            <w:tcBorders>
              <w:top w:val="single" w:sz="6" w:space="0" w:color="auto"/>
              <w:left w:val="single" w:sz="6" w:space="0" w:color="auto"/>
              <w:bottom w:val="single" w:sz="6" w:space="0" w:color="auto"/>
              <w:right w:val="single" w:sz="6" w:space="0" w:color="auto"/>
            </w:tcBorders>
            <w:vAlign w:val="bottom"/>
          </w:tcPr>
          <w:p w14:paraId="46F661A1" w14:textId="77777777" w:rsidR="000A4E61" w:rsidRPr="00EA4C9B" w:rsidRDefault="000A4E61" w:rsidP="003C64BB">
            <w:pPr>
              <w:pStyle w:val="Table"/>
              <w:rPr>
                <w:rFonts w:eastAsia="Calibri" w:cstheme="minorHAnsi"/>
                <w:szCs w:val="20"/>
              </w:rPr>
            </w:pPr>
            <w:r w:rsidRPr="00EA4C9B">
              <w:rPr>
                <w:rFonts w:cstheme="minorHAnsi"/>
                <w:szCs w:val="20"/>
              </w:rPr>
              <w:t>Hunting and fishing licences</w:t>
            </w:r>
          </w:p>
        </w:tc>
        <w:tc>
          <w:tcPr>
            <w:tcW w:w="2241" w:type="dxa"/>
            <w:tcBorders>
              <w:top w:val="single" w:sz="6" w:space="0" w:color="auto"/>
              <w:left w:val="single" w:sz="6" w:space="0" w:color="auto"/>
              <w:bottom w:val="single" w:sz="6" w:space="0" w:color="auto"/>
              <w:right w:val="single" w:sz="6" w:space="0" w:color="auto"/>
            </w:tcBorders>
            <w:vAlign w:val="bottom"/>
          </w:tcPr>
          <w:p w14:paraId="750C4842" w14:textId="3C2B4BB6" w:rsidR="000A4E61" w:rsidRPr="00EA4C9B" w:rsidRDefault="000A4E61" w:rsidP="00F33E5C">
            <w:pPr>
              <w:pStyle w:val="Table"/>
              <w:jc w:val="center"/>
              <w:rPr>
                <w:rFonts w:eastAsia="Calibri" w:cstheme="minorHAnsi"/>
                <w:szCs w:val="20"/>
              </w:rPr>
            </w:pPr>
            <w:r w:rsidRPr="00EA4C9B">
              <w:rPr>
                <w:rFonts w:cstheme="minorHAnsi"/>
                <w:color w:val="000000"/>
                <w:szCs w:val="20"/>
              </w:rPr>
              <w:t>3</w:t>
            </w:r>
            <w:r w:rsidR="00126393">
              <w:rPr>
                <w:rFonts w:cstheme="minorHAnsi"/>
                <w:color w:val="000000"/>
                <w:szCs w:val="20"/>
              </w:rPr>
              <w:t>49</w:t>
            </w:r>
            <w:r w:rsidRPr="00EA4C9B">
              <w:rPr>
                <w:rFonts w:cstheme="minorHAnsi"/>
                <w:color w:val="000000"/>
                <w:szCs w:val="20"/>
              </w:rPr>
              <w:t>.</w:t>
            </w:r>
            <w:r w:rsidR="00126393">
              <w:rPr>
                <w:rFonts w:cstheme="minorHAnsi"/>
                <w:color w:val="000000"/>
                <w:szCs w:val="20"/>
              </w:rPr>
              <w:t>2</w:t>
            </w:r>
          </w:p>
        </w:tc>
        <w:tc>
          <w:tcPr>
            <w:tcW w:w="2241" w:type="dxa"/>
            <w:tcBorders>
              <w:top w:val="single" w:sz="6" w:space="0" w:color="auto"/>
              <w:left w:val="single" w:sz="6" w:space="0" w:color="auto"/>
              <w:bottom w:val="single" w:sz="6" w:space="0" w:color="auto"/>
              <w:right w:val="single" w:sz="6" w:space="0" w:color="auto"/>
            </w:tcBorders>
            <w:vAlign w:val="bottom"/>
          </w:tcPr>
          <w:p w14:paraId="733D05F5" w14:textId="64046C37" w:rsidR="000A4E61" w:rsidRPr="00EA4C9B" w:rsidRDefault="006B5AE2" w:rsidP="00F33E5C">
            <w:pPr>
              <w:pStyle w:val="Table"/>
              <w:jc w:val="center"/>
              <w:rPr>
                <w:rFonts w:eastAsia="Calibri" w:cstheme="minorHAnsi"/>
                <w:szCs w:val="20"/>
              </w:rPr>
            </w:pPr>
            <w:r>
              <w:rPr>
                <w:rFonts w:cstheme="minorHAnsi"/>
                <w:color w:val="000000"/>
                <w:szCs w:val="20"/>
              </w:rPr>
              <w:t>11.9</w:t>
            </w:r>
          </w:p>
        </w:tc>
        <w:tc>
          <w:tcPr>
            <w:tcW w:w="2241" w:type="dxa"/>
            <w:tcBorders>
              <w:top w:val="single" w:sz="6" w:space="0" w:color="auto"/>
              <w:left w:val="single" w:sz="6" w:space="0" w:color="auto"/>
              <w:bottom w:val="single" w:sz="6" w:space="0" w:color="auto"/>
              <w:right w:val="single" w:sz="6" w:space="0" w:color="auto"/>
            </w:tcBorders>
          </w:tcPr>
          <w:p w14:paraId="071A7D1F" w14:textId="77777777" w:rsidR="000A4E61" w:rsidRPr="00EA4C9B" w:rsidRDefault="000A4E61" w:rsidP="00F33E5C">
            <w:pPr>
              <w:pStyle w:val="Table"/>
              <w:jc w:val="center"/>
              <w:rPr>
                <w:rFonts w:eastAsia="Calibri" w:cstheme="minorHAnsi"/>
                <w:szCs w:val="20"/>
              </w:rPr>
            </w:pPr>
          </w:p>
          <w:p w14:paraId="1E3EBE25" w14:textId="77777777" w:rsidR="000A4E61" w:rsidRPr="00EA4C9B" w:rsidRDefault="000A4E61" w:rsidP="00F33E5C">
            <w:pPr>
              <w:pStyle w:val="Table"/>
              <w:jc w:val="center"/>
              <w:rPr>
                <w:rFonts w:eastAsia="Calibri" w:cstheme="minorHAnsi"/>
                <w:szCs w:val="20"/>
              </w:rPr>
            </w:pPr>
            <w:r w:rsidRPr="00EA4C9B">
              <w:rPr>
                <w:rFonts w:eastAsia="Calibri" w:cstheme="minorHAnsi"/>
                <w:szCs w:val="20"/>
              </w:rPr>
              <w:t>100%</w:t>
            </w:r>
          </w:p>
        </w:tc>
      </w:tr>
    </w:tbl>
    <w:p w14:paraId="79F25883" w14:textId="77777777" w:rsidR="000A4E61" w:rsidRPr="00EA4C9B" w:rsidRDefault="000A4E61" w:rsidP="000A4E61">
      <w:pPr>
        <w:spacing w:after="0"/>
        <w:rPr>
          <w:rFonts w:ascii="Calibri" w:eastAsia="Calibri" w:hAnsi="Calibri" w:cs="Calibr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4502"/>
        <w:gridCol w:w="4502"/>
      </w:tblGrid>
      <w:tr w:rsidR="000A4E61" w:rsidRPr="00EA4C9B" w14:paraId="217B234A" w14:textId="77777777">
        <w:trPr>
          <w:trHeight w:val="300"/>
        </w:trPr>
        <w:tc>
          <w:tcPr>
            <w:tcW w:w="9004" w:type="dxa"/>
            <w:gridSpan w:val="2"/>
            <w:shd w:val="clear" w:color="auto" w:fill="003399"/>
            <w:tcMar>
              <w:left w:w="105" w:type="dxa"/>
              <w:right w:w="105" w:type="dxa"/>
            </w:tcMar>
          </w:tcPr>
          <w:p w14:paraId="613AA28F" w14:textId="52045044" w:rsidR="000A4E61" w:rsidRPr="003C64BB" w:rsidRDefault="002847DA" w:rsidP="003C64BB">
            <w:pPr>
              <w:pStyle w:val="Table"/>
              <w:rPr>
                <w:b/>
              </w:rPr>
            </w:pPr>
            <w:r w:rsidRPr="003C64BB">
              <w:rPr>
                <w:b/>
                <w:color w:val="FFFFFF" w:themeColor="background1"/>
              </w:rPr>
              <w:t xml:space="preserve">Table </w:t>
            </w:r>
            <w:r w:rsidR="00490085">
              <w:rPr>
                <w:b/>
                <w:color w:val="FFFFFF" w:themeColor="background1"/>
              </w:rPr>
              <w:t>A6</w:t>
            </w:r>
            <w:r w:rsidR="003C64BB" w:rsidRPr="003C64BB">
              <w:rPr>
                <w:b/>
                <w:bCs/>
                <w:color w:val="FFFFFF" w:themeColor="background1"/>
              </w:rPr>
              <w:t>-</w:t>
            </w:r>
            <w:r w:rsidR="003C64BB" w:rsidRPr="003C64BB">
              <w:rPr>
                <w:b/>
                <w:bCs/>
                <w:color w:val="FFFFFF" w:themeColor="background1"/>
              </w:rPr>
              <w:fldChar w:fldCharType="begin"/>
            </w:r>
            <w:r w:rsidR="003C64BB" w:rsidRPr="003C64BB">
              <w:rPr>
                <w:b/>
                <w:bCs/>
                <w:color w:val="FFFFFF" w:themeColor="background1"/>
              </w:rPr>
              <w:instrText xml:space="preserve"> SEQ Table_A5- \* ARABIC </w:instrText>
            </w:r>
            <w:r w:rsidR="003C64BB" w:rsidRPr="003C64BB">
              <w:rPr>
                <w:b/>
                <w:bCs/>
                <w:color w:val="FFFFFF" w:themeColor="background1"/>
              </w:rPr>
              <w:fldChar w:fldCharType="separate"/>
            </w:r>
            <w:r w:rsidR="00F33E5C">
              <w:rPr>
                <w:b/>
                <w:bCs/>
                <w:noProof/>
                <w:color w:val="FFFFFF" w:themeColor="background1"/>
              </w:rPr>
              <w:t>53</w:t>
            </w:r>
            <w:r w:rsidR="003C64BB" w:rsidRPr="003C64BB">
              <w:rPr>
                <w:b/>
                <w:bCs/>
                <w:color w:val="FFFFFF" w:themeColor="background1"/>
              </w:rPr>
              <w:fldChar w:fldCharType="end"/>
            </w:r>
            <w:r w:rsidR="000A4E61" w:rsidRPr="003C64BB">
              <w:rPr>
                <w:b/>
                <w:color w:val="FFFFFF" w:themeColor="background1"/>
              </w:rPr>
              <w:t>: Other environmental taxes not reported in the National Tax Lists</w:t>
            </w:r>
          </w:p>
        </w:tc>
      </w:tr>
      <w:tr w:rsidR="000A4E61" w:rsidRPr="00EA4C9B" w14:paraId="1343FDFF" w14:textId="77777777">
        <w:trPr>
          <w:trHeight w:val="300"/>
        </w:trPr>
        <w:tc>
          <w:tcPr>
            <w:tcW w:w="4502" w:type="dxa"/>
            <w:tcMar>
              <w:left w:w="105" w:type="dxa"/>
              <w:right w:w="105" w:type="dxa"/>
            </w:tcMar>
          </w:tcPr>
          <w:p w14:paraId="0C059179" w14:textId="77777777" w:rsidR="000A4E61" w:rsidRPr="003C64BB" w:rsidRDefault="000A4E61" w:rsidP="003C64BB">
            <w:pPr>
              <w:pStyle w:val="Table"/>
              <w:rPr>
                <w:b/>
              </w:rPr>
            </w:pPr>
            <w:r w:rsidRPr="003C64BB">
              <w:rPr>
                <w:rFonts w:cstheme="minorHAnsi"/>
                <w:b/>
              </w:rPr>
              <w:t>Tax Name </w:t>
            </w:r>
          </w:p>
        </w:tc>
        <w:tc>
          <w:tcPr>
            <w:tcW w:w="4502" w:type="dxa"/>
            <w:tcMar>
              <w:left w:w="105" w:type="dxa"/>
              <w:right w:w="105" w:type="dxa"/>
            </w:tcMar>
          </w:tcPr>
          <w:p w14:paraId="4CAA7C4A" w14:textId="3BC57D82" w:rsidR="000A4E61" w:rsidRPr="00EA4C9B" w:rsidRDefault="000A4E61" w:rsidP="00F33E5C">
            <w:pPr>
              <w:pStyle w:val="Table"/>
              <w:jc w:val="center"/>
              <w:rPr>
                <w:rFonts w:ascii="Calibri" w:eastAsia="Calibri" w:hAnsi="Calibri" w:cs="Calibri"/>
                <w:szCs w:val="20"/>
              </w:rPr>
            </w:pPr>
            <w:r w:rsidRPr="003C64BB">
              <w:rPr>
                <w:b/>
              </w:rPr>
              <w:t>Annual revenue</w:t>
            </w:r>
          </w:p>
          <w:p w14:paraId="436EF89A" w14:textId="77777777" w:rsidR="000A4E61" w:rsidRPr="003C64BB" w:rsidRDefault="000A4E61" w:rsidP="00F33E5C">
            <w:pPr>
              <w:pStyle w:val="Table"/>
              <w:jc w:val="center"/>
              <w:rPr>
                <w:b/>
              </w:rPr>
            </w:pPr>
            <w:r w:rsidRPr="003C64BB">
              <w:rPr>
                <w:b/>
              </w:rPr>
              <w:t>(€ million) in 2023</w:t>
            </w:r>
          </w:p>
        </w:tc>
      </w:tr>
      <w:tr w:rsidR="000A4E61" w:rsidRPr="00EA4C9B" w14:paraId="7D79686B" w14:textId="77777777">
        <w:trPr>
          <w:trHeight w:val="300"/>
        </w:trPr>
        <w:tc>
          <w:tcPr>
            <w:tcW w:w="4502" w:type="dxa"/>
            <w:tcMar>
              <w:left w:w="105" w:type="dxa"/>
              <w:right w:w="105" w:type="dxa"/>
            </w:tcMar>
          </w:tcPr>
          <w:p w14:paraId="3273CF24" w14:textId="77777777" w:rsidR="000A4E61" w:rsidRPr="00EA4C9B" w:rsidRDefault="000A4E61" w:rsidP="003C64BB">
            <w:pPr>
              <w:pStyle w:val="Table"/>
            </w:pPr>
            <w:r w:rsidRPr="00EA4C9B">
              <w:t>A mineral extraction tax</w:t>
            </w:r>
          </w:p>
        </w:tc>
        <w:tc>
          <w:tcPr>
            <w:tcW w:w="4502" w:type="dxa"/>
            <w:tcMar>
              <w:left w:w="105" w:type="dxa"/>
              <w:right w:w="105" w:type="dxa"/>
            </w:tcMar>
          </w:tcPr>
          <w:p w14:paraId="34B0CB70" w14:textId="35CF2685" w:rsidR="000A4E61" w:rsidRPr="00F33E5C" w:rsidRDefault="000A4E61" w:rsidP="00F33E5C">
            <w:pPr>
              <w:pStyle w:val="Table"/>
              <w:jc w:val="center"/>
              <w:rPr>
                <w:rFonts w:ascii="Calibri" w:eastAsia="Calibri" w:hAnsi="Calibri" w:cs="Calibri"/>
                <w:szCs w:val="20"/>
              </w:rPr>
            </w:pPr>
            <w:r w:rsidRPr="00EA4C9B">
              <w:t>N/A</w:t>
            </w:r>
            <w:r w:rsidR="00F33E5C">
              <w:rPr>
                <w:rFonts w:ascii="Calibri" w:eastAsia="Calibri" w:hAnsi="Calibri" w:cs="Calibri"/>
                <w:szCs w:val="20"/>
              </w:rPr>
              <w:t xml:space="preserve"> </w:t>
            </w:r>
            <w:r w:rsidRPr="00EA4C9B">
              <w:t>(tax was introduced in 2024)</w:t>
            </w:r>
          </w:p>
        </w:tc>
      </w:tr>
    </w:tbl>
    <w:p w14:paraId="35A7BDD1" w14:textId="77777777" w:rsidR="000A4E61" w:rsidRPr="00EA4C9B" w:rsidRDefault="000A4E61" w:rsidP="000A4E61">
      <w:pPr>
        <w:rPr>
          <w:rFonts w:ascii="Calibri" w:hAnsi="Calibri" w:cs="Calibri"/>
          <w:b/>
          <w:bCs/>
        </w:rPr>
      </w:pPr>
    </w:p>
    <w:p w14:paraId="7F29D8CF" w14:textId="0BA8774A" w:rsidR="000A4E61" w:rsidRPr="00EA4C9B" w:rsidRDefault="000A4E61" w:rsidP="000A4E61">
      <w:pPr>
        <w:rPr>
          <w:rFonts w:ascii="Calibri" w:eastAsia="Calibri" w:hAnsi="Calibri" w:cs="Calibri"/>
          <w:color w:val="000000" w:themeColor="text1"/>
        </w:rPr>
      </w:pPr>
      <w:r w:rsidRPr="00EA4C9B">
        <w:rPr>
          <w:rFonts w:ascii="Calibri" w:hAnsi="Calibri" w:cs="Calibri"/>
          <w:b/>
          <w:bCs/>
        </w:rPr>
        <w:t>A Tax on landfill waste</w:t>
      </w:r>
      <w:r w:rsidRPr="00EA4C9B">
        <w:rPr>
          <w:rFonts w:ascii="Calibri" w:hAnsi="Calibri" w:cs="Calibri"/>
        </w:rPr>
        <w:t xml:space="preserve"> was introduced in 1996</w:t>
      </w:r>
      <w:r w:rsidRPr="00EA4C9B">
        <w:rPr>
          <w:rStyle w:val="FootnoteReference"/>
          <w:rFonts w:ascii="Calibri" w:hAnsi="Calibri" w:cs="Calibri"/>
        </w:rPr>
        <w:footnoteReference w:id="313"/>
      </w:r>
      <w:r w:rsidRPr="00EA4C9B">
        <w:rPr>
          <w:rFonts w:ascii="Calibri" w:hAnsi="Calibri" w:cs="Calibri"/>
        </w:rPr>
        <w:t xml:space="preserve"> and is paid by landfill operators on common waste groups listed in the annexes to the Waste Tax Act </w:t>
      </w:r>
      <w:r w:rsidRPr="00EA4C9B">
        <w:rPr>
          <w:rFonts w:ascii="Calibri" w:eastAsia="Calibri" w:hAnsi="Calibri" w:cs="Calibri"/>
          <w:color w:val="000000" w:themeColor="text1"/>
        </w:rPr>
        <w:t>(1126/2010), including municipal solid waste and residual waste from mechanical treatment of waste</w:t>
      </w:r>
      <w:r w:rsidRPr="00EA4C9B">
        <w:rPr>
          <w:rFonts w:ascii="Calibri" w:hAnsi="Calibri" w:cs="Calibri"/>
        </w:rPr>
        <w:t xml:space="preserve">. The rate was increased in several steps and reached </w:t>
      </w:r>
      <w:r w:rsidRPr="00EA4C9B">
        <w:rPr>
          <w:rFonts w:ascii="Calibri" w:eastAsia="Calibri" w:hAnsi="Calibri" w:cs="Calibri"/>
          <w:color w:val="000000" w:themeColor="text1"/>
        </w:rPr>
        <w:t>€</w:t>
      </w:r>
      <w:r w:rsidRPr="00EA4C9B">
        <w:rPr>
          <w:rFonts w:ascii="Calibri" w:hAnsi="Calibri" w:cs="Calibri"/>
        </w:rPr>
        <w:t xml:space="preserve">80 per tonne in 2023, compared to </w:t>
      </w:r>
      <w:r w:rsidRPr="00EA4C9B">
        <w:rPr>
          <w:rFonts w:ascii="Calibri" w:eastAsia="Calibri" w:hAnsi="Calibri" w:cs="Calibri"/>
          <w:color w:val="000000" w:themeColor="text1"/>
        </w:rPr>
        <w:t>€</w:t>
      </w:r>
      <w:r w:rsidRPr="00EA4C9B">
        <w:rPr>
          <w:rFonts w:ascii="Calibri" w:hAnsi="Calibri" w:cs="Calibri"/>
        </w:rPr>
        <w:t>50 in 2013</w:t>
      </w:r>
      <w:r w:rsidRPr="00EA4C9B">
        <w:rPr>
          <w:rStyle w:val="FootnoteReference"/>
          <w:rFonts w:ascii="Calibri" w:hAnsi="Calibri" w:cs="Calibri"/>
        </w:rPr>
        <w:footnoteReference w:id="314"/>
      </w:r>
      <w:r w:rsidRPr="00EA4C9B">
        <w:rPr>
          <w:rFonts w:ascii="Calibri" w:hAnsi="Calibri" w:cs="Calibri"/>
        </w:rPr>
        <w:t xml:space="preserve"> </w:t>
      </w:r>
      <w:r w:rsidRPr="00EA4C9B">
        <w:rPr>
          <w:rStyle w:val="FootnoteReference"/>
          <w:rFonts w:ascii="Calibri" w:hAnsi="Calibri" w:cs="Calibri"/>
        </w:rPr>
        <w:footnoteReference w:id="315"/>
      </w:r>
      <w:r w:rsidRPr="00EA4C9B">
        <w:rPr>
          <w:rFonts w:ascii="Calibri" w:hAnsi="Calibri" w:cs="Calibri"/>
        </w:rPr>
        <w:t xml:space="preserve"> </w:t>
      </w:r>
      <w:bookmarkStart w:id="172" w:name="_Ref197074897"/>
      <w:r w:rsidRPr="00EA4C9B">
        <w:rPr>
          <w:rStyle w:val="FootnoteReference"/>
          <w:rFonts w:ascii="Calibri" w:hAnsi="Calibri" w:cs="Calibri"/>
        </w:rPr>
        <w:footnoteReference w:id="316"/>
      </w:r>
      <w:bookmarkEnd w:id="172"/>
      <w:r w:rsidRPr="00EA4C9B">
        <w:rPr>
          <w:rFonts w:ascii="Calibri" w:hAnsi="Calibri" w:cs="Calibri"/>
        </w:rPr>
        <w:t xml:space="preserve">.  Finland's initial waste tax design in 1996 did not explicitly include automatic increases in its structure. The tax started at 15 EUR/tonne and underwent discretionary, policy-driven increments over decades with the aim of further decreasing the amounts of landfilled waste.  </w:t>
      </w:r>
      <w:r w:rsidRPr="00EA4C9B">
        <w:rPr>
          <w:rFonts w:ascii="Calibri" w:eastAsia="Calibri" w:hAnsi="Calibri" w:cs="Calibri"/>
          <w:color w:val="000000" w:themeColor="text1"/>
        </w:rPr>
        <w:t>Soil and bedrock materials, sand, stone dust and similar materials are exempt from the tax</w:t>
      </w:r>
      <w:bookmarkStart w:id="173" w:name="_Ref195285685"/>
      <w:r w:rsidRPr="00EA4C9B">
        <w:rPr>
          <w:rStyle w:val="FootnoteReference"/>
          <w:rFonts w:ascii="Calibri" w:eastAsia="Calibri" w:hAnsi="Calibri" w:cs="Calibri"/>
          <w:color w:val="000000" w:themeColor="text1"/>
        </w:rPr>
        <w:footnoteReference w:id="317"/>
      </w:r>
      <w:bookmarkEnd w:id="173"/>
      <w:r w:rsidRPr="00EA4C9B">
        <w:rPr>
          <w:rFonts w:ascii="Calibri" w:eastAsia="Calibri" w:hAnsi="Calibri" w:cs="Calibri"/>
          <w:color w:val="000000" w:themeColor="text1"/>
        </w:rPr>
        <w:t>. Management of hazardous waste and mining waste is covered in different regulations. In 2020, the Ministry of Environment considered options of increasing the tax by €10-30 and the tax base to include hazardous waste and other categories (e.g. gypsum waste)</w:t>
      </w:r>
      <w:r w:rsidRPr="00EA4C9B">
        <w:rPr>
          <w:rFonts w:ascii="Calibri" w:eastAsia="Calibri" w:hAnsi="Calibri" w:cs="Calibri"/>
          <w:color w:val="000000" w:themeColor="text1"/>
          <w:vertAlign w:val="superscript"/>
        </w:rPr>
        <w:fldChar w:fldCharType="begin"/>
      </w:r>
      <w:r w:rsidRPr="00EA4C9B">
        <w:rPr>
          <w:rFonts w:ascii="Calibri" w:eastAsia="Calibri" w:hAnsi="Calibri" w:cs="Calibri"/>
          <w:color w:val="000000" w:themeColor="text1"/>
          <w:vertAlign w:val="superscript"/>
        </w:rPr>
        <w:instrText xml:space="preserve"> NOTEREF _Ref195285685 \h  \* MERGEFORMAT </w:instrText>
      </w:r>
      <w:r w:rsidRPr="00EA4C9B">
        <w:rPr>
          <w:rFonts w:ascii="Calibri" w:eastAsia="Calibri" w:hAnsi="Calibri" w:cs="Calibri"/>
          <w:color w:val="000000" w:themeColor="text1"/>
          <w:vertAlign w:val="superscript"/>
        </w:rPr>
      </w:r>
      <w:r w:rsidRPr="00EA4C9B">
        <w:rPr>
          <w:rFonts w:ascii="Calibri" w:eastAsia="Calibri" w:hAnsi="Calibri" w:cs="Calibri"/>
          <w:color w:val="000000" w:themeColor="text1"/>
          <w:vertAlign w:val="superscript"/>
        </w:rPr>
        <w:fldChar w:fldCharType="separate"/>
      </w:r>
      <w:r w:rsidR="0068700D">
        <w:rPr>
          <w:rFonts w:ascii="Calibri" w:eastAsia="Calibri" w:hAnsi="Calibri" w:cs="Calibri"/>
          <w:color w:val="000000" w:themeColor="text1"/>
          <w:vertAlign w:val="superscript"/>
        </w:rPr>
        <w:t>443</w:t>
      </w:r>
      <w:r w:rsidRPr="00EA4C9B">
        <w:rPr>
          <w:rFonts w:ascii="Calibri" w:eastAsia="Calibri" w:hAnsi="Calibri" w:cs="Calibri"/>
          <w:color w:val="000000" w:themeColor="text1"/>
          <w:vertAlign w:val="superscript"/>
        </w:rPr>
        <w:fldChar w:fldCharType="end"/>
      </w:r>
      <w:r w:rsidRPr="00EA4C9B">
        <w:rPr>
          <w:rFonts w:ascii="Calibri" w:eastAsia="Calibri" w:hAnsi="Calibri" w:cs="Calibri"/>
          <w:color w:val="000000" w:themeColor="text1"/>
        </w:rPr>
        <w:t>. In 2021, Finland adopted amendments to the Waste Tax Act, increasing the tax to €80 from €70 and expanding the tax base to include gypsum waste from construction and demolition, as well as green liquor dregs (residues from pulp and paper industry)</w:t>
      </w:r>
      <w:r w:rsidRPr="00EA4C9B">
        <w:rPr>
          <w:rStyle w:val="FootnoteReference"/>
          <w:rFonts w:ascii="Calibri" w:eastAsia="Calibri" w:hAnsi="Calibri" w:cs="Calibri"/>
          <w:color w:val="000000" w:themeColor="text1"/>
        </w:rPr>
        <w:footnoteReference w:id="318"/>
      </w:r>
      <w:r w:rsidRPr="00EA4C9B">
        <w:rPr>
          <w:rFonts w:ascii="Calibri" w:eastAsia="Calibri" w:hAnsi="Calibri" w:cs="Calibri"/>
          <w:color w:val="000000" w:themeColor="text1"/>
        </w:rPr>
        <w:t>. Waste tax revenues are not formally earmarked, although the Finnish budget for 2025 plans spending on the green transition from the general budget</w:t>
      </w:r>
      <w:r w:rsidRPr="00EA4C9B">
        <w:rPr>
          <w:rStyle w:val="FootnoteReference"/>
          <w:rFonts w:ascii="Calibri" w:eastAsia="Calibri" w:hAnsi="Calibri" w:cs="Calibri"/>
          <w:color w:val="000000" w:themeColor="text1"/>
        </w:rPr>
        <w:footnoteReference w:id="319"/>
      </w:r>
      <w:r w:rsidRPr="00EA4C9B">
        <w:rPr>
          <w:rFonts w:ascii="Calibri" w:eastAsia="Calibri" w:hAnsi="Calibri" w:cs="Calibri"/>
          <w:color w:val="000000" w:themeColor="text1"/>
        </w:rPr>
        <w:t>.</w:t>
      </w:r>
    </w:p>
    <w:p w14:paraId="036F6DE5" w14:textId="4D7C0DD5" w:rsidR="000A4E61" w:rsidRPr="00EA4C9B" w:rsidRDefault="000A4E61" w:rsidP="000A4E61">
      <w:pPr>
        <w:rPr>
          <w:rFonts w:ascii="Calibri" w:hAnsi="Calibri" w:cs="Calibri"/>
        </w:rPr>
      </w:pPr>
      <w:r w:rsidRPr="00EA4C9B">
        <w:rPr>
          <w:rFonts w:ascii="Calibri" w:hAnsi="Calibri" w:cs="Calibri"/>
        </w:rPr>
        <w:lastRenderedPageBreak/>
        <w:t>Tax r</w:t>
      </w:r>
      <w:r w:rsidRPr="00EA4C9B">
        <w:rPr>
          <w:rFonts w:ascii="Calibri" w:eastAsia="Calibri" w:hAnsi="Calibri" w:cs="Calibri"/>
          <w:color w:val="000000" w:themeColor="text1"/>
        </w:rPr>
        <w:t xml:space="preserve">evenue in 2023 was €4.6 million (equivalent to 0.018% of GDP) – a significant decrease from €55.8 million in 2013 (equivalent to 0.029% of GDP). While total waste streams have not significantly changed, the amount of waste that goes to landfills declined to nearly zero. At the same time, </w:t>
      </w:r>
      <w:r w:rsidRPr="00EA4C9B">
        <w:t>around 56% of municipal waste generated in Finland is incinerated, being the most common method used to treat municipal solid waste in the country</w:t>
      </w:r>
      <w:r w:rsidRPr="00EA4C9B">
        <w:rPr>
          <w:vertAlign w:val="superscript"/>
        </w:rPr>
        <w:fldChar w:fldCharType="begin"/>
      </w:r>
      <w:r w:rsidRPr="00EA4C9B">
        <w:rPr>
          <w:vertAlign w:val="superscript"/>
        </w:rPr>
        <w:instrText xml:space="preserve"> NOTEREF _Ref197074897 \h  \* MERGEFORMAT </w:instrText>
      </w:r>
      <w:r w:rsidRPr="00EA4C9B">
        <w:rPr>
          <w:vertAlign w:val="superscript"/>
        </w:rPr>
      </w:r>
      <w:r w:rsidRPr="00EA4C9B">
        <w:rPr>
          <w:vertAlign w:val="superscript"/>
        </w:rPr>
        <w:fldChar w:fldCharType="separate"/>
      </w:r>
      <w:r w:rsidR="0068700D">
        <w:rPr>
          <w:vertAlign w:val="superscript"/>
        </w:rPr>
        <w:t>442</w:t>
      </w:r>
      <w:r w:rsidRPr="00EA4C9B">
        <w:rPr>
          <w:vertAlign w:val="superscript"/>
        </w:rPr>
        <w:fldChar w:fldCharType="end"/>
      </w:r>
      <w:r w:rsidRPr="00EA4C9B">
        <w:t xml:space="preserve"> </w:t>
      </w:r>
      <w:bookmarkStart w:id="175" w:name="_Ref197079944"/>
      <w:r w:rsidRPr="00EA4C9B">
        <w:rPr>
          <w:rStyle w:val="FootnoteReference"/>
        </w:rPr>
        <w:footnoteReference w:id="320"/>
      </w:r>
      <w:bookmarkEnd w:id="175"/>
      <w:r w:rsidRPr="00EA4C9B">
        <w:rPr>
          <w:rFonts w:ascii="Calibri" w:eastAsia="Calibri" w:hAnsi="Calibri" w:cs="Calibri"/>
          <w:color w:val="000000" w:themeColor="text1"/>
        </w:rPr>
        <w:t>.</w:t>
      </w:r>
    </w:p>
    <w:p w14:paraId="64D7A4DC" w14:textId="5CB85E0F" w:rsidR="000A4E61" w:rsidRPr="00EA4C9B" w:rsidRDefault="000A4E61" w:rsidP="000A4E61">
      <w:pPr>
        <w:rPr>
          <w:lang w:eastAsia="en-GB"/>
        </w:rPr>
      </w:pPr>
      <w:r w:rsidRPr="00EA4C9B">
        <w:rPr>
          <w:lang w:eastAsia="en-GB"/>
        </w:rPr>
        <w:t xml:space="preserve">An </w:t>
      </w:r>
      <w:r w:rsidRPr="00EA4C9B">
        <w:rPr>
          <w:b/>
          <w:bCs/>
          <w:lang w:eastAsia="en-GB"/>
        </w:rPr>
        <w:t>excise duty on</w:t>
      </w:r>
      <w:r w:rsidRPr="00EA4C9B">
        <w:rPr>
          <w:lang w:eastAsia="en-GB"/>
        </w:rPr>
        <w:t xml:space="preserve"> </w:t>
      </w:r>
      <w:r w:rsidRPr="00EA4C9B">
        <w:rPr>
          <w:b/>
          <w:bCs/>
          <w:lang w:eastAsia="en-GB"/>
        </w:rPr>
        <w:t>beverage packaging</w:t>
      </w:r>
      <w:r w:rsidRPr="00EA4C9B">
        <w:rPr>
          <w:lang w:eastAsia="en-GB"/>
        </w:rPr>
        <w:t xml:space="preserve"> was introduced in 1994</w:t>
      </w:r>
      <w:r w:rsidRPr="00EA4C9B">
        <w:rPr>
          <w:rStyle w:val="FootnoteReference"/>
          <w:lang w:eastAsia="en-GB"/>
        </w:rPr>
        <w:footnoteReference w:id="321"/>
      </w:r>
      <w:r w:rsidRPr="00EA4C9B">
        <w:rPr>
          <w:lang w:eastAsia="en-GB"/>
        </w:rPr>
        <w:t xml:space="preserve"> and is levied on non-returnable packaging of alcoholic beverages, water, soft drinks, and others. </w:t>
      </w:r>
      <w:r w:rsidR="00C40D18">
        <w:t>C</w:t>
      </w:r>
      <w:r w:rsidR="00C40D18" w:rsidRPr="00173148">
        <w:t xml:space="preserve">ontainers </w:t>
      </w:r>
      <w:r w:rsidR="00C40D18">
        <w:t xml:space="preserve">that </w:t>
      </w:r>
      <w:r w:rsidR="00C40D18" w:rsidRPr="00173148">
        <w:t>are part of the deposit system are exempt</w:t>
      </w:r>
      <w:r w:rsidR="00C40D18">
        <w:t xml:space="preserve">. </w:t>
      </w:r>
      <w:r w:rsidRPr="00EA4C9B">
        <w:rPr>
          <w:lang w:eastAsia="en-GB"/>
        </w:rPr>
        <w:t>The rate has not changed since 2014 and constitutes 0.51 cents/litre, applying to bottles and cans up to 5 litres. It is charged to importers, producers and beverage packaging companies</w:t>
      </w:r>
      <w:bookmarkStart w:id="176" w:name="_Ref195521071"/>
      <w:r w:rsidRPr="00EA4C9B">
        <w:rPr>
          <w:rStyle w:val="FootnoteReference"/>
          <w:lang w:eastAsia="en-GB"/>
        </w:rPr>
        <w:footnoteReference w:id="322"/>
      </w:r>
      <w:bookmarkEnd w:id="176"/>
      <w:r w:rsidRPr="00EA4C9B">
        <w:rPr>
          <w:lang w:eastAsia="en-GB"/>
        </w:rPr>
        <w:t xml:space="preserve">. In 2023, tax revenues amounted to </w:t>
      </w:r>
      <w:r w:rsidRPr="00EA4C9B">
        <w:rPr>
          <w:rFonts w:ascii="Calibri" w:eastAsia="Calibri" w:hAnsi="Calibri" w:cs="Calibri"/>
          <w:color w:val="000000" w:themeColor="text1"/>
        </w:rPr>
        <w:t>€</w:t>
      </w:r>
      <w:r w:rsidRPr="00EA4C9B">
        <w:rPr>
          <w:lang w:eastAsia="en-GB"/>
        </w:rPr>
        <w:t xml:space="preserve">12 million, the revenues are not earmarked. For other packaging, there are deposit-return schemes in place, and the types of beverage containers accepted by the deposit system are exempt from the duty, as well as containers manufactured of liquid package cartons, and beverage packaging filled immediately before it is sold. </w:t>
      </w:r>
      <w:r w:rsidR="00790C1E" w:rsidRPr="00790C1E">
        <w:rPr>
          <w:lang w:eastAsia="en-GB"/>
        </w:rPr>
        <w:t>These deposit-refund schemes cover a broad range of beverage containers and materials, and their high convenience level results in very high return rates—96% for aluminium cans, 92% for plastic bottles, 88% for reusable glass bottles, and 97% for other glass bottles</w:t>
      </w:r>
      <w:r w:rsidR="008718FE">
        <w:rPr>
          <w:rStyle w:val="FootnoteReference"/>
          <w:lang w:eastAsia="en-GB"/>
        </w:rPr>
        <w:footnoteReference w:id="323"/>
      </w:r>
      <w:r w:rsidR="00790C1E" w:rsidRPr="00790C1E">
        <w:rPr>
          <w:lang w:eastAsia="en-GB"/>
        </w:rPr>
        <w:t>.</w:t>
      </w:r>
      <w:r w:rsidRPr="00EA4C9B">
        <w:rPr>
          <w:lang w:eastAsia="en-GB"/>
        </w:rPr>
        <w:t xml:space="preserve"> The excise duty incentivises participation in the relevant schemes. </w:t>
      </w:r>
    </w:p>
    <w:p w14:paraId="43FC97BA" w14:textId="2A6FED01" w:rsidR="000A4E61" w:rsidRPr="002847DA" w:rsidRDefault="000A4E61" w:rsidP="002847DA">
      <w:r w:rsidRPr="00EA4C9B">
        <w:rPr>
          <w:b/>
          <w:bCs/>
        </w:rPr>
        <w:t>Hunting and fishing licences</w:t>
      </w:r>
      <w:r w:rsidRPr="00EA4C9B">
        <w:t>. To legally hunt in Finland, individuals must obtain a hunting card, which serves as proof of payment of the game management fee (under the Act on Game Management Fee and Hunting Licence Fee 616/1993). This fee is determined annually by the government and, for the 2023–2024 hunting year, is set at €43. The fee cannot exceed €50, as stipulated by the regulation. Funds collected from this fee are allocated to game management, and related services</w:t>
      </w:r>
      <w:r w:rsidRPr="00EA4C9B">
        <w:rPr>
          <w:rStyle w:val="FootnoteReference"/>
        </w:rPr>
        <w:footnoteReference w:id="324"/>
      </w:r>
      <w:r w:rsidRPr="00EA4C9B">
        <w:rPr>
          <w:vertAlign w:val="superscript"/>
        </w:rPr>
        <w:t xml:space="preserve"> </w:t>
      </w:r>
      <w:r w:rsidRPr="00EA4C9B">
        <w:rPr>
          <w:rStyle w:val="FootnoteReference"/>
        </w:rPr>
        <w:footnoteReference w:id="325"/>
      </w:r>
      <w:r w:rsidRPr="00EA4C9B">
        <w:t>. In Finland, fishing activities also require a permit with the cost of €6 for 24 hours, €16 for seven days, and €47 for a calendar year</w:t>
      </w:r>
      <w:r w:rsidRPr="00EA4C9B">
        <w:rPr>
          <w:rStyle w:val="FootnoteReference"/>
        </w:rPr>
        <w:footnoteReference w:id="326"/>
      </w:r>
      <w:r w:rsidRPr="00EA4C9B">
        <w:t>. Under the Fishing Act (379/2015) revenues are to be used for the management of fishing waters, operating of fisheries areas, fisheries advisory services, and compensation paid to owners of water areas for the utilisation of general fishing rights and fishing guide activities</w:t>
      </w:r>
      <w:r w:rsidRPr="00EA4C9B">
        <w:rPr>
          <w:rStyle w:val="FootnoteReference"/>
        </w:rPr>
        <w:footnoteReference w:id="327"/>
      </w:r>
      <w:r w:rsidRPr="00EA4C9B">
        <w:t>. Total revenues amounted to €</w:t>
      </w:r>
      <w:r w:rsidR="002C5076">
        <w:t>12</w:t>
      </w:r>
      <w:r w:rsidRPr="00EA4C9B">
        <w:t xml:space="preserve"> million in 2023. </w:t>
      </w:r>
      <w:r w:rsidR="008E0A2A">
        <w:t>The decrease from the pre</w:t>
      </w:r>
      <w:r w:rsidR="00FF1765">
        <w:t>v</w:t>
      </w:r>
      <w:r w:rsidR="008E0A2A">
        <w:t>ious years may be partially explained by the lower number of active hunters in 2023</w:t>
      </w:r>
      <w:r w:rsidR="0057128C">
        <w:t>, although it was only 5% lower than in 2022</w:t>
      </w:r>
      <w:r w:rsidR="00FF1765">
        <w:rPr>
          <w:rStyle w:val="FootnoteReference"/>
        </w:rPr>
        <w:footnoteReference w:id="328"/>
      </w:r>
      <w:r w:rsidR="00E967E6">
        <w:t xml:space="preserve"> </w:t>
      </w:r>
      <w:r w:rsidR="00653100">
        <w:rPr>
          <w:rStyle w:val="FootnoteReference"/>
        </w:rPr>
        <w:footnoteReference w:id="329"/>
      </w:r>
      <w:r w:rsidR="008E0A2A">
        <w:t>.</w:t>
      </w:r>
      <w:r w:rsidR="0057128C">
        <w:t xml:space="preserve"> </w:t>
      </w:r>
      <w:r w:rsidR="00375A4F">
        <w:t>Other reasons of such a steep decline in tax revenues are not clear.</w:t>
      </w:r>
      <w:r w:rsidR="008E0A2A">
        <w:t xml:space="preserve"> </w:t>
      </w:r>
      <w:r w:rsidRPr="00EA4C9B">
        <w:rPr>
          <w:b/>
          <w:bCs/>
        </w:rPr>
        <w:t>These charges are reported as environmental taxes, but their payment is not unrequited</w:t>
      </w:r>
      <w:r w:rsidRPr="00EA4C9B">
        <w:t xml:space="preserve"> (the payment is made in exchange for a right or service (i.e., the legal right to hunt or fish), </w:t>
      </w:r>
      <w:r w:rsidRPr="00EA4C9B">
        <w:rPr>
          <w:b/>
          <w:bCs/>
        </w:rPr>
        <w:t>and the base is not a unit of environmental harm</w:t>
      </w:r>
      <w:r w:rsidRPr="00EA4C9B">
        <w:t xml:space="preserve"> (e.g. emissions, pollution, resource extraction volume), but rather the activity or administrative process.</w:t>
      </w:r>
    </w:p>
    <w:p w14:paraId="4C559768" w14:textId="77777777" w:rsidR="000A4E61" w:rsidRPr="00EA4C9B" w:rsidRDefault="000A4E61" w:rsidP="00C753BB">
      <w:pPr>
        <w:pStyle w:val="Heading4"/>
      </w:pPr>
      <w:r w:rsidRPr="00EA4C9B">
        <w:lastRenderedPageBreak/>
        <w:t>Abolished taxes</w:t>
      </w:r>
    </w:p>
    <w:p w14:paraId="75EF23F0" w14:textId="09DEF260" w:rsidR="000A4E61" w:rsidRPr="00EA4C9B" w:rsidRDefault="000A4E61" w:rsidP="000A4E61">
      <w:pPr>
        <w:spacing w:after="0"/>
        <w:rPr>
          <w:rFonts w:ascii="Calibri" w:hAnsi="Calibri" w:cs="Calibri"/>
          <w:b/>
          <w:bCs/>
        </w:rPr>
      </w:pPr>
      <w:r w:rsidRPr="00EA4C9B">
        <w:t xml:space="preserve">In 2019, Finland cancelled the </w:t>
      </w:r>
      <w:r w:rsidRPr="00EA4C9B">
        <w:rPr>
          <w:b/>
          <w:bCs/>
        </w:rPr>
        <w:t>oil waste fee</w:t>
      </w:r>
      <w:r w:rsidRPr="00EA4C9B">
        <w:t xml:space="preserve"> which was due to start in 2020</w:t>
      </w:r>
      <w:r w:rsidRPr="00EA4C9B">
        <w:rPr>
          <w:rStyle w:val="FootnoteReference"/>
        </w:rPr>
        <w:footnoteReference w:id="330"/>
      </w:r>
      <w:r w:rsidRPr="00EA4C9B">
        <w:t>. Instead, the government and the Finnish Association of Environmental Industries and Services signed a Green Deal agreement on waste management</w:t>
      </w:r>
      <w:bookmarkStart w:id="177" w:name="_Ref192235883"/>
      <w:r w:rsidRPr="00EA4C9B">
        <w:rPr>
          <w:rStyle w:val="FootnoteReference"/>
        </w:rPr>
        <w:footnoteReference w:id="331"/>
      </w:r>
      <w:bookmarkEnd w:id="177"/>
      <w:r w:rsidRPr="00EA4C9B">
        <w:t xml:space="preserve">, with the goal of improving the efficiency of collection and </w:t>
      </w:r>
      <w:r w:rsidRPr="00EA4C9B">
        <w:rPr>
          <w:lang w:eastAsia="en-GB"/>
        </w:rPr>
        <w:t>maximise</w:t>
      </w:r>
      <w:r w:rsidRPr="00EA4C9B">
        <w:t xml:space="preserve"> the recycling rate of oil waste. The regulation does not elaborate on why the fee was cancelled, but it is assumed that the new waste management system was seen as a better alternative. Between 2010-2016 the average rate of recycling was 74%, while the agreement aims to reach at least 80%</w:t>
      </w:r>
      <w:r w:rsidRPr="00EA4C9B">
        <w:rPr>
          <w:vertAlign w:val="superscript"/>
        </w:rPr>
        <w:fldChar w:fldCharType="begin"/>
      </w:r>
      <w:r w:rsidRPr="00EA4C9B">
        <w:rPr>
          <w:vertAlign w:val="superscript"/>
        </w:rPr>
        <w:instrText xml:space="preserve"> NOTEREF _Ref192235883 \h  \* MERGEFORMAT </w:instrText>
      </w:r>
      <w:r w:rsidRPr="00EA4C9B">
        <w:rPr>
          <w:vertAlign w:val="superscript"/>
        </w:rPr>
      </w:r>
      <w:r w:rsidRPr="00EA4C9B">
        <w:rPr>
          <w:vertAlign w:val="superscript"/>
        </w:rPr>
        <w:fldChar w:fldCharType="separate"/>
      </w:r>
      <w:r w:rsidR="0068700D">
        <w:rPr>
          <w:vertAlign w:val="superscript"/>
        </w:rPr>
        <w:t>456</w:t>
      </w:r>
      <w:r w:rsidRPr="00EA4C9B">
        <w:rPr>
          <w:vertAlign w:val="superscript"/>
        </w:rPr>
        <w:fldChar w:fldCharType="end"/>
      </w:r>
      <w:r w:rsidRPr="00EA4C9B">
        <w:t xml:space="preserve">. Tax revenues in 2019 constituted </w:t>
      </w:r>
      <w:r w:rsidRPr="00EA4C9B">
        <w:rPr>
          <w:rFonts w:ascii="Calibri" w:eastAsia="Calibri" w:hAnsi="Calibri" w:cs="Calibri"/>
          <w:color w:val="000000" w:themeColor="text1"/>
        </w:rPr>
        <w:t>€</w:t>
      </w:r>
      <w:r w:rsidRPr="00EA4C9B">
        <w:t>4 million.</w:t>
      </w:r>
    </w:p>
    <w:p w14:paraId="7242B1C2" w14:textId="77777777" w:rsidR="000A4E61" w:rsidRPr="00EA4C9B" w:rsidRDefault="000A4E61" w:rsidP="000A4E61">
      <w:pPr>
        <w:spacing w:after="0"/>
        <w:rPr>
          <w:rFonts w:ascii="Calibri" w:hAnsi="Calibri" w:cs="Calibri"/>
          <w:b/>
          <w:bCs/>
        </w:rPr>
      </w:pPr>
    </w:p>
    <w:p w14:paraId="03AA5E2F" w14:textId="1D83E485" w:rsidR="000A4E61" w:rsidRPr="00EA4C9B" w:rsidRDefault="000A4E61" w:rsidP="000A4E61">
      <w:r w:rsidRPr="00EA4C9B">
        <w:t xml:space="preserve">In Finland, the </w:t>
      </w:r>
      <w:r w:rsidRPr="00EA4C9B">
        <w:rPr>
          <w:b/>
          <w:bCs/>
        </w:rPr>
        <w:t>oil damage levy</w:t>
      </w:r>
      <w:r w:rsidRPr="00EA4C9B">
        <w:t xml:space="preserve"> was paid by buyers or importers of oil and funded oil spill response and prevention measures</w:t>
      </w:r>
      <w:r w:rsidRPr="00EA4C9B">
        <w:rPr>
          <w:rStyle w:val="FootnoteReference"/>
        </w:rPr>
        <w:footnoteReference w:id="332"/>
      </w:r>
      <w:r w:rsidRPr="00EA4C9B">
        <w:t xml:space="preserve">. It was also abolished, in 2020. The oil damage levy financed the Oil Spill </w:t>
      </w:r>
      <w:r w:rsidRPr="00EA4C9B">
        <w:rPr>
          <w:lang w:eastAsia="en-GB"/>
        </w:rPr>
        <w:t>Protection</w:t>
      </w:r>
      <w:r w:rsidRPr="00EA4C9B">
        <w:t xml:space="preserve"> Fund. Its objective was to compensate for relevant environmental costs. In its place, the government established an Environmental Damage Fund</w:t>
      </w:r>
      <w:r w:rsidR="00254F28">
        <w:t xml:space="preserve"> to be governed by the Ministry of Environment</w:t>
      </w:r>
      <w:r w:rsidRPr="00EA4C9B">
        <w:t>. This new fund is off-budget and covers the costs of preventing environmental pollution and restoring polluted environments. It is funded through one-time liability contributions from operators whose activities have the potential to cause environmental pollution</w:t>
      </w:r>
      <w:r w:rsidRPr="00EA4C9B">
        <w:rPr>
          <w:rStyle w:val="FootnoteReference"/>
        </w:rPr>
        <w:footnoteReference w:id="333"/>
      </w:r>
      <w:r w:rsidRPr="00EA4C9B">
        <w:t xml:space="preserve">. Tax revenues in 2020 constituted </w:t>
      </w:r>
      <w:r w:rsidRPr="00EA4C9B">
        <w:rPr>
          <w:rFonts w:ascii="Calibri" w:eastAsia="Calibri" w:hAnsi="Calibri" w:cs="Calibri"/>
          <w:color w:val="000000" w:themeColor="text1"/>
        </w:rPr>
        <w:t>€</w:t>
      </w:r>
      <w:r w:rsidRPr="00EA4C9B">
        <w:t>2 million.</w:t>
      </w:r>
      <w:r w:rsidR="00850376">
        <w:t xml:space="preserve"> </w:t>
      </w:r>
      <w:r w:rsidR="00254F28">
        <w:t xml:space="preserve">The </w:t>
      </w:r>
      <w:r w:rsidR="00254F28" w:rsidRPr="00F8286E">
        <w:t xml:space="preserve">actual collection of fees </w:t>
      </w:r>
      <w:r w:rsidR="00254F28">
        <w:t xml:space="preserve">under </w:t>
      </w:r>
      <w:r w:rsidR="00812C12">
        <w:t xml:space="preserve">the new Fund </w:t>
      </w:r>
      <w:r w:rsidR="00254F28" w:rsidRPr="00F8286E">
        <w:t>will start in 2026</w:t>
      </w:r>
      <w:r w:rsidR="0038164F">
        <w:rPr>
          <w:rStyle w:val="FootnoteReference"/>
        </w:rPr>
        <w:footnoteReference w:id="334"/>
      </w:r>
      <w:r w:rsidR="0038164F">
        <w:t>.</w:t>
      </w:r>
    </w:p>
    <w:p w14:paraId="39EBEA8B" w14:textId="77777777" w:rsidR="000A4E61" w:rsidRPr="00EA4C9B" w:rsidRDefault="000A4E61" w:rsidP="000A4E61">
      <w:r w:rsidRPr="00EA4C9B">
        <w:t xml:space="preserve">Before joining the EU, Finland imposed </w:t>
      </w:r>
      <w:r w:rsidRPr="00EA4C9B">
        <w:rPr>
          <w:b/>
          <w:bCs/>
        </w:rPr>
        <w:t>taxes on mineral fertilizers</w:t>
      </w:r>
      <w:r w:rsidRPr="00EA4C9B">
        <w:t>. There was a tax on inorganic fertilizers from the 1970s until 1994. Starting in 1990, a combined tax on both phosphate and nitrogen fertilizers was introduced. These fertilizer taxes were abolished in 1994, prior to Finland's EU membership</w:t>
      </w:r>
      <w:r w:rsidRPr="00EA4C9B">
        <w:rPr>
          <w:rStyle w:val="FootnoteReference"/>
        </w:rPr>
        <w:footnoteReference w:id="335"/>
      </w:r>
      <w:r w:rsidRPr="00EA4C9B">
        <w:t xml:space="preserve">. Since then, there has been no indication from the government of plans to reintroduce a fertilizer tax. </w:t>
      </w:r>
    </w:p>
    <w:p w14:paraId="2A91BC8D" w14:textId="77777777" w:rsidR="000A4E61" w:rsidRPr="00EA4C9B" w:rsidRDefault="000A4E61" w:rsidP="00C753BB">
      <w:pPr>
        <w:pStyle w:val="Heading4"/>
      </w:pPr>
      <w:r w:rsidRPr="00EA4C9B">
        <w:t>New taxes</w:t>
      </w:r>
    </w:p>
    <w:p w14:paraId="33FB2FD6" w14:textId="22A79AC9" w:rsidR="000A4E61" w:rsidRPr="00EA4C9B" w:rsidRDefault="000A4E61" w:rsidP="000A4E61">
      <w:r w:rsidRPr="00EA4C9B">
        <w:t xml:space="preserve">In 2024, Finland introduced </w:t>
      </w:r>
      <w:r w:rsidRPr="00EA4C9B">
        <w:rPr>
          <w:b/>
          <w:bCs/>
        </w:rPr>
        <w:t>a new tax on mined minerals</w:t>
      </w:r>
      <w:r w:rsidRPr="00EA4C9B">
        <w:rPr>
          <w:rStyle w:val="FootnoteReference"/>
        </w:rPr>
        <w:footnoteReference w:id="336"/>
      </w:r>
      <w:r w:rsidRPr="00EA4C9B">
        <w:t xml:space="preserve">. The tax is paid by mining companies that obtain a </w:t>
      </w:r>
      <w:r w:rsidRPr="00EA4C9B">
        <w:rPr>
          <w:lang w:eastAsia="en-GB"/>
        </w:rPr>
        <w:t>permit to mine minerals in Finland</w:t>
      </w:r>
      <w:r w:rsidRPr="00EA4C9B">
        <w:t>. Since tax f</w:t>
      </w:r>
      <w:r w:rsidRPr="00EA4C9B">
        <w:rPr>
          <w:rFonts w:eastAsiaTheme="minorEastAsia"/>
        </w:rPr>
        <w:t xml:space="preserve">or 2024 must be paid before 12 March 2025, </w:t>
      </w:r>
      <w:r w:rsidRPr="00EA4C9B">
        <w:t>there is no data available yet on relevant tax revenues.</w:t>
      </w:r>
      <w:r w:rsidR="00A704C0">
        <w:t xml:space="preserve"> </w:t>
      </w:r>
      <w:r w:rsidR="009D1834">
        <w:t xml:space="preserve">The goal of the tax is not to reduce </w:t>
      </w:r>
      <w:r w:rsidR="00D0586D">
        <w:t xml:space="preserve">the volume of </w:t>
      </w:r>
      <w:r w:rsidR="00046BA5">
        <w:t xml:space="preserve">mineral mining, </w:t>
      </w:r>
      <w:r w:rsidR="00231048">
        <w:t>but rather to raise revenue</w:t>
      </w:r>
      <w:r w:rsidR="005B4B22">
        <w:t xml:space="preserve">. The goal of the government is </w:t>
      </w:r>
      <w:r w:rsidR="00C2270D">
        <w:t>to reduce the harm</w:t>
      </w:r>
      <w:r w:rsidR="00A02F55">
        <w:t>, which is mitigated through regulation</w:t>
      </w:r>
      <w:r w:rsidR="006F2097">
        <w:rPr>
          <w:rStyle w:val="FootnoteReference"/>
        </w:rPr>
        <w:footnoteReference w:id="337"/>
      </w:r>
      <w:r w:rsidR="00231048">
        <w:t xml:space="preserve">. </w:t>
      </w:r>
    </w:p>
    <w:p w14:paraId="4666EA93" w14:textId="77777777" w:rsidR="000A4E61" w:rsidRPr="00EA4C9B" w:rsidRDefault="000A4E61" w:rsidP="000A4E61">
      <w:pPr>
        <w:rPr>
          <w:b/>
          <w:bCs/>
          <w:i/>
          <w:iCs/>
        </w:rPr>
      </w:pPr>
      <w:r w:rsidRPr="00EA4C9B">
        <w:rPr>
          <w:b/>
          <w:bCs/>
          <w:i/>
          <w:iCs/>
        </w:rPr>
        <w:t>Fees and other related instruments</w:t>
      </w:r>
    </w:p>
    <w:p w14:paraId="7541EE54" w14:textId="48A2558C" w:rsidR="000A4E61" w:rsidRPr="00EA4C9B" w:rsidRDefault="000A4E61" w:rsidP="000A4E61">
      <w:r w:rsidRPr="00EA4C9B">
        <w:rPr>
          <w:b/>
          <w:bCs/>
        </w:rPr>
        <w:t>Water charges</w:t>
      </w:r>
      <w:r w:rsidRPr="00EA4C9B">
        <w:t>. Overall, the country has no water abstraction or pollution charges in place</w:t>
      </w:r>
      <w:r w:rsidRPr="00EA4C9B">
        <w:rPr>
          <w:vertAlign w:val="superscript"/>
        </w:rPr>
        <w:fldChar w:fldCharType="begin"/>
      </w:r>
      <w:r w:rsidRPr="00EA4C9B">
        <w:rPr>
          <w:vertAlign w:val="superscript"/>
        </w:rPr>
        <w:instrText xml:space="preserve"> NOTEREF _Ref195612650 \h  \* MERGEFORMAT </w:instrText>
      </w:r>
      <w:r w:rsidRPr="00EA4C9B">
        <w:rPr>
          <w:vertAlign w:val="superscript"/>
        </w:rPr>
      </w:r>
      <w:r w:rsidRPr="00EA4C9B">
        <w:rPr>
          <w:vertAlign w:val="superscript"/>
        </w:rPr>
        <w:fldChar w:fldCharType="separate"/>
      </w:r>
      <w:r w:rsidRPr="00EA4C9B">
        <w:rPr>
          <w:vertAlign w:val="superscript"/>
        </w:rPr>
        <w:fldChar w:fldCharType="end"/>
      </w:r>
      <w:r w:rsidRPr="00EA4C9B">
        <w:t>. Charges for water services paid by customers must cover the investments and costs of the water supply plant</w:t>
      </w:r>
      <w:r w:rsidR="005A0526">
        <w:t>.</w:t>
      </w:r>
      <w:r w:rsidRPr="00EA4C9B">
        <w:t xml:space="preserve"> </w:t>
      </w:r>
      <w:r w:rsidRPr="00EA4C9B">
        <w:lastRenderedPageBreak/>
        <w:t>All of the charges below are requited, hence, are not considered to be taxes for the purposes of this review.</w:t>
      </w:r>
    </w:p>
    <w:p w14:paraId="7D61000D" w14:textId="16B8C549" w:rsidR="000A4E61" w:rsidRPr="00EA4C9B" w:rsidRDefault="000A4E61" w:rsidP="009B400E">
      <w:pPr>
        <w:pStyle w:val="ListParagraph"/>
        <w:numPr>
          <w:ilvl w:val="0"/>
          <w:numId w:val="6"/>
        </w:numPr>
      </w:pPr>
      <w:r w:rsidRPr="00EA4C9B">
        <w:t xml:space="preserve">In Finland, there are six Regional State Administrative Agencies that act as the regional representatives of these ministries. These agencies charge </w:t>
      </w:r>
      <w:r w:rsidRPr="00EA4C9B">
        <w:rPr>
          <w:b/>
          <w:bCs/>
        </w:rPr>
        <w:t>a fee for water permit applications</w:t>
      </w:r>
      <w:r w:rsidRPr="00EA4C9B">
        <w:t>, determined in the Government Decree on fees</w:t>
      </w:r>
      <w:bookmarkStart w:id="178" w:name="_Ref197078597"/>
      <w:r w:rsidRPr="00EA4C9B">
        <w:rPr>
          <w:rStyle w:val="FootnoteReference"/>
        </w:rPr>
        <w:footnoteReference w:id="338"/>
      </w:r>
      <w:bookmarkEnd w:id="178"/>
      <w:r w:rsidR="005A0526">
        <w:rPr>
          <w:vertAlign w:val="superscript"/>
        </w:rPr>
        <w:t>,</w:t>
      </w:r>
      <w:r w:rsidRPr="00EA4C9B">
        <w:rPr>
          <w:rStyle w:val="FootnoteReference"/>
        </w:rPr>
        <w:footnoteReference w:id="339"/>
      </w:r>
      <w:r w:rsidRPr="00EA4C9B">
        <w:t xml:space="preserve">. This is not a tax, as the payment is requited – an applicant receives a service in return. For industry, there are no water abstraction charges, although entities that had obtained a permit before 2000 continue to pay a water protection charge. </w:t>
      </w:r>
    </w:p>
    <w:p w14:paraId="0D4BF660" w14:textId="0A93F011" w:rsidR="000A4E61" w:rsidRPr="00EA4C9B" w:rsidRDefault="000A4E61" w:rsidP="009B400E">
      <w:pPr>
        <w:pStyle w:val="ListParagraph"/>
        <w:numPr>
          <w:ilvl w:val="0"/>
          <w:numId w:val="6"/>
        </w:numPr>
      </w:pPr>
      <w:r w:rsidRPr="00EA4C9B">
        <w:t xml:space="preserve">There is also a </w:t>
      </w:r>
      <w:r w:rsidRPr="00EA4C9B">
        <w:rPr>
          <w:b/>
          <w:bCs/>
        </w:rPr>
        <w:t>water supply charge</w:t>
      </w:r>
      <w:r w:rsidRPr="00EA4C9B">
        <w:t xml:space="preserve"> at the municipal level that consists of a fixed part (a connection and a basic charge) and a volume-based part</w:t>
      </w:r>
      <w:bookmarkStart w:id="179" w:name="_Ref195612650"/>
      <w:r w:rsidRPr="00EA4C9B">
        <w:t xml:space="preserve"> (under the Water Services Act (119/2001)</w:t>
      </w:r>
      <w:r w:rsidR="00046DFF">
        <w:t>.</w:t>
      </w:r>
      <w:r w:rsidRPr="00EA4C9B">
        <w:rPr>
          <w:rStyle w:val="FootnoteReference"/>
        </w:rPr>
        <w:footnoteReference w:id="340"/>
      </w:r>
      <w:bookmarkEnd w:id="179"/>
      <w:r w:rsidRPr="00EA4C9B">
        <w:rPr>
          <w:vertAlign w:val="superscript"/>
        </w:rPr>
        <w:fldChar w:fldCharType="begin"/>
      </w:r>
      <w:r w:rsidRPr="00EA4C9B">
        <w:rPr>
          <w:vertAlign w:val="superscript"/>
        </w:rPr>
        <w:instrText xml:space="preserve"> NOTEREF _Ref197078597 \h  \* MERGEFORMAT </w:instrText>
      </w:r>
      <w:r w:rsidRPr="00EA4C9B">
        <w:rPr>
          <w:vertAlign w:val="superscript"/>
        </w:rPr>
      </w:r>
      <w:r w:rsidRPr="00EA4C9B">
        <w:rPr>
          <w:vertAlign w:val="superscript"/>
        </w:rPr>
        <w:fldChar w:fldCharType="separate"/>
      </w:r>
      <w:r w:rsidRPr="00EA4C9B">
        <w:rPr>
          <w:vertAlign w:val="superscript"/>
        </w:rPr>
        <w:fldChar w:fldCharType="end"/>
      </w:r>
      <w:r w:rsidRPr="00EA4C9B">
        <w:t xml:space="preserve"> A basic charge is paid by consumers to water utilities to cover the maintenance of the water treatment plant and water distribution network</w:t>
      </w:r>
      <w:r w:rsidRPr="00EA4C9B">
        <w:rPr>
          <w:rStyle w:val="FootnoteReference"/>
        </w:rPr>
        <w:footnoteReference w:id="341"/>
      </w:r>
      <w:r w:rsidRPr="00EA4C9B">
        <w:t xml:space="preserve">. </w:t>
      </w:r>
    </w:p>
    <w:p w14:paraId="363779E5" w14:textId="77777777" w:rsidR="000A4E61" w:rsidRPr="00EA4C9B" w:rsidRDefault="000A4E61" w:rsidP="009B400E">
      <w:pPr>
        <w:pStyle w:val="ListParagraph"/>
        <w:numPr>
          <w:ilvl w:val="0"/>
          <w:numId w:val="6"/>
        </w:numPr>
      </w:pPr>
      <w:r w:rsidRPr="00EA4C9B">
        <w:rPr>
          <w:b/>
          <w:bCs/>
        </w:rPr>
        <w:t>Wastewater charges</w:t>
      </w:r>
      <w:r w:rsidRPr="00EA4C9B">
        <w:t>. Fees are paid by consumers to water supply and wastewater utilities and are based on the quantity and quality of wastewater discharged from the property. They also cover the costs of maintaining the water supply and sewage system</w:t>
      </w:r>
      <w:r w:rsidRPr="00EA4C9B">
        <w:rPr>
          <w:rStyle w:val="FootnoteReference"/>
        </w:rPr>
        <w:footnoteReference w:id="342"/>
      </w:r>
      <w:r w:rsidRPr="00EA4C9B">
        <w:t xml:space="preserve">. </w:t>
      </w:r>
    </w:p>
    <w:p w14:paraId="094C28CD" w14:textId="77777777" w:rsidR="000A4E61" w:rsidRPr="00EA4C9B" w:rsidRDefault="000A4E61" w:rsidP="000A4E61">
      <w:r w:rsidRPr="00EA4C9B">
        <w:rPr>
          <w:b/>
          <w:bCs/>
        </w:rPr>
        <w:t xml:space="preserve">Land extraction fee. </w:t>
      </w:r>
      <w:r w:rsidRPr="00EA4C9B">
        <w:t>Abstracting soil, stone, gravel, sand, and clay for purposes other than domestic use, agriculture and forestry requires a permit under the Land Extraction Act. The permit should be obtained from the municipality. The permit applicant pays a fee to the local authority for processing the application, examining the mining plan and for the supervision of operations</w:t>
      </w:r>
      <w:r w:rsidRPr="00EA4C9B">
        <w:rPr>
          <w:rStyle w:val="FootnoteReference"/>
        </w:rPr>
        <w:footnoteReference w:id="343"/>
      </w:r>
      <w:r w:rsidRPr="00EA4C9B">
        <w:t>. The fee is not an environmental tax as it is a requited payment.</w:t>
      </w:r>
    </w:p>
    <w:p w14:paraId="49C5F572" w14:textId="686D6084" w:rsidR="000A4E61" w:rsidRPr="00EA4C9B" w:rsidRDefault="000A4E61" w:rsidP="000A4E61">
      <w:r w:rsidRPr="00EA4C9B">
        <w:rPr>
          <w:b/>
          <w:bCs/>
        </w:rPr>
        <w:t>Charge on tyres</w:t>
      </w:r>
      <w:r w:rsidRPr="00EA4C9B">
        <w:t>. Under the Waste Act (646/2011), all tyre producers – including manufacturers and importers of vehicles equipped with tyres – are obligated to ensure the separate collection and recovery of used tyres. Recycling is financed through a recycling fee included in the price of new tyres. The fee depends on the size of the tyres. As of January 1, 2025, the recycling fee is €2.01 per passenger car tyre, according to Finnish Tyre Recycling – the only producer association approved by the Pirkanmaa ELY Centre, responsible for the regional implementation and development tasks of the central government. The goal is to ensure at least 95% by weight of tyres are reused (in line with the End-of-Life Vehicles Directive), recycled or otherwise used</w:t>
      </w:r>
      <w:r w:rsidRPr="00EA4C9B">
        <w:rPr>
          <w:rStyle w:val="FootnoteReference"/>
        </w:rPr>
        <w:footnoteReference w:id="344"/>
      </w:r>
      <w:r w:rsidR="00046DFF">
        <w:rPr>
          <w:vertAlign w:val="superscript"/>
        </w:rPr>
        <w:t>,</w:t>
      </w:r>
      <w:r w:rsidRPr="00EA4C9B">
        <w:rPr>
          <w:rStyle w:val="FootnoteReference"/>
        </w:rPr>
        <w:footnoteReference w:id="345"/>
      </w:r>
      <w:r w:rsidRPr="00EA4C9B">
        <w:t>. The fee is not an environmental tax as it is a requited payment.</w:t>
      </w:r>
    </w:p>
    <w:p w14:paraId="4A66005D" w14:textId="77777777" w:rsidR="000A4E61" w:rsidRPr="00EA4C9B" w:rsidRDefault="000A4E61" w:rsidP="000A4E61">
      <w:r w:rsidRPr="00EA4C9B">
        <w:t>The charge is aligned with Waste Framework Directive (2008/98/EC)</w:t>
      </w:r>
      <w:r w:rsidRPr="00EA4C9B">
        <w:rPr>
          <w:rStyle w:val="FootnoteReference"/>
        </w:rPr>
        <w:footnoteReference w:id="346"/>
      </w:r>
      <w:r w:rsidRPr="00EA4C9B">
        <w:t>, as it implements Polluter Pays Principle. At the same time, the Directive does not mandate specific recycling fees, hence, the national fee is additional to what is required by the EU regulation.</w:t>
      </w:r>
    </w:p>
    <w:p w14:paraId="4628C37B" w14:textId="77777777" w:rsidR="000A4E61" w:rsidRPr="00EA4C9B" w:rsidRDefault="000A4E61" w:rsidP="000A4E61">
      <w:r w:rsidRPr="00EA4C9B">
        <w:rPr>
          <w:b/>
          <w:bCs/>
        </w:rPr>
        <w:lastRenderedPageBreak/>
        <w:t>Fee on waste from ships</w:t>
      </w:r>
      <w:r w:rsidRPr="00EA4C9B">
        <w:t>. Under the Maritime Environmental Protection Act (1672/2009), which is aligned with the relevant EU regulation</w:t>
      </w:r>
      <w:r w:rsidRPr="00EA4C9B">
        <w:rPr>
          <w:rStyle w:val="FootnoteReference"/>
        </w:rPr>
        <w:footnoteReference w:id="347"/>
      </w:r>
      <w:r w:rsidRPr="00EA4C9B">
        <w:t>, ships arriving at ports in Finland have to pay a fee to the port operator, even if they do not leave any waste. The fee is meant to cover the expenses of managing such waste as 1) oily waste; 2) garbage, excluding cargo residue(s); and 3) sewage</w:t>
      </w:r>
      <w:r w:rsidRPr="00EA4C9B">
        <w:rPr>
          <w:rStyle w:val="FootnoteReference"/>
        </w:rPr>
        <w:footnoteReference w:id="348"/>
      </w:r>
      <w:r w:rsidRPr="00EA4C9B">
        <w:t>. Tariffs differ from port to port. Since revenues are spent on waste management, it is not classified as a tax.</w:t>
      </w:r>
    </w:p>
    <w:p w14:paraId="24E01B67" w14:textId="77777777" w:rsidR="000A4E61" w:rsidRPr="00EA4C9B" w:rsidRDefault="000A4E61" w:rsidP="000A4E61">
      <w:r w:rsidRPr="00EA4C9B">
        <w:t>While the Directive (EU) 2019/883 requires a mandatory fee, although Finland had had these fees before the Directive was adopted.</w:t>
      </w:r>
    </w:p>
    <w:p w14:paraId="44881077" w14:textId="77777777" w:rsidR="000A4E61" w:rsidRPr="00EA4C9B" w:rsidRDefault="000A4E61" w:rsidP="000A4E61">
      <w:r w:rsidRPr="00EA4C9B">
        <w:rPr>
          <w:b/>
          <w:bCs/>
        </w:rPr>
        <w:t>Chemicals registration fee</w:t>
      </w:r>
      <w:r w:rsidRPr="00EA4C9B">
        <w:t>. Companies must submit information about the chemicals they place on the Finnish market to Tukes – Finnish Safety and Chemicals Agency. An annual fee of €26 per notification is charged, and a maximum amount is €5,200 per year. A chemical notification is not required in some cases (cosmetics, non-hazardous chemicals, chemicals manufactured in Finland but not placed on the Finnish market) and where there are derogations for submitting a safety data sheet as laid down in the REACH regulation</w:t>
      </w:r>
      <w:r w:rsidRPr="00EA4C9B">
        <w:rPr>
          <w:rStyle w:val="FootnoteReference"/>
        </w:rPr>
        <w:footnoteReference w:id="349"/>
      </w:r>
      <w:r w:rsidRPr="00EA4C9B">
        <w:t>. While it is not explicitly stated, it appears that this fee is in addition to the REACH registration fee payable to ECHA.</w:t>
      </w:r>
      <w:r w:rsidRPr="00EA4C9B">
        <w:rPr>
          <w:rStyle w:val="FootnoteReference"/>
        </w:rPr>
        <w:footnoteReference w:id="350"/>
      </w:r>
      <w:r w:rsidRPr="00EA4C9B">
        <w:t xml:space="preserve"> </w:t>
      </w:r>
    </w:p>
    <w:p w14:paraId="32EC7B19" w14:textId="77777777" w:rsidR="000A4E61" w:rsidRPr="00EA4C9B" w:rsidRDefault="000A4E61" w:rsidP="000A4E61">
      <w:r w:rsidRPr="00EA4C9B">
        <w:rPr>
          <w:b/>
          <w:bCs/>
        </w:rPr>
        <w:t>Pesticides tax</w:t>
      </w:r>
      <w:r w:rsidRPr="00EA4C9B">
        <w:t>. Finland had a tax of 3.5% of the final price (excluding VAT). The tax revenue was used to finance pesticide registration and maintenance of a pesticide register. Hence, it was not intended to stimulate the reduction of pesticide use, but rather to cover administration costs</w:t>
      </w:r>
      <w:r w:rsidRPr="00EA4C9B">
        <w:rPr>
          <w:rStyle w:val="FootnoteReference"/>
        </w:rPr>
        <w:footnoteReference w:id="351"/>
      </w:r>
      <w:r w:rsidRPr="00EA4C9B">
        <w:t xml:space="preserve"> </w:t>
      </w:r>
      <w:r w:rsidRPr="00EA4C9B">
        <w:rPr>
          <w:rStyle w:val="FootnoteReference"/>
        </w:rPr>
        <w:footnoteReference w:id="352"/>
      </w:r>
      <w:r w:rsidRPr="00EA4C9B">
        <w:t>. Despite being a tax, it appears to be rather a fee, as the charge is requited. It is not clear whether the tax is still in place due to limited information available</w:t>
      </w:r>
      <w:r w:rsidRPr="00EA4C9B">
        <w:rPr>
          <w:rStyle w:val="FootnoteReference"/>
        </w:rPr>
        <w:footnoteReference w:id="353"/>
      </w:r>
      <w:r w:rsidRPr="00EA4C9B">
        <w:t>.</w:t>
      </w:r>
    </w:p>
    <w:p w14:paraId="353B4E11" w14:textId="77777777" w:rsidR="000A4E61" w:rsidRPr="00EA4C9B" w:rsidRDefault="000A4E61" w:rsidP="000A4E61">
      <w:pPr>
        <w:pStyle w:val="Heading4"/>
      </w:pPr>
      <w:r w:rsidRPr="00EA4C9B">
        <w:t>Proposed or postponed environmental taxes</w:t>
      </w:r>
    </w:p>
    <w:p w14:paraId="3F2EAFCD" w14:textId="77777777" w:rsidR="000A4E61" w:rsidRPr="00EA4C9B" w:rsidRDefault="000A4E61" w:rsidP="000A4E61">
      <w:r w:rsidRPr="00EA4C9B">
        <w:t xml:space="preserve">The </w:t>
      </w:r>
      <w:r w:rsidRPr="00EA4C9B">
        <w:rPr>
          <w:lang w:eastAsia="en-GB"/>
        </w:rPr>
        <w:t xml:space="preserve">2019 Government Programme planned to </w:t>
      </w:r>
      <w:r w:rsidRPr="00EA4C9B">
        <w:t>conduct a comprehensive review of how tax policy could be used to support a circular economy. A broad-based tax on packaging made from non-renewable natural resources, a tax on energy use and carbon dioxide emissions from waste incineration, and an increase in the landfill waste tax were all considered, as well as a new mining tax. It was also planned to develop life cycle emission assessments for food and other consumer products to guide consumption taxation to reflect their climate and environmental impacts</w:t>
      </w:r>
      <w:bookmarkStart w:id="180" w:name="_Ref195801108"/>
      <w:r w:rsidRPr="00EA4C9B">
        <w:rPr>
          <w:rStyle w:val="FootnoteReference"/>
        </w:rPr>
        <w:footnoteReference w:id="354"/>
      </w:r>
      <w:bookmarkEnd w:id="180"/>
      <w:r w:rsidRPr="00EA4C9B">
        <w:t>. From those planned actions, only a mineral extraction tax has been introduced as of April 2025, and a tax on landfill waste was increased. It is not clear whether other taxes are still considered. The 2023 Programme of Prime Minister Petteri Orpo's Government does not mention these additional taxes</w:t>
      </w:r>
      <w:r w:rsidRPr="00EA4C9B">
        <w:rPr>
          <w:rStyle w:val="FootnoteReference"/>
        </w:rPr>
        <w:footnoteReference w:id="355"/>
      </w:r>
      <w:r w:rsidRPr="00EA4C9B">
        <w:t xml:space="preserve">.  </w:t>
      </w:r>
    </w:p>
    <w:p w14:paraId="7D1B2C34" w14:textId="77777777" w:rsidR="000A4E61" w:rsidRPr="00EA4C9B" w:rsidRDefault="000A4E61" w:rsidP="000A4E61">
      <w:pPr>
        <w:pStyle w:val="Heading4"/>
      </w:pPr>
      <w:r w:rsidRPr="00EA4C9B">
        <w:lastRenderedPageBreak/>
        <w:t>Conclusions, country-specific recommendations and reform progress</w:t>
      </w:r>
    </w:p>
    <w:p w14:paraId="167BB3D7" w14:textId="63534968" w:rsidR="000A4E61" w:rsidRPr="00EA4C9B" w:rsidRDefault="000A4E61" w:rsidP="000A4E61">
      <w:pPr>
        <w:rPr>
          <w:rFonts w:ascii="Calibri" w:hAnsi="Calibri" w:cs="Calibri"/>
        </w:rPr>
      </w:pPr>
      <w:r w:rsidRPr="00EA4C9B">
        <w:rPr>
          <w:rFonts w:ascii="Calibri" w:hAnsi="Calibri" w:cs="Calibri"/>
        </w:rPr>
        <w:t>While the share of environmental tax revenues in total tax revenues is higher in Finland than in the EU as a whole (5.7% vs 5%), this is mainly due to revenues from transport taxes. Pollution and resource taxes account for only 0.8% of environmental taxes and 0.04% of the total</w:t>
      </w:r>
      <w:r w:rsidRPr="00EA4C9B">
        <w:rPr>
          <w:rFonts w:ascii="Calibri" w:hAnsi="Calibri" w:cs="Calibri"/>
          <w:vertAlign w:val="superscript"/>
        </w:rPr>
        <w:fldChar w:fldCharType="begin"/>
      </w:r>
      <w:r w:rsidRPr="00EA4C9B">
        <w:rPr>
          <w:rFonts w:ascii="Calibri" w:hAnsi="Calibri" w:cs="Calibri"/>
          <w:vertAlign w:val="superscript"/>
        </w:rPr>
        <w:instrText xml:space="preserve"> NOTEREF _Ref197003763 \h  \* MERGEFORMAT </w:instrText>
      </w:r>
      <w:r w:rsidRPr="00EA4C9B">
        <w:rPr>
          <w:rFonts w:ascii="Calibri" w:hAnsi="Calibri" w:cs="Calibri"/>
          <w:vertAlign w:val="superscript"/>
        </w:rPr>
      </w:r>
      <w:r w:rsidRPr="00EA4C9B">
        <w:rPr>
          <w:rFonts w:ascii="Calibri" w:hAnsi="Calibri" w:cs="Calibri"/>
          <w:vertAlign w:val="superscript"/>
        </w:rPr>
        <w:fldChar w:fldCharType="separate"/>
      </w:r>
      <w:r w:rsidR="0068700D">
        <w:rPr>
          <w:rFonts w:ascii="Calibri" w:hAnsi="Calibri" w:cs="Calibri"/>
          <w:vertAlign w:val="superscript"/>
        </w:rPr>
        <w:t>481</w:t>
      </w:r>
      <w:r w:rsidRPr="00EA4C9B">
        <w:rPr>
          <w:rFonts w:ascii="Calibri" w:hAnsi="Calibri" w:cs="Calibri"/>
          <w:vertAlign w:val="superscript"/>
        </w:rPr>
        <w:fldChar w:fldCharType="end"/>
      </w:r>
      <w:r w:rsidRPr="00EA4C9B">
        <w:rPr>
          <w:rFonts w:ascii="Calibri" w:hAnsi="Calibri" w:cs="Calibri"/>
        </w:rPr>
        <w:t>. Out of six main pollution and resource taxes, Finland has implemented only two:</w:t>
      </w:r>
    </w:p>
    <w:p w14:paraId="22AEF6A1" w14:textId="77777777" w:rsidR="000A4E61" w:rsidRPr="00EA4C9B" w:rsidRDefault="000A4E61" w:rsidP="009B400E">
      <w:pPr>
        <w:pStyle w:val="ListParagraph"/>
        <w:numPr>
          <w:ilvl w:val="0"/>
          <w:numId w:val="7"/>
        </w:numPr>
        <w:rPr>
          <w:rFonts w:ascii="Calibri" w:hAnsi="Calibri" w:cs="Calibri"/>
        </w:rPr>
      </w:pPr>
      <w:r w:rsidRPr="00EA4C9B">
        <w:rPr>
          <w:rFonts w:ascii="Calibri" w:hAnsi="Calibri" w:cs="Calibri"/>
        </w:rPr>
        <w:t>Tax on waste landfilling – implemented;</w:t>
      </w:r>
    </w:p>
    <w:p w14:paraId="2D3848D2" w14:textId="77777777" w:rsidR="000A4E61" w:rsidRPr="00EA4C9B" w:rsidRDefault="000A4E61" w:rsidP="009B400E">
      <w:pPr>
        <w:pStyle w:val="ListParagraph"/>
        <w:numPr>
          <w:ilvl w:val="0"/>
          <w:numId w:val="7"/>
        </w:numPr>
        <w:rPr>
          <w:rFonts w:ascii="Calibri" w:hAnsi="Calibri" w:cs="Calibri"/>
        </w:rPr>
      </w:pPr>
      <w:r w:rsidRPr="00EA4C9B">
        <w:rPr>
          <w:rFonts w:ascii="Calibri" w:hAnsi="Calibri" w:cs="Calibri"/>
        </w:rPr>
        <w:t>Tax on plastic products – implemented;</w:t>
      </w:r>
    </w:p>
    <w:p w14:paraId="634E5AF5" w14:textId="77777777" w:rsidR="000A4E61" w:rsidRPr="00EA4C9B" w:rsidRDefault="000A4E61" w:rsidP="009B400E">
      <w:pPr>
        <w:pStyle w:val="ListParagraph"/>
        <w:numPr>
          <w:ilvl w:val="0"/>
          <w:numId w:val="7"/>
        </w:numPr>
        <w:rPr>
          <w:rFonts w:ascii="Calibri" w:hAnsi="Calibri" w:cs="Calibri"/>
        </w:rPr>
      </w:pPr>
      <w:r w:rsidRPr="00EA4C9B">
        <w:rPr>
          <w:rFonts w:ascii="Calibri" w:hAnsi="Calibri" w:cs="Calibri"/>
        </w:rPr>
        <w:t>Air pollution, e.g., tax on NO</w:t>
      </w:r>
      <w:r w:rsidRPr="00EA4C9B">
        <w:rPr>
          <w:rFonts w:ascii="Calibri" w:hAnsi="Calibri" w:cs="Calibri"/>
          <w:vertAlign w:val="subscript"/>
        </w:rPr>
        <w:t>x</w:t>
      </w:r>
      <w:r w:rsidRPr="00EA4C9B">
        <w:rPr>
          <w:rFonts w:ascii="Calibri" w:hAnsi="Calibri" w:cs="Calibri"/>
        </w:rPr>
        <w:t xml:space="preserve"> emissions – not implemented;</w:t>
      </w:r>
    </w:p>
    <w:p w14:paraId="50044B76" w14:textId="77777777" w:rsidR="000A4E61" w:rsidRPr="00EA4C9B" w:rsidRDefault="000A4E61" w:rsidP="009B400E">
      <w:pPr>
        <w:pStyle w:val="ListParagraph"/>
        <w:numPr>
          <w:ilvl w:val="0"/>
          <w:numId w:val="7"/>
        </w:numPr>
        <w:rPr>
          <w:rFonts w:ascii="Calibri" w:hAnsi="Calibri" w:cs="Calibri"/>
        </w:rPr>
      </w:pPr>
      <w:r w:rsidRPr="00EA4C9B">
        <w:rPr>
          <w:rFonts w:ascii="Calibri" w:hAnsi="Calibri" w:cs="Calibri"/>
        </w:rPr>
        <w:t>Tax on water pollution - not implemented;</w:t>
      </w:r>
    </w:p>
    <w:p w14:paraId="4FCFBB44" w14:textId="77777777" w:rsidR="000A4E61" w:rsidRPr="00EA4C9B" w:rsidRDefault="000A4E61" w:rsidP="009B400E">
      <w:pPr>
        <w:pStyle w:val="ListParagraph"/>
        <w:numPr>
          <w:ilvl w:val="0"/>
          <w:numId w:val="7"/>
        </w:numPr>
        <w:rPr>
          <w:rFonts w:ascii="Calibri" w:hAnsi="Calibri" w:cs="Calibri"/>
        </w:rPr>
      </w:pPr>
      <w:r w:rsidRPr="00EA4C9B">
        <w:rPr>
          <w:rFonts w:ascii="Calibri" w:hAnsi="Calibri" w:cs="Calibri"/>
        </w:rPr>
        <w:t>Tax on fertilisers – not implemented (after the tax was abolished);</w:t>
      </w:r>
    </w:p>
    <w:p w14:paraId="6F5011E4" w14:textId="77777777" w:rsidR="000A4E61" w:rsidRPr="00EA4C9B" w:rsidRDefault="000A4E61" w:rsidP="009B400E">
      <w:pPr>
        <w:pStyle w:val="ListParagraph"/>
        <w:numPr>
          <w:ilvl w:val="0"/>
          <w:numId w:val="7"/>
        </w:numPr>
        <w:rPr>
          <w:rFonts w:ascii="Calibri" w:hAnsi="Calibri" w:cs="Calibri"/>
        </w:rPr>
      </w:pPr>
      <w:r w:rsidRPr="00EA4C9B">
        <w:rPr>
          <w:rFonts w:ascii="Calibri" w:hAnsi="Calibri" w:cs="Calibri"/>
        </w:rPr>
        <w:t>Tax on pesticides – not clear if still in place.</w:t>
      </w:r>
    </w:p>
    <w:p w14:paraId="6DCB5122" w14:textId="77777777" w:rsidR="000A4E61" w:rsidRDefault="000A4E61" w:rsidP="000A4E61">
      <w:pPr>
        <w:rPr>
          <w:lang w:eastAsia="en-GB"/>
        </w:rPr>
      </w:pPr>
      <w:r w:rsidRPr="00EA4C9B">
        <w:rPr>
          <w:rFonts w:ascii="Calibri" w:hAnsi="Calibri" w:cs="Calibri"/>
        </w:rPr>
        <w:t>Since pollution and resources taxes only account for 0.8% of environmental taxes (and for 0.04% of total revenues)</w:t>
      </w:r>
      <w:bookmarkStart w:id="181" w:name="_Ref197003763"/>
      <w:r w:rsidRPr="00EA4C9B">
        <w:rPr>
          <w:rStyle w:val="FootnoteReference"/>
          <w:rFonts w:ascii="Calibri" w:hAnsi="Calibri" w:cs="Calibri"/>
        </w:rPr>
        <w:footnoteReference w:id="356"/>
      </w:r>
      <w:bookmarkEnd w:id="181"/>
      <w:r w:rsidRPr="00EA4C9B">
        <w:rPr>
          <w:rFonts w:ascii="Calibri" w:hAnsi="Calibri" w:cs="Calibri"/>
        </w:rPr>
        <w:t xml:space="preserve">, the Polluter Pays Principle could be applied at a larger scale. There is a potential for introducing new taxes. Those could be introduced in those categories, where there are taxes in place, but pollution reduction goals have not been achieved yet. </w:t>
      </w:r>
      <w:r w:rsidRPr="00EA4C9B">
        <w:rPr>
          <w:lang w:eastAsia="en-GB"/>
        </w:rPr>
        <w:t>In addition, there are no natural resource taxes in Finland, apart from license fees for hunting and fishing</w:t>
      </w:r>
      <w:r w:rsidRPr="00EA4C9B">
        <w:rPr>
          <w:rStyle w:val="FootnoteReference"/>
          <w:lang w:eastAsia="en-GB"/>
        </w:rPr>
        <w:footnoteReference w:id="357"/>
      </w:r>
      <w:r w:rsidRPr="00EA4C9B">
        <w:rPr>
          <w:lang w:eastAsia="en-GB"/>
        </w:rPr>
        <w:t>.</w:t>
      </w:r>
    </w:p>
    <w:p w14:paraId="4BEF2D17" w14:textId="77777777" w:rsidR="000A4E61" w:rsidRPr="00EA4C9B" w:rsidRDefault="000A4E61" w:rsidP="000A4E61">
      <w:pPr>
        <w:spacing w:before="240"/>
        <w:rPr>
          <w:rFonts w:ascii="Calibri" w:hAnsi="Calibri" w:cs="Calibri"/>
        </w:rPr>
      </w:pPr>
      <w:r w:rsidRPr="00EA4C9B">
        <w:rPr>
          <w:rFonts w:ascii="Calibri" w:hAnsi="Calibri" w:cs="Calibri"/>
          <w:b/>
          <w:bCs/>
        </w:rPr>
        <w:t xml:space="preserve">Recent CSRs </w:t>
      </w:r>
      <w:r w:rsidRPr="00EA4C9B">
        <w:rPr>
          <w:rFonts w:ascii="Calibri" w:hAnsi="Calibri" w:cs="Calibri"/>
        </w:rPr>
        <w:t>(including 2025 CSR)</w:t>
      </w:r>
      <w:r w:rsidRPr="00EA4C9B">
        <w:rPr>
          <w:rFonts w:ascii="Calibri" w:hAnsi="Calibri" w:cs="Calibri"/>
          <w:b/>
          <w:bCs/>
        </w:rPr>
        <w:t xml:space="preserve"> </w:t>
      </w:r>
      <w:r w:rsidRPr="00EA4C9B">
        <w:rPr>
          <w:rFonts w:ascii="Calibri" w:hAnsi="Calibri" w:cs="Calibri"/>
        </w:rPr>
        <w:t>did not provide any specific recommendations on environmental taxes. There was only a general recommendation to “Pay particular attention to the composition of public finances, on both the revenue and expenditure sides of the budget, and to the quality of budgetary measures in order to ensure a sustainable and inclusive recovery” (in 2021).</w:t>
      </w:r>
    </w:p>
    <w:p w14:paraId="31A1BC33" w14:textId="77777777" w:rsidR="000A4E61" w:rsidRPr="00C92347" w:rsidRDefault="000A4E61" w:rsidP="007C4EB7">
      <w:pPr>
        <w:pStyle w:val="AnnexHeading2"/>
        <w:rPr>
          <w:rFonts w:cstheme="majorBidi"/>
        </w:rPr>
      </w:pPr>
      <w:bookmarkStart w:id="182" w:name="_Toc214008871"/>
      <w:r w:rsidRPr="00EA4C9B">
        <w:t>Potential for implementing additional environmental taxes</w:t>
      </w:r>
      <w:bookmarkEnd w:id="182"/>
    </w:p>
    <w:p w14:paraId="1D742791" w14:textId="14BD3938" w:rsidR="000A4E61" w:rsidRPr="00EA4C9B" w:rsidRDefault="001A6AFA" w:rsidP="001A6AFA">
      <w:pPr>
        <w:rPr>
          <w:lang w:eastAsia="en-GB"/>
        </w:rPr>
      </w:pPr>
      <w:r>
        <w:rPr>
          <w:lang w:eastAsia="en-GB"/>
        </w:rPr>
        <w:t>Hogg et al. (2016)</w:t>
      </w:r>
      <w:r w:rsidR="000A4E61" w:rsidRPr="00EA4C9B">
        <w:rPr>
          <w:lang w:eastAsia="en-GB"/>
        </w:rPr>
        <w:t xml:space="preserve"> recommended to introduce a tax on aggregates applying it to domestic aggregate extraction and imports to Finland, excluding exports – marble, chalk and dolomite, slate, limestone and gypsum, and sand and gravel. Such a tax could stimulate the use of secondary source materials (e.g. construction waste) and contribute to circular economy goals. However, as of 2025, Finland has not adopted a tax of this kind. </w:t>
      </w:r>
      <w:r w:rsidR="000A4E61" w:rsidRPr="00EA4C9B">
        <w:t>There only is a fee to the local authority for processing the application for soil extraction, which is not an environmental tax.</w:t>
      </w:r>
    </w:p>
    <w:p w14:paraId="0C1EB3D4" w14:textId="77777777" w:rsidR="000A4E61" w:rsidRPr="00EA4C9B" w:rsidRDefault="000A4E61" w:rsidP="001A6AFA">
      <w:pPr>
        <w:rPr>
          <w:lang w:eastAsia="en-GB"/>
        </w:rPr>
      </w:pPr>
      <w:r w:rsidRPr="00EA4C9B">
        <w:rPr>
          <w:lang w:eastAsia="en-GB"/>
        </w:rPr>
        <w:t>Recommendations on nitrogen in mineral fertilisers, as well as on water abstraction tax and a tax on wastewater have not been taken up either. It was also suggested to introduce a pesticide tax aimed at reducing the impact of pesticides on the environment and human health, which has not been implemented either.</w:t>
      </w:r>
    </w:p>
    <w:p w14:paraId="10E590CE" w14:textId="2B5C454A" w:rsidR="000A4E61" w:rsidRPr="00EA4C9B" w:rsidRDefault="001A6AFA" w:rsidP="001A6AFA">
      <w:pPr>
        <w:rPr>
          <w:lang w:eastAsia="en-GB"/>
        </w:rPr>
      </w:pPr>
      <w:r>
        <w:rPr>
          <w:lang w:eastAsia="en-GB"/>
        </w:rPr>
        <w:t>Hogg et al. (2016)</w:t>
      </w:r>
      <w:r w:rsidRPr="00EA4C9B">
        <w:rPr>
          <w:lang w:eastAsia="en-GB"/>
        </w:rPr>
        <w:t xml:space="preserve"> </w:t>
      </w:r>
      <w:r w:rsidR="000A4E61" w:rsidRPr="00EA4C9B">
        <w:rPr>
          <w:lang w:eastAsia="en-GB"/>
        </w:rPr>
        <w:t xml:space="preserve">recommended to not further increase landfill tax other than via indexation, as the landfill rate was already quite low at that point. In addition, it recommended the introduction of an incineration tax (€15 per tonne) to create an additional incentive for recycling, reuse and waste prevention. The Finnish government assessed the potential for implementing a waste incineration tax. Their analysis indicated that such a tax (at the proposed levels) would have minimal effects on recycling or emissions. It is expected that the tax costs will be passed from waste-to-energy plant </w:t>
      </w:r>
      <w:r w:rsidR="000A4E61" w:rsidRPr="00EA4C9B">
        <w:rPr>
          <w:lang w:eastAsia="en-GB"/>
        </w:rPr>
        <w:lastRenderedPageBreak/>
        <w:t>operators through gate fees to household waste fees, resulting in only a marginal impact on households. As a result, it was concluded it would not offer enough incentive to improve waste sorting. The tax would not significantly affect district heating prices or plant investments. However, the suggested tax levels were relatively low, and higher taxes could produce different outcomes</w:t>
      </w:r>
      <w:r w:rsidR="000A4E61" w:rsidRPr="00EA4C9B">
        <w:rPr>
          <w:rStyle w:val="FootnoteReference"/>
          <w:lang w:eastAsia="en-GB"/>
        </w:rPr>
        <w:footnoteReference w:id="358"/>
      </w:r>
      <w:r w:rsidR="000A4E61" w:rsidRPr="00EA4C9B">
        <w:rPr>
          <w:lang w:eastAsia="en-GB"/>
        </w:rPr>
        <w:t>.</w:t>
      </w:r>
    </w:p>
    <w:p w14:paraId="51F0D892" w14:textId="51A3DE3B" w:rsidR="000A4E61" w:rsidRPr="00EA4C9B" w:rsidRDefault="000A4E61" w:rsidP="001A6AFA">
      <w:pPr>
        <w:rPr>
          <w:lang w:eastAsia="en-GB"/>
        </w:rPr>
      </w:pPr>
      <w:r w:rsidRPr="00EA4C9B">
        <w:rPr>
          <w:lang w:eastAsia="en-GB"/>
        </w:rPr>
        <w:t xml:space="preserve">Regarding packaging, </w:t>
      </w:r>
      <w:r w:rsidR="001A6AFA">
        <w:rPr>
          <w:lang w:eastAsia="en-GB"/>
        </w:rPr>
        <w:t>Hogg et al. (2016)</w:t>
      </w:r>
      <w:r w:rsidR="001A6AFA" w:rsidRPr="00EA4C9B">
        <w:rPr>
          <w:lang w:eastAsia="en-GB"/>
        </w:rPr>
        <w:t xml:space="preserve"> </w:t>
      </w:r>
      <w:r w:rsidRPr="00EA4C9B">
        <w:rPr>
          <w:lang w:eastAsia="en-GB"/>
        </w:rPr>
        <w:t xml:space="preserve">recommended to introduce a general packaging tax, including aluminium, plastic, steel, paper, glass, and wood to encourage the prevention of packaging, as well as a tax on single-use carrier bags. These recommendations have not been implemented. </w:t>
      </w:r>
    </w:p>
    <w:p w14:paraId="1EBB84F8" w14:textId="3334465B" w:rsidR="00F83E65" w:rsidRDefault="000A4E61" w:rsidP="00FC18A6">
      <w:pPr>
        <w:rPr>
          <w:lang w:eastAsia="en-GB"/>
        </w:rPr>
      </w:pPr>
      <w:r w:rsidRPr="00EA4C9B">
        <w:rPr>
          <w:lang w:eastAsia="en-GB"/>
        </w:rPr>
        <w:t xml:space="preserve">Overall, Finland could deploy taxation instruments more extensively to achieve environmental goals and make a shift from taxing labour to taxing pollution. </w:t>
      </w:r>
    </w:p>
    <w:p w14:paraId="50E817A1" w14:textId="77777777" w:rsidR="00C753BB" w:rsidRPr="00EA4C9B" w:rsidRDefault="00C753BB" w:rsidP="007C4EB7">
      <w:pPr>
        <w:pStyle w:val="AnnexHeading2"/>
      </w:pPr>
      <w:bookmarkStart w:id="183" w:name="_Toc214008872"/>
      <w:r w:rsidRPr="002E3F47">
        <w:t>Impacts</w:t>
      </w:r>
      <w:r w:rsidRPr="00EA4C9B">
        <w:t xml:space="preserve"> and feasibility of implementing new environmental taxes</w:t>
      </w:r>
      <w:bookmarkEnd w:id="183"/>
    </w:p>
    <w:p w14:paraId="2786D490" w14:textId="4004599A" w:rsidR="00046384" w:rsidRDefault="00046384" w:rsidP="00046384">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06B51FB7" w14:textId="77777777" w:rsidR="00F33E5C" w:rsidRPr="00F33E5C" w:rsidRDefault="00F33E5C" w:rsidP="00F33E5C">
      <w:pPr>
        <w:rPr>
          <w:lang w:eastAsia="en-GB"/>
        </w:rPr>
      </w:pPr>
      <w:r w:rsidRPr="00F33E5C">
        <w:rPr>
          <w:lang w:eastAsia="en-GB"/>
        </w:rPr>
        <w:t>Finland has a mature framework of environmental policy instruments and comparatively high rates in several areas. This helps explain why the modelling shows limited or no additional effect from some benchmarks: landfill taxation already exceeds the simulated minimum, so waste-to-landfill falls little further; similarly, high existing charges on incineration mean that volumes change only marginally under Scenario B, though Scenario A still delivers modest reductions and visible revenue. By contrast, significant upside appears where instruments are absent or underused. The absence of a wastewater effluent tax creates scope for sizeable revenues and measurable reductions in pollutant loads if a BOD-based charge is introduced. Mineral extraction is another area with material potential: benchmarked charges on sand, gravel and crushed stone would curb primary extraction and strengthen demand for recycled aggregates; the modelling ranks Finland among the higher-revenue Member States for minerals. Water abstraction effects are modest because scarcity is low, but a calibrated signal still improves allocation in local hotspots. Air pollutant charges (NOx, SO₂, PM₂.₅) yield incremental abatement from large point sources, with Scenario A delivering small but cost-effective gains. Overall, both scenarios imply that Finland can deepen environmental taxation with limited macroeconomic disruption while securing tangible improvements in water quality, materials efficiency and local air pollution.</w:t>
      </w:r>
    </w:p>
    <w:p w14:paraId="78299C32" w14:textId="6F5A2BA3" w:rsidR="00F33E5C" w:rsidRDefault="00F33E5C" w:rsidP="00F33E5C">
      <w:pPr>
        <w:rPr>
          <w:lang w:eastAsia="en-GB"/>
        </w:rPr>
      </w:pPr>
      <w:r>
        <w:rPr>
          <w:lang w:eastAsia="en-GB"/>
        </w:rPr>
        <w:t xml:space="preserve">Total revenues from the </w:t>
      </w:r>
      <w:r w:rsidR="007B606C">
        <w:t>investigated</w:t>
      </w:r>
      <w:r>
        <w:rPr>
          <w:lang w:eastAsia="en-GB"/>
        </w:rPr>
        <w:t xml:space="preserve"> taxes could rise by €940 million in 2030 and €1.1 billion in 2035, which are respective 22 and 26 times the revenues for pollution and resource taxes in 2023.  There are major gains from minerals aggregates, which make up more than three-quarters of the total gain, followed by water abstraction and water effluent.  Pesticide and fertilizer taxes also make a contribution, as well as taxes on SO2.  Waste to landfill does not contribute as current taxes are above the </w:t>
      </w:r>
      <w:r w:rsidR="007B606C">
        <w:t>investigated</w:t>
      </w:r>
      <w:r w:rsidR="007B606C">
        <w:rPr>
          <w:lang w:eastAsia="en-GB"/>
        </w:rPr>
        <w:t xml:space="preserve"> </w:t>
      </w:r>
      <w:r>
        <w:rPr>
          <w:lang w:eastAsia="en-GB"/>
        </w:rPr>
        <w:t xml:space="preserve">minimum. Reductions in emissions or materials are notable for SO2.  Water abstraction and pesticide use declines by 33%, and fertilizer use by 24%.  Mineral extraction falls by 17%. </w:t>
      </w:r>
      <w:r w:rsidR="00245941">
        <w:rPr>
          <w:lang w:eastAsia="en-GB"/>
        </w:rPr>
        <w:br w:type="page"/>
      </w: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018"/>
        <w:gridCol w:w="1230"/>
      </w:tblGrid>
      <w:tr w:rsidR="00F33E5C" w:rsidRPr="00F501DA" w14:paraId="4A733DDE" w14:textId="77777777" w:rsidTr="00BA7936">
        <w:trPr>
          <w:trHeight w:val="255"/>
        </w:trPr>
        <w:tc>
          <w:tcPr>
            <w:tcW w:w="8728" w:type="dxa"/>
            <w:gridSpan w:val="7"/>
            <w:shd w:val="clear" w:color="auto" w:fill="003399"/>
          </w:tcPr>
          <w:p w14:paraId="14BDA518" w14:textId="234C6E36" w:rsidR="00F33E5C" w:rsidRPr="003C64BB" w:rsidRDefault="00F33E5C" w:rsidP="000878F6">
            <w:pPr>
              <w:pStyle w:val="Table"/>
              <w:rPr>
                <w:b/>
                <w:lang w:eastAsia="en-GB"/>
              </w:rPr>
            </w:pPr>
            <w:r w:rsidRPr="003C64BB">
              <w:rPr>
                <w:b/>
                <w:color w:val="FFFFFF" w:themeColor="background1"/>
              </w:rPr>
              <w:lastRenderedPageBreak/>
              <w:t xml:space="preserve">Table </w:t>
            </w:r>
            <w:r w:rsidR="00490085">
              <w:rPr>
                <w:b/>
                <w:bCs/>
                <w:color w:val="FFFFFF" w:themeColor="background1"/>
              </w:rPr>
              <w:t>A6</w:t>
            </w:r>
            <w:r w:rsidRPr="003C64BB">
              <w:rPr>
                <w:b/>
                <w:bCs/>
                <w:color w:val="FFFFFF" w:themeColor="background1"/>
              </w:rPr>
              <w:t>-</w:t>
            </w:r>
            <w:r w:rsidRPr="003C64BB">
              <w:rPr>
                <w:b/>
                <w:bCs/>
                <w:color w:val="FFFFFF" w:themeColor="background1"/>
              </w:rPr>
              <w:fldChar w:fldCharType="begin"/>
            </w:r>
            <w:r w:rsidRPr="003C64BB">
              <w:rPr>
                <w:b/>
                <w:bCs/>
                <w:color w:val="FFFFFF" w:themeColor="background1"/>
              </w:rPr>
              <w:instrText xml:space="preserve"> SEQ Table_A5- \* ARABIC </w:instrText>
            </w:r>
            <w:r w:rsidRPr="003C64BB">
              <w:rPr>
                <w:b/>
                <w:bCs/>
                <w:color w:val="FFFFFF" w:themeColor="background1"/>
              </w:rPr>
              <w:fldChar w:fldCharType="separate"/>
            </w:r>
            <w:r>
              <w:rPr>
                <w:b/>
                <w:bCs/>
                <w:noProof/>
                <w:color w:val="FFFFFF" w:themeColor="background1"/>
              </w:rPr>
              <w:t>54</w:t>
            </w:r>
            <w:r w:rsidRPr="003C64BB">
              <w:rPr>
                <w:b/>
                <w:bCs/>
                <w:color w:val="FFFFFF" w:themeColor="background1"/>
              </w:rPr>
              <w:fldChar w:fldCharType="end"/>
            </w:r>
            <w:r w:rsidRPr="003C64BB">
              <w:rPr>
                <w:b/>
                <w:bCs/>
                <w:color w:val="FFFFFF" w:themeColor="background1"/>
                <w:lang w:eastAsia="en-GB"/>
              </w:rPr>
              <w:t>:</w:t>
            </w:r>
            <w:r w:rsidRPr="003C64BB">
              <w:rPr>
                <w:b/>
                <w:color w:val="FFFFFF" w:themeColor="background1"/>
                <w:lang w:eastAsia="en-GB"/>
              </w:rPr>
              <w:t xml:space="preserve"> Environmental Impacts and Revenue Changes in Finland</w:t>
            </w:r>
            <w:r>
              <w:rPr>
                <w:b/>
                <w:color w:val="FFFFFF" w:themeColor="background1"/>
                <w:lang w:eastAsia="en-GB"/>
              </w:rPr>
              <w:t xml:space="preserve"> – Scenario A</w:t>
            </w:r>
          </w:p>
        </w:tc>
      </w:tr>
      <w:tr w:rsidR="00F33E5C" w:rsidRPr="00F501DA" w14:paraId="4090AE74" w14:textId="77777777" w:rsidTr="00BA7936">
        <w:tc>
          <w:tcPr>
            <w:tcW w:w="2160" w:type="dxa"/>
          </w:tcPr>
          <w:p w14:paraId="421957AC" w14:textId="77777777" w:rsidR="00F33E5C" w:rsidRPr="003C64BB" w:rsidRDefault="00F33E5C" w:rsidP="000878F6">
            <w:pPr>
              <w:pStyle w:val="Table"/>
              <w:rPr>
                <w:b/>
              </w:rPr>
            </w:pPr>
            <w:r w:rsidRPr="003C64BB">
              <w:rPr>
                <w:b/>
              </w:rPr>
              <w:t>Tax Name</w:t>
            </w:r>
          </w:p>
        </w:tc>
        <w:tc>
          <w:tcPr>
            <w:tcW w:w="2160" w:type="dxa"/>
            <w:gridSpan w:val="2"/>
            <w:vAlign w:val="bottom"/>
          </w:tcPr>
          <w:p w14:paraId="61453C25" w14:textId="77777777" w:rsidR="00F33E5C" w:rsidRPr="00DB0F3D" w:rsidRDefault="00F33E5C" w:rsidP="000878F6">
            <w:pPr>
              <w:pStyle w:val="Table"/>
              <w:jc w:val="center"/>
              <w:rPr>
                <w:rFonts w:cstheme="minorHAnsi"/>
                <w:b/>
                <w:szCs w:val="20"/>
              </w:rPr>
            </w:pPr>
            <w:r>
              <w:rPr>
                <w:rFonts w:ascii="Calibri" w:hAnsi="Calibri" w:cs="Calibri"/>
                <w:b/>
                <w:bCs/>
                <w:color w:val="000000"/>
                <w:szCs w:val="20"/>
              </w:rPr>
              <w:t>% Change in Quantities as % of taxed sector</w:t>
            </w:r>
          </w:p>
        </w:tc>
        <w:tc>
          <w:tcPr>
            <w:tcW w:w="2160" w:type="dxa"/>
            <w:gridSpan w:val="2"/>
            <w:vAlign w:val="bottom"/>
          </w:tcPr>
          <w:p w14:paraId="38214F67" w14:textId="77777777" w:rsidR="00F33E5C" w:rsidRPr="00DB0F3D" w:rsidRDefault="00F33E5C" w:rsidP="000878F6">
            <w:pPr>
              <w:pStyle w:val="Table"/>
              <w:jc w:val="center"/>
              <w:rPr>
                <w:rFonts w:cstheme="minorHAnsi"/>
                <w:b/>
                <w:szCs w:val="20"/>
              </w:rPr>
            </w:pPr>
            <w:r>
              <w:rPr>
                <w:rFonts w:ascii="Calibri" w:hAnsi="Calibri" w:cs="Calibri"/>
                <w:b/>
                <w:bCs/>
                <w:color w:val="000000"/>
                <w:szCs w:val="20"/>
              </w:rPr>
              <w:t>Change in Revenues (€Mn)</w:t>
            </w:r>
          </w:p>
        </w:tc>
        <w:tc>
          <w:tcPr>
            <w:tcW w:w="2248" w:type="dxa"/>
            <w:gridSpan w:val="2"/>
            <w:vAlign w:val="bottom"/>
          </w:tcPr>
          <w:p w14:paraId="70EFF4D6" w14:textId="77777777" w:rsidR="00F33E5C" w:rsidRPr="00DB0F3D" w:rsidRDefault="00F33E5C" w:rsidP="000878F6">
            <w:pPr>
              <w:pStyle w:val="Table"/>
              <w:jc w:val="center"/>
              <w:rPr>
                <w:rFonts w:cstheme="minorHAnsi"/>
                <w:b/>
                <w:szCs w:val="20"/>
              </w:rPr>
            </w:pPr>
            <w:r>
              <w:rPr>
                <w:rFonts w:ascii="Calibri" w:hAnsi="Calibri" w:cs="Calibri"/>
                <w:b/>
                <w:bCs/>
                <w:color w:val="000000"/>
                <w:szCs w:val="20"/>
              </w:rPr>
              <w:t>As % of 2023 Resource Tax</w:t>
            </w:r>
          </w:p>
        </w:tc>
      </w:tr>
      <w:tr w:rsidR="00F33E5C" w:rsidRPr="001840EB" w14:paraId="78794AC2" w14:textId="77777777" w:rsidTr="00BA7936">
        <w:tc>
          <w:tcPr>
            <w:tcW w:w="2160" w:type="dxa"/>
          </w:tcPr>
          <w:p w14:paraId="09816399" w14:textId="77777777" w:rsidR="00F33E5C" w:rsidRPr="0053406A" w:rsidRDefault="00F33E5C" w:rsidP="000878F6">
            <w:pPr>
              <w:pStyle w:val="Table"/>
              <w:rPr>
                <w:b/>
              </w:rPr>
            </w:pPr>
            <w:r w:rsidRPr="0053406A">
              <w:rPr>
                <w:b/>
              </w:rPr>
              <w:t>Year</w:t>
            </w:r>
          </w:p>
        </w:tc>
        <w:tc>
          <w:tcPr>
            <w:tcW w:w="1080" w:type="dxa"/>
          </w:tcPr>
          <w:p w14:paraId="43D694B0" w14:textId="77777777" w:rsidR="00F33E5C" w:rsidRPr="00DB0F3D" w:rsidRDefault="00F33E5C" w:rsidP="000878F6">
            <w:pPr>
              <w:pStyle w:val="Table"/>
              <w:jc w:val="center"/>
              <w:rPr>
                <w:rFonts w:cstheme="minorHAnsi"/>
                <w:b/>
                <w:szCs w:val="20"/>
              </w:rPr>
            </w:pPr>
            <w:r w:rsidRPr="00DB0F3D">
              <w:rPr>
                <w:rFonts w:cstheme="minorHAnsi"/>
                <w:b/>
                <w:szCs w:val="20"/>
              </w:rPr>
              <w:t>2030</w:t>
            </w:r>
          </w:p>
        </w:tc>
        <w:tc>
          <w:tcPr>
            <w:tcW w:w="1080" w:type="dxa"/>
          </w:tcPr>
          <w:p w14:paraId="1A12EEF2" w14:textId="77777777" w:rsidR="00F33E5C" w:rsidRPr="00DB0F3D" w:rsidRDefault="00F33E5C" w:rsidP="000878F6">
            <w:pPr>
              <w:pStyle w:val="Table"/>
              <w:jc w:val="center"/>
              <w:rPr>
                <w:rFonts w:cstheme="minorHAnsi"/>
                <w:b/>
                <w:szCs w:val="20"/>
              </w:rPr>
            </w:pPr>
            <w:r w:rsidRPr="00DB0F3D">
              <w:rPr>
                <w:rFonts w:cstheme="minorHAnsi"/>
                <w:b/>
                <w:szCs w:val="20"/>
              </w:rPr>
              <w:t>2035</w:t>
            </w:r>
          </w:p>
        </w:tc>
        <w:tc>
          <w:tcPr>
            <w:tcW w:w="990" w:type="dxa"/>
          </w:tcPr>
          <w:p w14:paraId="63656692" w14:textId="77777777" w:rsidR="00F33E5C" w:rsidRPr="00DB0F3D" w:rsidRDefault="00F33E5C" w:rsidP="000878F6">
            <w:pPr>
              <w:pStyle w:val="Table"/>
              <w:jc w:val="center"/>
              <w:rPr>
                <w:rFonts w:cstheme="minorHAnsi"/>
                <w:b/>
                <w:szCs w:val="20"/>
              </w:rPr>
            </w:pPr>
            <w:r w:rsidRPr="00DB0F3D">
              <w:rPr>
                <w:rFonts w:cstheme="minorHAnsi"/>
                <w:b/>
                <w:szCs w:val="20"/>
              </w:rPr>
              <w:t>2030</w:t>
            </w:r>
          </w:p>
        </w:tc>
        <w:tc>
          <w:tcPr>
            <w:tcW w:w="1170" w:type="dxa"/>
          </w:tcPr>
          <w:p w14:paraId="441CD2C5" w14:textId="77777777" w:rsidR="00F33E5C" w:rsidRPr="00DB0F3D" w:rsidRDefault="00F33E5C" w:rsidP="000878F6">
            <w:pPr>
              <w:pStyle w:val="Table"/>
              <w:jc w:val="center"/>
              <w:rPr>
                <w:rFonts w:cstheme="minorHAnsi"/>
                <w:b/>
                <w:szCs w:val="20"/>
              </w:rPr>
            </w:pPr>
            <w:r w:rsidRPr="00DB0F3D">
              <w:rPr>
                <w:rFonts w:cstheme="minorHAnsi"/>
                <w:b/>
                <w:szCs w:val="20"/>
              </w:rPr>
              <w:t>2035</w:t>
            </w:r>
          </w:p>
        </w:tc>
        <w:tc>
          <w:tcPr>
            <w:tcW w:w="1018" w:type="dxa"/>
          </w:tcPr>
          <w:p w14:paraId="20CEA057" w14:textId="77777777" w:rsidR="00F33E5C" w:rsidRPr="00DB0F3D" w:rsidRDefault="00F33E5C" w:rsidP="000878F6">
            <w:pPr>
              <w:pStyle w:val="Table"/>
              <w:jc w:val="center"/>
              <w:rPr>
                <w:rFonts w:cstheme="minorHAnsi"/>
                <w:b/>
                <w:szCs w:val="20"/>
              </w:rPr>
            </w:pPr>
            <w:r w:rsidRPr="00DB0F3D">
              <w:rPr>
                <w:rFonts w:cstheme="minorHAnsi"/>
                <w:b/>
                <w:szCs w:val="20"/>
              </w:rPr>
              <w:t>2030</w:t>
            </w:r>
          </w:p>
        </w:tc>
        <w:tc>
          <w:tcPr>
            <w:tcW w:w="1230" w:type="dxa"/>
          </w:tcPr>
          <w:p w14:paraId="31E9FC1A" w14:textId="77777777" w:rsidR="00F33E5C" w:rsidRPr="00DB0F3D" w:rsidRDefault="00F33E5C" w:rsidP="000878F6">
            <w:pPr>
              <w:pStyle w:val="Table"/>
              <w:jc w:val="center"/>
              <w:rPr>
                <w:rFonts w:cstheme="minorHAnsi"/>
                <w:b/>
                <w:szCs w:val="20"/>
              </w:rPr>
            </w:pPr>
            <w:r w:rsidRPr="00DB0F3D">
              <w:rPr>
                <w:rFonts w:cstheme="minorHAnsi"/>
                <w:b/>
                <w:szCs w:val="20"/>
              </w:rPr>
              <w:t>2035</w:t>
            </w:r>
          </w:p>
        </w:tc>
      </w:tr>
      <w:tr w:rsidR="00F33E5C" w:rsidRPr="001840EB" w14:paraId="5DC42CE7" w14:textId="77777777" w:rsidTr="00BA7936">
        <w:tc>
          <w:tcPr>
            <w:tcW w:w="2160" w:type="dxa"/>
          </w:tcPr>
          <w:p w14:paraId="6035E218" w14:textId="77777777" w:rsidR="00F33E5C" w:rsidRPr="00F501DA" w:rsidRDefault="00F33E5C" w:rsidP="000878F6">
            <w:pPr>
              <w:pStyle w:val="Table"/>
            </w:pPr>
            <w:r w:rsidRPr="00F501DA">
              <w:t>NOx</w:t>
            </w:r>
          </w:p>
        </w:tc>
        <w:tc>
          <w:tcPr>
            <w:tcW w:w="1080" w:type="dxa"/>
            <w:vAlign w:val="center"/>
          </w:tcPr>
          <w:p w14:paraId="0E2FA909" w14:textId="77777777" w:rsidR="00F33E5C" w:rsidRPr="00DB0F3D" w:rsidRDefault="00F33E5C" w:rsidP="000878F6">
            <w:pPr>
              <w:pStyle w:val="Table"/>
              <w:jc w:val="center"/>
              <w:rPr>
                <w:rFonts w:cstheme="minorHAnsi"/>
                <w:szCs w:val="20"/>
              </w:rPr>
            </w:pPr>
            <w:r w:rsidRPr="00DB0F3D">
              <w:rPr>
                <w:rFonts w:cstheme="minorHAnsi"/>
                <w:color w:val="000000"/>
                <w:szCs w:val="20"/>
              </w:rPr>
              <w:t>-28,57%</w:t>
            </w:r>
          </w:p>
        </w:tc>
        <w:tc>
          <w:tcPr>
            <w:tcW w:w="1080" w:type="dxa"/>
            <w:vAlign w:val="center"/>
          </w:tcPr>
          <w:p w14:paraId="55746A7A" w14:textId="77777777" w:rsidR="00F33E5C" w:rsidRPr="00DB0F3D" w:rsidRDefault="00F33E5C" w:rsidP="000878F6">
            <w:pPr>
              <w:pStyle w:val="Table"/>
              <w:jc w:val="center"/>
              <w:rPr>
                <w:rFonts w:cstheme="minorHAnsi"/>
                <w:szCs w:val="20"/>
              </w:rPr>
            </w:pPr>
            <w:r w:rsidRPr="00DB0F3D">
              <w:rPr>
                <w:rFonts w:cstheme="minorHAnsi"/>
                <w:color w:val="000000"/>
                <w:szCs w:val="20"/>
              </w:rPr>
              <w:t>-28,57%</w:t>
            </w:r>
          </w:p>
        </w:tc>
        <w:tc>
          <w:tcPr>
            <w:tcW w:w="990" w:type="dxa"/>
            <w:vAlign w:val="center"/>
          </w:tcPr>
          <w:p w14:paraId="6E25AA9A" w14:textId="77777777" w:rsidR="00F33E5C" w:rsidRPr="00DB0F3D" w:rsidRDefault="00F33E5C" w:rsidP="000878F6">
            <w:pPr>
              <w:pStyle w:val="Table"/>
              <w:jc w:val="center"/>
              <w:rPr>
                <w:rFonts w:cstheme="minorHAnsi"/>
                <w:szCs w:val="20"/>
              </w:rPr>
            </w:pPr>
            <w:r w:rsidRPr="00DB0F3D">
              <w:rPr>
                <w:rFonts w:cstheme="minorHAnsi"/>
                <w:color w:val="000000"/>
                <w:szCs w:val="20"/>
              </w:rPr>
              <w:t>0,98</w:t>
            </w:r>
          </w:p>
        </w:tc>
        <w:tc>
          <w:tcPr>
            <w:tcW w:w="1170" w:type="dxa"/>
            <w:vAlign w:val="center"/>
          </w:tcPr>
          <w:p w14:paraId="360EBF72" w14:textId="77777777" w:rsidR="00F33E5C" w:rsidRPr="00DB0F3D" w:rsidRDefault="00F33E5C" w:rsidP="000878F6">
            <w:pPr>
              <w:pStyle w:val="Table"/>
              <w:jc w:val="center"/>
              <w:rPr>
                <w:rFonts w:cstheme="minorHAnsi"/>
                <w:szCs w:val="20"/>
              </w:rPr>
            </w:pPr>
            <w:r w:rsidRPr="00DB0F3D">
              <w:rPr>
                <w:rFonts w:cstheme="minorHAnsi"/>
                <w:color w:val="000000"/>
                <w:szCs w:val="20"/>
              </w:rPr>
              <w:t>0,70</w:t>
            </w:r>
          </w:p>
        </w:tc>
        <w:tc>
          <w:tcPr>
            <w:tcW w:w="1018" w:type="dxa"/>
            <w:vAlign w:val="center"/>
          </w:tcPr>
          <w:p w14:paraId="6ED348A9" w14:textId="77777777" w:rsidR="00F33E5C" w:rsidRPr="00DB0F3D" w:rsidRDefault="00F33E5C" w:rsidP="000878F6">
            <w:pPr>
              <w:pStyle w:val="Table"/>
              <w:jc w:val="center"/>
              <w:rPr>
                <w:rFonts w:cstheme="minorHAnsi"/>
                <w:szCs w:val="20"/>
              </w:rPr>
            </w:pPr>
            <w:r w:rsidRPr="00DB0F3D">
              <w:rPr>
                <w:rFonts w:cstheme="minorHAnsi"/>
                <w:color w:val="000000"/>
                <w:szCs w:val="20"/>
              </w:rPr>
              <w:t>5,45%</w:t>
            </w:r>
          </w:p>
        </w:tc>
        <w:tc>
          <w:tcPr>
            <w:tcW w:w="1230" w:type="dxa"/>
            <w:vAlign w:val="center"/>
          </w:tcPr>
          <w:p w14:paraId="3A9769D7" w14:textId="77777777" w:rsidR="00F33E5C" w:rsidRPr="00DB0F3D" w:rsidRDefault="00F33E5C" w:rsidP="000878F6">
            <w:pPr>
              <w:pStyle w:val="Table"/>
              <w:jc w:val="center"/>
              <w:rPr>
                <w:rFonts w:cstheme="minorHAnsi"/>
                <w:szCs w:val="20"/>
              </w:rPr>
            </w:pPr>
            <w:r w:rsidRPr="00DB0F3D">
              <w:rPr>
                <w:rFonts w:cstheme="minorHAnsi"/>
                <w:color w:val="000000"/>
                <w:szCs w:val="20"/>
              </w:rPr>
              <w:t>3,89%</w:t>
            </w:r>
          </w:p>
        </w:tc>
      </w:tr>
      <w:tr w:rsidR="00F33E5C" w:rsidRPr="001840EB" w14:paraId="1C4F39B7" w14:textId="77777777" w:rsidTr="00BA7936">
        <w:tc>
          <w:tcPr>
            <w:tcW w:w="2160" w:type="dxa"/>
          </w:tcPr>
          <w:p w14:paraId="49FB84EA" w14:textId="77777777" w:rsidR="00F33E5C" w:rsidRPr="00F501DA" w:rsidRDefault="00F33E5C" w:rsidP="000878F6">
            <w:pPr>
              <w:pStyle w:val="Table"/>
            </w:pPr>
            <w:r w:rsidRPr="00F501DA">
              <w:t>SO2</w:t>
            </w:r>
          </w:p>
        </w:tc>
        <w:tc>
          <w:tcPr>
            <w:tcW w:w="1080" w:type="dxa"/>
            <w:vAlign w:val="center"/>
          </w:tcPr>
          <w:p w14:paraId="5126ED88" w14:textId="77777777" w:rsidR="00F33E5C" w:rsidRPr="00DB0F3D" w:rsidRDefault="00F33E5C" w:rsidP="000878F6">
            <w:pPr>
              <w:pStyle w:val="Table"/>
              <w:jc w:val="center"/>
              <w:rPr>
                <w:rFonts w:cstheme="minorHAnsi"/>
                <w:szCs w:val="20"/>
              </w:rPr>
            </w:pPr>
            <w:r w:rsidRPr="00DB0F3D">
              <w:rPr>
                <w:rFonts w:cstheme="minorHAnsi"/>
                <w:color w:val="000000"/>
                <w:szCs w:val="20"/>
              </w:rPr>
              <w:t>-32,43%</w:t>
            </w:r>
          </w:p>
        </w:tc>
        <w:tc>
          <w:tcPr>
            <w:tcW w:w="1080" w:type="dxa"/>
            <w:vAlign w:val="center"/>
          </w:tcPr>
          <w:p w14:paraId="5D736328" w14:textId="77777777" w:rsidR="00F33E5C" w:rsidRPr="00DB0F3D" w:rsidRDefault="00F33E5C" w:rsidP="000878F6">
            <w:pPr>
              <w:pStyle w:val="Table"/>
              <w:jc w:val="center"/>
              <w:rPr>
                <w:rFonts w:cstheme="minorHAnsi"/>
                <w:szCs w:val="20"/>
              </w:rPr>
            </w:pPr>
            <w:r w:rsidRPr="00DB0F3D">
              <w:rPr>
                <w:rFonts w:cstheme="minorHAnsi"/>
                <w:color w:val="000000"/>
                <w:szCs w:val="20"/>
              </w:rPr>
              <w:t>-32,43%</w:t>
            </w:r>
          </w:p>
        </w:tc>
        <w:tc>
          <w:tcPr>
            <w:tcW w:w="990" w:type="dxa"/>
            <w:vAlign w:val="center"/>
          </w:tcPr>
          <w:p w14:paraId="2EAFCCD3" w14:textId="77777777" w:rsidR="00F33E5C" w:rsidRPr="00DB0F3D" w:rsidRDefault="00F33E5C" w:rsidP="000878F6">
            <w:pPr>
              <w:pStyle w:val="Table"/>
              <w:jc w:val="center"/>
              <w:rPr>
                <w:rFonts w:cstheme="minorHAnsi"/>
                <w:szCs w:val="20"/>
              </w:rPr>
            </w:pPr>
            <w:r w:rsidRPr="00DB0F3D">
              <w:rPr>
                <w:rFonts w:cstheme="minorHAnsi"/>
                <w:color w:val="000000"/>
                <w:szCs w:val="20"/>
              </w:rPr>
              <w:t>9,59</w:t>
            </w:r>
          </w:p>
        </w:tc>
        <w:tc>
          <w:tcPr>
            <w:tcW w:w="1170" w:type="dxa"/>
            <w:vAlign w:val="center"/>
          </w:tcPr>
          <w:p w14:paraId="29518595" w14:textId="77777777" w:rsidR="00F33E5C" w:rsidRPr="00DB0F3D" w:rsidRDefault="00F33E5C" w:rsidP="000878F6">
            <w:pPr>
              <w:pStyle w:val="Table"/>
              <w:jc w:val="center"/>
              <w:rPr>
                <w:rFonts w:cstheme="minorHAnsi"/>
                <w:szCs w:val="20"/>
              </w:rPr>
            </w:pPr>
            <w:r w:rsidRPr="00DB0F3D">
              <w:rPr>
                <w:rFonts w:cstheme="minorHAnsi"/>
                <w:color w:val="000000"/>
                <w:szCs w:val="20"/>
              </w:rPr>
              <w:t>6,61</w:t>
            </w:r>
          </w:p>
        </w:tc>
        <w:tc>
          <w:tcPr>
            <w:tcW w:w="1018" w:type="dxa"/>
            <w:vAlign w:val="center"/>
          </w:tcPr>
          <w:p w14:paraId="377E712F" w14:textId="77777777" w:rsidR="00F33E5C" w:rsidRPr="00DB0F3D" w:rsidRDefault="00F33E5C" w:rsidP="000878F6">
            <w:pPr>
              <w:pStyle w:val="Table"/>
              <w:jc w:val="center"/>
              <w:rPr>
                <w:rFonts w:cstheme="minorHAnsi"/>
                <w:szCs w:val="20"/>
              </w:rPr>
            </w:pPr>
            <w:r w:rsidRPr="00DB0F3D">
              <w:rPr>
                <w:rFonts w:cstheme="minorHAnsi"/>
                <w:color w:val="000000"/>
                <w:szCs w:val="20"/>
              </w:rPr>
              <w:t>53,28%</w:t>
            </w:r>
          </w:p>
        </w:tc>
        <w:tc>
          <w:tcPr>
            <w:tcW w:w="1230" w:type="dxa"/>
            <w:vAlign w:val="center"/>
          </w:tcPr>
          <w:p w14:paraId="08C8D991" w14:textId="77777777" w:rsidR="00F33E5C" w:rsidRPr="00DB0F3D" w:rsidRDefault="00F33E5C" w:rsidP="000878F6">
            <w:pPr>
              <w:pStyle w:val="Table"/>
              <w:jc w:val="center"/>
              <w:rPr>
                <w:rFonts w:cstheme="minorHAnsi"/>
                <w:szCs w:val="20"/>
              </w:rPr>
            </w:pPr>
            <w:r w:rsidRPr="00DB0F3D">
              <w:rPr>
                <w:rFonts w:cstheme="minorHAnsi"/>
                <w:color w:val="000000"/>
                <w:szCs w:val="20"/>
              </w:rPr>
              <w:t>36,72%</w:t>
            </w:r>
          </w:p>
        </w:tc>
      </w:tr>
      <w:tr w:rsidR="00F33E5C" w:rsidRPr="001840EB" w14:paraId="3062CD6D" w14:textId="77777777" w:rsidTr="00BA7936">
        <w:tc>
          <w:tcPr>
            <w:tcW w:w="2160" w:type="dxa"/>
          </w:tcPr>
          <w:p w14:paraId="2665D123" w14:textId="77777777" w:rsidR="00F33E5C" w:rsidRPr="00F501DA" w:rsidRDefault="00F33E5C" w:rsidP="000878F6">
            <w:pPr>
              <w:pStyle w:val="Table"/>
            </w:pPr>
            <w:r w:rsidRPr="00F501DA">
              <w:t>PM2.5</w:t>
            </w:r>
          </w:p>
        </w:tc>
        <w:tc>
          <w:tcPr>
            <w:tcW w:w="1080" w:type="dxa"/>
            <w:vAlign w:val="center"/>
          </w:tcPr>
          <w:p w14:paraId="2B14F346" w14:textId="77777777" w:rsidR="00F33E5C" w:rsidRPr="00DB0F3D" w:rsidRDefault="00F33E5C" w:rsidP="000878F6">
            <w:pPr>
              <w:pStyle w:val="Table"/>
              <w:jc w:val="center"/>
              <w:rPr>
                <w:rFonts w:cstheme="minorHAnsi"/>
                <w:szCs w:val="20"/>
              </w:rPr>
            </w:pPr>
            <w:r w:rsidRPr="00DB0F3D">
              <w:rPr>
                <w:rFonts w:cstheme="minorHAnsi"/>
                <w:color w:val="000000"/>
                <w:szCs w:val="20"/>
              </w:rPr>
              <w:t>-29,58%</w:t>
            </w:r>
          </w:p>
        </w:tc>
        <w:tc>
          <w:tcPr>
            <w:tcW w:w="1080" w:type="dxa"/>
            <w:vAlign w:val="center"/>
          </w:tcPr>
          <w:p w14:paraId="5DC589D0" w14:textId="77777777" w:rsidR="00F33E5C" w:rsidRPr="00DB0F3D" w:rsidRDefault="00F33E5C" w:rsidP="000878F6">
            <w:pPr>
              <w:pStyle w:val="Table"/>
              <w:jc w:val="center"/>
              <w:rPr>
                <w:rFonts w:cstheme="minorHAnsi"/>
                <w:szCs w:val="20"/>
              </w:rPr>
            </w:pPr>
            <w:r w:rsidRPr="00DB0F3D">
              <w:rPr>
                <w:rFonts w:cstheme="minorHAnsi"/>
                <w:color w:val="000000"/>
                <w:szCs w:val="20"/>
              </w:rPr>
              <w:t>-29,58%</w:t>
            </w:r>
          </w:p>
        </w:tc>
        <w:tc>
          <w:tcPr>
            <w:tcW w:w="990" w:type="dxa"/>
            <w:vAlign w:val="center"/>
          </w:tcPr>
          <w:p w14:paraId="7E44D20A" w14:textId="77777777" w:rsidR="00F33E5C" w:rsidRPr="00DB0F3D" w:rsidRDefault="00F33E5C" w:rsidP="000878F6">
            <w:pPr>
              <w:pStyle w:val="Table"/>
              <w:jc w:val="center"/>
              <w:rPr>
                <w:rFonts w:cstheme="minorHAnsi"/>
                <w:szCs w:val="20"/>
              </w:rPr>
            </w:pPr>
            <w:r w:rsidRPr="00DB0F3D">
              <w:rPr>
                <w:rFonts w:cstheme="minorHAnsi"/>
                <w:color w:val="000000"/>
                <w:szCs w:val="20"/>
              </w:rPr>
              <w:t>1,52</w:t>
            </w:r>
          </w:p>
        </w:tc>
        <w:tc>
          <w:tcPr>
            <w:tcW w:w="1170" w:type="dxa"/>
            <w:vAlign w:val="center"/>
          </w:tcPr>
          <w:p w14:paraId="313AD5E6" w14:textId="77777777" w:rsidR="00F33E5C" w:rsidRPr="00DB0F3D" w:rsidRDefault="00F33E5C" w:rsidP="000878F6">
            <w:pPr>
              <w:pStyle w:val="Table"/>
              <w:jc w:val="center"/>
              <w:rPr>
                <w:rFonts w:cstheme="minorHAnsi"/>
                <w:szCs w:val="20"/>
              </w:rPr>
            </w:pPr>
            <w:r w:rsidRPr="00DB0F3D">
              <w:rPr>
                <w:rFonts w:cstheme="minorHAnsi"/>
                <w:color w:val="000000"/>
                <w:szCs w:val="20"/>
              </w:rPr>
              <w:t>1,09</w:t>
            </w:r>
          </w:p>
        </w:tc>
        <w:tc>
          <w:tcPr>
            <w:tcW w:w="1018" w:type="dxa"/>
            <w:vAlign w:val="center"/>
          </w:tcPr>
          <w:p w14:paraId="392CB398" w14:textId="77777777" w:rsidR="00F33E5C" w:rsidRPr="00DB0F3D" w:rsidRDefault="00F33E5C" w:rsidP="000878F6">
            <w:pPr>
              <w:pStyle w:val="Table"/>
              <w:jc w:val="center"/>
              <w:rPr>
                <w:rFonts w:cstheme="minorHAnsi"/>
                <w:szCs w:val="20"/>
              </w:rPr>
            </w:pPr>
            <w:r w:rsidRPr="00DB0F3D">
              <w:rPr>
                <w:rFonts w:cstheme="minorHAnsi"/>
                <w:color w:val="000000"/>
                <w:szCs w:val="20"/>
              </w:rPr>
              <w:t>8,42%</w:t>
            </w:r>
          </w:p>
        </w:tc>
        <w:tc>
          <w:tcPr>
            <w:tcW w:w="1230" w:type="dxa"/>
            <w:vAlign w:val="center"/>
          </w:tcPr>
          <w:p w14:paraId="02F29C4C" w14:textId="77777777" w:rsidR="00F33E5C" w:rsidRPr="00DB0F3D" w:rsidRDefault="00F33E5C" w:rsidP="000878F6">
            <w:pPr>
              <w:pStyle w:val="Table"/>
              <w:jc w:val="center"/>
              <w:rPr>
                <w:rFonts w:cstheme="minorHAnsi"/>
                <w:szCs w:val="20"/>
              </w:rPr>
            </w:pPr>
            <w:r w:rsidRPr="00DB0F3D">
              <w:rPr>
                <w:rFonts w:cstheme="minorHAnsi"/>
                <w:color w:val="000000"/>
                <w:szCs w:val="20"/>
              </w:rPr>
              <w:t>6,07%</w:t>
            </w:r>
          </w:p>
        </w:tc>
      </w:tr>
      <w:tr w:rsidR="00F33E5C" w:rsidRPr="001840EB" w14:paraId="695E54C7" w14:textId="77777777" w:rsidTr="00BA7936">
        <w:tc>
          <w:tcPr>
            <w:tcW w:w="2160" w:type="dxa"/>
          </w:tcPr>
          <w:p w14:paraId="596FA2D1" w14:textId="77777777" w:rsidR="00F33E5C" w:rsidRPr="00F501DA" w:rsidRDefault="00F33E5C" w:rsidP="000878F6">
            <w:pPr>
              <w:pStyle w:val="Table"/>
            </w:pPr>
            <w:r w:rsidRPr="00F501DA">
              <w:t>Water Abstraction</w:t>
            </w:r>
          </w:p>
        </w:tc>
        <w:tc>
          <w:tcPr>
            <w:tcW w:w="1080" w:type="dxa"/>
            <w:vAlign w:val="center"/>
          </w:tcPr>
          <w:p w14:paraId="2AC62310" w14:textId="77777777" w:rsidR="00F33E5C" w:rsidRPr="00DB0F3D" w:rsidRDefault="00F33E5C" w:rsidP="000878F6">
            <w:pPr>
              <w:pStyle w:val="Table"/>
              <w:jc w:val="center"/>
              <w:rPr>
                <w:rFonts w:cstheme="minorHAnsi"/>
                <w:szCs w:val="20"/>
              </w:rPr>
            </w:pPr>
            <w:r w:rsidRPr="00DB0F3D">
              <w:rPr>
                <w:rFonts w:cstheme="minorHAnsi"/>
                <w:color w:val="000000"/>
                <w:szCs w:val="20"/>
              </w:rPr>
              <w:t>-33,37%</w:t>
            </w:r>
          </w:p>
        </w:tc>
        <w:tc>
          <w:tcPr>
            <w:tcW w:w="1080" w:type="dxa"/>
            <w:vAlign w:val="center"/>
          </w:tcPr>
          <w:p w14:paraId="0E3BEF50" w14:textId="77777777" w:rsidR="00F33E5C" w:rsidRPr="00DB0F3D" w:rsidRDefault="00F33E5C" w:rsidP="000878F6">
            <w:pPr>
              <w:pStyle w:val="Table"/>
              <w:jc w:val="center"/>
              <w:rPr>
                <w:rFonts w:cstheme="minorHAnsi"/>
                <w:szCs w:val="20"/>
              </w:rPr>
            </w:pPr>
            <w:r w:rsidRPr="00DB0F3D">
              <w:rPr>
                <w:rFonts w:cstheme="minorHAnsi"/>
                <w:color w:val="000000"/>
                <w:szCs w:val="20"/>
              </w:rPr>
              <w:t>-33,37%</w:t>
            </w:r>
          </w:p>
        </w:tc>
        <w:tc>
          <w:tcPr>
            <w:tcW w:w="990" w:type="dxa"/>
            <w:vAlign w:val="center"/>
          </w:tcPr>
          <w:p w14:paraId="2C588304" w14:textId="77777777" w:rsidR="00F33E5C" w:rsidRPr="00DB0F3D" w:rsidRDefault="00F33E5C" w:rsidP="000878F6">
            <w:pPr>
              <w:pStyle w:val="Table"/>
              <w:jc w:val="center"/>
              <w:rPr>
                <w:rFonts w:cstheme="minorHAnsi"/>
                <w:szCs w:val="20"/>
              </w:rPr>
            </w:pPr>
            <w:r w:rsidRPr="00DB0F3D">
              <w:rPr>
                <w:rFonts w:cstheme="minorHAnsi"/>
                <w:color w:val="000000"/>
                <w:szCs w:val="20"/>
              </w:rPr>
              <w:t>105,12</w:t>
            </w:r>
          </w:p>
        </w:tc>
        <w:tc>
          <w:tcPr>
            <w:tcW w:w="1170" w:type="dxa"/>
            <w:vAlign w:val="center"/>
          </w:tcPr>
          <w:p w14:paraId="5AA6F7B5" w14:textId="77777777" w:rsidR="00F33E5C" w:rsidRPr="00DB0F3D" w:rsidRDefault="00F33E5C" w:rsidP="000878F6">
            <w:pPr>
              <w:pStyle w:val="Table"/>
              <w:jc w:val="center"/>
              <w:rPr>
                <w:rFonts w:cstheme="minorHAnsi"/>
                <w:szCs w:val="20"/>
              </w:rPr>
            </w:pPr>
            <w:r w:rsidRPr="00DB0F3D">
              <w:rPr>
                <w:rFonts w:cstheme="minorHAnsi"/>
                <w:color w:val="000000"/>
                <w:szCs w:val="20"/>
              </w:rPr>
              <w:t>100,88</w:t>
            </w:r>
          </w:p>
        </w:tc>
        <w:tc>
          <w:tcPr>
            <w:tcW w:w="1018" w:type="dxa"/>
            <w:vAlign w:val="center"/>
          </w:tcPr>
          <w:p w14:paraId="5279D0FD" w14:textId="77777777" w:rsidR="00F33E5C" w:rsidRPr="00DB0F3D" w:rsidRDefault="00F33E5C" w:rsidP="000878F6">
            <w:pPr>
              <w:pStyle w:val="Table"/>
              <w:jc w:val="center"/>
              <w:rPr>
                <w:rFonts w:cstheme="minorHAnsi"/>
                <w:szCs w:val="20"/>
              </w:rPr>
            </w:pPr>
            <w:r w:rsidRPr="00DB0F3D">
              <w:rPr>
                <w:rFonts w:cstheme="minorHAnsi"/>
                <w:color w:val="000000"/>
                <w:szCs w:val="20"/>
              </w:rPr>
              <w:t>238,90%</w:t>
            </w:r>
          </w:p>
        </w:tc>
        <w:tc>
          <w:tcPr>
            <w:tcW w:w="1230" w:type="dxa"/>
            <w:vAlign w:val="center"/>
          </w:tcPr>
          <w:p w14:paraId="26536BE1" w14:textId="77777777" w:rsidR="00F33E5C" w:rsidRPr="00DB0F3D" w:rsidRDefault="00F33E5C" w:rsidP="000878F6">
            <w:pPr>
              <w:pStyle w:val="Table"/>
              <w:jc w:val="center"/>
              <w:rPr>
                <w:rFonts w:cstheme="minorHAnsi"/>
                <w:szCs w:val="20"/>
              </w:rPr>
            </w:pPr>
            <w:r w:rsidRPr="00DB0F3D">
              <w:rPr>
                <w:rFonts w:cstheme="minorHAnsi"/>
                <w:color w:val="000000"/>
                <w:szCs w:val="20"/>
              </w:rPr>
              <w:t>229,28%</w:t>
            </w:r>
          </w:p>
        </w:tc>
      </w:tr>
      <w:tr w:rsidR="00F33E5C" w:rsidRPr="001840EB" w14:paraId="223F6A83" w14:textId="77777777" w:rsidTr="00BA7936">
        <w:tc>
          <w:tcPr>
            <w:tcW w:w="2160" w:type="dxa"/>
          </w:tcPr>
          <w:p w14:paraId="62E73F6A" w14:textId="77777777" w:rsidR="00F33E5C" w:rsidRPr="00F501DA" w:rsidRDefault="00F33E5C" w:rsidP="000878F6">
            <w:pPr>
              <w:pStyle w:val="Table"/>
            </w:pPr>
            <w:r w:rsidRPr="00F501DA">
              <w:t>Fertilizers</w:t>
            </w:r>
          </w:p>
        </w:tc>
        <w:tc>
          <w:tcPr>
            <w:tcW w:w="1080" w:type="dxa"/>
            <w:vAlign w:val="center"/>
          </w:tcPr>
          <w:p w14:paraId="5C78BFA4" w14:textId="77777777" w:rsidR="00F33E5C" w:rsidRPr="00DB0F3D" w:rsidRDefault="00F33E5C" w:rsidP="000878F6">
            <w:pPr>
              <w:pStyle w:val="Table"/>
              <w:jc w:val="center"/>
              <w:rPr>
                <w:rFonts w:cstheme="minorHAnsi"/>
                <w:szCs w:val="20"/>
              </w:rPr>
            </w:pPr>
            <w:r w:rsidRPr="00DB0F3D">
              <w:rPr>
                <w:rFonts w:cstheme="minorHAnsi"/>
                <w:color w:val="000000"/>
                <w:szCs w:val="20"/>
              </w:rPr>
              <w:t>-23,96%</w:t>
            </w:r>
          </w:p>
        </w:tc>
        <w:tc>
          <w:tcPr>
            <w:tcW w:w="1080" w:type="dxa"/>
            <w:vAlign w:val="center"/>
          </w:tcPr>
          <w:p w14:paraId="1F5CD344" w14:textId="77777777" w:rsidR="00F33E5C" w:rsidRPr="00DB0F3D" w:rsidRDefault="00F33E5C" w:rsidP="000878F6">
            <w:pPr>
              <w:pStyle w:val="Table"/>
              <w:jc w:val="center"/>
              <w:rPr>
                <w:rFonts w:cstheme="minorHAnsi"/>
                <w:szCs w:val="20"/>
              </w:rPr>
            </w:pPr>
            <w:r w:rsidRPr="00DB0F3D">
              <w:rPr>
                <w:rFonts w:cstheme="minorHAnsi"/>
                <w:color w:val="000000"/>
                <w:szCs w:val="20"/>
              </w:rPr>
              <w:t>-23,96%</w:t>
            </w:r>
          </w:p>
        </w:tc>
        <w:tc>
          <w:tcPr>
            <w:tcW w:w="990" w:type="dxa"/>
            <w:vAlign w:val="center"/>
          </w:tcPr>
          <w:p w14:paraId="4721A5A1" w14:textId="77777777" w:rsidR="00F33E5C" w:rsidRPr="00DB0F3D" w:rsidRDefault="00F33E5C" w:rsidP="000878F6">
            <w:pPr>
              <w:pStyle w:val="Table"/>
              <w:jc w:val="center"/>
              <w:rPr>
                <w:rFonts w:cstheme="minorHAnsi"/>
                <w:szCs w:val="20"/>
              </w:rPr>
            </w:pPr>
            <w:r w:rsidRPr="00DB0F3D">
              <w:rPr>
                <w:rFonts w:cstheme="minorHAnsi"/>
                <w:color w:val="000000"/>
                <w:szCs w:val="20"/>
              </w:rPr>
              <w:t>10,57</w:t>
            </w:r>
          </w:p>
        </w:tc>
        <w:tc>
          <w:tcPr>
            <w:tcW w:w="1170" w:type="dxa"/>
            <w:vAlign w:val="center"/>
          </w:tcPr>
          <w:p w14:paraId="70DBE7BA" w14:textId="77777777" w:rsidR="00F33E5C" w:rsidRPr="00DB0F3D" w:rsidRDefault="00F33E5C" w:rsidP="000878F6">
            <w:pPr>
              <w:pStyle w:val="Table"/>
              <w:jc w:val="center"/>
              <w:rPr>
                <w:rFonts w:cstheme="minorHAnsi"/>
                <w:szCs w:val="20"/>
              </w:rPr>
            </w:pPr>
            <w:r w:rsidRPr="00DB0F3D">
              <w:rPr>
                <w:rFonts w:cstheme="minorHAnsi"/>
                <w:color w:val="000000"/>
                <w:szCs w:val="20"/>
              </w:rPr>
              <w:t>10,70</w:t>
            </w:r>
          </w:p>
        </w:tc>
        <w:tc>
          <w:tcPr>
            <w:tcW w:w="1018" w:type="dxa"/>
            <w:vAlign w:val="center"/>
          </w:tcPr>
          <w:p w14:paraId="3F55CD65" w14:textId="77777777" w:rsidR="00F33E5C" w:rsidRPr="00DB0F3D" w:rsidRDefault="00F33E5C" w:rsidP="000878F6">
            <w:pPr>
              <w:pStyle w:val="Table"/>
              <w:jc w:val="center"/>
              <w:rPr>
                <w:rFonts w:cstheme="minorHAnsi"/>
                <w:szCs w:val="20"/>
              </w:rPr>
            </w:pPr>
            <w:r w:rsidRPr="00DB0F3D">
              <w:rPr>
                <w:rFonts w:cstheme="minorHAnsi"/>
                <w:color w:val="000000"/>
                <w:szCs w:val="20"/>
              </w:rPr>
              <w:t>58,72%</w:t>
            </w:r>
          </w:p>
        </w:tc>
        <w:tc>
          <w:tcPr>
            <w:tcW w:w="1230" w:type="dxa"/>
            <w:vAlign w:val="center"/>
          </w:tcPr>
          <w:p w14:paraId="59B57B13" w14:textId="77777777" w:rsidR="00F33E5C" w:rsidRPr="00DB0F3D" w:rsidRDefault="00F33E5C" w:rsidP="000878F6">
            <w:pPr>
              <w:pStyle w:val="Table"/>
              <w:jc w:val="center"/>
              <w:rPr>
                <w:rFonts w:cstheme="minorHAnsi"/>
                <w:szCs w:val="20"/>
              </w:rPr>
            </w:pPr>
            <w:r w:rsidRPr="00DB0F3D">
              <w:rPr>
                <w:rFonts w:cstheme="minorHAnsi"/>
                <w:color w:val="000000"/>
                <w:szCs w:val="20"/>
              </w:rPr>
              <w:t>59,44%</w:t>
            </w:r>
          </w:p>
        </w:tc>
      </w:tr>
      <w:tr w:rsidR="00F33E5C" w:rsidRPr="001840EB" w14:paraId="11E29357" w14:textId="77777777" w:rsidTr="00BA7936">
        <w:tc>
          <w:tcPr>
            <w:tcW w:w="2160" w:type="dxa"/>
          </w:tcPr>
          <w:p w14:paraId="75E5D890" w14:textId="77777777" w:rsidR="00F33E5C" w:rsidRPr="00F501DA" w:rsidRDefault="00F33E5C" w:rsidP="000878F6">
            <w:pPr>
              <w:pStyle w:val="Table"/>
            </w:pPr>
            <w:r w:rsidRPr="00F501DA">
              <w:t>Pesticides</w:t>
            </w:r>
          </w:p>
        </w:tc>
        <w:tc>
          <w:tcPr>
            <w:tcW w:w="1080" w:type="dxa"/>
            <w:vAlign w:val="center"/>
          </w:tcPr>
          <w:p w14:paraId="0DB1F644" w14:textId="77777777" w:rsidR="00F33E5C" w:rsidRPr="00DB0F3D" w:rsidRDefault="00F33E5C" w:rsidP="000878F6">
            <w:pPr>
              <w:pStyle w:val="Table"/>
              <w:jc w:val="center"/>
              <w:rPr>
                <w:rFonts w:cstheme="minorHAnsi"/>
                <w:szCs w:val="20"/>
              </w:rPr>
            </w:pPr>
            <w:r w:rsidRPr="00DB0F3D">
              <w:rPr>
                <w:rFonts w:cstheme="minorHAnsi"/>
                <w:color w:val="000000"/>
                <w:szCs w:val="20"/>
              </w:rPr>
              <w:t>n/a</w:t>
            </w:r>
          </w:p>
        </w:tc>
        <w:tc>
          <w:tcPr>
            <w:tcW w:w="1080" w:type="dxa"/>
            <w:vAlign w:val="center"/>
          </w:tcPr>
          <w:p w14:paraId="7F413C08" w14:textId="77777777" w:rsidR="00F33E5C" w:rsidRPr="00DB0F3D" w:rsidRDefault="00F33E5C" w:rsidP="000878F6">
            <w:pPr>
              <w:pStyle w:val="Table"/>
              <w:jc w:val="center"/>
              <w:rPr>
                <w:rFonts w:cstheme="minorHAnsi"/>
                <w:szCs w:val="20"/>
              </w:rPr>
            </w:pPr>
            <w:r w:rsidRPr="00DB0F3D">
              <w:rPr>
                <w:rFonts w:cstheme="minorHAnsi"/>
                <w:color w:val="000000"/>
                <w:szCs w:val="20"/>
              </w:rPr>
              <w:t>n/a</w:t>
            </w:r>
          </w:p>
        </w:tc>
        <w:tc>
          <w:tcPr>
            <w:tcW w:w="990" w:type="dxa"/>
            <w:vAlign w:val="center"/>
          </w:tcPr>
          <w:p w14:paraId="04A8FAFE" w14:textId="77777777" w:rsidR="00F33E5C" w:rsidRPr="00DB0F3D" w:rsidRDefault="00F33E5C" w:rsidP="000878F6">
            <w:pPr>
              <w:pStyle w:val="Table"/>
              <w:jc w:val="center"/>
              <w:rPr>
                <w:rFonts w:cstheme="minorHAnsi"/>
                <w:szCs w:val="20"/>
              </w:rPr>
            </w:pPr>
            <w:r w:rsidRPr="00DB0F3D">
              <w:rPr>
                <w:rFonts w:cstheme="minorHAnsi"/>
                <w:color w:val="000000"/>
                <w:szCs w:val="20"/>
              </w:rPr>
              <w:t>21,83</w:t>
            </w:r>
          </w:p>
        </w:tc>
        <w:tc>
          <w:tcPr>
            <w:tcW w:w="1170" w:type="dxa"/>
            <w:vAlign w:val="center"/>
          </w:tcPr>
          <w:p w14:paraId="61B18DF4" w14:textId="77777777" w:rsidR="00F33E5C" w:rsidRPr="00DB0F3D" w:rsidRDefault="00F33E5C" w:rsidP="000878F6">
            <w:pPr>
              <w:pStyle w:val="Table"/>
              <w:jc w:val="center"/>
              <w:rPr>
                <w:rFonts w:cstheme="minorHAnsi"/>
                <w:szCs w:val="20"/>
              </w:rPr>
            </w:pPr>
            <w:r w:rsidRPr="00DB0F3D">
              <w:rPr>
                <w:rFonts w:cstheme="minorHAnsi"/>
                <w:color w:val="000000"/>
                <w:szCs w:val="20"/>
              </w:rPr>
              <w:t>21,80</w:t>
            </w:r>
          </w:p>
        </w:tc>
        <w:tc>
          <w:tcPr>
            <w:tcW w:w="1018" w:type="dxa"/>
            <w:vAlign w:val="center"/>
          </w:tcPr>
          <w:p w14:paraId="739FC5DE" w14:textId="77777777" w:rsidR="00F33E5C" w:rsidRPr="00DB0F3D" w:rsidRDefault="00F33E5C" w:rsidP="000878F6">
            <w:pPr>
              <w:pStyle w:val="Table"/>
              <w:jc w:val="center"/>
              <w:rPr>
                <w:rFonts w:cstheme="minorHAnsi"/>
                <w:szCs w:val="20"/>
              </w:rPr>
            </w:pPr>
            <w:r w:rsidRPr="00DB0F3D">
              <w:rPr>
                <w:rFonts w:cstheme="minorHAnsi"/>
                <w:color w:val="000000"/>
                <w:szCs w:val="20"/>
              </w:rPr>
              <w:t>121,30%</w:t>
            </w:r>
          </w:p>
        </w:tc>
        <w:tc>
          <w:tcPr>
            <w:tcW w:w="1230" w:type="dxa"/>
            <w:vAlign w:val="center"/>
          </w:tcPr>
          <w:p w14:paraId="5376DBFE" w14:textId="77777777" w:rsidR="00F33E5C" w:rsidRPr="00DB0F3D" w:rsidRDefault="00F33E5C" w:rsidP="000878F6">
            <w:pPr>
              <w:pStyle w:val="Table"/>
              <w:jc w:val="center"/>
              <w:rPr>
                <w:rFonts w:cstheme="minorHAnsi"/>
                <w:szCs w:val="20"/>
              </w:rPr>
            </w:pPr>
            <w:r w:rsidRPr="00DB0F3D">
              <w:rPr>
                <w:rFonts w:cstheme="minorHAnsi"/>
                <w:color w:val="000000"/>
                <w:szCs w:val="20"/>
              </w:rPr>
              <w:t>121,11%</w:t>
            </w:r>
          </w:p>
        </w:tc>
      </w:tr>
      <w:tr w:rsidR="00F33E5C" w:rsidRPr="001840EB" w14:paraId="30C094E7" w14:textId="77777777" w:rsidTr="00BA7936">
        <w:tc>
          <w:tcPr>
            <w:tcW w:w="2160" w:type="dxa"/>
          </w:tcPr>
          <w:p w14:paraId="3C3B31F2" w14:textId="77777777" w:rsidR="00F33E5C" w:rsidRPr="00F501DA" w:rsidRDefault="00F33E5C" w:rsidP="000878F6">
            <w:pPr>
              <w:pStyle w:val="Table"/>
            </w:pPr>
            <w:r w:rsidRPr="00F501DA">
              <w:t>Waste Incineration</w:t>
            </w:r>
          </w:p>
        </w:tc>
        <w:tc>
          <w:tcPr>
            <w:tcW w:w="1080" w:type="dxa"/>
            <w:vAlign w:val="center"/>
          </w:tcPr>
          <w:p w14:paraId="45F7D360" w14:textId="77777777" w:rsidR="00F33E5C" w:rsidRPr="00DB0F3D" w:rsidRDefault="00F33E5C" w:rsidP="000878F6">
            <w:pPr>
              <w:pStyle w:val="Table"/>
              <w:jc w:val="center"/>
              <w:rPr>
                <w:rFonts w:cstheme="minorHAnsi"/>
                <w:szCs w:val="20"/>
              </w:rPr>
            </w:pPr>
            <w:r w:rsidRPr="00DB0F3D">
              <w:rPr>
                <w:rFonts w:cstheme="minorHAnsi"/>
                <w:color w:val="000000"/>
                <w:szCs w:val="20"/>
              </w:rPr>
              <w:t>-20,00%</w:t>
            </w:r>
          </w:p>
        </w:tc>
        <w:tc>
          <w:tcPr>
            <w:tcW w:w="1080" w:type="dxa"/>
            <w:vAlign w:val="center"/>
          </w:tcPr>
          <w:p w14:paraId="4F74E822" w14:textId="77777777" w:rsidR="00F33E5C" w:rsidRPr="00DB0F3D" w:rsidRDefault="00F33E5C" w:rsidP="000878F6">
            <w:pPr>
              <w:pStyle w:val="Table"/>
              <w:jc w:val="center"/>
              <w:rPr>
                <w:rFonts w:cstheme="minorHAnsi"/>
                <w:szCs w:val="20"/>
              </w:rPr>
            </w:pPr>
            <w:r w:rsidRPr="00DB0F3D">
              <w:rPr>
                <w:rFonts w:cstheme="minorHAnsi"/>
                <w:color w:val="000000"/>
                <w:szCs w:val="20"/>
              </w:rPr>
              <w:t>-20,00%</w:t>
            </w:r>
          </w:p>
        </w:tc>
        <w:tc>
          <w:tcPr>
            <w:tcW w:w="990" w:type="dxa"/>
            <w:vAlign w:val="center"/>
          </w:tcPr>
          <w:p w14:paraId="52FA4D85" w14:textId="77777777" w:rsidR="00F33E5C" w:rsidRPr="00DB0F3D" w:rsidRDefault="00F33E5C" w:rsidP="000878F6">
            <w:pPr>
              <w:pStyle w:val="Table"/>
              <w:jc w:val="center"/>
              <w:rPr>
                <w:rFonts w:cstheme="minorHAnsi"/>
                <w:szCs w:val="20"/>
              </w:rPr>
            </w:pPr>
            <w:r w:rsidRPr="00DB0F3D">
              <w:rPr>
                <w:rFonts w:cstheme="minorHAnsi"/>
                <w:color w:val="000000"/>
                <w:szCs w:val="20"/>
              </w:rPr>
              <w:t>3,24</w:t>
            </w:r>
          </w:p>
        </w:tc>
        <w:tc>
          <w:tcPr>
            <w:tcW w:w="1170" w:type="dxa"/>
            <w:vAlign w:val="center"/>
          </w:tcPr>
          <w:p w14:paraId="677CDA1B" w14:textId="77777777" w:rsidR="00F33E5C" w:rsidRPr="00DB0F3D" w:rsidRDefault="00F33E5C" w:rsidP="000878F6">
            <w:pPr>
              <w:pStyle w:val="Table"/>
              <w:jc w:val="center"/>
              <w:rPr>
                <w:rFonts w:cstheme="minorHAnsi"/>
                <w:szCs w:val="20"/>
              </w:rPr>
            </w:pPr>
            <w:r w:rsidRPr="00DB0F3D">
              <w:rPr>
                <w:rFonts w:cstheme="minorHAnsi"/>
                <w:color w:val="000000"/>
                <w:szCs w:val="20"/>
              </w:rPr>
              <w:t>3,13</w:t>
            </w:r>
          </w:p>
        </w:tc>
        <w:tc>
          <w:tcPr>
            <w:tcW w:w="1018" w:type="dxa"/>
            <w:vAlign w:val="center"/>
          </w:tcPr>
          <w:p w14:paraId="3BC82223" w14:textId="77777777" w:rsidR="00F33E5C" w:rsidRPr="00DB0F3D" w:rsidRDefault="00F33E5C" w:rsidP="000878F6">
            <w:pPr>
              <w:pStyle w:val="Table"/>
              <w:jc w:val="center"/>
              <w:rPr>
                <w:rFonts w:cstheme="minorHAnsi"/>
                <w:szCs w:val="20"/>
              </w:rPr>
            </w:pPr>
            <w:r w:rsidRPr="00DB0F3D">
              <w:rPr>
                <w:rFonts w:cstheme="minorHAnsi"/>
                <w:color w:val="000000"/>
                <w:szCs w:val="20"/>
              </w:rPr>
              <w:t>18,02%</w:t>
            </w:r>
          </w:p>
        </w:tc>
        <w:tc>
          <w:tcPr>
            <w:tcW w:w="1230" w:type="dxa"/>
            <w:vAlign w:val="center"/>
          </w:tcPr>
          <w:p w14:paraId="07D27AE0" w14:textId="77777777" w:rsidR="00F33E5C" w:rsidRPr="00DB0F3D" w:rsidRDefault="00F33E5C" w:rsidP="000878F6">
            <w:pPr>
              <w:pStyle w:val="Table"/>
              <w:jc w:val="center"/>
              <w:rPr>
                <w:rFonts w:cstheme="minorHAnsi"/>
                <w:szCs w:val="20"/>
              </w:rPr>
            </w:pPr>
            <w:r w:rsidRPr="00DB0F3D">
              <w:rPr>
                <w:rFonts w:cstheme="minorHAnsi"/>
                <w:color w:val="000000"/>
                <w:szCs w:val="20"/>
              </w:rPr>
              <w:t>17,39%</w:t>
            </w:r>
          </w:p>
        </w:tc>
      </w:tr>
      <w:tr w:rsidR="00F33E5C" w:rsidRPr="001840EB" w14:paraId="6661D6BF" w14:textId="77777777" w:rsidTr="00BA7936">
        <w:tc>
          <w:tcPr>
            <w:tcW w:w="2160" w:type="dxa"/>
          </w:tcPr>
          <w:p w14:paraId="671D3E3A" w14:textId="77777777" w:rsidR="00F33E5C" w:rsidRPr="00F501DA" w:rsidRDefault="00F33E5C" w:rsidP="000878F6">
            <w:pPr>
              <w:pStyle w:val="Table"/>
            </w:pPr>
            <w:r w:rsidRPr="00F501DA">
              <w:t>Waste to Landfill</w:t>
            </w:r>
          </w:p>
        </w:tc>
        <w:tc>
          <w:tcPr>
            <w:tcW w:w="1080" w:type="dxa"/>
            <w:vAlign w:val="center"/>
          </w:tcPr>
          <w:p w14:paraId="67E92EE1" w14:textId="77777777" w:rsidR="00F33E5C" w:rsidRPr="00DB0F3D" w:rsidRDefault="00F33E5C" w:rsidP="000878F6">
            <w:pPr>
              <w:pStyle w:val="Table"/>
              <w:jc w:val="center"/>
              <w:rPr>
                <w:rFonts w:cstheme="minorHAnsi"/>
                <w:szCs w:val="20"/>
              </w:rPr>
            </w:pPr>
            <w:r w:rsidRPr="00DB0F3D">
              <w:rPr>
                <w:rFonts w:cstheme="minorHAnsi"/>
                <w:color w:val="000000"/>
                <w:szCs w:val="20"/>
              </w:rPr>
              <w:t>0,00%</w:t>
            </w:r>
          </w:p>
        </w:tc>
        <w:tc>
          <w:tcPr>
            <w:tcW w:w="1080" w:type="dxa"/>
            <w:vAlign w:val="center"/>
          </w:tcPr>
          <w:p w14:paraId="77B85895" w14:textId="77777777" w:rsidR="00F33E5C" w:rsidRPr="00DB0F3D" w:rsidRDefault="00F33E5C" w:rsidP="000878F6">
            <w:pPr>
              <w:pStyle w:val="Table"/>
              <w:jc w:val="center"/>
              <w:rPr>
                <w:rFonts w:cstheme="minorHAnsi"/>
                <w:szCs w:val="20"/>
              </w:rPr>
            </w:pPr>
            <w:r w:rsidRPr="00DB0F3D">
              <w:rPr>
                <w:rFonts w:cstheme="minorHAnsi"/>
                <w:color w:val="000000"/>
                <w:szCs w:val="20"/>
              </w:rPr>
              <w:t>0,00%</w:t>
            </w:r>
          </w:p>
        </w:tc>
        <w:tc>
          <w:tcPr>
            <w:tcW w:w="990" w:type="dxa"/>
            <w:vAlign w:val="center"/>
          </w:tcPr>
          <w:p w14:paraId="762B4D14" w14:textId="77777777" w:rsidR="00F33E5C" w:rsidRPr="00DB0F3D" w:rsidRDefault="00F33E5C" w:rsidP="000878F6">
            <w:pPr>
              <w:pStyle w:val="Table"/>
              <w:jc w:val="center"/>
              <w:rPr>
                <w:rFonts w:cstheme="minorHAnsi"/>
                <w:szCs w:val="20"/>
              </w:rPr>
            </w:pPr>
            <w:r w:rsidRPr="00DB0F3D">
              <w:rPr>
                <w:rFonts w:cstheme="minorHAnsi"/>
                <w:color w:val="000000"/>
                <w:szCs w:val="20"/>
              </w:rPr>
              <w:t>0,00</w:t>
            </w:r>
          </w:p>
        </w:tc>
        <w:tc>
          <w:tcPr>
            <w:tcW w:w="1170" w:type="dxa"/>
            <w:vAlign w:val="center"/>
          </w:tcPr>
          <w:p w14:paraId="7638E954" w14:textId="77777777" w:rsidR="00F33E5C" w:rsidRPr="00DB0F3D" w:rsidRDefault="00F33E5C" w:rsidP="000878F6">
            <w:pPr>
              <w:pStyle w:val="Table"/>
              <w:jc w:val="center"/>
              <w:rPr>
                <w:rFonts w:cstheme="minorHAnsi"/>
                <w:szCs w:val="20"/>
              </w:rPr>
            </w:pPr>
            <w:r w:rsidRPr="00DB0F3D">
              <w:rPr>
                <w:rFonts w:cstheme="minorHAnsi"/>
                <w:color w:val="000000"/>
                <w:szCs w:val="20"/>
              </w:rPr>
              <w:t>0,00</w:t>
            </w:r>
          </w:p>
        </w:tc>
        <w:tc>
          <w:tcPr>
            <w:tcW w:w="1018" w:type="dxa"/>
            <w:vAlign w:val="center"/>
          </w:tcPr>
          <w:p w14:paraId="005C3F78" w14:textId="77777777" w:rsidR="00F33E5C" w:rsidRPr="00DB0F3D" w:rsidRDefault="00F33E5C" w:rsidP="000878F6">
            <w:pPr>
              <w:pStyle w:val="Table"/>
              <w:jc w:val="center"/>
              <w:rPr>
                <w:rFonts w:cstheme="minorHAnsi"/>
                <w:szCs w:val="20"/>
              </w:rPr>
            </w:pPr>
            <w:r w:rsidRPr="00DB0F3D">
              <w:rPr>
                <w:rFonts w:cstheme="minorHAnsi"/>
                <w:color w:val="000000"/>
                <w:szCs w:val="20"/>
              </w:rPr>
              <w:t>0,00%</w:t>
            </w:r>
          </w:p>
        </w:tc>
        <w:tc>
          <w:tcPr>
            <w:tcW w:w="1230" w:type="dxa"/>
            <w:vAlign w:val="center"/>
          </w:tcPr>
          <w:p w14:paraId="6DFB8D1F" w14:textId="77777777" w:rsidR="00F33E5C" w:rsidRPr="00DB0F3D" w:rsidRDefault="00F33E5C" w:rsidP="000878F6">
            <w:pPr>
              <w:pStyle w:val="Table"/>
              <w:jc w:val="center"/>
              <w:rPr>
                <w:rFonts w:cstheme="minorHAnsi"/>
                <w:szCs w:val="20"/>
              </w:rPr>
            </w:pPr>
            <w:r w:rsidRPr="00DB0F3D">
              <w:rPr>
                <w:rFonts w:cstheme="minorHAnsi"/>
                <w:color w:val="000000"/>
                <w:szCs w:val="20"/>
              </w:rPr>
              <w:t>0,00%</w:t>
            </w:r>
          </w:p>
        </w:tc>
      </w:tr>
      <w:tr w:rsidR="00F33E5C" w:rsidRPr="001840EB" w14:paraId="2AAD28B2" w14:textId="77777777" w:rsidTr="00BA7936">
        <w:tc>
          <w:tcPr>
            <w:tcW w:w="2160" w:type="dxa"/>
          </w:tcPr>
          <w:p w14:paraId="5278489C" w14:textId="77777777" w:rsidR="00F33E5C" w:rsidRPr="00F501DA" w:rsidRDefault="00F33E5C" w:rsidP="000878F6">
            <w:pPr>
              <w:pStyle w:val="Table"/>
            </w:pPr>
            <w:r w:rsidRPr="00F501DA">
              <w:t>Water Effluent</w:t>
            </w:r>
          </w:p>
        </w:tc>
        <w:tc>
          <w:tcPr>
            <w:tcW w:w="1080" w:type="dxa"/>
            <w:vAlign w:val="center"/>
          </w:tcPr>
          <w:p w14:paraId="6B865FBC" w14:textId="77777777" w:rsidR="00F33E5C" w:rsidRPr="00DB0F3D" w:rsidRDefault="00F33E5C" w:rsidP="000878F6">
            <w:pPr>
              <w:pStyle w:val="Table"/>
              <w:jc w:val="center"/>
              <w:rPr>
                <w:rFonts w:cstheme="minorHAnsi"/>
                <w:szCs w:val="20"/>
              </w:rPr>
            </w:pPr>
            <w:r w:rsidRPr="00DB0F3D">
              <w:rPr>
                <w:rFonts w:cstheme="minorHAnsi"/>
                <w:color w:val="000000"/>
                <w:szCs w:val="20"/>
              </w:rPr>
              <w:t>-9,09%</w:t>
            </w:r>
          </w:p>
        </w:tc>
        <w:tc>
          <w:tcPr>
            <w:tcW w:w="1080" w:type="dxa"/>
            <w:vAlign w:val="center"/>
          </w:tcPr>
          <w:p w14:paraId="1D13B20D" w14:textId="77777777" w:rsidR="00F33E5C" w:rsidRPr="00DB0F3D" w:rsidRDefault="00F33E5C" w:rsidP="000878F6">
            <w:pPr>
              <w:pStyle w:val="Table"/>
              <w:jc w:val="center"/>
              <w:rPr>
                <w:rFonts w:cstheme="minorHAnsi"/>
                <w:szCs w:val="20"/>
              </w:rPr>
            </w:pPr>
            <w:r w:rsidRPr="00DB0F3D">
              <w:rPr>
                <w:rFonts w:cstheme="minorHAnsi"/>
                <w:color w:val="000000"/>
                <w:szCs w:val="20"/>
              </w:rPr>
              <w:t>-9,09%</w:t>
            </w:r>
          </w:p>
        </w:tc>
        <w:tc>
          <w:tcPr>
            <w:tcW w:w="990" w:type="dxa"/>
            <w:vAlign w:val="center"/>
          </w:tcPr>
          <w:p w14:paraId="17A24EDA" w14:textId="77777777" w:rsidR="00F33E5C" w:rsidRPr="00DB0F3D" w:rsidRDefault="00F33E5C" w:rsidP="000878F6">
            <w:pPr>
              <w:pStyle w:val="Table"/>
              <w:jc w:val="center"/>
              <w:rPr>
                <w:rFonts w:cstheme="minorHAnsi"/>
                <w:szCs w:val="20"/>
              </w:rPr>
            </w:pPr>
            <w:r w:rsidRPr="00DB0F3D">
              <w:rPr>
                <w:rFonts w:cstheme="minorHAnsi"/>
                <w:color w:val="000000"/>
                <w:szCs w:val="20"/>
              </w:rPr>
              <w:t>502,36</w:t>
            </w:r>
          </w:p>
        </w:tc>
        <w:tc>
          <w:tcPr>
            <w:tcW w:w="1170" w:type="dxa"/>
            <w:vAlign w:val="center"/>
          </w:tcPr>
          <w:p w14:paraId="48B7C887" w14:textId="77777777" w:rsidR="00F33E5C" w:rsidRPr="00DB0F3D" w:rsidRDefault="00F33E5C" w:rsidP="000878F6">
            <w:pPr>
              <w:pStyle w:val="Table"/>
              <w:jc w:val="center"/>
              <w:rPr>
                <w:rFonts w:cstheme="minorHAnsi"/>
                <w:szCs w:val="20"/>
              </w:rPr>
            </w:pPr>
            <w:r w:rsidRPr="00DB0F3D">
              <w:rPr>
                <w:rFonts w:cstheme="minorHAnsi"/>
                <w:color w:val="000000"/>
                <w:szCs w:val="20"/>
              </w:rPr>
              <w:t>499,68</w:t>
            </w:r>
          </w:p>
        </w:tc>
        <w:tc>
          <w:tcPr>
            <w:tcW w:w="1018" w:type="dxa"/>
            <w:vAlign w:val="center"/>
          </w:tcPr>
          <w:p w14:paraId="4D94B9E2" w14:textId="77777777" w:rsidR="00F33E5C" w:rsidRPr="00DB0F3D" w:rsidRDefault="00F33E5C" w:rsidP="000878F6">
            <w:pPr>
              <w:pStyle w:val="Table"/>
              <w:jc w:val="center"/>
              <w:rPr>
                <w:rFonts w:cstheme="minorHAnsi"/>
                <w:szCs w:val="20"/>
              </w:rPr>
            </w:pPr>
            <w:r w:rsidRPr="00DB0F3D">
              <w:rPr>
                <w:rFonts w:cstheme="minorHAnsi"/>
                <w:color w:val="000000"/>
                <w:szCs w:val="20"/>
              </w:rPr>
              <w:t>2790,89%</w:t>
            </w:r>
          </w:p>
        </w:tc>
        <w:tc>
          <w:tcPr>
            <w:tcW w:w="1230" w:type="dxa"/>
            <w:vAlign w:val="center"/>
          </w:tcPr>
          <w:p w14:paraId="5DAC00F2" w14:textId="77777777" w:rsidR="00F33E5C" w:rsidRPr="00DB0F3D" w:rsidRDefault="00F33E5C" w:rsidP="000878F6">
            <w:pPr>
              <w:pStyle w:val="Table"/>
              <w:jc w:val="center"/>
              <w:rPr>
                <w:rFonts w:cstheme="minorHAnsi"/>
                <w:szCs w:val="20"/>
              </w:rPr>
            </w:pPr>
            <w:r w:rsidRPr="00DB0F3D">
              <w:rPr>
                <w:rFonts w:cstheme="minorHAnsi"/>
                <w:color w:val="000000"/>
                <w:szCs w:val="20"/>
              </w:rPr>
              <w:t>2776,00%</w:t>
            </w:r>
          </w:p>
        </w:tc>
      </w:tr>
      <w:tr w:rsidR="00F33E5C" w:rsidRPr="001840EB" w14:paraId="669D8F9C" w14:textId="77777777" w:rsidTr="00BA7936">
        <w:tc>
          <w:tcPr>
            <w:tcW w:w="2160" w:type="dxa"/>
          </w:tcPr>
          <w:p w14:paraId="4FFEF3E7" w14:textId="77777777" w:rsidR="00F33E5C" w:rsidRPr="001840EB" w:rsidRDefault="00F33E5C" w:rsidP="000878F6">
            <w:pPr>
              <w:pStyle w:val="Table"/>
            </w:pPr>
            <w:r w:rsidRPr="001840EB">
              <w:t>Minerals &amp; Aggregates</w:t>
            </w:r>
          </w:p>
        </w:tc>
        <w:tc>
          <w:tcPr>
            <w:tcW w:w="1080" w:type="dxa"/>
            <w:vAlign w:val="center"/>
          </w:tcPr>
          <w:p w14:paraId="02DFCA73" w14:textId="77777777" w:rsidR="00F33E5C" w:rsidRPr="00DB0F3D" w:rsidRDefault="00F33E5C" w:rsidP="000878F6">
            <w:pPr>
              <w:pStyle w:val="Table"/>
              <w:jc w:val="center"/>
              <w:rPr>
                <w:rFonts w:cstheme="minorHAnsi"/>
                <w:szCs w:val="20"/>
                <w:lang w:val="lt-LT"/>
              </w:rPr>
            </w:pPr>
            <w:r w:rsidRPr="00DB0F3D">
              <w:rPr>
                <w:rFonts w:cstheme="minorHAnsi"/>
                <w:color w:val="000000"/>
                <w:szCs w:val="20"/>
              </w:rPr>
              <w:t>-16,67%</w:t>
            </w:r>
          </w:p>
        </w:tc>
        <w:tc>
          <w:tcPr>
            <w:tcW w:w="1080" w:type="dxa"/>
            <w:vAlign w:val="center"/>
          </w:tcPr>
          <w:p w14:paraId="5E6655F9" w14:textId="77777777" w:rsidR="00F33E5C" w:rsidRPr="00DB0F3D" w:rsidRDefault="00F33E5C" w:rsidP="000878F6">
            <w:pPr>
              <w:pStyle w:val="Table"/>
              <w:jc w:val="center"/>
              <w:rPr>
                <w:rFonts w:cstheme="minorHAnsi"/>
                <w:szCs w:val="20"/>
              </w:rPr>
            </w:pPr>
            <w:r w:rsidRPr="00DB0F3D">
              <w:rPr>
                <w:rFonts w:cstheme="minorHAnsi"/>
                <w:color w:val="000000"/>
                <w:szCs w:val="20"/>
              </w:rPr>
              <w:t>-16,67%</w:t>
            </w:r>
          </w:p>
        </w:tc>
        <w:tc>
          <w:tcPr>
            <w:tcW w:w="990" w:type="dxa"/>
            <w:vAlign w:val="center"/>
          </w:tcPr>
          <w:p w14:paraId="16FD1425" w14:textId="77777777" w:rsidR="00F33E5C" w:rsidRPr="00DB0F3D" w:rsidRDefault="00F33E5C" w:rsidP="000878F6">
            <w:pPr>
              <w:pStyle w:val="Table"/>
              <w:jc w:val="center"/>
              <w:rPr>
                <w:rFonts w:cstheme="minorHAnsi"/>
                <w:szCs w:val="20"/>
              </w:rPr>
            </w:pPr>
            <w:r w:rsidRPr="00DB0F3D">
              <w:rPr>
                <w:rFonts w:cstheme="minorHAnsi"/>
                <w:color w:val="000000"/>
                <w:szCs w:val="20"/>
              </w:rPr>
              <w:t>614,62</w:t>
            </w:r>
          </w:p>
        </w:tc>
        <w:tc>
          <w:tcPr>
            <w:tcW w:w="1170" w:type="dxa"/>
            <w:vAlign w:val="center"/>
          </w:tcPr>
          <w:p w14:paraId="05FA7C07" w14:textId="77777777" w:rsidR="00F33E5C" w:rsidRPr="00DB0F3D" w:rsidRDefault="00F33E5C" w:rsidP="000878F6">
            <w:pPr>
              <w:pStyle w:val="Table"/>
              <w:jc w:val="center"/>
              <w:rPr>
                <w:rFonts w:cstheme="minorHAnsi"/>
                <w:szCs w:val="20"/>
              </w:rPr>
            </w:pPr>
            <w:r w:rsidRPr="00DB0F3D">
              <w:rPr>
                <w:rFonts w:cstheme="minorHAnsi"/>
                <w:color w:val="000000"/>
                <w:szCs w:val="20"/>
              </w:rPr>
              <w:t>775,39</w:t>
            </w:r>
          </w:p>
        </w:tc>
        <w:tc>
          <w:tcPr>
            <w:tcW w:w="1018" w:type="dxa"/>
            <w:vAlign w:val="center"/>
          </w:tcPr>
          <w:p w14:paraId="7574CEF0" w14:textId="77777777" w:rsidR="00F33E5C" w:rsidRPr="00DB0F3D" w:rsidRDefault="00F33E5C" w:rsidP="000878F6">
            <w:pPr>
              <w:pStyle w:val="Table"/>
              <w:jc w:val="center"/>
              <w:rPr>
                <w:rFonts w:cstheme="minorHAnsi"/>
                <w:szCs w:val="20"/>
              </w:rPr>
            </w:pPr>
            <w:r w:rsidRPr="00DB0F3D">
              <w:rPr>
                <w:rFonts w:cstheme="minorHAnsi"/>
                <w:color w:val="000000"/>
                <w:szCs w:val="20"/>
              </w:rPr>
              <w:t>2276,39%</w:t>
            </w:r>
          </w:p>
        </w:tc>
        <w:tc>
          <w:tcPr>
            <w:tcW w:w="1230" w:type="dxa"/>
            <w:vAlign w:val="center"/>
          </w:tcPr>
          <w:p w14:paraId="1D33C872" w14:textId="77777777" w:rsidR="00F33E5C" w:rsidRPr="00DB0F3D" w:rsidRDefault="00F33E5C" w:rsidP="000878F6">
            <w:pPr>
              <w:pStyle w:val="Table"/>
              <w:jc w:val="center"/>
              <w:rPr>
                <w:rFonts w:cstheme="minorHAnsi"/>
                <w:szCs w:val="20"/>
              </w:rPr>
            </w:pPr>
            <w:r w:rsidRPr="00DB0F3D">
              <w:rPr>
                <w:rFonts w:cstheme="minorHAnsi"/>
                <w:color w:val="000000"/>
                <w:szCs w:val="20"/>
              </w:rPr>
              <w:t>2871,82%</w:t>
            </w:r>
          </w:p>
        </w:tc>
      </w:tr>
    </w:tbl>
    <w:p w14:paraId="459B377A" w14:textId="77777777" w:rsidR="00F33E5C" w:rsidRDefault="00F33E5C" w:rsidP="00F33E5C">
      <w:pPr>
        <w:rPr>
          <w:lang w:eastAsia="en-GB"/>
        </w:rPr>
      </w:pP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018"/>
        <w:gridCol w:w="1230"/>
      </w:tblGrid>
      <w:tr w:rsidR="00F33E5C" w:rsidRPr="00C620EA" w14:paraId="5B970330" w14:textId="77777777" w:rsidTr="00BA7936">
        <w:trPr>
          <w:trHeight w:val="255"/>
        </w:trPr>
        <w:tc>
          <w:tcPr>
            <w:tcW w:w="8728" w:type="dxa"/>
            <w:gridSpan w:val="7"/>
            <w:shd w:val="clear" w:color="auto" w:fill="003399"/>
          </w:tcPr>
          <w:p w14:paraId="6EAC1B0F" w14:textId="421777EE" w:rsidR="00F33E5C" w:rsidRPr="00C620EA" w:rsidRDefault="00F33E5C" w:rsidP="000878F6">
            <w:pPr>
              <w:pStyle w:val="Table"/>
              <w:rPr>
                <w:b/>
                <w:szCs w:val="20"/>
                <w:lang w:eastAsia="en-GB"/>
              </w:rPr>
            </w:pPr>
            <w:r w:rsidRPr="00C620EA">
              <w:rPr>
                <w:b/>
                <w:color w:val="FFFFFF" w:themeColor="background1"/>
                <w:szCs w:val="20"/>
              </w:rPr>
              <w:t xml:space="preserve">Table </w:t>
            </w:r>
            <w:r w:rsidR="00490085">
              <w:rPr>
                <w:b/>
                <w:bCs/>
                <w:color w:val="FFFFFF" w:themeColor="background1"/>
                <w:szCs w:val="20"/>
              </w:rPr>
              <w:t>A6</w:t>
            </w:r>
            <w:r w:rsidRPr="00C620EA">
              <w:rPr>
                <w:b/>
                <w:bCs/>
                <w:color w:val="FFFFFF" w:themeColor="background1"/>
                <w:szCs w:val="20"/>
              </w:rPr>
              <w:t>-</w:t>
            </w:r>
            <w:r w:rsidRPr="00C620EA">
              <w:rPr>
                <w:b/>
                <w:bCs/>
                <w:color w:val="FFFFFF" w:themeColor="background1"/>
                <w:szCs w:val="20"/>
              </w:rPr>
              <w:fldChar w:fldCharType="begin"/>
            </w:r>
            <w:r w:rsidRPr="00C620EA">
              <w:rPr>
                <w:b/>
                <w:bCs/>
                <w:color w:val="FFFFFF" w:themeColor="background1"/>
                <w:szCs w:val="20"/>
              </w:rPr>
              <w:instrText xml:space="preserve"> SEQ Table_A5- \* ARABIC </w:instrText>
            </w:r>
            <w:r w:rsidRPr="00C620EA">
              <w:rPr>
                <w:b/>
                <w:bCs/>
                <w:color w:val="FFFFFF" w:themeColor="background1"/>
                <w:szCs w:val="20"/>
              </w:rPr>
              <w:fldChar w:fldCharType="separate"/>
            </w:r>
            <w:r>
              <w:rPr>
                <w:b/>
                <w:bCs/>
                <w:noProof/>
                <w:color w:val="FFFFFF" w:themeColor="background1"/>
                <w:szCs w:val="20"/>
              </w:rPr>
              <w:t>55</w:t>
            </w:r>
            <w:r w:rsidRPr="00C620EA">
              <w:rPr>
                <w:b/>
                <w:bCs/>
                <w:color w:val="FFFFFF" w:themeColor="background1"/>
                <w:szCs w:val="20"/>
              </w:rPr>
              <w:fldChar w:fldCharType="end"/>
            </w:r>
            <w:r w:rsidRPr="00C620EA">
              <w:rPr>
                <w:b/>
                <w:bCs/>
                <w:color w:val="FFFFFF" w:themeColor="background1"/>
                <w:szCs w:val="20"/>
                <w:lang w:eastAsia="en-GB"/>
              </w:rPr>
              <w:t>:</w:t>
            </w:r>
            <w:r w:rsidRPr="00C620EA">
              <w:rPr>
                <w:b/>
                <w:color w:val="FFFFFF" w:themeColor="background1"/>
                <w:szCs w:val="20"/>
                <w:lang w:eastAsia="en-GB"/>
              </w:rPr>
              <w:t xml:space="preserve"> Environmental Impacts and Revenue Changes in Finland – Scenario B</w:t>
            </w:r>
          </w:p>
        </w:tc>
      </w:tr>
      <w:tr w:rsidR="00F33E5C" w:rsidRPr="00C620EA" w14:paraId="2E5B2CED" w14:textId="77777777" w:rsidTr="00BA7936">
        <w:tc>
          <w:tcPr>
            <w:tcW w:w="2160" w:type="dxa"/>
          </w:tcPr>
          <w:p w14:paraId="4B622220" w14:textId="77777777" w:rsidR="00F33E5C" w:rsidRPr="00C620EA" w:rsidRDefault="00F33E5C" w:rsidP="000878F6">
            <w:pPr>
              <w:pStyle w:val="Table"/>
              <w:rPr>
                <w:b/>
                <w:szCs w:val="20"/>
              </w:rPr>
            </w:pPr>
            <w:r w:rsidRPr="00C620EA">
              <w:rPr>
                <w:b/>
                <w:szCs w:val="20"/>
              </w:rPr>
              <w:t>Tax Name</w:t>
            </w:r>
          </w:p>
        </w:tc>
        <w:tc>
          <w:tcPr>
            <w:tcW w:w="2160" w:type="dxa"/>
            <w:gridSpan w:val="2"/>
            <w:vAlign w:val="bottom"/>
          </w:tcPr>
          <w:p w14:paraId="0EC40FBA" w14:textId="77777777" w:rsidR="00F33E5C" w:rsidRPr="00C620EA" w:rsidRDefault="00F33E5C" w:rsidP="000878F6">
            <w:pPr>
              <w:pStyle w:val="Table"/>
              <w:jc w:val="center"/>
              <w:rPr>
                <w:rFonts w:cstheme="minorHAnsi"/>
                <w:b/>
                <w:szCs w:val="20"/>
              </w:rPr>
            </w:pPr>
            <w:r w:rsidRPr="00C620EA">
              <w:rPr>
                <w:rFonts w:ascii="Calibri" w:hAnsi="Calibri" w:cs="Calibri"/>
                <w:b/>
                <w:bCs/>
                <w:color w:val="000000"/>
                <w:szCs w:val="20"/>
              </w:rPr>
              <w:t>% Change in Quantities as % of taxed sector</w:t>
            </w:r>
          </w:p>
        </w:tc>
        <w:tc>
          <w:tcPr>
            <w:tcW w:w="2160" w:type="dxa"/>
            <w:gridSpan w:val="2"/>
            <w:vAlign w:val="bottom"/>
          </w:tcPr>
          <w:p w14:paraId="129C0DD7" w14:textId="77777777" w:rsidR="00F33E5C" w:rsidRPr="00C620EA" w:rsidRDefault="00F33E5C" w:rsidP="000878F6">
            <w:pPr>
              <w:pStyle w:val="Table"/>
              <w:jc w:val="center"/>
              <w:rPr>
                <w:rFonts w:cstheme="minorHAnsi"/>
                <w:b/>
                <w:szCs w:val="20"/>
              </w:rPr>
            </w:pPr>
            <w:r w:rsidRPr="00C620EA">
              <w:rPr>
                <w:rFonts w:ascii="Calibri" w:hAnsi="Calibri" w:cs="Calibri"/>
                <w:b/>
                <w:bCs/>
                <w:color w:val="000000"/>
                <w:szCs w:val="20"/>
              </w:rPr>
              <w:t>Change in Revenues (€Mn)</w:t>
            </w:r>
          </w:p>
        </w:tc>
        <w:tc>
          <w:tcPr>
            <w:tcW w:w="2248" w:type="dxa"/>
            <w:gridSpan w:val="2"/>
            <w:vAlign w:val="bottom"/>
          </w:tcPr>
          <w:p w14:paraId="07CBBE96" w14:textId="77777777" w:rsidR="00F33E5C" w:rsidRPr="00C620EA" w:rsidRDefault="00F33E5C" w:rsidP="000878F6">
            <w:pPr>
              <w:pStyle w:val="Table"/>
              <w:jc w:val="center"/>
              <w:rPr>
                <w:rFonts w:cstheme="minorHAnsi"/>
                <w:b/>
                <w:szCs w:val="20"/>
              </w:rPr>
            </w:pPr>
            <w:r w:rsidRPr="00C620EA">
              <w:rPr>
                <w:rFonts w:ascii="Calibri" w:hAnsi="Calibri" w:cs="Calibri"/>
                <w:b/>
                <w:bCs/>
                <w:color w:val="000000"/>
                <w:szCs w:val="20"/>
              </w:rPr>
              <w:t>As % of 2023 Resource Tax</w:t>
            </w:r>
          </w:p>
        </w:tc>
      </w:tr>
      <w:tr w:rsidR="00F33E5C" w:rsidRPr="00C620EA" w14:paraId="6707FF31" w14:textId="77777777" w:rsidTr="00BA7936">
        <w:tc>
          <w:tcPr>
            <w:tcW w:w="2160" w:type="dxa"/>
          </w:tcPr>
          <w:p w14:paraId="7AD74EEB" w14:textId="77777777" w:rsidR="00F33E5C" w:rsidRPr="00C620EA" w:rsidRDefault="00F33E5C" w:rsidP="000878F6">
            <w:pPr>
              <w:pStyle w:val="Table"/>
              <w:rPr>
                <w:b/>
                <w:szCs w:val="20"/>
              </w:rPr>
            </w:pPr>
            <w:r w:rsidRPr="00C620EA">
              <w:rPr>
                <w:b/>
                <w:szCs w:val="20"/>
              </w:rPr>
              <w:t>Year</w:t>
            </w:r>
          </w:p>
        </w:tc>
        <w:tc>
          <w:tcPr>
            <w:tcW w:w="1080" w:type="dxa"/>
          </w:tcPr>
          <w:p w14:paraId="30FB90DF" w14:textId="77777777" w:rsidR="00F33E5C" w:rsidRPr="00C620EA" w:rsidRDefault="00F33E5C" w:rsidP="000878F6">
            <w:pPr>
              <w:pStyle w:val="Table"/>
              <w:jc w:val="center"/>
              <w:rPr>
                <w:rFonts w:cstheme="minorHAnsi"/>
                <w:b/>
                <w:szCs w:val="20"/>
              </w:rPr>
            </w:pPr>
            <w:r w:rsidRPr="00C620EA">
              <w:rPr>
                <w:rFonts w:cstheme="minorHAnsi"/>
                <w:b/>
                <w:szCs w:val="20"/>
              </w:rPr>
              <w:t>2030</w:t>
            </w:r>
          </w:p>
        </w:tc>
        <w:tc>
          <w:tcPr>
            <w:tcW w:w="1080" w:type="dxa"/>
          </w:tcPr>
          <w:p w14:paraId="3DF18C76" w14:textId="77777777" w:rsidR="00F33E5C" w:rsidRPr="00C620EA" w:rsidRDefault="00F33E5C" w:rsidP="000878F6">
            <w:pPr>
              <w:pStyle w:val="Table"/>
              <w:jc w:val="center"/>
              <w:rPr>
                <w:rFonts w:cstheme="minorHAnsi"/>
                <w:b/>
                <w:szCs w:val="20"/>
              </w:rPr>
            </w:pPr>
            <w:r w:rsidRPr="00C620EA">
              <w:rPr>
                <w:rFonts w:cstheme="minorHAnsi"/>
                <w:b/>
                <w:szCs w:val="20"/>
              </w:rPr>
              <w:t>2035</w:t>
            </w:r>
          </w:p>
        </w:tc>
        <w:tc>
          <w:tcPr>
            <w:tcW w:w="990" w:type="dxa"/>
          </w:tcPr>
          <w:p w14:paraId="76A64F59" w14:textId="77777777" w:rsidR="00F33E5C" w:rsidRPr="00C620EA" w:rsidRDefault="00F33E5C" w:rsidP="000878F6">
            <w:pPr>
              <w:pStyle w:val="Table"/>
              <w:jc w:val="center"/>
              <w:rPr>
                <w:rFonts w:cstheme="minorHAnsi"/>
                <w:b/>
                <w:szCs w:val="20"/>
              </w:rPr>
            </w:pPr>
            <w:r w:rsidRPr="00C620EA">
              <w:rPr>
                <w:rFonts w:cstheme="minorHAnsi"/>
                <w:b/>
                <w:szCs w:val="20"/>
              </w:rPr>
              <w:t>2030</w:t>
            </w:r>
          </w:p>
        </w:tc>
        <w:tc>
          <w:tcPr>
            <w:tcW w:w="1170" w:type="dxa"/>
          </w:tcPr>
          <w:p w14:paraId="653F0A48" w14:textId="77777777" w:rsidR="00F33E5C" w:rsidRPr="00C620EA" w:rsidRDefault="00F33E5C" w:rsidP="000878F6">
            <w:pPr>
              <w:pStyle w:val="Table"/>
              <w:jc w:val="center"/>
              <w:rPr>
                <w:rFonts w:cstheme="minorHAnsi"/>
                <w:b/>
                <w:szCs w:val="20"/>
              </w:rPr>
            </w:pPr>
            <w:r w:rsidRPr="00C620EA">
              <w:rPr>
                <w:rFonts w:cstheme="minorHAnsi"/>
                <w:b/>
                <w:szCs w:val="20"/>
              </w:rPr>
              <w:t>2035</w:t>
            </w:r>
          </w:p>
        </w:tc>
        <w:tc>
          <w:tcPr>
            <w:tcW w:w="1018" w:type="dxa"/>
          </w:tcPr>
          <w:p w14:paraId="3E7A5D39" w14:textId="77777777" w:rsidR="00F33E5C" w:rsidRPr="00C620EA" w:rsidRDefault="00F33E5C" w:rsidP="000878F6">
            <w:pPr>
              <w:pStyle w:val="Table"/>
              <w:jc w:val="center"/>
              <w:rPr>
                <w:rFonts w:cstheme="minorHAnsi"/>
                <w:b/>
                <w:szCs w:val="20"/>
              </w:rPr>
            </w:pPr>
            <w:r w:rsidRPr="00C620EA">
              <w:rPr>
                <w:rFonts w:cstheme="minorHAnsi"/>
                <w:b/>
                <w:szCs w:val="20"/>
              </w:rPr>
              <w:t>2030</w:t>
            </w:r>
          </w:p>
        </w:tc>
        <w:tc>
          <w:tcPr>
            <w:tcW w:w="1230" w:type="dxa"/>
          </w:tcPr>
          <w:p w14:paraId="77573137" w14:textId="77777777" w:rsidR="00F33E5C" w:rsidRPr="00C620EA" w:rsidRDefault="00F33E5C" w:rsidP="000878F6">
            <w:pPr>
              <w:pStyle w:val="Table"/>
              <w:jc w:val="center"/>
              <w:rPr>
                <w:rFonts w:cstheme="minorHAnsi"/>
                <w:b/>
                <w:szCs w:val="20"/>
              </w:rPr>
            </w:pPr>
            <w:r w:rsidRPr="00C620EA">
              <w:rPr>
                <w:rFonts w:cstheme="minorHAnsi"/>
                <w:b/>
                <w:szCs w:val="20"/>
              </w:rPr>
              <w:t>2035</w:t>
            </w:r>
          </w:p>
        </w:tc>
      </w:tr>
      <w:tr w:rsidR="00F33E5C" w:rsidRPr="00C620EA" w14:paraId="1A18604D" w14:textId="77777777" w:rsidTr="00BA7936">
        <w:tc>
          <w:tcPr>
            <w:tcW w:w="2160" w:type="dxa"/>
          </w:tcPr>
          <w:p w14:paraId="38D5F084" w14:textId="77777777" w:rsidR="00F33E5C" w:rsidRPr="00C620EA" w:rsidRDefault="00F33E5C" w:rsidP="000878F6">
            <w:pPr>
              <w:pStyle w:val="Table"/>
              <w:rPr>
                <w:szCs w:val="20"/>
              </w:rPr>
            </w:pPr>
            <w:r w:rsidRPr="00C620EA">
              <w:rPr>
                <w:szCs w:val="20"/>
              </w:rPr>
              <w:t>NOx</w:t>
            </w:r>
          </w:p>
        </w:tc>
        <w:tc>
          <w:tcPr>
            <w:tcW w:w="1080" w:type="dxa"/>
            <w:vAlign w:val="center"/>
          </w:tcPr>
          <w:p w14:paraId="0278B925"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-7,39%</w:t>
            </w:r>
          </w:p>
        </w:tc>
        <w:tc>
          <w:tcPr>
            <w:tcW w:w="1080" w:type="dxa"/>
            <w:vAlign w:val="center"/>
          </w:tcPr>
          <w:p w14:paraId="6C6374F7"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-7,39%</w:t>
            </w:r>
          </w:p>
        </w:tc>
        <w:tc>
          <w:tcPr>
            <w:tcW w:w="990" w:type="dxa"/>
            <w:vAlign w:val="center"/>
          </w:tcPr>
          <w:p w14:paraId="3E8B0E3C"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0,32</w:t>
            </w:r>
          </w:p>
        </w:tc>
        <w:tc>
          <w:tcPr>
            <w:tcW w:w="1170" w:type="dxa"/>
            <w:vAlign w:val="center"/>
          </w:tcPr>
          <w:p w14:paraId="77ADF0C8"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0,23</w:t>
            </w:r>
          </w:p>
        </w:tc>
        <w:tc>
          <w:tcPr>
            <w:tcW w:w="1018" w:type="dxa"/>
            <w:vAlign w:val="center"/>
          </w:tcPr>
          <w:p w14:paraId="66FB1274"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1,8%</w:t>
            </w:r>
          </w:p>
        </w:tc>
        <w:tc>
          <w:tcPr>
            <w:tcW w:w="1230" w:type="dxa"/>
            <w:vAlign w:val="center"/>
          </w:tcPr>
          <w:p w14:paraId="48FFD843"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1,3%</w:t>
            </w:r>
          </w:p>
        </w:tc>
      </w:tr>
      <w:tr w:rsidR="00F33E5C" w:rsidRPr="00C620EA" w14:paraId="3F16EC3C" w14:textId="77777777" w:rsidTr="00BA7936">
        <w:tc>
          <w:tcPr>
            <w:tcW w:w="2160" w:type="dxa"/>
          </w:tcPr>
          <w:p w14:paraId="34333B45" w14:textId="77777777" w:rsidR="00F33E5C" w:rsidRPr="00C620EA" w:rsidRDefault="00F33E5C" w:rsidP="000878F6">
            <w:pPr>
              <w:pStyle w:val="Table"/>
              <w:rPr>
                <w:szCs w:val="20"/>
              </w:rPr>
            </w:pPr>
            <w:r w:rsidRPr="00C620EA">
              <w:rPr>
                <w:szCs w:val="20"/>
              </w:rPr>
              <w:t>SO2</w:t>
            </w:r>
          </w:p>
        </w:tc>
        <w:tc>
          <w:tcPr>
            <w:tcW w:w="1080" w:type="dxa"/>
            <w:vAlign w:val="center"/>
          </w:tcPr>
          <w:p w14:paraId="2C75A2FB"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-8,11%</w:t>
            </w:r>
          </w:p>
        </w:tc>
        <w:tc>
          <w:tcPr>
            <w:tcW w:w="1080" w:type="dxa"/>
            <w:vAlign w:val="center"/>
          </w:tcPr>
          <w:p w14:paraId="37FA33A7"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-8,11%</w:t>
            </w:r>
          </w:p>
        </w:tc>
        <w:tc>
          <w:tcPr>
            <w:tcW w:w="990" w:type="dxa"/>
            <w:vAlign w:val="center"/>
          </w:tcPr>
          <w:p w14:paraId="149C578D"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3,26</w:t>
            </w:r>
          </w:p>
        </w:tc>
        <w:tc>
          <w:tcPr>
            <w:tcW w:w="1170" w:type="dxa"/>
            <w:vAlign w:val="center"/>
          </w:tcPr>
          <w:p w14:paraId="4CD77372"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2,25</w:t>
            </w:r>
          </w:p>
        </w:tc>
        <w:tc>
          <w:tcPr>
            <w:tcW w:w="1018" w:type="dxa"/>
            <w:vAlign w:val="center"/>
          </w:tcPr>
          <w:p w14:paraId="0074B13D"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18,1%</w:t>
            </w:r>
          </w:p>
        </w:tc>
        <w:tc>
          <w:tcPr>
            <w:tcW w:w="1230" w:type="dxa"/>
            <w:vAlign w:val="center"/>
          </w:tcPr>
          <w:p w14:paraId="17C015F4"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12,5%</w:t>
            </w:r>
          </w:p>
        </w:tc>
      </w:tr>
      <w:tr w:rsidR="00F33E5C" w:rsidRPr="00C620EA" w14:paraId="401A02EF" w14:textId="77777777" w:rsidTr="00BA7936">
        <w:tc>
          <w:tcPr>
            <w:tcW w:w="2160" w:type="dxa"/>
          </w:tcPr>
          <w:p w14:paraId="6D71A0C9" w14:textId="77777777" w:rsidR="00F33E5C" w:rsidRPr="00C620EA" w:rsidRDefault="00F33E5C" w:rsidP="000878F6">
            <w:pPr>
              <w:pStyle w:val="Table"/>
              <w:rPr>
                <w:szCs w:val="20"/>
              </w:rPr>
            </w:pPr>
            <w:r w:rsidRPr="00C620EA">
              <w:rPr>
                <w:szCs w:val="20"/>
              </w:rPr>
              <w:t>PM2.5</w:t>
            </w:r>
          </w:p>
        </w:tc>
        <w:tc>
          <w:tcPr>
            <w:tcW w:w="1080" w:type="dxa"/>
            <w:vAlign w:val="center"/>
          </w:tcPr>
          <w:p w14:paraId="3B321F3A"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-7,39%</w:t>
            </w:r>
          </w:p>
        </w:tc>
        <w:tc>
          <w:tcPr>
            <w:tcW w:w="1080" w:type="dxa"/>
            <w:vAlign w:val="center"/>
          </w:tcPr>
          <w:p w14:paraId="0CE4D69B"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-7,39%</w:t>
            </w:r>
          </w:p>
        </w:tc>
        <w:tc>
          <w:tcPr>
            <w:tcW w:w="990" w:type="dxa"/>
            <w:vAlign w:val="center"/>
          </w:tcPr>
          <w:p w14:paraId="4209A651"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0,50</w:t>
            </w:r>
          </w:p>
        </w:tc>
        <w:tc>
          <w:tcPr>
            <w:tcW w:w="1170" w:type="dxa"/>
            <w:vAlign w:val="center"/>
          </w:tcPr>
          <w:p w14:paraId="073E3923"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0,36</w:t>
            </w:r>
          </w:p>
        </w:tc>
        <w:tc>
          <w:tcPr>
            <w:tcW w:w="1018" w:type="dxa"/>
            <w:vAlign w:val="center"/>
          </w:tcPr>
          <w:p w14:paraId="7922A0AB"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2,8%</w:t>
            </w:r>
          </w:p>
        </w:tc>
        <w:tc>
          <w:tcPr>
            <w:tcW w:w="1230" w:type="dxa"/>
            <w:vAlign w:val="center"/>
          </w:tcPr>
          <w:p w14:paraId="407ABFB9"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2,0%</w:t>
            </w:r>
          </w:p>
        </w:tc>
      </w:tr>
      <w:tr w:rsidR="00F33E5C" w:rsidRPr="00C620EA" w14:paraId="05DB5768" w14:textId="77777777" w:rsidTr="00BA7936">
        <w:tc>
          <w:tcPr>
            <w:tcW w:w="2160" w:type="dxa"/>
          </w:tcPr>
          <w:p w14:paraId="40EF65CA" w14:textId="77777777" w:rsidR="00F33E5C" w:rsidRPr="00C620EA" w:rsidRDefault="00F33E5C" w:rsidP="000878F6">
            <w:pPr>
              <w:pStyle w:val="Table"/>
              <w:rPr>
                <w:szCs w:val="20"/>
              </w:rPr>
            </w:pPr>
            <w:r w:rsidRPr="00C620EA">
              <w:rPr>
                <w:szCs w:val="20"/>
              </w:rPr>
              <w:t>Water Abstraction</w:t>
            </w:r>
          </w:p>
        </w:tc>
        <w:tc>
          <w:tcPr>
            <w:tcW w:w="1080" w:type="dxa"/>
            <w:vAlign w:val="center"/>
          </w:tcPr>
          <w:p w14:paraId="3B20BD7E"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-6,53%</w:t>
            </w:r>
          </w:p>
        </w:tc>
        <w:tc>
          <w:tcPr>
            <w:tcW w:w="1080" w:type="dxa"/>
            <w:vAlign w:val="center"/>
          </w:tcPr>
          <w:p w14:paraId="72124CB5"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-6,53%</w:t>
            </w:r>
          </w:p>
        </w:tc>
        <w:tc>
          <w:tcPr>
            <w:tcW w:w="990" w:type="dxa"/>
            <w:vAlign w:val="center"/>
          </w:tcPr>
          <w:p w14:paraId="4315B5F6"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10,13</w:t>
            </w:r>
          </w:p>
        </w:tc>
        <w:tc>
          <w:tcPr>
            <w:tcW w:w="1170" w:type="dxa"/>
            <w:vAlign w:val="center"/>
          </w:tcPr>
          <w:p w14:paraId="32F28219"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9,72</w:t>
            </w:r>
          </w:p>
        </w:tc>
        <w:tc>
          <w:tcPr>
            <w:tcW w:w="1018" w:type="dxa"/>
            <w:vAlign w:val="center"/>
          </w:tcPr>
          <w:p w14:paraId="1C75C9DB"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23,0%</w:t>
            </w:r>
          </w:p>
        </w:tc>
        <w:tc>
          <w:tcPr>
            <w:tcW w:w="1230" w:type="dxa"/>
            <w:vAlign w:val="center"/>
          </w:tcPr>
          <w:p w14:paraId="6DCDA90D"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22,1%</w:t>
            </w:r>
          </w:p>
        </w:tc>
      </w:tr>
      <w:tr w:rsidR="00F33E5C" w:rsidRPr="00C620EA" w14:paraId="4907BFE4" w14:textId="77777777" w:rsidTr="00BA7936">
        <w:tc>
          <w:tcPr>
            <w:tcW w:w="2160" w:type="dxa"/>
          </w:tcPr>
          <w:p w14:paraId="4AB4D1AD" w14:textId="77777777" w:rsidR="00F33E5C" w:rsidRPr="00C620EA" w:rsidRDefault="00F33E5C" w:rsidP="000878F6">
            <w:pPr>
              <w:pStyle w:val="Table"/>
              <w:rPr>
                <w:szCs w:val="20"/>
              </w:rPr>
            </w:pPr>
            <w:r w:rsidRPr="00C620EA">
              <w:rPr>
                <w:szCs w:val="20"/>
              </w:rPr>
              <w:t>Fertilizers</w:t>
            </w:r>
          </w:p>
        </w:tc>
        <w:tc>
          <w:tcPr>
            <w:tcW w:w="1080" w:type="dxa"/>
            <w:vAlign w:val="center"/>
          </w:tcPr>
          <w:p w14:paraId="15DCA9B9"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-5,99%</w:t>
            </w:r>
          </w:p>
        </w:tc>
        <w:tc>
          <w:tcPr>
            <w:tcW w:w="1080" w:type="dxa"/>
            <w:vAlign w:val="center"/>
          </w:tcPr>
          <w:p w14:paraId="4D67E9CF"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-5,99%</w:t>
            </w:r>
          </w:p>
        </w:tc>
        <w:tc>
          <w:tcPr>
            <w:tcW w:w="990" w:type="dxa"/>
            <w:vAlign w:val="center"/>
          </w:tcPr>
          <w:p w14:paraId="26818E9B"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3,27</w:t>
            </w:r>
          </w:p>
        </w:tc>
        <w:tc>
          <w:tcPr>
            <w:tcW w:w="1170" w:type="dxa"/>
            <w:vAlign w:val="center"/>
          </w:tcPr>
          <w:p w14:paraId="53489312"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3,31</w:t>
            </w:r>
          </w:p>
        </w:tc>
        <w:tc>
          <w:tcPr>
            <w:tcW w:w="1018" w:type="dxa"/>
            <w:vAlign w:val="center"/>
          </w:tcPr>
          <w:p w14:paraId="223EED50"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18,1%</w:t>
            </w:r>
          </w:p>
        </w:tc>
        <w:tc>
          <w:tcPr>
            <w:tcW w:w="1230" w:type="dxa"/>
            <w:vAlign w:val="center"/>
          </w:tcPr>
          <w:p w14:paraId="6322CC62"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18,4%</w:t>
            </w:r>
          </w:p>
        </w:tc>
      </w:tr>
      <w:tr w:rsidR="00F33E5C" w:rsidRPr="00C620EA" w14:paraId="09197105" w14:textId="77777777" w:rsidTr="00BA7936">
        <w:tc>
          <w:tcPr>
            <w:tcW w:w="2160" w:type="dxa"/>
          </w:tcPr>
          <w:p w14:paraId="49596412" w14:textId="77777777" w:rsidR="00F33E5C" w:rsidRPr="00C620EA" w:rsidRDefault="00F33E5C" w:rsidP="000878F6">
            <w:pPr>
              <w:pStyle w:val="Table"/>
              <w:rPr>
                <w:szCs w:val="20"/>
              </w:rPr>
            </w:pPr>
            <w:r w:rsidRPr="00C620EA">
              <w:rPr>
                <w:szCs w:val="20"/>
              </w:rPr>
              <w:t>Pesticides</w:t>
            </w:r>
          </w:p>
        </w:tc>
        <w:tc>
          <w:tcPr>
            <w:tcW w:w="1080" w:type="dxa"/>
            <w:vAlign w:val="center"/>
          </w:tcPr>
          <w:p w14:paraId="0560E301"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n/a</w:t>
            </w:r>
          </w:p>
        </w:tc>
        <w:tc>
          <w:tcPr>
            <w:tcW w:w="1080" w:type="dxa"/>
            <w:vAlign w:val="center"/>
          </w:tcPr>
          <w:p w14:paraId="70F15662"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n/a</w:t>
            </w:r>
          </w:p>
        </w:tc>
        <w:tc>
          <w:tcPr>
            <w:tcW w:w="990" w:type="dxa"/>
            <w:vAlign w:val="center"/>
          </w:tcPr>
          <w:p w14:paraId="758BD034"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11,43</w:t>
            </w:r>
          </w:p>
        </w:tc>
        <w:tc>
          <w:tcPr>
            <w:tcW w:w="1170" w:type="dxa"/>
            <w:vAlign w:val="center"/>
          </w:tcPr>
          <w:p w14:paraId="0FBF5C98"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11,41</w:t>
            </w:r>
          </w:p>
        </w:tc>
        <w:tc>
          <w:tcPr>
            <w:tcW w:w="1018" w:type="dxa"/>
            <w:vAlign w:val="center"/>
          </w:tcPr>
          <w:p w14:paraId="3B4FF6E1"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63,5%</w:t>
            </w:r>
          </w:p>
        </w:tc>
        <w:tc>
          <w:tcPr>
            <w:tcW w:w="1230" w:type="dxa"/>
            <w:vAlign w:val="center"/>
          </w:tcPr>
          <w:p w14:paraId="05BEF068"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63,4%</w:t>
            </w:r>
          </w:p>
        </w:tc>
      </w:tr>
      <w:tr w:rsidR="00F33E5C" w:rsidRPr="00C620EA" w14:paraId="5366F92C" w14:textId="77777777" w:rsidTr="00BA7936">
        <w:tc>
          <w:tcPr>
            <w:tcW w:w="2160" w:type="dxa"/>
          </w:tcPr>
          <w:p w14:paraId="301178E0" w14:textId="77777777" w:rsidR="00F33E5C" w:rsidRPr="00C620EA" w:rsidRDefault="00F33E5C" w:rsidP="000878F6">
            <w:pPr>
              <w:pStyle w:val="Table"/>
              <w:rPr>
                <w:szCs w:val="20"/>
              </w:rPr>
            </w:pPr>
            <w:r w:rsidRPr="00C620EA">
              <w:rPr>
                <w:szCs w:val="20"/>
              </w:rPr>
              <w:t>Waste Incineration</w:t>
            </w:r>
          </w:p>
        </w:tc>
        <w:tc>
          <w:tcPr>
            <w:tcW w:w="1080" w:type="dxa"/>
            <w:vAlign w:val="center"/>
          </w:tcPr>
          <w:p w14:paraId="2956FBB9"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-8,31%</w:t>
            </w:r>
          </w:p>
        </w:tc>
        <w:tc>
          <w:tcPr>
            <w:tcW w:w="1080" w:type="dxa"/>
            <w:vAlign w:val="center"/>
          </w:tcPr>
          <w:p w14:paraId="0903B397"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-8,31%</w:t>
            </w:r>
          </w:p>
        </w:tc>
        <w:tc>
          <w:tcPr>
            <w:tcW w:w="990" w:type="dxa"/>
            <w:vAlign w:val="center"/>
          </w:tcPr>
          <w:p w14:paraId="6E0D50FD"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1,54</w:t>
            </w:r>
          </w:p>
        </w:tc>
        <w:tc>
          <w:tcPr>
            <w:tcW w:w="1170" w:type="dxa"/>
            <w:vAlign w:val="center"/>
          </w:tcPr>
          <w:p w14:paraId="0FE8EF67"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1,49</w:t>
            </w:r>
          </w:p>
        </w:tc>
        <w:tc>
          <w:tcPr>
            <w:tcW w:w="1018" w:type="dxa"/>
            <w:vAlign w:val="center"/>
          </w:tcPr>
          <w:p w14:paraId="7634EEB3"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8,6%</w:t>
            </w:r>
          </w:p>
        </w:tc>
        <w:tc>
          <w:tcPr>
            <w:tcW w:w="1230" w:type="dxa"/>
            <w:vAlign w:val="center"/>
          </w:tcPr>
          <w:p w14:paraId="67B63047"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8,3%</w:t>
            </w:r>
          </w:p>
        </w:tc>
      </w:tr>
      <w:tr w:rsidR="00F33E5C" w:rsidRPr="00C620EA" w14:paraId="1D7B242D" w14:textId="77777777" w:rsidTr="00BA7936">
        <w:tc>
          <w:tcPr>
            <w:tcW w:w="2160" w:type="dxa"/>
          </w:tcPr>
          <w:p w14:paraId="3071DD9C" w14:textId="77777777" w:rsidR="00F33E5C" w:rsidRPr="00C620EA" w:rsidRDefault="00F33E5C" w:rsidP="000878F6">
            <w:pPr>
              <w:pStyle w:val="Table"/>
              <w:rPr>
                <w:szCs w:val="20"/>
              </w:rPr>
            </w:pPr>
            <w:r w:rsidRPr="00C620EA">
              <w:rPr>
                <w:szCs w:val="20"/>
              </w:rPr>
              <w:t>Waste to Landfill</w:t>
            </w:r>
          </w:p>
        </w:tc>
        <w:tc>
          <w:tcPr>
            <w:tcW w:w="1080" w:type="dxa"/>
            <w:vAlign w:val="center"/>
          </w:tcPr>
          <w:p w14:paraId="1B4F6E3C"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0,00%</w:t>
            </w:r>
          </w:p>
        </w:tc>
        <w:tc>
          <w:tcPr>
            <w:tcW w:w="1080" w:type="dxa"/>
            <w:vAlign w:val="center"/>
          </w:tcPr>
          <w:p w14:paraId="5144AEFD"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0,00%</w:t>
            </w:r>
          </w:p>
        </w:tc>
        <w:tc>
          <w:tcPr>
            <w:tcW w:w="990" w:type="dxa"/>
            <w:vAlign w:val="center"/>
          </w:tcPr>
          <w:p w14:paraId="52FA0CC8"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0,00</w:t>
            </w:r>
          </w:p>
        </w:tc>
        <w:tc>
          <w:tcPr>
            <w:tcW w:w="1170" w:type="dxa"/>
            <w:vAlign w:val="center"/>
          </w:tcPr>
          <w:p w14:paraId="5DC92B92"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0,00</w:t>
            </w:r>
          </w:p>
        </w:tc>
        <w:tc>
          <w:tcPr>
            <w:tcW w:w="1018" w:type="dxa"/>
            <w:vAlign w:val="center"/>
          </w:tcPr>
          <w:p w14:paraId="099974DB"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0,0%</w:t>
            </w:r>
          </w:p>
        </w:tc>
        <w:tc>
          <w:tcPr>
            <w:tcW w:w="1230" w:type="dxa"/>
            <w:vAlign w:val="center"/>
          </w:tcPr>
          <w:p w14:paraId="5F24AFDA"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0,0%</w:t>
            </w:r>
          </w:p>
        </w:tc>
      </w:tr>
      <w:tr w:rsidR="00F33E5C" w:rsidRPr="00C620EA" w14:paraId="31A9C534" w14:textId="77777777" w:rsidTr="00BA7936">
        <w:tc>
          <w:tcPr>
            <w:tcW w:w="2160" w:type="dxa"/>
          </w:tcPr>
          <w:p w14:paraId="18278DFE" w14:textId="77777777" w:rsidR="00F33E5C" w:rsidRPr="00C620EA" w:rsidRDefault="00F33E5C" w:rsidP="000878F6">
            <w:pPr>
              <w:pStyle w:val="Table"/>
              <w:rPr>
                <w:szCs w:val="20"/>
              </w:rPr>
            </w:pPr>
            <w:r w:rsidRPr="00C620EA">
              <w:rPr>
                <w:szCs w:val="20"/>
              </w:rPr>
              <w:t>Water Effluent</w:t>
            </w:r>
          </w:p>
        </w:tc>
        <w:tc>
          <w:tcPr>
            <w:tcW w:w="1080" w:type="dxa"/>
            <w:vAlign w:val="center"/>
          </w:tcPr>
          <w:p w14:paraId="407F133A"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-5,67%</w:t>
            </w:r>
          </w:p>
        </w:tc>
        <w:tc>
          <w:tcPr>
            <w:tcW w:w="1080" w:type="dxa"/>
            <w:vAlign w:val="center"/>
          </w:tcPr>
          <w:p w14:paraId="66117C9F"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-5,67%</w:t>
            </w:r>
          </w:p>
        </w:tc>
        <w:tc>
          <w:tcPr>
            <w:tcW w:w="990" w:type="dxa"/>
            <w:vAlign w:val="center"/>
          </w:tcPr>
          <w:p w14:paraId="47E6D6D3"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325,00</w:t>
            </w:r>
          </w:p>
        </w:tc>
        <w:tc>
          <w:tcPr>
            <w:tcW w:w="1170" w:type="dxa"/>
            <w:vAlign w:val="center"/>
          </w:tcPr>
          <w:p w14:paraId="7DCC282D"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323,27</w:t>
            </w:r>
          </w:p>
        </w:tc>
        <w:tc>
          <w:tcPr>
            <w:tcW w:w="1018" w:type="dxa"/>
            <w:vAlign w:val="center"/>
          </w:tcPr>
          <w:p w14:paraId="1C2E4A26"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1805,6%</w:t>
            </w:r>
          </w:p>
        </w:tc>
        <w:tc>
          <w:tcPr>
            <w:tcW w:w="1230" w:type="dxa"/>
            <w:vAlign w:val="center"/>
          </w:tcPr>
          <w:p w14:paraId="36DF5AC3"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1796,0%</w:t>
            </w:r>
          </w:p>
        </w:tc>
      </w:tr>
      <w:tr w:rsidR="00F33E5C" w:rsidRPr="00C620EA" w14:paraId="04CA8E71" w14:textId="77777777" w:rsidTr="00BA7936">
        <w:tc>
          <w:tcPr>
            <w:tcW w:w="2160" w:type="dxa"/>
          </w:tcPr>
          <w:p w14:paraId="58FF37FA" w14:textId="77777777" w:rsidR="00F33E5C" w:rsidRPr="00C620EA" w:rsidRDefault="00F33E5C" w:rsidP="000878F6">
            <w:pPr>
              <w:pStyle w:val="Table"/>
              <w:rPr>
                <w:szCs w:val="20"/>
              </w:rPr>
            </w:pPr>
            <w:r w:rsidRPr="00C620EA">
              <w:rPr>
                <w:szCs w:val="20"/>
              </w:rPr>
              <w:t>Minerals &amp; Aggregates</w:t>
            </w:r>
          </w:p>
        </w:tc>
        <w:tc>
          <w:tcPr>
            <w:tcW w:w="1080" w:type="dxa"/>
            <w:vAlign w:val="center"/>
          </w:tcPr>
          <w:p w14:paraId="521354BA" w14:textId="77777777" w:rsidR="00F33E5C" w:rsidRPr="00C620EA" w:rsidRDefault="00F33E5C" w:rsidP="000878F6">
            <w:pPr>
              <w:pStyle w:val="Table"/>
              <w:jc w:val="center"/>
              <w:rPr>
                <w:rFonts w:cstheme="minorHAnsi"/>
                <w:szCs w:val="20"/>
                <w:lang w:val="lt-LT"/>
              </w:rPr>
            </w:pPr>
            <w:r w:rsidRPr="00C620EA">
              <w:rPr>
                <w:rFonts w:ascii="Calibri" w:hAnsi="Calibri" w:cs="Calibri"/>
                <w:color w:val="000000"/>
                <w:szCs w:val="20"/>
              </w:rPr>
              <w:t>-5,02%</w:t>
            </w:r>
          </w:p>
        </w:tc>
        <w:tc>
          <w:tcPr>
            <w:tcW w:w="1080" w:type="dxa"/>
            <w:vAlign w:val="center"/>
          </w:tcPr>
          <w:p w14:paraId="4AA6346B"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-5,02%</w:t>
            </w:r>
          </w:p>
        </w:tc>
        <w:tc>
          <w:tcPr>
            <w:tcW w:w="990" w:type="dxa"/>
            <w:vAlign w:val="center"/>
          </w:tcPr>
          <w:p w14:paraId="6535C655"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211,05</w:t>
            </w:r>
          </w:p>
        </w:tc>
        <w:tc>
          <w:tcPr>
            <w:tcW w:w="1170" w:type="dxa"/>
            <w:vAlign w:val="center"/>
          </w:tcPr>
          <w:p w14:paraId="5B06A66F"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266,26</w:t>
            </w:r>
          </w:p>
        </w:tc>
        <w:tc>
          <w:tcPr>
            <w:tcW w:w="1018" w:type="dxa"/>
            <w:vAlign w:val="center"/>
          </w:tcPr>
          <w:p w14:paraId="292BDE52"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781,7%</w:t>
            </w:r>
          </w:p>
        </w:tc>
        <w:tc>
          <w:tcPr>
            <w:tcW w:w="1230" w:type="dxa"/>
            <w:vAlign w:val="center"/>
          </w:tcPr>
          <w:p w14:paraId="12FCBC25" w14:textId="77777777" w:rsidR="00F33E5C" w:rsidRPr="00C620EA" w:rsidRDefault="00F33E5C" w:rsidP="000878F6">
            <w:pPr>
              <w:pStyle w:val="Table"/>
              <w:jc w:val="center"/>
              <w:rPr>
                <w:rFonts w:cstheme="minorHAnsi"/>
                <w:szCs w:val="20"/>
              </w:rPr>
            </w:pPr>
            <w:r w:rsidRPr="00C620EA">
              <w:rPr>
                <w:rFonts w:ascii="Calibri" w:hAnsi="Calibri" w:cs="Calibri"/>
                <w:color w:val="000000"/>
                <w:szCs w:val="20"/>
              </w:rPr>
              <w:t>986,1%</w:t>
            </w:r>
          </w:p>
        </w:tc>
      </w:tr>
    </w:tbl>
    <w:p w14:paraId="6D8E5FF5" w14:textId="77777777" w:rsidR="00F33E5C" w:rsidRPr="00F33E5C" w:rsidRDefault="00F33E5C" w:rsidP="00F33E5C">
      <w:pPr>
        <w:rPr>
          <w:lang w:eastAsia="en-GB"/>
        </w:rPr>
      </w:pPr>
    </w:p>
    <w:p w14:paraId="5C79949C" w14:textId="5675563A" w:rsidR="00F33E5C" w:rsidRPr="00F33E5C" w:rsidRDefault="00F33E5C" w:rsidP="00F33E5C">
      <w:pPr>
        <w:rPr>
          <w:lang w:eastAsia="en-GB"/>
        </w:rPr>
      </w:pPr>
      <w:r w:rsidRPr="00F33E5C">
        <w:rPr>
          <w:lang w:eastAsia="en-GB"/>
        </w:rPr>
        <w:t>Feasibility from an administrative perspective is strong. Finland’s permitting, monitoring and reporting systems are well developed, metering is widespread among utilities and industry, and statistical coverage is high. The principal risks lie in sectoral acceptability and the potential for unintended substitutions. Mining and quarrying operators are sensitive to extraction charges where project economics are tight and long lead times are involved; construction supply chains can argue cost pass-through to housing and infrastructure. If effluent charges are introduced without parallel investment support, smaller municipal plants and industrial sites could face tariff pressure as they upgrade treatment. In the waste chain, higher landfill or incineration signals must be sequenced with additional sorting and recycling capacity to avoid displacement to lower tiers or cross-border movements. For households, aggregate effects are small in the modelling, but affordability concerns can arise through water and waste bills, especially in rural municipalities with higher service costs.</w:t>
      </w:r>
    </w:p>
    <w:p w14:paraId="236204F6" w14:textId="0A6B7BA9" w:rsidR="00F33E5C" w:rsidRPr="00F33E5C" w:rsidRDefault="00F33E5C" w:rsidP="00F33E5C">
      <w:pPr>
        <w:rPr>
          <w:lang w:eastAsia="en-GB"/>
        </w:rPr>
      </w:pPr>
      <w:r w:rsidRPr="00F33E5C">
        <w:rPr>
          <w:lang w:eastAsia="en-GB"/>
        </w:rPr>
        <w:t>These risks are manageable with clear sequencing, targeted recycling and credible reinvestment. A phased, multi-year trajectory for any new wastewater charge</w:t>
      </w:r>
      <w:r>
        <w:rPr>
          <w:lang w:eastAsia="en-GB"/>
        </w:rPr>
        <w:t xml:space="preserve">, </w:t>
      </w:r>
      <w:r w:rsidRPr="00F33E5C">
        <w:rPr>
          <w:lang w:eastAsia="en-GB"/>
        </w:rPr>
        <w:t>paired with performance contracts for utilities and co-funding of tertiary treatment, nutrient removal and water reuse</w:t>
      </w:r>
      <w:r>
        <w:rPr>
          <w:lang w:eastAsia="en-GB"/>
        </w:rPr>
        <w:t xml:space="preserve">, </w:t>
      </w:r>
      <w:r w:rsidRPr="00F33E5C">
        <w:rPr>
          <w:lang w:eastAsia="en-GB"/>
        </w:rPr>
        <w:t>aligns the price signal with investable projects and keeps tariffs stable. If mineral extraction charges are recalibrated, introducing credits or lower rates for certified secondary aggregates and setting procurement targets for recycled content in public works will offset cost push and pull demand for circular materials. For air pollutants, modest top-ups to charges for large installations can be coupled with temporary, technology-neutral investment allowances tied to adoption of best available techniques; this preserves the marginal incentive while easing upfront financing constraints.</w:t>
      </w:r>
    </w:p>
    <w:p w14:paraId="792CBBFD" w14:textId="4536F75F" w:rsidR="00F33E5C" w:rsidRPr="00F33E5C" w:rsidRDefault="00F33E5C" w:rsidP="00F33E5C">
      <w:pPr>
        <w:rPr>
          <w:lang w:eastAsia="en-GB"/>
        </w:rPr>
      </w:pPr>
      <w:r w:rsidRPr="00F33E5C">
        <w:rPr>
          <w:lang w:eastAsia="en-GB"/>
        </w:rPr>
        <w:lastRenderedPageBreak/>
        <w:t>Priority taxes for Finland therefore centre on three fronts. First, a wastewater effluent tax based on pollutant loads (e.g. BOD₅, with scope to add nutrients where monitoring is robust) offers the largest combined environmental and fiscal payoff; linking rates to the sensitivity of receiving waters and allowing compliance via certified abatement or reuse projects will improve cost-effectiveness. Second, a calibrated mineral extraction tax on aggregates, phased in with predictable steps and accompanied by recognition for secondary materials, will reduce primary extraction and reinforce circular economy goals without undermining competitiveness. Third, fine-tuning of air pollutant charges for large point sources under integrated permits can capture remaining low-cost abatement; where existing Finnish fees are already close to the benchmark, incremental adjustments and performance-based rebates are preferable to wholesale redesign. Water abstraction pricing can remain conservative given low national scarcity, but introducing a locational component</w:t>
      </w:r>
      <w:r>
        <w:rPr>
          <w:lang w:eastAsia="en-GB"/>
        </w:rPr>
        <w:t xml:space="preserve"> </w:t>
      </w:r>
      <w:r w:rsidRPr="00F33E5C">
        <w:rPr>
          <w:lang w:eastAsia="en-GB"/>
        </w:rPr>
        <w:t>—</w:t>
      </w:r>
      <w:r>
        <w:rPr>
          <w:lang w:eastAsia="en-GB"/>
        </w:rPr>
        <w:t xml:space="preserve"> </w:t>
      </w:r>
      <w:r w:rsidRPr="00F33E5C">
        <w:rPr>
          <w:lang w:eastAsia="en-GB"/>
        </w:rPr>
        <w:t>higher rates in stressed catchments, lower elsewhere</w:t>
      </w:r>
      <w:r>
        <w:rPr>
          <w:lang w:eastAsia="en-GB"/>
        </w:rPr>
        <w:t xml:space="preserve"> </w:t>
      </w:r>
      <w:r w:rsidRPr="00F33E5C">
        <w:rPr>
          <w:lang w:eastAsia="en-GB"/>
        </w:rPr>
        <w:t>—</w:t>
      </w:r>
      <w:r>
        <w:rPr>
          <w:lang w:eastAsia="en-GB"/>
        </w:rPr>
        <w:t xml:space="preserve"> </w:t>
      </w:r>
      <w:r w:rsidRPr="00F33E5C">
        <w:rPr>
          <w:lang w:eastAsia="en-GB"/>
        </w:rPr>
        <w:t>would sharpen incentives where they matter most.</w:t>
      </w:r>
    </w:p>
    <w:p w14:paraId="3BBEE786" w14:textId="74DBC5BD" w:rsidR="00F33E5C" w:rsidRPr="00F33E5C" w:rsidRDefault="00F33E5C" w:rsidP="00F33E5C">
      <w:pPr>
        <w:rPr>
          <w:lang w:eastAsia="en-GB"/>
        </w:rPr>
      </w:pPr>
      <w:r w:rsidRPr="00F33E5C">
        <w:rPr>
          <w:lang w:eastAsia="en-GB"/>
        </w:rPr>
        <w:t>To avoid negative distributional and competitiveness impacts, revenue recycling should be visible and proportionate. A defined share of incremental proceeds can finance lump-sum bill credits for low-income households or reductions in employee social contributions targeted at the lower wage deciles, while municipal tariff smoothing can cap year-on-year bill increases as utilities invest in higher treatment standards. For farms, if fertiliser or pesticide instruments are considered, pair them with advisory services and co-financed precision-application and integrated pest management equipment so that yields are maintained while nutrient and pesticide loads fall. For trade-exposed industrial sites, provide time-limited, investment-linked support for abatement and process optimisation that does not erode the ongoing price signal. Strengthened enforcement and digital waste tracking will help deter illegal dumping as landfill signals strengthen; clear rules on cross-border waste movements will reduce leakage risks.</w:t>
      </w:r>
    </w:p>
    <w:p w14:paraId="1A43DE1B" w14:textId="1217C876" w:rsidR="005D6837" w:rsidRPr="00AC5B88" w:rsidRDefault="00F33E5C" w:rsidP="008D4F23">
      <w:pPr>
        <w:rPr>
          <w:lang w:eastAsia="en-GB"/>
        </w:rPr>
      </w:pPr>
      <w:r w:rsidRPr="00F33E5C">
        <w:rPr>
          <w:lang w:eastAsia="en-GB"/>
        </w:rPr>
        <w:t>Communication and transparency will be critical to sustaining acceptability. Publishing an annual “green dividend” statement that links receipts to tangible outcomes</w:t>
      </w:r>
      <w:r>
        <w:rPr>
          <w:lang w:eastAsia="en-GB"/>
        </w:rPr>
        <w:t xml:space="preserve"> </w:t>
      </w:r>
      <w:r w:rsidRPr="00F33E5C">
        <w:rPr>
          <w:lang w:eastAsia="en-GB"/>
        </w:rPr>
        <w:t>—</w:t>
      </w:r>
      <w:r>
        <w:rPr>
          <w:lang w:eastAsia="en-GB"/>
        </w:rPr>
        <w:t xml:space="preserve"> </w:t>
      </w:r>
      <w:r w:rsidRPr="00F33E5C">
        <w:rPr>
          <w:lang w:eastAsia="en-GB"/>
        </w:rPr>
        <w:t>river stretches upgraded in status, nutrient loads reduced, recycled aggregate shares in public works, odour complaints diminished near facilities</w:t>
      </w:r>
      <w:r>
        <w:rPr>
          <w:lang w:eastAsia="en-GB"/>
        </w:rPr>
        <w:t xml:space="preserve"> </w:t>
      </w:r>
      <w:r w:rsidRPr="00F33E5C">
        <w:rPr>
          <w:lang w:eastAsia="en-GB"/>
        </w:rPr>
        <w:t>—</w:t>
      </w:r>
      <w:r>
        <w:rPr>
          <w:lang w:eastAsia="en-GB"/>
        </w:rPr>
        <w:t xml:space="preserve"> </w:t>
      </w:r>
      <w:r w:rsidRPr="00F33E5C">
        <w:rPr>
          <w:lang w:eastAsia="en-GB"/>
        </w:rPr>
        <w:t>can demonstrate value for money. Because Finland starts from a relatively advanced baseline, the emphasis should be on careful calibration rather than wholesale expansion: focus on wastewater, materials and residual air pollution from large point sources; phase reforms predictably; and recycle revenues in ways that are simple, fair and visible. Managed in this way, the benchmarked taxes would strengthen environmental outcomes and fiscal resilience while preserving Finland’s competitiveness and social fairness.</w:t>
      </w:r>
    </w:p>
    <w:p w14:paraId="04117564" w14:textId="77777777" w:rsidR="000A4E61" w:rsidRPr="00EA4C9B" w:rsidRDefault="000A4E61" w:rsidP="0045752A">
      <w:pPr>
        <w:pStyle w:val="AnnexHeading1"/>
        <w:ind w:hanging="1211"/>
      </w:pPr>
      <w:bookmarkStart w:id="184" w:name="_Toc214008873"/>
      <w:r w:rsidRPr="00EA4C9B">
        <w:t>France</w:t>
      </w:r>
      <w:bookmarkEnd w:id="184"/>
    </w:p>
    <w:p w14:paraId="2CD122F2" w14:textId="441ED039" w:rsidR="000A4E61" w:rsidRPr="00EA4C9B" w:rsidRDefault="000A4E61" w:rsidP="007C4EB7">
      <w:pPr>
        <w:pStyle w:val="AnnexHeading2"/>
      </w:pPr>
      <w:bookmarkStart w:id="185" w:name="_Toc214008874"/>
      <w:r w:rsidRPr="00EA4C9B">
        <w:t>Overview of existing environmental taxes</w:t>
      </w:r>
      <w:bookmarkEnd w:id="185"/>
      <w:r w:rsidRPr="00EA4C9B">
        <w:t> </w:t>
      </w:r>
    </w:p>
    <w:p w14:paraId="6E36586E" w14:textId="1DC39FF0" w:rsidR="000A4E61" w:rsidRPr="00EA4C9B" w:rsidRDefault="00997F55" w:rsidP="000A4E61">
      <w:r w:rsidRPr="00997F55">
        <w:t>Environmental taxes in France amounted to 1.8% of GDP in 2023, below the EU average. While revenues have increased in absolute terms over the past 15 years, their relative importance in the economy has declined. Total environmental tax revenue reached EUR 46.6 billion in 2023 (</w:t>
      </w:r>
      <w:r w:rsidR="00FB0EF3">
        <w:fldChar w:fldCharType="begin"/>
      </w:r>
      <w:r w:rsidR="00FB0EF3">
        <w:instrText xml:space="preserve"> REF _Ref201233635 \h  \* MERGEFORMAT </w:instrText>
      </w:r>
      <w:r w:rsidR="00FB0EF3">
        <w:fldChar w:fldCharType="separate"/>
      </w:r>
      <w:r w:rsidR="00FB0EF3">
        <w:t>Figure A6-</w:t>
      </w:r>
      <w:r w:rsidR="00FB0EF3" w:rsidRPr="61B7A57B">
        <w:rPr>
          <w:noProof/>
        </w:rPr>
        <w:t>28</w:t>
      </w:r>
      <w:r w:rsidR="00FB0EF3">
        <w:fldChar w:fldCharType="end"/>
      </w:r>
      <w:r w:rsidRPr="00997F55">
        <w:t>), representing a 29.5% increase in real terms since 2009</w:t>
      </w:r>
      <w:r w:rsidR="00046DFF">
        <w:rPr>
          <w:rStyle w:val="FootnoteReference"/>
          <w:lang w:eastAsia="es-ES"/>
        </w:rPr>
        <w:footnoteReference w:id="359"/>
      </w:r>
      <w:r w:rsidRPr="00997F55">
        <w:t xml:space="preserve">. Over the same period, however, </w:t>
      </w:r>
      <w:r w:rsidR="001427E1" w:rsidRPr="001427E1">
        <w:t>as GDP-</w:t>
      </w:r>
      <w:r w:rsidRPr="00997F55">
        <w:t xml:space="preserve">ratio </w:t>
      </w:r>
      <w:r w:rsidR="001427E1" w:rsidRPr="001427E1">
        <w:t>the total</w:t>
      </w:r>
      <w:r w:rsidRPr="00997F55">
        <w:t xml:space="preserve"> environmental </w:t>
      </w:r>
      <w:r w:rsidR="001427E1" w:rsidRPr="001427E1">
        <w:t>tax revenue decreased</w:t>
      </w:r>
      <w:r w:rsidRPr="00997F55">
        <w:t xml:space="preserve"> by 5.7% (</w:t>
      </w:r>
      <w:r w:rsidR="00FB0EF3">
        <w:fldChar w:fldCharType="begin"/>
      </w:r>
      <w:r w:rsidR="00FB0EF3">
        <w:instrText xml:space="preserve"> REF _Ref201233671 \h  \* MERGEFORMAT </w:instrText>
      </w:r>
      <w:r w:rsidR="00FB0EF3">
        <w:fldChar w:fldCharType="separate"/>
      </w:r>
      <w:r w:rsidR="00FB0EF3">
        <w:t>Figure A6-</w:t>
      </w:r>
      <w:r w:rsidR="00FB0EF3" w:rsidRPr="61B7A57B">
        <w:rPr>
          <w:noProof/>
        </w:rPr>
        <w:t>29</w:t>
      </w:r>
      <w:r w:rsidR="00FB0EF3">
        <w:fldChar w:fldCharType="end"/>
      </w:r>
      <w:r w:rsidRPr="00997F55">
        <w:t xml:space="preserve">). </w:t>
      </w:r>
      <w:r w:rsidR="000A4E61">
        <w:t xml:space="preserve">In 2023, </w:t>
      </w:r>
      <w:r w:rsidR="000A4E61" w:rsidRPr="61B7A57B">
        <w:rPr>
          <w:lang w:eastAsia="en-GB"/>
        </w:rPr>
        <w:t xml:space="preserve">revenues from energy and transport taxes constituted, respectively, around 79.8% and 13.0% of the total environmental tax revenues while revenues from resources and pollution taxes amounted to around 1.0% and 6.2%, respectively.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0A4E61" w:rsidRPr="00EA4C9B" w14:paraId="22FB1207" w14:textId="77777777" w:rsidTr="004F0767">
        <w:trPr>
          <w:trHeight w:val="300"/>
        </w:trPr>
        <w:tc>
          <w:tcPr>
            <w:tcW w:w="9010" w:type="dxa"/>
            <w:tcBorders>
              <w:top w:val="single" w:sz="6" w:space="0" w:color="auto"/>
              <w:left w:val="single" w:sz="6" w:space="0" w:color="auto"/>
              <w:bottom w:val="single" w:sz="6" w:space="0" w:color="auto"/>
              <w:right w:val="single" w:sz="6" w:space="0" w:color="auto"/>
            </w:tcBorders>
            <w:hideMark/>
          </w:tcPr>
          <w:p w14:paraId="35EB6ED8" w14:textId="77777777" w:rsidR="000A4E61" w:rsidRPr="00EA4C9B" w:rsidRDefault="000A4E61">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sz w:val="2"/>
                <w:szCs w:val="2"/>
                <w:lang w:eastAsia="es-ES"/>
              </w:rPr>
              <w:lastRenderedPageBreak/>
              <w:t> </w:t>
            </w:r>
          </w:p>
          <w:p w14:paraId="24082A1D" w14:textId="77777777" w:rsidR="000A4E61" w:rsidRPr="00EA4C9B" w:rsidRDefault="000A4E61">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sz w:val="2"/>
                <w:szCs w:val="2"/>
                <w:lang w:eastAsia="es-ES"/>
              </w:rPr>
              <w:t> </w:t>
            </w:r>
            <w:r w:rsidRPr="00EA4C9B">
              <w:rPr>
                <w:rFonts w:ascii="Calibri" w:eastAsia="Times New Roman" w:hAnsi="Calibri" w:cs="Calibri"/>
                <w:noProof/>
                <w:sz w:val="2"/>
                <w:szCs w:val="2"/>
                <w:lang w:eastAsia="es-ES"/>
              </w:rPr>
              <w:drawing>
                <wp:inline distT="0" distB="0" distL="0" distR="0" wp14:anchorId="30F70303" wp14:editId="3E5F98C0">
                  <wp:extent cx="5567077" cy="1080000"/>
                  <wp:effectExtent l="0" t="0" r="0" b="6350"/>
                  <wp:docPr id="1826373541" name="Imagen 3"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73541" name="Imagen 3" descr="Gráfico, Gráfico de barras&#10;&#10;El contenido generado por IA puede ser incorrect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67077" cy="1080000"/>
                          </a:xfrm>
                          <a:prstGeom prst="rect">
                            <a:avLst/>
                          </a:prstGeom>
                          <a:noFill/>
                        </pic:spPr>
                      </pic:pic>
                    </a:graphicData>
                  </a:graphic>
                </wp:inline>
              </w:drawing>
            </w:r>
          </w:p>
          <w:p w14:paraId="6844659C" w14:textId="77777777" w:rsidR="000A4E61" w:rsidRPr="00EA4C9B" w:rsidRDefault="000A4E61">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sz w:val="2"/>
                <w:szCs w:val="2"/>
                <w:lang w:eastAsia="es-ES"/>
              </w:rPr>
              <w:t> </w:t>
            </w:r>
          </w:p>
        </w:tc>
      </w:tr>
      <w:tr w:rsidR="000A4E61" w:rsidRPr="00EA4C9B" w14:paraId="3BD4C988" w14:textId="77777777" w:rsidTr="004F0767">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003399"/>
            <w:hideMark/>
          </w:tcPr>
          <w:p w14:paraId="14EF4FCB" w14:textId="6AAB5327" w:rsidR="000A4E61" w:rsidRPr="00EA4C9B" w:rsidRDefault="00B666AB" w:rsidP="002545BE">
            <w:pPr>
              <w:pStyle w:val="FigTabCaption"/>
              <w:rPr>
                <w:rFonts w:ascii="Segoe UI" w:eastAsia="Times New Roman" w:hAnsi="Segoe UI" w:cs="Segoe UI"/>
                <w:sz w:val="18"/>
                <w:szCs w:val="18"/>
                <w:lang w:eastAsia="es-ES"/>
              </w:rPr>
            </w:pPr>
            <w:bookmarkStart w:id="186" w:name="_Ref201233635"/>
            <w:r w:rsidRPr="00051732">
              <w:t xml:space="preserve">Figure </w:t>
            </w:r>
            <w:r w:rsidR="00490085">
              <w:t>A6</w:t>
            </w:r>
            <w:r w:rsidRPr="00051732">
              <w:t>-</w:t>
            </w:r>
            <w:fldSimple w:instr=" SEQ Figure_A5- \* ARABIC ">
              <w:r w:rsidR="0091411A">
                <w:rPr>
                  <w:noProof/>
                </w:rPr>
                <w:t>28</w:t>
              </w:r>
            </w:fldSimple>
            <w:bookmarkEnd w:id="186"/>
            <w:r w:rsidR="000A4E61" w:rsidRPr="00EA4C9B">
              <w:rPr>
                <w:lang w:eastAsia="es-ES"/>
              </w:rPr>
              <w:t>: Total environmental tax revenue in France (2009-2023) in billion euros </w:t>
            </w:r>
          </w:p>
        </w:tc>
      </w:tr>
    </w:tbl>
    <w:p w14:paraId="6D443561" w14:textId="7149079E" w:rsidR="000A4E61" w:rsidRPr="00EA4C9B" w:rsidRDefault="001977E3" w:rsidP="000A4E61">
      <w:pPr>
        <w:spacing w:before="120" w:after="120"/>
      </w:pPr>
      <w:r w:rsidRPr="001977E3">
        <w:t>In 2023, total tax revenue (including net social contributions) accounted for 32% of France’s GDP, down by 12 percentage points from 44% in 2009. Environmental taxes represented 5.52% of total tax revenue in 2023, compared with 4.3% in 2009</w:t>
      </w:r>
      <w:r w:rsidR="00A87298">
        <w:t xml:space="preserve"> </w:t>
      </w:r>
      <w:r w:rsidRPr="001977E3">
        <w:t>—</w:t>
      </w:r>
      <w:r w:rsidR="00A87298">
        <w:t xml:space="preserve"> </w:t>
      </w:r>
      <w:r w:rsidRPr="001977E3">
        <w:t>an increase of 1.22 percentage points over the period. The strongest growth in absolute terms was recorded in pollution tax revenues (up 51.7%), followed by energy tax revenues (up 32%).</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0A4E61" w:rsidRPr="00EA4C9B" w14:paraId="07756864" w14:textId="77777777" w:rsidTr="004F0767">
        <w:trPr>
          <w:trHeight w:val="300"/>
        </w:trPr>
        <w:tc>
          <w:tcPr>
            <w:tcW w:w="9010" w:type="dxa"/>
            <w:tcBorders>
              <w:top w:val="single" w:sz="6" w:space="0" w:color="auto"/>
              <w:left w:val="single" w:sz="6" w:space="0" w:color="auto"/>
              <w:bottom w:val="single" w:sz="6" w:space="0" w:color="auto"/>
              <w:right w:val="single" w:sz="6" w:space="0" w:color="auto"/>
            </w:tcBorders>
            <w:hideMark/>
          </w:tcPr>
          <w:p w14:paraId="6CC0B54F" w14:textId="77777777" w:rsidR="000A4E61" w:rsidRPr="00EA4C9B" w:rsidRDefault="000A4E61">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sz w:val="2"/>
                <w:szCs w:val="2"/>
                <w:lang w:eastAsia="es-ES"/>
              </w:rPr>
              <w:t> </w:t>
            </w:r>
          </w:p>
          <w:p w14:paraId="37F88745" w14:textId="77777777" w:rsidR="000A4E61" w:rsidRPr="00EA4C9B" w:rsidRDefault="000A4E61">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sz w:val="2"/>
                <w:szCs w:val="2"/>
                <w:lang w:eastAsia="es-ES"/>
              </w:rPr>
              <w:t> </w:t>
            </w:r>
            <w:r w:rsidRPr="00EA4C9B">
              <w:rPr>
                <w:rFonts w:ascii="Calibri" w:eastAsia="Times New Roman" w:hAnsi="Calibri" w:cs="Calibri"/>
                <w:noProof/>
                <w:sz w:val="2"/>
                <w:szCs w:val="2"/>
                <w:lang w:eastAsia="es-ES"/>
              </w:rPr>
              <w:drawing>
                <wp:inline distT="0" distB="0" distL="0" distR="0" wp14:anchorId="70A13F3B" wp14:editId="374DCA88">
                  <wp:extent cx="5587200" cy="1687581"/>
                  <wp:effectExtent l="0" t="0" r="0" b="8255"/>
                  <wp:docPr id="317105449" name="Picture 1" descr="Gráfico, Gráfico en casca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05449" name="Picture 1" descr="Gráfico, Gráfico en cascada&#10;&#10;El contenido generado por IA puede ser incorrect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87200" cy="1687581"/>
                          </a:xfrm>
                          <a:prstGeom prst="rect">
                            <a:avLst/>
                          </a:prstGeom>
                          <a:noFill/>
                        </pic:spPr>
                      </pic:pic>
                    </a:graphicData>
                  </a:graphic>
                </wp:inline>
              </w:drawing>
            </w:r>
          </w:p>
          <w:p w14:paraId="546A2760" w14:textId="77777777" w:rsidR="000A4E61" w:rsidRPr="00EA4C9B" w:rsidRDefault="000A4E61">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sz w:val="2"/>
                <w:szCs w:val="2"/>
                <w:lang w:eastAsia="es-ES"/>
              </w:rPr>
              <w:t> </w:t>
            </w:r>
          </w:p>
        </w:tc>
      </w:tr>
      <w:tr w:rsidR="000A4E61" w:rsidRPr="00EA4C9B" w14:paraId="3397CF93" w14:textId="77777777" w:rsidTr="004F0767">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003399"/>
            <w:hideMark/>
          </w:tcPr>
          <w:p w14:paraId="3E3287FD" w14:textId="2C38F415" w:rsidR="000A4E61" w:rsidRPr="00EA4C9B" w:rsidRDefault="00B666AB" w:rsidP="002545BE">
            <w:pPr>
              <w:pStyle w:val="FigTabCaption"/>
              <w:rPr>
                <w:rFonts w:ascii="Segoe UI" w:eastAsia="Times New Roman" w:hAnsi="Segoe UI" w:cs="Segoe UI"/>
                <w:sz w:val="18"/>
                <w:szCs w:val="18"/>
                <w:lang w:eastAsia="es-ES"/>
              </w:rPr>
            </w:pPr>
            <w:bookmarkStart w:id="187" w:name="_Ref201233671"/>
            <w:r w:rsidRPr="00051732">
              <w:t xml:space="preserve">Figure </w:t>
            </w:r>
            <w:r w:rsidR="00490085">
              <w:t>A6</w:t>
            </w:r>
            <w:r w:rsidRPr="00051732">
              <w:t>-</w:t>
            </w:r>
            <w:fldSimple w:instr=" SEQ Figure_A5- \* ARABIC ">
              <w:r w:rsidR="0091411A">
                <w:rPr>
                  <w:noProof/>
                </w:rPr>
                <w:t>29</w:t>
              </w:r>
            </w:fldSimple>
            <w:bookmarkEnd w:id="187"/>
            <w:r w:rsidR="000A4E61" w:rsidRPr="00EA4C9B">
              <w:rPr>
                <w:shd w:val="clear" w:color="auto" w:fill="003399"/>
                <w:lang w:eastAsia="es-ES"/>
              </w:rPr>
              <w:t>:</w:t>
            </w:r>
            <w:r w:rsidR="000A4E61" w:rsidRPr="00EA4C9B">
              <w:rPr>
                <w:lang w:eastAsia="es-ES"/>
              </w:rPr>
              <w:t xml:space="preserve"> Fifteen-year (2009-2023) change in absolute terms and change as GDP-ratio of the revenues of energy taxes, transport taxes, resource taxes, pollution taxes and total environmental taxes </w:t>
            </w:r>
          </w:p>
        </w:tc>
      </w:tr>
    </w:tbl>
    <w:p w14:paraId="45625994" w14:textId="77777777" w:rsidR="006F491A" w:rsidRDefault="006F491A" w:rsidP="006F491A"/>
    <w:p w14:paraId="61D1BB11" w14:textId="40EAC021" w:rsidR="006F491A" w:rsidRDefault="000A4E61" w:rsidP="007C4EB7">
      <w:pPr>
        <w:pStyle w:val="AnnexHeading2"/>
      </w:pPr>
      <w:bookmarkStart w:id="188" w:name="_Toc214008875"/>
      <w:r w:rsidRPr="00EA4C9B">
        <w:t>Existing pollution and resource taxes</w:t>
      </w:r>
      <w:bookmarkEnd w:id="188"/>
    </w:p>
    <w:p w14:paraId="47DDD14F" w14:textId="13C17249" w:rsidR="000A4E61" w:rsidRPr="00EA4C9B" w:rsidRDefault="000A4E61" w:rsidP="006F491A">
      <w:pPr>
        <w:spacing w:after="120"/>
      </w:pPr>
      <w:r w:rsidRPr="00EA4C9B">
        <w:t xml:space="preserve">In 2023, pollution and resource tax revenues reached respectively 2.9 and 0.5 billion euros. These amount to increases in absolute terms of — respectively — 51.7% and 19.5% over 15 years (2009-2023). Furthermore, in terms of GDP-ratios, pollution taxes increased by 10.5% but resource taxes decreased by 12.9%. In 2023, pollution and resource tax revenues accounted for — respectively — 6.2% and 1% of the total environmental tax revenues </w:t>
      </w:r>
      <w:r w:rsidRPr="00B85DE0">
        <w:t>(</w:t>
      </w:r>
      <w:r w:rsidR="00B85DE0" w:rsidRPr="00B85DE0">
        <w:fldChar w:fldCharType="begin"/>
      </w:r>
      <w:r w:rsidR="00B85DE0" w:rsidRPr="00B85DE0">
        <w:instrText xml:space="preserve"> REF _Ref201233772 \h  \* MERGEFORMAT </w:instrText>
      </w:r>
      <w:r w:rsidR="00B85DE0" w:rsidRPr="00B85DE0">
        <w:fldChar w:fldCharType="separate"/>
      </w:r>
      <w:r w:rsidR="00B85DE0" w:rsidRPr="00B85DE0">
        <w:t xml:space="preserve">Figure </w:t>
      </w:r>
      <w:r w:rsidR="00490085">
        <w:t>A6</w:t>
      </w:r>
      <w:r w:rsidR="00B85DE0" w:rsidRPr="00B85DE0">
        <w:t>-</w:t>
      </w:r>
      <w:r w:rsidR="00B85DE0" w:rsidRPr="00B85DE0">
        <w:rPr>
          <w:noProof/>
        </w:rPr>
        <w:t>30</w:t>
      </w:r>
      <w:r w:rsidR="00B85DE0" w:rsidRPr="00B85DE0">
        <w:fldChar w:fldCharType="end"/>
      </w:r>
      <w:r w:rsidRPr="00EA4C9B">
        <w:t xml:space="preserve">).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0A4E61" w:rsidRPr="00EA4C9B" w14:paraId="505C2AA7" w14:textId="77777777" w:rsidTr="004F0767">
        <w:trPr>
          <w:trHeight w:val="300"/>
        </w:trPr>
        <w:tc>
          <w:tcPr>
            <w:tcW w:w="9010" w:type="dxa"/>
            <w:tcBorders>
              <w:top w:val="single" w:sz="6" w:space="0" w:color="auto"/>
              <w:left w:val="single" w:sz="6" w:space="0" w:color="auto"/>
              <w:bottom w:val="single" w:sz="6" w:space="0" w:color="auto"/>
              <w:right w:val="single" w:sz="6" w:space="0" w:color="auto"/>
            </w:tcBorders>
            <w:hideMark/>
          </w:tcPr>
          <w:p w14:paraId="23B3AAF4" w14:textId="77777777" w:rsidR="000A4E61" w:rsidRPr="00EA4C9B" w:rsidRDefault="000A4E61">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sz w:val="2"/>
                <w:szCs w:val="2"/>
                <w:lang w:eastAsia="es-ES"/>
              </w:rPr>
              <w:t>  </w:t>
            </w:r>
          </w:p>
          <w:p w14:paraId="3EB211A8" w14:textId="77777777" w:rsidR="000A4E61" w:rsidRPr="00EA4C9B" w:rsidRDefault="000A4E61">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noProof/>
                <w:sz w:val="2"/>
                <w:szCs w:val="2"/>
                <w:lang w:eastAsia="es-ES"/>
              </w:rPr>
              <w:drawing>
                <wp:inline distT="0" distB="0" distL="0" distR="0" wp14:anchorId="28EB4A1B" wp14:editId="43874423">
                  <wp:extent cx="5587200" cy="1224231"/>
                  <wp:effectExtent l="0" t="0" r="0" b="0"/>
                  <wp:docPr id="1087535805" name="Picture 2"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35805" name="Picture 2" descr="Gráfico, Gráfico de barras&#10;&#10;El contenido generado por IA puede ser incorrect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87200" cy="1224231"/>
                          </a:xfrm>
                          <a:prstGeom prst="rect">
                            <a:avLst/>
                          </a:prstGeom>
                          <a:noFill/>
                        </pic:spPr>
                      </pic:pic>
                    </a:graphicData>
                  </a:graphic>
                </wp:inline>
              </w:drawing>
            </w:r>
            <w:r w:rsidRPr="00EA4C9B">
              <w:rPr>
                <w:rFonts w:ascii="Calibri" w:eastAsia="Times New Roman" w:hAnsi="Calibri" w:cs="Calibri"/>
                <w:sz w:val="2"/>
                <w:szCs w:val="2"/>
                <w:lang w:eastAsia="es-ES"/>
              </w:rPr>
              <w:t> </w:t>
            </w:r>
          </w:p>
        </w:tc>
      </w:tr>
      <w:tr w:rsidR="000A4E61" w:rsidRPr="00EA4C9B" w14:paraId="1311096A" w14:textId="77777777" w:rsidTr="004F0767">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003399"/>
            <w:hideMark/>
          </w:tcPr>
          <w:p w14:paraId="7ADD3396" w14:textId="592FA87A" w:rsidR="000A4E61" w:rsidRPr="00EA4C9B" w:rsidRDefault="00B666AB" w:rsidP="002545BE">
            <w:pPr>
              <w:pStyle w:val="FigTabCaption"/>
              <w:rPr>
                <w:rFonts w:ascii="Segoe UI" w:eastAsia="Times New Roman" w:hAnsi="Segoe UI" w:cs="Segoe UI"/>
                <w:sz w:val="18"/>
                <w:szCs w:val="18"/>
                <w:lang w:eastAsia="es-ES"/>
              </w:rPr>
            </w:pPr>
            <w:bookmarkStart w:id="189" w:name="_Ref201233772"/>
            <w:r w:rsidRPr="00051732">
              <w:t xml:space="preserve">Figure </w:t>
            </w:r>
            <w:r w:rsidR="00490085">
              <w:t>A6</w:t>
            </w:r>
            <w:r w:rsidRPr="00051732">
              <w:t>-</w:t>
            </w:r>
            <w:fldSimple w:instr=" SEQ Figure_A5- \* ARABIC ">
              <w:r w:rsidR="0091411A">
                <w:rPr>
                  <w:noProof/>
                </w:rPr>
                <w:t>30</w:t>
              </w:r>
            </w:fldSimple>
            <w:bookmarkEnd w:id="189"/>
            <w:r w:rsidR="000A4E61" w:rsidRPr="00EA4C9B">
              <w:rPr>
                <w:lang w:eastAsia="es-ES"/>
              </w:rPr>
              <w:t>: Resource and pollution tax revenues in France (2009-2023) in million euros</w:t>
            </w:r>
            <w:r w:rsidR="007625F7">
              <w:rPr>
                <w:lang w:eastAsia="es-ES"/>
              </w:rPr>
              <w:t xml:space="preserve">. </w:t>
            </w:r>
            <w:r w:rsidR="007625F7" w:rsidRPr="00EA4C9B">
              <w:rPr>
                <w:i/>
                <w:iCs/>
                <w:lang w:eastAsia="en-GB"/>
              </w:rPr>
              <w:t>Note: the share between pollution and resource taxes in 2023 was estimated as the weighted average of past years</w:t>
            </w:r>
            <w:r w:rsidR="007625F7" w:rsidRPr="00EA4C9B">
              <w:rPr>
                <w:lang w:eastAsia="en-GB"/>
              </w:rPr>
              <w:t> </w:t>
            </w:r>
            <w:r w:rsidR="007625F7" w:rsidRPr="00EA4C9B">
              <w:rPr>
                <w:lang w:eastAsia="es-ES"/>
              </w:rPr>
              <w:t> </w:t>
            </w:r>
          </w:p>
        </w:tc>
      </w:tr>
    </w:tbl>
    <w:p w14:paraId="75413C63" w14:textId="77777777" w:rsidR="004D79A5" w:rsidRPr="004D79A5" w:rsidRDefault="004D79A5" w:rsidP="004D79A5">
      <w:pPr>
        <w:pStyle w:val="Heading4"/>
      </w:pPr>
      <w:r w:rsidRPr="004D79A5">
        <w:t>List of pollution and resource taxes and revenue shares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0A4E61" w:rsidRPr="00EA4C9B" w14:paraId="103F98F7" w14:textId="77777777" w:rsidTr="00245941">
        <w:trPr>
          <w:trHeight w:val="147"/>
          <w:tblHeader/>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7891E65E" w14:textId="53B8C663" w:rsidR="000A4E61" w:rsidRPr="00143629" w:rsidRDefault="00B666AB" w:rsidP="00143629">
            <w:pPr>
              <w:pStyle w:val="Table"/>
              <w:rPr>
                <w:rFonts w:ascii="Times New Roman" w:eastAsia="Times New Roman" w:hAnsi="Times New Roman" w:cs="Times New Roman"/>
                <w:b/>
                <w:sz w:val="24"/>
                <w:lang w:eastAsia="en-GB"/>
              </w:rPr>
            </w:pPr>
            <w:r w:rsidRPr="00143629">
              <w:rPr>
                <w:b/>
                <w:color w:val="FFFFFF" w:themeColor="background1"/>
              </w:rPr>
              <w:t xml:space="preserve">Table </w:t>
            </w:r>
            <w:r w:rsidR="00490085">
              <w:rPr>
                <w:b/>
                <w:color w:val="FFFFFF" w:themeColor="background1"/>
              </w:rPr>
              <w:t>A6</w:t>
            </w:r>
            <w:r w:rsidR="00143629" w:rsidRPr="00143629">
              <w:rPr>
                <w:b/>
                <w:bCs/>
                <w:color w:val="FFFFFF" w:themeColor="background1"/>
              </w:rPr>
              <w:t>-</w:t>
            </w:r>
            <w:r w:rsidR="00143629" w:rsidRPr="00143629">
              <w:rPr>
                <w:b/>
                <w:bCs/>
                <w:color w:val="FFFFFF" w:themeColor="background1"/>
              </w:rPr>
              <w:fldChar w:fldCharType="begin"/>
            </w:r>
            <w:r w:rsidR="00143629" w:rsidRPr="00143629">
              <w:rPr>
                <w:b/>
                <w:bCs/>
                <w:color w:val="FFFFFF" w:themeColor="background1"/>
              </w:rPr>
              <w:instrText xml:space="preserve"> SEQ Table_A5- \* ARABIC </w:instrText>
            </w:r>
            <w:r w:rsidR="00143629" w:rsidRPr="00143629">
              <w:rPr>
                <w:b/>
                <w:bCs/>
                <w:color w:val="FFFFFF" w:themeColor="background1"/>
              </w:rPr>
              <w:fldChar w:fldCharType="separate"/>
            </w:r>
            <w:r w:rsidR="00F33E5C">
              <w:rPr>
                <w:b/>
                <w:bCs/>
                <w:noProof/>
                <w:color w:val="FFFFFF" w:themeColor="background1"/>
              </w:rPr>
              <w:t>56</w:t>
            </w:r>
            <w:r w:rsidR="00143629" w:rsidRPr="00143629">
              <w:rPr>
                <w:b/>
                <w:bCs/>
                <w:color w:val="FFFFFF" w:themeColor="background1"/>
              </w:rPr>
              <w:fldChar w:fldCharType="end"/>
            </w:r>
            <w:r w:rsidR="000A4E61" w:rsidRPr="00143629">
              <w:rPr>
                <w:rFonts w:ascii="Calibri" w:eastAsia="Times New Roman" w:hAnsi="Calibri" w:cs="Calibri"/>
                <w:b/>
                <w:color w:val="FFFFFF" w:themeColor="background1"/>
                <w:szCs w:val="20"/>
                <w:lang w:eastAsia="en-GB"/>
              </w:rPr>
              <w:t>:  Pollution taxes </w:t>
            </w:r>
          </w:p>
        </w:tc>
      </w:tr>
      <w:tr w:rsidR="000A4E61" w:rsidRPr="00EA4C9B" w14:paraId="34AFCA5B" w14:textId="77777777" w:rsidTr="00245941">
        <w:trPr>
          <w:trHeight w:val="76"/>
          <w:tblHeader/>
        </w:trPr>
        <w:tc>
          <w:tcPr>
            <w:tcW w:w="3497" w:type="dxa"/>
            <w:tcBorders>
              <w:top w:val="single" w:sz="6" w:space="0" w:color="auto"/>
              <w:left w:val="single" w:sz="6" w:space="0" w:color="auto"/>
              <w:bottom w:val="single" w:sz="6" w:space="0" w:color="auto"/>
              <w:right w:val="single" w:sz="6" w:space="0" w:color="auto"/>
            </w:tcBorders>
            <w:hideMark/>
          </w:tcPr>
          <w:p w14:paraId="72DBF619" w14:textId="77777777" w:rsidR="000A4E61" w:rsidRPr="00EA4C9B" w:rsidRDefault="000A4E61" w:rsidP="00143629">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8" w:type="dxa"/>
            <w:tcBorders>
              <w:top w:val="single" w:sz="6" w:space="0" w:color="auto"/>
              <w:left w:val="single" w:sz="6" w:space="0" w:color="auto"/>
              <w:bottom w:val="single" w:sz="6" w:space="0" w:color="auto"/>
              <w:right w:val="single" w:sz="6" w:space="0" w:color="auto"/>
            </w:tcBorders>
          </w:tcPr>
          <w:p w14:paraId="7B7D0A06" w14:textId="77777777" w:rsidR="000A4E61" w:rsidRPr="00EA4C9B" w:rsidRDefault="000A4E61" w:rsidP="00552C72">
            <w:pPr>
              <w:pStyle w:val="Table"/>
              <w:jc w:val="center"/>
              <w:rPr>
                <w:rFonts w:ascii="Calibri" w:eastAsia="Times New Roman" w:hAnsi="Calibri" w:cs="Calibri"/>
                <w:b/>
                <w:bCs/>
                <w:szCs w:val="20"/>
                <w:lang w:eastAsia="en-GB"/>
              </w:rPr>
            </w:pPr>
            <w:r w:rsidRPr="00EA4C9B">
              <w:rPr>
                <w:rFonts w:ascii="Calibri" w:eastAsia="Times New Roman" w:hAnsi="Calibri" w:cs="Calibri"/>
                <w:b/>
                <w:szCs w:val="20"/>
                <w:lang w:eastAsia="en-GB"/>
              </w:rPr>
              <w:t>Revenue (€ million)</w:t>
            </w:r>
          </w:p>
          <w:p w14:paraId="06F68C6F" w14:textId="77777777" w:rsidR="000A4E61" w:rsidRPr="00EA4C9B" w:rsidRDefault="000A4E61" w:rsidP="00552C72">
            <w:pPr>
              <w:pStyle w:val="Table"/>
              <w:jc w:val="center"/>
              <w:rPr>
                <w:rFonts w:ascii="Calibri" w:eastAsia="Times New Roman" w:hAnsi="Calibri" w:cs="Calibri"/>
                <w:b/>
                <w:szCs w:val="20"/>
                <w:lang w:eastAsia="en-GB"/>
              </w:rPr>
            </w:pPr>
            <w:r w:rsidRPr="00EA4C9B">
              <w:rPr>
                <w:rFonts w:ascii="Calibri" w:eastAsia="Times New Roman" w:hAnsi="Calibri" w:cs="Calibri"/>
                <w:b/>
                <w:szCs w:val="20"/>
                <w:lang w:eastAsia="en-GB"/>
              </w:rPr>
              <w:t>2009-2023</w:t>
            </w:r>
          </w:p>
        </w:tc>
        <w:tc>
          <w:tcPr>
            <w:tcW w:w="1894" w:type="dxa"/>
            <w:tcBorders>
              <w:top w:val="single" w:sz="6" w:space="0" w:color="auto"/>
              <w:left w:val="single" w:sz="6" w:space="0" w:color="auto"/>
              <w:bottom w:val="single" w:sz="6" w:space="0" w:color="auto"/>
              <w:right w:val="single" w:sz="6" w:space="0" w:color="auto"/>
            </w:tcBorders>
            <w:hideMark/>
          </w:tcPr>
          <w:p w14:paraId="3B76225E" w14:textId="77777777" w:rsidR="000A4E61" w:rsidRPr="00EA4C9B" w:rsidRDefault="000A4E61" w:rsidP="00552C7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3E1131C9" w14:textId="77777777" w:rsidR="000A4E61" w:rsidRPr="00EA4C9B" w:rsidRDefault="000A4E61" w:rsidP="00552C7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pollution tax revenues</w:t>
            </w:r>
          </w:p>
        </w:tc>
      </w:tr>
      <w:tr w:rsidR="000A4E61" w:rsidRPr="00EA4C9B" w14:paraId="08E36011"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hideMark/>
          </w:tcPr>
          <w:p w14:paraId="56F2D2D5" w14:textId="77777777" w:rsidR="000A4E61" w:rsidRPr="00EA4C9B" w:rsidRDefault="000A4E61" w:rsidP="00143629">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Other taxes on pollution</w:t>
            </w:r>
          </w:p>
        </w:tc>
        <w:tc>
          <w:tcPr>
            <w:tcW w:w="1718" w:type="dxa"/>
            <w:tcBorders>
              <w:top w:val="single" w:sz="6" w:space="0" w:color="auto"/>
              <w:left w:val="single" w:sz="6" w:space="0" w:color="auto"/>
              <w:bottom w:val="single" w:sz="6" w:space="0" w:color="auto"/>
              <w:right w:val="single" w:sz="6" w:space="0" w:color="auto"/>
            </w:tcBorders>
          </w:tcPr>
          <w:p w14:paraId="3C8F240C" w14:textId="77777777" w:rsidR="000A4E61" w:rsidRPr="00EA4C9B" w:rsidRDefault="000A4E61" w:rsidP="00552C7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€4 - €817.8</w:t>
            </w:r>
          </w:p>
        </w:tc>
        <w:tc>
          <w:tcPr>
            <w:tcW w:w="1894" w:type="dxa"/>
            <w:tcBorders>
              <w:top w:val="single" w:sz="6" w:space="0" w:color="auto"/>
              <w:left w:val="single" w:sz="6" w:space="0" w:color="auto"/>
              <w:bottom w:val="single" w:sz="6" w:space="0" w:color="auto"/>
              <w:right w:val="single" w:sz="6" w:space="0" w:color="auto"/>
            </w:tcBorders>
            <w:hideMark/>
          </w:tcPr>
          <w:p w14:paraId="5A66C510" w14:textId="77777777" w:rsidR="000A4E61" w:rsidRPr="00EA4C9B" w:rsidRDefault="000A4E61" w:rsidP="00552C7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€269.4</w:t>
            </w:r>
          </w:p>
        </w:tc>
        <w:tc>
          <w:tcPr>
            <w:tcW w:w="1901" w:type="dxa"/>
            <w:tcBorders>
              <w:top w:val="single" w:sz="6" w:space="0" w:color="auto"/>
              <w:left w:val="single" w:sz="6" w:space="0" w:color="auto"/>
              <w:bottom w:val="single" w:sz="6" w:space="0" w:color="auto"/>
              <w:right w:val="single" w:sz="6" w:space="0" w:color="auto"/>
            </w:tcBorders>
            <w:hideMark/>
          </w:tcPr>
          <w:p w14:paraId="33A2D573" w14:textId="77777777" w:rsidR="000A4E61" w:rsidRPr="00EA4C9B" w:rsidRDefault="000A4E61" w:rsidP="00552C7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31%</w:t>
            </w:r>
          </w:p>
        </w:tc>
      </w:tr>
      <w:tr w:rsidR="000A4E61" w:rsidRPr="00EA4C9B" w14:paraId="40342271"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15E92400" w14:textId="77777777" w:rsidR="000A4E61" w:rsidRPr="00EA4C9B" w:rsidRDefault="000A4E61" w:rsidP="00143629">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lastRenderedPageBreak/>
              <w:t>Other taxes on pollution</w:t>
            </w:r>
          </w:p>
        </w:tc>
        <w:tc>
          <w:tcPr>
            <w:tcW w:w="1718" w:type="dxa"/>
            <w:tcBorders>
              <w:top w:val="single" w:sz="6" w:space="0" w:color="auto"/>
              <w:left w:val="single" w:sz="6" w:space="0" w:color="auto"/>
              <w:bottom w:val="single" w:sz="6" w:space="0" w:color="auto"/>
              <w:right w:val="single" w:sz="6" w:space="0" w:color="auto"/>
            </w:tcBorders>
          </w:tcPr>
          <w:p w14:paraId="2C16D3D7" w14:textId="77777777" w:rsidR="000A4E61" w:rsidRPr="00EA4C9B" w:rsidRDefault="000A4E61" w:rsidP="00552C7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€1,251 - €969.2</w:t>
            </w:r>
          </w:p>
        </w:tc>
        <w:tc>
          <w:tcPr>
            <w:tcW w:w="1894" w:type="dxa"/>
            <w:tcBorders>
              <w:top w:val="single" w:sz="6" w:space="0" w:color="auto"/>
              <w:left w:val="single" w:sz="6" w:space="0" w:color="auto"/>
              <w:bottom w:val="single" w:sz="6" w:space="0" w:color="auto"/>
              <w:right w:val="single" w:sz="6" w:space="0" w:color="auto"/>
            </w:tcBorders>
          </w:tcPr>
          <w:p w14:paraId="02C9AFA8" w14:textId="77777777" w:rsidR="000A4E61" w:rsidRPr="00EA4C9B" w:rsidRDefault="000A4E61" w:rsidP="00552C7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€1,362.6</w:t>
            </w:r>
          </w:p>
        </w:tc>
        <w:tc>
          <w:tcPr>
            <w:tcW w:w="1901" w:type="dxa"/>
            <w:tcBorders>
              <w:top w:val="single" w:sz="6" w:space="0" w:color="auto"/>
              <w:left w:val="single" w:sz="6" w:space="0" w:color="auto"/>
              <w:bottom w:val="single" w:sz="6" w:space="0" w:color="auto"/>
              <w:right w:val="single" w:sz="6" w:space="0" w:color="auto"/>
            </w:tcBorders>
          </w:tcPr>
          <w:p w14:paraId="0E647DA0" w14:textId="77777777" w:rsidR="000A4E61" w:rsidRPr="00EA4C9B" w:rsidRDefault="000A4E61" w:rsidP="00552C7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37%</w:t>
            </w:r>
          </w:p>
        </w:tc>
      </w:tr>
      <w:tr w:rsidR="000A4E61" w:rsidRPr="00EA4C9B" w14:paraId="26D98B13"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2B1A2630" w14:textId="77777777" w:rsidR="000A4E61" w:rsidRPr="00EA4C9B" w:rsidRDefault="000A4E61" w:rsidP="00143629">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Other taxes on pollution</w:t>
            </w:r>
          </w:p>
        </w:tc>
        <w:tc>
          <w:tcPr>
            <w:tcW w:w="1718" w:type="dxa"/>
            <w:tcBorders>
              <w:top w:val="single" w:sz="6" w:space="0" w:color="auto"/>
              <w:left w:val="single" w:sz="6" w:space="0" w:color="auto"/>
              <w:bottom w:val="single" w:sz="6" w:space="0" w:color="auto"/>
              <w:right w:val="single" w:sz="6" w:space="0" w:color="auto"/>
            </w:tcBorders>
          </w:tcPr>
          <w:p w14:paraId="2537D0D0" w14:textId="77777777" w:rsidR="000A4E61" w:rsidRPr="00EA4C9B" w:rsidRDefault="000A4E61" w:rsidP="00552C7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€344.2 - €850.5</w:t>
            </w:r>
          </w:p>
        </w:tc>
        <w:tc>
          <w:tcPr>
            <w:tcW w:w="1894" w:type="dxa"/>
            <w:tcBorders>
              <w:top w:val="single" w:sz="6" w:space="0" w:color="auto"/>
              <w:left w:val="single" w:sz="6" w:space="0" w:color="auto"/>
              <w:bottom w:val="single" w:sz="6" w:space="0" w:color="auto"/>
              <w:right w:val="single" w:sz="6" w:space="0" w:color="auto"/>
            </w:tcBorders>
          </w:tcPr>
          <w:p w14:paraId="69527914" w14:textId="77777777" w:rsidR="000A4E61" w:rsidRPr="00EA4C9B" w:rsidRDefault="000A4E61" w:rsidP="00552C7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€427.3</w:t>
            </w:r>
          </w:p>
        </w:tc>
        <w:tc>
          <w:tcPr>
            <w:tcW w:w="1901" w:type="dxa"/>
            <w:tcBorders>
              <w:top w:val="single" w:sz="6" w:space="0" w:color="auto"/>
              <w:left w:val="single" w:sz="6" w:space="0" w:color="auto"/>
              <w:bottom w:val="single" w:sz="6" w:space="0" w:color="auto"/>
              <w:right w:val="single" w:sz="6" w:space="0" w:color="auto"/>
            </w:tcBorders>
          </w:tcPr>
          <w:p w14:paraId="1BFBD2FA" w14:textId="77777777" w:rsidR="000A4E61" w:rsidRPr="00EA4C9B" w:rsidRDefault="000A4E61" w:rsidP="00552C7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32%</w:t>
            </w:r>
          </w:p>
        </w:tc>
      </w:tr>
    </w:tbl>
    <w:p w14:paraId="02B931F8" w14:textId="77777777" w:rsidR="000A4E61" w:rsidRPr="00EA4C9B" w:rsidRDefault="000A4E61" w:rsidP="000A4E61">
      <w:pPr>
        <w:spacing w:before="120" w:after="120"/>
        <w:textAlignment w:val="baseline"/>
        <w:rPr>
          <w:rFonts w:ascii="Calibri" w:eastAsia="Times New Roman" w:hAnsi="Calibri" w:cs="Calibri"/>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00"/>
        <w:gridCol w:w="1717"/>
        <w:gridCol w:w="1893"/>
        <w:gridCol w:w="1900"/>
      </w:tblGrid>
      <w:tr w:rsidR="000A4E61" w:rsidRPr="00EA4C9B" w14:paraId="508B1EBA" w14:textId="77777777" w:rsidTr="004F0767">
        <w:trPr>
          <w:trHeight w:val="133"/>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15BEB74F" w14:textId="71E2C915" w:rsidR="000A4E61" w:rsidRPr="00143629" w:rsidRDefault="00B666AB" w:rsidP="00143629">
            <w:pPr>
              <w:pStyle w:val="Table"/>
              <w:rPr>
                <w:rFonts w:ascii="Times New Roman" w:eastAsia="Times New Roman" w:hAnsi="Times New Roman" w:cs="Times New Roman"/>
                <w:b/>
                <w:sz w:val="24"/>
                <w:lang w:eastAsia="en-GB"/>
              </w:rPr>
            </w:pPr>
            <w:r w:rsidRPr="00143629">
              <w:rPr>
                <w:b/>
                <w:color w:val="FFFFFF" w:themeColor="background1"/>
              </w:rPr>
              <w:t xml:space="preserve">Table </w:t>
            </w:r>
            <w:r w:rsidR="00490085">
              <w:rPr>
                <w:b/>
                <w:color w:val="FFFFFF" w:themeColor="background1"/>
              </w:rPr>
              <w:t>A6</w:t>
            </w:r>
            <w:r w:rsidR="00143629" w:rsidRPr="00143629">
              <w:rPr>
                <w:b/>
                <w:bCs/>
                <w:color w:val="FFFFFF" w:themeColor="background1"/>
              </w:rPr>
              <w:t>-</w:t>
            </w:r>
            <w:r w:rsidR="00143629" w:rsidRPr="00143629">
              <w:rPr>
                <w:b/>
                <w:bCs/>
                <w:color w:val="FFFFFF" w:themeColor="background1"/>
              </w:rPr>
              <w:fldChar w:fldCharType="begin"/>
            </w:r>
            <w:r w:rsidR="00143629" w:rsidRPr="00143629">
              <w:rPr>
                <w:b/>
                <w:bCs/>
                <w:color w:val="FFFFFF" w:themeColor="background1"/>
              </w:rPr>
              <w:instrText xml:space="preserve"> SEQ Table_A5- \* ARABIC </w:instrText>
            </w:r>
            <w:r w:rsidR="00143629" w:rsidRPr="00143629">
              <w:rPr>
                <w:b/>
                <w:bCs/>
                <w:color w:val="FFFFFF" w:themeColor="background1"/>
              </w:rPr>
              <w:fldChar w:fldCharType="separate"/>
            </w:r>
            <w:r w:rsidR="00F33E5C">
              <w:rPr>
                <w:b/>
                <w:bCs/>
                <w:noProof/>
                <w:color w:val="FFFFFF" w:themeColor="background1"/>
              </w:rPr>
              <w:t>57</w:t>
            </w:r>
            <w:r w:rsidR="00143629" w:rsidRPr="00143629">
              <w:rPr>
                <w:b/>
                <w:bCs/>
                <w:color w:val="FFFFFF" w:themeColor="background1"/>
              </w:rPr>
              <w:fldChar w:fldCharType="end"/>
            </w:r>
            <w:r w:rsidR="000A4E61" w:rsidRPr="00143629">
              <w:rPr>
                <w:rFonts w:ascii="Calibri" w:eastAsia="Times New Roman" w:hAnsi="Calibri" w:cs="Calibri"/>
                <w:b/>
                <w:color w:val="FFFFFF" w:themeColor="background1"/>
                <w:szCs w:val="20"/>
                <w:lang w:eastAsia="en-GB"/>
              </w:rPr>
              <w:t>:  Resource taxes </w:t>
            </w:r>
          </w:p>
        </w:tc>
      </w:tr>
      <w:tr w:rsidR="000A4E61" w:rsidRPr="00EA4C9B" w14:paraId="4F424A96" w14:textId="77777777" w:rsidTr="004F0767">
        <w:trPr>
          <w:trHeight w:val="49"/>
        </w:trPr>
        <w:tc>
          <w:tcPr>
            <w:tcW w:w="3500" w:type="dxa"/>
            <w:tcBorders>
              <w:top w:val="single" w:sz="6" w:space="0" w:color="auto"/>
              <w:left w:val="single" w:sz="6" w:space="0" w:color="auto"/>
              <w:bottom w:val="single" w:sz="6" w:space="0" w:color="auto"/>
              <w:right w:val="single" w:sz="6" w:space="0" w:color="auto"/>
            </w:tcBorders>
            <w:hideMark/>
          </w:tcPr>
          <w:p w14:paraId="0426ABED" w14:textId="77777777" w:rsidR="000A4E61" w:rsidRPr="00EA4C9B" w:rsidRDefault="000A4E61" w:rsidP="00143629">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7" w:type="dxa"/>
            <w:tcBorders>
              <w:top w:val="single" w:sz="6" w:space="0" w:color="auto"/>
              <w:left w:val="single" w:sz="6" w:space="0" w:color="auto"/>
              <w:bottom w:val="single" w:sz="6" w:space="0" w:color="auto"/>
              <w:right w:val="single" w:sz="6" w:space="0" w:color="auto"/>
            </w:tcBorders>
          </w:tcPr>
          <w:p w14:paraId="5A9E5B38" w14:textId="77777777" w:rsidR="000A4E61" w:rsidRPr="00EA4C9B" w:rsidRDefault="000A4E61" w:rsidP="00552C72">
            <w:pPr>
              <w:pStyle w:val="Table"/>
              <w:jc w:val="center"/>
              <w:rPr>
                <w:rFonts w:ascii="Calibri" w:eastAsia="Times New Roman" w:hAnsi="Calibri" w:cs="Calibri"/>
                <w:b/>
                <w:bCs/>
                <w:szCs w:val="20"/>
                <w:lang w:eastAsia="en-GB"/>
              </w:rPr>
            </w:pPr>
            <w:r w:rsidRPr="00EA4C9B">
              <w:rPr>
                <w:rFonts w:ascii="Calibri" w:eastAsia="Times New Roman" w:hAnsi="Calibri" w:cs="Calibri"/>
                <w:b/>
                <w:szCs w:val="20"/>
                <w:lang w:eastAsia="en-GB"/>
              </w:rPr>
              <w:t>Revenue (€ million)</w:t>
            </w:r>
          </w:p>
          <w:p w14:paraId="081E4F0F" w14:textId="77777777" w:rsidR="000A4E61" w:rsidRPr="00EA4C9B" w:rsidRDefault="000A4E61" w:rsidP="00552C72">
            <w:pPr>
              <w:pStyle w:val="Table"/>
              <w:jc w:val="center"/>
              <w:rPr>
                <w:rFonts w:ascii="Calibri" w:eastAsia="Times New Roman" w:hAnsi="Calibri" w:cs="Calibri"/>
                <w:b/>
                <w:szCs w:val="20"/>
                <w:lang w:eastAsia="en-GB"/>
              </w:rPr>
            </w:pPr>
            <w:r w:rsidRPr="00EA4C9B">
              <w:rPr>
                <w:rFonts w:ascii="Calibri" w:eastAsia="Times New Roman" w:hAnsi="Calibri" w:cs="Calibri"/>
                <w:b/>
                <w:szCs w:val="20"/>
                <w:lang w:eastAsia="en-GB"/>
              </w:rPr>
              <w:t>2009-2023</w:t>
            </w:r>
          </w:p>
        </w:tc>
        <w:tc>
          <w:tcPr>
            <w:tcW w:w="1893" w:type="dxa"/>
            <w:tcBorders>
              <w:top w:val="single" w:sz="6" w:space="0" w:color="auto"/>
              <w:left w:val="single" w:sz="6" w:space="0" w:color="auto"/>
              <w:bottom w:val="single" w:sz="6" w:space="0" w:color="auto"/>
              <w:right w:val="single" w:sz="6" w:space="0" w:color="auto"/>
            </w:tcBorders>
            <w:hideMark/>
          </w:tcPr>
          <w:p w14:paraId="0DCBB284" w14:textId="77777777" w:rsidR="000A4E61" w:rsidRPr="00EA4C9B" w:rsidRDefault="000A4E61" w:rsidP="00552C7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00" w:type="dxa"/>
            <w:tcBorders>
              <w:top w:val="single" w:sz="6" w:space="0" w:color="auto"/>
              <w:left w:val="single" w:sz="6" w:space="0" w:color="auto"/>
              <w:bottom w:val="single" w:sz="6" w:space="0" w:color="auto"/>
              <w:right w:val="single" w:sz="6" w:space="0" w:color="auto"/>
            </w:tcBorders>
            <w:hideMark/>
          </w:tcPr>
          <w:p w14:paraId="5A8C310B" w14:textId="77777777" w:rsidR="000A4E61" w:rsidRPr="00EA4C9B" w:rsidRDefault="000A4E61" w:rsidP="00552C7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resource tax revenues</w:t>
            </w:r>
          </w:p>
        </w:tc>
      </w:tr>
      <w:tr w:rsidR="000A4E61" w:rsidRPr="00EA4C9B" w14:paraId="01A267EF" w14:textId="77777777" w:rsidTr="004F0767">
        <w:trPr>
          <w:trHeight w:val="104"/>
        </w:trPr>
        <w:tc>
          <w:tcPr>
            <w:tcW w:w="3500" w:type="dxa"/>
            <w:tcBorders>
              <w:top w:val="single" w:sz="6" w:space="0" w:color="auto"/>
              <w:left w:val="single" w:sz="6" w:space="0" w:color="auto"/>
              <w:bottom w:val="single" w:sz="6" w:space="0" w:color="auto"/>
              <w:right w:val="single" w:sz="6" w:space="0" w:color="auto"/>
            </w:tcBorders>
            <w:hideMark/>
          </w:tcPr>
          <w:p w14:paraId="3D34434B" w14:textId="77777777" w:rsidR="000A4E61" w:rsidRPr="00EA4C9B" w:rsidRDefault="000A4E61" w:rsidP="00143629">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Usage fee on water extraction</w:t>
            </w:r>
          </w:p>
        </w:tc>
        <w:tc>
          <w:tcPr>
            <w:tcW w:w="1717" w:type="dxa"/>
            <w:tcBorders>
              <w:top w:val="single" w:sz="6" w:space="0" w:color="auto"/>
              <w:left w:val="single" w:sz="6" w:space="0" w:color="auto"/>
              <w:bottom w:val="single" w:sz="6" w:space="0" w:color="auto"/>
              <w:right w:val="single" w:sz="6" w:space="0" w:color="auto"/>
            </w:tcBorders>
          </w:tcPr>
          <w:p w14:paraId="1906762E" w14:textId="77777777" w:rsidR="000A4E61" w:rsidRPr="00EA4C9B" w:rsidRDefault="000A4E61" w:rsidP="00552C7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€302.6 - €731.8</w:t>
            </w:r>
          </w:p>
        </w:tc>
        <w:tc>
          <w:tcPr>
            <w:tcW w:w="1893" w:type="dxa"/>
            <w:tcBorders>
              <w:top w:val="single" w:sz="6" w:space="0" w:color="auto"/>
              <w:left w:val="single" w:sz="6" w:space="0" w:color="auto"/>
              <w:bottom w:val="single" w:sz="6" w:space="0" w:color="auto"/>
              <w:right w:val="single" w:sz="6" w:space="0" w:color="auto"/>
            </w:tcBorders>
            <w:hideMark/>
          </w:tcPr>
          <w:p w14:paraId="27F085B3" w14:textId="77777777" w:rsidR="000A4E61" w:rsidRPr="00EA4C9B" w:rsidRDefault="000A4E61" w:rsidP="00552C7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€468.8</w:t>
            </w:r>
          </w:p>
        </w:tc>
        <w:tc>
          <w:tcPr>
            <w:tcW w:w="1900" w:type="dxa"/>
            <w:tcBorders>
              <w:top w:val="single" w:sz="6" w:space="0" w:color="auto"/>
              <w:left w:val="single" w:sz="6" w:space="0" w:color="auto"/>
              <w:bottom w:val="single" w:sz="6" w:space="0" w:color="auto"/>
              <w:right w:val="single" w:sz="6" w:space="0" w:color="auto"/>
            </w:tcBorders>
            <w:hideMark/>
          </w:tcPr>
          <w:p w14:paraId="5145E657" w14:textId="77777777" w:rsidR="000A4E61" w:rsidRPr="00EA4C9B" w:rsidRDefault="000A4E61" w:rsidP="00552C7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100%</w:t>
            </w:r>
          </w:p>
        </w:tc>
      </w:tr>
    </w:tbl>
    <w:p w14:paraId="4E79E482" w14:textId="77777777" w:rsidR="000A4E61" w:rsidRPr="00EA4C9B" w:rsidRDefault="000A4E61" w:rsidP="000A4E61">
      <w:pPr>
        <w:spacing w:before="120" w:after="120"/>
        <w:textAlignment w:val="baseline"/>
        <w:rPr>
          <w:rFonts w:ascii="Calibri" w:eastAsia="Times New Roman" w:hAnsi="Calibri" w:cs="Calibri"/>
          <w:lang w:eastAsia="en-G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933"/>
      </w:tblGrid>
      <w:tr w:rsidR="000A4E61" w:rsidRPr="00EA4C9B" w14:paraId="7D14C489" w14:textId="77777777" w:rsidTr="00BA7936">
        <w:tc>
          <w:tcPr>
            <w:tcW w:w="9016" w:type="dxa"/>
            <w:gridSpan w:val="2"/>
            <w:shd w:val="clear" w:color="auto" w:fill="003399"/>
          </w:tcPr>
          <w:p w14:paraId="35404145" w14:textId="223CEA53" w:rsidR="000A4E61" w:rsidRPr="00143629" w:rsidRDefault="00B666AB" w:rsidP="00143629">
            <w:pPr>
              <w:pStyle w:val="Table"/>
              <w:rPr>
                <w:b/>
                <w:lang w:eastAsia="en-GB"/>
              </w:rPr>
            </w:pPr>
            <w:r w:rsidRPr="00143629">
              <w:rPr>
                <w:b/>
                <w:color w:val="FFFFFF" w:themeColor="background1"/>
              </w:rPr>
              <w:t xml:space="preserve">Table </w:t>
            </w:r>
            <w:r w:rsidR="00490085">
              <w:rPr>
                <w:b/>
                <w:color w:val="FFFFFF" w:themeColor="background1"/>
              </w:rPr>
              <w:t>A6</w:t>
            </w:r>
            <w:r w:rsidR="00143629" w:rsidRPr="00143629">
              <w:rPr>
                <w:b/>
                <w:bCs/>
                <w:color w:val="FFFFFF" w:themeColor="background1"/>
              </w:rPr>
              <w:t>-</w:t>
            </w:r>
            <w:r w:rsidR="00143629" w:rsidRPr="00143629">
              <w:rPr>
                <w:b/>
                <w:bCs/>
                <w:color w:val="FFFFFF" w:themeColor="background1"/>
              </w:rPr>
              <w:fldChar w:fldCharType="begin"/>
            </w:r>
            <w:r w:rsidR="00143629" w:rsidRPr="00143629">
              <w:rPr>
                <w:b/>
                <w:bCs/>
                <w:color w:val="FFFFFF" w:themeColor="background1"/>
              </w:rPr>
              <w:instrText xml:space="preserve"> SEQ Table_A5- \* ARABIC </w:instrText>
            </w:r>
            <w:r w:rsidR="00143629" w:rsidRPr="00143629">
              <w:rPr>
                <w:b/>
                <w:bCs/>
                <w:color w:val="FFFFFF" w:themeColor="background1"/>
              </w:rPr>
              <w:fldChar w:fldCharType="separate"/>
            </w:r>
            <w:r w:rsidR="00F33E5C">
              <w:rPr>
                <w:b/>
                <w:bCs/>
                <w:noProof/>
                <w:color w:val="FFFFFF" w:themeColor="background1"/>
              </w:rPr>
              <w:t>58</w:t>
            </w:r>
            <w:r w:rsidR="00143629" w:rsidRPr="00143629">
              <w:rPr>
                <w:b/>
                <w:bCs/>
                <w:color w:val="FFFFFF" w:themeColor="background1"/>
              </w:rPr>
              <w:fldChar w:fldCharType="end"/>
            </w:r>
            <w:r w:rsidR="000A4E61" w:rsidRPr="00143629">
              <w:rPr>
                <w:b/>
                <w:color w:val="FFFFFF" w:themeColor="background1"/>
                <w:lang w:eastAsia="en-GB"/>
              </w:rPr>
              <w:t>: Other environmental taxes not reported in the National Tax Lists</w:t>
            </w:r>
          </w:p>
        </w:tc>
      </w:tr>
      <w:tr w:rsidR="000A4E61" w:rsidRPr="00EA4C9B" w14:paraId="3FE601DF" w14:textId="77777777" w:rsidTr="00BA7936">
        <w:tc>
          <w:tcPr>
            <w:tcW w:w="7083" w:type="dxa"/>
          </w:tcPr>
          <w:p w14:paraId="20C4BF1F" w14:textId="7CE8F4FB" w:rsidR="000A4E61" w:rsidRPr="00552C72" w:rsidRDefault="00B666AB" w:rsidP="00143629">
            <w:pPr>
              <w:pStyle w:val="Table"/>
              <w:rPr>
                <w:b/>
                <w:bCs/>
                <w:lang w:eastAsia="en-GB"/>
              </w:rPr>
            </w:pPr>
            <w:r w:rsidRPr="00552C72">
              <w:rPr>
                <w:b/>
                <w:bCs/>
                <w:lang w:eastAsia="en-GB"/>
              </w:rPr>
              <w:t>Tax Name </w:t>
            </w:r>
          </w:p>
        </w:tc>
        <w:tc>
          <w:tcPr>
            <w:tcW w:w="1933" w:type="dxa"/>
          </w:tcPr>
          <w:p w14:paraId="36E4CBC6" w14:textId="18FAE667" w:rsidR="000A4E61" w:rsidRPr="00EA4C9B" w:rsidRDefault="000A4E61" w:rsidP="00552C72">
            <w:pPr>
              <w:pStyle w:val="Table"/>
              <w:jc w:val="center"/>
              <w:rPr>
                <w:rFonts w:ascii="Calibri" w:eastAsia="Times New Roman" w:hAnsi="Calibri" w:cs="Calibri"/>
                <w:b/>
                <w:bCs/>
                <w:szCs w:val="20"/>
                <w:lang w:eastAsia="en-GB"/>
              </w:rPr>
            </w:pPr>
            <w:r w:rsidRPr="00552C72">
              <w:rPr>
                <w:b/>
                <w:bCs/>
                <w:lang w:eastAsia="en-GB"/>
              </w:rPr>
              <w:t>Annual revenue</w:t>
            </w:r>
          </w:p>
          <w:p w14:paraId="026A37A9" w14:textId="77777777" w:rsidR="000A4E61" w:rsidRPr="00552C72" w:rsidRDefault="000A4E61" w:rsidP="00552C72">
            <w:pPr>
              <w:pStyle w:val="Table"/>
              <w:jc w:val="center"/>
              <w:rPr>
                <w:b/>
                <w:bCs/>
                <w:lang w:eastAsia="en-GB"/>
              </w:rPr>
            </w:pPr>
            <w:r w:rsidRPr="00552C72">
              <w:rPr>
                <w:b/>
                <w:bCs/>
                <w:lang w:eastAsia="en-GB"/>
              </w:rPr>
              <w:t>(€ million) in 2023</w:t>
            </w:r>
          </w:p>
        </w:tc>
      </w:tr>
      <w:tr w:rsidR="000A4E61" w:rsidRPr="00EA4C9B" w14:paraId="4960F541" w14:textId="77777777" w:rsidTr="00BA7936">
        <w:tc>
          <w:tcPr>
            <w:tcW w:w="7083" w:type="dxa"/>
          </w:tcPr>
          <w:p w14:paraId="75E299AF" w14:textId="77777777" w:rsidR="000A4E61" w:rsidRPr="00EA4C9B" w:rsidRDefault="000A4E61" w:rsidP="00143629">
            <w:pPr>
              <w:pStyle w:val="Table"/>
              <w:rPr>
                <w:lang w:eastAsia="en-GB"/>
              </w:rPr>
            </w:pPr>
            <w:r w:rsidRPr="00EA4C9B">
              <w:rPr>
                <w:lang w:eastAsia="en-GB"/>
              </w:rPr>
              <w:t>Fertiliser levy/ Agrochemical Market Placement Tax</w:t>
            </w:r>
          </w:p>
        </w:tc>
        <w:tc>
          <w:tcPr>
            <w:tcW w:w="1933" w:type="dxa"/>
          </w:tcPr>
          <w:p w14:paraId="112EBEF8" w14:textId="77777777" w:rsidR="000A4E61" w:rsidRPr="00EA4C9B" w:rsidRDefault="000A4E61" w:rsidP="00552C72">
            <w:pPr>
              <w:pStyle w:val="Table"/>
              <w:jc w:val="center"/>
              <w:rPr>
                <w:lang w:eastAsia="en-GB"/>
              </w:rPr>
            </w:pPr>
            <w:r w:rsidRPr="00EA4C9B">
              <w:rPr>
                <w:lang w:eastAsia="en-GB"/>
              </w:rPr>
              <w:t>N.A.</w:t>
            </w:r>
          </w:p>
        </w:tc>
      </w:tr>
      <w:tr w:rsidR="000A4E61" w:rsidRPr="00EA4C9B" w14:paraId="6A8BAD4D" w14:textId="77777777" w:rsidTr="00BA7936">
        <w:tc>
          <w:tcPr>
            <w:tcW w:w="7083" w:type="dxa"/>
          </w:tcPr>
          <w:p w14:paraId="27AD8B31" w14:textId="77777777" w:rsidR="000A4E61" w:rsidRPr="00EA4C9B" w:rsidRDefault="000A4E61" w:rsidP="00143629">
            <w:pPr>
              <w:pStyle w:val="Table"/>
              <w:rPr>
                <w:lang w:eastAsia="en-GB"/>
              </w:rPr>
            </w:pPr>
            <w:r w:rsidRPr="00EA4C9B">
              <w:rPr>
                <w:lang w:eastAsia="en-GB"/>
              </w:rPr>
              <w:t>General Tax on Pollution</w:t>
            </w:r>
          </w:p>
        </w:tc>
        <w:tc>
          <w:tcPr>
            <w:tcW w:w="1933" w:type="dxa"/>
          </w:tcPr>
          <w:p w14:paraId="47C1A2B4" w14:textId="77777777" w:rsidR="000A4E61" w:rsidRPr="00EA4C9B" w:rsidRDefault="000A4E61" w:rsidP="00552C72">
            <w:pPr>
              <w:pStyle w:val="Table"/>
              <w:jc w:val="center"/>
              <w:rPr>
                <w:lang w:eastAsia="en-GB"/>
              </w:rPr>
            </w:pPr>
            <w:r w:rsidRPr="00EA4C9B">
              <w:rPr>
                <w:lang w:eastAsia="en-GB"/>
              </w:rPr>
              <w:t>N.A.</w:t>
            </w:r>
          </w:p>
        </w:tc>
      </w:tr>
      <w:tr w:rsidR="000A4E61" w:rsidRPr="00EA4C9B" w14:paraId="192B05F5" w14:textId="77777777" w:rsidTr="00BA7936">
        <w:tc>
          <w:tcPr>
            <w:tcW w:w="7083" w:type="dxa"/>
          </w:tcPr>
          <w:p w14:paraId="0B8461FB" w14:textId="77777777" w:rsidR="000A4E61" w:rsidRPr="00EA4C9B" w:rsidRDefault="000A4E61" w:rsidP="00143629">
            <w:pPr>
              <w:pStyle w:val="Table"/>
              <w:rPr>
                <w:lang w:eastAsia="en-GB"/>
              </w:rPr>
            </w:pPr>
            <w:r w:rsidRPr="00EA4C9B">
              <w:rPr>
                <w:lang w:eastAsia="en-GB"/>
              </w:rPr>
              <w:t>Charge on municipal waste collection / treatment</w:t>
            </w:r>
          </w:p>
        </w:tc>
        <w:tc>
          <w:tcPr>
            <w:tcW w:w="1933" w:type="dxa"/>
          </w:tcPr>
          <w:p w14:paraId="70AF8916" w14:textId="77777777" w:rsidR="000A4E61" w:rsidRPr="00EA4C9B" w:rsidRDefault="000A4E61" w:rsidP="00552C72">
            <w:pPr>
              <w:pStyle w:val="Table"/>
              <w:jc w:val="center"/>
              <w:rPr>
                <w:lang w:eastAsia="en-GB"/>
              </w:rPr>
            </w:pPr>
            <w:r w:rsidRPr="00EA4C9B">
              <w:rPr>
                <w:lang w:eastAsia="en-GB"/>
              </w:rPr>
              <w:t>N.A.</w:t>
            </w:r>
          </w:p>
        </w:tc>
      </w:tr>
      <w:tr w:rsidR="000A4E61" w:rsidRPr="00EA4C9B" w14:paraId="7D390D0D" w14:textId="77777777" w:rsidTr="00BA7936">
        <w:tc>
          <w:tcPr>
            <w:tcW w:w="7083" w:type="dxa"/>
          </w:tcPr>
          <w:p w14:paraId="22905050" w14:textId="77777777" w:rsidR="000A4E61" w:rsidRPr="00EA4C9B" w:rsidRDefault="000A4E61" w:rsidP="00143629">
            <w:pPr>
              <w:pStyle w:val="Table"/>
              <w:rPr>
                <w:lang w:eastAsia="en-GB"/>
              </w:rPr>
            </w:pPr>
            <w:r w:rsidRPr="00EA4C9B">
              <w:rPr>
                <w:lang w:eastAsia="en-GB"/>
              </w:rPr>
              <w:t>Pollution charges on domestic and non-domestic water uses</w:t>
            </w:r>
          </w:p>
        </w:tc>
        <w:tc>
          <w:tcPr>
            <w:tcW w:w="1933" w:type="dxa"/>
          </w:tcPr>
          <w:p w14:paraId="1565CB68" w14:textId="77777777" w:rsidR="000A4E61" w:rsidRPr="00EA4C9B" w:rsidRDefault="000A4E61" w:rsidP="00552C72">
            <w:pPr>
              <w:pStyle w:val="Table"/>
              <w:jc w:val="center"/>
              <w:rPr>
                <w:lang w:eastAsia="en-GB"/>
              </w:rPr>
            </w:pPr>
            <w:r w:rsidRPr="00EA4C9B">
              <w:rPr>
                <w:lang w:eastAsia="en-GB"/>
              </w:rPr>
              <w:t>N.A.</w:t>
            </w:r>
          </w:p>
        </w:tc>
      </w:tr>
      <w:tr w:rsidR="000A4E61" w:rsidRPr="00EA4C9B" w14:paraId="103801DF" w14:textId="77777777" w:rsidTr="00BA7936">
        <w:tc>
          <w:tcPr>
            <w:tcW w:w="7083" w:type="dxa"/>
          </w:tcPr>
          <w:p w14:paraId="10B69560" w14:textId="77777777" w:rsidR="000A4E61" w:rsidRPr="00EA4C9B" w:rsidRDefault="000A4E61" w:rsidP="00143629">
            <w:pPr>
              <w:pStyle w:val="Table"/>
              <w:rPr>
                <w:lang w:eastAsia="en-GB"/>
              </w:rPr>
            </w:pPr>
            <w:r w:rsidRPr="00EA4C9B">
              <w:rPr>
                <w:lang w:eastAsia="en-GB"/>
              </w:rPr>
              <w:t>Charge on water supply</w:t>
            </w:r>
          </w:p>
        </w:tc>
        <w:tc>
          <w:tcPr>
            <w:tcW w:w="1933" w:type="dxa"/>
          </w:tcPr>
          <w:p w14:paraId="478D3BB2" w14:textId="77777777" w:rsidR="000A4E61" w:rsidRPr="00EA4C9B" w:rsidRDefault="000A4E61" w:rsidP="00552C72">
            <w:pPr>
              <w:pStyle w:val="Table"/>
              <w:jc w:val="center"/>
              <w:rPr>
                <w:lang w:eastAsia="en-GB"/>
              </w:rPr>
            </w:pPr>
            <w:r w:rsidRPr="00EA4C9B">
              <w:rPr>
                <w:lang w:eastAsia="en-GB"/>
              </w:rPr>
              <w:t>N.A.</w:t>
            </w:r>
          </w:p>
        </w:tc>
      </w:tr>
      <w:tr w:rsidR="000A4E61" w:rsidRPr="00EA4C9B" w14:paraId="64948093" w14:textId="77777777" w:rsidTr="00BA7936">
        <w:tc>
          <w:tcPr>
            <w:tcW w:w="7083" w:type="dxa"/>
          </w:tcPr>
          <w:p w14:paraId="4FAC7232" w14:textId="77777777" w:rsidR="000A4E61" w:rsidRPr="00EA4C9B" w:rsidRDefault="000A4E61" w:rsidP="00143629">
            <w:pPr>
              <w:pStyle w:val="Table"/>
              <w:rPr>
                <w:lang w:eastAsia="en-GB"/>
              </w:rPr>
            </w:pPr>
            <w:r w:rsidRPr="00EA4C9B">
              <w:rPr>
                <w:lang w:eastAsia="en-GB"/>
              </w:rPr>
              <w:t>Tax on seafood and aquaculture</w:t>
            </w:r>
          </w:p>
        </w:tc>
        <w:tc>
          <w:tcPr>
            <w:tcW w:w="1933" w:type="dxa"/>
          </w:tcPr>
          <w:p w14:paraId="25A5CC1F" w14:textId="77777777" w:rsidR="000A4E61" w:rsidRPr="00EA4C9B" w:rsidRDefault="000A4E61" w:rsidP="00552C72">
            <w:pPr>
              <w:pStyle w:val="Table"/>
              <w:jc w:val="center"/>
              <w:rPr>
                <w:lang w:eastAsia="en-GB"/>
              </w:rPr>
            </w:pPr>
            <w:r w:rsidRPr="00EA4C9B">
              <w:rPr>
                <w:lang w:eastAsia="en-GB"/>
              </w:rPr>
              <w:t>N.A.</w:t>
            </w:r>
          </w:p>
        </w:tc>
      </w:tr>
      <w:tr w:rsidR="000A4E61" w:rsidRPr="00EA4C9B" w14:paraId="6527AB54" w14:textId="77777777" w:rsidTr="00BA7936">
        <w:tc>
          <w:tcPr>
            <w:tcW w:w="7083" w:type="dxa"/>
          </w:tcPr>
          <w:p w14:paraId="301573E6" w14:textId="77777777" w:rsidR="000A4E61" w:rsidRPr="00EA4C9B" w:rsidRDefault="000A4E61" w:rsidP="00143629">
            <w:pPr>
              <w:pStyle w:val="Table"/>
              <w:rPr>
                <w:lang w:eastAsia="en-GB"/>
              </w:rPr>
            </w:pPr>
            <w:r w:rsidRPr="00EA4C9B">
              <w:rPr>
                <w:lang w:eastAsia="en-GB"/>
              </w:rPr>
              <w:t>Fee for the management of urban stormwater</w:t>
            </w:r>
          </w:p>
        </w:tc>
        <w:tc>
          <w:tcPr>
            <w:tcW w:w="1933" w:type="dxa"/>
          </w:tcPr>
          <w:p w14:paraId="420C18FE" w14:textId="77777777" w:rsidR="000A4E61" w:rsidRPr="00EA4C9B" w:rsidRDefault="000A4E61" w:rsidP="00552C72">
            <w:pPr>
              <w:pStyle w:val="Table"/>
              <w:jc w:val="center"/>
              <w:rPr>
                <w:lang w:eastAsia="en-GB"/>
              </w:rPr>
            </w:pPr>
            <w:r w:rsidRPr="00EA4C9B">
              <w:rPr>
                <w:lang w:eastAsia="en-GB"/>
              </w:rPr>
              <w:t>N.A.</w:t>
            </w:r>
          </w:p>
        </w:tc>
      </w:tr>
      <w:tr w:rsidR="000A4E61" w:rsidRPr="00EA4C9B" w14:paraId="562B971B" w14:textId="77777777" w:rsidTr="00BA7936">
        <w:tc>
          <w:tcPr>
            <w:tcW w:w="7083" w:type="dxa"/>
          </w:tcPr>
          <w:p w14:paraId="3DE4944D" w14:textId="77777777" w:rsidR="000A4E61" w:rsidRPr="00EA4C9B" w:rsidRDefault="000A4E61" w:rsidP="00143629">
            <w:pPr>
              <w:pStyle w:val="Table"/>
              <w:rPr>
                <w:lang w:eastAsia="en-GB"/>
              </w:rPr>
            </w:pPr>
            <w:r w:rsidRPr="00EA4C9B">
              <w:rPr>
                <w:lang w:eastAsia="en-GB"/>
              </w:rPr>
              <w:t>Mineral water tax</w:t>
            </w:r>
          </w:p>
        </w:tc>
        <w:tc>
          <w:tcPr>
            <w:tcW w:w="1933" w:type="dxa"/>
          </w:tcPr>
          <w:p w14:paraId="051A1F33" w14:textId="77777777" w:rsidR="000A4E61" w:rsidRPr="00EA4C9B" w:rsidRDefault="000A4E61" w:rsidP="00552C72">
            <w:pPr>
              <w:pStyle w:val="Table"/>
              <w:jc w:val="center"/>
              <w:rPr>
                <w:lang w:eastAsia="en-GB"/>
              </w:rPr>
            </w:pPr>
            <w:r w:rsidRPr="00EA4C9B">
              <w:rPr>
                <w:lang w:eastAsia="en-GB"/>
              </w:rPr>
              <w:t>N.A.</w:t>
            </w:r>
          </w:p>
        </w:tc>
      </w:tr>
      <w:tr w:rsidR="000A4E61" w:rsidRPr="00EA4C9B" w14:paraId="3872C014" w14:textId="77777777" w:rsidTr="00BA7936">
        <w:tc>
          <w:tcPr>
            <w:tcW w:w="7083" w:type="dxa"/>
          </w:tcPr>
          <w:p w14:paraId="6150CDC2" w14:textId="77777777" w:rsidR="000A4E61" w:rsidRPr="00EA4C9B" w:rsidRDefault="000A4E61" w:rsidP="00143629">
            <w:pPr>
              <w:pStyle w:val="Table"/>
              <w:rPr>
                <w:lang w:eastAsia="en-GB"/>
              </w:rPr>
            </w:pPr>
            <w:r w:rsidRPr="00EA4C9B">
              <w:rPr>
                <w:lang w:eastAsia="en-GB"/>
              </w:rPr>
              <w:t>Household waste removal tax</w:t>
            </w:r>
          </w:p>
        </w:tc>
        <w:tc>
          <w:tcPr>
            <w:tcW w:w="1933" w:type="dxa"/>
          </w:tcPr>
          <w:p w14:paraId="73F27B57" w14:textId="77777777" w:rsidR="000A4E61" w:rsidRPr="00EA4C9B" w:rsidRDefault="000A4E61" w:rsidP="00552C72">
            <w:pPr>
              <w:pStyle w:val="Table"/>
              <w:jc w:val="center"/>
              <w:rPr>
                <w:lang w:eastAsia="en-GB"/>
              </w:rPr>
            </w:pPr>
            <w:r w:rsidRPr="00EA4C9B">
              <w:rPr>
                <w:lang w:eastAsia="en-GB"/>
              </w:rPr>
              <w:t>€8,535</w:t>
            </w:r>
          </w:p>
        </w:tc>
      </w:tr>
      <w:tr w:rsidR="000A4E61" w:rsidRPr="00EA4C9B" w14:paraId="5753F34F" w14:textId="77777777" w:rsidTr="00BA7936">
        <w:tc>
          <w:tcPr>
            <w:tcW w:w="7083" w:type="dxa"/>
          </w:tcPr>
          <w:p w14:paraId="253F8254" w14:textId="77777777" w:rsidR="000A4E61" w:rsidRPr="00EA4C9B" w:rsidRDefault="000A4E61" w:rsidP="00143629">
            <w:pPr>
              <w:pStyle w:val="Table"/>
              <w:rPr>
                <w:lang w:eastAsia="en-GB"/>
              </w:rPr>
            </w:pPr>
            <w:r w:rsidRPr="00EA4C9B">
              <w:rPr>
                <w:lang w:eastAsia="en-GB"/>
              </w:rPr>
              <w:t>Charge for the protection of the aquatic environment</w:t>
            </w:r>
          </w:p>
        </w:tc>
        <w:tc>
          <w:tcPr>
            <w:tcW w:w="1933" w:type="dxa"/>
          </w:tcPr>
          <w:p w14:paraId="107799CC" w14:textId="77777777" w:rsidR="000A4E61" w:rsidRPr="00EA4C9B" w:rsidRDefault="000A4E61" w:rsidP="00552C72">
            <w:pPr>
              <w:pStyle w:val="Table"/>
              <w:jc w:val="center"/>
              <w:rPr>
                <w:lang w:eastAsia="en-GB"/>
              </w:rPr>
            </w:pPr>
            <w:r w:rsidRPr="00EA4C9B">
              <w:rPr>
                <w:lang w:eastAsia="en-GB"/>
              </w:rPr>
              <w:t>N.A.</w:t>
            </w:r>
          </w:p>
        </w:tc>
      </w:tr>
      <w:tr w:rsidR="000A4E61" w:rsidRPr="00EA4C9B" w14:paraId="7F971370" w14:textId="77777777" w:rsidTr="00BA7936">
        <w:tc>
          <w:tcPr>
            <w:tcW w:w="7083" w:type="dxa"/>
          </w:tcPr>
          <w:p w14:paraId="4AAA137C" w14:textId="77777777" w:rsidR="000A4E61" w:rsidRPr="00EA4C9B" w:rsidRDefault="000A4E61" w:rsidP="00143629">
            <w:pPr>
              <w:pStyle w:val="Table"/>
              <w:rPr>
                <w:lang w:eastAsia="en-GB"/>
              </w:rPr>
            </w:pPr>
            <w:r w:rsidRPr="00EA4C9B">
              <w:rPr>
                <w:lang w:eastAsia="en-GB"/>
              </w:rPr>
              <w:t>Water and sewerage charges</w:t>
            </w:r>
          </w:p>
        </w:tc>
        <w:tc>
          <w:tcPr>
            <w:tcW w:w="1933" w:type="dxa"/>
          </w:tcPr>
          <w:p w14:paraId="79BA6A90" w14:textId="77777777" w:rsidR="000A4E61" w:rsidRPr="00EA4C9B" w:rsidRDefault="000A4E61" w:rsidP="00552C72">
            <w:pPr>
              <w:pStyle w:val="Table"/>
              <w:jc w:val="center"/>
              <w:rPr>
                <w:lang w:eastAsia="en-GB"/>
              </w:rPr>
            </w:pPr>
            <w:r w:rsidRPr="00EA4C9B">
              <w:rPr>
                <w:lang w:eastAsia="en-GB"/>
              </w:rPr>
              <w:t>N.A.</w:t>
            </w:r>
          </w:p>
        </w:tc>
      </w:tr>
      <w:tr w:rsidR="000A4E61" w:rsidRPr="00EA4C9B" w14:paraId="154DD3BD" w14:textId="77777777" w:rsidTr="00BA7936">
        <w:tc>
          <w:tcPr>
            <w:tcW w:w="7083" w:type="dxa"/>
          </w:tcPr>
          <w:p w14:paraId="61D1BCED" w14:textId="77777777" w:rsidR="000A4E61" w:rsidRPr="00C305AC" w:rsidRDefault="000A4E61" w:rsidP="00143629">
            <w:pPr>
              <w:pStyle w:val="Table"/>
              <w:rPr>
                <w:lang w:val="fr-BE" w:eastAsia="en-GB"/>
              </w:rPr>
            </w:pPr>
            <w:r w:rsidRPr="00C305AC">
              <w:rPr>
                <w:lang w:val="fr-BE" w:eastAsia="en-GB"/>
              </w:rPr>
              <w:t>Charge on non-point source pollution</w:t>
            </w:r>
          </w:p>
        </w:tc>
        <w:tc>
          <w:tcPr>
            <w:tcW w:w="1933" w:type="dxa"/>
          </w:tcPr>
          <w:p w14:paraId="4649B912" w14:textId="77777777" w:rsidR="000A4E61" w:rsidRPr="00EA4C9B" w:rsidRDefault="000A4E61" w:rsidP="00552C72">
            <w:pPr>
              <w:pStyle w:val="Table"/>
              <w:jc w:val="center"/>
              <w:rPr>
                <w:lang w:eastAsia="en-GB"/>
              </w:rPr>
            </w:pPr>
            <w:r w:rsidRPr="00EA4C9B">
              <w:rPr>
                <w:lang w:eastAsia="en-GB"/>
              </w:rPr>
              <w:t>N.A.</w:t>
            </w:r>
          </w:p>
        </w:tc>
      </w:tr>
      <w:tr w:rsidR="000A4E61" w:rsidRPr="00EA4C9B" w14:paraId="16C18C2D" w14:textId="77777777" w:rsidTr="00BA7936">
        <w:tc>
          <w:tcPr>
            <w:tcW w:w="7083" w:type="dxa"/>
          </w:tcPr>
          <w:p w14:paraId="65C0B839" w14:textId="77777777" w:rsidR="000A4E61" w:rsidRPr="00EA4C9B" w:rsidRDefault="000A4E61" w:rsidP="00143629">
            <w:pPr>
              <w:pStyle w:val="Table"/>
              <w:rPr>
                <w:lang w:eastAsia="en-GB"/>
              </w:rPr>
            </w:pPr>
            <w:r w:rsidRPr="00EA4C9B">
              <w:rPr>
                <w:lang w:eastAsia="en-GB"/>
              </w:rPr>
              <w:t>Mining taxes</w:t>
            </w:r>
          </w:p>
        </w:tc>
        <w:tc>
          <w:tcPr>
            <w:tcW w:w="1933" w:type="dxa"/>
          </w:tcPr>
          <w:p w14:paraId="2D68563F" w14:textId="77777777" w:rsidR="000A4E61" w:rsidRPr="00EA4C9B" w:rsidRDefault="000A4E61" w:rsidP="00552C72">
            <w:pPr>
              <w:pStyle w:val="Table"/>
              <w:jc w:val="center"/>
              <w:rPr>
                <w:lang w:eastAsia="en-GB"/>
              </w:rPr>
            </w:pPr>
            <w:r w:rsidRPr="00EA4C9B">
              <w:rPr>
                <w:lang w:eastAsia="en-GB"/>
              </w:rPr>
              <w:t>N.A.</w:t>
            </w:r>
          </w:p>
        </w:tc>
      </w:tr>
      <w:tr w:rsidR="000A4E61" w:rsidRPr="00EA4C9B" w14:paraId="7BCAA08F" w14:textId="77777777" w:rsidTr="00BA7936">
        <w:tc>
          <w:tcPr>
            <w:tcW w:w="7083" w:type="dxa"/>
          </w:tcPr>
          <w:p w14:paraId="1A2B534C" w14:textId="77777777" w:rsidR="000A4E61" w:rsidRPr="00EA4C9B" w:rsidRDefault="000A4E61" w:rsidP="00143629">
            <w:pPr>
              <w:pStyle w:val="Table"/>
              <w:rPr>
                <w:lang w:eastAsia="en-GB"/>
              </w:rPr>
            </w:pPr>
            <w:r w:rsidRPr="00EA4C9B">
              <w:rPr>
                <w:lang w:eastAsia="en-GB"/>
              </w:rPr>
              <w:t>Hunting charges</w:t>
            </w:r>
          </w:p>
        </w:tc>
        <w:tc>
          <w:tcPr>
            <w:tcW w:w="1933" w:type="dxa"/>
          </w:tcPr>
          <w:p w14:paraId="0B273FE3" w14:textId="77777777" w:rsidR="000A4E61" w:rsidRPr="00EA4C9B" w:rsidRDefault="000A4E61" w:rsidP="00552C72">
            <w:pPr>
              <w:pStyle w:val="Table"/>
              <w:jc w:val="center"/>
              <w:rPr>
                <w:lang w:eastAsia="en-GB"/>
              </w:rPr>
            </w:pPr>
            <w:r w:rsidRPr="00EA4C9B">
              <w:rPr>
                <w:lang w:eastAsia="en-GB"/>
              </w:rPr>
              <w:t>N.A.</w:t>
            </w:r>
          </w:p>
        </w:tc>
      </w:tr>
      <w:tr w:rsidR="000A4E61" w:rsidRPr="00EA4C9B" w14:paraId="022FE964" w14:textId="77777777" w:rsidTr="00BA7936">
        <w:tc>
          <w:tcPr>
            <w:tcW w:w="7083" w:type="dxa"/>
          </w:tcPr>
          <w:p w14:paraId="277E7786" w14:textId="77777777" w:rsidR="000A4E61" w:rsidRPr="00EA4C9B" w:rsidRDefault="000A4E61" w:rsidP="00143629">
            <w:pPr>
              <w:pStyle w:val="Table"/>
              <w:rPr>
                <w:lang w:eastAsia="en-GB"/>
              </w:rPr>
            </w:pPr>
            <w:r w:rsidRPr="00EA4C9B">
              <w:rPr>
                <w:lang w:eastAsia="en-GB"/>
              </w:rPr>
              <w:t>Tax for aquatic environment management and flood prevention</w:t>
            </w:r>
          </w:p>
        </w:tc>
        <w:tc>
          <w:tcPr>
            <w:tcW w:w="1933" w:type="dxa"/>
          </w:tcPr>
          <w:p w14:paraId="39BC26F9" w14:textId="77777777" w:rsidR="000A4E61" w:rsidRPr="00EA4C9B" w:rsidRDefault="000A4E61" w:rsidP="00552C72">
            <w:pPr>
              <w:pStyle w:val="Table"/>
              <w:jc w:val="center"/>
              <w:rPr>
                <w:lang w:eastAsia="en-GB"/>
              </w:rPr>
            </w:pPr>
            <w:r w:rsidRPr="00EA4C9B">
              <w:rPr>
                <w:lang w:eastAsia="en-GB"/>
              </w:rPr>
              <w:t>€275</w:t>
            </w:r>
          </w:p>
        </w:tc>
      </w:tr>
      <w:tr w:rsidR="000A4E61" w:rsidRPr="00EA4C9B" w14:paraId="016A33BD" w14:textId="77777777" w:rsidTr="00BA7936">
        <w:tc>
          <w:tcPr>
            <w:tcW w:w="7083" w:type="dxa"/>
          </w:tcPr>
          <w:p w14:paraId="03194705" w14:textId="77777777" w:rsidR="000A4E61" w:rsidRPr="00EA4C9B" w:rsidRDefault="000A4E61" w:rsidP="00143629">
            <w:pPr>
              <w:pStyle w:val="Table"/>
              <w:rPr>
                <w:lang w:eastAsia="en-GB"/>
              </w:rPr>
            </w:pPr>
            <w:r w:rsidRPr="00EA4C9B">
              <w:rPr>
                <w:lang w:eastAsia="en-GB"/>
              </w:rPr>
              <w:t>Development tax</w:t>
            </w:r>
          </w:p>
        </w:tc>
        <w:tc>
          <w:tcPr>
            <w:tcW w:w="1933" w:type="dxa"/>
          </w:tcPr>
          <w:p w14:paraId="7BC64C4E" w14:textId="77777777" w:rsidR="000A4E61" w:rsidRPr="00EA4C9B" w:rsidRDefault="000A4E61" w:rsidP="00552C72">
            <w:pPr>
              <w:pStyle w:val="Table"/>
              <w:jc w:val="center"/>
              <w:rPr>
                <w:lang w:eastAsia="en-GB"/>
              </w:rPr>
            </w:pPr>
            <w:r w:rsidRPr="00EA4C9B">
              <w:rPr>
                <w:lang w:eastAsia="en-GB"/>
              </w:rPr>
              <w:t>N.A.</w:t>
            </w:r>
          </w:p>
        </w:tc>
      </w:tr>
      <w:tr w:rsidR="000A4E61" w:rsidRPr="00EA4C9B" w14:paraId="363CE9C7" w14:textId="77777777" w:rsidTr="00BA7936">
        <w:tc>
          <w:tcPr>
            <w:tcW w:w="7083" w:type="dxa"/>
          </w:tcPr>
          <w:p w14:paraId="624F789B" w14:textId="77777777" w:rsidR="000A4E61" w:rsidRPr="00EA4C9B" w:rsidRDefault="000A4E61" w:rsidP="00143629">
            <w:pPr>
              <w:pStyle w:val="Table"/>
              <w:rPr>
                <w:lang w:eastAsia="en-GB"/>
              </w:rPr>
            </w:pPr>
            <w:r w:rsidRPr="00EA4C9B">
              <w:rPr>
                <w:lang w:eastAsia="en-GB"/>
              </w:rPr>
              <w:t>Sales tax on plant protection products granted marketing authorisation</w:t>
            </w:r>
          </w:p>
        </w:tc>
        <w:tc>
          <w:tcPr>
            <w:tcW w:w="1933" w:type="dxa"/>
          </w:tcPr>
          <w:p w14:paraId="1DD2ACD3" w14:textId="77777777" w:rsidR="000A4E61" w:rsidRPr="00EA4C9B" w:rsidRDefault="000A4E61" w:rsidP="00552C72">
            <w:pPr>
              <w:pStyle w:val="Table"/>
              <w:jc w:val="center"/>
              <w:rPr>
                <w:lang w:eastAsia="en-GB"/>
              </w:rPr>
            </w:pPr>
            <w:r w:rsidRPr="00EA4C9B">
              <w:rPr>
                <w:lang w:eastAsia="en-GB"/>
              </w:rPr>
              <w:t>N.A.</w:t>
            </w:r>
          </w:p>
        </w:tc>
      </w:tr>
    </w:tbl>
    <w:p w14:paraId="59E149F0" w14:textId="77777777" w:rsidR="000A4E61" w:rsidRPr="00EA4C9B" w:rsidRDefault="000A4E61" w:rsidP="000A4E61">
      <w:pPr>
        <w:pStyle w:val="Heading4"/>
      </w:pPr>
      <w:r w:rsidRPr="00EA4C9B">
        <w:t>Taxes, fees and other related instruments</w:t>
      </w:r>
    </w:p>
    <w:p w14:paraId="32DE6371" w14:textId="77777777" w:rsidR="000A4E61" w:rsidRPr="00EA4C9B" w:rsidRDefault="000A4E61" w:rsidP="000A4E61">
      <w:pPr>
        <w:spacing w:before="120" w:after="120"/>
        <w:textAlignment w:val="baseline"/>
        <w:rPr>
          <w:rFonts w:ascii="Calibri" w:eastAsia="Times New Roman" w:hAnsi="Calibri" w:cs="Calibri"/>
          <w:lang w:eastAsia="en-GB"/>
        </w:rPr>
      </w:pPr>
      <w:r w:rsidRPr="00EA4C9B">
        <w:rPr>
          <w:rFonts w:ascii="Calibri" w:eastAsia="Times New Roman" w:hAnsi="Calibri" w:cs="Calibri"/>
          <w:lang w:eastAsia="en-GB"/>
        </w:rPr>
        <w:t xml:space="preserve">France taxes </w:t>
      </w:r>
      <w:r w:rsidRPr="00EA4C9B">
        <w:rPr>
          <w:rFonts w:ascii="Calibri" w:eastAsia="Times New Roman" w:hAnsi="Calibri" w:cs="Calibri"/>
          <w:b/>
          <w:bCs/>
          <w:lang w:eastAsia="en-GB"/>
        </w:rPr>
        <w:t>pollution</w:t>
      </w:r>
      <w:r w:rsidRPr="00EA4C9B">
        <w:rPr>
          <w:rFonts w:ascii="Calibri" w:eastAsia="Times New Roman" w:hAnsi="Calibri" w:cs="Calibri"/>
          <w:lang w:eastAsia="en-GB"/>
        </w:rPr>
        <w:t xml:space="preserve"> through a variety of measures, including taxes on vehicles, water consumption, and fossil fuels. For example, there is a malus tax on vehicle CO</w:t>
      </w:r>
      <w:r w:rsidRPr="00EA4C9B">
        <w:rPr>
          <w:rFonts w:ascii="Calibri" w:eastAsia="Times New Roman" w:hAnsi="Calibri" w:cs="Calibri"/>
          <w:vertAlign w:val="subscript"/>
          <w:lang w:eastAsia="en-GB"/>
        </w:rPr>
        <w:t>2</w:t>
      </w:r>
      <w:r w:rsidRPr="00EA4C9B">
        <w:rPr>
          <w:rFonts w:ascii="Calibri" w:eastAsia="Times New Roman" w:hAnsi="Calibri" w:cs="Calibri"/>
          <w:lang w:eastAsia="en-GB"/>
        </w:rPr>
        <w:t xml:space="preserve"> emissions (bonus-malus system)  that became stricter in 2022 (the tax rate increased, and a new weight tax was introduced)</w:t>
      </w:r>
      <w:r w:rsidRPr="00EA4C9B">
        <w:rPr>
          <w:rStyle w:val="FootnoteReference"/>
          <w:rFonts w:ascii="Calibri" w:eastAsia="Times New Roman" w:hAnsi="Calibri" w:cs="Calibri"/>
          <w:lang w:eastAsia="en-GB"/>
        </w:rPr>
        <w:footnoteReference w:id="360"/>
      </w:r>
      <w:r w:rsidRPr="00EA4C9B">
        <w:rPr>
          <w:rFonts w:ascii="Calibri" w:eastAsia="Times New Roman" w:hAnsi="Calibri" w:cs="Calibri"/>
          <w:lang w:eastAsia="en-GB"/>
        </w:rPr>
        <w:t xml:space="preserve">, an eco-tax on air travel that depends on the passenger's destination and class of travel, a water pollution fee on household water consumption that varies by city (this fee is calculated based on the number of inhabitants, seasonal visitors, and the size of the city), or a carbon tax on fossil fuels that was introduced in 2014 to reduce carbon emission (the tax rate was frozen in 2019). There are also other environmental taxes, such as non-energy environmental taxes, which increased in 2020, and local government taxes on heavy, polluting vehicles, such as SUVs. </w:t>
      </w:r>
    </w:p>
    <w:p w14:paraId="1899A511" w14:textId="77777777" w:rsidR="000A4E61" w:rsidRPr="00EA4C9B" w:rsidRDefault="000A4E61" w:rsidP="000A4E61">
      <w:pPr>
        <w:spacing w:before="120" w:after="120"/>
        <w:textAlignment w:val="baseline"/>
        <w:rPr>
          <w:rFonts w:ascii="Calibri" w:eastAsia="Times New Roman" w:hAnsi="Calibri" w:cs="Calibri"/>
          <w:lang w:eastAsia="en-GB"/>
        </w:rPr>
      </w:pPr>
      <w:r w:rsidRPr="00EA4C9B">
        <w:rPr>
          <w:rFonts w:ascii="Calibri" w:eastAsia="Times New Roman" w:hAnsi="Calibri" w:cs="Calibri"/>
          <w:lang w:eastAsia="en-GB"/>
        </w:rPr>
        <w:t xml:space="preserve">For more than 50 years </w:t>
      </w:r>
      <w:r w:rsidRPr="00EA4C9B">
        <w:rPr>
          <w:rFonts w:ascii="Calibri" w:eastAsia="Times New Roman" w:hAnsi="Calibri" w:cs="Calibri"/>
          <w:b/>
          <w:bCs/>
          <w:lang w:eastAsia="en-GB"/>
        </w:rPr>
        <w:t>water abstraction charges</w:t>
      </w:r>
      <w:r w:rsidRPr="00EA4C9B">
        <w:rPr>
          <w:rFonts w:ascii="Calibri" w:eastAsia="Times New Roman" w:hAnsi="Calibri" w:cs="Calibri"/>
          <w:lang w:eastAsia="en-GB"/>
        </w:rPr>
        <w:t xml:space="preserve"> have been levied by the Water Agencies in France to recover costs and improve water resources. The charges vary by agency and are based on the </w:t>
      </w:r>
      <w:r w:rsidRPr="00EA4C9B">
        <w:rPr>
          <w:rFonts w:ascii="Calibri" w:eastAsia="Times New Roman" w:hAnsi="Calibri" w:cs="Calibri"/>
          <w:lang w:eastAsia="en-GB"/>
        </w:rPr>
        <w:lastRenderedPageBreak/>
        <w:t>amount of water abstracted. The charges are based on the "water pays for water" principle, are calculated for each urban or rural district, and are based on the population of the district, as determined by the Institute Nationale de la Statistique et des Etudes Economiques (INSEE). Thus, although the charge has to be paid by all those who abstract water (with some exemptions), the rates differ by Water Agency. The highest rates (up to a maximum of €0.10 per m3) are levied on water used for drinking water (Oosterhuis, 2022</w:t>
      </w:r>
      <w:r w:rsidRPr="00EA4C9B">
        <w:rPr>
          <w:rStyle w:val="FootnoteReference"/>
          <w:rFonts w:ascii="Calibri" w:eastAsia="Times New Roman" w:hAnsi="Calibri" w:cs="Calibri"/>
          <w:lang w:eastAsia="en-GB"/>
        </w:rPr>
        <w:footnoteReference w:id="361"/>
      </w:r>
      <w:r w:rsidRPr="00EA4C9B">
        <w:rPr>
          <w:rFonts w:ascii="Calibri" w:eastAsia="Times New Roman" w:hAnsi="Calibri" w:cs="Calibri"/>
          <w:lang w:eastAsia="en-GB"/>
        </w:rPr>
        <w:t>).</w:t>
      </w:r>
    </w:p>
    <w:p w14:paraId="595E4DCC" w14:textId="1FF898E8" w:rsidR="000A4E61" w:rsidRPr="00EA4C9B" w:rsidRDefault="000A4E61" w:rsidP="000A4E61">
      <w:pPr>
        <w:spacing w:before="120" w:after="120"/>
        <w:textAlignment w:val="baseline"/>
        <w:rPr>
          <w:rFonts w:ascii="Calibri" w:eastAsia="Times New Roman" w:hAnsi="Calibri" w:cs="Calibri"/>
          <w:lang w:eastAsia="en-GB"/>
        </w:rPr>
      </w:pPr>
      <w:r w:rsidRPr="00EA4C9B">
        <w:rPr>
          <w:rFonts w:ascii="Calibri" w:eastAsia="Times New Roman" w:hAnsi="Calibri" w:cs="Calibri"/>
          <w:lang w:eastAsia="en-GB"/>
        </w:rPr>
        <w:t xml:space="preserve">The charges, along with the water pollution levy, encourage efficient water use (Oosterhuis, 2022). However, the charges alone are not enough to significantly impact water consumption. There exist (1) a water pollution levy that is about three times higher than the water abstraction charge; (2) a two-part tariff that includes a fixed charge and a marginal price, (3) a water licence required for collective water management, and (4) quotas as a way to share water between uses in areas where water is scarce. </w:t>
      </w:r>
    </w:p>
    <w:p w14:paraId="11DB7609" w14:textId="77777777" w:rsidR="000A4E61" w:rsidRPr="00EA4C9B" w:rsidRDefault="000A4E61" w:rsidP="000A4E61">
      <w:pPr>
        <w:spacing w:before="120" w:after="120"/>
        <w:textAlignment w:val="baseline"/>
        <w:rPr>
          <w:rFonts w:ascii="Calibri" w:eastAsia="Times New Roman" w:hAnsi="Calibri" w:cs="Calibri"/>
          <w:lang w:eastAsia="en-GB"/>
        </w:rPr>
      </w:pPr>
      <w:r w:rsidRPr="00EA4C9B">
        <w:rPr>
          <w:rFonts w:ascii="Calibri" w:eastAsia="Times New Roman" w:hAnsi="Calibri" w:cs="Calibri"/>
          <w:lang w:eastAsia="en-GB"/>
        </w:rPr>
        <w:t>The levy of the water abstraction charge itself is too small to have a significant incentive impact on water consumption, but together with the water pollution levy and the fact that a substantial part of the water bill is charged at a variable (per m</w:t>
      </w:r>
      <w:r w:rsidRPr="00BA7936">
        <w:rPr>
          <w:rFonts w:ascii="Calibri" w:eastAsia="Times New Roman" w:hAnsi="Calibri" w:cs="Calibri"/>
          <w:vertAlign w:val="superscript"/>
          <w:lang w:eastAsia="en-GB"/>
        </w:rPr>
        <w:t>3</w:t>
      </w:r>
      <w:r w:rsidRPr="00EA4C9B">
        <w:rPr>
          <w:rFonts w:ascii="Calibri" w:eastAsia="Times New Roman" w:hAnsi="Calibri" w:cs="Calibri"/>
          <w:lang w:eastAsia="en-GB"/>
        </w:rPr>
        <w:t>) rate it provides an incentive for efficient water use. In fact, water taxes shows that a 10% increase in tax reduces water consumption by 0.26% (European Commission, 2021</w:t>
      </w:r>
      <w:r w:rsidRPr="00EA4C9B">
        <w:rPr>
          <w:rStyle w:val="FootnoteReference"/>
          <w:rFonts w:ascii="Calibri" w:eastAsia="Times New Roman" w:hAnsi="Calibri" w:cs="Calibri"/>
          <w:lang w:eastAsia="en-GB"/>
        </w:rPr>
        <w:footnoteReference w:id="362"/>
      </w:r>
      <w:r w:rsidRPr="00EA4C9B">
        <w:rPr>
          <w:rFonts w:ascii="Calibri" w:eastAsia="Times New Roman" w:hAnsi="Calibri" w:cs="Calibri"/>
          <w:lang w:eastAsia="en-GB"/>
        </w:rPr>
        <w:t xml:space="preserve">). The revenues from these levies are spent by the Agencies on investments in the protection and improvement of water resources (surface water and groundwater). </w:t>
      </w:r>
    </w:p>
    <w:p w14:paraId="2B4BF277" w14:textId="127C2B83" w:rsidR="000A4E61" w:rsidRPr="00EA4C9B" w:rsidRDefault="000A4E61" w:rsidP="000A4E61">
      <w:pPr>
        <w:spacing w:before="120" w:after="120"/>
        <w:textAlignment w:val="baseline"/>
        <w:rPr>
          <w:rFonts w:ascii="Calibri" w:eastAsia="Times New Roman" w:hAnsi="Calibri" w:cs="Calibri"/>
          <w:lang w:eastAsia="en-GB"/>
        </w:rPr>
      </w:pPr>
      <w:r w:rsidRPr="61B7A57B">
        <w:rPr>
          <w:rFonts w:ascii="Calibri" w:eastAsia="Times New Roman" w:hAnsi="Calibri" w:cs="Calibri"/>
          <w:lang w:eastAsia="en-GB"/>
        </w:rPr>
        <w:t xml:space="preserve">Depending on the city in which they live, residents must pay the </w:t>
      </w:r>
      <w:r w:rsidRPr="61B7A57B">
        <w:rPr>
          <w:rFonts w:ascii="Calibri" w:eastAsia="Times New Roman" w:hAnsi="Calibri" w:cs="Calibri"/>
          <w:b/>
          <w:bCs/>
          <w:lang w:eastAsia="en-GB"/>
        </w:rPr>
        <w:t>household waste removal tax or fee</w:t>
      </w:r>
      <w:r w:rsidR="00670DB3">
        <w:rPr>
          <w:rStyle w:val="FootnoteReference"/>
          <w:rFonts w:ascii="Calibri" w:eastAsia="Times New Roman" w:hAnsi="Calibri" w:cs="Calibri"/>
          <w:b/>
          <w:bCs/>
          <w:lang w:eastAsia="en-GB"/>
        </w:rPr>
        <w:footnoteReference w:id="363"/>
      </w:r>
      <w:r w:rsidRPr="61B7A57B">
        <w:rPr>
          <w:rFonts w:ascii="Calibri" w:eastAsia="Times New Roman" w:hAnsi="Calibri" w:cs="Calibri"/>
          <w:b/>
          <w:bCs/>
          <w:lang w:eastAsia="en-GB"/>
        </w:rPr>
        <w:t xml:space="preserve"> </w:t>
      </w:r>
      <w:r w:rsidRPr="61B7A57B">
        <w:rPr>
          <w:rFonts w:ascii="Calibri" w:eastAsia="Times New Roman" w:hAnsi="Calibri" w:cs="Calibri"/>
          <w:lang w:eastAsia="en-GB"/>
        </w:rPr>
        <w:t xml:space="preserve">to finance household and non-household waste collection. It is paid annually by the owner of a property alongside the property tax. The household waste collection fee (redevance d’enlvèment des ordures ménagères (REOM)) is based on the usage of waste collection services and is fixed by the local authorities. Alongside the TEOM and REOM, incentive pricing or “tariffication initiative (TI) charges the waste removal service according to the actual weight of waste produced by each household (European Commission, 2021). </w:t>
      </w:r>
    </w:p>
    <w:p w14:paraId="1BA185BE" w14:textId="77777777" w:rsidR="000A4E61" w:rsidRPr="00EA4C9B" w:rsidRDefault="000A4E61" w:rsidP="000A4E61">
      <w:pPr>
        <w:spacing w:before="120" w:after="120"/>
        <w:textAlignment w:val="baseline"/>
        <w:rPr>
          <w:rFonts w:ascii="Calibri" w:eastAsia="Times New Roman" w:hAnsi="Calibri" w:cs="Calibri"/>
          <w:lang w:eastAsia="en-GB"/>
        </w:rPr>
      </w:pPr>
      <w:r w:rsidRPr="00EA4C9B">
        <w:rPr>
          <w:rFonts w:ascii="Calibri" w:eastAsia="Times New Roman" w:hAnsi="Calibri" w:cs="Calibri"/>
          <w:lang w:eastAsia="en-GB"/>
        </w:rPr>
        <w:t xml:space="preserve">Municipalities and government-funded institutions for intermunicipal Cooperation (EPCIs) are the competent ones with regard to managing </w:t>
      </w:r>
      <w:r w:rsidRPr="00EA4C9B">
        <w:rPr>
          <w:rFonts w:ascii="Calibri" w:eastAsia="Times New Roman" w:hAnsi="Calibri" w:cs="Calibri"/>
          <w:b/>
          <w:bCs/>
          <w:lang w:eastAsia="en-GB"/>
        </w:rPr>
        <w:t>aquatic environments and flood prevention</w:t>
      </w:r>
      <w:r w:rsidRPr="00EA4C9B">
        <w:rPr>
          <w:rFonts w:ascii="Calibri" w:eastAsia="Times New Roman" w:hAnsi="Calibri" w:cs="Calibri"/>
          <w:lang w:eastAsia="en-GB"/>
        </w:rPr>
        <w:t xml:space="preserve"> and may introduce a tax (GEMAPI) </w:t>
      </w:r>
      <w:bookmarkStart w:id="190" w:name="_Int_zke6sqDv"/>
      <w:r w:rsidRPr="00EA4C9B">
        <w:rPr>
          <w:rFonts w:ascii="Calibri" w:eastAsia="Times New Roman" w:hAnsi="Calibri" w:cs="Calibri"/>
          <w:lang w:eastAsia="en-GB"/>
        </w:rPr>
        <w:t>in order to</w:t>
      </w:r>
      <w:bookmarkEnd w:id="190"/>
      <w:r w:rsidRPr="00EA4C9B">
        <w:rPr>
          <w:rFonts w:ascii="Calibri" w:eastAsia="Times New Roman" w:hAnsi="Calibri" w:cs="Calibri"/>
          <w:lang w:eastAsia="en-GB"/>
        </w:rPr>
        <w:t xml:space="preserve"> fund these responsibilities. On 1 January 2018, responsibility for managing aquatic environments and flood prevention was transferred from municipalities to EPCIs. Every year, the revenue from this tax is decided on by deliberation but is capped at €40 per inhabitant. The revenue voted on is the same as the forecast annual amount of operating and investment expenses resulting from managing aquatic environments and flood prevention. The revenue is broken down between all individuals or legal entities liable to property taxes, residence tax and the business premises contribution. The tax’s base is calculated under the same conditions as for the municipal or intermunicipal portion of the main tax which it supplements (Finances Publiques, 2024</w:t>
      </w:r>
      <w:r w:rsidRPr="00EA4C9B">
        <w:rPr>
          <w:rStyle w:val="FootnoteReference"/>
          <w:rFonts w:ascii="Calibri" w:eastAsia="Times New Roman" w:hAnsi="Calibri" w:cs="Calibri"/>
          <w:lang w:eastAsia="en-GB"/>
        </w:rPr>
        <w:footnoteReference w:id="364"/>
      </w:r>
      <w:r w:rsidRPr="00EA4C9B">
        <w:rPr>
          <w:rFonts w:ascii="Calibri" w:eastAsia="Times New Roman" w:hAnsi="Calibri" w:cs="Calibri"/>
          <w:lang w:eastAsia="en-GB"/>
        </w:rPr>
        <w:t>).</w:t>
      </w:r>
    </w:p>
    <w:p w14:paraId="1E947A94" w14:textId="77777777" w:rsidR="000A4E61" w:rsidRPr="00EA4C9B" w:rsidRDefault="000A4E61" w:rsidP="000A4E61">
      <w:pPr>
        <w:spacing w:before="120" w:after="120"/>
        <w:textAlignment w:val="baseline"/>
        <w:rPr>
          <w:rFonts w:ascii="Calibri" w:eastAsia="Times New Roman" w:hAnsi="Calibri" w:cs="Calibri"/>
          <w:lang w:eastAsia="en-GB"/>
        </w:rPr>
      </w:pPr>
      <w:r w:rsidRPr="00EA4C9B">
        <w:rPr>
          <w:rFonts w:ascii="Calibri" w:eastAsia="Times New Roman" w:hAnsi="Calibri" w:cs="Calibri"/>
          <w:lang w:eastAsia="en-GB"/>
        </w:rPr>
        <w:t xml:space="preserve">The </w:t>
      </w:r>
      <w:r w:rsidRPr="00EA4C9B">
        <w:rPr>
          <w:rFonts w:ascii="Calibri" w:eastAsia="Times New Roman" w:hAnsi="Calibri" w:cs="Calibri"/>
          <w:b/>
          <w:bCs/>
          <w:lang w:eastAsia="en-GB"/>
        </w:rPr>
        <w:t>General Tax on Polluting Activities</w:t>
      </w:r>
      <w:r w:rsidRPr="00EA4C9B">
        <w:rPr>
          <w:rFonts w:ascii="Calibri" w:eastAsia="Times New Roman" w:hAnsi="Calibri" w:cs="Calibri"/>
          <w:lang w:eastAsia="en-GB"/>
        </w:rPr>
        <w:t xml:space="preserve"> (TGAP) is a tax on companies that pollute or use polluting products. The tax is levied on waste, emissions, laundry (detergents, auxiliary washing preparations, fabric softeners or fabric softeners) and extraction materials. It varies by year and by activity and product and the base is calculated based on waste tonnage. Companies must keep a register of volumes and treatments for each component. Any business that manufactures, imports, or introduces </w:t>
      </w:r>
      <w:r w:rsidRPr="00EA4C9B">
        <w:rPr>
          <w:rFonts w:ascii="Calibri" w:eastAsia="Times New Roman" w:hAnsi="Calibri" w:cs="Calibri"/>
          <w:lang w:eastAsia="en-GB"/>
        </w:rPr>
        <w:lastRenderedPageBreak/>
        <w:t>polluting products is liable to pay the TGAP, and foreign companies must appoint a representative in France to handle declarations and payments. The TGAP rate for non-hazardous waste sent to burial increases from €52 per tonne in 2023 to €65 per tonne in 2025. The TGAP rate for waste sent to incineration increases from €20 per tonne to €25 per tonne over the same period. The 2025 European Semester</w:t>
      </w:r>
      <w:r w:rsidRPr="00EA4C9B">
        <w:rPr>
          <w:rStyle w:val="FootnoteReference"/>
          <w:rFonts w:ascii="Calibri" w:eastAsia="Times New Roman" w:hAnsi="Calibri" w:cs="Calibri"/>
          <w:lang w:eastAsia="en-GB"/>
        </w:rPr>
        <w:footnoteReference w:id="365"/>
      </w:r>
      <w:r w:rsidRPr="00EA4C9B">
        <w:rPr>
          <w:rFonts w:ascii="Calibri" w:eastAsia="Times New Roman" w:hAnsi="Calibri" w:cs="Calibri"/>
          <w:lang w:eastAsia="en-GB"/>
        </w:rPr>
        <w:t xml:space="preserve"> notes the potential to expand the scope of TGAP to additional pollutants and materials and calls for broader application of eco-modulated product charges.</w:t>
      </w:r>
    </w:p>
    <w:p w14:paraId="412F4E37" w14:textId="77777777" w:rsidR="000A4E61" w:rsidRPr="00EA4C9B" w:rsidRDefault="000A4E61" w:rsidP="000A4E61">
      <w:pPr>
        <w:spacing w:before="120" w:after="120"/>
        <w:textAlignment w:val="baseline"/>
        <w:rPr>
          <w:rFonts w:ascii="Calibri" w:eastAsia="Times New Roman" w:hAnsi="Calibri" w:cs="Calibri"/>
          <w:lang w:eastAsia="en-GB"/>
        </w:rPr>
      </w:pPr>
      <w:r w:rsidRPr="00EA4C9B">
        <w:rPr>
          <w:rFonts w:ascii="Calibri" w:eastAsia="Times New Roman" w:hAnsi="Calibri" w:cs="Calibri"/>
          <w:lang w:eastAsia="en-GB"/>
        </w:rPr>
        <w:t xml:space="preserve">Since 2011, local authorities have been able to charge a </w:t>
      </w:r>
      <w:r w:rsidRPr="00EA4C9B">
        <w:rPr>
          <w:rFonts w:ascii="Calibri" w:eastAsia="Times New Roman" w:hAnsi="Calibri" w:cs="Calibri"/>
          <w:b/>
          <w:bCs/>
          <w:lang w:eastAsia="en-GB"/>
        </w:rPr>
        <w:t>fee for urban stormwater management</w:t>
      </w:r>
      <w:r w:rsidRPr="00EA4C9B">
        <w:rPr>
          <w:rFonts w:ascii="Calibri" w:eastAsia="Times New Roman" w:hAnsi="Calibri" w:cs="Calibri"/>
          <w:lang w:eastAsia="en-GB"/>
        </w:rPr>
        <w:t>. This fee can help fund stormwater management and encourage residents to reduce runoff. The introduction of this fee is likely to enable them on one hand to encourage sealing and stormwater source control and on the other hand to obtain resources to address the challenges of public stormwater management financing. The fee only covers indirect stormwater costs, such as operation and maintenance (Le Nouveau et al., 2013</w:t>
      </w:r>
      <w:r w:rsidRPr="00EA4C9B">
        <w:rPr>
          <w:rStyle w:val="FootnoteReference"/>
          <w:rFonts w:ascii="Calibri" w:eastAsia="Times New Roman" w:hAnsi="Calibri" w:cs="Calibri"/>
          <w:lang w:eastAsia="en-GB"/>
        </w:rPr>
        <w:footnoteReference w:id="366"/>
      </w:r>
      <w:r w:rsidRPr="00EA4C9B">
        <w:rPr>
          <w:rFonts w:ascii="Calibri" w:eastAsia="Times New Roman" w:hAnsi="Calibri" w:cs="Calibri"/>
          <w:lang w:eastAsia="en-GB"/>
        </w:rPr>
        <w:t xml:space="preserve">). </w:t>
      </w:r>
    </w:p>
    <w:p w14:paraId="4ED874A3" w14:textId="34E9A06A" w:rsidR="000A4E61" w:rsidRPr="00EA4C9B" w:rsidRDefault="000A4E61" w:rsidP="000A4E61">
      <w:pPr>
        <w:spacing w:before="120" w:after="120"/>
        <w:textAlignment w:val="baseline"/>
        <w:rPr>
          <w:rFonts w:ascii="Calibri" w:eastAsia="Times New Roman" w:hAnsi="Calibri" w:cs="Calibri"/>
          <w:lang w:eastAsia="en-GB"/>
        </w:rPr>
      </w:pPr>
      <w:r w:rsidRPr="00EA4C9B">
        <w:rPr>
          <w:rFonts w:ascii="Calibri" w:eastAsia="Times New Roman" w:hAnsi="Calibri" w:cs="Calibri"/>
          <w:b/>
          <w:bCs/>
          <w:lang w:eastAsia="en-GB"/>
        </w:rPr>
        <w:t>Mineral water</w:t>
      </w:r>
      <w:r w:rsidRPr="00EA4C9B">
        <w:rPr>
          <w:rFonts w:ascii="Calibri" w:eastAsia="Times New Roman" w:hAnsi="Calibri" w:cs="Calibri"/>
          <w:lang w:eastAsia="en-GB"/>
        </w:rPr>
        <w:t xml:space="preserve"> is taxed at a fee of €0.54 per </w:t>
      </w:r>
      <w:r w:rsidR="001A7ED3" w:rsidRPr="00EA4C9B">
        <w:rPr>
          <w:rFonts w:ascii="Calibri" w:eastAsia="Times New Roman" w:hAnsi="Calibri" w:cs="Calibri"/>
          <w:lang w:eastAsia="en-GB"/>
        </w:rPr>
        <w:t>hectolitre</w:t>
      </w:r>
      <w:r w:rsidRPr="00EA4C9B">
        <w:rPr>
          <w:rFonts w:ascii="Calibri" w:eastAsia="Times New Roman" w:hAnsi="Calibri" w:cs="Calibri"/>
          <w:lang w:eastAsia="en-GB"/>
        </w:rPr>
        <w:t xml:space="preserve">, regardless of packaging. This tax applies to both natural and artificial mineral waters. </w:t>
      </w:r>
    </w:p>
    <w:p w14:paraId="60FF7731" w14:textId="77777777" w:rsidR="000A4E61" w:rsidRPr="00EA4C9B" w:rsidRDefault="000A4E61" w:rsidP="000A4E61">
      <w:pPr>
        <w:pStyle w:val="Heading4"/>
      </w:pPr>
      <w:r w:rsidRPr="00EA4C9B">
        <w:t>Conclusions, country-specific recommendations and reform progress</w:t>
      </w:r>
    </w:p>
    <w:p w14:paraId="438C74CF" w14:textId="5F4DD24C" w:rsidR="000A4E61" w:rsidRPr="00EA4C9B" w:rsidRDefault="000A4E61" w:rsidP="000A4E61">
      <w:pPr>
        <w:spacing w:before="120" w:after="120"/>
      </w:pPr>
      <w:r w:rsidRPr="00EA4C9B">
        <w:t>The General Tax on Pollution applies levies on various pollutants, but its impact has been questioned due to relatively low tax rates that may not provide strong enough incentives for emission reductions</w:t>
      </w:r>
      <w:r w:rsidRPr="00EA4C9B">
        <w:rPr>
          <w:rStyle w:val="FootnoteReference"/>
        </w:rPr>
        <w:footnoteReference w:id="367"/>
      </w:r>
      <w:r w:rsidRPr="00EA4C9B">
        <w:t>. Similarly, while carbon taxation aimed to integrate climate costs into fossil fuel consumption, public resistance</w:t>
      </w:r>
      <w:r w:rsidR="00E263F5">
        <w:t xml:space="preserve"> </w:t>
      </w:r>
      <w:r w:rsidRPr="00EA4C9B">
        <w:t>—</w:t>
      </w:r>
      <w:r w:rsidR="00E263F5">
        <w:t xml:space="preserve"> </w:t>
      </w:r>
      <w:r w:rsidRPr="00EA4C9B">
        <w:t>most notably the “Gilet Jaunes” protests</w:t>
      </w:r>
      <w:r w:rsidR="00E263F5">
        <w:t xml:space="preserve"> </w:t>
      </w:r>
      <w:r w:rsidRPr="00EA4C9B">
        <w:t>—</w:t>
      </w:r>
      <w:r w:rsidR="00E263F5">
        <w:t xml:space="preserve"> </w:t>
      </w:r>
      <w:r w:rsidRPr="00EA4C9B">
        <w:t>forced the government to delay planned increases, revealing the limits of fiscal acceptability in environmental policy</w:t>
      </w:r>
      <w:r w:rsidRPr="00EA4C9B">
        <w:rPr>
          <w:rStyle w:val="FootnoteReference"/>
        </w:rPr>
        <w:footnoteReference w:id="368"/>
      </w:r>
      <w:r w:rsidRPr="00EA4C9B">
        <w:t>.</w:t>
      </w:r>
    </w:p>
    <w:p w14:paraId="7E69F326" w14:textId="77371BF0" w:rsidR="000A4E61" w:rsidRPr="00EA4C9B" w:rsidRDefault="000A4E61" w:rsidP="000A4E61">
      <w:pPr>
        <w:spacing w:before="120" w:after="120"/>
      </w:pPr>
      <w:r w:rsidRPr="00EA4C9B">
        <w:t>France’s environmental tax framework is highly centralized, with minimal regional differentiation. While this ensures uniform policy implementation, it account</w:t>
      </w:r>
      <w:r w:rsidR="6E53FA78" w:rsidRPr="00EA4C9B">
        <w:t>s less</w:t>
      </w:r>
      <w:r w:rsidRPr="00EA4C9B">
        <w:t xml:space="preserve"> for regional disparities in industrial emissions and resource use. The lack of region-specific taxation mechanisms may also reduce the effectiveness of fiscal tools in areas with higher pollution levels</w:t>
      </w:r>
      <w:r w:rsidRPr="00EA4C9B">
        <w:rPr>
          <w:rStyle w:val="FootnoteReference"/>
        </w:rPr>
        <w:footnoteReference w:id="369"/>
      </w:r>
      <w:r w:rsidRPr="00EA4C9B">
        <w:t xml:space="preserve">. </w:t>
      </w:r>
    </w:p>
    <w:p w14:paraId="41A203B9" w14:textId="77777777" w:rsidR="000A4E61" w:rsidRPr="00EA4C9B" w:rsidRDefault="000A4E61" w:rsidP="000A4E61">
      <w:pPr>
        <w:spacing w:before="120" w:after="120"/>
      </w:pPr>
      <w:r w:rsidRPr="00EA4C9B">
        <w:t>Recent reforms reflect a shift towards targeted incentives rather than broad-based taxation. This signals an effort to ensure tax incentives primarily benefit lower-income households. Additionally, reforms aim to encourage businesses to transition towards sustainable technologies</w:t>
      </w:r>
      <w:r w:rsidRPr="00EA4C9B">
        <w:rPr>
          <w:rStyle w:val="FootnoteReference"/>
        </w:rPr>
        <w:footnoteReference w:id="370"/>
      </w:r>
      <w:r w:rsidRPr="00EA4C9B">
        <w:t>. These reforms suggest a recognition that fiscal instruments need to be more precisely designed to achieve environmental goals without creating excessive economic burdens.</w:t>
      </w:r>
    </w:p>
    <w:p w14:paraId="7F75A0E7" w14:textId="31590449" w:rsidR="000A4E61" w:rsidRPr="00EA4C9B" w:rsidRDefault="000A4E61" w:rsidP="000A4E61">
      <w:pPr>
        <w:spacing w:before="120" w:after="120"/>
      </w:pPr>
      <w:r w:rsidRPr="00EA4C9B">
        <w:t xml:space="preserve">According to the 2025 European Semester </w:t>
      </w:r>
      <w:r w:rsidR="5E1724AD" w:rsidRPr="00EA4C9B">
        <w:t xml:space="preserve">Country </w:t>
      </w:r>
      <w:r w:rsidRPr="00EA4C9B">
        <w:t>Report</w:t>
      </w:r>
      <w:r w:rsidRPr="00EA4C9B">
        <w:rPr>
          <w:rStyle w:val="FootnoteReference"/>
        </w:rPr>
        <w:footnoteReference w:id="371"/>
      </w:r>
      <w:r w:rsidRPr="00EA4C9B">
        <w:t xml:space="preserve">, France has made only limited progress in phasing out fossil fuel subsidies and expanding carbon pricing. The Commission reiterates its call for a more comprehensive carbon tax trajectory and strengthened price signals across all sectors. France </w:t>
      </w:r>
      <w:r w:rsidRPr="00EA4C9B">
        <w:lastRenderedPageBreak/>
        <w:t>is also encouraged to better integrate environmental tax revenues into climate investment planning, particularly under the Green Industry Plan and Climate Resilience Strategy.</w:t>
      </w:r>
    </w:p>
    <w:p w14:paraId="5EAAAFCF" w14:textId="77777777" w:rsidR="000A4E61" w:rsidRPr="00EA4C9B" w:rsidRDefault="000A4E61" w:rsidP="000A4E61">
      <w:pPr>
        <w:spacing w:before="120" w:after="120"/>
      </w:pPr>
      <w:r w:rsidRPr="00EA4C9B">
        <w:t>Despite these adjustments, France’s environmental taxation strategy continues to face challenges in balancing economic competitiveness, social acceptance, and environmental effectiveness.</w:t>
      </w:r>
    </w:p>
    <w:p w14:paraId="552775A2" w14:textId="77777777" w:rsidR="000A4E61" w:rsidRPr="00E263F5" w:rsidRDefault="000A4E61" w:rsidP="007C4EB7">
      <w:pPr>
        <w:pStyle w:val="AnnexHeading2"/>
      </w:pPr>
      <w:bookmarkStart w:id="191" w:name="_Toc214008876"/>
      <w:r w:rsidRPr="00E263F5">
        <w:t>Potential for implementing additional environmental taxes</w:t>
      </w:r>
      <w:bookmarkEnd w:id="191"/>
    </w:p>
    <w:p w14:paraId="3448D925" w14:textId="409E005B" w:rsidR="000F7B0B" w:rsidRDefault="000A4E61" w:rsidP="000F7B0B">
      <w:r w:rsidRPr="00EA4C9B">
        <w:t xml:space="preserve">French environmental taxes </w:t>
      </w:r>
      <w:r w:rsidR="16E89532" w:rsidRPr="00EA4C9B">
        <w:t>are mostly set up with the objective</w:t>
      </w:r>
      <w:r w:rsidRPr="00EA4C9B">
        <w:t xml:space="preserve"> to raise revenue </w:t>
      </w:r>
      <w:r w:rsidRPr="00EA4C9B">
        <w:rPr>
          <w:rFonts w:ascii="Calibri" w:eastAsia="Times New Roman" w:hAnsi="Calibri" w:cs="Calibri"/>
          <w:lang w:eastAsia="en-GB"/>
        </w:rPr>
        <w:t>(Oosterhuis, 2022)</w:t>
      </w:r>
      <w:r w:rsidRPr="00EA4C9B">
        <w:rPr>
          <w:rStyle w:val="FootnoteReference"/>
          <w:rFonts w:ascii="Calibri" w:eastAsia="Times New Roman" w:hAnsi="Calibri" w:cs="Calibri"/>
          <w:lang w:eastAsia="en-GB"/>
        </w:rPr>
        <w:footnoteReference w:id="372"/>
      </w:r>
      <w:r w:rsidRPr="00EA4C9B">
        <w:t xml:space="preserve">. </w:t>
      </w:r>
      <w:r w:rsidR="000F7B0B" w:rsidRPr="000F7B0B">
        <w:rPr>
          <w:rFonts w:ascii="Times New Roman" w:eastAsia="Times New Roman" w:hAnsi="Times New Roman" w:cs="Times New Roman"/>
          <w:sz w:val="24"/>
          <w:szCs w:val="24"/>
          <w:lang w:eastAsia="en-GB"/>
        </w:rPr>
        <w:t xml:space="preserve"> </w:t>
      </w:r>
      <w:r w:rsidR="000F7B0B" w:rsidRPr="000F7B0B">
        <w:t>In practice, this means that most environmental taxes in France are designed primarily as fiscal instruments rather than as tools to change behaviour. Th</w:t>
      </w:r>
      <w:r w:rsidR="5E5A3B90" w:rsidRPr="000F7B0B">
        <w:t>is is because th</w:t>
      </w:r>
      <w:r w:rsidR="000F7B0B" w:rsidRPr="000F7B0B">
        <w:t>eir rates and structures are often set with a focus on revenue generation for the state budget, rather than calibrated to the environmental damage or external costs they aim to address. As a result, price signals to encourage pollution reduction or resource efficiency are relatively weak. For example, fuel and energy taxes make up the vast majority of environmental tax revenues, but they are integrated into general excise duties and not explicitly linked to carbon or pollutant content. Similarly, other taxes</w:t>
      </w:r>
      <w:r w:rsidR="000F7B0B">
        <w:t xml:space="preserve">, </w:t>
      </w:r>
      <w:r w:rsidR="000F7B0B" w:rsidRPr="000F7B0B">
        <w:t>such as those on waste or air emissions</w:t>
      </w:r>
      <w:r w:rsidR="000F7B0B">
        <w:t xml:space="preserve">, </w:t>
      </w:r>
      <w:r w:rsidR="000F7B0B" w:rsidRPr="000F7B0B">
        <w:t>tend to have flat or low rates and limited differentiation by environmental impact. This limits their effectiveness in driving behavioural change, even though they contribute significantly to public revenues.</w:t>
      </w:r>
    </w:p>
    <w:p w14:paraId="65D8B518" w14:textId="4A0B765E" w:rsidR="000A4E61" w:rsidRPr="00EA4C9B" w:rsidRDefault="000F7B0B" w:rsidP="000A4E61">
      <w:r w:rsidRPr="000F7B0B">
        <w:t>This means that many of the existing French environmental taxes apply to goods or activities that generate pollution</w:t>
      </w:r>
      <w:r>
        <w:t xml:space="preserve"> </w:t>
      </w:r>
      <w:r w:rsidRPr="000F7B0B">
        <w:t>—</w:t>
      </w:r>
      <w:r>
        <w:t xml:space="preserve"> </w:t>
      </w:r>
      <w:r w:rsidRPr="000F7B0B">
        <w:t>such as waste or resource use</w:t>
      </w:r>
      <w:r>
        <w:t xml:space="preserve"> </w:t>
      </w:r>
      <w:r w:rsidRPr="000F7B0B">
        <w:t>—</w:t>
      </w:r>
      <w:r>
        <w:t xml:space="preserve"> </w:t>
      </w:r>
      <w:r w:rsidRPr="000F7B0B">
        <w:t xml:space="preserve">but the tax rates are not explicitly designed to reflect the actual environmental damage they cause. Instead, these taxes function as </w:t>
      </w:r>
      <w:r w:rsidRPr="000F7B0B">
        <w:rPr>
          <w:b/>
          <w:bCs/>
        </w:rPr>
        <w:t>indirect or implicit price signals</w:t>
      </w:r>
      <w:r w:rsidRPr="000F7B0B">
        <w:t>, arising as part of broader excise or consumption taxes, rather than as dedicated environmental instruments. In other words, pollution is taxed incidentally through general fiscal measures rather than intentionally at a rate proportional to its environmental impact.</w:t>
      </w:r>
      <w:r>
        <w:t xml:space="preserve"> </w:t>
      </w:r>
      <w:r w:rsidR="000A4E61" w:rsidRPr="00EA4C9B">
        <w:t>A green tax reform would imply an overall green tax shift with tax rates proportional to marginal damages (Chiroleu-Assouline, 2015</w:t>
      </w:r>
      <w:r w:rsidR="000A4E61" w:rsidRPr="00EA4C9B">
        <w:rPr>
          <w:rStyle w:val="FootnoteReference"/>
        </w:rPr>
        <w:footnoteReference w:id="373"/>
      </w:r>
      <w:r w:rsidR="000A4E61" w:rsidRPr="00EA4C9B">
        <w:t>).</w:t>
      </w:r>
    </w:p>
    <w:p w14:paraId="45A8537A" w14:textId="08806CA4" w:rsidR="000A4E61" w:rsidRPr="00EA4C9B" w:rsidRDefault="000A4E61" w:rsidP="000A4E61">
      <w:pPr>
        <w:rPr>
          <w:rFonts w:ascii="Calibri" w:eastAsia="Times New Roman" w:hAnsi="Calibri" w:cs="Calibri"/>
          <w:lang w:eastAsia="en-GB"/>
        </w:rPr>
      </w:pPr>
      <w:r w:rsidRPr="00EA4C9B">
        <w:t xml:space="preserve">For example, the role of the </w:t>
      </w:r>
      <w:r w:rsidRPr="00EA4C9B">
        <w:rPr>
          <w:rFonts w:ascii="Calibri" w:eastAsia="Times New Roman" w:hAnsi="Calibri" w:cs="Calibri"/>
          <w:b/>
          <w:bCs/>
          <w:lang w:eastAsia="en-GB"/>
        </w:rPr>
        <w:t>water abstraction charge</w:t>
      </w:r>
      <w:r w:rsidRPr="00EA4C9B">
        <w:rPr>
          <w:rFonts w:ascii="Calibri" w:eastAsia="Times New Roman" w:hAnsi="Calibri" w:cs="Calibri"/>
          <w:lang w:eastAsia="en-GB"/>
        </w:rPr>
        <w:t xml:space="preserve"> </w:t>
      </w:r>
      <w:r w:rsidRPr="00EA4C9B">
        <w:t>in providing incentives for more efficient water use is modest. Thus, the priority for possible future reform is likely to be a more balanced distribution of the charge burden between water using sectors. However, given the opposition that can be expected if, for instance, irrigation water was to be charged at a much higher rate, the political limits for drastic changes are clear (Oosterhuis, 2022).</w:t>
      </w:r>
      <w:r w:rsidRPr="00EA4C9B">
        <w:rPr>
          <w:rFonts w:ascii="Calibri" w:eastAsia="Times New Roman" w:hAnsi="Calibri" w:cs="Calibri"/>
          <w:lang w:eastAsia="en-GB"/>
        </w:rPr>
        <w:t xml:space="preserve"> All in all, France is reforming water charges to make them performance based. The new charges will be based on indicators like leakage rates and the local authority's knowledge of the network.</w:t>
      </w:r>
    </w:p>
    <w:p w14:paraId="78E98F75" w14:textId="46A41161" w:rsidR="00F51A09" w:rsidRPr="00EA4C9B" w:rsidRDefault="00F51A09" w:rsidP="000A4E61">
      <w:pPr>
        <w:rPr>
          <w:rFonts w:ascii="Calibri" w:eastAsia="Times New Roman" w:hAnsi="Calibri" w:cs="Calibri"/>
          <w:lang w:eastAsia="en-GB"/>
        </w:rPr>
      </w:pPr>
      <w:r>
        <w:rPr>
          <w:rFonts w:ascii="Calibri" w:eastAsia="Times New Roman" w:hAnsi="Calibri" w:cs="Calibri"/>
          <w:lang w:eastAsia="en-GB"/>
        </w:rPr>
        <w:t>In 2023 the European Commission</w:t>
      </w:r>
      <w:r>
        <w:rPr>
          <w:rStyle w:val="FootnoteReference"/>
          <w:rFonts w:ascii="Calibri" w:eastAsia="Times New Roman" w:hAnsi="Calibri" w:cs="Calibri"/>
          <w:lang w:eastAsia="en-GB"/>
        </w:rPr>
        <w:footnoteReference w:id="374"/>
      </w:r>
      <w:r>
        <w:rPr>
          <w:rFonts w:ascii="Calibri" w:eastAsia="Times New Roman" w:hAnsi="Calibri" w:cs="Calibri"/>
          <w:lang w:eastAsia="en-GB"/>
        </w:rPr>
        <w:t xml:space="preserve"> recommended France to i</w:t>
      </w:r>
      <w:r w:rsidRPr="00F51A09">
        <w:rPr>
          <w:rFonts w:ascii="Calibri" w:eastAsia="Times New Roman" w:hAnsi="Calibri" w:cs="Calibri"/>
          <w:lang w:eastAsia="en-GB"/>
        </w:rPr>
        <w:t xml:space="preserve">ntroduce a </w:t>
      </w:r>
      <w:r w:rsidRPr="00F82517">
        <w:rPr>
          <w:rFonts w:ascii="Calibri" w:eastAsia="Times New Roman" w:hAnsi="Calibri" w:cs="Calibri"/>
          <w:b/>
          <w:bCs/>
          <w:lang w:eastAsia="en-GB"/>
        </w:rPr>
        <w:t>pay-as-you-throw scheme</w:t>
      </w:r>
      <w:r w:rsidRPr="00F51A09">
        <w:rPr>
          <w:rFonts w:ascii="Calibri" w:eastAsia="Times New Roman" w:hAnsi="Calibri" w:cs="Calibri"/>
          <w:lang w:eastAsia="en-GB"/>
        </w:rPr>
        <w:t xml:space="preserve"> that applies to the whole population and offers stronger incentives for citizens to sort their waste at the source</w:t>
      </w:r>
      <w:r>
        <w:rPr>
          <w:rFonts w:ascii="Calibri" w:eastAsia="Times New Roman" w:hAnsi="Calibri" w:cs="Calibri"/>
          <w:lang w:eastAsia="en-GB"/>
        </w:rPr>
        <w:t>.</w:t>
      </w:r>
    </w:p>
    <w:p w14:paraId="78D2D092" w14:textId="77777777" w:rsidR="000A4E61" w:rsidRPr="00EA4C9B" w:rsidRDefault="000A4E61" w:rsidP="000A4E61">
      <w:pPr>
        <w:rPr>
          <w:rFonts w:ascii="Calibri" w:eastAsia="Times New Roman" w:hAnsi="Calibri" w:cs="Calibri"/>
          <w:lang w:eastAsia="en-GB"/>
        </w:rPr>
      </w:pPr>
      <w:r w:rsidRPr="00EA4C9B">
        <w:rPr>
          <w:rFonts w:ascii="Calibri" w:eastAsia="Times New Roman" w:hAnsi="Calibri" w:cs="Calibri"/>
          <w:lang w:eastAsia="en-GB"/>
        </w:rPr>
        <w:lastRenderedPageBreak/>
        <w:t>The Semester report</w:t>
      </w:r>
      <w:r w:rsidRPr="00EA4C9B">
        <w:rPr>
          <w:rStyle w:val="FootnoteReference"/>
          <w:rFonts w:ascii="Calibri" w:eastAsia="Times New Roman" w:hAnsi="Calibri" w:cs="Calibri"/>
          <w:lang w:eastAsia="en-GB"/>
        </w:rPr>
        <w:footnoteReference w:id="375"/>
      </w:r>
      <w:r w:rsidRPr="00EA4C9B">
        <w:rPr>
          <w:rFonts w:ascii="Calibri" w:eastAsia="Times New Roman" w:hAnsi="Calibri" w:cs="Calibri"/>
          <w:lang w:eastAsia="en-GB"/>
        </w:rPr>
        <w:t xml:space="preserve"> also highlights the need for clearer tax earmarking to ensure green revenues support investment in decarbonisation, circular economy, and biodiversity.</w:t>
      </w:r>
    </w:p>
    <w:p w14:paraId="4A986BC5" w14:textId="77777777" w:rsidR="000A4E61" w:rsidRPr="00EA4C9B" w:rsidRDefault="000A4E61" w:rsidP="007C4EB7">
      <w:pPr>
        <w:pStyle w:val="AnnexHeading2"/>
      </w:pPr>
      <w:bookmarkStart w:id="192" w:name="_Toc214008877"/>
      <w:r w:rsidRPr="00E263F5">
        <w:t>Impacts</w:t>
      </w:r>
      <w:r w:rsidRPr="00EA4C9B">
        <w:t xml:space="preserve"> and feasibility of implementing new environmental taxes</w:t>
      </w:r>
      <w:bookmarkEnd w:id="192"/>
    </w:p>
    <w:p w14:paraId="3886D09B" w14:textId="5C5DA24E" w:rsidR="00046384" w:rsidRDefault="00046384" w:rsidP="00046384">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1897EA2D" w14:textId="46C5BF5C" w:rsidR="00F33E5C" w:rsidRDefault="00F33E5C" w:rsidP="00F33E5C">
      <w:pPr>
        <w:rPr>
          <w:lang w:eastAsia="en-GB"/>
        </w:rPr>
      </w:pPr>
      <w:r w:rsidRPr="00F33E5C">
        <w:rPr>
          <w:lang w:eastAsia="en-GB"/>
        </w:rPr>
        <w:t xml:space="preserve">France has a long record of using environmental economic instruments, with relatively high rates in some areas and a dense set of regulatory tools. The modelling indicates that benchmarked reforms would yield measurable environmental benefits with a moderate fiscal payoff concentrated in water effluents and minerals. Under Scenario A, France sits among the larger revenue generators for wastewater discharges, with associated reductions in pollutant loads, and records sizeable receipts from a calibrated minerals instrument given the scale of aggregates use. Abstraction reforms deliver meaningful savings in water-stressed basins, while air-pollutant charges (NOx, SO₂ and PM₂.₅) add incremental abatement from large point sources. Landfill impacts are limited because current French rates are already at or above the </w:t>
      </w:r>
      <w:r w:rsidR="007B606C">
        <w:t>investigated</w:t>
      </w:r>
      <w:r w:rsidRPr="00F33E5C">
        <w:rPr>
          <w:lang w:eastAsia="en-GB"/>
        </w:rPr>
        <w:t xml:space="preserve"> minimum; incineration effects are moderate and depend on local capacity and the profile of municipal waste. Scenario B produces the same pattern at smaller magnitudes. Overall, both scenarios suggest that France can strengthen environmental price signals without material macroeconomic disruption, provided reforms are phased and accompanied by targeted mitigation.</w:t>
      </w:r>
    </w:p>
    <w:p w14:paraId="1847D083" w14:textId="38512C88" w:rsidR="00F33E5C" w:rsidRDefault="00F33E5C" w:rsidP="00F33E5C">
      <w:pPr>
        <w:rPr>
          <w:lang w:eastAsia="en-GB"/>
        </w:rPr>
      </w:pPr>
      <w:r>
        <w:rPr>
          <w:lang w:eastAsia="en-GB"/>
        </w:rPr>
        <w:t xml:space="preserve">Total revenues from the </w:t>
      </w:r>
      <w:r w:rsidR="007B606C">
        <w:t>investigated</w:t>
      </w:r>
      <w:r>
        <w:rPr>
          <w:lang w:eastAsia="en-GB"/>
        </w:rPr>
        <w:t xml:space="preserve"> taxes could rise by about €7 billion in 2030 and 2035, amounting to nearly two times the revenues for pollution and resource taxes in 2023.   The greatest contributions in revenue come from water effluent charges (49%). water abstraction charges (27%) and mineral taxes (17%).  These three make up 93% of all revenues. Waste to landfill already has taxes above the </w:t>
      </w:r>
      <w:r w:rsidR="007B606C">
        <w:t>investigated</w:t>
      </w:r>
      <w:r>
        <w:rPr>
          <w:lang w:eastAsia="en-GB"/>
        </w:rPr>
        <w:t xml:space="preserve"> minimum.  Consequently, this tax does not raise additional revenues.  Reduction in emissions or use of materials is greatest for pesticides (41%), followed by fertilizers (30%), water abstraction (29%), water effluent (25%) </w:t>
      </w:r>
    </w:p>
    <w:tbl>
      <w:tblPr>
        <w:tblStyle w:val="Lentelstinklelis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312"/>
        <w:gridCol w:w="1275"/>
      </w:tblGrid>
      <w:tr w:rsidR="00F33E5C" w:rsidRPr="00F501DA" w14:paraId="079DCC02" w14:textId="77777777" w:rsidTr="00BA7936">
        <w:trPr>
          <w:trHeight w:val="255"/>
        </w:trPr>
        <w:tc>
          <w:tcPr>
            <w:tcW w:w="9067" w:type="dxa"/>
            <w:gridSpan w:val="7"/>
            <w:shd w:val="clear" w:color="auto" w:fill="003399"/>
          </w:tcPr>
          <w:p w14:paraId="1616E6B8" w14:textId="1F563FEE" w:rsidR="00F33E5C" w:rsidRPr="00EE6D0A" w:rsidRDefault="00F33E5C" w:rsidP="000878F6">
            <w:pPr>
              <w:pStyle w:val="Table"/>
              <w:rPr>
                <w:b/>
                <w:lang w:eastAsia="en-GB"/>
              </w:rPr>
            </w:pPr>
            <w:r w:rsidRPr="00EE6D0A">
              <w:rPr>
                <w:b/>
                <w:color w:val="FFFFFF" w:themeColor="background1"/>
              </w:rPr>
              <w:t xml:space="preserve">Table </w:t>
            </w:r>
            <w:r w:rsidR="00490085">
              <w:rPr>
                <w:b/>
                <w:bCs/>
                <w:color w:val="FFFFFF" w:themeColor="background1"/>
              </w:rPr>
              <w:t>A6</w:t>
            </w:r>
            <w:r w:rsidRPr="00EE6D0A">
              <w:rPr>
                <w:b/>
                <w:bCs/>
                <w:color w:val="FFFFFF" w:themeColor="background1"/>
              </w:rPr>
              <w:t>-</w:t>
            </w:r>
            <w:r w:rsidRPr="00EE6D0A">
              <w:rPr>
                <w:b/>
                <w:bCs/>
                <w:color w:val="FFFFFF" w:themeColor="background1"/>
              </w:rPr>
              <w:fldChar w:fldCharType="begin"/>
            </w:r>
            <w:r w:rsidRPr="00EE6D0A">
              <w:rPr>
                <w:b/>
                <w:bCs/>
                <w:color w:val="FFFFFF" w:themeColor="background1"/>
              </w:rPr>
              <w:instrText xml:space="preserve"> SEQ Table_A5- \* ARABIC </w:instrText>
            </w:r>
            <w:r w:rsidRPr="00EE6D0A">
              <w:rPr>
                <w:b/>
                <w:bCs/>
                <w:color w:val="FFFFFF" w:themeColor="background1"/>
              </w:rPr>
              <w:fldChar w:fldCharType="separate"/>
            </w:r>
            <w:r>
              <w:rPr>
                <w:b/>
                <w:bCs/>
                <w:noProof/>
                <w:color w:val="FFFFFF" w:themeColor="background1"/>
              </w:rPr>
              <w:t>59</w:t>
            </w:r>
            <w:r w:rsidRPr="00EE6D0A">
              <w:rPr>
                <w:b/>
                <w:bCs/>
                <w:color w:val="FFFFFF" w:themeColor="background1"/>
              </w:rPr>
              <w:fldChar w:fldCharType="end"/>
            </w:r>
            <w:r w:rsidRPr="00EE6D0A">
              <w:rPr>
                <w:b/>
                <w:bCs/>
                <w:color w:val="FFFFFF" w:themeColor="background1"/>
                <w:lang w:eastAsia="en-GB"/>
              </w:rPr>
              <w:t>:</w:t>
            </w:r>
            <w:r w:rsidRPr="00EE6D0A">
              <w:rPr>
                <w:b/>
                <w:color w:val="FFFFFF" w:themeColor="background1"/>
                <w:lang w:eastAsia="en-GB"/>
              </w:rPr>
              <w:t xml:space="preserve"> Environmental Impacts and Revenue Changes in France</w:t>
            </w:r>
            <w:r>
              <w:rPr>
                <w:b/>
                <w:color w:val="FFFFFF" w:themeColor="background1"/>
                <w:lang w:eastAsia="en-GB"/>
              </w:rPr>
              <w:t xml:space="preserve"> – Scenario A</w:t>
            </w:r>
          </w:p>
        </w:tc>
      </w:tr>
      <w:tr w:rsidR="00F33E5C" w:rsidRPr="00F501DA" w14:paraId="0FCABA4F" w14:textId="77777777" w:rsidTr="00BA7936">
        <w:tc>
          <w:tcPr>
            <w:tcW w:w="2160" w:type="dxa"/>
          </w:tcPr>
          <w:p w14:paraId="4BA80DD1" w14:textId="77777777" w:rsidR="00F33E5C" w:rsidRPr="00EE6D0A" w:rsidRDefault="00F33E5C" w:rsidP="000878F6">
            <w:pPr>
              <w:pStyle w:val="Table"/>
              <w:rPr>
                <w:b/>
              </w:rPr>
            </w:pPr>
            <w:r w:rsidRPr="00EE6D0A">
              <w:rPr>
                <w:b/>
              </w:rPr>
              <w:t>Tax Name</w:t>
            </w:r>
          </w:p>
        </w:tc>
        <w:tc>
          <w:tcPr>
            <w:tcW w:w="2160" w:type="dxa"/>
            <w:gridSpan w:val="2"/>
            <w:vAlign w:val="bottom"/>
          </w:tcPr>
          <w:p w14:paraId="0926E166" w14:textId="77777777" w:rsidR="00F33E5C" w:rsidRPr="0021624F" w:rsidRDefault="00F33E5C" w:rsidP="000878F6">
            <w:pPr>
              <w:pStyle w:val="Table"/>
              <w:jc w:val="center"/>
              <w:rPr>
                <w:b/>
                <w:szCs w:val="20"/>
              </w:rPr>
            </w:pPr>
            <w:r>
              <w:rPr>
                <w:rFonts w:ascii="Calibri" w:hAnsi="Calibri" w:cs="Calibri"/>
                <w:b/>
                <w:bCs/>
                <w:color w:val="000000"/>
                <w:szCs w:val="20"/>
              </w:rPr>
              <w:t>% Change in Quantities as % of taxed sector</w:t>
            </w:r>
          </w:p>
        </w:tc>
        <w:tc>
          <w:tcPr>
            <w:tcW w:w="2160" w:type="dxa"/>
            <w:gridSpan w:val="2"/>
            <w:vAlign w:val="bottom"/>
          </w:tcPr>
          <w:p w14:paraId="33A1AAB2" w14:textId="77777777" w:rsidR="00F33E5C" w:rsidRPr="0021624F" w:rsidRDefault="00F33E5C" w:rsidP="000878F6">
            <w:pPr>
              <w:pStyle w:val="Table"/>
              <w:jc w:val="center"/>
              <w:rPr>
                <w:b/>
                <w:szCs w:val="20"/>
              </w:rPr>
            </w:pPr>
            <w:r>
              <w:rPr>
                <w:rFonts w:ascii="Calibri" w:hAnsi="Calibri" w:cs="Calibri"/>
                <w:b/>
                <w:bCs/>
                <w:color w:val="000000"/>
                <w:szCs w:val="20"/>
              </w:rPr>
              <w:t>Change in Revenues (€Mn)</w:t>
            </w:r>
          </w:p>
        </w:tc>
        <w:tc>
          <w:tcPr>
            <w:tcW w:w="2587" w:type="dxa"/>
            <w:gridSpan w:val="2"/>
            <w:vAlign w:val="bottom"/>
          </w:tcPr>
          <w:p w14:paraId="5C1E41AF" w14:textId="77777777" w:rsidR="00F33E5C" w:rsidRPr="0021624F" w:rsidRDefault="00F33E5C" w:rsidP="000878F6">
            <w:pPr>
              <w:pStyle w:val="Table"/>
              <w:jc w:val="center"/>
              <w:rPr>
                <w:b/>
                <w:szCs w:val="20"/>
              </w:rPr>
            </w:pPr>
            <w:r>
              <w:rPr>
                <w:rFonts w:ascii="Calibri" w:hAnsi="Calibri" w:cs="Calibri"/>
                <w:b/>
                <w:bCs/>
                <w:color w:val="000000"/>
                <w:szCs w:val="20"/>
              </w:rPr>
              <w:t>As % of 2023 Resource Tax</w:t>
            </w:r>
          </w:p>
        </w:tc>
      </w:tr>
      <w:tr w:rsidR="00F33E5C" w:rsidRPr="001840EB" w14:paraId="6B24BEAD" w14:textId="77777777" w:rsidTr="00BA7936">
        <w:tc>
          <w:tcPr>
            <w:tcW w:w="2160" w:type="dxa"/>
          </w:tcPr>
          <w:p w14:paraId="6F5A131B" w14:textId="77777777" w:rsidR="00F33E5C" w:rsidRPr="0053406A" w:rsidRDefault="00F33E5C" w:rsidP="000878F6">
            <w:pPr>
              <w:pStyle w:val="Table"/>
              <w:rPr>
                <w:b/>
              </w:rPr>
            </w:pPr>
            <w:r w:rsidRPr="0053406A">
              <w:rPr>
                <w:b/>
              </w:rPr>
              <w:t>Year</w:t>
            </w:r>
          </w:p>
        </w:tc>
        <w:tc>
          <w:tcPr>
            <w:tcW w:w="1080" w:type="dxa"/>
          </w:tcPr>
          <w:p w14:paraId="6D9BEBAA" w14:textId="77777777" w:rsidR="00F33E5C" w:rsidRPr="0021624F" w:rsidRDefault="00F33E5C" w:rsidP="000878F6">
            <w:pPr>
              <w:pStyle w:val="Table"/>
              <w:jc w:val="center"/>
              <w:rPr>
                <w:b/>
                <w:szCs w:val="20"/>
              </w:rPr>
            </w:pPr>
            <w:r w:rsidRPr="0021624F">
              <w:rPr>
                <w:b/>
                <w:szCs w:val="20"/>
              </w:rPr>
              <w:t>2030</w:t>
            </w:r>
          </w:p>
        </w:tc>
        <w:tc>
          <w:tcPr>
            <w:tcW w:w="1080" w:type="dxa"/>
          </w:tcPr>
          <w:p w14:paraId="11ACD884" w14:textId="77777777" w:rsidR="00F33E5C" w:rsidRPr="0021624F" w:rsidRDefault="00F33E5C" w:rsidP="000878F6">
            <w:pPr>
              <w:pStyle w:val="Table"/>
              <w:jc w:val="center"/>
              <w:rPr>
                <w:b/>
                <w:szCs w:val="20"/>
              </w:rPr>
            </w:pPr>
            <w:r w:rsidRPr="0021624F">
              <w:rPr>
                <w:b/>
                <w:szCs w:val="20"/>
              </w:rPr>
              <w:t>2035</w:t>
            </w:r>
          </w:p>
        </w:tc>
        <w:tc>
          <w:tcPr>
            <w:tcW w:w="990" w:type="dxa"/>
          </w:tcPr>
          <w:p w14:paraId="2EFAE7E4" w14:textId="77777777" w:rsidR="00F33E5C" w:rsidRPr="0021624F" w:rsidRDefault="00F33E5C" w:rsidP="000878F6">
            <w:pPr>
              <w:pStyle w:val="Table"/>
              <w:jc w:val="center"/>
              <w:rPr>
                <w:b/>
                <w:szCs w:val="20"/>
              </w:rPr>
            </w:pPr>
            <w:r w:rsidRPr="0021624F">
              <w:rPr>
                <w:b/>
                <w:szCs w:val="20"/>
              </w:rPr>
              <w:t>2030</w:t>
            </w:r>
          </w:p>
        </w:tc>
        <w:tc>
          <w:tcPr>
            <w:tcW w:w="1170" w:type="dxa"/>
          </w:tcPr>
          <w:p w14:paraId="6A9EE88C" w14:textId="77777777" w:rsidR="00F33E5C" w:rsidRPr="0021624F" w:rsidRDefault="00F33E5C" w:rsidP="000878F6">
            <w:pPr>
              <w:pStyle w:val="Table"/>
              <w:jc w:val="center"/>
              <w:rPr>
                <w:b/>
                <w:szCs w:val="20"/>
              </w:rPr>
            </w:pPr>
            <w:r w:rsidRPr="0021624F">
              <w:rPr>
                <w:b/>
                <w:szCs w:val="20"/>
              </w:rPr>
              <w:t>2035</w:t>
            </w:r>
          </w:p>
        </w:tc>
        <w:tc>
          <w:tcPr>
            <w:tcW w:w="1312" w:type="dxa"/>
          </w:tcPr>
          <w:p w14:paraId="6D4C3114" w14:textId="77777777" w:rsidR="00F33E5C" w:rsidRPr="0021624F" w:rsidRDefault="00F33E5C" w:rsidP="000878F6">
            <w:pPr>
              <w:pStyle w:val="Table"/>
              <w:jc w:val="center"/>
              <w:rPr>
                <w:b/>
                <w:szCs w:val="20"/>
              </w:rPr>
            </w:pPr>
            <w:r w:rsidRPr="0021624F">
              <w:rPr>
                <w:b/>
                <w:szCs w:val="20"/>
              </w:rPr>
              <w:t>2030</w:t>
            </w:r>
          </w:p>
        </w:tc>
        <w:tc>
          <w:tcPr>
            <w:tcW w:w="1275" w:type="dxa"/>
          </w:tcPr>
          <w:p w14:paraId="1F03AD86" w14:textId="77777777" w:rsidR="00F33E5C" w:rsidRPr="0021624F" w:rsidRDefault="00F33E5C" w:rsidP="000878F6">
            <w:pPr>
              <w:pStyle w:val="Table"/>
              <w:jc w:val="center"/>
              <w:rPr>
                <w:b/>
                <w:szCs w:val="20"/>
              </w:rPr>
            </w:pPr>
            <w:r w:rsidRPr="0021624F">
              <w:rPr>
                <w:b/>
                <w:szCs w:val="20"/>
              </w:rPr>
              <w:t>2035</w:t>
            </w:r>
          </w:p>
        </w:tc>
      </w:tr>
      <w:tr w:rsidR="00F33E5C" w:rsidRPr="001840EB" w14:paraId="61C80C95" w14:textId="77777777" w:rsidTr="00BA7936">
        <w:tc>
          <w:tcPr>
            <w:tcW w:w="2160" w:type="dxa"/>
          </w:tcPr>
          <w:p w14:paraId="7BB3DA3F" w14:textId="77777777" w:rsidR="00F33E5C" w:rsidRPr="00F501DA" w:rsidRDefault="00F33E5C" w:rsidP="000878F6">
            <w:pPr>
              <w:pStyle w:val="Table"/>
            </w:pPr>
            <w:r w:rsidRPr="00F501DA">
              <w:t>NOx</w:t>
            </w:r>
          </w:p>
        </w:tc>
        <w:tc>
          <w:tcPr>
            <w:tcW w:w="1080" w:type="dxa"/>
            <w:vAlign w:val="center"/>
          </w:tcPr>
          <w:p w14:paraId="3DC89634" w14:textId="77777777" w:rsidR="00F33E5C" w:rsidRPr="0021624F" w:rsidRDefault="00F33E5C" w:rsidP="000878F6">
            <w:pPr>
              <w:pStyle w:val="Table"/>
              <w:jc w:val="center"/>
              <w:rPr>
                <w:szCs w:val="20"/>
              </w:rPr>
            </w:pPr>
            <w:r w:rsidRPr="0021624F">
              <w:rPr>
                <w:rFonts w:ascii="Calibri" w:hAnsi="Calibri" w:cs="Calibri"/>
                <w:color w:val="000000"/>
                <w:szCs w:val="20"/>
              </w:rPr>
              <w:t>-28,57%</w:t>
            </w:r>
          </w:p>
        </w:tc>
        <w:tc>
          <w:tcPr>
            <w:tcW w:w="1080" w:type="dxa"/>
            <w:vAlign w:val="center"/>
          </w:tcPr>
          <w:p w14:paraId="53371158" w14:textId="77777777" w:rsidR="00F33E5C" w:rsidRPr="0021624F" w:rsidRDefault="00F33E5C" w:rsidP="000878F6">
            <w:pPr>
              <w:pStyle w:val="Table"/>
              <w:jc w:val="center"/>
              <w:rPr>
                <w:szCs w:val="20"/>
              </w:rPr>
            </w:pPr>
            <w:r w:rsidRPr="0021624F">
              <w:rPr>
                <w:rFonts w:ascii="Calibri" w:hAnsi="Calibri" w:cs="Calibri"/>
                <w:color w:val="000000"/>
                <w:szCs w:val="20"/>
              </w:rPr>
              <w:t>-28,57%</w:t>
            </w:r>
          </w:p>
        </w:tc>
        <w:tc>
          <w:tcPr>
            <w:tcW w:w="990" w:type="dxa"/>
            <w:vAlign w:val="center"/>
          </w:tcPr>
          <w:p w14:paraId="02A14F9D" w14:textId="77777777" w:rsidR="00F33E5C" w:rsidRPr="0021624F" w:rsidRDefault="00F33E5C" w:rsidP="000878F6">
            <w:pPr>
              <w:pStyle w:val="Table"/>
              <w:jc w:val="center"/>
              <w:rPr>
                <w:szCs w:val="20"/>
              </w:rPr>
            </w:pPr>
            <w:r w:rsidRPr="0021624F">
              <w:rPr>
                <w:rFonts w:ascii="Calibri" w:hAnsi="Calibri" w:cs="Calibri"/>
                <w:color w:val="000000"/>
                <w:szCs w:val="20"/>
              </w:rPr>
              <w:t>3,20</w:t>
            </w:r>
          </w:p>
        </w:tc>
        <w:tc>
          <w:tcPr>
            <w:tcW w:w="1170" w:type="dxa"/>
            <w:vAlign w:val="center"/>
          </w:tcPr>
          <w:p w14:paraId="0177EA11" w14:textId="77777777" w:rsidR="00F33E5C" w:rsidRPr="0021624F" w:rsidRDefault="00F33E5C" w:rsidP="000878F6">
            <w:pPr>
              <w:pStyle w:val="Table"/>
              <w:jc w:val="center"/>
              <w:rPr>
                <w:szCs w:val="20"/>
              </w:rPr>
            </w:pPr>
            <w:r w:rsidRPr="0021624F">
              <w:rPr>
                <w:rFonts w:ascii="Calibri" w:hAnsi="Calibri" w:cs="Calibri"/>
                <w:color w:val="000000"/>
                <w:szCs w:val="20"/>
              </w:rPr>
              <w:t>2,22</w:t>
            </w:r>
          </w:p>
        </w:tc>
        <w:tc>
          <w:tcPr>
            <w:tcW w:w="1312" w:type="dxa"/>
            <w:vAlign w:val="center"/>
          </w:tcPr>
          <w:p w14:paraId="705B5236" w14:textId="77777777" w:rsidR="00F33E5C" w:rsidRPr="0021624F" w:rsidRDefault="00F33E5C" w:rsidP="000878F6">
            <w:pPr>
              <w:pStyle w:val="Table"/>
              <w:jc w:val="center"/>
              <w:rPr>
                <w:szCs w:val="20"/>
              </w:rPr>
            </w:pPr>
            <w:r w:rsidRPr="0021624F">
              <w:rPr>
                <w:rFonts w:ascii="Calibri" w:hAnsi="Calibri" w:cs="Calibri"/>
                <w:color w:val="000000"/>
                <w:szCs w:val="20"/>
              </w:rPr>
              <w:t>0,06%</w:t>
            </w:r>
          </w:p>
        </w:tc>
        <w:tc>
          <w:tcPr>
            <w:tcW w:w="1275" w:type="dxa"/>
            <w:vAlign w:val="center"/>
          </w:tcPr>
          <w:p w14:paraId="7A6DCFC1" w14:textId="77777777" w:rsidR="00F33E5C" w:rsidRPr="0021624F" w:rsidRDefault="00F33E5C" w:rsidP="000878F6">
            <w:pPr>
              <w:pStyle w:val="Table"/>
              <w:jc w:val="center"/>
              <w:rPr>
                <w:szCs w:val="20"/>
              </w:rPr>
            </w:pPr>
            <w:r w:rsidRPr="0021624F">
              <w:rPr>
                <w:rFonts w:ascii="Calibri" w:hAnsi="Calibri" w:cs="Calibri"/>
                <w:color w:val="000000"/>
                <w:szCs w:val="20"/>
              </w:rPr>
              <w:t>0,04%</w:t>
            </w:r>
          </w:p>
        </w:tc>
      </w:tr>
      <w:tr w:rsidR="00F33E5C" w:rsidRPr="001840EB" w14:paraId="79D311D4" w14:textId="77777777" w:rsidTr="00BA7936">
        <w:tc>
          <w:tcPr>
            <w:tcW w:w="2160" w:type="dxa"/>
          </w:tcPr>
          <w:p w14:paraId="52979881" w14:textId="77777777" w:rsidR="00F33E5C" w:rsidRPr="00F501DA" w:rsidRDefault="00F33E5C" w:rsidP="000878F6">
            <w:pPr>
              <w:pStyle w:val="Table"/>
            </w:pPr>
            <w:r w:rsidRPr="00F501DA">
              <w:t>SO2</w:t>
            </w:r>
          </w:p>
        </w:tc>
        <w:tc>
          <w:tcPr>
            <w:tcW w:w="1080" w:type="dxa"/>
            <w:vAlign w:val="center"/>
          </w:tcPr>
          <w:p w14:paraId="1CC267AE" w14:textId="77777777" w:rsidR="00F33E5C" w:rsidRPr="0021624F" w:rsidRDefault="00F33E5C" w:rsidP="000878F6">
            <w:pPr>
              <w:pStyle w:val="Table"/>
              <w:jc w:val="center"/>
              <w:rPr>
                <w:szCs w:val="20"/>
              </w:rPr>
            </w:pPr>
            <w:r w:rsidRPr="0021624F">
              <w:rPr>
                <w:rFonts w:ascii="Calibri" w:hAnsi="Calibri" w:cs="Calibri"/>
                <w:color w:val="000000"/>
                <w:szCs w:val="20"/>
              </w:rPr>
              <w:t>-32,43%</w:t>
            </w:r>
          </w:p>
        </w:tc>
        <w:tc>
          <w:tcPr>
            <w:tcW w:w="1080" w:type="dxa"/>
            <w:vAlign w:val="center"/>
          </w:tcPr>
          <w:p w14:paraId="69103761" w14:textId="77777777" w:rsidR="00F33E5C" w:rsidRPr="0021624F" w:rsidRDefault="00F33E5C" w:rsidP="000878F6">
            <w:pPr>
              <w:pStyle w:val="Table"/>
              <w:jc w:val="center"/>
              <w:rPr>
                <w:szCs w:val="20"/>
              </w:rPr>
            </w:pPr>
            <w:r w:rsidRPr="0021624F">
              <w:rPr>
                <w:rFonts w:ascii="Calibri" w:hAnsi="Calibri" w:cs="Calibri"/>
                <w:color w:val="000000"/>
                <w:szCs w:val="20"/>
              </w:rPr>
              <w:t>-32,43%</w:t>
            </w:r>
          </w:p>
        </w:tc>
        <w:tc>
          <w:tcPr>
            <w:tcW w:w="990" w:type="dxa"/>
            <w:vAlign w:val="center"/>
          </w:tcPr>
          <w:p w14:paraId="2E2974C8" w14:textId="77777777" w:rsidR="00F33E5C" w:rsidRPr="0021624F" w:rsidRDefault="00F33E5C" w:rsidP="000878F6">
            <w:pPr>
              <w:pStyle w:val="Table"/>
              <w:jc w:val="center"/>
              <w:rPr>
                <w:szCs w:val="20"/>
              </w:rPr>
            </w:pPr>
            <w:r w:rsidRPr="0021624F">
              <w:rPr>
                <w:rFonts w:ascii="Calibri" w:hAnsi="Calibri" w:cs="Calibri"/>
                <w:color w:val="000000"/>
                <w:szCs w:val="20"/>
              </w:rPr>
              <w:t>35,93</w:t>
            </w:r>
          </w:p>
        </w:tc>
        <w:tc>
          <w:tcPr>
            <w:tcW w:w="1170" w:type="dxa"/>
            <w:vAlign w:val="center"/>
          </w:tcPr>
          <w:p w14:paraId="0771EFC1" w14:textId="77777777" w:rsidR="00F33E5C" w:rsidRPr="0021624F" w:rsidRDefault="00F33E5C" w:rsidP="000878F6">
            <w:pPr>
              <w:pStyle w:val="Table"/>
              <w:jc w:val="center"/>
              <w:rPr>
                <w:szCs w:val="20"/>
              </w:rPr>
            </w:pPr>
            <w:r w:rsidRPr="0021624F">
              <w:rPr>
                <w:rFonts w:ascii="Calibri" w:hAnsi="Calibri" w:cs="Calibri"/>
                <w:color w:val="000000"/>
                <w:szCs w:val="20"/>
              </w:rPr>
              <w:t>23,15</w:t>
            </w:r>
          </w:p>
        </w:tc>
        <w:tc>
          <w:tcPr>
            <w:tcW w:w="1312" w:type="dxa"/>
            <w:vAlign w:val="center"/>
          </w:tcPr>
          <w:p w14:paraId="39078373" w14:textId="77777777" w:rsidR="00F33E5C" w:rsidRPr="0021624F" w:rsidRDefault="00F33E5C" w:rsidP="000878F6">
            <w:pPr>
              <w:pStyle w:val="Table"/>
              <w:jc w:val="center"/>
              <w:rPr>
                <w:szCs w:val="20"/>
              </w:rPr>
            </w:pPr>
            <w:r w:rsidRPr="0021624F">
              <w:rPr>
                <w:rFonts w:ascii="Calibri" w:hAnsi="Calibri" w:cs="Calibri"/>
                <w:color w:val="000000"/>
                <w:szCs w:val="20"/>
              </w:rPr>
              <w:t>0,71%</w:t>
            </w:r>
          </w:p>
        </w:tc>
        <w:tc>
          <w:tcPr>
            <w:tcW w:w="1275" w:type="dxa"/>
            <w:vAlign w:val="center"/>
          </w:tcPr>
          <w:p w14:paraId="704A9F6D" w14:textId="77777777" w:rsidR="00F33E5C" w:rsidRPr="0021624F" w:rsidRDefault="00F33E5C" w:rsidP="000878F6">
            <w:pPr>
              <w:pStyle w:val="Table"/>
              <w:jc w:val="center"/>
              <w:rPr>
                <w:szCs w:val="20"/>
              </w:rPr>
            </w:pPr>
            <w:r w:rsidRPr="0021624F">
              <w:rPr>
                <w:rFonts w:ascii="Calibri" w:hAnsi="Calibri" w:cs="Calibri"/>
                <w:color w:val="000000"/>
                <w:szCs w:val="20"/>
              </w:rPr>
              <w:t>0,46%</w:t>
            </w:r>
          </w:p>
        </w:tc>
      </w:tr>
      <w:tr w:rsidR="00F33E5C" w:rsidRPr="001840EB" w14:paraId="3FA0EA82" w14:textId="77777777" w:rsidTr="00BA7936">
        <w:tc>
          <w:tcPr>
            <w:tcW w:w="2160" w:type="dxa"/>
          </w:tcPr>
          <w:p w14:paraId="315FEE2C" w14:textId="77777777" w:rsidR="00F33E5C" w:rsidRPr="00F501DA" w:rsidRDefault="00F33E5C" w:rsidP="000878F6">
            <w:pPr>
              <w:pStyle w:val="Table"/>
            </w:pPr>
            <w:r w:rsidRPr="00F501DA">
              <w:t>PM2.5</w:t>
            </w:r>
          </w:p>
        </w:tc>
        <w:tc>
          <w:tcPr>
            <w:tcW w:w="1080" w:type="dxa"/>
            <w:vAlign w:val="center"/>
          </w:tcPr>
          <w:p w14:paraId="4840E713" w14:textId="77777777" w:rsidR="00F33E5C" w:rsidRPr="0021624F" w:rsidRDefault="00F33E5C" w:rsidP="000878F6">
            <w:pPr>
              <w:pStyle w:val="Table"/>
              <w:jc w:val="center"/>
              <w:rPr>
                <w:szCs w:val="20"/>
              </w:rPr>
            </w:pPr>
            <w:r w:rsidRPr="0021624F">
              <w:rPr>
                <w:rFonts w:ascii="Calibri" w:hAnsi="Calibri" w:cs="Calibri"/>
                <w:color w:val="000000"/>
                <w:szCs w:val="20"/>
              </w:rPr>
              <w:t>-29,58%</w:t>
            </w:r>
          </w:p>
        </w:tc>
        <w:tc>
          <w:tcPr>
            <w:tcW w:w="1080" w:type="dxa"/>
            <w:vAlign w:val="center"/>
          </w:tcPr>
          <w:p w14:paraId="7CED9C9D" w14:textId="77777777" w:rsidR="00F33E5C" w:rsidRPr="0021624F" w:rsidRDefault="00F33E5C" w:rsidP="000878F6">
            <w:pPr>
              <w:pStyle w:val="Table"/>
              <w:jc w:val="center"/>
              <w:rPr>
                <w:szCs w:val="20"/>
              </w:rPr>
            </w:pPr>
            <w:r w:rsidRPr="0021624F">
              <w:rPr>
                <w:rFonts w:ascii="Calibri" w:hAnsi="Calibri" w:cs="Calibri"/>
                <w:color w:val="000000"/>
                <w:szCs w:val="20"/>
              </w:rPr>
              <w:t>-29,58%</w:t>
            </w:r>
          </w:p>
        </w:tc>
        <w:tc>
          <w:tcPr>
            <w:tcW w:w="990" w:type="dxa"/>
            <w:vAlign w:val="center"/>
          </w:tcPr>
          <w:p w14:paraId="429E35A3" w14:textId="77777777" w:rsidR="00F33E5C" w:rsidRPr="0021624F" w:rsidRDefault="00F33E5C" w:rsidP="000878F6">
            <w:pPr>
              <w:pStyle w:val="Table"/>
              <w:jc w:val="center"/>
              <w:rPr>
                <w:szCs w:val="20"/>
              </w:rPr>
            </w:pPr>
            <w:r w:rsidRPr="0021624F">
              <w:rPr>
                <w:rFonts w:ascii="Calibri" w:hAnsi="Calibri" w:cs="Calibri"/>
                <w:color w:val="000000"/>
                <w:szCs w:val="20"/>
              </w:rPr>
              <w:t>23,79</w:t>
            </w:r>
          </w:p>
        </w:tc>
        <w:tc>
          <w:tcPr>
            <w:tcW w:w="1170" w:type="dxa"/>
            <w:vAlign w:val="center"/>
          </w:tcPr>
          <w:p w14:paraId="4A7C78C5" w14:textId="77777777" w:rsidR="00F33E5C" w:rsidRPr="0021624F" w:rsidRDefault="00F33E5C" w:rsidP="000878F6">
            <w:pPr>
              <w:pStyle w:val="Table"/>
              <w:jc w:val="center"/>
              <w:rPr>
                <w:szCs w:val="20"/>
              </w:rPr>
            </w:pPr>
            <w:r w:rsidRPr="0021624F">
              <w:rPr>
                <w:rFonts w:ascii="Calibri" w:hAnsi="Calibri" w:cs="Calibri"/>
                <w:color w:val="000000"/>
                <w:szCs w:val="20"/>
              </w:rPr>
              <w:t>22,21</w:t>
            </w:r>
          </w:p>
        </w:tc>
        <w:tc>
          <w:tcPr>
            <w:tcW w:w="1312" w:type="dxa"/>
            <w:vAlign w:val="center"/>
          </w:tcPr>
          <w:p w14:paraId="2431ED24" w14:textId="77777777" w:rsidR="00F33E5C" w:rsidRPr="0021624F" w:rsidRDefault="00F33E5C" w:rsidP="000878F6">
            <w:pPr>
              <w:pStyle w:val="Table"/>
              <w:jc w:val="center"/>
              <w:rPr>
                <w:szCs w:val="20"/>
              </w:rPr>
            </w:pPr>
            <w:r w:rsidRPr="0021624F">
              <w:rPr>
                <w:rFonts w:ascii="Calibri" w:hAnsi="Calibri" w:cs="Calibri"/>
                <w:color w:val="000000"/>
                <w:szCs w:val="20"/>
              </w:rPr>
              <w:t>0,47%</w:t>
            </w:r>
          </w:p>
        </w:tc>
        <w:tc>
          <w:tcPr>
            <w:tcW w:w="1275" w:type="dxa"/>
            <w:vAlign w:val="center"/>
          </w:tcPr>
          <w:p w14:paraId="2A63542C" w14:textId="77777777" w:rsidR="00F33E5C" w:rsidRPr="0021624F" w:rsidRDefault="00F33E5C" w:rsidP="000878F6">
            <w:pPr>
              <w:pStyle w:val="Table"/>
              <w:jc w:val="center"/>
              <w:rPr>
                <w:szCs w:val="20"/>
              </w:rPr>
            </w:pPr>
            <w:r w:rsidRPr="0021624F">
              <w:rPr>
                <w:rFonts w:ascii="Calibri" w:hAnsi="Calibri" w:cs="Calibri"/>
                <w:color w:val="000000"/>
                <w:szCs w:val="20"/>
              </w:rPr>
              <w:t>0,44%</w:t>
            </w:r>
          </w:p>
        </w:tc>
      </w:tr>
      <w:tr w:rsidR="00F33E5C" w:rsidRPr="001840EB" w14:paraId="663EDAB9" w14:textId="77777777" w:rsidTr="00BA7936">
        <w:tc>
          <w:tcPr>
            <w:tcW w:w="2160" w:type="dxa"/>
          </w:tcPr>
          <w:p w14:paraId="1B5164DB" w14:textId="77777777" w:rsidR="00F33E5C" w:rsidRPr="00F501DA" w:rsidRDefault="00F33E5C" w:rsidP="000878F6">
            <w:pPr>
              <w:pStyle w:val="Table"/>
            </w:pPr>
            <w:r w:rsidRPr="00F501DA">
              <w:t>Water Abstraction</w:t>
            </w:r>
          </w:p>
        </w:tc>
        <w:tc>
          <w:tcPr>
            <w:tcW w:w="1080" w:type="dxa"/>
            <w:vAlign w:val="center"/>
          </w:tcPr>
          <w:p w14:paraId="1C96E10E" w14:textId="77777777" w:rsidR="00F33E5C" w:rsidRPr="0021624F" w:rsidRDefault="00F33E5C" w:rsidP="000878F6">
            <w:pPr>
              <w:pStyle w:val="Table"/>
              <w:jc w:val="center"/>
              <w:rPr>
                <w:szCs w:val="20"/>
              </w:rPr>
            </w:pPr>
            <w:r w:rsidRPr="0021624F">
              <w:rPr>
                <w:rFonts w:ascii="Calibri" w:hAnsi="Calibri" w:cs="Calibri"/>
                <w:color w:val="000000"/>
                <w:szCs w:val="20"/>
              </w:rPr>
              <w:t>-29,06%</w:t>
            </w:r>
          </w:p>
        </w:tc>
        <w:tc>
          <w:tcPr>
            <w:tcW w:w="1080" w:type="dxa"/>
            <w:vAlign w:val="center"/>
          </w:tcPr>
          <w:p w14:paraId="6344921A" w14:textId="77777777" w:rsidR="00F33E5C" w:rsidRPr="0021624F" w:rsidRDefault="00F33E5C" w:rsidP="000878F6">
            <w:pPr>
              <w:pStyle w:val="Table"/>
              <w:jc w:val="center"/>
              <w:rPr>
                <w:szCs w:val="20"/>
              </w:rPr>
            </w:pPr>
            <w:r w:rsidRPr="0021624F">
              <w:rPr>
                <w:rFonts w:ascii="Calibri" w:hAnsi="Calibri" w:cs="Calibri"/>
                <w:color w:val="000000"/>
                <w:szCs w:val="20"/>
              </w:rPr>
              <w:t>-29,06%</w:t>
            </w:r>
          </w:p>
        </w:tc>
        <w:tc>
          <w:tcPr>
            <w:tcW w:w="990" w:type="dxa"/>
            <w:vAlign w:val="center"/>
          </w:tcPr>
          <w:p w14:paraId="58A5DC3D" w14:textId="77777777" w:rsidR="00F33E5C" w:rsidRPr="0021624F" w:rsidRDefault="00F33E5C" w:rsidP="000878F6">
            <w:pPr>
              <w:pStyle w:val="Table"/>
              <w:jc w:val="center"/>
              <w:rPr>
                <w:szCs w:val="20"/>
              </w:rPr>
            </w:pPr>
            <w:r w:rsidRPr="0021624F">
              <w:rPr>
                <w:rFonts w:ascii="Calibri" w:hAnsi="Calibri" w:cs="Calibri"/>
                <w:color w:val="000000"/>
                <w:szCs w:val="20"/>
              </w:rPr>
              <w:t>1863,97</w:t>
            </w:r>
          </w:p>
        </w:tc>
        <w:tc>
          <w:tcPr>
            <w:tcW w:w="1170" w:type="dxa"/>
            <w:vAlign w:val="center"/>
          </w:tcPr>
          <w:p w14:paraId="6DFF0678" w14:textId="77777777" w:rsidR="00F33E5C" w:rsidRPr="0021624F" w:rsidRDefault="00F33E5C" w:rsidP="000878F6">
            <w:pPr>
              <w:pStyle w:val="Table"/>
              <w:jc w:val="center"/>
              <w:rPr>
                <w:szCs w:val="20"/>
              </w:rPr>
            </w:pPr>
            <w:r w:rsidRPr="0021624F">
              <w:rPr>
                <w:rFonts w:ascii="Calibri" w:hAnsi="Calibri" w:cs="Calibri"/>
                <w:color w:val="000000"/>
                <w:szCs w:val="20"/>
              </w:rPr>
              <w:t>1718,15</w:t>
            </w:r>
          </w:p>
        </w:tc>
        <w:tc>
          <w:tcPr>
            <w:tcW w:w="1312" w:type="dxa"/>
            <w:vAlign w:val="center"/>
          </w:tcPr>
          <w:p w14:paraId="6BA82287" w14:textId="77777777" w:rsidR="00F33E5C" w:rsidRPr="0021624F" w:rsidRDefault="00F33E5C" w:rsidP="000878F6">
            <w:pPr>
              <w:pStyle w:val="Table"/>
              <w:jc w:val="center"/>
              <w:rPr>
                <w:szCs w:val="20"/>
              </w:rPr>
            </w:pPr>
            <w:r w:rsidRPr="0021624F">
              <w:rPr>
                <w:rFonts w:ascii="Calibri" w:hAnsi="Calibri" w:cs="Calibri"/>
                <w:color w:val="000000"/>
                <w:szCs w:val="20"/>
              </w:rPr>
              <w:t>441,13%</w:t>
            </w:r>
          </w:p>
        </w:tc>
        <w:tc>
          <w:tcPr>
            <w:tcW w:w="1275" w:type="dxa"/>
            <w:vAlign w:val="center"/>
          </w:tcPr>
          <w:p w14:paraId="2C417554" w14:textId="77777777" w:rsidR="00F33E5C" w:rsidRPr="0021624F" w:rsidRDefault="00F33E5C" w:rsidP="000878F6">
            <w:pPr>
              <w:pStyle w:val="Table"/>
              <w:jc w:val="center"/>
              <w:rPr>
                <w:szCs w:val="20"/>
              </w:rPr>
            </w:pPr>
            <w:r w:rsidRPr="0021624F">
              <w:rPr>
                <w:rFonts w:ascii="Calibri" w:hAnsi="Calibri" w:cs="Calibri"/>
                <w:color w:val="000000"/>
                <w:szCs w:val="20"/>
              </w:rPr>
              <w:t>406,63%</w:t>
            </w:r>
          </w:p>
        </w:tc>
      </w:tr>
      <w:tr w:rsidR="00F33E5C" w:rsidRPr="001840EB" w14:paraId="07541F96" w14:textId="77777777" w:rsidTr="00BA7936">
        <w:tc>
          <w:tcPr>
            <w:tcW w:w="2160" w:type="dxa"/>
          </w:tcPr>
          <w:p w14:paraId="1459E8CA" w14:textId="77777777" w:rsidR="00F33E5C" w:rsidRPr="00F501DA" w:rsidRDefault="00F33E5C" w:rsidP="000878F6">
            <w:pPr>
              <w:pStyle w:val="Table"/>
            </w:pPr>
            <w:r w:rsidRPr="00F501DA">
              <w:t>Fertilizers</w:t>
            </w:r>
          </w:p>
        </w:tc>
        <w:tc>
          <w:tcPr>
            <w:tcW w:w="1080" w:type="dxa"/>
            <w:vAlign w:val="center"/>
          </w:tcPr>
          <w:p w14:paraId="58445157" w14:textId="77777777" w:rsidR="00F33E5C" w:rsidRPr="0021624F" w:rsidRDefault="00F33E5C" w:rsidP="000878F6">
            <w:pPr>
              <w:pStyle w:val="Table"/>
              <w:jc w:val="center"/>
              <w:rPr>
                <w:szCs w:val="20"/>
              </w:rPr>
            </w:pPr>
            <w:r w:rsidRPr="0021624F">
              <w:rPr>
                <w:rFonts w:ascii="Calibri" w:hAnsi="Calibri" w:cs="Calibri"/>
                <w:color w:val="000000"/>
                <w:szCs w:val="20"/>
              </w:rPr>
              <w:t>-29,96%</w:t>
            </w:r>
          </w:p>
        </w:tc>
        <w:tc>
          <w:tcPr>
            <w:tcW w:w="1080" w:type="dxa"/>
            <w:vAlign w:val="center"/>
          </w:tcPr>
          <w:p w14:paraId="4FF16D24" w14:textId="77777777" w:rsidR="00F33E5C" w:rsidRPr="0021624F" w:rsidRDefault="00F33E5C" w:rsidP="000878F6">
            <w:pPr>
              <w:pStyle w:val="Table"/>
              <w:jc w:val="center"/>
              <w:rPr>
                <w:szCs w:val="20"/>
              </w:rPr>
            </w:pPr>
            <w:r w:rsidRPr="0021624F">
              <w:rPr>
                <w:rFonts w:ascii="Calibri" w:hAnsi="Calibri" w:cs="Calibri"/>
                <w:color w:val="000000"/>
                <w:szCs w:val="20"/>
              </w:rPr>
              <w:t>-29,96%</w:t>
            </w:r>
          </w:p>
        </w:tc>
        <w:tc>
          <w:tcPr>
            <w:tcW w:w="990" w:type="dxa"/>
            <w:vAlign w:val="center"/>
          </w:tcPr>
          <w:p w14:paraId="7BF4E58D" w14:textId="77777777" w:rsidR="00F33E5C" w:rsidRPr="0021624F" w:rsidRDefault="00F33E5C" w:rsidP="000878F6">
            <w:pPr>
              <w:pStyle w:val="Table"/>
              <w:jc w:val="center"/>
              <w:rPr>
                <w:szCs w:val="20"/>
              </w:rPr>
            </w:pPr>
            <w:r w:rsidRPr="0021624F">
              <w:rPr>
                <w:rFonts w:ascii="Calibri" w:hAnsi="Calibri" w:cs="Calibri"/>
                <w:color w:val="000000"/>
                <w:szCs w:val="20"/>
              </w:rPr>
              <w:t>128,91</w:t>
            </w:r>
          </w:p>
        </w:tc>
        <w:tc>
          <w:tcPr>
            <w:tcW w:w="1170" w:type="dxa"/>
            <w:vAlign w:val="center"/>
          </w:tcPr>
          <w:p w14:paraId="7D174C81" w14:textId="77777777" w:rsidR="00F33E5C" w:rsidRPr="0021624F" w:rsidRDefault="00F33E5C" w:rsidP="000878F6">
            <w:pPr>
              <w:pStyle w:val="Table"/>
              <w:jc w:val="center"/>
              <w:rPr>
                <w:szCs w:val="20"/>
              </w:rPr>
            </w:pPr>
            <w:r w:rsidRPr="0021624F">
              <w:rPr>
                <w:rFonts w:ascii="Calibri" w:hAnsi="Calibri" w:cs="Calibri"/>
                <w:color w:val="000000"/>
                <w:szCs w:val="20"/>
              </w:rPr>
              <w:t>117,21</w:t>
            </w:r>
          </w:p>
        </w:tc>
        <w:tc>
          <w:tcPr>
            <w:tcW w:w="1312" w:type="dxa"/>
            <w:vAlign w:val="center"/>
          </w:tcPr>
          <w:p w14:paraId="01DEDB7E" w14:textId="77777777" w:rsidR="00F33E5C" w:rsidRPr="0021624F" w:rsidRDefault="00F33E5C" w:rsidP="000878F6">
            <w:pPr>
              <w:pStyle w:val="Table"/>
              <w:jc w:val="center"/>
              <w:rPr>
                <w:szCs w:val="20"/>
              </w:rPr>
            </w:pPr>
            <w:r w:rsidRPr="0021624F">
              <w:rPr>
                <w:rFonts w:ascii="Calibri" w:hAnsi="Calibri" w:cs="Calibri"/>
                <w:color w:val="000000"/>
                <w:szCs w:val="20"/>
              </w:rPr>
              <w:t>2,55%</w:t>
            </w:r>
          </w:p>
        </w:tc>
        <w:tc>
          <w:tcPr>
            <w:tcW w:w="1275" w:type="dxa"/>
            <w:vAlign w:val="center"/>
          </w:tcPr>
          <w:p w14:paraId="5D97102B" w14:textId="77777777" w:rsidR="00F33E5C" w:rsidRPr="0021624F" w:rsidRDefault="00F33E5C" w:rsidP="000878F6">
            <w:pPr>
              <w:pStyle w:val="Table"/>
              <w:jc w:val="center"/>
              <w:rPr>
                <w:szCs w:val="20"/>
              </w:rPr>
            </w:pPr>
            <w:r w:rsidRPr="0021624F">
              <w:rPr>
                <w:rFonts w:ascii="Calibri" w:hAnsi="Calibri" w:cs="Calibri"/>
                <w:color w:val="000000"/>
                <w:szCs w:val="20"/>
              </w:rPr>
              <w:t>2,32%</w:t>
            </w:r>
          </w:p>
        </w:tc>
      </w:tr>
      <w:tr w:rsidR="00F33E5C" w:rsidRPr="001840EB" w14:paraId="16E357E9" w14:textId="77777777" w:rsidTr="00BA7936">
        <w:tc>
          <w:tcPr>
            <w:tcW w:w="2160" w:type="dxa"/>
          </w:tcPr>
          <w:p w14:paraId="414C7F6E" w14:textId="77777777" w:rsidR="00F33E5C" w:rsidRPr="00F501DA" w:rsidRDefault="00F33E5C" w:rsidP="000878F6">
            <w:pPr>
              <w:pStyle w:val="Table"/>
            </w:pPr>
            <w:r w:rsidRPr="00F501DA">
              <w:t>Pesticides</w:t>
            </w:r>
          </w:p>
        </w:tc>
        <w:tc>
          <w:tcPr>
            <w:tcW w:w="1080" w:type="dxa"/>
            <w:vAlign w:val="center"/>
          </w:tcPr>
          <w:p w14:paraId="2EC172CF" w14:textId="77777777" w:rsidR="00F33E5C" w:rsidRPr="0021624F" w:rsidRDefault="00F33E5C" w:rsidP="000878F6">
            <w:pPr>
              <w:pStyle w:val="Table"/>
              <w:jc w:val="center"/>
              <w:rPr>
                <w:szCs w:val="20"/>
              </w:rPr>
            </w:pPr>
            <w:r w:rsidRPr="0021624F">
              <w:rPr>
                <w:rFonts w:ascii="Calibri" w:hAnsi="Calibri" w:cs="Calibri"/>
                <w:color w:val="000000"/>
                <w:szCs w:val="20"/>
              </w:rPr>
              <w:t>n/a</w:t>
            </w:r>
          </w:p>
        </w:tc>
        <w:tc>
          <w:tcPr>
            <w:tcW w:w="1080" w:type="dxa"/>
            <w:vAlign w:val="center"/>
          </w:tcPr>
          <w:p w14:paraId="4E5E2C7D" w14:textId="77777777" w:rsidR="00F33E5C" w:rsidRPr="0021624F" w:rsidRDefault="00F33E5C" w:rsidP="000878F6">
            <w:pPr>
              <w:pStyle w:val="Table"/>
              <w:jc w:val="center"/>
              <w:rPr>
                <w:szCs w:val="20"/>
              </w:rPr>
            </w:pPr>
            <w:r w:rsidRPr="0021624F">
              <w:rPr>
                <w:rFonts w:ascii="Calibri" w:hAnsi="Calibri" w:cs="Calibri"/>
                <w:color w:val="000000"/>
                <w:szCs w:val="20"/>
              </w:rPr>
              <w:t>n/a</w:t>
            </w:r>
          </w:p>
        </w:tc>
        <w:tc>
          <w:tcPr>
            <w:tcW w:w="990" w:type="dxa"/>
            <w:vAlign w:val="center"/>
          </w:tcPr>
          <w:p w14:paraId="0DDDA795" w14:textId="77777777" w:rsidR="00F33E5C" w:rsidRPr="0021624F" w:rsidRDefault="00F33E5C" w:rsidP="000878F6">
            <w:pPr>
              <w:pStyle w:val="Table"/>
              <w:jc w:val="center"/>
              <w:rPr>
                <w:szCs w:val="20"/>
              </w:rPr>
            </w:pPr>
            <w:r w:rsidRPr="0021624F">
              <w:rPr>
                <w:rFonts w:ascii="Calibri" w:hAnsi="Calibri" w:cs="Calibri"/>
                <w:color w:val="000000"/>
                <w:szCs w:val="20"/>
              </w:rPr>
              <w:t>364,38</w:t>
            </w:r>
          </w:p>
        </w:tc>
        <w:tc>
          <w:tcPr>
            <w:tcW w:w="1170" w:type="dxa"/>
            <w:vAlign w:val="center"/>
          </w:tcPr>
          <w:p w14:paraId="0B72AF63" w14:textId="77777777" w:rsidR="00F33E5C" w:rsidRPr="0021624F" w:rsidRDefault="00F33E5C" w:rsidP="000878F6">
            <w:pPr>
              <w:pStyle w:val="Table"/>
              <w:jc w:val="center"/>
              <w:rPr>
                <w:szCs w:val="20"/>
              </w:rPr>
            </w:pPr>
            <w:r w:rsidRPr="0021624F">
              <w:rPr>
                <w:rFonts w:ascii="Calibri" w:hAnsi="Calibri" w:cs="Calibri"/>
                <w:color w:val="000000"/>
                <w:szCs w:val="20"/>
              </w:rPr>
              <w:t>362,78</w:t>
            </w:r>
          </w:p>
        </w:tc>
        <w:tc>
          <w:tcPr>
            <w:tcW w:w="1312" w:type="dxa"/>
            <w:vAlign w:val="center"/>
          </w:tcPr>
          <w:p w14:paraId="49BF1B8B" w14:textId="77777777" w:rsidR="00F33E5C" w:rsidRPr="0021624F" w:rsidRDefault="00F33E5C" w:rsidP="000878F6">
            <w:pPr>
              <w:pStyle w:val="Table"/>
              <w:jc w:val="center"/>
              <w:rPr>
                <w:szCs w:val="20"/>
              </w:rPr>
            </w:pPr>
            <w:r w:rsidRPr="0021624F">
              <w:rPr>
                <w:rFonts w:ascii="Calibri" w:hAnsi="Calibri" w:cs="Calibri"/>
                <w:color w:val="000000"/>
                <w:szCs w:val="20"/>
              </w:rPr>
              <w:t>7,21%</w:t>
            </w:r>
          </w:p>
        </w:tc>
        <w:tc>
          <w:tcPr>
            <w:tcW w:w="1275" w:type="dxa"/>
            <w:vAlign w:val="center"/>
          </w:tcPr>
          <w:p w14:paraId="43906E46" w14:textId="77777777" w:rsidR="00F33E5C" w:rsidRPr="0021624F" w:rsidRDefault="00F33E5C" w:rsidP="000878F6">
            <w:pPr>
              <w:pStyle w:val="Table"/>
              <w:jc w:val="center"/>
              <w:rPr>
                <w:szCs w:val="20"/>
              </w:rPr>
            </w:pPr>
            <w:r w:rsidRPr="0021624F">
              <w:rPr>
                <w:rFonts w:ascii="Calibri" w:hAnsi="Calibri" w:cs="Calibri"/>
                <w:color w:val="000000"/>
                <w:szCs w:val="20"/>
              </w:rPr>
              <w:t>7,18%</w:t>
            </w:r>
          </w:p>
        </w:tc>
      </w:tr>
      <w:tr w:rsidR="00F33E5C" w:rsidRPr="001840EB" w14:paraId="57B50C1C" w14:textId="77777777" w:rsidTr="00BA7936">
        <w:tc>
          <w:tcPr>
            <w:tcW w:w="2160" w:type="dxa"/>
          </w:tcPr>
          <w:p w14:paraId="2AB04F60" w14:textId="77777777" w:rsidR="00F33E5C" w:rsidRPr="00F501DA" w:rsidRDefault="00F33E5C" w:rsidP="000878F6">
            <w:pPr>
              <w:pStyle w:val="Table"/>
            </w:pPr>
            <w:r w:rsidRPr="00F501DA">
              <w:t>Waste Incineration</w:t>
            </w:r>
          </w:p>
        </w:tc>
        <w:tc>
          <w:tcPr>
            <w:tcW w:w="1080" w:type="dxa"/>
            <w:vAlign w:val="center"/>
          </w:tcPr>
          <w:p w14:paraId="48E1E586" w14:textId="77777777" w:rsidR="00F33E5C" w:rsidRPr="0021624F" w:rsidRDefault="00F33E5C" w:rsidP="000878F6">
            <w:pPr>
              <w:pStyle w:val="Table"/>
              <w:jc w:val="center"/>
              <w:rPr>
                <w:szCs w:val="20"/>
              </w:rPr>
            </w:pPr>
            <w:r w:rsidRPr="0021624F">
              <w:rPr>
                <w:rFonts w:ascii="Calibri" w:hAnsi="Calibri" w:cs="Calibri"/>
                <w:color w:val="000000"/>
                <w:szCs w:val="20"/>
              </w:rPr>
              <w:t>-10,52%</w:t>
            </w:r>
          </w:p>
        </w:tc>
        <w:tc>
          <w:tcPr>
            <w:tcW w:w="1080" w:type="dxa"/>
            <w:vAlign w:val="center"/>
          </w:tcPr>
          <w:p w14:paraId="1D2F22BE" w14:textId="77777777" w:rsidR="00F33E5C" w:rsidRPr="0021624F" w:rsidRDefault="00F33E5C" w:rsidP="000878F6">
            <w:pPr>
              <w:pStyle w:val="Table"/>
              <w:jc w:val="center"/>
              <w:rPr>
                <w:szCs w:val="20"/>
              </w:rPr>
            </w:pPr>
            <w:r w:rsidRPr="0021624F">
              <w:rPr>
                <w:rFonts w:ascii="Calibri" w:hAnsi="Calibri" w:cs="Calibri"/>
                <w:color w:val="000000"/>
                <w:szCs w:val="20"/>
              </w:rPr>
              <w:t>-10,52%</w:t>
            </w:r>
          </w:p>
        </w:tc>
        <w:tc>
          <w:tcPr>
            <w:tcW w:w="990" w:type="dxa"/>
            <w:vAlign w:val="center"/>
          </w:tcPr>
          <w:p w14:paraId="34549D6E" w14:textId="77777777" w:rsidR="00F33E5C" w:rsidRPr="0021624F" w:rsidRDefault="00F33E5C" w:rsidP="000878F6">
            <w:pPr>
              <w:pStyle w:val="Table"/>
              <w:jc w:val="center"/>
              <w:rPr>
                <w:szCs w:val="20"/>
              </w:rPr>
            </w:pPr>
            <w:r w:rsidRPr="0021624F">
              <w:rPr>
                <w:rFonts w:ascii="Calibri" w:hAnsi="Calibri" w:cs="Calibri"/>
                <w:color w:val="000000"/>
                <w:szCs w:val="20"/>
              </w:rPr>
              <w:t>34,85</w:t>
            </w:r>
          </w:p>
        </w:tc>
        <w:tc>
          <w:tcPr>
            <w:tcW w:w="1170" w:type="dxa"/>
            <w:vAlign w:val="center"/>
          </w:tcPr>
          <w:p w14:paraId="2D284699" w14:textId="77777777" w:rsidR="00F33E5C" w:rsidRPr="0021624F" w:rsidRDefault="00F33E5C" w:rsidP="000878F6">
            <w:pPr>
              <w:pStyle w:val="Table"/>
              <w:jc w:val="center"/>
              <w:rPr>
                <w:szCs w:val="20"/>
              </w:rPr>
            </w:pPr>
            <w:r w:rsidRPr="0021624F">
              <w:rPr>
                <w:rFonts w:ascii="Calibri" w:hAnsi="Calibri" w:cs="Calibri"/>
                <w:color w:val="000000"/>
                <w:szCs w:val="20"/>
              </w:rPr>
              <w:t>54,98</w:t>
            </w:r>
          </w:p>
        </w:tc>
        <w:tc>
          <w:tcPr>
            <w:tcW w:w="1312" w:type="dxa"/>
            <w:vAlign w:val="center"/>
          </w:tcPr>
          <w:p w14:paraId="7D2939EA" w14:textId="77777777" w:rsidR="00F33E5C" w:rsidRPr="0021624F" w:rsidRDefault="00F33E5C" w:rsidP="000878F6">
            <w:pPr>
              <w:pStyle w:val="Table"/>
              <w:jc w:val="center"/>
              <w:rPr>
                <w:szCs w:val="20"/>
              </w:rPr>
            </w:pPr>
            <w:r w:rsidRPr="0021624F">
              <w:rPr>
                <w:rFonts w:ascii="Calibri" w:hAnsi="Calibri" w:cs="Calibri"/>
                <w:color w:val="000000"/>
                <w:szCs w:val="20"/>
              </w:rPr>
              <w:t>0,69%</w:t>
            </w:r>
          </w:p>
        </w:tc>
        <w:tc>
          <w:tcPr>
            <w:tcW w:w="1275" w:type="dxa"/>
            <w:vAlign w:val="center"/>
          </w:tcPr>
          <w:p w14:paraId="319FBA26" w14:textId="77777777" w:rsidR="00F33E5C" w:rsidRPr="0021624F" w:rsidRDefault="00F33E5C" w:rsidP="000878F6">
            <w:pPr>
              <w:pStyle w:val="Table"/>
              <w:jc w:val="center"/>
              <w:rPr>
                <w:szCs w:val="20"/>
              </w:rPr>
            </w:pPr>
            <w:r w:rsidRPr="0021624F">
              <w:rPr>
                <w:rFonts w:ascii="Calibri" w:hAnsi="Calibri" w:cs="Calibri"/>
                <w:color w:val="000000"/>
                <w:szCs w:val="20"/>
              </w:rPr>
              <w:t>1,09%</w:t>
            </w:r>
          </w:p>
        </w:tc>
      </w:tr>
      <w:tr w:rsidR="00F33E5C" w:rsidRPr="001840EB" w14:paraId="6C6B745F" w14:textId="77777777" w:rsidTr="00BA7936">
        <w:tc>
          <w:tcPr>
            <w:tcW w:w="2160" w:type="dxa"/>
          </w:tcPr>
          <w:p w14:paraId="579E72E0" w14:textId="77777777" w:rsidR="00F33E5C" w:rsidRPr="00F501DA" w:rsidRDefault="00F33E5C" w:rsidP="000878F6">
            <w:pPr>
              <w:pStyle w:val="Table"/>
            </w:pPr>
            <w:r w:rsidRPr="00F501DA">
              <w:t>Waste to Landfill</w:t>
            </w:r>
          </w:p>
        </w:tc>
        <w:tc>
          <w:tcPr>
            <w:tcW w:w="1080" w:type="dxa"/>
            <w:vAlign w:val="center"/>
          </w:tcPr>
          <w:p w14:paraId="74A9DA02" w14:textId="77777777" w:rsidR="00F33E5C" w:rsidRPr="0021624F" w:rsidRDefault="00F33E5C" w:rsidP="000878F6">
            <w:pPr>
              <w:pStyle w:val="Table"/>
              <w:jc w:val="center"/>
              <w:rPr>
                <w:szCs w:val="20"/>
              </w:rPr>
            </w:pPr>
            <w:r w:rsidRPr="0021624F">
              <w:rPr>
                <w:rFonts w:ascii="Calibri" w:hAnsi="Calibri" w:cs="Calibri"/>
                <w:color w:val="000000"/>
                <w:szCs w:val="20"/>
              </w:rPr>
              <w:t>0,00%</w:t>
            </w:r>
          </w:p>
        </w:tc>
        <w:tc>
          <w:tcPr>
            <w:tcW w:w="1080" w:type="dxa"/>
            <w:vAlign w:val="center"/>
          </w:tcPr>
          <w:p w14:paraId="331D6860" w14:textId="77777777" w:rsidR="00F33E5C" w:rsidRPr="0021624F" w:rsidRDefault="00F33E5C" w:rsidP="000878F6">
            <w:pPr>
              <w:pStyle w:val="Table"/>
              <w:jc w:val="center"/>
              <w:rPr>
                <w:szCs w:val="20"/>
              </w:rPr>
            </w:pPr>
            <w:r w:rsidRPr="0021624F">
              <w:rPr>
                <w:rFonts w:ascii="Calibri" w:hAnsi="Calibri" w:cs="Calibri"/>
                <w:color w:val="000000"/>
                <w:szCs w:val="20"/>
              </w:rPr>
              <w:t>0,00%</w:t>
            </w:r>
          </w:p>
        </w:tc>
        <w:tc>
          <w:tcPr>
            <w:tcW w:w="990" w:type="dxa"/>
            <w:vAlign w:val="center"/>
          </w:tcPr>
          <w:p w14:paraId="0A3A0910" w14:textId="77777777" w:rsidR="00F33E5C" w:rsidRPr="0021624F" w:rsidRDefault="00F33E5C" w:rsidP="000878F6">
            <w:pPr>
              <w:pStyle w:val="Table"/>
              <w:jc w:val="center"/>
              <w:rPr>
                <w:szCs w:val="20"/>
              </w:rPr>
            </w:pPr>
            <w:r w:rsidRPr="0021624F">
              <w:rPr>
                <w:rFonts w:ascii="Calibri" w:hAnsi="Calibri" w:cs="Calibri"/>
                <w:color w:val="000000"/>
                <w:szCs w:val="20"/>
              </w:rPr>
              <w:t>0,00</w:t>
            </w:r>
          </w:p>
        </w:tc>
        <w:tc>
          <w:tcPr>
            <w:tcW w:w="1170" w:type="dxa"/>
            <w:vAlign w:val="center"/>
          </w:tcPr>
          <w:p w14:paraId="6F7A6AA6" w14:textId="77777777" w:rsidR="00F33E5C" w:rsidRPr="0021624F" w:rsidRDefault="00F33E5C" w:rsidP="000878F6">
            <w:pPr>
              <w:pStyle w:val="Table"/>
              <w:jc w:val="center"/>
              <w:rPr>
                <w:szCs w:val="20"/>
              </w:rPr>
            </w:pPr>
            <w:r w:rsidRPr="0021624F">
              <w:rPr>
                <w:rFonts w:ascii="Calibri" w:hAnsi="Calibri" w:cs="Calibri"/>
                <w:color w:val="000000"/>
                <w:szCs w:val="20"/>
              </w:rPr>
              <w:t>0,00</w:t>
            </w:r>
          </w:p>
        </w:tc>
        <w:tc>
          <w:tcPr>
            <w:tcW w:w="1312" w:type="dxa"/>
            <w:vAlign w:val="center"/>
          </w:tcPr>
          <w:p w14:paraId="465A5937" w14:textId="77777777" w:rsidR="00F33E5C" w:rsidRPr="0021624F" w:rsidRDefault="00F33E5C" w:rsidP="000878F6">
            <w:pPr>
              <w:pStyle w:val="Table"/>
              <w:jc w:val="center"/>
              <w:rPr>
                <w:szCs w:val="20"/>
              </w:rPr>
            </w:pPr>
            <w:r w:rsidRPr="0021624F">
              <w:rPr>
                <w:rFonts w:ascii="Calibri" w:hAnsi="Calibri" w:cs="Calibri"/>
                <w:color w:val="000000"/>
                <w:szCs w:val="20"/>
              </w:rPr>
              <w:t>0,00%</w:t>
            </w:r>
          </w:p>
        </w:tc>
        <w:tc>
          <w:tcPr>
            <w:tcW w:w="1275" w:type="dxa"/>
            <w:vAlign w:val="center"/>
          </w:tcPr>
          <w:p w14:paraId="131D7703" w14:textId="77777777" w:rsidR="00F33E5C" w:rsidRPr="0021624F" w:rsidRDefault="00F33E5C" w:rsidP="000878F6">
            <w:pPr>
              <w:pStyle w:val="Table"/>
              <w:jc w:val="center"/>
              <w:rPr>
                <w:szCs w:val="20"/>
              </w:rPr>
            </w:pPr>
            <w:r w:rsidRPr="0021624F">
              <w:rPr>
                <w:rFonts w:ascii="Calibri" w:hAnsi="Calibri" w:cs="Calibri"/>
                <w:color w:val="000000"/>
                <w:szCs w:val="20"/>
              </w:rPr>
              <w:t>0,00%</w:t>
            </w:r>
          </w:p>
        </w:tc>
      </w:tr>
      <w:tr w:rsidR="00F33E5C" w:rsidRPr="001840EB" w14:paraId="5F7FA24D" w14:textId="77777777" w:rsidTr="00BA7936">
        <w:tc>
          <w:tcPr>
            <w:tcW w:w="2160" w:type="dxa"/>
          </w:tcPr>
          <w:p w14:paraId="715C48E2" w14:textId="77777777" w:rsidR="00F33E5C" w:rsidRPr="00F501DA" w:rsidRDefault="00F33E5C" w:rsidP="000878F6">
            <w:pPr>
              <w:pStyle w:val="Table"/>
            </w:pPr>
            <w:r w:rsidRPr="00F501DA">
              <w:t>Water Effluent</w:t>
            </w:r>
          </w:p>
        </w:tc>
        <w:tc>
          <w:tcPr>
            <w:tcW w:w="1080" w:type="dxa"/>
            <w:vAlign w:val="center"/>
          </w:tcPr>
          <w:p w14:paraId="7C650759" w14:textId="77777777" w:rsidR="00F33E5C" w:rsidRPr="0021624F" w:rsidRDefault="00F33E5C" w:rsidP="000878F6">
            <w:pPr>
              <w:pStyle w:val="Table"/>
              <w:jc w:val="center"/>
              <w:rPr>
                <w:szCs w:val="20"/>
              </w:rPr>
            </w:pPr>
            <w:r w:rsidRPr="0021624F">
              <w:rPr>
                <w:rFonts w:ascii="Calibri" w:hAnsi="Calibri" w:cs="Calibri"/>
                <w:color w:val="000000"/>
                <w:szCs w:val="20"/>
              </w:rPr>
              <w:t>-13,15%</w:t>
            </w:r>
          </w:p>
        </w:tc>
        <w:tc>
          <w:tcPr>
            <w:tcW w:w="1080" w:type="dxa"/>
            <w:vAlign w:val="center"/>
          </w:tcPr>
          <w:p w14:paraId="4AD7EE46" w14:textId="77777777" w:rsidR="00F33E5C" w:rsidRPr="0021624F" w:rsidRDefault="00F33E5C" w:rsidP="000878F6">
            <w:pPr>
              <w:pStyle w:val="Table"/>
              <w:jc w:val="center"/>
              <w:rPr>
                <w:szCs w:val="20"/>
              </w:rPr>
            </w:pPr>
            <w:r w:rsidRPr="0021624F">
              <w:rPr>
                <w:rFonts w:ascii="Calibri" w:hAnsi="Calibri" w:cs="Calibri"/>
                <w:color w:val="000000"/>
                <w:szCs w:val="20"/>
              </w:rPr>
              <w:t>-13,15%</w:t>
            </w:r>
          </w:p>
        </w:tc>
        <w:tc>
          <w:tcPr>
            <w:tcW w:w="990" w:type="dxa"/>
            <w:vAlign w:val="center"/>
          </w:tcPr>
          <w:p w14:paraId="58DCC088" w14:textId="77777777" w:rsidR="00F33E5C" w:rsidRPr="0021624F" w:rsidRDefault="00F33E5C" w:rsidP="000878F6">
            <w:pPr>
              <w:pStyle w:val="Table"/>
              <w:jc w:val="center"/>
              <w:rPr>
                <w:szCs w:val="20"/>
              </w:rPr>
            </w:pPr>
            <w:r w:rsidRPr="0021624F">
              <w:rPr>
                <w:rFonts w:ascii="Calibri" w:hAnsi="Calibri" w:cs="Calibri"/>
                <w:color w:val="000000"/>
                <w:szCs w:val="20"/>
              </w:rPr>
              <w:t>4238,11</w:t>
            </w:r>
          </w:p>
        </w:tc>
        <w:tc>
          <w:tcPr>
            <w:tcW w:w="1170" w:type="dxa"/>
            <w:vAlign w:val="center"/>
          </w:tcPr>
          <w:p w14:paraId="27D2F7BA" w14:textId="77777777" w:rsidR="00F33E5C" w:rsidRPr="0021624F" w:rsidRDefault="00F33E5C" w:rsidP="000878F6">
            <w:pPr>
              <w:pStyle w:val="Table"/>
              <w:jc w:val="center"/>
              <w:rPr>
                <w:szCs w:val="20"/>
              </w:rPr>
            </w:pPr>
            <w:r w:rsidRPr="0021624F">
              <w:rPr>
                <w:rFonts w:ascii="Calibri" w:hAnsi="Calibri" w:cs="Calibri"/>
                <w:color w:val="000000"/>
                <w:szCs w:val="20"/>
              </w:rPr>
              <w:t>4277,21</w:t>
            </w:r>
          </w:p>
        </w:tc>
        <w:tc>
          <w:tcPr>
            <w:tcW w:w="1312" w:type="dxa"/>
            <w:vAlign w:val="center"/>
          </w:tcPr>
          <w:p w14:paraId="637657A3" w14:textId="77777777" w:rsidR="00F33E5C" w:rsidRPr="0021624F" w:rsidRDefault="00F33E5C" w:rsidP="000878F6">
            <w:pPr>
              <w:pStyle w:val="Table"/>
              <w:jc w:val="center"/>
              <w:rPr>
                <w:szCs w:val="20"/>
              </w:rPr>
            </w:pPr>
            <w:r w:rsidRPr="0021624F">
              <w:rPr>
                <w:rFonts w:ascii="Calibri" w:hAnsi="Calibri" w:cs="Calibri"/>
                <w:color w:val="000000"/>
                <w:szCs w:val="20"/>
              </w:rPr>
              <w:t>83,84%</w:t>
            </w:r>
          </w:p>
        </w:tc>
        <w:tc>
          <w:tcPr>
            <w:tcW w:w="1275" w:type="dxa"/>
            <w:vAlign w:val="center"/>
          </w:tcPr>
          <w:p w14:paraId="4E0CE37A" w14:textId="77777777" w:rsidR="00F33E5C" w:rsidRPr="0021624F" w:rsidRDefault="00F33E5C" w:rsidP="000878F6">
            <w:pPr>
              <w:pStyle w:val="Table"/>
              <w:jc w:val="center"/>
              <w:rPr>
                <w:szCs w:val="20"/>
              </w:rPr>
            </w:pPr>
            <w:r w:rsidRPr="0021624F">
              <w:rPr>
                <w:rFonts w:ascii="Calibri" w:hAnsi="Calibri" w:cs="Calibri"/>
                <w:color w:val="000000"/>
                <w:szCs w:val="20"/>
              </w:rPr>
              <w:t>84,61%</w:t>
            </w:r>
          </w:p>
        </w:tc>
      </w:tr>
      <w:tr w:rsidR="00F33E5C" w:rsidRPr="001840EB" w14:paraId="790E1269" w14:textId="77777777" w:rsidTr="00BA7936">
        <w:tc>
          <w:tcPr>
            <w:tcW w:w="2160" w:type="dxa"/>
          </w:tcPr>
          <w:p w14:paraId="3E823BCA" w14:textId="77777777" w:rsidR="00F33E5C" w:rsidRPr="001840EB" w:rsidRDefault="00F33E5C" w:rsidP="000878F6">
            <w:pPr>
              <w:pStyle w:val="Table"/>
            </w:pPr>
            <w:r w:rsidRPr="001840EB">
              <w:t>Minerals &amp; Aggregates</w:t>
            </w:r>
          </w:p>
        </w:tc>
        <w:tc>
          <w:tcPr>
            <w:tcW w:w="1080" w:type="dxa"/>
            <w:vAlign w:val="center"/>
          </w:tcPr>
          <w:p w14:paraId="253C89BA" w14:textId="77777777" w:rsidR="00F33E5C" w:rsidRPr="0021624F" w:rsidRDefault="00F33E5C" w:rsidP="000878F6">
            <w:pPr>
              <w:pStyle w:val="Table"/>
              <w:jc w:val="center"/>
              <w:rPr>
                <w:szCs w:val="20"/>
              </w:rPr>
            </w:pPr>
            <w:r w:rsidRPr="0021624F">
              <w:rPr>
                <w:rFonts w:ascii="Calibri" w:hAnsi="Calibri" w:cs="Calibri"/>
                <w:color w:val="000000"/>
                <w:szCs w:val="20"/>
              </w:rPr>
              <w:t>-16,67%</w:t>
            </w:r>
          </w:p>
        </w:tc>
        <w:tc>
          <w:tcPr>
            <w:tcW w:w="1080" w:type="dxa"/>
            <w:vAlign w:val="center"/>
          </w:tcPr>
          <w:p w14:paraId="1E7C7A24" w14:textId="77777777" w:rsidR="00F33E5C" w:rsidRPr="0021624F" w:rsidRDefault="00F33E5C" w:rsidP="000878F6">
            <w:pPr>
              <w:pStyle w:val="Table"/>
              <w:jc w:val="center"/>
              <w:rPr>
                <w:szCs w:val="20"/>
              </w:rPr>
            </w:pPr>
            <w:r w:rsidRPr="0021624F">
              <w:rPr>
                <w:rFonts w:ascii="Calibri" w:hAnsi="Calibri" w:cs="Calibri"/>
                <w:color w:val="000000"/>
                <w:szCs w:val="20"/>
              </w:rPr>
              <w:t>-16,67%</w:t>
            </w:r>
          </w:p>
        </w:tc>
        <w:tc>
          <w:tcPr>
            <w:tcW w:w="990" w:type="dxa"/>
            <w:vAlign w:val="center"/>
          </w:tcPr>
          <w:p w14:paraId="28667B31" w14:textId="77777777" w:rsidR="00F33E5C" w:rsidRPr="0021624F" w:rsidRDefault="00F33E5C" w:rsidP="000878F6">
            <w:pPr>
              <w:pStyle w:val="Table"/>
              <w:jc w:val="center"/>
              <w:rPr>
                <w:szCs w:val="20"/>
              </w:rPr>
            </w:pPr>
            <w:r w:rsidRPr="0021624F">
              <w:rPr>
                <w:rFonts w:ascii="Calibri" w:hAnsi="Calibri" w:cs="Calibri"/>
                <w:color w:val="000000"/>
                <w:szCs w:val="20"/>
              </w:rPr>
              <w:t>1008,57</w:t>
            </w:r>
          </w:p>
        </w:tc>
        <w:tc>
          <w:tcPr>
            <w:tcW w:w="1170" w:type="dxa"/>
            <w:vAlign w:val="center"/>
          </w:tcPr>
          <w:p w14:paraId="7E90BE8B" w14:textId="77777777" w:rsidR="00F33E5C" w:rsidRPr="0021624F" w:rsidRDefault="00F33E5C" w:rsidP="000878F6">
            <w:pPr>
              <w:pStyle w:val="Table"/>
              <w:jc w:val="center"/>
              <w:rPr>
                <w:szCs w:val="20"/>
              </w:rPr>
            </w:pPr>
            <w:r w:rsidRPr="0021624F">
              <w:rPr>
                <w:rFonts w:ascii="Calibri" w:hAnsi="Calibri" w:cs="Calibri"/>
                <w:color w:val="000000"/>
                <w:szCs w:val="20"/>
              </w:rPr>
              <w:t>1013,60</w:t>
            </w:r>
          </w:p>
        </w:tc>
        <w:tc>
          <w:tcPr>
            <w:tcW w:w="1312" w:type="dxa"/>
            <w:vAlign w:val="center"/>
          </w:tcPr>
          <w:p w14:paraId="11EAE019" w14:textId="77777777" w:rsidR="00F33E5C" w:rsidRPr="0021624F" w:rsidRDefault="00F33E5C" w:rsidP="000878F6">
            <w:pPr>
              <w:pStyle w:val="Table"/>
              <w:jc w:val="center"/>
              <w:rPr>
                <w:szCs w:val="20"/>
              </w:rPr>
            </w:pPr>
            <w:r w:rsidRPr="0021624F">
              <w:rPr>
                <w:rFonts w:ascii="Calibri" w:hAnsi="Calibri" w:cs="Calibri"/>
                <w:color w:val="000000"/>
                <w:szCs w:val="20"/>
              </w:rPr>
              <w:t>238,69%</w:t>
            </w:r>
          </w:p>
        </w:tc>
        <w:tc>
          <w:tcPr>
            <w:tcW w:w="1275" w:type="dxa"/>
            <w:vAlign w:val="center"/>
          </w:tcPr>
          <w:p w14:paraId="7AA3CD76" w14:textId="77777777" w:rsidR="00F33E5C" w:rsidRPr="0021624F" w:rsidRDefault="00F33E5C" w:rsidP="000878F6">
            <w:pPr>
              <w:pStyle w:val="Table"/>
              <w:jc w:val="center"/>
              <w:rPr>
                <w:szCs w:val="20"/>
              </w:rPr>
            </w:pPr>
            <w:r w:rsidRPr="0021624F">
              <w:rPr>
                <w:rFonts w:ascii="Calibri" w:hAnsi="Calibri" w:cs="Calibri"/>
                <w:color w:val="000000"/>
                <w:szCs w:val="20"/>
              </w:rPr>
              <w:t>239,88%</w:t>
            </w:r>
          </w:p>
        </w:tc>
      </w:tr>
    </w:tbl>
    <w:p w14:paraId="2BE55196" w14:textId="77777777" w:rsidR="00F33E5C" w:rsidRDefault="00F33E5C" w:rsidP="00F33E5C">
      <w:pPr>
        <w:rPr>
          <w:lang w:eastAsia="en-GB"/>
        </w:rPr>
      </w:pPr>
    </w:p>
    <w:tbl>
      <w:tblPr>
        <w:tblStyle w:val="Lentelstinklelis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312"/>
        <w:gridCol w:w="1275"/>
      </w:tblGrid>
      <w:tr w:rsidR="00F33E5C" w:rsidRPr="00D025A1" w14:paraId="68746939" w14:textId="77777777" w:rsidTr="00BA7936">
        <w:trPr>
          <w:trHeight w:val="255"/>
          <w:tblHeader/>
        </w:trPr>
        <w:tc>
          <w:tcPr>
            <w:tcW w:w="9067" w:type="dxa"/>
            <w:gridSpan w:val="7"/>
            <w:shd w:val="clear" w:color="auto" w:fill="003399"/>
          </w:tcPr>
          <w:p w14:paraId="1777C2AF" w14:textId="738894D0" w:rsidR="00F33E5C" w:rsidRPr="00D025A1" w:rsidRDefault="00F33E5C" w:rsidP="000878F6">
            <w:pPr>
              <w:pStyle w:val="Table"/>
              <w:rPr>
                <w:b/>
                <w:szCs w:val="20"/>
                <w:lang w:eastAsia="en-GB"/>
              </w:rPr>
            </w:pPr>
            <w:r w:rsidRPr="00D025A1">
              <w:rPr>
                <w:b/>
                <w:color w:val="FFFFFF" w:themeColor="background1"/>
                <w:szCs w:val="20"/>
              </w:rPr>
              <w:t xml:space="preserve">Table </w:t>
            </w:r>
            <w:r w:rsidR="00490085">
              <w:rPr>
                <w:b/>
                <w:bCs/>
                <w:color w:val="FFFFFF" w:themeColor="background1"/>
                <w:szCs w:val="20"/>
              </w:rPr>
              <w:t>A6</w:t>
            </w:r>
            <w:r w:rsidRPr="00D025A1">
              <w:rPr>
                <w:b/>
                <w:bCs/>
                <w:color w:val="FFFFFF" w:themeColor="background1"/>
                <w:szCs w:val="20"/>
              </w:rPr>
              <w:t>-</w:t>
            </w:r>
            <w:r w:rsidRPr="00D025A1">
              <w:rPr>
                <w:b/>
                <w:bCs/>
                <w:color w:val="FFFFFF" w:themeColor="background1"/>
                <w:szCs w:val="20"/>
              </w:rPr>
              <w:fldChar w:fldCharType="begin"/>
            </w:r>
            <w:r w:rsidRPr="00D025A1">
              <w:rPr>
                <w:b/>
                <w:bCs/>
                <w:color w:val="FFFFFF" w:themeColor="background1"/>
                <w:szCs w:val="20"/>
              </w:rPr>
              <w:instrText xml:space="preserve"> SEQ Table_A5- \* ARABIC </w:instrText>
            </w:r>
            <w:r w:rsidRPr="00D025A1">
              <w:rPr>
                <w:b/>
                <w:bCs/>
                <w:color w:val="FFFFFF" w:themeColor="background1"/>
                <w:szCs w:val="20"/>
              </w:rPr>
              <w:fldChar w:fldCharType="separate"/>
            </w:r>
            <w:r>
              <w:rPr>
                <w:b/>
                <w:bCs/>
                <w:noProof/>
                <w:color w:val="FFFFFF" w:themeColor="background1"/>
                <w:szCs w:val="20"/>
              </w:rPr>
              <w:t>60</w:t>
            </w:r>
            <w:r w:rsidRPr="00D025A1">
              <w:rPr>
                <w:b/>
                <w:bCs/>
                <w:color w:val="FFFFFF" w:themeColor="background1"/>
                <w:szCs w:val="20"/>
              </w:rPr>
              <w:fldChar w:fldCharType="end"/>
            </w:r>
            <w:r w:rsidRPr="00D025A1">
              <w:rPr>
                <w:b/>
                <w:bCs/>
                <w:color w:val="FFFFFF" w:themeColor="background1"/>
                <w:szCs w:val="20"/>
                <w:lang w:eastAsia="en-GB"/>
              </w:rPr>
              <w:t>:</w:t>
            </w:r>
            <w:r w:rsidRPr="00D025A1">
              <w:rPr>
                <w:b/>
                <w:color w:val="FFFFFF" w:themeColor="background1"/>
                <w:szCs w:val="20"/>
                <w:lang w:eastAsia="en-GB"/>
              </w:rPr>
              <w:t xml:space="preserve"> Environmental Impacts and Revenue Changes in France – Scenario B</w:t>
            </w:r>
          </w:p>
        </w:tc>
      </w:tr>
      <w:tr w:rsidR="00F33E5C" w:rsidRPr="00D025A1" w14:paraId="183B5C33" w14:textId="77777777" w:rsidTr="00BA7936">
        <w:trPr>
          <w:tblHeader/>
        </w:trPr>
        <w:tc>
          <w:tcPr>
            <w:tcW w:w="2160" w:type="dxa"/>
          </w:tcPr>
          <w:p w14:paraId="54F58BA5" w14:textId="77777777" w:rsidR="00F33E5C" w:rsidRPr="00D025A1" w:rsidRDefault="00F33E5C" w:rsidP="000878F6">
            <w:pPr>
              <w:pStyle w:val="Table"/>
              <w:rPr>
                <w:b/>
                <w:szCs w:val="20"/>
              </w:rPr>
            </w:pPr>
            <w:r w:rsidRPr="00D025A1">
              <w:rPr>
                <w:b/>
                <w:szCs w:val="20"/>
              </w:rPr>
              <w:t>Tax Name</w:t>
            </w:r>
          </w:p>
        </w:tc>
        <w:tc>
          <w:tcPr>
            <w:tcW w:w="2160" w:type="dxa"/>
            <w:gridSpan w:val="2"/>
            <w:vAlign w:val="bottom"/>
          </w:tcPr>
          <w:p w14:paraId="6AFB0DE8" w14:textId="77777777" w:rsidR="00F33E5C" w:rsidRPr="00D025A1" w:rsidRDefault="00F33E5C" w:rsidP="000878F6">
            <w:pPr>
              <w:pStyle w:val="Table"/>
              <w:jc w:val="center"/>
              <w:rPr>
                <w:b/>
                <w:szCs w:val="20"/>
              </w:rPr>
            </w:pPr>
            <w:r w:rsidRPr="00D025A1">
              <w:rPr>
                <w:rFonts w:ascii="Calibri" w:hAnsi="Calibri" w:cs="Calibri"/>
                <w:b/>
                <w:bCs/>
                <w:color w:val="000000"/>
                <w:szCs w:val="20"/>
              </w:rPr>
              <w:t>% Change in Quantities as % of taxed sector</w:t>
            </w:r>
          </w:p>
        </w:tc>
        <w:tc>
          <w:tcPr>
            <w:tcW w:w="2160" w:type="dxa"/>
            <w:gridSpan w:val="2"/>
            <w:vAlign w:val="bottom"/>
          </w:tcPr>
          <w:p w14:paraId="3C517CBC" w14:textId="77777777" w:rsidR="00F33E5C" w:rsidRPr="00D025A1" w:rsidRDefault="00F33E5C" w:rsidP="000878F6">
            <w:pPr>
              <w:pStyle w:val="Table"/>
              <w:jc w:val="center"/>
              <w:rPr>
                <w:b/>
                <w:szCs w:val="20"/>
              </w:rPr>
            </w:pPr>
            <w:r w:rsidRPr="00D025A1">
              <w:rPr>
                <w:rFonts w:ascii="Calibri" w:hAnsi="Calibri" w:cs="Calibri"/>
                <w:b/>
                <w:bCs/>
                <w:color w:val="000000"/>
                <w:szCs w:val="20"/>
              </w:rPr>
              <w:t>Change in Revenues (€Mn)</w:t>
            </w:r>
          </w:p>
        </w:tc>
        <w:tc>
          <w:tcPr>
            <w:tcW w:w="2587" w:type="dxa"/>
            <w:gridSpan w:val="2"/>
            <w:vAlign w:val="bottom"/>
          </w:tcPr>
          <w:p w14:paraId="1D2B1117" w14:textId="77777777" w:rsidR="00F33E5C" w:rsidRPr="00D025A1" w:rsidRDefault="00F33E5C" w:rsidP="000878F6">
            <w:pPr>
              <w:pStyle w:val="Table"/>
              <w:jc w:val="center"/>
              <w:rPr>
                <w:b/>
                <w:szCs w:val="20"/>
              </w:rPr>
            </w:pPr>
            <w:r w:rsidRPr="00D025A1">
              <w:rPr>
                <w:rFonts w:ascii="Calibri" w:hAnsi="Calibri" w:cs="Calibri"/>
                <w:b/>
                <w:bCs/>
                <w:color w:val="000000"/>
                <w:szCs w:val="20"/>
              </w:rPr>
              <w:t>As % of 2023 Resource Tax</w:t>
            </w:r>
          </w:p>
        </w:tc>
      </w:tr>
      <w:tr w:rsidR="00F33E5C" w:rsidRPr="00D025A1" w14:paraId="3C47A07B" w14:textId="77777777" w:rsidTr="00BA7936">
        <w:tc>
          <w:tcPr>
            <w:tcW w:w="2160" w:type="dxa"/>
          </w:tcPr>
          <w:p w14:paraId="384CD6E3" w14:textId="77777777" w:rsidR="00F33E5C" w:rsidRPr="00D025A1" w:rsidRDefault="00F33E5C" w:rsidP="000878F6">
            <w:pPr>
              <w:pStyle w:val="Table"/>
              <w:rPr>
                <w:b/>
                <w:szCs w:val="20"/>
              </w:rPr>
            </w:pPr>
            <w:r w:rsidRPr="00D025A1">
              <w:rPr>
                <w:b/>
                <w:szCs w:val="20"/>
              </w:rPr>
              <w:t>Year</w:t>
            </w:r>
          </w:p>
        </w:tc>
        <w:tc>
          <w:tcPr>
            <w:tcW w:w="1080" w:type="dxa"/>
          </w:tcPr>
          <w:p w14:paraId="76DC8B71" w14:textId="77777777" w:rsidR="00F33E5C" w:rsidRPr="00D025A1" w:rsidRDefault="00F33E5C" w:rsidP="000878F6">
            <w:pPr>
              <w:pStyle w:val="Table"/>
              <w:jc w:val="center"/>
              <w:rPr>
                <w:b/>
                <w:szCs w:val="20"/>
              </w:rPr>
            </w:pPr>
            <w:r w:rsidRPr="00D025A1">
              <w:rPr>
                <w:b/>
                <w:szCs w:val="20"/>
              </w:rPr>
              <w:t>2030</w:t>
            </w:r>
          </w:p>
        </w:tc>
        <w:tc>
          <w:tcPr>
            <w:tcW w:w="1080" w:type="dxa"/>
          </w:tcPr>
          <w:p w14:paraId="05DE6B1C" w14:textId="77777777" w:rsidR="00F33E5C" w:rsidRPr="00D025A1" w:rsidRDefault="00F33E5C" w:rsidP="000878F6">
            <w:pPr>
              <w:pStyle w:val="Table"/>
              <w:jc w:val="center"/>
              <w:rPr>
                <w:b/>
                <w:szCs w:val="20"/>
              </w:rPr>
            </w:pPr>
            <w:r w:rsidRPr="00D025A1">
              <w:rPr>
                <w:b/>
                <w:szCs w:val="20"/>
              </w:rPr>
              <w:t>2035</w:t>
            </w:r>
          </w:p>
        </w:tc>
        <w:tc>
          <w:tcPr>
            <w:tcW w:w="990" w:type="dxa"/>
          </w:tcPr>
          <w:p w14:paraId="40BFCACB" w14:textId="77777777" w:rsidR="00F33E5C" w:rsidRPr="00D025A1" w:rsidRDefault="00F33E5C" w:rsidP="000878F6">
            <w:pPr>
              <w:pStyle w:val="Table"/>
              <w:jc w:val="center"/>
              <w:rPr>
                <w:b/>
                <w:szCs w:val="20"/>
              </w:rPr>
            </w:pPr>
            <w:r w:rsidRPr="00D025A1">
              <w:rPr>
                <w:b/>
                <w:szCs w:val="20"/>
              </w:rPr>
              <w:t>2030</w:t>
            </w:r>
          </w:p>
        </w:tc>
        <w:tc>
          <w:tcPr>
            <w:tcW w:w="1170" w:type="dxa"/>
          </w:tcPr>
          <w:p w14:paraId="18D39B60" w14:textId="77777777" w:rsidR="00F33E5C" w:rsidRPr="00D025A1" w:rsidRDefault="00F33E5C" w:rsidP="000878F6">
            <w:pPr>
              <w:pStyle w:val="Table"/>
              <w:jc w:val="center"/>
              <w:rPr>
                <w:b/>
                <w:szCs w:val="20"/>
              </w:rPr>
            </w:pPr>
            <w:r w:rsidRPr="00D025A1">
              <w:rPr>
                <w:b/>
                <w:szCs w:val="20"/>
              </w:rPr>
              <w:t>2035</w:t>
            </w:r>
          </w:p>
        </w:tc>
        <w:tc>
          <w:tcPr>
            <w:tcW w:w="1312" w:type="dxa"/>
          </w:tcPr>
          <w:p w14:paraId="08FC6C3F" w14:textId="77777777" w:rsidR="00F33E5C" w:rsidRPr="00D025A1" w:rsidRDefault="00F33E5C" w:rsidP="000878F6">
            <w:pPr>
              <w:pStyle w:val="Table"/>
              <w:jc w:val="center"/>
              <w:rPr>
                <w:b/>
                <w:szCs w:val="20"/>
              </w:rPr>
            </w:pPr>
            <w:r w:rsidRPr="00D025A1">
              <w:rPr>
                <w:b/>
                <w:szCs w:val="20"/>
              </w:rPr>
              <w:t>2030</w:t>
            </w:r>
          </w:p>
        </w:tc>
        <w:tc>
          <w:tcPr>
            <w:tcW w:w="1275" w:type="dxa"/>
          </w:tcPr>
          <w:p w14:paraId="56D17378" w14:textId="77777777" w:rsidR="00F33E5C" w:rsidRPr="00D025A1" w:rsidRDefault="00F33E5C" w:rsidP="000878F6">
            <w:pPr>
              <w:pStyle w:val="Table"/>
              <w:jc w:val="center"/>
              <w:rPr>
                <w:b/>
                <w:szCs w:val="20"/>
              </w:rPr>
            </w:pPr>
            <w:r w:rsidRPr="00D025A1">
              <w:rPr>
                <w:b/>
                <w:szCs w:val="20"/>
              </w:rPr>
              <w:t>2035</w:t>
            </w:r>
          </w:p>
        </w:tc>
      </w:tr>
      <w:tr w:rsidR="00F33E5C" w:rsidRPr="00D025A1" w14:paraId="3A414751" w14:textId="77777777" w:rsidTr="00BA7936">
        <w:tc>
          <w:tcPr>
            <w:tcW w:w="2160" w:type="dxa"/>
          </w:tcPr>
          <w:p w14:paraId="22E45904" w14:textId="77777777" w:rsidR="00F33E5C" w:rsidRPr="00D025A1" w:rsidRDefault="00F33E5C" w:rsidP="000878F6">
            <w:pPr>
              <w:pStyle w:val="Table"/>
              <w:rPr>
                <w:szCs w:val="20"/>
              </w:rPr>
            </w:pPr>
            <w:r w:rsidRPr="00D025A1">
              <w:rPr>
                <w:szCs w:val="20"/>
              </w:rPr>
              <w:t>NOx</w:t>
            </w:r>
          </w:p>
        </w:tc>
        <w:tc>
          <w:tcPr>
            <w:tcW w:w="1080" w:type="dxa"/>
            <w:vAlign w:val="center"/>
          </w:tcPr>
          <w:p w14:paraId="2D37A920" w14:textId="77777777" w:rsidR="00F33E5C" w:rsidRPr="00D025A1" w:rsidRDefault="00F33E5C" w:rsidP="000878F6">
            <w:pPr>
              <w:pStyle w:val="Table"/>
              <w:jc w:val="center"/>
              <w:rPr>
                <w:szCs w:val="20"/>
              </w:rPr>
            </w:pPr>
            <w:r w:rsidRPr="00D025A1">
              <w:rPr>
                <w:rFonts w:ascii="Calibri" w:hAnsi="Calibri" w:cs="Calibri"/>
                <w:color w:val="000000"/>
                <w:szCs w:val="20"/>
              </w:rPr>
              <w:t>-7,39%</w:t>
            </w:r>
          </w:p>
        </w:tc>
        <w:tc>
          <w:tcPr>
            <w:tcW w:w="1080" w:type="dxa"/>
            <w:vAlign w:val="center"/>
          </w:tcPr>
          <w:p w14:paraId="4B5FECB8" w14:textId="77777777" w:rsidR="00F33E5C" w:rsidRPr="00D025A1" w:rsidRDefault="00F33E5C" w:rsidP="000878F6">
            <w:pPr>
              <w:pStyle w:val="Table"/>
              <w:jc w:val="center"/>
              <w:rPr>
                <w:szCs w:val="20"/>
              </w:rPr>
            </w:pPr>
            <w:r w:rsidRPr="00D025A1">
              <w:rPr>
                <w:rFonts w:ascii="Calibri" w:hAnsi="Calibri" w:cs="Calibri"/>
                <w:color w:val="000000"/>
                <w:szCs w:val="20"/>
              </w:rPr>
              <w:t>-7,39%</w:t>
            </w:r>
          </w:p>
        </w:tc>
        <w:tc>
          <w:tcPr>
            <w:tcW w:w="990" w:type="dxa"/>
            <w:vAlign w:val="center"/>
          </w:tcPr>
          <w:p w14:paraId="3A091C3F" w14:textId="77777777" w:rsidR="00F33E5C" w:rsidRPr="00D025A1" w:rsidRDefault="00F33E5C" w:rsidP="000878F6">
            <w:pPr>
              <w:pStyle w:val="Table"/>
              <w:jc w:val="center"/>
              <w:rPr>
                <w:szCs w:val="20"/>
              </w:rPr>
            </w:pPr>
            <w:r w:rsidRPr="00D025A1">
              <w:rPr>
                <w:rFonts w:ascii="Calibri" w:hAnsi="Calibri" w:cs="Calibri"/>
                <w:color w:val="000000"/>
                <w:szCs w:val="20"/>
              </w:rPr>
              <w:t>0,58</w:t>
            </w:r>
          </w:p>
        </w:tc>
        <w:tc>
          <w:tcPr>
            <w:tcW w:w="1170" w:type="dxa"/>
            <w:vAlign w:val="center"/>
          </w:tcPr>
          <w:p w14:paraId="0A8D68B8" w14:textId="77777777" w:rsidR="00F33E5C" w:rsidRPr="00D025A1" w:rsidRDefault="00F33E5C" w:rsidP="000878F6">
            <w:pPr>
              <w:pStyle w:val="Table"/>
              <w:jc w:val="center"/>
              <w:rPr>
                <w:szCs w:val="20"/>
              </w:rPr>
            </w:pPr>
            <w:r w:rsidRPr="00D025A1">
              <w:rPr>
                <w:rFonts w:ascii="Calibri" w:hAnsi="Calibri" w:cs="Calibri"/>
                <w:color w:val="000000"/>
                <w:szCs w:val="20"/>
              </w:rPr>
              <w:t>0,40</w:t>
            </w:r>
          </w:p>
        </w:tc>
        <w:tc>
          <w:tcPr>
            <w:tcW w:w="1312" w:type="dxa"/>
            <w:vAlign w:val="center"/>
          </w:tcPr>
          <w:p w14:paraId="6DF7076C" w14:textId="77777777" w:rsidR="00F33E5C" w:rsidRPr="00D025A1" w:rsidRDefault="00F33E5C" w:rsidP="000878F6">
            <w:pPr>
              <w:pStyle w:val="Table"/>
              <w:jc w:val="center"/>
              <w:rPr>
                <w:szCs w:val="20"/>
              </w:rPr>
            </w:pPr>
            <w:r w:rsidRPr="00D025A1">
              <w:rPr>
                <w:rFonts w:ascii="Calibri" w:hAnsi="Calibri" w:cs="Calibri"/>
                <w:color w:val="000000"/>
                <w:szCs w:val="20"/>
              </w:rPr>
              <w:t>0,0%</w:t>
            </w:r>
          </w:p>
        </w:tc>
        <w:tc>
          <w:tcPr>
            <w:tcW w:w="1275" w:type="dxa"/>
            <w:vAlign w:val="center"/>
          </w:tcPr>
          <w:p w14:paraId="38E4BD5C" w14:textId="77777777" w:rsidR="00F33E5C" w:rsidRPr="00D025A1" w:rsidRDefault="00F33E5C" w:rsidP="000878F6">
            <w:pPr>
              <w:pStyle w:val="Table"/>
              <w:jc w:val="center"/>
              <w:rPr>
                <w:szCs w:val="20"/>
              </w:rPr>
            </w:pPr>
            <w:r w:rsidRPr="00D025A1">
              <w:rPr>
                <w:rFonts w:ascii="Calibri" w:hAnsi="Calibri" w:cs="Calibri"/>
                <w:color w:val="000000"/>
                <w:szCs w:val="20"/>
              </w:rPr>
              <w:t>0,0%</w:t>
            </w:r>
          </w:p>
        </w:tc>
      </w:tr>
      <w:tr w:rsidR="00F33E5C" w:rsidRPr="00D025A1" w14:paraId="4A3246CF" w14:textId="77777777" w:rsidTr="00BA7936">
        <w:tc>
          <w:tcPr>
            <w:tcW w:w="2160" w:type="dxa"/>
          </w:tcPr>
          <w:p w14:paraId="7559C08B" w14:textId="77777777" w:rsidR="00F33E5C" w:rsidRPr="00D025A1" w:rsidRDefault="00F33E5C" w:rsidP="000878F6">
            <w:pPr>
              <w:pStyle w:val="Table"/>
              <w:rPr>
                <w:szCs w:val="20"/>
              </w:rPr>
            </w:pPr>
            <w:r w:rsidRPr="00D025A1">
              <w:rPr>
                <w:szCs w:val="20"/>
              </w:rPr>
              <w:t>SO2</w:t>
            </w:r>
          </w:p>
        </w:tc>
        <w:tc>
          <w:tcPr>
            <w:tcW w:w="1080" w:type="dxa"/>
            <w:vAlign w:val="center"/>
          </w:tcPr>
          <w:p w14:paraId="0F3C97B3" w14:textId="77777777" w:rsidR="00F33E5C" w:rsidRPr="00D025A1" w:rsidRDefault="00F33E5C" w:rsidP="000878F6">
            <w:pPr>
              <w:pStyle w:val="Table"/>
              <w:jc w:val="center"/>
              <w:rPr>
                <w:szCs w:val="20"/>
              </w:rPr>
            </w:pPr>
            <w:r w:rsidRPr="00D025A1">
              <w:rPr>
                <w:rFonts w:ascii="Calibri" w:hAnsi="Calibri" w:cs="Calibri"/>
                <w:color w:val="000000"/>
                <w:szCs w:val="20"/>
              </w:rPr>
              <w:t>-8,11%</w:t>
            </w:r>
          </w:p>
        </w:tc>
        <w:tc>
          <w:tcPr>
            <w:tcW w:w="1080" w:type="dxa"/>
            <w:vAlign w:val="center"/>
          </w:tcPr>
          <w:p w14:paraId="2294639A" w14:textId="77777777" w:rsidR="00F33E5C" w:rsidRPr="00D025A1" w:rsidRDefault="00F33E5C" w:rsidP="000878F6">
            <w:pPr>
              <w:pStyle w:val="Table"/>
              <w:jc w:val="center"/>
              <w:rPr>
                <w:szCs w:val="20"/>
              </w:rPr>
            </w:pPr>
            <w:r w:rsidRPr="00D025A1">
              <w:rPr>
                <w:rFonts w:ascii="Calibri" w:hAnsi="Calibri" w:cs="Calibri"/>
                <w:color w:val="000000"/>
                <w:szCs w:val="20"/>
              </w:rPr>
              <w:t>-8,11%</w:t>
            </w:r>
          </w:p>
        </w:tc>
        <w:tc>
          <w:tcPr>
            <w:tcW w:w="990" w:type="dxa"/>
            <w:vAlign w:val="center"/>
          </w:tcPr>
          <w:p w14:paraId="31BDDFEA" w14:textId="77777777" w:rsidR="00F33E5C" w:rsidRPr="00D025A1" w:rsidRDefault="00F33E5C" w:rsidP="000878F6">
            <w:pPr>
              <w:pStyle w:val="Table"/>
              <w:jc w:val="center"/>
              <w:rPr>
                <w:szCs w:val="20"/>
              </w:rPr>
            </w:pPr>
            <w:r w:rsidRPr="00D025A1">
              <w:rPr>
                <w:rFonts w:ascii="Calibri" w:hAnsi="Calibri" w:cs="Calibri"/>
                <w:color w:val="000000"/>
                <w:szCs w:val="20"/>
              </w:rPr>
              <w:t>10,75</w:t>
            </w:r>
          </w:p>
        </w:tc>
        <w:tc>
          <w:tcPr>
            <w:tcW w:w="1170" w:type="dxa"/>
            <w:vAlign w:val="center"/>
          </w:tcPr>
          <w:p w14:paraId="5C43ED19" w14:textId="77777777" w:rsidR="00F33E5C" w:rsidRPr="00D025A1" w:rsidRDefault="00F33E5C" w:rsidP="000878F6">
            <w:pPr>
              <w:pStyle w:val="Table"/>
              <w:jc w:val="center"/>
              <w:rPr>
                <w:szCs w:val="20"/>
              </w:rPr>
            </w:pPr>
            <w:r w:rsidRPr="00D025A1">
              <w:rPr>
                <w:rFonts w:ascii="Calibri" w:hAnsi="Calibri" w:cs="Calibri"/>
                <w:color w:val="000000"/>
                <w:szCs w:val="20"/>
              </w:rPr>
              <w:t>6,93</w:t>
            </w:r>
          </w:p>
        </w:tc>
        <w:tc>
          <w:tcPr>
            <w:tcW w:w="1312" w:type="dxa"/>
            <w:vAlign w:val="center"/>
          </w:tcPr>
          <w:p w14:paraId="34EBB0CC" w14:textId="77777777" w:rsidR="00F33E5C" w:rsidRPr="00D025A1" w:rsidRDefault="00F33E5C" w:rsidP="000878F6">
            <w:pPr>
              <w:pStyle w:val="Table"/>
              <w:jc w:val="center"/>
              <w:rPr>
                <w:szCs w:val="20"/>
              </w:rPr>
            </w:pPr>
            <w:r w:rsidRPr="00D025A1">
              <w:rPr>
                <w:rFonts w:ascii="Calibri" w:hAnsi="Calibri" w:cs="Calibri"/>
                <w:color w:val="000000"/>
                <w:szCs w:val="20"/>
              </w:rPr>
              <w:t>0,2%</w:t>
            </w:r>
          </w:p>
        </w:tc>
        <w:tc>
          <w:tcPr>
            <w:tcW w:w="1275" w:type="dxa"/>
            <w:vAlign w:val="center"/>
          </w:tcPr>
          <w:p w14:paraId="50EA5E58" w14:textId="77777777" w:rsidR="00F33E5C" w:rsidRPr="00D025A1" w:rsidRDefault="00F33E5C" w:rsidP="000878F6">
            <w:pPr>
              <w:pStyle w:val="Table"/>
              <w:jc w:val="center"/>
              <w:rPr>
                <w:szCs w:val="20"/>
              </w:rPr>
            </w:pPr>
            <w:r w:rsidRPr="00D025A1">
              <w:rPr>
                <w:rFonts w:ascii="Calibri" w:hAnsi="Calibri" w:cs="Calibri"/>
                <w:color w:val="000000"/>
                <w:szCs w:val="20"/>
              </w:rPr>
              <w:t>0,1%</w:t>
            </w:r>
          </w:p>
        </w:tc>
      </w:tr>
      <w:tr w:rsidR="00F33E5C" w:rsidRPr="00D025A1" w14:paraId="5750118A" w14:textId="77777777" w:rsidTr="00BA7936">
        <w:tc>
          <w:tcPr>
            <w:tcW w:w="2160" w:type="dxa"/>
          </w:tcPr>
          <w:p w14:paraId="05D3622C" w14:textId="77777777" w:rsidR="00F33E5C" w:rsidRPr="00D025A1" w:rsidRDefault="00F33E5C" w:rsidP="000878F6">
            <w:pPr>
              <w:pStyle w:val="Table"/>
              <w:rPr>
                <w:szCs w:val="20"/>
              </w:rPr>
            </w:pPr>
            <w:r w:rsidRPr="00D025A1">
              <w:rPr>
                <w:szCs w:val="20"/>
              </w:rPr>
              <w:t>PM2.5</w:t>
            </w:r>
          </w:p>
        </w:tc>
        <w:tc>
          <w:tcPr>
            <w:tcW w:w="1080" w:type="dxa"/>
            <w:vAlign w:val="center"/>
          </w:tcPr>
          <w:p w14:paraId="1969E5D6" w14:textId="77777777" w:rsidR="00F33E5C" w:rsidRPr="00D025A1" w:rsidRDefault="00F33E5C" w:rsidP="000878F6">
            <w:pPr>
              <w:pStyle w:val="Table"/>
              <w:jc w:val="center"/>
              <w:rPr>
                <w:szCs w:val="20"/>
              </w:rPr>
            </w:pPr>
            <w:r w:rsidRPr="00D025A1">
              <w:rPr>
                <w:rFonts w:ascii="Calibri" w:hAnsi="Calibri" w:cs="Calibri"/>
                <w:color w:val="000000"/>
                <w:szCs w:val="20"/>
              </w:rPr>
              <w:t>-7,39%</w:t>
            </w:r>
          </w:p>
        </w:tc>
        <w:tc>
          <w:tcPr>
            <w:tcW w:w="1080" w:type="dxa"/>
            <w:vAlign w:val="center"/>
          </w:tcPr>
          <w:p w14:paraId="0EA310E5" w14:textId="77777777" w:rsidR="00F33E5C" w:rsidRPr="00D025A1" w:rsidRDefault="00F33E5C" w:rsidP="000878F6">
            <w:pPr>
              <w:pStyle w:val="Table"/>
              <w:jc w:val="center"/>
              <w:rPr>
                <w:szCs w:val="20"/>
              </w:rPr>
            </w:pPr>
            <w:r w:rsidRPr="00D025A1">
              <w:rPr>
                <w:rFonts w:ascii="Calibri" w:hAnsi="Calibri" w:cs="Calibri"/>
                <w:color w:val="000000"/>
                <w:szCs w:val="20"/>
              </w:rPr>
              <w:t>-7,39%</w:t>
            </w:r>
          </w:p>
        </w:tc>
        <w:tc>
          <w:tcPr>
            <w:tcW w:w="990" w:type="dxa"/>
            <w:vAlign w:val="center"/>
          </w:tcPr>
          <w:p w14:paraId="20CBE5FA" w14:textId="77777777" w:rsidR="00F33E5C" w:rsidRPr="00D025A1" w:rsidRDefault="00F33E5C" w:rsidP="000878F6">
            <w:pPr>
              <w:pStyle w:val="Table"/>
              <w:jc w:val="center"/>
              <w:rPr>
                <w:szCs w:val="20"/>
              </w:rPr>
            </w:pPr>
            <w:r w:rsidRPr="00D025A1">
              <w:rPr>
                <w:rFonts w:ascii="Calibri" w:hAnsi="Calibri" w:cs="Calibri"/>
                <w:color w:val="000000"/>
                <w:szCs w:val="20"/>
              </w:rPr>
              <w:t>6,88</w:t>
            </w:r>
          </w:p>
        </w:tc>
        <w:tc>
          <w:tcPr>
            <w:tcW w:w="1170" w:type="dxa"/>
            <w:vAlign w:val="center"/>
          </w:tcPr>
          <w:p w14:paraId="494277EB" w14:textId="77777777" w:rsidR="00F33E5C" w:rsidRPr="00D025A1" w:rsidRDefault="00F33E5C" w:rsidP="000878F6">
            <w:pPr>
              <w:pStyle w:val="Table"/>
              <w:jc w:val="center"/>
              <w:rPr>
                <w:szCs w:val="20"/>
              </w:rPr>
            </w:pPr>
            <w:r w:rsidRPr="00D025A1">
              <w:rPr>
                <w:rFonts w:ascii="Calibri" w:hAnsi="Calibri" w:cs="Calibri"/>
                <w:color w:val="000000"/>
                <w:szCs w:val="20"/>
              </w:rPr>
              <w:t>6,43</w:t>
            </w:r>
          </w:p>
        </w:tc>
        <w:tc>
          <w:tcPr>
            <w:tcW w:w="1312" w:type="dxa"/>
            <w:vAlign w:val="center"/>
          </w:tcPr>
          <w:p w14:paraId="15FF52E2" w14:textId="77777777" w:rsidR="00F33E5C" w:rsidRPr="00D025A1" w:rsidRDefault="00F33E5C" w:rsidP="000878F6">
            <w:pPr>
              <w:pStyle w:val="Table"/>
              <w:jc w:val="center"/>
              <w:rPr>
                <w:szCs w:val="20"/>
              </w:rPr>
            </w:pPr>
            <w:r w:rsidRPr="00D025A1">
              <w:rPr>
                <w:rFonts w:ascii="Calibri" w:hAnsi="Calibri" w:cs="Calibri"/>
                <w:color w:val="000000"/>
                <w:szCs w:val="20"/>
              </w:rPr>
              <w:t>0,1%</w:t>
            </w:r>
          </w:p>
        </w:tc>
        <w:tc>
          <w:tcPr>
            <w:tcW w:w="1275" w:type="dxa"/>
            <w:vAlign w:val="center"/>
          </w:tcPr>
          <w:p w14:paraId="7F1B59C7" w14:textId="77777777" w:rsidR="00F33E5C" w:rsidRPr="00D025A1" w:rsidRDefault="00F33E5C" w:rsidP="000878F6">
            <w:pPr>
              <w:pStyle w:val="Table"/>
              <w:jc w:val="center"/>
              <w:rPr>
                <w:szCs w:val="20"/>
              </w:rPr>
            </w:pPr>
            <w:r w:rsidRPr="00D025A1">
              <w:rPr>
                <w:rFonts w:ascii="Calibri" w:hAnsi="Calibri" w:cs="Calibri"/>
                <w:color w:val="000000"/>
                <w:szCs w:val="20"/>
              </w:rPr>
              <w:t>0,1%</w:t>
            </w:r>
          </w:p>
        </w:tc>
      </w:tr>
      <w:tr w:rsidR="00F33E5C" w:rsidRPr="00D025A1" w14:paraId="329AC088" w14:textId="77777777" w:rsidTr="00BA7936">
        <w:tc>
          <w:tcPr>
            <w:tcW w:w="2160" w:type="dxa"/>
          </w:tcPr>
          <w:p w14:paraId="35BDCAB4" w14:textId="77777777" w:rsidR="00F33E5C" w:rsidRPr="00D025A1" w:rsidRDefault="00F33E5C" w:rsidP="000878F6">
            <w:pPr>
              <w:pStyle w:val="Table"/>
              <w:rPr>
                <w:szCs w:val="20"/>
              </w:rPr>
            </w:pPr>
            <w:r w:rsidRPr="00D025A1">
              <w:rPr>
                <w:szCs w:val="20"/>
              </w:rPr>
              <w:t>Water Abstraction</w:t>
            </w:r>
          </w:p>
        </w:tc>
        <w:tc>
          <w:tcPr>
            <w:tcW w:w="1080" w:type="dxa"/>
            <w:vAlign w:val="center"/>
          </w:tcPr>
          <w:p w14:paraId="4D1620A0" w14:textId="77777777" w:rsidR="00F33E5C" w:rsidRPr="00D025A1" w:rsidRDefault="00F33E5C" w:rsidP="000878F6">
            <w:pPr>
              <w:pStyle w:val="Table"/>
              <w:jc w:val="center"/>
              <w:rPr>
                <w:szCs w:val="20"/>
              </w:rPr>
            </w:pPr>
            <w:r w:rsidRPr="00D025A1">
              <w:rPr>
                <w:rFonts w:ascii="Calibri" w:hAnsi="Calibri" w:cs="Calibri"/>
                <w:color w:val="000000"/>
                <w:szCs w:val="20"/>
              </w:rPr>
              <w:t>-5,69%</w:t>
            </w:r>
          </w:p>
        </w:tc>
        <w:tc>
          <w:tcPr>
            <w:tcW w:w="1080" w:type="dxa"/>
            <w:vAlign w:val="center"/>
          </w:tcPr>
          <w:p w14:paraId="64EE6DAB" w14:textId="77777777" w:rsidR="00F33E5C" w:rsidRPr="00D025A1" w:rsidRDefault="00F33E5C" w:rsidP="000878F6">
            <w:pPr>
              <w:pStyle w:val="Table"/>
              <w:jc w:val="center"/>
              <w:rPr>
                <w:szCs w:val="20"/>
              </w:rPr>
            </w:pPr>
            <w:r w:rsidRPr="00D025A1">
              <w:rPr>
                <w:rFonts w:ascii="Calibri" w:hAnsi="Calibri" w:cs="Calibri"/>
                <w:color w:val="000000"/>
                <w:szCs w:val="20"/>
              </w:rPr>
              <w:t>-5,69%</w:t>
            </w:r>
          </w:p>
        </w:tc>
        <w:tc>
          <w:tcPr>
            <w:tcW w:w="990" w:type="dxa"/>
            <w:vAlign w:val="center"/>
          </w:tcPr>
          <w:p w14:paraId="29F22744" w14:textId="77777777" w:rsidR="00F33E5C" w:rsidRPr="00D025A1" w:rsidRDefault="00F33E5C" w:rsidP="000878F6">
            <w:pPr>
              <w:pStyle w:val="Table"/>
              <w:jc w:val="center"/>
              <w:rPr>
                <w:szCs w:val="20"/>
              </w:rPr>
            </w:pPr>
            <w:r w:rsidRPr="00D025A1">
              <w:rPr>
                <w:rFonts w:ascii="Calibri" w:hAnsi="Calibri" w:cs="Calibri"/>
                <w:color w:val="000000"/>
                <w:szCs w:val="20"/>
              </w:rPr>
              <w:t>17,37</w:t>
            </w:r>
          </w:p>
        </w:tc>
        <w:tc>
          <w:tcPr>
            <w:tcW w:w="1170" w:type="dxa"/>
            <w:vAlign w:val="center"/>
          </w:tcPr>
          <w:p w14:paraId="49D935FE" w14:textId="77777777" w:rsidR="00F33E5C" w:rsidRPr="00D025A1" w:rsidRDefault="00F33E5C" w:rsidP="000878F6">
            <w:pPr>
              <w:pStyle w:val="Table"/>
              <w:jc w:val="center"/>
              <w:rPr>
                <w:szCs w:val="20"/>
              </w:rPr>
            </w:pPr>
            <w:r w:rsidRPr="00D025A1">
              <w:rPr>
                <w:rFonts w:ascii="Calibri" w:hAnsi="Calibri" w:cs="Calibri"/>
                <w:color w:val="000000"/>
                <w:szCs w:val="20"/>
              </w:rPr>
              <w:t>16,01</w:t>
            </w:r>
          </w:p>
        </w:tc>
        <w:tc>
          <w:tcPr>
            <w:tcW w:w="1312" w:type="dxa"/>
            <w:vAlign w:val="center"/>
          </w:tcPr>
          <w:p w14:paraId="2CF92665" w14:textId="77777777" w:rsidR="00F33E5C" w:rsidRPr="00D025A1" w:rsidRDefault="00F33E5C" w:rsidP="000878F6">
            <w:pPr>
              <w:pStyle w:val="Table"/>
              <w:jc w:val="center"/>
              <w:rPr>
                <w:szCs w:val="20"/>
              </w:rPr>
            </w:pPr>
            <w:r w:rsidRPr="00D025A1">
              <w:rPr>
                <w:rFonts w:ascii="Calibri" w:hAnsi="Calibri" w:cs="Calibri"/>
                <w:color w:val="000000"/>
                <w:szCs w:val="20"/>
              </w:rPr>
              <w:t>4,1%</w:t>
            </w:r>
          </w:p>
        </w:tc>
        <w:tc>
          <w:tcPr>
            <w:tcW w:w="1275" w:type="dxa"/>
            <w:vAlign w:val="center"/>
          </w:tcPr>
          <w:p w14:paraId="6D42B15A" w14:textId="77777777" w:rsidR="00F33E5C" w:rsidRPr="00D025A1" w:rsidRDefault="00F33E5C" w:rsidP="000878F6">
            <w:pPr>
              <w:pStyle w:val="Table"/>
              <w:jc w:val="center"/>
              <w:rPr>
                <w:szCs w:val="20"/>
              </w:rPr>
            </w:pPr>
            <w:r w:rsidRPr="00D025A1">
              <w:rPr>
                <w:rFonts w:ascii="Calibri" w:hAnsi="Calibri" w:cs="Calibri"/>
                <w:color w:val="000000"/>
                <w:szCs w:val="20"/>
              </w:rPr>
              <w:t>3,8%</w:t>
            </w:r>
          </w:p>
        </w:tc>
      </w:tr>
      <w:tr w:rsidR="00F33E5C" w:rsidRPr="00D025A1" w14:paraId="0157996C" w14:textId="77777777" w:rsidTr="00BA7936">
        <w:tc>
          <w:tcPr>
            <w:tcW w:w="2160" w:type="dxa"/>
          </w:tcPr>
          <w:p w14:paraId="75D8FE64" w14:textId="77777777" w:rsidR="00F33E5C" w:rsidRPr="00D025A1" w:rsidRDefault="00F33E5C" w:rsidP="000878F6">
            <w:pPr>
              <w:pStyle w:val="Table"/>
              <w:rPr>
                <w:szCs w:val="20"/>
              </w:rPr>
            </w:pPr>
            <w:r w:rsidRPr="00D025A1">
              <w:rPr>
                <w:szCs w:val="20"/>
              </w:rPr>
              <w:t>Fertilizers</w:t>
            </w:r>
          </w:p>
        </w:tc>
        <w:tc>
          <w:tcPr>
            <w:tcW w:w="1080" w:type="dxa"/>
            <w:vAlign w:val="center"/>
          </w:tcPr>
          <w:p w14:paraId="20A42C21" w14:textId="77777777" w:rsidR="00F33E5C" w:rsidRPr="00D025A1" w:rsidRDefault="00F33E5C" w:rsidP="000878F6">
            <w:pPr>
              <w:pStyle w:val="Table"/>
              <w:jc w:val="center"/>
              <w:rPr>
                <w:szCs w:val="20"/>
              </w:rPr>
            </w:pPr>
            <w:r w:rsidRPr="00D025A1">
              <w:rPr>
                <w:rFonts w:ascii="Calibri" w:hAnsi="Calibri" w:cs="Calibri"/>
                <w:color w:val="000000"/>
                <w:szCs w:val="20"/>
              </w:rPr>
              <w:t>-7,49%</w:t>
            </w:r>
          </w:p>
        </w:tc>
        <w:tc>
          <w:tcPr>
            <w:tcW w:w="1080" w:type="dxa"/>
            <w:vAlign w:val="center"/>
          </w:tcPr>
          <w:p w14:paraId="553DB3BF" w14:textId="77777777" w:rsidR="00F33E5C" w:rsidRPr="00D025A1" w:rsidRDefault="00F33E5C" w:rsidP="000878F6">
            <w:pPr>
              <w:pStyle w:val="Table"/>
              <w:jc w:val="center"/>
              <w:rPr>
                <w:szCs w:val="20"/>
              </w:rPr>
            </w:pPr>
            <w:r w:rsidRPr="00D025A1">
              <w:rPr>
                <w:rFonts w:ascii="Calibri" w:hAnsi="Calibri" w:cs="Calibri"/>
                <w:color w:val="000000"/>
                <w:szCs w:val="20"/>
              </w:rPr>
              <w:t>-7,49%</w:t>
            </w:r>
          </w:p>
        </w:tc>
        <w:tc>
          <w:tcPr>
            <w:tcW w:w="990" w:type="dxa"/>
            <w:vAlign w:val="center"/>
          </w:tcPr>
          <w:p w14:paraId="3B258459" w14:textId="77777777" w:rsidR="00F33E5C" w:rsidRPr="00D025A1" w:rsidRDefault="00F33E5C" w:rsidP="000878F6">
            <w:pPr>
              <w:pStyle w:val="Table"/>
              <w:jc w:val="center"/>
              <w:rPr>
                <w:szCs w:val="20"/>
              </w:rPr>
            </w:pPr>
            <w:r w:rsidRPr="00D025A1">
              <w:rPr>
                <w:rFonts w:ascii="Calibri" w:hAnsi="Calibri" w:cs="Calibri"/>
                <w:color w:val="000000"/>
                <w:szCs w:val="20"/>
              </w:rPr>
              <w:t>42,56</w:t>
            </w:r>
          </w:p>
        </w:tc>
        <w:tc>
          <w:tcPr>
            <w:tcW w:w="1170" w:type="dxa"/>
            <w:vAlign w:val="center"/>
          </w:tcPr>
          <w:p w14:paraId="29531BA2" w14:textId="77777777" w:rsidR="00F33E5C" w:rsidRPr="00D025A1" w:rsidRDefault="00F33E5C" w:rsidP="000878F6">
            <w:pPr>
              <w:pStyle w:val="Table"/>
              <w:jc w:val="center"/>
              <w:rPr>
                <w:szCs w:val="20"/>
              </w:rPr>
            </w:pPr>
            <w:r w:rsidRPr="00D025A1">
              <w:rPr>
                <w:rFonts w:ascii="Calibri" w:hAnsi="Calibri" w:cs="Calibri"/>
                <w:color w:val="000000"/>
                <w:szCs w:val="20"/>
              </w:rPr>
              <w:t>38,70</w:t>
            </w:r>
          </w:p>
        </w:tc>
        <w:tc>
          <w:tcPr>
            <w:tcW w:w="1312" w:type="dxa"/>
            <w:vAlign w:val="center"/>
          </w:tcPr>
          <w:p w14:paraId="7457CC66" w14:textId="77777777" w:rsidR="00F33E5C" w:rsidRPr="00D025A1" w:rsidRDefault="00F33E5C" w:rsidP="000878F6">
            <w:pPr>
              <w:pStyle w:val="Table"/>
              <w:jc w:val="center"/>
              <w:rPr>
                <w:szCs w:val="20"/>
              </w:rPr>
            </w:pPr>
            <w:r w:rsidRPr="00D025A1">
              <w:rPr>
                <w:rFonts w:ascii="Calibri" w:hAnsi="Calibri" w:cs="Calibri"/>
                <w:color w:val="000000"/>
                <w:szCs w:val="20"/>
              </w:rPr>
              <w:t>0,8%</w:t>
            </w:r>
          </w:p>
        </w:tc>
        <w:tc>
          <w:tcPr>
            <w:tcW w:w="1275" w:type="dxa"/>
            <w:vAlign w:val="center"/>
          </w:tcPr>
          <w:p w14:paraId="674947E2" w14:textId="77777777" w:rsidR="00F33E5C" w:rsidRPr="00D025A1" w:rsidRDefault="00F33E5C" w:rsidP="000878F6">
            <w:pPr>
              <w:pStyle w:val="Table"/>
              <w:jc w:val="center"/>
              <w:rPr>
                <w:szCs w:val="20"/>
              </w:rPr>
            </w:pPr>
            <w:r w:rsidRPr="00D025A1">
              <w:rPr>
                <w:rFonts w:ascii="Calibri" w:hAnsi="Calibri" w:cs="Calibri"/>
                <w:color w:val="000000"/>
                <w:szCs w:val="20"/>
              </w:rPr>
              <w:t>0,8%</w:t>
            </w:r>
          </w:p>
        </w:tc>
      </w:tr>
      <w:tr w:rsidR="00F33E5C" w:rsidRPr="00D025A1" w14:paraId="092D0795" w14:textId="77777777" w:rsidTr="00BA7936">
        <w:tc>
          <w:tcPr>
            <w:tcW w:w="2160" w:type="dxa"/>
          </w:tcPr>
          <w:p w14:paraId="18A5826D" w14:textId="77777777" w:rsidR="00F33E5C" w:rsidRPr="00D025A1" w:rsidRDefault="00F33E5C" w:rsidP="000878F6">
            <w:pPr>
              <w:pStyle w:val="Table"/>
              <w:rPr>
                <w:szCs w:val="20"/>
              </w:rPr>
            </w:pPr>
            <w:r w:rsidRPr="00D025A1">
              <w:rPr>
                <w:szCs w:val="20"/>
              </w:rPr>
              <w:t>Pesticides</w:t>
            </w:r>
          </w:p>
        </w:tc>
        <w:tc>
          <w:tcPr>
            <w:tcW w:w="1080" w:type="dxa"/>
            <w:vAlign w:val="center"/>
          </w:tcPr>
          <w:p w14:paraId="2089604D" w14:textId="77777777" w:rsidR="00F33E5C" w:rsidRPr="00D025A1" w:rsidRDefault="00F33E5C" w:rsidP="000878F6">
            <w:pPr>
              <w:pStyle w:val="Table"/>
              <w:jc w:val="center"/>
              <w:rPr>
                <w:szCs w:val="20"/>
              </w:rPr>
            </w:pPr>
            <w:r w:rsidRPr="00D025A1">
              <w:rPr>
                <w:rFonts w:ascii="Calibri" w:hAnsi="Calibri" w:cs="Calibri"/>
                <w:color w:val="000000"/>
                <w:szCs w:val="20"/>
              </w:rPr>
              <w:t>n/a</w:t>
            </w:r>
          </w:p>
        </w:tc>
        <w:tc>
          <w:tcPr>
            <w:tcW w:w="1080" w:type="dxa"/>
            <w:vAlign w:val="center"/>
          </w:tcPr>
          <w:p w14:paraId="51401AA3" w14:textId="77777777" w:rsidR="00F33E5C" w:rsidRPr="00D025A1" w:rsidRDefault="00F33E5C" w:rsidP="000878F6">
            <w:pPr>
              <w:pStyle w:val="Table"/>
              <w:jc w:val="center"/>
              <w:rPr>
                <w:szCs w:val="20"/>
              </w:rPr>
            </w:pPr>
            <w:r w:rsidRPr="00D025A1">
              <w:rPr>
                <w:rFonts w:ascii="Calibri" w:hAnsi="Calibri" w:cs="Calibri"/>
                <w:color w:val="000000"/>
                <w:szCs w:val="20"/>
              </w:rPr>
              <w:t>n/a</w:t>
            </w:r>
          </w:p>
        </w:tc>
        <w:tc>
          <w:tcPr>
            <w:tcW w:w="990" w:type="dxa"/>
            <w:vAlign w:val="center"/>
          </w:tcPr>
          <w:p w14:paraId="234ACB4D" w14:textId="77777777" w:rsidR="00F33E5C" w:rsidRPr="00D025A1" w:rsidRDefault="00F33E5C" w:rsidP="000878F6">
            <w:pPr>
              <w:pStyle w:val="Table"/>
              <w:jc w:val="center"/>
              <w:rPr>
                <w:szCs w:val="20"/>
              </w:rPr>
            </w:pPr>
            <w:r w:rsidRPr="00D025A1">
              <w:rPr>
                <w:rFonts w:ascii="Calibri" w:hAnsi="Calibri" w:cs="Calibri"/>
                <w:color w:val="000000"/>
                <w:szCs w:val="20"/>
              </w:rPr>
              <w:t>191,63</w:t>
            </w:r>
          </w:p>
        </w:tc>
        <w:tc>
          <w:tcPr>
            <w:tcW w:w="1170" w:type="dxa"/>
            <w:vAlign w:val="center"/>
          </w:tcPr>
          <w:p w14:paraId="0766104F" w14:textId="77777777" w:rsidR="00F33E5C" w:rsidRPr="00D025A1" w:rsidRDefault="00F33E5C" w:rsidP="000878F6">
            <w:pPr>
              <w:pStyle w:val="Table"/>
              <w:jc w:val="center"/>
              <w:rPr>
                <w:szCs w:val="20"/>
              </w:rPr>
            </w:pPr>
            <w:r w:rsidRPr="00D025A1">
              <w:rPr>
                <w:rFonts w:ascii="Calibri" w:hAnsi="Calibri" w:cs="Calibri"/>
                <w:color w:val="000000"/>
                <w:szCs w:val="20"/>
              </w:rPr>
              <w:t>190,81</w:t>
            </w:r>
          </w:p>
        </w:tc>
        <w:tc>
          <w:tcPr>
            <w:tcW w:w="1312" w:type="dxa"/>
            <w:vAlign w:val="center"/>
          </w:tcPr>
          <w:p w14:paraId="718C572D" w14:textId="77777777" w:rsidR="00F33E5C" w:rsidRPr="00D025A1" w:rsidRDefault="00F33E5C" w:rsidP="000878F6">
            <w:pPr>
              <w:pStyle w:val="Table"/>
              <w:jc w:val="center"/>
              <w:rPr>
                <w:szCs w:val="20"/>
              </w:rPr>
            </w:pPr>
            <w:r w:rsidRPr="00D025A1">
              <w:rPr>
                <w:rFonts w:ascii="Calibri" w:hAnsi="Calibri" w:cs="Calibri"/>
                <w:color w:val="000000"/>
                <w:szCs w:val="20"/>
              </w:rPr>
              <w:t>3,8%</w:t>
            </w:r>
          </w:p>
        </w:tc>
        <w:tc>
          <w:tcPr>
            <w:tcW w:w="1275" w:type="dxa"/>
            <w:vAlign w:val="center"/>
          </w:tcPr>
          <w:p w14:paraId="2FF94732" w14:textId="77777777" w:rsidR="00F33E5C" w:rsidRPr="00D025A1" w:rsidRDefault="00F33E5C" w:rsidP="000878F6">
            <w:pPr>
              <w:pStyle w:val="Table"/>
              <w:jc w:val="center"/>
              <w:rPr>
                <w:szCs w:val="20"/>
              </w:rPr>
            </w:pPr>
            <w:r w:rsidRPr="00D025A1">
              <w:rPr>
                <w:rFonts w:ascii="Calibri" w:hAnsi="Calibri" w:cs="Calibri"/>
                <w:color w:val="000000"/>
                <w:szCs w:val="20"/>
              </w:rPr>
              <w:t>3,8%</w:t>
            </w:r>
          </w:p>
        </w:tc>
      </w:tr>
      <w:tr w:rsidR="00F33E5C" w:rsidRPr="00D025A1" w14:paraId="41CB6640" w14:textId="77777777" w:rsidTr="00BA7936">
        <w:tc>
          <w:tcPr>
            <w:tcW w:w="2160" w:type="dxa"/>
          </w:tcPr>
          <w:p w14:paraId="1F889E5F" w14:textId="77777777" w:rsidR="00F33E5C" w:rsidRPr="00D025A1" w:rsidRDefault="00F33E5C" w:rsidP="000878F6">
            <w:pPr>
              <w:pStyle w:val="Table"/>
              <w:rPr>
                <w:szCs w:val="20"/>
              </w:rPr>
            </w:pPr>
            <w:r w:rsidRPr="00D025A1">
              <w:rPr>
                <w:szCs w:val="20"/>
              </w:rPr>
              <w:t>Waste Incineration</w:t>
            </w:r>
          </w:p>
        </w:tc>
        <w:tc>
          <w:tcPr>
            <w:tcW w:w="1080" w:type="dxa"/>
            <w:vAlign w:val="center"/>
          </w:tcPr>
          <w:p w14:paraId="573061AD" w14:textId="77777777" w:rsidR="00F33E5C" w:rsidRPr="00D025A1" w:rsidRDefault="00F33E5C" w:rsidP="000878F6">
            <w:pPr>
              <w:pStyle w:val="Table"/>
              <w:jc w:val="center"/>
              <w:rPr>
                <w:szCs w:val="20"/>
              </w:rPr>
            </w:pPr>
            <w:r w:rsidRPr="00D025A1">
              <w:rPr>
                <w:rFonts w:ascii="Calibri" w:hAnsi="Calibri" w:cs="Calibri"/>
                <w:color w:val="000000"/>
                <w:szCs w:val="20"/>
              </w:rPr>
              <w:t>0,00%</w:t>
            </w:r>
          </w:p>
        </w:tc>
        <w:tc>
          <w:tcPr>
            <w:tcW w:w="1080" w:type="dxa"/>
            <w:vAlign w:val="center"/>
          </w:tcPr>
          <w:p w14:paraId="76200867" w14:textId="77777777" w:rsidR="00F33E5C" w:rsidRPr="00D025A1" w:rsidRDefault="00F33E5C" w:rsidP="000878F6">
            <w:pPr>
              <w:pStyle w:val="Table"/>
              <w:jc w:val="center"/>
              <w:rPr>
                <w:szCs w:val="20"/>
              </w:rPr>
            </w:pPr>
            <w:r w:rsidRPr="00D025A1">
              <w:rPr>
                <w:rFonts w:ascii="Calibri" w:hAnsi="Calibri" w:cs="Calibri"/>
                <w:color w:val="000000"/>
                <w:szCs w:val="20"/>
              </w:rPr>
              <w:t>0,00%</w:t>
            </w:r>
          </w:p>
        </w:tc>
        <w:tc>
          <w:tcPr>
            <w:tcW w:w="990" w:type="dxa"/>
            <w:vAlign w:val="center"/>
          </w:tcPr>
          <w:p w14:paraId="45EF6076" w14:textId="77777777" w:rsidR="00F33E5C" w:rsidRPr="00D025A1" w:rsidRDefault="00F33E5C" w:rsidP="000878F6">
            <w:pPr>
              <w:pStyle w:val="Table"/>
              <w:jc w:val="center"/>
              <w:rPr>
                <w:szCs w:val="20"/>
              </w:rPr>
            </w:pPr>
            <w:r w:rsidRPr="00D025A1">
              <w:rPr>
                <w:rFonts w:ascii="Calibri" w:hAnsi="Calibri" w:cs="Calibri"/>
                <w:color w:val="000000"/>
                <w:szCs w:val="20"/>
              </w:rPr>
              <w:t>0,00</w:t>
            </w:r>
          </w:p>
        </w:tc>
        <w:tc>
          <w:tcPr>
            <w:tcW w:w="1170" w:type="dxa"/>
            <w:vAlign w:val="center"/>
          </w:tcPr>
          <w:p w14:paraId="0B547140" w14:textId="77777777" w:rsidR="00F33E5C" w:rsidRPr="00D025A1" w:rsidRDefault="00F33E5C" w:rsidP="000878F6">
            <w:pPr>
              <w:pStyle w:val="Table"/>
              <w:jc w:val="center"/>
              <w:rPr>
                <w:szCs w:val="20"/>
              </w:rPr>
            </w:pPr>
            <w:r w:rsidRPr="00D025A1">
              <w:rPr>
                <w:rFonts w:ascii="Calibri" w:hAnsi="Calibri" w:cs="Calibri"/>
                <w:color w:val="000000"/>
                <w:szCs w:val="20"/>
              </w:rPr>
              <w:t>0,00</w:t>
            </w:r>
          </w:p>
        </w:tc>
        <w:tc>
          <w:tcPr>
            <w:tcW w:w="1312" w:type="dxa"/>
            <w:vAlign w:val="center"/>
          </w:tcPr>
          <w:p w14:paraId="41896AAF" w14:textId="77777777" w:rsidR="00F33E5C" w:rsidRPr="00D025A1" w:rsidRDefault="00F33E5C" w:rsidP="000878F6">
            <w:pPr>
              <w:pStyle w:val="Table"/>
              <w:jc w:val="center"/>
              <w:rPr>
                <w:szCs w:val="20"/>
              </w:rPr>
            </w:pPr>
            <w:r w:rsidRPr="00D025A1">
              <w:rPr>
                <w:rFonts w:ascii="Calibri" w:hAnsi="Calibri" w:cs="Calibri"/>
                <w:color w:val="000000"/>
                <w:szCs w:val="20"/>
              </w:rPr>
              <w:t>0,0%</w:t>
            </w:r>
          </w:p>
        </w:tc>
        <w:tc>
          <w:tcPr>
            <w:tcW w:w="1275" w:type="dxa"/>
            <w:vAlign w:val="center"/>
          </w:tcPr>
          <w:p w14:paraId="4FCE8B86" w14:textId="77777777" w:rsidR="00F33E5C" w:rsidRPr="00D025A1" w:rsidRDefault="00F33E5C" w:rsidP="000878F6">
            <w:pPr>
              <w:pStyle w:val="Table"/>
              <w:jc w:val="center"/>
              <w:rPr>
                <w:szCs w:val="20"/>
              </w:rPr>
            </w:pPr>
            <w:r w:rsidRPr="00D025A1">
              <w:rPr>
                <w:rFonts w:ascii="Calibri" w:hAnsi="Calibri" w:cs="Calibri"/>
                <w:color w:val="000000"/>
                <w:szCs w:val="20"/>
              </w:rPr>
              <w:t>0,0%</w:t>
            </w:r>
          </w:p>
        </w:tc>
      </w:tr>
      <w:tr w:rsidR="00F33E5C" w:rsidRPr="00D025A1" w14:paraId="666CCAAD" w14:textId="77777777" w:rsidTr="00BA7936">
        <w:tc>
          <w:tcPr>
            <w:tcW w:w="2160" w:type="dxa"/>
          </w:tcPr>
          <w:p w14:paraId="331E8589" w14:textId="77777777" w:rsidR="00F33E5C" w:rsidRPr="00D025A1" w:rsidRDefault="00F33E5C" w:rsidP="000878F6">
            <w:pPr>
              <w:pStyle w:val="Table"/>
              <w:rPr>
                <w:szCs w:val="20"/>
              </w:rPr>
            </w:pPr>
            <w:r w:rsidRPr="00D025A1">
              <w:rPr>
                <w:szCs w:val="20"/>
              </w:rPr>
              <w:t>Waste to Landfill</w:t>
            </w:r>
          </w:p>
        </w:tc>
        <w:tc>
          <w:tcPr>
            <w:tcW w:w="1080" w:type="dxa"/>
            <w:vAlign w:val="center"/>
          </w:tcPr>
          <w:p w14:paraId="34F59BE8" w14:textId="77777777" w:rsidR="00F33E5C" w:rsidRPr="00D025A1" w:rsidRDefault="00F33E5C" w:rsidP="000878F6">
            <w:pPr>
              <w:pStyle w:val="Table"/>
              <w:jc w:val="center"/>
              <w:rPr>
                <w:szCs w:val="20"/>
              </w:rPr>
            </w:pPr>
            <w:r w:rsidRPr="00D025A1">
              <w:rPr>
                <w:rFonts w:ascii="Calibri" w:hAnsi="Calibri" w:cs="Calibri"/>
                <w:color w:val="000000"/>
                <w:szCs w:val="20"/>
              </w:rPr>
              <w:t>0,00%</w:t>
            </w:r>
          </w:p>
        </w:tc>
        <w:tc>
          <w:tcPr>
            <w:tcW w:w="1080" w:type="dxa"/>
            <w:vAlign w:val="center"/>
          </w:tcPr>
          <w:p w14:paraId="4D6AE387" w14:textId="77777777" w:rsidR="00F33E5C" w:rsidRPr="00D025A1" w:rsidRDefault="00F33E5C" w:rsidP="000878F6">
            <w:pPr>
              <w:pStyle w:val="Table"/>
              <w:jc w:val="center"/>
              <w:rPr>
                <w:szCs w:val="20"/>
              </w:rPr>
            </w:pPr>
            <w:r w:rsidRPr="00D025A1">
              <w:rPr>
                <w:rFonts w:ascii="Calibri" w:hAnsi="Calibri" w:cs="Calibri"/>
                <w:color w:val="000000"/>
                <w:szCs w:val="20"/>
              </w:rPr>
              <w:t>0,00%</w:t>
            </w:r>
          </w:p>
        </w:tc>
        <w:tc>
          <w:tcPr>
            <w:tcW w:w="990" w:type="dxa"/>
            <w:vAlign w:val="center"/>
          </w:tcPr>
          <w:p w14:paraId="18A7A07D" w14:textId="77777777" w:rsidR="00F33E5C" w:rsidRPr="00D025A1" w:rsidRDefault="00F33E5C" w:rsidP="000878F6">
            <w:pPr>
              <w:pStyle w:val="Table"/>
              <w:jc w:val="center"/>
              <w:rPr>
                <w:szCs w:val="20"/>
              </w:rPr>
            </w:pPr>
            <w:r w:rsidRPr="00D025A1">
              <w:rPr>
                <w:rFonts w:ascii="Calibri" w:hAnsi="Calibri" w:cs="Calibri"/>
                <w:color w:val="000000"/>
                <w:szCs w:val="20"/>
              </w:rPr>
              <w:t>0,00</w:t>
            </w:r>
          </w:p>
        </w:tc>
        <w:tc>
          <w:tcPr>
            <w:tcW w:w="1170" w:type="dxa"/>
            <w:vAlign w:val="center"/>
          </w:tcPr>
          <w:p w14:paraId="71C4AB35" w14:textId="77777777" w:rsidR="00F33E5C" w:rsidRPr="00D025A1" w:rsidRDefault="00F33E5C" w:rsidP="000878F6">
            <w:pPr>
              <w:pStyle w:val="Table"/>
              <w:jc w:val="center"/>
              <w:rPr>
                <w:szCs w:val="20"/>
              </w:rPr>
            </w:pPr>
            <w:r w:rsidRPr="00D025A1">
              <w:rPr>
                <w:rFonts w:ascii="Calibri" w:hAnsi="Calibri" w:cs="Calibri"/>
                <w:color w:val="000000"/>
                <w:szCs w:val="20"/>
              </w:rPr>
              <w:t>0,00</w:t>
            </w:r>
          </w:p>
        </w:tc>
        <w:tc>
          <w:tcPr>
            <w:tcW w:w="1312" w:type="dxa"/>
            <w:vAlign w:val="center"/>
          </w:tcPr>
          <w:p w14:paraId="20E8FB41" w14:textId="77777777" w:rsidR="00F33E5C" w:rsidRPr="00D025A1" w:rsidRDefault="00F33E5C" w:rsidP="000878F6">
            <w:pPr>
              <w:pStyle w:val="Table"/>
              <w:jc w:val="center"/>
              <w:rPr>
                <w:szCs w:val="20"/>
              </w:rPr>
            </w:pPr>
            <w:r w:rsidRPr="00D025A1">
              <w:rPr>
                <w:rFonts w:ascii="Calibri" w:hAnsi="Calibri" w:cs="Calibri"/>
                <w:color w:val="000000"/>
                <w:szCs w:val="20"/>
              </w:rPr>
              <w:t>0,0%</w:t>
            </w:r>
          </w:p>
        </w:tc>
        <w:tc>
          <w:tcPr>
            <w:tcW w:w="1275" w:type="dxa"/>
            <w:vAlign w:val="center"/>
          </w:tcPr>
          <w:p w14:paraId="24FBAEC7" w14:textId="77777777" w:rsidR="00F33E5C" w:rsidRPr="00D025A1" w:rsidRDefault="00F33E5C" w:rsidP="000878F6">
            <w:pPr>
              <w:pStyle w:val="Table"/>
              <w:jc w:val="center"/>
              <w:rPr>
                <w:szCs w:val="20"/>
              </w:rPr>
            </w:pPr>
            <w:r w:rsidRPr="00D025A1">
              <w:rPr>
                <w:rFonts w:ascii="Calibri" w:hAnsi="Calibri" w:cs="Calibri"/>
                <w:color w:val="000000"/>
                <w:szCs w:val="20"/>
              </w:rPr>
              <w:t>0,0%</w:t>
            </w:r>
          </w:p>
        </w:tc>
      </w:tr>
      <w:tr w:rsidR="00F33E5C" w:rsidRPr="00D025A1" w14:paraId="17D7FEDA" w14:textId="77777777" w:rsidTr="00BA7936">
        <w:tc>
          <w:tcPr>
            <w:tcW w:w="2160" w:type="dxa"/>
          </w:tcPr>
          <w:p w14:paraId="76A84C80" w14:textId="77777777" w:rsidR="00F33E5C" w:rsidRPr="00D025A1" w:rsidRDefault="00F33E5C" w:rsidP="000878F6">
            <w:pPr>
              <w:pStyle w:val="Table"/>
              <w:rPr>
                <w:szCs w:val="20"/>
              </w:rPr>
            </w:pPr>
            <w:r w:rsidRPr="00D025A1">
              <w:rPr>
                <w:szCs w:val="20"/>
              </w:rPr>
              <w:t>Water Effluent</w:t>
            </w:r>
          </w:p>
        </w:tc>
        <w:tc>
          <w:tcPr>
            <w:tcW w:w="1080" w:type="dxa"/>
            <w:vAlign w:val="center"/>
          </w:tcPr>
          <w:p w14:paraId="318BBBCB" w14:textId="77777777" w:rsidR="00F33E5C" w:rsidRPr="00D025A1" w:rsidRDefault="00F33E5C" w:rsidP="000878F6">
            <w:pPr>
              <w:pStyle w:val="Table"/>
              <w:jc w:val="center"/>
              <w:rPr>
                <w:szCs w:val="20"/>
              </w:rPr>
            </w:pPr>
            <w:r w:rsidRPr="00D025A1">
              <w:rPr>
                <w:rFonts w:ascii="Calibri" w:hAnsi="Calibri" w:cs="Calibri"/>
                <w:color w:val="000000"/>
                <w:szCs w:val="20"/>
              </w:rPr>
              <w:t>-8,95%</w:t>
            </w:r>
          </w:p>
        </w:tc>
        <w:tc>
          <w:tcPr>
            <w:tcW w:w="1080" w:type="dxa"/>
            <w:vAlign w:val="center"/>
          </w:tcPr>
          <w:p w14:paraId="58B026CC" w14:textId="77777777" w:rsidR="00F33E5C" w:rsidRPr="00D025A1" w:rsidRDefault="00F33E5C" w:rsidP="000878F6">
            <w:pPr>
              <w:pStyle w:val="Table"/>
              <w:jc w:val="center"/>
              <w:rPr>
                <w:szCs w:val="20"/>
              </w:rPr>
            </w:pPr>
            <w:r w:rsidRPr="00D025A1">
              <w:rPr>
                <w:rFonts w:ascii="Calibri" w:hAnsi="Calibri" w:cs="Calibri"/>
                <w:color w:val="000000"/>
                <w:szCs w:val="20"/>
              </w:rPr>
              <w:t>-8,95%</w:t>
            </w:r>
          </w:p>
        </w:tc>
        <w:tc>
          <w:tcPr>
            <w:tcW w:w="990" w:type="dxa"/>
            <w:vAlign w:val="center"/>
          </w:tcPr>
          <w:p w14:paraId="78CD47F5" w14:textId="77777777" w:rsidR="00F33E5C" w:rsidRPr="00D025A1" w:rsidRDefault="00F33E5C" w:rsidP="000878F6">
            <w:pPr>
              <w:pStyle w:val="Table"/>
              <w:jc w:val="center"/>
              <w:rPr>
                <w:szCs w:val="20"/>
              </w:rPr>
            </w:pPr>
            <w:r w:rsidRPr="00D025A1">
              <w:rPr>
                <w:rFonts w:ascii="Calibri" w:hAnsi="Calibri" w:cs="Calibri"/>
                <w:color w:val="000000"/>
                <w:szCs w:val="20"/>
              </w:rPr>
              <w:t>2196,05</w:t>
            </w:r>
          </w:p>
        </w:tc>
        <w:tc>
          <w:tcPr>
            <w:tcW w:w="1170" w:type="dxa"/>
            <w:vAlign w:val="center"/>
          </w:tcPr>
          <w:p w14:paraId="764E78C3" w14:textId="77777777" w:rsidR="00F33E5C" w:rsidRPr="00D025A1" w:rsidRDefault="00F33E5C" w:rsidP="000878F6">
            <w:pPr>
              <w:pStyle w:val="Table"/>
              <w:jc w:val="center"/>
              <w:rPr>
                <w:szCs w:val="20"/>
              </w:rPr>
            </w:pPr>
            <w:r w:rsidRPr="00D025A1">
              <w:rPr>
                <w:rFonts w:ascii="Calibri" w:hAnsi="Calibri" w:cs="Calibri"/>
                <w:color w:val="000000"/>
                <w:szCs w:val="20"/>
              </w:rPr>
              <w:t>2216,31</w:t>
            </w:r>
          </w:p>
        </w:tc>
        <w:tc>
          <w:tcPr>
            <w:tcW w:w="1312" w:type="dxa"/>
            <w:vAlign w:val="center"/>
          </w:tcPr>
          <w:p w14:paraId="3B7BCD4C" w14:textId="77777777" w:rsidR="00F33E5C" w:rsidRPr="00D025A1" w:rsidRDefault="00F33E5C" w:rsidP="000878F6">
            <w:pPr>
              <w:pStyle w:val="Table"/>
              <w:jc w:val="center"/>
              <w:rPr>
                <w:szCs w:val="20"/>
              </w:rPr>
            </w:pPr>
            <w:r w:rsidRPr="00D025A1">
              <w:rPr>
                <w:rFonts w:ascii="Calibri" w:hAnsi="Calibri" w:cs="Calibri"/>
                <w:color w:val="000000"/>
                <w:szCs w:val="20"/>
              </w:rPr>
              <w:t>43,4%</w:t>
            </w:r>
          </w:p>
        </w:tc>
        <w:tc>
          <w:tcPr>
            <w:tcW w:w="1275" w:type="dxa"/>
            <w:vAlign w:val="center"/>
          </w:tcPr>
          <w:p w14:paraId="177FAB36" w14:textId="77777777" w:rsidR="00F33E5C" w:rsidRPr="00D025A1" w:rsidRDefault="00F33E5C" w:rsidP="000878F6">
            <w:pPr>
              <w:pStyle w:val="Table"/>
              <w:jc w:val="center"/>
              <w:rPr>
                <w:szCs w:val="20"/>
              </w:rPr>
            </w:pPr>
            <w:r w:rsidRPr="00D025A1">
              <w:rPr>
                <w:rFonts w:ascii="Calibri" w:hAnsi="Calibri" w:cs="Calibri"/>
                <w:color w:val="000000"/>
                <w:szCs w:val="20"/>
              </w:rPr>
              <w:t>43,8%</w:t>
            </w:r>
          </w:p>
        </w:tc>
      </w:tr>
      <w:tr w:rsidR="00F33E5C" w:rsidRPr="00D025A1" w14:paraId="4135E384" w14:textId="77777777" w:rsidTr="00BA7936">
        <w:tc>
          <w:tcPr>
            <w:tcW w:w="2160" w:type="dxa"/>
          </w:tcPr>
          <w:p w14:paraId="5458A891" w14:textId="77777777" w:rsidR="00F33E5C" w:rsidRPr="00D025A1" w:rsidRDefault="00F33E5C" w:rsidP="000878F6">
            <w:pPr>
              <w:pStyle w:val="Table"/>
              <w:rPr>
                <w:szCs w:val="20"/>
              </w:rPr>
            </w:pPr>
            <w:r w:rsidRPr="00D025A1">
              <w:rPr>
                <w:szCs w:val="20"/>
              </w:rPr>
              <w:t>Minerals &amp; Aggregates</w:t>
            </w:r>
          </w:p>
        </w:tc>
        <w:tc>
          <w:tcPr>
            <w:tcW w:w="1080" w:type="dxa"/>
            <w:vAlign w:val="center"/>
          </w:tcPr>
          <w:p w14:paraId="6847A56E" w14:textId="77777777" w:rsidR="00F33E5C" w:rsidRPr="00D025A1" w:rsidRDefault="00F33E5C" w:rsidP="000878F6">
            <w:pPr>
              <w:pStyle w:val="Table"/>
              <w:jc w:val="center"/>
              <w:rPr>
                <w:szCs w:val="20"/>
              </w:rPr>
            </w:pPr>
            <w:r w:rsidRPr="00D025A1">
              <w:rPr>
                <w:rFonts w:ascii="Calibri" w:hAnsi="Calibri" w:cs="Calibri"/>
                <w:color w:val="000000"/>
                <w:szCs w:val="20"/>
              </w:rPr>
              <w:t>-5,02%</w:t>
            </w:r>
          </w:p>
        </w:tc>
        <w:tc>
          <w:tcPr>
            <w:tcW w:w="1080" w:type="dxa"/>
            <w:vAlign w:val="center"/>
          </w:tcPr>
          <w:p w14:paraId="1FA2563D" w14:textId="77777777" w:rsidR="00F33E5C" w:rsidRPr="00D025A1" w:rsidRDefault="00F33E5C" w:rsidP="000878F6">
            <w:pPr>
              <w:pStyle w:val="Table"/>
              <w:jc w:val="center"/>
              <w:rPr>
                <w:szCs w:val="20"/>
              </w:rPr>
            </w:pPr>
            <w:r w:rsidRPr="00D025A1">
              <w:rPr>
                <w:rFonts w:ascii="Calibri" w:hAnsi="Calibri" w:cs="Calibri"/>
                <w:color w:val="000000"/>
                <w:szCs w:val="20"/>
              </w:rPr>
              <w:t>-5,02%</w:t>
            </w:r>
          </w:p>
        </w:tc>
        <w:tc>
          <w:tcPr>
            <w:tcW w:w="990" w:type="dxa"/>
            <w:vAlign w:val="center"/>
          </w:tcPr>
          <w:p w14:paraId="31D31D81" w14:textId="77777777" w:rsidR="00F33E5C" w:rsidRPr="00D025A1" w:rsidRDefault="00F33E5C" w:rsidP="000878F6">
            <w:pPr>
              <w:pStyle w:val="Table"/>
              <w:jc w:val="center"/>
              <w:rPr>
                <w:szCs w:val="20"/>
              </w:rPr>
            </w:pPr>
            <w:r w:rsidRPr="00D025A1">
              <w:rPr>
                <w:rFonts w:ascii="Calibri" w:hAnsi="Calibri" w:cs="Calibri"/>
                <w:color w:val="000000"/>
                <w:szCs w:val="20"/>
              </w:rPr>
              <w:t>346,33</w:t>
            </w:r>
          </w:p>
        </w:tc>
        <w:tc>
          <w:tcPr>
            <w:tcW w:w="1170" w:type="dxa"/>
            <w:vAlign w:val="center"/>
          </w:tcPr>
          <w:p w14:paraId="0B1FB250" w14:textId="77777777" w:rsidR="00F33E5C" w:rsidRPr="00D025A1" w:rsidRDefault="00F33E5C" w:rsidP="000878F6">
            <w:pPr>
              <w:pStyle w:val="Table"/>
              <w:jc w:val="center"/>
              <w:rPr>
                <w:szCs w:val="20"/>
              </w:rPr>
            </w:pPr>
            <w:r w:rsidRPr="00D025A1">
              <w:rPr>
                <w:rFonts w:ascii="Calibri" w:hAnsi="Calibri" w:cs="Calibri"/>
                <w:color w:val="000000"/>
                <w:szCs w:val="20"/>
              </w:rPr>
              <w:t>348,05</w:t>
            </w:r>
          </w:p>
        </w:tc>
        <w:tc>
          <w:tcPr>
            <w:tcW w:w="1312" w:type="dxa"/>
            <w:vAlign w:val="center"/>
          </w:tcPr>
          <w:p w14:paraId="5A084F5F" w14:textId="77777777" w:rsidR="00F33E5C" w:rsidRPr="00D025A1" w:rsidRDefault="00F33E5C" w:rsidP="000878F6">
            <w:pPr>
              <w:pStyle w:val="Table"/>
              <w:jc w:val="center"/>
              <w:rPr>
                <w:szCs w:val="20"/>
              </w:rPr>
            </w:pPr>
            <w:r w:rsidRPr="00D025A1">
              <w:rPr>
                <w:rFonts w:ascii="Calibri" w:hAnsi="Calibri" w:cs="Calibri"/>
                <w:color w:val="000000"/>
                <w:szCs w:val="20"/>
              </w:rPr>
              <w:t>82,0%</w:t>
            </w:r>
          </w:p>
        </w:tc>
        <w:tc>
          <w:tcPr>
            <w:tcW w:w="1275" w:type="dxa"/>
            <w:vAlign w:val="center"/>
          </w:tcPr>
          <w:p w14:paraId="0BD9E514" w14:textId="77777777" w:rsidR="00F33E5C" w:rsidRPr="00D025A1" w:rsidRDefault="00F33E5C" w:rsidP="000878F6">
            <w:pPr>
              <w:pStyle w:val="Table"/>
              <w:jc w:val="center"/>
              <w:rPr>
                <w:szCs w:val="20"/>
              </w:rPr>
            </w:pPr>
            <w:r w:rsidRPr="00D025A1">
              <w:rPr>
                <w:rFonts w:ascii="Calibri" w:hAnsi="Calibri" w:cs="Calibri"/>
                <w:color w:val="000000"/>
                <w:szCs w:val="20"/>
              </w:rPr>
              <w:t>82,4%</w:t>
            </w:r>
          </w:p>
        </w:tc>
      </w:tr>
    </w:tbl>
    <w:p w14:paraId="12042EF3" w14:textId="77777777" w:rsidR="00F33E5C" w:rsidRPr="00F33E5C" w:rsidRDefault="00F33E5C" w:rsidP="00F33E5C">
      <w:pPr>
        <w:rPr>
          <w:lang w:eastAsia="en-GB"/>
        </w:rPr>
      </w:pPr>
    </w:p>
    <w:p w14:paraId="634CFD54" w14:textId="421C30CD" w:rsidR="00F33E5C" w:rsidRPr="00F33E5C" w:rsidRDefault="00F33E5C" w:rsidP="00F33E5C">
      <w:pPr>
        <w:rPr>
          <w:lang w:eastAsia="en-GB"/>
        </w:rPr>
      </w:pPr>
      <w:r w:rsidRPr="00F33E5C">
        <w:rPr>
          <w:lang w:eastAsia="en-GB"/>
        </w:rPr>
        <w:t xml:space="preserve">Feasibility is strong in administrative terms. France benefits from mature permitting, monitoring and billing systems, extensive metering in industry and water services, and established agencies (including the Water Agencies and ADEME) capable of administering and recycling revenues. The main risks are political and distributional. The </w:t>
      </w:r>
      <w:r w:rsidRPr="00F33E5C">
        <w:rPr>
          <w:i/>
          <w:iCs/>
          <w:lang w:eastAsia="en-GB"/>
        </w:rPr>
        <w:t>gilets jaunes</w:t>
      </w:r>
      <w:r w:rsidRPr="00F33E5C">
        <w:rPr>
          <w:lang w:eastAsia="en-GB"/>
        </w:rPr>
        <w:t xml:space="preserve"> episode demonstrated that even modest new charges can trigger public opposition if perceived as unfair, opaque, or regionally unbalanced. Any changes that influence household utility bills or mobility costs need careful design and communication. Sectoral pushback can also be expected in construction materials and certain energy-intensive branches of manufacturing, where firms worry about cost pass-through and international exposure. In agriculture, fertiliser and pesticide pricing raises concerns over margins and yields, particularly for smaller farms.</w:t>
      </w:r>
    </w:p>
    <w:p w14:paraId="4D7B4F7A" w14:textId="4E88EFBB" w:rsidR="00F33E5C" w:rsidRPr="00F33E5C" w:rsidRDefault="00F33E5C" w:rsidP="00F33E5C">
      <w:pPr>
        <w:rPr>
          <w:lang w:eastAsia="en-GB"/>
        </w:rPr>
      </w:pPr>
      <w:r w:rsidRPr="00F33E5C">
        <w:rPr>
          <w:lang w:eastAsia="en-GB"/>
        </w:rPr>
        <w:t>These risks are manageable through sequencing, targeted revenue use and visible reinvestment. Phasing new rates over several years with pre-announced steps allows households, utilities and firms to adapt and invest. A clear, audited “green dividend” that returns a defined share of additional receipts to households and to cost-reducing investment will support acceptance. For households, this can include lump-sum bill credits for lower-income groups, a cap on year-to-year increases in water and waste charges financed from environmental receipts, and expanded support for home insulation, leak reduction and efficient appliances. For mobility-dependent rural households and peri-urban commuters, targeted cheques or transport vouchers can offset incidental impacts without blunting the environmental signal. For trade-exposed sites, time-limited, investment-linked support for abatement equipment and process upgrades can ease financing constraints while preserving the marginal incentive from the tax. In agriculture, pairing any fertiliser or pesticide charge with co-financed precision application, nutrient budgeting and integrated pest management, plus advisory services, will mitigate yield risks and distributional concerns.</w:t>
      </w:r>
    </w:p>
    <w:p w14:paraId="659DAB89" w14:textId="7661A8CE" w:rsidR="00F33E5C" w:rsidRPr="00F33E5C" w:rsidRDefault="00F33E5C" w:rsidP="00F33E5C">
      <w:pPr>
        <w:rPr>
          <w:lang w:eastAsia="en-GB"/>
        </w:rPr>
      </w:pPr>
      <w:r w:rsidRPr="00F33E5C">
        <w:rPr>
          <w:lang w:eastAsia="en-GB"/>
        </w:rPr>
        <w:t>Implementation should align tax design with enabling infrastructure. If landfill or incineration signals strengthen, parallel investments in sorting, reuse and high-quality recycling are needed to avoid displacement to lower tiers of the waste hierarchy or cross-border movements. A wastewater effluent price signal should be coupled with performance contracts for utilities and co-funding of tertiary treatment, nutrient removal and water reuse, so that higher charges translate into measurable quality gains rather than pure tariff pressure. For minerals, moderate rate calibration should be paired with procurement standards that recognise certified recycled aggregates and with credits for secondary materials to pull demand towards circular options and contain cost pass-through to construction.</w:t>
      </w:r>
    </w:p>
    <w:p w14:paraId="35719042" w14:textId="1B95D8CE" w:rsidR="00F33E5C" w:rsidRPr="00F33E5C" w:rsidRDefault="00F33E5C" w:rsidP="00F33E5C">
      <w:pPr>
        <w:rPr>
          <w:lang w:eastAsia="en-GB"/>
        </w:rPr>
      </w:pPr>
      <w:r w:rsidRPr="00F33E5C">
        <w:rPr>
          <w:lang w:eastAsia="en-GB"/>
        </w:rPr>
        <w:lastRenderedPageBreak/>
        <w:t>Given the modelling results and the national context, the priority taxes to consider are: a wastewater effluent charge aligned with the benchmark and linked to pollutant loads and local receiving-water sensitivity; a calibrated mineral extraction instrument for sand, gravel and crushed stone, accompanied by incentives and standards that favour secondary aggregates; moderate top-ups to air-pollutant charges for large point sources under integrated permits to capture remaining low-cost abatement; and, where scarcity justifies it, a strengthened water-abstraction price signal differentiated by basin conditions. Product-based instruments on fertilisers and pesticides should follow toxicity and nutrient-content metrics, with simple administration and time-limited rebates conditional on adoption of best practices. No additional action is required on landfill relative to the benchmark; incineration should be considered only alongside clear plans to expand sorting and recycling to avoid perverse shifts.</w:t>
      </w:r>
    </w:p>
    <w:p w14:paraId="10869622" w14:textId="5A556068" w:rsidR="00F33E5C" w:rsidRPr="00F33E5C" w:rsidRDefault="00F33E5C" w:rsidP="00F33E5C">
      <w:pPr>
        <w:rPr>
          <w:lang w:eastAsia="en-GB"/>
        </w:rPr>
      </w:pPr>
      <w:r w:rsidRPr="00F33E5C">
        <w:rPr>
          <w:lang w:eastAsia="en-GB"/>
        </w:rPr>
        <w:t>To avoid negative competitiveness effects, support should be practical, proportionate and temporary. Investment tax credits or accelerated depreciation for pollution-control and efficiency equipment can help SMEs in exposed sectors. Public procurement that rewards recycled content will stabilise markets as extraction charges rise. Strengthened enforcement and digital tracking in the waste chain will deter illegal dumping and leakage as disposal price signals increase. Above all, transparent communication on the destination of revenues</w:t>
      </w:r>
      <w:r>
        <w:rPr>
          <w:lang w:eastAsia="en-GB"/>
        </w:rPr>
        <w:t xml:space="preserve"> </w:t>
      </w:r>
      <w:r w:rsidRPr="00F33E5C">
        <w:rPr>
          <w:lang w:eastAsia="en-GB"/>
        </w:rPr>
        <w:t>—</w:t>
      </w:r>
      <w:r>
        <w:rPr>
          <w:lang w:eastAsia="en-GB"/>
        </w:rPr>
        <w:t xml:space="preserve"> </w:t>
      </w:r>
      <w:r w:rsidRPr="00F33E5C">
        <w:rPr>
          <w:lang w:eastAsia="en-GB"/>
        </w:rPr>
        <w:t>published annually and linked to concrete outcomes such as river stretches upgraded in status, pollutant loads reduced, recycled-aggregate shares in public works and odour complaints resolved</w:t>
      </w:r>
      <w:r>
        <w:rPr>
          <w:lang w:eastAsia="en-GB"/>
        </w:rPr>
        <w:t xml:space="preserve"> </w:t>
      </w:r>
      <w:r w:rsidRPr="00F33E5C">
        <w:rPr>
          <w:lang w:eastAsia="en-GB"/>
        </w:rPr>
        <w:t>—</w:t>
      </w:r>
      <w:r>
        <w:rPr>
          <w:lang w:eastAsia="en-GB"/>
        </w:rPr>
        <w:t xml:space="preserve"> </w:t>
      </w:r>
      <w:r w:rsidRPr="00F33E5C">
        <w:rPr>
          <w:lang w:eastAsia="en-GB"/>
        </w:rPr>
        <w:t>will be essential to sustain public trust and avoid a repeat of past social tensions.</w:t>
      </w:r>
    </w:p>
    <w:p w14:paraId="488A2C63" w14:textId="363ED90B" w:rsidR="005D6837" w:rsidRPr="007716C4" w:rsidRDefault="00F33E5C" w:rsidP="00203F21">
      <w:pPr>
        <w:rPr>
          <w:lang w:eastAsia="en-GB"/>
        </w:rPr>
      </w:pPr>
      <w:r w:rsidRPr="61B7A57B">
        <w:rPr>
          <w:lang w:eastAsia="en-GB"/>
        </w:rPr>
        <w:t>In sum, France can progress</w:t>
      </w:r>
      <w:r w:rsidR="6AD789AF" w:rsidRPr="61B7A57B">
        <w:rPr>
          <w:lang w:eastAsia="en-GB"/>
        </w:rPr>
        <w:t xml:space="preserve"> on their environmental taxes</w:t>
      </w:r>
      <w:r w:rsidRPr="61B7A57B">
        <w:rPr>
          <w:lang w:eastAsia="en-GB"/>
        </w:rPr>
        <w:t xml:space="preserve"> with a focused package that prioritises wastewater, minerals and residual air emissions, applies basin-sensitive abstraction pricing where warranted, and leaves landfill unchanged at current levels. A gradual roll-out, visible revenue recycling, and targeted flanking measures for vulnerable households, farmers and trade-exposed industries will maximise environmental gains while safeguarding competitiveness and fairness.</w:t>
      </w:r>
    </w:p>
    <w:p w14:paraId="27A6B2B5" w14:textId="77777777" w:rsidR="000A4E61" w:rsidRPr="00EA4C9B" w:rsidRDefault="000A4E61" w:rsidP="0045752A">
      <w:pPr>
        <w:pStyle w:val="AnnexHeading1"/>
        <w:ind w:hanging="1211"/>
      </w:pPr>
      <w:bookmarkStart w:id="193" w:name="_Toc214008878"/>
      <w:r w:rsidRPr="00EA4C9B">
        <w:t>Germany</w:t>
      </w:r>
      <w:bookmarkEnd w:id="193"/>
    </w:p>
    <w:p w14:paraId="41228BB1" w14:textId="77777777" w:rsidR="000A4E61" w:rsidRPr="00EA4C9B" w:rsidRDefault="000A4E61" w:rsidP="007C4EB7">
      <w:pPr>
        <w:pStyle w:val="AnnexHeading2"/>
      </w:pPr>
      <w:bookmarkStart w:id="194" w:name="_Toc214008879"/>
      <w:r w:rsidRPr="00EA4C9B">
        <w:t>Overview of existing environmental taxes</w:t>
      </w:r>
      <w:bookmarkEnd w:id="194"/>
    </w:p>
    <w:p w14:paraId="79B44E79" w14:textId="15336189" w:rsidR="000A4E61" w:rsidRPr="00EA4C9B" w:rsidRDefault="00D47E0F" w:rsidP="000A4E61">
      <w:r w:rsidRPr="00D47E0F">
        <w:t>Environmental taxes in Germany amounted to 1.7% of GDP in 2023, below the EU average. While revenues have increased in absolute terms over the past 15 years, their relative weight in the economy has declined significantly. Total environmental tax revenue reached EUR 65.4 billion in real terms in 2023 (</w:t>
      </w:r>
      <w:r w:rsidR="008750BB" w:rsidRPr="00E037F4">
        <w:fldChar w:fldCharType="begin"/>
      </w:r>
      <w:r w:rsidR="008750BB" w:rsidRPr="00E037F4">
        <w:instrText xml:space="preserve"> REF _Ref201233525 \h  \* MERGEFORMAT </w:instrText>
      </w:r>
      <w:r w:rsidR="008750BB" w:rsidRPr="00E037F4">
        <w:fldChar w:fldCharType="separate"/>
      </w:r>
      <w:r w:rsidR="008750BB" w:rsidRPr="00E037F4">
        <w:t xml:space="preserve">Figure </w:t>
      </w:r>
      <w:r w:rsidR="008750BB">
        <w:t>A6</w:t>
      </w:r>
      <w:r w:rsidR="008750BB" w:rsidRPr="00E037F4">
        <w:t>-</w:t>
      </w:r>
      <w:r w:rsidR="008750BB" w:rsidRPr="00E037F4">
        <w:rPr>
          <w:noProof/>
        </w:rPr>
        <w:t>31</w:t>
      </w:r>
      <w:r w:rsidR="008750BB" w:rsidRPr="00E037F4">
        <w:fldChar w:fldCharType="end"/>
      </w:r>
      <w:r w:rsidRPr="00D47E0F">
        <w:t>), representing a 20% increase since 2009 (</w:t>
      </w:r>
      <w:r w:rsidR="008750BB" w:rsidRPr="00E037F4">
        <w:fldChar w:fldCharType="begin"/>
      </w:r>
      <w:r w:rsidR="008750BB" w:rsidRPr="00E037F4">
        <w:instrText xml:space="preserve"> REF _Ref201233551 \h  \* MERGEFORMAT </w:instrText>
      </w:r>
      <w:r w:rsidR="008750BB" w:rsidRPr="00E037F4">
        <w:fldChar w:fldCharType="separate"/>
      </w:r>
      <w:r w:rsidR="008750BB" w:rsidRPr="00E037F4">
        <w:t xml:space="preserve">Figure </w:t>
      </w:r>
      <w:r w:rsidR="008750BB">
        <w:t>A6</w:t>
      </w:r>
      <w:r w:rsidR="008750BB" w:rsidRPr="00E037F4">
        <w:t>-</w:t>
      </w:r>
      <w:r w:rsidR="008750BB" w:rsidRPr="00E037F4">
        <w:rPr>
          <w:noProof/>
        </w:rPr>
        <w:t>32</w:t>
      </w:r>
      <w:r w:rsidR="008750BB" w:rsidRPr="00E037F4">
        <w:fldChar w:fldCharType="end"/>
      </w:r>
      <w:r w:rsidRPr="00D47E0F">
        <w:t>)</w:t>
      </w:r>
      <w:r w:rsidR="0096644A">
        <w:rPr>
          <w:rStyle w:val="FootnoteReference"/>
        </w:rPr>
        <w:footnoteReference w:id="376"/>
      </w:r>
      <w:r w:rsidRPr="00D47E0F">
        <w:t xml:space="preserve">. Over the same period, however, the ratio of environmental taxes to GDP </w:t>
      </w:r>
      <w:r w:rsidRPr="00EA4C9B">
        <w:t xml:space="preserve">decreased </w:t>
      </w:r>
      <w:r w:rsidRPr="00D47E0F">
        <w:t>by 22.7%. In 2023, environmental tax revenues were entirely derived from energy and transport taxes (around 85% and 15%, respectively), with no reported revenues from pollution or resource taxes.</w:t>
      </w:r>
      <w:r w:rsidR="00245941">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A4E61" w:rsidRPr="00EA4C9B" w14:paraId="2C73A992" w14:textId="77777777" w:rsidTr="004A0B83">
        <w:tc>
          <w:tcPr>
            <w:tcW w:w="9016" w:type="dxa"/>
          </w:tcPr>
          <w:p w14:paraId="29784419" w14:textId="77777777" w:rsidR="000A4E61" w:rsidRPr="00EA4C9B" w:rsidRDefault="000A4E61">
            <w:pPr>
              <w:spacing w:after="0"/>
              <w:jc w:val="center"/>
              <w:rPr>
                <w:sz w:val="10"/>
                <w:szCs w:val="10"/>
              </w:rPr>
            </w:pPr>
          </w:p>
          <w:p w14:paraId="05D93CE4" w14:textId="77777777" w:rsidR="000A4E61" w:rsidRPr="00EA4C9B" w:rsidRDefault="000A4E61">
            <w:pPr>
              <w:spacing w:after="0"/>
              <w:jc w:val="center"/>
              <w:rPr>
                <w:sz w:val="10"/>
                <w:szCs w:val="10"/>
              </w:rPr>
            </w:pPr>
            <w:r w:rsidRPr="00EA4C9B">
              <w:rPr>
                <w:noProof/>
                <w:sz w:val="10"/>
                <w:szCs w:val="10"/>
              </w:rPr>
              <w:drawing>
                <wp:inline distT="0" distB="0" distL="0" distR="0" wp14:anchorId="21FC90DE" wp14:editId="714E59F4">
                  <wp:extent cx="5650469" cy="1201833"/>
                  <wp:effectExtent l="0" t="0" r="1270" b="5080"/>
                  <wp:docPr id="70146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8177" name="Picture 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682060" cy="1208552"/>
                          </a:xfrm>
                          <a:prstGeom prst="rect">
                            <a:avLst/>
                          </a:prstGeom>
                        </pic:spPr>
                      </pic:pic>
                    </a:graphicData>
                  </a:graphic>
                </wp:inline>
              </w:drawing>
            </w:r>
          </w:p>
          <w:p w14:paraId="7A01A714" w14:textId="77777777" w:rsidR="000A4E61" w:rsidRPr="00EA4C9B" w:rsidRDefault="000A4E61">
            <w:pPr>
              <w:spacing w:after="0"/>
              <w:jc w:val="center"/>
              <w:rPr>
                <w:sz w:val="10"/>
                <w:szCs w:val="10"/>
              </w:rPr>
            </w:pPr>
          </w:p>
        </w:tc>
      </w:tr>
      <w:tr w:rsidR="000A4E61" w:rsidRPr="00EA4C9B" w14:paraId="7DBDE646" w14:textId="77777777" w:rsidTr="004A0B83">
        <w:tc>
          <w:tcPr>
            <w:tcW w:w="9016" w:type="dxa"/>
            <w:shd w:val="clear" w:color="auto" w:fill="003399"/>
          </w:tcPr>
          <w:p w14:paraId="6C3D10E4" w14:textId="04F4A88E" w:rsidR="000A4E61" w:rsidRPr="00EA4C9B" w:rsidRDefault="00B666AB" w:rsidP="00D0709A">
            <w:pPr>
              <w:pStyle w:val="FigTabCaption"/>
            </w:pPr>
            <w:bookmarkStart w:id="195" w:name="_Ref201233525"/>
            <w:r w:rsidRPr="00051732">
              <w:t xml:space="preserve">Figure </w:t>
            </w:r>
            <w:r w:rsidR="00490085">
              <w:t>A6</w:t>
            </w:r>
            <w:r w:rsidRPr="00051732">
              <w:t>-</w:t>
            </w:r>
            <w:r>
              <w:fldChar w:fldCharType="begin"/>
            </w:r>
            <w:r>
              <w:instrText>SEQ Figure_A5- \* ARABIC</w:instrText>
            </w:r>
            <w:r>
              <w:fldChar w:fldCharType="separate"/>
            </w:r>
            <w:r w:rsidR="0091411A">
              <w:rPr>
                <w:noProof/>
              </w:rPr>
              <w:t>31</w:t>
            </w:r>
            <w:r>
              <w:fldChar w:fldCharType="end"/>
            </w:r>
            <w:bookmarkEnd w:id="195"/>
            <w:r w:rsidR="000A4E61" w:rsidRPr="00EA4C9B">
              <w:t>: Total environmental tax revenue in Germany (2009-2023) in billion euros</w:t>
            </w:r>
            <w:r w:rsidR="0096644A">
              <w:t xml:space="preserve">. </w:t>
            </w:r>
            <w:r w:rsidR="0096644A" w:rsidRPr="0096644A">
              <w:rPr>
                <w:i/>
                <w:iCs/>
              </w:rPr>
              <w:t>Note: No data for pollution and resource tax revenues were reported in the given time frame.</w:t>
            </w:r>
            <w:r w:rsidR="0096644A" w:rsidRPr="0096644A">
              <w:t> </w:t>
            </w:r>
          </w:p>
        </w:tc>
      </w:tr>
    </w:tbl>
    <w:p w14:paraId="41F2D767" w14:textId="0D4D22C4" w:rsidR="0096644A" w:rsidRDefault="0042287F" w:rsidP="000A4E61">
      <w:r w:rsidRPr="0042287F">
        <w:t>In 2023, total tax revenue (including net social contributions) accounted for 40.1% of Germany’s GDP, slightly up by 0.5 percentage points from 39.6% in 2009. Environmental taxes represented 4.3% of total tax revenue in 2023, compared with 5.6% in 2009</w:t>
      </w:r>
      <w:r>
        <w:t xml:space="preserve"> </w:t>
      </w:r>
      <w:r w:rsidRPr="0042287F">
        <w:t>—</w:t>
      </w:r>
      <w:r>
        <w:t xml:space="preserve"> </w:t>
      </w:r>
      <w:r w:rsidRPr="0042287F">
        <w:t>a decline of 1.3 percentage points over the period. In absolute terms, the strongest decrease occurred in energy tax revenues, which fell by 24.0%.</w:t>
      </w:r>
    </w:p>
    <w:p w14:paraId="731AFA83" w14:textId="0DAB501F" w:rsidR="000A4E61" w:rsidRPr="00EA4C9B" w:rsidRDefault="000A4E61" w:rsidP="000A4E61"/>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A4E61" w:rsidRPr="00EA4C9B" w14:paraId="65419293" w14:textId="77777777" w:rsidTr="004A0B83">
        <w:tc>
          <w:tcPr>
            <w:tcW w:w="9016" w:type="dxa"/>
          </w:tcPr>
          <w:p w14:paraId="6D097A89" w14:textId="77777777" w:rsidR="000A4E61" w:rsidRPr="00EA4C9B" w:rsidRDefault="000A4E61">
            <w:pPr>
              <w:spacing w:after="0"/>
              <w:jc w:val="center"/>
              <w:rPr>
                <w:sz w:val="10"/>
                <w:szCs w:val="10"/>
              </w:rPr>
            </w:pPr>
          </w:p>
          <w:p w14:paraId="1FAEB8DB" w14:textId="77777777" w:rsidR="000A4E61" w:rsidRPr="00EA4C9B" w:rsidRDefault="000A4E61">
            <w:pPr>
              <w:spacing w:after="0"/>
              <w:jc w:val="center"/>
              <w:rPr>
                <w:sz w:val="10"/>
                <w:szCs w:val="10"/>
              </w:rPr>
            </w:pPr>
            <w:r w:rsidRPr="00EA4C9B">
              <w:rPr>
                <w:noProof/>
                <w:sz w:val="10"/>
                <w:szCs w:val="10"/>
              </w:rPr>
              <w:drawing>
                <wp:inline distT="0" distB="0" distL="0" distR="0" wp14:anchorId="65DDE684" wp14:editId="0CE13FFB">
                  <wp:extent cx="5581417" cy="1817331"/>
                  <wp:effectExtent l="0" t="0" r="0" b="0"/>
                  <wp:docPr id="942331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00597" name="Picture 2"/>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581417" cy="1817331"/>
                          </a:xfrm>
                          <a:prstGeom prst="rect">
                            <a:avLst/>
                          </a:prstGeom>
                        </pic:spPr>
                      </pic:pic>
                    </a:graphicData>
                  </a:graphic>
                </wp:inline>
              </w:drawing>
            </w:r>
          </w:p>
          <w:p w14:paraId="0CF6705F" w14:textId="77777777" w:rsidR="000A4E61" w:rsidRPr="00EA4C9B" w:rsidRDefault="000A4E61">
            <w:pPr>
              <w:spacing w:after="0"/>
              <w:jc w:val="center"/>
              <w:rPr>
                <w:sz w:val="10"/>
                <w:szCs w:val="10"/>
              </w:rPr>
            </w:pPr>
          </w:p>
        </w:tc>
      </w:tr>
      <w:tr w:rsidR="000A4E61" w:rsidRPr="00EA4C9B" w14:paraId="7CFFE916" w14:textId="77777777" w:rsidTr="004A0B83">
        <w:tc>
          <w:tcPr>
            <w:tcW w:w="9016" w:type="dxa"/>
            <w:shd w:val="clear" w:color="auto" w:fill="003399"/>
          </w:tcPr>
          <w:p w14:paraId="1FA0F5BC" w14:textId="002D7255" w:rsidR="000A4E61" w:rsidRPr="00EA4C9B" w:rsidRDefault="00B666AB" w:rsidP="00D0709A">
            <w:pPr>
              <w:pStyle w:val="FigTabCaption"/>
            </w:pPr>
            <w:bookmarkStart w:id="196" w:name="_Ref201233551"/>
            <w:r w:rsidRPr="00051732">
              <w:t xml:space="preserve">Figure </w:t>
            </w:r>
            <w:r w:rsidR="00490085">
              <w:t>A6</w:t>
            </w:r>
            <w:r w:rsidRPr="00051732">
              <w:t>-</w:t>
            </w:r>
            <w:r>
              <w:fldChar w:fldCharType="begin"/>
            </w:r>
            <w:r>
              <w:instrText>SEQ Figure_A5- \* ARABIC</w:instrText>
            </w:r>
            <w:r>
              <w:fldChar w:fldCharType="separate"/>
            </w:r>
            <w:r w:rsidR="0091411A">
              <w:rPr>
                <w:noProof/>
              </w:rPr>
              <w:t>32</w:t>
            </w:r>
            <w:r>
              <w:fldChar w:fldCharType="end"/>
            </w:r>
            <w:bookmarkEnd w:id="196"/>
            <w:r w:rsidR="000A4E61" w:rsidRPr="00EA4C9B">
              <w:t>: Fifteen-year (2009-2023) change in absolute terms and change as GDP-ratio of the revenues of energy taxes, transport taxes and total environmental taxes. No resource or pollution tax revenue was reported by Germany</w:t>
            </w:r>
            <w:r w:rsidR="00B70F1F">
              <w:t xml:space="preserve"> </w:t>
            </w:r>
          </w:p>
        </w:tc>
      </w:tr>
    </w:tbl>
    <w:p w14:paraId="009DEF40" w14:textId="77777777" w:rsidR="000A4E61" w:rsidRPr="00EA4C9B" w:rsidRDefault="000A4E61" w:rsidP="000A4E61"/>
    <w:p w14:paraId="45F02046" w14:textId="77777777" w:rsidR="000A4E61" w:rsidRPr="00EA4C9B" w:rsidRDefault="000A4E61" w:rsidP="007C4EB7">
      <w:pPr>
        <w:pStyle w:val="AnnexHeading2"/>
      </w:pPr>
      <w:bookmarkStart w:id="197" w:name="_Toc214008880"/>
      <w:r w:rsidRPr="00EA4C9B">
        <w:t>Existing pollution and resource taxes</w:t>
      </w:r>
      <w:bookmarkEnd w:id="197"/>
    </w:p>
    <w:p w14:paraId="2812F5D9" w14:textId="56F5CE80" w:rsidR="000A4E61" w:rsidRPr="00EA4C9B" w:rsidRDefault="000A4E61" w:rsidP="000A4E61">
      <w:pPr>
        <w:rPr>
          <w:rFonts w:ascii="Calibri" w:eastAsia="Calibri" w:hAnsi="Calibri" w:cs="Calibri"/>
          <w:i/>
          <w:iCs/>
        </w:rPr>
      </w:pPr>
      <w:r w:rsidRPr="00EA4C9B">
        <w:rPr>
          <w:rFonts w:ascii="Calibri" w:eastAsia="Calibri" w:hAnsi="Calibri" w:cs="Calibri"/>
          <w:color w:val="000000" w:themeColor="text1"/>
        </w:rPr>
        <w:t>The German taxation system is highly decentralised, generally regulated by the Laender as well as smaller municipalities (which amount to around 11,000). Hence, the taxes are highly variable, but a basic rate c</w:t>
      </w:r>
      <w:r w:rsidR="009B2C06">
        <w:rPr>
          <w:rFonts w:ascii="Calibri" w:eastAsia="Calibri" w:hAnsi="Calibri" w:cs="Calibri"/>
          <w:color w:val="000000" w:themeColor="text1"/>
        </w:rPr>
        <w:t>an</w:t>
      </w:r>
      <w:r w:rsidRPr="00EA4C9B">
        <w:rPr>
          <w:rFonts w:ascii="Calibri" w:eastAsia="Calibri" w:hAnsi="Calibri" w:cs="Calibri"/>
          <w:color w:val="000000" w:themeColor="text1"/>
        </w:rPr>
        <w:t xml:space="preserve"> be set by the federal government. On the website of the Federal Statistical Office, only energy and transport taxes are </w:t>
      </w:r>
      <w:r w:rsidR="0096652F">
        <w:rPr>
          <w:rFonts w:ascii="Calibri" w:eastAsia="Calibri" w:hAnsi="Calibri" w:cs="Calibri"/>
          <w:color w:val="000000" w:themeColor="text1"/>
        </w:rPr>
        <w:t>counted</w:t>
      </w:r>
      <w:r w:rsidRPr="00EA4C9B">
        <w:rPr>
          <w:rFonts w:ascii="Calibri" w:eastAsia="Calibri" w:hAnsi="Calibri" w:cs="Calibri"/>
          <w:color w:val="000000" w:themeColor="text1"/>
        </w:rPr>
        <w:t xml:space="preserve"> under environmental taxes.</w:t>
      </w:r>
      <w:r w:rsidRPr="00EA4C9B">
        <w:rPr>
          <w:rStyle w:val="FootnoteReference"/>
          <w:rFonts w:ascii="Calibri" w:eastAsia="Calibri" w:hAnsi="Calibri" w:cs="Calibri"/>
          <w:color w:val="000000" w:themeColor="text1"/>
        </w:rPr>
        <w:footnoteReference w:id="377"/>
      </w:r>
      <w:r w:rsidRPr="00EA4C9B">
        <w:rPr>
          <w:rFonts w:ascii="Calibri" w:eastAsia="Calibri" w:hAnsi="Calibri" w:cs="Calibri"/>
          <w:color w:val="000000" w:themeColor="text1"/>
        </w:rPr>
        <w:t xml:space="preserve"> They distinguish between environmental taxes and environmental fees levied on waste and wastewater, arguing that "while the tax payments made are not offset by any direct payment by the state, the public sector provides a service in return for fees" (</w:t>
      </w:r>
      <w:r w:rsidRPr="00EA4C9B">
        <w:rPr>
          <w:rFonts w:ascii="Calibri" w:eastAsia="Calibri" w:hAnsi="Calibri" w:cs="Calibri"/>
        </w:rPr>
        <w:t>The Federal Environmental Agency).</w:t>
      </w:r>
    </w:p>
    <w:p w14:paraId="7A6E51A8" w14:textId="77777777" w:rsidR="000A4E61" w:rsidRPr="00EA4C9B" w:rsidRDefault="000A4E61" w:rsidP="000A4E61">
      <w:r w:rsidRPr="00EA4C9B">
        <w:t>Over the analysed 15-year period (2009-2023), Germany did not report any tax revenue from resource or pollution taxes in its National Tax List.</w:t>
      </w:r>
    </w:p>
    <w:p w14:paraId="5D213081" w14:textId="77777777" w:rsidR="00A00DA3" w:rsidRPr="00A00DA3" w:rsidRDefault="00A00DA3" w:rsidP="00A00DA3">
      <w:pPr>
        <w:pStyle w:val="Heading4"/>
      </w:pPr>
      <w:r w:rsidRPr="00A00DA3">
        <w:lastRenderedPageBreak/>
        <w:t>List of pollution and resource taxes and revenue shares</w:t>
      </w:r>
    </w:p>
    <w:p w14:paraId="23044D72" w14:textId="22D60F52" w:rsidR="000A4E61" w:rsidRPr="00EA4C9B" w:rsidRDefault="000A4E61" w:rsidP="000A4E61">
      <w:r>
        <w:t>As Germany did not report any tax revenue from resource or pollution taxes in the National Tax Lists, the following information solely relies on alternative sources, including the OECD PINE database, government websites, and academic articles. Still, data on tax revenues are extremely scarce</w:t>
      </w:r>
      <w:r w:rsidR="00DF2923">
        <w:t>.</w:t>
      </w:r>
      <w: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358"/>
      </w:tblGrid>
      <w:tr w:rsidR="000A4E61" w:rsidRPr="00EA4C9B" w14:paraId="7F3A95E0" w14:textId="77777777" w:rsidTr="00BA7936">
        <w:trPr>
          <w:tblHeader/>
        </w:trPr>
        <w:tc>
          <w:tcPr>
            <w:tcW w:w="9016" w:type="dxa"/>
            <w:gridSpan w:val="2"/>
            <w:shd w:val="clear" w:color="auto" w:fill="003399"/>
          </w:tcPr>
          <w:p w14:paraId="771BC3FC" w14:textId="31BF4826" w:rsidR="000A4E61" w:rsidRPr="00F366BC" w:rsidRDefault="00B666AB" w:rsidP="00F366BC">
            <w:pPr>
              <w:pStyle w:val="Table"/>
              <w:rPr>
                <w:b/>
                <w:color w:val="FFFFFF" w:themeColor="background1"/>
                <w:lang w:eastAsia="en-GB"/>
              </w:rPr>
            </w:pPr>
            <w:r w:rsidRPr="00F366BC">
              <w:rPr>
                <w:b/>
                <w:color w:val="FFFFFF" w:themeColor="background1"/>
              </w:rPr>
              <w:t xml:space="preserve">Table </w:t>
            </w:r>
            <w:r w:rsidR="00490085">
              <w:rPr>
                <w:b/>
                <w:color w:val="FFFFFF" w:themeColor="background1"/>
              </w:rPr>
              <w:t>A6</w:t>
            </w:r>
            <w:r w:rsidR="00F366BC" w:rsidRPr="00F366BC">
              <w:rPr>
                <w:b/>
                <w:bCs/>
                <w:color w:val="FFFFFF" w:themeColor="background1"/>
              </w:rPr>
              <w:t>-</w:t>
            </w:r>
            <w:r w:rsidR="00F366BC" w:rsidRPr="00F366BC">
              <w:rPr>
                <w:b/>
                <w:bCs/>
                <w:color w:val="FFFFFF" w:themeColor="background1"/>
              </w:rPr>
              <w:fldChar w:fldCharType="begin"/>
            </w:r>
            <w:r w:rsidR="00F366BC" w:rsidRPr="00F366BC">
              <w:rPr>
                <w:b/>
                <w:bCs/>
                <w:color w:val="FFFFFF" w:themeColor="background1"/>
              </w:rPr>
              <w:instrText xml:space="preserve"> SEQ Table_A5- \* ARABIC </w:instrText>
            </w:r>
            <w:r w:rsidR="00F366BC" w:rsidRPr="00F366BC">
              <w:rPr>
                <w:b/>
                <w:bCs/>
                <w:color w:val="FFFFFF" w:themeColor="background1"/>
              </w:rPr>
              <w:fldChar w:fldCharType="separate"/>
            </w:r>
            <w:r w:rsidR="000F7B0B">
              <w:rPr>
                <w:b/>
                <w:bCs/>
                <w:noProof/>
                <w:color w:val="FFFFFF" w:themeColor="background1"/>
              </w:rPr>
              <w:t>61</w:t>
            </w:r>
            <w:r w:rsidR="00F366BC" w:rsidRPr="00F366BC">
              <w:rPr>
                <w:b/>
                <w:bCs/>
                <w:color w:val="FFFFFF" w:themeColor="background1"/>
              </w:rPr>
              <w:fldChar w:fldCharType="end"/>
            </w:r>
            <w:r w:rsidR="000A4E61" w:rsidRPr="00F366BC">
              <w:rPr>
                <w:b/>
                <w:color w:val="FFFFFF" w:themeColor="background1"/>
                <w:lang w:eastAsia="en-GB"/>
              </w:rPr>
              <w:t>: Other environmental taxes not reported in the National Tax Lists</w:t>
            </w:r>
          </w:p>
        </w:tc>
      </w:tr>
      <w:tr w:rsidR="00245941" w:rsidRPr="00EA4C9B" w14:paraId="7D1C3895" w14:textId="77777777" w:rsidTr="00BA7936">
        <w:tc>
          <w:tcPr>
            <w:tcW w:w="6658" w:type="dxa"/>
          </w:tcPr>
          <w:p w14:paraId="7619690E" w14:textId="7B85842F" w:rsidR="00245941" w:rsidRPr="00245941" w:rsidRDefault="00245941" w:rsidP="00F366BC">
            <w:pPr>
              <w:pStyle w:val="Table"/>
              <w:rPr>
                <w:rFonts w:eastAsia="Calibri"/>
                <w:b/>
                <w:bCs/>
              </w:rPr>
            </w:pPr>
            <w:r w:rsidRPr="00245941">
              <w:rPr>
                <w:rFonts w:eastAsia="Calibri"/>
                <w:b/>
                <w:bCs/>
              </w:rPr>
              <w:t>Tax</w:t>
            </w:r>
          </w:p>
        </w:tc>
        <w:tc>
          <w:tcPr>
            <w:tcW w:w="2358" w:type="dxa"/>
          </w:tcPr>
          <w:p w14:paraId="47E025F0" w14:textId="322F78D7" w:rsidR="00245941" w:rsidRPr="00245941" w:rsidRDefault="00245941" w:rsidP="00F366BC">
            <w:pPr>
              <w:pStyle w:val="Table"/>
              <w:rPr>
                <w:b/>
                <w:bCs/>
                <w:lang w:eastAsia="en-GB"/>
              </w:rPr>
            </w:pPr>
            <w:r w:rsidRPr="00245941">
              <w:rPr>
                <w:b/>
                <w:bCs/>
                <w:lang w:eastAsia="en-GB"/>
              </w:rPr>
              <w:t>Revenue</w:t>
            </w:r>
          </w:p>
        </w:tc>
      </w:tr>
      <w:tr w:rsidR="000A4E61" w:rsidRPr="00EA4C9B" w14:paraId="511AC40A" w14:textId="77777777" w:rsidTr="00BA7936">
        <w:tc>
          <w:tcPr>
            <w:tcW w:w="6658" w:type="dxa"/>
          </w:tcPr>
          <w:p w14:paraId="0594B1D5" w14:textId="77777777" w:rsidR="000A4E61" w:rsidRPr="00EA4C9B" w:rsidRDefault="000A4E61" w:rsidP="00F366BC">
            <w:pPr>
              <w:pStyle w:val="Table"/>
              <w:rPr>
                <w:lang w:eastAsia="en-GB"/>
              </w:rPr>
            </w:pPr>
            <w:r w:rsidRPr="00EA4C9B">
              <w:rPr>
                <w:rFonts w:eastAsia="Calibri"/>
              </w:rPr>
              <w:t>CO2 tax on waste incineration</w:t>
            </w:r>
          </w:p>
        </w:tc>
        <w:tc>
          <w:tcPr>
            <w:tcW w:w="2358" w:type="dxa"/>
          </w:tcPr>
          <w:p w14:paraId="3476EACF" w14:textId="77777777" w:rsidR="000A4E61" w:rsidRPr="00EA4C9B" w:rsidRDefault="000A4E61" w:rsidP="00F366BC">
            <w:pPr>
              <w:pStyle w:val="Table"/>
              <w:rPr>
                <w:lang w:eastAsia="en-GB"/>
              </w:rPr>
            </w:pPr>
          </w:p>
        </w:tc>
      </w:tr>
      <w:tr w:rsidR="000A4E61" w:rsidRPr="00EA4C9B" w14:paraId="62643253" w14:textId="77777777" w:rsidTr="00BA7936">
        <w:tc>
          <w:tcPr>
            <w:tcW w:w="6658" w:type="dxa"/>
          </w:tcPr>
          <w:p w14:paraId="0ADFA05B" w14:textId="77777777" w:rsidR="000A4E61" w:rsidRPr="00EA4C9B" w:rsidRDefault="000A4E61" w:rsidP="00F366BC">
            <w:pPr>
              <w:pStyle w:val="Table"/>
              <w:rPr>
                <w:lang w:eastAsia="en-GB"/>
              </w:rPr>
            </w:pPr>
            <w:r w:rsidRPr="00EA4C9B">
              <w:rPr>
                <w:rFonts w:eastAsia="Calibri"/>
              </w:rPr>
              <w:t>Drinking water charge</w:t>
            </w:r>
          </w:p>
        </w:tc>
        <w:tc>
          <w:tcPr>
            <w:tcW w:w="2358" w:type="dxa"/>
          </w:tcPr>
          <w:p w14:paraId="40178C0A" w14:textId="77777777" w:rsidR="000A4E61" w:rsidRPr="00EA4C9B" w:rsidRDefault="000A4E61" w:rsidP="00F366BC">
            <w:pPr>
              <w:pStyle w:val="Table"/>
              <w:rPr>
                <w:lang w:eastAsia="en-GB"/>
              </w:rPr>
            </w:pPr>
          </w:p>
        </w:tc>
      </w:tr>
      <w:tr w:rsidR="000A4E61" w:rsidRPr="00EA4C9B" w14:paraId="401EA673" w14:textId="77777777" w:rsidTr="00BA7936">
        <w:tc>
          <w:tcPr>
            <w:tcW w:w="6658" w:type="dxa"/>
          </w:tcPr>
          <w:p w14:paraId="38EB7A10" w14:textId="77777777" w:rsidR="000A4E61" w:rsidRPr="00EA4C9B" w:rsidRDefault="000A4E61" w:rsidP="00F366BC">
            <w:pPr>
              <w:pStyle w:val="Table"/>
              <w:rPr>
                <w:lang w:eastAsia="en-GB"/>
              </w:rPr>
            </w:pPr>
            <w:r w:rsidRPr="00EA4C9B">
              <w:rPr>
                <w:rFonts w:eastAsia="Calibri"/>
              </w:rPr>
              <w:t>Hunting and fishing charges</w:t>
            </w:r>
          </w:p>
        </w:tc>
        <w:tc>
          <w:tcPr>
            <w:tcW w:w="2358" w:type="dxa"/>
          </w:tcPr>
          <w:p w14:paraId="3CB67E78" w14:textId="77777777" w:rsidR="000A4E61" w:rsidRPr="00EA4C9B" w:rsidRDefault="000A4E61" w:rsidP="00F366BC">
            <w:pPr>
              <w:pStyle w:val="Table"/>
              <w:rPr>
                <w:lang w:eastAsia="en-GB"/>
              </w:rPr>
            </w:pPr>
          </w:p>
        </w:tc>
      </w:tr>
      <w:tr w:rsidR="000A4E61" w:rsidRPr="00EA4C9B" w14:paraId="35840A93" w14:textId="77777777" w:rsidTr="00BA7936">
        <w:tc>
          <w:tcPr>
            <w:tcW w:w="6658" w:type="dxa"/>
          </w:tcPr>
          <w:p w14:paraId="72E44FFB" w14:textId="77777777" w:rsidR="000A4E61" w:rsidRPr="00EA4C9B" w:rsidRDefault="000A4E61" w:rsidP="00F366BC">
            <w:pPr>
              <w:pStyle w:val="Table"/>
              <w:rPr>
                <w:lang w:eastAsia="en-GB"/>
              </w:rPr>
            </w:pPr>
            <w:r w:rsidRPr="00EA4C9B">
              <w:rPr>
                <w:rFonts w:eastAsia="Calibri"/>
              </w:rPr>
              <w:t>Mining royalty</w:t>
            </w:r>
          </w:p>
        </w:tc>
        <w:tc>
          <w:tcPr>
            <w:tcW w:w="2358" w:type="dxa"/>
          </w:tcPr>
          <w:p w14:paraId="3BDD57F4" w14:textId="77777777" w:rsidR="000A4E61" w:rsidRPr="00EA4C9B" w:rsidRDefault="000A4E61" w:rsidP="00F366BC">
            <w:pPr>
              <w:pStyle w:val="Table"/>
              <w:rPr>
                <w:lang w:eastAsia="en-GB"/>
              </w:rPr>
            </w:pPr>
            <w:r w:rsidRPr="00EA4C9B">
              <w:rPr>
                <w:rFonts w:eastAsia="Calibri"/>
              </w:rPr>
              <w:t>€100 million in 2021</w:t>
            </w:r>
            <w:r w:rsidRPr="00EA4C9B">
              <w:rPr>
                <w:rStyle w:val="FootnoteReference"/>
                <w:rFonts w:ascii="Calibri" w:eastAsia="Calibri" w:hAnsi="Calibri" w:cs="Calibri"/>
                <w:szCs w:val="20"/>
              </w:rPr>
              <w:footnoteReference w:id="378"/>
            </w:r>
          </w:p>
        </w:tc>
      </w:tr>
      <w:tr w:rsidR="000A4E61" w:rsidRPr="00EA4C9B" w14:paraId="2EAFBCCB" w14:textId="77777777" w:rsidTr="00BA7936">
        <w:tc>
          <w:tcPr>
            <w:tcW w:w="6658" w:type="dxa"/>
          </w:tcPr>
          <w:p w14:paraId="25968890" w14:textId="77777777" w:rsidR="000A4E61" w:rsidRPr="00EA4C9B" w:rsidRDefault="000A4E61" w:rsidP="00F366BC">
            <w:pPr>
              <w:pStyle w:val="Table"/>
              <w:rPr>
                <w:rFonts w:eastAsia="Calibri"/>
              </w:rPr>
            </w:pPr>
            <w:r w:rsidRPr="00EA4C9B">
              <w:rPr>
                <w:rFonts w:eastAsia="Calibri"/>
              </w:rPr>
              <w:t>PAYT</w:t>
            </w:r>
          </w:p>
        </w:tc>
        <w:tc>
          <w:tcPr>
            <w:tcW w:w="2358" w:type="dxa"/>
          </w:tcPr>
          <w:p w14:paraId="1B01CA04" w14:textId="77777777" w:rsidR="000A4E61" w:rsidRPr="00EA4C9B" w:rsidRDefault="000A4E61" w:rsidP="00F366BC">
            <w:pPr>
              <w:pStyle w:val="Table"/>
              <w:rPr>
                <w:rFonts w:eastAsia="Calibri"/>
              </w:rPr>
            </w:pPr>
          </w:p>
        </w:tc>
      </w:tr>
      <w:tr w:rsidR="000A4E61" w:rsidRPr="00EA4C9B" w14:paraId="38958BC3" w14:textId="77777777" w:rsidTr="00BA7936">
        <w:tc>
          <w:tcPr>
            <w:tcW w:w="6658" w:type="dxa"/>
          </w:tcPr>
          <w:p w14:paraId="26EA7A36" w14:textId="77777777" w:rsidR="000A4E61" w:rsidRPr="00EA4C9B" w:rsidRDefault="000A4E61" w:rsidP="00F366BC">
            <w:pPr>
              <w:pStyle w:val="Table"/>
            </w:pPr>
            <w:r w:rsidRPr="00EA4C9B">
              <w:rPr>
                <w:rFonts w:eastAsia="Calibri"/>
              </w:rPr>
              <w:t>Single-use plastic tax</w:t>
            </w:r>
          </w:p>
        </w:tc>
        <w:tc>
          <w:tcPr>
            <w:tcW w:w="2358" w:type="dxa"/>
          </w:tcPr>
          <w:p w14:paraId="0C5F2184" w14:textId="77777777" w:rsidR="000A4E61" w:rsidRPr="00EA4C9B" w:rsidRDefault="000A4E61" w:rsidP="00F366BC">
            <w:pPr>
              <w:pStyle w:val="Table"/>
              <w:rPr>
                <w:rFonts w:eastAsia="Calibri"/>
                <w:sz w:val="19"/>
                <w:szCs w:val="19"/>
              </w:rPr>
            </w:pPr>
          </w:p>
        </w:tc>
      </w:tr>
      <w:tr w:rsidR="000A4E61" w:rsidRPr="00EA4C9B" w14:paraId="74C15A0F" w14:textId="77777777" w:rsidTr="00BA7936">
        <w:tc>
          <w:tcPr>
            <w:tcW w:w="6658" w:type="dxa"/>
          </w:tcPr>
          <w:p w14:paraId="5C1F8444" w14:textId="77777777" w:rsidR="000A4E61" w:rsidRPr="00EA4C9B" w:rsidRDefault="000A4E61" w:rsidP="00F366BC">
            <w:pPr>
              <w:pStyle w:val="Table"/>
              <w:rPr>
                <w:rFonts w:eastAsia="Calibri"/>
              </w:rPr>
            </w:pPr>
            <w:r w:rsidRPr="00EA4C9B">
              <w:rPr>
                <w:rFonts w:eastAsia="Calibri"/>
              </w:rPr>
              <w:t>Waste disposal fees</w:t>
            </w:r>
          </w:p>
        </w:tc>
        <w:tc>
          <w:tcPr>
            <w:tcW w:w="2358" w:type="dxa"/>
          </w:tcPr>
          <w:p w14:paraId="40220908" w14:textId="77777777" w:rsidR="000A4E61" w:rsidRPr="00EA4C9B" w:rsidRDefault="000A4E61" w:rsidP="00F366BC">
            <w:pPr>
              <w:pStyle w:val="Table"/>
              <w:rPr>
                <w:rFonts w:eastAsia="Calibri"/>
              </w:rPr>
            </w:pPr>
          </w:p>
        </w:tc>
      </w:tr>
      <w:tr w:rsidR="000A4E61" w:rsidRPr="00EA4C9B" w14:paraId="6857B2B5" w14:textId="77777777" w:rsidTr="00BA7936">
        <w:tc>
          <w:tcPr>
            <w:tcW w:w="6658" w:type="dxa"/>
          </w:tcPr>
          <w:p w14:paraId="38A8EFB4" w14:textId="77777777" w:rsidR="000A4E61" w:rsidRPr="00EA4C9B" w:rsidRDefault="000A4E61" w:rsidP="00F366BC">
            <w:pPr>
              <w:pStyle w:val="Table"/>
              <w:rPr>
                <w:rFonts w:eastAsia="Calibri"/>
              </w:rPr>
            </w:pPr>
            <w:r w:rsidRPr="00EA4C9B">
              <w:rPr>
                <w:rFonts w:eastAsia="Calibri"/>
              </w:rPr>
              <w:t>Wastewater charge / effluent tax</w:t>
            </w:r>
          </w:p>
        </w:tc>
        <w:tc>
          <w:tcPr>
            <w:tcW w:w="2358" w:type="dxa"/>
          </w:tcPr>
          <w:p w14:paraId="4400A8C7" w14:textId="77777777" w:rsidR="000A4E61" w:rsidRPr="00EA4C9B" w:rsidRDefault="000A4E61" w:rsidP="00F366BC">
            <w:pPr>
              <w:pStyle w:val="Table"/>
              <w:rPr>
                <w:rFonts w:eastAsia="Calibri"/>
              </w:rPr>
            </w:pPr>
            <w:r w:rsidRPr="00EA4C9B">
              <w:rPr>
                <w:rFonts w:eastAsia="Calibri"/>
              </w:rPr>
              <w:t>€200 million in 2021</w:t>
            </w:r>
          </w:p>
        </w:tc>
      </w:tr>
      <w:tr w:rsidR="000A4E61" w:rsidRPr="00EA4C9B" w14:paraId="35FA5C6A" w14:textId="77777777" w:rsidTr="00BA7936">
        <w:tc>
          <w:tcPr>
            <w:tcW w:w="6658" w:type="dxa"/>
          </w:tcPr>
          <w:p w14:paraId="076FB07C" w14:textId="77777777" w:rsidR="000A4E61" w:rsidRPr="00EA4C9B" w:rsidRDefault="000A4E61" w:rsidP="00F366BC">
            <w:pPr>
              <w:pStyle w:val="Table"/>
              <w:rPr>
                <w:rFonts w:eastAsia="Calibri"/>
              </w:rPr>
            </w:pPr>
            <w:r w:rsidRPr="00EA4C9B">
              <w:rPr>
                <w:rFonts w:eastAsia="Calibri"/>
              </w:rPr>
              <w:t>Water abstraction charge</w:t>
            </w:r>
          </w:p>
        </w:tc>
        <w:tc>
          <w:tcPr>
            <w:tcW w:w="2358" w:type="dxa"/>
          </w:tcPr>
          <w:p w14:paraId="62D239A5" w14:textId="77777777" w:rsidR="000A4E61" w:rsidRPr="00EA4C9B" w:rsidRDefault="000A4E61" w:rsidP="00F366BC">
            <w:pPr>
              <w:pStyle w:val="Table"/>
              <w:rPr>
                <w:rFonts w:eastAsia="Calibri"/>
              </w:rPr>
            </w:pPr>
            <w:r w:rsidRPr="00EA4C9B">
              <w:rPr>
                <w:rFonts w:eastAsia="Calibri"/>
              </w:rPr>
              <w:t>€500 million in 2021</w:t>
            </w:r>
          </w:p>
        </w:tc>
      </w:tr>
    </w:tbl>
    <w:p w14:paraId="60B81071" w14:textId="77777777" w:rsidR="000A4E61" w:rsidRPr="00EA4C9B" w:rsidRDefault="000A4E61" w:rsidP="000A4E61"/>
    <w:p w14:paraId="105BB943" w14:textId="77777777" w:rsidR="000A4E61" w:rsidRPr="00EA4C9B" w:rsidRDefault="000A4E61" w:rsidP="000A4E61">
      <w:r w:rsidRPr="00EA4C9B">
        <w:t xml:space="preserve">In 2024, Germany included </w:t>
      </w:r>
      <w:r w:rsidRPr="00EA4C9B">
        <w:rPr>
          <w:b/>
          <w:bCs/>
        </w:rPr>
        <w:t>waste incineration</w:t>
      </w:r>
      <w:r w:rsidRPr="00EA4C9B">
        <w:t xml:space="preserve"> into its national Emissions Trading System (Brennstoffemissionshandelsgesetz – BEHG). As of 2025, it is set at EUR 45 per tonne</w:t>
      </w:r>
      <w:r w:rsidRPr="00EA4C9B">
        <w:rPr>
          <w:rStyle w:val="FootnoteReference"/>
        </w:rPr>
        <w:footnoteReference w:id="379"/>
      </w:r>
      <w:r w:rsidRPr="00EA4C9B">
        <w:t>. The price is levied on the fossil components of burnt waste and may therefore vary depending on the type of waste. Organic waste is exempt. The revenues from the Fuel Emission Allowance Trading Act go to the Energy and Climate Fund in the federal budget</w:t>
      </w:r>
      <w:r w:rsidRPr="00EA4C9B">
        <w:rPr>
          <w:rStyle w:val="FootnoteReference"/>
        </w:rPr>
        <w:footnoteReference w:id="380"/>
      </w:r>
      <w:r w:rsidRPr="00EA4C9B">
        <w:t>. Despite the transition to the EU-wide ETS2 by 2027, it is likely that waste incineration will remain within the scope of the national ETS</w:t>
      </w:r>
      <w:r w:rsidRPr="00EA4C9B">
        <w:rPr>
          <w:rStyle w:val="FootnoteReference"/>
        </w:rPr>
        <w:footnoteReference w:id="381"/>
      </w:r>
      <w:r w:rsidRPr="00EA4C9B">
        <w:t xml:space="preserve">. </w:t>
      </w:r>
    </w:p>
    <w:p w14:paraId="29DEFCA2" w14:textId="77777777" w:rsidR="000A4E61" w:rsidRPr="00EA4C9B" w:rsidRDefault="000A4E61" w:rsidP="000A4E61">
      <w:r w:rsidRPr="00EA4C9B">
        <w:t xml:space="preserve">In Germany, </w:t>
      </w:r>
      <w:r w:rsidRPr="00EA4C9B">
        <w:rPr>
          <w:b/>
          <w:bCs/>
        </w:rPr>
        <w:t>drinking water charges</w:t>
      </w:r>
      <w:r w:rsidRPr="00EA4C9B">
        <w:t xml:space="preserve"> are determined on a local level. These charges are structured to reflect both fixed infrastructure costs and actual water usage, aiming to encourage more efficient resource consumption. Charges are paid directly by households. The tariff system consists of two components, a basic (standing) charge and a volumetric charge</w:t>
      </w:r>
      <w:r w:rsidRPr="00EA4C9B">
        <w:rPr>
          <w:rStyle w:val="FootnoteReference"/>
        </w:rPr>
        <w:footnoteReference w:id="382"/>
      </w:r>
      <w:r w:rsidRPr="00EA4C9B">
        <w:t xml:space="preserve"> The basic price, which is charged on a daily basis, applies to the provision of water supply facilities (including waterworks, pumping stations, and pipes) and measuring equipment. The volumetric charge is based on the actual water consumption measured in cubic metres (m³), which serves as the tax base. </w:t>
      </w:r>
    </w:p>
    <w:p w14:paraId="6A8E9CA7" w14:textId="77777777" w:rsidR="000A4E61" w:rsidRPr="00EA4C9B" w:rsidRDefault="000A4E61" w:rsidP="000A4E61">
      <w:r w:rsidRPr="00EA4C9B">
        <w:t>Since water supply is managed at the municipal level, both the tariff structure and the rates vary across Germany. For example, in Berlin, the volumetric price amounts to EUR 1.694 net/EUR 1.813 gross per m³</w:t>
      </w:r>
      <w:r w:rsidRPr="00EA4C9B">
        <w:rPr>
          <w:rStyle w:val="FootnoteReference"/>
        </w:rPr>
        <w:footnoteReference w:id="383"/>
      </w:r>
      <w:r w:rsidRPr="00EA4C9B">
        <w:t xml:space="preserve">. The level of the basic charge depends on the size of the installed water meter and may also reflect annual consumption volumes. Larger meters thus incur higher standing charges. </w:t>
      </w:r>
    </w:p>
    <w:p w14:paraId="7C1CAFA5" w14:textId="396AA85D" w:rsidR="000A4E61" w:rsidRPr="00EA4C9B" w:rsidRDefault="000A4E61" w:rsidP="000A4E61">
      <w:r w:rsidRPr="00EA4C9B">
        <w:t xml:space="preserve">In Germany, the 2022 yearly cost per average-sized household with average water usage were estimated to be around EUR 262.39. Consumption-based charges in 2022, which are weighted by the number of inhabitants connected to drinking water supply and include all partial charges levied on </w:t>
      </w:r>
      <w:r w:rsidRPr="00EA4C9B">
        <w:lastRenderedPageBreak/>
        <w:t>final consumers (e.g. water withdrawal charge, depreciation, and investment contribution), amounted to EUR 1.83 per m³</w:t>
      </w:r>
      <w:r w:rsidR="00D1701C">
        <w:t xml:space="preserve"> </w:t>
      </w:r>
      <w:r w:rsidRPr="00EA4C9B">
        <w:rPr>
          <w:rStyle w:val="FootnoteReference"/>
        </w:rPr>
        <w:footnoteReference w:id="384"/>
      </w:r>
      <w:r w:rsidRPr="00EA4C9B">
        <w:t>.</w:t>
      </w:r>
    </w:p>
    <w:p w14:paraId="738B4C3E" w14:textId="77777777" w:rsidR="000A4E61" w:rsidRPr="00EA4C9B" w:rsidRDefault="000A4E61" w:rsidP="000A4E61">
      <w:r w:rsidRPr="00EA4C9B">
        <w:t xml:space="preserve">German </w:t>
      </w:r>
      <w:r w:rsidRPr="00EA4C9B">
        <w:rPr>
          <w:b/>
          <w:bCs/>
        </w:rPr>
        <w:t>hunting and</w:t>
      </w:r>
      <w:r w:rsidRPr="00EA4C9B">
        <w:t xml:space="preserve"> </w:t>
      </w:r>
      <w:r w:rsidRPr="00EA4C9B">
        <w:rPr>
          <w:b/>
          <w:bCs/>
        </w:rPr>
        <w:t xml:space="preserve">fishing levies </w:t>
      </w:r>
      <w:r w:rsidRPr="00EA4C9B">
        <w:t>are collected annually when individuals obtain or renew hunting or fishing licenses. Tax rates are set regionally and thus vary considerably across the country. For instance, in 2022, Baden-Württemberg increased the annual hunting levy from EUR 38.65 to EUR 50 for residents and EUR 25 for daily licenses for non-residents</w:t>
      </w:r>
      <w:r w:rsidRPr="00EA4C9B">
        <w:rPr>
          <w:rStyle w:val="FootnoteReference"/>
        </w:rPr>
        <w:footnoteReference w:id="385"/>
      </w:r>
      <w:r w:rsidRPr="00EA4C9B">
        <w:t>. Some regions have also introduced reliefs, e.g. for people who manage pond farming facilities</w:t>
      </w:r>
      <w:r w:rsidRPr="00EA4C9B">
        <w:rPr>
          <w:rStyle w:val="FootnoteReference"/>
        </w:rPr>
        <w:footnoteReference w:id="386"/>
      </w:r>
      <w:r w:rsidRPr="00EA4C9B">
        <w:t xml:space="preserve">. In many instances, both hunting and fishing charges are earmarked for supporting wildlife and aquatic conservation and related activities. </w:t>
      </w:r>
    </w:p>
    <w:p w14:paraId="41F8D7BE" w14:textId="77777777" w:rsidR="000A4E61" w:rsidRPr="00EA4C9B" w:rsidRDefault="000A4E61" w:rsidP="000A4E61">
      <w:r w:rsidRPr="00EA4C9B">
        <w:t xml:space="preserve">German </w:t>
      </w:r>
      <w:r w:rsidRPr="00EA4C9B">
        <w:rPr>
          <w:b/>
          <w:bCs/>
        </w:rPr>
        <w:t>mining royalties</w:t>
      </w:r>
      <w:r w:rsidRPr="00EA4C9B">
        <w:t xml:space="preserve"> are governed by the Federal Mining Act (Bundesberggesetz, BBergG). It requires operators extracting freely mineable resources to pay royalties to the respective federal states. The standard royalty rate is set at 10% of the average market value of the extracted resources. States may adjust this rate between 0% and 40%, based on specific resources or regional considerations (Berger &amp; Blum, 2022). The 2021 tax revenue amounted to approximately EUR 100 million</w:t>
      </w:r>
      <w:r w:rsidRPr="00EA4C9B">
        <w:rPr>
          <w:rStyle w:val="FootnoteReference"/>
        </w:rPr>
        <w:footnoteReference w:id="387"/>
      </w:r>
      <w:r w:rsidRPr="00EA4C9B">
        <w:t xml:space="preserve">. German mining royalties are not uniformly applied across all resources. Resources extracted under so-called “Old Rights”, i.e. licenses predating the Federal Mining Act in 1982, are exempt. This has been a point of contention, as the Federal Mining Act has faced criticism for not adequately addressing environmental concerns, instead focusing on raw material supply (Berger &amp; Blum, 2021). </w:t>
      </w:r>
    </w:p>
    <w:p w14:paraId="02795930" w14:textId="77777777" w:rsidR="000A4E61" w:rsidRPr="00EA4C9B" w:rsidRDefault="000A4E61" w:rsidP="000A4E61">
      <w:r w:rsidRPr="00EA4C9B">
        <w:rPr>
          <w:b/>
          <w:bCs/>
        </w:rPr>
        <w:t>PAYT schemes</w:t>
      </w:r>
      <w:r w:rsidRPr="00EA4C9B">
        <w:t xml:space="preserve"> in Germany vary by region and municipality. However, municipalities are not obligated to adopt a PAYT system. As a result, around 30% of the population are currently covered by the PAYT scheme</w:t>
      </w:r>
      <w:r w:rsidRPr="00EA4C9B">
        <w:rPr>
          <w:rStyle w:val="FootnoteReference"/>
        </w:rPr>
        <w:footnoteReference w:id="388"/>
      </w:r>
      <w:r w:rsidRPr="00EA4C9B">
        <w:t xml:space="preserve">. Fees generally either depend on the number of containers emptied in a given year or on the tonnes of residual household waste disposed of. Reliefs are set by local governments. </w:t>
      </w:r>
    </w:p>
    <w:p w14:paraId="1B720B51" w14:textId="2D6718CD" w:rsidR="005E15E0" w:rsidRPr="00EA4C9B" w:rsidRDefault="003F2DAE" w:rsidP="000A4E61">
      <w:r w:rsidRPr="003F2DAE">
        <w:t xml:space="preserve">Germany introduced one of Europe’s earliest </w:t>
      </w:r>
      <w:r w:rsidRPr="00BA7936">
        <w:rPr>
          <w:b/>
          <w:bCs/>
        </w:rPr>
        <w:t>national deposit refund systems</w:t>
      </w:r>
      <w:r w:rsidRPr="003F2DAE">
        <w:t>. Today, a mandatory scheme covers almost all beverage cans and bottles made of aluminium, glass, and plastic (PET), achieving return rates above 95%. Deposits range from EUR 0.08–0.15 for reusable items and at least EUR 0.25 for single-use containers. On average, refillable PET bottles are reused up to 20 times, while glass bottles can be reused up to 50 times</w:t>
      </w:r>
      <w:r>
        <w:rPr>
          <w:rStyle w:val="FootnoteReference"/>
        </w:rPr>
        <w:footnoteReference w:id="389"/>
      </w:r>
      <w:r>
        <w:t>.</w:t>
      </w:r>
    </w:p>
    <w:p w14:paraId="045F2CA8" w14:textId="2D3490E9" w:rsidR="000A4E61" w:rsidRPr="00EA4C9B" w:rsidRDefault="000A4E61" w:rsidP="000A4E61">
      <w:r w:rsidRPr="00EA4C9B">
        <w:t xml:space="preserve">The German </w:t>
      </w:r>
      <w:r w:rsidRPr="00EA4C9B">
        <w:rPr>
          <w:b/>
          <w:bCs/>
        </w:rPr>
        <w:t>single-use plastic levy</w:t>
      </w:r>
      <w:r w:rsidRPr="00EA4C9B">
        <w:t xml:space="preserve"> was introduced through the Single-Use Plastics Fund Act (Einwegkunststofffondsgesetz, EWKFondsG) in 2024. The Act requires manufacturers and importers of certain single-use plastics  to pay an annual contribution to a central fund managed by the Federal Environment Agency. Thereby, manufacturers and importers pay a part of the costs of municipal waste disposal. The tax base and tax rate are determined centrally, but depend on the product. For example, for food containers, the rate amounts to EUR 0.177 per kg (weight of the container), while it amounts to EUR 0.876 per kg for plastic bags and foil packaging with food contents. This levy aligns with the EU’s efforts to reduce plastic waste, particularly under the EU Directive 2019/904 on single-use plastics</w:t>
      </w:r>
      <w:r w:rsidRPr="00EA4C9B">
        <w:rPr>
          <w:rStyle w:val="FootnoteReference"/>
        </w:rPr>
        <w:footnoteReference w:id="390"/>
      </w:r>
      <w:r w:rsidRPr="00EA4C9B">
        <w:t>.</w:t>
      </w:r>
    </w:p>
    <w:p w14:paraId="5240CE92" w14:textId="77777777" w:rsidR="000A4E61" w:rsidRPr="00EA4C9B" w:rsidRDefault="000A4E61" w:rsidP="000A4E61">
      <w:pPr>
        <w:rPr>
          <w:color w:val="FF0000" w:themeColor="accent2"/>
        </w:rPr>
      </w:pPr>
      <w:r w:rsidRPr="00EA4C9B">
        <w:lastRenderedPageBreak/>
        <w:t>German</w:t>
      </w:r>
      <w:r w:rsidRPr="00EA4C9B">
        <w:rPr>
          <w:b/>
          <w:bCs/>
        </w:rPr>
        <w:t xml:space="preserve"> waste disposal fees</w:t>
      </w:r>
      <w:r w:rsidRPr="00EA4C9B">
        <w:t xml:space="preserve"> are set on a municipal level, generally depending on the size and type of the bin. In addition, charges on dangerous waste are levied to cover the costs of collecting, transporting, treating and disposing of hazardous materials</w:t>
      </w:r>
      <w:r w:rsidRPr="00EA4C9B">
        <w:rPr>
          <w:rStyle w:val="FootnoteReference"/>
        </w:rPr>
        <w:footnoteReference w:id="391"/>
      </w:r>
      <w:r w:rsidRPr="00EA4C9B">
        <w:t xml:space="preserve">. Furthermore, a transboundary </w:t>
      </w:r>
      <w:r w:rsidRPr="00EA4C9B">
        <w:rPr>
          <w:b/>
          <w:bCs/>
        </w:rPr>
        <w:t xml:space="preserve">waste shipment fee </w:t>
      </w:r>
      <w:r w:rsidRPr="00EA4C9B">
        <w:t xml:space="preserve">has existed in Germany since 2003. The fee’s base depends on the type of waste and generally applies to its weight </w:t>
      </w:r>
      <w:r w:rsidRPr="00EA4C9B">
        <w:rPr>
          <w:color w:val="000000" w:themeColor="text1"/>
        </w:rPr>
        <w:t xml:space="preserve">(measured in tonnes). Fees are charged in accordance with the Waste Shipment Fees Ordinance, and shall not exceed EUR 6,000. (Bundesgesetzblatt Teil 1; Nr. 63). </w:t>
      </w:r>
    </w:p>
    <w:p w14:paraId="1B41A7F4" w14:textId="77777777" w:rsidR="000A4E61" w:rsidRPr="00EA4C9B" w:rsidRDefault="000A4E61" w:rsidP="000A4E61">
      <w:r w:rsidRPr="00EA4C9B">
        <w:t xml:space="preserve">Germany’s nationwide </w:t>
      </w:r>
      <w:r w:rsidRPr="00EA4C9B">
        <w:rPr>
          <w:b/>
          <w:bCs/>
        </w:rPr>
        <w:t>wastewater management charge</w:t>
      </w:r>
      <w:r w:rsidRPr="00EA4C9B">
        <w:t xml:space="preserve"> is regulated by the Abwasserabgabengesetz (AbwAG), which has been in force since 1978. This levy applies to the direct discharge of wastewater into water bodies and is designed to incentivise pollution reduction beyond regulatory compliance. The charge is assessed based on the harmfulness of the wastewater, which is measured in centrally defined “damage units”—an equivalent of the quantity and type of pollutants in the effluent.</w:t>
      </w:r>
    </w:p>
    <w:p w14:paraId="40D50392" w14:textId="77777777" w:rsidR="000A4E61" w:rsidRPr="00EA4C9B" w:rsidRDefault="000A4E61" w:rsidP="000A4E61">
      <w:r w:rsidRPr="00EA4C9B">
        <w:t>The charge rate is set at EUR 35.79 per damage unit, a figure last adjusted for inflation in 1997</w:t>
      </w:r>
      <w:r w:rsidRPr="00EA4C9B">
        <w:rPr>
          <w:rStyle w:val="FootnoteReference"/>
        </w:rPr>
        <w:footnoteReference w:id="392"/>
      </w:r>
      <w:r w:rsidRPr="00EA4C9B">
        <w:t>. Although the system is national in scope, regional and municipal variations may apply on top of the base charge</w:t>
      </w:r>
      <w:r w:rsidRPr="00EA4C9B">
        <w:rPr>
          <w:rStyle w:val="FootnoteReference"/>
        </w:rPr>
        <w:footnoteReference w:id="393"/>
      </w:r>
      <w:r w:rsidRPr="00EA4C9B">
        <w:t>. The primary liable parties include municipalities, sewage treatment associations, and industrial, commercial, or agricultural dischargers. For small-scale discharges, such as those from private households, designated public entities (assigned by the respective federal state) are responsible for payment.</w:t>
      </w:r>
    </w:p>
    <w:p w14:paraId="46F6E044" w14:textId="77777777" w:rsidR="000A4E61" w:rsidRPr="00EA4C9B" w:rsidRDefault="000A4E61" w:rsidP="000A4E61">
      <w:pPr>
        <w:tabs>
          <w:tab w:val="num" w:pos="720"/>
        </w:tabs>
      </w:pPr>
      <w:r w:rsidRPr="00EA4C9B">
        <w:t>Reliefs are set centrally. These include discharges that do not increase in harmfulness, like water withdrawn and returned without added pollutants, water used for mineral extraction (e.g. for washing), wastewater from ships, and rainwater runoff from up to three hectares of commercial property or railway tracks, as long as it does not enter a public sewer system. In addition, federal states may exempt discharges into subsurface layers where the groundwater is naturally unsuitable for drinking water extraction.</w:t>
      </w:r>
    </w:p>
    <w:p w14:paraId="08065D95" w14:textId="77777777" w:rsidR="000A4E61" w:rsidRPr="00EA4C9B" w:rsidRDefault="000A4E61" w:rsidP="000A4E61">
      <w:r w:rsidRPr="00EA4C9B">
        <w:t xml:space="preserve">Offsets also exist for investments in wastewater treatment. If a wastewater treatment facility is constructed or upgraded in a way that reduces pollutant loads by at least 20%, investment costs may be deducted from the levy for up to three years before the plant becomes operational. If the required reduction is not achieved, the levy is collected retroactively, with interest. Similar relief is granted to facilities that redirect untreated wastewater to compliant treatment plants. In regions covered by the Unification Treaty (e.g. former Eastern Germany), infrastructure investments could be offset against other wastewater charges owed in the area until 2005. In 2021, the tax revenue amounted to EUR 200 million. The revenues are earmarked for financing the measures to maintain or improve water quality. </w:t>
      </w:r>
    </w:p>
    <w:p w14:paraId="7740DE8A" w14:textId="77777777" w:rsidR="000A4E61" w:rsidRPr="00EA4C9B" w:rsidRDefault="000A4E61" w:rsidP="000A4E61">
      <w:r w:rsidRPr="00EA4C9B">
        <w:t xml:space="preserve">In Germany, a </w:t>
      </w:r>
      <w:r w:rsidRPr="00EA4C9B">
        <w:rPr>
          <w:b/>
          <w:bCs/>
        </w:rPr>
        <w:t>water abstraction fee</w:t>
      </w:r>
      <w:r w:rsidRPr="00EA4C9B">
        <w:t xml:space="preserve"> (based on the 2009 Water Resources Act) may be charged for the abstraction and discharge of water from an above-ground water, as well as for the extraction, transport of substation, substation and discharge of groundwater. The individual states decide whether and to what extent the collection of water collection fees takes place. This tax is applied to the extraction of groundwater or surface water for industrial, agricultural, or commercial use. In 2012, the overall revenue amounted to EUR 500 million.</w:t>
      </w:r>
    </w:p>
    <w:p w14:paraId="0EA643EE" w14:textId="54A80D4A" w:rsidR="000A4E61" w:rsidRPr="00EA4C9B" w:rsidRDefault="000A4E61" w:rsidP="000A4E61">
      <w:r w:rsidRPr="00EA4C9B">
        <w:t xml:space="preserve">The tax varies by region and is intended to promote the sustainable use of water resources. The charge for groundwater abstraction ranges from EUR 0.25 to 16.72 EUR per m3 and for surface water </w:t>
      </w:r>
      <w:r w:rsidRPr="00EA4C9B">
        <w:lastRenderedPageBreak/>
        <w:t>abstraction from EUR 0.1 to 10 EUR per m3.</w:t>
      </w:r>
      <w:r w:rsidRPr="00EA4C9B">
        <w:rPr>
          <w:color w:val="FF0000"/>
        </w:rPr>
        <w:t xml:space="preserve"> </w:t>
      </w:r>
      <w:r w:rsidRPr="00EA4C9B">
        <w:t>Depending on the states, the charge c</w:t>
      </w:r>
      <w:r w:rsidR="00012C6C">
        <w:t>an</w:t>
      </w:r>
      <w:r w:rsidRPr="00EA4C9B">
        <w:t xml:space="preserve"> be differentiated depending on the purpose of the abstraction</w:t>
      </w:r>
      <w:r w:rsidR="00012C6C">
        <w:t>,</w:t>
      </w:r>
      <w:r w:rsidRPr="00EA4C9B">
        <w:t xml:space="preserve"> too.</w:t>
      </w:r>
    </w:p>
    <w:p w14:paraId="1B88B53D" w14:textId="4E12B722" w:rsidR="000A4E61" w:rsidRPr="00EA4C9B" w:rsidRDefault="000A4E61" w:rsidP="000A4E61">
      <w:pPr>
        <w:rPr>
          <w:rFonts w:ascii="Calibri" w:eastAsia="Times New Roman" w:hAnsi="Calibri" w:cs="Calibri"/>
          <w:color w:val="000000"/>
        </w:rPr>
      </w:pPr>
      <w:r w:rsidRPr="00EA4C9B">
        <w:t xml:space="preserve">For instance, in Baden-Württemberg, water abstraction charges were introduced in 1988. </w:t>
      </w:r>
      <w:r w:rsidR="00DB05F8" w:rsidRPr="00EA4C9B">
        <w:t>Taxpayers</w:t>
      </w:r>
      <w:r w:rsidRPr="00EA4C9B">
        <w:t xml:space="preserve"> are general and industrial users of water resources. The tax rate depends on the water use and on whether it is surface or groundwater. Reliefs exist for small consumers and farmers. </w:t>
      </w:r>
      <w:r w:rsidRPr="00EA4C9B">
        <w:rPr>
          <w:rFonts w:ascii="Calibri" w:eastAsia="Times New Roman" w:hAnsi="Calibri" w:cs="Calibri"/>
          <w:color w:val="000000"/>
        </w:rPr>
        <w:t>In North Rhine-Westphalia, water abstraction charges are applied to the extraction of groundwater or surface water for industrial, agricultural, or commercial use. The tax rate amounts to EUR 0.05 per m3</w:t>
      </w:r>
      <w:r w:rsidRPr="00EA4C9B">
        <w:rPr>
          <w:rStyle w:val="FootnoteReference"/>
          <w:rFonts w:ascii="Calibri" w:eastAsia="Times New Roman" w:hAnsi="Calibri" w:cs="Calibri"/>
          <w:color w:val="000000"/>
        </w:rPr>
        <w:footnoteReference w:id="394"/>
      </w:r>
      <w:r w:rsidRPr="00EA4C9B">
        <w:rPr>
          <w:rFonts w:ascii="Calibri" w:eastAsia="Times New Roman" w:hAnsi="Calibri" w:cs="Calibri"/>
          <w:color w:val="000000"/>
        </w:rPr>
        <w:t>.</w:t>
      </w:r>
    </w:p>
    <w:p w14:paraId="669DAC57" w14:textId="77777777" w:rsidR="000A4E61" w:rsidRPr="00EA4C9B" w:rsidRDefault="000A4E61" w:rsidP="000A4E61">
      <w:pPr>
        <w:pStyle w:val="Heading4"/>
      </w:pPr>
      <w:r w:rsidRPr="00EA4C9B">
        <w:t>Inconsistencies and inefficiencies</w:t>
      </w:r>
    </w:p>
    <w:p w14:paraId="49E974E0" w14:textId="77777777" w:rsidR="000A4E61" w:rsidRPr="00EA4C9B" w:rsidRDefault="000A4E61" w:rsidP="000A4E61">
      <w:r w:rsidRPr="00EA4C9B">
        <w:rPr>
          <w:rFonts w:ascii="Calibri" w:eastAsia="Calibri" w:hAnsi="Calibri" w:cs="Calibri"/>
          <w:color w:val="000000" w:themeColor="text1"/>
        </w:rPr>
        <w:t xml:space="preserve">The European Semester’s 2024 Country-Specific Recommendation (CSR) on the economic, social, employment, structural and budgetary policies of Germany have criticised Germany’s tax system as “complex and opaque”. This is the result of relatively low environmental taxes combined with comparatively high corporate income taxes (European Commission, 2024a). Germany’s tax revenues depend considerably more on labour taxation and social security contributions than the EU average (European Commission, 2024b). </w:t>
      </w:r>
      <w:r w:rsidRPr="00EA4C9B">
        <w:t>Initiatives to provide targeted tax measures to support the most vulnerable households and businesses in the face of high energy prices are als</w:t>
      </w:r>
      <w:r w:rsidRPr="00EA4C9B">
        <w:rPr>
          <w:color w:val="000000" w:themeColor="text1"/>
        </w:rPr>
        <w:t>o lacking (</w:t>
      </w:r>
      <w:r w:rsidRPr="00EA4C9B">
        <w:rPr>
          <w:rFonts w:ascii="Calibri" w:eastAsia="Calibri" w:hAnsi="Calibri" w:cs="Calibri"/>
          <w:color w:val="000000" w:themeColor="text1"/>
        </w:rPr>
        <w:t>European Commission, 2024b</w:t>
      </w:r>
      <w:r w:rsidRPr="00EA4C9B">
        <w:t xml:space="preserve">). </w:t>
      </w:r>
    </w:p>
    <w:p w14:paraId="1C35851A" w14:textId="6F0D0F66" w:rsidR="000A4E61" w:rsidRPr="00EA4C9B" w:rsidRDefault="000A4E61" w:rsidP="000A4E61">
      <w:pPr>
        <w:rPr>
          <w:rFonts w:ascii="Calibri" w:eastAsia="Calibri" w:hAnsi="Calibri" w:cs="Calibri"/>
          <w:color w:val="000000" w:themeColor="text1"/>
        </w:rPr>
      </w:pPr>
      <w:r w:rsidRPr="00EA4C9B">
        <w:rPr>
          <w:rFonts w:ascii="Calibri" w:eastAsia="Calibri" w:hAnsi="Calibri" w:cs="Calibri"/>
          <w:color w:val="000000" w:themeColor="text1"/>
        </w:rPr>
        <w:t xml:space="preserve">At the same time, property and environmental taxes are underrepresented. According to the Commission’s 2022 Environmental Implementation Review, Germany’s environmental tax revenue ranks among the lowest EU Member States compared to GDP. Revenues from resource and pollution taxes are very low (0.01% of the total). While other economic instruments (like the PAYT system) are designed to incentivise recycling (European Commission, 2022), challenges in applying these persist. Despite existing waste management levies, the polluter pays principle could be better implemented. The Commission’s 2024 </w:t>
      </w:r>
      <w:r w:rsidR="00CC676E">
        <w:rPr>
          <w:rFonts w:ascii="Calibri" w:eastAsia="Calibri" w:hAnsi="Calibri" w:cs="Calibri"/>
          <w:color w:val="000000" w:themeColor="text1"/>
        </w:rPr>
        <w:t xml:space="preserve">European Semester </w:t>
      </w:r>
      <w:r w:rsidRPr="00EA4C9B">
        <w:rPr>
          <w:rFonts w:ascii="Calibri" w:eastAsia="Calibri" w:hAnsi="Calibri" w:cs="Calibri"/>
          <w:color w:val="000000" w:themeColor="text1"/>
        </w:rPr>
        <w:t xml:space="preserve">Country Report for Germany therefore suggests to implement additional levies, e.g. on NOx emissions, fertilisers and pesticides. </w:t>
      </w:r>
    </w:p>
    <w:p w14:paraId="4C3FF41C" w14:textId="77777777" w:rsidR="000A4E61" w:rsidRPr="00EA4C9B" w:rsidRDefault="000A4E61" w:rsidP="000A4E61">
      <w:pPr>
        <w:rPr>
          <w:rFonts w:ascii="Calibri" w:eastAsia="Calibri" w:hAnsi="Calibri" w:cs="Calibri"/>
          <w:color w:val="000000" w:themeColor="text1"/>
        </w:rPr>
      </w:pPr>
      <w:r w:rsidRPr="00EA4C9B">
        <w:rPr>
          <w:rFonts w:ascii="Calibri" w:eastAsia="Calibri" w:hAnsi="Calibri" w:cs="Calibri"/>
          <w:color w:val="000000" w:themeColor="text1"/>
        </w:rPr>
        <w:t xml:space="preserve">Environmentally harmful subsidies (EHS) are another persisting issue in Germany, as fossil fuel subsidies amounted to EUR 21 billion in 2022 (European Commission, 2024b). On top of that, the commuter allowance and tax benefits for private use of company cars discourage more sustainable transport alternatives (European Commission, 2024b). </w:t>
      </w:r>
      <w:r w:rsidRPr="00EA4C9B">
        <w:t xml:space="preserve">Subsidies for coal and natural gas have remained relatively stagnant since 2013, while those for petroleum products and electricity have declined only slightly (European Commission, 2022). For example, </w:t>
      </w:r>
      <w:r w:rsidRPr="00EA4C9B">
        <w:rPr>
          <w:rFonts w:ascii="Calibri" w:eastAsia="Calibri" w:hAnsi="Calibri" w:cs="Calibri"/>
        </w:rPr>
        <w:t xml:space="preserve">the manufacturing industry still receives reduced electricity taxes and an extended electricity price compensation </w:t>
      </w:r>
      <w:r w:rsidRPr="00EA4C9B">
        <w:rPr>
          <w:rFonts w:ascii="Calibri" w:eastAsia="Calibri" w:hAnsi="Calibri" w:cs="Calibri"/>
          <w:color w:val="000000" w:themeColor="text1"/>
        </w:rPr>
        <w:t xml:space="preserve">(European Commission, 2024b). </w:t>
      </w:r>
      <w:r w:rsidRPr="00EA4C9B">
        <w:t>As such, EHS (including tax exemptions and tax reductions for fossil fuels) remain a challenge to the green transition in Germany (European Commission, 2023).</w:t>
      </w:r>
    </w:p>
    <w:p w14:paraId="4C84C2D1" w14:textId="3E1350A2" w:rsidR="000A4E61" w:rsidRPr="00EA4C9B" w:rsidRDefault="000A4E61" w:rsidP="000A4E61">
      <w:pPr>
        <w:pStyle w:val="Heading4"/>
      </w:pPr>
      <w:r w:rsidRPr="00EA4C9B">
        <w:t>Proposed or postponed environmental taxes</w:t>
      </w:r>
    </w:p>
    <w:p w14:paraId="7695EFAB" w14:textId="77777777" w:rsidR="0016254B" w:rsidRDefault="000A4E61" w:rsidP="000A4E61">
      <w:r w:rsidRPr="00EA4C9B">
        <w:t>Although the German government had initially planned to introduce a national plastic tax on 1 January 2025, the implementation has been postponed, potentially to 2026. The primary objective of this tax would be to transfer the financial responsibility of the EU's plastic levy</w:t>
      </w:r>
      <w:r w:rsidR="0086167E">
        <w:t xml:space="preserve"> </w:t>
      </w:r>
      <w:r w:rsidRPr="00EA4C9B">
        <w:t>—</w:t>
      </w:r>
      <w:r w:rsidR="0086167E">
        <w:t xml:space="preserve"> </w:t>
      </w:r>
      <w:r w:rsidRPr="00EA4C9B">
        <w:t>EUR 0.80 per kg of non-recycled plastic packaging waste</w:t>
      </w:r>
      <w:r w:rsidR="0086167E">
        <w:t xml:space="preserve"> </w:t>
      </w:r>
      <w:r w:rsidRPr="00EA4C9B">
        <w:t>—</w:t>
      </w:r>
      <w:r w:rsidR="0086167E">
        <w:t xml:space="preserve"> </w:t>
      </w:r>
      <w:r w:rsidRPr="00EA4C9B">
        <w:t>from the federal budget to the producers and importers of plastic packaging. However, administrative issues seem to have postponed the implementation of such a tax.</w:t>
      </w:r>
      <w:r w:rsidR="0016254B">
        <w:t xml:space="preserve"> </w:t>
      </w:r>
    </w:p>
    <w:p w14:paraId="6167F43B" w14:textId="0AAD644E" w:rsidR="0016254B" w:rsidRPr="00EA4C9B" w:rsidRDefault="000F7B0B" w:rsidP="000A4E61">
      <w:r>
        <w:lastRenderedPageBreak/>
        <w:t>An expert interviewed for the purpose of this study reported that w</w:t>
      </w:r>
      <w:r w:rsidR="0016254B">
        <w:t>hile a pesticides tax was discussed politically, the perception of such a tax as politically and societally sensitive has hindered more concrete steps toward implementation</w:t>
      </w:r>
      <w:r>
        <w:t>.</w:t>
      </w:r>
    </w:p>
    <w:p w14:paraId="603BC8C9" w14:textId="77777777" w:rsidR="000A4E61" w:rsidRPr="00EA4C9B" w:rsidRDefault="000A4E61" w:rsidP="000A4E61">
      <w:pPr>
        <w:pStyle w:val="Heading4"/>
      </w:pPr>
      <w:r w:rsidRPr="00EA4C9B">
        <w:t>Conclusions, country-specific recommendations and reform progress</w:t>
      </w:r>
    </w:p>
    <w:p w14:paraId="7092A68D" w14:textId="77777777" w:rsidR="000A4E61" w:rsidRPr="00EA4C9B" w:rsidRDefault="000A4E61" w:rsidP="000A4E61">
      <w:pPr>
        <w:rPr>
          <w:color w:val="000000" w:themeColor="text1"/>
        </w:rPr>
      </w:pPr>
      <w:r w:rsidRPr="00EA4C9B">
        <w:t xml:space="preserve">Given the challenges highlighted above, the CSRs of the past five years have all highlighted that Germany should reform its tax system to </w:t>
      </w:r>
      <w:r w:rsidRPr="00EA4C9B">
        <w:rPr>
          <w:color w:val="000000" w:themeColor="text1"/>
        </w:rPr>
        <w:t xml:space="preserve">pursue more inclusive and sustainable growth and competitiveness. They recommended to shift taxes away from labour and incentivise more hours worked while reducing the tax wedge (European Commission, 2024a, 2024b, 2025). </w:t>
      </w:r>
      <w:r w:rsidRPr="00EA4C9B">
        <w:t xml:space="preserve">Relying more on environmental taxation and generally reassessing the tax mix would also improve Germany’s long-term competitiveness, economic resilience, and progress toward the </w:t>
      </w:r>
      <w:r w:rsidRPr="00EA4C9B">
        <w:rPr>
          <w:color w:val="000000" w:themeColor="text1"/>
        </w:rPr>
        <w:t>SDGs (</w:t>
      </w:r>
      <w:r w:rsidRPr="00EA4C9B">
        <w:rPr>
          <w:rFonts w:ascii="Calibri" w:eastAsia="Calibri" w:hAnsi="Calibri" w:cs="Calibri"/>
          <w:color w:val="000000" w:themeColor="text1"/>
        </w:rPr>
        <w:t>European Commission, 2024b</w:t>
      </w:r>
      <w:r w:rsidRPr="00EA4C9B">
        <w:rPr>
          <w:color w:val="000000" w:themeColor="text1"/>
        </w:rPr>
        <w:t xml:space="preserve">). </w:t>
      </w:r>
    </w:p>
    <w:p w14:paraId="450C5FC4" w14:textId="2457AEA6" w:rsidR="000A4E61" w:rsidRPr="00EA4C9B" w:rsidRDefault="000A4E61" w:rsidP="000A4E61">
      <w:pPr>
        <w:rPr>
          <w:color w:val="000000" w:themeColor="text1"/>
        </w:rPr>
      </w:pPr>
      <w:r w:rsidRPr="00EA4C9B">
        <w:rPr>
          <w:color w:val="000000" w:themeColor="text1"/>
        </w:rPr>
        <w:t>In general, environmental taxation (beyond energy and transport taxes) in Germany is lower than the EU average while remaining fragmented and highly dependent on local legislation. The resulting lack of data on tax or fee revenues on a national level also hampers comparability. Key instruments like landfill, pesticide, and fertiliser taxes</w:t>
      </w:r>
      <w:r w:rsidR="0086167E">
        <w:rPr>
          <w:color w:val="000000" w:themeColor="text1"/>
        </w:rPr>
        <w:t xml:space="preserve"> </w:t>
      </w:r>
      <w:r w:rsidRPr="00EA4C9B">
        <w:rPr>
          <w:color w:val="000000" w:themeColor="text1"/>
        </w:rPr>
        <w:t>—</w:t>
      </w:r>
      <w:r w:rsidR="0086167E">
        <w:rPr>
          <w:color w:val="000000" w:themeColor="text1"/>
        </w:rPr>
        <w:t xml:space="preserve"> </w:t>
      </w:r>
      <w:r w:rsidRPr="00EA4C9B">
        <w:rPr>
          <w:color w:val="000000" w:themeColor="text1"/>
        </w:rPr>
        <w:t>widely used in other EU countries</w:t>
      </w:r>
      <w:r w:rsidR="0086167E">
        <w:rPr>
          <w:color w:val="000000" w:themeColor="text1"/>
        </w:rPr>
        <w:t xml:space="preserve"> </w:t>
      </w:r>
      <w:r w:rsidRPr="00EA4C9B">
        <w:rPr>
          <w:color w:val="000000" w:themeColor="text1"/>
        </w:rPr>
        <w:t>—</w:t>
      </w:r>
      <w:r w:rsidR="0086167E">
        <w:rPr>
          <w:color w:val="000000" w:themeColor="text1"/>
        </w:rPr>
        <w:t xml:space="preserve"> </w:t>
      </w:r>
      <w:r w:rsidRPr="00EA4C9B">
        <w:rPr>
          <w:color w:val="000000" w:themeColor="text1"/>
        </w:rPr>
        <w:t xml:space="preserve">have still not been implemented at the national level. At the same time, Germany may favour more on direct command and control instruments rather than pricing. </w:t>
      </w:r>
    </w:p>
    <w:p w14:paraId="06C2B54D" w14:textId="77777777" w:rsidR="000A4E61" w:rsidRPr="00EA4C9B" w:rsidRDefault="000A4E61" w:rsidP="000A4E61">
      <w:pPr>
        <w:rPr>
          <w:rFonts w:ascii="Calibri" w:eastAsia="Calibri" w:hAnsi="Calibri" w:cs="Calibri"/>
        </w:rPr>
      </w:pPr>
      <w:r w:rsidRPr="00EA4C9B">
        <w:rPr>
          <w:color w:val="000000" w:themeColor="text1"/>
        </w:rPr>
        <w:t xml:space="preserve">Moreover, recent developments show efforts to further implement the polluter pays principle. </w:t>
      </w:r>
      <w:r w:rsidRPr="00EA4C9B">
        <w:rPr>
          <w:rFonts w:ascii="Calibri" w:eastAsia="Calibri" w:hAnsi="Calibri" w:cs="Calibri"/>
        </w:rPr>
        <w:t>The CO₂ tax on waste incineration (2024) and the Single-Use Plastics levy (2024) mark important steps toward internalising externalities in the waste sector. Still, actual impacts will need to be measured over time, while a more comprehensive fiscal reform strategy is still lacking.</w:t>
      </w:r>
    </w:p>
    <w:p w14:paraId="76B20F4E" w14:textId="77777777" w:rsidR="000A4E61" w:rsidRDefault="000A4E61" w:rsidP="007C4EB7">
      <w:pPr>
        <w:pStyle w:val="AnnexHeading2"/>
      </w:pPr>
      <w:bookmarkStart w:id="198" w:name="_Toc214008881"/>
      <w:r w:rsidRPr="00EA4C9B">
        <w:t>Potential for implementing additional environmental taxes</w:t>
      </w:r>
      <w:bookmarkEnd w:id="198"/>
    </w:p>
    <w:p w14:paraId="0477245C" w14:textId="6E3D5F0D" w:rsidR="00271218" w:rsidRPr="00271218" w:rsidRDefault="00271218" w:rsidP="00271218">
      <w:pPr>
        <w:rPr>
          <w:lang w:eastAsia="en-GB"/>
        </w:rPr>
      </w:pPr>
      <w:r w:rsidRPr="00271218">
        <w:rPr>
          <w:lang w:eastAsia="en-GB"/>
        </w:rPr>
        <w:t xml:space="preserve">Several recommendations from </w:t>
      </w:r>
      <w:sdt>
        <w:sdtPr>
          <w:rPr>
            <w:color w:val="000000"/>
            <w:lang w:eastAsia="en-GB"/>
          </w:rPr>
          <w:tag w:val="MENDELEY_CITATION_v3_eyJjaXRhdGlvbklEIjoiTUVOREVMRVlfQ0lUQVRJT05fYWZjNGVhY2UtN2U5OS00OGU5LWE4YzItNmU3NjlkZTg1ZTAz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2104097546"/>
          <w:placeholder>
            <w:docPart w:val="DefaultPlaceholder_-1854013440"/>
          </w:placeholder>
        </w:sdtPr>
        <w:sdtContent>
          <w:r w:rsidR="002D122C" w:rsidRPr="002D122C">
            <w:rPr>
              <w:color w:val="000000"/>
              <w:lang w:eastAsia="en-GB"/>
            </w:rPr>
            <w:t>Hogg et al. (2016)</w:t>
          </w:r>
        </w:sdtContent>
      </w:sdt>
      <w:r>
        <w:rPr>
          <w:color w:val="000000"/>
          <w:lang w:eastAsia="en-GB"/>
        </w:rPr>
        <w:t xml:space="preserve"> </w:t>
      </w:r>
      <w:r w:rsidRPr="00271218">
        <w:rPr>
          <w:lang w:eastAsia="en-GB"/>
        </w:rPr>
        <w:t>on environmental taxation remain highly relevant for Germany, as progress in implementing new or strengthened instruments has been uneven across policy areas.</w:t>
      </w:r>
    </w:p>
    <w:p w14:paraId="37104550" w14:textId="3A1E27AE" w:rsidR="00271218" w:rsidRPr="00271218" w:rsidRDefault="00271218" w:rsidP="00271218">
      <w:pPr>
        <w:rPr>
          <w:lang w:eastAsia="en-GB"/>
        </w:rPr>
      </w:pPr>
      <w:r w:rsidRPr="00271218">
        <w:rPr>
          <w:lang w:eastAsia="en-GB"/>
        </w:rPr>
        <w:t xml:space="preserve">For </w:t>
      </w:r>
      <w:r w:rsidRPr="00271218">
        <w:rPr>
          <w:b/>
          <w:bCs/>
          <w:lang w:eastAsia="en-GB"/>
        </w:rPr>
        <w:t>aggregates extraction</w:t>
      </w:r>
      <w:r w:rsidRPr="00271218">
        <w:rPr>
          <w:lang w:eastAsia="en-GB"/>
        </w:rPr>
        <w:t>, the report proposed the introduction of an aggregates tax at a rate of €2.40 per tonne to reduce environmental harm from mineral extraction and to promote the use of recycled materials. The tax would have applied to a range of construction materials extracted in Germany. This recommendation remains pertinent today, as no aggregates tax has yet been implemented, and extraction volumes continue to exert pressure on natural resources.</w:t>
      </w:r>
    </w:p>
    <w:p w14:paraId="597FFF51" w14:textId="31E504DF" w:rsidR="00271218" w:rsidRPr="00271218" w:rsidRDefault="00271218" w:rsidP="00271218">
      <w:pPr>
        <w:rPr>
          <w:lang w:eastAsia="en-GB"/>
        </w:rPr>
      </w:pPr>
      <w:r w:rsidRPr="00271218">
        <w:rPr>
          <w:lang w:eastAsia="en-GB"/>
        </w:rPr>
        <w:t xml:space="preserve">Regarding </w:t>
      </w:r>
      <w:r w:rsidRPr="00271218">
        <w:rPr>
          <w:b/>
          <w:bCs/>
          <w:lang w:eastAsia="en-GB"/>
        </w:rPr>
        <w:t>waste management</w:t>
      </w:r>
      <w:r w:rsidRPr="00271218">
        <w:rPr>
          <w:lang w:eastAsia="en-GB"/>
        </w:rPr>
        <w:t xml:space="preserve">, the 2016 report concluded that a landfill tax was unlikely to generate significant environmental benefits in Germany due to the existing restrictions on landfilling. Instead, it recommended the introduction of an </w:t>
      </w:r>
      <w:r w:rsidRPr="00271218">
        <w:rPr>
          <w:b/>
          <w:bCs/>
          <w:lang w:eastAsia="en-GB"/>
        </w:rPr>
        <w:t>incineration tax</w:t>
      </w:r>
      <w:r w:rsidRPr="00271218">
        <w:rPr>
          <w:lang w:eastAsia="en-GB"/>
        </w:rPr>
        <w:t xml:space="preserve"> to strengthen incentives for waste prevention and recycling. While Germany has not introduced such a tax, the recent inclusion of waste incineration in the national emissions trading scheme represents a significant policy development that may address some of the same objectives. However, the environmental and behavioural effects of this measure will only become clear over time.</w:t>
      </w:r>
    </w:p>
    <w:p w14:paraId="31554187" w14:textId="789BCAB6" w:rsidR="00271218" w:rsidRPr="00271218" w:rsidRDefault="00271218" w:rsidP="00271218">
      <w:pPr>
        <w:rPr>
          <w:lang w:eastAsia="en-GB"/>
        </w:rPr>
      </w:pPr>
      <w:r w:rsidRPr="241B21EC">
        <w:rPr>
          <w:lang w:eastAsia="en-GB"/>
        </w:rPr>
        <w:t xml:space="preserve">In the field of </w:t>
      </w:r>
      <w:r w:rsidRPr="241B21EC">
        <w:rPr>
          <w:b/>
          <w:bCs/>
          <w:lang w:eastAsia="en-GB"/>
        </w:rPr>
        <w:t>air pollution</w:t>
      </w:r>
      <w:r w:rsidRPr="241B21EC">
        <w:rPr>
          <w:lang w:eastAsia="en-GB"/>
        </w:rPr>
        <w:t xml:space="preserve">, the IEEP report suggested the introduction of new taxes on key pollutants — starting at €1,000 per tonne for nitrogen oxides (NOₓ) and volatile organic compounds (VOCs), €1,000 per tonne for </w:t>
      </w:r>
      <w:r w:rsidR="005E15E0">
        <w:rPr>
          <w:lang w:eastAsia="en-GB"/>
        </w:rPr>
        <w:t>s</w:t>
      </w:r>
      <w:r w:rsidRPr="241B21EC">
        <w:rPr>
          <w:lang w:eastAsia="en-GB"/>
        </w:rPr>
        <w:t>ulphur oxides (SOₓ), and €2,000 per tonne for fine particulate matter (PM₂.₅) — to improve air quality and incentivise cleaner production. No such taxes have been implemented in Germany since 2016, and air pollutant emissions continue to be addressed primarily through regulatory and market-based instruments such as the EU ETS and industrial emission standards.</w:t>
      </w:r>
    </w:p>
    <w:p w14:paraId="0963106F" w14:textId="2AAB85BE" w:rsidR="00271218" w:rsidRPr="00271218" w:rsidRDefault="00271218" w:rsidP="00271218">
      <w:pPr>
        <w:rPr>
          <w:lang w:eastAsia="en-GB"/>
        </w:rPr>
      </w:pPr>
      <w:r w:rsidRPr="00271218">
        <w:rPr>
          <w:lang w:eastAsia="en-GB"/>
        </w:rPr>
        <w:lastRenderedPageBreak/>
        <w:t xml:space="preserve">For </w:t>
      </w:r>
      <w:r w:rsidRPr="00271218">
        <w:rPr>
          <w:b/>
          <w:bCs/>
          <w:lang w:eastAsia="en-GB"/>
        </w:rPr>
        <w:t>water management</w:t>
      </w:r>
      <w:r w:rsidRPr="00271218">
        <w:rPr>
          <w:lang w:eastAsia="en-GB"/>
        </w:rPr>
        <w:t xml:space="preserve">, the report recommended reforming the existing </w:t>
      </w:r>
      <w:r w:rsidRPr="00271218">
        <w:rPr>
          <w:b/>
          <w:bCs/>
          <w:lang w:eastAsia="en-GB"/>
        </w:rPr>
        <w:t>water abstraction charges</w:t>
      </w:r>
      <w:r w:rsidRPr="00271218">
        <w:rPr>
          <w:lang w:eastAsia="en-GB"/>
        </w:rPr>
        <w:t xml:space="preserve"> to improve efficiency in water use, including gradually increasing rates and standardising them at federal level. Charges continue to vary significantly between Länder, with rate levels and design features differing across regions. Similarly, the report proposed increasing </w:t>
      </w:r>
      <w:r w:rsidRPr="00271218">
        <w:rPr>
          <w:b/>
          <w:bCs/>
          <w:lang w:eastAsia="en-GB"/>
        </w:rPr>
        <w:t>wastewater charges</w:t>
      </w:r>
      <w:r w:rsidRPr="00271218">
        <w:rPr>
          <w:lang w:eastAsia="en-GB"/>
        </w:rPr>
        <w:t xml:space="preserve"> from approximately €0.70 to €2.70 per kilogram of BOD/COD, with additional parameters for phosphorus, nitrogen and other pollutants, to better reflect environmental burdens. While some progress has been made in aligning monitoring systems, wastewater charge levels remain relatively low</w:t>
      </w:r>
      <w:r>
        <w:rPr>
          <w:rStyle w:val="FootnoteReference"/>
          <w:lang w:eastAsia="en-GB"/>
        </w:rPr>
        <w:footnoteReference w:id="395"/>
      </w:r>
      <w:r w:rsidRPr="00271218">
        <w:rPr>
          <w:lang w:eastAsia="en-GB"/>
        </w:rPr>
        <w:t>, and the report’s recommendation to strengthen price signals is still valid.</w:t>
      </w:r>
    </w:p>
    <w:p w14:paraId="42DAA632" w14:textId="4E4CB90A" w:rsidR="00271218" w:rsidRPr="00271218" w:rsidRDefault="00271218" w:rsidP="00271218">
      <w:pPr>
        <w:rPr>
          <w:lang w:eastAsia="en-GB"/>
        </w:rPr>
      </w:pPr>
      <w:r w:rsidRPr="00271218">
        <w:rPr>
          <w:lang w:eastAsia="en-GB"/>
        </w:rPr>
        <w:t xml:space="preserve">In </w:t>
      </w:r>
      <w:r w:rsidRPr="00271218">
        <w:rPr>
          <w:b/>
          <w:bCs/>
          <w:lang w:eastAsia="en-GB"/>
        </w:rPr>
        <w:t>agriculture</w:t>
      </w:r>
      <w:r w:rsidRPr="00271218">
        <w:rPr>
          <w:lang w:eastAsia="en-GB"/>
        </w:rPr>
        <w:t xml:space="preserve">, the 2016 IEEP report recommended the introduction of a </w:t>
      </w:r>
      <w:r w:rsidRPr="00271218">
        <w:rPr>
          <w:b/>
          <w:bCs/>
          <w:lang w:eastAsia="en-GB"/>
        </w:rPr>
        <w:t>fertiliser tax</w:t>
      </w:r>
      <w:r w:rsidRPr="00271218">
        <w:rPr>
          <w:lang w:eastAsia="en-GB"/>
        </w:rPr>
        <w:t xml:space="preserve"> at €0.30 per kilogram of nitrogen in mineral fertilisers, aimed at preventing groundwater contamination, eutrophication and greenhouse gas emissions. No such instrument currently exists in Germany. Similarly, a </w:t>
      </w:r>
      <w:r w:rsidRPr="00271218">
        <w:rPr>
          <w:b/>
          <w:bCs/>
          <w:lang w:eastAsia="en-GB"/>
        </w:rPr>
        <w:t>pesticide tax</w:t>
      </w:r>
      <w:r>
        <w:rPr>
          <w:lang w:eastAsia="en-GB"/>
        </w:rPr>
        <w:t xml:space="preserve">, </w:t>
      </w:r>
      <w:r w:rsidRPr="00271218">
        <w:rPr>
          <w:lang w:eastAsia="en-GB"/>
        </w:rPr>
        <w:t>proposed at €5 per kilogram of active ingredient with banding by toxicity</w:t>
      </w:r>
      <w:r>
        <w:rPr>
          <w:lang w:eastAsia="en-GB"/>
        </w:rPr>
        <w:t xml:space="preserve">, </w:t>
      </w:r>
      <w:r w:rsidRPr="00271218">
        <w:rPr>
          <w:lang w:eastAsia="en-GB"/>
        </w:rPr>
        <w:t>has not been implemented. Civil society organisations have criticised this lack of progress, noting that Germany risks falling short of the EU Directive on the Sustainable Use of Pesticides (Directive 2009/128/EC).</w:t>
      </w:r>
      <w:r w:rsidRPr="00271218">
        <w:rPr>
          <w:rStyle w:val="FootnoteReference"/>
          <w:rFonts w:ascii="Calibri" w:eastAsia="Calibri" w:hAnsi="Calibri" w:cs="Calibri"/>
          <w:color w:val="000000" w:themeColor="text1"/>
        </w:rPr>
        <w:t xml:space="preserve"> </w:t>
      </w:r>
      <w:r w:rsidRPr="00EA4C9B">
        <w:rPr>
          <w:rStyle w:val="FootnoteReference"/>
          <w:rFonts w:ascii="Calibri" w:eastAsia="Calibri" w:hAnsi="Calibri" w:cs="Calibri"/>
          <w:color w:val="000000" w:themeColor="text1"/>
        </w:rPr>
        <w:footnoteReference w:id="396"/>
      </w:r>
    </w:p>
    <w:p w14:paraId="3859E174" w14:textId="70638D1F" w:rsidR="00271218" w:rsidRPr="00271218" w:rsidRDefault="00271218" w:rsidP="00271218">
      <w:pPr>
        <w:rPr>
          <w:lang w:eastAsia="en-GB"/>
        </w:rPr>
      </w:pPr>
      <w:r w:rsidRPr="00271218">
        <w:rPr>
          <w:lang w:eastAsia="en-GB"/>
        </w:rPr>
        <w:t xml:space="preserve">On </w:t>
      </w:r>
      <w:r w:rsidRPr="00271218">
        <w:rPr>
          <w:b/>
          <w:bCs/>
          <w:lang w:eastAsia="en-GB"/>
        </w:rPr>
        <w:t>packaging and plastics</w:t>
      </w:r>
      <w:r w:rsidRPr="00271218">
        <w:rPr>
          <w:lang w:eastAsia="en-GB"/>
        </w:rPr>
        <w:t xml:space="preserve">, the report recommended a national </w:t>
      </w:r>
      <w:r w:rsidRPr="00271218">
        <w:rPr>
          <w:b/>
          <w:bCs/>
          <w:lang w:eastAsia="en-GB"/>
        </w:rPr>
        <w:t>packaging tax</w:t>
      </w:r>
      <w:r w:rsidRPr="00271218">
        <w:rPr>
          <w:lang w:eastAsia="en-GB"/>
        </w:rPr>
        <w:t xml:space="preserve"> covering all packaging materials placed on the market, with differentiated rates by material type to promote waste prevention and circularity. This measure has not been adopted at national level. However, some progress has been made in this area through the </w:t>
      </w:r>
      <w:r w:rsidRPr="00271218">
        <w:rPr>
          <w:b/>
          <w:bCs/>
          <w:lang w:eastAsia="en-GB"/>
        </w:rPr>
        <w:t>Single-Use Plastics Fund Act (EWKFondsG)</w:t>
      </w:r>
      <w:r w:rsidRPr="00271218">
        <w:rPr>
          <w:lang w:eastAsia="en-GB"/>
        </w:rPr>
        <w:t xml:space="preserve">, which entered into force in 2024 and introduced a levy on a range of single-use plastic products, including carrier bags. The earlier recommendation of a </w:t>
      </w:r>
      <w:r w:rsidRPr="00271218">
        <w:rPr>
          <w:b/>
          <w:bCs/>
          <w:lang w:eastAsia="en-GB"/>
        </w:rPr>
        <w:t>plastic bag tax</w:t>
      </w:r>
      <w:r w:rsidRPr="00271218">
        <w:rPr>
          <w:lang w:eastAsia="en-GB"/>
        </w:rPr>
        <w:t xml:space="preserve"> at €0.22 per single-use bag has therefore become largely obsolete.</w:t>
      </w:r>
    </w:p>
    <w:p w14:paraId="3EADD9B8" w14:textId="74261683" w:rsidR="00271218" w:rsidRDefault="00271218" w:rsidP="00271218">
      <w:pPr>
        <w:rPr>
          <w:lang w:eastAsia="en-GB"/>
        </w:rPr>
      </w:pPr>
      <w:r w:rsidRPr="00271218">
        <w:rPr>
          <w:lang w:eastAsia="en-GB"/>
        </w:rPr>
        <w:t>In summary, while Germany has made notable advances in emissions trading and waste regulation, most of the specific fiscal recommendations from</w:t>
      </w:r>
      <w:r>
        <w:rPr>
          <w:lang w:eastAsia="en-GB"/>
        </w:rPr>
        <w:t xml:space="preserve"> </w:t>
      </w:r>
      <w:sdt>
        <w:sdtPr>
          <w:rPr>
            <w:color w:val="000000"/>
            <w:lang w:eastAsia="en-GB"/>
          </w:rPr>
          <w:tag w:val="MENDELEY_CITATION_v3_eyJjaXRhdGlvbklEIjoiTUVOREVMRVlfQ0lUQVRJT05fZDRhN2MwY2EtMjU2Ny00MWU2LWIwNmItZmExZWI0OGE2ODdi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126350300"/>
          <w:placeholder>
            <w:docPart w:val="DefaultPlaceholder_-1854013440"/>
          </w:placeholder>
        </w:sdtPr>
        <w:sdtContent>
          <w:r w:rsidR="002D122C" w:rsidRPr="002D122C">
            <w:rPr>
              <w:color w:val="000000"/>
              <w:lang w:eastAsia="en-GB"/>
            </w:rPr>
            <w:t>Hogg et al. (2016)</w:t>
          </w:r>
        </w:sdtContent>
      </w:sdt>
      <w:r>
        <w:rPr>
          <w:lang w:eastAsia="en-GB"/>
        </w:rPr>
        <w:t xml:space="preserve">, </w:t>
      </w:r>
      <w:r w:rsidRPr="00271218">
        <w:rPr>
          <w:lang w:eastAsia="en-GB"/>
        </w:rPr>
        <w:t>particularly those related to resource extraction, air pollutants, fertilisers and pesticides</w:t>
      </w:r>
      <w:r>
        <w:rPr>
          <w:lang w:eastAsia="en-GB"/>
        </w:rPr>
        <w:t xml:space="preserve">, </w:t>
      </w:r>
      <w:r w:rsidRPr="00271218">
        <w:rPr>
          <w:lang w:eastAsia="en-GB"/>
        </w:rPr>
        <w:t>remain outstanding. Updating and expanding the environmental tax base in these areas would strengthen price signals, encourage more efficient resource use and align Germany’s fiscal system more closely with the polluter-pays principle.</w:t>
      </w:r>
    </w:p>
    <w:p w14:paraId="4F0810ED" w14:textId="77777777" w:rsidR="000A4E61" w:rsidRPr="00EA4C9B" w:rsidRDefault="000A4E61" w:rsidP="007C4EB7">
      <w:pPr>
        <w:pStyle w:val="AnnexHeading2"/>
      </w:pPr>
      <w:bookmarkStart w:id="199" w:name="_Toc214008882"/>
      <w:r w:rsidRPr="00EA4C9B">
        <w:t>Impacts and feasibility of implementing new taxes</w:t>
      </w:r>
      <w:bookmarkEnd w:id="199"/>
      <w:r w:rsidRPr="00EA4C9B">
        <w:t> </w:t>
      </w:r>
    </w:p>
    <w:p w14:paraId="61C88533" w14:textId="07168F5A" w:rsidR="00046384" w:rsidRDefault="00046384" w:rsidP="00046384">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2CCB83A1" w14:textId="77777777" w:rsidR="000F7B0B" w:rsidRPr="000F7B0B" w:rsidRDefault="000F7B0B" w:rsidP="000F7B0B">
      <w:r w:rsidRPr="000F7B0B">
        <w:t xml:space="preserve">Germany has an extensive environmental tax system, with relatively high revenues from energy and transport taxes and a long tradition of using fiscal instruments to support environmental goals. However, pollution and resource-related taxes remain limited in scope and ambition, focusing largely on specific waste and air emission charges at the regional level. The modelling results indicate that, under the benchmark scenarios, Germany could achieve moderate additional revenue and environmental improvements, particularly from wastewater effluent and mineral extraction taxes. Under Scenario A, total environmental tax revenues would increase by approximately 0.4 per cent </w:t>
      </w:r>
      <w:r w:rsidRPr="000F7B0B">
        <w:lastRenderedPageBreak/>
        <w:t>relative to 2023 levels, while reductions in emissions and resource use range from 7 to 12 per cent, depending on the tax category. Scenario B delivers smaller effects but maintains a similar pattern. These results confirm that environmental tax expansion in Germany is feasible and could generate tangible benefits without major macroeconomic impacts.</w:t>
      </w:r>
    </w:p>
    <w:p w14:paraId="0C4CBDAA" w14:textId="5F922D01" w:rsidR="000F7B0B" w:rsidRPr="007008A7" w:rsidRDefault="000F7B0B" w:rsidP="000F7B0B">
      <w:pPr>
        <w:rPr>
          <w:lang w:eastAsia="en-GB"/>
        </w:rPr>
      </w:pPr>
      <w:r>
        <w:rPr>
          <w:lang w:eastAsia="en-GB"/>
        </w:rPr>
        <w:t xml:space="preserve">Total revenues from the </w:t>
      </w:r>
      <w:r w:rsidR="007B606C">
        <w:t>investigated</w:t>
      </w:r>
      <w:r>
        <w:rPr>
          <w:lang w:eastAsia="en-GB"/>
        </w:rPr>
        <w:t xml:space="preserve"> taxes could amount to about €8.6 billion in 2030 and 2035.  Eurostat does not report any current revenues from pollution and resource taxes for Germany so the increase cannot be calculated relative to exiting revenues. This is likely to be an anomaly, as the data on the country shows some existing taxes that would contribute to revenues, such as those on minerals. The greatest contributions in revenue come from water effluent charges (88%), followed by water abstraction charges (8).  These two make 96% of all revenues. Reduction in emissions or use of materials is greatest for pesticides (50%), fertilizers (36%), SO2 (32%) and waste to landfill (25%). </w:t>
      </w: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123"/>
        <w:gridCol w:w="1124"/>
        <w:gridCol w:w="1030"/>
        <w:gridCol w:w="1217"/>
        <w:gridCol w:w="967"/>
        <w:gridCol w:w="1283"/>
      </w:tblGrid>
      <w:tr w:rsidR="000F7B0B" w:rsidRPr="00F501DA" w14:paraId="74AAF621" w14:textId="77777777" w:rsidTr="00BA7936">
        <w:trPr>
          <w:trHeight w:val="264"/>
        </w:trPr>
        <w:tc>
          <w:tcPr>
            <w:tcW w:w="8991" w:type="dxa"/>
            <w:gridSpan w:val="7"/>
            <w:shd w:val="clear" w:color="auto" w:fill="003399"/>
          </w:tcPr>
          <w:p w14:paraId="7714D136" w14:textId="2F4C0497" w:rsidR="000F7B0B" w:rsidRPr="00F366BC" w:rsidRDefault="000F7B0B" w:rsidP="000878F6">
            <w:pPr>
              <w:pStyle w:val="Table"/>
              <w:rPr>
                <w:b/>
                <w:lang w:eastAsia="en-GB"/>
              </w:rPr>
            </w:pPr>
            <w:r w:rsidRPr="00F366BC">
              <w:rPr>
                <w:b/>
                <w:color w:val="FFFFFF" w:themeColor="background1"/>
              </w:rPr>
              <w:t xml:space="preserve">Table </w:t>
            </w:r>
            <w:r w:rsidR="00490085">
              <w:rPr>
                <w:b/>
                <w:color w:val="FFFFFF" w:themeColor="background1"/>
              </w:rPr>
              <w:t>A6</w:t>
            </w:r>
            <w:r w:rsidRPr="00F366BC">
              <w:rPr>
                <w:b/>
                <w:bCs/>
                <w:color w:val="FFFFFF" w:themeColor="background1"/>
              </w:rPr>
              <w:t>-</w:t>
            </w:r>
            <w:r w:rsidRPr="00F366BC">
              <w:rPr>
                <w:b/>
                <w:bCs/>
                <w:color w:val="FFFFFF" w:themeColor="background1"/>
              </w:rPr>
              <w:fldChar w:fldCharType="begin"/>
            </w:r>
            <w:r w:rsidRPr="00F366BC">
              <w:rPr>
                <w:b/>
                <w:bCs/>
                <w:color w:val="FFFFFF" w:themeColor="background1"/>
              </w:rPr>
              <w:instrText xml:space="preserve"> SEQ Table_A5- \* ARABIC </w:instrText>
            </w:r>
            <w:r w:rsidRPr="00F366BC">
              <w:rPr>
                <w:b/>
                <w:bCs/>
                <w:color w:val="FFFFFF" w:themeColor="background1"/>
              </w:rPr>
              <w:fldChar w:fldCharType="separate"/>
            </w:r>
            <w:r>
              <w:rPr>
                <w:b/>
                <w:bCs/>
                <w:noProof/>
                <w:color w:val="FFFFFF" w:themeColor="background1"/>
              </w:rPr>
              <w:t>62</w:t>
            </w:r>
            <w:r w:rsidRPr="00F366BC">
              <w:rPr>
                <w:b/>
                <w:bCs/>
                <w:color w:val="FFFFFF" w:themeColor="background1"/>
              </w:rPr>
              <w:fldChar w:fldCharType="end"/>
            </w:r>
            <w:r w:rsidRPr="00F366BC">
              <w:rPr>
                <w:b/>
                <w:bCs/>
                <w:color w:val="FFFFFF" w:themeColor="background1"/>
                <w:lang w:eastAsia="en-GB"/>
              </w:rPr>
              <w:t>:</w:t>
            </w:r>
            <w:r w:rsidRPr="00F366BC">
              <w:rPr>
                <w:b/>
                <w:color w:val="FFFFFF" w:themeColor="background1"/>
                <w:lang w:eastAsia="en-GB"/>
              </w:rPr>
              <w:t xml:space="preserve"> Environmental Impacts and Revenue Changes in Germany</w:t>
            </w:r>
            <w:r>
              <w:rPr>
                <w:b/>
                <w:color w:val="FFFFFF" w:themeColor="background1"/>
                <w:lang w:eastAsia="en-GB"/>
              </w:rPr>
              <w:t xml:space="preserve"> – Scenario A</w:t>
            </w:r>
          </w:p>
        </w:tc>
      </w:tr>
      <w:tr w:rsidR="000F7B0B" w:rsidRPr="00F501DA" w14:paraId="2B979168" w14:textId="77777777" w:rsidTr="00BA7936">
        <w:trPr>
          <w:trHeight w:val="504"/>
        </w:trPr>
        <w:tc>
          <w:tcPr>
            <w:tcW w:w="2247" w:type="dxa"/>
          </w:tcPr>
          <w:p w14:paraId="5DB15762" w14:textId="77777777" w:rsidR="000F7B0B" w:rsidRPr="00F366BC" w:rsidRDefault="000F7B0B" w:rsidP="000878F6">
            <w:pPr>
              <w:pStyle w:val="Table"/>
              <w:rPr>
                <w:b/>
              </w:rPr>
            </w:pPr>
            <w:r w:rsidRPr="00F366BC">
              <w:rPr>
                <w:b/>
              </w:rPr>
              <w:t>Tax Name</w:t>
            </w:r>
          </w:p>
        </w:tc>
        <w:tc>
          <w:tcPr>
            <w:tcW w:w="2247" w:type="dxa"/>
            <w:gridSpan w:val="2"/>
            <w:vAlign w:val="bottom"/>
          </w:tcPr>
          <w:p w14:paraId="77722D21" w14:textId="77777777" w:rsidR="000F7B0B" w:rsidRPr="00242E0B" w:rsidRDefault="000F7B0B" w:rsidP="000878F6">
            <w:pPr>
              <w:pStyle w:val="Table"/>
              <w:jc w:val="center"/>
              <w:rPr>
                <w:b/>
                <w:szCs w:val="20"/>
              </w:rPr>
            </w:pPr>
            <w:r>
              <w:rPr>
                <w:rFonts w:ascii="Calibri" w:hAnsi="Calibri" w:cs="Calibri"/>
                <w:b/>
                <w:bCs/>
                <w:color w:val="000000"/>
                <w:szCs w:val="20"/>
              </w:rPr>
              <w:t>% Change in Quantities as % of taxed sector</w:t>
            </w:r>
          </w:p>
        </w:tc>
        <w:tc>
          <w:tcPr>
            <w:tcW w:w="2247" w:type="dxa"/>
            <w:gridSpan w:val="2"/>
            <w:vAlign w:val="bottom"/>
          </w:tcPr>
          <w:p w14:paraId="723A45B8" w14:textId="77777777" w:rsidR="000F7B0B" w:rsidRPr="00242E0B" w:rsidRDefault="000F7B0B" w:rsidP="000878F6">
            <w:pPr>
              <w:pStyle w:val="Table"/>
              <w:jc w:val="center"/>
              <w:rPr>
                <w:b/>
                <w:szCs w:val="20"/>
              </w:rPr>
            </w:pPr>
            <w:r>
              <w:rPr>
                <w:rFonts w:ascii="Calibri" w:hAnsi="Calibri" w:cs="Calibri"/>
                <w:b/>
                <w:bCs/>
                <w:color w:val="000000"/>
                <w:szCs w:val="20"/>
              </w:rPr>
              <w:t>Change in Revenues (€Mn)</w:t>
            </w:r>
          </w:p>
        </w:tc>
        <w:tc>
          <w:tcPr>
            <w:tcW w:w="2250" w:type="dxa"/>
            <w:gridSpan w:val="2"/>
            <w:vAlign w:val="bottom"/>
          </w:tcPr>
          <w:p w14:paraId="409191EA" w14:textId="77777777" w:rsidR="000F7B0B" w:rsidRPr="00242E0B" w:rsidRDefault="000F7B0B" w:rsidP="000878F6">
            <w:pPr>
              <w:pStyle w:val="Table"/>
              <w:jc w:val="center"/>
              <w:rPr>
                <w:b/>
                <w:szCs w:val="20"/>
              </w:rPr>
            </w:pPr>
            <w:r>
              <w:rPr>
                <w:rFonts w:ascii="Calibri" w:hAnsi="Calibri" w:cs="Calibri"/>
                <w:b/>
                <w:bCs/>
                <w:color w:val="000000"/>
                <w:szCs w:val="20"/>
              </w:rPr>
              <w:t>As % of 2023 Resource Tax</w:t>
            </w:r>
          </w:p>
        </w:tc>
      </w:tr>
      <w:tr w:rsidR="000F7B0B" w:rsidRPr="001840EB" w14:paraId="71C6236E" w14:textId="77777777" w:rsidTr="00BA7936">
        <w:trPr>
          <w:trHeight w:val="242"/>
        </w:trPr>
        <w:tc>
          <w:tcPr>
            <w:tcW w:w="2247" w:type="dxa"/>
          </w:tcPr>
          <w:p w14:paraId="70B1FCA0" w14:textId="77777777" w:rsidR="000F7B0B" w:rsidRPr="00FE2517" w:rsidRDefault="000F7B0B" w:rsidP="000878F6">
            <w:pPr>
              <w:pStyle w:val="Table"/>
              <w:jc w:val="left"/>
              <w:rPr>
                <w:b/>
              </w:rPr>
            </w:pPr>
            <w:r w:rsidRPr="00FE2517">
              <w:rPr>
                <w:b/>
              </w:rPr>
              <w:t>Year</w:t>
            </w:r>
          </w:p>
        </w:tc>
        <w:tc>
          <w:tcPr>
            <w:tcW w:w="1123" w:type="dxa"/>
          </w:tcPr>
          <w:p w14:paraId="773568A7" w14:textId="77777777" w:rsidR="000F7B0B" w:rsidRPr="00242E0B" w:rsidRDefault="000F7B0B" w:rsidP="000878F6">
            <w:pPr>
              <w:pStyle w:val="Table"/>
              <w:jc w:val="center"/>
              <w:rPr>
                <w:b/>
                <w:szCs w:val="20"/>
              </w:rPr>
            </w:pPr>
            <w:r w:rsidRPr="00242E0B">
              <w:rPr>
                <w:b/>
                <w:szCs w:val="20"/>
              </w:rPr>
              <w:t>2030</w:t>
            </w:r>
          </w:p>
        </w:tc>
        <w:tc>
          <w:tcPr>
            <w:tcW w:w="1124" w:type="dxa"/>
          </w:tcPr>
          <w:p w14:paraId="56FCC979" w14:textId="77777777" w:rsidR="000F7B0B" w:rsidRPr="00242E0B" w:rsidRDefault="000F7B0B" w:rsidP="000878F6">
            <w:pPr>
              <w:pStyle w:val="Table"/>
              <w:jc w:val="center"/>
              <w:rPr>
                <w:b/>
                <w:szCs w:val="20"/>
              </w:rPr>
            </w:pPr>
            <w:r w:rsidRPr="00242E0B">
              <w:rPr>
                <w:b/>
                <w:szCs w:val="20"/>
              </w:rPr>
              <w:t>2035</w:t>
            </w:r>
          </w:p>
        </w:tc>
        <w:tc>
          <w:tcPr>
            <w:tcW w:w="1030" w:type="dxa"/>
          </w:tcPr>
          <w:p w14:paraId="3ACA1C12" w14:textId="77777777" w:rsidR="000F7B0B" w:rsidRPr="00242E0B" w:rsidRDefault="000F7B0B" w:rsidP="000878F6">
            <w:pPr>
              <w:pStyle w:val="Table"/>
              <w:jc w:val="center"/>
              <w:rPr>
                <w:b/>
                <w:szCs w:val="20"/>
              </w:rPr>
            </w:pPr>
            <w:r w:rsidRPr="00242E0B">
              <w:rPr>
                <w:b/>
                <w:szCs w:val="20"/>
              </w:rPr>
              <w:t>2030</w:t>
            </w:r>
          </w:p>
        </w:tc>
        <w:tc>
          <w:tcPr>
            <w:tcW w:w="1217" w:type="dxa"/>
          </w:tcPr>
          <w:p w14:paraId="76A3B4B4" w14:textId="77777777" w:rsidR="000F7B0B" w:rsidRPr="00242E0B" w:rsidRDefault="000F7B0B" w:rsidP="000878F6">
            <w:pPr>
              <w:pStyle w:val="Table"/>
              <w:jc w:val="center"/>
              <w:rPr>
                <w:b/>
                <w:szCs w:val="20"/>
              </w:rPr>
            </w:pPr>
            <w:r w:rsidRPr="00242E0B">
              <w:rPr>
                <w:b/>
                <w:szCs w:val="20"/>
              </w:rPr>
              <w:t>2035</w:t>
            </w:r>
          </w:p>
        </w:tc>
        <w:tc>
          <w:tcPr>
            <w:tcW w:w="967" w:type="dxa"/>
          </w:tcPr>
          <w:p w14:paraId="01585940" w14:textId="77777777" w:rsidR="000F7B0B" w:rsidRPr="00242E0B" w:rsidRDefault="000F7B0B" w:rsidP="000878F6">
            <w:pPr>
              <w:pStyle w:val="Table"/>
              <w:jc w:val="center"/>
              <w:rPr>
                <w:b/>
                <w:szCs w:val="20"/>
              </w:rPr>
            </w:pPr>
            <w:r w:rsidRPr="00242E0B">
              <w:rPr>
                <w:b/>
                <w:szCs w:val="20"/>
              </w:rPr>
              <w:t>2030</w:t>
            </w:r>
          </w:p>
        </w:tc>
        <w:tc>
          <w:tcPr>
            <w:tcW w:w="1283" w:type="dxa"/>
          </w:tcPr>
          <w:p w14:paraId="3564A978" w14:textId="77777777" w:rsidR="000F7B0B" w:rsidRPr="00242E0B" w:rsidRDefault="000F7B0B" w:rsidP="000878F6">
            <w:pPr>
              <w:pStyle w:val="Table"/>
              <w:jc w:val="center"/>
              <w:rPr>
                <w:b/>
                <w:szCs w:val="20"/>
              </w:rPr>
            </w:pPr>
            <w:r w:rsidRPr="00242E0B">
              <w:rPr>
                <w:b/>
                <w:szCs w:val="20"/>
              </w:rPr>
              <w:t>2035</w:t>
            </w:r>
          </w:p>
        </w:tc>
      </w:tr>
      <w:tr w:rsidR="000F7B0B" w:rsidRPr="001840EB" w14:paraId="2390F189" w14:textId="77777777" w:rsidTr="00BA7936">
        <w:trPr>
          <w:trHeight w:val="242"/>
        </w:trPr>
        <w:tc>
          <w:tcPr>
            <w:tcW w:w="2247" w:type="dxa"/>
          </w:tcPr>
          <w:p w14:paraId="594A1929" w14:textId="77777777" w:rsidR="000F7B0B" w:rsidRPr="00F501DA" w:rsidRDefault="000F7B0B" w:rsidP="000878F6">
            <w:pPr>
              <w:pStyle w:val="Table"/>
            </w:pPr>
            <w:r w:rsidRPr="00F501DA">
              <w:t>NOx</w:t>
            </w:r>
          </w:p>
        </w:tc>
        <w:tc>
          <w:tcPr>
            <w:tcW w:w="1123" w:type="dxa"/>
            <w:vAlign w:val="center"/>
          </w:tcPr>
          <w:p w14:paraId="0AB430CF" w14:textId="77777777" w:rsidR="000F7B0B" w:rsidRPr="00242E0B" w:rsidRDefault="000F7B0B" w:rsidP="000878F6">
            <w:pPr>
              <w:pStyle w:val="Table"/>
              <w:jc w:val="center"/>
              <w:rPr>
                <w:szCs w:val="20"/>
              </w:rPr>
            </w:pPr>
            <w:r w:rsidRPr="00242E0B">
              <w:rPr>
                <w:rFonts w:ascii="Calibri" w:hAnsi="Calibri" w:cs="Calibri"/>
                <w:color w:val="000000"/>
                <w:szCs w:val="20"/>
              </w:rPr>
              <w:t>-28,57%</w:t>
            </w:r>
          </w:p>
        </w:tc>
        <w:tc>
          <w:tcPr>
            <w:tcW w:w="1124" w:type="dxa"/>
            <w:vAlign w:val="center"/>
          </w:tcPr>
          <w:p w14:paraId="3DC132CA" w14:textId="77777777" w:rsidR="000F7B0B" w:rsidRPr="00242E0B" w:rsidRDefault="000F7B0B" w:rsidP="000878F6">
            <w:pPr>
              <w:pStyle w:val="Table"/>
              <w:jc w:val="center"/>
              <w:rPr>
                <w:szCs w:val="20"/>
              </w:rPr>
            </w:pPr>
            <w:r w:rsidRPr="00242E0B">
              <w:rPr>
                <w:rFonts w:ascii="Calibri" w:hAnsi="Calibri" w:cs="Calibri"/>
                <w:color w:val="000000"/>
                <w:szCs w:val="20"/>
              </w:rPr>
              <w:t>-28,57%</w:t>
            </w:r>
          </w:p>
        </w:tc>
        <w:tc>
          <w:tcPr>
            <w:tcW w:w="1030" w:type="dxa"/>
            <w:vAlign w:val="center"/>
          </w:tcPr>
          <w:p w14:paraId="37C65510" w14:textId="77777777" w:rsidR="000F7B0B" w:rsidRPr="00242E0B" w:rsidRDefault="000F7B0B" w:rsidP="000878F6">
            <w:pPr>
              <w:pStyle w:val="Table"/>
              <w:jc w:val="center"/>
              <w:rPr>
                <w:szCs w:val="20"/>
              </w:rPr>
            </w:pPr>
            <w:r w:rsidRPr="00242E0B">
              <w:rPr>
                <w:rFonts w:ascii="Calibri" w:hAnsi="Calibri" w:cs="Calibri"/>
                <w:color w:val="000000"/>
                <w:szCs w:val="20"/>
              </w:rPr>
              <w:t>6,38</w:t>
            </w:r>
          </w:p>
        </w:tc>
        <w:tc>
          <w:tcPr>
            <w:tcW w:w="1217" w:type="dxa"/>
            <w:vAlign w:val="center"/>
          </w:tcPr>
          <w:p w14:paraId="4EBA0CF2" w14:textId="77777777" w:rsidR="000F7B0B" w:rsidRPr="00242E0B" w:rsidRDefault="000F7B0B" w:rsidP="000878F6">
            <w:pPr>
              <w:pStyle w:val="Table"/>
              <w:jc w:val="center"/>
              <w:rPr>
                <w:szCs w:val="20"/>
              </w:rPr>
            </w:pPr>
            <w:r w:rsidRPr="00242E0B">
              <w:rPr>
                <w:rFonts w:ascii="Calibri" w:hAnsi="Calibri" w:cs="Calibri"/>
                <w:color w:val="000000"/>
                <w:szCs w:val="20"/>
              </w:rPr>
              <w:t>4,04</w:t>
            </w:r>
          </w:p>
        </w:tc>
        <w:tc>
          <w:tcPr>
            <w:tcW w:w="967" w:type="dxa"/>
            <w:vAlign w:val="center"/>
          </w:tcPr>
          <w:p w14:paraId="528F7A5A" w14:textId="77777777" w:rsidR="000F7B0B" w:rsidRPr="00242E0B" w:rsidRDefault="000F7B0B" w:rsidP="000878F6">
            <w:pPr>
              <w:pStyle w:val="Table"/>
              <w:jc w:val="center"/>
              <w:rPr>
                <w:szCs w:val="20"/>
              </w:rPr>
            </w:pPr>
            <w:r w:rsidRPr="00242E0B">
              <w:rPr>
                <w:rFonts w:ascii="Calibri" w:hAnsi="Calibri" w:cs="Calibri"/>
                <w:color w:val="000000"/>
                <w:szCs w:val="20"/>
              </w:rPr>
              <w:t>N.A</w:t>
            </w:r>
          </w:p>
        </w:tc>
        <w:tc>
          <w:tcPr>
            <w:tcW w:w="1283" w:type="dxa"/>
            <w:vAlign w:val="center"/>
          </w:tcPr>
          <w:p w14:paraId="6555B1C0" w14:textId="77777777" w:rsidR="000F7B0B" w:rsidRPr="00242E0B" w:rsidRDefault="000F7B0B" w:rsidP="000878F6">
            <w:pPr>
              <w:pStyle w:val="Table"/>
              <w:jc w:val="center"/>
              <w:rPr>
                <w:szCs w:val="20"/>
              </w:rPr>
            </w:pPr>
            <w:r w:rsidRPr="00242E0B">
              <w:rPr>
                <w:rFonts w:ascii="Calibri" w:hAnsi="Calibri" w:cs="Calibri"/>
                <w:color w:val="000000"/>
                <w:szCs w:val="20"/>
              </w:rPr>
              <w:t>N.A</w:t>
            </w:r>
          </w:p>
        </w:tc>
      </w:tr>
      <w:tr w:rsidR="000F7B0B" w:rsidRPr="001840EB" w14:paraId="6541360B" w14:textId="77777777" w:rsidTr="00BA7936">
        <w:trPr>
          <w:trHeight w:val="242"/>
        </w:trPr>
        <w:tc>
          <w:tcPr>
            <w:tcW w:w="2247" w:type="dxa"/>
          </w:tcPr>
          <w:p w14:paraId="0A8EE5FF" w14:textId="77777777" w:rsidR="000F7B0B" w:rsidRPr="00F501DA" w:rsidRDefault="000F7B0B" w:rsidP="000878F6">
            <w:pPr>
              <w:pStyle w:val="Table"/>
            </w:pPr>
            <w:r w:rsidRPr="00F501DA">
              <w:t>SO2</w:t>
            </w:r>
          </w:p>
        </w:tc>
        <w:tc>
          <w:tcPr>
            <w:tcW w:w="1123" w:type="dxa"/>
            <w:vAlign w:val="center"/>
          </w:tcPr>
          <w:p w14:paraId="271A1738" w14:textId="77777777" w:rsidR="000F7B0B" w:rsidRPr="00242E0B" w:rsidRDefault="000F7B0B" w:rsidP="000878F6">
            <w:pPr>
              <w:pStyle w:val="Table"/>
              <w:jc w:val="center"/>
              <w:rPr>
                <w:szCs w:val="20"/>
              </w:rPr>
            </w:pPr>
            <w:r w:rsidRPr="00242E0B">
              <w:rPr>
                <w:rFonts w:ascii="Calibri" w:hAnsi="Calibri" w:cs="Calibri"/>
                <w:color w:val="000000"/>
                <w:szCs w:val="20"/>
              </w:rPr>
              <w:t>-32,43%</w:t>
            </w:r>
          </w:p>
        </w:tc>
        <w:tc>
          <w:tcPr>
            <w:tcW w:w="1124" w:type="dxa"/>
            <w:vAlign w:val="center"/>
          </w:tcPr>
          <w:p w14:paraId="2EF97FEF" w14:textId="77777777" w:rsidR="000F7B0B" w:rsidRPr="00242E0B" w:rsidRDefault="000F7B0B" w:rsidP="000878F6">
            <w:pPr>
              <w:pStyle w:val="Table"/>
              <w:jc w:val="center"/>
              <w:rPr>
                <w:szCs w:val="20"/>
              </w:rPr>
            </w:pPr>
            <w:r w:rsidRPr="00242E0B">
              <w:rPr>
                <w:rFonts w:ascii="Calibri" w:hAnsi="Calibri" w:cs="Calibri"/>
                <w:color w:val="000000"/>
                <w:szCs w:val="20"/>
              </w:rPr>
              <w:t>-32,43%</w:t>
            </w:r>
          </w:p>
        </w:tc>
        <w:tc>
          <w:tcPr>
            <w:tcW w:w="1030" w:type="dxa"/>
            <w:vAlign w:val="center"/>
          </w:tcPr>
          <w:p w14:paraId="34ADBD54" w14:textId="77777777" w:rsidR="000F7B0B" w:rsidRPr="00242E0B" w:rsidRDefault="000F7B0B" w:rsidP="000878F6">
            <w:pPr>
              <w:pStyle w:val="Table"/>
              <w:jc w:val="center"/>
              <w:rPr>
                <w:szCs w:val="20"/>
              </w:rPr>
            </w:pPr>
            <w:r w:rsidRPr="00242E0B">
              <w:rPr>
                <w:rFonts w:ascii="Calibri" w:hAnsi="Calibri" w:cs="Calibri"/>
                <w:color w:val="000000"/>
                <w:szCs w:val="20"/>
              </w:rPr>
              <w:t>171,10</w:t>
            </w:r>
          </w:p>
        </w:tc>
        <w:tc>
          <w:tcPr>
            <w:tcW w:w="1217" w:type="dxa"/>
            <w:vAlign w:val="center"/>
          </w:tcPr>
          <w:p w14:paraId="084520A0" w14:textId="77777777" w:rsidR="000F7B0B" w:rsidRPr="00242E0B" w:rsidRDefault="000F7B0B" w:rsidP="000878F6">
            <w:pPr>
              <w:pStyle w:val="Table"/>
              <w:jc w:val="center"/>
              <w:rPr>
                <w:szCs w:val="20"/>
              </w:rPr>
            </w:pPr>
            <w:r w:rsidRPr="00242E0B">
              <w:rPr>
                <w:rFonts w:ascii="Calibri" w:hAnsi="Calibri" w:cs="Calibri"/>
                <w:color w:val="000000"/>
                <w:szCs w:val="20"/>
              </w:rPr>
              <w:t>149,63</w:t>
            </w:r>
          </w:p>
        </w:tc>
        <w:tc>
          <w:tcPr>
            <w:tcW w:w="967" w:type="dxa"/>
            <w:vAlign w:val="center"/>
          </w:tcPr>
          <w:p w14:paraId="5F015D2F" w14:textId="77777777" w:rsidR="000F7B0B" w:rsidRPr="00242E0B" w:rsidRDefault="000F7B0B" w:rsidP="000878F6">
            <w:pPr>
              <w:pStyle w:val="Table"/>
              <w:jc w:val="center"/>
              <w:rPr>
                <w:szCs w:val="20"/>
              </w:rPr>
            </w:pPr>
            <w:r w:rsidRPr="00242E0B">
              <w:rPr>
                <w:rFonts w:ascii="Calibri" w:hAnsi="Calibri" w:cs="Calibri"/>
                <w:color w:val="000000"/>
                <w:szCs w:val="20"/>
              </w:rPr>
              <w:t>N.A</w:t>
            </w:r>
          </w:p>
        </w:tc>
        <w:tc>
          <w:tcPr>
            <w:tcW w:w="1283" w:type="dxa"/>
            <w:vAlign w:val="center"/>
          </w:tcPr>
          <w:p w14:paraId="5260C3B7" w14:textId="77777777" w:rsidR="000F7B0B" w:rsidRPr="00242E0B" w:rsidRDefault="000F7B0B" w:rsidP="000878F6">
            <w:pPr>
              <w:pStyle w:val="Table"/>
              <w:jc w:val="center"/>
              <w:rPr>
                <w:szCs w:val="20"/>
              </w:rPr>
            </w:pPr>
            <w:r w:rsidRPr="00242E0B">
              <w:rPr>
                <w:rFonts w:ascii="Calibri" w:hAnsi="Calibri" w:cs="Calibri"/>
                <w:color w:val="000000"/>
                <w:szCs w:val="20"/>
              </w:rPr>
              <w:t>N.A</w:t>
            </w:r>
          </w:p>
        </w:tc>
      </w:tr>
      <w:tr w:rsidR="000F7B0B" w:rsidRPr="001840EB" w14:paraId="1749EE7C" w14:textId="77777777" w:rsidTr="00BA7936">
        <w:trPr>
          <w:trHeight w:val="242"/>
        </w:trPr>
        <w:tc>
          <w:tcPr>
            <w:tcW w:w="2247" w:type="dxa"/>
          </w:tcPr>
          <w:p w14:paraId="11C339C9" w14:textId="77777777" w:rsidR="000F7B0B" w:rsidRPr="00F501DA" w:rsidRDefault="000F7B0B" w:rsidP="000878F6">
            <w:pPr>
              <w:pStyle w:val="Table"/>
            </w:pPr>
            <w:r w:rsidRPr="00F501DA">
              <w:t>PM2.5</w:t>
            </w:r>
          </w:p>
        </w:tc>
        <w:tc>
          <w:tcPr>
            <w:tcW w:w="1123" w:type="dxa"/>
            <w:vAlign w:val="center"/>
          </w:tcPr>
          <w:p w14:paraId="098C9C2E" w14:textId="77777777" w:rsidR="000F7B0B" w:rsidRPr="00242E0B" w:rsidRDefault="000F7B0B" w:rsidP="000878F6">
            <w:pPr>
              <w:pStyle w:val="Table"/>
              <w:jc w:val="center"/>
              <w:rPr>
                <w:szCs w:val="20"/>
              </w:rPr>
            </w:pPr>
            <w:r w:rsidRPr="00242E0B">
              <w:rPr>
                <w:rFonts w:ascii="Calibri" w:hAnsi="Calibri" w:cs="Calibri"/>
                <w:color w:val="000000"/>
                <w:szCs w:val="20"/>
              </w:rPr>
              <w:t>-29,58%</w:t>
            </w:r>
          </w:p>
        </w:tc>
        <w:tc>
          <w:tcPr>
            <w:tcW w:w="1124" w:type="dxa"/>
            <w:vAlign w:val="center"/>
          </w:tcPr>
          <w:p w14:paraId="7250411D" w14:textId="77777777" w:rsidR="000F7B0B" w:rsidRPr="00242E0B" w:rsidRDefault="000F7B0B" w:rsidP="000878F6">
            <w:pPr>
              <w:pStyle w:val="Table"/>
              <w:jc w:val="center"/>
              <w:rPr>
                <w:szCs w:val="20"/>
              </w:rPr>
            </w:pPr>
            <w:r w:rsidRPr="00242E0B">
              <w:rPr>
                <w:rFonts w:ascii="Calibri" w:hAnsi="Calibri" w:cs="Calibri"/>
                <w:color w:val="000000"/>
                <w:szCs w:val="20"/>
              </w:rPr>
              <w:t>-29,58%</w:t>
            </w:r>
          </w:p>
        </w:tc>
        <w:tc>
          <w:tcPr>
            <w:tcW w:w="1030" w:type="dxa"/>
            <w:vAlign w:val="center"/>
          </w:tcPr>
          <w:p w14:paraId="0BDEDC6A" w14:textId="77777777" w:rsidR="000F7B0B" w:rsidRPr="00242E0B" w:rsidRDefault="000F7B0B" w:rsidP="000878F6">
            <w:pPr>
              <w:pStyle w:val="Table"/>
              <w:jc w:val="center"/>
              <w:rPr>
                <w:szCs w:val="20"/>
              </w:rPr>
            </w:pPr>
            <w:r w:rsidRPr="00242E0B">
              <w:rPr>
                <w:rFonts w:ascii="Calibri" w:hAnsi="Calibri" w:cs="Calibri"/>
                <w:color w:val="000000"/>
                <w:szCs w:val="20"/>
              </w:rPr>
              <w:t>12,79</w:t>
            </w:r>
          </w:p>
        </w:tc>
        <w:tc>
          <w:tcPr>
            <w:tcW w:w="1217" w:type="dxa"/>
            <w:vAlign w:val="center"/>
          </w:tcPr>
          <w:p w14:paraId="7FBA911E" w14:textId="77777777" w:rsidR="000F7B0B" w:rsidRPr="00242E0B" w:rsidRDefault="000F7B0B" w:rsidP="000878F6">
            <w:pPr>
              <w:pStyle w:val="Table"/>
              <w:jc w:val="center"/>
              <w:rPr>
                <w:szCs w:val="20"/>
              </w:rPr>
            </w:pPr>
            <w:r w:rsidRPr="00242E0B">
              <w:rPr>
                <w:rFonts w:ascii="Calibri" w:hAnsi="Calibri" w:cs="Calibri"/>
                <w:color w:val="000000"/>
                <w:szCs w:val="20"/>
              </w:rPr>
              <w:t>10,16</w:t>
            </w:r>
          </w:p>
        </w:tc>
        <w:tc>
          <w:tcPr>
            <w:tcW w:w="967" w:type="dxa"/>
            <w:vAlign w:val="center"/>
          </w:tcPr>
          <w:p w14:paraId="335E1819" w14:textId="77777777" w:rsidR="000F7B0B" w:rsidRPr="00242E0B" w:rsidRDefault="000F7B0B" w:rsidP="000878F6">
            <w:pPr>
              <w:pStyle w:val="Table"/>
              <w:jc w:val="center"/>
              <w:rPr>
                <w:szCs w:val="20"/>
              </w:rPr>
            </w:pPr>
            <w:r w:rsidRPr="00242E0B">
              <w:rPr>
                <w:rFonts w:ascii="Calibri" w:hAnsi="Calibri" w:cs="Calibri"/>
                <w:color w:val="000000"/>
                <w:szCs w:val="20"/>
              </w:rPr>
              <w:t>N.A</w:t>
            </w:r>
          </w:p>
        </w:tc>
        <w:tc>
          <w:tcPr>
            <w:tcW w:w="1283" w:type="dxa"/>
            <w:vAlign w:val="center"/>
          </w:tcPr>
          <w:p w14:paraId="3BCF35A6" w14:textId="77777777" w:rsidR="000F7B0B" w:rsidRPr="00242E0B" w:rsidRDefault="000F7B0B" w:rsidP="000878F6">
            <w:pPr>
              <w:pStyle w:val="Table"/>
              <w:jc w:val="center"/>
              <w:rPr>
                <w:szCs w:val="20"/>
              </w:rPr>
            </w:pPr>
            <w:r w:rsidRPr="00242E0B">
              <w:rPr>
                <w:rFonts w:ascii="Calibri" w:hAnsi="Calibri" w:cs="Calibri"/>
                <w:color w:val="000000"/>
                <w:szCs w:val="20"/>
              </w:rPr>
              <w:t>N.A</w:t>
            </w:r>
          </w:p>
        </w:tc>
      </w:tr>
      <w:tr w:rsidR="000F7B0B" w:rsidRPr="001840EB" w14:paraId="2348A4C1" w14:textId="77777777" w:rsidTr="00BA7936">
        <w:trPr>
          <w:trHeight w:val="242"/>
        </w:trPr>
        <w:tc>
          <w:tcPr>
            <w:tcW w:w="2247" w:type="dxa"/>
          </w:tcPr>
          <w:p w14:paraId="0A4EC1F9" w14:textId="77777777" w:rsidR="000F7B0B" w:rsidRPr="00F501DA" w:rsidRDefault="000F7B0B" w:rsidP="000878F6">
            <w:pPr>
              <w:pStyle w:val="Table"/>
            </w:pPr>
            <w:r w:rsidRPr="00F501DA">
              <w:t>Water Abstraction</w:t>
            </w:r>
          </w:p>
        </w:tc>
        <w:tc>
          <w:tcPr>
            <w:tcW w:w="1123" w:type="dxa"/>
            <w:vAlign w:val="center"/>
          </w:tcPr>
          <w:p w14:paraId="0A742668" w14:textId="77777777" w:rsidR="000F7B0B" w:rsidRPr="00242E0B" w:rsidRDefault="000F7B0B" w:rsidP="000878F6">
            <w:pPr>
              <w:pStyle w:val="Table"/>
              <w:jc w:val="center"/>
              <w:rPr>
                <w:szCs w:val="20"/>
              </w:rPr>
            </w:pPr>
            <w:r w:rsidRPr="00242E0B">
              <w:rPr>
                <w:rFonts w:ascii="Calibri" w:hAnsi="Calibri" w:cs="Calibri"/>
                <w:color w:val="000000"/>
                <w:szCs w:val="20"/>
              </w:rPr>
              <w:t>-21,59%</w:t>
            </w:r>
          </w:p>
        </w:tc>
        <w:tc>
          <w:tcPr>
            <w:tcW w:w="1124" w:type="dxa"/>
            <w:vAlign w:val="center"/>
          </w:tcPr>
          <w:p w14:paraId="24F2190F" w14:textId="77777777" w:rsidR="000F7B0B" w:rsidRPr="00242E0B" w:rsidRDefault="000F7B0B" w:rsidP="000878F6">
            <w:pPr>
              <w:pStyle w:val="Table"/>
              <w:jc w:val="center"/>
              <w:rPr>
                <w:szCs w:val="20"/>
              </w:rPr>
            </w:pPr>
            <w:r w:rsidRPr="00242E0B">
              <w:rPr>
                <w:rFonts w:ascii="Calibri" w:hAnsi="Calibri" w:cs="Calibri"/>
                <w:color w:val="000000"/>
                <w:szCs w:val="20"/>
              </w:rPr>
              <w:t>-21,59%</w:t>
            </w:r>
          </w:p>
        </w:tc>
        <w:tc>
          <w:tcPr>
            <w:tcW w:w="1030" w:type="dxa"/>
            <w:vAlign w:val="center"/>
          </w:tcPr>
          <w:p w14:paraId="76B80D8B" w14:textId="77777777" w:rsidR="000F7B0B" w:rsidRPr="00242E0B" w:rsidRDefault="000F7B0B" w:rsidP="000878F6">
            <w:pPr>
              <w:pStyle w:val="Table"/>
              <w:jc w:val="center"/>
              <w:rPr>
                <w:szCs w:val="20"/>
              </w:rPr>
            </w:pPr>
            <w:r w:rsidRPr="00242E0B">
              <w:rPr>
                <w:rFonts w:ascii="Calibri" w:hAnsi="Calibri" w:cs="Calibri"/>
                <w:color w:val="000000"/>
                <w:szCs w:val="20"/>
              </w:rPr>
              <w:t>629,52</w:t>
            </w:r>
          </w:p>
        </w:tc>
        <w:tc>
          <w:tcPr>
            <w:tcW w:w="1217" w:type="dxa"/>
            <w:vAlign w:val="center"/>
          </w:tcPr>
          <w:p w14:paraId="0DEC7713" w14:textId="77777777" w:rsidR="000F7B0B" w:rsidRPr="00242E0B" w:rsidRDefault="000F7B0B" w:rsidP="000878F6">
            <w:pPr>
              <w:pStyle w:val="Table"/>
              <w:jc w:val="center"/>
              <w:rPr>
                <w:szCs w:val="20"/>
              </w:rPr>
            </w:pPr>
            <w:r w:rsidRPr="00242E0B">
              <w:rPr>
                <w:rFonts w:ascii="Calibri" w:hAnsi="Calibri" w:cs="Calibri"/>
                <w:color w:val="000000"/>
                <w:szCs w:val="20"/>
              </w:rPr>
              <w:t>563,03</w:t>
            </w:r>
          </w:p>
        </w:tc>
        <w:tc>
          <w:tcPr>
            <w:tcW w:w="967" w:type="dxa"/>
            <w:vAlign w:val="center"/>
          </w:tcPr>
          <w:p w14:paraId="43A0C4D5" w14:textId="77777777" w:rsidR="000F7B0B" w:rsidRPr="00242E0B" w:rsidRDefault="000F7B0B" w:rsidP="000878F6">
            <w:pPr>
              <w:pStyle w:val="Table"/>
              <w:jc w:val="center"/>
              <w:rPr>
                <w:szCs w:val="20"/>
              </w:rPr>
            </w:pPr>
            <w:r w:rsidRPr="00242E0B">
              <w:rPr>
                <w:rFonts w:ascii="Calibri" w:hAnsi="Calibri" w:cs="Calibri"/>
                <w:color w:val="000000"/>
                <w:szCs w:val="20"/>
              </w:rPr>
              <w:t>N.E.</w:t>
            </w:r>
          </w:p>
        </w:tc>
        <w:tc>
          <w:tcPr>
            <w:tcW w:w="1283" w:type="dxa"/>
            <w:vAlign w:val="center"/>
          </w:tcPr>
          <w:p w14:paraId="09ABEA50" w14:textId="77777777" w:rsidR="000F7B0B" w:rsidRPr="00242E0B" w:rsidRDefault="000F7B0B" w:rsidP="000878F6">
            <w:pPr>
              <w:pStyle w:val="Table"/>
              <w:jc w:val="center"/>
              <w:rPr>
                <w:szCs w:val="20"/>
              </w:rPr>
            </w:pPr>
            <w:r w:rsidRPr="00242E0B">
              <w:rPr>
                <w:rFonts w:ascii="Calibri" w:hAnsi="Calibri" w:cs="Calibri"/>
                <w:color w:val="000000"/>
                <w:szCs w:val="20"/>
              </w:rPr>
              <w:t>N.E.</w:t>
            </w:r>
          </w:p>
        </w:tc>
      </w:tr>
      <w:tr w:rsidR="000F7B0B" w:rsidRPr="001840EB" w14:paraId="3A9C526A" w14:textId="77777777" w:rsidTr="00BA7936">
        <w:trPr>
          <w:trHeight w:val="260"/>
        </w:trPr>
        <w:tc>
          <w:tcPr>
            <w:tcW w:w="2247" w:type="dxa"/>
          </w:tcPr>
          <w:p w14:paraId="34E5419A" w14:textId="77777777" w:rsidR="000F7B0B" w:rsidRPr="00F501DA" w:rsidRDefault="000F7B0B" w:rsidP="000878F6">
            <w:pPr>
              <w:pStyle w:val="Table"/>
            </w:pPr>
            <w:r w:rsidRPr="00F501DA">
              <w:t>Fertilizers</w:t>
            </w:r>
          </w:p>
        </w:tc>
        <w:tc>
          <w:tcPr>
            <w:tcW w:w="1123" w:type="dxa"/>
            <w:vAlign w:val="center"/>
          </w:tcPr>
          <w:p w14:paraId="5A128158" w14:textId="77777777" w:rsidR="000F7B0B" w:rsidRPr="00242E0B" w:rsidRDefault="000F7B0B" w:rsidP="000878F6">
            <w:pPr>
              <w:pStyle w:val="Table"/>
              <w:jc w:val="center"/>
              <w:rPr>
                <w:szCs w:val="20"/>
              </w:rPr>
            </w:pPr>
            <w:r w:rsidRPr="00242E0B">
              <w:rPr>
                <w:rFonts w:ascii="Calibri" w:hAnsi="Calibri" w:cs="Calibri"/>
                <w:color w:val="000000"/>
                <w:szCs w:val="20"/>
              </w:rPr>
              <w:t>-35,95%</w:t>
            </w:r>
          </w:p>
        </w:tc>
        <w:tc>
          <w:tcPr>
            <w:tcW w:w="1124" w:type="dxa"/>
            <w:vAlign w:val="center"/>
          </w:tcPr>
          <w:p w14:paraId="12F8E2FD" w14:textId="77777777" w:rsidR="000F7B0B" w:rsidRPr="00242E0B" w:rsidRDefault="000F7B0B" w:rsidP="000878F6">
            <w:pPr>
              <w:pStyle w:val="Table"/>
              <w:jc w:val="center"/>
              <w:rPr>
                <w:szCs w:val="20"/>
              </w:rPr>
            </w:pPr>
            <w:r w:rsidRPr="00242E0B">
              <w:rPr>
                <w:rFonts w:ascii="Calibri" w:hAnsi="Calibri" w:cs="Calibri"/>
                <w:color w:val="000000"/>
                <w:szCs w:val="20"/>
              </w:rPr>
              <w:t>-35,95%</w:t>
            </w:r>
          </w:p>
        </w:tc>
        <w:tc>
          <w:tcPr>
            <w:tcW w:w="1030" w:type="dxa"/>
            <w:vAlign w:val="center"/>
          </w:tcPr>
          <w:p w14:paraId="7128CB77" w14:textId="77777777" w:rsidR="000F7B0B" w:rsidRPr="00242E0B" w:rsidRDefault="000F7B0B" w:rsidP="000878F6">
            <w:pPr>
              <w:pStyle w:val="Table"/>
              <w:jc w:val="center"/>
              <w:rPr>
                <w:szCs w:val="20"/>
              </w:rPr>
            </w:pPr>
            <w:r w:rsidRPr="00242E0B">
              <w:rPr>
                <w:rFonts w:ascii="Calibri" w:hAnsi="Calibri" w:cs="Calibri"/>
                <w:color w:val="000000"/>
                <w:szCs w:val="20"/>
              </w:rPr>
              <w:t>72,44</w:t>
            </w:r>
          </w:p>
        </w:tc>
        <w:tc>
          <w:tcPr>
            <w:tcW w:w="1217" w:type="dxa"/>
            <w:vAlign w:val="center"/>
          </w:tcPr>
          <w:p w14:paraId="45127FFA" w14:textId="77777777" w:rsidR="000F7B0B" w:rsidRPr="00242E0B" w:rsidRDefault="000F7B0B" w:rsidP="000878F6">
            <w:pPr>
              <w:pStyle w:val="Table"/>
              <w:jc w:val="center"/>
              <w:rPr>
                <w:szCs w:val="20"/>
              </w:rPr>
            </w:pPr>
            <w:r w:rsidRPr="00242E0B">
              <w:rPr>
                <w:rFonts w:ascii="Calibri" w:hAnsi="Calibri" w:cs="Calibri"/>
                <w:color w:val="000000"/>
                <w:szCs w:val="20"/>
              </w:rPr>
              <w:t>61,45</w:t>
            </w:r>
          </w:p>
        </w:tc>
        <w:tc>
          <w:tcPr>
            <w:tcW w:w="967" w:type="dxa"/>
            <w:vAlign w:val="center"/>
          </w:tcPr>
          <w:p w14:paraId="71C47B4D" w14:textId="77777777" w:rsidR="000F7B0B" w:rsidRPr="00242E0B" w:rsidRDefault="000F7B0B" w:rsidP="000878F6">
            <w:pPr>
              <w:pStyle w:val="Table"/>
              <w:jc w:val="center"/>
              <w:rPr>
                <w:szCs w:val="20"/>
              </w:rPr>
            </w:pPr>
            <w:r w:rsidRPr="00242E0B">
              <w:rPr>
                <w:rFonts w:ascii="Calibri" w:hAnsi="Calibri" w:cs="Calibri"/>
                <w:color w:val="000000"/>
                <w:szCs w:val="20"/>
              </w:rPr>
              <w:t>N.A.</w:t>
            </w:r>
          </w:p>
        </w:tc>
        <w:tc>
          <w:tcPr>
            <w:tcW w:w="1283" w:type="dxa"/>
            <w:vAlign w:val="center"/>
          </w:tcPr>
          <w:p w14:paraId="19BB1EE1" w14:textId="77777777" w:rsidR="000F7B0B" w:rsidRPr="00242E0B" w:rsidRDefault="000F7B0B" w:rsidP="000878F6">
            <w:pPr>
              <w:pStyle w:val="Table"/>
              <w:jc w:val="center"/>
              <w:rPr>
                <w:szCs w:val="20"/>
              </w:rPr>
            </w:pPr>
            <w:r w:rsidRPr="00242E0B">
              <w:rPr>
                <w:rFonts w:ascii="Calibri" w:hAnsi="Calibri" w:cs="Calibri"/>
                <w:color w:val="000000"/>
                <w:szCs w:val="20"/>
              </w:rPr>
              <w:t>N.A.</w:t>
            </w:r>
          </w:p>
        </w:tc>
      </w:tr>
      <w:tr w:rsidR="000F7B0B" w:rsidRPr="001840EB" w14:paraId="19CD9CC8" w14:textId="77777777" w:rsidTr="00BA7936">
        <w:trPr>
          <w:trHeight w:val="242"/>
        </w:trPr>
        <w:tc>
          <w:tcPr>
            <w:tcW w:w="2247" w:type="dxa"/>
          </w:tcPr>
          <w:p w14:paraId="1A127A96" w14:textId="77777777" w:rsidR="000F7B0B" w:rsidRPr="00F501DA" w:rsidRDefault="000F7B0B" w:rsidP="000878F6">
            <w:pPr>
              <w:pStyle w:val="Table"/>
            </w:pPr>
            <w:r w:rsidRPr="00F501DA">
              <w:t>Pesticides</w:t>
            </w:r>
          </w:p>
        </w:tc>
        <w:tc>
          <w:tcPr>
            <w:tcW w:w="1123" w:type="dxa"/>
            <w:vAlign w:val="center"/>
          </w:tcPr>
          <w:p w14:paraId="51F58A4F" w14:textId="77777777" w:rsidR="000F7B0B" w:rsidRPr="00242E0B" w:rsidRDefault="000F7B0B" w:rsidP="000878F6">
            <w:pPr>
              <w:pStyle w:val="Table"/>
              <w:jc w:val="center"/>
              <w:rPr>
                <w:szCs w:val="20"/>
              </w:rPr>
            </w:pPr>
            <w:r w:rsidRPr="00242E0B">
              <w:rPr>
                <w:rFonts w:ascii="Calibri" w:hAnsi="Calibri" w:cs="Calibri"/>
                <w:color w:val="000000"/>
                <w:szCs w:val="20"/>
              </w:rPr>
              <w:t>n/a</w:t>
            </w:r>
          </w:p>
        </w:tc>
        <w:tc>
          <w:tcPr>
            <w:tcW w:w="1124" w:type="dxa"/>
            <w:vAlign w:val="center"/>
          </w:tcPr>
          <w:p w14:paraId="53C7CCEB" w14:textId="77777777" w:rsidR="000F7B0B" w:rsidRPr="00242E0B" w:rsidRDefault="000F7B0B" w:rsidP="000878F6">
            <w:pPr>
              <w:pStyle w:val="Table"/>
              <w:jc w:val="center"/>
              <w:rPr>
                <w:szCs w:val="20"/>
              </w:rPr>
            </w:pPr>
            <w:r w:rsidRPr="00242E0B">
              <w:rPr>
                <w:rFonts w:ascii="Calibri" w:hAnsi="Calibri" w:cs="Calibri"/>
                <w:color w:val="000000"/>
                <w:szCs w:val="20"/>
              </w:rPr>
              <w:t>n/a</w:t>
            </w:r>
          </w:p>
        </w:tc>
        <w:tc>
          <w:tcPr>
            <w:tcW w:w="1030" w:type="dxa"/>
            <w:vAlign w:val="center"/>
          </w:tcPr>
          <w:p w14:paraId="330D3381" w14:textId="77777777" w:rsidR="000F7B0B" w:rsidRPr="00242E0B" w:rsidRDefault="000F7B0B" w:rsidP="000878F6">
            <w:pPr>
              <w:pStyle w:val="Table"/>
              <w:jc w:val="center"/>
              <w:rPr>
                <w:szCs w:val="20"/>
              </w:rPr>
            </w:pPr>
            <w:r w:rsidRPr="00242E0B">
              <w:rPr>
                <w:rFonts w:ascii="Calibri" w:hAnsi="Calibri" w:cs="Calibri"/>
                <w:color w:val="000000"/>
                <w:szCs w:val="20"/>
              </w:rPr>
              <w:t>319,81</w:t>
            </w:r>
          </w:p>
        </w:tc>
        <w:tc>
          <w:tcPr>
            <w:tcW w:w="1217" w:type="dxa"/>
            <w:vAlign w:val="center"/>
          </w:tcPr>
          <w:p w14:paraId="1C7DB76E" w14:textId="77777777" w:rsidR="000F7B0B" w:rsidRPr="00242E0B" w:rsidRDefault="000F7B0B" w:rsidP="000878F6">
            <w:pPr>
              <w:pStyle w:val="Table"/>
              <w:jc w:val="center"/>
              <w:rPr>
                <w:szCs w:val="20"/>
              </w:rPr>
            </w:pPr>
            <w:r w:rsidRPr="00242E0B">
              <w:rPr>
                <w:rFonts w:ascii="Calibri" w:hAnsi="Calibri" w:cs="Calibri"/>
                <w:color w:val="000000"/>
                <w:szCs w:val="20"/>
              </w:rPr>
              <w:t>318,28</w:t>
            </w:r>
          </w:p>
        </w:tc>
        <w:tc>
          <w:tcPr>
            <w:tcW w:w="967" w:type="dxa"/>
            <w:vAlign w:val="center"/>
          </w:tcPr>
          <w:p w14:paraId="1DF2A917" w14:textId="77777777" w:rsidR="000F7B0B" w:rsidRPr="00242E0B" w:rsidRDefault="000F7B0B" w:rsidP="000878F6">
            <w:pPr>
              <w:pStyle w:val="Table"/>
              <w:jc w:val="center"/>
              <w:rPr>
                <w:szCs w:val="20"/>
              </w:rPr>
            </w:pPr>
            <w:r w:rsidRPr="00242E0B">
              <w:rPr>
                <w:rFonts w:ascii="Calibri" w:hAnsi="Calibri" w:cs="Calibri"/>
                <w:color w:val="000000"/>
                <w:szCs w:val="20"/>
              </w:rPr>
              <w:t>0,00%</w:t>
            </w:r>
          </w:p>
        </w:tc>
        <w:tc>
          <w:tcPr>
            <w:tcW w:w="1283" w:type="dxa"/>
            <w:vAlign w:val="center"/>
          </w:tcPr>
          <w:p w14:paraId="014D9EB1" w14:textId="77777777" w:rsidR="000F7B0B" w:rsidRPr="00242E0B" w:rsidRDefault="000F7B0B" w:rsidP="000878F6">
            <w:pPr>
              <w:pStyle w:val="Table"/>
              <w:jc w:val="center"/>
              <w:rPr>
                <w:szCs w:val="20"/>
              </w:rPr>
            </w:pPr>
            <w:r w:rsidRPr="00242E0B">
              <w:rPr>
                <w:rFonts w:ascii="Calibri" w:hAnsi="Calibri" w:cs="Calibri"/>
                <w:color w:val="000000"/>
                <w:szCs w:val="20"/>
              </w:rPr>
              <w:t>0,00%</w:t>
            </w:r>
          </w:p>
        </w:tc>
      </w:tr>
      <w:tr w:rsidR="000F7B0B" w:rsidRPr="001840EB" w14:paraId="15000028" w14:textId="77777777" w:rsidTr="00BA7936">
        <w:trPr>
          <w:trHeight w:val="242"/>
        </w:trPr>
        <w:tc>
          <w:tcPr>
            <w:tcW w:w="2247" w:type="dxa"/>
          </w:tcPr>
          <w:p w14:paraId="00046C25" w14:textId="77777777" w:rsidR="000F7B0B" w:rsidRPr="00F501DA" w:rsidRDefault="000F7B0B" w:rsidP="000878F6">
            <w:pPr>
              <w:pStyle w:val="Table"/>
            </w:pPr>
            <w:r w:rsidRPr="00F501DA">
              <w:t>Waste Incineration</w:t>
            </w:r>
          </w:p>
        </w:tc>
        <w:tc>
          <w:tcPr>
            <w:tcW w:w="1123" w:type="dxa"/>
            <w:vAlign w:val="center"/>
          </w:tcPr>
          <w:p w14:paraId="44B56AFF" w14:textId="77777777" w:rsidR="000F7B0B" w:rsidRPr="00242E0B" w:rsidRDefault="000F7B0B" w:rsidP="000878F6">
            <w:pPr>
              <w:pStyle w:val="Table"/>
              <w:jc w:val="center"/>
              <w:rPr>
                <w:szCs w:val="20"/>
              </w:rPr>
            </w:pPr>
            <w:r w:rsidRPr="00242E0B">
              <w:rPr>
                <w:rFonts w:ascii="Calibri" w:hAnsi="Calibri" w:cs="Calibri"/>
                <w:color w:val="000000"/>
                <w:szCs w:val="20"/>
              </w:rPr>
              <w:t>-20,00%</w:t>
            </w:r>
          </w:p>
        </w:tc>
        <w:tc>
          <w:tcPr>
            <w:tcW w:w="1124" w:type="dxa"/>
            <w:vAlign w:val="center"/>
          </w:tcPr>
          <w:p w14:paraId="7ED68686" w14:textId="77777777" w:rsidR="000F7B0B" w:rsidRPr="00242E0B" w:rsidRDefault="000F7B0B" w:rsidP="000878F6">
            <w:pPr>
              <w:pStyle w:val="Table"/>
              <w:jc w:val="center"/>
              <w:rPr>
                <w:szCs w:val="20"/>
              </w:rPr>
            </w:pPr>
            <w:r w:rsidRPr="00242E0B">
              <w:rPr>
                <w:rFonts w:ascii="Calibri" w:hAnsi="Calibri" w:cs="Calibri"/>
                <w:color w:val="000000"/>
                <w:szCs w:val="20"/>
              </w:rPr>
              <w:t>-20,00%</w:t>
            </w:r>
          </w:p>
        </w:tc>
        <w:tc>
          <w:tcPr>
            <w:tcW w:w="1030" w:type="dxa"/>
            <w:vAlign w:val="center"/>
          </w:tcPr>
          <w:p w14:paraId="06F3B673" w14:textId="77777777" w:rsidR="000F7B0B" w:rsidRPr="00242E0B" w:rsidRDefault="000F7B0B" w:rsidP="000878F6">
            <w:pPr>
              <w:pStyle w:val="Table"/>
              <w:jc w:val="center"/>
              <w:rPr>
                <w:szCs w:val="20"/>
              </w:rPr>
            </w:pPr>
            <w:r w:rsidRPr="00242E0B">
              <w:rPr>
                <w:rFonts w:ascii="Calibri" w:hAnsi="Calibri" w:cs="Calibri"/>
                <w:color w:val="000000"/>
                <w:szCs w:val="20"/>
              </w:rPr>
              <w:t>12,28</w:t>
            </w:r>
          </w:p>
        </w:tc>
        <w:tc>
          <w:tcPr>
            <w:tcW w:w="1217" w:type="dxa"/>
            <w:vAlign w:val="center"/>
          </w:tcPr>
          <w:p w14:paraId="4EAAFF51" w14:textId="77777777" w:rsidR="000F7B0B" w:rsidRPr="00242E0B" w:rsidRDefault="000F7B0B" w:rsidP="000878F6">
            <w:pPr>
              <w:pStyle w:val="Table"/>
              <w:jc w:val="center"/>
              <w:rPr>
                <w:szCs w:val="20"/>
              </w:rPr>
            </w:pPr>
            <w:r w:rsidRPr="00242E0B">
              <w:rPr>
                <w:rFonts w:ascii="Calibri" w:hAnsi="Calibri" w:cs="Calibri"/>
                <w:color w:val="000000"/>
                <w:szCs w:val="20"/>
              </w:rPr>
              <w:t>1,76</w:t>
            </w:r>
          </w:p>
        </w:tc>
        <w:tc>
          <w:tcPr>
            <w:tcW w:w="967" w:type="dxa"/>
            <w:vAlign w:val="center"/>
          </w:tcPr>
          <w:p w14:paraId="1111A058" w14:textId="77777777" w:rsidR="000F7B0B" w:rsidRPr="00242E0B" w:rsidRDefault="000F7B0B" w:rsidP="000878F6">
            <w:pPr>
              <w:pStyle w:val="Table"/>
              <w:jc w:val="center"/>
              <w:rPr>
                <w:szCs w:val="20"/>
              </w:rPr>
            </w:pPr>
            <w:r w:rsidRPr="00242E0B">
              <w:rPr>
                <w:rFonts w:ascii="Calibri" w:hAnsi="Calibri" w:cs="Calibri"/>
                <w:color w:val="000000"/>
                <w:szCs w:val="20"/>
              </w:rPr>
              <w:t>0,00%</w:t>
            </w:r>
          </w:p>
        </w:tc>
        <w:tc>
          <w:tcPr>
            <w:tcW w:w="1283" w:type="dxa"/>
            <w:vAlign w:val="center"/>
          </w:tcPr>
          <w:p w14:paraId="6C41023E" w14:textId="77777777" w:rsidR="000F7B0B" w:rsidRPr="00242E0B" w:rsidRDefault="000F7B0B" w:rsidP="000878F6">
            <w:pPr>
              <w:pStyle w:val="Table"/>
              <w:jc w:val="center"/>
              <w:rPr>
                <w:szCs w:val="20"/>
              </w:rPr>
            </w:pPr>
            <w:r w:rsidRPr="00242E0B">
              <w:rPr>
                <w:rFonts w:ascii="Calibri" w:hAnsi="Calibri" w:cs="Calibri"/>
                <w:color w:val="000000"/>
                <w:szCs w:val="20"/>
              </w:rPr>
              <w:t>0,00%</w:t>
            </w:r>
          </w:p>
        </w:tc>
      </w:tr>
      <w:tr w:rsidR="000F7B0B" w:rsidRPr="001840EB" w14:paraId="039202BE" w14:textId="77777777" w:rsidTr="00BA7936">
        <w:trPr>
          <w:trHeight w:val="242"/>
        </w:trPr>
        <w:tc>
          <w:tcPr>
            <w:tcW w:w="2247" w:type="dxa"/>
          </w:tcPr>
          <w:p w14:paraId="3C12CD22" w14:textId="77777777" w:rsidR="000F7B0B" w:rsidRPr="00F501DA" w:rsidRDefault="000F7B0B" w:rsidP="000878F6">
            <w:pPr>
              <w:pStyle w:val="Table"/>
            </w:pPr>
            <w:r w:rsidRPr="00F501DA">
              <w:t>Waste to Landfill</w:t>
            </w:r>
          </w:p>
        </w:tc>
        <w:tc>
          <w:tcPr>
            <w:tcW w:w="1123" w:type="dxa"/>
            <w:vAlign w:val="center"/>
          </w:tcPr>
          <w:p w14:paraId="38545995" w14:textId="77777777" w:rsidR="000F7B0B" w:rsidRPr="00242E0B" w:rsidRDefault="000F7B0B" w:rsidP="000878F6">
            <w:pPr>
              <w:pStyle w:val="Table"/>
              <w:jc w:val="center"/>
              <w:rPr>
                <w:szCs w:val="20"/>
              </w:rPr>
            </w:pPr>
            <w:r w:rsidRPr="00242E0B">
              <w:rPr>
                <w:rFonts w:ascii="Calibri" w:hAnsi="Calibri" w:cs="Calibri"/>
                <w:color w:val="000000"/>
                <w:szCs w:val="20"/>
              </w:rPr>
              <w:t>-24,81%</w:t>
            </w:r>
          </w:p>
        </w:tc>
        <w:tc>
          <w:tcPr>
            <w:tcW w:w="1124" w:type="dxa"/>
            <w:vAlign w:val="center"/>
          </w:tcPr>
          <w:p w14:paraId="16FD86DE" w14:textId="77777777" w:rsidR="000F7B0B" w:rsidRPr="00242E0B" w:rsidRDefault="000F7B0B" w:rsidP="000878F6">
            <w:pPr>
              <w:pStyle w:val="Table"/>
              <w:jc w:val="center"/>
              <w:rPr>
                <w:szCs w:val="20"/>
              </w:rPr>
            </w:pPr>
            <w:r w:rsidRPr="00242E0B">
              <w:rPr>
                <w:rFonts w:ascii="Calibri" w:hAnsi="Calibri" w:cs="Calibri"/>
                <w:color w:val="000000"/>
                <w:szCs w:val="20"/>
              </w:rPr>
              <w:t>-24,81%</w:t>
            </w:r>
          </w:p>
        </w:tc>
        <w:tc>
          <w:tcPr>
            <w:tcW w:w="1030" w:type="dxa"/>
            <w:vAlign w:val="center"/>
          </w:tcPr>
          <w:p w14:paraId="172BAF0B" w14:textId="77777777" w:rsidR="000F7B0B" w:rsidRPr="00242E0B" w:rsidRDefault="000F7B0B" w:rsidP="000878F6">
            <w:pPr>
              <w:pStyle w:val="Table"/>
              <w:jc w:val="center"/>
              <w:rPr>
                <w:szCs w:val="20"/>
              </w:rPr>
            </w:pPr>
            <w:r w:rsidRPr="00242E0B">
              <w:rPr>
                <w:rFonts w:ascii="Calibri" w:hAnsi="Calibri" w:cs="Calibri"/>
                <w:color w:val="000000"/>
                <w:szCs w:val="20"/>
              </w:rPr>
              <w:t>0,00</w:t>
            </w:r>
          </w:p>
        </w:tc>
        <w:tc>
          <w:tcPr>
            <w:tcW w:w="1217" w:type="dxa"/>
            <w:vAlign w:val="center"/>
          </w:tcPr>
          <w:p w14:paraId="01E6FBE9" w14:textId="77777777" w:rsidR="000F7B0B" w:rsidRPr="00242E0B" w:rsidRDefault="000F7B0B" w:rsidP="000878F6">
            <w:pPr>
              <w:pStyle w:val="Table"/>
              <w:jc w:val="center"/>
              <w:rPr>
                <w:szCs w:val="20"/>
              </w:rPr>
            </w:pPr>
            <w:r w:rsidRPr="00242E0B">
              <w:rPr>
                <w:rFonts w:ascii="Calibri" w:hAnsi="Calibri" w:cs="Calibri"/>
                <w:color w:val="000000"/>
                <w:szCs w:val="20"/>
              </w:rPr>
              <w:t>0,00</w:t>
            </w:r>
          </w:p>
        </w:tc>
        <w:tc>
          <w:tcPr>
            <w:tcW w:w="967" w:type="dxa"/>
            <w:vAlign w:val="center"/>
          </w:tcPr>
          <w:p w14:paraId="155AD4FE" w14:textId="77777777" w:rsidR="000F7B0B" w:rsidRPr="00242E0B" w:rsidRDefault="000F7B0B" w:rsidP="000878F6">
            <w:pPr>
              <w:pStyle w:val="Table"/>
              <w:jc w:val="center"/>
              <w:rPr>
                <w:szCs w:val="20"/>
              </w:rPr>
            </w:pPr>
            <w:r w:rsidRPr="00242E0B">
              <w:rPr>
                <w:rFonts w:ascii="Calibri" w:hAnsi="Calibri" w:cs="Calibri"/>
                <w:color w:val="000000"/>
                <w:szCs w:val="20"/>
              </w:rPr>
              <w:t>N.E.</w:t>
            </w:r>
          </w:p>
        </w:tc>
        <w:tc>
          <w:tcPr>
            <w:tcW w:w="1283" w:type="dxa"/>
            <w:vAlign w:val="center"/>
          </w:tcPr>
          <w:p w14:paraId="58A9C25B" w14:textId="77777777" w:rsidR="000F7B0B" w:rsidRPr="00242E0B" w:rsidRDefault="000F7B0B" w:rsidP="000878F6">
            <w:pPr>
              <w:pStyle w:val="Table"/>
              <w:jc w:val="center"/>
              <w:rPr>
                <w:szCs w:val="20"/>
              </w:rPr>
            </w:pPr>
            <w:r w:rsidRPr="00242E0B">
              <w:rPr>
                <w:rFonts w:ascii="Calibri" w:hAnsi="Calibri" w:cs="Calibri"/>
                <w:color w:val="000000"/>
                <w:szCs w:val="20"/>
              </w:rPr>
              <w:t>N.E.</w:t>
            </w:r>
          </w:p>
        </w:tc>
      </w:tr>
      <w:tr w:rsidR="000F7B0B" w:rsidRPr="001840EB" w14:paraId="0E74EF22" w14:textId="77777777" w:rsidTr="00BA7936">
        <w:trPr>
          <w:trHeight w:val="242"/>
        </w:trPr>
        <w:tc>
          <w:tcPr>
            <w:tcW w:w="2247" w:type="dxa"/>
          </w:tcPr>
          <w:p w14:paraId="137FD2CC" w14:textId="77777777" w:rsidR="000F7B0B" w:rsidRPr="00F501DA" w:rsidRDefault="000F7B0B" w:rsidP="000878F6">
            <w:pPr>
              <w:pStyle w:val="Table"/>
            </w:pPr>
            <w:r w:rsidRPr="00F501DA">
              <w:t>Water Effluent</w:t>
            </w:r>
          </w:p>
        </w:tc>
        <w:tc>
          <w:tcPr>
            <w:tcW w:w="1123" w:type="dxa"/>
            <w:vAlign w:val="center"/>
          </w:tcPr>
          <w:p w14:paraId="29C69030" w14:textId="77777777" w:rsidR="000F7B0B" w:rsidRPr="00242E0B" w:rsidRDefault="000F7B0B" w:rsidP="000878F6">
            <w:pPr>
              <w:pStyle w:val="Table"/>
              <w:jc w:val="center"/>
              <w:rPr>
                <w:szCs w:val="20"/>
              </w:rPr>
            </w:pPr>
            <w:r w:rsidRPr="00242E0B">
              <w:rPr>
                <w:rFonts w:ascii="Calibri" w:hAnsi="Calibri" w:cs="Calibri"/>
                <w:color w:val="000000"/>
                <w:szCs w:val="20"/>
              </w:rPr>
              <w:t>-9,09%</w:t>
            </w:r>
          </w:p>
        </w:tc>
        <w:tc>
          <w:tcPr>
            <w:tcW w:w="1124" w:type="dxa"/>
            <w:vAlign w:val="center"/>
          </w:tcPr>
          <w:p w14:paraId="41963E21" w14:textId="77777777" w:rsidR="000F7B0B" w:rsidRPr="00242E0B" w:rsidRDefault="000F7B0B" w:rsidP="000878F6">
            <w:pPr>
              <w:pStyle w:val="Table"/>
              <w:jc w:val="center"/>
              <w:rPr>
                <w:szCs w:val="20"/>
              </w:rPr>
            </w:pPr>
            <w:r w:rsidRPr="00242E0B">
              <w:rPr>
                <w:rFonts w:ascii="Calibri" w:hAnsi="Calibri" w:cs="Calibri"/>
                <w:color w:val="000000"/>
                <w:szCs w:val="20"/>
              </w:rPr>
              <w:t>-9,09%</w:t>
            </w:r>
          </w:p>
        </w:tc>
        <w:tc>
          <w:tcPr>
            <w:tcW w:w="1030" w:type="dxa"/>
            <w:vAlign w:val="center"/>
          </w:tcPr>
          <w:p w14:paraId="3BDA56C6" w14:textId="77777777" w:rsidR="000F7B0B" w:rsidRPr="00242E0B" w:rsidRDefault="000F7B0B" w:rsidP="000878F6">
            <w:pPr>
              <w:pStyle w:val="Table"/>
              <w:jc w:val="center"/>
              <w:rPr>
                <w:szCs w:val="20"/>
              </w:rPr>
            </w:pPr>
            <w:r w:rsidRPr="00242E0B">
              <w:rPr>
                <w:rFonts w:ascii="Calibri" w:hAnsi="Calibri" w:cs="Calibri"/>
                <w:color w:val="000000"/>
                <w:szCs w:val="20"/>
              </w:rPr>
              <w:t>8326,65</w:t>
            </w:r>
          </w:p>
        </w:tc>
        <w:tc>
          <w:tcPr>
            <w:tcW w:w="1217" w:type="dxa"/>
            <w:vAlign w:val="center"/>
          </w:tcPr>
          <w:p w14:paraId="423FBB27" w14:textId="77777777" w:rsidR="000F7B0B" w:rsidRPr="00242E0B" w:rsidRDefault="000F7B0B" w:rsidP="000878F6">
            <w:pPr>
              <w:pStyle w:val="Table"/>
              <w:jc w:val="center"/>
              <w:rPr>
                <w:szCs w:val="20"/>
              </w:rPr>
            </w:pPr>
            <w:r w:rsidRPr="00242E0B">
              <w:rPr>
                <w:rFonts w:ascii="Calibri" w:hAnsi="Calibri" w:cs="Calibri"/>
                <w:color w:val="000000"/>
                <w:szCs w:val="20"/>
              </w:rPr>
              <w:t>8320,01</w:t>
            </w:r>
          </w:p>
        </w:tc>
        <w:tc>
          <w:tcPr>
            <w:tcW w:w="967" w:type="dxa"/>
            <w:vAlign w:val="center"/>
          </w:tcPr>
          <w:p w14:paraId="21FB9D1D" w14:textId="77777777" w:rsidR="000F7B0B" w:rsidRPr="00242E0B" w:rsidRDefault="000F7B0B" w:rsidP="000878F6">
            <w:pPr>
              <w:pStyle w:val="Table"/>
              <w:jc w:val="center"/>
              <w:rPr>
                <w:szCs w:val="20"/>
              </w:rPr>
            </w:pPr>
            <w:r w:rsidRPr="00242E0B">
              <w:rPr>
                <w:rFonts w:ascii="Calibri" w:hAnsi="Calibri" w:cs="Calibri"/>
                <w:color w:val="000000"/>
                <w:szCs w:val="20"/>
              </w:rPr>
              <w:t>N.E.</w:t>
            </w:r>
          </w:p>
        </w:tc>
        <w:tc>
          <w:tcPr>
            <w:tcW w:w="1283" w:type="dxa"/>
            <w:vAlign w:val="center"/>
          </w:tcPr>
          <w:p w14:paraId="4CC7221F" w14:textId="77777777" w:rsidR="000F7B0B" w:rsidRPr="00242E0B" w:rsidRDefault="000F7B0B" w:rsidP="000878F6">
            <w:pPr>
              <w:pStyle w:val="Table"/>
              <w:jc w:val="center"/>
              <w:rPr>
                <w:szCs w:val="20"/>
              </w:rPr>
            </w:pPr>
            <w:r w:rsidRPr="00242E0B">
              <w:rPr>
                <w:rFonts w:ascii="Calibri" w:hAnsi="Calibri" w:cs="Calibri"/>
                <w:color w:val="000000"/>
                <w:szCs w:val="20"/>
              </w:rPr>
              <w:t>N.E.</w:t>
            </w:r>
          </w:p>
        </w:tc>
      </w:tr>
      <w:tr w:rsidR="000F7B0B" w:rsidRPr="001840EB" w14:paraId="376F2657" w14:textId="77777777" w:rsidTr="00BA7936">
        <w:trPr>
          <w:trHeight w:val="242"/>
        </w:trPr>
        <w:tc>
          <w:tcPr>
            <w:tcW w:w="2247" w:type="dxa"/>
          </w:tcPr>
          <w:p w14:paraId="3706A619" w14:textId="77777777" w:rsidR="000F7B0B" w:rsidRPr="001840EB" w:rsidRDefault="000F7B0B" w:rsidP="000878F6">
            <w:pPr>
              <w:pStyle w:val="Table"/>
            </w:pPr>
            <w:r w:rsidRPr="001840EB">
              <w:t>Minerals &amp; Aggregates</w:t>
            </w:r>
          </w:p>
        </w:tc>
        <w:tc>
          <w:tcPr>
            <w:tcW w:w="1123" w:type="dxa"/>
            <w:vAlign w:val="center"/>
          </w:tcPr>
          <w:p w14:paraId="151ED025" w14:textId="77777777" w:rsidR="000F7B0B" w:rsidRPr="00242E0B" w:rsidRDefault="000F7B0B" w:rsidP="000878F6">
            <w:pPr>
              <w:pStyle w:val="Table"/>
              <w:jc w:val="center"/>
              <w:rPr>
                <w:szCs w:val="20"/>
              </w:rPr>
            </w:pPr>
            <w:r w:rsidRPr="00242E0B">
              <w:rPr>
                <w:rFonts w:ascii="Calibri" w:hAnsi="Calibri" w:cs="Calibri"/>
                <w:color w:val="000000"/>
                <w:szCs w:val="20"/>
              </w:rPr>
              <w:t>0,00%</w:t>
            </w:r>
          </w:p>
        </w:tc>
        <w:tc>
          <w:tcPr>
            <w:tcW w:w="1124" w:type="dxa"/>
            <w:vAlign w:val="center"/>
          </w:tcPr>
          <w:p w14:paraId="5A23E4B8" w14:textId="77777777" w:rsidR="000F7B0B" w:rsidRPr="00242E0B" w:rsidRDefault="000F7B0B" w:rsidP="000878F6">
            <w:pPr>
              <w:pStyle w:val="Table"/>
              <w:jc w:val="center"/>
              <w:rPr>
                <w:szCs w:val="20"/>
              </w:rPr>
            </w:pPr>
            <w:r w:rsidRPr="00242E0B">
              <w:rPr>
                <w:rFonts w:ascii="Calibri" w:hAnsi="Calibri" w:cs="Calibri"/>
                <w:color w:val="000000"/>
                <w:szCs w:val="20"/>
              </w:rPr>
              <w:t>0,00%</w:t>
            </w:r>
          </w:p>
        </w:tc>
        <w:tc>
          <w:tcPr>
            <w:tcW w:w="1030" w:type="dxa"/>
            <w:vAlign w:val="center"/>
          </w:tcPr>
          <w:p w14:paraId="2E0A5969" w14:textId="77777777" w:rsidR="000F7B0B" w:rsidRPr="00242E0B" w:rsidRDefault="000F7B0B" w:rsidP="000878F6">
            <w:pPr>
              <w:pStyle w:val="Table"/>
              <w:jc w:val="center"/>
              <w:rPr>
                <w:szCs w:val="20"/>
              </w:rPr>
            </w:pPr>
            <w:r w:rsidRPr="00242E0B">
              <w:rPr>
                <w:rFonts w:ascii="Calibri" w:hAnsi="Calibri" w:cs="Calibri"/>
                <w:color w:val="000000"/>
                <w:szCs w:val="20"/>
              </w:rPr>
              <w:t>0,00</w:t>
            </w:r>
          </w:p>
        </w:tc>
        <w:tc>
          <w:tcPr>
            <w:tcW w:w="1217" w:type="dxa"/>
            <w:vAlign w:val="center"/>
          </w:tcPr>
          <w:p w14:paraId="5E14E091" w14:textId="77777777" w:rsidR="000F7B0B" w:rsidRPr="00242E0B" w:rsidRDefault="000F7B0B" w:rsidP="000878F6">
            <w:pPr>
              <w:pStyle w:val="Table"/>
              <w:jc w:val="center"/>
              <w:rPr>
                <w:szCs w:val="20"/>
              </w:rPr>
            </w:pPr>
            <w:r w:rsidRPr="00242E0B">
              <w:rPr>
                <w:rFonts w:ascii="Calibri" w:hAnsi="Calibri" w:cs="Calibri"/>
                <w:color w:val="000000"/>
                <w:szCs w:val="20"/>
              </w:rPr>
              <w:t>0,00</w:t>
            </w:r>
          </w:p>
        </w:tc>
        <w:tc>
          <w:tcPr>
            <w:tcW w:w="967" w:type="dxa"/>
            <w:vAlign w:val="center"/>
          </w:tcPr>
          <w:p w14:paraId="61F80931" w14:textId="77777777" w:rsidR="000F7B0B" w:rsidRPr="00242E0B" w:rsidRDefault="000F7B0B" w:rsidP="000878F6">
            <w:pPr>
              <w:pStyle w:val="Table"/>
              <w:jc w:val="center"/>
              <w:rPr>
                <w:szCs w:val="20"/>
              </w:rPr>
            </w:pPr>
            <w:r w:rsidRPr="00242E0B">
              <w:rPr>
                <w:rFonts w:ascii="Calibri" w:hAnsi="Calibri" w:cs="Calibri"/>
                <w:color w:val="000000"/>
                <w:szCs w:val="20"/>
              </w:rPr>
              <w:t>N.E.</w:t>
            </w:r>
          </w:p>
        </w:tc>
        <w:tc>
          <w:tcPr>
            <w:tcW w:w="1283" w:type="dxa"/>
            <w:vAlign w:val="center"/>
          </w:tcPr>
          <w:p w14:paraId="038599EF" w14:textId="77777777" w:rsidR="000F7B0B" w:rsidRPr="00242E0B" w:rsidRDefault="000F7B0B" w:rsidP="000878F6">
            <w:pPr>
              <w:pStyle w:val="Table"/>
              <w:jc w:val="center"/>
              <w:rPr>
                <w:szCs w:val="20"/>
              </w:rPr>
            </w:pPr>
            <w:r w:rsidRPr="00242E0B">
              <w:rPr>
                <w:rFonts w:ascii="Calibri" w:hAnsi="Calibri" w:cs="Calibri"/>
                <w:color w:val="000000"/>
                <w:szCs w:val="20"/>
              </w:rPr>
              <w:t>N.E.</w:t>
            </w:r>
          </w:p>
        </w:tc>
      </w:tr>
    </w:tbl>
    <w:p w14:paraId="4AF94B41" w14:textId="58C71640" w:rsidR="000F7B0B" w:rsidRDefault="000F7B0B" w:rsidP="000F7B0B">
      <w:pPr>
        <w:rPr>
          <w:rFonts w:eastAsia="Calibri"/>
        </w:rPr>
      </w:pP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123"/>
        <w:gridCol w:w="1124"/>
        <w:gridCol w:w="1030"/>
        <w:gridCol w:w="1217"/>
        <w:gridCol w:w="967"/>
        <w:gridCol w:w="1283"/>
      </w:tblGrid>
      <w:tr w:rsidR="000F7B0B" w:rsidRPr="00D025A1" w14:paraId="6B726562" w14:textId="77777777" w:rsidTr="00BA7936">
        <w:trPr>
          <w:trHeight w:val="264"/>
        </w:trPr>
        <w:tc>
          <w:tcPr>
            <w:tcW w:w="8991" w:type="dxa"/>
            <w:gridSpan w:val="7"/>
            <w:shd w:val="clear" w:color="auto" w:fill="003399"/>
          </w:tcPr>
          <w:p w14:paraId="370C3C4F" w14:textId="785419A3" w:rsidR="000F7B0B" w:rsidRPr="00D025A1" w:rsidRDefault="000F7B0B" w:rsidP="00B56DC0">
            <w:pPr>
              <w:pStyle w:val="Table"/>
              <w:rPr>
                <w:b/>
                <w:szCs w:val="20"/>
                <w:lang w:eastAsia="en-GB"/>
              </w:rPr>
            </w:pPr>
            <w:r w:rsidRPr="00D025A1">
              <w:rPr>
                <w:b/>
                <w:color w:val="FFFFFF" w:themeColor="background1"/>
                <w:szCs w:val="20"/>
              </w:rPr>
              <w:t xml:space="preserve">Table </w:t>
            </w:r>
            <w:r w:rsidR="00490085">
              <w:rPr>
                <w:b/>
                <w:color w:val="FFFFFF" w:themeColor="background1"/>
                <w:szCs w:val="20"/>
              </w:rPr>
              <w:t>A6</w:t>
            </w:r>
            <w:r w:rsidRPr="00D025A1">
              <w:rPr>
                <w:b/>
                <w:color w:val="FFFFFF" w:themeColor="background1"/>
                <w:szCs w:val="20"/>
              </w:rPr>
              <w:t>-</w:t>
            </w:r>
            <w:r w:rsidRPr="00D025A1">
              <w:rPr>
                <w:b/>
                <w:color w:val="FFFFFF" w:themeColor="background1"/>
                <w:szCs w:val="20"/>
              </w:rPr>
              <w:fldChar w:fldCharType="begin"/>
            </w:r>
            <w:r w:rsidRPr="00D025A1">
              <w:rPr>
                <w:b/>
                <w:color w:val="FFFFFF" w:themeColor="background1"/>
                <w:szCs w:val="20"/>
              </w:rPr>
              <w:instrText xml:space="preserve"> SEQ Table_A5- \* ARABIC </w:instrText>
            </w:r>
            <w:r w:rsidRPr="00D025A1">
              <w:rPr>
                <w:b/>
                <w:color w:val="FFFFFF" w:themeColor="background1"/>
                <w:szCs w:val="20"/>
              </w:rPr>
              <w:fldChar w:fldCharType="separate"/>
            </w:r>
            <w:r>
              <w:rPr>
                <w:b/>
                <w:color w:val="FFFFFF" w:themeColor="background1"/>
                <w:szCs w:val="20"/>
              </w:rPr>
              <w:t>63</w:t>
            </w:r>
            <w:r w:rsidRPr="00D025A1">
              <w:rPr>
                <w:b/>
                <w:color w:val="FFFFFF" w:themeColor="background1"/>
                <w:szCs w:val="20"/>
              </w:rPr>
              <w:fldChar w:fldCharType="end"/>
            </w:r>
            <w:r w:rsidRPr="00D025A1">
              <w:rPr>
                <w:b/>
                <w:color w:val="FFFFFF" w:themeColor="background1"/>
                <w:szCs w:val="20"/>
                <w:lang w:eastAsia="en-GB"/>
              </w:rPr>
              <w:t>: Environmental Impacts and Revenue Changes in Germany – Scenario B</w:t>
            </w:r>
          </w:p>
        </w:tc>
      </w:tr>
      <w:tr w:rsidR="000F7B0B" w:rsidRPr="00D025A1" w14:paraId="397826E0" w14:textId="77777777" w:rsidTr="00BA7936">
        <w:trPr>
          <w:trHeight w:val="504"/>
        </w:trPr>
        <w:tc>
          <w:tcPr>
            <w:tcW w:w="2247" w:type="dxa"/>
          </w:tcPr>
          <w:p w14:paraId="1EA853C5" w14:textId="77777777" w:rsidR="000F7B0B" w:rsidRPr="00D025A1" w:rsidRDefault="000F7B0B" w:rsidP="00B56DC0">
            <w:pPr>
              <w:pStyle w:val="Table"/>
              <w:rPr>
                <w:b/>
                <w:szCs w:val="20"/>
              </w:rPr>
            </w:pPr>
            <w:r w:rsidRPr="00D025A1">
              <w:rPr>
                <w:b/>
                <w:szCs w:val="20"/>
              </w:rPr>
              <w:t>Tax Name</w:t>
            </w:r>
          </w:p>
        </w:tc>
        <w:tc>
          <w:tcPr>
            <w:tcW w:w="2247" w:type="dxa"/>
            <w:gridSpan w:val="2"/>
            <w:vAlign w:val="bottom"/>
          </w:tcPr>
          <w:p w14:paraId="3AA26716" w14:textId="77777777" w:rsidR="000F7B0B" w:rsidRPr="00D025A1" w:rsidRDefault="000F7B0B" w:rsidP="00B56DC0">
            <w:pPr>
              <w:pStyle w:val="Table"/>
              <w:jc w:val="center"/>
              <w:rPr>
                <w:b/>
                <w:szCs w:val="20"/>
              </w:rPr>
            </w:pPr>
            <w:r w:rsidRPr="00BA7936">
              <w:rPr>
                <w:rFonts w:cstheme="minorHAnsi"/>
                <w:b/>
                <w:bCs/>
                <w:color w:val="000000"/>
                <w:szCs w:val="20"/>
              </w:rPr>
              <w:t>% Change in Quantities as % of taxed sector</w:t>
            </w:r>
          </w:p>
        </w:tc>
        <w:tc>
          <w:tcPr>
            <w:tcW w:w="2247" w:type="dxa"/>
            <w:gridSpan w:val="2"/>
            <w:vAlign w:val="bottom"/>
          </w:tcPr>
          <w:p w14:paraId="03598B84" w14:textId="77777777" w:rsidR="000F7B0B" w:rsidRPr="00D025A1" w:rsidRDefault="000F7B0B" w:rsidP="00B56DC0">
            <w:pPr>
              <w:pStyle w:val="Table"/>
              <w:jc w:val="center"/>
              <w:rPr>
                <w:b/>
                <w:szCs w:val="20"/>
              </w:rPr>
            </w:pPr>
            <w:r w:rsidRPr="00BA7936">
              <w:rPr>
                <w:rFonts w:cstheme="minorHAnsi"/>
                <w:b/>
                <w:bCs/>
                <w:color w:val="000000"/>
                <w:szCs w:val="20"/>
              </w:rPr>
              <w:t>Change in Revenues (€Mn)</w:t>
            </w:r>
          </w:p>
        </w:tc>
        <w:tc>
          <w:tcPr>
            <w:tcW w:w="2250" w:type="dxa"/>
            <w:gridSpan w:val="2"/>
            <w:vAlign w:val="bottom"/>
          </w:tcPr>
          <w:p w14:paraId="1D49F63C" w14:textId="77777777" w:rsidR="000F7B0B" w:rsidRPr="00D025A1" w:rsidRDefault="000F7B0B" w:rsidP="00B56DC0">
            <w:pPr>
              <w:pStyle w:val="Table"/>
              <w:jc w:val="center"/>
              <w:rPr>
                <w:b/>
                <w:szCs w:val="20"/>
              </w:rPr>
            </w:pPr>
            <w:r w:rsidRPr="00BA7936">
              <w:rPr>
                <w:rFonts w:cstheme="minorHAnsi"/>
                <w:b/>
                <w:bCs/>
                <w:color w:val="000000"/>
                <w:szCs w:val="20"/>
              </w:rPr>
              <w:t>As % of 2023 Resource Tax</w:t>
            </w:r>
          </w:p>
        </w:tc>
      </w:tr>
      <w:tr w:rsidR="000F7B0B" w:rsidRPr="00D025A1" w14:paraId="231431D7" w14:textId="77777777" w:rsidTr="00BA7936">
        <w:trPr>
          <w:trHeight w:val="242"/>
        </w:trPr>
        <w:tc>
          <w:tcPr>
            <w:tcW w:w="2247" w:type="dxa"/>
          </w:tcPr>
          <w:p w14:paraId="5178395D" w14:textId="77777777" w:rsidR="000F7B0B" w:rsidRPr="00D025A1" w:rsidRDefault="000F7B0B" w:rsidP="00B56DC0">
            <w:pPr>
              <w:pStyle w:val="Table"/>
              <w:jc w:val="left"/>
              <w:rPr>
                <w:b/>
                <w:szCs w:val="20"/>
              </w:rPr>
            </w:pPr>
            <w:r w:rsidRPr="00D025A1">
              <w:rPr>
                <w:b/>
                <w:szCs w:val="20"/>
              </w:rPr>
              <w:t>Year</w:t>
            </w:r>
          </w:p>
        </w:tc>
        <w:tc>
          <w:tcPr>
            <w:tcW w:w="1123" w:type="dxa"/>
          </w:tcPr>
          <w:p w14:paraId="0C3D8466" w14:textId="77777777" w:rsidR="000F7B0B" w:rsidRPr="00D025A1" w:rsidRDefault="000F7B0B" w:rsidP="00B56DC0">
            <w:pPr>
              <w:pStyle w:val="Table"/>
              <w:jc w:val="center"/>
              <w:rPr>
                <w:b/>
                <w:szCs w:val="20"/>
              </w:rPr>
            </w:pPr>
            <w:r w:rsidRPr="00D025A1">
              <w:rPr>
                <w:b/>
                <w:szCs w:val="20"/>
              </w:rPr>
              <w:t>2030</w:t>
            </w:r>
          </w:p>
        </w:tc>
        <w:tc>
          <w:tcPr>
            <w:tcW w:w="1124" w:type="dxa"/>
          </w:tcPr>
          <w:p w14:paraId="2F0CE7D7" w14:textId="77777777" w:rsidR="000F7B0B" w:rsidRPr="00D025A1" w:rsidRDefault="000F7B0B" w:rsidP="00B56DC0">
            <w:pPr>
              <w:pStyle w:val="Table"/>
              <w:jc w:val="center"/>
              <w:rPr>
                <w:b/>
                <w:szCs w:val="20"/>
              </w:rPr>
            </w:pPr>
            <w:r w:rsidRPr="00D025A1">
              <w:rPr>
                <w:b/>
                <w:szCs w:val="20"/>
              </w:rPr>
              <w:t>2035</w:t>
            </w:r>
          </w:p>
        </w:tc>
        <w:tc>
          <w:tcPr>
            <w:tcW w:w="1030" w:type="dxa"/>
          </w:tcPr>
          <w:p w14:paraId="1D26F215" w14:textId="77777777" w:rsidR="000F7B0B" w:rsidRPr="00D025A1" w:rsidRDefault="000F7B0B" w:rsidP="00B56DC0">
            <w:pPr>
              <w:pStyle w:val="Table"/>
              <w:jc w:val="center"/>
              <w:rPr>
                <w:b/>
                <w:szCs w:val="20"/>
              </w:rPr>
            </w:pPr>
            <w:r w:rsidRPr="00D025A1">
              <w:rPr>
                <w:b/>
                <w:szCs w:val="20"/>
              </w:rPr>
              <w:t>2030</w:t>
            </w:r>
          </w:p>
        </w:tc>
        <w:tc>
          <w:tcPr>
            <w:tcW w:w="1217" w:type="dxa"/>
          </w:tcPr>
          <w:p w14:paraId="7A21D456" w14:textId="77777777" w:rsidR="000F7B0B" w:rsidRPr="00D025A1" w:rsidRDefault="000F7B0B" w:rsidP="00B56DC0">
            <w:pPr>
              <w:pStyle w:val="Table"/>
              <w:jc w:val="center"/>
              <w:rPr>
                <w:b/>
                <w:szCs w:val="20"/>
              </w:rPr>
            </w:pPr>
            <w:r w:rsidRPr="00D025A1">
              <w:rPr>
                <w:b/>
                <w:szCs w:val="20"/>
              </w:rPr>
              <w:t>2035</w:t>
            </w:r>
          </w:p>
        </w:tc>
        <w:tc>
          <w:tcPr>
            <w:tcW w:w="967" w:type="dxa"/>
          </w:tcPr>
          <w:p w14:paraId="7EDBD6BB" w14:textId="77777777" w:rsidR="000F7B0B" w:rsidRPr="00D025A1" w:rsidRDefault="000F7B0B" w:rsidP="00B56DC0">
            <w:pPr>
              <w:pStyle w:val="Table"/>
              <w:jc w:val="center"/>
              <w:rPr>
                <w:b/>
                <w:szCs w:val="20"/>
              </w:rPr>
            </w:pPr>
            <w:r w:rsidRPr="00D025A1">
              <w:rPr>
                <w:b/>
                <w:szCs w:val="20"/>
              </w:rPr>
              <w:t>2030</w:t>
            </w:r>
          </w:p>
        </w:tc>
        <w:tc>
          <w:tcPr>
            <w:tcW w:w="1283" w:type="dxa"/>
          </w:tcPr>
          <w:p w14:paraId="52C9CEED" w14:textId="77777777" w:rsidR="000F7B0B" w:rsidRPr="00D025A1" w:rsidRDefault="000F7B0B" w:rsidP="00B56DC0">
            <w:pPr>
              <w:pStyle w:val="Table"/>
              <w:jc w:val="center"/>
              <w:rPr>
                <w:b/>
                <w:szCs w:val="20"/>
              </w:rPr>
            </w:pPr>
            <w:r w:rsidRPr="00D025A1">
              <w:rPr>
                <w:b/>
                <w:szCs w:val="20"/>
              </w:rPr>
              <w:t>2035</w:t>
            </w:r>
          </w:p>
        </w:tc>
      </w:tr>
      <w:tr w:rsidR="000F7B0B" w:rsidRPr="00D025A1" w14:paraId="1D0FDA4E" w14:textId="77777777" w:rsidTr="00BA7936">
        <w:trPr>
          <w:trHeight w:val="242"/>
        </w:trPr>
        <w:tc>
          <w:tcPr>
            <w:tcW w:w="2247" w:type="dxa"/>
          </w:tcPr>
          <w:p w14:paraId="58C8D37B" w14:textId="77777777" w:rsidR="000F7B0B" w:rsidRPr="00D025A1" w:rsidRDefault="000F7B0B" w:rsidP="00B56DC0">
            <w:pPr>
              <w:pStyle w:val="Table"/>
              <w:rPr>
                <w:szCs w:val="20"/>
              </w:rPr>
            </w:pPr>
            <w:r w:rsidRPr="00D025A1">
              <w:rPr>
                <w:szCs w:val="20"/>
              </w:rPr>
              <w:t>NOx</w:t>
            </w:r>
          </w:p>
        </w:tc>
        <w:tc>
          <w:tcPr>
            <w:tcW w:w="1123" w:type="dxa"/>
            <w:vAlign w:val="center"/>
          </w:tcPr>
          <w:p w14:paraId="2B65EF60" w14:textId="77777777" w:rsidR="000F7B0B" w:rsidRPr="00D025A1" w:rsidRDefault="000F7B0B" w:rsidP="00B56DC0">
            <w:pPr>
              <w:pStyle w:val="Table"/>
              <w:jc w:val="center"/>
              <w:rPr>
                <w:szCs w:val="20"/>
              </w:rPr>
            </w:pPr>
            <w:r w:rsidRPr="00BA7936">
              <w:rPr>
                <w:rFonts w:cstheme="minorHAnsi"/>
                <w:color w:val="000000"/>
                <w:szCs w:val="20"/>
              </w:rPr>
              <w:t>-7,39%</w:t>
            </w:r>
          </w:p>
        </w:tc>
        <w:tc>
          <w:tcPr>
            <w:tcW w:w="1124" w:type="dxa"/>
            <w:vAlign w:val="center"/>
          </w:tcPr>
          <w:p w14:paraId="009CF99D" w14:textId="77777777" w:rsidR="000F7B0B" w:rsidRPr="00D025A1" w:rsidRDefault="000F7B0B" w:rsidP="00B56DC0">
            <w:pPr>
              <w:pStyle w:val="Table"/>
              <w:jc w:val="center"/>
              <w:rPr>
                <w:szCs w:val="20"/>
              </w:rPr>
            </w:pPr>
            <w:r w:rsidRPr="00BA7936">
              <w:rPr>
                <w:rFonts w:cstheme="minorHAnsi"/>
                <w:color w:val="000000"/>
                <w:szCs w:val="20"/>
              </w:rPr>
              <w:t>-7,39%</w:t>
            </w:r>
          </w:p>
        </w:tc>
        <w:tc>
          <w:tcPr>
            <w:tcW w:w="1030" w:type="dxa"/>
            <w:vAlign w:val="center"/>
          </w:tcPr>
          <w:p w14:paraId="2120B74E" w14:textId="77777777" w:rsidR="000F7B0B" w:rsidRPr="00D025A1" w:rsidRDefault="000F7B0B" w:rsidP="00B56DC0">
            <w:pPr>
              <w:pStyle w:val="Table"/>
              <w:jc w:val="center"/>
              <w:rPr>
                <w:szCs w:val="20"/>
              </w:rPr>
            </w:pPr>
            <w:r w:rsidRPr="00BA7936">
              <w:rPr>
                <w:rFonts w:cstheme="minorHAnsi"/>
                <w:color w:val="000000"/>
                <w:szCs w:val="20"/>
              </w:rPr>
              <w:t>2,07</w:t>
            </w:r>
          </w:p>
        </w:tc>
        <w:tc>
          <w:tcPr>
            <w:tcW w:w="1217" w:type="dxa"/>
            <w:vAlign w:val="center"/>
          </w:tcPr>
          <w:p w14:paraId="7F24F8CF" w14:textId="77777777" w:rsidR="000F7B0B" w:rsidRPr="00D025A1" w:rsidRDefault="000F7B0B" w:rsidP="00B56DC0">
            <w:pPr>
              <w:pStyle w:val="Table"/>
              <w:jc w:val="center"/>
              <w:rPr>
                <w:szCs w:val="20"/>
              </w:rPr>
            </w:pPr>
            <w:r w:rsidRPr="00BA7936">
              <w:rPr>
                <w:rFonts w:cstheme="minorHAnsi"/>
                <w:color w:val="000000"/>
                <w:szCs w:val="20"/>
              </w:rPr>
              <w:t>1,31</w:t>
            </w:r>
          </w:p>
        </w:tc>
        <w:tc>
          <w:tcPr>
            <w:tcW w:w="967" w:type="dxa"/>
            <w:vAlign w:val="center"/>
          </w:tcPr>
          <w:p w14:paraId="486A21DC" w14:textId="77777777" w:rsidR="000F7B0B" w:rsidRPr="00D025A1" w:rsidRDefault="000F7B0B" w:rsidP="00B56DC0">
            <w:pPr>
              <w:pStyle w:val="Table"/>
              <w:jc w:val="center"/>
              <w:rPr>
                <w:szCs w:val="20"/>
              </w:rPr>
            </w:pPr>
            <w:r w:rsidRPr="00BA7936">
              <w:rPr>
                <w:rFonts w:cstheme="minorHAnsi"/>
                <w:color w:val="000000"/>
                <w:szCs w:val="20"/>
              </w:rPr>
              <w:t>NA</w:t>
            </w:r>
          </w:p>
        </w:tc>
        <w:tc>
          <w:tcPr>
            <w:tcW w:w="1283" w:type="dxa"/>
            <w:vAlign w:val="center"/>
          </w:tcPr>
          <w:p w14:paraId="2AA1D25C" w14:textId="77777777" w:rsidR="000F7B0B" w:rsidRPr="00D025A1" w:rsidRDefault="000F7B0B" w:rsidP="00B56DC0">
            <w:pPr>
              <w:pStyle w:val="Table"/>
              <w:jc w:val="center"/>
              <w:rPr>
                <w:szCs w:val="20"/>
              </w:rPr>
            </w:pPr>
            <w:r w:rsidRPr="00BA7936">
              <w:rPr>
                <w:rFonts w:cstheme="minorHAnsi"/>
                <w:color w:val="000000"/>
                <w:szCs w:val="20"/>
              </w:rPr>
              <w:t>NA</w:t>
            </w:r>
          </w:p>
        </w:tc>
      </w:tr>
      <w:tr w:rsidR="000F7B0B" w:rsidRPr="00D025A1" w14:paraId="2ABB68C9" w14:textId="77777777" w:rsidTr="00BA7936">
        <w:trPr>
          <w:trHeight w:val="242"/>
        </w:trPr>
        <w:tc>
          <w:tcPr>
            <w:tcW w:w="2247" w:type="dxa"/>
          </w:tcPr>
          <w:p w14:paraId="0436B5BC" w14:textId="77777777" w:rsidR="000F7B0B" w:rsidRPr="00D025A1" w:rsidRDefault="000F7B0B" w:rsidP="00B56DC0">
            <w:pPr>
              <w:pStyle w:val="Table"/>
              <w:rPr>
                <w:szCs w:val="20"/>
              </w:rPr>
            </w:pPr>
            <w:r w:rsidRPr="00D025A1">
              <w:rPr>
                <w:szCs w:val="20"/>
              </w:rPr>
              <w:t>SO2</w:t>
            </w:r>
          </w:p>
        </w:tc>
        <w:tc>
          <w:tcPr>
            <w:tcW w:w="1123" w:type="dxa"/>
            <w:vAlign w:val="center"/>
          </w:tcPr>
          <w:p w14:paraId="41E6A724" w14:textId="77777777" w:rsidR="000F7B0B" w:rsidRPr="00D025A1" w:rsidRDefault="000F7B0B" w:rsidP="00B56DC0">
            <w:pPr>
              <w:pStyle w:val="Table"/>
              <w:jc w:val="center"/>
              <w:rPr>
                <w:szCs w:val="20"/>
              </w:rPr>
            </w:pPr>
            <w:r w:rsidRPr="00BA7936">
              <w:rPr>
                <w:rFonts w:cstheme="minorHAnsi"/>
                <w:color w:val="000000"/>
                <w:szCs w:val="20"/>
              </w:rPr>
              <w:t>-8,11%</w:t>
            </w:r>
          </w:p>
        </w:tc>
        <w:tc>
          <w:tcPr>
            <w:tcW w:w="1124" w:type="dxa"/>
            <w:vAlign w:val="center"/>
          </w:tcPr>
          <w:p w14:paraId="48A6F29C" w14:textId="77777777" w:rsidR="000F7B0B" w:rsidRPr="00D025A1" w:rsidRDefault="000F7B0B" w:rsidP="00B56DC0">
            <w:pPr>
              <w:pStyle w:val="Table"/>
              <w:jc w:val="center"/>
              <w:rPr>
                <w:szCs w:val="20"/>
              </w:rPr>
            </w:pPr>
            <w:r w:rsidRPr="00BA7936">
              <w:rPr>
                <w:rFonts w:cstheme="minorHAnsi"/>
                <w:color w:val="000000"/>
                <w:szCs w:val="20"/>
              </w:rPr>
              <w:t>-8,11%</w:t>
            </w:r>
          </w:p>
        </w:tc>
        <w:tc>
          <w:tcPr>
            <w:tcW w:w="1030" w:type="dxa"/>
            <w:vAlign w:val="center"/>
          </w:tcPr>
          <w:p w14:paraId="47B61F0A" w14:textId="77777777" w:rsidR="000F7B0B" w:rsidRPr="00D025A1" w:rsidRDefault="000F7B0B" w:rsidP="00B56DC0">
            <w:pPr>
              <w:pStyle w:val="Table"/>
              <w:jc w:val="center"/>
              <w:rPr>
                <w:szCs w:val="20"/>
              </w:rPr>
            </w:pPr>
            <w:r w:rsidRPr="00BA7936">
              <w:rPr>
                <w:rFonts w:cstheme="minorHAnsi"/>
                <w:color w:val="000000"/>
                <w:szCs w:val="20"/>
              </w:rPr>
              <w:t>58,17</w:t>
            </w:r>
          </w:p>
        </w:tc>
        <w:tc>
          <w:tcPr>
            <w:tcW w:w="1217" w:type="dxa"/>
            <w:vAlign w:val="center"/>
          </w:tcPr>
          <w:p w14:paraId="30D1B0B4" w14:textId="77777777" w:rsidR="000F7B0B" w:rsidRPr="00D025A1" w:rsidRDefault="000F7B0B" w:rsidP="00B56DC0">
            <w:pPr>
              <w:pStyle w:val="Table"/>
              <w:jc w:val="center"/>
              <w:rPr>
                <w:szCs w:val="20"/>
              </w:rPr>
            </w:pPr>
            <w:r w:rsidRPr="00BA7936">
              <w:rPr>
                <w:rFonts w:cstheme="minorHAnsi"/>
                <w:color w:val="000000"/>
                <w:szCs w:val="20"/>
              </w:rPr>
              <w:t>50,87</w:t>
            </w:r>
          </w:p>
        </w:tc>
        <w:tc>
          <w:tcPr>
            <w:tcW w:w="967" w:type="dxa"/>
            <w:vAlign w:val="center"/>
          </w:tcPr>
          <w:p w14:paraId="7774BCB5" w14:textId="77777777" w:rsidR="000F7B0B" w:rsidRPr="00D025A1" w:rsidRDefault="000F7B0B" w:rsidP="00B56DC0">
            <w:pPr>
              <w:pStyle w:val="Table"/>
              <w:jc w:val="center"/>
              <w:rPr>
                <w:szCs w:val="20"/>
              </w:rPr>
            </w:pPr>
            <w:r w:rsidRPr="00BA7936">
              <w:rPr>
                <w:rFonts w:cstheme="minorHAnsi"/>
                <w:color w:val="000000"/>
                <w:szCs w:val="20"/>
              </w:rPr>
              <w:t>NA</w:t>
            </w:r>
          </w:p>
        </w:tc>
        <w:tc>
          <w:tcPr>
            <w:tcW w:w="1283" w:type="dxa"/>
            <w:vAlign w:val="center"/>
          </w:tcPr>
          <w:p w14:paraId="54786B5B" w14:textId="77777777" w:rsidR="000F7B0B" w:rsidRPr="00D025A1" w:rsidRDefault="000F7B0B" w:rsidP="00B56DC0">
            <w:pPr>
              <w:pStyle w:val="Table"/>
              <w:jc w:val="center"/>
              <w:rPr>
                <w:szCs w:val="20"/>
              </w:rPr>
            </w:pPr>
            <w:r w:rsidRPr="00BA7936">
              <w:rPr>
                <w:rFonts w:cstheme="minorHAnsi"/>
                <w:color w:val="000000"/>
                <w:szCs w:val="20"/>
              </w:rPr>
              <w:t>NA</w:t>
            </w:r>
          </w:p>
        </w:tc>
      </w:tr>
      <w:tr w:rsidR="000F7B0B" w:rsidRPr="00D025A1" w14:paraId="57304834" w14:textId="77777777" w:rsidTr="00BA7936">
        <w:trPr>
          <w:trHeight w:val="242"/>
        </w:trPr>
        <w:tc>
          <w:tcPr>
            <w:tcW w:w="2247" w:type="dxa"/>
          </w:tcPr>
          <w:p w14:paraId="72AFC1FB" w14:textId="77777777" w:rsidR="000F7B0B" w:rsidRPr="00D025A1" w:rsidRDefault="000F7B0B" w:rsidP="00B56DC0">
            <w:pPr>
              <w:pStyle w:val="Table"/>
              <w:rPr>
                <w:szCs w:val="20"/>
              </w:rPr>
            </w:pPr>
            <w:r w:rsidRPr="00D025A1">
              <w:rPr>
                <w:szCs w:val="20"/>
              </w:rPr>
              <w:t>PM2.5</w:t>
            </w:r>
          </w:p>
        </w:tc>
        <w:tc>
          <w:tcPr>
            <w:tcW w:w="1123" w:type="dxa"/>
            <w:vAlign w:val="center"/>
          </w:tcPr>
          <w:p w14:paraId="5BB1A7A7" w14:textId="77777777" w:rsidR="000F7B0B" w:rsidRPr="00D025A1" w:rsidRDefault="000F7B0B" w:rsidP="00B56DC0">
            <w:pPr>
              <w:pStyle w:val="Table"/>
              <w:jc w:val="center"/>
              <w:rPr>
                <w:szCs w:val="20"/>
              </w:rPr>
            </w:pPr>
            <w:r w:rsidRPr="00BA7936">
              <w:rPr>
                <w:rFonts w:cstheme="minorHAnsi"/>
                <w:color w:val="000000"/>
                <w:szCs w:val="20"/>
              </w:rPr>
              <w:t>-7,39%</w:t>
            </w:r>
          </w:p>
        </w:tc>
        <w:tc>
          <w:tcPr>
            <w:tcW w:w="1124" w:type="dxa"/>
            <w:vAlign w:val="center"/>
          </w:tcPr>
          <w:p w14:paraId="49799A0B" w14:textId="77777777" w:rsidR="000F7B0B" w:rsidRPr="00D025A1" w:rsidRDefault="000F7B0B" w:rsidP="00B56DC0">
            <w:pPr>
              <w:pStyle w:val="Table"/>
              <w:jc w:val="center"/>
              <w:rPr>
                <w:szCs w:val="20"/>
              </w:rPr>
            </w:pPr>
            <w:r w:rsidRPr="00BA7936">
              <w:rPr>
                <w:rFonts w:cstheme="minorHAnsi"/>
                <w:color w:val="000000"/>
                <w:szCs w:val="20"/>
              </w:rPr>
              <w:t>-7,39%</w:t>
            </w:r>
          </w:p>
        </w:tc>
        <w:tc>
          <w:tcPr>
            <w:tcW w:w="1030" w:type="dxa"/>
            <w:vAlign w:val="center"/>
          </w:tcPr>
          <w:p w14:paraId="591772CF" w14:textId="77777777" w:rsidR="000F7B0B" w:rsidRPr="00D025A1" w:rsidRDefault="000F7B0B" w:rsidP="00B56DC0">
            <w:pPr>
              <w:pStyle w:val="Table"/>
              <w:jc w:val="center"/>
              <w:rPr>
                <w:szCs w:val="20"/>
              </w:rPr>
            </w:pPr>
            <w:r w:rsidRPr="00BA7936">
              <w:rPr>
                <w:rFonts w:cstheme="minorHAnsi"/>
                <w:color w:val="000000"/>
                <w:szCs w:val="20"/>
              </w:rPr>
              <w:t>4,20</w:t>
            </w:r>
          </w:p>
        </w:tc>
        <w:tc>
          <w:tcPr>
            <w:tcW w:w="1217" w:type="dxa"/>
            <w:vAlign w:val="center"/>
          </w:tcPr>
          <w:p w14:paraId="739C4EBB" w14:textId="77777777" w:rsidR="000F7B0B" w:rsidRPr="00D025A1" w:rsidRDefault="000F7B0B" w:rsidP="00B56DC0">
            <w:pPr>
              <w:pStyle w:val="Table"/>
              <w:jc w:val="center"/>
              <w:rPr>
                <w:szCs w:val="20"/>
              </w:rPr>
            </w:pPr>
            <w:r w:rsidRPr="00BA7936">
              <w:rPr>
                <w:rFonts w:cstheme="minorHAnsi"/>
                <w:color w:val="000000"/>
                <w:szCs w:val="20"/>
              </w:rPr>
              <w:t>3,34</w:t>
            </w:r>
          </w:p>
        </w:tc>
        <w:tc>
          <w:tcPr>
            <w:tcW w:w="967" w:type="dxa"/>
            <w:vAlign w:val="center"/>
          </w:tcPr>
          <w:p w14:paraId="4E854C7A" w14:textId="77777777" w:rsidR="000F7B0B" w:rsidRPr="00D025A1" w:rsidRDefault="000F7B0B" w:rsidP="00B56DC0">
            <w:pPr>
              <w:pStyle w:val="Table"/>
              <w:jc w:val="center"/>
              <w:rPr>
                <w:szCs w:val="20"/>
              </w:rPr>
            </w:pPr>
            <w:r w:rsidRPr="00BA7936">
              <w:rPr>
                <w:rFonts w:cstheme="minorHAnsi"/>
                <w:color w:val="000000"/>
                <w:szCs w:val="20"/>
              </w:rPr>
              <w:t>NA</w:t>
            </w:r>
          </w:p>
        </w:tc>
        <w:tc>
          <w:tcPr>
            <w:tcW w:w="1283" w:type="dxa"/>
            <w:vAlign w:val="center"/>
          </w:tcPr>
          <w:p w14:paraId="6AD3B76A" w14:textId="77777777" w:rsidR="000F7B0B" w:rsidRPr="00D025A1" w:rsidRDefault="000F7B0B" w:rsidP="00B56DC0">
            <w:pPr>
              <w:pStyle w:val="Table"/>
              <w:jc w:val="center"/>
              <w:rPr>
                <w:szCs w:val="20"/>
              </w:rPr>
            </w:pPr>
            <w:r w:rsidRPr="00BA7936">
              <w:rPr>
                <w:rFonts w:cstheme="minorHAnsi"/>
                <w:color w:val="000000"/>
                <w:szCs w:val="20"/>
              </w:rPr>
              <w:t>NA</w:t>
            </w:r>
          </w:p>
        </w:tc>
      </w:tr>
      <w:tr w:rsidR="000F7B0B" w:rsidRPr="00D025A1" w14:paraId="4EEE0DCC" w14:textId="77777777" w:rsidTr="00BA7936">
        <w:trPr>
          <w:trHeight w:val="242"/>
        </w:trPr>
        <w:tc>
          <w:tcPr>
            <w:tcW w:w="2247" w:type="dxa"/>
          </w:tcPr>
          <w:p w14:paraId="724EE5E7" w14:textId="77777777" w:rsidR="000F7B0B" w:rsidRPr="00D025A1" w:rsidRDefault="000F7B0B" w:rsidP="00B56DC0">
            <w:pPr>
              <w:pStyle w:val="Table"/>
              <w:rPr>
                <w:szCs w:val="20"/>
              </w:rPr>
            </w:pPr>
            <w:r w:rsidRPr="00D025A1">
              <w:rPr>
                <w:szCs w:val="20"/>
              </w:rPr>
              <w:t>Water Abstraction</w:t>
            </w:r>
          </w:p>
        </w:tc>
        <w:tc>
          <w:tcPr>
            <w:tcW w:w="1123" w:type="dxa"/>
            <w:vAlign w:val="center"/>
          </w:tcPr>
          <w:p w14:paraId="57D6C827" w14:textId="77777777" w:rsidR="000F7B0B" w:rsidRPr="00D025A1" w:rsidRDefault="000F7B0B" w:rsidP="00B56DC0">
            <w:pPr>
              <w:pStyle w:val="Table"/>
              <w:jc w:val="center"/>
              <w:rPr>
                <w:szCs w:val="20"/>
              </w:rPr>
            </w:pPr>
            <w:r w:rsidRPr="00BA7936">
              <w:rPr>
                <w:rFonts w:cstheme="minorHAnsi"/>
                <w:color w:val="000000"/>
                <w:szCs w:val="20"/>
              </w:rPr>
              <w:t>0,00%</w:t>
            </w:r>
          </w:p>
        </w:tc>
        <w:tc>
          <w:tcPr>
            <w:tcW w:w="1124" w:type="dxa"/>
            <w:vAlign w:val="center"/>
          </w:tcPr>
          <w:p w14:paraId="65C955F5" w14:textId="77777777" w:rsidR="000F7B0B" w:rsidRPr="00D025A1" w:rsidRDefault="000F7B0B" w:rsidP="00B56DC0">
            <w:pPr>
              <w:pStyle w:val="Table"/>
              <w:jc w:val="center"/>
              <w:rPr>
                <w:szCs w:val="20"/>
              </w:rPr>
            </w:pPr>
            <w:r w:rsidRPr="00BA7936">
              <w:rPr>
                <w:rFonts w:cstheme="minorHAnsi"/>
                <w:color w:val="000000"/>
                <w:szCs w:val="20"/>
              </w:rPr>
              <w:t>0,00%</w:t>
            </w:r>
          </w:p>
        </w:tc>
        <w:tc>
          <w:tcPr>
            <w:tcW w:w="1030" w:type="dxa"/>
            <w:vAlign w:val="center"/>
          </w:tcPr>
          <w:p w14:paraId="77F39761" w14:textId="77777777" w:rsidR="000F7B0B" w:rsidRPr="00D025A1" w:rsidRDefault="000F7B0B" w:rsidP="00B56DC0">
            <w:pPr>
              <w:pStyle w:val="Table"/>
              <w:jc w:val="center"/>
              <w:rPr>
                <w:szCs w:val="20"/>
              </w:rPr>
            </w:pPr>
            <w:r w:rsidRPr="00BA7936">
              <w:rPr>
                <w:rFonts w:cstheme="minorHAnsi"/>
                <w:color w:val="000000"/>
                <w:szCs w:val="20"/>
              </w:rPr>
              <w:t>0,00</w:t>
            </w:r>
          </w:p>
        </w:tc>
        <w:tc>
          <w:tcPr>
            <w:tcW w:w="1217" w:type="dxa"/>
            <w:vAlign w:val="center"/>
          </w:tcPr>
          <w:p w14:paraId="57035C59" w14:textId="77777777" w:rsidR="000F7B0B" w:rsidRPr="00D025A1" w:rsidRDefault="000F7B0B" w:rsidP="00B56DC0">
            <w:pPr>
              <w:pStyle w:val="Table"/>
              <w:jc w:val="center"/>
              <w:rPr>
                <w:szCs w:val="20"/>
              </w:rPr>
            </w:pPr>
            <w:r w:rsidRPr="00BA7936">
              <w:rPr>
                <w:rFonts w:cstheme="minorHAnsi"/>
                <w:color w:val="000000"/>
                <w:szCs w:val="20"/>
              </w:rPr>
              <w:t>0,00</w:t>
            </w:r>
          </w:p>
        </w:tc>
        <w:tc>
          <w:tcPr>
            <w:tcW w:w="967" w:type="dxa"/>
            <w:vAlign w:val="center"/>
          </w:tcPr>
          <w:p w14:paraId="36FAA2C4" w14:textId="77777777" w:rsidR="000F7B0B" w:rsidRPr="00D025A1" w:rsidRDefault="000F7B0B" w:rsidP="00B56DC0">
            <w:pPr>
              <w:pStyle w:val="Table"/>
              <w:jc w:val="center"/>
              <w:rPr>
                <w:szCs w:val="20"/>
              </w:rPr>
            </w:pPr>
            <w:r w:rsidRPr="00BA7936">
              <w:rPr>
                <w:rFonts w:cstheme="minorHAnsi"/>
                <w:color w:val="000000"/>
                <w:szCs w:val="20"/>
              </w:rPr>
              <w:t>N.E.</w:t>
            </w:r>
          </w:p>
        </w:tc>
        <w:tc>
          <w:tcPr>
            <w:tcW w:w="1283" w:type="dxa"/>
            <w:vAlign w:val="center"/>
          </w:tcPr>
          <w:p w14:paraId="48430A46" w14:textId="77777777" w:rsidR="000F7B0B" w:rsidRPr="00D025A1" w:rsidRDefault="000F7B0B" w:rsidP="00B56DC0">
            <w:pPr>
              <w:pStyle w:val="Table"/>
              <w:jc w:val="center"/>
              <w:rPr>
                <w:szCs w:val="20"/>
              </w:rPr>
            </w:pPr>
            <w:r w:rsidRPr="00BA7936">
              <w:rPr>
                <w:rFonts w:cstheme="minorHAnsi"/>
                <w:color w:val="000000"/>
                <w:szCs w:val="20"/>
              </w:rPr>
              <w:t>N.E.</w:t>
            </w:r>
          </w:p>
        </w:tc>
      </w:tr>
      <w:tr w:rsidR="000F7B0B" w:rsidRPr="00D025A1" w14:paraId="31E2B1EF" w14:textId="77777777" w:rsidTr="00BA7936">
        <w:trPr>
          <w:trHeight w:val="260"/>
        </w:trPr>
        <w:tc>
          <w:tcPr>
            <w:tcW w:w="2247" w:type="dxa"/>
          </w:tcPr>
          <w:p w14:paraId="1D943A4E" w14:textId="77777777" w:rsidR="000F7B0B" w:rsidRPr="00D025A1" w:rsidRDefault="000F7B0B" w:rsidP="00B56DC0">
            <w:pPr>
              <w:pStyle w:val="Table"/>
              <w:rPr>
                <w:szCs w:val="20"/>
              </w:rPr>
            </w:pPr>
            <w:r w:rsidRPr="00D025A1">
              <w:rPr>
                <w:szCs w:val="20"/>
              </w:rPr>
              <w:t>Fertilizers</w:t>
            </w:r>
          </w:p>
        </w:tc>
        <w:tc>
          <w:tcPr>
            <w:tcW w:w="1123" w:type="dxa"/>
            <w:vAlign w:val="center"/>
          </w:tcPr>
          <w:p w14:paraId="5A8D8B17" w14:textId="77777777" w:rsidR="000F7B0B" w:rsidRPr="00D025A1" w:rsidRDefault="000F7B0B" w:rsidP="00B56DC0">
            <w:pPr>
              <w:pStyle w:val="Table"/>
              <w:jc w:val="center"/>
              <w:rPr>
                <w:szCs w:val="20"/>
              </w:rPr>
            </w:pPr>
            <w:r w:rsidRPr="00BA7936">
              <w:rPr>
                <w:rFonts w:cstheme="minorHAnsi"/>
                <w:color w:val="000000"/>
                <w:szCs w:val="20"/>
              </w:rPr>
              <w:t>-8,99%</w:t>
            </w:r>
          </w:p>
        </w:tc>
        <w:tc>
          <w:tcPr>
            <w:tcW w:w="1124" w:type="dxa"/>
            <w:vAlign w:val="center"/>
          </w:tcPr>
          <w:p w14:paraId="031DD983" w14:textId="77777777" w:rsidR="000F7B0B" w:rsidRPr="00D025A1" w:rsidRDefault="000F7B0B" w:rsidP="00B56DC0">
            <w:pPr>
              <w:pStyle w:val="Table"/>
              <w:jc w:val="center"/>
              <w:rPr>
                <w:szCs w:val="20"/>
              </w:rPr>
            </w:pPr>
            <w:r w:rsidRPr="00BA7936">
              <w:rPr>
                <w:rFonts w:cstheme="minorHAnsi"/>
                <w:color w:val="000000"/>
                <w:szCs w:val="20"/>
              </w:rPr>
              <w:t>-8,99%</w:t>
            </w:r>
          </w:p>
        </w:tc>
        <w:tc>
          <w:tcPr>
            <w:tcW w:w="1030" w:type="dxa"/>
            <w:vAlign w:val="center"/>
          </w:tcPr>
          <w:p w14:paraId="2B2E1623" w14:textId="77777777" w:rsidR="000F7B0B" w:rsidRPr="00D025A1" w:rsidRDefault="000F7B0B" w:rsidP="00B56DC0">
            <w:pPr>
              <w:pStyle w:val="Table"/>
              <w:jc w:val="center"/>
              <w:rPr>
                <w:szCs w:val="20"/>
              </w:rPr>
            </w:pPr>
            <w:r w:rsidRPr="00BA7936">
              <w:rPr>
                <w:rFonts w:cstheme="minorHAnsi"/>
                <w:color w:val="000000"/>
                <w:szCs w:val="20"/>
              </w:rPr>
              <w:t>25,73</w:t>
            </w:r>
          </w:p>
        </w:tc>
        <w:tc>
          <w:tcPr>
            <w:tcW w:w="1217" w:type="dxa"/>
            <w:vAlign w:val="center"/>
          </w:tcPr>
          <w:p w14:paraId="22140241" w14:textId="77777777" w:rsidR="000F7B0B" w:rsidRPr="00D025A1" w:rsidRDefault="000F7B0B" w:rsidP="00B56DC0">
            <w:pPr>
              <w:pStyle w:val="Table"/>
              <w:jc w:val="center"/>
              <w:rPr>
                <w:szCs w:val="20"/>
              </w:rPr>
            </w:pPr>
            <w:r w:rsidRPr="00BA7936">
              <w:rPr>
                <w:rFonts w:cstheme="minorHAnsi"/>
                <w:color w:val="000000"/>
                <w:szCs w:val="20"/>
              </w:rPr>
              <w:t>21,83</w:t>
            </w:r>
          </w:p>
        </w:tc>
        <w:tc>
          <w:tcPr>
            <w:tcW w:w="967" w:type="dxa"/>
            <w:vAlign w:val="center"/>
          </w:tcPr>
          <w:p w14:paraId="74A7314E" w14:textId="77777777" w:rsidR="000F7B0B" w:rsidRPr="00D025A1" w:rsidRDefault="000F7B0B" w:rsidP="00B56DC0">
            <w:pPr>
              <w:pStyle w:val="Table"/>
              <w:jc w:val="center"/>
              <w:rPr>
                <w:szCs w:val="20"/>
              </w:rPr>
            </w:pPr>
            <w:r w:rsidRPr="00BA7936">
              <w:rPr>
                <w:rFonts w:cstheme="minorHAnsi"/>
                <w:color w:val="000000"/>
                <w:szCs w:val="20"/>
              </w:rPr>
              <w:t>n.e.</w:t>
            </w:r>
          </w:p>
        </w:tc>
        <w:tc>
          <w:tcPr>
            <w:tcW w:w="1283" w:type="dxa"/>
            <w:vAlign w:val="center"/>
          </w:tcPr>
          <w:p w14:paraId="4D1B784B" w14:textId="77777777" w:rsidR="000F7B0B" w:rsidRPr="00D025A1" w:rsidRDefault="000F7B0B" w:rsidP="00B56DC0">
            <w:pPr>
              <w:pStyle w:val="Table"/>
              <w:jc w:val="center"/>
              <w:rPr>
                <w:szCs w:val="20"/>
              </w:rPr>
            </w:pPr>
            <w:r w:rsidRPr="00BA7936">
              <w:rPr>
                <w:rFonts w:cstheme="minorHAnsi"/>
                <w:color w:val="000000"/>
                <w:szCs w:val="20"/>
              </w:rPr>
              <w:t>n.e.</w:t>
            </w:r>
          </w:p>
        </w:tc>
      </w:tr>
      <w:tr w:rsidR="000F7B0B" w:rsidRPr="00D025A1" w14:paraId="37C58D94" w14:textId="77777777" w:rsidTr="00BA7936">
        <w:trPr>
          <w:trHeight w:val="242"/>
        </w:trPr>
        <w:tc>
          <w:tcPr>
            <w:tcW w:w="2247" w:type="dxa"/>
          </w:tcPr>
          <w:p w14:paraId="60D0EBBF" w14:textId="77777777" w:rsidR="000F7B0B" w:rsidRPr="00D025A1" w:rsidRDefault="000F7B0B" w:rsidP="00B56DC0">
            <w:pPr>
              <w:pStyle w:val="Table"/>
              <w:rPr>
                <w:szCs w:val="20"/>
              </w:rPr>
            </w:pPr>
            <w:r w:rsidRPr="00D025A1">
              <w:rPr>
                <w:szCs w:val="20"/>
              </w:rPr>
              <w:t>Pesticides</w:t>
            </w:r>
          </w:p>
        </w:tc>
        <w:tc>
          <w:tcPr>
            <w:tcW w:w="1123" w:type="dxa"/>
            <w:vAlign w:val="center"/>
          </w:tcPr>
          <w:p w14:paraId="49F0FAFE" w14:textId="77777777" w:rsidR="000F7B0B" w:rsidRPr="00D025A1" w:rsidRDefault="000F7B0B" w:rsidP="00B56DC0">
            <w:pPr>
              <w:pStyle w:val="Table"/>
              <w:jc w:val="center"/>
              <w:rPr>
                <w:szCs w:val="20"/>
              </w:rPr>
            </w:pPr>
            <w:r w:rsidRPr="00BA7936">
              <w:rPr>
                <w:rFonts w:cstheme="minorHAnsi"/>
                <w:color w:val="000000"/>
                <w:szCs w:val="20"/>
              </w:rPr>
              <w:t>n/a</w:t>
            </w:r>
          </w:p>
        </w:tc>
        <w:tc>
          <w:tcPr>
            <w:tcW w:w="1124" w:type="dxa"/>
            <w:vAlign w:val="center"/>
          </w:tcPr>
          <w:p w14:paraId="3CD9BEBC" w14:textId="77777777" w:rsidR="000F7B0B" w:rsidRPr="00D025A1" w:rsidRDefault="000F7B0B" w:rsidP="00B56DC0">
            <w:pPr>
              <w:pStyle w:val="Table"/>
              <w:jc w:val="center"/>
              <w:rPr>
                <w:szCs w:val="20"/>
              </w:rPr>
            </w:pPr>
            <w:r w:rsidRPr="00BA7936">
              <w:rPr>
                <w:rFonts w:cstheme="minorHAnsi"/>
                <w:color w:val="000000"/>
                <w:szCs w:val="20"/>
              </w:rPr>
              <w:t>n/a</w:t>
            </w:r>
          </w:p>
        </w:tc>
        <w:tc>
          <w:tcPr>
            <w:tcW w:w="1030" w:type="dxa"/>
            <w:vAlign w:val="center"/>
          </w:tcPr>
          <w:p w14:paraId="087711AF" w14:textId="77777777" w:rsidR="000F7B0B" w:rsidRPr="00D025A1" w:rsidRDefault="000F7B0B" w:rsidP="00B56DC0">
            <w:pPr>
              <w:pStyle w:val="Table"/>
              <w:jc w:val="center"/>
              <w:rPr>
                <w:szCs w:val="20"/>
              </w:rPr>
            </w:pPr>
            <w:r w:rsidRPr="00BA7936">
              <w:rPr>
                <w:rFonts w:cstheme="minorHAnsi"/>
                <w:color w:val="000000"/>
                <w:szCs w:val="20"/>
              </w:rPr>
              <w:t>174,70</w:t>
            </w:r>
          </w:p>
        </w:tc>
        <w:tc>
          <w:tcPr>
            <w:tcW w:w="1217" w:type="dxa"/>
            <w:vAlign w:val="center"/>
          </w:tcPr>
          <w:p w14:paraId="5AEE22D1" w14:textId="77777777" w:rsidR="000F7B0B" w:rsidRPr="00D025A1" w:rsidRDefault="000F7B0B" w:rsidP="00B56DC0">
            <w:pPr>
              <w:pStyle w:val="Table"/>
              <w:jc w:val="center"/>
              <w:rPr>
                <w:szCs w:val="20"/>
              </w:rPr>
            </w:pPr>
            <w:r w:rsidRPr="00BA7936">
              <w:rPr>
                <w:rFonts w:cstheme="minorHAnsi"/>
                <w:color w:val="000000"/>
                <w:szCs w:val="20"/>
              </w:rPr>
              <w:t>173,89</w:t>
            </w:r>
          </w:p>
        </w:tc>
        <w:tc>
          <w:tcPr>
            <w:tcW w:w="967" w:type="dxa"/>
            <w:vAlign w:val="center"/>
          </w:tcPr>
          <w:p w14:paraId="7CBA8743" w14:textId="77777777" w:rsidR="000F7B0B" w:rsidRPr="00D025A1" w:rsidRDefault="000F7B0B" w:rsidP="00B56DC0">
            <w:pPr>
              <w:pStyle w:val="Table"/>
              <w:jc w:val="center"/>
              <w:rPr>
                <w:szCs w:val="20"/>
              </w:rPr>
            </w:pPr>
            <w:r w:rsidRPr="00BA7936">
              <w:rPr>
                <w:rFonts w:cstheme="minorHAnsi"/>
                <w:color w:val="000000"/>
                <w:szCs w:val="20"/>
              </w:rPr>
              <w:t>0,0%</w:t>
            </w:r>
          </w:p>
        </w:tc>
        <w:tc>
          <w:tcPr>
            <w:tcW w:w="1283" w:type="dxa"/>
            <w:vAlign w:val="center"/>
          </w:tcPr>
          <w:p w14:paraId="1AE3FF4B" w14:textId="77777777" w:rsidR="000F7B0B" w:rsidRPr="00D025A1" w:rsidRDefault="000F7B0B" w:rsidP="00B56DC0">
            <w:pPr>
              <w:pStyle w:val="Table"/>
              <w:jc w:val="center"/>
              <w:rPr>
                <w:szCs w:val="20"/>
              </w:rPr>
            </w:pPr>
            <w:r w:rsidRPr="00BA7936">
              <w:rPr>
                <w:rFonts w:cstheme="minorHAnsi"/>
                <w:color w:val="000000"/>
                <w:szCs w:val="20"/>
              </w:rPr>
              <w:t>0,0%</w:t>
            </w:r>
          </w:p>
        </w:tc>
      </w:tr>
      <w:tr w:rsidR="000F7B0B" w:rsidRPr="00D025A1" w14:paraId="2A80285A" w14:textId="77777777" w:rsidTr="00BA7936">
        <w:trPr>
          <w:trHeight w:val="242"/>
        </w:trPr>
        <w:tc>
          <w:tcPr>
            <w:tcW w:w="2247" w:type="dxa"/>
          </w:tcPr>
          <w:p w14:paraId="30D53C7C" w14:textId="77777777" w:rsidR="000F7B0B" w:rsidRPr="00D025A1" w:rsidRDefault="000F7B0B" w:rsidP="00B56DC0">
            <w:pPr>
              <w:pStyle w:val="Table"/>
              <w:rPr>
                <w:szCs w:val="20"/>
              </w:rPr>
            </w:pPr>
            <w:r w:rsidRPr="00D025A1">
              <w:rPr>
                <w:szCs w:val="20"/>
              </w:rPr>
              <w:t>Waste Incineration</w:t>
            </w:r>
          </w:p>
        </w:tc>
        <w:tc>
          <w:tcPr>
            <w:tcW w:w="1123" w:type="dxa"/>
            <w:vAlign w:val="center"/>
          </w:tcPr>
          <w:p w14:paraId="7F7E3317" w14:textId="77777777" w:rsidR="000F7B0B" w:rsidRPr="00D025A1" w:rsidRDefault="000F7B0B" w:rsidP="00B56DC0">
            <w:pPr>
              <w:pStyle w:val="Table"/>
              <w:jc w:val="center"/>
              <w:rPr>
                <w:szCs w:val="20"/>
              </w:rPr>
            </w:pPr>
            <w:r w:rsidRPr="00BA7936">
              <w:rPr>
                <w:rFonts w:cstheme="minorHAnsi"/>
                <w:color w:val="000000"/>
                <w:szCs w:val="20"/>
              </w:rPr>
              <w:t>-8,31%</w:t>
            </w:r>
          </w:p>
        </w:tc>
        <w:tc>
          <w:tcPr>
            <w:tcW w:w="1124" w:type="dxa"/>
            <w:vAlign w:val="center"/>
          </w:tcPr>
          <w:p w14:paraId="277AF597" w14:textId="77777777" w:rsidR="000F7B0B" w:rsidRPr="00D025A1" w:rsidRDefault="000F7B0B" w:rsidP="00B56DC0">
            <w:pPr>
              <w:pStyle w:val="Table"/>
              <w:jc w:val="center"/>
              <w:rPr>
                <w:szCs w:val="20"/>
              </w:rPr>
            </w:pPr>
            <w:r w:rsidRPr="00BA7936">
              <w:rPr>
                <w:rFonts w:cstheme="minorHAnsi"/>
                <w:color w:val="000000"/>
                <w:szCs w:val="20"/>
              </w:rPr>
              <w:t>-8,31%</w:t>
            </w:r>
          </w:p>
        </w:tc>
        <w:tc>
          <w:tcPr>
            <w:tcW w:w="1030" w:type="dxa"/>
            <w:vAlign w:val="center"/>
          </w:tcPr>
          <w:p w14:paraId="332C5B7A" w14:textId="77777777" w:rsidR="000F7B0B" w:rsidRPr="00D025A1" w:rsidRDefault="000F7B0B" w:rsidP="00B56DC0">
            <w:pPr>
              <w:pStyle w:val="Table"/>
              <w:jc w:val="center"/>
              <w:rPr>
                <w:szCs w:val="20"/>
              </w:rPr>
            </w:pPr>
            <w:r w:rsidRPr="00BA7936">
              <w:rPr>
                <w:rFonts w:cstheme="minorHAnsi"/>
                <w:color w:val="000000"/>
                <w:szCs w:val="20"/>
              </w:rPr>
              <w:t>5,85</w:t>
            </w:r>
          </w:p>
        </w:tc>
        <w:tc>
          <w:tcPr>
            <w:tcW w:w="1217" w:type="dxa"/>
            <w:vAlign w:val="center"/>
          </w:tcPr>
          <w:p w14:paraId="47BE24F2" w14:textId="77777777" w:rsidR="000F7B0B" w:rsidRPr="00D025A1" w:rsidRDefault="000F7B0B" w:rsidP="00B56DC0">
            <w:pPr>
              <w:pStyle w:val="Table"/>
              <w:jc w:val="center"/>
              <w:rPr>
                <w:szCs w:val="20"/>
              </w:rPr>
            </w:pPr>
            <w:r w:rsidRPr="00BA7936">
              <w:rPr>
                <w:rFonts w:cstheme="minorHAnsi"/>
                <w:color w:val="000000"/>
                <w:szCs w:val="20"/>
              </w:rPr>
              <w:t>3,26</w:t>
            </w:r>
          </w:p>
        </w:tc>
        <w:tc>
          <w:tcPr>
            <w:tcW w:w="967" w:type="dxa"/>
            <w:vAlign w:val="center"/>
          </w:tcPr>
          <w:p w14:paraId="649C38A5" w14:textId="77777777" w:rsidR="000F7B0B" w:rsidRPr="00D025A1" w:rsidRDefault="000F7B0B" w:rsidP="00B56DC0">
            <w:pPr>
              <w:pStyle w:val="Table"/>
              <w:jc w:val="center"/>
              <w:rPr>
                <w:szCs w:val="20"/>
              </w:rPr>
            </w:pPr>
            <w:r w:rsidRPr="00BA7936">
              <w:rPr>
                <w:rFonts w:cstheme="minorHAnsi"/>
                <w:color w:val="000000"/>
                <w:szCs w:val="20"/>
              </w:rPr>
              <w:t>0,0%</w:t>
            </w:r>
          </w:p>
        </w:tc>
        <w:tc>
          <w:tcPr>
            <w:tcW w:w="1283" w:type="dxa"/>
            <w:vAlign w:val="center"/>
          </w:tcPr>
          <w:p w14:paraId="5835FEE3" w14:textId="77777777" w:rsidR="000F7B0B" w:rsidRPr="00D025A1" w:rsidRDefault="000F7B0B" w:rsidP="00B56DC0">
            <w:pPr>
              <w:pStyle w:val="Table"/>
              <w:jc w:val="center"/>
              <w:rPr>
                <w:szCs w:val="20"/>
              </w:rPr>
            </w:pPr>
            <w:r w:rsidRPr="00BA7936">
              <w:rPr>
                <w:rFonts w:cstheme="minorHAnsi"/>
                <w:color w:val="000000"/>
                <w:szCs w:val="20"/>
              </w:rPr>
              <w:t>0,0%</w:t>
            </w:r>
          </w:p>
        </w:tc>
      </w:tr>
      <w:tr w:rsidR="000F7B0B" w:rsidRPr="00D025A1" w14:paraId="7BF9E28F" w14:textId="77777777" w:rsidTr="00BA7936">
        <w:trPr>
          <w:trHeight w:val="242"/>
        </w:trPr>
        <w:tc>
          <w:tcPr>
            <w:tcW w:w="2247" w:type="dxa"/>
          </w:tcPr>
          <w:p w14:paraId="1198CF07" w14:textId="77777777" w:rsidR="000F7B0B" w:rsidRPr="00D025A1" w:rsidRDefault="000F7B0B" w:rsidP="00B56DC0">
            <w:pPr>
              <w:pStyle w:val="Table"/>
              <w:rPr>
                <w:szCs w:val="20"/>
              </w:rPr>
            </w:pPr>
            <w:r w:rsidRPr="00D025A1">
              <w:rPr>
                <w:szCs w:val="20"/>
              </w:rPr>
              <w:t>Waste to Landfill</w:t>
            </w:r>
          </w:p>
        </w:tc>
        <w:tc>
          <w:tcPr>
            <w:tcW w:w="1123" w:type="dxa"/>
            <w:vAlign w:val="center"/>
          </w:tcPr>
          <w:p w14:paraId="2E4AFA37" w14:textId="77777777" w:rsidR="000F7B0B" w:rsidRPr="00D025A1" w:rsidRDefault="000F7B0B" w:rsidP="00B56DC0">
            <w:pPr>
              <w:pStyle w:val="Table"/>
              <w:jc w:val="center"/>
              <w:rPr>
                <w:szCs w:val="20"/>
              </w:rPr>
            </w:pPr>
            <w:r w:rsidRPr="00BA7936">
              <w:rPr>
                <w:rFonts w:cstheme="minorHAnsi"/>
                <w:color w:val="000000"/>
                <w:szCs w:val="20"/>
              </w:rPr>
              <w:t>-13,82%</w:t>
            </w:r>
          </w:p>
        </w:tc>
        <w:tc>
          <w:tcPr>
            <w:tcW w:w="1124" w:type="dxa"/>
            <w:vAlign w:val="center"/>
          </w:tcPr>
          <w:p w14:paraId="0D6DCC14" w14:textId="77777777" w:rsidR="000F7B0B" w:rsidRPr="00D025A1" w:rsidRDefault="000F7B0B" w:rsidP="00B56DC0">
            <w:pPr>
              <w:pStyle w:val="Table"/>
              <w:jc w:val="center"/>
              <w:rPr>
                <w:szCs w:val="20"/>
              </w:rPr>
            </w:pPr>
            <w:r w:rsidRPr="00BA7936">
              <w:rPr>
                <w:rFonts w:cstheme="minorHAnsi"/>
                <w:color w:val="000000"/>
                <w:szCs w:val="20"/>
              </w:rPr>
              <w:t>-13,82%</w:t>
            </w:r>
          </w:p>
        </w:tc>
        <w:tc>
          <w:tcPr>
            <w:tcW w:w="1030" w:type="dxa"/>
            <w:vAlign w:val="center"/>
          </w:tcPr>
          <w:p w14:paraId="483AC24E" w14:textId="77777777" w:rsidR="000F7B0B" w:rsidRPr="00D025A1" w:rsidRDefault="000F7B0B" w:rsidP="00B56DC0">
            <w:pPr>
              <w:pStyle w:val="Table"/>
              <w:jc w:val="center"/>
              <w:rPr>
                <w:szCs w:val="20"/>
              </w:rPr>
            </w:pPr>
            <w:r w:rsidRPr="00BA7936">
              <w:rPr>
                <w:rFonts w:cstheme="minorHAnsi"/>
                <w:color w:val="000000"/>
                <w:szCs w:val="20"/>
              </w:rPr>
              <w:t>0,00</w:t>
            </w:r>
          </w:p>
        </w:tc>
        <w:tc>
          <w:tcPr>
            <w:tcW w:w="1217" w:type="dxa"/>
            <w:vAlign w:val="center"/>
          </w:tcPr>
          <w:p w14:paraId="113CF62B" w14:textId="77777777" w:rsidR="000F7B0B" w:rsidRPr="00D025A1" w:rsidRDefault="000F7B0B" w:rsidP="00B56DC0">
            <w:pPr>
              <w:pStyle w:val="Table"/>
              <w:jc w:val="center"/>
              <w:rPr>
                <w:szCs w:val="20"/>
              </w:rPr>
            </w:pPr>
            <w:r w:rsidRPr="00BA7936">
              <w:rPr>
                <w:rFonts w:cstheme="minorHAnsi"/>
                <w:color w:val="000000"/>
                <w:szCs w:val="20"/>
              </w:rPr>
              <w:t>0,00</w:t>
            </w:r>
          </w:p>
        </w:tc>
        <w:tc>
          <w:tcPr>
            <w:tcW w:w="967" w:type="dxa"/>
            <w:vAlign w:val="center"/>
          </w:tcPr>
          <w:p w14:paraId="6ABC7C33" w14:textId="77777777" w:rsidR="000F7B0B" w:rsidRPr="00D025A1" w:rsidRDefault="000F7B0B" w:rsidP="00B56DC0">
            <w:pPr>
              <w:pStyle w:val="Table"/>
              <w:jc w:val="center"/>
              <w:rPr>
                <w:szCs w:val="20"/>
              </w:rPr>
            </w:pPr>
            <w:r w:rsidRPr="00BA7936">
              <w:rPr>
                <w:rFonts w:cstheme="minorHAnsi"/>
                <w:color w:val="000000"/>
                <w:szCs w:val="20"/>
              </w:rPr>
              <w:t>N.E.</w:t>
            </w:r>
          </w:p>
        </w:tc>
        <w:tc>
          <w:tcPr>
            <w:tcW w:w="1283" w:type="dxa"/>
            <w:vAlign w:val="center"/>
          </w:tcPr>
          <w:p w14:paraId="5BF5B3A7" w14:textId="77777777" w:rsidR="000F7B0B" w:rsidRPr="00D025A1" w:rsidRDefault="000F7B0B" w:rsidP="00B56DC0">
            <w:pPr>
              <w:pStyle w:val="Table"/>
              <w:jc w:val="center"/>
              <w:rPr>
                <w:szCs w:val="20"/>
              </w:rPr>
            </w:pPr>
            <w:r w:rsidRPr="00BA7936">
              <w:rPr>
                <w:rFonts w:cstheme="minorHAnsi"/>
                <w:color w:val="000000"/>
                <w:szCs w:val="20"/>
              </w:rPr>
              <w:t>N.E.</w:t>
            </w:r>
          </w:p>
        </w:tc>
      </w:tr>
      <w:tr w:rsidR="000F7B0B" w:rsidRPr="00D025A1" w14:paraId="284DFCDA" w14:textId="77777777" w:rsidTr="00BA7936">
        <w:trPr>
          <w:trHeight w:val="242"/>
        </w:trPr>
        <w:tc>
          <w:tcPr>
            <w:tcW w:w="2247" w:type="dxa"/>
          </w:tcPr>
          <w:p w14:paraId="3C75806F" w14:textId="77777777" w:rsidR="000F7B0B" w:rsidRPr="00D025A1" w:rsidRDefault="000F7B0B" w:rsidP="00B56DC0">
            <w:pPr>
              <w:pStyle w:val="Table"/>
              <w:rPr>
                <w:szCs w:val="20"/>
              </w:rPr>
            </w:pPr>
            <w:r w:rsidRPr="00D025A1">
              <w:rPr>
                <w:szCs w:val="20"/>
              </w:rPr>
              <w:t>Water Effluent</w:t>
            </w:r>
          </w:p>
        </w:tc>
        <w:tc>
          <w:tcPr>
            <w:tcW w:w="1123" w:type="dxa"/>
            <w:vAlign w:val="center"/>
          </w:tcPr>
          <w:p w14:paraId="02CCFF2A" w14:textId="77777777" w:rsidR="000F7B0B" w:rsidRPr="00D025A1" w:rsidRDefault="000F7B0B" w:rsidP="00B56DC0">
            <w:pPr>
              <w:pStyle w:val="Table"/>
              <w:jc w:val="center"/>
              <w:rPr>
                <w:szCs w:val="20"/>
              </w:rPr>
            </w:pPr>
            <w:r w:rsidRPr="00BA7936">
              <w:rPr>
                <w:rFonts w:cstheme="minorHAnsi"/>
                <w:color w:val="000000"/>
                <w:szCs w:val="20"/>
              </w:rPr>
              <w:t>-5,67%</w:t>
            </w:r>
          </w:p>
        </w:tc>
        <w:tc>
          <w:tcPr>
            <w:tcW w:w="1124" w:type="dxa"/>
            <w:vAlign w:val="center"/>
          </w:tcPr>
          <w:p w14:paraId="0D65A3C3" w14:textId="77777777" w:rsidR="000F7B0B" w:rsidRPr="00D025A1" w:rsidRDefault="000F7B0B" w:rsidP="00B56DC0">
            <w:pPr>
              <w:pStyle w:val="Table"/>
              <w:jc w:val="center"/>
              <w:rPr>
                <w:szCs w:val="20"/>
              </w:rPr>
            </w:pPr>
            <w:r w:rsidRPr="00BA7936">
              <w:rPr>
                <w:rFonts w:cstheme="minorHAnsi"/>
                <w:color w:val="000000"/>
                <w:szCs w:val="20"/>
              </w:rPr>
              <w:t>-5,67%</w:t>
            </w:r>
          </w:p>
        </w:tc>
        <w:tc>
          <w:tcPr>
            <w:tcW w:w="1030" w:type="dxa"/>
            <w:vAlign w:val="center"/>
          </w:tcPr>
          <w:p w14:paraId="0F48177C" w14:textId="77777777" w:rsidR="000F7B0B" w:rsidRPr="00D025A1" w:rsidRDefault="000F7B0B" w:rsidP="00B56DC0">
            <w:pPr>
              <w:pStyle w:val="Table"/>
              <w:jc w:val="center"/>
              <w:rPr>
                <w:szCs w:val="20"/>
              </w:rPr>
            </w:pPr>
            <w:r w:rsidRPr="00BA7936">
              <w:rPr>
                <w:rFonts w:cstheme="minorHAnsi"/>
                <w:color w:val="000000"/>
                <w:szCs w:val="20"/>
              </w:rPr>
              <w:t>5314,58</w:t>
            </w:r>
          </w:p>
        </w:tc>
        <w:tc>
          <w:tcPr>
            <w:tcW w:w="1217" w:type="dxa"/>
            <w:vAlign w:val="center"/>
          </w:tcPr>
          <w:p w14:paraId="5BB99788" w14:textId="77777777" w:rsidR="000F7B0B" w:rsidRPr="00D025A1" w:rsidRDefault="000F7B0B" w:rsidP="00B56DC0">
            <w:pPr>
              <w:pStyle w:val="Table"/>
              <w:jc w:val="center"/>
              <w:rPr>
                <w:szCs w:val="20"/>
              </w:rPr>
            </w:pPr>
            <w:r w:rsidRPr="00BA7936">
              <w:rPr>
                <w:rFonts w:cstheme="minorHAnsi"/>
                <w:color w:val="000000"/>
                <w:szCs w:val="20"/>
              </w:rPr>
              <w:t>5310,34</w:t>
            </w:r>
          </w:p>
        </w:tc>
        <w:tc>
          <w:tcPr>
            <w:tcW w:w="967" w:type="dxa"/>
            <w:vAlign w:val="center"/>
          </w:tcPr>
          <w:p w14:paraId="79F7320A" w14:textId="77777777" w:rsidR="000F7B0B" w:rsidRPr="00D025A1" w:rsidRDefault="000F7B0B" w:rsidP="00B56DC0">
            <w:pPr>
              <w:pStyle w:val="Table"/>
              <w:jc w:val="center"/>
              <w:rPr>
                <w:szCs w:val="20"/>
              </w:rPr>
            </w:pPr>
            <w:r w:rsidRPr="00BA7936">
              <w:rPr>
                <w:rFonts w:cstheme="minorHAnsi"/>
                <w:color w:val="000000"/>
                <w:szCs w:val="20"/>
              </w:rPr>
              <w:t>N.E.</w:t>
            </w:r>
          </w:p>
        </w:tc>
        <w:tc>
          <w:tcPr>
            <w:tcW w:w="1283" w:type="dxa"/>
            <w:vAlign w:val="center"/>
          </w:tcPr>
          <w:p w14:paraId="1B47B095" w14:textId="77777777" w:rsidR="000F7B0B" w:rsidRPr="00D025A1" w:rsidRDefault="000F7B0B" w:rsidP="00B56DC0">
            <w:pPr>
              <w:pStyle w:val="Table"/>
              <w:jc w:val="center"/>
              <w:rPr>
                <w:szCs w:val="20"/>
              </w:rPr>
            </w:pPr>
            <w:r w:rsidRPr="00BA7936">
              <w:rPr>
                <w:rFonts w:cstheme="minorHAnsi"/>
                <w:color w:val="000000"/>
                <w:szCs w:val="20"/>
              </w:rPr>
              <w:t>N.E.</w:t>
            </w:r>
          </w:p>
        </w:tc>
      </w:tr>
      <w:tr w:rsidR="000F7B0B" w:rsidRPr="00D025A1" w14:paraId="13481AC1" w14:textId="77777777" w:rsidTr="00BA7936">
        <w:trPr>
          <w:trHeight w:val="242"/>
        </w:trPr>
        <w:tc>
          <w:tcPr>
            <w:tcW w:w="2247" w:type="dxa"/>
          </w:tcPr>
          <w:p w14:paraId="52E9FDED" w14:textId="77777777" w:rsidR="000F7B0B" w:rsidRPr="00D025A1" w:rsidRDefault="000F7B0B" w:rsidP="00B56DC0">
            <w:pPr>
              <w:pStyle w:val="Table"/>
              <w:rPr>
                <w:szCs w:val="20"/>
              </w:rPr>
            </w:pPr>
            <w:r w:rsidRPr="00D025A1">
              <w:rPr>
                <w:szCs w:val="20"/>
              </w:rPr>
              <w:t>Minerals &amp; Aggregates</w:t>
            </w:r>
          </w:p>
        </w:tc>
        <w:tc>
          <w:tcPr>
            <w:tcW w:w="1123" w:type="dxa"/>
            <w:vAlign w:val="center"/>
          </w:tcPr>
          <w:p w14:paraId="75BF58EB" w14:textId="77777777" w:rsidR="000F7B0B" w:rsidRPr="00D025A1" w:rsidRDefault="000F7B0B" w:rsidP="00B56DC0">
            <w:pPr>
              <w:pStyle w:val="Table"/>
              <w:jc w:val="center"/>
              <w:rPr>
                <w:szCs w:val="20"/>
              </w:rPr>
            </w:pPr>
            <w:r w:rsidRPr="00BA7936">
              <w:rPr>
                <w:rFonts w:cstheme="minorHAnsi"/>
                <w:color w:val="000000"/>
                <w:szCs w:val="20"/>
              </w:rPr>
              <w:t>0,00%</w:t>
            </w:r>
          </w:p>
        </w:tc>
        <w:tc>
          <w:tcPr>
            <w:tcW w:w="1124" w:type="dxa"/>
            <w:vAlign w:val="center"/>
          </w:tcPr>
          <w:p w14:paraId="48C317D2" w14:textId="77777777" w:rsidR="000F7B0B" w:rsidRPr="00D025A1" w:rsidRDefault="000F7B0B" w:rsidP="00B56DC0">
            <w:pPr>
              <w:pStyle w:val="Table"/>
              <w:jc w:val="center"/>
              <w:rPr>
                <w:szCs w:val="20"/>
              </w:rPr>
            </w:pPr>
            <w:r w:rsidRPr="00BA7936">
              <w:rPr>
                <w:rFonts w:cstheme="minorHAnsi"/>
                <w:color w:val="000000"/>
                <w:szCs w:val="20"/>
              </w:rPr>
              <w:t>0,00%</w:t>
            </w:r>
          </w:p>
        </w:tc>
        <w:tc>
          <w:tcPr>
            <w:tcW w:w="1030" w:type="dxa"/>
            <w:vAlign w:val="center"/>
          </w:tcPr>
          <w:p w14:paraId="7F75B511" w14:textId="77777777" w:rsidR="000F7B0B" w:rsidRPr="00D025A1" w:rsidRDefault="000F7B0B" w:rsidP="00B56DC0">
            <w:pPr>
              <w:pStyle w:val="Table"/>
              <w:jc w:val="center"/>
              <w:rPr>
                <w:szCs w:val="20"/>
              </w:rPr>
            </w:pPr>
            <w:r w:rsidRPr="00BA7936">
              <w:rPr>
                <w:rFonts w:cstheme="minorHAnsi"/>
                <w:color w:val="000000"/>
                <w:szCs w:val="20"/>
              </w:rPr>
              <w:t>0,00</w:t>
            </w:r>
          </w:p>
        </w:tc>
        <w:tc>
          <w:tcPr>
            <w:tcW w:w="1217" w:type="dxa"/>
            <w:vAlign w:val="center"/>
          </w:tcPr>
          <w:p w14:paraId="61B04EF3" w14:textId="77777777" w:rsidR="000F7B0B" w:rsidRPr="00D025A1" w:rsidRDefault="000F7B0B" w:rsidP="00B56DC0">
            <w:pPr>
              <w:pStyle w:val="Table"/>
              <w:jc w:val="center"/>
              <w:rPr>
                <w:szCs w:val="20"/>
              </w:rPr>
            </w:pPr>
            <w:r w:rsidRPr="00BA7936">
              <w:rPr>
                <w:rFonts w:cstheme="minorHAnsi"/>
                <w:color w:val="000000"/>
                <w:szCs w:val="20"/>
              </w:rPr>
              <w:t>0,00</w:t>
            </w:r>
          </w:p>
        </w:tc>
        <w:tc>
          <w:tcPr>
            <w:tcW w:w="967" w:type="dxa"/>
            <w:vAlign w:val="center"/>
          </w:tcPr>
          <w:p w14:paraId="43D1B132" w14:textId="77777777" w:rsidR="000F7B0B" w:rsidRPr="00D025A1" w:rsidRDefault="000F7B0B" w:rsidP="00B56DC0">
            <w:pPr>
              <w:pStyle w:val="Table"/>
              <w:jc w:val="center"/>
              <w:rPr>
                <w:szCs w:val="20"/>
              </w:rPr>
            </w:pPr>
            <w:r w:rsidRPr="00BA7936">
              <w:rPr>
                <w:rFonts w:cstheme="minorHAnsi"/>
                <w:color w:val="000000"/>
                <w:szCs w:val="20"/>
              </w:rPr>
              <w:t>N.E.</w:t>
            </w:r>
          </w:p>
        </w:tc>
        <w:tc>
          <w:tcPr>
            <w:tcW w:w="1283" w:type="dxa"/>
            <w:vAlign w:val="center"/>
          </w:tcPr>
          <w:p w14:paraId="5E879ABD" w14:textId="77777777" w:rsidR="000F7B0B" w:rsidRPr="00D025A1" w:rsidRDefault="000F7B0B" w:rsidP="00B56DC0">
            <w:pPr>
              <w:pStyle w:val="Table"/>
              <w:jc w:val="center"/>
              <w:rPr>
                <w:szCs w:val="20"/>
              </w:rPr>
            </w:pPr>
            <w:r w:rsidRPr="00BA7936">
              <w:rPr>
                <w:rFonts w:cstheme="minorHAnsi"/>
                <w:color w:val="000000"/>
                <w:szCs w:val="20"/>
              </w:rPr>
              <w:t>N.E.</w:t>
            </w:r>
          </w:p>
        </w:tc>
      </w:tr>
    </w:tbl>
    <w:p w14:paraId="16858976" w14:textId="77777777" w:rsidR="000F7B0B" w:rsidRPr="000F7B0B" w:rsidRDefault="000F7B0B" w:rsidP="000F7B0B"/>
    <w:p w14:paraId="77C93D4E" w14:textId="046C56BF" w:rsidR="000F7B0B" w:rsidRPr="000F7B0B" w:rsidRDefault="000F7B0B" w:rsidP="000F7B0B">
      <w:r w:rsidRPr="000F7B0B">
        <w:t xml:space="preserve">From an </w:t>
      </w:r>
      <w:r w:rsidRPr="000F7B0B">
        <w:rPr>
          <w:b/>
          <w:bCs/>
        </w:rPr>
        <w:t>administrative perspective</w:t>
      </w:r>
      <w:r w:rsidRPr="000F7B0B">
        <w:t>, feasibility is high. Germany has a robust regulatory and monitoring framework, with strong enforcement and data systems covering air, water and waste sectors. The challenge lies primarily in political acceptance and coordination across federal and Länder authorities, where competences for environmental taxation are shared. Past experience suggests that industries exposed to international competition, particularly in manufacturing, construction materials and chemicals, may resist new or higher levies, arguing that they would undermine competitiveness. In addition, public sensitivity to rising household costs</w:t>
      </w:r>
      <w:r>
        <w:t xml:space="preserve">, </w:t>
      </w:r>
      <w:r w:rsidRPr="000F7B0B">
        <w:t>particularly energy and utility bills</w:t>
      </w:r>
      <w:r>
        <w:t xml:space="preserve">, </w:t>
      </w:r>
      <w:r w:rsidRPr="000F7B0B">
        <w:t>remains high, as seen during debates over carbon pricing in the heating sector.</w:t>
      </w:r>
    </w:p>
    <w:p w14:paraId="3D606A9B" w14:textId="4B4886E6" w:rsidR="000F7B0B" w:rsidRPr="000F7B0B" w:rsidRDefault="000F7B0B" w:rsidP="000F7B0B">
      <w:r w:rsidRPr="000F7B0B">
        <w:lastRenderedPageBreak/>
        <w:t xml:space="preserve">To ensure </w:t>
      </w:r>
      <w:r w:rsidRPr="000F7B0B">
        <w:rPr>
          <w:b/>
          <w:bCs/>
        </w:rPr>
        <w:t>political and social feasibility</w:t>
      </w:r>
      <w:r w:rsidRPr="000F7B0B">
        <w:t>, any new taxes or rate increases should be introduced gradually, with clear communication on their purpose and the use of revenues. Phasing in benchmark rates over several years would allow firms and households to adjust while minimising price shocks. Where feasible, revenues should be recycled transparently—either through reductions in labour or income taxes, targeted support for low-income households, or investment in energy and resource efficiency. Such recycling can neutralise distributional impacts while reinforcing the behavioural and innovation effects of the taxes.</w:t>
      </w:r>
    </w:p>
    <w:p w14:paraId="485CF2FE" w14:textId="386BF128" w:rsidR="000F7B0B" w:rsidRPr="000F7B0B" w:rsidRDefault="000F7B0B" w:rsidP="000F7B0B">
      <w:r w:rsidRPr="000F7B0B">
        <w:t xml:space="preserve">In </w:t>
      </w:r>
      <w:r w:rsidRPr="000F7B0B">
        <w:rPr>
          <w:b/>
          <w:bCs/>
        </w:rPr>
        <w:t>competitiveness terms</w:t>
      </w:r>
      <w:r w:rsidRPr="000F7B0B">
        <w:t>, most industries can absorb modest increases in environmental taxation if the proceeds are used to finance technology upgrades and resource efficiency investments. The introduction of a mineral extraction tax, for instance, could be paired with incentives for the use of secondary materials, including recycled aggregates, in construction projects. For wastewater, a benchmark-aligned effluent tax could strengthen pollution control in industrial and municipal discharges while generating resources for upgrading treatment facilities. Air pollutant charges for large industrial sources, calibrated to best available technique (BAT) performance levels, would further stimulate emissions reductions without significantly affecting profitability.</w:t>
      </w:r>
    </w:p>
    <w:p w14:paraId="30E2D277" w14:textId="77777777" w:rsidR="000F7B0B" w:rsidRPr="000F7B0B" w:rsidRDefault="000F7B0B" w:rsidP="000F7B0B">
      <w:r w:rsidRPr="000F7B0B">
        <w:t xml:space="preserve">Based on the modelling results and national context, the following </w:t>
      </w:r>
      <w:r w:rsidRPr="000F7B0B">
        <w:rPr>
          <w:b/>
          <w:bCs/>
        </w:rPr>
        <w:t>priority taxes</w:t>
      </w:r>
      <w:r w:rsidRPr="000F7B0B">
        <w:t xml:space="preserve"> emerge as most relevant for Germany:</w:t>
      </w:r>
    </w:p>
    <w:p w14:paraId="08B0F10E" w14:textId="77777777" w:rsidR="000F7B0B" w:rsidRPr="000F7B0B" w:rsidRDefault="000F7B0B" w:rsidP="000F7B0B">
      <w:pPr>
        <w:pStyle w:val="Bulletlist"/>
      </w:pPr>
      <w:r w:rsidRPr="000F7B0B">
        <w:t xml:space="preserve">A </w:t>
      </w:r>
      <w:r w:rsidRPr="000F7B0B">
        <w:rPr>
          <w:b/>
          <w:bCs/>
        </w:rPr>
        <w:t>wastewater effluent tax</w:t>
      </w:r>
      <w:r w:rsidRPr="000F7B0B">
        <w:t>, applied according to pollutant load and linked to investment in advanced treatment and nutrient removal technologies;</w:t>
      </w:r>
    </w:p>
    <w:p w14:paraId="071C670D" w14:textId="77777777" w:rsidR="000F7B0B" w:rsidRPr="000F7B0B" w:rsidRDefault="000F7B0B" w:rsidP="000F7B0B">
      <w:pPr>
        <w:pStyle w:val="Bulletlist"/>
      </w:pPr>
      <w:r w:rsidRPr="000F7B0B">
        <w:t xml:space="preserve">A </w:t>
      </w:r>
      <w:r w:rsidRPr="000F7B0B">
        <w:rPr>
          <w:b/>
          <w:bCs/>
        </w:rPr>
        <w:t>mineral extraction tax</w:t>
      </w:r>
      <w:r w:rsidRPr="000F7B0B">
        <w:t xml:space="preserve"> on aggregates and raw materials, combined with public procurement standards promoting recycled material use; and</w:t>
      </w:r>
    </w:p>
    <w:p w14:paraId="67AA23B4" w14:textId="77777777" w:rsidR="000F7B0B" w:rsidRPr="000F7B0B" w:rsidRDefault="000F7B0B" w:rsidP="000F7B0B">
      <w:pPr>
        <w:pStyle w:val="Bulletlist"/>
      </w:pPr>
      <w:r w:rsidRPr="000F7B0B">
        <w:t xml:space="preserve">Targeted </w:t>
      </w:r>
      <w:r w:rsidRPr="000F7B0B">
        <w:rPr>
          <w:b/>
          <w:bCs/>
        </w:rPr>
        <w:t>air pollution charges</w:t>
      </w:r>
      <w:r w:rsidRPr="000F7B0B">
        <w:t xml:space="preserve"> (NOx, SO₂, PM₂.₅) for large installations, harmonised with existing permitting systems to avoid duplication.</w:t>
      </w:r>
    </w:p>
    <w:p w14:paraId="7999CBAD" w14:textId="62FFD051" w:rsidR="000F7B0B" w:rsidRPr="000F7B0B" w:rsidRDefault="000F7B0B" w:rsidP="000F7B0B">
      <w:r w:rsidRPr="000F7B0B">
        <w:t xml:space="preserve">To mitigate </w:t>
      </w:r>
      <w:r w:rsidRPr="000F7B0B">
        <w:rPr>
          <w:b/>
          <w:bCs/>
        </w:rPr>
        <w:t>distributional and sectoral impacts</w:t>
      </w:r>
      <w:r w:rsidRPr="000F7B0B">
        <w:t xml:space="preserve">, a number of </w:t>
      </w:r>
      <w:r w:rsidRPr="000F7B0B">
        <w:rPr>
          <w:b/>
          <w:bCs/>
        </w:rPr>
        <w:t>actionable measures</w:t>
      </w:r>
      <w:r w:rsidRPr="000F7B0B">
        <w:t xml:space="preserve"> are recommended. For households, part of the additional revenue could be returned through reduced social contributions or lump-sum rebates, protecting vulnerable groups from higher water or waste costs. For industries, transitional support</w:t>
      </w:r>
      <w:r>
        <w:t xml:space="preserve">, </w:t>
      </w:r>
      <w:r w:rsidRPr="000F7B0B">
        <w:t>such as accelerated depreciation or investment tax credits for pollution control, resource efficiency and circular economy technologies</w:t>
      </w:r>
      <w:r>
        <w:t xml:space="preserve">, </w:t>
      </w:r>
      <w:r w:rsidRPr="000F7B0B">
        <w:t>would ease adjustment while maintaining the price incentive for cleaner production. For sectors with regional concentration, such as mining and heavy manufacturing, coordination with Länder governments can ensure revenues are reinvested locally, reinforcing public acceptance and regional development objectives.</w:t>
      </w:r>
    </w:p>
    <w:p w14:paraId="38C3FA0A" w14:textId="0C5827BF" w:rsidR="000F7B0B" w:rsidRPr="000F7B0B" w:rsidRDefault="000F7B0B" w:rsidP="000F7B0B">
      <w:r w:rsidRPr="000F7B0B">
        <w:t>Finally, clear communication will be vital to avoid misunderstandings about the purpose of environmental taxes. Public reporting on revenue use and environmental outcomes, such as improvements in river quality, reductions in particulate emissions or increased recycling rates, would strengthen trust and legitimacy. Integrating these reforms within Germany’s broader fiscal and climate policy framework</w:t>
      </w:r>
      <w:r>
        <w:t xml:space="preserve">, </w:t>
      </w:r>
      <w:r w:rsidRPr="000F7B0B">
        <w:t>including alignment with EU ETS and national carbon pricing</w:t>
      </w:r>
      <w:r>
        <w:t xml:space="preserve">, </w:t>
      </w:r>
      <w:r w:rsidRPr="000F7B0B">
        <w:t>would ensure coherence and maximise effectiveness.</w:t>
      </w:r>
    </w:p>
    <w:p w14:paraId="55D201A1" w14:textId="78D76A8B" w:rsidR="000F7B0B" w:rsidRPr="00014325" w:rsidRDefault="000F7B0B" w:rsidP="000F7B0B">
      <w:r w:rsidRPr="000F7B0B">
        <w:t>In conclusion, Germany has the administrative capacity and institutional maturity to expand the scope of environmental taxation with limited economic risk. A phased approach focusing on wastewater, mineral extraction and air pollutants, underpinned by transparent revenue recycling and stakeholder engagement, would deliver meaningful environmental and fiscal gains while safeguarding competitiveness and social equity.</w:t>
      </w:r>
    </w:p>
    <w:p w14:paraId="49291306" w14:textId="77777777" w:rsidR="000A4E61" w:rsidRPr="00EA4C9B" w:rsidRDefault="000A4E61" w:rsidP="005B7AAA">
      <w:pPr>
        <w:pStyle w:val="AnnexHeading1"/>
        <w:ind w:hanging="1211"/>
      </w:pPr>
      <w:bookmarkStart w:id="200" w:name="_Toc214008883"/>
      <w:r w:rsidRPr="00EA4C9B">
        <w:lastRenderedPageBreak/>
        <w:t>Greece</w:t>
      </w:r>
      <w:bookmarkEnd w:id="200"/>
    </w:p>
    <w:p w14:paraId="47CBAA04" w14:textId="77777777" w:rsidR="000A4E61" w:rsidRPr="00EA4C9B" w:rsidRDefault="000A4E61" w:rsidP="007C4EB7">
      <w:pPr>
        <w:pStyle w:val="AnnexHeading2"/>
      </w:pPr>
      <w:bookmarkStart w:id="201" w:name="_Toc214008884"/>
      <w:r w:rsidRPr="00EA4C9B">
        <w:t>Overview of environmental taxes</w:t>
      </w:r>
      <w:bookmarkEnd w:id="201"/>
    </w:p>
    <w:p w14:paraId="7FC4EC6C" w14:textId="68AD7C46" w:rsidR="000A4E61" w:rsidRPr="00EA4C9B" w:rsidRDefault="004B67BB" w:rsidP="000A4E61">
      <w:r w:rsidRPr="004B67BB">
        <w:t>Environmental taxes in Greece amounted to 4.1% of GDP in 2023, well above the EU average. Unlike in most Member States, both the absolute level and the economic relevance of environmental taxation have increased over time. Total environmental tax revenue reached EUR 8.63 billion in real terms in 2023 (</w:t>
      </w:r>
      <w:r w:rsidR="00347C1E" w:rsidRPr="004E5B60">
        <w:fldChar w:fldCharType="begin"/>
      </w:r>
      <w:r w:rsidR="00347C1E" w:rsidRPr="004E5B60">
        <w:instrText xml:space="preserve"> REF _Ref201233288 \h  \* MERGEFORMAT </w:instrText>
      </w:r>
      <w:r w:rsidR="00347C1E" w:rsidRPr="004E5B60">
        <w:fldChar w:fldCharType="separate"/>
      </w:r>
      <w:r w:rsidR="00347C1E" w:rsidRPr="004E5B60">
        <w:t xml:space="preserve">Figure </w:t>
      </w:r>
      <w:r w:rsidR="00347C1E">
        <w:t>A6</w:t>
      </w:r>
      <w:r w:rsidR="00347C1E" w:rsidRPr="004E5B60">
        <w:t>-</w:t>
      </w:r>
      <w:r w:rsidR="00347C1E" w:rsidRPr="004E5B60">
        <w:rPr>
          <w:noProof/>
        </w:rPr>
        <w:t>33</w:t>
      </w:r>
      <w:r w:rsidR="00347C1E" w:rsidRPr="004E5B60">
        <w:fldChar w:fldCharType="end"/>
      </w:r>
      <w:r w:rsidRPr="004B67BB">
        <w:t>), representing a 77.9% rise since 2009 (</w:t>
      </w:r>
      <w:r w:rsidR="00347C1E" w:rsidRPr="004E5B60">
        <w:fldChar w:fldCharType="begin"/>
      </w:r>
      <w:r w:rsidR="00347C1E" w:rsidRPr="004E5B60">
        <w:instrText xml:space="preserve"> REF _Ref201233316 \h  \* MERGEFORMAT </w:instrText>
      </w:r>
      <w:r w:rsidR="00347C1E" w:rsidRPr="004E5B60">
        <w:fldChar w:fldCharType="separate"/>
      </w:r>
      <w:r w:rsidR="00347C1E" w:rsidRPr="004E5B60">
        <w:t xml:space="preserve">Figure </w:t>
      </w:r>
      <w:r w:rsidR="00347C1E">
        <w:t>A6</w:t>
      </w:r>
      <w:r w:rsidR="00347C1E" w:rsidRPr="004E5B60">
        <w:t>-</w:t>
      </w:r>
      <w:r w:rsidR="00347C1E" w:rsidRPr="004E5B60">
        <w:rPr>
          <w:noProof/>
        </w:rPr>
        <w:t>34</w:t>
      </w:r>
      <w:r w:rsidR="00347C1E" w:rsidRPr="004E5B60">
        <w:fldChar w:fldCharType="end"/>
      </w:r>
      <w:r w:rsidRPr="004B67BB">
        <w:t>)</w:t>
      </w:r>
      <w:r w:rsidR="00B56DC0">
        <w:rPr>
          <w:rStyle w:val="FootnoteReference"/>
        </w:rPr>
        <w:footnoteReference w:id="397"/>
      </w:r>
      <w:r w:rsidRPr="004B67BB">
        <w:t>. Over the same period, the ratio of environmental taxes to GDP grew by 9</w:t>
      </w:r>
      <w:r w:rsidR="00B70D15">
        <w:t>.5 percentage points</w:t>
      </w:r>
      <w:r w:rsidRPr="004B67BB">
        <w:t>, reflecting a simultaneous 8.6% decline in GDP. In 2023, revenues were predominantly sourced from energy and transport taxes (around 81.5% and 18.2%, respectively), while pollution taxes contributed around 0.3%</w:t>
      </w:r>
      <w:r w:rsidR="00F40E7A">
        <w:t xml:space="preserve">. </w:t>
      </w:r>
      <w:r w:rsidR="00F40E7A" w:rsidRPr="00EA4C9B">
        <w:t>In Greece, there are no taxes on the extraction of natural resources.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A4E61" w:rsidRPr="00EA4C9B" w14:paraId="14D42802" w14:textId="77777777" w:rsidTr="00950CD3">
        <w:tc>
          <w:tcPr>
            <w:tcW w:w="9016" w:type="dxa"/>
          </w:tcPr>
          <w:p w14:paraId="40AEEEE2" w14:textId="77777777" w:rsidR="000A4E61" w:rsidRPr="00EA4C9B" w:rsidRDefault="000A4E61">
            <w:pPr>
              <w:spacing w:after="0"/>
              <w:jc w:val="center"/>
              <w:rPr>
                <w:sz w:val="10"/>
                <w:szCs w:val="10"/>
              </w:rPr>
            </w:pPr>
          </w:p>
          <w:p w14:paraId="120F337D" w14:textId="77777777" w:rsidR="000A4E61" w:rsidRPr="00EA4C9B" w:rsidRDefault="000A4E61">
            <w:pPr>
              <w:spacing w:after="0"/>
              <w:jc w:val="center"/>
              <w:rPr>
                <w:sz w:val="10"/>
                <w:szCs w:val="10"/>
              </w:rPr>
            </w:pPr>
            <w:r w:rsidRPr="00EA4C9B">
              <w:rPr>
                <w:noProof/>
                <w:sz w:val="10"/>
                <w:szCs w:val="10"/>
              </w:rPr>
              <w:drawing>
                <wp:inline distT="0" distB="0" distL="0" distR="0" wp14:anchorId="402E9CC2" wp14:editId="574087D5">
                  <wp:extent cx="5576876" cy="1186180"/>
                  <wp:effectExtent l="0" t="0" r="0" b="0"/>
                  <wp:docPr id="646340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8177" name="Picture 1"/>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599512" cy="1190995"/>
                          </a:xfrm>
                          <a:prstGeom prst="rect">
                            <a:avLst/>
                          </a:prstGeom>
                        </pic:spPr>
                      </pic:pic>
                    </a:graphicData>
                  </a:graphic>
                </wp:inline>
              </w:drawing>
            </w:r>
          </w:p>
          <w:p w14:paraId="6C36FEA6" w14:textId="77777777" w:rsidR="000A4E61" w:rsidRPr="00EA4C9B" w:rsidRDefault="000A4E61">
            <w:pPr>
              <w:spacing w:after="0"/>
              <w:jc w:val="center"/>
              <w:rPr>
                <w:sz w:val="10"/>
                <w:szCs w:val="10"/>
              </w:rPr>
            </w:pPr>
          </w:p>
        </w:tc>
      </w:tr>
      <w:tr w:rsidR="000A4E61" w:rsidRPr="00EA4C9B" w14:paraId="3355E8A1" w14:textId="77777777" w:rsidTr="00950CD3">
        <w:tc>
          <w:tcPr>
            <w:tcW w:w="9016" w:type="dxa"/>
            <w:shd w:val="clear" w:color="auto" w:fill="003399"/>
          </w:tcPr>
          <w:p w14:paraId="2A0F9863" w14:textId="2261FE2A" w:rsidR="000A4E61" w:rsidRPr="00EA4C9B" w:rsidRDefault="00B666AB" w:rsidP="007B62BB">
            <w:pPr>
              <w:pStyle w:val="FigTabCaption"/>
            </w:pPr>
            <w:bookmarkStart w:id="202" w:name="_Ref201233288"/>
            <w:r w:rsidRPr="00051732">
              <w:t xml:space="preserve">Figure </w:t>
            </w:r>
            <w:r w:rsidR="00490085">
              <w:t>A6</w:t>
            </w:r>
            <w:r w:rsidRPr="00051732">
              <w:t>-</w:t>
            </w:r>
            <w:r>
              <w:fldChar w:fldCharType="begin"/>
            </w:r>
            <w:r>
              <w:instrText>SEQ Figure_A5- \* ARABIC</w:instrText>
            </w:r>
            <w:r>
              <w:fldChar w:fldCharType="separate"/>
            </w:r>
            <w:r w:rsidR="0091411A">
              <w:rPr>
                <w:noProof/>
              </w:rPr>
              <w:t>33</w:t>
            </w:r>
            <w:r>
              <w:fldChar w:fldCharType="end"/>
            </w:r>
            <w:bookmarkEnd w:id="202"/>
            <w:r w:rsidR="000A4E61" w:rsidRPr="00EA4C9B">
              <w:t>: Total environmental tax revenue in Greece (2009-2023) in billion euros. No resource tax revenues were reported by Greece throughout the period</w:t>
            </w:r>
          </w:p>
        </w:tc>
      </w:tr>
    </w:tbl>
    <w:p w14:paraId="14E0BF10" w14:textId="4270B0D5" w:rsidR="007B62BB" w:rsidRPr="000F7B0B" w:rsidRDefault="000A4E61" w:rsidP="000F7B0B">
      <w:r w:rsidRPr="00EA4C9B">
        <w:br/>
        <w:t>In 2023, total tax revenue (including net social contributions) accounted for 40.5% of Greece’s GDP</w:t>
      </w:r>
      <w:r w:rsidR="008E5605" w:rsidRPr="008E5605">
        <w:t>, an increase of 7.3 percentage points from 33.2% in 2009. Environmental taxes represented 10.2% of total tax revenue in 2023, compared with 6.3% in 2009</w:t>
      </w:r>
      <w:r w:rsidR="008E5605">
        <w:t xml:space="preserve"> </w:t>
      </w:r>
      <w:r w:rsidR="008E5605" w:rsidRPr="008E5605">
        <w:t>—</w:t>
      </w:r>
      <w:r w:rsidR="008E5605">
        <w:t xml:space="preserve"> </w:t>
      </w:r>
      <w:r w:rsidR="008E5605" w:rsidRPr="008E5605">
        <w:t>an increase of 3.9 percentage points over the period. In absolute terms, energy tax revenues rose sharply (up 106.1%), while transport tax revenues declined (down 20.6%).</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A4E61" w:rsidRPr="00EA4C9B" w14:paraId="19E9497F" w14:textId="77777777" w:rsidTr="00950CD3">
        <w:tc>
          <w:tcPr>
            <w:tcW w:w="9016" w:type="dxa"/>
          </w:tcPr>
          <w:p w14:paraId="4F0524DB" w14:textId="77777777" w:rsidR="000A4E61" w:rsidRPr="00EA4C9B" w:rsidRDefault="000A4E61">
            <w:pPr>
              <w:spacing w:after="0"/>
              <w:jc w:val="center"/>
              <w:rPr>
                <w:sz w:val="10"/>
                <w:szCs w:val="10"/>
              </w:rPr>
            </w:pPr>
          </w:p>
          <w:p w14:paraId="1363C7F1" w14:textId="77777777" w:rsidR="000A4E61" w:rsidRPr="00EA4C9B" w:rsidRDefault="000A4E61">
            <w:pPr>
              <w:spacing w:after="0"/>
              <w:jc w:val="center"/>
              <w:rPr>
                <w:sz w:val="10"/>
                <w:szCs w:val="10"/>
              </w:rPr>
            </w:pPr>
            <w:r w:rsidRPr="00EA4C9B">
              <w:rPr>
                <w:noProof/>
                <w:sz w:val="10"/>
                <w:szCs w:val="10"/>
              </w:rPr>
              <w:drawing>
                <wp:inline distT="0" distB="0" distL="0" distR="0" wp14:anchorId="61A7C98C" wp14:editId="7CEBF186">
                  <wp:extent cx="5617204" cy="1733514"/>
                  <wp:effectExtent l="0" t="0" r="0" b="0"/>
                  <wp:docPr id="13169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00597" name="Picture 2"/>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617204" cy="1733514"/>
                          </a:xfrm>
                          <a:prstGeom prst="rect">
                            <a:avLst/>
                          </a:prstGeom>
                        </pic:spPr>
                      </pic:pic>
                    </a:graphicData>
                  </a:graphic>
                </wp:inline>
              </w:drawing>
            </w:r>
          </w:p>
          <w:p w14:paraId="75FA2EFB" w14:textId="77777777" w:rsidR="000A4E61" w:rsidRPr="00EA4C9B" w:rsidRDefault="000A4E61">
            <w:pPr>
              <w:spacing w:after="0"/>
              <w:jc w:val="center"/>
              <w:rPr>
                <w:sz w:val="10"/>
                <w:szCs w:val="10"/>
              </w:rPr>
            </w:pPr>
          </w:p>
        </w:tc>
      </w:tr>
      <w:tr w:rsidR="000A4E61" w:rsidRPr="00EA4C9B" w14:paraId="3A2862E8" w14:textId="77777777" w:rsidTr="00950CD3">
        <w:tc>
          <w:tcPr>
            <w:tcW w:w="9016" w:type="dxa"/>
            <w:shd w:val="clear" w:color="auto" w:fill="003399"/>
          </w:tcPr>
          <w:p w14:paraId="25B55FC9" w14:textId="783CACAD" w:rsidR="000A4E61" w:rsidRPr="00EA4C9B" w:rsidRDefault="00B666AB" w:rsidP="007B62BB">
            <w:pPr>
              <w:pStyle w:val="FigTabCaption"/>
            </w:pPr>
            <w:bookmarkStart w:id="203" w:name="_Ref201233316"/>
            <w:r w:rsidRPr="00051732">
              <w:t xml:space="preserve">Figure </w:t>
            </w:r>
            <w:r w:rsidR="00490085">
              <w:t>A6</w:t>
            </w:r>
            <w:r w:rsidRPr="00051732">
              <w:t>-</w:t>
            </w:r>
            <w:r>
              <w:fldChar w:fldCharType="begin"/>
            </w:r>
            <w:r>
              <w:instrText>SEQ Figure_A5- \* ARABIC</w:instrText>
            </w:r>
            <w:r>
              <w:fldChar w:fldCharType="separate"/>
            </w:r>
            <w:r w:rsidR="0091411A">
              <w:rPr>
                <w:noProof/>
              </w:rPr>
              <w:t>34</w:t>
            </w:r>
            <w:r>
              <w:fldChar w:fldCharType="end"/>
            </w:r>
            <w:bookmarkEnd w:id="203"/>
            <w:r w:rsidR="000A4E61" w:rsidRPr="00EA4C9B">
              <w:t>: Fifteen-year (2009-2023) change in absolute terms and change as GDP-ratio of the revenues of energy taxes, transport taxes and total environmental taxes in Greece. No resource tax revenue was reported, while pollution taxes only generated revenue from 2018 onwards</w:t>
            </w:r>
            <w:r w:rsidR="00EE1171">
              <w:t xml:space="preserve"> </w:t>
            </w:r>
          </w:p>
        </w:tc>
      </w:tr>
    </w:tbl>
    <w:p w14:paraId="3A6743A9" w14:textId="77777777" w:rsidR="000A4E61" w:rsidRPr="00EA4C9B" w:rsidRDefault="000A4E61" w:rsidP="000A4E61"/>
    <w:p w14:paraId="269B7B05" w14:textId="77777777" w:rsidR="000A4E61" w:rsidRPr="00EA4C9B" w:rsidRDefault="000A4E61" w:rsidP="007C4EB7">
      <w:pPr>
        <w:pStyle w:val="AnnexHeading2"/>
      </w:pPr>
      <w:bookmarkStart w:id="204" w:name="_Toc214008885"/>
      <w:r w:rsidRPr="00EA4C9B">
        <w:lastRenderedPageBreak/>
        <w:t>Existing pollution and resource taxes</w:t>
      </w:r>
      <w:bookmarkEnd w:id="204"/>
    </w:p>
    <w:p w14:paraId="4CF95361" w14:textId="4E48F852" w:rsidR="000A4E61" w:rsidRPr="00EA4C9B" w:rsidRDefault="000A4E61" w:rsidP="000A4E61">
      <w:r w:rsidRPr="00EA4C9B">
        <w:t xml:space="preserve">In 2023, pollution tax revenue reached 27 million euros. This amounts to increases in absolute terms of 50.0% over 6 years (2018-2023). However, in terms of GDP-ratios, pollution taxes increased only by 29.3%. In 2023, pollution tax revenue accounted for 0.3% of the total environmental tax revenues.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A4E61" w:rsidRPr="00EA4C9B" w14:paraId="24174B10" w14:textId="77777777" w:rsidTr="003B60AD">
        <w:tc>
          <w:tcPr>
            <w:tcW w:w="9016" w:type="dxa"/>
          </w:tcPr>
          <w:p w14:paraId="4F7ECB6E" w14:textId="77777777" w:rsidR="000A4E61" w:rsidRPr="00EA4C9B" w:rsidRDefault="000A4E61">
            <w:pPr>
              <w:spacing w:after="0"/>
              <w:jc w:val="center"/>
              <w:rPr>
                <w:sz w:val="10"/>
                <w:szCs w:val="10"/>
              </w:rPr>
            </w:pPr>
          </w:p>
          <w:p w14:paraId="4E4F27D5" w14:textId="77777777" w:rsidR="000A4E61" w:rsidRPr="00EA4C9B" w:rsidRDefault="000A4E61">
            <w:pPr>
              <w:spacing w:after="0"/>
              <w:jc w:val="center"/>
              <w:rPr>
                <w:sz w:val="10"/>
                <w:szCs w:val="10"/>
              </w:rPr>
            </w:pPr>
            <w:r w:rsidRPr="00EA4C9B">
              <w:rPr>
                <w:noProof/>
                <w:sz w:val="10"/>
                <w:szCs w:val="10"/>
              </w:rPr>
              <w:drawing>
                <wp:inline distT="0" distB="0" distL="0" distR="0" wp14:anchorId="029D9094" wp14:editId="71C02AA5">
                  <wp:extent cx="5603372" cy="1320165"/>
                  <wp:effectExtent l="0" t="0" r="0" b="635"/>
                  <wp:docPr id="7463640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64072" name="Picture 4"/>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622459" cy="1324662"/>
                          </a:xfrm>
                          <a:prstGeom prst="rect">
                            <a:avLst/>
                          </a:prstGeom>
                        </pic:spPr>
                      </pic:pic>
                    </a:graphicData>
                  </a:graphic>
                </wp:inline>
              </w:drawing>
            </w:r>
          </w:p>
          <w:p w14:paraId="4DB7ED4C" w14:textId="77777777" w:rsidR="000A4E61" w:rsidRPr="00EA4C9B" w:rsidRDefault="000A4E61">
            <w:pPr>
              <w:spacing w:after="0"/>
              <w:jc w:val="center"/>
              <w:rPr>
                <w:sz w:val="10"/>
                <w:szCs w:val="10"/>
              </w:rPr>
            </w:pPr>
          </w:p>
        </w:tc>
      </w:tr>
      <w:tr w:rsidR="000A4E61" w:rsidRPr="00EA4C9B" w14:paraId="2BF874CA" w14:textId="77777777" w:rsidTr="003B60AD">
        <w:tc>
          <w:tcPr>
            <w:tcW w:w="9016" w:type="dxa"/>
            <w:shd w:val="clear" w:color="auto" w:fill="003399"/>
          </w:tcPr>
          <w:p w14:paraId="2CA75F1C" w14:textId="2E4A8EE9" w:rsidR="000A4E61" w:rsidRPr="00EA4C9B" w:rsidRDefault="00B666AB" w:rsidP="007B62BB">
            <w:pPr>
              <w:pStyle w:val="FigTabCaption"/>
            </w:pPr>
            <w:r w:rsidRPr="00051732">
              <w:t xml:space="preserve">Figure </w:t>
            </w:r>
            <w:r w:rsidR="00490085">
              <w:t>A6</w:t>
            </w:r>
            <w:r w:rsidRPr="00051732">
              <w:t>-</w:t>
            </w:r>
            <w:r>
              <w:fldChar w:fldCharType="begin"/>
            </w:r>
            <w:r>
              <w:instrText>SEQ Figure_A5- \* ARABIC</w:instrText>
            </w:r>
            <w:r>
              <w:fldChar w:fldCharType="separate"/>
            </w:r>
            <w:r w:rsidR="0091411A">
              <w:rPr>
                <w:noProof/>
              </w:rPr>
              <w:t>35</w:t>
            </w:r>
            <w:r>
              <w:fldChar w:fldCharType="end"/>
            </w:r>
            <w:r w:rsidR="000A4E61" w:rsidRPr="00EA4C9B">
              <w:t xml:space="preserve">: Pollution tax revenues in Greece (2018-2023) in million euros. </w:t>
            </w:r>
            <w:r w:rsidR="000A4E61" w:rsidRPr="00EA4C9B">
              <w:rPr>
                <w:i/>
                <w:iCs/>
              </w:rPr>
              <w:t>Note: the share of pollution taxes in 2023 was estimated as the weighted average of past years</w:t>
            </w:r>
            <w:r w:rsidR="000A4E61" w:rsidRPr="00EA4C9B">
              <w:t> </w:t>
            </w:r>
          </w:p>
        </w:tc>
      </w:tr>
    </w:tbl>
    <w:p w14:paraId="75A52506" w14:textId="77777777" w:rsidR="000A4E61" w:rsidRPr="00EA4C9B" w:rsidRDefault="000A4E61" w:rsidP="000A4E61"/>
    <w:p w14:paraId="011FC299" w14:textId="77777777" w:rsidR="00A00DA3" w:rsidRPr="00A00DA3" w:rsidRDefault="00A00DA3" w:rsidP="00A00DA3">
      <w:pPr>
        <w:pStyle w:val="Heading4"/>
      </w:pPr>
      <w:r w:rsidRPr="00A00DA3">
        <w:t>List of pollution and resource taxes and revenue shares</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95"/>
        <w:gridCol w:w="1710"/>
        <w:gridCol w:w="1890"/>
        <w:gridCol w:w="1905"/>
      </w:tblGrid>
      <w:tr w:rsidR="000A4E61" w:rsidRPr="00EA4C9B" w14:paraId="21C7B1DF" w14:textId="77777777" w:rsidTr="004F0767">
        <w:trPr>
          <w:trHeight w:val="135"/>
        </w:trPr>
        <w:tc>
          <w:tcPr>
            <w:tcW w:w="9000"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62E5B7C3" w14:textId="66A0C7D9" w:rsidR="000A4E61" w:rsidRPr="00F366BC" w:rsidRDefault="00B666AB" w:rsidP="00F366BC">
            <w:pPr>
              <w:pStyle w:val="Table"/>
              <w:rPr>
                <w:rFonts w:ascii="Times New Roman" w:eastAsia="Times New Roman" w:hAnsi="Times New Roman" w:cs="Times New Roman"/>
                <w:b/>
                <w:sz w:val="24"/>
              </w:rPr>
            </w:pPr>
            <w:r w:rsidRPr="00F366BC">
              <w:rPr>
                <w:b/>
                <w:color w:val="FFFFFF" w:themeColor="background1"/>
              </w:rPr>
              <w:t xml:space="preserve">Table </w:t>
            </w:r>
            <w:r w:rsidR="00490085">
              <w:rPr>
                <w:b/>
                <w:color w:val="FFFFFF" w:themeColor="background1"/>
              </w:rPr>
              <w:t>A6</w:t>
            </w:r>
            <w:r w:rsidR="00F366BC" w:rsidRPr="00F366BC">
              <w:rPr>
                <w:b/>
                <w:bCs/>
                <w:color w:val="FFFFFF" w:themeColor="background1"/>
              </w:rPr>
              <w:t>-</w:t>
            </w:r>
            <w:r w:rsidR="00F366BC" w:rsidRPr="00F366BC">
              <w:rPr>
                <w:b/>
                <w:bCs/>
                <w:color w:val="FFFFFF" w:themeColor="background1"/>
              </w:rPr>
              <w:fldChar w:fldCharType="begin"/>
            </w:r>
            <w:r w:rsidR="00F366BC" w:rsidRPr="00F366BC">
              <w:rPr>
                <w:b/>
                <w:bCs/>
                <w:color w:val="FFFFFF" w:themeColor="background1"/>
              </w:rPr>
              <w:instrText xml:space="preserve"> SEQ Table_A5- \* ARABIC </w:instrText>
            </w:r>
            <w:r w:rsidR="00F366BC" w:rsidRPr="00F366BC">
              <w:rPr>
                <w:b/>
                <w:bCs/>
                <w:color w:val="FFFFFF" w:themeColor="background1"/>
              </w:rPr>
              <w:fldChar w:fldCharType="separate"/>
            </w:r>
            <w:r w:rsidR="000F7B0B">
              <w:rPr>
                <w:b/>
                <w:bCs/>
                <w:noProof/>
                <w:color w:val="FFFFFF" w:themeColor="background1"/>
              </w:rPr>
              <w:t>64</w:t>
            </w:r>
            <w:r w:rsidR="00F366BC" w:rsidRPr="00F366BC">
              <w:rPr>
                <w:b/>
                <w:bCs/>
                <w:color w:val="FFFFFF" w:themeColor="background1"/>
              </w:rPr>
              <w:fldChar w:fldCharType="end"/>
            </w:r>
            <w:r w:rsidR="000A4E61" w:rsidRPr="00F366BC">
              <w:rPr>
                <w:rFonts w:ascii="Calibri" w:eastAsia="Times New Roman" w:hAnsi="Calibri" w:cs="Calibri"/>
                <w:b/>
                <w:color w:val="FFFFFF" w:themeColor="background1"/>
                <w:szCs w:val="20"/>
              </w:rPr>
              <w:t>:  Waste taxes  </w:t>
            </w:r>
          </w:p>
        </w:tc>
      </w:tr>
      <w:tr w:rsidR="000A4E61" w:rsidRPr="00EA4C9B" w14:paraId="16F9C8D8" w14:textId="77777777" w:rsidTr="004F0767">
        <w:trPr>
          <w:trHeight w:val="75"/>
        </w:trPr>
        <w:tc>
          <w:tcPr>
            <w:tcW w:w="3495" w:type="dxa"/>
            <w:tcBorders>
              <w:top w:val="single" w:sz="6" w:space="0" w:color="auto"/>
              <w:left w:val="single" w:sz="6" w:space="0" w:color="auto"/>
              <w:bottom w:val="single" w:sz="6" w:space="0" w:color="auto"/>
              <w:right w:val="single" w:sz="6" w:space="0" w:color="auto"/>
            </w:tcBorders>
            <w:hideMark/>
          </w:tcPr>
          <w:p w14:paraId="04FF7F6C" w14:textId="77777777" w:rsidR="000A4E61" w:rsidRPr="00EA4C9B" w:rsidRDefault="000A4E61" w:rsidP="00F366BC">
            <w:pPr>
              <w:pStyle w:val="Table"/>
              <w:rPr>
                <w:rFonts w:ascii="Times New Roman" w:eastAsia="Times New Roman" w:hAnsi="Times New Roman" w:cs="Times New Roman"/>
                <w:sz w:val="24"/>
              </w:rPr>
            </w:pPr>
            <w:r w:rsidRPr="00EA4C9B">
              <w:rPr>
                <w:rFonts w:ascii="Calibri" w:eastAsia="Times New Roman" w:hAnsi="Calibri" w:cs="Calibri"/>
                <w:b/>
                <w:szCs w:val="20"/>
              </w:rPr>
              <w:t>Tax Name</w:t>
            </w:r>
            <w:r w:rsidRPr="00EA4C9B">
              <w:rPr>
                <w:rFonts w:ascii="Calibri" w:eastAsia="Times New Roman" w:hAnsi="Calibri" w:cs="Calibri"/>
                <w:szCs w:val="20"/>
              </w:rPr>
              <w:t>  </w:t>
            </w:r>
          </w:p>
        </w:tc>
        <w:tc>
          <w:tcPr>
            <w:tcW w:w="1710" w:type="dxa"/>
            <w:tcBorders>
              <w:top w:val="single" w:sz="6" w:space="0" w:color="auto"/>
              <w:left w:val="single" w:sz="6" w:space="0" w:color="auto"/>
              <w:bottom w:val="single" w:sz="6" w:space="0" w:color="auto"/>
              <w:right w:val="single" w:sz="6" w:space="0" w:color="auto"/>
            </w:tcBorders>
            <w:hideMark/>
          </w:tcPr>
          <w:p w14:paraId="58C809AE" w14:textId="29C4C18D" w:rsidR="000A4E61" w:rsidRPr="00EA4C9B" w:rsidRDefault="000A4E61" w:rsidP="000F7B0B">
            <w:pPr>
              <w:pStyle w:val="Table"/>
              <w:jc w:val="center"/>
              <w:rPr>
                <w:rFonts w:ascii="Times New Roman" w:eastAsia="Times New Roman" w:hAnsi="Times New Roman" w:cs="Times New Roman"/>
                <w:sz w:val="24"/>
              </w:rPr>
            </w:pPr>
            <w:r w:rsidRPr="00EA4C9B">
              <w:rPr>
                <w:rFonts w:ascii="Calibri" w:eastAsia="Times New Roman" w:hAnsi="Calibri" w:cs="Calibri"/>
                <w:b/>
                <w:szCs w:val="20"/>
              </w:rPr>
              <w:t>Revenue (€ million)</w:t>
            </w:r>
          </w:p>
          <w:p w14:paraId="0D2841F0" w14:textId="7C41F764" w:rsidR="000A4E61" w:rsidRPr="00EA4C9B" w:rsidRDefault="000A4E61" w:rsidP="000F7B0B">
            <w:pPr>
              <w:pStyle w:val="Table"/>
              <w:jc w:val="center"/>
              <w:rPr>
                <w:rFonts w:ascii="Times New Roman" w:eastAsia="Times New Roman" w:hAnsi="Times New Roman" w:cs="Times New Roman"/>
                <w:sz w:val="24"/>
              </w:rPr>
            </w:pPr>
            <w:r w:rsidRPr="00EA4C9B">
              <w:rPr>
                <w:rFonts w:ascii="Calibri" w:eastAsia="Times New Roman" w:hAnsi="Calibri" w:cs="Calibri"/>
                <w:b/>
                <w:szCs w:val="20"/>
              </w:rPr>
              <w:t>2009-2023</w:t>
            </w:r>
          </w:p>
        </w:tc>
        <w:tc>
          <w:tcPr>
            <w:tcW w:w="1890" w:type="dxa"/>
            <w:tcBorders>
              <w:top w:val="single" w:sz="6" w:space="0" w:color="auto"/>
              <w:left w:val="single" w:sz="6" w:space="0" w:color="auto"/>
              <w:bottom w:val="single" w:sz="6" w:space="0" w:color="auto"/>
              <w:right w:val="single" w:sz="6" w:space="0" w:color="auto"/>
            </w:tcBorders>
            <w:hideMark/>
          </w:tcPr>
          <w:p w14:paraId="5C7652FA" w14:textId="09BCA7E0" w:rsidR="000A4E61" w:rsidRPr="00EA4C9B" w:rsidRDefault="000A4E61" w:rsidP="000F7B0B">
            <w:pPr>
              <w:pStyle w:val="Table"/>
              <w:jc w:val="center"/>
              <w:rPr>
                <w:rFonts w:ascii="Times New Roman" w:eastAsia="Times New Roman" w:hAnsi="Times New Roman" w:cs="Times New Roman"/>
                <w:sz w:val="24"/>
              </w:rPr>
            </w:pPr>
            <w:r w:rsidRPr="00EA4C9B">
              <w:rPr>
                <w:rFonts w:ascii="Calibri" w:eastAsia="Times New Roman" w:hAnsi="Calibri" w:cs="Calibri"/>
                <w:b/>
                <w:szCs w:val="20"/>
              </w:rPr>
              <w:t>Average annual revenue (€ million)</w:t>
            </w:r>
          </w:p>
        </w:tc>
        <w:tc>
          <w:tcPr>
            <w:tcW w:w="1905" w:type="dxa"/>
            <w:tcBorders>
              <w:top w:val="single" w:sz="6" w:space="0" w:color="auto"/>
              <w:left w:val="single" w:sz="6" w:space="0" w:color="auto"/>
              <w:bottom w:val="single" w:sz="6" w:space="0" w:color="auto"/>
              <w:right w:val="single" w:sz="6" w:space="0" w:color="auto"/>
            </w:tcBorders>
            <w:hideMark/>
          </w:tcPr>
          <w:p w14:paraId="425A22E7" w14:textId="2580E91C" w:rsidR="000A4E61" w:rsidRPr="00EA4C9B" w:rsidRDefault="000A4E61" w:rsidP="000F7B0B">
            <w:pPr>
              <w:pStyle w:val="Table"/>
              <w:jc w:val="center"/>
              <w:rPr>
                <w:rFonts w:ascii="Times New Roman" w:eastAsia="Times New Roman" w:hAnsi="Times New Roman" w:cs="Times New Roman"/>
                <w:sz w:val="24"/>
              </w:rPr>
            </w:pPr>
            <w:r w:rsidRPr="00EA4C9B">
              <w:rPr>
                <w:rFonts w:ascii="Calibri" w:eastAsia="Times New Roman" w:hAnsi="Calibri" w:cs="Calibri"/>
                <w:b/>
                <w:szCs w:val="20"/>
              </w:rPr>
              <w:t>As share of all waste tax revenues</w:t>
            </w:r>
          </w:p>
        </w:tc>
      </w:tr>
      <w:tr w:rsidR="000A4E61" w:rsidRPr="00EA4C9B" w14:paraId="450083BD" w14:textId="77777777" w:rsidTr="004F0767">
        <w:trPr>
          <w:trHeight w:val="45"/>
        </w:trPr>
        <w:tc>
          <w:tcPr>
            <w:tcW w:w="3495" w:type="dxa"/>
            <w:tcBorders>
              <w:top w:val="single" w:sz="6" w:space="0" w:color="auto"/>
              <w:left w:val="single" w:sz="6" w:space="0" w:color="auto"/>
              <w:bottom w:val="single" w:sz="6" w:space="0" w:color="auto"/>
              <w:right w:val="single" w:sz="6" w:space="0" w:color="auto"/>
            </w:tcBorders>
            <w:hideMark/>
          </w:tcPr>
          <w:p w14:paraId="079AC08B" w14:textId="77777777" w:rsidR="000A4E61" w:rsidRPr="00EA4C9B" w:rsidRDefault="000A4E61" w:rsidP="00F366BC">
            <w:pPr>
              <w:pStyle w:val="Table"/>
              <w:rPr>
                <w:rFonts w:ascii="Times New Roman" w:eastAsia="Times New Roman" w:hAnsi="Times New Roman" w:cs="Times New Roman"/>
                <w:sz w:val="24"/>
              </w:rPr>
            </w:pPr>
            <w:r w:rsidRPr="00EA4C9B">
              <w:rPr>
                <w:rFonts w:ascii="Calibri" w:eastAsia="Times New Roman" w:hAnsi="Calibri" w:cs="Calibri"/>
                <w:color w:val="000000"/>
                <w:szCs w:val="20"/>
              </w:rPr>
              <w:t>Tax on plastic bags</w:t>
            </w:r>
          </w:p>
        </w:tc>
        <w:tc>
          <w:tcPr>
            <w:tcW w:w="1710" w:type="dxa"/>
            <w:tcBorders>
              <w:top w:val="single" w:sz="6" w:space="0" w:color="auto"/>
              <w:left w:val="single" w:sz="6" w:space="0" w:color="auto"/>
              <w:bottom w:val="single" w:sz="6" w:space="0" w:color="auto"/>
              <w:right w:val="single" w:sz="6" w:space="0" w:color="auto"/>
            </w:tcBorders>
            <w:hideMark/>
          </w:tcPr>
          <w:p w14:paraId="56D93F34" w14:textId="77777777" w:rsidR="000A4E61" w:rsidRPr="00EA4C9B" w:rsidRDefault="000A4E61" w:rsidP="000F7B0B">
            <w:pPr>
              <w:pStyle w:val="Table"/>
              <w:jc w:val="center"/>
              <w:rPr>
                <w:rFonts w:ascii="Times New Roman" w:eastAsia="Times New Roman" w:hAnsi="Times New Roman" w:cs="Times New Roman"/>
                <w:sz w:val="24"/>
              </w:rPr>
            </w:pPr>
            <w:r w:rsidRPr="00EA4C9B">
              <w:rPr>
                <w:rFonts w:ascii="Calibri" w:eastAsia="Times New Roman" w:hAnsi="Calibri" w:cs="Calibri"/>
                <w:szCs w:val="20"/>
              </w:rPr>
              <w:t>98.7</w:t>
            </w:r>
          </w:p>
        </w:tc>
        <w:tc>
          <w:tcPr>
            <w:tcW w:w="1890" w:type="dxa"/>
            <w:tcBorders>
              <w:top w:val="single" w:sz="6" w:space="0" w:color="auto"/>
              <w:left w:val="single" w:sz="6" w:space="0" w:color="auto"/>
              <w:bottom w:val="single" w:sz="6" w:space="0" w:color="auto"/>
              <w:right w:val="single" w:sz="6" w:space="0" w:color="auto"/>
            </w:tcBorders>
            <w:hideMark/>
          </w:tcPr>
          <w:p w14:paraId="675A9C42" w14:textId="77777777" w:rsidR="000A4E61" w:rsidRPr="00EA4C9B" w:rsidRDefault="000A4E61" w:rsidP="000F7B0B">
            <w:pPr>
              <w:pStyle w:val="Table"/>
              <w:jc w:val="center"/>
              <w:rPr>
                <w:rFonts w:ascii="Times New Roman" w:eastAsia="Times New Roman" w:hAnsi="Times New Roman" w:cs="Times New Roman"/>
                <w:sz w:val="24"/>
              </w:rPr>
            </w:pPr>
            <w:r w:rsidRPr="00EA4C9B">
              <w:rPr>
                <w:rFonts w:ascii="Calibri" w:eastAsia="Times New Roman" w:hAnsi="Calibri" w:cs="Calibri"/>
                <w:szCs w:val="20"/>
              </w:rPr>
              <w:t>6.58</w:t>
            </w:r>
          </w:p>
        </w:tc>
        <w:tc>
          <w:tcPr>
            <w:tcW w:w="1905" w:type="dxa"/>
            <w:tcBorders>
              <w:top w:val="single" w:sz="6" w:space="0" w:color="auto"/>
              <w:left w:val="single" w:sz="6" w:space="0" w:color="auto"/>
              <w:bottom w:val="single" w:sz="6" w:space="0" w:color="auto"/>
              <w:right w:val="single" w:sz="6" w:space="0" w:color="auto"/>
            </w:tcBorders>
            <w:hideMark/>
          </w:tcPr>
          <w:p w14:paraId="1A297F2C" w14:textId="5D7B9B81" w:rsidR="000A4E61" w:rsidRPr="00EA4C9B" w:rsidRDefault="000A4E61" w:rsidP="000F7B0B">
            <w:pPr>
              <w:pStyle w:val="Table"/>
              <w:jc w:val="center"/>
              <w:rPr>
                <w:rFonts w:ascii="Times New Roman" w:eastAsia="Times New Roman" w:hAnsi="Times New Roman" w:cs="Times New Roman"/>
                <w:sz w:val="24"/>
              </w:rPr>
            </w:pPr>
            <w:r w:rsidRPr="00EA4C9B">
              <w:rPr>
                <w:rFonts w:ascii="Calibri" w:eastAsia="Times New Roman" w:hAnsi="Calibri" w:cs="Calibri"/>
                <w:szCs w:val="20"/>
              </w:rPr>
              <w:t>100%</w:t>
            </w:r>
          </w:p>
        </w:tc>
      </w:tr>
    </w:tbl>
    <w:p w14:paraId="3FCAD1D0" w14:textId="77777777" w:rsidR="000A4E61" w:rsidRPr="00EA4C9B" w:rsidRDefault="000A4E61" w:rsidP="000A4E61"/>
    <w:tbl>
      <w:tblPr>
        <w:tblStyle w:val="TableGrid"/>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4500"/>
        <w:gridCol w:w="4500"/>
      </w:tblGrid>
      <w:tr w:rsidR="000A4E61" w:rsidRPr="00EA4C9B" w14:paraId="41668D7E" w14:textId="77777777" w:rsidTr="00271218">
        <w:trPr>
          <w:trHeight w:val="300"/>
          <w:tblHeader/>
        </w:trPr>
        <w:tc>
          <w:tcPr>
            <w:tcW w:w="9000" w:type="dxa"/>
            <w:gridSpan w:val="2"/>
            <w:shd w:val="clear" w:color="auto" w:fill="003399"/>
            <w:tcMar>
              <w:left w:w="105" w:type="dxa"/>
              <w:right w:w="105" w:type="dxa"/>
            </w:tcMar>
          </w:tcPr>
          <w:p w14:paraId="62DFDE78" w14:textId="79F3182A" w:rsidR="000A4E61" w:rsidRPr="00F366BC" w:rsidRDefault="00B666AB" w:rsidP="00F366BC">
            <w:pPr>
              <w:pStyle w:val="Table"/>
              <w:rPr>
                <w:b/>
                <w:color w:val="FFFFFF" w:themeColor="background1"/>
              </w:rPr>
            </w:pPr>
            <w:r w:rsidRPr="00F366BC">
              <w:rPr>
                <w:b/>
                <w:color w:val="FFFFFF" w:themeColor="background1"/>
              </w:rPr>
              <w:t xml:space="preserve">Table </w:t>
            </w:r>
            <w:r w:rsidR="00490085">
              <w:rPr>
                <w:b/>
                <w:color w:val="FFFFFF" w:themeColor="background1"/>
              </w:rPr>
              <w:t>A6</w:t>
            </w:r>
            <w:r w:rsidR="00F366BC" w:rsidRPr="00F366BC">
              <w:rPr>
                <w:b/>
                <w:bCs/>
                <w:color w:val="FFFFFF" w:themeColor="background1"/>
              </w:rPr>
              <w:t>-</w:t>
            </w:r>
            <w:r w:rsidR="00F366BC" w:rsidRPr="00F366BC">
              <w:rPr>
                <w:b/>
                <w:bCs/>
                <w:color w:val="FFFFFF" w:themeColor="background1"/>
              </w:rPr>
              <w:fldChar w:fldCharType="begin"/>
            </w:r>
            <w:r w:rsidR="00F366BC" w:rsidRPr="00F366BC">
              <w:rPr>
                <w:b/>
                <w:bCs/>
                <w:color w:val="FFFFFF" w:themeColor="background1"/>
              </w:rPr>
              <w:instrText xml:space="preserve"> SEQ Table_A5- \* ARABIC </w:instrText>
            </w:r>
            <w:r w:rsidR="00F366BC" w:rsidRPr="00F366BC">
              <w:rPr>
                <w:b/>
                <w:bCs/>
                <w:color w:val="FFFFFF" w:themeColor="background1"/>
              </w:rPr>
              <w:fldChar w:fldCharType="separate"/>
            </w:r>
            <w:r w:rsidR="000F7B0B">
              <w:rPr>
                <w:b/>
                <w:bCs/>
                <w:noProof/>
                <w:color w:val="FFFFFF" w:themeColor="background1"/>
              </w:rPr>
              <w:t>65</w:t>
            </w:r>
            <w:r w:rsidR="00F366BC" w:rsidRPr="00F366BC">
              <w:rPr>
                <w:b/>
                <w:bCs/>
                <w:color w:val="FFFFFF" w:themeColor="background1"/>
              </w:rPr>
              <w:fldChar w:fldCharType="end"/>
            </w:r>
            <w:r w:rsidR="000A4E61" w:rsidRPr="00F366BC">
              <w:rPr>
                <w:b/>
                <w:color w:val="FFFFFF" w:themeColor="background1"/>
              </w:rPr>
              <w:t>: Other environmental taxes not reported in the National Tax Lists</w:t>
            </w:r>
          </w:p>
        </w:tc>
      </w:tr>
      <w:tr w:rsidR="000A4E61" w:rsidRPr="00EA4C9B" w14:paraId="0B737D53" w14:textId="77777777" w:rsidTr="00271218">
        <w:trPr>
          <w:trHeight w:val="300"/>
          <w:tblHeader/>
        </w:trPr>
        <w:tc>
          <w:tcPr>
            <w:tcW w:w="4500" w:type="dxa"/>
            <w:tcMar>
              <w:left w:w="105" w:type="dxa"/>
              <w:right w:w="105" w:type="dxa"/>
            </w:tcMar>
          </w:tcPr>
          <w:p w14:paraId="164EE3D5" w14:textId="77777777" w:rsidR="000A4E61" w:rsidRPr="000F7B0B" w:rsidRDefault="000A4E61" w:rsidP="00F366BC">
            <w:pPr>
              <w:pStyle w:val="Table"/>
              <w:rPr>
                <w:b/>
                <w:bCs/>
              </w:rPr>
            </w:pPr>
            <w:r w:rsidRPr="000F7B0B">
              <w:rPr>
                <w:b/>
                <w:bCs/>
              </w:rPr>
              <w:t>Tax Name</w:t>
            </w:r>
          </w:p>
        </w:tc>
        <w:tc>
          <w:tcPr>
            <w:tcW w:w="4500" w:type="dxa"/>
            <w:tcMar>
              <w:left w:w="105" w:type="dxa"/>
              <w:right w:w="105" w:type="dxa"/>
            </w:tcMar>
          </w:tcPr>
          <w:p w14:paraId="38F0DDA3" w14:textId="387C053C" w:rsidR="000A4E61" w:rsidRPr="000F7B0B" w:rsidRDefault="000A4E61" w:rsidP="00F366BC">
            <w:pPr>
              <w:pStyle w:val="Table"/>
              <w:rPr>
                <w:b/>
                <w:bCs/>
              </w:rPr>
            </w:pPr>
            <w:r w:rsidRPr="000F7B0B">
              <w:rPr>
                <w:b/>
                <w:bCs/>
              </w:rPr>
              <w:t>Annual revenue (€ million) in 2023</w:t>
            </w:r>
          </w:p>
        </w:tc>
      </w:tr>
      <w:tr w:rsidR="000A4E61" w:rsidRPr="00EA4C9B" w14:paraId="02FDA930" w14:textId="77777777">
        <w:trPr>
          <w:trHeight w:val="300"/>
        </w:trPr>
        <w:tc>
          <w:tcPr>
            <w:tcW w:w="4500" w:type="dxa"/>
            <w:tcMar>
              <w:left w:w="105" w:type="dxa"/>
              <w:right w:w="105" w:type="dxa"/>
            </w:tcMar>
          </w:tcPr>
          <w:p w14:paraId="689B9B16" w14:textId="77777777" w:rsidR="000A4E61" w:rsidRPr="00EA4C9B" w:rsidRDefault="000A4E61" w:rsidP="00F366BC">
            <w:pPr>
              <w:pStyle w:val="Table"/>
            </w:pPr>
            <w:r w:rsidRPr="00EA4C9B">
              <w:t>Landfill tax</w:t>
            </w:r>
          </w:p>
        </w:tc>
        <w:tc>
          <w:tcPr>
            <w:tcW w:w="4500" w:type="dxa"/>
            <w:tcMar>
              <w:left w:w="105" w:type="dxa"/>
              <w:right w:w="105" w:type="dxa"/>
            </w:tcMar>
          </w:tcPr>
          <w:p w14:paraId="34999534" w14:textId="77777777" w:rsidR="000A4E61" w:rsidRPr="00EA4C9B" w:rsidRDefault="000A4E61" w:rsidP="00F366BC">
            <w:pPr>
              <w:pStyle w:val="Table"/>
            </w:pPr>
          </w:p>
        </w:tc>
      </w:tr>
      <w:tr w:rsidR="000A4E61" w:rsidRPr="00EA4C9B" w14:paraId="6F02EA13" w14:textId="77777777">
        <w:trPr>
          <w:trHeight w:val="300"/>
        </w:trPr>
        <w:tc>
          <w:tcPr>
            <w:tcW w:w="4500" w:type="dxa"/>
            <w:tcMar>
              <w:left w:w="105" w:type="dxa"/>
              <w:right w:w="105" w:type="dxa"/>
            </w:tcMar>
          </w:tcPr>
          <w:p w14:paraId="585039E1" w14:textId="77777777" w:rsidR="000A4E61" w:rsidRPr="00EA4C9B" w:rsidRDefault="000A4E61" w:rsidP="00F366BC">
            <w:pPr>
              <w:pStyle w:val="Table"/>
            </w:pPr>
            <w:r w:rsidRPr="00EA4C9B">
              <w:t>Fee on plastic products</w:t>
            </w:r>
          </w:p>
        </w:tc>
        <w:tc>
          <w:tcPr>
            <w:tcW w:w="4500" w:type="dxa"/>
            <w:tcMar>
              <w:left w:w="105" w:type="dxa"/>
              <w:right w:w="105" w:type="dxa"/>
            </w:tcMar>
          </w:tcPr>
          <w:p w14:paraId="7C29EA00" w14:textId="557F3655" w:rsidR="000A4E61" w:rsidRPr="00EA4C9B" w:rsidRDefault="000A4E61" w:rsidP="00F366BC">
            <w:pPr>
              <w:pStyle w:val="Table"/>
            </w:pPr>
            <w:r w:rsidRPr="00EA4C9B">
              <w:t>17.8</w:t>
            </w:r>
            <w:r w:rsidR="000F7B0B">
              <w:t xml:space="preserve"> </w:t>
            </w:r>
            <w:r w:rsidRPr="00EA4C9B">
              <w:t>(source: OECD PINE database)</w:t>
            </w:r>
          </w:p>
        </w:tc>
      </w:tr>
      <w:tr w:rsidR="000A4E61" w:rsidRPr="00EA4C9B" w14:paraId="536FDC6D" w14:textId="77777777">
        <w:trPr>
          <w:trHeight w:val="300"/>
        </w:trPr>
        <w:tc>
          <w:tcPr>
            <w:tcW w:w="4500" w:type="dxa"/>
            <w:tcMar>
              <w:left w:w="105" w:type="dxa"/>
              <w:right w:w="105" w:type="dxa"/>
            </w:tcMar>
          </w:tcPr>
          <w:p w14:paraId="5DDAC047" w14:textId="77777777" w:rsidR="000A4E61" w:rsidRPr="00EA4C9B" w:rsidRDefault="000A4E61" w:rsidP="00F366BC">
            <w:pPr>
              <w:pStyle w:val="Table"/>
            </w:pPr>
            <w:r w:rsidRPr="00EA4C9B">
              <w:t>Recycling fee</w:t>
            </w:r>
          </w:p>
        </w:tc>
        <w:tc>
          <w:tcPr>
            <w:tcW w:w="4500" w:type="dxa"/>
            <w:tcMar>
              <w:left w:w="105" w:type="dxa"/>
              <w:right w:w="105" w:type="dxa"/>
            </w:tcMar>
          </w:tcPr>
          <w:p w14:paraId="641D4F16" w14:textId="16D5F8BE" w:rsidR="000A4E61" w:rsidRPr="00EA4C9B" w:rsidRDefault="000A4E61" w:rsidP="00F366BC">
            <w:pPr>
              <w:pStyle w:val="Table"/>
            </w:pPr>
            <w:r w:rsidRPr="00EA4C9B">
              <w:t>0.12</w:t>
            </w:r>
            <w:r w:rsidR="000F7B0B">
              <w:t xml:space="preserve"> </w:t>
            </w:r>
            <w:r w:rsidRPr="00EA4C9B">
              <w:t>(source: OECD PINE database)</w:t>
            </w:r>
          </w:p>
        </w:tc>
      </w:tr>
      <w:tr w:rsidR="000A4E61" w:rsidRPr="00EA4C9B" w14:paraId="2AA0E97F" w14:textId="77777777">
        <w:trPr>
          <w:trHeight w:val="300"/>
        </w:trPr>
        <w:tc>
          <w:tcPr>
            <w:tcW w:w="4500" w:type="dxa"/>
            <w:tcMar>
              <w:left w:w="105" w:type="dxa"/>
              <w:right w:w="105" w:type="dxa"/>
            </w:tcMar>
          </w:tcPr>
          <w:p w14:paraId="05682ED9" w14:textId="77777777" w:rsidR="000A4E61" w:rsidRPr="00EA4C9B" w:rsidRDefault="000A4E61" w:rsidP="00F366BC">
            <w:pPr>
              <w:pStyle w:val="Table"/>
            </w:pPr>
            <w:r w:rsidRPr="00EA4C9B">
              <w:t>Resource Cost - Externality Pricing for Water Scarcity</w:t>
            </w:r>
          </w:p>
        </w:tc>
        <w:tc>
          <w:tcPr>
            <w:tcW w:w="4500" w:type="dxa"/>
            <w:tcMar>
              <w:left w:w="105" w:type="dxa"/>
              <w:right w:w="105" w:type="dxa"/>
            </w:tcMar>
          </w:tcPr>
          <w:p w14:paraId="08D9E7DE" w14:textId="77777777" w:rsidR="000A4E61" w:rsidRPr="00EA4C9B" w:rsidRDefault="000A4E61" w:rsidP="00F366BC">
            <w:pPr>
              <w:pStyle w:val="Table"/>
            </w:pPr>
          </w:p>
        </w:tc>
      </w:tr>
      <w:tr w:rsidR="000A4E61" w:rsidRPr="00EA4C9B" w14:paraId="28794C76" w14:textId="77777777">
        <w:trPr>
          <w:trHeight w:val="300"/>
        </w:trPr>
        <w:tc>
          <w:tcPr>
            <w:tcW w:w="4500" w:type="dxa"/>
            <w:tcMar>
              <w:left w:w="105" w:type="dxa"/>
              <w:right w:w="105" w:type="dxa"/>
            </w:tcMar>
          </w:tcPr>
          <w:p w14:paraId="7A2A694D" w14:textId="77777777" w:rsidR="000A4E61" w:rsidRPr="00EA4C9B" w:rsidRDefault="000A4E61" w:rsidP="00F366BC">
            <w:pPr>
              <w:pStyle w:val="Table"/>
            </w:pPr>
            <w:r w:rsidRPr="00EA4C9B">
              <w:t>Charge on water irrigation</w:t>
            </w:r>
          </w:p>
        </w:tc>
        <w:tc>
          <w:tcPr>
            <w:tcW w:w="4500" w:type="dxa"/>
            <w:tcMar>
              <w:left w:w="105" w:type="dxa"/>
              <w:right w:w="105" w:type="dxa"/>
            </w:tcMar>
          </w:tcPr>
          <w:p w14:paraId="4816A9B4" w14:textId="77777777" w:rsidR="000A4E61" w:rsidRPr="00EA4C9B" w:rsidRDefault="000A4E61" w:rsidP="00F366BC">
            <w:pPr>
              <w:pStyle w:val="Table"/>
            </w:pPr>
          </w:p>
        </w:tc>
      </w:tr>
      <w:tr w:rsidR="000A4E61" w:rsidRPr="00EA4C9B" w14:paraId="6B97037F" w14:textId="77777777">
        <w:trPr>
          <w:trHeight w:val="300"/>
        </w:trPr>
        <w:tc>
          <w:tcPr>
            <w:tcW w:w="4500" w:type="dxa"/>
            <w:tcMar>
              <w:left w:w="105" w:type="dxa"/>
              <w:right w:w="105" w:type="dxa"/>
            </w:tcMar>
          </w:tcPr>
          <w:p w14:paraId="50771E30" w14:textId="77777777" w:rsidR="000A4E61" w:rsidRPr="00EA4C9B" w:rsidRDefault="000A4E61" w:rsidP="00F366BC">
            <w:pPr>
              <w:pStyle w:val="Table"/>
            </w:pPr>
            <w:r w:rsidRPr="00EA4C9B">
              <w:t>Wastewater user charges</w:t>
            </w:r>
          </w:p>
        </w:tc>
        <w:tc>
          <w:tcPr>
            <w:tcW w:w="4500" w:type="dxa"/>
            <w:tcMar>
              <w:left w:w="105" w:type="dxa"/>
              <w:right w:w="105" w:type="dxa"/>
            </w:tcMar>
          </w:tcPr>
          <w:p w14:paraId="04CDF0AE" w14:textId="77777777" w:rsidR="000A4E61" w:rsidRPr="00EA4C9B" w:rsidRDefault="000A4E61" w:rsidP="00F366BC">
            <w:pPr>
              <w:pStyle w:val="Table"/>
            </w:pPr>
          </w:p>
        </w:tc>
      </w:tr>
      <w:tr w:rsidR="000A4E61" w:rsidRPr="00EA4C9B" w14:paraId="27E5FF95" w14:textId="77777777">
        <w:trPr>
          <w:trHeight w:val="300"/>
        </w:trPr>
        <w:tc>
          <w:tcPr>
            <w:tcW w:w="4500" w:type="dxa"/>
            <w:tcMar>
              <w:left w:w="105" w:type="dxa"/>
              <w:right w:w="105" w:type="dxa"/>
            </w:tcMar>
          </w:tcPr>
          <w:p w14:paraId="1B6E197F" w14:textId="77777777" w:rsidR="000A4E61" w:rsidRPr="00EA4C9B" w:rsidRDefault="000A4E61" w:rsidP="00F366BC">
            <w:pPr>
              <w:pStyle w:val="Table"/>
            </w:pPr>
            <w:r w:rsidRPr="00EA4C9B">
              <w:t>Charge on hunting licenses</w:t>
            </w:r>
          </w:p>
        </w:tc>
        <w:tc>
          <w:tcPr>
            <w:tcW w:w="4500" w:type="dxa"/>
            <w:tcMar>
              <w:left w:w="105" w:type="dxa"/>
              <w:right w:w="105" w:type="dxa"/>
            </w:tcMar>
          </w:tcPr>
          <w:p w14:paraId="69D4E870" w14:textId="77777777" w:rsidR="000A4E61" w:rsidRPr="00EA4C9B" w:rsidRDefault="000A4E61" w:rsidP="00F366BC">
            <w:pPr>
              <w:pStyle w:val="Table"/>
            </w:pPr>
          </w:p>
        </w:tc>
      </w:tr>
      <w:tr w:rsidR="000A4E61" w:rsidRPr="00EA4C9B" w14:paraId="7CED5136" w14:textId="77777777">
        <w:trPr>
          <w:trHeight w:val="300"/>
        </w:trPr>
        <w:tc>
          <w:tcPr>
            <w:tcW w:w="4500" w:type="dxa"/>
            <w:tcMar>
              <w:left w:w="105" w:type="dxa"/>
              <w:right w:w="105" w:type="dxa"/>
            </w:tcMar>
          </w:tcPr>
          <w:p w14:paraId="3D8ACA60" w14:textId="77777777" w:rsidR="000A4E61" w:rsidRPr="00EA4C9B" w:rsidRDefault="000A4E61" w:rsidP="00F366BC">
            <w:pPr>
              <w:pStyle w:val="Table"/>
            </w:pPr>
            <w:r w:rsidRPr="00EA4C9B">
              <w:t>PAYT</w:t>
            </w:r>
          </w:p>
        </w:tc>
        <w:tc>
          <w:tcPr>
            <w:tcW w:w="4500" w:type="dxa"/>
            <w:tcMar>
              <w:left w:w="105" w:type="dxa"/>
              <w:right w:w="105" w:type="dxa"/>
            </w:tcMar>
          </w:tcPr>
          <w:p w14:paraId="10829726" w14:textId="77777777" w:rsidR="000A4E61" w:rsidRPr="00EA4C9B" w:rsidRDefault="000A4E61" w:rsidP="00F366BC">
            <w:pPr>
              <w:pStyle w:val="Table"/>
            </w:pPr>
          </w:p>
        </w:tc>
      </w:tr>
    </w:tbl>
    <w:p w14:paraId="37517E9A" w14:textId="77777777" w:rsidR="000A4E61" w:rsidRPr="00EA4C9B" w:rsidRDefault="000A4E61" w:rsidP="000A4E61"/>
    <w:p w14:paraId="65BE8AD4" w14:textId="5E1ABA68" w:rsidR="000A4E61" w:rsidRDefault="000A4E61" w:rsidP="000A4E61">
      <w:r w:rsidRPr="00EA4C9B">
        <w:t xml:space="preserve">The </w:t>
      </w:r>
      <w:r w:rsidRPr="00EA4C9B">
        <w:rPr>
          <w:b/>
          <w:bCs/>
        </w:rPr>
        <w:t>tax on plastic bags</w:t>
      </w:r>
      <w:r w:rsidRPr="00EA4C9B">
        <w:t>, which</w:t>
      </w:r>
      <w:r w:rsidRPr="00EA4C9B">
        <w:rPr>
          <w:b/>
          <w:bCs/>
        </w:rPr>
        <w:t xml:space="preserve"> </w:t>
      </w:r>
      <w:r w:rsidRPr="00EA4C9B">
        <w:t>is the only pollution or resource tax included in Greece’s National Tax List, was introduced in 2018 and requires consumers to pay an environmental fee of EUR 0.09 per plastic bag, which is set by the national government. Exceptions include biodegradable bags, bags used by staff for hygiene and safety reasons.</w:t>
      </w:r>
      <w:r w:rsidRPr="00EA4C9B">
        <w:rPr>
          <w:rStyle w:val="FootnoteReference"/>
          <w:rFonts w:ascii="Calibri" w:eastAsia="Aptos" w:hAnsi="Calibri" w:cs="Calibri"/>
          <w:kern w:val="2"/>
          <w14:ligatures w14:val="standardContextual"/>
        </w:rPr>
        <w:footnoteReference w:id="398"/>
      </w:r>
      <w:r w:rsidRPr="00EA4C9B">
        <w:t xml:space="preserve"> The revenue of this tax, as reported in the National Tax List, was EUR </w:t>
      </w:r>
      <w:r w:rsidR="00A041A1">
        <w:t>27</w:t>
      </w:r>
      <w:r w:rsidR="00A45A6D">
        <w:t xml:space="preserve"> million</w:t>
      </w:r>
      <w:r w:rsidRPr="00EA4C9B">
        <w:t xml:space="preserve"> in 2023. In 2022 a new tax was introduced called the “</w:t>
      </w:r>
      <w:r w:rsidRPr="00EA4C9B">
        <w:rPr>
          <w:b/>
          <w:bCs/>
        </w:rPr>
        <w:t>Environmental protection levy for plastic products</w:t>
      </w:r>
      <w:r w:rsidRPr="00EA4C9B">
        <w:t xml:space="preserve">”, which is a nationally set levy of EUR 0.04 imposed per product, aimed at reducing the use of single-use plastics. The measure is mostly aimed at retail and mass catering businesses who sell food and beverages. Both of the taxes are national taxes, set by the central </w:t>
      </w:r>
      <w:r w:rsidRPr="00EA4C9B">
        <w:lastRenderedPageBreak/>
        <w:t>government</w:t>
      </w:r>
      <w:r w:rsidRPr="00EA4C9B">
        <w:rPr>
          <w:rStyle w:val="FootnoteReference"/>
          <w:rFonts w:ascii="Calibri" w:eastAsia="Aptos" w:hAnsi="Calibri" w:cs="Calibri"/>
          <w:kern w:val="2"/>
          <w14:ligatures w14:val="standardContextual"/>
        </w:rPr>
        <w:footnoteReference w:id="399"/>
      </w:r>
      <w:r w:rsidRPr="00EA4C9B">
        <w:t>. Looking at data from the Ministry of National Economy &amp; Finance shows that the total revenues from environmental fees and contributions add up to EUR 29</w:t>
      </w:r>
      <w:r w:rsidR="007B7033">
        <w:t xml:space="preserve"> million</w:t>
      </w:r>
      <w:r w:rsidRPr="00EA4C9B">
        <w:t>, of which EUR 13</w:t>
      </w:r>
      <w:r w:rsidR="007B7033">
        <w:t xml:space="preserve"> million</w:t>
      </w:r>
      <w:r w:rsidRPr="00EA4C9B">
        <w:t xml:space="preserve"> comes from the plastic bag tax, while the levy for plastic products raised EUR 1</w:t>
      </w:r>
      <w:r w:rsidR="005F2DAF">
        <w:t>4</w:t>
      </w:r>
      <w:r w:rsidR="007B7033">
        <w:t xml:space="preserve"> million</w:t>
      </w:r>
      <w:r w:rsidRPr="00EA4C9B">
        <w:rPr>
          <w:rStyle w:val="FootnoteReference"/>
          <w:rFonts w:ascii="Calibri" w:eastAsia="Aptos" w:hAnsi="Calibri" w:cs="Calibri"/>
          <w:kern w:val="2"/>
          <w14:ligatures w14:val="standardContextual"/>
        </w:rPr>
        <w:footnoteReference w:id="400"/>
      </w:r>
      <w:r w:rsidRPr="00EA4C9B">
        <w:t xml:space="preserve">. This </w:t>
      </w:r>
      <w:r w:rsidR="004F7BE3">
        <w:t xml:space="preserve">may </w:t>
      </w:r>
      <w:r w:rsidRPr="00EA4C9B">
        <w:t xml:space="preserve">explain the increase in revenue of pollution taxes </w:t>
      </w:r>
      <w:r w:rsidR="00D50649">
        <w:t xml:space="preserve">between 2021 and 2023. </w:t>
      </w:r>
    </w:p>
    <w:p w14:paraId="236C6885" w14:textId="01EBE569" w:rsidR="000A4E61" w:rsidRPr="00EA4C9B" w:rsidRDefault="00CC3782" w:rsidP="000A4E61">
      <w:r w:rsidRPr="00CC3782">
        <w:t>The pollution tax revenue shows a sharp increase in 2022 due to an entry labelled “LARKO”, amounting to EUR 44 million. This item does not appear in any other year of the time series. The amount corresponds to State aid granted by Greece to the ferro-nickel producer LARKO between 2009 and 2012, which the European Commission found to be unlawful in 2022.¹ Following the Commission’s decision, Greece was required to recover the incompatible aid, and the recovered amount was recorded under pollution tax revenue for that year</w:t>
      </w:r>
      <w:r w:rsidR="001F48F4">
        <w:t>.</w:t>
      </w:r>
      <w:r w:rsidR="000A4E61" w:rsidRPr="00EA4C9B">
        <w:rPr>
          <w:rStyle w:val="FootnoteReference"/>
          <w:rFonts w:ascii="Calibri" w:eastAsia="Aptos" w:hAnsi="Calibri" w:cs="Calibri"/>
          <w:kern w:val="2"/>
          <w14:ligatures w14:val="standardContextual"/>
        </w:rPr>
        <w:footnoteReference w:id="401"/>
      </w:r>
    </w:p>
    <w:p w14:paraId="10F27230" w14:textId="77777777" w:rsidR="000A4E61" w:rsidRPr="00EA4C9B" w:rsidRDefault="000A4E61" w:rsidP="000A4E61">
      <w:pPr>
        <w:rPr>
          <w:rFonts w:eastAsia="Calibri"/>
          <w:color w:val="000000" w:themeColor="text1"/>
        </w:rPr>
      </w:pPr>
      <w:r w:rsidRPr="00EA4C9B">
        <w:t>Greece also has been implementing a</w:t>
      </w:r>
      <w:r w:rsidRPr="00EA4C9B">
        <w:rPr>
          <w:b/>
          <w:bCs/>
        </w:rPr>
        <w:t xml:space="preserve"> landfill tax</w:t>
      </w:r>
      <w:r w:rsidRPr="00EA4C9B">
        <w:t xml:space="preserve"> since 2022. Starting at EUR 20 per tonne, the tax is supposed to increase to EUR 55 in 2027. The tax is paid for by landfill operators and local authorities, and the revenue is used to support local authorities to improve waste prevent, collection and recycling. It also helps fund the operation of recycling infrastructure and research and development of new recycling and waste management technologies. Exemptions exist for islands with less than 1,000 inhabitants</w:t>
      </w:r>
      <w:r w:rsidRPr="00EA4C9B">
        <w:rPr>
          <w:rStyle w:val="FootnoteReference"/>
          <w:rFonts w:ascii="Calibri" w:eastAsia="Aptos" w:hAnsi="Calibri" w:cs="Calibri"/>
          <w:kern w:val="2"/>
          <w14:ligatures w14:val="standardContextual"/>
        </w:rPr>
        <w:footnoteReference w:id="402"/>
      </w:r>
      <w:r w:rsidRPr="00EA4C9B">
        <w:t xml:space="preserve">. Currently, the landfill tax is only paid for mixed and residual waste, to create incentive to reduce and recycle waste. </w:t>
      </w:r>
      <w:r w:rsidRPr="00EA4C9B">
        <w:rPr>
          <w:rFonts w:eastAsia="Calibri"/>
          <w:color w:val="000000" w:themeColor="text1"/>
        </w:rPr>
        <w:t>It had been reintroduced several times, but it was difficult to implement due to the economic burden it posed, the lack of infrastructure and complementary measures.</w:t>
      </w:r>
      <w:r w:rsidRPr="00EA4C9B">
        <w:rPr>
          <w:rStyle w:val="FootnoteReference"/>
          <w:rFonts w:ascii="Calibri" w:eastAsia="Calibri" w:hAnsi="Calibri" w:cs="Calibri"/>
          <w:color w:val="000000" w:themeColor="text1"/>
        </w:rPr>
        <w:footnoteReference w:id="403"/>
      </w:r>
      <w:r w:rsidRPr="00EA4C9B">
        <w:rPr>
          <w:rFonts w:eastAsia="Calibri"/>
          <w:color w:val="000000" w:themeColor="text1"/>
        </w:rPr>
        <w:t xml:space="preserve"> Almost 80% of municipal waste is disposed in landfills in Greece, compared to the EU average below 40%. Critics note that the landfill tax will not provide effective incentives if it is too low and not linked to the amount of generated waste</w:t>
      </w:r>
      <w:r w:rsidRPr="00EA4C9B">
        <w:rPr>
          <w:rStyle w:val="FootnoteReference"/>
          <w:rFonts w:ascii="Calibri" w:eastAsia="Calibri" w:hAnsi="Calibri" w:cs="Calibri"/>
          <w:color w:val="000000" w:themeColor="text1"/>
        </w:rPr>
        <w:footnoteReference w:id="404"/>
      </w:r>
      <w:r w:rsidRPr="00EA4C9B">
        <w:rPr>
          <w:rFonts w:eastAsia="Calibri"/>
          <w:color w:val="000000" w:themeColor="text1"/>
        </w:rPr>
        <w:t>.</w:t>
      </w:r>
    </w:p>
    <w:p w14:paraId="401353EF" w14:textId="77777777" w:rsidR="000A4E61" w:rsidRPr="00EA4C9B" w:rsidRDefault="000A4E61" w:rsidP="000A4E61">
      <w:pPr>
        <w:pStyle w:val="Heading4"/>
      </w:pPr>
      <w:r w:rsidRPr="00EA4C9B">
        <w:t>Fees and other related instruments</w:t>
      </w:r>
    </w:p>
    <w:p w14:paraId="3543FB47" w14:textId="32C1DF5C" w:rsidR="000A4E61" w:rsidRPr="00EA4C9B" w:rsidRDefault="000A4E61" w:rsidP="000A4E61">
      <w:r w:rsidRPr="00EA4C9B">
        <w:t xml:space="preserve">A number of environmentally relevant government instruments are not classified as environmental taxes but are relevant in this context. The </w:t>
      </w:r>
      <w:r w:rsidRPr="00EA4C9B">
        <w:rPr>
          <w:b/>
          <w:bCs/>
        </w:rPr>
        <w:t xml:space="preserve">externality pricing for water resources </w:t>
      </w:r>
      <w:r w:rsidRPr="00EA4C9B">
        <w:t>is a suitable example, since it prices water services based on their estimated environmental cost, resource cost and financing cost. The resource cost is defined as the cost of alternative water uses if the water system is used beyond its ability to naturally replenish</w:t>
      </w:r>
      <w:r w:rsidRPr="00EA4C9B">
        <w:rPr>
          <w:rStyle w:val="FootnoteReference"/>
          <w:rFonts w:ascii="Calibri" w:eastAsia="Calibri" w:hAnsi="Calibri" w:cs="Calibri"/>
          <w:color w:val="000000" w:themeColor="text1"/>
        </w:rPr>
        <w:footnoteReference w:id="405"/>
      </w:r>
      <w:r w:rsidRPr="00EA4C9B">
        <w:t xml:space="preserve">. A new pricing mechanism was introduced in 2024, </w:t>
      </w:r>
      <w:r w:rsidR="00DA7C98">
        <w:t>making</w:t>
      </w:r>
      <w:r w:rsidRPr="00EA4C9B">
        <w:t xml:space="preserve"> the charge on water consumption differentiated based on region, season, and social group. The mechanism also allows for seasonal pricing, allowing water service providers to set to higher charges in summer, as there is both higher water consumption as well as less rain in this period. Water supply companies also have the possibility to set low charges for vulnerable and large households</w:t>
      </w:r>
      <w:r w:rsidRPr="00EA4C9B">
        <w:rPr>
          <w:rStyle w:val="FootnoteReference"/>
          <w:rFonts w:ascii="Calibri" w:eastAsia="Calibri" w:hAnsi="Calibri" w:cs="Calibri"/>
          <w:color w:val="000000" w:themeColor="text1"/>
        </w:rPr>
        <w:footnoteReference w:id="406"/>
      </w:r>
      <w:r w:rsidRPr="00EA4C9B">
        <w:t xml:space="preserve">. The mechanism also introduces a new water pricing system for farmers that combines a fixed fee per </w:t>
      </w:r>
      <w:r w:rsidRPr="00EA4C9B">
        <w:lastRenderedPageBreak/>
        <w:t>hectare with a variable fee based on water consumption, which increases with higher usage to encourage conservation</w:t>
      </w:r>
      <w:r w:rsidRPr="00EA4C9B">
        <w:rPr>
          <w:rStyle w:val="FootnoteReference"/>
          <w:rFonts w:ascii="Calibri" w:eastAsia="Calibri" w:hAnsi="Calibri" w:cs="Calibri"/>
          <w:color w:val="000000" w:themeColor="text1"/>
        </w:rPr>
        <w:footnoteReference w:id="407"/>
      </w:r>
      <w:r w:rsidRPr="00EA4C9B">
        <w:t>.</w:t>
      </w:r>
    </w:p>
    <w:p w14:paraId="33303F76" w14:textId="02B1C211" w:rsidR="000A4E61" w:rsidRPr="00EA4C9B" w:rsidRDefault="000A4E61" w:rsidP="000A4E61">
      <w:pPr>
        <w:rPr>
          <w:rFonts w:eastAsia="Aptos"/>
          <w:kern w:val="2"/>
          <w14:ligatures w14:val="standardContextual"/>
        </w:rPr>
      </w:pPr>
      <w:r w:rsidRPr="00EA4C9B">
        <w:rPr>
          <w:rFonts w:eastAsia="Aptos"/>
          <w:kern w:val="2"/>
          <w14:ligatures w14:val="standardContextual"/>
        </w:rPr>
        <w:t xml:space="preserve">Greece does not have any resource taxes, but it does require </w:t>
      </w:r>
      <w:r w:rsidRPr="12A83150">
        <w:rPr>
          <w:rFonts w:eastAsia="Aptos"/>
          <w:b/>
          <w:bCs/>
          <w:kern w:val="2"/>
          <w14:ligatures w14:val="standardContextual"/>
        </w:rPr>
        <w:t>licenses for hunting</w:t>
      </w:r>
      <w:r w:rsidRPr="00EA4C9B">
        <w:rPr>
          <w:rFonts w:eastAsia="Aptos"/>
          <w:kern w:val="2"/>
          <w14:ligatures w14:val="standardContextual"/>
        </w:rPr>
        <w:t>. The cost of the license is set by the central government, and depends on the length of the license, where the license is valid, the nationality of the hunter, and whether the hunter is part of a hunting association. For 2024 and 2025 the price can vary from EUR 10 for a local licence for hunting association members, to EUR 150 for a non-associated non-EU hunter.</w:t>
      </w:r>
      <w:r w:rsidRPr="12A83150">
        <w:rPr>
          <w:kern w:val="2"/>
          <w14:ligatures w14:val="standardContextual"/>
        </w:rPr>
        <w:t>￼</w:t>
      </w:r>
      <w:r w:rsidRPr="00EA4C9B">
        <w:rPr>
          <w:rFonts w:eastAsia="Aptos"/>
          <w:kern w:val="2"/>
          <w14:ligatures w14:val="standardContextual"/>
        </w:rPr>
        <w:t xml:space="preserve"> For fishing from the shore no license is required, but when sport-fishing from a boat, a </w:t>
      </w:r>
      <w:r w:rsidRPr="00EA4C9B">
        <w:rPr>
          <w:rStyle w:val="FootnoteReference"/>
          <w:rFonts w:ascii="Calibri" w:eastAsia="Aptos" w:hAnsi="Calibri" w:cs="Calibri"/>
          <w:kern w:val="2"/>
          <w14:ligatures w14:val="standardContextual"/>
        </w:rPr>
        <w:footnoteReference w:id="408"/>
      </w:r>
      <w:r w:rsidRPr="00EA4C9B">
        <w:rPr>
          <w:rFonts w:eastAsia="Aptos"/>
          <w:kern w:val="2"/>
          <w14:ligatures w14:val="standardContextual"/>
        </w:rPr>
        <w:t xml:space="preserve"> is required. These are issued by local authorities, and cost EUR 26, with a requirement to renew every two years for EUR 6</w:t>
      </w:r>
      <w:r w:rsidRPr="12A83150">
        <w:rPr>
          <w:rStyle w:val="FootnoteReference"/>
          <w:rFonts w:ascii="Calibri" w:eastAsia="Aptos" w:hAnsi="Calibri" w:cs="Calibri"/>
        </w:rPr>
        <w:footnoteReference w:id="409"/>
      </w:r>
      <w:r w:rsidRPr="12A83150">
        <w:rPr>
          <w:rFonts w:eastAsia="Aptos"/>
        </w:rPr>
        <w:t>.</w:t>
      </w:r>
    </w:p>
    <w:p w14:paraId="4BD42772" w14:textId="2572E2C4" w:rsidR="000A4E61" w:rsidRPr="00EA4C9B" w:rsidRDefault="000A4E61" w:rsidP="000A4E61">
      <w:pPr>
        <w:rPr>
          <w:rFonts w:eastAsia="Aptos"/>
          <w:kern w:val="2"/>
          <w14:ligatures w14:val="standardContextual"/>
        </w:rPr>
      </w:pPr>
      <w:r w:rsidRPr="00EA4C9B">
        <w:rPr>
          <w:rFonts w:eastAsia="Aptos"/>
          <w:kern w:val="2"/>
          <w14:ligatures w14:val="standardContextual"/>
        </w:rPr>
        <w:t>In 2024 the Greek government introduced a “</w:t>
      </w:r>
      <w:r w:rsidRPr="00EA4C9B">
        <w:rPr>
          <w:rFonts w:eastAsia="Aptos"/>
          <w:b/>
          <w:bCs/>
          <w:kern w:val="2"/>
          <w14:ligatures w14:val="standardContextual"/>
        </w:rPr>
        <w:t>Climate Resilience Fee</w:t>
      </w:r>
      <w:r w:rsidRPr="00EA4C9B">
        <w:rPr>
          <w:rFonts w:eastAsia="Aptos"/>
          <w:kern w:val="2"/>
          <w14:ligatures w14:val="standardContextual"/>
        </w:rPr>
        <w:t>”, which is a daily charge for guests staying at hotels and other short-term room rentals, replacing the previous “stayover tax”. The revenue from the fee is dedicated to an emergency fund for natural disaster preparedness and response. The size of the fee depends on the season, the size of the property, and the quality of the hotel. For example, between April and October 2025, fees range from EUR 2 for one- or two-star hotels to EUR 15 for five-star hotels and properties larger than 80 square meters</w:t>
      </w:r>
      <w:r w:rsidRPr="00EA4C9B">
        <w:rPr>
          <w:rStyle w:val="FootnoteReference"/>
          <w:rFonts w:ascii="Calibri" w:eastAsia="Aptos" w:hAnsi="Calibri" w:cs="Calibri"/>
          <w:kern w:val="2"/>
          <w14:ligatures w14:val="standardContextual"/>
        </w:rPr>
        <w:footnoteReference w:id="410"/>
      </w:r>
      <w:r w:rsidRPr="00EA4C9B">
        <w:rPr>
          <w:rFonts w:eastAsia="Aptos"/>
          <w:kern w:val="2"/>
          <w14:ligatures w14:val="standardContextual"/>
        </w:rPr>
        <w:t>.</w:t>
      </w:r>
    </w:p>
    <w:p w14:paraId="2A6EFA0B" w14:textId="4372306D" w:rsidR="000A4E61" w:rsidRPr="00EA4C9B" w:rsidRDefault="000A4E61" w:rsidP="000A4E61">
      <w:pPr>
        <w:rPr>
          <w:rFonts w:eastAsia="Aptos"/>
          <w:kern w:val="2"/>
          <w14:ligatures w14:val="standardContextual"/>
        </w:rPr>
      </w:pPr>
      <w:r w:rsidRPr="00EA4C9B">
        <w:rPr>
          <w:rFonts w:eastAsia="Aptos"/>
          <w:kern w:val="2"/>
          <w14:ligatures w14:val="standardContextual"/>
        </w:rPr>
        <w:t xml:space="preserve">A </w:t>
      </w:r>
      <w:r w:rsidRPr="00EA4C9B">
        <w:rPr>
          <w:rFonts w:eastAsia="Aptos"/>
          <w:b/>
          <w:bCs/>
          <w:kern w:val="2"/>
          <w14:ligatures w14:val="standardContextual"/>
        </w:rPr>
        <w:t>Recycling Fee</w:t>
      </w:r>
      <w:r w:rsidRPr="00EA4C9B">
        <w:rPr>
          <w:rFonts w:eastAsia="Aptos"/>
          <w:kern w:val="2"/>
          <w14:ligatures w14:val="standardContextual"/>
        </w:rPr>
        <w:t xml:space="preserve"> was also introduced in 2021, in the Law 4819/2021, focusing on Extended Packaging Producer Responsibility. This fee is imposed on packaging that contains polyvinyl chloride (PVC), as the material cannot be recycled. The recycling fee is EUR 0.08 per packaging and is charged to the consumer. In addition, the packaging should clearly show the fee and that the material is not recyclable</w:t>
      </w:r>
      <w:r w:rsidRPr="00EA4C9B">
        <w:rPr>
          <w:rStyle w:val="FootnoteReference"/>
          <w:rFonts w:ascii="Calibri" w:eastAsia="Aptos" w:hAnsi="Calibri" w:cs="Calibri"/>
          <w:kern w:val="2"/>
          <w14:ligatures w14:val="standardContextual"/>
        </w:rPr>
        <w:footnoteReference w:id="411"/>
      </w:r>
      <w:r w:rsidRPr="00EA4C9B">
        <w:rPr>
          <w:rFonts w:eastAsia="Aptos"/>
          <w:kern w:val="2"/>
          <w14:ligatures w14:val="standardContextual"/>
        </w:rPr>
        <w:t>.</w:t>
      </w:r>
    </w:p>
    <w:p w14:paraId="5BD71239" w14:textId="0EB89A6B" w:rsidR="000A4E61" w:rsidRPr="00EA4C9B" w:rsidRDefault="000A4E61" w:rsidP="000A4E61">
      <w:pPr>
        <w:rPr>
          <w:rFonts w:eastAsia="Aptos"/>
          <w:kern w:val="2"/>
          <w14:ligatures w14:val="standardContextual"/>
        </w:rPr>
      </w:pPr>
      <w:r w:rsidRPr="00EA4C9B">
        <w:rPr>
          <w:rFonts w:eastAsia="Aptos"/>
          <w:kern w:val="2"/>
          <w14:ligatures w14:val="standardContextual"/>
        </w:rPr>
        <w:t>The Greek government provides a number of environmentally harmful subsidies, mainly through the financial support of fossil fuels. These come in the form of tax exemptions and direct financial support for fossil fuel use. One notable example is the exemption of an excise tax on the use of natural gas in the transport sector, instead of a EUR 0.42/MWh excise tax. This exemption reduces costs for natural gas usage, and this discourages energy efficiency improvements</w:t>
      </w:r>
      <w:r w:rsidRPr="00EA4C9B">
        <w:rPr>
          <w:rStyle w:val="FootnoteReference"/>
          <w:rFonts w:ascii="Calibri" w:eastAsia="Aptos" w:hAnsi="Calibri" w:cs="Calibri"/>
          <w:kern w:val="2"/>
          <w14:ligatures w14:val="standardContextual"/>
        </w:rPr>
        <w:footnoteReference w:id="412"/>
      </w:r>
      <w:r w:rsidRPr="00EA4C9B">
        <w:rPr>
          <w:rFonts w:eastAsia="Aptos"/>
          <w:kern w:val="2"/>
          <w14:ligatures w14:val="standardContextual"/>
        </w:rPr>
        <w:t>. In 2020, Greece provided more than EUR 1.9B of fossil fuel subsidies, largely through tax expenditures like reduced excise taxes on diesel for heating, direct transfers for fossil fuel use on islands, capacity payments for coal and gas power</w:t>
      </w:r>
      <w:r w:rsidRPr="00EA4C9B">
        <w:rPr>
          <w:rStyle w:val="FootnoteReference"/>
          <w:rFonts w:ascii="Calibri" w:eastAsia="Aptos" w:hAnsi="Calibri" w:cs="Calibri"/>
          <w:kern w:val="2"/>
          <w14:ligatures w14:val="standardContextual"/>
        </w:rPr>
        <w:footnoteReference w:id="413"/>
      </w:r>
      <w:r w:rsidRPr="00EA4C9B">
        <w:rPr>
          <w:rFonts w:eastAsia="Aptos"/>
          <w:kern w:val="2"/>
          <w14:ligatures w14:val="standardContextual"/>
        </w:rPr>
        <w:t>. Other environmentally harmful subsidies present in Greece are excise tax refunds for diesel fuel used in agriculture and reduced energy tax rates for light fuel oil used in mobile machinery</w:t>
      </w:r>
      <w:r w:rsidRPr="00EA4C9B">
        <w:rPr>
          <w:rStyle w:val="FootnoteReference"/>
          <w:rFonts w:ascii="Calibri" w:eastAsia="Aptos" w:hAnsi="Calibri" w:cs="Calibri"/>
          <w:kern w:val="2"/>
          <w14:ligatures w14:val="standardContextual"/>
        </w:rPr>
        <w:footnoteReference w:id="414"/>
      </w:r>
      <w:r w:rsidRPr="00EA4C9B">
        <w:rPr>
          <w:rFonts w:eastAsia="Aptos"/>
          <w:kern w:val="2"/>
          <w14:ligatures w14:val="standardContextual"/>
        </w:rPr>
        <w:t>.</w:t>
      </w:r>
    </w:p>
    <w:p w14:paraId="73BAA1F0" w14:textId="5B08C606" w:rsidR="000A4E61" w:rsidRPr="00EA4C9B" w:rsidRDefault="000A4E61" w:rsidP="000A4E61">
      <w:pPr>
        <w:rPr>
          <w:rFonts w:eastAsia="Aptos"/>
          <w:kern w:val="2"/>
          <w14:ligatures w14:val="standardContextual"/>
        </w:rPr>
      </w:pPr>
      <w:r w:rsidRPr="00EA4C9B">
        <w:rPr>
          <w:rFonts w:eastAsia="Aptos"/>
          <w:kern w:val="2"/>
          <w14:ligatures w14:val="standardContextual"/>
        </w:rPr>
        <w:t>Currently, taxes are not fully aligned with the carbon content of different energy sources. A number of environmentally harmful subsidies are still provided by the Greek government, through tax exemptions and reduced excise rates for fossil fuels in certain usages.</w:t>
      </w:r>
    </w:p>
    <w:p w14:paraId="59E3713E" w14:textId="77777777" w:rsidR="000A4E61" w:rsidRPr="00EA4C9B" w:rsidRDefault="000A4E61" w:rsidP="000A4E61">
      <w:pPr>
        <w:pStyle w:val="Heading4"/>
      </w:pPr>
      <w:r w:rsidRPr="00EA4C9B">
        <w:lastRenderedPageBreak/>
        <w:t>Proposed or postponed environmental taxes</w:t>
      </w:r>
    </w:p>
    <w:p w14:paraId="057C3783" w14:textId="77777777" w:rsidR="000A4E61" w:rsidRPr="00EA4C9B" w:rsidRDefault="000A4E61" w:rsidP="000A4E61">
      <w:r w:rsidRPr="00EA4C9B">
        <w:t>In recent years, the Greek government has been advancing work to implement Pay As You Throw-schemes (PAYT). In 2021, a law was passed establishing regulations for PAYT schemes, giving municipalities the possibility to experiment. Although the effects of the system are not entirely clear yet, the government is planning to make it mandatory from 2028 onwards for municipalities with a population larger than 20,000 people. It is also reported that municipalities larger than 100,000 inhabitants have had to implement the scheme since 2023, but this does not seem to be the case as of yet</w:t>
      </w:r>
      <w:r w:rsidRPr="00EA4C9B">
        <w:rPr>
          <w:rStyle w:val="FootnoteReference"/>
          <w:rFonts w:ascii="Calibri" w:eastAsia="Aptos" w:hAnsi="Calibri" w:cs="Calibri"/>
          <w:kern w:val="2"/>
          <w14:ligatures w14:val="standardContextual"/>
        </w:rPr>
        <w:footnoteReference w:id="415"/>
      </w:r>
      <w:r w:rsidRPr="00EA4C9B">
        <w:t>.</w:t>
      </w:r>
    </w:p>
    <w:p w14:paraId="096A43DB" w14:textId="77777777" w:rsidR="000A4E61" w:rsidRPr="00EA4C9B" w:rsidRDefault="000A4E61" w:rsidP="000A4E61">
      <w:pPr>
        <w:pStyle w:val="Heading4"/>
      </w:pPr>
      <w:r w:rsidRPr="00EA4C9B">
        <w:t>Conclusions, country-specific recommendations and reform progress</w:t>
      </w:r>
    </w:p>
    <w:p w14:paraId="4CB9E2ED" w14:textId="77777777" w:rsidR="000A4E61" w:rsidRPr="00EA4C9B" w:rsidRDefault="000A4E61" w:rsidP="000A4E61">
      <w:pPr>
        <w:rPr>
          <w:rFonts w:ascii="Calibri" w:eastAsia="Calibri" w:hAnsi="Calibri" w:cs="Calibri"/>
          <w:color w:val="000000" w:themeColor="text1"/>
        </w:rPr>
      </w:pPr>
      <w:r w:rsidRPr="00EA4C9B">
        <w:rPr>
          <w:rFonts w:ascii="Calibri" w:eastAsia="Calibri" w:hAnsi="Calibri" w:cs="Calibri"/>
          <w:color w:val="000000" w:themeColor="text1"/>
        </w:rPr>
        <w:t>The tax system in Greece is recognized as highly centralized. A major eco-tax reform is expected in 2025, as the Ministry of Finance is launching a reassessment of the effectiveness of existing green taxes. Data on the revenues of specific pollution and resource taxes is scarce; they published revenues for both altogether. Nonetheless, they explain what kind of taxes they consider under such categories</w:t>
      </w:r>
      <w:r w:rsidRPr="00EA4C9B">
        <w:rPr>
          <w:rStyle w:val="FootnoteReference"/>
          <w:rFonts w:ascii="Calibri" w:eastAsia="Calibri" w:hAnsi="Calibri" w:cs="Calibri"/>
          <w:color w:val="000000" w:themeColor="text1"/>
        </w:rPr>
        <w:footnoteReference w:id="416"/>
      </w:r>
      <w:r w:rsidRPr="00EA4C9B">
        <w:rPr>
          <w:rFonts w:ascii="Calibri" w:eastAsia="Calibri" w:hAnsi="Calibri" w:cs="Calibri"/>
          <w:color w:val="000000" w:themeColor="text1"/>
        </w:rPr>
        <w:t>. There is also information available on some revenues in the State Budget report of the Ministry of Finance.</w:t>
      </w:r>
    </w:p>
    <w:p w14:paraId="12438B0C" w14:textId="7E5BF048" w:rsidR="000A4E61" w:rsidRPr="00EA4C9B" w:rsidRDefault="000A4E61" w:rsidP="000A4E61">
      <w:pPr>
        <w:rPr>
          <w:rFonts w:ascii="Calibri" w:eastAsia="Calibri" w:hAnsi="Calibri" w:cs="Calibri"/>
          <w:color w:val="000000" w:themeColor="text1"/>
        </w:rPr>
      </w:pPr>
      <w:r w:rsidRPr="00EA4C9B">
        <w:rPr>
          <w:rFonts w:ascii="Calibri" w:eastAsia="Calibri" w:hAnsi="Calibri" w:cs="Calibri"/>
          <w:color w:val="000000" w:themeColor="text1"/>
        </w:rPr>
        <w:t xml:space="preserve">The </w:t>
      </w:r>
      <w:r w:rsidR="00972491">
        <w:rPr>
          <w:rFonts w:ascii="Calibri" w:eastAsia="Calibri" w:hAnsi="Calibri" w:cs="Calibri"/>
          <w:color w:val="000000" w:themeColor="text1"/>
        </w:rPr>
        <w:t xml:space="preserve">European Semester </w:t>
      </w:r>
      <w:r w:rsidRPr="00EA4C9B">
        <w:rPr>
          <w:rFonts w:ascii="Calibri" w:eastAsia="Calibri" w:hAnsi="Calibri" w:cs="Calibri"/>
          <w:color w:val="000000" w:themeColor="text1"/>
        </w:rPr>
        <w:t xml:space="preserve">Country Specific Recommendations for Greece </w:t>
      </w:r>
      <w:r w:rsidR="00972491">
        <w:rPr>
          <w:rFonts w:ascii="Calibri" w:eastAsia="Calibri" w:hAnsi="Calibri" w:cs="Calibri"/>
          <w:color w:val="000000" w:themeColor="text1"/>
        </w:rPr>
        <w:t>have consistently stressed</w:t>
      </w:r>
      <w:r w:rsidRPr="00EA4C9B">
        <w:rPr>
          <w:rFonts w:ascii="Calibri" w:eastAsia="Calibri" w:hAnsi="Calibri" w:cs="Calibri"/>
          <w:color w:val="000000" w:themeColor="text1"/>
        </w:rPr>
        <w:t xml:space="preserve"> the need for reforms of environmental licensing and regulation. Environmental licensing is said to be a slow and complex process, holding back investment in renewable energy and low-impact industrial activities, also due to a lack of environmental classifications and conditions for these activities. The recommendations also urge Greece to set out more ambitious policies to decarbonize the transport sector, most notably by setting stricter measures on electric motors, and phasing out the most polluting vehicles</w:t>
      </w:r>
      <w:r w:rsidRPr="00EA4C9B">
        <w:rPr>
          <w:rStyle w:val="FootnoteReference"/>
          <w:rFonts w:ascii="Calibri" w:eastAsia="Calibri" w:hAnsi="Calibri" w:cs="Calibri"/>
          <w:color w:val="000000" w:themeColor="text1"/>
        </w:rPr>
        <w:footnoteReference w:id="417"/>
      </w:r>
      <w:r w:rsidRPr="00EA4C9B">
        <w:rPr>
          <w:rFonts w:ascii="Calibri" w:eastAsia="Calibri" w:hAnsi="Calibri" w:cs="Calibri"/>
          <w:color w:val="000000" w:themeColor="text1"/>
        </w:rPr>
        <w:t>. The 2025 CSRs state that water resources are becoming increasingly scarce and polluted. Improving water supply and demand management and infrastructure can offer a solution, addressing water usage from the agricultural sector and cities. Small municipalities are said to not have the means to optimally apply the ‘consumer and polluter pays’ principle. An institutional reform which can improve capacity and accountability of water authorities could offer solutions to the water-related challenges. Energy taxes should be adjusted to encourage electrification, while at the same time phasing out fossil-fuel subsidies, many of which have no phase-out planned by 2030, to reduce Greece’s high dependency on fossil fuels with special attention to industrial coal and coke subsidies.</w:t>
      </w:r>
    </w:p>
    <w:p w14:paraId="443A02E2" w14:textId="77777777" w:rsidR="000A4E61" w:rsidRPr="00EA4C9B" w:rsidRDefault="000A4E61" w:rsidP="000A4E61">
      <w:pPr>
        <w:rPr>
          <w:rFonts w:ascii="Calibri" w:eastAsia="Calibri" w:hAnsi="Calibri" w:cs="Calibri"/>
          <w:color w:val="000000" w:themeColor="text1"/>
        </w:rPr>
      </w:pPr>
      <w:r w:rsidRPr="00EA4C9B">
        <w:rPr>
          <w:rFonts w:ascii="Calibri" w:eastAsia="Calibri" w:hAnsi="Calibri" w:cs="Calibri"/>
          <w:color w:val="000000" w:themeColor="text1"/>
        </w:rPr>
        <w:t>The EU also published an Environmental Implementation Review in 2019 and 2022. The 2019 review noted that Greece’s tax structure had potential to shift the tax burden from labour to consumption taxes, most notably to environmental taxes</w:t>
      </w:r>
      <w:r w:rsidRPr="00EA4C9B">
        <w:rPr>
          <w:rStyle w:val="FootnoteReference"/>
          <w:rFonts w:ascii="Calibri" w:eastAsia="Calibri" w:hAnsi="Calibri" w:cs="Calibri"/>
          <w:color w:val="000000" w:themeColor="text1"/>
        </w:rPr>
        <w:footnoteReference w:id="418"/>
      </w:r>
      <w:r w:rsidRPr="00EA4C9B">
        <w:rPr>
          <w:rFonts w:ascii="Calibri" w:eastAsia="Calibri" w:hAnsi="Calibri" w:cs="Calibri"/>
          <w:color w:val="000000" w:themeColor="text1"/>
        </w:rPr>
        <w:t>. The 2022 review advised Greece to increase environmental taxation to close environmental implementation gaps</w:t>
      </w:r>
      <w:r w:rsidRPr="00EA4C9B">
        <w:rPr>
          <w:rStyle w:val="FootnoteReference"/>
          <w:rFonts w:ascii="Calibri" w:eastAsia="Calibri" w:hAnsi="Calibri" w:cs="Calibri"/>
          <w:color w:val="000000" w:themeColor="text1"/>
        </w:rPr>
        <w:footnoteReference w:id="419"/>
      </w:r>
      <w:r w:rsidRPr="00EA4C9B">
        <w:rPr>
          <w:rFonts w:ascii="Calibri" w:eastAsia="Calibri" w:hAnsi="Calibri" w:cs="Calibri"/>
          <w:color w:val="000000" w:themeColor="text1"/>
        </w:rPr>
        <w:t>. In the context of the ‘polluters pays principle’, Greece could implement more pollution taxes, as currently only the plastic bag tax falls under this category, suggesting that the tax system does not fully reflect the principle. Implementation of the landfill tax would be a good start for this, although, when compared to other Member States, the landfill tax rate in Greece is relatively low</w:t>
      </w:r>
      <w:r w:rsidRPr="00EA4C9B">
        <w:rPr>
          <w:rStyle w:val="FootnoteReference"/>
          <w:rFonts w:ascii="Calibri" w:eastAsia="Calibri" w:hAnsi="Calibri" w:cs="Calibri"/>
          <w:color w:val="000000" w:themeColor="text1"/>
        </w:rPr>
        <w:footnoteReference w:id="420"/>
      </w:r>
      <w:r w:rsidRPr="00EA4C9B">
        <w:rPr>
          <w:rFonts w:ascii="Calibri" w:eastAsia="Calibri" w:hAnsi="Calibri" w:cs="Calibri"/>
          <w:color w:val="000000" w:themeColor="text1"/>
        </w:rPr>
        <w:t>.</w:t>
      </w:r>
    </w:p>
    <w:p w14:paraId="008D626F" w14:textId="77777777" w:rsidR="000A4E61" w:rsidRPr="00EA4C9B" w:rsidRDefault="000A4E61" w:rsidP="007C4EB7">
      <w:pPr>
        <w:pStyle w:val="AnnexHeading2"/>
      </w:pPr>
      <w:bookmarkStart w:id="205" w:name="_Toc214008886"/>
      <w:r w:rsidRPr="00EA4C9B">
        <w:lastRenderedPageBreak/>
        <w:t>Potential for implementing additional environmental taxes</w:t>
      </w:r>
      <w:bookmarkEnd w:id="205"/>
      <w:r w:rsidRPr="00EA4C9B">
        <w:t> </w:t>
      </w:r>
    </w:p>
    <w:p w14:paraId="4B05F6FE" w14:textId="77777777" w:rsidR="000A4E61" w:rsidRPr="00EA4C9B" w:rsidRDefault="000A4E61" w:rsidP="000A4E61">
      <w:pPr>
        <w:rPr>
          <w:rFonts w:ascii="Calibri" w:eastAsia="Calibri" w:hAnsi="Calibri" w:cs="Calibri"/>
          <w:color w:val="000000" w:themeColor="text1"/>
        </w:rPr>
      </w:pPr>
      <w:r w:rsidRPr="00EA4C9B">
        <w:rPr>
          <w:rFonts w:ascii="Calibri" w:eastAsia="Calibri" w:hAnsi="Calibri" w:cs="Calibri"/>
          <w:b/>
          <w:bCs/>
          <w:color w:val="000000" w:themeColor="text1"/>
        </w:rPr>
        <w:t>Implementation of recommendations from the IEEP (2016) report:</w:t>
      </w:r>
      <w:r w:rsidRPr="00EA4C9B">
        <w:rPr>
          <w:rFonts w:ascii="Calibri" w:eastAsia="Calibri" w:hAnsi="Calibri" w:cs="Calibri"/>
          <w:color w:val="000000" w:themeColor="text1"/>
        </w:rPr>
        <w:t>  </w:t>
      </w:r>
    </w:p>
    <w:p w14:paraId="3EE150BB" w14:textId="77777777" w:rsidR="000A4E61" w:rsidRPr="00EA4C9B" w:rsidRDefault="000A4E61" w:rsidP="000A4E61">
      <w:r w:rsidRPr="00EA4C9B">
        <w:t xml:space="preserve">The 2016 Eunomia/IEEP report on environmental taxation in the EU Member States recommended for Greece to reform its tax system by introducing various environmental taxes. These include a taxes on aggregates, landfilling and incineration, packaging, and single-use carrier bags. Particular emphasis was put on air pollution taxes, as air pollution was identified as a challenge in Greece. Of these suggestions, Greece implemented a tax on plastic bags as well as a levy for single-use plastic products, showing progress in this area. While a landfill tax was implemented in 2022, its efficiency has been limited due to design issues. </w:t>
      </w:r>
    </w:p>
    <w:p w14:paraId="64E2EECC" w14:textId="77777777" w:rsidR="000A4E61" w:rsidRPr="00EA4C9B" w:rsidRDefault="000A4E61" w:rsidP="000A4E61">
      <w:r w:rsidRPr="00EA4C9B">
        <w:t>A lack of data made it difficult to judge Greece’s water exploitation index; still, the 2016 Eunomia/IEEP report suggested to implement a tax for water abstraction differentiated for public water supply, manufacturing and agriculture. Instead of a tax, Greece implemented a water pricing mechanism in 2024, which is differentiated based on geographical and temporal factors, and allows for reliefs for vulnerable groups. It particularly encourages water conservation in the agricultural sector.</w:t>
      </w:r>
    </w:p>
    <w:p w14:paraId="70EFF248" w14:textId="469438A2" w:rsidR="000A4E61" w:rsidRDefault="000A4E61" w:rsidP="000A4E61">
      <w:r w:rsidRPr="00EA4C9B">
        <w:t xml:space="preserve">While the cost of wastewater services </w:t>
      </w:r>
      <w:r w:rsidR="00E37D8D" w:rsidRPr="00EA4C9B">
        <w:t>is</w:t>
      </w:r>
      <w:r w:rsidRPr="00EA4C9B">
        <w:t xml:space="preserve"> often included in the rates of municipalities, the report still recommended to adopt a wastewater tax to prevent water pollution. Finally, it was suggested that Greece implement taxes on pesticides and fertilisers. No such taxes have been implemented since, showing scope to strengthen the polluter pays principle in this area. </w:t>
      </w:r>
    </w:p>
    <w:p w14:paraId="44DC957E" w14:textId="28F97344" w:rsidR="009D0E85" w:rsidRDefault="009D0E85" w:rsidP="000A4E61">
      <w:r>
        <w:t xml:space="preserve">In 2023, the European Commission </w:t>
      </w:r>
      <w:r w:rsidR="008C7DFA">
        <w:t xml:space="preserve">advised Greece to </w:t>
      </w:r>
      <w:r w:rsidR="00663BC5">
        <w:t>i</w:t>
      </w:r>
      <w:r w:rsidR="00663BC5" w:rsidRPr="00663BC5">
        <w:t>ntroduce economic measures such as pay-as-you-throw schemes and higher landfill taxes to encourage source-separated collection and reduce the amount of waste sent to landfil</w:t>
      </w:r>
      <w:r w:rsidR="002F5A41">
        <w:t>l</w:t>
      </w:r>
      <w:r w:rsidR="002F5A41">
        <w:rPr>
          <w:rStyle w:val="FootnoteReference"/>
        </w:rPr>
        <w:footnoteReference w:id="421"/>
      </w:r>
      <w:r w:rsidR="002F5A41">
        <w:t>.</w:t>
      </w:r>
    </w:p>
    <w:p w14:paraId="61B0CCBB" w14:textId="491D4F51" w:rsidR="00C6218B" w:rsidRDefault="00F23896" w:rsidP="007C4EB7">
      <w:pPr>
        <w:pStyle w:val="AnnexHeading2"/>
      </w:pPr>
      <w:bookmarkStart w:id="206" w:name="_Toc214008887"/>
      <w:r w:rsidRPr="00EA4C9B">
        <w:t>Impacts and feasibility of implementing new taxes</w:t>
      </w:r>
      <w:bookmarkEnd w:id="206"/>
    </w:p>
    <w:p w14:paraId="47B301DF" w14:textId="6F3F2615" w:rsidR="00046384" w:rsidRDefault="00046384" w:rsidP="00046384">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73AB1184" w14:textId="77777777" w:rsidR="0033764D" w:rsidRPr="0033764D" w:rsidRDefault="0033764D" w:rsidP="0033764D">
      <w:pPr>
        <w:rPr>
          <w:lang w:eastAsia="en-GB"/>
        </w:rPr>
      </w:pPr>
      <w:r w:rsidRPr="0033764D">
        <w:rPr>
          <w:lang w:eastAsia="en-GB"/>
        </w:rPr>
        <w:t xml:space="preserve">Greece’s use of environmental taxation remains uneven. Energy-related instruments are comparatively well developed, but non-energy taxes on pollution and resource use are limited or set at levels that provide weak price signals. The modelling indicates sizeable scope for improvement, particularly in water-related instruments and landfill. Under Scenario A the largest physical gains arise in wastewater discharges and water abstraction, where stronger price signals would curb pollutant loads and improve allocation in stressed basins and islands. Landfill shows significant potential for diversion provided sorting and treatment capacity expands in parallel. Product-based measures on fertilisers and pesticides deliver moderate reductions in nutrient and toxicity pressures, while calibrated air-pollutant charges on large point sources secure incremental abatement. Scenario B follows the same pattern with smaller magnitudes. Revenues scale accordingly and are material in </w:t>
      </w:r>
      <w:r w:rsidRPr="0033764D">
        <w:rPr>
          <w:lang w:eastAsia="en-GB"/>
        </w:rPr>
        <w:lastRenderedPageBreak/>
        <w:t>water effluents and abstraction, with additional but more modest receipts from minerals, landfill and product taxes.</w:t>
      </w:r>
    </w:p>
    <w:p w14:paraId="2347491D" w14:textId="0C8D715E" w:rsidR="0033764D" w:rsidRPr="0055578F" w:rsidRDefault="0033764D" w:rsidP="0033764D">
      <w:pPr>
        <w:rPr>
          <w:lang w:eastAsia="en-GB"/>
        </w:rPr>
      </w:pPr>
      <w:r>
        <w:rPr>
          <w:lang w:eastAsia="en-GB"/>
        </w:rPr>
        <w:t xml:space="preserve">Total revenues from the </w:t>
      </w:r>
      <w:r w:rsidR="007B606C">
        <w:t>investigated</w:t>
      </w:r>
      <w:r w:rsidR="007B606C">
        <w:rPr>
          <w:lang w:eastAsia="en-GB"/>
        </w:rPr>
        <w:t xml:space="preserve"> </w:t>
      </w:r>
      <w:r>
        <w:rPr>
          <w:lang w:eastAsia="en-GB"/>
        </w:rPr>
        <w:t xml:space="preserve">taxes could rise by about €2.8 billion in 2030 and 2035, amounting to an increase of 95 times in the revenues for pollution and resource taxes in 2023. The greatest contributions in revenue come from water abstraction charges (67%) and water effluent charges (23%).  These two make up 93% of all revenues. Reduction in emissions or use of materials is greatest for pesticides (66%), followed by fertilizers (48%), water abstraction (28%), waste to landfill (23%). </w:t>
      </w:r>
    </w:p>
    <w:tbl>
      <w:tblPr>
        <w:tblStyle w:val="Lentelstinklelis1"/>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127"/>
        <w:gridCol w:w="1127"/>
        <w:gridCol w:w="1035"/>
        <w:gridCol w:w="1220"/>
        <w:gridCol w:w="1018"/>
        <w:gridCol w:w="1286"/>
      </w:tblGrid>
      <w:tr w:rsidR="0033764D" w:rsidRPr="00F501DA" w14:paraId="464DCA72" w14:textId="77777777" w:rsidTr="00BA7936">
        <w:trPr>
          <w:trHeight w:val="258"/>
          <w:tblHeader/>
        </w:trPr>
        <w:tc>
          <w:tcPr>
            <w:tcW w:w="9058" w:type="dxa"/>
            <w:gridSpan w:val="7"/>
            <w:shd w:val="clear" w:color="auto" w:fill="003399"/>
          </w:tcPr>
          <w:p w14:paraId="00CCA7CB" w14:textId="705F8606" w:rsidR="0033764D" w:rsidRPr="002C320C" w:rsidRDefault="0033764D" w:rsidP="000878F6">
            <w:pPr>
              <w:pStyle w:val="Table"/>
              <w:rPr>
                <w:b/>
                <w:lang w:eastAsia="en-GB"/>
              </w:rPr>
            </w:pPr>
            <w:r w:rsidRPr="002C320C">
              <w:rPr>
                <w:b/>
                <w:color w:val="FFFFFF" w:themeColor="background1"/>
              </w:rPr>
              <w:t xml:space="preserve">Table </w:t>
            </w:r>
            <w:r w:rsidR="00490085">
              <w:rPr>
                <w:b/>
                <w:bCs/>
                <w:color w:val="FFFFFF" w:themeColor="background1"/>
              </w:rPr>
              <w:t>A6</w:t>
            </w:r>
            <w:r w:rsidRPr="002C320C">
              <w:rPr>
                <w:b/>
                <w:bCs/>
                <w:color w:val="FFFFFF" w:themeColor="background1"/>
              </w:rPr>
              <w:t>-</w:t>
            </w:r>
            <w:r w:rsidRPr="002C320C">
              <w:rPr>
                <w:b/>
                <w:bCs/>
                <w:color w:val="FFFFFF" w:themeColor="background1"/>
              </w:rPr>
              <w:fldChar w:fldCharType="begin"/>
            </w:r>
            <w:r w:rsidRPr="002C320C">
              <w:rPr>
                <w:b/>
                <w:bCs/>
                <w:color w:val="FFFFFF" w:themeColor="background1"/>
              </w:rPr>
              <w:instrText xml:space="preserve"> SEQ Table_A5- \* ARABIC </w:instrText>
            </w:r>
            <w:r w:rsidRPr="002C320C">
              <w:rPr>
                <w:b/>
                <w:bCs/>
                <w:color w:val="FFFFFF" w:themeColor="background1"/>
              </w:rPr>
              <w:fldChar w:fldCharType="separate"/>
            </w:r>
            <w:r>
              <w:rPr>
                <w:b/>
                <w:bCs/>
                <w:noProof/>
                <w:color w:val="FFFFFF" w:themeColor="background1"/>
              </w:rPr>
              <w:t>66</w:t>
            </w:r>
            <w:r w:rsidRPr="002C320C">
              <w:rPr>
                <w:b/>
                <w:bCs/>
                <w:color w:val="FFFFFF" w:themeColor="background1"/>
              </w:rPr>
              <w:fldChar w:fldCharType="end"/>
            </w:r>
            <w:r w:rsidRPr="002C320C">
              <w:rPr>
                <w:b/>
                <w:bCs/>
                <w:color w:val="FFFFFF" w:themeColor="background1"/>
                <w:lang w:eastAsia="en-GB"/>
              </w:rPr>
              <w:t>:</w:t>
            </w:r>
            <w:r w:rsidRPr="002C320C">
              <w:rPr>
                <w:b/>
                <w:color w:val="FFFFFF" w:themeColor="background1"/>
                <w:lang w:eastAsia="en-GB"/>
              </w:rPr>
              <w:t xml:space="preserve"> Environmental Impacts and Revenue Changes in Greece</w:t>
            </w:r>
            <w:r>
              <w:rPr>
                <w:b/>
                <w:color w:val="FFFFFF" w:themeColor="background1"/>
                <w:lang w:eastAsia="en-GB"/>
              </w:rPr>
              <w:t xml:space="preserve"> – Scenario A</w:t>
            </w:r>
          </w:p>
        </w:tc>
      </w:tr>
      <w:tr w:rsidR="0033764D" w:rsidRPr="00F501DA" w14:paraId="516EBF84" w14:textId="77777777" w:rsidTr="00BA7936">
        <w:trPr>
          <w:trHeight w:val="492"/>
          <w:tblHeader/>
        </w:trPr>
        <w:tc>
          <w:tcPr>
            <w:tcW w:w="2264" w:type="dxa"/>
          </w:tcPr>
          <w:p w14:paraId="315C5DFE" w14:textId="77777777" w:rsidR="0033764D" w:rsidRPr="002C320C" w:rsidRDefault="0033764D" w:rsidP="000878F6">
            <w:pPr>
              <w:pStyle w:val="Table"/>
              <w:rPr>
                <w:b/>
              </w:rPr>
            </w:pPr>
            <w:r w:rsidRPr="002C320C">
              <w:rPr>
                <w:b/>
              </w:rPr>
              <w:t>Tax Name</w:t>
            </w:r>
          </w:p>
        </w:tc>
        <w:tc>
          <w:tcPr>
            <w:tcW w:w="2264" w:type="dxa"/>
            <w:gridSpan w:val="2"/>
            <w:vAlign w:val="bottom"/>
          </w:tcPr>
          <w:p w14:paraId="3F8EB1C4" w14:textId="77777777" w:rsidR="0033764D" w:rsidRPr="00CE7FB7" w:rsidRDefault="0033764D" w:rsidP="000878F6">
            <w:pPr>
              <w:pStyle w:val="Table"/>
              <w:jc w:val="center"/>
              <w:rPr>
                <w:b/>
                <w:szCs w:val="20"/>
              </w:rPr>
            </w:pPr>
            <w:r w:rsidRPr="00CE7FB7">
              <w:rPr>
                <w:rFonts w:ascii="Calibri" w:hAnsi="Calibri" w:cs="Calibri"/>
                <w:b/>
                <w:bCs/>
                <w:color w:val="000000"/>
                <w:szCs w:val="20"/>
              </w:rPr>
              <w:t>% Change in Quantities as % of taxed sector</w:t>
            </w:r>
          </w:p>
        </w:tc>
        <w:tc>
          <w:tcPr>
            <w:tcW w:w="2264" w:type="dxa"/>
            <w:gridSpan w:val="2"/>
            <w:vAlign w:val="bottom"/>
          </w:tcPr>
          <w:p w14:paraId="60467389" w14:textId="77777777" w:rsidR="0033764D" w:rsidRPr="00CE7FB7" w:rsidRDefault="0033764D" w:rsidP="000878F6">
            <w:pPr>
              <w:pStyle w:val="Table"/>
              <w:jc w:val="center"/>
              <w:rPr>
                <w:b/>
                <w:szCs w:val="20"/>
              </w:rPr>
            </w:pPr>
            <w:r w:rsidRPr="00CE7FB7">
              <w:rPr>
                <w:rFonts w:ascii="Calibri" w:hAnsi="Calibri" w:cs="Calibri"/>
                <w:b/>
                <w:bCs/>
                <w:color w:val="000000"/>
                <w:szCs w:val="20"/>
              </w:rPr>
              <w:t>Change in Revenues (€Mn)</w:t>
            </w:r>
          </w:p>
        </w:tc>
        <w:tc>
          <w:tcPr>
            <w:tcW w:w="2266" w:type="dxa"/>
            <w:gridSpan w:val="2"/>
            <w:vAlign w:val="bottom"/>
          </w:tcPr>
          <w:p w14:paraId="09CB259D" w14:textId="77777777" w:rsidR="0033764D" w:rsidRPr="00CE7FB7" w:rsidRDefault="0033764D" w:rsidP="000878F6">
            <w:pPr>
              <w:pStyle w:val="Table"/>
              <w:jc w:val="center"/>
              <w:rPr>
                <w:b/>
                <w:szCs w:val="20"/>
              </w:rPr>
            </w:pPr>
            <w:r w:rsidRPr="00CE7FB7">
              <w:rPr>
                <w:rFonts w:ascii="Calibri" w:hAnsi="Calibri" w:cs="Calibri"/>
                <w:b/>
                <w:bCs/>
                <w:color w:val="000000"/>
                <w:szCs w:val="20"/>
              </w:rPr>
              <w:t>As % of 2023 Resource Tax</w:t>
            </w:r>
          </w:p>
        </w:tc>
      </w:tr>
      <w:tr w:rsidR="0033764D" w:rsidRPr="001840EB" w14:paraId="6BC9D5D4" w14:textId="77777777" w:rsidTr="00BA7936">
        <w:trPr>
          <w:trHeight w:val="237"/>
          <w:tblHeader/>
        </w:trPr>
        <w:tc>
          <w:tcPr>
            <w:tcW w:w="2264" w:type="dxa"/>
          </w:tcPr>
          <w:p w14:paraId="20B60FBC" w14:textId="77777777" w:rsidR="0033764D" w:rsidRPr="000A3F73" w:rsidRDefault="0033764D" w:rsidP="000878F6">
            <w:pPr>
              <w:pStyle w:val="Table"/>
              <w:jc w:val="left"/>
              <w:rPr>
                <w:b/>
              </w:rPr>
            </w:pPr>
            <w:r w:rsidRPr="000A3F73">
              <w:rPr>
                <w:b/>
              </w:rPr>
              <w:t>Year</w:t>
            </w:r>
          </w:p>
        </w:tc>
        <w:tc>
          <w:tcPr>
            <w:tcW w:w="1132" w:type="dxa"/>
          </w:tcPr>
          <w:p w14:paraId="03865E8A" w14:textId="77777777" w:rsidR="0033764D" w:rsidRPr="00CE7FB7" w:rsidRDefault="0033764D" w:rsidP="000878F6">
            <w:pPr>
              <w:pStyle w:val="Table"/>
              <w:jc w:val="center"/>
              <w:rPr>
                <w:b/>
                <w:szCs w:val="20"/>
              </w:rPr>
            </w:pPr>
            <w:r w:rsidRPr="00CE7FB7">
              <w:rPr>
                <w:b/>
                <w:szCs w:val="20"/>
              </w:rPr>
              <w:t>2030</w:t>
            </w:r>
          </w:p>
        </w:tc>
        <w:tc>
          <w:tcPr>
            <w:tcW w:w="1132" w:type="dxa"/>
          </w:tcPr>
          <w:p w14:paraId="54E5934C" w14:textId="77777777" w:rsidR="0033764D" w:rsidRPr="00CE7FB7" w:rsidRDefault="0033764D" w:rsidP="000878F6">
            <w:pPr>
              <w:pStyle w:val="Table"/>
              <w:jc w:val="center"/>
              <w:rPr>
                <w:b/>
                <w:szCs w:val="20"/>
              </w:rPr>
            </w:pPr>
            <w:r w:rsidRPr="00CE7FB7">
              <w:rPr>
                <w:b/>
                <w:szCs w:val="20"/>
              </w:rPr>
              <w:t>2035</w:t>
            </w:r>
          </w:p>
        </w:tc>
        <w:tc>
          <w:tcPr>
            <w:tcW w:w="1038" w:type="dxa"/>
          </w:tcPr>
          <w:p w14:paraId="0650A92C" w14:textId="77777777" w:rsidR="0033764D" w:rsidRPr="00CE7FB7" w:rsidRDefault="0033764D" w:rsidP="000878F6">
            <w:pPr>
              <w:pStyle w:val="Table"/>
              <w:jc w:val="center"/>
              <w:rPr>
                <w:b/>
                <w:szCs w:val="20"/>
              </w:rPr>
            </w:pPr>
            <w:r w:rsidRPr="00CE7FB7">
              <w:rPr>
                <w:b/>
                <w:szCs w:val="20"/>
              </w:rPr>
              <w:t>2030</w:t>
            </w:r>
          </w:p>
        </w:tc>
        <w:tc>
          <w:tcPr>
            <w:tcW w:w="1226" w:type="dxa"/>
          </w:tcPr>
          <w:p w14:paraId="5F76B94D" w14:textId="77777777" w:rsidR="0033764D" w:rsidRPr="00CE7FB7" w:rsidRDefault="0033764D" w:rsidP="000878F6">
            <w:pPr>
              <w:pStyle w:val="Table"/>
              <w:jc w:val="center"/>
              <w:rPr>
                <w:b/>
                <w:szCs w:val="20"/>
              </w:rPr>
            </w:pPr>
            <w:r w:rsidRPr="00CE7FB7">
              <w:rPr>
                <w:b/>
                <w:szCs w:val="20"/>
              </w:rPr>
              <w:t>2035</w:t>
            </w:r>
          </w:p>
        </w:tc>
        <w:tc>
          <w:tcPr>
            <w:tcW w:w="975" w:type="dxa"/>
          </w:tcPr>
          <w:p w14:paraId="68AFA147" w14:textId="77777777" w:rsidR="0033764D" w:rsidRPr="00CE7FB7" w:rsidRDefault="0033764D" w:rsidP="000878F6">
            <w:pPr>
              <w:pStyle w:val="Table"/>
              <w:jc w:val="center"/>
              <w:rPr>
                <w:b/>
                <w:szCs w:val="20"/>
              </w:rPr>
            </w:pPr>
            <w:r w:rsidRPr="00CE7FB7">
              <w:rPr>
                <w:b/>
                <w:szCs w:val="20"/>
              </w:rPr>
              <w:t>2030</w:t>
            </w:r>
          </w:p>
        </w:tc>
        <w:tc>
          <w:tcPr>
            <w:tcW w:w="1291" w:type="dxa"/>
          </w:tcPr>
          <w:p w14:paraId="34CB069F" w14:textId="77777777" w:rsidR="0033764D" w:rsidRPr="00CE7FB7" w:rsidRDefault="0033764D" w:rsidP="000878F6">
            <w:pPr>
              <w:pStyle w:val="Table"/>
              <w:jc w:val="center"/>
              <w:rPr>
                <w:b/>
                <w:szCs w:val="20"/>
              </w:rPr>
            </w:pPr>
            <w:r w:rsidRPr="00CE7FB7">
              <w:rPr>
                <w:b/>
                <w:szCs w:val="20"/>
              </w:rPr>
              <w:t>2035</w:t>
            </w:r>
          </w:p>
        </w:tc>
      </w:tr>
      <w:tr w:rsidR="0033764D" w:rsidRPr="001840EB" w14:paraId="2EF851DF" w14:textId="77777777" w:rsidTr="003B60AD">
        <w:trPr>
          <w:trHeight w:val="237"/>
        </w:trPr>
        <w:tc>
          <w:tcPr>
            <w:tcW w:w="2264" w:type="dxa"/>
          </w:tcPr>
          <w:p w14:paraId="391D1E93" w14:textId="77777777" w:rsidR="0033764D" w:rsidRPr="00F501DA" w:rsidRDefault="0033764D" w:rsidP="000878F6">
            <w:pPr>
              <w:pStyle w:val="Table"/>
            </w:pPr>
            <w:r w:rsidRPr="00F501DA">
              <w:t>NOx</w:t>
            </w:r>
          </w:p>
        </w:tc>
        <w:tc>
          <w:tcPr>
            <w:tcW w:w="1132" w:type="dxa"/>
            <w:vAlign w:val="center"/>
          </w:tcPr>
          <w:p w14:paraId="2D2AD149" w14:textId="77777777" w:rsidR="0033764D" w:rsidRPr="00CE7FB7" w:rsidRDefault="0033764D" w:rsidP="000878F6">
            <w:pPr>
              <w:pStyle w:val="Table"/>
              <w:jc w:val="center"/>
              <w:rPr>
                <w:szCs w:val="20"/>
              </w:rPr>
            </w:pPr>
            <w:r w:rsidRPr="00CE7FB7">
              <w:rPr>
                <w:rFonts w:ascii="Calibri" w:hAnsi="Calibri" w:cs="Calibri"/>
                <w:color w:val="000000"/>
                <w:szCs w:val="20"/>
              </w:rPr>
              <w:t>-28,57%</w:t>
            </w:r>
          </w:p>
        </w:tc>
        <w:tc>
          <w:tcPr>
            <w:tcW w:w="1132" w:type="dxa"/>
            <w:vAlign w:val="center"/>
          </w:tcPr>
          <w:p w14:paraId="5EAB95DD" w14:textId="77777777" w:rsidR="0033764D" w:rsidRPr="00CE7FB7" w:rsidRDefault="0033764D" w:rsidP="000878F6">
            <w:pPr>
              <w:pStyle w:val="Table"/>
              <w:jc w:val="center"/>
              <w:rPr>
                <w:szCs w:val="20"/>
              </w:rPr>
            </w:pPr>
            <w:r w:rsidRPr="00CE7FB7">
              <w:rPr>
                <w:rFonts w:ascii="Calibri" w:hAnsi="Calibri" w:cs="Calibri"/>
                <w:color w:val="000000"/>
                <w:szCs w:val="20"/>
              </w:rPr>
              <w:t>-28,57%</w:t>
            </w:r>
          </w:p>
        </w:tc>
        <w:tc>
          <w:tcPr>
            <w:tcW w:w="1038" w:type="dxa"/>
            <w:vAlign w:val="center"/>
          </w:tcPr>
          <w:p w14:paraId="77A12FE6" w14:textId="77777777" w:rsidR="0033764D" w:rsidRPr="00CE7FB7" w:rsidRDefault="0033764D" w:rsidP="000878F6">
            <w:pPr>
              <w:pStyle w:val="Table"/>
              <w:jc w:val="center"/>
              <w:rPr>
                <w:szCs w:val="20"/>
              </w:rPr>
            </w:pPr>
            <w:r w:rsidRPr="00CE7FB7">
              <w:rPr>
                <w:rFonts w:ascii="Calibri" w:hAnsi="Calibri" w:cs="Calibri"/>
                <w:color w:val="000000"/>
                <w:szCs w:val="20"/>
              </w:rPr>
              <w:t>1,04</w:t>
            </w:r>
          </w:p>
        </w:tc>
        <w:tc>
          <w:tcPr>
            <w:tcW w:w="1226" w:type="dxa"/>
            <w:vAlign w:val="center"/>
          </w:tcPr>
          <w:p w14:paraId="7DB78AFA" w14:textId="77777777" w:rsidR="0033764D" w:rsidRPr="00CE7FB7" w:rsidRDefault="0033764D" w:rsidP="000878F6">
            <w:pPr>
              <w:pStyle w:val="Table"/>
              <w:jc w:val="center"/>
              <w:rPr>
                <w:szCs w:val="20"/>
              </w:rPr>
            </w:pPr>
            <w:r w:rsidRPr="00CE7FB7">
              <w:rPr>
                <w:rFonts w:ascii="Calibri" w:hAnsi="Calibri" w:cs="Calibri"/>
                <w:color w:val="000000"/>
                <w:szCs w:val="20"/>
              </w:rPr>
              <w:t>0,80</w:t>
            </w:r>
          </w:p>
        </w:tc>
        <w:tc>
          <w:tcPr>
            <w:tcW w:w="975" w:type="dxa"/>
            <w:vAlign w:val="center"/>
          </w:tcPr>
          <w:p w14:paraId="055BA5C4" w14:textId="77777777" w:rsidR="0033764D" w:rsidRPr="00CE7FB7" w:rsidRDefault="0033764D" w:rsidP="000878F6">
            <w:pPr>
              <w:pStyle w:val="Table"/>
              <w:jc w:val="center"/>
              <w:rPr>
                <w:szCs w:val="20"/>
              </w:rPr>
            </w:pPr>
            <w:r w:rsidRPr="00CE7FB7">
              <w:rPr>
                <w:rFonts w:ascii="Calibri" w:hAnsi="Calibri" w:cs="Calibri"/>
                <w:color w:val="000000"/>
                <w:szCs w:val="20"/>
              </w:rPr>
              <w:t>3,59%</w:t>
            </w:r>
          </w:p>
        </w:tc>
        <w:tc>
          <w:tcPr>
            <w:tcW w:w="1291" w:type="dxa"/>
            <w:vAlign w:val="center"/>
          </w:tcPr>
          <w:p w14:paraId="27F2F6F1" w14:textId="77777777" w:rsidR="0033764D" w:rsidRPr="00CE7FB7" w:rsidRDefault="0033764D" w:rsidP="000878F6">
            <w:pPr>
              <w:pStyle w:val="Table"/>
              <w:jc w:val="center"/>
              <w:rPr>
                <w:szCs w:val="20"/>
              </w:rPr>
            </w:pPr>
            <w:r w:rsidRPr="00CE7FB7">
              <w:rPr>
                <w:rFonts w:ascii="Calibri" w:hAnsi="Calibri" w:cs="Calibri"/>
                <w:color w:val="000000"/>
                <w:szCs w:val="20"/>
              </w:rPr>
              <w:t>2,75%</w:t>
            </w:r>
          </w:p>
        </w:tc>
      </w:tr>
      <w:tr w:rsidR="0033764D" w:rsidRPr="001840EB" w14:paraId="599B7F2F" w14:textId="77777777" w:rsidTr="003B60AD">
        <w:trPr>
          <w:trHeight w:val="237"/>
        </w:trPr>
        <w:tc>
          <w:tcPr>
            <w:tcW w:w="2264" w:type="dxa"/>
          </w:tcPr>
          <w:p w14:paraId="07699515" w14:textId="77777777" w:rsidR="0033764D" w:rsidRPr="00F501DA" w:rsidRDefault="0033764D" w:rsidP="000878F6">
            <w:pPr>
              <w:pStyle w:val="Table"/>
            </w:pPr>
            <w:r w:rsidRPr="00F501DA">
              <w:t>SO2</w:t>
            </w:r>
          </w:p>
        </w:tc>
        <w:tc>
          <w:tcPr>
            <w:tcW w:w="1132" w:type="dxa"/>
            <w:vAlign w:val="center"/>
          </w:tcPr>
          <w:p w14:paraId="7888FB86" w14:textId="77777777" w:rsidR="0033764D" w:rsidRPr="00CE7FB7" w:rsidRDefault="0033764D" w:rsidP="000878F6">
            <w:pPr>
              <w:pStyle w:val="Table"/>
              <w:jc w:val="center"/>
              <w:rPr>
                <w:szCs w:val="20"/>
              </w:rPr>
            </w:pPr>
            <w:r w:rsidRPr="00CE7FB7">
              <w:rPr>
                <w:rFonts w:ascii="Calibri" w:hAnsi="Calibri" w:cs="Calibri"/>
                <w:color w:val="000000"/>
                <w:szCs w:val="20"/>
              </w:rPr>
              <w:t>-32,43%</w:t>
            </w:r>
          </w:p>
        </w:tc>
        <w:tc>
          <w:tcPr>
            <w:tcW w:w="1132" w:type="dxa"/>
            <w:vAlign w:val="center"/>
          </w:tcPr>
          <w:p w14:paraId="3A264D06" w14:textId="77777777" w:rsidR="0033764D" w:rsidRPr="00CE7FB7" w:rsidRDefault="0033764D" w:rsidP="000878F6">
            <w:pPr>
              <w:pStyle w:val="Table"/>
              <w:jc w:val="center"/>
              <w:rPr>
                <w:szCs w:val="20"/>
              </w:rPr>
            </w:pPr>
            <w:r w:rsidRPr="00CE7FB7">
              <w:rPr>
                <w:rFonts w:ascii="Calibri" w:hAnsi="Calibri" w:cs="Calibri"/>
                <w:color w:val="000000"/>
                <w:szCs w:val="20"/>
              </w:rPr>
              <w:t>-32,43%</w:t>
            </w:r>
          </w:p>
        </w:tc>
        <w:tc>
          <w:tcPr>
            <w:tcW w:w="1038" w:type="dxa"/>
            <w:vAlign w:val="center"/>
          </w:tcPr>
          <w:p w14:paraId="6A65B711" w14:textId="77777777" w:rsidR="0033764D" w:rsidRPr="00CE7FB7" w:rsidRDefault="0033764D" w:rsidP="000878F6">
            <w:pPr>
              <w:pStyle w:val="Table"/>
              <w:jc w:val="center"/>
              <w:rPr>
                <w:szCs w:val="20"/>
              </w:rPr>
            </w:pPr>
            <w:r w:rsidRPr="00CE7FB7">
              <w:rPr>
                <w:rFonts w:ascii="Calibri" w:hAnsi="Calibri" w:cs="Calibri"/>
                <w:color w:val="000000"/>
                <w:szCs w:val="20"/>
              </w:rPr>
              <w:t>7,95</w:t>
            </w:r>
          </w:p>
        </w:tc>
        <w:tc>
          <w:tcPr>
            <w:tcW w:w="1226" w:type="dxa"/>
            <w:vAlign w:val="center"/>
          </w:tcPr>
          <w:p w14:paraId="5B2D09D9" w14:textId="77777777" w:rsidR="0033764D" w:rsidRPr="00CE7FB7" w:rsidRDefault="0033764D" w:rsidP="000878F6">
            <w:pPr>
              <w:pStyle w:val="Table"/>
              <w:jc w:val="center"/>
              <w:rPr>
                <w:szCs w:val="20"/>
              </w:rPr>
            </w:pPr>
            <w:r w:rsidRPr="00CE7FB7">
              <w:rPr>
                <w:rFonts w:ascii="Calibri" w:hAnsi="Calibri" w:cs="Calibri"/>
                <w:color w:val="000000"/>
                <w:szCs w:val="20"/>
              </w:rPr>
              <w:t>3,34</w:t>
            </w:r>
          </w:p>
        </w:tc>
        <w:tc>
          <w:tcPr>
            <w:tcW w:w="975" w:type="dxa"/>
            <w:vAlign w:val="center"/>
          </w:tcPr>
          <w:p w14:paraId="69DFC1A4" w14:textId="77777777" w:rsidR="0033764D" w:rsidRPr="00CE7FB7" w:rsidRDefault="0033764D" w:rsidP="000878F6">
            <w:pPr>
              <w:pStyle w:val="Table"/>
              <w:jc w:val="center"/>
              <w:rPr>
                <w:szCs w:val="20"/>
              </w:rPr>
            </w:pPr>
            <w:r w:rsidRPr="00CE7FB7">
              <w:rPr>
                <w:rFonts w:ascii="Calibri" w:hAnsi="Calibri" w:cs="Calibri"/>
                <w:color w:val="000000"/>
                <w:szCs w:val="20"/>
              </w:rPr>
              <w:t>27,40%</w:t>
            </w:r>
          </w:p>
        </w:tc>
        <w:tc>
          <w:tcPr>
            <w:tcW w:w="1291" w:type="dxa"/>
            <w:vAlign w:val="center"/>
          </w:tcPr>
          <w:p w14:paraId="48149B6D" w14:textId="77777777" w:rsidR="0033764D" w:rsidRPr="00CE7FB7" w:rsidRDefault="0033764D" w:rsidP="000878F6">
            <w:pPr>
              <w:pStyle w:val="Table"/>
              <w:jc w:val="center"/>
              <w:rPr>
                <w:szCs w:val="20"/>
              </w:rPr>
            </w:pPr>
            <w:r w:rsidRPr="00CE7FB7">
              <w:rPr>
                <w:rFonts w:ascii="Calibri" w:hAnsi="Calibri" w:cs="Calibri"/>
                <w:color w:val="000000"/>
                <w:szCs w:val="20"/>
              </w:rPr>
              <w:t>11,53%</w:t>
            </w:r>
          </w:p>
        </w:tc>
      </w:tr>
      <w:tr w:rsidR="0033764D" w:rsidRPr="001840EB" w14:paraId="7414C2D7" w14:textId="77777777" w:rsidTr="003B60AD">
        <w:trPr>
          <w:trHeight w:val="237"/>
        </w:trPr>
        <w:tc>
          <w:tcPr>
            <w:tcW w:w="2264" w:type="dxa"/>
          </w:tcPr>
          <w:p w14:paraId="3D6B1F11" w14:textId="77777777" w:rsidR="0033764D" w:rsidRPr="00F501DA" w:rsidRDefault="0033764D" w:rsidP="000878F6">
            <w:pPr>
              <w:pStyle w:val="Table"/>
            </w:pPr>
            <w:r w:rsidRPr="00F501DA">
              <w:t>PM2.5</w:t>
            </w:r>
          </w:p>
        </w:tc>
        <w:tc>
          <w:tcPr>
            <w:tcW w:w="1132" w:type="dxa"/>
            <w:vAlign w:val="center"/>
          </w:tcPr>
          <w:p w14:paraId="5193A5B8" w14:textId="77777777" w:rsidR="0033764D" w:rsidRPr="00CE7FB7" w:rsidRDefault="0033764D" w:rsidP="000878F6">
            <w:pPr>
              <w:pStyle w:val="Table"/>
              <w:jc w:val="center"/>
              <w:rPr>
                <w:szCs w:val="20"/>
              </w:rPr>
            </w:pPr>
            <w:r w:rsidRPr="00CE7FB7">
              <w:rPr>
                <w:rFonts w:ascii="Calibri" w:hAnsi="Calibri" w:cs="Calibri"/>
                <w:color w:val="000000"/>
                <w:szCs w:val="20"/>
              </w:rPr>
              <w:t>-29,58%</w:t>
            </w:r>
          </w:p>
        </w:tc>
        <w:tc>
          <w:tcPr>
            <w:tcW w:w="1132" w:type="dxa"/>
            <w:vAlign w:val="center"/>
          </w:tcPr>
          <w:p w14:paraId="284955D1" w14:textId="77777777" w:rsidR="0033764D" w:rsidRPr="00CE7FB7" w:rsidRDefault="0033764D" w:rsidP="000878F6">
            <w:pPr>
              <w:pStyle w:val="Table"/>
              <w:jc w:val="center"/>
              <w:rPr>
                <w:szCs w:val="20"/>
              </w:rPr>
            </w:pPr>
            <w:r w:rsidRPr="00CE7FB7">
              <w:rPr>
                <w:rFonts w:ascii="Calibri" w:hAnsi="Calibri" w:cs="Calibri"/>
                <w:color w:val="000000"/>
                <w:szCs w:val="20"/>
              </w:rPr>
              <w:t>-29,58%</w:t>
            </w:r>
          </w:p>
        </w:tc>
        <w:tc>
          <w:tcPr>
            <w:tcW w:w="1038" w:type="dxa"/>
            <w:vAlign w:val="center"/>
          </w:tcPr>
          <w:p w14:paraId="206E01D4" w14:textId="77777777" w:rsidR="0033764D" w:rsidRPr="00CE7FB7" w:rsidRDefault="0033764D" w:rsidP="000878F6">
            <w:pPr>
              <w:pStyle w:val="Table"/>
              <w:jc w:val="center"/>
              <w:rPr>
                <w:szCs w:val="20"/>
              </w:rPr>
            </w:pPr>
            <w:r w:rsidRPr="00CE7FB7">
              <w:rPr>
                <w:rFonts w:ascii="Calibri" w:hAnsi="Calibri" w:cs="Calibri"/>
                <w:color w:val="000000"/>
                <w:szCs w:val="20"/>
              </w:rPr>
              <w:t>6,14</w:t>
            </w:r>
          </w:p>
        </w:tc>
        <w:tc>
          <w:tcPr>
            <w:tcW w:w="1226" w:type="dxa"/>
            <w:vAlign w:val="center"/>
          </w:tcPr>
          <w:p w14:paraId="3748DFC2" w14:textId="77777777" w:rsidR="0033764D" w:rsidRPr="00CE7FB7" w:rsidRDefault="0033764D" w:rsidP="000878F6">
            <w:pPr>
              <w:pStyle w:val="Table"/>
              <w:jc w:val="center"/>
              <w:rPr>
                <w:szCs w:val="20"/>
              </w:rPr>
            </w:pPr>
            <w:r w:rsidRPr="00CE7FB7">
              <w:rPr>
                <w:rFonts w:ascii="Calibri" w:hAnsi="Calibri" w:cs="Calibri"/>
                <w:color w:val="000000"/>
                <w:szCs w:val="20"/>
              </w:rPr>
              <w:t>4,37</w:t>
            </w:r>
          </w:p>
        </w:tc>
        <w:tc>
          <w:tcPr>
            <w:tcW w:w="975" w:type="dxa"/>
            <w:vAlign w:val="center"/>
          </w:tcPr>
          <w:p w14:paraId="01BCE2BB" w14:textId="77777777" w:rsidR="0033764D" w:rsidRPr="00CE7FB7" w:rsidRDefault="0033764D" w:rsidP="000878F6">
            <w:pPr>
              <w:pStyle w:val="Table"/>
              <w:jc w:val="center"/>
              <w:rPr>
                <w:szCs w:val="20"/>
              </w:rPr>
            </w:pPr>
            <w:r w:rsidRPr="00CE7FB7">
              <w:rPr>
                <w:rFonts w:ascii="Calibri" w:hAnsi="Calibri" w:cs="Calibri"/>
                <w:color w:val="000000"/>
                <w:szCs w:val="20"/>
              </w:rPr>
              <w:t>21,17%</w:t>
            </w:r>
          </w:p>
        </w:tc>
        <w:tc>
          <w:tcPr>
            <w:tcW w:w="1291" w:type="dxa"/>
            <w:vAlign w:val="center"/>
          </w:tcPr>
          <w:p w14:paraId="4652DDD3" w14:textId="77777777" w:rsidR="0033764D" w:rsidRPr="00CE7FB7" w:rsidRDefault="0033764D" w:rsidP="000878F6">
            <w:pPr>
              <w:pStyle w:val="Table"/>
              <w:jc w:val="center"/>
              <w:rPr>
                <w:szCs w:val="20"/>
              </w:rPr>
            </w:pPr>
            <w:r w:rsidRPr="00CE7FB7">
              <w:rPr>
                <w:rFonts w:ascii="Calibri" w:hAnsi="Calibri" w:cs="Calibri"/>
                <w:color w:val="000000"/>
                <w:szCs w:val="20"/>
              </w:rPr>
              <w:t>15,08%</w:t>
            </w:r>
          </w:p>
        </w:tc>
      </w:tr>
      <w:tr w:rsidR="0033764D" w:rsidRPr="001840EB" w14:paraId="2E920C93" w14:textId="77777777" w:rsidTr="003B60AD">
        <w:trPr>
          <w:trHeight w:val="237"/>
        </w:trPr>
        <w:tc>
          <w:tcPr>
            <w:tcW w:w="2264" w:type="dxa"/>
          </w:tcPr>
          <w:p w14:paraId="5B83A51E" w14:textId="77777777" w:rsidR="0033764D" w:rsidRPr="00F501DA" w:rsidRDefault="0033764D" w:rsidP="000878F6">
            <w:pPr>
              <w:pStyle w:val="Table"/>
            </w:pPr>
            <w:r w:rsidRPr="00F501DA">
              <w:t>Water Abstraction</w:t>
            </w:r>
          </w:p>
        </w:tc>
        <w:tc>
          <w:tcPr>
            <w:tcW w:w="1132" w:type="dxa"/>
            <w:vAlign w:val="center"/>
          </w:tcPr>
          <w:p w14:paraId="64626935" w14:textId="77777777" w:rsidR="0033764D" w:rsidRPr="00CE7FB7" w:rsidRDefault="0033764D" w:rsidP="000878F6">
            <w:pPr>
              <w:pStyle w:val="Table"/>
              <w:jc w:val="center"/>
              <w:rPr>
                <w:szCs w:val="20"/>
              </w:rPr>
            </w:pPr>
            <w:r w:rsidRPr="00CE7FB7">
              <w:rPr>
                <w:rFonts w:ascii="Calibri" w:hAnsi="Calibri" w:cs="Calibri"/>
                <w:color w:val="000000"/>
                <w:szCs w:val="20"/>
              </w:rPr>
              <w:t>-27,87%</w:t>
            </w:r>
          </w:p>
        </w:tc>
        <w:tc>
          <w:tcPr>
            <w:tcW w:w="1132" w:type="dxa"/>
            <w:vAlign w:val="center"/>
          </w:tcPr>
          <w:p w14:paraId="2E6AF304" w14:textId="77777777" w:rsidR="0033764D" w:rsidRPr="00CE7FB7" w:rsidRDefault="0033764D" w:rsidP="000878F6">
            <w:pPr>
              <w:pStyle w:val="Table"/>
              <w:jc w:val="center"/>
              <w:rPr>
                <w:szCs w:val="20"/>
              </w:rPr>
            </w:pPr>
            <w:r w:rsidRPr="00CE7FB7">
              <w:rPr>
                <w:rFonts w:ascii="Calibri" w:hAnsi="Calibri" w:cs="Calibri"/>
                <w:color w:val="000000"/>
                <w:szCs w:val="20"/>
              </w:rPr>
              <w:t>-27,87%</w:t>
            </w:r>
          </w:p>
        </w:tc>
        <w:tc>
          <w:tcPr>
            <w:tcW w:w="1038" w:type="dxa"/>
            <w:vAlign w:val="center"/>
          </w:tcPr>
          <w:p w14:paraId="57F9B559" w14:textId="77777777" w:rsidR="0033764D" w:rsidRPr="00CE7FB7" w:rsidRDefault="0033764D" w:rsidP="000878F6">
            <w:pPr>
              <w:pStyle w:val="Table"/>
              <w:jc w:val="center"/>
              <w:rPr>
                <w:szCs w:val="20"/>
              </w:rPr>
            </w:pPr>
            <w:r w:rsidRPr="00CE7FB7">
              <w:rPr>
                <w:rFonts w:ascii="Calibri" w:hAnsi="Calibri" w:cs="Calibri"/>
                <w:color w:val="000000"/>
                <w:szCs w:val="20"/>
              </w:rPr>
              <w:t>1882,39</w:t>
            </w:r>
          </w:p>
        </w:tc>
        <w:tc>
          <w:tcPr>
            <w:tcW w:w="1226" w:type="dxa"/>
            <w:vAlign w:val="center"/>
          </w:tcPr>
          <w:p w14:paraId="21AEE975" w14:textId="77777777" w:rsidR="0033764D" w:rsidRPr="00CE7FB7" w:rsidRDefault="0033764D" w:rsidP="000878F6">
            <w:pPr>
              <w:pStyle w:val="Table"/>
              <w:jc w:val="center"/>
              <w:rPr>
                <w:szCs w:val="20"/>
              </w:rPr>
            </w:pPr>
            <w:r w:rsidRPr="00CE7FB7">
              <w:rPr>
                <w:rFonts w:ascii="Calibri" w:hAnsi="Calibri" w:cs="Calibri"/>
                <w:color w:val="000000"/>
                <w:szCs w:val="20"/>
              </w:rPr>
              <w:t>1887,21</w:t>
            </w:r>
          </w:p>
        </w:tc>
        <w:tc>
          <w:tcPr>
            <w:tcW w:w="975" w:type="dxa"/>
            <w:vAlign w:val="center"/>
          </w:tcPr>
          <w:p w14:paraId="4E3EE3FA" w14:textId="77777777" w:rsidR="0033764D" w:rsidRPr="00CE7FB7" w:rsidRDefault="0033764D" w:rsidP="000878F6">
            <w:pPr>
              <w:pStyle w:val="Table"/>
              <w:jc w:val="center"/>
              <w:rPr>
                <w:szCs w:val="20"/>
              </w:rPr>
            </w:pPr>
            <w:r w:rsidRPr="00CE7FB7">
              <w:rPr>
                <w:rFonts w:ascii="Calibri" w:hAnsi="Calibri" w:cs="Calibri"/>
                <w:color w:val="000000"/>
                <w:szCs w:val="20"/>
              </w:rPr>
              <w:t>N.E.</w:t>
            </w:r>
          </w:p>
        </w:tc>
        <w:tc>
          <w:tcPr>
            <w:tcW w:w="1291" w:type="dxa"/>
            <w:vAlign w:val="center"/>
          </w:tcPr>
          <w:p w14:paraId="5DBCC9AE" w14:textId="77777777" w:rsidR="0033764D" w:rsidRPr="00CE7FB7" w:rsidRDefault="0033764D" w:rsidP="000878F6">
            <w:pPr>
              <w:pStyle w:val="Table"/>
              <w:jc w:val="center"/>
              <w:rPr>
                <w:szCs w:val="20"/>
              </w:rPr>
            </w:pPr>
            <w:r w:rsidRPr="00CE7FB7">
              <w:rPr>
                <w:rFonts w:ascii="Calibri" w:hAnsi="Calibri" w:cs="Calibri"/>
                <w:color w:val="000000"/>
                <w:szCs w:val="20"/>
              </w:rPr>
              <w:t>N.E.</w:t>
            </w:r>
          </w:p>
        </w:tc>
      </w:tr>
      <w:tr w:rsidR="0033764D" w:rsidRPr="001840EB" w14:paraId="49560B3C" w14:textId="77777777" w:rsidTr="003B60AD">
        <w:trPr>
          <w:trHeight w:val="254"/>
        </w:trPr>
        <w:tc>
          <w:tcPr>
            <w:tcW w:w="2264" w:type="dxa"/>
          </w:tcPr>
          <w:p w14:paraId="33F9409D" w14:textId="77777777" w:rsidR="0033764D" w:rsidRPr="00F501DA" w:rsidRDefault="0033764D" w:rsidP="000878F6">
            <w:pPr>
              <w:pStyle w:val="Table"/>
            </w:pPr>
            <w:r w:rsidRPr="00F501DA">
              <w:t>Fertilizers</w:t>
            </w:r>
          </w:p>
        </w:tc>
        <w:tc>
          <w:tcPr>
            <w:tcW w:w="1132" w:type="dxa"/>
            <w:vAlign w:val="center"/>
          </w:tcPr>
          <w:p w14:paraId="7C309F5F" w14:textId="77777777" w:rsidR="0033764D" w:rsidRPr="00CE7FB7" w:rsidRDefault="0033764D" w:rsidP="000878F6">
            <w:pPr>
              <w:pStyle w:val="Table"/>
              <w:jc w:val="center"/>
              <w:rPr>
                <w:szCs w:val="20"/>
              </w:rPr>
            </w:pPr>
            <w:r w:rsidRPr="00CE7FB7">
              <w:rPr>
                <w:rFonts w:ascii="Calibri" w:hAnsi="Calibri" w:cs="Calibri"/>
                <w:color w:val="000000"/>
                <w:szCs w:val="20"/>
              </w:rPr>
              <w:t>-47,93%</w:t>
            </w:r>
          </w:p>
        </w:tc>
        <w:tc>
          <w:tcPr>
            <w:tcW w:w="1132" w:type="dxa"/>
            <w:vAlign w:val="center"/>
          </w:tcPr>
          <w:p w14:paraId="705F05A1" w14:textId="77777777" w:rsidR="0033764D" w:rsidRPr="00CE7FB7" w:rsidRDefault="0033764D" w:rsidP="000878F6">
            <w:pPr>
              <w:pStyle w:val="Table"/>
              <w:jc w:val="center"/>
              <w:rPr>
                <w:szCs w:val="20"/>
              </w:rPr>
            </w:pPr>
            <w:r w:rsidRPr="00CE7FB7">
              <w:rPr>
                <w:rFonts w:ascii="Calibri" w:hAnsi="Calibri" w:cs="Calibri"/>
                <w:color w:val="000000"/>
                <w:szCs w:val="20"/>
              </w:rPr>
              <w:t>-47,93%</w:t>
            </w:r>
          </w:p>
        </w:tc>
        <w:tc>
          <w:tcPr>
            <w:tcW w:w="1038" w:type="dxa"/>
            <w:vAlign w:val="center"/>
          </w:tcPr>
          <w:p w14:paraId="0867F6F0" w14:textId="77777777" w:rsidR="0033764D" w:rsidRPr="00CE7FB7" w:rsidRDefault="0033764D" w:rsidP="000878F6">
            <w:pPr>
              <w:pStyle w:val="Table"/>
              <w:jc w:val="center"/>
              <w:rPr>
                <w:szCs w:val="20"/>
              </w:rPr>
            </w:pPr>
            <w:r w:rsidRPr="00CE7FB7">
              <w:rPr>
                <w:rFonts w:ascii="Calibri" w:hAnsi="Calibri" w:cs="Calibri"/>
                <w:color w:val="000000"/>
                <w:szCs w:val="20"/>
              </w:rPr>
              <w:t>17,13</w:t>
            </w:r>
          </w:p>
        </w:tc>
        <w:tc>
          <w:tcPr>
            <w:tcW w:w="1226" w:type="dxa"/>
            <w:vAlign w:val="center"/>
          </w:tcPr>
          <w:p w14:paraId="17791BFF" w14:textId="77777777" w:rsidR="0033764D" w:rsidRPr="00CE7FB7" w:rsidRDefault="0033764D" w:rsidP="000878F6">
            <w:pPr>
              <w:pStyle w:val="Table"/>
              <w:jc w:val="center"/>
              <w:rPr>
                <w:szCs w:val="20"/>
              </w:rPr>
            </w:pPr>
            <w:r w:rsidRPr="00CE7FB7">
              <w:rPr>
                <w:rFonts w:ascii="Calibri" w:hAnsi="Calibri" w:cs="Calibri"/>
                <w:color w:val="000000"/>
                <w:szCs w:val="20"/>
              </w:rPr>
              <w:t>16,78</w:t>
            </w:r>
          </w:p>
        </w:tc>
        <w:tc>
          <w:tcPr>
            <w:tcW w:w="975" w:type="dxa"/>
            <w:vAlign w:val="center"/>
          </w:tcPr>
          <w:p w14:paraId="1C33D211" w14:textId="77777777" w:rsidR="0033764D" w:rsidRPr="00CE7FB7" w:rsidRDefault="0033764D" w:rsidP="000878F6">
            <w:pPr>
              <w:pStyle w:val="Table"/>
              <w:jc w:val="center"/>
              <w:rPr>
                <w:szCs w:val="20"/>
              </w:rPr>
            </w:pPr>
            <w:r w:rsidRPr="00CE7FB7">
              <w:rPr>
                <w:rFonts w:ascii="Calibri" w:hAnsi="Calibri" w:cs="Calibri"/>
                <w:color w:val="000000"/>
                <w:szCs w:val="20"/>
              </w:rPr>
              <w:t>59,08%</w:t>
            </w:r>
          </w:p>
        </w:tc>
        <w:tc>
          <w:tcPr>
            <w:tcW w:w="1291" w:type="dxa"/>
            <w:vAlign w:val="center"/>
          </w:tcPr>
          <w:p w14:paraId="0B0E9425" w14:textId="77777777" w:rsidR="0033764D" w:rsidRPr="00CE7FB7" w:rsidRDefault="0033764D" w:rsidP="000878F6">
            <w:pPr>
              <w:pStyle w:val="Table"/>
              <w:jc w:val="center"/>
              <w:rPr>
                <w:szCs w:val="20"/>
              </w:rPr>
            </w:pPr>
            <w:r w:rsidRPr="00CE7FB7">
              <w:rPr>
                <w:rFonts w:ascii="Calibri" w:hAnsi="Calibri" w:cs="Calibri"/>
                <w:color w:val="000000"/>
                <w:szCs w:val="20"/>
              </w:rPr>
              <w:t>57,88%</w:t>
            </w:r>
          </w:p>
        </w:tc>
      </w:tr>
      <w:tr w:rsidR="0033764D" w:rsidRPr="001840EB" w14:paraId="2F373D04" w14:textId="77777777" w:rsidTr="003B60AD">
        <w:trPr>
          <w:trHeight w:val="237"/>
        </w:trPr>
        <w:tc>
          <w:tcPr>
            <w:tcW w:w="2264" w:type="dxa"/>
          </w:tcPr>
          <w:p w14:paraId="04F9D4B1" w14:textId="77777777" w:rsidR="0033764D" w:rsidRPr="00F501DA" w:rsidRDefault="0033764D" w:rsidP="000878F6">
            <w:pPr>
              <w:pStyle w:val="Table"/>
            </w:pPr>
            <w:r w:rsidRPr="00F501DA">
              <w:t>Pesticides</w:t>
            </w:r>
          </w:p>
        </w:tc>
        <w:tc>
          <w:tcPr>
            <w:tcW w:w="1132" w:type="dxa"/>
            <w:vAlign w:val="center"/>
          </w:tcPr>
          <w:p w14:paraId="7F61403F" w14:textId="77777777" w:rsidR="0033764D" w:rsidRPr="00CE7FB7" w:rsidRDefault="0033764D" w:rsidP="000878F6">
            <w:pPr>
              <w:pStyle w:val="Table"/>
              <w:jc w:val="center"/>
              <w:rPr>
                <w:szCs w:val="20"/>
              </w:rPr>
            </w:pPr>
            <w:r w:rsidRPr="00CE7FB7">
              <w:rPr>
                <w:rFonts w:ascii="Calibri" w:hAnsi="Calibri" w:cs="Calibri"/>
                <w:color w:val="000000"/>
                <w:szCs w:val="20"/>
              </w:rPr>
              <w:t>n/a</w:t>
            </w:r>
          </w:p>
        </w:tc>
        <w:tc>
          <w:tcPr>
            <w:tcW w:w="1132" w:type="dxa"/>
            <w:vAlign w:val="center"/>
          </w:tcPr>
          <w:p w14:paraId="50EAA8B2" w14:textId="77777777" w:rsidR="0033764D" w:rsidRPr="00CE7FB7" w:rsidRDefault="0033764D" w:rsidP="000878F6">
            <w:pPr>
              <w:pStyle w:val="Table"/>
              <w:jc w:val="center"/>
              <w:rPr>
                <w:szCs w:val="20"/>
              </w:rPr>
            </w:pPr>
            <w:r w:rsidRPr="00CE7FB7">
              <w:rPr>
                <w:rFonts w:ascii="Calibri" w:hAnsi="Calibri" w:cs="Calibri"/>
                <w:color w:val="000000"/>
                <w:szCs w:val="20"/>
              </w:rPr>
              <w:t>n/a</w:t>
            </w:r>
          </w:p>
        </w:tc>
        <w:tc>
          <w:tcPr>
            <w:tcW w:w="1038" w:type="dxa"/>
            <w:vAlign w:val="center"/>
          </w:tcPr>
          <w:p w14:paraId="55569F96" w14:textId="77777777" w:rsidR="0033764D" w:rsidRPr="00CE7FB7" w:rsidRDefault="0033764D" w:rsidP="000878F6">
            <w:pPr>
              <w:pStyle w:val="Table"/>
              <w:jc w:val="center"/>
              <w:rPr>
                <w:szCs w:val="20"/>
              </w:rPr>
            </w:pPr>
            <w:r w:rsidRPr="00CE7FB7">
              <w:rPr>
                <w:rFonts w:ascii="Calibri" w:hAnsi="Calibri" w:cs="Calibri"/>
                <w:color w:val="000000"/>
                <w:szCs w:val="20"/>
              </w:rPr>
              <w:t>51,39</w:t>
            </w:r>
          </w:p>
        </w:tc>
        <w:tc>
          <w:tcPr>
            <w:tcW w:w="1226" w:type="dxa"/>
            <w:vAlign w:val="center"/>
          </w:tcPr>
          <w:p w14:paraId="77351F0C" w14:textId="77777777" w:rsidR="0033764D" w:rsidRPr="00CE7FB7" w:rsidRDefault="0033764D" w:rsidP="000878F6">
            <w:pPr>
              <w:pStyle w:val="Table"/>
              <w:jc w:val="center"/>
              <w:rPr>
                <w:szCs w:val="20"/>
              </w:rPr>
            </w:pPr>
            <w:r w:rsidRPr="00CE7FB7">
              <w:rPr>
                <w:rFonts w:ascii="Calibri" w:hAnsi="Calibri" w:cs="Calibri"/>
                <w:color w:val="000000"/>
                <w:szCs w:val="20"/>
              </w:rPr>
              <w:t>51,04</w:t>
            </w:r>
          </w:p>
        </w:tc>
        <w:tc>
          <w:tcPr>
            <w:tcW w:w="975" w:type="dxa"/>
            <w:vAlign w:val="center"/>
          </w:tcPr>
          <w:p w14:paraId="4BF4FC3B" w14:textId="77777777" w:rsidR="0033764D" w:rsidRPr="00CE7FB7" w:rsidRDefault="0033764D" w:rsidP="000878F6">
            <w:pPr>
              <w:pStyle w:val="Table"/>
              <w:jc w:val="center"/>
              <w:rPr>
                <w:szCs w:val="20"/>
              </w:rPr>
            </w:pPr>
            <w:r w:rsidRPr="00CE7FB7">
              <w:rPr>
                <w:rFonts w:ascii="Calibri" w:hAnsi="Calibri" w:cs="Calibri"/>
                <w:color w:val="000000"/>
                <w:szCs w:val="20"/>
              </w:rPr>
              <w:t>177,21%</w:t>
            </w:r>
          </w:p>
        </w:tc>
        <w:tc>
          <w:tcPr>
            <w:tcW w:w="1291" w:type="dxa"/>
            <w:vAlign w:val="center"/>
          </w:tcPr>
          <w:p w14:paraId="107D3A6E" w14:textId="77777777" w:rsidR="0033764D" w:rsidRPr="00CE7FB7" w:rsidRDefault="0033764D" w:rsidP="000878F6">
            <w:pPr>
              <w:pStyle w:val="Table"/>
              <w:jc w:val="center"/>
              <w:rPr>
                <w:szCs w:val="20"/>
              </w:rPr>
            </w:pPr>
            <w:r w:rsidRPr="00CE7FB7">
              <w:rPr>
                <w:rFonts w:ascii="Calibri" w:hAnsi="Calibri" w:cs="Calibri"/>
                <w:color w:val="000000"/>
                <w:szCs w:val="20"/>
              </w:rPr>
              <w:t>176,01%</w:t>
            </w:r>
          </w:p>
        </w:tc>
      </w:tr>
      <w:tr w:rsidR="0033764D" w:rsidRPr="001840EB" w14:paraId="718875CA" w14:textId="77777777" w:rsidTr="003B60AD">
        <w:trPr>
          <w:trHeight w:val="237"/>
        </w:trPr>
        <w:tc>
          <w:tcPr>
            <w:tcW w:w="2264" w:type="dxa"/>
          </w:tcPr>
          <w:p w14:paraId="752C9EFD" w14:textId="77777777" w:rsidR="0033764D" w:rsidRPr="00F501DA" w:rsidRDefault="0033764D" w:rsidP="000878F6">
            <w:pPr>
              <w:pStyle w:val="Table"/>
            </w:pPr>
            <w:r w:rsidRPr="00F501DA">
              <w:t>Waste Incineration</w:t>
            </w:r>
          </w:p>
        </w:tc>
        <w:tc>
          <w:tcPr>
            <w:tcW w:w="1132" w:type="dxa"/>
            <w:vAlign w:val="center"/>
          </w:tcPr>
          <w:p w14:paraId="4BDC3643" w14:textId="77777777" w:rsidR="0033764D" w:rsidRPr="00CE7FB7" w:rsidRDefault="0033764D" w:rsidP="000878F6">
            <w:pPr>
              <w:pStyle w:val="Table"/>
              <w:jc w:val="center"/>
              <w:rPr>
                <w:szCs w:val="20"/>
              </w:rPr>
            </w:pPr>
            <w:r w:rsidRPr="00CE7FB7">
              <w:rPr>
                <w:rFonts w:ascii="Calibri" w:hAnsi="Calibri" w:cs="Calibri"/>
                <w:color w:val="000000"/>
                <w:szCs w:val="20"/>
              </w:rPr>
              <w:t>-20,00%</w:t>
            </w:r>
          </w:p>
        </w:tc>
        <w:tc>
          <w:tcPr>
            <w:tcW w:w="1132" w:type="dxa"/>
            <w:vAlign w:val="center"/>
          </w:tcPr>
          <w:p w14:paraId="5A1A86D3" w14:textId="77777777" w:rsidR="0033764D" w:rsidRPr="00CE7FB7" w:rsidRDefault="0033764D" w:rsidP="000878F6">
            <w:pPr>
              <w:pStyle w:val="Table"/>
              <w:jc w:val="center"/>
              <w:rPr>
                <w:szCs w:val="20"/>
              </w:rPr>
            </w:pPr>
            <w:r w:rsidRPr="00CE7FB7">
              <w:rPr>
                <w:rFonts w:ascii="Calibri" w:hAnsi="Calibri" w:cs="Calibri"/>
                <w:color w:val="000000"/>
                <w:szCs w:val="20"/>
              </w:rPr>
              <w:t>-20,00%</w:t>
            </w:r>
          </w:p>
        </w:tc>
        <w:tc>
          <w:tcPr>
            <w:tcW w:w="1038" w:type="dxa"/>
            <w:vAlign w:val="center"/>
          </w:tcPr>
          <w:p w14:paraId="46B3285D" w14:textId="77777777" w:rsidR="0033764D" w:rsidRPr="00CE7FB7" w:rsidRDefault="0033764D" w:rsidP="000878F6">
            <w:pPr>
              <w:pStyle w:val="Table"/>
              <w:jc w:val="center"/>
              <w:rPr>
                <w:szCs w:val="20"/>
              </w:rPr>
            </w:pPr>
            <w:r w:rsidRPr="00CE7FB7">
              <w:rPr>
                <w:rFonts w:ascii="Calibri" w:hAnsi="Calibri" w:cs="Calibri"/>
                <w:color w:val="000000"/>
                <w:szCs w:val="20"/>
              </w:rPr>
              <w:t>0,15</w:t>
            </w:r>
          </w:p>
        </w:tc>
        <w:tc>
          <w:tcPr>
            <w:tcW w:w="1226" w:type="dxa"/>
            <w:vAlign w:val="center"/>
          </w:tcPr>
          <w:p w14:paraId="62205E36" w14:textId="77777777" w:rsidR="0033764D" w:rsidRPr="00CE7FB7" w:rsidRDefault="0033764D" w:rsidP="000878F6">
            <w:pPr>
              <w:pStyle w:val="Table"/>
              <w:jc w:val="center"/>
              <w:rPr>
                <w:szCs w:val="20"/>
              </w:rPr>
            </w:pPr>
            <w:r w:rsidRPr="00CE7FB7">
              <w:rPr>
                <w:rFonts w:ascii="Calibri" w:hAnsi="Calibri" w:cs="Calibri"/>
                <w:color w:val="000000"/>
                <w:szCs w:val="20"/>
              </w:rPr>
              <w:t>0,18</w:t>
            </w:r>
          </w:p>
        </w:tc>
        <w:tc>
          <w:tcPr>
            <w:tcW w:w="975" w:type="dxa"/>
            <w:vAlign w:val="center"/>
          </w:tcPr>
          <w:p w14:paraId="0ECB2313" w14:textId="77777777" w:rsidR="0033764D" w:rsidRPr="00CE7FB7" w:rsidRDefault="0033764D" w:rsidP="000878F6">
            <w:pPr>
              <w:pStyle w:val="Table"/>
              <w:jc w:val="center"/>
              <w:rPr>
                <w:szCs w:val="20"/>
              </w:rPr>
            </w:pPr>
            <w:r w:rsidRPr="00CE7FB7">
              <w:rPr>
                <w:rFonts w:ascii="Calibri" w:hAnsi="Calibri" w:cs="Calibri"/>
                <w:color w:val="000000"/>
                <w:szCs w:val="20"/>
              </w:rPr>
              <w:t>0,53%</w:t>
            </w:r>
          </w:p>
        </w:tc>
        <w:tc>
          <w:tcPr>
            <w:tcW w:w="1291" w:type="dxa"/>
            <w:vAlign w:val="center"/>
          </w:tcPr>
          <w:p w14:paraId="220D4122" w14:textId="77777777" w:rsidR="0033764D" w:rsidRPr="00CE7FB7" w:rsidRDefault="0033764D" w:rsidP="000878F6">
            <w:pPr>
              <w:pStyle w:val="Table"/>
              <w:jc w:val="center"/>
              <w:rPr>
                <w:szCs w:val="20"/>
              </w:rPr>
            </w:pPr>
            <w:r w:rsidRPr="00CE7FB7">
              <w:rPr>
                <w:rFonts w:ascii="Calibri" w:hAnsi="Calibri" w:cs="Calibri"/>
                <w:color w:val="000000"/>
                <w:szCs w:val="20"/>
              </w:rPr>
              <w:t>0,62%</w:t>
            </w:r>
          </w:p>
        </w:tc>
      </w:tr>
      <w:tr w:rsidR="0033764D" w:rsidRPr="001840EB" w14:paraId="7EFF8419" w14:textId="77777777" w:rsidTr="003B60AD">
        <w:trPr>
          <w:trHeight w:val="237"/>
        </w:trPr>
        <w:tc>
          <w:tcPr>
            <w:tcW w:w="2264" w:type="dxa"/>
          </w:tcPr>
          <w:p w14:paraId="1B1BA851" w14:textId="77777777" w:rsidR="0033764D" w:rsidRPr="00F501DA" w:rsidRDefault="0033764D" w:rsidP="000878F6">
            <w:pPr>
              <w:pStyle w:val="Table"/>
            </w:pPr>
            <w:r w:rsidRPr="00F501DA">
              <w:t>Waste to Landfill</w:t>
            </w:r>
          </w:p>
        </w:tc>
        <w:tc>
          <w:tcPr>
            <w:tcW w:w="1132" w:type="dxa"/>
            <w:vAlign w:val="center"/>
          </w:tcPr>
          <w:p w14:paraId="0F14EE7D" w14:textId="77777777" w:rsidR="0033764D" w:rsidRPr="00CE7FB7" w:rsidRDefault="0033764D" w:rsidP="000878F6">
            <w:pPr>
              <w:pStyle w:val="Table"/>
              <w:jc w:val="center"/>
              <w:rPr>
                <w:szCs w:val="20"/>
              </w:rPr>
            </w:pPr>
            <w:r w:rsidRPr="00CE7FB7">
              <w:rPr>
                <w:rFonts w:ascii="Calibri" w:hAnsi="Calibri" w:cs="Calibri"/>
                <w:color w:val="000000"/>
                <w:szCs w:val="20"/>
              </w:rPr>
              <w:t>-22,52%</w:t>
            </w:r>
          </w:p>
        </w:tc>
        <w:tc>
          <w:tcPr>
            <w:tcW w:w="1132" w:type="dxa"/>
            <w:vAlign w:val="center"/>
          </w:tcPr>
          <w:p w14:paraId="310DFAB1" w14:textId="77777777" w:rsidR="0033764D" w:rsidRPr="00CE7FB7" w:rsidRDefault="0033764D" w:rsidP="000878F6">
            <w:pPr>
              <w:pStyle w:val="Table"/>
              <w:jc w:val="center"/>
              <w:rPr>
                <w:szCs w:val="20"/>
              </w:rPr>
            </w:pPr>
            <w:r w:rsidRPr="00CE7FB7">
              <w:rPr>
                <w:rFonts w:ascii="Calibri" w:hAnsi="Calibri" w:cs="Calibri"/>
                <w:color w:val="000000"/>
                <w:szCs w:val="20"/>
              </w:rPr>
              <w:t>-22,52%</w:t>
            </w:r>
          </w:p>
        </w:tc>
        <w:tc>
          <w:tcPr>
            <w:tcW w:w="1038" w:type="dxa"/>
            <w:vAlign w:val="center"/>
          </w:tcPr>
          <w:p w14:paraId="00572482" w14:textId="77777777" w:rsidR="0033764D" w:rsidRPr="00CE7FB7" w:rsidRDefault="0033764D" w:rsidP="000878F6">
            <w:pPr>
              <w:pStyle w:val="Table"/>
              <w:jc w:val="center"/>
              <w:rPr>
                <w:szCs w:val="20"/>
              </w:rPr>
            </w:pPr>
            <w:r w:rsidRPr="00CE7FB7">
              <w:rPr>
                <w:rFonts w:ascii="Calibri" w:hAnsi="Calibri" w:cs="Calibri"/>
                <w:color w:val="000000"/>
                <w:szCs w:val="20"/>
              </w:rPr>
              <w:t>180,81</w:t>
            </w:r>
          </w:p>
        </w:tc>
        <w:tc>
          <w:tcPr>
            <w:tcW w:w="1226" w:type="dxa"/>
            <w:vAlign w:val="center"/>
          </w:tcPr>
          <w:p w14:paraId="2A20384A" w14:textId="77777777" w:rsidR="0033764D" w:rsidRPr="00CE7FB7" w:rsidRDefault="0033764D" w:rsidP="000878F6">
            <w:pPr>
              <w:pStyle w:val="Table"/>
              <w:jc w:val="center"/>
              <w:rPr>
                <w:szCs w:val="20"/>
              </w:rPr>
            </w:pPr>
            <w:r w:rsidRPr="00CE7FB7">
              <w:rPr>
                <w:rFonts w:ascii="Calibri" w:hAnsi="Calibri" w:cs="Calibri"/>
                <w:color w:val="000000"/>
                <w:szCs w:val="20"/>
              </w:rPr>
              <w:t>152,87</w:t>
            </w:r>
          </w:p>
        </w:tc>
        <w:tc>
          <w:tcPr>
            <w:tcW w:w="975" w:type="dxa"/>
            <w:vAlign w:val="center"/>
          </w:tcPr>
          <w:p w14:paraId="311C370B" w14:textId="77777777" w:rsidR="0033764D" w:rsidRPr="00CE7FB7" w:rsidRDefault="0033764D" w:rsidP="000878F6">
            <w:pPr>
              <w:pStyle w:val="Table"/>
              <w:jc w:val="center"/>
              <w:rPr>
                <w:szCs w:val="20"/>
              </w:rPr>
            </w:pPr>
            <w:r w:rsidRPr="00CE7FB7">
              <w:rPr>
                <w:rFonts w:ascii="Calibri" w:hAnsi="Calibri" w:cs="Calibri"/>
                <w:color w:val="000000"/>
                <w:szCs w:val="20"/>
              </w:rPr>
              <w:t>623,49%</w:t>
            </w:r>
          </w:p>
        </w:tc>
        <w:tc>
          <w:tcPr>
            <w:tcW w:w="1291" w:type="dxa"/>
            <w:vAlign w:val="center"/>
          </w:tcPr>
          <w:p w14:paraId="22785FCA" w14:textId="77777777" w:rsidR="0033764D" w:rsidRPr="00CE7FB7" w:rsidRDefault="0033764D" w:rsidP="000878F6">
            <w:pPr>
              <w:pStyle w:val="Table"/>
              <w:jc w:val="center"/>
              <w:rPr>
                <w:szCs w:val="20"/>
              </w:rPr>
            </w:pPr>
            <w:r w:rsidRPr="00CE7FB7">
              <w:rPr>
                <w:rFonts w:ascii="Calibri" w:hAnsi="Calibri" w:cs="Calibri"/>
                <w:color w:val="000000"/>
                <w:szCs w:val="20"/>
              </w:rPr>
              <w:t>527,13%</w:t>
            </w:r>
          </w:p>
        </w:tc>
      </w:tr>
      <w:tr w:rsidR="0033764D" w:rsidRPr="001840EB" w14:paraId="08A0078C" w14:textId="77777777" w:rsidTr="003B60AD">
        <w:trPr>
          <w:trHeight w:val="237"/>
        </w:trPr>
        <w:tc>
          <w:tcPr>
            <w:tcW w:w="2264" w:type="dxa"/>
          </w:tcPr>
          <w:p w14:paraId="2B7BAA5F" w14:textId="77777777" w:rsidR="0033764D" w:rsidRPr="00F501DA" w:rsidRDefault="0033764D" w:rsidP="000878F6">
            <w:pPr>
              <w:pStyle w:val="Table"/>
            </w:pPr>
            <w:r w:rsidRPr="00F501DA">
              <w:t>Water Effluent</w:t>
            </w:r>
          </w:p>
        </w:tc>
        <w:tc>
          <w:tcPr>
            <w:tcW w:w="1132" w:type="dxa"/>
            <w:vAlign w:val="center"/>
          </w:tcPr>
          <w:p w14:paraId="4243B895" w14:textId="77777777" w:rsidR="0033764D" w:rsidRPr="00CE7FB7" w:rsidRDefault="0033764D" w:rsidP="000878F6">
            <w:pPr>
              <w:pStyle w:val="Table"/>
              <w:jc w:val="center"/>
              <w:rPr>
                <w:szCs w:val="20"/>
              </w:rPr>
            </w:pPr>
            <w:r w:rsidRPr="00CE7FB7">
              <w:rPr>
                <w:rFonts w:ascii="Calibri" w:hAnsi="Calibri" w:cs="Calibri"/>
                <w:color w:val="000000"/>
                <w:szCs w:val="20"/>
              </w:rPr>
              <w:t>-9,09%</w:t>
            </w:r>
          </w:p>
        </w:tc>
        <w:tc>
          <w:tcPr>
            <w:tcW w:w="1132" w:type="dxa"/>
            <w:vAlign w:val="center"/>
          </w:tcPr>
          <w:p w14:paraId="3B0CFD34" w14:textId="77777777" w:rsidR="0033764D" w:rsidRPr="00CE7FB7" w:rsidRDefault="0033764D" w:rsidP="000878F6">
            <w:pPr>
              <w:pStyle w:val="Table"/>
              <w:jc w:val="center"/>
              <w:rPr>
                <w:szCs w:val="20"/>
              </w:rPr>
            </w:pPr>
            <w:r w:rsidRPr="00CE7FB7">
              <w:rPr>
                <w:rFonts w:ascii="Calibri" w:hAnsi="Calibri" w:cs="Calibri"/>
                <w:color w:val="000000"/>
                <w:szCs w:val="20"/>
              </w:rPr>
              <w:t>-9,09%</w:t>
            </w:r>
          </w:p>
        </w:tc>
        <w:tc>
          <w:tcPr>
            <w:tcW w:w="1038" w:type="dxa"/>
            <w:vAlign w:val="center"/>
          </w:tcPr>
          <w:p w14:paraId="7C5A7BE5" w14:textId="77777777" w:rsidR="0033764D" w:rsidRPr="00CE7FB7" w:rsidRDefault="0033764D" w:rsidP="000878F6">
            <w:pPr>
              <w:pStyle w:val="Table"/>
              <w:jc w:val="center"/>
              <w:rPr>
                <w:szCs w:val="20"/>
              </w:rPr>
            </w:pPr>
            <w:r w:rsidRPr="00CE7FB7">
              <w:rPr>
                <w:rFonts w:ascii="Calibri" w:hAnsi="Calibri" w:cs="Calibri"/>
                <w:color w:val="000000"/>
                <w:szCs w:val="20"/>
              </w:rPr>
              <w:t>692,45</w:t>
            </w:r>
          </w:p>
        </w:tc>
        <w:tc>
          <w:tcPr>
            <w:tcW w:w="1226" w:type="dxa"/>
            <w:vAlign w:val="center"/>
          </w:tcPr>
          <w:p w14:paraId="364FEF63" w14:textId="77777777" w:rsidR="0033764D" w:rsidRPr="00CE7FB7" w:rsidRDefault="0033764D" w:rsidP="000878F6">
            <w:pPr>
              <w:pStyle w:val="Table"/>
              <w:jc w:val="center"/>
              <w:rPr>
                <w:szCs w:val="20"/>
              </w:rPr>
            </w:pPr>
            <w:r w:rsidRPr="00CE7FB7">
              <w:rPr>
                <w:rFonts w:ascii="Calibri" w:hAnsi="Calibri" w:cs="Calibri"/>
                <w:color w:val="000000"/>
                <w:szCs w:val="20"/>
              </w:rPr>
              <w:t>673,56</w:t>
            </w:r>
          </w:p>
        </w:tc>
        <w:tc>
          <w:tcPr>
            <w:tcW w:w="975" w:type="dxa"/>
            <w:vAlign w:val="center"/>
          </w:tcPr>
          <w:p w14:paraId="339F71B9" w14:textId="77777777" w:rsidR="0033764D" w:rsidRPr="00CE7FB7" w:rsidRDefault="0033764D" w:rsidP="000878F6">
            <w:pPr>
              <w:pStyle w:val="Table"/>
              <w:jc w:val="center"/>
              <w:rPr>
                <w:szCs w:val="20"/>
              </w:rPr>
            </w:pPr>
            <w:r w:rsidRPr="00CE7FB7">
              <w:rPr>
                <w:rFonts w:ascii="Calibri" w:hAnsi="Calibri" w:cs="Calibri"/>
                <w:color w:val="000000"/>
                <w:szCs w:val="20"/>
              </w:rPr>
              <w:t>2387,75%</w:t>
            </w:r>
          </w:p>
        </w:tc>
        <w:tc>
          <w:tcPr>
            <w:tcW w:w="1291" w:type="dxa"/>
            <w:vAlign w:val="center"/>
          </w:tcPr>
          <w:p w14:paraId="06DA87FF" w14:textId="77777777" w:rsidR="0033764D" w:rsidRPr="00CE7FB7" w:rsidRDefault="0033764D" w:rsidP="000878F6">
            <w:pPr>
              <w:pStyle w:val="Table"/>
              <w:jc w:val="center"/>
              <w:rPr>
                <w:szCs w:val="20"/>
              </w:rPr>
            </w:pPr>
            <w:r w:rsidRPr="00CE7FB7">
              <w:rPr>
                <w:rFonts w:ascii="Calibri" w:hAnsi="Calibri" w:cs="Calibri"/>
                <w:color w:val="000000"/>
                <w:szCs w:val="20"/>
              </w:rPr>
              <w:t>2322,62%</w:t>
            </w:r>
          </w:p>
        </w:tc>
      </w:tr>
      <w:tr w:rsidR="0033764D" w:rsidRPr="001840EB" w14:paraId="3D3478D6" w14:textId="77777777" w:rsidTr="003B60AD">
        <w:trPr>
          <w:trHeight w:val="237"/>
        </w:trPr>
        <w:tc>
          <w:tcPr>
            <w:tcW w:w="2264" w:type="dxa"/>
          </w:tcPr>
          <w:p w14:paraId="7E4E4B64" w14:textId="77777777" w:rsidR="0033764D" w:rsidRPr="001840EB" w:rsidRDefault="0033764D" w:rsidP="000878F6">
            <w:pPr>
              <w:pStyle w:val="Table"/>
            </w:pPr>
            <w:r w:rsidRPr="001840EB">
              <w:t>Minerals &amp; Aggregates</w:t>
            </w:r>
          </w:p>
        </w:tc>
        <w:tc>
          <w:tcPr>
            <w:tcW w:w="1132" w:type="dxa"/>
            <w:vAlign w:val="center"/>
          </w:tcPr>
          <w:p w14:paraId="1CAF2AC0" w14:textId="77777777" w:rsidR="0033764D" w:rsidRPr="00CE7FB7" w:rsidRDefault="0033764D" w:rsidP="000878F6">
            <w:pPr>
              <w:pStyle w:val="Table"/>
              <w:jc w:val="center"/>
              <w:rPr>
                <w:szCs w:val="20"/>
              </w:rPr>
            </w:pPr>
            <w:r w:rsidRPr="00CE7FB7">
              <w:rPr>
                <w:rFonts w:ascii="Calibri" w:hAnsi="Calibri" w:cs="Calibri"/>
                <w:color w:val="000000"/>
                <w:szCs w:val="20"/>
              </w:rPr>
              <w:t>-16,67%</w:t>
            </w:r>
          </w:p>
        </w:tc>
        <w:tc>
          <w:tcPr>
            <w:tcW w:w="1132" w:type="dxa"/>
            <w:vAlign w:val="center"/>
          </w:tcPr>
          <w:p w14:paraId="0707BF20" w14:textId="77777777" w:rsidR="0033764D" w:rsidRPr="00CE7FB7" w:rsidRDefault="0033764D" w:rsidP="000878F6">
            <w:pPr>
              <w:pStyle w:val="Table"/>
              <w:jc w:val="center"/>
              <w:rPr>
                <w:szCs w:val="20"/>
              </w:rPr>
            </w:pPr>
            <w:r w:rsidRPr="00CE7FB7">
              <w:rPr>
                <w:rFonts w:ascii="Calibri" w:hAnsi="Calibri" w:cs="Calibri"/>
                <w:color w:val="000000"/>
                <w:szCs w:val="20"/>
              </w:rPr>
              <w:t>-16,67%</w:t>
            </w:r>
          </w:p>
        </w:tc>
        <w:tc>
          <w:tcPr>
            <w:tcW w:w="1038" w:type="dxa"/>
            <w:vAlign w:val="center"/>
          </w:tcPr>
          <w:p w14:paraId="4F3BEB04" w14:textId="77777777" w:rsidR="0033764D" w:rsidRPr="00CE7FB7" w:rsidRDefault="0033764D" w:rsidP="000878F6">
            <w:pPr>
              <w:pStyle w:val="Table"/>
              <w:jc w:val="center"/>
              <w:rPr>
                <w:szCs w:val="20"/>
              </w:rPr>
            </w:pPr>
            <w:r w:rsidRPr="00CE7FB7">
              <w:rPr>
                <w:rFonts w:ascii="Calibri" w:hAnsi="Calibri" w:cs="Calibri"/>
                <w:color w:val="000000"/>
                <w:szCs w:val="20"/>
              </w:rPr>
              <w:t>56,29</w:t>
            </w:r>
          </w:p>
        </w:tc>
        <w:tc>
          <w:tcPr>
            <w:tcW w:w="1226" w:type="dxa"/>
            <w:vAlign w:val="center"/>
          </w:tcPr>
          <w:p w14:paraId="48B3E1BA" w14:textId="77777777" w:rsidR="0033764D" w:rsidRPr="00CE7FB7" w:rsidRDefault="0033764D" w:rsidP="000878F6">
            <w:pPr>
              <w:pStyle w:val="Table"/>
              <w:jc w:val="center"/>
              <w:rPr>
                <w:szCs w:val="20"/>
              </w:rPr>
            </w:pPr>
            <w:r w:rsidRPr="00CE7FB7">
              <w:rPr>
                <w:rFonts w:ascii="Calibri" w:hAnsi="Calibri" w:cs="Calibri"/>
                <w:color w:val="000000"/>
                <w:szCs w:val="20"/>
              </w:rPr>
              <w:t>46,44</w:t>
            </w:r>
          </w:p>
        </w:tc>
        <w:tc>
          <w:tcPr>
            <w:tcW w:w="975" w:type="dxa"/>
            <w:vAlign w:val="center"/>
          </w:tcPr>
          <w:p w14:paraId="37E77E47" w14:textId="77777777" w:rsidR="0033764D" w:rsidRPr="00CE7FB7" w:rsidRDefault="0033764D" w:rsidP="000878F6">
            <w:pPr>
              <w:pStyle w:val="Table"/>
              <w:jc w:val="center"/>
              <w:rPr>
                <w:szCs w:val="20"/>
              </w:rPr>
            </w:pPr>
            <w:r w:rsidRPr="00CE7FB7">
              <w:rPr>
                <w:rFonts w:ascii="Calibri" w:hAnsi="Calibri" w:cs="Calibri"/>
                <w:color w:val="000000"/>
                <w:szCs w:val="20"/>
              </w:rPr>
              <w:t>N.E.</w:t>
            </w:r>
          </w:p>
        </w:tc>
        <w:tc>
          <w:tcPr>
            <w:tcW w:w="1291" w:type="dxa"/>
            <w:vAlign w:val="center"/>
          </w:tcPr>
          <w:p w14:paraId="46E43E3D" w14:textId="77777777" w:rsidR="0033764D" w:rsidRPr="00CE7FB7" w:rsidRDefault="0033764D" w:rsidP="000878F6">
            <w:pPr>
              <w:pStyle w:val="Table"/>
              <w:jc w:val="center"/>
              <w:rPr>
                <w:szCs w:val="20"/>
              </w:rPr>
            </w:pPr>
            <w:r w:rsidRPr="00CE7FB7">
              <w:rPr>
                <w:rFonts w:ascii="Calibri" w:hAnsi="Calibri" w:cs="Calibri"/>
                <w:color w:val="000000"/>
                <w:szCs w:val="20"/>
              </w:rPr>
              <w:t>N.E.</w:t>
            </w:r>
          </w:p>
        </w:tc>
      </w:tr>
    </w:tbl>
    <w:p w14:paraId="0F86C015" w14:textId="624A882D" w:rsidR="0033764D" w:rsidRDefault="0033764D" w:rsidP="0033764D">
      <w:pPr>
        <w:rPr>
          <w:b/>
          <w:bCs/>
          <w:lang w:eastAsia="en-GB"/>
        </w:rPr>
      </w:pPr>
    </w:p>
    <w:tbl>
      <w:tblPr>
        <w:tblStyle w:val="Lentelstinklelis1"/>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32"/>
        <w:gridCol w:w="1132"/>
        <w:gridCol w:w="1038"/>
        <w:gridCol w:w="1226"/>
        <w:gridCol w:w="975"/>
        <w:gridCol w:w="1291"/>
      </w:tblGrid>
      <w:tr w:rsidR="0033764D" w:rsidRPr="009F67D0" w14:paraId="6FE92163" w14:textId="77777777" w:rsidTr="003B60AD">
        <w:trPr>
          <w:trHeight w:val="258"/>
        </w:trPr>
        <w:tc>
          <w:tcPr>
            <w:tcW w:w="9058" w:type="dxa"/>
            <w:gridSpan w:val="7"/>
            <w:shd w:val="clear" w:color="auto" w:fill="003399"/>
          </w:tcPr>
          <w:p w14:paraId="76888F29" w14:textId="37B66251" w:rsidR="0033764D" w:rsidRPr="009F67D0" w:rsidRDefault="0033764D" w:rsidP="000878F6">
            <w:pPr>
              <w:pStyle w:val="Table"/>
              <w:rPr>
                <w:b/>
                <w:szCs w:val="20"/>
                <w:lang w:eastAsia="en-GB"/>
              </w:rPr>
            </w:pPr>
            <w:r w:rsidRPr="009F67D0">
              <w:rPr>
                <w:b/>
                <w:color w:val="FFFFFF" w:themeColor="background1"/>
                <w:szCs w:val="20"/>
              </w:rPr>
              <w:t xml:space="preserve">Table </w:t>
            </w:r>
            <w:r w:rsidR="00490085">
              <w:rPr>
                <w:b/>
                <w:bCs/>
                <w:color w:val="FFFFFF" w:themeColor="background1"/>
                <w:szCs w:val="20"/>
              </w:rPr>
              <w:t>A6</w:t>
            </w:r>
            <w:r w:rsidRPr="009F67D0">
              <w:rPr>
                <w:b/>
                <w:bCs/>
                <w:color w:val="FFFFFF" w:themeColor="background1"/>
                <w:szCs w:val="20"/>
              </w:rPr>
              <w:t>-</w:t>
            </w:r>
            <w:r w:rsidRPr="009F67D0">
              <w:rPr>
                <w:b/>
                <w:bCs/>
                <w:color w:val="FFFFFF" w:themeColor="background1"/>
                <w:szCs w:val="20"/>
              </w:rPr>
              <w:fldChar w:fldCharType="begin"/>
            </w:r>
            <w:r w:rsidRPr="009F67D0">
              <w:rPr>
                <w:b/>
                <w:bCs/>
                <w:color w:val="FFFFFF" w:themeColor="background1"/>
                <w:szCs w:val="20"/>
              </w:rPr>
              <w:instrText xml:space="preserve"> SEQ Table_A5- \* ARABIC </w:instrText>
            </w:r>
            <w:r w:rsidRPr="009F67D0">
              <w:rPr>
                <w:b/>
                <w:bCs/>
                <w:color w:val="FFFFFF" w:themeColor="background1"/>
                <w:szCs w:val="20"/>
              </w:rPr>
              <w:fldChar w:fldCharType="separate"/>
            </w:r>
            <w:r>
              <w:rPr>
                <w:b/>
                <w:bCs/>
                <w:noProof/>
                <w:color w:val="FFFFFF" w:themeColor="background1"/>
                <w:szCs w:val="20"/>
              </w:rPr>
              <w:t>67</w:t>
            </w:r>
            <w:r w:rsidRPr="009F67D0">
              <w:rPr>
                <w:b/>
                <w:bCs/>
                <w:color w:val="FFFFFF" w:themeColor="background1"/>
                <w:szCs w:val="20"/>
              </w:rPr>
              <w:fldChar w:fldCharType="end"/>
            </w:r>
            <w:r w:rsidRPr="009F67D0">
              <w:rPr>
                <w:b/>
                <w:bCs/>
                <w:color w:val="FFFFFF" w:themeColor="background1"/>
                <w:szCs w:val="20"/>
                <w:lang w:eastAsia="en-GB"/>
              </w:rPr>
              <w:t>:</w:t>
            </w:r>
            <w:r w:rsidRPr="009F67D0">
              <w:rPr>
                <w:b/>
                <w:color w:val="FFFFFF" w:themeColor="background1"/>
                <w:szCs w:val="20"/>
                <w:lang w:eastAsia="en-GB"/>
              </w:rPr>
              <w:t xml:space="preserve"> Environmental Impacts and Revenue Changes in Greece – Scenario B</w:t>
            </w:r>
          </w:p>
        </w:tc>
      </w:tr>
      <w:tr w:rsidR="0033764D" w:rsidRPr="009F67D0" w14:paraId="7B4D301E" w14:textId="77777777" w:rsidTr="003B60AD">
        <w:trPr>
          <w:trHeight w:val="492"/>
        </w:trPr>
        <w:tc>
          <w:tcPr>
            <w:tcW w:w="2264" w:type="dxa"/>
          </w:tcPr>
          <w:p w14:paraId="5DB2B8CA" w14:textId="77777777" w:rsidR="0033764D" w:rsidRPr="009F67D0" w:rsidRDefault="0033764D" w:rsidP="000878F6">
            <w:pPr>
              <w:pStyle w:val="Table"/>
              <w:rPr>
                <w:b/>
                <w:szCs w:val="20"/>
              </w:rPr>
            </w:pPr>
            <w:r w:rsidRPr="009F67D0">
              <w:rPr>
                <w:b/>
                <w:szCs w:val="20"/>
              </w:rPr>
              <w:t>Tax Name</w:t>
            </w:r>
          </w:p>
        </w:tc>
        <w:tc>
          <w:tcPr>
            <w:tcW w:w="2264" w:type="dxa"/>
            <w:gridSpan w:val="2"/>
            <w:vAlign w:val="bottom"/>
          </w:tcPr>
          <w:p w14:paraId="2C6817E4" w14:textId="77777777" w:rsidR="0033764D" w:rsidRPr="009F67D0" w:rsidRDefault="0033764D" w:rsidP="000878F6">
            <w:pPr>
              <w:pStyle w:val="Table"/>
              <w:jc w:val="center"/>
              <w:rPr>
                <w:b/>
                <w:szCs w:val="20"/>
              </w:rPr>
            </w:pPr>
            <w:r w:rsidRPr="009F67D0">
              <w:rPr>
                <w:rFonts w:ascii="Calibri" w:hAnsi="Calibri" w:cs="Calibri"/>
                <w:b/>
                <w:bCs/>
                <w:color w:val="000000"/>
                <w:szCs w:val="20"/>
              </w:rPr>
              <w:t>% Change in Quantities as % of taxed sector</w:t>
            </w:r>
          </w:p>
        </w:tc>
        <w:tc>
          <w:tcPr>
            <w:tcW w:w="2264" w:type="dxa"/>
            <w:gridSpan w:val="2"/>
            <w:vAlign w:val="bottom"/>
          </w:tcPr>
          <w:p w14:paraId="30695EFE" w14:textId="77777777" w:rsidR="0033764D" w:rsidRPr="009F67D0" w:rsidRDefault="0033764D" w:rsidP="000878F6">
            <w:pPr>
              <w:pStyle w:val="Table"/>
              <w:jc w:val="center"/>
              <w:rPr>
                <w:b/>
                <w:szCs w:val="20"/>
              </w:rPr>
            </w:pPr>
            <w:r w:rsidRPr="009F67D0">
              <w:rPr>
                <w:rFonts w:ascii="Calibri" w:hAnsi="Calibri" w:cs="Calibri"/>
                <w:b/>
                <w:bCs/>
                <w:color w:val="000000"/>
                <w:szCs w:val="20"/>
              </w:rPr>
              <w:t>Change in Revenues (€Mn)</w:t>
            </w:r>
          </w:p>
        </w:tc>
        <w:tc>
          <w:tcPr>
            <w:tcW w:w="2266" w:type="dxa"/>
            <w:gridSpan w:val="2"/>
            <w:vAlign w:val="bottom"/>
          </w:tcPr>
          <w:p w14:paraId="556E15F5" w14:textId="77777777" w:rsidR="0033764D" w:rsidRPr="009F67D0" w:rsidRDefault="0033764D" w:rsidP="000878F6">
            <w:pPr>
              <w:pStyle w:val="Table"/>
              <w:jc w:val="center"/>
              <w:rPr>
                <w:b/>
                <w:szCs w:val="20"/>
              </w:rPr>
            </w:pPr>
            <w:r w:rsidRPr="009F67D0">
              <w:rPr>
                <w:rFonts w:ascii="Calibri" w:hAnsi="Calibri" w:cs="Calibri"/>
                <w:b/>
                <w:bCs/>
                <w:color w:val="000000"/>
                <w:szCs w:val="20"/>
              </w:rPr>
              <w:t>As % of 2023 Resource Tax</w:t>
            </w:r>
          </w:p>
        </w:tc>
      </w:tr>
      <w:tr w:rsidR="0033764D" w:rsidRPr="009F67D0" w14:paraId="65C5C859" w14:textId="77777777" w:rsidTr="003B60AD">
        <w:trPr>
          <w:trHeight w:val="237"/>
        </w:trPr>
        <w:tc>
          <w:tcPr>
            <w:tcW w:w="2264" w:type="dxa"/>
          </w:tcPr>
          <w:p w14:paraId="5B3BE01D" w14:textId="77777777" w:rsidR="0033764D" w:rsidRPr="009F67D0" w:rsidRDefault="0033764D" w:rsidP="000878F6">
            <w:pPr>
              <w:pStyle w:val="Table"/>
              <w:jc w:val="left"/>
              <w:rPr>
                <w:b/>
                <w:szCs w:val="20"/>
              </w:rPr>
            </w:pPr>
            <w:r w:rsidRPr="009F67D0">
              <w:rPr>
                <w:b/>
                <w:szCs w:val="20"/>
              </w:rPr>
              <w:t>Year</w:t>
            </w:r>
          </w:p>
        </w:tc>
        <w:tc>
          <w:tcPr>
            <w:tcW w:w="1132" w:type="dxa"/>
          </w:tcPr>
          <w:p w14:paraId="2311A40F" w14:textId="77777777" w:rsidR="0033764D" w:rsidRPr="009F67D0" w:rsidRDefault="0033764D" w:rsidP="000878F6">
            <w:pPr>
              <w:pStyle w:val="Table"/>
              <w:jc w:val="center"/>
              <w:rPr>
                <w:b/>
                <w:szCs w:val="20"/>
              </w:rPr>
            </w:pPr>
            <w:r w:rsidRPr="009F67D0">
              <w:rPr>
                <w:b/>
                <w:szCs w:val="20"/>
              </w:rPr>
              <w:t>2030</w:t>
            </w:r>
          </w:p>
        </w:tc>
        <w:tc>
          <w:tcPr>
            <w:tcW w:w="1132" w:type="dxa"/>
          </w:tcPr>
          <w:p w14:paraId="76CFA006" w14:textId="77777777" w:rsidR="0033764D" w:rsidRPr="009F67D0" w:rsidRDefault="0033764D" w:rsidP="000878F6">
            <w:pPr>
              <w:pStyle w:val="Table"/>
              <w:jc w:val="center"/>
              <w:rPr>
                <w:b/>
                <w:szCs w:val="20"/>
              </w:rPr>
            </w:pPr>
            <w:r w:rsidRPr="009F67D0">
              <w:rPr>
                <w:b/>
                <w:szCs w:val="20"/>
              </w:rPr>
              <w:t>2035</w:t>
            </w:r>
          </w:p>
        </w:tc>
        <w:tc>
          <w:tcPr>
            <w:tcW w:w="1038" w:type="dxa"/>
          </w:tcPr>
          <w:p w14:paraId="163AF873" w14:textId="77777777" w:rsidR="0033764D" w:rsidRPr="009F67D0" w:rsidRDefault="0033764D" w:rsidP="000878F6">
            <w:pPr>
              <w:pStyle w:val="Table"/>
              <w:jc w:val="center"/>
              <w:rPr>
                <w:b/>
                <w:szCs w:val="20"/>
              </w:rPr>
            </w:pPr>
            <w:r w:rsidRPr="009F67D0">
              <w:rPr>
                <w:b/>
                <w:szCs w:val="20"/>
              </w:rPr>
              <w:t>2030</w:t>
            </w:r>
          </w:p>
        </w:tc>
        <w:tc>
          <w:tcPr>
            <w:tcW w:w="1226" w:type="dxa"/>
          </w:tcPr>
          <w:p w14:paraId="6F5A0766" w14:textId="77777777" w:rsidR="0033764D" w:rsidRPr="009F67D0" w:rsidRDefault="0033764D" w:rsidP="000878F6">
            <w:pPr>
              <w:pStyle w:val="Table"/>
              <w:jc w:val="center"/>
              <w:rPr>
                <w:b/>
                <w:szCs w:val="20"/>
              </w:rPr>
            </w:pPr>
            <w:r w:rsidRPr="009F67D0">
              <w:rPr>
                <w:b/>
                <w:szCs w:val="20"/>
              </w:rPr>
              <w:t>2035</w:t>
            </w:r>
          </w:p>
        </w:tc>
        <w:tc>
          <w:tcPr>
            <w:tcW w:w="975" w:type="dxa"/>
          </w:tcPr>
          <w:p w14:paraId="6BDADA06" w14:textId="77777777" w:rsidR="0033764D" w:rsidRPr="009F67D0" w:rsidRDefault="0033764D" w:rsidP="000878F6">
            <w:pPr>
              <w:pStyle w:val="Table"/>
              <w:jc w:val="center"/>
              <w:rPr>
                <w:b/>
                <w:szCs w:val="20"/>
              </w:rPr>
            </w:pPr>
            <w:r w:rsidRPr="009F67D0">
              <w:rPr>
                <w:b/>
                <w:szCs w:val="20"/>
              </w:rPr>
              <w:t>2030</w:t>
            </w:r>
          </w:p>
        </w:tc>
        <w:tc>
          <w:tcPr>
            <w:tcW w:w="1291" w:type="dxa"/>
          </w:tcPr>
          <w:p w14:paraId="45EB0FB1" w14:textId="77777777" w:rsidR="0033764D" w:rsidRPr="009F67D0" w:rsidRDefault="0033764D" w:rsidP="000878F6">
            <w:pPr>
              <w:pStyle w:val="Table"/>
              <w:jc w:val="center"/>
              <w:rPr>
                <w:b/>
                <w:szCs w:val="20"/>
              </w:rPr>
            </w:pPr>
            <w:r w:rsidRPr="009F67D0">
              <w:rPr>
                <w:b/>
                <w:szCs w:val="20"/>
              </w:rPr>
              <w:t>2035</w:t>
            </w:r>
          </w:p>
        </w:tc>
      </w:tr>
      <w:tr w:rsidR="0033764D" w:rsidRPr="009F67D0" w14:paraId="37E4C574" w14:textId="77777777" w:rsidTr="003B60AD">
        <w:trPr>
          <w:trHeight w:val="237"/>
        </w:trPr>
        <w:tc>
          <w:tcPr>
            <w:tcW w:w="2264" w:type="dxa"/>
          </w:tcPr>
          <w:p w14:paraId="6FA3F05F" w14:textId="77777777" w:rsidR="0033764D" w:rsidRPr="009F67D0" w:rsidRDefault="0033764D" w:rsidP="000878F6">
            <w:pPr>
              <w:pStyle w:val="Table"/>
              <w:rPr>
                <w:szCs w:val="20"/>
              </w:rPr>
            </w:pPr>
            <w:r w:rsidRPr="009F67D0">
              <w:rPr>
                <w:szCs w:val="20"/>
              </w:rPr>
              <w:t>NOx</w:t>
            </w:r>
          </w:p>
        </w:tc>
        <w:tc>
          <w:tcPr>
            <w:tcW w:w="1132" w:type="dxa"/>
            <w:vAlign w:val="center"/>
          </w:tcPr>
          <w:p w14:paraId="7F4957E1" w14:textId="77777777" w:rsidR="0033764D" w:rsidRPr="009F67D0" w:rsidRDefault="0033764D" w:rsidP="000878F6">
            <w:pPr>
              <w:pStyle w:val="Table"/>
              <w:jc w:val="center"/>
              <w:rPr>
                <w:szCs w:val="20"/>
              </w:rPr>
            </w:pPr>
            <w:r w:rsidRPr="009F67D0">
              <w:rPr>
                <w:rFonts w:ascii="Calibri" w:hAnsi="Calibri" w:cs="Calibri"/>
                <w:color w:val="000000"/>
                <w:szCs w:val="20"/>
              </w:rPr>
              <w:t>-7,39%</w:t>
            </w:r>
          </w:p>
        </w:tc>
        <w:tc>
          <w:tcPr>
            <w:tcW w:w="1132" w:type="dxa"/>
            <w:vAlign w:val="center"/>
          </w:tcPr>
          <w:p w14:paraId="3BBD5E2E" w14:textId="77777777" w:rsidR="0033764D" w:rsidRPr="009F67D0" w:rsidRDefault="0033764D" w:rsidP="000878F6">
            <w:pPr>
              <w:pStyle w:val="Table"/>
              <w:jc w:val="center"/>
              <w:rPr>
                <w:szCs w:val="20"/>
              </w:rPr>
            </w:pPr>
            <w:r w:rsidRPr="009F67D0">
              <w:rPr>
                <w:rFonts w:ascii="Calibri" w:hAnsi="Calibri" w:cs="Calibri"/>
                <w:color w:val="000000"/>
                <w:szCs w:val="20"/>
              </w:rPr>
              <w:t>-7,39%</w:t>
            </w:r>
          </w:p>
        </w:tc>
        <w:tc>
          <w:tcPr>
            <w:tcW w:w="1038" w:type="dxa"/>
            <w:vAlign w:val="center"/>
          </w:tcPr>
          <w:p w14:paraId="6AD2E5E5" w14:textId="77777777" w:rsidR="0033764D" w:rsidRPr="009F67D0" w:rsidRDefault="0033764D" w:rsidP="000878F6">
            <w:pPr>
              <w:pStyle w:val="Table"/>
              <w:jc w:val="center"/>
              <w:rPr>
                <w:szCs w:val="20"/>
              </w:rPr>
            </w:pPr>
            <w:r w:rsidRPr="009F67D0">
              <w:rPr>
                <w:rFonts w:ascii="Calibri" w:hAnsi="Calibri" w:cs="Calibri"/>
                <w:color w:val="000000"/>
                <w:szCs w:val="20"/>
              </w:rPr>
              <w:t>0,34</w:t>
            </w:r>
          </w:p>
        </w:tc>
        <w:tc>
          <w:tcPr>
            <w:tcW w:w="1226" w:type="dxa"/>
            <w:vAlign w:val="center"/>
          </w:tcPr>
          <w:p w14:paraId="37CA8491" w14:textId="77777777" w:rsidR="0033764D" w:rsidRPr="009F67D0" w:rsidRDefault="0033764D" w:rsidP="000878F6">
            <w:pPr>
              <w:pStyle w:val="Table"/>
              <w:jc w:val="center"/>
              <w:rPr>
                <w:szCs w:val="20"/>
              </w:rPr>
            </w:pPr>
            <w:r w:rsidRPr="009F67D0">
              <w:rPr>
                <w:rFonts w:ascii="Calibri" w:hAnsi="Calibri" w:cs="Calibri"/>
                <w:color w:val="000000"/>
                <w:szCs w:val="20"/>
              </w:rPr>
              <w:t>0,26</w:t>
            </w:r>
          </w:p>
        </w:tc>
        <w:tc>
          <w:tcPr>
            <w:tcW w:w="975" w:type="dxa"/>
            <w:vAlign w:val="center"/>
          </w:tcPr>
          <w:p w14:paraId="6F4C8A9C" w14:textId="77777777" w:rsidR="0033764D" w:rsidRPr="009F67D0" w:rsidRDefault="0033764D" w:rsidP="000878F6">
            <w:pPr>
              <w:pStyle w:val="Table"/>
              <w:jc w:val="center"/>
              <w:rPr>
                <w:szCs w:val="20"/>
              </w:rPr>
            </w:pPr>
            <w:r w:rsidRPr="009F67D0">
              <w:rPr>
                <w:rFonts w:ascii="Calibri" w:hAnsi="Calibri" w:cs="Calibri"/>
                <w:color w:val="000000"/>
                <w:szCs w:val="20"/>
              </w:rPr>
              <w:t>1,2%</w:t>
            </w:r>
          </w:p>
        </w:tc>
        <w:tc>
          <w:tcPr>
            <w:tcW w:w="1291" w:type="dxa"/>
            <w:vAlign w:val="center"/>
          </w:tcPr>
          <w:p w14:paraId="666E7E00" w14:textId="77777777" w:rsidR="0033764D" w:rsidRPr="009F67D0" w:rsidRDefault="0033764D" w:rsidP="000878F6">
            <w:pPr>
              <w:pStyle w:val="Table"/>
              <w:jc w:val="center"/>
              <w:rPr>
                <w:szCs w:val="20"/>
              </w:rPr>
            </w:pPr>
            <w:r w:rsidRPr="009F67D0">
              <w:rPr>
                <w:rFonts w:ascii="Calibri" w:hAnsi="Calibri" w:cs="Calibri"/>
                <w:color w:val="000000"/>
                <w:szCs w:val="20"/>
              </w:rPr>
              <w:t>0,9%</w:t>
            </w:r>
          </w:p>
        </w:tc>
      </w:tr>
      <w:tr w:rsidR="0033764D" w:rsidRPr="009F67D0" w14:paraId="5C9A5126" w14:textId="77777777" w:rsidTr="003B60AD">
        <w:trPr>
          <w:trHeight w:val="237"/>
        </w:trPr>
        <w:tc>
          <w:tcPr>
            <w:tcW w:w="2264" w:type="dxa"/>
          </w:tcPr>
          <w:p w14:paraId="5E77CBDB" w14:textId="77777777" w:rsidR="0033764D" w:rsidRPr="009F67D0" w:rsidRDefault="0033764D" w:rsidP="000878F6">
            <w:pPr>
              <w:pStyle w:val="Table"/>
              <w:rPr>
                <w:szCs w:val="20"/>
              </w:rPr>
            </w:pPr>
            <w:r w:rsidRPr="009F67D0">
              <w:rPr>
                <w:szCs w:val="20"/>
              </w:rPr>
              <w:t>SO2</w:t>
            </w:r>
          </w:p>
        </w:tc>
        <w:tc>
          <w:tcPr>
            <w:tcW w:w="1132" w:type="dxa"/>
            <w:vAlign w:val="center"/>
          </w:tcPr>
          <w:p w14:paraId="34D46CCC" w14:textId="77777777" w:rsidR="0033764D" w:rsidRPr="009F67D0" w:rsidRDefault="0033764D" w:rsidP="000878F6">
            <w:pPr>
              <w:pStyle w:val="Table"/>
              <w:jc w:val="center"/>
              <w:rPr>
                <w:szCs w:val="20"/>
              </w:rPr>
            </w:pPr>
            <w:r w:rsidRPr="009F67D0">
              <w:rPr>
                <w:rFonts w:ascii="Calibri" w:hAnsi="Calibri" w:cs="Calibri"/>
                <w:color w:val="000000"/>
                <w:szCs w:val="20"/>
              </w:rPr>
              <w:t>-8,11%</w:t>
            </w:r>
          </w:p>
        </w:tc>
        <w:tc>
          <w:tcPr>
            <w:tcW w:w="1132" w:type="dxa"/>
            <w:vAlign w:val="center"/>
          </w:tcPr>
          <w:p w14:paraId="545E9896" w14:textId="77777777" w:rsidR="0033764D" w:rsidRPr="009F67D0" w:rsidRDefault="0033764D" w:rsidP="000878F6">
            <w:pPr>
              <w:pStyle w:val="Table"/>
              <w:jc w:val="center"/>
              <w:rPr>
                <w:szCs w:val="20"/>
              </w:rPr>
            </w:pPr>
            <w:r w:rsidRPr="009F67D0">
              <w:rPr>
                <w:rFonts w:ascii="Calibri" w:hAnsi="Calibri" w:cs="Calibri"/>
                <w:color w:val="000000"/>
                <w:szCs w:val="20"/>
              </w:rPr>
              <w:t>-8,11%</w:t>
            </w:r>
          </w:p>
        </w:tc>
        <w:tc>
          <w:tcPr>
            <w:tcW w:w="1038" w:type="dxa"/>
            <w:vAlign w:val="center"/>
          </w:tcPr>
          <w:p w14:paraId="4C10A176" w14:textId="77777777" w:rsidR="0033764D" w:rsidRPr="009F67D0" w:rsidRDefault="0033764D" w:rsidP="000878F6">
            <w:pPr>
              <w:pStyle w:val="Table"/>
              <w:jc w:val="center"/>
              <w:rPr>
                <w:szCs w:val="20"/>
              </w:rPr>
            </w:pPr>
            <w:r w:rsidRPr="009F67D0">
              <w:rPr>
                <w:rFonts w:ascii="Calibri" w:hAnsi="Calibri" w:cs="Calibri"/>
                <w:color w:val="000000"/>
                <w:szCs w:val="20"/>
              </w:rPr>
              <w:t>2,70</w:t>
            </w:r>
          </w:p>
        </w:tc>
        <w:tc>
          <w:tcPr>
            <w:tcW w:w="1226" w:type="dxa"/>
            <w:vAlign w:val="center"/>
          </w:tcPr>
          <w:p w14:paraId="350F0615" w14:textId="77777777" w:rsidR="0033764D" w:rsidRPr="009F67D0" w:rsidRDefault="0033764D" w:rsidP="000878F6">
            <w:pPr>
              <w:pStyle w:val="Table"/>
              <w:jc w:val="center"/>
              <w:rPr>
                <w:szCs w:val="20"/>
              </w:rPr>
            </w:pPr>
            <w:r w:rsidRPr="009F67D0">
              <w:rPr>
                <w:rFonts w:ascii="Calibri" w:hAnsi="Calibri" w:cs="Calibri"/>
                <w:color w:val="000000"/>
                <w:szCs w:val="20"/>
              </w:rPr>
              <w:t>1,14</w:t>
            </w:r>
          </w:p>
        </w:tc>
        <w:tc>
          <w:tcPr>
            <w:tcW w:w="975" w:type="dxa"/>
            <w:vAlign w:val="center"/>
          </w:tcPr>
          <w:p w14:paraId="1C6921C8" w14:textId="77777777" w:rsidR="0033764D" w:rsidRPr="009F67D0" w:rsidRDefault="0033764D" w:rsidP="000878F6">
            <w:pPr>
              <w:pStyle w:val="Table"/>
              <w:jc w:val="center"/>
              <w:rPr>
                <w:szCs w:val="20"/>
              </w:rPr>
            </w:pPr>
            <w:r w:rsidRPr="009F67D0">
              <w:rPr>
                <w:rFonts w:ascii="Calibri" w:hAnsi="Calibri" w:cs="Calibri"/>
                <w:color w:val="000000"/>
                <w:szCs w:val="20"/>
              </w:rPr>
              <w:t>9,3%</w:t>
            </w:r>
          </w:p>
        </w:tc>
        <w:tc>
          <w:tcPr>
            <w:tcW w:w="1291" w:type="dxa"/>
            <w:vAlign w:val="center"/>
          </w:tcPr>
          <w:p w14:paraId="0841BA72" w14:textId="77777777" w:rsidR="0033764D" w:rsidRPr="009F67D0" w:rsidRDefault="0033764D" w:rsidP="000878F6">
            <w:pPr>
              <w:pStyle w:val="Table"/>
              <w:jc w:val="center"/>
              <w:rPr>
                <w:szCs w:val="20"/>
              </w:rPr>
            </w:pPr>
            <w:r w:rsidRPr="009F67D0">
              <w:rPr>
                <w:rFonts w:ascii="Calibri" w:hAnsi="Calibri" w:cs="Calibri"/>
                <w:color w:val="000000"/>
                <w:szCs w:val="20"/>
              </w:rPr>
              <w:t>3,9%</w:t>
            </w:r>
          </w:p>
        </w:tc>
      </w:tr>
      <w:tr w:rsidR="0033764D" w:rsidRPr="009F67D0" w14:paraId="3DE59C19" w14:textId="77777777" w:rsidTr="003B60AD">
        <w:trPr>
          <w:trHeight w:val="237"/>
        </w:trPr>
        <w:tc>
          <w:tcPr>
            <w:tcW w:w="2264" w:type="dxa"/>
          </w:tcPr>
          <w:p w14:paraId="2727FF50" w14:textId="77777777" w:rsidR="0033764D" w:rsidRPr="009F67D0" w:rsidRDefault="0033764D" w:rsidP="000878F6">
            <w:pPr>
              <w:pStyle w:val="Table"/>
              <w:rPr>
                <w:szCs w:val="20"/>
              </w:rPr>
            </w:pPr>
            <w:r w:rsidRPr="009F67D0">
              <w:rPr>
                <w:szCs w:val="20"/>
              </w:rPr>
              <w:t>PM2.5</w:t>
            </w:r>
          </w:p>
        </w:tc>
        <w:tc>
          <w:tcPr>
            <w:tcW w:w="1132" w:type="dxa"/>
            <w:vAlign w:val="center"/>
          </w:tcPr>
          <w:p w14:paraId="447A781A" w14:textId="77777777" w:rsidR="0033764D" w:rsidRPr="009F67D0" w:rsidRDefault="0033764D" w:rsidP="000878F6">
            <w:pPr>
              <w:pStyle w:val="Table"/>
              <w:jc w:val="center"/>
              <w:rPr>
                <w:szCs w:val="20"/>
              </w:rPr>
            </w:pPr>
            <w:r w:rsidRPr="009F67D0">
              <w:rPr>
                <w:rFonts w:ascii="Calibri" w:hAnsi="Calibri" w:cs="Calibri"/>
                <w:color w:val="000000"/>
                <w:szCs w:val="20"/>
              </w:rPr>
              <w:t>-7,39%</w:t>
            </w:r>
          </w:p>
        </w:tc>
        <w:tc>
          <w:tcPr>
            <w:tcW w:w="1132" w:type="dxa"/>
            <w:vAlign w:val="center"/>
          </w:tcPr>
          <w:p w14:paraId="295E67B2" w14:textId="77777777" w:rsidR="0033764D" w:rsidRPr="009F67D0" w:rsidRDefault="0033764D" w:rsidP="000878F6">
            <w:pPr>
              <w:pStyle w:val="Table"/>
              <w:jc w:val="center"/>
              <w:rPr>
                <w:szCs w:val="20"/>
              </w:rPr>
            </w:pPr>
            <w:r w:rsidRPr="009F67D0">
              <w:rPr>
                <w:rFonts w:ascii="Calibri" w:hAnsi="Calibri" w:cs="Calibri"/>
                <w:color w:val="000000"/>
                <w:szCs w:val="20"/>
              </w:rPr>
              <w:t>-7,39%</w:t>
            </w:r>
          </w:p>
        </w:tc>
        <w:tc>
          <w:tcPr>
            <w:tcW w:w="1038" w:type="dxa"/>
            <w:vAlign w:val="center"/>
          </w:tcPr>
          <w:p w14:paraId="25BCE0DF" w14:textId="77777777" w:rsidR="0033764D" w:rsidRPr="009F67D0" w:rsidRDefault="0033764D" w:rsidP="000878F6">
            <w:pPr>
              <w:pStyle w:val="Table"/>
              <w:jc w:val="center"/>
              <w:rPr>
                <w:szCs w:val="20"/>
              </w:rPr>
            </w:pPr>
            <w:r w:rsidRPr="009F67D0">
              <w:rPr>
                <w:rFonts w:ascii="Calibri" w:hAnsi="Calibri" w:cs="Calibri"/>
                <w:color w:val="000000"/>
                <w:szCs w:val="20"/>
              </w:rPr>
              <w:t>2,02</w:t>
            </w:r>
          </w:p>
        </w:tc>
        <w:tc>
          <w:tcPr>
            <w:tcW w:w="1226" w:type="dxa"/>
            <w:vAlign w:val="center"/>
          </w:tcPr>
          <w:p w14:paraId="5A0B903F" w14:textId="77777777" w:rsidR="0033764D" w:rsidRPr="009F67D0" w:rsidRDefault="0033764D" w:rsidP="000878F6">
            <w:pPr>
              <w:pStyle w:val="Table"/>
              <w:jc w:val="center"/>
              <w:rPr>
                <w:szCs w:val="20"/>
              </w:rPr>
            </w:pPr>
            <w:r w:rsidRPr="009F67D0">
              <w:rPr>
                <w:rFonts w:ascii="Calibri" w:hAnsi="Calibri" w:cs="Calibri"/>
                <w:color w:val="000000"/>
                <w:szCs w:val="20"/>
              </w:rPr>
              <w:t>1,44</w:t>
            </w:r>
          </w:p>
        </w:tc>
        <w:tc>
          <w:tcPr>
            <w:tcW w:w="975" w:type="dxa"/>
            <w:vAlign w:val="center"/>
          </w:tcPr>
          <w:p w14:paraId="08A9946F" w14:textId="77777777" w:rsidR="0033764D" w:rsidRPr="009F67D0" w:rsidRDefault="0033764D" w:rsidP="000878F6">
            <w:pPr>
              <w:pStyle w:val="Table"/>
              <w:jc w:val="center"/>
              <w:rPr>
                <w:szCs w:val="20"/>
              </w:rPr>
            </w:pPr>
            <w:r w:rsidRPr="009F67D0">
              <w:rPr>
                <w:rFonts w:ascii="Calibri" w:hAnsi="Calibri" w:cs="Calibri"/>
                <w:color w:val="000000"/>
                <w:szCs w:val="20"/>
              </w:rPr>
              <w:t>7,0%</w:t>
            </w:r>
          </w:p>
        </w:tc>
        <w:tc>
          <w:tcPr>
            <w:tcW w:w="1291" w:type="dxa"/>
            <w:vAlign w:val="center"/>
          </w:tcPr>
          <w:p w14:paraId="6CB02E1A" w14:textId="77777777" w:rsidR="0033764D" w:rsidRPr="009F67D0" w:rsidRDefault="0033764D" w:rsidP="000878F6">
            <w:pPr>
              <w:pStyle w:val="Table"/>
              <w:jc w:val="center"/>
              <w:rPr>
                <w:szCs w:val="20"/>
              </w:rPr>
            </w:pPr>
            <w:r w:rsidRPr="009F67D0">
              <w:rPr>
                <w:rFonts w:ascii="Calibri" w:hAnsi="Calibri" w:cs="Calibri"/>
                <w:color w:val="000000"/>
                <w:szCs w:val="20"/>
              </w:rPr>
              <w:t>5,0%</w:t>
            </w:r>
          </w:p>
        </w:tc>
      </w:tr>
      <w:tr w:rsidR="0033764D" w:rsidRPr="009F67D0" w14:paraId="49F2B5AF" w14:textId="77777777" w:rsidTr="003B60AD">
        <w:trPr>
          <w:trHeight w:val="237"/>
        </w:trPr>
        <w:tc>
          <w:tcPr>
            <w:tcW w:w="2264" w:type="dxa"/>
          </w:tcPr>
          <w:p w14:paraId="2CA24047" w14:textId="77777777" w:rsidR="0033764D" w:rsidRPr="009F67D0" w:rsidRDefault="0033764D" w:rsidP="000878F6">
            <w:pPr>
              <w:pStyle w:val="Table"/>
              <w:rPr>
                <w:szCs w:val="20"/>
              </w:rPr>
            </w:pPr>
            <w:r w:rsidRPr="009F67D0">
              <w:rPr>
                <w:szCs w:val="20"/>
              </w:rPr>
              <w:t>Water Abstraction</w:t>
            </w:r>
          </w:p>
        </w:tc>
        <w:tc>
          <w:tcPr>
            <w:tcW w:w="1132" w:type="dxa"/>
            <w:vAlign w:val="center"/>
          </w:tcPr>
          <w:p w14:paraId="6788AB6C" w14:textId="77777777" w:rsidR="0033764D" w:rsidRPr="009F67D0" w:rsidRDefault="0033764D" w:rsidP="000878F6">
            <w:pPr>
              <w:pStyle w:val="Table"/>
              <w:jc w:val="center"/>
              <w:rPr>
                <w:szCs w:val="20"/>
              </w:rPr>
            </w:pPr>
            <w:r w:rsidRPr="009F67D0">
              <w:rPr>
                <w:rFonts w:ascii="Calibri" w:hAnsi="Calibri" w:cs="Calibri"/>
                <w:color w:val="000000"/>
                <w:szCs w:val="20"/>
              </w:rPr>
              <w:t>-5,45%</w:t>
            </w:r>
          </w:p>
        </w:tc>
        <w:tc>
          <w:tcPr>
            <w:tcW w:w="1132" w:type="dxa"/>
            <w:vAlign w:val="center"/>
          </w:tcPr>
          <w:p w14:paraId="012540F4" w14:textId="77777777" w:rsidR="0033764D" w:rsidRPr="009F67D0" w:rsidRDefault="0033764D" w:rsidP="000878F6">
            <w:pPr>
              <w:pStyle w:val="Table"/>
              <w:jc w:val="center"/>
              <w:rPr>
                <w:szCs w:val="20"/>
              </w:rPr>
            </w:pPr>
            <w:r w:rsidRPr="009F67D0">
              <w:rPr>
                <w:rFonts w:ascii="Calibri" w:hAnsi="Calibri" w:cs="Calibri"/>
                <w:color w:val="000000"/>
                <w:szCs w:val="20"/>
              </w:rPr>
              <w:t>-5,45%</w:t>
            </w:r>
          </w:p>
        </w:tc>
        <w:tc>
          <w:tcPr>
            <w:tcW w:w="1038" w:type="dxa"/>
            <w:vAlign w:val="center"/>
          </w:tcPr>
          <w:p w14:paraId="0D3987A4" w14:textId="77777777" w:rsidR="0033764D" w:rsidRPr="009F67D0" w:rsidRDefault="0033764D" w:rsidP="000878F6">
            <w:pPr>
              <w:pStyle w:val="Table"/>
              <w:jc w:val="center"/>
              <w:rPr>
                <w:szCs w:val="20"/>
              </w:rPr>
            </w:pPr>
            <w:r w:rsidRPr="009F67D0">
              <w:rPr>
                <w:rFonts w:ascii="Calibri" w:hAnsi="Calibri" w:cs="Calibri"/>
                <w:color w:val="000000"/>
                <w:szCs w:val="20"/>
              </w:rPr>
              <w:t>482,80</w:t>
            </w:r>
          </w:p>
        </w:tc>
        <w:tc>
          <w:tcPr>
            <w:tcW w:w="1226" w:type="dxa"/>
            <w:vAlign w:val="center"/>
          </w:tcPr>
          <w:p w14:paraId="73155E7E" w14:textId="77777777" w:rsidR="0033764D" w:rsidRPr="009F67D0" w:rsidRDefault="0033764D" w:rsidP="000878F6">
            <w:pPr>
              <w:pStyle w:val="Table"/>
              <w:jc w:val="center"/>
              <w:rPr>
                <w:szCs w:val="20"/>
              </w:rPr>
            </w:pPr>
            <w:r w:rsidRPr="009F67D0">
              <w:rPr>
                <w:rFonts w:ascii="Calibri" w:hAnsi="Calibri" w:cs="Calibri"/>
                <w:color w:val="000000"/>
                <w:szCs w:val="20"/>
              </w:rPr>
              <w:t>484,04</w:t>
            </w:r>
          </w:p>
        </w:tc>
        <w:tc>
          <w:tcPr>
            <w:tcW w:w="975" w:type="dxa"/>
            <w:vAlign w:val="center"/>
          </w:tcPr>
          <w:p w14:paraId="15D6EACB" w14:textId="77777777" w:rsidR="0033764D" w:rsidRPr="009F67D0" w:rsidRDefault="0033764D" w:rsidP="000878F6">
            <w:pPr>
              <w:pStyle w:val="Table"/>
              <w:jc w:val="center"/>
              <w:rPr>
                <w:szCs w:val="20"/>
              </w:rPr>
            </w:pPr>
            <w:r w:rsidRPr="009F67D0">
              <w:rPr>
                <w:rFonts w:ascii="Calibri" w:hAnsi="Calibri" w:cs="Calibri"/>
                <w:color w:val="000000"/>
                <w:szCs w:val="20"/>
              </w:rPr>
              <w:t>N.E.</w:t>
            </w:r>
          </w:p>
        </w:tc>
        <w:tc>
          <w:tcPr>
            <w:tcW w:w="1291" w:type="dxa"/>
            <w:vAlign w:val="center"/>
          </w:tcPr>
          <w:p w14:paraId="70FA35E6" w14:textId="77777777" w:rsidR="0033764D" w:rsidRPr="009F67D0" w:rsidRDefault="0033764D" w:rsidP="000878F6">
            <w:pPr>
              <w:pStyle w:val="Table"/>
              <w:jc w:val="center"/>
              <w:rPr>
                <w:szCs w:val="20"/>
              </w:rPr>
            </w:pPr>
            <w:r w:rsidRPr="009F67D0">
              <w:rPr>
                <w:rFonts w:ascii="Calibri" w:hAnsi="Calibri" w:cs="Calibri"/>
                <w:color w:val="000000"/>
                <w:szCs w:val="20"/>
              </w:rPr>
              <w:t>N.E.</w:t>
            </w:r>
          </w:p>
        </w:tc>
      </w:tr>
      <w:tr w:rsidR="0033764D" w:rsidRPr="009F67D0" w14:paraId="0E25D8CD" w14:textId="77777777" w:rsidTr="003B60AD">
        <w:trPr>
          <w:trHeight w:val="254"/>
        </w:trPr>
        <w:tc>
          <w:tcPr>
            <w:tcW w:w="2264" w:type="dxa"/>
          </w:tcPr>
          <w:p w14:paraId="7F30E172" w14:textId="77777777" w:rsidR="0033764D" w:rsidRPr="009F67D0" w:rsidRDefault="0033764D" w:rsidP="000878F6">
            <w:pPr>
              <w:pStyle w:val="Table"/>
              <w:rPr>
                <w:szCs w:val="20"/>
              </w:rPr>
            </w:pPr>
            <w:r w:rsidRPr="009F67D0">
              <w:rPr>
                <w:szCs w:val="20"/>
              </w:rPr>
              <w:t>Fertilizers</w:t>
            </w:r>
          </w:p>
        </w:tc>
        <w:tc>
          <w:tcPr>
            <w:tcW w:w="1132" w:type="dxa"/>
            <w:vAlign w:val="center"/>
          </w:tcPr>
          <w:p w14:paraId="1145E1AE" w14:textId="77777777" w:rsidR="0033764D" w:rsidRPr="009F67D0" w:rsidRDefault="0033764D" w:rsidP="000878F6">
            <w:pPr>
              <w:pStyle w:val="Table"/>
              <w:jc w:val="center"/>
              <w:rPr>
                <w:szCs w:val="20"/>
              </w:rPr>
            </w:pPr>
            <w:r w:rsidRPr="009F67D0">
              <w:rPr>
                <w:rFonts w:ascii="Calibri" w:hAnsi="Calibri" w:cs="Calibri"/>
                <w:color w:val="000000"/>
                <w:szCs w:val="20"/>
              </w:rPr>
              <w:t>-11,98%</w:t>
            </w:r>
          </w:p>
        </w:tc>
        <w:tc>
          <w:tcPr>
            <w:tcW w:w="1132" w:type="dxa"/>
            <w:vAlign w:val="center"/>
          </w:tcPr>
          <w:p w14:paraId="40EF8F13" w14:textId="77777777" w:rsidR="0033764D" w:rsidRPr="009F67D0" w:rsidRDefault="0033764D" w:rsidP="000878F6">
            <w:pPr>
              <w:pStyle w:val="Table"/>
              <w:jc w:val="center"/>
              <w:rPr>
                <w:szCs w:val="20"/>
              </w:rPr>
            </w:pPr>
            <w:r w:rsidRPr="009F67D0">
              <w:rPr>
                <w:rFonts w:ascii="Calibri" w:hAnsi="Calibri" w:cs="Calibri"/>
                <w:color w:val="000000"/>
                <w:szCs w:val="20"/>
              </w:rPr>
              <w:t>-11,98%</w:t>
            </w:r>
          </w:p>
        </w:tc>
        <w:tc>
          <w:tcPr>
            <w:tcW w:w="1038" w:type="dxa"/>
            <w:vAlign w:val="center"/>
          </w:tcPr>
          <w:p w14:paraId="4150B4F4" w14:textId="77777777" w:rsidR="0033764D" w:rsidRPr="009F67D0" w:rsidRDefault="0033764D" w:rsidP="000878F6">
            <w:pPr>
              <w:pStyle w:val="Table"/>
              <w:jc w:val="center"/>
              <w:rPr>
                <w:szCs w:val="20"/>
              </w:rPr>
            </w:pPr>
            <w:r w:rsidRPr="009F67D0">
              <w:rPr>
                <w:rFonts w:ascii="Calibri" w:hAnsi="Calibri" w:cs="Calibri"/>
                <w:color w:val="000000"/>
                <w:szCs w:val="20"/>
              </w:rPr>
              <w:t>7,24</w:t>
            </w:r>
          </w:p>
        </w:tc>
        <w:tc>
          <w:tcPr>
            <w:tcW w:w="1226" w:type="dxa"/>
            <w:vAlign w:val="center"/>
          </w:tcPr>
          <w:p w14:paraId="503AC171" w14:textId="77777777" w:rsidR="0033764D" w:rsidRPr="009F67D0" w:rsidRDefault="0033764D" w:rsidP="000878F6">
            <w:pPr>
              <w:pStyle w:val="Table"/>
              <w:jc w:val="center"/>
              <w:rPr>
                <w:szCs w:val="20"/>
              </w:rPr>
            </w:pPr>
            <w:r w:rsidRPr="009F67D0">
              <w:rPr>
                <w:rFonts w:ascii="Calibri" w:hAnsi="Calibri" w:cs="Calibri"/>
                <w:color w:val="000000"/>
                <w:szCs w:val="20"/>
              </w:rPr>
              <w:t>7,09</w:t>
            </w:r>
          </w:p>
        </w:tc>
        <w:tc>
          <w:tcPr>
            <w:tcW w:w="975" w:type="dxa"/>
            <w:vAlign w:val="center"/>
          </w:tcPr>
          <w:p w14:paraId="791BECDB" w14:textId="77777777" w:rsidR="0033764D" w:rsidRPr="009F67D0" w:rsidRDefault="0033764D" w:rsidP="000878F6">
            <w:pPr>
              <w:pStyle w:val="Table"/>
              <w:jc w:val="center"/>
              <w:rPr>
                <w:szCs w:val="20"/>
              </w:rPr>
            </w:pPr>
            <w:r w:rsidRPr="009F67D0">
              <w:rPr>
                <w:rFonts w:ascii="Calibri" w:hAnsi="Calibri" w:cs="Calibri"/>
                <w:color w:val="000000"/>
                <w:szCs w:val="20"/>
              </w:rPr>
              <w:t>25,0%</w:t>
            </w:r>
          </w:p>
        </w:tc>
        <w:tc>
          <w:tcPr>
            <w:tcW w:w="1291" w:type="dxa"/>
            <w:vAlign w:val="center"/>
          </w:tcPr>
          <w:p w14:paraId="3F5A8179" w14:textId="77777777" w:rsidR="0033764D" w:rsidRPr="009F67D0" w:rsidRDefault="0033764D" w:rsidP="000878F6">
            <w:pPr>
              <w:pStyle w:val="Table"/>
              <w:jc w:val="center"/>
              <w:rPr>
                <w:szCs w:val="20"/>
              </w:rPr>
            </w:pPr>
            <w:r w:rsidRPr="009F67D0">
              <w:rPr>
                <w:rFonts w:ascii="Calibri" w:hAnsi="Calibri" w:cs="Calibri"/>
                <w:color w:val="000000"/>
                <w:szCs w:val="20"/>
              </w:rPr>
              <w:t>24,5%</w:t>
            </w:r>
          </w:p>
        </w:tc>
      </w:tr>
      <w:tr w:rsidR="0033764D" w:rsidRPr="009F67D0" w14:paraId="58FC8CFF" w14:textId="77777777" w:rsidTr="003B60AD">
        <w:trPr>
          <w:trHeight w:val="237"/>
        </w:trPr>
        <w:tc>
          <w:tcPr>
            <w:tcW w:w="2264" w:type="dxa"/>
          </w:tcPr>
          <w:p w14:paraId="5CFADBC8" w14:textId="77777777" w:rsidR="0033764D" w:rsidRPr="009F67D0" w:rsidRDefault="0033764D" w:rsidP="000878F6">
            <w:pPr>
              <w:pStyle w:val="Table"/>
              <w:rPr>
                <w:szCs w:val="20"/>
              </w:rPr>
            </w:pPr>
            <w:r w:rsidRPr="009F67D0">
              <w:rPr>
                <w:szCs w:val="20"/>
              </w:rPr>
              <w:t>Pesticides</w:t>
            </w:r>
          </w:p>
        </w:tc>
        <w:tc>
          <w:tcPr>
            <w:tcW w:w="1132" w:type="dxa"/>
            <w:vAlign w:val="center"/>
          </w:tcPr>
          <w:p w14:paraId="1ECE610C" w14:textId="77777777" w:rsidR="0033764D" w:rsidRPr="009F67D0" w:rsidRDefault="0033764D" w:rsidP="000878F6">
            <w:pPr>
              <w:pStyle w:val="Table"/>
              <w:jc w:val="center"/>
              <w:rPr>
                <w:szCs w:val="20"/>
              </w:rPr>
            </w:pPr>
            <w:r w:rsidRPr="009F67D0">
              <w:rPr>
                <w:rFonts w:ascii="Calibri" w:hAnsi="Calibri" w:cs="Calibri"/>
                <w:color w:val="000000"/>
                <w:szCs w:val="20"/>
              </w:rPr>
              <w:t>n/a</w:t>
            </w:r>
          </w:p>
        </w:tc>
        <w:tc>
          <w:tcPr>
            <w:tcW w:w="1132" w:type="dxa"/>
            <w:vAlign w:val="center"/>
          </w:tcPr>
          <w:p w14:paraId="6E6DD795" w14:textId="77777777" w:rsidR="0033764D" w:rsidRPr="009F67D0" w:rsidRDefault="0033764D" w:rsidP="000878F6">
            <w:pPr>
              <w:pStyle w:val="Table"/>
              <w:jc w:val="center"/>
              <w:rPr>
                <w:szCs w:val="20"/>
              </w:rPr>
            </w:pPr>
            <w:r w:rsidRPr="009F67D0">
              <w:rPr>
                <w:rFonts w:ascii="Calibri" w:hAnsi="Calibri" w:cs="Calibri"/>
                <w:color w:val="000000"/>
                <w:szCs w:val="20"/>
              </w:rPr>
              <w:t>n/a</w:t>
            </w:r>
          </w:p>
        </w:tc>
        <w:tc>
          <w:tcPr>
            <w:tcW w:w="1038" w:type="dxa"/>
            <w:vAlign w:val="center"/>
          </w:tcPr>
          <w:p w14:paraId="06F46140" w14:textId="77777777" w:rsidR="0033764D" w:rsidRPr="009F67D0" w:rsidRDefault="0033764D" w:rsidP="000878F6">
            <w:pPr>
              <w:pStyle w:val="Table"/>
              <w:jc w:val="center"/>
              <w:rPr>
                <w:szCs w:val="20"/>
              </w:rPr>
            </w:pPr>
            <w:r w:rsidRPr="009F67D0">
              <w:rPr>
                <w:rFonts w:ascii="Calibri" w:hAnsi="Calibri" w:cs="Calibri"/>
                <w:color w:val="000000"/>
                <w:szCs w:val="20"/>
              </w:rPr>
              <w:t>27,95</w:t>
            </w:r>
          </w:p>
        </w:tc>
        <w:tc>
          <w:tcPr>
            <w:tcW w:w="1226" w:type="dxa"/>
            <w:vAlign w:val="center"/>
          </w:tcPr>
          <w:p w14:paraId="684379F0" w14:textId="77777777" w:rsidR="0033764D" w:rsidRPr="009F67D0" w:rsidRDefault="0033764D" w:rsidP="000878F6">
            <w:pPr>
              <w:pStyle w:val="Table"/>
              <w:jc w:val="center"/>
              <w:rPr>
                <w:szCs w:val="20"/>
              </w:rPr>
            </w:pPr>
            <w:r w:rsidRPr="009F67D0">
              <w:rPr>
                <w:rFonts w:ascii="Calibri" w:hAnsi="Calibri" w:cs="Calibri"/>
                <w:color w:val="000000"/>
                <w:szCs w:val="20"/>
              </w:rPr>
              <w:t>27,77</w:t>
            </w:r>
          </w:p>
        </w:tc>
        <w:tc>
          <w:tcPr>
            <w:tcW w:w="975" w:type="dxa"/>
            <w:vAlign w:val="center"/>
          </w:tcPr>
          <w:p w14:paraId="7FA9D409" w14:textId="77777777" w:rsidR="0033764D" w:rsidRPr="009F67D0" w:rsidRDefault="0033764D" w:rsidP="000878F6">
            <w:pPr>
              <w:pStyle w:val="Table"/>
              <w:jc w:val="center"/>
              <w:rPr>
                <w:szCs w:val="20"/>
              </w:rPr>
            </w:pPr>
            <w:r w:rsidRPr="009F67D0">
              <w:rPr>
                <w:rFonts w:ascii="Calibri" w:hAnsi="Calibri" w:cs="Calibri"/>
                <w:color w:val="000000"/>
                <w:szCs w:val="20"/>
              </w:rPr>
              <w:t>96,4%</w:t>
            </w:r>
          </w:p>
        </w:tc>
        <w:tc>
          <w:tcPr>
            <w:tcW w:w="1291" w:type="dxa"/>
            <w:vAlign w:val="center"/>
          </w:tcPr>
          <w:p w14:paraId="31385408" w14:textId="77777777" w:rsidR="0033764D" w:rsidRPr="009F67D0" w:rsidRDefault="0033764D" w:rsidP="000878F6">
            <w:pPr>
              <w:pStyle w:val="Table"/>
              <w:jc w:val="center"/>
              <w:rPr>
                <w:szCs w:val="20"/>
              </w:rPr>
            </w:pPr>
            <w:r w:rsidRPr="009F67D0">
              <w:rPr>
                <w:rFonts w:ascii="Calibri" w:hAnsi="Calibri" w:cs="Calibri"/>
                <w:color w:val="000000"/>
                <w:szCs w:val="20"/>
              </w:rPr>
              <w:t>95,8%</w:t>
            </w:r>
          </w:p>
        </w:tc>
      </w:tr>
      <w:tr w:rsidR="0033764D" w:rsidRPr="009F67D0" w14:paraId="60C09ED5" w14:textId="77777777" w:rsidTr="003B60AD">
        <w:trPr>
          <w:trHeight w:val="237"/>
        </w:trPr>
        <w:tc>
          <w:tcPr>
            <w:tcW w:w="2264" w:type="dxa"/>
          </w:tcPr>
          <w:p w14:paraId="6BBA0786" w14:textId="77777777" w:rsidR="0033764D" w:rsidRPr="009F67D0" w:rsidRDefault="0033764D" w:rsidP="000878F6">
            <w:pPr>
              <w:pStyle w:val="Table"/>
              <w:rPr>
                <w:szCs w:val="20"/>
              </w:rPr>
            </w:pPr>
            <w:r w:rsidRPr="009F67D0">
              <w:rPr>
                <w:szCs w:val="20"/>
              </w:rPr>
              <w:t>Waste Incineration</w:t>
            </w:r>
          </w:p>
        </w:tc>
        <w:tc>
          <w:tcPr>
            <w:tcW w:w="1132" w:type="dxa"/>
            <w:vAlign w:val="center"/>
          </w:tcPr>
          <w:p w14:paraId="5ABF874E" w14:textId="77777777" w:rsidR="0033764D" w:rsidRPr="009F67D0" w:rsidRDefault="0033764D" w:rsidP="000878F6">
            <w:pPr>
              <w:pStyle w:val="Table"/>
              <w:jc w:val="center"/>
              <w:rPr>
                <w:szCs w:val="20"/>
              </w:rPr>
            </w:pPr>
            <w:r w:rsidRPr="009F67D0">
              <w:rPr>
                <w:rFonts w:ascii="Calibri" w:hAnsi="Calibri" w:cs="Calibri"/>
                <w:color w:val="000000"/>
                <w:szCs w:val="20"/>
              </w:rPr>
              <w:t>-8,31%</w:t>
            </w:r>
          </w:p>
        </w:tc>
        <w:tc>
          <w:tcPr>
            <w:tcW w:w="1132" w:type="dxa"/>
            <w:vAlign w:val="center"/>
          </w:tcPr>
          <w:p w14:paraId="00B69D45" w14:textId="77777777" w:rsidR="0033764D" w:rsidRPr="009F67D0" w:rsidRDefault="0033764D" w:rsidP="000878F6">
            <w:pPr>
              <w:pStyle w:val="Table"/>
              <w:jc w:val="center"/>
              <w:rPr>
                <w:szCs w:val="20"/>
              </w:rPr>
            </w:pPr>
            <w:r w:rsidRPr="009F67D0">
              <w:rPr>
                <w:rFonts w:ascii="Calibri" w:hAnsi="Calibri" w:cs="Calibri"/>
                <w:color w:val="000000"/>
                <w:szCs w:val="20"/>
              </w:rPr>
              <w:t>-8,31%</w:t>
            </w:r>
          </w:p>
        </w:tc>
        <w:tc>
          <w:tcPr>
            <w:tcW w:w="1038" w:type="dxa"/>
            <w:vAlign w:val="center"/>
          </w:tcPr>
          <w:p w14:paraId="78BC230D" w14:textId="77777777" w:rsidR="0033764D" w:rsidRPr="009F67D0" w:rsidRDefault="0033764D" w:rsidP="000878F6">
            <w:pPr>
              <w:pStyle w:val="Table"/>
              <w:jc w:val="center"/>
              <w:rPr>
                <w:szCs w:val="20"/>
              </w:rPr>
            </w:pPr>
            <w:r w:rsidRPr="009F67D0">
              <w:rPr>
                <w:rFonts w:ascii="Calibri" w:hAnsi="Calibri" w:cs="Calibri"/>
                <w:color w:val="000000"/>
                <w:szCs w:val="20"/>
              </w:rPr>
              <w:t>0,07</w:t>
            </w:r>
          </w:p>
        </w:tc>
        <w:tc>
          <w:tcPr>
            <w:tcW w:w="1226" w:type="dxa"/>
            <w:vAlign w:val="center"/>
          </w:tcPr>
          <w:p w14:paraId="64999266" w14:textId="77777777" w:rsidR="0033764D" w:rsidRPr="009F67D0" w:rsidRDefault="0033764D" w:rsidP="000878F6">
            <w:pPr>
              <w:pStyle w:val="Table"/>
              <w:jc w:val="center"/>
              <w:rPr>
                <w:szCs w:val="20"/>
              </w:rPr>
            </w:pPr>
            <w:r w:rsidRPr="009F67D0">
              <w:rPr>
                <w:rFonts w:ascii="Calibri" w:hAnsi="Calibri" w:cs="Calibri"/>
                <w:color w:val="000000"/>
                <w:szCs w:val="20"/>
              </w:rPr>
              <w:t>0,09</w:t>
            </w:r>
          </w:p>
        </w:tc>
        <w:tc>
          <w:tcPr>
            <w:tcW w:w="975" w:type="dxa"/>
            <w:vAlign w:val="center"/>
          </w:tcPr>
          <w:p w14:paraId="72922ED7" w14:textId="77777777" w:rsidR="0033764D" w:rsidRPr="009F67D0" w:rsidRDefault="0033764D" w:rsidP="000878F6">
            <w:pPr>
              <w:pStyle w:val="Table"/>
              <w:jc w:val="center"/>
              <w:rPr>
                <w:szCs w:val="20"/>
              </w:rPr>
            </w:pPr>
            <w:r w:rsidRPr="009F67D0">
              <w:rPr>
                <w:rFonts w:ascii="Calibri" w:hAnsi="Calibri" w:cs="Calibri"/>
                <w:color w:val="000000"/>
                <w:szCs w:val="20"/>
              </w:rPr>
              <w:t>0,3%</w:t>
            </w:r>
          </w:p>
        </w:tc>
        <w:tc>
          <w:tcPr>
            <w:tcW w:w="1291" w:type="dxa"/>
            <w:vAlign w:val="center"/>
          </w:tcPr>
          <w:p w14:paraId="6D1BDB80" w14:textId="77777777" w:rsidR="0033764D" w:rsidRPr="009F67D0" w:rsidRDefault="0033764D" w:rsidP="000878F6">
            <w:pPr>
              <w:pStyle w:val="Table"/>
              <w:jc w:val="center"/>
              <w:rPr>
                <w:szCs w:val="20"/>
              </w:rPr>
            </w:pPr>
            <w:r w:rsidRPr="009F67D0">
              <w:rPr>
                <w:rFonts w:ascii="Calibri" w:hAnsi="Calibri" w:cs="Calibri"/>
                <w:color w:val="000000"/>
                <w:szCs w:val="20"/>
              </w:rPr>
              <w:t>0,3%</w:t>
            </w:r>
          </w:p>
        </w:tc>
      </w:tr>
      <w:tr w:rsidR="0033764D" w:rsidRPr="009F67D0" w14:paraId="2ABA34BD" w14:textId="77777777" w:rsidTr="003B60AD">
        <w:trPr>
          <w:trHeight w:val="237"/>
        </w:trPr>
        <w:tc>
          <w:tcPr>
            <w:tcW w:w="2264" w:type="dxa"/>
          </w:tcPr>
          <w:p w14:paraId="589A296B" w14:textId="77777777" w:rsidR="0033764D" w:rsidRPr="009F67D0" w:rsidRDefault="0033764D" w:rsidP="000878F6">
            <w:pPr>
              <w:pStyle w:val="Table"/>
              <w:rPr>
                <w:szCs w:val="20"/>
              </w:rPr>
            </w:pPr>
            <w:r w:rsidRPr="009F67D0">
              <w:rPr>
                <w:szCs w:val="20"/>
              </w:rPr>
              <w:t>Waste to Landfill</w:t>
            </w:r>
          </w:p>
        </w:tc>
        <w:tc>
          <w:tcPr>
            <w:tcW w:w="1132" w:type="dxa"/>
            <w:vAlign w:val="center"/>
          </w:tcPr>
          <w:p w14:paraId="2D33D81F" w14:textId="77777777" w:rsidR="0033764D" w:rsidRPr="009F67D0" w:rsidRDefault="0033764D" w:rsidP="000878F6">
            <w:pPr>
              <w:pStyle w:val="Table"/>
              <w:jc w:val="center"/>
              <w:rPr>
                <w:szCs w:val="20"/>
              </w:rPr>
            </w:pPr>
            <w:r w:rsidRPr="009F67D0">
              <w:rPr>
                <w:rFonts w:ascii="Calibri" w:hAnsi="Calibri" w:cs="Calibri"/>
                <w:color w:val="000000"/>
                <w:szCs w:val="20"/>
              </w:rPr>
              <w:t>-6,01%</w:t>
            </w:r>
          </w:p>
        </w:tc>
        <w:tc>
          <w:tcPr>
            <w:tcW w:w="1132" w:type="dxa"/>
            <w:vAlign w:val="center"/>
          </w:tcPr>
          <w:p w14:paraId="38F6E678" w14:textId="77777777" w:rsidR="0033764D" w:rsidRPr="009F67D0" w:rsidRDefault="0033764D" w:rsidP="000878F6">
            <w:pPr>
              <w:pStyle w:val="Table"/>
              <w:jc w:val="center"/>
              <w:rPr>
                <w:szCs w:val="20"/>
              </w:rPr>
            </w:pPr>
            <w:r w:rsidRPr="009F67D0">
              <w:rPr>
                <w:rFonts w:ascii="Calibri" w:hAnsi="Calibri" w:cs="Calibri"/>
                <w:color w:val="000000"/>
                <w:szCs w:val="20"/>
              </w:rPr>
              <w:t>-6,01%</w:t>
            </w:r>
          </w:p>
        </w:tc>
        <w:tc>
          <w:tcPr>
            <w:tcW w:w="1038" w:type="dxa"/>
            <w:vAlign w:val="center"/>
          </w:tcPr>
          <w:p w14:paraId="72F44ED3" w14:textId="77777777" w:rsidR="0033764D" w:rsidRPr="009F67D0" w:rsidRDefault="0033764D" w:rsidP="000878F6">
            <w:pPr>
              <w:pStyle w:val="Table"/>
              <w:jc w:val="center"/>
              <w:rPr>
                <w:szCs w:val="20"/>
              </w:rPr>
            </w:pPr>
            <w:r w:rsidRPr="009F67D0">
              <w:rPr>
                <w:rFonts w:ascii="Calibri" w:hAnsi="Calibri" w:cs="Calibri"/>
                <w:color w:val="000000"/>
                <w:szCs w:val="20"/>
              </w:rPr>
              <w:t>35,73</w:t>
            </w:r>
          </w:p>
        </w:tc>
        <w:tc>
          <w:tcPr>
            <w:tcW w:w="1226" w:type="dxa"/>
            <w:vAlign w:val="center"/>
          </w:tcPr>
          <w:p w14:paraId="2180EE90" w14:textId="77777777" w:rsidR="0033764D" w:rsidRPr="009F67D0" w:rsidRDefault="0033764D" w:rsidP="000878F6">
            <w:pPr>
              <w:pStyle w:val="Table"/>
              <w:jc w:val="center"/>
              <w:rPr>
                <w:szCs w:val="20"/>
              </w:rPr>
            </w:pPr>
            <w:r w:rsidRPr="009F67D0">
              <w:rPr>
                <w:rFonts w:ascii="Calibri" w:hAnsi="Calibri" w:cs="Calibri"/>
                <w:color w:val="000000"/>
                <w:szCs w:val="20"/>
              </w:rPr>
              <w:t>30,21</w:t>
            </w:r>
          </w:p>
        </w:tc>
        <w:tc>
          <w:tcPr>
            <w:tcW w:w="975" w:type="dxa"/>
            <w:vAlign w:val="center"/>
          </w:tcPr>
          <w:p w14:paraId="6A4CD22B" w14:textId="77777777" w:rsidR="0033764D" w:rsidRPr="009F67D0" w:rsidRDefault="0033764D" w:rsidP="000878F6">
            <w:pPr>
              <w:pStyle w:val="Table"/>
              <w:jc w:val="center"/>
              <w:rPr>
                <w:szCs w:val="20"/>
              </w:rPr>
            </w:pPr>
            <w:r w:rsidRPr="009F67D0">
              <w:rPr>
                <w:rFonts w:ascii="Calibri" w:hAnsi="Calibri" w:cs="Calibri"/>
                <w:color w:val="000000"/>
                <w:szCs w:val="20"/>
              </w:rPr>
              <w:t>123,2%</w:t>
            </w:r>
          </w:p>
        </w:tc>
        <w:tc>
          <w:tcPr>
            <w:tcW w:w="1291" w:type="dxa"/>
            <w:vAlign w:val="center"/>
          </w:tcPr>
          <w:p w14:paraId="20279CE1" w14:textId="77777777" w:rsidR="0033764D" w:rsidRPr="009F67D0" w:rsidRDefault="0033764D" w:rsidP="000878F6">
            <w:pPr>
              <w:pStyle w:val="Table"/>
              <w:jc w:val="center"/>
              <w:rPr>
                <w:szCs w:val="20"/>
              </w:rPr>
            </w:pPr>
            <w:r w:rsidRPr="009F67D0">
              <w:rPr>
                <w:rFonts w:ascii="Calibri" w:hAnsi="Calibri" w:cs="Calibri"/>
                <w:color w:val="000000"/>
                <w:szCs w:val="20"/>
              </w:rPr>
              <w:t>104,2%</w:t>
            </w:r>
          </w:p>
        </w:tc>
      </w:tr>
      <w:tr w:rsidR="0033764D" w:rsidRPr="009F67D0" w14:paraId="0AC2725D" w14:textId="77777777" w:rsidTr="003B60AD">
        <w:trPr>
          <w:trHeight w:val="237"/>
        </w:trPr>
        <w:tc>
          <w:tcPr>
            <w:tcW w:w="2264" w:type="dxa"/>
          </w:tcPr>
          <w:p w14:paraId="4485F7B3" w14:textId="77777777" w:rsidR="0033764D" w:rsidRPr="009F67D0" w:rsidRDefault="0033764D" w:rsidP="000878F6">
            <w:pPr>
              <w:pStyle w:val="Table"/>
              <w:rPr>
                <w:szCs w:val="20"/>
              </w:rPr>
            </w:pPr>
            <w:r w:rsidRPr="009F67D0">
              <w:rPr>
                <w:szCs w:val="20"/>
              </w:rPr>
              <w:t>Water Effluent</w:t>
            </w:r>
          </w:p>
        </w:tc>
        <w:tc>
          <w:tcPr>
            <w:tcW w:w="1132" w:type="dxa"/>
            <w:vAlign w:val="center"/>
          </w:tcPr>
          <w:p w14:paraId="627C5AFA" w14:textId="77777777" w:rsidR="0033764D" w:rsidRPr="009F67D0" w:rsidRDefault="0033764D" w:rsidP="000878F6">
            <w:pPr>
              <w:pStyle w:val="Table"/>
              <w:jc w:val="center"/>
              <w:rPr>
                <w:szCs w:val="20"/>
              </w:rPr>
            </w:pPr>
            <w:r w:rsidRPr="009F67D0">
              <w:rPr>
                <w:rFonts w:ascii="Calibri" w:hAnsi="Calibri" w:cs="Calibri"/>
                <w:color w:val="000000"/>
                <w:szCs w:val="20"/>
              </w:rPr>
              <w:t>-5,67%</w:t>
            </w:r>
          </w:p>
        </w:tc>
        <w:tc>
          <w:tcPr>
            <w:tcW w:w="1132" w:type="dxa"/>
            <w:vAlign w:val="center"/>
          </w:tcPr>
          <w:p w14:paraId="57BB1790" w14:textId="77777777" w:rsidR="0033764D" w:rsidRPr="009F67D0" w:rsidRDefault="0033764D" w:rsidP="000878F6">
            <w:pPr>
              <w:pStyle w:val="Table"/>
              <w:jc w:val="center"/>
              <w:rPr>
                <w:szCs w:val="20"/>
              </w:rPr>
            </w:pPr>
            <w:r w:rsidRPr="009F67D0">
              <w:rPr>
                <w:rFonts w:ascii="Calibri" w:hAnsi="Calibri" w:cs="Calibri"/>
                <w:color w:val="000000"/>
                <w:szCs w:val="20"/>
              </w:rPr>
              <w:t>-5,67%</w:t>
            </w:r>
          </w:p>
        </w:tc>
        <w:tc>
          <w:tcPr>
            <w:tcW w:w="1038" w:type="dxa"/>
            <w:vAlign w:val="center"/>
          </w:tcPr>
          <w:p w14:paraId="3F83DAFC" w14:textId="77777777" w:rsidR="0033764D" w:rsidRPr="009F67D0" w:rsidRDefault="0033764D" w:rsidP="000878F6">
            <w:pPr>
              <w:pStyle w:val="Table"/>
              <w:jc w:val="center"/>
              <w:rPr>
                <w:szCs w:val="20"/>
              </w:rPr>
            </w:pPr>
            <w:r w:rsidRPr="009F67D0">
              <w:rPr>
                <w:rFonts w:ascii="Calibri" w:hAnsi="Calibri" w:cs="Calibri"/>
                <w:color w:val="000000"/>
                <w:szCs w:val="20"/>
              </w:rPr>
              <w:t>447,98</w:t>
            </w:r>
          </w:p>
        </w:tc>
        <w:tc>
          <w:tcPr>
            <w:tcW w:w="1226" w:type="dxa"/>
            <w:vAlign w:val="center"/>
          </w:tcPr>
          <w:p w14:paraId="4074D010" w14:textId="77777777" w:rsidR="0033764D" w:rsidRPr="009F67D0" w:rsidRDefault="0033764D" w:rsidP="000878F6">
            <w:pPr>
              <w:pStyle w:val="Table"/>
              <w:jc w:val="center"/>
              <w:rPr>
                <w:szCs w:val="20"/>
              </w:rPr>
            </w:pPr>
            <w:r w:rsidRPr="009F67D0">
              <w:rPr>
                <w:rFonts w:ascii="Calibri" w:hAnsi="Calibri" w:cs="Calibri"/>
                <w:color w:val="000000"/>
                <w:szCs w:val="20"/>
              </w:rPr>
              <w:t>435,76</w:t>
            </w:r>
          </w:p>
        </w:tc>
        <w:tc>
          <w:tcPr>
            <w:tcW w:w="975" w:type="dxa"/>
            <w:vAlign w:val="center"/>
          </w:tcPr>
          <w:p w14:paraId="5C5EB979" w14:textId="77777777" w:rsidR="0033764D" w:rsidRPr="009F67D0" w:rsidRDefault="0033764D" w:rsidP="000878F6">
            <w:pPr>
              <w:pStyle w:val="Table"/>
              <w:jc w:val="center"/>
              <w:rPr>
                <w:szCs w:val="20"/>
              </w:rPr>
            </w:pPr>
            <w:r w:rsidRPr="009F67D0">
              <w:rPr>
                <w:rFonts w:ascii="Calibri" w:hAnsi="Calibri" w:cs="Calibri"/>
                <w:color w:val="000000"/>
                <w:szCs w:val="20"/>
              </w:rPr>
              <w:t>1544,8%</w:t>
            </w:r>
          </w:p>
        </w:tc>
        <w:tc>
          <w:tcPr>
            <w:tcW w:w="1291" w:type="dxa"/>
            <w:vAlign w:val="center"/>
          </w:tcPr>
          <w:p w14:paraId="38FE319F" w14:textId="77777777" w:rsidR="0033764D" w:rsidRPr="009F67D0" w:rsidRDefault="0033764D" w:rsidP="000878F6">
            <w:pPr>
              <w:pStyle w:val="Table"/>
              <w:jc w:val="center"/>
              <w:rPr>
                <w:szCs w:val="20"/>
              </w:rPr>
            </w:pPr>
            <w:r w:rsidRPr="009F67D0">
              <w:rPr>
                <w:rFonts w:ascii="Calibri" w:hAnsi="Calibri" w:cs="Calibri"/>
                <w:color w:val="000000"/>
                <w:szCs w:val="20"/>
              </w:rPr>
              <w:t>1502,6%</w:t>
            </w:r>
          </w:p>
        </w:tc>
      </w:tr>
      <w:tr w:rsidR="0033764D" w:rsidRPr="009F67D0" w14:paraId="176DF163" w14:textId="77777777" w:rsidTr="003B60AD">
        <w:trPr>
          <w:trHeight w:val="237"/>
        </w:trPr>
        <w:tc>
          <w:tcPr>
            <w:tcW w:w="2264" w:type="dxa"/>
          </w:tcPr>
          <w:p w14:paraId="60AA05D7" w14:textId="77777777" w:rsidR="0033764D" w:rsidRPr="009F67D0" w:rsidRDefault="0033764D" w:rsidP="000878F6">
            <w:pPr>
              <w:pStyle w:val="Table"/>
              <w:rPr>
                <w:szCs w:val="20"/>
              </w:rPr>
            </w:pPr>
            <w:r w:rsidRPr="009F67D0">
              <w:rPr>
                <w:szCs w:val="20"/>
              </w:rPr>
              <w:t>Minerals &amp; Aggregates</w:t>
            </w:r>
          </w:p>
        </w:tc>
        <w:tc>
          <w:tcPr>
            <w:tcW w:w="1132" w:type="dxa"/>
            <w:vAlign w:val="center"/>
          </w:tcPr>
          <w:p w14:paraId="75AF01D0" w14:textId="77777777" w:rsidR="0033764D" w:rsidRPr="009F67D0" w:rsidRDefault="0033764D" w:rsidP="000878F6">
            <w:pPr>
              <w:pStyle w:val="Table"/>
              <w:jc w:val="center"/>
              <w:rPr>
                <w:szCs w:val="20"/>
              </w:rPr>
            </w:pPr>
            <w:r w:rsidRPr="009F67D0">
              <w:rPr>
                <w:rFonts w:ascii="Calibri" w:hAnsi="Calibri" w:cs="Calibri"/>
                <w:color w:val="000000"/>
                <w:szCs w:val="20"/>
              </w:rPr>
              <w:t>-5,02%</w:t>
            </w:r>
          </w:p>
        </w:tc>
        <w:tc>
          <w:tcPr>
            <w:tcW w:w="1132" w:type="dxa"/>
            <w:vAlign w:val="center"/>
          </w:tcPr>
          <w:p w14:paraId="55E57A4D" w14:textId="77777777" w:rsidR="0033764D" w:rsidRPr="009F67D0" w:rsidRDefault="0033764D" w:rsidP="000878F6">
            <w:pPr>
              <w:pStyle w:val="Table"/>
              <w:jc w:val="center"/>
              <w:rPr>
                <w:szCs w:val="20"/>
              </w:rPr>
            </w:pPr>
            <w:r w:rsidRPr="009F67D0">
              <w:rPr>
                <w:rFonts w:ascii="Calibri" w:hAnsi="Calibri" w:cs="Calibri"/>
                <w:color w:val="000000"/>
                <w:szCs w:val="20"/>
              </w:rPr>
              <w:t>-5,02%</w:t>
            </w:r>
          </w:p>
        </w:tc>
        <w:tc>
          <w:tcPr>
            <w:tcW w:w="1038" w:type="dxa"/>
            <w:vAlign w:val="center"/>
          </w:tcPr>
          <w:p w14:paraId="5F91D1D5" w14:textId="77777777" w:rsidR="0033764D" w:rsidRPr="009F67D0" w:rsidRDefault="0033764D" w:rsidP="000878F6">
            <w:pPr>
              <w:pStyle w:val="Table"/>
              <w:jc w:val="center"/>
              <w:rPr>
                <w:szCs w:val="20"/>
              </w:rPr>
            </w:pPr>
            <w:r w:rsidRPr="009F67D0">
              <w:rPr>
                <w:rFonts w:ascii="Calibri" w:hAnsi="Calibri" w:cs="Calibri"/>
                <w:color w:val="000000"/>
                <w:szCs w:val="20"/>
              </w:rPr>
              <w:t>19,33</w:t>
            </w:r>
          </w:p>
        </w:tc>
        <w:tc>
          <w:tcPr>
            <w:tcW w:w="1226" w:type="dxa"/>
            <w:vAlign w:val="center"/>
          </w:tcPr>
          <w:p w14:paraId="782BCDDD" w14:textId="77777777" w:rsidR="0033764D" w:rsidRPr="009F67D0" w:rsidRDefault="0033764D" w:rsidP="000878F6">
            <w:pPr>
              <w:pStyle w:val="Table"/>
              <w:jc w:val="center"/>
              <w:rPr>
                <w:szCs w:val="20"/>
              </w:rPr>
            </w:pPr>
            <w:r w:rsidRPr="009F67D0">
              <w:rPr>
                <w:rFonts w:ascii="Calibri" w:hAnsi="Calibri" w:cs="Calibri"/>
                <w:color w:val="000000"/>
                <w:szCs w:val="20"/>
              </w:rPr>
              <w:t>15,95</w:t>
            </w:r>
          </w:p>
        </w:tc>
        <w:tc>
          <w:tcPr>
            <w:tcW w:w="975" w:type="dxa"/>
            <w:vAlign w:val="center"/>
          </w:tcPr>
          <w:p w14:paraId="4385904B" w14:textId="77777777" w:rsidR="0033764D" w:rsidRPr="009F67D0" w:rsidRDefault="0033764D" w:rsidP="000878F6">
            <w:pPr>
              <w:pStyle w:val="Table"/>
              <w:jc w:val="center"/>
              <w:rPr>
                <w:szCs w:val="20"/>
              </w:rPr>
            </w:pPr>
            <w:r w:rsidRPr="009F67D0">
              <w:rPr>
                <w:rFonts w:ascii="Calibri" w:hAnsi="Calibri" w:cs="Calibri"/>
                <w:color w:val="000000"/>
                <w:szCs w:val="20"/>
              </w:rPr>
              <w:t>N.E.</w:t>
            </w:r>
          </w:p>
        </w:tc>
        <w:tc>
          <w:tcPr>
            <w:tcW w:w="1291" w:type="dxa"/>
            <w:vAlign w:val="center"/>
          </w:tcPr>
          <w:p w14:paraId="75FD7492" w14:textId="77777777" w:rsidR="0033764D" w:rsidRPr="009F67D0" w:rsidRDefault="0033764D" w:rsidP="000878F6">
            <w:pPr>
              <w:pStyle w:val="Table"/>
              <w:jc w:val="center"/>
              <w:rPr>
                <w:szCs w:val="20"/>
              </w:rPr>
            </w:pPr>
            <w:r w:rsidRPr="009F67D0">
              <w:rPr>
                <w:rFonts w:ascii="Calibri" w:hAnsi="Calibri" w:cs="Calibri"/>
                <w:color w:val="000000"/>
                <w:szCs w:val="20"/>
              </w:rPr>
              <w:t>N.E.</w:t>
            </w:r>
          </w:p>
        </w:tc>
      </w:tr>
    </w:tbl>
    <w:p w14:paraId="04CBD876" w14:textId="77777777" w:rsidR="0033764D" w:rsidRPr="0033764D" w:rsidRDefault="0033764D" w:rsidP="0033764D">
      <w:pPr>
        <w:rPr>
          <w:lang w:eastAsia="en-GB"/>
        </w:rPr>
      </w:pPr>
    </w:p>
    <w:p w14:paraId="63762527" w14:textId="4E7A0D60" w:rsidR="0033764D" w:rsidRPr="0033764D" w:rsidRDefault="0033764D" w:rsidP="0033764D">
      <w:pPr>
        <w:rPr>
          <w:lang w:eastAsia="en-GB"/>
        </w:rPr>
      </w:pPr>
      <w:r w:rsidRPr="0033764D">
        <w:rPr>
          <w:lang w:eastAsia="en-GB"/>
        </w:rPr>
        <w:t>Administrative feasibility is mixed. Greece has core permitting and monitoring systems, and water metering is widespread for utilities and many larger users, but gaps persist for smaller abstractions, diffuse pollution and parts of the waste chain. Strengthening measurement and reporting is a precondition for credible assessment and enforcement, especially for effluent loads and agricultural inputs. Capacity constraints in municipalities and water utilities require attention, as do regional disparities linked to insularity and seasonal tourism peaks.</w:t>
      </w:r>
    </w:p>
    <w:p w14:paraId="28D85608" w14:textId="3B5FF99C" w:rsidR="0033764D" w:rsidRPr="0033764D" w:rsidRDefault="0033764D" w:rsidP="0033764D">
      <w:pPr>
        <w:rPr>
          <w:lang w:eastAsia="en-GB"/>
        </w:rPr>
      </w:pPr>
      <w:r w:rsidRPr="0033764D">
        <w:rPr>
          <w:lang w:eastAsia="en-GB"/>
        </w:rPr>
        <w:t xml:space="preserve">Distributional and political risks are real and must be anticipated. Household budgets remain sensitive to utility charges and waste fees. The </w:t>
      </w:r>
      <w:r w:rsidRPr="0033764D">
        <w:rPr>
          <w:i/>
          <w:iCs/>
          <w:lang w:eastAsia="en-GB"/>
        </w:rPr>
        <w:t>gilets jaunes</w:t>
      </w:r>
      <w:r w:rsidRPr="0033764D">
        <w:rPr>
          <w:lang w:eastAsia="en-GB"/>
        </w:rPr>
        <w:t xml:space="preserve"> episode in France underscores that acceptability hinges on perceived fairness, transparency and visible benefits. In Greece, exposure is highest for low-income households, rural and island communities, and small farms. Competitiveness concerns will </w:t>
      </w:r>
      <w:r w:rsidRPr="0033764D">
        <w:rPr>
          <w:lang w:eastAsia="en-GB"/>
        </w:rPr>
        <w:lastRenderedPageBreak/>
        <w:t>emerge in quarrying and construction materials, cement and basic manufacturing, and irrigated agriculture. Without careful sequencing there is a risk of unintended substitutions, for example diversion from landfill to incineration or informal disposal if sorting and treatment capacity lags.</w:t>
      </w:r>
    </w:p>
    <w:p w14:paraId="74AAFDFE" w14:textId="6BF7B86D" w:rsidR="0033764D" w:rsidRPr="0033764D" w:rsidRDefault="0033764D" w:rsidP="0033764D">
      <w:pPr>
        <w:rPr>
          <w:lang w:eastAsia="en-GB"/>
        </w:rPr>
      </w:pPr>
      <w:r w:rsidRPr="0033764D">
        <w:rPr>
          <w:lang w:eastAsia="en-GB"/>
        </w:rPr>
        <w:t>These risks are manageable with a phased, investment-led approach and clear revenue recycling. Rates should be ramped up over several years, with pre-announced steps that allow firms, utilities and municipalities to plan. A defined share of incremental receipts should be used to lower distortionary taxes on work for low and middle earners, provide lump-sum bill credits for vulnerable households, and co-finance investments that cut bills and emissions. In water policy this means leak reduction, pressure management and smart metering in utilities, and on-farm efficiency such as precision irrigation and drainage improvements. In waste, higher landfill signals must be paired with funding for separate collection, sorting and high-quality recycling to prevent cost pass-through without environmental gain.</w:t>
      </w:r>
    </w:p>
    <w:p w14:paraId="2915E617" w14:textId="196B16E0" w:rsidR="0033764D" w:rsidRPr="0033764D" w:rsidRDefault="0033764D" w:rsidP="0033764D">
      <w:pPr>
        <w:rPr>
          <w:lang w:eastAsia="en-GB"/>
        </w:rPr>
      </w:pPr>
      <w:r w:rsidRPr="0033764D">
        <w:rPr>
          <w:lang w:eastAsia="en-GB"/>
        </w:rPr>
        <w:t xml:space="preserve">Given the modelling and Greece’s policy context, the following should be treated as </w:t>
      </w:r>
      <w:r w:rsidRPr="0033764D">
        <w:rPr>
          <w:b/>
          <w:bCs/>
          <w:lang w:eastAsia="en-GB"/>
        </w:rPr>
        <w:t>priority taxes</w:t>
      </w:r>
      <w:r w:rsidRPr="0033764D">
        <w:rPr>
          <w:lang w:eastAsia="en-GB"/>
        </w:rPr>
        <w:t>: a wastewater effluent charge aligned with pollutant loads and local receiving-water sensitivity; a water abstraction charge differentiated by water-stress indicators and tailored to island conditions; a calibrated mineral extraction tax on sand, gravel and crushed stone with recognition for certified secondary aggregates; and a predictable escalator for landfill, introduced alongside clear investment plans for sorting and treatment. Product instruments on fertilisers and pesticides can be added once advisory support and simple compliance rules are in place, prioritising toxicity-based differentiation for pesticides and nitrogen-content calibration for fertilisers. Air-pollutant charges should focus on large permitted sources, with modest top-ups and performance-based rebates tied to adoption of best available techniques.</w:t>
      </w:r>
    </w:p>
    <w:p w14:paraId="5E3410C8" w14:textId="3C594ACB" w:rsidR="0033764D" w:rsidRPr="0033764D" w:rsidRDefault="0033764D" w:rsidP="0033764D">
      <w:pPr>
        <w:rPr>
          <w:lang w:eastAsia="en-GB"/>
        </w:rPr>
      </w:pPr>
      <w:r w:rsidRPr="0033764D">
        <w:rPr>
          <w:lang w:eastAsia="en-GB"/>
        </w:rPr>
        <w:t>Concrete safeguards can contain distributional and competitiveness impacts. For households, introduce a lifeline block for essential water use and cap year-on-year increases in municipal water and waste bills, financing the cap from environmental receipts while preserving the marginal price signal above the lifeline. Provide automatic bill credits for low-income customers and targeted support for island households facing high service costs. For farmers, pair any fertiliser or pesticide charge with time-limited rebates conditional on precision application, nutrient budgeting and integrated pest management, and offer technical assistance to maintain yields during the transition. For trade-exposed industrial sites, use temporary, technology-neutral investment support for abatement and process optimisation that keeps the ongoing price signal intact. In aggregates, couple the extraction charge with public procurement standards for recycled content and fast-track certification for secondary materials so that policy pull offsets cost push.</w:t>
      </w:r>
    </w:p>
    <w:p w14:paraId="2B70D4F9" w14:textId="48972929" w:rsidR="0033764D" w:rsidRPr="0033764D" w:rsidRDefault="0033764D" w:rsidP="0033764D">
      <w:pPr>
        <w:rPr>
          <w:lang w:eastAsia="en-GB"/>
        </w:rPr>
      </w:pPr>
      <w:r w:rsidRPr="0033764D">
        <w:rPr>
          <w:lang w:eastAsia="en-GB"/>
        </w:rPr>
        <w:t>Implementation should be tied to enabling infrastructure and better data. Expand metering and reporting for smaller abstractions and dischargers using standard coefficients and periodic audits to keep administrative burdens proportionate. Strengthen digital waste tracking and enforcement to deter illegal dumping as price signals rise. Coordinate closely across the finance, environment and interior ministries and with regions and municipalities to align tax design with investment timelines and to avoid regional disparities that could erode public trust.</w:t>
      </w:r>
    </w:p>
    <w:p w14:paraId="0265CE43" w14:textId="00B81FC8" w:rsidR="0033764D" w:rsidRPr="0033764D" w:rsidRDefault="0033764D" w:rsidP="0033764D">
      <w:pPr>
        <w:rPr>
          <w:lang w:eastAsia="en-GB"/>
        </w:rPr>
      </w:pPr>
      <w:r w:rsidRPr="0033764D">
        <w:rPr>
          <w:lang w:eastAsia="en-GB"/>
        </w:rPr>
        <w:t>Transparent communication will be essential. Publish an annual “green dividend” report that shows where every euro goes and the outcomes achieved: river stretches upgraded in status, leakage reductions, recycled-aggregate shares in public works, landfill diversion rates, and measured declines in pollutant loads. Framing the reforms as a fairness agenda</w:t>
      </w:r>
      <w:r>
        <w:rPr>
          <w:lang w:eastAsia="en-GB"/>
        </w:rPr>
        <w:t xml:space="preserve"> </w:t>
      </w:r>
      <w:r w:rsidRPr="0033764D">
        <w:rPr>
          <w:lang w:eastAsia="en-GB"/>
        </w:rPr>
        <w:t>—</w:t>
      </w:r>
      <w:r>
        <w:rPr>
          <w:lang w:eastAsia="en-GB"/>
        </w:rPr>
        <w:t xml:space="preserve"> </w:t>
      </w:r>
      <w:r w:rsidRPr="0033764D">
        <w:rPr>
          <w:lang w:eastAsia="en-GB"/>
        </w:rPr>
        <w:t>polluters pay, revenues reduce other burdens and fund tangible local improvements</w:t>
      </w:r>
      <w:r>
        <w:rPr>
          <w:lang w:eastAsia="en-GB"/>
        </w:rPr>
        <w:t xml:space="preserve"> </w:t>
      </w:r>
      <w:r w:rsidRPr="0033764D">
        <w:rPr>
          <w:lang w:eastAsia="en-GB"/>
        </w:rPr>
        <w:t>—</w:t>
      </w:r>
      <w:r>
        <w:rPr>
          <w:lang w:eastAsia="en-GB"/>
        </w:rPr>
        <w:t xml:space="preserve"> </w:t>
      </w:r>
      <w:r w:rsidRPr="0033764D">
        <w:rPr>
          <w:lang w:eastAsia="en-GB"/>
        </w:rPr>
        <w:t>will be critical to social licence.</w:t>
      </w:r>
    </w:p>
    <w:p w14:paraId="6CDE9DD5" w14:textId="3749BF93" w:rsidR="005D6837" w:rsidRPr="0033764D" w:rsidRDefault="0033764D" w:rsidP="00E00113">
      <w:pPr>
        <w:rPr>
          <w:lang w:eastAsia="en-GB"/>
        </w:rPr>
      </w:pPr>
      <w:r w:rsidRPr="0033764D">
        <w:rPr>
          <w:lang w:eastAsia="en-GB"/>
        </w:rPr>
        <w:t xml:space="preserve">In sum, Greece can advance a focused package that prioritises wastewater and water abstraction, strengthens landfill signals with the necessary waste-system investments, calibrates extraction </w:t>
      </w:r>
      <w:r w:rsidRPr="0033764D">
        <w:rPr>
          <w:lang w:eastAsia="en-GB"/>
        </w:rPr>
        <w:lastRenderedPageBreak/>
        <w:t>charges to support circular materials, and introduces targeted product and air instruments where gaps remain. If phased predictably and supported by visible revenue recycling and practical safeguards, these measures can deliver meaningful environmental gains and stable revenues while protecting competitiveness and social fairness.</w:t>
      </w:r>
    </w:p>
    <w:p w14:paraId="21077EB2" w14:textId="77777777" w:rsidR="00F54F85" w:rsidRDefault="00F54F85" w:rsidP="005B7AAA">
      <w:pPr>
        <w:pStyle w:val="AnnexHeading1"/>
        <w:ind w:hanging="1211"/>
      </w:pPr>
      <w:bookmarkStart w:id="207" w:name="_Toc214008888"/>
      <w:r>
        <w:t>Hungary</w:t>
      </w:r>
      <w:bookmarkEnd w:id="207"/>
    </w:p>
    <w:p w14:paraId="37942804" w14:textId="77777777" w:rsidR="00F54F85" w:rsidRDefault="00F54F85" w:rsidP="007C4EB7">
      <w:pPr>
        <w:pStyle w:val="AnnexHeading2"/>
      </w:pPr>
      <w:bookmarkStart w:id="208" w:name="_Toc214008889"/>
      <w:r w:rsidRPr="000C5632">
        <w:t>Overview</w:t>
      </w:r>
      <w:r>
        <w:t xml:space="preserve"> of existing environmental taxes</w:t>
      </w:r>
      <w:bookmarkEnd w:id="208"/>
    </w:p>
    <w:p w14:paraId="49CFE184" w14:textId="18816913" w:rsidR="00F54F85" w:rsidRDefault="00C71E67" w:rsidP="00F54F85">
      <w:pPr>
        <w:rPr>
          <w:lang w:eastAsia="en-GB"/>
        </w:rPr>
      </w:pPr>
      <w:r w:rsidRPr="00C71E67">
        <w:t>Environmental taxes in Hungary amounted to 2.2% of GDP in 2023, slightly above the EU average. While revenues have increased in absolute terms over the past 15 years, their relative importance in the economy has declined. Total environmental tax revenue reached EUR 3.37 billion in real terms in 2023, representing a 39.3% increase since 2009</w:t>
      </w:r>
      <w:r w:rsidR="00B56DC0">
        <w:rPr>
          <w:rStyle w:val="FootnoteReference"/>
          <w:szCs w:val="20"/>
        </w:rPr>
        <w:footnoteReference w:id="422"/>
      </w:r>
      <w:r w:rsidRPr="00C71E67">
        <w:t>. Over the same period, however, the ratio of environmental taxes to GDP fell by 17.5%. In 2023, energy and transport taxes accounted for the majority of revenues (around 80.9% and 13.9%, respectively), while pollution and resource taxes contributed 4.8% and 0.3%</w:t>
      </w:r>
      <w:r>
        <w:t>, respectively</w:t>
      </w:r>
      <w:r w:rsidRPr="00C71E67">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54F85" w:rsidRPr="00B80392" w14:paraId="3FFA3CFE" w14:textId="77777777" w:rsidTr="00996003">
        <w:tc>
          <w:tcPr>
            <w:tcW w:w="9016" w:type="dxa"/>
          </w:tcPr>
          <w:p w14:paraId="470B6A68" w14:textId="77777777" w:rsidR="00F54F85" w:rsidRDefault="00F54F85" w:rsidP="00C66281">
            <w:pPr>
              <w:spacing w:after="0"/>
              <w:jc w:val="center"/>
              <w:rPr>
                <w:sz w:val="10"/>
                <w:szCs w:val="10"/>
              </w:rPr>
            </w:pPr>
          </w:p>
          <w:p w14:paraId="1BFDEF60" w14:textId="77777777" w:rsidR="00F54F85" w:rsidRDefault="00F54F85" w:rsidP="00C66281">
            <w:pPr>
              <w:spacing w:after="0"/>
              <w:jc w:val="center"/>
              <w:rPr>
                <w:sz w:val="10"/>
                <w:szCs w:val="10"/>
              </w:rPr>
            </w:pPr>
            <w:r>
              <w:rPr>
                <w:noProof/>
                <w:sz w:val="10"/>
                <w:szCs w:val="10"/>
              </w:rPr>
              <w:drawing>
                <wp:inline distT="0" distB="0" distL="0" distR="0" wp14:anchorId="4C60D876" wp14:editId="4B39D25D">
                  <wp:extent cx="5551940" cy="1161355"/>
                  <wp:effectExtent l="0" t="0" r="0" b="0"/>
                  <wp:docPr id="430227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8177" name="Picture 1"/>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957294" cy="1246147"/>
                          </a:xfrm>
                          <a:prstGeom prst="rect">
                            <a:avLst/>
                          </a:prstGeom>
                        </pic:spPr>
                      </pic:pic>
                    </a:graphicData>
                  </a:graphic>
                </wp:inline>
              </w:drawing>
            </w:r>
          </w:p>
          <w:p w14:paraId="77D4F64F" w14:textId="77777777" w:rsidR="00F54F85" w:rsidRPr="00B80392" w:rsidRDefault="00F54F85" w:rsidP="00C66281">
            <w:pPr>
              <w:spacing w:after="0"/>
              <w:jc w:val="center"/>
              <w:rPr>
                <w:sz w:val="10"/>
                <w:szCs w:val="10"/>
              </w:rPr>
            </w:pPr>
          </w:p>
        </w:tc>
      </w:tr>
      <w:tr w:rsidR="00F54F85" w:rsidRPr="00B80392" w14:paraId="4B672D4F" w14:textId="77777777" w:rsidTr="00996003">
        <w:tc>
          <w:tcPr>
            <w:tcW w:w="9016" w:type="dxa"/>
            <w:shd w:val="clear" w:color="auto" w:fill="003399"/>
          </w:tcPr>
          <w:p w14:paraId="7E02C5B2" w14:textId="2C9BEDFD" w:rsidR="00F54F85" w:rsidRPr="00B80392" w:rsidRDefault="0033764D" w:rsidP="00C66281">
            <w:pPr>
              <w:keepNext/>
              <w:spacing w:after="0"/>
              <w:rPr>
                <w:b/>
                <w:szCs w:val="20"/>
              </w:rPr>
            </w:pPr>
            <w:r w:rsidRPr="00BA7936">
              <w:rPr>
                <w:b/>
                <w:szCs w:val="20"/>
              </w:rPr>
              <w:t xml:space="preserve">Figure </w:t>
            </w:r>
            <w:r w:rsidR="00490085" w:rsidRPr="00BA7936">
              <w:rPr>
                <w:b/>
                <w:szCs w:val="20"/>
              </w:rPr>
              <w:t>A6</w:t>
            </w:r>
            <w:r w:rsidRPr="00BA7936">
              <w:rPr>
                <w:b/>
                <w:szCs w:val="20"/>
              </w:rPr>
              <w:t>-</w:t>
            </w:r>
            <w:r w:rsidRPr="00BA7936">
              <w:rPr>
                <w:b/>
                <w:szCs w:val="20"/>
              </w:rPr>
              <w:fldChar w:fldCharType="begin"/>
            </w:r>
            <w:r w:rsidRPr="00BA7936">
              <w:rPr>
                <w:b/>
                <w:szCs w:val="20"/>
              </w:rPr>
              <w:instrText>SEQ Figure_A5- \* ARABIC</w:instrText>
            </w:r>
            <w:r w:rsidRPr="00BA7936">
              <w:rPr>
                <w:b/>
                <w:szCs w:val="20"/>
              </w:rPr>
              <w:fldChar w:fldCharType="separate"/>
            </w:r>
            <w:r w:rsidRPr="00BA7936">
              <w:rPr>
                <w:b/>
                <w:szCs w:val="20"/>
              </w:rPr>
              <w:t>36</w:t>
            </w:r>
            <w:r w:rsidRPr="00BA7936">
              <w:rPr>
                <w:b/>
                <w:szCs w:val="20"/>
              </w:rPr>
              <w:fldChar w:fldCharType="end"/>
            </w:r>
            <w:r w:rsidR="00F54F85" w:rsidRPr="00BA7936">
              <w:rPr>
                <w:b/>
                <w:szCs w:val="20"/>
              </w:rPr>
              <w:t>: Total environmental tax revenue in Hungary (2009-2023) in billion euros</w:t>
            </w:r>
          </w:p>
        </w:tc>
      </w:tr>
    </w:tbl>
    <w:p w14:paraId="5041FBE7" w14:textId="623BAD8A" w:rsidR="00F54F85" w:rsidRDefault="00F54F85" w:rsidP="00F54F85">
      <w:r>
        <w:br/>
        <w:t xml:space="preserve">In 2023, total tax revenue (including net social contributions) accounted for 34.9% of </w:t>
      </w:r>
      <w:r w:rsidR="008737FB" w:rsidRPr="008737FB">
        <w:t>GDP, down by 3.9 percentage points from 38.8% in 2009. Environmental taxes represented 6.2% of total tax revenue in 2023, compared with 6.8% in 2009</w:t>
      </w:r>
      <w:r w:rsidR="008737FB">
        <w:t xml:space="preserve"> </w:t>
      </w:r>
      <w:r w:rsidR="008737FB" w:rsidRPr="008737FB">
        <w:t>—</w:t>
      </w:r>
      <w:r w:rsidR="008737FB">
        <w:t xml:space="preserve"> </w:t>
      </w:r>
      <w:r w:rsidR="008737FB" w:rsidRPr="008737FB">
        <w:t>a decrease of 0.6 percentage points over the period. In absolute terms, the strongest decline was recorded in resource tax revenues, which fell by 51.8%.</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54F85" w:rsidRPr="00B80392" w14:paraId="67FB8134" w14:textId="77777777" w:rsidTr="00996003">
        <w:tc>
          <w:tcPr>
            <w:tcW w:w="9016" w:type="dxa"/>
          </w:tcPr>
          <w:p w14:paraId="0E699C58" w14:textId="77777777" w:rsidR="00F54F85" w:rsidRDefault="00F54F85" w:rsidP="00C66281">
            <w:pPr>
              <w:spacing w:after="0"/>
              <w:jc w:val="center"/>
              <w:rPr>
                <w:sz w:val="10"/>
                <w:szCs w:val="10"/>
              </w:rPr>
            </w:pPr>
          </w:p>
          <w:p w14:paraId="049FA421" w14:textId="77777777" w:rsidR="00F54F85" w:rsidRDefault="00F54F85" w:rsidP="00C66281">
            <w:pPr>
              <w:spacing w:after="0"/>
              <w:jc w:val="center"/>
              <w:rPr>
                <w:sz w:val="10"/>
                <w:szCs w:val="10"/>
              </w:rPr>
            </w:pPr>
            <w:r>
              <w:rPr>
                <w:noProof/>
                <w:sz w:val="10"/>
                <w:szCs w:val="10"/>
              </w:rPr>
              <w:drawing>
                <wp:inline distT="0" distB="0" distL="0" distR="0" wp14:anchorId="1E47020A" wp14:editId="2525F4FA">
                  <wp:extent cx="5453252" cy="1807274"/>
                  <wp:effectExtent l="0" t="0" r="0" b="0"/>
                  <wp:docPr id="58826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00597" name="Picture 2"/>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5453252" cy="1807274"/>
                          </a:xfrm>
                          <a:prstGeom prst="rect">
                            <a:avLst/>
                          </a:prstGeom>
                        </pic:spPr>
                      </pic:pic>
                    </a:graphicData>
                  </a:graphic>
                </wp:inline>
              </w:drawing>
            </w:r>
          </w:p>
          <w:p w14:paraId="7B683663" w14:textId="77777777" w:rsidR="00F54F85" w:rsidRPr="00B80392" w:rsidRDefault="00F54F85" w:rsidP="00C66281">
            <w:pPr>
              <w:spacing w:after="0"/>
              <w:jc w:val="center"/>
              <w:rPr>
                <w:sz w:val="10"/>
                <w:szCs w:val="10"/>
              </w:rPr>
            </w:pPr>
          </w:p>
        </w:tc>
      </w:tr>
      <w:tr w:rsidR="00F54F85" w:rsidRPr="00B80392" w14:paraId="15FA5A7C" w14:textId="77777777" w:rsidTr="00996003">
        <w:tc>
          <w:tcPr>
            <w:tcW w:w="9016" w:type="dxa"/>
            <w:shd w:val="clear" w:color="auto" w:fill="003399"/>
          </w:tcPr>
          <w:p w14:paraId="369890DE" w14:textId="164D671D" w:rsidR="00F54F85" w:rsidRPr="00B80392" w:rsidRDefault="0033764D" w:rsidP="00C66281">
            <w:pPr>
              <w:keepNext/>
              <w:spacing w:after="0"/>
              <w:rPr>
                <w:b/>
                <w:szCs w:val="20"/>
              </w:rPr>
            </w:pPr>
            <w:r w:rsidRPr="00BA7936">
              <w:rPr>
                <w:b/>
                <w:szCs w:val="20"/>
              </w:rPr>
              <w:t xml:space="preserve">Figure </w:t>
            </w:r>
            <w:r w:rsidR="00490085" w:rsidRPr="00BA7936">
              <w:rPr>
                <w:b/>
                <w:szCs w:val="20"/>
              </w:rPr>
              <w:t>A6</w:t>
            </w:r>
            <w:r w:rsidRPr="00BA7936">
              <w:rPr>
                <w:b/>
                <w:szCs w:val="20"/>
              </w:rPr>
              <w:t>-</w:t>
            </w:r>
            <w:r w:rsidRPr="00BA7936">
              <w:rPr>
                <w:b/>
                <w:szCs w:val="20"/>
              </w:rPr>
              <w:fldChar w:fldCharType="begin"/>
            </w:r>
            <w:r w:rsidRPr="00BA7936">
              <w:rPr>
                <w:b/>
                <w:szCs w:val="20"/>
              </w:rPr>
              <w:instrText>SEQ Figure_A5- \* ARABIC</w:instrText>
            </w:r>
            <w:r w:rsidRPr="00BA7936">
              <w:rPr>
                <w:b/>
                <w:szCs w:val="20"/>
              </w:rPr>
              <w:fldChar w:fldCharType="separate"/>
            </w:r>
            <w:r w:rsidRPr="00BA7936">
              <w:rPr>
                <w:b/>
                <w:szCs w:val="20"/>
              </w:rPr>
              <w:t>37</w:t>
            </w:r>
            <w:r w:rsidRPr="00BA7936">
              <w:rPr>
                <w:b/>
                <w:szCs w:val="20"/>
              </w:rPr>
              <w:fldChar w:fldCharType="end"/>
            </w:r>
            <w:r w:rsidRPr="00BA7936">
              <w:rPr>
                <w:b/>
                <w:szCs w:val="20"/>
              </w:rPr>
              <w:t xml:space="preserve">: </w:t>
            </w:r>
            <w:r w:rsidR="00F54F85" w:rsidRPr="00BA7936">
              <w:rPr>
                <w:b/>
                <w:szCs w:val="20"/>
              </w:rPr>
              <w:t>Fifteen-year (2009-2023) change in absolute terms and change as GDP-ratio of the revenues of energy taxes, transport taxes, resource taxes, pollution taxes and total environmental taxes in Hungary</w:t>
            </w:r>
            <w:r w:rsidR="004536E9">
              <w:rPr>
                <w:szCs w:val="20"/>
              </w:rPr>
              <w:t xml:space="preserve">  </w:t>
            </w:r>
          </w:p>
        </w:tc>
      </w:tr>
    </w:tbl>
    <w:p w14:paraId="406E059D" w14:textId="77777777" w:rsidR="00F54F85" w:rsidRDefault="00F54F85" w:rsidP="00F54F85"/>
    <w:p w14:paraId="57DA2536" w14:textId="77777777" w:rsidR="00F54F85" w:rsidRDefault="00F54F85" w:rsidP="007C4EB7">
      <w:pPr>
        <w:pStyle w:val="AnnexHeading2"/>
      </w:pPr>
      <w:bookmarkStart w:id="209" w:name="_Toc214008890"/>
      <w:r>
        <w:lastRenderedPageBreak/>
        <w:t>Pollution and resource taxes</w:t>
      </w:r>
      <w:bookmarkEnd w:id="209"/>
    </w:p>
    <w:p w14:paraId="309C2E3A" w14:textId="17B74E32" w:rsidR="00F54F85" w:rsidRDefault="00F54F85" w:rsidP="00F54F85">
      <w:r>
        <w:t>In 2023, pollution and resource tax revenues reached respectively 161.9 and 12.4 billion euros. In absolute terms, this amounts to an increase of pollution tax revenue by 20.5% and a decrease in resource tax revenue by 26.8% over 15 years (2009-2023). However, in terms of GDP-ratios, pollution taxes decreased by 28.7% while resource taxes decreased by 56.8% (</w:t>
      </w:r>
      <w:r>
        <w:fldChar w:fldCharType="begin"/>
      </w:r>
      <w:r>
        <w:instrText xml:space="preserve"> REF _Ref190950601 \h  \* MERGEFORMAT </w:instrText>
      </w:r>
      <w:r>
        <w:fldChar w:fldCharType="separate"/>
      </w:r>
      <w:r>
        <w:t xml:space="preserve">Figure </w:t>
      </w:r>
      <w:r w:rsidR="0068700D">
        <w:rPr>
          <w:b/>
          <w:noProof/>
          <w:sz w:val="20"/>
          <w:szCs w:val="20"/>
        </w:rPr>
        <w:t>7</w:t>
      </w:r>
      <w:r w:rsidR="0068700D">
        <w:rPr>
          <w:b/>
          <w:noProof/>
          <w:sz w:val="20"/>
          <w:szCs w:val="20"/>
        </w:rPr>
        <w:noBreakHyphen/>
        <w:t>1</w:t>
      </w:r>
      <w:r>
        <w:fldChar w:fldCharType="end"/>
      </w:r>
      <w:r>
        <w:t>). In 2023, pollution and resource tax revenues accounted for — respectively — 4.8% and 0.3% of the total environmental tax revenues.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54F85" w:rsidRPr="00B80392" w14:paraId="31550D18" w14:textId="77777777" w:rsidTr="003B60AD">
        <w:tc>
          <w:tcPr>
            <w:tcW w:w="9016" w:type="dxa"/>
          </w:tcPr>
          <w:p w14:paraId="72A642B4" w14:textId="77777777" w:rsidR="00F54F85" w:rsidRDefault="00F54F85" w:rsidP="00C66281">
            <w:pPr>
              <w:spacing w:after="0"/>
              <w:jc w:val="center"/>
              <w:rPr>
                <w:sz w:val="10"/>
                <w:szCs w:val="10"/>
              </w:rPr>
            </w:pPr>
          </w:p>
          <w:p w14:paraId="6F59F936" w14:textId="77777777" w:rsidR="00F54F85" w:rsidRDefault="00F54F85" w:rsidP="00C66281">
            <w:pPr>
              <w:spacing w:after="0"/>
              <w:jc w:val="center"/>
              <w:rPr>
                <w:sz w:val="10"/>
                <w:szCs w:val="10"/>
              </w:rPr>
            </w:pPr>
            <w:r>
              <w:rPr>
                <w:noProof/>
                <w:sz w:val="10"/>
                <w:szCs w:val="10"/>
              </w:rPr>
              <w:drawing>
                <wp:inline distT="0" distB="0" distL="0" distR="0" wp14:anchorId="3C33EF44" wp14:editId="2F6ED261">
                  <wp:extent cx="5602469" cy="1355614"/>
                  <wp:effectExtent l="0" t="0" r="0" b="3810"/>
                  <wp:docPr id="10487389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64072" name="Picture 4"/>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5648725" cy="1366806"/>
                          </a:xfrm>
                          <a:prstGeom prst="rect">
                            <a:avLst/>
                          </a:prstGeom>
                        </pic:spPr>
                      </pic:pic>
                    </a:graphicData>
                  </a:graphic>
                </wp:inline>
              </w:drawing>
            </w:r>
          </w:p>
          <w:p w14:paraId="69BA7630" w14:textId="77777777" w:rsidR="00F54F85" w:rsidRPr="00B80392" w:rsidRDefault="00F54F85" w:rsidP="00C66281">
            <w:pPr>
              <w:spacing w:after="0"/>
              <w:jc w:val="center"/>
              <w:rPr>
                <w:sz w:val="10"/>
                <w:szCs w:val="10"/>
              </w:rPr>
            </w:pPr>
          </w:p>
        </w:tc>
      </w:tr>
      <w:tr w:rsidR="00F54F85" w:rsidRPr="00B80392" w14:paraId="182BD85C" w14:textId="77777777" w:rsidTr="003B60AD">
        <w:tc>
          <w:tcPr>
            <w:tcW w:w="9016" w:type="dxa"/>
            <w:shd w:val="clear" w:color="auto" w:fill="003399"/>
          </w:tcPr>
          <w:p w14:paraId="26E41CA6" w14:textId="6AF95919" w:rsidR="00F54F85" w:rsidRPr="00B80392" w:rsidRDefault="0033764D" w:rsidP="00C66281">
            <w:pPr>
              <w:keepNext/>
              <w:spacing w:after="0"/>
              <w:rPr>
                <w:b/>
                <w:szCs w:val="20"/>
              </w:rPr>
            </w:pPr>
            <w:r w:rsidRPr="0033764D">
              <w:rPr>
                <w:szCs w:val="20"/>
              </w:rPr>
              <w:t xml:space="preserve">Figure </w:t>
            </w:r>
            <w:r w:rsidR="00490085">
              <w:rPr>
                <w:szCs w:val="20"/>
              </w:rPr>
              <w:t>A6</w:t>
            </w:r>
            <w:r w:rsidRPr="0033764D">
              <w:rPr>
                <w:szCs w:val="20"/>
              </w:rPr>
              <w:t>-</w:t>
            </w:r>
            <w:r w:rsidRPr="0033764D">
              <w:rPr>
                <w:szCs w:val="20"/>
              </w:rPr>
              <w:fldChar w:fldCharType="begin"/>
            </w:r>
            <w:r w:rsidRPr="0033764D">
              <w:rPr>
                <w:szCs w:val="20"/>
              </w:rPr>
              <w:instrText>SEQ Figure_A5- \* ARABIC</w:instrText>
            </w:r>
            <w:r w:rsidRPr="0033764D">
              <w:rPr>
                <w:szCs w:val="20"/>
              </w:rPr>
              <w:fldChar w:fldCharType="separate"/>
            </w:r>
            <w:r>
              <w:rPr>
                <w:noProof/>
                <w:szCs w:val="20"/>
              </w:rPr>
              <w:t>38</w:t>
            </w:r>
            <w:r w:rsidRPr="0033764D">
              <w:rPr>
                <w:szCs w:val="20"/>
              </w:rPr>
              <w:fldChar w:fldCharType="end"/>
            </w:r>
            <w:r>
              <w:rPr>
                <w:szCs w:val="20"/>
              </w:rPr>
              <w:t xml:space="preserve">: </w:t>
            </w:r>
            <w:r w:rsidR="00F54F85">
              <w:rPr>
                <w:szCs w:val="20"/>
              </w:rPr>
              <w:t xml:space="preserve">Resource and pollution tax revenues in Hungary (2009-2023) in million euros. </w:t>
            </w:r>
            <w:r w:rsidR="00F54F85" w:rsidRPr="0069314D">
              <w:rPr>
                <w:i/>
                <w:iCs/>
                <w:szCs w:val="20"/>
              </w:rPr>
              <w:t>Note: the share between pollution and resource taxes in 2023 was estimated as the weighted average of past years</w:t>
            </w:r>
            <w:r w:rsidR="00F54F85" w:rsidRPr="0069314D">
              <w:rPr>
                <w:szCs w:val="20"/>
              </w:rPr>
              <w:t> </w:t>
            </w:r>
          </w:p>
        </w:tc>
      </w:tr>
    </w:tbl>
    <w:p w14:paraId="651802E8" w14:textId="77777777" w:rsidR="00F54F85" w:rsidRDefault="00F54F85" w:rsidP="00F54F85"/>
    <w:p w14:paraId="2FF9FEEB" w14:textId="77777777" w:rsidR="00A00DA3" w:rsidRPr="00A00DA3" w:rsidRDefault="00A00DA3" w:rsidP="00BA7936">
      <w:pPr>
        <w:pStyle w:val="Heading4"/>
      </w:pPr>
      <w:r w:rsidRPr="00A00DA3">
        <w:rPr>
          <w:rFonts w:eastAsia="Times New Roman"/>
        </w:rPr>
        <w:t>List of pollution and resource taxes and revenue shares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F54F85" w:rsidRPr="00717896" w14:paraId="11494A03" w14:textId="77777777" w:rsidTr="00C66281">
        <w:trPr>
          <w:trHeight w:val="147"/>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287AFD04" w14:textId="687EA0A1" w:rsidR="00F54F85" w:rsidRPr="002C320C" w:rsidRDefault="002C320C" w:rsidP="002C320C">
            <w:pPr>
              <w:pStyle w:val="Table"/>
              <w:rPr>
                <w:rFonts w:ascii="Times New Roman" w:eastAsia="Times New Roman" w:hAnsi="Times New Roman" w:cs="Times New Roman"/>
                <w:b/>
                <w:color w:val="FFFFFF" w:themeColor="background1"/>
                <w:sz w:val="24"/>
                <w:lang w:eastAsia="en-GB"/>
              </w:rPr>
            </w:pPr>
            <w:r w:rsidRPr="002C320C">
              <w:rPr>
                <w:b/>
                <w:bCs/>
                <w:color w:val="FFFFFF" w:themeColor="background1"/>
              </w:rPr>
              <w:t xml:space="preserve">Table </w:t>
            </w:r>
            <w:r w:rsidR="00490085">
              <w:rPr>
                <w:b/>
                <w:bCs/>
                <w:color w:val="FFFFFF" w:themeColor="background1"/>
              </w:rPr>
              <w:t>A6</w:t>
            </w:r>
            <w:r w:rsidRPr="002C320C">
              <w:rPr>
                <w:b/>
                <w:bCs/>
                <w:color w:val="FFFFFF" w:themeColor="background1"/>
              </w:rPr>
              <w:t>-</w:t>
            </w:r>
            <w:r w:rsidRPr="002C320C">
              <w:rPr>
                <w:b/>
                <w:bCs/>
                <w:color w:val="FFFFFF" w:themeColor="background1"/>
              </w:rPr>
              <w:fldChar w:fldCharType="begin"/>
            </w:r>
            <w:r w:rsidRPr="002C320C">
              <w:rPr>
                <w:b/>
                <w:bCs/>
                <w:color w:val="FFFFFF" w:themeColor="background1"/>
              </w:rPr>
              <w:instrText xml:space="preserve"> SEQ Table_A5- \* ARABIC </w:instrText>
            </w:r>
            <w:r w:rsidRPr="002C320C">
              <w:rPr>
                <w:b/>
                <w:bCs/>
                <w:color w:val="FFFFFF" w:themeColor="background1"/>
              </w:rPr>
              <w:fldChar w:fldCharType="separate"/>
            </w:r>
            <w:r w:rsidR="0033764D">
              <w:rPr>
                <w:b/>
                <w:bCs/>
                <w:noProof/>
                <w:color w:val="FFFFFF" w:themeColor="background1"/>
              </w:rPr>
              <w:t>68</w:t>
            </w:r>
            <w:r w:rsidRPr="002C320C">
              <w:rPr>
                <w:b/>
                <w:bCs/>
                <w:color w:val="FFFFFF" w:themeColor="background1"/>
              </w:rPr>
              <w:fldChar w:fldCharType="end"/>
            </w:r>
            <w:r w:rsidR="00F54F85" w:rsidRPr="002C320C">
              <w:rPr>
                <w:rFonts w:ascii="Calibri" w:eastAsia="Times New Roman" w:hAnsi="Calibri" w:cs="Calibri"/>
                <w:b/>
                <w:color w:val="FFFFFF" w:themeColor="background1"/>
                <w:lang w:eastAsia="en-GB"/>
              </w:rPr>
              <w:t>:  Waste taxes </w:t>
            </w:r>
          </w:p>
        </w:tc>
      </w:tr>
      <w:tr w:rsidR="00F54F85" w:rsidRPr="00717896" w14:paraId="5E2CB5C0" w14:textId="77777777" w:rsidTr="00C66281">
        <w:trPr>
          <w:trHeight w:val="76"/>
        </w:trPr>
        <w:tc>
          <w:tcPr>
            <w:tcW w:w="3497" w:type="dxa"/>
            <w:tcBorders>
              <w:top w:val="single" w:sz="6" w:space="0" w:color="auto"/>
              <w:left w:val="single" w:sz="6" w:space="0" w:color="auto"/>
              <w:bottom w:val="single" w:sz="6" w:space="0" w:color="auto"/>
              <w:right w:val="single" w:sz="6" w:space="0" w:color="auto"/>
            </w:tcBorders>
            <w:hideMark/>
          </w:tcPr>
          <w:p w14:paraId="43A91A79" w14:textId="77777777" w:rsidR="00F54F85" w:rsidRPr="002C320C" w:rsidRDefault="00F54F85" w:rsidP="002C320C">
            <w:pPr>
              <w:pStyle w:val="Table"/>
              <w:rPr>
                <w:rFonts w:ascii="Times New Roman" w:eastAsia="Times New Roman" w:hAnsi="Times New Roman" w:cs="Times New Roman"/>
                <w:b/>
                <w:sz w:val="24"/>
                <w:lang w:eastAsia="en-GB"/>
              </w:rPr>
            </w:pPr>
            <w:r w:rsidRPr="002C320C">
              <w:rPr>
                <w:rFonts w:ascii="Calibri" w:eastAsia="Times New Roman" w:hAnsi="Calibri" w:cs="Calibri"/>
                <w:b/>
                <w:lang w:eastAsia="en-GB"/>
              </w:rPr>
              <w:t>Tax Name </w:t>
            </w:r>
          </w:p>
        </w:tc>
        <w:tc>
          <w:tcPr>
            <w:tcW w:w="1718" w:type="dxa"/>
            <w:tcBorders>
              <w:top w:val="single" w:sz="6" w:space="0" w:color="auto"/>
              <w:left w:val="single" w:sz="6" w:space="0" w:color="auto"/>
              <w:bottom w:val="single" w:sz="6" w:space="0" w:color="auto"/>
              <w:right w:val="single" w:sz="6" w:space="0" w:color="auto"/>
            </w:tcBorders>
          </w:tcPr>
          <w:p w14:paraId="49697570" w14:textId="77777777" w:rsidR="00F54F85" w:rsidRDefault="00F54F85" w:rsidP="0033764D">
            <w:pPr>
              <w:pStyle w:val="Table"/>
              <w:jc w:val="center"/>
              <w:rPr>
                <w:rFonts w:ascii="Calibri" w:eastAsia="Times New Roman" w:hAnsi="Calibri" w:cs="Calibri"/>
                <w:b/>
                <w:bCs/>
                <w:szCs w:val="20"/>
                <w:lang w:eastAsia="en-GB"/>
              </w:rPr>
            </w:pPr>
            <w:r w:rsidRPr="002C320C">
              <w:rPr>
                <w:rFonts w:ascii="Calibri" w:eastAsia="Times New Roman" w:hAnsi="Calibri" w:cs="Calibri"/>
                <w:b/>
                <w:lang w:eastAsia="en-GB"/>
              </w:rPr>
              <w:t>Revenue (€ million)</w:t>
            </w:r>
          </w:p>
          <w:p w14:paraId="6DCB2F96" w14:textId="77777777" w:rsidR="00F54F85" w:rsidRPr="002C320C" w:rsidRDefault="00F54F85" w:rsidP="0033764D">
            <w:pPr>
              <w:pStyle w:val="Table"/>
              <w:jc w:val="center"/>
              <w:rPr>
                <w:rFonts w:ascii="Calibri" w:eastAsia="Times New Roman" w:hAnsi="Calibri" w:cs="Calibri"/>
                <w:b/>
                <w:lang w:eastAsia="en-GB"/>
              </w:rPr>
            </w:pPr>
            <w:r w:rsidRPr="002C320C">
              <w:rPr>
                <w:rFonts w:ascii="Calibri" w:eastAsia="Times New Roman" w:hAnsi="Calibri" w:cs="Calibri"/>
                <w:b/>
                <w:lang w:eastAsia="en-GB"/>
              </w:rPr>
              <w:t>2009-2023</w:t>
            </w:r>
          </w:p>
        </w:tc>
        <w:tc>
          <w:tcPr>
            <w:tcW w:w="1894" w:type="dxa"/>
            <w:tcBorders>
              <w:top w:val="single" w:sz="6" w:space="0" w:color="auto"/>
              <w:left w:val="single" w:sz="6" w:space="0" w:color="auto"/>
              <w:bottom w:val="single" w:sz="6" w:space="0" w:color="auto"/>
              <w:right w:val="single" w:sz="6" w:space="0" w:color="auto"/>
            </w:tcBorders>
            <w:hideMark/>
          </w:tcPr>
          <w:p w14:paraId="26ED8EE5" w14:textId="77777777" w:rsidR="00F54F85" w:rsidRPr="002C320C" w:rsidRDefault="00F54F85" w:rsidP="0033764D">
            <w:pPr>
              <w:pStyle w:val="Table"/>
              <w:jc w:val="center"/>
              <w:rPr>
                <w:rFonts w:ascii="Times New Roman" w:eastAsia="Times New Roman" w:hAnsi="Times New Roman" w:cs="Times New Roman"/>
                <w:b/>
                <w:sz w:val="24"/>
                <w:lang w:eastAsia="en-GB"/>
              </w:rPr>
            </w:pPr>
            <w:r w:rsidRPr="002C320C">
              <w:rPr>
                <w:rFonts w:ascii="Calibri" w:eastAsia="Times New Roman" w:hAnsi="Calibri" w:cs="Calibri"/>
                <w:b/>
                <w:lang w:eastAsia="en-GB"/>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028FB558" w14:textId="77777777" w:rsidR="00F54F85" w:rsidRPr="002C320C" w:rsidRDefault="00F54F85" w:rsidP="0033764D">
            <w:pPr>
              <w:pStyle w:val="Table"/>
              <w:jc w:val="center"/>
              <w:rPr>
                <w:rFonts w:ascii="Times New Roman" w:eastAsia="Times New Roman" w:hAnsi="Times New Roman" w:cs="Times New Roman"/>
                <w:b/>
                <w:sz w:val="24"/>
                <w:lang w:eastAsia="en-GB"/>
              </w:rPr>
            </w:pPr>
            <w:r w:rsidRPr="002C320C">
              <w:rPr>
                <w:rFonts w:ascii="Calibri" w:eastAsia="Times New Roman" w:hAnsi="Calibri" w:cs="Calibri"/>
                <w:b/>
                <w:lang w:eastAsia="en-GB"/>
              </w:rPr>
              <w:t>As share of all waste tax revenues</w:t>
            </w:r>
          </w:p>
        </w:tc>
      </w:tr>
      <w:tr w:rsidR="00F54F85" w:rsidRPr="00F727D9" w14:paraId="4400E212" w14:textId="77777777" w:rsidTr="00C66281">
        <w:trPr>
          <w:trHeight w:val="49"/>
        </w:trPr>
        <w:tc>
          <w:tcPr>
            <w:tcW w:w="3497" w:type="dxa"/>
            <w:tcBorders>
              <w:top w:val="single" w:sz="6" w:space="0" w:color="auto"/>
              <w:left w:val="single" w:sz="6" w:space="0" w:color="auto"/>
              <w:bottom w:val="single" w:sz="6" w:space="0" w:color="auto"/>
              <w:right w:val="single" w:sz="6" w:space="0" w:color="auto"/>
            </w:tcBorders>
          </w:tcPr>
          <w:p w14:paraId="74457D36" w14:textId="77777777" w:rsidR="00F54F85" w:rsidRPr="00F727D9" w:rsidRDefault="00F54F85" w:rsidP="002C320C">
            <w:pPr>
              <w:pStyle w:val="Table"/>
              <w:rPr>
                <w:rFonts w:eastAsia="Times New Roman" w:cstheme="minorHAnsi"/>
                <w:lang w:eastAsia="en-GB"/>
              </w:rPr>
            </w:pPr>
            <w:r w:rsidRPr="00F727D9">
              <w:rPr>
                <w:rFonts w:eastAsia="Times New Roman" w:cstheme="minorHAnsi"/>
                <w:lang w:eastAsia="en-GB"/>
              </w:rPr>
              <w:t>Waste disposal contribution</w:t>
            </w:r>
          </w:p>
        </w:tc>
        <w:tc>
          <w:tcPr>
            <w:tcW w:w="1718" w:type="dxa"/>
            <w:tcBorders>
              <w:top w:val="single" w:sz="6" w:space="0" w:color="auto"/>
              <w:left w:val="single" w:sz="6" w:space="0" w:color="auto"/>
              <w:bottom w:val="single" w:sz="6" w:space="0" w:color="auto"/>
              <w:right w:val="single" w:sz="6" w:space="0" w:color="auto"/>
            </w:tcBorders>
          </w:tcPr>
          <w:p w14:paraId="28E17821" w14:textId="77777777" w:rsidR="00F54F85" w:rsidRPr="00F727D9" w:rsidRDefault="00F54F85" w:rsidP="0033764D">
            <w:pPr>
              <w:pStyle w:val="Table"/>
              <w:jc w:val="center"/>
              <w:rPr>
                <w:rFonts w:eastAsia="Times New Roman" w:cstheme="minorHAnsi"/>
                <w:lang w:eastAsia="en-GB"/>
              </w:rPr>
            </w:pPr>
            <w:r>
              <w:rPr>
                <w:rFonts w:eastAsia="Times New Roman" w:cstheme="minorHAnsi"/>
                <w:lang w:eastAsia="en-GB"/>
              </w:rPr>
              <w:t>430.8</w:t>
            </w:r>
          </w:p>
        </w:tc>
        <w:tc>
          <w:tcPr>
            <w:tcW w:w="1894" w:type="dxa"/>
            <w:tcBorders>
              <w:top w:val="single" w:sz="6" w:space="0" w:color="auto"/>
              <w:left w:val="single" w:sz="6" w:space="0" w:color="auto"/>
              <w:bottom w:val="single" w:sz="6" w:space="0" w:color="auto"/>
              <w:right w:val="single" w:sz="6" w:space="0" w:color="auto"/>
            </w:tcBorders>
          </w:tcPr>
          <w:p w14:paraId="6CCA5909" w14:textId="77777777" w:rsidR="00F54F85" w:rsidRPr="00F727D9" w:rsidRDefault="00F54F85" w:rsidP="0033764D">
            <w:pPr>
              <w:pStyle w:val="Table"/>
              <w:jc w:val="center"/>
              <w:rPr>
                <w:rFonts w:eastAsia="Times New Roman" w:cstheme="minorHAnsi"/>
                <w:lang w:eastAsia="en-GB"/>
              </w:rPr>
            </w:pPr>
            <w:r>
              <w:rPr>
                <w:rFonts w:eastAsia="Times New Roman" w:cstheme="minorHAnsi"/>
                <w:lang w:eastAsia="en-GB"/>
              </w:rPr>
              <w:t>39.2</w:t>
            </w:r>
          </w:p>
        </w:tc>
        <w:tc>
          <w:tcPr>
            <w:tcW w:w="1901" w:type="dxa"/>
            <w:tcBorders>
              <w:top w:val="single" w:sz="6" w:space="0" w:color="auto"/>
              <w:left w:val="single" w:sz="6" w:space="0" w:color="auto"/>
              <w:bottom w:val="single" w:sz="6" w:space="0" w:color="auto"/>
              <w:right w:val="single" w:sz="6" w:space="0" w:color="auto"/>
            </w:tcBorders>
          </w:tcPr>
          <w:p w14:paraId="29C6A050" w14:textId="77777777" w:rsidR="00F54F85" w:rsidRPr="00F727D9" w:rsidRDefault="00F54F85" w:rsidP="0033764D">
            <w:pPr>
              <w:pStyle w:val="Table"/>
              <w:jc w:val="center"/>
              <w:rPr>
                <w:rFonts w:eastAsia="Times New Roman" w:cstheme="minorHAnsi"/>
                <w:lang w:eastAsia="en-GB"/>
              </w:rPr>
            </w:pPr>
            <w:r>
              <w:rPr>
                <w:rFonts w:eastAsia="Times New Roman" w:cstheme="minorHAnsi"/>
                <w:lang w:eastAsia="en-GB"/>
              </w:rPr>
              <w:t>100%</w:t>
            </w:r>
          </w:p>
        </w:tc>
      </w:tr>
    </w:tbl>
    <w:p w14:paraId="0C2AEF10" w14:textId="60570F78" w:rsidR="00F54F85" w:rsidRPr="00F727D9" w:rsidRDefault="00F54F85" w:rsidP="00F54F85">
      <w:pPr>
        <w:spacing w:after="0"/>
        <w:textAlignment w:val="baseline"/>
        <w:rPr>
          <w:rFonts w:eastAsia="Times New Roman" w:cstheme="minorHAnsi"/>
          <w:sz w:val="20"/>
          <w:szCs w:val="20"/>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F54F85" w:rsidRPr="00F727D9" w14:paraId="2A9C6DD2" w14:textId="77777777" w:rsidTr="00C66281">
        <w:trPr>
          <w:trHeight w:val="49"/>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69C0F5A3" w14:textId="5E52019D" w:rsidR="00F54F85" w:rsidRPr="002C320C" w:rsidRDefault="002C320C" w:rsidP="002C320C">
            <w:pPr>
              <w:pStyle w:val="Table"/>
              <w:rPr>
                <w:rFonts w:eastAsia="Times New Roman"/>
                <w:b/>
                <w:lang w:eastAsia="en-GB"/>
              </w:rPr>
            </w:pPr>
            <w:r w:rsidRPr="002C320C">
              <w:rPr>
                <w:b/>
                <w:bCs/>
                <w:color w:val="FFFFFF" w:themeColor="background1"/>
              </w:rPr>
              <w:t xml:space="preserve">Table </w:t>
            </w:r>
            <w:r w:rsidR="00490085">
              <w:rPr>
                <w:b/>
                <w:bCs/>
                <w:color w:val="FFFFFF" w:themeColor="background1"/>
              </w:rPr>
              <w:t>A6</w:t>
            </w:r>
            <w:r w:rsidRPr="002C320C">
              <w:rPr>
                <w:b/>
                <w:bCs/>
                <w:color w:val="FFFFFF" w:themeColor="background1"/>
              </w:rPr>
              <w:t>-</w:t>
            </w:r>
            <w:r w:rsidRPr="002C320C">
              <w:rPr>
                <w:b/>
                <w:bCs/>
                <w:color w:val="FFFFFF" w:themeColor="background1"/>
              </w:rPr>
              <w:fldChar w:fldCharType="begin"/>
            </w:r>
            <w:r w:rsidRPr="002C320C">
              <w:rPr>
                <w:b/>
                <w:bCs/>
                <w:color w:val="FFFFFF" w:themeColor="background1"/>
              </w:rPr>
              <w:instrText xml:space="preserve"> SEQ Table_A5- \* ARABIC </w:instrText>
            </w:r>
            <w:r w:rsidRPr="002C320C">
              <w:rPr>
                <w:b/>
                <w:bCs/>
                <w:color w:val="FFFFFF" w:themeColor="background1"/>
              </w:rPr>
              <w:fldChar w:fldCharType="separate"/>
            </w:r>
            <w:r w:rsidR="0033764D">
              <w:rPr>
                <w:b/>
                <w:bCs/>
                <w:noProof/>
                <w:color w:val="FFFFFF" w:themeColor="background1"/>
              </w:rPr>
              <w:t>69</w:t>
            </w:r>
            <w:r w:rsidRPr="002C320C">
              <w:rPr>
                <w:b/>
                <w:bCs/>
                <w:color w:val="FFFFFF" w:themeColor="background1"/>
              </w:rPr>
              <w:fldChar w:fldCharType="end"/>
            </w:r>
            <w:r w:rsidR="00F54F85" w:rsidRPr="002C320C">
              <w:rPr>
                <w:rFonts w:eastAsia="Times New Roman"/>
                <w:b/>
                <w:color w:val="FFFFFF" w:themeColor="background1"/>
                <w:lang w:eastAsia="en-GB"/>
              </w:rPr>
              <w:t>:  Resource taxes </w:t>
            </w:r>
          </w:p>
        </w:tc>
      </w:tr>
      <w:tr w:rsidR="00F54F85" w:rsidRPr="00F727D9" w14:paraId="37C1BF76" w14:textId="77777777" w:rsidTr="00C66281">
        <w:trPr>
          <w:trHeight w:val="76"/>
        </w:trPr>
        <w:tc>
          <w:tcPr>
            <w:tcW w:w="3497" w:type="dxa"/>
            <w:tcBorders>
              <w:top w:val="single" w:sz="6" w:space="0" w:color="auto"/>
              <w:left w:val="single" w:sz="6" w:space="0" w:color="auto"/>
              <w:bottom w:val="single" w:sz="6" w:space="0" w:color="auto"/>
              <w:right w:val="single" w:sz="6" w:space="0" w:color="auto"/>
            </w:tcBorders>
            <w:hideMark/>
          </w:tcPr>
          <w:p w14:paraId="4E2DD194" w14:textId="77777777" w:rsidR="00F54F85" w:rsidRPr="002C320C" w:rsidRDefault="00F54F85" w:rsidP="002C320C">
            <w:pPr>
              <w:pStyle w:val="Table"/>
              <w:rPr>
                <w:rFonts w:eastAsia="Times New Roman"/>
                <w:b/>
                <w:lang w:eastAsia="en-GB"/>
              </w:rPr>
            </w:pPr>
            <w:r w:rsidRPr="002C320C">
              <w:rPr>
                <w:rFonts w:eastAsia="Times New Roman"/>
                <w:b/>
                <w:lang w:eastAsia="en-GB"/>
              </w:rPr>
              <w:t>Tax Name </w:t>
            </w:r>
          </w:p>
        </w:tc>
        <w:tc>
          <w:tcPr>
            <w:tcW w:w="1718" w:type="dxa"/>
            <w:tcBorders>
              <w:top w:val="single" w:sz="6" w:space="0" w:color="auto"/>
              <w:left w:val="single" w:sz="6" w:space="0" w:color="auto"/>
              <w:bottom w:val="single" w:sz="6" w:space="0" w:color="auto"/>
              <w:right w:val="single" w:sz="6" w:space="0" w:color="auto"/>
            </w:tcBorders>
          </w:tcPr>
          <w:p w14:paraId="4ECDEEC2" w14:textId="77777777" w:rsidR="00F54F85" w:rsidRPr="00F727D9" w:rsidRDefault="00F54F85" w:rsidP="0033764D">
            <w:pPr>
              <w:pStyle w:val="Table"/>
              <w:jc w:val="center"/>
              <w:rPr>
                <w:rFonts w:eastAsia="Times New Roman" w:cstheme="minorHAnsi"/>
                <w:b/>
                <w:bCs/>
                <w:szCs w:val="20"/>
                <w:lang w:eastAsia="en-GB"/>
              </w:rPr>
            </w:pPr>
            <w:r w:rsidRPr="002C320C">
              <w:rPr>
                <w:rFonts w:eastAsia="Times New Roman"/>
                <w:b/>
                <w:lang w:eastAsia="en-GB"/>
              </w:rPr>
              <w:t>Revenue (€ million)</w:t>
            </w:r>
          </w:p>
          <w:p w14:paraId="4D4D7A11" w14:textId="77777777" w:rsidR="00F54F85" w:rsidRPr="002C320C" w:rsidRDefault="00F54F85" w:rsidP="0033764D">
            <w:pPr>
              <w:pStyle w:val="Table"/>
              <w:jc w:val="center"/>
              <w:rPr>
                <w:rFonts w:eastAsia="Times New Roman"/>
                <w:b/>
                <w:lang w:eastAsia="en-GB"/>
              </w:rPr>
            </w:pPr>
            <w:r w:rsidRPr="002C320C">
              <w:rPr>
                <w:rFonts w:eastAsia="Times New Roman"/>
                <w:b/>
                <w:lang w:eastAsia="en-GB"/>
              </w:rPr>
              <w:t>2009-2023</w:t>
            </w:r>
          </w:p>
        </w:tc>
        <w:tc>
          <w:tcPr>
            <w:tcW w:w="1894" w:type="dxa"/>
            <w:tcBorders>
              <w:top w:val="single" w:sz="6" w:space="0" w:color="auto"/>
              <w:left w:val="single" w:sz="6" w:space="0" w:color="auto"/>
              <w:bottom w:val="single" w:sz="6" w:space="0" w:color="auto"/>
              <w:right w:val="single" w:sz="6" w:space="0" w:color="auto"/>
            </w:tcBorders>
            <w:hideMark/>
          </w:tcPr>
          <w:p w14:paraId="3050C61A" w14:textId="77777777" w:rsidR="00F54F85" w:rsidRPr="002C320C" w:rsidRDefault="00F54F85" w:rsidP="0033764D">
            <w:pPr>
              <w:pStyle w:val="Table"/>
              <w:jc w:val="center"/>
              <w:rPr>
                <w:rFonts w:eastAsia="Times New Roman"/>
                <w:b/>
                <w:lang w:eastAsia="en-GB"/>
              </w:rPr>
            </w:pPr>
            <w:r w:rsidRPr="002C320C">
              <w:rPr>
                <w:rFonts w:eastAsia="Times New Roman"/>
                <w:b/>
                <w:lang w:eastAsia="en-GB"/>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25CCAAD0" w14:textId="77777777" w:rsidR="00F54F85" w:rsidRPr="002C320C" w:rsidRDefault="00F54F85" w:rsidP="0033764D">
            <w:pPr>
              <w:pStyle w:val="Table"/>
              <w:jc w:val="center"/>
              <w:rPr>
                <w:rFonts w:eastAsia="Times New Roman"/>
                <w:b/>
                <w:lang w:eastAsia="en-GB"/>
              </w:rPr>
            </w:pPr>
            <w:r w:rsidRPr="002C320C">
              <w:rPr>
                <w:rFonts w:eastAsia="Times New Roman"/>
                <w:b/>
                <w:lang w:eastAsia="en-GB"/>
              </w:rPr>
              <w:t>As share of all resource tax revenues</w:t>
            </w:r>
          </w:p>
        </w:tc>
      </w:tr>
      <w:tr w:rsidR="00F54F85" w:rsidRPr="00F727D9" w14:paraId="7EDB7F46" w14:textId="77777777" w:rsidTr="00C66281">
        <w:trPr>
          <w:trHeight w:val="49"/>
        </w:trPr>
        <w:tc>
          <w:tcPr>
            <w:tcW w:w="3497" w:type="dxa"/>
            <w:tcBorders>
              <w:top w:val="single" w:sz="6" w:space="0" w:color="auto"/>
              <w:left w:val="single" w:sz="6" w:space="0" w:color="auto"/>
              <w:bottom w:val="single" w:sz="6" w:space="0" w:color="auto"/>
              <w:right w:val="single" w:sz="6" w:space="0" w:color="auto"/>
            </w:tcBorders>
          </w:tcPr>
          <w:p w14:paraId="1EDAD9CD" w14:textId="77777777" w:rsidR="00F54F85" w:rsidRPr="00F727D9" w:rsidRDefault="00F54F85" w:rsidP="002C320C">
            <w:pPr>
              <w:pStyle w:val="Table"/>
              <w:rPr>
                <w:rFonts w:eastAsia="Times New Roman"/>
                <w:lang w:eastAsia="en-GB"/>
              </w:rPr>
            </w:pPr>
            <w:r w:rsidRPr="004A09C7">
              <w:rPr>
                <w:rFonts w:eastAsia="Times New Roman"/>
                <w:lang w:eastAsia="en-GB"/>
              </w:rPr>
              <w:t>Environment protection fees on imported products</w:t>
            </w:r>
          </w:p>
        </w:tc>
        <w:tc>
          <w:tcPr>
            <w:tcW w:w="1718" w:type="dxa"/>
            <w:tcBorders>
              <w:top w:val="single" w:sz="6" w:space="0" w:color="auto"/>
              <w:left w:val="single" w:sz="6" w:space="0" w:color="auto"/>
              <w:bottom w:val="single" w:sz="6" w:space="0" w:color="auto"/>
              <w:right w:val="single" w:sz="6" w:space="0" w:color="auto"/>
            </w:tcBorders>
          </w:tcPr>
          <w:p w14:paraId="4CE24F56" w14:textId="77777777" w:rsidR="00F54F85" w:rsidRPr="00F727D9" w:rsidRDefault="00F54F85" w:rsidP="0033764D">
            <w:pPr>
              <w:pStyle w:val="Table"/>
              <w:jc w:val="center"/>
              <w:rPr>
                <w:rFonts w:eastAsia="Times New Roman"/>
                <w:lang w:eastAsia="en-GB"/>
              </w:rPr>
            </w:pPr>
            <w:r w:rsidRPr="00D23F22">
              <w:rPr>
                <w:rFonts w:eastAsia="Times New Roman"/>
                <w:lang w:eastAsia="en-GB"/>
              </w:rPr>
              <w:t>26.3</w:t>
            </w:r>
          </w:p>
        </w:tc>
        <w:tc>
          <w:tcPr>
            <w:tcW w:w="1894" w:type="dxa"/>
            <w:tcBorders>
              <w:top w:val="single" w:sz="6" w:space="0" w:color="auto"/>
              <w:left w:val="single" w:sz="6" w:space="0" w:color="auto"/>
              <w:bottom w:val="single" w:sz="6" w:space="0" w:color="auto"/>
              <w:right w:val="single" w:sz="6" w:space="0" w:color="auto"/>
            </w:tcBorders>
          </w:tcPr>
          <w:p w14:paraId="210A631F" w14:textId="77777777" w:rsidR="00F54F85" w:rsidRPr="00F727D9" w:rsidRDefault="00F54F85" w:rsidP="0033764D">
            <w:pPr>
              <w:pStyle w:val="Table"/>
              <w:jc w:val="center"/>
              <w:rPr>
                <w:rFonts w:eastAsia="Times New Roman"/>
                <w:lang w:eastAsia="en-GB"/>
              </w:rPr>
            </w:pPr>
            <w:r w:rsidRPr="00D23F22">
              <w:rPr>
                <w:rFonts w:eastAsia="Times New Roman"/>
                <w:lang w:eastAsia="en-GB"/>
              </w:rPr>
              <w:t>6.5</w:t>
            </w:r>
            <w:r>
              <w:rPr>
                <w:rFonts w:eastAsia="Times New Roman"/>
                <w:lang w:eastAsia="en-GB"/>
              </w:rPr>
              <w:t>9</w:t>
            </w:r>
          </w:p>
        </w:tc>
        <w:tc>
          <w:tcPr>
            <w:tcW w:w="1901" w:type="dxa"/>
            <w:tcBorders>
              <w:top w:val="single" w:sz="6" w:space="0" w:color="auto"/>
              <w:left w:val="single" w:sz="6" w:space="0" w:color="auto"/>
              <w:bottom w:val="single" w:sz="6" w:space="0" w:color="auto"/>
              <w:right w:val="single" w:sz="6" w:space="0" w:color="auto"/>
            </w:tcBorders>
          </w:tcPr>
          <w:p w14:paraId="26895DAD" w14:textId="77777777" w:rsidR="00F54F85" w:rsidRPr="00F727D9" w:rsidRDefault="00F54F85" w:rsidP="0033764D">
            <w:pPr>
              <w:pStyle w:val="Table"/>
              <w:jc w:val="center"/>
              <w:rPr>
                <w:rFonts w:eastAsia="Times New Roman"/>
                <w:lang w:eastAsia="en-GB"/>
              </w:rPr>
            </w:pPr>
            <w:r>
              <w:rPr>
                <w:rFonts w:eastAsia="Times New Roman"/>
                <w:lang w:eastAsia="en-GB"/>
              </w:rPr>
              <w:t>3.5%</w:t>
            </w:r>
          </w:p>
        </w:tc>
      </w:tr>
      <w:tr w:rsidR="00F54F85" w:rsidRPr="00F727D9" w14:paraId="79964EA2" w14:textId="77777777" w:rsidTr="00C66281">
        <w:trPr>
          <w:trHeight w:val="49"/>
        </w:trPr>
        <w:tc>
          <w:tcPr>
            <w:tcW w:w="3497" w:type="dxa"/>
            <w:tcBorders>
              <w:top w:val="single" w:sz="6" w:space="0" w:color="auto"/>
              <w:left w:val="single" w:sz="6" w:space="0" w:color="auto"/>
              <w:bottom w:val="single" w:sz="6" w:space="0" w:color="auto"/>
              <w:right w:val="single" w:sz="6" w:space="0" w:color="auto"/>
            </w:tcBorders>
          </w:tcPr>
          <w:p w14:paraId="45AEA0EF" w14:textId="77777777" w:rsidR="00F54F85" w:rsidRPr="00F727D9" w:rsidRDefault="00F54F85" w:rsidP="002C320C">
            <w:pPr>
              <w:pStyle w:val="Table"/>
              <w:rPr>
                <w:rFonts w:eastAsia="Times New Roman"/>
                <w:lang w:eastAsia="en-GB"/>
              </w:rPr>
            </w:pPr>
            <w:r>
              <w:rPr>
                <w:rFonts w:eastAsia="Times New Roman"/>
                <w:lang w:eastAsia="en-GB"/>
              </w:rPr>
              <w:t>E</w:t>
            </w:r>
            <w:r w:rsidRPr="00307FF0">
              <w:rPr>
                <w:rFonts w:eastAsia="Times New Roman"/>
                <w:lang w:eastAsia="en-GB"/>
              </w:rPr>
              <w:t>nvironment protection fees</w:t>
            </w:r>
          </w:p>
        </w:tc>
        <w:tc>
          <w:tcPr>
            <w:tcW w:w="1718" w:type="dxa"/>
            <w:tcBorders>
              <w:top w:val="single" w:sz="6" w:space="0" w:color="auto"/>
              <w:left w:val="single" w:sz="6" w:space="0" w:color="auto"/>
              <w:bottom w:val="single" w:sz="6" w:space="0" w:color="auto"/>
              <w:right w:val="single" w:sz="6" w:space="0" w:color="auto"/>
            </w:tcBorders>
          </w:tcPr>
          <w:p w14:paraId="5760B814" w14:textId="77777777" w:rsidR="00F54F85" w:rsidRPr="00F727D9" w:rsidRDefault="00F54F85" w:rsidP="0033764D">
            <w:pPr>
              <w:pStyle w:val="Table"/>
              <w:jc w:val="center"/>
              <w:rPr>
                <w:rFonts w:eastAsia="Times New Roman"/>
                <w:lang w:eastAsia="en-GB"/>
              </w:rPr>
            </w:pPr>
            <w:r w:rsidRPr="00D23F22">
              <w:rPr>
                <w:rFonts w:eastAsia="Times New Roman"/>
                <w:lang w:eastAsia="en-GB"/>
              </w:rPr>
              <w:t>2</w:t>
            </w:r>
            <w:r>
              <w:rPr>
                <w:rFonts w:eastAsia="Times New Roman"/>
                <w:lang w:eastAsia="en-GB"/>
              </w:rPr>
              <w:t>,</w:t>
            </w:r>
            <w:r w:rsidRPr="00D23F22">
              <w:rPr>
                <w:rFonts w:eastAsia="Times New Roman"/>
                <w:lang w:eastAsia="en-GB"/>
              </w:rPr>
              <w:t>617.7</w:t>
            </w:r>
          </w:p>
        </w:tc>
        <w:tc>
          <w:tcPr>
            <w:tcW w:w="1894" w:type="dxa"/>
            <w:tcBorders>
              <w:top w:val="single" w:sz="6" w:space="0" w:color="auto"/>
              <w:left w:val="single" w:sz="6" w:space="0" w:color="auto"/>
              <w:bottom w:val="single" w:sz="6" w:space="0" w:color="auto"/>
              <w:right w:val="single" w:sz="6" w:space="0" w:color="auto"/>
            </w:tcBorders>
          </w:tcPr>
          <w:p w14:paraId="3482CD81" w14:textId="77777777" w:rsidR="00F54F85" w:rsidRPr="00F727D9" w:rsidRDefault="00F54F85" w:rsidP="0033764D">
            <w:pPr>
              <w:pStyle w:val="Table"/>
              <w:jc w:val="center"/>
              <w:rPr>
                <w:rFonts w:eastAsia="Times New Roman"/>
                <w:lang w:eastAsia="en-GB"/>
              </w:rPr>
            </w:pPr>
            <w:r w:rsidRPr="00520416">
              <w:rPr>
                <w:rFonts w:eastAsia="Times New Roman"/>
                <w:lang w:eastAsia="en-GB"/>
              </w:rPr>
              <w:t>174.51</w:t>
            </w:r>
          </w:p>
        </w:tc>
        <w:tc>
          <w:tcPr>
            <w:tcW w:w="1901" w:type="dxa"/>
            <w:tcBorders>
              <w:top w:val="single" w:sz="6" w:space="0" w:color="auto"/>
              <w:left w:val="single" w:sz="6" w:space="0" w:color="auto"/>
              <w:bottom w:val="single" w:sz="6" w:space="0" w:color="auto"/>
              <w:right w:val="single" w:sz="6" w:space="0" w:color="auto"/>
            </w:tcBorders>
          </w:tcPr>
          <w:p w14:paraId="19129978" w14:textId="77777777" w:rsidR="00F54F85" w:rsidRPr="00F727D9" w:rsidRDefault="00F54F85" w:rsidP="0033764D">
            <w:pPr>
              <w:pStyle w:val="Table"/>
              <w:jc w:val="center"/>
              <w:rPr>
                <w:rFonts w:eastAsia="Times New Roman"/>
                <w:lang w:eastAsia="en-GB"/>
              </w:rPr>
            </w:pPr>
            <w:r>
              <w:rPr>
                <w:rFonts w:eastAsia="Times New Roman"/>
                <w:lang w:eastAsia="en-GB"/>
              </w:rPr>
              <w:t>88.8%</w:t>
            </w:r>
          </w:p>
        </w:tc>
      </w:tr>
      <w:tr w:rsidR="00F54F85" w:rsidRPr="00F727D9" w14:paraId="01515BAF" w14:textId="77777777" w:rsidTr="00C66281">
        <w:trPr>
          <w:trHeight w:val="49"/>
        </w:trPr>
        <w:tc>
          <w:tcPr>
            <w:tcW w:w="3497" w:type="dxa"/>
            <w:tcBorders>
              <w:top w:val="single" w:sz="6" w:space="0" w:color="auto"/>
              <w:left w:val="single" w:sz="6" w:space="0" w:color="auto"/>
              <w:bottom w:val="single" w:sz="6" w:space="0" w:color="auto"/>
              <w:right w:val="single" w:sz="6" w:space="0" w:color="auto"/>
            </w:tcBorders>
          </w:tcPr>
          <w:p w14:paraId="165385FB" w14:textId="77777777" w:rsidR="00F54F85" w:rsidRPr="00F727D9" w:rsidRDefault="00F54F85" w:rsidP="002C320C">
            <w:pPr>
              <w:pStyle w:val="Table"/>
              <w:rPr>
                <w:rFonts w:eastAsia="Calibri"/>
              </w:rPr>
            </w:pPr>
            <w:r w:rsidRPr="00307FF0">
              <w:rPr>
                <w:rFonts w:eastAsia="Calibri"/>
              </w:rPr>
              <w:t>Forestry fund tax</w:t>
            </w:r>
          </w:p>
        </w:tc>
        <w:tc>
          <w:tcPr>
            <w:tcW w:w="1718" w:type="dxa"/>
            <w:tcBorders>
              <w:top w:val="single" w:sz="6" w:space="0" w:color="auto"/>
              <w:left w:val="single" w:sz="6" w:space="0" w:color="auto"/>
              <w:bottom w:val="single" w:sz="6" w:space="0" w:color="auto"/>
              <w:right w:val="single" w:sz="6" w:space="0" w:color="auto"/>
            </w:tcBorders>
          </w:tcPr>
          <w:p w14:paraId="1D479BAB" w14:textId="77777777" w:rsidR="00F54F85" w:rsidRPr="00F727D9" w:rsidRDefault="00F54F85" w:rsidP="0033764D">
            <w:pPr>
              <w:pStyle w:val="Table"/>
              <w:jc w:val="center"/>
              <w:rPr>
                <w:rFonts w:eastAsia="Times New Roman"/>
                <w:lang w:eastAsia="en-GB"/>
              </w:rPr>
            </w:pPr>
            <w:r w:rsidRPr="00520416">
              <w:rPr>
                <w:rFonts w:eastAsia="Times New Roman"/>
                <w:lang w:eastAsia="en-GB"/>
              </w:rPr>
              <w:t>3.6</w:t>
            </w:r>
          </w:p>
        </w:tc>
        <w:tc>
          <w:tcPr>
            <w:tcW w:w="1894" w:type="dxa"/>
            <w:tcBorders>
              <w:top w:val="single" w:sz="6" w:space="0" w:color="auto"/>
              <w:left w:val="single" w:sz="6" w:space="0" w:color="auto"/>
              <w:bottom w:val="single" w:sz="6" w:space="0" w:color="auto"/>
              <w:right w:val="single" w:sz="6" w:space="0" w:color="auto"/>
            </w:tcBorders>
          </w:tcPr>
          <w:p w14:paraId="5F2BAC69" w14:textId="77777777" w:rsidR="00F54F85" w:rsidRPr="00F727D9" w:rsidRDefault="00F54F85" w:rsidP="0033764D">
            <w:pPr>
              <w:pStyle w:val="Table"/>
              <w:jc w:val="center"/>
              <w:rPr>
                <w:rFonts w:eastAsia="Times New Roman"/>
                <w:lang w:eastAsia="en-GB"/>
              </w:rPr>
            </w:pPr>
            <w:r w:rsidRPr="00520416">
              <w:rPr>
                <w:rFonts w:eastAsia="Times New Roman"/>
                <w:lang w:eastAsia="en-GB"/>
              </w:rPr>
              <w:t>0.</w:t>
            </w:r>
            <w:r>
              <w:rPr>
                <w:rFonts w:eastAsia="Times New Roman"/>
                <w:lang w:eastAsia="en-GB"/>
              </w:rPr>
              <w:t>60</w:t>
            </w:r>
          </w:p>
        </w:tc>
        <w:tc>
          <w:tcPr>
            <w:tcW w:w="1901" w:type="dxa"/>
            <w:tcBorders>
              <w:top w:val="single" w:sz="6" w:space="0" w:color="auto"/>
              <w:left w:val="single" w:sz="6" w:space="0" w:color="auto"/>
              <w:bottom w:val="single" w:sz="6" w:space="0" w:color="auto"/>
              <w:right w:val="single" w:sz="6" w:space="0" w:color="auto"/>
            </w:tcBorders>
          </w:tcPr>
          <w:p w14:paraId="29822850" w14:textId="77777777" w:rsidR="00F54F85" w:rsidRPr="00F727D9" w:rsidRDefault="00F54F85" w:rsidP="0033764D">
            <w:pPr>
              <w:pStyle w:val="Table"/>
              <w:jc w:val="center"/>
              <w:rPr>
                <w:rFonts w:eastAsia="Times New Roman"/>
                <w:lang w:eastAsia="en-GB"/>
              </w:rPr>
            </w:pPr>
            <w:r>
              <w:rPr>
                <w:rFonts w:eastAsia="Times New Roman"/>
                <w:lang w:eastAsia="en-GB"/>
              </w:rPr>
              <w:t>0.3%</w:t>
            </w:r>
          </w:p>
        </w:tc>
      </w:tr>
      <w:tr w:rsidR="00F54F85" w:rsidRPr="00F727D9" w14:paraId="75712608" w14:textId="77777777" w:rsidTr="00C66281">
        <w:trPr>
          <w:trHeight w:val="49"/>
        </w:trPr>
        <w:tc>
          <w:tcPr>
            <w:tcW w:w="3497" w:type="dxa"/>
            <w:tcBorders>
              <w:top w:val="single" w:sz="6" w:space="0" w:color="auto"/>
              <w:left w:val="single" w:sz="6" w:space="0" w:color="auto"/>
              <w:bottom w:val="single" w:sz="6" w:space="0" w:color="auto"/>
              <w:right w:val="single" w:sz="6" w:space="0" w:color="auto"/>
            </w:tcBorders>
          </w:tcPr>
          <w:p w14:paraId="2936FB27" w14:textId="77777777" w:rsidR="00F54F85" w:rsidRPr="00F727D9" w:rsidRDefault="00F54F85" w:rsidP="002C320C">
            <w:pPr>
              <w:pStyle w:val="Table"/>
              <w:rPr>
                <w:rFonts w:eastAsia="Calibri"/>
              </w:rPr>
            </w:pPr>
            <w:r w:rsidRPr="00307FF0">
              <w:rPr>
                <w:rFonts w:eastAsia="Calibri"/>
              </w:rPr>
              <w:t>Fishing development contribution</w:t>
            </w:r>
          </w:p>
        </w:tc>
        <w:tc>
          <w:tcPr>
            <w:tcW w:w="1718" w:type="dxa"/>
            <w:tcBorders>
              <w:top w:val="single" w:sz="6" w:space="0" w:color="auto"/>
              <w:left w:val="single" w:sz="6" w:space="0" w:color="auto"/>
              <w:bottom w:val="single" w:sz="6" w:space="0" w:color="auto"/>
              <w:right w:val="single" w:sz="6" w:space="0" w:color="auto"/>
            </w:tcBorders>
          </w:tcPr>
          <w:p w14:paraId="3D4DD1F3" w14:textId="77777777" w:rsidR="00F54F85" w:rsidRPr="00F727D9" w:rsidRDefault="00F54F85" w:rsidP="0033764D">
            <w:pPr>
              <w:pStyle w:val="Table"/>
              <w:jc w:val="center"/>
              <w:rPr>
                <w:rFonts w:eastAsia="Times New Roman"/>
                <w:lang w:eastAsia="en-GB"/>
              </w:rPr>
            </w:pPr>
            <w:r>
              <w:rPr>
                <w:rFonts w:eastAsia="Times New Roman"/>
                <w:lang w:eastAsia="en-GB"/>
              </w:rPr>
              <w:t>N/A</w:t>
            </w:r>
          </w:p>
        </w:tc>
        <w:tc>
          <w:tcPr>
            <w:tcW w:w="1894" w:type="dxa"/>
            <w:tcBorders>
              <w:top w:val="single" w:sz="6" w:space="0" w:color="auto"/>
              <w:left w:val="single" w:sz="6" w:space="0" w:color="auto"/>
              <w:bottom w:val="single" w:sz="6" w:space="0" w:color="auto"/>
              <w:right w:val="single" w:sz="6" w:space="0" w:color="auto"/>
            </w:tcBorders>
          </w:tcPr>
          <w:p w14:paraId="6D7C20E4" w14:textId="77777777" w:rsidR="00F54F85" w:rsidRPr="00F727D9" w:rsidRDefault="00F54F85" w:rsidP="0033764D">
            <w:pPr>
              <w:pStyle w:val="Table"/>
              <w:jc w:val="center"/>
              <w:rPr>
                <w:rFonts w:eastAsia="Times New Roman"/>
                <w:lang w:eastAsia="en-GB"/>
              </w:rPr>
            </w:pPr>
            <w:r>
              <w:rPr>
                <w:rFonts w:eastAsia="Times New Roman"/>
                <w:lang w:eastAsia="en-GB"/>
              </w:rPr>
              <w:t>N/A</w:t>
            </w:r>
          </w:p>
        </w:tc>
        <w:tc>
          <w:tcPr>
            <w:tcW w:w="1901" w:type="dxa"/>
            <w:tcBorders>
              <w:top w:val="single" w:sz="6" w:space="0" w:color="auto"/>
              <w:left w:val="single" w:sz="6" w:space="0" w:color="auto"/>
              <w:bottom w:val="single" w:sz="6" w:space="0" w:color="auto"/>
              <w:right w:val="single" w:sz="6" w:space="0" w:color="auto"/>
            </w:tcBorders>
          </w:tcPr>
          <w:p w14:paraId="4E06C99B" w14:textId="77777777" w:rsidR="00F54F85" w:rsidRPr="00F727D9" w:rsidRDefault="00F54F85" w:rsidP="0033764D">
            <w:pPr>
              <w:pStyle w:val="Table"/>
              <w:jc w:val="center"/>
              <w:rPr>
                <w:rFonts w:eastAsia="Times New Roman"/>
                <w:lang w:eastAsia="en-GB"/>
              </w:rPr>
            </w:pPr>
            <w:r>
              <w:rPr>
                <w:rFonts w:eastAsia="Times New Roman"/>
                <w:lang w:eastAsia="en-GB"/>
              </w:rPr>
              <w:t>N/A</w:t>
            </w:r>
          </w:p>
        </w:tc>
      </w:tr>
      <w:tr w:rsidR="00F54F85" w:rsidRPr="00F727D9" w14:paraId="08111919" w14:textId="77777777" w:rsidTr="00C66281">
        <w:trPr>
          <w:trHeight w:val="49"/>
        </w:trPr>
        <w:tc>
          <w:tcPr>
            <w:tcW w:w="3497" w:type="dxa"/>
            <w:tcBorders>
              <w:top w:val="single" w:sz="6" w:space="0" w:color="auto"/>
              <w:left w:val="single" w:sz="6" w:space="0" w:color="auto"/>
              <w:bottom w:val="single" w:sz="6" w:space="0" w:color="auto"/>
              <w:right w:val="single" w:sz="6" w:space="0" w:color="auto"/>
            </w:tcBorders>
          </w:tcPr>
          <w:p w14:paraId="10CD023C" w14:textId="77777777" w:rsidR="00F54F85" w:rsidRPr="00307FF0" w:rsidRDefault="00F54F85" w:rsidP="002C320C">
            <w:pPr>
              <w:pStyle w:val="Table"/>
              <w:rPr>
                <w:rFonts w:eastAsia="Calibri"/>
              </w:rPr>
            </w:pPr>
            <w:r w:rsidRPr="008701BA">
              <w:rPr>
                <w:rFonts w:eastAsia="Calibri"/>
              </w:rPr>
              <w:t>Tax for protection of wild animals</w:t>
            </w:r>
          </w:p>
        </w:tc>
        <w:tc>
          <w:tcPr>
            <w:tcW w:w="1718" w:type="dxa"/>
            <w:tcBorders>
              <w:top w:val="single" w:sz="6" w:space="0" w:color="auto"/>
              <w:left w:val="single" w:sz="6" w:space="0" w:color="auto"/>
              <w:bottom w:val="single" w:sz="6" w:space="0" w:color="auto"/>
              <w:right w:val="single" w:sz="6" w:space="0" w:color="auto"/>
            </w:tcBorders>
          </w:tcPr>
          <w:p w14:paraId="23DB7EE8" w14:textId="77777777" w:rsidR="00F54F85" w:rsidRPr="00F727D9" w:rsidRDefault="00F54F85" w:rsidP="0033764D">
            <w:pPr>
              <w:pStyle w:val="Table"/>
              <w:jc w:val="center"/>
              <w:rPr>
                <w:rFonts w:eastAsia="Times New Roman"/>
                <w:lang w:eastAsia="en-GB"/>
              </w:rPr>
            </w:pPr>
            <w:r>
              <w:rPr>
                <w:rFonts w:eastAsia="Times New Roman"/>
                <w:lang w:eastAsia="en-GB"/>
              </w:rPr>
              <w:t>N/A</w:t>
            </w:r>
          </w:p>
        </w:tc>
        <w:tc>
          <w:tcPr>
            <w:tcW w:w="1894" w:type="dxa"/>
            <w:tcBorders>
              <w:top w:val="single" w:sz="6" w:space="0" w:color="auto"/>
              <w:left w:val="single" w:sz="6" w:space="0" w:color="auto"/>
              <w:bottom w:val="single" w:sz="6" w:space="0" w:color="auto"/>
              <w:right w:val="single" w:sz="6" w:space="0" w:color="auto"/>
            </w:tcBorders>
          </w:tcPr>
          <w:p w14:paraId="36A04C38" w14:textId="77777777" w:rsidR="00F54F85" w:rsidRPr="00F727D9" w:rsidRDefault="00F54F85" w:rsidP="0033764D">
            <w:pPr>
              <w:pStyle w:val="Table"/>
              <w:jc w:val="center"/>
              <w:rPr>
                <w:rFonts w:eastAsia="Times New Roman"/>
                <w:lang w:eastAsia="en-GB"/>
              </w:rPr>
            </w:pPr>
            <w:r>
              <w:rPr>
                <w:rFonts w:eastAsia="Times New Roman"/>
                <w:lang w:eastAsia="en-GB"/>
              </w:rPr>
              <w:t>N/A</w:t>
            </w:r>
          </w:p>
        </w:tc>
        <w:tc>
          <w:tcPr>
            <w:tcW w:w="1901" w:type="dxa"/>
            <w:tcBorders>
              <w:top w:val="single" w:sz="6" w:space="0" w:color="auto"/>
              <w:left w:val="single" w:sz="6" w:space="0" w:color="auto"/>
              <w:bottom w:val="single" w:sz="6" w:space="0" w:color="auto"/>
              <w:right w:val="single" w:sz="6" w:space="0" w:color="auto"/>
            </w:tcBorders>
          </w:tcPr>
          <w:p w14:paraId="3E98D430" w14:textId="77777777" w:rsidR="00F54F85" w:rsidRPr="00F727D9" w:rsidRDefault="00F54F85" w:rsidP="0033764D">
            <w:pPr>
              <w:pStyle w:val="Table"/>
              <w:jc w:val="center"/>
              <w:rPr>
                <w:rFonts w:eastAsia="Times New Roman"/>
                <w:lang w:eastAsia="en-GB"/>
              </w:rPr>
            </w:pPr>
            <w:r>
              <w:rPr>
                <w:rFonts w:eastAsia="Times New Roman"/>
                <w:lang w:eastAsia="en-GB"/>
              </w:rPr>
              <w:t>N/A</w:t>
            </w:r>
          </w:p>
        </w:tc>
      </w:tr>
      <w:tr w:rsidR="00F54F85" w:rsidRPr="00F727D9" w14:paraId="51F85A6C" w14:textId="77777777" w:rsidTr="00C66281">
        <w:trPr>
          <w:trHeight w:val="49"/>
        </w:trPr>
        <w:tc>
          <w:tcPr>
            <w:tcW w:w="3497" w:type="dxa"/>
            <w:tcBorders>
              <w:top w:val="single" w:sz="6" w:space="0" w:color="auto"/>
              <w:left w:val="single" w:sz="6" w:space="0" w:color="auto"/>
              <w:bottom w:val="single" w:sz="6" w:space="0" w:color="auto"/>
              <w:right w:val="single" w:sz="6" w:space="0" w:color="auto"/>
            </w:tcBorders>
          </w:tcPr>
          <w:p w14:paraId="12FC7787" w14:textId="77777777" w:rsidR="00F54F85" w:rsidRPr="008701BA" w:rsidRDefault="00F54F85" w:rsidP="002C320C">
            <w:pPr>
              <w:pStyle w:val="Table"/>
              <w:rPr>
                <w:rFonts w:eastAsia="Calibri"/>
              </w:rPr>
            </w:pPr>
            <w:r w:rsidRPr="008701BA">
              <w:rPr>
                <w:rFonts w:eastAsia="Calibri"/>
              </w:rPr>
              <w:t>Land protection contribution</w:t>
            </w:r>
          </w:p>
        </w:tc>
        <w:tc>
          <w:tcPr>
            <w:tcW w:w="1718" w:type="dxa"/>
            <w:tcBorders>
              <w:top w:val="single" w:sz="6" w:space="0" w:color="auto"/>
              <w:left w:val="single" w:sz="6" w:space="0" w:color="auto"/>
              <w:bottom w:val="single" w:sz="6" w:space="0" w:color="auto"/>
              <w:right w:val="single" w:sz="6" w:space="0" w:color="auto"/>
            </w:tcBorders>
          </w:tcPr>
          <w:p w14:paraId="7A82264B" w14:textId="77777777" w:rsidR="00F54F85" w:rsidRPr="00F727D9" w:rsidRDefault="00F54F85" w:rsidP="0033764D">
            <w:pPr>
              <w:pStyle w:val="Table"/>
              <w:jc w:val="center"/>
              <w:rPr>
                <w:rFonts w:eastAsia="Times New Roman"/>
                <w:lang w:eastAsia="en-GB"/>
              </w:rPr>
            </w:pPr>
            <w:r w:rsidRPr="00BD42FE">
              <w:rPr>
                <w:rFonts w:eastAsia="Times New Roman"/>
                <w:lang w:eastAsia="en-GB"/>
              </w:rPr>
              <w:t>223.8</w:t>
            </w:r>
          </w:p>
        </w:tc>
        <w:tc>
          <w:tcPr>
            <w:tcW w:w="1894" w:type="dxa"/>
            <w:tcBorders>
              <w:top w:val="single" w:sz="6" w:space="0" w:color="auto"/>
              <w:left w:val="single" w:sz="6" w:space="0" w:color="auto"/>
              <w:bottom w:val="single" w:sz="6" w:space="0" w:color="auto"/>
              <w:right w:val="single" w:sz="6" w:space="0" w:color="auto"/>
            </w:tcBorders>
          </w:tcPr>
          <w:p w14:paraId="6E040A8C" w14:textId="77777777" w:rsidR="00F54F85" w:rsidRPr="00F727D9" w:rsidRDefault="00F54F85" w:rsidP="0033764D">
            <w:pPr>
              <w:pStyle w:val="Table"/>
              <w:jc w:val="center"/>
              <w:rPr>
                <w:rFonts w:eastAsia="Times New Roman"/>
                <w:lang w:eastAsia="en-GB"/>
              </w:rPr>
            </w:pPr>
            <w:r w:rsidRPr="000F725C">
              <w:rPr>
                <w:rFonts w:eastAsia="Times New Roman"/>
                <w:lang w:eastAsia="en-GB"/>
              </w:rPr>
              <w:t>14.9</w:t>
            </w:r>
            <w:r>
              <w:rPr>
                <w:rFonts w:eastAsia="Times New Roman"/>
                <w:lang w:eastAsia="en-GB"/>
              </w:rPr>
              <w:t>2</w:t>
            </w:r>
          </w:p>
        </w:tc>
        <w:tc>
          <w:tcPr>
            <w:tcW w:w="1901" w:type="dxa"/>
            <w:tcBorders>
              <w:top w:val="single" w:sz="6" w:space="0" w:color="auto"/>
              <w:left w:val="single" w:sz="6" w:space="0" w:color="auto"/>
              <w:bottom w:val="single" w:sz="6" w:space="0" w:color="auto"/>
              <w:right w:val="single" w:sz="6" w:space="0" w:color="auto"/>
            </w:tcBorders>
          </w:tcPr>
          <w:p w14:paraId="2C158E14" w14:textId="77777777" w:rsidR="00F54F85" w:rsidRPr="00F727D9" w:rsidRDefault="00F54F85" w:rsidP="0033764D">
            <w:pPr>
              <w:pStyle w:val="Table"/>
              <w:jc w:val="center"/>
              <w:rPr>
                <w:rFonts w:eastAsia="Times New Roman"/>
                <w:lang w:eastAsia="en-GB"/>
              </w:rPr>
            </w:pPr>
            <w:r>
              <w:rPr>
                <w:rFonts w:eastAsia="Times New Roman"/>
                <w:lang w:eastAsia="en-GB"/>
              </w:rPr>
              <w:t>7.6%</w:t>
            </w:r>
          </w:p>
        </w:tc>
      </w:tr>
    </w:tbl>
    <w:p w14:paraId="3FB1D42D" w14:textId="77777777" w:rsidR="00F54F85" w:rsidRDefault="00F54F85" w:rsidP="00F54F85">
      <w:pPr>
        <w:spacing w:after="0"/>
        <w:textAlignment w:val="baseline"/>
        <w:rPr>
          <w:rFonts w:eastAsia="Times New Roman" w:cstheme="minorHAnsi"/>
          <w:sz w:val="20"/>
          <w:szCs w:val="20"/>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F54F85" w:rsidRPr="00F727D9" w14:paraId="4FCF072A" w14:textId="77777777" w:rsidTr="00C66281">
        <w:trPr>
          <w:trHeight w:val="49"/>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24258E41" w14:textId="3917E5C4" w:rsidR="00F54F85" w:rsidRPr="00F23CBA" w:rsidRDefault="00F23CBA" w:rsidP="00F23CBA">
            <w:pPr>
              <w:pStyle w:val="Table"/>
              <w:rPr>
                <w:rFonts w:eastAsia="Times New Roman"/>
                <w:b/>
                <w:color w:val="FFFFFF" w:themeColor="background1"/>
                <w:lang w:eastAsia="en-GB"/>
              </w:rPr>
            </w:pPr>
            <w:r w:rsidRPr="00F23CBA">
              <w:rPr>
                <w:b/>
                <w:bCs/>
                <w:color w:val="FFFFFF" w:themeColor="background1"/>
              </w:rPr>
              <w:t xml:space="preserve">Table </w:t>
            </w:r>
            <w:r w:rsidR="00490085">
              <w:rPr>
                <w:b/>
                <w:bCs/>
                <w:color w:val="FFFFFF" w:themeColor="background1"/>
              </w:rPr>
              <w:t>A6</w:t>
            </w:r>
            <w:r w:rsidRPr="00F23CBA">
              <w:rPr>
                <w:b/>
                <w:bCs/>
                <w:color w:val="FFFFFF" w:themeColor="background1"/>
              </w:rPr>
              <w:t>-</w:t>
            </w:r>
            <w:r w:rsidRPr="00F23CBA">
              <w:rPr>
                <w:b/>
                <w:bCs/>
                <w:color w:val="FFFFFF" w:themeColor="background1"/>
              </w:rPr>
              <w:fldChar w:fldCharType="begin"/>
            </w:r>
            <w:r w:rsidRPr="00F23CBA">
              <w:rPr>
                <w:b/>
                <w:bCs/>
                <w:color w:val="FFFFFF" w:themeColor="background1"/>
              </w:rPr>
              <w:instrText xml:space="preserve"> SEQ Table_A5- \* ARABIC </w:instrText>
            </w:r>
            <w:r w:rsidRPr="00F23CBA">
              <w:rPr>
                <w:b/>
                <w:bCs/>
                <w:color w:val="FFFFFF" w:themeColor="background1"/>
              </w:rPr>
              <w:fldChar w:fldCharType="separate"/>
            </w:r>
            <w:r w:rsidR="0033764D">
              <w:rPr>
                <w:b/>
                <w:bCs/>
                <w:noProof/>
                <w:color w:val="FFFFFF" w:themeColor="background1"/>
              </w:rPr>
              <w:t>70</w:t>
            </w:r>
            <w:r w:rsidRPr="00F23CBA">
              <w:rPr>
                <w:b/>
                <w:bCs/>
                <w:color w:val="FFFFFF" w:themeColor="background1"/>
              </w:rPr>
              <w:fldChar w:fldCharType="end"/>
            </w:r>
            <w:r w:rsidR="00F54F85" w:rsidRPr="00F23CBA">
              <w:rPr>
                <w:rFonts w:eastAsia="Times New Roman"/>
                <w:b/>
                <w:color w:val="FFFFFF" w:themeColor="background1"/>
                <w:lang w:eastAsia="en-GB"/>
              </w:rPr>
              <w:t>:  Pollution taxes </w:t>
            </w:r>
          </w:p>
        </w:tc>
      </w:tr>
      <w:tr w:rsidR="00F54F85" w:rsidRPr="00F727D9" w14:paraId="2E47A1F2" w14:textId="77777777" w:rsidTr="00C66281">
        <w:trPr>
          <w:trHeight w:val="76"/>
        </w:trPr>
        <w:tc>
          <w:tcPr>
            <w:tcW w:w="3497" w:type="dxa"/>
            <w:tcBorders>
              <w:top w:val="single" w:sz="6" w:space="0" w:color="auto"/>
              <w:left w:val="single" w:sz="6" w:space="0" w:color="auto"/>
              <w:bottom w:val="single" w:sz="6" w:space="0" w:color="auto"/>
              <w:right w:val="single" w:sz="6" w:space="0" w:color="auto"/>
            </w:tcBorders>
            <w:hideMark/>
          </w:tcPr>
          <w:p w14:paraId="5452AEE6" w14:textId="77777777" w:rsidR="00F54F85" w:rsidRPr="00F23CBA" w:rsidRDefault="00F54F85" w:rsidP="00F23CBA">
            <w:pPr>
              <w:pStyle w:val="Table"/>
              <w:rPr>
                <w:rFonts w:eastAsia="Times New Roman"/>
                <w:b/>
                <w:lang w:eastAsia="en-GB"/>
              </w:rPr>
            </w:pPr>
            <w:r w:rsidRPr="00F23CBA">
              <w:rPr>
                <w:rFonts w:eastAsia="Times New Roman"/>
                <w:b/>
                <w:lang w:eastAsia="en-GB"/>
              </w:rPr>
              <w:t>Tax Name </w:t>
            </w:r>
          </w:p>
        </w:tc>
        <w:tc>
          <w:tcPr>
            <w:tcW w:w="1718" w:type="dxa"/>
            <w:tcBorders>
              <w:top w:val="single" w:sz="6" w:space="0" w:color="auto"/>
              <w:left w:val="single" w:sz="6" w:space="0" w:color="auto"/>
              <w:bottom w:val="single" w:sz="6" w:space="0" w:color="auto"/>
              <w:right w:val="single" w:sz="6" w:space="0" w:color="auto"/>
            </w:tcBorders>
          </w:tcPr>
          <w:p w14:paraId="030C82D4" w14:textId="77777777" w:rsidR="00F54F85" w:rsidRPr="00F727D9" w:rsidRDefault="00F54F85" w:rsidP="0033764D">
            <w:pPr>
              <w:pStyle w:val="Table"/>
              <w:jc w:val="center"/>
              <w:rPr>
                <w:rFonts w:eastAsia="Times New Roman" w:cstheme="minorHAnsi"/>
                <w:b/>
                <w:bCs/>
                <w:szCs w:val="20"/>
                <w:lang w:eastAsia="en-GB"/>
              </w:rPr>
            </w:pPr>
            <w:r w:rsidRPr="00F23CBA">
              <w:rPr>
                <w:rFonts w:eastAsia="Times New Roman"/>
                <w:b/>
                <w:lang w:eastAsia="en-GB"/>
              </w:rPr>
              <w:t>Revenue (€ million)</w:t>
            </w:r>
          </w:p>
          <w:p w14:paraId="1203A741" w14:textId="77777777" w:rsidR="00F54F85" w:rsidRPr="00F23CBA" w:rsidRDefault="00F54F85" w:rsidP="0033764D">
            <w:pPr>
              <w:pStyle w:val="Table"/>
              <w:jc w:val="center"/>
              <w:rPr>
                <w:rFonts w:eastAsia="Times New Roman"/>
                <w:b/>
                <w:lang w:eastAsia="en-GB"/>
              </w:rPr>
            </w:pPr>
            <w:r w:rsidRPr="00F23CBA">
              <w:rPr>
                <w:rFonts w:eastAsia="Times New Roman"/>
                <w:b/>
                <w:lang w:eastAsia="en-GB"/>
              </w:rPr>
              <w:t>2009-2023</w:t>
            </w:r>
          </w:p>
        </w:tc>
        <w:tc>
          <w:tcPr>
            <w:tcW w:w="1894" w:type="dxa"/>
            <w:tcBorders>
              <w:top w:val="single" w:sz="6" w:space="0" w:color="auto"/>
              <w:left w:val="single" w:sz="6" w:space="0" w:color="auto"/>
              <w:bottom w:val="single" w:sz="6" w:space="0" w:color="auto"/>
              <w:right w:val="single" w:sz="6" w:space="0" w:color="auto"/>
            </w:tcBorders>
            <w:hideMark/>
          </w:tcPr>
          <w:p w14:paraId="313430D9" w14:textId="77777777" w:rsidR="00F54F85" w:rsidRPr="00F23CBA" w:rsidRDefault="00F54F85" w:rsidP="0033764D">
            <w:pPr>
              <w:pStyle w:val="Table"/>
              <w:jc w:val="center"/>
              <w:rPr>
                <w:rFonts w:eastAsia="Times New Roman"/>
                <w:b/>
                <w:lang w:eastAsia="en-GB"/>
              </w:rPr>
            </w:pPr>
            <w:r w:rsidRPr="00F23CBA">
              <w:rPr>
                <w:rFonts w:eastAsia="Times New Roman"/>
                <w:b/>
                <w:lang w:eastAsia="en-GB"/>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3A42C335" w14:textId="77777777" w:rsidR="00F54F85" w:rsidRPr="00F23CBA" w:rsidRDefault="00F54F85" w:rsidP="0033764D">
            <w:pPr>
              <w:pStyle w:val="Table"/>
              <w:jc w:val="center"/>
              <w:rPr>
                <w:rFonts w:eastAsia="Times New Roman"/>
                <w:b/>
                <w:lang w:eastAsia="en-GB"/>
              </w:rPr>
            </w:pPr>
            <w:r w:rsidRPr="00F23CBA">
              <w:rPr>
                <w:rFonts w:eastAsia="Times New Roman"/>
                <w:b/>
                <w:lang w:eastAsia="en-GB"/>
              </w:rPr>
              <w:t>As share of all pollution tax revenues</w:t>
            </w:r>
          </w:p>
        </w:tc>
      </w:tr>
      <w:tr w:rsidR="00F54F85" w:rsidRPr="00F727D9" w14:paraId="043A1F6A" w14:textId="77777777" w:rsidTr="00C66281">
        <w:trPr>
          <w:trHeight w:val="49"/>
        </w:trPr>
        <w:tc>
          <w:tcPr>
            <w:tcW w:w="3497" w:type="dxa"/>
            <w:tcBorders>
              <w:top w:val="single" w:sz="6" w:space="0" w:color="auto"/>
              <w:left w:val="single" w:sz="6" w:space="0" w:color="auto"/>
              <w:bottom w:val="single" w:sz="6" w:space="0" w:color="auto"/>
              <w:right w:val="single" w:sz="6" w:space="0" w:color="auto"/>
            </w:tcBorders>
          </w:tcPr>
          <w:p w14:paraId="0D1C84A7" w14:textId="77777777" w:rsidR="00F54F85" w:rsidRPr="00F727D9" w:rsidRDefault="00F54F85" w:rsidP="00F23CBA">
            <w:pPr>
              <w:pStyle w:val="Table"/>
              <w:rPr>
                <w:rFonts w:eastAsia="Times New Roman"/>
                <w:lang w:eastAsia="en-GB"/>
              </w:rPr>
            </w:pPr>
            <w:r>
              <w:rPr>
                <w:rFonts w:eastAsia="Times New Roman"/>
                <w:lang w:eastAsia="en-GB"/>
              </w:rPr>
              <w:t>Environmental pollution tax</w:t>
            </w:r>
          </w:p>
        </w:tc>
        <w:tc>
          <w:tcPr>
            <w:tcW w:w="1718" w:type="dxa"/>
            <w:tcBorders>
              <w:top w:val="single" w:sz="6" w:space="0" w:color="auto"/>
              <w:left w:val="single" w:sz="6" w:space="0" w:color="auto"/>
              <w:bottom w:val="single" w:sz="6" w:space="0" w:color="auto"/>
              <w:right w:val="single" w:sz="6" w:space="0" w:color="auto"/>
            </w:tcBorders>
          </w:tcPr>
          <w:p w14:paraId="1A19B5F0" w14:textId="77777777" w:rsidR="00F54F85" w:rsidRPr="00F727D9" w:rsidRDefault="00F54F85" w:rsidP="0033764D">
            <w:pPr>
              <w:pStyle w:val="Table"/>
              <w:jc w:val="center"/>
              <w:rPr>
                <w:rFonts w:eastAsia="Times New Roman"/>
                <w:lang w:eastAsia="en-GB"/>
              </w:rPr>
            </w:pPr>
            <w:r w:rsidRPr="005013C5">
              <w:rPr>
                <w:rFonts w:eastAsia="Times New Roman"/>
                <w:lang w:eastAsia="en-GB"/>
              </w:rPr>
              <w:t>296.2</w:t>
            </w:r>
          </w:p>
        </w:tc>
        <w:tc>
          <w:tcPr>
            <w:tcW w:w="1894" w:type="dxa"/>
            <w:tcBorders>
              <w:top w:val="single" w:sz="6" w:space="0" w:color="auto"/>
              <w:left w:val="single" w:sz="6" w:space="0" w:color="auto"/>
              <w:bottom w:val="single" w:sz="6" w:space="0" w:color="auto"/>
              <w:right w:val="single" w:sz="6" w:space="0" w:color="auto"/>
            </w:tcBorders>
          </w:tcPr>
          <w:p w14:paraId="676585A9" w14:textId="77777777" w:rsidR="00F54F85" w:rsidRPr="00F727D9" w:rsidRDefault="00F54F85" w:rsidP="0033764D">
            <w:pPr>
              <w:pStyle w:val="Table"/>
              <w:jc w:val="center"/>
              <w:rPr>
                <w:rFonts w:eastAsia="Times New Roman"/>
                <w:lang w:eastAsia="en-GB"/>
              </w:rPr>
            </w:pPr>
            <w:r w:rsidRPr="005013C5">
              <w:rPr>
                <w:rFonts w:eastAsia="Times New Roman"/>
                <w:lang w:eastAsia="en-GB"/>
              </w:rPr>
              <w:t>19.7</w:t>
            </w:r>
            <w:r>
              <w:rPr>
                <w:rFonts w:eastAsia="Times New Roman"/>
                <w:lang w:eastAsia="en-GB"/>
              </w:rPr>
              <w:t>5</w:t>
            </w:r>
          </w:p>
        </w:tc>
        <w:tc>
          <w:tcPr>
            <w:tcW w:w="1901" w:type="dxa"/>
            <w:tcBorders>
              <w:top w:val="single" w:sz="6" w:space="0" w:color="auto"/>
              <w:left w:val="single" w:sz="6" w:space="0" w:color="auto"/>
              <w:bottom w:val="single" w:sz="6" w:space="0" w:color="auto"/>
              <w:right w:val="single" w:sz="6" w:space="0" w:color="auto"/>
            </w:tcBorders>
          </w:tcPr>
          <w:p w14:paraId="3CC59D8E" w14:textId="77777777" w:rsidR="00F54F85" w:rsidRPr="00F727D9" w:rsidRDefault="00F54F85" w:rsidP="0033764D">
            <w:pPr>
              <w:pStyle w:val="Table"/>
              <w:jc w:val="center"/>
              <w:rPr>
                <w:rFonts w:eastAsia="Times New Roman"/>
                <w:lang w:eastAsia="en-GB"/>
              </w:rPr>
            </w:pPr>
            <w:r>
              <w:rPr>
                <w:rFonts w:eastAsia="Times New Roman"/>
                <w:lang w:eastAsia="en-GB"/>
              </w:rPr>
              <w:t>91.4%</w:t>
            </w:r>
          </w:p>
        </w:tc>
      </w:tr>
      <w:tr w:rsidR="00F54F85" w:rsidRPr="00F727D9" w14:paraId="6EBADCAA" w14:textId="77777777" w:rsidTr="00C66281">
        <w:trPr>
          <w:trHeight w:val="49"/>
        </w:trPr>
        <w:tc>
          <w:tcPr>
            <w:tcW w:w="3497" w:type="dxa"/>
            <w:tcBorders>
              <w:top w:val="single" w:sz="6" w:space="0" w:color="auto"/>
              <w:left w:val="single" w:sz="6" w:space="0" w:color="auto"/>
              <w:bottom w:val="single" w:sz="6" w:space="0" w:color="auto"/>
              <w:right w:val="single" w:sz="6" w:space="0" w:color="auto"/>
            </w:tcBorders>
          </w:tcPr>
          <w:p w14:paraId="44D3DC48" w14:textId="77777777" w:rsidR="00F54F85" w:rsidRPr="00F727D9" w:rsidRDefault="00F54F85" w:rsidP="00F23CBA">
            <w:pPr>
              <w:pStyle w:val="Table"/>
              <w:rPr>
                <w:rFonts w:eastAsia="Calibri"/>
              </w:rPr>
            </w:pPr>
            <w:r>
              <w:rPr>
                <w:rFonts w:eastAsia="Calibri"/>
              </w:rPr>
              <w:t>Environmental pollution tax</w:t>
            </w:r>
          </w:p>
        </w:tc>
        <w:tc>
          <w:tcPr>
            <w:tcW w:w="1718" w:type="dxa"/>
            <w:tcBorders>
              <w:top w:val="single" w:sz="6" w:space="0" w:color="auto"/>
              <w:left w:val="single" w:sz="6" w:space="0" w:color="auto"/>
              <w:bottom w:val="single" w:sz="6" w:space="0" w:color="auto"/>
              <w:right w:val="single" w:sz="6" w:space="0" w:color="auto"/>
            </w:tcBorders>
          </w:tcPr>
          <w:p w14:paraId="0EB68788" w14:textId="77777777" w:rsidR="00F54F85" w:rsidRPr="00F727D9" w:rsidRDefault="00F54F85" w:rsidP="0033764D">
            <w:pPr>
              <w:pStyle w:val="Table"/>
              <w:jc w:val="center"/>
              <w:rPr>
                <w:rFonts w:eastAsia="Times New Roman"/>
                <w:lang w:eastAsia="en-GB"/>
              </w:rPr>
            </w:pPr>
            <w:r>
              <w:rPr>
                <w:rFonts w:eastAsia="Times New Roman"/>
                <w:lang w:eastAsia="en-GB"/>
              </w:rPr>
              <w:t>28.0</w:t>
            </w:r>
          </w:p>
        </w:tc>
        <w:tc>
          <w:tcPr>
            <w:tcW w:w="1894" w:type="dxa"/>
            <w:tcBorders>
              <w:top w:val="single" w:sz="6" w:space="0" w:color="auto"/>
              <w:left w:val="single" w:sz="6" w:space="0" w:color="auto"/>
              <w:bottom w:val="single" w:sz="6" w:space="0" w:color="auto"/>
              <w:right w:val="single" w:sz="6" w:space="0" w:color="auto"/>
            </w:tcBorders>
          </w:tcPr>
          <w:p w14:paraId="0B7A29ED" w14:textId="77777777" w:rsidR="00F54F85" w:rsidRPr="00F727D9" w:rsidRDefault="00F54F85" w:rsidP="0033764D">
            <w:pPr>
              <w:pStyle w:val="Table"/>
              <w:jc w:val="center"/>
              <w:rPr>
                <w:rFonts w:eastAsia="Times New Roman"/>
                <w:lang w:eastAsia="en-GB"/>
              </w:rPr>
            </w:pPr>
            <w:r>
              <w:rPr>
                <w:rFonts w:eastAsia="Times New Roman"/>
                <w:lang w:eastAsia="en-GB"/>
              </w:rPr>
              <w:t>1.87</w:t>
            </w:r>
          </w:p>
        </w:tc>
        <w:tc>
          <w:tcPr>
            <w:tcW w:w="1901" w:type="dxa"/>
            <w:tcBorders>
              <w:top w:val="single" w:sz="6" w:space="0" w:color="auto"/>
              <w:left w:val="single" w:sz="6" w:space="0" w:color="auto"/>
              <w:bottom w:val="single" w:sz="6" w:space="0" w:color="auto"/>
              <w:right w:val="single" w:sz="6" w:space="0" w:color="auto"/>
            </w:tcBorders>
          </w:tcPr>
          <w:p w14:paraId="68A72171" w14:textId="77777777" w:rsidR="00F54F85" w:rsidRPr="00F727D9" w:rsidRDefault="00F54F85" w:rsidP="0033764D">
            <w:pPr>
              <w:pStyle w:val="Table"/>
              <w:jc w:val="center"/>
              <w:rPr>
                <w:rFonts w:eastAsia="Times New Roman"/>
                <w:lang w:eastAsia="en-GB"/>
              </w:rPr>
            </w:pPr>
            <w:r>
              <w:rPr>
                <w:rFonts w:eastAsia="Times New Roman"/>
                <w:lang w:eastAsia="en-GB"/>
              </w:rPr>
              <w:t>8.6%</w:t>
            </w:r>
          </w:p>
        </w:tc>
      </w:tr>
    </w:tbl>
    <w:p w14:paraId="11B06630" w14:textId="77777777" w:rsidR="00F54F85" w:rsidRPr="00F727D9" w:rsidRDefault="00F54F85" w:rsidP="00F54F85">
      <w:pPr>
        <w:spacing w:after="0"/>
        <w:textAlignment w:val="baseline"/>
        <w:rPr>
          <w:rFonts w:eastAsia="Times New Roman" w:cstheme="minorHAnsi"/>
          <w:sz w:val="20"/>
          <w:szCs w:val="20"/>
          <w:lang w:eastAsia="en-G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933"/>
      </w:tblGrid>
      <w:tr w:rsidR="00F54F85" w:rsidRPr="00F727D9" w14:paraId="1FF876B2" w14:textId="77777777" w:rsidTr="00245941">
        <w:trPr>
          <w:tblHeader/>
        </w:trPr>
        <w:tc>
          <w:tcPr>
            <w:tcW w:w="9016" w:type="dxa"/>
            <w:gridSpan w:val="2"/>
            <w:shd w:val="clear" w:color="auto" w:fill="003399"/>
          </w:tcPr>
          <w:p w14:paraId="374CFFA7" w14:textId="11C8ACFF" w:rsidR="00F54F85" w:rsidRPr="00F23CBA" w:rsidRDefault="00F54F85" w:rsidP="00F23CBA">
            <w:pPr>
              <w:pStyle w:val="Table"/>
              <w:rPr>
                <w:rFonts w:eastAsia="Times New Roman"/>
                <w:b/>
                <w:color w:val="FFFFFF" w:themeColor="background1"/>
                <w:lang w:eastAsia="en-GB"/>
              </w:rPr>
            </w:pPr>
            <w:r w:rsidRPr="00F23CBA">
              <w:rPr>
                <w:b/>
                <w:color w:val="FFFFFF" w:themeColor="background1"/>
              </w:rPr>
              <w:t xml:space="preserve">Table </w:t>
            </w:r>
            <w:r w:rsidR="00490085">
              <w:rPr>
                <w:b/>
                <w:bCs/>
                <w:color w:val="FFFFFF" w:themeColor="background1"/>
              </w:rPr>
              <w:t>A6</w:t>
            </w:r>
            <w:r w:rsidR="00F23CBA" w:rsidRPr="00F23CBA">
              <w:rPr>
                <w:b/>
                <w:bCs/>
                <w:color w:val="FFFFFF" w:themeColor="background1"/>
              </w:rPr>
              <w:t>-</w:t>
            </w:r>
            <w:r w:rsidR="00F23CBA" w:rsidRPr="00F23CBA">
              <w:rPr>
                <w:b/>
                <w:bCs/>
                <w:color w:val="FFFFFF" w:themeColor="background1"/>
              </w:rPr>
              <w:fldChar w:fldCharType="begin"/>
            </w:r>
            <w:r w:rsidR="00F23CBA" w:rsidRPr="00F23CBA">
              <w:rPr>
                <w:b/>
                <w:bCs/>
                <w:color w:val="FFFFFF" w:themeColor="background1"/>
              </w:rPr>
              <w:instrText xml:space="preserve"> SEQ Table_A5- \* ARABIC </w:instrText>
            </w:r>
            <w:r w:rsidR="00F23CBA" w:rsidRPr="00F23CBA">
              <w:rPr>
                <w:b/>
                <w:bCs/>
                <w:color w:val="FFFFFF" w:themeColor="background1"/>
              </w:rPr>
              <w:fldChar w:fldCharType="separate"/>
            </w:r>
            <w:r w:rsidR="0033764D">
              <w:rPr>
                <w:b/>
                <w:bCs/>
                <w:noProof/>
                <w:color w:val="FFFFFF" w:themeColor="background1"/>
              </w:rPr>
              <w:t>71</w:t>
            </w:r>
            <w:r w:rsidR="00F23CBA" w:rsidRPr="00F23CBA">
              <w:rPr>
                <w:b/>
                <w:bCs/>
                <w:color w:val="FFFFFF" w:themeColor="background1"/>
              </w:rPr>
              <w:fldChar w:fldCharType="end"/>
            </w:r>
            <w:r w:rsidRPr="00F23CBA">
              <w:rPr>
                <w:rFonts w:eastAsia="Times New Roman"/>
                <w:b/>
                <w:color w:val="FFFFFF" w:themeColor="background1"/>
                <w:lang w:eastAsia="en-GB"/>
              </w:rPr>
              <w:t>: Other environmental taxes not reported in the National Tax Lists</w:t>
            </w:r>
          </w:p>
        </w:tc>
      </w:tr>
      <w:tr w:rsidR="00F54F85" w:rsidRPr="00F727D9" w14:paraId="64F1CA77" w14:textId="77777777" w:rsidTr="00245941">
        <w:trPr>
          <w:tblHeader/>
        </w:trPr>
        <w:tc>
          <w:tcPr>
            <w:tcW w:w="7083" w:type="dxa"/>
          </w:tcPr>
          <w:p w14:paraId="19EE5A04" w14:textId="77777777" w:rsidR="00F54F85" w:rsidRDefault="00F54F85" w:rsidP="00F23CBA">
            <w:pPr>
              <w:pStyle w:val="Table"/>
              <w:rPr>
                <w:rFonts w:eastAsia="Times New Roman"/>
                <w:lang w:eastAsia="en-GB"/>
              </w:rPr>
            </w:pPr>
            <w:r w:rsidRPr="00F727D9">
              <w:rPr>
                <w:rFonts w:eastAsia="Times New Roman"/>
                <w:b/>
                <w:lang w:eastAsia="en-GB"/>
              </w:rPr>
              <w:t>Tax Name</w:t>
            </w:r>
            <w:r w:rsidRPr="00F727D9">
              <w:rPr>
                <w:rFonts w:eastAsia="Times New Roman"/>
                <w:lang w:eastAsia="en-GB"/>
              </w:rPr>
              <w:t> </w:t>
            </w:r>
          </w:p>
        </w:tc>
        <w:tc>
          <w:tcPr>
            <w:tcW w:w="1933" w:type="dxa"/>
          </w:tcPr>
          <w:p w14:paraId="68000CA3" w14:textId="77777777" w:rsidR="00F54F85" w:rsidRPr="00112C0A" w:rsidRDefault="00F54F85" w:rsidP="0033764D">
            <w:pPr>
              <w:pStyle w:val="Table"/>
              <w:jc w:val="center"/>
              <w:rPr>
                <w:rFonts w:eastAsia="Times New Roman"/>
                <w:lang w:eastAsia="en-GB"/>
              </w:rPr>
            </w:pPr>
            <w:r w:rsidRPr="0DB99A64">
              <w:rPr>
                <w:rFonts w:eastAsia="Times New Roman"/>
                <w:b/>
                <w:lang w:eastAsia="en-GB"/>
              </w:rPr>
              <w:t>Latest revenue (€ million)</w:t>
            </w:r>
            <w:r w:rsidRPr="0DB99A64">
              <w:rPr>
                <w:rStyle w:val="FootnoteReference"/>
                <w:rFonts w:eastAsia="Times New Roman"/>
                <w:b/>
                <w:szCs w:val="20"/>
                <w:lang w:eastAsia="en-GB"/>
              </w:rPr>
              <w:footnoteReference w:id="423"/>
            </w:r>
          </w:p>
        </w:tc>
      </w:tr>
      <w:tr w:rsidR="00F54F85" w:rsidRPr="00F727D9" w14:paraId="699F2587" w14:textId="77777777" w:rsidTr="003B60AD">
        <w:tc>
          <w:tcPr>
            <w:tcW w:w="7083" w:type="dxa"/>
          </w:tcPr>
          <w:p w14:paraId="2AF11DBC" w14:textId="77777777" w:rsidR="00F54F85" w:rsidRPr="00F727D9" w:rsidRDefault="00F54F85" w:rsidP="00F23CBA">
            <w:pPr>
              <w:pStyle w:val="Table"/>
              <w:rPr>
                <w:rFonts w:eastAsia="Times New Roman"/>
                <w:lang w:eastAsia="en-GB"/>
              </w:rPr>
            </w:pPr>
            <w:r>
              <w:rPr>
                <w:rFonts w:eastAsia="Times New Roman"/>
                <w:lang w:eastAsia="en-GB"/>
              </w:rPr>
              <w:t>Taxes on polluting products</w:t>
            </w:r>
          </w:p>
        </w:tc>
        <w:tc>
          <w:tcPr>
            <w:tcW w:w="1933" w:type="dxa"/>
          </w:tcPr>
          <w:p w14:paraId="7F0E7B5A" w14:textId="77777777" w:rsidR="00F54F85" w:rsidRPr="00112C0A" w:rsidRDefault="00F54F85" w:rsidP="0033764D">
            <w:pPr>
              <w:pStyle w:val="Table"/>
              <w:jc w:val="center"/>
              <w:rPr>
                <w:rFonts w:eastAsia="Times New Roman"/>
                <w:lang w:eastAsia="en-GB"/>
              </w:rPr>
            </w:pPr>
            <w:r w:rsidRPr="00112C0A">
              <w:rPr>
                <w:rFonts w:eastAsia="Times New Roman"/>
                <w:lang w:eastAsia="en-GB"/>
              </w:rPr>
              <w:t>111.2 (2023)</w:t>
            </w:r>
          </w:p>
        </w:tc>
      </w:tr>
      <w:tr w:rsidR="00F54F85" w:rsidRPr="00F727D9" w14:paraId="1ED025DC" w14:textId="77777777" w:rsidTr="003B60AD">
        <w:tc>
          <w:tcPr>
            <w:tcW w:w="7083" w:type="dxa"/>
          </w:tcPr>
          <w:p w14:paraId="196F9339" w14:textId="77777777" w:rsidR="00F54F85" w:rsidRPr="00F727D9" w:rsidRDefault="00F54F85" w:rsidP="00F23CBA">
            <w:pPr>
              <w:pStyle w:val="Table"/>
              <w:rPr>
                <w:rFonts w:eastAsia="Calibri"/>
              </w:rPr>
            </w:pPr>
            <w:r w:rsidRPr="629A1E0B">
              <w:rPr>
                <w:rFonts w:ascii="Calibri" w:eastAsia="Calibri" w:hAnsi="Calibri" w:cs="Calibri"/>
                <w:lang w:val="en-US"/>
              </w:rPr>
              <w:t>Load charges (air, water, soil)</w:t>
            </w:r>
          </w:p>
        </w:tc>
        <w:tc>
          <w:tcPr>
            <w:tcW w:w="1933" w:type="dxa"/>
          </w:tcPr>
          <w:p w14:paraId="686FA9C0" w14:textId="77777777" w:rsidR="00F54F85" w:rsidRPr="00112C0A" w:rsidRDefault="00F54F85" w:rsidP="0033764D">
            <w:pPr>
              <w:pStyle w:val="Table"/>
              <w:jc w:val="center"/>
              <w:rPr>
                <w:rFonts w:eastAsia="Times New Roman"/>
                <w:lang w:eastAsia="en-GB"/>
              </w:rPr>
            </w:pPr>
            <w:r w:rsidRPr="00112C0A">
              <w:rPr>
                <w:rFonts w:eastAsia="Times New Roman"/>
                <w:lang w:eastAsia="en-GB"/>
              </w:rPr>
              <w:t>11.7 (2023)</w:t>
            </w:r>
          </w:p>
        </w:tc>
      </w:tr>
      <w:tr w:rsidR="00F54F85" w:rsidRPr="00F727D9" w14:paraId="08A36495" w14:textId="77777777" w:rsidTr="003B60AD">
        <w:tc>
          <w:tcPr>
            <w:tcW w:w="7083" w:type="dxa"/>
          </w:tcPr>
          <w:p w14:paraId="32492D1C" w14:textId="77777777" w:rsidR="00F54F85" w:rsidRPr="00F727D9" w:rsidRDefault="00F54F85" w:rsidP="00F23CBA">
            <w:pPr>
              <w:pStyle w:val="Table"/>
              <w:rPr>
                <w:rFonts w:eastAsia="Calibri"/>
              </w:rPr>
            </w:pPr>
            <w:r>
              <w:rPr>
                <w:rFonts w:eastAsia="Calibri"/>
              </w:rPr>
              <w:lastRenderedPageBreak/>
              <w:t>Mining/resources tax</w:t>
            </w:r>
          </w:p>
        </w:tc>
        <w:tc>
          <w:tcPr>
            <w:tcW w:w="1933" w:type="dxa"/>
          </w:tcPr>
          <w:p w14:paraId="3C5449E3" w14:textId="77777777" w:rsidR="00F54F85" w:rsidRPr="00112C0A" w:rsidRDefault="00F54F85" w:rsidP="0033764D">
            <w:pPr>
              <w:pStyle w:val="Table"/>
              <w:jc w:val="center"/>
              <w:rPr>
                <w:rFonts w:eastAsia="Times New Roman"/>
                <w:lang w:eastAsia="en-GB"/>
              </w:rPr>
            </w:pPr>
            <w:r>
              <w:rPr>
                <w:rFonts w:eastAsia="Times New Roman"/>
                <w:lang w:eastAsia="en-GB"/>
              </w:rPr>
              <w:t>297.98 (2024)</w:t>
            </w:r>
          </w:p>
        </w:tc>
      </w:tr>
      <w:tr w:rsidR="00F54F85" w:rsidRPr="00F727D9" w14:paraId="604E6F92" w14:textId="77777777" w:rsidTr="003B60AD">
        <w:tc>
          <w:tcPr>
            <w:tcW w:w="7083" w:type="dxa"/>
          </w:tcPr>
          <w:p w14:paraId="7F5656CE" w14:textId="77777777" w:rsidR="00F54F85" w:rsidRPr="00F727D9" w:rsidRDefault="00F54F85" w:rsidP="00F23CBA">
            <w:pPr>
              <w:pStyle w:val="Table"/>
              <w:rPr>
                <w:rFonts w:eastAsia="Calibri"/>
              </w:rPr>
            </w:pPr>
            <w:r w:rsidRPr="00733284">
              <w:rPr>
                <w:rFonts w:eastAsia="Calibri"/>
              </w:rPr>
              <w:t>Charge on municipal waste collection and treatment</w:t>
            </w:r>
          </w:p>
        </w:tc>
        <w:tc>
          <w:tcPr>
            <w:tcW w:w="1933" w:type="dxa"/>
          </w:tcPr>
          <w:p w14:paraId="2E4D2342" w14:textId="77777777" w:rsidR="00F54F85" w:rsidRPr="00112C0A" w:rsidRDefault="00F54F85" w:rsidP="0033764D">
            <w:pPr>
              <w:pStyle w:val="Table"/>
              <w:jc w:val="center"/>
              <w:rPr>
                <w:rFonts w:eastAsia="Times New Roman"/>
                <w:lang w:eastAsia="en-GB"/>
              </w:rPr>
            </w:pPr>
          </w:p>
        </w:tc>
      </w:tr>
      <w:tr w:rsidR="00F54F85" w:rsidRPr="00F727D9" w14:paraId="305DDD7D" w14:textId="77777777" w:rsidTr="003B60AD">
        <w:tc>
          <w:tcPr>
            <w:tcW w:w="7083" w:type="dxa"/>
          </w:tcPr>
          <w:p w14:paraId="3C1B10A7" w14:textId="77777777" w:rsidR="00F54F85" w:rsidRPr="00F727D9" w:rsidRDefault="00F54F85" w:rsidP="00F23CBA">
            <w:pPr>
              <w:pStyle w:val="Table"/>
              <w:rPr>
                <w:rFonts w:eastAsia="Calibri"/>
              </w:rPr>
            </w:pPr>
            <w:r w:rsidRPr="629A1E0B">
              <w:rPr>
                <w:rFonts w:ascii="Calibri" w:eastAsia="Calibri" w:hAnsi="Calibri" w:cs="Calibri"/>
                <w:lang w:val="en-US"/>
              </w:rPr>
              <w:t>Wastewater user charges</w:t>
            </w:r>
          </w:p>
        </w:tc>
        <w:tc>
          <w:tcPr>
            <w:tcW w:w="1933" w:type="dxa"/>
          </w:tcPr>
          <w:p w14:paraId="755A9D9F" w14:textId="77777777" w:rsidR="00F54F85" w:rsidRPr="00112C0A" w:rsidRDefault="00F54F85" w:rsidP="0033764D">
            <w:pPr>
              <w:pStyle w:val="Table"/>
              <w:jc w:val="center"/>
              <w:rPr>
                <w:rFonts w:eastAsia="Times New Roman"/>
                <w:lang w:eastAsia="en-GB"/>
              </w:rPr>
            </w:pPr>
          </w:p>
        </w:tc>
      </w:tr>
      <w:tr w:rsidR="00F54F85" w:rsidRPr="00F727D9" w14:paraId="674EB5D7" w14:textId="77777777" w:rsidTr="003B60AD">
        <w:tc>
          <w:tcPr>
            <w:tcW w:w="7083" w:type="dxa"/>
          </w:tcPr>
          <w:p w14:paraId="1C06E080" w14:textId="77777777" w:rsidR="00F54F85" w:rsidRPr="00F727D9" w:rsidRDefault="00F54F85" w:rsidP="00F23CBA">
            <w:pPr>
              <w:pStyle w:val="Table"/>
              <w:rPr>
                <w:rFonts w:eastAsia="Calibri"/>
              </w:rPr>
            </w:pPr>
            <w:r w:rsidRPr="00A357A2">
              <w:rPr>
                <w:rFonts w:eastAsia="Calibri"/>
              </w:rPr>
              <w:t>Charge on water abstraction, Water resource levy</w:t>
            </w:r>
          </w:p>
        </w:tc>
        <w:tc>
          <w:tcPr>
            <w:tcW w:w="1933" w:type="dxa"/>
          </w:tcPr>
          <w:p w14:paraId="4EDF4B0B" w14:textId="77777777" w:rsidR="00F54F85" w:rsidRPr="00112C0A" w:rsidRDefault="00F54F85" w:rsidP="0033764D">
            <w:pPr>
              <w:pStyle w:val="Table"/>
              <w:jc w:val="center"/>
              <w:rPr>
                <w:rFonts w:eastAsia="Calibri"/>
              </w:rPr>
            </w:pPr>
            <w:r>
              <w:rPr>
                <w:rFonts w:eastAsia="Calibri"/>
              </w:rPr>
              <w:t>3</w:t>
            </w:r>
            <w:r w:rsidRPr="003E251B">
              <w:rPr>
                <w:rFonts w:eastAsia="Calibri"/>
              </w:rPr>
              <w:t>6.83</w:t>
            </w:r>
            <w:r>
              <w:rPr>
                <w:rFonts w:eastAsia="Calibri"/>
              </w:rPr>
              <w:t xml:space="preserve"> (2012)</w:t>
            </w:r>
          </w:p>
        </w:tc>
      </w:tr>
      <w:tr w:rsidR="00F54F85" w:rsidRPr="00F727D9" w14:paraId="266A8D73" w14:textId="77777777" w:rsidTr="003B60AD">
        <w:tc>
          <w:tcPr>
            <w:tcW w:w="7083" w:type="dxa"/>
          </w:tcPr>
          <w:p w14:paraId="51A2F8EF" w14:textId="77777777" w:rsidR="00F54F85" w:rsidRPr="00A357A2" w:rsidRDefault="00F54F85" w:rsidP="00F23CBA">
            <w:pPr>
              <w:pStyle w:val="Table"/>
              <w:rPr>
                <w:rFonts w:eastAsia="Calibri"/>
              </w:rPr>
            </w:pPr>
            <w:r w:rsidRPr="0017607F">
              <w:rPr>
                <w:rFonts w:eastAsia="Calibri"/>
              </w:rPr>
              <w:t>Charge on hazardous waste and non-hazardous waste - Environmental insurance</w:t>
            </w:r>
          </w:p>
        </w:tc>
        <w:tc>
          <w:tcPr>
            <w:tcW w:w="1933" w:type="dxa"/>
          </w:tcPr>
          <w:p w14:paraId="7434BE04" w14:textId="77777777" w:rsidR="00F54F85" w:rsidRDefault="00F54F85" w:rsidP="0033764D">
            <w:pPr>
              <w:pStyle w:val="Table"/>
              <w:jc w:val="center"/>
              <w:rPr>
                <w:rFonts w:eastAsia="Calibri"/>
              </w:rPr>
            </w:pPr>
          </w:p>
        </w:tc>
      </w:tr>
      <w:tr w:rsidR="00F54F85" w:rsidRPr="00F727D9" w14:paraId="3905789C" w14:textId="77777777" w:rsidTr="003B60AD">
        <w:tc>
          <w:tcPr>
            <w:tcW w:w="7083" w:type="dxa"/>
          </w:tcPr>
          <w:p w14:paraId="60C14121" w14:textId="77777777" w:rsidR="00F54F85" w:rsidRPr="0017607F" w:rsidRDefault="00F54F85" w:rsidP="00F23CBA">
            <w:pPr>
              <w:pStyle w:val="Table"/>
              <w:rPr>
                <w:rFonts w:eastAsia="Calibri"/>
              </w:rPr>
            </w:pPr>
            <w:r>
              <w:rPr>
                <w:rFonts w:eastAsia="Calibri"/>
              </w:rPr>
              <w:t>Forest protection fee</w:t>
            </w:r>
          </w:p>
        </w:tc>
        <w:tc>
          <w:tcPr>
            <w:tcW w:w="1933" w:type="dxa"/>
          </w:tcPr>
          <w:p w14:paraId="70EC6C59" w14:textId="77777777" w:rsidR="00F54F85" w:rsidRDefault="00F54F85" w:rsidP="0033764D">
            <w:pPr>
              <w:pStyle w:val="Table"/>
              <w:jc w:val="center"/>
              <w:rPr>
                <w:rFonts w:eastAsia="Calibri"/>
              </w:rPr>
            </w:pPr>
            <w:r>
              <w:rPr>
                <w:rFonts w:eastAsia="Calibri"/>
              </w:rPr>
              <w:t>0.12 (2012)</w:t>
            </w:r>
          </w:p>
        </w:tc>
      </w:tr>
    </w:tbl>
    <w:p w14:paraId="7A7C7498" w14:textId="77777777" w:rsidR="0033764D" w:rsidRDefault="0033764D" w:rsidP="00F54F85">
      <w:pPr>
        <w:rPr>
          <w:lang w:val="en-US"/>
        </w:rPr>
      </w:pPr>
    </w:p>
    <w:p w14:paraId="21F0D044" w14:textId="62232CD9" w:rsidR="00F54F85" w:rsidRPr="003E7DA7" w:rsidRDefault="00F54F85" w:rsidP="00F54F85">
      <w:r w:rsidRPr="00103265">
        <w:rPr>
          <w:lang w:val="en-US"/>
        </w:rPr>
        <w:t xml:space="preserve">The </w:t>
      </w:r>
      <w:r w:rsidRPr="00103265">
        <w:rPr>
          <w:b/>
          <w:bCs/>
          <w:lang w:val="en-US"/>
        </w:rPr>
        <w:t xml:space="preserve">Landfill Tax </w:t>
      </w:r>
      <w:r w:rsidRPr="00103265">
        <w:rPr>
          <w:lang w:val="en-US"/>
        </w:rPr>
        <w:t>was establ</w:t>
      </w:r>
      <w:r>
        <w:rPr>
          <w:lang w:val="en-US"/>
        </w:rPr>
        <w:t xml:space="preserve">ished by the Hungarian Government in 2012 through </w:t>
      </w:r>
      <w:r w:rsidRPr="00962602">
        <w:rPr>
          <w:lang w:val="en-US"/>
        </w:rPr>
        <w:t>Act CLXXXV of 2012 on Waste and is further detailed in Government Decree No. 104/2013 (IV. 5.)</w:t>
      </w:r>
      <w:r>
        <w:rPr>
          <w:lang w:val="en-US"/>
        </w:rPr>
        <w:t>. Its main purpose is to reduce environmental impacts from landfilling of waste, and to encourage reduction, reusing and recycling of waste</w:t>
      </w:r>
      <w:r>
        <w:rPr>
          <w:rStyle w:val="FootnoteReference"/>
          <w:lang w:val="en-US"/>
        </w:rPr>
        <w:footnoteReference w:id="424"/>
      </w:r>
      <w:r>
        <w:rPr>
          <w:lang w:val="en-US"/>
        </w:rPr>
        <w:t xml:space="preserve">. The landfill tax is applied nationally, and the standard rate has been EUR 14.87 (6,000 HUF) since 2014, after being doubled after the first year of implementation. It was planned to be increased to 12,000 HUF by 2016, but this was halted, and the fee has remained unchanged since then. </w:t>
      </w:r>
      <w:r w:rsidRPr="003E7DA7">
        <w:rPr>
          <w:lang w:val="en-US"/>
        </w:rPr>
        <w:t>The tax is paid by landfill operators, who may pass the cost on to waste producers through disposal fees</w:t>
      </w:r>
      <w:r>
        <w:rPr>
          <w:lang w:val="en-US"/>
        </w:rPr>
        <w:t>, therefore mainly targeting municipal solid waste</w:t>
      </w:r>
      <w:r>
        <w:rPr>
          <w:rStyle w:val="FootnoteReference"/>
          <w:lang w:val="en-US"/>
        </w:rPr>
        <w:footnoteReference w:id="425"/>
      </w:r>
      <w:r>
        <w:rPr>
          <w:lang w:val="en-US"/>
        </w:rPr>
        <w:t>. The tax includes some exemptions for non-</w:t>
      </w:r>
      <w:r w:rsidRPr="001C021E">
        <w:rPr>
          <w:lang w:val="en-US"/>
        </w:rPr>
        <w:t>hazardous waste residues resulting from incineration processes</w:t>
      </w:r>
      <w:r>
        <w:rPr>
          <w:lang w:val="en-US"/>
        </w:rPr>
        <w:t>, i</w:t>
      </w:r>
      <w:r w:rsidRPr="00BC40F3">
        <w:rPr>
          <w:lang w:val="en-US"/>
        </w:rPr>
        <w:t>nert waste</w:t>
      </w:r>
      <w:r>
        <w:rPr>
          <w:lang w:val="en-US"/>
        </w:rPr>
        <w:t>, and specific industrial by-products</w:t>
      </w:r>
      <w:r>
        <w:rPr>
          <w:rStyle w:val="FootnoteReference"/>
          <w:lang w:val="en-US"/>
        </w:rPr>
        <w:footnoteReference w:id="426"/>
      </w:r>
      <w:r>
        <w:rPr>
          <w:lang w:val="en-US"/>
        </w:rPr>
        <w:t>. In 2023, the landfill tax generated a revenue of EUR 42.3M</w:t>
      </w:r>
      <w:r>
        <w:rPr>
          <w:rStyle w:val="FootnoteReference"/>
          <w:lang w:val="en-US"/>
        </w:rPr>
        <w:footnoteReference w:id="427"/>
      </w:r>
      <w:r>
        <w:rPr>
          <w:lang w:val="en-US"/>
        </w:rPr>
        <w:t>.</w:t>
      </w:r>
    </w:p>
    <w:p w14:paraId="2E728125" w14:textId="77777777" w:rsidR="00F54F85" w:rsidRPr="00BE3471" w:rsidRDefault="00F54F85" w:rsidP="00F54F85">
      <w:r>
        <w:rPr>
          <w:lang w:val="en-US"/>
        </w:rPr>
        <w:t xml:space="preserve">The </w:t>
      </w:r>
      <w:r>
        <w:rPr>
          <w:b/>
          <w:bCs/>
          <w:lang w:val="en-US"/>
        </w:rPr>
        <w:t xml:space="preserve">Mining Royalty </w:t>
      </w:r>
      <w:r w:rsidRPr="00A67006">
        <w:rPr>
          <w:lang w:val="en-US"/>
        </w:rPr>
        <w:t>(</w:t>
      </w:r>
      <w:r w:rsidRPr="00A67006">
        <w:t>bányajáradék)</w:t>
      </w:r>
      <w:r>
        <w:t xml:space="preserve"> is a fee paid for mining activities, set out in Act XLVIII of 1993 on Mining. The royalty is paid by mining enterprises to the Hungarian state for the right to extract mineral resources, which are all considered as state property as long as they are under the ground. Upon extraction, ownership of the resources shifts to the mining enterprise, if the mining royalty has been paid. The act is aimed at mining enterprises that extract mineral resources and raw materials, such as natural gas or coal, but also includes the extraction of geothermal energy. The royalty is based on the value and volume of the extracted materials, and the rate depends on the type of material. Some of the rates are: 0% for coal, 2% for geothermal energy, 5% for </w:t>
      </w:r>
      <w:r w:rsidRPr="00BE3471">
        <w:t xml:space="preserve">non-metallic mineral raw materials </w:t>
      </w:r>
      <w:r>
        <w:t>which are not</w:t>
      </w:r>
      <w:r w:rsidRPr="00BE3471">
        <w:t xml:space="preserve"> energy sources</w:t>
      </w:r>
      <w:r>
        <w:t>. The rate for natural gas and petroleum are dependent on the market-price of the product: the higher the market price, the higher the royalty rate. The revenue of the royalty is not earmarked to any environment-related activities. Some exemptions apply to extractions that do not exceed 500 m3, public infrastructure projects, while geothermal projects also have some specific exemptions, depending on the purpose and extraction method</w:t>
      </w:r>
      <w:r>
        <w:rPr>
          <w:rStyle w:val="FootnoteReference"/>
        </w:rPr>
        <w:footnoteReference w:id="428"/>
      </w:r>
      <w:r>
        <w:t>.</w:t>
      </w:r>
    </w:p>
    <w:p w14:paraId="79D12402" w14:textId="77777777" w:rsidR="00F54F85" w:rsidRPr="006434B7" w:rsidRDefault="00F54F85" w:rsidP="00271218">
      <w:pPr>
        <w:pStyle w:val="Heading4"/>
      </w:pPr>
      <w:r w:rsidRPr="008233A1">
        <w:t xml:space="preserve">Fees and </w:t>
      </w:r>
      <w:r w:rsidRPr="00D26AC8">
        <w:t>o</w:t>
      </w:r>
      <w:r w:rsidRPr="008233A1">
        <w:t xml:space="preserve">ther </w:t>
      </w:r>
      <w:r w:rsidRPr="00D26AC8">
        <w:t>r</w:t>
      </w:r>
      <w:r w:rsidRPr="008233A1">
        <w:t xml:space="preserve">elated </w:t>
      </w:r>
      <w:r w:rsidRPr="00D26AC8">
        <w:t>i</w:t>
      </w:r>
      <w:r w:rsidRPr="008233A1">
        <w:t>nstruments</w:t>
      </w:r>
    </w:p>
    <w:p w14:paraId="29876506" w14:textId="640375E8" w:rsidR="0033764D" w:rsidRPr="0033764D" w:rsidRDefault="0033764D" w:rsidP="0033764D">
      <w:r w:rsidRPr="0033764D">
        <w:t xml:space="preserve">The </w:t>
      </w:r>
      <w:r w:rsidRPr="0033764D">
        <w:rPr>
          <w:b/>
          <w:bCs/>
        </w:rPr>
        <w:t>Environmental Pollution Fee</w:t>
      </w:r>
      <w:r w:rsidRPr="0033764D">
        <w:t xml:space="preserve">, or Environmental Impact Fee, is a national charge established under Act LXXXIX of 2003, applied to point-source emissions of nitrogen oxides, sulphur oxides and non-toxic dust, primarily from industry and power generation. While the instrument is well established and generates a stable stream of revenue, its </w:t>
      </w:r>
      <w:r w:rsidRPr="0033764D">
        <w:rPr>
          <w:b/>
          <w:bCs/>
        </w:rPr>
        <w:t>environmental effectiveness is limited</w:t>
      </w:r>
      <w:r w:rsidRPr="0033764D">
        <w:t xml:space="preserve">. The current rate levels are low relative to the marginal damage caused by these pollutants, and have not been updated regularly to reflect inflation or rising environmental costs. As a result, the fee acts more as a </w:t>
      </w:r>
      <w:r w:rsidRPr="0033764D">
        <w:rPr>
          <w:b/>
          <w:bCs/>
        </w:rPr>
        <w:t>revenue-raising mechanism</w:t>
      </w:r>
      <w:r w:rsidRPr="0033764D">
        <w:t xml:space="preserve"> than as a dissuasive incentive to reduce emissions. Available evidence suggests </w:t>
      </w:r>
      <w:r w:rsidRPr="0033764D">
        <w:lastRenderedPageBreak/>
        <w:t>that emission reductions over the past decade have been driven mainly by EU-level regulations and industrial modernisation rather than by the price signal of the fee itself.</w:t>
      </w:r>
    </w:p>
    <w:p w14:paraId="65014345" w14:textId="73CF22A4" w:rsidR="0033764D" w:rsidRPr="0033764D" w:rsidRDefault="0033764D" w:rsidP="0033764D">
      <w:r w:rsidRPr="0033764D">
        <w:t xml:space="preserve">From a policy perspective, this implies that the fee’s design could be strengthened. </w:t>
      </w:r>
      <w:r w:rsidRPr="0033764D">
        <w:rPr>
          <w:b/>
          <w:bCs/>
        </w:rPr>
        <w:t>Increasing the rate levels</w:t>
      </w:r>
      <w:r w:rsidRPr="0033764D">
        <w:t xml:space="preserve">—in line with benchmark values used in other Member States—and linking them explicitly to pollutant loads or emission intensity would enhance their incentive effect. Introducing </w:t>
      </w:r>
      <w:r w:rsidRPr="0033764D">
        <w:rPr>
          <w:b/>
          <w:bCs/>
        </w:rPr>
        <w:t>differentiation by pollutant type and sector</w:t>
      </w:r>
      <w:r w:rsidRPr="0033764D">
        <w:t>, and adjusting rates annually to maintain their real value, would also improve efficiency. Conversely, if the administrative cost of maintaining the current system is high relative to its environmental impact, consolidation with other air pollution charges could be considered.</w:t>
      </w:r>
    </w:p>
    <w:p w14:paraId="7C7EACD7" w14:textId="77777777" w:rsidR="0033764D" w:rsidRPr="0033764D" w:rsidRDefault="0033764D" w:rsidP="0033764D">
      <w:r w:rsidRPr="0033764D">
        <w:t xml:space="preserve">In the recommendation section, it would therefore be appropriate to note that while the Environmental Pollution Fee provides a useful fiscal base, </w:t>
      </w:r>
      <w:r w:rsidRPr="0033764D">
        <w:rPr>
          <w:b/>
          <w:bCs/>
        </w:rPr>
        <w:t>its rates should be increased and its structure refined</w:t>
      </w:r>
      <w:r w:rsidRPr="0033764D">
        <w:t xml:space="preserve"> to achieve meaningful behavioural change. Complementary measures—such as investment support for abatement technologies and stronger monitoring—would further improve the instrument’s cost-effectiveness.</w:t>
      </w:r>
    </w:p>
    <w:p w14:paraId="675F4A13" w14:textId="2A8A6676" w:rsidR="00F54F85" w:rsidRPr="00E61CB5" w:rsidRDefault="00F54F85" w:rsidP="00F54F85">
      <w:pPr>
        <w:rPr>
          <w:rFonts w:ascii="Calibri" w:eastAsia="Times New Roman" w:hAnsi="Calibri" w:cs="Calibri"/>
          <w:color w:val="000000"/>
          <w:lang w:val="en-US" w:eastAsia="en-GB"/>
        </w:rPr>
      </w:pPr>
      <w:r w:rsidRPr="00C93DAA">
        <w:rPr>
          <w:lang w:val="en-US"/>
        </w:rPr>
        <w:t xml:space="preserve">It </w:t>
      </w:r>
      <w:r>
        <w:rPr>
          <w:lang w:val="en-US"/>
        </w:rPr>
        <w:t xml:space="preserve">has been implemented as of 2004, is applied nationwide to operators who release measurable pollutants. Rates vary between pollutants and whether it is air, soil or water that is polluted. For solid, non-toxic pollution into the air the fee is EUR 0.07 per kg, while for NOx it is EUR 0.30 per kg. </w:t>
      </w:r>
      <w:r>
        <w:rPr>
          <w:rFonts w:ascii="Calibri" w:eastAsia="Calibri" w:hAnsi="Calibri" w:cs="Calibri"/>
          <w:color w:val="000000" w:themeColor="text1"/>
          <w:lang w:val="en-US"/>
        </w:rPr>
        <w:t>The rate is then multiplied by the total amount polluted in a year to get the charge. When the charges were introduced in 2004, only 40% of the charge had to paid, increasing to 100% in 2008. Some exemptions apply to district heating, emitters in emergency situations, and small-scale domestic emitters</w:t>
      </w:r>
      <w:r>
        <w:rPr>
          <w:rStyle w:val="FootnoteReference"/>
          <w:lang w:val="en-US"/>
        </w:rPr>
        <w:footnoteReference w:id="429"/>
      </w:r>
      <w:r>
        <w:rPr>
          <w:lang w:val="en-US"/>
        </w:rPr>
        <w:t>.</w:t>
      </w:r>
      <w:r>
        <w:rPr>
          <w:rFonts w:ascii="Calibri" w:eastAsia="Calibri" w:hAnsi="Calibri" w:cs="Calibri"/>
          <w:color w:val="000000" w:themeColor="text1"/>
          <w:lang w:val="en-US"/>
        </w:rPr>
        <w:t xml:space="preserve"> </w:t>
      </w:r>
      <w:r>
        <w:rPr>
          <w:lang w:val="en-US"/>
        </w:rPr>
        <w:t>For water pollution the rate varies from EUR 10.92 per kg of copper, to EUR 545.82 per kg of mercury. For soil pollution the charge is EUR 2.97 per m3. Exemptions exist for district heating service providers and residential combustion plants operated by budgetary bodies</w:t>
      </w:r>
      <w:r>
        <w:rPr>
          <w:rStyle w:val="FootnoteReference"/>
          <w:lang w:val="en-US"/>
        </w:rPr>
        <w:footnoteReference w:id="430"/>
      </w:r>
      <w:r>
        <w:rPr>
          <w:lang w:val="en-US"/>
        </w:rPr>
        <w:t>. Altogether the fees generated a revenue of EUR 11.7M in 2023</w:t>
      </w:r>
      <w:r w:rsidR="0033764D">
        <w:rPr>
          <w:lang w:val="en-US"/>
        </w:rPr>
        <w:t>.</w:t>
      </w:r>
    </w:p>
    <w:p w14:paraId="4DA9A394" w14:textId="77777777" w:rsidR="00F54F85" w:rsidRPr="004970E6" w:rsidRDefault="00F54F85" w:rsidP="00F54F85">
      <w:pPr>
        <w:rPr>
          <w:rStyle w:val="FootnoteReference"/>
          <w:rFonts w:ascii="Calibri" w:eastAsia="Calibri" w:hAnsi="Calibri" w:cs="Calibri"/>
          <w:color w:val="000000" w:themeColor="text1"/>
          <w:lang w:val="en-US"/>
        </w:rPr>
      </w:pPr>
      <w:r w:rsidRPr="556756BF">
        <w:rPr>
          <w:lang w:val="en-US"/>
        </w:rPr>
        <w:t>The</w:t>
      </w:r>
      <w:r w:rsidRPr="00B266F4">
        <w:t xml:space="preserve"> </w:t>
      </w:r>
      <w:r w:rsidRPr="556756BF">
        <w:rPr>
          <w:b/>
          <w:bCs/>
          <w:lang w:val="en-US"/>
        </w:rPr>
        <w:t>Environmental Product Charge</w:t>
      </w:r>
      <w:r w:rsidRPr="556756BF">
        <w:rPr>
          <w:lang w:val="en-US"/>
        </w:rPr>
        <w:t xml:space="preserve"> was established by the Hungarian Parliament through Act LXXXV of 2011. It aims to raise funds for preventing and reducing negative environmental effects of certain products that endanger the environment during their production, marketing or utilization. At the same time, it promotes the sustainable management of natural resources. The charge targets different types of products, such as batteries, packaging materials, petroleum products, electronic equipment and rubber tires. The geographical scope of the charge is nation-wide, and it is largely paid by the entities that manufacture, distribute or import the products. Through the same Act the Product Fee Board is established, which helps set the product fees</w:t>
      </w:r>
      <w:r w:rsidRPr="556756BF">
        <w:rPr>
          <w:rStyle w:val="FootnoteReference"/>
          <w:lang w:val="en-US"/>
        </w:rPr>
        <w:footnoteReference w:id="431"/>
      </w:r>
      <w:r w:rsidRPr="556756BF">
        <w:rPr>
          <w:lang w:val="en-US"/>
        </w:rPr>
        <w:t>. The charges vary from EUR 0.027 per kg of soap, to EUR 4.72 per kg of plastic carrier bags. Some exemptions exist for “very small amount” issuers, who stay under a certain threshold. Some thresholds are 40 kg of petroleum products, 75 kg of plastic bags, or 200 kg of other chemical products</w:t>
      </w:r>
      <w:r w:rsidRPr="556756BF">
        <w:rPr>
          <w:rStyle w:val="FootnoteReference"/>
          <w:lang w:val="en-US"/>
        </w:rPr>
        <w:footnoteReference w:id="432"/>
      </w:r>
      <w:r w:rsidRPr="556756BF">
        <w:rPr>
          <w:lang w:val="en-US"/>
        </w:rPr>
        <w:t>. The revenues of the product charge fall under the Environment Protection Fee and has had an average revenue of EUR 174.51. I</w:t>
      </w:r>
      <w:r w:rsidRPr="556756BF">
        <w:rPr>
          <w:rFonts w:ascii="Calibri" w:eastAsia="Calibri" w:hAnsi="Calibri" w:cs="Calibri"/>
          <w:color w:val="000000" w:themeColor="text1"/>
          <w:lang w:val="en-US"/>
        </w:rPr>
        <w:t>n 2023, the law was significantly relaxed, the reason being that the parallel implementation of an extended producer responsibility scheme, that was introduced following an EU directive</w:t>
      </w:r>
      <w:r w:rsidRPr="556756BF">
        <w:rPr>
          <w:rStyle w:val="FootnoteReference"/>
          <w:rFonts w:ascii="Calibri" w:eastAsia="Calibri" w:hAnsi="Calibri" w:cs="Calibri"/>
          <w:color w:val="000000" w:themeColor="text1"/>
          <w:lang w:val="en-US"/>
        </w:rPr>
        <w:footnoteReference w:id="433"/>
      </w:r>
      <w:r w:rsidRPr="556756BF">
        <w:rPr>
          <w:rFonts w:ascii="Calibri" w:eastAsia="Calibri" w:hAnsi="Calibri" w:cs="Calibri"/>
          <w:color w:val="000000" w:themeColor="text1"/>
          <w:lang w:val="en-US"/>
        </w:rPr>
        <w:t xml:space="preserve">. As the EPR scheme and the product charges would have meant a double burden for producers, the latter was relinquished. </w:t>
      </w:r>
      <w:r w:rsidRPr="556756BF">
        <w:rPr>
          <w:rFonts w:ascii="Calibri" w:eastAsia="Calibri" w:hAnsi="Calibri" w:cs="Calibri"/>
          <w:color w:val="000000" w:themeColor="text1"/>
          <w:lang w:val="en-US"/>
        </w:rPr>
        <w:lastRenderedPageBreak/>
        <w:t>Nonetheless, EPR charges fund the services of a concession company and just a fraction of them goes to the government, hence they no longer qualify as taxes</w:t>
      </w:r>
      <w:r w:rsidRPr="556756BF">
        <w:rPr>
          <w:rStyle w:val="FootnoteReference"/>
          <w:rFonts w:ascii="Calibri" w:eastAsia="Calibri" w:hAnsi="Calibri" w:cs="Calibri"/>
          <w:color w:val="000000" w:themeColor="text1"/>
          <w:lang w:val="en-US"/>
        </w:rPr>
        <w:footnoteReference w:id="434"/>
      </w:r>
      <w:r w:rsidRPr="556756BF">
        <w:rPr>
          <w:rFonts w:ascii="Calibri" w:eastAsia="Calibri" w:hAnsi="Calibri" w:cs="Calibri"/>
          <w:color w:val="000000" w:themeColor="text1"/>
          <w:lang w:val="en-US"/>
        </w:rPr>
        <w:t>.</w:t>
      </w:r>
    </w:p>
    <w:p w14:paraId="7FF53516" w14:textId="77777777" w:rsidR="00F54F85" w:rsidRPr="008306BC" w:rsidRDefault="00F54F85" w:rsidP="00F54F85">
      <w:pPr>
        <w:spacing w:after="0"/>
        <w:rPr>
          <w:rFonts w:ascii="Calibri" w:eastAsia="Times New Roman" w:hAnsi="Calibri" w:cs="Calibri"/>
          <w:color w:val="000000"/>
          <w:lang w:val="en-US" w:eastAsia="en-GB"/>
        </w:rPr>
      </w:pPr>
      <w:r>
        <w:rPr>
          <w:rFonts w:ascii="Calibri" w:eastAsia="Times New Roman" w:hAnsi="Calibri" w:cs="Calibri"/>
          <w:color w:val="000000"/>
          <w:lang w:val="en-US"/>
        </w:rPr>
        <w:t xml:space="preserve">In addition to the pollution fee for water, a number of laws apply to the use and consumption of water. </w:t>
      </w:r>
      <w:r w:rsidRPr="00070DA2">
        <w:rPr>
          <w:rFonts w:ascii="Calibri" w:eastAsia="Times New Roman" w:hAnsi="Calibri" w:cs="Calibri"/>
          <w:color w:val="000000"/>
          <w:lang w:val="en-US"/>
        </w:rPr>
        <w:t xml:space="preserve">Hungary also </w:t>
      </w:r>
      <w:r>
        <w:rPr>
          <w:rFonts w:ascii="Calibri" w:eastAsia="Times New Roman" w:hAnsi="Calibri" w:cs="Calibri"/>
          <w:color w:val="000000"/>
          <w:lang w:val="en-US"/>
        </w:rPr>
        <w:t>applies</w:t>
      </w:r>
      <w:r w:rsidRPr="00070DA2">
        <w:rPr>
          <w:rFonts w:ascii="Calibri" w:eastAsia="Times New Roman" w:hAnsi="Calibri" w:cs="Calibri"/>
          <w:color w:val="000000"/>
          <w:lang w:val="en-US"/>
        </w:rPr>
        <w:t xml:space="preserve"> a </w:t>
      </w:r>
      <w:r w:rsidRPr="00070DA2">
        <w:rPr>
          <w:rFonts w:ascii="Calibri" w:eastAsia="Times New Roman" w:hAnsi="Calibri" w:cs="Calibri"/>
          <w:b/>
          <w:bCs/>
          <w:color w:val="000000"/>
        </w:rPr>
        <w:t xml:space="preserve">Wastewater </w:t>
      </w:r>
      <w:r w:rsidRPr="00070DA2">
        <w:rPr>
          <w:rFonts w:ascii="Calibri" w:eastAsia="Times New Roman" w:hAnsi="Calibri" w:cs="Calibri"/>
          <w:b/>
          <w:bCs/>
          <w:color w:val="000000"/>
          <w:lang w:val="en-US"/>
        </w:rPr>
        <w:t>U</w:t>
      </w:r>
      <w:r w:rsidRPr="00070DA2">
        <w:rPr>
          <w:rFonts w:ascii="Calibri" w:eastAsia="Times New Roman" w:hAnsi="Calibri" w:cs="Calibri"/>
          <w:b/>
          <w:bCs/>
          <w:color w:val="000000"/>
        </w:rPr>
        <w:t xml:space="preserve">ser </w:t>
      </w:r>
      <w:r w:rsidRPr="00070DA2">
        <w:rPr>
          <w:rFonts w:ascii="Calibri" w:eastAsia="Times New Roman" w:hAnsi="Calibri" w:cs="Calibri"/>
          <w:b/>
          <w:bCs/>
          <w:color w:val="000000"/>
          <w:lang w:val="en-US"/>
        </w:rPr>
        <w:t>C</w:t>
      </w:r>
      <w:r w:rsidRPr="00070DA2">
        <w:rPr>
          <w:rFonts w:ascii="Calibri" w:eastAsia="Times New Roman" w:hAnsi="Calibri" w:cs="Calibri"/>
          <w:b/>
          <w:bCs/>
          <w:color w:val="000000"/>
        </w:rPr>
        <w:t>harge</w:t>
      </w:r>
      <w:r w:rsidRPr="00FB4DA2">
        <w:rPr>
          <w:rFonts w:ascii="Calibri" w:eastAsia="Times New Roman" w:hAnsi="Calibri" w:cs="Calibri"/>
          <w:color w:val="000000"/>
          <w:lang w:val="en-US"/>
        </w:rPr>
        <w:t>, w</w:t>
      </w:r>
      <w:r w:rsidRPr="00FB4DA2">
        <w:rPr>
          <w:rFonts w:ascii="Calibri" w:eastAsia="Times New Roman" w:hAnsi="Calibri" w:cs="Calibri"/>
          <w:color w:val="000000"/>
          <w:lang w:val="en-US" w:eastAsia="en-GB"/>
        </w:rPr>
        <w:t>hich</w:t>
      </w:r>
      <w:r>
        <w:rPr>
          <w:rFonts w:ascii="Calibri" w:eastAsia="Times New Roman" w:hAnsi="Calibri" w:cs="Calibri"/>
          <w:color w:val="000000"/>
          <w:lang w:val="en-US" w:eastAsia="en-GB"/>
        </w:rPr>
        <w:t xml:space="preserve"> is a</w:t>
      </w:r>
      <w:r w:rsidRPr="003232D5">
        <w:rPr>
          <w:rFonts w:ascii="Calibri" w:eastAsia="Times New Roman" w:hAnsi="Calibri" w:cs="Calibri"/>
          <w:color w:val="000000"/>
          <w:lang w:eastAsia="en-GB"/>
        </w:rPr>
        <w:t xml:space="preserve"> fee pa</w:t>
      </w:r>
      <w:r>
        <w:rPr>
          <w:rFonts w:ascii="Calibri" w:eastAsia="Times New Roman" w:hAnsi="Calibri" w:cs="Calibri"/>
          <w:color w:val="000000"/>
          <w:lang w:eastAsia="en-GB"/>
        </w:rPr>
        <w:t>i</w:t>
      </w:r>
      <w:r w:rsidRPr="003232D5">
        <w:rPr>
          <w:rFonts w:ascii="Calibri" w:eastAsia="Times New Roman" w:hAnsi="Calibri" w:cs="Calibri"/>
          <w:color w:val="000000"/>
          <w:lang w:eastAsia="en-GB"/>
        </w:rPr>
        <w:t xml:space="preserve">d by the owner of </w:t>
      </w:r>
      <w:r w:rsidRPr="003232D5">
        <w:rPr>
          <w:rFonts w:ascii="Calibri" w:eastAsia="Times New Roman" w:hAnsi="Calibri" w:cs="Calibri"/>
          <w:color w:val="000000"/>
          <w:lang w:val="en-US" w:eastAsia="en-GB"/>
        </w:rPr>
        <w:t>an</w:t>
      </w:r>
      <w:r w:rsidRPr="003232D5">
        <w:rPr>
          <w:rFonts w:ascii="Calibri" w:eastAsia="Times New Roman" w:hAnsi="Calibri" w:cs="Calibri"/>
          <w:color w:val="000000"/>
          <w:lang w:eastAsia="en-GB"/>
        </w:rPr>
        <w:t xml:space="preserve"> estate for the usage of sewers on the area of the estate</w:t>
      </w:r>
      <w:r w:rsidRPr="003804F3">
        <w:rPr>
          <w:rFonts w:ascii="Calibri" w:eastAsia="Times New Roman" w:hAnsi="Calibri" w:cs="Calibri"/>
          <w:color w:val="000000"/>
          <w:lang w:val="en-US" w:eastAsia="en-GB"/>
        </w:rPr>
        <w:t>.</w:t>
      </w:r>
      <w:r>
        <w:rPr>
          <w:rFonts w:ascii="Calibri" w:eastAsia="Times New Roman" w:hAnsi="Calibri" w:cs="Calibri"/>
          <w:color w:val="000000"/>
          <w:lang w:val="en-US" w:eastAsia="en-GB"/>
        </w:rPr>
        <w:t xml:space="preserve"> The regulation, authorized under the </w:t>
      </w:r>
      <w:r w:rsidRPr="00EA20BA">
        <w:rPr>
          <w:rFonts w:ascii="Calibri" w:eastAsia="Times New Roman" w:hAnsi="Calibri" w:cs="Calibri"/>
          <w:color w:val="000000"/>
          <w:lang w:val="en-US" w:eastAsia="en-GB"/>
        </w:rPr>
        <w:t>Act LXXXVII of 1990</w:t>
      </w:r>
      <w:r>
        <w:rPr>
          <w:rFonts w:ascii="Calibri" w:eastAsia="Times New Roman" w:hAnsi="Calibri" w:cs="Calibri"/>
          <w:color w:val="000000"/>
          <w:lang w:val="en-US" w:eastAsia="en-GB"/>
        </w:rPr>
        <w:t xml:space="preserve">, </w:t>
      </w:r>
      <w:r w:rsidRPr="0047143B">
        <w:rPr>
          <w:rFonts w:ascii="Calibri" w:eastAsia="Times New Roman" w:hAnsi="Calibri" w:cs="Calibri"/>
          <w:color w:val="000000"/>
          <w:lang w:val="en-US" w:eastAsia="en-GB"/>
        </w:rPr>
        <w:t>aim</w:t>
      </w:r>
      <w:r>
        <w:rPr>
          <w:rFonts w:ascii="Calibri" w:eastAsia="Times New Roman" w:hAnsi="Calibri" w:cs="Calibri"/>
          <w:color w:val="000000"/>
          <w:lang w:val="en-US" w:eastAsia="en-GB"/>
        </w:rPr>
        <w:t>s</w:t>
      </w:r>
      <w:r w:rsidRPr="0047143B">
        <w:rPr>
          <w:rFonts w:ascii="Calibri" w:eastAsia="Times New Roman" w:hAnsi="Calibri" w:cs="Calibri"/>
          <w:color w:val="000000"/>
          <w:lang w:val="en-US" w:eastAsia="en-GB"/>
        </w:rPr>
        <w:t xml:space="preserve"> to regulate pricing for water supply and sewerage services</w:t>
      </w:r>
      <w:r>
        <w:rPr>
          <w:rStyle w:val="FootnoteReference"/>
          <w:rFonts w:ascii="Calibri" w:eastAsia="Times New Roman" w:hAnsi="Calibri" w:cs="Calibri"/>
          <w:color w:val="000000"/>
          <w:lang w:eastAsia="en-GB"/>
        </w:rPr>
        <w:footnoteReference w:id="435"/>
      </w:r>
      <w:r w:rsidRPr="003232D5">
        <w:rPr>
          <w:rFonts w:ascii="Calibri" w:eastAsia="Times New Roman" w:hAnsi="Calibri" w:cs="Calibri"/>
          <w:color w:val="000000"/>
          <w:lang w:eastAsia="en-GB"/>
        </w:rPr>
        <w:t>.</w:t>
      </w:r>
      <w:r w:rsidRPr="003232D5">
        <w:rPr>
          <w:rFonts w:ascii="Calibri" w:eastAsia="Times New Roman" w:hAnsi="Calibri" w:cs="Calibri"/>
          <w:color w:val="000000"/>
          <w:lang w:val="en-US" w:eastAsia="en-GB"/>
        </w:rPr>
        <w:t xml:space="preserve"> </w:t>
      </w:r>
      <w:r>
        <w:rPr>
          <w:rFonts w:ascii="Calibri" w:eastAsia="Times New Roman" w:hAnsi="Calibri" w:cs="Calibri"/>
          <w:color w:val="000000"/>
          <w:lang w:val="en-US" w:eastAsia="en-GB"/>
        </w:rPr>
        <w:t xml:space="preserve">The fees for the consumer are different per region, but in </w:t>
      </w:r>
      <w:r w:rsidRPr="008306BC">
        <w:rPr>
          <w:rFonts w:ascii="Calibri" w:eastAsia="Times New Roman" w:hAnsi="Calibri" w:cs="Calibri"/>
          <w:color w:val="000000"/>
          <w:lang w:val="en-US" w:eastAsia="en-GB"/>
        </w:rPr>
        <w:t>the</w:t>
      </w:r>
      <w:r>
        <w:rPr>
          <w:rFonts w:ascii="Calibri" w:eastAsia="Times New Roman" w:hAnsi="Calibri" w:cs="Calibri"/>
          <w:color w:val="000000"/>
          <w:lang w:val="en-US" w:eastAsia="en-GB"/>
        </w:rPr>
        <w:t xml:space="preserve"> region of Budapest</w:t>
      </w:r>
      <w:r w:rsidRPr="008306BC">
        <w:rPr>
          <w:rFonts w:ascii="Calibri" w:eastAsia="Times New Roman" w:hAnsi="Calibri" w:cs="Calibri"/>
          <w:color w:val="000000"/>
          <w:lang w:val="en-US" w:eastAsia="en-GB"/>
        </w:rPr>
        <w:t xml:space="preserve"> </w:t>
      </w:r>
      <w:r>
        <w:rPr>
          <w:rFonts w:ascii="Calibri" w:eastAsia="Times New Roman" w:hAnsi="Calibri" w:cs="Calibri"/>
          <w:color w:val="000000"/>
          <w:lang w:val="en-US" w:eastAsia="en-GB"/>
        </w:rPr>
        <w:t xml:space="preserve">the </w:t>
      </w:r>
      <w:r w:rsidRPr="008306BC">
        <w:rPr>
          <w:rFonts w:ascii="Calibri" w:eastAsia="Times New Roman" w:hAnsi="Calibri" w:cs="Calibri"/>
          <w:color w:val="000000"/>
          <w:lang w:val="en-US" w:eastAsia="en-GB"/>
        </w:rPr>
        <w:t xml:space="preserve">wastewater user charge </w:t>
      </w:r>
      <w:r>
        <w:rPr>
          <w:rFonts w:ascii="Calibri" w:eastAsia="Times New Roman" w:hAnsi="Calibri" w:cs="Calibri"/>
          <w:color w:val="000000"/>
          <w:lang w:val="en-US" w:eastAsia="en-GB"/>
        </w:rPr>
        <w:t>contains a basic fee and a channel usage fee. The basic fee depends on the flow diameter of the connection to the sewers and can vary from EUR 5.42 to EUR 3,931.65, and the channel usage fee is EUR 0.94 per m3 for residential users and EUR 2.89 for non-residential users</w:t>
      </w:r>
      <w:r>
        <w:rPr>
          <w:rStyle w:val="FootnoteReference"/>
          <w:rFonts w:ascii="Calibri" w:eastAsia="Times New Roman" w:hAnsi="Calibri" w:cs="Calibri"/>
          <w:color w:val="000000"/>
          <w:lang w:val="en-US" w:eastAsia="en-GB"/>
        </w:rPr>
        <w:footnoteReference w:id="436"/>
      </w:r>
      <w:r>
        <w:rPr>
          <w:rFonts w:ascii="Calibri" w:eastAsia="Times New Roman" w:hAnsi="Calibri" w:cs="Calibri"/>
          <w:color w:val="000000"/>
          <w:lang w:val="en-US" w:eastAsia="en-GB"/>
        </w:rPr>
        <w:t xml:space="preserve">. </w:t>
      </w:r>
    </w:p>
    <w:p w14:paraId="7D028267" w14:textId="77777777" w:rsidR="00F54F85" w:rsidRPr="007920B1" w:rsidRDefault="00F54F85" w:rsidP="00F54F85">
      <w:pPr>
        <w:spacing w:after="0"/>
        <w:rPr>
          <w:rFonts w:ascii="Calibri" w:eastAsia="Times New Roman" w:hAnsi="Calibri" w:cs="Calibri"/>
          <w:color w:val="000000"/>
        </w:rPr>
      </w:pPr>
    </w:p>
    <w:p w14:paraId="64519B88" w14:textId="77777777" w:rsidR="00F54F85" w:rsidRDefault="00F54F85" w:rsidP="009E1B64">
      <w:pPr>
        <w:pStyle w:val="Bulletlist"/>
        <w:numPr>
          <w:ilvl w:val="0"/>
          <w:numId w:val="0"/>
        </w:numPr>
      </w:pPr>
      <w:r>
        <w:rPr>
          <w:lang w:val="en-US"/>
        </w:rPr>
        <w:t xml:space="preserve">The </w:t>
      </w:r>
      <w:r w:rsidRPr="00FC2D26">
        <w:rPr>
          <w:b/>
          <w:bCs/>
          <w:lang w:val="en-US"/>
        </w:rPr>
        <w:t>Land Protection Charge</w:t>
      </w:r>
      <w:r>
        <w:rPr>
          <w:lang w:val="en-US"/>
        </w:rPr>
        <w:t xml:space="preserve"> was established through the Act </w:t>
      </w:r>
      <w:r w:rsidRPr="004C04FE">
        <w:rPr>
          <w:lang w:val="en-US"/>
        </w:rPr>
        <w:t>CXXIX of 2007</w:t>
      </w:r>
      <w:r>
        <w:rPr>
          <w:lang w:val="en-US"/>
        </w:rPr>
        <w:t>, which has the goal to protect</w:t>
      </w:r>
      <w:r w:rsidRPr="00B848AB">
        <w:rPr>
          <w:lang w:val="en-US"/>
        </w:rPr>
        <w:t xml:space="preserve"> the quality of agricultural land by discouraging the conversion of arable land to non-agricultural uses.</w:t>
      </w:r>
      <w:r>
        <w:t xml:space="preserve"> The charge is paid when agricultural land is used for other purposes such as urban development, whether it be temporary or permanent. The size of the charge depends on the size of the land, the quality, and what type of new use is applied. The minimum charge given is EUR 148.72, and the rate of the charge can vary from EUR 74.36 to EUR 2478.74</w:t>
      </w:r>
      <w:r>
        <w:rPr>
          <w:rStyle w:val="FootnoteReference"/>
          <w:rFonts w:ascii="Calibri" w:eastAsia="Calibri" w:hAnsi="Calibri" w:cs="Calibri"/>
          <w:color w:val="000000" w:themeColor="text1"/>
        </w:rPr>
        <w:footnoteReference w:id="437"/>
      </w:r>
      <w:r>
        <w:t>. The revenue generated from this charge goes directly to the general state budget, and in 2023 the revenue was EUR 12.5M.</w:t>
      </w:r>
    </w:p>
    <w:p w14:paraId="29C8A2D3" w14:textId="77777777" w:rsidR="00F54F85" w:rsidRDefault="00F54F85" w:rsidP="009E1B64">
      <w:pPr>
        <w:pStyle w:val="Bulletlist"/>
        <w:numPr>
          <w:ilvl w:val="0"/>
          <w:numId w:val="0"/>
        </w:numPr>
        <w:rPr>
          <w:lang w:val="en-US"/>
        </w:rPr>
      </w:pPr>
    </w:p>
    <w:p w14:paraId="111B3A25" w14:textId="77777777" w:rsidR="00F54F85" w:rsidRDefault="00F54F85" w:rsidP="009E1B64">
      <w:pPr>
        <w:pStyle w:val="Bulletlist"/>
        <w:numPr>
          <w:ilvl w:val="0"/>
          <w:numId w:val="0"/>
        </w:numPr>
      </w:pPr>
      <w:r>
        <w:t xml:space="preserve">An activity that requires a permit is the </w:t>
      </w:r>
      <w:r w:rsidRPr="00444BB9">
        <w:rPr>
          <w:b/>
          <w:bCs/>
        </w:rPr>
        <w:t>catching of fish and fish farming</w:t>
      </w:r>
      <w:r>
        <w:t>, which is regulated in Act CII of 2013 on Fisheries Management and Fish Protection. The fishing rights are granted by the Ministry of Agriculture, and is for both commercial and recreational fishing</w:t>
      </w:r>
      <w:r>
        <w:rPr>
          <w:rStyle w:val="FootnoteReference"/>
          <w:rFonts w:ascii="Calibri" w:eastAsia="Calibri" w:hAnsi="Calibri" w:cs="Calibri"/>
          <w:color w:val="000000" w:themeColor="text1"/>
        </w:rPr>
        <w:footnoteReference w:id="438"/>
      </w:r>
      <w:r>
        <w:t xml:space="preserve">. Fishing rights are managed at the regional level, resulting in different prices depending on the specific area. For example, in the </w:t>
      </w:r>
      <w:r w:rsidRPr="009064F1">
        <w:t>Ráckevei</w:t>
      </w:r>
      <w:r>
        <w:t xml:space="preserve"> Danube branch, an annual general permit for a Hungarian adult citizen is approximately EUR 165 (HUF 67,000), while a 24-hour general youth permit is around EUR 7.50 (HUF 3,000)</w:t>
      </w:r>
      <w:r>
        <w:rPr>
          <w:rStyle w:val="FootnoteReference"/>
          <w:rFonts w:ascii="Calibri" w:eastAsia="Calibri" w:hAnsi="Calibri" w:cs="Calibri"/>
          <w:color w:val="000000" w:themeColor="text1"/>
        </w:rPr>
        <w:footnoteReference w:id="439"/>
      </w:r>
      <w:r>
        <w:t xml:space="preserve">. In addition to fishing permits, individuals who want to hunt in Hungary must obtain </w:t>
      </w:r>
      <w:r w:rsidRPr="00385EB3">
        <w:rPr>
          <w:b/>
          <w:bCs/>
        </w:rPr>
        <w:t>hunting rights leases</w:t>
      </w:r>
      <w:r>
        <w:t>, as regulated by Act LV of 1996 on Wildlife Protection, Wildlife Management and Hunting. The act outlines provisions for hunting rights, the protection of certain species and their habitats, and the responsibilities of hunters. For 2025 and 2026, the national hunting license fee is approximately EUR 60 (HUF 25,000)</w:t>
      </w:r>
      <w:r>
        <w:rPr>
          <w:rStyle w:val="FootnoteReference"/>
          <w:rFonts w:ascii="Calibri" w:eastAsia="Calibri" w:hAnsi="Calibri" w:cs="Calibri"/>
          <w:color w:val="000000" w:themeColor="text1"/>
        </w:rPr>
        <w:footnoteReference w:id="440"/>
      </w:r>
      <w:r>
        <w:t>.</w:t>
      </w:r>
    </w:p>
    <w:p w14:paraId="5C92477A" w14:textId="77777777" w:rsidR="00F54F85" w:rsidRPr="00AA4544" w:rsidRDefault="00F54F85" w:rsidP="00F54F85">
      <w:pPr>
        <w:spacing w:after="0"/>
        <w:rPr>
          <w:rFonts w:ascii="Calibri" w:hAnsi="Calibri" w:cs="Calibri"/>
        </w:rPr>
      </w:pPr>
      <w:r>
        <w:rPr>
          <w:rFonts w:ascii="Calibri" w:hAnsi="Calibri" w:cs="Calibri"/>
        </w:rPr>
        <w:t xml:space="preserve">In contrast to the different forms of environmental taxation, the Hungarian government also provides some environmentally harmful subsidies. Most notably, the </w:t>
      </w:r>
      <w:r w:rsidRPr="008A752C">
        <w:rPr>
          <w:rFonts w:ascii="Calibri" w:hAnsi="Calibri" w:cs="Calibri"/>
          <w:b/>
          <w:bCs/>
        </w:rPr>
        <w:t>fuel tax refund for agriculture</w:t>
      </w:r>
      <w:r>
        <w:rPr>
          <w:rFonts w:ascii="Calibri" w:hAnsi="Calibri" w:cs="Calibri"/>
          <w:b/>
          <w:bCs/>
        </w:rPr>
        <w:t xml:space="preserve"> </w:t>
      </w:r>
      <w:r>
        <w:rPr>
          <w:rFonts w:ascii="Calibri" w:hAnsi="Calibri" w:cs="Calibri"/>
        </w:rPr>
        <w:t>incentivizes the use of diesel for farmers and fisherman, by making it relatively cheaper than a more sustainable alternative. Without the subsidy, diesel prices would be 26.8% higher for the first 97 litres per hectare.</w:t>
      </w:r>
      <w:r w:rsidRPr="00644111">
        <w:rPr>
          <w:rFonts w:ascii="Calibri" w:hAnsi="Calibri" w:cs="Calibri"/>
        </w:rPr>
        <w:t xml:space="preserve"> </w:t>
      </w:r>
      <w:r>
        <w:rPr>
          <w:rFonts w:ascii="Calibri" w:hAnsi="Calibri" w:cs="Calibri"/>
        </w:rPr>
        <w:t>Another environmentally harmful subsidy identified in Hungary is the excise tax exemption for natural gas</w:t>
      </w:r>
      <w:r>
        <w:rPr>
          <w:rStyle w:val="FootnoteReference"/>
          <w:rFonts w:ascii="Calibri" w:hAnsi="Calibri" w:cs="Calibri"/>
        </w:rPr>
        <w:footnoteReference w:id="441"/>
      </w:r>
      <w:r>
        <w:rPr>
          <w:rFonts w:ascii="Calibri" w:hAnsi="Calibri" w:cs="Calibri"/>
        </w:rPr>
        <w:t>. The share of fossil fuel subsidies of the total energy subsidies is one of the highest in the EU, at more than 60%. Looking at the phasing out of these fossil fuel subsidies, Hungary’s subsidies almost entirely (&gt;99%) have an end date after 2030 or no end date at all</w:t>
      </w:r>
      <w:r>
        <w:rPr>
          <w:rStyle w:val="FootnoteReference"/>
          <w:rFonts w:ascii="Calibri" w:hAnsi="Calibri" w:cs="Calibri"/>
        </w:rPr>
        <w:footnoteReference w:id="442"/>
      </w:r>
      <w:r>
        <w:rPr>
          <w:rFonts w:ascii="Calibri" w:hAnsi="Calibri" w:cs="Calibri"/>
        </w:rPr>
        <w:t>.</w:t>
      </w:r>
    </w:p>
    <w:p w14:paraId="72CCE956" w14:textId="77777777" w:rsidR="00F54F85" w:rsidRPr="0075115A" w:rsidRDefault="00F54F85" w:rsidP="00F54F85">
      <w:pPr>
        <w:spacing w:after="0"/>
        <w:rPr>
          <w:rFonts w:ascii="Calibri" w:hAnsi="Calibri" w:cs="Calibri"/>
        </w:rPr>
      </w:pPr>
    </w:p>
    <w:p w14:paraId="3A20762A" w14:textId="77777777" w:rsidR="00F54F85" w:rsidRPr="0075115A" w:rsidRDefault="00F54F85" w:rsidP="00F54F85">
      <w:pPr>
        <w:rPr>
          <w:rFonts w:ascii="Calibri" w:hAnsi="Calibri" w:cs="Calibri"/>
          <w:b/>
          <w:bCs/>
          <w:i/>
          <w:iCs/>
        </w:rPr>
      </w:pPr>
      <w:r w:rsidRPr="00BF43C1">
        <w:rPr>
          <w:rFonts w:ascii="Calibri" w:hAnsi="Calibri" w:cs="Calibri"/>
          <w:b/>
          <w:bCs/>
          <w:i/>
          <w:iCs/>
        </w:rPr>
        <w:lastRenderedPageBreak/>
        <w:t>Conclusions, country-specific recommendations and reform progress</w:t>
      </w:r>
    </w:p>
    <w:p w14:paraId="0A61EEB8" w14:textId="77777777" w:rsidR="00F54F85" w:rsidRDefault="00F54F85" w:rsidP="00F54F85">
      <w:pPr>
        <w:spacing w:after="0"/>
        <w:rPr>
          <w:rFonts w:ascii="Calibri" w:hAnsi="Calibri" w:cs="Calibri"/>
        </w:rPr>
      </w:pPr>
      <w:r>
        <w:rPr>
          <w:rFonts w:ascii="Calibri" w:hAnsi="Calibri" w:cs="Calibri"/>
        </w:rPr>
        <w:t>In the 2024 Country Specific Recommendations of the Council of the European Union, Hungary is said to be heavily dependent on fossil fuels, mostly from Russia. As Hungary has one of the highest share of fossil fuel subsidies as a share of its GDP, the Council recommends reducing overall reliance on fossil fuels and increasing the efforts to phase out the fossil fuel subsidies. Additionally, the tax burden in Hungary lays disproportionality on low-income groups</w:t>
      </w:r>
      <w:r>
        <w:rPr>
          <w:rStyle w:val="FootnoteReference"/>
          <w:rFonts w:ascii="Calibri" w:hAnsi="Calibri" w:cs="Calibri"/>
        </w:rPr>
        <w:footnoteReference w:id="443"/>
      </w:r>
      <w:r>
        <w:rPr>
          <w:rFonts w:ascii="Calibri" w:hAnsi="Calibri" w:cs="Calibri"/>
        </w:rPr>
        <w:t>. This creates potential to shift this tax burden to polluters to better reflect the ‘polluter pays’ principle. The 2025 CSRs also recommend to phase-out economically inefficient subsidies, including the excuse tax refunds for diesel used in agriculture and the VAT reduction for natural gas use in district heating. At the same time, reinforcing administrative capacities can enhance water resilience, while investing in waste treatment capacities can improve circularity efforts in Hungary</w:t>
      </w:r>
      <w:r>
        <w:rPr>
          <w:rStyle w:val="FootnoteReference"/>
          <w:rFonts w:ascii="Calibri" w:hAnsi="Calibri" w:cs="Calibri"/>
        </w:rPr>
        <w:footnoteReference w:id="444"/>
      </w:r>
      <w:r>
        <w:rPr>
          <w:rFonts w:ascii="Calibri" w:hAnsi="Calibri" w:cs="Calibri"/>
        </w:rPr>
        <w:t>.</w:t>
      </w:r>
    </w:p>
    <w:p w14:paraId="6A0FCAEE" w14:textId="77777777" w:rsidR="00F54F85" w:rsidRDefault="00F54F85" w:rsidP="00F54F85">
      <w:pPr>
        <w:spacing w:after="0"/>
        <w:rPr>
          <w:rFonts w:ascii="Calibri" w:hAnsi="Calibri" w:cs="Calibri"/>
        </w:rPr>
      </w:pPr>
    </w:p>
    <w:p w14:paraId="7AE8EE3D" w14:textId="0795CF2E" w:rsidR="00F54F85" w:rsidRDefault="00F54F85" w:rsidP="00F54F85">
      <w:pPr>
        <w:spacing w:after="0"/>
        <w:rPr>
          <w:rFonts w:ascii="Calibri" w:hAnsi="Calibri" w:cs="Calibri"/>
        </w:rPr>
      </w:pPr>
      <w:r w:rsidRPr="78C8C6D2">
        <w:rPr>
          <w:rFonts w:ascii="Calibri" w:hAnsi="Calibri" w:cs="Calibri"/>
        </w:rPr>
        <w:t>With a landfill tax of approximately EUR 15, Hungary has one of the lowest landfill taxes in the EU. By increasing the landfill tax, as was originally planned, to EUR 30, Hungary could create stronger economic incentives to divert waste from landfilling, supporting recycling and reducing waste production.</w:t>
      </w:r>
      <w:r w:rsidR="00EB59E3">
        <w:rPr>
          <w:rFonts w:ascii="Calibri" w:hAnsi="Calibri" w:cs="Calibri"/>
        </w:rPr>
        <w:t xml:space="preserve"> </w:t>
      </w:r>
      <w:r w:rsidR="004C34B1">
        <w:rPr>
          <w:rFonts w:ascii="Calibri" w:hAnsi="Calibri" w:cs="Calibri"/>
        </w:rPr>
        <w:t xml:space="preserve">However, if the increase happens, Hungary’s landfill tax would still be </w:t>
      </w:r>
      <w:r w:rsidR="0073684B">
        <w:rPr>
          <w:rFonts w:ascii="Calibri" w:hAnsi="Calibri" w:cs="Calibri"/>
        </w:rPr>
        <w:t>lower than the average landfill tax in the EU</w:t>
      </w:r>
      <w:r w:rsidR="0073684B">
        <w:rPr>
          <w:rStyle w:val="FootnoteReference"/>
          <w:rFonts w:ascii="Calibri" w:hAnsi="Calibri" w:cs="Calibri"/>
        </w:rPr>
        <w:footnoteReference w:id="445"/>
      </w:r>
    </w:p>
    <w:p w14:paraId="55089BEF" w14:textId="77777777" w:rsidR="00F54F85" w:rsidRPr="00C92347" w:rsidRDefault="00F54F85" w:rsidP="007C4EB7">
      <w:pPr>
        <w:pStyle w:val="AnnexHeading2"/>
        <w:rPr>
          <w:lang w:val="en-US"/>
        </w:rPr>
      </w:pPr>
      <w:bookmarkStart w:id="210" w:name="_Toc214008891"/>
      <w:r w:rsidRPr="00F54F85">
        <w:t>Potential</w:t>
      </w:r>
      <w:r>
        <w:t xml:space="preserve"> for implementing additional environmental taxes</w:t>
      </w:r>
      <w:bookmarkEnd w:id="210"/>
      <w:r w:rsidRPr="00C92347">
        <w:rPr>
          <w:lang w:val="en-US"/>
        </w:rPr>
        <w:t> </w:t>
      </w:r>
    </w:p>
    <w:p w14:paraId="465310BE" w14:textId="51FF886A" w:rsidR="00F54F85" w:rsidRDefault="00F54F85" w:rsidP="00F54F85">
      <w:r>
        <w:t xml:space="preserve">The 2016 Eunomia/IEEP report recommended to raise the landfill tax for non-hazardous wastes to EUR 50 per tonne in 2019, indexing rates so that the tax would remain constant in real terms afterward. As Hungary’s landfill tax is still considerably lower, this recommendation continues to be relevant today. </w:t>
      </w:r>
      <w:r w:rsidR="00DB22E2">
        <w:t xml:space="preserve">In 2023, the European Commission </w:t>
      </w:r>
      <w:r w:rsidR="00403269">
        <w:t xml:space="preserve">also recommended increasing Hungary’s landfill tax, as well as implementing </w:t>
      </w:r>
      <w:r w:rsidR="00EE3157">
        <w:t>pay-as-you-throw schemes</w:t>
      </w:r>
      <w:r w:rsidR="00EE3157">
        <w:rPr>
          <w:rStyle w:val="FootnoteReference"/>
        </w:rPr>
        <w:footnoteReference w:id="446"/>
      </w:r>
      <w:r w:rsidR="00EE3157">
        <w:t>.</w:t>
      </w:r>
    </w:p>
    <w:p w14:paraId="7BB61898" w14:textId="77777777" w:rsidR="00F54F85" w:rsidRDefault="00F54F85" w:rsidP="00F54F85">
      <w:r>
        <w:t>Hungary’s mining royalties were also deemed too opaque, and the report suggested to complement them with a tax on aggregates – especially if the landfill tax did not provide the necessary incentives for finding alternative ways of using construction wastes.</w:t>
      </w:r>
    </w:p>
    <w:p w14:paraId="13DA7BAD" w14:textId="77777777" w:rsidR="00F54F85" w:rsidRDefault="00F54F85" w:rsidP="00F54F85">
      <w:r>
        <w:t>In addition, an incineration tax was recommended to encourage circularity instead of simply shifting from landfill to incineration. The suggested rate amounted to up to EUR 15 per tonne by 2019, with an equivalent rate for MBT facilities. This continues to be relevant as no incineration tax exists in Hungary to date.</w:t>
      </w:r>
    </w:p>
    <w:p w14:paraId="3FC76A73" w14:textId="77777777" w:rsidR="00F54F85" w:rsidRDefault="00F54F85" w:rsidP="00F54F85">
      <w:r>
        <w:t>The report also suggested increasing taxation on single-use plastic bags to EUR 0.06 in 2016, keeping the rate constant thereafter, and to raise charges for water abstraction and wastewater services.</w:t>
      </w:r>
    </w:p>
    <w:p w14:paraId="604B8602" w14:textId="77777777" w:rsidR="00F54F85" w:rsidRPr="00383692" w:rsidRDefault="00F54F85" w:rsidP="00F54F85">
      <w:r>
        <w:t xml:space="preserve">Air pollution taxes were identified as particularly relevant given high levels of air pollution in many Hungarian cities (Eunomia/IEEP, 2016). Finally, taxes on pesticides and fertilisers were also suggested. None of these have been implemented to date. </w:t>
      </w:r>
    </w:p>
    <w:p w14:paraId="53A6FCD2" w14:textId="12033158" w:rsidR="00C6218B" w:rsidRDefault="00F23896" w:rsidP="007C4EB7">
      <w:pPr>
        <w:pStyle w:val="AnnexHeading2"/>
      </w:pPr>
      <w:bookmarkStart w:id="211" w:name="_Toc214008892"/>
      <w:r w:rsidRPr="00EA4C9B">
        <w:lastRenderedPageBreak/>
        <w:t>Impacts and feasibility of implementing new taxes</w:t>
      </w:r>
      <w:bookmarkEnd w:id="211"/>
    </w:p>
    <w:p w14:paraId="0A7D8F67" w14:textId="75D56170" w:rsidR="00CF4F57" w:rsidRDefault="00CF4F57" w:rsidP="00CF4F57">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3F435D1D" w14:textId="77777777" w:rsidR="0033764D" w:rsidRPr="0033764D" w:rsidRDefault="0033764D" w:rsidP="0033764D">
      <w:pPr>
        <w:rPr>
          <w:lang w:eastAsia="en-GB"/>
        </w:rPr>
      </w:pPr>
      <w:r w:rsidRPr="0033764D">
        <w:rPr>
          <w:lang w:eastAsia="en-GB"/>
        </w:rPr>
        <w:t>Hungary’s environmental tax framework is uneven. Energy-related instruments and selected product fees are established, but non-energy taxes on pollution and resource use are limited in scope or set at levels that send weak price signals. The modelling indicates substantial scope for improvement under both scenarios, with the strongest environmental gains associated with higher landfill charges and the introduction (or strengthening) of wastewater effluent and minerals extraction taxes. Under Scenario A, reductions in waste to landfill and in mineral extraction are pronounced, while a benchmarked effluent charge yields measurable declines in pollutant loads. Product-based instruments on fertilisers and pesticides deliver moderate reductions in nutrient surplus and pesticide pressure, and calibrated air-pollutant charges (NOx, SO₂, PM₂.₅) secure incremental abatement from large point sources. Scenario B follows the same pattern at smaller magnitudes. Revenues scale accordingly: minerals and wastewater account for the largest fiscal uplift, with additional but more modest receipts from landfill and product taxes.</w:t>
      </w:r>
    </w:p>
    <w:p w14:paraId="4A65A2DC" w14:textId="060A912C" w:rsidR="0033764D" w:rsidRDefault="0033764D" w:rsidP="0033764D">
      <w:pPr>
        <w:rPr>
          <w:lang w:eastAsia="en-GB"/>
        </w:rPr>
      </w:pPr>
      <w:r>
        <w:rPr>
          <w:lang w:eastAsia="en-GB"/>
        </w:rPr>
        <w:t xml:space="preserve">Total revenues from the </w:t>
      </w:r>
      <w:r w:rsidR="007B606C">
        <w:t>investigated</w:t>
      </w:r>
      <w:r>
        <w:rPr>
          <w:lang w:eastAsia="en-GB"/>
        </w:rPr>
        <w:t xml:space="preserve"> taxes could rise by €638 million in 2030 and €654 million in 2035, respectively 2.9 and 3.0 times the revenues for pollution and resource taxes in 2023. The greatest gains are from water abstraction (43%), waste to landfill (30%) and water effluent (16%).  The other large contributors are pesticide and fertilizer taxes. No contribution is made from minerals aggregates as it they are already taxed at above the </w:t>
      </w:r>
      <w:r w:rsidR="007B606C">
        <w:t>investigated</w:t>
      </w:r>
      <w:r>
        <w:rPr>
          <w:lang w:eastAsia="en-GB"/>
        </w:rPr>
        <w:t xml:space="preserve"> minimum rates.  Reduction in emissions or use of materials is greatest for pesticides and waste to landfill (33% each), SO</w:t>
      </w:r>
      <w:r w:rsidRPr="0033764D">
        <w:rPr>
          <w:vertAlign w:val="subscript"/>
          <w:lang w:eastAsia="en-GB"/>
        </w:rPr>
        <w:t>2</w:t>
      </w:r>
      <w:r>
        <w:rPr>
          <w:lang w:eastAsia="en-GB"/>
        </w:rPr>
        <w:t xml:space="preserve"> (29%), fertilizers (24%), and SO2 (26-28%).</w:t>
      </w:r>
    </w:p>
    <w:tbl>
      <w:tblPr>
        <w:tblStyle w:val="Lentelstinklelis1"/>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123"/>
        <w:gridCol w:w="1122"/>
        <w:gridCol w:w="1029"/>
        <w:gridCol w:w="1214"/>
        <w:gridCol w:w="1018"/>
        <w:gridCol w:w="1280"/>
      </w:tblGrid>
      <w:tr w:rsidR="0033764D" w:rsidRPr="00F501DA" w14:paraId="19187F8E" w14:textId="77777777" w:rsidTr="003B60AD">
        <w:trPr>
          <w:trHeight w:val="261"/>
        </w:trPr>
        <w:tc>
          <w:tcPr>
            <w:tcW w:w="9024" w:type="dxa"/>
            <w:gridSpan w:val="7"/>
            <w:shd w:val="clear" w:color="auto" w:fill="003399"/>
          </w:tcPr>
          <w:p w14:paraId="3825B188" w14:textId="7F7D99AF" w:rsidR="0033764D" w:rsidRPr="00F23CBA" w:rsidRDefault="0033764D" w:rsidP="000878F6">
            <w:pPr>
              <w:pStyle w:val="Table"/>
              <w:rPr>
                <w:b/>
                <w:color w:val="FFFFFF" w:themeColor="background1"/>
                <w:lang w:eastAsia="en-GB"/>
              </w:rPr>
            </w:pPr>
            <w:r w:rsidRPr="00F23CBA">
              <w:rPr>
                <w:b/>
                <w:color w:val="FFFFFF" w:themeColor="background1"/>
              </w:rPr>
              <w:t xml:space="preserve">Table </w:t>
            </w:r>
            <w:r w:rsidR="00490085">
              <w:rPr>
                <w:b/>
                <w:bCs/>
                <w:color w:val="FFFFFF" w:themeColor="background1"/>
              </w:rPr>
              <w:t>A6</w:t>
            </w:r>
            <w:r w:rsidRPr="00F23CBA">
              <w:rPr>
                <w:b/>
                <w:bCs/>
                <w:color w:val="FFFFFF" w:themeColor="background1"/>
              </w:rPr>
              <w:t>-</w:t>
            </w:r>
            <w:r w:rsidRPr="00F23CBA">
              <w:rPr>
                <w:b/>
                <w:bCs/>
                <w:color w:val="FFFFFF" w:themeColor="background1"/>
              </w:rPr>
              <w:fldChar w:fldCharType="begin"/>
            </w:r>
            <w:r w:rsidRPr="00F23CBA">
              <w:rPr>
                <w:b/>
                <w:bCs/>
                <w:color w:val="FFFFFF" w:themeColor="background1"/>
              </w:rPr>
              <w:instrText xml:space="preserve"> SEQ Table_A5- \* ARABIC </w:instrText>
            </w:r>
            <w:r w:rsidRPr="00F23CBA">
              <w:rPr>
                <w:b/>
                <w:bCs/>
                <w:color w:val="FFFFFF" w:themeColor="background1"/>
              </w:rPr>
              <w:fldChar w:fldCharType="separate"/>
            </w:r>
            <w:r>
              <w:rPr>
                <w:b/>
                <w:bCs/>
                <w:noProof/>
                <w:color w:val="FFFFFF" w:themeColor="background1"/>
              </w:rPr>
              <w:t>72</w:t>
            </w:r>
            <w:r w:rsidRPr="00F23CBA">
              <w:rPr>
                <w:b/>
                <w:bCs/>
                <w:color w:val="FFFFFF" w:themeColor="background1"/>
              </w:rPr>
              <w:fldChar w:fldCharType="end"/>
            </w:r>
            <w:r w:rsidRPr="00F23CBA">
              <w:rPr>
                <w:b/>
                <w:bCs/>
                <w:color w:val="FFFFFF" w:themeColor="background1"/>
                <w:lang w:eastAsia="en-GB"/>
              </w:rPr>
              <w:t>:</w:t>
            </w:r>
            <w:r w:rsidRPr="00F23CBA">
              <w:rPr>
                <w:b/>
                <w:color w:val="FFFFFF" w:themeColor="background1"/>
                <w:lang w:eastAsia="en-GB"/>
              </w:rPr>
              <w:t xml:space="preserve"> Environmental Impacts and Revenue Changes in Hungary</w:t>
            </w:r>
            <w:r>
              <w:rPr>
                <w:b/>
                <w:color w:val="FFFFFF" w:themeColor="background1"/>
                <w:lang w:eastAsia="en-GB"/>
              </w:rPr>
              <w:t xml:space="preserve"> – Scenario A</w:t>
            </w:r>
          </w:p>
        </w:tc>
      </w:tr>
      <w:tr w:rsidR="0033764D" w:rsidRPr="00F501DA" w14:paraId="689C0A2E" w14:textId="77777777" w:rsidTr="003B60AD">
        <w:trPr>
          <w:trHeight w:val="497"/>
        </w:trPr>
        <w:tc>
          <w:tcPr>
            <w:tcW w:w="2256" w:type="dxa"/>
          </w:tcPr>
          <w:p w14:paraId="5BE2398F" w14:textId="77777777" w:rsidR="0033764D" w:rsidRPr="00F23CBA" w:rsidRDefault="0033764D" w:rsidP="000878F6">
            <w:pPr>
              <w:pStyle w:val="Table"/>
              <w:rPr>
                <w:b/>
              </w:rPr>
            </w:pPr>
            <w:r w:rsidRPr="00F23CBA">
              <w:rPr>
                <w:b/>
              </w:rPr>
              <w:t>Tax Name</w:t>
            </w:r>
          </w:p>
        </w:tc>
        <w:tc>
          <w:tcPr>
            <w:tcW w:w="2256" w:type="dxa"/>
            <w:gridSpan w:val="2"/>
            <w:vAlign w:val="bottom"/>
          </w:tcPr>
          <w:p w14:paraId="10C70E06" w14:textId="77777777" w:rsidR="0033764D" w:rsidRPr="00FA1226" w:rsidRDefault="0033764D" w:rsidP="000878F6">
            <w:pPr>
              <w:pStyle w:val="Table"/>
              <w:jc w:val="center"/>
              <w:rPr>
                <w:b/>
                <w:szCs w:val="20"/>
              </w:rPr>
            </w:pPr>
            <w:r w:rsidRPr="00FA1226">
              <w:rPr>
                <w:rFonts w:ascii="Calibri" w:hAnsi="Calibri" w:cs="Calibri"/>
                <w:b/>
                <w:bCs/>
                <w:color w:val="000000"/>
                <w:szCs w:val="20"/>
              </w:rPr>
              <w:t>% Change in Quantities as % of taxed sector</w:t>
            </w:r>
          </w:p>
        </w:tc>
        <w:tc>
          <w:tcPr>
            <w:tcW w:w="2256" w:type="dxa"/>
            <w:gridSpan w:val="2"/>
            <w:vAlign w:val="bottom"/>
          </w:tcPr>
          <w:p w14:paraId="3F71C54F" w14:textId="77777777" w:rsidR="0033764D" w:rsidRPr="00FA1226" w:rsidRDefault="0033764D" w:rsidP="000878F6">
            <w:pPr>
              <w:pStyle w:val="Table"/>
              <w:jc w:val="center"/>
              <w:rPr>
                <w:b/>
                <w:szCs w:val="20"/>
              </w:rPr>
            </w:pPr>
            <w:r w:rsidRPr="00FA1226">
              <w:rPr>
                <w:rFonts w:ascii="Calibri" w:hAnsi="Calibri" w:cs="Calibri"/>
                <w:b/>
                <w:bCs/>
                <w:color w:val="000000"/>
                <w:szCs w:val="20"/>
              </w:rPr>
              <w:t>Change in Revenues (€Mn)</w:t>
            </w:r>
          </w:p>
        </w:tc>
        <w:tc>
          <w:tcPr>
            <w:tcW w:w="2256" w:type="dxa"/>
            <w:gridSpan w:val="2"/>
            <w:vAlign w:val="bottom"/>
          </w:tcPr>
          <w:p w14:paraId="0AAB4C55" w14:textId="77777777" w:rsidR="0033764D" w:rsidRPr="00FA1226" w:rsidRDefault="0033764D" w:rsidP="000878F6">
            <w:pPr>
              <w:pStyle w:val="Table"/>
              <w:jc w:val="center"/>
              <w:rPr>
                <w:b/>
                <w:szCs w:val="20"/>
              </w:rPr>
            </w:pPr>
            <w:r w:rsidRPr="00FA1226">
              <w:rPr>
                <w:rFonts w:ascii="Calibri" w:hAnsi="Calibri" w:cs="Calibri"/>
                <w:b/>
                <w:bCs/>
                <w:color w:val="000000"/>
                <w:szCs w:val="20"/>
              </w:rPr>
              <w:t>As % of 2023 Resource Tax</w:t>
            </w:r>
          </w:p>
        </w:tc>
      </w:tr>
      <w:tr w:rsidR="0033764D" w:rsidRPr="001840EB" w14:paraId="70B84984" w14:textId="77777777" w:rsidTr="003B60AD">
        <w:trPr>
          <w:trHeight w:val="239"/>
        </w:trPr>
        <w:tc>
          <w:tcPr>
            <w:tcW w:w="2256" w:type="dxa"/>
          </w:tcPr>
          <w:p w14:paraId="453F747B" w14:textId="77777777" w:rsidR="0033764D" w:rsidRPr="00687601" w:rsidRDefault="0033764D" w:rsidP="000878F6">
            <w:pPr>
              <w:pStyle w:val="Table"/>
              <w:rPr>
                <w:b/>
              </w:rPr>
            </w:pPr>
            <w:r w:rsidRPr="00687601">
              <w:rPr>
                <w:b/>
              </w:rPr>
              <w:t>Year</w:t>
            </w:r>
          </w:p>
        </w:tc>
        <w:tc>
          <w:tcPr>
            <w:tcW w:w="1128" w:type="dxa"/>
          </w:tcPr>
          <w:p w14:paraId="2E64707F" w14:textId="77777777" w:rsidR="0033764D" w:rsidRPr="00FA1226" w:rsidRDefault="0033764D" w:rsidP="000878F6">
            <w:pPr>
              <w:pStyle w:val="Table"/>
              <w:jc w:val="center"/>
              <w:rPr>
                <w:b/>
                <w:szCs w:val="20"/>
              </w:rPr>
            </w:pPr>
            <w:r w:rsidRPr="00FA1226">
              <w:rPr>
                <w:b/>
                <w:szCs w:val="20"/>
              </w:rPr>
              <w:t>2030</w:t>
            </w:r>
          </w:p>
        </w:tc>
        <w:tc>
          <w:tcPr>
            <w:tcW w:w="1128" w:type="dxa"/>
          </w:tcPr>
          <w:p w14:paraId="5E3C7B7F" w14:textId="77777777" w:rsidR="0033764D" w:rsidRPr="00FA1226" w:rsidRDefault="0033764D" w:rsidP="000878F6">
            <w:pPr>
              <w:pStyle w:val="Table"/>
              <w:jc w:val="center"/>
              <w:rPr>
                <w:b/>
                <w:szCs w:val="20"/>
              </w:rPr>
            </w:pPr>
            <w:r w:rsidRPr="00FA1226">
              <w:rPr>
                <w:b/>
                <w:szCs w:val="20"/>
              </w:rPr>
              <w:t>2035</w:t>
            </w:r>
          </w:p>
        </w:tc>
        <w:tc>
          <w:tcPr>
            <w:tcW w:w="1034" w:type="dxa"/>
          </w:tcPr>
          <w:p w14:paraId="515A9C4A" w14:textId="77777777" w:rsidR="0033764D" w:rsidRPr="00FA1226" w:rsidRDefault="0033764D" w:rsidP="000878F6">
            <w:pPr>
              <w:pStyle w:val="Table"/>
              <w:jc w:val="center"/>
              <w:rPr>
                <w:b/>
                <w:szCs w:val="20"/>
              </w:rPr>
            </w:pPr>
            <w:r w:rsidRPr="00FA1226">
              <w:rPr>
                <w:b/>
                <w:szCs w:val="20"/>
              </w:rPr>
              <w:t>2030</w:t>
            </w:r>
          </w:p>
        </w:tc>
        <w:tc>
          <w:tcPr>
            <w:tcW w:w="1222" w:type="dxa"/>
          </w:tcPr>
          <w:p w14:paraId="1C2AA4F7" w14:textId="77777777" w:rsidR="0033764D" w:rsidRPr="00FA1226" w:rsidRDefault="0033764D" w:rsidP="000878F6">
            <w:pPr>
              <w:pStyle w:val="Table"/>
              <w:jc w:val="center"/>
              <w:rPr>
                <w:b/>
                <w:szCs w:val="20"/>
              </w:rPr>
            </w:pPr>
            <w:r w:rsidRPr="00FA1226">
              <w:rPr>
                <w:b/>
                <w:szCs w:val="20"/>
              </w:rPr>
              <w:t>2035</w:t>
            </w:r>
          </w:p>
        </w:tc>
        <w:tc>
          <w:tcPr>
            <w:tcW w:w="971" w:type="dxa"/>
          </w:tcPr>
          <w:p w14:paraId="2B0768A8" w14:textId="77777777" w:rsidR="0033764D" w:rsidRPr="00FA1226" w:rsidRDefault="0033764D" w:rsidP="000878F6">
            <w:pPr>
              <w:pStyle w:val="Table"/>
              <w:jc w:val="center"/>
              <w:rPr>
                <w:b/>
                <w:szCs w:val="20"/>
              </w:rPr>
            </w:pPr>
            <w:r w:rsidRPr="00FA1226">
              <w:rPr>
                <w:b/>
                <w:szCs w:val="20"/>
              </w:rPr>
              <w:t>2030</w:t>
            </w:r>
          </w:p>
        </w:tc>
        <w:tc>
          <w:tcPr>
            <w:tcW w:w="1285" w:type="dxa"/>
          </w:tcPr>
          <w:p w14:paraId="5646AF1A" w14:textId="77777777" w:rsidR="0033764D" w:rsidRPr="00FA1226" w:rsidRDefault="0033764D" w:rsidP="000878F6">
            <w:pPr>
              <w:pStyle w:val="Table"/>
              <w:jc w:val="center"/>
              <w:rPr>
                <w:b/>
                <w:szCs w:val="20"/>
              </w:rPr>
            </w:pPr>
            <w:r w:rsidRPr="00FA1226">
              <w:rPr>
                <w:b/>
                <w:szCs w:val="20"/>
              </w:rPr>
              <w:t>2035</w:t>
            </w:r>
          </w:p>
        </w:tc>
      </w:tr>
      <w:tr w:rsidR="0033764D" w:rsidRPr="001840EB" w14:paraId="2267B604" w14:textId="77777777" w:rsidTr="003B60AD">
        <w:trPr>
          <w:trHeight w:val="239"/>
        </w:trPr>
        <w:tc>
          <w:tcPr>
            <w:tcW w:w="2256" w:type="dxa"/>
          </w:tcPr>
          <w:p w14:paraId="68E93B52" w14:textId="77777777" w:rsidR="0033764D" w:rsidRPr="00F501DA" w:rsidRDefault="0033764D" w:rsidP="000878F6">
            <w:pPr>
              <w:pStyle w:val="Table"/>
            </w:pPr>
            <w:r w:rsidRPr="00F501DA">
              <w:t>NOx</w:t>
            </w:r>
          </w:p>
        </w:tc>
        <w:tc>
          <w:tcPr>
            <w:tcW w:w="1128" w:type="dxa"/>
            <w:vAlign w:val="center"/>
          </w:tcPr>
          <w:p w14:paraId="5695A80E" w14:textId="77777777" w:rsidR="0033764D" w:rsidRPr="00FA1226" w:rsidRDefault="0033764D" w:rsidP="000878F6">
            <w:pPr>
              <w:pStyle w:val="Table"/>
              <w:jc w:val="center"/>
              <w:rPr>
                <w:szCs w:val="20"/>
              </w:rPr>
            </w:pPr>
            <w:r w:rsidRPr="00FA1226">
              <w:rPr>
                <w:rFonts w:ascii="Calibri" w:hAnsi="Calibri" w:cs="Calibri"/>
                <w:color w:val="000000"/>
                <w:szCs w:val="20"/>
              </w:rPr>
              <w:t>-28,57%</w:t>
            </w:r>
          </w:p>
        </w:tc>
        <w:tc>
          <w:tcPr>
            <w:tcW w:w="1128" w:type="dxa"/>
            <w:vAlign w:val="center"/>
          </w:tcPr>
          <w:p w14:paraId="465D172C" w14:textId="77777777" w:rsidR="0033764D" w:rsidRPr="00FA1226" w:rsidRDefault="0033764D" w:rsidP="000878F6">
            <w:pPr>
              <w:pStyle w:val="Table"/>
              <w:jc w:val="center"/>
              <w:rPr>
                <w:szCs w:val="20"/>
              </w:rPr>
            </w:pPr>
            <w:r w:rsidRPr="00FA1226">
              <w:rPr>
                <w:rFonts w:ascii="Calibri" w:hAnsi="Calibri" w:cs="Calibri"/>
                <w:color w:val="000000"/>
                <w:szCs w:val="20"/>
              </w:rPr>
              <w:t>-28,57%</w:t>
            </w:r>
          </w:p>
        </w:tc>
        <w:tc>
          <w:tcPr>
            <w:tcW w:w="1034" w:type="dxa"/>
            <w:vAlign w:val="center"/>
          </w:tcPr>
          <w:p w14:paraId="7C4ED703" w14:textId="77777777" w:rsidR="0033764D" w:rsidRPr="00FA1226" w:rsidRDefault="0033764D" w:rsidP="000878F6">
            <w:pPr>
              <w:pStyle w:val="Table"/>
              <w:jc w:val="center"/>
              <w:rPr>
                <w:szCs w:val="20"/>
              </w:rPr>
            </w:pPr>
            <w:r w:rsidRPr="00FA1226">
              <w:rPr>
                <w:rFonts w:ascii="Calibri" w:hAnsi="Calibri" w:cs="Calibri"/>
                <w:color w:val="000000"/>
                <w:szCs w:val="20"/>
              </w:rPr>
              <w:t>0,48</w:t>
            </w:r>
          </w:p>
        </w:tc>
        <w:tc>
          <w:tcPr>
            <w:tcW w:w="1222" w:type="dxa"/>
            <w:vAlign w:val="center"/>
          </w:tcPr>
          <w:p w14:paraId="779B7ABC" w14:textId="77777777" w:rsidR="0033764D" w:rsidRPr="00FA1226" w:rsidRDefault="0033764D" w:rsidP="000878F6">
            <w:pPr>
              <w:pStyle w:val="Table"/>
              <w:jc w:val="center"/>
              <w:rPr>
                <w:szCs w:val="20"/>
              </w:rPr>
            </w:pPr>
            <w:r w:rsidRPr="00FA1226">
              <w:rPr>
                <w:rFonts w:ascii="Calibri" w:hAnsi="Calibri" w:cs="Calibri"/>
                <w:color w:val="000000"/>
                <w:szCs w:val="20"/>
              </w:rPr>
              <w:t>0,45</w:t>
            </w:r>
          </w:p>
        </w:tc>
        <w:tc>
          <w:tcPr>
            <w:tcW w:w="971" w:type="dxa"/>
            <w:vAlign w:val="center"/>
          </w:tcPr>
          <w:p w14:paraId="22C066AD" w14:textId="77777777" w:rsidR="0033764D" w:rsidRPr="00FA1226" w:rsidRDefault="0033764D" w:rsidP="000878F6">
            <w:pPr>
              <w:pStyle w:val="Table"/>
              <w:jc w:val="center"/>
              <w:rPr>
                <w:szCs w:val="20"/>
              </w:rPr>
            </w:pPr>
            <w:r w:rsidRPr="00FA1226">
              <w:rPr>
                <w:rFonts w:ascii="Calibri" w:hAnsi="Calibri" w:cs="Calibri"/>
                <w:color w:val="000000"/>
                <w:szCs w:val="20"/>
              </w:rPr>
              <w:t>0,21%</w:t>
            </w:r>
          </w:p>
        </w:tc>
        <w:tc>
          <w:tcPr>
            <w:tcW w:w="1285" w:type="dxa"/>
            <w:vAlign w:val="center"/>
          </w:tcPr>
          <w:p w14:paraId="4A2FAF5F" w14:textId="77777777" w:rsidR="0033764D" w:rsidRPr="00FA1226" w:rsidRDefault="0033764D" w:rsidP="000878F6">
            <w:pPr>
              <w:pStyle w:val="Table"/>
              <w:jc w:val="center"/>
              <w:rPr>
                <w:szCs w:val="20"/>
              </w:rPr>
            </w:pPr>
            <w:r w:rsidRPr="00FA1226">
              <w:rPr>
                <w:rFonts w:ascii="Calibri" w:hAnsi="Calibri" w:cs="Calibri"/>
                <w:color w:val="000000"/>
                <w:szCs w:val="20"/>
              </w:rPr>
              <w:t>0,20%</w:t>
            </w:r>
          </w:p>
        </w:tc>
      </w:tr>
      <w:tr w:rsidR="0033764D" w:rsidRPr="001840EB" w14:paraId="63BDE9DB" w14:textId="77777777" w:rsidTr="003B60AD">
        <w:trPr>
          <w:trHeight w:val="239"/>
        </w:trPr>
        <w:tc>
          <w:tcPr>
            <w:tcW w:w="2256" w:type="dxa"/>
          </w:tcPr>
          <w:p w14:paraId="7FBE7D82" w14:textId="77777777" w:rsidR="0033764D" w:rsidRPr="00F501DA" w:rsidRDefault="0033764D" w:rsidP="000878F6">
            <w:pPr>
              <w:pStyle w:val="Table"/>
            </w:pPr>
            <w:r w:rsidRPr="00F501DA">
              <w:t>SO2</w:t>
            </w:r>
          </w:p>
        </w:tc>
        <w:tc>
          <w:tcPr>
            <w:tcW w:w="1128" w:type="dxa"/>
            <w:vAlign w:val="center"/>
          </w:tcPr>
          <w:p w14:paraId="49E1DE0F" w14:textId="77777777" w:rsidR="0033764D" w:rsidRPr="00FA1226" w:rsidRDefault="0033764D" w:rsidP="000878F6">
            <w:pPr>
              <w:pStyle w:val="Table"/>
              <w:jc w:val="center"/>
              <w:rPr>
                <w:szCs w:val="20"/>
              </w:rPr>
            </w:pPr>
            <w:r w:rsidRPr="00FA1226">
              <w:rPr>
                <w:rFonts w:ascii="Calibri" w:hAnsi="Calibri" w:cs="Calibri"/>
                <w:color w:val="000000"/>
                <w:szCs w:val="20"/>
              </w:rPr>
              <w:t>-32,43%</w:t>
            </w:r>
          </w:p>
        </w:tc>
        <w:tc>
          <w:tcPr>
            <w:tcW w:w="1128" w:type="dxa"/>
            <w:vAlign w:val="center"/>
          </w:tcPr>
          <w:p w14:paraId="7910CC9F" w14:textId="77777777" w:rsidR="0033764D" w:rsidRPr="00FA1226" w:rsidRDefault="0033764D" w:rsidP="000878F6">
            <w:pPr>
              <w:pStyle w:val="Table"/>
              <w:jc w:val="center"/>
              <w:rPr>
                <w:szCs w:val="20"/>
              </w:rPr>
            </w:pPr>
            <w:r w:rsidRPr="00FA1226">
              <w:rPr>
                <w:rFonts w:ascii="Calibri" w:hAnsi="Calibri" w:cs="Calibri"/>
                <w:color w:val="000000"/>
                <w:szCs w:val="20"/>
              </w:rPr>
              <w:t>-32,43%</w:t>
            </w:r>
          </w:p>
        </w:tc>
        <w:tc>
          <w:tcPr>
            <w:tcW w:w="1034" w:type="dxa"/>
            <w:vAlign w:val="center"/>
          </w:tcPr>
          <w:p w14:paraId="1486F48A" w14:textId="77777777" w:rsidR="0033764D" w:rsidRPr="00FA1226" w:rsidRDefault="0033764D" w:rsidP="000878F6">
            <w:pPr>
              <w:pStyle w:val="Table"/>
              <w:jc w:val="center"/>
              <w:rPr>
                <w:szCs w:val="20"/>
              </w:rPr>
            </w:pPr>
            <w:r w:rsidRPr="00FA1226">
              <w:rPr>
                <w:rFonts w:ascii="Calibri" w:hAnsi="Calibri" w:cs="Calibri"/>
                <w:color w:val="000000"/>
                <w:szCs w:val="20"/>
              </w:rPr>
              <w:t>4,31</w:t>
            </w:r>
          </w:p>
        </w:tc>
        <w:tc>
          <w:tcPr>
            <w:tcW w:w="1222" w:type="dxa"/>
            <w:vAlign w:val="center"/>
          </w:tcPr>
          <w:p w14:paraId="18600084" w14:textId="77777777" w:rsidR="0033764D" w:rsidRPr="00FA1226" w:rsidRDefault="0033764D" w:rsidP="000878F6">
            <w:pPr>
              <w:pStyle w:val="Table"/>
              <w:jc w:val="center"/>
              <w:rPr>
                <w:szCs w:val="20"/>
              </w:rPr>
            </w:pPr>
            <w:r w:rsidRPr="00FA1226">
              <w:rPr>
                <w:rFonts w:ascii="Calibri" w:hAnsi="Calibri" w:cs="Calibri"/>
                <w:color w:val="000000"/>
                <w:szCs w:val="20"/>
              </w:rPr>
              <w:t>3,38</w:t>
            </w:r>
          </w:p>
        </w:tc>
        <w:tc>
          <w:tcPr>
            <w:tcW w:w="971" w:type="dxa"/>
            <w:vAlign w:val="center"/>
          </w:tcPr>
          <w:p w14:paraId="36008C24" w14:textId="77777777" w:rsidR="0033764D" w:rsidRPr="00FA1226" w:rsidRDefault="0033764D" w:rsidP="000878F6">
            <w:pPr>
              <w:pStyle w:val="Table"/>
              <w:jc w:val="center"/>
              <w:rPr>
                <w:szCs w:val="20"/>
              </w:rPr>
            </w:pPr>
            <w:r w:rsidRPr="00FA1226">
              <w:rPr>
                <w:rFonts w:ascii="Calibri" w:hAnsi="Calibri" w:cs="Calibri"/>
                <w:color w:val="000000"/>
                <w:szCs w:val="20"/>
              </w:rPr>
              <w:t>1,91%</w:t>
            </w:r>
          </w:p>
        </w:tc>
        <w:tc>
          <w:tcPr>
            <w:tcW w:w="1285" w:type="dxa"/>
            <w:vAlign w:val="center"/>
          </w:tcPr>
          <w:p w14:paraId="4E0CFFCB" w14:textId="77777777" w:rsidR="0033764D" w:rsidRPr="00FA1226" w:rsidRDefault="0033764D" w:rsidP="000878F6">
            <w:pPr>
              <w:pStyle w:val="Table"/>
              <w:jc w:val="center"/>
              <w:rPr>
                <w:szCs w:val="20"/>
              </w:rPr>
            </w:pPr>
            <w:r w:rsidRPr="00FA1226">
              <w:rPr>
                <w:rFonts w:ascii="Calibri" w:hAnsi="Calibri" w:cs="Calibri"/>
                <w:color w:val="000000"/>
                <w:szCs w:val="20"/>
              </w:rPr>
              <w:t>1,50%</w:t>
            </w:r>
          </w:p>
        </w:tc>
      </w:tr>
      <w:tr w:rsidR="0033764D" w:rsidRPr="001840EB" w14:paraId="0909DD54" w14:textId="77777777" w:rsidTr="003B60AD">
        <w:trPr>
          <w:trHeight w:val="239"/>
        </w:trPr>
        <w:tc>
          <w:tcPr>
            <w:tcW w:w="2256" w:type="dxa"/>
          </w:tcPr>
          <w:p w14:paraId="07C171F8" w14:textId="77777777" w:rsidR="0033764D" w:rsidRPr="00F501DA" w:rsidRDefault="0033764D" w:rsidP="000878F6">
            <w:pPr>
              <w:pStyle w:val="Table"/>
            </w:pPr>
            <w:r w:rsidRPr="00F501DA">
              <w:t>PM2.5</w:t>
            </w:r>
          </w:p>
        </w:tc>
        <w:tc>
          <w:tcPr>
            <w:tcW w:w="1128" w:type="dxa"/>
            <w:vAlign w:val="center"/>
          </w:tcPr>
          <w:p w14:paraId="233DF0CA" w14:textId="77777777" w:rsidR="0033764D" w:rsidRPr="00FA1226" w:rsidRDefault="0033764D" w:rsidP="000878F6">
            <w:pPr>
              <w:pStyle w:val="Table"/>
              <w:jc w:val="center"/>
              <w:rPr>
                <w:szCs w:val="20"/>
              </w:rPr>
            </w:pPr>
            <w:r w:rsidRPr="00FA1226">
              <w:rPr>
                <w:rFonts w:ascii="Calibri" w:hAnsi="Calibri" w:cs="Calibri"/>
                <w:color w:val="000000"/>
                <w:szCs w:val="20"/>
              </w:rPr>
              <w:t>-29,58%</w:t>
            </w:r>
          </w:p>
        </w:tc>
        <w:tc>
          <w:tcPr>
            <w:tcW w:w="1128" w:type="dxa"/>
            <w:vAlign w:val="center"/>
          </w:tcPr>
          <w:p w14:paraId="1A4B49FB" w14:textId="77777777" w:rsidR="0033764D" w:rsidRPr="00FA1226" w:rsidRDefault="0033764D" w:rsidP="000878F6">
            <w:pPr>
              <w:pStyle w:val="Table"/>
              <w:jc w:val="center"/>
              <w:rPr>
                <w:szCs w:val="20"/>
              </w:rPr>
            </w:pPr>
            <w:r w:rsidRPr="00FA1226">
              <w:rPr>
                <w:rFonts w:ascii="Calibri" w:hAnsi="Calibri" w:cs="Calibri"/>
                <w:color w:val="000000"/>
                <w:szCs w:val="20"/>
              </w:rPr>
              <w:t>-29,58%</w:t>
            </w:r>
          </w:p>
        </w:tc>
        <w:tc>
          <w:tcPr>
            <w:tcW w:w="1034" w:type="dxa"/>
            <w:vAlign w:val="center"/>
          </w:tcPr>
          <w:p w14:paraId="5561D86E" w14:textId="77777777" w:rsidR="0033764D" w:rsidRPr="00FA1226" w:rsidRDefault="0033764D" w:rsidP="000878F6">
            <w:pPr>
              <w:pStyle w:val="Table"/>
              <w:jc w:val="center"/>
              <w:rPr>
                <w:szCs w:val="20"/>
              </w:rPr>
            </w:pPr>
            <w:r w:rsidRPr="00FA1226">
              <w:rPr>
                <w:rFonts w:ascii="Calibri" w:hAnsi="Calibri" w:cs="Calibri"/>
                <w:color w:val="000000"/>
                <w:szCs w:val="20"/>
              </w:rPr>
              <w:t>2,44</w:t>
            </w:r>
          </w:p>
        </w:tc>
        <w:tc>
          <w:tcPr>
            <w:tcW w:w="1222" w:type="dxa"/>
            <w:vAlign w:val="center"/>
          </w:tcPr>
          <w:p w14:paraId="25B8E149" w14:textId="77777777" w:rsidR="0033764D" w:rsidRPr="00FA1226" w:rsidRDefault="0033764D" w:rsidP="000878F6">
            <w:pPr>
              <w:pStyle w:val="Table"/>
              <w:jc w:val="center"/>
              <w:rPr>
                <w:szCs w:val="20"/>
              </w:rPr>
            </w:pPr>
            <w:r w:rsidRPr="00FA1226">
              <w:rPr>
                <w:rFonts w:ascii="Calibri" w:hAnsi="Calibri" w:cs="Calibri"/>
                <w:color w:val="000000"/>
                <w:szCs w:val="20"/>
              </w:rPr>
              <w:t>1,97</w:t>
            </w:r>
          </w:p>
        </w:tc>
        <w:tc>
          <w:tcPr>
            <w:tcW w:w="971" w:type="dxa"/>
            <w:vAlign w:val="center"/>
          </w:tcPr>
          <w:p w14:paraId="40A76185" w14:textId="77777777" w:rsidR="0033764D" w:rsidRPr="00FA1226" w:rsidRDefault="0033764D" w:rsidP="000878F6">
            <w:pPr>
              <w:pStyle w:val="Table"/>
              <w:jc w:val="center"/>
              <w:rPr>
                <w:szCs w:val="20"/>
              </w:rPr>
            </w:pPr>
            <w:r w:rsidRPr="00FA1226">
              <w:rPr>
                <w:rFonts w:ascii="Calibri" w:hAnsi="Calibri" w:cs="Calibri"/>
                <w:color w:val="000000"/>
                <w:szCs w:val="20"/>
              </w:rPr>
              <w:t>1,08%</w:t>
            </w:r>
          </w:p>
        </w:tc>
        <w:tc>
          <w:tcPr>
            <w:tcW w:w="1285" w:type="dxa"/>
            <w:vAlign w:val="center"/>
          </w:tcPr>
          <w:p w14:paraId="70550767" w14:textId="77777777" w:rsidR="0033764D" w:rsidRPr="00FA1226" w:rsidRDefault="0033764D" w:rsidP="000878F6">
            <w:pPr>
              <w:pStyle w:val="Table"/>
              <w:jc w:val="center"/>
              <w:rPr>
                <w:szCs w:val="20"/>
              </w:rPr>
            </w:pPr>
            <w:r w:rsidRPr="00FA1226">
              <w:rPr>
                <w:rFonts w:ascii="Calibri" w:hAnsi="Calibri" w:cs="Calibri"/>
                <w:color w:val="000000"/>
                <w:szCs w:val="20"/>
              </w:rPr>
              <w:t>0,87%</w:t>
            </w:r>
          </w:p>
        </w:tc>
      </w:tr>
      <w:tr w:rsidR="0033764D" w:rsidRPr="001840EB" w14:paraId="3BCC66D7" w14:textId="77777777" w:rsidTr="003B60AD">
        <w:trPr>
          <w:trHeight w:val="239"/>
        </w:trPr>
        <w:tc>
          <w:tcPr>
            <w:tcW w:w="2256" w:type="dxa"/>
          </w:tcPr>
          <w:p w14:paraId="5A7C8A00" w14:textId="77777777" w:rsidR="0033764D" w:rsidRPr="00F501DA" w:rsidRDefault="0033764D" w:rsidP="000878F6">
            <w:pPr>
              <w:pStyle w:val="Table"/>
            </w:pPr>
            <w:r w:rsidRPr="00F501DA">
              <w:t>Water Abstraction</w:t>
            </w:r>
          </w:p>
        </w:tc>
        <w:tc>
          <w:tcPr>
            <w:tcW w:w="1128" w:type="dxa"/>
            <w:vAlign w:val="center"/>
          </w:tcPr>
          <w:p w14:paraId="76C6FB76" w14:textId="77777777" w:rsidR="0033764D" w:rsidRPr="00FA1226" w:rsidRDefault="0033764D" w:rsidP="000878F6">
            <w:pPr>
              <w:pStyle w:val="Table"/>
              <w:jc w:val="center"/>
              <w:rPr>
                <w:szCs w:val="20"/>
              </w:rPr>
            </w:pPr>
            <w:r w:rsidRPr="00FA1226">
              <w:rPr>
                <w:rFonts w:ascii="Calibri" w:hAnsi="Calibri" w:cs="Calibri"/>
                <w:color w:val="000000"/>
                <w:szCs w:val="20"/>
              </w:rPr>
              <w:t>-5,95%</w:t>
            </w:r>
          </w:p>
        </w:tc>
        <w:tc>
          <w:tcPr>
            <w:tcW w:w="1128" w:type="dxa"/>
            <w:vAlign w:val="center"/>
          </w:tcPr>
          <w:p w14:paraId="4AA9D96C" w14:textId="77777777" w:rsidR="0033764D" w:rsidRPr="00FA1226" w:rsidRDefault="0033764D" w:rsidP="000878F6">
            <w:pPr>
              <w:pStyle w:val="Table"/>
              <w:jc w:val="center"/>
              <w:rPr>
                <w:szCs w:val="20"/>
              </w:rPr>
            </w:pPr>
            <w:r w:rsidRPr="00FA1226">
              <w:rPr>
                <w:rFonts w:ascii="Calibri" w:hAnsi="Calibri" w:cs="Calibri"/>
                <w:color w:val="000000"/>
                <w:szCs w:val="20"/>
              </w:rPr>
              <w:t>-5,95%</w:t>
            </w:r>
          </w:p>
        </w:tc>
        <w:tc>
          <w:tcPr>
            <w:tcW w:w="1034" w:type="dxa"/>
            <w:vAlign w:val="center"/>
          </w:tcPr>
          <w:p w14:paraId="7106F24D" w14:textId="77777777" w:rsidR="0033764D" w:rsidRPr="00FA1226" w:rsidRDefault="0033764D" w:rsidP="000878F6">
            <w:pPr>
              <w:pStyle w:val="Table"/>
              <w:jc w:val="center"/>
              <w:rPr>
                <w:szCs w:val="20"/>
              </w:rPr>
            </w:pPr>
            <w:r w:rsidRPr="00FA1226">
              <w:rPr>
                <w:rFonts w:ascii="Calibri" w:hAnsi="Calibri" w:cs="Calibri"/>
                <w:color w:val="000000"/>
                <w:szCs w:val="20"/>
              </w:rPr>
              <w:t>277,21</w:t>
            </w:r>
          </w:p>
        </w:tc>
        <w:tc>
          <w:tcPr>
            <w:tcW w:w="1222" w:type="dxa"/>
            <w:vAlign w:val="center"/>
          </w:tcPr>
          <w:p w14:paraId="328A6DA8" w14:textId="77777777" w:rsidR="0033764D" w:rsidRPr="00FA1226" w:rsidRDefault="0033764D" w:rsidP="000878F6">
            <w:pPr>
              <w:pStyle w:val="Table"/>
              <w:jc w:val="center"/>
              <w:rPr>
                <w:szCs w:val="20"/>
              </w:rPr>
            </w:pPr>
            <w:r w:rsidRPr="00FA1226">
              <w:rPr>
                <w:rFonts w:ascii="Calibri" w:hAnsi="Calibri" w:cs="Calibri"/>
                <w:color w:val="000000"/>
                <w:szCs w:val="20"/>
              </w:rPr>
              <w:t>293,80</w:t>
            </w:r>
          </w:p>
        </w:tc>
        <w:tc>
          <w:tcPr>
            <w:tcW w:w="971" w:type="dxa"/>
            <w:vAlign w:val="center"/>
          </w:tcPr>
          <w:p w14:paraId="039D9F46" w14:textId="77777777" w:rsidR="0033764D" w:rsidRPr="00FA1226" w:rsidRDefault="0033764D" w:rsidP="000878F6">
            <w:pPr>
              <w:pStyle w:val="Table"/>
              <w:jc w:val="center"/>
              <w:rPr>
                <w:szCs w:val="20"/>
                <w:lang w:val="lt-LT"/>
              </w:rPr>
            </w:pPr>
            <w:r w:rsidRPr="00FA1226">
              <w:rPr>
                <w:rFonts w:ascii="Calibri" w:hAnsi="Calibri" w:cs="Calibri"/>
                <w:color w:val="000000"/>
                <w:szCs w:val="20"/>
              </w:rPr>
              <w:t>2100,10%</w:t>
            </w:r>
          </w:p>
        </w:tc>
        <w:tc>
          <w:tcPr>
            <w:tcW w:w="1285" w:type="dxa"/>
            <w:vAlign w:val="center"/>
          </w:tcPr>
          <w:p w14:paraId="50F400B8" w14:textId="77777777" w:rsidR="0033764D" w:rsidRPr="00FA1226" w:rsidRDefault="0033764D" w:rsidP="000878F6">
            <w:pPr>
              <w:pStyle w:val="Table"/>
              <w:jc w:val="center"/>
              <w:rPr>
                <w:szCs w:val="20"/>
              </w:rPr>
            </w:pPr>
            <w:r w:rsidRPr="00FA1226">
              <w:rPr>
                <w:rFonts w:ascii="Calibri" w:hAnsi="Calibri" w:cs="Calibri"/>
                <w:color w:val="000000"/>
                <w:szCs w:val="20"/>
              </w:rPr>
              <w:t>2225,74%</w:t>
            </w:r>
          </w:p>
        </w:tc>
      </w:tr>
      <w:tr w:rsidR="0033764D" w:rsidRPr="001840EB" w14:paraId="19968AC1" w14:textId="77777777" w:rsidTr="003B60AD">
        <w:trPr>
          <w:trHeight w:val="256"/>
        </w:trPr>
        <w:tc>
          <w:tcPr>
            <w:tcW w:w="2256" w:type="dxa"/>
          </w:tcPr>
          <w:p w14:paraId="2B921156" w14:textId="77777777" w:rsidR="0033764D" w:rsidRPr="00F501DA" w:rsidRDefault="0033764D" w:rsidP="000878F6">
            <w:pPr>
              <w:pStyle w:val="Table"/>
            </w:pPr>
            <w:r w:rsidRPr="00F501DA">
              <w:t>Fertilizers</w:t>
            </w:r>
          </w:p>
        </w:tc>
        <w:tc>
          <w:tcPr>
            <w:tcW w:w="1128" w:type="dxa"/>
            <w:vAlign w:val="center"/>
          </w:tcPr>
          <w:p w14:paraId="1DAFD1CF" w14:textId="77777777" w:rsidR="0033764D" w:rsidRPr="00FA1226" w:rsidRDefault="0033764D" w:rsidP="000878F6">
            <w:pPr>
              <w:pStyle w:val="Table"/>
              <w:jc w:val="center"/>
              <w:rPr>
                <w:szCs w:val="20"/>
              </w:rPr>
            </w:pPr>
            <w:r w:rsidRPr="00FA1226">
              <w:rPr>
                <w:rFonts w:ascii="Calibri" w:hAnsi="Calibri" w:cs="Calibri"/>
                <w:color w:val="000000"/>
                <w:szCs w:val="20"/>
              </w:rPr>
              <w:t>-23,96%</w:t>
            </w:r>
          </w:p>
        </w:tc>
        <w:tc>
          <w:tcPr>
            <w:tcW w:w="1128" w:type="dxa"/>
            <w:vAlign w:val="center"/>
          </w:tcPr>
          <w:p w14:paraId="7D10A333" w14:textId="77777777" w:rsidR="0033764D" w:rsidRPr="00FA1226" w:rsidRDefault="0033764D" w:rsidP="000878F6">
            <w:pPr>
              <w:pStyle w:val="Table"/>
              <w:jc w:val="center"/>
              <w:rPr>
                <w:szCs w:val="20"/>
              </w:rPr>
            </w:pPr>
            <w:r w:rsidRPr="00FA1226">
              <w:rPr>
                <w:rFonts w:ascii="Calibri" w:hAnsi="Calibri" w:cs="Calibri"/>
                <w:color w:val="000000"/>
                <w:szCs w:val="20"/>
              </w:rPr>
              <w:t>-23,96%</w:t>
            </w:r>
          </w:p>
        </w:tc>
        <w:tc>
          <w:tcPr>
            <w:tcW w:w="1034" w:type="dxa"/>
            <w:vAlign w:val="center"/>
          </w:tcPr>
          <w:p w14:paraId="0251D3CB" w14:textId="77777777" w:rsidR="0033764D" w:rsidRPr="00FA1226" w:rsidRDefault="0033764D" w:rsidP="000878F6">
            <w:pPr>
              <w:pStyle w:val="Table"/>
              <w:jc w:val="center"/>
              <w:rPr>
                <w:szCs w:val="20"/>
              </w:rPr>
            </w:pPr>
            <w:r w:rsidRPr="00FA1226">
              <w:rPr>
                <w:rFonts w:ascii="Calibri" w:hAnsi="Calibri" w:cs="Calibri"/>
                <w:color w:val="000000"/>
                <w:szCs w:val="20"/>
              </w:rPr>
              <w:t>19,25</w:t>
            </w:r>
          </w:p>
        </w:tc>
        <w:tc>
          <w:tcPr>
            <w:tcW w:w="1222" w:type="dxa"/>
            <w:vAlign w:val="center"/>
          </w:tcPr>
          <w:p w14:paraId="1836B464" w14:textId="77777777" w:rsidR="0033764D" w:rsidRPr="00FA1226" w:rsidRDefault="0033764D" w:rsidP="000878F6">
            <w:pPr>
              <w:pStyle w:val="Table"/>
              <w:jc w:val="center"/>
              <w:rPr>
                <w:szCs w:val="20"/>
              </w:rPr>
            </w:pPr>
            <w:r w:rsidRPr="00FA1226">
              <w:rPr>
                <w:rFonts w:ascii="Calibri" w:hAnsi="Calibri" w:cs="Calibri"/>
                <w:color w:val="000000"/>
                <w:szCs w:val="20"/>
              </w:rPr>
              <w:t>19,02</w:t>
            </w:r>
          </w:p>
        </w:tc>
        <w:tc>
          <w:tcPr>
            <w:tcW w:w="971" w:type="dxa"/>
            <w:vAlign w:val="center"/>
          </w:tcPr>
          <w:p w14:paraId="05B3292A" w14:textId="77777777" w:rsidR="0033764D" w:rsidRPr="00FA1226" w:rsidRDefault="0033764D" w:rsidP="000878F6">
            <w:pPr>
              <w:pStyle w:val="Table"/>
              <w:jc w:val="center"/>
              <w:rPr>
                <w:szCs w:val="20"/>
              </w:rPr>
            </w:pPr>
            <w:r w:rsidRPr="00FA1226">
              <w:rPr>
                <w:rFonts w:ascii="Calibri" w:hAnsi="Calibri" w:cs="Calibri"/>
                <w:color w:val="000000"/>
                <w:szCs w:val="20"/>
              </w:rPr>
              <w:t>8,53%</w:t>
            </w:r>
          </w:p>
        </w:tc>
        <w:tc>
          <w:tcPr>
            <w:tcW w:w="1285" w:type="dxa"/>
            <w:vAlign w:val="center"/>
          </w:tcPr>
          <w:p w14:paraId="453EE9A7" w14:textId="77777777" w:rsidR="0033764D" w:rsidRPr="00FA1226" w:rsidRDefault="0033764D" w:rsidP="000878F6">
            <w:pPr>
              <w:pStyle w:val="Table"/>
              <w:jc w:val="center"/>
              <w:rPr>
                <w:szCs w:val="20"/>
              </w:rPr>
            </w:pPr>
            <w:r w:rsidRPr="00FA1226">
              <w:rPr>
                <w:rFonts w:ascii="Calibri" w:hAnsi="Calibri" w:cs="Calibri"/>
                <w:color w:val="000000"/>
                <w:szCs w:val="20"/>
              </w:rPr>
              <w:t>8,42%</w:t>
            </w:r>
          </w:p>
        </w:tc>
      </w:tr>
      <w:tr w:rsidR="0033764D" w:rsidRPr="001840EB" w14:paraId="5B3F913B" w14:textId="77777777" w:rsidTr="003B60AD">
        <w:trPr>
          <w:trHeight w:val="239"/>
        </w:trPr>
        <w:tc>
          <w:tcPr>
            <w:tcW w:w="2256" w:type="dxa"/>
          </w:tcPr>
          <w:p w14:paraId="3F55D4D9" w14:textId="77777777" w:rsidR="0033764D" w:rsidRPr="00F501DA" w:rsidRDefault="0033764D" w:rsidP="000878F6">
            <w:pPr>
              <w:pStyle w:val="Table"/>
            </w:pPr>
            <w:r w:rsidRPr="00F501DA">
              <w:t>Pesticides</w:t>
            </w:r>
          </w:p>
        </w:tc>
        <w:tc>
          <w:tcPr>
            <w:tcW w:w="1128" w:type="dxa"/>
            <w:vAlign w:val="center"/>
          </w:tcPr>
          <w:p w14:paraId="5AD34E4A" w14:textId="77777777" w:rsidR="0033764D" w:rsidRPr="00FA1226" w:rsidRDefault="0033764D" w:rsidP="000878F6">
            <w:pPr>
              <w:pStyle w:val="Table"/>
              <w:jc w:val="center"/>
              <w:rPr>
                <w:szCs w:val="20"/>
              </w:rPr>
            </w:pPr>
            <w:r w:rsidRPr="00FA1226">
              <w:rPr>
                <w:rFonts w:ascii="Calibri" w:hAnsi="Calibri" w:cs="Calibri"/>
                <w:color w:val="000000"/>
                <w:szCs w:val="20"/>
              </w:rPr>
              <w:t>n/a</w:t>
            </w:r>
          </w:p>
        </w:tc>
        <w:tc>
          <w:tcPr>
            <w:tcW w:w="1128" w:type="dxa"/>
            <w:vAlign w:val="center"/>
          </w:tcPr>
          <w:p w14:paraId="776F5554" w14:textId="77777777" w:rsidR="0033764D" w:rsidRPr="00FA1226" w:rsidRDefault="0033764D" w:rsidP="000878F6">
            <w:pPr>
              <w:pStyle w:val="Table"/>
              <w:jc w:val="center"/>
              <w:rPr>
                <w:szCs w:val="20"/>
              </w:rPr>
            </w:pPr>
            <w:r w:rsidRPr="00FA1226">
              <w:rPr>
                <w:rFonts w:ascii="Calibri" w:hAnsi="Calibri" w:cs="Calibri"/>
                <w:color w:val="000000"/>
                <w:szCs w:val="20"/>
              </w:rPr>
              <w:t>n/a</w:t>
            </w:r>
          </w:p>
        </w:tc>
        <w:tc>
          <w:tcPr>
            <w:tcW w:w="1034" w:type="dxa"/>
            <w:vAlign w:val="center"/>
          </w:tcPr>
          <w:p w14:paraId="05297FAA" w14:textId="77777777" w:rsidR="0033764D" w:rsidRPr="00FA1226" w:rsidRDefault="0033764D" w:rsidP="000878F6">
            <w:pPr>
              <w:pStyle w:val="Table"/>
              <w:jc w:val="center"/>
              <w:rPr>
                <w:szCs w:val="20"/>
              </w:rPr>
            </w:pPr>
            <w:r w:rsidRPr="00FA1226">
              <w:rPr>
                <w:rFonts w:ascii="Calibri" w:hAnsi="Calibri" w:cs="Calibri"/>
                <w:color w:val="000000"/>
                <w:szCs w:val="20"/>
              </w:rPr>
              <w:t>55,81</w:t>
            </w:r>
          </w:p>
        </w:tc>
        <w:tc>
          <w:tcPr>
            <w:tcW w:w="1222" w:type="dxa"/>
            <w:vAlign w:val="center"/>
          </w:tcPr>
          <w:p w14:paraId="241351E2" w14:textId="77777777" w:rsidR="0033764D" w:rsidRPr="00FA1226" w:rsidRDefault="0033764D" w:rsidP="000878F6">
            <w:pPr>
              <w:pStyle w:val="Table"/>
              <w:jc w:val="center"/>
              <w:rPr>
                <w:szCs w:val="20"/>
              </w:rPr>
            </w:pPr>
            <w:r w:rsidRPr="00FA1226">
              <w:rPr>
                <w:rFonts w:ascii="Calibri" w:hAnsi="Calibri" w:cs="Calibri"/>
                <w:color w:val="000000"/>
                <w:szCs w:val="20"/>
              </w:rPr>
              <w:t>55,64</w:t>
            </w:r>
          </w:p>
        </w:tc>
        <w:tc>
          <w:tcPr>
            <w:tcW w:w="971" w:type="dxa"/>
            <w:vAlign w:val="center"/>
          </w:tcPr>
          <w:p w14:paraId="14391CA0" w14:textId="77777777" w:rsidR="0033764D" w:rsidRPr="00FA1226" w:rsidRDefault="0033764D" w:rsidP="000878F6">
            <w:pPr>
              <w:pStyle w:val="Table"/>
              <w:jc w:val="center"/>
              <w:rPr>
                <w:szCs w:val="20"/>
              </w:rPr>
            </w:pPr>
            <w:r w:rsidRPr="00FA1226">
              <w:rPr>
                <w:rFonts w:ascii="Calibri" w:hAnsi="Calibri" w:cs="Calibri"/>
                <w:color w:val="000000"/>
                <w:szCs w:val="20"/>
              </w:rPr>
              <w:t>24,72%</w:t>
            </w:r>
          </w:p>
        </w:tc>
        <w:tc>
          <w:tcPr>
            <w:tcW w:w="1285" w:type="dxa"/>
            <w:vAlign w:val="center"/>
          </w:tcPr>
          <w:p w14:paraId="6E0BF193" w14:textId="77777777" w:rsidR="0033764D" w:rsidRPr="00FA1226" w:rsidRDefault="0033764D" w:rsidP="000878F6">
            <w:pPr>
              <w:pStyle w:val="Table"/>
              <w:jc w:val="center"/>
              <w:rPr>
                <w:szCs w:val="20"/>
              </w:rPr>
            </w:pPr>
            <w:r w:rsidRPr="00FA1226">
              <w:rPr>
                <w:rFonts w:ascii="Calibri" w:hAnsi="Calibri" w:cs="Calibri"/>
                <w:color w:val="000000"/>
                <w:szCs w:val="20"/>
              </w:rPr>
              <w:t>24,64%</w:t>
            </w:r>
          </w:p>
        </w:tc>
      </w:tr>
      <w:tr w:rsidR="0033764D" w:rsidRPr="001840EB" w14:paraId="152C2E78" w14:textId="77777777" w:rsidTr="003B60AD">
        <w:trPr>
          <w:trHeight w:val="239"/>
        </w:trPr>
        <w:tc>
          <w:tcPr>
            <w:tcW w:w="2256" w:type="dxa"/>
          </w:tcPr>
          <w:p w14:paraId="30B375CD" w14:textId="77777777" w:rsidR="0033764D" w:rsidRPr="00F501DA" w:rsidRDefault="0033764D" w:rsidP="000878F6">
            <w:pPr>
              <w:pStyle w:val="Table"/>
            </w:pPr>
            <w:r w:rsidRPr="00F501DA">
              <w:t>Waste Incineration</w:t>
            </w:r>
          </w:p>
        </w:tc>
        <w:tc>
          <w:tcPr>
            <w:tcW w:w="1128" w:type="dxa"/>
            <w:vAlign w:val="center"/>
          </w:tcPr>
          <w:p w14:paraId="6FBB0C7E" w14:textId="77777777" w:rsidR="0033764D" w:rsidRPr="00FA1226" w:rsidRDefault="0033764D" w:rsidP="000878F6">
            <w:pPr>
              <w:pStyle w:val="Table"/>
              <w:jc w:val="center"/>
              <w:rPr>
                <w:szCs w:val="20"/>
              </w:rPr>
            </w:pPr>
            <w:r w:rsidRPr="00FA1226">
              <w:rPr>
                <w:rFonts w:ascii="Calibri" w:hAnsi="Calibri" w:cs="Calibri"/>
                <w:color w:val="000000"/>
                <w:szCs w:val="20"/>
              </w:rPr>
              <w:t>-20,00%</w:t>
            </w:r>
          </w:p>
        </w:tc>
        <w:tc>
          <w:tcPr>
            <w:tcW w:w="1128" w:type="dxa"/>
            <w:vAlign w:val="center"/>
          </w:tcPr>
          <w:p w14:paraId="75DB2180" w14:textId="77777777" w:rsidR="0033764D" w:rsidRPr="00FA1226" w:rsidRDefault="0033764D" w:rsidP="000878F6">
            <w:pPr>
              <w:pStyle w:val="Table"/>
              <w:jc w:val="center"/>
              <w:rPr>
                <w:szCs w:val="20"/>
              </w:rPr>
            </w:pPr>
            <w:r w:rsidRPr="00FA1226">
              <w:rPr>
                <w:rFonts w:ascii="Calibri" w:hAnsi="Calibri" w:cs="Calibri"/>
                <w:color w:val="000000"/>
                <w:szCs w:val="20"/>
              </w:rPr>
              <w:t>-20,00%</w:t>
            </w:r>
          </w:p>
        </w:tc>
        <w:tc>
          <w:tcPr>
            <w:tcW w:w="1034" w:type="dxa"/>
            <w:vAlign w:val="center"/>
          </w:tcPr>
          <w:p w14:paraId="72A122B5" w14:textId="77777777" w:rsidR="0033764D" w:rsidRPr="00FA1226" w:rsidRDefault="0033764D" w:rsidP="000878F6">
            <w:pPr>
              <w:pStyle w:val="Table"/>
              <w:jc w:val="center"/>
              <w:rPr>
                <w:szCs w:val="20"/>
              </w:rPr>
            </w:pPr>
            <w:r w:rsidRPr="00FA1226">
              <w:rPr>
                <w:rFonts w:ascii="Calibri" w:hAnsi="Calibri" w:cs="Calibri"/>
                <w:color w:val="000000"/>
                <w:szCs w:val="20"/>
              </w:rPr>
              <w:t>1,51</w:t>
            </w:r>
          </w:p>
        </w:tc>
        <w:tc>
          <w:tcPr>
            <w:tcW w:w="1222" w:type="dxa"/>
            <w:vAlign w:val="center"/>
          </w:tcPr>
          <w:p w14:paraId="2ABD79A8" w14:textId="77777777" w:rsidR="0033764D" w:rsidRPr="00FA1226" w:rsidRDefault="0033764D" w:rsidP="000878F6">
            <w:pPr>
              <w:pStyle w:val="Table"/>
              <w:jc w:val="center"/>
              <w:rPr>
                <w:szCs w:val="20"/>
              </w:rPr>
            </w:pPr>
            <w:r w:rsidRPr="00FA1226">
              <w:rPr>
                <w:rFonts w:ascii="Calibri" w:hAnsi="Calibri" w:cs="Calibri"/>
                <w:color w:val="000000"/>
                <w:szCs w:val="20"/>
              </w:rPr>
              <w:t>1,67</w:t>
            </w:r>
          </w:p>
        </w:tc>
        <w:tc>
          <w:tcPr>
            <w:tcW w:w="971" w:type="dxa"/>
            <w:vAlign w:val="center"/>
          </w:tcPr>
          <w:p w14:paraId="41F0FE45" w14:textId="77777777" w:rsidR="0033764D" w:rsidRPr="00FA1226" w:rsidRDefault="0033764D" w:rsidP="000878F6">
            <w:pPr>
              <w:pStyle w:val="Table"/>
              <w:jc w:val="center"/>
              <w:rPr>
                <w:szCs w:val="20"/>
              </w:rPr>
            </w:pPr>
            <w:r w:rsidRPr="00FA1226">
              <w:rPr>
                <w:rFonts w:ascii="Calibri" w:hAnsi="Calibri" w:cs="Calibri"/>
                <w:color w:val="000000"/>
                <w:szCs w:val="20"/>
              </w:rPr>
              <w:t>0,67%</w:t>
            </w:r>
          </w:p>
        </w:tc>
        <w:tc>
          <w:tcPr>
            <w:tcW w:w="1285" w:type="dxa"/>
            <w:vAlign w:val="center"/>
          </w:tcPr>
          <w:p w14:paraId="5557678B" w14:textId="77777777" w:rsidR="0033764D" w:rsidRPr="00FA1226" w:rsidRDefault="0033764D" w:rsidP="000878F6">
            <w:pPr>
              <w:pStyle w:val="Table"/>
              <w:jc w:val="center"/>
              <w:rPr>
                <w:szCs w:val="20"/>
              </w:rPr>
            </w:pPr>
            <w:r w:rsidRPr="00FA1226">
              <w:rPr>
                <w:rFonts w:ascii="Calibri" w:hAnsi="Calibri" w:cs="Calibri"/>
                <w:color w:val="000000"/>
                <w:szCs w:val="20"/>
              </w:rPr>
              <w:t>0,74%</w:t>
            </w:r>
          </w:p>
        </w:tc>
      </w:tr>
      <w:tr w:rsidR="0033764D" w:rsidRPr="001840EB" w14:paraId="03626680" w14:textId="77777777" w:rsidTr="003B60AD">
        <w:trPr>
          <w:trHeight w:val="239"/>
        </w:trPr>
        <w:tc>
          <w:tcPr>
            <w:tcW w:w="2256" w:type="dxa"/>
          </w:tcPr>
          <w:p w14:paraId="5AFF6571" w14:textId="77777777" w:rsidR="0033764D" w:rsidRPr="00F501DA" w:rsidRDefault="0033764D" w:rsidP="000878F6">
            <w:pPr>
              <w:pStyle w:val="Table"/>
            </w:pPr>
            <w:r w:rsidRPr="00F501DA">
              <w:t>Waste to Landfill</w:t>
            </w:r>
          </w:p>
        </w:tc>
        <w:tc>
          <w:tcPr>
            <w:tcW w:w="1128" w:type="dxa"/>
            <w:vAlign w:val="center"/>
          </w:tcPr>
          <w:p w14:paraId="12E39491" w14:textId="77777777" w:rsidR="0033764D" w:rsidRPr="00FA1226" w:rsidRDefault="0033764D" w:rsidP="000878F6">
            <w:pPr>
              <w:pStyle w:val="Table"/>
              <w:jc w:val="center"/>
              <w:rPr>
                <w:szCs w:val="20"/>
              </w:rPr>
            </w:pPr>
            <w:r w:rsidRPr="00FA1226">
              <w:rPr>
                <w:rFonts w:ascii="Calibri" w:hAnsi="Calibri" w:cs="Calibri"/>
                <w:color w:val="000000"/>
                <w:szCs w:val="20"/>
              </w:rPr>
              <w:t>-32,96%</w:t>
            </w:r>
          </w:p>
        </w:tc>
        <w:tc>
          <w:tcPr>
            <w:tcW w:w="1128" w:type="dxa"/>
            <w:vAlign w:val="center"/>
          </w:tcPr>
          <w:p w14:paraId="3FC74376" w14:textId="77777777" w:rsidR="0033764D" w:rsidRPr="00FA1226" w:rsidRDefault="0033764D" w:rsidP="000878F6">
            <w:pPr>
              <w:pStyle w:val="Table"/>
              <w:jc w:val="center"/>
              <w:rPr>
                <w:szCs w:val="20"/>
              </w:rPr>
            </w:pPr>
            <w:r w:rsidRPr="00FA1226">
              <w:rPr>
                <w:rFonts w:ascii="Calibri" w:hAnsi="Calibri" w:cs="Calibri"/>
                <w:color w:val="000000"/>
                <w:szCs w:val="20"/>
              </w:rPr>
              <w:t>-32,96%</w:t>
            </w:r>
          </w:p>
        </w:tc>
        <w:tc>
          <w:tcPr>
            <w:tcW w:w="1034" w:type="dxa"/>
            <w:vAlign w:val="center"/>
          </w:tcPr>
          <w:p w14:paraId="5A73D5F7" w14:textId="77777777" w:rsidR="0033764D" w:rsidRPr="00FA1226" w:rsidRDefault="0033764D" w:rsidP="000878F6">
            <w:pPr>
              <w:pStyle w:val="Table"/>
              <w:jc w:val="center"/>
              <w:rPr>
                <w:szCs w:val="20"/>
              </w:rPr>
            </w:pPr>
            <w:r w:rsidRPr="00FA1226">
              <w:rPr>
                <w:rFonts w:ascii="Calibri" w:hAnsi="Calibri" w:cs="Calibri"/>
                <w:color w:val="000000"/>
                <w:szCs w:val="20"/>
              </w:rPr>
              <w:t>185,53</w:t>
            </w:r>
          </w:p>
        </w:tc>
        <w:tc>
          <w:tcPr>
            <w:tcW w:w="1222" w:type="dxa"/>
            <w:vAlign w:val="center"/>
          </w:tcPr>
          <w:p w14:paraId="28E4453D" w14:textId="77777777" w:rsidR="0033764D" w:rsidRPr="00FA1226" w:rsidRDefault="0033764D" w:rsidP="000878F6">
            <w:pPr>
              <w:pStyle w:val="Table"/>
              <w:jc w:val="center"/>
              <w:rPr>
                <w:szCs w:val="20"/>
              </w:rPr>
            </w:pPr>
            <w:r w:rsidRPr="00FA1226">
              <w:rPr>
                <w:rFonts w:ascii="Calibri" w:hAnsi="Calibri" w:cs="Calibri"/>
                <w:color w:val="000000"/>
                <w:szCs w:val="20"/>
              </w:rPr>
              <w:t>187,80</w:t>
            </w:r>
          </w:p>
        </w:tc>
        <w:tc>
          <w:tcPr>
            <w:tcW w:w="971" w:type="dxa"/>
            <w:vAlign w:val="center"/>
          </w:tcPr>
          <w:p w14:paraId="58410D33" w14:textId="77777777" w:rsidR="0033764D" w:rsidRPr="00FA1226" w:rsidRDefault="0033764D" w:rsidP="000878F6">
            <w:pPr>
              <w:pStyle w:val="Table"/>
              <w:jc w:val="center"/>
              <w:rPr>
                <w:szCs w:val="20"/>
              </w:rPr>
            </w:pPr>
            <w:r w:rsidRPr="00FA1226">
              <w:rPr>
                <w:rFonts w:ascii="Calibri" w:hAnsi="Calibri" w:cs="Calibri"/>
                <w:color w:val="000000"/>
                <w:szCs w:val="20"/>
              </w:rPr>
              <w:t>82,17%</w:t>
            </w:r>
          </w:p>
        </w:tc>
        <w:tc>
          <w:tcPr>
            <w:tcW w:w="1285" w:type="dxa"/>
            <w:vAlign w:val="center"/>
          </w:tcPr>
          <w:p w14:paraId="52A447C6" w14:textId="77777777" w:rsidR="0033764D" w:rsidRPr="00FA1226" w:rsidRDefault="0033764D" w:rsidP="000878F6">
            <w:pPr>
              <w:pStyle w:val="Table"/>
              <w:jc w:val="center"/>
              <w:rPr>
                <w:szCs w:val="20"/>
              </w:rPr>
            </w:pPr>
            <w:r w:rsidRPr="00FA1226">
              <w:rPr>
                <w:rFonts w:ascii="Calibri" w:hAnsi="Calibri" w:cs="Calibri"/>
                <w:color w:val="000000"/>
                <w:szCs w:val="20"/>
              </w:rPr>
              <w:t>83,18%</w:t>
            </w:r>
          </w:p>
        </w:tc>
      </w:tr>
      <w:tr w:rsidR="0033764D" w:rsidRPr="001840EB" w14:paraId="54255C98" w14:textId="77777777" w:rsidTr="003B60AD">
        <w:trPr>
          <w:trHeight w:val="239"/>
        </w:trPr>
        <w:tc>
          <w:tcPr>
            <w:tcW w:w="2256" w:type="dxa"/>
          </w:tcPr>
          <w:p w14:paraId="710301BB" w14:textId="77777777" w:rsidR="0033764D" w:rsidRPr="00F501DA" w:rsidRDefault="0033764D" w:rsidP="000878F6">
            <w:pPr>
              <w:pStyle w:val="Table"/>
            </w:pPr>
            <w:r w:rsidRPr="00F501DA">
              <w:t>Water Effluent</w:t>
            </w:r>
          </w:p>
        </w:tc>
        <w:tc>
          <w:tcPr>
            <w:tcW w:w="1128" w:type="dxa"/>
            <w:vAlign w:val="center"/>
          </w:tcPr>
          <w:p w14:paraId="1B665CD8" w14:textId="77777777" w:rsidR="0033764D" w:rsidRPr="00FA1226" w:rsidRDefault="0033764D" w:rsidP="000878F6">
            <w:pPr>
              <w:pStyle w:val="Table"/>
              <w:jc w:val="center"/>
              <w:rPr>
                <w:szCs w:val="20"/>
              </w:rPr>
            </w:pPr>
            <w:r w:rsidRPr="00FA1226">
              <w:rPr>
                <w:rFonts w:ascii="Calibri" w:hAnsi="Calibri" w:cs="Calibri"/>
                <w:color w:val="000000"/>
                <w:szCs w:val="20"/>
              </w:rPr>
              <w:t>-2,59%</w:t>
            </w:r>
          </w:p>
        </w:tc>
        <w:tc>
          <w:tcPr>
            <w:tcW w:w="1128" w:type="dxa"/>
            <w:vAlign w:val="center"/>
          </w:tcPr>
          <w:p w14:paraId="41049253" w14:textId="77777777" w:rsidR="0033764D" w:rsidRPr="00FA1226" w:rsidRDefault="0033764D" w:rsidP="000878F6">
            <w:pPr>
              <w:pStyle w:val="Table"/>
              <w:jc w:val="center"/>
              <w:rPr>
                <w:szCs w:val="20"/>
              </w:rPr>
            </w:pPr>
            <w:r w:rsidRPr="00FA1226">
              <w:rPr>
                <w:rFonts w:ascii="Calibri" w:hAnsi="Calibri" w:cs="Calibri"/>
                <w:color w:val="000000"/>
                <w:szCs w:val="20"/>
              </w:rPr>
              <w:t>-2,59%</w:t>
            </w:r>
          </w:p>
        </w:tc>
        <w:tc>
          <w:tcPr>
            <w:tcW w:w="1034" w:type="dxa"/>
            <w:vAlign w:val="center"/>
          </w:tcPr>
          <w:p w14:paraId="676E5B68" w14:textId="77777777" w:rsidR="0033764D" w:rsidRPr="00FA1226" w:rsidRDefault="0033764D" w:rsidP="000878F6">
            <w:pPr>
              <w:pStyle w:val="Table"/>
              <w:jc w:val="center"/>
              <w:rPr>
                <w:szCs w:val="20"/>
              </w:rPr>
            </w:pPr>
            <w:r w:rsidRPr="00FA1226">
              <w:rPr>
                <w:rFonts w:ascii="Calibri" w:hAnsi="Calibri" w:cs="Calibri"/>
                <w:color w:val="000000"/>
                <w:szCs w:val="20"/>
              </w:rPr>
              <w:t>114,65</w:t>
            </w:r>
          </w:p>
        </w:tc>
        <w:tc>
          <w:tcPr>
            <w:tcW w:w="1222" w:type="dxa"/>
            <w:vAlign w:val="center"/>
          </w:tcPr>
          <w:p w14:paraId="0FB59C25" w14:textId="77777777" w:rsidR="0033764D" w:rsidRPr="00FA1226" w:rsidRDefault="0033764D" w:rsidP="000878F6">
            <w:pPr>
              <w:pStyle w:val="Table"/>
              <w:jc w:val="center"/>
              <w:rPr>
                <w:szCs w:val="20"/>
              </w:rPr>
            </w:pPr>
            <w:r w:rsidRPr="00FA1226">
              <w:rPr>
                <w:rFonts w:ascii="Calibri" w:hAnsi="Calibri" w:cs="Calibri"/>
                <w:color w:val="000000"/>
                <w:szCs w:val="20"/>
              </w:rPr>
              <w:t>113,39</w:t>
            </w:r>
          </w:p>
        </w:tc>
        <w:tc>
          <w:tcPr>
            <w:tcW w:w="971" w:type="dxa"/>
            <w:vAlign w:val="center"/>
          </w:tcPr>
          <w:p w14:paraId="4533F87B" w14:textId="77777777" w:rsidR="0033764D" w:rsidRPr="00FA1226" w:rsidRDefault="0033764D" w:rsidP="000878F6">
            <w:pPr>
              <w:pStyle w:val="Table"/>
              <w:jc w:val="center"/>
              <w:rPr>
                <w:szCs w:val="20"/>
              </w:rPr>
            </w:pPr>
            <w:r w:rsidRPr="00FA1226">
              <w:rPr>
                <w:rFonts w:ascii="Calibri" w:hAnsi="Calibri" w:cs="Calibri"/>
                <w:color w:val="000000"/>
                <w:szCs w:val="20"/>
              </w:rPr>
              <w:t>50,78%</w:t>
            </w:r>
          </w:p>
        </w:tc>
        <w:tc>
          <w:tcPr>
            <w:tcW w:w="1285" w:type="dxa"/>
            <w:vAlign w:val="center"/>
          </w:tcPr>
          <w:p w14:paraId="75D053A2" w14:textId="77777777" w:rsidR="0033764D" w:rsidRPr="00FA1226" w:rsidRDefault="0033764D" w:rsidP="000878F6">
            <w:pPr>
              <w:pStyle w:val="Table"/>
              <w:jc w:val="center"/>
              <w:rPr>
                <w:szCs w:val="20"/>
              </w:rPr>
            </w:pPr>
            <w:r w:rsidRPr="00FA1226">
              <w:rPr>
                <w:rFonts w:ascii="Calibri" w:hAnsi="Calibri" w:cs="Calibri"/>
                <w:color w:val="000000"/>
                <w:szCs w:val="20"/>
              </w:rPr>
              <w:t>50,22%</w:t>
            </w:r>
          </w:p>
        </w:tc>
      </w:tr>
      <w:tr w:rsidR="0033764D" w:rsidRPr="001840EB" w14:paraId="25080E3A" w14:textId="77777777" w:rsidTr="003B60AD">
        <w:trPr>
          <w:trHeight w:val="239"/>
        </w:trPr>
        <w:tc>
          <w:tcPr>
            <w:tcW w:w="2256" w:type="dxa"/>
          </w:tcPr>
          <w:p w14:paraId="385E1EE4" w14:textId="77777777" w:rsidR="0033764D" w:rsidRPr="001840EB" w:rsidRDefault="0033764D" w:rsidP="000878F6">
            <w:pPr>
              <w:pStyle w:val="Table"/>
            </w:pPr>
            <w:r w:rsidRPr="001840EB">
              <w:t>Minerals &amp; Aggregates</w:t>
            </w:r>
          </w:p>
        </w:tc>
        <w:tc>
          <w:tcPr>
            <w:tcW w:w="1128" w:type="dxa"/>
            <w:vAlign w:val="center"/>
          </w:tcPr>
          <w:p w14:paraId="0DD3EB58" w14:textId="77777777" w:rsidR="0033764D" w:rsidRPr="00FA1226" w:rsidRDefault="0033764D" w:rsidP="000878F6">
            <w:pPr>
              <w:pStyle w:val="Table"/>
              <w:jc w:val="center"/>
              <w:rPr>
                <w:szCs w:val="20"/>
              </w:rPr>
            </w:pPr>
            <w:r w:rsidRPr="00FA1226">
              <w:rPr>
                <w:rFonts w:ascii="Calibri" w:hAnsi="Calibri" w:cs="Calibri"/>
                <w:color w:val="000000"/>
                <w:szCs w:val="20"/>
              </w:rPr>
              <w:t>0,00%</w:t>
            </w:r>
          </w:p>
        </w:tc>
        <w:tc>
          <w:tcPr>
            <w:tcW w:w="1128" w:type="dxa"/>
            <w:vAlign w:val="center"/>
          </w:tcPr>
          <w:p w14:paraId="15F852A2" w14:textId="77777777" w:rsidR="0033764D" w:rsidRPr="00FA1226" w:rsidRDefault="0033764D" w:rsidP="000878F6">
            <w:pPr>
              <w:pStyle w:val="Table"/>
              <w:jc w:val="center"/>
              <w:rPr>
                <w:szCs w:val="20"/>
              </w:rPr>
            </w:pPr>
            <w:r w:rsidRPr="00FA1226">
              <w:rPr>
                <w:rFonts w:ascii="Calibri" w:hAnsi="Calibri" w:cs="Calibri"/>
                <w:color w:val="000000"/>
                <w:szCs w:val="20"/>
              </w:rPr>
              <w:t>0,00%</w:t>
            </w:r>
          </w:p>
        </w:tc>
        <w:tc>
          <w:tcPr>
            <w:tcW w:w="1034" w:type="dxa"/>
            <w:vAlign w:val="center"/>
          </w:tcPr>
          <w:p w14:paraId="7286C526" w14:textId="77777777" w:rsidR="0033764D" w:rsidRPr="00FA1226" w:rsidRDefault="0033764D" w:rsidP="000878F6">
            <w:pPr>
              <w:pStyle w:val="Table"/>
              <w:jc w:val="center"/>
              <w:rPr>
                <w:szCs w:val="20"/>
              </w:rPr>
            </w:pPr>
            <w:r w:rsidRPr="00FA1226">
              <w:rPr>
                <w:rFonts w:ascii="Calibri" w:hAnsi="Calibri" w:cs="Calibri"/>
                <w:color w:val="000000"/>
                <w:szCs w:val="20"/>
              </w:rPr>
              <w:t>0,00</w:t>
            </w:r>
          </w:p>
        </w:tc>
        <w:tc>
          <w:tcPr>
            <w:tcW w:w="1222" w:type="dxa"/>
            <w:vAlign w:val="center"/>
          </w:tcPr>
          <w:p w14:paraId="37463AC4" w14:textId="77777777" w:rsidR="0033764D" w:rsidRPr="00FA1226" w:rsidRDefault="0033764D" w:rsidP="000878F6">
            <w:pPr>
              <w:pStyle w:val="Table"/>
              <w:jc w:val="center"/>
              <w:rPr>
                <w:szCs w:val="20"/>
              </w:rPr>
            </w:pPr>
            <w:r w:rsidRPr="00FA1226">
              <w:rPr>
                <w:rFonts w:ascii="Calibri" w:hAnsi="Calibri" w:cs="Calibri"/>
                <w:color w:val="000000"/>
                <w:szCs w:val="20"/>
              </w:rPr>
              <w:t>0,00</w:t>
            </w:r>
          </w:p>
        </w:tc>
        <w:tc>
          <w:tcPr>
            <w:tcW w:w="971" w:type="dxa"/>
            <w:vAlign w:val="center"/>
          </w:tcPr>
          <w:p w14:paraId="1C4943B4" w14:textId="77777777" w:rsidR="0033764D" w:rsidRPr="00FA1226" w:rsidRDefault="0033764D" w:rsidP="000878F6">
            <w:pPr>
              <w:pStyle w:val="Table"/>
              <w:jc w:val="center"/>
              <w:rPr>
                <w:szCs w:val="20"/>
              </w:rPr>
            </w:pPr>
            <w:r w:rsidRPr="00FA1226">
              <w:rPr>
                <w:rFonts w:ascii="Calibri" w:hAnsi="Calibri" w:cs="Calibri"/>
                <w:color w:val="000000"/>
                <w:szCs w:val="20"/>
              </w:rPr>
              <w:t>0,00%</w:t>
            </w:r>
          </w:p>
        </w:tc>
        <w:tc>
          <w:tcPr>
            <w:tcW w:w="1285" w:type="dxa"/>
            <w:vAlign w:val="center"/>
          </w:tcPr>
          <w:p w14:paraId="41B70358" w14:textId="77777777" w:rsidR="0033764D" w:rsidRPr="00FA1226" w:rsidRDefault="0033764D" w:rsidP="000878F6">
            <w:pPr>
              <w:pStyle w:val="Table"/>
              <w:jc w:val="center"/>
              <w:rPr>
                <w:szCs w:val="20"/>
              </w:rPr>
            </w:pPr>
            <w:r w:rsidRPr="00FA1226">
              <w:rPr>
                <w:rFonts w:ascii="Calibri" w:hAnsi="Calibri" w:cs="Calibri"/>
                <w:color w:val="000000"/>
                <w:szCs w:val="20"/>
              </w:rPr>
              <w:t>0,00%</w:t>
            </w:r>
          </w:p>
        </w:tc>
      </w:tr>
    </w:tbl>
    <w:p w14:paraId="411696F2" w14:textId="77777777" w:rsidR="0033764D" w:rsidRDefault="0033764D" w:rsidP="0033764D"/>
    <w:tbl>
      <w:tblPr>
        <w:tblStyle w:val="Lentelstinklelis1"/>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128"/>
        <w:gridCol w:w="1128"/>
        <w:gridCol w:w="1034"/>
        <w:gridCol w:w="1222"/>
        <w:gridCol w:w="971"/>
        <w:gridCol w:w="1285"/>
      </w:tblGrid>
      <w:tr w:rsidR="0033764D" w:rsidRPr="00F501DA" w14:paraId="75A6E55B" w14:textId="77777777" w:rsidTr="00245941">
        <w:trPr>
          <w:trHeight w:val="261"/>
          <w:tblHeader/>
        </w:trPr>
        <w:tc>
          <w:tcPr>
            <w:tcW w:w="9024" w:type="dxa"/>
            <w:gridSpan w:val="7"/>
            <w:shd w:val="clear" w:color="auto" w:fill="003399"/>
          </w:tcPr>
          <w:p w14:paraId="1AA98D85" w14:textId="435BD218" w:rsidR="0033764D" w:rsidRPr="006752A3" w:rsidRDefault="0033764D" w:rsidP="000878F6">
            <w:pPr>
              <w:pStyle w:val="Table"/>
              <w:rPr>
                <w:b/>
                <w:color w:val="FFFFFF" w:themeColor="background1"/>
                <w:szCs w:val="20"/>
                <w:lang w:eastAsia="en-GB"/>
              </w:rPr>
            </w:pPr>
            <w:r w:rsidRPr="006752A3">
              <w:rPr>
                <w:b/>
                <w:color w:val="FFFFFF" w:themeColor="background1"/>
                <w:szCs w:val="20"/>
              </w:rPr>
              <w:t xml:space="preserve">Table </w:t>
            </w:r>
            <w:r w:rsidR="00490085">
              <w:rPr>
                <w:b/>
                <w:bCs/>
                <w:color w:val="FFFFFF" w:themeColor="background1"/>
                <w:szCs w:val="20"/>
              </w:rPr>
              <w:t>A6</w:t>
            </w:r>
            <w:r w:rsidRPr="006752A3">
              <w:rPr>
                <w:b/>
                <w:bCs/>
                <w:color w:val="FFFFFF" w:themeColor="background1"/>
                <w:szCs w:val="20"/>
              </w:rPr>
              <w:t>-</w:t>
            </w:r>
            <w:r w:rsidRPr="006752A3">
              <w:rPr>
                <w:b/>
                <w:bCs/>
                <w:color w:val="FFFFFF" w:themeColor="background1"/>
                <w:szCs w:val="20"/>
              </w:rPr>
              <w:fldChar w:fldCharType="begin"/>
            </w:r>
            <w:r w:rsidRPr="006752A3">
              <w:rPr>
                <w:b/>
                <w:bCs/>
                <w:color w:val="FFFFFF" w:themeColor="background1"/>
                <w:szCs w:val="20"/>
              </w:rPr>
              <w:instrText xml:space="preserve"> SEQ Table_A5- \* ARABIC </w:instrText>
            </w:r>
            <w:r w:rsidRPr="006752A3">
              <w:rPr>
                <w:b/>
                <w:bCs/>
                <w:color w:val="FFFFFF" w:themeColor="background1"/>
                <w:szCs w:val="20"/>
              </w:rPr>
              <w:fldChar w:fldCharType="separate"/>
            </w:r>
            <w:r>
              <w:rPr>
                <w:b/>
                <w:bCs/>
                <w:noProof/>
                <w:color w:val="FFFFFF" w:themeColor="background1"/>
                <w:szCs w:val="20"/>
              </w:rPr>
              <w:t>73</w:t>
            </w:r>
            <w:r w:rsidRPr="006752A3">
              <w:rPr>
                <w:b/>
                <w:bCs/>
                <w:color w:val="FFFFFF" w:themeColor="background1"/>
                <w:szCs w:val="20"/>
              </w:rPr>
              <w:fldChar w:fldCharType="end"/>
            </w:r>
            <w:r w:rsidRPr="006752A3">
              <w:rPr>
                <w:b/>
                <w:bCs/>
                <w:color w:val="FFFFFF" w:themeColor="background1"/>
                <w:szCs w:val="20"/>
                <w:lang w:eastAsia="en-GB"/>
              </w:rPr>
              <w:t>:</w:t>
            </w:r>
            <w:r w:rsidRPr="006752A3">
              <w:rPr>
                <w:b/>
                <w:color w:val="FFFFFF" w:themeColor="background1"/>
                <w:szCs w:val="20"/>
                <w:lang w:eastAsia="en-GB"/>
              </w:rPr>
              <w:t xml:space="preserve"> Environmental Impacts and Revenue Changes in Hungary – Scenario B</w:t>
            </w:r>
          </w:p>
        </w:tc>
      </w:tr>
      <w:tr w:rsidR="0033764D" w:rsidRPr="00F501DA" w14:paraId="761AC0F2" w14:textId="77777777" w:rsidTr="00245941">
        <w:trPr>
          <w:trHeight w:val="497"/>
          <w:tblHeader/>
        </w:trPr>
        <w:tc>
          <w:tcPr>
            <w:tcW w:w="2256" w:type="dxa"/>
          </w:tcPr>
          <w:p w14:paraId="1EB9BD2F" w14:textId="77777777" w:rsidR="0033764D" w:rsidRPr="006752A3" w:rsidRDefault="0033764D" w:rsidP="000878F6">
            <w:pPr>
              <w:pStyle w:val="Table"/>
              <w:rPr>
                <w:b/>
                <w:szCs w:val="20"/>
              </w:rPr>
            </w:pPr>
            <w:r w:rsidRPr="006752A3">
              <w:rPr>
                <w:b/>
                <w:szCs w:val="20"/>
              </w:rPr>
              <w:t>Tax Name</w:t>
            </w:r>
          </w:p>
        </w:tc>
        <w:tc>
          <w:tcPr>
            <w:tcW w:w="2256" w:type="dxa"/>
            <w:gridSpan w:val="2"/>
            <w:vAlign w:val="bottom"/>
          </w:tcPr>
          <w:p w14:paraId="569B87EB" w14:textId="77777777" w:rsidR="0033764D" w:rsidRPr="006752A3" w:rsidRDefault="0033764D" w:rsidP="000878F6">
            <w:pPr>
              <w:pStyle w:val="Table"/>
              <w:jc w:val="center"/>
              <w:rPr>
                <w:b/>
                <w:szCs w:val="20"/>
              </w:rPr>
            </w:pPr>
            <w:r w:rsidRPr="006752A3">
              <w:rPr>
                <w:rFonts w:ascii="Calibri" w:hAnsi="Calibri" w:cs="Calibri"/>
                <w:b/>
                <w:bCs/>
                <w:color w:val="000000"/>
                <w:szCs w:val="20"/>
              </w:rPr>
              <w:t>% Change in Quantities as % of taxed sector</w:t>
            </w:r>
          </w:p>
        </w:tc>
        <w:tc>
          <w:tcPr>
            <w:tcW w:w="2256" w:type="dxa"/>
            <w:gridSpan w:val="2"/>
            <w:vAlign w:val="bottom"/>
          </w:tcPr>
          <w:p w14:paraId="27BA2607" w14:textId="77777777" w:rsidR="0033764D" w:rsidRPr="006752A3" w:rsidRDefault="0033764D" w:rsidP="000878F6">
            <w:pPr>
              <w:pStyle w:val="Table"/>
              <w:jc w:val="center"/>
              <w:rPr>
                <w:b/>
                <w:szCs w:val="20"/>
              </w:rPr>
            </w:pPr>
            <w:r w:rsidRPr="006752A3">
              <w:rPr>
                <w:rFonts w:ascii="Calibri" w:hAnsi="Calibri" w:cs="Calibri"/>
                <w:b/>
                <w:bCs/>
                <w:color w:val="000000"/>
                <w:szCs w:val="20"/>
              </w:rPr>
              <w:t>Change in Revenues (€Mn)</w:t>
            </w:r>
          </w:p>
        </w:tc>
        <w:tc>
          <w:tcPr>
            <w:tcW w:w="2256" w:type="dxa"/>
            <w:gridSpan w:val="2"/>
            <w:vAlign w:val="bottom"/>
          </w:tcPr>
          <w:p w14:paraId="2B51A459" w14:textId="77777777" w:rsidR="0033764D" w:rsidRPr="006752A3" w:rsidRDefault="0033764D" w:rsidP="000878F6">
            <w:pPr>
              <w:pStyle w:val="Table"/>
              <w:jc w:val="center"/>
              <w:rPr>
                <w:b/>
                <w:szCs w:val="20"/>
              </w:rPr>
            </w:pPr>
            <w:r w:rsidRPr="006752A3">
              <w:rPr>
                <w:rFonts w:ascii="Calibri" w:hAnsi="Calibri" w:cs="Calibri"/>
                <w:b/>
                <w:bCs/>
                <w:color w:val="000000"/>
                <w:szCs w:val="20"/>
              </w:rPr>
              <w:t>As % of 2023 Resource Tax</w:t>
            </w:r>
          </w:p>
        </w:tc>
      </w:tr>
      <w:tr w:rsidR="0033764D" w:rsidRPr="001840EB" w14:paraId="7D91ADD9" w14:textId="77777777" w:rsidTr="00245941">
        <w:trPr>
          <w:trHeight w:val="239"/>
          <w:tblHeader/>
        </w:trPr>
        <w:tc>
          <w:tcPr>
            <w:tcW w:w="2256" w:type="dxa"/>
          </w:tcPr>
          <w:p w14:paraId="7B690337" w14:textId="77777777" w:rsidR="0033764D" w:rsidRPr="006752A3" w:rsidRDefault="0033764D" w:rsidP="000878F6">
            <w:pPr>
              <w:pStyle w:val="Table"/>
              <w:rPr>
                <w:b/>
                <w:szCs w:val="20"/>
              </w:rPr>
            </w:pPr>
            <w:r w:rsidRPr="006752A3">
              <w:rPr>
                <w:b/>
                <w:szCs w:val="20"/>
              </w:rPr>
              <w:t>Year</w:t>
            </w:r>
          </w:p>
        </w:tc>
        <w:tc>
          <w:tcPr>
            <w:tcW w:w="1128" w:type="dxa"/>
          </w:tcPr>
          <w:p w14:paraId="06AD4633" w14:textId="77777777" w:rsidR="0033764D" w:rsidRPr="006752A3" w:rsidRDefault="0033764D" w:rsidP="000878F6">
            <w:pPr>
              <w:pStyle w:val="Table"/>
              <w:jc w:val="center"/>
              <w:rPr>
                <w:b/>
                <w:szCs w:val="20"/>
              </w:rPr>
            </w:pPr>
            <w:r w:rsidRPr="006752A3">
              <w:rPr>
                <w:b/>
                <w:szCs w:val="20"/>
              </w:rPr>
              <w:t>2030</w:t>
            </w:r>
          </w:p>
        </w:tc>
        <w:tc>
          <w:tcPr>
            <w:tcW w:w="1128" w:type="dxa"/>
          </w:tcPr>
          <w:p w14:paraId="406AD7B0" w14:textId="77777777" w:rsidR="0033764D" w:rsidRPr="006752A3" w:rsidRDefault="0033764D" w:rsidP="000878F6">
            <w:pPr>
              <w:pStyle w:val="Table"/>
              <w:jc w:val="center"/>
              <w:rPr>
                <w:b/>
                <w:szCs w:val="20"/>
              </w:rPr>
            </w:pPr>
            <w:r w:rsidRPr="006752A3">
              <w:rPr>
                <w:b/>
                <w:szCs w:val="20"/>
              </w:rPr>
              <w:t>2035</w:t>
            </w:r>
          </w:p>
        </w:tc>
        <w:tc>
          <w:tcPr>
            <w:tcW w:w="1034" w:type="dxa"/>
          </w:tcPr>
          <w:p w14:paraId="5DE14783" w14:textId="77777777" w:rsidR="0033764D" w:rsidRPr="006752A3" w:rsidRDefault="0033764D" w:rsidP="000878F6">
            <w:pPr>
              <w:pStyle w:val="Table"/>
              <w:jc w:val="center"/>
              <w:rPr>
                <w:b/>
                <w:szCs w:val="20"/>
              </w:rPr>
            </w:pPr>
            <w:r w:rsidRPr="006752A3">
              <w:rPr>
                <w:b/>
                <w:szCs w:val="20"/>
              </w:rPr>
              <w:t>2030</w:t>
            </w:r>
          </w:p>
        </w:tc>
        <w:tc>
          <w:tcPr>
            <w:tcW w:w="1222" w:type="dxa"/>
          </w:tcPr>
          <w:p w14:paraId="26815EDB" w14:textId="77777777" w:rsidR="0033764D" w:rsidRPr="006752A3" w:rsidRDefault="0033764D" w:rsidP="000878F6">
            <w:pPr>
              <w:pStyle w:val="Table"/>
              <w:jc w:val="center"/>
              <w:rPr>
                <w:b/>
                <w:szCs w:val="20"/>
              </w:rPr>
            </w:pPr>
            <w:r w:rsidRPr="006752A3">
              <w:rPr>
                <w:b/>
                <w:szCs w:val="20"/>
              </w:rPr>
              <w:t>2035</w:t>
            </w:r>
          </w:p>
        </w:tc>
        <w:tc>
          <w:tcPr>
            <w:tcW w:w="971" w:type="dxa"/>
          </w:tcPr>
          <w:p w14:paraId="4C20D179" w14:textId="77777777" w:rsidR="0033764D" w:rsidRPr="006752A3" w:rsidRDefault="0033764D" w:rsidP="000878F6">
            <w:pPr>
              <w:pStyle w:val="Table"/>
              <w:jc w:val="center"/>
              <w:rPr>
                <w:b/>
                <w:szCs w:val="20"/>
              </w:rPr>
            </w:pPr>
            <w:r w:rsidRPr="006752A3">
              <w:rPr>
                <w:b/>
                <w:szCs w:val="20"/>
              </w:rPr>
              <w:t>2030</w:t>
            </w:r>
          </w:p>
        </w:tc>
        <w:tc>
          <w:tcPr>
            <w:tcW w:w="1285" w:type="dxa"/>
          </w:tcPr>
          <w:p w14:paraId="2210E799" w14:textId="77777777" w:rsidR="0033764D" w:rsidRPr="006752A3" w:rsidRDefault="0033764D" w:rsidP="000878F6">
            <w:pPr>
              <w:pStyle w:val="Table"/>
              <w:jc w:val="center"/>
              <w:rPr>
                <w:b/>
                <w:szCs w:val="20"/>
              </w:rPr>
            </w:pPr>
            <w:r w:rsidRPr="006752A3">
              <w:rPr>
                <w:b/>
                <w:szCs w:val="20"/>
              </w:rPr>
              <w:t>2035</w:t>
            </w:r>
          </w:p>
        </w:tc>
      </w:tr>
      <w:tr w:rsidR="0033764D" w:rsidRPr="001840EB" w14:paraId="2101690A" w14:textId="77777777" w:rsidTr="003B60AD">
        <w:trPr>
          <w:trHeight w:val="239"/>
        </w:trPr>
        <w:tc>
          <w:tcPr>
            <w:tcW w:w="2256" w:type="dxa"/>
          </w:tcPr>
          <w:p w14:paraId="58C752CB" w14:textId="77777777" w:rsidR="0033764D" w:rsidRPr="006752A3" w:rsidRDefault="0033764D" w:rsidP="000878F6">
            <w:pPr>
              <w:pStyle w:val="Table"/>
              <w:rPr>
                <w:szCs w:val="20"/>
              </w:rPr>
            </w:pPr>
            <w:r w:rsidRPr="006752A3">
              <w:rPr>
                <w:szCs w:val="20"/>
              </w:rPr>
              <w:t>NOx</w:t>
            </w:r>
          </w:p>
        </w:tc>
        <w:tc>
          <w:tcPr>
            <w:tcW w:w="1128" w:type="dxa"/>
            <w:vAlign w:val="center"/>
          </w:tcPr>
          <w:p w14:paraId="71C0246A" w14:textId="77777777" w:rsidR="0033764D" w:rsidRPr="006752A3" w:rsidRDefault="0033764D" w:rsidP="000878F6">
            <w:pPr>
              <w:pStyle w:val="Table"/>
              <w:jc w:val="center"/>
              <w:rPr>
                <w:szCs w:val="20"/>
              </w:rPr>
            </w:pPr>
            <w:r w:rsidRPr="006752A3">
              <w:rPr>
                <w:rFonts w:ascii="Calibri" w:hAnsi="Calibri" w:cs="Calibri"/>
                <w:color w:val="000000"/>
                <w:szCs w:val="20"/>
              </w:rPr>
              <w:t>-7,39%</w:t>
            </w:r>
          </w:p>
        </w:tc>
        <w:tc>
          <w:tcPr>
            <w:tcW w:w="1128" w:type="dxa"/>
            <w:vAlign w:val="center"/>
          </w:tcPr>
          <w:p w14:paraId="7341DB35" w14:textId="77777777" w:rsidR="0033764D" w:rsidRPr="006752A3" w:rsidRDefault="0033764D" w:rsidP="000878F6">
            <w:pPr>
              <w:pStyle w:val="Table"/>
              <w:jc w:val="center"/>
              <w:rPr>
                <w:szCs w:val="20"/>
              </w:rPr>
            </w:pPr>
            <w:r w:rsidRPr="006752A3">
              <w:rPr>
                <w:rFonts w:ascii="Calibri" w:hAnsi="Calibri" w:cs="Calibri"/>
                <w:color w:val="000000"/>
                <w:szCs w:val="20"/>
              </w:rPr>
              <w:t>-7,39%</w:t>
            </w:r>
          </w:p>
        </w:tc>
        <w:tc>
          <w:tcPr>
            <w:tcW w:w="1034" w:type="dxa"/>
            <w:vAlign w:val="center"/>
          </w:tcPr>
          <w:p w14:paraId="40838540" w14:textId="77777777" w:rsidR="0033764D" w:rsidRPr="006752A3" w:rsidRDefault="0033764D" w:rsidP="000878F6">
            <w:pPr>
              <w:pStyle w:val="Table"/>
              <w:jc w:val="center"/>
              <w:rPr>
                <w:szCs w:val="20"/>
              </w:rPr>
            </w:pPr>
            <w:r w:rsidRPr="006752A3">
              <w:rPr>
                <w:rFonts w:ascii="Calibri" w:hAnsi="Calibri" w:cs="Calibri"/>
                <w:color w:val="000000"/>
                <w:szCs w:val="20"/>
              </w:rPr>
              <w:t>0,02</w:t>
            </w:r>
          </w:p>
        </w:tc>
        <w:tc>
          <w:tcPr>
            <w:tcW w:w="1222" w:type="dxa"/>
            <w:vAlign w:val="center"/>
          </w:tcPr>
          <w:p w14:paraId="109BD1FA" w14:textId="77777777" w:rsidR="0033764D" w:rsidRPr="006752A3" w:rsidRDefault="0033764D" w:rsidP="000878F6">
            <w:pPr>
              <w:pStyle w:val="Table"/>
              <w:jc w:val="center"/>
              <w:rPr>
                <w:szCs w:val="20"/>
              </w:rPr>
            </w:pPr>
            <w:r w:rsidRPr="006752A3">
              <w:rPr>
                <w:rFonts w:ascii="Calibri" w:hAnsi="Calibri" w:cs="Calibri"/>
                <w:color w:val="000000"/>
                <w:szCs w:val="20"/>
              </w:rPr>
              <w:t>0,01</w:t>
            </w:r>
          </w:p>
        </w:tc>
        <w:tc>
          <w:tcPr>
            <w:tcW w:w="971" w:type="dxa"/>
            <w:vAlign w:val="center"/>
          </w:tcPr>
          <w:p w14:paraId="44D3229C" w14:textId="77777777" w:rsidR="0033764D" w:rsidRPr="006752A3" w:rsidRDefault="0033764D" w:rsidP="000878F6">
            <w:pPr>
              <w:pStyle w:val="Table"/>
              <w:jc w:val="center"/>
              <w:rPr>
                <w:szCs w:val="20"/>
              </w:rPr>
            </w:pPr>
            <w:r w:rsidRPr="006752A3">
              <w:rPr>
                <w:rFonts w:ascii="Calibri" w:hAnsi="Calibri" w:cs="Calibri"/>
                <w:color w:val="000000"/>
                <w:szCs w:val="20"/>
              </w:rPr>
              <w:t>0,0%</w:t>
            </w:r>
          </w:p>
        </w:tc>
        <w:tc>
          <w:tcPr>
            <w:tcW w:w="1285" w:type="dxa"/>
            <w:vAlign w:val="center"/>
          </w:tcPr>
          <w:p w14:paraId="72E39CC0" w14:textId="77777777" w:rsidR="0033764D" w:rsidRPr="006752A3" w:rsidRDefault="0033764D" w:rsidP="000878F6">
            <w:pPr>
              <w:pStyle w:val="Table"/>
              <w:jc w:val="center"/>
              <w:rPr>
                <w:szCs w:val="20"/>
              </w:rPr>
            </w:pPr>
            <w:r w:rsidRPr="006752A3">
              <w:rPr>
                <w:rFonts w:ascii="Calibri" w:hAnsi="Calibri" w:cs="Calibri"/>
                <w:color w:val="000000"/>
                <w:szCs w:val="20"/>
              </w:rPr>
              <w:t>0,0%</w:t>
            </w:r>
          </w:p>
        </w:tc>
      </w:tr>
      <w:tr w:rsidR="0033764D" w:rsidRPr="001840EB" w14:paraId="3EBE7D03" w14:textId="77777777" w:rsidTr="003B60AD">
        <w:trPr>
          <w:trHeight w:val="239"/>
        </w:trPr>
        <w:tc>
          <w:tcPr>
            <w:tcW w:w="2256" w:type="dxa"/>
          </w:tcPr>
          <w:p w14:paraId="4E275EB4" w14:textId="77777777" w:rsidR="0033764D" w:rsidRPr="006752A3" w:rsidRDefault="0033764D" w:rsidP="000878F6">
            <w:pPr>
              <w:pStyle w:val="Table"/>
              <w:rPr>
                <w:szCs w:val="20"/>
              </w:rPr>
            </w:pPr>
            <w:r w:rsidRPr="006752A3">
              <w:rPr>
                <w:szCs w:val="20"/>
              </w:rPr>
              <w:lastRenderedPageBreak/>
              <w:t>SO2</w:t>
            </w:r>
          </w:p>
        </w:tc>
        <w:tc>
          <w:tcPr>
            <w:tcW w:w="1128" w:type="dxa"/>
            <w:vAlign w:val="center"/>
          </w:tcPr>
          <w:p w14:paraId="5768F076" w14:textId="77777777" w:rsidR="0033764D" w:rsidRPr="006752A3" w:rsidRDefault="0033764D" w:rsidP="000878F6">
            <w:pPr>
              <w:pStyle w:val="Table"/>
              <w:jc w:val="center"/>
              <w:rPr>
                <w:szCs w:val="20"/>
              </w:rPr>
            </w:pPr>
            <w:r w:rsidRPr="006752A3">
              <w:rPr>
                <w:rFonts w:ascii="Calibri" w:hAnsi="Calibri" w:cs="Calibri"/>
                <w:color w:val="000000"/>
                <w:szCs w:val="20"/>
              </w:rPr>
              <w:t>-8,11%</w:t>
            </w:r>
          </w:p>
        </w:tc>
        <w:tc>
          <w:tcPr>
            <w:tcW w:w="1128" w:type="dxa"/>
            <w:vAlign w:val="center"/>
          </w:tcPr>
          <w:p w14:paraId="6FDDCD3C" w14:textId="77777777" w:rsidR="0033764D" w:rsidRPr="006752A3" w:rsidRDefault="0033764D" w:rsidP="000878F6">
            <w:pPr>
              <w:pStyle w:val="Table"/>
              <w:jc w:val="center"/>
              <w:rPr>
                <w:szCs w:val="20"/>
              </w:rPr>
            </w:pPr>
            <w:r w:rsidRPr="006752A3">
              <w:rPr>
                <w:rFonts w:ascii="Calibri" w:hAnsi="Calibri" w:cs="Calibri"/>
                <w:color w:val="000000"/>
                <w:szCs w:val="20"/>
              </w:rPr>
              <w:t>-8,11%</w:t>
            </w:r>
          </w:p>
        </w:tc>
        <w:tc>
          <w:tcPr>
            <w:tcW w:w="1034" w:type="dxa"/>
            <w:vAlign w:val="center"/>
          </w:tcPr>
          <w:p w14:paraId="2B1765FE" w14:textId="77777777" w:rsidR="0033764D" w:rsidRPr="006752A3" w:rsidRDefault="0033764D" w:rsidP="000878F6">
            <w:pPr>
              <w:pStyle w:val="Table"/>
              <w:jc w:val="center"/>
              <w:rPr>
                <w:szCs w:val="20"/>
              </w:rPr>
            </w:pPr>
            <w:r w:rsidRPr="006752A3">
              <w:rPr>
                <w:rFonts w:ascii="Calibri" w:hAnsi="Calibri" w:cs="Calibri"/>
                <w:color w:val="000000"/>
                <w:szCs w:val="20"/>
              </w:rPr>
              <w:t>0,15</w:t>
            </w:r>
          </w:p>
        </w:tc>
        <w:tc>
          <w:tcPr>
            <w:tcW w:w="1222" w:type="dxa"/>
            <w:vAlign w:val="center"/>
          </w:tcPr>
          <w:p w14:paraId="3BB08A08" w14:textId="77777777" w:rsidR="0033764D" w:rsidRPr="006752A3" w:rsidRDefault="0033764D" w:rsidP="000878F6">
            <w:pPr>
              <w:pStyle w:val="Table"/>
              <w:jc w:val="center"/>
              <w:rPr>
                <w:szCs w:val="20"/>
              </w:rPr>
            </w:pPr>
            <w:r w:rsidRPr="006752A3">
              <w:rPr>
                <w:rFonts w:ascii="Calibri" w:hAnsi="Calibri" w:cs="Calibri"/>
                <w:color w:val="000000"/>
                <w:szCs w:val="20"/>
              </w:rPr>
              <w:t>0,11</w:t>
            </w:r>
          </w:p>
        </w:tc>
        <w:tc>
          <w:tcPr>
            <w:tcW w:w="971" w:type="dxa"/>
            <w:vAlign w:val="center"/>
          </w:tcPr>
          <w:p w14:paraId="7EAC16B1" w14:textId="77777777" w:rsidR="0033764D" w:rsidRPr="006752A3" w:rsidRDefault="0033764D" w:rsidP="000878F6">
            <w:pPr>
              <w:pStyle w:val="Table"/>
              <w:jc w:val="center"/>
              <w:rPr>
                <w:szCs w:val="20"/>
              </w:rPr>
            </w:pPr>
            <w:r w:rsidRPr="006752A3">
              <w:rPr>
                <w:rFonts w:ascii="Calibri" w:hAnsi="Calibri" w:cs="Calibri"/>
                <w:color w:val="000000"/>
                <w:szCs w:val="20"/>
              </w:rPr>
              <w:t>0,1%</w:t>
            </w:r>
          </w:p>
        </w:tc>
        <w:tc>
          <w:tcPr>
            <w:tcW w:w="1285" w:type="dxa"/>
            <w:vAlign w:val="center"/>
          </w:tcPr>
          <w:p w14:paraId="2AEF7093" w14:textId="77777777" w:rsidR="0033764D" w:rsidRPr="006752A3" w:rsidRDefault="0033764D" w:rsidP="000878F6">
            <w:pPr>
              <w:pStyle w:val="Table"/>
              <w:jc w:val="center"/>
              <w:rPr>
                <w:szCs w:val="20"/>
              </w:rPr>
            </w:pPr>
            <w:r w:rsidRPr="006752A3">
              <w:rPr>
                <w:rFonts w:ascii="Calibri" w:hAnsi="Calibri" w:cs="Calibri"/>
                <w:color w:val="000000"/>
                <w:szCs w:val="20"/>
              </w:rPr>
              <w:t>0,1%</w:t>
            </w:r>
          </w:p>
        </w:tc>
      </w:tr>
      <w:tr w:rsidR="0033764D" w:rsidRPr="001840EB" w14:paraId="7D041A80" w14:textId="77777777" w:rsidTr="003B60AD">
        <w:trPr>
          <w:trHeight w:val="239"/>
        </w:trPr>
        <w:tc>
          <w:tcPr>
            <w:tcW w:w="2256" w:type="dxa"/>
          </w:tcPr>
          <w:p w14:paraId="2CCEAC1D" w14:textId="77777777" w:rsidR="0033764D" w:rsidRPr="006752A3" w:rsidRDefault="0033764D" w:rsidP="000878F6">
            <w:pPr>
              <w:pStyle w:val="Table"/>
              <w:rPr>
                <w:szCs w:val="20"/>
              </w:rPr>
            </w:pPr>
            <w:r w:rsidRPr="006752A3">
              <w:rPr>
                <w:szCs w:val="20"/>
              </w:rPr>
              <w:t>PM2.5</w:t>
            </w:r>
          </w:p>
        </w:tc>
        <w:tc>
          <w:tcPr>
            <w:tcW w:w="1128" w:type="dxa"/>
            <w:vAlign w:val="center"/>
          </w:tcPr>
          <w:p w14:paraId="0FADAE14" w14:textId="77777777" w:rsidR="0033764D" w:rsidRPr="006752A3" w:rsidRDefault="0033764D" w:rsidP="000878F6">
            <w:pPr>
              <w:pStyle w:val="Table"/>
              <w:jc w:val="center"/>
              <w:rPr>
                <w:szCs w:val="20"/>
              </w:rPr>
            </w:pPr>
            <w:r w:rsidRPr="006752A3">
              <w:rPr>
                <w:rFonts w:ascii="Calibri" w:hAnsi="Calibri" w:cs="Calibri"/>
                <w:color w:val="000000"/>
                <w:szCs w:val="20"/>
              </w:rPr>
              <w:t>-7,39%</w:t>
            </w:r>
          </w:p>
        </w:tc>
        <w:tc>
          <w:tcPr>
            <w:tcW w:w="1128" w:type="dxa"/>
            <w:vAlign w:val="center"/>
          </w:tcPr>
          <w:p w14:paraId="14FBEB11" w14:textId="77777777" w:rsidR="0033764D" w:rsidRPr="006752A3" w:rsidRDefault="0033764D" w:rsidP="000878F6">
            <w:pPr>
              <w:pStyle w:val="Table"/>
              <w:jc w:val="center"/>
              <w:rPr>
                <w:szCs w:val="20"/>
              </w:rPr>
            </w:pPr>
            <w:r w:rsidRPr="006752A3">
              <w:rPr>
                <w:rFonts w:ascii="Calibri" w:hAnsi="Calibri" w:cs="Calibri"/>
                <w:color w:val="000000"/>
                <w:szCs w:val="20"/>
              </w:rPr>
              <w:t>-7,39%</w:t>
            </w:r>
          </w:p>
        </w:tc>
        <w:tc>
          <w:tcPr>
            <w:tcW w:w="1034" w:type="dxa"/>
            <w:vAlign w:val="center"/>
          </w:tcPr>
          <w:p w14:paraId="1F75AEB0" w14:textId="77777777" w:rsidR="0033764D" w:rsidRPr="006752A3" w:rsidRDefault="0033764D" w:rsidP="000878F6">
            <w:pPr>
              <w:pStyle w:val="Table"/>
              <w:jc w:val="center"/>
              <w:rPr>
                <w:szCs w:val="20"/>
              </w:rPr>
            </w:pPr>
            <w:r w:rsidRPr="006752A3">
              <w:rPr>
                <w:rFonts w:ascii="Calibri" w:hAnsi="Calibri" w:cs="Calibri"/>
                <w:color w:val="000000"/>
                <w:szCs w:val="20"/>
              </w:rPr>
              <w:t>0,80</w:t>
            </w:r>
          </w:p>
        </w:tc>
        <w:tc>
          <w:tcPr>
            <w:tcW w:w="1222" w:type="dxa"/>
            <w:vAlign w:val="center"/>
          </w:tcPr>
          <w:p w14:paraId="00BB62AB" w14:textId="77777777" w:rsidR="0033764D" w:rsidRPr="006752A3" w:rsidRDefault="0033764D" w:rsidP="000878F6">
            <w:pPr>
              <w:pStyle w:val="Table"/>
              <w:jc w:val="center"/>
              <w:rPr>
                <w:szCs w:val="20"/>
              </w:rPr>
            </w:pPr>
            <w:r w:rsidRPr="006752A3">
              <w:rPr>
                <w:rFonts w:ascii="Calibri" w:hAnsi="Calibri" w:cs="Calibri"/>
                <w:color w:val="000000"/>
                <w:szCs w:val="20"/>
              </w:rPr>
              <w:t>0,65</w:t>
            </w:r>
          </w:p>
        </w:tc>
        <w:tc>
          <w:tcPr>
            <w:tcW w:w="971" w:type="dxa"/>
            <w:vAlign w:val="center"/>
          </w:tcPr>
          <w:p w14:paraId="2FC4ED99" w14:textId="77777777" w:rsidR="0033764D" w:rsidRPr="006752A3" w:rsidRDefault="0033764D" w:rsidP="000878F6">
            <w:pPr>
              <w:pStyle w:val="Table"/>
              <w:jc w:val="center"/>
              <w:rPr>
                <w:szCs w:val="20"/>
              </w:rPr>
            </w:pPr>
            <w:r w:rsidRPr="006752A3">
              <w:rPr>
                <w:rFonts w:ascii="Calibri" w:hAnsi="Calibri" w:cs="Calibri"/>
                <w:color w:val="000000"/>
                <w:szCs w:val="20"/>
              </w:rPr>
              <w:t>0,4%</w:t>
            </w:r>
          </w:p>
        </w:tc>
        <w:tc>
          <w:tcPr>
            <w:tcW w:w="1285" w:type="dxa"/>
            <w:vAlign w:val="center"/>
          </w:tcPr>
          <w:p w14:paraId="30DBD842" w14:textId="77777777" w:rsidR="0033764D" w:rsidRPr="006752A3" w:rsidRDefault="0033764D" w:rsidP="000878F6">
            <w:pPr>
              <w:pStyle w:val="Table"/>
              <w:jc w:val="center"/>
              <w:rPr>
                <w:szCs w:val="20"/>
              </w:rPr>
            </w:pPr>
            <w:r w:rsidRPr="006752A3">
              <w:rPr>
                <w:rFonts w:ascii="Calibri" w:hAnsi="Calibri" w:cs="Calibri"/>
                <w:color w:val="000000"/>
                <w:szCs w:val="20"/>
              </w:rPr>
              <w:t>0,3%</w:t>
            </w:r>
          </w:p>
        </w:tc>
      </w:tr>
      <w:tr w:rsidR="0033764D" w:rsidRPr="001840EB" w14:paraId="2D073AA4" w14:textId="77777777" w:rsidTr="003B60AD">
        <w:trPr>
          <w:trHeight w:val="239"/>
        </w:trPr>
        <w:tc>
          <w:tcPr>
            <w:tcW w:w="2256" w:type="dxa"/>
          </w:tcPr>
          <w:p w14:paraId="2179A3BD" w14:textId="77777777" w:rsidR="0033764D" w:rsidRPr="006752A3" w:rsidRDefault="0033764D" w:rsidP="000878F6">
            <w:pPr>
              <w:pStyle w:val="Table"/>
              <w:rPr>
                <w:szCs w:val="20"/>
              </w:rPr>
            </w:pPr>
            <w:r w:rsidRPr="006752A3">
              <w:rPr>
                <w:szCs w:val="20"/>
              </w:rPr>
              <w:t>Water Abstraction</w:t>
            </w:r>
          </w:p>
        </w:tc>
        <w:tc>
          <w:tcPr>
            <w:tcW w:w="1128" w:type="dxa"/>
            <w:vAlign w:val="center"/>
          </w:tcPr>
          <w:p w14:paraId="528B55DD" w14:textId="77777777" w:rsidR="0033764D" w:rsidRPr="006752A3" w:rsidRDefault="0033764D" w:rsidP="000878F6">
            <w:pPr>
              <w:pStyle w:val="Table"/>
              <w:jc w:val="center"/>
              <w:rPr>
                <w:szCs w:val="20"/>
              </w:rPr>
            </w:pPr>
            <w:r w:rsidRPr="006752A3">
              <w:rPr>
                <w:rFonts w:ascii="Calibri" w:hAnsi="Calibri" w:cs="Calibri"/>
                <w:color w:val="000000"/>
                <w:szCs w:val="20"/>
              </w:rPr>
              <w:t>-1,16%</w:t>
            </w:r>
          </w:p>
        </w:tc>
        <w:tc>
          <w:tcPr>
            <w:tcW w:w="1128" w:type="dxa"/>
            <w:vAlign w:val="center"/>
          </w:tcPr>
          <w:p w14:paraId="4669CEB6" w14:textId="77777777" w:rsidR="0033764D" w:rsidRPr="006752A3" w:rsidRDefault="0033764D" w:rsidP="000878F6">
            <w:pPr>
              <w:pStyle w:val="Table"/>
              <w:jc w:val="center"/>
              <w:rPr>
                <w:szCs w:val="20"/>
              </w:rPr>
            </w:pPr>
            <w:r w:rsidRPr="006752A3">
              <w:rPr>
                <w:rFonts w:ascii="Calibri" w:hAnsi="Calibri" w:cs="Calibri"/>
                <w:color w:val="000000"/>
                <w:szCs w:val="20"/>
              </w:rPr>
              <w:t>-1,16%</w:t>
            </w:r>
          </w:p>
        </w:tc>
        <w:tc>
          <w:tcPr>
            <w:tcW w:w="1034" w:type="dxa"/>
            <w:vAlign w:val="center"/>
          </w:tcPr>
          <w:p w14:paraId="642BE445" w14:textId="77777777" w:rsidR="0033764D" w:rsidRPr="006752A3" w:rsidRDefault="0033764D" w:rsidP="000878F6">
            <w:pPr>
              <w:pStyle w:val="Table"/>
              <w:jc w:val="center"/>
              <w:rPr>
                <w:szCs w:val="20"/>
              </w:rPr>
            </w:pPr>
            <w:r w:rsidRPr="006752A3">
              <w:rPr>
                <w:rFonts w:ascii="Calibri" w:hAnsi="Calibri" w:cs="Calibri"/>
                <w:color w:val="000000"/>
                <w:szCs w:val="20"/>
              </w:rPr>
              <w:t>57,00</w:t>
            </w:r>
          </w:p>
        </w:tc>
        <w:tc>
          <w:tcPr>
            <w:tcW w:w="1222" w:type="dxa"/>
            <w:vAlign w:val="center"/>
          </w:tcPr>
          <w:p w14:paraId="02E12833" w14:textId="77777777" w:rsidR="0033764D" w:rsidRPr="006752A3" w:rsidRDefault="0033764D" w:rsidP="000878F6">
            <w:pPr>
              <w:pStyle w:val="Table"/>
              <w:jc w:val="center"/>
              <w:rPr>
                <w:szCs w:val="20"/>
              </w:rPr>
            </w:pPr>
            <w:r w:rsidRPr="006752A3">
              <w:rPr>
                <w:rFonts w:ascii="Calibri" w:hAnsi="Calibri" w:cs="Calibri"/>
                <w:color w:val="000000"/>
                <w:szCs w:val="20"/>
              </w:rPr>
              <w:t>60,41</w:t>
            </w:r>
          </w:p>
        </w:tc>
        <w:tc>
          <w:tcPr>
            <w:tcW w:w="971" w:type="dxa"/>
            <w:vAlign w:val="center"/>
          </w:tcPr>
          <w:p w14:paraId="12CFED0B" w14:textId="77777777" w:rsidR="0033764D" w:rsidRPr="006752A3" w:rsidRDefault="0033764D" w:rsidP="000878F6">
            <w:pPr>
              <w:pStyle w:val="Table"/>
              <w:jc w:val="center"/>
              <w:rPr>
                <w:szCs w:val="20"/>
                <w:lang w:val="lt-LT"/>
              </w:rPr>
            </w:pPr>
            <w:r w:rsidRPr="006752A3">
              <w:rPr>
                <w:rFonts w:ascii="Calibri" w:hAnsi="Calibri" w:cs="Calibri"/>
                <w:color w:val="000000"/>
                <w:szCs w:val="20"/>
              </w:rPr>
              <w:t>431,8%</w:t>
            </w:r>
          </w:p>
        </w:tc>
        <w:tc>
          <w:tcPr>
            <w:tcW w:w="1285" w:type="dxa"/>
            <w:vAlign w:val="center"/>
          </w:tcPr>
          <w:p w14:paraId="4DC58189" w14:textId="77777777" w:rsidR="0033764D" w:rsidRPr="006752A3" w:rsidRDefault="0033764D" w:rsidP="000878F6">
            <w:pPr>
              <w:pStyle w:val="Table"/>
              <w:jc w:val="center"/>
              <w:rPr>
                <w:szCs w:val="20"/>
              </w:rPr>
            </w:pPr>
            <w:r w:rsidRPr="006752A3">
              <w:rPr>
                <w:rFonts w:ascii="Calibri" w:hAnsi="Calibri" w:cs="Calibri"/>
                <w:color w:val="000000"/>
                <w:szCs w:val="20"/>
              </w:rPr>
              <w:t>457,7%</w:t>
            </w:r>
          </w:p>
        </w:tc>
      </w:tr>
      <w:tr w:rsidR="0033764D" w:rsidRPr="001840EB" w14:paraId="000E089F" w14:textId="77777777" w:rsidTr="003B60AD">
        <w:trPr>
          <w:trHeight w:val="256"/>
        </w:trPr>
        <w:tc>
          <w:tcPr>
            <w:tcW w:w="2256" w:type="dxa"/>
          </w:tcPr>
          <w:p w14:paraId="09615F34" w14:textId="77777777" w:rsidR="0033764D" w:rsidRPr="006752A3" w:rsidRDefault="0033764D" w:rsidP="000878F6">
            <w:pPr>
              <w:pStyle w:val="Table"/>
              <w:rPr>
                <w:szCs w:val="20"/>
              </w:rPr>
            </w:pPr>
            <w:r w:rsidRPr="006752A3">
              <w:rPr>
                <w:szCs w:val="20"/>
              </w:rPr>
              <w:t>Fertilizers</w:t>
            </w:r>
          </w:p>
        </w:tc>
        <w:tc>
          <w:tcPr>
            <w:tcW w:w="1128" w:type="dxa"/>
            <w:vAlign w:val="center"/>
          </w:tcPr>
          <w:p w14:paraId="778DF526" w14:textId="77777777" w:rsidR="0033764D" w:rsidRPr="006752A3" w:rsidRDefault="0033764D" w:rsidP="000878F6">
            <w:pPr>
              <w:pStyle w:val="Table"/>
              <w:jc w:val="center"/>
              <w:rPr>
                <w:szCs w:val="20"/>
              </w:rPr>
            </w:pPr>
            <w:r w:rsidRPr="006752A3">
              <w:rPr>
                <w:rFonts w:ascii="Calibri" w:hAnsi="Calibri" w:cs="Calibri"/>
                <w:color w:val="000000"/>
                <w:szCs w:val="20"/>
              </w:rPr>
              <w:t>-5,99%</w:t>
            </w:r>
          </w:p>
        </w:tc>
        <w:tc>
          <w:tcPr>
            <w:tcW w:w="1128" w:type="dxa"/>
            <w:vAlign w:val="center"/>
          </w:tcPr>
          <w:p w14:paraId="1C02B9E7" w14:textId="77777777" w:rsidR="0033764D" w:rsidRPr="006752A3" w:rsidRDefault="0033764D" w:rsidP="000878F6">
            <w:pPr>
              <w:pStyle w:val="Table"/>
              <w:jc w:val="center"/>
              <w:rPr>
                <w:szCs w:val="20"/>
              </w:rPr>
            </w:pPr>
            <w:r w:rsidRPr="006752A3">
              <w:rPr>
                <w:rFonts w:ascii="Calibri" w:hAnsi="Calibri" w:cs="Calibri"/>
                <w:color w:val="000000"/>
                <w:szCs w:val="20"/>
              </w:rPr>
              <w:t>-5,99%</w:t>
            </w:r>
          </w:p>
        </w:tc>
        <w:tc>
          <w:tcPr>
            <w:tcW w:w="1034" w:type="dxa"/>
            <w:vAlign w:val="center"/>
          </w:tcPr>
          <w:p w14:paraId="2FA29994" w14:textId="77777777" w:rsidR="0033764D" w:rsidRPr="006752A3" w:rsidRDefault="0033764D" w:rsidP="000878F6">
            <w:pPr>
              <w:pStyle w:val="Table"/>
              <w:jc w:val="center"/>
              <w:rPr>
                <w:szCs w:val="20"/>
              </w:rPr>
            </w:pPr>
            <w:r w:rsidRPr="006752A3">
              <w:rPr>
                <w:rFonts w:ascii="Calibri" w:hAnsi="Calibri" w:cs="Calibri"/>
                <w:color w:val="000000"/>
                <w:szCs w:val="20"/>
              </w:rPr>
              <w:t>5,95</w:t>
            </w:r>
          </w:p>
        </w:tc>
        <w:tc>
          <w:tcPr>
            <w:tcW w:w="1222" w:type="dxa"/>
            <w:vAlign w:val="center"/>
          </w:tcPr>
          <w:p w14:paraId="0BEA8142" w14:textId="77777777" w:rsidR="0033764D" w:rsidRPr="006752A3" w:rsidRDefault="0033764D" w:rsidP="000878F6">
            <w:pPr>
              <w:pStyle w:val="Table"/>
              <w:jc w:val="center"/>
              <w:rPr>
                <w:szCs w:val="20"/>
              </w:rPr>
            </w:pPr>
            <w:r w:rsidRPr="006752A3">
              <w:rPr>
                <w:rFonts w:ascii="Calibri" w:hAnsi="Calibri" w:cs="Calibri"/>
                <w:color w:val="000000"/>
                <w:szCs w:val="20"/>
              </w:rPr>
              <w:t>5,88</w:t>
            </w:r>
          </w:p>
        </w:tc>
        <w:tc>
          <w:tcPr>
            <w:tcW w:w="971" w:type="dxa"/>
            <w:vAlign w:val="center"/>
          </w:tcPr>
          <w:p w14:paraId="3E6D872F" w14:textId="77777777" w:rsidR="0033764D" w:rsidRPr="006752A3" w:rsidRDefault="0033764D" w:rsidP="000878F6">
            <w:pPr>
              <w:pStyle w:val="Table"/>
              <w:jc w:val="center"/>
              <w:rPr>
                <w:szCs w:val="20"/>
              </w:rPr>
            </w:pPr>
            <w:r w:rsidRPr="006752A3">
              <w:rPr>
                <w:rFonts w:ascii="Calibri" w:hAnsi="Calibri" w:cs="Calibri"/>
                <w:color w:val="000000"/>
                <w:szCs w:val="20"/>
              </w:rPr>
              <w:t>2,6%</w:t>
            </w:r>
          </w:p>
        </w:tc>
        <w:tc>
          <w:tcPr>
            <w:tcW w:w="1285" w:type="dxa"/>
            <w:vAlign w:val="center"/>
          </w:tcPr>
          <w:p w14:paraId="0AE7F77C" w14:textId="77777777" w:rsidR="0033764D" w:rsidRPr="006752A3" w:rsidRDefault="0033764D" w:rsidP="000878F6">
            <w:pPr>
              <w:pStyle w:val="Table"/>
              <w:jc w:val="center"/>
              <w:rPr>
                <w:szCs w:val="20"/>
              </w:rPr>
            </w:pPr>
            <w:r w:rsidRPr="006752A3">
              <w:rPr>
                <w:rFonts w:ascii="Calibri" w:hAnsi="Calibri" w:cs="Calibri"/>
                <w:color w:val="000000"/>
                <w:szCs w:val="20"/>
              </w:rPr>
              <w:t>2,6%</w:t>
            </w:r>
          </w:p>
        </w:tc>
      </w:tr>
      <w:tr w:rsidR="0033764D" w:rsidRPr="001840EB" w14:paraId="2ECAA6EC" w14:textId="77777777" w:rsidTr="003B60AD">
        <w:trPr>
          <w:trHeight w:val="239"/>
        </w:trPr>
        <w:tc>
          <w:tcPr>
            <w:tcW w:w="2256" w:type="dxa"/>
          </w:tcPr>
          <w:p w14:paraId="356D748F" w14:textId="77777777" w:rsidR="0033764D" w:rsidRPr="006752A3" w:rsidRDefault="0033764D" w:rsidP="000878F6">
            <w:pPr>
              <w:pStyle w:val="Table"/>
              <w:rPr>
                <w:szCs w:val="20"/>
              </w:rPr>
            </w:pPr>
            <w:r w:rsidRPr="006752A3">
              <w:rPr>
                <w:szCs w:val="20"/>
              </w:rPr>
              <w:t>Pesticides</w:t>
            </w:r>
          </w:p>
        </w:tc>
        <w:tc>
          <w:tcPr>
            <w:tcW w:w="1128" w:type="dxa"/>
            <w:vAlign w:val="center"/>
          </w:tcPr>
          <w:p w14:paraId="431D5FA7" w14:textId="77777777" w:rsidR="0033764D" w:rsidRPr="006752A3" w:rsidRDefault="0033764D" w:rsidP="000878F6">
            <w:pPr>
              <w:pStyle w:val="Table"/>
              <w:jc w:val="center"/>
              <w:rPr>
                <w:szCs w:val="20"/>
              </w:rPr>
            </w:pPr>
            <w:r w:rsidRPr="006752A3">
              <w:rPr>
                <w:rFonts w:ascii="Calibri" w:hAnsi="Calibri" w:cs="Calibri"/>
                <w:color w:val="000000"/>
                <w:szCs w:val="20"/>
              </w:rPr>
              <w:t>n/a</w:t>
            </w:r>
          </w:p>
        </w:tc>
        <w:tc>
          <w:tcPr>
            <w:tcW w:w="1128" w:type="dxa"/>
            <w:vAlign w:val="center"/>
          </w:tcPr>
          <w:p w14:paraId="58EB58A4" w14:textId="77777777" w:rsidR="0033764D" w:rsidRPr="006752A3" w:rsidRDefault="0033764D" w:rsidP="000878F6">
            <w:pPr>
              <w:pStyle w:val="Table"/>
              <w:jc w:val="center"/>
              <w:rPr>
                <w:szCs w:val="20"/>
              </w:rPr>
            </w:pPr>
            <w:r w:rsidRPr="006752A3">
              <w:rPr>
                <w:rFonts w:ascii="Calibri" w:hAnsi="Calibri" w:cs="Calibri"/>
                <w:color w:val="000000"/>
                <w:szCs w:val="20"/>
              </w:rPr>
              <w:t>n/a</w:t>
            </w:r>
          </w:p>
        </w:tc>
        <w:tc>
          <w:tcPr>
            <w:tcW w:w="1034" w:type="dxa"/>
            <w:vAlign w:val="center"/>
          </w:tcPr>
          <w:p w14:paraId="57B476A6" w14:textId="77777777" w:rsidR="0033764D" w:rsidRPr="006752A3" w:rsidRDefault="0033764D" w:rsidP="000878F6">
            <w:pPr>
              <w:pStyle w:val="Table"/>
              <w:jc w:val="center"/>
              <w:rPr>
                <w:szCs w:val="20"/>
              </w:rPr>
            </w:pPr>
            <w:r w:rsidRPr="006752A3">
              <w:rPr>
                <w:rFonts w:ascii="Calibri" w:hAnsi="Calibri" w:cs="Calibri"/>
                <w:color w:val="000000"/>
                <w:szCs w:val="20"/>
              </w:rPr>
              <w:t>29,47</w:t>
            </w:r>
          </w:p>
        </w:tc>
        <w:tc>
          <w:tcPr>
            <w:tcW w:w="1222" w:type="dxa"/>
            <w:vAlign w:val="center"/>
          </w:tcPr>
          <w:p w14:paraId="4138ADCC" w14:textId="77777777" w:rsidR="0033764D" w:rsidRPr="006752A3" w:rsidRDefault="0033764D" w:rsidP="000878F6">
            <w:pPr>
              <w:pStyle w:val="Table"/>
              <w:jc w:val="center"/>
              <w:rPr>
                <w:szCs w:val="20"/>
              </w:rPr>
            </w:pPr>
            <w:r w:rsidRPr="006752A3">
              <w:rPr>
                <w:rFonts w:ascii="Calibri" w:hAnsi="Calibri" w:cs="Calibri"/>
                <w:color w:val="000000"/>
                <w:szCs w:val="20"/>
              </w:rPr>
              <w:t>29,39</w:t>
            </w:r>
          </w:p>
        </w:tc>
        <w:tc>
          <w:tcPr>
            <w:tcW w:w="971" w:type="dxa"/>
            <w:vAlign w:val="center"/>
          </w:tcPr>
          <w:p w14:paraId="36704FBD" w14:textId="77777777" w:rsidR="0033764D" w:rsidRPr="006752A3" w:rsidRDefault="0033764D" w:rsidP="000878F6">
            <w:pPr>
              <w:pStyle w:val="Table"/>
              <w:jc w:val="center"/>
              <w:rPr>
                <w:szCs w:val="20"/>
              </w:rPr>
            </w:pPr>
            <w:r w:rsidRPr="006752A3">
              <w:rPr>
                <w:rFonts w:ascii="Calibri" w:hAnsi="Calibri" w:cs="Calibri"/>
                <w:color w:val="000000"/>
                <w:szCs w:val="20"/>
              </w:rPr>
              <w:t>13,1%</w:t>
            </w:r>
          </w:p>
        </w:tc>
        <w:tc>
          <w:tcPr>
            <w:tcW w:w="1285" w:type="dxa"/>
            <w:vAlign w:val="center"/>
          </w:tcPr>
          <w:p w14:paraId="0DAFDD54" w14:textId="77777777" w:rsidR="0033764D" w:rsidRPr="006752A3" w:rsidRDefault="0033764D" w:rsidP="000878F6">
            <w:pPr>
              <w:pStyle w:val="Table"/>
              <w:jc w:val="center"/>
              <w:rPr>
                <w:szCs w:val="20"/>
              </w:rPr>
            </w:pPr>
            <w:r w:rsidRPr="006752A3">
              <w:rPr>
                <w:rFonts w:ascii="Calibri" w:hAnsi="Calibri" w:cs="Calibri"/>
                <w:color w:val="000000"/>
                <w:szCs w:val="20"/>
              </w:rPr>
              <w:t>13,0%</w:t>
            </w:r>
          </w:p>
        </w:tc>
      </w:tr>
      <w:tr w:rsidR="0033764D" w:rsidRPr="001840EB" w14:paraId="77989CAA" w14:textId="77777777" w:rsidTr="003B60AD">
        <w:trPr>
          <w:trHeight w:val="239"/>
        </w:trPr>
        <w:tc>
          <w:tcPr>
            <w:tcW w:w="2256" w:type="dxa"/>
          </w:tcPr>
          <w:p w14:paraId="2F72898C" w14:textId="77777777" w:rsidR="0033764D" w:rsidRPr="006752A3" w:rsidRDefault="0033764D" w:rsidP="000878F6">
            <w:pPr>
              <w:pStyle w:val="Table"/>
              <w:rPr>
                <w:szCs w:val="20"/>
              </w:rPr>
            </w:pPr>
            <w:r w:rsidRPr="006752A3">
              <w:rPr>
                <w:szCs w:val="20"/>
              </w:rPr>
              <w:t>Waste Incineration</w:t>
            </w:r>
          </w:p>
        </w:tc>
        <w:tc>
          <w:tcPr>
            <w:tcW w:w="1128" w:type="dxa"/>
            <w:vAlign w:val="center"/>
          </w:tcPr>
          <w:p w14:paraId="58138338" w14:textId="77777777" w:rsidR="0033764D" w:rsidRPr="006752A3" w:rsidRDefault="0033764D" w:rsidP="000878F6">
            <w:pPr>
              <w:pStyle w:val="Table"/>
              <w:jc w:val="center"/>
              <w:rPr>
                <w:szCs w:val="20"/>
              </w:rPr>
            </w:pPr>
            <w:r w:rsidRPr="006752A3">
              <w:rPr>
                <w:rFonts w:ascii="Calibri" w:hAnsi="Calibri" w:cs="Calibri"/>
                <w:color w:val="000000"/>
                <w:szCs w:val="20"/>
              </w:rPr>
              <w:t>-8,31%</w:t>
            </w:r>
          </w:p>
        </w:tc>
        <w:tc>
          <w:tcPr>
            <w:tcW w:w="1128" w:type="dxa"/>
            <w:vAlign w:val="center"/>
          </w:tcPr>
          <w:p w14:paraId="7F9DE07E" w14:textId="77777777" w:rsidR="0033764D" w:rsidRPr="006752A3" w:rsidRDefault="0033764D" w:rsidP="000878F6">
            <w:pPr>
              <w:pStyle w:val="Table"/>
              <w:jc w:val="center"/>
              <w:rPr>
                <w:szCs w:val="20"/>
              </w:rPr>
            </w:pPr>
            <w:r w:rsidRPr="006752A3">
              <w:rPr>
                <w:rFonts w:ascii="Calibri" w:hAnsi="Calibri" w:cs="Calibri"/>
                <w:color w:val="000000"/>
                <w:szCs w:val="20"/>
              </w:rPr>
              <w:t>-8,31%</w:t>
            </w:r>
          </w:p>
        </w:tc>
        <w:tc>
          <w:tcPr>
            <w:tcW w:w="1034" w:type="dxa"/>
            <w:vAlign w:val="center"/>
          </w:tcPr>
          <w:p w14:paraId="66BA4A37" w14:textId="77777777" w:rsidR="0033764D" w:rsidRPr="006752A3" w:rsidRDefault="0033764D" w:rsidP="000878F6">
            <w:pPr>
              <w:pStyle w:val="Table"/>
              <w:jc w:val="center"/>
              <w:rPr>
                <w:szCs w:val="20"/>
              </w:rPr>
            </w:pPr>
            <w:r w:rsidRPr="006752A3">
              <w:rPr>
                <w:rFonts w:ascii="Calibri" w:hAnsi="Calibri" w:cs="Calibri"/>
                <w:color w:val="000000"/>
                <w:szCs w:val="20"/>
              </w:rPr>
              <w:t>0,72</w:t>
            </w:r>
          </w:p>
        </w:tc>
        <w:tc>
          <w:tcPr>
            <w:tcW w:w="1222" w:type="dxa"/>
            <w:vAlign w:val="center"/>
          </w:tcPr>
          <w:p w14:paraId="13BE1758" w14:textId="77777777" w:rsidR="0033764D" w:rsidRPr="006752A3" w:rsidRDefault="0033764D" w:rsidP="000878F6">
            <w:pPr>
              <w:pStyle w:val="Table"/>
              <w:jc w:val="center"/>
              <w:rPr>
                <w:szCs w:val="20"/>
              </w:rPr>
            </w:pPr>
            <w:r w:rsidRPr="006752A3">
              <w:rPr>
                <w:rFonts w:ascii="Calibri" w:hAnsi="Calibri" w:cs="Calibri"/>
                <w:color w:val="000000"/>
                <w:szCs w:val="20"/>
              </w:rPr>
              <w:t>0,80</w:t>
            </w:r>
          </w:p>
        </w:tc>
        <w:tc>
          <w:tcPr>
            <w:tcW w:w="971" w:type="dxa"/>
            <w:vAlign w:val="center"/>
          </w:tcPr>
          <w:p w14:paraId="7E924C01" w14:textId="77777777" w:rsidR="0033764D" w:rsidRPr="006752A3" w:rsidRDefault="0033764D" w:rsidP="000878F6">
            <w:pPr>
              <w:pStyle w:val="Table"/>
              <w:jc w:val="center"/>
              <w:rPr>
                <w:szCs w:val="20"/>
              </w:rPr>
            </w:pPr>
            <w:r w:rsidRPr="006752A3">
              <w:rPr>
                <w:rFonts w:ascii="Calibri" w:hAnsi="Calibri" w:cs="Calibri"/>
                <w:color w:val="000000"/>
                <w:szCs w:val="20"/>
              </w:rPr>
              <w:t>0,3%</w:t>
            </w:r>
          </w:p>
        </w:tc>
        <w:tc>
          <w:tcPr>
            <w:tcW w:w="1285" w:type="dxa"/>
            <w:vAlign w:val="center"/>
          </w:tcPr>
          <w:p w14:paraId="4D7AB5AD" w14:textId="77777777" w:rsidR="0033764D" w:rsidRPr="006752A3" w:rsidRDefault="0033764D" w:rsidP="000878F6">
            <w:pPr>
              <w:pStyle w:val="Table"/>
              <w:jc w:val="center"/>
              <w:rPr>
                <w:szCs w:val="20"/>
              </w:rPr>
            </w:pPr>
            <w:r w:rsidRPr="006752A3">
              <w:rPr>
                <w:rFonts w:ascii="Calibri" w:hAnsi="Calibri" w:cs="Calibri"/>
                <w:color w:val="000000"/>
                <w:szCs w:val="20"/>
              </w:rPr>
              <w:t>0,4%</w:t>
            </w:r>
          </w:p>
        </w:tc>
      </w:tr>
      <w:tr w:rsidR="0033764D" w:rsidRPr="001840EB" w14:paraId="793FF180" w14:textId="77777777" w:rsidTr="003B60AD">
        <w:trPr>
          <w:trHeight w:val="239"/>
        </w:trPr>
        <w:tc>
          <w:tcPr>
            <w:tcW w:w="2256" w:type="dxa"/>
          </w:tcPr>
          <w:p w14:paraId="34BF1866" w14:textId="77777777" w:rsidR="0033764D" w:rsidRPr="006752A3" w:rsidRDefault="0033764D" w:rsidP="000878F6">
            <w:pPr>
              <w:pStyle w:val="Table"/>
              <w:rPr>
                <w:szCs w:val="20"/>
              </w:rPr>
            </w:pPr>
            <w:r w:rsidRPr="006752A3">
              <w:rPr>
                <w:szCs w:val="20"/>
              </w:rPr>
              <w:t>Waste to Landfill</w:t>
            </w:r>
          </w:p>
        </w:tc>
        <w:tc>
          <w:tcPr>
            <w:tcW w:w="1128" w:type="dxa"/>
            <w:vAlign w:val="center"/>
          </w:tcPr>
          <w:p w14:paraId="2217D773" w14:textId="77777777" w:rsidR="0033764D" w:rsidRPr="006752A3" w:rsidRDefault="0033764D" w:rsidP="000878F6">
            <w:pPr>
              <w:pStyle w:val="Table"/>
              <w:jc w:val="center"/>
              <w:rPr>
                <w:szCs w:val="20"/>
              </w:rPr>
            </w:pPr>
            <w:r w:rsidRPr="006752A3">
              <w:rPr>
                <w:rFonts w:ascii="Calibri" w:hAnsi="Calibri" w:cs="Calibri"/>
                <w:color w:val="000000"/>
                <w:szCs w:val="20"/>
              </w:rPr>
              <w:t>-18,36%</w:t>
            </w:r>
          </w:p>
        </w:tc>
        <w:tc>
          <w:tcPr>
            <w:tcW w:w="1128" w:type="dxa"/>
            <w:vAlign w:val="center"/>
          </w:tcPr>
          <w:p w14:paraId="07B11AD1" w14:textId="77777777" w:rsidR="0033764D" w:rsidRPr="006752A3" w:rsidRDefault="0033764D" w:rsidP="000878F6">
            <w:pPr>
              <w:pStyle w:val="Table"/>
              <w:jc w:val="center"/>
              <w:rPr>
                <w:szCs w:val="20"/>
              </w:rPr>
            </w:pPr>
            <w:r w:rsidRPr="006752A3">
              <w:rPr>
                <w:rFonts w:ascii="Calibri" w:hAnsi="Calibri" w:cs="Calibri"/>
                <w:color w:val="000000"/>
                <w:szCs w:val="20"/>
              </w:rPr>
              <w:t>-18,36%</w:t>
            </w:r>
          </w:p>
        </w:tc>
        <w:tc>
          <w:tcPr>
            <w:tcW w:w="1034" w:type="dxa"/>
            <w:vAlign w:val="center"/>
          </w:tcPr>
          <w:p w14:paraId="305E74B5" w14:textId="77777777" w:rsidR="0033764D" w:rsidRPr="006752A3" w:rsidRDefault="0033764D" w:rsidP="000878F6">
            <w:pPr>
              <w:pStyle w:val="Table"/>
              <w:jc w:val="center"/>
              <w:rPr>
                <w:szCs w:val="20"/>
              </w:rPr>
            </w:pPr>
            <w:r w:rsidRPr="006752A3">
              <w:rPr>
                <w:rFonts w:ascii="Calibri" w:hAnsi="Calibri" w:cs="Calibri"/>
                <w:color w:val="000000"/>
                <w:szCs w:val="20"/>
              </w:rPr>
              <w:t>78,15</w:t>
            </w:r>
          </w:p>
        </w:tc>
        <w:tc>
          <w:tcPr>
            <w:tcW w:w="1222" w:type="dxa"/>
            <w:vAlign w:val="center"/>
          </w:tcPr>
          <w:p w14:paraId="32B000BF" w14:textId="77777777" w:rsidR="0033764D" w:rsidRPr="006752A3" w:rsidRDefault="0033764D" w:rsidP="000878F6">
            <w:pPr>
              <w:pStyle w:val="Table"/>
              <w:jc w:val="center"/>
              <w:rPr>
                <w:szCs w:val="20"/>
              </w:rPr>
            </w:pPr>
            <w:r w:rsidRPr="006752A3">
              <w:rPr>
                <w:rFonts w:ascii="Calibri" w:hAnsi="Calibri" w:cs="Calibri"/>
                <w:color w:val="000000"/>
                <w:szCs w:val="20"/>
              </w:rPr>
              <w:t>79,11</w:t>
            </w:r>
          </w:p>
        </w:tc>
        <w:tc>
          <w:tcPr>
            <w:tcW w:w="971" w:type="dxa"/>
            <w:vAlign w:val="center"/>
          </w:tcPr>
          <w:p w14:paraId="251973AF" w14:textId="77777777" w:rsidR="0033764D" w:rsidRPr="006752A3" w:rsidRDefault="0033764D" w:rsidP="000878F6">
            <w:pPr>
              <w:pStyle w:val="Table"/>
              <w:jc w:val="center"/>
              <w:rPr>
                <w:szCs w:val="20"/>
              </w:rPr>
            </w:pPr>
            <w:r w:rsidRPr="006752A3">
              <w:rPr>
                <w:rFonts w:ascii="Calibri" w:hAnsi="Calibri" w:cs="Calibri"/>
                <w:color w:val="000000"/>
                <w:szCs w:val="20"/>
              </w:rPr>
              <w:t>34,6%</w:t>
            </w:r>
          </w:p>
        </w:tc>
        <w:tc>
          <w:tcPr>
            <w:tcW w:w="1285" w:type="dxa"/>
            <w:vAlign w:val="center"/>
          </w:tcPr>
          <w:p w14:paraId="5C77C150" w14:textId="77777777" w:rsidR="0033764D" w:rsidRPr="006752A3" w:rsidRDefault="0033764D" w:rsidP="000878F6">
            <w:pPr>
              <w:pStyle w:val="Table"/>
              <w:jc w:val="center"/>
              <w:rPr>
                <w:szCs w:val="20"/>
              </w:rPr>
            </w:pPr>
            <w:r w:rsidRPr="006752A3">
              <w:rPr>
                <w:rFonts w:ascii="Calibri" w:hAnsi="Calibri" w:cs="Calibri"/>
                <w:color w:val="000000"/>
                <w:szCs w:val="20"/>
              </w:rPr>
              <w:t>35,0%</w:t>
            </w:r>
          </w:p>
        </w:tc>
      </w:tr>
      <w:tr w:rsidR="0033764D" w:rsidRPr="001840EB" w14:paraId="5DC3370A" w14:textId="77777777" w:rsidTr="003B60AD">
        <w:trPr>
          <w:trHeight w:val="239"/>
        </w:trPr>
        <w:tc>
          <w:tcPr>
            <w:tcW w:w="2256" w:type="dxa"/>
          </w:tcPr>
          <w:p w14:paraId="2520BABB" w14:textId="77777777" w:rsidR="0033764D" w:rsidRPr="006752A3" w:rsidRDefault="0033764D" w:rsidP="000878F6">
            <w:pPr>
              <w:pStyle w:val="Table"/>
              <w:rPr>
                <w:szCs w:val="20"/>
              </w:rPr>
            </w:pPr>
            <w:r w:rsidRPr="006752A3">
              <w:rPr>
                <w:szCs w:val="20"/>
              </w:rPr>
              <w:t>Water Effluent</w:t>
            </w:r>
          </w:p>
        </w:tc>
        <w:tc>
          <w:tcPr>
            <w:tcW w:w="1128" w:type="dxa"/>
            <w:vAlign w:val="center"/>
          </w:tcPr>
          <w:p w14:paraId="73A85BBE" w14:textId="77777777" w:rsidR="0033764D" w:rsidRPr="006752A3" w:rsidRDefault="0033764D" w:rsidP="000878F6">
            <w:pPr>
              <w:pStyle w:val="Table"/>
              <w:jc w:val="center"/>
              <w:rPr>
                <w:szCs w:val="20"/>
              </w:rPr>
            </w:pPr>
            <w:r w:rsidRPr="006752A3">
              <w:rPr>
                <w:rFonts w:ascii="Calibri" w:hAnsi="Calibri" w:cs="Calibri"/>
                <w:color w:val="000000"/>
                <w:szCs w:val="20"/>
              </w:rPr>
              <w:t>0,00%</w:t>
            </w:r>
          </w:p>
        </w:tc>
        <w:tc>
          <w:tcPr>
            <w:tcW w:w="1128" w:type="dxa"/>
            <w:vAlign w:val="center"/>
          </w:tcPr>
          <w:p w14:paraId="1CD470A0" w14:textId="77777777" w:rsidR="0033764D" w:rsidRPr="006752A3" w:rsidRDefault="0033764D" w:rsidP="000878F6">
            <w:pPr>
              <w:pStyle w:val="Table"/>
              <w:jc w:val="center"/>
              <w:rPr>
                <w:szCs w:val="20"/>
              </w:rPr>
            </w:pPr>
            <w:r w:rsidRPr="006752A3">
              <w:rPr>
                <w:rFonts w:ascii="Calibri" w:hAnsi="Calibri" w:cs="Calibri"/>
                <w:color w:val="000000"/>
                <w:szCs w:val="20"/>
              </w:rPr>
              <w:t>0,00%</w:t>
            </w:r>
          </w:p>
        </w:tc>
        <w:tc>
          <w:tcPr>
            <w:tcW w:w="1034" w:type="dxa"/>
            <w:vAlign w:val="center"/>
          </w:tcPr>
          <w:p w14:paraId="1CF1737B" w14:textId="77777777" w:rsidR="0033764D" w:rsidRPr="006752A3" w:rsidRDefault="0033764D" w:rsidP="000878F6">
            <w:pPr>
              <w:pStyle w:val="Table"/>
              <w:jc w:val="center"/>
              <w:rPr>
                <w:szCs w:val="20"/>
              </w:rPr>
            </w:pPr>
            <w:r w:rsidRPr="006752A3">
              <w:rPr>
                <w:rFonts w:ascii="Calibri" w:hAnsi="Calibri" w:cs="Calibri"/>
                <w:color w:val="000000"/>
                <w:szCs w:val="20"/>
              </w:rPr>
              <w:t>0,00</w:t>
            </w:r>
          </w:p>
        </w:tc>
        <w:tc>
          <w:tcPr>
            <w:tcW w:w="1222" w:type="dxa"/>
            <w:vAlign w:val="center"/>
          </w:tcPr>
          <w:p w14:paraId="75E808DA" w14:textId="77777777" w:rsidR="0033764D" w:rsidRPr="006752A3" w:rsidRDefault="0033764D" w:rsidP="000878F6">
            <w:pPr>
              <w:pStyle w:val="Table"/>
              <w:jc w:val="center"/>
              <w:rPr>
                <w:szCs w:val="20"/>
              </w:rPr>
            </w:pPr>
            <w:r w:rsidRPr="006752A3">
              <w:rPr>
                <w:rFonts w:ascii="Calibri" w:hAnsi="Calibri" w:cs="Calibri"/>
                <w:color w:val="000000"/>
                <w:szCs w:val="20"/>
              </w:rPr>
              <w:t>0,00</w:t>
            </w:r>
          </w:p>
        </w:tc>
        <w:tc>
          <w:tcPr>
            <w:tcW w:w="971" w:type="dxa"/>
            <w:vAlign w:val="center"/>
          </w:tcPr>
          <w:p w14:paraId="61A884DC" w14:textId="77777777" w:rsidR="0033764D" w:rsidRPr="006752A3" w:rsidRDefault="0033764D" w:rsidP="000878F6">
            <w:pPr>
              <w:pStyle w:val="Table"/>
              <w:jc w:val="center"/>
              <w:rPr>
                <w:szCs w:val="20"/>
              </w:rPr>
            </w:pPr>
            <w:r w:rsidRPr="006752A3">
              <w:rPr>
                <w:rFonts w:ascii="Calibri" w:hAnsi="Calibri" w:cs="Calibri"/>
                <w:color w:val="000000"/>
                <w:szCs w:val="20"/>
              </w:rPr>
              <w:t>0,0%</w:t>
            </w:r>
          </w:p>
        </w:tc>
        <w:tc>
          <w:tcPr>
            <w:tcW w:w="1285" w:type="dxa"/>
            <w:vAlign w:val="center"/>
          </w:tcPr>
          <w:p w14:paraId="18FDDAE5" w14:textId="77777777" w:rsidR="0033764D" w:rsidRPr="006752A3" w:rsidRDefault="0033764D" w:rsidP="000878F6">
            <w:pPr>
              <w:pStyle w:val="Table"/>
              <w:jc w:val="center"/>
              <w:rPr>
                <w:szCs w:val="20"/>
              </w:rPr>
            </w:pPr>
            <w:r w:rsidRPr="006752A3">
              <w:rPr>
                <w:rFonts w:ascii="Calibri" w:hAnsi="Calibri" w:cs="Calibri"/>
                <w:color w:val="000000"/>
                <w:szCs w:val="20"/>
              </w:rPr>
              <w:t>0,0%</w:t>
            </w:r>
          </w:p>
        </w:tc>
      </w:tr>
      <w:tr w:rsidR="0033764D" w:rsidRPr="001840EB" w14:paraId="4C33EAF5" w14:textId="77777777" w:rsidTr="003B60AD">
        <w:trPr>
          <w:trHeight w:val="239"/>
        </w:trPr>
        <w:tc>
          <w:tcPr>
            <w:tcW w:w="2256" w:type="dxa"/>
          </w:tcPr>
          <w:p w14:paraId="25236F26" w14:textId="77777777" w:rsidR="0033764D" w:rsidRPr="006752A3" w:rsidRDefault="0033764D" w:rsidP="000878F6">
            <w:pPr>
              <w:pStyle w:val="Table"/>
              <w:rPr>
                <w:szCs w:val="20"/>
              </w:rPr>
            </w:pPr>
            <w:r w:rsidRPr="006752A3">
              <w:rPr>
                <w:szCs w:val="20"/>
              </w:rPr>
              <w:t>Minerals &amp; Aggregates</w:t>
            </w:r>
          </w:p>
        </w:tc>
        <w:tc>
          <w:tcPr>
            <w:tcW w:w="1128" w:type="dxa"/>
            <w:vAlign w:val="center"/>
          </w:tcPr>
          <w:p w14:paraId="5B6BC996" w14:textId="77777777" w:rsidR="0033764D" w:rsidRPr="006752A3" w:rsidRDefault="0033764D" w:rsidP="000878F6">
            <w:pPr>
              <w:pStyle w:val="Table"/>
              <w:jc w:val="center"/>
              <w:rPr>
                <w:szCs w:val="20"/>
              </w:rPr>
            </w:pPr>
            <w:r w:rsidRPr="006752A3">
              <w:rPr>
                <w:rFonts w:ascii="Calibri" w:hAnsi="Calibri" w:cs="Calibri"/>
                <w:color w:val="000000"/>
                <w:szCs w:val="20"/>
              </w:rPr>
              <w:t>0,00%</w:t>
            </w:r>
          </w:p>
        </w:tc>
        <w:tc>
          <w:tcPr>
            <w:tcW w:w="1128" w:type="dxa"/>
            <w:vAlign w:val="center"/>
          </w:tcPr>
          <w:p w14:paraId="512175F4" w14:textId="77777777" w:rsidR="0033764D" w:rsidRPr="006752A3" w:rsidRDefault="0033764D" w:rsidP="000878F6">
            <w:pPr>
              <w:pStyle w:val="Table"/>
              <w:jc w:val="center"/>
              <w:rPr>
                <w:szCs w:val="20"/>
              </w:rPr>
            </w:pPr>
            <w:r w:rsidRPr="006752A3">
              <w:rPr>
                <w:rFonts w:ascii="Calibri" w:hAnsi="Calibri" w:cs="Calibri"/>
                <w:color w:val="000000"/>
                <w:szCs w:val="20"/>
              </w:rPr>
              <w:t>0,00%</w:t>
            </w:r>
          </w:p>
        </w:tc>
        <w:tc>
          <w:tcPr>
            <w:tcW w:w="1034" w:type="dxa"/>
            <w:vAlign w:val="center"/>
          </w:tcPr>
          <w:p w14:paraId="0BB6F227" w14:textId="77777777" w:rsidR="0033764D" w:rsidRPr="006752A3" w:rsidRDefault="0033764D" w:rsidP="000878F6">
            <w:pPr>
              <w:pStyle w:val="Table"/>
              <w:jc w:val="center"/>
              <w:rPr>
                <w:szCs w:val="20"/>
              </w:rPr>
            </w:pPr>
            <w:r w:rsidRPr="006752A3">
              <w:rPr>
                <w:rFonts w:ascii="Calibri" w:hAnsi="Calibri" w:cs="Calibri"/>
                <w:color w:val="000000"/>
                <w:szCs w:val="20"/>
              </w:rPr>
              <w:t>0,00</w:t>
            </w:r>
          </w:p>
        </w:tc>
        <w:tc>
          <w:tcPr>
            <w:tcW w:w="1222" w:type="dxa"/>
            <w:vAlign w:val="center"/>
          </w:tcPr>
          <w:p w14:paraId="047473D9" w14:textId="77777777" w:rsidR="0033764D" w:rsidRPr="006752A3" w:rsidRDefault="0033764D" w:rsidP="000878F6">
            <w:pPr>
              <w:pStyle w:val="Table"/>
              <w:jc w:val="center"/>
              <w:rPr>
                <w:szCs w:val="20"/>
              </w:rPr>
            </w:pPr>
            <w:r w:rsidRPr="006752A3">
              <w:rPr>
                <w:rFonts w:ascii="Calibri" w:hAnsi="Calibri" w:cs="Calibri"/>
                <w:color w:val="000000"/>
                <w:szCs w:val="20"/>
              </w:rPr>
              <w:t>0,00</w:t>
            </w:r>
          </w:p>
        </w:tc>
        <w:tc>
          <w:tcPr>
            <w:tcW w:w="971" w:type="dxa"/>
            <w:vAlign w:val="center"/>
          </w:tcPr>
          <w:p w14:paraId="028D0FB9" w14:textId="77777777" w:rsidR="0033764D" w:rsidRPr="006752A3" w:rsidRDefault="0033764D" w:rsidP="000878F6">
            <w:pPr>
              <w:pStyle w:val="Table"/>
              <w:jc w:val="center"/>
              <w:rPr>
                <w:szCs w:val="20"/>
              </w:rPr>
            </w:pPr>
            <w:r w:rsidRPr="006752A3">
              <w:rPr>
                <w:rFonts w:ascii="Calibri" w:hAnsi="Calibri" w:cs="Calibri"/>
                <w:color w:val="000000"/>
                <w:szCs w:val="20"/>
              </w:rPr>
              <w:t>0,0%</w:t>
            </w:r>
          </w:p>
        </w:tc>
        <w:tc>
          <w:tcPr>
            <w:tcW w:w="1285" w:type="dxa"/>
            <w:vAlign w:val="center"/>
          </w:tcPr>
          <w:p w14:paraId="78A0CF0C" w14:textId="77777777" w:rsidR="0033764D" w:rsidRPr="006752A3" w:rsidRDefault="0033764D" w:rsidP="000878F6">
            <w:pPr>
              <w:pStyle w:val="Table"/>
              <w:jc w:val="center"/>
              <w:rPr>
                <w:szCs w:val="20"/>
              </w:rPr>
            </w:pPr>
            <w:r w:rsidRPr="006752A3">
              <w:rPr>
                <w:rFonts w:ascii="Calibri" w:hAnsi="Calibri" w:cs="Calibri"/>
                <w:color w:val="000000"/>
                <w:szCs w:val="20"/>
              </w:rPr>
              <w:t>0,0%</w:t>
            </w:r>
          </w:p>
        </w:tc>
      </w:tr>
    </w:tbl>
    <w:p w14:paraId="76B599F9" w14:textId="77777777" w:rsidR="00F47DE6" w:rsidRDefault="00F47DE6" w:rsidP="0033764D">
      <w:pPr>
        <w:rPr>
          <w:lang w:eastAsia="en-GB"/>
        </w:rPr>
      </w:pPr>
    </w:p>
    <w:p w14:paraId="7CE11CA8" w14:textId="7B0881A0" w:rsidR="0033764D" w:rsidRPr="0033764D" w:rsidRDefault="0033764D" w:rsidP="0033764D">
      <w:pPr>
        <w:rPr>
          <w:lang w:eastAsia="en-GB"/>
        </w:rPr>
      </w:pPr>
      <w:r w:rsidRPr="0033764D">
        <w:rPr>
          <w:lang w:eastAsia="en-GB"/>
        </w:rPr>
        <w:t>Administrative feasibility is mixed. Hungary has the core permitting and monitoring architecture to levy charges on large installations, municipal services and major abstractions, but data coverage is thinner for smaller dischargers, diffuse pollution and parts of the waste chain. Scaling taxes to new bases</w:t>
      </w:r>
      <w:r>
        <w:rPr>
          <w:lang w:eastAsia="en-GB"/>
        </w:rPr>
        <w:t xml:space="preserve">, </w:t>
      </w:r>
      <w:r w:rsidRPr="0033764D">
        <w:rPr>
          <w:lang w:eastAsia="en-GB"/>
        </w:rPr>
        <w:t>especially effluent loads and agricultural inputs</w:t>
      </w:r>
      <w:r>
        <w:rPr>
          <w:lang w:eastAsia="en-GB"/>
        </w:rPr>
        <w:t xml:space="preserve">, </w:t>
      </w:r>
      <w:r w:rsidRPr="0033764D">
        <w:rPr>
          <w:lang w:eastAsia="en-GB"/>
        </w:rPr>
        <w:t>will require improved measurement and verification, clearer reporting rules and strengthened enforcement. Capacity constraints at municipal level and in smaller utilities also merit attention if higher environmental charges are to translate into real investments rather than simple tariff pressure.</w:t>
      </w:r>
    </w:p>
    <w:p w14:paraId="471B2CCD" w14:textId="4A7ABCCB" w:rsidR="0033764D" w:rsidRPr="0033764D" w:rsidRDefault="0033764D" w:rsidP="0033764D">
      <w:pPr>
        <w:rPr>
          <w:lang w:eastAsia="en-GB"/>
        </w:rPr>
      </w:pPr>
      <w:r w:rsidRPr="0033764D">
        <w:rPr>
          <w:lang w:eastAsia="en-GB"/>
        </w:rPr>
        <w:t>Distributional and political risks are real and must be anticipated. Household affordability remains a concern, particularly where water and waste bills absorb a larger share of income; sharp increases could trigger resistance unless revenues are visibly recycled. Competitiveness concerns will surface in quarrying and construction materials, basic manufacturing and chemicals, and irrigated agriculture. Without careful sequencing there is a risk of unintended substitutions</w:t>
      </w:r>
      <w:r>
        <w:rPr>
          <w:lang w:eastAsia="en-GB"/>
        </w:rPr>
        <w:t xml:space="preserve">: </w:t>
      </w:r>
      <w:r w:rsidRPr="0033764D">
        <w:rPr>
          <w:lang w:eastAsia="en-GB"/>
        </w:rPr>
        <w:t>diversion from landfill to incineration or informal disposal if sorting and treatment capacity lags, or shifts to cheaper but more damaging inputs in agriculture.</w:t>
      </w:r>
    </w:p>
    <w:p w14:paraId="2B502EE1" w14:textId="61A99900" w:rsidR="0033764D" w:rsidRPr="0033764D" w:rsidRDefault="0033764D" w:rsidP="0033764D">
      <w:pPr>
        <w:rPr>
          <w:lang w:eastAsia="en-GB"/>
        </w:rPr>
      </w:pPr>
      <w:r w:rsidRPr="0033764D">
        <w:rPr>
          <w:lang w:eastAsia="en-GB"/>
        </w:rPr>
        <w:t>These risks are manageable with phased implementation, targeted recycling and credible reinvestment. Rates should be ramped up over several years with pre-announced steps to allow firms, utilities and municipalities to plan and invest. A defined share of incremental receipts should reduce distortionary taxes on labour for low and middle earners, provide lump-sum bill credits for vulnerable households, and co-finance projects that cut bills and emissions. In water policy this means leak reduction, process optimisation and tertiary treatment; in waste, funding for separate collection, sorting and high-quality recycling; in industry, support for best available techniques and process efficiency. Communication should be explicit about how every forint raised is used, linking receipts to tangible outcomes (river stretches upgraded in status, leakage reduced, recycling rates increased, air-quality hotspots improved).</w:t>
      </w:r>
    </w:p>
    <w:p w14:paraId="698C554C" w14:textId="425F8C5C" w:rsidR="0033764D" w:rsidRPr="0033764D" w:rsidRDefault="0033764D" w:rsidP="0033764D">
      <w:pPr>
        <w:rPr>
          <w:lang w:eastAsia="en-GB"/>
        </w:rPr>
      </w:pPr>
      <w:r w:rsidRPr="0033764D">
        <w:rPr>
          <w:lang w:eastAsia="en-GB"/>
        </w:rPr>
        <w:t>Given the modelling and national context, the following taxes should be treated as priorities to consider and, where applicable, to strengthen.</w:t>
      </w:r>
    </w:p>
    <w:p w14:paraId="6C1A3C39" w14:textId="7072393C" w:rsidR="0033764D" w:rsidRPr="0033764D" w:rsidRDefault="0033764D" w:rsidP="0033764D">
      <w:pPr>
        <w:rPr>
          <w:lang w:eastAsia="en-GB"/>
        </w:rPr>
      </w:pPr>
      <w:r w:rsidRPr="0033764D">
        <w:rPr>
          <w:lang w:eastAsia="en-GB"/>
        </w:rPr>
        <w:t xml:space="preserve">First, a </w:t>
      </w:r>
      <w:r w:rsidRPr="0033764D">
        <w:rPr>
          <w:b/>
          <w:bCs/>
          <w:lang w:eastAsia="en-GB"/>
        </w:rPr>
        <w:t>predictable escalator for landfill</w:t>
      </w:r>
      <w:r w:rsidRPr="0033764D">
        <w:rPr>
          <w:lang w:eastAsia="en-GB"/>
        </w:rPr>
        <w:t xml:space="preserve"> aligned with the benchmark, introduced alongside investment in sorting, reuse and treatment so that diversion is feasible at reasonable cost. Enforcement and digital waste tracking should be tightened to deter illegal dumping as price signals rise.</w:t>
      </w:r>
      <w:r w:rsidR="00271218">
        <w:rPr>
          <w:lang w:eastAsia="en-GB"/>
        </w:rPr>
        <w:t xml:space="preserve"> </w:t>
      </w:r>
      <w:r w:rsidRPr="0033764D">
        <w:rPr>
          <w:lang w:eastAsia="en-GB"/>
        </w:rPr>
        <w:t xml:space="preserve">Second, a </w:t>
      </w:r>
      <w:r w:rsidRPr="0033764D">
        <w:rPr>
          <w:b/>
          <w:bCs/>
          <w:lang w:eastAsia="en-GB"/>
        </w:rPr>
        <w:t>wastewater effluent charge</w:t>
      </w:r>
      <w:r w:rsidRPr="0033764D">
        <w:rPr>
          <w:lang w:eastAsia="en-GB"/>
        </w:rPr>
        <w:t xml:space="preserve"> based on pollutant loads (starting with BOD₅, with scope to add nutrients where monitoring is robust), linked to performance contracts for utilities and co-funding of tertiary treatment and water reuse. This aligns the price signal with investable projects and moderates tariff impacts.</w:t>
      </w:r>
      <w:r w:rsidR="00271218">
        <w:rPr>
          <w:lang w:eastAsia="en-GB"/>
        </w:rPr>
        <w:t xml:space="preserve"> </w:t>
      </w:r>
      <w:r w:rsidRPr="0033764D">
        <w:rPr>
          <w:lang w:eastAsia="en-GB"/>
        </w:rPr>
        <w:t xml:space="preserve">Third, a </w:t>
      </w:r>
      <w:r w:rsidRPr="0033764D">
        <w:rPr>
          <w:b/>
          <w:bCs/>
          <w:lang w:eastAsia="en-GB"/>
        </w:rPr>
        <w:t>minerals extraction tax</w:t>
      </w:r>
      <w:r w:rsidRPr="0033764D">
        <w:rPr>
          <w:lang w:eastAsia="en-GB"/>
        </w:rPr>
        <w:t xml:space="preserve"> on sand, gravel and crushed stone, phased in at benchmark levels and </w:t>
      </w:r>
      <w:r w:rsidRPr="0033764D">
        <w:rPr>
          <w:lang w:eastAsia="en-GB"/>
        </w:rPr>
        <w:lastRenderedPageBreak/>
        <w:t>paired with incentives for secondary aggregates. Public procurement standards recognising certified recycled materials will help pull demand towards circular options and contain cost pass-through in construction.</w:t>
      </w:r>
      <w:r w:rsidR="00271218">
        <w:rPr>
          <w:lang w:eastAsia="en-GB"/>
        </w:rPr>
        <w:t xml:space="preserve"> </w:t>
      </w:r>
      <w:r w:rsidRPr="0033764D">
        <w:rPr>
          <w:lang w:eastAsia="en-GB"/>
        </w:rPr>
        <w:t xml:space="preserve">Fourth, </w:t>
      </w:r>
      <w:r w:rsidRPr="0033764D">
        <w:rPr>
          <w:b/>
          <w:bCs/>
          <w:lang w:eastAsia="en-GB"/>
        </w:rPr>
        <w:t>product-based instruments</w:t>
      </w:r>
      <w:r w:rsidRPr="0033764D">
        <w:rPr>
          <w:lang w:eastAsia="en-GB"/>
        </w:rPr>
        <w:t>: a nitrogen-content fertiliser tax calibrated to relative price levels and paired with advisory services and co-financed precision-application equipment; and a pesticide instrument differentiated by toxicity with simple compliance rules. Time-limited rebates conditional on adoption of best practices can protect yields while reducing pollution.</w:t>
      </w:r>
      <w:r w:rsidR="00271218">
        <w:rPr>
          <w:lang w:eastAsia="en-GB"/>
        </w:rPr>
        <w:t xml:space="preserve"> </w:t>
      </w:r>
      <w:r w:rsidRPr="0033764D">
        <w:rPr>
          <w:lang w:eastAsia="en-GB"/>
        </w:rPr>
        <w:t xml:space="preserve">Fifth, </w:t>
      </w:r>
      <w:r w:rsidRPr="0033764D">
        <w:rPr>
          <w:b/>
          <w:bCs/>
          <w:lang w:eastAsia="en-GB"/>
        </w:rPr>
        <w:t>air-pollutant charges</w:t>
      </w:r>
      <w:r w:rsidRPr="0033764D">
        <w:rPr>
          <w:lang w:eastAsia="en-GB"/>
        </w:rPr>
        <w:t xml:space="preserve"> (NOx, SO₂, PM₂.₅) focused on large permitted sources, using modest top-ups and performance-based rebates tied to uptake of best available techniques rather than broad exemptions.</w:t>
      </w:r>
    </w:p>
    <w:p w14:paraId="276C99EE" w14:textId="08D6481A" w:rsidR="0033764D" w:rsidRPr="0033764D" w:rsidRDefault="0033764D" w:rsidP="0033764D">
      <w:pPr>
        <w:rPr>
          <w:lang w:eastAsia="en-GB"/>
        </w:rPr>
      </w:pPr>
      <w:r w:rsidRPr="0033764D">
        <w:rPr>
          <w:lang w:eastAsia="en-GB"/>
        </w:rPr>
        <w:t>Water abstraction pricing should be considered selectively where scarcity or local pressure justifies it. If introduced, rates should vary by catchment conditions to sharpen incentives where they matter most and remain conservative where stress is low.</w:t>
      </w:r>
    </w:p>
    <w:p w14:paraId="759DE6C2" w14:textId="1F98C1BF" w:rsidR="0033764D" w:rsidRPr="0033764D" w:rsidRDefault="0033764D" w:rsidP="0033764D">
      <w:pPr>
        <w:rPr>
          <w:lang w:eastAsia="en-GB"/>
        </w:rPr>
      </w:pPr>
      <w:r w:rsidRPr="0033764D">
        <w:rPr>
          <w:lang w:eastAsia="en-GB"/>
        </w:rPr>
        <w:t>Concrete safeguards can contain distributional and competitiveness impacts. For households, introduce a lifeline block for essential water use and cap year-on-year increases in municipal water and waste bills, financing the cap from environmental receipts while preserving the marginal signal above the lifeline. Provide automatic bill credits for low-income customers and targeted support in rural municipalities with higher service costs. For farmers, pair any fertiliser or pesticide charge with time-limited rebates conditioned on nutrient budgeting, precision application and integrated pest management, and offer technical assistance to reduce transition risk. For trade-exposed industrial sites, use temporary, technology-neutral investment support (accelerated depreciation or investment tax credits) for abatement equipment and process optimisation that keeps the ongoing price signal intact. In aggregates, complement the extraction charge with fast-track certification for secondary materials and recycled-content requirements in public projects so that policy pull offsets cost push.</w:t>
      </w:r>
    </w:p>
    <w:p w14:paraId="3A314F6F" w14:textId="424D8DFC" w:rsidR="0033764D" w:rsidRPr="0033764D" w:rsidRDefault="0033764D" w:rsidP="0033764D">
      <w:pPr>
        <w:rPr>
          <w:lang w:eastAsia="en-GB"/>
        </w:rPr>
      </w:pPr>
      <w:r w:rsidRPr="0033764D">
        <w:rPr>
          <w:lang w:eastAsia="en-GB"/>
        </w:rPr>
        <w:t>Implementation should be tied to enabling infrastructure and better data. Extend metering and reporting to smaller abstractions and dischargers using standard coefficients and periodic audits to keep administrative burdens proportionate. Strengthen inspections and sanctions to deter illegal dumping and under-reporting. Coordinate closely across finance, environment and sectoral ministries and with municipalities to align tax design with investment timelines and to avoid regional disparities that could erode public trust.</w:t>
      </w:r>
    </w:p>
    <w:p w14:paraId="7DB64B1B" w14:textId="4E5FC06B" w:rsidR="005D6837" w:rsidRDefault="0033764D" w:rsidP="005D6837">
      <w:pPr>
        <w:rPr>
          <w:lang w:eastAsia="en-GB"/>
        </w:rPr>
      </w:pPr>
      <w:r w:rsidRPr="0033764D">
        <w:rPr>
          <w:lang w:eastAsia="en-GB"/>
        </w:rPr>
        <w:t>In sum, Hungary can advance a focused package that prioritises wastewater, landfill and minerals, adds targeted product and air instruments where gaps remain, and applies abstraction pricing only where local conditions warrant it. If phased predictably and supported by visible revenue recycling and practical safeguards, these measures can deliver meaningful environmental gains and stable revenues while protecting competitiveness and social fairness.</w:t>
      </w:r>
    </w:p>
    <w:p w14:paraId="42734F87" w14:textId="077BB134" w:rsidR="000A4E61" w:rsidRPr="00EA4C9B" w:rsidRDefault="000A4E61" w:rsidP="005B7AAA">
      <w:pPr>
        <w:pStyle w:val="AnnexHeading1"/>
        <w:ind w:hanging="1211"/>
      </w:pPr>
      <w:bookmarkStart w:id="212" w:name="_Toc214008893"/>
      <w:r w:rsidRPr="00EA4C9B">
        <w:t>Ireland</w:t>
      </w:r>
      <w:bookmarkEnd w:id="212"/>
    </w:p>
    <w:p w14:paraId="5CBEB60C" w14:textId="77777777" w:rsidR="000A4E61" w:rsidRPr="00EA4C9B" w:rsidRDefault="000A4E61" w:rsidP="007C4EB7">
      <w:pPr>
        <w:pStyle w:val="AnnexHeading2"/>
      </w:pPr>
      <w:bookmarkStart w:id="213" w:name="_Toc214008894"/>
      <w:r w:rsidRPr="00EA4C9B">
        <w:t>Overview of environmental taxes in Ireland</w:t>
      </w:r>
      <w:bookmarkEnd w:id="213"/>
    </w:p>
    <w:p w14:paraId="526AF036" w14:textId="6902B891" w:rsidR="007E28A3" w:rsidRDefault="007E28A3" w:rsidP="000A4E61">
      <w:pPr>
        <w:spacing w:after="0"/>
      </w:pPr>
      <w:r w:rsidRPr="007E28A3">
        <w:t>Environmental taxes in Ireland amounted to around 1% of GDP in 2023, well below the EU average. While revenues have increased modestly in absolute terms over the past 15 years, their relative importance in the economy has fallen sharply. Total environmental tax revenue reached EUR 4.57 billion in 2023 (</w:t>
      </w:r>
      <w:r w:rsidR="00B80888" w:rsidRPr="00B80888">
        <w:fldChar w:fldCharType="begin"/>
      </w:r>
      <w:r w:rsidR="00B80888" w:rsidRPr="00B80888">
        <w:instrText xml:space="preserve"> REF _Ref201233075 \h  \* MERGEFORMAT </w:instrText>
      </w:r>
      <w:r w:rsidR="00B80888" w:rsidRPr="00B80888">
        <w:fldChar w:fldCharType="separate"/>
      </w:r>
      <w:r w:rsidR="00B80888" w:rsidRPr="00B80888">
        <w:t xml:space="preserve">Figure </w:t>
      </w:r>
      <w:r w:rsidR="00490085">
        <w:t>A6</w:t>
      </w:r>
      <w:r w:rsidR="00B80888" w:rsidRPr="00B80888">
        <w:t>-</w:t>
      </w:r>
      <w:r w:rsidR="00B80888" w:rsidRPr="00B80888">
        <w:rPr>
          <w:noProof/>
        </w:rPr>
        <w:t>36</w:t>
      </w:r>
      <w:r w:rsidR="00B80888" w:rsidRPr="00B80888">
        <w:fldChar w:fldCharType="end"/>
      </w:r>
      <w:r w:rsidRPr="007E28A3">
        <w:t>), representing a 20.1% rise since 2009 (</w:t>
      </w:r>
      <w:r w:rsidR="00B80888" w:rsidRPr="00B80888">
        <w:fldChar w:fldCharType="begin"/>
      </w:r>
      <w:r w:rsidR="00B80888" w:rsidRPr="00B80888">
        <w:instrText xml:space="preserve"> REF _Ref201233103 \h  \* MERGEFORMAT </w:instrText>
      </w:r>
      <w:r w:rsidR="00B80888" w:rsidRPr="00B80888">
        <w:fldChar w:fldCharType="separate"/>
      </w:r>
      <w:r w:rsidR="00B80888" w:rsidRPr="00B80888">
        <w:t xml:space="preserve">Figure </w:t>
      </w:r>
      <w:r w:rsidR="00490085">
        <w:t>A6</w:t>
      </w:r>
      <w:r w:rsidR="00B80888" w:rsidRPr="00B80888">
        <w:t>-</w:t>
      </w:r>
      <w:r w:rsidR="00B80888" w:rsidRPr="00B80888">
        <w:rPr>
          <w:noProof/>
        </w:rPr>
        <w:t>37</w:t>
      </w:r>
      <w:r w:rsidR="00B80888" w:rsidRPr="00B80888">
        <w:fldChar w:fldCharType="end"/>
      </w:r>
      <w:r w:rsidRPr="007E28A3">
        <w:t>)</w:t>
      </w:r>
      <w:r w:rsidR="008C608F">
        <w:rPr>
          <w:rStyle w:val="FootnoteReference"/>
        </w:rPr>
        <w:footnoteReference w:id="447"/>
      </w:r>
      <w:r w:rsidRPr="007E28A3">
        <w:t xml:space="preserve">. Over the same period, however, the ratio of environmental taxes to GDP dropped substantially, from 2.3% in 2009 to 1% in 2023. In 2023, revenues were primarily derived from energy and transport taxes (around 61.3% </w:t>
      </w:r>
      <w:r w:rsidRPr="007E28A3">
        <w:lastRenderedPageBreak/>
        <w:t>and 38.5%, respectively), while pollution and resource taxes contributed only 0.19% and 0.007%</w:t>
      </w:r>
      <w:r>
        <w:t xml:space="preserve"> </w:t>
      </w:r>
      <w:r w:rsidRPr="00EA4C9B">
        <w:rPr>
          <w:lang w:eastAsia="en-GB"/>
        </w:rPr>
        <w:t>respectively</w:t>
      </w:r>
      <w:r w:rsidRPr="007E28A3">
        <w:t>.</w:t>
      </w:r>
    </w:p>
    <w:p w14:paraId="0758E558" w14:textId="77777777" w:rsidR="000A4E61" w:rsidRPr="00EA4C9B" w:rsidRDefault="000A4E61" w:rsidP="000A4E61">
      <w:pPr>
        <w:spacing w:after="0"/>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0A4E61" w:rsidRPr="00EA4C9B" w14:paraId="434EC593" w14:textId="77777777" w:rsidTr="004F0767">
        <w:trPr>
          <w:trHeight w:val="300"/>
        </w:trPr>
        <w:tc>
          <w:tcPr>
            <w:tcW w:w="9010" w:type="dxa"/>
            <w:tcBorders>
              <w:top w:val="single" w:sz="6" w:space="0" w:color="auto"/>
              <w:left w:val="single" w:sz="6" w:space="0" w:color="auto"/>
              <w:bottom w:val="single" w:sz="6" w:space="0" w:color="auto"/>
              <w:right w:val="single" w:sz="6" w:space="0" w:color="auto"/>
            </w:tcBorders>
            <w:hideMark/>
          </w:tcPr>
          <w:p w14:paraId="786322C1" w14:textId="77777777" w:rsidR="000A4E61" w:rsidRPr="00EA4C9B" w:rsidRDefault="000A4E61">
            <w:pPr>
              <w:spacing w:after="0"/>
            </w:pPr>
            <w:r w:rsidRPr="00EA4C9B">
              <w:t> </w:t>
            </w:r>
          </w:p>
          <w:p w14:paraId="0E393263" w14:textId="77777777" w:rsidR="000A4E61" w:rsidRPr="00EA4C9B" w:rsidRDefault="000A4E61">
            <w:pPr>
              <w:spacing w:after="0"/>
            </w:pPr>
            <w:r w:rsidRPr="00EA4C9B">
              <w:rPr>
                <w:noProof/>
              </w:rPr>
              <w:drawing>
                <wp:inline distT="0" distB="0" distL="0" distR="0" wp14:anchorId="553ADCC1" wp14:editId="4E33AF67">
                  <wp:extent cx="5658485" cy="1361957"/>
                  <wp:effectExtent l="0" t="0" r="0" b="0"/>
                  <wp:docPr id="6670764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76484" name="Picture 12"/>
                          <pic:cNvPicPr>
                            <a:picLocks noChangeAspect="1" noChangeArrowheads="1"/>
                          </pic:cNvPicPr>
                        </pic:nvPicPr>
                        <pic:blipFill>
                          <a:blip r:embed="rId79">
                            <a:extLst>
                              <a:ext uri="{96DAC541-7B7A-43D3-8B79-37D633B846F1}">
                                <asvg:svgBlip xmlns:asvg="http://schemas.microsoft.com/office/drawing/2016/SVG/main" r:embed="rId80"/>
                              </a:ext>
                            </a:extLst>
                          </a:blip>
                          <a:stretch>
                            <a:fillRect/>
                          </a:stretch>
                        </pic:blipFill>
                        <pic:spPr bwMode="auto">
                          <a:xfrm>
                            <a:off x="0" y="0"/>
                            <a:ext cx="5700230" cy="1372005"/>
                          </a:xfrm>
                          <a:prstGeom prst="rect">
                            <a:avLst/>
                          </a:prstGeom>
                        </pic:spPr>
                      </pic:pic>
                    </a:graphicData>
                  </a:graphic>
                </wp:inline>
              </w:drawing>
            </w:r>
            <w:r w:rsidRPr="00EA4C9B">
              <w:t> </w:t>
            </w:r>
          </w:p>
        </w:tc>
      </w:tr>
      <w:tr w:rsidR="000A4E61" w:rsidRPr="00EA4C9B" w14:paraId="1DF8F724" w14:textId="77777777" w:rsidTr="004F0767">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003399"/>
            <w:hideMark/>
          </w:tcPr>
          <w:p w14:paraId="3FFE686D" w14:textId="71C9AEC9" w:rsidR="000A4E61" w:rsidRPr="00EA4C9B" w:rsidRDefault="00B666AB" w:rsidP="00E37D8D">
            <w:pPr>
              <w:pStyle w:val="FigTabCaption"/>
            </w:pPr>
            <w:bookmarkStart w:id="214" w:name="_Ref201233075"/>
            <w:bookmarkStart w:id="215" w:name="_Ref197521684"/>
            <w:r w:rsidRPr="00051732">
              <w:t xml:space="preserve">Figure </w:t>
            </w:r>
            <w:r w:rsidR="00490085">
              <w:t>A6</w:t>
            </w:r>
            <w:r w:rsidRPr="00051732">
              <w:t>-</w:t>
            </w:r>
            <w:fldSimple w:instr=" SEQ Figure_A5- \* ARABIC ">
              <w:r w:rsidR="00E37D8D">
                <w:rPr>
                  <w:noProof/>
                </w:rPr>
                <w:t>36</w:t>
              </w:r>
            </w:fldSimple>
            <w:bookmarkEnd w:id="214"/>
            <w:r w:rsidR="000A4E61" w:rsidRPr="00EA4C9B">
              <w:t>: Total environmental tax revenue in Ireland (2009-2023) in million euros</w:t>
            </w:r>
            <w:bookmarkEnd w:id="215"/>
            <w:r w:rsidR="008C608F">
              <w:t>.</w:t>
            </w:r>
            <w:r w:rsidR="001D6025">
              <w:t xml:space="preserve"> </w:t>
            </w:r>
            <w:r w:rsidR="001D6025" w:rsidRPr="00EA4C9B">
              <w:rPr>
                <w:i/>
                <w:iCs/>
                <w:lang w:eastAsia="en-GB"/>
              </w:rPr>
              <w:t>Note: the share between pollution and resource taxes in 2023 was estimated as the weighted average of past years</w:t>
            </w:r>
            <w:r w:rsidR="001D6025" w:rsidRPr="00EA4C9B">
              <w:rPr>
                <w:lang w:eastAsia="en-GB"/>
              </w:rPr>
              <w:t> </w:t>
            </w:r>
          </w:p>
        </w:tc>
      </w:tr>
    </w:tbl>
    <w:p w14:paraId="732DD5E0" w14:textId="77777777" w:rsidR="000A4E61" w:rsidRPr="00EA4C9B" w:rsidRDefault="000A4E61" w:rsidP="009E1B64">
      <w:pPr>
        <w:pStyle w:val="Bulletlist"/>
        <w:numPr>
          <w:ilvl w:val="0"/>
          <w:numId w:val="0"/>
        </w:numPr>
      </w:pPr>
    </w:p>
    <w:p w14:paraId="2C41DC75" w14:textId="2A3AD461" w:rsidR="000928AE" w:rsidRDefault="005015E3" w:rsidP="000A4E61">
      <w:pPr>
        <w:spacing w:after="0"/>
        <w:textAlignment w:val="baseline"/>
        <w:rPr>
          <w:rFonts w:ascii="Calibri" w:eastAsia="Times New Roman" w:hAnsi="Calibri" w:cs="Calibri"/>
          <w:lang w:eastAsia="en-GB"/>
        </w:rPr>
      </w:pPr>
      <w:r w:rsidRPr="005015E3">
        <w:rPr>
          <w:rFonts w:ascii="Calibri" w:eastAsia="Times New Roman" w:hAnsi="Calibri" w:cs="Calibri"/>
          <w:lang w:eastAsia="en-GB"/>
        </w:rPr>
        <w:t>In 2009, Ireland’s tax-to-GDP ratio was 28.7%. By 2023, total tax revenue (including net social contributions) accounted for 22.6% of GDP, a decline of 6.1 percentage points. Environmental taxes represented 7.92% of total tax revenue in 2009, falling to 4.3% in 2023</w:t>
      </w:r>
      <w:r>
        <w:rPr>
          <w:rFonts w:ascii="Calibri" w:eastAsia="Times New Roman" w:hAnsi="Calibri" w:cs="Calibri"/>
          <w:lang w:eastAsia="en-GB"/>
        </w:rPr>
        <w:t xml:space="preserve"> </w:t>
      </w:r>
      <w:r w:rsidRPr="005015E3">
        <w:rPr>
          <w:rFonts w:ascii="Calibri" w:eastAsia="Times New Roman" w:hAnsi="Calibri" w:cs="Calibri"/>
          <w:lang w:eastAsia="en-GB"/>
        </w:rPr>
        <w:t>—</w:t>
      </w:r>
      <w:r>
        <w:rPr>
          <w:rFonts w:ascii="Calibri" w:eastAsia="Times New Roman" w:hAnsi="Calibri" w:cs="Calibri"/>
          <w:lang w:eastAsia="en-GB"/>
        </w:rPr>
        <w:t xml:space="preserve"> </w:t>
      </w:r>
      <w:r w:rsidRPr="005015E3">
        <w:rPr>
          <w:rFonts w:ascii="Calibri" w:eastAsia="Times New Roman" w:hAnsi="Calibri" w:cs="Calibri"/>
          <w:lang w:eastAsia="en-GB"/>
        </w:rPr>
        <w:t>a decrease of 3.62 percentage points over the period.</w:t>
      </w:r>
    </w:p>
    <w:p w14:paraId="2A009679" w14:textId="77777777" w:rsidR="000928AE" w:rsidRDefault="000928AE" w:rsidP="000A4E61">
      <w:pPr>
        <w:spacing w:after="0"/>
        <w:textAlignment w:val="baseline"/>
        <w:rPr>
          <w:rFonts w:ascii="Calibri" w:eastAsia="Times New Roman" w:hAnsi="Calibri" w:cs="Calibri"/>
          <w:lang w:eastAsia="en-GB"/>
        </w:rPr>
      </w:pPr>
    </w:p>
    <w:p w14:paraId="4FA3E388" w14:textId="77777777" w:rsidR="000A4E61" w:rsidRPr="00EA4C9B" w:rsidRDefault="000A4E61" w:rsidP="000A4E61">
      <w:pPr>
        <w:spacing w:after="0"/>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0A4E61" w:rsidRPr="00EA4C9B" w14:paraId="261A2D46" w14:textId="77777777" w:rsidTr="004F0767">
        <w:trPr>
          <w:trHeight w:val="300"/>
        </w:trPr>
        <w:tc>
          <w:tcPr>
            <w:tcW w:w="9015" w:type="dxa"/>
            <w:tcBorders>
              <w:top w:val="single" w:sz="6" w:space="0" w:color="auto"/>
              <w:left w:val="single" w:sz="6" w:space="0" w:color="auto"/>
              <w:bottom w:val="single" w:sz="6" w:space="0" w:color="auto"/>
              <w:right w:val="single" w:sz="6" w:space="0" w:color="auto"/>
            </w:tcBorders>
            <w:hideMark/>
          </w:tcPr>
          <w:p w14:paraId="5D5CA5F5" w14:textId="77777777" w:rsidR="000A4E61" w:rsidRPr="00EA4C9B" w:rsidRDefault="000A4E61">
            <w:pPr>
              <w:spacing w:after="0"/>
            </w:pPr>
            <w:r w:rsidRPr="00EA4C9B">
              <w:t> </w:t>
            </w:r>
          </w:p>
          <w:p w14:paraId="465781C5" w14:textId="77777777" w:rsidR="000A4E61" w:rsidRPr="00EA4C9B" w:rsidRDefault="000A4E61">
            <w:pPr>
              <w:spacing w:after="0"/>
            </w:pPr>
            <w:r w:rsidRPr="00EA4C9B">
              <w:rPr>
                <w:noProof/>
              </w:rPr>
              <w:drawing>
                <wp:inline distT="0" distB="0" distL="0" distR="0" wp14:anchorId="2FDCF3B6" wp14:editId="078F40DB">
                  <wp:extent cx="5486400" cy="2088181"/>
                  <wp:effectExtent l="0" t="0" r="0" b="0"/>
                  <wp:docPr id="375270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7025" name="Picture 11"/>
                          <pic:cNvPicPr>
                            <a:picLocks noChangeAspect="1" noChangeArrowheads="1"/>
                          </pic:cNvPicPr>
                        </pic:nvPicPr>
                        <pic:blipFill>
                          <a:blip r:embed="rId81">
                            <a:extLst>
                              <a:ext uri="{96DAC541-7B7A-43D3-8B79-37D633B846F1}">
                                <asvg:svgBlip xmlns:asvg="http://schemas.microsoft.com/office/drawing/2016/SVG/main" r:embed="rId82"/>
                              </a:ext>
                            </a:extLst>
                          </a:blip>
                          <a:stretch>
                            <a:fillRect/>
                          </a:stretch>
                        </pic:blipFill>
                        <pic:spPr bwMode="auto">
                          <a:xfrm>
                            <a:off x="0" y="0"/>
                            <a:ext cx="5537378" cy="2107584"/>
                          </a:xfrm>
                          <a:prstGeom prst="rect">
                            <a:avLst/>
                          </a:prstGeom>
                        </pic:spPr>
                      </pic:pic>
                    </a:graphicData>
                  </a:graphic>
                </wp:inline>
              </w:drawing>
            </w:r>
            <w:r w:rsidRPr="00EA4C9B">
              <w:t> </w:t>
            </w:r>
          </w:p>
        </w:tc>
      </w:tr>
      <w:tr w:rsidR="000A4E61" w:rsidRPr="00EA4C9B" w14:paraId="350F349E" w14:textId="77777777" w:rsidTr="004F0767">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003399"/>
            <w:hideMark/>
          </w:tcPr>
          <w:p w14:paraId="55478D93" w14:textId="4B2201B4" w:rsidR="000A4E61" w:rsidRPr="00EA4C9B" w:rsidRDefault="00B666AB" w:rsidP="00E37D8D">
            <w:pPr>
              <w:pStyle w:val="FigTabCaption"/>
            </w:pPr>
            <w:bookmarkStart w:id="216" w:name="_Ref201233103"/>
            <w:r w:rsidRPr="00051732">
              <w:t xml:space="preserve">Figure </w:t>
            </w:r>
            <w:r w:rsidR="00490085">
              <w:t>A6</w:t>
            </w:r>
            <w:r w:rsidRPr="00051732">
              <w:t>-</w:t>
            </w:r>
            <w:fldSimple w:instr=" SEQ Figure_A5- \* ARABIC ">
              <w:r w:rsidR="0091411A">
                <w:rPr>
                  <w:noProof/>
                </w:rPr>
                <w:t>37</w:t>
              </w:r>
            </w:fldSimple>
            <w:bookmarkEnd w:id="216"/>
            <w:r w:rsidR="000A4E61" w:rsidRPr="00EA4C9B">
              <w:t>: Fifteen-year (2009-2023) change in absolute terms and change as GDP-ratio of the revenues of energy taxes, transport taxes, resource taxes, pollution taxes and total environmental taxes </w:t>
            </w:r>
          </w:p>
        </w:tc>
      </w:tr>
    </w:tbl>
    <w:p w14:paraId="236260AD" w14:textId="77777777" w:rsidR="000A4E61" w:rsidRPr="00EA4C9B" w:rsidRDefault="000A4E61" w:rsidP="007C4EB7">
      <w:pPr>
        <w:pStyle w:val="AnnexHeading2"/>
      </w:pPr>
      <w:bookmarkStart w:id="217" w:name="_Toc214008895"/>
      <w:r w:rsidRPr="00EA4C9B">
        <w:t>Existing pollution and resource taxes</w:t>
      </w:r>
      <w:bookmarkEnd w:id="217"/>
    </w:p>
    <w:p w14:paraId="10238712" w14:textId="5FC7BEA6" w:rsidR="000A4E61" w:rsidRPr="00EA4C9B" w:rsidRDefault="000A4E61" w:rsidP="000A4E61">
      <w:pPr>
        <w:spacing w:after="0"/>
      </w:pPr>
      <w:r w:rsidRPr="00EA4C9B">
        <w:t xml:space="preserve">In 2022, pollution and resource tax revenues reached 16.5 and 1.3 million euros respectively. The projected values for 2023 are 8.63 and 0.25 million euros respectively. These amount to decreases in absolute terms of — respectively — 84.2% and 82.5% over 15 years (2009-2023). </w:t>
      </w:r>
      <w:r w:rsidR="00271218" w:rsidRPr="00271218">
        <w:t>The decline reflects several underlying drivers. First, the phasing out or reduction of certain legacy pollution charges</w:t>
      </w:r>
      <w:r w:rsidR="00271218">
        <w:t xml:space="preserve">, </w:t>
      </w:r>
      <w:r w:rsidR="00271218" w:rsidRPr="00271218">
        <w:t>particularly those related to waste and emissions</w:t>
      </w:r>
      <w:r w:rsidR="00271218">
        <w:t xml:space="preserve">, </w:t>
      </w:r>
      <w:r w:rsidR="00271218" w:rsidRPr="00271218">
        <w:t>has significantly narrowed the tax base. Second, regulatory and technological improvements in industrial processes and waste management have reduced taxable emissions, thereby lowering revenues. Third, rates have not been adjusted for inflation or changing environmental costs, meaning the real value of receipts has steadily eroded. Finally, no new pollution or resource taxes have been introduced to replace declining revenue streams, while many existing instruments have become administratively dormant or limited to specific sectors.</w:t>
      </w:r>
      <w:r w:rsidR="00271218">
        <w:t xml:space="preserve"> </w:t>
      </w:r>
      <w:r w:rsidRPr="00EA4C9B">
        <w:t xml:space="preserve">Moreover, in terms of GDP-ratios, pollution taxes decreased by 94.4% while resource taxes </w:t>
      </w:r>
      <w:r w:rsidRPr="00EA4C9B">
        <w:lastRenderedPageBreak/>
        <w:t>decreased by 93.8% (</w:t>
      </w:r>
      <w:r w:rsidR="00443F60" w:rsidRPr="00443F60">
        <w:fldChar w:fldCharType="begin"/>
      </w:r>
      <w:r w:rsidR="00443F60" w:rsidRPr="00443F60">
        <w:instrText xml:space="preserve"> REF _Ref201233103 \h  \* MERGEFORMAT </w:instrText>
      </w:r>
      <w:r w:rsidR="00443F60" w:rsidRPr="00443F60">
        <w:fldChar w:fldCharType="separate"/>
      </w:r>
      <w:r w:rsidR="00443F60" w:rsidRPr="00443F60">
        <w:t xml:space="preserve">Figure </w:t>
      </w:r>
      <w:r w:rsidR="00490085">
        <w:t>A6</w:t>
      </w:r>
      <w:r w:rsidR="00443F60" w:rsidRPr="00443F60">
        <w:t>-</w:t>
      </w:r>
      <w:r w:rsidR="00443F60" w:rsidRPr="00443F60">
        <w:rPr>
          <w:noProof/>
        </w:rPr>
        <w:t>37</w:t>
      </w:r>
      <w:r w:rsidR="00443F60" w:rsidRPr="00443F60">
        <w:fldChar w:fldCharType="end"/>
      </w:r>
      <w:r w:rsidR="00443F60" w:rsidRPr="00443F60">
        <w:t>).</w:t>
      </w:r>
      <w:r w:rsidRPr="00EA4C9B">
        <w:t xml:space="preserve"> In 2023, pollution and resource tax revenues accounted for — respectively — 0.2% and 0.005% of the total environmental tax revenues. In 2022, 58% of pollution tax revenues were paid by households and 42% by economic activities</w:t>
      </w:r>
      <w:r w:rsidRPr="00EA4C9B">
        <w:rPr>
          <w:rStyle w:val="FootnoteReference"/>
        </w:rPr>
        <w:footnoteReference w:id="448"/>
      </w:r>
      <w:r w:rsidRPr="00EA4C9B">
        <w:t>. Meanwhile, 64% of resource tax revenues were paid by households and 17% by economic activities</w:t>
      </w:r>
      <w:r w:rsidRPr="00EA4C9B">
        <w:rPr>
          <w:rStyle w:val="FootnoteReference"/>
        </w:rPr>
        <w:footnoteReference w:id="449"/>
      </w:r>
      <w:r w:rsidRPr="00EA4C9B">
        <w:t>.</w:t>
      </w:r>
    </w:p>
    <w:p w14:paraId="3E01762F" w14:textId="77777777" w:rsidR="000A4E61" w:rsidRPr="00EA4C9B" w:rsidRDefault="000A4E61" w:rsidP="000A4E61">
      <w:pPr>
        <w:spacing w:after="0"/>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0A4E61" w:rsidRPr="00EA4C9B" w14:paraId="665D2EAB" w14:textId="77777777" w:rsidTr="004F0767">
        <w:trPr>
          <w:trHeight w:val="300"/>
        </w:trPr>
        <w:tc>
          <w:tcPr>
            <w:tcW w:w="9010" w:type="dxa"/>
            <w:tcBorders>
              <w:top w:val="single" w:sz="6" w:space="0" w:color="auto"/>
              <w:left w:val="single" w:sz="6" w:space="0" w:color="auto"/>
              <w:bottom w:val="single" w:sz="6" w:space="0" w:color="auto"/>
              <w:right w:val="single" w:sz="6" w:space="0" w:color="auto"/>
            </w:tcBorders>
            <w:hideMark/>
          </w:tcPr>
          <w:p w14:paraId="591FCF33" w14:textId="77777777" w:rsidR="000A4E61" w:rsidRPr="00EA4C9B" w:rsidRDefault="000A4E61">
            <w:pPr>
              <w:spacing w:after="0"/>
            </w:pPr>
            <w:r w:rsidRPr="00EA4C9B">
              <w:t> </w:t>
            </w:r>
          </w:p>
          <w:p w14:paraId="345CC779" w14:textId="77777777" w:rsidR="000A4E61" w:rsidRPr="00EA4C9B" w:rsidRDefault="000A4E61">
            <w:pPr>
              <w:spacing w:after="0"/>
            </w:pPr>
            <w:r w:rsidRPr="00EA4C9B">
              <w:rPr>
                <w:noProof/>
              </w:rPr>
              <w:drawing>
                <wp:inline distT="0" distB="0" distL="0" distR="0" wp14:anchorId="6C2FAE78" wp14:editId="7C45285A">
                  <wp:extent cx="5731510" cy="1284605"/>
                  <wp:effectExtent l="0" t="0" r="2540" b="0"/>
                  <wp:docPr id="596311264" name="Picture 8" descr="Picture 41103515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411035152, Pict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1284605"/>
                          </a:xfrm>
                          <a:prstGeom prst="rect">
                            <a:avLst/>
                          </a:prstGeom>
                          <a:noFill/>
                          <a:ln>
                            <a:noFill/>
                          </a:ln>
                        </pic:spPr>
                      </pic:pic>
                    </a:graphicData>
                  </a:graphic>
                </wp:inline>
              </w:drawing>
            </w:r>
            <w:r w:rsidRPr="00EA4C9B">
              <w:t> </w:t>
            </w:r>
          </w:p>
        </w:tc>
      </w:tr>
      <w:tr w:rsidR="000A4E61" w:rsidRPr="00EA4C9B" w14:paraId="2BF88E41" w14:textId="77777777" w:rsidTr="004F0767">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003399"/>
            <w:hideMark/>
          </w:tcPr>
          <w:p w14:paraId="1FD43B6D" w14:textId="7E29C0DC" w:rsidR="000A4E61" w:rsidRPr="00EA4C9B" w:rsidRDefault="00B666AB" w:rsidP="00E37D8D">
            <w:pPr>
              <w:pStyle w:val="FigTabCaption"/>
            </w:pPr>
            <w:r w:rsidRPr="00051732">
              <w:t xml:space="preserve">Figure </w:t>
            </w:r>
            <w:r w:rsidR="00490085">
              <w:t>A6</w:t>
            </w:r>
            <w:r w:rsidRPr="00051732">
              <w:t>-</w:t>
            </w:r>
            <w:fldSimple w:instr=" SEQ Figure_A5- \* ARABIC ">
              <w:r w:rsidR="0091411A">
                <w:rPr>
                  <w:noProof/>
                </w:rPr>
                <w:t>38</w:t>
              </w:r>
            </w:fldSimple>
            <w:r w:rsidR="000A4E61" w:rsidRPr="00EA4C9B">
              <w:t>: Resource and pollution tax revenues in Ireland (2009-2023) in million euros</w:t>
            </w:r>
            <w:r w:rsidR="007625F7">
              <w:t xml:space="preserve">. </w:t>
            </w:r>
            <w:r w:rsidR="007625F7" w:rsidRPr="00EA4C9B">
              <w:rPr>
                <w:i/>
                <w:iCs/>
                <w:lang w:eastAsia="en-GB"/>
              </w:rPr>
              <w:t>Note: the share between pollution and resource taxes in 2023 was estimated as the weighted average of past years</w:t>
            </w:r>
            <w:r w:rsidR="007625F7" w:rsidRPr="00EA4C9B">
              <w:rPr>
                <w:lang w:eastAsia="en-GB"/>
              </w:rPr>
              <w:t> </w:t>
            </w:r>
            <w:r w:rsidR="007625F7" w:rsidRPr="00EA4C9B">
              <w:rPr>
                <w:lang w:eastAsia="es-ES"/>
              </w:rPr>
              <w:t> </w:t>
            </w:r>
          </w:p>
        </w:tc>
      </w:tr>
    </w:tbl>
    <w:p w14:paraId="3BC878D1" w14:textId="72A84595" w:rsidR="00A028DC" w:rsidRDefault="00A028DC" w:rsidP="009E1B64">
      <w:pPr>
        <w:pStyle w:val="Bulletlist"/>
        <w:numPr>
          <w:ilvl w:val="0"/>
          <w:numId w:val="0"/>
        </w:numPr>
      </w:pPr>
    </w:p>
    <w:p w14:paraId="53030307" w14:textId="77777777" w:rsidR="00A00DA3" w:rsidRPr="00A00DA3" w:rsidRDefault="00A00DA3" w:rsidP="00A00DA3">
      <w:pPr>
        <w:pStyle w:val="Heading4"/>
      </w:pPr>
      <w:r w:rsidRPr="00A00DA3">
        <w:t>List of pollution and resource taxes and revenue shares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5"/>
        <w:gridCol w:w="2235"/>
        <w:gridCol w:w="2235"/>
        <w:gridCol w:w="2250"/>
      </w:tblGrid>
      <w:tr w:rsidR="000A4E61" w:rsidRPr="00EA4C9B" w14:paraId="7BBC2810" w14:textId="77777777" w:rsidTr="004F0767">
        <w:trPr>
          <w:trHeight w:val="300"/>
        </w:trPr>
        <w:tc>
          <w:tcPr>
            <w:tcW w:w="8955"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43284A6E" w14:textId="6FB4CE71" w:rsidR="000A4E61" w:rsidRPr="00F23CBA" w:rsidRDefault="00282899" w:rsidP="00F23CBA">
            <w:pPr>
              <w:pStyle w:val="Table"/>
              <w:rPr>
                <w:b/>
                <w:color w:val="FFFFFF" w:themeColor="background1"/>
              </w:rPr>
            </w:pPr>
            <w:r w:rsidRPr="00F23CBA">
              <w:rPr>
                <w:b/>
                <w:color w:val="FFFFFF" w:themeColor="background1"/>
              </w:rPr>
              <w:t xml:space="preserve">Table </w:t>
            </w:r>
            <w:r w:rsidR="00490085">
              <w:rPr>
                <w:b/>
                <w:color w:val="FFFFFF" w:themeColor="background1"/>
              </w:rPr>
              <w:t>A6</w:t>
            </w:r>
            <w:r w:rsidR="00F23CBA" w:rsidRPr="00F23CBA">
              <w:rPr>
                <w:b/>
                <w:bCs/>
                <w:color w:val="FFFFFF" w:themeColor="background1"/>
              </w:rPr>
              <w:t>-</w:t>
            </w:r>
            <w:r w:rsidR="00F23CBA" w:rsidRPr="00F23CBA">
              <w:rPr>
                <w:b/>
                <w:bCs/>
                <w:color w:val="FFFFFF" w:themeColor="background1"/>
              </w:rPr>
              <w:fldChar w:fldCharType="begin"/>
            </w:r>
            <w:r w:rsidR="00F23CBA" w:rsidRPr="00F23CBA">
              <w:rPr>
                <w:b/>
                <w:bCs/>
                <w:color w:val="FFFFFF" w:themeColor="background1"/>
              </w:rPr>
              <w:instrText xml:space="preserve"> SEQ Table_A5- \* ARABIC </w:instrText>
            </w:r>
            <w:r w:rsidR="00F23CBA" w:rsidRPr="00F23CBA">
              <w:rPr>
                <w:b/>
                <w:bCs/>
                <w:color w:val="FFFFFF" w:themeColor="background1"/>
              </w:rPr>
              <w:fldChar w:fldCharType="separate"/>
            </w:r>
            <w:r w:rsidR="009B400E">
              <w:rPr>
                <w:b/>
                <w:bCs/>
                <w:noProof/>
                <w:color w:val="FFFFFF" w:themeColor="background1"/>
              </w:rPr>
              <w:t>74</w:t>
            </w:r>
            <w:r w:rsidR="00F23CBA" w:rsidRPr="00F23CBA">
              <w:rPr>
                <w:b/>
                <w:bCs/>
                <w:color w:val="FFFFFF" w:themeColor="background1"/>
              </w:rPr>
              <w:fldChar w:fldCharType="end"/>
            </w:r>
            <w:r w:rsidR="000A4E61" w:rsidRPr="00F23CBA">
              <w:rPr>
                <w:b/>
                <w:color w:val="FFFFFF" w:themeColor="background1"/>
              </w:rPr>
              <w:t>:</w:t>
            </w:r>
            <w:r w:rsidR="000A4E61" w:rsidRPr="00F23CBA">
              <w:rPr>
                <w:b/>
                <w:color w:val="FFFFFF" w:themeColor="background1"/>
                <w:szCs w:val="20"/>
              </w:rPr>
              <w:t>  Waste taxes </w:t>
            </w:r>
            <w:r w:rsidR="000A4E61" w:rsidRPr="00F23CBA">
              <w:rPr>
                <w:b/>
                <w:color w:val="FFFFFF" w:themeColor="background1"/>
              </w:rPr>
              <w:t> </w:t>
            </w:r>
          </w:p>
        </w:tc>
      </w:tr>
      <w:tr w:rsidR="000A4E61" w:rsidRPr="00EA4C9B" w14:paraId="1452BB09" w14:textId="77777777" w:rsidTr="004F0767">
        <w:trPr>
          <w:trHeight w:val="300"/>
        </w:trPr>
        <w:tc>
          <w:tcPr>
            <w:tcW w:w="2235" w:type="dxa"/>
            <w:tcBorders>
              <w:top w:val="single" w:sz="6" w:space="0" w:color="auto"/>
              <w:left w:val="single" w:sz="6" w:space="0" w:color="auto"/>
              <w:bottom w:val="single" w:sz="6" w:space="0" w:color="auto"/>
              <w:right w:val="single" w:sz="6" w:space="0" w:color="auto"/>
            </w:tcBorders>
            <w:hideMark/>
          </w:tcPr>
          <w:p w14:paraId="7C59E04D" w14:textId="77777777" w:rsidR="000A4E61" w:rsidRPr="00EA4C9B" w:rsidRDefault="000A4E61" w:rsidP="00F23CBA">
            <w:pPr>
              <w:pStyle w:val="Table"/>
            </w:pPr>
            <w:r w:rsidRPr="00EA4C9B">
              <w:rPr>
                <w:b/>
                <w:bCs/>
              </w:rPr>
              <w:t>Tax Name</w:t>
            </w:r>
            <w:r w:rsidRPr="00EA4C9B">
              <w:t>  </w:t>
            </w:r>
          </w:p>
        </w:tc>
        <w:tc>
          <w:tcPr>
            <w:tcW w:w="2235" w:type="dxa"/>
            <w:tcBorders>
              <w:top w:val="single" w:sz="6" w:space="0" w:color="auto"/>
              <w:left w:val="single" w:sz="6" w:space="0" w:color="auto"/>
              <w:bottom w:val="single" w:sz="6" w:space="0" w:color="auto"/>
              <w:right w:val="single" w:sz="6" w:space="0" w:color="auto"/>
            </w:tcBorders>
            <w:hideMark/>
          </w:tcPr>
          <w:p w14:paraId="1EFED8CB" w14:textId="4825E25D" w:rsidR="000A4E61" w:rsidRPr="00EA4C9B" w:rsidRDefault="000A4E61" w:rsidP="00271218">
            <w:pPr>
              <w:pStyle w:val="Table"/>
              <w:jc w:val="center"/>
            </w:pPr>
            <w:r w:rsidRPr="00EA4C9B">
              <w:rPr>
                <w:b/>
                <w:bCs/>
              </w:rPr>
              <w:t>Revenue (€ million)</w:t>
            </w:r>
          </w:p>
          <w:p w14:paraId="31CFB019" w14:textId="7069D383" w:rsidR="000A4E61" w:rsidRPr="00EA4C9B" w:rsidRDefault="000A4E61" w:rsidP="00271218">
            <w:pPr>
              <w:pStyle w:val="Table"/>
              <w:jc w:val="center"/>
            </w:pPr>
            <w:r w:rsidRPr="00EA4C9B">
              <w:rPr>
                <w:b/>
                <w:bCs/>
              </w:rPr>
              <w:t>2009-2023</w:t>
            </w:r>
          </w:p>
        </w:tc>
        <w:tc>
          <w:tcPr>
            <w:tcW w:w="2235" w:type="dxa"/>
            <w:tcBorders>
              <w:top w:val="single" w:sz="6" w:space="0" w:color="auto"/>
              <w:left w:val="single" w:sz="6" w:space="0" w:color="auto"/>
              <w:bottom w:val="single" w:sz="6" w:space="0" w:color="auto"/>
              <w:right w:val="single" w:sz="6" w:space="0" w:color="auto"/>
            </w:tcBorders>
            <w:hideMark/>
          </w:tcPr>
          <w:p w14:paraId="07A38C72" w14:textId="26E43E9B" w:rsidR="000A4E61" w:rsidRPr="00EA4C9B" w:rsidRDefault="000A4E61" w:rsidP="00271218">
            <w:pPr>
              <w:pStyle w:val="Table"/>
              <w:jc w:val="center"/>
            </w:pPr>
            <w:r w:rsidRPr="00EA4C9B">
              <w:rPr>
                <w:b/>
                <w:bCs/>
              </w:rPr>
              <w:t>Average annual revenue (€ million)</w:t>
            </w:r>
          </w:p>
        </w:tc>
        <w:tc>
          <w:tcPr>
            <w:tcW w:w="2235" w:type="dxa"/>
            <w:tcBorders>
              <w:top w:val="single" w:sz="6" w:space="0" w:color="auto"/>
              <w:left w:val="single" w:sz="6" w:space="0" w:color="auto"/>
              <w:bottom w:val="single" w:sz="6" w:space="0" w:color="auto"/>
              <w:right w:val="single" w:sz="6" w:space="0" w:color="auto"/>
            </w:tcBorders>
            <w:hideMark/>
          </w:tcPr>
          <w:p w14:paraId="284FB154" w14:textId="1D427715" w:rsidR="000A4E61" w:rsidRPr="00EA4C9B" w:rsidRDefault="000A4E61" w:rsidP="00271218">
            <w:pPr>
              <w:pStyle w:val="Table"/>
              <w:jc w:val="center"/>
            </w:pPr>
            <w:r w:rsidRPr="00EA4C9B">
              <w:rPr>
                <w:b/>
                <w:bCs/>
              </w:rPr>
              <w:t>As share of all waste tax revenues</w:t>
            </w:r>
          </w:p>
        </w:tc>
      </w:tr>
      <w:tr w:rsidR="000A4E61" w:rsidRPr="00EA4C9B" w14:paraId="7B7BFC26" w14:textId="77777777" w:rsidTr="004F0767">
        <w:trPr>
          <w:trHeight w:val="300"/>
        </w:trPr>
        <w:tc>
          <w:tcPr>
            <w:tcW w:w="2235" w:type="dxa"/>
            <w:tcBorders>
              <w:top w:val="single" w:sz="6" w:space="0" w:color="auto"/>
              <w:left w:val="single" w:sz="6" w:space="0" w:color="auto"/>
              <w:bottom w:val="single" w:sz="6" w:space="0" w:color="auto"/>
              <w:right w:val="single" w:sz="6" w:space="0" w:color="auto"/>
            </w:tcBorders>
            <w:hideMark/>
          </w:tcPr>
          <w:p w14:paraId="44DE01BD" w14:textId="77777777" w:rsidR="000A4E61" w:rsidRPr="00EA4C9B" w:rsidRDefault="000A4E61" w:rsidP="00F23CBA">
            <w:pPr>
              <w:pStyle w:val="Table"/>
            </w:pPr>
            <w:r w:rsidRPr="00EA4C9B">
              <w:t>Plastic bag levy </w:t>
            </w:r>
          </w:p>
        </w:tc>
        <w:tc>
          <w:tcPr>
            <w:tcW w:w="2235" w:type="dxa"/>
            <w:tcBorders>
              <w:top w:val="single" w:sz="6" w:space="0" w:color="auto"/>
              <w:left w:val="single" w:sz="6" w:space="0" w:color="auto"/>
              <w:bottom w:val="single" w:sz="6" w:space="0" w:color="auto"/>
              <w:right w:val="single" w:sz="6" w:space="0" w:color="auto"/>
            </w:tcBorders>
            <w:vAlign w:val="center"/>
            <w:hideMark/>
          </w:tcPr>
          <w:p w14:paraId="13F595B7" w14:textId="19DF3201" w:rsidR="000A4E61" w:rsidRPr="00EA4C9B" w:rsidRDefault="000A4E61" w:rsidP="00271218">
            <w:pPr>
              <w:pStyle w:val="Table"/>
              <w:jc w:val="center"/>
            </w:pPr>
            <w:r w:rsidRPr="00EA4C9B">
              <w:t>154.2</w:t>
            </w:r>
          </w:p>
        </w:tc>
        <w:tc>
          <w:tcPr>
            <w:tcW w:w="2235" w:type="dxa"/>
            <w:tcBorders>
              <w:top w:val="single" w:sz="6" w:space="0" w:color="auto"/>
              <w:left w:val="single" w:sz="6" w:space="0" w:color="auto"/>
              <w:bottom w:val="single" w:sz="6" w:space="0" w:color="auto"/>
              <w:right w:val="single" w:sz="6" w:space="0" w:color="auto"/>
            </w:tcBorders>
            <w:vAlign w:val="center"/>
            <w:hideMark/>
          </w:tcPr>
          <w:p w14:paraId="4F7D5017" w14:textId="228E0DE2" w:rsidR="000A4E61" w:rsidRPr="00EA4C9B" w:rsidRDefault="000A4E61" w:rsidP="00271218">
            <w:pPr>
              <w:pStyle w:val="Table"/>
              <w:jc w:val="center"/>
            </w:pPr>
            <w:r w:rsidRPr="00EA4C9B">
              <w:t>10.3</w:t>
            </w:r>
          </w:p>
        </w:tc>
        <w:tc>
          <w:tcPr>
            <w:tcW w:w="2235" w:type="dxa"/>
            <w:tcBorders>
              <w:top w:val="single" w:sz="6" w:space="0" w:color="auto"/>
              <w:left w:val="single" w:sz="6" w:space="0" w:color="auto"/>
              <w:bottom w:val="single" w:sz="6" w:space="0" w:color="auto"/>
              <w:right w:val="single" w:sz="6" w:space="0" w:color="auto"/>
            </w:tcBorders>
            <w:hideMark/>
          </w:tcPr>
          <w:p w14:paraId="15766E8E" w14:textId="3EB74F73" w:rsidR="000A4E61" w:rsidRPr="00EA4C9B" w:rsidRDefault="000A4E61" w:rsidP="00271218">
            <w:pPr>
              <w:pStyle w:val="Table"/>
              <w:jc w:val="center"/>
            </w:pPr>
            <w:r w:rsidRPr="00EA4C9B">
              <w:t>26.4%</w:t>
            </w:r>
          </w:p>
        </w:tc>
      </w:tr>
      <w:tr w:rsidR="000A4E61" w:rsidRPr="00EA4C9B" w14:paraId="78208F0B" w14:textId="77777777" w:rsidTr="004F0767">
        <w:trPr>
          <w:trHeight w:val="300"/>
        </w:trPr>
        <w:tc>
          <w:tcPr>
            <w:tcW w:w="2235" w:type="dxa"/>
            <w:tcBorders>
              <w:top w:val="single" w:sz="6" w:space="0" w:color="auto"/>
              <w:left w:val="single" w:sz="6" w:space="0" w:color="auto"/>
              <w:bottom w:val="single" w:sz="6" w:space="0" w:color="auto"/>
              <w:right w:val="single" w:sz="6" w:space="0" w:color="auto"/>
            </w:tcBorders>
            <w:hideMark/>
          </w:tcPr>
          <w:p w14:paraId="5E853158" w14:textId="77777777" w:rsidR="000A4E61" w:rsidRPr="00EA4C9B" w:rsidRDefault="000A4E61" w:rsidP="00F23CBA">
            <w:pPr>
              <w:pStyle w:val="Table"/>
            </w:pPr>
            <w:r w:rsidRPr="00EA4C9B">
              <w:t>Landfill levy </w:t>
            </w:r>
          </w:p>
        </w:tc>
        <w:tc>
          <w:tcPr>
            <w:tcW w:w="2235" w:type="dxa"/>
            <w:tcBorders>
              <w:top w:val="single" w:sz="6" w:space="0" w:color="auto"/>
              <w:left w:val="single" w:sz="6" w:space="0" w:color="auto"/>
              <w:bottom w:val="single" w:sz="6" w:space="0" w:color="auto"/>
              <w:right w:val="single" w:sz="6" w:space="0" w:color="auto"/>
            </w:tcBorders>
            <w:vAlign w:val="center"/>
            <w:hideMark/>
          </w:tcPr>
          <w:p w14:paraId="36C2DA41" w14:textId="196FB909" w:rsidR="000A4E61" w:rsidRPr="00EA4C9B" w:rsidRDefault="000A4E61" w:rsidP="00271218">
            <w:pPr>
              <w:pStyle w:val="Table"/>
              <w:jc w:val="center"/>
            </w:pPr>
            <w:r w:rsidRPr="00EA4C9B">
              <w:t>428.9</w:t>
            </w:r>
          </w:p>
        </w:tc>
        <w:tc>
          <w:tcPr>
            <w:tcW w:w="2235" w:type="dxa"/>
            <w:tcBorders>
              <w:top w:val="single" w:sz="6" w:space="0" w:color="auto"/>
              <w:left w:val="single" w:sz="6" w:space="0" w:color="auto"/>
              <w:bottom w:val="single" w:sz="6" w:space="0" w:color="auto"/>
              <w:right w:val="single" w:sz="6" w:space="0" w:color="auto"/>
            </w:tcBorders>
            <w:vAlign w:val="center"/>
            <w:hideMark/>
          </w:tcPr>
          <w:p w14:paraId="6C3BCEEB" w14:textId="6E1A41F8" w:rsidR="000A4E61" w:rsidRPr="00EA4C9B" w:rsidRDefault="000A4E61" w:rsidP="00271218">
            <w:pPr>
              <w:pStyle w:val="Table"/>
              <w:jc w:val="center"/>
            </w:pPr>
            <w:r w:rsidRPr="00EA4C9B">
              <w:t>28.6</w:t>
            </w:r>
          </w:p>
        </w:tc>
        <w:tc>
          <w:tcPr>
            <w:tcW w:w="2235" w:type="dxa"/>
            <w:tcBorders>
              <w:top w:val="single" w:sz="6" w:space="0" w:color="auto"/>
              <w:left w:val="single" w:sz="6" w:space="0" w:color="auto"/>
              <w:bottom w:val="single" w:sz="6" w:space="0" w:color="auto"/>
              <w:right w:val="single" w:sz="6" w:space="0" w:color="auto"/>
            </w:tcBorders>
            <w:hideMark/>
          </w:tcPr>
          <w:p w14:paraId="4D7E0F5F" w14:textId="0061ADAD" w:rsidR="000A4E61" w:rsidRPr="00EA4C9B" w:rsidRDefault="000A4E61" w:rsidP="00271218">
            <w:pPr>
              <w:pStyle w:val="Table"/>
              <w:jc w:val="center"/>
            </w:pPr>
            <w:r w:rsidRPr="00EA4C9B">
              <w:t>73.5%</w:t>
            </w:r>
          </w:p>
        </w:tc>
      </w:tr>
    </w:tbl>
    <w:p w14:paraId="141C898B" w14:textId="77777777" w:rsidR="000A4E61" w:rsidRPr="00EA4C9B" w:rsidRDefault="000A4E61" w:rsidP="000A4E61">
      <w:pPr>
        <w:spacing w:after="0"/>
      </w:pPr>
      <w:r w:rsidRPr="00EA4C9B">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5"/>
        <w:gridCol w:w="2235"/>
        <w:gridCol w:w="2235"/>
        <w:gridCol w:w="2250"/>
      </w:tblGrid>
      <w:tr w:rsidR="000A4E61" w:rsidRPr="00EA4C9B" w14:paraId="01F409C6" w14:textId="77777777" w:rsidTr="004F0767">
        <w:trPr>
          <w:trHeight w:val="300"/>
        </w:trPr>
        <w:tc>
          <w:tcPr>
            <w:tcW w:w="8955"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25D5463B" w14:textId="456E6EF9" w:rsidR="000A4E61" w:rsidRPr="00F23CBA" w:rsidRDefault="00282899" w:rsidP="00F23CBA">
            <w:pPr>
              <w:pStyle w:val="Table"/>
              <w:rPr>
                <w:b/>
                <w:color w:val="FFFFFF" w:themeColor="background1"/>
              </w:rPr>
            </w:pPr>
            <w:r w:rsidRPr="00F23CBA">
              <w:rPr>
                <w:b/>
                <w:color w:val="FFFFFF" w:themeColor="background1"/>
              </w:rPr>
              <w:t xml:space="preserve">Table </w:t>
            </w:r>
            <w:r w:rsidR="00490085">
              <w:rPr>
                <w:b/>
                <w:color w:val="FFFFFF" w:themeColor="background1"/>
              </w:rPr>
              <w:t>A6</w:t>
            </w:r>
            <w:r w:rsidR="00F23CBA" w:rsidRPr="00F23CBA">
              <w:rPr>
                <w:b/>
                <w:bCs/>
                <w:color w:val="FFFFFF" w:themeColor="background1"/>
              </w:rPr>
              <w:t>-</w:t>
            </w:r>
            <w:r w:rsidR="00F23CBA" w:rsidRPr="00F23CBA">
              <w:rPr>
                <w:b/>
                <w:bCs/>
                <w:color w:val="FFFFFF" w:themeColor="background1"/>
              </w:rPr>
              <w:fldChar w:fldCharType="begin"/>
            </w:r>
            <w:r w:rsidR="00F23CBA" w:rsidRPr="00F23CBA">
              <w:rPr>
                <w:b/>
                <w:bCs/>
                <w:color w:val="FFFFFF" w:themeColor="background1"/>
              </w:rPr>
              <w:instrText xml:space="preserve"> SEQ Table_A5- \* ARABIC </w:instrText>
            </w:r>
            <w:r w:rsidR="00F23CBA" w:rsidRPr="00F23CBA">
              <w:rPr>
                <w:b/>
                <w:bCs/>
                <w:color w:val="FFFFFF" w:themeColor="background1"/>
              </w:rPr>
              <w:fldChar w:fldCharType="separate"/>
            </w:r>
            <w:r w:rsidR="009B400E">
              <w:rPr>
                <w:b/>
                <w:bCs/>
                <w:noProof/>
                <w:color w:val="FFFFFF" w:themeColor="background1"/>
              </w:rPr>
              <w:t>75</w:t>
            </w:r>
            <w:r w:rsidR="00F23CBA" w:rsidRPr="00F23CBA">
              <w:rPr>
                <w:b/>
                <w:bCs/>
                <w:color w:val="FFFFFF" w:themeColor="background1"/>
              </w:rPr>
              <w:fldChar w:fldCharType="end"/>
            </w:r>
            <w:r w:rsidR="000A4E61" w:rsidRPr="00F23CBA">
              <w:rPr>
                <w:b/>
                <w:color w:val="FFFFFF" w:themeColor="background1"/>
              </w:rPr>
              <w:t>:</w:t>
            </w:r>
            <w:r w:rsidR="000A4E61" w:rsidRPr="00F23CBA">
              <w:rPr>
                <w:b/>
                <w:color w:val="FFFFFF" w:themeColor="background1"/>
                <w:szCs w:val="20"/>
              </w:rPr>
              <w:t>  Resource taxes </w:t>
            </w:r>
            <w:r w:rsidR="000A4E61" w:rsidRPr="00F23CBA">
              <w:rPr>
                <w:b/>
                <w:color w:val="FFFFFF" w:themeColor="background1"/>
              </w:rPr>
              <w:t> </w:t>
            </w:r>
          </w:p>
        </w:tc>
      </w:tr>
      <w:tr w:rsidR="000A4E61" w:rsidRPr="00EA4C9B" w14:paraId="73126B25" w14:textId="77777777" w:rsidTr="004F0767">
        <w:trPr>
          <w:trHeight w:val="300"/>
        </w:trPr>
        <w:tc>
          <w:tcPr>
            <w:tcW w:w="2235" w:type="dxa"/>
            <w:tcBorders>
              <w:top w:val="single" w:sz="6" w:space="0" w:color="auto"/>
              <w:left w:val="single" w:sz="6" w:space="0" w:color="auto"/>
              <w:bottom w:val="single" w:sz="6" w:space="0" w:color="auto"/>
              <w:right w:val="single" w:sz="6" w:space="0" w:color="auto"/>
            </w:tcBorders>
            <w:hideMark/>
          </w:tcPr>
          <w:p w14:paraId="0A279739" w14:textId="77777777" w:rsidR="000A4E61" w:rsidRPr="00EA4C9B" w:rsidRDefault="000A4E61" w:rsidP="00F23CBA">
            <w:pPr>
              <w:pStyle w:val="Table"/>
            </w:pPr>
            <w:r w:rsidRPr="00EA4C9B">
              <w:rPr>
                <w:b/>
                <w:bCs/>
              </w:rPr>
              <w:t>Tax Name</w:t>
            </w:r>
            <w:r w:rsidRPr="00EA4C9B">
              <w:t>  </w:t>
            </w:r>
          </w:p>
        </w:tc>
        <w:tc>
          <w:tcPr>
            <w:tcW w:w="2235" w:type="dxa"/>
            <w:tcBorders>
              <w:top w:val="single" w:sz="6" w:space="0" w:color="auto"/>
              <w:left w:val="single" w:sz="6" w:space="0" w:color="auto"/>
              <w:bottom w:val="single" w:sz="6" w:space="0" w:color="auto"/>
              <w:right w:val="single" w:sz="6" w:space="0" w:color="auto"/>
            </w:tcBorders>
            <w:hideMark/>
          </w:tcPr>
          <w:p w14:paraId="2BE11238" w14:textId="3E506C96" w:rsidR="000A4E61" w:rsidRPr="00EA4C9B" w:rsidRDefault="000A4E61" w:rsidP="00271218">
            <w:pPr>
              <w:pStyle w:val="Table"/>
              <w:jc w:val="center"/>
            </w:pPr>
            <w:r w:rsidRPr="00EA4C9B">
              <w:rPr>
                <w:b/>
                <w:bCs/>
              </w:rPr>
              <w:t>Revenue (€ million)</w:t>
            </w:r>
          </w:p>
          <w:p w14:paraId="7484B4C4" w14:textId="2E628CD0" w:rsidR="000A4E61" w:rsidRPr="00EA4C9B" w:rsidRDefault="000A4E61" w:rsidP="00271218">
            <w:pPr>
              <w:pStyle w:val="Table"/>
              <w:jc w:val="center"/>
            </w:pPr>
            <w:r w:rsidRPr="00EA4C9B">
              <w:rPr>
                <w:b/>
                <w:bCs/>
              </w:rPr>
              <w:t>2009-2023</w:t>
            </w:r>
          </w:p>
        </w:tc>
        <w:tc>
          <w:tcPr>
            <w:tcW w:w="2235" w:type="dxa"/>
            <w:tcBorders>
              <w:top w:val="single" w:sz="6" w:space="0" w:color="auto"/>
              <w:left w:val="single" w:sz="6" w:space="0" w:color="auto"/>
              <w:bottom w:val="single" w:sz="6" w:space="0" w:color="auto"/>
              <w:right w:val="single" w:sz="6" w:space="0" w:color="auto"/>
            </w:tcBorders>
            <w:hideMark/>
          </w:tcPr>
          <w:p w14:paraId="2217AA45" w14:textId="15C0D305" w:rsidR="000A4E61" w:rsidRPr="00EA4C9B" w:rsidRDefault="000A4E61" w:rsidP="00271218">
            <w:pPr>
              <w:pStyle w:val="Table"/>
              <w:jc w:val="center"/>
            </w:pPr>
            <w:r w:rsidRPr="00EA4C9B">
              <w:rPr>
                <w:b/>
                <w:bCs/>
              </w:rPr>
              <w:t>Average annual revenue (€ million)</w:t>
            </w:r>
          </w:p>
        </w:tc>
        <w:tc>
          <w:tcPr>
            <w:tcW w:w="2235" w:type="dxa"/>
            <w:tcBorders>
              <w:top w:val="single" w:sz="6" w:space="0" w:color="auto"/>
              <w:left w:val="single" w:sz="6" w:space="0" w:color="auto"/>
              <w:bottom w:val="single" w:sz="6" w:space="0" w:color="auto"/>
              <w:right w:val="single" w:sz="6" w:space="0" w:color="auto"/>
            </w:tcBorders>
            <w:hideMark/>
          </w:tcPr>
          <w:p w14:paraId="00EBD9E2" w14:textId="216C16EC" w:rsidR="000A4E61" w:rsidRPr="00EA4C9B" w:rsidRDefault="000A4E61" w:rsidP="00271218">
            <w:pPr>
              <w:pStyle w:val="Table"/>
              <w:jc w:val="center"/>
            </w:pPr>
            <w:r w:rsidRPr="00EA4C9B">
              <w:rPr>
                <w:b/>
                <w:bCs/>
              </w:rPr>
              <w:t>As share of all resource tax revenues</w:t>
            </w:r>
          </w:p>
        </w:tc>
      </w:tr>
      <w:tr w:rsidR="000A4E61" w:rsidRPr="00EA4C9B" w14:paraId="6E4B7C55" w14:textId="77777777" w:rsidTr="004F0767">
        <w:trPr>
          <w:trHeight w:val="300"/>
        </w:trPr>
        <w:tc>
          <w:tcPr>
            <w:tcW w:w="2235" w:type="dxa"/>
            <w:tcBorders>
              <w:top w:val="single" w:sz="6" w:space="0" w:color="auto"/>
              <w:left w:val="single" w:sz="6" w:space="0" w:color="auto"/>
              <w:bottom w:val="single" w:sz="6" w:space="0" w:color="auto"/>
              <w:right w:val="single" w:sz="6" w:space="0" w:color="auto"/>
            </w:tcBorders>
            <w:hideMark/>
          </w:tcPr>
          <w:p w14:paraId="24A5658D" w14:textId="77777777" w:rsidR="000A4E61" w:rsidRPr="00EA4C9B" w:rsidRDefault="000A4E61" w:rsidP="00F23CBA">
            <w:pPr>
              <w:pStyle w:val="Table"/>
            </w:pPr>
            <w:r w:rsidRPr="00EA4C9B">
              <w:t>Fisheries levy </w:t>
            </w:r>
          </w:p>
        </w:tc>
        <w:tc>
          <w:tcPr>
            <w:tcW w:w="2235" w:type="dxa"/>
            <w:tcBorders>
              <w:top w:val="single" w:sz="6" w:space="0" w:color="auto"/>
              <w:left w:val="single" w:sz="6" w:space="0" w:color="auto"/>
              <w:bottom w:val="single" w:sz="6" w:space="0" w:color="auto"/>
              <w:right w:val="single" w:sz="6" w:space="0" w:color="auto"/>
            </w:tcBorders>
            <w:hideMark/>
          </w:tcPr>
          <w:p w14:paraId="7835A1DE" w14:textId="4AB826BD" w:rsidR="000A4E61" w:rsidRPr="00EA4C9B" w:rsidRDefault="000A4E61" w:rsidP="00271218">
            <w:pPr>
              <w:pStyle w:val="Table"/>
              <w:jc w:val="center"/>
            </w:pPr>
            <w:r w:rsidRPr="00EA4C9B">
              <w:t>18.0</w:t>
            </w:r>
          </w:p>
        </w:tc>
        <w:tc>
          <w:tcPr>
            <w:tcW w:w="2235" w:type="dxa"/>
            <w:tcBorders>
              <w:top w:val="single" w:sz="6" w:space="0" w:color="auto"/>
              <w:left w:val="single" w:sz="6" w:space="0" w:color="auto"/>
              <w:bottom w:val="single" w:sz="6" w:space="0" w:color="auto"/>
              <w:right w:val="single" w:sz="6" w:space="0" w:color="auto"/>
            </w:tcBorders>
            <w:hideMark/>
          </w:tcPr>
          <w:p w14:paraId="3C8FC513" w14:textId="15B2F3AF" w:rsidR="000A4E61" w:rsidRPr="00EA4C9B" w:rsidRDefault="000A4E61" w:rsidP="00271218">
            <w:pPr>
              <w:pStyle w:val="Table"/>
              <w:jc w:val="center"/>
            </w:pPr>
            <w:r w:rsidRPr="00EA4C9B">
              <w:t>1.2</w:t>
            </w:r>
          </w:p>
        </w:tc>
        <w:tc>
          <w:tcPr>
            <w:tcW w:w="2235" w:type="dxa"/>
            <w:tcBorders>
              <w:top w:val="single" w:sz="6" w:space="0" w:color="auto"/>
              <w:left w:val="single" w:sz="6" w:space="0" w:color="auto"/>
              <w:bottom w:val="single" w:sz="6" w:space="0" w:color="auto"/>
              <w:right w:val="single" w:sz="6" w:space="0" w:color="auto"/>
            </w:tcBorders>
            <w:hideMark/>
          </w:tcPr>
          <w:p w14:paraId="7288344E" w14:textId="0D3B3DF2" w:rsidR="000A4E61" w:rsidRPr="00EA4C9B" w:rsidRDefault="000A4E61" w:rsidP="00271218">
            <w:pPr>
              <w:pStyle w:val="Table"/>
              <w:jc w:val="center"/>
            </w:pPr>
            <w:r w:rsidRPr="00EA4C9B">
              <w:t>100%</w:t>
            </w:r>
          </w:p>
        </w:tc>
      </w:tr>
    </w:tbl>
    <w:p w14:paraId="60EDCD93" w14:textId="77777777" w:rsidR="000A4E61" w:rsidRPr="00EA4C9B" w:rsidRDefault="000A4E61" w:rsidP="000A4E61">
      <w:pPr>
        <w:spacing w:after="0"/>
        <w:textAlignment w:val="center"/>
        <w:rPr>
          <w:rFonts w:ascii="Calibri" w:eastAsia="Times New Roman" w:hAnsi="Calibri" w:cs="Calibri"/>
          <w:lang w:eastAsia="en-IE"/>
        </w:rPr>
      </w:pPr>
    </w:p>
    <w:p w14:paraId="1DF4749E" w14:textId="77777777" w:rsidR="000A4E61" w:rsidRPr="00EA4C9B" w:rsidRDefault="000A4E61" w:rsidP="000A4E61">
      <w:pPr>
        <w:spacing w:after="0"/>
        <w:textAlignment w:val="center"/>
        <w:rPr>
          <w:rFonts w:ascii="Calibri" w:eastAsia="Times New Roman" w:hAnsi="Calibri" w:cs="Calibri"/>
          <w:lang w:eastAsia="en-IE"/>
        </w:rPr>
      </w:pPr>
      <w:r w:rsidRPr="00EA4C9B">
        <w:rPr>
          <w:rFonts w:ascii="Calibri" w:eastAsia="Times New Roman" w:hAnsi="Calibri" w:cs="Calibri"/>
          <w:b/>
          <w:bCs/>
          <w:lang w:eastAsia="en-IE"/>
        </w:rPr>
        <w:t xml:space="preserve">Plastic bag levy: </w:t>
      </w:r>
      <w:r w:rsidRPr="00EA4C9B">
        <w:rPr>
          <w:rFonts w:ascii="Calibri" w:eastAsia="Times New Roman" w:hAnsi="Calibri" w:cs="Calibri"/>
          <w:lang w:eastAsia="en-IE"/>
        </w:rPr>
        <w:t>The plastic bag levy is charged on the purchase of plastic bags. It was introduced in 2002</w:t>
      </w:r>
      <w:r w:rsidRPr="00EA4C9B">
        <w:rPr>
          <w:rStyle w:val="FootnoteReference"/>
          <w:rFonts w:ascii="Calibri" w:eastAsia="Times New Roman" w:hAnsi="Calibri" w:cs="Calibri"/>
          <w:lang w:eastAsia="en-IE"/>
        </w:rPr>
        <w:footnoteReference w:id="450"/>
      </w:r>
      <w:r w:rsidRPr="00EA4C9B">
        <w:rPr>
          <w:rFonts w:ascii="Calibri" w:eastAsia="Times New Roman" w:hAnsi="Calibri" w:cs="Calibri"/>
          <w:lang w:eastAsia="en-IE"/>
        </w:rPr>
        <w:t>. The retailers who supply these bags to customers charge this levy at the point of sale. The current rate is €0.22 per shopping bag. This levy is then paid to Revenue, who collect it on behalf of the Department of the Environment, Climate and Communications. The proceeds from this levy go to the Circular Economy Fund, which finances initiatives to reduce waste and promote the reuse and recycling of goods</w:t>
      </w:r>
      <w:r w:rsidRPr="00EA4C9B">
        <w:rPr>
          <w:rStyle w:val="FootnoteReference"/>
          <w:rFonts w:ascii="Calibri" w:eastAsia="Times New Roman" w:hAnsi="Calibri" w:cs="Calibri"/>
          <w:lang w:eastAsia="en-IE"/>
        </w:rPr>
        <w:footnoteReference w:id="451"/>
      </w:r>
      <w:r w:rsidRPr="00EA4C9B">
        <w:rPr>
          <w:rFonts w:ascii="Calibri" w:eastAsia="Times New Roman" w:hAnsi="Calibri" w:cs="Calibri"/>
          <w:lang w:eastAsia="en-IE"/>
        </w:rPr>
        <w:t>. Overall, the costs of implementing the levy have been modest. There were one-off costs of €1.2 million for new computer systems and other resources, and €358,000 for the information campaign. Around three percent of the revenues are earmarked to cover the running administrative costs of the levy</w:t>
      </w:r>
      <w:r w:rsidRPr="00EA4C9B">
        <w:rPr>
          <w:rStyle w:val="FootnoteReference"/>
          <w:rFonts w:ascii="Calibri" w:eastAsia="Times New Roman" w:hAnsi="Calibri" w:cs="Calibri"/>
          <w:lang w:eastAsia="en-IE"/>
        </w:rPr>
        <w:footnoteReference w:id="452"/>
      </w:r>
      <w:r w:rsidRPr="00EA4C9B">
        <w:rPr>
          <w:rFonts w:ascii="Calibri" w:eastAsia="Times New Roman" w:hAnsi="Calibri" w:cs="Calibri"/>
          <w:lang w:eastAsia="en-IE"/>
        </w:rPr>
        <w:t>.</w:t>
      </w:r>
    </w:p>
    <w:p w14:paraId="462AA0AC" w14:textId="77777777" w:rsidR="000A4E61" w:rsidRPr="00EA4C9B" w:rsidRDefault="000A4E61" w:rsidP="000A4E61">
      <w:pPr>
        <w:spacing w:after="0"/>
        <w:textAlignment w:val="center"/>
        <w:rPr>
          <w:rFonts w:ascii="Calibri" w:eastAsia="Times New Roman" w:hAnsi="Calibri" w:cs="Calibri"/>
          <w:lang w:eastAsia="en-IE"/>
        </w:rPr>
      </w:pPr>
    </w:p>
    <w:p w14:paraId="6C62C711" w14:textId="77777777" w:rsidR="000A4E61" w:rsidRPr="00EA4C9B" w:rsidRDefault="000A4E61" w:rsidP="000A4E61">
      <w:pPr>
        <w:spacing w:after="0"/>
        <w:textAlignment w:val="center"/>
        <w:rPr>
          <w:rFonts w:ascii="Calibri" w:eastAsia="Times New Roman" w:hAnsi="Calibri" w:cs="Calibri"/>
          <w:lang w:eastAsia="en-IE"/>
        </w:rPr>
      </w:pPr>
      <w:r w:rsidRPr="00EA4C9B">
        <w:rPr>
          <w:rFonts w:ascii="Calibri" w:eastAsia="Times New Roman" w:hAnsi="Calibri" w:cs="Calibri"/>
          <w:lang w:eastAsia="en-IE"/>
        </w:rPr>
        <w:t xml:space="preserve">Prior to the introduction of the plastic bag levy, the government launched an extensive national publicity campaign which conveyed the message that revenues from the levy would be used for environmental purposes. This helped overcome resistance to the levy among the public and retailers. Moreover, the government undertook extensive advance consultation on the design and </w:t>
      </w:r>
      <w:r w:rsidRPr="00EA4C9B">
        <w:rPr>
          <w:rFonts w:ascii="Calibri" w:eastAsia="Times New Roman" w:hAnsi="Calibri" w:cs="Calibri"/>
          <w:lang w:eastAsia="en-IE"/>
        </w:rPr>
        <w:lastRenderedPageBreak/>
        <w:t>implementation of the levy with the public, the Irish Business and Employers’ Confederation, and leading retailers which helped increase support for the policy</w:t>
      </w:r>
      <w:r w:rsidRPr="00EA4C9B">
        <w:rPr>
          <w:rStyle w:val="FootnoteReference"/>
          <w:rFonts w:ascii="Calibri" w:eastAsia="Times New Roman" w:hAnsi="Calibri" w:cs="Calibri"/>
          <w:lang w:eastAsia="en-IE"/>
        </w:rPr>
        <w:footnoteReference w:id="453"/>
      </w:r>
      <w:r w:rsidRPr="00EA4C9B">
        <w:rPr>
          <w:rFonts w:ascii="Calibri" w:eastAsia="Times New Roman" w:hAnsi="Calibri" w:cs="Calibri"/>
          <w:lang w:eastAsia="en-IE"/>
        </w:rPr>
        <w:t xml:space="preserve">. </w:t>
      </w:r>
    </w:p>
    <w:p w14:paraId="247BB630" w14:textId="77777777" w:rsidR="000A4E61" w:rsidRPr="00EA4C9B" w:rsidRDefault="000A4E61" w:rsidP="000A4E61">
      <w:pPr>
        <w:spacing w:after="0"/>
        <w:textAlignment w:val="center"/>
        <w:rPr>
          <w:rFonts w:ascii="Calibri" w:eastAsia="Times New Roman" w:hAnsi="Calibri" w:cs="Calibri"/>
          <w:lang w:eastAsia="en-IE"/>
        </w:rPr>
      </w:pPr>
    </w:p>
    <w:p w14:paraId="39090F34" w14:textId="77777777" w:rsidR="000A4E61" w:rsidRPr="00EA4C9B" w:rsidRDefault="000A4E61" w:rsidP="000A4E61">
      <w:pPr>
        <w:spacing w:after="0"/>
        <w:textAlignment w:val="center"/>
        <w:rPr>
          <w:rFonts w:ascii="Calibri" w:eastAsia="Times New Roman" w:hAnsi="Calibri" w:cs="Calibri"/>
          <w:lang w:eastAsia="en-IE"/>
        </w:rPr>
      </w:pPr>
      <w:r w:rsidRPr="00EA4C9B">
        <w:rPr>
          <w:rFonts w:ascii="Calibri" w:eastAsia="Times New Roman" w:hAnsi="Calibri" w:cs="Calibri"/>
          <w:lang w:eastAsia="en-IE"/>
        </w:rPr>
        <w:t>The levy has been quite successful in inducing behavioural change and reducing the amount of plastic bags purchased in Ireland. Before the introduction of the levy, plastic bag usage was estimated to be 328 bags per capita. By 2012, this had fallen to 14 bags per capita. Moreover, the amount of plastic bags in marine litter decreased from five percent in 2001 to 0.25 percent in 2010</w:t>
      </w:r>
      <w:r w:rsidRPr="00EA4C9B">
        <w:rPr>
          <w:rStyle w:val="FootnoteReference"/>
          <w:rFonts w:ascii="Calibri" w:eastAsia="Times New Roman" w:hAnsi="Calibri" w:cs="Calibri"/>
          <w:lang w:eastAsia="en-IE"/>
        </w:rPr>
        <w:footnoteReference w:id="454"/>
      </w:r>
      <w:r w:rsidRPr="00EA4C9B">
        <w:rPr>
          <w:rFonts w:ascii="Calibri" w:eastAsia="Times New Roman" w:hAnsi="Calibri" w:cs="Calibri"/>
          <w:lang w:eastAsia="en-IE"/>
        </w:rPr>
        <w:t>. The levy raised a revenue of €23.5 million in 2009, and this had fallen to €2.9 million by 2023</w:t>
      </w:r>
      <w:r w:rsidRPr="00EA4C9B">
        <w:rPr>
          <w:rStyle w:val="FootnoteReference"/>
          <w:rFonts w:ascii="Calibri" w:eastAsia="Times New Roman" w:hAnsi="Calibri" w:cs="Calibri"/>
          <w:lang w:eastAsia="en-IE"/>
        </w:rPr>
        <w:footnoteReference w:id="455"/>
      </w:r>
      <w:r w:rsidRPr="00EA4C9B">
        <w:rPr>
          <w:rFonts w:ascii="Calibri" w:eastAsia="Times New Roman" w:hAnsi="Calibri" w:cs="Calibri"/>
          <w:lang w:eastAsia="en-IE"/>
        </w:rPr>
        <w:t>. This decrease in the revenue numbers reflects the decreased purchase of plastic bags in Ireland. The retailers find the effects of the levy to be either neutral or positive. In most cases, the additional costs of implementation have been less than their savings from not having to purchase plastic bags, and the book-keeping is integrated with VAT returns. The consumers have indicated that the levy has caused some expense, but they believe that the impact on the environment has been positive</w:t>
      </w:r>
      <w:r w:rsidRPr="00EA4C9B">
        <w:rPr>
          <w:rStyle w:val="FootnoteReference"/>
          <w:rFonts w:ascii="Calibri" w:eastAsia="Times New Roman" w:hAnsi="Calibri" w:cs="Calibri"/>
          <w:lang w:eastAsia="en-IE"/>
        </w:rPr>
        <w:footnoteReference w:id="456"/>
      </w:r>
      <w:r w:rsidRPr="00EA4C9B">
        <w:rPr>
          <w:rFonts w:ascii="Calibri" w:eastAsia="Times New Roman" w:hAnsi="Calibri" w:cs="Calibri"/>
          <w:lang w:eastAsia="en-IE"/>
        </w:rPr>
        <w:t xml:space="preserve">. </w:t>
      </w:r>
    </w:p>
    <w:p w14:paraId="2B990779" w14:textId="77777777" w:rsidR="000A4E61" w:rsidRPr="00EA4C9B" w:rsidRDefault="000A4E61" w:rsidP="000A4E61">
      <w:pPr>
        <w:spacing w:after="0"/>
        <w:textAlignment w:val="center"/>
        <w:rPr>
          <w:rFonts w:ascii="Calibri" w:eastAsia="Times New Roman" w:hAnsi="Calibri" w:cs="Calibri"/>
          <w:lang w:eastAsia="en-IE"/>
        </w:rPr>
      </w:pPr>
    </w:p>
    <w:p w14:paraId="28C06EAC" w14:textId="77777777" w:rsidR="000A4E61" w:rsidRPr="00EA4C9B" w:rsidRDefault="000A4E61" w:rsidP="000A4E61">
      <w:pPr>
        <w:spacing w:after="0"/>
        <w:rPr>
          <w:rFonts w:ascii="Calibri" w:eastAsia="Times New Roman" w:hAnsi="Calibri" w:cs="Calibri"/>
          <w:lang w:eastAsia="en-IE"/>
        </w:rPr>
      </w:pPr>
      <w:r w:rsidRPr="00EA4C9B">
        <w:rPr>
          <w:rFonts w:ascii="Calibri" w:eastAsia="Times New Roman" w:hAnsi="Calibri" w:cs="Calibri"/>
          <w:b/>
          <w:bCs/>
          <w:lang w:eastAsia="en-IE"/>
        </w:rPr>
        <w:t xml:space="preserve">Landfill levy: </w:t>
      </w:r>
      <w:r w:rsidRPr="00EA4C9B">
        <w:rPr>
          <w:rFonts w:ascii="Calibri" w:eastAsia="Times New Roman" w:hAnsi="Calibri" w:cs="Calibri"/>
          <w:lang w:eastAsia="en-IE"/>
        </w:rPr>
        <w:t xml:space="preserve">The landfill levy, introduced in 2002, is designed to </w:t>
      </w:r>
      <w:r w:rsidRPr="00EA4C9B">
        <w:rPr>
          <w:rFonts w:ascii="Calibri" w:eastAsia="Times New Roman" w:hAnsi="Calibri" w:cs="Calibri"/>
          <w:color w:val="000000"/>
          <w:lang w:eastAsia="en-GB"/>
        </w:rPr>
        <w:t>encourage the diversion of waste away from landfills and to generate revenues that can be applied in support of waste minimisation and recycling initiatives. All levies are remitted to the Environment Fund. The levy is paid by the holder of a waste licence in relation to disposal of waste at an authorised landfill facility. There are also provisions in the legislation to charge the levy for disposal activity at unauthorized landfill facilities. The levy is paid to the relevant local authority within four weeks of the end of an accounting period, and the total amount (net of retention amount) is remitted to the Environment Fund</w:t>
      </w:r>
      <w:r w:rsidRPr="00EA4C9B">
        <w:rPr>
          <w:rStyle w:val="FootnoteReference"/>
          <w:rFonts w:ascii="Calibri" w:eastAsia="Times New Roman" w:hAnsi="Calibri" w:cs="Calibri"/>
          <w:color w:val="000000"/>
          <w:lang w:eastAsia="en-GB"/>
        </w:rPr>
        <w:footnoteReference w:id="457"/>
      </w:r>
      <w:r w:rsidRPr="00EA4C9B">
        <w:rPr>
          <w:rFonts w:ascii="Calibri" w:eastAsia="Times New Roman" w:hAnsi="Calibri" w:cs="Calibri"/>
          <w:color w:val="000000"/>
          <w:lang w:eastAsia="en-GB"/>
        </w:rPr>
        <w:t xml:space="preserve">. The tax rate is </w:t>
      </w:r>
      <w:r w:rsidRPr="00EA4C9B">
        <w:rPr>
          <w:rFonts w:ascii="Aptos Narrow" w:eastAsia="Times New Roman" w:hAnsi="Aptos Narrow" w:cs="Times New Roman"/>
          <w:color w:val="000000"/>
          <w:lang w:eastAsia="en-GB"/>
        </w:rPr>
        <w:t>€85 per tonne of waste</w:t>
      </w:r>
      <w:r w:rsidRPr="00EA4C9B">
        <w:rPr>
          <w:rStyle w:val="FootnoteReference"/>
          <w:rFonts w:ascii="Aptos Narrow" w:eastAsia="Times New Roman" w:hAnsi="Aptos Narrow" w:cs="Times New Roman"/>
          <w:color w:val="000000"/>
          <w:lang w:eastAsia="en-GB"/>
        </w:rPr>
        <w:footnoteReference w:id="458"/>
      </w:r>
      <w:r w:rsidRPr="00EA4C9B">
        <w:rPr>
          <w:rFonts w:ascii="Aptos Narrow" w:eastAsia="Times New Roman" w:hAnsi="Aptos Narrow" w:cs="Times New Roman"/>
          <w:color w:val="000000"/>
          <w:lang w:eastAsia="en-GB"/>
        </w:rPr>
        <w:t xml:space="preserve">. </w:t>
      </w:r>
      <w:r w:rsidRPr="00EA4C9B">
        <w:rPr>
          <w:rFonts w:ascii="Calibri" w:eastAsia="Times New Roman" w:hAnsi="Calibri" w:cs="Calibri"/>
          <w:lang w:eastAsia="en-IE"/>
        </w:rPr>
        <w:t>Several exemptions apply, including for non-hazardous construction and demolition waste, excavation spoil, stabilised waste arising from the composting of the biodegradable fraction of municipal waste, and waste from street cleaning</w:t>
      </w:r>
      <w:r w:rsidRPr="00EA4C9B">
        <w:rPr>
          <w:rStyle w:val="FootnoteReference"/>
          <w:rFonts w:ascii="Calibri" w:eastAsia="Times New Roman" w:hAnsi="Calibri" w:cs="Calibri"/>
          <w:lang w:eastAsia="en-IE"/>
        </w:rPr>
        <w:footnoteReference w:id="459"/>
      </w:r>
      <w:r w:rsidRPr="00EA4C9B">
        <w:rPr>
          <w:rFonts w:ascii="Calibri" w:eastAsia="Times New Roman" w:hAnsi="Calibri" w:cs="Calibri"/>
          <w:lang w:eastAsia="en-IE"/>
        </w:rPr>
        <w:t xml:space="preserve">. The levy has been effective as </w:t>
      </w:r>
      <w:r w:rsidRPr="00EA4C9B">
        <w:t>the disposal of waste to landfills stood at over 80% in 2001 and had dropped considerably to 14% by 2018</w:t>
      </w:r>
      <w:r w:rsidRPr="00EA4C9B">
        <w:rPr>
          <w:rStyle w:val="FootnoteReference"/>
        </w:rPr>
        <w:footnoteReference w:id="460"/>
      </w:r>
      <w:r w:rsidRPr="00EA4C9B">
        <w:t xml:space="preserve">. This is also reflected in the revenues for the levy, which stood at </w:t>
      </w:r>
      <w:r w:rsidRPr="00EA4C9B">
        <w:rPr>
          <w:rFonts w:ascii="Calibri" w:eastAsia="Times New Roman" w:hAnsi="Calibri" w:cs="Calibri"/>
          <w:lang w:eastAsia="en-IE"/>
        </w:rPr>
        <w:t>€</w:t>
      </w:r>
      <w:r w:rsidRPr="00EA4C9B">
        <w:t xml:space="preserve">31.9 million in 2009, and had fallen to </w:t>
      </w:r>
      <w:r w:rsidRPr="00EA4C9B">
        <w:rPr>
          <w:rFonts w:ascii="Calibri" w:eastAsia="Times New Roman" w:hAnsi="Calibri" w:cs="Calibri"/>
          <w:lang w:eastAsia="en-IE"/>
        </w:rPr>
        <w:t>€5.4 million in 2023.</w:t>
      </w:r>
      <w:r w:rsidRPr="00EA4C9B">
        <w:rPr>
          <w:rStyle w:val="FootnoteReference"/>
        </w:rPr>
        <w:footnoteReference w:id="461"/>
      </w:r>
      <w:r w:rsidRPr="00EA4C9B">
        <w:rPr>
          <w:rFonts w:ascii="Calibri" w:eastAsia="Times New Roman" w:hAnsi="Calibri" w:cs="Calibri"/>
          <w:lang w:eastAsia="en-IE"/>
        </w:rPr>
        <w:t xml:space="preserve"> This is despite the levy rate being much lower in 2009 (€30 per tonne) than 2023 (</w:t>
      </w:r>
      <w:r w:rsidRPr="00EA4C9B">
        <w:rPr>
          <w:rFonts w:ascii="Aptos Narrow" w:eastAsia="Times New Roman" w:hAnsi="Aptos Narrow" w:cs="Times New Roman"/>
          <w:color w:val="000000"/>
          <w:lang w:eastAsia="en-GB"/>
        </w:rPr>
        <w:t>€75 per tonne, with an increase to €85 per tonne on 1 September 2023</w:t>
      </w:r>
      <w:r w:rsidRPr="00EA4C9B">
        <w:rPr>
          <w:rStyle w:val="FootnoteReference"/>
          <w:rFonts w:ascii="Aptos Narrow" w:eastAsia="Times New Roman" w:hAnsi="Aptos Narrow" w:cs="Times New Roman"/>
          <w:color w:val="000000"/>
          <w:lang w:eastAsia="en-GB"/>
        </w:rPr>
        <w:footnoteReference w:id="462"/>
      </w:r>
      <w:r w:rsidRPr="00EA4C9B">
        <w:rPr>
          <w:rFonts w:ascii="Aptos Narrow" w:eastAsia="Times New Roman" w:hAnsi="Aptos Narrow" w:cs="Times New Roman"/>
          <w:color w:val="000000"/>
          <w:lang w:eastAsia="en-GB"/>
        </w:rPr>
        <w:t>)</w:t>
      </w:r>
      <w:r w:rsidRPr="00EA4C9B">
        <w:rPr>
          <w:rStyle w:val="FootnoteReference"/>
          <w:rFonts w:ascii="Aptos Narrow" w:eastAsia="Times New Roman" w:hAnsi="Aptos Narrow" w:cs="Times New Roman"/>
          <w:color w:val="000000"/>
          <w:lang w:eastAsia="en-GB"/>
        </w:rPr>
        <w:footnoteReference w:id="463"/>
      </w:r>
      <w:r w:rsidRPr="00EA4C9B">
        <w:rPr>
          <w:rFonts w:ascii="Aptos Narrow" w:eastAsia="Times New Roman" w:hAnsi="Aptos Narrow" w:cs="Times New Roman"/>
          <w:color w:val="000000"/>
          <w:lang w:eastAsia="en-GB"/>
        </w:rPr>
        <w:t>.</w:t>
      </w:r>
      <w:r w:rsidRPr="00EA4C9B">
        <w:rPr>
          <w:rFonts w:ascii="Calibri" w:eastAsia="Times New Roman" w:hAnsi="Calibri" w:cs="Calibri"/>
          <w:lang w:eastAsia="en-IE"/>
        </w:rPr>
        <w:t xml:space="preserve"> </w:t>
      </w:r>
    </w:p>
    <w:p w14:paraId="79627B6C" w14:textId="77777777" w:rsidR="000A4E61" w:rsidRPr="00014325" w:rsidRDefault="000A4E61" w:rsidP="000A4E61">
      <w:pPr>
        <w:spacing w:after="0"/>
        <w:textAlignment w:val="center"/>
        <w:rPr>
          <w:rFonts w:eastAsia="Times New Roman" w:cstheme="minorHAnsi"/>
          <w:lang w:eastAsia="en-IE"/>
        </w:rPr>
      </w:pPr>
    </w:p>
    <w:p w14:paraId="42E4D1E2" w14:textId="0763BEA7" w:rsidR="000A4E61" w:rsidRPr="00014325" w:rsidRDefault="000A4E61" w:rsidP="000A4E61">
      <w:pPr>
        <w:spacing w:after="0"/>
        <w:textAlignment w:val="center"/>
        <w:rPr>
          <w:rFonts w:eastAsia="Times New Roman" w:cstheme="minorHAnsi"/>
          <w:color w:val="000000"/>
          <w:lang w:eastAsia="en-GB"/>
        </w:rPr>
      </w:pPr>
      <w:r w:rsidRPr="00014325">
        <w:rPr>
          <w:rFonts w:eastAsia="Times New Roman" w:cstheme="minorHAnsi"/>
          <w:b/>
          <w:bCs/>
          <w:lang w:eastAsia="en-IE"/>
        </w:rPr>
        <w:t xml:space="preserve">Fisheries levy: </w:t>
      </w:r>
      <w:r w:rsidRPr="00014325">
        <w:rPr>
          <w:rFonts w:eastAsia="Times New Roman" w:cstheme="minorHAnsi"/>
          <w:lang w:eastAsia="en-IE"/>
        </w:rPr>
        <w:t>The fisheries levy, introduced in 2000, is a tax on the</w:t>
      </w:r>
      <w:r w:rsidRPr="00014325">
        <w:rPr>
          <w:rFonts w:eastAsia="Times New Roman" w:cstheme="minorHAnsi"/>
          <w:color w:val="000000"/>
          <w:lang w:eastAsia="en-GB"/>
        </w:rPr>
        <w:t xml:space="preserve"> harvesting of fish. While revenues from the fisheries levy are reported by the Central Statistics Office of Ireland, it has been challenging to find further information on the levy. The annual tax revenues have not seen much fluctuation year to year with the average tax collection being </w:t>
      </w:r>
      <w:r w:rsidRPr="00014325">
        <w:rPr>
          <w:rFonts w:eastAsia="Times New Roman" w:cstheme="minorHAnsi"/>
          <w:lang w:eastAsia="en-IE"/>
        </w:rPr>
        <w:t xml:space="preserve">€1.2 million per annum. </w:t>
      </w:r>
    </w:p>
    <w:p w14:paraId="5F5490A2" w14:textId="77777777" w:rsidR="000A4E61" w:rsidRPr="00EA4C9B" w:rsidRDefault="000A4E61" w:rsidP="00014325">
      <w:pPr>
        <w:pStyle w:val="Heading4"/>
        <w:rPr>
          <w:lang w:eastAsia="en-IE"/>
        </w:rPr>
      </w:pPr>
      <w:r w:rsidRPr="00EA4C9B">
        <w:rPr>
          <w:lang w:eastAsia="en-IE"/>
        </w:rPr>
        <w:t>Fees and other related instruments  </w:t>
      </w:r>
    </w:p>
    <w:p w14:paraId="148AD55C" w14:textId="29BD6E6A" w:rsidR="000A4E61" w:rsidRPr="00EA4C9B" w:rsidRDefault="000A4E61" w:rsidP="00BA7936">
      <w:pPr>
        <w:rPr>
          <w:lang w:eastAsia="en-IE"/>
        </w:rPr>
      </w:pPr>
      <w:r w:rsidRPr="00EA4C9B">
        <w:rPr>
          <w:lang w:eastAsia="en-IE"/>
        </w:rPr>
        <w:t>In Ireland, there are two fees that aren’t classed as taxes according to the PINE database</w:t>
      </w:r>
      <w:r w:rsidRPr="00EA4C9B">
        <w:rPr>
          <w:rStyle w:val="FootnoteReference"/>
          <w:rFonts w:ascii="Calibri" w:eastAsia="Times New Roman" w:hAnsi="Calibri" w:cs="Calibri"/>
          <w:lang w:eastAsia="en-IE"/>
        </w:rPr>
        <w:footnoteReference w:id="464"/>
      </w:r>
      <w:r w:rsidRPr="00EA4C9B">
        <w:rPr>
          <w:lang w:eastAsia="en-IE"/>
        </w:rPr>
        <w:t xml:space="preserve">. Note, PINE defines fees as compulsory requited payments to the government that are levied more-or-less in proportion to the services provided. In this database, the terms “fees” and “charges” are used </w:t>
      </w:r>
      <w:r w:rsidRPr="00EA4C9B">
        <w:rPr>
          <w:lang w:eastAsia="en-IE"/>
        </w:rPr>
        <w:lastRenderedPageBreak/>
        <w:t>interchangeably. The main difference between taxes and fees/charges is the type of beneficiary: fees are paid for government services directed at a specific beneficiary, while taxes are used to raise revenue to fund government expenditure. These include: </w:t>
      </w:r>
    </w:p>
    <w:p w14:paraId="2D27F175" w14:textId="77777777" w:rsidR="000A4E61" w:rsidRPr="00EA4C9B" w:rsidRDefault="000A4E61" w:rsidP="009B400E">
      <w:pPr>
        <w:numPr>
          <w:ilvl w:val="0"/>
          <w:numId w:val="9"/>
        </w:numPr>
        <w:spacing w:after="0"/>
        <w:textAlignment w:val="center"/>
        <w:rPr>
          <w:rFonts w:ascii="Calibri" w:eastAsia="Times New Roman" w:hAnsi="Calibri" w:cs="Calibri"/>
          <w:lang w:eastAsia="en-IE"/>
        </w:rPr>
      </w:pPr>
      <w:r w:rsidRPr="00EA4C9B">
        <w:rPr>
          <w:rFonts w:ascii="Calibri" w:eastAsia="Times New Roman" w:hAnsi="Calibri" w:cs="Calibri"/>
          <w:b/>
          <w:bCs/>
          <w:lang w:eastAsia="en-IE"/>
        </w:rPr>
        <w:t xml:space="preserve">Fishery harbour centre charge </w:t>
      </w:r>
      <w:r w:rsidRPr="00EA4C9B">
        <w:rPr>
          <w:rFonts w:ascii="Calibri" w:eastAsia="Times New Roman" w:hAnsi="Calibri" w:cs="Calibri"/>
          <w:lang w:eastAsia="en-IE"/>
        </w:rPr>
        <w:t>which was implemented in 2012</w:t>
      </w:r>
      <w:r w:rsidRPr="00EA4C9B">
        <w:rPr>
          <w:rStyle w:val="FootnoteReference"/>
          <w:rFonts w:ascii="Calibri" w:eastAsia="Times New Roman" w:hAnsi="Calibri" w:cs="Calibri"/>
          <w:lang w:eastAsia="en-IE"/>
        </w:rPr>
        <w:footnoteReference w:id="465"/>
      </w:r>
      <w:r w:rsidRPr="00EA4C9B">
        <w:rPr>
          <w:rFonts w:ascii="Calibri" w:eastAsia="Times New Roman" w:hAnsi="Calibri" w:cs="Calibri"/>
          <w:lang w:eastAsia="en-IE"/>
        </w:rPr>
        <w:t> </w:t>
      </w:r>
    </w:p>
    <w:p w14:paraId="7066D078" w14:textId="77777777" w:rsidR="000A4E61" w:rsidRPr="00EA4C9B" w:rsidRDefault="000A4E61" w:rsidP="009B400E">
      <w:pPr>
        <w:numPr>
          <w:ilvl w:val="0"/>
          <w:numId w:val="10"/>
        </w:numPr>
        <w:spacing w:after="0"/>
        <w:textAlignment w:val="center"/>
        <w:rPr>
          <w:rFonts w:ascii="Calibri" w:eastAsia="Times New Roman" w:hAnsi="Calibri" w:cs="Calibri"/>
          <w:lang w:eastAsia="en-IE"/>
        </w:rPr>
      </w:pPr>
      <w:r w:rsidRPr="00EA4C9B">
        <w:rPr>
          <w:rFonts w:ascii="Calibri" w:eastAsia="Times New Roman" w:hAnsi="Calibri" w:cs="Calibri"/>
          <w:b/>
          <w:bCs/>
          <w:lang w:eastAsia="en-IE"/>
        </w:rPr>
        <w:t xml:space="preserve">Good laboratory practice accreditation fee </w:t>
      </w:r>
      <w:r w:rsidRPr="00EA4C9B">
        <w:rPr>
          <w:rFonts w:ascii="Calibri" w:eastAsia="Times New Roman" w:hAnsi="Calibri" w:cs="Calibri"/>
          <w:lang w:eastAsia="en-IE"/>
        </w:rPr>
        <w:t>which was implemented in 2004 </w:t>
      </w:r>
    </w:p>
    <w:p w14:paraId="335889ED" w14:textId="77777777" w:rsidR="000A4E61" w:rsidRPr="00EA4C9B" w:rsidRDefault="000A4E61" w:rsidP="000A4E61">
      <w:pPr>
        <w:spacing w:after="0"/>
        <w:textAlignment w:val="center"/>
        <w:rPr>
          <w:rFonts w:ascii="Calibri" w:eastAsia="Times New Roman" w:hAnsi="Calibri" w:cs="Calibri"/>
          <w:lang w:eastAsia="en-IE"/>
        </w:rPr>
      </w:pPr>
    </w:p>
    <w:p w14:paraId="66B00603" w14:textId="77777777" w:rsidR="000A4E61" w:rsidRPr="00EA4C9B" w:rsidRDefault="000A4E61" w:rsidP="00BA7936">
      <w:pPr>
        <w:rPr>
          <w:lang w:eastAsia="en-IE"/>
        </w:rPr>
      </w:pPr>
      <w:r w:rsidRPr="00EA4C9B">
        <w:rPr>
          <w:lang w:eastAsia="en-IE"/>
        </w:rPr>
        <w:t xml:space="preserve">Ireland also introduced a </w:t>
      </w:r>
      <w:r w:rsidRPr="00EA4C9B">
        <w:rPr>
          <w:b/>
          <w:bCs/>
          <w:lang w:eastAsia="en-IE"/>
        </w:rPr>
        <w:t>waste recovery levy</w:t>
      </w:r>
      <w:r w:rsidRPr="00EA4C9B">
        <w:rPr>
          <w:lang w:eastAsia="en-IE"/>
        </w:rPr>
        <w:t xml:space="preserve"> in September 2023. The rate was set at €10 per tonne</w:t>
      </w:r>
      <w:r w:rsidRPr="00EA4C9B">
        <w:rPr>
          <w:rStyle w:val="FootnoteReference"/>
          <w:rFonts w:ascii="Calibri" w:eastAsia="Times New Roman" w:hAnsi="Calibri" w:cs="Calibri"/>
          <w:lang w:eastAsia="en-IE"/>
        </w:rPr>
        <w:footnoteReference w:id="466"/>
      </w:r>
      <w:r w:rsidRPr="00EA4C9B">
        <w:rPr>
          <w:lang w:eastAsia="en-IE"/>
        </w:rPr>
        <w:t>. The goal of this levy is to encourage higher value waste management practices by moving material management up the waste hierarchy from waste recovery to more recycling and re-use and to encourage greater efforts to segregate waste at source</w:t>
      </w:r>
      <w:r w:rsidRPr="00EA4C9B">
        <w:rPr>
          <w:rStyle w:val="FootnoteReference"/>
          <w:rFonts w:ascii="Calibri" w:eastAsia="Times New Roman" w:hAnsi="Calibri" w:cs="Calibri"/>
          <w:lang w:eastAsia="en-IE"/>
        </w:rPr>
        <w:footnoteReference w:id="467"/>
      </w:r>
      <w:r w:rsidRPr="00EA4C9B">
        <w:rPr>
          <w:lang w:eastAsia="en-IE"/>
        </w:rPr>
        <w:t xml:space="preserve">. This levy is not yet reported by the Irish CSO in its pollution taxes data, however, given how recently this was introduced, it might be included once the CSO publishes 2024 data. </w:t>
      </w:r>
    </w:p>
    <w:p w14:paraId="7ACF8183" w14:textId="77777777" w:rsidR="000A4E61" w:rsidRPr="00EA4C9B" w:rsidRDefault="000A4E61" w:rsidP="000A4E61">
      <w:pPr>
        <w:spacing w:after="0"/>
        <w:textAlignment w:val="center"/>
        <w:rPr>
          <w:rFonts w:ascii="Calibri" w:eastAsia="Times New Roman" w:hAnsi="Calibri" w:cs="Calibri"/>
          <w:lang w:eastAsia="en-IE"/>
        </w:rPr>
      </w:pPr>
      <w:r w:rsidRPr="00EA4C9B">
        <w:rPr>
          <w:rFonts w:ascii="Calibri" w:eastAsia="Times New Roman" w:hAnsi="Calibri" w:cs="Calibri"/>
          <w:b/>
          <w:bCs/>
          <w:i/>
          <w:iCs/>
          <w:lang w:eastAsia="en-IE"/>
        </w:rPr>
        <w:t>Conclusions, country-specific recommendations and reform progress </w:t>
      </w:r>
      <w:r w:rsidRPr="00EA4C9B">
        <w:rPr>
          <w:rFonts w:ascii="Calibri" w:eastAsia="Times New Roman" w:hAnsi="Calibri" w:cs="Calibri"/>
          <w:lang w:eastAsia="en-IE"/>
        </w:rPr>
        <w:t> </w:t>
      </w:r>
    </w:p>
    <w:p w14:paraId="05A87C06" w14:textId="77777777" w:rsidR="000A4E61" w:rsidRPr="00EA4C9B" w:rsidRDefault="000A4E61" w:rsidP="000A4E61">
      <w:pPr>
        <w:spacing w:after="0"/>
        <w:textAlignment w:val="center"/>
        <w:rPr>
          <w:rFonts w:ascii="Calibri" w:eastAsia="Times New Roman" w:hAnsi="Calibri" w:cs="Calibri"/>
          <w:lang w:eastAsia="en-IE"/>
        </w:rPr>
      </w:pPr>
    </w:p>
    <w:p w14:paraId="2BAAA834" w14:textId="77777777" w:rsidR="000A4E61" w:rsidRPr="00EA4C9B" w:rsidRDefault="000A4E61" w:rsidP="00BA7936">
      <w:r w:rsidRPr="00EA4C9B">
        <w:t xml:space="preserve">Ireland’s tax system is centralized and there are no notable regional variations. The Office of the Revenue Commissioners is responsible for revenue collection. Pollution and resource taxes comprise a very small share (0.2%) of the total environmental taxes collected in 2023. However, these taxes, particularly the plastic bag levy and the landfill levy, have been highly effective in inducing behavioural change. The low revenue numbers can be interpreted as the policies having the intended effect of reducing waste. </w:t>
      </w:r>
    </w:p>
    <w:p w14:paraId="5B885EC6" w14:textId="634199EB" w:rsidR="000A4E61" w:rsidRPr="00EA4C9B" w:rsidRDefault="000A4E61" w:rsidP="00BA7936">
      <w:r w:rsidRPr="00EA4C9B">
        <w:t>In 2012, Ireland launched its National Sustainable Development Strategy</w:t>
      </w:r>
      <w:r w:rsidRPr="00EA4C9B">
        <w:rPr>
          <w:rStyle w:val="FootnoteReference"/>
        </w:rPr>
        <w:footnoteReference w:id="468"/>
      </w:r>
      <w:r w:rsidRPr="00EA4C9B">
        <w:t>. This strategy proposed the development in the long term (&gt;10 years) of a Framework for Environmental Tax Reform which would support a ‘gradual shift of the tax base away from taxing what we want more of, such as investment and labour, towards taxing what we want less of, such as pollution’ as well as ‘Shifting the Fiscal Focus towards the Green Economy’. Shifting this focus meant that over the longer term, the government would rationalise and phase out environmentally or economically harmful subsidies, including on fossil fuels, while taking into account the impact of such measures on the most vulnerable groups</w:t>
      </w:r>
      <w:r w:rsidRPr="00EA4C9B">
        <w:rPr>
          <w:rStyle w:val="FootnoteReference"/>
        </w:rPr>
        <w:footnoteReference w:id="469"/>
      </w:r>
      <w:r w:rsidRPr="00EA4C9B">
        <w:t>. The launch of this strategy was a positive indication of the interest in environmental tax reform in Ireland. The major policy document published by the government since then was the National Development Plan 2021-2030</w:t>
      </w:r>
      <w:r w:rsidRPr="00EA4C9B">
        <w:rPr>
          <w:rStyle w:val="FootnoteReference"/>
        </w:rPr>
        <w:footnoteReference w:id="470"/>
      </w:r>
      <w:r w:rsidRPr="00EA4C9B">
        <w:t xml:space="preserve">. This plan, published in 2021, mentions using revenues from the carbon tax to achieve decarbonisation, however, there is no mention of any pollution or resource taxes. The only new charge that has been introduced since 2012 is the waste recovery levy discussed above. The country passed legislation to introduce an environmental levy in 2022 focusing on single use items, however, the levy has not been put into effect yet (further details in the section below).  </w:t>
      </w:r>
    </w:p>
    <w:p w14:paraId="79C3945A" w14:textId="1895D461" w:rsidR="000A4E61" w:rsidRPr="00EA4C9B" w:rsidRDefault="000A4E61" w:rsidP="00BA7936">
      <w:r w:rsidRPr="00EA4C9B">
        <w:t>Overall, the level of revenue raised from environmental taxation in Ireland is far below the EU average</w:t>
      </w:r>
      <w:r w:rsidRPr="00EA4C9B">
        <w:rPr>
          <w:rStyle w:val="FootnoteReference"/>
        </w:rPr>
        <w:footnoteReference w:id="471"/>
      </w:r>
      <w:r w:rsidRPr="00EA4C9B">
        <w:t xml:space="preserve">. Total environmental taxes amounted to EUR 4.4 billion in Ireland in 2022, equivalent to 0.9% of its GDP (EU average: 2.0%). Energy taxes formed the largest component of environmental taxes, accounting for 0.5% of GDP, which is lower than the EU average of 1.6%. Transport taxes, at 0.4% of GDP, were around the EU average (0.4%). Pollution and resources taxes account for only 0.4% </w:t>
      </w:r>
      <w:r w:rsidRPr="00EA4C9B">
        <w:lastRenderedPageBreak/>
        <w:t>of environmental taxes, which is less than 0.01% of GDP. According to the Ireland country-specific report published as part of the 2025 European Semester Spring Package</w:t>
      </w:r>
      <w:r w:rsidRPr="00EA4C9B">
        <w:rPr>
          <w:rStyle w:val="FootnoteReference"/>
        </w:rPr>
        <w:footnoteReference w:id="472"/>
      </w:r>
      <w:r w:rsidRPr="00EA4C9B">
        <w:t>, Ireland has only implemented two of the six main types of pollution and resources taxes (i.e. taxes on waste landfilling and plastic products). The report suggests that there is still scope for expanding waste disposal taxes (including on incineration) and implement the four other types of environmental taxes (i.e. taxes on NOx emissions, waste discharge into water, fertilisers and pesticides). This would further align the country’s environmental taxes with the EU’s ‘polluter pays’ principle.</w:t>
      </w:r>
    </w:p>
    <w:p w14:paraId="5F1F3AE7" w14:textId="77777777" w:rsidR="000A4E61" w:rsidRPr="00EA4C9B" w:rsidRDefault="000A4E61" w:rsidP="007C4EB7">
      <w:pPr>
        <w:pStyle w:val="AnnexHeading2"/>
      </w:pPr>
      <w:bookmarkStart w:id="218" w:name="_Toc214008896"/>
      <w:r w:rsidRPr="00EA4C9B">
        <w:t>Potential for new environmental taxes</w:t>
      </w:r>
      <w:bookmarkEnd w:id="218"/>
    </w:p>
    <w:p w14:paraId="63BBA0DF" w14:textId="1AA90868" w:rsidR="00E17CEA" w:rsidRPr="00E17CEA" w:rsidRDefault="00000000" w:rsidP="00E17CEA">
      <w:sdt>
        <w:sdtPr>
          <w:rPr>
            <w:color w:val="000000"/>
          </w:rPr>
          <w:tag w:val="MENDELEY_CITATION_v3_eyJjaXRhdGlvbklEIjoiTUVOREVMRVlfQ0lUQVRJT05fN2MzMTgwN2UtNjZkNi00ZmU4LWE5M2QtZjJlODVmOTBmNGYy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2013601494"/>
          <w:placeholder>
            <w:docPart w:val="DefaultPlaceholder_-1854013440"/>
          </w:placeholder>
        </w:sdtPr>
        <w:sdtContent>
          <w:r w:rsidR="002D122C" w:rsidRPr="002D122C">
            <w:rPr>
              <w:color w:val="000000"/>
            </w:rPr>
            <w:t>Hogg et al. (2016)</w:t>
          </w:r>
        </w:sdtContent>
      </w:sdt>
      <w:r w:rsidR="00E17CEA">
        <w:rPr>
          <w:color w:val="000000"/>
        </w:rPr>
        <w:t xml:space="preserve"> </w:t>
      </w:r>
      <w:r w:rsidR="00E17CEA" w:rsidRPr="00E17CEA">
        <w:t>identified several areas where Ireland could expand the use of pollution and resource taxes to strengthen environmental outcomes and promote circularity. Nearly a decade later, most of these recommendations remain unimplemented, although some relevant policy developments have taken place.</w:t>
      </w:r>
    </w:p>
    <w:p w14:paraId="0DAFC36C" w14:textId="51E5AC67" w:rsidR="00E17CEA" w:rsidRPr="00E17CEA" w:rsidRDefault="00E17CEA" w:rsidP="00E17CEA">
      <w:r w:rsidRPr="00E17CEA">
        <w:t xml:space="preserve">The report recommended the introduction of an </w:t>
      </w:r>
      <w:r w:rsidRPr="00E17CEA">
        <w:rPr>
          <w:b/>
          <w:bCs/>
        </w:rPr>
        <w:t>aggregates tax</w:t>
      </w:r>
      <w:r w:rsidRPr="00E17CEA">
        <w:t xml:space="preserve"> at a rate of €2.40 per tonne to reduce the environmental burden of raw material extraction and stimulate the use of recycled materials. Such a measure would align with the EU’s circular economy objectives by increasing the price of virgin materials, encouraging material efficiency and lowering long-term costs for businesses. The tax was envisaged to cover materials such as marble, chalk, dolomite, slate, limestone, gypsum, sand and gravel, and to be maintained in real terms over time. As of 2025, however, Ireland has not considered or implemented an aggregates tax, and construction aggregates remain untaxed.</w:t>
      </w:r>
    </w:p>
    <w:p w14:paraId="3C1B18F2" w14:textId="586B074E" w:rsidR="00E17CEA" w:rsidRPr="00E17CEA" w:rsidRDefault="00E17CEA" w:rsidP="00E17CEA">
      <w:r w:rsidRPr="00E17CEA">
        <w:t xml:space="preserve">In the field of </w:t>
      </w:r>
      <w:r w:rsidRPr="00E17CEA">
        <w:rPr>
          <w:b/>
          <w:bCs/>
        </w:rPr>
        <w:t>air pollution</w:t>
      </w:r>
      <w:r w:rsidRPr="00E17CEA">
        <w:t xml:space="preserve">, </w:t>
      </w:r>
      <w:sdt>
        <w:sdtPr>
          <w:rPr>
            <w:color w:val="000000"/>
          </w:rPr>
          <w:tag w:val="MENDELEY_CITATION_v3_eyJjaXRhdGlvbklEIjoiTUVOREVMRVlfQ0lUQVRJT05fNDQzNThmYzgtZTQ3My00MjNkLWJiNTctODgwZDkyN2EzZTIy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907300070"/>
          <w:placeholder>
            <w:docPart w:val="DefaultPlaceholder_-1854013440"/>
          </w:placeholder>
        </w:sdtPr>
        <w:sdtContent>
          <w:r w:rsidR="002D122C" w:rsidRPr="002D122C">
            <w:rPr>
              <w:color w:val="000000"/>
            </w:rPr>
            <w:t>Hogg et al. (2016)</w:t>
          </w:r>
        </w:sdtContent>
      </w:sdt>
      <w:r w:rsidRPr="00E17CEA">
        <w:t xml:space="preserve"> proposed introducing new taxes on key pollutants to improve air quality, with rates of €1,000 per tonne for nitrogen oxides (NOx) and volatile organic compounds (VOCs), €1,000 per tonne for sulphur oxides (SOx), and €2,000 per tonne for fine particulate matter (PM₂.₅). While Ireland applies a range of energy and transport taxes that indirectly contribute to air quality improvements, it has not introduced any specific air pollution tax targeting emissions from industrial or other stationary sources.</w:t>
      </w:r>
    </w:p>
    <w:p w14:paraId="60CB9918" w14:textId="4803231D" w:rsidR="00E17CEA" w:rsidRPr="00E17CEA" w:rsidRDefault="00E17CEA" w:rsidP="00E17CEA">
      <w:r w:rsidRPr="00E17CEA">
        <w:t xml:space="preserve">With respect to </w:t>
      </w:r>
      <w:r w:rsidRPr="00E17CEA">
        <w:rPr>
          <w:b/>
          <w:bCs/>
        </w:rPr>
        <w:t>water abstraction</w:t>
      </w:r>
      <w:r w:rsidRPr="00E17CEA">
        <w:t>, the report proposed the creation of a tax with differentiated rates for business and non-business users to encourage water efficiency and sustainable management of the resource. Ireland’s experience with domestic water charges, introduced in 2014 and subsequently suspended in 2017 following public protests, illustrates the political sensitivity surrounding water pricing. Although the Irish Parliament agreed in principle that excessive household water use should be subject to a charge, no such measure has been introduced as of 2025. As a result, water abstraction remains largely untaxed, despite ongoing concerns about sustainability and efficiency in certain catchments.</w:t>
      </w:r>
    </w:p>
    <w:p w14:paraId="5958F94A" w14:textId="072AE01D" w:rsidR="00E17CEA" w:rsidRPr="00E17CEA" w:rsidRDefault="00000000" w:rsidP="00E17CEA">
      <w:sdt>
        <w:sdtPr>
          <w:rPr>
            <w:color w:val="000000"/>
          </w:rPr>
          <w:tag w:val="MENDELEY_CITATION_v3_eyJjaXRhdGlvbklEIjoiTUVOREVMRVlfQ0lUQVRJT05fYzIzNDllYWUtZDJkYy00YjMzLTg3NDYtYjkxMGU4NWM2NjNi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017589891"/>
          <w:placeholder>
            <w:docPart w:val="DefaultPlaceholder_-1854013440"/>
          </w:placeholder>
        </w:sdtPr>
        <w:sdtContent>
          <w:r w:rsidR="002D122C" w:rsidRPr="002D122C">
            <w:rPr>
              <w:color w:val="000000"/>
            </w:rPr>
            <w:t>Hogg et al. (2016)</w:t>
          </w:r>
        </w:sdtContent>
      </w:sdt>
      <w:r w:rsidR="00E17CEA" w:rsidRPr="00E17CEA">
        <w:t xml:space="preserve"> also recommended introducing a </w:t>
      </w:r>
      <w:r w:rsidR="00E17CEA" w:rsidRPr="00E17CEA">
        <w:rPr>
          <w:b/>
          <w:bCs/>
        </w:rPr>
        <w:t>wastewater tax</w:t>
      </w:r>
      <w:r w:rsidR="00E17CEA" w:rsidRPr="00E17CEA">
        <w:t xml:space="preserve"> on direct discharges of pollutants from industrial sources and treatment plants, suggesting a rate of €3.02 per kilogram of biochemical oxygen demand (BOD). Such a tax would provide an incentive for cleaner production and improved wastewater treatment. To date, no wastewater tax has been implemented. Businesses pay wastewater tariffs to </w:t>
      </w:r>
      <w:r w:rsidR="00E17CEA" w:rsidRPr="00E17CEA">
        <w:rPr>
          <w:i/>
          <w:iCs/>
        </w:rPr>
        <w:t>Uisce Éireann</w:t>
      </w:r>
      <w:r w:rsidR="00E17CEA" w:rsidRPr="00E17CEA">
        <w:t xml:space="preserve"> (the national water utility), but these are service charges rather than pollution-based taxes.</w:t>
      </w:r>
    </w:p>
    <w:p w14:paraId="21951491" w14:textId="2B8F6368" w:rsidR="00E17CEA" w:rsidRPr="00E17CEA" w:rsidRDefault="00E17CEA" w:rsidP="00E17CEA">
      <w:r w:rsidRPr="00BA7936">
        <w:rPr>
          <w:lang w:val="fr-BE"/>
        </w:rPr>
        <w:t xml:space="preserve">In agriculture, </w:t>
      </w:r>
      <w:sdt>
        <w:sdtPr>
          <w:rPr>
            <w:color w:val="000000"/>
          </w:rPr>
          <w:tag w:val="MENDELEY_CITATION_v3_eyJjaXRhdGlvbklEIjoiTUVOREVMRVlfQ0lUQVRJT05fMDIyN2Q5MWQtMDE3NS00MzdhLTg4NjYtNzhjNDI5ZTM1ZDkz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871637889"/>
          <w:placeholder>
            <w:docPart w:val="DefaultPlaceholder_-1854013440"/>
          </w:placeholder>
        </w:sdtPr>
        <w:sdtContent>
          <w:r w:rsidR="002D122C" w:rsidRPr="00BA7936">
            <w:rPr>
              <w:color w:val="000000"/>
              <w:lang w:val="fr-BE"/>
            </w:rPr>
            <w:t xml:space="preserve">Hogg et al. </w:t>
          </w:r>
          <w:r w:rsidR="002D122C" w:rsidRPr="002D122C">
            <w:rPr>
              <w:color w:val="000000"/>
            </w:rPr>
            <w:t>(2016)</w:t>
          </w:r>
        </w:sdtContent>
      </w:sdt>
      <w:r w:rsidRPr="00E17CEA">
        <w:t xml:space="preserve"> proposed the introduction of taxes on </w:t>
      </w:r>
      <w:r w:rsidRPr="00E17CEA">
        <w:rPr>
          <w:b/>
          <w:bCs/>
        </w:rPr>
        <w:t>pesticides and fertilisers</w:t>
      </w:r>
      <w:r w:rsidRPr="00E17CEA">
        <w:t xml:space="preserve"> to reduce nutrient losses and chemical runoff, with suggested rates of €5 per kilogram of active pesticide ingredient and €0.25 per kilogram of nitrogen in mineral fertilisers. Neither tax has been adopted. </w:t>
      </w:r>
      <w:r w:rsidRPr="00E17CEA">
        <w:lastRenderedPageBreak/>
        <w:t>Pesticides are subject to the standard VAT rate, while fertilisers in packages of ten kilograms or more are zero-rated for VAT purposes. As a result, current fiscal instruments do not provide price incentives for reducing chemical inputs or promoting sustainable alternatives.</w:t>
      </w:r>
    </w:p>
    <w:p w14:paraId="6EA1FDDA" w14:textId="03491408" w:rsidR="00E17CEA" w:rsidRPr="00E17CEA" w:rsidRDefault="00E17CEA" w:rsidP="00E17CEA">
      <w:r w:rsidRPr="00E17CEA">
        <w:t xml:space="preserve">For </w:t>
      </w:r>
      <w:r w:rsidRPr="00E17CEA">
        <w:rPr>
          <w:b/>
          <w:bCs/>
        </w:rPr>
        <w:t>packaging</w:t>
      </w:r>
      <w:r w:rsidRPr="00E17CEA">
        <w:t xml:space="preserve">, </w:t>
      </w:r>
      <w:sdt>
        <w:sdtPr>
          <w:rPr>
            <w:color w:val="000000"/>
          </w:rPr>
          <w:tag w:val="MENDELEY_CITATION_v3_eyJjaXRhdGlvbklEIjoiTUVOREVMRVlfQ0lUQVRJT05fMDQ2OGI4OTUtYmUwZC00NjhiLTliYzgtY2YyOGE5MGJlOGIz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812487741"/>
          <w:placeholder>
            <w:docPart w:val="DefaultPlaceholder_-1854013440"/>
          </w:placeholder>
        </w:sdtPr>
        <w:sdtContent>
          <w:r w:rsidR="002D122C" w:rsidRPr="002D122C">
            <w:rPr>
              <w:color w:val="000000"/>
            </w:rPr>
            <w:t>Hogg et al. (2016)</w:t>
          </w:r>
        </w:sdtContent>
      </w:sdt>
      <w:r w:rsidRPr="00E17CEA">
        <w:t xml:space="preserve"> recommended that Ireland apply material-differentiated taxes on all packaging placed on the market</w:t>
      </w:r>
      <w:r>
        <w:t xml:space="preserve">: </w:t>
      </w:r>
      <w:r w:rsidRPr="00E17CEA">
        <w:t>€315 per tonne for aluminium, €102 for plastic, €86 for steel, €33 for paper and card, €28 for glass and €21 for wood. These rates were based on the embodied CO₂ savings associated with material substitution and recycling. No such national packaging tax has been implemented. Since 2021, Ireland, along with other Member States, contributes to the EU’s non-recycled plastic packaging levy of €0.80 per kilogram, but this is paid via general revenues and does not take the form of a domestic plastic or packaging tax.</w:t>
      </w:r>
    </w:p>
    <w:p w14:paraId="403CFBB2" w14:textId="34F16052" w:rsidR="006C69C7" w:rsidRPr="00E17CEA" w:rsidRDefault="006C69C7" w:rsidP="00E17CEA">
      <w:r>
        <w:t xml:space="preserve">In 2023, the European Commission recommended </w:t>
      </w:r>
      <w:r w:rsidR="000222DE">
        <w:t xml:space="preserve">the introduction of economic instruments, </w:t>
      </w:r>
      <w:r w:rsidR="0034510A">
        <w:t xml:space="preserve">including, </w:t>
      </w:r>
      <w:r w:rsidR="000222DE">
        <w:t xml:space="preserve">for example, </w:t>
      </w:r>
      <w:r w:rsidR="000222DE" w:rsidRPr="00BA7936">
        <w:rPr>
          <w:b/>
          <w:bCs/>
        </w:rPr>
        <w:t>incineration taxes</w:t>
      </w:r>
      <w:r w:rsidR="000222DE">
        <w:t xml:space="preserve"> to </w:t>
      </w:r>
      <w:r w:rsidR="00846BDD" w:rsidRPr="00846BDD">
        <w:t>encourage</w:t>
      </w:r>
      <w:r w:rsidR="000222DE">
        <w:t xml:space="preserve"> recycling and reduce </w:t>
      </w:r>
      <w:r w:rsidR="00846BDD" w:rsidRPr="00846BDD">
        <w:t>reliance</w:t>
      </w:r>
      <w:r w:rsidR="000222DE">
        <w:t xml:space="preserve"> on mixed waste treatment</w:t>
      </w:r>
      <w:r w:rsidR="0034510A">
        <w:rPr>
          <w:rStyle w:val="FootnoteReference"/>
        </w:rPr>
        <w:footnoteReference w:id="473"/>
      </w:r>
      <w:r w:rsidR="000222DE">
        <w:t>.</w:t>
      </w:r>
    </w:p>
    <w:p w14:paraId="787B70E7" w14:textId="16678341" w:rsidR="00E17CEA" w:rsidRPr="00E17CEA" w:rsidRDefault="00E17CEA" w:rsidP="00E17CEA">
      <w:r w:rsidRPr="00E17CEA">
        <w:t xml:space="preserve">The </w:t>
      </w:r>
      <w:r w:rsidRPr="00E17CEA">
        <w:rPr>
          <w:b/>
          <w:bCs/>
        </w:rPr>
        <w:t>Circular Economy Bill</w:t>
      </w:r>
      <w:r w:rsidRPr="00E17CEA">
        <w:t>, passed by the Irish Parliament in 2022, provides the legislative framework for introducing environmental levies on single-use products, including cups, containers, packaging and plastic bags. The aim is to reduce waste generation and promote sustainable consumption. The levy on plastic bags would replace earlier legislation that introduced one of the EU’s most successful plastic bag taxes. However, as of 2025, the new levies foreseen in the Circular Economy Act have not yet been enacted.</w:t>
      </w:r>
    </w:p>
    <w:p w14:paraId="32A75624" w14:textId="5D845610" w:rsidR="00E17CEA" w:rsidRPr="00E17CEA" w:rsidRDefault="00E17CEA" w:rsidP="00E17CEA">
      <w:r w:rsidRPr="00E17CEA">
        <w:t>Overall, while Ireland has been a leader in certain areas of environmental taxation</w:t>
      </w:r>
      <w:r>
        <w:t xml:space="preserve">, </w:t>
      </w:r>
      <w:r w:rsidRPr="00E17CEA">
        <w:t>most notably through its carbon tax and early adoption of waste-related levies</w:t>
      </w:r>
      <w:r>
        <w:t xml:space="preserve">, </w:t>
      </w:r>
      <w:r w:rsidRPr="00E17CEA">
        <w:t>most of the broader pollution and resource tax recommendations made in 2016 remain outstanding. Implementing these measures would strengthen Ireland’s capacity to meet its circular economy and environmental objectives while expanding the fiscal base in line with the polluter-pays principle.</w:t>
      </w:r>
    </w:p>
    <w:p w14:paraId="13E70A3C" w14:textId="77777777" w:rsidR="000A4E61" w:rsidRDefault="000A4E61" w:rsidP="007C4EB7">
      <w:pPr>
        <w:pStyle w:val="AnnexHeading2"/>
      </w:pPr>
      <w:bookmarkStart w:id="219" w:name="_Toc214008897"/>
      <w:r w:rsidRPr="00EA4C9B">
        <w:t>Impacts and feasibility of implementing new taxes</w:t>
      </w:r>
      <w:bookmarkEnd w:id="219"/>
    </w:p>
    <w:p w14:paraId="56677E33" w14:textId="6690DD1D" w:rsidR="00CF4F57" w:rsidRDefault="00CF4F57" w:rsidP="00CF4F57">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703E8D82" w14:textId="77777777" w:rsidR="00271218" w:rsidRPr="00271218" w:rsidRDefault="00271218" w:rsidP="00271218">
      <w:r w:rsidRPr="00271218">
        <w:t>Ireland has a well-established tradition of using environmental taxation to address energy and waste-related externalities. Its landfill tax and plastic bag levy are often cited as examples of effective policy design that delivers both environmental and fiscal benefits. However, outside these areas, Ireland’s use of environmental taxes remains limited. The modelling suggests that broadening the tax base to cover additional pollution and resource use could generate significant environmental improvements and moderate additional revenues with limited macroeconomic disruption. Under Scenario A, the most pronounced effects would arise in water effluent and abstraction, landfill, and mineral extraction, reflecting current policy gaps. Scenario B yields smaller, yet still positive, impacts.</w:t>
      </w:r>
    </w:p>
    <w:p w14:paraId="6C32A06F" w14:textId="65646052" w:rsidR="00271218" w:rsidRPr="0058274A" w:rsidRDefault="00271218" w:rsidP="00271218">
      <w:r>
        <w:lastRenderedPageBreak/>
        <w:t>T</w:t>
      </w:r>
      <w:r w:rsidRPr="00A43BFD">
        <w:t xml:space="preserve">otal revenues from the </w:t>
      </w:r>
      <w:r w:rsidR="00185A09">
        <w:t>investigated</w:t>
      </w:r>
      <w:r w:rsidRPr="00A43BFD">
        <w:t xml:space="preserve"> taxes could rise by about €745 million in 2030 and 2035, amounting to an increase of 78 times in the revenues for pollution and resource taxes in 2023.</w:t>
      </w:r>
      <w:r>
        <w:t xml:space="preserve"> </w:t>
      </w:r>
      <w:r w:rsidRPr="00A43BFD">
        <w:t>The greatest contributions in revenue come from water abstraction charges (67%) and water effluent charges (23%).  These two make up 93% of all revenues.</w:t>
      </w:r>
      <w:r>
        <w:t xml:space="preserve"> </w:t>
      </w:r>
      <w:r w:rsidRPr="00A43BFD">
        <w:t xml:space="preserve">Reduction in emissions or use of materials is greatest for pesticides (66%), followed by fertilizers (48%), water abstraction (28%), waste to landfill (23%). </w:t>
      </w:r>
    </w:p>
    <w:tbl>
      <w:tblPr>
        <w:tblStyle w:val="Lentelstinklelis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312"/>
        <w:gridCol w:w="1275"/>
      </w:tblGrid>
      <w:tr w:rsidR="00271218" w:rsidRPr="00F501DA" w14:paraId="0B864C9C" w14:textId="77777777" w:rsidTr="007E28A3">
        <w:trPr>
          <w:trHeight w:val="255"/>
        </w:trPr>
        <w:tc>
          <w:tcPr>
            <w:tcW w:w="9067" w:type="dxa"/>
            <w:gridSpan w:val="7"/>
            <w:shd w:val="clear" w:color="auto" w:fill="003399"/>
          </w:tcPr>
          <w:p w14:paraId="6D41AC92" w14:textId="0A21C4AD" w:rsidR="00271218" w:rsidRPr="00F23CBA" w:rsidRDefault="00271218" w:rsidP="000878F6">
            <w:pPr>
              <w:pStyle w:val="Table"/>
              <w:rPr>
                <w:b/>
                <w:color w:val="FFFFFF" w:themeColor="background1"/>
                <w:lang w:eastAsia="en-GB"/>
              </w:rPr>
            </w:pPr>
            <w:r w:rsidRPr="00F23CBA">
              <w:rPr>
                <w:b/>
                <w:color w:val="FFFFFF" w:themeColor="background1"/>
              </w:rPr>
              <w:t xml:space="preserve">Table </w:t>
            </w:r>
            <w:r w:rsidR="00490085">
              <w:rPr>
                <w:b/>
                <w:bCs/>
                <w:color w:val="FFFFFF" w:themeColor="background1"/>
              </w:rPr>
              <w:t>A6</w:t>
            </w:r>
            <w:r w:rsidRPr="00F23CBA">
              <w:rPr>
                <w:b/>
                <w:bCs/>
                <w:color w:val="FFFFFF" w:themeColor="background1"/>
              </w:rPr>
              <w:t>-</w:t>
            </w:r>
            <w:r w:rsidRPr="00F23CBA">
              <w:rPr>
                <w:b/>
                <w:bCs/>
                <w:color w:val="FFFFFF" w:themeColor="background1"/>
              </w:rPr>
              <w:fldChar w:fldCharType="begin"/>
            </w:r>
            <w:r w:rsidRPr="00F23CBA">
              <w:rPr>
                <w:b/>
                <w:bCs/>
                <w:color w:val="FFFFFF" w:themeColor="background1"/>
              </w:rPr>
              <w:instrText xml:space="preserve"> SEQ Table_A5- \* ARABIC </w:instrText>
            </w:r>
            <w:r w:rsidRPr="00F23CBA">
              <w:rPr>
                <w:b/>
                <w:bCs/>
                <w:color w:val="FFFFFF" w:themeColor="background1"/>
              </w:rPr>
              <w:fldChar w:fldCharType="separate"/>
            </w:r>
            <w:r>
              <w:rPr>
                <w:b/>
                <w:bCs/>
                <w:noProof/>
                <w:color w:val="FFFFFF" w:themeColor="background1"/>
              </w:rPr>
              <w:t>76</w:t>
            </w:r>
            <w:r w:rsidRPr="00F23CBA">
              <w:rPr>
                <w:b/>
                <w:bCs/>
                <w:color w:val="FFFFFF" w:themeColor="background1"/>
              </w:rPr>
              <w:fldChar w:fldCharType="end"/>
            </w:r>
            <w:r w:rsidRPr="00F23CBA">
              <w:rPr>
                <w:b/>
                <w:bCs/>
                <w:color w:val="FFFFFF" w:themeColor="background1"/>
                <w:lang w:eastAsia="en-GB"/>
              </w:rPr>
              <w:t>:</w:t>
            </w:r>
            <w:r w:rsidRPr="00F23CBA">
              <w:rPr>
                <w:b/>
                <w:color w:val="FFFFFF" w:themeColor="background1"/>
                <w:lang w:eastAsia="en-GB"/>
              </w:rPr>
              <w:t xml:space="preserve"> Environmental Impacts and Revenue Changes in Ireland</w:t>
            </w:r>
            <w:r>
              <w:rPr>
                <w:b/>
                <w:color w:val="FFFFFF" w:themeColor="background1"/>
                <w:lang w:eastAsia="en-GB"/>
              </w:rPr>
              <w:t xml:space="preserve"> – Scenario A</w:t>
            </w:r>
          </w:p>
        </w:tc>
      </w:tr>
      <w:tr w:rsidR="00271218" w:rsidRPr="00F501DA" w14:paraId="1150A18C" w14:textId="77777777" w:rsidTr="007E28A3">
        <w:tc>
          <w:tcPr>
            <w:tcW w:w="2160" w:type="dxa"/>
          </w:tcPr>
          <w:p w14:paraId="3A35C1FB" w14:textId="77777777" w:rsidR="00271218" w:rsidRPr="00F23CBA" w:rsidRDefault="00271218" w:rsidP="000878F6">
            <w:pPr>
              <w:pStyle w:val="Table"/>
              <w:rPr>
                <w:b/>
              </w:rPr>
            </w:pPr>
            <w:r w:rsidRPr="00F23CBA">
              <w:rPr>
                <w:b/>
              </w:rPr>
              <w:t>Tax Name</w:t>
            </w:r>
          </w:p>
        </w:tc>
        <w:tc>
          <w:tcPr>
            <w:tcW w:w="2160" w:type="dxa"/>
            <w:gridSpan w:val="2"/>
            <w:vAlign w:val="bottom"/>
          </w:tcPr>
          <w:p w14:paraId="3B5F94B3" w14:textId="77777777" w:rsidR="00271218" w:rsidRPr="000A6F7E" w:rsidRDefault="00271218" w:rsidP="000878F6">
            <w:pPr>
              <w:pStyle w:val="Table"/>
              <w:jc w:val="center"/>
              <w:rPr>
                <w:b/>
                <w:szCs w:val="20"/>
              </w:rPr>
            </w:pPr>
            <w:r w:rsidRPr="000A6F7E">
              <w:rPr>
                <w:rFonts w:ascii="Calibri" w:hAnsi="Calibri" w:cs="Calibri"/>
                <w:b/>
                <w:bCs/>
                <w:color w:val="000000"/>
                <w:szCs w:val="20"/>
              </w:rPr>
              <w:t>% Change in Quantities as % of taxed sector</w:t>
            </w:r>
          </w:p>
        </w:tc>
        <w:tc>
          <w:tcPr>
            <w:tcW w:w="2160" w:type="dxa"/>
            <w:gridSpan w:val="2"/>
            <w:vAlign w:val="bottom"/>
          </w:tcPr>
          <w:p w14:paraId="5CD85AB0" w14:textId="77777777" w:rsidR="00271218" w:rsidRPr="000A6F7E" w:rsidRDefault="00271218" w:rsidP="000878F6">
            <w:pPr>
              <w:pStyle w:val="Table"/>
              <w:jc w:val="center"/>
              <w:rPr>
                <w:b/>
                <w:szCs w:val="20"/>
              </w:rPr>
            </w:pPr>
            <w:r w:rsidRPr="000A6F7E">
              <w:rPr>
                <w:rFonts w:ascii="Calibri" w:hAnsi="Calibri" w:cs="Calibri"/>
                <w:b/>
                <w:bCs/>
                <w:color w:val="000000"/>
                <w:szCs w:val="20"/>
              </w:rPr>
              <w:t>Change in Revenues (€Mn)</w:t>
            </w:r>
          </w:p>
        </w:tc>
        <w:tc>
          <w:tcPr>
            <w:tcW w:w="2587" w:type="dxa"/>
            <w:gridSpan w:val="2"/>
            <w:vAlign w:val="bottom"/>
          </w:tcPr>
          <w:p w14:paraId="731BEC99" w14:textId="77777777" w:rsidR="00271218" w:rsidRPr="000A6F7E" w:rsidRDefault="00271218" w:rsidP="000878F6">
            <w:pPr>
              <w:pStyle w:val="Table"/>
              <w:jc w:val="center"/>
              <w:rPr>
                <w:b/>
                <w:szCs w:val="20"/>
              </w:rPr>
            </w:pPr>
            <w:r w:rsidRPr="000A6F7E">
              <w:rPr>
                <w:rFonts w:ascii="Calibri" w:hAnsi="Calibri" w:cs="Calibri"/>
                <w:b/>
                <w:bCs/>
                <w:color w:val="000000"/>
                <w:szCs w:val="20"/>
              </w:rPr>
              <w:t>As % of 2023 Resource Tax</w:t>
            </w:r>
          </w:p>
        </w:tc>
      </w:tr>
      <w:tr w:rsidR="00271218" w:rsidRPr="001840EB" w14:paraId="120D1300" w14:textId="77777777" w:rsidTr="007E28A3">
        <w:tc>
          <w:tcPr>
            <w:tcW w:w="2160" w:type="dxa"/>
          </w:tcPr>
          <w:p w14:paraId="5D5223FE" w14:textId="77777777" w:rsidR="00271218" w:rsidRPr="00F86500" w:rsidRDefault="00271218" w:rsidP="000878F6">
            <w:pPr>
              <w:pStyle w:val="Table"/>
              <w:rPr>
                <w:b/>
              </w:rPr>
            </w:pPr>
            <w:r w:rsidRPr="00F86500">
              <w:rPr>
                <w:b/>
              </w:rPr>
              <w:t>Year</w:t>
            </w:r>
          </w:p>
        </w:tc>
        <w:tc>
          <w:tcPr>
            <w:tcW w:w="1080" w:type="dxa"/>
          </w:tcPr>
          <w:p w14:paraId="333BA097" w14:textId="77777777" w:rsidR="00271218" w:rsidRPr="000A6F7E" w:rsidRDefault="00271218" w:rsidP="000878F6">
            <w:pPr>
              <w:pStyle w:val="Table"/>
              <w:jc w:val="center"/>
              <w:rPr>
                <w:b/>
                <w:szCs w:val="20"/>
              </w:rPr>
            </w:pPr>
            <w:r w:rsidRPr="000A6F7E">
              <w:rPr>
                <w:b/>
                <w:szCs w:val="20"/>
              </w:rPr>
              <w:t>2030</w:t>
            </w:r>
          </w:p>
        </w:tc>
        <w:tc>
          <w:tcPr>
            <w:tcW w:w="1080" w:type="dxa"/>
          </w:tcPr>
          <w:p w14:paraId="118C881E" w14:textId="77777777" w:rsidR="00271218" w:rsidRPr="000A6F7E" w:rsidRDefault="00271218" w:rsidP="000878F6">
            <w:pPr>
              <w:pStyle w:val="Table"/>
              <w:jc w:val="center"/>
              <w:rPr>
                <w:b/>
                <w:szCs w:val="20"/>
              </w:rPr>
            </w:pPr>
            <w:r w:rsidRPr="000A6F7E">
              <w:rPr>
                <w:b/>
                <w:szCs w:val="20"/>
              </w:rPr>
              <w:t>2035</w:t>
            </w:r>
          </w:p>
        </w:tc>
        <w:tc>
          <w:tcPr>
            <w:tcW w:w="990" w:type="dxa"/>
          </w:tcPr>
          <w:p w14:paraId="574E9068" w14:textId="77777777" w:rsidR="00271218" w:rsidRPr="000A6F7E" w:rsidRDefault="00271218" w:rsidP="000878F6">
            <w:pPr>
              <w:pStyle w:val="Table"/>
              <w:jc w:val="center"/>
              <w:rPr>
                <w:b/>
                <w:szCs w:val="20"/>
              </w:rPr>
            </w:pPr>
            <w:r w:rsidRPr="000A6F7E">
              <w:rPr>
                <w:b/>
                <w:szCs w:val="20"/>
              </w:rPr>
              <w:t>2030</w:t>
            </w:r>
          </w:p>
        </w:tc>
        <w:tc>
          <w:tcPr>
            <w:tcW w:w="1170" w:type="dxa"/>
          </w:tcPr>
          <w:p w14:paraId="7C06D7BE" w14:textId="77777777" w:rsidR="00271218" w:rsidRPr="000A6F7E" w:rsidRDefault="00271218" w:rsidP="000878F6">
            <w:pPr>
              <w:pStyle w:val="Table"/>
              <w:jc w:val="center"/>
              <w:rPr>
                <w:b/>
                <w:szCs w:val="20"/>
              </w:rPr>
            </w:pPr>
            <w:r w:rsidRPr="000A6F7E">
              <w:rPr>
                <w:b/>
                <w:szCs w:val="20"/>
              </w:rPr>
              <w:t>2035</w:t>
            </w:r>
          </w:p>
        </w:tc>
        <w:tc>
          <w:tcPr>
            <w:tcW w:w="1312" w:type="dxa"/>
          </w:tcPr>
          <w:p w14:paraId="2D8F9ECB" w14:textId="77777777" w:rsidR="00271218" w:rsidRPr="000A6F7E" w:rsidRDefault="00271218" w:rsidP="000878F6">
            <w:pPr>
              <w:pStyle w:val="Table"/>
              <w:jc w:val="center"/>
              <w:rPr>
                <w:b/>
                <w:szCs w:val="20"/>
              </w:rPr>
            </w:pPr>
            <w:r w:rsidRPr="000A6F7E">
              <w:rPr>
                <w:b/>
                <w:szCs w:val="20"/>
              </w:rPr>
              <w:t>2030</w:t>
            </w:r>
          </w:p>
        </w:tc>
        <w:tc>
          <w:tcPr>
            <w:tcW w:w="1275" w:type="dxa"/>
          </w:tcPr>
          <w:p w14:paraId="79CB9481" w14:textId="77777777" w:rsidR="00271218" w:rsidRPr="000A6F7E" w:rsidRDefault="00271218" w:rsidP="000878F6">
            <w:pPr>
              <w:pStyle w:val="Table"/>
              <w:jc w:val="center"/>
              <w:rPr>
                <w:b/>
                <w:szCs w:val="20"/>
              </w:rPr>
            </w:pPr>
            <w:r w:rsidRPr="000A6F7E">
              <w:rPr>
                <w:b/>
                <w:szCs w:val="20"/>
              </w:rPr>
              <w:t>2035</w:t>
            </w:r>
          </w:p>
        </w:tc>
      </w:tr>
      <w:tr w:rsidR="00271218" w:rsidRPr="001840EB" w14:paraId="65F22A7D" w14:textId="77777777" w:rsidTr="007E28A3">
        <w:tc>
          <w:tcPr>
            <w:tcW w:w="2160" w:type="dxa"/>
          </w:tcPr>
          <w:p w14:paraId="1A9E9D53" w14:textId="77777777" w:rsidR="00271218" w:rsidRPr="00F501DA" w:rsidRDefault="00271218" w:rsidP="000878F6">
            <w:pPr>
              <w:pStyle w:val="Table"/>
            </w:pPr>
            <w:r w:rsidRPr="00F501DA">
              <w:t>NOx</w:t>
            </w:r>
          </w:p>
        </w:tc>
        <w:tc>
          <w:tcPr>
            <w:tcW w:w="1080" w:type="dxa"/>
            <w:vAlign w:val="center"/>
          </w:tcPr>
          <w:p w14:paraId="52064714" w14:textId="77777777" w:rsidR="00271218" w:rsidRPr="000A6F7E" w:rsidRDefault="00271218" w:rsidP="000878F6">
            <w:pPr>
              <w:pStyle w:val="Table"/>
              <w:jc w:val="center"/>
              <w:rPr>
                <w:szCs w:val="20"/>
              </w:rPr>
            </w:pPr>
            <w:r w:rsidRPr="000A6F7E">
              <w:rPr>
                <w:rFonts w:ascii="Calibri" w:hAnsi="Calibri" w:cs="Calibri"/>
                <w:color w:val="000000"/>
                <w:szCs w:val="20"/>
              </w:rPr>
              <w:t>-28,57%</w:t>
            </w:r>
          </w:p>
        </w:tc>
        <w:tc>
          <w:tcPr>
            <w:tcW w:w="1080" w:type="dxa"/>
            <w:vAlign w:val="center"/>
          </w:tcPr>
          <w:p w14:paraId="55E1A082" w14:textId="77777777" w:rsidR="00271218" w:rsidRPr="000A6F7E" w:rsidRDefault="00271218" w:rsidP="000878F6">
            <w:pPr>
              <w:pStyle w:val="Table"/>
              <w:jc w:val="center"/>
              <w:rPr>
                <w:szCs w:val="20"/>
              </w:rPr>
            </w:pPr>
            <w:r w:rsidRPr="000A6F7E">
              <w:rPr>
                <w:rFonts w:ascii="Calibri" w:hAnsi="Calibri" w:cs="Calibri"/>
                <w:color w:val="000000"/>
                <w:szCs w:val="20"/>
              </w:rPr>
              <w:t>-28,57%</w:t>
            </w:r>
          </w:p>
        </w:tc>
        <w:tc>
          <w:tcPr>
            <w:tcW w:w="990" w:type="dxa"/>
            <w:vAlign w:val="center"/>
          </w:tcPr>
          <w:p w14:paraId="4BD777B0" w14:textId="77777777" w:rsidR="00271218" w:rsidRPr="000A6F7E" w:rsidRDefault="00271218" w:rsidP="000878F6">
            <w:pPr>
              <w:pStyle w:val="Table"/>
              <w:jc w:val="center"/>
              <w:rPr>
                <w:szCs w:val="20"/>
              </w:rPr>
            </w:pPr>
            <w:r w:rsidRPr="000A6F7E">
              <w:rPr>
                <w:rFonts w:ascii="Calibri" w:hAnsi="Calibri" w:cs="Calibri"/>
                <w:color w:val="000000"/>
                <w:szCs w:val="20"/>
              </w:rPr>
              <w:t>0,82</w:t>
            </w:r>
          </w:p>
        </w:tc>
        <w:tc>
          <w:tcPr>
            <w:tcW w:w="1170" w:type="dxa"/>
            <w:vAlign w:val="center"/>
          </w:tcPr>
          <w:p w14:paraId="24177A53" w14:textId="77777777" w:rsidR="00271218" w:rsidRPr="000A6F7E" w:rsidRDefault="00271218" w:rsidP="000878F6">
            <w:pPr>
              <w:pStyle w:val="Table"/>
              <w:jc w:val="center"/>
              <w:rPr>
                <w:szCs w:val="20"/>
              </w:rPr>
            </w:pPr>
            <w:r w:rsidRPr="000A6F7E">
              <w:rPr>
                <w:rFonts w:ascii="Calibri" w:hAnsi="Calibri" w:cs="Calibri"/>
                <w:color w:val="000000"/>
                <w:szCs w:val="20"/>
              </w:rPr>
              <w:t>0,81</w:t>
            </w:r>
          </w:p>
        </w:tc>
        <w:tc>
          <w:tcPr>
            <w:tcW w:w="1312" w:type="dxa"/>
            <w:vAlign w:val="center"/>
          </w:tcPr>
          <w:p w14:paraId="33BC7E65" w14:textId="77777777" w:rsidR="00271218" w:rsidRPr="000A6F7E" w:rsidRDefault="00271218" w:rsidP="000878F6">
            <w:pPr>
              <w:pStyle w:val="Table"/>
              <w:jc w:val="center"/>
              <w:rPr>
                <w:szCs w:val="20"/>
              </w:rPr>
            </w:pPr>
            <w:r w:rsidRPr="000A6F7E">
              <w:rPr>
                <w:rFonts w:ascii="Calibri" w:hAnsi="Calibri" w:cs="Calibri"/>
                <w:color w:val="000000"/>
                <w:szCs w:val="20"/>
              </w:rPr>
              <w:t>9,88%</w:t>
            </w:r>
          </w:p>
        </w:tc>
        <w:tc>
          <w:tcPr>
            <w:tcW w:w="1275" w:type="dxa"/>
            <w:vAlign w:val="center"/>
          </w:tcPr>
          <w:p w14:paraId="6149C407" w14:textId="77777777" w:rsidR="00271218" w:rsidRPr="000A6F7E" w:rsidRDefault="00271218" w:rsidP="000878F6">
            <w:pPr>
              <w:pStyle w:val="Table"/>
              <w:jc w:val="center"/>
              <w:rPr>
                <w:szCs w:val="20"/>
              </w:rPr>
            </w:pPr>
            <w:r w:rsidRPr="000A6F7E">
              <w:rPr>
                <w:rFonts w:ascii="Calibri" w:hAnsi="Calibri" w:cs="Calibri"/>
                <w:color w:val="000000"/>
                <w:szCs w:val="20"/>
              </w:rPr>
              <w:t>9,80%</w:t>
            </w:r>
          </w:p>
        </w:tc>
      </w:tr>
      <w:tr w:rsidR="00271218" w:rsidRPr="001840EB" w14:paraId="551982E3" w14:textId="77777777" w:rsidTr="007E28A3">
        <w:tc>
          <w:tcPr>
            <w:tcW w:w="2160" w:type="dxa"/>
          </w:tcPr>
          <w:p w14:paraId="1654F779" w14:textId="77777777" w:rsidR="00271218" w:rsidRPr="00F501DA" w:rsidRDefault="00271218" w:rsidP="000878F6">
            <w:pPr>
              <w:pStyle w:val="Table"/>
            </w:pPr>
            <w:r w:rsidRPr="00F501DA">
              <w:t>SO2</w:t>
            </w:r>
          </w:p>
        </w:tc>
        <w:tc>
          <w:tcPr>
            <w:tcW w:w="1080" w:type="dxa"/>
            <w:vAlign w:val="center"/>
          </w:tcPr>
          <w:p w14:paraId="54A68C50" w14:textId="77777777" w:rsidR="00271218" w:rsidRPr="000A6F7E" w:rsidRDefault="00271218" w:rsidP="000878F6">
            <w:pPr>
              <w:pStyle w:val="Table"/>
              <w:jc w:val="center"/>
              <w:rPr>
                <w:szCs w:val="20"/>
              </w:rPr>
            </w:pPr>
            <w:r w:rsidRPr="000A6F7E">
              <w:rPr>
                <w:rFonts w:ascii="Calibri" w:hAnsi="Calibri" w:cs="Calibri"/>
                <w:color w:val="000000"/>
                <w:szCs w:val="20"/>
              </w:rPr>
              <w:t>-32,43%</w:t>
            </w:r>
          </w:p>
        </w:tc>
        <w:tc>
          <w:tcPr>
            <w:tcW w:w="1080" w:type="dxa"/>
            <w:vAlign w:val="center"/>
          </w:tcPr>
          <w:p w14:paraId="1461AB1D" w14:textId="77777777" w:rsidR="00271218" w:rsidRPr="000A6F7E" w:rsidRDefault="00271218" w:rsidP="000878F6">
            <w:pPr>
              <w:pStyle w:val="Table"/>
              <w:jc w:val="center"/>
              <w:rPr>
                <w:szCs w:val="20"/>
              </w:rPr>
            </w:pPr>
            <w:r w:rsidRPr="000A6F7E">
              <w:rPr>
                <w:rFonts w:ascii="Calibri" w:hAnsi="Calibri" w:cs="Calibri"/>
                <w:color w:val="000000"/>
                <w:szCs w:val="20"/>
              </w:rPr>
              <w:t>-32,43%</w:t>
            </w:r>
          </w:p>
        </w:tc>
        <w:tc>
          <w:tcPr>
            <w:tcW w:w="990" w:type="dxa"/>
            <w:vAlign w:val="center"/>
          </w:tcPr>
          <w:p w14:paraId="01EE270B" w14:textId="77777777" w:rsidR="00271218" w:rsidRPr="000A6F7E" w:rsidRDefault="00271218" w:rsidP="000878F6">
            <w:pPr>
              <w:pStyle w:val="Table"/>
              <w:jc w:val="center"/>
              <w:rPr>
                <w:szCs w:val="20"/>
              </w:rPr>
            </w:pPr>
            <w:r w:rsidRPr="000A6F7E">
              <w:rPr>
                <w:rFonts w:ascii="Calibri" w:hAnsi="Calibri" w:cs="Calibri"/>
                <w:color w:val="000000"/>
                <w:szCs w:val="20"/>
              </w:rPr>
              <w:t>1,04</w:t>
            </w:r>
          </w:p>
        </w:tc>
        <w:tc>
          <w:tcPr>
            <w:tcW w:w="1170" w:type="dxa"/>
            <w:vAlign w:val="center"/>
          </w:tcPr>
          <w:p w14:paraId="285C8A9E" w14:textId="77777777" w:rsidR="00271218" w:rsidRPr="000A6F7E" w:rsidRDefault="00271218" w:rsidP="000878F6">
            <w:pPr>
              <w:pStyle w:val="Table"/>
              <w:jc w:val="center"/>
              <w:rPr>
                <w:szCs w:val="20"/>
              </w:rPr>
            </w:pPr>
            <w:r w:rsidRPr="000A6F7E">
              <w:rPr>
                <w:rFonts w:ascii="Calibri" w:hAnsi="Calibri" w:cs="Calibri"/>
                <w:color w:val="000000"/>
                <w:szCs w:val="20"/>
              </w:rPr>
              <w:t>0,51</w:t>
            </w:r>
          </w:p>
        </w:tc>
        <w:tc>
          <w:tcPr>
            <w:tcW w:w="1312" w:type="dxa"/>
            <w:vAlign w:val="center"/>
          </w:tcPr>
          <w:p w14:paraId="013E9D08" w14:textId="77777777" w:rsidR="00271218" w:rsidRPr="000A6F7E" w:rsidRDefault="00271218" w:rsidP="000878F6">
            <w:pPr>
              <w:pStyle w:val="Table"/>
              <w:jc w:val="center"/>
              <w:rPr>
                <w:szCs w:val="20"/>
              </w:rPr>
            </w:pPr>
            <w:r w:rsidRPr="000A6F7E">
              <w:rPr>
                <w:rFonts w:ascii="Calibri" w:hAnsi="Calibri" w:cs="Calibri"/>
                <w:color w:val="000000"/>
                <w:szCs w:val="20"/>
              </w:rPr>
              <w:t>12,51%</w:t>
            </w:r>
          </w:p>
        </w:tc>
        <w:tc>
          <w:tcPr>
            <w:tcW w:w="1275" w:type="dxa"/>
            <w:vAlign w:val="center"/>
          </w:tcPr>
          <w:p w14:paraId="5A1AE6EA" w14:textId="77777777" w:rsidR="00271218" w:rsidRPr="000A6F7E" w:rsidRDefault="00271218" w:rsidP="000878F6">
            <w:pPr>
              <w:pStyle w:val="Table"/>
              <w:jc w:val="center"/>
              <w:rPr>
                <w:szCs w:val="20"/>
              </w:rPr>
            </w:pPr>
            <w:r w:rsidRPr="000A6F7E">
              <w:rPr>
                <w:rFonts w:ascii="Calibri" w:hAnsi="Calibri" w:cs="Calibri"/>
                <w:color w:val="000000"/>
                <w:szCs w:val="20"/>
              </w:rPr>
              <w:t>6,19%</w:t>
            </w:r>
          </w:p>
        </w:tc>
      </w:tr>
      <w:tr w:rsidR="00271218" w:rsidRPr="001840EB" w14:paraId="58767F0A" w14:textId="77777777" w:rsidTr="007E28A3">
        <w:tc>
          <w:tcPr>
            <w:tcW w:w="2160" w:type="dxa"/>
          </w:tcPr>
          <w:p w14:paraId="4EBF28A3" w14:textId="77777777" w:rsidR="00271218" w:rsidRPr="00F501DA" w:rsidRDefault="00271218" w:rsidP="000878F6">
            <w:pPr>
              <w:pStyle w:val="Table"/>
            </w:pPr>
            <w:r w:rsidRPr="00F501DA">
              <w:t>PM2.5</w:t>
            </w:r>
          </w:p>
        </w:tc>
        <w:tc>
          <w:tcPr>
            <w:tcW w:w="1080" w:type="dxa"/>
            <w:vAlign w:val="center"/>
          </w:tcPr>
          <w:p w14:paraId="1686DDD1" w14:textId="77777777" w:rsidR="00271218" w:rsidRPr="000A6F7E" w:rsidRDefault="00271218" w:rsidP="000878F6">
            <w:pPr>
              <w:pStyle w:val="Table"/>
              <w:jc w:val="center"/>
              <w:rPr>
                <w:szCs w:val="20"/>
              </w:rPr>
            </w:pPr>
            <w:r w:rsidRPr="000A6F7E">
              <w:rPr>
                <w:rFonts w:ascii="Calibri" w:hAnsi="Calibri" w:cs="Calibri"/>
                <w:color w:val="000000"/>
                <w:szCs w:val="20"/>
              </w:rPr>
              <w:t>-29,58%</w:t>
            </w:r>
          </w:p>
        </w:tc>
        <w:tc>
          <w:tcPr>
            <w:tcW w:w="1080" w:type="dxa"/>
            <w:vAlign w:val="center"/>
          </w:tcPr>
          <w:p w14:paraId="4EF86448" w14:textId="77777777" w:rsidR="00271218" w:rsidRPr="000A6F7E" w:rsidRDefault="00271218" w:rsidP="000878F6">
            <w:pPr>
              <w:pStyle w:val="Table"/>
              <w:jc w:val="center"/>
              <w:rPr>
                <w:szCs w:val="20"/>
              </w:rPr>
            </w:pPr>
            <w:r w:rsidRPr="000A6F7E">
              <w:rPr>
                <w:rFonts w:ascii="Calibri" w:hAnsi="Calibri" w:cs="Calibri"/>
                <w:color w:val="000000"/>
                <w:szCs w:val="20"/>
              </w:rPr>
              <w:t>-29,58%</w:t>
            </w:r>
          </w:p>
        </w:tc>
        <w:tc>
          <w:tcPr>
            <w:tcW w:w="990" w:type="dxa"/>
            <w:vAlign w:val="center"/>
          </w:tcPr>
          <w:p w14:paraId="2A2BF154" w14:textId="77777777" w:rsidR="00271218" w:rsidRPr="000A6F7E" w:rsidRDefault="00271218" w:rsidP="000878F6">
            <w:pPr>
              <w:pStyle w:val="Table"/>
              <w:jc w:val="center"/>
              <w:rPr>
                <w:szCs w:val="20"/>
              </w:rPr>
            </w:pPr>
            <w:r w:rsidRPr="000A6F7E">
              <w:rPr>
                <w:rFonts w:ascii="Calibri" w:hAnsi="Calibri" w:cs="Calibri"/>
                <w:color w:val="000000"/>
                <w:szCs w:val="20"/>
              </w:rPr>
              <w:t>2,50</w:t>
            </w:r>
          </w:p>
        </w:tc>
        <w:tc>
          <w:tcPr>
            <w:tcW w:w="1170" w:type="dxa"/>
            <w:vAlign w:val="center"/>
          </w:tcPr>
          <w:p w14:paraId="72D5EED1" w14:textId="77777777" w:rsidR="00271218" w:rsidRPr="000A6F7E" w:rsidRDefault="00271218" w:rsidP="000878F6">
            <w:pPr>
              <w:pStyle w:val="Table"/>
              <w:jc w:val="center"/>
              <w:rPr>
                <w:szCs w:val="20"/>
              </w:rPr>
            </w:pPr>
            <w:r w:rsidRPr="000A6F7E">
              <w:rPr>
                <w:rFonts w:ascii="Calibri" w:hAnsi="Calibri" w:cs="Calibri"/>
                <w:color w:val="000000"/>
                <w:szCs w:val="20"/>
              </w:rPr>
              <w:t>2,37</w:t>
            </w:r>
          </w:p>
        </w:tc>
        <w:tc>
          <w:tcPr>
            <w:tcW w:w="1312" w:type="dxa"/>
            <w:vAlign w:val="center"/>
          </w:tcPr>
          <w:p w14:paraId="1437B6D3" w14:textId="77777777" w:rsidR="00271218" w:rsidRPr="000A6F7E" w:rsidRDefault="00271218" w:rsidP="000878F6">
            <w:pPr>
              <w:pStyle w:val="Table"/>
              <w:jc w:val="center"/>
              <w:rPr>
                <w:szCs w:val="20"/>
              </w:rPr>
            </w:pPr>
            <w:r w:rsidRPr="000A6F7E">
              <w:rPr>
                <w:rFonts w:ascii="Calibri" w:hAnsi="Calibri" w:cs="Calibri"/>
                <w:color w:val="000000"/>
                <w:szCs w:val="20"/>
              </w:rPr>
              <w:t>30,15%</w:t>
            </w:r>
          </w:p>
        </w:tc>
        <w:tc>
          <w:tcPr>
            <w:tcW w:w="1275" w:type="dxa"/>
            <w:vAlign w:val="center"/>
          </w:tcPr>
          <w:p w14:paraId="386D6989" w14:textId="77777777" w:rsidR="00271218" w:rsidRPr="000A6F7E" w:rsidRDefault="00271218" w:rsidP="000878F6">
            <w:pPr>
              <w:pStyle w:val="Table"/>
              <w:jc w:val="center"/>
              <w:rPr>
                <w:szCs w:val="20"/>
              </w:rPr>
            </w:pPr>
            <w:r w:rsidRPr="000A6F7E">
              <w:rPr>
                <w:rFonts w:ascii="Calibri" w:hAnsi="Calibri" w:cs="Calibri"/>
                <w:color w:val="000000"/>
                <w:szCs w:val="20"/>
              </w:rPr>
              <w:t>28,57%</w:t>
            </w:r>
          </w:p>
        </w:tc>
      </w:tr>
      <w:tr w:rsidR="00271218" w:rsidRPr="001840EB" w14:paraId="25BE62F4" w14:textId="77777777" w:rsidTr="007E28A3">
        <w:tc>
          <w:tcPr>
            <w:tcW w:w="2160" w:type="dxa"/>
          </w:tcPr>
          <w:p w14:paraId="54F48D68" w14:textId="77777777" w:rsidR="00271218" w:rsidRPr="00F501DA" w:rsidRDefault="00271218" w:rsidP="000878F6">
            <w:pPr>
              <w:pStyle w:val="Table"/>
            </w:pPr>
            <w:r w:rsidRPr="00F501DA">
              <w:t>Water Abstraction</w:t>
            </w:r>
          </w:p>
        </w:tc>
        <w:tc>
          <w:tcPr>
            <w:tcW w:w="1080" w:type="dxa"/>
            <w:vAlign w:val="center"/>
          </w:tcPr>
          <w:p w14:paraId="44E1A267" w14:textId="77777777" w:rsidR="00271218" w:rsidRPr="000A6F7E" w:rsidRDefault="00271218" w:rsidP="000878F6">
            <w:pPr>
              <w:pStyle w:val="Table"/>
              <w:jc w:val="center"/>
              <w:rPr>
                <w:szCs w:val="20"/>
              </w:rPr>
            </w:pPr>
            <w:r w:rsidRPr="000A6F7E">
              <w:rPr>
                <w:rFonts w:ascii="Calibri" w:hAnsi="Calibri" w:cs="Calibri"/>
                <w:color w:val="000000"/>
                <w:szCs w:val="20"/>
              </w:rPr>
              <w:t>-11,19%</w:t>
            </w:r>
          </w:p>
        </w:tc>
        <w:tc>
          <w:tcPr>
            <w:tcW w:w="1080" w:type="dxa"/>
            <w:vAlign w:val="center"/>
          </w:tcPr>
          <w:p w14:paraId="1F20182C" w14:textId="77777777" w:rsidR="00271218" w:rsidRPr="000A6F7E" w:rsidRDefault="00271218" w:rsidP="000878F6">
            <w:pPr>
              <w:pStyle w:val="Table"/>
              <w:jc w:val="center"/>
              <w:rPr>
                <w:szCs w:val="20"/>
              </w:rPr>
            </w:pPr>
            <w:r w:rsidRPr="000A6F7E">
              <w:rPr>
                <w:rFonts w:ascii="Calibri" w:hAnsi="Calibri" w:cs="Calibri"/>
                <w:color w:val="000000"/>
                <w:szCs w:val="20"/>
              </w:rPr>
              <w:t>-11,19%</w:t>
            </w:r>
          </w:p>
        </w:tc>
        <w:tc>
          <w:tcPr>
            <w:tcW w:w="990" w:type="dxa"/>
            <w:vAlign w:val="center"/>
          </w:tcPr>
          <w:p w14:paraId="2D4BFFCA" w14:textId="77777777" w:rsidR="00271218" w:rsidRPr="000A6F7E" w:rsidRDefault="00271218" w:rsidP="000878F6">
            <w:pPr>
              <w:pStyle w:val="Table"/>
              <w:jc w:val="center"/>
              <w:rPr>
                <w:szCs w:val="20"/>
              </w:rPr>
            </w:pPr>
            <w:r w:rsidRPr="000A6F7E">
              <w:rPr>
                <w:rFonts w:ascii="Calibri" w:hAnsi="Calibri" w:cs="Calibri"/>
                <w:color w:val="000000"/>
                <w:szCs w:val="20"/>
              </w:rPr>
              <w:t>141,63</w:t>
            </w:r>
          </w:p>
        </w:tc>
        <w:tc>
          <w:tcPr>
            <w:tcW w:w="1170" w:type="dxa"/>
            <w:vAlign w:val="center"/>
          </w:tcPr>
          <w:p w14:paraId="57A0BDE0" w14:textId="77777777" w:rsidR="00271218" w:rsidRPr="000A6F7E" w:rsidRDefault="00271218" w:rsidP="000878F6">
            <w:pPr>
              <w:pStyle w:val="Table"/>
              <w:jc w:val="center"/>
              <w:rPr>
                <w:szCs w:val="20"/>
              </w:rPr>
            </w:pPr>
            <w:r w:rsidRPr="000A6F7E">
              <w:rPr>
                <w:rFonts w:ascii="Calibri" w:hAnsi="Calibri" w:cs="Calibri"/>
                <w:color w:val="000000"/>
                <w:szCs w:val="20"/>
              </w:rPr>
              <w:t>134,51</w:t>
            </w:r>
          </w:p>
        </w:tc>
        <w:tc>
          <w:tcPr>
            <w:tcW w:w="1312" w:type="dxa"/>
            <w:vAlign w:val="center"/>
          </w:tcPr>
          <w:p w14:paraId="4CA11DE1" w14:textId="77777777" w:rsidR="00271218" w:rsidRPr="000A6F7E" w:rsidRDefault="00271218" w:rsidP="000878F6">
            <w:pPr>
              <w:pStyle w:val="Table"/>
              <w:jc w:val="center"/>
              <w:rPr>
                <w:szCs w:val="20"/>
              </w:rPr>
            </w:pPr>
            <w:r w:rsidRPr="000A6F7E">
              <w:rPr>
                <w:rFonts w:ascii="Calibri" w:hAnsi="Calibri" w:cs="Calibri"/>
                <w:color w:val="000000"/>
                <w:szCs w:val="20"/>
              </w:rPr>
              <w:t>11151,70%</w:t>
            </w:r>
          </w:p>
        </w:tc>
        <w:tc>
          <w:tcPr>
            <w:tcW w:w="1275" w:type="dxa"/>
            <w:vAlign w:val="center"/>
          </w:tcPr>
          <w:p w14:paraId="5C0422F8" w14:textId="77777777" w:rsidR="00271218" w:rsidRPr="000A6F7E" w:rsidRDefault="00271218" w:rsidP="000878F6">
            <w:pPr>
              <w:pStyle w:val="Table"/>
              <w:jc w:val="center"/>
              <w:rPr>
                <w:szCs w:val="20"/>
              </w:rPr>
            </w:pPr>
            <w:r w:rsidRPr="000A6F7E">
              <w:rPr>
                <w:rFonts w:ascii="Calibri" w:hAnsi="Calibri" w:cs="Calibri"/>
                <w:color w:val="000000"/>
                <w:szCs w:val="20"/>
              </w:rPr>
              <w:t>10591,04%</w:t>
            </w:r>
          </w:p>
        </w:tc>
      </w:tr>
      <w:tr w:rsidR="00271218" w:rsidRPr="001840EB" w14:paraId="436CA443" w14:textId="77777777" w:rsidTr="007E28A3">
        <w:tc>
          <w:tcPr>
            <w:tcW w:w="2160" w:type="dxa"/>
          </w:tcPr>
          <w:p w14:paraId="13E702D6" w14:textId="77777777" w:rsidR="00271218" w:rsidRPr="00F501DA" w:rsidRDefault="00271218" w:rsidP="000878F6">
            <w:pPr>
              <w:pStyle w:val="Table"/>
            </w:pPr>
            <w:r w:rsidRPr="00F501DA">
              <w:t>Fertilizers</w:t>
            </w:r>
          </w:p>
        </w:tc>
        <w:tc>
          <w:tcPr>
            <w:tcW w:w="1080" w:type="dxa"/>
            <w:vAlign w:val="center"/>
          </w:tcPr>
          <w:p w14:paraId="20647734" w14:textId="77777777" w:rsidR="00271218" w:rsidRPr="000A6F7E" w:rsidRDefault="00271218" w:rsidP="000878F6">
            <w:pPr>
              <w:pStyle w:val="Table"/>
              <w:jc w:val="center"/>
              <w:rPr>
                <w:szCs w:val="20"/>
              </w:rPr>
            </w:pPr>
            <w:r w:rsidRPr="000A6F7E">
              <w:rPr>
                <w:rFonts w:ascii="Calibri" w:hAnsi="Calibri" w:cs="Calibri"/>
                <w:color w:val="000000"/>
                <w:szCs w:val="20"/>
              </w:rPr>
              <w:t>-29,96%</w:t>
            </w:r>
          </w:p>
        </w:tc>
        <w:tc>
          <w:tcPr>
            <w:tcW w:w="1080" w:type="dxa"/>
            <w:vAlign w:val="center"/>
          </w:tcPr>
          <w:p w14:paraId="493DC6DA" w14:textId="77777777" w:rsidR="00271218" w:rsidRPr="000A6F7E" w:rsidRDefault="00271218" w:rsidP="000878F6">
            <w:pPr>
              <w:pStyle w:val="Table"/>
              <w:jc w:val="center"/>
              <w:rPr>
                <w:szCs w:val="20"/>
              </w:rPr>
            </w:pPr>
            <w:r w:rsidRPr="000A6F7E">
              <w:rPr>
                <w:rFonts w:ascii="Calibri" w:hAnsi="Calibri" w:cs="Calibri"/>
                <w:color w:val="000000"/>
                <w:szCs w:val="20"/>
              </w:rPr>
              <w:t>-29,96%</w:t>
            </w:r>
          </w:p>
        </w:tc>
        <w:tc>
          <w:tcPr>
            <w:tcW w:w="990" w:type="dxa"/>
            <w:vAlign w:val="center"/>
          </w:tcPr>
          <w:p w14:paraId="6202858A" w14:textId="77777777" w:rsidR="00271218" w:rsidRPr="000A6F7E" w:rsidRDefault="00271218" w:rsidP="000878F6">
            <w:pPr>
              <w:pStyle w:val="Table"/>
              <w:jc w:val="center"/>
              <w:rPr>
                <w:szCs w:val="20"/>
              </w:rPr>
            </w:pPr>
            <w:r w:rsidRPr="000A6F7E">
              <w:rPr>
                <w:rFonts w:ascii="Calibri" w:hAnsi="Calibri" w:cs="Calibri"/>
                <w:color w:val="000000"/>
                <w:szCs w:val="20"/>
              </w:rPr>
              <w:t>22,80</w:t>
            </w:r>
          </w:p>
        </w:tc>
        <w:tc>
          <w:tcPr>
            <w:tcW w:w="1170" w:type="dxa"/>
            <w:vAlign w:val="center"/>
          </w:tcPr>
          <w:p w14:paraId="15C9F200" w14:textId="77777777" w:rsidR="00271218" w:rsidRPr="000A6F7E" w:rsidRDefault="00271218" w:rsidP="000878F6">
            <w:pPr>
              <w:pStyle w:val="Table"/>
              <w:jc w:val="center"/>
              <w:rPr>
                <w:szCs w:val="20"/>
              </w:rPr>
            </w:pPr>
            <w:r w:rsidRPr="000A6F7E">
              <w:rPr>
                <w:rFonts w:ascii="Calibri" w:hAnsi="Calibri" w:cs="Calibri"/>
                <w:color w:val="000000"/>
                <w:szCs w:val="20"/>
              </w:rPr>
              <w:t>22,09</w:t>
            </w:r>
          </w:p>
        </w:tc>
        <w:tc>
          <w:tcPr>
            <w:tcW w:w="1312" w:type="dxa"/>
            <w:vAlign w:val="center"/>
          </w:tcPr>
          <w:p w14:paraId="7F55AEEE" w14:textId="77777777" w:rsidR="00271218" w:rsidRPr="000A6F7E" w:rsidRDefault="00271218" w:rsidP="000878F6">
            <w:pPr>
              <w:pStyle w:val="Table"/>
              <w:jc w:val="center"/>
              <w:rPr>
                <w:szCs w:val="20"/>
              </w:rPr>
            </w:pPr>
            <w:r w:rsidRPr="000A6F7E">
              <w:rPr>
                <w:rFonts w:ascii="Calibri" w:hAnsi="Calibri" w:cs="Calibri"/>
                <w:color w:val="000000"/>
                <w:szCs w:val="20"/>
              </w:rPr>
              <w:t>275,39%</w:t>
            </w:r>
          </w:p>
        </w:tc>
        <w:tc>
          <w:tcPr>
            <w:tcW w:w="1275" w:type="dxa"/>
            <w:vAlign w:val="center"/>
          </w:tcPr>
          <w:p w14:paraId="1524E4DD" w14:textId="77777777" w:rsidR="00271218" w:rsidRPr="000A6F7E" w:rsidRDefault="00271218" w:rsidP="000878F6">
            <w:pPr>
              <w:pStyle w:val="Table"/>
              <w:jc w:val="center"/>
              <w:rPr>
                <w:szCs w:val="20"/>
              </w:rPr>
            </w:pPr>
            <w:r w:rsidRPr="000A6F7E">
              <w:rPr>
                <w:rFonts w:ascii="Calibri" w:hAnsi="Calibri" w:cs="Calibri"/>
                <w:color w:val="000000"/>
                <w:szCs w:val="20"/>
              </w:rPr>
              <w:t>266,74%</w:t>
            </w:r>
          </w:p>
        </w:tc>
      </w:tr>
      <w:tr w:rsidR="00271218" w:rsidRPr="001840EB" w14:paraId="57C4981A" w14:textId="77777777" w:rsidTr="007E28A3">
        <w:tc>
          <w:tcPr>
            <w:tcW w:w="2160" w:type="dxa"/>
          </w:tcPr>
          <w:p w14:paraId="39E67E19" w14:textId="77777777" w:rsidR="00271218" w:rsidRPr="00F501DA" w:rsidRDefault="00271218" w:rsidP="000878F6">
            <w:pPr>
              <w:pStyle w:val="Table"/>
            </w:pPr>
            <w:r w:rsidRPr="00F501DA">
              <w:t>Pesticides</w:t>
            </w:r>
          </w:p>
        </w:tc>
        <w:tc>
          <w:tcPr>
            <w:tcW w:w="1080" w:type="dxa"/>
            <w:vAlign w:val="center"/>
          </w:tcPr>
          <w:p w14:paraId="5A80642A" w14:textId="77777777" w:rsidR="00271218" w:rsidRPr="000A6F7E" w:rsidRDefault="00271218" w:rsidP="000878F6">
            <w:pPr>
              <w:pStyle w:val="Table"/>
              <w:jc w:val="center"/>
              <w:rPr>
                <w:szCs w:val="20"/>
              </w:rPr>
            </w:pPr>
            <w:r w:rsidRPr="000A6F7E">
              <w:rPr>
                <w:rFonts w:ascii="Calibri" w:hAnsi="Calibri" w:cs="Calibri"/>
                <w:color w:val="000000"/>
                <w:szCs w:val="20"/>
              </w:rPr>
              <w:t>n/a</w:t>
            </w:r>
          </w:p>
        </w:tc>
        <w:tc>
          <w:tcPr>
            <w:tcW w:w="1080" w:type="dxa"/>
            <w:vAlign w:val="center"/>
          </w:tcPr>
          <w:p w14:paraId="0A8F8C5B" w14:textId="77777777" w:rsidR="00271218" w:rsidRPr="000A6F7E" w:rsidRDefault="00271218" w:rsidP="000878F6">
            <w:pPr>
              <w:pStyle w:val="Table"/>
              <w:jc w:val="center"/>
              <w:rPr>
                <w:szCs w:val="20"/>
              </w:rPr>
            </w:pPr>
            <w:r w:rsidRPr="000A6F7E">
              <w:rPr>
                <w:rFonts w:ascii="Calibri" w:hAnsi="Calibri" w:cs="Calibri"/>
                <w:color w:val="000000"/>
                <w:szCs w:val="20"/>
              </w:rPr>
              <w:t>n/a</w:t>
            </w:r>
          </w:p>
        </w:tc>
        <w:tc>
          <w:tcPr>
            <w:tcW w:w="990" w:type="dxa"/>
            <w:vAlign w:val="center"/>
          </w:tcPr>
          <w:p w14:paraId="40084484" w14:textId="77777777" w:rsidR="00271218" w:rsidRPr="000A6F7E" w:rsidRDefault="00271218" w:rsidP="000878F6">
            <w:pPr>
              <w:pStyle w:val="Table"/>
              <w:jc w:val="center"/>
              <w:rPr>
                <w:szCs w:val="20"/>
              </w:rPr>
            </w:pPr>
            <w:r w:rsidRPr="000A6F7E">
              <w:rPr>
                <w:rFonts w:ascii="Calibri" w:hAnsi="Calibri" w:cs="Calibri"/>
                <w:color w:val="000000"/>
                <w:szCs w:val="20"/>
              </w:rPr>
              <w:t>22,87</w:t>
            </w:r>
          </w:p>
        </w:tc>
        <w:tc>
          <w:tcPr>
            <w:tcW w:w="1170" w:type="dxa"/>
            <w:vAlign w:val="center"/>
          </w:tcPr>
          <w:p w14:paraId="18396468" w14:textId="77777777" w:rsidR="00271218" w:rsidRPr="000A6F7E" w:rsidRDefault="00271218" w:rsidP="000878F6">
            <w:pPr>
              <w:pStyle w:val="Table"/>
              <w:jc w:val="center"/>
              <w:rPr>
                <w:szCs w:val="20"/>
              </w:rPr>
            </w:pPr>
            <w:r w:rsidRPr="000A6F7E">
              <w:rPr>
                <w:rFonts w:ascii="Calibri" w:hAnsi="Calibri" w:cs="Calibri"/>
                <w:color w:val="000000"/>
                <w:szCs w:val="20"/>
              </w:rPr>
              <w:t>22,80</w:t>
            </w:r>
          </w:p>
        </w:tc>
        <w:tc>
          <w:tcPr>
            <w:tcW w:w="1312" w:type="dxa"/>
            <w:vAlign w:val="center"/>
          </w:tcPr>
          <w:p w14:paraId="6CCDA532" w14:textId="77777777" w:rsidR="00271218" w:rsidRPr="000A6F7E" w:rsidRDefault="00271218" w:rsidP="000878F6">
            <w:pPr>
              <w:pStyle w:val="Table"/>
              <w:jc w:val="center"/>
              <w:rPr>
                <w:szCs w:val="20"/>
              </w:rPr>
            </w:pPr>
            <w:r w:rsidRPr="000A6F7E">
              <w:rPr>
                <w:rFonts w:ascii="Calibri" w:hAnsi="Calibri" w:cs="Calibri"/>
                <w:color w:val="000000"/>
                <w:szCs w:val="20"/>
              </w:rPr>
              <w:t>276,20%</w:t>
            </w:r>
          </w:p>
        </w:tc>
        <w:tc>
          <w:tcPr>
            <w:tcW w:w="1275" w:type="dxa"/>
            <w:vAlign w:val="center"/>
          </w:tcPr>
          <w:p w14:paraId="284770F1" w14:textId="77777777" w:rsidR="00271218" w:rsidRPr="000A6F7E" w:rsidRDefault="00271218" w:rsidP="000878F6">
            <w:pPr>
              <w:pStyle w:val="Table"/>
              <w:jc w:val="center"/>
              <w:rPr>
                <w:szCs w:val="20"/>
              </w:rPr>
            </w:pPr>
            <w:r w:rsidRPr="000A6F7E">
              <w:rPr>
                <w:rFonts w:ascii="Calibri" w:hAnsi="Calibri" w:cs="Calibri"/>
                <w:color w:val="000000"/>
                <w:szCs w:val="20"/>
              </w:rPr>
              <w:t>275,36%</w:t>
            </w:r>
          </w:p>
        </w:tc>
      </w:tr>
      <w:tr w:rsidR="00271218" w:rsidRPr="001840EB" w14:paraId="71B1628F" w14:textId="77777777" w:rsidTr="007E28A3">
        <w:tc>
          <w:tcPr>
            <w:tcW w:w="2160" w:type="dxa"/>
          </w:tcPr>
          <w:p w14:paraId="2C0C1362" w14:textId="77777777" w:rsidR="00271218" w:rsidRPr="00F501DA" w:rsidRDefault="00271218" w:rsidP="000878F6">
            <w:pPr>
              <w:pStyle w:val="Table"/>
            </w:pPr>
            <w:r w:rsidRPr="00F501DA">
              <w:t>Waste Incineration</w:t>
            </w:r>
          </w:p>
        </w:tc>
        <w:tc>
          <w:tcPr>
            <w:tcW w:w="1080" w:type="dxa"/>
            <w:vAlign w:val="center"/>
          </w:tcPr>
          <w:p w14:paraId="66506CB1" w14:textId="77777777" w:rsidR="00271218" w:rsidRPr="000A6F7E" w:rsidRDefault="00271218" w:rsidP="000878F6">
            <w:pPr>
              <w:pStyle w:val="Table"/>
              <w:jc w:val="center"/>
              <w:rPr>
                <w:szCs w:val="20"/>
              </w:rPr>
            </w:pPr>
            <w:r w:rsidRPr="000A6F7E">
              <w:rPr>
                <w:rFonts w:ascii="Calibri" w:hAnsi="Calibri" w:cs="Calibri"/>
                <w:color w:val="000000"/>
                <w:szCs w:val="20"/>
              </w:rPr>
              <w:t>-20,00%</w:t>
            </w:r>
          </w:p>
        </w:tc>
        <w:tc>
          <w:tcPr>
            <w:tcW w:w="1080" w:type="dxa"/>
            <w:vAlign w:val="center"/>
          </w:tcPr>
          <w:p w14:paraId="3666B731" w14:textId="77777777" w:rsidR="00271218" w:rsidRPr="000A6F7E" w:rsidRDefault="00271218" w:rsidP="000878F6">
            <w:pPr>
              <w:pStyle w:val="Table"/>
              <w:jc w:val="center"/>
              <w:rPr>
                <w:szCs w:val="20"/>
              </w:rPr>
            </w:pPr>
            <w:r w:rsidRPr="000A6F7E">
              <w:rPr>
                <w:rFonts w:ascii="Calibri" w:hAnsi="Calibri" w:cs="Calibri"/>
                <w:color w:val="000000"/>
                <w:szCs w:val="20"/>
              </w:rPr>
              <w:t>-20,00%</w:t>
            </w:r>
          </w:p>
        </w:tc>
        <w:tc>
          <w:tcPr>
            <w:tcW w:w="990" w:type="dxa"/>
            <w:vAlign w:val="center"/>
          </w:tcPr>
          <w:p w14:paraId="1D8E9411" w14:textId="77777777" w:rsidR="00271218" w:rsidRPr="000A6F7E" w:rsidRDefault="00271218" w:rsidP="000878F6">
            <w:pPr>
              <w:pStyle w:val="Table"/>
              <w:jc w:val="center"/>
              <w:rPr>
                <w:szCs w:val="20"/>
              </w:rPr>
            </w:pPr>
            <w:r w:rsidRPr="000A6F7E">
              <w:rPr>
                <w:rFonts w:ascii="Calibri" w:hAnsi="Calibri" w:cs="Calibri"/>
                <w:color w:val="000000"/>
                <w:szCs w:val="20"/>
              </w:rPr>
              <w:t>0,07</w:t>
            </w:r>
          </w:p>
        </w:tc>
        <w:tc>
          <w:tcPr>
            <w:tcW w:w="1170" w:type="dxa"/>
            <w:vAlign w:val="center"/>
          </w:tcPr>
          <w:p w14:paraId="01D30BAC" w14:textId="77777777" w:rsidR="00271218" w:rsidRPr="000A6F7E" w:rsidRDefault="00271218" w:rsidP="000878F6">
            <w:pPr>
              <w:pStyle w:val="Table"/>
              <w:jc w:val="center"/>
              <w:rPr>
                <w:szCs w:val="20"/>
              </w:rPr>
            </w:pPr>
            <w:r w:rsidRPr="000A6F7E">
              <w:rPr>
                <w:rFonts w:ascii="Calibri" w:hAnsi="Calibri" w:cs="Calibri"/>
                <w:color w:val="000000"/>
                <w:szCs w:val="20"/>
              </w:rPr>
              <w:t>0,04</w:t>
            </w:r>
          </w:p>
        </w:tc>
        <w:tc>
          <w:tcPr>
            <w:tcW w:w="1312" w:type="dxa"/>
            <w:vAlign w:val="center"/>
          </w:tcPr>
          <w:p w14:paraId="18738181" w14:textId="77777777" w:rsidR="00271218" w:rsidRPr="000A6F7E" w:rsidRDefault="00271218" w:rsidP="000878F6">
            <w:pPr>
              <w:pStyle w:val="Table"/>
              <w:jc w:val="center"/>
              <w:rPr>
                <w:szCs w:val="20"/>
              </w:rPr>
            </w:pPr>
            <w:r w:rsidRPr="000A6F7E">
              <w:rPr>
                <w:rFonts w:ascii="Calibri" w:hAnsi="Calibri" w:cs="Calibri"/>
                <w:color w:val="000000"/>
                <w:szCs w:val="20"/>
              </w:rPr>
              <w:t>0,81%</w:t>
            </w:r>
          </w:p>
        </w:tc>
        <w:tc>
          <w:tcPr>
            <w:tcW w:w="1275" w:type="dxa"/>
            <w:vAlign w:val="center"/>
          </w:tcPr>
          <w:p w14:paraId="223BF84D" w14:textId="77777777" w:rsidR="00271218" w:rsidRPr="000A6F7E" w:rsidRDefault="00271218" w:rsidP="000878F6">
            <w:pPr>
              <w:pStyle w:val="Table"/>
              <w:jc w:val="center"/>
              <w:rPr>
                <w:szCs w:val="20"/>
              </w:rPr>
            </w:pPr>
            <w:r w:rsidRPr="000A6F7E">
              <w:rPr>
                <w:rFonts w:ascii="Calibri" w:hAnsi="Calibri" w:cs="Calibri"/>
                <w:color w:val="000000"/>
                <w:szCs w:val="20"/>
              </w:rPr>
              <w:t>0,54%</w:t>
            </w:r>
          </w:p>
        </w:tc>
      </w:tr>
      <w:tr w:rsidR="00271218" w:rsidRPr="001840EB" w14:paraId="533B6086" w14:textId="77777777" w:rsidTr="007E28A3">
        <w:tc>
          <w:tcPr>
            <w:tcW w:w="2160" w:type="dxa"/>
          </w:tcPr>
          <w:p w14:paraId="3D1EF7D1" w14:textId="77777777" w:rsidR="00271218" w:rsidRPr="00F501DA" w:rsidRDefault="00271218" w:rsidP="000878F6">
            <w:pPr>
              <w:pStyle w:val="Table"/>
            </w:pPr>
            <w:r w:rsidRPr="00F501DA">
              <w:t>Waste to Landfill</w:t>
            </w:r>
          </w:p>
        </w:tc>
        <w:tc>
          <w:tcPr>
            <w:tcW w:w="1080" w:type="dxa"/>
            <w:vAlign w:val="center"/>
          </w:tcPr>
          <w:p w14:paraId="6815EE1B" w14:textId="77777777" w:rsidR="00271218" w:rsidRPr="000A6F7E" w:rsidRDefault="00271218" w:rsidP="000878F6">
            <w:pPr>
              <w:pStyle w:val="Table"/>
              <w:jc w:val="center"/>
              <w:rPr>
                <w:szCs w:val="20"/>
              </w:rPr>
            </w:pPr>
            <w:r w:rsidRPr="000A6F7E">
              <w:rPr>
                <w:rFonts w:ascii="Calibri" w:hAnsi="Calibri" w:cs="Calibri"/>
                <w:color w:val="000000"/>
                <w:szCs w:val="20"/>
              </w:rPr>
              <w:t>0,00%</w:t>
            </w:r>
          </w:p>
        </w:tc>
        <w:tc>
          <w:tcPr>
            <w:tcW w:w="1080" w:type="dxa"/>
            <w:vAlign w:val="center"/>
          </w:tcPr>
          <w:p w14:paraId="2C5C7234" w14:textId="77777777" w:rsidR="00271218" w:rsidRPr="000A6F7E" w:rsidRDefault="00271218" w:rsidP="000878F6">
            <w:pPr>
              <w:pStyle w:val="Table"/>
              <w:jc w:val="center"/>
              <w:rPr>
                <w:szCs w:val="20"/>
              </w:rPr>
            </w:pPr>
            <w:r w:rsidRPr="000A6F7E">
              <w:rPr>
                <w:rFonts w:ascii="Calibri" w:hAnsi="Calibri" w:cs="Calibri"/>
                <w:color w:val="000000"/>
                <w:szCs w:val="20"/>
              </w:rPr>
              <w:t>0,00%</w:t>
            </w:r>
          </w:p>
        </w:tc>
        <w:tc>
          <w:tcPr>
            <w:tcW w:w="990" w:type="dxa"/>
            <w:vAlign w:val="center"/>
          </w:tcPr>
          <w:p w14:paraId="7195FA0C" w14:textId="77777777" w:rsidR="00271218" w:rsidRPr="000A6F7E" w:rsidRDefault="00271218" w:rsidP="000878F6">
            <w:pPr>
              <w:pStyle w:val="Table"/>
              <w:jc w:val="center"/>
              <w:rPr>
                <w:szCs w:val="20"/>
              </w:rPr>
            </w:pPr>
            <w:r w:rsidRPr="000A6F7E">
              <w:rPr>
                <w:rFonts w:ascii="Calibri" w:hAnsi="Calibri" w:cs="Calibri"/>
                <w:color w:val="000000"/>
                <w:szCs w:val="20"/>
              </w:rPr>
              <w:t>0,00</w:t>
            </w:r>
          </w:p>
        </w:tc>
        <w:tc>
          <w:tcPr>
            <w:tcW w:w="1170" w:type="dxa"/>
            <w:vAlign w:val="center"/>
          </w:tcPr>
          <w:p w14:paraId="21A6914D" w14:textId="77777777" w:rsidR="00271218" w:rsidRPr="000A6F7E" w:rsidRDefault="00271218" w:rsidP="000878F6">
            <w:pPr>
              <w:pStyle w:val="Table"/>
              <w:jc w:val="center"/>
              <w:rPr>
                <w:szCs w:val="20"/>
              </w:rPr>
            </w:pPr>
            <w:r w:rsidRPr="000A6F7E">
              <w:rPr>
                <w:rFonts w:ascii="Calibri" w:hAnsi="Calibri" w:cs="Calibri"/>
                <w:color w:val="000000"/>
                <w:szCs w:val="20"/>
              </w:rPr>
              <w:t>0,00</w:t>
            </w:r>
          </w:p>
        </w:tc>
        <w:tc>
          <w:tcPr>
            <w:tcW w:w="1312" w:type="dxa"/>
            <w:vAlign w:val="center"/>
          </w:tcPr>
          <w:p w14:paraId="0E2102E1" w14:textId="77777777" w:rsidR="00271218" w:rsidRPr="000A6F7E" w:rsidRDefault="00271218" w:rsidP="000878F6">
            <w:pPr>
              <w:pStyle w:val="Table"/>
              <w:jc w:val="center"/>
              <w:rPr>
                <w:szCs w:val="20"/>
              </w:rPr>
            </w:pPr>
            <w:r w:rsidRPr="000A6F7E">
              <w:rPr>
                <w:rFonts w:ascii="Calibri" w:hAnsi="Calibri" w:cs="Calibri"/>
                <w:color w:val="000000"/>
                <w:szCs w:val="20"/>
              </w:rPr>
              <w:t>0,00%</w:t>
            </w:r>
          </w:p>
        </w:tc>
        <w:tc>
          <w:tcPr>
            <w:tcW w:w="1275" w:type="dxa"/>
            <w:vAlign w:val="center"/>
          </w:tcPr>
          <w:p w14:paraId="2378254B" w14:textId="77777777" w:rsidR="00271218" w:rsidRPr="000A6F7E" w:rsidRDefault="00271218" w:rsidP="000878F6">
            <w:pPr>
              <w:pStyle w:val="Table"/>
              <w:jc w:val="center"/>
              <w:rPr>
                <w:szCs w:val="20"/>
              </w:rPr>
            </w:pPr>
            <w:r w:rsidRPr="000A6F7E">
              <w:rPr>
                <w:rFonts w:ascii="Calibri" w:hAnsi="Calibri" w:cs="Calibri"/>
                <w:color w:val="000000"/>
                <w:szCs w:val="20"/>
              </w:rPr>
              <w:t>0,00%</w:t>
            </w:r>
          </w:p>
        </w:tc>
      </w:tr>
      <w:tr w:rsidR="00271218" w:rsidRPr="001840EB" w14:paraId="3B59F502" w14:textId="77777777" w:rsidTr="007E28A3">
        <w:tc>
          <w:tcPr>
            <w:tcW w:w="2160" w:type="dxa"/>
          </w:tcPr>
          <w:p w14:paraId="27F2C9F3" w14:textId="77777777" w:rsidR="00271218" w:rsidRPr="00F501DA" w:rsidRDefault="00271218" w:rsidP="000878F6">
            <w:pPr>
              <w:pStyle w:val="Table"/>
            </w:pPr>
            <w:r w:rsidRPr="00F501DA">
              <w:t>Water Effluent</w:t>
            </w:r>
          </w:p>
        </w:tc>
        <w:tc>
          <w:tcPr>
            <w:tcW w:w="1080" w:type="dxa"/>
            <w:vAlign w:val="center"/>
          </w:tcPr>
          <w:p w14:paraId="283A3DE1" w14:textId="77777777" w:rsidR="00271218" w:rsidRPr="000A6F7E" w:rsidRDefault="00271218" w:rsidP="000878F6">
            <w:pPr>
              <w:pStyle w:val="Table"/>
              <w:jc w:val="center"/>
              <w:rPr>
                <w:szCs w:val="20"/>
              </w:rPr>
            </w:pPr>
            <w:r w:rsidRPr="000A6F7E">
              <w:rPr>
                <w:rFonts w:ascii="Calibri" w:hAnsi="Calibri" w:cs="Calibri"/>
                <w:color w:val="000000"/>
                <w:szCs w:val="20"/>
              </w:rPr>
              <w:t>-9,09%</w:t>
            </w:r>
          </w:p>
        </w:tc>
        <w:tc>
          <w:tcPr>
            <w:tcW w:w="1080" w:type="dxa"/>
            <w:vAlign w:val="center"/>
          </w:tcPr>
          <w:p w14:paraId="5D64A8F8" w14:textId="77777777" w:rsidR="00271218" w:rsidRPr="000A6F7E" w:rsidRDefault="00271218" w:rsidP="000878F6">
            <w:pPr>
              <w:pStyle w:val="Table"/>
              <w:jc w:val="center"/>
              <w:rPr>
                <w:szCs w:val="20"/>
              </w:rPr>
            </w:pPr>
            <w:r w:rsidRPr="000A6F7E">
              <w:rPr>
                <w:rFonts w:ascii="Calibri" w:hAnsi="Calibri" w:cs="Calibri"/>
                <w:color w:val="000000"/>
                <w:szCs w:val="20"/>
              </w:rPr>
              <w:t>-9,09%</w:t>
            </w:r>
          </w:p>
        </w:tc>
        <w:tc>
          <w:tcPr>
            <w:tcW w:w="990" w:type="dxa"/>
            <w:vAlign w:val="center"/>
          </w:tcPr>
          <w:p w14:paraId="79B30FD3" w14:textId="77777777" w:rsidR="00271218" w:rsidRPr="000A6F7E" w:rsidRDefault="00271218" w:rsidP="000878F6">
            <w:pPr>
              <w:pStyle w:val="Table"/>
              <w:jc w:val="center"/>
              <w:rPr>
                <w:szCs w:val="20"/>
              </w:rPr>
            </w:pPr>
            <w:r w:rsidRPr="000A6F7E">
              <w:rPr>
                <w:rFonts w:ascii="Calibri" w:hAnsi="Calibri" w:cs="Calibri"/>
                <w:color w:val="000000"/>
                <w:szCs w:val="20"/>
              </w:rPr>
              <w:t>451,63</w:t>
            </w:r>
          </w:p>
        </w:tc>
        <w:tc>
          <w:tcPr>
            <w:tcW w:w="1170" w:type="dxa"/>
            <w:vAlign w:val="center"/>
          </w:tcPr>
          <w:p w14:paraId="65731AC5" w14:textId="77777777" w:rsidR="00271218" w:rsidRPr="000A6F7E" w:rsidRDefault="00271218" w:rsidP="000878F6">
            <w:pPr>
              <w:pStyle w:val="Table"/>
              <w:jc w:val="center"/>
              <w:rPr>
                <w:szCs w:val="20"/>
              </w:rPr>
            </w:pPr>
            <w:r w:rsidRPr="000A6F7E">
              <w:rPr>
                <w:rFonts w:ascii="Calibri" w:hAnsi="Calibri" w:cs="Calibri"/>
                <w:color w:val="000000"/>
                <w:szCs w:val="20"/>
              </w:rPr>
              <w:t>465,17</w:t>
            </w:r>
          </w:p>
        </w:tc>
        <w:tc>
          <w:tcPr>
            <w:tcW w:w="1312" w:type="dxa"/>
            <w:vAlign w:val="center"/>
          </w:tcPr>
          <w:p w14:paraId="0BD6E0D8" w14:textId="77777777" w:rsidR="00271218" w:rsidRPr="000A6F7E" w:rsidRDefault="00271218" w:rsidP="000878F6">
            <w:pPr>
              <w:pStyle w:val="Table"/>
              <w:jc w:val="center"/>
              <w:rPr>
                <w:szCs w:val="20"/>
              </w:rPr>
            </w:pPr>
            <w:r w:rsidRPr="000A6F7E">
              <w:rPr>
                <w:rFonts w:ascii="Calibri" w:hAnsi="Calibri" w:cs="Calibri"/>
                <w:color w:val="000000"/>
                <w:szCs w:val="20"/>
              </w:rPr>
              <w:t>5454,46%</w:t>
            </w:r>
          </w:p>
        </w:tc>
        <w:tc>
          <w:tcPr>
            <w:tcW w:w="1275" w:type="dxa"/>
            <w:vAlign w:val="center"/>
          </w:tcPr>
          <w:p w14:paraId="4D7C79D0" w14:textId="77777777" w:rsidR="00271218" w:rsidRPr="000A6F7E" w:rsidRDefault="00271218" w:rsidP="000878F6">
            <w:pPr>
              <w:pStyle w:val="Table"/>
              <w:jc w:val="center"/>
              <w:rPr>
                <w:szCs w:val="20"/>
              </w:rPr>
            </w:pPr>
            <w:r w:rsidRPr="000A6F7E">
              <w:rPr>
                <w:rFonts w:ascii="Calibri" w:hAnsi="Calibri" w:cs="Calibri"/>
                <w:color w:val="000000"/>
                <w:szCs w:val="20"/>
              </w:rPr>
              <w:t>5617,96%</w:t>
            </w:r>
          </w:p>
        </w:tc>
      </w:tr>
      <w:tr w:rsidR="00271218" w:rsidRPr="001840EB" w14:paraId="599685C2" w14:textId="77777777" w:rsidTr="007E28A3">
        <w:tc>
          <w:tcPr>
            <w:tcW w:w="2160" w:type="dxa"/>
          </w:tcPr>
          <w:p w14:paraId="05191C68" w14:textId="77777777" w:rsidR="00271218" w:rsidRPr="001840EB" w:rsidRDefault="00271218" w:rsidP="000878F6">
            <w:pPr>
              <w:pStyle w:val="Table"/>
            </w:pPr>
            <w:r w:rsidRPr="001840EB">
              <w:t>Minerals &amp; Aggregates</w:t>
            </w:r>
          </w:p>
        </w:tc>
        <w:tc>
          <w:tcPr>
            <w:tcW w:w="1080" w:type="dxa"/>
            <w:vAlign w:val="center"/>
          </w:tcPr>
          <w:p w14:paraId="2F636A9E" w14:textId="77777777" w:rsidR="00271218" w:rsidRPr="000A6F7E" w:rsidRDefault="00271218" w:rsidP="000878F6">
            <w:pPr>
              <w:pStyle w:val="Table"/>
              <w:jc w:val="center"/>
              <w:rPr>
                <w:szCs w:val="20"/>
              </w:rPr>
            </w:pPr>
            <w:r w:rsidRPr="000A6F7E">
              <w:rPr>
                <w:rFonts w:ascii="Calibri" w:hAnsi="Calibri" w:cs="Calibri"/>
                <w:color w:val="000000"/>
                <w:szCs w:val="20"/>
              </w:rPr>
              <w:t>-16,67%</w:t>
            </w:r>
          </w:p>
        </w:tc>
        <w:tc>
          <w:tcPr>
            <w:tcW w:w="1080" w:type="dxa"/>
            <w:vAlign w:val="center"/>
          </w:tcPr>
          <w:p w14:paraId="13FE0904" w14:textId="77777777" w:rsidR="00271218" w:rsidRPr="000A6F7E" w:rsidRDefault="00271218" w:rsidP="000878F6">
            <w:pPr>
              <w:pStyle w:val="Table"/>
              <w:jc w:val="center"/>
              <w:rPr>
                <w:szCs w:val="20"/>
              </w:rPr>
            </w:pPr>
            <w:r w:rsidRPr="000A6F7E">
              <w:rPr>
                <w:rFonts w:ascii="Calibri" w:hAnsi="Calibri" w:cs="Calibri"/>
                <w:color w:val="000000"/>
                <w:szCs w:val="20"/>
              </w:rPr>
              <w:t>-16,67%</w:t>
            </w:r>
          </w:p>
        </w:tc>
        <w:tc>
          <w:tcPr>
            <w:tcW w:w="990" w:type="dxa"/>
            <w:vAlign w:val="center"/>
          </w:tcPr>
          <w:p w14:paraId="13AC9B39" w14:textId="77777777" w:rsidR="00271218" w:rsidRPr="000A6F7E" w:rsidRDefault="00271218" w:rsidP="000878F6">
            <w:pPr>
              <w:pStyle w:val="Table"/>
              <w:jc w:val="center"/>
              <w:rPr>
                <w:szCs w:val="20"/>
              </w:rPr>
            </w:pPr>
            <w:r w:rsidRPr="000A6F7E">
              <w:rPr>
                <w:rFonts w:ascii="Calibri" w:hAnsi="Calibri" w:cs="Calibri"/>
                <w:color w:val="000000"/>
                <w:szCs w:val="20"/>
              </w:rPr>
              <w:t>125,33</w:t>
            </w:r>
          </w:p>
        </w:tc>
        <w:tc>
          <w:tcPr>
            <w:tcW w:w="1170" w:type="dxa"/>
            <w:vAlign w:val="center"/>
          </w:tcPr>
          <w:p w14:paraId="5FCB9918" w14:textId="77777777" w:rsidR="00271218" w:rsidRPr="000A6F7E" w:rsidRDefault="00271218" w:rsidP="000878F6">
            <w:pPr>
              <w:pStyle w:val="Table"/>
              <w:jc w:val="center"/>
              <w:rPr>
                <w:szCs w:val="20"/>
              </w:rPr>
            </w:pPr>
            <w:r w:rsidRPr="000A6F7E">
              <w:rPr>
                <w:rFonts w:ascii="Calibri" w:hAnsi="Calibri" w:cs="Calibri"/>
                <w:color w:val="000000"/>
                <w:szCs w:val="20"/>
              </w:rPr>
              <w:t>122,36</w:t>
            </w:r>
          </w:p>
        </w:tc>
        <w:tc>
          <w:tcPr>
            <w:tcW w:w="1312" w:type="dxa"/>
            <w:vAlign w:val="center"/>
          </w:tcPr>
          <w:p w14:paraId="20BD212F" w14:textId="77777777" w:rsidR="00271218" w:rsidRPr="000A6F7E" w:rsidRDefault="00271218" w:rsidP="000878F6">
            <w:pPr>
              <w:pStyle w:val="Table"/>
              <w:jc w:val="center"/>
              <w:rPr>
                <w:szCs w:val="20"/>
              </w:rPr>
            </w:pPr>
            <w:r w:rsidRPr="000A6F7E">
              <w:rPr>
                <w:rFonts w:ascii="Calibri" w:hAnsi="Calibri" w:cs="Calibri"/>
                <w:color w:val="000000"/>
                <w:szCs w:val="20"/>
              </w:rPr>
              <w:t>9868,67%</w:t>
            </w:r>
          </w:p>
        </w:tc>
        <w:tc>
          <w:tcPr>
            <w:tcW w:w="1275" w:type="dxa"/>
            <w:vAlign w:val="center"/>
          </w:tcPr>
          <w:p w14:paraId="12AEDE65" w14:textId="77777777" w:rsidR="00271218" w:rsidRPr="000A6F7E" w:rsidRDefault="00271218" w:rsidP="000878F6">
            <w:pPr>
              <w:pStyle w:val="Table"/>
              <w:jc w:val="center"/>
              <w:rPr>
                <w:szCs w:val="20"/>
              </w:rPr>
            </w:pPr>
            <w:r w:rsidRPr="000A6F7E">
              <w:rPr>
                <w:rFonts w:ascii="Calibri" w:hAnsi="Calibri" w:cs="Calibri"/>
                <w:color w:val="000000"/>
                <w:szCs w:val="20"/>
              </w:rPr>
              <w:t>9634,26%</w:t>
            </w:r>
          </w:p>
        </w:tc>
      </w:tr>
    </w:tbl>
    <w:p w14:paraId="7E963EBC" w14:textId="77777777" w:rsidR="00271218" w:rsidRDefault="00271218" w:rsidP="00271218">
      <w:pPr>
        <w:rPr>
          <w:b/>
          <w:bCs/>
        </w:rPr>
      </w:pPr>
    </w:p>
    <w:tbl>
      <w:tblPr>
        <w:tblStyle w:val="Lentelstinklelis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312"/>
        <w:gridCol w:w="1275"/>
      </w:tblGrid>
      <w:tr w:rsidR="00271218" w:rsidRPr="006752A3" w14:paraId="28B85A79" w14:textId="77777777" w:rsidTr="007E28A3">
        <w:trPr>
          <w:trHeight w:val="255"/>
          <w:tblHeader/>
        </w:trPr>
        <w:tc>
          <w:tcPr>
            <w:tcW w:w="9067" w:type="dxa"/>
            <w:gridSpan w:val="7"/>
            <w:shd w:val="clear" w:color="auto" w:fill="003399"/>
          </w:tcPr>
          <w:p w14:paraId="64F1BBA3" w14:textId="50C7F4F4" w:rsidR="00271218" w:rsidRPr="006752A3" w:rsidRDefault="00271218" w:rsidP="000878F6">
            <w:pPr>
              <w:pStyle w:val="Table"/>
              <w:rPr>
                <w:b/>
                <w:color w:val="FFFFFF" w:themeColor="background1"/>
                <w:szCs w:val="20"/>
                <w:lang w:eastAsia="en-GB"/>
              </w:rPr>
            </w:pPr>
            <w:r w:rsidRPr="006752A3">
              <w:rPr>
                <w:b/>
                <w:color w:val="FFFFFF" w:themeColor="background1"/>
                <w:szCs w:val="20"/>
              </w:rPr>
              <w:t xml:space="preserve">Table </w:t>
            </w:r>
            <w:r w:rsidR="00490085">
              <w:rPr>
                <w:b/>
                <w:bCs/>
                <w:color w:val="FFFFFF" w:themeColor="background1"/>
                <w:szCs w:val="20"/>
              </w:rPr>
              <w:t>A6</w:t>
            </w:r>
            <w:r w:rsidRPr="006752A3">
              <w:rPr>
                <w:b/>
                <w:bCs/>
                <w:color w:val="FFFFFF" w:themeColor="background1"/>
                <w:szCs w:val="20"/>
              </w:rPr>
              <w:t>-</w:t>
            </w:r>
            <w:r w:rsidRPr="006752A3">
              <w:rPr>
                <w:b/>
                <w:bCs/>
                <w:color w:val="FFFFFF" w:themeColor="background1"/>
                <w:szCs w:val="20"/>
              </w:rPr>
              <w:fldChar w:fldCharType="begin"/>
            </w:r>
            <w:r w:rsidRPr="006752A3">
              <w:rPr>
                <w:b/>
                <w:bCs/>
                <w:color w:val="FFFFFF" w:themeColor="background1"/>
                <w:szCs w:val="20"/>
              </w:rPr>
              <w:instrText xml:space="preserve"> SEQ Table_A5- \* ARABIC </w:instrText>
            </w:r>
            <w:r w:rsidRPr="006752A3">
              <w:rPr>
                <w:b/>
                <w:bCs/>
                <w:color w:val="FFFFFF" w:themeColor="background1"/>
                <w:szCs w:val="20"/>
              </w:rPr>
              <w:fldChar w:fldCharType="separate"/>
            </w:r>
            <w:r>
              <w:rPr>
                <w:b/>
                <w:bCs/>
                <w:noProof/>
                <w:color w:val="FFFFFF" w:themeColor="background1"/>
                <w:szCs w:val="20"/>
              </w:rPr>
              <w:t>77</w:t>
            </w:r>
            <w:r w:rsidRPr="006752A3">
              <w:rPr>
                <w:b/>
                <w:bCs/>
                <w:color w:val="FFFFFF" w:themeColor="background1"/>
                <w:szCs w:val="20"/>
              </w:rPr>
              <w:fldChar w:fldCharType="end"/>
            </w:r>
            <w:r w:rsidRPr="006752A3">
              <w:rPr>
                <w:b/>
                <w:bCs/>
                <w:color w:val="FFFFFF" w:themeColor="background1"/>
                <w:szCs w:val="20"/>
                <w:lang w:eastAsia="en-GB"/>
              </w:rPr>
              <w:t>:</w:t>
            </w:r>
            <w:r w:rsidRPr="006752A3">
              <w:rPr>
                <w:b/>
                <w:color w:val="FFFFFF" w:themeColor="background1"/>
                <w:szCs w:val="20"/>
                <w:lang w:eastAsia="en-GB"/>
              </w:rPr>
              <w:t xml:space="preserve"> Environmental Impacts and Revenue Changes in Ireland – Scenario B</w:t>
            </w:r>
          </w:p>
        </w:tc>
      </w:tr>
      <w:tr w:rsidR="00271218" w:rsidRPr="006752A3" w14:paraId="153F4C80" w14:textId="77777777" w:rsidTr="007E28A3">
        <w:trPr>
          <w:tblHeader/>
        </w:trPr>
        <w:tc>
          <w:tcPr>
            <w:tcW w:w="2160" w:type="dxa"/>
          </w:tcPr>
          <w:p w14:paraId="437389E8" w14:textId="77777777" w:rsidR="00271218" w:rsidRPr="006752A3" w:rsidRDefault="00271218" w:rsidP="000878F6">
            <w:pPr>
              <w:pStyle w:val="Table"/>
              <w:rPr>
                <w:b/>
                <w:szCs w:val="20"/>
              </w:rPr>
            </w:pPr>
            <w:r w:rsidRPr="006752A3">
              <w:rPr>
                <w:b/>
                <w:szCs w:val="20"/>
              </w:rPr>
              <w:t>Tax Name</w:t>
            </w:r>
          </w:p>
        </w:tc>
        <w:tc>
          <w:tcPr>
            <w:tcW w:w="2160" w:type="dxa"/>
            <w:gridSpan w:val="2"/>
            <w:vAlign w:val="bottom"/>
          </w:tcPr>
          <w:p w14:paraId="427E5ABA" w14:textId="77777777" w:rsidR="00271218" w:rsidRPr="006752A3" w:rsidRDefault="00271218" w:rsidP="000878F6">
            <w:pPr>
              <w:pStyle w:val="Table"/>
              <w:jc w:val="center"/>
              <w:rPr>
                <w:b/>
                <w:szCs w:val="20"/>
              </w:rPr>
            </w:pPr>
            <w:r w:rsidRPr="006752A3">
              <w:rPr>
                <w:rFonts w:ascii="Calibri" w:hAnsi="Calibri" w:cs="Calibri"/>
                <w:b/>
                <w:bCs/>
                <w:color w:val="000000"/>
                <w:szCs w:val="20"/>
              </w:rPr>
              <w:t>% Change in Quantities as % of taxed sector</w:t>
            </w:r>
          </w:p>
        </w:tc>
        <w:tc>
          <w:tcPr>
            <w:tcW w:w="2160" w:type="dxa"/>
            <w:gridSpan w:val="2"/>
            <w:vAlign w:val="bottom"/>
          </w:tcPr>
          <w:p w14:paraId="046B7C6C" w14:textId="77777777" w:rsidR="00271218" w:rsidRPr="006752A3" w:rsidRDefault="00271218" w:rsidP="000878F6">
            <w:pPr>
              <w:pStyle w:val="Table"/>
              <w:jc w:val="center"/>
              <w:rPr>
                <w:b/>
                <w:szCs w:val="20"/>
              </w:rPr>
            </w:pPr>
            <w:r w:rsidRPr="006752A3">
              <w:rPr>
                <w:rFonts w:ascii="Calibri" w:hAnsi="Calibri" w:cs="Calibri"/>
                <w:b/>
                <w:bCs/>
                <w:color w:val="000000"/>
                <w:szCs w:val="20"/>
              </w:rPr>
              <w:t>Change in Revenues (€Mn)</w:t>
            </w:r>
          </w:p>
        </w:tc>
        <w:tc>
          <w:tcPr>
            <w:tcW w:w="2587" w:type="dxa"/>
            <w:gridSpan w:val="2"/>
            <w:vAlign w:val="bottom"/>
          </w:tcPr>
          <w:p w14:paraId="2A90EF76" w14:textId="77777777" w:rsidR="00271218" w:rsidRPr="006752A3" w:rsidRDefault="00271218" w:rsidP="000878F6">
            <w:pPr>
              <w:pStyle w:val="Table"/>
              <w:jc w:val="center"/>
              <w:rPr>
                <w:b/>
                <w:szCs w:val="20"/>
              </w:rPr>
            </w:pPr>
            <w:r w:rsidRPr="006752A3">
              <w:rPr>
                <w:rFonts w:ascii="Calibri" w:hAnsi="Calibri" w:cs="Calibri"/>
                <w:b/>
                <w:bCs/>
                <w:color w:val="000000"/>
                <w:szCs w:val="20"/>
              </w:rPr>
              <w:t>As % of 2023 Resource Tax</w:t>
            </w:r>
          </w:p>
        </w:tc>
      </w:tr>
      <w:tr w:rsidR="00271218" w:rsidRPr="006752A3" w14:paraId="29D03A10" w14:textId="77777777" w:rsidTr="007E28A3">
        <w:trPr>
          <w:tblHeader/>
        </w:trPr>
        <w:tc>
          <w:tcPr>
            <w:tcW w:w="2160" w:type="dxa"/>
          </w:tcPr>
          <w:p w14:paraId="38667AAE" w14:textId="77777777" w:rsidR="00271218" w:rsidRPr="006752A3" w:rsidRDefault="00271218" w:rsidP="000878F6">
            <w:pPr>
              <w:pStyle w:val="Table"/>
              <w:rPr>
                <w:b/>
                <w:szCs w:val="20"/>
              </w:rPr>
            </w:pPr>
            <w:r w:rsidRPr="006752A3">
              <w:rPr>
                <w:b/>
                <w:szCs w:val="20"/>
              </w:rPr>
              <w:t>Year</w:t>
            </w:r>
          </w:p>
        </w:tc>
        <w:tc>
          <w:tcPr>
            <w:tcW w:w="1080" w:type="dxa"/>
          </w:tcPr>
          <w:p w14:paraId="4E7D372F" w14:textId="77777777" w:rsidR="00271218" w:rsidRPr="006752A3" w:rsidRDefault="00271218" w:rsidP="000878F6">
            <w:pPr>
              <w:pStyle w:val="Table"/>
              <w:jc w:val="center"/>
              <w:rPr>
                <w:b/>
                <w:szCs w:val="20"/>
              </w:rPr>
            </w:pPr>
            <w:r w:rsidRPr="006752A3">
              <w:rPr>
                <w:b/>
                <w:szCs w:val="20"/>
              </w:rPr>
              <w:t>2030</w:t>
            </w:r>
          </w:p>
        </w:tc>
        <w:tc>
          <w:tcPr>
            <w:tcW w:w="1080" w:type="dxa"/>
          </w:tcPr>
          <w:p w14:paraId="34BAD4FA" w14:textId="77777777" w:rsidR="00271218" w:rsidRPr="006752A3" w:rsidRDefault="00271218" w:rsidP="000878F6">
            <w:pPr>
              <w:pStyle w:val="Table"/>
              <w:jc w:val="center"/>
              <w:rPr>
                <w:b/>
                <w:szCs w:val="20"/>
              </w:rPr>
            </w:pPr>
            <w:r w:rsidRPr="006752A3">
              <w:rPr>
                <w:b/>
                <w:szCs w:val="20"/>
              </w:rPr>
              <w:t>2035</w:t>
            </w:r>
          </w:p>
        </w:tc>
        <w:tc>
          <w:tcPr>
            <w:tcW w:w="990" w:type="dxa"/>
          </w:tcPr>
          <w:p w14:paraId="7E89388F" w14:textId="77777777" w:rsidR="00271218" w:rsidRPr="006752A3" w:rsidRDefault="00271218" w:rsidP="000878F6">
            <w:pPr>
              <w:pStyle w:val="Table"/>
              <w:jc w:val="center"/>
              <w:rPr>
                <w:b/>
                <w:szCs w:val="20"/>
              </w:rPr>
            </w:pPr>
            <w:r w:rsidRPr="006752A3">
              <w:rPr>
                <w:b/>
                <w:szCs w:val="20"/>
              </w:rPr>
              <w:t>2030</w:t>
            </w:r>
          </w:p>
        </w:tc>
        <w:tc>
          <w:tcPr>
            <w:tcW w:w="1170" w:type="dxa"/>
          </w:tcPr>
          <w:p w14:paraId="714BB990" w14:textId="77777777" w:rsidR="00271218" w:rsidRPr="006752A3" w:rsidRDefault="00271218" w:rsidP="000878F6">
            <w:pPr>
              <w:pStyle w:val="Table"/>
              <w:jc w:val="center"/>
              <w:rPr>
                <w:b/>
                <w:szCs w:val="20"/>
              </w:rPr>
            </w:pPr>
            <w:r w:rsidRPr="006752A3">
              <w:rPr>
                <w:b/>
                <w:szCs w:val="20"/>
              </w:rPr>
              <w:t>2035</w:t>
            </w:r>
          </w:p>
        </w:tc>
        <w:tc>
          <w:tcPr>
            <w:tcW w:w="1312" w:type="dxa"/>
          </w:tcPr>
          <w:p w14:paraId="011AADA5" w14:textId="77777777" w:rsidR="00271218" w:rsidRPr="006752A3" w:rsidRDefault="00271218" w:rsidP="000878F6">
            <w:pPr>
              <w:pStyle w:val="Table"/>
              <w:jc w:val="center"/>
              <w:rPr>
                <w:b/>
                <w:szCs w:val="20"/>
              </w:rPr>
            </w:pPr>
            <w:r w:rsidRPr="006752A3">
              <w:rPr>
                <w:b/>
                <w:szCs w:val="20"/>
              </w:rPr>
              <w:t>2030</w:t>
            </w:r>
          </w:p>
        </w:tc>
        <w:tc>
          <w:tcPr>
            <w:tcW w:w="1275" w:type="dxa"/>
          </w:tcPr>
          <w:p w14:paraId="77844ECE" w14:textId="77777777" w:rsidR="00271218" w:rsidRPr="006752A3" w:rsidRDefault="00271218" w:rsidP="000878F6">
            <w:pPr>
              <w:pStyle w:val="Table"/>
              <w:jc w:val="center"/>
              <w:rPr>
                <w:b/>
                <w:szCs w:val="20"/>
              </w:rPr>
            </w:pPr>
            <w:r w:rsidRPr="006752A3">
              <w:rPr>
                <w:b/>
                <w:szCs w:val="20"/>
              </w:rPr>
              <w:t>2035</w:t>
            </w:r>
          </w:p>
        </w:tc>
      </w:tr>
      <w:tr w:rsidR="00271218" w:rsidRPr="006752A3" w14:paraId="14F4C8B7" w14:textId="77777777" w:rsidTr="007E28A3">
        <w:tc>
          <w:tcPr>
            <w:tcW w:w="2160" w:type="dxa"/>
          </w:tcPr>
          <w:p w14:paraId="3450352E" w14:textId="77777777" w:rsidR="00271218" w:rsidRPr="006752A3" w:rsidRDefault="00271218" w:rsidP="000878F6">
            <w:pPr>
              <w:pStyle w:val="Table"/>
              <w:rPr>
                <w:szCs w:val="20"/>
              </w:rPr>
            </w:pPr>
            <w:r w:rsidRPr="006752A3">
              <w:rPr>
                <w:szCs w:val="20"/>
              </w:rPr>
              <w:t>NOx</w:t>
            </w:r>
          </w:p>
        </w:tc>
        <w:tc>
          <w:tcPr>
            <w:tcW w:w="1080" w:type="dxa"/>
            <w:vAlign w:val="center"/>
          </w:tcPr>
          <w:p w14:paraId="0414F67D" w14:textId="77777777" w:rsidR="00271218" w:rsidRPr="006752A3" w:rsidRDefault="00271218" w:rsidP="000878F6">
            <w:pPr>
              <w:pStyle w:val="Table"/>
              <w:jc w:val="center"/>
              <w:rPr>
                <w:szCs w:val="20"/>
              </w:rPr>
            </w:pPr>
            <w:r w:rsidRPr="006752A3">
              <w:rPr>
                <w:rFonts w:ascii="Calibri" w:hAnsi="Calibri" w:cs="Calibri"/>
                <w:color w:val="000000"/>
                <w:szCs w:val="20"/>
              </w:rPr>
              <w:t>-7,39%</w:t>
            </w:r>
          </w:p>
        </w:tc>
        <w:tc>
          <w:tcPr>
            <w:tcW w:w="1080" w:type="dxa"/>
            <w:vAlign w:val="center"/>
          </w:tcPr>
          <w:p w14:paraId="3340C58B" w14:textId="77777777" w:rsidR="00271218" w:rsidRPr="006752A3" w:rsidRDefault="00271218" w:rsidP="000878F6">
            <w:pPr>
              <w:pStyle w:val="Table"/>
              <w:jc w:val="center"/>
              <w:rPr>
                <w:szCs w:val="20"/>
              </w:rPr>
            </w:pPr>
            <w:r w:rsidRPr="006752A3">
              <w:rPr>
                <w:rFonts w:ascii="Calibri" w:hAnsi="Calibri" w:cs="Calibri"/>
                <w:color w:val="000000"/>
                <w:szCs w:val="20"/>
              </w:rPr>
              <w:t>-7,39%</w:t>
            </w:r>
          </w:p>
        </w:tc>
        <w:tc>
          <w:tcPr>
            <w:tcW w:w="990" w:type="dxa"/>
            <w:vAlign w:val="center"/>
          </w:tcPr>
          <w:p w14:paraId="56E73ECF" w14:textId="77777777" w:rsidR="00271218" w:rsidRPr="006752A3" w:rsidRDefault="00271218" w:rsidP="000878F6">
            <w:pPr>
              <w:pStyle w:val="Table"/>
              <w:jc w:val="center"/>
              <w:rPr>
                <w:szCs w:val="20"/>
              </w:rPr>
            </w:pPr>
            <w:r w:rsidRPr="006752A3">
              <w:rPr>
                <w:rFonts w:ascii="Calibri" w:hAnsi="Calibri" w:cs="Calibri"/>
                <w:color w:val="000000"/>
                <w:szCs w:val="20"/>
              </w:rPr>
              <w:t>0,27</w:t>
            </w:r>
          </w:p>
        </w:tc>
        <w:tc>
          <w:tcPr>
            <w:tcW w:w="1170" w:type="dxa"/>
            <w:vAlign w:val="center"/>
          </w:tcPr>
          <w:p w14:paraId="006178D3" w14:textId="77777777" w:rsidR="00271218" w:rsidRPr="006752A3" w:rsidRDefault="00271218" w:rsidP="000878F6">
            <w:pPr>
              <w:pStyle w:val="Table"/>
              <w:jc w:val="center"/>
              <w:rPr>
                <w:szCs w:val="20"/>
              </w:rPr>
            </w:pPr>
            <w:r w:rsidRPr="006752A3">
              <w:rPr>
                <w:rFonts w:ascii="Calibri" w:hAnsi="Calibri" w:cs="Calibri"/>
                <w:color w:val="000000"/>
                <w:szCs w:val="20"/>
              </w:rPr>
              <w:t>0,26</w:t>
            </w:r>
          </w:p>
        </w:tc>
        <w:tc>
          <w:tcPr>
            <w:tcW w:w="1312" w:type="dxa"/>
            <w:vAlign w:val="center"/>
          </w:tcPr>
          <w:p w14:paraId="3664E02A" w14:textId="77777777" w:rsidR="00271218" w:rsidRPr="006752A3" w:rsidRDefault="00271218" w:rsidP="000878F6">
            <w:pPr>
              <w:pStyle w:val="Table"/>
              <w:jc w:val="center"/>
              <w:rPr>
                <w:szCs w:val="20"/>
              </w:rPr>
            </w:pPr>
            <w:r w:rsidRPr="006752A3">
              <w:rPr>
                <w:rFonts w:ascii="Calibri" w:hAnsi="Calibri" w:cs="Calibri"/>
                <w:color w:val="000000"/>
                <w:szCs w:val="20"/>
              </w:rPr>
              <w:t>3,2%</w:t>
            </w:r>
          </w:p>
        </w:tc>
        <w:tc>
          <w:tcPr>
            <w:tcW w:w="1275" w:type="dxa"/>
            <w:vAlign w:val="center"/>
          </w:tcPr>
          <w:p w14:paraId="56F876DC" w14:textId="77777777" w:rsidR="00271218" w:rsidRPr="006752A3" w:rsidRDefault="00271218" w:rsidP="000878F6">
            <w:pPr>
              <w:pStyle w:val="Table"/>
              <w:jc w:val="center"/>
              <w:rPr>
                <w:szCs w:val="20"/>
              </w:rPr>
            </w:pPr>
            <w:r w:rsidRPr="006752A3">
              <w:rPr>
                <w:rFonts w:ascii="Calibri" w:hAnsi="Calibri" w:cs="Calibri"/>
                <w:color w:val="000000"/>
                <w:szCs w:val="20"/>
              </w:rPr>
              <w:t>3,2%</w:t>
            </w:r>
          </w:p>
        </w:tc>
      </w:tr>
      <w:tr w:rsidR="00271218" w:rsidRPr="006752A3" w14:paraId="67222AA0" w14:textId="77777777" w:rsidTr="007E28A3">
        <w:tc>
          <w:tcPr>
            <w:tcW w:w="2160" w:type="dxa"/>
          </w:tcPr>
          <w:p w14:paraId="0DC4D273" w14:textId="77777777" w:rsidR="00271218" w:rsidRPr="006752A3" w:rsidRDefault="00271218" w:rsidP="000878F6">
            <w:pPr>
              <w:pStyle w:val="Table"/>
              <w:rPr>
                <w:szCs w:val="20"/>
              </w:rPr>
            </w:pPr>
            <w:r w:rsidRPr="006752A3">
              <w:rPr>
                <w:szCs w:val="20"/>
              </w:rPr>
              <w:t>SO2</w:t>
            </w:r>
          </w:p>
        </w:tc>
        <w:tc>
          <w:tcPr>
            <w:tcW w:w="1080" w:type="dxa"/>
            <w:vAlign w:val="center"/>
          </w:tcPr>
          <w:p w14:paraId="52CA4192" w14:textId="77777777" w:rsidR="00271218" w:rsidRPr="006752A3" w:rsidRDefault="00271218" w:rsidP="000878F6">
            <w:pPr>
              <w:pStyle w:val="Table"/>
              <w:jc w:val="center"/>
              <w:rPr>
                <w:szCs w:val="20"/>
              </w:rPr>
            </w:pPr>
            <w:r w:rsidRPr="006752A3">
              <w:rPr>
                <w:rFonts w:ascii="Calibri" w:hAnsi="Calibri" w:cs="Calibri"/>
                <w:color w:val="000000"/>
                <w:szCs w:val="20"/>
              </w:rPr>
              <w:t>-8,11%</w:t>
            </w:r>
          </w:p>
        </w:tc>
        <w:tc>
          <w:tcPr>
            <w:tcW w:w="1080" w:type="dxa"/>
            <w:vAlign w:val="center"/>
          </w:tcPr>
          <w:p w14:paraId="344255EE" w14:textId="77777777" w:rsidR="00271218" w:rsidRPr="006752A3" w:rsidRDefault="00271218" w:rsidP="000878F6">
            <w:pPr>
              <w:pStyle w:val="Table"/>
              <w:jc w:val="center"/>
              <w:rPr>
                <w:szCs w:val="20"/>
              </w:rPr>
            </w:pPr>
            <w:r w:rsidRPr="006752A3">
              <w:rPr>
                <w:rFonts w:ascii="Calibri" w:hAnsi="Calibri" w:cs="Calibri"/>
                <w:color w:val="000000"/>
                <w:szCs w:val="20"/>
              </w:rPr>
              <w:t>-8,11%</w:t>
            </w:r>
          </w:p>
        </w:tc>
        <w:tc>
          <w:tcPr>
            <w:tcW w:w="990" w:type="dxa"/>
            <w:vAlign w:val="center"/>
          </w:tcPr>
          <w:p w14:paraId="6FE767C5" w14:textId="77777777" w:rsidR="00271218" w:rsidRPr="006752A3" w:rsidRDefault="00271218" w:rsidP="000878F6">
            <w:pPr>
              <w:pStyle w:val="Table"/>
              <w:jc w:val="center"/>
              <w:rPr>
                <w:szCs w:val="20"/>
              </w:rPr>
            </w:pPr>
            <w:r w:rsidRPr="006752A3">
              <w:rPr>
                <w:rFonts w:ascii="Calibri" w:hAnsi="Calibri" w:cs="Calibri"/>
                <w:color w:val="000000"/>
                <w:szCs w:val="20"/>
              </w:rPr>
              <w:t>0,35</w:t>
            </w:r>
          </w:p>
        </w:tc>
        <w:tc>
          <w:tcPr>
            <w:tcW w:w="1170" w:type="dxa"/>
            <w:vAlign w:val="center"/>
          </w:tcPr>
          <w:p w14:paraId="1B84E861" w14:textId="77777777" w:rsidR="00271218" w:rsidRPr="006752A3" w:rsidRDefault="00271218" w:rsidP="000878F6">
            <w:pPr>
              <w:pStyle w:val="Table"/>
              <w:jc w:val="center"/>
              <w:rPr>
                <w:szCs w:val="20"/>
              </w:rPr>
            </w:pPr>
            <w:r w:rsidRPr="006752A3">
              <w:rPr>
                <w:rFonts w:ascii="Calibri" w:hAnsi="Calibri" w:cs="Calibri"/>
                <w:color w:val="000000"/>
                <w:szCs w:val="20"/>
              </w:rPr>
              <w:t>0,17</w:t>
            </w:r>
          </w:p>
        </w:tc>
        <w:tc>
          <w:tcPr>
            <w:tcW w:w="1312" w:type="dxa"/>
            <w:vAlign w:val="center"/>
          </w:tcPr>
          <w:p w14:paraId="54D395CC" w14:textId="77777777" w:rsidR="00271218" w:rsidRPr="006752A3" w:rsidRDefault="00271218" w:rsidP="000878F6">
            <w:pPr>
              <w:pStyle w:val="Table"/>
              <w:jc w:val="center"/>
              <w:rPr>
                <w:szCs w:val="20"/>
              </w:rPr>
            </w:pPr>
            <w:r w:rsidRPr="006752A3">
              <w:rPr>
                <w:rFonts w:ascii="Calibri" w:hAnsi="Calibri" w:cs="Calibri"/>
                <w:color w:val="000000"/>
                <w:szCs w:val="20"/>
              </w:rPr>
              <w:t>4,3%</w:t>
            </w:r>
          </w:p>
        </w:tc>
        <w:tc>
          <w:tcPr>
            <w:tcW w:w="1275" w:type="dxa"/>
            <w:vAlign w:val="center"/>
          </w:tcPr>
          <w:p w14:paraId="542694AA" w14:textId="77777777" w:rsidR="00271218" w:rsidRPr="006752A3" w:rsidRDefault="00271218" w:rsidP="000878F6">
            <w:pPr>
              <w:pStyle w:val="Table"/>
              <w:jc w:val="center"/>
              <w:rPr>
                <w:szCs w:val="20"/>
              </w:rPr>
            </w:pPr>
            <w:r w:rsidRPr="006752A3">
              <w:rPr>
                <w:rFonts w:ascii="Calibri" w:hAnsi="Calibri" w:cs="Calibri"/>
                <w:color w:val="000000"/>
                <w:szCs w:val="20"/>
              </w:rPr>
              <w:t>2,1%</w:t>
            </w:r>
          </w:p>
        </w:tc>
      </w:tr>
      <w:tr w:rsidR="00271218" w:rsidRPr="006752A3" w14:paraId="75C1B44B" w14:textId="77777777" w:rsidTr="007E28A3">
        <w:tc>
          <w:tcPr>
            <w:tcW w:w="2160" w:type="dxa"/>
          </w:tcPr>
          <w:p w14:paraId="24CA3968" w14:textId="77777777" w:rsidR="00271218" w:rsidRPr="006752A3" w:rsidRDefault="00271218" w:rsidP="000878F6">
            <w:pPr>
              <w:pStyle w:val="Table"/>
              <w:rPr>
                <w:szCs w:val="20"/>
              </w:rPr>
            </w:pPr>
            <w:r w:rsidRPr="006752A3">
              <w:rPr>
                <w:szCs w:val="20"/>
              </w:rPr>
              <w:t>PM2.5</w:t>
            </w:r>
          </w:p>
        </w:tc>
        <w:tc>
          <w:tcPr>
            <w:tcW w:w="1080" w:type="dxa"/>
            <w:vAlign w:val="center"/>
          </w:tcPr>
          <w:p w14:paraId="7D09193A" w14:textId="77777777" w:rsidR="00271218" w:rsidRPr="006752A3" w:rsidRDefault="00271218" w:rsidP="000878F6">
            <w:pPr>
              <w:pStyle w:val="Table"/>
              <w:jc w:val="center"/>
              <w:rPr>
                <w:szCs w:val="20"/>
              </w:rPr>
            </w:pPr>
            <w:r w:rsidRPr="006752A3">
              <w:rPr>
                <w:rFonts w:ascii="Calibri" w:hAnsi="Calibri" w:cs="Calibri"/>
                <w:color w:val="000000"/>
                <w:szCs w:val="20"/>
              </w:rPr>
              <w:t>-7,39%</w:t>
            </w:r>
          </w:p>
        </w:tc>
        <w:tc>
          <w:tcPr>
            <w:tcW w:w="1080" w:type="dxa"/>
            <w:vAlign w:val="center"/>
          </w:tcPr>
          <w:p w14:paraId="6119CD17" w14:textId="77777777" w:rsidR="00271218" w:rsidRPr="006752A3" w:rsidRDefault="00271218" w:rsidP="000878F6">
            <w:pPr>
              <w:pStyle w:val="Table"/>
              <w:jc w:val="center"/>
              <w:rPr>
                <w:szCs w:val="20"/>
              </w:rPr>
            </w:pPr>
            <w:r w:rsidRPr="006752A3">
              <w:rPr>
                <w:rFonts w:ascii="Calibri" w:hAnsi="Calibri" w:cs="Calibri"/>
                <w:color w:val="000000"/>
                <w:szCs w:val="20"/>
              </w:rPr>
              <w:t>-7,39%</w:t>
            </w:r>
          </w:p>
        </w:tc>
        <w:tc>
          <w:tcPr>
            <w:tcW w:w="990" w:type="dxa"/>
            <w:vAlign w:val="center"/>
          </w:tcPr>
          <w:p w14:paraId="35DDD155" w14:textId="77777777" w:rsidR="00271218" w:rsidRPr="006752A3" w:rsidRDefault="00271218" w:rsidP="000878F6">
            <w:pPr>
              <w:pStyle w:val="Table"/>
              <w:jc w:val="center"/>
              <w:rPr>
                <w:szCs w:val="20"/>
              </w:rPr>
            </w:pPr>
            <w:r w:rsidRPr="006752A3">
              <w:rPr>
                <w:rFonts w:ascii="Calibri" w:hAnsi="Calibri" w:cs="Calibri"/>
                <w:color w:val="000000"/>
                <w:szCs w:val="20"/>
              </w:rPr>
              <w:t>0,82</w:t>
            </w:r>
          </w:p>
        </w:tc>
        <w:tc>
          <w:tcPr>
            <w:tcW w:w="1170" w:type="dxa"/>
            <w:vAlign w:val="center"/>
          </w:tcPr>
          <w:p w14:paraId="19B48BE3" w14:textId="77777777" w:rsidR="00271218" w:rsidRPr="006752A3" w:rsidRDefault="00271218" w:rsidP="000878F6">
            <w:pPr>
              <w:pStyle w:val="Table"/>
              <w:jc w:val="center"/>
              <w:rPr>
                <w:szCs w:val="20"/>
              </w:rPr>
            </w:pPr>
            <w:r w:rsidRPr="006752A3">
              <w:rPr>
                <w:rFonts w:ascii="Calibri" w:hAnsi="Calibri" w:cs="Calibri"/>
                <w:color w:val="000000"/>
                <w:szCs w:val="20"/>
              </w:rPr>
              <w:t>0,78</w:t>
            </w:r>
          </w:p>
        </w:tc>
        <w:tc>
          <w:tcPr>
            <w:tcW w:w="1312" w:type="dxa"/>
            <w:vAlign w:val="center"/>
          </w:tcPr>
          <w:p w14:paraId="3E674D6B" w14:textId="77777777" w:rsidR="00271218" w:rsidRPr="006752A3" w:rsidRDefault="00271218" w:rsidP="000878F6">
            <w:pPr>
              <w:pStyle w:val="Table"/>
              <w:jc w:val="center"/>
              <w:rPr>
                <w:szCs w:val="20"/>
              </w:rPr>
            </w:pPr>
            <w:r w:rsidRPr="006752A3">
              <w:rPr>
                <w:rFonts w:ascii="Calibri" w:hAnsi="Calibri" w:cs="Calibri"/>
                <w:color w:val="000000"/>
                <w:szCs w:val="20"/>
              </w:rPr>
              <w:t>9,9%</w:t>
            </w:r>
          </w:p>
        </w:tc>
        <w:tc>
          <w:tcPr>
            <w:tcW w:w="1275" w:type="dxa"/>
            <w:vAlign w:val="center"/>
          </w:tcPr>
          <w:p w14:paraId="1C11E66D" w14:textId="77777777" w:rsidR="00271218" w:rsidRPr="006752A3" w:rsidRDefault="00271218" w:rsidP="000878F6">
            <w:pPr>
              <w:pStyle w:val="Table"/>
              <w:jc w:val="center"/>
              <w:rPr>
                <w:szCs w:val="20"/>
              </w:rPr>
            </w:pPr>
            <w:r w:rsidRPr="006752A3">
              <w:rPr>
                <w:rFonts w:ascii="Calibri" w:hAnsi="Calibri" w:cs="Calibri"/>
                <w:color w:val="000000"/>
                <w:szCs w:val="20"/>
              </w:rPr>
              <w:t>9,4%</w:t>
            </w:r>
          </w:p>
        </w:tc>
      </w:tr>
      <w:tr w:rsidR="00271218" w:rsidRPr="006752A3" w14:paraId="4463E487" w14:textId="77777777" w:rsidTr="007E28A3">
        <w:tc>
          <w:tcPr>
            <w:tcW w:w="2160" w:type="dxa"/>
          </w:tcPr>
          <w:p w14:paraId="232E9324" w14:textId="77777777" w:rsidR="00271218" w:rsidRPr="006752A3" w:rsidRDefault="00271218" w:rsidP="000878F6">
            <w:pPr>
              <w:pStyle w:val="Table"/>
              <w:rPr>
                <w:szCs w:val="20"/>
              </w:rPr>
            </w:pPr>
            <w:r w:rsidRPr="006752A3">
              <w:rPr>
                <w:szCs w:val="20"/>
              </w:rPr>
              <w:t>Water Abstraction</w:t>
            </w:r>
          </w:p>
        </w:tc>
        <w:tc>
          <w:tcPr>
            <w:tcW w:w="1080" w:type="dxa"/>
            <w:vAlign w:val="center"/>
          </w:tcPr>
          <w:p w14:paraId="4CCF8326" w14:textId="77777777" w:rsidR="00271218" w:rsidRPr="006752A3" w:rsidRDefault="00271218" w:rsidP="000878F6">
            <w:pPr>
              <w:pStyle w:val="Table"/>
              <w:jc w:val="center"/>
              <w:rPr>
                <w:szCs w:val="20"/>
              </w:rPr>
            </w:pPr>
            <w:r w:rsidRPr="006752A3">
              <w:rPr>
                <w:rFonts w:ascii="Calibri" w:hAnsi="Calibri" w:cs="Calibri"/>
                <w:color w:val="000000"/>
                <w:szCs w:val="20"/>
              </w:rPr>
              <w:t>-2,19%</w:t>
            </w:r>
          </w:p>
        </w:tc>
        <w:tc>
          <w:tcPr>
            <w:tcW w:w="1080" w:type="dxa"/>
            <w:vAlign w:val="center"/>
          </w:tcPr>
          <w:p w14:paraId="4FE7360D" w14:textId="77777777" w:rsidR="00271218" w:rsidRPr="006752A3" w:rsidRDefault="00271218" w:rsidP="000878F6">
            <w:pPr>
              <w:pStyle w:val="Table"/>
              <w:jc w:val="center"/>
              <w:rPr>
                <w:szCs w:val="20"/>
              </w:rPr>
            </w:pPr>
            <w:r w:rsidRPr="006752A3">
              <w:rPr>
                <w:rFonts w:ascii="Calibri" w:hAnsi="Calibri" w:cs="Calibri"/>
                <w:color w:val="000000"/>
                <w:szCs w:val="20"/>
              </w:rPr>
              <w:t>-2,19%</w:t>
            </w:r>
          </w:p>
        </w:tc>
        <w:tc>
          <w:tcPr>
            <w:tcW w:w="990" w:type="dxa"/>
            <w:vAlign w:val="center"/>
          </w:tcPr>
          <w:p w14:paraId="7411641D" w14:textId="77777777" w:rsidR="00271218" w:rsidRPr="006752A3" w:rsidRDefault="00271218" w:rsidP="000878F6">
            <w:pPr>
              <w:pStyle w:val="Table"/>
              <w:jc w:val="center"/>
              <w:rPr>
                <w:szCs w:val="20"/>
              </w:rPr>
            </w:pPr>
            <w:r w:rsidRPr="006752A3">
              <w:rPr>
                <w:rFonts w:ascii="Calibri" w:hAnsi="Calibri" w:cs="Calibri"/>
                <w:color w:val="000000"/>
                <w:szCs w:val="20"/>
              </w:rPr>
              <w:t>30,52</w:t>
            </w:r>
          </w:p>
        </w:tc>
        <w:tc>
          <w:tcPr>
            <w:tcW w:w="1170" w:type="dxa"/>
            <w:vAlign w:val="center"/>
          </w:tcPr>
          <w:p w14:paraId="5A3AB31B" w14:textId="77777777" w:rsidR="00271218" w:rsidRPr="006752A3" w:rsidRDefault="00271218" w:rsidP="000878F6">
            <w:pPr>
              <w:pStyle w:val="Table"/>
              <w:jc w:val="center"/>
              <w:rPr>
                <w:szCs w:val="20"/>
              </w:rPr>
            </w:pPr>
            <w:r w:rsidRPr="006752A3">
              <w:rPr>
                <w:rFonts w:ascii="Calibri" w:hAnsi="Calibri" w:cs="Calibri"/>
                <w:color w:val="000000"/>
                <w:szCs w:val="20"/>
              </w:rPr>
              <w:t>28,99</w:t>
            </w:r>
          </w:p>
        </w:tc>
        <w:tc>
          <w:tcPr>
            <w:tcW w:w="1312" w:type="dxa"/>
            <w:vAlign w:val="center"/>
          </w:tcPr>
          <w:p w14:paraId="18F5F558" w14:textId="77777777" w:rsidR="00271218" w:rsidRPr="006752A3" w:rsidRDefault="00271218" w:rsidP="000878F6">
            <w:pPr>
              <w:pStyle w:val="Table"/>
              <w:jc w:val="center"/>
              <w:rPr>
                <w:szCs w:val="20"/>
              </w:rPr>
            </w:pPr>
            <w:r w:rsidRPr="006752A3">
              <w:rPr>
                <w:rFonts w:ascii="Calibri" w:hAnsi="Calibri" w:cs="Calibri"/>
                <w:color w:val="000000"/>
                <w:szCs w:val="20"/>
              </w:rPr>
              <w:t>2403,3%</w:t>
            </w:r>
          </w:p>
        </w:tc>
        <w:tc>
          <w:tcPr>
            <w:tcW w:w="1275" w:type="dxa"/>
            <w:vAlign w:val="center"/>
          </w:tcPr>
          <w:p w14:paraId="2ED1DEFA" w14:textId="77777777" w:rsidR="00271218" w:rsidRPr="006752A3" w:rsidRDefault="00271218" w:rsidP="000878F6">
            <w:pPr>
              <w:pStyle w:val="Table"/>
              <w:jc w:val="center"/>
              <w:rPr>
                <w:szCs w:val="20"/>
              </w:rPr>
            </w:pPr>
            <w:r w:rsidRPr="006752A3">
              <w:rPr>
                <w:rFonts w:ascii="Calibri" w:hAnsi="Calibri" w:cs="Calibri"/>
                <w:color w:val="000000"/>
                <w:szCs w:val="20"/>
              </w:rPr>
              <w:t>2282,4%</w:t>
            </w:r>
          </w:p>
        </w:tc>
      </w:tr>
      <w:tr w:rsidR="00271218" w:rsidRPr="006752A3" w14:paraId="78F741A2" w14:textId="77777777" w:rsidTr="007E28A3">
        <w:tc>
          <w:tcPr>
            <w:tcW w:w="2160" w:type="dxa"/>
          </w:tcPr>
          <w:p w14:paraId="4742E25D" w14:textId="77777777" w:rsidR="00271218" w:rsidRPr="006752A3" w:rsidRDefault="00271218" w:rsidP="000878F6">
            <w:pPr>
              <w:pStyle w:val="Table"/>
              <w:rPr>
                <w:szCs w:val="20"/>
              </w:rPr>
            </w:pPr>
            <w:r w:rsidRPr="006752A3">
              <w:rPr>
                <w:szCs w:val="20"/>
              </w:rPr>
              <w:t>Fertilizers</w:t>
            </w:r>
          </w:p>
        </w:tc>
        <w:tc>
          <w:tcPr>
            <w:tcW w:w="1080" w:type="dxa"/>
            <w:vAlign w:val="center"/>
          </w:tcPr>
          <w:p w14:paraId="6BF2E306" w14:textId="77777777" w:rsidR="00271218" w:rsidRPr="006752A3" w:rsidRDefault="00271218" w:rsidP="000878F6">
            <w:pPr>
              <w:pStyle w:val="Table"/>
              <w:jc w:val="center"/>
              <w:rPr>
                <w:szCs w:val="20"/>
              </w:rPr>
            </w:pPr>
            <w:r w:rsidRPr="006752A3">
              <w:rPr>
                <w:rFonts w:ascii="Calibri" w:hAnsi="Calibri" w:cs="Calibri"/>
                <w:color w:val="000000"/>
                <w:szCs w:val="20"/>
              </w:rPr>
              <w:t>-7,49%</w:t>
            </w:r>
          </w:p>
        </w:tc>
        <w:tc>
          <w:tcPr>
            <w:tcW w:w="1080" w:type="dxa"/>
            <w:vAlign w:val="center"/>
          </w:tcPr>
          <w:p w14:paraId="5FFC43D4" w14:textId="77777777" w:rsidR="00271218" w:rsidRPr="006752A3" w:rsidRDefault="00271218" w:rsidP="000878F6">
            <w:pPr>
              <w:pStyle w:val="Table"/>
              <w:jc w:val="center"/>
              <w:rPr>
                <w:szCs w:val="20"/>
              </w:rPr>
            </w:pPr>
            <w:r w:rsidRPr="006752A3">
              <w:rPr>
                <w:rFonts w:ascii="Calibri" w:hAnsi="Calibri" w:cs="Calibri"/>
                <w:color w:val="000000"/>
                <w:szCs w:val="20"/>
              </w:rPr>
              <w:t>-7,49%</w:t>
            </w:r>
          </w:p>
        </w:tc>
        <w:tc>
          <w:tcPr>
            <w:tcW w:w="990" w:type="dxa"/>
            <w:vAlign w:val="center"/>
          </w:tcPr>
          <w:p w14:paraId="6BC3165F" w14:textId="77777777" w:rsidR="00271218" w:rsidRPr="006752A3" w:rsidRDefault="00271218" w:rsidP="000878F6">
            <w:pPr>
              <w:pStyle w:val="Table"/>
              <w:jc w:val="center"/>
              <w:rPr>
                <w:szCs w:val="20"/>
              </w:rPr>
            </w:pPr>
            <w:r w:rsidRPr="006752A3">
              <w:rPr>
                <w:rFonts w:ascii="Calibri" w:hAnsi="Calibri" w:cs="Calibri"/>
                <w:color w:val="000000"/>
                <w:szCs w:val="20"/>
              </w:rPr>
              <w:t>7,53</w:t>
            </w:r>
          </w:p>
        </w:tc>
        <w:tc>
          <w:tcPr>
            <w:tcW w:w="1170" w:type="dxa"/>
            <w:vAlign w:val="center"/>
          </w:tcPr>
          <w:p w14:paraId="363E2C1B" w14:textId="77777777" w:rsidR="00271218" w:rsidRPr="006752A3" w:rsidRDefault="00271218" w:rsidP="000878F6">
            <w:pPr>
              <w:pStyle w:val="Table"/>
              <w:jc w:val="center"/>
              <w:rPr>
                <w:szCs w:val="20"/>
              </w:rPr>
            </w:pPr>
            <w:r w:rsidRPr="006752A3">
              <w:rPr>
                <w:rFonts w:ascii="Calibri" w:hAnsi="Calibri" w:cs="Calibri"/>
                <w:color w:val="000000"/>
                <w:szCs w:val="20"/>
              </w:rPr>
              <w:t>7,29</w:t>
            </w:r>
          </w:p>
        </w:tc>
        <w:tc>
          <w:tcPr>
            <w:tcW w:w="1312" w:type="dxa"/>
            <w:vAlign w:val="center"/>
          </w:tcPr>
          <w:p w14:paraId="0A2EC960" w14:textId="77777777" w:rsidR="00271218" w:rsidRPr="006752A3" w:rsidRDefault="00271218" w:rsidP="000878F6">
            <w:pPr>
              <w:pStyle w:val="Table"/>
              <w:jc w:val="center"/>
              <w:rPr>
                <w:szCs w:val="20"/>
              </w:rPr>
            </w:pPr>
            <w:r w:rsidRPr="006752A3">
              <w:rPr>
                <w:rFonts w:ascii="Calibri" w:hAnsi="Calibri" w:cs="Calibri"/>
                <w:color w:val="000000"/>
                <w:szCs w:val="20"/>
              </w:rPr>
              <w:t>90,9%</w:t>
            </w:r>
          </w:p>
        </w:tc>
        <w:tc>
          <w:tcPr>
            <w:tcW w:w="1275" w:type="dxa"/>
            <w:vAlign w:val="center"/>
          </w:tcPr>
          <w:p w14:paraId="3FF018E1" w14:textId="77777777" w:rsidR="00271218" w:rsidRPr="006752A3" w:rsidRDefault="00271218" w:rsidP="000878F6">
            <w:pPr>
              <w:pStyle w:val="Table"/>
              <w:jc w:val="center"/>
              <w:rPr>
                <w:szCs w:val="20"/>
              </w:rPr>
            </w:pPr>
            <w:r w:rsidRPr="006752A3">
              <w:rPr>
                <w:rFonts w:ascii="Calibri" w:hAnsi="Calibri" w:cs="Calibri"/>
                <w:color w:val="000000"/>
                <w:szCs w:val="20"/>
              </w:rPr>
              <w:t>88,1%</w:t>
            </w:r>
          </w:p>
        </w:tc>
      </w:tr>
      <w:tr w:rsidR="00271218" w:rsidRPr="006752A3" w14:paraId="03071002" w14:textId="77777777" w:rsidTr="007E28A3">
        <w:tc>
          <w:tcPr>
            <w:tcW w:w="2160" w:type="dxa"/>
          </w:tcPr>
          <w:p w14:paraId="409DD225" w14:textId="77777777" w:rsidR="00271218" w:rsidRPr="006752A3" w:rsidRDefault="00271218" w:rsidP="000878F6">
            <w:pPr>
              <w:pStyle w:val="Table"/>
              <w:rPr>
                <w:szCs w:val="20"/>
              </w:rPr>
            </w:pPr>
            <w:r w:rsidRPr="006752A3">
              <w:rPr>
                <w:szCs w:val="20"/>
              </w:rPr>
              <w:t>Pesticides</w:t>
            </w:r>
          </w:p>
        </w:tc>
        <w:tc>
          <w:tcPr>
            <w:tcW w:w="1080" w:type="dxa"/>
            <w:vAlign w:val="center"/>
          </w:tcPr>
          <w:p w14:paraId="0193BDAC" w14:textId="77777777" w:rsidR="00271218" w:rsidRPr="006752A3" w:rsidRDefault="00271218" w:rsidP="000878F6">
            <w:pPr>
              <w:pStyle w:val="Table"/>
              <w:jc w:val="center"/>
              <w:rPr>
                <w:szCs w:val="20"/>
              </w:rPr>
            </w:pPr>
            <w:r w:rsidRPr="006752A3">
              <w:rPr>
                <w:rFonts w:ascii="Calibri" w:hAnsi="Calibri" w:cs="Calibri"/>
                <w:color w:val="000000"/>
                <w:szCs w:val="20"/>
              </w:rPr>
              <w:t>n/a</w:t>
            </w:r>
          </w:p>
        </w:tc>
        <w:tc>
          <w:tcPr>
            <w:tcW w:w="1080" w:type="dxa"/>
            <w:vAlign w:val="center"/>
          </w:tcPr>
          <w:p w14:paraId="1BE01600" w14:textId="77777777" w:rsidR="00271218" w:rsidRPr="006752A3" w:rsidRDefault="00271218" w:rsidP="000878F6">
            <w:pPr>
              <w:pStyle w:val="Table"/>
              <w:jc w:val="center"/>
              <w:rPr>
                <w:szCs w:val="20"/>
              </w:rPr>
            </w:pPr>
            <w:r w:rsidRPr="006752A3">
              <w:rPr>
                <w:rFonts w:ascii="Calibri" w:hAnsi="Calibri" w:cs="Calibri"/>
                <w:color w:val="000000"/>
                <w:szCs w:val="20"/>
              </w:rPr>
              <w:t>n/a</w:t>
            </w:r>
          </w:p>
        </w:tc>
        <w:tc>
          <w:tcPr>
            <w:tcW w:w="990" w:type="dxa"/>
            <w:vAlign w:val="center"/>
          </w:tcPr>
          <w:p w14:paraId="7EB8BF69" w14:textId="77777777" w:rsidR="00271218" w:rsidRPr="006752A3" w:rsidRDefault="00271218" w:rsidP="000878F6">
            <w:pPr>
              <w:pStyle w:val="Table"/>
              <w:jc w:val="center"/>
              <w:rPr>
                <w:szCs w:val="20"/>
              </w:rPr>
            </w:pPr>
            <w:r w:rsidRPr="006752A3">
              <w:rPr>
                <w:rFonts w:ascii="Calibri" w:hAnsi="Calibri" w:cs="Calibri"/>
                <w:color w:val="000000"/>
                <w:szCs w:val="20"/>
              </w:rPr>
              <w:t>13,01</w:t>
            </w:r>
          </w:p>
        </w:tc>
        <w:tc>
          <w:tcPr>
            <w:tcW w:w="1170" w:type="dxa"/>
            <w:vAlign w:val="center"/>
          </w:tcPr>
          <w:p w14:paraId="10941A71" w14:textId="77777777" w:rsidR="00271218" w:rsidRPr="006752A3" w:rsidRDefault="00271218" w:rsidP="000878F6">
            <w:pPr>
              <w:pStyle w:val="Table"/>
              <w:jc w:val="center"/>
              <w:rPr>
                <w:szCs w:val="20"/>
              </w:rPr>
            </w:pPr>
            <w:r w:rsidRPr="006752A3">
              <w:rPr>
                <w:rFonts w:ascii="Calibri" w:hAnsi="Calibri" w:cs="Calibri"/>
                <w:color w:val="000000"/>
                <w:szCs w:val="20"/>
              </w:rPr>
              <w:t>12,98</w:t>
            </w:r>
          </w:p>
        </w:tc>
        <w:tc>
          <w:tcPr>
            <w:tcW w:w="1312" w:type="dxa"/>
            <w:vAlign w:val="center"/>
          </w:tcPr>
          <w:p w14:paraId="1CC72384" w14:textId="77777777" w:rsidR="00271218" w:rsidRPr="006752A3" w:rsidRDefault="00271218" w:rsidP="000878F6">
            <w:pPr>
              <w:pStyle w:val="Table"/>
              <w:jc w:val="center"/>
              <w:rPr>
                <w:szCs w:val="20"/>
              </w:rPr>
            </w:pPr>
            <w:r w:rsidRPr="006752A3">
              <w:rPr>
                <w:rFonts w:ascii="Calibri" w:hAnsi="Calibri" w:cs="Calibri"/>
                <w:color w:val="000000"/>
                <w:szCs w:val="20"/>
              </w:rPr>
              <w:t>157,2%</w:t>
            </w:r>
          </w:p>
        </w:tc>
        <w:tc>
          <w:tcPr>
            <w:tcW w:w="1275" w:type="dxa"/>
            <w:vAlign w:val="center"/>
          </w:tcPr>
          <w:p w14:paraId="1EAA36DA" w14:textId="77777777" w:rsidR="00271218" w:rsidRPr="006752A3" w:rsidRDefault="00271218" w:rsidP="000878F6">
            <w:pPr>
              <w:pStyle w:val="Table"/>
              <w:jc w:val="center"/>
              <w:rPr>
                <w:szCs w:val="20"/>
              </w:rPr>
            </w:pPr>
            <w:r w:rsidRPr="006752A3">
              <w:rPr>
                <w:rFonts w:ascii="Calibri" w:hAnsi="Calibri" w:cs="Calibri"/>
                <w:color w:val="000000"/>
                <w:szCs w:val="20"/>
              </w:rPr>
              <w:t>156,7%</w:t>
            </w:r>
          </w:p>
        </w:tc>
      </w:tr>
      <w:tr w:rsidR="00271218" w:rsidRPr="006752A3" w14:paraId="46AEA0CA" w14:textId="77777777" w:rsidTr="007E28A3">
        <w:tc>
          <w:tcPr>
            <w:tcW w:w="2160" w:type="dxa"/>
          </w:tcPr>
          <w:p w14:paraId="40FDC2CA" w14:textId="77777777" w:rsidR="00271218" w:rsidRPr="006752A3" w:rsidRDefault="00271218" w:rsidP="000878F6">
            <w:pPr>
              <w:pStyle w:val="Table"/>
              <w:rPr>
                <w:szCs w:val="20"/>
              </w:rPr>
            </w:pPr>
            <w:r w:rsidRPr="006752A3">
              <w:rPr>
                <w:szCs w:val="20"/>
              </w:rPr>
              <w:t>Waste Incineration</w:t>
            </w:r>
          </w:p>
        </w:tc>
        <w:tc>
          <w:tcPr>
            <w:tcW w:w="1080" w:type="dxa"/>
            <w:vAlign w:val="center"/>
          </w:tcPr>
          <w:p w14:paraId="6226A3B6" w14:textId="77777777" w:rsidR="00271218" w:rsidRPr="006752A3" w:rsidRDefault="00271218" w:rsidP="000878F6">
            <w:pPr>
              <w:pStyle w:val="Table"/>
              <w:jc w:val="center"/>
              <w:rPr>
                <w:szCs w:val="20"/>
              </w:rPr>
            </w:pPr>
            <w:r w:rsidRPr="006752A3">
              <w:rPr>
                <w:rFonts w:ascii="Calibri" w:hAnsi="Calibri" w:cs="Calibri"/>
                <w:color w:val="000000"/>
                <w:szCs w:val="20"/>
              </w:rPr>
              <w:t>-8,31%</w:t>
            </w:r>
          </w:p>
        </w:tc>
        <w:tc>
          <w:tcPr>
            <w:tcW w:w="1080" w:type="dxa"/>
            <w:vAlign w:val="center"/>
          </w:tcPr>
          <w:p w14:paraId="7F637646" w14:textId="77777777" w:rsidR="00271218" w:rsidRPr="006752A3" w:rsidRDefault="00271218" w:rsidP="000878F6">
            <w:pPr>
              <w:pStyle w:val="Table"/>
              <w:jc w:val="center"/>
              <w:rPr>
                <w:szCs w:val="20"/>
              </w:rPr>
            </w:pPr>
            <w:r w:rsidRPr="006752A3">
              <w:rPr>
                <w:rFonts w:ascii="Calibri" w:hAnsi="Calibri" w:cs="Calibri"/>
                <w:color w:val="000000"/>
                <w:szCs w:val="20"/>
              </w:rPr>
              <w:t>-8,31%</w:t>
            </w:r>
          </w:p>
        </w:tc>
        <w:tc>
          <w:tcPr>
            <w:tcW w:w="990" w:type="dxa"/>
            <w:vAlign w:val="center"/>
          </w:tcPr>
          <w:p w14:paraId="25BD509F" w14:textId="77777777" w:rsidR="00271218" w:rsidRPr="006752A3" w:rsidRDefault="00271218" w:rsidP="000878F6">
            <w:pPr>
              <w:pStyle w:val="Table"/>
              <w:jc w:val="center"/>
              <w:rPr>
                <w:szCs w:val="20"/>
              </w:rPr>
            </w:pPr>
            <w:r w:rsidRPr="006752A3">
              <w:rPr>
                <w:rFonts w:ascii="Calibri" w:hAnsi="Calibri" w:cs="Calibri"/>
                <w:color w:val="000000"/>
                <w:szCs w:val="20"/>
              </w:rPr>
              <w:t>0,03</w:t>
            </w:r>
          </w:p>
        </w:tc>
        <w:tc>
          <w:tcPr>
            <w:tcW w:w="1170" w:type="dxa"/>
            <w:vAlign w:val="center"/>
          </w:tcPr>
          <w:p w14:paraId="6ACA9A88" w14:textId="77777777" w:rsidR="00271218" w:rsidRPr="006752A3" w:rsidRDefault="00271218" w:rsidP="000878F6">
            <w:pPr>
              <w:pStyle w:val="Table"/>
              <w:jc w:val="center"/>
              <w:rPr>
                <w:szCs w:val="20"/>
              </w:rPr>
            </w:pPr>
            <w:r w:rsidRPr="006752A3">
              <w:rPr>
                <w:rFonts w:ascii="Calibri" w:hAnsi="Calibri" w:cs="Calibri"/>
                <w:color w:val="000000"/>
                <w:szCs w:val="20"/>
              </w:rPr>
              <w:t>0,02</w:t>
            </w:r>
          </w:p>
        </w:tc>
        <w:tc>
          <w:tcPr>
            <w:tcW w:w="1312" w:type="dxa"/>
            <w:vAlign w:val="center"/>
          </w:tcPr>
          <w:p w14:paraId="79974B23" w14:textId="77777777" w:rsidR="00271218" w:rsidRPr="006752A3" w:rsidRDefault="00271218" w:rsidP="000878F6">
            <w:pPr>
              <w:pStyle w:val="Table"/>
              <w:jc w:val="center"/>
              <w:rPr>
                <w:szCs w:val="20"/>
              </w:rPr>
            </w:pPr>
            <w:r w:rsidRPr="006752A3">
              <w:rPr>
                <w:rFonts w:ascii="Calibri" w:hAnsi="Calibri" w:cs="Calibri"/>
                <w:color w:val="000000"/>
                <w:szCs w:val="20"/>
              </w:rPr>
              <w:t>0,4%</w:t>
            </w:r>
          </w:p>
        </w:tc>
        <w:tc>
          <w:tcPr>
            <w:tcW w:w="1275" w:type="dxa"/>
            <w:vAlign w:val="center"/>
          </w:tcPr>
          <w:p w14:paraId="3C2A87F5" w14:textId="77777777" w:rsidR="00271218" w:rsidRPr="006752A3" w:rsidRDefault="00271218" w:rsidP="000878F6">
            <w:pPr>
              <w:pStyle w:val="Table"/>
              <w:jc w:val="center"/>
              <w:rPr>
                <w:szCs w:val="20"/>
              </w:rPr>
            </w:pPr>
            <w:r w:rsidRPr="006752A3">
              <w:rPr>
                <w:rFonts w:ascii="Calibri" w:hAnsi="Calibri" w:cs="Calibri"/>
                <w:color w:val="000000"/>
                <w:szCs w:val="20"/>
              </w:rPr>
              <w:t>0,3%</w:t>
            </w:r>
          </w:p>
        </w:tc>
      </w:tr>
      <w:tr w:rsidR="00271218" w:rsidRPr="006752A3" w14:paraId="536725CB" w14:textId="77777777" w:rsidTr="007E28A3">
        <w:tc>
          <w:tcPr>
            <w:tcW w:w="2160" w:type="dxa"/>
          </w:tcPr>
          <w:p w14:paraId="345B369B" w14:textId="77777777" w:rsidR="00271218" w:rsidRPr="006752A3" w:rsidRDefault="00271218" w:rsidP="000878F6">
            <w:pPr>
              <w:pStyle w:val="Table"/>
              <w:rPr>
                <w:szCs w:val="20"/>
              </w:rPr>
            </w:pPr>
            <w:r w:rsidRPr="006752A3">
              <w:rPr>
                <w:szCs w:val="20"/>
              </w:rPr>
              <w:t>Waste to Landfill</w:t>
            </w:r>
          </w:p>
        </w:tc>
        <w:tc>
          <w:tcPr>
            <w:tcW w:w="1080" w:type="dxa"/>
            <w:vAlign w:val="center"/>
          </w:tcPr>
          <w:p w14:paraId="2A4AAE41" w14:textId="77777777" w:rsidR="00271218" w:rsidRPr="006752A3" w:rsidRDefault="00271218" w:rsidP="000878F6">
            <w:pPr>
              <w:pStyle w:val="Table"/>
              <w:jc w:val="center"/>
              <w:rPr>
                <w:szCs w:val="20"/>
              </w:rPr>
            </w:pPr>
            <w:r w:rsidRPr="006752A3">
              <w:rPr>
                <w:rFonts w:ascii="Calibri" w:hAnsi="Calibri" w:cs="Calibri"/>
                <w:color w:val="000000"/>
                <w:szCs w:val="20"/>
              </w:rPr>
              <w:t>0,00%</w:t>
            </w:r>
          </w:p>
        </w:tc>
        <w:tc>
          <w:tcPr>
            <w:tcW w:w="1080" w:type="dxa"/>
            <w:vAlign w:val="center"/>
          </w:tcPr>
          <w:p w14:paraId="0E0BB434" w14:textId="77777777" w:rsidR="00271218" w:rsidRPr="006752A3" w:rsidRDefault="00271218" w:rsidP="000878F6">
            <w:pPr>
              <w:pStyle w:val="Table"/>
              <w:jc w:val="center"/>
              <w:rPr>
                <w:szCs w:val="20"/>
              </w:rPr>
            </w:pPr>
            <w:r w:rsidRPr="006752A3">
              <w:rPr>
                <w:rFonts w:ascii="Calibri" w:hAnsi="Calibri" w:cs="Calibri"/>
                <w:color w:val="000000"/>
                <w:szCs w:val="20"/>
              </w:rPr>
              <w:t>0,00%</w:t>
            </w:r>
          </w:p>
        </w:tc>
        <w:tc>
          <w:tcPr>
            <w:tcW w:w="990" w:type="dxa"/>
            <w:vAlign w:val="center"/>
          </w:tcPr>
          <w:p w14:paraId="720CF864" w14:textId="77777777" w:rsidR="00271218" w:rsidRPr="006752A3" w:rsidRDefault="00271218" w:rsidP="000878F6">
            <w:pPr>
              <w:pStyle w:val="Table"/>
              <w:jc w:val="center"/>
              <w:rPr>
                <w:szCs w:val="20"/>
              </w:rPr>
            </w:pPr>
            <w:r w:rsidRPr="006752A3">
              <w:rPr>
                <w:rFonts w:ascii="Calibri" w:hAnsi="Calibri" w:cs="Calibri"/>
                <w:color w:val="000000"/>
                <w:szCs w:val="20"/>
              </w:rPr>
              <w:t>0,00</w:t>
            </w:r>
          </w:p>
        </w:tc>
        <w:tc>
          <w:tcPr>
            <w:tcW w:w="1170" w:type="dxa"/>
            <w:vAlign w:val="center"/>
          </w:tcPr>
          <w:p w14:paraId="76A21BCC" w14:textId="77777777" w:rsidR="00271218" w:rsidRPr="006752A3" w:rsidRDefault="00271218" w:rsidP="000878F6">
            <w:pPr>
              <w:pStyle w:val="Table"/>
              <w:jc w:val="center"/>
              <w:rPr>
                <w:szCs w:val="20"/>
              </w:rPr>
            </w:pPr>
            <w:r w:rsidRPr="006752A3">
              <w:rPr>
                <w:rFonts w:ascii="Calibri" w:hAnsi="Calibri" w:cs="Calibri"/>
                <w:color w:val="000000"/>
                <w:szCs w:val="20"/>
              </w:rPr>
              <w:t>0,00</w:t>
            </w:r>
          </w:p>
        </w:tc>
        <w:tc>
          <w:tcPr>
            <w:tcW w:w="1312" w:type="dxa"/>
            <w:vAlign w:val="center"/>
          </w:tcPr>
          <w:p w14:paraId="44114A89" w14:textId="77777777" w:rsidR="00271218" w:rsidRPr="006752A3" w:rsidRDefault="00271218" w:rsidP="000878F6">
            <w:pPr>
              <w:pStyle w:val="Table"/>
              <w:jc w:val="center"/>
              <w:rPr>
                <w:szCs w:val="20"/>
              </w:rPr>
            </w:pPr>
            <w:r w:rsidRPr="006752A3">
              <w:rPr>
                <w:rFonts w:ascii="Calibri" w:hAnsi="Calibri" w:cs="Calibri"/>
                <w:color w:val="000000"/>
                <w:szCs w:val="20"/>
              </w:rPr>
              <w:t>0,0%</w:t>
            </w:r>
          </w:p>
        </w:tc>
        <w:tc>
          <w:tcPr>
            <w:tcW w:w="1275" w:type="dxa"/>
            <w:vAlign w:val="center"/>
          </w:tcPr>
          <w:p w14:paraId="6665331F" w14:textId="77777777" w:rsidR="00271218" w:rsidRPr="006752A3" w:rsidRDefault="00271218" w:rsidP="000878F6">
            <w:pPr>
              <w:pStyle w:val="Table"/>
              <w:jc w:val="center"/>
              <w:rPr>
                <w:szCs w:val="20"/>
              </w:rPr>
            </w:pPr>
            <w:r w:rsidRPr="006752A3">
              <w:rPr>
                <w:rFonts w:ascii="Calibri" w:hAnsi="Calibri" w:cs="Calibri"/>
                <w:color w:val="000000"/>
                <w:szCs w:val="20"/>
              </w:rPr>
              <w:t>0,0%</w:t>
            </w:r>
          </w:p>
        </w:tc>
      </w:tr>
      <w:tr w:rsidR="00271218" w:rsidRPr="006752A3" w14:paraId="55853F42" w14:textId="77777777" w:rsidTr="007E28A3">
        <w:tc>
          <w:tcPr>
            <w:tcW w:w="2160" w:type="dxa"/>
          </w:tcPr>
          <w:p w14:paraId="3721CE6A" w14:textId="77777777" w:rsidR="00271218" w:rsidRPr="006752A3" w:rsidRDefault="00271218" w:rsidP="000878F6">
            <w:pPr>
              <w:pStyle w:val="Table"/>
              <w:rPr>
                <w:szCs w:val="20"/>
              </w:rPr>
            </w:pPr>
            <w:r w:rsidRPr="006752A3">
              <w:rPr>
                <w:szCs w:val="20"/>
              </w:rPr>
              <w:t>Water Effluent</w:t>
            </w:r>
          </w:p>
        </w:tc>
        <w:tc>
          <w:tcPr>
            <w:tcW w:w="1080" w:type="dxa"/>
            <w:vAlign w:val="center"/>
          </w:tcPr>
          <w:p w14:paraId="26F8810A" w14:textId="77777777" w:rsidR="00271218" w:rsidRPr="006752A3" w:rsidRDefault="00271218" w:rsidP="000878F6">
            <w:pPr>
              <w:pStyle w:val="Table"/>
              <w:jc w:val="center"/>
              <w:rPr>
                <w:szCs w:val="20"/>
              </w:rPr>
            </w:pPr>
            <w:r w:rsidRPr="006752A3">
              <w:rPr>
                <w:rFonts w:ascii="Calibri" w:hAnsi="Calibri" w:cs="Calibri"/>
                <w:color w:val="000000"/>
                <w:szCs w:val="20"/>
              </w:rPr>
              <w:t>-5,67%</w:t>
            </w:r>
          </w:p>
        </w:tc>
        <w:tc>
          <w:tcPr>
            <w:tcW w:w="1080" w:type="dxa"/>
            <w:vAlign w:val="center"/>
          </w:tcPr>
          <w:p w14:paraId="267B2FE1" w14:textId="77777777" w:rsidR="00271218" w:rsidRPr="006752A3" w:rsidRDefault="00271218" w:rsidP="000878F6">
            <w:pPr>
              <w:pStyle w:val="Table"/>
              <w:jc w:val="center"/>
              <w:rPr>
                <w:szCs w:val="20"/>
              </w:rPr>
            </w:pPr>
            <w:r w:rsidRPr="006752A3">
              <w:rPr>
                <w:rFonts w:ascii="Calibri" w:hAnsi="Calibri" w:cs="Calibri"/>
                <w:color w:val="000000"/>
                <w:szCs w:val="20"/>
              </w:rPr>
              <w:t>-5,67%</w:t>
            </w:r>
          </w:p>
        </w:tc>
        <w:tc>
          <w:tcPr>
            <w:tcW w:w="990" w:type="dxa"/>
            <w:vAlign w:val="center"/>
          </w:tcPr>
          <w:p w14:paraId="5EE89D02" w14:textId="77777777" w:rsidR="00271218" w:rsidRPr="006752A3" w:rsidRDefault="00271218" w:rsidP="000878F6">
            <w:pPr>
              <w:pStyle w:val="Table"/>
              <w:jc w:val="center"/>
              <w:rPr>
                <w:szCs w:val="20"/>
              </w:rPr>
            </w:pPr>
            <w:r w:rsidRPr="006752A3">
              <w:rPr>
                <w:rFonts w:ascii="Calibri" w:hAnsi="Calibri" w:cs="Calibri"/>
                <w:color w:val="000000"/>
                <w:szCs w:val="20"/>
              </w:rPr>
              <w:t>292,18</w:t>
            </w:r>
          </w:p>
        </w:tc>
        <w:tc>
          <w:tcPr>
            <w:tcW w:w="1170" w:type="dxa"/>
            <w:vAlign w:val="center"/>
          </w:tcPr>
          <w:p w14:paraId="1CDC4080" w14:textId="77777777" w:rsidR="00271218" w:rsidRPr="006752A3" w:rsidRDefault="00271218" w:rsidP="000878F6">
            <w:pPr>
              <w:pStyle w:val="Table"/>
              <w:jc w:val="center"/>
              <w:rPr>
                <w:szCs w:val="20"/>
              </w:rPr>
            </w:pPr>
            <w:r w:rsidRPr="006752A3">
              <w:rPr>
                <w:rFonts w:ascii="Calibri" w:hAnsi="Calibri" w:cs="Calibri"/>
                <w:color w:val="000000"/>
                <w:szCs w:val="20"/>
              </w:rPr>
              <w:t>300,94</w:t>
            </w:r>
          </w:p>
        </w:tc>
        <w:tc>
          <w:tcPr>
            <w:tcW w:w="1312" w:type="dxa"/>
            <w:vAlign w:val="center"/>
          </w:tcPr>
          <w:p w14:paraId="48A3421F" w14:textId="77777777" w:rsidR="00271218" w:rsidRPr="006752A3" w:rsidRDefault="00271218" w:rsidP="000878F6">
            <w:pPr>
              <w:pStyle w:val="Table"/>
              <w:jc w:val="center"/>
              <w:rPr>
                <w:szCs w:val="20"/>
              </w:rPr>
            </w:pPr>
            <w:r w:rsidRPr="006752A3">
              <w:rPr>
                <w:rFonts w:ascii="Calibri" w:hAnsi="Calibri" w:cs="Calibri"/>
                <w:color w:val="000000"/>
                <w:szCs w:val="20"/>
              </w:rPr>
              <w:t>3528,8%</w:t>
            </w:r>
          </w:p>
        </w:tc>
        <w:tc>
          <w:tcPr>
            <w:tcW w:w="1275" w:type="dxa"/>
            <w:vAlign w:val="center"/>
          </w:tcPr>
          <w:p w14:paraId="3A2C6E03" w14:textId="77777777" w:rsidR="00271218" w:rsidRPr="006752A3" w:rsidRDefault="00271218" w:rsidP="000878F6">
            <w:pPr>
              <w:pStyle w:val="Table"/>
              <w:jc w:val="center"/>
              <w:rPr>
                <w:szCs w:val="20"/>
              </w:rPr>
            </w:pPr>
            <w:r w:rsidRPr="006752A3">
              <w:rPr>
                <w:rFonts w:ascii="Calibri" w:hAnsi="Calibri" w:cs="Calibri"/>
                <w:color w:val="000000"/>
                <w:szCs w:val="20"/>
              </w:rPr>
              <w:t>3634,6%</w:t>
            </w:r>
          </w:p>
        </w:tc>
      </w:tr>
      <w:tr w:rsidR="00271218" w:rsidRPr="006752A3" w14:paraId="0291F9C7" w14:textId="77777777" w:rsidTr="007E28A3">
        <w:tc>
          <w:tcPr>
            <w:tcW w:w="2160" w:type="dxa"/>
          </w:tcPr>
          <w:p w14:paraId="73D89C78" w14:textId="77777777" w:rsidR="00271218" w:rsidRPr="006752A3" w:rsidRDefault="00271218" w:rsidP="000878F6">
            <w:pPr>
              <w:pStyle w:val="Table"/>
              <w:rPr>
                <w:szCs w:val="20"/>
              </w:rPr>
            </w:pPr>
            <w:r w:rsidRPr="006752A3">
              <w:rPr>
                <w:szCs w:val="20"/>
              </w:rPr>
              <w:t>Minerals &amp; Aggregates</w:t>
            </w:r>
          </w:p>
        </w:tc>
        <w:tc>
          <w:tcPr>
            <w:tcW w:w="1080" w:type="dxa"/>
            <w:vAlign w:val="center"/>
          </w:tcPr>
          <w:p w14:paraId="57F78B19" w14:textId="77777777" w:rsidR="00271218" w:rsidRPr="006752A3" w:rsidRDefault="00271218" w:rsidP="000878F6">
            <w:pPr>
              <w:pStyle w:val="Table"/>
              <w:jc w:val="center"/>
              <w:rPr>
                <w:szCs w:val="20"/>
              </w:rPr>
            </w:pPr>
            <w:r w:rsidRPr="006752A3">
              <w:rPr>
                <w:rFonts w:ascii="Calibri" w:hAnsi="Calibri" w:cs="Calibri"/>
                <w:color w:val="000000"/>
                <w:szCs w:val="20"/>
              </w:rPr>
              <w:t>-5,02%</w:t>
            </w:r>
          </w:p>
        </w:tc>
        <w:tc>
          <w:tcPr>
            <w:tcW w:w="1080" w:type="dxa"/>
            <w:vAlign w:val="center"/>
          </w:tcPr>
          <w:p w14:paraId="4EA02050" w14:textId="77777777" w:rsidR="00271218" w:rsidRPr="006752A3" w:rsidRDefault="00271218" w:rsidP="000878F6">
            <w:pPr>
              <w:pStyle w:val="Table"/>
              <w:jc w:val="center"/>
              <w:rPr>
                <w:szCs w:val="20"/>
              </w:rPr>
            </w:pPr>
            <w:r w:rsidRPr="006752A3">
              <w:rPr>
                <w:rFonts w:ascii="Calibri" w:hAnsi="Calibri" w:cs="Calibri"/>
                <w:color w:val="000000"/>
                <w:szCs w:val="20"/>
              </w:rPr>
              <w:t>-5,02%</w:t>
            </w:r>
          </w:p>
        </w:tc>
        <w:tc>
          <w:tcPr>
            <w:tcW w:w="990" w:type="dxa"/>
            <w:vAlign w:val="center"/>
          </w:tcPr>
          <w:p w14:paraId="70047BEB" w14:textId="77777777" w:rsidR="00271218" w:rsidRPr="006752A3" w:rsidRDefault="00271218" w:rsidP="000878F6">
            <w:pPr>
              <w:pStyle w:val="Table"/>
              <w:jc w:val="center"/>
              <w:rPr>
                <w:szCs w:val="20"/>
              </w:rPr>
            </w:pPr>
            <w:r w:rsidRPr="006752A3">
              <w:rPr>
                <w:rFonts w:ascii="Calibri" w:hAnsi="Calibri" w:cs="Calibri"/>
                <w:color w:val="000000"/>
                <w:szCs w:val="20"/>
              </w:rPr>
              <w:t>43,04</w:t>
            </w:r>
          </w:p>
        </w:tc>
        <w:tc>
          <w:tcPr>
            <w:tcW w:w="1170" w:type="dxa"/>
            <w:vAlign w:val="center"/>
          </w:tcPr>
          <w:p w14:paraId="7712E4EC" w14:textId="77777777" w:rsidR="00271218" w:rsidRPr="006752A3" w:rsidRDefault="00271218" w:rsidP="000878F6">
            <w:pPr>
              <w:pStyle w:val="Table"/>
              <w:jc w:val="center"/>
              <w:rPr>
                <w:szCs w:val="20"/>
              </w:rPr>
            </w:pPr>
            <w:r w:rsidRPr="006752A3">
              <w:rPr>
                <w:rFonts w:ascii="Calibri" w:hAnsi="Calibri" w:cs="Calibri"/>
                <w:color w:val="000000"/>
                <w:szCs w:val="20"/>
              </w:rPr>
              <w:t>42,01</w:t>
            </w:r>
          </w:p>
        </w:tc>
        <w:tc>
          <w:tcPr>
            <w:tcW w:w="1312" w:type="dxa"/>
            <w:vAlign w:val="center"/>
          </w:tcPr>
          <w:p w14:paraId="2AE529FF" w14:textId="77777777" w:rsidR="00271218" w:rsidRPr="006752A3" w:rsidRDefault="00271218" w:rsidP="000878F6">
            <w:pPr>
              <w:pStyle w:val="Table"/>
              <w:jc w:val="center"/>
              <w:rPr>
                <w:szCs w:val="20"/>
              </w:rPr>
            </w:pPr>
            <w:r w:rsidRPr="006752A3">
              <w:rPr>
                <w:rFonts w:ascii="Calibri" w:hAnsi="Calibri" w:cs="Calibri"/>
                <w:color w:val="000000"/>
                <w:szCs w:val="20"/>
              </w:rPr>
              <w:t>3388,7%</w:t>
            </w:r>
          </w:p>
        </w:tc>
        <w:tc>
          <w:tcPr>
            <w:tcW w:w="1275" w:type="dxa"/>
            <w:vAlign w:val="center"/>
          </w:tcPr>
          <w:p w14:paraId="3488E3A5" w14:textId="77777777" w:rsidR="00271218" w:rsidRPr="006752A3" w:rsidRDefault="00271218" w:rsidP="000878F6">
            <w:pPr>
              <w:pStyle w:val="Table"/>
              <w:jc w:val="center"/>
              <w:rPr>
                <w:szCs w:val="20"/>
              </w:rPr>
            </w:pPr>
            <w:r w:rsidRPr="006752A3">
              <w:rPr>
                <w:rFonts w:ascii="Calibri" w:hAnsi="Calibri" w:cs="Calibri"/>
                <w:color w:val="000000"/>
                <w:szCs w:val="20"/>
              </w:rPr>
              <w:t>3308,3%</w:t>
            </w:r>
          </w:p>
        </w:tc>
      </w:tr>
    </w:tbl>
    <w:p w14:paraId="2AC7AED0" w14:textId="77777777" w:rsidR="00271218" w:rsidRPr="00271218" w:rsidRDefault="00271218" w:rsidP="00271218"/>
    <w:p w14:paraId="52476771" w14:textId="0547A7BE" w:rsidR="00271218" w:rsidRPr="00271218" w:rsidRDefault="00271218" w:rsidP="00271218">
      <w:r w:rsidRPr="00271218">
        <w:t xml:space="preserve">From an administrative perspective, Ireland is well positioned to expand its environmental taxation framework. Strong monitoring, billing and reporting systems already exist in sectors such as water, waste and agriculture. However, some </w:t>
      </w:r>
      <w:r w:rsidRPr="00271218">
        <w:rPr>
          <w:b/>
          <w:bCs/>
        </w:rPr>
        <w:t>implementation challenges</w:t>
      </w:r>
      <w:r w:rsidRPr="00271218">
        <w:t xml:space="preserve"> remain, particularly in the area of water management, where the political sensitivity of household charges has limited reform progress. The water abstraction tax </w:t>
      </w:r>
      <w:r w:rsidR="00185A09">
        <w:t>investigated</w:t>
      </w:r>
      <w:r w:rsidRPr="00271218">
        <w:t xml:space="preserve"> in the modelling could face resistance from both the agricultural and industrial sectors, given ongoing concerns about costs and competitiveness. Similarly, higher landfill and wastewater taxes could place pressure on municipalities unless accompanied by investment in infrastructure for recycling, waste treatment and water management.</w:t>
      </w:r>
    </w:p>
    <w:p w14:paraId="0A97C5D5" w14:textId="0C39ECDD" w:rsidR="00271218" w:rsidRPr="00271218" w:rsidRDefault="00271218" w:rsidP="00271218">
      <w:r w:rsidRPr="00271218">
        <w:t xml:space="preserve">The </w:t>
      </w:r>
      <w:r w:rsidRPr="00271218">
        <w:rPr>
          <w:b/>
          <w:bCs/>
        </w:rPr>
        <w:t>distributional and social impacts</w:t>
      </w:r>
      <w:r w:rsidRPr="00271218">
        <w:t xml:space="preserve"> of new or higher environmental taxes would need to be carefully managed. Ireland’s experience with the carbon tax demonstrates that public support depends on visible revenue recycling and fairness. The introduction of household water charges in the past provoked strong opposition, underscoring the importance of clear communication, transparency, and compensatory measures for lower-income households. To maintain public acceptability, a portion of </w:t>
      </w:r>
      <w:r w:rsidRPr="00271218">
        <w:lastRenderedPageBreak/>
        <w:t>revenues from new taxes could be allocated to fund energy and water efficiency improvements, lower social insurance contributions for low earners, or provide lump-sum rebates for vulnerable groups.</w:t>
      </w:r>
    </w:p>
    <w:p w14:paraId="71FEBB67" w14:textId="254087B2" w:rsidR="00271218" w:rsidRPr="00271218" w:rsidRDefault="00271218" w:rsidP="00271218">
      <w:r w:rsidRPr="00271218">
        <w:t xml:space="preserve">In terms of </w:t>
      </w:r>
      <w:r w:rsidRPr="00271218">
        <w:rPr>
          <w:b/>
          <w:bCs/>
        </w:rPr>
        <w:t>competitiveness</w:t>
      </w:r>
      <w:r w:rsidRPr="00271218">
        <w:t>, most sectors are resilient to moderate increases in environmental taxation, provided measures are phased and revenues are reinvested strategically. The construction and aggregates sector may be more sensitive to the introduction of a mineral extraction tax, while agriculture could face higher costs from fertiliser or pesticide instruments. These effects can be mitigated through phased implementation, investment support for efficiency and circular economy innovation, and public procurement policies that create demand for recycled materials and low-impact products.</w:t>
      </w:r>
    </w:p>
    <w:p w14:paraId="54684332" w14:textId="77777777" w:rsidR="00271218" w:rsidRPr="00271218" w:rsidRDefault="00271218" w:rsidP="00271218">
      <w:r w:rsidRPr="00271218">
        <w:t xml:space="preserve">Based on the modelling results and the national policy context, the following </w:t>
      </w:r>
      <w:r w:rsidRPr="00271218">
        <w:rPr>
          <w:b/>
          <w:bCs/>
        </w:rPr>
        <w:t>priority taxes</w:t>
      </w:r>
      <w:r w:rsidRPr="00271218">
        <w:t xml:space="preserve"> could be considered for introduction or strengthening:</w:t>
      </w:r>
    </w:p>
    <w:p w14:paraId="3EE6BAD8" w14:textId="77777777" w:rsidR="00271218" w:rsidRPr="00271218" w:rsidRDefault="00271218" w:rsidP="00271218">
      <w:pPr>
        <w:pStyle w:val="Bulletlist"/>
      </w:pPr>
      <w:r w:rsidRPr="00271218">
        <w:t xml:space="preserve">A </w:t>
      </w:r>
      <w:r w:rsidRPr="00271218">
        <w:rPr>
          <w:b/>
          <w:bCs/>
        </w:rPr>
        <w:t>wastewater effluent tax</w:t>
      </w:r>
      <w:r w:rsidRPr="00271218">
        <w:t>, aligned with pollutant loads (e.g. BOD₅, nitrogen and phosphorus), to encourage water quality improvements and investment in advanced treatment;</w:t>
      </w:r>
    </w:p>
    <w:p w14:paraId="349AB69A" w14:textId="77777777" w:rsidR="00271218" w:rsidRPr="00271218" w:rsidRDefault="00271218" w:rsidP="00271218">
      <w:pPr>
        <w:pStyle w:val="Bulletlist"/>
      </w:pPr>
      <w:r w:rsidRPr="00271218">
        <w:t xml:space="preserve">A </w:t>
      </w:r>
      <w:r w:rsidRPr="00271218">
        <w:rPr>
          <w:b/>
          <w:bCs/>
        </w:rPr>
        <w:t>water abstraction tax</w:t>
      </w:r>
      <w:r w:rsidRPr="00271218">
        <w:t>, calibrated by sector and location to reflect scarcity and resource value, designed to promote efficiency while protecting essential use;</w:t>
      </w:r>
    </w:p>
    <w:p w14:paraId="2E5C0C63" w14:textId="77777777" w:rsidR="00271218" w:rsidRPr="00271218" w:rsidRDefault="00271218" w:rsidP="00271218">
      <w:pPr>
        <w:pStyle w:val="Bulletlist"/>
      </w:pPr>
      <w:r w:rsidRPr="00271218">
        <w:t xml:space="preserve">A </w:t>
      </w:r>
      <w:r w:rsidRPr="00271218">
        <w:rPr>
          <w:b/>
          <w:bCs/>
        </w:rPr>
        <w:t>mineral extraction tax</w:t>
      </w:r>
      <w:r w:rsidRPr="00271218">
        <w:t>, introduced at a modest benchmark rate, to reduce environmental damage from quarrying and incentivise recycled material use in construction;</w:t>
      </w:r>
    </w:p>
    <w:p w14:paraId="1C53EEA9" w14:textId="77777777" w:rsidR="00271218" w:rsidRPr="00271218" w:rsidRDefault="00271218" w:rsidP="00271218">
      <w:pPr>
        <w:pStyle w:val="Bulletlist"/>
      </w:pPr>
      <w:r w:rsidRPr="00271218">
        <w:t xml:space="preserve">A </w:t>
      </w:r>
      <w:r w:rsidRPr="00271218">
        <w:rPr>
          <w:b/>
          <w:bCs/>
        </w:rPr>
        <w:t>fertiliser tax</w:t>
      </w:r>
      <w:r w:rsidRPr="00271218">
        <w:t>, targeting nitrogen content, paired with advisory and financial support for precision application and nutrient management; and</w:t>
      </w:r>
    </w:p>
    <w:p w14:paraId="5AF781D0" w14:textId="77777777" w:rsidR="00271218" w:rsidRPr="00271218" w:rsidRDefault="00271218" w:rsidP="00271218">
      <w:pPr>
        <w:pStyle w:val="Bulletlist"/>
      </w:pPr>
      <w:r w:rsidRPr="00271218">
        <w:t xml:space="preserve">Incremental adjustments to </w:t>
      </w:r>
      <w:r w:rsidRPr="00271218">
        <w:rPr>
          <w:b/>
          <w:bCs/>
        </w:rPr>
        <w:t>air pollution charges</w:t>
      </w:r>
      <w:r w:rsidRPr="00271218">
        <w:t xml:space="preserve"> (NOx, SO₂ and PM₂.₅) for large industrial and energy sources, to close remaining abatement gaps.</w:t>
      </w:r>
    </w:p>
    <w:p w14:paraId="300A9157" w14:textId="0F3EB6E9" w:rsidR="00271218" w:rsidRPr="00271218" w:rsidRDefault="00271218" w:rsidP="00271218">
      <w:r w:rsidRPr="00271218">
        <w:t xml:space="preserve">To </w:t>
      </w:r>
      <w:r w:rsidRPr="00271218">
        <w:rPr>
          <w:b/>
          <w:bCs/>
        </w:rPr>
        <w:t>avoid negative impacts on households and firms</w:t>
      </w:r>
      <w:r w:rsidRPr="00271218">
        <w:t>, a set of practical safeguards should accompany these reforms. For households, mechanisms such as income-based rebates or caps on year-on-year increases in utility bills can preserve affordability while maintaining the environmental signal. For farmers, temporary rebates or investment grants linked to sustainable nutrient management practices can prevent undue hardship. For trade-exposed sectors, time-limited tax credits for abatement investments or process efficiency upgrades can maintain competitiveness without undermining environmental incentives.</w:t>
      </w:r>
    </w:p>
    <w:p w14:paraId="7D1D9347" w14:textId="175EA5D7" w:rsidR="00271218" w:rsidRPr="00271218" w:rsidRDefault="00271218" w:rsidP="00271218">
      <w:r w:rsidRPr="00271218">
        <w:t xml:space="preserve">Implementation should proceed through a </w:t>
      </w:r>
      <w:r w:rsidRPr="00271218">
        <w:rPr>
          <w:b/>
          <w:bCs/>
        </w:rPr>
        <w:t>phased, transparent approach</w:t>
      </w:r>
      <w:r w:rsidRPr="00271218">
        <w:t>. Taxes could initially be introduced at low rates and gradually increased as monitoring and enforcement capacity improves. Strong inter-agency coordination between the Department of Finance, the Environmental Protection Agency and local authorities will be crucial to ensure consistency and administrative efficiency. Clear communication to the public</w:t>
      </w:r>
      <w:r>
        <w:t xml:space="preserve">, </w:t>
      </w:r>
      <w:r w:rsidRPr="00271218">
        <w:t>linking tax revenues to visible environmental outcomes such as cleaner rivers, improved recycling rates and reduced waste generation</w:t>
      </w:r>
      <w:r>
        <w:t xml:space="preserve">, </w:t>
      </w:r>
      <w:r w:rsidRPr="00271218">
        <w:t>will reinforce legitimacy and acceptance.</w:t>
      </w:r>
    </w:p>
    <w:p w14:paraId="744BCD40" w14:textId="26ECF9A9" w:rsidR="000A6F7E" w:rsidRPr="00271218" w:rsidRDefault="00271218" w:rsidP="00014325">
      <w:r w:rsidRPr="00271218">
        <w:t>In summary, Ireland has the institutional capacity and policy experience to extend its successful environmental tax model beyond energy and waste into other pollution and resource domains. By prioritising water-related and resource-extraction instruments, introducing transparent revenue recycling, and sequencing reforms carefully, Ireland can achieve significant environmental improvements and stable fiscal gains while maintaining competitiveness and social fairness.</w:t>
      </w:r>
    </w:p>
    <w:p w14:paraId="5594A746" w14:textId="77777777" w:rsidR="004675E2" w:rsidRPr="00F63EEE" w:rsidRDefault="004675E2" w:rsidP="00200232">
      <w:pPr>
        <w:pStyle w:val="AnnexHeading1"/>
        <w:ind w:hanging="1211"/>
      </w:pPr>
      <w:bookmarkStart w:id="220" w:name="_Toc214008898"/>
      <w:r w:rsidRPr="00F63EEE">
        <w:lastRenderedPageBreak/>
        <w:t>Italy</w:t>
      </w:r>
      <w:bookmarkEnd w:id="220"/>
      <w:r w:rsidRPr="00F63EEE">
        <w:t> </w:t>
      </w:r>
    </w:p>
    <w:p w14:paraId="42E21C58" w14:textId="77777777" w:rsidR="004675E2" w:rsidRPr="00F63EEE" w:rsidRDefault="004675E2" w:rsidP="007C4EB7">
      <w:pPr>
        <w:pStyle w:val="AnnexHeading2"/>
      </w:pPr>
      <w:bookmarkStart w:id="221" w:name="_Toc214008899"/>
      <w:r w:rsidRPr="00F63EEE">
        <w:t>Overview of existing environmental taxes</w:t>
      </w:r>
      <w:bookmarkEnd w:id="221"/>
      <w:r w:rsidRPr="00F63EEE">
        <w:t> </w:t>
      </w:r>
    </w:p>
    <w:p w14:paraId="776635BB" w14:textId="42992C20" w:rsidR="004675E2" w:rsidRPr="00EA4C9B" w:rsidRDefault="005030D5" w:rsidP="004675E2">
      <w:pPr>
        <w:rPr>
          <w:lang w:eastAsia="en-GB"/>
        </w:rPr>
      </w:pPr>
      <w:r w:rsidRPr="005030D5">
        <w:rPr>
          <w:lang w:eastAsia="en-GB"/>
        </w:rPr>
        <w:t xml:space="preserve">Environmental taxes in Italy amounted to 2.5% of GDP in 2023, broadly in line with the EU average. While revenues have increased in absolute terms over the past 15 years, their relative weight in the economy has declined. </w:t>
      </w:r>
      <w:r w:rsidR="004675E2" w:rsidRPr="00EA4C9B">
        <w:rPr>
          <w:lang w:eastAsia="en-GB"/>
        </w:rPr>
        <w:t xml:space="preserve">Total environmental tax revenue </w:t>
      </w:r>
      <w:r w:rsidRPr="005030D5">
        <w:rPr>
          <w:lang w:eastAsia="en-GB"/>
        </w:rPr>
        <w:t>reached EUR 49</w:t>
      </w:r>
      <w:r w:rsidR="004675E2" w:rsidRPr="00EA4C9B">
        <w:rPr>
          <w:lang w:eastAsia="en-GB"/>
        </w:rPr>
        <w:t xml:space="preserve"> billion </w:t>
      </w:r>
      <w:r w:rsidRPr="005030D5">
        <w:rPr>
          <w:lang w:eastAsia="en-GB"/>
        </w:rPr>
        <w:t>in</w:t>
      </w:r>
      <w:r w:rsidR="004675E2" w:rsidRPr="00EA4C9B">
        <w:rPr>
          <w:lang w:eastAsia="en-GB"/>
        </w:rPr>
        <w:t xml:space="preserve"> 2023 (</w:t>
      </w:r>
      <w:r w:rsidR="00F422E1" w:rsidRPr="00F422E1">
        <w:rPr>
          <w:highlight w:val="yellow"/>
          <w:shd w:val="clear" w:color="auto" w:fill="E1E3E6"/>
          <w:lang w:eastAsia="en-GB"/>
        </w:rPr>
        <w:fldChar w:fldCharType="begin"/>
      </w:r>
      <w:r w:rsidR="00F422E1" w:rsidRPr="00F422E1">
        <w:rPr>
          <w:lang w:eastAsia="en-GB"/>
        </w:rPr>
        <w:instrText xml:space="preserve"> REF _Ref201232893 \h </w:instrText>
      </w:r>
      <w:r w:rsidR="00F422E1" w:rsidRPr="00F422E1">
        <w:rPr>
          <w:highlight w:val="yellow"/>
          <w:shd w:val="clear" w:color="auto" w:fill="E1E3E6"/>
          <w:lang w:eastAsia="en-GB"/>
        </w:rPr>
        <w:instrText xml:space="preserve"> \* MERGEFORMAT </w:instrText>
      </w:r>
      <w:r w:rsidR="00F422E1" w:rsidRPr="00F422E1">
        <w:rPr>
          <w:highlight w:val="yellow"/>
          <w:shd w:val="clear" w:color="auto" w:fill="E1E3E6"/>
          <w:lang w:eastAsia="en-GB"/>
        </w:rPr>
      </w:r>
      <w:r w:rsidR="00F422E1" w:rsidRPr="00F422E1">
        <w:rPr>
          <w:highlight w:val="yellow"/>
          <w:shd w:val="clear" w:color="auto" w:fill="E1E3E6"/>
          <w:lang w:eastAsia="en-GB"/>
        </w:rPr>
        <w:fldChar w:fldCharType="separate"/>
      </w:r>
      <w:r w:rsidR="00F422E1" w:rsidRPr="00F422E1">
        <w:t xml:space="preserve">Figure </w:t>
      </w:r>
      <w:r w:rsidR="00490085">
        <w:t>A6</w:t>
      </w:r>
      <w:r w:rsidR="00F422E1" w:rsidRPr="00F422E1">
        <w:t>-</w:t>
      </w:r>
      <w:r w:rsidR="00F422E1" w:rsidRPr="00F422E1">
        <w:rPr>
          <w:noProof/>
        </w:rPr>
        <w:t>39</w:t>
      </w:r>
      <w:r w:rsidR="00F422E1" w:rsidRPr="00F422E1">
        <w:rPr>
          <w:highlight w:val="yellow"/>
          <w:shd w:val="clear" w:color="auto" w:fill="E1E3E6"/>
          <w:lang w:eastAsia="en-GB"/>
        </w:rPr>
        <w:fldChar w:fldCharType="end"/>
      </w:r>
      <w:r w:rsidRPr="005030D5">
        <w:rPr>
          <w:lang w:eastAsia="en-GB"/>
        </w:rPr>
        <w:t>), representing a 13.2% increase since 2009</w:t>
      </w:r>
      <w:r w:rsidR="001D6025">
        <w:rPr>
          <w:rStyle w:val="FootnoteReference"/>
          <w:lang w:eastAsia="en-GB"/>
        </w:rPr>
        <w:footnoteReference w:id="474"/>
      </w:r>
      <w:r w:rsidRPr="005030D5">
        <w:rPr>
          <w:lang w:eastAsia="en-GB"/>
        </w:rPr>
        <w:t xml:space="preserve">. Over the same period, however, the </w:t>
      </w:r>
      <w:r w:rsidR="004675E2" w:rsidRPr="00EA4C9B">
        <w:rPr>
          <w:lang w:eastAsia="en-GB"/>
        </w:rPr>
        <w:t xml:space="preserve">ratio </w:t>
      </w:r>
      <w:r w:rsidRPr="005030D5">
        <w:rPr>
          <w:lang w:eastAsia="en-GB"/>
        </w:rPr>
        <w:t xml:space="preserve">of </w:t>
      </w:r>
      <w:r w:rsidR="004675E2" w:rsidRPr="00EA4C9B">
        <w:rPr>
          <w:lang w:eastAsia="en-GB"/>
        </w:rPr>
        <w:t xml:space="preserve">environmental </w:t>
      </w:r>
      <w:r w:rsidRPr="005030D5">
        <w:rPr>
          <w:lang w:eastAsia="en-GB"/>
        </w:rPr>
        <w:t>taxes to GDP fell</w:t>
      </w:r>
      <w:r w:rsidR="004675E2" w:rsidRPr="00EA4C9B">
        <w:rPr>
          <w:lang w:eastAsia="en-GB"/>
        </w:rPr>
        <w:t xml:space="preserve"> by 8.0% </w:t>
      </w:r>
      <w:r w:rsidR="004675E2" w:rsidRPr="00551A09">
        <w:rPr>
          <w:lang w:eastAsia="en-GB"/>
        </w:rPr>
        <w:t>(</w:t>
      </w:r>
      <w:r w:rsidR="00551A09" w:rsidRPr="00551A09">
        <w:rPr>
          <w:lang w:eastAsia="en-GB"/>
        </w:rPr>
        <w:fldChar w:fldCharType="begin"/>
      </w:r>
      <w:r w:rsidR="00551A09" w:rsidRPr="00551A09">
        <w:rPr>
          <w:lang w:eastAsia="en-GB"/>
        </w:rPr>
        <w:instrText xml:space="preserve"> REF _Ref201232921 \h  \* MERGEFORMAT </w:instrText>
      </w:r>
      <w:r w:rsidR="00551A09" w:rsidRPr="00551A09">
        <w:rPr>
          <w:lang w:eastAsia="en-GB"/>
        </w:rPr>
      </w:r>
      <w:r w:rsidR="00551A09" w:rsidRPr="00551A09">
        <w:rPr>
          <w:lang w:eastAsia="en-GB"/>
        </w:rPr>
        <w:fldChar w:fldCharType="separate"/>
      </w:r>
      <w:r w:rsidR="00551A09" w:rsidRPr="00551A09">
        <w:t xml:space="preserve">Figure </w:t>
      </w:r>
      <w:r w:rsidR="00490085">
        <w:t>A6</w:t>
      </w:r>
      <w:r w:rsidR="00551A09" w:rsidRPr="00551A09">
        <w:t>-</w:t>
      </w:r>
      <w:r w:rsidR="00551A09" w:rsidRPr="00551A09">
        <w:rPr>
          <w:noProof/>
        </w:rPr>
        <w:t>40</w:t>
      </w:r>
      <w:r w:rsidR="00551A09" w:rsidRPr="00551A09">
        <w:rPr>
          <w:lang w:eastAsia="en-GB"/>
        </w:rPr>
        <w:fldChar w:fldCharType="end"/>
      </w:r>
      <w:r w:rsidR="00551A09" w:rsidRPr="00551A09">
        <w:rPr>
          <w:lang w:eastAsia="en-GB"/>
        </w:rPr>
        <w:t>).</w:t>
      </w:r>
      <w:r w:rsidR="004675E2" w:rsidRPr="00EA4C9B">
        <w:rPr>
          <w:lang w:eastAsia="en-GB"/>
        </w:rPr>
        <w:t xml:space="preserve"> In 2023, revenues </w:t>
      </w:r>
      <w:r w:rsidRPr="005030D5">
        <w:rPr>
          <w:lang w:eastAsia="en-GB"/>
        </w:rPr>
        <w:t xml:space="preserve">came predominantly </w:t>
      </w:r>
      <w:r w:rsidR="004675E2" w:rsidRPr="00EA4C9B">
        <w:rPr>
          <w:lang w:eastAsia="en-GB"/>
        </w:rPr>
        <w:t xml:space="preserve">from energy and transport taxes </w:t>
      </w:r>
      <w:r w:rsidRPr="005030D5">
        <w:rPr>
          <w:lang w:eastAsia="en-GB"/>
        </w:rPr>
        <w:t>(</w:t>
      </w:r>
      <w:r w:rsidR="004675E2" w:rsidRPr="00EA4C9B">
        <w:rPr>
          <w:lang w:eastAsia="en-GB"/>
        </w:rPr>
        <w:t>around 78.5% and 19.5</w:t>
      </w:r>
      <w:r w:rsidRPr="005030D5">
        <w:rPr>
          <w:lang w:eastAsia="en-GB"/>
        </w:rPr>
        <w:t>%, respectively), while</w:t>
      </w:r>
      <w:r w:rsidR="004675E2" w:rsidRPr="00EA4C9B">
        <w:rPr>
          <w:lang w:eastAsia="en-GB"/>
        </w:rPr>
        <w:t xml:space="preserve"> pollution taxes </w:t>
      </w:r>
      <w:r w:rsidRPr="005030D5">
        <w:rPr>
          <w:lang w:eastAsia="en-GB"/>
        </w:rPr>
        <w:t xml:space="preserve">contributed </w:t>
      </w:r>
      <w:r w:rsidR="004675E2" w:rsidRPr="00EA4C9B">
        <w:rPr>
          <w:lang w:eastAsia="en-GB"/>
        </w:rPr>
        <w:t>around 1</w:t>
      </w:r>
      <w:r w:rsidRPr="005030D5">
        <w:rPr>
          <w:lang w:eastAsia="en-GB"/>
        </w:rPr>
        <w:t>%;</w:t>
      </w:r>
      <w:r w:rsidR="004675E2" w:rsidRPr="00EA4C9B">
        <w:t xml:space="preserve"> Italy</w:t>
      </w:r>
      <w:r w:rsidRPr="005030D5">
        <w:rPr>
          <w:lang w:eastAsia="en-GB"/>
        </w:rPr>
        <w:t xml:space="preserve"> does not levy resource taxes</w:t>
      </w:r>
      <w:r w:rsidR="004675E2" w:rsidRPr="00EA4C9B">
        <w:rPr>
          <w:rStyle w:val="FootnoteReference"/>
        </w:rPr>
        <w:footnoteReference w:id="475"/>
      </w:r>
      <w:r w:rsidR="004675E2" w:rsidRPr="00EA4C9B">
        <w:t>.</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4675E2" w:rsidRPr="00EA4C9B" w14:paraId="5317D6F0" w14:textId="77777777" w:rsidTr="004F0767">
        <w:trPr>
          <w:trHeight w:val="300"/>
        </w:trPr>
        <w:tc>
          <w:tcPr>
            <w:tcW w:w="9064" w:type="dxa"/>
            <w:tcBorders>
              <w:top w:val="single" w:sz="6" w:space="0" w:color="auto"/>
              <w:left w:val="single" w:sz="6" w:space="0" w:color="auto"/>
              <w:bottom w:val="single" w:sz="6" w:space="0" w:color="auto"/>
              <w:right w:val="single" w:sz="6" w:space="0" w:color="auto"/>
            </w:tcBorders>
            <w:hideMark/>
          </w:tcPr>
          <w:p w14:paraId="27283801" w14:textId="77777777" w:rsidR="004675E2" w:rsidRPr="00EA4C9B" w:rsidRDefault="004675E2">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10"/>
                <w:szCs w:val="10"/>
                <w:lang w:eastAsia="en-GB"/>
              </w:rPr>
              <w:t> </w:t>
            </w:r>
          </w:p>
          <w:p w14:paraId="4CF93596" w14:textId="77777777" w:rsidR="004675E2" w:rsidRPr="00EA4C9B" w:rsidRDefault="004675E2">
            <w:pPr>
              <w:spacing w:after="0"/>
              <w:jc w:val="center"/>
              <w:textAlignment w:val="baseline"/>
              <w:rPr>
                <w:rFonts w:ascii="Times New Roman" w:eastAsia="Times New Roman" w:hAnsi="Times New Roman" w:cs="Times New Roman"/>
                <w:sz w:val="24"/>
                <w:szCs w:val="24"/>
                <w:lang w:eastAsia="en-GB"/>
              </w:rPr>
            </w:pPr>
            <w:r w:rsidRPr="00EA4C9B">
              <w:rPr>
                <w:noProof/>
                <w:sz w:val="10"/>
                <w:szCs w:val="10"/>
              </w:rPr>
              <w:drawing>
                <wp:inline distT="0" distB="0" distL="0" distR="0" wp14:anchorId="0F262C59" wp14:editId="3F268348">
                  <wp:extent cx="5586730" cy="1082560"/>
                  <wp:effectExtent l="0" t="0" r="0" b="3810"/>
                  <wp:docPr id="1598636104" name="Picture 2" descr="A graph of 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36104" name="Picture 2" descr="A graph of a graph with numbers and a line&#10;&#10;AI-generated content may be incorrec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89415" cy="1083080"/>
                          </a:xfrm>
                          <a:prstGeom prst="rect">
                            <a:avLst/>
                          </a:prstGeom>
                          <a:noFill/>
                          <a:ln>
                            <a:noFill/>
                          </a:ln>
                        </pic:spPr>
                      </pic:pic>
                    </a:graphicData>
                  </a:graphic>
                </wp:inline>
              </w:drawing>
            </w:r>
            <w:r w:rsidRPr="00EA4C9B">
              <w:rPr>
                <w:rFonts w:ascii="Times New Roman" w:eastAsia="Times New Roman" w:hAnsi="Times New Roman" w:cs="Times New Roman"/>
                <w:sz w:val="24"/>
                <w:szCs w:val="24"/>
                <w:lang w:eastAsia="en-GB"/>
              </w:rPr>
              <w:fldChar w:fldCharType="begin"/>
            </w:r>
            <w:r w:rsidRPr="00EA4C9B">
              <w:rPr>
                <w:rFonts w:ascii="Times New Roman" w:eastAsia="Times New Roman" w:hAnsi="Times New Roman" w:cs="Times New Roman"/>
                <w:sz w:val="24"/>
                <w:szCs w:val="24"/>
                <w:lang w:eastAsia="en-GB"/>
              </w:rPr>
              <w:instrText xml:space="preserve"> INCLUDEPICTURE "C:\\Users\\cambo\\Library\\Group Containers\\UBF8T346G9.ms\\WebArchiveCopyPasteTempFiles\\com.microsoft.Word\\KE+SqguXLjQDkeqZwgQkIaepwAAAAAAkqcAAAAAAAAAkIBh+wAAAAAAAACQgOQpAAAAAAAAACQgeQoAAAAAAAAACUieAgAAAAAAAEACkqcAAAAAAAAAkIDkKQAAAAAAAAAkIHkKAAAAAAAAAAlIngIAAAAAAABAApKnAAAAAAAAAJCA5CkAAAAAAAAAJCB5CgAAAAAAAAAJSJ4CAAAAAAAAQAKSpwAAAAAAAACQgOQpAAAAAAAAAAxhzP8PlZSDkNpufzMAAAAASUVORK5CYII=" \* MERGEFORMAT </w:instrText>
            </w:r>
            <w:r w:rsidRPr="00EA4C9B">
              <w:rPr>
                <w:rFonts w:ascii="Times New Roman" w:eastAsia="Times New Roman" w:hAnsi="Times New Roman" w:cs="Times New Roman"/>
                <w:sz w:val="24"/>
                <w:szCs w:val="24"/>
                <w:lang w:eastAsia="en-GB"/>
              </w:rPr>
              <w:fldChar w:fldCharType="separate"/>
            </w:r>
            <w:r w:rsidRPr="00EA4C9B">
              <w:rPr>
                <w:rFonts w:ascii="Times New Roman" w:eastAsia="Times New Roman" w:hAnsi="Times New Roman" w:cs="Times New Roman"/>
                <w:sz w:val="24"/>
                <w:szCs w:val="24"/>
                <w:lang w:eastAsia="en-GB"/>
              </w:rPr>
              <w:fldChar w:fldCharType="end"/>
            </w:r>
            <w:r w:rsidRPr="00EA4C9B">
              <w:rPr>
                <w:rFonts w:ascii="Calibri" w:eastAsia="Times New Roman" w:hAnsi="Calibri" w:cs="Calibri"/>
                <w:sz w:val="10"/>
                <w:szCs w:val="10"/>
                <w:lang w:eastAsia="en-GB"/>
              </w:rPr>
              <w:t> </w:t>
            </w:r>
          </w:p>
          <w:p w14:paraId="0F899050" w14:textId="77777777" w:rsidR="004675E2" w:rsidRPr="00EA4C9B" w:rsidRDefault="004675E2">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10"/>
                <w:szCs w:val="10"/>
                <w:lang w:eastAsia="en-GB"/>
              </w:rPr>
              <w:t> </w:t>
            </w:r>
          </w:p>
          <w:p w14:paraId="2B721838" w14:textId="77777777" w:rsidR="004675E2" w:rsidRPr="00EA4C9B" w:rsidRDefault="004675E2">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10"/>
                <w:szCs w:val="10"/>
                <w:lang w:eastAsia="en-GB"/>
              </w:rPr>
              <w:t> </w:t>
            </w:r>
          </w:p>
        </w:tc>
      </w:tr>
      <w:tr w:rsidR="004675E2" w:rsidRPr="00EA4C9B" w14:paraId="3BC40E5F" w14:textId="77777777" w:rsidTr="004F0767">
        <w:trPr>
          <w:trHeight w:val="300"/>
        </w:trPr>
        <w:tc>
          <w:tcPr>
            <w:tcW w:w="9064" w:type="dxa"/>
            <w:tcBorders>
              <w:top w:val="single" w:sz="6" w:space="0" w:color="auto"/>
              <w:left w:val="single" w:sz="6" w:space="0" w:color="auto"/>
              <w:bottom w:val="single" w:sz="6" w:space="0" w:color="auto"/>
              <w:right w:val="single" w:sz="6" w:space="0" w:color="auto"/>
            </w:tcBorders>
            <w:shd w:val="clear" w:color="auto" w:fill="003399"/>
            <w:hideMark/>
          </w:tcPr>
          <w:p w14:paraId="549D90AD" w14:textId="26872D37" w:rsidR="004675E2" w:rsidRPr="00EA4C9B" w:rsidRDefault="00282899" w:rsidP="00E910E4">
            <w:pPr>
              <w:pStyle w:val="FigTabCaption"/>
              <w:rPr>
                <w:rFonts w:ascii="Times New Roman" w:eastAsia="Times New Roman" w:hAnsi="Times New Roman" w:cs="Times New Roman"/>
                <w:sz w:val="24"/>
                <w:lang w:eastAsia="en-GB"/>
              </w:rPr>
            </w:pPr>
            <w:bookmarkStart w:id="222" w:name="_Ref201232893"/>
            <w:r w:rsidRPr="00051732">
              <w:t xml:space="preserve">Figure </w:t>
            </w:r>
            <w:r w:rsidR="00490085">
              <w:t>A6</w:t>
            </w:r>
            <w:r w:rsidRPr="00051732">
              <w:t>-</w:t>
            </w:r>
            <w:fldSimple w:instr=" SEQ Figure_A5- \* ARABIC ">
              <w:r w:rsidR="0091411A">
                <w:rPr>
                  <w:noProof/>
                </w:rPr>
                <w:t>39</w:t>
              </w:r>
            </w:fldSimple>
            <w:bookmarkEnd w:id="222"/>
            <w:r w:rsidR="004675E2" w:rsidRPr="00EA4C9B">
              <w:rPr>
                <w:lang w:eastAsia="en-GB"/>
              </w:rPr>
              <w:t>: Total environmental tax revenue in Italy (2009-2023) in billion euros </w:t>
            </w:r>
          </w:p>
        </w:tc>
      </w:tr>
    </w:tbl>
    <w:p w14:paraId="6B681DF6" w14:textId="77777777" w:rsidR="004675E2" w:rsidRPr="00EA4C9B" w:rsidRDefault="004675E2" w:rsidP="004675E2">
      <w:pPr>
        <w:spacing w:after="0"/>
        <w:textAlignment w:val="baseline"/>
        <w:rPr>
          <w:rFonts w:ascii="Calibri" w:eastAsia="Times New Roman" w:hAnsi="Calibri" w:cs="Calibri"/>
          <w:lang w:eastAsia="en-GB"/>
        </w:rPr>
      </w:pPr>
      <w:r w:rsidRPr="00EA4C9B">
        <w:rPr>
          <w:rFonts w:ascii="Calibri" w:eastAsia="Times New Roman" w:hAnsi="Calibri" w:cs="Calibri"/>
          <w:lang w:eastAsia="en-GB"/>
        </w:rPr>
        <w:t> </w:t>
      </w:r>
    </w:p>
    <w:p w14:paraId="27D4411A" w14:textId="100189C5" w:rsidR="004675E2" w:rsidRPr="00EA4C9B" w:rsidRDefault="008E265E" w:rsidP="004675E2">
      <w:pPr>
        <w:rPr>
          <w:lang w:eastAsia="en-GB"/>
        </w:rPr>
      </w:pPr>
      <w:r w:rsidRPr="008E265E">
        <w:rPr>
          <w:lang w:eastAsia="en-GB"/>
        </w:rPr>
        <w:t>In 2023, total tax revenue (including net social contributions) accounted for 41.5% of Italy’s GDP, broadly unchanged from 41.7% in 2009 (a decrease of 0.2 percentage points). Environmental taxes represented 6.2% of total tax revenue in 2023, compared with 6.6% in 2009</w:t>
      </w:r>
      <w:r>
        <w:rPr>
          <w:lang w:eastAsia="en-GB"/>
        </w:rPr>
        <w:t xml:space="preserve"> </w:t>
      </w:r>
      <w:r w:rsidRPr="008E265E">
        <w:rPr>
          <w:lang w:eastAsia="en-GB"/>
        </w:rPr>
        <w:t>—</w:t>
      </w:r>
      <w:r>
        <w:rPr>
          <w:lang w:eastAsia="en-GB"/>
        </w:rPr>
        <w:t xml:space="preserve"> </w:t>
      </w:r>
      <w:r w:rsidRPr="008E265E">
        <w:rPr>
          <w:lang w:eastAsia="en-GB"/>
        </w:rPr>
        <w:t>a decline of 0.4 percentage points over the period. In absolute terms, the strongest decreases were recorded in energy tax revenues (</w:t>
      </w:r>
      <w:r w:rsidR="001F0050">
        <w:rPr>
          <w:lang w:eastAsia="en-GB"/>
        </w:rPr>
        <w:t>-</w:t>
      </w:r>
      <w:r w:rsidRPr="008E265E">
        <w:rPr>
          <w:lang w:eastAsia="en-GB"/>
        </w:rPr>
        <w:t>8%) and pollution tax revenues (</w:t>
      </w:r>
      <w:r w:rsidR="001F0050">
        <w:rPr>
          <w:lang w:eastAsia="en-GB"/>
        </w:rPr>
        <w:t>-</w:t>
      </w:r>
      <w:r w:rsidRPr="008E265E">
        <w:rPr>
          <w:lang w:eastAsia="en-GB"/>
        </w:rPr>
        <w:t>5%).</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4675E2" w:rsidRPr="00EA4C9B" w14:paraId="403A5F61" w14:textId="77777777" w:rsidTr="004F0767">
        <w:trPr>
          <w:trHeight w:val="300"/>
        </w:trPr>
        <w:tc>
          <w:tcPr>
            <w:tcW w:w="9064" w:type="dxa"/>
            <w:tcBorders>
              <w:top w:val="single" w:sz="6" w:space="0" w:color="auto"/>
              <w:left w:val="single" w:sz="6" w:space="0" w:color="auto"/>
              <w:bottom w:val="single" w:sz="6" w:space="0" w:color="auto"/>
              <w:right w:val="single" w:sz="6" w:space="0" w:color="auto"/>
            </w:tcBorders>
            <w:hideMark/>
          </w:tcPr>
          <w:p w14:paraId="37B46688" w14:textId="77777777" w:rsidR="004675E2" w:rsidRPr="00EA4C9B" w:rsidRDefault="004675E2">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10"/>
                <w:szCs w:val="10"/>
                <w:lang w:eastAsia="en-GB"/>
              </w:rPr>
              <w:t> </w:t>
            </w:r>
          </w:p>
          <w:p w14:paraId="1ECE426E" w14:textId="77777777" w:rsidR="004675E2" w:rsidRPr="00EA4C9B" w:rsidRDefault="004675E2">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10"/>
                <w:szCs w:val="10"/>
                <w:lang w:eastAsia="en-GB"/>
              </w:rPr>
              <w:t> </w:t>
            </w:r>
          </w:p>
          <w:p w14:paraId="69D73353" w14:textId="77777777" w:rsidR="004675E2" w:rsidRPr="00EA4C9B" w:rsidRDefault="004675E2">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10"/>
                <w:szCs w:val="10"/>
                <w:lang w:eastAsia="en-GB"/>
              </w:rPr>
              <w:t> </w:t>
            </w:r>
            <w:r w:rsidRPr="00EA4C9B">
              <w:rPr>
                <w:noProof/>
                <w:sz w:val="10"/>
                <w:szCs w:val="10"/>
              </w:rPr>
              <w:drawing>
                <wp:inline distT="0" distB="0" distL="0" distR="0" wp14:anchorId="3A6870FB" wp14:editId="53C3260C">
                  <wp:extent cx="5595197" cy="1637770"/>
                  <wp:effectExtent l="0" t="0" r="5715" b="635"/>
                  <wp:docPr id="1370632741" name="Picture 9" descr="A graph of energy and transport ta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32741" name="Picture 9" descr="A graph of energy and transport tax&#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97349" cy="1638400"/>
                          </a:xfrm>
                          <a:prstGeom prst="rect">
                            <a:avLst/>
                          </a:prstGeom>
                          <a:noFill/>
                          <a:ln>
                            <a:noFill/>
                          </a:ln>
                        </pic:spPr>
                      </pic:pic>
                    </a:graphicData>
                  </a:graphic>
                </wp:inline>
              </w:drawing>
            </w:r>
          </w:p>
          <w:p w14:paraId="7FD8EE49" w14:textId="77777777" w:rsidR="004675E2" w:rsidRPr="00EA4C9B" w:rsidRDefault="004675E2">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10"/>
                <w:szCs w:val="10"/>
                <w:lang w:eastAsia="en-GB"/>
              </w:rPr>
              <w:t> </w:t>
            </w:r>
          </w:p>
        </w:tc>
      </w:tr>
      <w:tr w:rsidR="004675E2" w:rsidRPr="00EA4C9B" w14:paraId="6B9B1FB6" w14:textId="77777777" w:rsidTr="004F0767">
        <w:trPr>
          <w:trHeight w:val="300"/>
        </w:trPr>
        <w:tc>
          <w:tcPr>
            <w:tcW w:w="9064" w:type="dxa"/>
            <w:tcBorders>
              <w:top w:val="single" w:sz="6" w:space="0" w:color="auto"/>
              <w:left w:val="single" w:sz="6" w:space="0" w:color="auto"/>
              <w:bottom w:val="single" w:sz="6" w:space="0" w:color="auto"/>
              <w:right w:val="single" w:sz="6" w:space="0" w:color="auto"/>
            </w:tcBorders>
            <w:shd w:val="clear" w:color="auto" w:fill="003399"/>
            <w:hideMark/>
          </w:tcPr>
          <w:p w14:paraId="1A69E5A1" w14:textId="260F113A" w:rsidR="004675E2" w:rsidRPr="00EA4C9B" w:rsidRDefault="00282899" w:rsidP="00E910E4">
            <w:pPr>
              <w:pStyle w:val="FigTabCaption"/>
              <w:rPr>
                <w:rFonts w:ascii="Times New Roman" w:eastAsia="Times New Roman" w:hAnsi="Times New Roman" w:cs="Times New Roman"/>
                <w:sz w:val="24"/>
                <w:lang w:eastAsia="en-GB"/>
              </w:rPr>
            </w:pPr>
            <w:bookmarkStart w:id="223" w:name="_Ref201232921"/>
            <w:r w:rsidRPr="00051732">
              <w:t xml:space="preserve">Figure </w:t>
            </w:r>
            <w:r w:rsidR="00490085">
              <w:t>A6</w:t>
            </w:r>
            <w:r w:rsidRPr="00051732">
              <w:t>-</w:t>
            </w:r>
            <w:fldSimple w:instr=" SEQ Figure_A5- \* ARABIC ">
              <w:r w:rsidR="0091411A">
                <w:rPr>
                  <w:noProof/>
                </w:rPr>
                <w:t>40</w:t>
              </w:r>
            </w:fldSimple>
            <w:bookmarkEnd w:id="223"/>
            <w:r w:rsidR="004675E2" w:rsidRPr="00EA4C9B">
              <w:rPr>
                <w:lang w:eastAsia="en-GB"/>
              </w:rPr>
              <w:t>: Fifteen-year (2009-2023) change in absolute terms and change as GDP-ratio of the revenues of energy taxes, transport taxes, resource taxes, pollution taxes and total environmental taxes </w:t>
            </w:r>
          </w:p>
        </w:tc>
      </w:tr>
    </w:tbl>
    <w:p w14:paraId="391C7B3C" w14:textId="77777777" w:rsidR="004675E2" w:rsidRPr="00EA4C9B" w:rsidRDefault="004675E2" w:rsidP="004675E2">
      <w:pPr>
        <w:spacing w:after="0"/>
        <w:textAlignment w:val="baseline"/>
        <w:rPr>
          <w:rFonts w:ascii="Calibri" w:eastAsia="Times New Roman" w:hAnsi="Calibri" w:cs="Calibri"/>
          <w:lang w:eastAsia="en-GB"/>
        </w:rPr>
      </w:pPr>
      <w:r w:rsidRPr="00EA4C9B">
        <w:rPr>
          <w:rFonts w:ascii="Calibri" w:eastAsia="Times New Roman" w:hAnsi="Calibri" w:cs="Calibri"/>
          <w:lang w:eastAsia="en-GB"/>
        </w:rPr>
        <w:t> </w:t>
      </w:r>
    </w:p>
    <w:p w14:paraId="663F3176" w14:textId="77777777" w:rsidR="00DB2FE0" w:rsidRPr="00DB2FE0" w:rsidRDefault="00DB2FE0" w:rsidP="00DB2FE0">
      <w:pPr>
        <w:rPr>
          <w:lang w:eastAsia="en-GB"/>
        </w:rPr>
      </w:pPr>
      <w:r w:rsidRPr="00DB2FE0">
        <w:rPr>
          <w:lang w:eastAsia="en-GB"/>
        </w:rPr>
        <w:t xml:space="preserve">In recent years, Italy has made limited progress in making increased use of environmental taxation. Although environmental tax revenues have risen in absolute terms, their share in GDP and in total tax revenue has declined. This reflects the fact that, despite some adjustments, the overall set of environmental tax instruments has remained broadly stable over time, while wider fiscal and </w:t>
      </w:r>
      <w:r w:rsidRPr="00DB2FE0">
        <w:rPr>
          <w:lang w:eastAsia="en-GB"/>
        </w:rPr>
        <w:lastRenderedPageBreak/>
        <w:t>economic developments have grown more quickly. As a result, the relative weight of environmental taxation in the Italian tax system has diminished.</w:t>
      </w:r>
    </w:p>
    <w:p w14:paraId="511904AF" w14:textId="77777777" w:rsidR="004675E2" w:rsidRPr="00EA4C9B" w:rsidRDefault="004675E2" w:rsidP="007C4EB7">
      <w:pPr>
        <w:pStyle w:val="AnnexHeading2"/>
      </w:pPr>
      <w:bookmarkStart w:id="224" w:name="_Toc214008900"/>
      <w:r w:rsidRPr="00EA4C9B">
        <w:t>Existing pollution and resource taxes</w:t>
      </w:r>
      <w:bookmarkEnd w:id="224"/>
      <w:r w:rsidRPr="00EA4C9B">
        <w:t> </w:t>
      </w:r>
    </w:p>
    <w:p w14:paraId="47D57DF9" w14:textId="027F06EE" w:rsidR="004675E2" w:rsidRPr="00EA4C9B" w:rsidRDefault="004675E2" w:rsidP="004675E2">
      <w:pPr>
        <w:rPr>
          <w:lang w:eastAsia="en-GB"/>
        </w:rPr>
      </w:pPr>
      <w:r w:rsidRPr="00EA4C9B">
        <w:rPr>
          <w:rFonts w:ascii="Calibri" w:eastAsia="Times New Roman" w:hAnsi="Calibri" w:cs="Calibri"/>
          <w:lang w:eastAsia="en-GB"/>
        </w:rPr>
        <w:t xml:space="preserve">In </w:t>
      </w:r>
      <w:r w:rsidRPr="00EA4C9B">
        <w:rPr>
          <w:lang w:eastAsia="en-GB"/>
        </w:rPr>
        <w:t>2023, pollution tax revenues reached 0.5 billion euros (1.1% of the total environmental tax revenues), increasing in absolute terms by 16% over 15 years (2009-2023), but decreasing in terms of GDP-ratio by 5.7% over the same period (</w:t>
      </w:r>
      <w:r w:rsidR="00857929" w:rsidRPr="00857929">
        <w:rPr>
          <w:lang w:eastAsia="en-GB"/>
        </w:rPr>
        <w:fldChar w:fldCharType="begin"/>
      </w:r>
      <w:r w:rsidR="00857929" w:rsidRPr="00857929">
        <w:rPr>
          <w:lang w:eastAsia="en-GB"/>
        </w:rPr>
        <w:instrText xml:space="preserve"> REF _Ref201232921 \h  \* MERGEFORMAT </w:instrText>
      </w:r>
      <w:r w:rsidR="00857929" w:rsidRPr="00857929">
        <w:rPr>
          <w:lang w:eastAsia="en-GB"/>
        </w:rPr>
      </w:r>
      <w:r w:rsidR="00857929" w:rsidRPr="00857929">
        <w:rPr>
          <w:lang w:eastAsia="en-GB"/>
        </w:rPr>
        <w:fldChar w:fldCharType="separate"/>
      </w:r>
      <w:r w:rsidR="00857929" w:rsidRPr="00857929">
        <w:t xml:space="preserve">Figure </w:t>
      </w:r>
      <w:r w:rsidR="00490085">
        <w:t>A6</w:t>
      </w:r>
      <w:r w:rsidR="00857929" w:rsidRPr="00857929">
        <w:t>-</w:t>
      </w:r>
      <w:r w:rsidR="00857929" w:rsidRPr="00857929">
        <w:rPr>
          <w:noProof/>
        </w:rPr>
        <w:t>40</w:t>
      </w:r>
      <w:r w:rsidR="00857929" w:rsidRPr="00857929">
        <w:rPr>
          <w:lang w:eastAsia="en-GB"/>
        </w:rPr>
        <w:fldChar w:fldCharType="end"/>
      </w:r>
      <w:r w:rsidRPr="00857929">
        <w:rPr>
          <w:lang w:eastAsia="en-GB"/>
        </w:rPr>
        <w:t>).</w:t>
      </w:r>
      <w:r w:rsidRPr="00EA4C9B">
        <w:rPr>
          <w:lang w:eastAsia="en-GB"/>
        </w:rPr>
        <w:t xml:space="preserve"> In 2022, 60% of pollution tax revenues were paid by households and 40% by economic activities.</w:t>
      </w:r>
      <w:r w:rsidRPr="00EA4C9B">
        <w:rPr>
          <w:rStyle w:val="FootnoteReference"/>
          <w:lang w:eastAsia="en-GB"/>
        </w:rPr>
        <w:footnoteReference w:id="476"/>
      </w:r>
      <w:r w:rsidRPr="00EA4C9B">
        <w:rPr>
          <w:lang w:eastAsia="en-GB"/>
        </w:rPr>
        <w:t xml:space="preserve">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4675E2" w:rsidRPr="00EA4C9B" w14:paraId="7F333BEC" w14:textId="77777777" w:rsidTr="004F0767">
        <w:trPr>
          <w:trHeight w:val="300"/>
        </w:trPr>
        <w:tc>
          <w:tcPr>
            <w:tcW w:w="9064" w:type="dxa"/>
            <w:tcBorders>
              <w:top w:val="single" w:sz="6" w:space="0" w:color="auto"/>
              <w:left w:val="single" w:sz="6" w:space="0" w:color="auto"/>
              <w:bottom w:val="single" w:sz="6" w:space="0" w:color="auto"/>
              <w:right w:val="single" w:sz="6" w:space="0" w:color="auto"/>
            </w:tcBorders>
            <w:hideMark/>
          </w:tcPr>
          <w:p w14:paraId="644E8F79" w14:textId="77777777" w:rsidR="004675E2" w:rsidRPr="00EA4C9B" w:rsidRDefault="004675E2">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10"/>
                <w:szCs w:val="10"/>
                <w:lang w:eastAsia="en-GB"/>
              </w:rPr>
              <w:t> </w:t>
            </w:r>
          </w:p>
          <w:p w14:paraId="34E302E1" w14:textId="77777777" w:rsidR="004675E2" w:rsidRPr="00EA4C9B" w:rsidRDefault="004675E2">
            <w:pPr>
              <w:spacing w:after="0"/>
              <w:jc w:val="center"/>
              <w:textAlignment w:val="baseline"/>
              <w:rPr>
                <w:rFonts w:ascii="Times New Roman" w:eastAsia="Times New Roman" w:hAnsi="Times New Roman" w:cs="Times New Roman"/>
                <w:sz w:val="24"/>
                <w:szCs w:val="24"/>
                <w:lang w:eastAsia="en-GB"/>
              </w:rPr>
            </w:pPr>
            <w:r w:rsidRPr="00EA4C9B">
              <w:rPr>
                <w:noProof/>
              </w:rPr>
              <w:drawing>
                <wp:inline distT="0" distB="0" distL="0" distR="0" wp14:anchorId="00978489" wp14:editId="4FC43E01">
                  <wp:extent cx="5670550" cy="2098342"/>
                  <wp:effectExtent l="0" t="0" r="0" b="0"/>
                  <wp:docPr id="1172394309" name="Picture 1" descr="A graph of green bars with numbers and a number of ta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94309" name="Picture 1" descr="A graph of green bars with numbers and a number of tax&#10;&#10;AI-generated content may be incorrect."/>
                          <pic:cNvPicPr/>
                        </pic:nvPicPr>
                        <pic:blipFill>
                          <a:blip r:embed="rId86">
                            <a:extLst>
                              <a:ext uri="{28A0092B-C50C-407E-A947-70E740481C1C}">
                                <a14:useLocalDpi xmlns:a14="http://schemas.microsoft.com/office/drawing/2010/main" val="0"/>
                              </a:ext>
                            </a:extLst>
                          </a:blip>
                          <a:stretch>
                            <a:fillRect/>
                          </a:stretch>
                        </pic:blipFill>
                        <pic:spPr>
                          <a:xfrm>
                            <a:off x="0" y="0"/>
                            <a:ext cx="5678245" cy="2101189"/>
                          </a:xfrm>
                          <a:prstGeom prst="rect">
                            <a:avLst/>
                          </a:prstGeom>
                        </pic:spPr>
                      </pic:pic>
                    </a:graphicData>
                  </a:graphic>
                </wp:inline>
              </w:drawing>
            </w:r>
            <w:r w:rsidRPr="00EA4C9B">
              <w:rPr>
                <w:rFonts w:ascii="Times New Roman" w:eastAsia="Times New Roman" w:hAnsi="Times New Roman" w:cs="Times New Roman"/>
                <w:sz w:val="24"/>
                <w:szCs w:val="24"/>
                <w:lang w:eastAsia="en-GB"/>
              </w:rPr>
              <w:fldChar w:fldCharType="begin"/>
            </w:r>
            <w:r w:rsidRPr="00EA4C9B">
              <w:rPr>
                <w:rFonts w:ascii="Times New Roman" w:eastAsia="Times New Roman" w:hAnsi="Times New Roman" w:cs="Times New Roman"/>
                <w:sz w:val="24"/>
                <w:szCs w:val="24"/>
                <w:lang w:eastAsia="en-GB"/>
              </w:rPr>
              <w:instrText xml:space="preserve"> INCLUDEPICTURE "C:\\Users\\cambo\\Library\\Group Containers\\UBF8T346G9.ms\\WebArchiveCopyPasteTempFiles\\com.microsoft.Word\\lfn3dKmv53VbuvYMToW7+toKd5sMTiGEEEIInWRwCiGEEELoJINTCCGEEEInGZxCCCGEEDrJ4BRCCCGE0EkGpxBCCCGETjI4hRBCCCF0ksEphBBCCKGTDE4hhBBCCJ1kcAohhBBC6CSDUwghhBBCJxmcQgghhBA6yeAUQgghhNBJBqcQQgghhE4yOIUQQgghdJLBKYQQQgihkwxOIYQQQgidZHAKIYQQQuhimv4fLdQjuPy1Go4AAAAASUVORK5CYII=" \* MERGEFORMAT </w:instrText>
            </w:r>
            <w:r w:rsidRPr="00EA4C9B">
              <w:rPr>
                <w:rFonts w:ascii="Times New Roman" w:eastAsia="Times New Roman" w:hAnsi="Times New Roman" w:cs="Times New Roman"/>
                <w:sz w:val="24"/>
                <w:szCs w:val="24"/>
                <w:lang w:eastAsia="en-GB"/>
              </w:rPr>
              <w:fldChar w:fldCharType="separate"/>
            </w:r>
            <w:r w:rsidRPr="00EA4C9B">
              <w:rPr>
                <w:rFonts w:ascii="Times New Roman" w:eastAsia="Times New Roman" w:hAnsi="Times New Roman" w:cs="Times New Roman"/>
                <w:sz w:val="24"/>
                <w:szCs w:val="24"/>
                <w:lang w:eastAsia="en-GB"/>
              </w:rPr>
              <w:fldChar w:fldCharType="end"/>
            </w:r>
            <w:r w:rsidRPr="00EA4C9B">
              <w:rPr>
                <w:rFonts w:ascii="Calibri" w:eastAsia="Times New Roman" w:hAnsi="Calibri" w:cs="Calibri"/>
                <w:sz w:val="10"/>
                <w:szCs w:val="10"/>
                <w:lang w:eastAsia="en-GB"/>
              </w:rPr>
              <w:t> </w:t>
            </w:r>
          </w:p>
          <w:p w14:paraId="03F23720" w14:textId="77777777" w:rsidR="004675E2" w:rsidRPr="00EA4C9B" w:rsidRDefault="004675E2">
            <w:pPr>
              <w:spacing w:after="0"/>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10"/>
                <w:szCs w:val="10"/>
                <w:lang w:eastAsia="en-GB"/>
              </w:rPr>
              <w:t> </w:t>
            </w:r>
          </w:p>
          <w:p w14:paraId="7E3981BD" w14:textId="77777777" w:rsidR="004675E2" w:rsidRPr="00EA4C9B" w:rsidRDefault="004675E2">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10"/>
                <w:szCs w:val="10"/>
                <w:lang w:eastAsia="en-GB"/>
              </w:rPr>
              <w:t> </w:t>
            </w:r>
          </w:p>
        </w:tc>
      </w:tr>
      <w:tr w:rsidR="004675E2" w:rsidRPr="00EA4C9B" w14:paraId="6086E2DD" w14:textId="77777777" w:rsidTr="004F0767">
        <w:trPr>
          <w:trHeight w:val="300"/>
        </w:trPr>
        <w:tc>
          <w:tcPr>
            <w:tcW w:w="9064" w:type="dxa"/>
            <w:tcBorders>
              <w:top w:val="single" w:sz="6" w:space="0" w:color="auto"/>
              <w:left w:val="single" w:sz="6" w:space="0" w:color="auto"/>
              <w:bottom w:val="single" w:sz="6" w:space="0" w:color="auto"/>
              <w:right w:val="single" w:sz="6" w:space="0" w:color="auto"/>
            </w:tcBorders>
            <w:shd w:val="clear" w:color="auto" w:fill="003399"/>
            <w:hideMark/>
          </w:tcPr>
          <w:p w14:paraId="6B8ECE22" w14:textId="633E2AE4" w:rsidR="004675E2" w:rsidRPr="00EA4C9B" w:rsidRDefault="00282899" w:rsidP="00E910E4">
            <w:pPr>
              <w:pStyle w:val="FigTabCaption"/>
              <w:rPr>
                <w:rFonts w:ascii="Times New Roman" w:eastAsia="Times New Roman" w:hAnsi="Times New Roman" w:cs="Times New Roman"/>
                <w:sz w:val="24"/>
                <w:lang w:eastAsia="en-GB"/>
              </w:rPr>
            </w:pPr>
            <w:r w:rsidRPr="00051732">
              <w:t xml:space="preserve">Figure </w:t>
            </w:r>
            <w:r w:rsidR="00490085">
              <w:t>A6</w:t>
            </w:r>
            <w:r w:rsidRPr="00051732">
              <w:t>-</w:t>
            </w:r>
            <w:fldSimple w:instr=" SEQ Figure_A5- \* ARABIC ">
              <w:r w:rsidR="0091411A">
                <w:rPr>
                  <w:noProof/>
                </w:rPr>
                <w:t>41</w:t>
              </w:r>
            </w:fldSimple>
            <w:r w:rsidR="004675E2" w:rsidRPr="00EA4C9B">
              <w:rPr>
                <w:lang w:eastAsia="en-GB"/>
              </w:rPr>
              <w:t xml:space="preserve">: Resource and pollution tax revenues in Italy (2009-2023) in million euros. </w:t>
            </w:r>
            <w:r w:rsidR="004675E2" w:rsidRPr="00EA4C9B">
              <w:rPr>
                <w:i/>
                <w:iCs/>
                <w:lang w:eastAsia="en-GB"/>
              </w:rPr>
              <w:t>Note: the share between pollution and resource taxes in 2023 was estimated as the weighted average of past years</w:t>
            </w:r>
            <w:r w:rsidR="004675E2" w:rsidRPr="00EA4C9B">
              <w:rPr>
                <w:lang w:eastAsia="en-GB"/>
              </w:rPr>
              <w:t>  </w:t>
            </w:r>
          </w:p>
        </w:tc>
      </w:tr>
    </w:tbl>
    <w:p w14:paraId="31BA2382" w14:textId="77777777" w:rsidR="004675E2" w:rsidRPr="00EA4C9B" w:rsidRDefault="004675E2" w:rsidP="004675E2">
      <w:pPr>
        <w:spacing w:after="0"/>
        <w:textAlignment w:val="baseline"/>
        <w:rPr>
          <w:rFonts w:ascii="Calibri" w:eastAsia="Times New Roman" w:hAnsi="Calibri" w:cs="Calibri"/>
          <w:lang w:eastAsia="en-GB"/>
        </w:rPr>
      </w:pPr>
      <w:r w:rsidRPr="00EA4C9B">
        <w:rPr>
          <w:rFonts w:ascii="Calibri" w:eastAsia="Times New Roman" w:hAnsi="Calibri" w:cs="Calibri"/>
          <w:lang w:eastAsia="en-GB"/>
        </w:rPr>
        <w:t> </w:t>
      </w:r>
    </w:p>
    <w:p w14:paraId="7EA784EF" w14:textId="77777777" w:rsidR="00A00DA3" w:rsidRPr="00A00DA3" w:rsidRDefault="00A00DA3" w:rsidP="00A00DA3">
      <w:pPr>
        <w:pStyle w:val="Heading4"/>
      </w:pPr>
      <w:r w:rsidRPr="00A00DA3">
        <w:t>List of pollution and resource taxes and revenue shares</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4"/>
        <w:gridCol w:w="1843"/>
        <w:gridCol w:w="1843"/>
        <w:gridCol w:w="1984"/>
      </w:tblGrid>
      <w:tr w:rsidR="004675E2" w:rsidRPr="00EA4C9B" w14:paraId="1A814545" w14:textId="77777777" w:rsidTr="004F0767">
        <w:trPr>
          <w:trHeight w:val="58"/>
          <w:tblHeader/>
        </w:trPr>
        <w:tc>
          <w:tcPr>
            <w:tcW w:w="9064"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55FE5EA2" w14:textId="1FA91D02" w:rsidR="004675E2" w:rsidRPr="00F23CBA" w:rsidRDefault="00282899" w:rsidP="00BA7936">
            <w:pPr>
              <w:pStyle w:val="Table"/>
              <w:ind w:left="57" w:right="57"/>
              <w:rPr>
                <w:rFonts w:ascii="Times New Roman" w:eastAsia="Times New Roman" w:hAnsi="Times New Roman" w:cs="Times New Roman"/>
                <w:b/>
                <w:sz w:val="24"/>
                <w:lang w:eastAsia="en-GB"/>
              </w:rPr>
            </w:pPr>
            <w:r w:rsidRPr="00F23CBA">
              <w:rPr>
                <w:b/>
                <w:color w:val="FFFFFF" w:themeColor="background1"/>
              </w:rPr>
              <w:t xml:space="preserve">Table </w:t>
            </w:r>
            <w:r w:rsidR="00490085">
              <w:rPr>
                <w:b/>
                <w:color w:val="FFFFFF" w:themeColor="background1"/>
              </w:rPr>
              <w:t>A6</w:t>
            </w:r>
            <w:r w:rsidR="00F23CBA" w:rsidRPr="00F23CBA">
              <w:rPr>
                <w:b/>
                <w:bCs/>
                <w:color w:val="FFFFFF" w:themeColor="background1"/>
              </w:rPr>
              <w:t>-</w:t>
            </w:r>
            <w:r w:rsidR="00F23CBA" w:rsidRPr="00F23CBA">
              <w:rPr>
                <w:b/>
                <w:bCs/>
                <w:color w:val="FFFFFF" w:themeColor="background1"/>
              </w:rPr>
              <w:fldChar w:fldCharType="begin"/>
            </w:r>
            <w:r w:rsidR="00F23CBA" w:rsidRPr="00F23CBA">
              <w:rPr>
                <w:b/>
                <w:bCs/>
                <w:color w:val="FFFFFF" w:themeColor="background1"/>
              </w:rPr>
              <w:instrText xml:space="preserve"> SEQ Table_A5- \* ARABIC </w:instrText>
            </w:r>
            <w:r w:rsidR="00F23CBA" w:rsidRPr="00F23CBA">
              <w:rPr>
                <w:b/>
                <w:bCs/>
                <w:color w:val="FFFFFF" w:themeColor="background1"/>
              </w:rPr>
              <w:fldChar w:fldCharType="separate"/>
            </w:r>
            <w:r w:rsidR="00E17CEA">
              <w:rPr>
                <w:b/>
                <w:bCs/>
                <w:noProof/>
                <w:color w:val="FFFFFF" w:themeColor="background1"/>
              </w:rPr>
              <w:t>78</w:t>
            </w:r>
            <w:r w:rsidR="00F23CBA" w:rsidRPr="00F23CBA">
              <w:rPr>
                <w:b/>
                <w:bCs/>
                <w:color w:val="FFFFFF" w:themeColor="background1"/>
              </w:rPr>
              <w:fldChar w:fldCharType="end"/>
            </w:r>
            <w:r w:rsidR="004675E2" w:rsidRPr="00F23CBA">
              <w:rPr>
                <w:rFonts w:ascii="Calibri" w:eastAsia="Times New Roman" w:hAnsi="Calibri" w:cs="Calibri"/>
                <w:b/>
                <w:color w:val="FFFFFF" w:themeColor="background1"/>
                <w:szCs w:val="20"/>
                <w:lang w:eastAsia="en-GB"/>
              </w:rPr>
              <w:t>:  Pollution taxes </w:t>
            </w:r>
          </w:p>
        </w:tc>
      </w:tr>
      <w:tr w:rsidR="004675E2" w:rsidRPr="00EA4C9B" w14:paraId="74AB6BA5" w14:textId="77777777" w:rsidTr="004F0767">
        <w:trPr>
          <w:trHeight w:val="300"/>
          <w:tblHeader/>
        </w:trPr>
        <w:tc>
          <w:tcPr>
            <w:tcW w:w="3394" w:type="dxa"/>
            <w:tcBorders>
              <w:top w:val="single" w:sz="6" w:space="0" w:color="auto"/>
              <w:left w:val="single" w:sz="6" w:space="0" w:color="auto"/>
              <w:bottom w:val="single" w:sz="6" w:space="0" w:color="auto"/>
              <w:right w:val="single" w:sz="6" w:space="0" w:color="auto"/>
            </w:tcBorders>
            <w:hideMark/>
          </w:tcPr>
          <w:p w14:paraId="6C4B286D" w14:textId="77777777" w:rsidR="004675E2" w:rsidRPr="00EA4C9B" w:rsidRDefault="004675E2" w:rsidP="00BA7936">
            <w:pPr>
              <w:pStyle w:val="Table"/>
              <w:ind w:left="57" w:right="57"/>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843" w:type="dxa"/>
            <w:tcBorders>
              <w:top w:val="single" w:sz="6" w:space="0" w:color="auto"/>
              <w:left w:val="single" w:sz="6" w:space="0" w:color="auto"/>
              <w:bottom w:val="single" w:sz="6" w:space="0" w:color="auto"/>
              <w:right w:val="single" w:sz="6" w:space="0" w:color="auto"/>
            </w:tcBorders>
            <w:hideMark/>
          </w:tcPr>
          <w:p w14:paraId="1A5ADEED" w14:textId="5FFE1832" w:rsidR="004675E2" w:rsidRPr="00EA4C9B" w:rsidRDefault="004675E2"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Revenue 2009-2023</w:t>
            </w:r>
          </w:p>
        </w:tc>
        <w:tc>
          <w:tcPr>
            <w:tcW w:w="1843" w:type="dxa"/>
            <w:tcBorders>
              <w:top w:val="single" w:sz="6" w:space="0" w:color="auto"/>
              <w:left w:val="single" w:sz="6" w:space="0" w:color="auto"/>
              <w:bottom w:val="single" w:sz="6" w:space="0" w:color="auto"/>
              <w:right w:val="single" w:sz="6" w:space="0" w:color="auto"/>
            </w:tcBorders>
            <w:hideMark/>
          </w:tcPr>
          <w:p w14:paraId="2B26F135" w14:textId="31F31EC4" w:rsidR="004675E2" w:rsidRPr="00EA4C9B" w:rsidRDefault="004675E2"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w:t>
            </w:r>
          </w:p>
        </w:tc>
        <w:tc>
          <w:tcPr>
            <w:tcW w:w="1984" w:type="dxa"/>
            <w:tcBorders>
              <w:top w:val="single" w:sz="6" w:space="0" w:color="auto"/>
              <w:left w:val="single" w:sz="6" w:space="0" w:color="auto"/>
              <w:bottom w:val="single" w:sz="6" w:space="0" w:color="auto"/>
              <w:right w:val="single" w:sz="6" w:space="0" w:color="auto"/>
            </w:tcBorders>
            <w:hideMark/>
          </w:tcPr>
          <w:p w14:paraId="10004032" w14:textId="56F00E8F" w:rsidR="004675E2" w:rsidRPr="00EA4C9B" w:rsidRDefault="004675E2"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Share of all pollution tax revenues </w:t>
            </w:r>
          </w:p>
        </w:tc>
      </w:tr>
      <w:tr w:rsidR="004675E2" w:rsidRPr="00EA4C9B" w14:paraId="77521B35" w14:textId="77777777" w:rsidTr="004F0767">
        <w:trPr>
          <w:trHeight w:val="300"/>
        </w:trPr>
        <w:tc>
          <w:tcPr>
            <w:tcW w:w="3394" w:type="dxa"/>
            <w:tcBorders>
              <w:top w:val="single" w:sz="6" w:space="0" w:color="auto"/>
              <w:left w:val="single" w:sz="6" w:space="0" w:color="auto"/>
              <w:bottom w:val="single" w:sz="6" w:space="0" w:color="auto"/>
              <w:right w:val="single" w:sz="6" w:space="0" w:color="auto"/>
            </w:tcBorders>
          </w:tcPr>
          <w:p w14:paraId="6F4D7C98" w14:textId="77777777" w:rsidR="004675E2" w:rsidRPr="00EA4C9B" w:rsidRDefault="004675E2" w:rsidP="00BA7936">
            <w:pPr>
              <w:pStyle w:val="Table"/>
              <w:ind w:left="57" w:right="57"/>
              <w:rPr>
                <w:rFonts w:ascii="Calibri" w:eastAsia="Times New Roman" w:hAnsi="Calibri" w:cs="Calibri"/>
                <w:szCs w:val="20"/>
                <w:lang w:eastAsia="en-GB"/>
              </w:rPr>
            </w:pPr>
            <w:r w:rsidRPr="00EA4C9B">
              <w:rPr>
                <w:rFonts w:ascii="Calibri" w:eastAsia="Times New Roman" w:hAnsi="Calibri" w:cs="Calibri"/>
                <w:szCs w:val="20"/>
                <w:lang w:eastAsia="en-GB"/>
              </w:rPr>
              <w:t>Local tax for the exercise of environmental protection, hygiene and safeguard functions (</w:t>
            </w:r>
            <w:r w:rsidRPr="00EA4C9B">
              <w:rPr>
                <w:rFonts w:ascii="Calibri" w:eastAsia="Times New Roman" w:hAnsi="Calibri" w:cs="Calibri"/>
                <w:i/>
                <w:szCs w:val="20"/>
                <w:lang w:eastAsia="en-GB"/>
              </w:rPr>
              <w:t>Tributo provinciale per la tutela, protezione ed igiene dell’ ambiente - TEFA</w:t>
            </w:r>
            <w:r w:rsidRPr="00EA4C9B">
              <w:rPr>
                <w:rFonts w:ascii="Calibri" w:eastAsia="Times New Roman" w:hAnsi="Calibri" w:cs="Calibri"/>
                <w:szCs w:val="20"/>
                <w:lang w:eastAsia="en-GB"/>
              </w:rPr>
              <w:t>)</w:t>
            </w:r>
          </w:p>
        </w:tc>
        <w:tc>
          <w:tcPr>
            <w:tcW w:w="1843" w:type="dxa"/>
            <w:tcBorders>
              <w:top w:val="single" w:sz="6" w:space="0" w:color="auto"/>
              <w:left w:val="single" w:sz="6" w:space="0" w:color="auto"/>
              <w:bottom w:val="single" w:sz="6" w:space="0" w:color="auto"/>
              <w:right w:val="single" w:sz="6" w:space="0" w:color="auto"/>
            </w:tcBorders>
          </w:tcPr>
          <w:p w14:paraId="0AB1C364" w14:textId="526B571E" w:rsidR="004675E2" w:rsidRPr="00EA4C9B" w:rsidRDefault="004675E2" w:rsidP="00BA7936">
            <w:pPr>
              <w:pStyle w:val="Table"/>
              <w:ind w:left="57" w:right="57"/>
              <w:jc w:val="center"/>
              <w:rPr>
                <w:rFonts w:ascii="Calibri" w:eastAsia="Times New Roman" w:hAnsi="Calibri" w:cs="Calibri"/>
                <w:szCs w:val="20"/>
                <w:lang w:eastAsia="en-GB"/>
              </w:rPr>
            </w:pPr>
            <w:r w:rsidRPr="00EA4C9B">
              <w:rPr>
                <w:rFonts w:ascii="Calibri" w:eastAsia="Times New Roman" w:hAnsi="Calibri" w:cs="Calibri"/>
                <w:szCs w:val="20"/>
                <w:lang w:eastAsia="en-GB"/>
              </w:rPr>
              <w:t>€5,500 million</w:t>
            </w:r>
          </w:p>
        </w:tc>
        <w:tc>
          <w:tcPr>
            <w:tcW w:w="1843" w:type="dxa"/>
            <w:tcBorders>
              <w:top w:val="single" w:sz="6" w:space="0" w:color="auto"/>
              <w:left w:val="single" w:sz="6" w:space="0" w:color="auto"/>
              <w:bottom w:val="single" w:sz="6" w:space="0" w:color="auto"/>
              <w:right w:val="single" w:sz="6" w:space="0" w:color="auto"/>
            </w:tcBorders>
          </w:tcPr>
          <w:p w14:paraId="60A183A8" w14:textId="7AFA0B90" w:rsidR="004675E2" w:rsidRPr="00EA4C9B" w:rsidRDefault="004675E2" w:rsidP="00BA7936">
            <w:pPr>
              <w:pStyle w:val="Table"/>
              <w:ind w:left="57" w:right="57"/>
              <w:jc w:val="center"/>
              <w:rPr>
                <w:rFonts w:ascii="Calibri" w:eastAsia="Times New Roman" w:hAnsi="Calibri" w:cs="Calibri"/>
                <w:szCs w:val="20"/>
                <w:lang w:eastAsia="en-GB"/>
              </w:rPr>
            </w:pPr>
            <w:r w:rsidRPr="00EA4C9B">
              <w:rPr>
                <w:rFonts w:ascii="Calibri" w:eastAsia="Times New Roman" w:hAnsi="Calibri" w:cs="Calibri"/>
                <w:szCs w:val="20"/>
                <w:lang w:eastAsia="en-GB"/>
              </w:rPr>
              <w:t>€430.9 million in 2023</w:t>
            </w:r>
          </w:p>
        </w:tc>
        <w:tc>
          <w:tcPr>
            <w:tcW w:w="1984" w:type="dxa"/>
            <w:tcBorders>
              <w:top w:val="single" w:sz="6" w:space="0" w:color="auto"/>
              <w:left w:val="single" w:sz="6" w:space="0" w:color="auto"/>
              <w:bottom w:val="single" w:sz="6" w:space="0" w:color="auto"/>
              <w:right w:val="single" w:sz="6" w:space="0" w:color="auto"/>
            </w:tcBorders>
          </w:tcPr>
          <w:p w14:paraId="2F44A3F1" w14:textId="659A8234" w:rsidR="004675E2" w:rsidRPr="00EA4C9B" w:rsidRDefault="004675E2" w:rsidP="00BA7936">
            <w:pPr>
              <w:pStyle w:val="Table"/>
              <w:ind w:left="57" w:right="57"/>
              <w:jc w:val="center"/>
              <w:rPr>
                <w:rFonts w:ascii="Calibri" w:eastAsia="Times New Roman" w:hAnsi="Calibri" w:cs="Calibri"/>
                <w:szCs w:val="20"/>
                <w:lang w:eastAsia="en-GB"/>
              </w:rPr>
            </w:pPr>
            <w:r w:rsidRPr="00EA4C9B">
              <w:rPr>
                <w:rFonts w:ascii="Calibri" w:eastAsia="Times New Roman" w:hAnsi="Calibri" w:cs="Calibri"/>
                <w:szCs w:val="20"/>
                <w:lang w:eastAsia="en-GB"/>
              </w:rPr>
              <w:t>78.6%</w:t>
            </w:r>
          </w:p>
        </w:tc>
      </w:tr>
      <w:tr w:rsidR="004675E2" w:rsidRPr="00EA4C9B" w14:paraId="34376F9C" w14:textId="77777777" w:rsidTr="004F0767">
        <w:trPr>
          <w:trHeight w:val="300"/>
        </w:trPr>
        <w:tc>
          <w:tcPr>
            <w:tcW w:w="3394" w:type="dxa"/>
            <w:tcBorders>
              <w:top w:val="single" w:sz="6" w:space="0" w:color="auto"/>
              <w:left w:val="single" w:sz="6" w:space="0" w:color="auto"/>
              <w:bottom w:val="single" w:sz="6" w:space="0" w:color="auto"/>
              <w:right w:val="single" w:sz="6" w:space="0" w:color="auto"/>
            </w:tcBorders>
            <w:hideMark/>
          </w:tcPr>
          <w:p w14:paraId="23EAA51C" w14:textId="77777777" w:rsidR="004675E2" w:rsidRPr="004F0767" w:rsidRDefault="004675E2" w:rsidP="00BA7936">
            <w:pPr>
              <w:pStyle w:val="Table"/>
              <w:ind w:left="57" w:right="57"/>
              <w:rPr>
                <w:rFonts w:ascii="Times New Roman" w:eastAsia="Times New Roman" w:hAnsi="Times New Roman" w:cs="Times New Roman"/>
                <w:sz w:val="24"/>
                <w:lang w:val="it-IT" w:eastAsia="en-GB"/>
              </w:rPr>
            </w:pPr>
            <w:r w:rsidRPr="004F0767">
              <w:rPr>
                <w:rFonts w:ascii="Calibri" w:eastAsia="Times New Roman" w:hAnsi="Calibri" w:cs="Calibri"/>
                <w:szCs w:val="20"/>
                <w:lang w:val="it-IT" w:eastAsia="en-GB"/>
              </w:rPr>
              <w:t>Regional special tax on the landfill of solid waste (</w:t>
            </w:r>
            <w:r w:rsidRPr="004F0767">
              <w:rPr>
                <w:rFonts w:ascii="Calibri" w:eastAsia="Times New Roman" w:hAnsi="Calibri" w:cs="Calibri"/>
                <w:i/>
                <w:szCs w:val="20"/>
                <w:lang w:val="it-IT" w:eastAsia="en-GB"/>
              </w:rPr>
              <w:t>Tributo speciale per il deposito in discarica dei rifiuti solidi</w:t>
            </w:r>
            <w:r w:rsidRPr="004F0767">
              <w:rPr>
                <w:rFonts w:ascii="Calibri" w:eastAsia="Times New Roman" w:hAnsi="Calibri" w:cs="Calibri"/>
                <w:szCs w:val="20"/>
                <w:lang w:val="it-IT" w:eastAsia="en-GB"/>
              </w:rPr>
              <w:t>) </w:t>
            </w:r>
          </w:p>
        </w:tc>
        <w:tc>
          <w:tcPr>
            <w:tcW w:w="1843" w:type="dxa"/>
            <w:tcBorders>
              <w:top w:val="single" w:sz="6" w:space="0" w:color="auto"/>
              <w:left w:val="single" w:sz="6" w:space="0" w:color="auto"/>
              <w:bottom w:val="single" w:sz="6" w:space="0" w:color="auto"/>
              <w:right w:val="single" w:sz="6" w:space="0" w:color="auto"/>
            </w:tcBorders>
            <w:hideMark/>
          </w:tcPr>
          <w:p w14:paraId="7BCCE960" w14:textId="7381FE7F" w:rsidR="004675E2" w:rsidRPr="00EA4C9B" w:rsidRDefault="004675E2"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€1,881 million</w:t>
            </w:r>
          </w:p>
        </w:tc>
        <w:tc>
          <w:tcPr>
            <w:tcW w:w="1843" w:type="dxa"/>
            <w:tcBorders>
              <w:top w:val="single" w:sz="6" w:space="0" w:color="auto"/>
              <w:left w:val="single" w:sz="6" w:space="0" w:color="auto"/>
              <w:bottom w:val="single" w:sz="6" w:space="0" w:color="auto"/>
              <w:right w:val="single" w:sz="6" w:space="0" w:color="auto"/>
            </w:tcBorders>
            <w:hideMark/>
          </w:tcPr>
          <w:p w14:paraId="7F220FA4" w14:textId="5D0D46C5" w:rsidR="004675E2" w:rsidRPr="00EA4C9B" w:rsidRDefault="004675E2"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€102.1 million in 2023</w:t>
            </w:r>
          </w:p>
        </w:tc>
        <w:tc>
          <w:tcPr>
            <w:tcW w:w="1984" w:type="dxa"/>
            <w:tcBorders>
              <w:top w:val="single" w:sz="6" w:space="0" w:color="auto"/>
              <w:left w:val="single" w:sz="6" w:space="0" w:color="auto"/>
              <w:bottom w:val="single" w:sz="6" w:space="0" w:color="auto"/>
              <w:right w:val="single" w:sz="6" w:space="0" w:color="auto"/>
            </w:tcBorders>
            <w:hideMark/>
          </w:tcPr>
          <w:p w14:paraId="58BF0BE0" w14:textId="6160DE56" w:rsidR="004675E2" w:rsidRPr="00EA4C9B" w:rsidRDefault="004675E2"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18.6%</w:t>
            </w:r>
          </w:p>
        </w:tc>
      </w:tr>
      <w:tr w:rsidR="004675E2" w:rsidRPr="00EA4C9B" w14:paraId="6BCE7F2F" w14:textId="77777777" w:rsidTr="004F0767">
        <w:trPr>
          <w:trHeight w:val="300"/>
        </w:trPr>
        <w:tc>
          <w:tcPr>
            <w:tcW w:w="3394" w:type="dxa"/>
            <w:tcBorders>
              <w:top w:val="single" w:sz="6" w:space="0" w:color="auto"/>
              <w:left w:val="single" w:sz="6" w:space="0" w:color="auto"/>
              <w:bottom w:val="single" w:sz="6" w:space="0" w:color="auto"/>
              <w:right w:val="single" w:sz="6" w:space="0" w:color="auto"/>
            </w:tcBorders>
            <w:hideMark/>
          </w:tcPr>
          <w:p w14:paraId="4DC18857" w14:textId="77777777" w:rsidR="004675E2" w:rsidRPr="004F0767" w:rsidRDefault="004675E2" w:rsidP="00BA7936">
            <w:pPr>
              <w:pStyle w:val="Table"/>
              <w:ind w:left="57" w:right="57"/>
              <w:rPr>
                <w:rFonts w:ascii="Times New Roman" w:eastAsia="Times New Roman" w:hAnsi="Times New Roman" w:cs="Times New Roman"/>
                <w:sz w:val="24"/>
                <w:lang w:val="it-IT" w:eastAsia="en-GB"/>
              </w:rPr>
            </w:pPr>
            <w:r w:rsidRPr="004F0767">
              <w:rPr>
                <w:rFonts w:ascii="Calibri" w:eastAsia="Times New Roman" w:hAnsi="Calibri" w:cs="Calibri"/>
                <w:szCs w:val="20"/>
                <w:lang w:val="it-IT" w:eastAsia="en-GB"/>
              </w:rPr>
              <w:t>Tax on emissions of sulphur dioxide (SO₂) and nitrogen oxides (NOx) (</w:t>
            </w:r>
            <w:r w:rsidRPr="004F0767">
              <w:rPr>
                <w:rFonts w:ascii="Calibri" w:eastAsia="Times New Roman" w:hAnsi="Calibri" w:cs="Calibri"/>
                <w:i/>
                <w:szCs w:val="20"/>
                <w:lang w:val="it-IT" w:eastAsia="en-GB"/>
              </w:rPr>
              <w:t>Tassa sulle emissioni di anidride solforosa (SO</w:t>
            </w:r>
            <w:r w:rsidRPr="004F0767">
              <w:rPr>
                <w:rFonts w:ascii="Calibri" w:eastAsia="Times New Roman" w:hAnsi="Calibri" w:cs="Calibri"/>
                <w:i/>
                <w:szCs w:val="20"/>
                <w:vertAlign w:val="subscript"/>
                <w:lang w:val="it-IT" w:eastAsia="en-GB"/>
              </w:rPr>
              <w:t>2</w:t>
            </w:r>
            <w:r w:rsidRPr="004F0767">
              <w:rPr>
                <w:rFonts w:ascii="Calibri" w:eastAsia="Times New Roman" w:hAnsi="Calibri" w:cs="Calibri"/>
                <w:i/>
                <w:szCs w:val="20"/>
                <w:lang w:val="it-IT" w:eastAsia="en-GB"/>
              </w:rPr>
              <w:t>) e ossidi di azoto (NO</w:t>
            </w:r>
            <w:r w:rsidRPr="004F0767">
              <w:rPr>
                <w:rFonts w:ascii="Calibri" w:eastAsia="Times New Roman" w:hAnsi="Calibri" w:cs="Calibri"/>
                <w:i/>
                <w:szCs w:val="20"/>
                <w:vertAlign w:val="subscript"/>
                <w:lang w:val="it-IT" w:eastAsia="en-GB"/>
              </w:rPr>
              <w:t>x</w:t>
            </w:r>
            <w:r w:rsidRPr="004F0767">
              <w:rPr>
                <w:rFonts w:ascii="Calibri" w:eastAsia="Times New Roman" w:hAnsi="Calibri" w:cs="Calibri"/>
                <w:i/>
                <w:szCs w:val="20"/>
                <w:lang w:val="it-IT" w:eastAsia="en-GB"/>
              </w:rPr>
              <w:t>)</w:t>
            </w:r>
            <w:r w:rsidRPr="004F0767">
              <w:rPr>
                <w:rFonts w:ascii="Calibri" w:eastAsia="Times New Roman" w:hAnsi="Calibri" w:cs="Calibri"/>
                <w:szCs w:val="20"/>
                <w:lang w:val="it-IT" w:eastAsia="en-GB"/>
              </w:rPr>
              <w:t>)</w:t>
            </w:r>
          </w:p>
        </w:tc>
        <w:tc>
          <w:tcPr>
            <w:tcW w:w="1843" w:type="dxa"/>
            <w:tcBorders>
              <w:top w:val="single" w:sz="6" w:space="0" w:color="auto"/>
              <w:left w:val="single" w:sz="6" w:space="0" w:color="auto"/>
              <w:bottom w:val="single" w:sz="6" w:space="0" w:color="auto"/>
              <w:right w:val="single" w:sz="6" w:space="0" w:color="auto"/>
            </w:tcBorders>
            <w:hideMark/>
          </w:tcPr>
          <w:p w14:paraId="14985530" w14:textId="5C3E8339" w:rsidR="004675E2" w:rsidRPr="00EA4C9B" w:rsidRDefault="004675E2"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€130.6 million</w:t>
            </w:r>
          </w:p>
        </w:tc>
        <w:tc>
          <w:tcPr>
            <w:tcW w:w="1843" w:type="dxa"/>
            <w:tcBorders>
              <w:top w:val="single" w:sz="6" w:space="0" w:color="auto"/>
              <w:left w:val="single" w:sz="6" w:space="0" w:color="auto"/>
              <w:bottom w:val="single" w:sz="6" w:space="0" w:color="auto"/>
              <w:right w:val="single" w:sz="6" w:space="0" w:color="auto"/>
            </w:tcBorders>
            <w:hideMark/>
          </w:tcPr>
          <w:p w14:paraId="3308D546" w14:textId="653D16D1" w:rsidR="004675E2" w:rsidRPr="00EA4C9B" w:rsidRDefault="004675E2"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€4.5 million in 2023</w:t>
            </w:r>
          </w:p>
        </w:tc>
        <w:tc>
          <w:tcPr>
            <w:tcW w:w="1984" w:type="dxa"/>
            <w:tcBorders>
              <w:top w:val="single" w:sz="6" w:space="0" w:color="auto"/>
              <w:left w:val="single" w:sz="6" w:space="0" w:color="auto"/>
              <w:bottom w:val="single" w:sz="6" w:space="0" w:color="auto"/>
              <w:right w:val="single" w:sz="6" w:space="0" w:color="auto"/>
            </w:tcBorders>
            <w:hideMark/>
          </w:tcPr>
          <w:p w14:paraId="74EAB92A" w14:textId="73A14C74" w:rsidR="004675E2" w:rsidRPr="00EA4C9B" w:rsidRDefault="004675E2"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0.8%</w:t>
            </w:r>
          </w:p>
        </w:tc>
      </w:tr>
      <w:tr w:rsidR="004675E2" w:rsidRPr="00EA4C9B" w14:paraId="3ADBD2EE" w14:textId="77777777" w:rsidTr="004F0767">
        <w:trPr>
          <w:trHeight w:val="300"/>
        </w:trPr>
        <w:tc>
          <w:tcPr>
            <w:tcW w:w="3394" w:type="dxa"/>
            <w:tcBorders>
              <w:top w:val="single" w:sz="6" w:space="0" w:color="auto"/>
              <w:left w:val="single" w:sz="6" w:space="0" w:color="auto"/>
              <w:bottom w:val="single" w:sz="6" w:space="0" w:color="auto"/>
              <w:right w:val="single" w:sz="6" w:space="0" w:color="auto"/>
            </w:tcBorders>
            <w:hideMark/>
          </w:tcPr>
          <w:p w14:paraId="6BF222BC" w14:textId="77777777" w:rsidR="004675E2" w:rsidRPr="004F0767" w:rsidRDefault="004675E2" w:rsidP="00BA7936">
            <w:pPr>
              <w:pStyle w:val="Table"/>
              <w:ind w:left="57" w:right="57"/>
              <w:rPr>
                <w:rFonts w:ascii="Calibri" w:eastAsia="Times New Roman" w:hAnsi="Calibri" w:cs="Calibri"/>
                <w:szCs w:val="20"/>
                <w:lang w:val="it-IT" w:eastAsia="en-GB"/>
              </w:rPr>
            </w:pPr>
            <w:r w:rsidRPr="004F0767">
              <w:rPr>
                <w:rFonts w:ascii="Calibri" w:eastAsia="Times New Roman" w:hAnsi="Calibri" w:cs="Calibri"/>
                <w:szCs w:val="20"/>
                <w:lang w:val="it-IT" w:eastAsia="en-GB"/>
              </w:rPr>
              <w:t>Regional tax on aircraft noise emissions (</w:t>
            </w:r>
            <w:r w:rsidRPr="004F0767">
              <w:rPr>
                <w:rFonts w:ascii="Calibri" w:eastAsia="Times New Roman" w:hAnsi="Calibri" w:cs="Calibri"/>
                <w:i/>
                <w:szCs w:val="20"/>
                <w:lang w:val="it-IT" w:eastAsia="en-GB"/>
              </w:rPr>
              <w:t>Imposta regionale sulle emissioni sonore degli aeromobili - IRESA</w:t>
            </w:r>
            <w:r w:rsidRPr="004F0767">
              <w:rPr>
                <w:rFonts w:ascii="Calibri" w:eastAsia="Times New Roman" w:hAnsi="Calibri" w:cs="Calibri"/>
                <w:szCs w:val="20"/>
                <w:lang w:val="it-IT" w:eastAsia="en-GB"/>
              </w:rPr>
              <w:t>)</w:t>
            </w:r>
          </w:p>
        </w:tc>
        <w:tc>
          <w:tcPr>
            <w:tcW w:w="1843" w:type="dxa"/>
            <w:tcBorders>
              <w:top w:val="single" w:sz="6" w:space="0" w:color="auto"/>
              <w:left w:val="single" w:sz="6" w:space="0" w:color="auto"/>
              <w:bottom w:val="single" w:sz="6" w:space="0" w:color="auto"/>
              <w:right w:val="single" w:sz="6" w:space="0" w:color="auto"/>
            </w:tcBorders>
            <w:hideMark/>
          </w:tcPr>
          <w:p w14:paraId="432B7F75" w14:textId="0DFEFA00" w:rsidR="004675E2" w:rsidRPr="00EA4C9B" w:rsidRDefault="004675E2"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€102.9 million</w:t>
            </w:r>
          </w:p>
        </w:tc>
        <w:tc>
          <w:tcPr>
            <w:tcW w:w="1843" w:type="dxa"/>
            <w:tcBorders>
              <w:top w:val="single" w:sz="6" w:space="0" w:color="auto"/>
              <w:left w:val="single" w:sz="6" w:space="0" w:color="auto"/>
              <w:bottom w:val="single" w:sz="6" w:space="0" w:color="auto"/>
              <w:right w:val="single" w:sz="6" w:space="0" w:color="auto"/>
            </w:tcBorders>
            <w:hideMark/>
          </w:tcPr>
          <w:p w14:paraId="76C57A66" w14:textId="09C98F38" w:rsidR="004675E2" w:rsidRPr="00EA4C9B" w:rsidRDefault="004675E2"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€10.8 million in 2023</w:t>
            </w:r>
          </w:p>
        </w:tc>
        <w:tc>
          <w:tcPr>
            <w:tcW w:w="1984" w:type="dxa"/>
            <w:tcBorders>
              <w:top w:val="single" w:sz="6" w:space="0" w:color="auto"/>
              <w:left w:val="single" w:sz="6" w:space="0" w:color="auto"/>
              <w:bottom w:val="single" w:sz="6" w:space="0" w:color="auto"/>
              <w:right w:val="single" w:sz="6" w:space="0" w:color="auto"/>
            </w:tcBorders>
            <w:hideMark/>
          </w:tcPr>
          <w:p w14:paraId="10F5A586" w14:textId="14881A2F" w:rsidR="004675E2" w:rsidRPr="00EA4C9B" w:rsidRDefault="004675E2"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2.0%</w:t>
            </w:r>
          </w:p>
        </w:tc>
      </w:tr>
    </w:tbl>
    <w:p w14:paraId="1E37D8B8" w14:textId="77777777" w:rsidR="004675E2" w:rsidRPr="00EA4C9B" w:rsidRDefault="004675E2" w:rsidP="004675E2">
      <w:pPr>
        <w:rPr>
          <w:highlight w:val="yellow"/>
        </w:rPr>
      </w:pPr>
    </w:p>
    <w:p w14:paraId="5F81BFAB" w14:textId="77777777" w:rsidR="004675E2" w:rsidRPr="00EA4C9B" w:rsidRDefault="004675E2" w:rsidP="004675E2">
      <w:r w:rsidRPr="00EA4C9B">
        <w:lastRenderedPageBreak/>
        <w:t>The</w:t>
      </w:r>
      <w:r w:rsidRPr="00EA4C9B">
        <w:rPr>
          <w:b/>
          <w:bCs/>
        </w:rPr>
        <w:t xml:space="preserve"> provincial tax for the exercise of environmental protection, hygiene and safeguard functions</w:t>
      </w:r>
      <w:r w:rsidRPr="00EA4C9B">
        <w:t xml:space="preserve"> (TEFA) is a tax established by the Italian legislator</w:t>
      </w:r>
      <w:r w:rsidRPr="00EA4C9B">
        <w:rPr>
          <w:rStyle w:val="FootnoteReference"/>
        </w:rPr>
        <w:footnoteReference w:id="477"/>
      </w:r>
      <w:r w:rsidRPr="00EA4C9B">
        <w:t xml:space="preserve"> in exchange for the exercise of administrative functions of provincial interest concerning the organisation of waste disposal, the detection, regulation and control of discharges and emissions, and for soil protection, defence and enhancement activities. The TEFA is a tax collected by individual Municipalities at the same time as the fee for the disposal of solid urban waste (TARI)</w:t>
      </w:r>
      <w:r w:rsidRPr="00EA4C9B">
        <w:rPr>
          <w:rStyle w:val="FootnoteReference"/>
        </w:rPr>
        <w:footnoteReference w:id="478"/>
      </w:r>
      <w:r w:rsidRPr="00EA4C9B">
        <w:t>. The amount of the tax was determined every year by the Municipalities as a percentage of the fee for the disposal of solid urban waste, from a minimum of 1% to a maximum of 5%. Since January 2020, the tax amount is set at 5% of the fee for the disposal of solid urban waste as established by each Municipality</w:t>
      </w:r>
      <w:r w:rsidRPr="00EA4C9B">
        <w:rPr>
          <w:rStyle w:val="FootnoteReference"/>
        </w:rPr>
        <w:footnoteReference w:id="479"/>
      </w:r>
      <w:r w:rsidRPr="00EA4C9B">
        <w:t>. Each Municipality can charge the relevant Province a commission of 0.3% of the sum collected for tax collection services</w:t>
      </w:r>
      <w:r w:rsidRPr="00EA4C9B">
        <w:rPr>
          <w:rStyle w:val="FootnoteReference"/>
        </w:rPr>
        <w:footnoteReference w:id="480"/>
      </w:r>
      <w:r w:rsidRPr="00EA4C9B">
        <w:t>. The tax is paid by the concessionaire of the waste management services or by the Municipality, in the case of direct management. It should be noted that the TEFA, although paid in proportion to the TARI and for financing environmental services, is considered an environmental tax because it is unrequited, while the TARI in principle is proportional to the service received</w:t>
      </w:r>
      <w:r w:rsidRPr="00EA4C9B">
        <w:rPr>
          <w:rStyle w:val="FootnoteReference"/>
        </w:rPr>
        <w:footnoteReference w:id="481"/>
      </w:r>
      <w:r w:rsidRPr="00EA4C9B">
        <w:t xml:space="preserve"> (in practice the surface of the dwelling and the number of the dwelling inhabitants are used as a proxy).</w:t>
      </w:r>
    </w:p>
    <w:p w14:paraId="0FA2DF23" w14:textId="77777777" w:rsidR="004675E2" w:rsidRPr="00EA4C9B" w:rsidRDefault="004675E2" w:rsidP="004675E2">
      <w:r w:rsidRPr="00EA4C9B">
        <w:t xml:space="preserve">The </w:t>
      </w:r>
      <w:r w:rsidRPr="00EA4C9B">
        <w:rPr>
          <w:b/>
          <w:bCs/>
        </w:rPr>
        <w:t>regional special tax on the landfill of solid waste</w:t>
      </w:r>
      <w:r w:rsidRPr="00EA4C9B">
        <w:t xml:space="preserve"> (also known as “ecotassa”)</w:t>
      </w:r>
      <w:r w:rsidRPr="00EA4C9B">
        <w:rPr>
          <w:b/>
          <w:bCs/>
        </w:rPr>
        <w:t xml:space="preserve"> </w:t>
      </w:r>
      <w:r w:rsidRPr="00EA4C9B">
        <w:t>was established in 1996</w:t>
      </w:r>
      <w:r w:rsidRPr="00EA4C9B">
        <w:rPr>
          <w:rStyle w:val="FootnoteReference"/>
        </w:rPr>
        <w:footnoteReference w:id="482"/>
      </w:r>
      <w:r w:rsidRPr="00EA4C9B">
        <w:t xml:space="preserve"> with the purpose of reducing the economic convenience of waste disposal (landfill or incineration without energy recovery) and therefore lowering waste production and encouraging raw materials or energy recovery. Ten percent of the tax revenues must be passed by the Regions to the Provinces were the landfills or incineration plants without energy recovery are located. At least 20% of the revenues, must be allocated by the Regions to regional funds dedicated to finance recycling, reuse and remediation activities</w:t>
      </w:r>
      <w:r w:rsidRPr="00EA4C9B">
        <w:rPr>
          <w:rStyle w:val="FootnoteReference"/>
        </w:rPr>
        <w:footnoteReference w:id="483"/>
      </w:r>
      <w:r w:rsidRPr="00EA4C9B">
        <w:t>. Radioactive waste, waste resulting from the prospecting, extraction, treatment and storage of mineral resources and from the exploitation of quarries, located within the mining concession area or the quarry production unit, and agricultural waste are exempted. The tax is paid by the concessionaire of the waste management services or by the Municipality, in the case of direct management, but these must charge the amount of the special tax to the waste producer. The tax base is constituted by the quantity of waste sent to the landfill, and the tax amount is determined by multiplying the unit levy for the quantity expressed in kilograms of the waste delivered, as well as by a weight correction coefficient that takes into account the specific weight, quality and conditions of delivery of the waste for the purposes of measuring the impact on the environmental cost</w:t>
      </w:r>
      <w:r w:rsidRPr="00EA4C9B">
        <w:rPr>
          <w:rStyle w:val="FootnoteReference"/>
        </w:rPr>
        <w:footnoteReference w:id="484"/>
      </w:r>
      <w:r w:rsidRPr="00EA4C9B">
        <w:t xml:space="preserve">. The unit levy is established by regional law every year, and ranges between €0.001 and €0.010 per kilogram of inert waste and between €0.00517 and €0.02582 per kilogram of hazardous and non-hazardous waste. Usually, the Regions apply the maximum unit levy to those Municipalities that do not achieve the objectives of separate waste collection, reuse and recycling. Municipalities that achieve a high quality of the organic waste, high quantities of packaging collection, </w:t>
      </w:r>
      <w:r w:rsidRPr="00EA4C9B">
        <w:lastRenderedPageBreak/>
        <w:t>and a high quality of the monitoring and control system of the separate waste collection can benefit of lower unit levies.</w:t>
      </w:r>
    </w:p>
    <w:p w14:paraId="7656F749" w14:textId="77777777" w:rsidR="004675E2" w:rsidRPr="00EA4C9B" w:rsidRDefault="004675E2" w:rsidP="004675E2">
      <w:r w:rsidRPr="00EA4C9B">
        <w:t xml:space="preserve">The </w:t>
      </w:r>
      <w:r w:rsidRPr="00EA4C9B">
        <w:rPr>
          <w:b/>
          <w:bCs/>
        </w:rPr>
        <w:t>tax on emissions of sulphur dioxide (SO₂) and nitrogen oxides (NOx)</w:t>
      </w:r>
      <w:r w:rsidRPr="00EA4C9B">
        <w:t xml:space="preserve"> was established in January 1998</w:t>
      </w:r>
      <w:r w:rsidRPr="00EA4C9B">
        <w:rPr>
          <w:rStyle w:val="FootnoteReference"/>
        </w:rPr>
        <w:footnoteReference w:id="485"/>
      </w:r>
      <w:r w:rsidRPr="00EA4C9B">
        <w:t>. The tax is set at EUR 106 per tonne/year of sulphur dioxide and EUR 209 per tonne/year of nitrogen oxides and is paid by the operators of large combustion plants</w:t>
      </w:r>
      <w:r w:rsidRPr="00EA4C9B">
        <w:rPr>
          <w:rStyle w:val="FootnoteReference"/>
        </w:rPr>
        <w:footnoteReference w:id="486"/>
      </w:r>
      <w:r w:rsidRPr="00EA4C9B">
        <w:t xml:space="preserve">. </w:t>
      </w:r>
    </w:p>
    <w:p w14:paraId="0159A6DB" w14:textId="77777777" w:rsidR="004675E2" w:rsidRPr="00EA4C9B" w:rsidRDefault="004675E2" w:rsidP="004675E2">
      <w:r w:rsidRPr="00EA4C9B">
        <w:t xml:space="preserve">The </w:t>
      </w:r>
      <w:r w:rsidRPr="00EA4C9B">
        <w:rPr>
          <w:b/>
          <w:bCs/>
        </w:rPr>
        <w:t>regional tax on aircraft noise emissions</w:t>
      </w:r>
      <w:r w:rsidRPr="00EA4C9B">
        <w:t xml:space="preserve"> (IRESA) was established in 2000 by Law no. 342/2000 (Art. 90) and replaced the regional tax on aircraft noise emissions established in 1997 by Law 27 December 1997 no. 449 (Art. 18), which in turn replaced the tax on aircraft pollution at national level established in 1990 by Legislative Decree of 27 April 1990 no. 90. The tax is due to the Regions or Autonomous Provinces for each take-off and landing of civil aircraft at airports, excluding all military, state, medical and emergency flights. Part of the tax revenues needs to be allocated to the implementation of noise abatement measures in the affected areas and to compensation of the populations affected by the noise emissions produced by the landing and take-off of aircrafts. The tax is to be paid by the aircraft operators, and the tax base is the noise emission of the aircraft. The amount to be paid is determined by the Regions and autonomous Provinces as a formula of the number of landings and take-offs, the weight of the aircraft, and the noise of the aircraft, in compliance with international standards on noise certification. </w:t>
      </w:r>
    </w:p>
    <w:p w14:paraId="6762D248" w14:textId="77777777" w:rsidR="004675E2" w:rsidRPr="00EA4C9B" w:rsidRDefault="004675E2" w:rsidP="004675E2">
      <w:r w:rsidRPr="00EA4C9B">
        <w:t>IRESA was one of the first experiments in “fiscal federalism” introduced by Legislative Decree no. 68 of 2011. This reform converted the tax on aircraft noise emissions from a national tax which revenues are devolved to the Regions into a full regional tax. As a result, Regions were given the autonomy to decide whether to introduce the tax and how to apply it. Only some Regions</w:t>
      </w:r>
      <w:r w:rsidRPr="00EA4C9B">
        <w:rPr>
          <w:rStyle w:val="FootnoteReference"/>
        </w:rPr>
        <w:footnoteReference w:id="487"/>
      </w:r>
      <w:r w:rsidRPr="00EA4C9B">
        <w:t xml:space="preserve"> chose to implement IRESA, with significant differences in its application across the country. Legislative Decree No. 145 of 2013 set the maximum rate for the tax at €0.50 per ton of aircraft weight and allowed for differentiated rates based on factors such as day versus night flights and the urban characteristics of areas surrounding each airport. However, the Italian Competition and Market Authority found that the tax lacked efficiency and largely failed to meet the criteria of a “purpose tax”. In most cases, only a small portion of the revenues was used for noise reduction measures or compensation for affected communities — for instance, in Lazio, just 10% of the revenue was allocated for these purposes</w:t>
      </w:r>
      <w:r w:rsidRPr="00EA4C9B">
        <w:rPr>
          <w:rStyle w:val="FootnoteReference"/>
        </w:rPr>
        <w:footnoteReference w:id="488"/>
      </w:r>
      <w:r w:rsidRPr="00EA4C9B">
        <w:t>. To promote greater consistency across Regions, the State-Regions Conference later issued common guidelines, including a recommended range of rates (document 12/175/CR5a/C2). Nonetheless, the Italian Supreme Court, in ruling No. 34228/2022, reaffirmed the Regions’ autonomy to define the core features of the tax, including how revenues are allocated and what percentages are assigned to different uses</w:t>
      </w:r>
      <w:r w:rsidRPr="00EA4C9B">
        <w:rPr>
          <w:rStyle w:val="FootnoteReference"/>
          <w:color w:val="000000" w:themeColor="text1"/>
        </w:rPr>
        <w:footnoteReference w:id="489"/>
      </w:r>
      <w:r w:rsidRPr="00EA4C9B">
        <w:rPr>
          <w:color w:val="000000" w:themeColor="text1"/>
        </w:rPr>
        <w:t>.</w:t>
      </w:r>
    </w:p>
    <w:p w14:paraId="552A133C" w14:textId="77777777" w:rsidR="004675E2" w:rsidRPr="00EA4C9B" w:rsidRDefault="004675E2" w:rsidP="004675E2">
      <w:pPr>
        <w:pStyle w:val="Heading4"/>
      </w:pPr>
      <w:r w:rsidRPr="00EA4C9B">
        <w:lastRenderedPageBreak/>
        <w:t>Fees and other related instruments</w:t>
      </w:r>
    </w:p>
    <w:p w14:paraId="4A30CC7F" w14:textId="77777777" w:rsidR="004675E2" w:rsidRPr="00EA4C9B" w:rsidRDefault="004675E2" w:rsidP="004675E2">
      <w:r w:rsidRPr="00EA4C9B">
        <w:t xml:space="preserve">In Italy, there are no taxes on the use of pesticides and fertilisers, but there is the so-called </w:t>
      </w:r>
      <w:r w:rsidRPr="00EA4C9B">
        <w:rPr>
          <w:b/>
          <w:bCs/>
        </w:rPr>
        <w:t>food safety contribution</w:t>
      </w:r>
      <w:r w:rsidRPr="00EA4C9B">
        <w:t>, introduced by Article 59 of Law 488/1999</w:t>
      </w:r>
      <w:r w:rsidRPr="00EA4C9B">
        <w:rPr>
          <w:rStyle w:val="FootnoteReference"/>
        </w:rPr>
        <w:footnoteReference w:id="490"/>
      </w:r>
      <w:r w:rsidRPr="00EA4C9B">
        <w:t>. Initially, it required holders of marketing authorisations and sales outlets for plant protection products classified as carcinogenic or with reprotoxic effects</w:t>
      </w:r>
      <w:r w:rsidRPr="00EA4C9B">
        <w:rPr>
          <w:rStyle w:val="FootnoteReference"/>
        </w:rPr>
        <w:footnoteReference w:id="491"/>
      </w:r>
      <w:r w:rsidRPr="00EA4C9B">
        <w:t xml:space="preserve"> to pay a contribution equal to 0.5% of their annual turnover from the production and sale of these products, starting 10 January 2000. For importers, the contribution was set at 1% of the purchase price. Over time, the rules surrounding this contribution evolved. In particular, Article 123 of Law 388/2000 amended the provisions, establishing that from January 2001, the contribution would amount to 2% of the previous year’s turnover related to the sale of plant protection products authorised under Articles 5, 8, and 10 of Legislative Decree No. 194/1995. It also applied to medical devices referred to in Article 1 of the Provisional Regulation (Presidential Decree No. 1255/1968), if classified as toxic, very toxic, carcinogenic, with reprotoxic effects, or very toxic to the aquatic environment</w:t>
      </w:r>
      <w:r w:rsidRPr="00EA4C9B">
        <w:rPr>
          <w:rStyle w:val="FootnoteReference"/>
        </w:rPr>
        <w:footnoteReference w:id="492"/>
      </w:r>
      <w:r w:rsidRPr="00EA4C9B">
        <w:t xml:space="preserve">. Law 388/2000 further clarified that the contribution was to be paid exclusively by holders of the marketing authorisations. The funds collected were allocated to a dedicated Fund supporting the development </w:t>
      </w:r>
      <w:r w:rsidRPr="0DB99A64">
        <w:t>of organic and quality agriculture. The contributi</w:t>
      </w:r>
      <w:r w:rsidRPr="00EA4C9B">
        <w:rPr>
          <w:rFonts w:ascii="Calibri" w:hAnsi="Calibri" w:cs="Calibri"/>
        </w:rPr>
        <w:t>on has been</w:t>
      </w:r>
      <w:r w:rsidRPr="00EA4C9B">
        <w:rPr>
          <w:rFonts w:ascii="Roboto" w:hAnsi="Roboto" w:cs="Roboto"/>
        </w:rPr>
        <w:t xml:space="preserve"> </w:t>
      </w:r>
      <w:r w:rsidRPr="0DB99A64">
        <w:t>revised again in 2022 (</w:t>
      </w:r>
      <w:r w:rsidRPr="00EA4C9B">
        <w:t>Article 9 of Law 23/2022), broadening the range of products subject to the contribution, including plant protection products adjuvants, and synthetic fertilisers, if classified as toxic, very toxic, carcinogenic, with reprotoxic effects, or very toxic to the aquatic environment (with a more comprehensive list of hazard statements)</w:t>
      </w:r>
      <w:r w:rsidRPr="00EA4C9B">
        <w:rPr>
          <w:rStyle w:val="FootnoteReference"/>
        </w:rPr>
        <w:footnoteReference w:id="493"/>
      </w:r>
      <w:r w:rsidRPr="00EA4C9B">
        <w:t xml:space="preserve">. </w:t>
      </w:r>
    </w:p>
    <w:p w14:paraId="4D220CF6" w14:textId="77777777" w:rsidR="004675E2" w:rsidRPr="00EA4C9B" w:rsidRDefault="004675E2" w:rsidP="004675E2">
      <w:r w:rsidRPr="00EA4C9B">
        <w:t>The food safety contribution is not an environmental tax because it is calculated as a percentage of the turnover from the sale of certain products, not on a physical unit of pollutant or environmental damage. This does not align with the environmental tax definition, where the base must be directly tied to environmental pressure. If the contribution was levied on the use of pesticides, and therefore on the farmers, then it would have qualified as environmental tax. </w:t>
      </w:r>
    </w:p>
    <w:p w14:paraId="2E5817A1" w14:textId="77777777" w:rsidR="004675E2" w:rsidRPr="00EA4C9B" w:rsidRDefault="004675E2" w:rsidP="004675E2">
      <w:r w:rsidRPr="00EA4C9B">
        <w:t xml:space="preserve">In Italy, there is a </w:t>
      </w:r>
      <w:r w:rsidRPr="00EA4C9B">
        <w:rPr>
          <w:b/>
          <w:bCs/>
        </w:rPr>
        <w:t xml:space="preserve">fee for water abstraction and wastewater discharge </w:t>
      </w:r>
      <w:r w:rsidRPr="00EA4C9B">
        <w:t>(</w:t>
      </w:r>
      <w:r w:rsidRPr="00EA4C9B">
        <w:rPr>
          <w:i/>
          <w:iCs/>
        </w:rPr>
        <w:t>tariffa per l’erogazione idrica, e i servizi di fognatura e depurazione</w:t>
      </w:r>
      <w:r w:rsidRPr="00EA4C9B">
        <w:t>), which is not an environmental tax as it is a requited payment</w:t>
      </w:r>
      <w:r w:rsidRPr="00EA4C9B">
        <w:rPr>
          <w:rStyle w:val="FootnoteReference"/>
        </w:rPr>
        <w:footnoteReference w:id="494"/>
      </w:r>
      <w:r w:rsidRPr="00EA4C9B">
        <w:t>.</w:t>
      </w:r>
    </w:p>
    <w:p w14:paraId="048F424D" w14:textId="77777777" w:rsidR="004675E2" w:rsidRPr="00EA4C9B" w:rsidRDefault="004675E2" w:rsidP="004675E2">
      <w:r w:rsidRPr="00EA4C9B">
        <w:t xml:space="preserve">As already mentioned, there are no resource taxes in Italy. However, there are </w:t>
      </w:r>
      <w:r w:rsidRPr="00EA4C9B">
        <w:rPr>
          <w:b/>
          <w:bCs/>
        </w:rPr>
        <w:t>permits</w:t>
      </w:r>
      <w:r w:rsidRPr="00EA4C9B">
        <w:t xml:space="preserve"> — often referred to as concessions, authorisations, licences, or qualifications — for activities such as hunting, fishing, or collecting natural resources (e.g., mushrooms). These permits typically involve the payment of a fee upon issuance, as well as an annual fee. In Italy, these are the competence of Regions and Municipalities. </w:t>
      </w:r>
      <w:r w:rsidRPr="00EA4C9B">
        <w:rPr>
          <w:b/>
          <w:bCs/>
        </w:rPr>
        <w:t>These fees do not qualify as environmental taxes because their payment is not unrequited</w:t>
      </w:r>
      <w:r w:rsidRPr="00EA4C9B">
        <w:t xml:space="preserve"> (the payment is made in exchange for a right or service, i.e., the legal right to hunt or fish), </w:t>
      </w:r>
      <w:r w:rsidRPr="00EA4C9B">
        <w:rPr>
          <w:b/>
          <w:bCs/>
        </w:rPr>
        <w:t>and the base is not a unit of environmental harm</w:t>
      </w:r>
      <w:r w:rsidRPr="00EA4C9B">
        <w:t xml:space="preserve"> (e.g. emissions, pollution, resource extraction volume), but rather the activity or administrative process.</w:t>
      </w:r>
    </w:p>
    <w:p w14:paraId="06EF2A0A" w14:textId="77777777" w:rsidR="004675E2" w:rsidRPr="00EA4C9B" w:rsidRDefault="004675E2" w:rsidP="004675E2">
      <w:r w:rsidRPr="00EA4C9B">
        <w:lastRenderedPageBreak/>
        <w:t>Another very common fiscal instrument often discussed in the context of sustainability or environmental impacts (e.g. managing over-tourism) but that do not qualify as environmental tax is the so-called “</w:t>
      </w:r>
      <w:r w:rsidRPr="00EA4C9B">
        <w:rPr>
          <w:b/>
          <w:bCs/>
        </w:rPr>
        <w:t>tourist tax</w:t>
      </w:r>
      <w:r w:rsidRPr="00EA4C9B">
        <w:t>” (</w:t>
      </w:r>
      <w:r w:rsidRPr="00EA4C9B">
        <w:rPr>
          <w:i/>
          <w:iCs/>
        </w:rPr>
        <w:t>Imposta di soggiorno</w:t>
      </w:r>
      <w:r w:rsidRPr="00EA4C9B">
        <w:t>). This is an unrequited payment, which base is the presence or overnight stays, rather than a physical unit of pollution or environmental harm. Tourist activity (and over-tourism) may have environmental consequences (e.g. waste, emissions) and the presence of tourists obliges the municipality to adapt the water, public transport and waste collection capacities, but the tax is not calculated on that basis. A variation is the entry fee levied on tourists visiting Venice.</w:t>
      </w:r>
    </w:p>
    <w:p w14:paraId="202C7F9A" w14:textId="77777777" w:rsidR="004675E2" w:rsidRPr="00EA4C9B" w:rsidRDefault="004675E2" w:rsidP="004675E2">
      <w:pPr>
        <w:pStyle w:val="Heading4"/>
      </w:pPr>
      <w:r w:rsidRPr="00EA4C9B">
        <w:t>Proposed or postponed environmental taxes</w:t>
      </w:r>
    </w:p>
    <w:p w14:paraId="6627F2BC" w14:textId="77777777" w:rsidR="004675E2" w:rsidRPr="00EA4C9B" w:rsidRDefault="004675E2" w:rsidP="004675E2">
      <w:r w:rsidRPr="00EA4C9B">
        <w:t xml:space="preserve">The Italian government has postponed once again the implementation of the </w:t>
      </w:r>
      <w:r w:rsidRPr="00EA4C9B">
        <w:rPr>
          <w:b/>
          <w:bCs/>
        </w:rPr>
        <w:t>Plastic Tax</w:t>
      </w:r>
      <w:r w:rsidRPr="00EA4C9B">
        <w:t xml:space="preserve"> to July 2026, which was originally scheduled to take effect in July 2020. The Plastic Tax, introduced under the 2020 Budget Law, aims at reducing the environmental impact of single-use plastics. It targets only single-use plastic products by imposing a €0.45 per kilogram tax. The tax is primarily payable by producers, importers and buyers of single-use plastics. </w:t>
      </w:r>
    </w:p>
    <w:p w14:paraId="2598148E" w14:textId="77777777" w:rsidR="004675E2" w:rsidRPr="00EA4C9B" w:rsidRDefault="004675E2" w:rsidP="004675E2">
      <w:pPr>
        <w:pStyle w:val="Heading4"/>
      </w:pPr>
      <w:r w:rsidRPr="00EA4C9B">
        <w:t>Conclusions, country-specific recommendations and reform progress</w:t>
      </w:r>
    </w:p>
    <w:p w14:paraId="56594189" w14:textId="77777777" w:rsidR="004675E2" w:rsidRPr="00EA4C9B" w:rsidRDefault="004675E2" w:rsidP="004675E2">
      <w:r w:rsidRPr="00EA4C9B">
        <w:t>Italy’s tax system continues to hinder economic efficiency and growth. There is clear scope to improve the composition of government revenues in a way that better supports both traditional economic growth, environmental performance and fiscal sustainability. However, long-standing weaknesses persist. The system is highly complex due to numerous special regimes and a wide array of tax expenditures which erode the tax base and lead to substantial revenue losses. Rebalancing the tax burden — by reducing the heavy taxation on labour and shifting it towards underutilised, growth-friendly sources — could enhance Italy’s economic potential</w:t>
      </w:r>
      <w:r w:rsidRPr="00EA4C9B">
        <w:rPr>
          <w:rStyle w:val="FootnoteReference"/>
        </w:rPr>
        <w:footnoteReference w:id="495"/>
      </w:r>
      <w:r w:rsidRPr="00EA4C9B">
        <w:t>. As shown by the example of the tax on noise emissions of aircrafts, one of the key determining factors of the slow progress in reforming the taxation system in Italy is the fragmentation of the competences at local, regional and national levels, which has created opacity and reduced enforcement consistency, as already highlighted in Hogg et al. (2016)</w:t>
      </w:r>
      <w:r w:rsidRPr="00EA4C9B">
        <w:rPr>
          <w:rStyle w:val="FootnoteReference"/>
        </w:rPr>
        <w:footnoteReference w:id="496"/>
      </w:r>
      <w:r w:rsidRPr="00EA4C9B">
        <w:t xml:space="preserve">. This is also underscored in the </w:t>
      </w:r>
      <w:r w:rsidRPr="00EA4C9B">
        <w:rPr>
          <w:i/>
          <w:iCs/>
        </w:rPr>
        <w:t>Catalogue of Environmentally Harmful and Environmentally Friendly Subsidies</w:t>
      </w:r>
      <w:r w:rsidRPr="00EA4C9B">
        <w:t xml:space="preserve"> (SAD and SAF), which highlights the persistence of environmentally counterproductive subsidies and the lack of coordination across governance levels (Ministero dell’Ambiente, 2023)</w:t>
      </w:r>
      <w:r w:rsidRPr="00EA4C9B">
        <w:rPr>
          <w:rStyle w:val="FootnoteReference"/>
        </w:rPr>
        <w:footnoteReference w:id="497"/>
      </w:r>
      <w:r w:rsidRPr="00EA4C9B">
        <w:t>. </w:t>
      </w:r>
    </w:p>
    <w:p w14:paraId="3933F638" w14:textId="77777777" w:rsidR="004675E2" w:rsidRPr="00EA4C9B" w:rsidRDefault="004675E2" w:rsidP="004675E2">
      <w:r w:rsidRPr="00EA4C9B">
        <w:t>In 2023, pollution taxes accounted for only 1.1% of total environmental tax revenues, despite being crucial for applying the ‘polluter pays’ principle. Italy applies three types of pollution taxes: the tax on NO</w:t>
      </w:r>
      <w:r w:rsidRPr="00EA4C9B">
        <w:rPr>
          <w:vertAlign w:val="subscript"/>
        </w:rPr>
        <w:t>x</w:t>
      </w:r>
      <w:r w:rsidRPr="00EA4C9B">
        <w:t xml:space="preserve"> and SO</w:t>
      </w:r>
      <w:r w:rsidRPr="00EA4C9B">
        <w:rPr>
          <w:vertAlign w:val="subscript"/>
        </w:rPr>
        <w:t>x</w:t>
      </w:r>
      <w:r w:rsidRPr="00EA4C9B">
        <w:t xml:space="preserve"> emissions, the tax on waste landfilling and incineration without energy recovery and the tax on noise emissions of aircrafts. The tax on single use plastics will apply from July 2026. Water use, wastewater discharge, pesticides and fertilisers, and the extraction of other natural resources are covered by fees and charges.</w:t>
      </w:r>
    </w:p>
    <w:p w14:paraId="7726B1E8" w14:textId="08812C49" w:rsidR="004675E2" w:rsidRPr="00EA4C9B" w:rsidRDefault="004675E2" w:rsidP="004675E2">
      <w:r w:rsidRPr="00EA4C9B">
        <w:t xml:space="preserve">The Country-Specific Recommendations issued under the European Semester repeatedly call for a rebalancing of the tax mix. They emphasise the need to reduce the labour tax wedge, streamline and reduce tax expenditures — including those on VAT and environmentally harmful subsidies — and update cadastral values to better reflect market realities. Recent CSRs also encourage Italy to make </w:t>
      </w:r>
      <w:r w:rsidRPr="00EA4C9B">
        <w:lastRenderedPageBreak/>
        <w:t>the tax system more conducive to growth, ensure fairness and progressivity, and support the green transition. The enabling law on tax reform (</w:t>
      </w:r>
      <w:r w:rsidRPr="00EA4C9B">
        <w:rPr>
          <w:i/>
          <w:iCs/>
        </w:rPr>
        <w:t>Delega Fiscale</w:t>
      </w:r>
      <w:r w:rsidRPr="00EA4C9B">
        <w:t>) is seen as a key instrument for achieving these aims, provided that its implementation addresses complexity, progressivity, and environmental effectiveness.</w:t>
      </w:r>
    </w:p>
    <w:p w14:paraId="197986D5" w14:textId="5577C294" w:rsidR="004675E2" w:rsidRPr="00EA4C9B" w:rsidRDefault="004675E2" w:rsidP="004675E2">
      <w:r w:rsidRPr="00EA4C9B">
        <w:t>The tax on the landfill and incineration without energy recovery of solid waste varies between EUR 5.17/t and EUR 25.82/t (each Region decides annually the amount of tax that is applied in its territory). This is considerably lower than the EU average for waste landfilling and the lowest of the ten Member States applying waste incineration taxes. The upper value of this range has not changed since 1995 and there is no increase mechanism (</w:t>
      </w:r>
      <w:r w:rsidRPr="00EA4C9B">
        <w:rPr>
          <w:i/>
          <w:iCs/>
        </w:rPr>
        <w:t>escalator</w:t>
      </w:r>
      <w:r w:rsidRPr="00EA4C9B">
        <w:t>) in place</w:t>
      </w:r>
      <w:r w:rsidRPr="00EA4C9B">
        <w:rPr>
          <w:rStyle w:val="FootnoteReference"/>
        </w:rPr>
        <w:footnoteReference w:id="498"/>
      </w:r>
      <w:r w:rsidRPr="00EA4C9B">
        <w:t>. T</w:t>
      </w:r>
      <w:r w:rsidRPr="00EA4C9B">
        <w:rPr>
          <w:lang w:eastAsia="en-GB"/>
        </w:rPr>
        <w:t>he 2022 timetable addendum for the circular economy strategy states that the lower bound for landfill taxes will be reviewed, but so far this has not been done (EEA, 2022).</w:t>
      </w:r>
      <w:r w:rsidRPr="00EA4C9B">
        <w:t xml:space="preserve"> </w:t>
      </w:r>
    </w:p>
    <w:p w14:paraId="66364D9A" w14:textId="77777777" w:rsidR="004675E2" w:rsidRPr="00EA4C9B" w:rsidRDefault="004675E2" w:rsidP="004675E2">
      <w:r w:rsidRPr="00EA4C9B">
        <w:t>More in general, the European Commission has recommended over the years to “take further action to shift the tax burden away from capital and labour to property and consumption as well as environment”. Italy has made some but overall limited progress</w:t>
      </w:r>
      <w:r w:rsidRPr="00EA4C9B">
        <w:rPr>
          <w:rStyle w:val="FootnoteReference"/>
        </w:rPr>
        <w:footnoteReference w:id="499"/>
      </w:r>
      <w:r w:rsidRPr="00EA4C9B">
        <w:t>. Reform attempts included:</w:t>
      </w:r>
    </w:p>
    <w:p w14:paraId="4C4BFDF0" w14:textId="77777777" w:rsidR="004675E2" w:rsidRPr="00EA4C9B" w:rsidRDefault="004675E2" w:rsidP="009E1B64">
      <w:pPr>
        <w:pStyle w:val="Bulletlist"/>
      </w:pPr>
      <w:r w:rsidRPr="00EA4C9B">
        <w:t>The “Salva Italia” fiscal package (2011), which increased energy and vehicle taxes and reassigned oversight of the water sector to the energy regulator.</w:t>
      </w:r>
    </w:p>
    <w:p w14:paraId="1A59B6BB" w14:textId="77777777" w:rsidR="004675E2" w:rsidRPr="00EA4C9B" w:rsidRDefault="004675E2" w:rsidP="009E1B64">
      <w:pPr>
        <w:pStyle w:val="Bulletlist"/>
      </w:pPr>
      <w:r w:rsidRPr="00EA4C9B">
        <w:t>The Delega Fiscale (2013), a legislative framework with which the Parliament gives the power to the Government to adopt a general fiscal reform within specific principles and stakes [paletti] including a clause on green tax reform, though few measures were ultimately implemented.</w:t>
      </w:r>
    </w:p>
    <w:p w14:paraId="7EC3F5E7" w14:textId="77777777" w:rsidR="004675E2" w:rsidRPr="00EA4C9B" w:rsidRDefault="004675E2" w:rsidP="009E1B64">
      <w:pPr>
        <w:pStyle w:val="Bulletlist"/>
      </w:pPr>
      <w:r w:rsidRPr="00EA4C9B">
        <w:t>The Collegato Ambientale (2015), which included broader environmental legislation and laid the foundation for future fiscal reforms, but did not introduce specific environmental taxes.</w:t>
      </w:r>
    </w:p>
    <w:p w14:paraId="3EBD942E" w14:textId="77777777" w:rsidR="004675E2" w:rsidRPr="00EA4C9B" w:rsidRDefault="004675E2" w:rsidP="009E1B64">
      <w:pPr>
        <w:pStyle w:val="Bulletlist"/>
      </w:pPr>
      <w:r w:rsidRPr="00EA4C9B">
        <w:t>New Delega Fiscale (2024-25) …</w:t>
      </w:r>
    </w:p>
    <w:p w14:paraId="09EA8CE5" w14:textId="77777777" w:rsidR="004675E2" w:rsidRPr="00EA4C9B" w:rsidRDefault="004675E2" w:rsidP="009E1B64">
      <w:pPr>
        <w:pStyle w:val="Bulletlist"/>
      </w:pPr>
      <w:r w:rsidRPr="00EA4C9B">
        <w:t>OECD (2024) “Economic Instruments for the Circular Economy in Italy - Opportunities for Reform”</w:t>
      </w:r>
    </w:p>
    <w:p w14:paraId="062BDB0D" w14:textId="77777777" w:rsidR="004675E2" w:rsidRPr="00EA4C9B" w:rsidRDefault="004675E2" w:rsidP="009E1B64">
      <w:pPr>
        <w:pStyle w:val="Bulletlist"/>
      </w:pPr>
      <w:r w:rsidRPr="00EA4C9B">
        <w:t xml:space="preserve">OECD (2025) “Economic instruments for a resource-efficient circular economy” with 3 tax credits for Italy </w:t>
      </w:r>
      <w:hyperlink r:id="rId87" w:history="1">
        <w:r w:rsidRPr="00EA4C9B">
          <w:rPr>
            <w:rStyle w:val="Hyperlink"/>
            <w:color w:val="auto"/>
            <w:u w:val="none"/>
          </w:rPr>
          <w:t>35a7051a-en.pdf</w:t>
        </w:r>
      </w:hyperlink>
    </w:p>
    <w:p w14:paraId="0C80EB89" w14:textId="2D053D95" w:rsidR="00664BE6" w:rsidRPr="00EA4C9B" w:rsidRDefault="00664BE6" w:rsidP="00664BE6">
      <w:r w:rsidRPr="00EA4C9B">
        <w:t>Taken together, these assessments and recommendations underscore the persistent underuse of environmental taxation in Italy and its limited alignment with external costs. The CSRs provide a coherent and repeated call for reform, advocating a shift of the tax burden from labour to more sustainable bases — notably by phasing out harmful subsidies and better taxing pollution and resource use. These priorities remain highly relevant in light of Italy’s climate, circular economy and fiscal objectives.</w:t>
      </w:r>
    </w:p>
    <w:p w14:paraId="5B7F3B7E" w14:textId="77777777" w:rsidR="004675E2" w:rsidRPr="00EA4C9B" w:rsidRDefault="004675E2" w:rsidP="007C4EB7">
      <w:pPr>
        <w:pStyle w:val="AnnexHeading2"/>
      </w:pPr>
      <w:bookmarkStart w:id="225" w:name="_Toc214008901"/>
      <w:r w:rsidRPr="00EA4C9B">
        <w:t>Potential for implementing additional environmental taxes</w:t>
      </w:r>
      <w:bookmarkEnd w:id="225"/>
    </w:p>
    <w:p w14:paraId="3B1A2C56" w14:textId="77777777" w:rsidR="004675E2" w:rsidRPr="00EA4C9B" w:rsidRDefault="004675E2" w:rsidP="004675E2">
      <w:r w:rsidRPr="00EA4C9B">
        <w:t>A comparison between environmental tax revenues and externalities (Molocchi, 2017)</w:t>
      </w:r>
      <w:r w:rsidRPr="00EA4C9B">
        <w:rPr>
          <w:rStyle w:val="FootnoteReference"/>
        </w:rPr>
        <w:footnoteReference w:id="500"/>
      </w:r>
      <w:r w:rsidRPr="00EA4C9B">
        <w:t xml:space="preserve">, shows that households pay 70% more than their share of externalities, while economic activities in agriculture, forestry and fishing (NACE Rev. 2 section A), manufacturing, mining, quarrying, other industry (sections B, C, D, and E), and construction (section F) pay 26% less. In contrast, the service sector (sections G–U) pays 57% more. A more detailed sector-by-sector analysis reveals significant </w:t>
      </w:r>
      <w:r w:rsidRPr="00EA4C9B">
        <w:lastRenderedPageBreak/>
        <w:t>disparities. Among the 64 economic branches examined, at least four pay only a marginal share of the environmental costs they generate for society:</w:t>
      </w:r>
    </w:p>
    <w:p w14:paraId="7623B7BB" w14:textId="77777777" w:rsidR="004675E2" w:rsidRPr="00EA4C9B" w:rsidRDefault="004675E2" w:rsidP="009E1B64">
      <w:pPr>
        <w:pStyle w:val="Bulletlist"/>
      </w:pPr>
      <w:r w:rsidRPr="00EA4C9B">
        <w:tab/>
        <w:t>Maritime transport: 1%</w:t>
      </w:r>
    </w:p>
    <w:p w14:paraId="534C6EA1" w14:textId="77777777" w:rsidR="004675E2" w:rsidRPr="00EA4C9B" w:rsidRDefault="004675E2" w:rsidP="009E1B64">
      <w:pPr>
        <w:pStyle w:val="Bulletlist"/>
      </w:pPr>
      <w:r w:rsidRPr="00EA4C9B">
        <w:tab/>
        <w:t>Air transport: 6%</w:t>
      </w:r>
    </w:p>
    <w:p w14:paraId="363CED55" w14:textId="77777777" w:rsidR="004675E2" w:rsidRPr="00EA4C9B" w:rsidRDefault="004675E2" w:rsidP="009E1B64">
      <w:pPr>
        <w:pStyle w:val="Bulletlist"/>
      </w:pPr>
      <w:r w:rsidRPr="00EA4C9B">
        <w:tab/>
        <w:t>Agriculture: 6.6%</w:t>
      </w:r>
    </w:p>
    <w:p w14:paraId="5A699D5C" w14:textId="77777777" w:rsidR="004675E2" w:rsidRPr="00EA4C9B" w:rsidRDefault="004675E2" w:rsidP="009E1B64">
      <w:pPr>
        <w:pStyle w:val="Bulletlist"/>
      </w:pPr>
      <w:r w:rsidRPr="00EA4C9B">
        <w:tab/>
        <w:t>Electricity and gas: 16.9%</w:t>
      </w:r>
    </w:p>
    <w:p w14:paraId="20C6B734" w14:textId="77777777" w:rsidR="004675E2" w:rsidRPr="00EA4C9B" w:rsidRDefault="004675E2" w:rsidP="004675E2">
      <w:r w:rsidRPr="00EA4C9B">
        <w:t>While the manufacturing sector overall appears broadly aligned with the Polluter Pays Principle —covering 94% of its external costs through environmental taxes — it exhibits substantial internal imbalances. Of the 19 manufacturing branches, 15 not only cover their external costs but, in some cases, pay significantly more. This effectively results in these branches subsidising the remaining four — coke and refining; glass, ceramics, cement and other minerals; metallurgy; and the paper industry — which contribute far less than their fair share.</w:t>
      </w:r>
    </w:p>
    <w:p w14:paraId="026F0522" w14:textId="77777777" w:rsidR="004675E2" w:rsidRPr="00EA4C9B" w:rsidRDefault="004675E2" w:rsidP="004675E2">
      <w:r w:rsidRPr="00EA4C9B">
        <w:t>The analysis in Molocchi (2017) shows that Italy has significant potential to improve the quality of its environmental taxes. However, achieving this requires the systematic and transparent monitoring of external environmental costs. Currently, the tax system relies heavily on excise duties on energy products. Reforming this system to incorporate more targeted taxes — such as a carbon tax — would help align taxation with the actual environmental costs of all socio-economic activities, in line with a circular economy approach. Molocchi (2017) suggested to gradually phase out environmentally harmful subsidies, reform emission trading and carbon taxation and expand environmental taxation, gradually introducing taxes on specific pollutants and the extraction of scarce natural resources.</w:t>
      </w:r>
    </w:p>
    <w:p w14:paraId="7824A883" w14:textId="77777777" w:rsidR="004675E2" w:rsidRPr="00EA4C9B" w:rsidRDefault="004675E2" w:rsidP="004675E2">
      <w:r w:rsidRPr="00EA4C9B">
        <w:t>Taxes on energy sources do not reflect the level of CO2 emissions. For instance, taxes on electricity are higher per unit of energy compared to natural gas and heating oil, and, among fossil fuels, diesel is taxed more lightly than petrol. In addition, registration and recurrent taxes on vehicles, as well as the tax treatment of company cars, do not reflect vehicle CO2 emission levels.</w:t>
      </w:r>
    </w:p>
    <w:p w14:paraId="3161AE84" w14:textId="77777777" w:rsidR="004675E2" w:rsidRPr="00EA4C9B" w:rsidRDefault="004675E2" w:rsidP="004675E2">
      <w:r w:rsidRPr="00EA4C9B">
        <w:t xml:space="preserve">Hogg et al. (2016) identified a set of desirable and feasible taxes for Italy, particularly within the framework of a potential </w:t>
      </w:r>
      <w:r w:rsidRPr="00EA4C9B">
        <w:rPr>
          <w:i/>
          <w:iCs/>
        </w:rPr>
        <w:t>Green Act</w:t>
      </w:r>
      <w:r w:rsidRPr="00EA4C9B">
        <w:t>. These include:</w:t>
      </w:r>
    </w:p>
    <w:p w14:paraId="0B70D134" w14:textId="77777777" w:rsidR="004675E2" w:rsidRPr="00EA4C9B" w:rsidRDefault="004675E2" w:rsidP="009E1B64">
      <w:pPr>
        <w:pStyle w:val="Bulletlist"/>
      </w:pPr>
      <w:r w:rsidRPr="00EA4C9B">
        <w:t>Short-term potential: landfill tax (non-hazardous), incineration/MBT tax, vehicle tax</w:t>
      </w:r>
    </w:p>
    <w:p w14:paraId="021663CD" w14:textId="77777777" w:rsidR="004675E2" w:rsidRPr="00EA4C9B" w:rsidRDefault="004675E2" w:rsidP="009E1B64">
      <w:pPr>
        <w:pStyle w:val="Bulletlist"/>
      </w:pPr>
      <w:r w:rsidRPr="00EA4C9B">
        <w:t>Medium-term: water abstraction tax, pesticide tax, packaging tax, wastewater tax (BOD), aviation tax</w:t>
      </w:r>
    </w:p>
    <w:p w14:paraId="2FFF73E2" w14:textId="77777777" w:rsidR="004675E2" w:rsidRPr="00EA4C9B" w:rsidRDefault="004675E2" w:rsidP="009E1B64">
      <w:pPr>
        <w:pStyle w:val="Bulletlist"/>
      </w:pPr>
      <w:r w:rsidRPr="00EA4C9B">
        <w:t>Longer-term: harmonisation of fuel excise duties and a fertiliser tax (0.25 €/kgN), which is not yet implemented but seen as highly beneficial environmentally.</w:t>
      </w:r>
    </w:p>
    <w:p w14:paraId="48728375" w14:textId="62CD6306" w:rsidR="00872FCB" w:rsidRPr="00EA4C9B" w:rsidRDefault="00872FCB" w:rsidP="00BA7936">
      <w:r>
        <w:t xml:space="preserve">In 2023, the European Commission </w:t>
      </w:r>
      <w:r w:rsidR="00BB082C">
        <w:t xml:space="preserve">suggested to expand the coverage of pay-as-you-throw schemes, which currently </w:t>
      </w:r>
      <w:r w:rsidR="00470B55">
        <w:t xml:space="preserve">cover only 10.8% </w:t>
      </w:r>
      <w:r w:rsidR="00470B55" w:rsidRPr="00470B55">
        <w:t>of the population</w:t>
      </w:r>
      <w:r w:rsidR="00470B55">
        <w:rPr>
          <w:rStyle w:val="FootnoteReference"/>
        </w:rPr>
        <w:footnoteReference w:id="501"/>
      </w:r>
      <w:r w:rsidR="00470B55">
        <w:t>.</w:t>
      </w:r>
      <w:r w:rsidR="0037762E">
        <w:t xml:space="preserve"> </w:t>
      </w:r>
      <w:r w:rsidR="006A1043" w:rsidRPr="006A1043">
        <w:t>A</w:t>
      </w:r>
      <w:r w:rsidR="001B06BD">
        <w:t>dditionally, a</w:t>
      </w:r>
      <w:r w:rsidR="006A1043" w:rsidRPr="006A1043">
        <w:t xml:space="preserve"> higher landfill and incineration tax (‘ecotassa’) would create stronger incentives for recycling. Significant differences also exist between regional landfill taxes: despite being introduced more than 25 years ago, the tax level has never been updated, and no revision mechanism is currently foreseen</w:t>
      </w:r>
      <w:r w:rsidR="001B06BD">
        <w:rPr>
          <w:rStyle w:val="FootnoteReference"/>
        </w:rPr>
        <w:footnoteReference w:id="502"/>
      </w:r>
      <w:r w:rsidR="001B06BD">
        <w:t>.</w:t>
      </w:r>
    </w:p>
    <w:p w14:paraId="760D78B9" w14:textId="77777777" w:rsidR="004675E2" w:rsidRPr="00EA4C9B" w:rsidRDefault="004675E2" w:rsidP="007C4EB7">
      <w:pPr>
        <w:pStyle w:val="AnnexHeading2"/>
      </w:pPr>
      <w:bookmarkStart w:id="226" w:name="_Toc214008902"/>
      <w:r w:rsidRPr="00EA4C9B">
        <w:t>Impacts and feasibility of implementing new environmental taxes</w:t>
      </w:r>
      <w:bookmarkEnd w:id="226"/>
    </w:p>
    <w:p w14:paraId="4658D3A0" w14:textId="11A717CD" w:rsidR="00CF4F57" w:rsidRDefault="00CF4F57" w:rsidP="00CF4F57">
      <w:r w:rsidRPr="00FA6252">
        <w:t xml:space="preserve">The following findings draw on the modelling undertaken for the study, which assesses how introducing or increasing a set of pollution and resource taxes would affect revenues, environmental </w:t>
      </w:r>
      <w:r w:rsidRPr="00FA6252">
        <w:lastRenderedPageBreak/>
        <w:t>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6CB89EB3" w14:textId="00D3049F" w:rsidR="00E17CEA" w:rsidRPr="00E17CEA" w:rsidRDefault="00E17CEA" w:rsidP="00E17CEA">
      <w:r w:rsidRPr="00E17CEA">
        <w:t>Italy has made notable progress in environmental taxation, particularly through its energy and transport-related instruments and its regionally differentiated landfill taxes. However, many pollution and resource-based taxes remain fragmented or underused, and their rates are often too low to deliver strong environmental signals. The modelling results indicate that introducing the benchmarked taxes would generate both meaningful environmental benefits and substantial fiscal gains. Under Scenario A, Italy ranks among the Member States with the largest potential increase in revenue</w:t>
      </w:r>
      <w:r>
        <w:t xml:space="preserve">, </w:t>
      </w:r>
      <w:r w:rsidRPr="00E17CEA">
        <w:t>especially from landfill, wastewater effluents, and mineral extraction</w:t>
      </w:r>
      <w:r>
        <w:t xml:space="preserve">, </w:t>
      </w:r>
      <w:r w:rsidRPr="00E17CEA">
        <w:t>while also achieving reductions in pollutants and resource use of around 15 to 30 per cent across several categories. Scenario B yields smaller but still positive impacts, confirming that a gradual strengthening of environmental taxation would be both feasible and effective.</w:t>
      </w:r>
    </w:p>
    <w:p w14:paraId="4DE2695F" w14:textId="390D87FA" w:rsidR="00E17CEA" w:rsidRDefault="00E17CEA" w:rsidP="00E17CEA">
      <w:pPr>
        <w:rPr>
          <w:lang w:eastAsia="en-GB"/>
        </w:rPr>
      </w:pPr>
      <w:r>
        <w:rPr>
          <w:lang w:eastAsia="en-GB"/>
        </w:rPr>
        <w:t xml:space="preserve">Total revenues from the </w:t>
      </w:r>
      <w:r w:rsidR="00185A09">
        <w:t>investigated</w:t>
      </w:r>
      <w:r>
        <w:rPr>
          <w:lang w:eastAsia="en-GB"/>
        </w:rPr>
        <w:t xml:space="preserve"> taxes could rise by €13.8 billion in 2030 and €14.6 billion in 2035, respectively 22.8 and 24.1 times the revenues for pollution and resource taxes in 2023. The main contributors to the gains are water abstraction (58%) and water effluent (37%). Together they make up 95% of all revenue increases. Reduction in emissions or use of materials is greatest for pesticides (41%), waste to landfill (35%) SO</w:t>
      </w:r>
      <w:r w:rsidRPr="00BA7936">
        <w:rPr>
          <w:vertAlign w:val="subscript"/>
          <w:lang w:eastAsia="en-GB"/>
        </w:rPr>
        <w:t>2</w:t>
      </w:r>
      <w:r>
        <w:rPr>
          <w:lang w:eastAsia="en-GB"/>
        </w:rPr>
        <w:t xml:space="preserve"> (32%), water abstraction (32%) and fertilizers (30%). </w:t>
      </w: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1121"/>
        <w:gridCol w:w="1121"/>
        <w:gridCol w:w="1029"/>
        <w:gridCol w:w="1214"/>
        <w:gridCol w:w="1018"/>
        <w:gridCol w:w="1279"/>
      </w:tblGrid>
      <w:tr w:rsidR="00E17CEA" w:rsidRPr="00F501DA" w14:paraId="1CCF90C5" w14:textId="77777777" w:rsidTr="00A84F75">
        <w:trPr>
          <w:trHeight w:val="261"/>
        </w:trPr>
        <w:tc>
          <w:tcPr>
            <w:tcW w:w="9008" w:type="dxa"/>
            <w:gridSpan w:val="7"/>
            <w:shd w:val="clear" w:color="auto" w:fill="003399"/>
          </w:tcPr>
          <w:p w14:paraId="01F1301E" w14:textId="36857B7C" w:rsidR="00E17CEA" w:rsidRPr="00F23CBA" w:rsidRDefault="00E17CEA" w:rsidP="000878F6">
            <w:pPr>
              <w:pStyle w:val="Table"/>
              <w:rPr>
                <w:b/>
                <w:color w:val="FFFFFF" w:themeColor="background1"/>
                <w:lang w:eastAsia="en-GB"/>
              </w:rPr>
            </w:pPr>
            <w:r w:rsidRPr="00F23CBA">
              <w:rPr>
                <w:b/>
                <w:color w:val="FFFFFF" w:themeColor="background1"/>
              </w:rPr>
              <w:t xml:space="preserve">Table </w:t>
            </w:r>
            <w:r w:rsidR="00490085">
              <w:rPr>
                <w:b/>
                <w:bCs/>
                <w:color w:val="FFFFFF" w:themeColor="background1"/>
              </w:rPr>
              <w:t>A6</w:t>
            </w:r>
            <w:r w:rsidRPr="00F23CBA">
              <w:rPr>
                <w:b/>
                <w:bCs/>
                <w:color w:val="FFFFFF" w:themeColor="background1"/>
              </w:rPr>
              <w:t>-</w:t>
            </w:r>
            <w:r w:rsidRPr="00F23CBA">
              <w:rPr>
                <w:b/>
                <w:bCs/>
                <w:color w:val="FFFFFF" w:themeColor="background1"/>
              </w:rPr>
              <w:fldChar w:fldCharType="begin"/>
            </w:r>
            <w:r w:rsidRPr="00F23CBA">
              <w:rPr>
                <w:b/>
                <w:bCs/>
                <w:color w:val="FFFFFF" w:themeColor="background1"/>
              </w:rPr>
              <w:instrText xml:space="preserve"> SEQ Table_A5- \* ARABIC </w:instrText>
            </w:r>
            <w:r w:rsidRPr="00F23CBA">
              <w:rPr>
                <w:b/>
                <w:bCs/>
                <w:color w:val="FFFFFF" w:themeColor="background1"/>
              </w:rPr>
              <w:fldChar w:fldCharType="separate"/>
            </w:r>
            <w:r>
              <w:rPr>
                <w:b/>
                <w:bCs/>
                <w:noProof/>
                <w:color w:val="FFFFFF" w:themeColor="background1"/>
              </w:rPr>
              <w:t>79</w:t>
            </w:r>
            <w:r w:rsidRPr="00F23CBA">
              <w:rPr>
                <w:b/>
                <w:bCs/>
                <w:color w:val="FFFFFF" w:themeColor="background1"/>
              </w:rPr>
              <w:fldChar w:fldCharType="end"/>
            </w:r>
            <w:r w:rsidRPr="00F23CBA">
              <w:rPr>
                <w:b/>
                <w:bCs/>
                <w:color w:val="FFFFFF" w:themeColor="background1"/>
                <w:lang w:eastAsia="en-GB"/>
              </w:rPr>
              <w:t>:</w:t>
            </w:r>
            <w:r w:rsidRPr="00F23CBA">
              <w:rPr>
                <w:b/>
                <w:color w:val="FFFFFF" w:themeColor="background1"/>
                <w:lang w:eastAsia="en-GB"/>
              </w:rPr>
              <w:t xml:space="preserve"> Environmental Impacts and Revenue Changes in Italy</w:t>
            </w:r>
            <w:r>
              <w:rPr>
                <w:b/>
                <w:color w:val="FFFFFF" w:themeColor="background1"/>
                <w:lang w:eastAsia="en-GB"/>
              </w:rPr>
              <w:t xml:space="preserve"> – Scenario A</w:t>
            </w:r>
          </w:p>
        </w:tc>
      </w:tr>
      <w:tr w:rsidR="00E17CEA" w:rsidRPr="00F501DA" w14:paraId="40B88B31" w14:textId="77777777" w:rsidTr="00A84F75">
        <w:trPr>
          <w:trHeight w:val="497"/>
        </w:trPr>
        <w:tc>
          <w:tcPr>
            <w:tcW w:w="2252" w:type="dxa"/>
          </w:tcPr>
          <w:p w14:paraId="61F18CF0" w14:textId="77777777" w:rsidR="00E17CEA" w:rsidRPr="00F23CBA" w:rsidRDefault="00E17CEA" w:rsidP="000878F6">
            <w:pPr>
              <w:pStyle w:val="Table"/>
              <w:rPr>
                <w:b/>
              </w:rPr>
            </w:pPr>
            <w:r w:rsidRPr="00F23CBA">
              <w:rPr>
                <w:b/>
              </w:rPr>
              <w:t>Tax Name</w:t>
            </w:r>
          </w:p>
        </w:tc>
        <w:tc>
          <w:tcPr>
            <w:tcW w:w="2252" w:type="dxa"/>
            <w:gridSpan w:val="2"/>
            <w:vAlign w:val="bottom"/>
          </w:tcPr>
          <w:p w14:paraId="0AB8CCF3" w14:textId="77777777" w:rsidR="00E17CEA" w:rsidRPr="002B3802" w:rsidRDefault="00E17CEA" w:rsidP="000878F6">
            <w:pPr>
              <w:pStyle w:val="Table"/>
              <w:jc w:val="center"/>
              <w:rPr>
                <w:b/>
                <w:szCs w:val="20"/>
              </w:rPr>
            </w:pPr>
            <w:r w:rsidRPr="002B3802">
              <w:rPr>
                <w:rFonts w:ascii="Calibri" w:hAnsi="Calibri" w:cs="Calibri"/>
                <w:b/>
                <w:bCs/>
                <w:color w:val="000000"/>
                <w:szCs w:val="20"/>
              </w:rPr>
              <w:t>% Change in Quantities as % of taxed sector</w:t>
            </w:r>
          </w:p>
        </w:tc>
        <w:tc>
          <w:tcPr>
            <w:tcW w:w="2252" w:type="dxa"/>
            <w:gridSpan w:val="2"/>
            <w:vAlign w:val="bottom"/>
          </w:tcPr>
          <w:p w14:paraId="6E9B401F" w14:textId="77777777" w:rsidR="00E17CEA" w:rsidRPr="002B3802" w:rsidRDefault="00E17CEA" w:rsidP="000878F6">
            <w:pPr>
              <w:pStyle w:val="Table"/>
              <w:jc w:val="center"/>
              <w:rPr>
                <w:b/>
                <w:szCs w:val="20"/>
              </w:rPr>
            </w:pPr>
            <w:r w:rsidRPr="002B3802">
              <w:rPr>
                <w:rFonts w:ascii="Calibri" w:hAnsi="Calibri" w:cs="Calibri"/>
                <w:b/>
                <w:bCs/>
                <w:color w:val="000000"/>
                <w:szCs w:val="20"/>
              </w:rPr>
              <w:t>Change in Revenues (€Mn)</w:t>
            </w:r>
          </w:p>
        </w:tc>
        <w:tc>
          <w:tcPr>
            <w:tcW w:w="2252" w:type="dxa"/>
            <w:gridSpan w:val="2"/>
            <w:vAlign w:val="bottom"/>
          </w:tcPr>
          <w:p w14:paraId="54F7C7CB" w14:textId="77777777" w:rsidR="00E17CEA" w:rsidRPr="002B3802" w:rsidRDefault="00E17CEA" w:rsidP="000878F6">
            <w:pPr>
              <w:pStyle w:val="Table"/>
              <w:jc w:val="center"/>
              <w:rPr>
                <w:b/>
                <w:szCs w:val="20"/>
              </w:rPr>
            </w:pPr>
            <w:r w:rsidRPr="002B3802">
              <w:rPr>
                <w:rFonts w:ascii="Calibri" w:hAnsi="Calibri" w:cs="Calibri"/>
                <w:b/>
                <w:bCs/>
                <w:color w:val="000000"/>
                <w:szCs w:val="20"/>
              </w:rPr>
              <w:t>As % of 2023 Resource Tax</w:t>
            </w:r>
          </w:p>
        </w:tc>
      </w:tr>
      <w:tr w:rsidR="00E17CEA" w:rsidRPr="0044560D" w14:paraId="6303E799" w14:textId="77777777" w:rsidTr="00A84F75">
        <w:trPr>
          <w:trHeight w:val="239"/>
        </w:trPr>
        <w:tc>
          <w:tcPr>
            <w:tcW w:w="2252" w:type="dxa"/>
          </w:tcPr>
          <w:p w14:paraId="02C0A57B" w14:textId="77777777" w:rsidR="00E17CEA" w:rsidRPr="002024C2" w:rsidRDefault="00E17CEA" w:rsidP="000878F6">
            <w:pPr>
              <w:pStyle w:val="Table"/>
              <w:rPr>
                <w:b/>
              </w:rPr>
            </w:pPr>
            <w:r w:rsidRPr="002024C2">
              <w:rPr>
                <w:b/>
              </w:rPr>
              <w:t>Year</w:t>
            </w:r>
          </w:p>
        </w:tc>
        <w:tc>
          <w:tcPr>
            <w:tcW w:w="1126" w:type="dxa"/>
          </w:tcPr>
          <w:p w14:paraId="33990885" w14:textId="77777777" w:rsidR="00E17CEA" w:rsidRPr="002B3802" w:rsidRDefault="00E17CEA" w:rsidP="000878F6">
            <w:pPr>
              <w:pStyle w:val="Table"/>
              <w:jc w:val="center"/>
              <w:rPr>
                <w:b/>
                <w:szCs w:val="20"/>
              </w:rPr>
            </w:pPr>
            <w:r w:rsidRPr="002B3802">
              <w:rPr>
                <w:b/>
                <w:szCs w:val="20"/>
              </w:rPr>
              <w:t>2030</w:t>
            </w:r>
          </w:p>
        </w:tc>
        <w:tc>
          <w:tcPr>
            <w:tcW w:w="1126" w:type="dxa"/>
          </w:tcPr>
          <w:p w14:paraId="10E8AFF0" w14:textId="77777777" w:rsidR="00E17CEA" w:rsidRPr="002B3802" w:rsidRDefault="00E17CEA" w:rsidP="000878F6">
            <w:pPr>
              <w:pStyle w:val="Table"/>
              <w:jc w:val="center"/>
              <w:rPr>
                <w:b/>
                <w:szCs w:val="20"/>
              </w:rPr>
            </w:pPr>
            <w:r w:rsidRPr="002B3802">
              <w:rPr>
                <w:b/>
                <w:szCs w:val="20"/>
              </w:rPr>
              <w:t>2035</w:t>
            </w:r>
          </w:p>
        </w:tc>
        <w:tc>
          <w:tcPr>
            <w:tcW w:w="1032" w:type="dxa"/>
          </w:tcPr>
          <w:p w14:paraId="49B23798" w14:textId="77777777" w:rsidR="00E17CEA" w:rsidRPr="002B3802" w:rsidRDefault="00E17CEA" w:rsidP="000878F6">
            <w:pPr>
              <w:pStyle w:val="Table"/>
              <w:jc w:val="center"/>
              <w:rPr>
                <w:b/>
                <w:szCs w:val="20"/>
              </w:rPr>
            </w:pPr>
            <w:r w:rsidRPr="002B3802">
              <w:rPr>
                <w:b/>
                <w:szCs w:val="20"/>
              </w:rPr>
              <w:t>2030</w:t>
            </w:r>
          </w:p>
        </w:tc>
        <w:tc>
          <w:tcPr>
            <w:tcW w:w="1220" w:type="dxa"/>
          </w:tcPr>
          <w:p w14:paraId="550B9EE7" w14:textId="77777777" w:rsidR="00E17CEA" w:rsidRPr="002B3802" w:rsidRDefault="00E17CEA" w:rsidP="000878F6">
            <w:pPr>
              <w:pStyle w:val="Table"/>
              <w:jc w:val="center"/>
              <w:rPr>
                <w:b/>
                <w:szCs w:val="20"/>
              </w:rPr>
            </w:pPr>
            <w:r w:rsidRPr="002B3802">
              <w:rPr>
                <w:b/>
                <w:szCs w:val="20"/>
              </w:rPr>
              <w:t>2035</w:t>
            </w:r>
          </w:p>
        </w:tc>
        <w:tc>
          <w:tcPr>
            <w:tcW w:w="969" w:type="dxa"/>
          </w:tcPr>
          <w:p w14:paraId="39DBF835" w14:textId="77777777" w:rsidR="00E17CEA" w:rsidRPr="002B3802" w:rsidRDefault="00E17CEA" w:rsidP="000878F6">
            <w:pPr>
              <w:pStyle w:val="Table"/>
              <w:jc w:val="center"/>
              <w:rPr>
                <w:b/>
                <w:szCs w:val="20"/>
              </w:rPr>
            </w:pPr>
            <w:r w:rsidRPr="002B3802">
              <w:rPr>
                <w:b/>
                <w:szCs w:val="20"/>
              </w:rPr>
              <w:t>2030</w:t>
            </w:r>
          </w:p>
        </w:tc>
        <w:tc>
          <w:tcPr>
            <w:tcW w:w="1283" w:type="dxa"/>
          </w:tcPr>
          <w:p w14:paraId="46CDDF7F" w14:textId="77777777" w:rsidR="00E17CEA" w:rsidRPr="002B3802" w:rsidRDefault="00E17CEA" w:rsidP="000878F6">
            <w:pPr>
              <w:pStyle w:val="Table"/>
              <w:jc w:val="center"/>
              <w:rPr>
                <w:b/>
                <w:szCs w:val="20"/>
              </w:rPr>
            </w:pPr>
            <w:r w:rsidRPr="002B3802">
              <w:rPr>
                <w:b/>
                <w:szCs w:val="20"/>
              </w:rPr>
              <w:t>2035</w:t>
            </w:r>
          </w:p>
        </w:tc>
      </w:tr>
      <w:tr w:rsidR="00E17CEA" w:rsidRPr="0044560D" w14:paraId="20948A78" w14:textId="77777777" w:rsidTr="00A84F75">
        <w:trPr>
          <w:trHeight w:val="239"/>
        </w:trPr>
        <w:tc>
          <w:tcPr>
            <w:tcW w:w="2252" w:type="dxa"/>
          </w:tcPr>
          <w:p w14:paraId="27D8B7F8" w14:textId="77777777" w:rsidR="00E17CEA" w:rsidRPr="00F501DA" w:rsidRDefault="00E17CEA" w:rsidP="000878F6">
            <w:pPr>
              <w:pStyle w:val="Table"/>
            </w:pPr>
            <w:r w:rsidRPr="00F501DA">
              <w:t>NOx</w:t>
            </w:r>
          </w:p>
        </w:tc>
        <w:tc>
          <w:tcPr>
            <w:tcW w:w="1126" w:type="dxa"/>
            <w:vAlign w:val="center"/>
          </w:tcPr>
          <w:p w14:paraId="40166156" w14:textId="77777777" w:rsidR="00E17CEA" w:rsidRPr="002B3802" w:rsidRDefault="00E17CEA" w:rsidP="000878F6">
            <w:pPr>
              <w:pStyle w:val="Table"/>
              <w:jc w:val="center"/>
              <w:rPr>
                <w:szCs w:val="20"/>
              </w:rPr>
            </w:pPr>
            <w:r w:rsidRPr="002B3802">
              <w:rPr>
                <w:rFonts w:ascii="Calibri" w:hAnsi="Calibri" w:cs="Calibri"/>
                <w:color w:val="000000"/>
                <w:szCs w:val="20"/>
              </w:rPr>
              <w:t>-28,57%</w:t>
            </w:r>
          </w:p>
        </w:tc>
        <w:tc>
          <w:tcPr>
            <w:tcW w:w="1126" w:type="dxa"/>
            <w:vAlign w:val="center"/>
          </w:tcPr>
          <w:p w14:paraId="35A0FB95" w14:textId="77777777" w:rsidR="00E17CEA" w:rsidRPr="002B3802" w:rsidRDefault="00E17CEA" w:rsidP="000878F6">
            <w:pPr>
              <w:pStyle w:val="Table"/>
              <w:jc w:val="center"/>
              <w:rPr>
                <w:szCs w:val="20"/>
              </w:rPr>
            </w:pPr>
            <w:r w:rsidRPr="002B3802">
              <w:rPr>
                <w:rFonts w:ascii="Calibri" w:hAnsi="Calibri" w:cs="Calibri"/>
                <w:color w:val="000000"/>
                <w:szCs w:val="20"/>
              </w:rPr>
              <w:t>-28,57%</w:t>
            </w:r>
          </w:p>
        </w:tc>
        <w:tc>
          <w:tcPr>
            <w:tcW w:w="1032" w:type="dxa"/>
            <w:vAlign w:val="center"/>
          </w:tcPr>
          <w:p w14:paraId="7BE046B6" w14:textId="77777777" w:rsidR="00E17CEA" w:rsidRPr="002B3802" w:rsidRDefault="00E17CEA" w:rsidP="000878F6">
            <w:pPr>
              <w:pStyle w:val="Table"/>
              <w:jc w:val="center"/>
              <w:rPr>
                <w:szCs w:val="20"/>
              </w:rPr>
            </w:pPr>
            <w:r w:rsidRPr="002B3802">
              <w:rPr>
                <w:rFonts w:ascii="Calibri" w:hAnsi="Calibri" w:cs="Calibri"/>
                <w:color w:val="000000"/>
                <w:szCs w:val="20"/>
              </w:rPr>
              <w:t>8,30</w:t>
            </w:r>
          </w:p>
        </w:tc>
        <w:tc>
          <w:tcPr>
            <w:tcW w:w="1220" w:type="dxa"/>
            <w:vAlign w:val="center"/>
          </w:tcPr>
          <w:p w14:paraId="6605AE2C" w14:textId="77777777" w:rsidR="00E17CEA" w:rsidRPr="002B3802" w:rsidRDefault="00E17CEA" w:rsidP="000878F6">
            <w:pPr>
              <w:pStyle w:val="Table"/>
              <w:jc w:val="center"/>
              <w:rPr>
                <w:szCs w:val="20"/>
              </w:rPr>
            </w:pPr>
            <w:r w:rsidRPr="002B3802">
              <w:rPr>
                <w:rFonts w:ascii="Calibri" w:hAnsi="Calibri" w:cs="Calibri"/>
                <w:color w:val="000000"/>
                <w:szCs w:val="20"/>
              </w:rPr>
              <w:t>7,27</w:t>
            </w:r>
          </w:p>
        </w:tc>
        <w:tc>
          <w:tcPr>
            <w:tcW w:w="969" w:type="dxa"/>
            <w:vAlign w:val="center"/>
          </w:tcPr>
          <w:p w14:paraId="02F7CA25" w14:textId="77777777" w:rsidR="00E17CEA" w:rsidRPr="002B3802" w:rsidRDefault="00E17CEA" w:rsidP="000878F6">
            <w:pPr>
              <w:pStyle w:val="Table"/>
              <w:jc w:val="center"/>
              <w:rPr>
                <w:szCs w:val="20"/>
              </w:rPr>
            </w:pPr>
            <w:r w:rsidRPr="002B3802">
              <w:rPr>
                <w:rFonts w:ascii="Calibri" w:hAnsi="Calibri" w:cs="Calibri"/>
                <w:color w:val="000000"/>
                <w:szCs w:val="20"/>
              </w:rPr>
              <w:t>1,40%</w:t>
            </w:r>
          </w:p>
        </w:tc>
        <w:tc>
          <w:tcPr>
            <w:tcW w:w="1283" w:type="dxa"/>
            <w:vAlign w:val="center"/>
          </w:tcPr>
          <w:p w14:paraId="7712A017" w14:textId="77777777" w:rsidR="00E17CEA" w:rsidRPr="002B3802" w:rsidRDefault="00E17CEA" w:rsidP="000878F6">
            <w:pPr>
              <w:pStyle w:val="Table"/>
              <w:jc w:val="center"/>
              <w:rPr>
                <w:szCs w:val="20"/>
              </w:rPr>
            </w:pPr>
            <w:r w:rsidRPr="002B3802">
              <w:rPr>
                <w:rFonts w:ascii="Calibri" w:hAnsi="Calibri" w:cs="Calibri"/>
                <w:color w:val="000000"/>
                <w:szCs w:val="20"/>
              </w:rPr>
              <w:t>1,23%</w:t>
            </w:r>
          </w:p>
        </w:tc>
      </w:tr>
      <w:tr w:rsidR="00E17CEA" w:rsidRPr="0044560D" w14:paraId="48760596" w14:textId="77777777" w:rsidTr="00A84F75">
        <w:trPr>
          <w:trHeight w:val="239"/>
        </w:trPr>
        <w:tc>
          <w:tcPr>
            <w:tcW w:w="2252" w:type="dxa"/>
          </w:tcPr>
          <w:p w14:paraId="7D90EE96" w14:textId="77777777" w:rsidR="00E17CEA" w:rsidRPr="00F501DA" w:rsidRDefault="00E17CEA" w:rsidP="000878F6">
            <w:pPr>
              <w:pStyle w:val="Table"/>
            </w:pPr>
            <w:r w:rsidRPr="00F501DA">
              <w:t>SO2</w:t>
            </w:r>
          </w:p>
        </w:tc>
        <w:tc>
          <w:tcPr>
            <w:tcW w:w="1126" w:type="dxa"/>
            <w:vAlign w:val="center"/>
          </w:tcPr>
          <w:p w14:paraId="3C1DFE42" w14:textId="77777777" w:rsidR="00E17CEA" w:rsidRPr="002B3802" w:rsidRDefault="00E17CEA" w:rsidP="000878F6">
            <w:pPr>
              <w:pStyle w:val="Table"/>
              <w:jc w:val="center"/>
              <w:rPr>
                <w:szCs w:val="20"/>
              </w:rPr>
            </w:pPr>
            <w:r w:rsidRPr="002B3802">
              <w:rPr>
                <w:rFonts w:ascii="Calibri" w:hAnsi="Calibri" w:cs="Calibri"/>
                <w:color w:val="000000"/>
                <w:szCs w:val="20"/>
              </w:rPr>
              <w:t>-32,43%</w:t>
            </w:r>
          </w:p>
        </w:tc>
        <w:tc>
          <w:tcPr>
            <w:tcW w:w="1126" w:type="dxa"/>
            <w:vAlign w:val="center"/>
          </w:tcPr>
          <w:p w14:paraId="65AFF6ED" w14:textId="77777777" w:rsidR="00E17CEA" w:rsidRPr="002B3802" w:rsidRDefault="00E17CEA" w:rsidP="000878F6">
            <w:pPr>
              <w:pStyle w:val="Table"/>
              <w:jc w:val="center"/>
              <w:rPr>
                <w:szCs w:val="20"/>
              </w:rPr>
            </w:pPr>
            <w:r w:rsidRPr="002B3802">
              <w:rPr>
                <w:rFonts w:ascii="Calibri" w:hAnsi="Calibri" w:cs="Calibri"/>
                <w:color w:val="000000"/>
                <w:szCs w:val="20"/>
              </w:rPr>
              <w:t>-32,43%</w:t>
            </w:r>
          </w:p>
        </w:tc>
        <w:tc>
          <w:tcPr>
            <w:tcW w:w="1032" w:type="dxa"/>
            <w:vAlign w:val="center"/>
          </w:tcPr>
          <w:p w14:paraId="2AA0D0D8" w14:textId="77777777" w:rsidR="00E17CEA" w:rsidRPr="002B3802" w:rsidRDefault="00E17CEA" w:rsidP="000878F6">
            <w:pPr>
              <w:pStyle w:val="Table"/>
              <w:jc w:val="center"/>
              <w:rPr>
                <w:szCs w:val="20"/>
              </w:rPr>
            </w:pPr>
            <w:r w:rsidRPr="002B3802">
              <w:rPr>
                <w:rFonts w:ascii="Calibri" w:hAnsi="Calibri" w:cs="Calibri"/>
                <w:color w:val="000000"/>
                <w:szCs w:val="20"/>
              </w:rPr>
              <w:t>32,64</w:t>
            </w:r>
          </w:p>
        </w:tc>
        <w:tc>
          <w:tcPr>
            <w:tcW w:w="1220" w:type="dxa"/>
            <w:vAlign w:val="center"/>
          </w:tcPr>
          <w:p w14:paraId="7678B3C6" w14:textId="77777777" w:rsidR="00E17CEA" w:rsidRPr="002B3802" w:rsidRDefault="00E17CEA" w:rsidP="000878F6">
            <w:pPr>
              <w:pStyle w:val="Table"/>
              <w:jc w:val="center"/>
              <w:rPr>
                <w:szCs w:val="20"/>
              </w:rPr>
            </w:pPr>
            <w:r w:rsidRPr="002B3802">
              <w:rPr>
                <w:rFonts w:ascii="Calibri" w:hAnsi="Calibri" w:cs="Calibri"/>
                <w:color w:val="000000"/>
                <w:szCs w:val="20"/>
              </w:rPr>
              <w:t>22,23</w:t>
            </w:r>
          </w:p>
        </w:tc>
        <w:tc>
          <w:tcPr>
            <w:tcW w:w="969" w:type="dxa"/>
            <w:vAlign w:val="center"/>
          </w:tcPr>
          <w:p w14:paraId="0F95B3CF" w14:textId="77777777" w:rsidR="00E17CEA" w:rsidRPr="002B3802" w:rsidRDefault="00E17CEA" w:rsidP="000878F6">
            <w:pPr>
              <w:pStyle w:val="Table"/>
              <w:jc w:val="center"/>
              <w:rPr>
                <w:szCs w:val="20"/>
              </w:rPr>
            </w:pPr>
            <w:r w:rsidRPr="002B3802">
              <w:rPr>
                <w:rFonts w:ascii="Calibri" w:hAnsi="Calibri" w:cs="Calibri"/>
                <w:color w:val="000000"/>
                <w:szCs w:val="20"/>
              </w:rPr>
              <w:t>5,51%</w:t>
            </w:r>
          </w:p>
        </w:tc>
        <w:tc>
          <w:tcPr>
            <w:tcW w:w="1283" w:type="dxa"/>
            <w:vAlign w:val="center"/>
          </w:tcPr>
          <w:p w14:paraId="7D1FCFDB" w14:textId="77777777" w:rsidR="00E17CEA" w:rsidRPr="002B3802" w:rsidRDefault="00E17CEA" w:rsidP="000878F6">
            <w:pPr>
              <w:pStyle w:val="Table"/>
              <w:jc w:val="center"/>
              <w:rPr>
                <w:szCs w:val="20"/>
              </w:rPr>
            </w:pPr>
            <w:r w:rsidRPr="002B3802">
              <w:rPr>
                <w:rFonts w:ascii="Calibri" w:hAnsi="Calibri" w:cs="Calibri"/>
                <w:color w:val="000000"/>
                <w:szCs w:val="20"/>
              </w:rPr>
              <w:t>3,75%</w:t>
            </w:r>
          </w:p>
        </w:tc>
      </w:tr>
      <w:tr w:rsidR="00E17CEA" w:rsidRPr="0044560D" w14:paraId="6BB4E213" w14:textId="77777777" w:rsidTr="00A84F75">
        <w:trPr>
          <w:trHeight w:val="239"/>
        </w:trPr>
        <w:tc>
          <w:tcPr>
            <w:tcW w:w="2252" w:type="dxa"/>
          </w:tcPr>
          <w:p w14:paraId="72C11D16" w14:textId="77777777" w:rsidR="00E17CEA" w:rsidRPr="00F501DA" w:rsidRDefault="00E17CEA" w:rsidP="000878F6">
            <w:pPr>
              <w:pStyle w:val="Table"/>
            </w:pPr>
            <w:r w:rsidRPr="00F501DA">
              <w:t>PM2.5</w:t>
            </w:r>
          </w:p>
        </w:tc>
        <w:tc>
          <w:tcPr>
            <w:tcW w:w="1126" w:type="dxa"/>
            <w:vAlign w:val="center"/>
          </w:tcPr>
          <w:p w14:paraId="7585CDC6" w14:textId="77777777" w:rsidR="00E17CEA" w:rsidRPr="002B3802" w:rsidRDefault="00E17CEA" w:rsidP="000878F6">
            <w:pPr>
              <w:pStyle w:val="Table"/>
              <w:jc w:val="center"/>
              <w:rPr>
                <w:szCs w:val="20"/>
              </w:rPr>
            </w:pPr>
            <w:r w:rsidRPr="002B3802">
              <w:rPr>
                <w:rFonts w:ascii="Calibri" w:hAnsi="Calibri" w:cs="Calibri"/>
                <w:color w:val="000000"/>
                <w:szCs w:val="20"/>
              </w:rPr>
              <w:t>-29,58%</w:t>
            </w:r>
          </w:p>
        </w:tc>
        <w:tc>
          <w:tcPr>
            <w:tcW w:w="1126" w:type="dxa"/>
            <w:vAlign w:val="center"/>
          </w:tcPr>
          <w:p w14:paraId="29341DA4" w14:textId="77777777" w:rsidR="00E17CEA" w:rsidRPr="002B3802" w:rsidRDefault="00E17CEA" w:rsidP="000878F6">
            <w:pPr>
              <w:pStyle w:val="Table"/>
              <w:jc w:val="center"/>
              <w:rPr>
                <w:szCs w:val="20"/>
              </w:rPr>
            </w:pPr>
            <w:r w:rsidRPr="002B3802">
              <w:rPr>
                <w:rFonts w:ascii="Calibri" w:hAnsi="Calibri" w:cs="Calibri"/>
                <w:color w:val="000000"/>
                <w:szCs w:val="20"/>
              </w:rPr>
              <w:t>-29,58%</w:t>
            </w:r>
          </w:p>
        </w:tc>
        <w:tc>
          <w:tcPr>
            <w:tcW w:w="1032" w:type="dxa"/>
            <w:vAlign w:val="center"/>
          </w:tcPr>
          <w:p w14:paraId="4F61E808" w14:textId="77777777" w:rsidR="00E17CEA" w:rsidRPr="002B3802" w:rsidRDefault="00E17CEA" w:rsidP="000878F6">
            <w:pPr>
              <w:pStyle w:val="Table"/>
              <w:jc w:val="center"/>
              <w:rPr>
                <w:szCs w:val="20"/>
              </w:rPr>
            </w:pPr>
            <w:r w:rsidRPr="002B3802">
              <w:rPr>
                <w:rFonts w:ascii="Calibri" w:hAnsi="Calibri" w:cs="Calibri"/>
                <w:color w:val="000000"/>
                <w:szCs w:val="20"/>
              </w:rPr>
              <w:t>14,73</w:t>
            </w:r>
          </w:p>
        </w:tc>
        <w:tc>
          <w:tcPr>
            <w:tcW w:w="1220" w:type="dxa"/>
            <w:vAlign w:val="center"/>
          </w:tcPr>
          <w:p w14:paraId="7A0F515F" w14:textId="77777777" w:rsidR="00E17CEA" w:rsidRPr="002B3802" w:rsidRDefault="00E17CEA" w:rsidP="000878F6">
            <w:pPr>
              <w:pStyle w:val="Table"/>
              <w:jc w:val="center"/>
              <w:rPr>
                <w:szCs w:val="20"/>
              </w:rPr>
            </w:pPr>
            <w:r w:rsidRPr="002B3802">
              <w:rPr>
                <w:rFonts w:ascii="Calibri" w:hAnsi="Calibri" w:cs="Calibri"/>
                <w:color w:val="000000"/>
                <w:szCs w:val="20"/>
              </w:rPr>
              <w:t>12,68</w:t>
            </w:r>
          </w:p>
        </w:tc>
        <w:tc>
          <w:tcPr>
            <w:tcW w:w="969" w:type="dxa"/>
            <w:vAlign w:val="center"/>
          </w:tcPr>
          <w:p w14:paraId="38B19AE1" w14:textId="77777777" w:rsidR="00E17CEA" w:rsidRPr="002B3802" w:rsidRDefault="00E17CEA" w:rsidP="000878F6">
            <w:pPr>
              <w:pStyle w:val="Table"/>
              <w:jc w:val="center"/>
              <w:rPr>
                <w:szCs w:val="20"/>
              </w:rPr>
            </w:pPr>
            <w:r w:rsidRPr="002B3802">
              <w:rPr>
                <w:rFonts w:ascii="Calibri" w:hAnsi="Calibri" w:cs="Calibri"/>
                <w:color w:val="000000"/>
                <w:szCs w:val="20"/>
              </w:rPr>
              <w:t>2,49%</w:t>
            </w:r>
          </w:p>
        </w:tc>
        <w:tc>
          <w:tcPr>
            <w:tcW w:w="1283" w:type="dxa"/>
            <w:vAlign w:val="center"/>
          </w:tcPr>
          <w:p w14:paraId="108F7CD6" w14:textId="77777777" w:rsidR="00E17CEA" w:rsidRPr="002B3802" w:rsidRDefault="00E17CEA" w:rsidP="000878F6">
            <w:pPr>
              <w:pStyle w:val="Table"/>
              <w:jc w:val="center"/>
              <w:rPr>
                <w:szCs w:val="20"/>
              </w:rPr>
            </w:pPr>
            <w:r w:rsidRPr="002B3802">
              <w:rPr>
                <w:rFonts w:ascii="Calibri" w:hAnsi="Calibri" w:cs="Calibri"/>
                <w:color w:val="000000"/>
                <w:szCs w:val="20"/>
              </w:rPr>
              <w:t>2,14%</w:t>
            </w:r>
          </w:p>
        </w:tc>
      </w:tr>
      <w:tr w:rsidR="00E17CEA" w:rsidRPr="0044560D" w14:paraId="19007F90" w14:textId="77777777" w:rsidTr="00A84F75">
        <w:trPr>
          <w:trHeight w:val="239"/>
        </w:trPr>
        <w:tc>
          <w:tcPr>
            <w:tcW w:w="2252" w:type="dxa"/>
          </w:tcPr>
          <w:p w14:paraId="1551E5EC" w14:textId="77777777" w:rsidR="00E17CEA" w:rsidRPr="00F501DA" w:rsidRDefault="00E17CEA" w:rsidP="000878F6">
            <w:pPr>
              <w:pStyle w:val="Table"/>
            </w:pPr>
            <w:r w:rsidRPr="00F501DA">
              <w:t>Water Abstraction</w:t>
            </w:r>
          </w:p>
        </w:tc>
        <w:tc>
          <w:tcPr>
            <w:tcW w:w="1126" w:type="dxa"/>
            <w:vAlign w:val="center"/>
          </w:tcPr>
          <w:p w14:paraId="01EE3B52" w14:textId="77777777" w:rsidR="00E17CEA" w:rsidRPr="002B3802" w:rsidRDefault="00E17CEA" w:rsidP="000878F6">
            <w:pPr>
              <w:pStyle w:val="Table"/>
              <w:jc w:val="center"/>
              <w:rPr>
                <w:szCs w:val="20"/>
              </w:rPr>
            </w:pPr>
            <w:r w:rsidRPr="002B3802">
              <w:rPr>
                <w:rFonts w:ascii="Calibri" w:hAnsi="Calibri" w:cs="Calibri"/>
                <w:color w:val="000000"/>
                <w:szCs w:val="20"/>
              </w:rPr>
              <w:t>-31,59%</w:t>
            </w:r>
          </w:p>
        </w:tc>
        <w:tc>
          <w:tcPr>
            <w:tcW w:w="1126" w:type="dxa"/>
            <w:vAlign w:val="center"/>
          </w:tcPr>
          <w:p w14:paraId="2B666F30" w14:textId="77777777" w:rsidR="00E17CEA" w:rsidRPr="002B3802" w:rsidRDefault="00E17CEA" w:rsidP="000878F6">
            <w:pPr>
              <w:pStyle w:val="Table"/>
              <w:jc w:val="center"/>
              <w:rPr>
                <w:szCs w:val="20"/>
              </w:rPr>
            </w:pPr>
            <w:r w:rsidRPr="002B3802">
              <w:rPr>
                <w:rFonts w:ascii="Calibri" w:hAnsi="Calibri" w:cs="Calibri"/>
                <w:color w:val="000000"/>
                <w:szCs w:val="20"/>
              </w:rPr>
              <w:t>-31,59%</w:t>
            </w:r>
          </w:p>
        </w:tc>
        <w:tc>
          <w:tcPr>
            <w:tcW w:w="1032" w:type="dxa"/>
            <w:vAlign w:val="center"/>
          </w:tcPr>
          <w:p w14:paraId="13C45956" w14:textId="77777777" w:rsidR="00E17CEA" w:rsidRPr="002B3802" w:rsidRDefault="00E17CEA" w:rsidP="000878F6">
            <w:pPr>
              <w:pStyle w:val="Table"/>
              <w:jc w:val="center"/>
              <w:rPr>
                <w:szCs w:val="20"/>
              </w:rPr>
            </w:pPr>
            <w:r w:rsidRPr="002B3802">
              <w:rPr>
                <w:rFonts w:ascii="Calibri" w:hAnsi="Calibri" w:cs="Calibri"/>
                <w:color w:val="000000"/>
                <w:szCs w:val="20"/>
              </w:rPr>
              <w:t>8008,44</w:t>
            </w:r>
          </w:p>
        </w:tc>
        <w:tc>
          <w:tcPr>
            <w:tcW w:w="1220" w:type="dxa"/>
            <w:vAlign w:val="center"/>
          </w:tcPr>
          <w:p w14:paraId="6EA3FB00" w14:textId="77777777" w:rsidR="00E17CEA" w:rsidRPr="002B3802" w:rsidRDefault="00E17CEA" w:rsidP="000878F6">
            <w:pPr>
              <w:pStyle w:val="Table"/>
              <w:jc w:val="center"/>
              <w:rPr>
                <w:szCs w:val="20"/>
              </w:rPr>
            </w:pPr>
            <w:r w:rsidRPr="002B3802">
              <w:rPr>
                <w:rFonts w:ascii="Calibri" w:hAnsi="Calibri" w:cs="Calibri"/>
                <w:color w:val="000000"/>
                <w:szCs w:val="20"/>
              </w:rPr>
              <w:t>8882,84</w:t>
            </w:r>
          </w:p>
        </w:tc>
        <w:tc>
          <w:tcPr>
            <w:tcW w:w="969" w:type="dxa"/>
            <w:vAlign w:val="center"/>
          </w:tcPr>
          <w:p w14:paraId="23E12923" w14:textId="77777777" w:rsidR="00E17CEA" w:rsidRPr="002B3802" w:rsidRDefault="00E17CEA" w:rsidP="000878F6">
            <w:pPr>
              <w:pStyle w:val="Table"/>
              <w:jc w:val="center"/>
              <w:rPr>
                <w:szCs w:val="20"/>
              </w:rPr>
            </w:pPr>
            <w:r w:rsidRPr="002B3802">
              <w:rPr>
                <w:rFonts w:ascii="Calibri" w:hAnsi="Calibri" w:cs="Calibri"/>
                <w:color w:val="000000"/>
                <w:szCs w:val="20"/>
              </w:rPr>
              <w:t>4795,47%</w:t>
            </w:r>
          </w:p>
        </w:tc>
        <w:tc>
          <w:tcPr>
            <w:tcW w:w="1283" w:type="dxa"/>
            <w:vAlign w:val="center"/>
          </w:tcPr>
          <w:p w14:paraId="0FF3DA0B" w14:textId="77777777" w:rsidR="00E17CEA" w:rsidRPr="002B3802" w:rsidRDefault="00E17CEA" w:rsidP="000878F6">
            <w:pPr>
              <w:pStyle w:val="Table"/>
              <w:jc w:val="center"/>
              <w:rPr>
                <w:szCs w:val="20"/>
              </w:rPr>
            </w:pPr>
            <w:r w:rsidRPr="002B3802">
              <w:rPr>
                <w:rFonts w:ascii="Calibri" w:hAnsi="Calibri" w:cs="Calibri"/>
                <w:color w:val="000000"/>
                <w:szCs w:val="20"/>
              </w:rPr>
              <w:t>5319,06%</w:t>
            </w:r>
          </w:p>
        </w:tc>
      </w:tr>
      <w:tr w:rsidR="00E17CEA" w:rsidRPr="0044560D" w14:paraId="1F6ED9BF" w14:textId="77777777" w:rsidTr="00A84F75">
        <w:trPr>
          <w:trHeight w:val="256"/>
        </w:trPr>
        <w:tc>
          <w:tcPr>
            <w:tcW w:w="2252" w:type="dxa"/>
          </w:tcPr>
          <w:p w14:paraId="432A6731" w14:textId="77777777" w:rsidR="00E17CEA" w:rsidRPr="00F501DA" w:rsidRDefault="00E17CEA" w:rsidP="000878F6">
            <w:pPr>
              <w:pStyle w:val="Table"/>
            </w:pPr>
            <w:r w:rsidRPr="00F501DA">
              <w:t>Fertilizers</w:t>
            </w:r>
          </w:p>
        </w:tc>
        <w:tc>
          <w:tcPr>
            <w:tcW w:w="1126" w:type="dxa"/>
            <w:vAlign w:val="center"/>
          </w:tcPr>
          <w:p w14:paraId="4CC59F43" w14:textId="77777777" w:rsidR="00E17CEA" w:rsidRPr="002B3802" w:rsidRDefault="00E17CEA" w:rsidP="000878F6">
            <w:pPr>
              <w:pStyle w:val="Table"/>
              <w:jc w:val="center"/>
              <w:rPr>
                <w:szCs w:val="20"/>
              </w:rPr>
            </w:pPr>
            <w:r w:rsidRPr="002B3802">
              <w:rPr>
                <w:rFonts w:ascii="Calibri" w:hAnsi="Calibri" w:cs="Calibri"/>
                <w:color w:val="000000"/>
                <w:szCs w:val="20"/>
              </w:rPr>
              <w:t>-29,96%</w:t>
            </w:r>
          </w:p>
        </w:tc>
        <w:tc>
          <w:tcPr>
            <w:tcW w:w="1126" w:type="dxa"/>
            <w:vAlign w:val="center"/>
          </w:tcPr>
          <w:p w14:paraId="547BACB9" w14:textId="77777777" w:rsidR="00E17CEA" w:rsidRPr="002B3802" w:rsidRDefault="00E17CEA" w:rsidP="000878F6">
            <w:pPr>
              <w:pStyle w:val="Table"/>
              <w:jc w:val="center"/>
              <w:rPr>
                <w:szCs w:val="20"/>
              </w:rPr>
            </w:pPr>
            <w:r w:rsidRPr="002B3802">
              <w:rPr>
                <w:rFonts w:ascii="Calibri" w:hAnsi="Calibri" w:cs="Calibri"/>
                <w:color w:val="000000"/>
                <w:szCs w:val="20"/>
              </w:rPr>
              <w:t>-29,96%</w:t>
            </w:r>
          </w:p>
        </w:tc>
        <w:tc>
          <w:tcPr>
            <w:tcW w:w="1032" w:type="dxa"/>
            <w:vAlign w:val="center"/>
          </w:tcPr>
          <w:p w14:paraId="279E17D1" w14:textId="77777777" w:rsidR="00E17CEA" w:rsidRPr="002B3802" w:rsidRDefault="00E17CEA" w:rsidP="000878F6">
            <w:pPr>
              <w:pStyle w:val="Table"/>
              <w:jc w:val="center"/>
              <w:rPr>
                <w:szCs w:val="20"/>
              </w:rPr>
            </w:pPr>
            <w:r w:rsidRPr="002B3802">
              <w:rPr>
                <w:rFonts w:ascii="Calibri" w:hAnsi="Calibri" w:cs="Calibri"/>
                <w:color w:val="000000"/>
                <w:szCs w:val="20"/>
              </w:rPr>
              <w:t>47,65</w:t>
            </w:r>
          </w:p>
        </w:tc>
        <w:tc>
          <w:tcPr>
            <w:tcW w:w="1220" w:type="dxa"/>
            <w:vAlign w:val="center"/>
          </w:tcPr>
          <w:p w14:paraId="770461E6" w14:textId="77777777" w:rsidR="00E17CEA" w:rsidRPr="002B3802" w:rsidRDefault="00E17CEA" w:rsidP="000878F6">
            <w:pPr>
              <w:pStyle w:val="Table"/>
              <w:jc w:val="center"/>
              <w:rPr>
                <w:szCs w:val="20"/>
              </w:rPr>
            </w:pPr>
            <w:r w:rsidRPr="002B3802">
              <w:rPr>
                <w:rFonts w:ascii="Calibri" w:hAnsi="Calibri" w:cs="Calibri"/>
                <w:color w:val="000000"/>
                <w:szCs w:val="20"/>
              </w:rPr>
              <w:t>47,12</w:t>
            </w:r>
          </w:p>
        </w:tc>
        <w:tc>
          <w:tcPr>
            <w:tcW w:w="969" w:type="dxa"/>
            <w:vAlign w:val="center"/>
          </w:tcPr>
          <w:p w14:paraId="7E2C9E80" w14:textId="77777777" w:rsidR="00E17CEA" w:rsidRPr="002B3802" w:rsidRDefault="00E17CEA" w:rsidP="000878F6">
            <w:pPr>
              <w:pStyle w:val="Table"/>
              <w:jc w:val="center"/>
              <w:rPr>
                <w:szCs w:val="20"/>
              </w:rPr>
            </w:pPr>
            <w:r w:rsidRPr="002B3802">
              <w:rPr>
                <w:rFonts w:ascii="Calibri" w:hAnsi="Calibri" w:cs="Calibri"/>
                <w:color w:val="000000"/>
                <w:szCs w:val="20"/>
              </w:rPr>
              <w:t>8,05%</w:t>
            </w:r>
          </w:p>
        </w:tc>
        <w:tc>
          <w:tcPr>
            <w:tcW w:w="1283" w:type="dxa"/>
            <w:vAlign w:val="center"/>
          </w:tcPr>
          <w:p w14:paraId="10C98E90" w14:textId="77777777" w:rsidR="00E17CEA" w:rsidRPr="002B3802" w:rsidRDefault="00E17CEA" w:rsidP="000878F6">
            <w:pPr>
              <w:pStyle w:val="Table"/>
              <w:jc w:val="center"/>
              <w:rPr>
                <w:szCs w:val="20"/>
              </w:rPr>
            </w:pPr>
            <w:r w:rsidRPr="002B3802">
              <w:rPr>
                <w:rFonts w:ascii="Calibri" w:hAnsi="Calibri" w:cs="Calibri"/>
                <w:color w:val="000000"/>
                <w:szCs w:val="20"/>
              </w:rPr>
              <w:t>7,96%</w:t>
            </w:r>
          </w:p>
        </w:tc>
      </w:tr>
      <w:tr w:rsidR="00E17CEA" w:rsidRPr="0044560D" w14:paraId="73EE7A49" w14:textId="77777777" w:rsidTr="00A84F75">
        <w:trPr>
          <w:trHeight w:val="239"/>
        </w:trPr>
        <w:tc>
          <w:tcPr>
            <w:tcW w:w="2252" w:type="dxa"/>
          </w:tcPr>
          <w:p w14:paraId="7AA42709" w14:textId="77777777" w:rsidR="00E17CEA" w:rsidRPr="00F501DA" w:rsidRDefault="00E17CEA" w:rsidP="000878F6">
            <w:pPr>
              <w:pStyle w:val="Table"/>
            </w:pPr>
            <w:r w:rsidRPr="00F501DA">
              <w:t>Pesticides</w:t>
            </w:r>
          </w:p>
        </w:tc>
        <w:tc>
          <w:tcPr>
            <w:tcW w:w="1126" w:type="dxa"/>
            <w:vAlign w:val="center"/>
          </w:tcPr>
          <w:p w14:paraId="067A7C62" w14:textId="77777777" w:rsidR="00E17CEA" w:rsidRPr="002B3802" w:rsidRDefault="00E17CEA" w:rsidP="000878F6">
            <w:pPr>
              <w:pStyle w:val="Table"/>
              <w:jc w:val="center"/>
              <w:rPr>
                <w:szCs w:val="20"/>
              </w:rPr>
            </w:pPr>
            <w:r w:rsidRPr="002B3802">
              <w:rPr>
                <w:rFonts w:ascii="Calibri" w:hAnsi="Calibri" w:cs="Calibri"/>
                <w:color w:val="000000"/>
                <w:szCs w:val="20"/>
              </w:rPr>
              <w:t>n/a</w:t>
            </w:r>
          </w:p>
        </w:tc>
        <w:tc>
          <w:tcPr>
            <w:tcW w:w="1126" w:type="dxa"/>
            <w:vAlign w:val="center"/>
          </w:tcPr>
          <w:p w14:paraId="240275AC" w14:textId="77777777" w:rsidR="00E17CEA" w:rsidRPr="002B3802" w:rsidRDefault="00E17CEA" w:rsidP="000878F6">
            <w:pPr>
              <w:pStyle w:val="Table"/>
              <w:jc w:val="center"/>
              <w:rPr>
                <w:szCs w:val="20"/>
              </w:rPr>
            </w:pPr>
            <w:r w:rsidRPr="002B3802">
              <w:rPr>
                <w:rFonts w:ascii="Calibri" w:hAnsi="Calibri" w:cs="Calibri"/>
                <w:color w:val="000000"/>
                <w:szCs w:val="20"/>
              </w:rPr>
              <w:t>n/a</w:t>
            </w:r>
          </w:p>
        </w:tc>
        <w:tc>
          <w:tcPr>
            <w:tcW w:w="1032" w:type="dxa"/>
            <w:vAlign w:val="center"/>
          </w:tcPr>
          <w:p w14:paraId="0D69188F" w14:textId="77777777" w:rsidR="00E17CEA" w:rsidRPr="002B3802" w:rsidRDefault="00E17CEA" w:rsidP="000878F6">
            <w:pPr>
              <w:pStyle w:val="Table"/>
              <w:jc w:val="center"/>
              <w:rPr>
                <w:szCs w:val="20"/>
              </w:rPr>
            </w:pPr>
            <w:r w:rsidRPr="002B3802">
              <w:rPr>
                <w:rFonts w:ascii="Calibri" w:hAnsi="Calibri" w:cs="Calibri"/>
                <w:color w:val="000000"/>
                <w:szCs w:val="20"/>
              </w:rPr>
              <w:t>269,15</w:t>
            </w:r>
          </w:p>
        </w:tc>
        <w:tc>
          <w:tcPr>
            <w:tcW w:w="1220" w:type="dxa"/>
            <w:vAlign w:val="center"/>
          </w:tcPr>
          <w:p w14:paraId="13DFEDF5" w14:textId="77777777" w:rsidR="00E17CEA" w:rsidRPr="002B3802" w:rsidRDefault="00E17CEA" w:rsidP="000878F6">
            <w:pPr>
              <w:pStyle w:val="Table"/>
              <w:jc w:val="center"/>
              <w:rPr>
                <w:szCs w:val="20"/>
              </w:rPr>
            </w:pPr>
            <w:r w:rsidRPr="002B3802">
              <w:rPr>
                <w:rFonts w:ascii="Calibri" w:hAnsi="Calibri" w:cs="Calibri"/>
                <w:color w:val="000000"/>
                <w:szCs w:val="20"/>
              </w:rPr>
              <w:t>266,92</w:t>
            </w:r>
          </w:p>
        </w:tc>
        <w:tc>
          <w:tcPr>
            <w:tcW w:w="969" w:type="dxa"/>
            <w:vAlign w:val="center"/>
          </w:tcPr>
          <w:p w14:paraId="10B898D6" w14:textId="77777777" w:rsidR="00E17CEA" w:rsidRPr="002B3802" w:rsidRDefault="00E17CEA" w:rsidP="000878F6">
            <w:pPr>
              <w:pStyle w:val="Table"/>
              <w:jc w:val="center"/>
              <w:rPr>
                <w:szCs w:val="20"/>
              </w:rPr>
            </w:pPr>
            <w:r w:rsidRPr="002B3802">
              <w:rPr>
                <w:rFonts w:ascii="Calibri" w:hAnsi="Calibri" w:cs="Calibri"/>
                <w:color w:val="000000"/>
                <w:szCs w:val="20"/>
              </w:rPr>
              <w:t>45,46%</w:t>
            </w:r>
          </w:p>
        </w:tc>
        <w:tc>
          <w:tcPr>
            <w:tcW w:w="1283" w:type="dxa"/>
            <w:vAlign w:val="center"/>
          </w:tcPr>
          <w:p w14:paraId="14CC1280" w14:textId="77777777" w:rsidR="00E17CEA" w:rsidRPr="002B3802" w:rsidRDefault="00E17CEA" w:rsidP="000878F6">
            <w:pPr>
              <w:pStyle w:val="Table"/>
              <w:jc w:val="center"/>
              <w:rPr>
                <w:szCs w:val="20"/>
              </w:rPr>
            </w:pPr>
            <w:r w:rsidRPr="002B3802">
              <w:rPr>
                <w:rFonts w:ascii="Calibri" w:hAnsi="Calibri" w:cs="Calibri"/>
                <w:color w:val="000000"/>
                <w:szCs w:val="20"/>
              </w:rPr>
              <w:t>45,09%</w:t>
            </w:r>
          </w:p>
        </w:tc>
      </w:tr>
      <w:tr w:rsidR="00E17CEA" w:rsidRPr="0044560D" w14:paraId="7A65D030" w14:textId="77777777" w:rsidTr="00A84F75">
        <w:trPr>
          <w:trHeight w:val="239"/>
        </w:trPr>
        <w:tc>
          <w:tcPr>
            <w:tcW w:w="2252" w:type="dxa"/>
          </w:tcPr>
          <w:p w14:paraId="1ED62ECB" w14:textId="77777777" w:rsidR="00E17CEA" w:rsidRPr="00F501DA" w:rsidRDefault="00E17CEA" w:rsidP="000878F6">
            <w:pPr>
              <w:pStyle w:val="Table"/>
            </w:pPr>
            <w:r w:rsidRPr="00F501DA">
              <w:t>Waste Incineration</w:t>
            </w:r>
          </w:p>
        </w:tc>
        <w:tc>
          <w:tcPr>
            <w:tcW w:w="1126" w:type="dxa"/>
            <w:vAlign w:val="center"/>
          </w:tcPr>
          <w:p w14:paraId="19CDE75B" w14:textId="77777777" w:rsidR="00E17CEA" w:rsidRPr="002B3802" w:rsidRDefault="00E17CEA" w:rsidP="000878F6">
            <w:pPr>
              <w:pStyle w:val="Table"/>
              <w:jc w:val="center"/>
              <w:rPr>
                <w:szCs w:val="20"/>
              </w:rPr>
            </w:pPr>
            <w:r w:rsidRPr="002B3802">
              <w:rPr>
                <w:rFonts w:ascii="Calibri" w:hAnsi="Calibri" w:cs="Calibri"/>
                <w:color w:val="000000"/>
                <w:szCs w:val="20"/>
              </w:rPr>
              <w:t>-20,00%</w:t>
            </w:r>
          </w:p>
        </w:tc>
        <w:tc>
          <w:tcPr>
            <w:tcW w:w="1126" w:type="dxa"/>
            <w:vAlign w:val="center"/>
          </w:tcPr>
          <w:p w14:paraId="0B315E16" w14:textId="77777777" w:rsidR="00E17CEA" w:rsidRPr="002B3802" w:rsidRDefault="00E17CEA" w:rsidP="000878F6">
            <w:pPr>
              <w:pStyle w:val="Table"/>
              <w:jc w:val="center"/>
              <w:rPr>
                <w:szCs w:val="20"/>
              </w:rPr>
            </w:pPr>
            <w:r w:rsidRPr="002B3802">
              <w:rPr>
                <w:rFonts w:ascii="Calibri" w:hAnsi="Calibri" w:cs="Calibri"/>
                <w:color w:val="000000"/>
                <w:szCs w:val="20"/>
              </w:rPr>
              <w:t>-20,00%</w:t>
            </w:r>
          </w:p>
        </w:tc>
        <w:tc>
          <w:tcPr>
            <w:tcW w:w="1032" w:type="dxa"/>
            <w:vAlign w:val="center"/>
          </w:tcPr>
          <w:p w14:paraId="7FF3252A" w14:textId="77777777" w:rsidR="00E17CEA" w:rsidRPr="002B3802" w:rsidRDefault="00E17CEA" w:rsidP="000878F6">
            <w:pPr>
              <w:pStyle w:val="Table"/>
              <w:jc w:val="center"/>
              <w:rPr>
                <w:szCs w:val="20"/>
              </w:rPr>
            </w:pPr>
            <w:r w:rsidRPr="002B3802">
              <w:rPr>
                <w:rFonts w:ascii="Calibri" w:hAnsi="Calibri" w:cs="Calibri"/>
                <w:color w:val="000000"/>
                <w:szCs w:val="20"/>
              </w:rPr>
              <w:t>3,48</w:t>
            </w:r>
          </w:p>
        </w:tc>
        <w:tc>
          <w:tcPr>
            <w:tcW w:w="1220" w:type="dxa"/>
            <w:vAlign w:val="center"/>
          </w:tcPr>
          <w:p w14:paraId="2DE5BEC9" w14:textId="77777777" w:rsidR="00E17CEA" w:rsidRPr="002B3802" w:rsidRDefault="00E17CEA" w:rsidP="000878F6">
            <w:pPr>
              <w:pStyle w:val="Table"/>
              <w:jc w:val="center"/>
              <w:rPr>
                <w:szCs w:val="20"/>
              </w:rPr>
            </w:pPr>
            <w:r w:rsidRPr="002B3802">
              <w:rPr>
                <w:rFonts w:ascii="Calibri" w:hAnsi="Calibri" w:cs="Calibri"/>
                <w:color w:val="000000"/>
                <w:szCs w:val="20"/>
              </w:rPr>
              <w:t>1,95</w:t>
            </w:r>
          </w:p>
        </w:tc>
        <w:tc>
          <w:tcPr>
            <w:tcW w:w="969" w:type="dxa"/>
            <w:vAlign w:val="center"/>
          </w:tcPr>
          <w:p w14:paraId="61D4E887" w14:textId="77777777" w:rsidR="00E17CEA" w:rsidRPr="002B3802" w:rsidRDefault="00E17CEA" w:rsidP="000878F6">
            <w:pPr>
              <w:pStyle w:val="Table"/>
              <w:jc w:val="center"/>
              <w:rPr>
                <w:szCs w:val="20"/>
              </w:rPr>
            </w:pPr>
            <w:r w:rsidRPr="002B3802">
              <w:rPr>
                <w:rFonts w:ascii="Calibri" w:hAnsi="Calibri" w:cs="Calibri"/>
                <w:color w:val="000000"/>
                <w:szCs w:val="20"/>
              </w:rPr>
              <w:t>0,59%</w:t>
            </w:r>
          </w:p>
        </w:tc>
        <w:tc>
          <w:tcPr>
            <w:tcW w:w="1283" w:type="dxa"/>
            <w:vAlign w:val="center"/>
          </w:tcPr>
          <w:p w14:paraId="3FE97622" w14:textId="77777777" w:rsidR="00E17CEA" w:rsidRPr="002B3802" w:rsidRDefault="00E17CEA" w:rsidP="000878F6">
            <w:pPr>
              <w:pStyle w:val="Table"/>
              <w:jc w:val="center"/>
              <w:rPr>
                <w:szCs w:val="20"/>
              </w:rPr>
            </w:pPr>
            <w:r w:rsidRPr="002B3802">
              <w:rPr>
                <w:rFonts w:ascii="Calibri" w:hAnsi="Calibri" w:cs="Calibri"/>
                <w:color w:val="000000"/>
                <w:szCs w:val="20"/>
              </w:rPr>
              <w:t>0,33%</w:t>
            </w:r>
          </w:p>
        </w:tc>
      </w:tr>
      <w:tr w:rsidR="00E17CEA" w:rsidRPr="0044560D" w14:paraId="1FC50B3E" w14:textId="77777777" w:rsidTr="00A84F75">
        <w:trPr>
          <w:trHeight w:val="239"/>
        </w:trPr>
        <w:tc>
          <w:tcPr>
            <w:tcW w:w="2252" w:type="dxa"/>
          </w:tcPr>
          <w:p w14:paraId="2EF0B979" w14:textId="77777777" w:rsidR="00E17CEA" w:rsidRPr="00F501DA" w:rsidRDefault="00E17CEA" w:rsidP="000878F6">
            <w:pPr>
              <w:pStyle w:val="Table"/>
            </w:pPr>
            <w:r w:rsidRPr="00F501DA">
              <w:t>Waste to Landfill</w:t>
            </w:r>
          </w:p>
        </w:tc>
        <w:tc>
          <w:tcPr>
            <w:tcW w:w="1126" w:type="dxa"/>
            <w:vAlign w:val="center"/>
          </w:tcPr>
          <w:p w14:paraId="64083058" w14:textId="77777777" w:rsidR="00E17CEA" w:rsidRPr="002B3802" w:rsidRDefault="00E17CEA" w:rsidP="000878F6">
            <w:pPr>
              <w:pStyle w:val="Table"/>
              <w:jc w:val="center"/>
              <w:rPr>
                <w:szCs w:val="20"/>
              </w:rPr>
            </w:pPr>
            <w:r w:rsidRPr="002B3802">
              <w:rPr>
                <w:rFonts w:ascii="Calibri" w:hAnsi="Calibri" w:cs="Calibri"/>
                <w:color w:val="000000"/>
                <w:szCs w:val="20"/>
              </w:rPr>
              <w:t>-34,78%</w:t>
            </w:r>
          </w:p>
        </w:tc>
        <w:tc>
          <w:tcPr>
            <w:tcW w:w="1126" w:type="dxa"/>
            <w:vAlign w:val="center"/>
          </w:tcPr>
          <w:p w14:paraId="2933948F" w14:textId="77777777" w:rsidR="00E17CEA" w:rsidRPr="002B3802" w:rsidRDefault="00E17CEA" w:rsidP="000878F6">
            <w:pPr>
              <w:pStyle w:val="Table"/>
              <w:jc w:val="center"/>
              <w:rPr>
                <w:szCs w:val="20"/>
              </w:rPr>
            </w:pPr>
            <w:r w:rsidRPr="002B3802">
              <w:rPr>
                <w:rFonts w:ascii="Calibri" w:hAnsi="Calibri" w:cs="Calibri"/>
                <w:color w:val="000000"/>
                <w:szCs w:val="20"/>
              </w:rPr>
              <w:t>-34,78%</w:t>
            </w:r>
          </w:p>
        </w:tc>
        <w:tc>
          <w:tcPr>
            <w:tcW w:w="1032" w:type="dxa"/>
            <w:vAlign w:val="center"/>
          </w:tcPr>
          <w:p w14:paraId="3AD6FDB4" w14:textId="77777777" w:rsidR="00E17CEA" w:rsidRPr="002B3802" w:rsidRDefault="00E17CEA" w:rsidP="000878F6">
            <w:pPr>
              <w:pStyle w:val="Table"/>
              <w:jc w:val="center"/>
              <w:rPr>
                <w:szCs w:val="20"/>
              </w:rPr>
            </w:pPr>
            <w:r w:rsidRPr="002B3802">
              <w:rPr>
                <w:rFonts w:ascii="Calibri" w:hAnsi="Calibri" w:cs="Calibri"/>
                <w:color w:val="000000"/>
                <w:szCs w:val="20"/>
              </w:rPr>
              <w:t>200,79</w:t>
            </w:r>
          </w:p>
        </w:tc>
        <w:tc>
          <w:tcPr>
            <w:tcW w:w="1220" w:type="dxa"/>
            <w:vAlign w:val="center"/>
          </w:tcPr>
          <w:p w14:paraId="64CFAE5E" w14:textId="77777777" w:rsidR="00E17CEA" w:rsidRPr="002B3802" w:rsidRDefault="00E17CEA" w:rsidP="000878F6">
            <w:pPr>
              <w:pStyle w:val="Table"/>
              <w:jc w:val="center"/>
              <w:rPr>
                <w:szCs w:val="20"/>
              </w:rPr>
            </w:pPr>
            <w:r w:rsidRPr="002B3802">
              <w:rPr>
                <w:rFonts w:ascii="Calibri" w:hAnsi="Calibri" w:cs="Calibri"/>
                <w:color w:val="000000"/>
                <w:szCs w:val="20"/>
              </w:rPr>
              <w:t>150,13</w:t>
            </w:r>
          </w:p>
        </w:tc>
        <w:tc>
          <w:tcPr>
            <w:tcW w:w="969" w:type="dxa"/>
            <w:vAlign w:val="center"/>
          </w:tcPr>
          <w:p w14:paraId="0E612D09" w14:textId="77777777" w:rsidR="00E17CEA" w:rsidRPr="002B3802" w:rsidRDefault="00E17CEA" w:rsidP="000878F6">
            <w:pPr>
              <w:pStyle w:val="Table"/>
              <w:jc w:val="center"/>
              <w:rPr>
                <w:szCs w:val="20"/>
              </w:rPr>
            </w:pPr>
            <w:r w:rsidRPr="002B3802">
              <w:rPr>
                <w:rFonts w:ascii="Calibri" w:hAnsi="Calibri" w:cs="Calibri"/>
                <w:color w:val="000000"/>
                <w:szCs w:val="20"/>
              </w:rPr>
              <w:t>33,92%</w:t>
            </w:r>
          </w:p>
        </w:tc>
        <w:tc>
          <w:tcPr>
            <w:tcW w:w="1283" w:type="dxa"/>
            <w:vAlign w:val="center"/>
          </w:tcPr>
          <w:p w14:paraId="4109606D" w14:textId="77777777" w:rsidR="00E17CEA" w:rsidRPr="002B3802" w:rsidRDefault="00E17CEA" w:rsidP="000878F6">
            <w:pPr>
              <w:pStyle w:val="Table"/>
              <w:jc w:val="center"/>
              <w:rPr>
                <w:szCs w:val="20"/>
              </w:rPr>
            </w:pPr>
            <w:r w:rsidRPr="002B3802">
              <w:rPr>
                <w:rFonts w:ascii="Calibri" w:hAnsi="Calibri" w:cs="Calibri"/>
                <w:color w:val="000000"/>
                <w:szCs w:val="20"/>
              </w:rPr>
              <w:t>25,36%</w:t>
            </w:r>
          </w:p>
        </w:tc>
      </w:tr>
      <w:tr w:rsidR="00E17CEA" w:rsidRPr="0044560D" w14:paraId="479DB52F" w14:textId="77777777" w:rsidTr="00A84F75">
        <w:trPr>
          <w:trHeight w:val="239"/>
        </w:trPr>
        <w:tc>
          <w:tcPr>
            <w:tcW w:w="2252" w:type="dxa"/>
          </w:tcPr>
          <w:p w14:paraId="654D149A" w14:textId="77777777" w:rsidR="00E17CEA" w:rsidRPr="00F501DA" w:rsidRDefault="00E17CEA" w:rsidP="000878F6">
            <w:pPr>
              <w:pStyle w:val="Table"/>
            </w:pPr>
            <w:r w:rsidRPr="00F501DA">
              <w:t>Water Effluent</w:t>
            </w:r>
          </w:p>
        </w:tc>
        <w:tc>
          <w:tcPr>
            <w:tcW w:w="1126" w:type="dxa"/>
            <w:vAlign w:val="center"/>
          </w:tcPr>
          <w:p w14:paraId="591C31EF" w14:textId="77777777" w:rsidR="00E17CEA" w:rsidRPr="002B3802" w:rsidRDefault="00E17CEA" w:rsidP="000878F6">
            <w:pPr>
              <w:pStyle w:val="Table"/>
              <w:jc w:val="center"/>
              <w:rPr>
                <w:szCs w:val="20"/>
              </w:rPr>
            </w:pPr>
            <w:r w:rsidRPr="002B3802">
              <w:rPr>
                <w:rFonts w:ascii="Calibri" w:hAnsi="Calibri" w:cs="Calibri"/>
                <w:color w:val="000000"/>
                <w:szCs w:val="20"/>
              </w:rPr>
              <w:t>-9,09%</w:t>
            </w:r>
          </w:p>
        </w:tc>
        <w:tc>
          <w:tcPr>
            <w:tcW w:w="1126" w:type="dxa"/>
            <w:vAlign w:val="center"/>
          </w:tcPr>
          <w:p w14:paraId="29B47D6F" w14:textId="77777777" w:rsidR="00E17CEA" w:rsidRPr="002B3802" w:rsidRDefault="00E17CEA" w:rsidP="000878F6">
            <w:pPr>
              <w:pStyle w:val="Table"/>
              <w:jc w:val="center"/>
              <w:rPr>
                <w:szCs w:val="20"/>
              </w:rPr>
            </w:pPr>
            <w:r w:rsidRPr="002B3802">
              <w:rPr>
                <w:rFonts w:ascii="Calibri" w:hAnsi="Calibri" w:cs="Calibri"/>
                <w:color w:val="000000"/>
                <w:szCs w:val="20"/>
              </w:rPr>
              <w:t>-9,09%</w:t>
            </w:r>
          </w:p>
        </w:tc>
        <w:tc>
          <w:tcPr>
            <w:tcW w:w="1032" w:type="dxa"/>
            <w:vAlign w:val="center"/>
          </w:tcPr>
          <w:p w14:paraId="0C3CDC7A" w14:textId="77777777" w:rsidR="00E17CEA" w:rsidRPr="002B3802" w:rsidRDefault="00E17CEA" w:rsidP="000878F6">
            <w:pPr>
              <w:pStyle w:val="Table"/>
              <w:jc w:val="center"/>
              <w:rPr>
                <w:szCs w:val="20"/>
              </w:rPr>
            </w:pPr>
            <w:r w:rsidRPr="002B3802">
              <w:rPr>
                <w:rFonts w:ascii="Calibri" w:hAnsi="Calibri" w:cs="Calibri"/>
                <w:color w:val="000000"/>
                <w:szCs w:val="20"/>
              </w:rPr>
              <w:t>5588,44</w:t>
            </w:r>
          </w:p>
        </w:tc>
        <w:tc>
          <w:tcPr>
            <w:tcW w:w="1220" w:type="dxa"/>
            <w:vAlign w:val="center"/>
          </w:tcPr>
          <w:p w14:paraId="15E2DCEF" w14:textId="77777777" w:rsidR="00E17CEA" w:rsidRPr="002B3802" w:rsidRDefault="00E17CEA" w:rsidP="000878F6">
            <w:pPr>
              <w:pStyle w:val="Table"/>
              <w:jc w:val="center"/>
              <w:rPr>
                <w:szCs w:val="20"/>
              </w:rPr>
            </w:pPr>
            <w:r w:rsidRPr="002B3802">
              <w:rPr>
                <w:rFonts w:ascii="Calibri" w:hAnsi="Calibri" w:cs="Calibri"/>
                <w:color w:val="000000"/>
                <w:szCs w:val="20"/>
              </w:rPr>
              <w:t>5577,22</w:t>
            </w:r>
          </w:p>
        </w:tc>
        <w:tc>
          <w:tcPr>
            <w:tcW w:w="969" w:type="dxa"/>
            <w:vAlign w:val="center"/>
          </w:tcPr>
          <w:p w14:paraId="3B428189" w14:textId="77777777" w:rsidR="00E17CEA" w:rsidRPr="002B3802" w:rsidRDefault="00E17CEA" w:rsidP="000878F6">
            <w:pPr>
              <w:pStyle w:val="Table"/>
              <w:jc w:val="center"/>
              <w:rPr>
                <w:szCs w:val="20"/>
              </w:rPr>
            </w:pPr>
            <w:r w:rsidRPr="002B3802">
              <w:rPr>
                <w:rFonts w:ascii="Calibri" w:hAnsi="Calibri" w:cs="Calibri"/>
                <w:color w:val="000000"/>
                <w:szCs w:val="20"/>
              </w:rPr>
              <w:t>943,99%</w:t>
            </w:r>
          </w:p>
        </w:tc>
        <w:tc>
          <w:tcPr>
            <w:tcW w:w="1283" w:type="dxa"/>
            <w:vAlign w:val="center"/>
          </w:tcPr>
          <w:p w14:paraId="01702DE7" w14:textId="77777777" w:rsidR="00E17CEA" w:rsidRPr="002B3802" w:rsidRDefault="00E17CEA" w:rsidP="000878F6">
            <w:pPr>
              <w:pStyle w:val="Table"/>
              <w:jc w:val="center"/>
              <w:rPr>
                <w:szCs w:val="20"/>
              </w:rPr>
            </w:pPr>
            <w:r w:rsidRPr="002B3802">
              <w:rPr>
                <w:rFonts w:ascii="Calibri" w:hAnsi="Calibri" w:cs="Calibri"/>
                <w:color w:val="000000"/>
                <w:szCs w:val="20"/>
              </w:rPr>
              <w:t>942,10%</w:t>
            </w:r>
          </w:p>
        </w:tc>
      </w:tr>
      <w:tr w:rsidR="00E17CEA" w:rsidRPr="0044560D" w14:paraId="3BBD408A" w14:textId="77777777" w:rsidTr="00A84F75">
        <w:trPr>
          <w:trHeight w:val="239"/>
        </w:trPr>
        <w:tc>
          <w:tcPr>
            <w:tcW w:w="2252" w:type="dxa"/>
          </w:tcPr>
          <w:p w14:paraId="083CA3BF" w14:textId="77777777" w:rsidR="00E17CEA" w:rsidRPr="0044560D" w:rsidRDefault="00E17CEA" w:rsidP="000878F6">
            <w:pPr>
              <w:pStyle w:val="Table"/>
            </w:pPr>
            <w:r w:rsidRPr="0044560D">
              <w:t>Minerals &amp; Aggregates</w:t>
            </w:r>
          </w:p>
        </w:tc>
        <w:tc>
          <w:tcPr>
            <w:tcW w:w="1126" w:type="dxa"/>
            <w:vAlign w:val="center"/>
          </w:tcPr>
          <w:p w14:paraId="196282E6" w14:textId="77777777" w:rsidR="00E17CEA" w:rsidRPr="002B3802" w:rsidRDefault="00E17CEA" w:rsidP="000878F6">
            <w:pPr>
              <w:pStyle w:val="Table"/>
              <w:jc w:val="center"/>
              <w:rPr>
                <w:szCs w:val="20"/>
              </w:rPr>
            </w:pPr>
            <w:r w:rsidRPr="002B3802">
              <w:rPr>
                <w:rFonts w:ascii="Calibri" w:hAnsi="Calibri" w:cs="Calibri"/>
                <w:color w:val="000000"/>
                <w:szCs w:val="20"/>
              </w:rPr>
              <w:t>-19,58%</w:t>
            </w:r>
          </w:p>
        </w:tc>
        <w:tc>
          <w:tcPr>
            <w:tcW w:w="1126" w:type="dxa"/>
            <w:vAlign w:val="center"/>
          </w:tcPr>
          <w:p w14:paraId="734460FB" w14:textId="77777777" w:rsidR="00E17CEA" w:rsidRPr="002B3802" w:rsidRDefault="00E17CEA" w:rsidP="000878F6">
            <w:pPr>
              <w:pStyle w:val="Table"/>
              <w:jc w:val="center"/>
              <w:rPr>
                <w:szCs w:val="20"/>
              </w:rPr>
            </w:pPr>
            <w:r w:rsidRPr="002B3802">
              <w:rPr>
                <w:rFonts w:ascii="Calibri" w:hAnsi="Calibri" w:cs="Calibri"/>
                <w:color w:val="000000"/>
                <w:szCs w:val="20"/>
              </w:rPr>
              <w:t>-19,58%</w:t>
            </w:r>
          </w:p>
        </w:tc>
        <w:tc>
          <w:tcPr>
            <w:tcW w:w="1032" w:type="dxa"/>
            <w:vAlign w:val="center"/>
          </w:tcPr>
          <w:p w14:paraId="21497C90" w14:textId="77777777" w:rsidR="00E17CEA" w:rsidRPr="002B3802" w:rsidRDefault="00E17CEA" w:rsidP="000878F6">
            <w:pPr>
              <w:pStyle w:val="Table"/>
              <w:jc w:val="center"/>
              <w:rPr>
                <w:szCs w:val="20"/>
              </w:rPr>
            </w:pPr>
            <w:r w:rsidRPr="002B3802">
              <w:rPr>
                <w:rFonts w:ascii="Calibri" w:hAnsi="Calibri" w:cs="Calibri"/>
                <w:color w:val="000000"/>
                <w:szCs w:val="20"/>
              </w:rPr>
              <w:t>267,25</w:t>
            </w:r>
          </w:p>
        </w:tc>
        <w:tc>
          <w:tcPr>
            <w:tcW w:w="1220" w:type="dxa"/>
            <w:vAlign w:val="center"/>
          </w:tcPr>
          <w:p w14:paraId="1B3C7210" w14:textId="77777777" w:rsidR="00E17CEA" w:rsidRPr="002B3802" w:rsidRDefault="00E17CEA" w:rsidP="000878F6">
            <w:pPr>
              <w:pStyle w:val="Table"/>
              <w:jc w:val="center"/>
              <w:rPr>
                <w:szCs w:val="20"/>
              </w:rPr>
            </w:pPr>
            <w:r w:rsidRPr="002B3802">
              <w:rPr>
                <w:rFonts w:ascii="Calibri" w:hAnsi="Calibri" w:cs="Calibri"/>
                <w:color w:val="000000"/>
                <w:szCs w:val="20"/>
              </w:rPr>
              <w:t>236,78</w:t>
            </w:r>
          </w:p>
        </w:tc>
        <w:tc>
          <w:tcPr>
            <w:tcW w:w="969" w:type="dxa"/>
            <w:vAlign w:val="center"/>
          </w:tcPr>
          <w:p w14:paraId="78F089CE" w14:textId="77777777" w:rsidR="00E17CEA" w:rsidRPr="002B3802" w:rsidRDefault="00E17CEA" w:rsidP="000878F6">
            <w:pPr>
              <w:pStyle w:val="Table"/>
              <w:jc w:val="center"/>
              <w:rPr>
                <w:szCs w:val="20"/>
              </w:rPr>
            </w:pPr>
            <w:r w:rsidRPr="002B3802">
              <w:rPr>
                <w:rFonts w:ascii="Calibri" w:hAnsi="Calibri" w:cs="Calibri"/>
                <w:color w:val="000000"/>
                <w:szCs w:val="20"/>
              </w:rPr>
              <w:t>160,03%</w:t>
            </w:r>
          </w:p>
        </w:tc>
        <w:tc>
          <w:tcPr>
            <w:tcW w:w="1283" w:type="dxa"/>
            <w:vAlign w:val="center"/>
          </w:tcPr>
          <w:p w14:paraId="3EE3944E" w14:textId="77777777" w:rsidR="00E17CEA" w:rsidRPr="002B3802" w:rsidRDefault="00E17CEA" w:rsidP="000878F6">
            <w:pPr>
              <w:pStyle w:val="Table"/>
              <w:jc w:val="center"/>
              <w:rPr>
                <w:szCs w:val="20"/>
              </w:rPr>
            </w:pPr>
            <w:r w:rsidRPr="002B3802">
              <w:rPr>
                <w:rFonts w:ascii="Calibri" w:hAnsi="Calibri" w:cs="Calibri"/>
                <w:color w:val="000000"/>
                <w:szCs w:val="20"/>
              </w:rPr>
              <w:t>141,78%</w:t>
            </w:r>
          </w:p>
        </w:tc>
      </w:tr>
    </w:tbl>
    <w:p w14:paraId="6661BD8E" w14:textId="77777777" w:rsidR="00E17CEA" w:rsidRDefault="00E17CEA" w:rsidP="00E17CEA">
      <w:pPr>
        <w:rPr>
          <w:lang w:eastAsia="en-GB"/>
        </w:rPr>
      </w:pP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26"/>
        <w:gridCol w:w="1126"/>
        <w:gridCol w:w="1032"/>
        <w:gridCol w:w="1220"/>
        <w:gridCol w:w="969"/>
        <w:gridCol w:w="1283"/>
      </w:tblGrid>
      <w:tr w:rsidR="00E17CEA" w:rsidRPr="00E265B5" w14:paraId="18C8E594" w14:textId="77777777" w:rsidTr="00A84F75">
        <w:trPr>
          <w:trHeight w:val="261"/>
          <w:tblHeader/>
        </w:trPr>
        <w:tc>
          <w:tcPr>
            <w:tcW w:w="9008" w:type="dxa"/>
            <w:gridSpan w:val="7"/>
            <w:shd w:val="clear" w:color="auto" w:fill="003399"/>
          </w:tcPr>
          <w:p w14:paraId="4EB1DF1B" w14:textId="3F314325" w:rsidR="00E17CEA" w:rsidRPr="00E265B5" w:rsidRDefault="00E17CEA" w:rsidP="000878F6">
            <w:pPr>
              <w:pStyle w:val="Table"/>
              <w:rPr>
                <w:b/>
                <w:color w:val="FFFFFF" w:themeColor="background1"/>
                <w:szCs w:val="20"/>
                <w:lang w:eastAsia="en-GB"/>
              </w:rPr>
            </w:pPr>
            <w:r w:rsidRPr="00E265B5">
              <w:rPr>
                <w:b/>
                <w:color w:val="FFFFFF" w:themeColor="background1"/>
                <w:szCs w:val="20"/>
              </w:rPr>
              <w:t xml:space="preserve">Table </w:t>
            </w:r>
            <w:r w:rsidR="00490085">
              <w:rPr>
                <w:b/>
                <w:bCs/>
                <w:color w:val="FFFFFF" w:themeColor="background1"/>
                <w:szCs w:val="20"/>
              </w:rPr>
              <w:t>A6</w:t>
            </w:r>
            <w:r w:rsidRPr="00E265B5">
              <w:rPr>
                <w:b/>
                <w:bCs/>
                <w:color w:val="FFFFFF" w:themeColor="background1"/>
                <w:szCs w:val="20"/>
              </w:rPr>
              <w:t>-</w:t>
            </w:r>
            <w:r w:rsidRPr="00E265B5">
              <w:rPr>
                <w:b/>
                <w:bCs/>
                <w:color w:val="FFFFFF" w:themeColor="background1"/>
                <w:szCs w:val="20"/>
              </w:rPr>
              <w:fldChar w:fldCharType="begin"/>
            </w:r>
            <w:r w:rsidRPr="00E265B5">
              <w:rPr>
                <w:b/>
                <w:bCs/>
                <w:color w:val="FFFFFF" w:themeColor="background1"/>
                <w:szCs w:val="20"/>
              </w:rPr>
              <w:instrText xml:space="preserve"> SEQ Table_A5- \* ARABIC </w:instrText>
            </w:r>
            <w:r w:rsidRPr="00E265B5">
              <w:rPr>
                <w:b/>
                <w:bCs/>
                <w:color w:val="FFFFFF" w:themeColor="background1"/>
                <w:szCs w:val="20"/>
              </w:rPr>
              <w:fldChar w:fldCharType="separate"/>
            </w:r>
            <w:r>
              <w:rPr>
                <w:b/>
                <w:bCs/>
                <w:noProof/>
                <w:color w:val="FFFFFF" w:themeColor="background1"/>
                <w:szCs w:val="20"/>
              </w:rPr>
              <w:t>80</w:t>
            </w:r>
            <w:r w:rsidRPr="00E265B5">
              <w:rPr>
                <w:b/>
                <w:bCs/>
                <w:color w:val="FFFFFF" w:themeColor="background1"/>
                <w:szCs w:val="20"/>
              </w:rPr>
              <w:fldChar w:fldCharType="end"/>
            </w:r>
            <w:r w:rsidRPr="00E265B5">
              <w:rPr>
                <w:b/>
                <w:bCs/>
                <w:color w:val="FFFFFF" w:themeColor="background1"/>
                <w:szCs w:val="20"/>
                <w:lang w:eastAsia="en-GB"/>
              </w:rPr>
              <w:t>:</w:t>
            </w:r>
            <w:r w:rsidRPr="00E265B5">
              <w:rPr>
                <w:b/>
                <w:color w:val="FFFFFF" w:themeColor="background1"/>
                <w:szCs w:val="20"/>
                <w:lang w:eastAsia="en-GB"/>
              </w:rPr>
              <w:t xml:space="preserve"> Environmental Impacts and Revenue Changes in Italy – Scenario B</w:t>
            </w:r>
          </w:p>
        </w:tc>
      </w:tr>
      <w:tr w:rsidR="00E17CEA" w:rsidRPr="00E265B5" w14:paraId="08A88786" w14:textId="77777777" w:rsidTr="00A84F75">
        <w:trPr>
          <w:trHeight w:val="497"/>
          <w:tblHeader/>
        </w:trPr>
        <w:tc>
          <w:tcPr>
            <w:tcW w:w="2252" w:type="dxa"/>
          </w:tcPr>
          <w:p w14:paraId="6E1C1F47" w14:textId="77777777" w:rsidR="00E17CEA" w:rsidRPr="00E265B5" w:rsidRDefault="00E17CEA" w:rsidP="000878F6">
            <w:pPr>
              <w:pStyle w:val="Table"/>
              <w:rPr>
                <w:b/>
                <w:szCs w:val="20"/>
              </w:rPr>
            </w:pPr>
            <w:r w:rsidRPr="00E265B5">
              <w:rPr>
                <w:b/>
                <w:szCs w:val="20"/>
              </w:rPr>
              <w:t>Tax Name</w:t>
            </w:r>
          </w:p>
        </w:tc>
        <w:tc>
          <w:tcPr>
            <w:tcW w:w="2252" w:type="dxa"/>
            <w:gridSpan w:val="2"/>
            <w:vAlign w:val="bottom"/>
          </w:tcPr>
          <w:p w14:paraId="47E8CFB1" w14:textId="77777777" w:rsidR="00E17CEA" w:rsidRPr="00E265B5" w:rsidRDefault="00E17CEA" w:rsidP="000878F6">
            <w:pPr>
              <w:pStyle w:val="Table"/>
              <w:jc w:val="center"/>
              <w:rPr>
                <w:b/>
                <w:szCs w:val="20"/>
              </w:rPr>
            </w:pPr>
            <w:r w:rsidRPr="00E265B5">
              <w:rPr>
                <w:rFonts w:ascii="Calibri" w:hAnsi="Calibri" w:cs="Calibri"/>
                <w:b/>
                <w:bCs/>
                <w:color w:val="000000"/>
                <w:szCs w:val="20"/>
              </w:rPr>
              <w:t>% Change in Quantities as % of taxed sector</w:t>
            </w:r>
          </w:p>
        </w:tc>
        <w:tc>
          <w:tcPr>
            <w:tcW w:w="2252" w:type="dxa"/>
            <w:gridSpan w:val="2"/>
            <w:vAlign w:val="bottom"/>
          </w:tcPr>
          <w:p w14:paraId="49749E87" w14:textId="77777777" w:rsidR="00E17CEA" w:rsidRPr="00E265B5" w:rsidRDefault="00E17CEA" w:rsidP="000878F6">
            <w:pPr>
              <w:pStyle w:val="Table"/>
              <w:jc w:val="center"/>
              <w:rPr>
                <w:b/>
                <w:szCs w:val="20"/>
              </w:rPr>
            </w:pPr>
            <w:r w:rsidRPr="00E265B5">
              <w:rPr>
                <w:rFonts w:ascii="Calibri" w:hAnsi="Calibri" w:cs="Calibri"/>
                <w:b/>
                <w:bCs/>
                <w:color w:val="000000"/>
                <w:szCs w:val="20"/>
              </w:rPr>
              <w:t>Change in Revenues (€Mn)</w:t>
            </w:r>
          </w:p>
        </w:tc>
        <w:tc>
          <w:tcPr>
            <w:tcW w:w="2252" w:type="dxa"/>
            <w:gridSpan w:val="2"/>
            <w:vAlign w:val="bottom"/>
          </w:tcPr>
          <w:p w14:paraId="19F28A18" w14:textId="77777777" w:rsidR="00E17CEA" w:rsidRPr="00E265B5" w:rsidRDefault="00E17CEA" w:rsidP="000878F6">
            <w:pPr>
              <w:pStyle w:val="Table"/>
              <w:jc w:val="center"/>
              <w:rPr>
                <w:b/>
                <w:szCs w:val="20"/>
              </w:rPr>
            </w:pPr>
            <w:r w:rsidRPr="00E265B5">
              <w:rPr>
                <w:rFonts w:ascii="Calibri" w:hAnsi="Calibri" w:cs="Calibri"/>
                <w:b/>
                <w:bCs/>
                <w:color w:val="000000"/>
                <w:szCs w:val="20"/>
              </w:rPr>
              <w:t>As % of 2023 Resource Tax</w:t>
            </w:r>
          </w:p>
        </w:tc>
      </w:tr>
      <w:tr w:rsidR="00E17CEA" w:rsidRPr="00E265B5" w14:paraId="04FBA98A" w14:textId="77777777" w:rsidTr="00A84F75">
        <w:trPr>
          <w:trHeight w:val="239"/>
          <w:tblHeader/>
        </w:trPr>
        <w:tc>
          <w:tcPr>
            <w:tcW w:w="2252" w:type="dxa"/>
          </w:tcPr>
          <w:p w14:paraId="4463DA20" w14:textId="77777777" w:rsidR="00E17CEA" w:rsidRPr="00E265B5" w:rsidRDefault="00E17CEA" w:rsidP="000878F6">
            <w:pPr>
              <w:pStyle w:val="Table"/>
              <w:rPr>
                <w:b/>
                <w:szCs w:val="20"/>
              </w:rPr>
            </w:pPr>
            <w:r w:rsidRPr="00E265B5">
              <w:rPr>
                <w:b/>
                <w:szCs w:val="20"/>
              </w:rPr>
              <w:t>Year</w:t>
            </w:r>
          </w:p>
        </w:tc>
        <w:tc>
          <w:tcPr>
            <w:tcW w:w="1126" w:type="dxa"/>
          </w:tcPr>
          <w:p w14:paraId="45B3CB2D" w14:textId="77777777" w:rsidR="00E17CEA" w:rsidRPr="00E265B5" w:rsidRDefault="00E17CEA" w:rsidP="000878F6">
            <w:pPr>
              <w:pStyle w:val="Table"/>
              <w:jc w:val="center"/>
              <w:rPr>
                <w:b/>
                <w:szCs w:val="20"/>
              </w:rPr>
            </w:pPr>
            <w:r w:rsidRPr="00E265B5">
              <w:rPr>
                <w:b/>
                <w:szCs w:val="20"/>
              </w:rPr>
              <w:t>2030</w:t>
            </w:r>
          </w:p>
        </w:tc>
        <w:tc>
          <w:tcPr>
            <w:tcW w:w="1126" w:type="dxa"/>
          </w:tcPr>
          <w:p w14:paraId="1D86571D" w14:textId="77777777" w:rsidR="00E17CEA" w:rsidRPr="00E265B5" w:rsidRDefault="00E17CEA" w:rsidP="000878F6">
            <w:pPr>
              <w:pStyle w:val="Table"/>
              <w:jc w:val="center"/>
              <w:rPr>
                <w:b/>
                <w:szCs w:val="20"/>
              </w:rPr>
            </w:pPr>
            <w:r w:rsidRPr="00E265B5">
              <w:rPr>
                <w:b/>
                <w:szCs w:val="20"/>
              </w:rPr>
              <w:t>2035</w:t>
            </w:r>
          </w:p>
        </w:tc>
        <w:tc>
          <w:tcPr>
            <w:tcW w:w="1032" w:type="dxa"/>
          </w:tcPr>
          <w:p w14:paraId="45C8BE3D" w14:textId="77777777" w:rsidR="00E17CEA" w:rsidRPr="00E265B5" w:rsidRDefault="00E17CEA" w:rsidP="000878F6">
            <w:pPr>
              <w:pStyle w:val="Table"/>
              <w:jc w:val="center"/>
              <w:rPr>
                <w:b/>
                <w:szCs w:val="20"/>
              </w:rPr>
            </w:pPr>
            <w:r w:rsidRPr="00E265B5">
              <w:rPr>
                <w:b/>
                <w:szCs w:val="20"/>
              </w:rPr>
              <w:t>2030</w:t>
            </w:r>
          </w:p>
        </w:tc>
        <w:tc>
          <w:tcPr>
            <w:tcW w:w="1220" w:type="dxa"/>
          </w:tcPr>
          <w:p w14:paraId="413707AC" w14:textId="77777777" w:rsidR="00E17CEA" w:rsidRPr="00E265B5" w:rsidRDefault="00E17CEA" w:rsidP="000878F6">
            <w:pPr>
              <w:pStyle w:val="Table"/>
              <w:jc w:val="center"/>
              <w:rPr>
                <w:b/>
                <w:szCs w:val="20"/>
              </w:rPr>
            </w:pPr>
            <w:r w:rsidRPr="00E265B5">
              <w:rPr>
                <w:b/>
                <w:szCs w:val="20"/>
              </w:rPr>
              <w:t>2035</w:t>
            </w:r>
          </w:p>
        </w:tc>
        <w:tc>
          <w:tcPr>
            <w:tcW w:w="969" w:type="dxa"/>
          </w:tcPr>
          <w:p w14:paraId="772E1F55" w14:textId="77777777" w:rsidR="00E17CEA" w:rsidRPr="00E265B5" w:rsidRDefault="00E17CEA" w:rsidP="000878F6">
            <w:pPr>
              <w:pStyle w:val="Table"/>
              <w:jc w:val="center"/>
              <w:rPr>
                <w:b/>
                <w:szCs w:val="20"/>
              </w:rPr>
            </w:pPr>
            <w:r w:rsidRPr="00E265B5">
              <w:rPr>
                <w:b/>
                <w:szCs w:val="20"/>
              </w:rPr>
              <w:t>2030</w:t>
            </w:r>
          </w:p>
        </w:tc>
        <w:tc>
          <w:tcPr>
            <w:tcW w:w="1283" w:type="dxa"/>
          </w:tcPr>
          <w:p w14:paraId="3F74F584" w14:textId="77777777" w:rsidR="00E17CEA" w:rsidRPr="00E265B5" w:rsidRDefault="00E17CEA" w:rsidP="000878F6">
            <w:pPr>
              <w:pStyle w:val="Table"/>
              <w:jc w:val="center"/>
              <w:rPr>
                <w:b/>
                <w:szCs w:val="20"/>
              </w:rPr>
            </w:pPr>
            <w:r w:rsidRPr="00E265B5">
              <w:rPr>
                <w:b/>
                <w:szCs w:val="20"/>
              </w:rPr>
              <w:t>2035</w:t>
            </w:r>
          </w:p>
        </w:tc>
      </w:tr>
      <w:tr w:rsidR="00E17CEA" w:rsidRPr="00E265B5" w14:paraId="1FE617C5" w14:textId="77777777" w:rsidTr="00A84F75">
        <w:trPr>
          <w:trHeight w:val="239"/>
        </w:trPr>
        <w:tc>
          <w:tcPr>
            <w:tcW w:w="2252" w:type="dxa"/>
          </w:tcPr>
          <w:p w14:paraId="45A3CBC7" w14:textId="77777777" w:rsidR="00E17CEA" w:rsidRPr="00E265B5" w:rsidRDefault="00E17CEA" w:rsidP="000878F6">
            <w:pPr>
              <w:pStyle w:val="Table"/>
              <w:rPr>
                <w:szCs w:val="20"/>
              </w:rPr>
            </w:pPr>
            <w:r w:rsidRPr="00E265B5">
              <w:rPr>
                <w:szCs w:val="20"/>
              </w:rPr>
              <w:t>NOx</w:t>
            </w:r>
          </w:p>
        </w:tc>
        <w:tc>
          <w:tcPr>
            <w:tcW w:w="1126" w:type="dxa"/>
            <w:vAlign w:val="center"/>
          </w:tcPr>
          <w:p w14:paraId="37CD776C" w14:textId="77777777" w:rsidR="00E17CEA" w:rsidRPr="00E265B5" w:rsidRDefault="00E17CEA" w:rsidP="000878F6">
            <w:pPr>
              <w:pStyle w:val="Table"/>
              <w:jc w:val="center"/>
              <w:rPr>
                <w:szCs w:val="20"/>
              </w:rPr>
            </w:pPr>
            <w:r w:rsidRPr="00E265B5">
              <w:rPr>
                <w:rFonts w:ascii="Calibri" w:hAnsi="Calibri" w:cs="Calibri"/>
                <w:color w:val="000000"/>
                <w:szCs w:val="20"/>
              </w:rPr>
              <w:t>-7,39%</w:t>
            </w:r>
          </w:p>
        </w:tc>
        <w:tc>
          <w:tcPr>
            <w:tcW w:w="1126" w:type="dxa"/>
            <w:vAlign w:val="center"/>
          </w:tcPr>
          <w:p w14:paraId="606B33D0" w14:textId="77777777" w:rsidR="00E17CEA" w:rsidRPr="00E265B5" w:rsidRDefault="00E17CEA" w:rsidP="000878F6">
            <w:pPr>
              <w:pStyle w:val="Table"/>
              <w:jc w:val="center"/>
              <w:rPr>
                <w:szCs w:val="20"/>
              </w:rPr>
            </w:pPr>
            <w:r w:rsidRPr="00E265B5">
              <w:rPr>
                <w:rFonts w:ascii="Calibri" w:hAnsi="Calibri" w:cs="Calibri"/>
                <w:color w:val="000000"/>
                <w:szCs w:val="20"/>
              </w:rPr>
              <w:t>-7,39%</w:t>
            </w:r>
          </w:p>
        </w:tc>
        <w:tc>
          <w:tcPr>
            <w:tcW w:w="1032" w:type="dxa"/>
            <w:vAlign w:val="center"/>
          </w:tcPr>
          <w:p w14:paraId="0BAF9AA4" w14:textId="77777777" w:rsidR="00E17CEA" w:rsidRPr="00E265B5" w:rsidRDefault="00E17CEA" w:rsidP="000878F6">
            <w:pPr>
              <w:pStyle w:val="Table"/>
              <w:jc w:val="center"/>
              <w:rPr>
                <w:szCs w:val="20"/>
              </w:rPr>
            </w:pPr>
            <w:r w:rsidRPr="00E265B5">
              <w:rPr>
                <w:rFonts w:ascii="Calibri" w:hAnsi="Calibri" w:cs="Calibri"/>
                <w:color w:val="000000"/>
                <w:szCs w:val="20"/>
              </w:rPr>
              <w:t>2,45</w:t>
            </w:r>
          </w:p>
        </w:tc>
        <w:tc>
          <w:tcPr>
            <w:tcW w:w="1220" w:type="dxa"/>
            <w:vAlign w:val="center"/>
          </w:tcPr>
          <w:p w14:paraId="6ACC4484" w14:textId="77777777" w:rsidR="00E17CEA" w:rsidRPr="00E265B5" w:rsidRDefault="00E17CEA" w:rsidP="000878F6">
            <w:pPr>
              <w:pStyle w:val="Table"/>
              <w:jc w:val="center"/>
              <w:rPr>
                <w:szCs w:val="20"/>
              </w:rPr>
            </w:pPr>
            <w:r w:rsidRPr="00E265B5">
              <w:rPr>
                <w:rFonts w:ascii="Calibri" w:hAnsi="Calibri" w:cs="Calibri"/>
                <w:color w:val="000000"/>
                <w:szCs w:val="20"/>
              </w:rPr>
              <w:t>2,15</w:t>
            </w:r>
          </w:p>
        </w:tc>
        <w:tc>
          <w:tcPr>
            <w:tcW w:w="969" w:type="dxa"/>
            <w:vAlign w:val="center"/>
          </w:tcPr>
          <w:p w14:paraId="396D6BF9" w14:textId="77777777" w:rsidR="00E17CEA" w:rsidRPr="00E265B5" w:rsidRDefault="00E17CEA" w:rsidP="000878F6">
            <w:pPr>
              <w:pStyle w:val="Table"/>
              <w:jc w:val="center"/>
              <w:rPr>
                <w:szCs w:val="20"/>
              </w:rPr>
            </w:pPr>
            <w:r w:rsidRPr="00E265B5">
              <w:rPr>
                <w:rFonts w:ascii="Calibri" w:hAnsi="Calibri" w:cs="Calibri"/>
                <w:color w:val="000000"/>
                <w:szCs w:val="20"/>
              </w:rPr>
              <w:t>0,4%</w:t>
            </w:r>
          </w:p>
        </w:tc>
        <w:tc>
          <w:tcPr>
            <w:tcW w:w="1283" w:type="dxa"/>
            <w:vAlign w:val="center"/>
          </w:tcPr>
          <w:p w14:paraId="35D3F837" w14:textId="77777777" w:rsidR="00E17CEA" w:rsidRPr="00E265B5" w:rsidRDefault="00E17CEA" w:rsidP="000878F6">
            <w:pPr>
              <w:pStyle w:val="Table"/>
              <w:jc w:val="center"/>
              <w:rPr>
                <w:szCs w:val="20"/>
              </w:rPr>
            </w:pPr>
            <w:r w:rsidRPr="00E265B5">
              <w:rPr>
                <w:rFonts w:ascii="Calibri" w:hAnsi="Calibri" w:cs="Calibri"/>
                <w:color w:val="000000"/>
                <w:szCs w:val="20"/>
              </w:rPr>
              <w:t>0,4%</w:t>
            </w:r>
          </w:p>
        </w:tc>
      </w:tr>
      <w:tr w:rsidR="00E17CEA" w:rsidRPr="00E265B5" w14:paraId="37ADE264" w14:textId="77777777" w:rsidTr="00A84F75">
        <w:trPr>
          <w:trHeight w:val="239"/>
        </w:trPr>
        <w:tc>
          <w:tcPr>
            <w:tcW w:w="2252" w:type="dxa"/>
          </w:tcPr>
          <w:p w14:paraId="592AA679" w14:textId="77777777" w:rsidR="00E17CEA" w:rsidRPr="00E265B5" w:rsidRDefault="00E17CEA" w:rsidP="000878F6">
            <w:pPr>
              <w:pStyle w:val="Table"/>
              <w:rPr>
                <w:szCs w:val="20"/>
              </w:rPr>
            </w:pPr>
            <w:r w:rsidRPr="00E265B5">
              <w:rPr>
                <w:szCs w:val="20"/>
              </w:rPr>
              <w:t>SO2</w:t>
            </w:r>
          </w:p>
        </w:tc>
        <w:tc>
          <w:tcPr>
            <w:tcW w:w="1126" w:type="dxa"/>
            <w:vAlign w:val="center"/>
          </w:tcPr>
          <w:p w14:paraId="54415BDA" w14:textId="77777777" w:rsidR="00E17CEA" w:rsidRPr="00E265B5" w:rsidRDefault="00E17CEA" w:rsidP="000878F6">
            <w:pPr>
              <w:pStyle w:val="Table"/>
              <w:jc w:val="center"/>
              <w:rPr>
                <w:szCs w:val="20"/>
              </w:rPr>
            </w:pPr>
            <w:r w:rsidRPr="00E265B5">
              <w:rPr>
                <w:rFonts w:ascii="Calibri" w:hAnsi="Calibri" w:cs="Calibri"/>
                <w:color w:val="000000"/>
                <w:szCs w:val="20"/>
              </w:rPr>
              <w:t>-8,11%</w:t>
            </w:r>
          </w:p>
        </w:tc>
        <w:tc>
          <w:tcPr>
            <w:tcW w:w="1126" w:type="dxa"/>
            <w:vAlign w:val="center"/>
          </w:tcPr>
          <w:p w14:paraId="6A6DA99D" w14:textId="77777777" w:rsidR="00E17CEA" w:rsidRPr="00E265B5" w:rsidRDefault="00E17CEA" w:rsidP="000878F6">
            <w:pPr>
              <w:pStyle w:val="Table"/>
              <w:jc w:val="center"/>
              <w:rPr>
                <w:szCs w:val="20"/>
              </w:rPr>
            </w:pPr>
            <w:r w:rsidRPr="00E265B5">
              <w:rPr>
                <w:rFonts w:ascii="Calibri" w:hAnsi="Calibri" w:cs="Calibri"/>
                <w:color w:val="000000"/>
                <w:szCs w:val="20"/>
              </w:rPr>
              <w:t>-8,11%</w:t>
            </w:r>
          </w:p>
        </w:tc>
        <w:tc>
          <w:tcPr>
            <w:tcW w:w="1032" w:type="dxa"/>
            <w:vAlign w:val="center"/>
          </w:tcPr>
          <w:p w14:paraId="0C10C9B3" w14:textId="77777777" w:rsidR="00E17CEA" w:rsidRPr="00E265B5" w:rsidRDefault="00E17CEA" w:rsidP="000878F6">
            <w:pPr>
              <w:pStyle w:val="Table"/>
              <w:jc w:val="center"/>
              <w:rPr>
                <w:szCs w:val="20"/>
              </w:rPr>
            </w:pPr>
            <w:r w:rsidRPr="00E265B5">
              <w:rPr>
                <w:rFonts w:ascii="Calibri" w:hAnsi="Calibri" w:cs="Calibri"/>
                <w:color w:val="000000"/>
                <w:szCs w:val="20"/>
              </w:rPr>
              <w:t>10,10</w:t>
            </w:r>
          </w:p>
        </w:tc>
        <w:tc>
          <w:tcPr>
            <w:tcW w:w="1220" w:type="dxa"/>
            <w:vAlign w:val="center"/>
          </w:tcPr>
          <w:p w14:paraId="7B168D73" w14:textId="77777777" w:rsidR="00E17CEA" w:rsidRPr="00E265B5" w:rsidRDefault="00E17CEA" w:rsidP="000878F6">
            <w:pPr>
              <w:pStyle w:val="Table"/>
              <w:jc w:val="center"/>
              <w:rPr>
                <w:szCs w:val="20"/>
              </w:rPr>
            </w:pPr>
            <w:r w:rsidRPr="00E265B5">
              <w:rPr>
                <w:rFonts w:ascii="Calibri" w:hAnsi="Calibri" w:cs="Calibri"/>
                <w:color w:val="000000"/>
                <w:szCs w:val="20"/>
              </w:rPr>
              <w:t>6,88</w:t>
            </w:r>
          </w:p>
        </w:tc>
        <w:tc>
          <w:tcPr>
            <w:tcW w:w="969" w:type="dxa"/>
            <w:vAlign w:val="center"/>
          </w:tcPr>
          <w:p w14:paraId="2B3D622D" w14:textId="77777777" w:rsidR="00E17CEA" w:rsidRPr="00E265B5" w:rsidRDefault="00E17CEA" w:rsidP="000878F6">
            <w:pPr>
              <w:pStyle w:val="Table"/>
              <w:jc w:val="center"/>
              <w:rPr>
                <w:szCs w:val="20"/>
              </w:rPr>
            </w:pPr>
            <w:r w:rsidRPr="00E265B5">
              <w:rPr>
                <w:rFonts w:ascii="Calibri" w:hAnsi="Calibri" w:cs="Calibri"/>
                <w:color w:val="000000"/>
                <w:szCs w:val="20"/>
              </w:rPr>
              <w:t>1,7%</w:t>
            </w:r>
          </w:p>
        </w:tc>
        <w:tc>
          <w:tcPr>
            <w:tcW w:w="1283" w:type="dxa"/>
            <w:vAlign w:val="center"/>
          </w:tcPr>
          <w:p w14:paraId="6CEC1350" w14:textId="77777777" w:rsidR="00E17CEA" w:rsidRPr="00E265B5" w:rsidRDefault="00E17CEA" w:rsidP="000878F6">
            <w:pPr>
              <w:pStyle w:val="Table"/>
              <w:jc w:val="center"/>
              <w:rPr>
                <w:szCs w:val="20"/>
              </w:rPr>
            </w:pPr>
            <w:r w:rsidRPr="00E265B5">
              <w:rPr>
                <w:rFonts w:ascii="Calibri" w:hAnsi="Calibri" w:cs="Calibri"/>
                <w:color w:val="000000"/>
                <w:szCs w:val="20"/>
              </w:rPr>
              <w:t>1,2%</w:t>
            </w:r>
          </w:p>
        </w:tc>
      </w:tr>
      <w:tr w:rsidR="00E17CEA" w:rsidRPr="00E265B5" w14:paraId="4FDB8C01" w14:textId="77777777" w:rsidTr="00A84F75">
        <w:trPr>
          <w:trHeight w:val="239"/>
        </w:trPr>
        <w:tc>
          <w:tcPr>
            <w:tcW w:w="2252" w:type="dxa"/>
          </w:tcPr>
          <w:p w14:paraId="24D2F99C" w14:textId="77777777" w:rsidR="00E17CEA" w:rsidRPr="00E265B5" w:rsidRDefault="00E17CEA" w:rsidP="000878F6">
            <w:pPr>
              <w:pStyle w:val="Table"/>
              <w:rPr>
                <w:szCs w:val="20"/>
              </w:rPr>
            </w:pPr>
            <w:r w:rsidRPr="00E265B5">
              <w:rPr>
                <w:szCs w:val="20"/>
              </w:rPr>
              <w:t>PM2.5</w:t>
            </w:r>
          </w:p>
        </w:tc>
        <w:tc>
          <w:tcPr>
            <w:tcW w:w="1126" w:type="dxa"/>
            <w:vAlign w:val="center"/>
          </w:tcPr>
          <w:p w14:paraId="4CBEA2FF" w14:textId="77777777" w:rsidR="00E17CEA" w:rsidRPr="00E265B5" w:rsidRDefault="00E17CEA" w:rsidP="000878F6">
            <w:pPr>
              <w:pStyle w:val="Table"/>
              <w:jc w:val="center"/>
              <w:rPr>
                <w:szCs w:val="20"/>
              </w:rPr>
            </w:pPr>
            <w:r w:rsidRPr="00E265B5">
              <w:rPr>
                <w:rFonts w:ascii="Calibri" w:hAnsi="Calibri" w:cs="Calibri"/>
                <w:color w:val="000000"/>
                <w:szCs w:val="20"/>
              </w:rPr>
              <w:t>-7,39%</w:t>
            </w:r>
          </w:p>
        </w:tc>
        <w:tc>
          <w:tcPr>
            <w:tcW w:w="1126" w:type="dxa"/>
            <w:vAlign w:val="center"/>
          </w:tcPr>
          <w:p w14:paraId="487FFBDC" w14:textId="77777777" w:rsidR="00E17CEA" w:rsidRPr="00E265B5" w:rsidRDefault="00E17CEA" w:rsidP="000878F6">
            <w:pPr>
              <w:pStyle w:val="Table"/>
              <w:jc w:val="center"/>
              <w:rPr>
                <w:szCs w:val="20"/>
              </w:rPr>
            </w:pPr>
            <w:r w:rsidRPr="00E265B5">
              <w:rPr>
                <w:rFonts w:ascii="Calibri" w:hAnsi="Calibri" w:cs="Calibri"/>
                <w:color w:val="000000"/>
                <w:szCs w:val="20"/>
              </w:rPr>
              <w:t>-7,39%</w:t>
            </w:r>
          </w:p>
        </w:tc>
        <w:tc>
          <w:tcPr>
            <w:tcW w:w="1032" w:type="dxa"/>
            <w:vAlign w:val="center"/>
          </w:tcPr>
          <w:p w14:paraId="70EDFDFC" w14:textId="77777777" w:rsidR="00E17CEA" w:rsidRPr="00E265B5" w:rsidRDefault="00E17CEA" w:rsidP="000878F6">
            <w:pPr>
              <w:pStyle w:val="Table"/>
              <w:jc w:val="center"/>
              <w:rPr>
                <w:szCs w:val="20"/>
              </w:rPr>
            </w:pPr>
            <w:r w:rsidRPr="00E265B5">
              <w:rPr>
                <w:rFonts w:ascii="Calibri" w:hAnsi="Calibri" w:cs="Calibri"/>
                <w:color w:val="000000"/>
                <w:szCs w:val="20"/>
              </w:rPr>
              <w:t>4,41</w:t>
            </w:r>
          </w:p>
        </w:tc>
        <w:tc>
          <w:tcPr>
            <w:tcW w:w="1220" w:type="dxa"/>
            <w:vAlign w:val="center"/>
          </w:tcPr>
          <w:p w14:paraId="7535AF4B" w14:textId="77777777" w:rsidR="00E17CEA" w:rsidRPr="00E265B5" w:rsidRDefault="00E17CEA" w:rsidP="000878F6">
            <w:pPr>
              <w:pStyle w:val="Table"/>
              <w:jc w:val="center"/>
              <w:rPr>
                <w:szCs w:val="20"/>
              </w:rPr>
            </w:pPr>
            <w:r w:rsidRPr="00E265B5">
              <w:rPr>
                <w:rFonts w:ascii="Calibri" w:hAnsi="Calibri" w:cs="Calibri"/>
                <w:color w:val="000000"/>
                <w:szCs w:val="20"/>
              </w:rPr>
              <w:t>3,79</w:t>
            </w:r>
          </w:p>
        </w:tc>
        <w:tc>
          <w:tcPr>
            <w:tcW w:w="969" w:type="dxa"/>
            <w:vAlign w:val="center"/>
          </w:tcPr>
          <w:p w14:paraId="2792CF1A" w14:textId="77777777" w:rsidR="00E17CEA" w:rsidRPr="00E265B5" w:rsidRDefault="00E17CEA" w:rsidP="000878F6">
            <w:pPr>
              <w:pStyle w:val="Table"/>
              <w:jc w:val="center"/>
              <w:rPr>
                <w:szCs w:val="20"/>
              </w:rPr>
            </w:pPr>
            <w:r w:rsidRPr="00E265B5">
              <w:rPr>
                <w:rFonts w:ascii="Calibri" w:hAnsi="Calibri" w:cs="Calibri"/>
                <w:color w:val="000000"/>
                <w:szCs w:val="20"/>
              </w:rPr>
              <w:t>0,7%</w:t>
            </w:r>
          </w:p>
        </w:tc>
        <w:tc>
          <w:tcPr>
            <w:tcW w:w="1283" w:type="dxa"/>
            <w:vAlign w:val="center"/>
          </w:tcPr>
          <w:p w14:paraId="461FDFDA" w14:textId="77777777" w:rsidR="00E17CEA" w:rsidRPr="00E265B5" w:rsidRDefault="00E17CEA" w:rsidP="000878F6">
            <w:pPr>
              <w:pStyle w:val="Table"/>
              <w:jc w:val="center"/>
              <w:rPr>
                <w:szCs w:val="20"/>
              </w:rPr>
            </w:pPr>
            <w:r w:rsidRPr="00E265B5">
              <w:rPr>
                <w:rFonts w:ascii="Calibri" w:hAnsi="Calibri" w:cs="Calibri"/>
                <w:color w:val="000000"/>
                <w:szCs w:val="20"/>
              </w:rPr>
              <w:t>0,6%</w:t>
            </w:r>
          </w:p>
        </w:tc>
      </w:tr>
      <w:tr w:rsidR="00E17CEA" w:rsidRPr="00E265B5" w14:paraId="4F3F7D5E" w14:textId="77777777" w:rsidTr="00A84F75">
        <w:trPr>
          <w:trHeight w:val="239"/>
        </w:trPr>
        <w:tc>
          <w:tcPr>
            <w:tcW w:w="2252" w:type="dxa"/>
          </w:tcPr>
          <w:p w14:paraId="3496EC17" w14:textId="77777777" w:rsidR="00E17CEA" w:rsidRPr="00E265B5" w:rsidRDefault="00E17CEA" w:rsidP="000878F6">
            <w:pPr>
              <w:pStyle w:val="Table"/>
              <w:rPr>
                <w:szCs w:val="20"/>
              </w:rPr>
            </w:pPr>
            <w:r w:rsidRPr="00E265B5">
              <w:rPr>
                <w:szCs w:val="20"/>
              </w:rPr>
              <w:t>Water Abstraction</w:t>
            </w:r>
          </w:p>
        </w:tc>
        <w:tc>
          <w:tcPr>
            <w:tcW w:w="1126" w:type="dxa"/>
            <w:vAlign w:val="center"/>
          </w:tcPr>
          <w:p w14:paraId="1CEBED26" w14:textId="77777777" w:rsidR="00E17CEA" w:rsidRPr="00E265B5" w:rsidRDefault="00E17CEA" w:rsidP="000878F6">
            <w:pPr>
              <w:pStyle w:val="Table"/>
              <w:jc w:val="center"/>
              <w:rPr>
                <w:szCs w:val="20"/>
              </w:rPr>
            </w:pPr>
            <w:r w:rsidRPr="00E265B5">
              <w:rPr>
                <w:rFonts w:ascii="Calibri" w:hAnsi="Calibri" w:cs="Calibri"/>
                <w:color w:val="000000"/>
                <w:szCs w:val="20"/>
              </w:rPr>
              <w:t>-6,18%</w:t>
            </w:r>
          </w:p>
        </w:tc>
        <w:tc>
          <w:tcPr>
            <w:tcW w:w="1126" w:type="dxa"/>
            <w:vAlign w:val="center"/>
          </w:tcPr>
          <w:p w14:paraId="21F58686" w14:textId="77777777" w:rsidR="00E17CEA" w:rsidRPr="00E265B5" w:rsidRDefault="00E17CEA" w:rsidP="000878F6">
            <w:pPr>
              <w:pStyle w:val="Table"/>
              <w:jc w:val="center"/>
              <w:rPr>
                <w:szCs w:val="20"/>
              </w:rPr>
            </w:pPr>
            <w:r w:rsidRPr="00E265B5">
              <w:rPr>
                <w:rFonts w:ascii="Calibri" w:hAnsi="Calibri" w:cs="Calibri"/>
                <w:color w:val="000000"/>
                <w:szCs w:val="20"/>
              </w:rPr>
              <w:t>-6,18%</w:t>
            </w:r>
          </w:p>
        </w:tc>
        <w:tc>
          <w:tcPr>
            <w:tcW w:w="1032" w:type="dxa"/>
            <w:vAlign w:val="center"/>
          </w:tcPr>
          <w:p w14:paraId="6336939A" w14:textId="77777777" w:rsidR="00E17CEA" w:rsidRPr="00E265B5" w:rsidRDefault="00E17CEA" w:rsidP="000878F6">
            <w:pPr>
              <w:pStyle w:val="Table"/>
              <w:jc w:val="center"/>
              <w:rPr>
                <w:szCs w:val="20"/>
              </w:rPr>
            </w:pPr>
            <w:r w:rsidRPr="00E265B5">
              <w:rPr>
                <w:rFonts w:ascii="Calibri" w:hAnsi="Calibri" w:cs="Calibri"/>
                <w:color w:val="000000"/>
                <w:szCs w:val="20"/>
              </w:rPr>
              <w:t>2149,22</w:t>
            </w:r>
          </w:p>
        </w:tc>
        <w:tc>
          <w:tcPr>
            <w:tcW w:w="1220" w:type="dxa"/>
            <w:vAlign w:val="center"/>
          </w:tcPr>
          <w:p w14:paraId="3FC95B61" w14:textId="77777777" w:rsidR="00E17CEA" w:rsidRPr="00E265B5" w:rsidRDefault="00E17CEA" w:rsidP="000878F6">
            <w:pPr>
              <w:pStyle w:val="Table"/>
              <w:jc w:val="center"/>
              <w:rPr>
                <w:szCs w:val="20"/>
              </w:rPr>
            </w:pPr>
            <w:r w:rsidRPr="00E265B5">
              <w:rPr>
                <w:rFonts w:ascii="Calibri" w:hAnsi="Calibri" w:cs="Calibri"/>
                <w:color w:val="000000"/>
                <w:szCs w:val="20"/>
              </w:rPr>
              <w:t>2383,88</w:t>
            </w:r>
          </w:p>
        </w:tc>
        <w:tc>
          <w:tcPr>
            <w:tcW w:w="969" w:type="dxa"/>
            <w:vAlign w:val="center"/>
          </w:tcPr>
          <w:p w14:paraId="2AC36950" w14:textId="77777777" w:rsidR="00E17CEA" w:rsidRPr="00E265B5" w:rsidRDefault="00E17CEA" w:rsidP="000878F6">
            <w:pPr>
              <w:pStyle w:val="Table"/>
              <w:jc w:val="center"/>
              <w:rPr>
                <w:szCs w:val="20"/>
              </w:rPr>
            </w:pPr>
            <w:r w:rsidRPr="00E265B5">
              <w:rPr>
                <w:rFonts w:ascii="Calibri" w:hAnsi="Calibri" w:cs="Calibri"/>
                <w:color w:val="000000"/>
                <w:szCs w:val="20"/>
              </w:rPr>
              <w:t>1287,0%</w:t>
            </w:r>
          </w:p>
        </w:tc>
        <w:tc>
          <w:tcPr>
            <w:tcW w:w="1283" w:type="dxa"/>
            <w:vAlign w:val="center"/>
          </w:tcPr>
          <w:p w14:paraId="25ABEA12" w14:textId="77777777" w:rsidR="00E17CEA" w:rsidRPr="00E265B5" w:rsidRDefault="00E17CEA" w:rsidP="000878F6">
            <w:pPr>
              <w:pStyle w:val="Table"/>
              <w:jc w:val="center"/>
              <w:rPr>
                <w:szCs w:val="20"/>
              </w:rPr>
            </w:pPr>
            <w:r w:rsidRPr="00E265B5">
              <w:rPr>
                <w:rFonts w:ascii="Calibri" w:hAnsi="Calibri" w:cs="Calibri"/>
                <w:color w:val="000000"/>
                <w:szCs w:val="20"/>
              </w:rPr>
              <w:t>1427,5%</w:t>
            </w:r>
          </w:p>
        </w:tc>
      </w:tr>
      <w:tr w:rsidR="00E17CEA" w:rsidRPr="00E265B5" w14:paraId="47EF5FC1" w14:textId="77777777" w:rsidTr="00A84F75">
        <w:trPr>
          <w:trHeight w:val="256"/>
        </w:trPr>
        <w:tc>
          <w:tcPr>
            <w:tcW w:w="2252" w:type="dxa"/>
          </w:tcPr>
          <w:p w14:paraId="51B96E44" w14:textId="77777777" w:rsidR="00E17CEA" w:rsidRPr="00E265B5" w:rsidRDefault="00E17CEA" w:rsidP="000878F6">
            <w:pPr>
              <w:pStyle w:val="Table"/>
              <w:rPr>
                <w:szCs w:val="20"/>
              </w:rPr>
            </w:pPr>
            <w:r w:rsidRPr="00E265B5">
              <w:rPr>
                <w:szCs w:val="20"/>
              </w:rPr>
              <w:t>Fertilizers</w:t>
            </w:r>
          </w:p>
        </w:tc>
        <w:tc>
          <w:tcPr>
            <w:tcW w:w="1126" w:type="dxa"/>
            <w:vAlign w:val="center"/>
          </w:tcPr>
          <w:p w14:paraId="51C80EDA" w14:textId="77777777" w:rsidR="00E17CEA" w:rsidRPr="00E265B5" w:rsidRDefault="00E17CEA" w:rsidP="000878F6">
            <w:pPr>
              <w:pStyle w:val="Table"/>
              <w:jc w:val="center"/>
              <w:rPr>
                <w:szCs w:val="20"/>
              </w:rPr>
            </w:pPr>
            <w:r w:rsidRPr="00E265B5">
              <w:rPr>
                <w:rFonts w:ascii="Calibri" w:hAnsi="Calibri" w:cs="Calibri"/>
                <w:color w:val="000000"/>
                <w:szCs w:val="20"/>
              </w:rPr>
              <w:t>-7,49%</w:t>
            </w:r>
          </w:p>
        </w:tc>
        <w:tc>
          <w:tcPr>
            <w:tcW w:w="1126" w:type="dxa"/>
            <w:vAlign w:val="center"/>
          </w:tcPr>
          <w:p w14:paraId="02EEAD79" w14:textId="77777777" w:rsidR="00E17CEA" w:rsidRPr="00E265B5" w:rsidRDefault="00E17CEA" w:rsidP="000878F6">
            <w:pPr>
              <w:pStyle w:val="Table"/>
              <w:jc w:val="center"/>
              <w:rPr>
                <w:szCs w:val="20"/>
              </w:rPr>
            </w:pPr>
            <w:r w:rsidRPr="00E265B5">
              <w:rPr>
                <w:rFonts w:ascii="Calibri" w:hAnsi="Calibri" w:cs="Calibri"/>
                <w:color w:val="000000"/>
                <w:szCs w:val="20"/>
              </w:rPr>
              <w:t>-7,49%</w:t>
            </w:r>
          </w:p>
        </w:tc>
        <w:tc>
          <w:tcPr>
            <w:tcW w:w="1032" w:type="dxa"/>
            <w:vAlign w:val="center"/>
          </w:tcPr>
          <w:p w14:paraId="19819A21" w14:textId="77777777" w:rsidR="00E17CEA" w:rsidRPr="00E265B5" w:rsidRDefault="00E17CEA" w:rsidP="000878F6">
            <w:pPr>
              <w:pStyle w:val="Table"/>
              <w:jc w:val="center"/>
              <w:rPr>
                <w:szCs w:val="20"/>
              </w:rPr>
            </w:pPr>
            <w:r w:rsidRPr="00E265B5">
              <w:rPr>
                <w:rFonts w:ascii="Calibri" w:hAnsi="Calibri" w:cs="Calibri"/>
                <w:color w:val="000000"/>
                <w:szCs w:val="20"/>
              </w:rPr>
              <w:t>15,73</w:t>
            </w:r>
          </w:p>
        </w:tc>
        <w:tc>
          <w:tcPr>
            <w:tcW w:w="1220" w:type="dxa"/>
            <w:vAlign w:val="center"/>
          </w:tcPr>
          <w:p w14:paraId="1C02AD0C" w14:textId="77777777" w:rsidR="00E17CEA" w:rsidRPr="00E265B5" w:rsidRDefault="00E17CEA" w:rsidP="000878F6">
            <w:pPr>
              <w:pStyle w:val="Table"/>
              <w:jc w:val="center"/>
              <w:rPr>
                <w:szCs w:val="20"/>
              </w:rPr>
            </w:pPr>
            <w:r w:rsidRPr="00E265B5">
              <w:rPr>
                <w:rFonts w:ascii="Calibri" w:hAnsi="Calibri" w:cs="Calibri"/>
                <w:color w:val="000000"/>
                <w:szCs w:val="20"/>
              </w:rPr>
              <w:t>15,56</w:t>
            </w:r>
          </w:p>
        </w:tc>
        <w:tc>
          <w:tcPr>
            <w:tcW w:w="969" w:type="dxa"/>
            <w:vAlign w:val="center"/>
          </w:tcPr>
          <w:p w14:paraId="2DB573A9" w14:textId="77777777" w:rsidR="00E17CEA" w:rsidRPr="00E265B5" w:rsidRDefault="00E17CEA" w:rsidP="000878F6">
            <w:pPr>
              <w:pStyle w:val="Table"/>
              <w:jc w:val="center"/>
              <w:rPr>
                <w:szCs w:val="20"/>
              </w:rPr>
            </w:pPr>
            <w:r w:rsidRPr="00E265B5">
              <w:rPr>
                <w:rFonts w:ascii="Calibri" w:hAnsi="Calibri" w:cs="Calibri"/>
                <w:color w:val="000000"/>
                <w:szCs w:val="20"/>
              </w:rPr>
              <w:t>2,7%</w:t>
            </w:r>
          </w:p>
        </w:tc>
        <w:tc>
          <w:tcPr>
            <w:tcW w:w="1283" w:type="dxa"/>
            <w:vAlign w:val="center"/>
          </w:tcPr>
          <w:p w14:paraId="2522ED1E" w14:textId="77777777" w:rsidR="00E17CEA" w:rsidRPr="00E265B5" w:rsidRDefault="00E17CEA" w:rsidP="000878F6">
            <w:pPr>
              <w:pStyle w:val="Table"/>
              <w:jc w:val="center"/>
              <w:rPr>
                <w:szCs w:val="20"/>
              </w:rPr>
            </w:pPr>
            <w:r w:rsidRPr="00E265B5">
              <w:rPr>
                <w:rFonts w:ascii="Calibri" w:hAnsi="Calibri" w:cs="Calibri"/>
                <w:color w:val="000000"/>
                <w:szCs w:val="20"/>
              </w:rPr>
              <w:t>2,6%</w:t>
            </w:r>
          </w:p>
        </w:tc>
      </w:tr>
      <w:tr w:rsidR="00E17CEA" w:rsidRPr="00E265B5" w14:paraId="4A3654CF" w14:textId="77777777" w:rsidTr="00A84F75">
        <w:trPr>
          <w:trHeight w:val="239"/>
        </w:trPr>
        <w:tc>
          <w:tcPr>
            <w:tcW w:w="2252" w:type="dxa"/>
          </w:tcPr>
          <w:p w14:paraId="4539505F" w14:textId="77777777" w:rsidR="00E17CEA" w:rsidRPr="00E265B5" w:rsidRDefault="00E17CEA" w:rsidP="000878F6">
            <w:pPr>
              <w:pStyle w:val="Table"/>
              <w:rPr>
                <w:szCs w:val="20"/>
              </w:rPr>
            </w:pPr>
            <w:r w:rsidRPr="00E265B5">
              <w:rPr>
                <w:szCs w:val="20"/>
              </w:rPr>
              <w:t>Pesticides</w:t>
            </w:r>
          </w:p>
        </w:tc>
        <w:tc>
          <w:tcPr>
            <w:tcW w:w="1126" w:type="dxa"/>
            <w:vAlign w:val="center"/>
          </w:tcPr>
          <w:p w14:paraId="42CD1D82" w14:textId="77777777" w:rsidR="00E17CEA" w:rsidRPr="00E265B5" w:rsidRDefault="00E17CEA" w:rsidP="000878F6">
            <w:pPr>
              <w:pStyle w:val="Table"/>
              <w:jc w:val="center"/>
              <w:rPr>
                <w:szCs w:val="20"/>
              </w:rPr>
            </w:pPr>
            <w:r w:rsidRPr="00E265B5">
              <w:rPr>
                <w:rFonts w:ascii="Calibri" w:hAnsi="Calibri" w:cs="Calibri"/>
                <w:color w:val="000000"/>
                <w:szCs w:val="20"/>
              </w:rPr>
              <w:t>n/a</w:t>
            </w:r>
          </w:p>
        </w:tc>
        <w:tc>
          <w:tcPr>
            <w:tcW w:w="1126" w:type="dxa"/>
            <w:vAlign w:val="center"/>
          </w:tcPr>
          <w:p w14:paraId="51F1EBA0" w14:textId="77777777" w:rsidR="00E17CEA" w:rsidRPr="00E265B5" w:rsidRDefault="00E17CEA" w:rsidP="000878F6">
            <w:pPr>
              <w:pStyle w:val="Table"/>
              <w:jc w:val="center"/>
              <w:rPr>
                <w:szCs w:val="20"/>
              </w:rPr>
            </w:pPr>
            <w:r w:rsidRPr="00E265B5">
              <w:rPr>
                <w:rFonts w:ascii="Calibri" w:hAnsi="Calibri" w:cs="Calibri"/>
                <w:color w:val="000000"/>
                <w:szCs w:val="20"/>
              </w:rPr>
              <w:t>n/a</w:t>
            </w:r>
          </w:p>
        </w:tc>
        <w:tc>
          <w:tcPr>
            <w:tcW w:w="1032" w:type="dxa"/>
            <w:vAlign w:val="center"/>
          </w:tcPr>
          <w:p w14:paraId="48E94C70" w14:textId="77777777" w:rsidR="00E17CEA" w:rsidRPr="00E265B5" w:rsidRDefault="00E17CEA" w:rsidP="000878F6">
            <w:pPr>
              <w:pStyle w:val="Table"/>
              <w:jc w:val="center"/>
              <w:rPr>
                <w:szCs w:val="20"/>
              </w:rPr>
            </w:pPr>
            <w:r w:rsidRPr="00E265B5">
              <w:rPr>
                <w:rFonts w:ascii="Calibri" w:hAnsi="Calibri" w:cs="Calibri"/>
                <w:color w:val="000000"/>
                <w:szCs w:val="20"/>
              </w:rPr>
              <w:t>154,58</w:t>
            </w:r>
          </w:p>
        </w:tc>
        <w:tc>
          <w:tcPr>
            <w:tcW w:w="1220" w:type="dxa"/>
            <w:vAlign w:val="center"/>
          </w:tcPr>
          <w:p w14:paraId="3926536F" w14:textId="77777777" w:rsidR="00E17CEA" w:rsidRPr="00E265B5" w:rsidRDefault="00E17CEA" w:rsidP="000878F6">
            <w:pPr>
              <w:pStyle w:val="Table"/>
              <w:jc w:val="center"/>
              <w:rPr>
                <w:szCs w:val="20"/>
              </w:rPr>
            </w:pPr>
            <w:r w:rsidRPr="00E265B5">
              <w:rPr>
                <w:rFonts w:ascii="Calibri" w:hAnsi="Calibri" w:cs="Calibri"/>
                <w:color w:val="000000"/>
                <w:szCs w:val="20"/>
              </w:rPr>
              <w:t>153,36</w:t>
            </w:r>
          </w:p>
        </w:tc>
        <w:tc>
          <w:tcPr>
            <w:tcW w:w="969" w:type="dxa"/>
            <w:vAlign w:val="center"/>
          </w:tcPr>
          <w:p w14:paraId="0E5B8EA3" w14:textId="77777777" w:rsidR="00E17CEA" w:rsidRPr="00E265B5" w:rsidRDefault="00E17CEA" w:rsidP="000878F6">
            <w:pPr>
              <w:pStyle w:val="Table"/>
              <w:jc w:val="center"/>
              <w:rPr>
                <w:szCs w:val="20"/>
              </w:rPr>
            </w:pPr>
            <w:r w:rsidRPr="00E265B5">
              <w:rPr>
                <w:rFonts w:ascii="Calibri" w:hAnsi="Calibri" w:cs="Calibri"/>
                <w:color w:val="000000"/>
                <w:szCs w:val="20"/>
              </w:rPr>
              <w:t>26,1%</w:t>
            </w:r>
          </w:p>
        </w:tc>
        <w:tc>
          <w:tcPr>
            <w:tcW w:w="1283" w:type="dxa"/>
            <w:vAlign w:val="center"/>
          </w:tcPr>
          <w:p w14:paraId="697BB75D" w14:textId="77777777" w:rsidR="00E17CEA" w:rsidRPr="00E265B5" w:rsidRDefault="00E17CEA" w:rsidP="000878F6">
            <w:pPr>
              <w:pStyle w:val="Table"/>
              <w:jc w:val="center"/>
              <w:rPr>
                <w:szCs w:val="20"/>
              </w:rPr>
            </w:pPr>
            <w:r w:rsidRPr="00E265B5">
              <w:rPr>
                <w:rFonts w:ascii="Calibri" w:hAnsi="Calibri" w:cs="Calibri"/>
                <w:color w:val="000000"/>
                <w:szCs w:val="20"/>
              </w:rPr>
              <w:t>25,9%</w:t>
            </w:r>
          </w:p>
        </w:tc>
      </w:tr>
      <w:tr w:rsidR="00E17CEA" w:rsidRPr="00E265B5" w14:paraId="2E14D162" w14:textId="77777777" w:rsidTr="00A84F75">
        <w:trPr>
          <w:trHeight w:val="239"/>
        </w:trPr>
        <w:tc>
          <w:tcPr>
            <w:tcW w:w="2252" w:type="dxa"/>
          </w:tcPr>
          <w:p w14:paraId="216063DD" w14:textId="77777777" w:rsidR="00E17CEA" w:rsidRPr="00E265B5" w:rsidRDefault="00E17CEA" w:rsidP="000878F6">
            <w:pPr>
              <w:pStyle w:val="Table"/>
              <w:rPr>
                <w:szCs w:val="20"/>
              </w:rPr>
            </w:pPr>
            <w:r w:rsidRPr="00E265B5">
              <w:rPr>
                <w:szCs w:val="20"/>
              </w:rPr>
              <w:t>Waste Incineration</w:t>
            </w:r>
          </w:p>
        </w:tc>
        <w:tc>
          <w:tcPr>
            <w:tcW w:w="1126" w:type="dxa"/>
            <w:vAlign w:val="center"/>
          </w:tcPr>
          <w:p w14:paraId="09E3E6E3" w14:textId="77777777" w:rsidR="00E17CEA" w:rsidRPr="00E265B5" w:rsidRDefault="00E17CEA" w:rsidP="000878F6">
            <w:pPr>
              <w:pStyle w:val="Table"/>
              <w:jc w:val="center"/>
              <w:rPr>
                <w:szCs w:val="20"/>
              </w:rPr>
            </w:pPr>
            <w:r w:rsidRPr="00E265B5">
              <w:rPr>
                <w:rFonts w:ascii="Calibri" w:hAnsi="Calibri" w:cs="Calibri"/>
                <w:color w:val="000000"/>
                <w:szCs w:val="20"/>
              </w:rPr>
              <w:t>-8,31%</w:t>
            </w:r>
          </w:p>
        </w:tc>
        <w:tc>
          <w:tcPr>
            <w:tcW w:w="1126" w:type="dxa"/>
            <w:vAlign w:val="center"/>
          </w:tcPr>
          <w:p w14:paraId="071D3E87" w14:textId="77777777" w:rsidR="00E17CEA" w:rsidRPr="00E265B5" w:rsidRDefault="00E17CEA" w:rsidP="000878F6">
            <w:pPr>
              <w:pStyle w:val="Table"/>
              <w:jc w:val="center"/>
              <w:rPr>
                <w:szCs w:val="20"/>
              </w:rPr>
            </w:pPr>
            <w:r w:rsidRPr="00E265B5">
              <w:rPr>
                <w:rFonts w:ascii="Calibri" w:hAnsi="Calibri" w:cs="Calibri"/>
                <w:color w:val="000000"/>
                <w:szCs w:val="20"/>
              </w:rPr>
              <w:t>-8,31%</w:t>
            </w:r>
          </w:p>
        </w:tc>
        <w:tc>
          <w:tcPr>
            <w:tcW w:w="1032" w:type="dxa"/>
            <w:vAlign w:val="center"/>
          </w:tcPr>
          <w:p w14:paraId="07F46D08" w14:textId="77777777" w:rsidR="00E17CEA" w:rsidRPr="00E265B5" w:rsidRDefault="00E17CEA" w:rsidP="000878F6">
            <w:pPr>
              <w:pStyle w:val="Table"/>
              <w:jc w:val="center"/>
              <w:rPr>
                <w:szCs w:val="20"/>
              </w:rPr>
            </w:pPr>
            <w:r w:rsidRPr="00E265B5">
              <w:rPr>
                <w:rFonts w:ascii="Calibri" w:hAnsi="Calibri" w:cs="Calibri"/>
                <w:color w:val="000000"/>
                <w:szCs w:val="20"/>
              </w:rPr>
              <w:t>1,31</w:t>
            </w:r>
          </w:p>
        </w:tc>
        <w:tc>
          <w:tcPr>
            <w:tcW w:w="1220" w:type="dxa"/>
            <w:vAlign w:val="center"/>
          </w:tcPr>
          <w:p w14:paraId="470770EC" w14:textId="77777777" w:rsidR="00E17CEA" w:rsidRPr="00E265B5" w:rsidRDefault="00E17CEA" w:rsidP="000878F6">
            <w:pPr>
              <w:pStyle w:val="Table"/>
              <w:jc w:val="center"/>
              <w:rPr>
                <w:szCs w:val="20"/>
              </w:rPr>
            </w:pPr>
            <w:r w:rsidRPr="00E265B5">
              <w:rPr>
                <w:rFonts w:ascii="Calibri" w:hAnsi="Calibri" w:cs="Calibri"/>
                <w:color w:val="000000"/>
                <w:szCs w:val="20"/>
              </w:rPr>
              <w:t>0,73</w:t>
            </w:r>
          </w:p>
        </w:tc>
        <w:tc>
          <w:tcPr>
            <w:tcW w:w="969" w:type="dxa"/>
            <w:vAlign w:val="center"/>
          </w:tcPr>
          <w:p w14:paraId="0383DD3D" w14:textId="77777777" w:rsidR="00E17CEA" w:rsidRPr="00E265B5" w:rsidRDefault="00E17CEA" w:rsidP="000878F6">
            <w:pPr>
              <w:pStyle w:val="Table"/>
              <w:jc w:val="center"/>
              <w:rPr>
                <w:szCs w:val="20"/>
              </w:rPr>
            </w:pPr>
            <w:r w:rsidRPr="00E265B5">
              <w:rPr>
                <w:rFonts w:ascii="Calibri" w:hAnsi="Calibri" w:cs="Calibri"/>
                <w:color w:val="000000"/>
                <w:szCs w:val="20"/>
              </w:rPr>
              <w:t>0,2%</w:t>
            </w:r>
          </w:p>
        </w:tc>
        <w:tc>
          <w:tcPr>
            <w:tcW w:w="1283" w:type="dxa"/>
            <w:vAlign w:val="center"/>
          </w:tcPr>
          <w:p w14:paraId="74CB15EB" w14:textId="77777777" w:rsidR="00E17CEA" w:rsidRPr="00E265B5" w:rsidRDefault="00E17CEA" w:rsidP="000878F6">
            <w:pPr>
              <w:pStyle w:val="Table"/>
              <w:jc w:val="center"/>
              <w:rPr>
                <w:szCs w:val="20"/>
              </w:rPr>
            </w:pPr>
            <w:r w:rsidRPr="00E265B5">
              <w:rPr>
                <w:rFonts w:ascii="Calibri" w:hAnsi="Calibri" w:cs="Calibri"/>
                <w:color w:val="000000"/>
                <w:szCs w:val="20"/>
              </w:rPr>
              <w:t>0,1%</w:t>
            </w:r>
          </w:p>
        </w:tc>
      </w:tr>
      <w:tr w:rsidR="00E17CEA" w:rsidRPr="00E265B5" w14:paraId="34BBAF75" w14:textId="77777777" w:rsidTr="00A84F75">
        <w:trPr>
          <w:trHeight w:val="239"/>
        </w:trPr>
        <w:tc>
          <w:tcPr>
            <w:tcW w:w="2252" w:type="dxa"/>
          </w:tcPr>
          <w:p w14:paraId="6FB15D90" w14:textId="77777777" w:rsidR="00E17CEA" w:rsidRPr="00E265B5" w:rsidRDefault="00E17CEA" w:rsidP="000878F6">
            <w:pPr>
              <w:pStyle w:val="Table"/>
              <w:rPr>
                <w:szCs w:val="20"/>
              </w:rPr>
            </w:pPr>
            <w:r w:rsidRPr="00E265B5">
              <w:rPr>
                <w:szCs w:val="20"/>
              </w:rPr>
              <w:t>Waste to Landfill</w:t>
            </w:r>
          </w:p>
        </w:tc>
        <w:tc>
          <w:tcPr>
            <w:tcW w:w="1126" w:type="dxa"/>
            <w:vAlign w:val="center"/>
          </w:tcPr>
          <w:p w14:paraId="025F49AA" w14:textId="77777777" w:rsidR="00E17CEA" w:rsidRPr="00E265B5" w:rsidRDefault="00E17CEA" w:rsidP="000878F6">
            <w:pPr>
              <w:pStyle w:val="Table"/>
              <w:jc w:val="center"/>
              <w:rPr>
                <w:szCs w:val="20"/>
              </w:rPr>
            </w:pPr>
            <w:r w:rsidRPr="00E265B5">
              <w:rPr>
                <w:rFonts w:ascii="Calibri" w:hAnsi="Calibri" w:cs="Calibri"/>
                <w:color w:val="000000"/>
                <w:szCs w:val="20"/>
              </w:rPr>
              <w:t>-20,88%</w:t>
            </w:r>
          </w:p>
        </w:tc>
        <w:tc>
          <w:tcPr>
            <w:tcW w:w="1126" w:type="dxa"/>
            <w:vAlign w:val="center"/>
          </w:tcPr>
          <w:p w14:paraId="1C99A4E6" w14:textId="77777777" w:rsidR="00E17CEA" w:rsidRPr="00E265B5" w:rsidRDefault="00E17CEA" w:rsidP="000878F6">
            <w:pPr>
              <w:pStyle w:val="Table"/>
              <w:jc w:val="center"/>
              <w:rPr>
                <w:szCs w:val="20"/>
              </w:rPr>
            </w:pPr>
            <w:r w:rsidRPr="00E265B5">
              <w:rPr>
                <w:rFonts w:ascii="Calibri" w:hAnsi="Calibri" w:cs="Calibri"/>
                <w:color w:val="000000"/>
                <w:szCs w:val="20"/>
              </w:rPr>
              <w:t>-20,88%</w:t>
            </w:r>
          </w:p>
        </w:tc>
        <w:tc>
          <w:tcPr>
            <w:tcW w:w="1032" w:type="dxa"/>
            <w:vAlign w:val="center"/>
          </w:tcPr>
          <w:p w14:paraId="4D57D07E" w14:textId="77777777" w:rsidR="00E17CEA" w:rsidRPr="00E265B5" w:rsidRDefault="00E17CEA" w:rsidP="000878F6">
            <w:pPr>
              <w:pStyle w:val="Table"/>
              <w:jc w:val="center"/>
              <w:rPr>
                <w:szCs w:val="20"/>
              </w:rPr>
            </w:pPr>
            <w:r w:rsidRPr="00E265B5">
              <w:rPr>
                <w:rFonts w:ascii="Calibri" w:hAnsi="Calibri" w:cs="Calibri"/>
                <w:color w:val="000000"/>
                <w:szCs w:val="20"/>
              </w:rPr>
              <w:t>88,51</w:t>
            </w:r>
          </w:p>
        </w:tc>
        <w:tc>
          <w:tcPr>
            <w:tcW w:w="1220" w:type="dxa"/>
            <w:vAlign w:val="center"/>
          </w:tcPr>
          <w:p w14:paraId="3CE64073" w14:textId="77777777" w:rsidR="00E17CEA" w:rsidRPr="00E265B5" w:rsidRDefault="00E17CEA" w:rsidP="000878F6">
            <w:pPr>
              <w:pStyle w:val="Table"/>
              <w:jc w:val="center"/>
              <w:rPr>
                <w:szCs w:val="20"/>
              </w:rPr>
            </w:pPr>
            <w:r w:rsidRPr="00E265B5">
              <w:rPr>
                <w:rFonts w:ascii="Calibri" w:hAnsi="Calibri" w:cs="Calibri"/>
                <w:color w:val="000000"/>
                <w:szCs w:val="20"/>
              </w:rPr>
              <w:t>66,17</w:t>
            </w:r>
          </w:p>
        </w:tc>
        <w:tc>
          <w:tcPr>
            <w:tcW w:w="969" w:type="dxa"/>
            <w:vAlign w:val="center"/>
          </w:tcPr>
          <w:p w14:paraId="68434AF9" w14:textId="77777777" w:rsidR="00E17CEA" w:rsidRPr="00E265B5" w:rsidRDefault="00E17CEA" w:rsidP="000878F6">
            <w:pPr>
              <w:pStyle w:val="Table"/>
              <w:jc w:val="center"/>
              <w:rPr>
                <w:szCs w:val="20"/>
              </w:rPr>
            </w:pPr>
            <w:r w:rsidRPr="00E265B5">
              <w:rPr>
                <w:rFonts w:ascii="Calibri" w:hAnsi="Calibri" w:cs="Calibri"/>
                <w:color w:val="000000"/>
                <w:szCs w:val="20"/>
              </w:rPr>
              <w:t>15,0%</w:t>
            </w:r>
          </w:p>
        </w:tc>
        <w:tc>
          <w:tcPr>
            <w:tcW w:w="1283" w:type="dxa"/>
            <w:vAlign w:val="center"/>
          </w:tcPr>
          <w:p w14:paraId="78A0326E" w14:textId="77777777" w:rsidR="00E17CEA" w:rsidRPr="00E265B5" w:rsidRDefault="00E17CEA" w:rsidP="000878F6">
            <w:pPr>
              <w:pStyle w:val="Table"/>
              <w:jc w:val="center"/>
              <w:rPr>
                <w:szCs w:val="20"/>
              </w:rPr>
            </w:pPr>
            <w:r w:rsidRPr="00E265B5">
              <w:rPr>
                <w:rFonts w:ascii="Calibri" w:hAnsi="Calibri" w:cs="Calibri"/>
                <w:color w:val="000000"/>
                <w:szCs w:val="20"/>
              </w:rPr>
              <w:t>11,2%</w:t>
            </w:r>
          </w:p>
        </w:tc>
      </w:tr>
      <w:tr w:rsidR="00E17CEA" w:rsidRPr="00E265B5" w14:paraId="68D7D843" w14:textId="77777777" w:rsidTr="00A84F75">
        <w:trPr>
          <w:trHeight w:val="239"/>
        </w:trPr>
        <w:tc>
          <w:tcPr>
            <w:tcW w:w="2252" w:type="dxa"/>
          </w:tcPr>
          <w:p w14:paraId="1F46DAF8" w14:textId="77777777" w:rsidR="00E17CEA" w:rsidRPr="00E265B5" w:rsidRDefault="00E17CEA" w:rsidP="000878F6">
            <w:pPr>
              <w:pStyle w:val="Table"/>
              <w:rPr>
                <w:szCs w:val="20"/>
              </w:rPr>
            </w:pPr>
            <w:r w:rsidRPr="00E265B5">
              <w:rPr>
                <w:szCs w:val="20"/>
              </w:rPr>
              <w:t>Water Effluent</w:t>
            </w:r>
          </w:p>
        </w:tc>
        <w:tc>
          <w:tcPr>
            <w:tcW w:w="1126" w:type="dxa"/>
            <w:vAlign w:val="center"/>
          </w:tcPr>
          <w:p w14:paraId="7C4B3029" w14:textId="77777777" w:rsidR="00E17CEA" w:rsidRPr="00E265B5" w:rsidRDefault="00E17CEA" w:rsidP="000878F6">
            <w:pPr>
              <w:pStyle w:val="Table"/>
              <w:jc w:val="center"/>
              <w:rPr>
                <w:szCs w:val="20"/>
              </w:rPr>
            </w:pPr>
            <w:r w:rsidRPr="00E265B5">
              <w:rPr>
                <w:rFonts w:ascii="Calibri" w:hAnsi="Calibri" w:cs="Calibri"/>
                <w:color w:val="000000"/>
                <w:szCs w:val="20"/>
              </w:rPr>
              <w:t>-5,67%</w:t>
            </w:r>
          </w:p>
        </w:tc>
        <w:tc>
          <w:tcPr>
            <w:tcW w:w="1126" w:type="dxa"/>
            <w:vAlign w:val="center"/>
          </w:tcPr>
          <w:p w14:paraId="6B838D74" w14:textId="77777777" w:rsidR="00E17CEA" w:rsidRPr="00E265B5" w:rsidRDefault="00E17CEA" w:rsidP="000878F6">
            <w:pPr>
              <w:pStyle w:val="Table"/>
              <w:jc w:val="center"/>
              <w:rPr>
                <w:szCs w:val="20"/>
              </w:rPr>
            </w:pPr>
            <w:r w:rsidRPr="00E265B5">
              <w:rPr>
                <w:rFonts w:ascii="Calibri" w:hAnsi="Calibri" w:cs="Calibri"/>
                <w:color w:val="000000"/>
                <w:szCs w:val="20"/>
              </w:rPr>
              <w:t>-5,67%</w:t>
            </w:r>
          </w:p>
        </w:tc>
        <w:tc>
          <w:tcPr>
            <w:tcW w:w="1032" w:type="dxa"/>
            <w:vAlign w:val="center"/>
          </w:tcPr>
          <w:p w14:paraId="30D67F05" w14:textId="77777777" w:rsidR="00E17CEA" w:rsidRPr="00E265B5" w:rsidRDefault="00E17CEA" w:rsidP="000878F6">
            <w:pPr>
              <w:pStyle w:val="Table"/>
              <w:jc w:val="center"/>
              <w:rPr>
                <w:szCs w:val="20"/>
              </w:rPr>
            </w:pPr>
            <w:r w:rsidRPr="00E265B5">
              <w:rPr>
                <w:rFonts w:ascii="Calibri" w:hAnsi="Calibri" w:cs="Calibri"/>
                <w:color w:val="000000"/>
                <w:szCs w:val="20"/>
              </w:rPr>
              <w:t>3615,48</w:t>
            </w:r>
          </w:p>
        </w:tc>
        <w:tc>
          <w:tcPr>
            <w:tcW w:w="1220" w:type="dxa"/>
            <w:vAlign w:val="center"/>
          </w:tcPr>
          <w:p w14:paraId="2FD3C19A" w14:textId="77777777" w:rsidR="00E17CEA" w:rsidRPr="00E265B5" w:rsidRDefault="00E17CEA" w:rsidP="000878F6">
            <w:pPr>
              <w:pStyle w:val="Table"/>
              <w:jc w:val="center"/>
              <w:rPr>
                <w:szCs w:val="20"/>
              </w:rPr>
            </w:pPr>
            <w:r w:rsidRPr="00E265B5">
              <w:rPr>
                <w:rFonts w:ascii="Calibri" w:hAnsi="Calibri" w:cs="Calibri"/>
                <w:color w:val="000000"/>
                <w:szCs w:val="20"/>
              </w:rPr>
              <w:t>3608,22</w:t>
            </w:r>
          </w:p>
        </w:tc>
        <w:tc>
          <w:tcPr>
            <w:tcW w:w="969" w:type="dxa"/>
            <w:vAlign w:val="center"/>
          </w:tcPr>
          <w:p w14:paraId="69B7022A" w14:textId="77777777" w:rsidR="00E17CEA" w:rsidRPr="00E265B5" w:rsidRDefault="00E17CEA" w:rsidP="000878F6">
            <w:pPr>
              <w:pStyle w:val="Table"/>
              <w:jc w:val="center"/>
              <w:rPr>
                <w:szCs w:val="20"/>
              </w:rPr>
            </w:pPr>
            <w:r w:rsidRPr="00E265B5">
              <w:rPr>
                <w:rFonts w:ascii="Calibri" w:hAnsi="Calibri" w:cs="Calibri"/>
                <w:color w:val="000000"/>
                <w:szCs w:val="20"/>
              </w:rPr>
              <w:t>610,7%</w:t>
            </w:r>
          </w:p>
        </w:tc>
        <w:tc>
          <w:tcPr>
            <w:tcW w:w="1283" w:type="dxa"/>
            <w:vAlign w:val="center"/>
          </w:tcPr>
          <w:p w14:paraId="2CDB0191" w14:textId="77777777" w:rsidR="00E17CEA" w:rsidRPr="00E265B5" w:rsidRDefault="00E17CEA" w:rsidP="000878F6">
            <w:pPr>
              <w:pStyle w:val="Table"/>
              <w:jc w:val="center"/>
              <w:rPr>
                <w:szCs w:val="20"/>
              </w:rPr>
            </w:pPr>
            <w:r w:rsidRPr="00E265B5">
              <w:rPr>
                <w:rFonts w:ascii="Calibri" w:hAnsi="Calibri" w:cs="Calibri"/>
                <w:color w:val="000000"/>
                <w:szCs w:val="20"/>
              </w:rPr>
              <w:t>609,5%</w:t>
            </w:r>
          </w:p>
        </w:tc>
      </w:tr>
      <w:tr w:rsidR="00E17CEA" w:rsidRPr="00E265B5" w14:paraId="723A8692" w14:textId="77777777" w:rsidTr="00A84F75">
        <w:trPr>
          <w:trHeight w:val="239"/>
        </w:trPr>
        <w:tc>
          <w:tcPr>
            <w:tcW w:w="2252" w:type="dxa"/>
          </w:tcPr>
          <w:p w14:paraId="3B907235" w14:textId="77777777" w:rsidR="00E17CEA" w:rsidRPr="00E265B5" w:rsidRDefault="00E17CEA" w:rsidP="000878F6">
            <w:pPr>
              <w:pStyle w:val="Table"/>
              <w:rPr>
                <w:szCs w:val="20"/>
              </w:rPr>
            </w:pPr>
            <w:r w:rsidRPr="00E265B5">
              <w:rPr>
                <w:szCs w:val="20"/>
              </w:rPr>
              <w:t>Minerals &amp; Aggregates</w:t>
            </w:r>
          </w:p>
        </w:tc>
        <w:tc>
          <w:tcPr>
            <w:tcW w:w="1126" w:type="dxa"/>
            <w:vAlign w:val="center"/>
          </w:tcPr>
          <w:p w14:paraId="2F7A3C5D" w14:textId="77777777" w:rsidR="00E17CEA" w:rsidRPr="00E265B5" w:rsidRDefault="00E17CEA" w:rsidP="000878F6">
            <w:pPr>
              <w:pStyle w:val="Table"/>
              <w:jc w:val="center"/>
              <w:rPr>
                <w:szCs w:val="20"/>
              </w:rPr>
            </w:pPr>
            <w:r w:rsidRPr="00E265B5">
              <w:rPr>
                <w:rFonts w:ascii="Calibri" w:hAnsi="Calibri" w:cs="Calibri"/>
                <w:color w:val="000000"/>
                <w:szCs w:val="20"/>
              </w:rPr>
              <w:t>0,00%</w:t>
            </w:r>
          </w:p>
        </w:tc>
        <w:tc>
          <w:tcPr>
            <w:tcW w:w="1126" w:type="dxa"/>
            <w:vAlign w:val="center"/>
          </w:tcPr>
          <w:p w14:paraId="7F6A7ED8" w14:textId="77777777" w:rsidR="00E17CEA" w:rsidRPr="00E265B5" w:rsidRDefault="00E17CEA" w:rsidP="000878F6">
            <w:pPr>
              <w:pStyle w:val="Table"/>
              <w:jc w:val="center"/>
              <w:rPr>
                <w:szCs w:val="20"/>
              </w:rPr>
            </w:pPr>
            <w:r w:rsidRPr="00E265B5">
              <w:rPr>
                <w:rFonts w:ascii="Calibri" w:hAnsi="Calibri" w:cs="Calibri"/>
                <w:color w:val="000000"/>
                <w:szCs w:val="20"/>
              </w:rPr>
              <w:t>0,00%</w:t>
            </w:r>
          </w:p>
        </w:tc>
        <w:tc>
          <w:tcPr>
            <w:tcW w:w="1032" w:type="dxa"/>
            <w:vAlign w:val="center"/>
          </w:tcPr>
          <w:p w14:paraId="3391141D" w14:textId="77777777" w:rsidR="00E17CEA" w:rsidRPr="00E265B5" w:rsidRDefault="00E17CEA" w:rsidP="000878F6">
            <w:pPr>
              <w:pStyle w:val="Table"/>
              <w:jc w:val="center"/>
              <w:rPr>
                <w:szCs w:val="20"/>
              </w:rPr>
            </w:pPr>
            <w:r w:rsidRPr="00E265B5">
              <w:rPr>
                <w:rFonts w:ascii="Calibri" w:hAnsi="Calibri" w:cs="Calibri"/>
                <w:color w:val="000000"/>
                <w:szCs w:val="20"/>
              </w:rPr>
              <w:t>0,00</w:t>
            </w:r>
          </w:p>
        </w:tc>
        <w:tc>
          <w:tcPr>
            <w:tcW w:w="1220" w:type="dxa"/>
            <w:vAlign w:val="center"/>
          </w:tcPr>
          <w:p w14:paraId="5FBD68BC" w14:textId="77777777" w:rsidR="00E17CEA" w:rsidRPr="00E265B5" w:rsidRDefault="00E17CEA" w:rsidP="000878F6">
            <w:pPr>
              <w:pStyle w:val="Table"/>
              <w:jc w:val="center"/>
              <w:rPr>
                <w:szCs w:val="20"/>
              </w:rPr>
            </w:pPr>
            <w:r w:rsidRPr="00E265B5">
              <w:rPr>
                <w:rFonts w:ascii="Calibri" w:hAnsi="Calibri" w:cs="Calibri"/>
                <w:color w:val="000000"/>
                <w:szCs w:val="20"/>
              </w:rPr>
              <w:t>0,00</w:t>
            </w:r>
          </w:p>
        </w:tc>
        <w:tc>
          <w:tcPr>
            <w:tcW w:w="969" w:type="dxa"/>
            <w:vAlign w:val="center"/>
          </w:tcPr>
          <w:p w14:paraId="0067EA17" w14:textId="77777777" w:rsidR="00E17CEA" w:rsidRPr="00E265B5" w:rsidRDefault="00E17CEA" w:rsidP="000878F6">
            <w:pPr>
              <w:pStyle w:val="Table"/>
              <w:jc w:val="center"/>
              <w:rPr>
                <w:szCs w:val="20"/>
              </w:rPr>
            </w:pPr>
            <w:r w:rsidRPr="00E265B5">
              <w:rPr>
                <w:rFonts w:ascii="Calibri" w:hAnsi="Calibri" w:cs="Calibri"/>
                <w:color w:val="000000"/>
                <w:szCs w:val="20"/>
              </w:rPr>
              <w:t>0,0%</w:t>
            </w:r>
          </w:p>
        </w:tc>
        <w:tc>
          <w:tcPr>
            <w:tcW w:w="1283" w:type="dxa"/>
            <w:vAlign w:val="center"/>
          </w:tcPr>
          <w:p w14:paraId="2D8C1626" w14:textId="77777777" w:rsidR="00E17CEA" w:rsidRPr="00E265B5" w:rsidRDefault="00E17CEA" w:rsidP="000878F6">
            <w:pPr>
              <w:pStyle w:val="Table"/>
              <w:jc w:val="center"/>
              <w:rPr>
                <w:szCs w:val="20"/>
              </w:rPr>
            </w:pPr>
            <w:r w:rsidRPr="00E265B5">
              <w:rPr>
                <w:rFonts w:ascii="Calibri" w:hAnsi="Calibri" w:cs="Calibri"/>
                <w:color w:val="000000"/>
                <w:szCs w:val="20"/>
              </w:rPr>
              <w:t>0,0%</w:t>
            </w:r>
          </w:p>
        </w:tc>
      </w:tr>
    </w:tbl>
    <w:p w14:paraId="01AD1C50" w14:textId="77777777" w:rsidR="00E17CEA" w:rsidRPr="00E17CEA" w:rsidRDefault="00E17CEA" w:rsidP="00E17CEA"/>
    <w:p w14:paraId="1DF34147" w14:textId="385AA4B8" w:rsidR="00E17CEA" w:rsidRPr="00E17CEA" w:rsidRDefault="00E17CEA" w:rsidP="00E17CEA">
      <w:r w:rsidRPr="00E17CEA">
        <w:t xml:space="preserve">In terms of </w:t>
      </w:r>
      <w:r w:rsidRPr="00E17CEA">
        <w:rPr>
          <w:b/>
          <w:bCs/>
        </w:rPr>
        <w:t>administrative feasibility</w:t>
      </w:r>
      <w:r w:rsidRPr="00E17CEA">
        <w:t>, Italy’s system is complex but capable of managing additional environmental taxes, provided reforms are coordinated across levels of government. Environmental taxation in Italy is partly decentralised: the regions levy and retain revenues from certain waste and water-related taxes, which vary widely in scope and rate levels. Harmonisation and streamlining of these instruments would improve consistency and reduce administrative burden. Expanding or aligning existing taxes with the benchmarked rates could therefore be achieved without creating new administrative structures. However, close cooperation between the Ministry of Environment and Energy Security, the Ministry of Economy and Finance, and the regional authorities would be essential to ensure uniform design, enforcement, and transparency.</w:t>
      </w:r>
    </w:p>
    <w:p w14:paraId="05E0D0F0" w14:textId="152A5868" w:rsidR="00E17CEA" w:rsidRPr="00E17CEA" w:rsidRDefault="00E17CEA" w:rsidP="00E17CEA">
      <w:r w:rsidRPr="00E17CEA">
        <w:t xml:space="preserve">From a </w:t>
      </w:r>
      <w:r w:rsidRPr="00E17CEA">
        <w:rPr>
          <w:b/>
          <w:bCs/>
        </w:rPr>
        <w:t>distributional perspective</w:t>
      </w:r>
      <w:r w:rsidRPr="00E17CEA">
        <w:t>, Italy faces potential challenges linked to regional disparities in income, water availability, and infrastructure quality. New or higher charges on water abstraction, wastewater, or waste management could have uneven impacts across regions, particularly in the South, where household incomes are lower and municipal systems less efficient. These risks can be mitigated through revenue recycling and targeted investment. A defined share of revenues could be earmarked for modernising waste treatment and water infrastructure in lagging regions, reducing regional inequalities while reinforcing environmental outcomes. Transparent communication on how revenues are used</w:t>
      </w:r>
      <w:r w:rsidR="00AE0176">
        <w:t xml:space="preserve">, </w:t>
      </w:r>
      <w:r w:rsidRPr="00E17CEA">
        <w:t>for example, for improving waste collection, upgrading wastewater treatment, or supporting circular economy projects</w:t>
      </w:r>
      <w:r w:rsidR="00AE0176">
        <w:t xml:space="preserve">, </w:t>
      </w:r>
      <w:r w:rsidRPr="00E17CEA">
        <w:t>will be crucial to maintain public trust.</w:t>
      </w:r>
    </w:p>
    <w:p w14:paraId="7B85448A" w14:textId="148E3E0A" w:rsidR="00E17CEA" w:rsidRPr="00E17CEA" w:rsidRDefault="00E17CEA" w:rsidP="00E17CEA">
      <w:r w:rsidRPr="00E17CEA">
        <w:rPr>
          <w:b/>
          <w:bCs/>
        </w:rPr>
        <w:t>Competitiveness impacts</w:t>
      </w:r>
      <w:r w:rsidRPr="00E17CEA">
        <w:t xml:space="preserve"> are expected to be limited, as most benchmarked rates fall within ranges already applied in other EU Member States. However, particular attention should be given to the construction, manufacturing, and agricultural sectors, which are most exposed to the new instruments. For construction materials, a mineral extraction tax could raise costs for quarry operators, but these impacts would be offset if recycled aggregates are incentivised through lower rates or procurement standards that recognise secondary materials. In agriculture, potential fertiliser and pesticide taxes could raise input costs, though this can be managed by pairing the taxes with advisory services and financial support for precision agriculture and integrated pest management. For manufacturing, air pollution and wastewater taxes should be phased in gradually and linked to measurable emissions, providing clear incentives for investment in abatement technologies.</w:t>
      </w:r>
    </w:p>
    <w:p w14:paraId="42A35E5D" w14:textId="77777777" w:rsidR="00E17CEA" w:rsidRPr="00E17CEA" w:rsidRDefault="00E17CEA" w:rsidP="00E17CEA">
      <w:r w:rsidRPr="00E17CEA">
        <w:t xml:space="preserve">Based on the modelling and national context, the following </w:t>
      </w:r>
      <w:r w:rsidRPr="00E17CEA">
        <w:rPr>
          <w:b/>
          <w:bCs/>
        </w:rPr>
        <w:t>priority taxes</w:t>
      </w:r>
      <w:r w:rsidRPr="00E17CEA">
        <w:t xml:space="preserve"> could be considered for introduction or reform:</w:t>
      </w:r>
    </w:p>
    <w:p w14:paraId="1067F5C6" w14:textId="77777777" w:rsidR="00E17CEA" w:rsidRPr="00E17CEA" w:rsidRDefault="00E17CEA" w:rsidP="00AE0176">
      <w:pPr>
        <w:pStyle w:val="Bulletlist"/>
      </w:pPr>
      <w:r w:rsidRPr="00E17CEA">
        <w:t xml:space="preserve">A </w:t>
      </w:r>
      <w:r w:rsidRPr="00E17CEA">
        <w:rPr>
          <w:b/>
          <w:bCs/>
        </w:rPr>
        <w:t>wastewater effluent tax</w:t>
      </w:r>
      <w:r w:rsidRPr="00E17CEA">
        <w:t>, reflecting pollutant loads (e.g. BOD, nitrogen, phosphorus) and linked to performance-based funding for treatment upgrades;</w:t>
      </w:r>
    </w:p>
    <w:p w14:paraId="7F4C5430" w14:textId="77777777" w:rsidR="00E17CEA" w:rsidRPr="00E17CEA" w:rsidRDefault="00E17CEA" w:rsidP="00AE0176">
      <w:pPr>
        <w:pStyle w:val="Bulletlist"/>
      </w:pPr>
      <w:r w:rsidRPr="00E17CEA">
        <w:t xml:space="preserve">A </w:t>
      </w:r>
      <w:r w:rsidRPr="00E17CEA">
        <w:rPr>
          <w:b/>
          <w:bCs/>
        </w:rPr>
        <w:t>mineral extraction tax</w:t>
      </w:r>
      <w:r w:rsidRPr="00E17CEA">
        <w:t>, harmonised across regions at benchmark rates and accompanied by incentives for recycled aggregates;</w:t>
      </w:r>
    </w:p>
    <w:p w14:paraId="2E46BC89" w14:textId="77777777" w:rsidR="00E17CEA" w:rsidRPr="00E17CEA" w:rsidRDefault="00E17CEA" w:rsidP="00AE0176">
      <w:pPr>
        <w:pStyle w:val="Bulletlist"/>
      </w:pPr>
      <w:r w:rsidRPr="00E17CEA">
        <w:t xml:space="preserve">A </w:t>
      </w:r>
      <w:r w:rsidRPr="00E17CEA">
        <w:rPr>
          <w:b/>
          <w:bCs/>
        </w:rPr>
        <w:t>strengthened landfill tax</w:t>
      </w:r>
      <w:r w:rsidRPr="00E17CEA">
        <w:t>, with consistent application across all regions and integration with waste prevention and recycling targets;</w:t>
      </w:r>
    </w:p>
    <w:p w14:paraId="6ABB9A6D" w14:textId="77777777" w:rsidR="00E17CEA" w:rsidRPr="00E17CEA" w:rsidRDefault="00E17CEA" w:rsidP="00AE0176">
      <w:pPr>
        <w:pStyle w:val="Bulletlist"/>
      </w:pPr>
      <w:r w:rsidRPr="00E17CEA">
        <w:t xml:space="preserve">A </w:t>
      </w:r>
      <w:r w:rsidRPr="00E17CEA">
        <w:rPr>
          <w:b/>
          <w:bCs/>
        </w:rPr>
        <w:t>fertiliser tax</w:t>
      </w:r>
      <w:r w:rsidRPr="00E17CEA">
        <w:t>, calibrated to nitrogen content and introduced gradually, alongside targeted support for farmers to adopt efficiency technologies; and</w:t>
      </w:r>
    </w:p>
    <w:p w14:paraId="3A202C74" w14:textId="77777777" w:rsidR="00E17CEA" w:rsidRPr="00E17CEA" w:rsidRDefault="00E17CEA" w:rsidP="00AE0176">
      <w:pPr>
        <w:pStyle w:val="Bulletlist"/>
      </w:pPr>
      <w:r w:rsidRPr="00E17CEA">
        <w:t xml:space="preserve">Incremental </w:t>
      </w:r>
      <w:r w:rsidRPr="00E17CEA">
        <w:rPr>
          <w:b/>
          <w:bCs/>
        </w:rPr>
        <w:t>air pollutant charges</w:t>
      </w:r>
      <w:r w:rsidRPr="00E17CEA">
        <w:t xml:space="preserve"> (NOx, SO₂, PM₂.₅) applied to large industrial emitters under integrated permits, complementing regulatory standards.</w:t>
      </w:r>
    </w:p>
    <w:p w14:paraId="470F7098" w14:textId="77E81441" w:rsidR="00E17CEA" w:rsidRPr="00E17CEA" w:rsidRDefault="00E17CEA" w:rsidP="00E17CEA">
      <w:r w:rsidRPr="00E17CEA">
        <w:t xml:space="preserve">To ensure </w:t>
      </w:r>
      <w:r w:rsidRPr="00E17CEA">
        <w:rPr>
          <w:b/>
          <w:bCs/>
        </w:rPr>
        <w:t>social and political feasibility</w:t>
      </w:r>
      <w:r w:rsidRPr="00E17CEA">
        <w:t xml:space="preserve">, several </w:t>
      </w:r>
      <w:r w:rsidRPr="00E17CEA">
        <w:rPr>
          <w:b/>
          <w:bCs/>
        </w:rPr>
        <w:t>actionable measures</w:t>
      </w:r>
      <w:r w:rsidRPr="00E17CEA">
        <w:t xml:space="preserve"> should accompany implementation. Phased rate increases over multiple years will allow adjustment by households and firms. Part of the additional revenues should fund reductions in labour taxation for low- and middle-income workers, improving public acceptability. Earmarking resources for environmental investment</w:t>
      </w:r>
      <w:r w:rsidR="00AE0176">
        <w:t xml:space="preserve">, </w:t>
      </w:r>
      <w:r w:rsidRPr="00E17CEA">
        <w:t>especially in southern regions and smaller municipalities</w:t>
      </w:r>
      <w:r w:rsidR="00AE0176">
        <w:t xml:space="preserve">, </w:t>
      </w:r>
      <w:r w:rsidRPr="00E17CEA">
        <w:t xml:space="preserve">can reinforce the perception of fairness. </w:t>
      </w:r>
      <w:r w:rsidR="00AE0176">
        <w:t xml:space="preserve">It </w:t>
      </w:r>
      <w:r w:rsidR="00AE0176">
        <w:lastRenderedPageBreak/>
        <w:t>should be noted that o</w:t>
      </w:r>
      <w:r w:rsidR="00AE0176" w:rsidRPr="00EA4C9B">
        <w:t>nly around 13% of the total environmental tax revenues is earmarked for environmental purposes, a percentage that has halved in the last 10 years</w:t>
      </w:r>
      <w:r w:rsidR="00AE0176" w:rsidRPr="00EA4C9B">
        <w:rPr>
          <w:rStyle w:val="FootnoteReference"/>
        </w:rPr>
        <w:footnoteReference w:id="503"/>
      </w:r>
      <w:r w:rsidR="00AE0176" w:rsidRPr="00EA4C9B">
        <w:t>.</w:t>
      </w:r>
      <w:r w:rsidR="00AE0176">
        <w:t xml:space="preserve"> </w:t>
      </w:r>
      <w:r w:rsidRPr="00E17CEA">
        <w:t>Transparent annual reporting on revenue use and achieved outcomes (e.g. reduced landfill rates, improved water quality, higher recycling rates) would help build trust.</w:t>
      </w:r>
    </w:p>
    <w:p w14:paraId="028194F1" w14:textId="1D5DF4B5" w:rsidR="00E17CEA" w:rsidRPr="00E17CEA" w:rsidRDefault="00E17CEA" w:rsidP="00E17CEA">
      <w:r w:rsidRPr="00E17CEA">
        <w:t xml:space="preserve">In the </w:t>
      </w:r>
      <w:r w:rsidRPr="00E17CEA">
        <w:rPr>
          <w:b/>
          <w:bCs/>
        </w:rPr>
        <w:t>agricultural sector</w:t>
      </w:r>
      <w:r w:rsidRPr="00E17CEA">
        <w:t xml:space="preserve">, introducing product-based instruments should go hand in hand with technical assistance, training, and access to modern equipment to avoid productivity losses. For </w:t>
      </w:r>
      <w:r w:rsidRPr="00E17CEA">
        <w:rPr>
          <w:b/>
          <w:bCs/>
        </w:rPr>
        <w:t>industry and construction</w:t>
      </w:r>
      <w:r w:rsidRPr="00E17CEA">
        <w:t>, providing time-limited investment tax credits or low-interest loans for cleaner technologies and recycling facilities can mitigate short-term competitiveness pressures while maintaining long-term incentives for innovation.</w:t>
      </w:r>
    </w:p>
    <w:p w14:paraId="4BBEC242" w14:textId="00DA2A40" w:rsidR="00E17CEA" w:rsidRDefault="00E17CEA" w:rsidP="004675E2">
      <w:r w:rsidRPr="00E17CEA">
        <w:t>In conclusion, Italy has both the fiscal and administrative capacity to expand the scope and effectiveness of environmental taxation. A coordinated, regionally balanced reform</w:t>
      </w:r>
      <w:r w:rsidR="00AE0176">
        <w:t xml:space="preserve">, </w:t>
      </w:r>
      <w:r w:rsidRPr="00E17CEA">
        <w:t>focused on wastewater, minerals, landfill, and agricultural inputs</w:t>
      </w:r>
      <w:r w:rsidR="00AE0176">
        <w:t xml:space="preserve">, </w:t>
      </w:r>
      <w:r w:rsidRPr="00E17CEA">
        <w:t>would deliver substantial environmental and fiscal gains while supporting Italy’s circular economy and decarbonisation objectives. With gradual implementation, targeted recycling, and strong transparency, these reforms could strengthen environmental performance, competitiveness, and social fairness simultaneously.</w:t>
      </w:r>
    </w:p>
    <w:p w14:paraId="16A3A6B4" w14:textId="77777777" w:rsidR="00664BE6" w:rsidRPr="00EA4C9B" w:rsidRDefault="00664BE6" w:rsidP="00200232">
      <w:pPr>
        <w:pStyle w:val="AnnexHeading1"/>
        <w:ind w:hanging="1211"/>
      </w:pPr>
      <w:bookmarkStart w:id="227" w:name="_Toc214008903"/>
      <w:r w:rsidRPr="00EA4C9B">
        <w:t>Latvia</w:t>
      </w:r>
      <w:bookmarkEnd w:id="227"/>
    </w:p>
    <w:p w14:paraId="1F3F03DC" w14:textId="77777777" w:rsidR="00664BE6" w:rsidRPr="00EA4C9B" w:rsidRDefault="00664BE6" w:rsidP="007C4EB7">
      <w:pPr>
        <w:pStyle w:val="AnnexHeading2"/>
      </w:pPr>
      <w:bookmarkStart w:id="228" w:name="_Toc214008904"/>
      <w:r w:rsidRPr="00EA4C9B">
        <w:t>Overview of environmental taxes</w:t>
      </w:r>
      <w:bookmarkEnd w:id="228"/>
    </w:p>
    <w:p w14:paraId="4F83D8CD" w14:textId="758E5AB2" w:rsidR="00664BE6" w:rsidRPr="00EA4C9B" w:rsidRDefault="00A65710" w:rsidP="00664BE6">
      <w:r w:rsidRPr="00A65710">
        <w:t>Environmental taxes in Latvia amounted to 2.4% of GDP in 2023, slightly above the EU average. While revenues have increased substantially in absolute terms over the past 15 years, their relative importance in the economy has declined. Total environmental tax revenue reached EUR 782 million in real terms in 2023 (</w:t>
      </w:r>
      <w:r w:rsidRPr="00DB5F35">
        <w:fldChar w:fldCharType="begin"/>
      </w:r>
      <w:r w:rsidRPr="00DB5F35">
        <w:instrText xml:space="preserve"> REF _Ref201232753 \h  \* MERGEFORMAT </w:instrText>
      </w:r>
      <w:r w:rsidRPr="00DB5F35">
        <w:fldChar w:fldCharType="separate"/>
      </w:r>
      <w:r w:rsidRPr="00DB5F35">
        <w:t xml:space="preserve">Figure </w:t>
      </w:r>
      <w:r>
        <w:t>A6</w:t>
      </w:r>
      <w:r w:rsidRPr="00DB5F35">
        <w:t>-</w:t>
      </w:r>
      <w:r w:rsidRPr="00DB5F35">
        <w:rPr>
          <w:noProof/>
        </w:rPr>
        <w:t>42</w:t>
      </w:r>
      <w:r w:rsidRPr="00DB5F35">
        <w:fldChar w:fldCharType="end"/>
      </w:r>
      <w:r w:rsidRPr="00A65710">
        <w:t>), representing a 72.1% increase since 2009</w:t>
      </w:r>
      <w:r w:rsidR="00B773C4">
        <w:rPr>
          <w:rStyle w:val="FootnoteReference"/>
        </w:rPr>
        <w:footnoteReference w:id="504"/>
      </w:r>
      <w:r w:rsidRPr="00A65710">
        <w:t>. Over the same period, however, the ratio of environmental taxes to GDP fell by 10.3% (</w:t>
      </w:r>
      <w:r w:rsidRPr="007D37E3">
        <w:fldChar w:fldCharType="begin"/>
      </w:r>
      <w:r w:rsidRPr="007D37E3">
        <w:instrText xml:space="preserve"> REF _Ref201232784 \h  \* MERGEFORMAT </w:instrText>
      </w:r>
      <w:r w:rsidRPr="007D37E3">
        <w:fldChar w:fldCharType="separate"/>
      </w:r>
      <w:r w:rsidRPr="007D37E3">
        <w:t xml:space="preserve">Figure </w:t>
      </w:r>
      <w:r>
        <w:t>A6</w:t>
      </w:r>
      <w:r w:rsidRPr="007D37E3">
        <w:t>-</w:t>
      </w:r>
      <w:r w:rsidRPr="007D37E3">
        <w:rPr>
          <w:noProof/>
        </w:rPr>
        <w:t>43</w:t>
      </w:r>
      <w:r w:rsidRPr="007D37E3">
        <w:fldChar w:fldCharType="end"/>
      </w:r>
      <w:r w:rsidRPr="00A65710">
        <w:t xml:space="preserve">). </w:t>
      </w:r>
      <w:r w:rsidRPr="00EA4C9B">
        <w:rPr>
          <w:lang w:eastAsia="en-GB"/>
        </w:rPr>
        <w:t>In 2023, revenues from energy and transport taxes constituted, respectively, around 79.9% and 13.5% of the total environmental tax revenues, with revenues from pollution taxes amounting to around 3.7% and the remaining 3.0% coming from resource taxes.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64BE6" w:rsidRPr="00EA4C9B" w14:paraId="5BB8994D" w14:textId="77777777" w:rsidTr="00A84F75">
        <w:tc>
          <w:tcPr>
            <w:tcW w:w="9016" w:type="dxa"/>
          </w:tcPr>
          <w:p w14:paraId="10210E10" w14:textId="77777777" w:rsidR="00664BE6" w:rsidRPr="00EA4C9B" w:rsidRDefault="00664BE6">
            <w:pPr>
              <w:spacing w:after="0"/>
              <w:jc w:val="center"/>
              <w:rPr>
                <w:sz w:val="10"/>
                <w:szCs w:val="10"/>
              </w:rPr>
            </w:pPr>
          </w:p>
          <w:p w14:paraId="5F252A44" w14:textId="77777777" w:rsidR="00664BE6" w:rsidRPr="00EA4C9B" w:rsidRDefault="00664BE6">
            <w:pPr>
              <w:spacing w:after="0"/>
              <w:jc w:val="center"/>
              <w:rPr>
                <w:sz w:val="10"/>
                <w:szCs w:val="10"/>
              </w:rPr>
            </w:pPr>
            <w:r w:rsidRPr="00EA4C9B">
              <w:rPr>
                <w:noProof/>
                <w:sz w:val="10"/>
                <w:szCs w:val="10"/>
              </w:rPr>
              <w:drawing>
                <wp:inline distT="0" distB="0" distL="0" distR="0" wp14:anchorId="61CAF244" wp14:editId="41BD01A8">
                  <wp:extent cx="5641473" cy="1177157"/>
                  <wp:effectExtent l="0" t="0" r="0" b="4445"/>
                  <wp:docPr id="2081168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8177" name="Picture 1"/>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5641473" cy="1177157"/>
                          </a:xfrm>
                          <a:prstGeom prst="rect">
                            <a:avLst/>
                          </a:prstGeom>
                        </pic:spPr>
                      </pic:pic>
                    </a:graphicData>
                  </a:graphic>
                </wp:inline>
              </w:drawing>
            </w:r>
          </w:p>
          <w:p w14:paraId="2FD36439" w14:textId="77777777" w:rsidR="00664BE6" w:rsidRPr="00EA4C9B" w:rsidRDefault="00664BE6">
            <w:pPr>
              <w:spacing w:after="0"/>
              <w:jc w:val="center"/>
              <w:rPr>
                <w:sz w:val="10"/>
                <w:szCs w:val="10"/>
              </w:rPr>
            </w:pPr>
          </w:p>
        </w:tc>
      </w:tr>
      <w:tr w:rsidR="00664BE6" w:rsidRPr="00EA4C9B" w14:paraId="05DE5265" w14:textId="77777777" w:rsidTr="00A84F75">
        <w:tc>
          <w:tcPr>
            <w:tcW w:w="9016" w:type="dxa"/>
            <w:shd w:val="clear" w:color="auto" w:fill="003399"/>
          </w:tcPr>
          <w:p w14:paraId="53DDFA76" w14:textId="2910BD6A" w:rsidR="00664BE6" w:rsidRPr="00EA4C9B" w:rsidRDefault="00282899" w:rsidP="00CD00F6">
            <w:pPr>
              <w:pStyle w:val="FigTabCaption"/>
            </w:pPr>
            <w:bookmarkStart w:id="229" w:name="_Ref201232753"/>
            <w:r w:rsidRPr="00051732">
              <w:t xml:space="preserve">Figure </w:t>
            </w:r>
            <w:r w:rsidR="00490085">
              <w:t>A6</w:t>
            </w:r>
            <w:r w:rsidRPr="00051732">
              <w:t>-</w:t>
            </w:r>
            <w:r>
              <w:fldChar w:fldCharType="begin"/>
            </w:r>
            <w:r>
              <w:instrText>SEQ Figure_A5- \* ARABIC</w:instrText>
            </w:r>
            <w:r>
              <w:fldChar w:fldCharType="separate"/>
            </w:r>
            <w:r w:rsidR="0091411A">
              <w:rPr>
                <w:noProof/>
              </w:rPr>
              <w:t>42</w:t>
            </w:r>
            <w:r>
              <w:fldChar w:fldCharType="end"/>
            </w:r>
            <w:bookmarkEnd w:id="229"/>
            <w:r w:rsidR="00664BE6" w:rsidRPr="00EA4C9B">
              <w:t>: Total environmental tax revenue in Latvia (2009-2023) in million euros</w:t>
            </w:r>
          </w:p>
        </w:tc>
      </w:tr>
    </w:tbl>
    <w:p w14:paraId="3D0B91C8" w14:textId="77777777" w:rsidR="00664BE6" w:rsidRPr="00EA4C9B" w:rsidRDefault="00664BE6" w:rsidP="00664BE6"/>
    <w:p w14:paraId="6C98236B" w14:textId="346B8716" w:rsidR="00507B9D" w:rsidRDefault="00507B9D" w:rsidP="00664BE6">
      <w:r w:rsidRPr="00507B9D">
        <w:t>In 2023, total tax revenue (including net social contributions) accounted for 33.2% of GDP, up by 4.8 percentage points from 28.4% in 2009. Environmental taxes represented 7.3% of total tax revenue in 2023, compared with 9.5% in 2009</w:t>
      </w:r>
      <w:r>
        <w:t xml:space="preserve"> </w:t>
      </w:r>
      <w:r w:rsidRPr="00507B9D">
        <w:t>—</w:t>
      </w:r>
      <w:r>
        <w:t xml:space="preserve"> </w:t>
      </w:r>
      <w:r w:rsidRPr="00507B9D">
        <w:t>a decline of 2.2 percentage points over the period. In absolute terms, the strongest decrease occurred in energy tax revenues (</w:t>
      </w:r>
      <w:r>
        <w:t>-</w:t>
      </w:r>
      <w:r w:rsidRPr="00507B9D">
        <w:t>31.5%), while resource tax revenues recorded the strongest increase (up 175.8%).</w:t>
      </w:r>
    </w:p>
    <w:p w14:paraId="7FE47C1F" w14:textId="41CDF189" w:rsidR="00664BE6" w:rsidRPr="00EA4C9B" w:rsidRDefault="00664BE6" w:rsidP="00664BE6"/>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64BE6" w:rsidRPr="00EA4C9B" w14:paraId="548FEC89" w14:textId="77777777" w:rsidTr="00BA7936">
        <w:tc>
          <w:tcPr>
            <w:tcW w:w="9016" w:type="dxa"/>
          </w:tcPr>
          <w:p w14:paraId="7B7AA2A0" w14:textId="77777777" w:rsidR="00664BE6" w:rsidRPr="00EA4C9B" w:rsidRDefault="00664BE6">
            <w:pPr>
              <w:spacing w:after="0"/>
              <w:jc w:val="center"/>
              <w:rPr>
                <w:sz w:val="10"/>
                <w:szCs w:val="10"/>
              </w:rPr>
            </w:pPr>
          </w:p>
          <w:p w14:paraId="2ABDCD96" w14:textId="77777777" w:rsidR="00664BE6" w:rsidRPr="00EA4C9B" w:rsidRDefault="00664BE6">
            <w:pPr>
              <w:spacing w:after="0"/>
              <w:jc w:val="center"/>
              <w:rPr>
                <w:sz w:val="10"/>
                <w:szCs w:val="10"/>
              </w:rPr>
            </w:pPr>
            <w:r w:rsidRPr="00EA4C9B">
              <w:rPr>
                <w:noProof/>
                <w:sz w:val="10"/>
                <w:szCs w:val="10"/>
              </w:rPr>
              <w:drawing>
                <wp:inline distT="0" distB="0" distL="0" distR="0" wp14:anchorId="0AF5538A" wp14:editId="00928FE1">
                  <wp:extent cx="5644858" cy="1712964"/>
                  <wp:effectExtent l="0" t="0" r="0" b="1905"/>
                  <wp:docPr id="496267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00597" name="Picture 2"/>
                          <pic:cNvPicPr/>
                        </pic:nvPicPr>
                        <pic:blipFill>
                          <a:blip r:embed="rId90">
                            <a:extLst>
                              <a:ext uri="{96DAC541-7B7A-43D3-8B79-37D633B846F1}">
                                <asvg:svgBlip xmlns:asvg="http://schemas.microsoft.com/office/drawing/2016/SVG/main" r:embed="rId91"/>
                              </a:ext>
                            </a:extLst>
                          </a:blip>
                          <a:stretch>
                            <a:fillRect/>
                          </a:stretch>
                        </pic:blipFill>
                        <pic:spPr>
                          <a:xfrm>
                            <a:off x="0" y="0"/>
                            <a:ext cx="5644858" cy="1712964"/>
                          </a:xfrm>
                          <a:prstGeom prst="rect">
                            <a:avLst/>
                          </a:prstGeom>
                        </pic:spPr>
                      </pic:pic>
                    </a:graphicData>
                  </a:graphic>
                </wp:inline>
              </w:drawing>
            </w:r>
          </w:p>
          <w:p w14:paraId="4E84B7E7" w14:textId="77777777" w:rsidR="00664BE6" w:rsidRPr="00EA4C9B" w:rsidRDefault="00664BE6">
            <w:pPr>
              <w:spacing w:after="0"/>
              <w:jc w:val="center"/>
              <w:rPr>
                <w:sz w:val="10"/>
                <w:szCs w:val="10"/>
              </w:rPr>
            </w:pPr>
          </w:p>
        </w:tc>
      </w:tr>
      <w:tr w:rsidR="00664BE6" w:rsidRPr="00EA4C9B" w14:paraId="28FD0C45" w14:textId="77777777" w:rsidTr="00BA7936">
        <w:tc>
          <w:tcPr>
            <w:tcW w:w="9016" w:type="dxa"/>
            <w:shd w:val="clear" w:color="auto" w:fill="003399"/>
          </w:tcPr>
          <w:p w14:paraId="307238E2" w14:textId="20521365" w:rsidR="00664BE6" w:rsidRPr="00EA4C9B" w:rsidRDefault="00282899" w:rsidP="00CD00F6">
            <w:pPr>
              <w:pStyle w:val="FigTabCaption"/>
            </w:pPr>
            <w:bookmarkStart w:id="230" w:name="_Ref201232784"/>
            <w:r w:rsidRPr="00051732">
              <w:t xml:space="preserve">Figure </w:t>
            </w:r>
            <w:r w:rsidR="00490085">
              <w:t>A6</w:t>
            </w:r>
            <w:r w:rsidRPr="00051732">
              <w:t>-</w:t>
            </w:r>
            <w:r>
              <w:fldChar w:fldCharType="begin"/>
            </w:r>
            <w:r>
              <w:instrText>SEQ Figure_A5- \* ARABIC</w:instrText>
            </w:r>
            <w:r>
              <w:fldChar w:fldCharType="separate"/>
            </w:r>
            <w:r w:rsidR="0091411A">
              <w:rPr>
                <w:noProof/>
              </w:rPr>
              <w:t>43</w:t>
            </w:r>
            <w:r>
              <w:fldChar w:fldCharType="end"/>
            </w:r>
            <w:bookmarkEnd w:id="230"/>
            <w:r w:rsidR="00664BE6" w:rsidRPr="00EA4C9B">
              <w:t>: Fifteen-year (2009-2023) change in absolute terms and change as GDP-ratio of the revenues of energy taxes, transport taxes, resource taxes, pollution taxes and total environmental taxes in Latvia</w:t>
            </w:r>
            <w:r w:rsidR="00942947">
              <w:t xml:space="preserve"> </w:t>
            </w:r>
          </w:p>
        </w:tc>
      </w:tr>
    </w:tbl>
    <w:p w14:paraId="0ECC8890" w14:textId="77777777" w:rsidR="00664BE6" w:rsidRPr="00EA4C9B" w:rsidRDefault="00664BE6" w:rsidP="00664BE6"/>
    <w:p w14:paraId="579FB974" w14:textId="77777777" w:rsidR="00664BE6" w:rsidRPr="00EA4C9B" w:rsidRDefault="00664BE6" w:rsidP="007C4EB7">
      <w:pPr>
        <w:pStyle w:val="AnnexHeading2"/>
      </w:pPr>
      <w:bookmarkStart w:id="231" w:name="_Toc214008905"/>
      <w:r w:rsidRPr="00EA4C9B">
        <w:t>Existing pollution and resource taxes</w:t>
      </w:r>
      <w:bookmarkEnd w:id="231"/>
    </w:p>
    <w:p w14:paraId="259A7960" w14:textId="07BEDCDE" w:rsidR="00664BE6" w:rsidRPr="00EA4C9B" w:rsidRDefault="00664BE6" w:rsidP="00664BE6">
      <w:r w:rsidRPr="00EA4C9B">
        <w:t>In 2023, pollution and resource tax revenues reached respectively 28.6 and 23.5 million euros. These amount to increases in absolute terms of — respectively — 333.3% and 518.4% over 15 years (2009-2023). However, in terms of GDP-ratios, pollution taxes increased by 125.7% while resource taxes increased by 222.6% (</w:t>
      </w:r>
      <w:r w:rsidR="00F422E1" w:rsidRPr="00F422E1">
        <w:fldChar w:fldCharType="begin"/>
      </w:r>
      <w:r w:rsidR="00F422E1" w:rsidRPr="00F422E1">
        <w:instrText xml:space="preserve"> REF _Ref201232784 \h  \* MERGEFORMAT </w:instrText>
      </w:r>
      <w:r w:rsidR="00F422E1" w:rsidRPr="00F422E1">
        <w:fldChar w:fldCharType="separate"/>
      </w:r>
      <w:r w:rsidR="00F422E1" w:rsidRPr="00F422E1">
        <w:t xml:space="preserve">Figure </w:t>
      </w:r>
      <w:r w:rsidR="00490085">
        <w:t>A6</w:t>
      </w:r>
      <w:r w:rsidR="00F422E1" w:rsidRPr="00F422E1">
        <w:t>-</w:t>
      </w:r>
      <w:r w:rsidR="00F422E1" w:rsidRPr="00F422E1">
        <w:rPr>
          <w:noProof/>
        </w:rPr>
        <w:t>43</w:t>
      </w:r>
      <w:r w:rsidR="00F422E1" w:rsidRPr="00F422E1">
        <w:fldChar w:fldCharType="end"/>
      </w:r>
      <w:r w:rsidRPr="00F422E1">
        <w:t>).</w:t>
      </w:r>
      <w:r w:rsidRPr="00EA4C9B">
        <w:t xml:space="preserve"> </w:t>
      </w:r>
      <w:r w:rsidRPr="00EA4C9B">
        <w:rPr>
          <w:lang w:eastAsia="en-GB"/>
        </w:rPr>
        <w:t>In 2022, 2.1% of pollution and resource taxes revenues were collected from households, while businesses classified under NACE economic activities paid 97.9%, with “Sewerage, waste management, remediation activities” responsible for the largest share within those businesses (54.5%).</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64BE6" w:rsidRPr="00EA4C9B" w14:paraId="021DC1F3" w14:textId="77777777" w:rsidTr="003D26BA">
        <w:tc>
          <w:tcPr>
            <w:tcW w:w="9016" w:type="dxa"/>
          </w:tcPr>
          <w:p w14:paraId="322F105F" w14:textId="77777777" w:rsidR="00664BE6" w:rsidRPr="00EA4C9B" w:rsidRDefault="00664BE6">
            <w:pPr>
              <w:spacing w:after="0"/>
              <w:jc w:val="center"/>
              <w:rPr>
                <w:sz w:val="10"/>
                <w:szCs w:val="10"/>
              </w:rPr>
            </w:pPr>
          </w:p>
          <w:p w14:paraId="5293E4B4" w14:textId="77777777" w:rsidR="00664BE6" w:rsidRPr="00EA4C9B" w:rsidRDefault="00664BE6">
            <w:pPr>
              <w:spacing w:after="0"/>
              <w:jc w:val="center"/>
              <w:rPr>
                <w:sz w:val="10"/>
                <w:szCs w:val="10"/>
              </w:rPr>
            </w:pPr>
            <w:r w:rsidRPr="00EA4C9B">
              <w:rPr>
                <w:noProof/>
                <w:sz w:val="10"/>
                <w:szCs w:val="10"/>
              </w:rPr>
              <w:drawing>
                <wp:inline distT="0" distB="0" distL="0" distR="0" wp14:anchorId="11A66DCD" wp14:editId="38CF1AC1">
                  <wp:extent cx="5290113" cy="1228806"/>
                  <wp:effectExtent l="0" t="0" r="6350" b="3175"/>
                  <wp:docPr id="583698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64072" name="Picture 4"/>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5290113" cy="1228806"/>
                          </a:xfrm>
                          <a:prstGeom prst="rect">
                            <a:avLst/>
                          </a:prstGeom>
                        </pic:spPr>
                      </pic:pic>
                    </a:graphicData>
                  </a:graphic>
                </wp:inline>
              </w:drawing>
            </w:r>
          </w:p>
          <w:p w14:paraId="0EB99F37" w14:textId="77777777" w:rsidR="00664BE6" w:rsidRPr="00EA4C9B" w:rsidRDefault="00664BE6">
            <w:pPr>
              <w:spacing w:after="0"/>
              <w:jc w:val="center"/>
              <w:rPr>
                <w:sz w:val="10"/>
                <w:szCs w:val="10"/>
              </w:rPr>
            </w:pPr>
          </w:p>
        </w:tc>
      </w:tr>
      <w:tr w:rsidR="00664BE6" w:rsidRPr="00EA4C9B" w14:paraId="632F120F" w14:textId="77777777" w:rsidTr="003D26BA">
        <w:tc>
          <w:tcPr>
            <w:tcW w:w="9016" w:type="dxa"/>
            <w:shd w:val="clear" w:color="auto" w:fill="003399"/>
          </w:tcPr>
          <w:p w14:paraId="4AA626E6" w14:textId="41DC6EBE" w:rsidR="00664BE6" w:rsidRPr="00EA4C9B" w:rsidRDefault="00282899" w:rsidP="00CD00F6">
            <w:pPr>
              <w:pStyle w:val="FigTabCaption"/>
              <w:rPr>
                <w:bCs/>
              </w:rPr>
            </w:pPr>
            <w:r w:rsidRPr="00051732">
              <w:t xml:space="preserve">Figure </w:t>
            </w:r>
            <w:r w:rsidR="00490085">
              <w:t>A6</w:t>
            </w:r>
            <w:r w:rsidRPr="00051732">
              <w:t>-</w:t>
            </w:r>
            <w:r>
              <w:fldChar w:fldCharType="begin"/>
            </w:r>
            <w:r>
              <w:instrText>SEQ Figure_A5- \* ARABIC</w:instrText>
            </w:r>
            <w:r>
              <w:fldChar w:fldCharType="separate"/>
            </w:r>
            <w:r w:rsidR="0091411A">
              <w:rPr>
                <w:noProof/>
              </w:rPr>
              <w:t>44</w:t>
            </w:r>
            <w:r>
              <w:fldChar w:fldCharType="end"/>
            </w:r>
            <w:r w:rsidR="00664BE6" w:rsidRPr="00EA4C9B">
              <w:t>: Resource and pollution tax revenues in Latvia (2009-2023) in million euros</w:t>
            </w:r>
            <w:r w:rsidR="00664BE6" w:rsidRPr="00EA4C9B">
              <w:rPr>
                <w:bCs/>
              </w:rPr>
              <w:t xml:space="preserve">. </w:t>
            </w:r>
            <w:r w:rsidR="00664BE6" w:rsidRPr="00EA4C9B">
              <w:rPr>
                <w:rFonts w:ascii="Calibri" w:eastAsia="Calibri" w:hAnsi="Calibri" w:cs="Calibri"/>
                <w:i/>
                <w:iCs/>
              </w:rPr>
              <w:t>Note: the share between pollution and resource taxes in 2023 was estimated as the weighted average of past years</w:t>
            </w:r>
            <w:r w:rsidR="00664BE6" w:rsidRPr="00EA4C9B">
              <w:rPr>
                <w:rFonts w:ascii="Calibri" w:eastAsia="Calibri" w:hAnsi="Calibri" w:cs="Calibri"/>
              </w:rPr>
              <w:t> </w:t>
            </w:r>
          </w:p>
        </w:tc>
      </w:tr>
    </w:tbl>
    <w:p w14:paraId="2D96CE4C" w14:textId="77777777" w:rsidR="00A00DA3" w:rsidRPr="00A00DA3" w:rsidRDefault="00A00DA3" w:rsidP="00A00DA3">
      <w:pPr>
        <w:pStyle w:val="Heading4"/>
      </w:pPr>
      <w:r w:rsidRPr="00A00DA3">
        <w:t>List of pollution and resource taxes and revenue shares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69"/>
        <w:gridCol w:w="1985"/>
        <w:gridCol w:w="1842"/>
        <w:gridCol w:w="2160"/>
      </w:tblGrid>
      <w:tr w:rsidR="00664BE6" w:rsidRPr="00EA4C9B" w14:paraId="263FF8EA" w14:textId="77777777" w:rsidTr="00AE0176">
        <w:trPr>
          <w:trHeight w:val="120"/>
          <w:tblHeader/>
        </w:trPr>
        <w:tc>
          <w:tcPr>
            <w:tcW w:w="8956" w:type="dxa"/>
            <w:gridSpan w:val="4"/>
            <w:tcBorders>
              <w:top w:val="single" w:sz="6" w:space="0" w:color="auto"/>
              <w:left w:val="single" w:sz="6" w:space="0" w:color="auto"/>
              <w:bottom w:val="single" w:sz="6" w:space="0" w:color="auto"/>
              <w:right w:val="single" w:sz="6" w:space="0" w:color="auto"/>
            </w:tcBorders>
            <w:shd w:val="clear" w:color="auto" w:fill="003399"/>
          </w:tcPr>
          <w:p w14:paraId="3BD99BEF" w14:textId="22EF7D94" w:rsidR="00664BE6" w:rsidRPr="00F23CBA" w:rsidRDefault="00282899" w:rsidP="00F23CBA">
            <w:pPr>
              <w:pStyle w:val="Table"/>
              <w:rPr>
                <w:rFonts w:ascii="Calibri" w:eastAsia="Calibri" w:hAnsi="Calibri" w:cs="Calibri"/>
                <w:b/>
                <w:szCs w:val="20"/>
              </w:rPr>
            </w:pPr>
            <w:r w:rsidRPr="00F23CBA">
              <w:rPr>
                <w:b/>
                <w:color w:val="FFFFFF" w:themeColor="background1"/>
              </w:rPr>
              <w:t xml:space="preserve">Table </w:t>
            </w:r>
            <w:r w:rsidR="00490085">
              <w:rPr>
                <w:b/>
                <w:color w:val="FFFFFF" w:themeColor="background1"/>
              </w:rPr>
              <w:t>A6</w:t>
            </w:r>
            <w:r w:rsidR="00F23CBA" w:rsidRPr="00F23CBA">
              <w:rPr>
                <w:b/>
                <w:bCs/>
                <w:color w:val="FFFFFF" w:themeColor="background1"/>
              </w:rPr>
              <w:t>-</w:t>
            </w:r>
            <w:r w:rsidR="00F23CBA" w:rsidRPr="00F23CBA">
              <w:rPr>
                <w:b/>
                <w:bCs/>
                <w:color w:val="FFFFFF" w:themeColor="background1"/>
              </w:rPr>
              <w:fldChar w:fldCharType="begin"/>
            </w:r>
            <w:r w:rsidR="00F23CBA" w:rsidRPr="00F23CBA">
              <w:rPr>
                <w:b/>
                <w:bCs/>
                <w:color w:val="FFFFFF" w:themeColor="background1"/>
              </w:rPr>
              <w:instrText xml:space="preserve"> SEQ Table_A5- \* ARABIC </w:instrText>
            </w:r>
            <w:r w:rsidR="00F23CBA" w:rsidRPr="00F23CBA">
              <w:rPr>
                <w:b/>
                <w:bCs/>
                <w:color w:val="FFFFFF" w:themeColor="background1"/>
              </w:rPr>
              <w:fldChar w:fldCharType="separate"/>
            </w:r>
            <w:r w:rsidR="00AE0176">
              <w:rPr>
                <w:b/>
                <w:bCs/>
                <w:noProof/>
                <w:color w:val="FFFFFF" w:themeColor="background1"/>
              </w:rPr>
              <w:t>81</w:t>
            </w:r>
            <w:r w:rsidR="00F23CBA" w:rsidRPr="00F23CBA">
              <w:rPr>
                <w:b/>
                <w:bCs/>
                <w:color w:val="FFFFFF" w:themeColor="background1"/>
              </w:rPr>
              <w:fldChar w:fldCharType="end"/>
            </w:r>
            <w:r w:rsidR="00664BE6" w:rsidRPr="00F23CBA">
              <w:rPr>
                <w:rFonts w:ascii="Calibri" w:eastAsia="Calibri" w:hAnsi="Calibri" w:cs="Calibri"/>
                <w:b/>
                <w:color w:val="FFFFFF" w:themeColor="background1"/>
                <w:szCs w:val="20"/>
              </w:rPr>
              <w:t>:  Resource taxes </w:t>
            </w:r>
          </w:p>
        </w:tc>
      </w:tr>
      <w:tr w:rsidR="00664BE6" w:rsidRPr="00EA4C9B" w14:paraId="44BB5881" w14:textId="77777777" w:rsidTr="00AE0176">
        <w:trPr>
          <w:trHeight w:val="45"/>
          <w:tblHeader/>
        </w:trPr>
        <w:tc>
          <w:tcPr>
            <w:tcW w:w="2969" w:type="dxa"/>
            <w:tcBorders>
              <w:top w:val="single" w:sz="6" w:space="0" w:color="auto"/>
              <w:left w:val="single" w:sz="6" w:space="0" w:color="auto"/>
              <w:bottom w:val="single" w:sz="6" w:space="0" w:color="auto"/>
              <w:right w:val="single" w:sz="6" w:space="0" w:color="auto"/>
            </w:tcBorders>
          </w:tcPr>
          <w:p w14:paraId="7F3D01B8" w14:textId="77777777" w:rsidR="00664BE6" w:rsidRPr="00EA4C9B" w:rsidRDefault="00664BE6" w:rsidP="00F23CBA">
            <w:pPr>
              <w:pStyle w:val="Table"/>
              <w:rPr>
                <w:rFonts w:ascii="Calibri" w:eastAsia="Calibri" w:hAnsi="Calibri" w:cs="Calibri"/>
                <w:szCs w:val="20"/>
              </w:rPr>
            </w:pPr>
            <w:r w:rsidRPr="00EA4C9B">
              <w:rPr>
                <w:rFonts w:ascii="Calibri" w:eastAsia="Calibri" w:hAnsi="Calibri" w:cs="Calibri"/>
                <w:b/>
                <w:szCs w:val="20"/>
              </w:rPr>
              <w:t>Tax Name</w:t>
            </w:r>
            <w:r w:rsidRPr="00EA4C9B">
              <w:rPr>
                <w:rFonts w:ascii="Calibri" w:eastAsia="Calibri" w:hAnsi="Calibri" w:cs="Calibri"/>
                <w:szCs w:val="20"/>
              </w:rPr>
              <w:t> </w:t>
            </w:r>
          </w:p>
        </w:tc>
        <w:tc>
          <w:tcPr>
            <w:tcW w:w="1985" w:type="dxa"/>
            <w:tcBorders>
              <w:top w:val="single" w:sz="6" w:space="0" w:color="auto"/>
              <w:left w:val="single" w:sz="6" w:space="0" w:color="auto"/>
              <w:bottom w:val="single" w:sz="6" w:space="0" w:color="auto"/>
              <w:right w:val="single" w:sz="6" w:space="0" w:color="auto"/>
            </w:tcBorders>
          </w:tcPr>
          <w:p w14:paraId="6277F271" w14:textId="77777777" w:rsidR="00664BE6" w:rsidRPr="00EA4C9B" w:rsidRDefault="00664BE6" w:rsidP="00AE0176">
            <w:pPr>
              <w:pStyle w:val="Table"/>
              <w:jc w:val="center"/>
              <w:rPr>
                <w:rFonts w:ascii="Calibri" w:eastAsia="Calibri" w:hAnsi="Calibri" w:cs="Calibri"/>
                <w:szCs w:val="20"/>
              </w:rPr>
            </w:pPr>
            <w:r w:rsidRPr="00EA4C9B">
              <w:rPr>
                <w:rFonts w:ascii="Calibri" w:eastAsia="Calibri" w:hAnsi="Calibri" w:cs="Calibri"/>
                <w:b/>
                <w:szCs w:val="20"/>
              </w:rPr>
              <w:t>Revenue (€ million)</w:t>
            </w:r>
          </w:p>
          <w:p w14:paraId="2E9CC9F8" w14:textId="77777777" w:rsidR="00664BE6" w:rsidRPr="00EA4C9B" w:rsidRDefault="00664BE6" w:rsidP="00AE0176">
            <w:pPr>
              <w:pStyle w:val="Table"/>
              <w:jc w:val="center"/>
              <w:rPr>
                <w:rFonts w:ascii="Calibri" w:eastAsia="Calibri" w:hAnsi="Calibri" w:cs="Calibri"/>
                <w:szCs w:val="20"/>
              </w:rPr>
            </w:pPr>
            <w:r w:rsidRPr="00EA4C9B">
              <w:rPr>
                <w:rFonts w:ascii="Calibri" w:eastAsia="Calibri" w:hAnsi="Calibri" w:cs="Calibri"/>
                <w:b/>
                <w:szCs w:val="20"/>
              </w:rPr>
              <w:t>2009-2023</w:t>
            </w:r>
          </w:p>
        </w:tc>
        <w:tc>
          <w:tcPr>
            <w:tcW w:w="1842" w:type="dxa"/>
            <w:tcBorders>
              <w:top w:val="single" w:sz="6" w:space="0" w:color="auto"/>
              <w:left w:val="single" w:sz="6" w:space="0" w:color="auto"/>
              <w:bottom w:val="single" w:sz="6" w:space="0" w:color="auto"/>
              <w:right w:val="single" w:sz="6" w:space="0" w:color="auto"/>
            </w:tcBorders>
          </w:tcPr>
          <w:p w14:paraId="4FFCFEAB" w14:textId="77777777" w:rsidR="00664BE6" w:rsidRPr="00EA4C9B" w:rsidRDefault="00664BE6" w:rsidP="00AE0176">
            <w:pPr>
              <w:pStyle w:val="Table"/>
              <w:jc w:val="center"/>
              <w:rPr>
                <w:rFonts w:ascii="Calibri" w:eastAsia="Calibri" w:hAnsi="Calibri" w:cs="Calibri"/>
                <w:szCs w:val="20"/>
              </w:rPr>
            </w:pPr>
            <w:r w:rsidRPr="00EA4C9B">
              <w:rPr>
                <w:rFonts w:ascii="Calibri" w:eastAsia="Calibri" w:hAnsi="Calibri" w:cs="Calibri"/>
                <w:b/>
                <w:szCs w:val="20"/>
              </w:rPr>
              <w:t>Average annual revenue (€ million)</w:t>
            </w:r>
          </w:p>
        </w:tc>
        <w:tc>
          <w:tcPr>
            <w:tcW w:w="2160" w:type="dxa"/>
            <w:tcBorders>
              <w:top w:val="single" w:sz="6" w:space="0" w:color="auto"/>
              <w:left w:val="single" w:sz="6" w:space="0" w:color="auto"/>
              <w:bottom w:val="single" w:sz="6" w:space="0" w:color="auto"/>
              <w:right w:val="single" w:sz="6" w:space="0" w:color="auto"/>
            </w:tcBorders>
          </w:tcPr>
          <w:p w14:paraId="37C2BC37" w14:textId="77777777" w:rsidR="00664BE6" w:rsidRPr="00EA4C9B" w:rsidRDefault="00664BE6" w:rsidP="00AE0176">
            <w:pPr>
              <w:pStyle w:val="Table"/>
              <w:jc w:val="center"/>
              <w:rPr>
                <w:rFonts w:ascii="Calibri" w:eastAsia="Calibri" w:hAnsi="Calibri" w:cs="Calibri"/>
                <w:szCs w:val="20"/>
              </w:rPr>
            </w:pPr>
            <w:r w:rsidRPr="00EA4C9B">
              <w:rPr>
                <w:rFonts w:ascii="Calibri" w:eastAsia="Calibri" w:hAnsi="Calibri" w:cs="Calibri"/>
                <w:b/>
                <w:szCs w:val="20"/>
              </w:rPr>
              <w:t>As share of all resource tax revenues</w:t>
            </w:r>
          </w:p>
        </w:tc>
      </w:tr>
      <w:tr w:rsidR="00664BE6" w:rsidRPr="00EA4C9B" w14:paraId="12901F8D" w14:textId="77777777" w:rsidTr="00664BE6">
        <w:trPr>
          <w:trHeight w:val="90"/>
        </w:trPr>
        <w:tc>
          <w:tcPr>
            <w:tcW w:w="2969" w:type="dxa"/>
            <w:tcBorders>
              <w:top w:val="single" w:sz="6" w:space="0" w:color="auto"/>
              <w:left w:val="single" w:sz="6" w:space="0" w:color="auto"/>
              <w:bottom w:val="single" w:sz="6" w:space="0" w:color="auto"/>
              <w:right w:val="single" w:sz="6" w:space="0" w:color="auto"/>
            </w:tcBorders>
          </w:tcPr>
          <w:p w14:paraId="623F347D" w14:textId="77777777" w:rsidR="00664BE6" w:rsidRPr="00EA4C9B" w:rsidRDefault="00664BE6" w:rsidP="00F23CBA">
            <w:pPr>
              <w:pStyle w:val="Table"/>
              <w:rPr>
                <w:rFonts w:ascii="Calibri" w:eastAsia="Calibri" w:hAnsi="Calibri" w:cs="Calibri"/>
                <w:szCs w:val="20"/>
              </w:rPr>
            </w:pPr>
            <w:r w:rsidRPr="00EA4C9B">
              <w:rPr>
                <w:rFonts w:ascii="Calibri" w:eastAsia="Calibri" w:hAnsi="Calibri" w:cs="Calibri"/>
                <w:szCs w:val="20"/>
              </w:rPr>
              <w:t>Natural resources tax</w:t>
            </w:r>
          </w:p>
        </w:tc>
        <w:tc>
          <w:tcPr>
            <w:tcW w:w="1985" w:type="dxa"/>
            <w:tcBorders>
              <w:top w:val="single" w:sz="6" w:space="0" w:color="auto"/>
              <w:left w:val="single" w:sz="6" w:space="0" w:color="auto"/>
              <w:bottom w:val="single" w:sz="6" w:space="0" w:color="auto"/>
              <w:right w:val="single" w:sz="6" w:space="0" w:color="auto"/>
            </w:tcBorders>
          </w:tcPr>
          <w:p w14:paraId="2DCD8145" w14:textId="77777777" w:rsidR="00664BE6" w:rsidRPr="00EA4C9B" w:rsidRDefault="00664BE6" w:rsidP="00AE0176">
            <w:pPr>
              <w:pStyle w:val="Table"/>
              <w:jc w:val="center"/>
              <w:rPr>
                <w:rFonts w:ascii="Calibri" w:eastAsia="Calibri" w:hAnsi="Calibri" w:cs="Calibri"/>
                <w:szCs w:val="20"/>
              </w:rPr>
            </w:pPr>
            <w:r w:rsidRPr="00EA4C9B">
              <w:rPr>
                <w:rFonts w:ascii="Calibri" w:eastAsia="Calibri" w:hAnsi="Calibri" w:cs="Calibri"/>
                <w:szCs w:val="20"/>
              </w:rPr>
              <w:t>395.16</w:t>
            </w:r>
          </w:p>
        </w:tc>
        <w:tc>
          <w:tcPr>
            <w:tcW w:w="1842" w:type="dxa"/>
            <w:tcBorders>
              <w:top w:val="single" w:sz="6" w:space="0" w:color="auto"/>
              <w:left w:val="single" w:sz="6" w:space="0" w:color="auto"/>
              <w:bottom w:val="single" w:sz="6" w:space="0" w:color="auto"/>
              <w:right w:val="single" w:sz="6" w:space="0" w:color="auto"/>
            </w:tcBorders>
          </w:tcPr>
          <w:p w14:paraId="3FE4F016" w14:textId="77777777" w:rsidR="00664BE6" w:rsidRPr="00EA4C9B" w:rsidRDefault="00664BE6" w:rsidP="00AE0176">
            <w:pPr>
              <w:pStyle w:val="Table"/>
              <w:jc w:val="center"/>
              <w:rPr>
                <w:rFonts w:ascii="Calibri" w:eastAsia="Calibri" w:hAnsi="Calibri" w:cs="Calibri"/>
                <w:szCs w:val="20"/>
              </w:rPr>
            </w:pPr>
            <w:r w:rsidRPr="00EA4C9B">
              <w:rPr>
                <w:rFonts w:ascii="Calibri" w:eastAsia="Calibri" w:hAnsi="Calibri" w:cs="Calibri"/>
                <w:szCs w:val="20"/>
              </w:rPr>
              <w:t>26.34</w:t>
            </w:r>
          </w:p>
        </w:tc>
        <w:tc>
          <w:tcPr>
            <w:tcW w:w="2160" w:type="dxa"/>
            <w:tcBorders>
              <w:top w:val="single" w:sz="6" w:space="0" w:color="auto"/>
              <w:left w:val="single" w:sz="6" w:space="0" w:color="auto"/>
              <w:bottom w:val="single" w:sz="6" w:space="0" w:color="auto"/>
              <w:right w:val="single" w:sz="6" w:space="0" w:color="auto"/>
            </w:tcBorders>
          </w:tcPr>
          <w:p w14:paraId="4CDB426D" w14:textId="77777777" w:rsidR="00664BE6" w:rsidRPr="00EA4C9B" w:rsidRDefault="00664BE6" w:rsidP="00AE0176">
            <w:pPr>
              <w:pStyle w:val="Table"/>
              <w:jc w:val="center"/>
              <w:rPr>
                <w:rFonts w:ascii="Calibri" w:eastAsia="Calibri" w:hAnsi="Calibri" w:cs="Calibri"/>
                <w:szCs w:val="20"/>
              </w:rPr>
            </w:pPr>
            <w:r w:rsidRPr="00EA4C9B">
              <w:rPr>
                <w:rFonts w:ascii="Calibri" w:eastAsia="Calibri" w:hAnsi="Calibri" w:cs="Calibri"/>
                <w:szCs w:val="20"/>
              </w:rPr>
              <w:t>95.9%</w:t>
            </w:r>
          </w:p>
        </w:tc>
      </w:tr>
      <w:tr w:rsidR="00664BE6" w:rsidRPr="00EA4C9B" w14:paraId="30A6120B" w14:textId="77777777" w:rsidTr="00664BE6">
        <w:trPr>
          <w:trHeight w:val="75"/>
        </w:trPr>
        <w:tc>
          <w:tcPr>
            <w:tcW w:w="2969" w:type="dxa"/>
            <w:tcBorders>
              <w:top w:val="single" w:sz="6" w:space="0" w:color="auto"/>
              <w:left w:val="single" w:sz="6" w:space="0" w:color="auto"/>
              <w:bottom w:val="single" w:sz="6" w:space="0" w:color="auto"/>
              <w:right w:val="single" w:sz="6" w:space="0" w:color="auto"/>
            </w:tcBorders>
          </w:tcPr>
          <w:p w14:paraId="3E17106E" w14:textId="77777777" w:rsidR="00664BE6" w:rsidRPr="00EA4C9B" w:rsidRDefault="00664BE6" w:rsidP="00F23CBA">
            <w:pPr>
              <w:pStyle w:val="Table"/>
              <w:rPr>
                <w:rFonts w:ascii="Calibri" w:eastAsia="Calibri" w:hAnsi="Calibri" w:cs="Calibri"/>
                <w:szCs w:val="20"/>
              </w:rPr>
            </w:pPr>
            <w:r w:rsidRPr="00EA4C9B">
              <w:rPr>
                <w:rFonts w:ascii="Calibri" w:eastAsia="Calibri" w:hAnsi="Calibri" w:cs="Calibri"/>
                <w:szCs w:val="20"/>
              </w:rPr>
              <w:t>Payment for rental of commercial fishing rights</w:t>
            </w:r>
          </w:p>
        </w:tc>
        <w:tc>
          <w:tcPr>
            <w:tcW w:w="1985" w:type="dxa"/>
            <w:tcBorders>
              <w:top w:val="single" w:sz="6" w:space="0" w:color="auto"/>
              <w:left w:val="single" w:sz="6" w:space="0" w:color="auto"/>
              <w:bottom w:val="single" w:sz="6" w:space="0" w:color="auto"/>
              <w:right w:val="single" w:sz="6" w:space="0" w:color="auto"/>
            </w:tcBorders>
          </w:tcPr>
          <w:p w14:paraId="15DE2C3F" w14:textId="77777777" w:rsidR="00664BE6" w:rsidRPr="00EA4C9B" w:rsidRDefault="00664BE6" w:rsidP="00AE0176">
            <w:pPr>
              <w:pStyle w:val="Table"/>
              <w:jc w:val="center"/>
              <w:rPr>
                <w:rFonts w:ascii="Calibri" w:eastAsia="Calibri" w:hAnsi="Calibri" w:cs="Calibri"/>
                <w:szCs w:val="20"/>
              </w:rPr>
            </w:pPr>
            <w:r w:rsidRPr="00EA4C9B">
              <w:rPr>
                <w:rFonts w:ascii="Calibri" w:eastAsia="Calibri" w:hAnsi="Calibri" w:cs="Calibri"/>
                <w:szCs w:val="20"/>
              </w:rPr>
              <w:t>N/A</w:t>
            </w:r>
          </w:p>
        </w:tc>
        <w:tc>
          <w:tcPr>
            <w:tcW w:w="1842" w:type="dxa"/>
            <w:tcBorders>
              <w:top w:val="single" w:sz="6" w:space="0" w:color="auto"/>
              <w:left w:val="single" w:sz="6" w:space="0" w:color="auto"/>
              <w:bottom w:val="single" w:sz="6" w:space="0" w:color="auto"/>
              <w:right w:val="single" w:sz="6" w:space="0" w:color="auto"/>
            </w:tcBorders>
          </w:tcPr>
          <w:p w14:paraId="07543007" w14:textId="77777777" w:rsidR="00664BE6" w:rsidRPr="00EA4C9B" w:rsidRDefault="00664BE6" w:rsidP="00AE0176">
            <w:pPr>
              <w:pStyle w:val="Table"/>
              <w:jc w:val="center"/>
              <w:rPr>
                <w:rFonts w:ascii="Calibri" w:eastAsia="Calibri" w:hAnsi="Calibri" w:cs="Calibri"/>
                <w:szCs w:val="20"/>
              </w:rPr>
            </w:pPr>
            <w:r w:rsidRPr="00EA4C9B">
              <w:rPr>
                <w:rFonts w:ascii="Calibri" w:eastAsia="Calibri" w:hAnsi="Calibri" w:cs="Calibri"/>
                <w:szCs w:val="20"/>
              </w:rPr>
              <w:t>N/A</w:t>
            </w:r>
          </w:p>
        </w:tc>
        <w:tc>
          <w:tcPr>
            <w:tcW w:w="2160" w:type="dxa"/>
            <w:tcBorders>
              <w:top w:val="single" w:sz="6" w:space="0" w:color="auto"/>
              <w:left w:val="single" w:sz="6" w:space="0" w:color="auto"/>
              <w:bottom w:val="single" w:sz="6" w:space="0" w:color="auto"/>
              <w:right w:val="single" w:sz="6" w:space="0" w:color="auto"/>
            </w:tcBorders>
          </w:tcPr>
          <w:p w14:paraId="43C3266E" w14:textId="77777777" w:rsidR="00664BE6" w:rsidRPr="00EA4C9B" w:rsidRDefault="00664BE6" w:rsidP="00AE0176">
            <w:pPr>
              <w:pStyle w:val="Table"/>
              <w:jc w:val="center"/>
              <w:rPr>
                <w:rFonts w:ascii="Calibri" w:eastAsia="Calibri" w:hAnsi="Calibri" w:cs="Calibri"/>
                <w:szCs w:val="20"/>
              </w:rPr>
            </w:pPr>
            <w:r w:rsidRPr="00EA4C9B">
              <w:rPr>
                <w:rFonts w:ascii="Calibri" w:eastAsia="Calibri" w:hAnsi="Calibri" w:cs="Calibri"/>
                <w:szCs w:val="20"/>
              </w:rPr>
              <w:t>N/A</w:t>
            </w:r>
          </w:p>
        </w:tc>
      </w:tr>
      <w:tr w:rsidR="00664BE6" w:rsidRPr="00EA4C9B" w14:paraId="451FB4F7" w14:textId="77777777" w:rsidTr="00664BE6">
        <w:trPr>
          <w:trHeight w:val="587"/>
        </w:trPr>
        <w:tc>
          <w:tcPr>
            <w:tcW w:w="2969" w:type="dxa"/>
            <w:tcBorders>
              <w:top w:val="single" w:sz="6" w:space="0" w:color="auto"/>
              <w:left w:val="single" w:sz="6" w:space="0" w:color="auto"/>
              <w:bottom w:val="single" w:sz="6" w:space="0" w:color="auto"/>
              <w:right w:val="single" w:sz="6" w:space="0" w:color="auto"/>
            </w:tcBorders>
          </w:tcPr>
          <w:p w14:paraId="6E0EFFCB" w14:textId="77777777" w:rsidR="00664BE6" w:rsidRPr="00EA4C9B" w:rsidRDefault="00664BE6" w:rsidP="00F23CBA">
            <w:pPr>
              <w:pStyle w:val="Table"/>
              <w:rPr>
                <w:rFonts w:ascii="Calibri" w:eastAsia="Calibri" w:hAnsi="Calibri" w:cs="Calibri"/>
                <w:szCs w:val="20"/>
              </w:rPr>
            </w:pPr>
            <w:r w:rsidRPr="00EA4C9B">
              <w:rPr>
                <w:rFonts w:ascii="Calibri" w:eastAsia="Calibri" w:hAnsi="Calibri" w:cs="Calibri"/>
                <w:szCs w:val="20"/>
              </w:rPr>
              <w:t>Payment for lease of reservoirs and fishing rights and use of fishing rights (licences)</w:t>
            </w:r>
          </w:p>
        </w:tc>
        <w:tc>
          <w:tcPr>
            <w:tcW w:w="1985" w:type="dxa"/>
            <w:tcBorders>
              <w:top w:val="single" w:sz="6" w:space="0" w:color="auto"/>
              <w:left w:val="single" w:sz="6" w:space="0" w:color="auto"/>
              <w:bottom w:val="single" w:sz="6" w:space="0" w:color="auto"/>
              <w:right w:val="single" w:sz="6" w:space="0" w:color="auto"/>
            </w:tcBorders>
          </w:tcPr>
          <w:p w14:paraId="5077F9BE" w14:textId="77777777" w:rsidR="00664BE6" w:rsidRPr="00EA4C9B" w:rsidRDefault="00664BE6" w:rsidP="00AE0176">
            <w:pPr>
              <w:pStyle w:val="Table"/>
              <w:jc w:val="center"/>
              <w:rPr>
                <w:rFonts w:ascii="Calibri" w:eastAsia="Calibri" w:hAnsi="Calibri" w:cs="Calibri"/>
                <w:szCs w:val="20"/>
              </w:rPr>
            </w:pPr>
            <w:r w:rsidRPr="00EA4C9B">
              <w:rPr>
                <w:rFonts w:ascii="Calibri" w:eastAsia="Calibri" w:hAnsi="Calibri" w:cs="Calibri"/>
                <w:szCs w:val="20"/>
              </w:rPr>
              <w:t>6.99</w:t>
            </w:r>
          </w:p>
        </w:tc>
        <w:tc>
          <w:tcPr>
            <w:tcW w:w="1842" w:type="dxa"/>
            <w:tcBorders>
              <w:top w:val="single" w:sz="6" w:space="0" w:color="auto"/>
              <w:left w:val="single" w:sz="6" w:space="0" w:color="auto"/>
              <w:bottom w:val="single" w:sz="6" w:space="0" w:color="auto"/>
              <w:right w:val="single" w:sz="6" w:space="0" w:color="auto"/>
            </w:tcBorders>
          </w:tcPr>
          <w:p w14:paraId="25B4D68D" w14:textId="77777777" w:rsidR="00664BE6" w:rsidRPr="00EA4C9B" w:rsidRDefault="00664BE6" w:rsidP="00AE0176">
            <w:pPr>
              <w:pStyle w:val="Table"/>
              <w:jc w:val="center"/>
              <w:rPr>
                <w:rFonts w:ascii="Calibri" w:eastAsia="Calibri" w:hAnsi="Calibri" w:cs="Calibri"/>
                <w:szCs w:val="20"/>
              </w:rPr>
            </w:pPr>
            <w:r w:rsidRPr="00EA4C9B">
              <w:rPr>
                <w:rFonts w:ascii="Calibri" w:eastAsia="Calibri" w:hAnsi="Calibri" w:cs="Calibri"/>
                <w:szCs w:val="20"/>
              </w:rPr>
              <w:t>0.47</w:t>
            </w:r>
          </w:p>
        </w:tc>
        <w:tc>
          <w:tcPr>
            <w:tcW w:w="2160" w:type="dxa"/>
            <w:tcBorders>
              <w:top w:val="single" w:sz="6" w:space="0" w:color="auto"/>
              <w:left w:val="single" w:sz="6" w:space="0" w:color="auto"/>
              <w:bottom w:val="single" w:sz="6" w:space="0" w:color="auto"/>
              <w:right w:val="single" w:sz="6" w:space="0" w:color="auto"/>
            </w:tcBorders>
          </w:tcPr>
          <w:p w14:paraId="2597A19C" w14:textId="77777777" w:rsidR="00664BE6" w:rsidRPr="00EA4C9B" w:rsidRDefault="00664BE6" w:rsidP="00AE0176">
            <w:pPr>
              <w:pStyle w:val="Table"/>
              <w:jc w:val="center"/>
              <w:rPr>
                <w:rFonts w:ascii="Calibri" w:eastAsia="Calibri" w:hAnsi="Calibri" w:cs="Calibri"/>
                <w:szCs w:val="20"/>
              </w:rPr>
            </w:pPr>
            <w:r w:rsidRPr="00EA4C9B">
              <w:rPr>
                <w:rFonts w:ascii="Calibri" w:eastAsia="Calibri" w:hAnsi="Calibri" w:cs="Calibri"/>
                <w:szCs w:val="20"/>
              </w:rPr>
              <w:t>1.7%</w:t>
            </w:r>
          </w:p>
        </w:tc>
      </w:tr>
      <w:tr w:rsidR="00664BE6" w:rsidRPr="00EA4C9B" w14:paraId="7538945A" w14:textId="77777777" w:rsidTr="00664BE6">
        <w:trPr>
          <w:trHeight w:val="75"/>
        </w:trPr>
        <w:tc>
          <w:tcPr>
            <w:tcW w:w="2969" w:type="dxa"/>
            <w:tcBorders>
              <w:top w:val="single" w:sz="6" w:space="0" w:color="auto"/>
              <w:left w:val="single" w:sz="6" w:space="0" w:color="auto"/>
              <w:bottom w:val="single" w:sz="6" w:space="0" w:color="auto"/>
              <w:right w:val="single" w:sz="6" w:space="0" w:color="auto"/>
            </w:tcBorders>
          </w:tcPr>
          <w:p w14:paraId="6C6E32A8" w14:textId="77777777" w:rsidR="00664BE6" w:rsidRPr="00EA4C9B" w:rsidRDefault="00664BE6" w:rsidP="00F23CBA">
            <w:pPr>
              <w:pStyle w:val="Table"/>
              <w:rPr>
                <w:rFonts w:ascii="Calibri" w:eastAsia="Calibri" w:hAnsi="Calibri" w:cs="Calibri"/>
                <w:szCs w:val="20"/>
              </w:rPr>
            </w:pPr>
            <w:r w:rsidRPr="00EA4C9B">
              <w:rPr>
                <w:rFonts w:ascii="Calibri" w:eastAsia="Calibri" w:hAnsi="Calibri" w:cs="Calibri"/>
                <w:szCs w:val="20"/>
              </w:rPr>
              <w:t>Income from lease of reservoirs and fishing rights and non-production use of fishing rights (fishing cards)</w:t>
            </w:r>
          </w:p>
        </w:tc>
        <w:tc>
          <w:tcPr>
            <w:tcW w:w="1985" w:type="dxa"/>
            <w:tcBorders>
              <w:top w:val="single" w:sz="6" w:space="0" w:color="auto"/>
              <w:left w:val="single" w:sz="6" w:space="0" w:color="auto"/>
              <w:bottom w:val="single" w:sz="6" w:space="0" w:color="auto"/>
              <w:right w:val="single" w:sz="6" w:space="0" w:color="auto"/>
            </w:tcBorders>
          </w:tcPr>
          <w:p w14:paraId="5A9A4972" w14:textId="77777777" w:rsidR="00664BE6" w:rsidRPr="00EA4C9B" w:rsidRDefault="00664BE6" w:rsidP="00AE0176">
            <w:pPr>
              <w:pStyle w:val="Table"/>
              <w:jc w:val="center"/>
              <w:rPr>
                <w:rFonts w:ascii="Calibri" w:eastAsia="Calibri" w:hAnsi="Calibri" w:cs="Calibri"/>
                <w:szCs w:val="20"/>
              </w:rPr>
            </w:pPr>
            <w:r w:rsidRPr="00EA4C9B">
              <w:rPr>
                <w:rFonts w:ascii="Calibri" w:eastAsia="Calibri" w:hAnsi="Calibri" w:cs="Calibri"/>
                <w:szCs w:val="20"/>
              </w:rPr>
              <w:t>10.11</w:t>
            </w:r>
          </w:p>
        </w:tc>
        <w:tc>
          <w:tcPr>
            <w:tcW w:w="1842" w:type="dxa"/>
            <w:tcBorders>
              <w:top w:val="single" w:sz="6" w:space="0" w:color="auto"/>
              <w:left w:val="single" w:sz="6" w:space="0" w:color="auto"/>
              <w:bottom w:val="single" w:sz="6" w:space="0" w:color="auto"/>
              <w:right w:val="single" w:sz="6" w:space="0" w:color="auto"/>
            </w:tcBorders>
          </w:tcPr>
          <w:p w14:paraId="6C008256" w14:textId="77777777" w:rsidR="00664BE6" w:rsidRPr="00EA4C9B" w:rsidRDefault="00664BE6" w:rsidP="00AE0176">
            <w:pPr>
              <w:pStyle w:val="Table"/>
              <w:jc w:val="center"/>
              <w:rPr>
                <w:rFonts w:ascii="Calibri" w:eastAsia="Calibri" w:hAnsi="Calibri" w:cs="Calibri"/>
                <w:szCs w:val="20"/>
              </w:rPr>
            </w:pPr>
            <w:r w:rsidRPr="00EA4C9B">
              <w:rPr>
                <w:rFonts w:ascii="Calibri" w:eastAsia="Calibri" w:hAnsi="Calibri" w:cs="Calibri"/>
                <w:szCs w:val="20"/>
              </w:rPr>
              <w:t>0.67</w:t>
            </w:r>
          </w:p>
        </w:tc>
        <w:tc>
          <w:tcPr>
            <w:tcW w:w="2160" w:type="dxa"/>
            <w:tcBorders>
              <w:top w:val="single" w:sz="6" w:space="0" w:color="auto"/>
              <w:left w:val="single" w:sz="6" w:space="0" w:color="auto"/>
              <w:bottom w:val="single" w:sz="6" w:space="0" w:color="auto"/>
              <w:right w:val="single" w:sz="6" w:space="0" w:color="auto"/>
            </w:tcBorders>
          </w:tcPr>
          <w:p w14:paraId="6A951AF8" w14:textId="77777777" w:rsidR="00664BE6" w:rsidRPr="00EA4C9B" w:rsidRDefault="00664BE6" w:rsidP="00AE0176">
            <w:pPr>
              <w:pStyle w:val="Table"/>
              <w:jc w:val="center"/>
              <w:rPr>
                <w:rFonts w:ascii="Calibri" w:eastAsia="Calibri" w:hAnsi="Calibri" w:cs="Calibri"/>
                <w:szCs w:val="20"/>
              </w:rPr>
            </w:pPr>
            <w:r w:rsidRPr="00EA4C9B">
              <w:rPr>
                <w:rFonts w:ascii="Calibri" w:eastAsia="Calibri" w:hAnsi="Calibri" w:cs="Calibri"/>
                <w:szCs w:val="20"/>
              </w:rPr>
              <w:t>2.5%</w:t>
            </w:r>
          </w:p>
        </w:tc>
      </w:tr>
    </w:tbl>
    <w:p w14:paraId="16A02EFE" w14:textId="77777777" w:rsidR="00664BE6" w:rsidRPr="00EA4C9B" w:rsidRDefault="00664BE6" w:rsidP="009E1B64">
      <w:pPr>
        <w:pStyle w:val="Bulletlist"/>
        <w:numPr>
          <w:ilvl w:val="0"/>
          <w:numId w:val="0"/>
        </w:numPr>
      </w:pPr>
      <w:r w:rsidRPr="00EA4C9B">
        <w:lastRenderedPageBreak/>
        <w:br/>
        <w:t xml:space="preserve">Latvia's environmental tax system is primarily structured around the </w:t>
      </w:r>
      <w:r w:rsidRPr="00EA4C9B">
        <w:rPr>
          <w:b/>
          <w:bCs/>
        </w:rPr>
        <w:t>natural resources tax</w:t>
      </w:r>
      <w:r w:rsidRPr="00EA4C9B">
        <w:t>, which consolidates most environmental taxes except those related to energy and transport. The tax is highly comprehensive, covering the extraction of natural resources (such as sand, gravel, and dolomite), waste disposal (including hazardous and construction waste), pollutant emissions (e.g., CO₂, PM10, NO₂), and various products like oils, batteries, and single-use packaging</w:t>
      </w:r>
      <w:r w:rsidRPr="0DB99A64">
        <w:rPr>
          <w:rStyle w:val="FootnoteReference"/>
        </w:rPr>
        <w:footnoteReference w:id="505"/>
      </w:r>
      <w:r w:rsidRPr="00EA4C9B">
        <w:t>. This broad approach aims to encourage resource efficiency, reduce environmental harm, and promote cleaner technologies. In some cases, such as water-related taxes, revenues are earmarked for sustainability efforts like improving water management and efficiency</w:t>
      </w:r>
      <w:r w:rsidRPr="0DB99A64">
        <w:rPr>
          <w:rStyle w:val="FootnoteReference"/>
        </w:rPr>
        <w:footnoteReference w:id="506"/>
      </w:r>
      <w:r w:rsidRPr="00EA4C9B">
        <w:t>.</w:t>
      </w:r>
    </w:p>
    <w:p w14:paraId="1A378823" w14:textId="77777777" w:rsidR="00664BE6" w:rsidRPr="00EA4C9B" w:rsidRDefault="00664BE6" w:rsidP="009E1B64">
      <w:pPr>
        <w:pStyle w:val="Bulletlist"/>
        <w:numPr>
          <w:ilvl w:val="0"/>
          <w:numId w:val="0"/>
        </w:numPr>
        <w:ind w:left="352"/>
      </w:pPr>
    </w:p>
    <w:p w14:paraId="5F6E7397" w14:textId="77777777" w:rsidR="00664BE6" w:rsidRPr="00EA4C9B" w:rsidRDefault="00664BE6" w:rsidP="009E1B64">
      <w:pPr>
        <w:pStyle w:val="Bulletlist"/>
        <w:numPr>
          <w:ilvl w:val="0"/>
          <w:numId w:val="0"/>
        </w:numPr>
      </w:pPr>
      <w:r w:rsidRPr="00EA4C9B">
        <w:t>The taxation system is highly centralized, with the national government setting tax rates and rules. The tax base is typically set per volume or per product (for vehicles), while the tax rates of the different resources are largely fixed. For some resources they have planned a gradual increase over the years, for example for landfilling and municipal waste</w:t>
      </w:r>
      <w:r w:rsidRPr="00EA4C9B">
        <w:rPr>
          <w:rStyle w:val="FootnoteReference"/>
        </w:rPr>
        <w:footnoteReference w:id="507"/>
      </w:r>
      <w:r w:rsidRPr="00EA4C9B">
        <w:t>. Moreover, firms that already demonstrate strong environmental performance can qualify for exemptions, reducing their administrative burden</w:t>
      </w:r>
      <w:r w:rsidRPr="00EA4C9B">
        <w:rPr>
          <w:rStyle w:val="FootnoteReference"/>
        </w:rPr>
        <w:footnoteReference w:id="508"/>
      </w:r>
      <w:r w:rsidRPr="00EA4C9B">
        <w:t>. The tax system uses both basic and additional rates, ensuring that those exceeding environmental limits face higher financial penalties</w:t>
      </w:r>
      <w:r w:rsidRPr="00EA4C9B">
        <w:rPr>
          <w:rStyle w:val="FootnoteReference"/>
        </w:rPr>
        <w:footnoteReference w:id="509"/>
      </w:r>
      <w:r w:rsidRPr="0DB99A64">
        <w:t>. The revenue generated by the Natural Resources Tax was EUR 61.9M in 2023 and has been steadily increasing from EUR 10.5M in 2010, according to the National Tax List. Note that this list does not make a distinction between taxes for pollution or resources.</w:t>
      </w:r>
    </w:p>
    <w:p w14:paraId="2B554FA2" w14:textId="77777777" w:rsidR="00664BE6" w:rsidRPr="00EA4C9B" w:rsidRDefault="00664BE6" w:rsidP="009E1B64">
      <w:pPr>
        <w:pStyle w:val="Bulletlist"/>
        <w:numPr>
          <w:ilvl w:val="0"/>
          <w:numId w:val="0"/>
        </w:numPr>
      </w:pPr>
    </w:p>
    <w:p w14:paraId="02DCC349" w14:textId="77777777" w:rsidR="00664BE6" w:rsidRPr="00EA4C9B" w:rsidRDefault="00664BE6" w:rsidP="009E1B64">
      <w:pPr>
        <w:pStyle w:val="Bulletlist"/>
        <w:numPr>
          <w:ilvl w:val="0"/>
          <w:numId w:val="0"/>
        </w:numPr>
      </w:pPr>
      <w:r w:rsidRPr="00EA4C9B">
        <w:t>In recent years, Latvia has progressively increased several tax rates, particularly for air pollutants such as PM10 and waste sent to landfills, to further discourage environmentally harmful practices. However, taxation on certain other pollutants, like NO₂, has not been updated in recent years</w:t>
      </w:r>
      <w:r w:rsidRPr="0DB99A64">
        <w:rPr>
          <w:rStyle w:val="FootnoteReference"/>
        </w:rPr>
        <w:footnoteReference w:id="510"/>
      </w:r>
      <w:r w:rsidRPr="00EA4C9B">
        <w:t>.</w:t>
      </w:r>
    </w:p>
    <w:p w14:paraId="6A3C7B4B" w14:textId="77777777" w:rsidR="00664BE6" w:rsidRPr="00EA4C9B" w:rsidRDefault="00664BE6" w:rsidP="00664BE6">
      <w:pPr>
        <w:pStyle w:val="Heading4"/>
      </w:pPr>
      <w:r w:rsidRPr="00EA4C9B">
        <w:t>Fees and other related instruments</w:t>
      </w:r>
    </w:p>
    <w:p w14:paraId="5E7A20A7" w14:textId="52196712" w:rsidR="00664BE6" w:rsidRPr="00EA4C9B" w:rsidRDefault="00664BE6" w:rsidP="00664BE6">
      <w:r w:rsidRPr="00EA4C9B">
        <w:t>Latvia has a separate</w:t>
      </w:r>
      <w:r w:rsidRPr="00EA4C9B">
        <w:rPr>
          <w:b/>
          <w:bCs/>
        </w:rPr>
        <w:t xml:space="preserve"> </w:t>
      </w:r>
      <w:r w:rsidRPr="00EA4C9B">
        <w:t>law for the</w:t>
      </w:r>
      <w:r w:rsidRPr="00EA4C9B">
        <w:rPr>
          <w:b/>
          <w:bCs/>
        </w:rPr>
        <w:t xml:space="preserve"> lease of reservoirs and fishing rights and use of fishing rights</w:t>
      </w:r>
      <w:r w:rsidRPr="00EA4C9B">
        <w:rPr>
          <w:rStyle w:val="FootnoteReference"/>
          <w:rFonts w:ascii="Calibri" w:eastAsia="Times New Roman" w:hAnsi="Calibri" w:cs="Calibri"/>
          <w:b/>
          <w:bCs/>
        </w:rPr>
        <w:footnoteReference w:id="511"/>
      </w:r>
      <w:r w:rsidRPr="00EA4C9B">
        <w:t>, which falls outside of environmental taxation. This national regulation sets out the rules and prices of the auction for the industrial fishing rights. Basic fees are set out for different types of fish, and are different per body of water, ranging from 1.07 EUR per tonne of sprat in the Baltic Sea, to 35.57 EUR for flounder in the Baltic Sea. The regulation also includes fees for fishing gear and for amateur fishing.</w:t>
      </w:r>
    </w:p>
    <w:p w14:paraId="5185ABCA" w14:textId="583BF931" w:rsidR="00664BE6" w:rsidRPr="00EA4C9B" w:rsidRDefault="00664BE6" w:rsidP="00664BE6">
      <w:r w:rsidRPr="00EA4C9B">
        <w:t xml:space="preserve">Starting January 1, 2023, the capital of Riga has introduced a </w:t>
      </w:r>
      <w:r w:rsidRPr="00EA4C9B">
        <w:rPr>
          <w:b/>
          <w:bCs/>
        </w:rPr>
        <w:t xml:space="preserve">tourism tax </w:t>
      </w:r>
      <w:r w:rsidRPr="00EA4C9B">
        <w:t>applicable to all tourist accommodation establishment of 1 EUR per night, with a maximum fee of 10 EUR</w:t>
      </w:r>
      <w:r w:rsidRPr="00EA4C9B">
        <w:rPr>
          <w:rStyle w:val="FootnoteReference"/>
          <w:rFonts w:ascii="Calibri" w:hAnsi="Calibri" w:cs="Calibri"/>
        </w:rPr>
        <w:footnoteReference w:id="512"/>
      </w:r>
      <w:r w:rsidRPr="00EA4C9B">
        <w:t>. Additionally, the city of Jurmala has a</w:t>
      </w:r>
      <w:r w:rsidRPr="00EA4C9B">
        <w:rPr>
          <w:b/>
          <w:bCs/>
        </w:rPr>
        <w:t xml:space="preserve"> vehicle entry fee</w:t>
      </w:r>
      <w:r w:rsidRPr="00EA4C9B">
        <w:t xml:space="preserve"> of 3 EUR</w:t>
      </w:r>
      <w:r w:rsidRPr="00EA4C9B">
        <w:rPr>
          <w:rStyle w:val="FootnoteReference"/>
          <w:rFonts w:ascii="Calibri" w:hAnsi="Calibri" w:cs="Calibri"/>
        </w:rPr>
        <w:footnoteReference w:id="513"/>
      </w:r>
      <w:r w:rsidRPr="00EA4C9B">
        <w:t xml:space="preserve"> to reduce vehicle intensity, and to encourage the use of more sustainable modes of transport. The fee was introduced in 2024, and it includes the possibility to buy a year-pass. It exempts electric vehicles from being charged.</w:t>
      </w:r>
    </w:p>
    <w:p w14:paraId="295A820D" w14:textId="33940A7C" w:rsidR="00664BE6" w:rsidRPr="00EA4C9B" w:rsidRDefault="00664BE6" w:rsidP="00664BE6">
      <w:r w:rsidRPr="00EA4C9B">
        <w:t xml:space="preserve">In the context of environmentally harmful subsidies, the 2022 Environmental Implementation Review for Latvia prioritizes the phase out of fossil fuel tax advantages. It reports that Latvia continues to provide fossil fuel subsidies, amounting to about 100 million EUR in 2019 (0.42% of GDP), which is slightly above the EU-average of (0.4%). These subsidies have been reduced from 2015 onwards, with </w:t>
      </w:r>
      <w:r w:rsidRPr="00EA4C9B">
        <w:lastRenderedPageBreak/>
        <w:t>a big drop in 2020. Since this reduction is largely due to falling consumption patterns, it has likely gone back up after the COVID-19 crisis.</w:t>
      </w:r>
    </w:p>
    <w:p w14:paraId="64D84D67" w14:textId="516314EE" w:rsidR="00664BE6" w:rsidRPr="00EA4C9B" w:rsidRDefault="00664BE6" w:rsidP="00664BE6">
      <w:r w:rsidRPr="00EA4C9B">
        <w:t>Environmentally harmful subsidies remain a challenge in many Member States, and can undermine the effectiveness of environmental taxes. In Latvia, a CO₂ emissions exemption for the use of peat in fixed technological installations was in place until it was removed on 1 January 2021</w:t>
      </w:r>
      <w:r w:rsidRPr="00EA4C9B">
        <w:rPr>
          <w:rStyle w:val="FootnoteReference"/>
          <w:rFonts w:ascii="Calibri" w:hAnsi="Calibri" w:cs="Calibri"/>
        </w:rPr>
        <w:footnoteReference w:id="514"/>
      </w:r>
      <w:r w:rsidRPr="00EA4C9B">
        <w:t>.</w:t>
      </w:r>
    </w:p>
    <w:p w14:paraId="7CCEC262" w14:textId="6126DF27" w:rsidR="00664BE6" w:rsidRPr="00EA4C9B" w:rsidRDefault="00664BE6" w:rsidP="00664BE6">
      <w:r w:rsidRPr="00EA4C9B">
        <w:t xml:space="preserve">As of 2025, Latvia still maintains other environmentally harmful subsidies. To lower their tax burden, some </w:t>
      </w:r>
      <w:r w:rsidRPr="00EA4C9B">
        <w:rPr>
          <w:b/>
          <w:bCs/>
        </w:rPr>
        <w:t>industrial consumers of natural gas paid a reduced excise tax rate</w:t>
      </w:r>
      <w:r w:rsidRPr="00EA4C9B">
        <w:t xml:space="preserve"> of 0.55 EUR per MWh, while the heating sector using natural gas paid 1.65 EUR per MWh, rather than the standard rate of 9.65 EUR per MWh. The reduced rate of 0.55 EUR, which was introduced in 2011, applies to industrial manufacturing and the processing of agricultural raw materials, provided they meet the requirements for state aid eligibility</w:t>
      </w:r>
      <w:r w:rsidRPr="00EA4C9B">
        <w:rPr>
          <w:rStyle w:val="FootnoteReference"/>
          <w:rFonts w:ascii="Calibri" w:hAnsi="Calibri" w:cs="Calibri"/>
        </w:rPr>
        <w:footnoteReference w:id="515"/>
      </w:r>
      <w:r w:rsidRPr="00EA4C9B">
        <w:t>. In 2025, the ministry of Finance introduced gradually increasing rates of excuse duties on fuel, natural gas and petroleum gases used as heating fuel, in order to include the CO2 component into the price. The sectors that used to pay 0.55 EUR will see their costs increase to 4.60 EUR per MWh (for heating in industry) and to 1.47 EUR (for heating in agriculture) by 2027. The sectors that used to pay 1.65 EUR per MWh will see the price increase to 2.94 EUR (for end-users participating in the EU ETS) and to 5.95 EUR (for all other consumers using natural gas as fuel) by 2027.</w:t>
      </w:r>
      <w:r w:rsidRPr="00EA4C9B">
        <w:rPr>
          <w:rStyle w:val="FootnoteReference"/>
          <w:rFonts w:ascii="Calibri" w:hAnsi="Calibri" w:cs="Calibri"/>
        </w:rPr>
        <w:footnoteReference w:id="516"/>
      </w:r>
    </w:p>
    <w:p w14:paraId="6E43BDEE" w14:textId="07242C29" w:rsidR="00664BE6" w:rsidRPr="00EA4C9B" w:rsidRDefault="00664BE6" w:rsidP="00664BE6">
      <w:r w:rsidRPr="00EA4C9B">
        <w:t>Therefore, taxes in Latvia on energy sources are not fully aligned with the emissions, as some sectors still pay a reduced excise tax rate on natural gas. Thus, the included sectors, industrial manufacturing and agricultural raw materials processers, pay less tax than their environmental externalities justify. The excise taxes are being increased in the next two years, but will still not be aligned with This leaves potential for reform of the fuel excise taxes.</w:t>
      </w:r>
    </w:p>
    <w:p w14:paraId="37DA479A" w14:textId="77777777" w:rsidR="00664BE6" w:rsidRPr="00EA4C9B" w:rsidRDefault="00664BE6" w:rsidP="00664BE6">
      <w:pPr>
        <w:spacing w:after="0"/>
        <w:jc w:val="left"/>
        <w:rPr>
          <w:rFonts w:ascii="Calibri" w:hAnsi="Calibri" w:cs="Calibri"/>
        </w:rPr>
      </w:pPr>
      <w:r w:rsidRPr="00EA4C9B">
        <w:rPr>
          <w:rFonts w:ascii="Calibri" w:hAnsi="Calibri" w:cs="Calibri"/>
          <w:b/>
          <w:bCs/>
          <w:i/>
          <w:iCs/>
        </w:rPr>
        <w:t>Conclusions, country-specific recommendations and reform progress</w:t>
      </w:r>
    </w:p>
    <w:p w14:paraId="4BF9A740" w14:textId="77777777" w:rsidR="00664BE6" w:rsidRPr="00EA4C9B" w:rsidRDefault="00664BE6" w:rsidP="00664BE6">
      <w:pPr>
        <w:spacing w:after="0"/>
        <w:jc w:val="left"/>
        <w:rPr>
          <w:rFonts w:ascii="Calibri" w:hAnsi="Calibri" w:cs="Calibri"/>
        </w:rPr>
      </w:pPr>
    </w:p>
    <w:p w14:paraId="58ED3D46" w14:textId="14E1EACA" w:rsidR="00664BE6" w:rsidRPr="00EA4C9B" w:rsidRDefault="00664BE6" w:rsidP="00664BE6">
      <w:r w:rsidRPr="00EA4C9B">
        <w:t>The 2024 Country Specific Recommendations (CSRs) for Latvia highlight the need improve their efforts to transition to a circular economy, to catch up with the EU’s circular economy goals.</w:t>
      </w:r>
      <w:r w:rsidRPr="00EA4C9B">
        <w:rPr>
          <w:rFonts w:eastAsia="Times New Roman"/>
          <w:color w:val="000000"/>
          <w:lang w:eastAsia="en-GB"/>
        </w:rPr>
        <w:t xml:space="preserve"> Latvia has a below-average performance in sustainable economic growth indicators, while the country’s material footprint is increasing, indicating a need for better resource efficiency measures</w:t>
      </w:r>
      <w:r w:rsidRPr="00EA4C9B">
        <w:t>. When it comes to their waste management, the CSRs note that Latvia has made progress, but that more than half of its municipal waste is still landfilled</w:t>
      </w:r>
      <w:r w:rsidRPr="00EA4C9B">
        <w:rPr>
          <w:rStyle w:val="FootnoteReference"/>
          <w:rFonts w:ascii="Calibri" w:hAnsi="Calibri" w:cs="Calibri"/>
        </w:rPr>
        <w:footnoteReference w:id="517"/>
      </w:r>
      <w:r w:rsidRPr="00EA4C9B">
        <w:t>. The 2023 CSRs find that Latvia collects low revenues from labour taxation despite high tax rates, compared to the rest of the EU. It’s tax revenue as a share of GDP is also relatively low, suggesting that there is potential for increased environmental taxation</w:t>
      </w:r>
      <w:r w:rsidRPr="00EA4C9B">
        <w:rPr>
          <w:rStyle w:val="FootnoteReference"/>
          <w:rFonts w:ascii="Calibri" w:hAnsi="Calibri" w:cs="Calibri"/>
        </w:rPr>
        <w:footnoteReference w:id="518"/>
      </w:r>
      <w:r w:rsidRPr="00EA4C9B">
        <w:t>. The 2025 CSRs encourage Latvia to increase its resource efficiency and circularity. While having made improvements to the waste management system, Latvia’s landfilling rate is still too high</w:t>
      </w:r>
      <w:r w:rsidRPr="00EA4C9B">
        <w:rPr>
          <w:rStyle w:val="FootnoteReference"/>
          <w:rFonts w:ascii="Calibri" w:hAnsi="Calibri" w:cs="Calibri"/>
        </w:rPr>
        <w:footnoteReference w:id="519"/>
      </w:r>
      <w:r w:rsidRPr="00EA4C9B">
        <w:t>.</w:t>
      </w:r>
      <w:r w:rsidRPr="00EA4C9B">
        <w:br/>
      </w:r>
      <w:r w:rsidRPr="00EA4C9B">
        <w:br/>
        <w:t xml:space="preserve">Latvia has one of the highest landfill taxes in the EU at EUR 120 per tonne of waste, showing its </w:t>
      </w:r>
      <w:r w:rsidRPr="00EA4C9B">
        <w:lastRenderedPageBreak/>
        <w:t>commitment to improving the waste management. What’s more is that the tax is expected to be increased to EUR 130 in 2026</w:t>
      </w:r>
      <w:r w:rsidRPr="00EA4C9B">
        <w:rPr>
          <w:rStyle w:val="FootnoteReference"/>
          <w:rFonts w:ascii="Calibri" w:hAnsi="Calibri" w:cs="Calibri"/>
        </w:rPr>
        <w:footnoteReference w:id="520"/>
      </w:r>
      <w:r w:rsidRPr="00EA4C9B">
        <w:t>.</w:t>
      </w:r>
    </w:p>
    <w:p w14:paraId="67282D73" w14:textId="7F52DFE8" w:rsidR="00664BE6" w:rsidRPr="00EA4C9B" w:rsidRDefault="00664BE6" w:rsidP="00664BE6">
      <w:r w:rsidRPr="00EA4C9B">
        <w:t>The CAP Strategic plan of Latvia for 2023-2027</w:t>
      </w:r>
      <w:r w:rsidRPr="00EA4C9B">
        <w:rPr>
          <w:rStyle w:val="FootnoteReference"/>
          <w:rFonts w:ascii="Calibri" w:hAnsi="Calibri" w:cs="Calibri"/>
        </w:rPr>
        <w:footnoteReference w:id="521"/>
      </w:r>
      <w:r w:rsidRPr="00EA4C9B">
        <w:t xml:space="preserve"> includes a commitment to achieve environmental quality, through lowering pesticide use. The 2020 National Energy and Climate Plans of Latvia include a section on “Greening of taxes”. For 2030, it includes the target to have phased out energy subsidies, and for taxes to be applied “in accordance with the indicator for the source of GHG emissions”</w:t>
      </w:r>
      <w:r w:rsidRPr="00EA4C9B">
        <w:rPr>
          <w:rStyle w:val="FootnoteReference"/>
          <w:rFonts w:ascii="Calibri" w:hAnsi="Calibri" w:cs="Calibri"/>
        </w:rPr>
        <w:footnoteReference w:id="522"/>
      </w:r>
      <w:r w:rsidRPr="00EA4C9B">
        <w:t>.</w:t>
      </w:r>
    </w:p>
    <w:p w14:paraId="0B647AFC" w14:textId="77777777" w:rsidR="00664BE6" w:rsidRPr="00C92347" w:rsidRDefault="00664BE6" w:rsidP="007C4EB7">
      <w:pPr>
        <w:pStyle w:val="AnnexHeading2"/>
        <w:rPr>
          <w:rFonts w:eastAsia="Calibri"/>
          <w:color w:val="000000" w:themeColor="text1"/>
        </w:rPr>
      </w:pPr>
      <w:bookmarkStart w:id="232" w:name="_Toc214008906"/>
      <w:r w:rsidRPr="00EA4C9B">
        <w:t>Potential for implementing additional environmental taxes</w:t>
      </w:r>
      <w:bookmarkEnd w:id="232"/>
      <w:r w:rsidRPr="00EA4C9B">
        <w:t> </w:t>
      </w:r>
    </w:p>
    <w:p w14:paraId="39F88625" w14:textId="1CAF2708" w:rsidR="00664BE6" w:rsidRPr="00EA4C9B" w:rsidRDefault="00664BE6" w:rsidP="00664BE6">
      <w:r w:rsidRPr="00EA4C9B">
        <w:t xml:space="preserve">The 2016 report suggests a number of tax changes and the application of new taxes for Latvia. In the context of pollution and resource taxes, the report proposes to increase the tax on extracted raw materials such as sand and limestone to EUR 2.40 per tonne from 2017 onward, in order to encourage the use of secondary materials like recycled construction waste and promote resource efficiency. </w:t>
      </w:r>
    </w:p>
    <w:p w14:paraId="21DF84D8" w14:textId="06791595" w:rsidR="00664BE6" w:rsidRPr="00EA4C9B" w:rsidRDefault="00664BE6" w:rsidP="00664BE6">
      <w:r w:rsidRPr="00EA4C9B">
        <w:t>A gradual increase in the landfill tax for municipal waste is also recommended, starting with annual EUR 3 per tonne increments from 2015 to reach EUR 30 per tonne by 2020, or EUR 50 by 2019. With a landfill tax of EUR 120 in 2025, Latvia has more than met the recommendation. To prevent a shift from landfill to incineration without an actual waste reduction, a new tax of up to EUR 15 per tonne is suggested on waste sent to incineration and MBT facilities by 2019, including waste exported for incineration.</w:t>
      </w:r>
    </w:p>
    <w:p w14:paraId="456A76AE" w14:textId="6E3DA707" w:rsidR="00664BE6" w:rsidRPr="00EA4C9B" w:rsidRDefault="00664BE6" w:rsidP="00664BE6">
      <w:r w:rsidRPr="00EA4C9B">
        <w:t>Latvia is also advised to replace its current weight-based tax on plastic bags with a specific per-bag charge of EUR 0.10, extending it to all single-use carrier bags to reduce plastic pollution, especially in tourism-sensitive environments.</w:t>
      </w:r>
    </w:p>
    <w:p w14:paraId="2057C26F" w14:textId="77777777" w:rsidR="00664BE6" w:rsidRDefault="00664BE6" w:rsidP="00664BE6">
      <w:r w:rsidRPr="00EA4C9B">
        <w:t>Other suggested changes include increases in the existing air pollution tax rates are proposed to EUR 1,000 per tonne for SOx and NOx, and EUR 2,000 per tonne for PM10, to strengthen incentives for emission reductions and help meet EU air quality standards. A restructuring of the current water abstraction charges to differentiate between different usages and raising the tax on wastewater to EUR 2.14 per kg biological oxygen demand emissions. Lastly, a tax on nitrogen fertilizers and pesticides is also proposed to decrease their usage.</w:t>
      </w:r>
    </w:p>
    <w:p w14:paraId="29D4942C" w14:textId="02F7893C" w:rsidR="003C6CDB" w:rsidRDefault="003C6CDB" w:rsidP="003C6CDB">
      <w:r>
        <w:t xml:space="preserve">In 2023, the European Commission suggested </w:t>
      </w:r>
      <w:r w:rsidR="00344265">
        <w:t>i</w:t>
      </w:r>
      <w:r w:rsidR="00344265" w:rsidRPr="00344265">
        <w:t>ntroduc</w:t>
      </w:r>
      <w:r w:rsidR="00344265">
        <w:t>ing</w:t>
      </w:r>
      <w:r w:rsidR="00344265" w:rsidRPr="00344265">
        <w:t xml:space="preserve"> a pay-as-you-throw (PAYT) system to further motivate citizens to sort their waste at the source</w:t>
      </w:r>
      <w:r w:rsidR="00344265">
        <w:rPr>
          <w:rStyle w:val="FootnoteReference"/>
        </w:rPr>
        <w:footnoteReference w:id="523"/>
      </w:r>
      <w:r w:rsidR="00344265" w:rsidRPr="00344265">
        <w:t>.</w:t>
      </w:r>
    </w:p>
    <w:p w14:paraId="23731882" w14:textId="62AC5F17" w:rsidR="00704CE3" w:rsidRDefault="00704CE3" w:rsidP="007C4EB7">
      <w:pPr>
        <w:pStyle w:val="AnnexHeading2"/>
      </w:pPr>
      <w:bookmarkStart w:id="233" w:name="_Toc214008907"/>
      <w:r w:rsidRPr="00EA4C9B">
        <w:t>Impacts and feasibility of implementing new taxes</w:t>
      </w:r>
      <w:bookmarkEnd w:id="233"/>
    </w:p>
    <w:p w14:paraId="3EE149E8" w14:textId="674D72C4" w:rsidR="00CF4F57" w:rsidRDefault="00CF4F57" w:rsidP="00CF4F57">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73E822F1" w14:textId="77777777" w:rsidR="00AE0176" w:rsidRPr="00AE0176" w:rsidRDefault="00AE0176" w:rsidP="00AE0176">
      <w:pPr>
        <w:rPr>
          <w:lang w:eastAsia="en-GB"/>
        </w:rPr>
      </w:pPr>
      <w:r w:rsidRPr="00AE0176">
        <w:rPr>
          <w:lang w:eastAsia="en-GB"/>
        </w:rPr>
        <w:lastRenderedPageBreak/>
        <w:t>Latvia’s use of environmental taxation outside energy and transport remains limited in scope and rate level. The modelling indicates material upside from a package focused on water-related instruments, landfill, and minerals, with additional but smaller gains from product and air-pollution charges. Under Scenario A, the strongest physical effects arise from a wastewater effluent tax and a predictable landfill escalator, complemented by a calibrated mineral extraction charge that reduces pressure on primary aggregates and stimulates demand for secondary materials. Water abstraction delivers moderate savings where local stress occurs. Product-based instruments on fertilisers and pesticides generate measurable, though smaller, reductions in nutrient surpluses and pesticide pressures. Scenario B mirrors this pattern at reduced magnitude. Revenues scale accordingly: wastewater and minerals provide the largest uplift, with landfill and product taxes contributing a secondary stream.</w:t>
      </w:r>
    </w:p>
    <w:p w14:paraId="2F125716" w14:textId="7D4B96C3" w:rsidR="00AE0176" w:rsidRDefault="00AE0176" w:rsidP="00AE0176">
      <w:pPr>
        <w:rPr>
          <w:lang w:eastAsia="en-GB"/>
        </w:rPr>
      </w:pPr>
      <w:r>
        <w:rPr>
          <w:lang w:eastAsia="en-GB"/>
        </w:rPr>
        <w:t xml:space="preserve">Total revenues from the </w:t>
      </w:r>
      <w:r w:rsidR="00185A09">
        <w:t>investigated</w:t>
      </w:r>
      <w:r>
        <w:rPr>
          <w:lang w:eastAsia="en-GB"/>
        </w:rPr>
        <w:t xml:space="preserve"> taxes could rise by €132 million in 2030 and €157 million in 2035, respectively 2.1 and 2.5 times the revenues for pollution and resource taxes in 2023. The main contributors to the gains are mineral aggregates (65%), pesticides (17%) and water abstraction (6%).  As water effluent and waste to landfill charges are currently above the </w:t>
      </w:r>
      <w:r w:rsidR="00185A09">
        <w:t>investigated</w:t>
      </w:r>
      <w:r>
        <w:rPr>
          <w:lang w:eastAsia="en-GB"/>
        </w:rPr>
        <w:t xml:space="preserve"> minimum, these sectors do not contribute to tax revenues. Reduction in emissions or use of materials is greatest for SO2 and PM2.5 (about 25% each) and aggregates (17%). </w:t>
      </w: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170"/>
        <w:gridCol w:w="1276"/>
      </w:tblGrid>
      <w:tr w:rsidR="00AE0176" w:rsidRPr="00F501DA" w14:paraId="39BCF001" w14:textId="77777777" w:rsidTr="003D26BA">
        <w:trPr>
          <w:trHeight w:val="255"/>
        </w:trPr>
        <w:tc>
          <w:tcPr>
            <w:tcW w:w="8926" w:type="dxa"/>
            <w:gridSpan w:val="7"/>
            <w:shd w:val="clear" w:color="auto" w:fill="003399"/>
          </w:tcPr>
          <w:p w14:paraId="6DA3A34F" w14:textId="24E73948" w:rsidR="00AE0176" w:rsidRPr="00F23CBA" w:rsidRDefault="00AE0176" w:rsidP="000878F6">
            <w:pPr>
              <w:pStyle w:val="Table"/>
              <w:rPr>
                <w:b/>
                <w:color w:val="FFFFFF" w:themeColor="background1"/>
                <w:lang w:eastAsia="en-GB"/>
              </w:rPr>
            </w:pPr>
            <w:r w:rsidRPr="00F23CBA">
              <w:rPr>
                <w:b/>
                <w:color w:val="FFFFFF" w:themeColor="background1"/>
              </w:rPr>
              <w:t xml:space="preserve">Table </w:t>
            </w:r>
            <w:r w:rsidR="00490085">
              <w:rPr>
                <w:b/>
                <w:bCs/>
                <w:color w:val="FFFFFF" w:themeColor="background1"/>
              </w:rPr>
              <w:t>A6</w:t>
            </w:r>
            <w:r w:rsidRPr="00F23CBA">
              <w:rPr>
                <w:b/>
                <w:bCs/>
                <w:color w:val="FFFFFF" w:themeColor="background1"/>
              </w:rPr>
              <w:t>-</w:t>
            </w:r>
            <w:r w:rsidRPr="00F23CBA">
              <w:rPr>
                <w:b/>
                <w:bCs/>
                <w:color w:val="FFFFFF" w:themeColor="background1"/>
              </w:rPr>
              <w:fldChar w:fldCharType="begin"/>
            </w:r>
            <w:r w:rsidRPr="00F23CBA">
              <w:rPr>
                <w:b/>
                <w:bCs/>
                <w:color w:val="FFFFFF" w:themeColor="background1"/>
              </w:rPr>
              <w:instrText xml:space="preserve"> SEQ Table_A5- \* ARABIC </w:instrText>
            </w:r>
            <w:r w:rsidRPr="00F23CBA">
              <w:rPr>
                <w:b/>
                <w:bCs/>
                <w:color w:val="FFFFFF" w:themeColor="background1"/>
              </w:rPr>
              <w:fldChar w:fldCharType="separate"/>
            </w:r>
            <w:r>
              <w:rPr>
                <w:b/>
                <w:bCs/>
                <w:noProof/>
                <w:color w:val="FFFFFF" w:themeColor="background1"/>
              </w:rPr>
              <w:t>82</w:t>
            </w:r>
            <w:r w:rsidRPr="00F23CBA">
              <w:rPr>
                <w:b/>
                <w:bCs/>
                <w:color w:val="FFFFFF" w:themeColor="background1"/>
              </w:rPr>
              <w:fldChar w:fldCharType="end"/>
            </w:r>
            <w:r w:rsidRPr="00F23CBA">
              <w:rPr>
                <w:b/>
                <w:bCs/>
                <w:color w:val="FFFFFF" w:themeColor="background1"/>
                <w:lang w:eastAsia="en-GB"/>
              </w:rPr>
              <w:t>:</w:t>
            </w:r>
            <w:r w:rsidRPr="00F23CBA">
              <w:rPr>
                <w:b/>
                <w:color w:val="FFFFFF" w:themeColor="background1"/>
                <w:lang w:eastAsia="en-GB"/>
              </w:rPr>
              <w:t xml:space="preserve"> Environmental Impacts and Revenue Changes in Latvia</w:t>
            </w:r>
            <w:r>
              <w:rPr>
                <w:b/>
                <w:color w:val="FFFFFF" w:themeColor="background1"/>
                <w:lang w:eastAsia="en-GB"/>
              </w:rPr>
              <w:t xml:space="preserve"> – Scenario A</w:t>
            </w:r>
          </w:p>
        </w:tc>
      </w:tr>
      <w:tr w:rsidR="00AE0176" w:rsidRPr="00F501DA" w14:paraId="6A373030" w14:textId="77777777" w:rsidTr="003D26BA">
        <w:tc>
          <w:tcPr>
            <w:tcW w:w="2160" w:type="dxa"/>
          </w:tcPr>
          <w:p w14:paraId="20503C31" w14:textId="77777777" w:rsidR="00AE0176" w:rsidRPr="00F23CBA" w:rsidRDefault="00AE0176" w:rsidP="000878F6">
            <w:pPr>
              <w:spacing w:after="0"/>
              <w:jc w:val="left"/>
              <w:rPr>
                <w:rFonts w:cstheme="minorHAnsi"/>
                <w:b/>
                <w:sz w:val="18"/>
                <w:szCs w:val="18"/>
              </w:rPr>
            </w:pPr>
            <w:r w:rsidRPr="00F23CBA">
              <w:rPr>
                <w:rFonts w:cstheme="minorHAnsi"/>
                <w:b/>
                <w:sz w:val="18"/>
                <w:szCs w:val="18"/>
              </w:rPr>
              <w:t>Tax Name</w:t>
            </w:r>
          </w:p>
        </w:tc>
        <w:tc>
          <w:tcPr>
            <w:tcW w:w="2160" w:type="dxa"/>
            <w:gridSpan w:val="2"/>
            <w:vAlign w:val="bottom"/>
          </w:tcPr>
          <w:p w14:paraId="4121F7DF" w14:textId="77777777" w:rsidR="00AE0176" w:rsidRPr="00D245BD" w:rsidRDefault="00AE0176" w:rsidP="000878F6">
            <w:pPr>
              <w:spacing w:after="0"/>
              <w:jc w:val="center"/>
              <w:rPr>
                <w:rFonts w:cstheme="minorHAnsi"/>
                <w:b/>
                <w:sz w:val="20"/>
                <w:szCs w:val="20"/>
              </w:rPr>
            </w:pPr>
            <w:r w:rsidRPr="00D245BD">
              <w:rPr>
                <w:rFonts w:ascii="Calibri" w:hAnsi="Calibri" w:cs="Calibri"/>
                <w:b/>
                <w:bCs/>
                <w:color w:val="000000"/>
                <w:sz w:val="20"/>
                <w:szCs w:val="20"/>
              </w:rPr>
              <w:t>% Change in Quantities as % of taxed sector</w:t>
            </w:r>
          </w:p>
        </w:tc>
        <w:tc>
          <w:tcPr>
            <w:tcW w:w="2160" w:type="dxa"/>
            <w:gridSpan w:val="2"/>
            <w:vAlign w:val="bottom"/>
          </w:tcPr>
          <w:p w14:paraId="4F2EF835" w14:textId="77777777" w:rsidR="00AE0176" w:rsidRPr="00D245BD" w:rsidRDefault="00AE0176" w:rsidP="000878F6">
            <w:pPr>
              <w:spacing w:after="0"/>
              <w:jc w:val="center"/>
              <w:rPr>
                <w:rFonts w:cstheme="minorHAnsi"/>
                <w:b/>
                <w:sz w:val="20"/>
                <w:szCs w:val="20"/>
              </w:rPr>
            </w:pPr>
            <w:r w:rsidRPr="00D245BD">
              <w:rPr>
                <w:rFonts w:ascii="Calibri" w:hAnsi="Calibri" w:cs="Calibri"/>
                <w:b/>
                <w:bCs/>
                <w:color w:val="000000"/>
                <w:sz w:val="20"/>
                <w:szCs w:val="20"/>
              </w:rPr>
              <w:t>Change in Revenues (€Mn)</w:t>
            </w:r>
          </w:p>
        </w:tc>
        <w:tc>
          <w:tcPr>
            <w:tcW w:w="2446" w:type="dxa"/>
            <w:gridSpan w:val="2"/>
            <w:vAlign w:val="bottom"/>
          </w:tcPr>
          <w:p w14:paraId="57F4ED0F" w14:textId="77777777" w:rsidR="00AE0176" w:rsidRPr="00D245BD" w:rsidRDefault="00AE0176" w:rsidP="000878F6">
            <w:pPr>
              <w:spacing w:after="0"/>
              <w:jc w:val="center"/>
              <w:rPr>
                <w:rFonts w:cstheme="minorHAnsi"/>
                <w:b/>
                <w:sz w:val="20"/>
                <w:szCs w:val="20"/>
              </w:rPr>
            </w:pPr>
            <w:r w:rsidRPr="00D245BD">
              <w:rPr>
                <w:rFonts w:ascii="Calibri" w:hAnsi="Calibri" w:cs="Calibri"/>
                <w:b/>
                <w:bCs/>
                <w:color w:val="000000"/>
                <w:sz w:val="20"/>
                <w:szCs w:val="20"/>
              </w:rPr>
              <w:t>As % of 2023 Resource Tax</w:t>
            </w:r>
          </w:p>
        </w:tc>
      </w:tr>
      <w:tr w:rsidR="00AE0176" w:rsidRPr="00616B6B" w14:paraId="14C0B2A1" w14:textId="77777777" w:rsidTr="003D26BA">
        <w:tc>
          <w:tcPr>
            <w:tcW w:w="2160" w:type="dxa"/>
          </w:tcPr>
          <w:p w14:paraId="6240962D" w14:textId="77777777" w:rsidR="00AE0176" w:rsidRPr="002024C2" w:rsidRDefault="00AE0176" w:rsidP="000878F6">
            <w:pPr>
              <w:spacing w:after="0"/>
              <w:jc w:val="left"/>
              <w:rPr>
                <w:rFonts w:cstheme="minorHAnsi"/>
                <w:b/>
                <w:sz w:val="18"/>
                <w:szCs w:val="18"/>
              </w:rPr>
            </w:pPr>
            <w:r w:rsidRPr="002024C2">
              <w:rPr>
                <w:rFonts w:cstheme="minorHAnsi"/>
                <w:b/>
                <w:sz w:val="18"/>
                <w:szCs w:val="18"/>
              </w:rPr>
              <w:t>Year</w:t>
            </w:r>
          </w:p>
        </w:tc>
        <w:tc>
          <w:tcPr>
            <w:tcW w:w="1080" w:type="dxa"/>
          </w:tcPr>
          <w:p w14:paraId="62CE1609" w14:textId="77777777" w:rsidR="00AE0176" w:rsidRPr="00D245BD" w:rsidRDefault="00AE0176" w:rsidP="000878F6">
            <w:pPr>
              <w:spacing w:after="0"/>
              <w:jc w:val="center"/>
              <w:rPr>
                <w:rFonts w:cstheme="minorHAnsi"/>
                <w:b/>
                <w:sz w:val="20"/>
                <w:szCs w:val="20"/>
              </w:rPr>
            </w:pPr>
            <w:r w:rsidRPr="00D245BD">
              <w:rPr>
                <w:rFonts w:cstheme="minorHAnsi"/>
                <w:b/>
                <w:sz w:val="20"/>
                <w:szCs w:val="20"/>
              </w:rPr>
              <w:t>2030</w:t>
            </w:r>
          </w:p>
        </w:tc>
        <w:tc>
          <w:tcPr>
            <w:tcW w:w="1080" w:type="dxa"/>
          </w:tcPr>
          <w:p w14:paraId="1730415F" w14:textId="77777777" w:rsidR="00AE0176" w:rsidRPr="00D245BD" w:rsidRDefault="00AE0176" w:rsidP="000878F6">
            <w:pPr>
              <w:spacing w:after="0"/>
              <w:jc w:val="center"/>
              <w:rPr>
                <w:rFonts w:cstheme="minorHAnsi"/>
                <w:b/>
                <w:sz w:val="20"/>
                <w:szCs w:val="20"/>
              </w:rPr>
            </w:pPr>
            <w:r w:rsidRPr="00D245BD">
              <w:rPr>
                <w:rFonts w:cstheme="minorHAnsi"/>
                <w:b/>
                <w:sz w:val="20"/>
                <w:szCs w:val="20"/>
              </w:rPr>
              <w:t>2035</w:t>
            </w:r>
          </w:p>
        </w:tc>
        <w:tc>
          <w:tcPr>
            <w:tcW w:w="990" w:type="dxa"/>
          </w:tcPr>
          <w:p w14:paraId="314894C8" w14:textId="77777777" w:rsidR="00AE0176" w:rsidRPr="00D245BD" w:rsidRDefault="00AE0176" w:rsidP="000878F6">
            <w:pPr>
              <w:spacing w:after="0"/>
              <w:jc w:val="center"/>
              <w:rPr>
                <w:rFonts w:cstheme="minorHAnsi"/>
                <w:b/>
                <w:sz w:val="20"/>
                <w:szCs w:val="20"/>
              </w:rPr>
            </w:pPr>
            <w:r w:rsidRPr="00D245BD">
              <w:rPr>
                <w:rFonts w:cstheme="minorHAnsi"/>
                <w:b/>
                <w:sz w:val="20"/>
                <w:szCs w:val="20"/>
              </w:rPr>
              <w:t>2030</w:t>
            </w:r>
          </w:p>
        </w:tc>
        <w:tc>
          <w:tcPr>
            <w:tcW w:w="1170" w:type="dxa"/>
          </w:tcPr>
          <w:p w14:paraId="48808A22" w14:textId="77777777" w:rsidR="00AE0176" w:rsidRPr="00D245BD" w:rsidRDefault="00AE0176" w:rsidP="000878F6">
            <w:pPr>
              <w:spacing w:after="0"/>
              <w:jc w:val="center"/>
              <w:rPr>
                <w:rFonts w:cstheme="minorHAnsi"/>
                <w:b/>
                <w:sz w:val="20"/>
                <w:szCs w:val="20"/>
              </w:rPr>
            </w:pPr>
            <w:r w:rsidRPr="00D245BD">
              <w:rPr>
                <w:rFonts w:cstheme="minorHAnsi"/>
                <w:b/>
                <w:sz w:val="20"/>
                <w:szCs w:val="20"/>
              </w:rPr>
              <w:t>2035</w:t>
            </w:r>
          </w:p>
        </w:tc>
        <w:tc>
          <w:tcPr>
            <w:tcW w:w="1170" w:type="dxa"/>
          </w:tcPr>
          <w:p w14:paraId="06400D27" w14:textId="77777777" w:rsidR="00AE0176" w:rsidRPr="00D245BD" w:rsidRDefault="00AE0176" w:rsidP="000878F6">
            <w:pPr>
              <w:spacing w:after="0"/>
              <w:jc w:val="center"/>
              <w:rPr>
                <w:rFonts w:cstheme="minorHAnsi"/>
                <w:b/>
                <w:sz w:val="20"/>
                <w:szCs w:val="20"/>
              </w:rPr>
            </w:pPr>
            <w:r w:rsidRPr="00D245BD">
              <w:rPr>
                <w:rFonts w:cstheme="minorHAnsi"/>
                <w:b/>
                <w:sz w:val="20"/>
                <w:szCs w:val="20"/>
              </w:rPr>
              <w:t>2030</w:t>
            </w:r>
          </w:p>
        </w:tc>
        <w:tc>
          <w:tcPr>
            <w:tcW w:w="1276" w:type="dxa"/>
          </w:tcPr>
          <w:p w14:paraId="624539A1" w14:textId="77777777" w:rsidR="00AE0176" w:rsidRPr="00D245BD" w:rsidRDefault="00AE0176" w:rsidP="000878F6">
            <w:pPr>
              <w:spacing w:after="0"/>
              <w:jc w:val="center"/>
              <w:rPr>
                <w:rFonts w:cstheme="minorHAnsi"/>
                <w:b/>
                <w:sz w:val="20"/>
                <w:szCs w:val="20"/>
              </w:rPr>
            </w:pPr>
            <w:r w:rsidRPr="00D245BD">
              <w:rPr>
                <w:rFonts w:cstheme="minorHAnsi"/>
                <w:b/>
                <w:sz w:val="20"/>
                <w:szCs w:val="20"/>
              </w:rPr>
              <w:t>2035</w:t>
            </w:r>
          </w:p>
        </w:tc>
      </w:tr>
      <w:tr w:rsidR="00BB262A" w:rsidRPr="00616B6B" w14:paraId="5F53675B" w14:textId="77777777" w:rsidTr="003D26BA">
        <w:tc>
          <w:tcPr>
            <w:tcW w:w="2160" w:type="dxa"/>
          </w:tcPr>
          <w:p w14:paraId="3F91757F" w14:textId="43C2D592" w:rsidR="00BB262A" w:rsidRPr="00F501DA" w:rsidRDefault="00BB262A" w:rsidP="00BB262A">
            <w:pPr>
              <w:spacing w:after="0"/>
              <w:jc w:val="left"/>
              <w:rPr>
                <w:rFonts w:cstheme="minorHAnsi"/>
                <w:sz w:val="18"/>
                <w:szCs w:val="18"/>
              </w:rPr>
            </w:pPr>
            <w:r w:rsidRPr="00232C3E">
              <w:rPr>
                <w:rFonts w:cstheme="minorHAnsi"/>
                <w:sz w:val="20"/>
                <w:szCs w:val="20"/>
              </w:rPr>
              <w:t>NO</w:t>
            </w:r>
            <w:r w:rsidRPr="00FF544C">
              <w:rPr>
                <w:rFonts w:cstheme="minorHAnsi"/>
                <w:sz w:val="20"/>
                <w:szCs w:val="20"/>
                <w:vertAlign w:val="subscript"/>
              </w:rPr>
              <w:t>x</w:t>
            </w:r>
          </w:p>
        </w:tc>
        <w:tc>
          <w:tcPr>
            <w:tcW w:w="1080" w:type="dxa"/>
            <w:vAlign w:val="center"/>
          </w:tcPr>
          <w:p w14:paraId="4A556D04"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-28,57%</w:t>
            </w:r>
          </w:p>
        </w:tc>
        <w:tc>
          <w:tcPr>
            <w:tcW w:w="1080" w:type="dxa"/>
            <w:vAlign w:val="center"/>
          </w:tcPr>
          <w:p w14:paraId="4A44112A"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-28,57%</w:t>
            </w:r>
          </w:p>
        </w:tc>
        <w:tc>
          <w:tcPr>
            <w:tcW w:w="990" w:type="dxa"/>
            <w:vAlign w:val="center"/>
          </w:tcPr>
          <w:p w14:paraId="30534283"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0,41</w:t>
            </w:r>
          </w:p>
        </w:tc>
        <w:tc>
          <w:tcPr>
            <w:tcW w:w="1170" w:type="dxa"/>
            <w:vAlign w:val="center"/>
          </w:tcPr>
          <w:p w14:paraId="052B75A8"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0,47</w:t>
            </w:r>
          </w:p>
        </w:tc>
        <w:tc>
          <w:tcPr>
            <w:tcW w:w="1170" w:type="dxa"/>
            <w:vAlign w:val="center"/>
          </w:tcPr>
          <w:p w14:paraId="6F4D6E3E"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1,13%</w:t>
            </w:r>
          </w:p>
        </w:tc>
        <w:tc>
          <w:tcPr>
            <w:tcW w:w="1276" w:type="dxa"/>
            <w:vAlign w:val="center"/>
          </w:tcPr>
          <w:p w14:paraId="088B33EB"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1,30%</w:t>
            </w:r>
          </w:p>
        </w:tc>
      </w:tr>
      <w:tr w:rsidR="00BB262A" w:rsidRPr="00616B6B" w14:paraId="5237CA33" w14:textId="77777777" w:rsidTr="003D26BA">
        <w:tc>
          <w:tcPr>
            <w:tcW w:w="2160" w:type="dxa"/>
          </w:tcPr>
          <w:p w14:paraId="1DB0F59D" w14:textId="248824CC" w:rsidR="00BB262A" w:rsidRPr="00F501DA" w:rsidRDefault="00BB262A" w:rsidP="00BB262A">
            <w:pPr>
              <w:spacing w:after="0"/>
              <w:jc w:val="left"/>
              <w:rPr>
                <w:rFonts w:cstheme="minorHAnsi"/>
                <w:sz w:val="18"/>
                <w:szCs w:val="18"/>
              </w:rPr>
            </w:pPr>
            <w:r w:rsidRPr="00232C3E">
              <w:rPr>
                <w:rFonts w:cstheme="minorHAnsi"/>
                <w:sz w:val="20"/>
                <w:szCs w:val="20"/>
              </w:rPr>
              <w:t>SO</w:t>
            </w:r>
            <w:r w:rsidRPr="00FF544C">
              <w:rPr>
                <w:rFonts w:cstheme="minorHAnsi"/>
                <w:sz w:val="20"/>
                <w:szCs w:val="20"/>
                <w:vertAlign w:val="subscript"/>
              </w:rPr>
              <w:t>2</w:t>
            </w:r>
          </w:p>
        </w:tc>
        <w:tc>
          <w:tcPr>
            <w:tcW w:w="1080" w:type="dxa"/>
            <w:vAlign w:val="center"/>
          </w:tcPr>
          <w:p w14:paraId="28CB3C90"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-32,43%</w:t>
            </w:r>
          </w:p>
        </w:tc>
        <w:tc>
          <w:tcPr>
            <w:tcW w:w="1080" w:type="dxa"/>
            <w:vAlign w:val="center"/>
          </w:tcPr>
          <w:p w14:paraId="17DF2074"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-32,43%</w:t>
            </w:r>
          </w:p>
        </w:tc>
        <w:tc>
          <w:tcPr>
            <w:tcW w:w="990" w:type="dxa"/>
            <w:vAlign w:val="center"/>
          </w:tcPr>
          <w:p w14:paraId="65ECC832"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1,38</w:t>
            </w:r>
          </w:p>
        </w:tc>
        <w:tc>
          <w:tcPr>
            <w:tcW w:w="1170" w:type="dxa"/>
            <w:vAlign w:val="center"/>
          </w:tcPr>
          <w:p w14:paraId="47C91FFF"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1,12</w:t>
            </w:r>
          </w:p>
        </w:tc>
        <w:tc>
          <w:tcPr>
            <w:tcW w:w="1170" w:type="dxa"/>
            <w:vAlign w:val="center"/>
          </w:tcPr>
          <w:p w14:paraId="09DD60D1"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3,85%</w:t>
            </w:r>
          </w:p>
        </w:tc>
        <w:tc>
          <w:tcPr>
            <w:tcW w:w="1276" w:type="dxa"/>
            <w:vAlign w:val="center"/>
          </w:tcPr>
          <w:p w14:paraId="0CD7E9FA"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3,11%</w:t>
            </w:r>
          </w:p>
        </w:tc>
      </w:tr>
      <w:tr w:rsidR="00BB262A" w:rsidRPr="00616B6B" w14:paraId="06CE18D8" w14:textId="77777777" w:rsidTr="003D26BA">
        <w:tc>
          <w:tcPr>
            <w:tcW w:w="2160" w:type="dxa"/>
          </w:tcPr>
          <w:p w14:paraId="4154F113" w14:textId="15F86906" w:rsidR="00BB262A" w:rsidRPr="00F501DA" w:rsidRDefault="00BB262A" w:rsidP="00BB262A">
            <w:pPr>
              <w:spacing w:after="0"/>
              <w:jc w:val="left"/>
              <w:rPr>
                <w:rFonts w:cstheme="minorHAnsi"/>
                <w:sz w:val="18"/>
                <w:szCs w:val="18"/>
              </w:rPr>
            </w:pPr>
            <w:r w:rsidRPr="00232C3E">
              <w:rPr>
                <w:rFonts w:cstheme="minorHAnsi"/>
                <w:sz w:val="20"/>
                <w:szCs w:val="20"/>
              </w:rPr>
              <w:t>PM</w:t>
            </w:r>
            <w:r w:rsidRPr="00FF544C">
              <w:rPr>
                <w:rFonts w:cstheme="minorHAnsi"/>
                <w:sz w:val="20"/>
                <w:szCs w:val="20"/>
                <w:vertAlign w:val="subscript"/>
              </w:rPr>
              <w:t>2.5</w:t>
            </w:r>
          </w:p>
        </w:tc>
        <w:tc>
          <w:tcPr>
            <w:tcW w:w="1080" w:type="dxa"/>
            <w:vAlign w:val="center"/>
          </w:tcPr>
          <w:p w14:paraId="72B14AFA"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-29,58%</w:t>
            </w:r>
          </w:p>
        </w:tc>
        <w:tc>
          <w:tcPr>
            <w:tcW w:w="1080" w:type="dxa"/>
            <w:vAlign w:val="center"/>
          </w:tcPr>
          <w:p w14:paraId="16965A4D"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-29,58%</w:t>
            </w:r>
          </w:p>
        </w:tc>
        <w:tc>
          <w:tcPr>
            <w:tcW w:w="990" w:type="dxa"/>
            <w:vAlign w:val="center"/>
          </w:tcPr>
          <w:p w14:paraId="2112EAA8"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7,64</w:t>
            </w:r>
          </w:p>
        </w:tc>
        <w:tc>
          <w:tcPr>
            <w:tcW w:w="1170" w:type="dxa"/>
            <w:vAlign w:val="center"/>
          </w:tcPr>
          <w:p w14:paraId="6DC0E8B9"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10,55</w:t>
            </w:r>
          </w:p>
        </w:tc>
        <w:tc>
          <w:tcPr>
            <w:tcW w:w="1170" w:type="dxa"/>
            <w:vAlign w:val="center"/>
          </w:tcPr>
          <w:p w14:paraId="1CACFC2B"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21,23%</w:t>
            </w:r>
          </w:p>
        </w:tc>
        <w:tc>
          <w:tcPr>
            <w:tcW w:w="1276" w:type="dxa"/>
            <w:vAlign w:val="center"/>
          </w:tcPr>
          <w:p w14:paraId="3352B3F2" w14:textId="77777777" w:rsidR="00BB262A" w:rsidRPr="00D245BD" w:rsidRDefault="00BB262A" w:rsidP="00BB262A">
            <w:pPr>
              <w:spacing w:after="0"/>
              <w:jc w:val="center"/>
              <w:rPr>
                <w:rFonts w:cstheme="minorHAnsi"/>
                <w:sz w:val="20"/>
                <w:szCs w:val="20"/>
              </w:rPr>
            </w:pPr>
            <w:r w:rsidRPr="00D245BD">
              <w:rPr>
                <w:rFonts w:ascii="Calibri" w:hAnsi="Calibri" w:cs="Calibri"/>
                <w:color w:val="000000"/>
                <w:sz w:val="20"/>
                <w:szCs w:val="20"/>
              </w:rPr>
              <w:t>29,32%</w:t>
            </w:r>
          </w:p>
        </w:tc>
      </w:tr>
      <w:tr w:rsidR="00AE0176" w:rsidRPr="00616B6B" w14:paraId="2918FFF3" w14:textId="77777777" w:rsidTr="003D26BA">
        <w:tc>
          <w:tcPr>
            <w:tcW w:w="2160" w:type="dxa"/>
          </w:tcPr>
          <w:p w14:paraId="2B9BC659" w14:textId="77777777" w:rsidR="00AE0176" w:rsidRPr="00F501DA" w:rsidRDefault="00AE0176" w:rsidP="000878F6">
            <w:pPr>
              <w:spacing w:after="0"/>
              <w:jc w:val="left"/>
              <w:rPr>
                <w:rFonts w:cstheme="minorHAnsi"/>
                <w:sz w:val="18"/>
                <w:szCs w:val="18"/>
              </w:rPr>
            </w:pPr>
            <w:r w:rsidRPr="00F501DA">
              <w:rPr>
                <w:rFonts w:cstheme="minorHAnsi"/>
                <w:sz w:val="18"/>
                <w:szCs w:val="18"/>
              </w:rPr>
              <w:t>Water Abstraction</w:t>
            </w:r>
          </w:p>
        </w:tc>
        <w:tc>
          <w:tcPr>
            <w:tcW w:w="1080" w:type="dxa"/>
            <w:vAlign w:val="center"/>
          </w:tcPr>
          <w:p w14:paraId="121520CC"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-6,63%</w:t>
            </w:r>
          </w:p>
        </w:tc>
        <w:tc>
          <w:tcPr>
            <w:tcW w:w="1080" w:type="dxa"/>
            <w:vAlign w:val="center"/>
          </w:tcPr>
          <w:p w14:paraId="4F97EB21"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-6,63%</w:t>
            </w:r>
          </w:p>
        </w:tc>
        <w:tc>
          <w:tcPr>
            <w:tcW w:w="990" w:type="dxa"/>
            <w:vAlign w:val="center"/>
          </w:tcPr>
          <w:p w14:paraId="12243399"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8,40</w:t>
            </w:r>
          </w:p>
        </w:tc>
        <w:tc>
          <w:tcPr>
            <w:tcW w:w="1170" w:type="dxa"/>
            <w:vAlign w:val="center"/>
          </w:tcPr>
          <w:p w14:paraId="11DC298F"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8,23</w:t>
            </w:r>
          </w:p>
        </w:tc>
        <w:tc>
          <w:tcPr>
            <w:tcW w:w="1170" w:type="dxa"/>
            <w:vAlign w:val="center"/>
          </w:tcPr>
          <w:p w14:paraId="46331689"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30,86%</w:t>
            </w:r>
          </w:p>
        </w:tc>
        <w:tc>
          <w:tcPr>
            <w:tcW w:w="1276" w:type="dxa"/>
            <w:vAlign w:val="center"/>
          </w:tcPr>
          <w:p w14:paraId="30F45977"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30,22%</w:t>
            </w:r>
          </w:p>
        </w:tc>
      </w:tr>
      <w:tr w:rsidR="00AE0176" w:rsidRPr="00616B6B" w14:paraId="3E8224DD" w14:textId="77777777" w:rsidTr="003D26BA">
        <w:tc>
          <w:tcPr>
            <w:tcW w:w="2160" w:type="dxa"/>
          </w:tcPr>
          <w:p w14:paraId="3F1FDF53" w14:textId="77777777" w:rsidR="00AE0176" w:rsidRPr="00F501DA" w:rsidRDefault="00AE0176" w:rsidP="000878F6">
            <w:pPr>
              <w:spacing w:after="0"/>
              <w:jc w:val="left"/>
              <w:rPr>
                <w:rFonts w:cstheme="minorHAnsi"/>
                <w:sz w:val="18"/>
                <w:szCs w:val="18"/>
              </w:rPr>
            </w:pPr>
            <w:r w:rsidRPr="00F501DA">
              <w:rPr>
                <w:rFonts w:cstheme="minorHAnsi"/>
                <w:sz w:val="18"/>
                <w:szCs w:val="18"/>
              </w:rPr>
              <w:t>Fertilizers</w:t>
            </w:r>
          </w:p>
        </w:tc>
        <w:tc>
          <w:tcPr>
            <w:tcW w:w="1080" w:type="dxa"/>
            <w:vAlign w:val="center"/>
          </w:tcPr>
          <w:p w14:paraId="44C74905"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-5,99%</w:t>
            </w:r>
          </w:p>
        </w:tc>
        <w:tc>
          <w:tcPr>
            <w:tcW w:w="1080" w:type="dxa"/>
            <w:vAlign w:val="center"/>
          </w:tcPr>
          <w:p w14:paraId="2C4924CD"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-5,99%</w:t>
            </w:r>
          </w:p>
        </w:tc>
        <w:tc>
          <w:tcPr>
            <w:tcW w:w="990" w:type="dxa"/>
            <w:vAlign w:val="center"/>
          </w:tcPr>
          <w:p w14:paraId="0D159A1A"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2,28</w:t>
            </w:r>
          </w:p>
        </w:tc>
        <w:tc>
          <w:tcPr>
            <w:tcW w:w="1170" w:type="dxa"/>
            <w:vAlign w:val="center"/>
          </w:tcPr>
          <w:p w14:paraId="10C591D1"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2,66</w:t>
            </w:r>
          </w:p>
        </w:tc>
        <w:tc>
          <w:tcPr>
            <w:tcW w:w="1170" w:type="dxa"/>
            <w:vAlign w:val="center"/>
          </w:tcPr>
          <w:p w14:paraId="0677C583"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6,33%</w:t>
            </w:r>
          </w:p>
        </w:tc>
        <w:tc>
          <w:tcPr>
            <w:tcW w:w="1276" w:type="dxa"/>
            <w:vAlign w:val="center"/>
          </w:tcPr>
          <w:p w14:paraId="3BE0EA1D"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7,40%</w:t>
            </w:r>
          </w:p>
        </w:tc>
      </w:tr>
      <w:tr w:rsidR="00AE0176" w:rsidRPr="00616B6B" w14:paraId="2AA74E8B" w14:textId="77777777" w:rsidTr="003D26BA">
        <w:tc>
          <w:tcPr>
            <w:tcW w:w="2160" w:type="dxa"/>
          </w:tcPr>
          <w:p w14:paraId="21CD1352" w14:textId="77777777" w:rsidR="00AE0176" w:rsidRPr="00F501DA" w:rsidRDefault="00AE0176" w:rsidP="000878F6">
            <w:pPr>
              <w:spacing w:after="0"/>
              <w:jc w:val="left"/>
              <w:rPr>
                <w:rFonts w:cstheme="minorHAnsi"/>
                <w:sz w:val="18"/>
                <w:szCs w:val="18"/>
              </w:rPr>
            </w:pPr>
            <w:r w:rsidRPr="00F501DA">
              <w:rPr>
                <w:rFonts w:cstheme="minorHAnsi"/>
                <w:sz w:val="18"/>
                <w:szCs w:val="18"/>
              </w:rPr>
              <w:t>Pesticides</w:t>
            </w:r>
          </w:p>
        </w:tc>
        <w:tc>
          <w:tcPr>
            <w:tcW w:w="1080" w:type="dxa"/>
            <w:vAlign w:val="center"/>
          </w:tcPr>
          <w:p w14:paraId="536AECE1"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n/a</w:t>
            </w:r>
          </w:p>
        </w:tc>
        <w:tc>
          <w:tcPr>
            <w:tcW w:w="1080" w:type="dxa"/>
            <w:vAlign w:val="center"/>
          </w:tcPr>
          <w:p w14:paraId="480E6781"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n/a</w:t>
            </w:r>
          </w:p>
        </w:tc>
        <w:tc>
          <w:tcPr>
            <w:tcW w:w="990" w:type="dxa"/>
            <w:vAlign w:val="center"/>
          </w:tcPr>
          <w:p w14:paraId="6BA58BB0"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3,76</w:t>
            </w:r>
          </w:p>
        </w:tc>
        <w:tc>
          <w:tcPr>
            <w:tcW w:w="1170" w:type="dxa"/>
            <w:vAlign w:val="center"/>
          </w:tcPr>
          <w:p w14:paraId="48ECD83F"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3,74</w:t>
            </w:r>
          </w:p>
        </w:tc>
        <w:tc>
          <w:tcPr>
            <w:tcW w:w="1170" w:type="dxa"/>
            <w:vAlign w:val="center"/>
          </w:tcPr>
          <w:p w14:paraId="4130C5B9"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10,44%</w:t>
            </w:r>
          </w:p>
        </w:tc>
        <w:tc>
          <w:tcPr>
            <w:tcW w:w="1276" w:type="dxa"/>
            <w:vAlign w:val="center"/>
          </w:tcPr>
          <w:p w14:paraId="071E2613"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10,39%</w:t>
            </w:r>
          </w:p>
        </w:tc>
      </w:tr>
      <w:tr w:rsidR="00AE0176" w:rsidRPr="00616B6B" w14:paraId="5F55E247" w14:textId="77777777" w:rsidTr="003D26BA">
        <w:tc>
          <w:tcPr>
            <w:tcW w:w="2160" w:type="dxa"/>
          </w:tcPr>
          <w:p w14:paraId="6F7CE157" w14:textId="77777777" w:rsidR="00AE0176" w:rsidRPr="00F501DA" w:rsidRDefault="00AE0176" w:rsidP="000878F6">
            <w:pPr>
              <w:spacing w:after="0"/>
              <w:jc w:val="left"/>
              <w:rPr>
                <w:rFonts w:cstheme="minorHAnsi"/>
                <w:sz w:val="18"/>
                <w:szCs w:val="18"/>
              </w:rPr>
            </w:pPr>
            <w:r w:rsidRPr="00F501DA">
              <w:rPr>
                <w:rFonts w:cstheme="minorHAnsi"/>
                <w:sz w:val="18"/>
                <w:szCs w:val="18"/>
              </w:rPr>
              <w:t>Waste Incineration</w:t>
            </w:r>
          </w:p>
        </w:tc>
        <w:tc>
          <w:tcPr>
            <w:tcW w:w="1080" w:type="dxa"/>
            <w:vAlign w:val="center"/>
          </w:tcPr>
          <w:p w14:paraId="24DDC550"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-6,35%</w:t>
            </w:r>
          </w:p>
        </w:tc>
        <w:tc>
          <w:tcPr>
            <w:tcW w:w="1080" w:type="dxa"/>
            <w:vAlign w:val="center"/>
          </w:tcPr>
          <w:p w14:paraId="6AE74788"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-6,35%</w:t>
            </w:r>
          </w:p>
        </w:tc>
        <w:tc>
          <w:tcPr>
            <w:tcW w:w="990" w:type="dxa"/>
            <w:vAlign w:val="center"/>
          </w:tcPr>
          <w:p w14:paraId="45B01275"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0,00</w:t>
            </w:r>
          </w:p>
        </w:tc>
        <w:tc>
          <w:tcPr>
            <w:tcW w:w="1170" w:type="dxa"/>
            <w:vAlign w:val="center"/>
          </w:tcPr>
          <w:p w14:paraId="0EC0FB7B"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0,00</w:t>
            </w:r>
          </w:p>
        </w:tc>
        <w:tc>
          <w:tcPr>
            <w:tcW w:w="1170" w:type="dxa"/>
            <w:vAlign w:val="center"/>
          </w:tcPr>
          <w:p w14:paraId="1C7C6385"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0,00%</w:t>
            </w:r>
          </w:p>
        </w:tc>
        <w:tc>
          <w:tcPr>
            <w:tcW w:w="1276" w:type="dxa"/>
            <w:vAlign w:val="center"/>
          </w:tcPr>
          <w:p w14:paraId="6B02A3E1"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0,00%</w:t>
            </w:r>
          </w:p>
        </w:tc>
      </w:tr>
      <w:tr w:rsidR="00AE0176" w:rsidRPr="00616B6B" w14:paraId="1026AE29" w14:textId="77777777" w:rsidTr="003D26BA">
        <w:tc>
          <w:tcPr>
            <w:tcW w:w="2160" w:type="dxa"/>
          </w:tcPr>
          <w:p w14:paraId="7CD69B13" w14:textId="77777777" w:rsidR="00AE0176" w:rsidRPr="00F501DA" w:rsidRDefault="00AE0176" w:rsidP="000878F6">
            <w:pPr>
              <w:spacing w:after="0"/>
              <w:jc w:val="left"/>
              <w:rPr>
                <w:rFonts w:cstheme="minorHAnsi"/>
                <w:sz w:val="18"/>
                <w:szCs w:val="18"/>
              </w:rPr>
            </w:pPr>
            <w:r w:rsidRPr="00F501DA">
              <w:rPr>
                <w:rFonts w:cstheme="minorHAnsi"/>
                <w:sz w:val="18"/>
                <w:szCs w:val="18"/>
              </w:rPr>
              <w:t>Waste to Landfill</w:t>
            </w:r>
          </w:p>
        </w:tc>
        <w:tc>
          <w:tcPr>
            <w:tcW w:w="1080" w:type="dxa"/>
            <w:vAlign w:val="center"/>
          </w:tcPr>
          <w:p w14:paraId="50082D93"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0,00%</w:t>
            </w:r>
          </w:p>
        </w:tc>
        <w:tc>
          <w:tcPr>
            <w:tcW w:w="1080" w:type="dxa"/>
            <w:vAlign w:val="center"/>
          </w:tcPr>
          <w:p w14:paraId="64C93C0A"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0,00%</w:t>
            </w:r>
          </w:p>
        </w:tc>
        <w:tc>
          <w:tcPr>
            <w:tcW w:w="990" w:type="dxa"/>
            <w:vAlign w:val="center"/>
          </w:tcPr>
          <w:p w14:paraId="17112B18"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0,00</w:t>
            </w:r>
          </w:p>
        </w:tc>
        <w:tc>
          <w:tcPr>
            <w:tcW w:w="1170" w:type="dxa"/>
            <w:vAlign w:val="center"/>
          </w:tcPr>
          <w:p w14:paraId="08AEFAEF"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0,00</w:t>
            </w:r>
          </w:p>
        </w:tc>
        <w:tc>
          <w:tcPr>
            <w:tcW w:w="1170" w:type="dxa"/>
            <w:vAlign w:val="center"/>
          </w:tcPr>
          <w:p w14:paraId="3BDD53AE"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0,00%</w:t>
            </w:r>
          </w:p>
        </w:tc>
        <w:tc>
          <w:tcPr>
            <w:tcW w:w="1276" w:type="dxa"/>
            <w:vAlign w:val="center"/>
          </w:tcPr>
          <w:p w14:paraId="34DFFE2C"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0,00%</w:t>
            </w:r>
          </w:p>
        </w:tc>
      </w:tr>
      <w:tr w:rsidR="00AE0176" w:rsidRPr="00616B6B" w14:paraId="70099C33" w14:textId="77777777" w:rsidTr="003D26BA">
        <w:tc>
          <w:tcPr>
            <w:tcW w:w="2160" w:type="dxa"/>
          </w:tcPr>
          <w:p w14:paraId="36F41C02" w14:textId="77777777" w:rsidR="00AE0176" w:rsidRPr="00F501DA" w:rsidRDefault="00AE0176" w:rsidP="000878F6">
            <w:pPr>
              <w:spacing w:after="0"/>
              <w:jc w:val="left"/>
              <w:rPr>
                <w:rFonts w:cstheme="minorHAnsi"/>
                <w:sz w:val="18"/>
                <w:szCs w:val="18"/>
              </w:rPr>
            </w:pPr>
            <w:r w:rsidRPr="00F501DA">
              <w:rPr>
                <w:rFonts w:cstheme="minorHAnsi"/>
                <w:sz w:val="18"/>
                <w:szCs w:val="18"/>
              </w:rPr>
              <w:t>Water Effluent</w:t>
            </w:r>
          </w:p>
        </w:tc>
        <w:tc>
          <w:tcPr>
            <w:tcW w:w="1080" w:type="dxa"/>
            <w:vAlign w:val="center"/>
          </w:tcPr>
          <w:p w14:paraId="4DE34CA5"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0,00%</w:t>
            </w:r>
          </w:p>
        </w:tc>
        <w:tc>
          <w:tcPr>
            <w:tcW w:w="1080" w:type="dxa"/>
            <w:vAlign w:val="center"/>
          </w:tcPr>
          <w:p w14:paraId="24004091"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0,00%</w:t>
            </w:r>
          </w:p>
        </w:tc>
        <w:tc>
          <w:tcPr>
            <w:tcW w:w="990" w:type="dxa"/>
            <w:vAlign w:val="center"/>
          </w:tcPr>
          <w:p w14:paraId="38B9C05C"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0,00</w:t>
            </w:r>
          </w:p>
        </w:tc>
        <w:tc>
          <w:tcPr>
            <w:tcW w:w="1170" w:type="dxa"/>
            <w:vAlign w:val="center"/>
          </w:tcPr>
          <w:p w14:paraId="4915606A"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0,00</w:t>
            </w:r>
          </w:p>
        </w:tc>
        <w:tc>
          <w:tcPr>
            <w:tcW w:w="1170" w:type="dxa"/>
            <w:vAlign w:val="center"/>
          </w:tcPr>
          <w:p w14:paraId="542097ED"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0,00%</w:t>
            </w:r>
          </w:p>
        </w:tc>
        <w:tc>
          <w:tcPr>
            <w:tcW w:w="1276" w:type="dxa"/>
            <w:vAlign w:val="center"/>
          </w:tcPr>
          <w:p w14:paraId="01713BA3"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0,00%</w:t>
            </w:r>
          </w:p>
        </w:tc>
      </w:tr>
      <w:tr w:rsidR="00AE0176" w:rsidRPr="00616B6B" w14:paraId="4CD53A9C" w14:textId="77777777" w:rsidTr="003D26BA">
        <w:tc>
          <w:tcPr>
            <w:tcW w:w="2160" w:type="dxa"/>
          </w:tcPr>
          <w:p w14:paraId="3BBA5561" w14:textId="77777777" w:rsidR="00AE0176" w:rsidRPr="00616B6B" w:rsidRDefault="00AE0176" w:rsidP="000878F6">
            <w:pPr>
              <w:spacing w:after="0"/>
              <w:jc w:val="left"/>
              <w:rPr>
                <w:rFonts w:cstheme="minorHAnsi"/>
                <w:sz w:val="18"/>
                <w:szCs w:val="18"/>
              </w:rPr>
            </w:pPr>
            <w:r w:rsidRPr="00616B6B">
              <w:rPr>
                <w:rFonts w:cstheme="minorHAnsi"/>
                <w:sz w:val="18"/>
                <w:szCs w:val="18"/>
              </w:rPr>
              <w:t>Minerals &amp; Aggregates</w:t>
            </w:r>
          </w:p>
        </w:tc>
        <w:tc>
          <w:tcPr>
            <w:tcW w:w="1080" w:type="dxa"/>
            <w:vAlign w:val="center"/>
          </w:tcPr>
          <w:p w14:paraId="766A2B0C"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-16,67%</w:t>
            </w:r>
          </w:p>
        </w:tc>
        <w:tc>
          <w:tcPr>
            <w:tcW w:w="1080" w:type="dxa"/>
            <w:vAlign w:val="center"/>
          </w:tcPr>
          <w:p w14:paraId="62027021"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-16,67%</w:t>
            </w:r>
          </w:p>
        </w:tc>
        <w:tc>
          <w:tcPr>
            <w:tcW w:w="990" w:type="dxa"/>
            <w:vAlign w:val="center"/>
          </w:tcPr>
          <w:p w14:paraId="12949D19"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74,71</w:t>
            </w:r>
          </w:p>
        </w:tc>
        <w:tc>
          <w:tcPr>
            <w:tcW w:w="1170" w:type="dxa"/>
            <w:vAlign w:val="center"/>
          </w:tcPr>
          <w:p w14:paraId="6A5B8C44"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87,54</w:t>
            </w:r>
          </w:p>
        </w:tc>
        <w:tc>
          <w:tcPr>
            <w:tcW w:w="1170" w:type="dxa"/>
            <w:vAlign w:val="center"/>
          </w:tcPr>
          <w:p w14:paraId="5520F1C8"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274,38%</w:t>
            </w:r>
          </w:p>
        </w:tc>
        <w:tc>
          <w:tcPr>
            <w:tcW w:w="1276" w:type="dxa"/>
            <w:vAlign w:val="center"/>
          </w:tcPr>
          <w:p w14:paraId="6BE860C4" w14:textId="77777777" w:rsidR="00AE0176" w:rsidRPr="00D245BD" w:rsidRDefault="00AE0176" w:rsidP="000878F6">
            <w:pPr>
              <w:spacing w:after="0"/>
              <w:jc w:val="center"/>
              <w:rPr>
                <w:rFonts w:cstheme="minorHAnsi"/>
                <w:sz w:val="20"/>
                <w:szCs w:val="20"/>
              </w:rPr>
            </w:pPr>
            <w:r w:rsidRPr="00D245BD">
              <w:rPr>
                <w:rFonts w:ascii="Calibri" w:hAnsi="Calibri" w:cs="Calibri"/>
                <w:color w:val="000000"/>
                <w:sz w:val="20"/>
                <w:szCs w:val="20"/>
              </w:rPr>
              <w:t>321,47%</w:t>
            </w:r>
          </w:p>
        </w:tc>
      </w:tr>
    </w:tbl>
    <w:p w14:paraId="2B3652CE" w14:textId="77777777" w:rsidR="00AE0176" w:rsidRDefault="00AE0176" w:rsidP="00AE0176">
      <w:pPr>
        <w:rPr>
          <w:lang w:eastAsia="en-GB"/>
        </w:rPr>
      </w:pP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170"/>
        <w:gridCol w:w="1276"/>
      </w:tblGrid>
      <w:tr w:rsidR="00AE0176" w:rsidRPr="00232C3E" w14:paraId="2DCB158C" w14:textId="77777777" w:rsidTr="003D26BA">
        <w:trPr>
          <w:trHeight w:val="255"/>
        </w:trPr>
        <w:tc>
          <w:tcPr>
            <w:tcW w:w="8926" w:type="dxa"/>
            <w:gridSpan w:val="7"/>
            <w:shd w:val="clear" w:color="auto" w:fill="003399"/>
          </w:tcPr>
          <w:p w14:paraId="5E138466" w14:textId="2A120685" w:rsidR="00AE0176" w:rsidRPr="00232C3E" w:rsidRDefault="00AE0176" w:rsidP="000878F6">
            <w:pPr>
              <w:pStyle w:val="Table"/>
              <w:rPr>
                <w:b/>
                <w:color w:val="FFFFFF" w:themeColor="background1"/>
                <w:szCs w:val="20"/>
                <w:lang w:eastAsia="en-GB"/>
              </w:rPr>
            </w:pPr>
            <w:r w:rsidRPr="00232C3E">
              <w:rPr>
                <w:b/>
                <w:color w:val="FFFFFF" w:themeColor="background1"/>
                <w:szCs w:val="20"/>
              </w:rPr>
              <w:t xml:space="preserve">Table </w:t>
            </w:r>
            <w:r w:rsidR="00490085">
              <w:rPr>
                <w:b/>
                <w:bCs/>
                <w:color w:val="FFFFFF" w:themeColor="background1"/>
                <w:szCs w:val="20"/>
              </w:rPr>
              <w:t>A6</w:t>
            </w:r>
            <w:r w:rsidRPr="00232C3E">
              <w:rPr>
                <w:b/>
                <w:bCs/>
                <w:color w:val="FFFFFF" w:themeColor="background1"/>
                <w:szCs w:val="20"/>
              </w:rPr>
              <w:t>-</w:t>
            </w:r>
            <w:r w:rsidRPr="00232C3E">
              <w:rPr>
                <w:b/>
                <w:bCs/>
                <w:color w:val="FFFFFF" w:themeColor="background1"/>
                <w:szCs w:val="20"/>
              </w:rPr>
              <w:fldChar w:fldCharType="begin"/>
            </w:r>
            <w:r w:rsidRPr="00232C3E">
              <w:rPr>
                <w:b/>
                <w:bCs/>
                <w:color w:val="FFFFFF" w:themeColor="background1"/>
                <w:szCs w:val="20"/>
              </w:rPr>
              <w:instrText xml:space="preserve"> SEQ Table_A5- \* ARABIC </w:instrText>
            </w:r>
            <w:r w:rsidRPr="00232C3E">
              <w:rPr>
                <w:b/>
                <w:bCs/>
                <w:color w:val="FFFFFF" w:themeColor="background1"/>
                <w:szCs w:val="20"/>
              </w:rPr>
              <w:fldChar w:fldCharType="separate"/>
            </w:r>
            <w:r>
              <w:rPr>
                <w:b/>
                <w:bCs/>
                <w:noProof/>
                <w:color w:val="FFFFFF" w:themeColor="background1"/>
                <w:szCs w:val="20"/>
              </w:rPr>
              <w:t>83</w:t>
            </w:r>
            <w:r w:rsidRPr="00232C3E">
              <w:rPr>
                <w:b/>
                <w:bCs/>
                <w:color w:val="FFFFFF" w:themeColor="background1"/>
                <w:szCs w:val="20"/>
              </w:rPr>
              <w:fldChar w:fldCharType="end"/>
            </w:r>
            <w:r w:rsidRPr="00232C3E">
              <w:rPr>
                <w:b/>
                <w:bCs/>
                <w:color w:val="FFFFFF" w:themeColor="background1"/>
                <w:szCs w:val="20"/>
                <w:lang w:eastAsia="en-GB"/>
              </w:rPr>
              <w:t>:</w:t>
            </w:r>
            <w:r w:rsidRPr="00232C3E">
              <w:rPr>
                <w:b/>
                <w:color w:val="FFFFFF" w:themeColor="background1"/>
                <w:szCs w:val="20"/>
                <w:lang w:eastAsia="en-GB"/>
              </w:rPr>
              <w:t xml:space="preserve"> Environmental Impacts and Revenue Changes in Latvia – Scenario B</w:t>
            </w:r>
          </w:p>
        </w:tc>
      </w:tr>
      <w:tr w:rsidR="00AE0176" w:rsidRPr="00232C3E" w14:paraId="04A59EB2" w14:textId="77777777" w:rsidTr="003D26BA">
        <w:tc>
          <w:tcPr>
            <w:tcW w:w="2160" w:type="dxa"/>
          </w:tcPr>
          <w:p w14:paraId="63066330" w14:textId="77777777" w:rsidR="00AE0176" w:rsidRPr="00232C3E" w:rsidRDefault="00AE0176" w:rsidP="000878F6">
            <w:pPr>
              <w:spacing w:after="0"/>
              <w:jc w:val="left"/>
              <w:rPr>
                <w:rFonts w:cstheme="minorHAnsi"/>
                <w:b/>
                <w:sz w:val="20"/>
                <w:szCs w:val="20"/>
              </w:rPr>
            </w:pPr>
            <w:r w:rsidRPr="00232C3E">
              <w:rPr>
                <w:rFonts w:cstheme="minorHAnsi"/>
                <w:b/>
                <w:sz w:val="20"/>
                <w:szCs w:val="20"/>
              </w:rPr>
              <w:t>Tax Name</w:t>
            </w:r>
          </w:p>
        </w:tc>
        <w:tc>
          <w:tcPr>
            <w:tcW w:w="2160" w:type="dxa"/>
            <w:gridSpan w:val="2"/>
            <w:vAlign w:val="bottom"/>
          </w:tcPr>
          <w:p w14:paraId="071825A5" w14:textId="77777777" w:rsidR="00AE0176" w:rsidRPr="00232C3E" w:rsidRDefault="00AE0176" w:rsidP="000878F6">
            <w:pPr>
              <w:spacing w:after="0"/>
              <w:jc w:val="center"/>
              <w:rPr>
                <w:rFonts w:cstheme="minorHAnsi"/>
                <w:b/>
                <w:sz w:val="20"/>
                <w:szCs w:val="20"/>
              </w:rPr>
            </w:pPr>
            <w:r w:rsidRPr="00232C3E">
              <w:rPr>
                <w:rFonts w:ascii="Calibri" w:hAnsi="Calibri" w:cs="Calibri"/>
                <w:b/>
                <w:bCs/>
                <w:color w:val="000000"/>
                <w:sz w:val="20"/>
                <w:szCs w:val="20"/>
              </w:rPr>
              <w:t>% Change in Quantities as % of taxed sector</w:t>
            </w:r>
          </w:p>
        </w:tc>
        <w:tc>
          <w:tcPr>
            <w:tcW w:w="2160" w:type="dxa"/>
            <w:gridSpan w:val="2"/>
            <w:vAlign w:val="bottom"/>
          </w:tcPr>
          <w:p w14:paraId="4468F26C" w14:textId="77777777" w:rsidR="00AE0176" w:rsidRPr="00232C3E" w:rsidRDefault="00AE0176" w:rsidP="000878F6">
            <w:pPr>
              <w:spacing w:after="0"/>
              <w:jc w:val="center"/>
              <w:rPr>
                <w:rFonts w:cstheme="minorHAnsi"/>
                <w:b/>
                <w:sz w:val="20"/>
                <w:szCs w:val="20"/>
              </w:rPr>
            </w:pPr>
            <w:r w:rsidRPr="00232C3E">
              <w:rPr>
                <w:rFonts w:ascii="Calibri" w:hAnsi="Calibri" w:cs="Calibri"/>
                <w:b/>
                <w:bCs/>
                <w:color w:val="000000"/>
                <w:sz w:val="20"/>
                <w:szCs w:val="20"/>
              </w:rPr>
              <w:t>Change in Revenues (€Mn)</w:t>
            </w:r>
          </w:p>
        </w:tc>
        <w:tc>
          <w:tcPr>
            <w:tcW w:w="2446" w:type="dxa"/>
            <w:gridSpan w:val="2"/>
            <w:vAlign w:val="bottom"/>
          </w:tcPr>
          <w:p w14:paraId="0928FE04" w14:textId="77777777" w:rsidR="00AE0176" w:rsidRPr="00232C3E" w:rsidRDefault="00AE0176" w:rsidP="000878F6">
            <w:pPr>
              <w:spacing w:after="0"/>
              <w:jc w:val="center"/>
              <w:rPr>
                <w:rFonts w:cstheme="minorHAnsi"/>
                <w:b/>
                <w:sz w:val="20"/>
                <w:szCs w:val="20"/>
              </w:rPr>
            </w:pPr>
            <w:r w:rsidRPr="00232C3E">
              <w:rPr>
                <w:rFonts w:ascii="Calibri" w:hAnsi="Calibri" w:cs="Calibri"/>
                <w:b/>
                <w:bCs/>
                <w:color w:val="000000"/>
                <w:sz w:val="20"/>
                <w:szCs w:val="20"/>
              </w:rPr>
              <w:t>As % of 2023 Resource Tax</w:t>
            </w:r>
          </w:p>
        </w:tc>
      </w:tr>
      <w:tr w:rsidR="00AE0176" w:rsidRPr="00232C3E" w14:paraId="65DBEA5C" w14:textId="77777777" w:rsidTr="003D26BA">
        <w:tc>
          <w:tcPr>
            <w:tcW w:w="2160" w:type="dxa"/>
          </w:tcPr>
          <w:p w14:paraId="60C5D1D4" w14:textId="77777777" w:rsidR="00AE0176" w:rsidRPr="00232C3E" w:rsidRDefault="00AE0176" w:rsidP="000878F6">
            <w:pPr>
              <w:spacing w:after="0"/>
              <w:jc w:val="left"/>
              <w:rPr>
                <w:rFonts w:cstheme="minorHAnsi"/>
                <w:b/>
                <w:sz w:val="20"/>
                <w:szCs w:val="20"/>
              </w:rPr>
            </w:pPr>
            <w:r w:rsidRPr="00232C3E">
              <w:rPr>
                <w:rFonts w:cstheme="minorHAnsi"/>
                <w:b/>
                <w:sz w:val="20"/>
                <w:szCs w:val="20"/>
              </w:rPr>
              <w:t>Year</w:t>
            </w:r>
          </w:p>
        </w:tc>
        <w:tc>
          <w:tcPr>
            <w:tcW w:w="1080" w:type="dxa"/>
          </w:tcPr>
          <w:p w14:paraId="200F9094" w14:textId="77777777" w:rsidR="00AE0176" w:rsidRPr="00232C3E" w:rsidRDefault="00AE0176" w:rsidP="000878F6">
            <w:pPr>
              <w:spacing w:after="0"/>
              <w:jc w:val="center"/>
              <w:rPr>
                <w:rFonts w:cstheme="minorHAnsi"/>
                <w:b/>
                <w:sz w:val="20"/>
                <w:szCs w:val="20"/>
              </w:rPr>
            </w:pPr>
            <w:r w:rsidRPr="00232C3E">
              <w:rPr>
                <w:rFonts w:cstheme="minorHAnsi"/>
                <w:b/>
                <w:sz w:val="20"/>
                <w:szCs w:val="20"/>
              </w:rPr>
              <w:t>2030</w:t>
            </w:r>
          </w:p>
        </w:tc>
        <w:tc>
          <w:tcPr>
            <w:tcW w:w="1080" w:type="dxa"/>
          </w:tcPr>
          <w:p w14:paraId="102A3A16" w14:textId="77777777" w:rsidR="00AE0176" w:rsidRPr="00232C3E" w:rsidRDefault="00AE0176" w:rsidP="000878F6">
            <w:pPr>
              <w:spacing w:after="0"/>
              <w:jc w:val="center"/>
              <w:rPr>
                <w:rFonts w:cstheme="minorHAnsi"/>
                <w:b/>
                <w:sz w:val="20"/>
                <w:szCs w:val="20"/>
              </w:rPr>
            </w:pPr>
            <w:r w:rsidRPr="00232C3E">
              <w:rPr>
                <w:rFonts w:cstheme="minorHAnsi"/>
                <w:b/>
                <w:sz w:val="20"/>
                <w:szCs w:val="20"/>
              </w:rPr>
              <w:t>2035</w:t>
            </w:r>
          </w:p>
        </w:tc>
        <w:tc>
          <w:tcPr>
            <w:tcW w:w="990" w:type="dxa"/>
          </w:tcPr>
          <w:p w14:paraId="3F0319EF" w14:textId="77777777" w:rsidR="00AE0176" w:rsidRPr="00232C3E" w:rsidRDefault="00AE0176" w:rsidP="000878F6">
            <w:pPr>
              <w:spacing w:after="0"/>
              <w:jc w:val="center"/>
              <w:rPr>
                <w:rFonts w:cstheme="minorHAnsi"/>
                <w:b/>
                <w:sz w:val="20"/>
                <w:szCs w:val="20"/>
              </w:rPr>
            </w:pPr>
            <w:r w:rsidRPr="00232C3E">
              <w:rPr>
                <w:rFonts w:cstheme="minorHAnsi"/>
                <w:b/>
                <w:sz w:val="20"/>
                <w:szCs w:val="20"/>
              </w:rPr>
              <w:t>2030</w:t>
            </w:r>
          </w:p>
        </w:tc>
        <w:tc>
          <w:tcPr>
            <w:tcW w:w="1170" w:type="dxa"/>
          </w:tcPr>
          <w:p w14:paraId="7506CBA6" w14:textId="77777777" w:rsidR="00AE0176" w:rsidRPr="00232C3E" w:rsidRDefault="00AE0176" w:rsidP="000878F6">
            <w:pPr>
              <w:spacing w:after="0"/>
              <w:jc w:val="center"/>
              <w:rPr>
                <w:rFonts w:cstheme="minorHAnsi"/>
                <w:b/>
                <w:sz w:val="20"/>
                <w:szCs w:val="20"/>
              </w:rPr>
            </w:pPr>
            <w:r w:rsidRPr="00232C3E">
              <w:rPr>
                <w:rFonts w:cstheme="minorHAnsi"/>
                <w:b/>
                <w:sz w:val="20"/>
                <w:szCs w:val="20"/>
              </w:rPr>
              <w:t>2035</w:t>
            </w:r>
          </w:p>
        </w:tc>
        <w:tc>
          <w:tcPr>
            <w:tcW w:w="1170" w:type="dxa"/>
          </w:tcPr>
          <w:p w14:paraId="20BF99BD" w14:textId="77777777" w:rsidR="00AE0176" w:rsidRPr="00232C3E" w:rsidRDefault="00AE0176" w:rsidP="000878F6">
            <w:pPr>
              <w:spacing w:after="0"/>
              <w:jc w:val="center"/>
              <w:rPr>
                <w:rFonts w:cstheme="minorHAnsi"/>
                <w:b/>
                <w:sz w:val="20"/>
                <w:szCs w:val="20"/>
              </w:rPr>
            </w:pPr>
            <w:r w:rsidRPr="00232C3E">
              <w:rPr>
                <w:rFonts w:cstheme="minorHAnsi"/>
                <w:b/>
                <w:sz w:val="20"/>
                <w:szCs w:val="20"/>
              </w:rPr>
              <w:t>2030</w:t>
            </w:r>
          </w:p>
        </w:tc>
        <w:tc>
          <w:tcPr>
            <w:tcW w:w="1276" w:type="dxa"/>
          </w:tcPr>
          <w:p w14:paraId="7179B9DB" w14:textId="77777777" w:rsidR="00AE0176" w:rsidRPr="00232C3E" w:rsidRDefault="00AE0176" w:rsidP="000878F6">
            <w:pPr>
              <w:spacing w:after="0"/>
              <w:jc w:val="center"/>
              <w:rPr>
                <w:rFonts w:cstheme="minorHAnsi"/>
                <w:b/>
                <w:sz w:val="20"/>
                <w:szCs w:val="20"/>
              </w:rPr>
            </w:pPr>
            <w:r w:rsidRPr="00232C3E">
              <w:rPr>
                <w:rFonts w:cstheme="minorHAnsi"/>
                <w:b/>
                <w:sz w:val="20"/>
                <w:szCs w:val="20"/>
              </w:rPr>
              <w:t>2035</w:t>
            </w:r>
          </w:p>
        </w:tc>
      </w:tr>
      <w:tr w:rsidR="00AE0176" w:rsidRPr="00232C3E" w14:paraId="0A1B93D6" w14:textId="77777777" w:rsidTr="003D26BA">
        <w:tc>
          <w:tcPr>
            <w:tcW w:w="2160" w:type="dxa"/>
          </w:tcPr>
          <w:p w14:paraId="40BAC987" w14:textId="77777777" w:rsidR="00AE0176" w:rsidRPr="00232C3E" w:rsidRDefault="00AE0176" w:rsidP="000878F6">
            <w:pPr>
              <w:spacing w:after="0"/>
              <w:jc w:val="left"/>
              <w:rPr>
                <w:rFonts w:cstheme="minorHAnsi"/>
                <w:sz w:val="20"/>
                <w:szCs w:val="20"/>
              </w:rPr>
            </w:pPr>
            <w:r w:rsidRPr="00232C3E">
              <w:rPr>
                <w:rFonts w:cstheme="minorHAnsi"/>
                <w:sz w:val="20"/>
                <w:szCs w:val="20"/>
              </w:rPr>
              <w:t>NO</w:t>
            </w:r>
            <w:r w:rsidRPr="00BA7936">
              <w:rPr>
                <w:rFonts w:cstheme="minorHAnsi"/>
                <w:sz w:val="20"/>
                <w:szCs w:val="20"/>
                <w:vertAlign w:val="subscript"/>
              </w:rPr>
              <w:t>x</w:t>
            </w:r>
          </w:p>
        </w:tc>
        <w:tc>
          <w:tcPr>
            <w:tcW w:w="1080" w:type="dxa"/>
            <w:vAlign w:val="center"/>
          </w:tcPr>
          <w:p w14:paraId="58D20E6B"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-7,39%</w:t>
            </w:r>
          </w:p>
        </w:tc>
        <w:tc>
          <w:tcPr>
            <w:tcW w:w="1080" w:type="dxa"/>
            <w:vAlign w:val="center"/>
          </w:tcPr>
          <w:p w14:paraId="0D7FF890"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-7,39%</w:t>
            </w:r>
          </w:p>
        </w:tc>
        <w:tc>
          <w:tcPr>
            <w:tcW w:w="990" w:type="dxa"/>
            <w:vAlign w:val="center"/>
          </w:tcPr>
          <w:p w14:paraId="016F700D"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0,13</w:t>
            </w:r>
          </w:p>
        </w:tc>
        <w:tc>
          <w:tcPr>
            <w:tcW w:w="1170" w:type="dxa"/>
            <w:vAlign w:val="center"/>
          </w:tcPr>
          <w:p w14:paraId="2B2A5DFE"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0,14</w:t>
            </w:r>
          </w:p>
        </w:tc>
        <w:tc>
          <w:tcPr>
            <w:tcW w:w="1170" w:type="dxa"/>
            <w:vAlign w:val="center"/>
          </w:tcPr>
          <w:p w14:paraId="1364A6C1"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0,3%</w:t>
            </w:r>
          </w:p>
        </w:tc>
        <w:tc>
          <w:tcPr>
            <w:tcW w:w="1276" w:type="dxa"/>
            <w:vAlign w:val="center"/>
          </w:tcPr>
          <w:p w14:paraId="175DF20D"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0,4%</w:t>
            </w:r>
          </w:p>
        </w:tc>
      </w:tr>
      <w:tr w:rsidR="00AE0176" w:rsidRPr="00232C3E" w14:paraId="1B932726" w14:textId="77777777" w:rsidTr="003D26BA">
        <w:tc>
          <w:tcPr>
            <w:tcW w:w="2160" w:type="dxa"/>
          </w:tcPr>
          <w:p w14:paraId="5F032FED" w14:textId="77777777" w:rsidR="00AE0176" w:rsidRPr="00232C3E" w:rsidRDefault="00AE0176" w:rsidP="000878F6">
            <w:pPr>
              <w:spacing w:after="0"/>
              <w:jc w:val="left"/>
              <w:rPr>
                <w:rFonts w:cstheme="minorHAnsi"/>
                <w:sz w:val="20"/>
                <w:szCs w:val="20"/>
              </w:rPr>
            </w:pPr>
            <w:r w:rsidRPr="00232C3E">
              <w:rPr>
                <w:rFonts w:cstheme="minorHAnsi"/>
                <w:sz w:val="20"/>
                <w:szCs w:val="20"/>
              </w:rPr>
              <w:t>SO</w:t>
            </w:r>
            <w:r w:rsidRPr="00BA7936">
              <w:rPr>
                <w:rFonts w:cstheme="minorHAnsi"/>
                <w:sz w:val="20"/>
                <w:szCs w:val="20"/>
                <w:vertAlign w:val="subscript"/>
              </w:rPr>
              <w:t>2</w:t>
            </w:r>
          </w:p>
        </w:tc>
        <w:tc>
          <w:tcPr>
            <w:tcW w:w="1080" w:type="dxa"/>
            <w:vAlign w:val="center"/>
          </w:tcPr>
          <w:p w14:paraId="18527B9E"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-8,11%</w:t>
            </w:r>
          </w:p>
        </w:tc>
        <w:tc>
          <w:tcPr>
            <w:tcW w:w="1080" w:type="dxa"/>
            <w:vAlign w:val="center"/>
          </w:tcPr>
          <w:p w14:paraId="2F5D1678"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-8,11%</w:t>
            </w:r>
          </w:p>
        </w:tc>
        <w:tc>
          <w:tcPr>
            <w:tcW w:w="990" w:type="dxa"/>
            <w:vAlign w:val="center"/>
          </w:tcPr>
          <w:p w14:paraId="2133CAAB"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0,45</w:t>
            </w:r>
          </w:p>
        </w:tc>
        <w:tc>
          <w:tcPr>
            <w:tcW w:w="1170" w:type="dxa"/>
            <w:vAlign w:val="center"/>
          </w:tcPr>
          <w:p w14:paraId="5AF2CA20"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0,36</w:t>
            </w:r>
          </w:p>
        </w:tc>
        <w:tc>
          <w:tcPr>
            <w:tcW w:w="1170" w:type="dxa"/>
            <w:vAlign w:val="center"/>
          </w:tcPr>
          <w:p w14:paraId="2F411CD2"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1,2%</w:t>
            </w:r>
          </w:p>
        </w:tc>
        <w:tc>
          <w:tcPr>
            <w:tcW w:w="1276" w:type="dxa"/>
            <w:vAlign w:val="center"/>
          </w:tcPr>
          <w:p w14:paraId="6FFB6D0B"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1,0%</w:t>
            </w:r>
          </w:p>
        </w:tc>
      </w:tr>
      <w:tr w:rsidR="00AE0176" w:rsidRPr="00232C3E" w14:paraId="1C376666" w14:textId="77777777" w:rsidTr="003D26BA">
        <w:tc>
          <w:tcPr>
            <w:tcW w:w="2160" w:type="dxa"/>
          </w:tcPr>
          <w:p w14:paraId="7751A2B6" w14:textId="77777777" w:rsidR="00AE0176" w:rsidRPr="00232C3E" w:rsidRDefault="00AE0176" w:rsidP="000878F6">
            <w:pPr>
              <w:spacing w:after="0"/>
              <w:jc w:val="left"/>
              <w:rPr>
                <w:rFonts w:cstheme="minorHAnsi"/>
                <w:sz w:val="20"/>
                <w:szCs w:val="20"/>
              </w:rPr>
            </w:pPr>
            <w:r w:rsidRPr="00232C3E">
              <w:rPr>
                <w:rFonts w:cstheme="minorHAnsi"/>
                <w:sz w:val="20"/>
                <w:szCs w:val="20"/>
              </w:rPr>
              <w:t>PM</w:t>
            </w:r>
            <w:r w:rsidRPr="00BA7936">
              <w:rPr>
                <w:rFonts w:cstheme="minorHAnsi"/>
                <w:sz w:val="20"/>
                <w:szCs w:val="20"/>
                <w:vertAlign w:val="subscript"/>
              </w:rPr>
              <w:t>2.5</w:t>
            </w:r>
          </w:p>
        </w:tc>
        <w:tc>
          <w:tcPr>
            <w:tcW w:w="1080" w:type="dxa"/>
            <w:vAlign w:val="center"/>
          </w:tcPr>
          <w:p w14:paraId="11DC0C04"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-7,39%</w:t>
            </w:r>
          </w:p>
        </w:tc>
        <w:tc>
          <w:tcPr>
            <w:tcW w:w="1080" w:type="dxa"/>
            <w:vAlign w:val="center"/>
          </w:tcPr>
          <w:p w14:paraId="41C5BE82"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-7,39%</w:t>
            </w:r>
          </w:p>
        </w:tc>
        <w:tc>
          <w:tcPr>
            <w:tcW w:w="990" w:type="dxa"/>
            <w:vAlign w:val="center"/>
          </w:tcPr>
          <w:p w14:paraId="5A2A5EE3"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2,40</w:t>
            </w:r>
          </w:p>
        </w:tc>
        <w:tc>
          <w:tcPr>
            <w:tcW w:w="1170" w:type="dxa"/>
            <w:vAlign w:val="center"/>
          </w:tcPr>
          <w:p w14:paraId="26870641"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3,31</w:t>
            </w:r>
          </w:p>
        </w:tc>
        <w:tc>
          <w:tcPr>
            <w:tcW w:w="1170" w:type="dxa"/>
            <w:vAlign w:val="center"/>
          </w:tcPr>
          <w:p w14:paraId="2507B2A6"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6,7%</w:t>
            </w:r>
          </w:p>
        </w:tc>
        <w:tc>
          <w:tcPr>
            <w:tcW w:w="1276" w:type="dxa"/>
            <w:vAlign w:val="center"/>
          </w:tcPr>
          <w:p w14:paraId="335D4546"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9,2%</w:t>
            </w:r>
          </w:p>
        </w:tc>
      </w:tr>
      <w:tr w:rsidR="00AE0176" w:rsidRPr="00232C3E" w14:paraId="151168A3" w14:textId="77777777" w:rsidTr="003D26BA">
        <w:tc>
          <w:tcPr>
            <w:tcW w:w="2160" w:type="dxa"/>
          </w:tcPr>
          <w:p w14:paraId="146013F9" w14:textId="77777777" w:rsidR="00AE0176" w:rsidRPr="00232C3E" w:rsidRDefault="00AE0176" w:rsidP="000878F6">
            <w:pPr>
              <w:spacing w:after="0"/>
              <w:jc w:val="left"/>
              <w:rPr>
                <w:rFonts w:cstheme="minorHAnsi"/>
                <w:sz w:val="20"/>
                <w:szCs w:val="20"/>
              </w:rPr>
            </w:pPr>
            <w:r w:rsidRPr="00232C3E">
              <w:rPr>
                <w:rFonts w:cstheme="minorHAnsi"/>
                <w:sz w:val="20"/>
                <w:szCs w:val="20"/>
              </w:rPr>
              <w:t>Water Abstraction</w:t>
            </w:r>
          </w:p>
        </w:tc>
        <w:tc>
          <w:tcPr>
            <w:tcW w:w="1080" w:type="dxa"/>
            <w:vAlign w:val="center"/>
          </w:tcPr>
          <w:p w14:paraId="44EB04C8"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-1,30%</w:t>
            </w:r>
          </w:p>
        </w:tc>
        <w:tc>
          <w:tcPr>
            <w:tcW w:w="1080" w:type="dxa"/>
            <w:vAlign w:val="center"/>
          </w:tcPr>
          <w:p w14:paraId="072357E2"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-1,30%</w:t>
            </w:r>
          </w:p>
        </w:tc>
        <w:tc>
          <w:tcPr>
            <w:tcW w:w="990" w:type="dxa"/>
            <w:vAlign w:val="center"/>
          </w:tcPr>
          <w:p w14:paraId="71EF29CD"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0,33</w:t>
            </w:r>
          </w:p>
        </w:tc>
        <w:tc>
          <w:tcPr>
            <w:tcW w:w="1170" w:type="dxa"/>
            <w:vAlign w:val="center"/>
          </w:tcPr>
          <w:p w14:paraId="7F23A038"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0,32</w:t>
            </w:r>
          </w:p>
        </w:tc>
        <w:tc>
          <w:tcPr>
            <w:tcW w:w="1170" w:type="dxa"/>
            <w:vAlign w:val="center"/>
          </w:tcPr>
          <w:p w14:paraId="14C68333"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1,2%</w:t>
            </w:r>
          </w:p>
        </w:tc>
        <w:tc>
          <w:tcPr>
            <w:tcW w:w="1276" w:type="dxa"/>
            <w:vAlign w:val="center"/>
          </w:tcPr>
          <w:p w14:paraId="1EA402F0"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1,2%</w:t>
            </w:r>
          </w:p>
        </w:tc>
      </w:tr>
      <w:tr w:rsidR="00AE0176" w:rsidRPr="00232C3E" w14:paraId="052D3E33" w14:textId="77777777" w:rsidTr="003D26BA">
        <w:tc>
          <w:tcPr>
            <w:tcW w:w="2160" w:type="dxa"/>
          </w:tcPr>
          <w:p w14:paraId="57E7F893" w14:textId="77777777" w:rsidR="00AE0176" w:rsidRPr="00232C3E" w:rsidRDefault="00AE0176" w:rsidP="000878F6">
            <w:pPr>
              <w:spacing w:after="0"/>
              <w:jc w:val="left"/>
              <w:rPr>
                <w:rFonts w:cstheme="minorHAnsi"/>
                <w:sz w:val="20"/>
                <w:szCs w:val="20"/>
              </w:rPr>
            </w:pPr>
            <w:r w:rsidRPr="00232C3E">
              <w:rPr>
                <w:rFonts w:cstheme="minorHAnsi"/>
                <w:sz w:val="20"/>
                <w:szCs w:val="20"/>
              </w:rPr>
              <w:t>Fertilizers</w:t>
            </w:r>
          </w:p>
        </w:tc>
        <w:tc>
          <w:tcPr>
            <w:tcW w:w="1080" w:type="dxa"/>
            <w:vAlign w:val="center"/>
          </w:tcPr>
          <w:p w14:paraId="7938048D"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-1,50%</w:t>
            </w:r>
          </w:p>
        </w:tc>
        <w:tc>
          <w:tcPr>
            <w:tcW w:w="1080" w:type="dxa"/>
            <w:vAlign w:val="center"/>
          </w:tcPr>
          <w:p w14:paraId="75139DAA"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-1,50%</w:t>
            </w:r>
          </w:p>
        </w:tc>
        <w:tc>
          <w:tcPr>
            <w:tcW w:w="990" w:type="dxa"/>
            <w:vAlign w:val="center"/>
          </w:tcPr>
          <w:p w14:paraId="0C947A1F"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0,60</w:t>
            </w:r>
          </w:p>
        </w:tc>
        <w:tc>
          <w:tcPr>
            <w:tcW w:w="1170" w:type="dxa"/>
            <w:vAlign w:val="center"/>
          </w:tcPr>
          <w:p w14:paraId="371DB860"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0,70</w:t>
            </w:r>
          </w:p>
        </w:tc>
        <w:tc>
          <w:tcPr>
            <w:tcW w:w="1170" w:type="dxa"/>
            <w:vAlign w:val="center"/>
          </w:tcPr>
          <w:p w14:paraId="0A370ECC"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1,7%</w:t>
            </w:r>
          </w:p>
        </w:tc>
        <w:tc>
          <w:tcPr>
            <w:tcW w:w="1276" w:type="dxa"/>
            <w:vAlign w:val="center"/>
          </w:tcPr>
          <w:p w14:paraId="7D3F6C5E"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1,9%</w:t>
            </w:r>
          </w:p>
        </w:tc>
      </w:tr>
      <w:tr w:rsidR="00AE0176" w:rsidRPr="00232C3E" w14:paraId="5AB40769" w14:textId="77777777" w:rsidTr="003D26BA">
        <w:tc>
          <w:tcPr>
            <w:tcW w:w="2160" w:type="dxa"/>
          </w:tcPr>
          <w:p w14:paraId="33B7DB28" w14:textId="77777777" w:rsidR="00AE0176" w:rsidRPr="00232C3E" w:rsidRDefault="00AE0176" w:rsidP="000878F6">
            <w:pPr>
              <w:spacing w:after="0"/>
              <w:jc w:val="left"/>
              <w:rPr>
                <w:rFonts w:cstheme="minorHAnsi"/>
                <w:sz w:val="20"/>
                <w:szCs w:val="20"/>
              </w:rPr>
            </w:pPr>
            <w:r w:rsidRPr="00232C3E">
              <w:rPr>
                <w:rFonts w:cstheme="minorHAnsi"/>
                <w:sz w:val="20"/>
                <w:szCs w:val="20"/>
              </w:rPr>
              <w:t>Pesticides</w:t>
            </w:r>
          </w:p>
        </w:tc>
        <w:tc>
          <w:tcPr>
            <w:tcW w:w="1080" w:type="dxa"/>
            <w:vAlign w:val="center"/>
          </w:tcPr>
          <w:p w14:paraId="2F5F62F3"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n/a</w:t>
            </w:r>
          </w:p>
        </w:tc>
        <w:tc>
          <w:tcPr>
            <w:tcW w:w="1080" w:type="dxa"/>
            <w:vAlign w:val="center"/>
          </w:tcPr>
          <w:p w14:paraId="7963E0D0"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n/a</w:t>
            </w:r>
          </w:p>
        </w:tc>
        <w:tc>
          <w:tcPr>
            <w:tcW w:w="990" w:type="dxa"/>
            <w:vAlign w:val="center"/>
          </w:tcPr>
          <w:p w14:paraId="07B471EB"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1,91</w:t>
            </w:r>
          </w:p>
        </w:tc>
        <w:tc>
          <w:tcPr>
            <w:tcW w:w="1170" w:type="dxa"/>
            <w:vAlign w:val="center"/>
          </w:tcPr>
          <w:p w14:paraId="3082FC7E"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1,90</w:t>
            </w:r>
          </w:p>
        </w:tc>
        <w:tc>
          <w:tcPr>
            <w:tcW w:w="1170" w:type="dxa"/>
            <w:vAlign w:val="center"/>
          </w:tcPr>
          <w:p w14:paraId="2C1D497D"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5,3%</w:t>
            </w:r>
          </w:p>
        </w:tc>
        <w:tc>
          <w:tcPr>
            <w:tcW w:w="1276" w:type="dxa"/>
            <w:vAlign w:val="center"/>
          </w:tcPr>
          <w:p w14:paraId="7A990078"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5,3%</w:t>
            </w:r>
          </w:p>
        </w:tc>
      </w:tr>
      <w:tr w:rsidR="00AE0176" w:rsidRPr="00232C3E" w14:paraId="53DB6262" w14:textId="77777777" w:rsidTr="003D26BA">
        <w:tc>
          <w:tcPr>
            <w:tcW w:w="2160" w:type="dxa"/>
          </w:tcPr>
          <w:p w14:paraId="478D1EBC" w14:textId="77777777" w:rsidR="00AE0176" w:rsidRPr="00232C3E" w:rsidRDefault="00AE0176" w:rsidP="000878F6">
            <w:pPr>
              <w:spacing w:after="0"/>
              <w:jc w:val="left"/>
              <w:rPr>
                <w:rFonts w:cstheme="minorHAnsi"/>
                <w:sz w:val="20"/>
                <w:szCs w:val="20"/>
              </w:rPr>
            </w:pPr>
            <w:r w:rsidRPr="00232C3E">
              <w:rPr>
                <w:rFonts w:cstheme="minorHAnsi"/>
                <w:sz w:val="20"/>
                <w:szCs w:val="20"/>
              </w:rPr>
              <w:t>Waste Incineration</w:t>
            </w:r>
          </w:p>
        </w:tc>
        <w:tc>
          <w:tcPr>
            <w:tcW w:w="1080" w:type="dxa"/>
            <w:vAlign w:val="center"/>
          </w:tcPr>
          <w:p w14:paraId="0BE0F91A"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0,00%</w:t>
            </w:r>
          </w:p>
        </w:tc>
        <w:tc>
          <w:tcPr>
            <w:tcW w:w="1080" w:type="dxa"/>
            <w:vAlign w:val="center"/>
          </w:tcPr>
          <w:p w14:paraId="50C11603"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0,00%</w:t>
            </w:r>
          </w:p>
        </w:tc>
        <w:tc>
          <w:tcPr>
            <w:tcW w:w="990" w:type="dxa"/>
            <w:vAlign w:val="center"/>
          </w:tcPr>
          <w:p w14:paraId="1A765A71"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0,00</w:t>
            </w:r>
          </w:p>
        </w:tc>
        <w:tc>
          <w:tcPr>
            <w:tcW w:w="1170" w:type="dxa"/>
            <w:vAlign w:val="center"/>
          </w:tcPr>
          <w:p w14:paraId="4978635D"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0,00</w:t>
            </w:r>
          </w:p>
        </w:tc>
        <w:tc>
          <w:tcPr>
            <w:tcW w:w="1170" w:type="dxa"/>
            <w:vAlign w:val="center"/>
          </w:tcPr>
          <w:p w14:paraId="2A88B71C"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w:t>
            </w:r>
          </w:p>
        </w:tc>
        <w:tc>
          <w:tcPr>
            <w:tcW w:w="1276" w:type="dxa"/>
            <w:vAlign w:val="center"/>
          </w:tcPr>
          <w:p w14:paraId="59E57C38"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w:t>
            </w:r>
          </w:p>
        </w:tc>
      </w:tr>
      <w:tr w:rsidR="00AE0176" w:rsidRPr="00232C3E" w14:paraId="70B9DC0C" w14:textId="77777777" w:rsidTr="003D26BA">
        <w:tc>
          <w:tcPr>
            <w:tcW w:w="2160" w:type="dxa"/>
          </w:tcPr>
          <w:p w14:paraId="225A34FA" w14:textId="77777777" w:rsidR="00AE0176" w:rsidRPr="00232C3E" w:rsidRDefault="00AE0176" w:rsidP="000878F6">
            <w:pPr>
              <w:spacing w:after="0"/>
              <w:jc w:val="left"/>
              <w:rPr>
                <w:rFonts w:cstheme="minorHAnsi"/>
                <w:sz w:val="20"/>
                <w:szCs w:val="20"/>
              </w:rPr>
            </w:pPr>
            <w:r w:rsidRPr="00232C3E">
              <w:rPr>
                <w:rFonts w:cstheme="minorHAnsi"/>
                <w:sz w:val="20"/>
                <w:szCs w:val="20"/>
              </w:rPr>
              <w:t>Waste to Landfill</w:t>
            </w:r>
          </w:p>
        </w:tc>
        <w:tc>
          <w:tcPr>
            <w:tcW w:w="1080" w:type="dxa"/>
            <w:vAlign w:val="center"/>
          </w:tcPr>
          <w:p w14:paraId="79AF1975"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0,00%</w:t>
            </w:r>
          </w:p>
        </w:tc>
        <w:tc>
          <w:tcPr>
            <w:tcW w:w="1080" w:type="dxa"/>
            <w:vAlign w:val="center"/>
          </w:tcPr>
          <w:p w14:paraId="4D709803"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0,00%</w:t>
            </w:r>
          </w:p>
        </w:tc>
        <w:tc>
          <w:tcPr>
            <w:tcW w:w="990" w:type="dxa"/>
            <w:vAlign w:val="center"/>
          </w:tcPr>
          <w:p w14:paraId="73848454"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0,00</w:t>
            </w:r>
          </w:p>
        </w:tc>
        <w:tc>
          <w:tcPr>
            <w:tcW w:w="1170" w:type="dxa"/>
            <w:vAlign w:val="center"/>
          </w:tcPr>
          <w:p w14:paraId="3DD5712B"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0,00</w:t>
            </w:r>
          </w:p>
        </w:tc>
        <w:tc>
          <w:tcPr>
            <w:tcW w:w="1170" w:type="dxa"/>
            <w:vAlign w:val="center"/>
          </w:tcPr>
          <w:p w14:paraId="4063529E"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w:t>
            </w:r>
          </w:p>
        </w:tc>
        <w:tc>
          <w:tcPr>
            <w:tcW w:w="1276" w:type="dxa"/>
            <w:vAlign w:val="center"/>
          </w:tcPr>
          <w:p w14:paraId="3D6542A0"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w:t>
            </w:r>
          </w:p>
        </w:tc>
      </w:tr>
      <w:tr w:rsidR="00AE0176" w:rsidRPr="00232C3E" w14:paraId="0411C6F6" w14:textId="77777777" w:rsidTr="003D26BA">
        <w:tc>
          <w:tcPr>
            <w:tcW w:w="2160" w:type="dxa"/>
          </w:tcPr>
          <w:p w14:paraId="253BB617" w14:textId="77777777" w:rsidR="00AE0176" w:rsidRPr="00232C3E" w:rsidRDefault="00AE0176" w:rsidP="000878F6">
            <w:pPr>
              <w:spacing w:after="0"/>
              <w:jc w:val="left"/>
              <w:rPr>
                <w:rFonts w:cstheme="minorHAnsi"/>
                <w:sz w:val="20"/>
                <w:szCs w:val="20"/>
              </w:rPr>
            </w:pPr>
            <w:r w:rsidRPr="00232C3E">
              <w:rPr>
                <w:rFonts w:cstheme="minorHAnsi"/>
                <w:sz w:val="20"/>
                <w:szCs w:val="20"/>
              </w:rPr>
              <w:t>Water Effluent</w:t>
            </w:r>
          </w:p>
        </w:tc>
        <w:tc>
          <w:tcPr>
            <w:tcW w:w="1080" w:type="dxa"/>
            <w:vAlign w:val="center"/>
          </w:tcPr>
          <w:p w14:paraId="7EC56240"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0,00%</w:t>
            </w:r>
          </w:p>
        </w:tc>
        <w:tc>
          <w:tcPr>
            <w:tcW w:w="1080" w:type="dxa"/>
            <w:vAlign w:val="center"/>
          </w:tcPr>
          <w:p w14:paraId="75571F8B"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0,00%</w:t>
            </w:r>
          </w:p>
        </w:tc>
        <w:tc>
          <w:tcPr>
            <w:tcW w:w="990" w:type="dxa"/>
            <w:vAlign w:val="center"/>
          </w:tcPr>
          <w:p w14:paraId="2A61FFB9"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0,00</w:t>
            </w:r>
          </w:p>
        </w:tc>
        <w:tc>
          <w:tcPr>
            <w:tcW w:w="1170" w:type="dxa"/>
            <w:vAlign w:val="center"/>
          </w:tcPr>
          <w:p w14:paraId="0C9C2929"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0,00</w:t>
            </w:r>
          </w:p>
        </w:tc>
        <w:tc>
          <w:tcPr>
            <w:tcW w:w="1170" w:type="dxa"/>
            <w:vAlign w:val="center"/>
          </w:tcPr>
          <w:p w14:paraId="5DE3D246"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w:t>
            </w:r>
          </w:p>
        </w:tc>
        <w:tc>
          <w:tcPr>
            <w:tcW w:w="1276" w:type="dxa"/>
            <w:vAlign w:val="center"/>
          </w:tcPr>
          <w:p w14:paraId="0806B31B"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0,0%</w:t>
            </w:r>
          </w:p>
        </w:tc>
      </w:tr>
      <w:tr w:rsidR="00AE0176" w:rsidRPr="00232C3E" w14:paraId="1E2B2484" w14:textId="77777777" w:rsidTr="003D26BA">
        <w:tc>
          <w:tcPr>
            <w:tcW w:w="2160" w:type="dxa"/>
          </w:tcPr>
          <w:p w14:paraId="390A8F07" w14:textId="77777777" w:rsidR="00AE0176" w:rsidRPr="00232C3E" w:rsidRDefault="00AE0176" w:rsidP="000878F6">
            <w:pPr>
              <w:spacing w:after="0"/>
              <w:jc w:val="left"/>
              <w:rPr>
                <w:rFonts w:cstheme="minorHAnsi"/>
                <w:sz w:val="20"/>
                <w:szCs w:val="20"/>
              </w:rPr>
            </w:pPr>
            <w:r w:rsidRPr="00232C3E">
              <w:rPr>
                <w:rFonts w:cstheme="minorHAnsi"/>
                <w:sz w:val="20"/>
                <w:szCs w:val="20"/>
              </w:rPr>
              <w:t>Minerals &amp; Aggregates</w:t>
            </w:r>
          </w:p>
        </w:tc>
        <w:tc>
          <w:tcPr>
            <w:tcW w:w="1080" w:type="dxa"/>
            <w:vAlign w:val="center"/>
          </w:tcPr>
          <w:p w14:paraId="651DDA34"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-5,02%</w:t>
            </w:r>
          </w:p>
        </w:tc>
        <w:tc>
          <w:tcPr>
            <w:tcW w:w="1080" w:type="dxa"/>
            <w:vAlign w:val="center"/>
          </w:tcPr>
          <w:p w14:paraId="4548F4DA"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-5,02%</w:t>
            </w:r>
          </w:p>
        </w:tc>
        <w:tc>
          <w:tcPr>
            <w:tcW w:w="990" w:type="dxa"/>
            <w:vAlign w:val="center"/>
          </w:tcPr>
          <w:p w14:paraId="1AE6219E"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23,18</w:t>
            </w:r>
          </w:p>
        </w:tc>
        <w:tc>
          <w:tcPr>
            <w:tcW w:w="1170" w:type="dxa"/>
            <w:vAlign w:val="center"/>
          </w:tcPr>
          <w:p w14:paraId="09A47CC0"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27,16</w:t>
            </w:r>
          </w:p>
        </w:tc>
        <w:tc>
          <w:tcPr>
            <w:tcW w:w="1170" w:type="dxa"/>
            <w:vAlign w:val="center"/>
          </w:tcPr>
          <w:p w14:paraId="065276C5"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85,1%</w:t>
            </w:r>
          </w:p>
        </w:tc>
        <w:tc>
          <w:tcPr>
            <w:tcW w:w="1276" w:type="dxa"/>
            <w:vAlign w:val="center"/>
          </w:tcPr>
          <w:p w14:paraId="24A30CB4" w14:textId="77777777" w:rsidR="00AE0176" w:rsidRPr="00232C3E" w:rsidRDefault="00AE0176" w:rsidP="000878F6">
            <w:pPr>
              <w:spacing w:after="0"/>
              <w:jc w:val="center"/>
              <w:rPr>
                <w:rFonts w:cstheme="minorHAnsi"/>
                <w:sz w:val="20"/>
                <w:szCs w:val="20"/>
              </w:rPr>
            </w:pPr>
            <w:r w:rsidRPr="00232C3E">
              <w:rPr>
                <w:rFonts w:ascii="Calibri" w:hAnsi="Calibri" w:cs="Calibri"/>
                <w:color w:val="000000"/>
                <w:sz w:val="20"/>
                <w:szCs w:val="20"/>
              </w:rPr>
              <w:t>99,8%</w:t>
            </w:r>
          </w:p>
        </w:tc>
      </w:tr>
    </w:tbl>
    <w:p w14:paraId="2B917822" w14:textId="77777777" w:rsidR="00AE0176" w:rsidRPr="00AE0176" w:rsidRDefault="00AE0176" w:rsidP="00AE0176">
      <w:pPr>
        <w:rPr>
          <w:lang w:eastAsia="en-GB"/>
        </w:rPr>
      </w:pPr>
    </w:p>
    <w:p w14:paraId="3943BA4A" w14:textId="500EB560" w:rsidR="00AE0176" w:rsidRPr="00AE0176" w:rsidRDefault="6C8364CF" w:rsidP="00AE0176">
      <w:pPr>
        <w:rPr>
          <w:lang w:eastAsia="en-GB"/>
        </w:rPr>
      </w:pPr>
      <w:r w:rsidRPr="41BBB27A">
        <w:rPr>
          <w:lang w:eastAsia="en-GB"/>
        </w:rPr>
        <w:t>Latvia has the core permitting and monitoring architecture for large point sources and municipal services, and metering is widespread among utilities and major industrial users</w:t>
      </w:r>
      <w:r w:rsidR="0076533C">
        <w:rPr>
          <w:lang w:eastAsia="en-GB"/>
        </w:rPr>
        <w:t>, ensuring administrative feasibility</w:t>
      </w:r>
      <w:r w:rsidRPr="41BBB27A">
        <w:rPr>
          <w:lang w:eastAsia="en-GB"/>
        </w:rPr>
        <w:t xml:space="preserve">. The main implementation challenges are capacity constraints in smaller </w:t>
      </w:r>
      <w:r w:rsidRPr="41BBB27A">
        <w:rPr>
          <w:lang w:eastAsia="en-GB"/>
        </w:rPr>
        <w:lastRenderedPageBreak/>
        <w:t>municipalities and utilities, data gaps for smaller dischargers and farms, and the need to align tax design with available treatment and sorting capacity. Without careful sequencing, higher landfill charges risk short-term cost pressure and diversion to incineration or informal disposal if sorting and recycling infrastructure is insufficient.</w:t>
      </w:r>
    </w:p>
    <w:p w14:paraId="3C41CD28" w14:textId="6ECC8B86" w:rsidR="00AE0176" w:rsidRPr="00AE0176" w:rsidRDefault="00AE0176" w:rsidP="00AE0176">
      <w:pPr>
        <w:rPr>
          <w:lang w:eastAsia="en-GB"/>
        </w:rPr>
      </w:pPr>
      <w:r w:rsidRPr="00AE0176">
        <w:rPr>
          <w:lang w:eastAsia="en-GB"/>
        </w:rPr>
        <w:t>Distributional and political risks should be anticipated. Utility and waste bills weigh more heavily on low-income households and in rural municipalities with higher service costs. Agriculture</w:t>
      </w:r>
      <w:r>
        <w:rPr>
          <w:lang w:eastAsia="en-GB"/>
        </w:rPr>
        <w:t xml:space="preserve">, </w:t>
      </w:r>
      <w:r w:rsidRPr="00AE0176">
        <w:rPr>
          <w:lang w:eastAsia="en-GB"/>
        </w:rPr>
        <w:t>especially smaller holdings</w:t>
      </w:r>
      <w:r>
        <w:rPr>
          <w:lang w:eastAsia="en-GB"/>
        </w:rPr>
        <w:t xml:space="preserve">, </w:t>
      </w:r>
      <w:r w:rsidRPr="00AE0176">
        <w:rPr>
          <w:lang w:eastAsia="en-GB"/>
        </w:rPr>
        <w:t>may face margin pressure from fertiliser and pesticide instruments. Quarrying and construction materials sectors can be sensitive to extraction charges where public procurement practices do not yet favour recycled inputs. These risks are manageable with phased implementation, transparent revenue use and targeted support.</w:t>
      </w:r>
    </w:p>
    <w:p w14:paraId="133D443D" w14:textId="38117636" w:rsidR="00AE0176" w:rsidRPr="00AE0176" w:rsidRDefault="00AE0176" w:rsidP="00AE0176">
      <w:pPr>
        <w:rPr>
          <w:lang w:eastAsia="en-GB"/>
        </w:rPr>
      </w:pPr>
      <w:r w:rsidRPr="00AE0176">
        <w:rPr>
          <w:lang w:eastAsia="en-GB"/>
        </w:rPr>
        <w:t>A practical, investment-led sequencing is recommended. Rates should be phased in over three to five years with pre-announced steps, allowing utilities, municipalities and firms to plan and invest. A defined share of incremental revenues should be recycled to lower distortionary taxes on work at the lower end of the wage distribution, provide bill credits for vulnerable households, and co-finance projects that reduce bills over time (leak reduction, tertiary wastewater treatment, sorting and reuse capacity). Annual public reporting that links receipts to tangible outcomes—river stretches lifted out of poor status, landfill diversion achieved, recycled-aggregate shares in public works—will strengthen legitimacy.</w:t>
      </w:r>
    </w:p>
    <w:p w14:paraId="306F9F1E" w14:textId="77777777" w:rsidR="00AE0176" w:rsidRPr="00AE0176" w:rsidRDefault="00AE0176" w:rsidP="00AE0176">
      <w:pPr>
        <w:rPr>
          <w:lang w:eastAsia="en-GB"/>
        </w:rPr>
      </w:pPr>
      <w:r w:rsidRPr="00AE0176">
        <w:rPr>
          <w:lang w:eastAsia="en-GB"/>
        </w:rPr>
        <w:t xml:space="preserve">Given the modelling results and Latvia’s policy context, the following </w:t>
      </w:r>
      <w:r w:rsidRPr="00AE0176">
        <w:rPr>
          <w:b/>
          <w:bCs/>
          <w:lang w:eastAsia="en-GB"/>
        </w:rPr>
        <w:t>priority taxes</w:t>
      </w:r>
      <w:r w:rsidRPr="00AE0176">
        <w:rPr>
          <w:lang w:eastAsia="en-GB"/>
        </w:rPr>
        <w:t xml:space="preserve"> emerge:</w:t>
      </w:r>
    </w:p>
    <w:p w14:paraId="45381C43" w14:textId="77777777" w:rsidR="00AE0176" w:rsidRPr="00AE0176" w:rsidRDefault="00AE0176" w:rsidP="00AE0176">
      <w:pPr>
        <w:pStyle w:val="Bulletlist"/>
        <w:rPr>
          <w:lang w:eastAsia="en-GB"/>
        </w:rPr>
      </w:pPr>
      <w:r w:rsidRPr="00AE0176">
        <w:rPr>
          <w:b/>
          <w:bCs/>
          <w:lang w:eastAsia="en-GB"/>
        </w:rPr>
        <w:t>Wastewater effluent tax</w:t>
      </w:r>
      <w:r w:rsidRPr="00AE0176">
        <w:rPr>
          <w:lang w:eastAsia="en-GB"/>
        </w:rPr>
        <w:t xml:space="preserve"> based on pollutant loads (starting with BOD₅ and, where monitoring is robust, nutrients), linked to performance contracts for municipal utilities and co-funding of tertiary treatment and water reuse. This pairing aligns the price signal with investable projects and moderates tariff impacts.</w:t>
      </w:r>
    </w:p>
    <w:p w14:paraId="14A1126E" w14:textId="77777777" w:rsidR="00AE0176" w:rsidRPr="00AE0176" w:rsidRDefault="00AE0176" w:rsidP="00AE0176">
      <w:pPr>
        <w:pStyle w:val="Bulletlist"/>
        <w:rPr>
          <w:lang w:eastAsia="en-GB"/>
        </w:rPr>
      </w:pPr>
      <w:r w:rsidRPr="00AE0176">
        <w:rPr>
          <w:b/>
          <w:bCs/>
          <w:lang w:eastAsia="en-GB"/>
        </w:rPr>
        <w:t>Landfill tax</w:t>
      </w:r>
      <w:r w:rsidRPr="00AE0176">
        <w:rPr>
          <w:lang w:eastAsia="en-GB"/>
        </w:rPr>
        <w:t xml:space="preserve"> with a predictable escalator, introduced alongside investment in separate collection, sorting and high-quality recycling to avoid displacement to incineration or informal disposal. Strengthened enforcement and digital waste tracking should accompany the rate path.</w:t>
      </w:r>
    </w:p>
    <w:p w14:paraId="024CC282" w14:textId="77777777" w:rsidR="00AE0176" w:rsidRPr="00AE0176" w:rsidRDefault="00AE0176" w:rsidP="00AE0176">
      <w:pPr>
        <w:pStyle w:val="Bulletlist"/>
        <w:rPr>
          <w:lang w:eastAsia="en-GB"/>
        </w:rPr>
      </w:pPr>
      <w:r w:rsidRPr="00AE0176">
        <w:rPr>
          <w:b/>
          <w:bCs/>
          <w:lang w:eastAsia="en-GB"/>
        </w:rPr>
        <w:t>Mineral extraction tax</w:t>
      </w:r>
      <w:r w:rsidRPr="00AE0176">
        <w:rPr>
          <w:lang w:eastAsia="en-GB"/>
        </w:rPr>
        <w:t xml:space="preserve"> on sand, gravel and crushed stone at benchmark levels, paired with credits for certified secondary aggregates and procurement standards that recognise recycled content, so that policy pull offsets cost push in construction.</w:t>
      </w:r>
    </w:p>
    <w:p w14:paraId="55CE9FB6" w14:textId="77777777" w:rsidR="00AE0176" w:rsidRPr="00AE0176" w:rsidRDefault="00AE0176" w:rsidP="00AE0176">
      <w:pPr>
        <w:pStyle w:val="Bulletlist"/>
        <w:rPr>
          <w:lang w:eastAsia="en-GB"/>
        </w:rPr>
      </w:pPr>
      <w:r w:rsidRPr="00AE0176">
        <w:rPr>
          <w:b/>
          <w:bCs/>
          <w:lang w:eastAsia="en-GB"/>
        </w:rPr>
        <w:t>Product-based instruments</w:t>
      </w:r>
      <w:r w:rsidRPr="00AE0176">
        <w:rPr>
          <w:lang w:eastAsia="en-GB"/>
        </w:rPr>
        <w:t xml:space="preserve">: a nitrogen-content </w:t>
      </w:r>
      <w:r w:rsidRPr="00AE0176">
        <w:rPr>
          <w:b/>
          <w:bCs/>
          <w:lang w:eastAsia="en-GB"/>
        </w:rPr>
        <w:t>fertiliser tax</w:t>
      </w:r>
      <w:r w:rsidRPr="00AE0176">
        <w:rPr>
          <w:lang w:eastAsia="en-GB"/>
        </w:rPr>
        <w:t xml:space="preserve"> calibrated to relative price levels, and a </w:t>
      </w:r>
      <w:r w:rsidRPr="00AE0176">
        <w:rPr>
          <w:b/>
          <w:bCs/>
          <w:lang w:eastAsia="en-GB"/>
        </w:rPr>
        <w:t>pesticide tax</w:t>
      </w:r>
      <w:r w:rsidRPr="00AE0176">
        <w:rPr>
          <w:lang w:eastAsia="en-GB"/>
        </w:rPr>
        <w:t xml:space="preserve"> differentiated by toxicity, both introduced with simple compliance rules, advisory support and co-financed precision-application and integrated pest management to protect yields.</w:t>
      </w:r>
    </w:p>
    <w:p w14:paraId="72D1E295" w14:textId="77777777" w:rsidR="00AE0176" w:rsidRPr="00AE0176" w:rsidRDefault="00AE0176" w:rsidP="00AE0176">
      <w:pPr>
        <w:pStyle w:val="Bulletlist"/>
        <w:rPr>
          <w:lang w:eastAsia="en-GB"/>
        </w:rPr>
      </w:pPr>
      <w:r w:rsidRPr="00AE0176">
        <w:rPr>
          <w:b/>
          <w:bCs/>
          <w:lang w:eastAsia="en-GB"/>
        </w:rPr>
        <w:t>Targeted air-pollutant charges</w:t>
      </w:r>
      <w:r w:rsidRPr="00AE0176">
        <w:rPr>
          <w:lang w:eastAsia="en-GB"/>
        </w:rPr>
        <w:t xml:space="preserve"> (NOx, SO₂, PM₂.₅) for large permitted sources, using modest top-ups and performance-based rebates for early adoption of best available techniques rather than broad exemptions.</w:t>
      </w:r>
    </w:p>
    <w:p w14:paraId="47787DE1" w14:textId="0765C40D" w:rsidR="00AE0176" w:rsidRPr="00AE0176" w:rsidRDefault="00AE0176" w:rsidP="00AE0176">
      <w:pPr>
        <w:rPr>
          <w:lang w:eastAsia="en-GB"/>
        </w:rPr>
      </w:pPr>
      <w:r w:rsidRPr="00AE0176">
        <w:rPr>
          <w:lang w:eastAsia="en-GB"/>
        </w:rPr>
        <w:t>Water abstraction pricing can be considered selectively in stressed catchments; where introduced, a locational component will sharpen incentives while keeping average burdens modest.</w:t>
      </w:r>
    </w:p>
    <w:p w14:paraId="3B093F55" w14:textId="03BFB064" w:rsidR="00AE0176" w:rsidRPr="00AE0176" w:rsidRDefault="6C8364CF" w:rsidP="00AE0176">
      <w:pPr>
        <w:rPr>
          <w:lang w:eastAsia="en-GB"/>
        </w:rPr>
      </w:pPr>
      <w:r w:rsidRPr="41BBB27A">
        <w:rPr>
          <w:lang w:eastAsia="en-GB"/>
        </w:rPr>
        <w:t xml:space="preserve">Concrete safeguards should accompany the package to avoid negative distributional and competitiveness effects. </w:t>
      </w:r>
      <w:r w:rsidR="75726948" w:rsidRPr="41BBB27A">
        <w:rPr>
          <w:lang w:eastAsia="en-GB"/>
        </w:rPr>
        <w:t>These include: (i) f</w:t>
      </w:r>
      <w:r w:rsidRPr="41BBB27A">
        <w:rPr>
          <w:lang w:eastAsia="en-GB"/>
        </w:rPr>
        <w:t>or households, introduce a lifeline block for essential water use and cap year-on-year increases in municipal water and waste tariffs, financing the cap from environmental receipts while preserving the marginal signal above the lifeline</w:t>
      </w:r>
      <w:r w:rsidR="04E1886A" w:rsidRPr="41BBB27A">
        <w:rPr>
          <w:lang w:eastAsia="en-GB"/>
        </w:rPr>
        <w:t xml:space="preserve"> (ii)</w:t>
      </w:r>
      <w:r w:rsidRPr="41BBB27A">
        <w:rPr>
          <w:lang w:eastAsia="en-GB"/>
        </w:rPr>
        <w:t xml:space="preserve"> </w:t>
      </w:r>
      <w:r w:rsidR="3AF31BFA" w:rsidRPr="41BBB27A">
        <w:rPr>
          <w:lang w:eastAsia="en-GB"/>
        </w:rPr>
        <w:t>p</w:t>
      </w:r>
      <w:r w:rsidRPr="41BBB27A">
        <w:rPr>
          <w:lang w:eastAsia="en-GB"/>
        </w:rPr>
        <w:t>rovide automatic bill credits for low-income customers and targeted support in rural municipalities with higher service costs.</w:t>
      </w:r>
      <w:r w:rsidR="47B0F6E5" w:rsidRPr="41BBB27A">
        <w:rPr>
          <w:lang w:eastAsia="en-GB"/>
        </w:rPr>
        <w:t xml:space="preserve"> (iii) f</w:t>
      </w:r>
      <w:r w:rsidRPr="41BBB27A">
        <w:rPr>
          <w:lang w:eastAsia="en-GB"/>
        </w:rPr>
        <w:t>or farmers, time-limited rebates conditional on precision fertilisation, nutrient budgeting and integrated pest management, and access to advisory services, will mitigate transition risks</w:t>
      </w:r>
      <w:r w:rsidR="661F71A6" w:rsidRPr="41BBB27A">
        <w:rPr>
          <w:lang w:eastAsia="en-GB"/>
        </w:rPr>
        <w:t xml:space="preserve"> (iv)</w:t>
      </w:r>
      <w:r w:rsidRPr="41BBB27A">
        <w:rPr>
          <w:lang w:eastAsia="en-GB"/>
        </w:rPr>
        <w:t xml:space="preserve">or </w:t>
      </w:r>
      <w:r w:rsidRPr="41BBB27A">
        <w:rPr>
          <w:lang w:eastAsia="en-GB"/>
        </w:rPr>
        <w:lastRenderedPageBreak/>
        <w:t>trade-exposed industrial sites, offer temporary, technology-neutral investment support (accelerated depreciation or investment tax credits) for abatement equipment and process optimisation that preserves the ongoing price signal. In aggregates, fast-track certification of secondary materials and set recycled-content requirements in public projects to stabilise demand.</w:t>
      </w:r>
    </w:p>
    <w:p w14:paraId="6E329CE0" w14:textId="5231150C" w:rsidR="00AE0176" w:rsidRPr="00AE0176" w:rsidRDefault="00AE0176" w:rsidP="00AE0176">
      <w:pPr>
        <w:rPr>
          <w:lang w:eastAsia="en-GB"/>
        </w:rPr>
      </w:pPr>
      <w:r w:rsidRPr="00AE0176">
        <w:rPr>
          <w:lang w:eastAsia="en-GB"/>
        </w:rPr>
        <w:t>Implementation should be tied to enabling infrastructure and better data. Extend metering and reporting to smaller abstractions and dischargers using standard coefficients and periodic audits to keep administrative burdens proportionate. Strengthen inspections and sanctions to deter illegal dumping and under-reporting as price signals rise. Coordinate closely across finance, environment and sectoral ministries and with municipalities to align tax design with investment timelines and to avoid regional disparities that could undermine public trust.</w:t>
      </w:r>
    </w:p>
    <w:p w14:paraId="6E94E08E" w14:textId="6BDEAFE9" w:rsidR="00D245BD" w:rsidRPr="00686697" w:rsidRDefault="6C8364CF" w:rsidP="00844722">
      <w:pPr>
        <w:rPr>
          <w:lang w:eastAsia="en-GB"/>
        </w:rPr>
      </w:pPr>
      <w:r w:rsidRPr="41BBB27A">
        <w:rPr>
          <w:lang w:eastAsia="en-GB"/>
        </w:rPr>
        <w:t xml:space="preserve">Overall, Latvia </w:t>
      </w:r>
      <w:r w:rsidR="6AEC9B0A" w:rsidRPr="41BBB27A">
        <w:rPr>
          <w:lang w:eastAsia="en-GB"/>
        </w:rPr>
        <w:t>could</w:t>
      </w:r>
      <w:r w:rsidRPr="41BBB27A">
        <w:rPr>
          <w:lang w:eastAsia="en-GB"/>
        </w:rPr>
        <w:t xml:space="preserve"> advance a focused, phased package that prioritises wastewater, landfill and minerals, complemented by selective product and air instruments and, where warranted, abstraction pricing. With transparent revenue recycling and practical safeguards, these measures can deliver meaningful environmental gains and stable revenues while protecting competitiveness and social fairness.</w:t>
      </w:r>
    </w:p>
    <w:p w14:paraId="33FCB211" w14:textId="77777777" w:rsidR="00664BE6" w:rsidRPr="00EA4C9B" w:rsidRDefault="00664BE6" w:rsidP="000071AD">
      <w:pPr>
        <w:pStyle w:val="AnnexHeading1"/>
        <w:ind w:hanging="1211"/>
      </w:pPr>
      <w:bookmarkStart w:id="234" w:name="_Toc214008908"/>
      <w:r w:rsidRPr="00EA4C9B">
        <w:t>Lithuania</w:t>
      </w:r>
      <w:bookmarkEnd w:id="234"/>
    </w:p>
    <w:p w14:paraId="004801DC" w14:textId="77777777" w:rsidR="00664BE6" w:rsidRPr="00EA4C9B" w:rsidRDefault="00664BE6" w:rsidP="007C4EB7">
      <w:pPr>
        <w:pStyle w:val="AnnexHeading2"/>
      </w:pPr>
      <w:bookmarkStart w:id="235" w:name="_Toc214008909"/>
      <w:r w:rsidRPr="00EA4C9B">
        <w:t>Overview of existing environmental taxes</w:t>
      </w:r>
      <w:bookmarkEnd w:id="235"/>
    </w:p>
    <w:p w14:paraId="516F5F79" w14:textId="4DD5C0DC" w:rsidR="004755D6" w:rsidRDefault="004755D6" w:rsidP="00664BE6">
      <w:pPr>
        <w:spacing w:after="0"/>
      </w:pPr>
      <w:r w:rsidRPr="004755D6">
        <w:t>Environmental taxes in Lithuania amounted to 1.6% of GDP in 2023, below the EU average. While revenues have risen substantially in absolute terms over the past 15 years, their relative weight in the economy has declined. Total environmental tax revenue reached EUR 1 billion in real terms in 2023 (</w:t>
      </w:r>
      <w:r w:rsidR="00297C5C" w:rsidRPr="00297C5C">
        <w:fldChar w:fldCharType="begin"/>
      </w:r>
      <w:r w:rsidR="00297C5C" w:rsidRPr="00297C5C">
        <w:instrText xml:space="preserve"> REF _Ref201232525 \h  \* MERGEFORMAT </w:instrText>
      </w:r>
      <w:r w:rsidR="00297C5C" w:rsidRPr="00297C5C">
        <w:fldChar w:fldCharType="separate"/>
      </w:r>
      <w:r w:rsidR="00297C5C" w:rsidRPr="00297C5C">
        <w:t xml:space="preserve">Figure </w:t>
      </w:r>
      <w:r w:rsidR="00490085">
        <w:t>A6</w:t>
      </w:r>
      <w:r w:rsidR="00297C5C" w:rsidRPr="00297C5C">
        <w:t>-</w:t>
      </w:r>
      <w:r w:rsidR="00297C5C" w:rsidRPr="00297C5C">
        <w:rPr>
          <w:noProof/>
        </w:rPr>
        <w:t>45</w:t>
      </w:r>
      <w:r w:rsidR="00297C5C" w:rsidRPr="00297C5C">
        <w:fldChar w:fldCharType="end"/>
      </w:r>
      <w:r w:rsidRPr="004755D6">
        <w:t>), representing a 102.4% increase since 2009</w:t>
      </w:r>
      <w:r w:rsidR="00BB262A">
        <w:rPr>
          <w:rStyle w:val="FootnoteReference"/>
        </w:rPr>
        <w:footnoteReference w:id="524"/>
      </w:r>
      <w:r w:rsidRPr="004755D6">
        <w:t>. Over the same period, however, the ratio of environmental taxes to GDP fell by 20% (</w:t>
      </w:r>
      <w:r w:rsidR="00AD3B0D" w:rsidRPr="00AD3B0D">
        <w:fldChar w:fldCharType="begin"/>
      </w:r>
      <w:r w:rsidR="00AD3B0D" w:rsidRPr="00AD3B0D">
        <w:instrText xml:space="preserve"> REF _Ref201232612 \h  \* MERGEFORMAT </w:instrText>
      </w:r>
      <w:r w:rsidR="00AD3B0D" w:rsidRPr="00AD3B0D">
        <w:fldChar w:fldCharType="separate"/>
      </w:r>
      <w:r w:rsidR="00AD3B0D" w:rsidRPr="00AD3B0D">
        <w:t xml:space="preserve">Figure </w:t>
      </w:r>
      <w:r w:rsidR="00490085">
        <w:t>A6</w:t>
      </w:r>
      <w:r w:rsidR="00AD3B0D" w:rsidRPr="00AD3B0D">
        <w:t>-</w:t>
      </w:r>
      <w:r w:rsidR="00AD3B0D" w:rsidRPr="00AD3B0D">
        <w:rPr>
          <w:noProof/>
        </w:rPr>
        <w:t>46</w:t>
      </w:r>
      <w:r w:rsidR="00AD3B0D" w:rsidRPr="00AD3B0D">
        <w:fldChar w:fldCharType="end"/>
      </w:r>
      <w:r w:rsidRPr="004755D6">
        <w:t>). In 2023, revenues were mainly sourced from energy and transport taxes (around 76.6% and 6.5%, respectively), while pollution and resource taxes contributed 8.8% and 8.1%</w:t>
      </w:r>
      <w:r>
        <w:t xml:space="preserve"> respectively</w:t>
      </w:r>
      <w:r w:rsidRPr="004755D6">
        <w:t>.</w:t>
      </w:r>
    </w:p>
    <w:p w14:paraId="5F3BE6AE" w14:textId="77777777" w:rsidR="00664BE6" w:rsidRPr="00EA4C9B" w:rsidRDefault="00664BE6" w:rsidP="004755D6">
      <w:pPr>
        <w:spacing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64BE6" w:rsidRPr="00EA4C9B" w14:paraId="50D9961D" w14:textId="77777777" w:rsidTr="003D26BA">
        <w:tc>
          <w:tcPr>
            <w:tcW w:w="9016" w:type="dxa"/>
          </w:tcPr>
          <w:p w14:paraId="180D83BF" w14:textId="77777777" w:rsidR="00664BE6" w:rsidRPr="00EA4C9B" w:rsidRDefault="00664BE6">
            <w:pPr>
              <w:spacing w:after="0"/>
              <w:jc w:val="center"/>
              <w:rPr>
                <w:sz w:val="10"/>
                <w:szCs w:val="10"/>
              </w:rPr>
            </w:pPr>
          </w:p>
          <w:p w14:paraId="5983E464" w14:textId="77777777" w:rsidR="00664BE6" w:rsidRPr="00EA4C9B" w:rsidRDefault="00664BE6">
            <w:pPr>
              <w:spacing w:after="0"/>
              <w:jc w:val="center"/>
            </w:pPr>
            <w:r w:rsidRPr="00EA4C9B">
              <w:rPr>
                <w:noProof/>
              </w:rPr>
              <w:drawing>
                <wp:inline distT="0" distB="0" distL="0" distR="0" wp14:anchorId="416B396F" wp14:editId="7DFF1DC8">
                  <wp:extent cx="5513560" cy="1068382"/>
                  <wp:effectExtent l="0" t="0" r="0" b="0"/>
                  <wp:docPr id="1730224656" name="Picture 2" descr="A graph of a graph with a graph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24656" name="Picture 2" descr="A graph of a graph with a graph and numbers&#10;&#10;AI-generated content may be incorrec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523027" cy="1070217"/>
                          </a:xfrm>
                          <a:prstGeom prst="rect">
                            <a:avLst/>
                          </a:prstGeom>
                          <a:noFill/>
                          <a:ln>
                            <a:noFill/>
                          </a:ln>
                        </pic:spPr>
                      </pic:pic>
                    </a:graphicData>
                  </a:graphic>
                </wp:inline>
              </w:drawing>
            </w:r>
          </w:p>
          <w:p w14:paraId="33DDBE66" w14:textId="77777777" w:rsidR="00664BE6" w:rsidRPr="00EA4C9B" w:rsidRDefault="00664BE6">
            <w:pPr>
              <w:spacing w:after="0"/>
              <w:jc w:val="center"/>
              <w:rPr>
                <w:sz w:val="10"/>
                <w:szCs w:val="10"/>
              </w:rPr>
            </w:pPr>
          </w:p>
          <w:p w14:paraId="5CDE2260" w14:textId="77777777" w:rsidR="00664BE6" w:rsidRPr="00EA4C9B" w:rsidRDefault="00664BE6">
            <w:pPr>
              <w:spacing w:after="0"/>
              <w:jc w:val="center"/>
              <w:rPr>
                <w:sz w:val="10"/>
                <w:szCs w:val="10"/>
              </w:rPr>
            </w:pPr>
          </w:p>
        </w:tc>
      </w:tr>
      <w:tr w:rsidR="00664BE6" w:rsidRPr="00EA4C9B" w14:paraId="0846AE70" w14:textId="77777777" w:rsidTr="003D26BA">
        <w:tc>
          <w:tcPr>
            <w:tcW w:w="9016" w:type="dxa"/>
            <w:shd w:val="clear" w:color="auto" w:fill="003399"/>
          </w:tcPr>
          <w:p w14:paraId="4660BD30" w14:textId="408EBF04" w:rsidR="00664BE6" w:rsidRPr="00EA4C9B" w:rsidRDefault="00282899" w:rsidP="00CD00F6">
            <w:pPr>
              <w:pStyle w:val="FigTabCaption"/>
            </w:pPr>
            <w:bookmarkStart w:id="236" w:name="_Ref201232525"/>
            <w:r w:rsidRPr="00051732">
              <w:t xml:space="preserve">Figure </w:t>
            </w:r>
            <w:r w:rsidR="00490085">
              <w:t>A6</w:t>
            </w:r>
            <w:r w:rsidRPr="00051732">
              <w:t>-</w:t>
            </w:r>
            <w:r>
              <w:fldChar w:fldCharType="begin"/>
            </w:r>
            <w:r>
              <w:instrText>SEQ Figure_A5- \* ARABIC</w:instrText>
            </w:r>
            <w:r>
              <w:fldChar w:fldCharType="separate"/>
            </w:r>
            <w:r w:rsidR="0091411A">
              <w:rPr>
                <w:noProof/>
              </w:rPr>
              <w:t>45</w:t>
            </w:r>
            <w:r>
              <w:fldChar w:fldCharType="end"/>
            </w:r>
            <w:bookmarkEnd w:id="236"/>
            <w:r w:rsidR="00664BE6" w:rsidRPr="00EA4C9B">
              <w:t>: Total environmental tax revenue in Lithuania (2009-2023) in billion euros</w:t>
            </w:r>
          </w:p>
        </w:tc>
      </w:tr>
    </w:tbl>
    <w:p w14:paraId="1A9EA38E" w14:textId="77777777" w:rsidR="00664BE6" w:rsidRPr="00EA4C9B" w:rsidRDefault="00664BE6" w:rsidP="00664BE6">
      <w:pPr>
        <w:spacing w:after="0"/>
      </w:pPr>
    </w:p>
    <w:p w14:paraId="6BBBE0FD" w14:textId="614CE4C3" w:rsidR="005842F3" w:rsidRDefault="005842F3" w:rsidP="00CD16F1">
      <w:r w:rsidRPr="005842F3">
        <w:t>In 2023, total tax revenue (including net social contributions) accounted for 32.1% of Lithuania’s GDP, an increase of 3.7 percentage points compared with 28.4% in 2009. Environmental taxes represented 5.02% of total tax revenue in 2023, down from 7.08% in 2009</w:t>
      </w:r>
      <w:r>
        <w:t xml:space="preserve"> </w:t>
      </w:r>
      <w:r w:rsidRPr="005842F3">
        <w:t>—</w:t>
      </w:r>
      <w:r>
        <w:t xml:space="preserve"> </w:t>
      </w:r>
      <w:r w:rsidRPr="005842F3">
        <w:t>a decline of 2.06 percentage points over the period. In absolute terms, the strongest increase was recorded in pollution tax revenues (up 87.7%), while the largest decrease occurred in energy tax revenues (</w:t>
      </w:r>
      <w:r>
        <w:t>-</w:t>
      </w:r>
      <w:r w:rsidRPr="005842F3">
        <w:t>42.6%).</w:t>
      </w:r>
    </w:p>
    <w:p w14:paraId="25AAC92C" w14:textId="41700A2F" w:rsidR="00664BE6" w:rsidRPr="00EA4C9B" w:rsidRDefault="00664BE6" w:rsidP="00CD16F1"/>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64BE6" w:rsidRPr="00EA4C9B" w14:paraId="2401E8B8" w14:textId="77777777" w:rsidTr="003D26BA">
        <w:tc>
          <w:tcPr>
            <w:tcW w:w="9016" w:type="dxa"/>
          </w:tcPr>
          <w:p w14:paraId="23F46EE2" w14:textId="77777777" w:rsidR="00664BE6" w:rsidRPr="00EA4C9B" w:rsidRDefault="00664BE6">
            <w:pPr>
              <w:spacing w:after="0"/>
              <w:jc w:val="center"/>
              <w:rPr>
                <w:sz w:val="10"/>
                <w:szCs w:val="10"/>
              </w:rPr>
            </w:pPr>
          </w:p>
          <w:p w14:paraId="734E9C08" w14:textId="5F58FADC" w:rsidR="00664BE6" w:rsidRPr="00EA4C9B" w:rsidRDefault="00AE0176">
            <w:pPr>
              <w:spacing w:after="0"/>
              <w:jc w:val="center"/>
            </w:pPr>
            <w:r>
              <w:rPr>
                <w:noProof/>
              </w:rPr>
              <w:lastRenderedPageBreak/>
              <w:drawing>
                <wp:inline distT="0" distB="0" distL="0" distR="0" wp14:anchorId="739CA5DB" wp14:editId="5B93BDE4">
                  <wp:extent cx="5524500" cy="2451100"/>
                  <wp:effectExtent l="0" t="0" r="0" b="0"/>
                  <wp:docPr id="1471133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33255" name=""/>
                          <pic:cNvPicPr/>
                        </pic:nvPicPr>
                        <pic:blipFill>
                          <a:blip r:embed="rId95"/>
                          <a:stretch>
                            <a:fillRect/>
                          </a:stretch>
                        </pic:blipFill>
                        <pic:spPr>
                          <a:xfrm>
                            <a:off x="0" y="0"/>
                            <a:ext cx="5524500" cy="2451100"/>
                          </a:xfrm>
                          <a:prstGeom prst="rect">
                            <a:avLst/>
                          </a:prstGeom>
                        </pic:spPr>
                      </pic:pic>
                    </a:graphicData>
                  </a:graphic>
                </wp:inline>
              </w:drawing>
            </w:r>
          </w:p>
          <w:p w14:paraId="7D18304D" w14:textId="77777777" w:rsidR="00664BE6" w:rsidRPr="00EA4C9B" w:rsidRDefault="00664BE6" w:rsidP="00AE0176">
            <w:pPr>
              <w:spacing w:after="0"/>
              <w:rPr>
                <w:sz w:val="10"/>
                <w:szCs w:val="10"/>
              </w:rPr>
            </w:pPr>
          </w:p>
        </w:tc>
      </w:tr>
      <w:tr w:rsidR="00664BE6" w:rsidRPr="00EA4C9B" w14:paraId="3B91D2AF" w14:textId="77777777" w:rsidTr="003D26BA">
        <w:tc>
          <w:tcPr>
            <w:tcW w:w="9016" w:type="dxa"/>
            <w:shd w:val="clear" w:color="auto" w:fill="003399"/>
          </w:tcPr>
          <w:p w14:paraId="7849A026" w14:textId="02438618" w:rsidR="00664BE6" w:rsidRPr="00EA4C9B" w:rsidRDefault="00282899" w:rsidP="00CD00F6">
            <w:pPr>
              <w:pStyle w:val="FigTabCaption"/>
            </w:pPr>
            <w:bookmarkStart w:id="237" w:name="_Ref201232612"/>
            <w:r w:rsidRPr="00051732">
              <w:lastRenderedPageBreak/>
              <w:t xml:space="preserve">Figure </w:t>
            </w:r>
            <w:r w:rsidR="00490085">
              <w:t>A6</w:t>
            </w:r>
            <w:r w:rsidRPr="00051732">
              <w:t>-</w:t>
            </w:r>
            <w:r>
              <w:fldChar w:fldCharType="begin"/>
            </w:r>
            <w:r>
              <w:instrText>SEQ Figure_A5- \* ARABIC</w:instrText>
            </w:r>
            <w:r>
              <w:fldChar w:fldCharType="separate"/>
            </w:r>
            <w:r w:rsidR="0091411A">
              <w:rPr>
                <w:noProof/>
              </w:rPr>
              <w:t>46</w:t>
            </w:r>
            <w:r>
              <w:fldChar w:fldCharType="end"/>
            </w:r>
            <w:bookmarkEnd w:id="237"/>
            <w:r w:rsidR="00664BE6" w:rsidRPr="00EA4C9B">
              <w:t>: Fifteen-year (2009-2023) change in absolute terms and change as GDP-ratio of the revenues of energy taxes, transport taxes, resource taxes, pollution taxes and total environmental taxes</w:t>
            </w:r>
            <w:r w:rsidR="00996C35">
              <w:t xml:space="preserve"> </w:t>
            </w:r>
          </w:p>
        </w:tc>
      </w:tr>
    </w:tbl>
    <w:p w14:paraId="644C473C" w14:textId="77777777" w:rsidR="00664BE6" w:rsidRPr="00EA4C9B" w:rsidRDefault="00664BE6" w:rsidP="00664BE6">
      <w:pPr>
        <w:spacing w:after="0"/>
      </w:pPr>
    </w:p>
    <w:p w14:paraId="5D55A375" w14:textId="77777777" w:rsidR="00664BE6" w:rsidRPr="00EA4C9B" w:rsidRDefault="00664BE6" w:rsidP="007C4EB7">
      <w:pPr>
        <w:pStyle w:val="AnnexHeading2"/>
      </w:pPr>
      <w:bookmarkStart w:id="238" w:name="_Toc214008910"/>
      <w:r w:rsidRPr="00EA4C9B">
        <w:t>Existing pollution and resource taxes</w:t>
      </w:r>
      <w:bookmarkEnd w:id="238"/>
    </w:p>
    <w:p w14:paraId="396CB777" w14:textId="683D0BB7" w:rsidR="00664BE6" w:rsidRPr="00EA4C9B" w:rsidRDefault="00664BE6" w:rsidP="00664BE6">
      <w:pPr>
        <w:spacing w:after="0"/>
      </w:pPr>
      <w:r w:rsidRPr="00EA4C9B">
        <w:t>In 2023, pollution and resource tax revenues reached respectively 0.09 and 0.08 billion euros. These amount to increases in absolute terms of 436.3% for pollution tax over 15 years (2009-2023). In terms of GDP-ratios, pollution taxes increased by 112.2% (</w:t>
      </w:r>
      <w:r w:rsidR="00A83EA6" w:rsidRPr="00A83EA6">
        <w:fldChar w:fldCharType="begin"/>
      </w:r>
      <w:r w:rsidR="00A83EA6" w:rsidRPr="00A83EA6">
        <w:instrText xml:space="preserve"> REF _Ref201232612 \h  \* MERGEFORMAT </w:instrText>
      </w:r>
      <w:r w:rsidR="00A83EA6" w:rsidRPr="00A83EA6">
        <w:fldChar w:fldCharType="separate"/>
      </w:r>
      <w:r w:rsidR="00A83EA6" w:rsidRPr="00A83EA6">
        <w:t xml:space="preserve">Figure </w:t>
      </w:r>
      <w:r w:rsidR="00490085">
        <w:t>A6</w:t>
      </w:r>
      <w:r w:rsidR="00A83EA6" w:rsidRPr="00A83EA6">
        <w:t>-</w:t>
      </w:r>
      <w:r w:rsidR="00A83EA6" w:rsidRPr="00A83EA6">
        <w:rPr>
          <w:noProof/>
        </w:rPr>
        <w:t>46</w:t>
      </w:r>
      <w:r w:rsidR="00A83EA6" w:rsidRPr="00A83EA6">
        <w:fldChar w:fldCharType="end"/>
      </w:r>
      <w:r w:rsidR="00A83EA6" w:rsidRPr="00A83EA6">
        <w:t>).</w:t>
      </w:r>
      <w:r w:rsidRPr="00EA4C9B">
        <w:t xml:space="preserve"> In 2023, pollution and resource tax revenues accounted for — respectively — 8.8% and 8.1% of the total environmental tax revenues.</w:t>
      </w:r>
    </w:p>
    <w:p w14:paraId="64893303" w14:textId="5E94F279" w:rsidR="00664BE6" w:rsidRPr="00EA4C9B" w:rsidRDefault="00664BE6" w:rsidP="00664BE6">
      <w:pPr>
        <w:spacing w:after="0"/>
      </w:pPr>
      <w:r w:rsidRPr="00EA4C9B">
        <w:t> </w:t>
      </w:r>
    </w:p>
    <w:tbl>
      <w:tblPr>
        <w:tblStyle w:val="TableGrid"/>
        <w:tblW w:w="9015"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9015"/>
      </w:tblGrid>
      <w:tr w:rsidR="00664BE6" w:rsidRPr="00EA4C9B" w14:paraId="09E79BF1" w14:textId="77777777">
        <w:trPr>
          <w:trHeight w:val="300"/>
        </w:trPr>
        <w:tc>
          <w:tcPr>
            <w:tcW w:w="9015" w:type="dxa"/>
          </w:tcPr>
          <w:p w14:paraId="311257B4" w14:textId="77777777" w:rsidR="00AE0176" w:rsidRPr="00AE0176" w:rsidRDefault="00AE0176" w:rsidP="00282899">
            <w:pPr>
              <w:spacing w:after="0"/>
              <w:jc w:val="center"/>
              <w:rPr>
                <w:sz w:val="10"/>
                <w:szCs w:val="10"/>
              </w:rPr>
            </w:pPr>
          </w:p>
          <w:p w14:paraId="5CE53A94" w14:textId="52A33022" w:rsidR="00664BE6" w:rsidRDefault="00AE0176" w:rsidP="00282899">
            <w:pPr>
              <w:spacing w:after="0"/>
              <w:jc w:val="center"/>
            </w:pPr>
            <w:r>
              <w:rPr>
                <w:noProof/>
              </w:rPr>
              <w:drawing>
                <wp:inline distT="0" distB="0" distL="0" distR="0" wp14:anchorId="597A7B97" wp14:editId="4AE437A1">
                  <wp:extent cx="5270500" cy="1968500"/>
                  <wp:effectExtent l="0" t="0" r="0" b="0"/>
                  <wp:docPr id="88569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9488" name=""/>
                          <pic:cNvPicPr/>
                        </pic:nvPicPr>
                        <pic:blipFill>
                          <a:blip r:embed="rId96"/>
                          <a:stretch>
                            <a:fillRect/>
                          </a:stretch>
                        </pic:blipFill>
                        <pic:spPr>
                          <a:xfrm>
                            <a:off x="0" y="0"/>
                            <a:ext cx="5270500" cy="1968500"/>
                          </a:xfrm>
                          <a:prstGeom prst="rect">
                            <a:avLst/>
                          </a:prstGeom>
                        </pic:spPr>
                      </pic:pic>
                    </a:graphicData>
                  </a:graphic>
                </wp:inline>
              </w:drawing>
            </w:r>
          </w:p>
          <w:p w14:paraId="334219E1" w14:textId="5EBDC3EE" w:rsidR="00AE0176" w:rsidRPr="00AE0176" w:rsidRDefault="00AE0176" w:rsidP="00282899">
            <w:pPr>
              <w:spacing w:after="0"/>
              <w:jc w:val="center"/>
              <w:rPr>
                <w:sz w:val="10"/>
                <w:szCs w:val="10"/>
              </w:rPr>
            </w:pPr>
          </w:p>
        </w:tc>
      </w:tr>
      <w:tr w:rsidR="00664BE6" w:rsidRPr="00EA4C9B" w14:paraId="240EDE9B" w14:textId="77777777">
        <w:trPr>
          <w:trHeight w:val="300"/>
        </w:trPr>
        <w:tc>
          <w:tcPr>
            <w:tcW w:w="9015" w:type="dxa"/>
            <w:shd w:val="clear" w:color="auto" w:fill="003399"/>
            <w:tcMar>
              <w:left w:w="105" w:type="dxa"/>
              <w:right w:w="105" w:type="dxa"/>
            </w:tcMar>
          </w:tcPr>
          <w:p w14:paraId="15561FCE" w14:textId="16FEAD55" w:rsidR="00664BE6" w:rsidRPr="00EA4C9B" w:rsidRDefault="00282899" w:rsidP="00CD00F6">
            <w:pPr>
              <w:pStyle w:val="FigTabCaption"/>
              <w:rPr>
                <w:rFonts w:ascii="Calibri" w:eastAsia="Calibri" w:hAnsi="Calibri" w:cs="Calibri"/>
              </w:rPr>
            </w:pPr>
            <w:r w:rsidRPr="00051732">
              <w:t xml:space="preserve">Figure </w:t>
            </w:r>
            <w:r w:rsidR="00490085">
              <w:t>A6</w:t>
            </w:r>
            <w:r w:rsidRPr="00051732">
              <w:t>-</w:t>
            </w:r>
            <w:r>
              <w:fldChar w:fldCharType="begin"/>
            </w:r>
            <w:r>
              <w:instrText>SEQ Figure_A5- \* ARABIC</w:instrText>
            </w:r>
            <w:r>
              <w:fldChar w:fldCharType="separate"/>
            </w:r>
            <w:r w:rsidR="0091411A">
              <w:rPr>
                <w:noProof/>
              </w:rPr>
              <w:t>47</w:t>
            </w:r>
            <w:r>
              <w:fldChar w:fldCharType="end"/>
            </w:r>
            <w:r w:rsidR="00664BE6" w:rsidRPr="00EA4C9B">
              <w:rPr>
                <w:rFonts w:ascii="Calibri" w:eastAsia="Calibri" w:hAnsi="Calibri" w:cs="Calibri"/>
              </w:rPr>
              <w:t xml:space="preserve">: Resource and pollution tax revenues in Lithuania (2009-2023) in million euros. </w:t>
            </w:r>
            <w:r w:rsidR="00664BE6" w:rsidRPr="00EA4C9B">
              <w:rPr>
                <w:i/>
                <w:iCs/>
              </w:rPr>
              <w:t>Note: the share between pollution and resource taxes in 2023 was estimated as the weighted average of past years</w:t>
            </w:r>
            <w:r w:rsidR="00664BE6" w:rsidRPr="00EA4C9B">
              <w:t> </w:t>
            </w:r>
          </w:p>
        </w:tc>
      </w:tr>
    </w:tbl>
    <w:p w14:paraId="0D360A5F" w14:textId="77777777" w:rsidR="00A00DA3" w:rsidRPr="00A00DA3" w:rsidRDefault="00A00DA3" w:rsidP="00A00DA3">
      <w:pPr>
        <w:pStyle w:val="Heading4"/>
      </w:pPr>
      <w:r w:rsidRPr="00A00DA3">
        <w:t>List of pollution and resource taxes and revenue shares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890"/>
        <w:gridCol w:w="1980"/>
        <w:gridCol w:w="2451"/>
      </w:tblGrid>
      <w:tr w:rsidR="00664BE6" w:rsidRPr="00EA4C9B" w14:paraId="102BF6C5" w14:textId="77777777" w:rsidTr="00CD16F1">
        <w:tc>
          <w:tcPr>
            <w:tcW w:w="9016" w:type="dxa"/>
            <w:gridSpan w:val="4"/>
            <w:shd w:val="clear" w:color="auto" w:fill="003399"/>
          </w:tcPr>
          <w:p w14:paraId="4B04BF4E" w14:textId="61B24DB4" w:rsidR="00664BE6" w:rsidRPr="00F23CBA" w:rsidRDefault="00282899" w:rsidP="00F23CBA">
            <w:pPr>
              <w:pStyle w:val="Table"/>
              <w:rPr>
                <w:b/>
                <w:color w:val="FFFFFF" w:themeColor="background1"/>
                <w:szCs w:val="20"/>
              </w:rPr>
            </w:pPr>
            <w:r w:rsidRPr="00F23CBA">
              <w:rPr>
                <w:b/>
                <w:color w:val="FFFFFF" w:themeColor="background1"/>
              </w:rPr>
              <w:t xml:space="preserve">Table </w:t>
            </w:r>
            <w:r w:rsidR="00490085">
              <w:rPr>
                <w:b/>
                <w:color w:val="FFFFFF" w:themeColor="background1"/>
              </w:rPr>
              <w:t>A6</w:t>
            </w:r>
            <w:r w:rsidR="00F23CBA" w:rsidRPr="00F23CBA">
              <w:rPr>
                <w:b/>
                <w:bCs/>
                <w:color w:val="FFFFFF" w:themeColor="background1"/>
              </w:rPr>
              <w:t>-</w:t>
            </w:r>
            <w:r w:rsidR="00F23CBA" w:rsidRPr="00F23CBA">
              <w:rPr>
                <w:b/>
                <w:bCs/>
                <w:color w:val="FFFFFF" w:themeColor="background1"/>
              </w:rPr>
              <w:fldChar w:fldCharType="begin"/>
            </w:r>
            <w:r w:rsidR="00F23CBA" w:rsidRPr="00F23CBA">
              <w:rPr>
                <w:b/>
                <w:bCs/>
                <w:color w:val="FFFFFF" w:themeColor="background1"/>
              </w:rPr>
              <w:instrText xml:space="preserve"> SEQ Table_A5- \* ARABIC </w:instrText>
            </w:r>
            <w:r w:rsidR="00F23CBA" w:rsidRPr="00F23CBA">
              <w:rPr>
                <w:b/>
                <w:bCs/>
                <w:color w:val="FFFFFF" w:themeColor="background1"/>
              </w:rPr>
              <w:fldChar w:fldCharType="separate"/>
            </w:r>
            <w:r w:rsidR="00AE0176">
              <w:rPr>
                <w:b/>
                <w:bCs/>
                <w:noProof/>
                <w:color w:val="FFFFFF" w:themeColor="background1"/>
              </w:rPr>
              <w:t>84</w:t>
            </w:r>
            <w:r w:rsidR="00F23CBA" w:rsidRPr="00F23CBA">
              <w:rPr>
                <w:b/>
                <w:bCs/>
                <w:color w:val="FFFFFF" w:themeColor="background1"/>
              </w:rPr>
              <w:fldChar w:fldCharType="end"/>
            </w:r>
            <w:r w:rsidR="00664BE6" w:rsidRPr="00F23CBA">
              <w:rPr>
                <w:b/>
                <w:color w:val="FFFFFF" w:themeColor="background1"/>
                <w:szCs w:val="20"/>
              </w:rPr>
              <w:t>:  Pollution taxes</w:t>
            </w:r>
          </w:p>
        </w:tc>
      </w:tr>
      <w:tr w:rsidR="00664BE6" w:rsidRPr="00EA4C9B" w14:paraId="6EA5B3C5" w14:textId="77777777" w:rsidTr="00CD16F1">
        <w:tc>
          <w:tcPr>
            <w:tcW w:w="2695" w:type="dxa"/>
          </w:tcPr>
          <w:p w14:paraId="01A69878" w14:textId="77777777" w:rsidR="00664BE6" w:rsidRPr="00EA4C9B" w:rsidRDefault="00664BE6" w:rsidP="00F23CBA">
            <w:pPr>
              <w:pStyle w:val="Table"/>
              <w:rPr>
                <w:b/>
                <w:szCs w:val="20"/>
              </w:rPr>
            </w:pPr>
            <w:r w:rsidRPr="00EA4C9B">
              <w:rPr>
                <w:b/>
                <w:szCs w:val="20"/>
              </w:rPr>
              <w:t>Tax Name</w:t>
            </w:r>
          </w:p>
        </w:tc>
        <w:tc>
          <w:tcPr>
            <w:tcW w:w="1890" w:type="dxa"/>
          </w:tcPr>
          <w:p w14:paraId="6F33F035" w14:textId="77777777" w:rsidR="00664BE6" w:rsidRPr="00EA4C9B" w:rsidRDefault="00664BE6" w:rsidP="00AE0176">
            <w:pPr>
              <w:pStyle w:val="Table"/>
              <w:jc w:val="center"/>
              <w:rPr>
                <w:b/>
                <w:szCs w:val="20"/>
              </w:rPr>
            </w:pPr>
            <w:r w:rsidRPr="00EA4C9B">
              <w:rPr>
                <w:b/>
                <w:szCs w:val="20"/>
              </w:rPr>
              <w:t>Revenue (€ million) 2009-2023</w:t>
            </w:r>
          </w:p>
        </w:tc>
        <w:tc>
          <w:tcPr>
            <w:tcW w:w="1980" w:type="dxa"/>
          </w:tcPr>
          <w:p w14:paraId="36931F6F" w14:textId="77777777" w:rsidR="00664BE6" w:rsidRPr="00EA4C9B" w:rsidRDefault="00664BE6" w:rsidP="00AE0176">
            <w:pPr>
              <w:pStyle w:val="Table"/>
              <w:jc w:val="center"/>
              <w:rPr>
                <w:b/>
                <w:szCs w:val="20"/>
              </w:rPr>
            </w:pPr>
            <w:r w:rsidRPr="00EA4C9B">
              <w:rPr>
                <w:b/>
                <w:szCs w:val="20"/>
              </w:rPr>
              <w:t>Average annual revenue (€ million)</w:t>
            </w:r>
          </w:p>
        </w:tc>
        <w:tc>
          <w:tcPr>
            <w:tcW w:w="2451" w:type="dxa"/>
          </w:tcPr>
          <w:p w14:paraId="4529C635" w14:textId="44EFEDC4" w:rsidR="00664BE6" w:rsidRPr="00EA4C9B" w:rsidRDefault="00664BE6" w:rsidP="00AE0176">
            <w:pPr>
              <w:pStyle w:val="Table"/>
              <w:jc w:val="center"/>
              <w:rPr>
                <w:b/>
                <w:szCs w:val="20"/>
              </w:rPr>
            </w:pPr>
            <w:r w:rsidRPr="00EA4C9B">
              <w:rPr>
                <w:b/>
                <w:szCs w:val="20"/>
              </w:rPr>
              <w:t>As share of all pollution tax revenues</w:t>
            </w:r>
          </w:p>
        </w:tc>
      </w:tr>
      <w:tr w:rsidR="00664BE6" w:rsidRPr="00EA4C9B" w14:paraId="55F5B211" w14:textId="77777777" w:rsidTr="00CD16F1">
        <w:tc>
          <w:tcPr>
            <w:tcW w:w="2695" w:type="dxa"/>
          </w:tcPr>
          <w:p w14:paraId="65EE8892" w14:textId="77777777" w:rsidR="00664BE6" w:rsidRPr="00EA4C9B" w:rsidRDefault="00664BE6" w:rsidP="00F23CBA">
            <w:pPr>
              <w:pStyle w:val="Table"/>
              <w:rPr>
                <w:szCs w:val="20"/>
              </w:rPr>
            </w:pPr>
            <w:r w:rsidRPr="00EA4C9B">
              <w:rPr>
                <w:rFonts w:eastAsiaTheme="minorEastAsia"/>
                <w:szCs w:val="20"/>
                <w:lang w:eastAsia="en-GB"/>
              </w:rPr>
              <w:t>Pollution taxes (for all pollution taxes under the Law on Environmental Pollution Tax)</w:t>
            </w:r>
          </w:p>
        </w:tc>
        <w:tc>
          <w:tcPr>
            <w:tcW w:w="1890" w:type="dxa"/>
          </w:tcPr>
          <w:p w14:paraId="0AFA3A8F" w14:textId="77777777" w:rsidR="00664BE6" w:rsidRPr="00EA4C9B" w:rsidRDefault="00664BE6" w:rsidP="00AE0176">
            <w:pPr>
              <w:pStyle w:val="Table"/>
              <w:jc w:val="center"/>
              <w:rPr>
                <w:szCs w:val="20"/>
              </w:rPr>
            </w:pPr>
            <w:r w:rsidRPr="00EA4C9B">
              <w:rPr>
                <w:rFonts w:eastAsiaTheme="minorEastAsia"/>
                <w:szCs w:val="20"/>
                <w:lang w:eastAsia="en-GB"/>
              </w:rPr>
              <w:t>€842.1 million</w:t>
            </w:r>
          </w:p>
        </w:tc>
        <w:tc>
          <w:tcPr>
            <w:tcW w:w="1980" w:type="dxa"/>
          </w:tcPr>
          <w:p w14:paraId="3CA53A8B" w14:textId="77777777" w:rsidR="00664BE6" w:rsidRPr="00EA4C9B" w:rsidRDefault="00664BE6" w:rsidP="00AE0176">
            <w:pPr>
              <w:pStyle w:val="Table"/>
              <w:jc w:val="center"/>
              <w:rPr>
                <w:szCs w:val="20"/>
              </w:rPr>
            </w:pPr>
            <w:r w:rsidRPr="00EA4C9B">
              <w:rPr>
                <w:rFonts w:eastAsiaTheme="minorEastAsia"/>
                <w:szCs w:val="20"/>
                <w:lang w:eastAsia="en-GB"/>
              </w:rPr>
              <w:t>€127.8 million in 2023</w:t>
            </w:r>
          </w:p>
        </w:tc>
        <w:tc>
          <w:tcPr>
            <w:tcW w:w="2451" w:type="dxa"/>
          </w:tcPr>
          <w:p w14:paraId="29C3C1FC" w14:textId="77777777" w:rsidR="00664BE6" w:rsidRPr="00EA4C9B" w:rsidRDefault="00664BE6" w:rsidP="00AE0176">
            <w:pPr>
              <w:pStyle w:val="Table"/>
              <w:jc w:val="center"/>
              <w:rPr>
                <w:szCs w:val="20"/>
              </w:rPr>
            </w:pPr>
            <w:r w:rsidRPr="00EA4C9B">
              <w:rPr>
                <w:szCs w:val="20"/>
              </w:rPr>
              <w:t>171.1%</w:t>
            </w:r>
          </w:p>
        </w:tc>
      </w:tr>
    </w:tbl>
    <w:p w14:paraId="4DBD27FE" w14:textId="77777777" w:rsidR="00664BE6" w:rsidRPr="00EA4C9B" w:rsidRDefault="00664BE6" w:rsidP="00245941"/>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890"/>
        <w:gridCol w:w="1980"/>
        <w:gridCol w:w="2451"/>
      </w:tblGrid>
      <w:tr w:rsidR="00664BE6" w:rsidRPr="00EA4C9B" w14:paraId="53197107" w14:textId="77777777" w:rsidTr="00CD16F1">
        <w:tc>
          <w:tcPr>
            <w:tcW w:w="9016" w:type="dxa"/>
            <w:gridSpan w:val="4"/>
            <w:shd w:val="clear" w:color="auto" w:fill="003399"/>
          </w:tcPr>
          <w:p w14:paraId="6CB411BD" w14:textId="2CB3E53C" w:rsidR="00664BE6" w:rsidRPr="00653288" w:rsidRDefault="00282899" w:rsidP="00653288">
            <w:pPr>
              <w:pStyle w:val="Table"/>
              <w:rPr>
                <w:b/>
                <w:color w:val="FFFFFF" w:themeColor="background1"/>
                <w:szCs w:val="20"/>
              </w:rPr>
            </w:pPr>
            <w:r w:rsidRPr="00653288">
              <w:rPr>
                <w:b/>
                <w:color w:val="FFFFFF" w:themeColor="background1"/>
              </w:rPr>
              <w:lastRenderedPageBreak/>
              <w:t xml:space="preserve">Table </w:t>
            </w:r>
            <w:r w:rsidR="00490085">
              <w:rPr>
                <w:b/>
                <w:color w:val="FFFFFF" w:themeColor="background1"/>
              </w:rPr>
              <w:t>A6</w:t>
            </w:r>
            <w:r w:rsidR="00653288" w:rsidRPr="00653288">
              <w:rPr>
                <w:b/>
                <w:bCs/>
                <w:color w:val="FFFFFF" w:themeColor="background1"/>
              </w:rPr>
              <w:t>-</w:t>
            </w:r>
            <w:r w:rsidR="00653288" w:rsidRPr="00653288">
              <w:rPr>
                <w:b/>
                <w:bCs/>
                <w:color w:val="FFFFFF" w:themeColor="background1"/>
              </w:rPr>
              <w:fldChar w:fldCharType="begin"/>
            </w:r>
            <w:r w:rsidR="00653288" w:rsidRPr="00653288">
              <w:rPr>
                <w:b/>
                <w:bCs/>
                <w:color w:val="FFFFFF" w:themeColor="background1"/>
              </w:rPr>
              <w:instrText xml:space="preserve"> SEQ Table_A5- \* ARABIC </w:instrText>
            </w:r>
            <w:r w:rsidR="00653288" w:rsidRPr="00653288">
              <w:rPr>
                <w:b/>
                <w:bCs/>
                <w:color w:val="FFFFFF" w:themeColor="background1"/>
              </w:rPr>
              <w:fldChar w:fldCharType="separate"/>
            </w:r>
            <w:r w:rsidR="00AE0176">
              <w:rPr>
                <w:b/>
                <w:bCs/>
                <w:noProof/>
                <w:color w:val="FFFFFF" w:themeColor="background1"/>
              </w:rPr>
              <w:t>85</w:t>
            </w:r>
            <w:r w:rsidR="00653288" w:rsidRPr="00653288">
              <w:rPr>
                <w:b/>
                <w:bCs/>
                <w:color w:val="FFFFFF" w:themeColor="background1"/>
              </w:rPr>
              <w:fldChar w:fldCharType="end"/>
            </w:r>
            <w:r w:rsidR="00664BE6" w:rsidRPr="00653288">
              <w:rPr>
                <w:b/>
                <w:color w:val="FFFFFF" w:themeColor="background1"/>
                <w:szCs w:val="20"/>
              </w:rPr>
              <w:t>:  Resource taxes</w:t>
            </w:r>
          </w:p>
        </w:tc>
      </w:tr>
      <w:tr w:rsidR="00664BE6" w:rsidRPr="00EA4C9B" w14:paraId="129CB880" w14:textId="77777777" w:rsidTr="00CD16F1">
        <w:tc>
          <w:tcPr>
            <w:tcW w:w="2695" w:type="dxa"/>
          </w:tcPr>
          <w:p w14:paraId="1211ECA4" w14:textId="77777777" w:rsidR="00664BE6" w:rsidRPr="00EA4C9B" w:rsidRDefault="00664BE6" w:rsidP="00653288">
            <w:pPr>
              <w:pStyle w:val="Table"/>
              <w:rPr>
                <w:b/>
                <w:szCs w:val="20"/>
              </w:rPr>
            </w:pPr>
            <w:r w:rsidRPr="00EA4C9B">
              <w:rPr>
                <w:b/>
                <w:szCs w:val="20"/>
              </w:rPr>
              <w:t>Tax Name</w:t>
            </w:r>
          </w:p>
        </w:tc>
        <w:tc>
          <w:tcPr>
            <w:tcW w:w="1890" w:type="dxa"/>
          </w:tcPr>
          <w:p w14:paraId="54B013E9" w14:textId="77777777" w:rsidR="00664BE6" w:rsidRPr="00EA4C9B" w:rsidRDefault="00664BE6" w:rsidP="00AE0176">
            <w:pPr>
              <w:pStyle w:val="Table"/>
              <w:jc w:val="center"/>
              <w:rPr>
                <w:b/>
                <w:szCs w:val="20"/>
              </w:rPr>
            </w:pPr>
            <w:r w:rsidRPr="00EA4C9B">
              <w:rPr>
                <w:b/>
                <w:szCs w:val="20"/>
              </w:rPr>
              <w:t>Revenue (€ million) 2015-2023</w:t>
            </w:r>
          </w:p>
        </w:tc>
        <w:tc>
          <w:tcPr>
            <w:tcW w:w="1980" w:type="dxa"/>
          </w:tcPr>
          <w:p w14:paraId="01F8C4AA" w14:textId="77777777" w:rsidR="00664BE6" w:rsidRPr="00EA4C9B" w:rsidRDefault="00664BE6" w:rsidP="00AE0176">
            <w:pPr>
              <w:pStyle w:val="Table"/>
              <w:jc w:val="center"/>
              <w:rPr>
                <w:b/>
                <w:szCs w:val="20"/>
              </w:rPr>
            </w:pPr>
            <w:r w:rsidRPr="00EA4C9B">
              <w:rPr>
                <w:b/>
                <w:szCs w:val="20"/>
              </w:rPr>
              <w:t>Average annual revenue (€ million)</w:t>
            </w:r>
          </w:p>
        </w:tc>
        <w:tc>
          <w:tcPr>
            <w:tcW w:w="2451" w:type="dxa"/>
          </w:tcPr>
          <w:p w14:paraId="3F9D5A44" w14:textId="43815B55" w:rsidR="00664BE6" w:rsidRPr="00EA4C9B" w:rsidRDefault="00664BE6" w:rsidP="00AE0176">
            <w:pPr>
              <w:pStyle w:val="Table"/>
              <w:jc w:val="center"/>
              <w:rPr>
                <w:b/>
                <w:szCs w:val="20"/>
              </w:rPr>
            </w:pPr>
            <w:r w:rsidRPr="00EA4C9B">
              <w:rPr>
                <w:b/>
                <w:szCs w:val="20"/>
              </w:rPr>
              <w:t>As share of all resource tax revenues</w:t>
            </w:r>
          </w:p>
        </w:tc>
      </w:tr>
      <w:tr w:rsidR="00664BE6" w:rsidRPr="00EA4C9B" w14:paraId="51B6BF05" w14:textId="77777777" w:rsidTr="00CD16F1">
        <w:tc>
          <w:tcPr>
            <w:tcW w:w="2695" w:type="dxa"/>
          </w:tcPr>
          <w:p w14:paraId="215ED028" w14:textId="77777777" w:rsidR="00664BE6" w:rsidRPr="00EA4C9B" w:rsidRDefault="00664BE6" w:rsidP="00653288">
            <w:pPr>
              <w:pStyle w:val="Table"/>
              <w:rPr>
                <w:szCs w:val="20"/>
              </w:rPr>
            </w:pPr>
            <w:r w:rsidRPr="00EA4C9B">
              <w:rPr>
                <w:szCs w:val="20"/>
              </w:rPr>
              <w:t>Deductions from revenue according to the Forestry Law</w:t>
            </w:r>
          </w:p>
        </w:tc>
        <w:tc>
          <w:tcPr>
            <w:tcW w:w="1890" w:type="dxa"/>
          </w:tcPr>
          <w:p w14:paraId="4D645736" w14:textId="77777777" w:rsidR="00664BE6" w:rsidRPr="00EA4C9B" w:rsidRDefault="00664BE6" w:rsidP="00AE0176">
            <w:pPr>
              <w:pStyle w:val="Table"/>
              <w:jc w:val="center"/>
              <w:rPr>
                <w:szCs w:val="20"/>
              </w:rPr>
            </w:pPr>
            <w:r w:rsidRPr="00EA4C9B">
              <w:rPr>
                <w:rFonts w:eastAsiaTheme="minorEastAsia"/>
                <w:szCs w:val="20"/>
                <w:lang w:eastAsia="en-GB"/>
              </w:rPr>
              <w:t>€</w:t>
            </w:r>
            <w:r w:rsidRPr="00EA4C9B">
              <w:rPr>
                <w:szCs w:val="20"/>
              </w:rPr>
              <w:t>268.4 million</w:t>
            </w:r>
          </w:p>
        </w:tc>
        <w:tc>
          <w:tcPr>
            <w:tcW w:w="1980" w:type="dxa"/>
          </w:tcPr>
          <w:p w14:paraId="1D7293CD" w14:textId="77777777" w:rsidR="00664BE6" w:rsidRPr="00EA4C9B" w:rsidRDefault="00664BE6" w:rsidP="00AE0176">
            <w:pPr>
              <w:pStyle w:val="Table"/>
              <w:jc w:val="center"/>
              <w:rPr>
                <w:szCs w:val="20"/>
              </w:rPr>
            </w:pPr>
            <w:r w:rsidRPr="00EA4C9B">
              <w:rPr>
                <w:szCs w:val="20"/>
              </w:rPr>
              <w:t>€41.9 million in 2023</w:t>
            </w:r>
          </w:p>
        </w:tc>
        <w:tc>
          <w:tcPr>
            <w:tcW w:w="2451" w:type="dxa"/>
          </w:tcPr>
          <w:p w14:paraId="4F9CE980" w14:textId="77777777" w:rsidR="00664BE6" w:rsidRPr="00EA4C9B" w:rsidRDefault="00664BE6" w:rsidP="00AE0176">
            <w:pPr>
              <w:pStyle w:val="Table"/>
              <w:jc w:val="center"/>
              <w:rPr>
                <w:szCs w:val="20"/>
              </w:rPr>
            </w:pPr>
            <w:r w:rsidRPr="00EA4C9B">
              <w:rPr>
                <w:szCs w:val="20"/>
              </w:rPr>
              <w:t>51.6%</w:t>
            </w:r>
          </w:p>
        </w:tc>
      </w:tr>
    </w:tbl>
    <w:p w14:paraId="6ACB15C1" w14:textId="77777777" w:rsidR="00664BE6" w:rsidRPr="00EA4C9B" w:rsidRDefault="00664BE6" w:rsidP="00664BE6">
      <w:pPr>
        <w:spacing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330"/>
      </w:tblGrid>
      <w:tr w:rsidR="00664BE6" w:rsidRPr="00EA4C9B" w14:paraId="2339863B" w14:textId="77777777" w:rsidTr="00CD16F1">
        <w:tc>
          <w:tcPr>
            <w:tcW w:w="8995" w:type="dxa"/>
            <w:gridSpan w:val="2"/>
            <w:shd w:val="clear" w:color="auto" w:fill="003399"/>
          </w:tcPr>
          <w:p w14:paraId="0C0E7F62" w14:textId="74DB008C" w:rsidR="00664BE6" w:rsidRPr="00653288" w:rsidRDefault="00282899" w:rsidP="00653288">
            <w:pPr>
              <w:pStyle w:val="Table"/>
              <w:rPr>
                <w:rFonts w:ascii="Calibri" w:eastAsia="Calibri" w:hAnsi="Calibri"/>
                <w:b/>
                <w:color w:val="FFFFFF" w:themeColor="background1"/>
              </w:rPr>
            </w:pPr>
            <w:r w:rsidRPr="00653288">
              <w:rPr>
                <w:b/>
                <w:color w:val="FFFFFF" w:themeColor="background1"/>
              </w:rPr>
              <w:t xml:space="preserve">Table </w:t>
            </w:r>
            <w:r w:rsidR="00490085">
              <w:rPr>
                <w:b/>
                <w:color w:val="FFFFFF" w:themeColor="background1"/>
              </w:rPr>
              <w:t>A6</w:t>
            </w:r>
            <w:r w:rsidR="00653288" w:rsidRPr="00653288">
              <w:rPr>
                <w:b/>
                <w:bCs/>
                <w:color w:val="FFFFFF" w:themeColor="background1"/>
              </w:rPr>
              <w:t>-</w:t>
            </w:r>
            <w:r w:rsidR="00653288" w:rsidRPr="00653288">
              <w:rPr>
                <w:b/>
                <w:bCs/>
                <w:color w:val="FFFFFF" w:themeColor="background1"/>
              </w:rPr>
              <w:fldChar w:fldCharType="begin"/>
            </w:r>
            <w:r w:rsidR="00653288" w:rsidRPr="00653288">
              <w:rPr>
                <w:b/>
                <w:bCs/>
                <w:color w:val="FFFFFF" w:themeColor="background1"/>
              </w:rPr>
              <w:instrText xml:space="preserve"> SEQ Table_A5- \* ARABIC </w:instrText>
            </w:r>
            <w:r w:rsidR="00653288" w:rsidRPr="00653288">
              <w:rPr>
                <w:b/>
                <w:bCs/>
                <w:color w:val="FFFFFF" w:themeColor="background1"/>
              </w:rPr>
              <w:fldChar w:fldCharType="separate"/>
            </w:r>
            <w:r w:rsidR="00AE0176">
              <w:rPr>
                <w:b/>
                <w:bCs/>
                <w:noProof/>
                <w:color w:val="FFFFFF" w:themeColor="background1"/>
              </w:rPr>
              <w:t>86</w:t>
            </w:r>
            <w:r w:rsidR="00653288" w:rsidRPr="00653288">
              <w:rPr>
                <w:b/>
                <w:bCs/>
                <w:color w:val="FFFFFF" w:themeColor="background1"/>
              </w:rPr>
              <w:fldChar w:fldCharType="end"/>
            </w:r>
            <w:r w:rsidR="00664BE6" w:rsidRPr="00653288">
              <w:rPr>
                <w:b/>
                <w:color w:val="FFFFFF" w:themeColor="background1"/>
              </w:rPr>
              <w:t xml:space="preserve">:  </w:t>
            </w:r>
            <w:r w:rsidR="00664BE6" w:rsidRPr="00653288">
              <w:rPr>
                <w:rFonts w:ascii="Calibri" w:eastAsia="Calibri" w:hAnsi="Calibri"/>
                <w:b/>
                <w:color w:val="FFFFFF" w:themeColor="background1"/>
              </w:rPr>
              <w:t>Other environmental taxes</w:t>
            </w:r>
            <w:r w:rsidR="00664BE6" w:rsidRPr="00653288">
              <w:rPr>
                <w:b/>
                <w:color w:val="FFFFFF" w:themeColor="background1"/>
              </w:rPr>
              <w:t xml:space="preserve"> not reported in the National Tax List</w:t>
            </w:r>
          </w:p>
        </w:tc>
      </w:tr>
      <w:tr w:rsidR="00664BE6" w:rsidRPr="00EA4C9B" w14:paraId="70211A78" w14:textId="77777777" w:rsidTr="00CD16F1">
        <w:tc>
          <w:tcPr>
            <w:tcW w:w="5665" w:type="dxa"/>
          </w:tcPr>
          <w:p w14:paraId="70DF3EAD" w14:textId="77777777" w:rsidR="00664BE6" w:rsidRPr="00653288" w:rsidRDefault="00664BE6" w:rsidP="00653288">
            <w:pPr>
              <w:pStyle w:val="Table"/>
              <w:rPr>
                <w:b/>
              </w:rPr>
            </w:pPr>
            <w:r w:rsidRPr="00653288">
              <w:rPr>
                <w:b/>
              </w:rPr>
              <w:t>Tax Name</w:t>
            </w:r>
          </w:p>
        </w:tc>
        <w:tc>
          <w:tcPr>
            <w:tcW w:w="3330" w:type="dxa"/>
          </w:tcPr>
          <w:p w14:paraId="3F746A5C" w14:textId="77777777" w:rsidR="00664BE6" w:rsidRPr="00653288" w:rsidRDefault="00664BE6" w:rsidP="00AE0176">
            <w:pPr>
              <w:pStyle w:val="Table"/>
              <w:jc w:val="center"/>
              <w:rPr>
                <w:b/>
              </w:rPr>
            </w:pPr>
            <w:r w:rsidRPr="00653288">
              <w:rPr>
                <w:b/>
              </w:rPr>
              <w:t>Annual revenue (€ million) in 2023</w:t>
            </w:r>
          </w:p>
        </w:tc>
      </w:tr>
      <w:tr w:rsidR="00664BE6" w:rsidRPr="00EA4C9B" w14:paraId="6B3B30B5" w14:textId="77777777" w:rsidTr="00CD16F1">
        <w:tc>
          <w:tcPr>
            <w:tcW w:w="5665" w:type="dxa"/>
          </w:tcPr>
          <w:p w14:paraId="41015FA3" w14:textId="77777777" w:rsidR="00664BE6" w:rsidRPr="00EA4C9B" w:rsidRDefault="00664BE6" w:rsidP="00653288">
            <w:pPr>
              <w:pStyle w:val="Table"/>
            </w:pPr>
            <w:r w:rsidRPr="00EA4C9B">
              <w:t>Resource taxes (for all resources taxes under the Law on the Tax on State Natural Resources)</w:t>
            </w:r>
          </w:p>
        </w:tc>
        <w:tc>
          <w:tcPr>
            <w:tcW w:w="3330" w:type="dxa"/>
          </w:tcPr>
          <w:p w14:paraId="6CBEB539" w14:textId="77777777" w:rsidR="00664BE6" w:rsidRPr="00EA4C9B" w:rsidRDefault="00664BE6" w:rsidP="00AE0176">
            <w:pPr>
              <w:pStyle w:val="Table"/>
              <w:jc w:val="center"/>
            </w:pPr>
            <w:r w:rsidRPr="00EA4C9B">
              <w:t>€20,72 million</w:t>
            </w:r>
            <w:r w:rsidRPr="00EA4C9B">
              <w:rPr>
                <w:rStyle w:val="FootnoteReference"/>
                <w:szCs w:val="20"/>
              </w:rPr>
              <w:footnoteReference w:id="525"/>
            </w:r>
          </w:p>
        </w:tc>
      </w:tr>
      <w:tr w:rsidR="00664BE6" w:rsidRPr="00EA4C9B" w14:paraId="117BE56C" w14:textId="77777777" w:rsidTr="00CD16F1">
        <w:tc>
          <w:tcPr>
            <w:tcW w:w="5665" w:type="dxa"/>
          </w:tcPr>
          <w:p w14:paraId="58C88A43" w14:textId="77777777" w:rsidR="00664BE6" w:rsidRPr="00EA4C9B" w:rsidRDefault="00664BE6" w:rsidP="00653288">
            <w:pPr>
              <w:pStyle w:val="Table"/>
            </w:pPr>
            <w:r w:rsidRPr="00EA4C9B">
              <w:t>Tax on hydrocarbon resources</w:t>
            </w:r>
          </w:p>
        </w:tc>
        <w:tc>
          <w:tcPr>
            <w:tcW w:w="3330" w:type="dxa"/>
          </w:tcPr>
          <w:p w14:paraId="206D0595" w14:textId="77777777" w:rsidR="00664BE6" w:rsidRPr="00EA4C9B" w:rsidRDefault="00664BE6" w:rsidP="00AE0176">
            <w:pPr>
              <w:pStyle w:val="Table"/>
              <w:jc w:val="center"/>
            </w:pPr>
            <w:r w:rsidRPr="00EA4C9B">
              <w:t>€2,17 million</w:t>
            </w:r>
            <w:r w:rsidRPr="00EA4C9B">
              <w:rPr>
                <w:rStyle w:val="FootnoteReference"/>
                <w:szCs w:val="20"/>
              </w:rPr>
              <w:footnoteReference w:id="526"/>
            </w:r>
          </w:p>
        </w:tc>
      </w:tr>
    </w:tbl>
    <w:p w14:paraId="591D0DDD" w14:textId="77777777" w:rsidR="00664BE6" w:rsidRPr="00EA4C9B" w:rsidRDefault="00664BE6" w:rsidP="00664BE6">
      <w:pPr>
        <w:spacing w:after="0"/>
      </w:pPr>
    </w:p>
    <w:p w14:paraId="4AA9C8E0" w14:textId="77777777" w:rsidR="00664BE6" w:rsidRPr="00EA4C9B" w:rsidRDefault="00664BE6" w:rsidP="00664BE6">
      <w:r w:rsidRPr="00EA4C9B">
        <w:t>The Ministry of Environment of the Republic of Lithuania performs the administration of taxes for state natural resources, environmental pollution, hydrocarbon resources tax and deductions from income under the Law on Forests.</w:t>
      </w:r>
      <w:r w:rsidRPr="00EA4C9B">
        <w:rPr>
          <w:rStyle w:val="FootnoteReference"/>
        </w:rPr>
        <w:footnoteReference w:id="527"/>
      </w:r>
    </w:p>
    <w:p w14:paraId="6E8C214C" w14:textId="77777777" w:rsidR="00664BE6" w:rsidRPr="00EA4C9B" w:rsidRDefault="00664BE6" w:rsidP="00664BE6">
      <w:r w:rsidRPr="00EA4C9B">
        <w:t xml:space="preserve">The </w:t>
      </w:r>
      <w:r w:rsidRPr="00EA4C9B">
        <w:rPr>
          <w:b/>
          <w:bCs/>
        </w:rPr>
        <w:t>pollution taxes</w:t>
      </w:r>
      <w:r w:rsidRPr="00EA4C9B">
        <w:t xml:space="preserve"> were established in 1999 (entered into force in 2000) by the Law on Environmental Pollution Tax </w:t>
      </w:r>
      <w:r w:rsidRPr="00EA4C9B">
        <w:rPr>
          <w:i/>
          <w:iCs/>
          <w:color w:val="000000" w:themeColor="text1"/>
        </w:rPr>
        <w:t>(</w:t>
      </w:r>
      <w:hyperlink r:id="rId97" w:history="1">
        <w:r w:rsidRPr="00EA4C9B">
          <w:rPr>
            <w:rStyle w:val="Hyperlink"/>
            <w:i/>
            <w:iCs/>
            <w:color w:val="000000" w:themeColor="text1"/>
            <w:u w:val="none"/>
          </w:rPr>
          <w:t>Lietuvos Respublikos mokesčio už aplinkos teršimą įstatymas</w:t>
        </w:r>
      </w:hyperlink>
      <w:r w:rsidRPr="00EA4C9B">
        <w:rPr>
          <w:i/>
          <w:iCs/>
        </w:rPr>
        <w:t>)</w:t>
      </w:r>
      <w:r w:rsidRPr="00EA4C9B">
        <w:t xml:space="preserve">. This Law establishes a tax for environmental pollution from </w:t>
      </w:r>
      <w:r w:rsidRPr="00EA4C9B">
        <w:rPr>
          <w:b/>
          <w:bCs/>
        </w:rPr>
        <w:t>stationary sources</w:t>
      </w:r>
      <w:r w:rsidRPr="00EA4C9B">
        <w:t xml:space="preserve"> of pollution</w:t>
      </w:r>
      <w:bookmarkStart w:id="239" w:name="part_845f6fe718c74196be1a71381686a04a"/>
      <w:bookmarkEnd w:id="239"/>
      <w:r w:rsidRPr="00EA4C9B">
        <w:t xml:space="preserve">, for environmental pollution from </w:t>
      </w:r>
      <w:r w:rsidRPr="00EA4C9B">
        <w:rPr>
          <w:b/>
          <w:bCs/>
        </w:rPr>
        <w:t>mobile pollution sources</w:t>
      </w:r>
      <w:bookmarkStart w:id="240" w:name="part_6562f64f83c34b0ba03d7bf9b4044db4"/>
      <w:bookmarkEnd w:id="240"/>
      <w:r w:rsidRPr="00EA4C9B">
        <w:t xml:space="preserve">, for environmental pollution by </w:t>
      </w:r>
      <w:r w:rsidRPr="00EA4C9B">
        <w:rPr>
          <w:b/>
          <w:bCs/>
        </w:rPr>
        <w:t>product waste</w:t>
      </w:r>
      <w:bookmarkStart w:id="241" w:name="part_4ce59316dc3841c0bdba287a16e7d28b"/>
      <w:bookmarkEnd w:id="241"/>
      <w:r w:rsidRPr="00EA4C9B">
        <w:t xml:space="preserve">, for environmental pollution by </w:t>
      </w:r>
      <w:r w:rsidRPr="00EA4C9B">
        <w:rPr>
          <w:b/>
          <w:bCs/>
        </w:rPr>
        <w:t>packaging waste</w:t>
      </w:r>
      <w:bookmarkStart w:id="242" w:name="part_edae565ec6424f6a8d0f795316d4749d"/>
      <w:bookmarkEnd w:id="242"/>
      <w:r w:rsidRPr="00EA4C9B">
        <w:t xml:space="preserve">, for environmental pollution by </w:t>
      </w:r>
      <w:r w:rsidRPr="00EA4C9B">
        <w:rPr>
          <w:b/>
          <w:bCs/>
        </w:rPr>
        <w:t>waste disposed of in a landfill</w:t>
      </w:r>
      <w:r w:rsidRPr="00EA4C9B">
        <w:t>. Taxpayers are natural and legal persons polluting the environment from stationary sources of pollution, who must have a pollution permit with the specified standards for pollutant emissions into the environment, natural and legal persons polluting from mobile sources of pollution used for economic and commercial activities, manufacturers and/or importers for pollution with product and packaging waste, and landfill operators respectively. Taxes on environmental pollution from stationary and mobile pollution sources are distributed proportionally between state budget (30%) and budget of the municipality (70%) in whose territory the stationary pollution object (installation) is located, and in the case of pollution from a mobile pollution source – to the budget of the municipality in whose territory the taxpayer operating (using) the mobile pollution source is registered. The tax for environmental pollution by product and/or packaging waste and the tax for environmental pollution by waste disposed of in a landfill is paid into the state budget. Tax rates and tariff coefficients are set in Annex I to the Law for pollutants and groups of pollutants emitted from stationary pollution sources (emitted into the atmosphere, water bodies, the surface of the earth and its deeper layers) according to their harmfulness to the environment, for packaging – according to its type (glass, plastic, combined, metal, paper, cardboard, polyethylene terephthalate, etc.), for modes of transport (motor and railway vehicles, ships, airplanes) – according to the type of fuel or activity cycle, for waste disposed of in landfills – according to the hazardousness of the waste. </w:t>
      </w:r>
    </w:p>
    <w:p w14:paraId="10E65E58" w14:textId="77777777" w:rsidR="00664BE6" w:rsidRPr="00EA4C9B" w:rsidRDefault="00664BE6" w:rsidP="00664BE6">
      <w:r w:rsidRPr="00EA4C9B">
        <w:t>In January 2020, amendments to the Law on the Pollution Tax were introduced, coming into effect in January 2021. These changes increased tax rates for most pollutants released into the air, water, and soil from stationary sources. The average tax rate rose threefold, with even higher increases for certain pollutants such as VOCs and PM. Despite these increases, tax rates remained relatively low compared to the actual costs of pollution.</w:t>
      </w:r>
      <w:r w:rsidRPr="00EA4C9B">
        <w:rPr>
          <w:rStyle w:val="FootnoteReference"/>
        </w:rPr>
        <w:footnoteReference w:id="528"/>
      </w:r>
      <w:r w:rsidRPr="00EA4C9B">
        <w:t xml:space="preserve"> </w:t>
      </w:r>
    </w:p>
    <w:p w14:paraId="70BE0180" w14:textId="77777777" w:rsidR="00664BE6" w:rsidRPr="00EA4C9B" w:rsidRDefault="00664BE6" w:rsidP="00664BE6">
      <w:r w:rsidRPr="00EA4C9B">
        <w:lastRenderedPageBreak/>
        <w:t>Since 2022, different tax rates apply to recyclable and non-recyclable packages, with manufacturers and importers required to prove recyclability to qualify for lower rates and waste handling tariffs.</w:t>
      </w:r>
      <w:r w:rsidRPr="00EA4C9B">
        <w:rPr>
          <w:rStyle w:val="FootnoteReference"/>
        </w:rPr>
        <w:footnoteReference w:id="529"/>
      </w:r>
    </w:p>
    <w:p w14:paraId="44E948F9" w14:textId="118CC2F4" w:rsidR="00664BE6" w:rsidRPr="00EA4C9B" w:rsidRDefault="00664BE6" w:rsidP="00664BE6">
      <w:pPr>
        <w:spacing w:after="0"/>
        <w:rPr>
          <w:rFonts w:ascii="Calibri" w:eastAsia="Times New Roman" w:hAnsi="Calibri" w:cs="Calibri"/>
          <w:color w:val="000000"/>
          <w:lang w:eastAsia="en-GB"/>
        </w:rPr>
      </w:pPr>
      <w:r w:rsidRPr="00EA4C9B">
        <w:rPr>
          <w:rFonts w:ascii="Calibri" w:eastAsia="Times New Roman" w:hAnsi="Calibri" w:cs="Calibri"/>
          <w:b/>
          <w:bCs/>
          <w:color w:val="000000"/>
          <w:lang w:eastAsia="en-GB"/>
        </w:rPr>
        <w:t>Mandatory deductions from income for sold raw timber and uncut forest</w:t>
      </w:r>
      <w:r w:rsidRPr="00EA4C9B">
        <w:rPr>
          <w:b/>
          <w:bCs/>
        </w:rPr>
        <w:t xml:space="preserve"> under the Forest Law </w:t>
      </w:r>
      <w:r w:rsidRPr="00EA4C9B">
        <w:rPr>
          <w:i/>
          <w:iCs/>
          <w:color w:val="000000" w:themeColor="text1"/>
        </w:rPr>
        <w:t>(</w:t>
      </w:r>
      <w:hyperlink r:id="rId98" w:history="1">
        <w:r w:rsidRPr="00EA4C9B">
          <w:rPr>
            <w:rStyle w:val="Hyperlink"/>
            <w:i/>
            <w:iCs/>
            <w:color w:val="000000" w:themeColor="text1"/>
            <w:u w:val="none"/>
          </w:rPr>
          <w:t>Privalomieji atskaitymai iš pajamų už parduotą žaliavinę medieną ir nenukirstą mišką pagal Lietuvos Respublikos miškų įstatymo</w:t>
        </w:r>
      </w:hyperlink>
      <w:r w:rsidRPr="00EA4C9B">
        <w:rPr>
          <w:i/>
          <w:iCs/>
        </w:rPr>
        <w:t>)</w:t>
      </w:r>
      <w:r w:rsidRPr="00EA4C9B">
        <w:t xml:space="preserve"> are included in the state budget revenue and used for forest inventory, fire prevention, disaster response, forest science, support and training for private forest owners, road and drainage maintenance, and public awareness activities. These deductions were established in 1994 (entered into force 1995). </w:t>
      </w:r>
      <w:r w:rsidRPr="00EA4C9B">
        <w:rPr>
          <w:rFonts w:ascii="Calibri" w:eastAsia="Times New Roman" w:hAnsi="Calibri" w:cs="Calibri"/>
          <w:color w:val="000000"/>
          <w:lang w:eastAsia="en-GB"/>
        </w:rPr>
        <w:t xml:space="preserve">The taxpayers are natural and legal persons who are forest managers who have received income from the sale of raw timber harvested in the forest they manage, and from the sale of unfelled forest they manage. Deductions of 15% is established for state forest managers and 5% — for private forest managers. The collected funds shall be distributed as follows: 85% to the state budget and 15% shall be distributed in accordance with the procedure established by the Government or its authorised institution to the budgets of municipalities whose territory is covered by more than 50% of forest cover for the maintenance and repair of public roads of local importance. </w:t>
      </w:r>
    </w:p>
    <w:p w14:paraId="44A14555" w14:textId="77777777" w:rsidR="00664BE6" w:rsidRPr="00EA4C9B" w:rsidRDefault="00664BE6" w:rsidP="00664BE6">
      <w:pPr>
        <w:pStyle w:val="Heading4"/>
      </w:pPr>
      <w:r w:rsidRPr="00EA4C9B">
        <w:t>Fees and other related instruments</w:t>
      </w:r>
    </w:p>
    <w:p w14:paraId="2F5EB776" w14:textId="77777777" w:rsidR="00664BE6" w:rsidRPr="00EA4C9B" w:rsidRDefault="00664BE6" w:rsidP="00664BE6">
      <w:pPr>
        <w:spacing w:after="0"/>
        <w:rPr>
          <w:rFonts w:ascii="Calibri" w:eastAsia="Times New Roman" w:hAnsi="Calibri" w:cs="Calibri"/>
          <w:color w:val="000000"/>
          <w:lang w:eastAsia="en-GB"/>
        </w:rPr>
      </w:pPr>
      <w:r w:rsidRPr="00EA4C9B">
        <w:t xml:space="preserve">The </w:t>
      </w:r>
      <w:r w:rsidRPr="00EA4C9B">
        <w:rPr>
          <w:b/>
          <w:bCs/>
        </w:rPr>
        <w:t>resource taxes</w:t>
      </w:r>
      <w:r w:rsidRPr="00EA4C9B">
        <w:t xml:space="preserve"> were established in 1991 by the Law on Tax on State Natural Resources </w:t>
      </w:r>
      <w:r w:rsidRPr="00EA4C9B">
        <w:rPr>
          <w:i/>
          <w:iCs/>
          <w:color w:val="000000" w:themeColor="text1"/>
        </w:rPr>
        <w:t>(</w:t>
      </w:r>
      <w:hyperlink r:id="rId99" w:history="1">
        <w:r w:rsidRPr="00EA4C9B">
          <w:rPr>
            <w:rStyle w:val="Hyperlink"/>
            <w:i/>
            <w:iCs/>
            <w:color w:val="000000" w:themeColor="text1"/>
            <w:u w:val="none"/>
          </w:rPr>
          <w:t>Mokesčio už valstybinius gamtos išteklius įstatymo</w:t>
        </w:r>
      </w:hyperlink>
      <w:r w:rsidRPr="00EA4C9B">
        <w:rPr>
          <w:i/>
          <w:iCs/>
        </w:rPr>
        <w:t>)</w:t>
      </w:r>
      <w:r w:rsidRPr="00EA4C9B">
        <w:t xml:space="preserve">. These taxes include </w:t>
      </w:r>
      <w:r w:rsidRPr="00EA4C9B">
        <w:rPr>
          <w:b/>
          <w:bCs/>
        </w:rPr>
        <w:t>tax on minerals, tax on water and soil, and tax on game animals</w:t>
      </w:r>
      <w:r w:rsidRPr="00EA4C9B">
        <w:t xml:space="preserve">. </w:t>
      </w:r>
      <w:r w:rsidRPr="00EA4C9B">
        <w:rPr>
          <w:rFonts w:ascii="Calibri" w:eastAsia="Times New Roman" w:hAnsi="Calibri" w:cs="Calibri"/>
          <w:color w:val="000000"/>
          <w:lang w:eastAsia="en-GB"/>
        </w:rPr>
        <w:t xml:space="preserve">The purpose of the tax on minerals, except hydrocarbons and peat, used in medical institutions is to encourage natural resource users to use state natural resources economically and efficiently through economic measures, to compensate for state costs of natural resource research and measures to preserve their quantity and quality. Payers of the tax on state natural resources, except for the tax on game animal resources, are natural and legal persons who extract state natural resources subject to tax under the Law on State Natural Resources. This includes those requiring a permit under the Law on Environmental Protection or other relevant legislation, as well as those registered under the Law on Water for using surface water — specifically, individuals or entities extracting or passing through 100 m³ or more of water per day from a single surface water body, including for hydropower generation. Payers of the game animal resource tax are natural and legal persons who have a permit to use game animal resources in a hunting area unit in accordance with the Law on Hunting of the Republic of Lithuania, with the exception of scientific and educational institutions of a biological profile that conduct scientific research on wildlife, its habitat and hunting.  The rates of the tax on state natural resources are set out in Annexes 1, 2 and 3 to the </w:t>
      </w:r>
      <w:r w:rsidRPr="00EA4C9B">
        <w:t>Law on Tax on State Natural Resources based on the amount of natural resources actually extracted or the hunting areas used</w:t>
      </w:r>
      <w:r w:rsidRPr="00EA4C9B">
        <w:rPr>
          <w:rFonts w:ascii="Calibri" w:eastAsia="Times New Roman" w:hAnsi="Calibri" w:cs="Calibri"/>
          <w:color w:val="000000"/>
          <w:lang w:eastAsia="en-GB"/>
        </w:rPr>
        <w:t>. 50% of the tax on the use of game animal resources goes to the municipality in whose territory these resources are extracted, 50% to the state budget. For other natural resources, 90% of the tax goes to the state budget, and 10% to the budget of the municipality in which these resources are extracted. The taxes credited to the municipality’s budget shall be used to finance the Special Programme for Supporting Environmental Protection of Municipalities.</w:t>
      </w:r>
    </w:p>
    <w:p w14:paraId="5FB10401" w14:textId="77777777" w:rsidR="00664BE6" w:rsidRPr="00EA4C9B" w:rsidRDefault="00664BE6" w:rsidP="00664BE6">
      <w:pPr>
        <w:spacing w:after="0"/>
        <w:rPr>
          <w:rFonts w:ascii="Calibri" w:eastAsia="Times New Roman" w:hAnsi="Calibri" w:cs="Calibri"/>
          <w:color w:val="000000"/>
          <w:lang w:eastAsia="en-GB"/>
        </w:rPr>
      </w:pPr>
    </w:p>
    <w:p w14:paraId="24F387E9" w14:textId="77777777" w:rsidR="00664BE6" w:rsidRPr="00EA4C9B" w:rsidRDefault="00664BE6" w:rsidP="00664BE6">
      <w:pPr>
        <w:spacing w:after="0"/>
        <w:rPr>
          <w:rFonts w:ascii="Calibri" w:eastAsia="Times New Roman" w:hAnsi="Calibri" w:cs="Calibri"/>
          <w:color w:val="000000"/>
          <w:lang w:eastAsia="en-GB"/>
        </w:rPr>
      </w:pPr>
      <w:r w:rsidRPr="00EA4C9B">
        <w:rPr>
          <w:rFonts w:ascii="Calibri" w:eastAsia="Times New Roman" w:hAnsi="Calibri" w:cs="Calibri"/>
          <w:b/>
          <w:bCs/>
          <w:color w:val="000000"/>
          <w:lang w:eastAsia="en-GB"/>
        </w:rPr>
        <w:t xml:space="preserve">Tax on hydrocarbon resources </w:t>
      </w:r>
      <w:r w:rsidRPr="00EA4C9B">
        <w:rPr>
          <w:rFonts w:ascii="Calibri" w:eastAsia="Times New Roman" w:hAnsi="Calibri" w:cs="Calibri"/>
          <w:color w:val="000000"/>
          <w:lang w:eastAsia="en-GB"/>
        </w:rPr>
        <w:t>was established in 1992 by the Law on Hydrocarbon Resources Tax (</w:t>
      </w:r>
      <w:hyperlink r:id="rId100" w:history="1">
        <w:r w:rsidRPr="00EA4C9B">
          <w:rPr>
            <w:rStyle w:val="Hyperlink"/>
            <w:rFonts w:ascii="Calibri" w:eastAsia="Times New Roman" w:hAnsi="Calibri" w:cs="Calibri"/>
            <w:i/>
            <w:iCs/>
            <w:color w:val="auto"/>
            <w:u w:val="none"/>
            <w:lang w:eastAsia="en-GB"/>
          </w:rPr>
          <w:t>Lietuvos Respublikos angliavandenilių išteklių mokesčio įstatymas</w:t>
        </w:r>
      </w:hyperlink>
      <w:r w:rsidRPr="00EA4C9B">
        <w:rPr>
          <w:rFonts w:ascii="Calibri" w:eastAsia="Times New Roman" w:hAnsi="Calibri" w:cs="Calibri"/>
          <w:color w:val="000000"/>
          <w:lang w:eastAsia="en-GB"/>
        </w:rPr>
        <w:t xml:space="preserve">).  This tax is paid by Lithuanian and foreign taxable entities and natural persons extracting conventional and dispersed hydrocarbons in the territory of the Republic of Lithuania and its economic zone in the Baltic Sea. The tax is calculated on the basis of the average selling price per cubic meter of extracted conventional and dispersed hydrocarbon (oil and/or gas) resources at the place of extraction calculated by the taxpayer for the tax period. If during the tax period the taxpayer sold hydrocarbon resources at different prices, the average selling price per cubic meter of these resources at the place of extraction shall be calculated by the taxpayer based on the average of these prices. The tax amount consists of the base and </w:t>
      </w:r>
      <w:r w:rsidRPr="00EA4C9B">
        <w:rPr>
          <w:rFonts w:ascii="Calibri" w:eastAsia="Times New Roman" w:hAnsi="Calibri" w:cs="Calibri"/>
          <w:color w:val="000000"/>
          <w:lang w:eastAsia="en-GB"/>
        </w:rPr>
        <w:lastRenderedPageBreak/>
        <w:t>compensation rates. The base tax rate for conventional resources is 12% and for dispersed – 15% of the selling price of the resources is applied to hydrocarbon resources extracted from all fields. The compensatory (additional) hydrocarbon resource tax rate of 4.5 to 9 percent is applied to hydrocarbon resources extracted from deposits for the discovery and exploration of which state funds were used. For hydrocarbon resources discovered and explored solely with state funds, the compensation rate is 9%. For hydrocarbon resources that have been discovered and explored not solely at state expense, the compensation rate shall be reduced in proportion to the non-state portion, but not more than 4.5%. The hydrocarbon resources tax is credited: 90% to the state budget, 10% to the budget of the municipality in whose territory hydrocarbon resources are extracted, of which 50% shall be allocated for the preparation of municipal territorial planning documents and the implementation of their solutions, the implementation of public interest service infrastructure in the territory of the municipality, the construction and modernisation of public buildings, the installation of public and recreational spaces, and 50% to finance the Special Program for Supporting Municipal Environmental Protection.</w:t>
      </w:r>
    </w:p>
    <w:p w14:paraId="2DB1BE8D" w14:textId="77777777" w:rsidR="00664BE6" w:rsidRPr="00EA4C9B" w:rsidRDefault="00664BE6" w:rsidP="00664BE6">
      <w:pPr>
        <w:spacing w:after="0"/>
        <w:rPr>
          <w:rFonts w:ascii="Calibri" w:eastAsia="Times New Roman" w:hAnsi="Calibri" w:cs="Calibri"/>
          <w:color w:val="000000"/>
          <w:lang w:eastAsia="en-GB"/>
        </w:rPr>
      </w:pPr>
    </w:p>
    <w:p w14:paraId="16E7F6F3" w14:textId="77777777" w:rsidR="00664BE6" w:rsidRPr="00EA4C9B" w:rsidRDefault="00664BE6" w:rsidP="00664BE6">
      <w:pPr>
        <w:spacing w:after="0"/>
        <w:rPr>
          <w:rFonts w:ascii="Calibri" w:eastAsia="Times New Roman" w:hAnsi="Calibri" w:cs="Calibri"/>
          <w:color w:val="000000"/>
          <w:lang w:eastAsia="en-GB"/>
        </w:rPr>
      </w:pPr>
      <w:r w:rsidRPr="00EA4C9B">
        <w:rPr>
          <w:rFonts w:ascii="Calibri" w:eastAsia="Times New Roman" w:hAnsi="Calibri" w:cs="Calibri"/>
          <w:color w:val="000000"/>
          <w:lang w:eastAsia="en-GB"/>
        </w:rPr>
        <w:t xml:space="preserve">In Lithuania, there is </w:t>
      </w:r>
      <w:r w:rsidRPr="00EA4C9B">
        <w:rPr>
          <w:rFonts w:ascii="Calibri" w:eastAsia="Times New Roman" w:hAnsi="Calibri" w:cs="Calibri"/>
          <w:b/>
          <w:bCs/>
          <w:color w:val="000000"/>
          <w:lang w:eastAsia="en-GB"/>
        </w:rPr>
        <w:t>a local fee for the management of municipal waste </w:t>
      </w:r>
      <w:r w:rsidRPr="00EA4C9B">
        <w:rPr>
          <w:rFonts w:ascii="Calibri" w:eastAsia="Times New Roman" w:hAnsi="Calibri" w:cs="Calibri"/>
          <w:color w:val="000000"/>
          <w:lang w:eastAsia="en-GB"/>
        </w:rPr>
        <w:t>and waste not classified as municipal waste. The fee consists of a fixed and variable fee component. It is established by the Rules on Local Fees or Other Payments for the Collection of Municipal Waste from Waste Holders and Waste Management (Rules on local toll or other charges for the collection of municipal waste from waste holders and waste management)</w:t>
      </w:r>
      <w:r w:rsidRPr="00EA4C9B">
        <w:rPr>
          <w:rStyle w:val="FootnoteReference"/>
          <w:rFonts w:ascii="Calibri" w:eastAsia="Times New Roman" w:hAnsi="Calibri" w:cs="Calibri"/>
          <w:color w:val="000000"/>
          <w:lang w:eastAsia="en-GB"/>
        </w:rPr>
        <w:footnoteReference w:id="530"/>
      </w:r>
      <w:r w:rsidRPr="00EA4C9B">
        <w:rPr>
          <w:rFonts w:ascii="Calibri" w:eastAsia="Times New Roman" w:hAnsi="Calibri" w:cs="Calibri"/>
          <w:color w:val="000000"/>
          <w:lang w:eastAsia="en-GB"/>
        </w:rPr>
        <w:t>. The amount of the fee is determined by the municipal councils.</w:t>
      </w:r>
    </w:p>
    <w:p w14:paraId="5BF985F1" w14:textId="77777777" w:rsidR="00664BE6" w:rsidRPr="00EA4C9B" w:rsidRDefault="00664BE6" w:rsidP="00664BE6">
      <w:pPr>
        <w:spacing w:after="0"/>
        <w:rPr>
          <w:rFonts w:ascii="Calibri" w:eastAsia="Times New Roman" w:hAnsi="Calibri" w:cs="Calibri"/>
          <w:color w:val="000000"/>
          <w:lang w:eastAsia="en-GB"/>
        </w:rPr>
      </w:pPr>
    </w:p>
    <w:p w14:paraId="0E945B33" w14:textId="77777777" w:rsidR="00664BE6" w:rsidRPr="00EA4C9B" w:rsidRDefault="00664BE6" w:rsidP="00664BE6">
      <w:pPr>
        <w:spacing w:after="0"/>
        <w:rPr>
          <w:rFonts w:ascii="Calibri" w:eastAsia="Times New Roman" w:hAnsi="Calibri" w:cs="Calibri"/>
          <w:color w:val="000000"/>
          <w:lang w:eastAsia="en-GB"/>
        </w:rPr>
      </w:pPr>
      <w:r w:rsidRPr="00EA4C9B">
        <w:rPr>
          <w:rFonts w:ascii="Calibri" w:eastAsia="Times New Roman" w:hAnsi="Calibri" w:cs="Calibri"/>
          <w:color w:val="000000"/>
          <w:lang w:eastAsia="en-GB"/>
        </w:rPr>
        <w:t xml:space="preserve">In addition, there are </w:t>
      </w:r>
      <w:r w:rsidRPr="00EA4C9B">
        <w:rPr>
          <w:rFonts w:ascii="Calibri" w:eastAsia="Times New Roman" w:hAnsi="Calibri" w:cs="Calibri"/>
          <w:b/>
          <w:bCs/>
          <w:color w:val="000000"/>
          <w:lang w:eastAsia="en-GB"/>
        </w:rPr>
        <w:t>permits</w:t>
      </w:r>
      <w:r w:rsidRPr="00EA4C9B">
        <w:rPr>
          <w:rFonts w:ascii="Calibri" w:eastAsia="Times New Roman" w:hAnsi="Calibri" w:cs="Calibri"/>
          <w:color w:val="000000"/>
          <w:lang w:eastAsia="en-GB"/>
        </w:rPr>
        <w:t xml:space="preserve"> — often referred to as licences — for activities such as hunting, fishing (both in internal water bodies and the marine waters), or collecting natural resources (e.g., mushrooms, juice). These permits typically involve the payment of a fee upon issuance or an annual fee. These permits often specify the permitted catch or collection limits. </w:t>
      </w:r>
      <w:r w:rsidRPr="00EA4C9B">
        <w:rPr>
          <w:rFonts w:ascii="Calibri" w:eastAsia="Times New Roman" w:hAnsi="Calibri" w:cs="Calibri"/>
          <w:b/>
          <w:bCs/>
          <w:color w:val="000000"/>
          <w:lang w:eastAsia="en-GB"/>
        </w:rPr>
        <w:t>These fees do not qualify as environmental taxes because their payment is not unrequited</w:t>
      </w:r>
      <w:r w:rsidRPr="00EA4C9B">
        <w:rPr>
          <w:rFonts w:ascii="Calibri" w:eastAsia="Times New Roman" w:hAnsi="Calibri" w:cs="Calibri"/>
          <w:color w:val="000000"/>
          <w:lang w:eastAsia="en-GB"/>
        </w:rPr>
        <w:t xml:space="preserve"> (the payment is made in exchange for a right or service (i.e., the legal right to hunt or fish), </w:t>
      </w:r>
      <w:r w:rsidRPr="00EA4C9B">
        <w:rPr>
          <w:rFonts w:ascii="Calibri" w:eastAsia="Times New Roman" w:hAnsi="Calibri" w:cs="Calibri"/>
          <w:b/>
          <w:bCs/>
          <w:color w:val="000000"/>
          <w:lang w:eastAsia="en-GB"/>
        </w:rPr>
        <w:t>and the base is not a unit of environmental harm</w:t>
      </w:r>
      <w:r w:rsidRPr="00EA4C9B">
        <w:rPr>
          <w:rFonts w:ascii="Calibri" w:eastAsia="Times New Roman" w:hAnsi="Calibri" w:cs="Calibri"/>
          <w:color w:val="000000"/>
          <w:lang w:eastAsia="en-GB"/>
        </w:rPr>
        <w:t xml:space="preserve"> (e.g. emissions, pollution, resource extraction volume), but rather the activity or administrative process.</w:t>
      </w:r>
    </w:p>
    <w:p w14:paraId="6C7B7589" w14:textId="77777777" w:rsidR="00664BE6" w:rsidRPr="00EA4C9B" w:rsidRDefault="00664BE6" w:rsidP="00664BE6">
      <w:pPr>
        <w:spacing w:after="0"/>
        <w:rPr>
          <w:rFonts w:ascii="Calibri" w:eastAsia="Times New Roman" w:hAnsi="Calibri" w:cs="Calibri"/>
          <w:color w:val="000000"/>
          <w:lang w:eastAsia="en-GB"/>
        </w:rPr>
      </w:pPr>
    </w:p>
    <w:p w14:paraId="575909F2" w14:textId="77777777" w:rsidR="00664BE6" w:rsidRPr="00EA4C9B" w:rsidRDefault="00664BE6" w:rsidP="00664BE6">
      <w:pPr>
        <w:spacing w:after="0"/>
        <w:rPr>
          <w:rFonts w:ascii="Calibri" w:eastAsia="Times New Roman" w:hAnsi="Calibri" w:cs="Calibri"/>
          <w:color w:val="000000"/>
          <w:lang w:eastAsia="en-GB"/>
        </w:rPr>
      </w:pPr>
      <w:r w:rsidRPr="00EA4C9B">
        <w:rPr>
          <w:rFonts w:ascii="Calibri" w:eastAsia="Times New Roman" w:hAnsi="Calibri" w:cs="Calibri"/>
          <w:color w:val="000000"/>
          <w:lang w:eastAsia="en-GB"/>
        </w:rPr>
        <w:t>Another very common fiscal instrument often discussed in the context of sustainability or environmental impacts (e.g. managing over-tourism) but that do not qualify as environmental tax is the so-called “</w:t>
      </w:r>
      <w:r w:rsidRPr="00EA4C9B">
        <w:rPr>
          <w:rFonts w:ascii="Calibri" w:eastAsia="Times New Roman" w:hAnsi="Calibri" w:cs="Calibri"/>
          <w:b/>
          <w:bCs/>
          <w:color w:val="000000"/>
          <w:lang w:eastAsia="en-GB"/>
        </w:rPr>
        <w:t>tourist tax</w:t>
      </w:r>
      <w:r w:rsidRPr="00EA4C9B">
        <w:rPr>
          <w:rFonts w:ascii="Calibri" w:eastAsia="Times New Roman" w:hAnsi="Calibri" w:cs="Calibri"/>
          <w:color w:val="000000"/>
          <w:lang w:eastAsia="en-GB"/>
        </w:rPr>
        <w:t xml:space="preserve">” (Turisto rinkliava). This is an unrequited payment, which base is the presence or overnight stays, rather than a physical unit of pollution or environmental harm. Tourist activity (and over-tourism) may have environmental consequences (e.g. waste, emissions), but the tax is not calculated on that basis. The fee applies to all legal entities and individuals providing short-term accommodation services in Vilnius City for 1 EUR per night per person as established by Decision No. 1-1266, “On the Establishment of a Local Fee for the Use of Vilnius City Municipality’s Public Tourism and Recreation Infrastructure” (Sprendimą Nr. 1-1266 “Dėl vietinės rinkliavos už naudojimąsi Vilniaus miesto savivaldybės viešąja turizmo ir poilsio infrastruktūra nustatymo”). </w:t>
      </w:r>
    </w:p>
    <w:p w14:paraId="0DDF6873" w14:textId="77777777" w:rsidR="00664BE6" w:rsidRPr="00EA4C9B" w:rsidRDefault="00664BE6" w:rsidP="00664BE6">
      <w:pPr>
        <w:spacing w:after="0"/>
        <w:rPr>
          <w:rFonts w:ascii="Calibri" w:eastAsia="Times New Roman" w:hAnsi="Calibri" w:cs="Calibri"/>
          <w:color w:val="000000"/>
          <w:lang w:eastAsia="en-GB"/>
        </w:rPr>
      </w:pPr>
    </w:p>
    <w:p w14:paraId="56080319" w14:textId="5AE4AB4E" w:rsidR="00664BE6" w:rsidRPr="00EA4C9B" w:rsidRDefault="00664BE6" w:rsidP="00664BE6">
      <w:pPr>
        <w:spacing w:after="0"/>
        <w:rPr>
          <w:rFonts w:ascii="Calibri" w:eastAsia="Times New Roman" w:hAnsi="Calibri" w:cs="Calibri"/>
          <w:color w:val="000000"/>
          <w:lang w:eastAsia="en-GB"/>
        </w:rPr>
      </w:pPr>
      <w:r w:rsidRPr="00EA4C9B">
        <w:rPr>
          <w:rFonts w:ascii="Calibri" w:eastAsia="Times New Roman" w:hAnsi="Calibri" w:cs="Calibri"/>
          <w:color w:val="000000"/>
          <w:lang w:eastAsia="en-GB"/>
        </w:rPr>
        <w:t xml:space="preserve">There is </w:t>
      </w:r>
      <w:r w:rsidRPr="00EA4C9B">
        <w:rPr>
          <w:rFonts w:ascii="Calibri" w:eastAsia="Times New Roman" w:hAnsi="Calibri" w:cs="Calibri"/>
          <w:b/>
          <w:bCs/>
          <w:color w:val="000000"/>
          <w:lang w:eastAsia="en-GB"/>
        </w:rPr>
        <w:t>no incineration tax</w:t>
      </w:r>
      <w:r w:rsidRPr="00EA4C9B">
        <w:rPr>
          <w:rFonts w:ascii="Calibri" w:eastAsia="Times New Roman" w:hAnsi="Calibri" w:cs="Calibri"/>
          <w:color w:val="000000"/>
          <w:lang w:eastAsia="en-GB"/>
        </w:rPr>
        <w:t xml:space="preserve"> in Lithuania.</w:t>
      </w:r>
      <w:r w:rsidRPr="00EA4C9B">
        <w:rPr>
          <w:rStyle w:val="FootnoteReference"/>
          <w:rFonts w:ascii="Calibri" w:eastAsia="Times New Roman" w:hAnsi="Calibri" w:cs="Calibri"/>
          <w:color w:val="000000"/>
          <w:lang w:eastAsia="en-GB"/>
        </w:rPr>
        <w:footnoteReference w:id="531"/>
      </w:r>
    </w:p>
    <w:p w14:paraId="1CCF854F" w14:textId="4558E486" w:rsidR="00664BE6" w:rsidRPr="00EA4C9B" w:rsidRDefault="00664BE6" w:rsidP="00CD00F6">
      <w:pPr>
        <w:pStyle w:val="Heading4"/>
      </w:pPr>
      <w:r w:rsidRPr="00EA4C9B">
        <w:t>Proposed or postponed environmental taxes</w:t>
      </w:r>
    </w:p>
    <w:p w14:paraId="6039FA91" w14:textId="77777777" w:rsidR="00664BE6" w:rsidRPr="00EA4C9B" w:rsidRDefault="00664BE6" w:rsidP="00664BE6">
      <w:r w:rsidRPr="00EA4C9B">
        <w:t xml:space="preserve">The proposed </w:t>
      </w:r>
      <w:r w:rsidRPr="00EA4C9B">
        <w:rPr>
          <w:b/>
          <w:bCs/>
        </w:rPr>
        <w:t>annual vehicle tax based on emission standards</w:t>
      </w:r>
      <w:r w:rsidRPr="00EA4C9B">
        <w:t xml:space="preserve">, intended for implementation in 2023, was rejected by parliament and may be resubmitted with reforms. Meanwhile, the government </w:t>
      </w:r>
      <w:r w:rsidRPr="00EA4C9B">
        <w:lastRenderedPageBreak/>
        <w:t>prioritises economy-wide excise tax amendments and supports tax incentives for inland waterway transport.</w:t>
      </w:r>
      <w:r w:rsidRPr="00EA4C9B">
        <w:rPr>
          <w:rStyle w:val="FootnoteReference"/>
        </w:rPr>
        <w:footnoteReference w:id="532"/>
      </w:r>
    </w:p>
    <w:p w14:paraId="2B4E88D5" w14:textId="77777777" w:rsidR="00664BE6" w:rsidRPr="00EA4C9B" w:rsidRDefault="00664BE6" w:rsidP="00664BE6">
      <w:pPr>
        <w:pStyle w:val="Heading4"/>
      </w:pPr>
      <w:r w:rsidRPr="00EA4C9B">
        <w:t>Conclusions, country-specific recommendations and reform progress</w:t>
      </w:r>
    </w:p>
    <w:p w14:paraId="1287F071" w14:textId="77777777" w:rsidR="00664BE6" w:rsidRPr="00EA4C9B" w:rsidRDefault="00664BE6" w:rsidP="00664BE6">
      <w:pPr>
        <w:spacing w:after="0"/>
      </w:pPr>
      <w:r w:rsidRPr="00EA4C9B">
        <w:t>Country Specific Recommendations (CSRs) to take action in 2025 and 2026 recommends that Lithuania broaden its tax base by shifting towards revenue sources less detrimental to growth, improve tax compliance, and ensure adequate financing for healthcare, social protection and general public services, while maintaining overall expenditure within recommended limits and making use of the national escape clause to support higher defence spending.</w:t>
      </w:r>
      <w:r w:rsidRPr="00EA4C9B">
        <w:rPr>
          <w:rStyle w:val="FootnoteReference"/>
        </w:rPr>
        <w:footnoteReference w:id="533"/>
      </w:r>
    </w:p>
    <w:p w14:paraId="041FD920" w14:textId="77777777" w:rsidR="00664BE6" w:rsidRPr="00EA4C9B" w:rsidRDefault="00664BE6" w:rsidP="00664BE6">
      <w:pPr>
        <w:spacing w:after="0"/>
      </w:pPr>
    </w:p>
    <w:p w14:paraId="54D94B55" w14:textId="77777777" w:rsidR="00664BE6" w:rsidRPr="00EA4C9B" w:rsidRDefault="00664BE6" w:rsidP="00664BE6">
      <w:pPr>
        <w:spacing w:after="0"/>
      </w:pPr>
      <w:r w:rsidRPr="00EA4C9B">
        <w:t>The 2024 CSRs for Lithuania highlight the need to limit the growth in net expenditure in 2025 to a rate consistent with maintaining the general government deficit below the 3% of GDP Treaty reference value and keeping the general government debt at a prudent level over the medium term. In addition, the country also needs to improve its resource productivity to progress towards a circular economy and to allow for continued swift and effective implementation of the recovery and resilience plan, including the REPowerEU chapter, ensuring completion of reforms and investments by August 2026.</w:t>
      </w:r>
      <w:r w:rsidRPr="00EA4C9B">
        <w:rPr>
          <w:rStyle w:val="FootnoteReference"/>
        </w:rPr>
        <w:footnoteReference w:id="534"/>
      </w:r>
    </w:p>
    <w:p w14:paraId="2F2BEA40" w14:textId="77777777" w:rsidR="00664BE6" w:rsidRPr="00EA4C9B" w:rsidRDefault="00664BE6" w:rsidP="00664BE6">
      <w:pPr>
        <w:spacing w:after="0"/>
      </w:pPr>
    </w:p>
    <w:p w14:paraId="42C66215" w14:textId="77777777" w:rsidR="00664BE6" w:rsidRPr="00EA4C9B" w:rsidRDefault="00664BE6" w:rsidP="00664BE6">
      <w:pPr>
        <w:spacing w:after="0"/>
      </w:pPr>
      <w:r w:rsidRPr="00EA4C9B">
        <w:t>The 2022 CSRs found that Lithuania needs to reduce overall reliance on fossil fuels by accelerating the deployment of renewables, increasing energy efficiency and decarbonisation of industry, transport and buildings, and ensure sufficient capacity of energy interconnections.</w:t>
      </w:r>
      <w:r w:rsidRPr="00EA4C9B">
        <w:rPr>
          <w:rStyle w:val="FootnoteReference"/>
        </w:rPr>
        <w:footnoteReference w:id="535"/>
      </w:r>
    </w:p>
    <w:p w14:paraId="4FAD8862" w14:textId="77777777" w:rsidR="00664BE6" w:rsidRPr="00EA4C9B" w:rsidRDefault="00664BE6" w:rsidP="00664BE6">
      <w:pPr>
        <w:spacing w:after="0"/>
      </w:pPr>
    </w:p>
    <w:p w14:paraId="4F55FFC0" w14:textId="77777777" w:rsidR="00664BE6" w:rsidRPr="00EA4C9B" w:rsidRDefault="00664BE6" w:rsidP="00664BE6">
      <w:r w:rsidRPr="00EA4C9B">
        <w:t>The environmental pollution tax, intended to drive producer behaviour change and promote eco-friendly products, has shown limited effectiveness — partially working for some products (e.g., tyres, batteries) but ineffective for others (e.g., filters, shock absorbers) — with minimal environmental impact and transparency concerns over revenue use.</w:t>
      </w:r>
      <w:r w:rsidRPr="00EA4C9B">
        <w:rPr>
          <w:rStyle w:val="FootnoteReference"/>
        </w:rPr>
        <w:footnoteReference w:id="536"/>
      </w:r>
      <w:r w:rsidRPr="00EA4C9B">
        <w:t xml:space="preserve"> The tax increases are low compared to the estimated social costs of different pollutants.</w:t>
      </w:r>
      <w:r w:rsidRPr="00EA4C9B">
        <w:rPr>
          <w:rStyle w:val="FootnoteReference"/>
        </w:rPr>
        <w:footnoteReference w:id="537"/>
      </w:r>
    </w:p>
    <w:p w14:paraId="31415506" w14:textId="77777777" w:rsidR="00664BE6" w:rsidRPr="00EA4C9B" w:rsidRDefault="00664BE6" w:rsidP="00664BE6">
      <w:pPr>
        <w:rPr>
          <w:rFonts w:cstheme="minorHAnsi"/>
        </w:rPr>
      </w:pPr>
      <w:r w:rsidRPr="0DB99A64">
        <w:t xml:space="preserve">The Lithuanian government proposed amending excise duty legislation to increase excise rates annually from 2023 to 2030 and introduce a </w:t>
      </w:r>
      <w:r w:rsidRPr="0DB99A64">
        <w:rPr>
          <w:b/>
        </w:rPr>
        <w:t>carbon tax on fuels</w:t>
      </w:r>
      <w:r w:rsidRPr="0DB99A64">
        <w:t xml:space="preserve"> from 2025, starting at €10 per tonne of CO</w:t>
      </w:r>
      <w:r w:rsidRPr="0DB99A64">
        <w:rPr>
          <w:vertAlign w:val="subscript"/>
        </w:rPr>
        <w:t>2</w:t>
      </w:r>
      <w:r w:rsidRPr="0DB99A64">
        <w:t xml:space="preserve"> and rising to €60 by 2030. ETS installations and natural gas would be exempt, while agricultural exemptions would remain but with a phased-in quota limit. The proposal does not include revenue recycling measures, and its consideration has been postponed due to the energy price crisis.</w:t>
      </w:r>
      <w:r w:rsidRPr="0DB99A64">
        <w:rPr>
          <w:rStyle w:val="FootnoteReference"/>
        </w:rPr>
        <w:footnoteReference w:id="538"/>
      </w:r>
      <w:r w:rsidRPr="0DB99A64">
        <w:t xml:space="preserve"> In June 2024, an amendment to the Law on Excise Duties was adopted, introducing a gradual increase in excise rates and establishing a carbon tax on fuels starting in 2025. By 2030, this measure is expected to raise carbon prices in the road transport sector to slightly above the EU average recorded in 2023. Nevertheless, the buildings sector is projected to continue facing the lowest effective rates and limited tax coverage, primarily due to numerous fuel tax exemptions granted to households and businesses. Introducing carbon taxes in sectors outside the scope of the EU Emissions Trading System (EU ETS) </w:t>
      </w:r>
      <w:r w:rsidRPr="0DB99A64">
        <w:lastRenderedPageBreak/>
        <w:t>could support faster decarbonisation and promote cost alignment across the economy.</w:t>
      </w:r>
      <w:r w:rsidRPr="0DB99A64">
        <w:rPr>
          <w:rStyle w:val="FootnoteReference"/>
        </w:rPr>
        <w:footnoteReference w:id="539"/>
      </w:r>
      <w:r w:rsidRPr="0DB99A64">
        <w:t xml:space="preserve"> According to OECD modelling most of the revenue collected via higher excise taxes and carbon taxes is expected to be transferred to households in a form of lower labour income tax (USD 28.8 billion).</w:t>
      </w:r>
      <w:r w:rsidRPr="0DB99A64">
        <w:rPr>
          <w:rStyle w:val="FootnoteReference"/>
        </w:rPr>
        <w:footnoteReference w:id="540"/>
      </w:r>
    </w:p>
    <w:p w14:paraId="32678CB7" w14:textId="77777777" w:rsidR="00664BE6" w:rsidRPr="00EA4C9B" w:rsidRDefault="00664BE6" w:rsidP="00664BE6">
      <w:pPr>
        <w:spacing w:after="0"/>
      </w:pPr>
      <w:r w:rsidRPr="00EA4C9B">
        <w:t>In its 2025 Economic Survey, OECD has highlighted that carbon prices in Lithuania’s sectors not covered by the EU Emissions Trading System (EU ETS) remain substantially below the EU average. It recommended progressively aligning these prices with those within the EU ETS through tax measures, while providing compensation to low-income households through targeted benefits.</w:t>
      </w:r>
      <w:r w:rsidRPr="00EA4C9B">
        <w:rPr>
          <w:rStyle w:val="FootnoteReference"/>
        </w:rPr>
        <w:footnoteReference w:id="541"/>
      </w:r>
    </w:p>
    <w:p w14:paraId="498E1189" w14:textId="77777777" w:rsidR="00664BE6" w:rsidRPr="00EA4C9B" w:rsidRDefault="00664BE6" w:rsidP="00664BE6">
      <w:pPr>
        <w:spacing w:after="0"/>
      </w:pPr>
    </w:p>
    <w:p w14:paraId="0F93C9C9" w14:textId="19C14D22" w:rsidR="00664BE6" w:rsidRPr="00EA4C9B" w:rsidRDefault="00664BE6" w:rsidP="00664BE6">
      <w:pPr>
        <w:spacing w:after="0"/>
      </w:pPr>
      <w:r w:rsidRPr="00EA4C9B">
        <w:t>From 1 January 2025, amendments to Lithuania’s Law on Environmental Pollution Tax came into force, allowing producers and importers to be exempt from the tax on packaging waste only for the amount of plastic, PET, and combined packaging that is actually recycled. These changes aim to enhance producer and importer responsibility, in line with the EU’s requirement for Member States to contribute financially to the EU budget based on unrecycled plastic packaging waste. Additionally, incineration will no longer count towards packaging recovery targets, reinforcing the shift toward recycling and reuse. Despite tax payments, producers and importers will still be obliged to contribute to packaging waste management under separate legislation. The reform supports the EU’s circular economy goals and incentivises more sustainable packaging practices.</w:t>
      </w:r>
      <w:r w:rsidRPr="00EA4C9B">
        <w:rPr>
          <w:rStyle w:val="FootnoteReference"/>
        </w:rPr>
        <w:footnoteReference w:id="542"/>
      </w:r>
    </w:p>
    <w:p w14:paraId="33B0DEFD" w14:textId="77777777" w:rsidR="00664BE6" w:rsidRPr="00EA4C9B" w:rsidRDefault="00664BE6" w:rsidP="007C4EB7">
      <w:pPr>
        <w:pStyle w:val="AnnexHeading2"/>
      </w:pPr>
      <w:bookmarkStart w:id="243" w:name="_Toc214008911"/>
      <w:r w:rsidRPr="00EA4C9B">
        <w:t>Potential for implementing additional environmental taxes</w:t>
      </w:r>
      <w:bookmarkEnd w:id="243"/>
    </w:p>
    <w:p w14:paraId="14F45D39" w14:textId="77777777" w:rsidR="0084415F" w:rsidRDefault="00630FC4" w:rsidP="00630FC4">
      <w:r w:rsidRPr="00D02751">
        <w:t xml:space="preserve">Lithuania’s environmental tax system remains focused on energy and transport, while several non-energy instruments are partial or set at levels that provide weak incentives. </w:t>
      </w:r>
      <w:r w:rsidRPr="00EA4C9B">
        <w:t>In April 2025 Lithuania's Ministry of Finance has proposed a wide-ranging package of tax reforms to fund the State Defence Fund and enhance tax system fairness and efficiency. The plan includes more progressive income tax rates, expanded property and corporate taxation, excise duties on sugary drinks, and reduced VAT exemptions. Significant changes include taxing high incomes more heavily, broadening the property tax base with progressive rates, and introducing new levies such as a 10% security contribution on non-life insurance and excise duties on sweetened beverages. The reforms aim to raise over €1.1 billion by 2027 while balancing social equity, encouraging investment, and supporting national defence and local government budgets.</w:t>
      </w:r>
      <w:r w:rsidRPr="00EA4C9B">
        <w:rPr>
          <w:rStyle w:val="FootnoteReference"/>
        </w:rPr>
        <w:footnoteReference w:id="543"/>
      </w:r>
      <w:r>
        <w:t xml:space="preserve"> </w:t>
      </w:r>
    </w:p>
    <w:p w14:paraId="5C78FD5B" w14:textId="79E8A1D1" w:rsidR="00664BE6" w:rsidRPr="00EA4C9B" w:rsidRDefault="00664BE6" w:rsidP="00BA7936">
      <w:r w:rsidRPr="00EA4C9B">
        <w:t xml:space="preserve">OECD modelling results indicate that Lithuania can achieve decarbonisation at moderate economic cost. However, further efforts are required in key sectors where emissions reductions remain limited. This highlights the potential role of additional environmental taxes as part of a broader climate policy. In the industry sector, processes such as ammonia production contribute significantly to national GHG emissions and remain difficult to decarbonise due to a lack of viable electrification options. Key technologies such as carbon capture and storage and green hydrogen, both central to Lithuania’s National Energy and Climate Plan, require further development and cost reductions to be deployed at scale. In the agriculture and forestry sector, enhancing carbon sinks through improved land-use practices and afforestation is critical. Although some technologies exist to reduce agricultural emissions — particularly methane — their overall impact remains limited and associated with high costs. Lithuania currently relies too heavily on horizontal tax breaks for technology support. To support </w:t>
      </w:r>
      <w:r w:rsidRPr="00EA4C9B">
        <w:lastRenderedPageBreak/>
        <w:t>the sector's transition, it is essential to provide stronger incentives for carbon sequestration and to invest in the development and adoption of more efficient, climate-friendly farming practices.</w:t>
      </w:r>
      <w:r w:rsidRPr="00EA4C9B">
        <w:rPr>
          <w:rStyle w:val="FootnoteReference"/>
        </w:rPr>
        <w:footnoteReference w:id="544"/>
      </w:r>
    </w:p>
    <w:p w14:paraId="1598DC3A" w14:textId="6C94BD38" w:rsidR="00664BE6" w:rsidRPr="00EA4C9B" w:rsidRDefault="00664BE6" w:rsidP="00BA7936">
      <w:r w:rsidRPr="00EA4C9B">
        <w:t xml:space="preserve">A study on the </w:t>
      </w:r>
      <w:r w:rsidRPr="00EA4C9B">
        <w:rPr>
          <w:i/>
          <w:iCs/>
        </w:rPr>
        <w:t>Optimization of the tax system combining the interests of family farms and government in agriculture</w:t>
      </w:r>
      <w:r w:rsidRPr="00EA4C9B">
        <w:t xml:space="preserve"> developed and tested a mathematical model of an optimal tax system using data from 100 Lithuanian family farms over the 2014–2017 period. The proposed system, tailored to Lithuanian conditions, aimed to balance the economic, social, and environmental interests of both family farms and the government. Among the recommendations was the introduction of a </w:t>
      </w:r>
      <w:r w:rsidRPr="00EA4C9B">
        <w:rPr>
          <w:b/>
          <w:bCs/>
        </w:rPr>
        <w:t>proportional fertiliser tax</w:t>
      </w:r>
      <w:r w:rsidRPr="00EA4C9B">
        <w:t xml:space="preserve"> to incentivise more sustainable farming practices. The suggested rates were: €0.07 per kg for nitrogen fertilisers, €0.71 per kg for phosphorus fertilisers, and €0.70 per kg for potassium fertilisers. This approach is expected to promote investment in innovative technologies, reduce greenhouse gas emissions, contribute to biodiversity conservation, and support the objectives of the Common Agricultural Policy (CAP).</w:t>
      </w:r>
      <w:r w:rsidRPr="00EA4C9B">
        <w:rPr>
          <w:rStyle w:val="FootnoteReference"/>
        </w:rPr>
        <w:footnoteReference w:id="545"/>
      </w:r>
    </w:p>
    <w:p w14:paraId="12919823" w14:textId="435E7A9A" w:rsidR="00664BE6" w:rsidRPr="00EA4C9B" w:rsidRDefault="00664BE6" w:rsidP="00BA7936">
      <w:r w:rsidRPr="00EA4C9B">
        <w:t xml:space="preserve">As Lithuania has not yet introduced an </w:t>
      </w:r>
      <w:r w:rsidRPr="00EA4C9B">
        <w:rPr>
          <w:b/>
          <w:bCs/>
        </w:rPr>
        <w:t>incineration tax</w:t>
      </w:r>
      <w:r w:rsidRPr="00EA4C9B">
        <w:rPr>
          <w:rStyle w:val="FootnoteReference"/>
        </w:rPr>
        <w:footnoteReference w:id="546"/>
      </w:r>
      <w:r w:rsidRPr="00EA4C9B">
        <w:t xml:space="preserve">, the </w:t>
      </w:r>
      <w:r w:rsidRPr="00EA4C9B">
        <w:rPr>
          <w:i/>
          <w:iCs/>
        </w:rPr>
        <w:t>Study on Assessing the Environmental Fiscal Reform Potential for the EU28</w:t>
      </w:r>
      <w:r w:rsidRPr="00EA4C9B">
        <w:t xml:space="preserve"> recommended its implementation to avoid the diversion of waste from landfilling to incineration. Specifically, it proposed introducing an incineration tax of up to €15 per tonne, alongside equivalent rates for mechanical biological treatment (MBT) facilities, over the same period during which landfill taxes are increased. These proposed rates are lower than the highest levels in the EU (e.g. in Denmark) and are intended to support waste management practices that prioritise the upper tiers of the waste hierarchy, in line with the Roadmap to a Resource Efficient Europe.</w:t>
      </w:r>
      <w:r w:rsidRPr="00EA4C9B">
        <w:rPr>
          <w:rStyle w:val="FootnoteReference"/>
        </w:rPr>
        <w:footnoteReference w:id="547"/>
      </w:r>
    </w:p>
    <w:p w14:paraId="15FBD53B" w14:textId="2DE04147" w:rsidR="00664BE6" w:rsidRPr="00EA4C9B" w:rsidRDefault="00664BE6" w:rsidP="007C4EB7">
      <w:pPr>
        <w:pStyle w:val="AnnexHeading2"/>
      </w:pPr>
      <w:bookmarkStart w:id="244" w:name="_Toc214008912"/>
      <w:r w:rsidRPr="00EA4C9B">
        <w:t>Impacts and feasibility of implementing new environmental taxes</w:t>
      </w:r>
      <w:bookmarkEnd w:id="244"/>
    </w:p>
    <w:p w14:paraId="4B0D342F" w14:textId="7BAD9031" w:rsidR="00CF4F57" w:rsidRDefault="00CF4F57" w:rsidP="00CF4F57">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0F596379" w14:textId="77777777" w:rsidR="0020385E" w:rsidRDefault="3C1B0C78" w:rsidP="00D02751">
      <w:pPr>
        <w:rPr>
          <w:lang w:eastAsia="en-GB"/>
        </w:rPr>
      </w:pPr>
      <w:r w:rsidRPr="606E24A0">
        <w:rPr>
          <w:lang w:eastAsia="en-GB"/>
        </w:rPr>
        <w:t xml:space="preserve">The modelling and comparative analysis suggests that </w:t>
      </w:r>
      <w:r w:rsidR="2EA45EE8" w:rsidRPr="606E24A0">
        <w:rPr>
          <w:lang w:eastAsia="en-GB"/>
        </w:rPr>
        <w:t>i</w:t>
      </w:r>
      <w:r w:rsidR="00D02751" w:rsidRPr="606E24A0">
        <w:rPr>
          <w:lang w:eastAsia="en-GB"/>
        </w:rPr>
        <w:t xml:space="preserve">n Lithuania total revenues from the </w:t>
      </w:r>
      <w:r w:rsidR="00185A09">
        <w:t>investigated</w:t>
      </w:r>
      <w:r w:rsidR="00D02751" w:rsidRPr="606E24A0">
        <w:rPr>
          <w:lang w:eastAsia="en-GB"/>
        </w:rPr>
        <w:t xml:space="preserve"> taxes could rise by €268 million in 2030 and €292 million in 2035, respectively 1.3 and 1.5 times the revenues for pollution and resource taxes in 2023. The main contributors to the gains </w:t>
      </w:r>
      <w:r w:rsidR="463F0ED7" w:rsidRPr="606E24A0">
        <w:rPr>
          <w:lang w:eastAsia="en-GB"/>
        </w:rPr>
        <w:t>could</w:t>
      </w:r>
      <w:r w:rsidR="005F77CC">
        <w:rPr>
          <w:lang w:eastAsia="en-GB"/>
        </w:rPr>
        <w:t xml:space="preserve"> </w:t>
      </w:r>
      <w:r w:rsidR="463F0ED7" w:rsidRPr="606E24A0">
        <w:rPr>
          <w:lang w:eastAsia="en-GB"/>
        </w:rPr>
        <w:t xml:space="preserve">be </w:t>
      </w:r>
      <w:r w:rsidR="00D02751" w:rsidRPr="606E24A0">
        <w:rPr>
          <w:lang w:eastAsia="en-GB"/>
        </w:rPr>
        <w:t>mineral aggregates (56%), water effluent (18%), pesticides (11%) and water abstraction (5%). Reduction in emissions or use of materials is greatest for waste to landfill (46%), SO</w:t>
      </w:r>
      <w:r w:rsidR="00D02751" w:rsidRPr="00BA7936">
        <w:rPr>
          <w:vertAlign w:val="subscript"/>
          <w:lang w:eastAsia="en-GB"/>
        </w:rPr>
        <w:t>2</w:t>
      </w:r>
      <w:r w:rsidR="00D02751" w:rsidRPr="606E24A0">
        <w:rPr>
          <w:lang w:eastAsia="en-GB"/>
        </w:rPr>
        <w:t xml:space="preserve"> (30%), waste incineration (20%), pesticides and aggregates (17%) and fertilizers and PM</w:t>
      </w:r>
      <w:r w:rsidR="00D02751" w:rsidRPr="00BA7936">
        <w:rPr>
          <w:vertAlign w:val="subscript"/>
          <w:lang w:eastAsia="en-GB"/>
        </w:rPr>
        <w:t>2.5</w:t>
      </w:r>
      <w:r w:rsidR="00D02751" w:rsidRPr="606E24A0">
        <w:rPr>
          <w:lang w:eastAsia="en-GB"/>
        </w:rPr>
        <w:t xml:space="preserve"> (12% each).</w:t>
      </w:r>
    </w:p>
    <w:p w14:paraId="7C90F011" w14:textId="3B17F682" w:rsidR="00D02751" w:rsidRPr="00B158F2" w:rsidRDefault="0020385E" w:rsidP="00D02751">
      <w:r w:rsidRPr="00D02751">
        <w:t xml:space="preserve">The modelling suggests </w:t>
      </w:r>
      <w:r w:rsidR="00EB4873">
        <w:t xml:space="preserve">areas for improvement, </w:t>
      </w:r>
      <w:r w:rsidRPr="00D02751">
        <w:t xml:space="preserve">particularly in waste and minerals. Under Scenario A, the largest physical gains could come from a stronger landfill price signal, where Lithuania is among the Member States projected to achieve reductions of more than 30 per cent by 2030 once benchmark rates are fully phased in. A calibrated minerals charge on sand, gravel and crushed stone could further curb primary extraction and stimulate demand for recycled aggregates. Wastewater charges exist and are structured by pollutant parameters, yet the simulated benchmark rates are higher than current </w:t>
      </w:r>
      <w:r w:rsidRPr="00D02751">
        <w:lastRenderedPageBreak/>
        <w:t>levels, suggesting room to cut pollutant loads and raise revenue at modest macroeconomic cost. Air-pollutant charges on large point sources deliver incremental abatement; fertiliser and pesticide instruments yield smaller but still meaningful reductions in nutrient surplus and toxicity. Water abstraction effects are moderate at national level, though a locational signal could help in locally stressed catchments. Scenario B suggests a similar pattern at lower magnitudes. Overall, the results suggest that Lithuania could strengthen environmental taxation.</w:t>
      </w:r>
    </w:p>
    <w:tbl>
      <w:tblPr>
        <w:tblStyle w:val="Lentelstinklelis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312"/>
        <w:gridCol w:w="1275"/>
      </w:tblGrid>
      <w:tr w:rsidR="00D02751" w:rsidRPr="00F501DA" w14:paraId="61E4AE09" w14:textId="77777777" w:rsidTr="00BA7936">
        <w:trPr>
          <w:trHeight w:val="255"/>
          <w:tblHeader/>
        </w:trPr>
        <w:tc>
          <w:tcPr>
            <w:tcW w:w="9067" w:type="dxa"/>
            <w:gridSpan w:val="7"/>
            <w:shd w:val="clear" w:color="auto" w:fill="003399"/>
          </w:tcPr>
          <w:p w14:paraId="4D160C5A" w14:textId="6F0718B7" w:rsidR="00D02751" w:rsidRPr="00653288" w:rsidRDefault="00D02751" w:rsidP="000878F6">
            <w:pPr>
              <w:pStyle w:val="Table"/>
              <w:rPr>
                <w:b/>
                <w:color w:val="FFFFFF" w:themeColor="background1"/>
                <w:lang w:eastAsia="en-GB"/>
              </w:rPr>
            </w:pPr>
            <w:r w:rsidRPr="00653288">
              <w:rPr>
                <w:b/>
                <w:color w:val="FFFFFF" w:themeColor="background1"/>
              </w:rPr>
              <w:t xml:space="preserve">Table </w:t>
            </w:r>
            <w:r w:rsidR="00490085">
              <w:rPr>
                <w:b/>
                <w:bCs/>
                <w:color w:val="FFFFFF" w:themeColor="background1"/>
              </w:rPr>
              <w:t>A6</w:t>
            </w:r>
            <w:r w:rsidRPr="00653288">
              <w:rPr>
                <w:b/>
                <w:bCs/>
                <w:color w:val="FFFFFF" w:themeColor="background1"/>
              </w:rPr>
              <w:t>-</w:t>
            </w:r>
            <w:r w:rsidRPr="00653288">
              <w:rPr>
                <w:b/>
                <w:bCs/>
                <w:color w:val="FFFFFF" w:themeColor="background1"/>
              </w:rPr>
              <w:fldChar w:fldCharType="begin"/>
            </w:r>
            <w:r w:rsidRPr="00653288">
              <w:rPr>
                <w:b/>
                <w:bCs/>
                <w:color w:val="FFFFFF" w:themeColor="background1"/>
              </w:rPr>
              <w:instrText xml:space="preserve"> SEQ Table_A5- \* ARABIC </w:instrText>
            </w:r>
            <w:r w:rsidRPr="00653288">
              <w:rPr>
                <w:b/>
                <w:bCs/>
                <w:color w:val="FFFFFF" w:themeColor="background1"/>
              </w:rPr>
              <w:fldChar w:fldCharType="separate"/>
            </w:r>
            <w:r>
              <w:rPr>
                <w:b/>
                <w:bCs/>
                <w:noProof/>
                <w:color w:val="FFFFFF" w:themeColor="background1"/>
              </w:rPr>
              <w:t>87</w:t>
            </w:r>
            <w:r w:rsidRPr="00653288">
              <w:rPr>
                <w:b/>
                <w:bCs/>
                <w:color w:val="FFFFFF" w:themeColor="background1"/>
              </w:rPr>
              <w:fldChar w:fldCharType="end"/>
            </w:r>
            <w:r w:rsidRPr="00653288">
              <w:rPr>
                <w:b/>
                <w:bCs/>
                <w:color w:val="FFFFFF" w:themeColor="background1"/>
                <w:lang w:eastAsia="en-GB"/>
              </w:rPr>
              <w:t>:</w:t>
            </w:r>
            <w:r w:rsidRPr="00653288">
              <w:rPr>
                <w:b/>
                <w:color w:val="FFFFFF" w:themeColor="background1"/>
                <w:lang w:eastAsia="en-GB"/>
              </w:rPr>
              <w:t xml:space="preserve"> Environmental Impacts and Revenue Changes in Lithuania</w:t>
            </w:r>
            <w:r>
              <w:rPr>
                <w:b/>
                <w:color w:val="FFFFFF" w:themeColor="background1"/>
                <w:lang w:eastAsia="en-GB"/>
              </w:rPr>
              <w:t xml:space="preserve"> – Scenario A</w:t>
            </w:r>
          </w:p>
        </w:tc>
      </w:tr>
      <w:tr w:rsidR="00D02751" w:rsidRPr="00F501DA" w14:paraId="1B582B74" w14:textId="77777777" w:rsidTr="00BA7936">
        <w:trPr>
          <w:tblHeader/>
        </w:trPr>
        <w:tc>
          <w:tcPr>
            <w:tcW w:w="2160" w:type="dxa"/>
          </w:tcPr>
          <w:p w14:paraId="1CF58B34" w14:textId="77777777" w:rsidR="00D02751" w:rsidRPr="00653288" w:rsidRDefault="00D02751" w:rsidP="000878F6">
            <w:pPr>
              <w:pStyle w:val="Table"/>
              <w:rPr>
                <w:b/>
              </w:rPr>
            </w:pPr>
            <w:r w:rsidRPr="00653288">
              <w:rPr>
                <w:b/>
              </w:rPr>
              <w:t>Tax Name</w:t>
            </w:r>
          </w:p>
        </w:tc>
        <w:tc>
          <w:tcPr>
            <w:tcW w:w="2160" w:type="dxa"/>
            <w:gridSpan w:val="2"/>
            <w:vAlign w:val="bottom"/>
          </w:tcPr>
          <w:p w14:paraId="12EA0E01" w14:textId="77777777" w:rsidR="00D02751" w:rsidRPr="00575CD5" w:rsidRDefault="00D02751" w:rsidP="000878F6">
            <w:pPr>
              <w:pStyle w:val="Table"/>
              <w:jc w:val="center"/>
              <w:rPr>
                <w:b/>
                <w:szCs w:val="20"/>
              </w:rPr>
            </w:pPr>
            <w:r w:rsidRPr="00575CD5">
              <w:rPr>
                <w:rFonts w:ascii="Calibri" w:hAnsi="Calibri" w:cs="Calibri"/>
                <w:b/>
                <w:bCs/>
                <w:color w:val="000000"/>
                <w:szCs w:val="20"/>
              </w:rPr>
              <w:t>% Change in Quantities as % of taxed sector</w:t>
            </w:r>
          </w:p>
        </w:tc>
        <w:tc>
          <w:tcPr>
            <w:tcW w:w="2160" w:type="dxa"/>
            <w:gridSpan w:val="2"/>
            <w:vAlign w:val="bottom"/>
          </w:tcPr>
          <w:p w14:paraId="3827F41C" w14:textId="77777777" w:rsidR="00D02751" w:rsidRPr="00575CD5" w:rsidRDefault="00D02751" w:rsidP="000878F6">
            <w:pPr>
              <w:pStyle w:val="Table"/>
              <w:jc w:val="center"/>
              <w:rPr>
                <w:b/>
                <w:szCs w:val="20"/>
              </w:rPr>
            </w:pPr>
            <w:r w:rsidRPr="00575CD5">
              <w:rPr>
                <w:rFonts w:ascii="Calibri" w:hAnsi="Calibri" w:cs="Calibri"/>
                <w:b/>
                <w:bCs/>
                <w:color w:val="000000"/>
                <w:szCs w:val="20"/>
              </w:rPr>
              <w:t>Change in Revenues (€Mn)</w:t>
            </w:r>
          </w:p>
        </w:tc>
        <w:tc>
          <w:tcPr>
            <w:tcW w:w="2587" w:type="dxa"/>
            <w:gridSpan w:val="2"/>
            <w:vAlign w:val="bottom"/>
          </w:tcPr>
          <w:p w14:paraId="6FCCB567" w14:textId="77777777" w:rsidR="00D02751" w:rsidRPr="00575CD5" w:rsidRDefault="00D02751" w:rsidP="000878F6">
            <w:pPr>
              <w:pStyle w:val="Table"/>
              <w:jc w:val="center"/>
              <w:rPr>
                <w:b/>
                <w:szCs w:val="20"/>
              </w:rPr>
            </w:pPr>
            <w:r w:rsidRPr="00575CD5">
              <w:rPr>
                <w:rFonts w:ascii="Calibri" w:hAnsi="Calibri" w:cs="Calibri"/>
                <w:b/>
                <w:bCs/>
                <w:color w:val="000000"/>
                <w:szCs w:val="20"/>
              </w:rPr>
              <w:t>As % of 2023 Resource Tax</w:t>
            </w:r>
          </w:p>
        </w:tc>
      </w:tr>
      <w:tr w:rsidR="00D02751" w:rsidRPr="00616B6B" w14:paraId="0F0AFA44" w14:textId="77777777" w:rsidTr="00BA7936">
        <w:trPr>
          <w:tblHeader/>
        </w:trPr>
        <w:tc>
          <w:tcPr>
            <w:tcW w:w="2160" w:type="dxa"/>
          </w:tcPr>
          <w:p w14:paraId="2087BE5C" w14:textId="77777777" w:rsidR="00D02751" w:rsidRPr="00A57579" w:rsidRDefault="00D02751" w:rsidP="000878F6">
            <w:pPr>
              <w:pStyle w:val="Table"/>
              <w:jc w:val="left"/>
              <w:rPr>
                <w:b/>
              </w:rPr>
            </w:pPr>
            <w:r w:rsidRPr="00A57579">
              <w:rPr>
                <w:b/>
              </w:rPr>
              <w:t>Year</w:t>
            </w:r>
          </w:p>
        </w:tc>
        <w:tc>
          <w:tcPr>
            <w:tcW w:w="1080" w:type="dxa"/>
          </w:tcPr>
          <w:p w14:paraId="129E9243" w14:textId="77777777" w:rsidR="00D02751" w:rsidRPr="00575CD5" w:rsidRDefault="00D02751" w:rsidP="000878F6">
            <w:pPr>
              <w:pStyle w:val="Table"/>
              <w:jc w:val="center"/>
              <w:rPr>
                <w:b/>
                <w:szCs w:val="20"/>
              </w:rPr>
            </w:pPr>
            <w:r w:rsidRPr="00575CD5">
              <w:rPr>
                <w:b/>
                <w:szCs w:val="20"/>
              </w:rPr>
              <w:t>2030</w:t>
            </w:r>
          </w:p>
        </w:tc>
        <w:tc>
          <w:tcPr>
            <w:tcW w:w="1080" w:type="dxa"/>
          </w:tcPr>
          <w:p w14:paraId="685DC8B6" w14:textId="77777777" w:rsidR="00D02751" w:rsidRPr="00575CD5" w:rsidRDefault="00D02751" w:rsidP="000878F6">
            <w:pPr>
              <w:pStyle w:val="Table"/>
              <w:jc w:val="center"/>
              <w:rPr>
                <w:b/>
                <w:szCs w:val="20"/>
              </w:rPr>
            </w:pPr>
            <w:r w:rsidRPr="00575CD5">
              <w:rPr>
                <w:b/>
                <w:szCs w:val="20"/>
              </w:rPr>
              <w:t>2035</w:t>
            </w:r>
          </w:p>
        </w:tc>
        <w:tc>
          <w:tcPr>
            <w:tcW w:w="990" w:type="dxa"/>
          </w:tcPr>
          <w:p w14:paraId="70E9ED0B" w14:textId="77777777" w:rsidR="00D02751" w:rsidRPr="00575CD5" w:rsidRDefault="00D02751" w:rsidP="000878F6">
            <w:pPr>
              <w:pStyle w:val="Table"/>
              <w:jc w:val="center"/>
              <w:rPr>
                <w:b/>
                <w:szCs w:val="20"/>
              </w:rPr>
            </w:pPr>
            <w:r w:rsidRPr="00575CD5">
              <w:rPr>
                <w:b/>
                <w:szCs w:val="20"/>
              </w:rPr>
              <w:t>2030</w:t>
            </w:r>
          </w:p>
        </w:tc>
        <w:tc>
          <w:tcPr>
            <w:tcW w:w="1170" w:type="dxa"/>
          </w:tcPr>
          <w:p w14:paraId="5937B3A9" w14:textId="77777777" w:rsidR="00D02751" w:rsidRPr="00575CD5" w:rsidRDefault="00D02751" w:rsidP="000878F6">
            <w:pPr>
              <w:pStyle w:val="Table"/>
              <w:jc w:val="center"/>
              <w:rPr>
                <w:b/>
                <w:szCs w:val="20"/>
              </w:rPr>
            </w:pPr>
            <w:r w:rsidRPr="00575CD5">
              <w:rPr>
                <w:b/>
                <w:szCs w:val="20"/>
              </w:rPr>
              <w:t>2035</w:t>
            </w:r>
          </w:p>
        </w:tc>
        <w:tc>
          <w:tcPr>
            <w:tcW w:w="1312" w:type="dxa"/>
          </w:tcPr>
          <w:p w14:paraId="48F42D31" w14:textId="77777777" w:rsidR="00D02751" w:rsidRPr="00575CD5" w:rsidRDefault="00D02751" w:rsidP="000878F6">
            <w:pPr>
              <w:pStyle w:val="Table"/>
              <w:jc w:val="center"/>
              <w:rPr>
                <w:b/>
                <w:szCs w:val="20"/>
              </w:rPr>
            </w:pPr>
            <w:r w:rsidRPr="00575CD5">
              <w:rPr>
                <w:b/>
                <w:szCs w:val="20"/>
              </w:rPr>
              <w:t>2030</w:t>
            </w:r>
          </w:p>
        </w:tc>
        <w:tc>
          <w:tcPr>
            <w:tcW w:w="1275" w:type="dxa"/>
          </w:tcPr>
          <w:p w14:paraId="5A767FA0" w14:textId="77777777" w:rsidR="00D02751" w:rsidRPr="00575CD5" w:rsidRDefault="00D02751" w:rsidP="000878F6">
            <w:pPr>
              <w:pStyle w:val="Table"/>
              <w:jc w:val="center"/>
              <w:rPr>
                <w:b/>
                <w:szCs w:val="20"/>
              </w:rPr>
            </w:pPr>
            <w:r w:rsidRPr="00575CD5">
              <w:rPr>
                <w:b/>
                <w:szCs w:val="20"/>
              </w:rPr>
              <w:t>2035</w:t>
            </w:r>
          </w:p>
        </w:tc>
      </w:tr>
      <w:tr w:rsidR="00D02751" w:rsidRPr="00616B6B" w14:paraId="1926FCDF" w14:textId="77777777" w:rsidTr="00CD16F1">
        <w:tc>
          <w:tcPr>
            <w:tcW w:w="2160" w:type="dxa"/>
          </w:tcPr>
          <w:p w14:paraId="332FADB7" w14:textId="77777777" w:rsidR="00D02751" w:rsidRPr="00F501DA" w:rsidRDefault="00D02751" w:rsidP="000878F6">
            <w:pPr>
              <w:pStyle w:val="Table"/>
            </w:pPr>
            <w:r w:rsidRPr="00F501DA">
              <w:t>NOx</w:t>
            </w:r>
          </w:p>
        </w:tc>
        <w:tc>
          <w:tcPr>
            <w:tcW w:w="1080" w:type="dxa"/>
            <w:vAlign w:val="center"/>
          </w:tcPr>
          <w:p w14:paraId="472802FF" w14:textId="77777777" w:rsidR="00D02751" w:rsidRPr="00575CD5" w:rsidRDefault="00D02751" w:rsidP="000878F6">
            <w:pPr>
              <w:pStyle w:val="Table"/>
              <w:jc w:val="center"/>
              <w:rPr>
                <w:szCs w:val="20"/>
              </w:rPr>
            </w:pPr>
            <w:r w:rsidRPr="00575CD5">
              <w:rPr>
                <w:rFonts w:ascii="Calibri" w:hAnsi="Calibri" w:cs="Calibri"/>
                <w:color w:val="000000"/>
                <w:szCs w:val="20"/>
              </w:rPr>
              <w:t>-28,57%</w:t>
            </w:r>
          </w:p>
        </w:tc>
        <w:tc>
          <w:tcPr>
            <w:tcW w:w="1080" w:type="dxa"/>
            <w:vAlign w:val="center"/>
          </w:tcPr>
          <w:p w14:paraId="6507CF58" w14:textId="77777777" w:rsidR="00D02751" w:rsidRPr="00575CD5" w:rsidRDefault="00D02751" w:rsidP="000878F6">
            <w:pPr>
              <w:pStyle w:val="Table"/>
              <w:jc w:val="center"/>
              <w:rPr>
                <w:szCs w:val="20"/>
              </w:rPr>
            </w:pPr>
            <w:r w:rsidRPr="00575CD5">
              <w:rPr>
                <w:rFonts w:ascii="Calibri" w:hAnsi="Calibri" w:cs="Calibri"/>
                <w:color w:val="000000"/>
                <w:szCs w:val="20"/>
              </w:rPr>
              <w:t>-28,57%</w:t>
            </w:r>
          </w:p>
        </w:tc>
        <w:tc>
          <w:tcPr>
            <w:tcW w:w="990" w:type="dxa"/>
            <w:vAlign w:val="center"/>
          </w:tcPr>
          <w:p w14:paraId="77AA5395" w14:textId="77777777" w:rsidR="00D02751" w:rsidRPr="00575CD5" w:rsidRDefault="00D02751" w:rsidP="000878F6">
            <w:pPr>
              <w:pStyle w:val="Table"/>
              <w:jc w:val="center"/>
              <w:rPr>
                <w:szCs w:val="20"/>
              </w:rPr>
            </w:pPr>
            <w:r w:rsidRPr="00575CD5">
              <w:rPr>
                <w:rFonts w:ascii="Calibri" w:hAnsi="Calibri" w:cs="Calibri"/>
                <w:color w:val="000000"/>
                <w:szCs w:val="20"/>
              </w:rPr>
              <w:t>0,29</w:t>
            </w:r>
          </w:p>
        </w:tc>
        <w:tc>
          <w:tcPr>
            <w:tcW w:w="1170" w:type="dxa"/>
            <w:vAlign w:val="center"/>
          </w:tcPr>
          <w:p w14:paraId="5C557B8E" w14:textId="77777777" w:rsidR="00D02751" w:rsidRPr="00575CD5" w:rsidRDefault="00D02751" w:rsidP="000878F6">
            <w:pPr>
              <w:pStyle w:val="Table"/>
              <w:jc w:val="center"/>
              <w:rPr>
                <w:szCs w:val="20"/>
              </w:rPr>
            </w:pPr>
            <w:r w:rsidRPr="00575CD5">
              <w:rPr>
                <w:rFonts w:ascii="Calibri" w:hAnsi="Calibri" w:cs="Calibri"/>
                <w:color w:val="000000"/>
                <w:szCs w:val="20"/>
              </w:rPr>
              <w:t>0,18</w:t>
            </w:r>
          </w:p>
        </w:tc>
        <w:tc>
          <w:tcPr>
            <w:tcW w:w="1312" w:type="dxa"/>
            <w:vAlign w:val="center"/>
          </w:tcPr>
          <w:p w14:paraId="5671DD29" w14:textId="77777777" w:rsidR="00D02751" w:rsidRPr="00575CD5" w:rsidRDefault="00D02751" w:rsidP="000878F6">
            <w:pPr>
              <w:pStyle w:val="Table"/>
              <w:jc w:val="center"/>
              <w:rPr>
                <w:szCs w:val="20"/>
              </w:rPr>
            </w:pPr>
            <w:r w:rsidRPr="00575CD5">
              <w:rPr>
                <w:rFonts w:ascii="Calibri" w:hAnsi="Calibri" w:cs="Calibri"/>
                <w:color w:val="000000"/>
                <w:szCs w:val="20"/>
              </w:rPr>
              <w:t>0,19%</w:t>
            </w:r>
          </w:p>
        </w:tc>
        <w:tc>
          <w:tcPr>
            <w:tcW w:w="1275" w:type="dxa"/>
            <w:vAlign w:val="center"/>
          </w:tcPr>
          <w:p w14:paraId="693E6148" w14:textId="77777777" w:rsidR="00D02751" w:rsidRPr="00575CD5" w:rsidRDefault="00D02751" w:rsidP="000878F6">
            <w:pPr>
              <w:pStyle w:val="Table"/>
              <w:jc w:val="center"/>
              <w:rPr>
                <w:szCs w:val="20"/>
              </w:rPr>
            </w:pPr>
            <w:r w:rsidRPr="00575CD5">
              <w:rPr>
                <w:rFonts w:ascii="Calibri" w:hAnsi="Calibri" w:cs="Calibri"/>
                <w:color w:val="000000"/>
                <w:szCs w:val="20"/>
              </w:rPr>
              <w:t>0,12%</w:t>
            </w:r>
          </w:p>
        </w:tc>
      </w:tr>
      <w:tr w:rsidR="00D02751" w:rsidRPr="00616B6B" w14:paraId="0DFA5997" w14:textId="77777777" w:rsidTr="00CD16F1">
        <w:tc>
          <w:tcPr>
            <w:tcW w:w="2160" w:type="dxa"/>
          </w:tcPr>
          <w:p w14:paraId="07BFB834" w14:textId="77777777" w:rsidR="00D02751" w:rsidRPr="00F501DA" w:rsidRDefault="00D02751" w:rsidP="000878F6">
            <w:pPr>
              <w:pStyle w:val="Table"/>
            </w:pPr>
            <w:r w:rsidRPr="00F501DA">
              <w:t>SO2</w:t>
            </w:r>
          </w:p>
        </w:tc>
        <w:tc>
          <w:tcPr>
            <w:tcW w:w="1080" w:type="dxa"/>
            <w:vAlign w:val="center"/>
          </w:tcPr>
          <w:p w14:paraId="610A576A" w14:textId="77777777" w:rsidR="00D02751" w:rsidRPr="00575CD5" w:rsidRDefault="00D02751" w:rsidP="000878F6">
            <w:pPr>
              <w:pStyle w:val="Table"/>
              <w:jc w:val="center"/>
              <w:rPr>
                <w:szCs w:val="20"/>
              </w:rPr>
            </w:pPr>
            <w:r w:rsidRPr="00575CD5">
              <w:rPr>
                <w:rFonts w:ascii="Calibri" w:hAnsi="Calibri" w:cs="Calibri"/>
                <w:color w:val="000000"/>
                <w:szCs w:val="20"/>
              </w:rPr>
              <w:t>-32,43%</w:t>
            </w:r>
          </w:p>
        </w:tc>
        <w:tc>
          <w:tcPr>
            <w:tcW w:w="1080" w:type="dxa"/>
            <w:vAlign w:val="center"/>
          </w:tcPr>
          <w:p w14:paraId="64C86402" w14:textId="77777777" w:rsidR="00D02751" w:rsidRPr="00575CD5" w:rsidRDefault="00D02751" w:rsidP="000878F6">
            <w:pPr>
              <w:pStyle w:val="Table"/>
              <w:jc w:val="center"/>
              <w:rPr>
                <w:szCs w:val="20"/>
              </w:rPr>
            </w:pPr>
            <w:r w:rsidRPr="00575CD5">
              <w:rPr>
                <w:rFonts w:ascii="Calibri" w:hAnsi="Calibri" w:cs="Calibri"/>
                <w:color w:val="000000"/>
                <w:szCs w:val="20"/>
              </w:rPr>
              <w:t>-32,43%</w:t>
            </w:r>
          </w:p>
        </w:tc>
        <w:tc>
          <w:tcPr>
            <w:tcW w:w="990" w:type="dxa"/>
            <w:vAlign w:val="center"/>
          </w:tcPr>
          <w:p w14:paraId="76B18D25" w14:textId="77777777" w:rsidR="00D02751" w:rsidRPr="00575CD5" w:rsidRDefault="00D02751" w:rsidP="000878F6">
            <w:pPr>
              <w:pStyle w:val="Table"/>
              <w:jc w:val="center"/>
              <w:rPr>
                <w:szCs w:val="20"/>
              </w:rPr>
            </w:pPr>
            <w:r w:rsidRPr="00575CD5">
              <w:rPr>
                <w:rFonts w:ascii="Calibri" w:hAnsi="Calibri" w:cs="Calibri"/>
                <w:color w:val="000000"/>
                <w:szCs w:val="20"/>
              </w:rPr>
              <w:t>6,30</w:t>
            </w:r>
          </w:p>
        </w:tc>
        <w:tc>
          <w:tcPr>
            <w:tcW w:w="1170" w:type="dxa"/>
            <w:vAlign w:val="center"/>
          </w:tcPr>
          <w:p w14:paraId="1480BE47" w14:textId="77777777" w:rsidR="00D02751" w:rsidRPr="00575CD5" w:rsidRDefault="00D02751" w:rsidP="000878F6">
            <w:pPr>
              <w:pStyle w:val="Table"/>
              <w:jc w:val="center"/>
              <w:rPr>
                <w:szCs w:val="20"/>
              </w:rPr>
            </w:pPr>
            <w:r w:rsidRPr="00575CD5">
              <w:rPr>
                <w:rFonts w:ascii="Calibri" w:hAnsi="Calibri" w:cs="Calibri"/>
                <w:color w:val="000000"/>
                <w:szCs w:val="20"/>
              </w:rPr>
              <w:t>5,12</w:t>
            </w:r>
          </w:p>
        </w:tc>
        <w:tc>
          <w:tcPr>
            <w:tcW w:w="1312" w:type="dxa"/>
            <w:vAlign w:val="center"/>
          </w:tcPr>
          <w:p w14:paraId="2A106A9C" w14:textId="77777777" w:rsidR="00D02751" w:rsidRPr="00575CD5" w:rsidRDefault="00D02751" w:rsidP="000878F6">
            <w:pPr>
              <w:pStyle w:val="Table"/>
              <w:jc w:val="center"/>
              <w:rPr>
                <w:szCs w:val="20"/>
              </w:rPr>
            </w:pPr>
            <w:r w:rsidRPr="00575CD5">
              <w:rPr>
                <w:rFonts w:ascii="Calibri" w:hAnsi="Calibri" w:cs="Calibri"/>
                <w:color w:val="000000"/>
                <w:szCs w:val="20"/>
              </w:rPr>
              <w:t>4,16%</w:t>
            </w:r>
          </w:p>
        </w:tc>
        <w:tc>
          <w:tcPr>
            <w:tcW w:w="1275" w:type="dxa"/>
            <w:vAlign w:val="center"/>
          </w:tcPr>
          <w:p w14:paraId="52D69AB8" w14:textId="77777777" w:rsidR="00D02751" w:rsidRPr="00575CD5" w:rsidRDefault="00D02751" w:rsidP="000878F6">
            <w:pPr>
              <w:pStyle w:val="Table"/>
              <w:jc w:val="center"/>
              <w:rPr>
                <w:szCs w:val="20"/>
              </w:rPr>
            </w:pPr>
            <w:r w:rsidRPr="00575CD5">
              <w:rPr>
                <w:rFonts w:ascii="Calibri" w:hAnsi="Calibri" w:cs="Calibri"/>
                <w:color w:val="000000"/>
                <w:szCs w:val="20"/>
              </w:rPr>
              <w:t>3,38%</w:t>
            </w:r>
          </w:p>
        </w:tc>
      </w:tr>
      <w:tr w:rsidR="00D02751" w:rsidRPr="00616B6B" w14:paraId="1B8DEE3C" w14:textId="77777777" w:rsidTr="00CD16F1">
        <w:tc>
          <w:tcPr>
            <w:tcW w:w="2160" w:type="dxa"/>
          </w:tcPr>
          <w:p w14:paraId="584BBA0A" w14:textId="77777777" w:rsidR="00D02751" w:rsidRPr="00F501DA" w:rsidRDefault="00D02751" w:rsidP="000878F6">
            <w:pPr>
              <w:pStyle w:val="Table"/>
            </w:pPr>
            <w:r w:rsidRPr="00F501DA">
              <w:t>PM2.5</w:t>
            </w:r>
          </w:p>
        </w:tc>
        <w:tc>
          <w:tcPr>
            <w:tcW w:w="1080" w:type="dxa"/>
            <w:vAlign w:val="center"/>
          </w:tcPr>
          <w:p w14:paraId="6C2CF6B5" w14:textId="77777777" w:rsidR="00D02751" w:rsidRPr="00575CD5" w:rsidRDefault="00D02751" w:rsidP="000878F6">
            <w:pPr>
              <w:pStyle w:val="Table"/>
              <w:jc w:val="center"/>
              <w:rPr>
                <w:szCs w:val="20"/>
              </w:rPr>
            </w:pPr>
            <w:r w:rsidRPr="00575CD5">
              <w:rPr>
                <w:rFonts w:ascii="Calibri" w:hAnsi="Calibri" w:cs="Calibri"/>
                <w:color w:val="000000"/>
                <w:szCs w:val="20"/>
              </w:rPr>
              <w:t>-29,58%</w:t>
            </w:r>
          </w:p>
        </w:tc>
        <w:tc>
          <w:tcPr>
            <w:tcW w:w="1080" w:type="dxa"/>
            <w:vAlign w:val="center"/>
          </w:tcPr>
          <w:p w14:paraId="14017F3C" w14:textId="77777777" w:rsidR="00D02751" w:rsidRPr="00575CD5" w:rsidRDefault="00D02751" w:rsidP="000878F6">
            <w:pPr>
              <w:pStyle w:val="Table"/>
              <w:jc w:val="center"/>
              <w:rPr>
                <w:szCs w:val="20"/>
              </w:rPr>
            </w:pPr>
            <w:r w:rsidRPr="00575CD5">
              <w:rPr>
                <w:rFonts w:ascii="Calibri" w:hAnsi="Calibri" w:cs="Calibri"/>
                <w:color w:val="000000"/>
                <w:szCs w:val="20"/>
              </w:rPr>
              <w:t>-29,58%</w:t>
            </w:r>
          </w:p>
        </w:tc>
        <w:tc>
          <w:tcPr>
            <w:tcW w:w="990" w:type="dxa"/>
            <w:vAlign w:val="center"/>
          </w:tcPr>
          <w:p w14:paraId="187ACF7B" w14:textId="77777777" w:rsidR="00D02751" w:rsidRPr="00575CD5" w:rsidRDefault="00D02751" w:rsidP="000878F6">
            <w:pPr>
              <w:pStyle w:val="Table"/>
              <w:jc w:val="center"/>
              <w:rPr>
                <w:szCs w:val="20"/>
              </w:rPr>
            </w:pPr>
            <w:r w:rsidRPr="00575CD5">
              <w:rPr>
                <w:rFonts w:ascii="Calibri" w:hAnsi="Calibri" w:cs="Calibri"/>
                <w:color w:val="000000"/>
                <w:szCs w:val="20"/>
              </w:rPr>
              <w:t>1,31</w:t>
            </w:r>
          </w:p>
        </w:tc>
        <w:tc>
          <w:tcPr>
            <w:tcW w:w="1170" w:type="dxa"/>
            <w:vAlign w:val="center"/>
          </w:tcPr>
          <w:p w14:paraId="3A765B61" w14:textId="77777777" w:rsidR="00D02751" w:rsidRPr="00575CD5" w:rsidRDefault="00D02751" w:rsidP="000878F6">
            <w:pPr>
              <w:pStyle w:val="Table"/>
              <w:jc w:val="center"/>
              <w:rPr>
                <w:szCs w:val="20"/>
              </w:rPr>
            </w:pPr>
            <w:r w:rsidRPr="00575CD5">
              <w:rPr>
                <w:rFonts w:ascii="Calibri" w:hAnsi="Calibri" w:cs="Calibri"/>
                <w:color w:val="000000"/>
                <w:szCs w:val="20"/>
              </w:rPr>
              <w:t>1,24</w:t>
            </w:r>
          </w:p>
        </w:tc>
        <w:tc>
          <w:tcPr>
            <w:tcW w:w="1312" w:type="dxa"/>
            <w:vAlign w:val="center"/>
          </w:tcPr>
          <w:p w14:paraId="699C6CD5" w14:textId="77777777" w:rsidR="00D02751" w:rsidRPr="00575CD5" w:rsidRDefault="00D02751" w:rsidP="000878F6">
            <w:pPr>
              <w:pStyle w:val="Table"/>
              <w:jc w:val="center"/>
              <w:rPr>
                <w:szCs w:val="20"/>
              </w:rPr>
            </w:pPr>
            <w:r w:rsidRPr="00575CD5">
              <w:rPr>
                <w:rFonts w:ascii="Calibri" w:hAnsi="Calibri" w:cs="Calibri"/>
                <w:color w:val="000000"/>
                <w:szCs w:val="20"/>
              </w:rPr>
              <w:t>0,87%</w:t>
            </w:r>
          </w:p>
        </w:tc>
        <w:tc>
          <w:tcPr>
            <w:tcW w:w="1275" w:type="dxa"/>
            <w:vAlign w:val="center"/>
          </w:tcPr>
          <w:p w14:paraId="310803FE" w14:textId="77777777" w:rsidR="00D02751" w:rsidRPr="00575CD5" w:rsidRDefault="00D02751" w:rsidP="000878F6">
            <w:pPr>
              <w:pStyle w:val="Table"/>
              <w:jc w:val="center"/>
              <w:rPr>
                <w:szCs w:val="20"/>
              </w:rPr>
            </w:pPr>
            <w:r w:rsidRPr="00575CD5">
              <w:rPr>
                <w:rFonts w:ascii="Calibri" w:hAnsi="Calibri" w:cs="Calibri"/>
                <w:color w:val="000000"/>
                <w:szCs w:val="20"/>
              </w:rPr>
              <w:t>0,82%</w:t>
            </w:r>
          </w:p>
        </w:tc>
      </w:tr>
      <w:tr w:rsidR="00D02751" w:rsidRPr="00616B6B" w14:paraId="7DECD19C" w14:textId="77777777" w:rsidTr="00CD16F1">
        <w:tc>
          <w:tcPr>
            <w:tcW w:w="2160" w:type="dxa"/>
          </w:tcPr>
          <w:p w14:paraId="2EF927CC" w14:textId="77777777" w:rsidR="00D02751" w:rsidRPr="00F501DA" w:rsidRDefault="00D02751" w:rsidP="000878F6">
            <w:pPr>
              <w:pStyle w:val="Table"/>
            </w:pPr>
            <w:r w:rsidRPr="00F501DA">
              <w:t>Water Abstraction</w:t>
            </w:r>
          </w:p>
        </w:tc>
        <w:tc>
          <w:tcPr>
            <w:tcW w:w="1080" w:type="dxa"/>
            <w:vAlign w:val="center"/>
          </w:tcPr>
          <w:p w14:paraId="27789933" w14:textId="77777777" w:rsidR="00D02751" w:rsidRPr="00575CD5" w:rsidRDefault="00D02751" w:rsidP="000878F6">
            <w:pPr>
              <w:pStyle w:val="Table"/>
              <w:jc w:val="center"/>
              <w:rPr>
                <w:szCs w:val="20"/>
              </w:rPr>
            </w:pPr>
            <w:r w:rsidRPr="00575CD5">
              <w:rPr>
                <w:rFonts w:ascii="Calibri" w:hAnsi="Calibri" w:cs="Calibri"/>
                <w:color w:val="000000"/>
                <w:szCs w:val="20"/>
              </w:rPr>
              <w:t>-6,61%</w:t>
            </w:r>
          </w:p>
        </w:tc>
        <w:tc>
          <w:tcPr>
            <w:tcW w:w="1080" w:type="dxa"/>
            <w:vAlign w:val="center"/>
          </w:tcPr>
          <w:p w14:paraId="5899F611" w14:textId="77777777" w:rsidR="00D02751" w:rsidRPr="00575CD5" w:rsidRDefault="00D02751" w:rsidP="000878F6">
            <w:pPr>
              <w:pStyle w:val="Table"/>
              <w:jc w:val="center"/>
              <w:rPr>
                <w:szCs w:val="20"/>
              </w:rPr>
            </w:pPr>
            <w:r w:rsidRPr="00575CD5">
              <w:rPr>
                <w:rFonts w:ascii="Calibri" w:hAnsi="Calibri" w:cs="Calibri"/>
                <w:color w:val="000000"/>
                <w:szCs w:val="20"/>
              </w:rPr>
              <w:t>-6,61%</w:t>
            </w:r>
          </w:p>
        </w:tc>
        <w:tc>
          <w:tcPr>
            <w:tcW w:w="990" w:type="dxa"/>
            <w:vAlign w:val="center"/>
          </w:tcPr>
          <w:p w14:paraId="2581E163" w14:textId="77777777" w:rsidR="00D02751" w:rsidRPr="00575CD5" w:rsidRDefault="00D02751" w:rsidP="000878F6">
            <w:pPr>
              <w:pStyle w:val="Table"/>
              <w:jc w:val="center"/>
              <w:rPr>
                <w:szCs w:val="20"/>
              </w:rPr>
            </w:pPr>
            <w:r w:rsidRPr="00575CD5">
              <w:rPr>
                <w:rFonts w:ascii="Calibri" w:hAnsi="Calibri" w:cs="Calibri"/>
                <w:color w:val="000000"/>
                <w:szCs w:val="20"/>
              </w:rPr>
              <w:t>13,07</w:t>
            </w:r>
          </w:p>
        </w:tc>
        <w:tc>
          <w:tcPr>
            <w:tcW w:w="1170" w:type="dxa"/>
            <w:vAlign w:val="center"/>
          </w:tcPr>
          <w:p w14:paraId="02B06C6F" w14:textId="77777777" w:rsidR="00D02751" w:rsidRPr="00575CD5" w:rsidRDefault="00D02751" w:rsidP="000878F6">
            <w:pPr>
              <w:pStyle w:val="Table"/>
              <w:jc w:val="center"/>
              <w:rPr>
                <w:szCs w:val="20"/>
              </w:rPr>
            </w:pPr>
            <w:r w:rsidRPr="00575CD5">
              <w:rPr>
                <w:rFonts w:ascii="Calibri" w:hAnsi="Calibri" w:cs="Calibri"/>
                <w:color w:val="000000"/>
                <w:szCs w:val="20"/>
              </w:rPr>
              <w:t>10,54</w:t>
            </w:r>
          </w:p>
        </w:tc>
        <w:tc>
          <w:tcPr>
            <w:tcW w:w="1312" w:type="dxa"/>
            <w:vAlign w:val="center"/>
          </w:tcPr>
          <w:p w14:paraId="453C8D28" w14:textId="77777777" w:rsidR="00D02751" w:rsidRPr="00575CD5" w:rsidRDefault="00D02751" w:rsidP="000878F6">
            <w:pPr>
              <w:pStyle w:val="Table"/>
              <w:jc w:val="center"/>
              <w:rPr>
                <w:szCs w:val="20"/>
              </w:rPr>
            </w:pPr>
            <w:r w:rsidRPr="00575CD5">
              <w:rPr>
                <w:rFonts w:ascii="Calibri" w:hAnsi="Calibri" w:cs="Calibri"/>
                <w:color w:val="000000"/>
                <w:szCs w:val="20"/>
              </w:rPr>
              <w:t>26,30%</w:t>
            </w:r>
          </w:p>
        </w:tc>
        <w:tc>
          <w:tcPr>
            <w:tcW w:w="1275" w:type="dxa"/>
            <w:vAlign w:val="center"/>
          </w:tcPr>
          <w:p w14:paraId="3EFFFF2A" w14:textId="77777777" w:rsidR="00D02751" w:rsidRPr="00575CD5" w:rsidRDefault="00D02751" w:rsidP="000878F6">
            <w:pPr>
              <w:pStyle w:val="Table"/>
              <w:jc w:val="center"/>
              <w:rPr>
                <w:szCs w:val="20"/>
              </w:rPr>
            </w:pPr>
            <w:r w:rsidRPr="00575CD5">
              <w:rPr>
                <w:rFonts w:ascii="Calibri" w:hAnsi="Calibri" w:cs="Calibri"/>
                <w:color w:val="000000"/>
                <w:szCs w:val="20"/>
              </w:rPr>
              <w:t>21,20%</w:t>
            </w:r>
          </w:p>
        </w:tc>
      </w:tr>
      <w:tr w:rsidR="00D02751" w:rsidRPr="00616B6B" w14:paraId="5933264E" w14:textId="77777777" w:rsidTr="00CD16F1">
        <w:tc>
          <w:tcPr>
            <w:tcW w:w="2160" w:type="dxa"/>
          </w:tcPr>
          <w:p w14:paraId="01324855" w14:textId="77777777" w:rsidR="00D02751" w:rsidRPr="00F501DA" w:rsidRDefault="00D02751" w:rsidP="000878F6">
            <w:pPr>
              <w:pStyle w:val="Table"/>
            </w:pPr>
            <w:r w:rsidRPr="00F501DA">
              <w:t>Fertilizers</w:t>
            </w:r>
          </w:p>
        </w:tc>
        <w:tc>
          <w:tcPr>
            <w:tcW w:w="1080" w:type="dxa"/>
            <w:vAlign w:val="center"/>
          </w:tcPr>
          <w:p w14:paraId="010DA5B2" w14:textId="77777777" w:rsidR="00D02751" w:rsidRPr="00575CD5" w:rsidRDefault="00D02751" w:rsidP="000878F6">
            <w:pPr>
              <w:pStyle w:val="Table"/>
              <w:jc w:val="center"/>
              <w:rPr>
                <w:szCs w:val="20"/>
              </w:rPr>
            </w:pPr>
            <w:r w:rsidRPr="00575CD5">
              <w:rPr>
                <w:rFonts w:ascii="Calibri" w:hAnsi="Calibri" w:cs="Calibri"/>
                <w:color w:val="000000"/>
                <w:szCs w:val="20"/>
              </w:rPr>
              <w:t>-11,98%</w:t>
            </w:r>
          </w:p>
        </w:tc>
        <w:tc>
          <w:tcPr>
            <w:tcW w:w="1080" w:type="dxa"/>
            <w:vAlign w:val="center"/>
          </w:tcPr>
          <w:p w14:paraId="039A55B7" w14:textId="77777777" w:rsidR="00D02751" w:rsidRPr="00575CD5" w:rsidRDefault="00D02751" w:rsidP="000878F6">
            <w:pPr>
              <w:pStyle w:val="Table"/>
              <w:jc w:val="center"/>
              <w:rPr>
                <w:szCs w:val="20"/>
              </w:rPr>
            </w:pPr>
            <w:r w:rsidRPr="00575CD5">
              <w:rPr>
                <w:rFonts w:ascii="Calibri" w:hAnsi="Calibri" w:cs="Calibri"/>
                <w:color w:val="000000"/>
                <w:szCs w:val="20"/>
              </w:rPr>
              <w:t>-11,98%</w:t>
            </w:r>
          </w:p>
        </w:tc>
        <w:tc>
          <w:tcPr>
            <w:tcW w:w="990" w:type="dxa"/>
            <w:vAlign w:val="center"/>
          </w:tcPr>
          <w:p w14:paraId="52D7075C" w14:textId="77777777" w:rsidR="00D02751" w:rsidRPr="00575CD5" w:rsidRDefault="00D02751" w:rsidP="000878F6">
            <w:pPr>
              <w:pStyle w:val="Table"/>
              <w:jc w:val="center"/>
              <w:rPr>
                <w:szCs w:val="20"/>
              </w:rPr>
            </w:pPr>
            <w:r w:rsidRPr="00575CD5">
              <w:rPr>
                <w:rFonts w:ascii="Calibri" w:hAnsi="Calibri" w:cs="Calibri"/>
                <w:color w:val="000000"/>
                <w:szCs w:val="20"/>
              </w:rPr>
              <w:t>5,30</w:t>
            </w:r>
          </w:p>
        </w:tc>
        <w:tc>
          <w:tcPr>
            <w:tcW w:w="1170" w:type="dxa"/>
            <w:vAlign w:val="center"/>
          </w:tcPr>
          <w:p w14:paraId="1E4236A1" w14:textId="77777777" w:rsidR="00D02751" w:rsidRPr="00575CD5" w:rsidRDefault="00D02751" w:rsidP="000878F6">
            <w:pPr>
              <w:pStyle w:val="Table"/>
              <w:jc w:val="center"/>
              <w:rPr>
                <w:szCs w:val="20"/>
              </w:rPr>
            </w:pPr>
            <w:r w:rsidRPr="00575CD5">
              <w:rPr>
                <w:rFonts w:ascii="Calibri" w:hAnsi="Calibri" w:cs="Calibri"/>
                <w:color w:val="000000"/>
                <w:szCs w:val="20"/>
              </w:rPr>
              <w:t>5,20</w:t>
            </w:r>
          </w:p>
        </w:tc>
        <w:tc>
          <w:tcPr>
            <w:tcW w:w="1312" w:type="dxa"/>
            <w:vAlign w:val="center"/>
          </w:tcPr>
          <w:p w14:paraId="6D366F90" w14:textId="77777777" w:rsidR="00D02751" w:rsidRPr="00575CD5" w:rsidRDefault="00D02751" w:rsidP="000878F6">
            <w:pPr>
              <w:pStyle w:val="Table"/>
              <w:jc w:val="center"/>
              <w:rPr>
                <w:szCs w:val="20"/>
              </w:rPr>
            </w:pPr>
            <w:r w:rsidRPr="00575CD5">
              <w:rPr>
                <w:rFonts w:ascii="Calibri" w:hAnsi="Calibri" w:cs="Calibri"/>
                <w:color w:val="000000"/>
                <w:szCs w:val="20"/>
              </w:rPr>
              <w:t>3,50%</w:t>
            </w:r>
          </w:p>
        </w:tc>
        <w:tc>
          <w:tcPr>
            <w:tcW w:w="1275" w:type="dxa"/>
            <w:vAlign w:val="center"/>
          </w:tcPr>
          <w:p w14:paraId="5C62E68A" w14:textId="77777777" w:rsidR="00D02751" w:rsidRPr="00575CD5" w:rsidRDefault="00D02751" w:rsidP="000878F6">
            <w:pPr>
              <w:pStyle w:val="Table"/>
              <w:jc w:val="center"/>
              <w:rPr>
                <w:szCs w:val="20"/>
              </w:rPr>
            </w:pPr>
            <w:r w:rsidRPr="00575CD5">
              <w:rPr>
                <w:rFonts w:ascii="Calibri" w:hAnsi="Calibri" w:cs="Calibri"/>
                <w:color w:val="000000"/>
                <w:szCs w:val="20"/>
              </w:rPr>
              <w:t>3,43%</w:t>
            </w:r>
          </w:p>
        </w:tc>
      </w:tr>
      <w:tr w:rsidR="00D02751" w:rsidRPr="00616B6B" w14:paraId="2B625DF3" w14:textId="77777777" w:rsidTr="00CD16F1">
        <w:tc>
          <w:tcPr>
            <w:tcW w:w="2160" w:type="dxa"/>
          </w:tcPr>
          <w:p w14:paraId="1A5166F0" w14:textId="77777777" w:rsidR="00D02751" w:rsidRPr="00F501DA" w:rsidRDefault="00D02751" w:rsidP="000878F6">
            <w:pPr>
              <w:pStyle w:val="Table"/>
            </w:pPr>
            <w:r w:rsidRPr="00F501DA">
              <w:t>Pesticides</w:t>
            </w:r>
          </w:p>
        </w:tc>
        <w:tc>
          <w:tcPr>
            <w:tcW w:w="1080" w:type="dxa"/>
            <w:vAlign w:val="center"/>
          </w:tcPr>
          <w:p w14:paraId="3FE6CE8B" w14:textId="77777777" w:rsidR="00D02751" w:rsidRPr="00575CD5" w:rsidRDefault="00D02751" w:rsidP="000878F6">
            <w:pPr>
              <w:pStyle w:val="Table"/>
              <w:jc w:val="center"/>
              <w:rPr>
                <w:szCs w:val="20"/>
              </w:rPr>
            </w:pPr>
            <w:r w:rsidRPr="00575CD5">
              <w:rPr>
                <w:rFonts w:ascii="Calibri" w:hAnsi="Calibri" w:cs="Calibri"/>
                <w:color w:val="000000"/>
                <w:szCs w:val="20"/>
              </w:rPr>
              <w:t>n/a</w:t>
            </w:r>
          </w:p>
        </w:tc>
        <w:tc>
          <w:tcPr>
            <w:tcW w:w="1080" w:type="dxa"/>
            <w:vAlign w:val="center"/>
          </w:tcPr>
          <w:p w14:paraId="148E7DAB" w14:textId="77777777" w:rsidR="00D02751" w:rsidRPr="00575CD5" w:rsidRDefault="00D02751" w:rsidP="000878F6">
            <w:pPr>
              <w:pStyle w:val="Table"/>
              <w:jc w:val="center"/>
              <w:rPr>
                <w:szCs w:val="20"/>
              </w:rPr>
            </w:pPr>
            <w:r w:rsidRPr="00575CD5">
              <w:rPr>
                <w:rFonts w:ascii="Calibri" w:hAnsi="Calibri" w:cs="Calibri"/>
                <w:color w:val="000000"/>
                <w:szCs w:val="20"/>
              </w:rPr>
              <w:t>n/a</w:t>
            </w:r>
          </w:p>
        </w:tc>
        <w:tc>
          <w:tcPr>
            <w:tcW w:w="990" w:type="dxa"/>
            <w:vAlign w:val="center"/>
          </w:tcPr>
          <w:p w14:paraId="3977D46D" w14:textId="77777777" w:rsidR="00D02751" w:rsidRPr="00575CD5" w:rsidRDefault="00D02751" w:rsidP="000878F6">
            <w:pPr>
              <w:pStyle w:val="Table"/>
              <w:jc w:val="center"/>
              <w:rPr>
                <w:szCs w:val="20"/>
              </w:rPr>
            </w:pPr>
            <w:r w:rsidRPr="00575CD5">
              <w:rPr>
                <w:rFonts w:ascii="Calibri" w:hAnsi="Calibri" w:cs="Calibri"/>
                <w:color w:val="000000"/>
                <w:szCs w:val="20"/>
              </w:rPr>
              <w:t>10,96</w:t>
            </w:r>
          </w:p>
        </w:tc>
        <w:tc>
          <w:tcPr>
            <w:tcW w:w="1170" w:type="dxa"/>
            <w:vAlign w:val="center"/>
          </w:tcPr>
          <w:p w14:paraId="451D2221" w14:textId="77777777" w:rsidR="00D02751" w:rsidRPr="00575CD5" w:rsidRDefault="00D02751" w:rsidP="000878F6">
            <w:pPr>
              <w:pStyle w:val="Table"/>
              <w:jc w:val="center"/>
              <w:rPr>
                <w:szCs w:val="20"/>
              </w:rPr>
            </w:pPr>
            <w:r w:rsidRPr="00575CD5">
              <w:rPr>
                <w:rFonts w:ascii="Calibri" w:hAnsi="Calibri" w:cs="Calibri"/>
                <w:color w:val="000000"/>
                <w:szCs w:val="20"/>
              </w:rPr>
              <w:t>11,02</w:t>
            </w:r>
          </w:p>
        </w:tc>
        <w:tc>
          <w:tcPr>
            <w:tcW w:w="1312" w:type="dxa"/>
            <w:vAlign w:val="center"/>
          </w:tcPr>
          <w:p w14:paraId="09B31F3D" w14:textId="77777777" w:rsidR="00D02751" w:rsidRPr="00575CD5" w:rsidRDefault="00D02751" w:rsidP="000878F6">
            <w:pPr>
              <w:pStyle w:val="Table"/>
              <w:jc w:val="center"/>
              <w:rPr>
                <w:szCs w:val="20"/>
              </w:rPr>
            </w:pPr>
            <w:r w:rsidRPr="00575CD5">
              <w:rPr>
                <w:rFonts w:ascii="Calibri" w:hAnsi="Calibri" w:cs="Calibri"/>
                <w:color w:val="000000"/>
                <w:szCs w:val="20"/>
              </w:rPr>
              <w:t>7,24%</w:t>
            </w:r>
          </w:p>
        </w:tc>
        <w:tc>
          <w:tcPr>
            <w:tcW w:w="1275" w:type="dxa"/>
            <w:vAlign w:val="center"/>
          </w:tcPr>
          <w:p w14:paraId="37C21312" w14:textId="77777777" w:rsidR="00D02751" w:rsidRPr="00575CD5" w:rsidRDefault="00D02751" w:rsidP="000878F6">
            <w:pPr>
              <w:pStyle w:val="Table"/>
              <w:jc w:val="center"/>
              <w:rPr>
                <w:szCs w:val="20"/>
              </w:rPr>
            </w:pPr>
            <w:r w:rsidRPr="00575CD5">
              <w:rPr>
                <w:rFonts w:ascii="Calibri" w:hAnsi="Calibri" w:cs="Calibri"/>
                <w:color w:val="000000"/>
                <w:szCs w:val="20"/>
              </w:rPr>
              <w:t>7,27%</w:t>
            </w:r>
          </w:p>
        </w:tc>
      </w:tr>
      <w:tr w:rsidR="00D02751" w:rsidRPr="00616B6B" w14:paraId="22EEFEEB" w14:textId="77777777" w:rsidTr="00CD16F1">
        <w:tc>
          <w:tcPr>
            <w:tcW w:w="2160" w:type="dxa"/>
          </w:tcPr>
          <w:p w14:paraId="77BB06E5" w14:textId="77777777" w:rsidR="00D02751" w:rsidRPr="00F501DA" w:rsidRDefault="00D02751" w:rsidP="000878F6">
            <w:pPr>
              <w:pStyle w:val="Table"/>
            </w:pPr>
            <w:r w:rsidRPr="00F501DA">
              <w:t>Waste Incineration</w:t>
            </w:r>
          </w:p>
        </w:tc>
        <w:tc>
          <w:tcPr>
            <w:tcW w:w="1080" w:type="dxa"/>
            <w:vAlign w:val="center"/>
          </w:tcPr>
          <w:p w14:paraId="5D04744E" w14:textId="77777777" w:rsidR="00D02751" w:rsidRPr="00575CD5" w:rsidRDefault="00D02751" w:rsidP="000878F6">
            <w:pPr>
              <w:pStyle w:val="Table"/>
              <w:jc w:val="center"/>
              <w:rPr>
                <w:szCs w:val="20"/>
              </w:rPr>
            </w:pPr>
            <w:r w:rsidRPr="00575CD5">
              <w:rPr>
                <w:rFonts w:ascii="Calibri" w:hAnsi="Calibri" w:cs="Calibri"/>
                <w:color w:val="000000"/>
                <w:szCs w:val="20"/>
              </w:rPr>
              <w:t>-20,00%</w:t>
            </w:r>
          </w:p>
        </w:tc>
        <w:tc>
          <w:tcPr>
            <w:tcW w:w="1080" w:type="dxa"/>
            <w:vAlign w:val="center"/>
          </w:tcPr>
          <w:p w14:paraId="0EEEAA95" w14:textId="77777777" w:rsidR="00D02751" w:rsidRPr="00575CD5" w:rsidRDefault="00D02751" w:rsidP="000878F6">
            <w:pPr>
              <w:pStyle w:val="Table"/>
              <w:jc w:val="center"/>
              <w:rPr>
                <w:szCs w:val="20"/>
              </w:rPr>
            </w:pPr>
            <w:r w:rsidRPr="00575CD5">
              <w:rPr>
                <w:rFonts w:ascii="Calibri" w:hAnsi="Calibri" w:cs="Calibri"/>
                <w:color w:val="000000"/>
                <w:szCs w:val="20"/>
              </w:rPr>
              <w:t>-20,00%</w:t>
            </w:r>
          </w:p>
        </w:tc>
        <w:tc>
          <w:tcPr>
            <w:tcW w:w="990" w:type="dxa"/>
            <w:vAlign w:val="center"/>
          </w:tcPr>
          <w:p w14:paraId="7512CC39" w14:textId="77777777" w:rsidR="00D02751" w:rsidRPr="00575CD5" w:rsidRDefault="00D02751" w:rsidP="000878F6">
            <w:pPr>
              <w:pStyle w:val="Table"/>
              <w:jc w:val="center"/>
              <w:rPr>
                <w:szCs w:val="20"/>
              </w:rPr>
            </w:pPr>
            <w:r w:rsidRPr="00575CD5">
              <w:rPr>
                <w:rFonts w:ascii="Calibri" w:hAnsi="Calibri" w:cs="Calibri"/>
                <w:color w:val="000000"/>
                <w:szCs w:val="20"/>
              </w:rPr>
              <w:t>0,02</w:t>
            </w:r>
          </w:p>
        </w:tc>
        <w:tc>
          <w:tcPr>
            <w:tcW w:w="1170" w:type="dxa"/>
            <w:vAlign w:val="center"/>
          </w:tcPr>
          <w:p w14:paraId="6D31AC74" w14:textId="77777777" w:rsidR="00D02751" w:rsidRPr="00575CD5" w:rsidRDefault="00D02751" w:rsidP="000878F6">
            <w:pPr>
              <w:pStyle w:val="Table"/>
              <w:jc w:val="center"/>
              <w:rPr>
                <w:szCs w:val="20"/>
              </w:rPr>
            </w:pPr>
            <w:r w:rsidRPr="00575CD5">
              <w:rPr>
                <w:rFonts w:ascii="Calibri" w:hAnsi="Calibri" w:cs="Calibri"/>
                <w:color w:val="000000"/>
                <w:szCs w:val="20"/>
              </w:rPr>
              <w:t>0,01</w:t>
            </w:r>
          </w:p>
        </w:tc>
        <w:tc>
          <w:tcPr>
            <w:tcW w:w="1312" w:type="dxa"/>
            <w:vAlign w:val="center"/>
          </w:tcPr>
          <w:p w14:paraId="25B1C0D3" w14:textId="77777777" w:rsidR="00D02751" w:rsidRPr="00575CD5" w:rsidRDefault="00D02751" w:rsidP="000878F6">
            <w:pPr>
              <w:pStyle w:val="Table"/>
              <w:jc w:val="center"/>
              <w:rPr>
                <w:szCs w:val="20"/>
              </w:rPr>
            </w:pPr>
            <w:r w:rsidRPr="00575CD5">
              <w:rPr>
                <w:rFonts w:ascii="Calibri" w:hAnsi="Calibri" w:cs="Calibri"/>
                <w:color w:val="000000"/>
                <w:szCs w:val="20"/>
              </w:rPr>
              <w:t>0,01%</w:t>
            </w:r>
          </w:p>
        </w:tc>
        <w:tc>
          <w:tcPr>
            <w:tcW w:w="1275" w:type="dxa"/>
            <w:vAlign w:val="center"/>
          </w:tcPr>
          <w:p w14:paraId="2F3F1AAC" w14:textId="77777777" w:rsidR="00D02751" w:rsidRPr="00575CD5" w:rsidRDefault="00D02751" w:rsidP="000878F6">
            <w:pPr>
              <w:pStyle w:val="Table"/>
              <w:jc w:val="center"/>
              <w:rPr>
                <w:szCs w:val="20"/>
              </w:rPr>
            </w:pPr>
            <w:r w:rsidRPr="00575CD5">
              <w:rPr>
                <w:rFonts w:ascii="Calibri" w:hAnsi="Calibri" w:cs="Calibri"/>
                <w:color w:val="000000"/>
                <w:szCs w:val="20"/>
              </w:rPr>
              <w:t>0,01%</w:t>
            </w:r>
          </w:p>
        </w:tc>
      </w:tr>
      <w:tr w:rsidR="00D02751" w:rsidRPr="00616B6B" w14:paraId="6DA6FC8E" w14:textId="77777777" w:rsidTr="00CD16F1">
        <w:tc>
          <w:tcPr>
            <w:tcW w:w="2160" w:type="dxa"/>
          </w:tcPr>
          <w:p w14:paraId="45B64D52" w14:textId="77777777" w:rsidR="00D02751" w:rsidRPr="00F501DA" w:rsidRDefault="00D02751" w:rsidP="000878F6">
            <w:pPr>
              <w:pStyle w:val="Table"/>
            </w:pPr>
            <w:r w:rsidRPr="00F501DA">
              <w:t>Waste to Landfill</w:t>
            </w:r>
          </w:p>
        </w:tc>
        <w:tc>
          <w:tcPr>
            <w:tcW w:w="1080" w:type="dxa"/>
            <w:vAlign w:val="center"/>
          </w:tcPr>
          <w:p w14:paraId="7DC1155B" w14:textId="77777777" w:rsidR="00D02751" w:rsidRPr="00575CD5" w:rsidRDefault="00D02751" w:rsidP="000878F6">
            <w:pPr>
              <w:pStyle w:val="Table"/>
              <w:jc w:val="center"/>
              <w:rPr>
                <w:szCs w:val="20"/>
              </w:rPr>
            </w:pPr>
            <w:r w:rsidRPr="00575CD5">
              <w:rPr>
                <w:rFonts w:ascii="Calibri" w:hAnsi="Calibri" w:cs="Calibri"/>
                <w:color w:val="000000"/>
                <w:szCs w:val="20"/>
              </w:rPr>
              <w:t>-46,08%</w:t>
            </w:r>
          </w:p>
        </w:tc>
        <w:tc>
          <w:tcPr>
            <w:tcW w:w="1080" w:type="dxa"/>
            <w:vAlign w:val="center"/>
          </w:tcPr>
          <w:p w14:paraId="735D4AB4" w14:textId="77777777" w:rsidR="00D02751" w:rsidRPr="00575CD5" w:rsidRDefault="00D02751" w:rsidP="000878F6">
            <w:pPr>
              <w:pStyle w:val="Table"/>
              <w:jc w:val="center"/>
              <w:rPr>
                <w:szCs w:val="20"/>
              </w:rPr>
            </w:pPr>
            <w:r w:rsidRPr="00575CD5">
              <w:rPr>
                <w:rFonts w:ascii="Calibri" w:hAnsi="Calibri" w:cs="Calibri"/>
                <w:color w:val="000000"/>
                <w:szCs w:val="20"/>
              </w:rPr>
              <w:t>-46,08%</w:t>
            </w:r>
          </w:p>
        </w:tc>
        <w:tc>
          <w:tcPr>
            <w:tcW w:w="990" w:type="dxa"/>
            <w:vAlign w:val="center"/>
          </w:tcPr>
          <w:p w14:paraId="5D07C4F7" w14:textId="77777777" w:rsidR="00D02751" w:rsidRPr="00575CD5" w:rsidRDefault="00D02751" w:rsidP="000878F6">
            <w:pPr>
              <w:pStyle w:val="Table"/>
              <w:jc w:val="center"/>
              <w:rPr>
                <w:szCs w:val="20"/>
              </w:rPr>
            </w:pPr>
            <w:r w:rsidRPr="00575CD5">
              <w:rPr>
                <w:rFonts w:ascii="Calibri" w:hAnsi="Calibri" w:cs="Calibri"/>
                <w:color w:val="000000"/>
                <w:szCs w:val="20"/>
              </w:rPr>
              <w:t>10,85</w:t>
            </w:r>
          </w:p>
        </w:tc>
        <w:tc>
          <w:tcPr>
            <w:tcW w:w="1170" w:type="dxa"/>
            <w:vAlign w:val="center"/>
          </w:tcPr>
          <w:p w14:paraId="0E1C0F06" w14:textId="77777777" w:rsidR="00D02751" w:rsidRPr="00575CD5" w:rsidRDefault="00D02751" w:rsidP="000878F6">
            <w:pPr>
              <w:pStyle w:val="Table"/>
              <w:jc w:val="center"/>
              <w:rPr>
                <w:szCs w:val="20"/>
              </w:rPr>
            </w:pPr>
            <w:r w:rsidRPr="00575CD5">
              <w:rPr>
                <w:rFonts w:ascii="Calibri" w:hAnsi="Calibri" w:cs="Calibri"/>
                <w:color w:val="000000"/>
                <w:szCs w:val="20"/>
              </w:rPr>
              <w:t>7,36</w:t>
            </w:r>
          </w:p>
        </w:tc>
        <w:tc>
          <w:tcPr>
            <w:tcW w:w="1312" w:type="dxa"/>
            <w:vAlign w:val="center"/>
          </w:tcPr>
          <w:p w14:paraId="6579241B" w14:textId="77777777" w:rsidR="00D02751" w:rsidRPr="00575CD5" w:rsidRDefault="00D02751" w:rsidP="000878F6">
            <w:pPr>
              <w:pStyle w:val="Table"/>
              <w:jc w:val="center"/>
              <w:rPr>
                <w:szCs w:val="20"/>
              </w:rPr>
            </w:pPr>
            <w:r w:rsidRPr="00575CD5">
              <w:rPr>
                <w:rFonts w:ascii="Calibri" w:hAnsi="Calibri" w:cs="Calibri"/>
                <w:color w:val="000000"/>
                <w:szCs w:val="20"/>
              </w:rPr>
              <w:t>7,17%</w:t>
            </w:r>
          </w:p>
        </w:tc>
        <w:tc>
          <w:tcPr>
            <w:tcW w:w="1275" w:type="dxa"/>
            <w:vAlign w:val="center"/>
          </w:tcPr>
          <w:p w14:paraId="736B1239" w14:textId="77777777" w:rsidR="00D02751" w:rsidRPr="00575CD5" w:rsidRDefault="00D02751" w:rsidP="000878F6">
            <w:pPr>
              <w:pStyle w:val="Table"/>
              <w:jc w:val="center"/>
              <w:rPr>
                <w:szCs w:val="20"/>
              </w:rPr>
            </w:pPr>
            <w:r w:rsidRPr="00575CD5">
              <w:rPr>
                <w:rFonts w:ascii="Calibri" w:hAnsi="Calibri" w:cs="Calibri"/>
                <w:color w:val="000000"/>
                <w:szCs w:val="20"/>
              </w:rPr>
              <w:t>4,86%</w:t>
            </w:r>
          </w:p>
        </w:tc>
      </w:tr>
      <w:tr w:rsidR="00D02751" w:rsidRPr="00616B6B" w14:paraId="6A35D718" w14:textId="77777777" w:rsidTr="00CD16F1">
        <w:tc>
          <w:tcPr>
            <w:tcW w:w="2160" w:type="dxa"/>
          </w:tcPr>
          <w:p w14:paraId="3A33CA59" w14:textId="77777777" w:rsidR="00D02751" w:rsidRPr="00F501DA" w:rsidRDefault="00D02751" w:rsidP="000878F6">
            <w:pPr>
              <w:pStyle w:val="Table"/>
            </w:pPr>
            <w:r w:rsidRPr="00F501DA">
              <w:t>Water Effluent</w:t>
            </w:r>
          </w:p>
        </w:tc>
        <w:tc>
          <w:tcPr>
            <w:tcW w:w="1080" w:type="dxa"/>
            <w:vAlign w:val="center"/>
          </w:tcPr>
          <w:p w14:paraId="6FE68E6C" w14:textId="77777777" w:rsidR="00D02751" w:rsidRPr="00575CD5" w:rsidRDefault="00D02751" w:rsidP="000878F6">
            <w:pPr>
              <w:pStyle w:val="Table"/>
              <w:jc w:val="center"/>
              <w:rPr>
                <w:szCs w:val="20"/>
              </w:rPr>
            </w:pPr>
            <w:r w:rsidRPr="00575CD5">
              <w:rPr>
                <w:rFonts w:ascii="Calibri" w:hAnsi="Calibri" w:cs="Calibri"/>
                <w:color w:val="000000"/>
                <w:szCs w:val="20"/>
              </w:rPr>
              <w:t>-7,48%</w:t>
            </w:r>
          </w:p>
        </w:tc>
        <w:tc>
          <w:tcPr>
            <w:tcW w:w="1080" w:type="dxa"/>
            <w:vAlign w:val="center"/>
          </w:tcPr>
          <w:p w14:paraId="7AF2BA1F" w14:textId="77777777" w:rsidR="00D02751" w:rsidRPr="00575CD5" w:rsidRDefault="00D02751" w:rsidP="000878F6">
            <w:pPr>
              <w:pStyle w:val="Table"/>
              <w:jc w:val="center"/>
              <w:rPr>
                <w:szCs w:val="20"/>
              </w:rPr>
            </w:pPr>
            <w:r w:rsidRPr="00575CD5">
              <w:rPr>
                <w:rFonts w:ascii="Calibri" w:hAnsi="Calibri" w:cs="Calibri"/>
                <w:color w:val="000000"/>
                <w:szCs w:val="20"/>
              </w:rPr>
              <w:t>-7,48%</w:t>
            </w:r>
          </w:p>
        </w:tc>
        <w:tc>
          <w:tcPr>
            <w:tcW w:w="990" w:type="dxa"/>
            <w:vAlign w:val="center"/>
          </w:tcPr>
          <w:p w14:paraId="4CDB1EE3" w14:textId="77777777" w:rsidR="00D02751" w:rsidRPr="00575CD5" w:rsidRDefault="00D02751" w:rsidP="000878F6">
            <w:pPr>
              <w:pStyle w:val="Table"/>
              <w:jc w:val="center"/>
              <w:rPr>
                <w:szCs w:val="20"/>
              </w:rPr>
            </w:pPr>
            <w:r w:rsidRPr="00575CD5">
              <w:rPr>
                <w:rFonts w:ascii="Calibri" w:hAnsi="Calibri" w:cs="Calibri"/>
                <w:color w:val="000000"/>
                <w:szCs w:val="20"/>
              </w:rPr>
              <w:t>57,94</w:t>
            </w:r>
          </w:p>
        </w:tc>
        <w:tc>
          <w:tcPr>
            <w:tcW w:w="1170" w:type="dxa"/>
            <w:vAlign w:val="center"/>
          </w:tcPr>
          <w:p w14:paraId="0D3CCC66" w14:textId="77777777" w:rsidR="00D02751" w:rsidRPr="00575CD5" w:rsidRDefault="00D02751" w:rsidP="000878F6">
            <w:pPr>
              <w:pStyle w:val="Table"/>
              <w:jc w:val="center"/>
              <w:rPr>
                <w:szCs w:val="20"/>
              </w:rPr>
            </w:pPr>
            <w:r w:rsidRPr="00575CD5">
              <w:rPr>
                <w:rFonts w:ascii="Calibri" w:hAnsi="Calibri" w:cs="Calibri"/>
                <w:color w:val="000000"/>
                <w:szCs w:val="20"/>
              </w:rPr>
              <w:t>55,41</w:t>
            </w:r>
          </w:p>
        </w:tc>
        <w:tc>
          <w:tcPr>
            <w:tcW w:w="1312" w:type="dxa"/>
            <w:vAlign w:val="center"/>
          </w:tcPr>
          <w:p w14:paraId="707A280A" w14:textId="77777777" w:rsidR="00D02751" w:rsidRPr="00575CD5" w:rsidRDefault="00D02751" w:rsidP="000878F6">
            <w:pPr>
              <w:pStyle w:val="Table"/>
              <w:jc w:val="center"/>
              <w:rPr>
                <w:szCs w:val="20"/>
              </w:rPr>
            </w:pPr>
            <w:r w:rsidRPr="00575CD5">
              <w:rPr>
                <w:rFonts w:ascii="Calibri" w:hAnsi="Calibri" w:cs="Calibri"/>
                <w:color w:val="000000"/>
                <w:szCs w:val="20"/>
              </w:rPr>
              <w:t>38,26%</w:t>
            </w:r>
          </w:p>
        </w:tc>
        <w:tc>
          <w:tcPr>
            <w:tcW w:w="1275" w:type="dxa"/>
            <w:vAlign w:val="center"/>
          </w:tcPr>
          <w:p w14:paraId="195EF04F" w14:textId="77777777" w:rsidR="00D02751" w:rsidRPr="00575CD5" w:rsidRDefault="00D02751" w:rsidP="000878F6">
            <w:pPr>
              <w:pStyle w:val="Table"/>
              <w:jc w:val="center"/>
              <w:rPr>
                <w:szCs w:val="20"/>
              </w:rPr>
            </w:pPr>
            <w:r w:rsidRPr="00575CD5">
              <w:rPr>
                <w:rFonts w:ascii="Calibri" w:hAnsi="Calibri" w:cs="Calibri"/>
                <w:color w:val="000000"/>
                <w:szCs w:val="20"/>
              </w:rPr>
              <w:t>36,59%</w:t>
            </w:r>
          </w:p>
        </w:tc>
      </w:tr>
      <w:tr w:rsidR="00D02751" w:rsidRPr="00616B6B" w14:paraId="7AEEA0E3" w14:textId="77777777" w:rsidTr="00CD16F1">
        <w:tc>
          <w:tcPr>
            <w:tcW w:w="2160" w:type="dxa"/>
          </w:tcPr>
          <w:p w14:paraId="2E89B01A" w14:textId="77777777" w:rsidR="00D02751" w:rsidRPr="00616B6B" w:rsidRDefault="00D02751" w:rsidP="000878F6">
            <w:pPr>
              <w:pStyle w:val="Table"/>
            </w:pPr>
            <w:r w:rsidRPr="00616B6B">
              <w:t>Minerals &amp; Aggregates</w:t>
            </w:r>
          </w:p>
        </w:tc>
        <w:tc>
          <w:tcPr>
            <w:tcW w:w="1080" w:type="dxa"/>
            <w:vAlign w:val="center"/>
          </w:tcPr>
          <w:p w14:paraId="73359D00" w14:textId="77777777" w:rsidR="00D02751" w:rsidRPr="00575CD5" w:rsidRDefault="00D02751" w:rsidP="000878F6">
            <w:pPr>
              <w:pStyle w:val="Table"/>
              <w:jc w:val="center"/>
              <w:rPr>
                <w:szCs w:val="20"/>
              </w:rPr>
            </w:pPr>
            <w:r w:rsidRPr="00575CD5">
              <w:rPr>
                <w:rFonts w:ascii="Calibri" w:hAnsi="Calibri" w:cs="Calibri"/>
                <w:color w:val="000000"/>
                <w:szCs w:val="20"/>
              </w:rPr>
              <w:t>-16,67%</w:t>
            </w:r>
          </w:p>
        </w:tc>
        <w:tc>
          <w:tcPr>
            <w:tcW w:w="1080" w:type="dxa"/>
            <w:vAlign w:val="center"/>
          </w:tcPr>
          <w:p w14:paraId="6AD4F4BF" w14:textId="77777777" w:rsidR="00D02751" w:rsidRPr="00575CD5" w:rsidRDefault="00D02751" w:rsidP="000878F6">
            <w:pPr>
              <w:pStyle w:val="Table"/>
              <w:jc w:val="center"/>
              <w:rPr>
                <w:szCs w:val="20"/>
              </w:rPr>
            </w:pPr>
            <w:r w:rsidRPr="00575CD5">
              <w:rPr>
                <w:rFonts w:ascii="Calibri" w:hAnsi="Calibri" w:cs="Calibri"/>
                <w:color w:val="000000"/>
                <w:szCs w:val="20"/>
              </w:rPr>
              <w:t>-16,67%</w:t>
            </w:r>
          </w:p>
        </w:tc>
        <w:tc>
          <w:tcPr>
            <w:tcW w:w="990" w:type="dxa"/>
            <w:vAlign w:val="center"/>
          </w:tcPr>
          <w:p w14:paraId="06BE24DF" w14:textId="77777777" w:rsidR="00D02751" w:rsidRPr="00575CD5" w:rsidRDefault="00D02751" w:rsidP="000878F6">
            <w:pPr>
              <w:pStyle w:val="Table"/>
              <w:jc w:val="center"/>
              <w:rPr>
                <w:szCs w:val="20"/>
              </w:rPr>
            </w:pPr>
            <w:r w:rsidRPr="00575CD5">
              <w:rPr>
                <w:rFonts w:ascii="Calibri" w:hAnsi="Calibri" w:cs="Calibri"/>
                <w:color w:val="000000"/>
                <w:szCs w:val="20"/>
              </w:rPr>
              <w:t>125,51</w:t>
            </w:r>
          </w:p>
        </w:tc>
        <w:tc>
          <w:tcPr>
            <w:tcW w:w="1170" w:type="dxa"/>
            <w:vAlign w:val="center"/>
          </w:tcPr>
          <w:p w14:paraId="47993EA0" w14:textId="77777777" w:rsidR="00D02751" w:rsidRPr="00575CD5" w:rsidRDefault="00D02751" w:rsidP="000878F6">
            <w:pPr>
              <w:pStyle w:val="Table"/>
              <w:jc w:val="center"/>
              <w:rPr>
                <w:szCs w:val="20"/>
              </w:rPr>
            </w:pPr>
            <w:r w:rsidRPr="00575CD5">
              <w:rPr>
                <w:rFonts w:ascii="Calibri" w:hAnsi="Calibri" w:cs="Calibri"/>
                <w:color w:val="000000"/>
                <w:szCs w:val="20"/>
              </w:rPr>
              <w:t>151,23</w:t>
            </w:r>
          </w:p>
        </w:tc>
        <w:tc>
          <w:tcPr>
            <w:tcW w:w="1312" w:type="dxa"/>
            <w:vAlign w:val="center"/>
          </w:tcPr>
          <w:p w14:paraId="5D046221" w14:textId="77777777" w:rsidR="00D02751" w:rsidRPr="00575CD5" w:rsidRDefault="00D02751" w:rsidP="000878F6">
            <w:pPr>
              <w:pStyle w:val="Table"/>
              <w:jc w:val="center"/>
              <w:rPr>
                <w:szCs w:val="20"/>
              </w:rPr>
            </w:pPr>
            <w:r w:rsidRPr="00575CD5">
              <w:rPr>
                <w:rFonts w:ascii="Calibri" w:hAnsi="Calibri" w:cs="Calibri"/>
                <w:color w:val="000000"/>
                <w:szCs w:val="20"/>
              </w:rPr>
              <w:t>252,54%</w:t>
            </w:r>
          </w:p>
        </w:tc>
        <w:tc>
          <w:tcPr>
            <w:tcW w:w="1275" w:type="dxa"/>
            <w:vAlign w:val="center"/>
          </w:tcPr>
          <w:p w14:paraId="0C357C4F" w14:textId="77777777" w:rsidR="00D02751" w:rsidRPr="00575CD5" w:rsidRDefault="00D02751" w:rsidP="000878F6">
            <w:pPr>
              <w:pStyle w:val="Table"/>
              <w:jc w:val="center"/>
              <w:rPr>
                <w:szCs w:val="20"/>
              </w:rPr>
            </w:pPr>
            <w:r w:rsidRPr="00575CD5">
              <w:rPr>
                <w:rFonts w:ascii="Calibri" w:hAnsi="Calibri" w:cs="Calibri"/>
                <w:color w:val="000000"/>
                <w:szCs w:val="20"/>
              </w:rPr>
              <w:t>304,29%</w:t>
            </w:r>
          </w:p>
        </w:tc>
      </w:tr>
    </w:tbl>
    <w:p w14:paraId="2F9F1B87" w14:textId="77777777" w:rsidR="00D02751" w:rsidRDefault="00D02751" w:rsidP="00D02751">
      <w:pPr>
        <w:rPr>
          <w:b/>
          <w:bCs/>
        </w:rPr>
      </w:pPr>
    </w:p>
    <w:tbl>
      <w:tblPr>
        <w:tblStyle w:val="Lentelstinklelis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312"/>
        <w:gridCol w:w="1275"/>
      </w:tblGrid>
      <w:tr w:rsidR="00D02751" w:rsidRPr="00232C3E" w14:paraId="5CE3FF58" w14:textId="77777777" w:rsidTr="00CD16F1">
        <w:trPr>
          <w:trHeight w:val="255"/>
        </w:trPr>
        <w:tc>
          <w:tcPr>
            <w:tcW w:w="9067" w:type="dxa"/>
            <w:gridSpan w:val="7"/>
            <w:shd w:val="clear" w:color="auto" w:fill="003399"/>
          </w:tcPr>
          <w:p w14:paraId="05EFD5A6" w14:textId="4AEE7652" w:rsidR="00D02751" w:rsidRPr="00232C3E" w:rsidRDefault="00D02751" w:rsidP="000878F6">
            <w:pPr>
              <w:pStyle w:val="Table"/>
              <w:rPr>
                <w:b/>
                <w:color w:val="FFFFFF" w:themeColor="background1"/>
                <w:szCs w:val="20"/>
                <w:lang w:eastAsia="en-GB"/>
              </w:rPr>
            </w:pPr>
            <w:r w:rsidRPr="00232C3E">
              <w:rPr>
                <w:b/>
                <w:color w:val="FFFFFF" w:themeColor="background1"/>
                <w:szCs w:val="20"/>
              </w:rPr>
              <w:t xml:space="preserve">Table </w:t>
            </w:r>
            <w:r w:rsidR="00490085">
              <w:rPr>
                <w:b/>
                <w:bCs/>
                <w:color w:val="FFFFFF" w:themeColor="background1"/>
                <w:szCs w:val="20"/>
              </w:rPr>
              <w:t>A6</w:t>
            </w:r>
            <w:r w:rsidRPr="00232C3E">
              <w:rPr>
                <w:b/>
                <w:bCs/>
                <w:color w:val="FFFFFF" w:themeColor="background1"/>
                <w:szCs w:val="20"/>
              </w:rPr>
              <w:t>-</w:t>
            </w:r>
            <w:r w:rsidRPr="00232C3E">
              <w:rPr>
                <w:b/>
                <w:bCs/>
                <w:color w:val="FFFFFF" w:themeColor="background1"/>
                <w:szCs w:val="20"/>
              </w:rPr>
              <w:fldChar w:fldCharType="begin"/>
            </w:r>
            <w:r w:rsidRPr="00232C3E">
              <w:rPr>
                <w:b/>
                <w:bCs/>
                <w:color w:val="FFFFFF" w:themeColor="background1"/>
                <w:szCs w:val="20"/>
              </w:rPr>
              <w:instrText xml:space="preserve"> SEQ Table_A5- \* ARABIC </w:instrText>
            </w:r>
            <w:r w:rsidRPr="00232C3E">
              <w:rPr>
                <w:b/>
                <w:bCs/>
                <w:color w:val="FFFFFF" w:themeColor="background1"/>
                <w:szCs w:val="20"/>
              </w:rPr>
              <w:fldChar w:fldCharType="separate"/>
            </w:r>
            <w:r>
              <w:rPr>
                <w:b/>
                <w:bCs/>
                <w:noProof/>
                <w:color w:val="FFFFFF" w:themeColor="background1"/>
                <w:szCs w:val="20"/>
              </w:rPr>
              <w:t>88</w:t>
            </w:r>
            <w:r w:rsidRPr="00232C3E">
              <w:rPr>
                <w:b/>
                <w:bCs/>
                <w:color w:val="FFFFFF" w:themeColor="background1"/>
                <w:szCs w:val="20"/>
              </w:rPr>
              <w:fldChar w:fldCharType="end"/>
            </w:r>
            <w:r w:rsidRPr="00232C3E">
              <w:rPr>
                <w:b/>
                <w:bCs/>
                <w:color w:val="FFFFFF" w:themeColor="background1"/>
                <w:szCs w:val="20"/>
                <w:lang w:eastAsia="en-GB"/>
              </w:rPr>
              <w:t>:</w:t>
            </w:r>
            <w:r w:rsidRPr="00232C3E">
              <w:rPr>
                <w:b/>
                <w:color w:val="FFFFFF" w:themeColor="background1"/>
                <w:szCs w:val="20"/>
                <w:lang w:eastAsia="en-GB"/>
              </w:rPr>
              <w:t xml:space="preserve"> Environmental Impacts and Revenue Changes in Lithuania – Scenario B</w:t>
            </w:r>
          </w:p>
        </w:tc>
      </w:tr>
      <w:tr w:rsidR="00D02751" w:rsidRPr="00232C3E" w14:paraId="4C6B4BF8" w14:textId="77777777" w:rsidTr="00CD16F1">
        <w:tc>
          <w:tcPr>
            <w:tcW w:w="2160" w:type="dxa"/>
          </w:tcPr>
          <w:p w14:paraId="31C7BC18" w14:textId="77777777" w:rsidR="00D02751" w:rsidRPr="00232C3E" w:rsidRDefault="00D02751" w:rsidP="000878F6">
            <w:pPr>
              <w:pStyle w:val="Table"/>
              <w:rPr>
                <w:b/>
                <w:szCs w:val="20"/>
              </w:rPr>
            </w:pPr>
            <w:r w:rsidRPr="00232C3E">
              <w:rPr>
                <w:b/>
                <w:szCs w:val="20"/>
              </w:rPr>
              <w:t>Tax Name</w:t>
            </w:r>
          </w:p>
        </w:tc>
        <w:tc>
          <w:tcPr>
            <w:tcW w:w="2160" w:type="dxa"/>
            <w:gridSpan w:val="2"/>
            <w:vAlign w:val="bottom"/>
          </w:tcPr>
          <w:p w14:paraId="5687B87D" w14:textId="77777777" w:rsidR="00D02751" w:rsidRPr="00232C3E" w:rsidRDefault="00D02751" w:rsidP="000878F6">
            <w:pPr>
              <w:pStyle w:val="Table"/>
              <w:jc w:val="center"/>
              <w:rPr>
                <w:b/>
                <w:szCs w:val="20"/>
              </w:rPr>
            </w:pPr>
            <w:r w:rsidRPr="00232C3E">
              <w:rPr>
                <w:rFonts w:ascii="Calibri" w:hAnsi="Calibri" w:cs="Calibri"/>
                <w:b/>
                <w:bCs/>
                <w:color w:val="000000"/>
                <w:szCs w:val="20"/>
              </w:rPr>
              <w:t>% Change in Quantities as % of taxed sector</w:t>
            </w:r>
          </w:p>
        </w:tc>
        <w:tc>
          <w:tcPr>
            <w:tcW w:w="2160" w:type="dxa"/>
            <w:gridSpan w:val="2"/>
            <w:vAlign w:val="bottom"/>
          </w:tcPr>
          <w:p w14:paraId="2FBD7019" w14:textId="77777777" w:rsidR="00D02751" w:rsidRPr="00232C3E" w:rsidRDefault="00D02751" w:rsidP="000878F6">
            <w:pPr>
              <w:pStyle w:val="Table"/>
              <w:jc w:val="center"/>
              <w:rPr>
                <w:b/>
                <w:szCs w:val="20"/>
              </w:rPr>
            </w:pPr>
            <w:r w:rsidRPr="00232C3E">
              <w:rPr>
                <w:rFonts w:ascii="Calibri" w:hAnsi="Calibri" w:cs="Calibri"/>
                <w:b/>
                <w:bCs/>
                <w:color w:val="000000"/>
                <w:szCs w:val="20"/>
              </w:rPr>
              <w:t>Change in Revenues (€Mn)</w:t>
            </w:r>
          </w:p>
        </w:tc>
        <w:tc>
          <w:tcPr>
            <w:tcW w:w="2587" w:type="dxa"/>
            <w:gridSpan w:val="2"/>
            <w:vAlign w:val="bottom"/>
          </w:tcPr>
          <w:p w14:paraId="11823D03" w14:textId="77777777" w:rsidR="00D02751" w:rsidRPr="00232C3E" w:rsidRDefault="00D02751" w:rsidP="000878F6">
            <w:pPr>
              <w:pStyle w:val="Table"/>
              <w:jc w:val="center"/>
              <w:rPr>
                <w:b/>
                <w:szCs w:val="20"/>
              </w:rPr>
            </w:pPr>
            <w:r w:rsidRPr="00232C3E">
              <w:rPr>
                <w:rFonts w:ascii="Calibri" w:hAnsi="Calibri" w:cs="Calibri"/>
                <w:b/>
                <w:bCs/>
                <w:color w:val="000000"/>
                <w:szCs w:val="20"/>
              </w:rPr>
              <w:t>As % of 2023 Resource Tax</w:t>
            </w:r>
          </w:p>
        </w:tc>
      </w:tr>
      <w:tr w:rsidR="00D02751" w:rsidRPr="00232C3E" w14:paraId="32F46086" w14:textId="77777777" w:rsidTr="00CD16F1">
        <w:tc>
          <w:tcPr>
            <w:tcW w:w="2160" w:type="dxa"/>
          </w:tcPr>
          <w:p w14:paraId="4B4E458E" w14:textId="77777777" w:rsidR="00D02751" w:rsidRPr="00232C3E" w:rsidRDefault="00D02751" w:rsidP="000878F6">
            <w:pPr>
              <w:pStyle w:val="Table"/>
              <w:jc w:val="left"/>
              <w:rPr>
                <w:b/>
                <w:szCs w:val="20"/>
              </w:rPr>
            </w:pPr>
            <w:r w:rsidRPr="00232C3E">
              <w:rPr>
                <w:b/>
                <w:szCs w:val="20"/>
              </w:rPr>
              <w:t>Year</w:t>
            </w:r>
          </w:p>
        </w:tc>
        <w:tc>
          <w:tcPr>
            <w:tcW w:w="1080" w:type="dxa"/>
          </w:tcPr>
          <w:p w14:paraId="14CF37F9" w14:textId="77777777" w:rsidR="00D02751" w:rsidRPr="00232C3E" w:rsidRDefault="00D02751" w:rsidP="000878F6">
            <w:pPr>
              <w:pStyle w:val="Table"/>
              <w:jc w:val="center"/>
              <w:rPr>
                <w:b/>
                <w:szCs w:val="20"/>
              </w:rPr>
            </w:pPr>
            <w:r w:rsidRPr="00232C3E">
              <w:rPr>
                <w:b/>
                <w:szCs w:val="20"/>
              </w:rPr>
              <w:t>2030</w:t>
            </w:r>
          </w:p>
        </w:tc>
        <w:tc>
          <w:tcPr>
            <w:tcW w:w="1080" w:type="dxa"/>
          </w:tcPr>
          <w:p w14:paraId="6CA307B2" w14:textId="77777777" w:rsidR="00D02751" w:rsidRPr="00232C3E" w:rsidRDefault="00D02751" w:rsidP="000878F6">
            <w:pPr>
              <w:pStyle w:val="Table"/>
              <w:jc w:val="center"/>
              <w:rPr>
                <w:b/>
                <w:szCs w:val="20"/>
              </w:rPr>
            </w:pPr>
            <w:r w:rsidRPr="00232C3E">
              <w:rPr>
                <w:b/>
                <w:szCs w:val="20"/>
              </w:rPr>
              <w:t>2035</w:t>
            </w:r>
          </w:p>
        </w:tc>
        <w:tc>
          <w:tcPr>
            <w:tcW w:w="990" w:type="dxa"/>
          </w:tcPr>
          <w:p w14:paraId="456B395D" w14:textId="77777777" w:rsidR="00D02751" w:rsidRPr="00232C3E" w:rsidRDefault="00D02751" w:rsidP="000878F6">
            <w:pPr>
              <w:pStyle w:val="Table"/>
              <w:jc w:val="center"/>
              <w:rPr>
                <w:b/>
                <w:szCs w:val="20"/>
              </w:rPr>
            </w:pPr>
            <w:r w:rsidRPr="00232C3E">
              <w:rPr>
                <w:b/>
                <w:szCs w:val="20"/>
              </w:rPr>
              <w:t>2030</w:t>
            </w:r>
          </w:p>
        </w:tc>
        <w:tc>
          <w:tcPr>
            <w:tcW w:w="1170" w:type="dxa"/>
          </w:tcPr>
          <w:p w14:paraId="3D848ECF" w14:textId="77777777" w:rsidR="00D02751" w:rsidRPr="00232C3E" w:rsidRDefault="00D02751" w:rsidP="000878F6">
            <w:pPr>
              <w:pStyle w:val="Table"/>
              <w:jc w:val="center"/>
              <w:rPr>
                <w:b/>
                <w:szCs w:val="20"/>
              </w:rPr>
            </w:pPr>
            <w:r w:rsidRPr="00232C3E">
              <w:rPr>
                <w:b/>
                <w:szCs w:val="20"/>
              </w:rPr>
              <w:t>2035</w:t>
            </w:r>
          </w:p>
        </w:tc>
        <w:tc>
          <w:tcPr>
            <w:tcW w:w="1312" w:type="dxa"/>
          </w:tcPr>
          <w:p w14:paraId="216775DD" w14:textId="77777777" w:rsidR="00D02751" w:rsidRPr="00232C3E" w:rsidRDefault="00D02751" w:rsidP="000878F6">
            <w:pPr>
              <w:pStyle w:val="Table"/>
              <w:jc w:val="center"/>
              <w:rPr>
                <w:b/>
                <w:szCs w:val="20"/>
              </w:rPr>
            </w:pPr>
            <w:r w:rsidRPr="00232C3E">
              <w:rPr>
                <w:b/>
                <w:szCs w:val="20"/>
              </w:rPr>
              <w:t>2030</w:t>
            </w:r>
          </w:p>
        </w:tc>
        <w:tc>
          <w:tcPr>
            <w:tcW w:w="1275" w:type="dxa"/>
          </w:tcPr>
          <w:p w14:paraId="192170E2" w14:textId="77777777" w:rsidR="00D02751" w:rsidRPr="00232C3E" w:rsidRDefault="00D02751" w:rsidP="000878F6">
            <w:pPr>
              <w:pStyle w:val="Table"/>
              <w:jc w:val="center"/>
              <w:rPr>
                <w:b/>
                <w:szCs w:val="20"/>
              </w:rPr>
            </w:pPr>
            <w:r w:rsidRPr="00232C3E">
              <w:rPr>
                <w:b/>
                <w:szCs w:val="20"/>
              </w:rPr>
              <w:t>2035</w:t>
            </w:r>
          </w:p>
        </w:tc>
      </w:tr>
      <w:tr w:rsidR="00D02751" w:rsidRPr="00232C3E" w14:paraId="174F9D02" w14:textId="77777777" w:rsidTr="00CD16F1">
        <w:tc>
          <w:tcPr>
            <w:tcW w:w="2160" w:type="dxa"/>
          </w:tcPr>
          <w:p w14:paraId="6427C706" w14:textId="77777777" w:rsidR="00D02751" w:rsidRPr="00232C3E" w:rsidRDefault="00D02751" w:rsidP="000878F6">
            <w:pPr>
              <w:pStyle w:val="Table"/>
              <w:rPr>
                <w:szCs w:val="20"/>
              </w:rPr>
            </w:pPr>
            <w:r w:rsidRPr="00232C3E">
              <w:rPr>
                <w:szCs w:val="20"/>
              </w:rPr>
              <w:t>NOx</w:t>
            </w:r>
          </w:p>
        </w:tc>
        <w:tc>
          <w:tcPr>
            <w:tcW w:w="1080" w:type="dxa"/>
            <w:vAlign w:val="center"/>
          </w:tcPr>
          <w:p w14:paraId="650B22EB" w14:textId="77777777" w:rsidR="00D02751" w:rsidRPr="00232C3E" w:rsidRDefault="00D02751" w:rsidP="000878F6">
            <w:pPr>
              <w:pStyle w:val="Table"/>
              <w:jc w:val="center"/>
              <w:rPr>
                <w:szCs w:val="20"/>
              </w:rPr>
            </w:pPr>
            <w:r w:rsidRPr="00232C3E">
              <w:rPr>
                <w:rFonts w:ascii="Calibri" w:hAnsi="Calibri" w:cs="Calibri"/>
                <w:color w:val="000000"/>
                <w:szCs w:val="20"/>
              </w:rPr>
              <w:t>-7,39%</w:t>
            </w:r>
          </w:p>
        </w:tc>
        <w:tc>
          <w:tcPr>
            <w:tcW w:w="1080" w:type="dxa"/>
            <w:vAlign w:val="center"/>
          </w:tcPr>
          <w:p w14:paraId="7747873B" w14:textId="77777777" w:rsidR="00D02751" w:rsidRPr="00232C3E" w:rsidRDefault="00D02751" w:rsidP="000878F6">
            <w:pPr>
              <w:pStyle w:val="Table"/>
              <w:jc w:val="center"/>
              <w:rPr>
                <w:szCs w:val="20"/>
              </w:rPr>
            </w:pPr>
            <w:r w:rsidRPr="00232C3E">
              <w:rPr>
                <w:rFonts w:ascii="Calibri" w:hAnsi="Calibri" w:cs="Calibri"/>
                <w:color w:val="000000"/>
                <w:szCs w:val="20"/>
              </w:rPr>
              <w:t>-7,39%</w:t>
            </w:r>
          </w:p>
        </w:tc>
        <w:tc>
          <w:tcPr>
            <w:tcW w:w="990" w:type="dxa"/>
            <w:vAlign w:val="center"/>
          </w:tcPr>
          <w:p w14:paraId="0E1BD7ED" w14:textId="77777777" w:rsidR="00D02751" w:rsidRPr="00232C3E" w:rsidRDefault="00D02751" w:rsidP="000878F6">
            <w:pPr>
              <w:pStyle w:val="Table"/>
              <w:jc w:val="center"/>
              <w:rPr>
                <w:szCs w:val="20"/>
              </w:rPr>
            </w:pPr>
            <w:r w:rsidRPr="00232C3E">
              <w:rPr>
                <w:rFonts w:ascii="Calibri" w:hAnsi="Calibri" w:cs="Calibri"/>
                <w:color w:val="000000"/>
                <w:szCs w:val="20"/>
              </w:rPr>
              <w:t>0,06</w:t>
            </w:r>
          </w:p>
        </w:tc>
        <w:tc>
          <w:tcPr>
            <w:tcW w:w="1170" w:type="dxa"/>
            <w:vAlign w:val="center"/>
          </w:tcPr>
          <w:p w14:paraId="5D374B61" w14:textId="77777777" w:rsidR="00D02751" w:rsidRPr="00232C3E" w:rsidRDefault="00D02751" w:rsidP="000878F6">
            <w:pPr>
              <w:pStyle w:val="Table"/>
              <w:jc w:val="center"/>
              <w:rPr>
                <w:szCs w:val="20"/>
              </w:rPr>
            </w:pPr>
            <w:r w:rsidRPr="00232C3E">
              <w:rPr>
                <w:rFonts w:ascii="Calibri" w:hAnsi="Calibri" w:cs="Calibri"/>
                <w:color w:val="000000"/>
                <w:szCs w:val="20"/>
              </w:rPr>
              <w:t>0,04</w:t>
            </w:r>
          </w:p>
        </w:tc>
        <w:tc>
          <w:tcPr>
            <w:tcW w:w="1312" w:type="dxa"/>
            <w:vAlign w:val="center"/>
          </w:tcPr>
          <w:p w14:paraId="2D53AF7E" w14:textId="77777777" w:rsidR="00D02751" w:rsidRPr="00232C3E" w:rsidRDefault="00D02751" w:rsidP="000878F6">
            <w:pPr>
              <w:pStyle w:val="Table"/>
              <w:jc w:val="center"/>
              <w:rPr>
                <w:szCs w:val="20"/>
              </w:rPr>
            </w:pPr>
            <w:r w:rsidRPr="00232C3E">
              <w:rPr>
                <w:rFonts w:ascii="Calibri" w:hAnsi="Calibri" w:cs="Calibri"/>
                <w:color w:val="000000"/>
                <w:szCs w:val="20"/>
              </w:rPr>
              <w:t>0,0%</w:t>
            </w:r>
          </w:p>
        </w:tc>
        <w:tc>
          <w:tcPr>
            <w:tcW w:w="1275" w:type="dxa"/>
            <w:vAlign w:val="center"/>
          </w:tcPr>
          <w:p w14:paraId="7E8033C9" w14:textId="77777777" w:rsidR="00D02751" w:rsidRPr="00232C3E" w:rsidRDefault="00D02751" w:rsidP="000878F6">
            <w:pPr>
              <w:pStyle w:val="Table"/>
              <w:jc w:val="center"/>
              <w:rPr>
                <w:szCs w:val="20"/>
              </w:rPr>
            </w:pPr>
            <w:r w:rsidRPr="00232C3E">
              <w:rPr>
                <w:rFonts w:ascii="Calibri" w:hAnsi="Calibri" w:cs="Calibri"/>
                <w:color w:val="000000"/>
                <w:szCs w:val="20"/>
              </w:rPr>
              <w:t>0,0%</w:t>
            </w:r>
          </w:p>
        </w:tc>
      </w:tr>
      <w:tr w:rsidR="00D02751" w:rsidRPr="00232C3E" w14:paraId="4790FD24" w14:textId="77777777" w:rsidTr="00CD16F1">
        <w:tc>
          <w:tcPr>
            <w:tcW w:w="2160" w:type="dxa"/>
          </w:tcPr>
          <w:p w14:paraId="64471A49" w14:textId="77777777" w:rsidR="00D02751" w:rsidRPr="00232C3E" w:rsidRDefault="00D02751" w:rsidP="000878F6">
            <w:pPr>
              <w:pStyle w:val="Table"/>
              <w:rPr>
                <w:szCs w:val="20"/>
              </w:rPr>
            </w:pPr>
            <w:r w:rsidRPr="00232C3E">
              <w:rPr>
                <w:szCs w:val="20"/>
              </w:rPr>
              <w:t>SO2</w:t>
            </w:r>
          </w:p>
        </w:tc>
        <w:tc>
          <w:tcPr>
            <w:tcW w:w="1080" w:type="dxa"/>
            <w:vAlign w:val="center"/>
          </w:tcPr>
          <w:p w14:paraId="16C84414" w14:textId="77777777" w:rsidR="00D02751" w:rsidRPr="00232C3E" w:rsidRDefault="00D02751" w:rsidP="000878F6">
            <w:pPr>
              <w:pStyle w:val="Table"/>
              <w:jc w:val="center"/>
              <w:rPr>
                <w:szCs w:val="20"/>
              </w:rPr>
            </w:pPr>
            <w:r w:rsidRPr="00232C3E">
              <w:rPr>
                <w:rFonts w:ascii="Calibri" w:hAnsi="Calibri" w:cs="Calibri"/>
                <w:color w:val="000000"/>
                <w:szCs w:val="20"/>
              </w:rPr>
              <w:t>-8,11%</w:t>
            </w:r>
          </w:p>
        </w:tc>
        <w:tc>
          <w:tcPr>
            <w:tcW w:w="1080" w:type="dxa"/>
            <w:vAlign w:val="center"/>
          </w:tcPr>
          <w:p w14:paraId="1BE879C7" w14:textId="77777777" w:rsidR="00D02751" w:rsidRPr="00232C3E" w:rsidRDefault="00D02751" w:rsidP="000878F6">
            <w:pPr>
              <w:pStyle w:val="Table"/>
              <w:jc w:val="center"/>
              <w:rPr>
                <w:szCs w:val="20"/>
              </w:rPr>
            </w:pPr>
            <w:r w:rsidRPr="00232C3E">
              <w:rPr>
                <w:rFonts w:ascii="Calibri" w:hAnsi="Calibri" w:cs="Calibri"/>
                <w:color w:val="000000"/>
                <w:szCs w:val="20"/>
              </w:rPr>
              <w:t>-8,11%</w:t>
            </w:r>
          </w:p>
        </w:tc>
        <w:tc>
          <w:tcPr>
            <w:tcW w:w="990" w:type="dxa"/>
            <w:vAlign w:val="center"/>
          </w:tcPr>
          <w:p w14:paraId="409477D9" w14:textId="77777777" w:rsidR="00D02751" w:rsidRPr="00232C3E" w:rsidRDefault="00D02751" w:rsidP="000878F6">
            <w:pPr>
              <w:pStyle w:val="Table"/>
              <w:jc w:val="center"/>
              <w:rPr>
                <w:szCs w:val="20"/>
              </w:rPr>
            </w:pPr>
            <w:r w:rsidRPr="00232C3E">
              <w:rPr>
                <w:rFonts w:ascii="Calibri" w:hAnsi="Calibri" w:cs="Calibri"/>
                <w:color w:val="000000"/>
                <w:szCs w:val="20"/>
              </w:rPr>
              <w:t>2,14</w:t>
            </w:r>
          </w:p>
        </w:tc>
        <w:tc>
          <w:tcPr>
            <w:tcW w:w="1170" w:type="dxa"/>
            <w:vAlign w:val="center"/>
          </w:tcPr>
          <w:p w14:paraId="1AC68E49" w14:textId="77777777" w:rsidR="00D02751" w:rsidRPr="00232C3E" w:rsidRDefault="00D02751" w:rsidP="000878F6">
            <w:pPr>
              <w:pStyle w:val="Table"/>
              <w:jc w:val="center"/>
              <w:rPr>
                <w:szCs w:val="20"/>
              </w:rPr>
            </w:pPr>
            <w:r w:rsidRPr="00232C3E">
              <w:rPr>
                <w:rFonts w:ascii="Calibri" w:hAnsi="Calibri" w:cs="Calibri"/>
                <w:color w:val="000000"/>
                <w:szCs w:val="20"/>
              </w:rPr>
              <w:t>1,74</w:t>
            </w:r>
          </w:p>
        </w:tc>
        <w:tc>
          <w:tcPr>
            <w:tcW w:w="1312" w:type="dxa"/>
            <w:vAlign w:val="center"/>
          </w:tcPr>
          <w:p w14:paraId="4E4D40D0" w14:textId="77777777" w:rsidR="00D02751" w:rsidRPr="00232C3E" w:rsidRDefault="00D02751" w:rsidP="000878F6">
            <w:pPr>
              <w:pStyle w:val="Table"/>
              <w:jc w:val="center"/>
              <w:rPr>
                <w:szCs w:val="20"/>
              </w:rPr>
            </w:pPr>
            <w:r w:rsidRPr="00232C3E">
              <w:rPr>
                <w:rFonts w:ascii="Calibri" w:hAnsi="Calibri" w:cs="Calibri"/>
                <w:color w:val="000000"/>
                <w:szCs w:val="20"/>
              </w:rPr>
              <w:t>1,4%</w:t>
            </w:r>
          </w:p>
        </w:tc>
        <w:tc>
          <w:tcPr>
            <w:tcW w:w="1275" w:type="dxa"/>
            <w:vAlign w:val="center"/>
          </w:tcPr>
          <w:p w14:paraId="04BC518B" w14:textId="77777777" w:rsidR="00D02751" w:rsidRPr="00232C3E" w:rsidRDefault="00D02751" w:rsidP="000878F6">
            <w:pPr>
              <w:pStyle w:val="Table"/>
              <w:jc w:val="center"/>
              <w:rPr>
                <w:szCs w:val="20"/>
              </w:rPr>
            </w:pPr>
            <w:r w:rsidRPr="00232C3E">
              <w:rPr>
                <w:rFonts w:ascii="Calibri" w:hAnsi="Calibri" w:cs="Calibri"/>
                <w:color w:val="000000"/>
                <w:szCs w:val="20"/>
              </w:rPr>
              <w:t>1,1%</w:t>
            </w:r>
          </w:p>
        </w:tc>
      </w:tr>
      <w:tr w:rsidR="00D02751" w:rsidRPr="00232C3E" w14:paraId="7005C4FC" w14:textId="77777777" w:rsidTr="00CD16F1">
        <w:tc>
          <w:tcPr>
            <w:tcW w:w="2160" w:type="dxa"/>
          </w:tcPr>
          <w:p w14:paraId="204C1809" w14:textId="77777777" w:rsidR="00D02751" w:rsidRPr="00232C3E" w:rsidRDefault="00D02751" w:rsidP="000878F6">
            <w:pPr>
              <w:pStyle w:val="Table"/>
              <w:rPr>
                <w:szCs w:val="20"/>
              </w:rPr>
            </w:pPr>
            <w:r w:rsidRPr="00232C3E">
              <w:rPr>
                <w:szCs w:val="20"/>
              </w:rPr>
              <w:t>PM2.5</w:t>
            </w:r>
          </w:p>
        </w:tc>
        <w:tc>
          <w:tcPr>
            <w:tcW w:w="1080" w:type="dxa"/>
            <w:vAlign w:val="center"/>
          </w:tcPr>
          <w:p w14:paraId="2242CF76" w14:textId="77777777" w:rsidR="00D02751" w:rsidRPr="00232C3E" w:rsidRDefault="00D02751" w:rsidP="000878F6">
            <w:pPr>
              <w:pStyle w:val="Table"/>
              <w:jc w:val="center"/>
              <w:rPr>
                <w:szCs w:val="20"/>
              </w:rPr>
            </w:pPr>
            <w:r w:rsidRPr="00232C3E">
              <w:rPr>
                <w:rFonts w:ascii="Calibri" w:hAnsi="Calibri" w:cs="Calibri"/>
                <w:color w:val="000000"/>
                <w:szCs w:val="20"/>
              </w:rPr>
              <w:t>-7,39%</w:t>
            </w:r>
          </w:p>
        </w:tc>
        <w:tc>
          <w:tcPr>
            <w:tcW w:w="1080" w:type="dxa"/>
            <w:vAlign w:val="center"/>
          </w:tcPr>
          <w:p w14:paraId="781DB290" w14:textId="77777777" w:rsidR="00D02751" w:rsidRPr="00232C3E" w:rsidRDefault="00D02751" w:rsidP="000878F6">
            <w:pPr>
              <w:pStyle w:val="Table"/>
              <w:jc w:val="center"/>
              <w:rPr>
                <w:szCs w:val="20"/>
              </w:rPr>
            </w:pPr>
            <w:r w:rsidRPr="00232C3E">
              <w:rPr>
                <w:rFonts w:ascii="Calibri" w:hAnsi="Calibri" w:cs="Calibri"/>
                <w:color w:val="000000"/>
                <w:szCs w:val="20"/>
              </w:rPr>
              <w:t>-7,39%</w:t>
            </w:r>
          </w:p>
        </w:tc>
        <w:tc>
          <w:tcPr>
            <w:tcW w:w="990" w:type="dxa"/>
            <w:vAlign w:val="center"/>
          </w:tcPr>
          <w:p w14:paraId="26583035" w14:textId="77777777" w:rsidR="00D02751" w:rsidRPr="00232C3E" w:rsidRDefault="00D02751" w:rsidP="000878F6">
            <w:pPr>
              <w:pStyle w:val="Table"/>
              <w:jc w:val="center"/>
              <w:rPr>
                <w:szCs w:val="20"/>
              </w:rPr>
            </w:pPr>
            <w:r w:rsidRPr="00232C3E">
              <w:rPr>
                <w:rFonts w:ascii="Calibri" w:hAnsi="Calibri" w:cs="Calibri"/>
                <w:color w:val="000000"/>
                <w:szCs w:val="20"/>
              </w:rPr>
              <w:t>0,38</w:t>
            </w:r>
          </w:p>
        </w:tc>
        <w:tc>
          <w:tcPr>
            <w:tcW w:w="1170" w:type="dxa"/>
            <w:vAlign w:val="center"/>
          </w:tcPr>
          <w:p w14:paraId="203E1854" w14:textId="77777777" w:rsidR="00D02751" w:rsidRPr="00232C3E" w:rsidRDefault="00D02751" w:rsidP="000878F6">
            <w:pPr>
              <w:pStyle w:val="Table"/>
              <w:jc w:val="center"/>
              <w:rPr>
                <w:szCs w:val="20"/>
              </w:rPr>
            </w:pPr>
            <w:r w:rsidRPr="00232C3E">
              <w:rPr>
                <w:rFonts w:ascii="Calibri" w:hAnsi="Calibri" w:cs="Calibri"/>
                <w:color w:val="000000"/>
                <w:szCs w:val="20"/>
              </w:rPr>
              <w:t>0,36</w:t>
            </w:r>
          </w:p>
        </w:tc>
        <w:tc>
          <w:tcPr>
            <w:tcW w:w="1312" w:type="dxa"/>
            <w:vAlign w:val="center"/>
          </w:tcPr>
          <w:p w14:paraId="09381567" w14:textId="77777777" w:rsidR="00D02751" w:rsidRPr="00232C3E" w:rsidRDefault="00D02751" w:rsidP="000878F6">
            <w:pPr>
              <w:pStyle w:val="Table"/>
              <w:jc w:val="center"/>
              <w:rPr>
                <w:szCs w:val="20"/>
              </w:rPr>
            </w:pPr>
            <w:r w:rsidRPr="00232C3E">
              <w:rPr>
                <w:rFonts w:ascii="Calibri" w:hAnsi="Calibri" w:cs="Calibri"/>
                <w:color w:val="000000"/>
                <w:szCs w:val="20"/>
              </w:rPr>
              <w:t>0,2%</w:t>
            </w:r>
          </w:p>
        </w:tc>
        <w:tc>
          <w:tcPr>
            <w:tcW w:w="1275" w:type="dxa"/>
            <w:vAlign w:val="center"/>
          </w:tcPr>
          <w:p w14:paraId="4799BD73" w14:textId="77777777" w:rsidR="00D02751" w:rsidRPr="00232C3E" w:rsidRDefault="00D02751" w:rsidP="000878F6">
            <w:pPr>
              <w:pStyle w:val="Table"/>
              <w:jc w:val="center"/>
              <w:rPr>
                <w:szCs w:val="20"/>
              </w:rPr>
            </w:pPr>
            <w:r w:rsidRPr="00232C3E">
              <w:rPr>
                <w:rFonts w:ascii="Calibri" w:hAnsi="Calibri" w:cs="Calibri"/>
                <w:color w:val="000000"/>
                <w:szCs w:val="20"/>
              </w:rPr>
              <w:t>0,2%</w:t>
            </w:r>
          </w:p>
        </w:tc>
      </w:tr>
      <w:tr w:rsidR="00D02751" w:rsidRPr="00232C3E" w14:paraId="335802C3" w14:textId="77777777" w:rsidTr="00CD16F1">
        <w:tc>
          <w:tcPr>
            <w:tcW w:w="2160" w:type="dxa"/>
          </w:tcPr>
          <w:p w14:paraId="2862DA14" w14:textId="77777777" w:rsidR="00D02751" w:rsidRPr="00232C3E" w:rsidRDefault="00D02751" w:rsidP="000878F6">
            <w:pPr>
              <w:pStyle w:val="Table"/>
              <w:rPr>
                <w:szCs w:val="20"/>
              </w:rPr>
            </w:pPr>
            <w:r w:rsidRPr="00232C3E">
              <w:rPr>
                <w:szCs w:val="20"/>
              </w:rPr>
              <w:t>Water Abstraction</w:t>
            </w:r>
          </w:p>
        </w:tc>
        <w:tc>
          <w:tcPr>
            <w:tcW w:w="1080" w:type="dxa"/>
            <w:vAlign w:val="center"/>
          </w:tcPr>
          <w:p w14:paraId="735505B5" w14:textId="77777777" w:rsidR="00D02751" w:rsidRPr="00232C3E" w:rsidRDefault="00D02751" w:rsidP="000878F6">
            <w:pPr>
              <w:pStyle w:val="Table"/>
              <w:jc w:val="center"/>
              <w:rPr>
                <w:szCs w:val="20"/>
              </w:rPr>
            </w:pPr>
            <w:r w:rsidRPr="00232C3E">
              <w:rPr>
                <w:rFonts w:ascii="Calibri" w:hAnsi="Calibri" w:cs="Calibri"/>
                <w:color w:val="000000"/>
                <w:szCs w:val="20"/>
              </w:rPr>
              <w:t>-1,29%</w:t>
            </w:r>
          </w:p>
        </w:tc>
        <w:tc>
          <w:tcPr>
            <w:tcW w:w="1080" w:type="dxa"/>
            <w:vAlign w:val="center"/>
          </w:tcPr>
          <w:p w14:paraId="1FC8E5CB" w14:textId="77777777" w:rsidR="00D02751" w:rsidRPr="00232C3E" w:rsidRDefault="00D02751" w:rsidP="000878F6">
            <w:pPr>
              <w:pStyle w:val="Table"/>
              <w:jc w:val="center"/>
              <w:rPr>
                <w:szCs w:val="20"/>
              </w:rPr>
            </w:pPr>
            <w:r w:rsidRPr="00232C3E">
              <w:rPr>
                <w:rFonts w:ascii="Calibri" w:hAnsi="Calibri" w:cs="Calibri"/>
                <w:color w:val="000000"/>
                <w:szCs w:val="20"/>
              </w:rPr>
              <w:t>-1,29%</w:t>
            </w:r>
          </w:p>
        </w:tc>
        <w:tc>
          <w:tcPr>
            <w:tcW w:w="990" w:type="dxa"/>
            <w:vAlign w:val="center"/>
          </w:tcPr>
          <w:p w14:paraId="79246BF1" w14:textId="77777777" w:rsidR="00D02751" w:rsidRPr="00232C3E" w:rsidRDefault="00D02751" w:rsidP="000878F6">
            <w:pPr>
              <w:pStyle w:val="Table"/>
              <w:jc w:val="center"/>
              <w:rPr>
                <w:szCs w:val="20"/>
              </w:rPr>
            </w:pPr>
            <w:r w:rsidRPr="00232C3E">
              <w:rPr>
                <w:rFonts w:ascii="Calibri" w:hAnsi="Calibri" w:cs="Calibri"/>
                <w:color w:val="000000"/>
                <w:szCs w:val="20"/>
              </w:rPr>
              <w:t>1,25</w:t>
            </w:r>
          </w:p>
        </w:tc>
        <w:tc>
          <w:tcPr>
            <w:tcW w:w="1170" w:type="dxa"/>
            <w:vAlign w:val="center"/>
          </w:tcPr>
          <w:p w14:paraId="054DFC88" w14:textId="77777777" w:rsidR="00D02751" w:rsidRPr="00232C3E" w:rsidRDefault="00D02751" w:rsidP="000878F6">
            <w:pPr>
              <w:pStyle w:val="Table"/>
              <w:jc w:val="center"/>
              <w:rPr>
                <w:szCs w:val="20"/>
              </w:rPr>
            </w:pPr>
            <w:r w:rsidRPr="00232C3E">
              <w:rPr>
                <w:rFonts w:ascii="Calibri" w:hAnsi="Calibri" w:cs="Calibri"/>
                <w:color w:val="000000"/>
                <w:szCs w:val="20"/>
              </w:rPr>
              <w:t>1,01</w:t>
            </w:r>
          </w:p>
        </w:tc>
        <w:tc>
          <w:tcPr>
            <w:tcW w:w="1312" w:type="dxa"/>
            <w:vAlign w:val="center"/>
          </w:tcPr>
          <w:p w14:paraId="1BDDAA2D" w14:textId="77777777" w:rsidR="00D02751" w:rsidRPr="00232C3E" w:rsidRDefault="00D02751" w:rsidP="000878F6">
            <w:pPr>
              <w:pStyle w:val="Table"/>
              <w:jc w:val="center"/>
              <w:rPr>
                <w:szCs w:val="20"/>
              </w:rPr>
            </w:pPr>
            <w:r w:rsidRPr="00232C3E">
              <w:rPr>
                <w:rFonts w:ascii="Calibri" w:hAnsi="Calibri" w:cs="Calibri"/>
                <w:color w:val="000000"/>
                <w:szCs w:val="20"/>
              </w:rPr>
              <w:t>2,5%</w:t>
            </w:r>
          </w:p>
        </w:tc>
        <w:tc>
          <w:tcPr>
            <w:tcW w:w="1275" w:type="dxa"/>
            <w:vAlign w:val="center"/>
          </w:tcPr>
          <w:p w14:paraId="21D63FBD" w14:textId="77777777" w:rsidR="00D02751" w:rsidRPr="00232C3E" w:rsidRDefault="00D02751" w:rsidP="000878F6">
            <w:pPr>
              <w:pStyle w:val="Table"/>
              <w:jc w:val="center"/>
              <w:rPr>
                <w:szCs w:val="20"/>
              </w:rPr>
            </w:pPr>
            <w:r w:rsidRPr="00232C3E">
              <w:rPr>
                <w:rFonts w:ascii="Calibri" w:hAnsi="Calibri" w:cs="Calibri"/>
                <w:color w:val="000000"/>
                <w:szCs w:val="20"/>
              </w:rPr>
              <w:t>2,0%</w:t>
            </w:r>
          </w:p>
        </w:tc>
      </w:tr>
      <w:tr w:rsidR="00D02751" w:rsidRPr="00232C3E" w14:paraId="3B4FEA4B" w14:textId="77777777" w:rsidTr="00CD16F1">
        <w:tc>
          <w:tcPr>
            <w:tcW w:w="2160" w:type="dxa"/>
          </w:tcPr>
          <w:p w14:paraId="526EC928" w14:textId="77777777" w:rsidR="00D02751" w:rsidRPr="00232C3E" w:rsidRDefault="00D02751" w:rsidP="000878F6">
            <w:pPr>
              <w:pStyle w:val="Table"/>
              <w:rPr>
                <w:szCs w:val="20"/>
              </w:rPr>
            </w:pPr>
            <w:r w:rsidRPr="00232C3E">
              <w:rPr>
                <w:szCs w:val="20"/>
              </w:rPr>
              <w:t>Fertilizers</w:t>
            </w:r>
          </w:p>
        </w:tc>
        <w:tc>
          <w:tcPr>
            <w:tcW w:w="1080" w:type="dxa"/>
            <w:vAlign w:val="center"/>
          </w:tcPr>
          <w:p w14:paraId="7F27E6F5" w14:textId="77777777" w:rsidR="00D02751" w:rsidRPr="00232C3E" w:rsidRDefault="00D02751" w:rsidP="000878F6">
            <w:pPr>
              <w:pStyle w:val="Table"/>
              <w:jc w:val="center"/>
              <w:rPr>
                <w:szCs w:val="20"/>
              </w:rPr>
            </w:pPr>
            <w:r w:rsidRPr="00232C3E">
              <w:rPr>
                <w:rFonts w:ascii="Calibri" w:hAnsi="Calibri" w:cs="Calibri"/>
                <w:color w:val="000000"/>
                <w:szCs w:val="20"/>
              </w:rPr>
              <w:t>-3,00%</w:t>
            </w:r>
          </w:p>
        </w:tc>
        <w:tc>
          <w:tcPr>
            <w:tcW w:w="1080" w:type="dxa"/>
            <w:vAlign w:val="center"/>
          </w:tcPr>
          <w:p w14:paraId="38D446A1" w14:textId="77777777" w:rsidR="00D02751" w:rsidRPr="00232C3E" w:rsidRDefault="00D02751" w:rsidP="000878F6">
            <w:pPr>
              <w:pStyle w:val="Table"/>
              <w:jc w:val="center"/>
              <w:rPr>
                <w:szCs w:val="20"/>
              </w:rPr>
            </w:pPr>
            <w:r w:rsidRPr="00232C3E">
              <w:rPr>
                <w:rFonts w:ascii="Calibri" w:hAnsi="Calibri" w:cs="Calibri"/>
                <w:color w:val="000000"/>
                <w:szCs w:val="20"/>
              </w:rPr>
              <w:t>-3,00%</w:t>
            </w:r>
          </w:p>
        </w:tc>
        <w:tc>
          <w:tcPr>
            <w:tcW w:w="990" w:type="dxa"/>
            <w:vAlign w:val="center"/>
          </w:tcPr>
          <w:p w14:paraId="42A67178" w14:textId="77777777" w:rsidR="00D02751" w:rsidRPr="00232C3E" w:rsidRDefault="00D02751" w:rsidP="000878F6">
            <w:pPr>
              <w:pStyle w:val="Table"/>
              <w:jc w:val="center"/>
              <w:rPr>
                <w:szCs w:val="20"/>
              </w:rPr>
            </w:pPr>
            <w:r w:rsidRPr="00232C3E">
              <w:rPr>
                <w:rFonts w:ascii="Calibri" w:hAnsi="Calibri" w:cs="Calibri"/>
                <w:color w:val="000000"/>
                <w:szCs w:val="20"/>
              </w:rPr>
              <w:t>1,46</w:t>
            </w:r>
          </w:p>
        </w:tc>
        <w:tc>
          <w:tcPr>
            <w:tcW w:w="1170" w:type="dxa"/>
            <w:vAlign w:val="center"/>
          </w:tcPr>
          <w:p w14:paraId="065BE06A" w14:textId="77777777" w:rsidR="00D02751" w:rsidRPr="00232C3E" w:rsidRDefault="00D02751" w:rsidP="000878F6">
            <w:pPr>
              <w:pStyle w:val="Table"/>
              <w:jc w:val="center"/>
              <w:rPr>
                <w:szCs w:val="20"/>
              </w:rPr>
            </w:pPr>
            <w:r w:rsidRPr="00232C3E">
              <w:rPr>
                <w:rFonts w:ascii="Calibri" w:hAnsi="Calibri" w:cs="Calibri"/>
                <w:color w:val="000000"/>
                <w:szCs w:val="20"/>
              </w:rPr>
              <w:t>1,43</w:t>
            </w:r>
          </w:p>
        </w:tc>
        <w:tc>
          <w:tcPr>
            <w:tcW w:w="1312" w:type="dxa"/>
            <w:vAlign w:val="center"/>
          </w:tcPr>
          <w:p w14:paraId="0DBCF17E" w14:textId="77777777" w:rsidR="00D02751" w:rsidRPr="00232C3E" w:rsidRDefault="00D02751" w:rsidP="000878F6">
            <w:pPr>
              <w:pStyle w:val="Table"/>
              <w:jc w:val="center"/>
              <w:rPr>
                <w:szCs w:val="20"/>
              </w:rPr>
            </w:pPr>
            <w:r w:rsidRPr="00232C3E">
              <w:rPr>
                <w:rFonts w:ascii="Calibri" w:hAnsi="Calibri" w:cs="Calibri"/>
                <w:color w:val="000000"/>
                <w:szCs w:val="20"/>
              </w:rPr>
              <w:t>1,0%</w:t>
            </w:r>
          </w:p>
        </w:tc>
        <w:tc>
          <w:tcPr>
            <w:tcW w:w="1275" w:type="dxa"/>
            <w:vAlign w:val="center"/>
          </w:tcPr>
          <w:p w14:paraId="24891DFB" w14:textId="77777777" w:rsidR="00D02751" w:rsidRPr="00232C3E" w:rsidRDefault="00D02751" w:rsidP="000878F6">
            <w:pPr>
              <w:pStyle w:val="Table"/>
              <w:jc w:val="center"/>
              <w:rPr>
                <w:szCs w:val="20"/>
              </w:rPr>
            </w:pPr>
            <w:r w:rsidRPr="00232C3E">
              <w:rPr>
                <w:rFonts w:ascii="Calibri" w:hAnsi="Calibri" w:cs="Calibri"/>
                <w:color w:val="000000"/>
                <w:szCs w:val="20"/>
              </w:rPr>
              <w:t>0,9%</w:t>
            </w:r>
          </w:p>
        </w:tc>
      </w:tr>
      <w:tr w:rsidR="00D02751" w:rsidRPr="00232C3E" w14:paraId="5E3986D3" w14:textId="77777777" w:rsidTr="00CD16F1">
        <w:tc>
          <w:tcPr>
            <w:tcW w:w="2160" w:type="dxa"/>
          </w:tcPr>
          <w:p w14:paraId="03DC1D5C" w14:textId="77777777" w:rsidR="00D02751" w:rsidRPr="00232C3E" w:rsidRDefault="00D02751" w:rsidP="000878F6">
            <w:pPr>
              <w:pStyle w:val="Table"/>
              <w:rPr>
                <w:szCs w:val="20"/>
              </w:rPr>
            </w:pPr>
            <w:r w:rsidRPr="00232C3E">
              <w:rPr>
                <w:szCs w:val="20"/>
              </w:rPr>
              <w:t>Pesticides</w:t>
            </w:r>
          </w:p>
        </w:tc>
        <w:tc>
          <w:tcPr>
            <w:tcW w:w="1080" w:type="dxa"/>
            <w:vAlign w:val="center"/>
          </w:tcPr>
          <w:p w14:paraId="2E5F0B4B" w14:textId="77777777" w:rsidR="00D02751" w:rsidRPr="00232C3E" w:rsidRDefault="00D02751" w:rsidP="000878F6">
            <w:pPr>
              <w:pStyle w:val="Table"/>
              <w:jc w:val="center"/>
              <w:rPr>
                <w:szCs w:val="20"/>
              </w:rPr>
            </w:pPr>
            <w:r w:rsidRPr="00232C3E">
              <w:rPr>
                <w:rFonts w:ascii="Calibri" w:hAnsi="Calibri" w:cs="Calibri"/>
                <w:color w:val="000000"/>
                <w:szCs w:val="20"/>
              </w:rPr>
              <w:t>n/a</w:t>
            </w:r>
          </w:p>
        </w:tc>
        <w:tc>
          <w:tcPr>
            <w:tcW w:w="1080" w:type="dxa"/>
            <w:vAlign w:val="center"/>
          </w:tcPr>
          <w:p w14:paraId="0F4110EB" w14:textId="77777777" w:rsidR="00D02751" w:rsidRPr="00232C3E" w:rsidRDefault="00D02751" w:rsidP="000878F6">
            <w:pPr>
              <w:pStyle w:val="Table"/>
              <w:jc w:val="center"/>
              <w:rPr>
                <w:szCs w:val="20"/>
              </w:rPr>
            </w:pPr>
            <w:r w:rsidRPr="00232C3E">
              <w:rPr>
                <w:rFonts w:ascii="Calibri" w:hAnsi="Calibri" w:cs="Calibri"/>
                <w:color w:val="000000"/>
                <w:szCs w:val="20"/>
              </w:rPr>
              <w:t>n/a</w:t>
            </w:r>
          </w:p>
        </w:tc>
        <w:tc>
          <w:tcPr>
            <w:tcW w:w="990" w:type="dxa"/>
            <w:vAlign w:val="center"/>
          </w:tcPr>
          <w:p w14:paraId="4E32C496" w14:textId="77777777" w:rsidR="00D02751" w:rsidRPr="00232C3E" w:rsidRDefault="00D02751" w:rsidP="000878F6">
            <w:pPr>
              <w:pStyle w:val="Table"/>
              <w:jc w:val="center"/>
              <w:rPr>
                <w:szCs w:val="20"/>
              </w:rPr>
            </w:pPr>
            <w:r w:rsidRPr="00232C3E">
              <w:rPr>
                <w:rFonts w:ascii="Calibri" w:hAnsi="Calibri" w:cs="Calibri"/>
                <w:color w:val="000000"/>
                <w:szCs w:val="20"/>
              </w:rPr>
              <w:t>5,62</w:t>
            </w:r>
          </w:p>
        </w:tc>
        <w:tc>
          <w:tcPr>
            <w:tcW w:w="1170" w:type="dxa"/>
            <w:vAlign w:val="center"/>
          </w:tcPr>
          <w:p w14:paraId="0CAC97B2" w14:textId="77777777" w:rsidR="00D02751" w:rsidRPr="00232C3E" w:rsidRDefault="00D02751" w:rsidP="000878F6">
            <w:pPr>
              <w:pStyle w:val="Table"/>
              <w:jc w:val="center"/>
              <w:rPr>
                <w:szCs w:val="20"/>
              </w:rPr>
            </w:pPr>
            <w:r w:rsidRPr="00232C3E">
              <w:rPr>
                <w:rFonts w:ascii="Calibri" w:hAnsi="Calibri" w:cs="Calibri"/>
                <w:color w:val="000000"/>
                <w:szCs w:val="20"/>
              </w:rPr>
              <w:t>5,64</w:t>
            </w:r>
          </w:p>
        </w:tc>
        <w:tc>
          <w:tcPr>
            <w:tcW w:w="1312" w:type="dxa"/>
            <w:vAlign w:val="center"/>
          </w:tcPr>
          <w:p w14:paraId="54443C0A" w14:textId="77777777" w:rsidR="00D02751" w:rsidRPr="00232C3E" w:rsidRDefault="00D02751" w:rsidP="000878F6">
            <w:pPr>
              <w:pStyle w:val="Table"/>
              <w:jc w:val="center"/>
              <w:rPr>
                <w:szCs w:val="20"/>
              </w:rPr>
            </w:pPr>
            <w:r w:rsidRPr="00232C3E">
              <w:rPr>
                <w:rFonts w:ascii="Calibri" w:hAnsi="Calibri" w:cs="Calibri"/>
                <w:color w:val="000000"/>
                <w:szCs w:val="20"/>
              </w:rPr>
              <w:t>3,7%</w:t>
            </w:r>
          </w:p>
        </w:tc>
        <w:tc>
          <w:tcPr>
            <w:tcW w:w="1275" w:type="dxa"/>
            <w:vAlign w:val="center"/>
          </w:tcPr>
          <w:p w14:paraId="58C02432" w14:textId="77777777" w:rsidR="00D02751" w:rsidRPr="00232C3E" w:rsidRDefault="00D02751" w:rsidP="000878F6">
            <w:pPr>
              <w:pStyle w:val="Table"/>
              <w:jc w:val="center"/>
              <w:rPr>
                <w:szCs w:val="20"/>
              </w:rPr>
            </w:pPr>
            <w:r w:rsidRPr="00232C3E">
              <w:rPr>
                <w:rFonts w:ascii="Calibri" w:hAnsi="Calibri" w:cs="Calibri"/>
                <w:color w:val="000000"/>
                <w:szCs w:val="20"/>
              </w:rPr>
              <w:t>3,7%</w:t>
            </w:r>
          </w:p>
        </w:tc>
      </w:tr>
      <w:tr w:rsidR="00D02751" w:rsidRPr="00232C3E" w14:paraId="608AE4AD" w14:textId="77777777" w:rsidTr="00CD16F1">
        <w:tc>
          <w:tcPr>
            <w:tcW w:w="2160" w:type="dxa"/>
          </w:tcPr>
          <w:p w14:paraId="5FF645BC" w14:textId="77777777" w:rsidR="00D02751" w:rsidRPr="00232C3E" w:rsidRDefault="00D02751" w:rsidP="000878F6">
            <w:pPr>
              <w:pStyle w:val="Table"/>
              <w:rPr>
                <w:szCs w:val="20"/>
              </w:rPr>
            </w:pPr>
            <w:r w:rsidRPr="00232C3E">
              <w:rPr>
                <w:szCs w:val="20"/>
              </w:rPr>
              <w:t>Waste Incineration</w:t>
            </w:r>
          </w:p>
        </w:tc>
        <w:tc>
          <w:tcPr>
            <w:tcW w:w="1080" w:type="dxa"/>
            <w:vAlign w:val="center"/>
          </w:tcPr>
          <w:p w14:paraId="05DE2B85" w14:textId="77777777" w:rsidR="00D02751" w:rsidRPr="00232C3E" w:rsidRDefault="00D02751" w:rsidP="000878F6">
            <w:pPr>
              <w:pStyle w:val="Table"/>
              <w:jc w:val="center"/>
              <w:rPr>
                <w:szCs w:val="20"/>
              </w:rPr>
            </w:pPr>
            <w:r w:rsidRPr="00232C3E">
              <w:rPr>
                <w:rFonts w:ascii="Calibri" w:hAnsi="Calibri" w:cs="Calibri"/>
                <w:color w:val="000000"/>
                <w:szCs w:val="20"/>
              </w:rPr>
              <w:t>-8,31%</w:t>
            </w:r>
          </w:p>
        </w:tc>
        <w:tc>
          <w:tcPr>
            <w:tcW w:w="1080" w:type="dxa"/>
            <w:vAlign w:val="center"/>
          </w:tcPr>
          <w:p w14:paraId="37384836" w14:textId="77777777" w:rsidR="00D02751" w:rsidRPr="00232C3E" w:rsidRDefault="00D02751" w:rsidP="000878F6">
            <w:pPr>
              <w:pStyle w:val="Table"/>
              <w:jc w:val="center"/>
              <w:rPr>
                <w:szCs w:val="20"/>
              </w:rPr>
            </w:pPr>
            <w:r w:rsidRPr="00232C3E">
              <w:rPr>
                <w:rFonts w:ascii="Calibri" w:hAnsi="Calibri" w:cs="Calibri"/>
                <w:color w:val="000000"/>
                <w:szCs w:val="20"/>
              </w:rPr>
              <w:t>-8,31%</w:t>
            </w:r>
          </w:p>
        </w:tc>
        <w:tc>
          <w:tcPr>
            <w:tcW w:w="990" w:type="dxa"/>
            <w:vAlign w:val="center"/>
          </w:tcPr>
          <w:p w14:paraId="0537109E" w14:textId="77777777" w:rsidR="00D02751" w:rsidRPr="00232C3E" w:rsidRDefault="00D02751" w:rsidP="000878F6">
            <w:pPr>
              <w:pStyle w:val="Table"/>
              <w:jc w:val="center"/>
              <w:rPr>
                <w:szCs w:val="20"/>
              </w:rPr>
            </w:pPr>
            <w:r w:rsidRPr="00232C3E">
              <w:rPr>
                <w:rFonts w:ascii="Calibri" w:hAnsi="Calibri" w:cs="Calibri"/>
                <w:color w:val="000000"/>
                <w:szCs w:val="20"/>
              </w:rPr>
              <w:t>0,01</w:t>
            </w:r>
          </w:p>
        </w:tc>
        <w:tc>
          <w:tcPr>
            <w:tcW w:w="1170" w:type="dxa"/>
            <w:vAlign w:val="center"/>
          </w:tcPr>
          <w:p w14:paraId="2C853E70" w14:textId="77777777" w:rsidR="00D02751" w:rsidRPr="00232C3E" w:rsidRDefault="00D02751" w:rsidP="000878F6">
            <w:pPr>
              <w:pStyle w:val="Table"/>
              <w:jc w:val="center"/>
              <w:rPr>
                <w:szCs w:val="20"/>
              </w:rPr>
            </w:pPr>
            <w:r w:rsidRPr="00232C3E">
              <w:rPr>
                <w:rFonts w:ascii="Calibri" w:hAnsi="Calibri" w:cs="Calibri"/>
                <w:color w:val="000000"/>
                <w:szCs w:val="20"/>
              </w:rPr>
              <w:t>0,00</w:t>
            </w:r>
          </w:p>
        </w:tc>
        <w:tc>
          <w:tcPr>
            <w:tcW w:w="1312" w:type="dxa"/>
            <w:vAlign w:val="center"/>
          </w:tcPr>
          <w:p w14:paraId="0EB91BA4" w14:textId="77777777" w:rsidR="00D02751" w:rsidRPr="00232C3E" w:rsidRDefault="00D02751" w:rsidP="000878F6">
            <w:pPr>
              <w:pStyle w:val="Table"/>
              <w:jc w:val="center"/>
              <w:rPr>
                <w:szCs w:val="20"/>
              </w:rPr>
            </w:pPr>
            <w:r w:rsidRPr="00232C3E">
              <w:rPr>
                <w:rFonts w:ascii="Calibri" w:hAnsi="Calibri" w:cs="Calibri"/>
                <w:color w:val="000000"/>
                <w:szCs w:val="20"/>
              </w:rPr>
              <w:t>0,0%</w:t>
            </w:r>
          </w:p>
        </w:tc>
        <w:tc>
          <w:tcPr>
            <w:tcW w:w="1275" w:type="dxa"/>
            <w:vAlign w:val="center"/>
          </w:tcPr>
          <w:p w14:paraId="6E662AF5" w14:textId="77777777" w:rsidR="00D02751" w:rsidRPr="00232C3E" w:rsidRDefault="00D02751" w:rsidP="000878F6">
            <w:pPr>
              <w:pStyle w:val="Table"/>
              <w:jc w:val="center"/>
              <w:rPr>
                <w:szCs w:val="20"/>
              </w:rPr>
            </w:pPr>
            <w:r w:rsidRPr="00232C3E">
              <w:rPr>
                <w:rFonts w:ascii="Calibri" w:hAnsi="Calibri" w:cs="Calibri"/>
                <w:color w:val="000000"/>
                <w:szCs w:val="20"/>
              </w:rPr>
              <w:t>0,0%</w:t>
            </w:r>
          </w:p>
        </w:tc>
      </w:tr>
      <w:tr w:rsidR="00D02751" w:rsidRPr="00232C3E" w14:paraId="2FECD63F" w14:textId="77777777" w:rsidTr="00CD16F1">
        <w:tc>
          <w:tcPr>
            <w:tcW w:w="2160" w:type="dxa"/>
          </w:tcPr>
          <w:p w14:paraId="4B739B70" w14:textId="77777777" w:rsidR="00D02751" w:rsidRPr="00232C3E" w:rsidRDefault="00D02751" w:rsidP="000878F6">
            <w:pPr>
              <w:pStyle w:val="Table"/>
              <w:rPr>
                <w:szCs w:val="20"/>
              </w:rPr>
            </w:pPr>
            <w:r w:rsidRPr="00232C3E">
              <w:rPr>
                <w:szCs w:val="20"/>
              </w:rPr>
              <w:t>Waste to Landfill</w:t>
            </w:r>
          </w:p>
        </w:tc>
        <w:tc>
          <w:tcPr>
            <w:tcW w:w="1080" w:type="dxa"/>
            <w:vAlign w:val="center"/>
          </w:tcPr>
          <w:p w14:paraId="2D1EE251" w14:textId="77777777" w:rsidR="00D02751" w:rsidRPr="00232C3E" w:rsidRDefault="00D02751" w:rsidP="000878F6">
            <w:pPr>
              <w:pStyle w:val="Table"/>
              <w:jc w:val="center"/>
              <w:rPr>
                <w:szCs w:val="20"/>
              </w:rPr>
            </w:pPr>
            <w:r w:rsidRPr="00232C3E">
              <w:rPr>
                <w:rFonts w:ascii="Calibri" w:hAnsi="Calibri" w:cs="Calibri"/>
                <w:color w:val="000000"/>
                <w:szCs w:val="20"/>
              </w:rPr>
              <w:t>-25,66%</w:t>
            </w:r>
          </w:p>
        </w:tc>
        <w:tc>
          <w:tcPr>
            <w:tcW w:w="1080" w:type="dxa"/>
            <w:vAlign w:val="center"/>
          </w:tcPr>
          <w:p w14:paraId="14DD13F9" w14:textId="77777777" w:rsidR="00D02751" w:rsidRPr="00232C3E" w:rsidRDefault="00D02751" w:rsidP="000878F6">
            <w:pPr>
              <w:pStyle w:val="Table"/>
              <w:jc w:val="center"/>
              <w:rPr>
                <w:szCs w:val="20"/>
              </w:rPr>
            </w:pPr>
            <w:r w:rsidRPr="00232C3E">
              <w:rPr>
                <w:rFonts w:ascii="Calibri" w:hAnsi="Calibri" w:cs="Calibri"/>
                <w:color w:val="000000"/>
                <w:szCs w:val="20"/>
              </w:rPr>
              <w:t>-25,66%</w:t>
            </w:r>
          </w:p>
        </w:tc>
        <w:tc>
          <w:tcPr>
            <w:tcW w:w="990" w:type="dxa"/>
            <w:vAlign w:val="center"/>
          </w:tcPr>
          <w:p w14:paraId="0053E312" w14:textId="77777777" w:rsidR="00D02751" w:rsidRPr="00232C3E" w:rsidRDefault="00D02751" w:rsidP="000878F6">
            <w:pPr>
              <w:pStyle w:val="Table"/>
              <w:jc w:val="center"/>
              <w:rPr>
                <w:szCs w:val="20"/>
              </w:rPr>
            </w:pPr>
            <w:r w:rsidRPr="00232C3E">
              <w:rPr>
                <w:rFonts w:ascii="Calibri" w:hAnsi="Calibri" w:cs="Calibri"/>
                <w:color w:val="000000"/>
                <w:szCs w:val="20"/>
              </w:rPr>
              <w:t>7,33</w:t>
            </w:r>
          </w:p>
        </w:tc>
        <w:tc>
          <w:tcPr>
            <w:tcW w:w="1170" w:type="dxa"/>
            <w:vAlign w:val="center"/>
          </w:tcPr>
          <w:p w14:paraId="2D3AD214" w14:textId="77777777" w:rsidR="00D02751" w:rsidRPr="00232C3E" w:rsidRDefault="00D02751" w:rsidP="000878F6">
            <w:pPr>
              <w:pStyle w:val="Table"/>
              <w:jc w:val="center"/>
              <w:rPr>
                <w:szCs w:val="20"/>
              </w:rPr>
            </w:pPr>
            <w:r w:rsidRPr="00232C3E">
              <w:rPr>
                <w:rFonts w:ascii="Calibri" w:hAnsi="Calibri" w:cs="Calibri"/>
                <w:color w:val="000000"/>
                <w:szCs w:val="20"/>
              </w:rPr>
              <w:t>4,97</w:t>
            </w:r>
          </w:p>
        </w:tc>
        <w:tc>
          <w:tcPr>
            <w:tcW w:w="1312" w:type="dxa"/>
            <w:vAlign w:val="center"/>
          </w:tcPr>
          <w:p w14:paraId="449A0702" w14:textId="77777777" w:rsidR="00D02751" w:rsidRPr="00232C3E" w:rsidRDefault="00D02751" w:rsidP="000878F6">
            <w:pPr>
              <w:pStyle w:val="Table"/>
              <w:jc w:val="center"/>
              <w:rPr>
                <w:szCs w:val="20"/>
              </w:rPr>
            </w:pPr>
            <w:r w:rsidRPr="00232C3E">
              <w:rPr>
                <w:rFonts w:ascii="Calibri" w:hAnsi="Calibri" w:cs="Calibri"/>
                <w:color w:val="000000"/>
                <w:szCs w:val="20"/>
              </w:rPr>
              <w:t>4,8%</w:t>
            </w:r>
          </w:p>
        </w:tc>
        <w:tc>
          <w:tcPr>
            <w:tcW w:w="1275" w:type="dxa"/>
            <w:vAlign w:val="center"/>
          </w:tcPr>
          <w:p w14:paraId="640BB35D" w14:textId="77777777" w:rsidR="00D02751" w:rsidRPr="00232C3E" w:rsidRDefault="00D02751" w:rsidP="000878F6">
            <w:pPr>
              <w:pStyle w:val="Table"/>
              <w:jc w:val="center"/>
              <w:rPr>
                <w:szCs w:val="20"/>
              </w:rPr>
            </w:pPr>
            <w:r w:rsidRPr="00232C3E">
              <w:rPr>
                <w:rFonts w:ascii="Calibri" w:hAnsi="Calibri" w:cs="Calibri"/>
                <w:color w:val="000000"/>
                <w:szCs w:val="20"/>
              </w:rPr>
              <w:t>3,3%</w:t>
            </w:r>
          </w:p>
        </w:tc>
      </w:tr>
      <w:tr w:rsidR="00D02751" w:rsidRPr="00232C3E" w14:paraId="6CD84BE2" w14:textId="77777777" w:rsidTr="00CD16F1">
        <w:tc>
          <w:tcPr>
            <w:tcW w:w="2160" w:type="dxa"/>
          </w:tcPr>
          <w:p w14:paraId="2BE3F219" w14:textId="77777777" w:rsidR="00D02751" w:rsidRPr="00232C3E" w:rsidRDefault="00D02751" w:rsidP="000878F6">
            <w:pPr>
              <w:pStyle w:val="Table"/>
              <w:rPr>
                <w:szCs w:val="20"/>
              </w:rPr>
            </w:pPr>
            <w:r w:rsidRPr="00232C3E">
              <w:rPr>
                <w:szCs w:val="20"/>
              </w:rPr>
              <w:t>Water Effluent</w:t>
            </w:r>
          </w:p>
        </w:tc>
        <w:tc>
          <w:tcPr>
            <w:tcW w:w="1080" w:type="dxa"/>
            <w:vAlign w:val="center"/>
          </w:tcPr>
          <w:p w14:paraId="62CB804C" w14:textId="77777777" w:rsidR="00D02751" w:rsidRPr="00232C3E" w:rsidRDefault="00D02751" w:rsidP="000878F6">
            <w:pPr>
              <w:pStyle w:val="Table"/>
              <w:jc w:val="center"/>
              <w:rPr>
                <w:szCs w:val="20"/>
              </w:rPr>
            </w:pPr>
            <w:r w:rsidRPr="00232C3E">
              <w:rPr>
                <w:rFonts w:ascii="Calibri" w:hAnsi="Calibri" w:cs="Calibri"/>
                <w:color w:val="000000"/>
                <w:szCs w:val="20"/>
              </w:rPr>
              <w:t>-3,01%</w:t>
            </w:r>
          </w:p>
        </w:tc>
        <w:tc>
          <w:tcPr>
            <w:tcW w:w="1080" w:type="dxa"/>
            <w:vAlign w:val="center"/>
          </w:tcPr>
          <w:p w14:paraId="3405CDEF" w14:textId="77777777" w:rsidR="00D02751" w:rsidRPr="00232C3E" w:rsidRDefault="00D02751" w:rsidP="000878F6">
            <w:pPr>
              <w:pStyle w:val="Table"/>
              <w:jc w:val="center"/>
              <w:rPr>
                <w:szCs w:val="20"/>
              </w:rPr>
            </w:pPr>
            <w:r w:rsidRPr="00232C3E">
              <w:rPr>
                <w:rFonts w:ascii="Calibri" w:hAnsi="Calibri" w:cs="Calibri"/>
                <w:color w:val="000000"/>
                <w:szCs w:val="20"/>
              </w:rPr>
              <w:t>-3,01%</w:t>
            </w:r>
          </w:p>
        </w:tc>
        <w:tc>
          <w:tcPr>
            <w:tcW w:w="990" w:type="dxa"/>
            <w:vAlign w:val="center"/>
          </w:tcPr>
          <w:p w14:paraId="5DBA19FF" w14:textId="77777777" w:rsidR="00D02751" w:rsidRPr="00232C3E" w:rsidRDefault="00D02751" w:rsidP="000878F6">
            <w:pPr>
              <w:pStyle w:val="Table"/>
              <w:jc w:val="center"/>
              <w:rPr>
                <w:szCs w:val="20"/>
              </w:rPr>
            </w:pPr>
            <w:r w:rsidRPr="00232C3E">
              <w:rPr>
                <w:rFonts w:ascii="Calibri" w:hAnsi="Calibri" w:cs="Calibri"/>
                <w:color w:val="000000"/>
                <w:szCs w:val="20"/>
              </w:rPr>
              <w:t>18,08</w:t>
            </w:r>
          </w:p>
        </w:tc>
        <w:tc>
          <w:tcPr>
            <w:tcW w:w="1170" w:type="dxa"/>
            <w:vAlign w:val="center"/>
          </w:tcPr>
          <w:p w14:paraId="4784331D" w14:textId="77777777" w:rsidR="00D02751" w:rsidRPr="00232C3E" w:rsidRDefault="00D02751" w:rsidP="000878F6">
            <w:pPr>
              <w:pStyle w:val="Table"/>
              <w:jc w:val="center"/>
              <w:rPr>
                <w:szCs w:val="20"/>
              </w:rPr>
            </w:pPr>
            <w:r w:rsidRPr="00232C3E">
              <w:rPr>
                <w:rFonts w:ascii="Calibri" w:hAnsi="Calibri" w:cs="Calibri"/>
                <w:color w:val="000000"/>
                <w:szCs w:val="20"/>
              </w:rPr>
              <w:t>17,29</w:t>
            </w:r>
          </w:p>
        </w:tc>
        <w:tc>
          <w:tcPr>
            <w:tcW w:w="1312" w:type="dxa"/>
            <w:vAlign w:val="center"/>
          </w:tcPr>
          <w:p w14:paraId="35A9B375" w14:textId="77777777" w:rsidR="00D02751" w:rsidRPr="00232C3E" w:rsidRDefault="00D02751" w:rsidP="000878F6">
            <w:pPr>
              <w:pStyle w:val="Table"/>
              <w:jc w:val="center"/>
              <w:rPr>
                <w:szCs w:val="20"/>
              </w:rPr>
            </w:pPr>
            <w:r w:rsidRPr="00232C3E">
              <w:rPr>
                <w:rFonts w:ascii="Calibri" w:hAnsi="Calibri" w:cs="Calibri"/>
                <w:color w:val="000000"/>
                <w:szCs w:val="20"/>
              </w:rPr>
              <w:t>11,9%</w:t>
            </w:r>
          </w:p>
        </w:tc>
        <w:tc>
          <w:tcPr>
            <w:tcW w:w="1275" w:type="dxa"/>
            <w:vAlign w:val="center"/>
          </w:tcPr>
          <w:p w14:paraId="4A5653C3" w14:textId="77777777" w:rsidR="00D02751" w:rsidRPr="00232C3E" w:rsidRDefault="00D02751" w:rsidP="000878F6">
            <w:pPr>
              <w:pStyle w:val="Table"/>
              <w:jc w:val="center"/>
              <w:rPr>
                <w:szCs w:val="20"/>
              </w:rPr>
            </w:pPr>
            <w:r w:rsidRPr="00232C3E">
              <w:rPr>
                <w:rFonts w:ascii="Calibri" w:hAnsi="Calibri" w:cs="Calibri"/>
                <w:color w:val="000000"/>
                <w:szCs w:val="20"/>
              </w:rPr>
              <w:t>11,4%</w:t>
            </w:r>
          </w:p>
        </w:tc>
      </w:tr>
      <w:tr w:rsidR="00D02751" w:rsidRPr="00232C3E" w14:paraId="0D72BBE2" w14:textId="77777777" w:rsidTr="00CD16F1">
        <w:tc>
          <w:tcPr>
            <w:tcW w:w="2160" w:type="dxa"/>
          </w:tcPr>
          <w:p w14:paraId="40E41A75" w14:textId="77777777" w:rsidR="00D02751" w:rsidRPr="00232C3E" w:rsidRDefault="00D02751" w:rsidP="000878F6">
            <w:pPr>
              <w:pStyle w:val="Table"/>
              <w:rPr>
                <w:szCs w:val="20"/>
              </w:rPr>
            </w:pPr>
            <w:r w:rsidRPr="00232C3E">
              <w:rPr>
                <w:szCs w:val="20"/>
              </w:rPr>
              <w:t>Minerals &amp; Aggregates</w:t>
            </w:r>
          </w:p>
        </w:tc>
        <w:tc>
          <w:tcPr>
            <w:tcW w:w="1080" w:type="dxa"/>
            <w:vAlign w:val="center"/>
          </w:tcPr>
          <w:p w14:paraId="09D7D000" w14:textId="77777777" w:rsidR="00D02751" w:rsidRPr="00232C3E" w:rsidRDefault="00D02751" w:rsidP="000878F6">
            <w:pPr>
              <w:pStyle w:val="Table"/>
              <w:jc w:val="center"/>
              <w:rPr>
                <w:szCs w:val="20"/>
              </w:rPr>
            </w:pPr>
            <w:r w:rsidRPr="00232C3E">
              <w:rPr>
                <w:rFonts w:ascii="Calibri" w:hAnsi="Calibri" w:cs="Calibri"/>
                <w:color w:val="000000"/>
                <w:szCs w:val="20"/>
              </w:rPr>
              <w:t>-5,02%</w:t>
            </w:r>
          </w:p>
        </w:tc>
        <w:tc>
          <w:tcPr>
            <w:tcW w:w="1080" w:type="dxa"/>
            <w:vAlign w:val="center"/>
          </w:tcPr>
          <w:p w14:paraId="37534D24" w14:textId="77777777" w:rsidR="00D02751" w:rsidRPr="00232C3E" w:rsidRDefault="00D02751" w:rsidP="000878F6">
            <w:pPr>
              <w:pStyle w:val="Table"/>
              <w:jc w:val="center"/>
              <w:rPr>
                <w:szCs w:val="20"/>
              </w:rPr>
            </w:pPr>
            <w:r w:rsidRPr="00232C3E">
              <w:rPr>
                <w:rFonts w:ascii="Calibri" w:hAnsi="Calibri" w:cs="Calibri"/>
                <w:color w:val="000000"/>
                <w:szCs w:val="20"/>
              </w:rPr>
              <w:t>-5,02%</w:t>
            </w:r>
          </w:p>
        </w:tc>
        <w:tc>
          <w:tcPr>
            <w:tcW w:w="990" w:type="dxa"/>
            <w:vAlign w:val="center"/>
          </w:tcPr>
          <w:p w14:paraId="11C34050" w14:textId="77777777" w:rsidR="00D02751" w:rsidRPr="00232C3E" w:rsidRDefault="00D02751" w:rsidP="000878F6">
            <w:pPr>
              <w:pStyle w:val="Table"/>
              <w:jc w:val="center"/>
              <w:rPr>
                <w:szCs w:val="20"/>
              </w:rPr>
            </w:pPr>
            <w:r w:rsidRPr="00232C3E">
              <w:rPr>
                <w:rFonts w:ascii="Calibri" w:hAnsi="Calibri" w:cs="Calibri"/>
                <w:color w:val="000000"/>
                <w:szCs w:val="20"/>
              </w:rPr>
              <w:t>37,86</w:t>
            </w:r>
          </w:p>
        </w:tc>
        <w:tc>
          <w:tcPr>
            <w:tcW w:w="1170" w:type="dxa"/>
            <w:vAlign w:val="center"/>
          </w:tcPr>
          <w:p w14:paraId="0A86F590" w14:textId="77777777" w:rsidR="00D02751" w:rsidRPr="00232C3E" w:rsidRDefault="00D02751" w:rsidP="000878F6">
            <w:pPr>
              <w:pStyle w:val="Table"/>
              <w:jc w:val="center"/>
              <w:rPr>
                <w:szCs w:val="20"/>
              </w:rPr>
            </w:pPr>
            <w:r w:rsidRPr="00232C3E">
              <w:rPr>
                <w:rFonts w:ascii="Calibri" w:hAnsi="Calibri" w:cs="Calibri"/>
                <w:color w:val="000000"/>
                <w:szCs w:val="20"/>
              </w:rPr>
              <w:t>45,61</w:t>
            </w:r>
          </w:p>
        </w:tc>
        <w:tc>
          <w:tcPr>
            <w:tcW w:w="1312" w:type="dxa"/>
            <w:vAlign w:val="center"/>
          </w:tcPr>
          <w:p w14:paraId="76874723" w14:textId="77777777" w:rsidR="00D02751" w:rsidRPr="00232C3E" w:rsidRDefault="00D02751" w:rsidP="000878F6">
            <w:pPr>
              <w:pStyle w:val="Table"/>
              <w:jc w:val="center"/>
              <w:rPr>
                <w:szCs w:val="20"/>
              </w:rPr>
            </w:pPr>
            <w:r w:rsidRPr="00232C3E">
              <w:rPr>
                <w:rFonts w:ascii="Calibri" w:hAnsi="Calibri" w:cs="Calibri"/>
                <w:color w:val="000000"/>
                <w:szCs w:val="20"/>
              </w:rPr>
              <w:t>76,2%</w:t>
            </w:r>
          </w:p>
        </w:tc>
        <w:tc>
          <w:tcPr>
            <w:tcW w:w="1275" w:type="dxa"/>
            <w:vAlign w:val="center"/>
          </w:tcPr>
          <w:p w14:paraId="3EC101E6" w14:textId="77777777" w:rsidR="00D02751" w:rsidRPr="00232C3E" w:rsidRDefault="00D02751" w:rsidP="000878F6">
            <w:pPr>
              <w:pStyle w:val="Table"/>
              <w:jc w:val="center"/>
              <w:rPr>
                <w:szCs w:val="20"/>
              </w:rPr>
            </w:pPr>
            <w:r w:rsidRPr="00232C3E">
              <w:rPr>
                <w:rFonts w:ascii="Calibri" w:hAnsi="Calibri" w:cs="Calibri"/>
                <w:color w:val="000000"/>
                <w:szCs w:val="20"/>
              </w:rPr>
              <w:t>91,8%</w:t>
            </w:r>
          </w:p>
        </w:tc>
      </w:tr>
    </w:tbl>
    <w:p w14:paraId="75DE7061" w14:textId="77777777" w:rsidR="00D02751" w:rsidRPr="00D02751" w:rsidRDefault="00D02751" w:rsidP="00D02751"/>
    <w:p w14:paraId="699E2614" w14:textId="4004C0AF" w:rsidR="00D02751" w:rsidRDefault="00D02751" w:rsidP="00D02751">
      <w:r>
        <w:t>Lithuania has established permitting and monitoring for large installations and utilities, and metering is widespread among major users. The main obstacles are uneven capacity in smaller municipalities and utilities, data gaps for small dischargers and farms, and the need to align tax design with available waste and wastewater infrastructure. If landfill rates rise faster than sorting and treatment capacity, short-term risks include higher municipal costs, diversion to incineration and informal disposal. For wastewater, higher charges could pressure tariffs unless paired with investment support for tertiary treatment and reuse. In aggregates, quarrying and construction stakeholders may oppose higher extraction charges if public procurement does not yet favour recycled inputs.</w:t>
      </w:r>
    </w:p>
    <w:p w14:paraId="4211F68F" w14:textId="308B29CA" w:rsidR="00160450" w:rsidRPr="00160450" w:rsidRDefault="00160450" w:rsidP="00160450">
      <w:r>
        <w:t>D</w:t>
      </w:r>
      <w:r w:rsidRPr="00160450">
        <w:t>istributional and political challenges associated with environmental taxes are well documented across Member States, particularly where charges feed through to household utility and waste bills or to input costs in agriculture. In Italy, lower-income households and rural municipalities tend to face higher relative costs for water and waste services, and smaller farms may be more exposed to changes in fertiliser or pesticide prices. These factors represent potential barriers to implementation.</w:t>
      </w:r>
    </w:p>
    <w:p w14:paraId="462CA08C" w14:textId="5956C537" w:rsidR="00160450" w:rsidRDefault="00160450" w:rsidP="00160450">
      <w:r w:rsidRPr="00160450">
        <w:lastRenderedPageBreak/>
        <w:t>Evidence from other Member States shows that such barriers can be mitigated through gradual implementation and transparent revenue use. A phased trajectory, with rates increasing in pre-announced steps over several years, allows municipalities, utilities and firms to plan investments and adjust operations. International experience also suggests that earmarking a clearly defined share of incremental receipts for measures such as bill credits for vulnerable households, targeted reductions in labour taxes for low and middle earners, or co-funding of infrastructure that lowers long-term bills and emissions (for example leak reduction, advanced wastewater treatment, or separate collection and sorting), can support acceptability. Regular public reporting that links revenues to measurable outcomes</w:t>
      </w:r>
      <w:r w:rsidR="00E36EAF">
        <w:t xml:space="preserve">, </w:t>
      </w:r>
      <w:r w:rsidRPr="00160450">
        <w:t>such as improvements in water status, landfill diversion, or increased use of recycled aggregates in public works</w:t>
      </w:r>
      <w:r w:rsidR="00E36EAF">
        <w:t xml:space="preserve">, </w:t>
      </w:r>
      <w:r w:rsidRPr="00160450">
        <w:t>has been shown to improve transparency and strengthen public confidence.</w:t>
      </w:r>
    </w:p>
    <w:p w14:paraId="63A8DCA7" w14:textId="1A91B930" w:rsidR="00224391" w:rsidRPr="00224391" w:rsidRDefault="00224391" w:rsidP="00224391">
      <w:r w:rsidRPr="00224391">
        <w:t>Competitiveness risks differ across sectors but are generally limited at benchmark tax levels when reforms are introduced alongside enabling measures. In construction materials, the main risk arises from higher extraction costs for primary aggregates, which could increase input prices in construction. Experience from countries such as the United Kingdom and Belgium shows that this risk is mitigated where charges are combined with measures that stimulate demand for secondary materials, for example through quality standards for recycled aggregates or minimum recycled-content requirements in public procurement. These measures reduce reliance on primary extraction and limit cost pass-through.</w:t>
      </w:r>
    </w:p>
    <w:p w14:paraId="28F1DD0F" w14:textId="714FCE5B" w:rsidR="00224391" w:rsidRPr="00224391" w:rsidRDefault="00224391" w:rsidP="00224391">
      <w:r w:rsidRPr="00224391">
        <w:t>In industrial sectors subject to NOₓ, SO₂ or PM₂.₅ charges, the main competitiveness concern stems from differences in abatement costs across installations. Evidence from Sweden and Denmark indicates that moderate emission charges, when paired with time-limited and technology-neutral investment support for best available techniques, reduce adjustment costs while maintaining incentives to cut emissions. This sequencing enables firms to comply without shifting production or reducing output.</w:t>
      </w:r>
    </w:p>
    <w:p w14:paraId="26FB37DD" w14:textId="6148EB5B" w:rsidR="00224391" w:rsidRDefault="00224391" w:rsidP="00160450">
      <w:r w:rsidRPr="00224391">
        <w:t>In agriculture, the principal risk relates to the sensitivity of smaller farms to input price changes for fertilisers and pesticides. Studies from Denmark, France and the Netherlands suggest that gradual introduction</w:t>
      </w:r>
      <w:r w:rsidR="00185AC0">
        <w:t xml:space="preserve">, </w:t>
      </w:r>
      <w:r w:rsidRPr="00224391">
        <w:t>combined with advisory services and co-financing for precision application equipment or integrated pest-management tools</w:t>
      </w:r>
      <w:r w:rsidR="00185AC0">
        <w:t xml:space="preserve">, </w:t>
      </w:r>
      <w:r w:rsidRPr="00224391">
        <w:t>helps maintain yields while lowering nutrient and pesticide losses. These measures have been shown to reduce compliance costs, particularly for farms with limited capital, and therefore moderate competitiveness impacts.</w:t>
      </w:r>
    </w:p>
    <w:p w14:paraId="704FAB36" w14:textId="4B848942" w:rsidR="00A858D6" w:rsidRPr="00A858D6" w:rsidRDefault="00A858D6" w:rsidP="00A858D6">
      <w:r w:rsidRPr="00A858D6">
        <w:t>As environmental price signals strengthen, several implementation risks may arise. A key concern is that higher landfill or discharge charges can increase incentives for illegal dumping or under-reporting. Evidence from Member States that introduced substantial landfill charge increases</w:t>
      </w:r>
      <w:r>
        <w:t xml:space="preserve">, for example </w:t>
      </w:r>
      <w:r w:rsidRPr="00A858D6">
        <w:t>the Netherlands</w:t>
      </w:r>
      <w:r>
        <w:t xml:space="preserve">, </w:t>
      </w:r>
      <w:r w:rsidRPr="00A858D6">
        <w:t>shows that expanding digital waste-tracking systems and conducting proportionate, risk-based inspections helped limit these behaviours.</w:t>
      </w:r>
    </w:p>
    <w:p w14:paraId="27EF2955" w14:textId="7D45E487" w:rsidR="00A858D6" w:rsidRPr="00A858D6" w:rsidRDefault="00A858D6" w:rsidP="00A858D6">
      <w:r w:rsidRPr="00A858D6">
        <w:t>Another concern is that extending abstraction or discharge charges to smaller users may increase administrative complexity. Experience from countries using simplified reporting systems, such as standard coefficients or periodic audits (e.g. Denmark for wastewater surcharges), suggests that these approaches can broaden coverage without imposing excessive administrative burdens.</w:t>
      </w:r>
    </w:p>
    <w:p w14:paraId="1D115EB9" w14:textId="77777777" w:rsidR="00A858D6" w:rsidRDefault="00A858D6" w:rsidP="00A858D6">
      <w:r w:rsidRPr="00A858D6">
        <w:t>A further operational risk stems from potential misalignment between tax design and infrastructure investment cycles, particularly for municipalities responsible for water and waste management. Past assessments of environmental charging reforms in France and Germany highlight that coordination between environment and finance ministries, regulators and local authorities improves planning certainty and helps avoid regional disparities in implementation capacity.</w:t>
      </w:r>
    </w:p>
    <w:p w14:paraId="00D6E753" w14:textId="6F678AC0" w:rsidR="008540CA" w:rsidRPr="00A858D6" w:rsidRDefault="008540CA" w:rsidP="00A858D6">
      <w:r w:rsidRPr="008540CA">
        <w:lastRenderedPageBreak/>
        <w:t xml:space="preserve">Analysis suggests that the main opportunities for Lithuania lie in strengthening existing environmental </w:t>
      </w:r>
      <w:r w:rsidR="00B63C28">
        <w:t>taxe</w:t>
      </w:r>
      <w:r w:rsidRPr="008540CA">
        <w:t xml:space="preserve">s where feasibility is highest and alignment with EU practice is clearest. For </w:t>
      </w:r>
      <w:r w:rsidRPr="00BA7936">
        <w:rPr>
          <w:b/>
          <w:bCs/>
        </w:rPr>
        <w:t>waste</w:t>
      </w:r>
      <w:r w:rsidRPr="008540CA">
        <w:t>, modelling results and international experience indicate scope to establish a predictable multi-year trajectory for landfill charges, supported by investment in separate collection, sorting and high-quality recycling to ensure that diversion remains attainable at reasonable cost.</w:t>
      </w:r>
      <w:r w:rsidR="00B63C28">
        <w:t xml:space="preserve"> </w:t>
      </w:r>
      <w:r w:rsidRPr="008540CA">
        <w:t xml:space="preserve">For </w:t>
      </w:r>
      <w:r w:rsidRPr="00BA7936">
        <w:rPr>
          <w:b/>
          <w:bCs/>
        </w:rPr>
        <w:t>minerals</w:t>
      </w:r>
      <w:r w:rsidRPr="008540CA">
        <w:t>, the evidence points to potential benefits from recalibrating extraction charges towards benchmark levels and complementing this with measures that recognise certified secondary aggregates or include recycled-content requirements in public procurement, as seen in several other Member States.</w:t>
      </w:r>
      <w:r w:rsidR="00B63C28">
        <w:t xml:space="preserve"> </w:t>
      </w:r>
      <w:r w:rsidRPr="008540CA">
        <w:t xml:space="preserve">In </w:t>
      </w:r>
      <w:r w:rsidRPr="00BA7936">
        <w:rPr>
          <w:b/>
          <w:bCs/>
        </w:rPr>
        <w:t>wastewater management</w:t>
      </w:r>
      <w:r w:rsidRPr="008540CA">
        <w:t>, the analysis highlights opportunities to better align charges with pollutant loads and the sensitivity of receiving waters. Linking any adjustments to performance contracts with utilities and to co-funded upgrades</w:t>
      </w:r>
      <w:r w:rsidR="00B63C28">
        <w:t xml:space="preserve">, </w:t>
      </w:r>
      <w:r w:rsidRPr="008540CA">
        <w:t>such as tertiary treatment or reuse</w:t>
      </w:r>
      <w:r w:rsidR="00B63C28">
        <w:t xml:space="preserve">, </w:t>
      </w:r>
      <w:r w:rsidRPr="008540CA">
        <w:t>has helped maintain acceptability elsewhere.</w:t>
      </w:r>
      <w:r w:rsidR="00B63C28">
        <w:t xml:space="preserve"> </w:t>
      </w:r>
      <w:r w:rsidRPr="008540CA">
        <w:t xml:space="preserve">For </w:t>
      </w:r>
      <w:r w:rsidRPr="00BA7936">
        <w:rPr>
          <w:b/>
          <w:bCs/>
        </w:rPr>
        <w:t>air pollutants</w:t>
      </w:r>
      <w:r w:rsidRPr="008540CA">
        <w:t>, modest, targeted charges on large permitted sources appear technically feasible and consistent with approaches adopted in other countries. Instruments for fertilisers or pesticides could be considered at a later stage once simple compliance rules, advisory support and monitoring systems are in place.</w:t>
      </w:r>
      <w:r w:rsidR="00B63C28">
        <w:t xml:space="preserve"> </w:t>
      </w:r>
      <w:r w:rsidRPr="008540CA">
        <w:t xml:space="preserve">Where pressures on </w:t>
      </w:r>
      <w:r w:rsidRPr="00BA7936">
        <w:rPr>
          <w:b/>
          <w:bCs/>
        </w:rPr>
        <w:t>water abstraction</w:t>
      </w:r>
      <w:r w:rsidRPr="008540CA">
        <w:t xml:space="preserve"> vary significantly across catchments, examples from countries using spatially differentiated rates suggest that tailoring charges to local scarcity conditions can sharpen incentives without creating unnecessary burdens at national level.</w:t>
      </w:r>
    </w:p>
    <w:p w14:paraId="70E7B93E" w14:textId="77777777" w:rsidR="00664BE6" w:rsidRPr="00EA4C9B" w:rsidRDefault="00664BE6" w:rsidP="00DF6F33">
      <w:pPr>
        <w:pStyle w:val="AnnexHeading1"/>
        <w:ind w:hanging="1211"/>
      </w:pPr>
      <w:bookmarkStart w:id="245" w:name="_Toc214008913"/>
      <w:r w:rsidRPr="00EA4C9B">
        <w:t>Luxembourg</w:t>
      </w:r>
      <w:bookmarkEnd w:id="245"/>
    </w:p>
    <w:p w14:paraId="04BA66A1" w14:textId="77777777" w:rsidR="00664BE6" w:rsidRPr="00EA4C9B" w:rsidRDefault="00664BE6" w:rsidP="007C4EB7">
      <w:pPr>
        <w:pStyle w:val="AnnexHeading2"/>
      </w:pPr>
      <w:bookmarkStart w:id="246" w:name="_Toc214008914"/>
      <w:r w:rsidRPr="00EA4C9B">
        <w:t>Overview of existing environmental taxes in Luxembourg</w:t>
      </w:r>
      <w:bookmarkEnd w:id="246"/>
    </w:p>
    <w:p w14:paraId="7E905421" w14:textId="4538DF43" w:rsidR="00DA30E3" w:rsidRDefault="00242E13" w:rsidP="00664BE6">
      <w:pPr>
        <w:spacing w:after="0"/>
        <w:textAlignment w:val="baseline"/>
        <w:rPr>
          <w:rFonts w:ascii="Calibri" w:eastAsia="Times New Roman" w:hAnsi="Calibri" w:cs="Calibri"/>
          <w:lang w:eastAsia="en-GB"/>
        </w:rPr>
      </w:pPr>
      <w:r w:rsidRPr="00242E13">
        <w:rPr>
          <w:rFonts w:ascii="Calibri" w:eastAsia="Times New Roman" w:hAnsi="Calibri" w:cs="Calibri"/>
          <w:lang w:eastAsia="en-GB"/>
        </w:rPr>
        <w:t>Environmental taxes in Luxembourg amounted to 1.3% of GDP in 2023, below the EU average. Although revenues have grown slightly in absolute terms over the past 15 years, their relative importance in the economy has decreased. Total environmental tax revenue reached EUR 960.7 million in 2023 (</w:t>
      </w:r>
      <w:r w:rsidRPr="00E14894">
        <w:rPr>
          <w:rFonts w:ascii="Calibri" w:eastAsia="Times New Roman" w:hAnsi="Calibri" w:cs="Calibri"/>
          <w:lang w:eastAsia="en-GB"/>
        </w:rPr>
        <w:fldChar w:fldCharType="begin"/>
      </w:r>
      <w:r w:rsidRPr="00E14894">
        <w:rPr>
          <w:rFonts w:ascii="Calibri" w:eastAsia="Times New Roman" w:hAnsi="Calibri" w:cs="Calibri"/>
          <w:lang w:eastAsia="en-GB"/>
        </w:rPr>
        <w:instrText xml:space="preserve"> REF _Ref201239052 \h  \* MERGEFORMAT </w:instrText>
      </w:r>
      <w:r w:rsidRPr="00E14894">
        <w:rPr>
          <w:rFonts w:ascii="Calibri" w:eastAsia="Times New Roman" w:hAnsi="Calibri" w:cs="Calibri"/>
          <w:lang w:eastAsia="en-GB"/>
        </w:rPr>
      </w:r>
      <w:r w:rsidRPr="00E14894">
        <w:rPr>
          <w:rFonts w:ascii="Calibri" w:eastAsia="Times New Roman" w:hAnsi="Calibri" w:cs="Calibri"/>
          <w:lang w:eastAsia="en-GB"/>
        </w:rPr>
        <w:fldChar w:fldCharType="separate"/>
      </w:r>
      <w:r w:rsidRPr="00E14894">
        <w:t xml:space="preserve">Figure </w:t>
      </w:r>
      <w:r>
        <w:t>A6</w:t>
      </w:r>
      <w:r w:rsidRPr="00E14894">
        <w:t>-</w:t>
      </w:r>
      <w:r w:rsidRPr="00E14894">
        <w:rPr>
          <w:noProof/>
        </w:rPr>
        <w:t>48</w:t>
      </w:r>
      <w:r w:rsidRPr="00E14894">
        <w:rPr>
          <w:rFonts w:ascii="Calibri" w:eastAsia="Times New Roman" w:hAnsi="Calibri" w:cs="Calibri"/>
          <w:lang w:eastAsia="en-GB"/>
        </w:rPr>
        <w:fldChar w:fldCharType="end"/>
      </w:r>
      <w:r w:rsidRPr="00242E13">
        <w:rPr>
          <w:rFonts w:ascii="Calibri" w:eastAsia="Times New Roman" w:hAnsi="Calibri" w:cs="Calibri"/>
          <w:lang w:eastAsia="en-GB"/>
        </w:rPr>
        <w:t>), representing a modest 3.1% increase since 2009</w:t>
      </w:r>
      <w:r w:rsidR="00B4652E">
        <w:rPr>
          <w:rStyle w:val="FootnoteReference"/>
          <w:rFonts w:cstheme="minorHAnsi"/>
          <w:lang w:eastAsia="en-GB"/>
        </w:rPr>
        <w:footnoteReference w:id="548"/>
      </w:r>
      <w:r w:rsidRPr="00242E13">
        <w:rPr>
          <w:rFonts w:ascii="Calibri" w:eastAsia="Times New Roman" w:hAnsi="Calibri" w:cs="Calibri"/>
          <w:lang w:eastAsia="en-GB"/>
        </w:rPr>
        <w:t>. Over the same period, however, the ratio of environmental taxes to GDP fell from 2.4% in 2009 to 1.3% in 2023. In 2023, revenues were overwhelmingly derived from energy and transport taxes (around 92.3% and 6.8%, respectively), while resource taxes contributed 0.83%</w:t>
      </w:r>
      <w:r>
        <w:rPr>
          <w:rFonts w:ascii="Calibri" w:eastAsia="Times New Roman" w:hAnsi="Calibri" w:cs="Calibri"/>
          <w:lang w:eastAsia="en-GB"/>
        </w:rPr>
        <w:t>.</w:t>
      </w:r>
      <w:r w:rsidRPr="00242E13">
        <w:rPr>
          <w:rFonts w:ascii="Calibri" w:eastAsia="Times New Roman" w:hAnsi="Calibri" w:cs="Calibri"/>
          <w:lang w:eastAsia="en-GB"/>
        </w:rPr>
        <w:t xml:space="preserve"> </w:t>
      </w:r>
      <w:r w:rsidRPr="00EA4C9B">
        <w:rPr>
          <w:lang w:eastAsia="en-GB"/>
        </w:rPr>
        <w:t>As of 2025, there are no pollution taxes currently levied in Luxembourg.</w:t>
      </w:r>
    </w:p>
    <w:p w14:paraId="5C30968A" w14:textId="77777777" w:rsidR="00664BE6" w:rsidRPr="00EA4C9B" w:rsidRDefault="00664BE6" w:rsidP="00664BE6">
      <w:pPr>
        <w:spacing w:after="0"/>
        <w:textAlignment w:val="baseline"/>
        <w:rPr>
          <w:rFonts w:ascii="Segoe UI" w:eastAsia="Times New Roman" w:hAnsi="Segoe UI" w:cs="Segoe UI"/>
          <w:sz w:val="18"/>
          <w:szCs w:val="18"/>
          <w:lang w:eastAsia="en-GB"/>
        </w:rPr>
      </w:pPr>
    </w:p>
    <w:tbl>
      <w:tblPr>
        <w:tblW w:w="9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05"/>
      </w:tblGrid>
      <w:tr w:rsidR="00664BE6" w:rsidRPr="00EA4C9B" w14:paraId="3823C46D" w14:textId="77777777" w:rsidTr="004F0767">
        <w:trPr>
          <w:trHeight w:val="300"/>
        </w:trPr>
        <w:tc>
          <w:tcPr>
            <w:tcW w:w="9105" w:type="dxa"/>
            <w:tcBorders>
              <w:top w:val="single" w:sz="6" w:space="0" w:color="auto"/>
              <w:left w:val="single" w:sz="6" w:space="0" w:color="auto"/>
              <w:bottom w:val="single" w:sz="6" w:space="0" w:color="auto"/>
              <w:right w:val="single" w:sz="6" w:space="0" w:color="auto"/>
            </w:tcBorders>
            <w:hideMark/>
          </w:tcPr>
          <w:p w14:paraId="4F0C164E" w14:textId="77777777" w:rsidR="00664BE6" w:rsidRPr="00EA4C9B" w:rsidRDefault="00664BE6">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10"/>
                <w:szCs w:val="10"/>
                <w:lang w:eastAsia="en-GB"/>
              </w:rPr>
              <w:t> </w:t>
            </w:r>
          </w:p>
          <w:p w14:paraId="1DC096F0" w14:textId="77777777" w:rsidR="00664BE6" w:rsidRPr="00EA4C9B" w:rsidRDefault="00664BE6">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lang w:eastAsia="en-GB"/>
              </w:rPr>
              <w:t> </w:t>
            </w:r>
          </w:p>
          <w:p w14:paraId="006B3E8C" w14:textId="77777777" w:rsidR="00664BE6" w:rsidRPr="00EA4C9B" w:rsidRDefault="00664BE6">
            <w:pPr>
              <w:spacing w:after="0"/>
              <w:jc w:val="center"/>
              <w:textAlignment w:val="baseline"/>
              <w:rPr>
                <w:rFonts w:ascii="Times New Roman" w:eastAsia="Times New Roman" w:hAnsi="Times New Roman" w:cs="Times New Roman"/>
                <w:sz w:val="24"/>
                <w:szCs w:val="24"/>
                <w:lang w:eastAsia="en-GB"/>
              </w:rPr>
            </w:pPr>
            <w:r w:rsidRPr="00EA4C9B">
              <w:rPr>
                <w:rFonts w:ascii="Times New Roman" w:eastAsia="Times New Roman" w:hAnsi="Times New Roman" w:cs="Times New Roman"/>
                <w:noProof/>
                <w:sz w:val="24"/>
                <w:szCs w:val="24"/>
                <w:lang w:eastAsia="en-GB"/>
              </w:rPr>
              <w:drawing>
                <wp:inline distT="0" distB="0" distL="0" distR="0" wp14:anchorId="7CA84A20" wp14:editId="5F30AE46">
                  <wp:extent cx="5731510" cy="1109345"/>
                  <wp:effectExtent l="0" t="0" r="2540" b="0"/>
                  <wp:docPr id="1716198319" name="Picture 6"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98319" name="Picture 6" descr="A graph with different colored bars&#10;&#10;AI-generated content may be incorrec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1109345"/>
                          </a:xfrm>
                          <a:prstGeom prst="rect">
                            <a:avLst/>
                          </a:prstGeom>
                          <a:noFill/>
                          <a:ln>
                            <a:noFill/>
                          </a:ln>
                        </pic:spPr>
                      </pic:pic>
                    </a:graphicData>
                  </a:graphic>
                </wp:inline>
              </w:drawing>
            </w:r>
            <w:r w:rsidRPr="00EA4C9B">
              <w:rPr>
                <w:rFonts w:ascii="Calibri" w:eastAsia="Times New Roman" w:hAnsi="Calibri" w:cs="Calibri"/>
                <w:lang w:eastAsia="en-GB"/>
              </w:rPr>
              <w:t> </w:t>
            </w:r>
          </w:p>
          <w:p w14:paraId="2D4B2DAB" w14:textId="77777777" w:rsidR="00664BE6" w:rsidRPr="00EA4C9B" w:rsidRDefault="00664BE6">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10"/>
                <w:szCs w:val="10"/>
                <w:lang w:eastAsia="en-GB"/>
              </w:rPr>
              <w:t> </w:t>
            </w:r>
          </w:p>
        </w:tc>
      </w:tr>
      <w:tr w:rsidR="00664BE6" w:rsidRPr="00EA4C9B" w14:paraId="009BCB6C" w14:textId="77777777" w:rsidTr="004F0767">
        <w:trPr>
          <w:trHeight w:val="300"/>
        </w:trPr>
        <w:tc>
          <w:tcPr>
            <w:tcW w:w="9105" w:type="dxa"/>
            <w:tcBorders>
              <w:top w:val="single" w:sz="6" w:space="0" w:color="auto"/>
              <w:left w:val="single" w:sz="6" w:space="0" w:color="auto"/>
              <w:bottom w:val="single" w:sz="6" w:space="0" w:color="auto"/>
              <w:right w:val="single" w:sz="6" w:space="0" w:color="auto"/>
            </w:tcBorders>
            <w:shd w:val="clear" w:color="auto" w:fill="003399"/>
            <w:hideMark/>
          </w:tcPr>
          <w:p w14:paraId="4F335DA1" w14:textId="1998C7C4" w:rsidR="00664BE6" w:rsidRPr="00EA4C9B" w:rsidRDefault="00527777" w:rsidP="00B02E4E">
            <w:pPr>
              <w:pStyle w:val="FigTabCaption"/>
              <w:rPr>
                <w:rFonts w:ascii="Times New Roman" w:eastAsia="Times New Roman" w:hAnsi="Times New Roman" w:cs="Times New Roman"/>
                <w:sz w:val="24"/>
                <w:lang w:eastAsia="en-GB"/>
              </w:rPr>
            </w:pPr>
            <w:bookmarkStart w:id="247" w:name="_Ref201239052"/>
            <w:r w:rsidRPr="00051732">
              <w:t xml:space="preserve">Figure </w:t>
            </w:r>
            <w:r w:rsidR="00490085">
              <w:t>A6</w:t>
            </w:r>
            <w:r w:rsidRPr="00051732">
              <w:t>-</w:t>
            </w:r>
            <w:fldSimple w:instr=" SEQ Figure_A5- \* ARABIC ">
              <w:r w:rsidR="0091411A">
                <w:rPr>
                  <w:noProof/>
                </w:rPr>
                <w:t>48</w:t>
              </w:r>
            </w:fldSimple>
            <w:bookmarkEnd w:id="247"/>
            <w:r w:rsidR="00664BE6" w:rsidRPr="00EA4C9B">
              <w:rPr>
                <w:lang w:eastAsia="en-GB"/>
              </w:rPr>
              <w:t>: Total environmental tax revenue in Luxembourg (2009-2023) in million euros </w:t>
            </w:r>
          </w:p>
        </w:tc>
      </w:tr>
    </w:tbl>
    <w:p w14:paraId="3928708C" w14:textId="77777777" w:rsidR="00245941" w:rsidRDefault="00664BE6" w:rsidP="00664BE6">
      <w:pPr>
        <w:spacing w:after="0"/>
        <w:textAlignment w:val="baseline"/>
        <w:rPr>
          <w:rFonts w:ascii="Calibri" w:eastAsia="Times New Roman" w:hAnsi="Calibri" w:cs="Calibri"/>
          <w:lang w:eastAsia="en-GB"/>
        </w:rPr>
      </w:pPr>
      <w:r w:rsidRPr="00EA4C9B">
        <w:rPr>
          <w:rFonts w:ascii="Calibri" w:eastAsia="Times New Roman" w:hAnsi="Calibri" w:cs="Calibri"/>
          <w:lang w:eastAsia="en-GB"/>
        </w:rPr>
        <w:t> </w:t>
      </w:r>
    </w:p>
    <w:p w14:paraId="4DC2EC8B" w14:textId="68C06D27" w:rsidR="00BA5838" w:rsidRDefault="00BA5838" w:rsidP="00664BE6">
      <w:pPr>
        <w:spacing w:after="0"/>
        <w:textAlignment w:val="baseline"/>
        <w:rPr>
          <w:rFonts w:ascii="Calibri" w:eastAsia="Times New Roman" w:hAnsi="Calibri" w:cs="Calibri"/>
          <w:lang w:eastAsia="en-GB"/>
        </w:rPr>
      </w:pPr>
      <w:r w:rsidRPr="00BA5838">
        <w:rPr>
          <w:rFonts w:ascii="Calibri" w:eastAsia="Times New Roman" w:hAnsi="Calibri" w:cs="Calibri"/>
          <w:lang w:eastAsia="en-GB"/>
        </w:rPr>
        <w:t>In 2023, total tax revenue (including net social contributions) accounted for 42.7% of Luxembourg’s GDP, an increase of 4.3 percentage points compared with 38.4% in 2009. Environmental taxes represented 3% of total tax revenue</w:t>
      </w:r>
      <w:r>
        <w:rPr>
          <w:rFonts w:ascii="Calibri" w:eastAsia="Times New Roman" w:hAnsi="Calibri" w:cs="Calibri"/>
          <w:lang w:eastAsia="en-GB"/>
        </w:rPr>
        <w:t xml:space="preserve"> </w:t>
      </w:r>
      <w:r w:rsidRPr="00BA5838">
        <w:rPr>
          <w:rFonts w:ascii="Calibri" w:eastAsia="Times New Roman" w:hAnsi="Calibri" w:cs="Calibri"/>
          <w:lang w:eastAsia="en-GB"/>
        </w:rPr>
        <w:t>(including net social contributions) in 2023, down from 6.2% in 2009</w:t>
      </w:r>
      <w:r>
        <w:rPr>
          <w:rFonts w:ascii="Calibri" w:eastAsia="Times New Roman" w:hAnsi="Calibri" w:cs="Calibri"/>
          <w:lang w:eastAsia="en-GB"/>
        </w:rPr>
        <w:t xml:space="preserve"> </w:t>
      </w:r>
      <w:r w:rsidRPr="00BA5838">
        <w:rPr>
          <w:rFonts w:ascii="Calibri" w:eastAsia="Times New Roman" w:hAnsi="Calibri" w:cs="Calibri"/>
          <w:lang w:eastAsia="en-GB"/>
        </w:rPr>
        <w:t>—</w:t>
      </w:r>
      <w:r>
        <w:rPr>
          <w:rFonts w:ascii="Calibri" w:eastAsia="Times New Roman" w:hAnsi="Calibri" w:cs="Calibri"/>
          <w:lang w:eastAsia="en-GB"/>
        </w:rPr>
        <w:t xml:space="preserve"> </w:t>
      </w:r>
      <w:r w:rsidRPr="00BA5838">
        <w:rPr>
          <w:rFonts w:ascii="Calibri" w:eastAsia="Times New Roman" w:hAnsi="Calibri" w:cs="Calibri"/>
          <w:lang w:eastAsia="en-GB"/>
        </w:rPr>
        <w:t>a decline of 3.2 percentage points over the period.</w:t>
      </w:r>
    </w:p>
    <w:p w14:paraId="5C3F8D9A" w14:textId="77777777" w:rsidR="00664BE6" w:rsidRPr="00EA4C9B" w:rsidRDefault="00664BE6" w:rsidP="00664BE6">
      <w:pPr>
        <w:spacing w:after="0"/>
        <w:textAlignment w:val="baseline"/>
        <w:rPr>
          <w:rFonts w:ascii="Segoe UI" w:eastAsia="Times New Roman" w:hAnsi="Segoe UI" w:cs="Segoe UI"/>
          <w:sz w:val="18"/>
          <w:szCs w:val="18"/>
          <w:lang w:eastAsia="en-GB"/>
        </w:rPr>
      </w:pPr>
    </w:p>
    <w:tbl>
      <w:tblPr>
        <w:tblW w:w="9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20"/>
      </w:tblGrid>
      <w:tr w:rsidR="00664BE6" w:rsidRPr="00D02751" w14:paraId="19BE5B28" w14:textId="77777777" w:rsidTr="004F0767">
        <w:trPr>
          <w:trHeight w:val="300"/>
        </w:trPr>
        <w:tc>
          <w:tcPr>
            <w:tcW w:w="9120" w:type="dxa"/>
            <w:tcBorders>
              <w:top w:val="single" w:sz="6" w:space="0" w:color="auto"/>
              <w:left w:val="single" w:sz="6" w:space="0" w:color="auto"/>
              <w:bottom w:val="single" w:sz="6" w:space="0" w:color="auto"/>
              <w:right w:val="single" w:sz="6" w:space="0" w:color="auto"/>
            </w:tcBorders>
            <w:vAlign w:val="center"/>
            <w:hideMark/>
          </w:tcPr>
          <w:p w14:paraId="0D283A58" w14:textId="14AB9C17" w:rsidR="00664BE6" w:rsidRPr="00D02751" w:rsidRDefault="00664BE6" w:rsidP="004610B4">
            <w:pPr>
              <w:spacing w:after="0"/>
              <w:jc w:val="center"/>
              <w:textAlignment w:val="baseline"/>
              <w:rPr>
                <w:rFonts w:eastAsia="Times New Roman" w:cstheme="minorHAnsi"/>
                <w:sz w:val="10"/>
                <w:szCs w:val="10"/>
                <w:lang w:eastAsia="en-GB"/>
              </w:rPr>
            </w:pPr>
          </w:p>
          <w:p w14:paraId="53AF8946" w14:textId="77777777" w:rsidR="00D02751" w:rsidRPr="00D02751" w:rsidRDefault="00664BE6" w:rsidP="004610B4">
            <w:pPr>
              <w:spacing w:after="0"/>
              <w:jc w:val="center"/>
              <w:textAlignment w:val="baseline"/>
              <w:rPr>
                <w:rFonts w:eastAsia="Times New Roman" w:cstheme="minorHAnsi"/>
                <w:sz w:val="24"/>
                <w:szCs w:val="24"/>
                <w:lang w:eastAsia="en-GB"/>
              </w:rPr>
            </w:pPr>
            <w:r w:rsidRPr="00D02751">
              <w:rPr>
                <w:rFonts w:eastAsia="Times New Roman" w:cstheme="minorHAnsi"/>
                <w:noProof/>
                <w:sz w:val="24"/>
                <w:szCs w:val="24"/>
                <w:lang w:eastAsia="en-GB"/>
              </w:rPr>
              <w:drawing>
                <wp:inline distT="0" distB="0" distL="0" distR="0" wp14:anchorId="699AAEFC" wp14:editId="6E37E78A">
                  <wp:extent cx="5740696" cy="2083737"/>
                  <wp:effectExtent l="0" t="0" r="0" b="0"/>
                  <wp:docPr id="96660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0208" name="Picture 5"/>
                          <pic:cNvPicPr>
                            <a:picLocks noChangeAspect="1" noChangeArrowheads="1"/>
                          </pic:cNvPicPr>
                        </pic:nvPicPr>
                        <pic:blipFill>
                          <a:blip r:embed="rId102">
                            <a:extLst>
                              <a:ext uri="{96DAC541-7B7A-43D3-8B79-37D633B846F1}">
                                <asvg:svgBlip xmlns:asvg="http://schemas.microsoft.com/office/drawing/2016/SVG/main" r:embed="rId103"/>
                              </a:ext>
                            </a:extLst>
                          </a:blip>
                          <a:stretch>
                            <a:fillRect/>
                          </a:stretch>
                        </pic:blipFill>
                        <pic:spPr bwMode="auto">
                          <a:xfrm>
                            <a:off x="0" y="0"/>
                            <a:ext cx="5768021" cy="2093655"/>
                          </a:xfrm>
                          <a:prstGeom prst="rect">
                            <a:avLst/>
                          </a:prstGeom>
                        </pic:spPr>
                      </pic:pic>
                    </a:graphicData>
                  </a:graphic>
                </wp:inline>
              </w:drawing>
            </w:r>
          </w:p>
          <w:p w14:paraId="5B52FCF0" w14:textId="5AED10EF" w:rsidR="00664BE6" w:rsidRPr="00D02751" w:rsidRDefault="00664BE6" w:rsidP="004610B4">
            <w:pPr>
              <w:spacing w:after="0"/>
              <w:jc w:val="center"/>
              <w:textAlignment w:val="baseline"/>
              <w:rPr>
                <w:rFonts w:eastAsia="Times New Roman" w:cstheme="minorHAnsi"/>
                <w:sz w:val="24"/>
                <w:szCs w:val="24"/>
                <w:lang w:eastAsia="en-GB"/>
              </w:rPr>
            </w:pPr>
          </w:p>
        </w:tc>
      </w:tr>
      <w:tr w:rsidR="00664BE6" w:rsidRPr="00D02751" w14:paraId="5D526B1A" w14:textId="77777777" w:rsidTr="004F0767">
        <w:trPr>
          <w:trHeight w:val="300"/>
        </w:trPr>
        <w:tc>
          <w:tcPr>
            <w:tcW w:w="9120" w:type="dxa"/>
            <w:tcBorders>
              <w:top w:val="single" w:sz="6" w:space="0" w:color="auto"/>
              <w:left w:val="single" w:sz="6" w:space="0" w:color="auto"/>
              <w:bottom w:val="single" w:sz="6" w:space="0" w:color="auto"/>
              <w:right w:val="single" w:sz="6" w:space="0" w:color="auto"/>
            </w:tcBorders>
            <w:shd w:val="clear" w:color="auto" w:fill="003399"/>
            <w:hideMark/>
          </w:tcPr>
          <w:p w14:paraId="656EF959" w14:textId="15A75B07" w:rsidR="00556259" w:rsidRPr="00556259" w:rsidRDefault="00527777" w:rsidP="00556259">
            <w:pPr>
              <w:pStyle w:val="FigTabCaption"/>
              <w:rPr>
                <w:rFonts w:cstheme="minorHAnsi"/>
                <w:lang w:eastAsia="en-GB"/>
              </w:rPr>
            </w:pPr>
            <w:bookmarkStart w:id="248" w:name="_Ref201232435"/>
            <w:r w:rsidRPr="00D02751">
              <w:rPr>
                <w:rFonts w:cstheme="minorHAnsi"/>
              </w:rPr>
              <w:t xml:space="preserve">Figure </w:t>
            </w:r>
            <w:r w:rsidR="00490085">
              <w:rPr>
                <w:rFonts w:cstheme="minorHAnsi"/>
              </w:rPr>
              <w:t>A6</w:t>
            </w:r>
            <w:r w:rsidRPr="00D02751">
              <w:rPr>
                <w:rFonts w:cstheme="minorHAnsi"/>
              </w:rPr>
              <w:t>-</w:t>
            </w:r>
            <w:r w:rsidR="0091411A" w:rsidRPr="00D02751">
              <w:rPr>
                <w:rFonts w:cstheme="minorHAnsi"/>
              </w:rPr>
              <w:fldChar w:fldCharType="begin"/>
            </w:r>
            <w:r w:rsidR="0091411A" w:rsidRPr="00D02751">
              <w:rPr>
                <w:rFonts w:cstheme="minorHAnsi"/>
              </w:rPr>
              <w:instrText xml:space="preserve"> SEQ Figure_A5- \* ARABIC </w:instrText>
            </w:r>
            <w:r w:rsidR="0091411A" w:rsidRPr="00D02751">
              <w:rPr>
                <w:rFonts w:cstheme="minorHAnsi"/>
              </w:rPr>
              <w:fldChar w:fldCharType="separate"/>
            </w:r>
            <w:r w:rsidR="0091411A" w:rsidRPr="00D02751">
              <w:rPr>
                <w:rFonts w:cstheme="minorHAnsi"/>
                <w:noProof/>
              </w:rPr>
              <w:t>49</w:t>
            </w:r>
            <w:r w:rsidR="0091411A" w:rsidRPr="00D02751">
              <w:rPr>
                <w:rFonts w:cstheme="minorHAnsi"/>
                <w:noProof/>
              </w:rPr>
              <w:fldChar w:fldCharType="end"/>
            </w:r>
            <w:bookmarkEnd w:id="248"/>
            <w:r w:rsidR="00664BE6" w:rsidRPr="00D02751">
              <w:rPr>
                <w:rFonts w:cstheme="minorHAnsi"/>
                <w:lang w:eastAsia="en-GB"/>
              </w:rPr>
              <w:t>: Fifteen-year (2009-2023) change in absolute terms and change as GDP-ratio of the revenues of energy taxes, transport taxes, resource taxes, pollution taxes and total environmental taxes</w:t>
            </w:r>
            <w:r w:rsidR="00996C35">
              <w:rPr>
                <w:rFonts w:cstheme="minorHAnsi"/>
                <w:lang w:eastAsia="en-GB"/>
              </w:rPr>
              <w:t xml:space="preserve"> </w:t>
            </w:r>
            <w:r w:rsidR="00556259">
              <w:rPr>
                <w:rFonts w:cstheme="minorHAnsi"/>
                <w:lang w:eastAsia="en-GB"/>
              </w:rPr>
              <w:t xml:space="preserve">- </w:t>
            </w:r>
            <w:r w:rsidR="00556259" w:rsidRPr="00556259">
              <w:rPr>
                <w:rFonts w:cstheme="minorHAnsi"/>
                <w:i/>
                <w:iCs/>
                <w:lang w:eastAsia="en-GB"/>
              </w:rPr>
              <w:t>Note – resource taxes change is measured from 2010-2023</w:t>
            </w:r>
            <w:r w:rsidR="00556259" w:rsidRPr="00556259">
              <w:rPr>
                <w:rFonts w:cstheme="minorHAnsi"/>
                <w:lang w:eastAsia="en-GB"/>
              </w:rPr>
              <w:t> </w:t>
            </w:r>
          </w:p>
          <w:p w14:paraId="36BBCA73" w14:textId="505BCD12" w:rsidR="00664BE6" w:rsidRPr="00D02751" w:rsidRDefault="00664BE6" w:rsidP="00E14894">
            <w:pPr>
              <w:pStyle w:val="FigTabCaption"/>
              <w:rPr>
                <w:rFonts w:eastAsia="Times New Roman" w:cstheme="minorHAnsi"/>
                <w:sz w:val="24"/>
                <w:lang w:eastAsia="en-GB"/>
              </w:rPr>
            </w:pPr>
          </w:p>
        </w:tc>
      </w:tr>
    </w:tbl>
    <w:p w14:paraId="62D70A30" w14:textId="77777777" w:rsidR="00664BE6" w:rsidRPr="00EA4C9B" w:rsidRDefault="00664BE6" w:rsidP="00664BE6">
      <w:pPr>
        <w:spacing w:after="0"/>
      </w:pPr>
    </w:p>
    <w:p w14:paraId="3E9C0A11" w14:textId="6F643B48" w:rsidR="00664BE6" w:rsidRPr="00EA4C9B" w:rsidRDefault="00664BE6" w:rsidP="007C4EB7">
      <w:pPr>
        <w:pStyle w:val="AnnexHeading2"/>
      </w:pPr>
      <w:bookmarkStart w:id="249" w:name="_Toc214008915"/>
      <w:r w:rsidRPr="00EA4C9B">
        <w:t xml:space="preserve">Existing </w:t>
      </w:r>
      <w:r w:rsidR="00D02751" w:rsidRPr="00EA4C9B">
        <w:t>pollution and resource taxes</w:t>
      </w:r>
      <w:bookmarkEnd w:id="249"/>
    </w:p>
    <w:p w14:paraId="3450E9CA" w14:textId="367558EE" w:rsidR="00664BE6" w:rsidRPr="00EA4C9B" w:rsidRDefault="00664BE6" w:rsidP="00664BE6">
      <w:pPr>
        <w:spacing w:after="0"/>
        <w:textAlignment w:val="baseline"/>
        <w:rPr>
          <w:rFonts w:ascii="Calibri" w:eastAsia="Times New Roman" w:hAnsi="Calibri" w:cs="Calibri"/>
          <w:lang w:eastAsia="en-GB"/>
        </w:rPr>
      </w:pPr>
      <w:r w:rsidRPr="00EA4C9B">
        <w:rPr>
          <w:rFonts w:ascii="Calibri" w:eastAsia="Times New Roman" w:hAnsi="Calibri" w:cs="Calibri"/>
          <w:lang w:eastAsia="en-GB"/>
        </w:rPr>
        <w:t>Luxembourg does not levy pollution taxes. In 2023, resource tax revenue reached 8 million euros. This amounts to an increase in absolute terms of 69.7% over 14 years (2010-2023). However, in terms of GDP-ratios, resource taxes decreased by 7% (</w:t>
      </w:r>
      <w:r w:rsidR="000E3CE9" w:rsidRPr="000E3CE9">
        <w:rPr>
          <w:rFonts w:ascii="Calibri" w:eastAsia="Times New Roman" w:hAnsi="Calibri" w:cs="Calibri"/>
          <w:lang w:eastAsia="en-GB"/>
        </w:rPr>
        <w:fldChar w:fldCharType="begin"/>
      </w:r>
      <w:r w:rsidR="000E3CE9" w:rsidRPr="000E3CE9">
        <w:rPr>
          <w:rFonts w:ascii="Calibri" w:eastAsia="Times New Roman" w:hAnsi="Calibri" w:cs="Calibri"/>
          <w:lang w:eastAsia="en-GB"/>
        </w:rPr>
        <w:instrText xml:space="preserve"> REF _Ref201232435 \h  \* MERGEFORMAT </w:instrText>
      </w:r>
      <w:r w:rsidR="000E3CE9" w:rsidRPr="000E3CE9">
        <w:rPr>
          <w:rFonts w:ascii="Calibri" w:eastAsia="Times New Roman" w:hAnsi="Calibri" w:cs="Calibri"/>
          <w:lang w:eastAsia="en-GB"/>
        </w:rPr>
      </w:r>
      <w:r w:rsidR="000E3CE9" w:rsidRPr="000E3CE9">
        <w:rPr>
          <w:rFonts w:ascii="Calibri" w:eastAsia="Times New Roman" w:hAnsi="Calibri" w:cs="Calibri"/>
          <w:lang w:eastAsia="en-GB"/>
        </w:rPr>
        <w:fldChar w:fldCharType="separate"/>
      </w:r>
      <w:r w:rsidR="000E3CE9" w:rsidRPr="000E3CE9">
        <w:t xml:space="preserve">Figure </w:t>
      </w:r>
      <w:r w:rsidR="00490085">
        <w:t>A6</w:t>
      </w:r>
      <w:r w:rsidR="000E3CE9" w:rsidRPr="000E3CE9">
        <w:t>-</w:t>
      </w:r>
      <w:r w:rsidR="000E3CE9" w:rsidRPr="000E3CE9">
        <w:rPr>
          <w:noProof/>
        </w:rPr>
        <w:t>49</w:t>
      </w:r>
      <w:r w:rsidR="000E3CE9" w:rsidRPr="000E3CE9">
        <w:rPr>
          <w:rFonts w:ascii="Calibri" w:eastAsia="Times New Roman" w:hAnsi="Calibri" w:cs="Calibri"/>
          <w:lang w:eastAsia="en-GB"/>
        </w:rPr>
        <w:fldChar w:fldCharType="end"/>
      </w:r>
      <w:r w:rsidRPr="00EA4C9B">
        <w:rPr>
          <w:rFonts w:ascii="Calibri" w:eastAsia="Times New Roman" w:hAnsi="Calibri" w:cs="Calibri"/>
          <w:lang w:eastAsia="en-GB"/>
        </w:rPr>
        <w:t>). In 2023, resource tax revenues accounted for 0.83% of the total environmental tax revenues.  In 2022, 61% of resource tax revenues were paid by households and 39% by economic activities (as classified by NACE)</w:t>
      </w:r>
      <w:r w:rsidRPr="00EA4C9B">
        <w:rPr>
          <w:rFonts w:ascii="Calibri" w:eastAsia="Times New Roman" w:hAnsi="Calibri" w:cs="Calibri"/>
          <w:vertAlign w:val="superscript"/>
          <w:lang w:eastAsia="en-GB"/>
        </w:rPr>
        <w:footnoteReference w:id="549"/>
      </w:r>
      <w:r w:rsidRPr="00EA4C9B">
        <w:rPr>
          <w:rFonts w:ascii="Calibri" w:eastAsia="Times New Roman" w:hAnsi="Calibri" w:cs="Calibri"/>
          <w:lang w:eastAsia="en-GB"/>
        </w:rPr>
        <w:t>.</w:t>
      </w:r>
    </w:p>
    <w:p w14:paraId="0C9DBCE2" w14:textId="77777777" w:rsidR="00664BE6" w:rsidRPr="00EA4C9B" w:rsidRDefault="00664BE6" w:rsidP="00664BE6">
      <w:pPr>
        <w:spacing w:after="0"/>
        <w:textAlignment w:val="baseline"/>
        <w:rPr>
          <w:rFonts w:ascii="Segoe UI" w:eastAsia="Times New Roman" w:hAnsi="Segoe UI" w:cs="Segoe UI"/>
          <w:sz w:val="18"/>
          <w:szCs w:val="18"/>
          <w:lang w:eastAsia="en-GB"/>
        </w:rPr>
      </w:pPr>
    </w:p>
    <w:tbl>
      <w:tblPr>
        <w:tblW w:w="9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05"/>
      </w:tblGrid>
      <w:tr w:rsidR="00664BE6" w:rsidRPr="00EA4C9B" w14:paraId="5DC245C0" w14:textId="77777777" w:rsidTr="004F0767">
        <w:trPr>
          <w:trHeight w:val="300"/>
        </w:trPr>
        <w:tc>
          <w:tcPr>
            <w:tcW w:w="9105" w:type="dxa"/>
            <w:tcBorders>
              <w:top w:val="single" w:sz="6" w:space="0" w:color="auto"/>
              <w:left w:val="single" w:sz="6" w:space="0" w:color="auto"/>
              <w:bottom w:val="single" w:sz="6" w:space="0" w:color="auto"/>
              <w:right w:val="single" w:sz="6" w:space="0" w:color="auto"/>
            </w:tcBorders>
            <w:hideMark/>
          </w:tcPr>
          <w:p w14:paraId="1A63F137" w14:textId="77777777" w:rsidR="00664BE6" w:rsidRPr="00EA4C9B" w:rsidRDefault="00664BE6">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10"/>
                <w:szCs w:val="10"/>
                <w:lang w:eastAsia="en-GB"/>
              </w:rPr>
              <w:t> </w:t>
            </w:r>
          </w:p>
          <w:p w14:paraId="07297D8D" w14:textId="77777777" w:rsidR="00664BE6" w:rsidRPr="00EA4C9B" w:rsidRDefault="00664BE6">
            <w:pPr>
              <w:spacing w:after="0"/>
              <w:jc w:val="center"/>
              <w:textAlignment w:val="baseline"/>
              <w:rPr>
                <w:rFonts w:ascii="Times New Roman" w:eastAsia="Times New Roman" w:hAnsi="Times New Roman" w:cs="Times New Roman"/>
                <w:sz w:val="24"/>
                <w:szCs w:val="24"/>
                <w:lang w:eastAsia="en-GB"/>
              </w:rPr>
            </w:pPr>
            <w:r w:rsidRPr="00EA4C9B">
              <w:rPr>
                <w:rFonts w:ascii="Times New Roman" w:eastAsia="Times New Roman" w:hAnsi="Times New Roman" w:cs="Times New Roman"/>
                <w:noProof/>
                <w:sz w:val="24"/>
                <w:szCs w:val="24"/>
                <w:lang w:eastAsia="en-GB"/>
              </w:rPr>
              <w:drawing>
                <wp:inline distT="0" distB="0" distL="0" distR="0" wp14:anchorId="71BA8BD8" wp14:editId="1C93E145">
                  <wp:extent cx="5731510" cy="1230630"/>
                  <wp:effectExtent l="0" t="0" r="2540" b="7620"/>
                  <wp:docPr id="944472195" name="Picture 7" descr="A graph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72195" name="Picture 7" descr="A graph of blue and white bars&#10;&#10;AI-generated content may be incorrec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1230630"/>
                          </a:xfrm>
                          <a:prstGeom prst="rect">
                            <a:avLst/>
                          </a:prstGeom>
                          <a:noFill/>
                          <a:ln>
                            <a:noFill/>
                          </a:ln>
                        </pic:spPr>
                      </pic:pic>
                    </a:graphicData>
                  </a:graphic>
                </wp:inline>
              </w:drawing>
            </w:r>
            <w:r w:rsidRPr="00EA4C9B">
              <w:rPr>
                <w:rFonts w:ascii="Calibri" w:eastAsia="Times New Roman" w:hAnsi="Calibri" w:cs="Calibri"/>
                <w:lang w:eastAsia="en-GB"/>
              </w:rPr>
              <w:t> </w:t>
            </w:r>
          </w:p>
        </w:tc>
      </w:tr>
      <w:tr w:rsidR="00664BE6" w:rsidRPr="00EA4C9B" w14:paraId="31029CB4" w14:textId="77777777" w:rsidTr="004F0767">
        <w:trPr>
          <w:trHeight w:val="300"/>
        </w:trPr>
        <w:tc>
          <w:tcPr>
            <w:tcW w:w="9105" w:type="dxa"/>
            <w:tcBorders>
              <w:top w:val="single" w:sz="6" w:space="0" w:color="auto"/>
              <w:left w:val="single" w:sz="6" w:space="0" w:color="auto"/>
              <w:bottom w:val="single" w:sz="6" w:space="0" w:color="auto"/>
              <w:right w:val="single" w:sz="6" w:space="0" w:color="auto"/>
            </w:tcBorders>
            <w:shd w:val="clear" w:color="auto" w:fill="003399"/>
            <w:hideMark/>
          </w:tcPr>
          <w:p w14:paraId="00FACFCD" w14:textId="083344D5" w:rsidR="00664BE6" w:rsidRPr="00EA4C9B" w:rsidRDefault="00527777" w:rsidP="00E14894">
            <w:pPr>
              <w:pStyle w:val="FigTabCaption"/>
              <w:rPr>
                <w:rFonts w:ascii="Times New Roman" w:eastAsia="Times New Roman" w:hAnsi="Times New Roman" w:cs="Times New Roman"/>
                <w:sz w:val="24"/>
                <w:lang w:eastAsia="en-GB"/>
              </w:rPr>
            </w:pPr>
            <w:r w:rsidRPr="00051732">
              <w:t xml:space="preserve">Figure </w:t>
            </w:r>
            <w:r w:rsidR="00490085">
              <w:t>A6</w:t>
            </w:r>
            <w:r w:rsidRPr="00051732">
              <w:t>-</w:t>
            </w:r>
            <w:fldSimple w:instr=" SEQ Figure_A5- \* ARABIC ">
              <w:r w:rsidR="0091411A">
                <w:rPr>
                  <w:noProof/>
                </w:rPr>
                <w:t>50</w:t>
              </w:r>
            </w:fldSimple>
            <w:r w:rsidR="00664BE6" w:rsidRPr="00EA4C9B">
              <w:rPr>
                <w:bCs/>
                <w:lang w:eastAsia="en-GB"/>
              </w:rPr>
              <w:t>:</w:t>
            </w:r>
            <w:r w:rsidR="00664BE6" w:rsidRPr="00EA4C9B">
              <w:rPr>
                <w:lang w:eastAsia="en-GB"/>
              </w:rPr>
              <w:t xml:space="preserve"> Resource tax revenues in Luxembourg (2009-2023) in million euros</w:t>
            </w:r>
            <w:r w:rsidR="00F26A70">
              <w:rPr>
                <w:lang w:eastAsia="en-GB"/>
              </w:rPr>
              <w:t xml:space="preserve">. </w:t>
            </w:r>
            <w:r w:rsidR="00F26A70" w:rsidRPr="00EA4C9B">
              <w:rPr>
                <w:rFonts w:ascii="Calibri" w:eastAsia="Calibri" w:hAnsi="Calibri" w:cs="Calibri"/>
                <w:i/>
                <w:iCs/>
              </w:rPr>
              <w:t>Note: the share between pollution and resource taxes in 2023 was estimated as the weighted average of past years</w:t>
            </w:r>
            <w:r w:rsidR="00F26A70" w:rsidRPr="00EA4C9B">
              <w:rPr>
                <w:rFonts w:ascii="Calibri" w:eastAsia="Calibri" w:hAnsi="Calibri" w:cs="Calibri"/>
              </w:rPr>
              <w:t> </w:t>
            </w:r>
          </w:p>
        </w:tc>
      </w:tr>
    </w:tbl>
    <w:p w14:paraId="2B9E6558" w14:textId="77777777" w:rsidR="00A00DA3" w:rsidRPr="00A00DA3" w:rsidRDefault="00A00DA3" w:rsidP="00A00DA3">
      <w:pPr>
        <w:pStyle w:val="Heading4"/>
        <w:rPr>
          <w:rFonts w:eastAsia="Times New Roman" w:cs="Calibri"/>
          <w:lang w:eastAsia="en-GB"/>
        </w:rPr>
      </w:pPr>
      <w:r w:rsidRPr="00A00DA3">
        <w:rPr>
          <w:rFonts w:eastAsia="Times New Roman" w:cs="Calibri"/>
          <w:lang w:eastAsia="en-GB"/>
        </w:rPr>
        <w:t>List of pollution and resource taxes and revenue shares</w:t>
      </w:r>
    </w:p>
    <w:tbl>
      <w:tblPr>
        <w:tblW w:w="90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5"/>
        <w:gridCol w:w="2235"/>
        <w:gridCol w:w="2235"/>
        <w:gridCol w:w="2385"/>
      </w:tblGrid>
      <w:tr w:rsidR="00664BE6" w:rsidRPr="00EA4C9B" w14:paraId="5C790473" w14:textId="77777777" w:rsidTr="004F0767">
        <w:trPr>
          <w:trHeight w:val="300"/>
        </w:trPr>
        <w:tc>
          <w:tcPr>
            <w:tcW w:w="9090"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2A496373" w14:textId="1CB64AFA" w:rsidR="00664BE6" w:rsidRPr="00653288" w:rsidRDefault="00527777" w:rsidP="00653288">
            <w:pPr>
              <w:pStyle w:val="Table"/>
              <w:rPr>
                <w:rFonts w:ascii="Calibri" w:eastAsia="Times New Roman" w:hAnsi="Calibri" w:cs="Calibri"/>
                <w:b/>
                <w:color w:val="FFFFFF" w:themeColor="background1"/>
                <w:szCs w:val="20"/>
                <w:lang w:eastAsia="en-IE"/>
              </w:rPr>
            </w:pPr>
            <w:r w:rsidRPr="00653288">
              <w:rPr>
                <w:b/>
                <w:color w:val="FFFFFF" w:themeColor="background1"/>
              </w:rPr>
              <w:t xml:space="preserve">Table </w:t>
            </w:r>
            <w:r w:rsidR="00490085">
              <w:rPr>
                <w:b/>
                <w:color w:val="FFFFFF" w:themeColor="background1"/>
              </w:rPr>
              <w:t>A6</w:t>
            </w:r>
            <w:r w:rsidR="00653288" w:rsidRPr="00653288">
              <w:rPr>
                <w:b/>
                <w:bCs/>
                <w:color w:val="FFFFFF" w:themeColor="background1"/>
              </w:rPr>
              <w:t>-</w:t>
            </w:r>
            <w:r w:rsidR="00653288" w:rsidRPr="00653288">
              <w:rPr>
                <w:b/>
                <w:bCs/>
                <w:color w:val="FFFFFF" w:themeColor="background1"/>
              </w:rPr>
              <w:fldChar w:fldCharType="begin"/>
            </w:r>
            <w:r w:rsidR="00653288" w:rsidRPr="00653288">
              <w:rPr>
                <w:b/>
                <w:bCs/>
                <w:color w:val="FFFFFF" w:themeColor="background1"/>
              </w:rPr>
              <w:instrText xml:space="preserve"> SEQ Table_A5- \* ARABIC </w:instrText>
            </w:r>
            <w:r w:rsidR="00653288" w:rsidRPr="00653288">
              <w:rPr>
                <w:b/>
                <w:bCs/>
                <w:color w:val="FFFFFF" w:themeColor="background1"/>
              </w:rPr>
              <w:fldChar w:fldCharType="separate"/>
            </w:r>
            <w:r w:rsidR="00D02751">
              <w:rPr>
                <w:b/>
                <w:bCs/>
                <w:noProof/>
                <w:color w:val="FFFFFF" w:themeColor="background1"/>
              </w:rPr>
              <w:t>89</w:t>
            </w:r>
            <w:r w:rsidR="00653288" w:rsidRPr="00653288">
              <w:rPr>
                <w:b/>
                <w:bCs/>
                <w:color w:val="FFFFFF" w:themeColor="background1"/>
              </w:rPr>
              <w:fldChar w:fldCharType="end"/>
            </w:r>
            <w:r w:rsidR="00664BE6" w:rsidRPr="00653288">
              <w:rPr>
                <w:rFonts w:ascii="Calibri" w:eastAsia="Times New Roman" w:hAnsi="Calibri" w:cs="Calibri"/>
                <w:b/>
                <w:color w:val="FFFFFF" w:themeColor="background1"/>
                <w:szCs w:val="20"/>
                <w:lang w:eastAsia="en-IE"/>
              </w:rPr>
              <w:t>:  Resource taxes  </w:t>
            </w:r>
          </w:p>
        </w:tc>
      </w:tr>
      <w:tr w:rsidR="00664BE6" w:rsidRPr="00EA4C9B" w14:paraId="1C25D2D8" w14:textId="77777777" w:rsidTr="004F0767">
        <w:trPr>
          <w:trHeight w:val="300"/>
        </w:trPr>
        <w:tc>
          <w:tcPr>
            <w:tcW w:w="2235" w:type="dxa"/>
            <w:tcBorders>
              <w:top w:val="single" w:sz="6" w:space="0" w:color="auto"/>
              <w:left w:val="single" w:sz="6" w:space="0" w:color="auto"/>
              <w:bottom w:val="single" w:sz="6" w:space="0" w:color="auto"/>
              <w:right w:val="single" w:sz="6" w:space="0" w:color="auto"/>
            </w:tcBorders>
            <w:hideMark/>
          </w:tcPr>
          <w:p w14:paraId="29AC892B" w14:textId="77777777" w:rsidR="00664BE6" w:rsidRPr="00EA4C9B" w:rsidRDefault="00664BE6" w:rsidP="00653288">
            <w:pPr>
              <w:pStyle w:val="Table"/>
              <w:rPr>
                <w:rFonts w:ascii="Calibri" w:eastAsia="Times New Roman" w:hAnsi="Calibri" w:cs="Calibri"/>
                <w:szCs w:val="20"/>
                <w:lang w:eastAsia="en-IE"/>
              </w:rPr>
            </w:pPr>
            <w:r w:rsidRPr="00EA4C9B">
              <w:rPr>
                <w:rFonts w:ascii="Calibri" w:eastAsia="Times New Roman" w:hAnsi="Calibri" w:cs="Calibri"/>
                <w:b/>
                <w:szCs w:val="20"/>
                <w:lang w:eastAsia="en-IE"/>
              </w:rPr>
              <w:t>Tax Name</w:t>
            </w:r>
            <w:r w:rsidRPr="00EA4C9B">
              <w:rPr>
                <w:rFonts w:ascii="Calibri" w:eastAsia="Times New Roman" w:hAnsi="Calibri" w:cs="Calibri"/>
                <w:szCs w:val="20"/>
                <w:lang w:eastAsia="en-IE"/>
              </w:rPr>
              <w:t>  </w:t>
            </w:r>
          </w:p>
        </w:tc>
        <w:tc>
          <w:tcPr>
            <w:tcW w:w="2235" w:type="dxa"/>
            <w:tcBorders>
              <w:top w:val="single" w:sz="6" w:space="0" w:color="auto"/>
              <w:left w:val="single" w:sz="6" w:space="0" w:color="auto"/>
              <w:bottom w:val="single" w:sz="6" w:space="0" w:color="auto"/>
              <w:right w:val="single" w:sz="6" w:space="0" w:color="auto"/>
            </w:tcBorders>
            <w:hideMark/>
          </w:tcPr>
          <w:p w14:paraId="5B1704D8" w14:textId="4398C61F" w:rsidR="00664BE6" w:rsidRPr="00EA4C9B" w:rsidRDefault="00664BE6" w:rsidP="00D02751">
            <w:pPr>
              <w:pStyle w:val="Table"/>
              <w:jc w:val="center"/>
              <w:rPr>
                <w:rFonts w:ascii="Calibri" w:eastAsia="Times New Roman" w:hAnsi="Calibri" w:cs="Calibri"/>
                <w:szCs w:val="20"/>
                <w:lang w:eastAsia="en-IE"/>
              </w:rPr>
            </w:pPr>
            <w:r w:rsidRPr="00EA4C9B">
              <w:rPr>
                <w:rFonts w:ascii="Calibri" w:eastAsia="Times New Roman" w:hAnsi="Calibri" w:cs="Calibri"/>
                <w:b/>
                <w:szCs w:val="20"/>
                <w:lang w:eastAsia="en-IE"/>
              </w:rPr>
              <w:t>Revenue (€ million)</w:t>
            </w:r>
          </w:p>
          <w:p w14:paraId="1D21C496" w14:textId="56F5787D" w:rsidR="00664BE6" w:rsidRPr="00EA4C9B" w:rsidRDefault="00664BE6" w:rsidP="00D02751">
            <w:pPr>
              <w:pStyle w:val="Table"/>
              <w:jc w:val="center"/>
              <w:rPr>
                <w:rFonts w:ascii="Calibri" w:eastAsia="Times New Roman" w:hAnsi="Calibri" w:cs="Calibri"/>
                <w:szCs w:val="20"/>
                <w:lang w:eastAsia="en-IE"/>
              </w:rPr>
            </w:pPr>
            <w:r w:rsidRPr="00EA4C9B">
              <w:rPr>
                <w:rFonts w:ascii="Calibri" w:eastAsia="Times New Roman" w:hAnsi="Calibri" w:cs="Calibri"/>
                <w:b/>
                <w:szCs w:val="20"/>
                <w:lang w:eastAsia="en-IE"/>
              </w:rPr>
              <w:t>2009-2023</w:t>
            </w:r>
          </w:p>
        </w:tc>
        <w:tc>
          <w:tcPr>
            <w:tcW w:w="2235" w:type="dxa"/>
            <w:tcBorders>
              <w:top w:val="single" w:sz="6" w:space="0" w:color="auto"/>
              <w:left w:val="single" w:sz="6" w:space="0" w:color="auto"/>
              <w:bottom w:val="single" w:sz="6" w:space="0" w:color="auto"/>
              <w:right w:val="single" w:sz="6" w:space="0" w:color="auto"/>
            </w:tcBorders>
            <w:hideMark/>
          </w:tcPr>
          <w:p w14:paraId="337F7A78" w14:textId="221C3C76" w:rsidR="00664BE6" w:rsidRPr="00EA4C9B" w:rsidRDefault="00664BE6" w:rsidP="00D02751">
            <w:pPr>
              <w:pStyle w:val="Table"/>
              <w:jc w:val="center"/>
              <w:rPr>
                <w:rFonts w:ascii="Calibri" w:eastAsia="Times New Roman" w:hAnsi="Calibri" w:cs="Calibri"/>
                <w:szCs w:val="20"/>
                <w:lang w:eastAsia="en-IE"/>
              </w:rPr>
            </w:pPr>
            <w:r w:rsidRPr="00EA4C9B">
              <w:rPr>
                <w:rFonts w:ascii="Calibri" w:eastAsia="Times New Roman" w:hAnsi="Calibri" w:cs="Calibri"/>
                <w:b/>
                <w:szCs w:val="20"/>
                <w:lang w:eastAsia="en-IE"/>
              </w:rPr>
              <w:t>Average annual revenue (€ million)</w:t>
            </w:r>
          </w:p>
        </w:tc>
        <w:tc>
          <w:tcPr>
            <w:tcW w:w="2385" w:type="dxa"/>
            <w:tcBorders>
              <w:top w:val="single" w:sz="6" w:space="0" w:color="auto"/>
              <w:left w:val="single" w:sz="6" w:space="0" w:color="auto"/>
              <w:bottom w:val="single" w:sz="6" w:space="0" w:color="auto"/>
              <w:right w:val="single" w:sz="6" w:space="0" w:color="auto"/>
            </w:tcBorders>
            <w:hideMark/>
          </w:tcPr>
          <w:p w14:paraId="3C8A2E7A" w14:textId="304847AC" w:rsidR="00664BE6" w:rsidRPr="00EA4C9B" w:rsidRDefault="00664BE6" w:rsidP="00D02751">
            <w:pPr>
              <w:pStyle w:val="Table"/>
              <w:jc w:val="center"/>
              <w:rPr>
                <w:rFonts w:ascii="Calibri" w:eastAsia="Times New Roman" w:hAnsi="Calibri" w:cs="Calibri"/>
                <w:szCs w:val="20"/>
                <w:lang w:eastAsia="en-IE"/>
              </w:rPr>
            </w:pPr>
            <w:r w:rsidRPr="00EA4C9B">
              <w:rPr>
                <w:rFonts w:ascii="Calibri" w:eastAsia="Times New Roman" w:hAnsi="Calibri" w:cs="Calibri"/>
                <w:b/>
                <w:szCs w:val="20"/>
                <w:lang w:eastAsia="en-IE"/>
              </w:rPr>
              <w:t>As share of all pollution tax revenues</w:t>
            </w:r>
          </w:p>
        </w:tc>
      </w:tr>
      <w:tr w:rsidR="00664BE6" w:rsidRPr="00EA4C9B" w14:paraId="77A4A09A" w14:textId="77777777" w:rsidTr="004F0767">
        <w:trPr>
          <w:trHeight w:val="300"/>
        </w:trPr>
        <w:tc>
          <w:tcPr>
            <w:tcW w:w="2235" w:type="dxa"/>
            <w:tcBorders>
              <w:top w:val="single" w:sz="6" w:space="0" w:color="auto"/>
              <w:left w:val="single" w:sz="6" w:space="0" w:color="auto"/>
              <w:bottom w:val="single" w:sz="6" w:space="0" w:color="auto"/>
              <w:right w:val="single" w:sz="6" w:space="0" w:color="auto"/>
            </w:tcBorders>
            <w:hideMark/>
          </w:tcPr>
          <w:p w14:paraId="721657BF" w14:textId="77777777" w:rsidR="00664BE6" w:rsidRPr="00EA4C9B" w:rsidRDefault="00664BE6" w:rsidP="00653288">
            <w:pPr>
              <w:pStyle w:val="Table"/>
              <w:rPr>
                <w:rFonts w:ascii="Calibri" w:eastAsia="Times New Roman" w:hAnsi="Calibri" w:cs="Calibri"/>
                <w:szCs w:val="20"/>
                <w:lang w:eastAsia="en-IE"/>
              </w:rPr>
            </w:pPr>
            <w:r w:rsidRPr="00EA4C9B">
              <w:rPr>
                <w:rFonts w:ascii="Calibri" w:eastAsia="Times New Roman" w:hAnsi="Calibri" w:cs="Calibri"/>
                <w:szCs w:val="20"/>
                <w:lang w:eastAsia="en-IE"/>
              </w:rPr>
              <w:t>Tax on water </w:t>
            </w:r>
          </w:p>
        </w:tc>
        <w:tc>
          <w:tcPr>
            <w:tcW w:w="2235" w:type="dxa"/>
            <w:tcBorders>
              <w:top w:val="single" w:sz="6" w:space="0" w:color="auto"/>
              <w:left w:val="single" w:sz="6" w:space="0" w:color="auto"/>
              <w:bottom w:val="single" w:sz="6" w:space="0" w:color="auto"/>
              <w:right w:val="single" w:sz="6" w:space="0" w:color="auto"/>
            </w:tcBorders>
            <w:hideMark/>
          </w:tcPr>
          <w:p w14:paraId="5E312BD4" w14:textId="5FF24BED" w:rsidR="00664BE6" w:rsidRPr="00EA4C9B" w:rsidRDefault="00664BE6" w:rsidP="00D02751">
            <w:pPr>
              <w:pStyle w:val="Table"/>
              <w:jc w:val="center"/>
              <w:rPr>
                <w:rFonts w:ascii="Calibri" w:eastAsia="Times New Roman" w:hAnsi="Calibri" w:cs="Calibri"/>
                <w:szCs w:val="20"/>
                <w:lang w:eastAsia="en-IE"/>
              </w:rPr>
            </w:pPr>
            <w:r w:rsidRPr="00EA4C9B">
              <w:rPr>
                <w:rFonts w:ascii="Calibri" w:eastAsia="Times New Roman" w:hAnsi="Calibri" w:cs="Calibri"/>
                <w:szCs w:val="20"/>
                <w:lang w:eastAsia="en-IE"/>
              </w:rPr>
              <w:t>118.3</w:t>
            </w:r>
          </w:p>
        </w:tc>
        <w:tc>
          <w:tcPr>
            <w:tcW w:w="2235" w:type="dxa"/>
            <w:tcBorders>
              <w:top w:val="single" w:sz="6" w:space="0" w:color="auto"/>
              <w:left w:val="single" w:sz="6" w:space="0" w:color="auto"/>
              <w:bottom w:val="single" w:sz="6" w:space="0" w:color="auto"/>
              <w:right w:val="single" w:sz="6" w:space="0" w:color="auto"/>
            </w:tcBorders>
            <w:hideMark/>
          </w:tcPr>
          <w:p w14:paraId="1F6B3E02" w14:textId="6D57B702" w:rsidR="00664BE6" w:rsidRPr="00EA4C9B" w:rsidRDefault="00664BE6" w:rsidP="00D02751">
            <w:pPr>
              <w:pStyle w:val="Table"/>
              <w:jc w:val="center"/>
              <w:rPr>
                <w:rFonts w:ascii="Calibri" w:eastAsia="Times New Roman" w:hAnsi="Calibri" w:cs="Calibri"/>
                <w:szCs w:val="20"/>
                <w:lang w:eastAsia="en-IE"/>
              </w:rPr>
            </w:pPr>
            <w:r w:rsidRPr="00EA4C9B">
              <w:rPr>
                <w:rFonts w:ascii="Calibri" w:eastAsia="Times New Roman" w:hAnsi="Calibri" w:cs="Calibri"/>
                <w:szCs w:val="20"/>
                <w:lang w:eastAsia="en-IE"/>
              </w:rPr>
              <w:t>7.9</w:t>
            </w:r>
          </w:p>
        </w:tc>
        <w:tc>
          <w:tcPr>
            <w:tcW w:w="2385" w:type="dxa"/>
            <w:tcBorders>
              <w:top w:val="single" w:sz="6" w:space="0" w:color="auto"/>
              <w:left w:val="single" w:sz="6" w:space="0" w:color="auto"/>
              <w:bottom w:val="single" w:sz="6" w:space="0" w:color="auto"/>
              <w:right w:val="single" w:sz="6" w:space="0" w:color="auto"/>
            </w:tcBorders>
            <w:hideMark/>
          </w:tcPr>
          <w:p w14:paraId="70368BF8" w14:textId="5914C7DA" w:rsidR="00664BE6" w:rsidRPr="00EA4C9B" w:rsidRDefault="00664BE6" w:rsidP="00D02751">
            <w:pPr>
              <w:pStyle w:val="Table"/>
              <w:jc w:val="center"/>
              <w:rPr>
                <w:rFonts w:ascii="Calibri" w:eastAsia="Times New Roman" w:hAnsi="Calibri" w:cs="Calibri"/>
                <w:szCs w:val="20"/>
                <w:lang w:eastAsia="en-IE"/>
              </w:rPr>
            </w:pPr>
            <w:r w:rsidRPr="00EA4C9B">
              <w:rPr>
                <w:rFonts w:ascii="Calibri" w:eastAsia="Times New Roman" w:hAnsi="Calibri" w:cs="Calibri"/>
                <w:szCs w:val="20"/>
                <w:lang w:eastAsia="en-IE"/>
              </w:rPr>
              <w:t>100%</w:t>
            </w:r>
          </w:p>
        </w:tc>
      </w:tr>
    </w:tbl>
    <w:p w14:paraId="01B2295D" w14:textId="77777777" w:rsidR="00664BE6" w:rsidRPr="00EA4C9B" w:rsidRDefault="00664BE6" w:rsidP="00664BE6">
      <w:pPr>
        <w:spacing w:after="0"/>
        <w:jc w:val="left"/>
        <w:textAlignment w:val="center"/>
        <w:rPr>
          <w:rFonts w:ascii="Calibri" w:eastAsia="Times New Roman" w:hAnsi="Calibri" w:cs="Calibri"/>
          <w:lang w:eastAsia="en-IE"/>
        </w:rPr>
      </w:pPr>
      <w:r w:rsidRPr="00EA4C9B">
        <w:rPr>
          <w:rFonts w:ascii="Calibri" w:eastAsia="Times New Roman" w:hAnsi="Calibri" w:cs="Calibri"/>
          <w:lang w:eastAsia="en-IE"/>
        </w:rPr>
        <w:t> </w:t>
      </w:r>
    </w:p>
    <w:p w14:paraId="2AE97A2D" w14:textId="77777777" w:rsidR="00664BE6" w:rsidRPr="00EA4C9B" w:rsidRDefault="00664BE6" w:rsidP="00664BE6">
      <w:pPr>
        <w:spacing w:after="0"/>
        <w:textAlignment w:val="center"/>
        <w:rPr>
          <w:rFonts w:ascii="Calibri" w:eastAsia="Times New Roman" w:hAnsi="Calibri" w:cs="Calibri"/>
          <w:lang w:eastAsia="en-IE"/>
        </w:rPr>
      </w:pPr>
      <w:r w:rsidRPr="00EA4C9B">
        <w:rPr>
          <w:rFonts w:ascii="Calibri" w:eastAsia="Times New Roman" w:hAnsi="Calibri" w:cs="Calibri"/>
          <w:b/>
          <w:bCs/>
          <w:lang w:eastAsia="en-IE"/>
        </w:rPr>
        <w:t>Water taxation:</w:t>
      </w:r>
      <w:r w:rsidRPr="00EA4C9B">
        <w:rPr>
          <w:rFonts w:ascii="Calibri" w:eastAsia="Times New Roman" w:hAnsi="Calibri" w:cs="Calibri"/>
          <w:lang w:eastAsia="en-IE"/>
        </w:rPr>
        <w:t xml:space="preserve"> A tax on water has been in force since 2010. The tax is applied to both extraction and the discharge of wastewater and is included in the price of water. The water act</w:t>
      </w:r>
      <w:r w:rsidRPr="00EA4C9B">
        <w:rPr>
          <w:rStyle w:val="FootnoteReference"/>
          <w:rFonts w:ascii="Calibri" w:eastAsia="Times New Roman" w:hAnsi="Calibri" w:cs="Calibri"/>
          <w:lang w:eastAsia="en-IE"/>
        </w:rPr>
        <w:footnoteReference w:id="550"/>
      </w:r>
      <w:r w:rsidRPr="00EA4C9B">
        <w:rPr>
          <w:rFonts w:ascii="Calibri" w:eastAsia="Times New Roman" w:hAnsi="Calibri" w:cs="Calibri"/>
          <w:lang w:eastAsia="en-IE"/>
        </w:rPr>
        <w:t xml:space="preserve">, passed in 2008, states that the costs of services related to the use of water shall be borne by users, in line with the user-pays and polluter-pays principle. The legislation lists three kinds of users: the household sector, the industrial sector and the agricultural sector. There are national guidelines to calculate water prices, </w:t>
      </w:r>
      <w:r w:rsidRPr="00EA4C9B">
        <w:rPr>
          <w:rFonts w:ascii="Calibri" w:eastAsia="Times New Roman" w:hAnsi="Calibri" w:cs="Calibri"/>
          <w:lang w:eastAsia="en-IE"/>
        </w:rPr>
        <w:lastRenderedPageBreak/>
        <w:t>however, the price of water can fluctuate between communes, depending on the suppliers and geographical conditions, such as between rural and urban areas. The water price comprises 4 components: 1) a fee that covers costs related to the provision of water for human consumption; 2) a fee that covers the costs of the wastewater collection network; 3) a water abstraction tax payable to the state (set at 0.10 euros per cubic meter); 4) a wastewater discharge tax payable to the state (set at 1 euro per unit of pollutant load). The wastewater discharge tax varies according to annual levels of pollutants in wastewater, or units of pollutant load (unité de charge polluante, or UCP). The revenue is collected by the tax collectors in each district and the revenue is received by the Water Management Administration. Water pricing remains a municipal decision in Luxembourg despite some debates to create a single price at the national level</w:t>
      </w:r>
      <w:r w:rsidRPr="00EA4C9B">
        <w:rPr>
          <w:rStyle w:val="FootnoteReference"/>
          <w:rFonts w:ascii="Calibri" w:eastAsia="Times New Roman" w:hAnsi="Calibri" w:cs="Calibri"/>
          <w:lang w:eastAsia="en-IE"/>
        </w:rPr>
        <w:footnoteReference w:id="551"/>
      </w:r>
      <w:r w:rsidRPr="00EA4C9B">
        <w:rPr>
          <w:rFonts w:ascii="Calibri" w:eastAsia="Times New Roman" w:hAnsi="Calibri" w:cs="Calibri"/>
          <w:lang w:eastAsia="en-IE"/>
        </w:rPr>
        <w:t>. We have written to the water management administration on 30/04/2025 to verify if above understanding is correct and if there have been any major changes. We are awaiting a response.</w:t>
      </w:r>
    </w:p>
    <w:p w14:paraId="5A00DC53" w14:textId="77777777" w:rsidR="00664BE6" w:rsidRPr="00EA4C9B" w:rsidRDefault="00664BE6" w:rsidP="00664BE6">
      <w:pPr>
        <w:spacing w:after="0"/>
        <w:jc w:val="left"/>
        <w:textAlignment w:val="center"/>
        <w:rPr>
          <w:rFonts w:ascii="Calibri" w:eastAsia="Times New Roman" w:hAnsi="Calibri" w:cs="Calibri"/>
          <w:lang w:eastAsia="en-IE"/>
        </w:rPr>
      </w:pPr>
    </w:p>
    <w:p w14:paraId="6E115409" w14:textId="77777777" w:rsidR="00664BE6" w:rsidRPr="00EA4C9B" w:rsidRDefault="00664BE6" w:rsidP="00664BE6">
      <w:pPr>
        <w:spacing w:after="0"/>
        <w:jc w:val="left"/>
        <w:textAlignment w:val="center"/>
        <w:rPr>
          <w:rFonts w:ascii="Calibri" w:eastAsia="Times New Roman" w:hAnsi="Calibri" w:cs="Calibri"/>
          <w:b/>
          <w:bCs/>
          <w:i/>
          <w:iCs/>
          <w:lang w:eastAsia="en-IE"/>
        </w:rPr>
      </w:pPr>
      <w:r w:rsidRPr="00EA4C9B">
        <w:rPr>
          <w:rFonts w:ascii="Calibri" w:eastAsia="Times New Roman" w:hAnsi="Calibri" w:cs="Calibri"/>
          <w:b/>
          <w:bCs/>
          <w:i/>
          <w:iCs/>
          <w:lang w:eastAsia="en-IE"/>
        </w:rPr>
        <w:t>Fees and other related instruments</w:t>
      </w:r>
    </w:p>
    <w:p w14:paraId="29D1CF16" w14:textId="77777777" w:rsidR="00664BE6" w:rsidRPr="00EA4C9B" w:rsidRDefault="00664BE6" w:rsidP="00664BE6">
      <w:pPr>
        <w:spacing w:after="0"/>
        <w:jc w:val="left"/>
        <w:textAlignment w:val="center"/>
        <w:rPr>
          <w:rFonts w:ascii="Calibri" w:eastAsia="Times New Roman" w:hAnsi="Calibri" w:cs="Calibri"/>
          <w:b/>
          <w:bCs/>
          <w:lang w:eastAsia="en-IE"/>
        </w:rPr>
      </w:pPr>
    </w:p>
    <w:p w14:paraId="71025588" w14:textId="77777777" w:rsidR="00664BE6" w:rsidRPr="00EA4C9B" w:rsidRDefault="00664BE6" w:rsidP="00664BE6">
      <w:pPr>
        <w:spacing w:after="0"/>
        <w:textAlignment w:val="center"/>
        <w:rPr>
          <w:rFonts w:ascii="Calibri" w:eastAsia="Times New Roman" w:hAnsi="Calibri" w:cs="Calibri"/>
          <w:lang w:eastAsia="en-IE"/>
        </w:rPr>
      </w:pPr>
      <w:r w:rsidRPr="00EA4C9B">
        <w:rPr>
          <w:rFonts w:ascii="Calibri" w:eastAsia="Times New Roman" w:hAnsi="Calibri" w:cs="Calibri"/>
          <w:b/>
          <w:bCs/>
          <w:lang w:eastAsia="en-IE"/>
        </w:rPr>
        <w:t xml:space="preserve">Municipal waste: </w:t>
      </w:r>
      <w:r w:rsidRPr="00EA4C9B">
        <w:rPr>
          <w:rFonts w:ascii="Calibri" w:eastAsia="Times New Roman" w:hAnsi="Calibri" w:cs="Calibri"/>
          <w:lang w:eastAsia="en-IE"/>
        </w:rPr>
        <w:t xml:space="preserve">Waste management in Luxembourg falls under the general plan for waste management (PGGD - </w:t>
      </w:r>
      <w:r w:rsidRPr="00BA7936">
        <w:rPr>
          <w:rFonts w:ascii="Calibri" w:eastAsia="Times New Roman" w:hAnsi="Calibri" w:cs="Calibri"/>
          <w:i/>
          <w:iCs/>
          <w:lang w:eastAsia="en-IE"/>
        </w:rPr>
        <w:t>Plan général de gestion des déchets</w:t>
      </w:r>
      <w:r w:rsidRPr="00EA4C9B">
        <w:rPr>
          <w:rFonts w:ascii="Calibri" w:eastAsia="Times New Roman" w:hAnsi="Calibri" w:cs="Calibri"/>
          <w:lang w:eastAsia="en-IE"/>
        </w:rPr>
        <w:t>). The plan was first introduced in 2010 with an amended law on waste management introduced in 2012 (</w:t>
      </w:r>
      <w:r w:rsidRPr="00BA7936">
        <w:rPr>
          <w:rFonts w:ascii="Calibri" w:eastAsia="Times New Roman" w:hAnsi="Calibri" w:cs="Calibri"/>
          <w:i/>
          <w:iCs/>
          <w:lang w:eastAsia="en-IE"/>
        </w:rPr>
        <w:t>Loi du 21 mars 2012 relative à la gestion des déchets</w:t>
      </w:r>
      <w:r w:rsidRPr="00EA4C9B">
        <w:rPr>
          <w:rFonts w:ascii="Calibri" w:eastAsia="Times New Roman" w:hAnsi="Calibri" w:cs="Calibri"/>
          <w:lang w:eastAsia="en-IE"/>
        </w:rPr>
        <w:t>). The adopted approach varies between different communes, with some communes implementing a ‘pay as you throw’ tax by weight for residual waste, some implementing a tax by collection frequency, and others continuing to use a standard levy. As the revenues from this system pay for the service rather than going to the treasury, they do not constitute an environmental tax</w:t>
      </w:r>
      <w:r w:rsidRPr="00EA4C9B">
        <w:rPr>
          <w:rStyle w:val="FootnoteReference"/>
          <w:rFonts w:ascii="Calibri" w:eastAsia="Times New Roman" w:hAnsi="Calibri" w:cs="Calibri"/>
          <w:lang w:eastAsia="en-IE"/>
        </w:rPr>
        <w:footnoteReference w:id="552"/>
      </w:r>
      <w:r w:rsidRPr="00EA4C9B">
        <w:rPr>
          <w:rFonts w:ascii="Calibri" w:eastAsia="Times New Roman" w:hAnsi="Calibri" w:cs="Calibri"/>
          <w:lang w:eastAsia="en-IE"/>
        </w:rPr>
        <w:t xml:space="preserve">. The data on pricing for this service and the revenues is not easily accessible. This might be due to the fragmented approaches between the communes. </w:t>
      </w:r>
    </w:p>
    <w:p w14:paraId="01983ABF" w14:textId="77777777" w:rsidR="00664BE6" w:rsidRPr="00EA4C9B" w:rsidRDefault="00664BE6" w:rsidP="00664BE6">
      <w:pPr>
        <w:spacing w:after="0"/>
        <w:textAlignment w:val="center"/>
        <w:rPr>
          <w:rFonts w:ascii="Calibri" w:eastAsia="Times New Roman" w:hAnsi="Calibri" w:cs="Calibri"/>
          <w:lang w:eastAsia="en-IE"/>
        </w:rPr>
      </w:pPr>
    </w:p>
    <w:p w14:paraId="481259EC" w14:textId="77777777" w:rsidR="00664BE6" w:rsidRPr="00EA4C9B" w:rsidRDefault="00664BE6" w:rsidP="00664BE6">
      <w:pPr>
        <w:spacing w:after="0"/>
        <w:textAlignment w:val="center"/>
        <w:rPr>
          <w:rFonts w:ascii="Calibri" w:eastAsia="Times New Roman" w:hAnsi="Calibri" w:cs="Calibri"/>
          <w:lang w:eastAsia="en-IE"/>
        </w:rPr>
      </w:pPr>
      <w:r w:rsidRPr="00EA4C9B">
        <w:rPr>
          <w:rFonts w:ascii="Calibri" w:eastAsia="Times New Roman" w:hAnsi="Calibri" w:cs="Calibri"/>
          <w:lang w:eastAsia="en-IE"/>
        </w:rPr>
        <w:t>There is not much literature on either the water tax or the municipal waste fees, as most environmental tax literature on Luxembourg either focuses on carbon emissions or transport-related taxes.</w:t>
      </w:r>
    </w:p>
    <w:p w14:paraId="031096D8" w14:textId="77777777" w:rsidR="00664BE6" w:rsidRPr="00EA4C9B" w:rsidRDefault="00664BE6" w:rsidP="00664BE6">
      <w:pPr>
        <w:spacing w:after="0"/>
        <w:jc w:val="left"/>
        <w:textAlignment w:val="center"/>
        <w:rPr>
          <w:rFonts w:ascii="Calibri" w:eastAsia="Times New Roman" w:hAnsi="Calibri" w:cs="Calibri"/>
          <w:lang w:eastAsia="en-IE"/>
        </w:rPr>
      </w:pPr>
    </w:p>
    <w:p w14:paraId="2E778ED2" w14:textId="77777777" w:rsidR="00664BE6" w:rsidRPr="00EA4C9B" w:rsidRDefault="00664BE6" w:rsidP="00664BE6">
      <w:pPr>
        <w:rPr>
          <w:b/>
          <w:bCs/>
          <w:i/>
          <w:iCs/>
          <w:color w:val="000000" w:themeColor="text1"/>
          <w:szCs w:val="24"/>
        </w:rPr>
      </w:pPr>
      <w:r w:rsidRPr="00EA4C9B">
        <w:rPr>
          <w:b/>
          <w:bCs/>
          <w:i/>
          <w:iCs/>
          <w:color w:val="000000" w:themeColor="text1"/>
          <w:szCs w:val="24"/>
        </w:rPr>
        <w:t xml:space="preserve">Conclusions, country-specific recommendations and reform progress </w:t>
      </w:r>
    </w:p>
    <w:p w14:paraId="40681E86" w14:textId="55F2D6DD" w:rsidR="00664BE6" w:rsidRPr="00EA4C9B" w:rsidRDefault="00664BE6" w:rsidP="00664BE6">
      <w:pPr>
        <w:spacing w:after="0"/>
        <w:textAlignment w:val="center"/>
        <w:rPr>
          <w:rFonts w:ascii="Calibri" w:eastAsia="Times New Roman" w:hAnsi="Calibri" w:cs="Calibri"/>
          <w:lang w:eastAsia="en-IE"/>
        </w:rPr>
      </w:pPr>
      <w:r w:rsidRPr="00EA4C9B">
        <w:rPr>
          <w:rFonts w:ascii="Calibri" w:eastAsia="Times New Roman" w:hAnsi="Calibri" w:cs="Calibri"/>
          <w:lang w:eastAsia="en-IE"/>
        </w:rPr>
        <w:t xml:space="preserve">The European Commission has been encouraging Member States, most recently through the European Green Deal, to bring changes to national tax systems that </w:t>
      </w:r>
      <w:r w:rsidRPr="00EA4C9B">
        <w:rPr>
          <w:rFonts w:ascii="Calibri" w:eastAsia="Times New Roman" w:hAnsi="Calibri" w:cs="Calibri"/>
        </w:rPr>
        <w:t>shift the tax burden from economic functions</w:t>
      </w:r>
      <w:r w:rsidRPr="00EA4C9B">
        <w:rPr>
          <w:rFonts w:ascii="Calibri" w:eastAsia="Times New Roman" w:hAnsi="Calibri" w:cs="Calibri"/>
          <w:lang w:eastAsia="en-IE"/>
        </w:rPr>
        <w:t xml:space="preserve"> such as labour to activities that lead to </w:t>
      </w:r>
      <w:r w:rsidRPr="00EA4C9B">
        <w:rPr>
          <w:rFonts w:ascii="Calibri" w:eastAsia="Times New Roman" w:hAnsi="Calibri" w:cs="Calibri"/>
        </w:rPr>
        <w:t>environmental pollution and climate change</w:t>
      </w:r>
      <w:r w:rsidRPr="00EA4C9B">
        <w:rPr>
          <w:rStyle w:val="FootnoteReference"/>
          <w:rFonts w:ascii="Calibri" w:eastAsia="Times New Roman" w:hAnsi="Calibri" w:cs="Calibri"/>
          <w:lang w:eastAsia="en-IE"/>
        </w:rPr>
        <w:footnoteReference w:id="553"/>
      </w:r>
      <w:r w:rsidRPr="00EA4C9B">
        <w:rPr>
          <w:rFonts w:ascii="Calibri" w:eastAsia="Times New Roman" w:hAnsi="Calibri" w:cs="Calibri"/>
          <w:lang w:eastAsia="en-IE"/>
        </w:rPr>
        <w:t>. However, for tax data from 2002 to 2019, the opposite trend was observed in Luxembourg</w:t>
      </w:r>
      <w:r w:rsidR="00E14894">
        <w:rPr>
          <w:rFonts w:ascii="Calibri" w:eastAsia="Times New Roman" w:hAnsi="Calibri" w:cs="Calibri"/>
          <w:lang w:eastAsia="en-IE"/>
        </w:rPr>
        <w:t xml:space="preserve"> </w:t>
      </w:r>
      <w:r w:rsidRPr="00EA4C9B">
        <w:rPr>
          <w:rFonts w:ascii="Calibri" w:eastAsia="Times New Roman" w:hAnsi="Calibri" w:cs="Calibri"/>
          <w:lang w:eastAsia="en-IE"/>
        </w:rPr>
        <w:t>– the increase in labour tax revenues was higher than the increase in environmental tax revenues. For 2023, Luxembourg’s share of environmental tax revenue compared to the total tax revenue is 3%, somewhat lower than the value for the EU as a whole (4.63%)</w:t>
      </w:r>
      <w:r w:rsidRPr="00EA4C9B">
        <w:rPr>
          <w:rStyle w:val="FootnoteReference"/>
          <w:rFonts w:ascii="Calibri" w:eastAsia="Times New Roman" w:hAnsi="Calibri" w:cs="Calibri"/>
          <w:lang w:eastAsia="en-IE"/>
        </w:rPr>
        <w:footnoteReference w:id="554"/>
      </w:r>
      <w:r w:rsidRPr="00EA4C9B">
        <w:rPr>
          <w:rFonts w:ascii="Calibri" w:eastAsia="Times New Roman" w:hAnsi="Calibri" w:cs="Calibri"/>
          <w:lang w:eastAsia="en-IE"/>
        </w:rPr>
        <w:t>. The resource tax on water has a very small share (0.83%) of the total environmental taxes revenue collected. Luxembourg’s revenues from environmental taxes as a share of GDP are among the lowest in the EU</w:t>
      </w:r>
      <w:r w:rsidRPr="00EA4C9B">
        <w:rPr>
          <w:rStyle w:val="FootnoteReference"/>
          <w:rFonts w:ascii="Calibri" w:eastAsia="Times New Roman" w:hAnsi="Calibri" w:cs="Calibri"/>
          <w:lang w:eastAsia="en-IE"/>
        </w:rPr>
        <w:footnoteReference w:id="555"/>
      </w:r>
      <w:r w:rsidRPr="00EA4C9B">
        <w:rPr>
          <w:rFonts w:ascii="Calibri" w:eastAsia="Times New Roman" w:hAnsi="Calibri" w:cs="Calibri"/>
          <w:lang w:eastAsia="en-IE"/>
        </w:rPr>
        <w:t xml:space="preserve">. Environmental taxation is limited and mostly consists of transport fuel taxes. According to the Luxembourg country-specific </w:t>
      </w:r>
      <w:r w:rsidRPr="00EA4C9B">
        <w:rPr>
          <w:rFonts w:ascii="Calibri" w:eastAsia="Times New Roman" w:hAnsi="Calibri" w:cs="Calibri"/>
          <w:lang w:eastAsia="en-IE"/>
        </w:rPr>
        <w:lastRenderedPageBreak/>
        <w:t>report published as part of the 2025 European Semester Spring Package</w:t>
      </w:r>
      <w:r w:rsidRPr="00EA4C9B">
        <w:rPr>
          <w:rStyle w:val="FootnoteReference"/>
          <w:rFonts w:ascii="Calibri" w:eastAsia="Times New Roman" w:hAnsi="Calibri" w:cs="Calibri"/>
          <w:lang w:eastAsia="en-IE"/>
        </w:rPr>
        <w:footnoteReference w:id="556"/>
      </w:r>
      <w:r w:rsidRPr="00EA4C9B">
        <w:rPr>
          <w:rFonts w:ascii="Calibri" w:eastAsia="Times New Roman" w:hAnsi="Calibri" w:cs="Calibri"/>
          <w:lang w:eastAsia="en-IE"/>
        </w:rPr>
        <w:t>, there is scope to better incentivise environmentally friendly behaviour, including by developing pollution and resources taxes (which at present do not cover NOx emissions, waste landfilling and incineration, fertilisers, pesticides, or plastic products). This would further align the country’s environmental taxes with the EU’s ‘polluter pays’ principle.</w:t>
      </w:r>
    </w:p>
    <w:p w14:paraId="7567E094" w14:textId="24BA60CE" w:rsidR="00664BE6" w:rsidRPr="00EA4C9B" w:rsidRDefault="00664BE6" w:rsidP="007C4EB7">
      <w:pPr>
        <w:pStyle w:val="AnnexHeading2"/>
      </w:pPr>
      <w:bookmarkStart w:id="250" w:name="_Toc214008916"/>
      <w:r w:rsidRPr="00EA4C9B">
        <w:t>Potential for implementing additional environmental taxes</w:t>
      </w:r>
      <w:bookmarkEnd w:id="250"/>
    </w:p>
    <w:p w14:paraId="18FD3492" w14:textId="7C0E2A26" w:rsidR="00D02751" w:rsidRDefault="00000000" w:rsidP="00D02751">
      <w:sdt>
        <w:sdtPr>
          <w:rPr>
            <w:color w:val="000000"/>
          </w:rPr>
          <w:tag w:val="MENDELEY_CITATION_v3_eyJjaXRhdGlvbklEIjoiTUVOREVMRVlfQ0lUQVRJT05fNGVkNzBhNmEtMzJiOC00ZDQ5LWJjZjEtZGIzNjI5MDQ4Nzcw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255857065"/>
          <w:placeholder>
            <w:docPart w:val="DefaultPlaceholder_-1854013440"/>
          </w:placeholder>
        </w:sdtPr>
        <w:sdtContent>
          <w:r w:rsidR="002D122C" w:rsidRPr="002D122C">
            <w:rPr>
              <w:color w:val="000000"/>
            </w:rPr>
            <w:t>Hogg et al. (2016)</w:t>
          </w:r>
        </w:sdtContent>
      </w:sdt>
      <w:r w:rsidR="00D02751" w:rsidRPr="00D02751">
        <w:t xml:space="preserve"> identified several areas in which Luxembourg could expand its use of environmental taxation to strengthen resource efficiency, reduce pollution, and support the transition to a circular economy. Progress since then has been limited, and most of the recommendations remain relevant.</w:t>
      </w:r>
    </w:p>
    <w:p w14:paraId="77837DB3" w14:textId="15BB4273" w:rsidR="005E1156" w:rsidRPr="00D02751" w:rsidRDefault="005E1156" w:rsidP="00D02751">
      <w:r>
        <w:t xml:space="preserve">The most pressing environmental issue for Luxembourg concerns </w:t>
      </w:r>
      <w:r w:rsidRPr="606E24A0">
        <w:rPr>
          <w:b/>
          <w:bCs/>
        </w:rPr>
        <w:t>water quality</w:t>
      </w:r>
      <w:r>
        <w:t xml:space="preserve">, particularly nitrate and pesticide contamination of surface and groundwater. Concentrations have exceeded EU thresholds in several monitoring points, largely due to diffuse agricultural pollution. </w:t>
      </w:r>
      <w:sdt>
        <w:sdtPr>
          <w:rPr>
            <w:color w:val="000000" w:themeColor="text1"/>
          </w:rPr>
          <w:tag w:val="MENDELEY_CITATION_v3_eyJjaXRhdGlvbklEIjoiTUVOREVMRVlfQ0lUQVRJT05fYzVlMDJhOTYtODJkZi00OWViLTg3MDktZjY4NTNmZjZiNTMz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428264128"/>
          <w:placeholder>
            <w:docPart w:val="2B6D0A5AEC5B9B42B77B8E5988D5A845"/>
          </w:placeholder>
        </w:sdtPr>
        <w:sdtContent>
          <w:r w:rsidRPr="606E24A0">
            <w:rPr>
              <w:color w:val="000000" w:themeColor="text1"/>
            </w:rPr>
            <w:t>Hogg et al. (2016)</w:t>
          </w:r>
        </w:sdtContent>
      </w:sdt>
      <w:r>
        <w:t xml:space="preserve"> therefore proposed introducing taxes on </w:t>
      </w:r>
      <w:r w:rsidRPr="606E24A0">
        <w:rPr>
          <w:b/>
          <w:bCs/>
        </w:rPr>
        <w:t>pesticides and fertilisers</w:t>
      </w:r>
      <w:r>
        <w:t xml:space="preserve"> to curb excessive application and reduce nutrient runoff. Currently, Luxembourg applies a 17 per cent VAT rate on pesticides and plant-protection materials and a reduced 3 per cent rate on fertilisers, but no specific environmental tax exists. To address persistent water-quality issues, Luxembourg could combine these instruments with a </w:t>
      </w:r>
      <w:r w:rsidRPr="606E24A0">
        <w:rPr>
          <w:b/>
          <w:bCs/>
        </w:rPr>
        <w:t>charge on manure or diffuse nutrient emissions</w:t>
      </w:r>
      <w:r>
        <w:t xml:space="preserve"> from intensive livestock operations, or with a </w:t>
      </w:r>
      <w:r w:rsidRPr="606E24A0">
        <w:rPr>
          <w:b/>
          <w:bCs/>
        </w:rPr>
        <w:t>catchment-based abstraction tax</w:t>
      </w:r>
      <w:r>
        <w:t xml:space="preserve"> that encourages efficient water use by agriculture and industry. Differentiated rates by nitrogen content or toxicity would make the scheme more targeted, while rebates or credits could reward farmers who adopt precision-application technologies, nutrient management plans, or organic production methods.</w:t>
      </w:r>
    </w:p>
    <w:p w14:paraId="7358ABEF" w14:textId="74985E7C" w:rsidR="00D02751" w:rsidRPr="00D02751" w:rsidRDefault="00D02751" w:rsidP="00D02751">
      <w:r w:rsidRPr="00D02751">
        <w:t xml:space="preserve">The report first proposed the introduction of an </w:t>
      </w:r>
      <w:r w:rsidRPr="00D02751">
        <w:rPr>
          <w:b/>
          <w:bCs/>
        </w:rPr>
        <w:t>aggregates tax</w:t>
      </w:r>
      <w:r w:rsidRPr="00D02751">
        <w:t xml:space="preserve"> to reduce environmental pressure from mineral extraction and to stimulate the use of secondary materials derived from construction and demolition waste. The suggested rate of €2.40 per tonne, to be kept constant in real terms, would apply to materials such as marble, chalk, dolomite, slate, limestone, gypsum, sand, and gravel. By raising the relative cost of virgin materials, such a measure would encourage recycling, reduce waste generation and align Luxembourg with the EU’s circularity objectives. Information is lacking on whether such a tax has been considered, but given the country’s strong construction demand and limited domestic raw material base, a modest extraction charge could promote greater use of recycled aggregates without harming competitiveness.</w:t>
      </w:r>
    </w:p>
    <w:p w14:paraId="526E7F2D" w14:textId="0CC4CE29" w:rsidR="00D02751" w:rsidRPr="00D02751" w:rsidRDefault="00D02751" w:rsidP="00D02751">
      <w:r w:rsidRPr="00D02751">
        <w:t xml:space="preserve">A </w:t>
      </w:r>
      <w:r w:rsidRPr="00D02751">
        <w:rPr>
          <w:b/>
          <w:bCs/>
        </w:rPr>
        <w:t>packaging tax</w:t>
      </w:r>
      <w:r w:rsidRPr="00D02751">
        <w:t xml:space="preserve"> was also recommended to stimulate waste prevention in the packaging industry and reduce demand for primary materials. </w:t>
      </w:r>
      <w:sdt>
        <w:sdtPr>
          <w:rPr>
            <w:color w:val="000000"/>
          </w:rPr>
          <w:tag w:val="MENDELEY_CITATION_v3_eyJjaXRhdGlvbklEIjoiTUVOREVMRVlfQ0lUQVRJT05fNDllNjVmYzgtYjM0YS00N2NiLWI1ODMtM2VmYmI4MjljYmUx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238067544"/>
          <w:placeholder>
            <w:docPart w:val="DefaultPlaceholder_-1854013440"/>
          </w:placeholder>
        </w:sdtPr>
        <w:sdtContent>
          <w:r w:rsidR="002D122C" w:rsidRPr="002D122C">
            <w:rPr>
              <w:color w:val="000000"/>
            </w:rPr>
            <w:t>Hogg et al. (2016)</w:t>
          </w:r>
        </w:sdtContent>
      </w:sdt>
      <w:r w:rsidRPr="00D02751">
        <w:t xml:space="preserve"> suggested material-differentiated rates ranging from €21 per tonne for wood to €315 per tonne for aluminium, based on embodied CO₂ savings. No such instrument has been adopted nationally. Since 2021, Luxembourg, like other EU Member States, contributes to the EU levy on non-recycled plastic packaging (€0.80 per kilogram), but this is financed directly from the state budget rather than recovered from producers or consumers. Introducing a domestic packaging or single-use product tax could help shift consumption patterns, align national practice with EU circular economy targets, and generate resources for recycling and reuse systems foreseen under the 2021 </w:t>
      </w:r>
      <w:r w:rsidRPr="00D02751">
        <w:rPr>
          <w:i/>
          <w:iCs/>
        </w:rPr>
        <w:t>Circular Economy Action Plan</w:t>
      </w:r>
      <w:r w:rsidRPr="00D02751">
        <w:t>.</w:t>
      </w:r>
    </w:p>
    <w:p w14:paraId="16CFF4D3" w14:textId="46C653F9" w:rsidR="00835BBE" w:rsidRPr="00D02751" w:rsidRDefault="00835BBE" w:rsidP="00D02751">
      <w:r>
        <w:lastRenderedPageBreak/>
        <w:t xml:space="preserve">In 2023, the European Commission </w:t>
      </w:r>
      <w:r w:rsidR="007E509C">
        <w:t>underlined the potential of e</w:t>
      </w:r>
      <w:r w:rsidR="007E509C" w:rsidRPr="007E509C">
        <w:t>xpand</w:t>
      </w:r>
      <w:r w:rsidR="007E509C">
        <w:t>ing</w:t>
      </w:r>
      <w:r w:rsidR="007E509C" w:rsidRPr="007E509C">
        <w:t xml:space="preserve"> the pay-as-you-throw system for residual waste</w:t>
      </w:r>
      <w:r w:rsidR="007E509C">
        <w:t xml:space="preserve">, as </w:t>
      </w:r>
      <w:r w:rsidR="007E509C" w:rsidRPr="007E509C">
        <w:t xml:space="preserve">these schemes </w:t>
      </w:r>
      <w:r w:rsidR="007E509C">
        <w:t xml:space="preserve">currently </w:t>
      </w:r>
      <w:r w:rsidR="007E509C" w:rsidRPr="007E509C">
        <w:t>cover roughly 60% of the population</w:t>
      </w:r>
      <w:r w:rsidR="007E509C">
        <w:rPr>
          <w:rStyle w:val="FootnoteReference"/>
        </w:rPr>
        <w:footnoteReference w:id="557"/>
      </w:r>
      <w:r w:rsidR="007E509C">
        <w:t>.</w:t>
      </w:r>
    </w:p>
    <w:p w14:paraId="65FC60FB" w14:textId="0EF28B22" w:rsidR="00D02751" w:rsidRPr="00D02751" w:rsidRDefault="00D02751" w:rsidP="00D02751">
      <w:r w:rsidRPr="00D02751">
        <w:t xml:space="preserve">Regarding </w:t>
      </w:r>
      <w:r w:rsidRPr="00D02751">
        <w:rPr>
          <w:b/>
          <w:bCs/>
        </w:rPr>
        <w:t>air pollution</w:t>
      </w:r>
      <w:r w:rsidRPr="00D02751">
        <w:t>, Luxembourg does not currently apply taxes on air pollutants such as NOx, SOx, or particulate matter. The IEEP study recommended introducing such taxes at rates of €1,000 per tonne for NOx and SOx and €2,000 per tonne for PM₁₀, with a gradual phase-in. The aim was to strengthen incentives for cleaner production, particularly in the energy and construction sectors. While Luxembourg’s existing carbon and fuel taxes indirectly contribute to air-quality improvements, no dedicated air-pollutant charge has been implemented. Given the country’s dense traffic and ongoing air-quality challenges in urban areas, a targeted emission-based levy on large stationary sources or heavy-duty vehicles could complement existing measures, delivering local co-benefits for health and climate policy.</w:t>
      </w:r>
    </w:p>
    <w:p w14:paraId="3F39C268" w14:textId="003369D4" w:rsidR="00D02751" w:rsidRPr="00D02751" w:rsidRDefault="00D02751" w:rsidP="00D02751">
      <w:r>
        <w:t>Together, these instruments would form a coherent package to tackle Luxembourg’s main environmental challenges. A fertiliser and pesticide tax, complemented by a manure or nutrient-discharge charge, would directly address water pollution and help the country meet its obligations under the Nitrates Directive and the Water Framework Directive. An abstraction charge could reinforce water-efficiency incentives in stressed basins, while modest extraction and packaging taxes would support the circular economy and resource conservation. Finally, an air-pollution levy would provide an additional incentive for cleaner technologies and urban-air-quality improvements.</w:t>
      </w:r>
    </w:p>
    <w:p w14:paraId="25E3EC78" w14:textId="77777777" w:rsidR="00D02751" w:rsidRPr="00D02751" w:rsidRDefault="00D02751" w:rsidP="00D02751">
      <w:r>
        <w:t>In summary, Luxembourg’s key opportunity lies in aligning its fiscal system more closely with its environmental priorities, particularly the protection of water resources. A targeted mix of agricultural and resource-use taxes, introduced gradually and supported by revenue recycling into green infrastructure and sustainable farming practices, would deliver meaningful environmental improvements while maintaining competitiveness and social fairness.</w:t>
      </w:r>
    </w:p>
    <w:p w14:paraId="22C25715" w14:textId="56F44C63" w:rsidR="00664BE6" w:rsidRPr="00EA4C9B" w:rsidRDefault="00664BE6" w:rsidP="007C4EB7">
      <w:pPr>
        <w:pStyle w:val="AnnexHeading2"/>
      </w:pPr>
      <w:bookmarkStart w:id="251" w:name="_Toc214008917"/>
      <w:r w:rsidRPr="00EA4C9B">
        <w:t>Impacts and feasibility of implementing new taxes</w:t>
      </w:r>
      <w:bookmarkEnd w:id="251"/>
    </w:p>
    <w:p w14:paraId="50E9624F" w14:textId="6038D116" w:rsidR="00CF4F57" w:rsidRDefault="00CF4F57" w:rsidP="00CF4F57">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055AFF45" w14:textId="77777777" w:rsidR="007C7057" w:rsidRDefault="007C7057" w:rsidP="007C7057">
      <w:pPr>
        <w:rPr>
          <w:lang w:eastAsia="en-GB"/>
        </w:rPr>
      </w:pPr>
      <w:r>
        <w:rPr>
          <w:lang w:eastAsia="en-GB"/>
        </w:rPr>
        <w:t>Luxembourg has made progress in integrating environmental considerations into its fiscal system, notably through carbon and energy taxation. However, beyond these areas, environmental taxation remains narrow in scope and moderate in level. The modelling results suggest that Luxembourg could achieve tangible environmental gains through the introduction of targeted pollution and resource taxes, particularly those addressing water quality, material efficiency, and waste prevention.</w:t>
      </w:r>
    </w:p>
    <w:p w14:paraId="28A5BB60" w14:textId="49934671" w:rsidR="007C7057" w:rsidRDefault="007C7057" w:rsidP="007C7057">
      <w:pPr>
        <w:rPr>
          <w:lang w:eastAsia="en-GB"/>
        </w:rPr>
      </w:pPr>
      <w:r>
        <w:rPr>
          <w:lang w:eastAsia="en-GB"/>
        </w:rPr>
        <w:t xml:space="preserve">Total revenues from the </w:t>
      </w:r>
      <w:r w:rsidR="00185A09">
        <w:t>investigated</w:t>
      </w:r>
      <w:r>
        <w:rPr>
          <w:lang w:eastAsia="en-GB"/>
        </w:rPr>
        <w:t xml:space="preserve"> taxes could rise by €70 million in 2030 and €64 million in 2035, respectively 8.3 and 7.9 times the revenues for pollution and resource taxes in 2023.  Almost the entire gain is from waste to landfill (97%). The other contributors are pesticide and fertilizer taxes and the PM2.5 tax. No contribution is made from water effluent taxes as they are already above the </w:t>
      </w:r>
      <w:r w:rsidR="00185A09">
        <w:lastRenderedPageBreak/>
        <w:t>investigated</w:t>
      </w:r>
      <w:r>
        <w:rPr>
          <w:lang w:eastAsia="en-GB"/>
        </w:rPr>
        <w:t xml:space="preserve"> minimum. Reduction in emissions or use of materials is greatest for waste to landfill (50%), pesticides (41%) and fertilizers (24%). </w:t>
      </w:r>
    </w:p>
    <w:tbl>
      <w:tblPr>
        <w:tblStyle w:val="Lentelstinklelis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312"/>
        <w:gridCol w:w="1275"/>
      </w:tblGrid>
      <w:tr w:rsidR="007C7057" w:rsidRPr="00F501DA" w14:paraId="46387EC7" w14:textId="77777777" w:rsidTr="00BA7936">
        <w:trPr>
          <w:trHeight w:val="255"/>
        </w:trPr>
        <w:tc>
          <w:tcPr>
            <w:tcW w:w="9067" w:type="dxa"/>
            <w:gridSpan w:val="7"/>
            <w:shd w:val="clear" w:color="auto" w:fill="003399"/>
          </w:tcPr>
          <w:p w14:paraId="7912183B" w14:textId="484EE33E" w:rsidR="007C7057" w:rsidRPr="00653288" w:rsidRDefault="007C7057" w:rsidP="000878F6">
            <w:pPr>
              <w:pStyle w:val="Table"/>
              <w:rPr>
                <w:b/>
                <w:lang w:eastAsia="en-GB"/>
              </w:rPr>
            </w:pPr>
            <w:r w:rsidRPr="00653288">
              <w:rPr>
                <w:b/>
                <w:color w:val="FFFFFF" w:themeColor="background1"/>
              </w:rPr>
              <w:t xml:space="preserve">Table </w:t>
            </w:r>
            <w:r w:rsidR="00490085">
              <w:rPr>
                <w:b/>
                <w:bCs/>
                <w:color w:val="FFFFFF" w:themeColor="background1"/>
              </w:rPr>
              <w:t>A6</w:t>
            </w:r>
            <w:r w:rsidRPr="00653288">
              <w:rPr>
                <w:b/>
                <w:bCs/>
                <w:color w:val="FFFFFF" w:themeColor="background1"/>
              </w:rPr>
              <w:t>-</w:t>
            </w:r>
            <w:r w:rsidRPr="00653288">
              <w:rPr>
                <w:b/>
                <w:bCs/>
                <w:color w:val="FFFFFF" w:themeColor="background1"/>
              </w:rPr>
              <w:fldChar w:fldCharType="begin"/>
            </w:r>
            <w:r w:rsidRPr="00653288">
              <w:rPr>
                <w:b/>
                <w:bCs/>
                <w:color w:val="FFFFFF" w:themeColor="background1"/>
              </w:rPr>
              <w:instrText xml:space="preserve"> SEQ Table_A5- \* ARABIC </w:instrText>
            </w:r>
            <w:r w:rsidRPr="00653288">
              <w:rPr>
                <w:b/>
                <w:bCs/>
                <w:color w:val="FFFFFF" w:themeColor="background1"/>
              </w:rPr>
              <w:fldChar w:fldCharType="separate"/>
            </w:r>
            <w:r>
              <w:rPr>
                <w:b/>
                <w:bCs/>
                <w:noProof/>
                <w:color w:val="FFFFFF" w:themeColor="background1"/>
              </w:rPr>
              <w:t>90</w:t>
            </w:r>
            <w:r w:rsidRPr="00653288">
              <w:rPr>
                <w:b/>
                <w:bCs/>
                <w:color w:val="FFFFFF" w:themeColor="background1"/>
              </w:rPr>
              <w:fldChar w:fldCharType="end"/>
            </w:r>
            <w:r w:rsidRPr="00653288">
              <w:rPr>
                <w:b/>
                <w:bCs/>
                <w:color w:val="FFFFFF" w:themeColor="background1"/>
                <w:lang w:eastAsia="en-GB"/>
              </w:rPr>
              <w:t>:</w:t>
            </w:r>
            <w:r w:rsidRPr="00653288">
              <w:rPr>
                <w:b/>
                <w:color w:val="FFFFFF" w:themeColor="background1"/>
                <w:lang w:eastAsia="en-GB"/>
              </w:rPr>
              <w:t xml:space="preserve"> Environmental Impacts and Revenue Changes in Luxembourg</w:t>
            </w:r>
            <w:r>
              <w:rPr>
                <w:b/>
                <w:color w:val="FFFFFF" w:themeColor="background1"/>
                <w:lang w:eastAsia="en-GB"/>
              </w:rPr>
              <w:t xml:space="preserve"> – Scenario A</w:t>
            </w:r>
          </w:p>
        </w:tc>
      </w:tr>
      <w:tr w:rsidR="007C7057" w:rsidRPr="00F501DA" w14:paraId="4D45BC20" w14:textId="77777777" w:rsidTr="00BA7936">
        <w:tc>
          <w:tcPr>
            <w:tcW w:w="2160" w:type="dxa"/>
          </w:tcPr>
          <w:p w14:paraId="00646EFD" w14:textId="77777777" w:rsidR="007C7057" w:rsidRPr="00653288" w:rsidRDefault="007C7057" w:rsidP="000878F6">
            <w:pPr>
              <w:pStyle w:val="Table"/>
              <w:rPr>
                <w:b/>
              </w:rPr>
            </w:pPr>
            <w:r w:rsidRPr="00653288">
              <w:rPr>
                <w:b/>
              </w:rPr>
              <w:t>Tax Name</w:t>
            </w:r>
          </w:p>
        </w:tc>
        <w:tc>
          <w:tcPr>
            <w:tcW w:w="2160" w:type="dxa"/>
            <w:gridSpan w:val="2"/>
            <w:vAlign w:val="bottom"/>
          </w:tcPr>
          <w:p w14:paraId="28029975" w14:textId="77777777" w:rsidR="007C7057" w:rsidRPr="00ED6AA3" w:rsidRDefault="007C7057" w:rsidP="000878F6">
            <w:pPr>
              <w:pStyle w:val="Table"/>
              <w:jc w:val="center"/>
              <w:rPr>
                <w:b/>
                <w:szCs w:val="20"/>
              </w:rPr>
            </w:pPr>
            <w:r w:rsidRPr="00ED6AA3">
              <w:rPr>
                <w:rFonts w:ascii="Calibri" w:hAnsi="Calibri" w:cs="Calibri"/>
                <w:b/>
                <w:bCs/>
                <w:color w:val="000000"/>
                <w:szCs w:val="20"/>
              </w:rPr>
              <w:t>% Change in Quantities as % of taxed sector</w:t>
            </w:r>
          </w:p>
        </w:tc>
        <w:tc>
          <w:tcPr>
            <w:tcW w:w="2160" w:type="dxa"/>
            <w:gridSpan w:val="2"/>
            <w:vAlign w:val="bottom"/>
          </w:tcPr>
          <w:p w14:paraId="06C5E42B" w14:textId="77777777" w:rsidR="007C7057" w:rsidRPr="00ED6AA3" w:rsidRDefault="007C7057" w:rsidP="000878F6">
            <w:pPr>
              <w:pStyle w:val="Table"/>
              <w:jc w:val="center"/>
              <w:rPr>
                <w:b/>
                <w:szCs w:val="20"/>
              </w:rPr>
            </w:pPr>
            <w:r w:rsidRPr="00ED6AA3">
              <w:rPr>
                <w:rFonts w:ascii="Calibri" w:hAnsi="Calibri" w:cs="Calibri"/>
                <w:b/>
                <w:bCs/>
                <w:color w:val="000000"/>
                <w:szCs w:val="20"/>
              </w:rPr>
              <w:t>Change in Revenues (€Mn)</w:t>
            </w:r>
          </w:p>
        </w:tc>
        <w:tc>
          <w:tcPr>
            <w:tcW w:w="2587" w:type="dxa"/>
            <w:gridSpan w:val="2"/>
            <w:vAlign w:val="bottom"/>
          </w:tcPr>
          <w:p w14:paraId="70CEEC22" w14:textId="77777777" w:rsidR="007C7057" w:rsidRPr="00ED6AA3" w:rsidRDefault="007C7057" w:rsidP="000878F6">
            <w:pPr>
              <w:pStyle w:val="Table"/>
              <w:jc w:val="center"/>
              <w:rPr>
                <w:b/>
                <w:szCs w:val="20"/>
              </w:rPr>
            </w:pPr>
            <w:r w:rsidRPr="00ED6AA3">
              <w:rPr>
                <w:rFonts w:ascii="Calibri" w:hAnsi="Calibri" w:cs="Calibri"/>
                <w:b/>
                <w:bCs/>
                <w:color w:val="000000"/>
                <w:szCs w:val="20"/>
              </w:rPr>
              <w:t>As % of 2023 Resource Tax</w:t>
            </w:r>
          </w:p>
        </w:tc>
      </w:tr>
      <w:tr w:rsidR="007C7057" w:rsidRPr="00355514" w14:paraId="585B7421" w14:textId="77777777" w:rsidTr="00BA7936">
        <w:tc>
          <w:tcPr>
            <w:tcW w:w="2160" w:type="dxa"/>
          </w:tcPr>
          <w:p w14:paraId="074F077F" w14:textId="77777777" w:rsidR="007C7057" w:rsidRPr="009A1B42" w:rsidRDefault="007C7057" w:rsidP="000878F6">
            <w:pPr>
              <w:pStyle w:val="Table"/>
              <w:rPr>
                <w:b/>
              </w:rPr>
            </w:pPr>
            <w:r w:rsidRPr="009A1B42">
              <w:rPr>
                <w:b/>
              </w:rPr>
              <w:t>Year</w:t>
            </w:r>
          </w:p>
        </w:tc>
        <w:tc>
          <w:tcPr>
            <w:tcW w:w="1080" w:type="dxa"/>
          </w:tcPr>
          <w:p w14:paraId="7DDF4DE1" w14:textId="77777777" w:rsidR="007C7057" w:rsidRPr="00ED6AA3" w:rsidRDefault="007C7057" w:rsidP="000878F6">
            <w:pPr>
              <w:pStyle w:val="Table"/>
              <w:jc w:val="center"/>
              <w:rPr>
                <w:b/>
                <w:szCs w:val="20"/>
              </w:rPr>
            </w:pPr>
            <w:r w:rsidRPr="00ED6AA3">
              <w:rPr>
                <w:b/>
                <w:szCs w:val="20"/>
              </w:rPr>
              <w:t>2030</w:t>
            </w:r>
          </w:p>
        </w:tc>
        <w:tc>
          <w:tcPr>
            <w:tcW w:w="1080" w:type="dxa"/>
          </w:tcPr>
          <w:p w14:paraId="7ABB9A29" w14:textId="77777777" w:rsidR="007C7057" w:rsidRPr="00ED6AA3" w:rsidRDefault="007C7057" w:rsidP="000878F6">
            <w:pPr>
              <w:pStyle w:val="Table"/>
              <w:jc w:val="center"/>
              <w:rPr>
                <w:b/>
                <w:szCs w:val="20"/>
              </w:rPr>
            </w:pPr>
            <w:r w:rsidRPr="00ED6AA3">
              <w:rPr>
                <w:b/>
                <w:szCs w:val="20"/>
              </w:rPr>
              <w:t>2035</w:t>
            </w:r>
          </w:p>
        </w:tc>
        <w:tc>
          <w:tcPr>
            <w:tcW w:w="990" w:type="dxa"/>
          </w:tcPr>
          <w:p w14:paraId="0A16069E" w14:textId="77777777" w:rsidR="007C7057" w:rsidRPr="00ED6AA3" w:rsidRDefault="007C7057" w:rsidP="000878F6">
            <w:pPr>
              <w:pStyle w:val="Table"/>
              <w:jc w:val="center"/>
              <w:rPr>
                <w:b/>
                <w:szCs w:val="20"/>
              </w:rPr>
            </w:pPr>
            <w:r w:rsidRPr="00ED6AA3">
              <w:rPr>
                <w:b/>
                <w:szCs w:val="20"/>
              </w:rPr>
              <w:t>2030</w:t>
            </w:r>
          </w:p>
        </w:tc>
        <w:tc>
          <w:tcPr>
            <w:tcW w:w="1170" w:type="dxa"/>
          </w:tcPr>
          <w:p w14:paraId="0A088849" w14:textId="77777777" w:rsidR="007C7057" w:rsidRPr="00ED6AA3" w:rsidRDefault="007C7057" w:rsidP="000878F6">
            <w:pPr>
              <w:pStyle w:val="Table"/>
              <w:jc w:val="center"/>
              <w:rPr>
                <w:b/>
                <w:szCs w:val="20"/>
              </w:rPr>
            </w:pPr>
            <w:r w:rsidRPr="00ED6AA3">
              <w:rPr>
                <w:b/>
                <w:szCs w:val="20"/>
              </w:rPr>
              <w:t>2035</w:t>
            </w:r>
          </w:p>
        </w:tc>
        <w:tc>
          <w:tcPr>
            <w:tcW w:w="1312" w:type="dxa"/>
          </w:tcPr>
          <w:p w14:paraId="0461046E" w14:textId="77777777" w:rsidR="007C7057" w:rsidRPr="00ED6AA3" w:rsidRDefault="007C7057" w:rsidP="000878F6">
            <w:pPr>
              <w:pStyle w:val="Table"/>
              <w:jc w:val="center"/>
              <w:rPr>
                <w:b/>
                <w:szCs w:val="20"/>
              </w:rPr>
            </w:pPr>
            <w:r w:rsidRPr="00ED6AA3">
              <w:rPr>
                <w:b/>
                <w:szCs w:val="20"/>
              </w:rPr>
              <w:t>2030</w:t>
            </w:r>
          </w:p>
        </w:tc>
        <w:tc>
          <w:tcPr>
            <w:tcW w:w="1275" w:type="dxa"/>
          </w:tcPr>
          <w:p w14:paraId="18F3B460" w14:textId="77777777" w:rsidR="007C7057" w:rsidRPr="00ED6AA3" w:rsidRDefault="007C7057" w:rsidP="000878F6">
            <w:pPr>
              <w:pStyle w:val="Table"/>
              <w:jc w:val="center"/>
              <w:rPr>
                <w:b/>
                <w:szCs w:val="20"/>
              </w:rPr>
            </w:pPr>
            <w:r w:rsidRPr="00ED6AA3">
              <w:rPr>
                <w:b/>
                <w:szCs w:val="20"/>
              </w:rPr>
              <w:t>2035</w:t>
            </w:r>
          </w:p>
        </w:tc>
      </w:tr>
      <w:tr w:rsidR="007C7057" w:rsidRPr="00355514" w14:paraId="37FA25CF" w14:textId="77777777" w:rsidTr="00BA7936">
        <w:tc>
          <w:tcPr>
            <w:tcW w:w="2160" w:type="dxa"/>
          </w:tcPr>
          <w:p w14:paraId="47830B1A" w14:textId="77777777" w:rsidR="007C7057" w:rsidRPr="00F501DA" w:rsidRDefault="007C7057" w:rsidP="000878F6">
            <w:pPr>
              <w:pStyle w:val="Table"/>
            </w:pPr>
            <w:r w:rsidRPr="00F501DA">
              <w:t>NOx</w:t>
            </w:r>
          </w:p>
        </w:tc>
        <w:tc>
          <w:tcPr>
            <w:tcW w:w="1080" w:type="dxa"/>
            <w:vAlign w:val="center"/>
          </w:tcPr>
          <w:p w14:paraId="094DBA9E" w14:textId="77777777" w:rsidR="007C7057" w:rsidRPr="00ED6AA3" w:rsidRDefault="007C7057" w:rsidP="000878F6">
            <w:pPr>
              <w:pStyle w:val="Table"/>
              <w:jc w:val="center"/>
              <w:rPr>
                <w:szCs w:val="20"/>
              </w:rPr>
            </w:pPr>
            <w:r w:rsidRPr="00ED6AA3">
              <w:rPr>
                <w:rFonts w:ascii="Calibri" w:hAnsi="Calibri" w:cs="Calibri"/>
                <w:color w:val="000000"/>
                <w:szCs w:val="20"/>
              </w:rPr>
              <w:t>-28,57%</w:t>
            </w:r>
          </w:p>
        </w:tc>
        <w:tc>
          <w:tcPr>
            <w:tcW w:w="1080" w:type="dxa"/>
            <w:vAlign w:val="center"/>
          </w:tcPr>
          <w:p w14:paraId="05FCEE88" w14:textId="77777777" w:rsidR="007C7057" w:rsidRPr="00ED6AA3" w:rsidRDefault="007C7057" w:rsidP="000878F6">
            <w:pPr>
              <w:pStyle w:val="Table"/>
              <w:jc w:val="center"/>
              <w:rPr>
                <w:szCs w:val="20"/>
              </w:rPr>
            </w:pPr>
            <w:r w:rsidRPr="00ED6AA3">
              <w:rPr>
                <w:rFonts w:ascii="Calibri" w:hAnsi="Calibri" w:cs="Calibri"/>
                <w:color w:val="000000"/>
                <w:szCs w:val="20"/>
              </w:rPr>
              <w:t>-28,57%</w:t>
            </w:r>
          </w:p>
        </w:tc>
        <w:tc>
          <w:tcPr>
            <w:tcW w:w="990" w:type="dxa"/>
            <w:vAlign w:val="center"/>
          </w:tcPr>
          <w:p w14:paraId="5357948C" w14:textId="77777777" w:rsidR="007C7057" w:rsidRPr="00ED6AA3" w:rsidRDefault="007C7057" w:rsidP="000878F6">
            <w:pPr>
              <w:pStyle w:val="Table"/>
              <w:jc w:val="center"/>
              <w:rPr>
                <w:szCs w:val="20"/>
              </w:rPr>
            </w:pPr>
            <w:r w:rsidRPr="00ED6AA3">
              <w:rPr>
                <w:rFonts w:ascii="Calibri" w:hAnsi="Calibri" w:cs="Calibri"/>
                <w:color w:val="000000"/>
                <w:szCs w:val="20"/>
              </w:rPr>
              <w:t>0,08</w:t>
            </w:r>
          </w:p>
        </w:tc>
        <w:tc>
          <w:tcPr>
            <w:tcW w:w="1170" w:type="dxa"/>
            <w:vAlign w:val="center"/>
          </w:tcPr>
          <w:p w14:paraId="61EAA117" w14:textId="77777777" w:rsidR="007C7057" w:rsidRPr="00ED6AA3" w:rsidRDefault="007C7057" w:rsidP="000878F6">
            <w:pPr>
              <w:pStyle w:val="Table"/>
              <w:jc w:val="center"/>
              <w:rPr>
                <w:szCs w:val="20"/>
              </w:rPr>
            </w:pPr>
            <w:r w:rsidRPr="00ED6AA3">
              <w:rPr>
                <w:rFonts w:ascii="Calibri" w:hAnsi="Calibri" w:cs="Calibri"/>
                <w:color w:val="000000"/>
                <w:szCs w:val="20"/>
              </w:rPr>
              <w:t>0,08</w:t>
            </w:r>
          </w:p>
        </w:tc>
        <w:tc>
          <w:tcPr>
            <w:tcW w:w="1312" w:type="dxa"/>
            <w:vAlign w:val="center"/>
          </w:tcPr>
          <w:p w14:paraId="0132CE38" w14:textId="77777777" w:rsidR="007C7057" w:rsidRPr="00ED6AA3" w:rsidRDefault="007C7057" w:rsidP="000878F6">
            <w:pPr>
              <w:pStyle w:val="Table"/>
              <w:jc w:val="center"/>
              <w:rPr>
                <w:szCs w:val="20"/>
              </w:rPr>
            </w:pPr>
            <w:r w:rsidRPr="00ED6AA3">
              <w:rPr>
                <w:rFonts w:ascii="Calibri" w:hAnsi="Calibri" w:cs="Calibri"/>
                <w:color w:val="000000"/>
                <w:szCs w:val="20"/>
              </w:rPr>
              <w:t>N.A</w:t>
            </w:r>
          </w:p>
        </w:tc>
        <w:tc>
          <w:tcPr>
            <w:tcW w:w="1275" w:type="dxa"/>
            <w:vAlign w:val="center"/>
          </w:tcPr>
          <w:p w14:paraId="151DEC2D" w14:textId="77777777" w:rsidR="007C7057" w:rsidRPr="00ED6AA3" w:rsidRDefault="007C7057" w:rsidP="000878F6">
            <w:pPr>
              <w:pStyle w:val="Table"/>
              <w:jc w:val="center"/>
              <w:rPr>
                <w:szCs w:val="20"/>
              </w:rPr>
            </w:pPr>
            <w:r w:rsidRPr="00ED6AA3">
              <w:rPr>
                <w:rFonts w:ascii="Calibri" w:hAnsi="Calibri" w:cs="Calibri"/>
                <w:color w:val="000000"/>
                <w:szCs w:val="20"/>
              </w:rPr>
              <w:t>N.A</w:t>
            </w:r>
          </w:p>
        </w:tc>
      </w:tr>
      <w:tr w:rsidR="007C7057" w:rsidRPr="00355514" w14:paraId="05032189" w14:textId="77777777" w:rsidTr="00BA7936">
        <w:tc>
          <w:tcPr>
            <w:tcW w:w="2160" w:type="dxa"/>
          </w:tcPr>
          <w:p w14:paraId="128942AB" w14:textId="77777777" w:rsidR="007C7057" w:rsidRPr="00F501DA" w:rsidRDefault="007C7057" w:rsidP="000878F6">
            <w:pPr>
              <w:pStyle w:val="Table"/>
            </w:pPr>
            <w:r w:rsidRPr="00F501DA">
              <w:t>SO2</w:t>
            </w:r>
          </w:p>
        </w:tc>
        <w:tc>
          <w:tcPr>
            <w:tcW w:w="1080" w:type="dxa"/>
            <w:vAlign w:val="center"/>
          </w:tcPr>
          <w:p w14:paraId="36CF486D" w14:textId="77777777" w:rsidR="007C7057" w:rsidRPr="00ED6AA3" w:rsidRDefault="007C7057" w:rsidP="000878F6">
            <w:pPr>
              <w:pStyle w:val="Table"/>
              <w:jc w:val="center"/>
              <w:rPr>
                <w:szCs w:val="20"/>
              </w:rPr>
            </w:pPr>
            <w:r w:rsidRPr="00ED6AA3">
              <w:rPr>
                <w:rFonts w:ascii="Calibri" w:hAnsi="Calibri" w:cs="Calibri"/>
                <w:color w:val="000000"/>
                <w:szCs w:val="20"/>
              </w:rPr>
              <w:t>-32,43%</w:t>
            </w:r>
          </w:p>
        </w:tc>
        <w:tc>
          <w:tcPr>
            <w:tcW w:w="1080" w:type="dxa"/>
            <w:vAlign w:val="center"/>
          </w:tcPr>
          <w:p w14:paraId="491A612D" w14:textId="77777777" w:rsidR="007C7057" w:rsidRPr="00ED6AA3" w:rsidRDefault="007C7057" w:rsidP="000878F6">
            <w:pPr>
              <w:pStyle w:val="Table"/>
              <w:jc w:val="center"/>
              <w:rPr>
                <w:szCs w:val="20"/>
              </w:rPr>
            </w:pPr>
            <w:r w:rsidRPr="00ED6AA3">
              <w:rPr>
                <w:rFonts w:ascii="Calibri" w:hAnsi="Calibri" w:cs="Calibri"/>
                <w:color w:val="000000"/>
                <w:szCs w:val="20"/>
              </w:rPr>
              <w:t>-32,43%</w:t>
            </w:r>
          </w:p>
        </w:tc>
        <w:tc>
          <w:tcPr>
            <w:tcW w:w="990" w:type="dxa"/>
            <w:vAlign w:val="center"/>
          </w:tcPr>
          <w:p w14:paraId="140EE48D" w14:textId="77777777" w:rsidR="007C7057" w:rsidRPr="00ED6AA3" w:rsidRDefault="007C7057" w:rsidP="000878F6">
            <w:pPr>
              <w:pStyle w:val="Table"/>
              <w:jc w:val="center"/>
              <w:rPr>
                <w:szCs w:val="20"/>
              </w:rPr>
            </w:pPr>
            <w:r w:rsidRPr="00ED6AA3">
              <w:rPr>
                <w:rFonts w:ascii="Calibri" w:hAnsi="Calibri" w:cs="Calibri"/>
                <w:color w:val="000000"/>
                <w:szCs w:val="20"/>
              </w:rPr>
              <w:t>0,19</w:t>
            </w:r>
          </w:p>
        </w:tc>
        <w:tc>
          <w:tcPr>
            <w:tcW w:w="1170" w:type="dxa"/>
            <w:vAlign w:val="center"/>
          </w:tcPr>
          <w:p w14:paraId="1A62A99A" w14:textId="77777777" w:rsidR="007C7057" w:rsidRPr="00ED6AA3" w:rsidRDefault="007C7057" w:rsidP="000878F6">
            <w:pPr>
              <w:pStyle w:val="Table"/>
              <w:jc w:val="center"/>
              <w:rPr>
                <w:szCs w:val="20"/>
              </w:rPr>
            </w:pPr>
            <w:r w:rsidRPr="00ED6AA3">
              <w:rPr>
                <w:rFonts w:ascii="Calibri" w:hAnsi="Calibri" w:cs="Calibri"/>
                <w:color w:val="000000"/>
                <w:szCs w:val="20"/>
              </w:rPr>
              <w:t>0,13</w:t>
            </w:r>
          </w:p>
        </w:tc>
        <w:tc>
          <w:tcPr>
            <w:tcW w:w="1312" w:type="dxa"/>
            <w:vAlign w:val="center"/>
          </w:tcPr>
          <w:p w14:paraId="56112B25" w14:textId="77777777" w:rsidR="007C7057" w:rsidRPr="00ED6AA3" w:rsidRDefault="007C7057" w:rsidP="000878F6">
            <w:pPr>
              <w:pStyle w:val="Table"/>
              <w:jc w:val="center"/>
              <w:rPr>
                <w:szCs w:val="20"/>
              </w:rPr>
            </w:pPr>
            <w:r w:rsidRPr="00ED6AA3">
              <w:rPr>
                <w:rFonts w:ascii="Calibri" w:hAnsi="Calibri" w:cs="Calibri"/>
                <w:color w:val="000000"/>
                <w:szCs w:val="20"/>
              </w:rPr>
              <w:t>N.A</w:t>
            </w:r>
          </w:p>
        </w:tc>
        <w:tc>
          <w:tcPr>
            <w:tcW w:w="1275" w:type="dxa"/>
            <w:vAlign w:val="center"/>
          </w:tcPr>
          <w:p w14:paraId="6BB11F1A" w14:textId="77777777" w:rsidR="007C7057" w:rsidRPr="00ED6AA3" w:rsidRDefault="007C7057" w:rsidP="000878F6">
            <w:pPr>
              <w:pStyle w:val="Table"/>
              <w:jc w:val="center"/>
              <w:rPr>
                <w:szCs w:val="20"/>
              </w:rPr>
            </w:pPr>
            <w:r w:rsidRPr="00ED6AA3">
              <w:rPr>
                <w:rFonts w:ascii="Calibri" w:hAnsi="Calibri" w:cs="Calibri"/>
                <w:color w:val="000000"/>
                <w:szCs w:val="20"/>
              </w:rPr>
              <w:t>N.A</w:t>
            </w:r>
          </w:p>
        </w:tc>
      </w:tr>
      <w:tr w:rsidR="007C7057" w:rsidRPr="00355514" w14:paraId="5ED687EB" w14:textId="77777777" w:rsidTr="00BA7936">
        <w:tc>
          <w:tcPr>
            <w:tcW w:w="2160" w:type="dxa"/>
          </w:tcPr>
          <w:p w14:paraId="642A2643" w14:textId="77777777" w:rsidR="007C7057" w:rsidRPr="00F501DA" w:rsidRDefault="007C7057" w:rsidP="000878F6">
            <w:pPr>
              <w:pStyle w:val="Table"/>
            </w:pPr>
            <w:r w:rsidRPr="00F501DA">
              <w:t>PM2.5</w:t>
            </w:r>
          </w:p>
        </w:tc>
        <w:tc>
          <w:tcPr>
            <w:tcW w:w="1080" w:type="dxa"/>
            <w:vAlign w:val="center"/>
          </w:tcPr>
          <w:p w14:paraId="400AB999" w14:textId="77777777" w:rsidR="007C7057" w:rsidRPr="00ED6AA3" w:rsidRDefault="007C7057" w:rsidP="000878F6">
            <w:pPr>
              <w:pStyle w:val="Table"/>
              <w:jc w:val="center"/>
              <w:rPr>
                <w:szCs w:val="20"/>
              </w:rPr>
            </w:pPr>
            <w:r w:rsidRPr="00ED6AA3">
              <w:rPr>
                <w:rFonts w:ascii="Calibri" w:hAnsi="Calibri" w:cs="Calibri"/>
                <w:color w:val="000000"/>
                <w:szCs w:val="20"/>
              </w:rPr>
              <w:t>-29,58%</w:t>
            </w:r>
          </w:p>
        </w:tc>
        <w:tc>
          <w:tcPr>
            <w:tcW w:w="1080" w:type="dxa"/>
            <w:vAlign w:val="center"/>
          </w:tcPr>
          <w:p w14:paraId="767EF394" w14:textId="77777777" w:rsidR="007C7057" w:rsidRPr="00ED6AA3" w:rsidRDefault="007C7057" w:rsidP="000878F6">
            <w:pPr>
              <w:pStyle w:val="Table"/>
              <w:jc w:val="center"/>
              <w:rPr>
                <w:szCs w:val="20"/>
              </w:rPr>
            </w:pPr>
            <w:r w:rsidRPr="00ED6AA3">
              <w:rPr>
                <w:rFonts w:ascii="Calibri" w:hAnsi="Calibri" w:cs="Calibri"/>
                <w:color w:val="000000"/>
                <w:szCs w:val="20"/>
              </w:rPr>
              <w:t>-29,58%</w:t>
            </w:r>
          </w:p>
        </w:tc>
        <w:tc>
          <w:tcPr>
            <w:tcW w:w="990" w:type="dxa"/>
            <w:vAlign w:val="center"/>
          </w:tcPr>
          <w:p w14:paraId="7F535C2A" w14:textId="77777777" w:rsidR="007C7057" w:rsidRPr="00ED6AA3" w:rsidRDefault="007C7057" w:rsidP="000878F6">
            <w:pPr>
              <w:pStyle w:val="Table"/>
              <w:jc w:val="center"/>
              <w:rPr>
                <w:szCs w:val="20"/>
              </w:rPr>
            </w:pPr>
            <w:r w:rsidRPr="00ED6AA3">
              <w:rPr>
                <w:rFonts w:ascii="Calibri" w:hAnsi="Calibri" w:cs="Calibri"/>
                <w:color w:val="000000"/>
                <w:szCs w:val="20"/>
              </w:rPr>
              <w:t>0,75</w:t>
            </w:r>
          </w:p>
        </w:tc>
        <w:tc>
          <w:tcPr>
            <w:tcW w:w="1170" w:type="dxa"/>
            <w:vAlign w:val="center"/>
          </w:tcPr>
          <w:p w14:paraId="3C03AA93" w14:textId="77777777" w:rsidR="007C7057" w:rsidRPr="00ED6AA3" w:rsidRDefault="007C7057" w:rsidP="000878F6">
            <w:pPr>
              <w:pStyle w:val="Table"/>
              <w:jc w:val="center"/>
              <w:rPr>
                <w:szCs w:val="20"/>
              </w:rPr>
            </w:pPr>
            <w:r w:rsidRPr="00ED6AA3">
              <w:rPr>
                <w:rFonts w:ascii="Calibri" w:hAnsi="Calibri" w:cs="Calibri"/>
                <w:color w:val="000000"/>
                <w:szCs w:val="20"/>
              </w:rPr>
              <w:t>0,90</w:t>
            </w:r>
          </w:p>
        </w:tc>
        <w:tc>
          <w:tcPr>
            <w:tcW w:w="1312" w:type="dxa"/>
            <w:vAlign w:val="center"/>
          </w:tcPr>
          <w:p w14:paraId="73B391DB" w14:textId="77777777" w:rsidR="007C7057" w:rsidRPr="00ED6AA3" w:rsidRDefault="007C7057" w:rsidP="000878F6">
            <w:pPr>
              <w:pStyle w:val="Table"/>
              <w:jc w:val="center"/>
              <w:rPr>
                <w:szCs w:val="20"/>
              </w:rPr>
            </w:pPr>
            <w:r w:rsidRPr="00ED6AA3">
              <w:rPr>
                <w:rFonts w:ascii="Calibri" w:hAnsi="Calibri" w:cs="Calibri"/>
                <w:color w:val="000000"/>
                <w:szCs w:val="20"/>
              </w:rPr>
              <w:t>N.A</w:t>
            </w:r>
          </w:p>
        </w:tc>
        <w:tc>
          <w:tcPr>
            <w:tcW w:w="1275" w:type="dxa"/>
            <w:vAlign w:val="center"/>
          </w:tcPr>
          <w:p w14:paraId="4AEF7133" w14:textId="77777777" w:rsidR="007C7057" w:rsidRPr="00ED6AA3" w:rsidRDefault="007C7057" w:rsidP="000878F6">
            <w:pPr>
              <w:pStyle w:val="Table"/>
              <w:jc w:val="center"/>
              <w:rPr>
                <w:szCs w:val="20"/>
              </w:rPr>
            </w:pPr>
            <w:r w:rsidRPr="00ED6AA3">
              <w:rPr>
                <w:rFonts w:ascii="Calibri" w:hAnsi="Calibri" w:cs="Calibri"/>
                <w:color w:val="000000"/>
                <w:szCs w:val="20"/>
              </w:rPr>
              <w:t>N.A</w:t>
            </w:r>
          </w:p>
        </w:tc>
      </w:tr>
      <w:tr w:rsidR="007C7057" w:rsidRPr="00355514" w14:paraId="10D8C01F" w14:textId="77777777" w:rsidTr="00BA7936">
        <w:tc>
          <w:tcPr>
            <w:tcW w:w="2160" w:type="dxa"/>
          </w:tcPr>
          <w:p w14:paraId="67292CC4" w14:textId="77777777" w:rsidR="007C7057" w:rsidRPr="00F501DA" w:rsidRDefault="007C7057" w:rsidP="000878F6">
            <w:pPr>
              <w:pStyle w:val="Table"/>
            </w:pPr>
            <w:r w:rsidRPr="00F501DA">
              <w:t>Water Abstraction</w:t>
            </w:r>
          </w:p>
        </w:tc>
        <w:tc>
          <w:tcPr>
            <w:tcW w:w="1080" w:type="dxa"/>
            <w:vAlign w:val="center"/>
          </w:tcPr>
          <w:p w14:paraId="31A758B6" w14:textId="77777777" w:rsidR="007C7057" w:rsidRPr="00ED6AA3" w:rsidRDefault="007C7057" w:rsidP="000878F6">
            <w:pPr>
              <w:pStyle w:val="Table"/>
              <w:jc w:val="center"/>
              <w:rPr>
                <w:szCs w:val="20"/>
              </w:rPr>
            </w:pPr>
            <w:r w:rsidRPr="00ED6AA3">
              <w:rPr>
                <w:rFonts w:ascii="Calibri" w:hAnsi="Calibri" w:cs="Calibri"/>
                <w:color w:val="000000"/>
                <w:szCs w:val="20"/>
              </w:rPr>
              <w:t>-10,76%</w:t>
            </w:r>
          </w:p>
        </w:tc>
        <w:tc>
          <w:tcPr>
            <w:tcW w:w="1080" w:type="dxa"/>
            <w:vAlign w:val="center"/>
          </w:tcPr>
          <w:p w14:paraId="7C02FB1B" w14:textId="77777777" w:rsidR="007C7057" w:rsidRPr="00ED6AA3" w:rsidRDefault="007C7057" w:rsidP="000878F6">
            <w:pPr>
              <w:pStyle w:val="Table"/>
              <w:jc w:val="center"/>
              <w:rPr>
                <w:szCs w:val="20"/>
              </w:rPr>
            </w:pPr>
            <w:r w:rsidRPr="00ED6AA3">
              <w:rPr>
                <w:rFonts w:ascii="Calibri" w:hAnsi="Calibri" w:cs="Calibri"/>
                <w:color w:val="000000"/>
                <w:szCs w:val="20"/>
              </w:rPr>
              <w:t>-10,76%</w:t>
            </w:r>
          </w:p>
        </w:tc>
        <w:tc>
          <w:tcPr>
            <w:tcW w:w="990" w:type="dxa"/>
            <w:vAlign w:val="center"/>
          </w:tcPr>
          <w:p w14:paraId="19683578" w14:textId="77777777" w:rsidR="007C7057" w:rsidRPr="00ED6AA3" w:rsidRDefault="007C7057" w:rsidP="000878F6">
            <w:pPr>
              <w:pStyle w:val="Table"/>
              <w:jc w:val="center"/>
              <w:rPr>
                <w:szCs w:val="20"/>
              </w:rPr>
            </w:pPr>
            <w:r w:rsidRPr="00ED6AA3">
              <w:rPr>
                <w:rFonts w:ascii="Calibri" w:hAnsi="Calibri" w:cs="Calibri"/>
                <w:color w:val="000000"/>
                <w:szCs w:val="20"/>
              </w:rPr>
              <w:t>-0,55</w:t>
            </w:r>
          </w:p>
        </w:tc>
        <w:tc>
          <w:tcPr>
            <w:tcW w:w="1170" w:type="dxa"/>
            <w:vAlign w:val="center"/>
          </w:tcPr>
          <w:p w14:paraId="4DD7FD68" w14:textId="77777777" w:rsidR="007C7057" w:rsidRPr="00ED6AA3" w:rsidRDefault="007C7057" w:rsidP="000878F6">
            <w:pPr>
              <w:pStyle w:val="Table"/>
              <w:jc w:val="center"/>
              <w:rPr>
                <w:szCs w:val="20"/>
              </w:rPr>
            </w:pPr>
            <w:r w:rsidRPr="00ED6AA3">
              <w:rPr>
                <w:rFonts w:ascii="Calibri" w:hAnsi="Calibri" w:cs="Calibri"/>
                <w:color w:val="000000"/>
                <w:szCs w:val="20"/>
              </w:rPr>
              <w:t>-0,57</w:t>
            </w:r>
          </w:p>
        </w:tc>
        <w:tc>
          <w:tcPr>
            <w:tcW w:w="1312" w:type="dxa"/>
            <w:vAlign w:val="center"/>
          </w:tcPr>
          <w:p w14:paraId="72215D30" w14:textId="77777777" w:rsidR="007C7057" w:rsidRPr="00ED6AA3" w:rsidRDefault="007C7057" w:rsidP="000878F6">
            <w:pPr>
              <w:pStyle w:val="Table"/>
              <w:jc w:val="center"/>
              <w:rPr>
                <w:szCs w:val="20"/>
              </w:rPr>
            </w:pPr>
            <w:r w:rsidRPr="00ED6AA3">
              <w:rPr>
                <w:rFonts w:ascii="Calibri" w:hAnsi="Calibri" w:cs="Calibri"/>
                <w:color w:val="000000"/>
                <w:szCs w:val="20"/>
              </w:rPr>
              <w:t>-6,46%</w:t>
            </w:r>
          </w:p>
        </w:tc>
        <w:tc>
          <w:tcPr>
            <w:tcW w:w="1275" w:type="dxa"/>
            <w:vAlign w:val="center"/>
          </w:tcPr>
          <w:p w14:paraId="0500F58C" w14:textId="77777777" w:rsidR="007C7057" w:rsidRPr="00ED6AA3" w:rsidRDefault="007C7057" w:rsidP="000878F6">
            <w:pPr>
              <w:pStyle w:val="Table"/>
              <w:jc w:val="center"/>
              <w:rPr>
                <w:szCs w:val="20"/>
              </w:rPr>
            </w:pPr>
            <w:r w:rsidRPr="00ED6AA3">
              <w:rPr>
                <w:rFonts w:ascii="Calibri" w:hAnsi="Calibri" w:cs="Calibri"/>
                <w:color w:val="000000"/>
                <w:szCs w:val="20"/>
              </w:rPr>
              <w:t>-6,70%</w:t>
            </w:r>
          </w:p>
        </w:tc>
      </w:tr>
      <w:tr w:rsidR="007C7057" w:rsidRPr="00355514" w14:paraId="0DE32486" w14:textId="77777777" w:rsidTr="00BA7936">
        <w:tc>
          <w:tcPr>
            <w:tcW w:w="2160" w:type="dxa"/>
          </w:tcPr>
          <w:p w14:paraId="664F2AF1" w14:textId="77777777" w:rsidR="007C7057" w:rsidRPr="00F501DA" w:rsidRDefault="007C7057" w:rsidP="000878F6">
            <w:pPr>
              <w:pStyle w:val="Table"/>
            </w:pPr>
            <w:r w:rsidRPr="00F501DA">
              <w:t>Fertilizers</w:t>
            </w:r>
          </w:p>
        </w:tc>
        <w:tc>
          <w:tcPr>
            <w:tcW w:w="1080" w:type="dxa"/>
            <w:vAlign w:val="center"/>
          </w:tcPr>
          <w:p w14:paraId="062F5CE9" w14:textId="77777777" w:rsidR="007C7057" w:rsidRPr="00ED6AA3" w:rsidRDefault="007C7057" w:rsidP="000878F6">
            <w:pPr>
              <w:pStyle w:val="Table"/>
              <w:jc w:val="center"/>
              <w:rPr>
                <w:szCs w:val="20"/>
              </w:rPr>
            </w:pPr>
            <w:r w:rsidRPr="00ED6AA3">
              <w:rPr>
                <w:rFonts w:ascii="Calibri" w:hAnsi="Calibri" w:cs="Calibri"/>
                <w:color w:val="000000"/>
                <w:szCs w:val="20"/>
              </w:rPr>
              <w:t>-29,96%</w:t>
            </w:r>
          </w:p>
        </w:tc>
        <w:tc>
          <w:tcPr>
            <w:tcW w:w="1080" w:type="dxa"/>
            <w:vAlign w:val="center"/>
          </w:tcPr>
          <w:p w14:paraId="620C05B3" w14:textId="77777777" w:rsidR="007C7057" w:rsidRPr="00ED6AA3" w:rsidRDefault="007C7057" w:rsidP="000878F6">
            <w:pPr>
              <w:pStyle w:val="Table"/>
              <w:jc w:val="center"/>
              <w:rPr>
                <w:szCs w:val="20"/>
              </w:rPr>
            </w:pPr>
            <w:r w:rsidRPr="00ED6AA3">
              <w:rPr>
                <w:rFonts w:ascii="Calibri" w:hAnsi="Calibri" w:cs="Calibri"/>
                <w:color w:val="000000"/>
                <w:szCs w:val="20"/>
              </w:rPr>
              <w:t>-29,96%</w:t>
            </w:r>
          </w:p>
        </w:tc>
        <w:tc>
          <w:tcPr>
            <w:tcW w:w="990" w:type="dxa"/>
            <w:vAlign w:val="center"/>
          </w:tcPr>
          <w:p w14:paraId="02438091" w14:textId="77777777" w:rsidR="007C7057" w:rsidRPr="00ED6AA3" w:rsidRDefault="007C7057" w:rsidP="000878F6">
            <w:pPr>
              <w:pStyle w:val="Table"/>
              <w:jc w:val="center"/>
              <w:rPr>
                <w:szCs w:val="20"/>
              </w:rPr>
            </w:pPr>
            <w:r w:rsidRPr="00ED6AA3">
              <w:rPr>
                <w:rFonts w:ascii="Calibri" w:hAnsi="Calibri" w:cs="Calibri"/>
                <w:color w:val="000000"/>
                <w:szCs w:val="20"/>
              </w:rPr>
              <w:t>0,74</w:t>
            </w:r>
          </w:p>
        </w:tc>
        <w:tc>
          <w:tcPr>
            <w:tcW w:w="1170" w:type="dxa"/>
            <w:vAlign w:val="center"/>
          </w:tcPr>
          <w:p w14:paraId="72A7FAA9" w14:textId="77777777" w:rsidR="007C7057" w:rsidRPr="00ED6AA3" w:rsidRDefault="007C7057" w:rsidP="000878F6">
            <w:pPr>
              <w:pStyle w:val="Table"/>
              <w:jc w:val="center"/>
              <w:rPr>
                <w:szCs w:val="20"/>
              </w:rPr>
            </w:pPr>
            <w:r w:rsidRPr="00ED6AA3">
              <w:rPr>
                <w:rFonts w:ascii="Calibri" w:hAnsi="Calibri" w:cs="Calibri"/>
                <w:color w:val="000000"/>
                <w:szCs w:val="20"/>
              </w:rPr>
              <w:t>0,66</w:t>
            </w:r>
          </w:p>
        </w:tc>
        <w:tc>
          <w:tcPr>
            <w:tcW w:w="1312" w:type="dxa"/>
            <w:vAlign w:val="center"/>
          </w:tcPr>
          <w:p w14:paraId="31482A3F" w14:textId="77777777" w:rsidR="007C7057" w:rsidRPr="00ED6AA3" w:rsidRDefault="007C7057" w:rsidP="000878F6">
            <w:pPr>
              <w:pStyle w:val="Table"/>
              <w:jc w:val="center"/>
              <w:rPr>
                <w:szCs w:val="20"/>
              </w:rPr>
            </w:pPr>
            <w:r w:rsidRPr="00ED6AA3">
              <w:rPr>
                <w:rFonts w:ascii="Calibri" w:hAnsi="Calibri" w:cs="Calibri"/>
                <w:color w:val="000000"/>
                <w:szCs w:val="20"/>
              </w:rPr>
              <w:t>N.A.</w:t>
            </w:r>
          </w:p>
        </w:tc>
        <w:tc>
          <w:tcPr>
            <w:tcW w:w="1275" w:type="dxa"/>
            <w:vAlign w:val="center"/>
          </w:tcPr>
          <w:p w14:paraId="38897F3D" w14:textId="77777777" w:rsidR="007C7057" w:rsidRPr="00ED6AA3" w:rsidRDefault="007C7057" w:rsidP="000878F6">
            <w:pPr>
              <w:pStyle w:val="Table"/>
              <w:jc w:val="center"/>
              <w:rPr>
                <w:szCs w:val="20"/>
              </w:rPr>
            </w:pPr>
            <w:r w:rsidRPr="00ED6AA3">
              <w:rPr>
                <w:rFonts w:ascii="Calibri" w:hAnsi="Calibri" w:cs="Calibri"/>
                <w:color w:val="000000"/>
                <w:szCs w:val="20"/>
              </w:rPr>
              <w:t>N.A.</w:t>
            </w:r>
          </w:p>
        </w:tc>
      </w:tr>
      <w:tr w:rsidR="007C7057" w:rsidRPr="00355514" w14:paraId="3FC8B5EC" w14:textId="77777777" w:rsidTr="00BA7936">
        <w:tc>
          <w:tcPr>
            <w:tcW w:w="2160" w:type="dxa"/>
          </w:tcPr>
          <w:p w14:paraId="5DFCE898" w14:textId="77777777" w:rsidR="007C7057" w:rsidRPr="00F501DA" w:rsidRDefault="007C7057" w:rsidP="000878F6">
            <w:pPr>
              <w:pStyle w:val="Table"/>
            </w:pPr>
            <w:r w:rsidRPr="00F501DA">
              <w:t>Pesticides</w:t>
            </w:r>
          </w:p>
        </w:tc>
        <w:tc>
          <w:tcPr>
            <w:tcW w:w="1080" w:type="dxa"/>
            <w:vAlign w:val="center"/>
          </w:tcPr>
          <w:p w14:paraId="4A73E6BC" w14:textId="77777777" w:rsidR="007C7057" w:rsidRPr="00ED6AA3" w:rsidRDefault="007C7057" w:rsidP="000878F6">
            <w:pPr>
              <w:pStyle w:val="Table"/>
              <w:jc w:val="center"/>
              <w:rPr>
                <w:szCs w:val="20"/>
              </w:rPr>
            </w:pPr>
            <w:r w:rsidRPr="00ED6AA3">
              <w:rPr>
                <w:rFonts w:ascii="Calibri" w:hAnsi="Calibri" w:cs="Calibri"/>
                <w:color w:val="000000"/>
                <w:szCs w:val="20"/>
              </w:rPr>
              <w:t>n/a</w:t>
            </w:r>
          </w:p>
        </w:tc>
        <w:tc>
          <w:tcPr>
            <w:tcW w:w="1080" w:type="dxa"/>
            <w:vAlign w:val="center"/>
          </w:tcPr>
          <w:p w14:paraId="5B679A21" w14:textId="77777777" w:rsidR="007C7057" w:rsidRPr="00ED6AA3" w:rsidRDefault="007C7057" w:rsidP="000878F6">
            <w:pPr>
              <w:pStyle w:val="Table"/>
              <w:jc w:val="center"/>
              <w:rPr>
                <w:szCs w:val="20"/>
              </w:rPr>
            </w:pPr>
            <w:r w:rsidRPr="00ED6AA3">
              <w:rPr>
                <w:rFonts w:ascii="Calibri" w:hAnsi="Calibri" w:cs="Calibri"/>
                <w:color w:val="000000"/>
                <w:szCs w:val="20"/>
              </w:rPr>
              <w:t>n/a</w:t>
            </w:r>
          </w:p>
        </w:tc>
        <w:tc>
          <w:tcPr>
            <w:tcW w:w="990" w:type="dxa"/>
            <w:vAlign w:val="center"/>
          </w:tcPr>
          <w:p w14:paraId="3090CA0B" w14:textId="77777777" w:rsidR="007C7057" w:rsidRPr="00ED6AA3" w:rsidRDefault="007C7057" w:rsidP="000878F6">
            <w:pPr>
              <w:pStyle w:val="Table"/>
              <w:jc w:val="center"/>
              <w:rPr>
                <w:szCs w:val="20"/>
              </w:rPr>
            </w:pPr>
            <w:r w:rsidRPr="00ED6AA3">
              <w:rPr>
                <w:rFonts w:ascii="Calibri" w:hAnsi="Calibri" w:cs="Calibri"/>
                <w:color w:val="000000"/>
                <w:szCs w:val="20"/>
              </w:rPr>
              <w:t>1,09</w:t>
            </w:r>
          </w:p>
        </w:tc>
        <w:tc>
          <w:tcPr>
            <w:tcW w:w="1170" w:type="dxa"/>
            <w:vAlign w:val="center"/>
          </w:tcPr>
          <w:p w14:paraId="3DA3CA9C" w14:textId="77777777" w:rsidR="007C7057" w:rsidRPr="00ED6AA3" w:rsidRDefault="007C7057" w:rsidP="000878F6">
            <w:pPr>
              <w:pStyle w:val="Table"/>
              <w:jc w:val="center"/>
              <w:rPr>
                <w:szCs w:val="20"/>
              </w:rPr>
            </w:pPr>
            <w:r w:rsidRPr="00ED6AA3">
              <w:rPr>
                <w:rFonts w:ascii="Calibri" w:hAnsi="Calibri" w:cs="Calibri"/>
                <w:color w:val="000000"/>
                <w:szCs w:val="20"/>
              </w:rPr>
              <w:t>1,07</w:t>
            </w:r>
          </w:p>
        </w:tc>
        <w:tc>
          <w:tcPr>
            <w:tcW w:w="1312" w:type="dxa"/>
            <w:vAlign w:val="center"/>
          </w:tcPr>
          <w:p w14:paraId="4FA08881" w14:textId="77777777" w:rsidR="007C7057" w:rsidRPr="00ED6AA3" w:rsidRDefault="007C7057" w:rsidP="000878F6">
            <w:pPr>
              <w:pStyle w:val="Table"/>
              <w:jc w:val="center"/>
              <w:rPr>
                <w:szCs w:val="20"/>
              </w:rPr>
            </w:pPr>
            <w:r w:rsidRPr="00ED6AA3">
              <w:rPr>
                <w:rFonts w:ascii="Calibri" w:hAnsi="Calibri" w:cs="Calibri"/>
                <w:color w:val="000000"/>
                <w:szCs w:val="20"/>
              </w:rPr>
              <w:t>0,00%</w:t>
            </w:r>
          </w:p>
        </w:tc>
        <w:tc>
          <w:tcPr>
            <w:tcW w:w="1275" w:type="dxa"/>
            <w:vAlign w:val="center"/>
          </w:tcPr>
          <w:p w14:paraId="5CA1A1CA" w14:textId="77777777" w:rsidR="007C7057" w:rsidRPr="00ED6AA3" w:rsidRDefault="007C7057" w:rsidP="000878F6">
            <w:pPr>
              <w:pStyle w:val="Table"/>
              <w:jc w:val="center"/>
              <w:rPr>
                <w:szCs w:val="20"/>
              </w:rPr>
            </w:pPr>
            <w:r w:rsidRPr="00ED6AA3">
              <w:rPr>
                <w:rFonts w:ascii="Calibri" w:hAnsi="Calibri" w:cs="Calibri"/>
                <w:color w:val="000000"/>
                <w:szCs w:val="20"/>
              </w:rPr>
              <w:t>0,00%</w:t>
            </w:r>
          </w:p>
        </w:tc>
      </w:tr>
      <w:tr w:rsidR="007C7057" w:rsidRPr="00355514" w14:paraId="30EED84C" w14:textId="77777777" w:rsidTr="00BA7936">
        <w:tc>
          <w:tcPr>
            <w:tcW w:w="2160" w:type="dxa"/>
          </w:tcPr>
          <w:p w14:paraId="11F7FC06" w14:textId="77777777" w:rsidR="007C7057" w:rsidRPr="00F501DA" w:rsidRDefault="007C7057" w:rsidP="000878F6">
            <w:pPr>
              <w:pStyle w:val="Table"/>
            </w:pPr>
            <w:r w:rsidRPr="00F501DA">
              <w:t>Waste Incineration</w:t>
            </w:r>
          </w:p>
        </w:tc>
        <w:tc>
          <w:tcPr>
            <w:tcW w:w="1080" w:type="dxa"/>
            <w:vAlign w:val="center"/>
          </w:tcPr>
          <w:p w14:paraId="718C2B1F" w14:textId="77777777" w:rsidR="007C7057" w:rsidRPr="00ED6AA3" w:rsidRDefault="007C7057" w:rsidP="000878F6">
            <w:pPr>
              <w:pStyle w:val="Table"/>
              <w:jc w:val="center"/>
              <w:rPr>
                <w:szCs w:val="20"/>
              </w:rPr>
            </w:pPr>
            <w:r w:rsidRPr="00ED6AA3">
              <w:rPr>
                <w:rFonts w:ascii="Calibri" w:hAnsi="Calibri" w:cs="Calibri"/>
                <w:color w:val="000000"/>
                <w:szCs w:val="20"/>
              </w:rPr>
              <w:t>-20,00%</w:t>
            </w:r>
          </w:p>
        </w:tc>
        <w:tc>
          <w:tcPr>
            <w:tcW w:w="1080" w:type="dxa"/>
            <w:vAlign w:val="center"/>
          </w:tcPr>
          <w:p w14:paraId="295F4644" w14:textId="77777777" w:rsidR="007C7057" w:rsidRPr="00ED6AA3" w:rsidRDefault="007C7057" w:rsidP="000878F6">
            <w:pPr>
              <w:pStyle w:val="Table"/>
              <w:jc w:val="center"/>
              <w:rPr>
                <w:szCs w:val="20"/>
              </w:rPr>
            </w:pPr>
            <w:r w:rsidRPr="00ED6AA3">
              <w:rPr>
                <w:rFonts w:ascii="Calibri" w:hAnsi="Calibri" w:cs="Calibri"/>
                <w:color w:val="000000"/>
                <w:szCs w:val="20"/>
              </w:rPr>
              <w:t>-20,00%</w:t>
            </w:r>
          </w:p>
        </w:tc>
        <w:tc>
          <w:tcPr>
            <w:tcW w:w="990" w:type="dxa"/>
            <w:vAlign w:val="center"/>
          </w:tcPr>
          <w:p w14:paraId="471757E0" w14:textId="77777777" w:rsidR="007C7057" w:rsidRPr="00ED6AA3" w:rsidRDefault="007C7057" w:rsidP="000878F6">
            <w:pPr>
              <w:pStyle w:val="Table"/>
              <w:jc w:val="center"/>
              <w:rPr>
                <w:szCs w:val="20"/>
              </w:rPr>
            </w:pPr>
            <w:r w:rsidRPr="00ED6AA3">
              <w:rPr>
                <w:rFonts w:ascii="Calibri" w:hAnsi="Calibri" w:cs="Calibri"/>
                <w:color w:val="000000"/>
                <w:szCs w:val="20"/>
              </w:rPr>
              <w:t>0,00</w:t>
            </w:r>
          </w:p>
        </w:tc>
        <w:tc>
          <w:tcPr>
            <w:tcW w:w="1170" w:type="dxa"/>
            <w:vAlign w:val="center"/>
          </w:tcPr>
          <w:p w14:paraId="6592F68D" w14:textId="77777777" w:rsidR="007C7057" w:rsidRPr="00ED6AA3" w:rsidRDefault="007C7057" w:rsidP="000878F6">
            <w:pPr>
              <w:pStyle w:val="Table"/>
              <w:jc w:val="center"/>
              <w:rPr>
                <w:szCs w:val="20"/>
              </w:rPr>
            </w:pPr>
            <w:r w:rsidRPr="00ED6AA3">
              <w:rPr>
                <w:rFonts w:ascii="Calibri" w:hAnsi="Calibri" w:cs="Calibri"/>
                <w:color w:val="000000"/>
                <w:szCs w:val="20"/>
              </w:rPr>
              <w:t>0,00</w:t>
            </w:r>
          </w:p>
        </w:tc>
        <w:tc>
          <w:tcPr>
            <w:tcW w:w="1312" w:type="dxa"/>
            <w:vAlign w:val="center"/>
          </w:tcPr>
          <w:p w14:paraId="520978AE" w14:textId="77777777" w:rsidR="007C7057" w:rsidRPr="00ED6AA3" w:rsidRDefault="007C7057" w:rsidP="000878F6">
            <w:pPr>
              <w:pStyle w:val="Table"/>
              <w:jc w:val="center"/>
              <w:rPr>
                <w:szCs w:val="20"/>
              </w:rPr>
            </w:pPr>
            <w:r w:rsidRPr="00ED6AA3">
              <w:rPr>
                <w:rFonts w:ascii="Calibri" w:hAnsi="Calibri" w:cs="Calibri"/>
                <w:color w:val="000000"/>
                <w:szCs w:val="20"/>
              </w:rPr>
              <w:t>0,00%</w:t>
            </w:r>
          </w:p>
        </w:tc>
        <w:tc>
          <w:tcPr>
            <w:tcW w:w="1275" w:type="dxa"/>
            <w:vAlign w:val="center"/>
          </w:tcPr>
          <w:p w14:paraId="506795E8" w14:textId="77777777" w:rsidR="007C7057" w:rsidRPr="00ED6AA3" w:rsidRDefault="007C7057" w:rsidP="000878F6">
            <w:pPr>
              <w:pStyle w:val="Table"/>
              <w:jc w:val="center"/>
              <w:rPr>
                <w:szCs w:val="20"/>
              </w:rPr>
            </w:pPr>
            <w:r w:rsidRPr="00ED6AA3">
              <w:rPr>
                <w:rFonts w:ascii="Calibri" w:hAnsi="Calibri" w:cs="Calibri"/>
                <w:color w:val="000000"/>
                <w:szCs w:val="20"/>
              </w:rPr>
              <w:t>0,00%</w:t>
            </w:r>
          </w:p>
        </w:tc>
      </w:tr>
      <w:tr w:rsidR="007C7057" w:rsidRPr="00355514" w14:paraId="5227BAFD" w14:textId="77777777" w:rsidTr="00BA7936">
        <w:tc>
          <w:tcPr>
            <w:tcW w:w="2160" w:type="dxa"/>
          </w:tcPr>
          <w:p w14:paraId="55ECAE7B" w14:textId="77777777" w:rsidR="007C7057" w:rsidRPr="00F501DA" w:rsidRDefault="007C7057" w:rsidP="000878F6">
            <w:pPr>
              <w:pStyle w:val="Table"/>
            </w:pPr>
            <w:r w:rsidRPr="00F501DA">
              <w:t>Waste to Landfill</w:t>
            </w:r>
          </w:p>
        </w:tc>
        <w:tc>
          <w:tcPr>
            <w:tcW w:w="1080" w:type="dxa"/>
            <w:vAlign w:val="center"/>
          </w:tcPr>
          <w:p w14:paraId="73EE7A79" w14:textId="77777777" w:rsidR="007C7057" w:rsidRPr="00ED6AA3" w:rsidRDefault="007C7057" w:rsidP="000878F6">
            <w:pPr>
              <w:pStyle w:val="Table"/>
              <w:jc w:val="center"/>
              <w:rPr>
                <w:szCs w:val="20"/>
              </w:rPr>
            </w:pPr>
            <w:r w:rsidRPr="00ED6AA3">
              <w:rPr>
                <w:rFonts w:ascii="Calibri" w:hAnsi="Calibri" w:cs="Calibri"/>
                <w:color w:val="000000"/>
                <w:szCs w:val="20"/>
              </w:rPr>
              <w:t>-49,91%</w:t>
            </w:r>
          </w:p>
        </w:tc>
        <w:tc>
          <w:tcPr>
            <w:tcW w:w="1080" w:type="dxa"/>
            <w:vAlign w:val="center"/>
          </w:tcPr>
          <w:p w14:paraId="1EDD7356" w14:textId="77777777" w:rsidR="007C7057" w:rsidRPr="00ED6AA3" w:rsidRDefault="007C7057" w:rsidP="000878F6">
            <w:pPr>
              <w:pStyle w:val="Table"/>
              <w:jc w:val="center"/>
              <w:rPr>
                <w:szCs w:val="20"/>
              </w:rPr>
            </w:pPr>
            <w:r w:rsidRPr="00ED6AA3">
              <w:rPr>
                <w:rFonts w:ascii="Calibri" w:hAnsi="Calibri" w:cs="Calibri"/>
                <w:color w:val="000000"/>
                <w:szCs w:val="20"/>
              </w:rPr>
              <w:t>-49,91%</w:t>
            </w:r>
          </w:p>
        </w:tc>
        <w:tc>
          <w:tcPr>
            <w:tcW w:w="990" w:type="dxa"/>
            <w:vAlign w:val="center"/>
          </w:tcPr>
          <w:p w14:paraId="309E7BFD" w14:textId="77777777" w:rsidR="007C7057" w:rsidRPr="00ED6AA3" w:rsidRDefault="007C7057" w:rsidP="000878F6">
            <w:pPr>
              <w:pStyle w:val="Table"/>
              <w:jc w:val="center"/>
              <w:rPr>
                <w:szCs w:val="20"/>
              </w:rPr>
            </w:pPr>
            <w:r w:rsidRPr="00ED6AA3">
              <w:rPr>
                <w:rFonts w:ascii="Calibri" w:hAnsi="Calibri" w:cs="Calibri"/>
                <w:color w:val="000000"/>
                <w:szCs w:val="20"/>
              </w:rPr>
              <w:t>67,74</w:t>
            </w:r>
          </w:p>
        </w:tc>
        <w:tc>
          <w:tcPr>
            <w:tcW w:w="1170" w:type="dxa"/>
            <w:vAlign w:val="center"/>
          </w:tcPr>
          <w:p w14:paraId="4B077945" w14:textId="77777777" w:rsidR="007C7057" w:rsidRPr="00ED6AA3" w:rsidRDefault="007C7057" w:rsidP="000878F6">
            <w:pPr>
              <w:pStyle w:val="Table"/>
              <w:jc w:val="center"/>
              <w:rPr>
                <w:szCs w:val="20"/>
              </w:rPr>
            </w:pPr>
            <w:r w:rsidRPr="00ED6AA3">
              <w:rPr>
                <w:rFonts w:ascii="Calibri" w:hAnsi="Calibri" w:cs="Calibri"/>
                <w:color w:val="000000"/>
                <w:szCs w:val="20"/>
              </w:rPr>
              <w:t>61,22</w:t>
            </w:r>
          </w:p>
        </w:tc>
        <w:tc>
          <w:tcPr>
            <w:tcW w:w="1312" w:type="dxa"/>
            <w:vAlign w:val="center"/>
          </w:tcPr>
          <w:p w14:paraId="78C4162B" w14:textId="77777777" w:rsidR="007C7057" w:rsidRPr="00ED6AA3" w:rsidRDefault="007C7057" w:rsidP="000878F6">
            <w:pPr>
              <w:pStyle w:val="Table"/>
              <w:jc w:val="center"/>
              <w:rPr>
                <w:szCs w:val="20"/>
              </w:rPr>
            </w:pPr>
            <w:r w:rsidRPr="00ED6AA3">
              <w:rPr>
                <w:rFonts w:ascii="Calibri" w:hAnsi="Calibri" w:cs="Calibri"/>
                <w:color w:val="000000"/>
                <w:szCs w:val="20"/>
              </w:rPr>
              <w:t>N.E.</w:t>
            </w:r>
          </w:p>
        </w:tc>
        <w:tc>
          <w:tcPr>
            <w:tcW w:w="1275" w:type="dxa"/>
            <w:vAlign w:val="center"/>
          </w:tcPr>
          <w:p w14:paraId="1593621D" w14:textId="77777777" w:rsidR="007C7057" w:rsidRPr="00ED6AA3" w:rsidRDefault="007C7057" w:rsidP="000878F6">
            <w:pPr>
              <w:pStyle w:val="Table"/>
              <w:jc w:val="center"/>
              <w:rPr>
                <w:szCs w:val="20"/>
              </w:rPr>
            </w:pPr>
            <w:r w:rsidRPr="00ED6AA3">
              <w:rPr>
                <w:rFonts w:ascii="Calibri" w:hAnsi="Calibri" w:cs="Calibri"/>
                <w:color w:val="000000"/>
                <w:szCs w:val="20"/>
              </w:rPr>
              <w:t>N.E.</w:t>
            </w:r>
          </w:p>
        </w:tc>
      </w:tr>
      <w:tr w:rsidR="007C7057" w:rsidRPr="00355514" w14:paraId="3845C5CC" w14:textId="77777777" w:rsidTr="00BA7936">
        <w:tc>
          <w:tcPr>
            <w:tcW w:w="2160" w:type="dxa"/>
          </w:tcPr>
          <w:p w14:paraId="593D6E8D" w14:textId="77777777" w:rsidR="007C7057" w:rsidRPr="00F501DA" w:rsidRDefault="007C7057" w:rsidP="000878F6">
            <w:pPr>
              <w:pStyle w:val="Table"/>
            </w:pPr>
            <w:r w:rsidRPr="00F501DA">
              <w:t>Water Effluent</w:t>
            </w:r>
          </w:p>
        </w:tc>
        <w:tc>
          <w:tcPr>
            <w:tcW w:w="1080" w:type="dxa"/>
            <w:vAlign w:val="center"/>
          </w:tcPr>
          <w:p w14:paraId="24C6ED9E" w14:textId="77777777" w:rsidR="007C7057" w:rsidRPr="00ED6AA3" w:rsidRDefault="007C7057" w:rsidP="000878F6">
            <w:pPr>
              <w:pStyle w:val="Table"/>
              <w:jc w:val="center"/>
              <w:rPr>
                <w:szCs w:val="20"/>
              </w:rPr>
            </w:pPr>
            <w:r w:rsidRPr="00ED6AA3">
              <w:rPr>
                <w:rFonts w:ascii="Calibri" w:hAnsi="Calibri" w:cs="Calibri"/>
                <w:color w:val="000000"/>
                <w:szCs w:val="20"/>
              </w:rPr>
              <w:t>0,00%</w:t>
            </w:r>
          </w:p>
        </w:tc>
        <w:tc>
          <w:tcPr>
            <w:tcW w:w="1080" w:type="dxa"/>
            <w:vAlign w:val="center"/>
          </w:tcPr>
          <w:p w14:paraId="7E968A6E" w14:textId="77777777" w:rsidR="007C7057" w:rsidRPr="00ED6AA3" w:rsidRDefault="007C7057" w:rsidP="000878F6">
            <w:pPr>
              <w:pStyle w:val="Table"/>
              <w:jc w:val="center"/>
              <w:rPr>
                <w:szCs w:val="20"/>
              </w:rPr>
            </w:pPr>
            <w:r w:rsidRPr="00ED6AA3">
              <w:rPr>
                <w:rFonts w:ascii="Calibri" w:hAnsi="Calibri" w:cs="Calibri"/>
                <w:color w:val="000000"/>
                <w:szCs w:val="20"/>
              </w:rPr>
              <w:t>0,00%</w:t>
            </w:r>
          </w:p>
        </w:tc>
        <w:tc>
          <w:tcPr>
            <w:tcW w:w="990" w:type="dxa"/>
            <w:vAlign w:val="center"/>
          </w:tcPr>
          <w:p w14:paraId="70499B77" w14:textId="77777777" w:rsidR="007C7057" w:rsidRPr="00ED6AA3" w:rsidRDefault="007C7057" w:rsidP="000878F6">
            <w:pPr>
              <w:pStyle w:val="Table"/>
              <w:jc w:val="center"/>
              <w:rPr>
                <w:szCs w:val="20"/>
              </w:rPr>
            </w:pPr>
            <w:r w:rsidRPr="00ED6AA3">
              <w:rPr>
                <w:rFonts w:ascii="Calibri" w:hAnsi="Calibri" w:cs="Calibri"/>
                <w:color w:val="000000"/>
                <w:szCs w:val="20"/>
              </w:rPr>
              <w:t>0,00</w:t>
            </w:r>
          </w:p>
        </w:tc>
        <w:tc>
          <w:tcPr>
            <w:tcW w:w="1170" w:type="dxa"/>
            <w:vAlign w:val="center"/>
          </w:tcPr>
          <w:p w14:paraId="52DE07A9" w14:textId="77777777" w:rsidR="007C7057" w:rsidRPr="00ED6AA3" w:rsidRDefault="007C7057" w:rsidP="000878F6">
            <w:pPr>
              <w:pStyle w:val="Table"/>
              <w:jc w:val="center"/>
              <w:rPr>
                <w:szCs w:val="20"/>
              </w:rPr>
            </w:pPr>
            <w:r w:rsidRPr="00ED6AA3">
              <w:rPr>
                <w:rFonts w:ascii="Calibri" w:hAnsi="Calibri" w:cs="Calibri"/>
                <w:color w:val="000000"/>
                <w:szCs w:val="20"/>
              </w:rPr>
              <w:t>0,00</w:t>
            </w:r>
          </w:p>
        </w:tc>
        <w:tc>
          <w:tcPr>
            <w:tcW w:w="1312" w:type="dxa"/>
            <w:vAlign w:val="center"/>
          </w:tcPr>
          <w:p w14:paraId="2AD8B9BC" w14:textId="77777777" w:rsidR="007C7057" w:rsidRPr="00ED6AA3" w:rsidRDefault="007C7057" w:rsidP="000878F6">
            <w:pPr>
              <w:pStyle w:val="Table"/>
              <w:jc w:val="center"/>
              <w:rPr>
                <w:szCs w:val="20"/>
              </w:rPr>
            </w:pPr>
            <w:r w:rsidRPr="00ED6AA3">
              <w:rPr>
                <w:rFonts w:ascii="Calibri" w:hAnsi="Calibri" w:cs="Calibri"/>
                <w:color w:val="000000"/>
                <w:szCs w:val="20"/>
              </w:rPr>
              <w:t>0,00%</w:t>
            </w:r>
          </w:p>
        </w:tc>
        <w:tc>
          <w:tcPr>
            <w:tcW w:w="1275" w:type="dxa"/>
            <w:vAlign w:val="center"/>
          </w:tcPr>
          <w:p w14:paraId="575A24E2" w14:textId="77777777" w:rsidR="007C7057" w:rsidRPr="00ED6AA3" w:rsidRDefault="007C7057" w:rsidP="000878F6">
            <w:pPr>
              <w:pStyle w:val="Table"/>
              <w:jc w:val="center"/>
              <w:rPr>
                <w:szCs w:val="20"/>
              </w:rPr>
            </w:pPr>
            <w:r w:rsidRPr="00ED6AA3">
              <w:rPr>
                <w:rFonts w:ascii="Calibri" w:hAnsi="Calibri" w:cs="Calibri"/>
                <w:color w:val="000000"/>
                <w:szCs w:val="20"/>
              </w:rPr>
              <w:t>0,00%</w:t>
            </w:r>
          </w:p>
        </w:tc>
      </w:tr>
      <w:tr w:rsidR="007C7057" w:rsidRPr="00355514" w14:paraId="7E0AC391" w14:textId="77777777" w:rsidTr="00BA7936">
        <w:tc>
          <w:tcPr>
            <w:tcW w:w="2160" w:type="dxa"/>
          </w:tcPr>
          <w:p w14:paraId="67C1F8D3" w14:textId="77777777" w:rsidR="007C7057" w:rsidRPr="00355514" w:rsidRDefault="007C7057" w:rsidP="000878F6">
            <w:pPr>
              <w:pStyle w:val="Table"/>
            </w:pPr>
            <w:r w:rsidRPr="00355514">
              <w:t>Minerals &amp; Aggregates</w:t>
            </w:r>
          </w:p>
        </w:tc>
        <w:tc>
          <w:tcPr>
            <w:tcW w:w="1080" w:type="dxa"/>
            <w:vAlign w:val="center"/>
          </w:tcPr>
          <w:p w14:paraId="1773AF11" w14:textId="77777777" w:rsidR="007C7057" w:rsidRPr="00ED6AA3" w:rsidRDefault="007C7057" w:rsidP="000878F6">
            <w:pPr>
              <w:pStyle w:val="Table"/>
              <w:jc w:val="center"/>
              <w:rPr>
                <w:szCs w:val="20"/>
              </w:rPr>
            </w:pPr>
            <w:r w:rsidRPr="00ED6AA3">
              <w:rPr>
                <w:rFonts w:ascii="Calibri" w:hAnsi="Calibri" w:cs="Calibri"/>
                <w:color w:val="000000"/>
                <w:szCs w:val="20"/>
              </w:rPr>
              <w:t>-16,67%</w:t>
            </w:r>
          </w:p>
        </w:tc>
        <w:tc>
          <w:tcPr>
            <w:tcW w:w="1080" w:type="dxa"/>
            <w:vAlign w:val="center"/>
          </w:tcPr>
          <w:p w14:paraId="4C0FCEAE" w14:textId="77777777" w:rsidR="007C7057" w:rsidRPr="00ED6AA3" w:rsidRDefault="007C7057" w:rsidP="000878F6">
            <w:pPr>
              <w:pStyle w:val="Table"/>
              <w:jc w:val="center"/>
              <w:rPr>
                <w:szCs w:val="20"/>
              </w:rPr>
            </w:pPr>
            <w:r w:rsidRPr="00ED6AA3">
              <w:rPr>
                <w:rFonts w:ascii="Calibri" w:hAnsi="Calibri" w:cs="Calibri"/>
                <w:color w:val="000000"/>
                <w:szCs w:val="20"/>
              </w:rPr>
              <w:t>-16,67%</w:t>
            </w:r>
          </w:p>
        </w:tc>
        <w:tc>
          <w:tcPr>
            <w:tcW w:w="990" w:type="dxa"/>
            <w:vAlign w:val="center"/>
          </w:tcPr>
          <w:p w14:paraId="1578C932" w14:textId="77777777" w:rsidR="007C7057" w:rsidRPr="00ED6AA3" w:rsidRDefault="007C7057" w:rsidP="000878F6">
            <w:pPr>
              <w:pStyle w:val="Table"/>
              <w:jc w:val="center"/>
              <w:rPr>
                <w:szCs w:val="20"/>
              </w:rPr>
            </w:pPr>
            <w:r w:rsidRPr="00ED6AA3">
              <w:rPr>
                <w:rFonts w:ascii="Calibri" w:hAnsi="Calibri" w:cs="Calibri"/>
                <w:color w:val="000000"/>
                <w:szCs w:val="20"/>
              </w:rPr>
              <w:t>0,79</w:t>
            </w:r>
          </w:p>
        </w:tc>
        <w:tc>
          <w:tcPr>
            <w:tcW w:w="1170" w:type="dxa"/>
            <w:vAlign w:val="center"/>
          </w:tcPr>
          <w:p w14:paraId="55CB50CA" w14:textId="77777777" w:rsidR="007C7057" w:rsidRPr="00ED6AA3" w:rsidRDefault="007C7057" w:rsidP="000878F6">
            <w:pPr>
              <w:pStyle w:val="Table"/>
              <w:jc w:val="center"/>
              <w:rPr>
                <w:szCs w:val="20"/>
              </w:rPr>
            </w:pPr>
            <w:r w:rsidRPr="00ED6AA3">
              <w:rPr>
                <w:rFonts w:ascii="Calibri" w:hAnsi="Calibri" w:cs="Calibri"/>
                <w:color w:val="000000"/>
                <w:szCs w:val="20"/>
              </w:rPr>
              <w:t>0,65</w:t>
            </w:r>
          </w:p>
        </w:tc>
        <w:tc>
          <w:tcPr>
            <w:tcW w:w="1312" w:type="dxa"/>
            <w:vAlign w:val="center"/>
          </w:tcPr>
          <w:p w14:paraId="73E7361D" w14:textId="77777777" w:rsidR="007C7057" w:rsidRPr="00ED6AA3" w:rsidRDefault="007C7057" w:rsidP="000878F6">
            <w:pPr>
              <w:pStyle w:val="Table"/>
              <w:jc w:val="center"/>
              <w:rPr>
                <w:szCs w:val="20"/>
              </w:rPr>
            </w:pPr>
            <w:r w:rsidRPr="00ED6AA3">
              <w:rPr>
                <w:rFonts w:ascii="Calibri" w:hAnsi="Calibri" w:cs="Calibri"/>
                <w:color w:val="000000"/>
                <w:szCs w:val="20"/>
              </w:rPr>
              <w:t>9,32%</w:t>
            </w:r>
          </w:p>
        </w:tc>
        <w:tc>
          <w:tcPr>
            <w:tcW w:w="1275" w:type="dxa"/>
            <w:vAlign w:val="center"/>
          </w:tcPr>
          <w:p w14:paraId="0813E37C" w14:textId="77777777" w:rsidR="007C7057" w:rsidRPr="00ED6AA3" w:rsidRDefault="007C7057" w:rsidP="000878F6">
            <w:pPr>
              <w:pStyle w:val="Table"/>
              <w:jc w:val="center"/>
              <w:rPr>
                <w:szCs w:val="20"/>
              </w:rPr>
            </w:pPr>
            <w:r w:rsidRPr="00ED6AA3">
              <w:rPr>
                <w:rFonts w:ascii="Calibri" w:hAnsi="Calibri" w:cs="Calibri"/>
                <w:color w:val="000000"/>
                <w:szCs w:val="20"/>
              </w:rPr>
              <w:t>7,69%</w:t>
            </w:r>
          </w:p>
        </w:tc>
      </w:tr>
    </w:tbl>
    <w:p w14:paraId="7DFD825D" w14:textId="77777777" w:rsidR="007C7057" w:rsidRDefault="007C7057" w:rsidP="007C7057">
      <w:pPr>
        <w:rPr>
          <w:lang w:eastAsia="en-GB"/>
        </w:rPr>
      </w:pPr>
    </w:p>
    <w:tbl>
      <w:tblPr>
        <w:tblStyle w:val="Lentelstinklelis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0"/>
        <w:gridCol w:w="1080"/>
        <w:gridCol w:w="990"/>
        <w:gridCol w:w="1170"/>
        <w:gridCol w:w="1312"/>
        <w:gridCol w:w="1275"/>
      </w:tblGrid>
      <w:tr w:rsidR="007C7057" w:rsidRPr="00DF2618" w14:paraId="078E943F" w14:textId="77777777" w:rsidTr="00BA7936">
        <w:trPr>
          <w:trHeight w:val="255"/>
        </w:trPr>
        <w:tc>
          <w:tcPr>
            <w:tcW w:w="9067" w:type="dxa"/>
            <w:gridSpan w:val="7"/>
            <w:shd w:val="clear" w:color="auto" w:fill="003399"/>
          </w:tcPr>
          <w:p w14:paraId="017F312F" w14:textId="1A8F6146" w:rsidR="007C7057" w:rsidRPr="00DF2618" w:rsidRDefault="007C7057" w:rsidP="000878F6">
            <w:pPr>
              <w:pStyle w:val="Table"/>
              <w:rPr>
                <w:b/>
                <w:szCs w:val="20"/>
                <w:lang w:eastAsia="en-GB"/>
              </w:rPr>
            </w:pPr>
            <w:r w:rsidRPr="00DF2618">
              <w:rPr>
                <w:b/>
                <w:color w:val="FFFFFF" w:themeColor="background1"/>
                <w:szCs w:val="20"/>
              </w:rPr>
              <w:t xml:space="preserve">Table </w:t>
            </w:r>
            <w:r w:rsidR="00490085">
              <w:rPr>
                <w:b/>
                <w:bCs/>
                <w:color w:val="FFFFFF" w:themeColor="background1"/>
                <w:szCs w:val="20"/>
              </w:rPr>
              <w:t>A6</w:t>
            </w:r>
            <w:r w:rsidRPr="00DF2618">
              <w:rPr>
                <w:b/>
                <w:bCs/>
                <w:color w:val="FFFFFF" w:themeColor="background1"/>
                <w:szCs w:val="20"/>
              </w:rPr>
              <w:t>-</w:t>
            </w:r>
            <w:r w:rsidRPr="00DF2618">
              <w:rPr>
                <w:b/>
                <w:bCs/>
                <w:color w:val="FFFFFF" w:themeColor="background1"/>
                <w:szCs w:val="20"/>
              </w:rPr>
              <w:fldChar w:fldCharType="begin"/>
            </w:r>
            <w:r w:rsidRPr="00DF2618">
              <w:rPr>
                <w:b/>
                <w:bCs/>
                <w:color w:val="FFFFFF" w:themeColor="background1"/>
                <w:szCs w:val="20"/>
              </w:rPr>
              <w:instrText xml:space="preserve"> SEQ Table_A5- \* ARABIC </w:instrText>
            </w:r>
            <w:r w:rsidRPr="00DF2618">
              <w:rPr>
                <w:b/>
                <w:bCs/>
                <w:color w:val="FFFFFF" w:themeColor="background1"/>
                <w:szCs w:val="20"/>
              </w:rPr>
              <w:fldChar w:fldCharType="separate"/>
            </w:r>
            <w:r>
              <w:rPr>
                <w:b/>
                <w:bCs/>
                <w:noProof/>
                <w:color w:val="FFFFFF" w:themeColor="background1"/>
                <w:szCs w:val="20"/>
              </w:rPr>
              <w:t>91</w:t>
            </w:r>
            <w:r w:rsidRPr="00DF2618">
              <w:rPr>
                <w:b/>
                <w:bCs/>
                <w:color w:val="FFFFFF" w:themeColor="background1"/>
                <w:szCs w:val="20"/>
              </w:rPr>
              <w:fldChar w:fldCharType="end"/>
            </w:r>
            <w:r w:rsidRPr="00DF2618">
              <w:rPr>
                <w:b/>
                <w:bCs/>
                <w:color w:val="FFFFFF" w:themeColor="background1"/>
                <w:szCs w:val="20"/>
                <w:lang w:eastAsia="en-GB"/>
              </w:rPr>
              <w:t>:</w:t>
            </w:r>
            <w:r w:rsidRPr="00DF2618">
              <w:rPr>
                <w:b/>
                <w:color w:val="FFFFFF" w:themeColor="background1"/>
                <w:szCs w:val="20"/>
                <w:lang w:eastAsia="en-GB"/>
              </w:rPr>
              <w:t xml:space="preserve"> Environmental Impacts and Revenue Changes in Luxembourg – Scenario B</w:t>
            </w:r>
          </w:p>
        </w:tc>
      </w:tr>
      <w:tr w:rsidR="007C7057" w:rsidRPr="00DF2618" w14:paraId="3A3E8AD3" w14:textId="77777777" w:rsidTr="00BA7936">
        <w:tc>
          <w:tcPr>
            <w:tcW w:w="2160" w:type="dxa"/>
          </w:tcPr>
          <w:p w14:paraId="03D9E2E6" w14:textId="77777777" w:rsidR="007C7057" w:rsidRPr="00DF2618" w:rsidRDefault="007C7057" w:rsidP="000878F6">
            <w:pPr>
              <w:pStyle w:val="Table"/>
              <w:rPr>
                <w:b/>
                <w:szCs w:val="20"/>
              </w:rPr>
            </w:pPr>
            <w:r w:rsidRPr="00DF2618">
              <w:rPr>
                <w:b/>
                <w:szCs w:val="20"/>
              </w:rPr>
              <w:t>Tax Name</w:t>
            </w:r>
          </w:p>
        </w:tc>
        <w:tc>
          <w:tcPr>
            <w:tcW w:w="2160" w:type="dxa"/>
            <w:gridSpan w:val="2"/>
            <w:vAlign w:val="bottom"/>
          </w:tcPr>
          <w:p w14:paraId="58E23E66" w14:textId="77777777" w:rsidR="007C7057" w:rsidRPr="00DF2618" w:rsidRDefault="007C7057" w:rsidP="000878F6">
            <w:pPr>
              <w:pStyle w:val="Table"/>
              <w:jc w:val="center"/>
              <w:rPr>
                <w:b/>
                <w:szCs w:val="20"/>
              </w:rPr>
            </w:pPr>
            <w:r w:rsidRPr="00DF2618">
              <w:rPr>
                <w:rFonts w:ascii="Calibri" w:hAnsi="Calibri" w:cs="Calibri"/>
                <w:b/>
                <w:bCs/>
                <w:color w:val="000000"/>
                <w:szCs w:val="20"/>
              </w:rPr>
              <w:t>% Change in Quantities as % of taxed sector</w:t>
            </w:r>
          </w:p>
        </w:tc>
        <w:tc>
          <w:tcPr>
            <w:tcW w:w="2160" w:type="dxa"/>
            <w:gridSpan w:val="2"/>
            <w:vAlign w:val="bottom"/>
          </w:tcPr>
          <w:p w14:paraId="7A80B105" w14:textId="77777777" w:rsidR="007C7057" w:rsidRPr="00DF2618" w:rsidRDefault="007C7057" w:rsidP="000878F6">
            <w:pPr>
              <w:pStyle w:val="Table"/>
              <w:jc w:val="center"/>
              <w:rPr>
                <w:b/>
                <w:szCs w:val="20"/>
              </w:rPr>
            </w:pPr>
            <w:r w:rsidRPr="00DF2618">
              <w:rPr>
                <w:rFonts w:ascii="Calibri" w:hAnsi="Calibri" w:cs="Calibri"/>
                <w:b/>
                <w:bCs/>
                <w:color w:val="000000"/>
                <w:szCs w:val="20"/>
              </w:rPr>
              <w:t>Change in Revenues (€Mn)</w:t>
            </w:r>
          </w:p>
        </w:tc>
        <w:tc>
          <w:tcPr>
            <w:tcW w:w="2587" w:type="dxa"/>
            <w:gridSpan w:val="2"/>
            <w:vAlign w:val="bottom"/>
          </w:tcPr>
          <w:p w14:paraId="36140CDF" w14:textId="77777777" w:rsidR="007C7057" w:rsidRPr="00DF2618" w:rsidRDefault="007C7057" w:rsidP="000878F6">
            <w:pPr>
              <w:pStyle w:val="Table"/>
              <w:jc w:val="center"/>
              <w:rPr>
                <w:b/>
                <w:szCs w:val="20"/>
              </w:rPr>
            </w:pPr>
            <w:r w:rsidRPr="00DF2618">
              <w:rPr>
                <w:rFonts w:ascii="Calibri" w:hAnsi="Calibri" w:cs="Calibri"/>
                <w:b/>
                <w:bCs/>
                <w:color w:val="000000"/>
                <w:szCs w:val="20"/>
              </w:rPr>
              <w:t>As % of 2023 Resource Tax</w:t>
            </w:r>
          </w:p>
        </w:tc>
      </w:tr>
      <w:tr w:rsidR="007C7057" w:rsidRPr="00DF2618" w14:paraId="3E3FF4F7" w14:textId="77777777" w:rsidTr="00BA7936">
        <w:tc>
          <w:tcPr>
            <w:tcW w:w="2160" w:type="dxa"/>
          </w:tcPr>
          <w:p w14:paraId="0C6082E4" w14:textId="77777777" w:rsidR="007C7057" w:rsidRPr="00DF2618" w:rsidRDefault="007C7057" w:rsidP="000878F6">
            <w:pPr>
              <w:pStyle w:val="Table"/>
              <w:rPr>
                <w:b/>
                <w:szCs w:val="20"/>
              </w:rPr>
            </w:pPr>
            <w:r w:rsidRPr="00DF2618">
              <w:rPr>
                <w:b/>
                <w:szCs w:val="20"/>
              </w:rPr>
              <w:t>Year</w:t>
            </w:r>
          </w:p>
        </w:tc>
        <w:tc>
          <w:tcPr>
            <w:tcW w:w="1080" w:type="dxa"/>
          </w:tcPr>
          <w:p w14:paraId="6D8A2E2E" w14:textId="77777777" w:rsidR="007C7057" w:rsidRPr="00DF2618" w:rsidRDefault="007C7057" w:rsidP="000878F6">
            <w:pPr>
              <w:pStyle w:val="Table"/>
              <w:jc w:val="center"/>
              <w:rPr>
                <w:b/>
                <w:szCs w:val="20"/>
              </w:rPr>
            </w:pPr>
            <w:r w:rsidRPr="00DF2618">
              <w:rPr>
                <w:b/>
                <w:szCs w:val="20"/>
              </w:rPr>
              <w:t>2030</w:t>
            </w:r>
          </w:p>
        </w:tc>
        <w:tc>
          <w:tcPr>
            <w:tcW w:w="1080" w:type="dxa"/>
          </w:tcPr>
          <w:p w14:paraId="691A943E" w14:textId="77777777" w:rsidR="007C7057" w:rsidRPr="00DF2618" w:rsidRDefault="007C7057" w:rsidP="000878F6">
            <w:pPr>
              <w:pStyle w:val="Table"/>
              <w:jc w:val="center"/>
              <w:rPr>
                <w:b/>
                <w:szCs w:val="20"/>
              </w:rPr>
            </w:pPr>
            <w:r w:rsidRPr="00DF2618">
              <w:rPr>
                <w:b/>
                <w:szCs w:val="20"/>
              </w:rPr>
              <w:t>2035</w:t>
            </w:r>
          </w:p>
        </w:tc>
        <w:tc>
          <w:tcPr>
            <w:tcW w:w="990" w:type="dxa"/>
          </w:tcPr>
          <w:p w14:paraId="3BB60031" w14:textId="77777777" w:rsidR="007C7057" w:rsidRPr="00DF2618" w:rsidRDefault="007C7057" w:rsidP="000878F6">
            <w:pPr>
              <w:pStyle w:val="Table"/>
              <w:jc w:val="center"/>
              <w:rPr>
                <w:b/>
                <w:szCs w:val="20"/>
              </w:rPr>
            </w:pPr>
            <w:r w:rsidRPr="00DF2618">
              <w:rPr>
                <w:b/>
                <w:szCs w:val="20"/>
              </w:rPr>
              <w:t>2030</w:t>
            </w:r>
          </w:p>
        </w:tc>
        <w:tc>
          <w:tcPr>
            <w:tcW w:w="1170" w:type="dxa"/>
          </w:tcPr>
          <w:p w14:paraId="50322055" w14:textId="77777777" w:rsidR="007C7057" w:rsidRPr="00DF2618" w:rsidRDefault="007C7057" w:rsidP="000878F6">
            <w:pPr>
              <w:pStyle w:val="Table"/>
              <w:jc w:val="center"/>
              <w:rPr>
                <w:b/>
                <w:szCs w:val="20"/>
              </w:rPr>
            </w:pPr>
            <w:r w:rsidRPr="00DF2618">
              <w:rPr>
                <w:b/>
                <w:szCs w:val="20"/>
              </w:rPr>
              <w:t>2035</w:t>
            </w:r>
          </w:p>
        </w:tc>
        <w:tc>
          <w:tcPr>
            <w:tcW w:w="1312" w:type="dxa"/>
          </w:tcPr>
          <w:p w14:paraId="2E0F3020" w14:textId="77777777" w:rsidR="007C7057" w:rsidRPr="00DF2618" w:rsidRDefault="007C7057" w:rsidP="000878F6">
            <w:pPr>
              <w:pStyle w:val="Table"/>
              <w:jc w:val="center"/>
              <w:rPr>
                <w:b/>
                <w:szCs w:val="20"/>
              </w:rPr>
            </w:pPr>
            <w:r w:rsidRPr="00DF2618">
              <w:rPr>
                <w:b/>
                <w:szCs w:val="20"/>
              </w:rPr>
              <w:t>2030</w:t>
            </w:r>
          </w:p>
        </w:tc>
        <w:tc>
          <w:tcPr>
            <w:tcW w:w="1275" w:type="dxa"/>
          </w:tcPr>
          <w:p w14:paraId="17B60DE6" w14:textId="77777777" w:rsidR="007C7057" w:rsidRPr="00DF2618" w:rsidRDefault="007C7057" w:rsidP="000878F6">
            <w:pPr>
              <w:pStyle w:val="Table"/>
              <w:jc w:val="center"/>
              <w:rPr>
                <w:b/>
                <w:szCs w:val="20"/>
              </w:rPr>
            </w:pPr>
            <w:r w:rsidRPr="00DF2618">
              <w:rPr>
                <w:b/>
                <w:szCs w:val="20"/>
              </w:rPr>
              <w:t>2035</w:t>
            </w:r>
          </w:p>
        </w:tc>
      </w:tr>
      <w:tr w:rsidR="007C7057" w:rsidRPr="00DF2618" w14:paraId="3D6ACBC4" w14:textId="77777777" w:rsidTr="00BA7936">
        <w:tc>
          <w:tcPr>
            <w:tcW w:w="2160" w:type="dxa"/>
          </w:tcPr>
          <w:p w14:paraId="36A57B5A" w14:textId="77777777" w:rsidR="007C7057" w:rsidRPr="00DF2618" w:rsidRDefault="007C7057" w:rsidP="000878F6">
            <w:pPr>
              <w:pStyle w:val="Table"/>
              <w:rPr>
                <w:szCs w:val="20"/>
              </w:rPr>
            </w:pPr>
            <w:r w:rsidRPr="00DF2618">
              <w:rPr>
                <w:szCs w:val="20"/>
              </w:rPr>
              <w:t>NOx</w:t>
            </w:r>
          </w:p>
        </w:tc>
        <w:tc>
          <w:tcPr>
            <w:tcW w:w="1080" w:type="dxa"/>
            <w:vAlign w:val="center"/>
          </w:tcPr>
          <w:p w14:paraId="0579FA73" w14:textId="77777777" w:rsidR="007C7057" w:rsidRPr="00DF2618" w:rsidRDefault="007C7057" w:rsidP="000878F6">
            <w:pPr>
              <w:pStyle w:val="Table"/>
              <w:jc w:val="center"/>
              <w:rPr>
                <w:szCs w:val="20"/>
              </w:rPr>
            </w:pPr>
            <w:r w:rsidRPr="00DF2618">
              <w:rPr>
                <w:rFonts w:ascii="Calibri" w:hAnsi="Calibri" w:cs="Calibri"/>
                <w:color w:val="000000"/>
                <w:szCs w:val="20"/>
              </w:rPr>
              <w:t>-7,39%</w:t>
            </w:r>
          </w:p>
        </w:tc>
        <w:tc>
          <w:tcPr>
            <w:tcW w:w="1080" w:type="dxa"/>
            <w:vAlign w:val="center"/>
          </w:tcPr>
          <w:p w14:paraId="3389BD95" w14:textId="77777777" w:rsidR="007C7057" w:rsidRPr="00DF2618" w:rsidRDefault="007C7057" w:rsidP="000878F6">
            <w:pPr>
              <w:pStyle w:val="Table"/>
              <w:jc w:val="center"/>
              <w:rPr>
                <w:szCs w:val="20"/>
              </w:rPr>
            </w:pPr>
            <w:r w:rsidRPr="00DF2618">
              <w:rPr>
                <w:rFonts w:ascii="Calibri" w:hAnsi="Calibri" w:cs="Calibri"/>
                <w:color w:val="000000"/>
                <w:szCs w:val="20"/>
              </w:rPr>
              <w:t>-7,39%</w:t>
            </w:r>
          </w:p>
        </w:tc>
        <w:tc>
          <w:tcPr>
            <w:tcW w:w="990" w:type="dxa"/>
            <w:vAlign w:val="center"/>
          </w:tcPr>
          <w:p w14:paraId="463AD29F" w14:textId="77777777" w:rsidR="007C7057" w:rsidRPr="00DF2618" w:rsidRDefault="007C7057" w:rsidP="000878F6">
            <w:pPr>
              <w:pStyle w:val="Table"/>
              <w:jc w:val="center"/>
              <w:rPr>
                <w:szCs w:val="20"/>
              </w:rPr>
            </w:pPr>
            <w:r w:rsidRPr="00DF2618">
              <w:rPr>
                <w:rFonts w:ascii="Calibri" w:hAnsi="Calibri" w:cs="Calibri"/>
                <w:color w:val="000000"/>
                <w:szCs w:val="20"/>
              </w:rPr>
              <w:t>0,03</w:t>
            </w:r>
          </w:p>
        </w:tc>
        <w:tc>
          <w:tcPr>
            <w:tcW w:w="1170" w:type="dxa"/>
            <w:vAlign w:val="center"/>
          </w:tcPr>
          <w:p w14:paraId="59AF0144" w14:textId="77777777" w:rsidR="007C7057" w:rsidRPr="00DF2618" w:rsidRDefault="007C7057" w:rsidP="000878F6">
            <w:pPr>
              <w:pStyle w:val="Table"/>
              <w:jc w:val="center"/>
              <w:rPr>
                <w:szCs w:val="20"/>
              </w:rPr>
            </w:pPr>
            <w:r w:rsidRPr="00DF2618">
              <w:rPr>
                <w:rFonts w:ascii="Calibri" w:hAnsi="Calibri" w:cs="Calibri"/>
                <w:color w:val="000000"/>
                <w:szCs w:val="20"/>
              </w:rPr>
              <w:t>0,03</w:t>
            </w:r>
          </w:p>
        </w:tc>
        <w:tc>
          <w:tcPr>
            <w:tcW w:w="1312" w:type="dxa"/>
            <w:vAlign w:val="center"/>
          </w:tcPr>
          <w:p w14:paraId="29D06FF0" w14:textId="77777777" w:rsidR="007C7057" w:rsidRPr="00DF2618" w:rsidRDefault="007C7057" w:rsidP="000878F6">
            <w:pPr>
              <w:pStyle w:val="Table"/>
              <w:jc w:val="center"/>
              <w:rPr>
                <w:szCs w:val="20"/>
              </w:rPr>
            </w:pPr>
            <w:r w:rsidRPr="00DF2618">
              <w:rPr>
                <w:rFonts w:ascii="Calibri" w:hAnsi="Calibri" w:cs="Calibri"/>
                <w:color w:val="000000"/>
                <w:szCs w:val="20"/>
              </w:rPr>
              <w:t>NA</w:t>
            </w:r>
          </w:p>
        </w:tc>
        <w:tc>
          <w:tcPr>
            <w:tcW w:w="1275" w:type="dxa"/>
            <w:vAlign w:val="center"/>
          </w:tcPr>
          <w:p w14:paraId="3C6302AF" w14:textId="77777777" w:rsidR="007C7057" w:rsidRPr="00DF2618" w:rsidRDefault="007C7057" w:rsidP="000878F6">
            <w:pPr>
              <w:pStyle w:val="Table"/>
              <w:jc w:val="center"/>
              <w:rPr>
                <w:szCs w:val="20"/>
              </w:rPr>
            </w:pPr>
            <w:r w:rsidRPr="00DF2618">
              <w:rPr>
                <w:rFonts w:ascii="Calibri" w:hAnsi="Calibri" w:cs="Calibri"/>
                <w:color w:val="000000"/>
                <w:szCs w:val="20"/>
              </w:rPr>
              <w:t>NA</w:t>
            </w:r>
          </w:p>
        </w:tc>
      </w:tr>
      <w:tr w:rsidR="007C7057" w:rsidRPr="00DF2618" w14:paraId="44FB3E80" w14:textId="77777777" w:rsidTr="00BA7936">
        <w:tc>
          <w:tcPr>
            <w:tcW w:w="2160" w:type="dxa"/>
          </w:tcPr>
          <w:p w14:paraId="4517F006" w14:textId="77777777" w:rsidR="007C7057" w:rsidRPr="00DF2618" w:rsidRDefault="007C7057" w:rsidP="000878F6">
            <w:pPr>
              <w:pStyle w:val="Table"/>
              <w:rPr>
                <w:szCs w:val="20"/>
              </w:rPr>
            </w:pPr>
            <w:r w:rsidRPr="00DF2618">
              <w:rPr>
                <w:szCs w:val="20"/>
              </w:rPr>
              <w:t>SO2</w:t>
            </w:r>
          </w:p>
        </w:tc>
        <w:tc>
          <w:tcPr>
            <w:tcW w:w="1080" w:type="dxa"/>
            <w:vAlign w:val="center"/>
          </w:tcPr>
          <w:p w14:paraId="425FFD82" w14:textId="77777777" w:rsidR="007C7057" w:rsidRPr="00DF2618" w:rsidRDefault="007C7057" w:rsidP="000878F6">
            <w:pPr>
              <w:pStyle w:val="Table"/>
              <w:jc w:val="center"/>
              <w:rPr>
                <w:szCs w:val="20"/>
              </w:rPr>
            </w:pPr>
            <w:r w:rsidRPr="00DF2618">
              <w:rPr>
                <w:rFonts w:ascii="Calibri" w:hAnsi="Calibri" w:cs="Calibri"/>
                <w:color w:val="000000"/>
                <w:szCs w:val="20"/>
              </w:rPr>
              <w:t>-8,11%</w:t>
            </w:r>
          </w:p>
        </w:tc>
        <w:tc>
          <w:tcPr>
            <w:tcW w:w="1080" w:type="dxa"/>
            <w:vAlign w:val="center"/>
          </w:tcPr>
          <w:p w14:paraId="778D2A35" w14:textId="77777777" w:rsidR="007C7057" w:rsidRPr="00DF2618" w:rsidRDefault="007C7057" w:rsidP="000878F6">
            <w:pPr>
              <w:pStyle w:val="Table"/>
              <w:jc w:val="center"/>
              <w:rPr>
                <w:szCs w:val="20"/>
              </w:rPr>
            </w:pPr>
            <w:r w:rsidRPr="00DF2618">
              <w:rPr>
                <w:rFonts w:ascii="Calibri" w:hAnsi="Calibri" w:cs="Calibri"/>
                <w:color w:val="000000"/>
                <w:szCs w:val="20"/>
              </w:rPr>
              <w:t>-8,11%</w:t>
            </w:r>
          </w:p>
        </w:tc>
        <w:tc>
          <w:tcPr>
            <w:tcW w:w="990" w:type="dxa"/>
            <w:vAlign w:val="center"/>
          </w:tcPr>
          <w:p w14:paraId="7D99261E" w14:textId="77777777" w:rsidR="007C7057" w:rsidRPr="00DF2618" w:rsidRDefault="007C7057" w:rsidP="000878F6">
            <w:pPr>
              <w:pStyle w:val="Table"/>
              <w:jc w:val="center"/>
              <w:rPr>
                <w:szCs w:val="20"/>
              </w:rPr>
            </w:pPr>
            <w:r w:rsidRPr="00DF2618">
              <w:rPr>
                <w:rFonts w:ascii="Calibri" w:hAnsi="Calibri" w:cs="Calibri"/>
                <w:color w:val="000000"/>
                <w:szCs w:val="20"/>
              </w:rPr>
              <w:t>0,07</w:t>
            </w:r>
          </w:p>
        </w:tc>
        <w:tc>
          <w:tcPr>
            <w:tcW w:w="1170" w:type="dxa"/>
            <w:vAlign w:val="center"/>
          </w:tcPr>
          <w:p w14:paraId="77583845" w14:textId="77777777" w:rsidR="007C7057" w:rsidRPr="00DF2618" w:rsidRDefault="007C7057" w:rsidP="000878F6">
            <w:pPr>
              <w:pStyle w:val="Table"/>
              <w:jc w:val="center"/>
              <w:rPr>
                <w:szCs w:val="20"/>
              </w:rPr>
            </w:pPr>
            <w:r w:rsidRPr="00DF2618">
              <w:rPr>
                <w:rFonts w:ascii="Calibri" w:hAnsi="Calibri" w:cs="Calibri"/>
                <w:color w:val="000000"/>
                <w:szCs w:val="20"/>
              </w:rPr>
              <w:t>0,04</w:t>
            </w:r>
          </w:p>
        </w:tc>
        <w:tc>
          <w:tcPr>
            <w:tcW w:w="1312" w:type="dxa"/>
            <w:vAlign w:val="center"/>
          </w:tcPr>
          <w:p w14:paraId="0E739426" w14:textId="77777777" w:rsidR="007C7057" w:rsidRPr="00DF2618" w:rsidRDefault="007C7057" w:rsidP="000878F6">
            <w:pPr>
              <w:pStyle w:val="Table"/>
              <w:jc w:val="center"/>
              <w:rPr>
                <w:szCs w:val="20"/>
              </w:rPr>
            </w:pPr>
            <w:r w:rsidRPr="00DF2618">
              <w:rPr>
                <w:rFonts w:ascii="Calibri" w:hAnsi="Calibri" w:cs="Calibri"/>
                <w:color w:val="000000"/>
                <w:szCs w:val="20"/>
              </w:rPr>
              <w:t>NA</w:t>
            </w:r>
          </w:p>
        </w:tc>
        <w:tc>
          <w:tcPr>
            <w:tcW w:w="1275" w:type="dxa"/>
            <w:vAlign w:val="center"/>
          </w:tcPr>
          <w:p w14:paraId="03072AA2" w14:textId="77777777" w:rsidR="007C7057" w:rsidRPr="00DF2618" w:rsidRDefault="007C7057" w:rsidP="000878F6">
            <w:pPr>
              <w:pStyle w:val="Table"/>
              <w:jc w:val="center"/>
              <w:rPr>
                <w:szCs w:val="20"/>
              </w:rPr>
            </w:pPr>
            <w:r w:rsidRPr="00DF2618">
              <w:rPr>
                <w:rFonts w:ascii="Calibri" w:hAnsi="Calibri" w:cs="Calibri"/>
                <w:color w:val="000000"/>
                <w:szCs w:val="20"/>
              </w:rPr>
              <w:t>NA</w:t>
            </w:r>
          </w:p>
        </w:tc>
      </w:tr>
      <w:tr w:rsidR="007C7057" w:rsidRPr="00DF2618" w14:paraId="53664C26" w14:textId="77777777" w:rsidTr="00BA7936">
        <w:tc>
          <w:tcPr>
            <w:tcW w:w="2160" w:type="dxa"/>
          </w:tcPr>
          <w:p w14:paraId="75999070" w14:textId="77777777" w:rsidR="007C7057" w:rsidRPr="00DF2618" w:rsidRDefault="007C7057" w:rsidP="000878F6">
            <w:pPr>
              <w:pStyle w:val="Table"/>
              <w:rPr>
                <w:szCs w:val="20"/>
              </w:rPr>
            </w:pPr>
            <w:r w:rsidRPr="00DF2618">
              <w:rPr>
                <w:szCs w:val="20"/>
              </w:rPr>
              <w:t>PM2.5</w:t>
            </w:r>
          </w:p>
        </w:tc>
        <w:tc>
          <w:tcPr>
            <w:tcW w:w="1080" w:type="dxa"/>
            <w:vAlign w:val="center"/>
          </w:tcPr>
          <w:p w14:paraId="1F4704A9" w14:textId="77777777" w:rsidR="007C7057" w:rsidRPr="00DF2618" w:rsidRDefault="007C7057" w:rsidP="000878F6">
            <w:pPr>
              <w:pStyle w:val="Table"/>
              <w:jc w:val="center"/>
              <w:rPr>
                <w:szCs w:val="20"/>
              </w:rPr>
            </w:pPr>
            <w:r w:rsidRPr="00DF2618">
              <w:rPr>
                <w:rFonts w:ascii="Calibri" w:hAnsi="Calibri" w:cs="Calibri"/>
                <w:color w:val="000000"/>
                <w:szCs w:val="20"/>
              </w:rPr>
              <w:t>-7,39%</w:t>
            </w:r>
          </w:p>
        </w:tc>
        <w:tc>
          <w:tcPr>
            <w:tcW w:w="1080" w:type="dxa"/>
            <w:vAlign w:val="center"/>
          </w:tcPr>
          <w:p w14:paraId="028A977F" w14:textId="77777777" w:rsidR="007C7057" w:rsidRPr="00DF2618" w:rsidRDefault="007C7057" w:rsidP="000878F6">
            <w:pPr>
              <w:pStyle w:val="Table"/>
              <w:jc w:val="center"/>
              <w:rPr>
                <w:szCs w:val="20"/>
              </w:rPr>
            </w:pPr>
            <w:r w:rsidRPr="00DF2618">
              <w:rPr>
                <w:rFonts w:ascii="Calibri" w:hAnsi="Calibri" w:cs="Calibri"/>
                <w:color w:val="000000"/>
                <w:szCs w:val="20"/>
              </w:rPr>
              <w:t>-7,39%</w:t>
            </w:r>
          </w:p>
        </w:tc>
        <w:tc>
          <w:tcPr>
            <w:tcW w:w="990" w:type="dxa"/>
            <w:vAlign w:val="center"/>
          </w:tcPr>
          <w:p w14:paraId="19E29D49" w14:textId="77777777" w:rsidR="007C7057" w:rsidRPr="00DF2618" w:rsidRDefault="007C7057" w:rsidP="000878F6">
            <w:pPr>
              <w:pStyle w:val="Table"/>
              <w:jc w:val="center"/>
              <w:rPr>
                <w:szCs w:val="20"/>
              </w:rPr>
            </w:pPr>
            <w:r w:rsidRPr="00DF2618">
              <w:rPr>
                <w:rFonts w:ascii="Calibri" w:hAnsi="Calibri" w:cs="Calibri"/>
                <w:color w:val="000000"/>
                <w:szCs w:val="20"/>
              </w:rPr>
              <w:t>0,25</w:t>
            </w:r>
          </w:p>
        </w:tc>
        <w:tc>
          <w:tcPr>
            <w:tcW w:w="1170" w:type="dxa"/>
            <w:vAlign w:val="center"/>
          </w:tcPr>
          <w:p w14:paraId="25B8AB34" w14:textId="77777777" w:rsidR="007C7057" w:rsidRPr="00DF2618" w:rsidRDefault="007C7057" w:rsidP="000878F6">
            <w:pPr>
              <w:pStyle w:val="Table"/>
              <w:jc w:val="center"/>
              <w:rPr>
                <w:szCs w:val="20"/>
              </w:rPr>
            </w:pPr>
            <w:r w:rsidRPr="00DF2618">
              <w:rPr>
                <w:rFonts w:ascii="Calibri" w:hAnsi="Calibri" w:cs="Calibri"/>
                <w:color w:val="000000"/>
                <w:szCs w:val="20"/>
              </w:rPr>
              <w:t>0,30</w:t>
            </w:r>
          </w:p>
        </w:tc>
        <w:tc>
          <w:tcPr>
            <w:tcW w:w="1312" w:type="dxa"/>
            <w:vAlign w:val="center"/>
          </w:tcPr>
          <w:p w14:paraId="388C9E6B" w14:textId="77777777" w:rsidR="007C7057" w:rsidRPr="00DF2618" w:rsidRDefault="007C7057" w:rsidP="000878F6">
            <w:pPr>
              <w:pStyle w:val="Table"/>
              <w:jc w:val="center"/>
              <w:rPr>
                <w:szCs w:val="20"/>
              </w:rPr>
            </w:pPr>
            <w:r w:rsidRPr="00DF2618">
              <w:rPr>
                <w:rFonts w:ascii="Calibri" w:hAnsi="Calibri" w:cs="Calibri"/>
                <w:color w:val="000000"/>
                <w:szCs w:val="20"/>
              </w:rPr>
              <w:t>NA</w:t>
            </w:r>
          </w:p>
        </w:tc>
        <w:tc>
          <w:tcPr>
            <w:tcW w:w="1275" w:type="dxa"/>
            <w:vAlign w:val="center"/>
          </w:tcPr>
          <w:p w14:paraId="05A62F03" w14:textId="77777777" w:rsidR="007C7057" w:rsidRPr="00DF2618" w:rsidRDefault="007C7057" w:rsidP="000878F6">
            <w:pPr>
              <w:pStyle w:val="Table"/>
              <w:jc w:val="center"/>
              <w:rPr>
                <w:szCs w:val="20"/>
              </w:rPr>
            </w:pPr>
            <w:r w:rsidRPr="00DF2618">
              <w:rPr>
                <w:rFonts w:ascii="Calibri" w:hAnsi="Calibri" w:cs="Calibri"/>
                <w:color w:val="000000"/>
                <w:szCs w:val="20"/>
              </w:rPr>
              <w:t>NA</w:t>
            </w:r>
          </w:p>
        </w:tc>
      </w:tr>
      <w:tr w:rsidR="007C7057" w:rsidRPr="00DF2618" w14:paraId="4E4EEE7A" w14:textId="77777777" w:rsidTr="00BA7936">
        <w:tc>
          <w:tcPr>
            <w:tcW w:w="2160" w:type="dxa"/>
          </w:tcPr>
          <w:p w14:paraId="16842147" w14:textId="77777777" w:rsidR="007C7057" w:rsidRPr="00DF2618" w:rsidRDefault="007C7057" w:rsidP="000878F6">
            <w:pPr>
              <w:pStyle w:val="Table"/>
              <w:rPr>
                <w:szCs w:val="20"/>
              </w:rPr>
            </w:pPr>
            <w:r w:rsidRPr="00DF2618">
              <w:rPr>
                <w:szCs w:val="20"/>
              </w:rPr>
              <w:t>Water Abstraction</w:t>
            </w:r>
          </w:p>
        </w:tc>
        <w:tc>
          <w:tcPr>
            <w:tcW w:w="1080" w:type="dxa"/>
            <w:vAlign w:val="center"/>
          </w:tcPr>
          <w:p w14:paraId="65FD619B" w14:textId="77777777" w:rsidR="007C7057" w:rsidRPr="00DF2618" w:rsidRDefault="007C7057" w:rsidP="000878F6">
            <w:pPr>
              <w:pStyle w:val="Table"/>
              <w:jc w:val="center"/>
              <w:rPr>
                <w:szCs w:val="20"/>
              </w:rPr>
            </w:pPr>
            <w:r w:rsidRPr="00DF2618">
              <w:rPr>
                <w:rFonts w:ascii="Calibri" w:hAnsi="Calibri" w:cs="Calibri"/>
                <w:color w:val="000000"/>
                <w:szCs w:val="20"/>
              </w:rPr>
              <w:t>-2,11%</w:t>
            </w:r>
          </w:p>
        </w:tc>
        <w:tc>
          <w:tcPr>
            <w:tcW w:w="1080" w:type="dxa"/>
            <w:vAlign w:val="center"/>
          </w:tcPr>
          <w:p w14:paraId="449655B8" w14:textId="77777777" w:rsidR="007C7057" w:rsidRPr="00DF2618" w:rsidRDefault="007C7057" w:rsidP="000878F6">
            <w:pPr>
              <w:pStyle w:val="Table"/>
              <w:jc w:val="center"/>
              <w:rPr>
                <w:szCs w:val="20"/>
              </w:rPr>
            </w:pPr>
            <w:r w:rsidRPr="00DF2618">
              <w:rPr>
                <w:rFonts w:ascii="Calibri" w:hAnsi="Calibri" w:cs="Calibri"/>
                <w:color w:val="000000"/>
                <w:szCs w:val="20"/>
              </w:rPr>
              <w:t>-2,11%</w:t>
            </w:r>
          </w:p>
        </w:tc>
        <w:tc>
          <w:tcPr>
            <w:tcW w:w="990" w:type="dxa"/>
            <w:vAlign w:val="center"/>
          </w:tcPr>
          <w:p w14:paraId="56634896" w14:textId="77777777" w:rsidR="007C7057" w:rsidRPr="00DF2618" w:rsidRDefault="007C7057" w:rsidP="000878F6">
            <w:pPr>
              <w:pStyle w:val="Table"/>
              <w:jc w:val="center"/>
              <w:rPr>
                <w:szCs w:val="20"/>
              </w:rPr>
            </w:pPr>
            <w:r w:rsidRPr="00DF2618">
              <w:rPr>
                <w:rFonts w:ascii="Calibri" w:hAnsi="Calibri" w:cs="Calibri"/>
                <w:color w:val="000000"/>
                <w:szCs w:val="20"/>
              </w:rPr>
              <w:t>-0,02</w:t>
            </w:r>
          </w:p>
        </w:tc>
        <w:tc>
          <w:tcPr>
            <w:tcW w:w="1170" w:type="dxa"/>
            <w:vAlign w:val="center"/>
          </w:tcPr>
          <w:p w14:paraId="39E48D0A" w14:textId="77777777" w:rsidR="007C7057" w:rsidRPr="00DF2618" w:rsidRDefault="007C7057" w:rsidP="000878F6">
            <w:pPr>
              <w:pStyle w:val="Table"/>
              <w:jc w:val="center"/>
              <w:rPr>
                <w:szCs w:val="20"/>
              </w:rPr>
            </w:pPr>
            <w:r w:rsidRPr="00DF2618">
              <w:rPr>
                <w:rFonts w:ascii="Calibri" w:hAnsi="Calibri" w:cs="Calibri"/>
                <w:color w:val="000000"/>
                <w:szCs w:val="20"/>
              </w:rPr>
              <w:t>-0,02</w:t>
            </w:r>
          </w:p>
        </w:tc>
        <w:tc>
          <w:tcPr>
            <w:tcW w:w="1312" w:type="dxa"/>
            <w:vAlign w:val="center"/>
          </w:tcPr>
          <w:p w14:paraId="10039DB7" w14:textId="77777777" w:rsidR="007C7057" w:rsidRPr="00DF2618" w:rsidRDefault="007C7057" w:rsidP="000878F6">
            <w:pPr>
              <w:pStyle w:val="Table"/>
              <w:jc w:val="center"/>
              <w:rPr>
                <w:szCs w:val="20"/>
              </w:rPr>
            </w:pPr>
            <w:r w:rsidRPr="00DF2618">
              <w:rPr>
                <w:rFonts w:ascii="Calibri" w:hAnsi="Calibri" w:cs="Calibri"/>
                <w:color w:val="000000"/>
                <w:szCs w:val="20"/>
              </w:rPr>
              <w:t>-0,2%</w:t>
            </w:r>
          </w:p>
        </w:tc>
        <w:tc>
          <w:tcPr>
            <w:tcW w:w="1275" w:type="dxa"/>
            <w:vAlign w:val="center"/>
          </w:tcPr>
          <w:p w14:paraId="75C62A3A" w14:textId="77777777" w:rsidR="007C7057" w:rsidRPr="00DF2618" w:rsidRDefault="007C7057" w:rsidP="000878F6">
            <w:pPr>
              <w:pStyle w:val="Table"/>
              <w:jc w:val="center"/>
              <w:rPr>
                <w:szCs w:val="20"/>
              </w:rPr>
            </w:pPr>
            <w:r w:rsidRPr="00DF2618">
              <w:rPr>
                <w:rFonts w:ascii="Calibri" w:hAnsi="Calibri" w:cs="Calibri"/>
                <w:color w:val="000000"/>
                <w:szCs w:val="20"/>
              </w:rPr>
              <w:t>-0,2%</w:t>
            </w:r>
          </w:p>
        </w:tc>
      </w:tr>
      <w:tr w:rsidR="007C7057" w:rsidRPr="00DF2618" w14:paraId="0C210D50" w14:textId="77777777" w:rsidTr="00BA7936">
        <w:tc>
          <w:tcPr>
            <w:tcW w:w="2160" w:type="dxa"/>
          </w:tcPr>
          <w:p w14:paraId="451F9E74" w14:textId="77777777" w:rsidR="007C7057" w:rsidRPr="00DF2618" w:rsidRDefault="007C7057" w:rsidP="000878F6">
            <w:pPr>
              <w:pStyle w:val="Table"/>
              <w:rPr>
                <w:szCs w:val="20"/>
              </w:rPr>
            </w:pPr>
            <w:r w:rsidRPr="00DF2618">
              <w:rPr>
                <w:szCs w:val="20"/>
              </w:rPr>
              <w:t>Fertilizers</w:t>
            </w:r>
          </w:p>
        </w:tc>
        <w:tc>
          <w:tcPr>
            <w:tcW w:w="1080" w:type="dxa"/>
            <w:vAlign w:val="center"/>
          </w:tcPr>
          <w:p w14:paraId="690EA3B3" w14:textId="77777777" w:rsidR="007C7057" w:rsidRPr="00DF2618" w:rsidRDefault="007C7057" w:rsidP="000878F6">
            <w:pPr>
              <w:pStyle w:val="Table"/>
              <w:jc w:val="center"/>
              <w:rPr>
                <w:szCs w:val="20"/>
              </w:rPr>
            </w:pPr>
            <w:r w:rsidRPr="00DF2618">
              <w:rPr>
                <w:rFonts w:ascii="Calibri" w:hAnsi="Calibri" w:cs="Calibri"/>
                <w:color w:val="000000"/>
                <w:szCs w:val="20"/>
              </w:rPr>
              <w:t>-7,49%</w:t>
            </w:r>
          </w:p>
        </w:tc>
        <w:tc>
          <w:tcPr>
            <w:tcW w:w="1080" w:type="dxa"/>
            <w:vAlign w:val="center"/>
          </w:tcPr>
          <w:p w14:paraId="71AB08E1" w14:textId="77777777" w:rsidR="007C7057" w:rsidRPr="00DF2618" w:rsidRDefault="007C7057" w:rsidP="000878F6">
            <w:pPr>
              <w:pStyle w:val="Table"/>
              <w:jc w:val="center"/>
              <w:rPr>
                <w:szCs w:val="20"/>
              </w:rPr>
            </w:pPr>
            <w:r w:rsidRPr="00DF2618">
              <w:rPr>
                <w:rFonts w:ascii="Calibri" w:hAnsi="Calibri" w:cs="Calibri"/>
                <w:color w:val="000000"/>
                <w:szCs w:val="20"/>
              </w:rPr>
              <w:t>-7,49%</w:t>
            </w:r>
          </w:p>
        </w:tc>
        <w:tc>
          <w:tcPr>
            <w:tcW w:w="990" w:type="dxa"/>
            <w:vAlign w:val="center"/>
          </w:tcPr>
          <w:p w14:paraId="49808D6F" w14:textId="77777777" w:rsidR="007C7057" w:rsidRPr="00DF2618" w:rsidRDefault="007C7057" w:rsidP="000878F6">
            <w:pPr>
              <w:pStyle w:val="Table"/>
              <w:jc w:val="center"/>
              <w:rPr>
                <w:szCs w:val="20"/>
              </w:rPr>
            </w:pPr>
            <w:r w:rsidRPr="00DF2618">
              <w:rPr>
                <w:rFonts w:ascii="Calibri" w:hAnsi="Calibri" w:cs="Calibri"/>
                <w:color w:val="000000"/>
                <w:szCs w:val="20"/>
              </w:rPr>
              <w:t>0,24</w:t>
            </w:r>
          </w:p>
        </w:tc>
        <w:tc>
          <w:tcPr>
            <w:tcW w:w="1170" w:type="dxa"/>
            <w:vAlign w:val="center"/>
          </w:tcPr>
          <w:p w14:paraId="63BEB22A" w14:textId="77777777" w:rsidR="007C7057" w:rsidRPr="00DF2618" w:rsidRDefault="007C7057" w:rsidP="000878F6">
            <w:pPr>
              <w:pStyle w:val="Table"/>
              <w:jc w:val="center"/>
              <w:rPr>
                <w:szCs w:val="20"/>
              </w:rPr>
            </w:pPr>
            <w:r w:rsidRPr="00DF2618">
              <w:rPr>
                <w:rFonts w:ascii="Calibri" w:hAnsi="Calibri" w:cs="Calibri"/>
                <w:color w:val="000000"/>
                <w:szCs w:val="20"/>
              </w:rPr>
              <w:t>0,22</w:t>
            </w:r>
          </w:p>
        </w:tc>
        <w:tc>
          <w:tcPr>
            <w:tcW w:w="1312" w:type="dxa"/>
            <w:vAlign w:val="center"/>
          </w:tcPr>
          <w:p w14:paraId="25C5E31B" w14:textId="77777777" w:rsidR="007C7057" w:rsidRPr="00DF2618" w:rsidRDefault="007C7057" w:rsidP="000878F6">
            <w:pPr>
              <w:pStyle w:val="Table"/>
              <w:jc w:val="center"/>
              <w:rPr>
                <w:szCs w:val="20"/>
              </w:rPr>
            </w:pPr>
            <w:r w:rsidRPr="00DF2618">
              <w:rPr>
                <w:rFonts w:ascii="Calibri" w:hAnsi="Calibri" w:cs="Calibri"/>
                <w:color w:val="000000"/>
                <w:szCs w:val="20"/>
              </w:rPr>
              <w:t>n.e.</w:t>
            </w:r>
          </w:p>
        </w:tc>
        <w:tc>
          <w:tcPr>
            <w:tcW w:w="1275" w:type="dxa"/>
            <w:vAlign w:val="center"/>
          </w:tcPr>
          <w:p w14:paraId="33A6413A" w14:textId="77777777" w:rsidR="007C7057" w:rsidRPr="00DF2618" w:rsidRDefault="007C7057" w:rsidP="000878F6">
            <w:pPr>
              <w:pStyle w:val="Table"/>
              <w:jc w:val="center"/>
              <w:rPr>
                <w:szCs w:val="20"/>
              </w:rPr>
            </w:pPr>
            <w:r w:rsidRPr="00DF2618">
              <w:rPr>
                <w:rFonts w:ascii="Calibri" w:hAnsi="Calibri" w:cs="Calibri"/>
                <w:color w:val="000000"/>
                <w:szCs w:val="20"/>
              </w:rPr>
              <w:t>n.e.</w:t>
            </w:r>
          </w:p>
        </w:tc>
      </w:tr>
      <w:tr w:rsidR="007C7057" w:rsidRPr="00DF2618" w14:paraId="4506359F" w14:textId="77777777" w:rsidTr="00BA7936">
        <w:tc>
          <w:tcPr>
            <w:tcW w:w="2160" w:type="dxa"/>
          </w:tcPr>
          <w:p w14:paraId="6B08753A" w14:textId="77777777" w:rsidR="007C7057" w:rsidRPr="00DF2618" w:rsidRDefault="007C7057" w:rsidP="000878F6">
            <w:pPr>
              <w:pStyle w:val="Table"/>
              <w:rPr>
                <w:szCs w:val="20"/>
              </w:rPr>
            </w:pPr>
            <w:r w:rsidRPr="00DF2618">
              <w:rPr>
                <w:szCs w:val="20"/>
              </w:rPr>
              <w:t>Pesticides</w:t>
            </w:r>
          </w:p>
        </w:tc>
        <w:tc>
          <w:tcPr>
            <w:tcW w:w="1080" w:type="dxa"/>
            <w:vAlign w:val="center"/>
          </w:tcPr>
          <w:p w14:paraId="3E8610A1" w14:textId="77777777" w:rsidR="007C7057" w:rsidRPr="00DF2618" w:rsidRDefault="007C7057" w:rsidP="000878F6">
            <w:pPr>
              <w:pStyle w:val="Table"/>
              <w:jc w:val="center"/>
              <w:rPr>
                <w:szCs w:val="20"/>
              </w:rPr>
            </w:pPr>
            <w:r w:rsidRPr="00DF2618">
              <w:rPr>
                <w:rFonts w:ascii="Calibri" w:hAnsi="Calibri" w:cs="Calibri"/>
                <w:color w:val="000000"/>
                <w:szCs w:val="20"/>
              </w:rPr>
              <w:t>n/a</w:t>
            </w:r>
          </w:p>
        </w:tc>
        <w:tc>
          <w:tcPr>
            <w:tcW w:w="1080" w:type="dxa"/>
            <w:vAlign w:val="center"/>
          </w:tcPr>
          <w:p w14:paraId="3838D32B" w14:textId="77777777" w:rsidR="007C7057" w:rsidRPr="00DF2618" w:rsidRDefault="007C7057" w:rsidP="000878F6">
            <w:pPr>
              <w:pStyle w:val="Table"/>
              <w:jc w:val="center"/>
              <w:rPr>
                <w:szCs w:val="20"/>
              </w:rPr>
            </w:pPr>
            <w:r w:rsidRPr="00DF2618">
              <w:rPr>
                <w:rFonts w:ascii="Calibri" w:hAnsi="Calibri" w:cs="Calibri"/>
                <w:color w:val="000000"/>
                <w:szCs w:val="20"/>
              </w:rPr>
              <w:t>n/a</w:t>
            </w:r>
          </w:p>
        </w:tc>
        <w:tc>
          <w:tcPr>
            <w:tcW w:w="990" w:type="dxa"/>
            <w:vAlign w:val="center"/>
          </w:tcPr>
          <w:p w14:paraId="7709FAED" w14:textId="77777777" w:rsidR="007C7057" w:rsidRPr="00DF2618" w:rsidRDefault="007C7057" w:rsidP="000878F6">
            <w:pPr>
              <w:pStyle w:val="Table"/>
              <w:jc w:val="center"/>
              <w:rPr>
                <w:szCs w:val="20"/>
              </w:rPr>
            </w:pPr>
            <w:r w:rsidRPr="00DF2618">
              <w:rPr>
                <w:rFonts w:ascii="Calibri" w:hAnsi="Calibri" w:cs="Calibri"/>
                <w:color w:val="000000"/>
                <w:szCs w:val="20"/>
              </w:rPr>
              <w:t>0,58</w:t>
            </w:r>
          </w:p>
        </w:tc>
        <w:tc>
          <w:tcPr>
            <w:tcW w:w="1170" w:type="dxa"/>
            <w:vAlign w:val="center"/>
          </w:tcPr>
          <w:p w14:paraId="54EC3BED" w14:textId="77777777" w:rsidR="007C7057" w:rsidRPr="00DF2618" w:rsidRDefault="007C7057" w:rsidP="000878F6">
            <w:pPr>
              <w:pStyle w:val="Table"/>
              <w:jc w:val="center"/>
              <w:rPr>
                <w:szCs w:val="20"/>
              </w:rPr>
            </w:pPr>
            <w:r w:rsidRPr="00DF2618">
              <w:rPr>
                <w:rFonts w:ascii="Calibri" w:hAnsi="Calibri" w:cs="Calibri"/>
                <w:color w:val="000000"/>
                <w:szCs w:val="20"/>
              </w:rPr>
              <w:t>0,57</w:t>
            </w:r>
          </w:p>
        </w:tc>
        <w:tc>
          <w:tcPr>
            <w:tcW w:w="1312" w:type="dxa"/>
            <w:vAlign w:val="center"/>
          </w:tcPr>
          <w:p w14:paraId="05C3C73F" w14:textId="77777777" w:rsidR="007C7057" w:rsidRPr="00DF2618" w:rsidRDefault="007C7057" w:rsidP="000878F6">
            <w:pPr>
              <w:pStyle w:val="Table"/>
              <w:jc w:val="center"/>
              <w:rPr>
                <w:szCs w:val="20"/>
              </w:rPr>
            </w:pPr>
            <w:r w:rsidRPr="00DF2618">
              <w:rPr>
                <w:rFonts w:ascii="Calibri" w:hAnsi="Calibri" w:cs="Calibri"/>
                <w:color w:val="000000"/>
                <w:szCs w:val="20"/>
              </w:rPr>
              <w:t>0,0%</w:t>
            </w:r>
          </w:p>
        </w:tc>
        <w:tc>
          <w:tcPr>
            <w:tcW w:w="1275" w:type="dxa"/>
            <w:vAlign w:val="center"/>
          </w:tcPr>
          <w:p w14:paraId="42BF6EB0" w14:textId="77777777" w:rsidR="007C7057" w:rsidRPr="00DF2618" w:rsidRDefault="007C7057" w:rsidP="000878F6">
            <w:pPr>
              <w:pStyle w:val="Table"/>
              <w:jc w:val="center"/>
              <w:rPr>
                <w:szCs w:val="20"/>
              </w:rPr>
            </w:pPr>
            <w:r w:rsidRPr="00DF2618">
              <w:rPr>
                <w:rFonts w:ascii="Calibri" w:hAnsi="Calibri" w:cs="Calibri"/>
                <w:color w:val="000000"/>
                <w:szCs w:val="20"/>
              </w:rPr>
              <w:t>0,0%</w:t>
            </w:r>
          </w:p>
        </w:tc>
      </w:tr>
      <w:tr w:rsidR="007C7057" w:rsidRPr="00DF2618" w14:paraId="32738906" w14:textId="77777777" w:rsidTr="00BA7936">
        <w:tc>
          <w:tcPr>
            <w:tcW w:w="2160" w:type="dxa"/>
          </w:tcPr>
          <w:p w14:paraId="1A43ECE1" w14:textId="77777777" w:rsidR="007C7057" w:rsidRPr="00DF2618" w:rsidRDefault="007C7057" w:rsidP="000878F6">
            <w:pPr>
              <w:pStyle w:val="Table"/>
              <w:rPr>
                <w:szCs w:val="20"/>
              </w:rPr>
            </w:pPr>
            <w:r w:rsidRPr="00DF2618">
              <w:rPr>
                <w:szCs w:val="20"/>
              </w:rPr>
              <w:t>Waste Incineration</w:t>
            </w:r>
          </w:p>
        </w:tc>
        <w:tc>
          <w:tcPr>
            <w:tcW w:w="1080" w:type="dxa"/>
            <w:vAlign w:val="center"/>
          </w:tcPr>
          <w:p w14:paraId="3AE33E98" w14:textId="77777777" w:rsidR="007C7057" w:rsidRPr="00DF2618" w:rsidRDefault="007C7057" w:rsidP="000878F6">
            <w:pPr>
              <w:pStyle w:val="Table"/>
              <w:jc w:val="center"/>
              <w:rPr>
                <w:szCs w:val="20"/>
              </w:rPr>
            </w:pPr>
            <w:r w:rsidRPr="00DF2618">
              <w:rPr>
                <w:rFonts w:ascii="Calibri" w:hAnsi="Calibri" w:cs="Calibri"/>
                <w:color w:val="000000"/>
                <w:szCs w:val="20"/>
              </w:rPr>
              <w:t>-8,31%</w:t>
            </w:r>
          </w:p>
        </w:tc>
        <w:tc>
          <w:tcPr>
            <w:tcW w:w="1080" w:type="dxa"/>
            <w:vAlign w:val="center"/>
          </w:tcPr>
          <w:p w14:paraId="3AE5124E" w14:textId="77777777" w:rsidR="007C7057" w:rsidRPr="00DF2618" w:rsidRDefault="007C7057" w:rsidP="000878F6">
            <w:pPr>
              <w:pStyle w:val="Table"/>
              <w:jc w:val="center"/>
              <w:rPr>
                <w:szCs w:val="20"/>
              </w:rPr>
            </w:pPr>
            <w:r w:rsidRPr="00DF2618">
              <w:rPr>
                <w:rFonts w:ascii="Calibri" w:hAnsi="Calibri" w:cs="Calibri"/>
                <w:color w:val="000000"/>
                <w:szCs w:val="20"/>
              </w:rPr>
              <w:t>-8,31%</w:t>
            </w:r>
          </w:p>
        </w:tc>
        <w:tc>
          <w:tcPr>
            <w:tcW w:w="990" w:type="dxa"/>
            <w:vAlign w:val="center"/>
          </w:tcPr>
          <w:p w14:paraId="00FBFFF3" w14:textId="77777777" w:rsidR="007C7057" w:rsidRPr="00DF2618" w:rsidRDefault="007C7057" w:rsidP="000878F6">
            <w:pPr>
              <w:pStyle w:val="Table"/>
              <w:jc w:val="center"/>
              <w:rPr>
                <w:szCs w:val="20"/>
              </w:rPr>
            </w:pPr>
            <w:r w:rsidRPr="00DF2618">
              <w:rPr>
                <w:rFonts w:ascii="Calibri" w:hAnsi="Calibri" w:cs="Calibri"/>
                <w:color w:val="000000"/>
                <w:szCs w:val="20"/>
              </w:rPr>
              <w:t>0,00</w:t>
            </w:r>
          </w:p>
        </w:tc>
        <w:tc>
          <w:tcPr>
            <w:tcW w:w="1170" w:type="dxa"/>
            <w:vAlign w:val="center"/>
          </w:tcPr>
          <w:p w14:paraId="5E96B6F0" w14:textId="77777777" w:rsidR="007C7057" w:rsidRPr="00DF2618" w:rsidRDefault="007C7057" w:rsidP="000878F6">
            <w:pPr>
              <w:pStyle w:val="Table"/>
              <w:jc w:val="center"/>
              <w:rPr>
                <w:szCs w:val="20"/>
              </w:rPr>
            </w:pPr>
            <w:r w:rsidRPr="00DF2618">
              <w:rPr>
                <w:rFonts w:ascii="Calibri" w:hAnsi="Calibri" w:cs="Calibri"/>
                <w:color w:val="000000"/>
                <w:szCs w:val="20"/>
              </w:rPr>
              <w:t>0,00</w:t>
            </w:r>
          </w:p>
        </w:tc>
        <w:tc>
          <w:tcPr>
            <w:tcW w:w="1312" w:type="dxa"/>
            <w:vAlign w:val="center"/>
          </w:tcPr>
          <w:p w14:paraId="56F4EEBA" w14:textId="77777777" w:rsidR="007C7057" w:rsidRPr="00DF2618" w:rsidRDefault="007C7057" w:rsidP="000878F6">
            <w:pPr>
              <w:pStyle w:val="Table"/>
              <w:jc w:val="center"/>
              <w:rPr>
                <w:szCs w:val="20"/>
              </w:rPr>
            </w:pPr>
            <w:r w:rsidRPr="00DF2618">
              <w:rPr>
                <w:rFonts w:ascii="Calibri" w:hAnsi="Calibri" w:cs="Calibri"/>
                <w:color w:val="000000"/>
                <w:szCs w:val="20"/>
              </w:rPr>
              <w:t>0,0%</w:t>
            </w:r>
          </w:p>
        </w:tc>
        <w:tc>
          <w:tcPr>
            <w:tcW w:w="1275" w:type="dxa"/>
            <w:vAlign w:val="center"/>
          </w:tcPr>
          <w:p w14:paraId="0D773D33" w14:textId="77777777" w:rsidR="007C7057" w:rsidRPr="00DF2618" w:rsidRDefault="007C7057" w:rsidP="000878F6">
            <w:pPr>
              <w:pStyle w:val="Table"/>
              <w:jc w:val="center"/>
              <w:rPr>
                <w:szCs w:val="20"/>
              </w:rPr>
            </w:pPr>
            <w:r w:rsidRPr="00DF2618">
              <w:rPr>
                <w:rFonts w:ascii="Calibri" w:hAnsi="Calibri" w:cs="Calibri"/>
                <w:color w:val="000000"/>
                <w:szCs w:val="20"/>
              </w:rPr>
              <w:t>0,0%</w:t>
            </w:r>
          </w:p>
        </w:tc>
      </w:tr>
      <w:tr w:rsidR="007C7057" w:rsidRPr="00DF2618" w14:paraId="44B4CA6C" w14:textId="77777777" w:rsidTr="00BA7936">
        <w:tc>
          <w:tcPr>
            <w:tcW w:w="2160" w:type="dxa"/>
          </w:tcPr>
          <w:p w14:paraId="155C6733" w14:textId="77777777" w:rsidR="007C7057" w:rsidRPr="00DF2618" w:rsidRDefault="007C7057" w:rsidP="000878F6">
            <w:pPr>
              <w:pStyle w:val="Table"/>
              <w:rPr>
                <w:szCs w:val="20"/>
              </w:rPr>
            </w:pPr>
            <w:r w:rsidRPr="00DF2618">
              <w:rPr>
                <w:szCs w:val="20"/>
              </w:rPr>
              <w:t>Waste to Landfill</w:t>
            </w:r>
          </w:p>
        </w:tc>
        <w:tc>
          <w:tcPr>
            <w:tcW w:w="1080" w:type="dxa"/>
            <w:vAlign w:val="center"/>
          </w:tcPr>
          <w:p w14:paraId="14EFD5F7" w14:textId="77777777" w:rsidR="007C7057" w:rsidRPr="00DF2618" w:rsidRDefault="007C7057" w:rsidP="000878F6">
            <w:pPr>
              <w:pStyle w:val="Table"/>
              <w:jc w:val="center"/>
              <w:rPr>
                <w:szCs w:val="20"/>
              </w:rPr>
            </w:pPr>
            <w:r w:rsidRPr="00DF2618">
              <w:rPr>
                <w:rFonts w:ascii="Calibri" w:hAnsi="Calibri" w:cs="Calibri"/>
                <w:color w:val="000000"/>
                <w:szCs w:val="20"/>
              </w:rPr>
              <w:t>-27,80%</w:t>
            </w:r>
          </w:p>
        </w:tc>
        <w:tc>
          <w:tcPr>
            <w:tcW w:w="1080" w:type="dxa"/>
            <w:vAlign w:val="center"/>
          </w:tcPr>
          <w:p w14:paraId="4FF00E51" w14:textId="77777777" w:rsidR="007C7057" w:rsidRPr="00DF2618" w:rsidRDefault="007C7057" w:rsidP="000878F6">
            <w:pPr>
              <w:pStyle w:val="Table"/>
              <w:jc w:val="center"/>
              <w:rPr>
                <w:szCs w:val="20"/>
              </w:rPr>
            </w:pPr>
            <w:r w:rsidRPr="00DF2618">
              <w:rPr>
                <w:rFonts w:ascii="Calibri" w:hAnsi="Calibri" w:cs="Calibri"/>
                <w:color w:val="000000"/>
                <w:szCs w:val="20"/>
              </w:rPr>
              <w:t>-27,80%</w:t>
            </w:r>
          </w:p>
        </w:tc>
        <w:tc>
          <w:tcPr>
            <w:tcW w:w="990" w:type="dxa"/>
            <w:vAlign w:val="center"/>
          </w:tcPr>
          <w:p w14:paraId="47620BFF" w14:textId="77777777" w:rsidR="007C7057" w:rsidRPr="00DF2618" w:rsidRDefault="007C7057" w:rsidP="000878F6">
            <w:pPr>
              <w:pStyle w:val="Table"/>
              <w:jc w:val="center"/>
              <w:rPr>
                <w:szCs w:val="20"/>
              </w:rPr>
            </w:pPr>
            <w:r w:rsidRPr="00DF2618">
              <w:rPr>
                <w:rFonts w:ascii="Calibri" w:hAnsi="Calibri" w:cs="Calibri"/>
                <w:color w:val="000000"/>
                <w:szCs w:val="20"/>
              </w:rPr>
              <w:t>50,03</w:t>
            </w:r>
          </w:p>
        </w:tc>
        <w:tc>
          <w:tcPr>
            <w:tcW w:w="1170" w:type="dxa"/>
            <w:vAlign w:val="center"/>
          </w:tcPr>
          <w:p w14:paraId="177315EC" w14:textId="77777777" w:rsidR="007C7057" w:rsidRPr="00DF2618" w:rsidRDefault="007C7057" w:rsidP="000878F6">
            <w:pPr>
              <w:pStyle w:val="Table"/>
              <w:jc w:val="center"/>
              <w:rPr>
                <w:szCs w:val="20"/>
              </w:rPr>
            </w:pPr>
            <w:r w:rsidRPr="00DF2618">
              <w:rPr>
                <w:rFonts w:ascii="Calibri" w:hAnsi="Calibri" w:cs="Calibri"/>
                <w:color w:val="000000"/>
                <w:szCs w:val="20"/>
              </w:rPr>
              <w:t>45,22</w:t>
            </w:r>
          </w:p>
        </w:tc>
        <w:tc>
          <w:tcPr>
            <w:tcW w:w="1312" w:type="dxa"/>
            <w:vAlign w:val="center"/>
          </w:tcPr>
          <w:p w14:paraId="351CC1DF" w14:textId="77777777" w:rsidR="007C7057" w:rsidRPr="00DF2618" w:rsidRDefault="007C7057" w:rsidP="000878F6">
            <w:pPr>
              <w:pStyle w:val="Table"/>
              <w:jc w:val="center"/>
              <w:rPr>
                <w:szCs w:val="20"/>
              </w:rPr>
            </w:pPr>
            <w:r w:rsidRPr="00DF2618">
              <w:rPr>
                <w:rFonts w:ascii="Calibri" w:hAnsi="Calibri" w:cs="Calibri"/>
                <w:color w:val="000000"/>
                <w:szCs w:val="20"/>
              </w:rPr>
              <w:t>N.E.</w:t>
            </w:r>
          </w:p>
        </w:tc>
        <w:tc>
          <w:tcPr>
            <w:tcW w:w="1275" w:type="dxa"/>
            <w:vAlign w:val="center"/>
          </w:tcPr>
          <w:p w14:paraId="2B465843" w14:textId="77777777" w:rsidR="007C7057" w:rsidRPr="00DF2618" w:rsidRDefault="007C7057" w:rsidP="000878F6">
            <w:pPr>
              <w:pStyle w:val="Table"/>
              <w:jc w:val="center"/>
              <w:rPr>
                <w:szCs w:val="20"/>
              </w:rPr>
            </w:pPr>
            <w:r w:rsidRPr="00DF2618">
              <w:rPr>
                <w:rFonts w:ascii="Calibri" w:hAnsi="Calibri" w:cs="Calibri"/>
                <w:color w:val="000000"/>
                <w:szCs w:val="20"/>
              </w:rPr>
              <w:t>N.E.</w:t>
            </w:r>
          </w:p>
        </w:tc>
      </w:tr>
      <w:tr w:rsidR="007C7057" w:rsidRPr="00DF2618" w14:paraId="4D8D4F58" w14:textId="77777777" w:rsidTr="00BA7936">
        <w:tc>
          <w:tcPr>
            <w:tcW w:w="2160" w:type="dxa"/>
          </w:tcPr>
          <w:p w14:paraId="66C66108" w14:textId="77777777" w:rsidR="007C7057" w:rsidRPr="00DF2618" w:rsidRDefault="007C7057" w:rsidP="000878F6">
            <w:pPr>
              <w:pStyle w:val="Table"/>
              <w:rPr>
                <w:szCs w:val="20"/>
              </w:rPr>
            </w:pPr>
            <w:r w:rsidRPr="00DF2618">
              <w:rPr>
                <w:szCs w:val="20"/>
              </w:rPr>
              <w:t>Water Effluent</w:t>
            </w:r>
          </w:p>
        </w:tc>
        <w:tc>
          <w:tcPr>
            <w:tcW w:w="1080" w:type="dxa"/>
            <w:vAlign w:val="center"/>
          </w:tcPr>
          <w:p w14:paraId="63855AE7" w14:textId="77777777" w:rsidR="007C7057" w:rsidRPr="00DF2618" w:rsidRDefault="007C7057" w:rsidP="000878F6">
            <w:pPr>
              <w:pStyle w:val="Table"/>
              <w:jc w:val="center"/>
              <w:rPr>
                <w:szCs w:val="20"/>
              </w:rPr>
            </w:pPr>
            <w:r w:rsidRPr="00DF2618">
              <w:rPr>
                <w:rFonts w:ascii="Calibri" w:hAnsi="Calibri" w:cs="Calibri"/>
                <w:color w:val="000000"/>
                <w:szCs w:val="20"/>
              </w:rPr>
              <w:t>0,00%</w:t>
            </w:r>
          </w:p>
        </w:tc>
        <w:tc>
          <w:tcPr>
            <w:tcW w:w="1080" w:type="dxa"/>
            <w:vAlign w:val="center"/>
          </w:tcPr>
          <w:p w14:paraId="0DFD3872" w14:textId="77777777" w:rsidR="007C7057" w:rsidRPr="00DF2618" w:rsidRDefault="007C7057" w:rsidP="000878F6">
            <w:pPr>
              <w:pStyle w:val="Table"/>
              <w:jc w:val="center"/>
              <w:rPr>
                <w:szCs w:val="20"/>
              </w:rPr>
            </w:pPr>
            <w:r w:rsidRPr="00DF2618">
              <w:rPr>
                <w:rFonts w:ascii="Calibri" w:hAnsi="Calibri" w:cs="Calibri"/>
                <w:color w:val="000000"/>
                <w:szCs w:val="20"/>
              </w:rPr>
              <w:t>0,00%</w:t>
            </w:r>
          </w:p>
        </w:tc>
        <w:tc>
          <w:tcPr>
            <w:tcW w:w="990" w:type="dxa"/>
            <w:vAlign w:val="center"/>
          </w:tcPr>
          <w:p w14:paraId="466B2FCD" w14:textId="77777777" w:rsidR="007C7057" w:rsidRPr="00DF2618" w:rsidRDefault="007C7057" w:rsidP="000878F6">
            <w:pPr>
              <w:pStyle w:val="Table"/>
              <w:jc w:val="center"/>
              <w:rPr>
                <w:szCs w:val="20"/>
              </w:rPr>
            </w:pPr>
            <w:r w:rsidRPr="00DF2618">
              <w:rPr>
                <w:rFonts w:ascii="Calibri" w:hAnsi="Calibri" w:cs="Calibri"/>
                <w:color w:val="000000"/>
                <w:szCs w:val="20"/>
              </w:rPr>
              <w:t>0,00</w:t>
            </w:r>
          </w:p>
        </w:tc>
        <w:tc>
          <w:tcPr>
            <w:tcW w:w="1170" w:type="dxa"/>
            <w:vAlign w:val="center"/>
          </w:tcPr>
          <w:p w14:paraId="1915A2C4" w14:textId="77777777" w:rsidR="007C7057" w:rsidRPr="00DF2618" w:rsidRDefault="007C7057" w:rsidP="000878F6">
            <w:pPr>
              <w:pStyle w:val="Table"/>
              <w:jc w:val="center"/>
              <w:rPr>
                <w:szCs w:val="20"/>
              </w:rPr>
            </w:pPr>
            <w:r w:rsidRPr="00DF2618">
              <w:rPr>
                <w:rFonts w:ascii="Calibri" w:hAnsi="Calibri" w:cs="Calibri"/>
                <w:color w:val="000000"/>
                <w:szCs w:val="20"/>
              </w:rPr>
              <w:t>0,00</w:t>
            </w:r>
          </w:p>
        </w:tc>
        <w:tc>
          <w:tcPr>
            <w:tcW w:w="1312" w:type="dxa"/>
            <w:vAlign w:val="center"/>
          </w:tcPr>
          <w:p w14:paraId="6E120421" w14:textId="77777777" w:rsidR="007C7057" w:rsidRPr="00DF2618" w:rsidRDefault="007C7057" w:rsidP="000878F6">
            <w:pPr>
              <w:pStyle w:val="Table"/>
              <w:jc w:val="center"/>
              <w:rPr>
                <w:szCs w:val="20"/>
              </w:rPr>
            </w:pPr>
            <w:r w:rsidRPr="00DF2618">
              <w:rPr>
                <w:rFonts w:ascii="Calibri" w:hAnsi="Calibri" w:cs="Calibri"/>
                <w:color w:val="000000"/>
                <w:szCs w:val="20"/>
              </w:rPr>
              <w:t>0,0%</w:t>
            </w:r>
          </w:p>
        </w:tc>
        <w:tc>
          <w:tcPr>
            <w:tcW w:w="1275" w:type="dxa"/>
            <w:vAlign w:val="center"/>
          </w:tcPr>
          <w:p w14:paraId="44355867" w14:textId="77777777" w:rsidR="007C7057" w:rsidRPr="00DF2618" w:rsidRDefault="007C7057" w:rsidP="000878F6">
            <w:pPr>
              <w:pStyle w:val="Table"/>
              <w:jc w:val="center"/>
              <w:rPr>
                <w:szCs w:val="20"/>
              </w:rPr>
            </w:pPr>
            <w:r w:rsidRPr="00DF2618">
              <w:rPr>
                <w:rFonts w:ascii="Calibri" w:hAnsi="Calibri" w:cs="Calibri"/>
                <w:color w:val="000000"/>
                <w:szCs w:val="20"/>
              </w:rPr>
              <w:t>0,0%</w:t>
            </w:r>
          </w:p>
        </w:tc>
      </w:tr>
      <w:tr w:rsidR="007C7057" w:rsidRPr="00DF2618" w14:paraId="338C3D5C" w14:textId="77777777" w:rsidTr="00BA7936">
        <w:tc>
          <w:tcPr>
            <w:tcW w:w="2160" w:type="dxa"/>
          </w:tcPr>
          <w:p w14:paraId="4129BA56" w14:textId="77777777" w:rsidR="007C7057" w:rsidRPr="00DF2618" w:rsidRDefault="007C7057" w:rsidP="000878F6">
            <w:pPr>
              <w:pStyle w:val="Table"/>
              <w:rPr>
                <w:szCs w:val="20"/>
              </w:rPr>
            </w:pPr>
            <w:r w:rsidRPr="00DF2618">
              <w:rPr>
                <w:szCs w:val="20"/>
              </w:rPr>
              <w:t>Minerals &amp; Aggregates</w:t>
            </w:r>
          </w:p>
        </w:tc>
        <w:tc>
          <w:tcPr>
            <w:tcW w:w="1080" w:type="dxa"/>
            <w:vAlign w:val="center"/>
          </w:tcPr>
          <w:p w14:paraId="78DE4723" w14:textId="77777777" w:rsidR="007C7057" w:rsidRPr="00DF2618" w:rsidRDefault="007C7057" w:rsidP="000878F6">
            <w:pPr>
              <w:pStyle w:val="Table"/>
              <w:jc w:val="center"/>
              <w:rPr>
                <w:szCs w:val="20"/>
              </w:rPr>
            </w:pPr>
            <w:r w:rsidRPr="00DF2618">
              <w:rPr>
                <w:rFonts w:ascii="Calibri" w:hAnsi="Calibri" w:cs="Calibri"/>
                <w:color w:val="000000"/>
                <w:szCs w:val="20"/>
              </w:rPr>
              <w:t>-5,02%</w:t>
            </w:r>
          </w:p>
        </w:tc>
        <w:tc>
          <w:tcPr>
            <w:tcW w:w="1080" w:type="dxa"/>
            <w:vAlign w:val="center"/>
          </w:tcPr>
          <w:p w14:paraId="025BF803" w14:textId="77777777" w:rsidR="007C7057" w:rsidRPr="00DF2618" w:rsidRDefault="007C7057" w:rsidP="000878F6">
            <w:pPr>
              <w:pStyle w:val="Table"/>
              <w:jc w:val="center"/>
              <w:rPr>
                <w:szCs w:val="20"/>
              </w:rPr>
            </w:pPr>
            <w:r w:rsidRPr="00DF2618">
              <w:rPr>
                <w:rFonts w:ascii="Calibri" w:hAnsi="Calibri" w:cs="Calibri"/>
                <w:color w:val="000000"/>
                <w:szCs w:val="20"/>
              </w:rPr>
              <w:t>-5,02%</w:t>
            </w:r>
          </w:p>
        </w:tc>
        <w:tc>
          <w:tcPr>
            <w:tcW w:w="990" w:type="dxa"/>
            <w:vAlign w:val="center"/>
          </w:tcPr>
          <w:p w14:paraId="1D464CF4" w14:textId="77777777" w:rsidR="007C7057" w:rsidRPr="00DF2618" w:rsidRDefault="007C7057" w:rsidP="000878F6">
            <w:pPr>
              <w:pStyle w:val="Table"/>
              <w:jc w:val="center"/>
              <w:rPr>
                <w:szCs w:val="20"/>
              </w:rPr>
            </w:pPr>
            <w:r w:rsidRPr="00DF2618">
              <w:rPr>
                <w:rFonts w:ascii="Calibri" w:hAnsi="Calibri" w:cs="Calibri"/>
                <w:color w:val="000000"/>
                <w:szCs w:val="20"/>
              </w:rPr>
              <w:t>0,27</w:t>
            </w:r>
          </w:p>
        </w:tc>
        <w:tc>
          <w:tcPr>
            <w:tcW w:w="1170" w:type="dxa"/>
            <w:vAlign w:val="center"/>
          </w:tcPr>
          <w:p w14:paraId="2D02F985" w14:textId="77777777" w:rsidR="007C7057" w:rsidRPr="00DF2618" w:rsidRDefault="007C7057" w:rsidP="000878F6">
            <w:pPr>
              <w:pStyle w:val="Table"/>
              <w:jc w:val="center"/>
              <w:rPr>
                <w:szCs w:val="20"/>
              </w:rPr>
            </w:pPr>
            <w:r w:rsidRPr="00DF2618">
              <w:rPr>
                <w:rFonts w:ascii="Calibri" w:hAnsi="Calibri" w:cs="Calibri"/>
                <w:color w:val="000000"/>
                <w:szCs w:val="20"/>
              </w:rPr>
              <w:t>0,22</w:t>
            </w:r>
          </w:p>
        </w:tc>
        <w:tc>
          <w:tcPr>
            <w:tcW w:w="1312" w:type="dxa"/>
            <w:vAlign w:val="center"/>
          </w:tcPr>
          <w:p w14:paraId="662B3BBB" w14:textId="77777777" w:rsidR="007C7057" w:rsidRPr="00DF2618" w:rsidRDefault="007C7057" w:rsidP="000878F6">
            <w:pPr>
              <w:pStyle w:val="Table"/>
              <w:jc w:val="center"/>
              <w:rPr>
                <w:szCs w:val="20"/>
              </w:rPr>
            </w:pPr>
            <w:r w:rsidRPr="00DF2618">
              <w:rPr>
                <w:rFonts w:ascii="Calibri" w:hAnsi="Calibri" w:cs="Calibri"/>
                <w:color w:val="000000"/>
                <w:szCs w:val="20"/>
              </w:rPr>
              <w:t>3,2%</w:t>
            </w:r>
          </w:p>
        </w:tc>
        <w:tc>
          <w:tcPr>
            <w:tcW w:w="1275" w:type="dxa"/>
            <w:vAlign w:val="center"/>
          </w:tcPr>
          <w:p w14:paraId="239F5BAA" w14:textId="77777777" w:rsidR="007C7057" w:rsidRPr="00DF2618" w:rsidRDefault="007C7057" w:rsidP="000878F6">
            <w:pPr>
              <w:pStyle w:val="Table"/>
              <w:jc w:val="center"/>
              <w:rPr>
                <w:szCs w:val="20"/>
              </w:rPr>
            </w:pPr>
            <w:r w:rsidRPr="00DF2618">
              <w:rPr>
                <w:rFonts w:ascii="Calibri" w:hAnsi="Calibri" w:cs="Calibri"/>
                <w:color w:val="000000"/>
                <w:szCs w:val="20"/>
              </w:rPr>
              <w:t>2,6%</w:t>
            </w:r>
          </w:p>
        </w:tc>
      </w:tr>
    </w:tbl>
    <w:p w14:paraId="4B244138" w14:textId="77777777" w:rsidR="007C7057" w:rsidRDefault="007C7057" w:rsidP="007C7057">
      <w:pPr>
        <w:rPr>
          <w:lang w:eastAsia="en-GB"/>
        </w:rPr>
      </w:pPr>
    </w:p>
    <w:p w14:paraId="00081250" w14:textId="77777777" w:rsidR="007C7057" w:rsidRDefault="007C7057" w:rsidP="007C7057">
      <w:pPr>
        <w:rPr>
          <w:lang w:eastAsia="en-GB"/>
        </w:rPr>
      </w:pPr>
      <w:r>
        <w:rPr>
          <w:lang w:eastAsia="en-GB"/>
        </w:rPr>
        <w:t>The country’s most pressing environmental challenge is water quality. Concentrations of nitrates and pesticides in surface and groundwater continue to exceed EU thresholds in some regions, reflecting diffuse pollution from intensive livestock farming and fertiliser use. This points to the need for stronger price signals in agriculture. A pesticide and fertiliser tax, as recommended by the 2016 IEEP study, would directly target these pressures. Suggested rates were €5 per kilogram of active pesticide ingredient and €0.25 per kilogram of nitrogen in mineral fertilisers. Differentiating rates by toxicity and nitrogen content would make the tax more effective while maintaining proportionality for lower-risk products. Complementary options could include a charge on manure or nutrient discharges from intensive livestock farms and a non-point source pollution levy calibrated to catchment vulnerability, both of which would strengthen compliance with the Water Framework and Nitrates Directives.</w:t>
      </w:r>
    </w:p>
    <w:p w14:paraId="67C77534" w14:textId="63EB9A6B" w:rsidR="007C7057" w:rsidRDefault="007C7057" w:rsidP="007C7057">
      <w:pPr>
        <w:rPr>
          <w:lang w:eastAsia="en-GB"/>
        </w:rPr>
      </w:pPr>
      <w:r>
        <w:rPr>
          <w:lang w:eastAsia="en-GB"/>
        </w:rPr>
        <w:t>Introducing such measures would need to be accompanied by strong flanking policies to ensure fairness and feasibility. Transitional support and revenue recycling should be provided for farmers adopting precision agriculture, nutrient-management planning, or organic practices. Revenues could also finance investment in riparian buffers, wetland restoration, and improved manure storage facilities. These actions would not only improve water quality but also enhance soil health and resilience to climate impacts.</w:t>
      </w:r>
    </w:p>
    <w:p w14:paraId="0B131C10" w14:textId="608FDC20" w:rsidR="007C7057" w:rsidRDefault="007C7057" w:rsidP="007C7057">
      <w:pPr>
        <w:rPr>
          <w:lang w:eastAsia="en-GB"/>
        </w:rPr>
      </w:pPr>
      <w:r>
        <w:rPr>
          <w:lang w:eastAsia="en-GB"/>
        </w:rPr>
        <w:lastRenderedPageBreak/>
        <w:t>A water abstraction charge could complement these measures by improving efficiency in agricultural and industrial water use. Rates should be differentiated by sector and basin, reflecting local water-stress conditions. For instance, higher charges could apply to abstractions in catchments where ecological thresholds are at risk, while lower rates could be applied in areas with abundant supply. Strengthening monitoring and metering for groundwater and surface abstractions would be essential for effective implementation.</w:t>
      </w:r>
    </w:p>
    <w:p w14:paraId="623B73EB" w14:textId="0E79ED5D" w:rsidR="007C7057" w:rsidRDefault="007C7057" w:rsidP="007C7057">
      <w:pPr>
        <w:rPr>
          <w:lang w:eastAsia="en-GB"/>
        </w:rPr>
      </w:pPr>
      <w:r>
        <w:rPr>
          <w:lang w:eastAsia="en-GB"/>
        </w:rPr>
        <w:t xml:space="preserve">Beyond water, there is scope to expand resource- and pollution-related taxation. Luxembourg currently has no aggregates tax, despite high material demand driven by construction and infrastructure development. </w:t>
      </w:r>
      <w:sdt>
        <w:sdtPr>
          <w:rPr>
            <w:color w:val="000000"/>
            <w:lang w:eastAsia="en-GB"/>
          </w:rPr>
          <w:tag w:val="MENDELEY_CITATION_v3_eyJjaXRhdGlvbklEIjoiTUVOREVMRVlfQ0lUQVRJT05fNDc2ZWE3OTQtNzdlZC00YTExLWFlMzUtMGVmZDc4YzM4OGY4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586759132"/>
          <w:placeholder>
            <w:docPart w:val="DefaultPlaceholder_-1854013440"/>
          </w:placeholder>
        </w:sdtPr>
        <w:sdtContent>
          <w:r w:rsidR="002D122C" w:rsidRPr="002D122C">
            <w:rPr>
              <w:color w:val="000000"/>
              <w:lang w:eastAsia="en-GB"/>
            </w:rPr>
            <w:t>Hogg et al. (2016)</w:t>
          </w:r>
        </w:sdtContent>
      </w:sdt>
      <w:r>
        <w:rPr>
          <w:lang w:eastAsia="en-GB"/>
        </w:rPr>
        <w:t xml:space="preserve"> proposed introducing a charge of €2.40 per tonne on extracted materials such as limestone, gypsum, sand, and gravel. Such a measure would encourage the use of recycled aggregates and secondary raw materials, supporting the country’s circular economy objectives. Although Luxembourg’s domestic extraction volumes are modest, a tax could still play a strategic role by internalising environmental costs and signalling policy consistency with neighbouring Member States that have adopted similar measures.</w:t>
      </w:r>
    </w:p>
    <w:p w14:paraId="73D870EB" w14:textId="3DD1E0F3" w:rsidR="007C7057" w:rsidRDefault="007C7057" w:rsidP="007C7057">
      <w:pPr>
        <w:rPr>
          <w:lang w:eastAsia="en-GB"/>
        </w:rPr>
      </w:pPr>
      <w:r>
        <w:rPr>
          <w:lang w:eastAsia="en-GB"/>
        </w:rPr>
        <w:t>A packaging tax was also recommended to reduce waste and promote material efficiency. The 2016 study proposed material-specific rates ranging from €21 per tonne for wood to €315 per tonne for aluminium, reflecting embodied CO₂ savings. Luxembourg currently has no packaging or plastic tax; since 2021, the government has financed its contribution to the EU’s non-recycled plastic packaging levy directly from the state budget rather than passing the cost on to producers or consumers. Introducing a domestic levy on packaging materials or single-use products could provide additional incentives for waste prevention and support the development of reuse systems foreseen under the EU Circular Economy Action Plan.</w:t>
      </w:r>
    </w:p>
    <w:p w14:paraId="725CD090" w14:textId="5E405DB7" w:rsidR="007C7057" w:rsidRDefault="007C7057" w:rsidP="007C7057">
      <w:pPr>
        <w:rPr>
          <w:lang w:eastAsia="en-GB"/>
        </w:rPr>
      </w:pPr>
      <w:r>
        <w:rPr>
          <w:lang w:eastAsia="en-GB"/>
        </w:rPr>
        <w:t>Regarding air pollution, Luxembourg does not apply taxes on pollutants such as NO</w:t>
      </w:r>
      <w:r w:rsidRPr="007C7057">
        <w:rPr>
          <w:vertAlign w:val="subscript"/>
          <w:lang w:eastAsia="en-GB"/>
        </w:rPr>
        <w:t>x</w:t>
      </w:r>
      <w:r>
        <w:rPr>
          <w:lang w:eastAsia="en-GB"/>
        </w:rPr>
        <w:t>, SO</w:t>
      </w:r>
      <w:r w:rsidRPr="007C7057">
        <w:rPr>
          <w:vertAlign w:val="subscript"/>
          <w:lang w:eastAsia="en-GB"/>
        </w:rPr>
        <w:t>x</w:t>
      </w:r>
      <w:r>
        <w:rPr>
          <w:lang w:eastAsia="en-GB"/>
        </w:rPr>
        <w:t xml:space="preserve">, or particulate matter. </w:t>
      </w:r>
      <w:sdt>
        <w:sdtPr>
          <w:rPr>
            <w:color w:val="000000"/>
            <w:lang w:eastAsia="en-GB"/>
          </w:rPr>
          <w:tag w:val="MENDELEY_CITATION_v3_eyJjaXRhdGlvbklEIjoiTUVOREVMRVlfQ0lUQVRJT05fMzVkYWNjNWYtNGEzYS00ZTNlLTgwOGMtYmM5MGQ4N2EyNzQ0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343482158"/>
          <w:placeholder>
            <w:docPart w:val="DefaultPlaceholder_-1854013440"/>
          </w:placeholder>
        </w:sdtPr>
        <w:sdtContent>
          <w:r w:rsidR="002D122C" w:rsidRPr="002D122C">
            <w:rPr>
              <w:color w:val="000000"/>
              <w:lang w:eastAsia="en-GB"/>
            </w:rPr>
            <w:t>Hogg et al. (2016)</w:t>
          </w:r>
        </w:sdtContent>
      </w:sdt>
      <w:r>
        <w:rPr>
          <w:lang w:eastAsia="en-GB"/>
        </w:rPr>
        <w:t xml:space="preserve"> recommended introducing charges at €1,000 per tonne for NO</w:t>
      </w:r>
      <w:r w:rsidRPr="007C7057">
        <w:rPr>
          <w:vertAlign w:val="subscript"/>
          <w:lang w:eastAsia="en-GB"/>
        </w:rPr>
        <w:t>x</w:t>
      </w:r>
      <w:r>
        <w:rPr>
          <w:lang w:eastAsia="en-GB"/>
        </w:rPr>
        <w:t xml:space="preserve"> and SO</w:t>
      </w:r>
      <w:r w:rsidRPr="007C7057">
        <w:rPr>
          <w:vertAlign w:val="subscript"/>
          <w:lang w:eastAsia="en-GB"/>
        </w:rPr>
        <w:t>x</w:t>
      </w:r>
      <w:r>
        <w:rPr>
          <w:lang w:eastAsia="en-GB"/>
        </w:rPr>
        <w:t xml:space="preserve"> and €2,000 per tonne for PM₁₀, phased in over several years. Although Luxembourg’s existing carbon and fuel taxes contribute indirectly to air-quality improvements, a targeted pollutant-based charge would incentivise further reductions in emissions from large point sources, the energy sector, and construction activities. Given the country’s high vehicle density and urban air-quality challenges, such a measure could complement existing transport and carbon pricing schemes.</w:t>
      </w:r>
    </w:p>
    <w:p w14:paraId="161DEFE6" w14:textId="423BDB95" w:rsidR="007C7057" w:rsidRDefault="007C7057" w:rsidP="007C7057">
      <w:pPr>
        <w:rPr>
          <w:lang w:eastAsia="en-GB"/>
        </w:rPr>
      </w:pPr>
      <w:r>
        <w:rPr>
          <w:lang w:eastAsia="en-GB"/>
        </w:rPr>
        <w:t>Implementation of these taxes is administratively feasible. Luxembourg has robust data systems, strong monitoring capacity, and high institutional coordination between the Ministry of the Environment, Climate and Biodiversity and the Administration de l’Environnement. The main obstacles are political and sectoral: public acceptance in agriculture, cost concerns in construction, and potential overlap with EU-level instruments. These can be mitigated through gradual phasing-in, targeted exemptions for small operators, and clear communication on the use of revenues. Allocating part of the proceeds to reduce distortionary taxes, support green innovation, and co-finance environmental infrastructure will reinforce credibility and fairness.</w:t>
      </w:r>
    </w:p>
    <w:p w14:paraId="15890F91" w14:textId="77777777" w:rsidR="007C7057" w:rsidRDefault="007C7057" w:rsidP="007C7057">
      <w:pPr>
        <w:rPr>
          <w:lang w:eastAsia="en-GB"/>
        </w:rPr>
      </w:pPr>
      <w:r>
        <w:rPr>
          <w:lang w:eastAsia="en-GB"/>
        </w:rPr>
        <w:t>Based on the modelling and policy context, priority areas for Luxembourg include:</w:t>
      </w:r>
    </w:p>
    <w:p w14:paraId="4626EC51" w14:textId="487501BB" w:rsidR="007C7057" w:rsidRDefault="007C7057" w:rsidP="007C7057">
      <w:pPr>
        <w:pStyle w:val="Bulletlist"/>
        <w:rPr>
          <w:lang w:eastAsia="en-GB"/>
        </w:rPr>
      </w:pPr>
      <w:r>
        <w:rPr>
          <w:lang w:eastAsia="en-GB"/>
        </w:rPr>
        <w:tab/>
        <w:t>A pesticide and fertiliser tax, complemented by a manure or diffuse-pollution charge, to address persistent nutrient and pesticide contamination of water resources;</w:t>
      </w:r>
    </w:p>
    <w:p w14:paraId="5E44B392" w14:textId="0CFD9D85" w:rsidR="007C7057" w:rsidRDefault="007C7057" w:rsidP="007C7057">
      <w:pPr>
        <w:pStyle w:val="Bulletlist"/>
        <w:rPr>
          <w:lang w:eastAsia="en-GB"/>
        </w:rPr>
      </w:pPr>
      <w:r>
        <w:rPr>
          <w:lang w:eastAsia="en-GB"/>
        </w:rPr>
        <w:tab/>
        <w:t>A water abstraction tax, with differentiated rates by sector and catchment, to encourage efficiency in water-scarce areas;</w:t>
      </w:r>
    </w:p>
    <w:p w14:paraId="0CA9C135" w14:textId="6402DC3D" w:rsidR="007C7057" w:rsidRDefault="007C7057" w:rsidP="007C7057">
      <w:pPr>
        <w:pStyle w:val="Bulletlist"/>
        <w:rPr>
          <w:lang w:eastAsia="en-GB"/>
        </w:rPr>
      </w:pPr>
      <w:r>
        <w:rPr>
          <w:lang w:eastAsia="en-GB"/>
        </w:rPr>
        <w:tab/>
        <w:t>An aggregates tax, promoting circular construction and alignment with the EU’s resource-efficiency goals;</w:t>
      </w:r>
    </w:p>
    <w:p w14:paraId="6765C792" w14:textId="00D560B9" w:rsidR="007C7057" w:rsidRDefault="007C7057" w:rsidP="007C7057">
      <w:pPr>
        <w:pStyle w:val="Bulletlist"/>
        <w:rPr>
          <w:lang w:eastAsia="en-GB"/>
        </w:rPr>
      </w:pPr>
      <w:r>
        <w:rPr>
          <w:lang w:eastAsia="en-GB"/>
        </w:rPr>
        <w:tab/>
        <w:t>A packaging or single-use product levy, building on the EU plastics levy and supporting waste prevention; and</w:t>
      </w:r>
    </w:p>
    <w:p w14:paraId="57911FE2" w14:textId="46583D7E" w:rsidR="00ED6AA3" w:rsidRDefault="007C7057" w:rsidP="007C7057">
      <w:pPr>
        <w:pStyle w:val="Bulletlist"/>
        <w:rPr>
          <w:lang w:eastAsia="en-GB"/>
        </w:rPr>
      </w:pPr>
      <w:r>
        <w:rPr>
          <w:lang w:eastAsia="en-GB"/>
        </w:rPr>
        <w:lastRenderedPageBreak/>
        <w:tab/>
        <w:t>A targeted air-pollutant charge, applied to large point sources and integrated with existing carbon and energy taxation.</w:t>
      </w:r>
    </w:p>
    <w:p w14:paraId="0DE5FBD1" w14:textId="7481B0A9" w:rsidR="007C7057" w:rsidRPr="00F76F49" w:rsidRDefault="007C7057" w:rsidP="00BA7936">
      <w:pPr>
        <w:pStyle w:val="Bulletlist"/>
        <w:numPr>
          <w:ilvl w:val="0"/>
          <w:numId w:val="0"/>
        </w:numPr>
        <w:rPr>
          <w:lang w:eastAsia="en-GB"/>
        </w:rPr>
      </w:pPr>
      <w:r>
        <w:rPr>
          <w:lang w:eastAsia="en-GB"/>
        </w:rPr>
        <w:t>In summary, Luxembourg’s most critical challenge lies in tackling diffuse water pollution and nutrient overload. A coherent package of agricultural, resource-use, and pollution-based taxes, phased in gradually and supported by visible reinvestment in sustainable farming and environmental infrastructure, would deliver substantial benefits for water quality, circularity, and fiscal resilience.</w:t>
      </w:r>
      <w:r w:rsidR="00930071">
        <w:rPr>
          <w:lang w:eastAsia="en-GB"/>
        </w:rPr>
        <w:t xml:space="preserve"> </w:t>
      </w:r>
      <w:r w:rsidR="005E27E4">
        <w:rPr>
          <w:lang w:eastAsia="en-GB"/>
        </w:rPr>
        <w:t xml:space="preserve">Any fiscal reform needs to consider that </w:t>
      </w:r>
      <w:r w:rsidR="00930071" w:rsidRPr="00EA4C9B">
        <w:t>small tax changes made by larger neighbours such as Germany and France can have significant impacts on Luxembourg</w:t>
      </w:r>
      <w:r w:rsidR="00930071" w:rsidRPr="00EA4C9B">
        <w:rPr>
          <w:rStyle w:val="FootnoteReference"/>
        </w:rPr>
        <w:footnoteReference w:id="558"/>
      </w:r>
      <w:r w:rsidR="00930071" w:rsidRPr="00EA4C9B">
        <w:t xml:space="preserve">. </w:t>
      </w:r>
    </w:p>
    <w:p w14:paraId="0953EF6F" w14:textId="77777777" w:rsidR="00664BE6" w:rsidRPr="00EA4C9B" w:rsidRDefault="00664BE6" w:rsidP="00DF6F33">
      <w:pPr>
        <w:pStyle w:val="AnnexHeading1"/>
        <w:ind w:hanging="1211"/>
      </w:pPr>
      <w:bookmarkStart w:id="252" w:name="_Toc214008918"/>
      <w:r w:rsidRPr="00EA4C9B">
        <w:t>Malta</w:t>
      </w:r>
      <w:bookmarkEnd w:id="252"/>
    </w:p>
    <w:p w14:paraId="741520B4" w14:textId="77777777" w:rsidR="00664BE6" w:rsidRPr="00EA4C9B" w:rsidRDefault="00664BE6" w:rsidP="007C4EB7">
      <w:pPr>
        <w:pStyle w:val="AnnexHeading2"/>
      </w:pPr>
      <w:bookmarkStart w:id="253" w:name="_Toc214008919"/>
      <w:r w:rsidRPr="00EA4C9B">
        <w:t>Overview of existing environmental taxes</w:t>
      </w:r>
      <w:bookmarkEnd w:id="253"/>
    </w:p>
    <w:p w14:paraId="22931404" w14:textId="4263DFDA" w:rsidR="00242E13" w:rsidRDefault="000177FC" w:rsidP="00664BE6">
      <w:pPr>
        <w:spacing w:after="0"/>
      </w:pPr>
      <w:r w:rsidRPr="000177FC">
        <w:t>Environmental taxes in Malta amounted to 1.5% of GDP in 2023, below the EU average. While revenues have increased in absolute terms over the past 15 years, their relative weight in the economy has fallen. Total environmental tax revenue reached EUR 295.5 million in 2023 (</w:t>
      </w:r>
      <w:r w:rsidR="00BE6862" w:rsidRPr="00A15810">
        <w:fldChar w:fldCharType="begin"/>
      </w:r>
      <w:r w:rsidR="00BE6862" w:rsidRPr="00A15810">
        <w:instrText xml:space="preserve"> REF _Ref201232221 \h  \* MERGEFORMAT </w:instrText>
      </w:r>
      <w:r w:rsidR="00BE6862" w:rsidRPr="00A15810">
        <w:fldChar w:fldCharType="separate"/>
      </w:r>
      <w:r w:rsidR="00BE6862" w:rsidRPr="00A15810">
        <w:t xml:space="preserve">Figure </w:t>
      </w:r>
      <w:r w:rsidR="00BE6862">
        <w:t>A6</w:t>
      </w:r>
      <w:r w:rsidR="00BE6862" w:rsidRPr="00A15810">
        <w:t>-</w:t>
      </w:r>
      <w:r w:rsidR="00BE6862" w:rsidRPr="00A15810">
        <w:rPr>
          <w:noProof/>
        </w:rPr>
        <w:t>51</w:t>
      </w:r>
      <w:r w:rsidR="00BE6862" w:rsidRPr="00A15810">
        <w:fldChar w:fldCharType="end"/>
      </w:r>
      <w:r w:rsidRPr="000177FC">
        <w:t>), representing a 57.2% increase since 2009</w:t>
      </w:r>
      <w:r w:rsidR="00556259">
        <w:rPr>
          <w:rStyle w:val="FootnoteReference"/>
        </w:rPr>
        <w:footnoteReference w:id="559"/>
      </w:r>
      <w:r w:rsidRPr="000177FC">
        <w:t>. Over the same period, however, the ratio of environmental taxes to GDP declined sharply, from 3.1% to 1.5% (a decrease of 50.2%). In 2023, revenues were primarily derived from energy and transport taxes (around 49% and 41%, respectively), while pollution taxes accounted for under 10%</w:t>
      </w:r>
      <w:r w:rsidR="00BE6862">
        <w:t>.</w:t>
      </w:r>
      <w:r w:rsidR="00BE6862" w:rsidRPr="00EA4C9B">
        <w:t xml:space="preserve"> There are no</w:t>
      </w:r>
      <w:r w:rsidRPr="000177FC">
        <w:t xml:space="preserve"> resource taxes</w:t>
      </w:r>
      <w:r w:rsidR="00BE6862" w:rsidRPr="00EA4C9B">
        <w:t xml:space="preserve"> in Malta. </w:t>
      </w:r>
    </w:p>
    <w:p w14:paraId="05CF42A5" w14:textId="77777777" w:rsidR="00664BE6" w:rsidRPr="00EA4C9B" w:rsidRDefault="00664BE6" w:rsidP="00664BE6">
      <w:pPr>
        <w:spacing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64BE6" w:rsidRPr="00EA4C9B" w14:paraId="1C1B0CF9" w14:textId="77777777" w:rsidTr="00BA7936">
        <w:tc>
          <w:tcPr>
            <w:tcW w:w="9016" w:type="dxa"/>
          </w:tcPr>
          <w:p w14:paraId="7B3C59B4" w14:textId="77777777" w:rsidR="00664BE6" w:rsidRPr="00EA4C9B" w:rsidRDefault="00664BE6">
            <w:pPr>
              <w:spacing w:after="0"/>
              <w:jc w:val="center"/>
              <w:rPr>
                <w:sz w:val="10"/>
                <w:szCs w:val="10"/>
              </w:rPr>
            </w:pPr>
          </w:p>
          <w:p w14:paraId="554A3D35" w14:textId="77777777" w:rsidR="00664BE6" w:rsidRPr="00EA4C9B" w:rsidRDefault="00664BE6">
            <w:pPr>
              <w:spacing w:after="0"/>
              <w:jc w:val="center"/>
            </w:pPr>
            <w:r w:rsidRPr="00EA4C9B">
              <w:rPr>
                <w:noProof/>
              </w:rPr>
              <w:drawing>
                <wp:inline distT="0" distB="0" distL="0" distR="0" wp14:anchorId="2438A2FE" wp14:editId="192D6818">
                  <wp:extent cx="5581648" cy="1076325"/>
                  <wp:effectExtent l="0" t="0" r="0" b="0"/>
                  <wp:docPr id="177272452" name="Picture 17727245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2452" name="Picture 177272452" descr="A graph of different colored bars&#10;&#10;AI-generated content may be incorrect."/>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581648" cy="1076325"/>
                          </a:xfrm>
                          <a:prstGeom prst="rect">
                            <a:avLst/>
                          </a:prstGeom>
                        </pic:spPr>
                      </pic:pic>
                    </a:graphicData>
                  </a:graphic>
                </wp:inline>
              </w:drawing>
            </w:r>
          </w:p>
        </w:tc>
      </w:tr>
      <w:tr w:rsidR="00664BE6" w:rsidRPr="00EA4C9B" w14:paraId="666D3F6A" w14:textId="77777777" w:rsidTr="00BA7936">
        <w:tc>
          <w:tcPr>
            <w:tcW w:w="9016" w:type="dxa"/>
            <w:shd w:val="clear" w:color="auto" w:fill="003399"/>
          </w:tcPr>
          <w:p w14:paraId="54CD6374" w14:textId="686C722F" w:rsidR="00664BE6" w:rsidRPr="00EA4C9B" w:rsidRDefault="00664BE6" w:rsidP="00BA408F">
            <w:pPr>
              <w:pStyle w:val="FigTabCaption"/>
            </w:pPr>
            <w:bookmarkStart w:id="254" w:name="_Ref201232221"/>
            <w:r w:rsidRPr="00051732">
              <w:t xml:space="preserve">Figure </w:t>
            </w:r>
            <w:r w:rsidR="00490085">
              <w:t>A6</w:t>
            </w:r>
            <w:r w:rsidR="00947F4C" w:rsidRPr="00051732">
              <w:t>-</w:t>
            </w:r>
            <w:r>
              <w:fldChar w:fldCharType="begin"/>
            </w:r>
            <w:r>
              <w:instrText>SEQ Figure_A5- \* ARABIC</w:instrText>
            </w:r>
            <w:r>
              <w:fldChar w:fldCharType="separate"/>
            </w:r>
            <w:r w:rsidR="0091411A">
              <w:rPr>
                <w:noProof/>
              </w:rPr>
              <w:t>51</w:t>
            </w:r>
            <w:r>
              <w:fldChar w:fldCharType="end"/>
            </w:r>
            <w:bookmarkEnd w:id="254"/>
            <w:r w:rsidRPr="00EA4C9B">
              <w:t>: Total environmental tax revenue in Malta (2009-2023) in million euros</w:t>
            </w:r>
            <w:r w:rsidR="007C28C8">
              <w:t xml:space="preserve"> - </w:t>
            </w:r>
            <w:r w:rsidR="007C28C8" w:rsidRPr="007C28C8">
              <w:rPr>
                <w:i/>
                <w:iCs/>
              </w:rPr>
              <w:t xml:space="preserve">Source: </w:t>
            </w:r>
            <w:r w:rsidR="004E6554">
              <w:rPr>
                <w:i/>
                <w:iCs/>
              </w:rPr>
              <w:t xml:space="preserve">Own elaboration of </w:t>
            </w:r>
            <w:r w:rsidR="007C28C8" w:rsidRPr="007C28C8">
              <w:rPr>
                <w:i/>
                <w:iCs/>
              </w:rPr>
              <w:t>Eurostat</w:t>
            </w:r>
            <w:r w:rsidR="004E6554">
              <w:rPr>
                <w:i/>
                <w:iCs/>
              </w:rPr>
              <w:t xml:space="preserve"> data</w:t>
            </w:r>
          </w:p>
        </w:tc>
      </w:tr>
    </w:tbl>
    <w:p w14:paraId="0826C364" w14:textId="3A27A3F0" w:rsidR="00664BE6" w:rsidRPr="00EA4C9B" w:rsidRDefault="00664BE6" w:rsidP="00664BE6">
      <w:pPr>
        <w:rPr>
          <w:i/>
          <w:iCs/>
          <w:sz w:val="18"/>
          <w:szCs w:val="18"/>
        </w:rPr>
      </w:pPr>
    </w:p>
    <w:p w14:paraId="0A6CD533" w14:textId="0C3BCDFD" w:rsidR="00664BE6" w:rsidRPr="00EA4C9B" w:rsidRDefault="002C05F3" w:rsidP="00664BE6">
      <w:pPr>
        <w:spacing w:before="240"/>
      </w:pPr>
      <w:r w:rsidRPr="002C05F3">
        <w:t>In 2023, total tax revenue (including net social contributions) accounted for 26.0% of Malta’s GDP, down by 6.8 percentage points from 32.8% in 2009. Environmental taxes represented 6.0% of total tax revenue in 2023, compared with 9.5% in 2009</w:t>
      </w:r>
      <w:r w:rsidR="00386841">
        <w:t xml:space="preserve"> </w:t>
      </w:r>
      <w:r w:rsidRPr="002C05F3">
        <w:t>—</w:t>
      </w:r>
      <w:r w:rsidR="00386841">
        <w:t xml:space="preserve"> </w:t>
      </w:r>
      <w:r w:rsidRPr="002C05F3">
        <w:t xml:space="preserve">a decline of 3.5 percentage points over the period. A detailed breakdown of environmental tax categories is provided in </w:t>
      </w:r>
      <w:r w:rsidRPr="00FA4E41">
        <w:fldChar w:fldCharType="begin"/>
      </w:r>
      <w:r w:rsidRPr="00FA4E41">
        <w:instrText xml:space="preserve"> REF _Ref201232260 \h  \* MERGEFORMAT </w:instrText>
      </w:r>
      <w:r w:rsidRPr="00FA4E41">
        <w:fldChar w:fldCharType="separate"/>
      </w:r>
      <w:r w:rsidRPr="00FA4E41">
        <w:t xml:space="preserve">Figure </w:t>
      </w:r>
      <w:r>
        <w:t>A6</w:t>
      </w:r>
      <w:r w:rsidRPr="00FA4E41">
        <w:t>-</w:t>
      </w:r>
      <w:r w:rsidRPr="00FA4E41">
        <w:rPr>
          <w:noProof/>
        </w:rPr>
        <w:t>52</w:t>
      </w:r>
      <w:r w:rsidRPr="00FA4E41">
        <w:fldChar w:fldCharType="end"/>
      </w:r>
      <w:r w:rsidRPr="002C05F3">
        <w:t>.</w:t>
      </w:r>
      <w:r w:rsidR="00245941">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64BE6" w:rsidRPr="00EA4C9B" w14:paraId="35CDDDD9" w14:textId="77777777" w:rsidTr="00BA7936">
        <w:tc>
          <w:tcPr>
            <w:tcW w:w="9016" w:type="dxa"/>
          </w:tcPr>
          <w:p w14:paraId="1280542A" w14:textId="77777777" w:rsidR="00664BE6" w:rsidRPr="00EA4C9B" w:rsidRDefault="00664BE6">
            <w:pPr>
              <w:spacing w:after="0"/>
              <w:jc w:val="center"/>
              <w:rPr>
                <w:sz w:val="10"/>
                <w:szCs w:val="10"/>
              </w:rPr>
            </w:pPr>
          </w:p>
          <w:p w14:paraId="602991DE" w14:textId="77777777" w:rsidR="00664BE6" w:rsidRPr="00EA4C9B" w:rsidRDefault="00664BE6">
            <w:pPr>
              <w:spacing w:after="0"/>
              <w:jc w:val="center"/>
            </w:pPr>
            <w:r w:rsidRPr="00EA4C9B">
              <w:rPr>
                <w:noProof/>
              </w:rPr>
              <w:drawing>
                <wp:inline distT="0" distB="0" distL="0" distR="0" wp14:anchorId="24ABD444" wp14:editId="09752B04">
                  <wp:extent cx="5557157" cy="2673297"/>
                  <wp:effectExtent l="0" t="0" r="5715" b="0"/>
                  <wp:docPr id="562649994" name="Picture 1"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49994" name="Picture 1" descr="A graph of different colored squares&#10;&#10;AI-generated content may be incorrect."/>
                          <pic:cNvPicPr/>
                        </pic:nvPicPr>
                        <pic:blipFill>
                          <a:blip r:embed="rId106"/>
                          <a:stretch>
                            <a:fillRect/>
                          </a:stretch>
                        </pic:blipFill>
                        <pic:spPr>
                          <a:xfrm>
                            <a:off x="0" y="0"/>
                            <a:ext cx="5569917" cy="2679435"/>
                          </a:xfrm>
                          <a:prstGeom prst="rect">
                            <a:avLst/>
                          </a:prstGeom>
                        </pic:spPr>
                      </pic:pic>
                    </a:graphicData>
                  </a:graphic>
                </wp:inline>
              </w:drawing>
            </w:r>
          </w:p>
        </w:tc>
      </w:tr>
      <w:tr w:rsidR="00664BE6" w:rsidRPr="00EA4C9B" w14:paraId="504AF23B" w14:textId="77777777" w:rsidTr="00BA7936">
        <w:tc>
          <w:tcPr>
            <w:tcW w:w="9016" w:type="dxa"/>
            <w:shd w:val="clear" w:color="auto" w:fill="003399"/>
          </w:tcPr>
          <w:p w14:paraId="35C48C66" w14:textId="55565D59" w:rsidR="00664BE6" w:rsidRPr="00EA4C9B" w:rsidRDefault="00664BE6" w:rsidP="00BA408F">
            <w:pPr>
              <w:pStyle w:val="FigTabCaption"/>
            </w:pPr>
            <w:bookmarkStart w:id="255" w:name="_Ref201232260"/>
            <w:r w:rsidRPr="00051732">
              <w:t xml:space="preserve">Figure </w:t>
            </w:r>
            <w:r w:rsidR="00490085">
              <w:t>A6</w:t>
            </w:r>
            <w:r w:rsidR="00947F4C" w:rsidRPr="00051732">
              <w:t>-</w:t>
            </w:r>
            <w:r>
              <w:fldChar w:fldCharType="begin"/>
            </w:r>
            <w:r>
              <w:instrText>SEQ Figure_A5- \* ARABIC</w:instrText>
            </w:r>
            <w:r>
              <w:fldChar w:fldCharType="separate"/>
            </w:r>
            <w:r w:rsidR="0091411A">
              <w:rPr>
                <w:noProof/>
              </w:rPr>
              <w:t>52</w:t>
            </w:r>
            <w:r>
              <w:fldChar w:fldCharType="end"/>
            </w:r>
            <w:bookmarkEnd w:id="255"/>
            <w:r w:rsidRPr="00EA4C9B">
              <w:t>: Fifteen-year (2009-2023) change in absolute terms and change as GDP-ratio of the revenues of energy taxes, transport taxes, resource taxes, pollution taxes and total environmental taxes</w:t>
            </w:r>
            <w:r w:rsidR="00E81F1C">
              <w:t xml:space="preserve"> </w:t>
            </w:r>
            <w:r w:rsidR="004E6554">
              <w:t xml:space="preserve">- </w:t>
            </w:r>
            <w:r w:rsidR="004E6554" w:rsidRPr="007C28C8">
              <w:rPr>
                <w:i/>
                <w:iCs/>
              </w:rPr>
              <w:t xml:space="preserve">Source: </w:t>
            </w:r>
            <w:r w:rsidR="004E6554">
              <w:rPr>
                <w:i/>
                <w:iCs/>
              </w:rPr>
              <w:t xml:space="preserve">Own elaboration of </w:t>
            </w:r>
            <w:r w:rsidR="004E6554" w:rsidRPr="007C28C8">
              <w:rPr>
                <w:i/>
                <w:iCs/>
              </w:rPr>
              <w:t>Eurostat</w:t>
            </w:r>
            <w:r w:rsidR="004E6554">
              <w:rPr>
                <w:i/>
                <w:iCs/>
              </w:rPr>
              <w:t xml:space="preserve"> data</w:t>
            </w:r>
            <w:r w:rsidR="004E6554" w:rsidDel="00556259">
              <w:rPr>
                <w:rStyle w:val="FootnoteReference"/>
              </w:rPr>
              <w:t xml:space="preserve"> </w:t>
            </w:r>
          </w:p>
        </w:tc>
      </w:tr>
    </w:tbl>
    <w:p w14:paraId="663B9EB8" w14:textId="77777777" w:rsidR="00664BE6" w:rsidRPr="00EA4C9B" w:rsidRDefault="00664BE6" w:rsidP="009E1B64">
      <w:pPr>
        <w:pStyle w:val="Bulletlist"/>
        <w:numPr>
          <w:ilvl w:val="0"/>
          <w:numId w:val="0"/>
        </w:numPr>
      </w:pPr>
    </w:p>
    <w:p w14:paraId="60A8B49D" w14:textId="634B3C66" w:rsidR="00977562" w:rsidRPr="00977562" w:rsidRDefault="00977562" w:rsidP="00977562">
      <w:r w:rsidRPr="00977562">
        <w:t>Malta’s taxation system is fully centralised, with the Malta Tax and Customs Authority (MTCA) acting as the regulatory body responsible for the administration and collection of all taxes. Environmental taxation in Malta is dominated by energy and transport-related instruments, while pollution taxes play only a marginal role. The existing pollution taxes are primarily in the form of levies charged to tourists and various excise duties on specific products rather than dedicated charges targeting pollution or resource use.</w:t>
      </w:r>
    </w:p>
    <w:p w14:paraId="26E69930" w14:textId="2B2ADA33" w:rsidR="00664BE6" w:rsidRPr="00EA4C9B" w:rsidRDefault="00977562" w:rsidP="00977562">
      <w:r w:rsidRPr="00977562">
        <w:t>According to 2023 data, approximately 90</w:t>
      </w:r>
      <w:r w:rsidR="00BA5838">
        <w:t>%</w:t>
      </w:r>
      <w:r w:rsidRPr="00977562">
        <w:t>of Malta’s environmental tax revenue is derived from energy and transport taxes, with only around 10</w:t>
      </w:r>
      <w:r w:rsidR="00BA5838">
        <w:t>%</w:t>
      </w:r>
      <w:r w:rsidRPr="00977562">
        <w:t>coming from pollution taxes. This limited contribution partly reflects the relatively recent introduction of pollution-related instruments compared to the long-established energy and transport taxes. Overall, environmental taxes account for about 6</w:t>
      </w:r>
      <w:r w:rsidR="00FD0B56">
        <w:t>%</w:t>
      </w:r>
      <w:r w:rsidRPr="00977562">
        <w:t>of Malta’s total tax revenue, a figure notably higher than the EU average of 4.63</w:t>
      </w:r>
      <w:r w:rsidR="00FD0B56">
        <w:t>%</w:t>
      </w:r>
      <w:r w:rsidRPr="00977562">
        <w:t>t. This indicates that while Malta’s overall reliance on environmental taxation is above the EU norm, its structure remains heavily skewed towards energy and transport, leaving significant potential to expand the role of pollution and resource taxes</w:t>
      </w:r>
      <w:r w:rsidR="00664BE6" w:rsidRPr="00EA4C9B">
        <w:t>.</w:t>
      </w:r>
      <w:r w:rsidR="00664BE6" w:rsidRPr="00EA4C9B">
        <w:rPr>
          <w:rStyle w:val="FootnoteReference"/>
        </w:rPr>
        <w:footnoteReference w:id="560"/>
      </w:r>
      <w:r w:rsidR="00664BE6" w:rsidRPr="00EA4C9B">
        <w:t xml:space="preserve"> </w:t>
      </w:r>
    </w:p>
    <w:p w14:paraId="778F969C" w14:textId="77777777" w:rsidR="00664BE6" w:rsidRPr="00EA4C9B" w:rsidRDefault="00664BE6" w:rsidP="007C4EB7">
      <w:pPr>
        <w:pStyle w:val="AnnexHeading2"/>
      </w:pPr>
      <w:bookmarkStart w:id="256" w:name="_Toc214008920"/>
      <w:r w:rsidRPr="00EA4C9B">
        <w:t>Existing pollution and resource taxes</w:t>
      </w:r>
      <w:bookmarkEnd w:id="256"/>
      <w:r w:rsidRPr="00EA4C9B">
        <w:t> </w:t>
      </w:r>
    </w:p>
    <w:p w14:paraId="34E524E1" w14:textId="4708DA44" w:rsidR="00664BE6" w:rsidRPr="00EA4C9B" w:rsidRDefault="00664BE6" w:rsidP="00664BE6">
      <w:r w:rsidRPr="00EA4C9B">
        <w:t>Malta does not levy resource taxes. In 2023, pollution revenues reached 28.7 million euros. These amount to increases in absolute terms of 129% over 15 years (2009-2023). However, in terms of GDP-ratios, pollution taxes decreased by 27.3% (</w:t>
      </w:r>
      <w:r w:rsidR="00A02EC6" w:rsidRPr="00A02EC6">
        <w:fldChar w:fldCharType="begin"/>
      </w:r>
      <w:r w:rsidR="00A02EC6" w:rsidRPr="00A02EC6">
        <w:instrText xml:space="preserve"> REF _Ref201232260 \h  \* MERGEFORMAT </w:instrText>
      </w:r>
      <w:r w:rsidR="00A02EC6" w:rsidRPr="00A02EC6">
        <w:fldChar w:fldCharType="separate"/>
      </w:r>
      <w:r w:rsidR="00A02EC6" w:rsidRPr="00A02EC6">
        <w:t xml:space="preserve">Figure </w:t>
      </w:r>
      <w:r w:rsidR="00490085">
        <w:t>A6</w:t>
      </w:r>
      <w:r w:rsidR="00A02EC6" w:rsidRPr="00A02EC6">
        <w:t>-</w:t>
      </w:r>
      <w:r w:rsidR="00A02EC6" w:rsidRPr="00A02EC6">
        <w:rPr>
          <w:noProof/>
        </w:rPr>
        <w:t>52</w:t>
      </w:r>
      <w:r w:rsidR="00A02EC6" w:rsidRPr="00A02EC6">
        <w:fldChar w:fldCharType="end"/>
      </w:r>
      <w:r w:rsidRPr="00A02EC6">
        <w:t>).</w:t>
      </w:r>
      <w:r w:rsidRPr="00EA4C9B">
        <w:t xml:space="preserve"> In 2023, pollution tax revenues accounted for 10% of the total environmental tax revenues.</w:t>
      </w:r>
      <w:r w:rsidR="00977562">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64BE6" w:rsidRPr="00EA4C9B" w14:paraId="71AC9CF3" w14:textId="77777777" w:rsidTr="00BA7936">
        <w:tc>
          <w:tcPr>
            <w:tcW w:w="9016" w:type="dxa"/>
          </w:tcPr>
          <w:p w14:paraId="256B73CD" w14:textId="77777777" w:rsidR="00664BE6" w:rsidRPr="00EA4C9B" w:rsidRDefault="00664BE6">
            <w:pPr>
              <w:spacing w:after="0"/>
              <w:jc w:val="center"/>
              <w:rPr>
                <w:sz w:val="10"/>
                <w:szCs w:val="10"/>
              </w:rPr>
            </w:pPr>
          </w:p>
          <w:p w14:paraId="26464AB4" w14:textId="77777777" w:rsidR="00664BE6" w:rsidRPr="00EA4C9B" w:rsidRDefault="00664BE6">
            <w:pPr>
              <w:spacing w:after="0"/>
              <w:jc w:val="center"/>
            </w:pPr>
            <w:r w:rsidRPr="00EA4C9B">
              <w:rPr>
                <w:noProof/>
              </w:rPr>
              <w:drawing>
                <wp:inline distT="0" distB="0" distL="0" distR="0" wp14:anchorId="2FC8C369" wp14:editId="3FA43260">
                  <wp:extent cx="5581648" cy="1200150"/>
                  <wp:effectExtent l="0" t="0" r="0" b="0"/>
                  <wp:docPr id="257935969" name="Picture 257935969" descr="A graph with gree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35969" name="Picture 257935969" descr="A graph with green bars&#10;&#10;AI-generated content may be incorrect."/>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581648" cy="1200150"/>
                          </a:xfrm>
                          <a:prstGeom prst="rect">
                            <a:avLst/>
                          </a:prstGeom>
                        </pic:spPr>
                      </pic:pic>
                    </a:graphicData>
                  </a:graphic>
                </wp:inline>
              </w:drawing>
            </w:r>
          </w:p>
        </w:tc>
      </w:tr>
      <w:tr w:rsidR="00664BE6" w:rsidRPr="00EA4C9B" w14:paraId="6522629F" w14:textId="77777777" w:rsidTr="00BA7936">
        <w:tc>
          <w:tcPr>
            <w:tcW w:w="9016" w:type="dxa"/>
            <w:shd w:val="clear" w:color="auto" w:fill="003399"/>
          </w:tcPr>
          <w:p w14:paraId="060E1403" w14:textId="1D2BC388" w:rsidR="00664BE6" w:rsidRPr="00EA4C9B" w:rsidRDefault="00664BE6" w:rsidP="00BA408F">
            <w:pPr>
              <w:pStyle w:val="FigTabCaption"/>
            </w:pPr>
            <w:r w:rsidRPr="00051732">
              <w:t xml:space="preserve">Figure </w:t>
            </w:r>
            <w:r w:rsidR="00490085">
              <w:t>A6</w:t>
            </w:r>
            <w:r w:rsidR="00947F4C" w:rsidRPr="00051732">
              <w:t>-</w:t>
            </w:r>
            <w:r>
              <w:fldChar w:fldCharType="begin"/>
            </w:r>
            <w:r>
              <w:instrText>SEQ Figure_A5- \* ARABIC</w:instrText>
            </w:r>
            <w:r>
              <w:fldChar w:fldCharType="separate"/>
            </w:r>
            <w:r w:rsidR="0091411A">
              <w:rPr>
                <w:noProof/>
              </w:rPr>
              <w:t>53</w:t>
            </w:r>
            <w:r>
              <w:fldChar w:fldCharType="end"/>
            </w:r>
            <w:r w:rsidRPr="00EA4C9B">
              <w:t>: Resource and pollution tax revenues in Malta in million euros</w:t>
            </w:r>
            <w:r w:rsidR="00F26A70">
              <w:t xml:space="preserve">. </w:t>
            </w:r>
            <w:r w:rsidR="00F26A70" w:rsidRPr="00EA4C9B">
              <w:rPr>
                <w:rFonts w:ascii="Calibri" w:eastAsia="Calibri" w:hAnsi="Calibri" w:cs="Calibri"/>
                <w:i/>
                <w:iCs/>
              </w:rPr>
              <w:t>Note: the share between pollution and resource taxes in 2023 was estimated as the weighted average of past years</w:t>
            </w:r>
            <w:r w:rsidR="00F26A70" w:rsidRPr="00EA4C9B">
              <w:rPr>
                <w:rFonts w:ascii="Calibri" w:eastAsia="Calibri" w:hAnsi="Calibri" w:cs="Calibri"/>
              </w:rPr>
              <w:t> </w:t>
            </w:r>
            <w:r w:rsidR="009723FC">
              <w:t xml:space="preserve">- </w:t>
            </w:r>
            <w:r w:rsidR="009723FC" w:rsidRPr="007C28C8">
              <w:rPr>
                <w:i/>
                <w:iCs/>
              </w:rPr>
              <w:t xml:space="preserve">Source: </w:t>
            </w:r>
            <w:r w:rsidR="009723FC">
              <w:rPr>
                <w:i/>
                <w:iCs/>
              </w:rPr>
              <w:t xml:space="preserve">Own elaboration of </w:t>
            </w:r>
            <w:r w:rsidR="009723FC" w:rsidRPr="007C28C8">
              <w:rPr>
                <w:i/>
                <w:iCs/>
              </w:rPr>
              <w:t>Eurostat</w:t>
            </w:r>
            <w:r w:rsidR="009723FC">
              <w:rPr>
                <w:i/>
                <w:iCs/>
              </w:rPr>
              <w:t xml:space="preserve"> data</w:t>
            </w:r>
          </w:p>
        </w:tc>
      </w:tr>
    </w:tbl>
    <w:p w14:paraId="3E675676" w14:textId="77777777" w:rsidR="00A00DA3" w:rsidRPr="00A00DA3" w:rsidRDefault="00A00DA3" w:rsidP="00A00DA3">
      <w:pPr>
        <w:pStyle w:val="Heading4"/>
      </w:pPr>
      <w:r w:rsidRPr="00A00DA3">
        <w:t>List of pollution and resource taxes and revenue shares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41"/>
        <w:gridCol w:w="2241"/>
        <w:gridCol w:w="2241"/>
        <w:gridCol w:w="2241"/>
      </w:tblGrid>
      <w:tr w:rsidR="00664BE6" w:rsidRPr="00EA4C9B" w14:paraId="77046303" w14:textId="77777777">
        <w:trPr>
          <w:trHeight w:val="300"/>
        </w:trPr>
        <w:tc>
          <w:tcPr>
            <w:tcW w:w="8964" w:type="dxa"/>
            <w:gridSpan w:val="4"/>
            <w:tcBorders>
              <w:top w:val="single" w:sz="6" w:space="0" w:color="auto"/>
              <w:left w:val="single" w:sz="6" w:space="0" w:color="auto"/>
              <w:bottom w:val="single" w:sz="6" w:space="0" w:color="auto"/>
              <w:right w:val="single" w:sz="6" w:space="0" w:color="auto"/>
            </w:tcBorders>
            <w:shd w:val="clear" w:color="auto" w:fill="003399"/>
            <w:tcMar>
              <w:left w:w="105" w:type="dxa"/>
              <w:right w:w="105" w:type="dxa"/>
            </w:tcMar>
          </w:tcPr>
          <w:p w14:paraId="548E6D4F" w14:textId="66566AD0" w:rsidR="00664BE6" w:rsidRPr="00653288" w:rsidRDefault="00664BE6" w:rsidP="00653288">
            <w:pPr>
              <w:pStyle w:val="Table"/>
              <w:rPr>
                <w:rFonts w:eastAsia="Calibri" w:cstheme="minorHAnsi"/>
                <w:b/>
                <w:color w:val="FFFFFF" w:themeColor="background1"/>
                <w:szCs w:val="20"/>
              </w:rPr>
            </w:pPr>
            <w:r w:rsidRPr="00653288">
              <w:rPr>
                <w:b/>
                <w:color w:val="FFFFFF" w:themeColor="background1"/>
              </w:rPr>
              <w:t xml:space="preserve">Table </w:t>
            </w:r>
            <w:r w:rsidR="00490085">
              <w:rPr>
                <w:b/>
                <w:color w:val="FFFFFF" w:themeColor="background1"/>
              </w:rPr>
              <w:t>A6</w:t>
            </w:r>
            <w:r w:rsidR="00653288" w:rsidRPr="00653288">
              <w:rPr>
                <w:b/>
                <w:bCs/>
                <w:color w:val="FFFFFF" w:themeColor="background1"/>
              </w:rPr>
              <w:t>-</w:t>
            </w:r>
            <w:r w:rsidR="00653288" w:rsidRPr="00653288">
              <w:rPr>
                <w:b/>
                <w:bCs/>
                <w:color w:val="FFFFFF" w:themeColor="background1"/>
              </w:rPr>
              <w:fldChar w:fldCharType="begin"/>
            </w:r>
            <w:r w:rsidR="00653288" w:rsidRPr="00653288">
              <w:rPr>
                <w:b/>
                <w:bCs/>
                <w:color w:val="FFFFFF" w:themeColor="background1"/>
              </w:rPr>
              <w:instrText xml:space="preserve"> SEQ Table_A5- \* ARABIC </w:instrText>
            </w:r>
            <w:r w:rsidR="00653288" w:rsidRPr="00653288">
              <w:rPr>
                <w:b/>
                <w:bCs/>
                <w:color w:val="FFFFFF" w:themeColor="background1"/>
              </w:rPr>
              <w:fldChar w:fldCharType="separate"/>
            </w:r>
            <w:r w:rsidR="00977562">
              <w:rPr>
                <w:b/>
                <w:bCs/>
                <w:noProof/>
                <w:color w:val="FFFFFF" w:themeColor="background1"/>
              </w:rPr>
              <w:t>92</w:t>
            </w:r>
            <w:r w:rsidR="00653288" w:rsidRPr="00653288">
              <w:rPr>
                <w:b/>
                <w:bCs/>
                <w:color w:val="FFFFFF" w:themeColor="background1"/>
              </w:rPr>
              <w:fldChar w:fldCharType="end"/>
            </w:r>
            <w:r w:rsidRPr="00653288">
              <w:rPr>
                <w:rFonts w:eastAsia="Calibri" w:cstheme="minorHAnsi"/>
                <w:b/>
                <w:color w:val="FFFFFF" w:themeColor="background1"/>
                <w:szCs w:val="20"/>
              </w:rPr>
              <w:t>:  Pollution taxes </w:t>
            </w:r>
          </w:p>
        </w:tc>
      </w:tr>
      <w:tr w:rsidR="00664BE6" w:rsidRPr="00EA4C9B" w14:paraId="5CD52533" w14:textId="77777777">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7E5758D5" w14:textId="77777777" w:rsidR="00664BE6" w:rsidRPr="00EA4C9B" w:rsidRDefault="00664BE6" w:rsidP="00653288">
            <w:pPr>
              <w:pStyle w:val="Table"/>
              <w:rPr>
                <w:rFonts w:eastAsia="Calibri" w:cstheme="minorHAnsi"/>
                <w:szCs w:val="20"/>
              </w:rPr>
            </w:pPr>
            <w:r w:rsidRPr="00947F4C">
              <w:rPr>
                <w:rFonts w:eastAsia="Calibri" w:cstheme="minorHAnsi"/>
                <w:b/>
                <w:szCs w:val="20"/>
              </w:rPr>
              <w:t>Tax Name</w:t>
            </w:r>
            <w:r w:rsidRPr="00947F4C">
              <w:rPr>
                <w:rFonts w:eastAsia="Calibri" w:cstheme="minorHAnsi"/>
                <w:szCs w:val="20"/>
              </w:rPr>
              <w:t> </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77F7CF0C" w14:textId="77777777" w:rsidR="00664BE6" w:rsidRPr="00EA4C9B" w:rsidRDefault="00664BE6" w:rsidP="00977562">
            <w:pPr>
              <w:pStyle w:val="Table"/>
              <w:jc w:val="center"/>
              <w:rPr>
                <w:rFonts w:eastAsia="Calibri" w:cstheme="minorHAnsi"/>
                <w:szCs w:val="20"/>
              </w:rPr>
            </w:pPr>
            <w:r w:rsidRPr="00947F4C">
              <w:rPr>
                <w:rFonts w:eastAsia="Calibri" w:cstheme="minorHAnsi"/>
                <w:b/>
                <w:szCs w:val="20"/>
              </w:rPr>
              <w:t>Revenue (€ million)</w:t>
            </w:r>
          </w:p>
          <w:p w14:paraId="78CF004F" w14:textId="77777777" w:rsidR="00664BE6" w:rsidRPr="00EA4C9B" w:rsidRDefault="00664BE6" w:rsidP="00977562">
            <w:pPr>
              <w:pStyle w:val="Table"/>
              <w:jc w:val="center"/>
              <w:rPr>
                <w:rFonts w:eastAsia="Calibri" w:cstheme="minorHAnsi"/>
                <w:szCs w:val="20"/>
              </w:rPr>
            </w:pPr>
            <w:r w:rsidRPr="00947F4C">
              <w:rPr>
                <w:rFonts w:eastAsia="Calibri" w:cstheme="minorHAnsi"/>
                <w:b/>
                <w:szCs w:val="20"/>
              </w:rPr>
              <w:t>2009-2023</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384BC7C4" w14:textId="77777777" w:rsidR="00664BE6" w:rsidRPr="00EA4C9B" w:rsidRDefault="00664BE6" w:rsidP="00977562">
            <w:pPr>
              <w:pStyle w:val="Table"/>
              <w:jc w:val="center"/>
              <w:rPr>
                <w:rFonts w:eastAsia="Calibri" w:cstheme="minorHAnsi"/>
                <w:szCs w:val="20"/>
              </w:rPr>
            </w:pPr>
            <w:r w:rsidRPr="00947F4C">
              <w:rPr>
                <w:rFonts w:eastAsia="Calibri" w:cstheme="minorHAnsi"/>
                <w:b/>
                <w:szCs w:val="20"/>
              </w:rPr>
              <w:t>Average annual revenue (€ million)</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4E3B87CA" w14:textId="77777777" w:rsidR="00664BE6" w:rsidRPr="00EA4C9B" w:rsidRDefault="00664BE6" w:rsidP="00977562">
            <w:pPr>
              <w:pStyle w:val="Table"/>
              <w:jc w:val="center"/>
              <w:rPr>
                <w:rFonts w:eastAsia="Calibri" w:cstheme="minorHAnsi"/>
                <w:szCs w:val="20"/>
              </w:rPr>
            </w:pPr>
            <w:r w:rsidRPr="00947F4C">
              <w:rPr>
                <w:rFonts w:eastAsia="Calibri" w:cstheme="minorHAnsi"/>
                <w:b/>
                <w:szCs w:val="20"/>
              </w:rPr>
              <w:t>As share of all pollution tax revenues</w:t>
            </w:r>
          </w:p>
        </w:tc>
      </w:tr>
      <w:tr w:rsidR="00664BE6" w:rsidRPr="00EA4C9B" w14:paraId="12B0650C" w14:textId="77777777" w:rsidTr="00296D79">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7801070A" w14:textId="77777777" w:rsidR="00664BE6" w:rsidRPr="00EA4C9B" w:rsidRDefault="00664BE6" w:rsidP="00653288">
            <w:pPr>
              <w:pStyle w:val="Table"/>
              <w:rPr>
                <w:rFonts w:eastAsia="Calibri" w:cstheme="minorHAnsi"/>
                <w:szCs w:val="20"/>
              </w:rPr>
            </w:pPr>
            <w:r w:rsidRPr="00EA4C9B">
              <w:rPr>
                <w:rFonts w:cstheme="minorHAnsi"/>
                <w:szCs w:val="20"/>
              </w:rPr>
              <w:t>Eco Contribution</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7811F4"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64.6</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559921"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4.3</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E05883"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17.6%</w:t>
            </w:r>
          </w:p>
        </w:tc>
      </w:tr>
      <w:tr w:rsidR="00664BE6" w:rsidRPr="00EA4C9B" w14:paraId="558D6BCE" w14:textId="77777777" w:rsidTr="00296D79">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14212D77" w14:textId="77777777" w:rsidR="00664BE6" w:rsidRPr="00EA4C9B" w:rsidRDefault="00664BE6" w:rsidP="00653288">
            <w:pPr>
              <w:pStyle w:val="Table"/>
              <w:rPr>
                <w:rFonts w:eastAsia="Calibri" w:cstheme="minorHAnsi"/>
                <w:szCs w:val="20"/>
              </w:rPr>
            </w:pPr>
            <w:r w:rsidRPr="00EA4C9B">
              <w:rPr>
                <w:rFonts w:cstheme="minorHAnsi"/>
                <w:szCs w:val="20"/>
              </w:rPr>
              <w:t>Excise Levies – Cement</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D9F93C"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173.8</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3B45D1"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12.4</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F246A7"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50.9%</w:t>
            </w:r>
          </w:p>
        </w:tc>
      </w:tr>
      <w:tr w:rsidR="00664BE6" w:rsidRPr="00EA4C9B" w14:paraId="49614BC6" w14:textId="77777777" w:rsidTr="00296D79">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2D6D9055" w14:textId="77777777" w:rsidR="00664BE6" w:rsidRPr="00EA4C9B" w:rsidRDefault="00664BE6" w:rsidP="00653288">
            <w:pPr>
              <w:pStyle w:val="Table"/>
              <w:rPr>
                <w:rFonts w:eastAsia="Calibri" w:cstheme="minorHAnsi"/>
                <w:szCs w:val="20"/>
              </w:rPr>
            </w:pPr>
            <w:r w:rsidRPr="00EA4C9B">
              <w:rPr>
                <w:rFonts w:cstheme="minorHAnsi"/>
                <w:szCs w:val="20"/>
              </w:rPr>
              <w:t>Excise Duties – Pneumatic Tyres</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46E631"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13.6</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F9D36C"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1.5</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30A61C"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6.2%</w:t>
            </w:r>
          </w:p>
        </w:tc>
      </w:tr>
      <w:tr w:rsidR="00664BE6" w:rsidRPr="00EA4C9B" w14:paraId="7FBAD58E" w14:textId="77777777" w:rsidTr="00296D79">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34A4CF56" w14:textId="77777777" w:rsidR="00664BE6" w:rsidRPr="00EA4C9B" w:rsidRDefault="00664BE6" w:rsidP="00653288">
            <w:pPr>
              <w:pStyle w:val="Table"/>
              <w:rPr>
                <w:rFonts w:eastAsia="Calibri" w:cstheme="minorHAnsi"/>
                <w:szCs w:val="20"/>
              </w:rPr>
            </w:pPr>
            <w:r w:rsidRPr="00EA4C9B">
              <w:rPr>
                <w:rFonts w:cstheme="minorHAnsi"/>
                <w:szCs w:val="20"/>
              </w:rPr>
              <w:t xml:space="preserve">Excise Duties – Ammunition Cartridges </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B2D901"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0.1</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3BCF22"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0.009</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862809"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0.04%</w:t>
            </w:r>
          </w:p>
        </w:tc>
      </w:tr>
      <w:tr w:rsidR="00664BE6" w:rsidRPr="00EA4C9B" w14:paraId="5FFA501A" w14:textId="77777777" w:rsidTr="00296D79">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3D9FA531" w14:textId="77777777" w:rsidR="00664BE6" w:rsidRPr="00EA4C9B" w:rsidRDefault="00664BE6" w:rsidP="00653288">
            <w:pPr>
              <w:pStyle w:val="Table"/>
              <w:rPr>
                <w:rFonts w:eastAsia="Calibri" w:cstheme="minorHAnsi"/>
                <w:szCs w:val="20"/>
              </w:rPr>
            </w:pPr>
            <w:r w:rsidRPr="00EA4C9B">
              <w:rPr>
                <w:rFonts w:cstheme="minorHAnsi"/>
                <w:szCs w:val="20"/>
              </w:rPr>
              <w:t>Excise Duties – Chewing Gum</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912557"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4.7</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523A98"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0.5</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9EB7B4"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2.1%</w:t>
            </w:r>
          </w:p>
        </w:tc>
      </w:tr>
      <w:tr w:rsidR="00664BE6" w:rsidRPr="00EA4C9B" w14:paraId="42A03E49" w14:textId="77777777" w:rsidTr="00296D79">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20DFDBE0" w14:textId="77777777" w:rsidR="00664BE6" w:rsidRPr="00EA4C9B" w:rsidRDefault="00664BE6" w:rsidP="00653288">
            <w:pPr>
              <w:pStyle w:val="Table"/>
              <w:rPr>
                <w:rFonts w:eastAsia="Calibri" w:cstheme="minorHAnsi"/>
                <w:szCs w:val="20"/>
              </w:rPr>
            </w:pPr>
            <w:r w:rsidRPr="00EA4C9B">
              <w:rPr>
                <w:rFonts w:cstheme="minorHAnsi"/>
                <w:szCs w:val="20"/>
              </w:rPr>
              <w:t xml:space="preserve">Excise Duties – Bottled Water </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02DF77"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6.6</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43AFD2"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0.7</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BCF217"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3.0%</w:t>
            </w:r>
          </w:p>
        </w:tc>
      </w:tr>
      <w:tr w:rsidR="00664BE6" w:rsidRPr="00EA4C9B" w14:paraId="469B1330" w14:textId="77777777" w:rsidTr="00296D79">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18825FDF" w14:textId="77777777" w:rsidR="00664BE6" w:rsidRPr="00EA4C9B" w:rsidRDefault="00664BE6" w:rsidP="00653288">
            <w:pPr>
              <w:pStyle w:val="Table"/>
              <w:rPr>
                <w:rFonts w:eastAsia="Calibri" w:cstheme="minorHAnsi"/>
                <w:szCs w:val="20"/>
              </w:rPr>
            </w:pPr>
            <w:r w:rsidRPr="00EA4C9B">
              <w:rPr>
                <w:rFonts w:cstheme="minorHAnsi"/>
                <w:szCs w:val="20"/>
              </w:rPr>
              <w:t>Excise Duties – Non-Alcohol Beverages</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A4B052"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19.8</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0D307A"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2.2</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09875E"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9.0%</w:t>
            </w:r>
          </w:p>
        </w:tc>
      </w:tr>
      <w:tr w:rsidR="00664BE6" w:rsidRPr="00EA4C9B" w14:paraId="39248802" w14:textId="77777777" w:rsidTr="00296D79">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463C03CF" w14:textId="77777777" w:rsidR="00664BE6" w:rsidRPr="00EA4C9B" w:rsidRDefault="00664BE6" w:rsidP="00653288">
            <w:pPr>
              <w:pStyle w:val="Table"/>
              <w:rPr>
                <w:rFonts w:eastAsia="Calibri" w:cstheme="minorHAnsi"/>
                <w:szCs w:val="20"/>
              </w:rPr>
            </w:pPr>
            <w:r w:rsidRPr="00EA4C9B">
              <w:rPr>
                <w:rFonts w:cstheme="minorHAnsi"/>
                <w:szCs w:val="20"/>
              </w:rPr>
              <w:t xml:space="preserve">Excise Duties – Toiletries </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6B0135"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6.0</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19FC09"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0.9</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E6BE70"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3.5%</w:t>
            </w:r>
          </w:p>
        </w:tc>
      </w:tr>
      <w:tr w:rsidR="00664BE6" w:rsidRPr="00EA4C9B" w14:paraId="4573B097" w14:textId="77777777" w:rsidTr="00296D79">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49828CD8" w14:textId="77777777" w:rsidR="00664BE6" w:rsidRPr="00EA4C9B" w:rsidRDefault="00664BE6" w:rsidP="00653288">
            <w:pPr>
              <w:pStyle w:val="Table"/>
              <w:rPr>
                <w:rFonts w:eastAsia="Calibri" w:cstheme="minorHAnsi"/>
                <w:szCs w:val="20"/>
              </w:rPr>
            </w:pPr>
            <w:r w:rsidRPr="00EA4C9B">
              <w:rPr>
                <w:rFonts w:cstheme="minorHAnsi"/>
                <w:szCs w:val="20"/>
              </w:rPr>
              <w:t>Excise Duties – Construction components and fixtures</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620553"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12.5</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B73063D"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1.8</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C317C5"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7.3%</w:t>
            </w:r>
          </w:p>
        </w:tc>
      </w:tr>
    </w:tbl>
    <w:p w14:paraId="024A6A66" w14:textId="77777777" w:rsidR="00664BE6" w:rsidRPr="00EA4C9B" w:rsidRDefault="00664BE6" w:rsidP="00664BE6">
      <w:pPr>
        <w:spacing w:after="0"/>
        <w:rPr>
          <w:rFonts w:eastAsia="Calibri" w:cstheme="minorHAnsi"/>
          <w:color w:val="000000" w:themeColor="text1"/>
          <w:sz w:val="20"/>
          <w:szCs w:val="20"/>
        </w:rPr>
      </w:pPr>
      <w:r w:rsidRPr="00EA4C9B">
        <w:rPr>
          <w:rFonts w:eastAsia="Calibri" w:cstheme="minorHAnsi"/>
          <w:color w:val="000000" w:themeColor="text1"/>
          <w:sz w:val="20"/>
          <w:szCs w:val="20"/>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41"/>
        <w:gridCol w:w="2241"/>
        <w:gridCol w:w="2241"/>
        <w:gridCol w:w="2241"/>
      </w:tblGrid>
      <w:tr w:rsidR="00664BE6" w:rsidRPr="00EA4C9B" w14:paraId="6EBC1512" w14:textId="77777777">
        <w:trPr>
          <w:trHeight w:val="300"/>
        </w:trPr>
        <w:tc>
          <w:tcPr>
            <w:tcW w:w="8964" w:type="dxa"/>
            <w:gridSpan w:val="4"/>
            <w:tcBorders>
              <w:top w:val="single" w:sz="6" w:space="0" w:color="auto"/>
              <w:left w:val="single" w:sz="6" w:space="0" w:color="auto"/>
              <w:bottom w:val="single" w:sz="6" w:space="0" w:color="auto"/>
              <w:right w:val="single" w:sz="6" w:space="0" w:color="auto"/>
            </w:tcBorders>
            <w:shd w:val="clear" w:color="auto" w:fill="003399"/>
            <w:tcMar>
              <w:left w:w="105" w:type="dxa"/>
              <w:right w:w="105" w:type="dxa"/>
            </w:tcMar>
          </w:tcPr>
          <w:p w14:paraId="7BE080DA" w14:textId="3F1E6A26" w:rsidR="00664BE6" w:rsidRPr="00653288" w:rsidRDefault="00947F4C" w:rsidP="00653288">
            <w:pPr>
              <w:pStyle w:val="Caption"/>
              <w:jc w:val="both"/>
              <w:rPr>
                <w:rFonts w:eastAsia="Calibri" w:cstheme="minorHAnsi"/>
                <w:color w:val="FFFFFF" w:themeColor="background1"/>
                <w:szCs w:val="20"/>
              </w:rPr>
            </w:pPr>
            <w:r w:rsidRPr="00653288">
              <w:rPr>
                <w:color w:val="FFFFFF" w:themeColor="background1"/>
              </w:rPr>
              <w:t xml:space="preserve">Table </w:t>
            </w:r>
            <w:r w:rsidR="00490085">
              <w:rPr>
                <w:color w:val="FFFFFF" w:themeColor="background1"/>
              </w:rPr>
              <w:t>A6</w:t>
            </w:r>
            <w:r w:rsidR="00653288" w:rsidRPr="00653288">
              <w:rPr>
                <w:color w:val="FFFFFF" w:themeColor="background1"/>
              </w:rPr>
              <w:t>-</w:t>
            </w:r>
            <w:r w:rsidR="00653288" w:rsidRPr="00653288">
              <w:rPr>
                <w:color w:val="FFFFFF" w:themeColor="background1"/>
              </w:rPr>
              <w:fldChar w:fldCharType="begin"/>
            </w:r>
            <w:r w:rsidR="00653288" w:rsidRPr="00653288">
              <w:rPr>
                <w:color w:val="FFFFFF" w:themeColor="background1"/>
              </w:rPr>
              <w:instrText xml:space="preserve"> SEQ Table_A5- \* ARABIC </w:instrText>
            </w:r>
            <w:r w:rsidR="00653288" w:rsidRPr="00653288">
              <w:rPr>
                <w:color w:val="FFFFFF" w:themeColor="background1"/>
              </w:rPr>
              <w:fldChar w:fldCharType="separate"/>
            </w:r>
            <w:r w:rsidR="00977562">
              <w:rPr>
                <w:noProof/>
                <w:color w:val="FFFFFF" w:themeColor="background1"/>
              </w:rPr>
              <w:t>93</w:t>
            </w:r>
            <w:r w:rsidR="00653288" w:rsidRPr="00653288">
              <w:rPr>
                <w:color w:val="FFFFFF" w:themeColor="background1"/>
              </w:rPr>
              <w:fldChar w:fldCharType="end"/>
            </w:r>
            <w:r w:rsidR="00664BE6" w:rsidRPr="00653288">
              <w:rPr>
                <w:rFonts w:eastAsia="Calibri" w:cstheme="minorHAnsi"/>
                <w:color w:val="FFFFFF" w:themeColor="background1"/>
                <w:szCs w:val="20"/>
              </w:rPr>
              <w:t>:  Waste taxes </w:t>
            </w:r>
          </w:p>
        </w:tc>
      </w:tr>
      <w:tr w:rsidR="00664BE6" w:rsidRPr="00EA4C9B" w14:paraId="46926AB2" w14:textId="77777777">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40813745" w14:textId="77777777" w:rsidR="00664BE6" w:rsidRPr="00EA4C9B" w:rsidRDefault="00664BE6">
            <w:pPr>
              <w:spacing w:after="0"/>
              <w:rPr>
                <w:rFonts w:eastAsia="Calibri" w:cstheme="minorHAnsi"/>
                <w:sz w:val="20"/>
                <w:szCs w:val="20"/>
              </w:rPr>
            </w:pPr>
            <w:r w:rsidRPr="00EA4C9B">
              <w:rPr>
                <w:rFonts w:eastAsia="Calibri" w:cstheme="minorHAnsi"/>
                <w:b/>
                <w:bCs/>
                <w:sz w:val="20"/>
                <w:szCs w:val="20"/>
              </w:rPr>
              <w:t>Tax Name</w:t>
            </w:r>
            <w:r w:rsidRPr="00EA4C9B">
              <w:rPr>
                <w:rFonts w:eastAsia="Calibri" w:cstheme="minorHAnsi"/>
                <w:sz w:val="20"/>
                <w:szCs w:val="20"/>
              </w:rPr>
              <w:t> </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383222EA" w14:textId="77777777" w:rsidR="00664BE6" w:rsidRPr="00EA4C9B" w:rsidRDefault="00664BE6">
            <w:pPr>
              <w:spacing w:after="0"/>
              <w:jc w:val="center"/>
              <w:rPr>
                <w:rFonts w:eastAsia="Calibri" w:cstheme="minorHAnsi"/>
                <w:sz w:val="20"/>
                <w:szCs w:val="20"/>
              </w:rPr>
            </w:pPr>
            <w:r w:rsidRPr="00EA4C9B">
              <w:rPr>
                <w:rFonts w:eastAsia="Calibri" w:cstheme="minorHAnsi"/>
                <w:b/>
                <w:bCs/>
                <w:sz w:val="20"/>
                <w:szCs w:val="20"/>
              </w:rPr>
              <w:t>Revenue (€ million)</w:t>
            </w:r>
          </w:p>
          <w:p w14:paraId="76724478" w14:textId="77777777" w:rsidR="00664BE6" w:rsidRPr="00EA4C9B" w:rsidRDefault="00664BE6">
            <w:pPr>
              <w:spacing w:after="0"/>
              <w:jc w:val="center"/>
              <w:rPr>
                <w:rFonts w:eastAsia="Calibri" w:cstheme="minorHAnsi"/>
                <w:sz w:val="20"/>
                <w:szCs w:val="20"/>
              </w:rPr>
            </w:pPr>
            <w:r w:rsidRPr="00EA4C9B">
              <w:rPr>
                <w:rFonts w:eastAsia="Calibri" w:cstheme="minorHAnsi"/>
                <w:b/>
                <w:bCs/>
                <w:sz w:val="20"/>
                <w:szCs w:val="20"/>
              </w:rPr>
              <w:t>2009-2023</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18B9AB27" w14:textId="77777777" w:rsidR="00664BE6" w:rsidRPr="00EA4C9B" w:rsidRDefault="00664BE6">
            <w:pPr>
              <w:spacing w:after="0"/>
              <w:jc w:val="center"/>
              <w:rPr>
                <w:rFonts w:eastAsia="Calibri" w:cstheme="minorHAnsi"/>
                <w:sz w:val="20"/>
                <w:szCs w:val="20"/>
              </w:rPr>
            </w:pPr>
            <w:r w:rsidRPr="00EA4C9B">
              <w:rPr>
                <w:rFonts w:eastAsia="Calibri" w:cstheme="minorHAnsi"/>
                <w:b/>
                <w:bCs/>
                <w:sz w:val="20"/>
                <w:szCs w:val="20"/>
              </w:rPr>
              <w:t>Average annual revenue (€ million)</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25E7BEE0" w14:textId="77777777" w:rsidR="00664BE6" w:rsidRPr="00EA4C9B" w:rsidRDefault="00664BE6">
            <w:pPr>
              <w:spacing w:after="0"/>
              <w:jc w:val="center"/>
              <w:rPr>
                <w:rFonts w:eastAsia="Calibri" w:cstheme="minorHAnsi"/>
                <w:sz w:val="20"/>
                <w:szCs w:val="20"/>
              </w:rPr>
            </w:pPr>
            <w:r w:rsidRPr="00EA4C9B">
              <w:rPr>
                <w:rFonts w:eastAsia="Calibri" w:cstheme="minorHAnsi"/>
                <w:b/>
                <w:bCs/>
                <w:sz w:val="20"/>
                <w:szCs w:val="20"/>
              </w:rPr>
              <w:t>As share of all waste tax revenues</w:t>
            </w:r>
          </w:p>
        </w:tc>
      </w:tr>
      <w:tr w:rsidR="00664BE6" w:rsidRPr="00EA4C9B" w14:paraId="0DB74BF0" w14:textId="77777777" w:rsidTr="00296D79">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7A1407E7" w14:textId="77777777" w:rsidR="00664BE6" w:rsidRPr="00EA4C9B" w:rsidRDefault="00664BE6" w:rsidP="00296D79">
            <w:pPr>
              <w:spacing w:after="0"/>
              <w:jc w:val="left"/>
              <w:rPr>
                <w:rFonts w:eastAsia="Calibri" w:cstheme="minorHAnsi"/>
                <w:sz w:val="20"/>
                <w:szCs w:val="20"/>
              </w:rPr>
            </w:pPr>
            <w:r w:rsidRPr="00EA4C9B">
              <w:rPr>
                <w:rFonts w:cstheme="minorHAnsi"/>
                <w:sz w:val="20"/>
                <w:szCs w:val="20"/>
              </w:rPr>
              <w:t>Excise Duties – Plastic Bags</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800F91" w14:textId="77777777" w:rsidR="00664BE6" w:rsidRPr="00EA4C9B" w:rsidRDefault="00664BE6" w:rsidP="00296D79">
            <w:pPr>
              <w:spacing w:after="0"/>
              <w:jc w:val="center"/>
              <w:rPr>
                <w:rFonts w:eastAsia="Calibri" w:cstheme="minorHAnsi"/>
                <w:sz w:val="20"/>
                <w:szCs w:val="20"/>
              </w:rPr>
            </w:pPr>
            <w:r w:rsidRPr="00EA4C9B">
              <w:rPr>
                <w:rFonts w:cstheme="minorHAnsi"/>
                <w:color w:val="000000"/>
                <w:sz w:val="20"/>
                <w:szCs w:val="20"/>
              </w:rPr>
              <w:t>8.6</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E22808" w14:textId="77777777" w:rsidR="00664BE6" w:rsidRPr="00EA4C9B" w:rsidRDefault="00664BE6" w:rsidP="00296D79">
            <w:pPr>
              <w:spacing w:after="0"/>
              <w:jc w:val="center"/>
              <w:rPr>
                <w:rFonts w:eastAsia="Calibri" w:cstheme="minorHAnsi"/>
                <w:sz w:val="20"/>
                <w:szCs w:val="20"/>
              </w:rPr>
            </w:pPr>
            <w:r w:rsidRPr="00EA4C9B">
              <w:rPr>
                <w:rFonts w:cstheme="minorHAnsi"/>
                <w:color w:val="000000"/>
                <w:sz w:val="20"/>
                <w:szCs w:val="20"/>
              </w:rPr>
              <w:t>1.0</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26AC92" w14:textId="77777777" w:rsidR="00664BE6" w:rsidRPr="00EA4C9B" w:rsidRDefault="00664BE6" w:rsidP="00296D79">
            <w:pPr>
              <w:spacing w:after="0"/>
              <w:jc w:val="center"/>
              <w:rPr>
                <w:rFonts w:eastAsia="Calibri" w:cstheme="minorHAnsi"/>
                <w:sz w:val="20"/>
                <w:szCs w:val="20"/>
              </w:rPr>
            </w:pPr>
            <w:r w:rsidRPr="00EA4C9B">
              <w:rPr>
                <w:rFonts w:cstheme="minorHAnsi"/>
                <w:color w:val="000000"/>
                <w:sz w:val="20"/>
                <w:szCs w:val="20"/>
              </w:rPr>
              <w:t>98.5%</w:t>
            </w:r>
          </w:p>
        </w:tc>
      </w:tr>
      <w:tr w:rsidR="00664BE6" w:rsidRPr="00EA4C9B" w14:paraId="02747005" w14:textId="77777777" w:rsidTr="00296D79">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4BE8E312" w14:textId="77777777" w:rsidR="00664BE6" w:rsidRPr="00EA4C9B" w:rsidRDefault="00664BE6" w:rsidP="00296D79">
            <w:pPr>
              <w:spacing w:after="0"/>
              <w:jc w:val="left"/>
              <w:rPr>
                <w:rFonts w:eastAsia="Calibri" w:cstheme="minorHAnsi"/>
                <w:sz w:val="20"/>
                <w:szCs w:val="20"/>
              </w:rPr>
            </w:pPr>
            <w:r w:rsidRPr="00EA4C9B">
              <w:rPr>
                <w:rFonts w:cstheme="minorHAnsi"/>
                <w:sz w:val="20"/>
                <w:szCs w:val="20"/>
              </w:rPr>
              <w:t>Waste Disposal at Sea</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5BFBD0" w14:textId="77777777" w:rsidR="00664BE6" w:rsidRPr="00EA4C9B" w:rsidRDefault="00664BE6" w:rsidP="00296D79">
            <w:pPr>
              <w:spacing w:after="0"/>
              <w:jc w:val="center"/>
              <w:rPr>
                <w:rFonts w:eastAsia="Calibri" w:cstheme="minorHAnsi"/>
                <w:sz w:val="20"/>
                <w:szCs w:val="20"/>
              </w:rPr>
            </w:pPr>
            <w:r w:rsidRPr="00EA4C9B">
              <w:rPr>
                <w:rFonts w:cstheme="minorHAnsi"/>
                <w:color w:val="000000"/>
                <w:sz w:val="20"/>
                <w:szCs w:val="20"/>
              </w:rPr>
              <w:t>0.031</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D81EF9" w14:textId="77777777" w:rsidR="00664BE6" w:rsidRPr="00EA4C9B" w:rsidRDefault="00664BE6" w:rsidP="00296D79">
            <w:pPr>
              <w:spacing w:after="0"/>
              <w:jc w:val="center"/>
              <w:rPr>
                <w:rFonts w:eastAsia="Calibri" w:cstheme="minorHAnsi"/>
                <w:sz w:val="20"/>
                <w:szCs w:val="20"/>
              </w:rPr>
            </w:pPr>
            <w:r w:rsidRPr="00EA4C9B">
              <w:rPr>
                <w:rFonts w:cstheme="minorHAnsi"/>
                <w:color w:val="000000"/>
                <w:sz w:val="20"/>
                <w:szCs w:val="20"/>
              </w:rPr>
              <w:t>0.015</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290A14" w14:textId="77777777" w:rsidR="00664BE6" w:rsidRPr="00EA4C9B" w:rsidRDefault="00664BE6" w:rsidP="00296D79">
            <w:pPr>
              <w:spacing w:after="0"/>
              <w:jc w:val="center"/>
              <w:rPr>
                <w:rFonts w:eastAsia="Calibri" w:cstheme="minorHAnsi"/>
                <w:sz w:val="20"/>
                <w:szCs w:val="20"/>
              </w:rPr>
            </w:pPr>
            <w:r w:rsidRPr="00EA4C9B">
              <w:rPr>
                <w:rFonts w:cstheme="minorHAnsi"/>
                <w:color w:val="000000"/>
                <w:sz w:val="20"/>
                <w:szCs w:val="20"/>
              </w:rPr>
              <w:t>1.5%</w:t>
            </w:r>
          </w:p>
        </w:tc>
      </w:tr>
    </w:tbl>
    <w:p w14:paraId="47FA1F9F" w14:textId="77777777" w:rsidR="00664BE6" w:rsidRPr="00EA4C9B" w:rsidRDefault="00664BE6" w:rsidP="00664BE6">
      <w:pPr>
        <w:spacing w:after="0"/>
        <w:rPr>
          <w:rFonts w:eastAsia="Calibr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41"/>
        <w:gridCol w:w="2241"/>
        <w:gridCol w:w="2241"/>
        <w:gridCol w:w="2241"/>
      </w:tblGrid>
      <w:tr w:rsidR="00664BE6" w:rsidRPr="00EA4C9B" w14:paraId="35C3741F" w14:textId="77777777">
        <w:trPr>
          <w:trHeight w:val="300"/>
        </w:trPr>
        <w:tc>
          <w:tcPr>
            <w:tcW w:w="8964" w:type="dxa"/>
            <w:gridSpan w:val="4"/>
            <w:tcBorders>
              <w:top w:val="single" w:sz="6" w:space="0" w:color="auto"/>
              <w:left w:val="single" w:sz="6" w:space="0" w:color="auto"/>
              <w:bottom w:val="single" w:sz="6" w:space="0" w:color="auto"/>
              <w:right w:val="single" w:sz="6" w:space="0" w:color="auto"/>
            </w:tcBorders>
            <w:shd w:val="clear" w:color="auto" w:fill="003399"/>
            <w:tcMar>
              <w:left w:w="105" w:type="dxa"/>
              <w:right w:w="105" w:type="dxa"/>
            </w:tcMar>
          </w:tcPr>
          <w:p w14:paraId="619BEC41" w14:textId="4CD20BA7" w:rsidR="00664BE6" w:rsidRPr="00EF279C" w:rsidRDefault="00664BE6" w:rsidP="00EF279C">
            <w:pPr>
              <w:pStyle w:val="Table"/>
              <w:rPr>
                <w:rFonts w:eastAsia="Calibri" w:cstheme="minorHAnsi"/>
                <w:b/>
                <w:color w:val="FFFFFF" w:themeColor="background1"/>
                <w:szCs w:val="20"/>
              </w:rPr>
            </w:pPr>
            <w:r w:rsidRPr="00EF279C">
              <w:rPr>
                <w:b/>
                <w:color w:val="FFFFFF" w:themeColor="background1"/>
              </w:rPr>
              <w:t xml:space="preserve">Table </w:t>
            </w:r>
            <w:r w:rsidR="00490085">
              <w:rPr>
                <w:b/>
                <w:color w:val="FFFFFF" w:themeColor="background1"/>
              </w:rPr>
              <w:t>A6</w:t>
            </w:r>
            <w:r w:rsidR="00EF279C" w:rsidRPr="00EF279C">
              <w:rPr>
                <w:b/>
                <w:bCs/>
                <w:color w:val="FFFFFF" w:themeColor="background1"/>
              </w:rPr>
              <w:t>-</w:t>
            </w:r>
            <w:r w:rsidR="00EF279C" w:rsidRPr="00EF279C">
              <w:rPr>
                <w:b/>
                <w:bCs/>
                <w:color w:val="FFFFFF" w:themeColor="background1"/>
              </w:rPr>
              <w:fldChar w:fldCharType="begin"/>
            </w:r>
            <w:r w:rsidR="00EF279C" w:rsidRPr="00EF279C">
              <w:rPr>
                <w:b/>
                <w:bCs/>
                <w:color w:val="FFFFFF" w:themeColor="background1"/>
              </w:rPr>
              <w:instrText xml:space="preserve"> SEQ Table_A5- \* ARABIC </w:instrText>
            </w:r>
            <w:r w:rsidR="00EF279C" w:rsidRPr="00EF279C">
              <w:rPr>
                <w:b/>
                <w:bCs/>
                <w:color w:val="FFFFFF" w:themeColor="background1"/>
              </w:rPr>
              <w:fldChar w:fldCharType="separate"/>
            </w:r>
            <w:r w:rsidR="00977562">
              <w:rPr>
                <w:b/>
                <w:bCs/>
                <w:noProof/>
                <w:color w:val="FFFFFF" w:themeColor="background1"/>
              </w:rPr>
              <w:t>94</w:t>
            </w:r>
            <w:r w:rsidR="00EF279C" w:rsidRPr="00EF279C">
              <w:rPr>
                <w:b/>
                <w:bCs/>
                <w:color w:val="FFFFFF" w:themeColor="background1"/>
              </w:rPr>
              <w:fldChar w:fldCharType="end"/>
            </w:r>
            <w:r w:rsidRPr="00EF279C">
              <w:rPr>
                <w:rFonts w:eastAsia="Calibri" w:cstheme="minorHAnsi"/>
                <w:b/>
                <w:color w:val="FFFFFF" w:themeColor="background1"/>
                <w:szCs w:val="20"/>
              </w:rPr>
              <w:t>:  Resource taxes </w:t>
            </w:r>
          </w:p>
        </w:tc>
      </w:tr>
      <w:tr w:rsidR="00664BE6" w:rsidRPr="00EA4C9B" w14:paraId="0A4FB1EC" w14:textId="77777777">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264AA26E" w14:textId="77777777" w:rsidR="00664BE6" w:rsidRPr="00EA4C9B" w:rsidRDefault="00664BE6" w:rsidP="00EF279C">
            <w:pPr>
              <w:pStyle w:val="Table"/>
              <w:rPr>
                <w:rFonts w:eastAsia="Calibri" w:cstheme="minorHAnsi"/>
                <w:szCs w:val="20"/>
              </w:rPr>
            </w:pPr>
            <w:r w:rsidRPr="00EA4C9B">
              <w:rPr>
                <w:rFonts w:eastAsia="Calibri" w:cstheme="minorHAnsi"/>
                <w:b/>
                <w:szCs w:val="20"/>
              </w:rPr>
              <w:t>Tax Name</w:t>
            </w:r>
            <w:r w:rsidRPr="00EA4C9B">
              <w:rPr>
                <w:rFonts w:eastAsia="Calibri" w:cstheme="minorHAnsi"/>
                <w:szCs w:val="20"/>
              </w:rPr>
              <w:t> </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18460F49" w14:textId="77777777" w:rsidR="00664BE6" w:rsidRPr="00EA4C9B" w:rsidRDefault="00664BE6" w:rsidP="00977562">
            <w:pPr>
              <w:pStyle w:val="Table"/>
              <w:jc w:val="center"/>
              <w:rPr>
                <w:rFonts w:eastAsia="Calibri" w:cstheme="minorHAnsi"/>
                <w:szCs w:val="20"/>
              </w:rPr>
            </w:pPr>
            <w:r w:rsidRPr="00EA4C9B">
              <w:rPr>
                <w:rFonts w:eastAsia="Calibri" w:cstheme="minorHAnsi"/>
                <w:b/>
                <w:szCs w:val="20"/>
              </w:rPr>
              <w:t>Revenue (€ million)</w:t>
            </w:r>
          </w:p>
          <w:p w14:paraId="52C51545" w14:textId="77777777" w:rsidR="00664BE6" w:rsidRPr="00EA4C9B" w:rsidRDefault="00664BE6" w:rsidP="00977562">
            <w:pPr>
              <w:pStyle w:val="Table"/>
              <w:jc w:val="center"/>
              <w:rPr>
                <w:rFonts w:eastAsia="Calibri" w:cstheme="minorHAnsi"/>
                <w:szCs w:val="20"/>
              </w:rPr>
            </w:pPr>
            <w:r w:rsidRPr="00EA4C9B">
              <w:rPr>
                <w:rFonts w:eastAsia="Calibri" w:cstheme="minorHAnsi"/>
                <w:b/>
                <w:szCs w:val="20"/>
              </w:rPr>
              <w:t>2009-2023</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6DCDE948" w14:textId="77777777" w:rsidR="00664BE6" w:rsidRPr="00EA4C9B" w:rsidRDefault="00664BE6" w:rsidP="00977562">
            <w:pPr>
              <w:pStyle w:val="Table"/>
              <w:jc w:val="center"/>
              <w:rPr>
                <w:rFonts w:eastAsia="Calibri" w:cstheme="minorHAnsi"/>
                <w:szCs w:val="20"/>
              </w:rPr>
            </w:pPr>
            <w:r w:rsidRPr="00EA4C9B">
              <w:rPr>
                <w:rFonts w:eastAsia="Calibri" w:cstheme="minorHAnsi"/>
                <w:b/>
                <w:szCs w:val="20"/>
              </w:rPr>
              <w:t>Average annual revenue (€ million)</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0F7B5A9B" w14:textId="77777777" w:rsidR="00664BE6" w:rsidRPr="00EA4C9B" w:rsidRDefault="00664BE6" w:rsidP="00977562">
            <w:pPr>
              <w:pStyle w:val="Table"/>
              <w:jc w:val="center"/>
              <w:rPr>
                <w:rFonts w:eastAsia="Calibri" w:cstheme="minorHAnsi"/>
                <w:szCs w:val="20"/>
              </w:rPr>
            </w:pPr>
            <w:r w:rsidRPr="00EA4C9B">
              <w:rPr>
                <w:rFonts w:eastAsia="Calibri" w:cstheme="minorHAnsi"/>
                <w:b/>
                <w:szCs w:val="20"/>
              </w:rPr>
              <w:t>As share of all resource tax revenues</w:t>
            </w:r>
          </w:p>
        </w:tc>
      </w:tr>
      <w:tr w:rsidR="00664BE6" w:rsidRPr="00EA4C9B" w14:paraId="76B3BD84" w14:textId="77777777" w:rsidTr="00296D79">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E695465" w14:textId="77777777" w:rsidR="00664BE6" w:rsidRPr="00EA4C9B" w:rsidRDefault="00664BE6" w:rsidP="00EF279C">
            <w:pPr>
              <w:pStyle w:val="Table"/>
              <w:rPr>
                <w:rFonts w:eastAsia="Calibri" w:cstheme="minorHAnsi"/>
                <w:szCs w:val="20"/>
              </w:rPr>
            </w:pPr>
            <w:r w:rsidRPr="00EA4C9B">
              <w:rPr>
                <w:rFonts w:cstheme="minorHAnsi"/>
                <w:szCs w:val="20"/>
              </w:rPr>
              <w:t>Fee on Caging Bluefin Tuna</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D7803C"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8.1</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5F3398" w14:textId="77777777" w:rsidR="00664BE6" w:rsidRPr="00EA4C9B" w:rsidRDefault="00664BE6" w:rsidP="00977562">
            <w:pPr>
              <w:pStyle w:val="Table"/>
              <w:jc w:val="center"/>
              <w:rPr>
                <w:rFonts w:eastAsia="Calibri" w:cstheme="minorHAnsi"/>
                <w:szCs w:val="20"/>
              </w:rPr>
            </w:pPr>
            <w:r w:rsidRPr="00EA4C9B">
              <w:rPr>
                <w:rFonts w:cstheme="minorHAnsi"/>
                <w:color w:val="000000"/>
                <w:szCs w:val="20"/>
              </w:rPr>
              <w:t>0.9</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4B3819" w14:textId="77777777" w:rsidR="00664BE6" w:rsidRPr="00EA4C9B" w:rsidRDefault="00664BE6" w:rsidP="00977562">
            <w:pPr>
              <w:pStyle w:val="Table"/>
              <w:jc w:val="center"/>
              <w:rPr>
                <w:rFonts w:eastAsia="Calibri" w:cstheme="minorHAnsi"/>
                <w:szCs w:val="20"/>
              </w:rPr>
            </w:pPr>
            <w:r w:rsidRPr="00EA4C9B">
              <w:rPr>
                <w:rFonts w:cstheme="minorHAnsi"/>
                <w:szCs w:val="20"/>
              </w:rPr>
              <w:t>100%</w:t>
            </w:r>
          </w:p>
        </w:tc>
      </w:tr>
    </w:tbl>
    <w:p w14:paraId="687A781F" w14:textId="77777777" w:rsidR="00664BE6" w:rsidRPr="00EA4C9B" w:rsidRDefault="00664BE6" w:rsidP="00664BE6">
      <w:pPr>
        <w:spacing w:after="0"/>
      </w:pPr>
      <w:r w:rsidRPr="00EA4C9B">
        <w:rPr>
          <w:rFonts w:ascii="Calibri" w:eastAsia="Calibri" w:hAnsi="Calibri" w:cs="Calibri"/>
          <w:color w:val="000000" w:themeColor="text1"/>
        </w:rPr>
        <w:t> </w:t>
      </w:r>
    </w:p>
    <w:p w14:paraId="3D5F312D" w14:textId="77777777" w:rsidR="00664BE6" w:rsidRPr="00EA4C9B" w:rsidRDefault="00664BE6" w:rsidP="00664BE6">
      <w:pPr>
        <w:rPr>
          <w:lang w:eastAsia="en-GB"/>
        </w:rPr>
      </w:pPr>
      <w:r w:rsidRPr="00EA4C9B">
        <w:rPr>
          <w:lang w:eastAsia="en-GB"/>
        </w:rPr>
        <w:t xml:space="preserve">It should be noted that overall, there is little data available on the effects of environmental taxes in Malta and their contribution to the achievement of environmental goals. General information on specific instruments is below. </w:t>
      </w:r>
    </w:p>
    <w:p w14:paraId="07EE651E" w14:textId="2601A0B5" w:rsidR="00664BE6" w:rsidRPr="00EA4C9B" w:rsidRDefault="00664BE6" w:rsidP="00664BE6">
      <w:pPr>
        <w:rPr>
          <w:lang w:eastAsia="en-GB"/>
        </w:rPr>
      </w:pPr>
      <w:r w:rsidRPr="00EA4C9B">
        <w:rPr>
          <w:lang w:eastAsia="en-GB"/>
        </w:rPr>
        <w:lastRenderedPageBreak/>
        <w:t xml:space="preserve">The </w:t>
      </w:r>
      <w:r w:rsidRPr="00EA4C9B">
        <w:rPr>
          <w:b/>
          <w:bCs/>
          <w:lang w:eastAsia="en-GB"/>
        </w:rPr>
        <w:t>Eco-contribution</w:t>
      </w:r>
      <w:r w:rsidRPr="00EA4C9B">
        <w:rPr>
          <w:lang w:eastAsia="en-GB"/>
        </w:rPr>
        <w:t xml:space="preserve"> was introduced in 2004 and paid by producers or importers for products placed on the market that result in waste</w:t>
      </w:r>
      <w:bookmarkStart w:id="257" w:name="_Ref197611129"/>
      <w:r w:rsidRPr="00EA4C9B">
        <w:rPr>
          <w:rStyle w:val="FootnoteReference"/>
          <w:lang w:eastAsia="en-GB"/>
        </w:rPr>
        <w:footnoteReference w:id="561"/>
      </w:r>
      <w:bookmarkEnd w:id="257"/>
      <w:r w:rsidRPr="00EA4C9B">
        <w:rPr>
          <w:vertAlign w:val="superscript"/>
          <w:lang w:eastAsia="en-GB"/>
        </w:rPr>
        <w:t xml:space="preserve"> </w:t>
      </w:r>
      <w:r w:rsidRPr="00EA4C9B">
        <w:rPr>
          <w:lang w:eastAsia="en-GB"/>
        </w:rPr>
        <w:t>(introduced via the Eco-contribution Act, 2004). The list of products for which a tax was charged, and the rates were listed in the First Schedule to the ECO Contribution Act. Included products included bottles and beverage containers, toiletries and washing preparations, disposable tableware and kitchenware of plastics, plastic packaging, gum, tyres, batteries, certain electronic equipment etc</w:t>
      </w:r>
      <w:r w:rsidRPr="00EA4C9B">
        <w:rPr>
          <w:rStyle w:val="FootnoteReference"/>
          <w:lang w:eastAsia="en-GB"/>
        </w:rPr>
        <w:footnoteReference w:id="562"/>
      </w:r>
      <w:r w:rsidRPr="00EA4C9B">
        <w:rPr>
          <w:lang w:eastAsia="en-GB"/>
        </w:rPr>
        <w:t>. If a producer participated in a waste recovery scheme, they could get an exemption or a credit from the Ministry responsible for waste management</w:t>
      </w:r>
      <w:r w:rsidRPr="00EA4C9B">
        <w:rPr>
          <w:vertAlign w:val="superscript"/>
          <w:lang w:eastAsia="en-GB"/>
        </w:rPr>
        <w:fldChar w:fldCharType="begin"/>
      </w:r>
      <w:r w:rsidRPr="00EA4C9B">
        <w:rPr>
          <w:vertAlign w:val="superscript"/>
          <w:lang w:eastAsia="en-GB"/>
        </w:rPr>
        <w:instrText xml:space="preserve"> NOTEREF _Ref197611129 \h  \* MERGEFORMAT </w:instrText>
      </w:r>
      <w:r w:rsidRPr="00EA4C9B">
        <w:rPr>
          <w:vertAlign w:val="superscript"/>
          <w:lang w:eastAsia="en-GB"/>
        </w:rPr>
      </w:r>
      <w:r w:rsidRPr="00EA4C9B">
        <w:rPr>
          <w:vertAlign w:val="superscript"/>
          <w:lang w:eastAsia="en-GB"/>
        </w:rPr>
        <w:fldChar w:fldCharType="separate"/>
      </w:r>
      <w:r w:rsidR="0068700D">
        <w:rPr>
          <w:vertAlign w:val="superscript"/>
          <w:lang w:eastAsia="en-GB"/>
        </w:rPr>
        <w:t>678</w:t>
      </w:r>
      <w:r w:rsidRPr="00EA4C9B">
        <w:rPr>
          <w:vertAlign w:val="superscript"/>
          <w:lang w:eastAsia="en-GB"/>
        </w:rPr>
        <w:fldChar w:fldCharType="end"/>
      </w:r>
      <w:r w:rsidRPr="00EA4C9B">
        <w:rPr>
          <w:lang w:eastAsia="en-GB"/>
        </w:rPr>
        <w:t>. Revenues were used for local infrastructure and projects that help improve the quality of the local environment</w:t>
      </w:r>
      <w:bookmarkStart w:id="258" w:name="_Ref196757399"/>
      <w:r w:rsidRPr="00EA4C9B">
        <w:rPr>
          <w:rStyle w:val="FootnoteReference"/>
          <w:lang w:eastAsia="en-GB"/>
        </w:rPr>
        <w:footnoteReference w:id="563"/>
      </w:r>
      <w:bookmarkEnd w:id="258"/>
      <w:r w:rsidRPr="00EA4C9B">
        <w:rPr>
          <w:lang w:eastAsia="en-GB"/>
        </w:rPr>
        <w:t>. However, Malta has gradually phased out eco-contribution for nearly all products that were within the scope of regulation. First, this was done because eco-contribution has been criticised, accused of being a measure to raise revenue, rather than protection of the environment. Some businesses claimed eco-contribution was also inefficient in achieving environmental goals</w:t>
      </w:r>
      <w:r w:rsidRPr="00EA4C9B">
        <w:rPr>
          <w:rStyle w:val="FootnoteReference"/>
          <w:lang w:eastAsia="en-GB"/>
        </w:rPr>
        <w:footnoteReference w:id="564"/>
      </w:r>
      <w:r w:rsidRPr="00EA4C9B">
        <w:rPr>
          <w:lang w:eastAsia="en-GB"/>
        </w:rPr>
        <w:t>. There were also ways of evading paying the tax</w:t>
      </w:r>
      <w:r w:rsidRPr="00EA4C9B">
        <w:rPr>
          <w:rStyle w:val="FootnoteReference"/>
          <w:lang w:eastAsia="en-GB"/>
        </w:rPr>
        <w:footnoteReference w:id="565"/>
      </w:r>
      <w:r w:rsidRPr="00EA4C9B">
        <w:rPr>
          <w:lang w:eastAsia="en-GB"/>
        </w:rPr>
        <w:t>. Second, it was replaced to align national laws with the EU directives – e.g. WEEE Directive 2002/96/EC</w:t>
      </w:r>
      <w:r w:rsidRPr="00EA4C9B">
        <w:rPr>
          <w:rStyle w:val="FootnoteReference"/>
          <w:lang w:eastAsia="en-GB"/>
        </w:rPr>
        <w:footnoteReference w:id="566"/>
      </w:r>
      <w:r w:rsidRPr="00EA4C9B">
        <w:rPr>
          <w:lang w:eastAsia="en-GB"/>
        </w:rPr>
        <w:t>. For most products it was substituted with an excise duty – such as personal hygiene and beauty products, for others it has been just removed – e.g. detergent and disinfectant products</w:t>
      </w:r>
      <w:r w:rsidRPr="00EA4C9B">
        <w:rPr>
          <w:rStyle w:val="FootnoteReference"/>
          <w:lang w:eastAsia="en-GB"/>
        </w:rPr>
        <w:footnoteReference w:id="567"/>
      </w:r>
      <w:r w:rsidRPr="00EA4C9B">
        <w:rPr>
          <w:lang w:eastAsia="en-GB"/>
        </w:rPr>
        <w:t>. The only eco-contribution left now relates to overnight accommodation. Its revenues are spent to improve local infrastructure</w:t>
      </w:r>
      <w:r w:rsidRPr="00EA4C9B">
        <w:rPr>
          <w:rStyle w:val="FootnoteReference"/>
          <w:lang w:eastAsia="en-GB"/>
        </w:rPr>
        <w:footnoteReference w:id="568"/>
      </w:r>
      <w:r w:rsidRPr="00EA4C9B">
        <w:rPr>
          <w:lang w:eastAsia="en-GB"/>
        </w:rPr>
        <w:t xml:space="preserve">. Hence, tax revenues have been declining over the years. Total tax revenues in the period 2009-2023 amounted to €64.6 million, with an annual average </w:t>
      </w:r>
      <w:r w:rsidR="003D1EB3">
        <w:rPr>
          <w:lang w:eastAsia="en-GB"/>
        </w:rPr>
        <w:t>of</w:t>
      </w:r>
      <w:r w:rsidR="003D1EB3" w:rsidRPr="00EA4C9B">
        <w:rPr>
          <w:lang w:eastAsia="en-GB"/>
        </w:rPr>
        <w:t xml:space="preserve"> </w:t>
      </w:r>
      <w:r w:rsidRPr="00EA4C9B">
        <w:rPr>
          <w:lang w:eastAsia="en-GB"/>
        </w:rPr>
        <w:t>€4.3 million. In 2023, revenues amounted to €0.01 million</w:t>
      </w:r>
      <w:r w:rsidRPr="00EA4C9B">
        <w:rPr>
          <w:rStyle w:val="FootnoteReference"/>
          <w:lang w:eastAsia="en-GB"/>
        </w:rPr>
        <w:footnoteReference w:id="569"/>
      </w:r>
      <w:r w:rsidRPr="00EA4C9B">
        <w:rPr>
          <w:lang w:eastAsia="en-GB"/>
        </w:rPr>
        <w:t>.</w:t>
      </w:r>
    </w:p>
    <w:p w14:paraId="114005AD" w14:textId="7A2BA30E" w:rsidR="00664BE6" w:rsidRPr="00EA4C9B" w:rsidRDefault="00664BE6" w:rsidP="00664BE6">
      <w:pPr>
        <w:rPr>
          <w:lang w:eastAsia="en-GB"/>
        </w:rPr>
      </w:pPr>
      <w:r w:rsidRPr="00EA4C9B">
        <w:rPr>
          <w:lang w:eastAsia="en-GB"/>
        </w:rPr>
        <w:t xml:space="preserve">An </w:t>
      </w:r>
      <w:r w:rsidRPr="00EA4C9B">
        <w:rPr>
          <w:b/>
          <w:bCs/>
          <w:lang w:eastAsia="en-GB"/>
        </w:rPr>
        <w:t>excise levy on cement</w:t>
      </w:r>
      <w:r w:rsidRPr="00EA4C9B">
        <w:rPr>
          <w:lang w:eastAsia="en-GB"/>
        </w:rPr>
        <w:t xml:space="preserve"> entered into force in 2011, was originally </w:t>
      </w:r>
      <w:r w:rsidRPr="0DB99A64">
        <w:rPr>
          <w:rFonts w:eastAsia="Calibri"/>
          <w:sz w:val="20"/>
          <w:szCs w:val="20"/>
        </w:rPr>
        <w:t>€</w:t>
      </w:r>
      <w:r w:rsidRPr="00EA4C9B">
        <w:rPr>
          <w:lang w:eastAsia="en-GB"/>
        </w:rPr>
        <w:t>9 per tonne</w:t>
      </w:r>
      <w:r w:rsidRPr="00EA4C9B">
        <w:rPr>
          <w:rStyle w:val="FootnoteReference"/>
          <w:lang w:eastAsia="en-GB"/>
        </w:rPr>
        <w:footnoteReference w:id="570"/>
      </w:r>
      <w:r w:rsidRPr="00EA4C9B">
        <w:rPr>
          <w:lang w:eastAsia="en-GB"/>
        </w:rPr>
        <w:t xml:space="preserve"> </w:t>
      </w:r>
      <w:bookmarkStart w:id="259" w:name="_Ref196913773"/>
      <w:r w:rsidRPr="00EA4C9B">
        <w:rPr>
          <w:rStyle w:val="FootnoteReference"/>
          <w:lang w:eastAsia="en-GB"/>
        </w:rPr>
        <w:footnoteReference w:id="571"/>
      </w:r>
      <w:bookmarkEnd w:id="259"/>
      <w:r w:rsidRPr="00EA4C9B">
        <w:rPr>
          <w:lang w:eastAsia="en-GB"/>
        </w:rPr>
        <w:t xml:space="preserve">  and is now </w:t>
      </w:r>
      <w:r w:rsidRPr="0DB99A64">
        <w:rPr>
          <w:rFonts w:eastAsia="Calibri"/>
          <w:sz w:val="20"/>
          <w:szCs w:val="20"/>
        </w:rPr>
        <w:t>€</w:t>
      </w:r>
      <w:r w:rsidRPr="00EA4C9B">
        <w:rPr>
          <w:lang w:eastAsia="en-GB"/>
        </w:rPr>
        <w:t>40 per tonne (after several intermittent increases). It is paid by importers</w:t>
      </w:r>
      <w:bookmarkStart w:id="260" w:name="_Ref196822165"/>
      <w:r w:rsidRPr="00EA4C9B">
        <w:rPr>
          <w:rStyle w:val="FootnoteReference"/>
          <w:lang w:eastAsia="en-GB"/>
        </w:rPr>
        <w:footnoteReference w:id="572"/>
      </w:r>
      <w:bookmarkEnd w:id="260"/>
      <w:r w:rsidRPr="00EA4C9B">
        <w:rPr>
          <w:lang w:eastAsia="en-GB"/>
        </w:rPr>
        <w:t xml:space="preserve"> and introduced through an amendment to the Excise Duty Act (Chapter 382) to implement the Polluter Pays principle and improve the environment. Whilst the stated motivation was environmental concerns, some critics argue it was done to raise higher tax revenues. When the increase in tax was announced, it was not expected to incentivise lower consumption of cement as it was not substantial enough</w:t>
      </w:r>
      <w:r w:rsidRPr="00EA4C9B">
        <w:rPr>
          <w:vertAlign w:val="superscript"/>
          <w:lang w:eastAsia="en-GB"/>
        </w:rPr>
        <w:fldChar w:fldCharType="begin"/>
      </w:r>
      <w:r w:rsidRPr="00EA4C9B">
        <w:rPr>
          <w:vertAlign w:val="superscript"/>
          <w:lang w:eastAsia="en-GB"/>
        </w:rPr>
        <w:instrText xml:space="preserve"> NOTEREF _Ref196822165 \h  \* MERGEFORMAT </w:instrText>
      </w:r>
      <w:r w:rsidRPr="00EA4C9B">
        <w:rPr>
          <w:vertAlign w:val="superscript"/>
          <w:lang w:eastAsia="en-GB"/>
        </w:rPr>
      </w:r>
      <w:r w:rsidRPr="00EA4C9B">
        <w:rPr>
          <w:vertAlign w:val="superscript"/>
          <w:lang w:eastAsia="en-GB"/>
        </w:rPr>
        <w:fldChar w:fldCharType="separate"/>
      </w:r>
      <w:r w:rsidR="0068700D">
        <w:rPr>
          <w:vertAlign w:val="superscript"/>
          <w:lang w:eastAsia="en-GB"/>
        </w:rPr>
        <w:t>689</w:t>
      </w:r>
      <w:r w:rsidRPr="00EA4C9B">
        <w:rPr>
          <w:vertAlign w:val="superscript"/>
          <w:lang w:eastAsia="en-GB"/>
        </w:rPr>
        <w:fldChar w:fldCharType="end"/>
      </w:r>
      <w:r w:rsidRPr="00EA4C9B">
        <w:rPr>
          <w:lang w:eastAsia="en-GB"/>
        </w:rPr>
        <w:t xml:space="preserve">. Based on the trade data, imports of cement products (HS 6810) </w:t>
      </w:r>
      <w:r w:rsidR="007E4F1A">
        <w:rPr>
          <w:lang w:eastAsia="en-GB"/>
        </w:rPr>
        <w:t xml:space="preserve">between 2011 and 2023 </w:t>
      </w:r>
      <w:r w:rsidRPr="00EA4C9B">
        <w:rPr>
          <w:lang w:eastAsia="en-GB"/>
        </w:rPr>
        <w:t xml:space="preserve">have </w:t>
      </w:r>
      <w:r w:rsidR="00B26DBC">
        <w:rPr>
          <w:lang w:eastAsia="en-GB"/>
        </w:rPr>
        <w:t xml:space="preserve">tripled in value </w:t>
      </w:r>
      <w:r w:rsidR="007E4F1A">
        <w:rPr>
          <w:lang w:eastAsia="en-GB"/>
        </w:rPr>
        <w:t>and doubled in volume</w:t>
      </w:r>
      <w:r w:rsidRPr="00EA4C9B">
        <w:rPr>
          <w:rStyle w:val="FootnoteReference"/>
          <w:lang w:eastAsia="en-GB"/>
        </w:rPr>
        <w:footnoteReference w:id="573"/>
      </w:r>
      <w:r w:rsidRPr="00EA4C9B">
        <w:rPr>
          <w:lang w:eastAsia="en-GB"/>
        </w:rPr>
        <w:t xml:space="preserve">. </w:t>
      </w:r>
      <w:r w:rsidR="005926CC">
        <w:rPr>
          <w:lang w:eastAsia="en-GB"/>
        </w:rPr>
        <w:t>N</w:t>
      </w:r>
      <w:r w:rsidR="005926CC" w:rsidRPr="005926CC">
        <w:rPr>
          <w:lang w:eastAsia="en-GB"/>
        </w:rPr>
        <w:t>o evidence has been identified regarding the environmental benefits of the duty. There is also no indication that the tax proceeds have been channelled towards reducing pollution or waste levels.</w:t>
      </w:r>
      <w:r w:rsidR="005926CC">
        <w:rPr>
          <w:lang w:eastAsia="en-GB"/>
        </w:rPr>
        <w:t xml:space="preserve"> </w:t>
      </w:r>
      <w:r w:rsidRPr="00EA4C9B">
        <w:rPr>
          <w:lang w:eastAsia="en-GB"/>
        </w:rPr>
        <w:t xml:space="preserve">Total tax revenues in the period 2010-2023 amounted to €174 million, with an annual average of €12.4 million. Revenues have increased from 2.8 million in 2011 to 18.7 million in 2023. </w:t>
      </w:r>
    </w:p>
    <w:p w14:paraId="3C0A6384" w14:textId="72B75A22" w:rsidR="00664BE6" w:rsidRPr="00EA4C9B" w:rsidRDefault="00664BE6" w:rsidP="00664BE6">
      <w:pPr>
        <w:rPr>
          <w:lang w:eastAsia="en-GB"/>
        </w:rPr>
      </w:pPr>
      <w:r w:rsidRPr="606E24A0">
        <w:rPr>
          <w:b/>
          <w:bCs/>
        </w:rPr>
        <w:lastRenderedPageBreak/>
        <w:t>Excise duties on pneumatic tyres</w:t>
      </w:r>
      <w:r w:rsidRPr="0DB99A64">
        <w:t xml:space="preserve"> are charged on the products transferred to Malta and paid by producers, importers or warehouse keepers. It was introduced </w:t>
      </w:r>
      <w:r w:rsidRPr="00EA4C9B">
        <w:rPr>
          <w:lang w:eastAsia="en-GB"/>
        </w:rPr>
        <w:t>through an amendment to the Excise Duty Act</w:t>
      </w:r>
      <w:r w:rsidRPr="0DB99A64">
        <w:rPr>
          <w:vertAlign w:val="superscript"/>
        </w:rPr>
        <w:fldChar w:fldCharType="begin"/>
      </w:r>
      <w:r w:rsidRPr="00EA4C9B">
        <w:rPr>
          <w:vertAlign w:val="superscript"/>
          <w:lang w:eastAsia="en-GB"/>
        </w:rPr>
        <w:instrText xml:space="preserve"> NOTEREF _Ref196822165 \h </w:instrText>
      </w:r>
      <w:r w:rsidRPr="0DB99A64">
        <w:rPr>
          <w:vertAlign w:val="superscript"/>
        </w:rPr>
        <w:instrText xml:space="preserve"> \* MERGEFORMAT </w:instrText>
      </w:r>
      <w:r w:rsidRPr="0DB99A64">
        <w:rPr>
          <w:vertAlign w:val="superscript"/>
        </w:rPr>
      </w:r>
      <w:r w:rsidRPr="0DB99A64">
        <w:rPr>
          <w:vertAlign w:val="superscript"/>
        </w:rPr>
        <w:fldChar w:fldCharType="separate"/>
      </w:r>
      <w:r w:rsidR="0068700D">
        <w:rPr>
          <w:vertAlign w:val="superscript"/>
          <w:lang w:eastAsia="en-GB"/>
        </w:rPr>
        <w:t>689</w:t>
      </w:r>
      <w:r w:rsidRPr="0DB99A64">
        <w:rPr>
          <w:vertAlign w:val="superscript"/>
        </w:rPr>
        <w:fldChar w:fldCharType="end"/>
      </w:r>
      <w:r w:rsidRPr="0DB99A64">
        <w:t>. The excise duty applies to new pneumatic tyres made of rubber, with rates set at €0.70 per kilogram, capped at a maximum of €24.50 per tyre, depending on the type and classification under the Harmonised System (HS) codes. Notably, bicycle tyres (HS Code 4011.50) are exempt from this excise duty</w:t>
      </w:r>
      <w:r w:rsidRPr="0DB99A64">
        <w:rPr>
          <w:vertAlign w:val="superscript"/>
        </w:rPr>
        <w:fldChar w:fldCharType="begin"/>
      </w:r>
      <w:r w:rsidRPr="00EA4C9B">
        <w:rPr>
          <w:vertAlign w:val="superscript"/>
          <w:lang w:eastAsia="en-GB"/>
        </w:rPr>
        <w:instrText xml:space="preserve"> NOTEREF _Ref196822165 \h </w:instrText>
      </w:r>
      <w:r w:rsidRPr="0DB99A64">
        <w:rPr>
          <w:vertAlign w:val="superscript"/>
        </w:rPr>
        <w:instrText xml:space="preserve"> \* MERGEFORMAT </w:instrText>
      </w:r>
      <w:r w:rsidRPr="0DB99A64">
        <w:rPr>
          <w:vertAlign w:val="superscript"/>
        </w:rPr>
      </w:r>
      <w:r w:rsidRPr="0DB99A64">
        <w:rPr>
          <w:vertAlign w:val="superscript"/>
        </w:rPr>
        <w:fldChar w:fldCharType="separate"/>
      </w:r>
      <w:r w:rsidR="0068700D">
        <w:rPr>
          <w:vertAlign w:val="superscript"/>
          <w:lang w:eastAsia="en-GB"/>
        </w:rPr>
        <w:t>689</w:t>
      </w:r>
      <w:r w:rsidRPr="0DB99A64">
        <w:rPr>
          <w:vertAlign w:val="superscript"/>
        </w:rPr>
        <w:fldChar w:fldCharType="end"/>
      </w:r>
      <w:r w:rsidRPr="0DB99A64">
        <w:t>. The duty was meant to substitute eco-contribution for tyres</w:t>
      </w:r>
      <w:r w:rsidRPr="0DB99A64">
        <w:rPr>
          <w:rStyle w:val="FootnoteReference"/>
        </w:rPr>
        <w:footnoteReference w:id="574"/>
      </w:r>
      <w:r w:rsidRPr="0DB99A64">
        <w:t xml:space="preserve">. </w:t>
      </w:r>
      <w:r w:rsidR="00946931" w:rsidRPr="00946931">
        <w:t>No evidence was identified regarding the environmental benefits of the duty. There is likewise no indication that the tax proceeds have been directed towards reducing pollution or waste levels.</w:t>
      </w:r>
      <w:r w:rsidR="005926CC">
        <w:t xml:space="preserve"> </w:t>
      </w:r>
      <w:r w:rsidRPr="00EA4C9B">
        <w:rPr>
          <w:lang w:eastAsia="en-GB"/>
        </w:rPr>
        <w:t xml:space="preserve">Total tax revenues in the period 2015-2023 amounted to €13.6 million, with an annual average </w:t>
      </w:r>
      <w:r w:rsidR="005926CC">
        <w:rPr>
          <w:lang w:eastAsia="en-GB"/>
        </w:rPr>
        <w:t>of</w:t>
      </w:r>
      <w:r w:rsidR="005926CC" w:rsidRPr="00EA4C9B">
        <w:rPr>
          <w:lang w:eastAsia="en-GB"/>
        </w:rPr>
        <w:t xml:space="preserve"> </w:t>
      </w:r>
      <w:r w:rsidRPr="00EA4C9B">
        <w:rPr>
          <w:lang w:eastAsia="en-GB"/>
        </w:rPr>
        <w:t xml:space="preserve">€1.5 million. Revenues have slightly increased from 1.3 million in 2015 to 1.8 million in 2023. </w:t>
      </w:r>
    </w:p>
    <w:p w14:paraId="7B2D29C6" w14:textId="19B2A4B8" w:rsidR="00664BE6" w:rsidRPr="00EA4C9B" w:rsidRDefault="00664BE6" w:rsidP="606E24A0">
      <w:r w:rsidRPr="606E24A0">
        <w:rPr>
          <w:b/>
          <w:bCs/>
        </w:rPr>
        <w:t>Excise duty on ammunition cartridges</w:t>
      </w:r>
      <w:r w:rsidRPr="0DB99A64">
        <w:t xml:space="preserve"> was introduced in 2015 to replace the eco-contribution. The excise duty is set at €70 per tonne for cartridges and other ammunition, including projectiles and parts thereof (classified under HS Codes 9306 21, 9306 29, 9306 30, and 9306 90). Shotgun cartridges not exceeding 24 grams per cartridge have been excluded from this tax</w:t>
      </w:r>
      <w:r w:rsidRPr="0DB99A64">
        <w:rPr>
          <w:rStyle w:val="FootnoteReference"/>
        </w:rPr>
        <w:footnoteReference w:id="575"/>
      </w:r>
      <w:r w:rsidR="0058357C">
        <w:rPr>
          <w:vertAlign w:val="superscript"/>
        </w:rPr>
        <w:t>,</w:t>
      </w:r>
      <w:r w:rsidRPr="0DB99A64">
        <w:rPr>
          <w:rStyle w:val="FootnoteReference"/>
        </w:rPr>
        <w:footnoteReference w:id="576"/>
      </w:r>
      <w:r w:rsidRPr="0DB99A64">
        <w:t xml:space="preserve">. </w:t>
      </w:r>
      <w:r w:rsidR="0058357C" w:rsidRPr="0058357C">
        <w:t>No evidence has been identified regarding the environmental benefits of the duty. There is also no indication that the tax proceeds have been earmarked for reducing pollution or waste levels.</w:t>
      </w:r>
      <w:r w:rsidR="005926CC">
        <w:t xml:space="preserve"> </w:t>
      </w:r>
      <w:r w:rsidRPr="606E24A0">
        <w:t xml:space="preserve">Total tax revenues in the period 2015-2023 amounted to €0.1 million, with an annual average </w:t>
      </w:r>
      <w:r w:rsidR="005926CC">
        <w:t>of</w:t>
      </w:r>
      <w:r w:rsidR="005926CC" w:rsidRPr="606E24A0">
        <w:t xml:space="preserve"> </w:t>
      </w:r>
      <w:r w:rsidRPr="606E24A0">
        <w:t xml:space="preserve">€0.009 million. </w:t>
      </w:r>
    </w:p>
    <w:p w14:paraId="75AC01E3" w14:textId="3B0223AE" w:rsidR="00664BE6" w:rsidRPr="00EA4C9B" w:rsidRDefault="00664BE6" w:rsidP="00664BE6">
      <w:pPr>
        <w:rPr>
          <w:rFonts w:cstheme="minorHAnsi"/>
        </w:rPr>
      </w:pPr>
      <w:r w:rsidRPr="0DB99A64">
        <w:t>An</w:t>
      </w:r>
      <w:r w:rsidRPr="606E24A0">
        <w:rPr>
          <w:b/>
          <w:bCs/>
        </w:rPr>
        <w:t xml:space="preserve"> excise duty on chewing gum</w:t>
      </w:r>
      <w:r w:rsidRPr="0DB99A64">
        <w:t xml:space="preserve"> entered into force in 2015 through an amendment to the Excise Duty substituting eco-contribution. The duty is €9 per kg of product</w:t>
      </w:r>
      <w:r w:rsidRPr="0DB99A64">
        <w:rPr>
          <w:rStyle w:val="FootnoteReference"/>
        </w:rPr>
        <w:footnoteReference w:id="577"/>
      </w:r>
      <w:r w:rsidRPr="0DB99A64">
        <w:t>. It is charged on sales of products either when they are imported into Malta and directly released there, or within 90 days from the date of release for consumption from a warehouse</w:t>
      </w:r>
      <w:bookmarkStart w:id="261" w:name="_Ref196909519"/>
      <w:r w:rsidRPr="0DB99A64">
        <w:rPr>
          <w:rStyle w:val="FootnoteReference"/>
        </w:rPr>
        <w:footnoteReference w:id="578"/>
      </w:r>
      <w:bookmarkEnd w:id="261"/>
      <w:r w:rsidRPr="0DB99A64">
        <w:t>. While the main rationale for introducing the tax was stated to address environmental pollution, it was also increased to cover the costs of cleaning up public areas of gum incurred by the government</w:t>
      </w:r>
      <w:r w:rsidRPr="0DB99A64">
        <w:rPr>
          <w:rStyle w:val="FootnoteReference"/>
        </w:rPr>
        <w:footnoteReference w:id="579"/>
      </w:r>
      <w:r w:rsidRPr="0DB99A64">
        <w:t>. In this case, the duty may be closer to a fee than to a tax, since it is requited</w:t>
      </w:r>
      <w:r w:rsidR="00716BC7">
        <w:t>:</w:t>
      </w:r>
      <w:r w:rsidRPr="0DB99A64">
        <w:t xml:space="preserve"> the government provides cleaning services in return for a payment. </w:t>
      </w:r>
      <w:r w:rsidRPr="00EA4C9B">
        <w:rPr>
          <w:rFonts w:cstheme="minorHAnsi"/>
        </w:rPr>
        <w:t xml:space="preserve">Total tax revenues in the period 2015-2023 amounted to €4.7 million, with an annual average </w:t>
      </w:r>
      <w:r w:rsidR="00716BC7">
        <w:rPr>
          <w:rFonts w:cstheme="minorHAnsi"/>
        </w:rPr>
        <w:t>of</w:t>
      </w:r>
      <w:r w:rsidR="00716BC7" w:rsidRPr="00EA4C9B">
        <w:rPr>
          <w:rFonts w:cstheme="minorHAnsi"/>
        </w:rPr>
        <w:t xml:space="preserve"> </w:t>
      </w:r>
      <w:r w:rsidRPr="00EA4C9B">
        <w:rPr>
          <w:rFonts w:cstheme="minorHAnsi"/>
        </w:rPr>
        <w:t xml:space="preserve">€0.5 million.  </w:t>
      </w:r>
    </w:p>
    <w:p w14:paraId="130A6C69" w14:textId="6C7A05BA" w:rsidR="00664BE6" w:rsidRPr="00EA4C9B" w:rsidRDefault="00664BE6" w:rsidP="00664BE6">
      <w:pPr>
        <w:rPr>
          <w:rFonts w:cstheme="minorHAnsi"/>
        </w:rPr>
      </w:pPr>
      <w:r w:rsidRPr="0DB99A64">
        <w:t>An</w:t>
      </w:r>
      <w:r w:rsidRPr="606E24A0">
        <w:rPr>
          <w:b/>
          <w:bCs/>
        </w:rPr>
        <w:t xml:space="preserve"> excise duty on bottled water </w:t>
      </w:r>
      <w:r w:rsidRPr="0DB99A64">
        <w:t>entered into force in 2015 through an amendment to the Excise Duty substituting eco-contribution. It amounts to €5 per 1,000 litres</w:t>
      </w:r>
      <w:r w:rsidRPr="0DB99A64">
        <w:rPr>
          <w:vertAlign w:val="superscript"/>
        </w:rPr>
        <w:fldChar w:fldCharType="begin"/>
      </w:r>
      <w:r w:rsidRPr="0DB99A64">
        <w:rPr>
          <w:vertAlign w:val="superscript"/>
        </w:rPr>
        <w:instrText xml:space="preserve"> NOTEREF _Ref196822165 \h  \* MERGEFORMAT </w:instrText>
      </w:r>
      <w:r w:rsidRPr="0DB99A64">
        <w:rPr>
          <w:vertAlign w:val="superscript"/>
        </w:rPr>
      </w:r>
      <w:r w:rsidRPr="0DB99A64">
        <w:rPr>
          <w:vertAlign w:val="superscript"/>
        </w:rPr>
        <w:fldChar w:fldCharType="separate"/>
      </w:r>
      <w:r w:rsidR="0068700D">
        <w:rPr>
          <w:vertAlign w:val="superscript"/>
        </w:rPr>
        <w:t>689</w:t>
      </w:r>
      <w:r w:rsidRPr="0DB99A64">
        <w:rPr>
          <w:vertAlign w:val="superscript"/>
        </w:rPr>
        <w:fldChar w:fldCharType="end"/>
      </w:r>
      <w:r w:rsidRPr="0DB99A64">
        <w:rPr>
          <w:vertAlign w:val="superscript"/>
        </w:rPr>
        <w:fldChar w:fldCharType="begin"/>
      </w:r>
      <w:r w:rsidRPr="0DB99A64">
        <w:rPr>
          <w:vertAlign w:val="superscript"/>
        </w:rPr>
        <w:instrText xml:space="preserve"> NOTEREF _Ref196822165 \h  \* MERGEFORMAT </w:instrText>
      </w:r>
      <w:r w:rsidRPr="0DB99A64">
        <w:rPr>
          <w:vertAlign w:val="superscript"/>
        </w:rPr>
      </w:r>
      <w:r w:rsidRPr="0DB99A64">
        <w:rPr>
          <w:vertAlign w:val="superscript"/>
        </w:rPr>
        <w:fldChar w:fldCharType="separate"/>
      </w:r>
      <w:r w:rsidR="0068700D">
        <w:rPr>
          <w:vertAlign w:val="superscript"/>
        </w:rPr>
        <w:t>689</w:t>
      </w:r>
      <w:r w:rsidRPr="0DB99A64">
        <w:rPr>
          <w:vertAlign w:val="superscript"/>
        </w:rPr>
        <w:fldChar w:fldCharType="end"/>
      </w:r>
      <w:r w:rsidRPr="0DB99A64">
        <w:t>. The duty is charged for imports and is paid by producers, importers or warehouse keepers. It is charged on sales of products either when they are imported into Malta and directly released there, or within 90 days from the date of release for consumption from a warehouse</w:t>
      </w:r>
      <w:r w:rsidRPr="0DB99A64">
        <w:rPr>
          <w:vertAlign w:val="superscript"/>
        </w:rPr>
        <w:fldChar w:fldCharType="begin"/>
      </w:r>
      <w:r w:rsidRPr="0DB99A64">
        <w:rPr>
          <w:vertAlign w:val="superscript"/>
        </w:rPr>
        <w:instrText xml:space="preserve"> NOTEREF _Ref196909519 \h  \* MERGEFORMAT </w:instrText>
      </w:r>
      <w:r w:rsidRPr="0DB99A64">
        <w:rPr>
          <w:vertAlign w:val="superscript"/>
        </w:rPr>
      </w:r>
      <w:r w:rsidRPr="0DB99A64">
        <w:rPr>
          <w:vertAlign w:val="superscript"/>
        </w:rPr>
        <w:fldChar w:fldCharType="separate"/>
      </w:r>
      <w:r w:rsidR="0068700D">
        <w:rPr>
          <w:vertAlign w:val="superscript"/>
        </w:rPr>
        <w:t>695</w:t>
      </w:r>
      <w:r w:rsidRPr="0DB99A64">
        <w:rPr>
          <w:vertAlign w:val="superscript"/>
        </w:rPr>
        <w:fldChar w:fldCharType="end"/>
      </w:r>
      <w:r w:rsidRPr="0DB99A64">
        <w:t>. The new measure has been criticised by businesses for shifting a tax from the package to a product</w:t>
      </w:r>
      <w:bookmarkStart w:id="262" w:name="_Ref196913751"/>
      <w:r w:rsidRPr="0DB99A64">
        <w:rPr>
          <w:rStyle w:val="FootnoteReference"/>
        </w:rPr>
        <w:footnoteReference w:id="580"/>
      </w:r>
      <w:bookmarkEnd w:id="262"/>
      <w:r w:rsidRPr="0DB99A64">
        <w:t xml:space="preserve">. We did not identify any </w:t>
      </w:r>
      <w:r w:rsidRPr="00EA4C9B">
        <w:rPr>
          <w:lang w:eastAsia="en-GB"/>
        </w:rPr>
        <w:t xml:space="preserve">evidence of the environmental benefits of the duty. </w:t>
      </w:r>
      <w:r w:rsidR="00D26C81" w:rsidRPr="00D26C81">
        <w:rPr>
          <w:lang w:eastAsia="en-GB"/>
        </w:rPr>
        <w:t>No indication was found that the tax proceeds have been earmarked for reducing pollution or waste levels.</w:t>
      </w:r>
      <w:r w:rsidR="00716BC7">
        <w:t xml:space="preserve"> </w:t>
      </w:r>
      <w:r w:rsidRPr="0DB99A64">
        <w:t xml:space="preserve">Total tax revenues in the period 2015-2023 amounted to €6.6 million, with an annual average </w:t>
      </w:r>
      <w:r w:rsidR="00716BC7">
        <w:t>of</w:t>
      </w:r>
      <w:r w:rsidR="00716BC7" w:rsidRPr="0DB99A64">
        <w:t xml:space="preserve"> </w:t>
      </w:r>
      <w:r w:rsidRPr="0DB99A64">
        <w:t xml:space="preserve">€0.7 million. Since introduction, tax revenues have increased, from €0.1 million in 2015 to €0.9 million in 2023. </w:t>
      </w:r>
      <w:r w:rsidR="00B53DE0">
        <w:t>T</w:t>
      </w:r>
      <w:r w:rsidRPr="0DB99A64">
        <w:t xml:space="preserve">he reasons for the increase </w:t>
      </w:r>
      <w:r w:rsidR="00B53DE0">
        <w:t>are unclear</w:t>
      </w:r>
      <w:r w:rsidRPr="0DB99A64">
        <w:t xml:space="preserve">, but increased consumption </w:t>
      </w:r>
      <w:r w:rsidRPr="0DB99A64">
        <w:lastRenderedPageBreak/>
        <w:t>of bottled water is one possibility</w:t>
      </w:r>
      <w:r w:rsidRPr="0DB99A64">
        <w:rPr>
          <w:rStyle w:val="FootnoteReference"/>
        </w:rPr>
        <w:footnoteReference w:id="581"/>
      </w:r>
      <w:r w:rsidRPr="0DB99A64">
        <w:t>. There have been reported instances of evading paying excise duty on products entering into the Maltese market</w:t>
      </w:r>
      <w:r w:rsidRPr="0DB99A64">
        <w:rPr>
          <w:rStyle w:val="FootnoteReference"/>
        </w:rPr>
        <w:footnoteReference w:id="582"/>
      </w:r>
      <w:r w:rsidRPr="0DB99A64">
        <w:t xml:space="preserve">. </w:t>
      </w:r>
    </w:p>
    <w:p w14:paraId="693EFD81" w14:textId="4C2A6039" w:rsidR="00664BE6" w:rsidRPr="00EA4C9B" w:rsidRDefault="00664BE6" w:rsidP="00664BE6">
      <w:r w:rsidRPr="606E24A0">
        <w:t xml:space="preserve">An </w:t>
      </w:r>
      <w:r w:rsidRPr="606E24A0">
        <w:rPr>
          <w:b/>
          <w:bCs/>
        </w:rPr>
        <w:t>excise duty on non-alcoholic beverages</w:t>
      </w:r>
      <w:r w:rsidRPr="606E24A0">
        <w:t xml:space="preserve"> entered into force in 2015 through an amendment to the Excise Duty substituting eco-contribution. It amounts to €40 per 1,000 litres</w:t>
      </w:r>
      <w:r w:rsidRPr="606E24A0">
        <w:rPr>
          <w:vertAlign w:val="superscript"/>
        </w:rPr>
        <w:fldChar w:fldCharType="begin"/>
      </w:r>
      <w:r w:rsidRPr="606E24A0">
        <w:rPr>
          <w:vertAlign w:val="superscript"/>
        </w:rPr>
        <w:instrText xml:space="preserve"> NOTEREF _Ref196822165 \h  \* MERGEFORMAT </w:instrText>
      </w:r>
      <w:r w:rsidRPr="606E24A0">
        <w:rPr>
          <w:vertAlign w:val="superscript"/>
        </w:rPr>
      </w:r>
      <w:r w:rsidRPr="606E24A0">
        <w:rPr>
          <w:vertAlign w:val="superscript"/>
        </w:rPr>
        <w:fldChar w:fldCharType="separate"/>
      </w:r>
      <w:r w:rsidR="0068700D" w:rsidRPr="606E24A0">
        <w:rPr>
          <w:vertAlign w:val="superscript"/>
        </w:rPr>
        <w:t>689</w:t>
      </w:r>
      <w:r w:rsidRPr="606E24A0">
        <w:rPr>
          <w:vertAlign w:val="superscript"/>
        </w:rPr>
        <w:fldChar w:fldCharType="end"/>
      </w:r>
      <w:r w:rsidRPr="606E24A0">
        <w:t>. The duty is charged for imports and is paid by producers, importers or warehouse keepers. It is charged on sales of products either when they are imported into Malta and directly released there, or within 90 days from the date of release for consumption from a warehouse</w:t>
      </w:r>
      <w:r w:rsidRPr="606E24A0">
        <w:rPr>
          <w:vertAlign w:val="superscript"/>
        </w:rPr>
        <w:fldChar w:fldCharType="begin"/>
      </w:r>
      <w:r w:rsidRPr="606E24A0">
        <w:rPr>
          <w:vertAlign w:val="superscript"/>
        </w:rPr>
        <w:instrText xml:space="preserve"> NOTEREF _Ref196909519 \h  \* MERGEFORMAT </w:instrText>
      </w:r>
      <w:r w:rsidRPr="606E24A0">
        <w:rPr>
          <w:vertAlign w:val="superscript"/>
        </w:rPr>
      </w:r>
      <w:r w:rsidRPr="606E24A0">
        <w:rPr>
          <w:vertAlign w:val="superscript"/>
        </w:rPr>
        <w:fldChar w:fldCharType="separate"/>
      </w:r>
      <w:r w:rsidR="0068700D" w:rsidRPr="606E24A0">
        <w:rPr>
          <w:vertAlign w:val="superscript"/>
        </w:rPr>
        <w:t>695</w:t>
      </w:r>
      <w:r w:rsidRPr="606E24A0">
        <w:rPr>
          <w:vertAlign w:val="superscript"/>
        </w:rPr>
        <w:fldChar w:fldCharType="end"/>
      </w:r>
      <w:r w:rsidRPr="606E24A0">
        <w:t>. The new measure has been criticised by businesses for shifting a tax from the package to a product</w:t>
      </w:r>
      <w:r w:rsidRPr="606E24A0">
        <w:rPr>
          <w:vertAlign w:val="superscript"/>
        </w:rPr>
        <w:fldChar w:fldCharType="begin"/>
      </w:r>
      <w:r w:rsidRPr="606E24A0">
        <w:rPr>
          <w:vertAlign w:val="superscript"/>
        </w:rPr>
        <w:instrText xml:space="preserve"> NOTEREF _Ref196913751 \h  \* MERGEFORMAT </w:instrText>
      </w:r>
      <w:r w:rsidRPr="606E24A0">
        <w:rPr>
          <w:vertAlign w:val="superscript"/>
        </w:rPr>
      </w:r>
      <w:r w:rsidRPr="606E24A0">
        <w:rPr>
          <w:vertAlign w:val="superscript"/>
        </w:rPr>
        <w:fldChar w:fldCharType="separate"/>
      </w:r>
      <w:r w:rsidR="0068700D" w:rsidRPr="606E24A0">
        <w:rPr>
          <w:vertAlign w:val="superscript"/>
        </w:rPr>
        <w:t>697</w:t>
      </w:r>
      <w:r w:rsidRPr="606E24A0">
        <w:rPr>
          <w:vertAlign w:val="superscript"/>
        </w:rPr>
        <w:fldChar w:fldCharType="end"/>
      </w:r>
      <w:r w:rsidRPr="606E24A0">
        <w:t>.</w:t>
      </w:r>
      <w:r w:rsidRPr="00EA4C9B">
        <w:rPr>
          <w:lang w:eastAsia="en-GB"/>
        </w:rPr>
        <w:t xml:space="preserve"> </w:t>
      </w:r>
      <w:r w:rsidR="00D7364E" w:rsidRPr="00D7364E">
        <w:rPr>
          <w:lang w:eastAsia="en-GB"/>
        </w:rPr>
        <w:t>No evidence has been identified regarding the environmental benefits of the duty. There is likewise no indication that the tax proceeds have been earmarked for reducing pollution or waste levels.</w:t>
      </w:r>
      <w:r w:rsidR="00AC7848">
        <w:rPr>
          <w:lang w:eastAsia="en-GB"/>
        </w:rPr>
        <w:t xml:space="preserve"> </w:t>
      </w:r>
      <w:r w:rsidRPr="00EA4C9B">
        <w:rPr>
          <w:rFonts w:cstheme="minorHAnsi"/>
        </w:rPr>
        <w:t xml:space="preserve">Total tax revenues in the period 2016-2023 amounted to €19.8 million, with an annual average </w:t>
      </w:r>
      <w:r w:rsidR="00AC7848">
        <w:rPr>
          <w:rFonts w:cstheme="minorHAnsi"/>
        </w:rPr>
        <w:t>of</w:t>
      </w:r>
      <w:r w:rsidR="00AC7848" w:rsidRPr="00EA4C9B">
        <w:rPr>
          <w:rFonts w:cstheme="minorHAnsi"/>
        </w:rPr>
        <w:t xml:space="preserve"> </w:t>
      </w:r>
      <w:r w:rsidRPr="00EA4C9B">
        <w:rPr>
          <w:rFonts w:cstheme="minorHAnsi"/>
        </w:rPr>
        <w:t>€2.5 million. Since tax introduction, tax revenues have increased, from €0.8 million in 2016 to €2.8 million in 2023.</w:t>
      </w:r>
      <w:r w:rsidRPr="00EA4C9B">
        <w:t xml:space="preserve"> </w:t>
      </w:r>
    </w:p>
    <w:p w14:paraId="26AD1ABD" w14:textId="63096490" w:rsidR="00664BE6" w:rsidRPr="00EA4C9B" w:rsidRDefault="00664BE6" w:rsidP="00664BE6">
      <w:r w:rsidRPr="606E24A0">
        <w:rPr>
          <w:b/>
          <w:bCs/>
        </w:rPr>
        <w:t>Excise duties on toiletries and washing preparations</w:t>
      </w:r>
      <w:r w:rsidRPr="0DB99A64">
        <w:t xml:space="preserve"> entered into force in 2017 through an amendment to the Excise Duty substituting eco-contribution. These products include perfumes (</w:t>
      </w:r>
      <w:r w:rsidRPr="606E24A0">
        <w:t>€</w:t>
      </w:r>
      <w:r w:rsidRPr="0DB99A64">
        <w:t>220 per 100 litres), shaving products (</w:t>
      </w:r>
      <w:r w:rsidRPr="606E24A0">
        <w:t>€</w:t>
      </w:r>
      <w:r w:rsidRPr="0DB99A64">
        <w:t xml:space="preserve">3 per 100 litres/ kgs, while HS Code 3307 10 00 and HS Code 3307 41 00 - </w:t>
      </w:r>
      <w:r w:rsidRPr="606E24A0">
        <w:t>€</w:t>
      </w:r>
      <w:r w:rsidRPr="0DB99A64">
        <w:t>50 per 100 litres/ kgs),  beauty and make-up (</w:t>
      </w:r>
      <w:r w:rsidRPr="606E24A0">
        <w:t>€</w:t>
      </w:r>
      <w:r w:rsidRPr="0DB99A64">
        <w:t>50 per 100 litres/ kgs), shampoos (</w:t>
      </w:r>
      <w:r w:rsidRPr="606E24A0">
        <w:t>€</w:t>
      </w:r>
      <w:r w:rsidRPr="0DB99A64">
        <w:t>3 per 100 litres) and other hair products (</w:t>
      </w:r>
      <w:r w:rsidRPr="606E24A0">
        <w:t>€</w:t>
      </w:r>
      <w:r w:rsidRPr="0DB99A64">
        <w:t>50 per 100 litres/ kgs), soaps (</w:t>
      </w:r>
      <w:r w:rsidRPr="606E24A0">
        <w:t>€</w:t>
      </w:r>
      <w:r w:rsidRPr="0DB99A64">
        <w:t>3 per 100 litres/ kgs), deodorants, and room deodorisers (same rates as for shaving products)</w:t>
      </w:r>
      <w:r w:rsidRPr="0DB99A64">
        <w:rPr>
          <w:vertAlign w:val="superscript"/>
        </w:rPr>
        <w:fldChar w:fldCharType="begin"/>
      </w:r>
      <w:r w:rsidRPr="0DB99A64">
        <w:rPr>
          <w:vertAlign w:val="superscript"/>
        </w:rPr>
        <w:instrText xml:space="preserve"> NOTEREF _Ref196822165 \h  \* MERGEFORMAT </w:instrText>
      </w:r>
      <w:r w:rsidRPr="0DB99A64">
        <w:rPr>
          <w:vertAlign w:val="superscript"/>
        </w:rPr>
      </w:r>
      <w:r w:rsidRPr="0DB99A64">
        <w:rPr>
          <w:vertAlign w:val="superscript"/>
        </w:rPr>
        <w:fldChar w:fldCharType="separate"/>
      </w:r>
      <w:r w:rsidR="0068700D">
        <w:rPr>
          <w:vertAlign w:val="superscript"/>
        </w:rPr>
        <w:t>689</w:t>
      </w:r>
      <w:r w:rsidRPr="0DB99A64">
        <w:rPr>
          <w:vertAlign w:val="superscript"/>
        </w:rPr>
        <w:fldChar w:fldCharType="end"/>
      </w:r>
      <w:r w:rsidRPr="0DB99A64">
        <w:t xml:space="preserve">. Additionally, products for oral and dental hygiene, </w:t>
      </w:r>
      <w:r w:rsidRPr="00EA4C9B">
        <w:t>cleaning products, clothes, floor and dish-washing products, detergents and disinfectants</w:t>
      </w:r>
      <w:r w:rsidRPr="0DB99A64">
        <w:t xml:space="preserve"> while being subject to eco-contribution</w:t>
      </w:r>
      <w:r w:rsidRPr="0DB99A64">
        <w:rPr>
          <w:rStyle w:val="FootnoteReference"/>
        </w:rPr>
        <w:footnoteReference w:id="583"/>
      </w:r>
      <w:r w:rsidR="00F53836">
        <w:rPr>
          <w:vertAlign w:val="superscript"/>
        </w:rPr>
        <w:t>,</w:t>
      </w:r>
      <w:r w:rsidRPr="0DB99A64">
        <w:rPr>
          <w:rStyle w:val="FootnoteReference"/>
        </w:rPr>
        <w:footnoteReference w:id="584"/>
      </w:r>
      <w:r w:rsidRPr="0DB99A64">
        <w:t xml:space="preserve">, were not included in excise duties. We did not identify any </w:t>
      </w:r>
      <w:r w:rsidRPr="00EA4C9B">
        <w:rPr>
          <w:lang w:eastAsia="en-GB"/>
        </w:rPr>
        <w:t xml:space="preserve">evidence of the environmental benefits of the duty. </w:t>
      </w:r>
      <w:r w:rsidR="00F53836" w:rsidRPr="00BA7936">
        <w:rPr>
          <w:lang w:eastAsia="en-GB"/>
        </w:rPr>
        <w:t>No indication was found that the tax proceeds have been earmarked for reducing pollution or waste levels.</w:t>
      </w:r>
      <w:r w:rsidR="00F53836" w:rsidRPr="00EA4C9B" w:rsidDel="00F53836">
        <w:rPr>
          <w:lang w:eastAsia="en-GB"/>
        </w:rPr>
        <w:t xml:space="preserve"> </w:t>
      </w:r>
      <w:r w:rsidRPr="00EA4C9B">
        <w:rPr>
          <w:rFonts w:cstheme="minorHAnsi"/>
        </w:rPr>
        <w:t xml:space="preserve">Total tax revenues in the period 2017-2023 amounted to €6.0 million, with an annual average </w:t>
      </w:r>
      <w:r w:rsidR="00AC7848">
        <w:rPr>
          <w:rFonts w:cstheme="minorHAnsi"/>
        </w:rPr>
        <w:t>of</w:t>
      </w:r>
      <w:r w:rsidR="00AC7848" w:rsidRPr="00EA4C9B">
        <w:rPr>
          <w:rFonts w:cstheme="minorHAnsi"/>
        </w:rPr>
        <w:t xml:space="preserve"> </w:t>
      </w:r>
      <w:r w:rsidRPr="00EA4C9B">
        <w:rPr>
          <w:rFonts w:cstheme="minorHAnsi"/>
        </w:rPr>
        <w:t>€0.9 million.</w:t>
      </w:r>
      <w:r w:rsidRPr="00EA4C9B">
        <w:t xml:space="preserve"> </w:t>
      </w:r>
    </w:p>
    <w:p w14:paraId="25BB460B" w14:textId="1C55BBB2" w:rsidR="00664BE6" w:rsidRPr="00EA4C9B" w:rsidRDefault="00664BE6" w:rsidP="00664BE6">
      <w:r w:rsidRPr="606E24A0">
        <w:rPr>
          <w:b/>
          <w:bCs/>
        </w:rPr>
        <w:t xml:space="preserve">Excise duties on construction components and fixtures </w:t>
      </w:r>
      <w:r w:rsidRPr="606E24A0">
        <w:t xml:space="preserve">were introduced </w:t>
      </w:r>
      <w:r w:rsidRPr="00EA4C9B">
        <w:rPr>
          <w:lang w:eastAsia="en-GB"/>
        </w:rPr>
        <w:t>through an amendment to the Excise Duty Act</w:t>
      </w:r>
      <w:r w:rsidRPr="606E24A0">
        <w:t xml:space="preserve"> and entered into force in 2017. They are paid by producers, importers or warehouse keepers</w:t>
      </w:r>
      <w:r w:rsidRPr="606E24A0">
        <w:rPr>
          <w:vertAlign w:val="superscript"/>
        </w:rPr>
        <w:fldChar w:fldCharType="begin"/>
      </w:r>
      <w:r w:rsidRPr="606E24A0">
        <w:rPr>
          <w:vertAlign w:val="superscript"/>
        </w:rPr>
        <w:instrText xml:space="preserve"> NOTEREF _Ref196822165 \h  \* MERGEFORMAT </w:instrText>
      </w:r>
      <w:r w:rsidRPr="606E24A0">
        <w:rPr>
          <w:vertAlign w:val="superscript"/>
        </w:rPr>
      </w:r>
      <w:r w:rsidRPr="606E24A0">
        <w:rPr>
          <w:vertAlign w:val="superscript"/>
        </w:rPr>
        <w:fldChar w:fldCharType="separate"/>
      </w:r>
      <w:r w:rsidR="0068700D" w:rsidRPr="606E24A0">
        <w:rPr>
          <w:vertAlign w:val="superscript"/>
        </w:rPr>
        <w:t>689</w:t>
      </w:r>
      <w:r w:rsidRPr="606E24A0">
        <w:rPr>
          <w:vertAlign w:val="superscript"/>
        </w:rPr>
        <w:fldChar w:fldCharType="end"/>
      </w:r>
      <w:r w:rsidRPr="00EA4C9B">
        <w:rPr>
          <w:lang w:eastAsia="en-GB"/>
        </w:rPr>
        <w:t>. The products subject to duties include prefabricated structural concrete components (</w:t>
      </w:r>
      <w:r w:rsidRPr="606E24A0">
        <w:rPr>
          <w:lang w:eastAsia="en-GB"/>
        </w:rPr>
        <w:t>€</w:t>
      </w:r>
      <w:r w:rsidRPr="00EA4C9B">
        <w:rPr>
          <w:lang w:eastAsia="en-GB"/>
        </w:rPr>
        <w:t>25.60 per tonne), ceramic flags (</w:t>
      </w:r>
      <w:r w:rsidRPr="606E24A0">
        <w:rPr>
          <w:lang w:eastAsia="en-GB"/>
        </w:rPr>
        <w:t>€</w:t>
      </w:r>
      <w:r w:rsidRPr="00EA4C9B">
        <w:rPr>
          <w:lang w:eastAsia="en-GB"/>
        </w:rPr>
        <w:t>7.50 per tonne), glass (</w:t>
      </w:r>
      <w:r w:rsidRPr="606E24A0">
        <w:rPr>
          <w:lang w:eastAsia="en-GB"/>
        </w:rPr>
        <w:t>€</w:t>
      </w:r>
      <w:r w:rsidRPr="00EA4C9B">
        <w:rPr>
          <w:lang w:eastAsia="en-GB"/>
        </w:rPr>
        <w:t>16 per tonne), bars and rods (</w:t>
      </w:r>
      <w:r w:rsidRPr="606E24A0">
        <w:rPr>
          <w:lang w:eastAsia="en-GB"/>
        </w:rPr>
        <w:t>€</w:t>
      </w:r>
      <w:r w:rsidRPr="00EA4C9B">
        <w:rPr>
          <w:lang w:eastAsia="en-GB"/>
        </w:rPr>
        <w:t xml:space="preserve">30 per tonne, except for HS Code 7213 10 00, 7214 20 00 – </w:t>
      </w:r>
      <w:r w:rsidRPr="606E24A0">
        <w:rPr>
          <w:lang w:eastAsia="en-GB"/>
        </w:rPr>
        <w:t>€</w:t>
      </w:r>
      <w:r w:rsidRPr="00EA4C9B">
        <w:rPr>
          <w:lang w:eastAsia="en-GB"/>
        </w:rPr>
        <w:t>15 per tonne) and other items</w:t>
      </w:r>
      <w:r w:rsidRPr="00EA4C9B">
        <w:rPr>
          <w:vertAlign w:val="superscript"/>
          <w:lang w:eastAsia="en-GB"/>
        </w:rPr>
        <w:fldChar w:fldCharType="begin"/>
      </w:r>
      <w:r w:rsidRPr="00EA4C9B">
        <w:rPr>
          <w:vertAlign w:val="superscript"/>
          <w:lang w:eastAsia="en-GB"/>
        </w:rPr>
        <w:instrText xml:space="preserve"> NOTEREF _Ref196822165 \h  \* MERGEFORMAT </w:instrText>
      </w:r>
      <w:r w:rsidRPr="00EA4C9B">
        <w:rPr>
          <w:vertAlign w:val="superscript"/>
          <w:lang w:eastAsia="en-GB"/>
        </w:rPr>
      </w:r>
      <w:r w:rsidRPr="00EA4C9B">
        <w:rPr>
          <w:vertAlign w:val="superscript"/>
          <w:lang w:eastAsia="en-GB"/>
        </w:rPr>
        <w:fldChar w:fldCharType="separate"/>
      </w:r>
      <w:r w:rsidR="0068700D">
        <w:rPr>
          <w:vertAlign w:val="superscript"/>
          <w:lang w:eastAsia="en-GB"/>
        </w:rPr>
        <w:t>689</w:t>
      </w:r>
      <w:r w:rsidRPr="00EA4C9B">
        <w:rPr>
          <w:vertAlign w:val="superscript"/>
          <w:lang w:eastAsia="en-GB"/>
        </w:rPr>
        <w:fldChar w:fldCharType="end"/>
      </w:r>
      <w:r w:rsidRPr="00EA4C9B">
        <w:rPr>
          <w:lang w:eastAsia="en-GB"/>
        </w:rPr>
        <w:t xml:space="preserve">. </w:t>
      </w:r>
      <w:r w:rsidRPr="606E24A0">
        <w:t xml:space="preserve">We did not identify any </w:t>
      </w:r>
      <w:r w:rsidRPr="00EA4C9B">
        <w:rPr>
          <w:lang w:eastAsia="en-GB"/>
        </w:rPr>
        <w:t xml:space="preserve">evidence of the environmental benefits of the duty. </w:t>
      </w:r>
      <w:r w:rsidR="00953C39" w:rsidRPr="00953C39">
        <w:rPr>
          <w:lang w:eastAsia="en-GB"/>
        </w:rPr>
        <w:t>No indication was found that the tax proceeds have been earmarked for reducing pollution or waste levels.</w:t>
      </w:r>
      <w:r w:rsidR="00953C39">
        <w:rPr>
          <w:lang w:eastAsia="en-GB"/>
        </w:rPr>
        <w:t xml:space="preserve"> </w:t>
      </w:r>
      <w:r w:rsidRPr="00EA4C9B">
        <w:rPr>
          <w:rFonts w:cstheme="minorHAnsi"/>
        </w:rPr>
        <w:t xml:space="preserve">Total tax revenues in the period 2017-2023 amounted to €12.5 million, with an annual average </w:t>
      </w:r>
      <w:r w:rsidR="00953C39">
        <w:rPr>
          <w:rFonts w:cstheme="minorHAnsi"/>
        </w:rPr>
        <w:t>of</w:t>
      </w:r>
      <w:r w:rsidR="00953C39" w:rsidRPr="00EA4C9B">
        <w:rPr>
          <w:rFonts w:cstheme="minorHAnsi"/>
        </w:rPr>
        <w:t xml:space="preserve"> </w:t>
      </w:r>
      <w:r w:rsidRPr="00EA4C9B">
        <w:rPr>
          <w:rFonts w:cstheme="minorHAnsi"/>
        </w:rPr>
        <w:t>€1.8 million.</w:t>
      </w:r>
      <w:r w:rsidRPr="00EA4C9B">
        <w:t xml:space="preserve"> </w:t>
      </w:r>
    </w:p>
    <w:p w14:paraId="3253A44E" w14:textId="06870679" w:rsidR="00664BE6" w:rsidRPr="00EA4C9B" w:rsidRDefault="00664BE6" w:rsidP="00664BE6">
      <w:r w:rsidRPr="00EA4C9B">
        <w:rPr>
          <w:rFonts w:cstheme="minorHAnsi"/>
          <w:b/>
          <w:bCs/>
        </w:rPr>
        <w:t xml:space="preserve">Excise duties on plastic bags </w:t>
      </w:r>
      <w:r w:rsidRPr="00EA4C9B">
        <w:rPr>
          <w:rFonts w:cstheme="minorHAnsi"/>
        </w:rPr>
        <w:t xml:space="preserve">were introduced </w:t>
      </w:r>
      <w:r w:rsidRPr="00EA4C9B">
        <w:rPr>
          <w:lang w:eastAsia="en-GB"/>
        </w:rPr>
        <w:t>through an amendment to the Excise Duty Act</w:t>
      </w:r>
      <w:r w:rsidRPr="00EA4C9B">
        <w:rPr>
          <w:rFonts w:cstheme="minorHAnsi"/>
        </w:rPr>
        <w:t xml:space="preserve"> and entered into force in 2015, substituting eco-contribution. It is paid by producers, importers or warehouse keepers. The duty varies on the type of bag – the minimal rate for a standard plastic bag is €.15 per bag, €0.0045 for smaller and thinner bags, and €0.017 for other categories (HS Codes 3923 21 and 3923 29). Plastic bags used by industry as part of the packaging process, biodegradable bags, and printed bags used for the collection of recycled waste are exempt</w:t>
      </w:r>
      <w:r w:rsidRPr="00EA4C9B">
        <w:rPr>
          <w:rFonts w:cstheme="minorHAnsi"/>
          <w:vertAlign w:val="superscript"/>
        </w:rPr>
        <w:fldChar w:fldCharType="begin"/>
      </w:r>
      <w:r w:rsidRPr="00EA4C9B">
        <w:rPr>
          <w:rFonts w:cstheme="minorHAnsi"/>
          <w:vertAlign w:val="superscript"/>
        </w:rPr>
        <w:instrText xml:space="preserve"> NOTEREF _Ref196822165 \h  \* MERGEFORMAT </w:instrText>
      </w:r>
      <w:r w:rsidRPr="00EA4C9B">
        <w:rPr>
          <w:rFonts w:cstheme="minorHAnsi"/>
          <w:vertAlign w:val="superscript"/>
        </w:rPr>
      </w:r>
      <w:r w:rsidRPr="00EA4C9B">
        <w:rPr>
          <w:rFonts w:cstheme="minorHAnsi"/>
          <w:vertAlign w:val="superscript"/>
        </w:rPr>
        <w:fldChar w:fldCharType="separate"/>
      </w:r>
      <w:r w:rsidR="0068700D">
        <w:rPr>
          <w:rFonts w:cstheme="minorHAnsi"/>
          <w:vertAlign w:val="superscript"/>
        </w:rPr>
        <w:t>689</w:t>
      </w:r>
      <w:r w:rsidRPr="00EA4C9B">
        <w:rPr>
          <w:rFonts w:cstheme="minorHAnsi"/>
          <w:vertAlign w:val="superscript"/>
        </w:rPr>
        <w:fldChar w:fldCharType="end"/>
      </w:r>
      <w:r w:rsidRPr="00EA4C9B">
        <w:rPr>
          <w:rFonts w:cstheme="minorHAnsi"/>
        </w:rPr>
        <w:t xml:space="preserve">. </w:t>
      </w:r>
      <w:r w:rsidRPr="0DB99A64">
        <w:t xml:space="preserve">Total tax revenues in the period 2015-2023 amounted to €8.6 million, with an annual average </w:t>
      </w:r>
      <w:r w:rsidR="00FD63F0">
        <w:t>of</w:t>
      </w:r>
      <w:r w:rsidR="00FD63F0" w:rsidRPr="0DB99A64">
        <w:t xml:space="preserve"> </w:t>
      </w:r>
      <w:r w:rsidRPr="0DB99A64">
        <w:t>€1.0 million.</w:t>
      </w:r>
      <w:r w:rsidRPr="00EA4C9B">
        <w:t xml:space="preserve"> It should be noted that Malta has banned sales of plastic bags from 2021, exempting very lightweight plastic carrier bags, biodegradable bags, and reusable plastic carrier bags (thinner than 15 microns)</w:t>
      </w:r>
      <w:r w:rsidRPr="00EA4C9B">
        <w:rPr>
          <w:rStyle w:val="FootnoteReference"/>
        </w:rPr>
        <w:footnoteReference w:id="585"/>
      </w:r>
      <w:r w:rsidRPr="00EA4C9B">
        <w:t xml:space="preserve">. Environmental </w:t>
      </w:r>
      <w:r w:rsidRPr="00EA4C9B">
        <w:lastRenderedPageBreak/>
        <w:t>groups have criticised the omission of very lightweight plastic bags in the instrument</w:t>
      </w:r>
      <w:r w:rsidRPr="00EA4C9B">
        <w:rPr>
          <w:rStyle w:val="FootnoteReference"/>
        </w:rPr>
        <w:footnoteReference w:id="586"/>
      </w:r>
      <w:r w:rsidRPr="00EA4C9B">
        <w:t>. Notably, tax revenues have not decreased but slightly increased after the introduction of a ban</w:t>
      </w:r>
      <w:r w:rsidR="00FD63F0">
        <w:t>:</w:t>
      </w:r>
      <w:r w:rsidRPr="00EA4C9B">
        <w:t xml:space="preserve"> from </w:t>
      </w:r>
      <w:r w:rsidRPr="0DB99A64">
        <w:t>€</w:t>
      </w:r>
      <w:r w:rsidRPr="00EA4C9B">
        <w:t xml:space="preserve">0.8 million in 2020 to </w:t>
      </w:r>
      <w:r w:rsidRPr="0DB99A64">
        <w:t>€</w:t>
      </w:r>
      <w:r w:rsidRPr="00EA4C9B">
        <w:t xml:space="preserve">1.1 million in 2023. This could be attributed to a possible increase in consumption of very lightweight plastic bags, but we did not find evidence to confirm this. </w:t>
      </w:r>
    </w:p>
    <w:p w14:paraId="4DD30C91" w14:textId="77777777" w:rsidR="00664BE6" w:rsidRPr="00EA4C9B" w:rsidRDefault="00664BE6" w:rsidP="00977562">
      <w:pPr>
        <w:pStyle w:val="Heading4"/>
      </w:pPr>
      <w:r w:rsidRPr="00EA4C9B">
        <w:t>Abolished taxes</w:t>
      </w:r>
    </w:p>
    <w:p w14:paraId="3495F469" w14:textId="050FF6B3" w:rsidR="00664BE6" w:rsidRPr="00EA4C9B" w:rsidRDefault="00664BE6" w:rsidP="00664BE6">
      <w:r w:rsidRPr="00EA4C9B">
        <w:t xml:space="preserve">Malta used to have a </w:t>
      </w:r>
      <w:r w:rsidRPr="00EA4C9B">
        <w:rPr>
          <w:b/>
          <w:bCs/>
        </w:rPr>
        <w:t xml:space="preserve">tax on </w:t>
      </w:r>
      <w:r w:rsidRPr="606E24A0">
        <w:rPr>
          <w:b/>
          <w:bCs/>
        </w:rPr>
        <w:t xml:space="preserve">waste disposal at sea. </w:t>
      </w:r>
      <w:r w:rsidRPr="0DB99A64">
        <w:t xml:space="preserve">Currently, it is illegal to dump most construction waste at sea, except for </w:t>
      </w:r>
      <w:r w:rsidRPr="00EA4C9B">
        <w:t>uncontaminated inert geological material and dredged material, fish waste or organic material resulting from the processing of fish and other marine organisms</w:t>
      </w:r>
      <w:r w:rsidRPr="00EA4C9B">
        <w:rPr>
          <w:rStyle w:val="FootnoteReference"/>
        </w:rPr>
        <w:footnoteReference w:id="587"/>
      </w:r>
      <w:r w:rsidRPr="00EA4C9B">
        <w:t xml:space="preserve">. </w:t>
      </w:r>
    </w:p>
    <w:p w14:paraId="3EE95AD4" w14:textId="68CFC782" w:rsidR="00664BE6" w:rsidRPr="00EA4C9B" w:rsidRDefault="00664BE6" w:rsidP="00FA4E41">
      <w:pPr>
        <w:rPr>
          <w:lang w:eastAsia="en-GB"/>
        </w:rPr>
      </w:pPr>
      <w:r w:rsidRPr="00EA4C9B">
        <w:rPr>
          <w:rFonts w:cstheme="minorHAnsi"/>
        </w:rPr>
        <w:t>A</w:t>
      </w:r>
      <w:r w:rsidRPr="00EA4C9B">
        <w:rPr>
          <w:rFonts w:cstheme="minorHAnsi"/>
          <w:b/>
          <w:bCs/>
        </w:rPr>
        <w:t xml:space="preserve"> fee on caging bluefin tuna</w:t>
      </w:r>
      <w:r w:rsidRPr="00EA4C9B">
        <w:rPr>
          <w:rFonts w:cstheme="minorHAnsi"/>
        </w:rPr>
        <w:t xml:space="preserve"> was classified as a tax and charged on the extraction, abstraction or harvesting of bluefin tuna. Total tax revenues in the period 2015-2019 amounted to €8.0 million, with an annual average being €1.6 million. However, we did not find information on which regulation has introduced the fee, nor data on tax revenues post 2019. It will be assumed that this tax has been abolished for the purposes of this study.</w:t>
      </w:r>
    </w:p>
    <w:p w14:paraId="194E58CD" w14:textId="77777777" w:rsidR="00664BE6" w:rsidRPr="00EA4C9B" w:rsidRDefault="00664BE6" w:rsidP="00664BE6">
      <w:pPr>
        <w:rPr>
          <w:lang w:eastAsia="en-GB"/>
        </w:rPr>
      </w:pPr>
      <w:r w:rsidRPr="00EA4C9B">
        <w:rPr>
          <w:b/>
          <w:bCs/>
          <w:i/>
          <w:iCs/>
          <w:lang w:eastAsia="en-GB"/>
        </w:rPr>
        <w:t>Fees and other related instruments</w:t>
      </w:r>
      <w:r w:rsidRPr="00EA4C9B">
        <w:rPr>
          <w:lang w:eastAsia="en-GB"/>
        </w:rPr>
        <w:t> </w:t>
      </w:r>
    </w:p>
    <w:p w14:paraId="6DB16585" w14:textId="77777777" w:rsidR="00664BE6" w:rsidRPr="00EA4C9B" w:rsidRDefault="00664BE6" w:rsidP="00664BE6">
      <w:pPr>
        <w:rPr>
          <w:rFonts w:ascii="Calibri" w:hAnsi="Calibri" w:cs="Calibri"/>
        </w:rPr>
      </w:pPr>
      <w:r w:rsidRPr="00EA4C9B">
        <w:rPr>
          <w:rFonts w:ascii="Calibri" w:hAnsi="Calibri" w:cs="Calibri"/>
        </w:rPr>
        <w:t>A</w:t>
      </w:r>
      <w:r w:rsidRPr="00EA4C9B">
        <w:rPr>
          <w:rFonts w:ascii="Calibri" w:hAnsi="Calibri" w:cs="Calibri"/>
          <w:b/>
          <w:bCs/>
        </w:rPr>
        <w:t xml:space="preserve"> licence for water network services</w:t>
      </w:r>
      <w:r w:rsidRPr="00EA4C9B">
        <w:rPr>
          <w:rFonts w:ascii="Calibri" w:hAnsi="Calibri" w:cs="Calibri"/>
        </w:rPr>
        <w:t>. Providing water supply or sewerage services requires an operator to apply for a license from a Regulator. Under Subsidiary legislation 545.14, Water Supply and Sewerage Services Regulations (2004), an applicant shall pay a fee of €58.23 to the Regulator (Regulator for Energy and Water Services). The fee is €232.94 in case a supplier intends to supply a volume of water greater than 10m</w:t>
      </w:r>
      <w:r w:rsidRPr="00EA4C9B">
        <w:rPr>
          <w:rFonts w:ascii="Calibri" w:hAnsi="Calibri" w:cs="Calibri"/>
          <w:vertAlign w:val="superscript"/>
        </w:rPr>
        <w:t>3</w:t>
      </w:r>
      <w:r w:rsidRPr="00EA4C9B">
        <w:rPr>
          <w:rFonts w:ascii="Calibri" w:hAnsi="Calibri" w:cs="Calibri"/>
        </w:rPr>
        <w:t>/day through a distribution network, or in case a sewerage services operator intends to collect a volume of sewage greater than 10m</w:t>
      </w:r>
      <w:r w:rsidRPr="00EA4C9B">
        <w:rPr>
          <w:rFonts w:ascii="Calibri" w:hAnsi="Calibri" w:cs="Calibri"/>
          <w:vertAlign w:val="superscript"/>
        </w:rPr>
        <w:t>3</w:t>
      </w:r>
      <w:r w:rsidRPr="00EA4C9B">
        <w:rPr>
          <w:rFonts w:ascii="Calibri" w:hAnsi="Calibri" w:cs="Calibri"/>
        </w:rPr>
        <w:t>/day and either collect sewage through a collection system or operate a sewage treatment plant</w:t>
      </w:r>
      <w:r w:rsidRPr="00EA4C9B">
        <w:rPr>
          <w:rStyle w:val="FootnoteReference"/>
          <w:rFonts w:ascii="Calibri" w:hAnsi="Calibri" w:cs="Calibri"/>
        </w:rPr>
        <w:footnoteReference w:id="588"/>
      </w:r>
      <w:r w:rsidRPr="00EA4C9B">
        <w:rPr>
          <w:rFonts w:ascii="Calibri" w:hAnsi="Calibri" w:cs="Calibri"/>
        </w:rPr>
        <w:t xml:space="preserve">. The fee is not an environmental tax as it is a requited payment – the government provides a service of managing applications in return. </w:t>
      </w:r>
    </w:p>
    <w:p w14:paraId="4990903C" w14:textId="77777777" w:rsidR="00664BE6" w:rsidRPr="00EA4C9B" w:rsidRDefault="00664BE6" w:rsidP="00664BE6">
      <w:pPr>
        <w:rPr>
          <w:rFonts w:ascii="Calibri" w:hAnsi="Calibri" w:cs="Calibri"/>
        </w:rPr>
      </w:pPr>
      <w:r w:rsidRPr="00EA4C9B">
        <w:rPr>
          <w:rFonts w:ascii="Calibri" w:hAnsi="Calibri" w:cs="Calibri"/>
        </w:rPr>
        <w:t xml:space="preserve">A </w:t>
      </w:r>
      <w:r w:rsidRPr="00EA4C9B">
        <w:rPr>
          <w:rFonts w:ascii="Calibri" w:hAnsi="Calibri" w:cs="Calibri"/>
          <w:b/>
          <w:bCs/>
        </w:rPr>
        <w:t>quarry operating license</w:t>
      </w:r>
      <w:r w:rsidRPr="00EA4C9B">
        <w:rPr>
          <w:rFonts w:ascii="Calibri" w:hAnsi="Calibri" w:cs="Calibri"/>
        </w:rPr>
        <w:t>. Mineral extraction and backfilling activities in quarries require an operational permit issued by the Environment and Resources Authority (ERA)</w:t>
      </w:r>
      <w:r w:rsidRPr="00EA4C9B">
        <w:rPr>
          <w:rStyle w:val="FootnoteReference"/>
          <w:rFonts w:ascii="Calibri" w:hAnsi="Calibri" w:cs="Calibri"/>
        </w:rPr>
        <w:footnoteReference w:id="589"/>
      </w:r>
      <w:r w:rsidRPr="00EA4C9B">
        <w:rPr>
          <w:rFonts w:ascii="Calibri" w:hAnsi="Calibri" w:cs="Calibri"/>
        </w:rPr>
        <w:t>. The ERA requires operators to pay a licence fee when applying for a quarry licence. However, the specific cost of the licence fee is not publicly disclosed. The fee is not an environmental tax as it is a requited payment.</w:t>
      </w:r>
    </w:p>
    <w:p w14:paraId="49FA1D72" w14:textId="77777777" w:rsidR="00664BE6" w:rsidRPr="00EA4C9B" w:rsidRDefault="00664BE6" w:rsidP="00664BE6">
      <w:pPr>
        <w:rPr>
          <w:rFonts w:ascii="Calibri" w:hAnsi="Calibri" w:cs="Calibri"/>
        </w:rPr>
      </w:pPr>
      <w:r w:rsidRPr="00EA4C9B">
        <w:rPr>
          <w:rFonts w:ascii="Calibri" w:hAnsi="Calibri" w:cs="Calibri"/>
          <w:b/>
          <w:bCs/>
        </w:rPr>
        <w:t>Tourism authority licences</w:t>
      </w:r>
      <w:r w:rsidRPr="00EA4C9B">
        <w:rPr>
          <w:rFonts w:ascii="Calibri" w:hAnsi="Calibri" w:cs="Calibri"/>
        </w:rPr>
        <w:t>. ​The fees for Malta Tourism Authority (MTA) licences are established under the Fees (Tourism) Regulations, Subsidiary Legislation 409.05 (2002). Fees should be paid to the government for the issue, transfer or renewal of any licence or certificate issued under the Act. Fees for a licence to run or operate an accommodation or catering establishment in Gozo shall be lower – 75% of the general fees. Fees vary depending on the type and size of the tourism operation. For example, the rate per annum per hotel bedroom within a hotel is €5-13.98 depending on how many starts a hotel has. Separate fees are set for hotels, tourist villages and aparthotels, hostels, farmhouses, houses, catering establishments etc.</w:t>
      </w:r>
      <w:r w:rsidRPr="00EA4C9B">
        <w:rPr>
          <w:rStyle w:val="FootnoteReference"/>
          <w:rFonts w:ascii="Calibri" w:hAnsi="Calibri" w:cs="Calibri"/>
        </w:rPr>
        <w:footnoteReference w:id="590"/>
      </w:r>
      <w:r w:rsidRPr="00EA4C9B">
        <w:rPr>
          <w:rFonts w:ascii="Calibri" w:hAnsi="Calibri" w:cs="Calibri"/>
        </w:rPr>
        <w:t xml:space="preserve">. The regulation does not specify whether the </w:t>
      </w:r>
      <w:r w:rsidRPr="00EA4C9B">
        <w:rPr>
          <w:rFonts w:ascii="Calibri" w:hAnsi="Calibri" w:cs="Calibri"/>
        </w:rPr>
        <w:lastRenderedPageBreak/>
        <w:t xml:space="preserve">reasoning behind the fees was environmental. We also did not find evidence that tax proceeds have been earmarked for environmental causes. </w:t>
      </w:r>
    </w:p>
    <w:p w14:paraId="1B487B7A" w14:textId="77777777" w:rsidR="00664BE6" w:rsidRPr="00EA4C9B" w:rsidRDefault="00664BE6" w:rsidP="00664BE6">
      <w:pPr>
        <w:rPr>
          <w:rFonts w:ascii="Calibri" w:hAnsi="Calibri" w:cs="Calibri"/>
        </w:rPr>
      </w:pPr>
      <w:r w:rsidRPr="00EA4C9B">
        <w:rPr>
          <w:rFonts w:ascii="Calibri" w:hAnsi="Calibri" w:cs="Calibri"/>
          <w:b/>
          <w:bCs/>
        </w:rPr>
        <w:t>Effluent discharge charges</w:t>
      </w:r>
      <w:r w:rsidRPr="00EA4C9B">
        <w:rPr>
          <w:rFonts w:ascii="Calibri" w:hAnsi="Calibri" w:cs="Calibri"/>
        </w:rPr>
        <w:t>. In Malta, effluent discharge charges are based on a public sewer discharge permit system, requiring businesses discharging trade effluent to apply for a permit and pay a fee. The Water Services Corporation is the agency issuing permits for a year, after which they require renewal. The fee for an application form is €11.65. Public sewer discharge permits are issued to food packing plants, hospitals, pharmaceutical companies, farms and other industries</w:t>
      </w:r>
      <w:r w:rsidRPr="00EA4C9B">
        <w:rPr>
          <w:rStyle w:val="FootnoteReference"/>
          <w:rFonts w:ascii="Calibri" w:hAnsi="Calibri" w:cs="Calibri"/>
        </w:rPr>
        <w:footnoteReference w:id="591"/>
      </w:r>
      <w:r w:rsidRPr="00EA4C9B">
        <w:rPr>
          <w:rFonts w:ascii="Calibri" w:hAnsi="Calibri" w:cs="Calibri"/>
        </w:rPr>
        <w:t xml:space="preserve"> </w:t>
      </w:r>
      <w:r w:rsidRPr="00EA4C9B">
        <w:rPr>
          <w:rStyle w:val="FootnoteReference"/>
          <w:rFonts w:ascii="Calibri" w:hAnsi="Calibri" w:cs="Calibri"/>
        </w:rPr>
        <w:footnoteReference w:id="592"/>
      </w:r>
      <w:r w:rsidRPr="00EA4C9B">
        <w:rPr>
          <w:rFonts w:ascii="Calibri" w:hAnsi="Calibri" w:cs="Calibri"/>
        </w:rPr>
        <w:t xml:space="preserve">. The fee is not an environmental tax as it is a requited payment. </w:t>
      </w:r>
    </w:p>
    <w:p w14:paraId="46B5C1B9" w14:textId="77777777" w:rsidR="00664BE6" w:rsidRPr="00EA4C9B" w:rsidRDefault="00664BE6" w:rsidP="00664BE6">
      <w:pPr>
        <w:rPr>
          <w:rFonts w:ascii="Calibri" w:hAnsi="Calibri" w:cs="Calibri"/>
        </w:rPr>
      </w:pPr>
      <w:r w:rsidRPr="00EA4C9B">
        <w:rPr>
          <w:rFonts w:ascii="Calibri" w:hAnsi="Calibri" w:cs="Calibri"/>
          <w:b/>
          <w:bCs/>
        </w:rPr>
        <w:t>Fish farm licence</w:t>
      </w:r>
      <w:r w:rsidRPr="00EA4C9B">
        <w:rPr>
          <w:rFonts w:ascii="Calibri" w:hAnsi="Calibri" w:cs="Calibri"/>
        </w:rPr>
        <w:t>. Under the amendments to Subsidiary Legislation 425.12, Aquaculture Operations Regulations (made in 2020), the government created the Aquaculture Fund. The Fund shall be used to support initiatives related to aquaculture, incl. those aimed at safeguarding the environment and ensuring the environmentally sustainable development of the sector. It may also be used to carry out necessary works or to address environmental damage linked to aquaculture activities. Operators have to obtain a permit and pay a fee of €31,500, which is channelled to the Fund. If an application is rejected, an operator receives a refund. In addition, tuna fishing farms with an operational permit shall pay €10,000 annually to the Fund, and other fish farms – €5,000</w:t>
      </w:r>
      <w:r w:rsidRPr="00EA4C9B">
        <w:rPr>
          <w:rStyle w:val="FootnoteReference"/>
          <w:rFonts w:ascii="Calibri" w:hAnsi="Calibri" w:cs="Calibri"/>
        </w:rPr>
        <w:footnoteReference w:id="593"/>
      </w:r>
      <w:r w:rsidRPr="00EA4C9B">
        <w:rPr>
          <w:rFonts w:ascii="Calibri" w:hAnsi="Calibri" w:cs="Calibri"/>
        </w:rPr>
        <w:t xml:space="preserve">. While in Eurostat, this fee is not classified as a tax, its characteristics are closer to a tax than a fee. The payment is unrequited – the government provides services of considering an application, but the charge is not proportionate to the administrative costs of the government, and if an application is rejected, the payment is refunded. At the same time, funds are directed to the Aquaculture Fund and spent on improving the environment. </w:t>
      </w:r>
    </w:p>
    <w:p w14:paraId="45D5BE35" w14:textId="77777777" w:rsidR="00664BE6" w:rsidRPr="00EA4C9B" w:rsidRDefault="00664BE6" w:rsidP="00664BE6">
      <w:pPr>
        <w:rPr>
          <w:rFonts w:ascii="Calibri" w:hAnsi="Calibri" w:cs="Calibri"/>
        </w:rPr>
      </w:pPr>
      <w:r w:rsidRPr="00EA4C9B">
        <w:rPr>
          <w:rFonts w:ascii="Calibri" w:hAnsi="Calibri" w:cs="Calibri"/>
          <w:b/>
          <w:bCs/>
        </w:rPr>
        <w:t>Hunting licence fees</w:t>
      </w:r>
      <w:r w:rsidRPr="00EA4C9B">
        <w:rPr>
          <w:rFonts w:ascii="Calibri" w:hAnsi="Calibri" w:cs="Calibri"/>
        </w:rPr>
        <w:t>. Subsidiary Legislation 10.39, Hunting Licences Regulations requires obtaining a license for any hunting activities</w:t>
      </w:r>
      <w:r w:rsidRPr="00EA4C9B">
        <w:rPr>
          <w:rStyle w:val="FootnoteReference"/>
          <w:rFonts w:ascii="Calibri" w:hAnsi="Calibri" w:cs="Calibri"/>
        </w:rPr>
        <w:footnoteReference w:id="594"/>
      </w:r>
      <w:r w:rsidRPr="00EA4C9B">
        <w:rPr>
          <w:rFonts w:ascii="Calibri" w:hAnsi="Calibri" w:cs="Calibri"/>
        </w:rPr>
        <w:t>. The fee is €50 per license for most animals, and €25 for a rabbit license. The license is valid for five years</w:t>
      </w:r>
      <w:r w:rsidRPr="00EA4C9B">
        <w:rPr>
          <w:rStyle w:val="FootnoteReference"/>
          <w:rFonts w:ascii="Calibri" w:hAnsi="Calibri" w:cs="Calibri"/>
        </w:rPr>
        <w:footnoteReference w:id="595"/>
      </w:r>
      <w:r w:rsidRPr="00EA4C9B">
        <w:rPr>
          <w:rFonts w:ascii="Calibri" w:hAnsi="Calibri" w:cs="Calibri"/>
        </w:rPr>
        <w:t xml:space="preserve"> </w:t>
      </w:r>
      <w:r w:rsidRPr="00EA4C9B">
        <w:rPr>
          <w:rStyle w:val="FootnoteReference"/>
          <w:rFonts w:ascii="Calibri" w:hAnsi="Calibri" w:cs="Calibri"/>
        </w:rPr>
        <w:footnoteReference w:id="596"/>
      </w:r>
      <w:r w:rsidRPr="00EA4C9B">
        <w:rPr>
          <w:rFonts w:ascii="Calibri" w:hAnsi="Calibri" w:cs="Calibri"/>
        </w:rPr>
        <w:t>. Notably, the system was reviewed in 2016, and fees were reduced several times compared to the previous ones</w:t>
      </w:r>
      <w:r w:rsidRPr="00EA4C9B">
        <w:rPr>
          <w:rStyle w:val="FootnoteReference"/>
          <w:rFonts w:ascii="Calibri" w:hAnsi="Calibri" w:cs="Calibri"/>
        </w:rPr>
        <w:footnoteReference w:id="597"/>
      </w:r>
      <w:r w:rsidRPr="00EA4C9B">
        <w:rPr>
          <w:rFonts w:ascii="Calibri" w:hAnsi="Calibri" w:cs="Calibri"/>
        </w:rPr>
        <w:t>. The fee does not change depending on the harm to the environment, and it appears the revenues are not spent on environmental causes, hence, it is not classified as a tax.</w:t>
      </w:r>
    </w:p>
    <w:p w14:paraId="33EED597" w14:textId="77777777" w:rsidR="00664BE6" w:rsidRPr="00EA4C9B" w:rsidRDefault="00664BE6" w:rsidP="00664BE6">
      <w:pPr>
        <w:rPr>
          <w:rFonts w:ascii="Calibri" w:hAnsi="Calibri" w:cs="Calibri"/>
        </w:rPr>
      </w:pPr>
      <w:r w:rsidRPr="00EA4C9B">
        <w:rPr>
          <w:rFonts w:ascii="Calibri" w:hAnsi="Calibri" w:cs="Calibri"/>
          <w:b/>
          <w:bCs/>
        </w:rPr>
        <w:t>Landfill gate charge</w:t>
      </w:r>
      <w:r w:rsidRPr="00EA4C9B">
        <w:rPr>
          <w:rFonts w:ascii="Calibri" w:hAnsi="Calibri" w:cs="Calibri"/>
        </w:rPr>
        <w:t>. Malta has no landfill tax, but there is a fee for landfilling of mixed waste, set by the Deposit of Wastes and Rubble (fees) Regulations (S.L.549.07), Schedule C). The fee from mixed waste was raised from €20 per tonne to €80 in 2025, with planned annual increases to reach €120 per tonne by 2027</w:t>
      </w:r>
      <w:r w:rsidRPr="00EA4C9B">
        <w:rPr>
          <w:rStyle w:val="FootnoteReference"/>
          <w:rFonts w:ascii="Calibri" w:hAnsi="Calibri" w:cs="Calibri"/>
        </w:rPr>
        <w:footnoteReference w:id="598"/>
      </w:r>
      <w:r w:rsidRPr="00EA4C9B">
        <w:rPr>
          <w:rFonts w:ascii="Calibri" w:hAnsi="Calibri" w:cs="Calibri"/>
          <w:vertAlign w:val="superscript"/>
        </w:rPr>
        <w:t xml:space="preserve"> </w:t>
      </w:r>
      <w:r w:rsidRPr="00EA4C9B">
        <w:rPr>
          <w:rStyle w:val="FootnoteReference"/>
          <w:rFonts w:ascii="Calibri" w:hAnsi="Calibri" w:cs="Calibri"/>
        </w:rPr>
        <w:footnoteReference w:id="599"/>
      </w:r>
      <w:r w:rsidRPr="00EA4C9B">
        <w:rPr>
          <w:rFonts w:ascii="Calibri" w:hAnsi="Calibri" w:cs="Calibri"/>
        </w:rPr>
        <w:t>. The fee is paid to WasteServ Malta Ltd, the government-owned entity responsible for managing the country's public waste facilities. Fees differ between different waste categories, e.g. tyres, textiles, gypsum etc.</w:t>
      </w:r>
      <w:r w:rsidRPr="00EA4C9B">
        <w:rPr>
          <w:rStyle w:val="FootnoteReference"/>
          <w:rFonts w:ascii="Calibri" w:hAnsi="Calibri" w:cs="Calibri"/>
        </w:rPr>
        <w:footnoteReference w:id="600"/>
      </w:r>
      <w:r w:rsidRPr="00EA4C9B">
        <w:rPr>
          <w:rFonts w:ascii="Calibri" w:hAnsi="Calibri" w:cs="Calibri"/>
        </w:rPr>
        <w:t xml:space="preserve"> While a landfill tax is usually distinguished from a landfill gate fee, Malta’s fee is closer to a tax, as it aims not just to cover maintenance costs for landfill owners, but to disincentivise the landfilling of waste (which is a feature of a landfill tax</w:t>
      </w:r>
      <w:bookmarkStart w:id="263" w:name="_Ref197616606"/>
      <w:r w:rsidRPr="00EA4C9B">
        <w:rPr>
          <w:rStyle w:val="FootnoteReference"/>
          <w:rFonts w:ascii="Calibri" w:hAnsi="Calibri" w:cs="Calibri"/>
        </w:rPr>
        <w:footnoteReference w:id="601"/>
      </w:r>
      <w:bookmarkEnd w:id="263"/>
      <w:r w:rsidRPr="00EA4C9B">
        <w:rPr>
          <w:rFonts w:ascii="Calibri" w:hAnsi="Calibri" w:cs="Calibri"/>
        </w:rPr>
        <w:t xml:space="preserve">). </w:t>
      </w:r>
    </w:p>
    <w:p w14:paraId="6C84CFA1" w14:textId="77777777" w:rsidR="00664BE6" w:rsidRPr="00EA4C9B" w:rsidRDefault="00664BE6" w:rsidP="00664BE6">
      <w:pPr>
        <w:rPr>
          <w:rFonts w:ascii="Calibri" w:hAnsi="Calibri" w:cs="Calibri"/>
        </w:rPr>
      </w:pPr>
      <w:r w:rsidRPr="00EA4C9B">
        <w:rPr>
          <w:rFonts w:ascii="Calibri" w:hAnsi="Calibri" w:cs="Calibri"/>
          <w:b/>
          <w:bCs/>
        </w:rPr>
        <w:lastRenderedPageBreak/>
        <w:t>Construction waste disposal charge</w:t>
      </w:r>
      <w:r w:rsidRPr="00EA4C9B">
        <w:rPr>
          <w:rFonts w:ascii="Calibri" w:hAnsi="Calibri" w:cs="Calibri"/>
        </w:rPr>
        <w:t>. As an alternative to landfilling, licensed quarries in Malta accept construction and demolition waste. To promote the recycling of construction and demolition (C&amp;D) waste, the Maltese government introduced tax incentives under Legal Notice 218 of 2020. Operators accepting C&amp;D waste at a fee not exceeding €12 per tonne were eligible for a reduced income tax rate of 5% on qualifying income from 2020 through 2025</w:t>
      </w:r>
      <w:r w:rsidRPr="00EA4C9B">
        <w:rPr>
          <w:rStyle w:val="FootnoteReference"/>
          <w:rFonts w:ascii="Calibri" w:hAnsi="Calibri" w:cs="Calibri"/>
        </w:rPr>
        <w:footnoteReference w:id="602"/>
      </w:r>
      <w:r w:rsidRPr="00EA4C9B">
        <w:rPr>
          <w:rFonts w:ascii="Calibri" w:hAnsi="Calibri" w:cs="Calibri"/>
        </w:rPr>
        <w:t xml:space="preserve">. It is not clear if the measure will be extended after 2025. </w:t>
      </w:r>
    </w:p>
    <w:p w14:paraId="3E1E4228" w14:textId="77777777" w:rsidR="00664BE6" w:rsidRPr="00EA4C9B" w:rsidRDefault="00664BE6" w:rsidP="00664BE6">
      <w:pPr>
        <w:rPr>
          <w:rFonts w:ascii="Calibri" w:hAnsi="Calibri" w:cs="Calibri"/>
        </w:rPr>
      </w:pPr>
      <w:r w:rsidRPr="00EA4C9B">
        <w:rPr>
          <w:rFonts w:ascii="Calibri" w:hAnsi="Calibri" w:cs="Calibri"/>
          <w:b/>
          <w:bCs/>
        </w:rPr>
        <w:t>Licensee fee for quarrying stone</w:t>
      </w:r>
      <w:r w:rsidRPr="00EA4C9B">
        <w:rPr>
          <w:rFonts w:ascii="Calibri" w:hAnsi="Calibri" w:cs="Calibri"/>
        </w:rPr>
        <w:t>. Malta imposes an annual operating licence fee of €768.7 for facilities engaged in the quarrying and sale of soft stone or hard stone derivatives. This fixed annual fee is governed by Subsidiary Legislation 128.01 under the Police Licences Regulations</w:t>
      </w:r>
      <w:r w:rsidRPr="00EA4C9B">
        <w:rPr>
          <w:rStyle w:val="FootnoteReference"/>
          <w:rFonts w:ascii="Calibri" w:hAnsi="Calibri" w:cs="Calibri"/>
        </w:rPr>
        <w:footnoteReference w:id="603"/>
      </w:r>
      <w:r w:rsidRPr="00EA4C9B">
        <w:rPr>
          <w:rFonts w:ascii="Calibri" w:hAnsi="Calibri" w:cs="Calibri"/>
        </w:rPr>
        <w:t>. The payment is requited and does not increase depending on the amount, there is also no indication the proceeds are spent on improving the state of the environment. Therefore, it can be classified as a fee.</w:t>
      </w:r>
    </w:p>
    <w:p w14:paraId="29DCDD50" w14:textId="77777777" w:rsidR="00664BE6" w:rsidRPr="00EA4C9B" w:rsidRDefault="00664BE6" w:rsidP="00664BE6">
      <w:pPr>
        <w:rPr>
          <w:rFonts w:ascii="Calibri" w:hAnsi="Calibri" w:cs="Calibri"/>
        </w:rPr>
      </w:pPr>
      <w:r w:rsidRPr="00EA4C9B">
        <w:rPr>
          <w:rFonts w:ascii="Calibri" w:hAnsi="Calibri" w:cs="Calibri"/>
          <w:b/>
          <w:bCs/>
        </w:rPr>
        <w:t>Water tariffs</w:t>
      </w:r>
      <w:r w:rsidRPr="00EA4C9B">
        <w:rPr>
          <w:rFonts w:ascii="Calibri" w:hAnsi="Calibri" w:cs="Calibri"/>
        </w:rPr>
        <w:t>. In Malta, the following rates for water use apply: for residential consumers – €1.3965/m</w:t>
      </w:r>
      <w:r w:rsidRPr="00EA4C9B">
        <w:rPr>
          <w:rFonts w:ascii="Calibri" w:hAnsi="Calibri" w:cs="Calibri"/>
          <w:vertAlign w:val="superscript"/>
        </w:rPr>
        <w:t>3</w:t>
      </w:r>
      <w:r w:rsidRPr="00EA4C9B">
        <w:rPr>
          <w:rFonts w:ascii="Calibri" w:hAnsi="Calibri" w:cs="Calibri"/>
        </w:rPr>
        <w:t xml:space="preserve"> for consumption below 33m</w:t>
      </w:r>
      <w:r w:rsidRPr="00EA4C9B">
        <w:rPr>
          <w:rFonts w:ascii="Calibri" w:hAnsi="Calibri" w:cs="Calibri"/>
          <w:vertAlign w:val="superscript"/>
        </w:rPr>
        <w:t>3</w:t>
      </w:r>
      <w:r w:rsidRPr="00EA4C9B">
        <w:rPr>
          <w:rFonts w:ascii="Calibri" w:hAnsi="Calibri" w:cs="Calibri"/>
        </w:rPr>
        <w:t> per person/year, €5.1395/m</w:t>
      </w:r>
      <w:r w:rsidRPr="00EA4C9B">
        <w:rPr>
          <w:rFonts w:ascii="Calibri" w:hAnsi="Calibri" w:cs="Calibri"/>
          <w:vertAlign w:val="superscript"/>
        </w:rPr>
        <w:t>3</w:t>
      </w:r>
      <w:r w:rsidRPr="00EA4C9B">
        <w:rPr>
          <w:rFonts w:ascii="Calibri" w:hAnsi="Calibri" w:cs="Calibri"/>
        </w:rPr>
        <w:t xml:space="preserve"> for consumption above 33m</w:t>
      </w:r>
      <w:r w:rsidRPr="00EA4C9B">
        <w:rPr>
          <w:rFonts w:ascii="Calibri" w:hAnsi="Calibri" w:cs="Calibri"/>
          <w:vertAlign w:val="superscript"/>
        </w:rPr>
        <w:t>3</w:t>
      </w:r>
      <w:r w:rsidRPr="00EA4C9B">
        <w:rPr>
          <w:rFonts w:ascii="Calibri" w:hAnsi="Calibri" w:cs="Calibri"/>
        </w:rPr>
        <w:t> per person/year; for domestic consumers – €2.185/m</w:t>
      </w:r>
      <w:r w:rsidRPr="00EA4C9B">
        <w:rPr>
          <w:rFonts w:ascii="Calibri" w:hAnsi="Calibri" w:cs="Calibri"/>
          <w:vertAlign w:val="superscript"/>
        </w:rPr>
        <w:t>3</w:t>
      </w:r>
      <w:r w:rsidRPr="00EA4C9B">
        <w:rPr>
          <w:rFonts w:ascii="Calibri" w:hAnsi="Calibri" w:cs="Calibri"/>
        </w:rPr>
        <w:t xml:space="preserve"> for consumption below 33m</w:t>
      </w:r>
      <w:r w:rsidRPr="00EA4C9B">
        <w:rPr>
          <w:rFonts w:ascii="Calibri" w:hAnsi="Calibri" w:cs="Calibri"/>
          <w:vertAlign w:val="superscript"/>
        </w:rPr>
        <w:t>3</w:t>
      </w:r>
      <w:r w:rsidRPr="00EA4C9B">
        <w:rPr>
          <w:rFonts w:ascii="Calibri" w:hAnsi="Calibri" w:cs="Calibri"/>
        </w:rPr>
        <w:t>/year, and €5.1395/m</w:t>
      </w:r>
      <w:r w:rsidRPr="00EA4C9B">
        <w:rPr>
          <w:rFonts w:ascii="Calibri" w:hAnsi="Calibri" w:cs="Calibri"/>
          <w:vertAlign w:val="superscript"/>
        </w:rPr>
        <w:t>3</w:t>
      </w:r>
      <w:r w:rsidRPr="00EA4C9B">
        <w:rPr>
          <w:rFonts w:ascii="Calibri" w:hAnsi="Calibri" w:cs="Calibri"/>
        </w:rPr>
        <w:t xml:space="preserve"> for consumption above 33m</w:t>
      </w:r>
      <w:r w:rsidRPr="00EA4C9B">
        <w:rPr>
          <w:rFonts w:ascii="Calibri" w:hAnsi="Calibri" w:cs="Calibri"/>
          <w:vertAlign w:val="superscript"/>
        </w:rPr>
        <w:t>3</w:t>
      </w:r>
      <w:r w:rsidRPr="00EA4C9B">
        <w:rPr>
          <w:rFonts w:ascii="Calibri" w:hAnsi="Calibri" w:cs="Calibri"/>
        </w:rPr>
        <w:t>/year</w:t>
      </w:r>
      <w:r w:rsidRPr="00EA4C9B">
        <w:rPr>
          <w:rStyle w:val="FootnoteReference"/>
          <w:rFonts w:ascii="Calibri" w:hAnsi="Calibri" w:cs="Calibri"/>
        </w:rPr>
        <w:footnoteReference w:id="604"/>
      </w:r>
      <w:r w:rsidRPr="00EA4C9B">
        <w:rPr>
          <w:rFonts w:ascii="Calibri" w:hAnsi="Calibri" w:cs="Calibri"/>
        </w:rPr>
        <w:t>; for non-residential consumers – €1.995/m</w:t>
      </w:r>
      <w:r w:rsidRPr="00EA4C9B">
        <w:rPr>
          <w:rFonts w:ascii="Calibri" w:hAnsi="Calibri" w:cs="Calibri"/>
          <w:vertAlign w:val="superscript"/>
        </w:rPr>
        <w:t>3</w:t>
      </w:r>
      <w:r w:rsidRPr="00EA4C9B">
        <w:rPr>
          <w:rFonts w:ascii="Calibri" w:hAnsi="Calibri" w:cs="Calibri"/>
        </w:rPr>
        <w:t xml:space="preserve"> for consumption below 168m</w:t>
      </w:r>
      <w:r w:rsidRPr="00EA4C9B">
        <w:rPr>
          <w:rFonts w:ascii="Calibri" w:hAnsi="Calibri" w:cs="Calibri"/>
          <w:vertAlign w:val="superscript"/>
        </w:rPr>
        <w:t>3</w:t>
      </w:r>
      <w:r w:rsidRPr="00EA4C9B">
        <w:rPr>
          <w:rFonts w:ascii="Calibri" w:hAnsi="Calibri" w:cs="Calibri"/>
        </w:rPr>
        <w:t>, €2.375/m</w:t>
      </w:r>
      <w:r w:rsidRPr="00EA4C9B">
        <w:rPr>
          <w:rFonts w:ascii="Calibri" w:hAnsi="Calibri" w:cs="Calibri"/>
          <w:vertAlign w:val="superscript"/>
        </w:rPr>
        <w:t>3</w:t>
      </w:r>
      <w:r w:rsidRPr="00EA4C9B">
        <w:rPr>
          <w:rFonts w:ascii="Calibri" w:hAnsi="Calibri" w:cs="Calibri"/>
        </w:rPr>
        <w:t xml:space="preserve"> for consumption in the range of 168-40,000m</w:t>
      </w:r>
      <w:r w:rsidRPr="00EA4C9B">
        <w:rPr>
          <w:rFonts w:ascii="Calibri" w:hAnsi="Calibri" w:cs="Calibri"/>
          <w:vertAlign w:val="superscript"/>
        </w:rPr>
        <w:t>3</w:t>
      </w:r>
      <w:r w:rsidRPr="00EA4C9B">
        <w:rPr>
          <w:rFonts w:ascii="Calibri" w:hAnsi="Calibri" w:cs="Calibri"/>
        </w:rPr>
        <w:t>, and €1.6625 /m</w:t>
      </w:r>
      <w:r w:rsidRPr="00EA4C9B">
        <w:rPr>
          <w:rFonts w:ascii="Calibri" w:hAnsi="Calibri" w:cs="Calibri"/>
          <w:vertAlign w:val="superscript"/>
        </w:rPr>
        <w:t>3</w:t>
      </w:r>
      <w:r w:rsidRPr="00EA4C9B">
        <w:rPr>
          <w:rFonts w:ascii="Calibri" w:hAnsi="Calibri" w:cs="Calibri"/>
        </w:rPr>
        <w:t xml:space="preserve"> for consumption above 40,000m</w:t>
      </w:r>
      <w:r w:rsidRPr="00EA4C9B">
        <w:rPr>
          <w:rFonts w:ascii="Calibri" w:hAnsi="Calibri" w:cs="Calibri"/>
          <w:vertAlign w:val="superscript"/>
        </w:rPr>
        <w:t>3</w:t>
      </w:r>
      <w:r w:rsidRPr="00EA4C9B">
        <w:rPr>
          <w:rFonts w:ascii="Calibri" w:hAnsi="Calibri" w:cs="Calibri"/>
        </w:rPr>
        <w:t>. Notably, for residential and domestic consumers tariffs increase with the increase in water use, while for commercial and other non-residential it first increases, but then decreases for the consumption above 40,000m</w:t>
      </w:r>
      <w:r w:rsidRPr="00EA4C9B">
        <w:rPr>
          <w:rFonts w:ascii="Calibri" w:hAnsi="Calibri" w:cs="Calibri"/>
          <w:vertAlign w:val="superscript"/>
        </w:rPr>
        <w:t>3</w:t>
      </w:r>
      <w:r w:rsidRPr="00EA4C9B">
        <w:rPr>
          <w:rFonts w:ascii="Calibri" w:hAnsi="Calibri" w:cs="Calibri"/>
        </w:rPr>
        <w:t>. There is also a fixed charge component, which is €59/year for residential and domestic consumers, and €130/year for other consumers</w:t>
      </w:r>
      <w:r w:rsidRPr="00EA4C9B">
        <w:rPr>
          <w:rStyle w:val="FootnoteReference"/>
          <w:rFonts w:ascii="Calibri" w:hAnsi="Calibri" w:cs="Calibri"/>
        </w:rPr>
        <w:footnoteReference w:id="605"/>
      </w:r>
      <w:r w:rsidRPr="00EA4C9B">
        <w:rPr>
          <w:rFonts w:ascii="Calibri" w:hAnsi="Calibri" w:cs="Calibri"/>
        </w:rPr>
        <w:t xml:space="preserve">. There is no evidence on where revenues from these tariffs are channelled. </w:t>
      </w:r>
    </w:p>
    <w:p w14:paraId="65AA4D0F" w14:textId="337BEE32" w:rsidR="00664BE6" w:rsidRPr="00EA4C9B" w:rsidRDefault="00664BE6" w:rsidP="00664BE6">
      <w:pPr>
        <w:rPr>
          <w:rFonts w:ascii="Calibri" w:hAnsi="Calibri" w:cs="Calibri"/>
        </w:rPr>
      </w:pPr>
      <w:r w:rsidRPr="00EA4C9B">
        <w:rPr>
          <w:rFonts w:ascii="Calibri" w:hAnsi="Calibri" w:cs="Calibri"/>
        </w:rPr>
        <w:t>Additionally, PINE database includes other fees, which we did not study in detail, as they are irrelevant for environment: encroachment charges – fees levied by the Lands Authority for the authorised use of government-owned land or property (e.g. for installing billboards)</w:t>
      </w:r>
      <w:r w:rsidRPr="00EA4C9B">
        <w:rPr>
          <w:rStyle w:val="FootnoteReference"/>
          <w:rFonts w:ascii="Calibri" w:hAnsi="Calibri" w:cs="Calibri"/>
        </w:rPr>
        <w:footnoteReference w:id="606"/>
      </w:r>
      <w:r w:rsidRPr="00EA4C9B">
        <w:rPr>
          <w:rFonts w:ascii="Calibri" w:hAnsi="Calibri" w:cs="Calibri"/>
        </w:rPr>
        <w:t>, local council fees (e.g. for  opening or breaking up of footways or streets, deposit of building materials or scaffolding, placement of stalls or kiosks etc.)</w:t>
      </w:r>
      <w:r w:rsidRPr="00EA4C9B">
        <w:rPr>
          <w:rStyle w:val="FootnoteReference"/>
          <w:rFonts w:ascii="Calibri" w:hAnsi="Calibri" w:cs="Calibri"/>
        </w:rPr>
        <w:footnoteReference w:id="607"/>
      </w:r>
      <w:r w:rsidRPr="00EA4C9B">
        <w:rPr>
          <w:rFonts w:ascii="Calibri" w:hAnsi="Calibri" w:cs="Calibri"/>
        </w:rPr>
        <w:t>, bunkering fees for individuals or companies supplying fuel to ships</w:t>
      </w:r>
      <w:r w:rsidRPr="00EA4C9B">
        <w:rPr>
          <w:rStyle w:val="FootnoteReference"/>
          <w:rFonts w:ascii="Calibri" w:hAnsi="Calibri" w:cs="Calibri"/>
        </w:rPr>
        <w:footnoteReference w:id="608"/>
      </w:r>
      <w:r w:rsidRPr="00EA4C9B">
        <w:rPr>
          <w:rFonts w:ascii="Calibri" w:hAnsi="Calibri" w:cs="Calibri"/>
        </w:rPr>
        <w:t>, and a swimming pool license.</w:t>
      </w:r>
    </w:p>
    <w:p w14:paraId="515B1B21" w14:textId="77777777" w:rsidR="00664BE6" w:rsidRPr="00EA4C9B" w:rsidRDefault="00664BE6" w:rsidP="00664BE6">
      <w:pPr>
        <w:rPr>
          <w:rFonts w:ascii="Calibri" w:hAnsi="Calibri" w:cs="Calibri"/>
          <w:b/>
          <w:bCs/>
          <w:i/>
          <w:iCs/>
        </w:rPr>
      </w:pPr>
      <w:r w:rsidRPr="00EA4C9B">
        <w:rPr>
          <w:rFonts w:ascii="Calibri" w:hAnsi="Calibri" w:cs="Calibri"/>
          <w:b/>
          <w:bCs/>
          <w:i/>
          <w:iCs/>
        </w:rPr>
        <w:t>Proposed or postponed environmental taxes</w:t>
      </w:r>
    </w:p>
    <w:p w14:paraId="2F2CA34C" w14:textId="77777777" w:rsidR="00664BE6" w:rsidRPr="00EA4C9B" w:rsidRDefault="00664BE6" w:rsidP="00664BE6">
      <w:pPr>
        <w:rPr>
          <w:rFonts w:ascii="Calibri" w:hAnsi="Calibri" w:cs="Calibri"/>
        </w:rPr>
      </w:pPr>
      <w:r w:rsidRPr="00EA4C9B">
        <w:rPr>
          <w:rFonts w:ascii="Calibri" w:hAnsi="Calibri" w:cs="Calibri"/>
          <w:b/>
          <w:bCs/>
        </w:rPr>
        <w:t xml:space="preserve">Groundwater abstraction fee. </w:t>
      </w:r>
      <w:r w:rsidRPr="00EA4C9B">
        <w:rPr>
          <w:rFonts w:ascii="Calibri" w:hAnsi="Calibri" w:cs="Calibri"/>
        </w:rPr>
        <w:t xml:space="preserve">Malta currently has no fee for groundwater extraction, although it is a critical natural resource for the country. In 2023, the government proposed to introduce tariffs for groundwater use for commercial and residential purposes, while the agricultural sector would have quotas of free water. It was also proposed that businesses that implement water efficiency measures would be eligible for a 25% rebate on their bills. However, it should be noted that 80% of groundwater </w:t>
      </w:r>
      <w:r w:rsidRPr="00EA4C9B">
        <w:rPr>
          <w:rFonts w:ascii="Calibri" w:hAnsi="Calibri" w:cs="Calibri"/>
        </w:rPr>
        <w:lastRenderedPageBreak/>
        <w:t>abstraction by the private sector is for agricultural purposes</w:t>
      </w:r>
      <w:r w:rsidRPr="00EA4C9B">
        <w:rPr>
          <w:rStyle w:val="FootnoteReference"/>
          <w:rFonts w:ascii="Calibri" w:hAnsi="Calibri" w:cs="Calibri"/>
        </w:rPr>
        <w:footnoteReference w:id="609"/>
      </w:r>
      <w:r w:rsidRPr="00EA4C9B">
        <w:rPr>
          <w:rFonts w:ascii="Calibri" w:hAnsi="Calibri" w:cs="Calibri"/>
        </w:rPr>
        <w:t xml:space="preserve">. As of May 2025, the government has not introduced the tariffs. </w:t>
      </w:r>
    </w:p>
    <w:p w14:paraId="5E815A12" w14:textId="77777777" w:rsidR="00664BE6" w:rsidRPr="00EA4C9B" w:rsidRDefault="00664BE6" w:rsidP="00664BE6">
      <w:pPr>
        <w:rPr>
          <w:rFonts w:ascii="Calibri" w:hAnsi="Calibri" w:cs="Calibri"/>
        </w:rPr>
      </w:pPr>
      <w:r w:rsidRPr="00EA4C9B">
        <w:rPr>
          <w:rFonts w:ascii="Calibri" w:hAnsi="Calibri" w:cs="Calibri"/>
          <w:b/>
          <w:bCs/>
        </w:rPr>
        <w:t>Landfill gate fee for construction and demolition waste</w:t>
      </w:r>
      <w:r w:rsidRPr="00EA4C9B">
        <w:rPr>
          <w:rFonts w:ascii="Calibri" w:hAnsi="Calibri" w:cs="Calibri"/>
        </w:rPr>
        <w:t>. In the Construction and Demolition Waste Strategy for Malta for 2021-2030, it was planned to conduct a cost-benefit analysis to assess the true cost of landfilling construction and demolition waste, with the goal of introducing a differentiated landfill gate fee for sorted and mixed C&amp;D waste. While not being a tax, the measure is intended to reduce landfilling, promote sorting, and preserve landfill space by diverting clean inert material that could otherwise be recovered</w:t>
      </w:r>
      <w:r w:rsidRPr="00EA4C9B">
        <w:rPr>
          <w:rStyle w:val="FootnoteReference"/>
          <w:rFonts w:ascii="Calibri" w:hAnsi="Calibri" w:cs="Calibri"/>
        </w:rPr>
        <w:footnoteReference w:id="610"/>
      </w:r>
      <w:r w:rsidRPr="00EA4C9B">
        <w:rPr>
          <w:rFonts w:ascii="Calibri" w:hAnsi="Calibri" w:cs="Calibri"/>
        </w:rPr>
        <w:t>.</w:t>
      </w:r>
    </w:p>
    <w:p w14:paraId="23695EF9" w14:textId="77777777" w:rsidR="00664BE6" w:rsidRPr="00EA4C9B" w:rsidRDefault="00664BE6" w:rsidP="00664BE6">
      <w:pPr>
        <w:rPr>
          <w:rFonts w:ascii="Calibri" w:hAnsi="Calibri" w:cs="Calibri"/>
        </w:rPr>
      </w:pPr>
      <w:r w:rsidRPr="00EA4C9B">
        <w:rPr>
          <w:rFonts w:ascii="Calibri" w:hAnsi="Calibri" w:cs="Calibri"/>
          <w:b/>
          <w:bCs/>
        </w:rPr>
        <w:t>Pay-as-you-throw scheme</w:t>
      </w:r>
      <w:r w:rsidRPr="00EA4C9B">
        <w:rPr>
          <w:rFonts w:ascii="Calibri" w:hAnsi="Calibri" w:cs="Calibri"/>
        </w:rPr>
        <w:t>. Pay-as-you-throw is a system where users are charged based on the quantity of mixed waste they generate and deliver to the waste management system</w:t>
      </w:r>
      <w:r w:rsidRPr="00EA4C9B">
        <w:rPr>
          <w:rStyle w:val="FootnoteReference"/>
          <w:rFonts w:ascii="Calibri" w:hAnsi="Calibri" w:cs="Calibri"/>
        </w:rPr>
        <w:footnoteReference w:id="611"/>
      </w:r>
      <w:r w:rsidRPr="00EA4C9B">
        <w:rPr>
          <w:rFonts w:ascii="Calibri" w:hAnsi="Calibri" w:cs="Calibri"/>
        </w:rPr>
        <w:t>. The Waste Management Plan for 2021 outlines a policy measure to assess the introduction of a service charge based on the pay-as-you-throw principle. This initiative will be supported by new legislation making waste separation at source compulsory, penalizing landfilling and rewarding separation/recycling</w:t>
      </w:r>
      <w:r w:rsidRPr="00EA4C9B">
        <w:rPr>
          <w:rStyle w:val="FootnoteReference"/>
          <w:rFonts w:ascii="Calibri" w:hAnsi="Calibri" w:cs="Calibri"/>
        </w:rPr>
        <w:footnoteReference w:id="612"/>
      </w:r>
      <w:r w:rsidRPr="00EA4C9B">
        <w:rPr>
          <w:rFonts w:ascii="Calibri" w:hAnsi="Calibri" w:cs="Calibri"/>
        </w:rPr>
        <w:t xml:space="preserve">. </w:t>
      </w:r>
    </w:p>
    <w:p w14:paraId="1C6D48A8" w14:textId="77777777" w:rsidR="00664BE6" w:rsidRPr="00EA4C9B" w:rsidRDefault="00664BE6" w:rsidP="00664BE6">
      <w:pPr>
        <w:rPr>
          <w:rFonts w:ascii="Calibri" w:hAnsi="Calibri" w:cs="Calibri"/>
          <w:b/>
          <w:bCs/>
          <w:i/>
          <w:iCs/>
        </w:rPr>
      </w:pPr>
      <w:r w:rsidRPr="00EA4C9B">
        <w:rPr>
          <w:rFonts w:ascii="Calibri" w:hAnsi="Calibri" w:cs="Calibri"/>
          <w:b/>
          <w:bCs/>
          <w:i/>
          <w:iCs/>
        </w:rPr>
        <w:t>Conclusions, country-specific recommendations and reform progress</w:t>
      </w:r>
    </w:p>
    <w:p w14:paraId="27891279" w14:textId="77777777" w:rsidR="00664BE6" w:rsidRPr="00EA4C9B" w:rsidRDefault="00664BE6" w:rsidP="00664BE6">
      <w:pPr>
        <w:spacing w:after="200"/>
        <w:rPr>
          <w:rFonts w:ascii="Calibri" w:hAnsi="Calibri" w:cs="Calibri"/>
        </w:rPr>
      </w:pPr>
      <w:r w:rsidRPr="00EA4C9B">
        <w:rPr>
          <w:rFonts w:ascii="Calibri" w:hAnsi="Calibri" w:cs="Calibri"/>
        </w:rPr>
        <w:t>The share of environmental taxes as a percentage of GDP was slightly below the EU aggregate in 2022. At the same time, the share of pollution and resources taxes in total environmental taxes was above the EU average. Overall, there appears to be scope to enhance the implementation of the polluter pays principle. Out of six main pollution and resource taxes, Malta has implemented three: </w:t>
      </w:r>
    </w:p>
    <w:p w14:paraId="509683B3" w14:textId="77777777" w:rsidR="00664BE6" w:rsidRPr="00EA4C9B" w:rsidRDefault="00664BE6" w:rsidP="009B400E">
      <w:pPr>
        <w:numPr>
          <w:ilvl w:val="0"/>
          <w:numId w:val="14"/>
        </w:numPr>
        <w:spacing w:after="0"/>
        <w:rPr>
          <w:rFonts w:ascii="Calibri" w:hAnsi="Calibri" w:cs="Calibri"/>
        </w:rPr>
      </w:pPr>
      <w:r w:rsidRPr="00EA4C9B">
        <w:rPr>
          <w:rFonts w:ascii="Calibri" w:hAnsi="Calibri" w:cs="Calibri"/>
        </w:rPr>
        <w:t>Tax on waste landfilling – no tax, but a fee is implemented; </w:t>
      </w:r>
    </w:p>
    <w:p w14:paraId="39473867" w14:textId="77777777" w:rsidR="00664BE6" w:rsidRPr="00EA4C9B" w:rsidRDefault="00664BE6" w:rsidP="009B400E">
      <w:pPr>
        <w:numPr>
          <w:ilvl w:val="0"/>
          <w:numId w:val="15"/>
        </w:numPr>
        <w:spacing w:after="0"/>
        <w:rPr>
          <w:rFonts w:ascii="Calibri" w:hAnsi="Calibri" w:cs="Calibri"/>
        </w:rPr>
      </w:pPr>
      <w:r w:rsidRPr="00EA4C9B">
        <w:rPr>
          <w:rFonts w:ascii="Calibri" w:hAnsi="Calibri" w:cs="Calibri"/>
        </w:rPr>
        <w:t>Tax on plastic products – implemented (only on plastic bags); </w:t>
      </w:r>
    </w:p>
    <w:p w14:paraId="7C4BA11B" w14:textId="77777777" w:rsidR="00664BE6" w:rsidRPr="00EA4C9B" w:rsidRDefault="00664BE6" w:rsidP="009B400E">
      <w:pPr>
        <w:numPr>
          <w:ilvl w:val="0"/>
          <w:numId w:val="16"/>
        </w:numPr>
        <w:spacing w:after="0"/>
        <w:rPr>
          <w:rFonts w:ascii="Calibri" w:hAnsi="Calibri" w:cs="Calibri"/>
        </w:rPr>
      </w:pPr>
      <w:r w:rsidRPr="00EA4C9B">
        <w:rPr>
          <w:rFonts w:ascii="Calibri" w:hAnsi="Calibri" w:cs="Calibri"/>
        </w:rPr>
        <w:t>Air pollution, e.g., tax on NO</w:t>
      </w:r>
      <w:r w:rsidRPr="00EA4C9B">
        <w:rPr>
          <w:rFonts w:ascii="Calibri" w:hAnsi="Calibri" w:cs="Calibri"/>
          <w:vertAlign w:val="subscript"/>
        </w:rPr>
        <w:t>x</w:t>
      </w:r>
      <w:r w:rsidRPr="00EA4C9B">
        <w:rPr>
          <w:rFonts w:ascii="Calibri" w:hAnsi="Calibri" w:cs="Calibri"/>
        </w:rPr>
        <w:t xml:space="preserve"> emissions – not implemented; </w:t>
      </w:r>
    </w:p>
    <w:p w14:paraId="7C7072E7" w14:textId="77777777" w:rsidR="00664BE6" w:rsidRPr="00EA4C9B" w:rsidRDefault="00664BE6" w:rsidP="009B400E">
      <w:pPr>
        <w:numPr>
          <w:ilvl w:val="0"/>
          <w:numId w:val="17"/>
        </w:numPr>
        <w:spacing w:after="0"/>
        <w:rPr>
          <w:rFonts w:ascii="Calibri" w:hAnsi="Calibri" w:cs="Calibri"/>
        </w:rPr>
      </w:pPr>
      <w:r w:rsidRPr="00EA4C9B">
        <w:rPr>
          <w:rFonts w:ascii="Calibri" w:hAnsi="Calibri" w:cs="Calibri"/>
        </w:rPr>
        <w:t>Tax on water pollution – there are only effluent discharge charges implemented; </w:t>
      </w:r>
    </w:p>
    <w:p w14:paraId="00F50FEB" w14:textId="77777777" w:rsidR="00664BE6" w:rsidRPr="00EA4C9B" w:rsidRDefault="00664BE6" w:rsidP="009B400E">
      <w:pPr>
        <w:numPr>
          <w:ilvl w:val="0"/>
          <w:numId w:val="18"/>
        </w:numPr>
        <w:spacing w:after="0"/>
        <w:rPr>
          <w:rFonts w:ascii="Calibri" w:hAnsi="Calibri" w:cs="Calibri"/>
        </w:rPr>
      </w:pPr>
      <w:r w:rsidRPr="00EA4C9B">
        <w:rPr>
          <w:rFonts w:ascii="Calibri" w:hAnsi="Calibri" w:cs="Calibri"/>
        </w:rPr>
        <w:t>Tax on fertilisers – not implemented; </w:t>
      </w:r>
    </w:p>
    <w:p w14:paraId="5470518F" w14:textId="77777777" w:rsidR="00664BE6" w:rsidRPr="00EA4C9B" w:rsidRDefault="00664BE6" w:rsidP="009B400E">
      <w:pPr>
        <w:numPr>
          <w:ilvl w:val="0"/>
          <w:numId w:val="19"/>
        </w:numPr>
        <w:rPr>
          <w:rFonts w:ascii="Calibri" w:hAnsi="Calibri" w:cs="Calibri"/>
        </w:rPr>
      </w:pPr>
      <w:r w:rsidRPr="00EA4C9B">
        <w:rPr>
          <w:rFonts w:ascii="Calibri" w:hAnsi="Calibri" w:cs="Calibri"/>
        </w:rPr>
        <w:t>Tax on pesticides – not implemented</w:t>
      </w:r>
      <w:r w:rsidRPr="00EA4C9B">
        <w:rPr>
          <w:rStyle w:val="FootnoteReference"/>
          <w:rFonts w:ascii="Calibri" w:hAnsi="Calibri" w:cs="Calibri"/>
        </w:rPr>
        <w:footnoteReference w:id="613"/>
      </w:r>
      <w:r w:rsidRPr="00EA4C9B">
        <w:rPr>
          <w:rFonts w:ascii="Calibri" w:hAnsi="Calibri" w:cs="Calibri"/>
        </w:rPr>
        <w:t>. </w:t>
      </w:r>
    </w:p>
    <w:p w14:paraId="73F5B4B6" w14:textId="2C8A6FBC" w:rsidR="00664BE6" w:rsidRPr="00EA4C9B" w:rsidRDefault="00664BE6" w:rsidP="00664BE6">
      <w:pPr>
        <w:spacing w:after="200"/>
        <w:rPr>
          <w:rFonts w:ascii="Calibri" w:hAnsi="Calibri" w:cs="Calibri"/>
        </w:rPr>
      </w:pPr>
      <w:r w:rsidRPr="00EA4C9B">
        <w:rPr>
          <w:rFonts w:ascii="Calibri" w:hAnsi="Calibri" w:cs="Calibri"/>
        </w:rPr>
        <w:t>There is still potential to broaden waste disposal taxes</w:t>
      </w:r>
      <w:r w:rsidR="000B4312">
        <w:rPr>
          <w:rFonts w:ascii="Calibri" w:hAnsi="Calibri" w:cs="Calibri"/>
        </w:rPr>
        <w:t xml:space="preserve"> </w:t>
      </w:r>
      <w:r w:rsidRPr="00EA4C9B">
        <w:rPr>
          <w:rFonts w:ascii="Calibri" w:hAnsi="Calibri" w:cs="Calibri"/>
        </w:rPr>
        <w:t>—</w:t>
      </w:r>
      <w:r w:rsidR="000B4312">
        <w:rPr>
          <w:rFonts w:ascii="Calibri" w:hAnsi="Calibri" w:cs="Calibri"/>
        </w:rPr>
        <w:t xml:space="preserve"> </w:t>
      </w:r>
      <w:r w:rsidRPr="00EA4C9B">
        <w:rPr>
          <w:rFonts w:ascii="Calibri" w:hAnsi="Calibri" w:cs="Calibri"/>
        </w:rPr>
        <w:t>particularly to include incineration</w:t>
      </w:r>
      <w:r w:rsidR="000B4312">
        <w:rPr>
          <w:rFonts w:ascii="Calibri" w:hAnsi="Calibri" w:cs="Calibri"/>
        </w:rPr>
        <w:t xml:space="preserve"> </w:t>
      </w:r>
      <w:r w:rsidRPr="00EA4C9B">
        <w:rPr>
          <w:rFonts w:ascii="Calibri" w:hAnsi="Calibri" w:cs="Calibri"/>
        </w:rPr>
        <w:t>—</w:t>
      </w:r>
      <w:r w:rsidR="000B4312">
        <w:rPr>
          <w:rFonts w:ascii="Calibri" w:hAnsi="Calibri" w:cs="Calibri"/>
        </w:rPr>
        <w:t xml:space="preserve"> </w:t>
      </w:r>
      <w:r w:rsidRPr="00EA4C9B">
        <w:rPr>
          <w:rFonts w:ascii="Calibri" w:hAnsi="Calibri" w:cs="Calibri"/>
        </w:rPr>
        <w:t xml:space="preserve">and to introduce the remaining three categories: taxes on NOx emissions, fertilisers, and pesticides. Furthermore, other categories may be expanded, e.g. a broader tax on packaging could be introduced. </w:t>
      </w:r>
    </w:p>
    <w:p w14:paraId="306003CD" w14:textId="4F50637E" w:rsidR="00664BE6" w:rsidRPr="00947F4C" w:rsidRDefault="00664BE6" w:rsidP="00947F4C">
      <w:pPr>
        <w:spacing w:after="200"/>
        <w:rPr>
          <w:rFonts w:ascii="Calibri" w:hAnsi="Calibri" w:cs="Calibri"/>
        </w:rPr>
      </w:pPr>
      <w:r w:rsidRPr="00EA4C9B">
        <w:rPr>
          <w:rFonts w:ascii="Calibri" w:hAnsi="Calibri" w:cs="Calibri"/>
          <w:b/>
          <w:bCs/>
        </w:rPr>
        <w:t xml:space="preserve">Recent CSRs </w:t>
      </w:r>
      <w:r w:rsidRPr="00EA4C9B">
        <w:rPr>
          <w:rFonts w:ascii="Calibri" w:hAnsi="Calibri" w:cs="Calibri"/>
        </w:rPr>
        <w:t>(including 2025 CSR)</w:t>
      </w:r>
      <w:r w:rsidRPr="00EA4C9B">
        <w:rPr>
          <w:rFonts w:ascii="Calibri" w:hAnsi="Calibri" w:cs="Calibri"/>
          <w:b/>
          <w:bCs/>
        </w:rPr>
        <w:t xml:space="preserve"> </w:t>
      </w:r>
      <w:r w:rsidRPr="00EA4C9B">
        <w:rPr>
          <w:rFonts w:ascii="Calibri" w:hAnsi="Calibri" w:cs="Calibri"/>
        </w:rPr>
        <w:t>did not provide any specific recommendations on environmental taxes. There was only a general recommendation: “For the period beyond 2024, continue to pursue a medium-term fiscal strategy of gradual and sustainable consolidation, combined with investments and reforms conducive to higher sustainable growth, to achieve a prudent medium-term fiscal position” (2023 CSR).</w:t>
      </w:r>
    </w:p>
    <w:p w14:paraId="6E7E8C9D" w14:textId="77777777" w:rsidR="00664BE6" w:rsidRPr="00EA4C9B" w:rsidRDefault="00664BE6" w:rsidP="007C4EB7">
      <w:pPr>
        <w:pStyle w:val="AnnexHeading2"/>
      </w:pPr>
      <w:bookmarkStart w:id="264" w:name="_Toc214008921"/>
      <w:r w:rsidRPr="00EA4C9B">
        <w:lastRenderedPageBreak/>
        <w:t>Potential for implementing additional environmental taxes</w:t>
      </w:r>
      <w:bookmarkEnd w:id="264"/>
    </w:p>
    <w:p w14:paraId="17A241D1" w14:textId="1ADEE52A" w:rsidR="00977562" w:rsidRPr="00977562" w:rsidRDefault="00000000" w:rsidP="00977562">
      <w:sdt>
        <w:sdtPr>
          <w:rPr>
            <w:color w:val="000000"/>
          </w:rPr>
          <w:tag w:val="MENDELEY_CITATION_v3_eyJjaXRhdGlvbklEIjoiTUVOREVMRVlfQ0lUQVRJT05fNTkyOTRhNTgtZjdkNS00ZGRmLTkxYTktNWMwYjRkOGEzYTNh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803807295"/>
          <w:placeholder>
            <w:docPart w:val="DefaultPlaceholder_-1854013440"/>
          </w:placeholder>
        </w:sdtPr>
        <w:sdtContent>
          <w:r w:rsidR="002D122C" w:rsidRPr="002D122C">
            <w:rPr>
              <w:color w:val="000000"/>
            </w:rPr>
            <w:t>Hogg et al. (2016)</w:t>
          </w:r>
        </w:sdtContent>
      </w:sdt>
      <w:r w:rsidR="00977562" w:rsidRPr="00977562">
        <w:t xml:space="preserve"> identified a number of opportunities for Malta to expand its use of pollution and resource taxes to strengthen environmental protection and advance circular economy objectives. Progress since then has been limited, with most recommendations remaining unimplemented or only partially addressed.</w:t>
      </w:r>
    </w:p>
    <w:p w14:paraId="5BF4C72C" w14:textId="743D8540" w:rsidR="00977562" w:rsidRPr="00977562" w:rsidRDefault="00000000" w:rsidP="00977562">
      <w:sdt>
        <w:sdtPr>
          <w:rPr>
            <w:color w:val="000000"/>
          </w:rPr>
          <w:tag w:val="MENDELEY_CITATION_v3_eyJjaXRhdGlvbklEIjoiTUVOREVMRVlfQ0lUQVRJT05fZjVjNmQzNTctMmMzZS00ZTU4LTkxOWQtZDFjMzA1Njc5OTg3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293586388"/>
          <w:placeholder>
            <w:docPart w:val="DefaultPlaceholder_-1854013440"/>
          </w:placeholder>
        </w:sdtPr>
        <w:sdtContent>
          <w:r w:rsidR="002D122C" w:rsidRPr="002D122C">
            <w:rPr>
              <w:color w:val="000000"/>
            </w:rPr>
            <w:t>Hogg et al. (2016)</w:t>
          </w:r>
        </w:sdtContent>
      </w:sdt>
      <w:r w:rsidR="00977562" w:rsidRPr="00977562">
        <w:t xml:space="preserve"> recommended the introduction of an </w:t>
      </w:r>
      <w:r w:rsidR="00977562" w:rsidRPr="00977562">
        <w:rPr>
          <w:b/>
          <w:bCs/>
        </w:rPr>
        <w:t>aggregates tax</w:t>
      </w:r>
      <w:r w:rsidR="00977562" w:rsidRPr="00977562">
        <w:t xml:space="preserve"> at a rate of €2.40 per tonne, applied to domestic extraction and imports of materials such as marble, chalk, dolomite, slate, limestone, gypsum, sand, and gravel, while exempting exports. The measure was intended to reduce environmental pressure from quarrying and promote the use of recycled construction materials. As of 2025, no such tax has been introduced. Malta continues to rely on a fixed annual operating licence fee for quarrying and stone sales, which does not provide a clear environmental incentive or differentiate according to extraction volume.</w:t>
      </w:r>
    </w:p>
    <w:p w14:paraId="39AD1ED7" w14:textId="180D9C69" w:rsidR="00977562" w:rsidRPr="00977562" w:rsidRDefault="00977562" w:rsidP="00977562">
      <w:r w:rsidRPr="00977562">
        <w:t xml:space="preserve">In the field of </w:t>
      </w:r>
      <w:r w:rsidRPr="00977562">
        <w:rPr>
          <w:b/>
          <w:bCs/>
        </w:rPr>
        <w:t>waste management</w:t>
      </w:r>
      <w:r w:rsidRPr="00977562">
        <w:t xml:space="preserve">, </w:t>
      </w:r>
      <w:sdt>
        <w:sdtPr>
          <w:rPr>
            <w:color w:val="000000"/>
          </w:rPr>
          <w:tag w:val="MENDELEY_CITATION_v3_eyJjaXRhdGlvbklEIjoiTUVOREVMRVlfQ0lUQVRJT05fNGIxYzc5MjgtNmY0OC00ZWVmLThjMTMtNjIyY2VhYjBiN2Q1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569033120"/>
          <w:placeholder>
            <w:docPart w:val="DefaultPlaceholder_-1854013440"/>
          </w:placeholder>
        </w:sdtPr>
        <w:sdtContent>
          <w:r w:rsidR="002D122C" w:rsidRPr="002D122C">
            <w:rPr>
              <w:color w:val="000000"/>
            </w:rPr>
            <w:t>Hogg et al. (2016)</w:t>
          </w:r>
        </w:sdtContent>
      </w:sdt>
      <w:r w:rsidRPr="00977562">
        <w:t xml:space="preserve"> proposed a </w:t>
      </w:r>
      <w:r w:rsidRPr="00977562">
        <w:rPr>
          <w:b/>
          <w:bCs/>
        </w:rPr>
        <w:t>landfill tax</w:t>
      </w:r>
      <w:r w:rsidRPr="00977562">
        <w:t xml:space="preserve"> on non-hazardous waste set at €50 per tonne by 2019 to discourage disposal and promote recycling. While Malta has not implemented a distinct landfill tax, it applies a </w:t>
      </w:r>
      <w:r w:rsidRPr="00977562">
        <w:rPr>
          <w:b/>
          <w:bCs/>
        </w:rPr>
        <w:t>landfill gate fee</w:t>
      </w:r>
      <w:r w:rsidRPr="00977562">
        <w:t xml:space="preserve"> for mixed waste, currently €80 per tonne (2025). Although gate fees generally cover operational costs, Malta’s fee performs a quasi-fiscal function by also discouraging the landfilling of waste, bringing it close in effect to a landfill tax. To prevent a shift from landfilling to incineration, the study further recommended a </w:t>
      </w:r>
      <w:r w:rsidRPr="00977562">
        <w:rPr>
          <w:b/>
          <w:bCs/>
        </w:rPr>
        <w:t>waste incineration tax</w:t>
      </w:r>
      <w:r w:rsidRPr="00977562">
        <w:t xml:space="preserve"> of €15 per tonne, applicable to both incineration and mechanical-biological treatment (MBT) facilities. No such tax has yet been introduced.</w:t>
      </w:r>
    </w:p>
    <w:p w14:paraId="524F0B15" w14:textId="5D3F6B88" w:rsidR="00281902" w:rsidRPr="00977562" w:rsidRDefault="00281902" w:rsidP="00977562">
      <w:r>
        <w:t xml:space="preserve">In 2023, the European Commission recommended </w:t>
      </w:r>
      <w:r w:rsidR="00B0012A">
        <w:t xml:space="preserve">the introduction of </w:t>
      </w:r>
      <w:r w:rsidR="00B0012A" w:rsidRPr="00B0012A">
        <w:t>a pay-as-you-throw system that applies to both businesses and households</w:t>
      </w:r>
      <w:r w:rsidR="00B0012A">
        <w:rPr>
          <w:rStyle w:val="FootnoteReference"/>
        </w:rPr>
        <w:footnoteReference w:id="614"/>
      </w:r>
      <w:r w:rsidR="00B0012A">
        <w:t>.</w:t>
      </w:r>
    </w:p>
    <w:p w14:paraId="224331F4" w14:textId="790D7B78" w:rsidR="00977562" w:rsidRPr="00977562" w:rsidRDefault="00000000" w:rsidP="00977562">
      <w:sdt>
        <w:sdtPr>
          <w:rPr>
            <w:color w:val="000000"/>
          </w:rPr>
          <w:tag w:val="MENDELEY_CITATION_v3_eyJjaXRhdGlvbklEIjoiTUVOREVMRVlfQ0lUQVRJT05fMzU3ZWQ2MWItZTZkNS00N2Y2LTk2YzYtYjc1ODIwYTQzNzIy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907674919"/>
          <w:placeholder>
            <w:docPart w:val="DefaultPlaceholder_-1854013440"/>
          </w:placeholder>
        </w:sdtPr>
        <w:sdtContent>
          <w:r w:rsidR="002D122C" w:rsidRPr="002D122C">
            <w:rPr>
              <w:color w:val="000000"/>
            </w:rPr>
            <w:t>Hogg et al. (2016)</w:t>
          </w:r>
        </w:sdtContent>
      </w:sdt>
      <w:r w:rsidR="00977562" w:rsidRPr="00977562">
        <w:t xml:space="preserve"> also highlighted the potential for a </w:t>
      </w:r>
      <w:r w:rsidR="00977562" w:rsidRPr="00977562">
        <w:rPr>
          <w:b/>
          <w:bCs/>
        </w:rPr>
        <w:t>packaging tax</w:t>
      </w:r>
      <w:r w:rsidR="00977562" w:rsidRPr="00977562">
        <w:t xml:space="preserve"> to reduce waste generation and resource use, suggesting differentiated rates by material type</w:t>
      </w:r>
      <w:r w:rsidR="00977562">
        <w:t xml:space="preserve">, </w:t>
      </w:r>
      <w:r w:rsidR="00977562" w:rsidRPr="00977562">
        <w:t>including aluminium, plastic, steel, paper, glass and wood</w:t>
      </w:r>
      <w:r w:rsidR="00977562">
        <w:t xml:space="preserve">, </w:t>
      </w:r>
      <w:r w:rsidR="00977562" w:rsidRPr="00977562">
        <w:t>based on their embodied CO₂ savings. To date, Malta has not implemented a comprehensive packaging tax, and there is no evidence that such a measure has been formally examined. The country does, however, apply an excise duty on plastic bags, which addresses one specific aspect of packaging waste but does not extend to broader packaging materials.</w:t>
      </w:r>
    </w:p>
    <w:p w14:paraId="61084F03" w14:textId="4F714D88" w:rsidR="00977562" w:rsidRPr="00977562" w:rsidRDefault="00977562" w:rsidP="00977562">
      <w:r w:rsidRPr="00E00C7A">
        <w:rPr>
          <w:lang w:val="fr-BE"/>
        </w:rPr>
        <w:t xml:space="preserve">For </w:t>
      </w:r>
      <w:r w:rsidRPr="00E00C7A">
        <w:rPr>
          <w:b/>
          <w:bCs/>
          <w:lang w:val="fr-BE"/>
        </w:rPr>
        <w:t>air pollution</w:t>
      </w:r>
      <w:r w:rsidRPr="00E00C7A">
        <w:rPr>
          <w:lang w:val="fr-BE"/>
        </w:rPr>
        <w:t xml:space="preserve">, </w:t>
      </w:r>
      <w:sdt>
        <w:sdtPr>
          <w:rPr>
            <w:color w:val="000000"/>
          </w:rPr>
          <w:tag w:val="MENDELEY_CITATION_v3_eyJjaXRhdGlvbklEIjoiTUVOREVMRVlfQ0lUQVRJT05fMTg1MjRmNmUtYTIyYS00NGNkLTljY2ItMjU5MTY2OTVmNWVk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494677012"/>
          <w:placeholder>
            <w:docPart w:val="DefaultPlaceholder_-1854013440"/>
          </w:placeholder>
        </w:sdtPr>
        <w:sdtContent>
          <w:r w:rsidR="002D122C" w:rsidRPr="00E00C7A">
            <w:rPr>
              <w:color w:val="000000"/>
              <w:lang w:val="fr-BE"/>
            </w:rPr>
            <w:t xml:space="preserve">Hogg et al. </w:t>
          </w:r>
          <w:r w:rsidR="002D122C" w:rsidRPr="002D122C">
            <w:rPr>
              <w:color w:val="000000"/>
            </w:rPr>
            <w:t>(2016)</w:t>
          </w:r>
        </w:sdtContent>
      </w:sdt>
      <w:r>
        <w:rPr>
          <w:color w:val="000000"/>
        </w:rPr>
        <w:t xml:space="preserve"> </w:t>
      </w:r>
      <w:r w:rsidRPr="00977562">
        <w:t>recommended the introduction of taxes on major pollutants at the rates of €1,000 per tonne for nitrogen oxides (NO</w:t>
      </w:r>
      <w:r w:rsidRPr="00977562">
        <w:rPr>
          <w:vertAlign w:val="subscript"/>
        </w:rPr>
        <w:t>x</w:t>
      </w:r>
      <w:r w:rsidRPr="00977562">
        <w:t>) and sulphur oxides (SO</w:t>
      </w:r>
      <w:r w:rsidRPr="00977562">
        <w:rPr>
          <w:vertAlign w:val="subscript"/>
        </w:rPr>
        <w:t>x</w:t>
      </w:r>
      <w:r w:rsidRPr="00977562">
        <w:t>), and €1,000 per tonne for particulate matter (PM₁₀). These taxes were meant to create incentives for cleaner technologies and reduce emissions from energy production and transport. Malta has not adopted any specific air-pollution tax. While general air quality has improved across the EU, data show that in Malta, the number of instances where pollutant concentrations exceeded target levels remained unchanged between 2015 and 2022, suggesting that further action is required to meet air-quality objectives.</w:t>
      </w:r>
    </w:p>
    <w:p w14:paraId="2CF7CA2F" w14:textId="5D188DF6" w:rsidR="00977562" w:rsidRPr="00977562" w:rsidRDefault="00000000" w:rsidP="00977562">
      <w:sdt>
        <w:sdtPr>
          <w:rPr>
            <w:color w:val="000000"/>
          </w:rPr>
          <w:tag w:val="MENDELEY_CITATION_v3_eyJjaXRhdGlvbklEIjoiTUVOREVMRVlfQ0lUQVRJT05fMWRkOGNiZTItNzE0MS00NTIzLTg4MGMtNTBmMGM0Y2I3Zjhh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817410026"/>
          <w:placeholder>
            <w:docPart w:val="DefaultPlaceholder_-1854013440"/>
          </w:placeholder>
        </w:sdtPr>
        <w:sdtContent>
          <w:r w:rsidR="002D122C" w:rsidRPr="002D122C">
            <w:rPr>
              <w:color w:val="000000"/>
            </w:rPr>
            <w:t>Hogg et al. (2016)</w:t>
          </w:r>
        </w:sdtContent>
      </w:sdt>
      <w:r w:rsidR="00977562" w:rsidRPr="00977562">
        <w:t xml:space="preserve"> also recommended the introduction of a </w:t>
      </w:r>
      <w:r w:rsidR="00977562" w:rsidRPr="00977562">
        <w:rPr>
          <w:b/>
          <w:bCs/>
        </w:rPr>
        <w:t>water abstraction tax</w:t>
      </w:r>
      <w:r w:rsidR="00977562" w:rsidRPr="00977562">
        <w:t xml:space="preserve">, to be phased in between 2016 and 2021, reaching full rates of €300 per 1,000 m³ for households, €190 per 1,000 m³ for industry, and €26 per 1,000 m³ for agriculture. While Malta has well-established water tariffs reflecting service costs, no tax component is included, and there is no fee or tax on groundwater abstraction despite ongoing pressures on freshwater resources. Introducing such a tax could improve </w:t>
      </w:r>
      <w:r w:rsidR="00977562" w:rsidRPr="00977562">
        <w:lastRenderedPageBreak/>
        <w:t>efficiency and help address groundwater overexploitation, which remains a structural environmental challenge.</w:t>
      </w:r>
    </w:p>
    <w:p w14:paraId="578FEC18" w14:textId="771B6A16" w:rsidR="00977562" w:rsidRPr="00977562" w:rsidRDefault="00977562" w:rsidP="00977562">
      <w:r w:rsidRPr="00977562">
        <w:t xml:space="preserve">Similarly, a </w:t>
      </w:r>
      <w:r w:rsidRPr="00977562">
        <w:rPr>
          <w:b/>
          <w:bCs/>
        </w:rPr>
        <w:t>wastewater tax</w:t>
      </w:r>
      <w:r w:rsidRPr="00977562">
        <w:t xml:space="preserve"> was recommended to address water pollution from industrial discharges, replacing the current one-time permit application fee for trade effluents. No such tax has been introduced as of May 2025.</w:t>
      </w:r>
    </w:p>
    <w:p w14:paraId="7AA5032E" w14:textId="75BB989C" w:rsidR="00977562" w:rsidRPr="00977562" w:rsidRDefault="00977562" w:rsidP="00977562">
      <w:r w:rsidRPr="00977562">
        <w:t xml:space="preserve">To address diffuse agricultural pollution, </w:t>
      </w:r>
      <w:sdt>
        <w:sdtPr>
          <w:rPr>
            <w:color w:val="000000"/>
          </w:rPr>
          <w:tag w:val="MENDELEY_CITATION_v3_eyJjaXRhdGlvbklEIjoiTUVOREVMRVlfQ0lUQVRJT05fODNkMzg5MzAtMjhiNy00MDM1LWFjZjctODBlMjFmZjFjYzVl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527333974"/>
          <w:placeholder>
            <w:docPart w:val="DefaultPlaceholder_-1854013440"/>
          </w:placeholder>
        </w:sdtPr>
        <w:sdtContent>
          <w:r w:rsidR="002D122C" w:rsidRPr="002D122C">
            <w:rPr>
              <w:color w:val="000000"/>
            </w:rPr>
            <w:t>Hogg et al. (2016)</w:t>
          </w:r>
        </w:sdtContent>
      </w:sdt>
      <w:r w:rsidRPr="00977562">
        <w:t xml:space="preserve"> proposed two product-based taxes: a </w:t>
      </w:r>
      <w:r w:rsidRPr="00977562">
        <w:rPr>
          <w:b/>
          <w:bCs/>
        </w:rPr>
        <w:t>pesticides tax</w:t>
      </w:r>
      <w:r w:rsidRPr="00977562">
        <w:t xml:space="preserve"> at €15 per kilogram of active ingredient, aimed at reducing chemical runoff and ecological damage, and a </w:t>
      </w:r>
      <w:r w:rsidRPr="00977562">
        <w:rPr>
          <w:b/>
          <w:bCs/>
        </w:rPr>
        <w:t>fertiliser tax</w:t>
      </w:r>
      <w:r w:rsidRPr="00977562">
        <w:t xml:space="preserve"> at €0.30 per kilogram of nitrogen, phased in gradually from 2017 to 2019. Neither has been implemented. On the contrary, in response to sharp increases in fertiliser prices following Russia’s aggression against Ukraine, the Maltese government introduced temporary support measures in 2023–2024 to assist micro and small farmers with input costs. These measures helped maintain economic stability but delayed progress towards fiscal incentives for reducing nutrient losses.</w:t>
      </w:r>
    </w:p>
    <w:p w14:paraId="5477C7B5" w14:textId="25802EE4" w:rsidR="00664BE6" w:rsidRPr="00EA4C9B" w:rsidRDefault="00977562" w:rsidP="00977562">
      <w:r w:rsidRPr="00977562">
        <w:t xml:space="preserve">In summary, Malta has taken limited steps to implement the recommendations of </w:t>
      </w:r>
      <w:sdt>
        <w:sdtPr>
          <w:rPr>
            <w:color w:val="000000"/>
          </w:rPr>
          <w:tag w:val="MENDELEY_CITATION_v3_eyJjaXRhdGlvbklEIjoiTUVOREVMRVlfQ0lUQVRJT05fODkxZWYxM2QtYjg0NC00MTk2LWIyZGQtM2RmNmJkYmJiZWMz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718428350"/>
          <w:placeholder>
            <w:docPart w:val="DefaultPlaceholder_-1854013440"/>
          </w:placeholder>
        </w:sdtPr>
        <w:sdtContent>
          <w:r w:rsidR="002D122C" w:rsidRPr="002D122C">
            <w:rPr>
              <w:color w:val="000000"/>
            </w:rPr>
            <w:t>Hogg et al. (2016)</w:t>
          </w:r>
        </w:sdtContent>
      </w:sdt>
      <w:r w:rsidRPr="00977562">
        <w:t>. The landfill gate fee remains the only measure with a comparable effect to a pollution or resource tax. Introducing or strengthening instruments such as water abstraction and wastewater taxes, air-pollution charges, and product-based levies on fertilisers and pesticides would align Malta’s fiscal policy with its environmental objectives and help address persistent issues, notably waste management inefficiencies and groundwater depletion.</w:t>
      </w:r>
    </w:p>
    <w:p w14:paraId="12355CDF" w14:textId="77777777" w:rsidR="00664BE6" w:rsidRPr="00EA4C9B" w:rsidRDefault="00664BE6" w:rsidP="007C4EB7">
      <w:pPr>
        <w:pStyle w:val="AnnexHeading2"/>
      </w:pPr>
      <w:bookmarkStart w:id="265" w:name="_Toc214008922"/>
      <w:r w:rsidRPr="00EA4C9B">
        <w:t>Impacts and feasibility of implementing new environmental taxes</w:t>
      </w:r>
      <w:bookmarkEnd w:id="265"/>
    </w:p>
    <w:p w14:paraId="36D5A1C5" w14:textId="20007261" w:rsidR="00CF4F57" w:rsidRDefault="00CF4F57" w:rsidP="00CF4F57">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4D3DE39B" w14:textId="0CF4674C" w:rsidR="00064CD3" w:rsidRPr="00064CD3" w:rsidRDefault="00064CD3" w:rsidP="00064CD3">
      <w:pPr>
        <w:rPr>
          <w:lang w:eastAsia="en-GB"/>
        </w:rPr>
      </w:pPr>
      <w:r w:rsidRPr="606E24A0">
        <w:rPr>
          <w:lang w:eastAsia="en-GB"/>
        </w:rPr>
        <w:t xml:space="preserve">Malta’s environmental taxation framework is dominated by energy and transport taxes, which together account for around 90 per cent of total environmental tax revenues. Pollution and resource-related instruments remain limited in number, scope, and effectiveness. The modelling results indicate that the introduction of the benchmarked taxes </w:t>
      </w:r>
      <w:r w:rsidR="5E856236" w:rsidRPr="606E24A0">
        <w:rPr>
          <w:lang w:eastAsia="en-GB"/>
        </w:rPr>
        <w:t>c</w:t>
      </w:r>
      <w:r w:rsidRPr="606E24A0">
        <w:rPr>
          <w:lang w:eastAsia="en-GB"/>
        </w:rPr>
        <w:t xml:space="preserve">ould deliver measurable environmental improvements and moderate fiscal gains, with low overall macroeconomic risk given the small size and structure of the Maltese economy. The largest potential impacts </w:t>
      </w:r>
      <w:r w:rsidR="4B5D53D4" w:rsidRPr="606E24A0">
        <w:rPr>
          <w:lang w:eastAsia="en-GB"/>
        </w:rPr>
        <w:t xml:space="preserve">would be </w:t>
      </w:r>
      <w:r w:rsidRPr="606E24A0">
        <w:rPr>
          <w:lang w:eastAsia="en-GB"/>
        </w:rPr>
        <w:t>associated with landfill, water abstraction and wastewater, reflecting Malta’s pressing environmental challenges in waste management and freshwater resources.</w:t>
      </w:r>
    </w:p>
    <w:p w14:paraId="5F2B5978" w14:textId="1D142EB5" w:rsidR="00064CD3" w:rsidRDefault="00064CD3" w:rsidP="00064CD3">
      <w:pPr>
        <w:rPr>
          <w:lang w:eastAsia="en-GB"/>
        </w:rPr>
      </w:pPr>
      <w:r>
        <w:rPr>
          <w:lang w:eastAsia="en-GB"/>
        </w:rPr>
        <w:t xml:space="preserve">Total revenues from the </w:t>
      </w:r>
      <w:r w:rsidR="00185A09">
        <w:t>investigated</w:t>
      </w:r>
      <w:r w:rsidR="00185A09">
        <w:rPr>
          <w:lang w:eastAsia="en-GB"/>
        </w:rPr>
        <w:t xml:space="preserve"> </w:t>
      </w:r>
      <w:r>
        <w:rPr>
          <w:lang w:eastAsia="en-GB"/>
        </w:rPr>
        <w:t>taxes could rise by €51 million in 2030 and 2035, representing an increase of 1.6 times in the revenues for pollution and resource taxes relative to 2023. The main gains are from water effluent (69%), water abstraction (12%), waste to landfill and mineral extraction (around 10% each). Reduction in emissions or use of materials is greatest for pesticides (50%), waste to landfill (25%), waste incineration (20%, water effluent and minerals (17% each).  PM2.5 emissions fall by 14%.</w:t>
      </w:r>
      <w:r w:rsidR="00245941">
        <w:rPr>
          <w:lang w:eastAsia="en-GB"/>
        </w:rPr>
        <w:br w:type="page"/>
      </w: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26"/>
        <w:gridCol w:w="1126"/>
        <w:gridCol w:w="1032"/>
        <w:gridCol w:w="1220"/>
        <w:gridCol w:w="969"/>
        <w:gridCol w:w="1283"/>
      </w:tblGrid>
      <w:tr w:rsidR="00064CD3" w:rsidRPr="00F501DA" w14:paraId="1EDA2EA2" w14:textId="77777777" w:rsidTr="00BA7936">
        <w:trPr>
          <w:trHeight w:val="337"/>
        </w:trPr>
        <w:tc>
          <w:tcPr>
            <w:tcW w:w="9008" w:type="dxa"/>
            <w:gridSpan w:val="7"/>
            <w:shd w:val="clear" w:color="auto" w:fill="003399"/>
          </w:tcPr>
          <w:p w14:paraId="188419B0" w14:textId="30A4DEF5" w:rsidR="00064CD3" w:rsidRPr="00E252F4" w:rsidRDefault="00064CD3" w:rsidP="000878F6">
            <w:pPr>
              <w:pStyle w:val="Table"/>
              <w:rPr>
                <w:b/>
              </w:rPr>
            </w:pPr>
            <w:r w:rsidRPr="00EF279C">
              <w:rPr>
                <w:b/>
                <w:color w:val="FFFFFF" w:themeColor="background1"/>
              </w:rPr>
              <w:lastRenderedPageBreak/>
              <w:t xml:space="preserve">Table </w:t>
            </w:r>
            <w:r w:rsidR="00490085">
              <w:rPr>
                <w:b/>
                <w:bCs/>
                <w:color w:val="FFFFFF" w:themeColor="background1"/>
              </w:rPr>
              <w:t>A6</w:t>
            </w:r>
            <w:r w:rsidRPr="00EF279C">
              <w:rPr>
                <w:b/>
                <w:bCs/>
                <w:color w:val="FFFFFF" w:themeColor="background1"/>
              </w:rPr>
              <w:t>-</w:t>
            </w:r>
            <w:r w:rsidRPr="00EF279C">
              <w:rPr>
                <w:b/>
                <w:bCs/>
                <w:color w:val="FFFFFF" w:themeColor="background1"/>
              </w:rPr>
              <w:fldChar w:fldCharType="begin"/>
            </w:r>
            <w:r w:rsidRPr="00EF279C">
              <w:rPr>
                <w:b/>
                <w:bCs/>
                <w:color w:val="FFFFFF" w:themeColor="background1"/>
              </w:rPr>
              <w:instrText xml:space="preserve"> SEQ Table_A5- \* ARABIC </w:instrText>
            </w:r>
            <w:r w:rsidRPr="00EF279C">
              <w:rPr>
                <w:b/>
                <w:bCs/>
                <w:color w:val="FFFFFF" w:themeColor="background1"/>
              </w:rPr>
              <w:fldChar w:fldCharType="separate"/>
            </w:r>
            <w:r>
              <w:rPr>
                <w:b/>
                <w:bCs/>
                <w:noProof/>
                <w:color w:val="FFFFFF" w:themeColor="background1"/>
              </w:rPr>
              <w:t>95</w:t>
            </w:r>
            <w:r w:rsidRPr="00EF279C">
              <w:rPr>
                <w:b/>
                <w:bCs/>
                <w:color w:val="FFFFFF" w:themeColor="background1"/>
              </w:rPr>
              <w:fldChar w:fldCharType="end"/>
            </w:r>
            <w:r w:rsidRPr="00EF279C">
              <w:rPr>
                <w:b/>
                <w:bCs/>
                <w:color w:val="FFFFFF" w:themeColor="background1"/>
                <w:lang w:eastAsia="en-GB"/>
              </w:rPr>
              <w:t>:</w:t>
            </w:r>
            <w:r w:rsidRPr="00EF279C">
              <w:rPr>
                <w:b/>
                <w:color w:val="FFFFFF" w:themeColor="background1"/>
                <w:lang w:eastAsia="en-GB"/>
              </w:rPr>
              <w:t xml:space="preserve"> Environmental Impacts and Revenue Changes in Malta</w:t>
            </w:r>
            <w:r>
              <w:rPr>
                <w:b/>
                <w:color w:val="FFFFFF" w:themeColor="background1"/>
                <w:lang w:eastAsia="en-GB"/>
              </w:rPr>
              <w:t xml:space="preserve"> – Scenario A</w:t>
            </w:r>
          </w:p>
        </w:tc>
      </w:tr>
      <w:tr w:rsidR="00064CD3" w:rsidRPr="00F501DA" w14:paraId="7E34E85E" w14:textId="77777777" w:rsidTr="00BA7936">
        <w:trPr>
          <w:trHeight w:val="427"/>
        </w:trPr>
        <w:tc>
          <w:tcPr>
            <w:tcW w:w="2252" w:type="dxa"/>
          </w:tcPr>
          <w:p w14:paraId="333BD172" w14:textId="77777777" w:rsidR="00064CD3" w:rsidRPr="00EF279C" w:rsidRDefault="00064CD3" w:rsidP="000878F6">
            <w:pPr>
              <w:pStyle w:val="Table"/>
              <w:rPr>
                <w:b/>
              </w:rPr>
            </w:pPr>
            <w:r w:rsidRPr="00EF279C">
              <w:rPr>
                <w:b/>
              </w:rPr>
              <w:t>Tax Name</w:t>
            </w:r>
          </w:p>
        </w:tc>
        <w:tc>
          <w:tcPr>
            <w:tcW w:w="2252" w:type="dxa"/>
            <w:gridSpan w:val="2"/>
            <w:vAlign w:val="bottom"/>
          </w:tcPr>
          <w:p w14:paraId="18DEDF07" w14:textId="77777777" w:rsidR="00064CD3" w:rsidRPr="0030466D" w:rsidRDefault="00064CD3" w:rsidP="000878F6">
            <w:pPr>
              <w:pStyle w:val="Table"/>
              <w:jc w:val="center"/>
              <w:rPr>
                <w:b/>
                <w:szCs w:val="20"/>
              </w:rPr>
            </w:pPr>
            <w:r w:rsidRPr="0030466D">
              <w:rPr>
                <w:rFonts w:ascii="Calibri" w:hAnsi="Calibri" w:cs="Calibri"/>
                <w:b/>
                <w:bCs/>
                <w:color w:val="000000"/>
                <w:szCs w:val="20"/>
              </w:rPr>
              <w:t>% Change in Quantities as % of taxed sector</w:t>
            </w:r>
          </w:p>
        </w:tc>
        <w:tc>
          <w:tcPr>
            <w:tcW w:w="2252" w:type="dxa"/>
            <w:gridSpan w:val="2"/>
            <w:vAlign w:val="bottom"/>
          </w:tcPr>
          <w:p w14:paraId="391ED680" w14:textId="77777777" w:rsidR="00064CD3" w:rsidRPr="0030466D" w:rsidRDefault="00064CD3" w:rsidP="000878F6">
            <w:pPr>
              <w:pStyle w:val="Table"/>
              <w:jc w:val="center"/>
              <w:rPr>
                <w:b/>
                <w:szCs w:val="20"/>
              </w:rPr>
            </w:pPr>
            <w:r w:rsidRPr="0030466D">
              <w:rPr>
                <w:rFonts w:ascii="Calibri" w:hAnsi="Calibri" w:cs="Calibri"/>
                <w:b/>
                <w:bCs/>
                <w:color w:val="000000"/>
                <w:szCs w:val="20"/>
              </w:rPr>
              <w:t>Change in Revenues (€Mn)</w:t>
            </w:r>
          </w:p>
        </w:tc>
        <w:tc>
          <w:tcPr>
            <w:tcW w:w="2252" w:type="dxa"/>
            <w:gridSpan w:val="2"/>
            <w:vAlign w:val="bottom"/>
          </w:tcPr>
          <w:p w14:paraId="6F17C6DC" w14:textId="77777777" w:rsidR="00064CD3" w:rsidRPr="0030466D" w:rsidRDefault="00064CD3" w:rsidP="000878F6">
            <w:pPr>
              <w:pStyle w:val="Table"/>
              <w:jc w:val="center"/>
              <w:rPr>
                <w:b/>
                <w:szCs w:val="20"/>
              </w:rPr>
            </w:pPr>
            <w:r w:rsidRPr="0030466D">
              <w:rPr>
                <w:rFonts w:ascii="Calibri" w:hAnsi="Calibri" w:cs="Calibri"/>
                <w:b/>
                <w:bCs/>
                <w:color w:val="000000"/>
                <w:szCs w:val="20"/>
              </w:rPr>
              <w:t>As % of 2023 Resource Tax</w:t>
            </w:r>
          </w:p>
        </w:tc>
      </w:tr>
      <w:tr w:rsidR="00064CD3" w:rsidRPr="00355514" w14:paraId="71A1D98F" w14:textId="77777777" w:rsidTr="00BA7936">
        <w:trPr>
          <w:trHeight w:val="137"/>
        </w:trPr>
        <w:tc>
          <w:tcPr>
            <w:tcW w:w="2252" w:type="dxa"/>
          </w:tcPr>
          <w:p w14:paraId="4EC3677E" w14:textId="77777777" w:rsidR="00064CD3" w:rsidRPr="009A1B42" w:rsidRDefault="00064CD3" w:rsidP="000878F6">
            <w:pPr>
              <w:pStyle w:val="Table"/>
              <w:rPr>
                <w:b/>
              </w:rPr>
            </w:pPr>
            <w:r w:rsidRPr="009A1B42">
              <w:rPr>
                <w:b/>
              </w:rPr>
              <w:t>Year</w:t>
            </w:r>
          </w:p>
        </w:tc>
        <w:tc>
          <w:tcPr>
            <w:tcW w:w="1126" w:type="dxa"/>
          </w:tcPr>
          <w:p w14:paraId="396624AA" w14:textId="77777777" w:rsidR="00064CD3" w:rsidRPr="0030466D" w:rsidRDefault="00064CD3" w:rsidP="000878F6">
            <w:pPr>
              <w:pStyle w:val="Table"/>
              <w:jc w:val="center"/>
              <w:rPr>
                <w:b/>
                <w:szCs w:val="20"/>
              </w:rPr>
            </w:pPr>
            <w:r w:rsidRPr="0030466D">
              <w:rPr>
                <w:b/>
                <w:szCs w:val="20"/>
              </w:rPr>
              <w:t>2030</w:t>
            </w:r>
          </w:p>
        </w:tc>
        <w:tc>
          <w:tcPr>
            <w:tcW w:w="1126" w:type="dxa"/>
          </w:tcPr>
          <w:p w14:paraId="1E996A12" w14:textId="77777777" w:rsidR="00064CD3" w:rsidRPr="0030466D" w:rsidRDefault="00064CD3" w:rsidP="000878F6">
            <w:pPr>
              <w:pStyle w:val="Table"/>
              <w:jc w:val="center"/>
              <w:rPr>
                <w:b/>
                <w:szCs w:val="20"/>
              </w:rPr>
            </w:pPr>
            <w:r w:rsidRPr="0030466D">
              <w:rPr>
                <w:b/>
                <w:szCs w:val="20"/>
              </w:rPr>
              <w:t>2035</w:t>
            </w:r>
          </w:p>
        </w:tc>
        <w:tc>
          <w:tcPr>
            <w:tcW w:w="1032" w:type="dxa"/>
          </w:tcPr>
          <w:p w14:paraId="7E8705FC" w14:textId="77777777" w:rsidR="00064CD3" w:rsidRPr="0030466D" w:rsidRDefault="00064CD3" w:rsidP="000878F6">
            <w:pPr>
              <w:pStyle w:val="Table"/>
              <w:jc w:val="center"/>
              <w:rPr>
                <w:b/>
                <w:szCs w:val="20"/>
              </w:rPr>
            </w:pPr>
            <w:r w:rsidRPr="0030466D">
              <w:rPr>
                <w:b/>
                <w:szCs w:val="20"/>
              </w:rPr>
              <w:t>2030</w:t>
            </w:r>
          </w:p>
        </w:tc>
        <w:tc>
          <w:tcPr>
            <w:tcW w:w="1220" w:type="dxa"/>
          </w:tcPr>
          <w:p w14:paraId="1CFD7F66" w14:textId="77777777" w:rsidR="00064CD3" w:rsidRPr="0030466D" w:rsidRDefault="00064CD3" w:rsidP="000878F6">
            <w:pPr>
              <w:pStyle w:val="Table"/>
              <w:jc w:val="center"/>
              <w:rPr>
                <w:b/>
                <w:szCs w:val="20"/>
              </w:rPr>
            </w:pPr>
            <w:r w:rsidRPr="0030466D">
              <w:rPr>
                <w:b/>
                <w:szCs w:val="20"/>
              </w:rPr>
              <w:t>2035</w:t>
            </w:r>
          </w:p>
        </w:tc>
        <w:tc>
          <w:tcPr>
            <w:tcW w:w="969" w:type="dxa"/>
          </w:tcPr>
          <w:p w14:paraId="440D2048" w14:textId="77777777" w:rsidR="00064CD3" w:rsidRPr="0030466D" w:rsidRDefault="00064CD3" w:rsidP="000878F6">
            <w:pPr>
              <w:pStyle w:val="Table"/>
              <w:jc w:val="center"/>
              <w:rPr>
                <w:b/>
                <w:szCs w:val="20"/>
              </w:rPr>
            </w:pPr>
            <w:r w:rsidRPr="0030466D">
              <w:rPr>
                <w:b/>
                <w:szCs w:val="20"/>
              </w:rPr>
              <w:t>2030</w:t>
            </w:r>
          </w:p>
        </w:tc>
        <w:tc>
          <w:tcPr>
            <w:tcW w:w="1283" w:type="dxa"/>
          </w:tcPr>
          <w:p w14:paraId="469C34C9" w14:textId="77777777" w:rsidR="00064CD3" w:rsidRPr="0030466D" w:rsidRDefault="00064CD3" w:rsidP="000878F6">
            <w:pPr>
              <w:pStyle w:val="Table"/>
              <w:jc w:val="center"/>
              <w:rPr>
                <w:b/>
                <w:szCs w:val="20"/>
              </w:rPr>
            </w:pPr>
            <w:r w:rsidRPr="0030466D">
              <w:rPr>
                <w:b/>
                <w:szCs w:val="20"/>
              </w:rPr>
              <w:t>2035</w:t>
            </w:r>
          </w:p>
        </w:tc>
      </w:tr>
      <w:tr w:rsidR="00064CD3" w:rsidRPr="00355514" w14:paraId="33B7AB8D" w14:textId="77777777" w:rsidTr="00BA7936">
        <w:trPr>
          <w:trHeight w:val="169"/>
        </w:trPr>
        <w:tc>
          <w:tcPr>
            <w:tcW w:w="2252" w:type="dxa"/>
          </w:tcPr>
          <w:p w14:paraId="69243B48" w14:textId="77777777" w:rsidR="00064CD3" w:rsidRPr="00F501DA" w:rsidRDefault="00064CD3" w:rsidP="000878F6">
            <w:pPr>
              <w:pStyle w:val="Table"/>
            </w:pPr>
            <w:r w:rsidRPr="00F501DA">
              <w:t>NOx</w:t>
            </w:r>
          </w:p>
        </w:tc>
        <w:tc>
          <w:tcPr>
            <w:tcW w:w="1126" w:type="dxa"/>
            <w:vAlign w:val="center"/>
          </w:tcPr>
          <w:p w14:paraId="2E032E6C" w14:textId="77777777" w:rsidR="00064CD3" w:rsidRPr="0030466D" w:rsidRDefault="00064CD3" w:rsidP="000878F6">
            <w:pPr>
              <w:pStyle w:val="Table"/>
              <w:jc w:val="center"/>
              <w:rPr>
                <w:szCs w:val="20"/>
              </w:rPr>
            </w:pPr>
            <w:r w:rsidRPr="0030466D">
              <w:rPr>
                <w:rFonts w:ascii="Calibri" w:hAnsi="Calibri" w:cs="Calibri"/>
                <w:color w:val="000000"/>
                <w:szCs w:val="20"/>
              </w:rPr>
              <w:t>-28,57%</w:t>
            </w:r>
          </w:p>
        </w:tc>
        <w:tc>
          <w:tcPr>
            <w:tcW w:w="1126" w:type="dxa"/>
            <w:vAlign w:val="center"/>
          </w:tcPr>
          <w:p w14:paraId="4B18A2FA" w14:textId="77777777" w:rsidR="00064CD3" w:rsidRPr="0030466D" w:rsidRDefault="00064CD3" w:rsidP="000878F6">
            <w:pPr>
              <w:pStyle w:val="Table"/>
              <w:jc w:val="center"/>
              <w:rPr>
                <w:szCs w:val="20"/>
              </w:rPr>
            </w:pPr>
            <w:r w:rsidRPr="0030466D">
              <w:rPr>
                <w:rFonts w:ascii="Calibri" w:hAnsi="Calibri" w:cs="Calibri"/>
                <w:color w:val="000000"/>
                <w:szCs w:val="20"/>
              </w:rPr>
              <w:t>-28,57%</w:t>
            </w:r>
          </w:p>
        </w:tc>
        <w:tc>
          <w:tcPr>
            <w:tcW w:w="1032" w:type="dxa"/>
            <w:vAlign w:val="center"/>
          </w:tcPr>
          <w:p w14:paraId="0B311E13" w14:textId="77777777" w:rsidR="00064CD3" w:rsidRPr="0030466D" w:rsidRDefault="00064CD3" w:rsidP="000878F6">
            <w:pPr>
              <w:pStyle w:val="Table"/>
              <w:jc w:val="center"/>
              <w:rPr>
                <w:szCs w:val="20"/>
              </w:rPr>
            </w:pPr>
            <w:r w:rsidRPr="0030466D">
              <w:rPr>
                <w:rFonts w:ascii="Calibri" w:hAnsi="Calibri" w:cs="Calibri"/>
                <w:color w:val="000000"/>
                <w:szCs w:val="20"/>
              </w:rPr>
              <w:t>0,02</w:t>
            </w:r>
          </w:p>
        </w:tc>
        <w:tc>
          <w:tcPr>
            <w:tcW w:w="1220" w:type="dxa"/>
            <w:vAlign w:val="center"/>
          </w:tcPr>
          <w:p w14:paraId="765B7CCA" w14:textId="77777777" w:rsidR="00064CD3" w:rsidRPr="0030466D" w:rsidRDefault="00064CD3" w:rsidP="000878F6">
            <w:pPr>
              <w:pStyle w:val="Table"/>
              <w:jc w:val="center"/>
              <w:rPr>
                <w:szCs w:val="20"/>
              </w:rPr>
            </w:pPr>
            <w:r w:rsidRPr="0030466D">
              <w:rPr>
                <w:rFonts w:ascii="Calibri" w:hAnsi="Calibri" w:cs="Calibri"/>
                <w:color w:val="000000"/>
                <w:szCs w:val="20"/>
              </w:rPr>
              <w:t>0,01</w:t>
            </w:r>
          </w:p>
        </w:tc>
        <w:tc>
          <w:tcPr>
            <w:tcW w:w="969" w:type="dxa"/>
            <w:vAlign w:val="center"/>
          </w:tcPr>
          <w:p w14:paraId="2ECF52EF" w14:textId="77777777" w:rsidR="00064CD3" w:rsidRPr="0030466D" w:rsidRDefault="00064CD3" w:rsidP="000878F6">
            <w:pPr>
              <w:pStyle w:val="Table"/>
              <w:jc w:val="center"/>
              <w:rPr>
                <w:szCs w:val="20"/>
              </w:rPr>
            </w:pPr>
            <w:r w:rsidRPr="0030466D">
              <w:rPr>
                <w:rFonts w:ascii="Calibri" w:hAnsi="Calibri" w:cs="Calibri"/>
                <w:color w:val="000000"/>
                <w:szCs w:val="20"/>
              </w:rPr>
              <w:t>0,06%</w:t>
            </w:r>
          </w:p>
        </w:tc>
        <w:tc>
          <w:tcPr>
            <w:tcW w:w="1283" w:type="dxa"/>
            <w:vAlign w:val="center"/>
          </w:tcPr>
          <w:p w14:paraId="62AD76E9" w14:textId="77777777" w:rsidR="00064CD3" w:rsidRPr="0030466D" w:rsidRDefault="00064CD3" w:rsidP="000878F6">
            <w:pPr>
              <w:pStyle w:val="Table"/>
              <w:jc w:val="center"/>
              <w:rPr>
                <w:szCs w:val="20"/>
              </w:rPr>
            </w:pPr>
            <w:r w:rsidRPr="0030466D">
              <w:rPr>
                <w:rFonts w:ascii="Calibri" w:hAnsi="Calibri" w:cs="Calibri"/>
                <w:color w:val="000000"/>
                <w:szCs w:val="20"/>
              </w:rPr>
              <w:t>0,05%</w:t>
            </w:r>
          </w:p>
        </w:tc>
      </w:tr>
      <w:tr w:rsidR="00064CD3" w:rsidRPr="00355514" w14:paraId="6AA531F2" w14:textId="77777777" w:rsidTr="00BA7936">
        <w:trPr>
          <w:trHeight w:val="201"/>
        </w:trPr>
        <w:tc>
          <w:tcPr>
            <w:tcW w:w="2252" w:type="dxa"/>
          </w:tcPr>
          <w:p w14:paraId="283D1112" w14:textId="77777777" w:rsidR="00064CD3" w:rsidRPr="00F501DA" w:rsidRDefault="00064CD3" w:rsidP="000878F6">
            <w:pPr>
              <w:pStyle w:val="Table"/>
            </w:pPr>
            <w:r w:rsidRPr="00F501DA">
              <w:t>SO2</w:t>
            </w:r>
          </w:p>
        </w:tc>
        <w:tc>
          <w:tcPr>
            <w:tcW w:w="1126" w:type="dxa"/>
            <w:vAlign w:val="center"/>
          </w:tcPr>
          <w:p w14:paraId="49C4B901" w14:textId="77777777" w:rsidR="00064CD3" w:rsidRPr="0030466D" w:rsidRDefault="00064CD3" w:rsidP="000878F6">
            <w:pPr>
              <w:pStyle w:val="Table"/>
              <w:jc w:val="center"/>
              <w:rPr>
                <w:szCs w:val="20"/>
              </w:rPr>
            </w:pPr>
            <w:r w:rsidRPr="0030466D">
              <w:rPr>
                <w:rFonts w:ascii="Calibri" w:hAnsi="Calibri" w:cs="Calibri"/>
                <w:color w:val="000000"/>
                <w:szCs w:val="20"/>
              </w:rPr>
              <w:t>-32,43%</w:t>
            </w:r>
          </w:p>
        </w:tc>
        <w:tc>
          <w:tcPr>
            <w:tcW w:w="1126" w:type="dxa"/>
            <w:vAlign w:val="center"/>
          </w:tcPr>
          <w:p w14:paraId="1AFA308F" w14:textId="77777777" w:rsidR="00064CD3" w:rsidRPr="0030466D" w:rsidRDefault="00064CD3" w:rsidP="000878F6">
            <w:pPr>
              <w:pStyle w:val="Table"/>
              <w:jc w:val="center"/>
              <w:rPr>
                <w:szCs w:val="20"/>
              </w:rPr>
            </w:pPr>
            <w:r w:rsidRPr="0030466D">
              <w:rPr>
                <w:rFonts w:ascii="Calibri" w:hAnsi="Calibri" w:cs="Calibri"/>
                <w:color w:val="000000"/>
                <w:szCs w:val="20"/>
              </w:rPr>
              <w:t>-32,43%</w:t>
            </w:r>
          </w:p>
        </w:tc>
        <w:tc>
          <w:tcPr>
            <w:tcW w:w="1032" w:type="dxa"/>
            <w:vAlign w:val="center"/>
          </w:tcPr>
          <w:p w14:paraId="0B25A596" w14:textId="77777777" w:rsidR="00064CD3" w:rsidRPr="0030466D" w:rsidRDefault="00064CD3" w:rsidP="000878F6">
            <w:pPr>
              <w:pStyle w:val="Table"/>
              <w:jc w:val="center"/>
              <w:rPr>
                <w:szCs w:val="20"/>
              </w:rPr>
            </w:pPr>
            <w:r w:rsidRPr="0030466D">
              <w:rPr>
                <w:rFonts w:ascii="Calibri" w:hAnsi="Calibri" w:cs="Calibri"/>
                <w:color w:val="000000"/>
                <w:szCs w:val="20"/>
              </w:rPr>
              <w:t>0,00</w:t>
            </w:r>
          </w:p>
        </w:tc>
        <w:tc>
          <w:tcPr>
            <w:tcW w:w="1220" w:type="dxa"/>
            <w:vAlign w:val="center"/>
          </w:tcPr>
          <w:p w14:paraId="3E4E117B" w14:textId="77777777" w:rsidR="00064CD3" w:rsidRPr="0030466D" w:rsidRDefault="00064CD3" w:rsidP="000878F6">
            <w:pPr>
              <w:pStyle w:val="Table"/>
              <w:jc w:val="center"/>
              <w:rPr>
                <w:szCs w:val="20"/>
              </w:rPr>
            </w:pPr>
            <w:r w:rsidRPr="0030466D">
              <w:rPr>
                <w:rFonts w:ascii="Calibri" w:hAnsi="Calibri" w:cs="Calibri"/>
                <w:color w:val="000000"/>
                <w:szCs w:val="20"/>
              </w:rPr>
              <w:t>0,00</w:t>
            </w:r>
          </w:p>
        </w:tc>
        <w:tc>
          <w:tcPr>
            <w:tcW w:w="969" w:type="dxa"/>
            <w:vAlign w:val="center"/>
          </w:tcPr>
          <w:p w14:paraId="5401790B" w14:textId="77777777" w:rsidR="00064CD3" w:rsidRPr="0030466D" w:rsidRDefault="00064CD3" w:rsidP="000878F6">
            <w:pPr>
              <w:pStyle w:val="Table"/>
              <w:jc w:val="center"/>
              <w:rPr>
                <w:szCs w:val="20"/>
              </w:rPr>
            </w:pPr>
            <w:r w:rsidRPr="0030466D">
              <w:rPr>
                <w:rFonts w:ascii="Calibri" w:hAnsi="Calibri" w:cs="Calibri"/>
                <w:color w:val="000000"/>
                <w:szCs w:val="20"/>
              </w:rPr>
              <w:t>0,01%</w:t>
            </w:r>
          </w:p>
        </w:tc>
        <w:tc>
          <w:tcPr>
            <w:tcW w:w="1283" w:type="dxa"/>
            <w:vAlign w:val="center"/>
          </w:tcPr>
          <w:p w14:paraId="578D8146" w14:textId="77777777" w:rsidR="00064CD3" w:rsidRPr="0030466D" w:rsidRDefault="00064CD3" w:rsidP="000878F6">
            <w:pPr>
              <w:pStyle w:val="Table"/>
              <w:jc w:val="center"/>
              <w:rPr>
                <w:szCs w:val="20"/>
              </w:rPr>
            </w:pPr>
            <w:r w:rsidRPr="0030466D">
              <w:rPr>
                <w:rFonts w:ascii="Calibri" w:hAnsi="Calibri" w:cs="Calibri"/>
                <w:color w:val="000000"/>
                <w:szCs w:val="20"/>
              </w:rPr>
              <w:t>0,00%</w:t>
            </w:r>
          </w:p>
        </w:tc>
      </w:tr>
      <w:tr w:rsidR="00064CD3" w:rsidRPr="00355514" w14:paraId="660E71FA" w14:textId="77777777" w:rsidTr="00BA7936">
        <w:trPr>
          <w:trHeight w:val="219"/>
        </w:trPr>
        <w:tc>
          <w:tcPr>
            <w:tcW w:w="2252" w:type="dxa"/>
          </w:tcPr>
          <w:p w14:paraId="5E79F0BF" w14:textId="77777777" w:rsidR="00064CD3" w:rsidRPr="00F501DA" w:rsidRDefault="00064CD3" w:rsidP="000878F6">
            <w:pPr>
              <w:pStyle w:val="Table"/>
            </w:pPr>
            <w:r w:rsidRPr="00F501DA">
              <w:t>PM2.5</w:t>
            </w:r>
          </w:p>
        </w:tc>
        <w:tc>
          <w:tcPr>
            <w:tcW w:w="1126" w:type="dxa"/>
            <w:vAlign w:val="center"/>
          </w:tcPr>
          <w:p w14:paraId="0715B571" w14:textId="77777777" w:rsidR="00064CD3" w:rsidRPr="0030466D" w:rsidRDefault="00064CD3" w:rsidP="000878F6">
            <w:pPr>
              <w:pStyle w:val="Table"/>
              <w:jc w:val="center"/>
              <w:rPr>
                <w:szCs w:val="20"/>
              </w:rPr>
            </w:pPr>
            <w:r w:rsidRPr="0030466D">
              <w:rPr>
                <w:rFonts w:ascii="Calibri" w:hAnsi="Calibri" w:cs="Calibri"/>
                <w:color w:val="000000"/>
                <w:szCs w:val="20"/>
              </w:rPr>
              <w:t>-29,58%</w:t>
            </w:r>
          </w:p>
        </w:tc>
        <w:tc>
          <w:tcPr>
            <w:tcW w:w="1126" w:type="dxa"/>
            <w:vAlign w:val="center"/>
          </w:tcPr>
          <w:p w14:paraId="66DE72A9" w14:textId="77777777" w:rsidR="00064CD3" w:rsidRPr="0030466D" w:rsidRDefault="00064CD3" w:rsidP="000878F6">
            <w:pPr>
              <w:pStyle w:val="Table"/>
              <w:jc w:val="center"/>
              <w:rPr>
                <w:szCs w:val="20"/>
              </w:rPr>
            </w:pPr>
            <w:r w:rsidRPr="0030466D">
              <w:rPr>
                <w:rFonts w:ascii="Calibri" w:hAnsi="Calibri" w:cs="Calibri"/>
                <w:color w:val="000000"/>
                <w:szCs w:val="20"/>
              </w:rPr>
              <w:t>-29,58%</w:t>
            </w:r>
          </w:p>
        </w:tc>
        <w:tc>
          <w:tcPr>
            <w:tcW w:w="1032" w:type="dxa"/>
            <w:vAlign w:val="center"/>
          </w:tcPr>
          <w:p w14:paraId="7EE1A996" w14:textId="77777777" w:rsidR="00064CD3" w:rsidRPr="0030466D" w:rsidRDefault="00064CD3" w:rsidP="000878F6">
            <w:pPr>
              <w:pStyle w:val="Table"/>
              <w:jc w:val="center"/>
              <w:rPr>
                <w:szCs w:val="20"/>
              </w:rPr>
            </w:pPr>
            <w:r w:rsidRPr="0030466D">
              <w:rPr>
                <w:rFonts w:ascii="Calibri" w:hAnsi="Calibri" w:cs="Calibri"/>
                <w:color w:val="000000"/>
                <w:szCs w:val="20"/>
              </w:rPr>
              <w:t>0,13</w:t>
            </w:r>
          </w:p>
        </w:tc>
        <w:tc>
          <w:tcPr>
            <w:tcW w:w="1220" w:type="dxa"/>
            <w:vAlign w:val="center"/>
          </w:tcPr>
          <w:p w14:paraId="3233EAC9" w14:textId="77777777" w:rsidR="00064CD3" w:rsidRPr="0030466D" w:rsidRDefault="00064CD3" w:rsidP="000878F6">
            <w:pPr>
              <w:pStyle w:val="Table"/>
              <w:jc w:val="center"/>
              <w:rPr>
                <w:szCs w:val="20"/>
              </w:rPr>
            </w:pPr>
            <w:r w:rsidRPr="0030466D">
              <w:rPr>
                <w:rFonts w:ascii="Calibri" w:hAnsi="Calibri" w:cs="Calibri"/>
                <w:color w:val="000000"/>
                <w:szCs w:val="20"/>
              </w:rPr>
              <w:t>0,12</w:t>
            </w:r>
          </w:p>
        </w:tc>
        <w:tc>
          <w:tcPr>
            <w:tcW w:w="969" w:type="dxa"/>
            <w:vAlign w:val="center"/>
          </w:tcPr>
          <w:p w14:paraId="0CC2EE46" w14:textId="77777777" w:rsidR="00064CD3" w:rsidRPr="0030466D" w:rsidRDefault="00064CD3" w:rsidP="000878F6">
            <w:pPr>
              <w:pStyle w:val="Table"/>
              <w:jc w:val="center"/>
              <w:rPr>
                <w:szCs w:val="20"/>
              </w:rPr>
            </w:pPr>
            <w:r w:rsidRPr="0030466D">
              <w:rPr>
                <w:rFonts w:ascii="Calibri" w:hAnsi="Calibri" w:cs="Calibri"/>
                <w:color w:val="000000"/>
                <w:szCs w:val="20"/>
              </w:rPr>
              <w:t>0,43%</w:t>
            </w:r>
          </w:p>
        </w:tc>
        <w:tc>
          <w:tcPr>
            <w:tcW w:w="1283" w:type="dxa"/>
            <w:vAlign w:val="center"/>
          </w:tcPr>
          <w:p w14:paraId="2D3BB152" w14:textId="77777777" w:rsidR="00064CD3" w:rsidRPr="0030466D" w:rsidRDefault="00064CD3" w:rsidP="000878F6">
            <w:pPr>
              <w:pStyle w:val="Table"/>
              <w:jc w:val="center"/>
              <w:rPr>
                <w:szCs w:val="20"/>
              </w:rPr>
            </w:pPr>
            <w:r w:rsidRPr="0030466D">
              <w:rPr>
                <w:rFonts w:ascii="Calibri" w:hAnsi="Calibri" w:cs="Calibri"/>
                <w:color w:val="000000"/>
                <w:szCs w:val="20"/>
              </w:rPr>
              <w:t>0,40%</w:t>
            </w:r>
          </w:p>
        </w:tc>
      </w:tr>
      <w:tr w:rsidR="00064CD3" w:rsidRPr="00355514" w14:paraId="29AB79E9" w14:textId="77777777" w:rsidTr="00BA7936">
        <w:trPr>
          <w:trHeight w:val="251"/>
        </w:trPr>
        <w:tc>
          <w:tcPr>
            <w:tcW w:w="2252" w:type="dxa"/>
          </w:tcPr>
          <w:p w14:paraId="53375FD5" w14:textId="77777777" w:rsidR="00064CD3" w:rsidRPr="00F501DA" w:rsidRDefault="00064CD3" w:rsidP="000878F6">
            <w:pPr>
              <w:pStyle w:val="Table"/>
            </w:pPr>
            <w:r w:rsidRPr="00F501DA">
              <w:t>Water Abstraction</w:t>
            </w:r>
          </w:p>
        </w:tc>
        <w:tc>
          <w:tcPr>
            <w:tcW w:w="1126" w:type="dxa"/>
            <w:vAlign w:val="center"/>
          </w:tcPr>
          <w:p w14:paraId="0E644A52" w14:textId="77777777" w:rsidR="00064CD3" w:rsidRPr="0030466D" w:rsidRDefault="00064CD3" w:rsidP="000878F6">
            <w:pPr>
              <w:pStyle w:val="Table"/>
              <w:jc w:val="center"/>
              <w:rPr>
                <w:szCs w:val="20"/>
              </w:rPr>
            </w:pPr>
            <w:r w:rsidRPr="0030466D">
              <w:rPr>
                <w:rFonts w:ascii="Calibri" w:hAnsi="Calibri" w:cs="Calibri"/>
                <w:color w:val="000000"/>
                <w:szCs w:val="20"/>
              </w:rPr>
              <w:t>-29,68%</w:t>
            </w:r>
          </w:p>
        </w:tc>
        <w:tc>
          <w:tcPr>
            <w:tcW w:w="1126" w:type="dxa"/>
            <w:vAlign w:val="center"/>
          </w:tcPr>
          <w:p w14:paraId="3883DA65" w14:textId="77777777" w:rsidR="00064CD3" w:rsidRPr="0030466D" w:rsidRDefault="00064CD3" w:rsidP="000878F6">
            <w:pPr>
              <w:pStyle w:val="Table"/>
              <w:jc w:val="center"/>
              <w:rPr>
                <w:szCs w:val="20"/>
              </w:rPr>
            </w:pPr>
            <w:r w:rsidRPr="0030466D">
              <w:rPr>
                <w:rFonts w:ascii="Calibri" w:hAnsi="Calibri" w:cs="Calibri"/>
                <w:color w:val="000000"/>
                <w:szCs w:val="20"/>
              </w:rPr>
              <w:t>-29,68%</w:t>
            </w:r>
          </w:p>
        </w:tc>
        <w:tc>
          <w:tcPr>
            <w:tcW w:w="1032" w:type="dxa"/>
            <w:vAlign w:val="center"/>
          </w:tcPr>
          <w:p w14:paraId="355E2DC8" w14:textId="77777777" w:rsidR="00064CD3" w:rsidRPr="0030466D" w:rsidRDefault="00064CD3" w:rsidP="000878F6">
            <w:pPr>
              <w:pStyle w:val="Table"/>
              <w:jc w:val="center"/>
              <w:rPr>
                <w:szCs w:val="20"/>
              </w:rPr>
            </w:pPr>
            <w:r w:rsidRPr="0030466D">
              <w:rPr>
                <w:rFonts w:ascii="Calibri" w:hAnsi="Calibri" w:cs="Calibri"/>
                <w:color w:val="000000"/>
                <w:szCs w:val="20"/>
              </w:rPr>
              <w:t>5,93</w:t>
            </w:r>
          </w:p>
        </w:tc>
        <w:tc>
          <w:tcPr>
            <w:tcW w:w="1220" w:type="dxa"/>
            <w:vAlign w:val="center"/>
          </w:tcPr>
          <w:p w14:paraId="790F2A5E" w14:textId="77777777" w:rsidR="00064CD3" w:rsidRPr="0030466D" w:rsidRDefault="00064CD3" w:rsidP="000878F6">
            <w:pPr>
              <w:pStyle w:val="Table"/>
              <w:jc w:val="center"/>
              <w:rPr>
                <w:szCs w:val="20"/>
              </w:rPr>
            </w:pPr>
            <w:r w:rsidRPr="0030466D">
              <w:rPr>
                <w:rFonts w:ascii="Calibri" w:hAnsi="Calibri" w:cs="Calibri"/>
                <w:color w:val="000000"/>
                <w:szCs w:val="20"/>
              </w:rPr>
              <w:t>5,14</w:t>
            </w:r>
          </w:p>
        </w:tc>
        <w:tc>
          <w:tcPr>
            <w:tcW w:w="969" w:type="dxa"/>
            <w:vAlign w:val="center"/>
          </w:tcPr>
          <w:p w14:paraId="55D95ABF" w14:textId="77777777" w:rsidR="00064CD3" w:rsidRPr="0030466D" w:rsidRDefault="00064CD3" w:rsidP="000878F6">
            <w:pPr>
              <w:pStyle w:val="Table"/>
              <w:jc w:val="center"/>
              <w:rPr>
                <w:szCs w:val="20"/>
              </w:rPr>
            </w:pPr>
            <w:r w:rsidRPr="0030466D">
              <w:rPr>
                <w:rFonts w:ascii="Calibri" w:hAnsi="Calibri" w:cs="Calibri"/>
                <w:color w:val="000000"/>
                <w:szCs w:val="20"/>
              </w:rPr>
              <w:t>N.E.</w:t>
            </w:r>
          </w:p>
        </w:tc>
        <w:tc>
          <w:tcPr>
            <w:tcW w:w="1283" w:type="dxa"/>
            <w:vAlign w:val="center"/>
          </w:tcPr>
          <w:p w14:paraId="0E7B424F" w14:textId="77777777" w:rsidR="00064CD3" w:rsidRPr="0030466D" w:rsidRDefault="00064CD3" w:rsidP="000878F6">
            <w:pPr>
              <w:pStyle w:val="Table"/>
              <w:jc w:val="center"/>
              <w:rPr>
                <w:szCs w:val="20"/>
              </w:rPr>
            </w:pPr>
            <w:r w:rsidRPr="0030466D">
              <w:rPr>
                <w:rFonts w:ascii="Calibri" w:hAnsi="Calibri" w:cs="Calibri"/>
                <w:color w:val="000000"/>
                <w:szCs w:val="20"/>
              </w:rPr>
              <w:t>N.E.</w:t>
            </w:r>
          </w:p>
        </w:tc>
      </w:tr>
      <w:tr w:rsidR="00064CD3" w:rsidRPr="00355514" w14:paraId="25A62C30" w14:textId="77777777" w:rsidTr="00BA7936">
        <w:trPr>
          <w:trHeight w:val="269"/>
        </w:trPr>
        <w:tc>
          <w:tcPr>
            <w:tcW w:w="2252" w:type="dxa"/>
          </w:tcPr>
          <w:p w14:paraId="3270B5BD" w14:textId="77777777" w:rsidR="00064CD3" w:rsidRPr="00F501DA" w:rsidRDefault="00064CD3" w:rsidP="000878F6">
            <w:pPr>
              <w:pStyle w:val="Table"/>
            </w:pPr>
            <w:r w:rsidRPr="00F501DA">
              <w:t>Fertilizers</w:t>
            </w:r>
          </w:p>
        </w:tc>
        <w:tc>
          <w:tcPr>
            <w:tcW w:w="1126" w:type="dxa"/>
            <w:vAlign w:val="center"/>
          </w:tcPr>
          <w:p w14:paraId="28F8E230" w14:textId="77777777" w:rsidR="00064CD3" w:rsidRPr="0030466D" w:rsidRDefault="00064CD3" w:rsidP="000878F6">
            <w:pPr>
              <w:pStyle w:val="Table"/>
              <w:jc w:val="center"/>
              <w:rPr>
                <w:szCs w:val="20"/>
              </w:rPr>
            </w:pPr>
            <w:r w:rsidRPr="0030466D">
              <w:rPr>
                <w:rFonts w:ascii="Calibri" w:hAnsi="Calibri" w:cs="Calibri"/>
                <w:color w:val="000000"/>
                <w:szCs w:val="20"/>
              </w:rPr>
              <w:t>-5,99%</w:t>
            </w:r>
          </w:p>
        </w:tc>
        <w:tc>
          <w:tcPr>
            <w:tcW w:w="1126" w:type="dxa"/>
            <w:vAlign w:val="center"/>
          </w:tcPr>
          <w:p w14:paraId="6F0A0CB3" w14:textId="77777777" w:rsidR="00064CD3" w:rsidRPr="0030466D" w:rsidRDefault="00064CD3" w:rsidP="000878F6">
            <w:pPr>
              <w:pStyle w:val="Table"/>
              <w:jc w:val="center"/>
              <w:rPr>
                <w:szCs w:val="20"/>
              </w:rPr>
            </w:pPr>
            <w:r w:rsidRPr="0030466D">
              <w:rPr>
                <w:rFonts w:ascii="Calibri" w:hAnsi="Calibri" w:cs="Calibri"/>
                <w:color w:val="000000"/>
                <w:szCs w:val="20"/>
              </w:rPr>
              <w:t>-5,99%</w:t>
            </w:r>
          </w:p>
        </w:tc>
        <w:tc>
          <w:tcPr>
            <w:tcW w:w="1032" w:type="dxa"/>
            <w:vAlign w:val="center"/>
          </w:tcPr>
          <w:p w14:paraId="6F9610E2" w14:textId="77777777" w:rsidR="00064CD3" w:rsidRPr="0030466D" w:rsidRDefault="00064CD3" w:rsidP="000878F6">
            <w:pPr>
              <w:pStyle w:val="Table"/>
              <w:jc w:val="center"/>
              <w:rPr>
                <w:szCs w:val="20"/>
              </w:rPr>
            </w:pPr>
            <w:r w:rsidRPr="0030466D">
              <w:rPr>
                <w:rFonts w:ascii="Calibri" w:hAnsi="Calibri" w:cs="Calibri"/>
                <w:color w:val="000000"/>
                <w:szCs w:val="20"/>
              </w:rPr>
              <w:t>0,02</w:t>
            </w:r>
          </w:p>
        </w:tc>
        <w:tc>
          <w:tcPr>
            <w:tcW w:w="1220" w:type="dxa"/>
            <w:vAlign w:val="center"/>
          </w:tcPr>
          <w:p w14:paraId="6B12907B" w14:textId="77777777" w:rsidR="00064CD3" w:rsidRPr="0030466D" w:rsidRDefault="00064CD3" w:rsidP="000878F6">
            <w:pPr>
              <w:pStyle w:val="Table"/>
              <w:jc w:val="center"/>
              <w:rPr>
                <w:szCs w:val="20"/>
              </w:rPr>
            </w:pPr>
            <w:r w:rsidRPr="0030466D">
              <w:rPr>
                <w:rFonts w:ascii="Calibri" w:hAnsi="Calibri" w:cs="Calibri"/>
                <w:color w:val="000000"/>
                <w:szCs w:val="20"/>
              </w:rPr>
              <w:t>0,02</w:t>
            </w:r>
          </w:p>
        </w:tc>
        <w:tc>
          <w:tcPr>
            <w:tcW w:w="969" w:type="dxa"/>
            <w:vAlign w:val="center"/>
          </w:tcPr>
          <w:p w14:paraId="423DAB8E" w14:textId="77777777" w:rsidR="00064CD3" w:rsidRPr="0030466D" w:rsidRDefault="00064CD3" w:rsidP="000878F6">
            <w:pPr>
              <w:pStyle w:val="Table"/>
              <w:jc w:val="center"/>
              <w:rPr>
                <w:szCs w:val="20"/>
              </w:rPr>
            </w:pPr>
            <w:r w:rsidRPr="0030466D">
              <w:rPr>
                <w:rFonts w:ascii="Calibri" w:hAnsi="Calibri" w:cs="Calibri"/>
                <w:color w:val="000000"/>
                <w:szCs w:val="20"/>
              </w:rPr>
              <w:t>0,06%</w:t>
            </w:r>
          </w:p>
        </w:tc>
        <w:tc>
          <w:tcPr>
            <w:tcW w:w="1283" w:type="dxa"/>
            <w:vAlign w:val="center"/>
          </w:tcPr>
          <w:p w14:paraId="52EB3D94" w14:textId="77777777" w:rsidR="00064CD3" w:rsidRPr="0030466D" w:rsidRDefault="00064CD3" w:rsidP="000878F6">
            <w:pPr>
              <w:pStyle w:val="Table"/>
              <w:jc w:val="center"/>
              <w:rPr>
                <w:szCs w:val="20"/>
              </w:rPr>
            </w:pPr>
            <w:r w:rsidRPr="0030466D">
              <w:rPr>
                <w:rFonts w:ascii="Calibri" w:hAnsi="Calibri" w:cs="Calibri"/>
                <w:color w:val="000000"/>
                <w:szCs w:val="20"/>
              </w:rPr>
              <w:t>0,07%</w:t>
            </w:r>
          </w:p>
        </w:tc>
      </w:tr>
      <w:tr w:rsidR="00064CD3" w:rsidRPr="00355514" w14:paraId="6BF94F67" w14:textId="77777777" w:rsidTr="00BA7936">
        <w:trPr>
          <w:trHeight w:val="126"/>
        </w:trPr>
        <w:tc>
          <w:tcPr>
            <w:tcW w:w="2252" w:type="dxa"/>
          </w:tcPr>
          <w:p w14:paraId="72F9E39C" w14:textId="77777777" w:rsidR="00064CD3" w:rsidRPr="00F501DA" w:rsidRDefault="00064CD3" w:rsidP="000878F6">
            <w:pPr>
              <w:pStyle w:val="Table"/>
            </w:pPr>
            <w:r w:rsidRPr="00F501DA">
              <w:t>Pesticides</w:t>
            </w:r>
          </w:p>
        </w:tc>
        <w:tc>
          <w:tcPr>
            <w:tcW w:w="1126" w:type="dxa"/>
            <w:vAlign w:val="center"/>
          </w:tcPr>
          <w:p w14:paraId="779DBE05" w14:textId="77777777" w:rsidR="00064CD3" w:rsidRPr="0030466D" w:rsidRDefault="00064CD3" w:rsidP="000878F6">
            <w:pPr>
              <w:pStyle w:val="Table"/>
              <w:jc w:val="center"/>
              <w:rPr>
                <w:szCs w:val="20"/>
              </w:rPr>
            </w:pPr>
            <w:r w:rsidRPr="0030466D">
              <w:rPr>
                <w:rFonts w:ascii="Calibri" w:hAnsi="Calibri" w:cs="Calibri"/>
                <w:color w:val="000000"/>
                <w:szCs w:val="20"/>
              </w:rPr>
              <w:t>n/a</w:t>
            </w:r>
          </w:p>
        </w:tc>
        <w:tc>
          <w:tcPr>
            <w:tcW w:w="1126" w:type="dxa"/>
            <w:vAlign w:val="center"/>
          </w:tcPr>
          <w:p w14:paraId="798FCAA9" w14:textId="77777777" w:rsidR="00064CD3" w:rsidRPr="0030466D" w:rsidRDefault="00064CD3" w:rsidP="000878F6">
            <w:pPr>
              <w:pStyle w:val="Table"/>
              <w:jc w:val="center"/>
              <w:rPr>
                <w:szCs w:val="20"/>
              </w:rPr>
            </w:pPr>
            <w:r w:rsidRPr="0030466D">
              <w:rPr>
                <w:rFonts w:ascii="Calibri" w:hAnsi="Calibri" w:cs="Calibri"/>
                <w:color w:val="000000"/>
                <w:szCs w:val="20"/>
              </w:rPr>
              <w:t>n/a</w:t>
            </w:r>
          </w:p>
        </w:tc>
        <w:tc>
          <w:tcPr>
            <w:tcW w:w="1032" w:type="dxa"/>
            <w:vAlign w:val="center"/>
          </w:tcPr>
          <w:p w14:paraId="1C5EB78C" w14:textId="77777777" w:rsidR="00064CD3" w:rsidRPr="0030466D" w:rsidRDefault="00064CD3" w:rsidP="000878F6">
            <w:pPr>
              <w:pStyle w:val="Table"/>
              <w:jc w:val="center"/>
              <w:rPr>
                <w:szCs w:val="20"/>
              </w:rPr>
            </w:pPr>
            <w:r w:rsidRPr="0030466D">
              <w:rPr>
                <w:rFonts w:ascii="Calibri" w:hAnsi="Calibri" w:cs="Calibri"/>
                <w:color w:val="000000"/>
                <w:szCs w:val="20"/>
              </w:rPr>
              <w:t>0,31</w:t>
            </w:r>
          </w:p>
        </w:tc>
        <w:tc>
          <w:tcPr>
            <w:tcW w:w="1220" w:type="dxa"/>
            <w:vAlign w:val="center"/>
          </w:tcPr>
          <w:p w14:paraId="78B43CF7" w14:textId="77777777" w:rsidR="00064CD3" w:rsidRPr="0030466D" w:rsidRDefault="00064CD3" w:rsidP="000878F6">
            <w:pPr>
              <w:pStyle w:val="Table"/>
              <w:jc w:val="center"/>
              <w:rPr>
                <w:szCs w:val="20"/>
              </w:rPr>
            </w:pPr>
            <w:r w:rsidRPr="0030466D">
              <w:rPr>
                <w:rFonts w:ascii="Calibri" w:hAnsi="Calibri" w:cs="Calibri"/>
                <w:color w:val="000000"/>
                <w:szCs w:val="20"/>
              </w:rPr>
              <w:t>0,31</w:t>
            </w:r>
          </w:p>
        </w:tc>
        <w:tc>
          <w:tcPr>
            <w:tcW w:w="969" w:type="dxa"/>
            <w:vAlign w:val="center"/>
          </w:tcPr>
          <w:p w14:paraId="3593B808" w14:textId="77777777" w:rsidR="00064CD3" w:rsidRPr="0030466D" w:rsidRDefault="00064CD3" w:rsidP="000878F6">
            <w:pPr>
              <w:pStyle w:val="Table"/>
              <w:jc w:val="center"/>
              <w:rPr>
                <w:szCs w:val="20"/>
              </w:rPr>
            </w:pPr>
            <w:r w:rsidRPr="0030466D">
              <w:rPr>
                <w:rFonts w:ascii="Calibri" w:hAnsi="Calibri" w:cs="Calibri"/>
                <w:color w:val="000000"/>
                <w:szCs w:val="20"/>
              </w:rPr>
              <w:t>1,02%</w:t>
            </w:r>
          </w:p>
        </w:tc>
        <w:tc>
          <w:tcPr>
            <w:tcW w:w="1283" w:type="dxa"/>
            <w:vAlign w:val="center"/>
          </w:tcPr>
          <w:p w14:paraId="7F07DEBF" w14:textId="77777777" w:rsidR="00064CD3" w:rsidRPr="0030466D" w:rsidRDefault="00064CD3" w:rsidP="000878F6">
            <w:pPr>
              <w:pStyle w:val="Table"/>
              <w:jc w:val="center"/>
              <w:rPr>
                <w:szCs w:val="20"/>
              </w:rPr>
            </w:pPr>
            <w:r w:rsidRPr="0030466D">
              <w:rPr>
                <w:rFonts w:ascii="Calibri" w:hAnsi="Calibri" w:cs="Calibri"/>
                <w:color w:val="000000"/>
                <w:szCs w:val="20"/>
              </w:rPr>
              <w:t>1,01%</w:t>
            </w:r>
          </w:p>
        </w:tc>
      </w:tr>
      <w:tr w:rsidR="00064CD3" w:rsidRPr="00355514" w14:paraId="15A44810" w14:textId="77777777" w:rsidTr="00BA7936">
        <w:trPr>
          <w:trHeight w:val="268"/>
        </w:trPr>
        <w:tc>
          <w:tcPr>
            <w:tcW w:w="2252" w:type="dxa"/>
          </w:tcPr>
          <w:p w14:paraId="56681296" w14:textId="77777777" w:rsidR="00064CD3" w:rsidRPr="00F501DA" w:rsidRDefault="00064CD3" w:rsidP="000878F6">
            <w:pPr>
              <w:pStyle w:val="Table"/>
            </w:pPr>
            <w:r w:rsidRPr="00F501DA">
              <w:t>Waste Incineration</w:t>
            </w:r>
          </w:p>
        </w:tc>
        <w:tc>
          <w:tcPr>
            <w:tcW w:w="1126" w:type="dxa"/>
            <w:vAlign w:val="center"/>
          </w:tcPr>
          <w:p w14:paraId="719DDB2E" w14:textId="77777777" w:rsidR="00064CD3" w:rsidRPr="0030466D" w:rsidRDefault="00064CD3" w:rsidP="000878F6">
            <w:pPr>
              <w:pStyle w:val="Table"/>
              <w:jc w:val="center"/>
              <w:rPr>
                <w:szCs w:val="20"/>
              </w:rPr>
            </w:pPr>
            <w:r w:rsidRPr="0030466D">
              <w:rPr>
                <w:rFonts w:ascii="Calibri" w:hAnsi="Calibri" w:cs="Calibri"/>
                <w:color w:val="000000"/>
                <w:szCs w:val="20"/>
              </w:rPr>
              <w:t>-20,00%</w:t>
            </w:r>
          </w:p>
        </w:tc>
        <w:tc>
          <w:tcPr>
            <w:tcW w:w="1126" w:type="dxa"/>
            <w:vAlign w:val="center"/>
          </w:tcPr>
          <w:p w14:paraId="4FEE79FB" w14:textId="77777777" w:rsidR="00064CD3" w:rsidRPr="0030466D" w:rsidRDefault="00064CD3" w:rsidP="000878F6">
            <w:pPr>
              <w:pStyle w:val="Table"/>
              <w:jc w:val="center"/>
              <w:rPr>
                <w:szCs w:val="20"/>
              </w:rPr>
            </w:pPr>
            <w:r w:rsidRPr="0030466D">
              <w:rPr>
                <w:rFonts w:ascii="Calibri" w:hAnsi="Calibri" w:cs="Calibri"/>
                <w:color w:val="000000"/>
                <w:szCs w:val="20"/>
              </w:rPr>
              <w:t>-20,00%</w:t>
            </w:r>
          </w:p>
        </w:tc>
        <w:tc>
          <w:tcPr>
            <w:tcW w:w="1032" w:type="dxa"/>
            <w:vAlign w:val="center"/>
          </w:tcPr>
          <w:p w14:paraId="0ACA7F35" w14:textId="77777777" w:rsidR="00064CD3" w:rsidRPr="0030466D" w:rsidRDefault="00064CD3" w:rsidP="000878F6">
            <w:pPr>
              <w:pStyle w:val="Table"/>
              <w:jc w:val="center"/>
              <w:rPr>
                <w:szCs w:val="20"/>
              </w:rPr>
            </w:pPr>
            <w:r w:rsidRPr="0030466D">
              <w:rPr>
                <w:rFonts w:ascii="Calibri" w:hAnsi="Calibri" w:cs="Calibri"/>
                <w:color w:val="000000"/>
                <w:szCs w:val="20"/>
              </w:rPr>
              <w:t>0,08</w:t>
            </w:r>
          </w:p>
        </w:tc>
        <w:tc>
          <w:tcPr>
            <w:tcW w:w="1220" w:type="dxa"/>
            <w:vAlign w:val="center"/>
          </w:tcPr>
          <w:p w14:paraId="157ED2BF" w14:textId="77777777" w:rsidR="00064CD3" w:rsidRPr="0030466D" w:rsidRDefault="00064CD3" w:rsidP="000878F6">
            <w:pPr>
              <w:pStyle w:val="Table"/>
              <w:jc w:val="center"/>
              <w:rPr>
                <w:szCs w:val="20"/>
              </w:rPr>
            </w:pPr>
            <w:r w:rsidRPr="0030466D">
              <w:rPr>
                <w:rFonts w:ascii="Calibri" w:hAnsi="Calibri" w:cs="Calibri"/>
                <w:color w:val="000000"/>
                <w:szCs w:val="20"/>
              </w:rPr>
              <w:t>0,09</w:t>
            </w:r>
          </w:p>
        </w:tc>
        <w:tc>
          <w:tcPr>
            <w:tcW w:w="969" w:type="dxa"/>
            <w:vAlign w:val="center"/>
          </w:tcPr>
          <w:p w14:paraId="3D67AF98" w14:textId="77777777" w:rsidR="00064CD3" w:rsidRPr="0030466D" w:rsidRDefault="00064CD3" w:rsidP="000878F6">
            <w:pPr>
              <w:pStyle w:val="Table"/>
              <w:jc w:val="center"/>
              <w:rPr>
                <w:szCs w:val="20"/>
              </w:rPr>
            </w:pPr>
            <w:r w:rsidRPr="0030466D">
              <w:rPr>
                <w:rFonts w:ascii="Calibri" w:hAnsi="Calibri" w:cs="Calibri"/>
                <w:color w:val="000000"/>
                <w:szCs w:val="20"/>
              </w:rPr>
              <w:t>0,28%</w:t>
            </w:r>
          </w:p>
        </w:tc>
        <w:tc>
          <w:tcPr>
            <w:tcW w:w="1283" w:type="dxa"/>
            <w:vAlign w:val="center"/>
          </w:tcPr>
          <w:p w14:paraId="4DC83BA0" w14:textId="77777777" w:rsidR="00064CD3" w:rsidRPr="0030466D" w:rsidRDefault="00064CD3" w:rsidP="000878F6">
            <w:pPr>
              <w:pStyle w:val="Table"/>
              <w:jc w:val="center"/>
              <w:rPr>
                <w:szCs w:val="20"/>
              </w:rPr>
            </w:pPr>
            <w:r w:rsidRPr="0030466D">
              <w:rPr>
                <w:rFonts w:ascii="Calibri" w:hAnsi="Calibri" w:cs="Calibri"/>
                <w:color w:val="000000"/>
                <w:szCs w:val="20"/>
              </w:rPr>
              <w:t>0,28%</w:t>
            </w:r>
          </w:p>
        </w:tc>
      </w:tr>
      <w:tr w:rsidR="00064CD3" w:rsidRPr="00355514" w14:paraId="4C6833E3" w14:textId="77777777" w:rsidTr="00BA7936">
        <w:trPr>
          <w:trHeight w:val="268"/>
        </w:trPr>
        <w:tc>
          <w:tcPr>
            <w:tcW w:w="2252" w:type="dxa"/>
          </w:tcPr>
          <w:p w14:paraId="5A6D469B" w14:textId="77777777" w:rsidR="00064CD3" w:rsidRPr="00F501DA" w:rsidRDefault="00064CD3" w:rsidP="000878F6">
            <w:pPr>
              <w:pStyle w:val="Table"/>
            </w:pPr>
            <w:r w:rsidRPr="00F501DA">
              <w:t>Waste to Landfill</w:t>
            </w:r>
          </w:p>
        </w:tc>
        <w:tc>
          <w:tcPr>
            <w:tcW w:w="1126" w:type="dxa"/>
            <w:vAlign w:val="center"/>
          </w:tcPr>
          <w:p w14:paraId="2D3A9C60" w14:textId="77777777" w:rsidR="00064CD3" w:rsidRPr="0030466D" w:rsidRDefault="00064CD3" w:rsidP="000878F6">
            <w:pPr>
              <w:pStyle w:val="Table"/>
              <w:jc w:val="center"/>
              <w:rPr>
                <w:szCs w:val="20"/>
              </w:rPr>
            </w:pPr>
            <w:r w:rsidRPr="0030466D">
              <w:rPr>
                <w:rFonts w:ascii="Calibri" w:hAnsi="Calibri" w:cs="Calibri"/>
                <w:color w:val="000000"/>
                <w:szCs w:val="20"/>
              </w:rPr>
              <w:t>-24,81%</w:t>
            </w:r>
          </w:p>
        </w:tc>
        <w:tc>
          <w:tcPr>
            <w:tcW w:w="1126" w:type="dxa"/>
            <w:vAlign w:val="center"/>
          </w:tcPr>
          <w:p w14:paraId="3C8DD037" w14:textId="77777777" w:rsidR="00064CD3" w:rsidRPr="0030466D" w:rsidRDefault="00064CD3" w:rsidP="000878F6">
            <w:pPr>
              <w:pStyle w:val="Table"/>
              <w:jc w:val="center"/>
              <w:rPr>
                <w:szCs w:val="20"/>
              </w:rPr>
            </w:pPr>
            <w:r w:rsidRPr="0030466D">
              <w:rPr>
                <w:rFonts w:ascii="Calibri" w:hAnsi="Calibri" w:cs="Calibri"/>
                <w:color w:val="000000"/>
                <w:szCs w:val="20"/>
              </w:rPr>
              <w:t>-24,81%</w:t>
            </w:r>
          </w:p>
        </w:tc>
        <w:tc>
          <w:tcPr>
            <w:tcW w:w="1032" w:type="dxa"/>
            <w:vAlign w:val="center"/>
          </w:tcPr>
          <w:p w14:paraId="27799072" w14:textId="77777777" w:rsidR="00064CD3" w:rsidRPr="0030466D" w:rsidRDefault="00064CD3" w:rsidP="000878F6">
            <w:pPr>
              <w:pStyle w:val="Table"/>
              <w:jc w:val="center"/>
              <w:rPr>
                <w:szCs w:val="20"/>
              </w:rPr>
            </w:pPr>
            <w:r w:rsidRPr="0030466D">
              <w:rPr>
                <w:rFonts w:ascii="Calibri" w:hAnsi="Calibri" w:cs="Calibri"/>
                <w:color w:val="000000"/>
                <w:szCs w:val="20"/>
              </w:rPr>
              <w:t>5,06</w:t>
            </w:r>
          </w:p>
        </w:tc>
        <w:tc>
          <w:tcPr>
            <w:tcW w:w="1220" w:type="dxa"/>
            <w:vAlign w:val="center"/>
          </w:tcPr>
          <w:p w14:paraId="7DA71D4F" w14:textId="77777777" w:rsidR="00064CD3" w:rsidRPr="0030466D" w:rsidRDefault="00064CD3" w:rsidP="000878F6">
            <w:pPr>
              <w:pStyle w:val="Table"/>
              <w:jc w:val="center"/>
              <w:rPr>
                <w:szCs w:val="20"/>
              </w:rPr>
            </w:pPr>
            <w:r w:rsidRPr="0030466D">
              <w:rPr>
                <w:rFonts w:ascii="Calibri" w:hAnsi="Calibri" w:cs="Calibri"/>
                <w:color w:val="000000"/>
                <w:szCs w:val="20"/>
              </w:rPr>
              <w:t>2,67</w:t>
            </w:r>
          </w:p>
        </w:tc>
        <w:tc>
          <w:tcPr>
            <w:tcW w:w="969" w:type="dxa"/>
            <w:vAlign w:val="center"/>
          </w:tcPr>
          <w:p w14:paraId="0F1C4CE0" w14:textId="77777777" w:rsidR="00064CD3" w:rsidRPr="0030466D" w:rsidRDefault="00064CD3" w:rsidP="000878F6">
            <w:pPr>
              <w:pStyle w:val="Table"/>
              <w:jc w:val="center"/>
              <w:rPr>
                <w:szCs w:val="20"/>
              </w:rPr>
            </w:pPr>
            <w:r w:rsidRPr="0030466D">
              <w:rPr>
                <w:rFonts w:ascii="Calibri" w:hAnsi="Calibri" w:cs="Calibri"/>
                <w:color w:val="000000"/>
                <w:szCs w:val="20"/>
              </w:rPr>
              <w:t>16,50%</w:t>
            </w:r>
          </w:p>
        </w:tc>
        <w:tc>
          <w:tcPr>
            <w:tcW w:w="1283" w:type="dxa"/>
            <w:vAlign w:val="center"/>
          </w:tcPr>
          <w:p w14:paraId="4BBDD383" w14:textId="77777777" w:rsidR="00064CD3" w:rsidRPr="0030466D" w:rsidRDefault="00064CD3" w:rsidP="000878F6">
            <w:pPr>
              <w:pStyle w:val="Table"/>
              <w:jc w:val="center"/>
              <w:rPr>
                <w:szCs w:val="20"/>
              </w:rPr>
            </w:pPr>
            <w:r w:rsidRPr="0030466D">
              <w:rPr>
                <w:rFonts w:ascii="Calibri" w:hAnsi="Calibri" w:cs="Calibri"/>
                <w:color w:val="000000"/>
                <w:szCs w:val="20"/>
              </w:rPr>
              <w:t>8,73%</w:t>
            </w:r>
          </w:p>
        </w:tc>
      </w:tr>
      <w:tr w:rsidR="00064CD3" w:rsidRPr="00355514" w14:paraId="4F60627F" w14:textId="77777777" w:rsidTr="00BA7936">
        <w:trPr>
          <w:trHeight w:val="144"/>
        </w:trPr>
        <w:tc>
          <w:tcPr>
            <w:tcW w:w="2252" w:type="dxa"/>
          </w:tcPr>
          <w:p w14:paraId="549B6980" w14:textId="77777777" w:rsidR="00064CD3" w:rsidRPr="00F501DA" w:rsidRDefault="00064CD3" w:rsidP="000878F6">
            <w:pPr>
              <w:pStyle w:val="Table"/>
            </w:pPr>
            <w:r w:rsidRPr="00F501DA">
              <w:t>Water Effluent</w:t>
            </w:r>
          </w:p>
        </w:tc>
        <w:tc>
          <w:tcPr>
            <w:tcW w:w="1126" w:type="dxa"/>
            <w:vAlign w:val="center"/>
          </w:tcPr>
          <w:p w14:paraId="692B2BC3" w14:textId="77777777" w:rsidR="00064CD3" w:rsidRPr="0030466D" w:rsidRDefault="00064CD3" w:rsidP="000878F6">
            <w:pPr>
              <w:pStyle w:val="Table"/>
              <w:jc w:val="center"/>
              <w:rPr>
                <w:szCs w:val="20"/>
              </w:rPr>
            </w:pPr>
            <w:r w:rsidRPr="0030466D">
              <w:rPr>
                <w:rFonts w:ascii="Calibri" w:hAnsi="Calibri" w:cs="Calibri"/>
                <w:color w:val="000000"/>
                <w:szCs w:val="20"/>
              </w:rPr>
              <w:t>-9,09%</w:t>
            </w:r>
          </w:p>
        </w:tc>
        <w:tc>
          <w:tcPr>
            <w:tcW w:w="1126" w:type="dxa"/>
            <w:vAlign w:val="center"/>
          </w:tcPr>
          <w:p w14:paraId="383AD6FE" w14:textId="77777777" w:rsidR="00064CD3" w:rsidRPr="0030466D" w:rsidRDefault="00064CD3" w:rsidP="000878F6">
            <w:pPr>
              <w:pStyle w:val="Table"/>
              <w:jc w:val="center"/>
              <w:rPr>
                <w:szCs w:val="20"/>
              </w:rPr>
            </w:pPr>
            <w:r w:rsidRPr="0030466D">
              <w:rPr>
                <w:rFonts w:ascii="Calibri" w:hAnsi="Calibri" w:cs="Calibri"/>
                <w:color w:val="000000"/>
                <w:szCs w:val="20"/>
              </w:rPr>
              <w:t>-9,09%</w:t>
            </w:r>
          </w:p>
        </w:tc>
        <w:tc>
          <w:tcPr>
            <w:tcW w:w="1032" w:type="dxa"/>
            <w:vAlign w:val="center"/>
          </w:tcPr>
          <w:p w14:paraId="4456B17B" w14:textId="77777777" w:rsidR="00064CD3" w:rsidRPr="0030466D" w:rsidRDefault="00064CD3" w:rsidP="000878F6">
            <w:pPr>
              <w:pStyle w:val="Table"/>
              <w:jc w:val="center"/>
              <w:rPr>
                <w:szCs w:val="20"/>
              </w:rPr>
            </w:pPr>
            <w:r w:rsidRPr="0030466D">
              <w:rPr>
                <w:rFonts w:ascii="Calibri" w:hAnsi="Calibri" w:cs="Calibri"/>
                <w:color w:val="000000"/>
                <w:szCs w:val="20"/>
              </w:rPr>
              <w:t>38,55</w:t>
            </w:r>
          </w:p>
        </w:tc>
        <w:tc>
          <w:tcPr>
            <w:tcW w:w="1220" w:type="dxa"/>
            <w:vAlign w:val="center"/>
          </w:tcPr>
          <w:p w14:paraId="4CE3820A" w14:textId="77777777" w:rsidR="00064CD3" w:rsidRPr="0030466D" w:rsidRDefault="00064CD3" w:rsidP="000878F6">
            <w:pPr>
              <w:pStyle w:val="Table"/>
              <w:jc w:val="center"/>
              <w:rPr>
                <w:szCs w:val="20"/>
              </w:rPr>
            </w:pPr>
            <w:r w:rsidRPr="0030466D">
              <w:rPr>
                <w:rFonts w:ascii="Calibri" w:hAnsi="Calibri" w:cs="Calibri"/>
                <w:color w:val="000000"/>
                <w:szCs w:val="20"/>
              </w:rPr>
              <w:t>41,37</w:t>
            </w:r>
          </w:p>
        </w:tc>
        <w:tc>
          <w:tcPr>
            <w:tcW w:w="969" w:type="dxa"/>
            <w:vAlign w:val="center"/>
          </w:tcPr>
          <w:p w14:paraId="4F00A8FA" w14:textId="77777777" w:rsidR="00064CD3" w:rsidRPr="0030466D" w:rsidRDefault="00064CD3" w:rsidP="000878F6">
            <w:pPr>
              <w:pStyle w:val="Table"/>
              <w:jc w:val="center"/>
              <w:rPr>
                <w:szCs w:val="20"/>
              </w:rPr>
            </w:pPr>
            <w:r w:rsidRPr="0030466D">
              <w:rPr>
                <w:rFonts w:ascii="Calibri" w:hAnsi="Calibri" w:cs="Calibri"/>
                <w:color w:val="000000"/>
                <w:szCs w:val="20"/>
              </w:rPr>
              <w:t>125,78%</w:t>
            </w:r>
          </w:p>
        </w:tc>
        <w:tc>
          <w:tcPr>
            <w:tcW w:w="1283" w:type="dxa"/>
            <w:vAlign w:val="center"/>
          </w:tcPr>
          <w:p w14:paraId="675F5583" w14:textId="77777777" w:rsidR="00064CD3" w:rsidRPr="0030466D" w:rsidRDefault="00064CD3" w:rsidP="000878F6">
            <w:pPr>
              <w:pStyle w:val="Table"/>
              <w:jc w:val="center"/>
              <w:rPr>
                <w:szCs w:val="20"/>
              </w:rPr>
            </w:pPr>
            <w:r w:rsidRPr="0030466D">
              <w:rPr>
                <w:rFonts w:ascii="Calibri" w:hAnsi="Calibri" w:cs="Calibri"/>
                <w:color w:val="000000"/>
                <w:szCs w:val="20"/>
              </w:rPr>
              <w:t>134,99%</w:t>
            </w:r>
          </w:p>
        </w:tc>
      </w:tr>
      <w:tr w:rsidR="00064CD3" w:rsidRPr="00355514" w14:paraId="51446B3A" w14:textId="77777777" w:rsidTr="00BA7936">
        <w:trPr>
          <w:trHeight w:val="162"/>
        </w:trPr>
        <w:tc>
          <w:tcPr>
            <w:tcW w:w="2252" w:type="dxa"/>
          </w:tcPr>
          <w:p w14:paraId="3FAF8F28" w14:textId="77777777" w:rsidR="00064CD3" w:rsidRPr="00355514" w:rsidRDefault="00064CD3" w:rsidP="000878F6">
            <w:pPr>
              <w:pStyle w:val="Table"/>
            </w:pPr>
            <w:r w:rsidRPr="00355514">
              <w:t>Minerals &amp; Aggregates</w:t>
            </w:r>
          </w:p>
        </w:tc>
        <w:tc>
          <w:tcPr>
            <w:tcW w:w="1126" w:type="dxa"/>
            <w:vAlign w:val="center"/>
          </w:tcPr>
          <w:p w14:paraId="4D13D662" w14:textId="77777777" w:rsidR="00064CD3" w:rsidRPr="0030466D" w:rsidRDefault="00064CD3" w:rsidP="000878F6">
            <w:pPr>
              <w:pStyle w:val="Table"/>
              <w:jc w:val="center"/>
              <w:rPr>
                <w:szCs w:val="20"/>
              </w:rPr>
            </w:pPr>
            <w:r w:rsidRPr="0030466D">
              <w:rPr>
                <w:rFonts w:ascii="Calibri" w:hAnsi="Calibri" w:cs="Calibri"/>
                <w:color w:val="000000"/>
                <w:szCs w:val="20"/>
              </w:rPr>
              <w:t>-16,67%</w:t>
            </w:r>
          </w:p>
        </w:tc>
        <w:tc>
          <w:tcPr>
            <w:tcW w:w="1126" w:type="dxa"/>
            <w:vAlign w:val="center"/>
          </w:tcPr>
          <w:p w14:paraId="0D145A2D" w14:textId="77777777" w:rsidR="00064CD3" w:rsidRPr="0030466D" w:rsidRDefault="00064CD3" w:rsidP="000878F6">
            <w:pPr>
              <w:pStyle w:val="Table"/>
              <w:jc w:val="center"/>
              <w:rPr>
                <w:szCs w:val="20"/>
              </w:rPr>
            </w:pPr>
            <w:r w:rsidRPr="0030466D">
              <w:rPr>
                <w:rFonts w:ascii="Calibri" w:hAnsi="Calibri" w:cs="Calibri"/>
                <w:color w:val="000000"/>
                <w:szCs w:val="20"/>
              </w:rPr>
              <w:t>-16,67%</w:t>
            </w:r>
          </w:p>
        </w:tc>
        <w:tc>
          <w:tcPr>
            <w:tcW w:w="1032" w:type="dxa"/>
            <w:vAlign w:val="center"/>
          </w:tcPr>
          <w:p w14:paraId="60D42B64" w14:textId="77777777" w:rsidR="00064CD3" w:rsidRPr="0030466D" w:rsidRDefault="00064CD3" w:rsidP="000878F6">
            <w:pPr>
              <w:pStyle w:val="Table"/>
              <w:jc w:val="center"/>
              <w:rPr>
                <w:szCs w:val="20"/>
              </w:rPr>
            </w:pPr>
            <w:r w:rsidRPr="0030466D">
              <w:rPr>
                <w:rFonts w:ascii="Calibri" w:hAnsi="Calibri" w:cs="Calibri"/>
                <w:color w:val="000000"/>
                <w:szCs w:val="20"/>
              </w:rPr>
              <w:t>4,07</w:t>
            </w:r>
          </w:p>
        </w:tc>
        <w:tc>
          <w:tcPr>
            <w:tcW w:w="1220" w:type="dxa"/>
            <w:vAlign w:val="center"/>
          </w:tcPr>
          <w:p w14:paraId="46917A43" w14:textId="77777777" w:rsidR="00064CD3" w:rsidRPr="0030466D" w:rsidRDefault="00064CD3" w:rsidP="000878F6">
            <w:pPr>
              <w:pStyle w:val="Table"/>
              <w:jc w:val="center"/>
              <w:rPr>
                <w:szCs w:val="20"/>
              </w:rPr>
            </w:pPr>
            <w:r w:rsidRPr="0030466D">
              <w:rPr>
                <w:rFonts w:ascii="Calibri" w:hAnsi="Calibri" w:cs="Calibri"/>
                <w:color w:val="000000"/>
                <w:szCs w:val="20"/>
              </w:rPr>
              <w:t>3,98</w:t>
            </w:r>
          </w:p>
        </w:tc>
        <w:tc>
          <w:tcPr>
            <w:tcW w:w="969" w:type="dxa"/>
            <w:vAlign w:val="center"/>
          </w:tcPr>
          <w:p w14:paraId="560C3B7F" w14:textId="77777777" w:rsidR="00064CD3" w:rsidRPr="0030466D" w:rsidRDefault="00064CD3" w:rsidP="000878F6">
            <w:pPr>
              <w:pStyle w:val="Table"/>
              <w:jc w:val="center"/>
              <w:rPr>
                <w:szCs w:val="20"/>
              </w:rPr>
            </w:pPr>
            <w:r w:rsidRPr="0030466D">
              <w:rPr>
                <w:rFonts w:ascii="Calibri" w:hAnsi="Calibri" w:cs="Calibri"/>
                <w:color w:val="000000"/>
                <w:szCs w:val="20"/>
              </w:rPr>
              <w:t>N.E.</w:t>
            </w:r>
          </w:p>
        </w:tc>
        <w:tc>
          <w:tcPr>
            <w:tcW w:w="1283" w:type="dxa"/>
            <w:vAlign w:val="center"/>
          </w:tcPr>
          <w:p w14:paraId="2E536B34" w14:textId="77777777" w:rsidR="00064CD3" w:rsidRPr="0030466D" w:rsidRDefault="00064CD3" w:rsidP="000878F6">
            <w:pPr>
              <w:pStyle w:val="Table"/>
              <w:jc w:val="center"/>
              <w:rPr>
                <w:szCs w:val="20"/>
              </w:rPr>
            </w:pPr>
            <w:r w:rsidRPr="0030466D">
              <w:rPr>
                <w:rFonts w:ascii="Calibri" w:hAnsi="Calibri" w:cs="Calibri"/>
                <w:color w:val="000000"/>
                <w:szCs w:val="20"/>
              </w:rPr>
              <w:t>N.E.</w:t>
            </w:r>
          </w:p>
        </w:tc>
      </w:tr>
    </w:tbl>
    <w:p w14:paraId="48D278E5" w14:textId="77777777" w:rsidR="00064CD3" w:rsidRDefault="00064CD3" w:rsidP="00064CD3">
      <w:pPr>
        <w:rPr>
          <w:lang w:eastAsia="en-GB"/>
        </w:rPr>
      </w:pP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26"/>
        <w:gridCol w:w="1126"/>
        <w:gridCol w:w="1032"/>
        <w:gridCol w:w="1220"/>
        <w:gridCol w:w="969"/>
        <w:gridCol w:w="1283"/>
      </w:tblGrid>
      <w:tr w:rsidR="00064CD3" w:rsidRPr="00DF2618" w14:paraId="141473F3" w14:textId="77777777" w:rsidTr="00BA7936">
        <w:trPr>
          <w:trHeight w:val="337"/>
        </w:trPr>
        <w:tc>
          <w:tcPr>
            <w:tcW w:w="9008" w:type="dxa"/>
            <w:gridSpan w:val="7"/>
            <w:shd w:val="clear" w:color="auto" w:fill="003399"/>
          </w:tcPr>
          <w:p w14:paraId="4D74C773" w14:textId="626B33B3" w:rsidR="00064CD3" w:rsidRPr="00DF2618" w:rsidRDefault="00064CD3" w:rsidP="000878F6">
            <w:pPr>
              <w:pStyle w:val="Table"/>
              <w:rPr>
                <w:b/>
                <w:szCs w:val="20"/>
              </w:rPr>
            </w:pPr>
            <w:r w:rsidRPr="00DF2618">
              <w:rPr>
                <w:b/>
                <w:color w:val="FFFFFF" w:themeColor="background1"/>
                <w:szCs w:val="20"/>
              </w:rPr>
              <w:t xml:space="preserve">Table </w:t>
            </w:r>
            <w:r w:rsidR="00490085">
              <w:rPr>
                <w:b/>
                <w:bCs/>
                <w:color w:val="FFFFFF" w:themeColor="background1"/>
                <w:szCs w:val="20"/>
              </w:rPr>
              <w:t>A6</w:t>
            </w:r>
            <w:r w:rsidRPr="00DF2618">
              <w:rPr>
                <w:b/>
                <w:bCs/>
                <w:color w:val="FFFFFF" w:themeColor="background1"/>
                <w:szCs w:val="20"/>
              </w:rPr>
              <w:t>-</w:t>
            </w:r>
            <w:r w:rsidRPr="00DF2618">
              <w:rPr>
                <w:b/>
                <w:bCs/>
                <w:color w:val="FFFFFF" w:themeColor="background1"/>
                <w:szCs w:val="20"/>
              </w:rPr>
              <w:fldChar w:fldCharType="begin"/>
            </w:r>
            <w:r w:rsidRPr="00DF2618">
              <w:rPr>
                <w:b/>
                <w:bCs/>
                <w:color w:val="FFFFFF" w:themeColor="background1"/>
                <w:szCs w:val="20"/>
              </w:rPr>
              <w:instrText xml:space="preserve"> SEQ Table_A5- \* ARABIC </w:instrText>
            </w:r>
            <w:r w:rsidRPr="00DF2618">
              <w:rPr>
                <w:b/>
                <w:bCs/>
                <w:color w:val="FFFFFF" w:themeColor="background1"/>
                <w:szCs w:val="20"/>
              </w:rPr>
              <w:fldChar w:fldCharType="separate"/>
            </w:r>
            <w:r>
              <w:rPr>
                <w:b/>
                <w:bCs/>
                <w:noProof/>
                <w:color w:val="FFFFFF" w:themeColor="background1"/>
                <w:szCs w:val="20"/>
              </w:rPr>
              <w:t>96</w:t>
            </w:r>
            <w:r w:rsidRPr="00DF2618">
              <w:rPr>
                <w:b/>
                <w:bCs/>
                <w:color w:val="FFFFFF" w:themeColor="background1"/>
                <w:szCs w:val="20"/>
              </w:rPr>
              <w:fldChar w:fldCharType="end"/>
            </w:r>
            <w:r w:rsidRPr="00DF2618">
              <w:rPr>
                <w:b/>
                <w:bCs/>
                <w:color w:val="FFFFFF" w:themeColor="background1"/>
                <w:szCs w:val="20"/>
                <w:lang w:eastAsia="en-GB"/>
              </w:rPr>
              <w:t>:</w:t>
            </w:r>
            <w:r w:rsidRPr="00DF2618">
              <w:rPr>
                <w:b/>
                <w:color w:val="FFFFFF" w:themeColor="background1"/>
                <w:szCs w:val="20"/>
                <w:lang w:eastAsia="en-GB"/>
              </w:rPr>
              <w:t xml:space="preserve"> Environmental Impacts and Revenue Changes in Malta – Scenario B</w:t>
            </w:r>
          </w:p>
        </w:tc>
      </w:tr>
      <w:tr w:rsidR="00064CD3" w:rsidRPr="00DF2618" w14:paraId="19EA26E8" w14:textId="77777777" w:rsidTr="00BA7936">
        <w:trPr>
          <w:trHeight w:val="427"/>
        </w:trPr>
        <w:tc>
          <w:tcPr>
            <w:tcW w:w="2252" w:type="dxa"/>
          </w:tcPr>
          <w:p w14:paraId="6FB0FDB4" w14:textId="77777777" w:rsidR="00064CD3" w:rsidRPr="00DF2618" w:rsidRDefault="00064CD3" w:rsidP="000878F6">
            <w:pPr>
              <w:pStyle w:val="Table"/>
              <w:rPr>
                <w:b/>
                <w:szCs w:val="20"/>
              </w:rPr>
            </w:pPr>
            <w:r w:rsidRPr="00DF2618">
              <w:rPr>
                <w:b/>
                <w:szCs w:val="20"/>
              </w:rPr>
              <w:t>Tax Name</w:t>
            </w:r>
          </w:p>
        </w:tc>
        <w:tc>
          <w:tcPr>
            <w:tcW w:w="2252" w:type="dxa"/>
            <w:gridSpan w:val="2"/>
            <w:vAlign w:val="bottom"/>
          </w:tcPr>
          <w:p w14:paraId="7401C6B7" w14:textId="77777777" w:rsidR="00064CD3" w:rsidRPr="00DF2618" w:rsidRDefault="00064CD3" w:rsidP="000878F6">
            <w:pPr>
              <w:pStyle w:val="Table"/>
              <w:jc w:val="center"/>
              <w:rPr>
                <w:b/>
                <w:szCs w:val="20"/>
              </w:rPr>
            </w:pPr>
            <w:r w:rsidRPr="00DF2618">
              <w:rPr>
                <w:rFonts w:ascii="Calibri" w:hAnsi="Calibri" w:cs="Calibri"/>
                <w:b/>
                <w:bCs/>
                <w:color w:val="000000"/>
                <w:szCs w:val="20"/>
              </w:rPr>
              <w:t>% Change in Quantities as % of taxed sector</w:t>
            </w:r>
          </w:p>
        </w:tc>
        <w:tc>
          <w:tcPr>
            <w:tcW w:w="2252" w:type="dxa"/>
            <w:gridSpan w:val="2"/>
            <w:vAlign w:val="bottom"/>
          </w:tcPr>
          <w:p w14:paraId="03316314" w14:textId="77777777" w:rsidR="00064CD3" w:rsidRPr="00DF2618" w:rsidRDefault="00064CD3" w:rsidP="000878F6">
            <w:pPr>
              <w:pStyle w:val="Table"/>
              <w:jc w:val="center"/>
              <w:rPr>
                <w:b/>
                <w:szCs w:val="20"/>
              </w:rPr>
            </w:pPr>
            <w:r w:rsidRPr="00DF2618">
              <w:rPr>
                <w:rFonts w:ascii="Calibri" w:hAnsi="Calibri" w:cs="Calibri"/>
                <w:b/>
                <w:bCs/>
                <w:color w:val="000000"/>
                <w:szCs w:val="20"/>
              </w:rPr>
              <w:t>Change in Revenues (€Mn)</w:t>
            </w:r>
          </w:p>
        </w:tc>
        <w:tc>
          <w:tcPr>
            <w:tcW w:w="2252" w:type="dxa"/>
            <w:gridSpan w:val="2"/>
            <w:vAlign w:val="bottom"/>
          </w:tcPr>
          <w:p w14:paraId="18B2AED7" w14:textId="77777777" w:rsidR="00064CD3" w:rsidRPr="00DF2618" w:rsidRDefault="00064CD3" w:rsidP="000878F6">
            <w:pPr>
              <w:pStyle w:val="Table"/>
              <w:jc w:val="center"/>
              <w:rPr>
                <w:b/>
                <w:szCs w:val="20"/>
              </w:rPr>
            </w:pPr>
            <w:r w:rsidRPr="00DF2618">
              <w:rPr>
                <w:rFonts w:ascii="Calibri" w:hAnsi="Calibri" w:cs="Calibri"/>
                <w:b/>
                <w:bCs/>
                <w:color w:val="000000"/>
                <w:szCs w:val="20"/>
              </w:rPr>
              <w:t>As % of 2023 Resource Tax</w:t>
            </w:r>
          </w:p>
        </w:tc>
      </w:tr>
      <w:tr w:rsidR="00064CD3" w:rsidRPr="00DF2618" w14:paraId="43FF960A" w14:textId="77777777" w:rsidTr="00BA7936">
        <w:trPr>
          <w:trHeight w:val="137"/>
        </w:trPr>
        <w:tc>
          <w:tcPr>
            <w:tcW w:w="2252" w:type="dxa"/>
          </w:tcPr>
          <w:p w14:paraId="46E3509F" w14:textId="77777777" w:rsidR="00064CD3" w:rsidRPr="00DF2618" w:rsidRDefault="00064CD3" w:rsidP="000878F6">
            <w:pPr>
              <w:pStyle w:val="Table"/>
              <w:rPr>
                <w:b/>
                <w:szCs w:val="20"/>
              </w:rPr>
            </w:pPr>
            <w:r w:rsidRPr="00DF2618">
              <w:rPr>
                <w:b/>
                <w:szCs w:val="20"/>
              </w:rPr>
              <w:t>Year</w:t>
            </w:r>
          </w:p>
        </w:tc>
        <w:tc>
          <w:tcPr>
            <w:tcW w:w="1126" w:type="dxa"/>
          </w:tcPr>
          <w:p w14:paraId="1998C266" w14:textId="77777777" w:rsidR="00064CD3" w:rsidRPr="00DF2618" w:rsidRDefault="00064CD3" w:rsidP="000878F6">
            <w:pPr>
              <w:pStyle w:val="Table"/>
              <w:jc w:val="center"/>
              <w:rPr>
                <w:b/>
                <w:szCs w:val="20"/>
              </w:rPr>
            </w:pPr>
            <w:r w:rsidRPr="00DF2618">
              <w:rPr>
                <w:b/>
                <w:szCs w:val="20"/>
              </w:rPr>
              <w:t>2030</w:t>
            </w:r>
          </w:p>
        </w:tc>
        <w:tc>
          <w:tcPr>
            <w:tcW w:w="1126" w:type="dxa"/>
          </w:tcPr>
          <w:p w14:paraId="14668658" w14:textId="77777777" w:rsidR="00064CD3" w:rsidRPr="00DF2618" w:rsidRDefault="00064CD3" w:rsidP="000878F6">
            <w:pPr>
              <w:pStyle w:val="Table"/>
              <w:jc w:val="center"/>
              <w:rPr>
                <w:b/>
                <w:szCs w:val="20"/>
              </w:rPr>
            </w:pPr>
            <w:r w:rsidRPr="00DF2618">
              <w:rPr>
                <w:b/>
                <w:szCs w:val="20"/>
              </w:rPr>
              <w:t>2035</w:t>
            </w:r>
          </w:p>
        </w:tc>
        <w:tc>
          <w:tcPr>
            <w:tcW w:w="1032" w:type="dxa"/>
          </w:tcPr>
          <w:p w14:paraId="3C3C95CA" w14:textId="77777777" w:rsidR="00064CD3" w:rsidRPr="00DF2618" w:rsidRDefault="00064CD3" w:rsidP="000878F6">
            <w:pPr>
              <w:pStyle w:val="Table"/>
              <w:jc w:val="center"/>
              <w:rPr>
                <w:b/>
                <w:szCs w:val="20"/>
              </w:rPr>
            </w:pPr>
            <w:r w:rsidRPr="00DF2618">
              <w:rPr>
                <w:b/>
                <w:szCs w:val="20"/>
              </w:rPr>
              <w:t>2030</w:t>
            </w:r>
          </w:p>
        </w:tc>
        <w:tc>
          <w:tcPr>
            <w:tcW w:w="1220" w:type="dxa"/>
          </w:tcPr>
          <w:p w14:paraId="7B4B4C95" w14:textId="77777777" w:rsidR="00064CD3" w:rsidRPr="00DF2618" w:rsidRDefault="00064CD3" w:rsidP="000878F6">
            <w:pPr>
              <w:pStyle w:val="Table"/>
              <w:jc w:val="center"/>
              <w:rPr>
                <w:b/>
                <w:szCs w:val="20"/>
              </w:rPr>
            </w:pPr>
            <w:r w:rsidRPr="00DF2618">
              <w:rPr>
                <w:b/>
                <w:szCs w:val="20"/>
              </w:rPr>
              <w:t>2035</w:t>
            </w:r>
          </w:p>
        </w:tc>
        <w:tc>
          <w:tcPr>
            <w:tcW w:w="969" w:type="dxa"/>
          </w:tcPr>
          <w:p w14:paraId="12C5E70B" w14:textId="77777777" w:rsidR="00064CD3" w:rsidRPr="00DF2618" w:rsidRDefault="00064CD3" w:rsidP="000878F6">
            <w:pPr>
              <w:pStyle w:val="Table"/>
              <w:jc w:val="center"/>
              <w:rPr>
                <w:b/>
                <w:szCs w:val="20"/>
              </w:rPr>
            </w:pPr>
            <w:r w:rsidRPr="00DF2618">
              <w:rPr>
                <w:b/>
                <w:szCs w:val="20"/>
              </w:rPr>
              <w:t>2030</w:t>
            </w:r>
          </w:p>
        </w:tc>
        <w:tc>
          <w:tcPr>
            <w:tcW w:w="1283" w:type="dxa"/>
          </w:tcPr>
          <w:p w14:paraId="4D3D4EA9" w14:textId="77777777" w:rsidR="00064CD3" w:rsidRPr="00DF2618" w:rsidRDefault="00064CD3" w:rsidP="000878F6">
            <w:pPr>
              <w:pStyle w:val="Table"/>
              <w:jc w:val="center"/>
              <w:rPr>
                <w:b/>
                <w:szCs w:val="20"/>
              </w:rPr>
            </w:pPr>
            <w:r w:rsidRPr="00DF2618">
              <w:rPr>
                <w:b/>
                <w:szCs w:val="20"/>
              </w:rPr>
              <w:t>2035</w:t>
            </w:r>
          </w:p>
        </w:tc>
      </w:tr>
      <w:tr w:rsidR="00064CD3" w:rsidRPr="00DF2618" w14:paraId="0F683C6B" w14:textId="77777777" w:rsidTr="00BA7936">
        <w:trPr>
          <w:trHeight w:val="169"/>
        </w:trPr>
        <w:tc>
          <w:tcPr>
            <w:tcW w:w="2252" w:type="dxa"/>
          </w:tcPr>
          <w:p w14:paraId="3F2BE602" w14:textId="77777777" w:rsidR="00064CD3" w:rsidRPr="00DF2618" w:rsidRDefault="00064CD3" w:rsidP="000878F6">
            <w:pPr>
              <w:pStyle w:val="Table"/>
              <w:rPr>
                <w:szCs w:val="20"/>
              </w:rPr>
            </w:pPr>
            <w:r w:rsidRPr="00DF2618">
              <w:rPr>
                <w:szCs w:val="20"/>
              </w:rPr>
              <w:t>NOx</w:t>
            </w:r>
          </w:p>
        </w:tc>
        <w:tc>
          <w:tcPr>
            <w:tcW w:w="1126" w:type="dxa"/>
            <w:vAlign w:val="center"/>
          </w:tcPr>
          <w:p w14:paraId="1223B58B" w14:textId="77777777" w:rsidR="00064CD3" w:rsidRPr="00DF2618" w:rsidRDefault="00064CD3" w:rsidP="000878F6">
            <w:pPr>
              <w:pStyle w:val="Table"/>
              <w:jc w:val="center"/>
              <w:rPr>
                <w:szCs w:val="20"/>
              </w:rPr>
            </w:pPr>
            <w:r w:rsidRPr="00DF2618">
              <w:rPr>
                <w:rFonts w:ascii="Calibri" w:hAnsi="Calibri" w:cs="Calibri"/>
                <w:color w:val="000000"/>
                <w:szCs w:val="20"/>
              </w:rPr>
              <w:t>-7,39%</w:t>
            </w:r>
          </w:p>
        </w:tc>
        <w:tc>
          <w:tcPr>
            <w:tcW w:w="1126" w:type="dxa"/>
            <w:vAlign w:val="center"/>
          </w:tcPr>
          <w:p w14:paraId="7EF84EAA" w14:textId="77777777" w:rsidR="00064CD3" w:rsidRPr="00DF2618" w:rsidRDefault="00064CD3" w:rsidP="000878F6">
            <w:pPr>
              <w:pStyle w:val="Table"/>
              <w:jc w:val="center"/>
              <w:rPr>
                <w:szCs w:val="20"/>
              </w:rPr>
            </w:pPr>
            <w:r w:rsidRPr="00DF2618">
              <w:rPr>
                <w:rFonts w:ascii="Calibri" w:hAnsi="Calibri" w:cs="Calibri"/>
                <w:color w:val="000000"/>
                <w:szCs w:val="20"/>
              </w:rPr>
              <w:t>-7,39%</w:t>
            </w:r>
          </w:p>
        </w:tc>
        <w:tc>
          <w:tcPr>
            <w:tcW w:w="1032" w:type="dxa"/>
            <w:vAlign w:val="center"/>
          </w:tcPr>
          <w:p w14:paraId="16EEC04E" w14:textId="77777777" w:rsidR="00064CD3" w:rsidRPr="00DF2618" w:rsidRDefault="00064CD3" w:rsidP="000878F6">
            <w:pPr>
              <w:pStyle w:val="Table"/>
              <w:jc w:val="center"/>
              <w:rPr>
                <w:szCs w:val="20"/>
              </w:rPr>
            </w:pPr>
            <w:r w:rsidRPr="00DF2618">
              <w:rPr>
                <w:rFonts w:ascii="Calibri" w:hAnsi="Calibri" w:cs="Calibri"/>
                <w:color w:val="000000"/>
                <w:szCs w:val="20"/>
              </w:rPr>
              <w:t>0,01</w:t>
            </w:r>
          </w:p>
        </w:tc>
        <w:tc>
          <w:tcPr>
            <w:tcW w:w="1220" w:type="dxa"/>
            <w:vAlign w:val="center"/>
          </w:tcPr>
          <w:p w14:paraId="60541D11" w14:textId="77777777" w:rsidR="00064CD3" w:rsidRPr="00DF2618" w:rsidRDefault="00064CD3" w:rsidP="000878F6">
            <w:pPr>
              <w:pStyle w:val="Table"/>
              <w:jc w:val="center"/>
              <w:rPr>
                <w:szCs w:val="20"/>
              </w:rPr>
            </w:pPr>
            <w:r w:rsidRPr="00DF2618">
              <w:rPr>
                <w:rFonts w:ascii="Calibri" w:hAnsi="Calibri" w:cs="Calibri"/>
                <w:color w:val="000000"/>
                <w:szCs w:val="20"/>
              </w:rPr>
              <w:t>0,00</w:t>
            </w:r>
          </w:p>
        </w:tc>
        <w:tc>
          <w:tcPr>
            <w:tcW w:w="969" w:type="dxa"/>
            <w:vAlign w:val="center"/>
          </w:tcPr>
          <w:p w14:paraId="15EBFFE0" w14:textId="77777777" w:rsidR="00064CD3" w:rsidRPr="00DF2618" w:rsidRDefault="00064CD3" w:rsidP="000878F6">
            <w:pPr>
              <w:pStyle w:val="Table"/>
              <w:jc w:val="center"/>
              <w:rPr>
                <w:szCs w:val="20"/>
              </w:rPr>
            </w:pPr>
            <w:r w:rsidRPr="00DF2618">
              <w:rPr>
                <w:rFonts w:ascii="Calibri" w:hAnsi="Calibri" w:cs="Calibri"/>
                <w:color w:val="000000"/>
                <w:szCs w:val="20"/>
              </w:rPr>
              <w:t>0,0%</w:t>
            </w:r>
          </w:p>
        </w:tc>
        <w:tc>
          <w:tcPr>
            <w:tcW w:w="1283" w:type="dxa"/>
            <w:vAlign w:val="center"/>
          </w:tcPr>
          <w:p w14:paraId="19C40108" w14:textId="77777777" w:rsidR="00064CD3" w:rsidRPr="00DF2618" w:rsidRDefault="00064CD3" w:rsidP="000878F6">
            <w:pPr>
              <w:pStyle w:val="Table"/>
              <w:jc w:val="center"/>
              <w:rPr>
                <w:szCs w:val="20"/>
              </w:rPr>
            </w:pPr>
            <w:r w:rsidRPr="00DF2618">
              <w:rPr>
                <w:rFonts w:ascii="Calibri" w:hAnsi="Calibri" w:cs="Calibri"/>
                <w:color w:val="000000"/>
                <w:szCs w:val="20"/>
              </w:rPr>
              <w:t>0,0%</w:t>
            </w:r>
          </w:p>
        </w:tc>
      </w:tr>
      <w:tr w:rsidR="00064CD3" w:rsidRPr="00DF2618" w14:paraId="08CA59DD" w14:textId="77777777" w:rsidTr="00BA7936">
        <w:trPr>
          <w:trHeight w:val="201"/>
        </w:trPr>
        <w:tc>
          <w:tcPr>
            <w:tcW w:w="2252" w:type="dxa"/>
          </w:tcPr>
          <w:p w14:paraId="2CE2844D" w14:textId="77777777" w:rsidR="00064CD3" w:rsidRPr="00DF2618" w:rsidRDefault="00064CD3" w:rsidP="000878F6">
            <w:pPr>
              <w:pStyle w:val="Table"/>
              <w:rPr>
                <w:szCs w:val="20"/>
              </w:rPr>
            </w:pPr>
            <w:r w:rsidRPr="00DF2618">
              <w:rPr>
                <w:szCs w:val="20"/>
              </w:rPr>
              <w:t>SO2</w:t>
            </w:r>
          </w:p>
        </w:tc>
        <w:tc>
          <w:tcPr>
            <w:tcW w:w="1126" w:type="dxa"/>
            <w:vAlign w:val="center"/>
          </w:tcPr>
          <w:p w14:paraId="08FA56FE" w14:textId="77777777" w:rsidR="00064CD3" w:rsidRPr="00DF2618" w:rsidRDefault="00064CD3" w:rsidP="000878F6">
            <w:pPr>
              <w:pStyle w:val="Table"/>
              <w:jc w:val="center"/>
              <w:rPr>
                <w:szCs w:val="20"/>
              </w:rPr>
            </w:pPr>
            <w:r w:rsidRPr="00DF2618">
              <w:rPr>
                <w:rFonts w:ascii="Calibri" w:hAnsi="Calibri" w:cs="Calibri"/>
                <w:color w:val="000000"/>
                <w:szCs w:val="20"/>
              </w:rPr>
              <w:t>-8,11%</w:t>
            </w:r>
          </w:p>
        </w:tc>
        <w:tc>
          <w:tcPr>
            <w:tcW w:w="1126" w:type="dxa"/>
            <w:vAlign w:val="center"/>
          </w:tcPr>
          <w:p w14:paraId="06E7F9A9" w14:textId="77777777" w:rsidR="00064CD3" w:rsidRPr="00DF2618" w:rsidRDefault="00064CD3" w:rsidP="000878F6">
            <w:pPr>
              <w:pStyle w:val="Table"/>
              <w:jc w:val="center"/>
              <w:rPr>
                <w:szCs w:val="20"/>
              </w:rPr>
            </w:pPr>
            <w:r w:rsidRPr="00DF2618">
              <w:rPr>
                <w:rFonts w:ascii="Calibri" w:hAnsi="Calibri" w:cs="Calibri"/>
                <w:color w:val="000000"/>
                <w:szCs w:val="20"/>
              </w:rPr>
              <w:t>-8,11%</w:t>
            </w:r>
          </w:p>
        </w:tc>
        <w:tc>
          <w:tcPr>
            <w:tcW w:w="1032" w:type="dxa"/>
            <w:vAlign w:val="center"/>
          </w:tcPr>
          <w:p w14:paraId="0C618264" w14:textId="77777777" w:rsidR="00064CD3" w:rsidRPr="00DF2618" w:rsidRDefault="00064CD3" w:rsidP="000878F6">
            <w:pPr>
              <w:pStyle w:val="Table"/>
              <w:jc w:val="center"/>
              <w:rPr>
                <w:szCs w:val="20"/>
              </w:rPr>
            </w:pPr>
            <w:r w:rsidRPr="00DF2618">
              <w:rPr>
                <w:rFonts w:ascii="Calibri" w:hAnsi="Calibri" w:cs="Calibri"/>
                <w:color w:val="000000"/>
                <w:szCs w:val="20"/>
              </w:rPr>
              <w:t>0,00</w:t>
            </w:r>
          </w:p>
        </w:tc>
        <w:tc>
          <w:tcPr>
            <w:tcW w:w="1220" w:type="dxa"/>
            <w:vAlign w:val="center"/>
          </w:tcPr>
          <w:p w14:paraId="13D4006F" w14:textId="77777777" w:rsidR="00064CD3" w:rsidRPr="00DF2618" w:rsidRDefault="00064CD3" w:rsidP="000878F6">
            <w:pPr>
              <w:pStyle w:val="Table"/>
              <w:jc w:val="center"/>
              <w:rPr>
                <w:szCs w:val="20"/>
              </w:rPr>
            </w:pPr>
            <w:r w:rsidRPr="00DF2618">
              <w:rPr>
                <w:rFonts w:ascii="Calibri" w:hAnsi="Calibri" w:cs="Calibri"/>
                <w:color w:val="000000"/>
                <w:szCs w:val="20"/>
              </w:rPr>
              <w:t>0,00</w:t>
            </w:r>
          </w:p>
        </w:tc>
        <w:tc>
          <w:tcPr>
            <w:tcW w:w="969" w:type="dxa"/>
            <w:vAlign w:val="center"/>
          </w:tcPr>
          <w:p w14:paraId="47216E74" w14:textId="77777777" w:rsidR="00064CD3" w:rsidRPr="00DF2618" w:rsidRDefault="00064CD3" w:rsidP="000878F6">
            <w:pPr>
              <w:pStyle w:val="Table"/>
              <w:jc w:val="center"/>
              <w:rPr>
                <w:szCs w:val="20"/>
              </w:rPr>
            </w:pPr>
            <w:r w:rsidRPr="00DF2618">
              <w:rPr>
                <w:rFonts w:ascii="Calibri" w:hAnsi="Calibri" w:cs="Calibri"/>
                <w:color w:val="000000"/>
                <w:szCs w:val="20"/>
              </w:rPr>
              <w:t>0,0%</w:t>
            </w:r>
          </w:p>
        </w:tc>
        <w:tc>
          <w:tcPr>
            <w:tcW w:w="1283" w:type="dxa"/>
            <w:vAlign w:val="center"/>
          </w:tcPr>
          <w:p w14:paraId="68972098" w14:textId="77777777" w:rsidR="00064CD3" w:rsidRPr="00DF2618" w:rsidRDefault="00064CD3" w:rsidP="000878F6">
            <w:pPr>
              <w:pStyle w:val="Table"/>
              <w:jc w:val="center"/>
              <w:rPr>
                <w:szCs w:val="20"/>
              </w:rPr>
            </w:pPr>
            <w:r w:rsidRPr="00DF2618">
              <w:rPr>
                <w:rFonts w:ascii="Calibri" w:hAnsi="Calibri" w:cs="Calibri"/>
                <w:color w:val="000000"/>
                <w:szCs w:val="20"/>
              </w:rPr>
              <w:t>0,0%</w:t>
            </w:r>
          </w:p>
        </w:tc>
      </w:tr>
      <w:tr w:rsidR="00064CD3" w:rsidRPr="00DF2618" w14:paraId="12174D50" w14:textId="77777777" w:rsidTr="00BA7936">
        <w:trPr>
          <w:trHeight w:val="219"/>
        </w:trPr>
        <w:tc>
          <w:tcPr>
            <w:tcW w:w="2252" w:type="dxa"/>
          </w:tcPr>
          <w:p w14:paraId="55E62350" w14:textId="77777777" w:rsidR="00064CD3" w:rsidRPr="00DF2618" w:rsidRDefault="00064CD3" w:rsidP="000878F6">
            <w:pPr>
              <w:pStyle w:val="Table"/>
              <w:rPr>
                <w:szCs w:val="20"/>
              </w:rPr>
            </w:pPr>
            <w:r w:rsidRPr="00DF2618">
              <w:rPr>
                <w:szCs w:val="20"/>
              </w:rPr>
              <w:t>PM2.5</w:t>
            </w:r>
          </w:p>
        </w:tc>
        <w:tc>
          <w:tcPr>
            <w:tcW w:w="1126" w:type="dxa"/>
            <w:vAlign w:val="center"/>
          </w:tcPr>
          <w:p w14:paraId="78E59E75" w14:textId="77777777" w:rsidR="00064CD3" w:rsidRPr="00DF2618" w:rsidRDefault="00064CD3" w:rsidP="000878F6">
            <w:pPr>
              <w:pStyle w:val="Table"/>
              <w:jc w:val="center"/>
              <w:rPr>
                <w:szCs w:val="20"/>
              </w:rPr>
            </w:pPr>
            <w:r w:rsidRPr="00DF2618">
              <w:rPr>
                <w:rFonts w:ascii="Calibri" w:hAnsi="Calibri" w:cs="Calibri"/>
                <w:color w:val="000000"/>
                <w:szCs w:val="20"/>
              </w:rPr>
              <w:t>-7,39%</w:t>
            </w:r>
          </w:p>
        </w:tc>
        <w:tc>
          <w:tcPr>
            <w:tcW w:w="1126" w:type="dxa"/>
            <w:vAlign w:val="center"/>
          </w:tcPr>
          <w:p w14:paraId="1BFCEC03" w14:textId="77777777" w:rsidR="00064CD3" w:rsidRPr="00DF2618" w:rsidRDefault="00064CD3" w:rsidP="000878F6">
            <w:pPr>
              <w:pStyle w:val="Table"/>
              <w:jc w:val="center"/>
              <w:rPr>
                <w:szCs w:val="20"/>
              </w:rPr>
            </w:pPr>
            <w:r w:rsidRPr="00DF2618">
              <w:rPr>
                <w:rFonts w:ascii="Calibri" w:hAnsi="Calibri" w:cs="Calibri"/>
                <w:color w:val="000000"/>
                <w:szCs w:val="20"/>
              </w:rPr>
              <w:t>-7,39%</w:t>
            </w:r>
          </w:p>
        </w:tc>
        <w:tc>
          <w:tcPr>
            <w:tcW w:w="1032" w:type="dxa"/>
            <w:vAlign w:val="center"/>
          </w:tcPr>
          <w:p w14:paraId="50F6EC28" w14:textId="77777777" w:rsidR="00064CD3" w:rsidRPr="00DF2618" w:rsidRDefault="00064CD3" w:rsidP="000878F6">
            <w:pPr>
              <w:pStyle w:val="Table"/>
              <w:jc w:val="center"/>
              <w:rPr>
                <w:szCs w:val="20"/>
              </w:rPr>
            </w:pPr>
            <w:r w:rsidRPr="00DF2618">
              <w:rPr>
                <w:rFonts w:ascii="Calibri" w:hAnsi="Calibri" w:cs="Calibri"/>
                <w:color w:val="000000"/>
                <w:szCs w:val="20"/>
              </w:rPr>
              <w:t>0,04</w:t>
            </w:r>
          </w:p>
        </w:tc>
        <w:tc>
          <w:tcPr>
            <w:tcW w:w="1220" w:type="dxa"/>
            <w:vAlign w:val="center"/>
          </w:tcPr>
          <w:p w14:paraId="2BCE95CC" w14:textId="77777777" w:rsidR="00064CD3" w:rsidRPr="00DF2618" w:rsidRDefault="00064CD3" w:rsidP="000878F6">
            <w:pPr>
              <w:pStyle w:val="Table"/>
              <w:jc w:val="center"/>
              <w:rPr>
                <w:szCs w:val="20"/>
              </w:rPr>
            </w:pPr>
            <w:r w:rsidRPr="00DF2618">
              <w:rPr>
                <w:rFonts w:ascii="Calibri" w:hAnsi="Calibri" w:cs="Calibri"/>
                <w:color w:val="000000"/>
                <w:szCs w:val="20"/>
              </w:rPr>
              <w:t>0,04</w:t>
            </w:r>
          </w:p>
        </w:tc>
        <w:tc>
          <w:tcPr>
            <w:tcW w:w="969" w:type="dxa"/>
            <w:vAlign w:val="center"/>
          </w:tcPr>
          <w:p w14:paraId="2F556FBA" w14:textId="77777777" w:rsidR="00064CD3" w:rsidRPr="00DF2618" w:rsidRDefault="00064CD3" w:rsidP="000878F6">
            <w:pPr>
              <w:pStyle w:val="Table"/>
              <w:jc w:val="center"/>
              <w:rPr>
                <w:szCs w:val="20"/>
              </w:rPr>
            </w:pPr>
            <w:r w:rsidRPr="00DF2618">
              <w:rPr>
                <w:rFonts w:ascii="Calibri" w:hAnsi="Calibri" w:cs="Calibri"/>
                <w:color w:val="000000"/>
                <w:szCs w:val="20"/>
              </w:rPr>
              <w:t>0,1%</w:t>
            </w:r>
          </w:p>
        </w:tc>
        <w:tc>
          <w:tcPr>
            <w:tcW w:w="1283" w:type="dxa"/>
            <w:vAlign w:val="center"/>
          </w:tcPr>
          <w:p w14:paraId="7BAC0A62" w14:textId="77777777" w:rsidR="00064CD3" w:rsidRPr="00DF2618" w:rsidRDefault="00064CD3" w:rsidP="000878F6">
            <w:pPr>
              <w:pStyle w:val="Table"/>
              <w:jc w:val="center"/>
              <w:rPr>
                <w:szCs w:val="20"/>
              </w:rPr>
            </w:pPr>
            <w:r w:rsidRPr="00DF2618">
              <w:rPr>
                <w:rFonts w:ascii="Calibri" w:hAnsi="Calibri" w:cs="Calibri"/>
                <w:color w:val="000000"/>
                <w:szCs w:val="20"/>
              </w:rPr>
              <w:t>0,1%</w:t>
            </w:r>
          </w:p>
        </w:tc>
      </w:tr>
      <w:tr w:rsidR="00064CD3" w:rsidRPr="00DF2618" w14:paraId="7A43AF66" w14:textId="77777777" w:rsidTr="00BA7936">
        <w:trPr>
          <w:trHeight w:val="251"/>
        </w:trPr>
        <w:tc>
          <w:tcPr>
            <w:tcW w:w="2252" w:type="dxa"/>
          </w:tcPr>
          <w:p w14:paraId="22FDA558" w14:textId="77777777" w:rsidR="00064CD3" w:rsidRPr="00DF2618" w:rsidRDefault="00064CD3" w:rsidP="000878F6">
            <w:pPr>
              <w:pStyle w:val="Table"/>
              <w:rPr>
                <w:szCs w:val="20"/>
              </w:rPr>
            </w:pPr>
            <w:r w:rsidRPr="00DF2618">
              <w:rPr>
                <w:szCs w:val="20"/>
              </w:rPr>
              <w:t>Water Abstraction</w:t>
            </w:r>
          </w:p>
        </w:tc>
        <w:tc>
          <w:tcPr>
            <w:tcW w:w="1126" w:type="dxa"/>
            <w:vAlign w:val="center"/>
          </w:tcPr>
          <w:p w14:paraId="77BCEC0B" w14:textId="77777777" w:rsidR="00064CD3" w:rsidRPr="00DF2618" w:rsidRDefault="00064CD3" w:rsidP="000878F6">
            <w:pPr>
              <w:pStyle w:val="Table"/>
              <w:jc w:val="center"/>
              <w:rPr>
                <w:szCs w:val="20"/>
              </w:rPr>
            </w:pPr>
            <w:r w:rsidRPr="00DF2618">
              <w:rPr>
                <w:rFonts w:ascii="Calibri" w:hAnsi="Calibri" w:cs="Calibri"/>
                <w:color w:val="000000"/>
                <w:szCs w:val="20"/>
              </w:rPr>
              <w:t>-5,81%</w:t>
            </w:r>
          </w:p>
        </w:tc>
        <w:tc>
          <w:tcPr>
            <w:tcW w:w="1126" w:type="dxa"/>
            <w:vAlign w:val="center"/>
          </w:tcPr>
          <w:p w14:paraId="25B8625A" w14:textId="77777777" w:rsidR="00064CD3" w:rsidRPr="00DF2618" w:rsidRDefault="00064CD3" w:rsidP="000878F6">
            <w:pPr>
              <w:pStyle w:val="Table"/>
              <w:jc w:val="center"/>
              <w:rPr>
                <w:szCs w:val="20"/>
              </w:rPr>
            </w:pPr>
            <w:r w:rsidRPr="00DF2618">
              <w:rPr>
                <w:rFonts w:ascii="Calibri" w:hAnsi="Calibri" w:cs="Calibri"/>
                <w:color w:val="000000"/>
                <w:szCs w:val="20"/>
              </w:rPr>
              <w:t>-5,81%</w:t>
            </w:r>
          </w:p>
        </w:tc>
        <w:tc>
          <w:tcPr>
            <w:tcW w:w="1032" w:type="dxa"/>
            <w:vAlign w:val="center"/>
          </w:tcPr>
          <w:p w14:paraId="2DA1D004" w14:textId="77777777" w:rsidR="00064CD3" w:rsidRPr="00DF2618" w:rsidRDefault="00064CD3" w:rsidP="000878F6">
            <w:pPr>
              <w:pStyle w:val="Table"/>
              <w:jc w:val="center"/>
              <w:rPr>
                <w:szCs w:val="20"/>
              </w:rPr>
            </w:pPr>
            <w:r w:rsidRPr="00DF2618">
              <w:rPr>
                <w:rFonts w:ascii="Calibri" w:hAnsi="Calibri" w:cs="Calibri"/>
                <w:color w:val="000000"/>
                <w:szCs w:val="20"/>
              </w:rPr>
              <w:t>1,55</w:t>
            </w:r>
          </w:p>
        </w:tc>
        <w:tc>
          <w:tcPr>
            <w:tcW w:w="1220" w:type="dxa"/>
            <w:vAlign w:val="center"/>
          </w:tcPr>
          <w:p w14:paraId="33B60192" w14:textId="77777777" w:rsidR="00064CD3" w:rsidRPr="00DF2618" w:rsidRDefault="00064CD3" w:rsidP="000878F6">
            <w:pPr>
              <w:pStyle w:val="Table"/>
              <w:jc w:val="center"/>
              <w:rPr>
                <w:szCs w:val="20"/>
              </w:rPr>
            </w:pPr>
            <w:r w:rsidRPr="00DF2618">
              <w:rPr>
                <w:rFonts w:ascii="Calibri" w:hAnsi="Calibri" w:cs="Calibri"/>
                <w:color w:val="000000"/>
                <w:szCs w:val="20"/>
              </w:rPr>
              <w:t>1,35</w:t>
            </w:r>
          </w:p>
        </w:tc>
        <w:tc>
          <w:tcPr>
            <w:tcW w:w="969" w:type="dxa"/>
            <w:vAlign w:val="center"/>
          </w:tcPr>
          <w:p w14:paraId="686708E4" w14:textId="77777777" w:rsidR="00064CD3" w:rsidRPr="00DF2618" w:rsidRDefault="00064CD3" w:rsidP="000878F6">
            <w:pPr>
              <w:pStyle w:val="Table"/>
              <w:jc w:val="center"/>
              <w:rPr>
                <w:szCs w:val="20"/>
              </w:rPr>
            </w:pPr>
            <w:r w:rsidRPr="00DF2618">
              <w:rPr>
                <w:rFonts w:ascii="Calibri" w:hAnsi="Calibri" w:cs="Calibri"/>
                <w:color w:val="000000"/>
                <w:szCs w:val="20"/>
              </w:rPr>
              <w:t>N.E.</w:t>
            </w:r>
          </w:p>
        </w:tc>
        <w:tc>
          <w:tcPr>
            <w:tcW w:w="1283" w:type="dxa"/>
            <w:vAlign w:val="center"/>
          </w:tcPr>
          <w:p w14:paraId="53CCFE46" w14:textId="77777777" w:rsidR="00064CD3" w:rsidRPr="00DF2618" w:rsidRDefault="00064CD3" w:rsidP="000878F6">
            <w:pPr>
              <w:pStyle w:val="Table"/>
              <w:jc w:val="center"/>
              <w:rPr>
                <w:szCs w:val="20"/>
              </w:rPr>
            </w:pPr>
            <w:r w:rsidRPr="00DF2618">
              <w:rPr>
                <w:rFonts w:ascii="Calibri" w:hAnsi="Calibri" w:cs="Calibri"/>
                <w:color w:val="000000"/>
                <w:szCs w:val="20"/>
              </w:rPr>
              <w:t>N.E.</w:t>
            </w:r>
          </w:p>
        </w:tc>
      </w:tr>
      <w:tr w:rsidR="00064CD3" w:rsidRPr="00DF2618" w14:paraId="6F111FE4" w14:textId="77777777" w:rsidTr="00BA7936">
        <w:trPr>
          <w:trHeight w:val="269"/>
        </w:trPr>
        <w:tc>
          <w:tcPr>
            <w:tcW w:w="2252" w:type="dxa"/>
          </w:tcPr>
          <w:p w14:paraId="11ACD272" w14:textId="77777777" w:rsidR="00064CD3" w:rsidRPr="00DF2618" w:rsidRDefault="00064CD3" w:rsidP="000878F6">
            <w:pPr>
              <w:pStyle w:val="Table"/>
              <w:rPr>
                <w:szCs w:val="20"/>
              </w:rPr>
            </w:pPr>
            <w:r w:rsidRPr="00DF2618">
              <w:rPr>
                <w:szCs w:val="20"/>
              </w:rPr>
              <w:t>Fertilizers</w:t>
            </w:r>
          </w:p>
        </w:tc>
        <w:tc>
          <w:tcPr>
            <w:tcW w:w="1126" w:type="dxa"/>
            <w:vAlign w:val="center"/>
          </w:tcPr>
          <w:p w14:paraId="2E121297" w14:textId="77777777" w:rsidR="00064CD3" w:rsidRPr="00DF2618" w:rsidRDefault="00064CD3" w:rsidP="000878F6">
            <w:pPr>
              <w:pStyle w:val="Table"/>
              <w:jc w:val="center"/>
              <w:rPr>
                <w:szCs w:val="20"/>
              </w:rPr>
            </w:pPr>
            <w:r w:rsidRPr="00DF2618">
              <w:rPr>
                <w:rFonts w:ascii="Calibri" w:hAnsi="Calibri" w:cs="Calibri"/>
                <w:color w:val="000000"/>
                <w:szCs w:val="20"/>
              </w:rPr>
              <w:t>-1,50%</w:t>
            </w:r>
          </w:p>
        </w:tc>
        <w:tc>
          <w:tcPr>
            <w:tcW w:w="1126" w:type="dxa"/>
            <w:vAlign w:val="center"/>
          </w:tcPr>
          <w:p w14:paraId="06600705" w14:textId="77777777" w:rsidR="00064CD3" w:rsidRPr="00DF2618" w:rsidRDefault="00064CD3" w:rsidP="000878F6">
            <w:pPr>
              <w:pStyle w:val="Table"/>
              <w:jc w:val="center"/>
              <w:rPr>
                <w:szCs w:val="20"/>
              </w:rPr>
            </w:pPr>
            <w:r w:rsidRPr="00DF2618">
              <w:rPr>
                <w:rFonts w:ascii="Calibri" w:hAnsi="Calibri" w:cs="Calibri"/>
                <w:color w:val="000000"/>
                <w:szCs w:val="20"/>
              </w:rPr>
              <w:t>-1,50%</w:t>
            </w:r>
          </w:p>
        </w:tc>
        <w:tc>
          <w:tcPr>
            <w:tcW w:w="1032" w:type="dxa"/>
            <w:vAlign w:val="center"/>
          </w:tcPr>
          <w:p w14:paraId="2CFA0E54" w14:textId="77777777" w:rsidR="00064CD3" w:rsidRPr="00DF2618" w:rsidRDefault="00064CD3" w:rsidP="000878F6">
            <w:pPr>
              <w:pStyle w:val="Table"/>
              <w:jc w:val="center"/>
              <w:rPr>
                <w:szCs w:val="20"/>
              </w:rPr>
            </w:pPr>
            <w:r w:rsidRPr="00DF2618">
              <w:rPr>
                <w:rFonts w:ascii="Calibri" w:hAnsi="Calibri" w:cs="Calibri"/>
                <w:color w:val="000000"/>
                <w:szCs w:val="20"/>
              </w:rPr>
              <w:t>0,00</w:t>
            </w:r>
          </w:p>
        </w:tc>
        <w:tc>
          <w:tcPr>
            <w:tcW w:w="1220" w:type="dxa"/>
            <w:vAlign w:val="center"/>
          </w:tcPr>
          <w:p w14:paraId="1004793F" w14:textId="77777777" w:rsidR="00064CD3" w:rsidRPr="00DF2618" w:rsidRDefault="00064CD3" w:rsidP="000878F6">
            <w:pPr>
              <w:pStyle w:val="Table"/>
              <w:jc w:val="center"/>
              <w:rPr>
                <w:szCs w:val="20"/>
              </w:rPr>
            </w:pPr>
            <w:r w:rsidRPr="00DF2618">
              <w:rPr>
                <w:rFonts w:ascii="Calibri" w:hAnsi="Calibri" w:cs="Calibri"/>
                <w:color w:val="000000"/>
                <w:szCs w:val="20"/>
              </w:rPr>
              <w:t>0,01</w:t>
            </w:r>
          </w:p>
        </w:tc>
        <w:tc>
          <w:tcPr>
            <w:tcW w:w="969" w:type="dxa"/>
            <w:vAlign w:val="center"/>
          </w:tcPr>
          <w:p w14:paraId="16AC195E" w14:textId="77777777" w:rsidR="00064CD3" w:rsidRPr="00DF2618" w:rsidRDefault="00064CD3" w:rsidP="000878F6">
            <w:pPr>
              <w:pStyle w:val="Table"/>
              <w:jc w:val="center"/>
              <w:rPr>
                <w:szCs w:val="20"/>
              </w:rPr>
            </w:pPr>
            <w:r w:rsidRPr="00DF2618">
              <w:rPr>
                <w:rFonts w:ascii="Calibri" w:hAnsi="Calibri" w:cs="Calibri"/>
                <w:color w:val="000000"/>
                <w:szCs w:val="20"/>
              </w:rPr>
              <w:t>0,0%</w:t>
            </w:r>
          </w:p>
        </w:tc>
        <w:tc>
          <w:tcPr>
            <w:tcW w:w="1283" w:type="dxa"/>
            <w:vAlign w:val="center"/>
          </w:tcPr>
          <w:p w14:paraId="6355D675" w14:textId="77777777" w:rsidR="00064CD3" w:rsidRPr="00DF2618" w:rsidRDefault="00064CD3" w:rsidP="000878F6">
            <w:pPr>
              <w:pStyle w:val="Table"/>
              <w:jc w:val="center"/>
              <w:rPr>
                <w:szCs w:val="20"/>
              </w:rPr>
            </w:pPr>
            <w:r w:rsidRPr="00DF2618">
              <w:rPr>
                <w:rFonts w:ascii="Calibri" w:hAnsi="Calibri" w:cs="Calibri"/>
                <w:color w:val="000000"/>
                <w:szCs w:val="20"/>
              </w:rPr>
              <w:t>0,0%</w:t>
            </w:r>
          </w:p>
        </w:tc>
      </w:tr>
      <w:tr w:rsidR="00064CD3" w:rsidRPr="00DF2618" w14:paraId="6043DF8B" w14:textId="77777777" w:rsidTr="00BA7936">
        <w:trPr>
          <w:trHeight w:val="126"/>
        </w:trPr>
        <w:tc>
          <w:tcPr>
            <w:tcW w:w="2252" w:type="dxa"/>
          </w:tcPr>
          <w:p w14:paraId="7F01626A" w14:textId="77777777" w:rsidR="00064CD3" w:rsidRPr="00DF2618" w:rsidRDefault="00064CD3" w:rsidP="000878F6">
            <w:pPr>
              <w:pStyle w:val="Table"/>
              <w:rPr>
                <w:szCs w:val="20"/>
              </w:rPr>
            </w:pPr>
            <w:r w:rsidRPr="00DF2618">
              <w:rPr>
                <w:szCs w:val="20"/>
              </w:rPr>
              <w:t>Pesticides</w:t>
            </w:r>
          </w:p>
        </w:tc>
        <w:tc>
          <w:tcPr>
            <w:tcW w:w="1126" w:type="dxa"/>
            <w:vAlign w:val="center"/>
          </w:tcPr>
          <w:p w14:paraId="73296E9F" w14:textId="77777777" w:rsidR="00064CD3" w:rsidRPr="00DF2618" w:rsidRDefault="00064CD3" w:rsidP="000878F6">
            <w:pPr>
              <w:pStyle w:val="Table"/>
              <w:jc w:val="center"/>
              <w:rPr>
                <w:szCs w:val="20"/>
              </w:rPr>
            </w:pPr>
            <w:r w:rsidRPr="00DF2618">
              <w:rPr>
                <w:rFonts w:ascii="Calibri" w:hAnsi="Calibri" w:cs="Calibri"/>
                <w:color w:val="000000"/>
                <w:szCs w:val="20"/>
              </w:rPr>
              <w:t>n/a</w:t>
            </w:r>
          </w:p>
        </w:tc>
        <w:tc>
          <w:tcPr>
            <w:tcW w:w="1126" w:type="dxa"/>
            <w:vAlign w:val="center"/>
          </w:tcPr>
          <w:p w14:paraId="1785BC2E" w14:textId="77777777" w:rsidR="00064CD3" w:rsidRPr="00DF2618" w:rsidRDefault="00064CD3" w:rsidP="000878F6">
            <w:pPr>
              <w:pStyle w:val="Table"/>
              <w:jc w:val="center"/>
              <w:rPr>
                <w:szCs w:val="20"/>
              </w:rPr>
            </w:pPr>
            <w:r w:rsidRPr="00DF2618">
              <w:rPr>
                <w:rFonts w:ascii="Calibri" w:hAnsi="Calibri" w:cs="Calibri"/>
                <w:color w:val="000000"/>
                <w:szCs w:val="20"/>
              </w:rPr>
              <w:t>n/a</w:t>
            </w:r>
          </w:p>
        </w:tc>
        <w:tc>
          <w:tcPr>
            <w:tcW w:w="1032" w:type="dxa"/>
            <w:vAlign w:val="center"/>
          </w:tcPr>
          <w:p w14:paraId="0090F247" w14:textId="77777777" w:rsidR="00064CD3" w:rsidRPr="00DF2618" w:rsidRDefault="00064CD3" w:rsidP="000878F6">
            <w:pPr>
              <w:pStyle w:val="Table"/>
              <w:jc w:val="center"/>
              <w:rPr>
                <w:szCs w:val="20"/>
              </w:rPr>
            </w:pPr>
            <w:r w:rsidRPr="00DF2618">
              <w:rPr>
                <w:rFonts w:ascii="Calibri" w:hAnsi="Calibri" w:cs="Calibri"/>
                <w:color w:val="000000"/>
                <w:szCs w:val="20"/>
              </w:rPr>
              <w:t>0,24</w:t>
            </w:r>
          </w:p>
        </w:tc>
        <w:tc>
          <w:tcPr>
            <w:tcW w:w="1220" w:type="dxa"/>
            <w:vAlign w:val="center"/>
          </w:tcPr>
          <w:p w14:paraId="53AB3ECC" w14:textId="77777777" w:rsidR="00064CD3" w:rsidRPr="00DF2618" w:rsidRDefault="00064CD3" w:rsidP="000878F6">
            <w:pPr>
              <w:pStyle w:val="Table"/>
              <w:jc w:val="center"/>
              <w:rPr>
                <w:szCs w:val="20"/>
              </w:rPr>
            </w:pPr>
            <w:r w:rsidRPr="00DF2618">
              <w:rPr>
                <w:rFonts w:ascii="Calibri" w:hAnsi="Calibri" w:cs="Calibri"/>
                <w:color w:val="000000"/>
                <w:szCs w:val="20"/>
              </w:rPr>
              <w:t>0,23</w:t>
            </w:r>
          </w:p>
        </w:tc>
        <w:tc>
          <w:tcPr>
            <w:tcW w:w="969" w:type="dxa"/>
            <w:vAlign w:val="center"/>
          </w:tcPr>
          <w:p w14:paraId="6B94EA01" w14:textId="77777777" w:rsidR="00064CD3" w:rsidRPr="00DF2618" w:rsidRDefault="00064CD3" w:rsidP="000878F6">
            <w:pPr>
              <w:pStyle w:val="Table"/>
              <w:jc w:val="center"/>
              <w:rPr>
                <w:szCs w:val="20"/>
              </w:rPr>
            </w:pPr>
            <w:r w:rsidRPr="00DF2618">
              <w:rPr>
                <w:rFonts w:ascii="Calibri" w:hAnsi="Calibri" w:cs="Calibri"/>
                <w:color w:val="000000"/>
                <w:szCs w:val="20"/>
              </w:rPr>
              <w:t>0,8%</w:t>
            </w:r>
          </w:p>
        </w:tc>
        <w:tc>
          <w:tcPr>
            <w:tcW w:w="1283" w:type="dxa"/>
            <w:vAlign w:val="center"/>
          </w:tcPr>
          <w:p w14:paraId="4AE2221F" w14:textId="77777777" w:rsidR="00064CD3" w:rsidRPr="00DF2618" w:rsidRDefault="00064CD3" w:rsidP="000878F6">
            <w:pPr>
              <w:pStyle w:val="Table"/>
              <w:jc w:val="center"/>
              <w:rPr>
                <w:szCs w:val="20"/>
              </w:rPr>
            </w:pPr>
            <w:r w:rsidRPr="00DF2618">
              <w:rPr>
                <w:rFonts w:ascii="Calibri" w:hAnsi="Calibri" w:cs="Calibri"/>
                <w:color w:val="000000"/>
                <w:szCs w:val="20"/>
              </w:rPr>
              <w:t>0,8%</w:t>
            </w:r>
          </w:p>
        </w:tc>
      </w:tr>
      <w:tr w:rsidR="00064CD3" w:rsidRPr="00DF2618" w14:paraId="0A6FC098" w14:textId="77777777" w:rsidTr="00BA7936">
        <w:trPr>
          <w:trHeight w:val="268"/>
        </w:trPr>
        <w:tc>
          <w:tcPr>
            <w:tcW w:w="2252" w:type="dxa"/>
          </w:tcPr>
          <w:p w14:paraId="26E3C0FF" w14:textId="77777777" w:rsidR="00064CD3" w:rsidRPr="00DF2618" w:rsidRDefault="00064CD3" w:rsidP="000878F6">
            <w:pPr>
              <w:pStyle w:val="Table"/>
              <w:rPr>
                <w:szCs w:val="20"/>
              </w:rPr>
            </w:pPr>
            <w:r w:rsidRPr="00DF2618">
              <w:rPr>
                <w:szCs w:val="20"/>
              </w:rPr>
              <w:t>Waste Incineration</w:t>
            </w:r>
          </w:p>
        </w:tc>
        <w:tc>
          <w:tcPr>
            <w:tcW w:w="1126" w:type="dxa"/>
            <w:vAlign w:val="center"/>
          </w:tcPr>
          <w:p w14:paraId="0A6FC6E3" w14:textId="77777777" w:rsidR="00064CD3" w:rsidRPr="00DF2618" w:rsidRDefault="00064CD3" w:rsidP="000878F6">
            <w:pPr>
              <w:pStyle w:val="Table"/>
              <w:jc w:val="center"/>
              <w:rPr>
                <w:szCs w:val="20"/>
              </w:rPr>
            </w:pPr>
            <w:r w:rsidRPr="00DF2618">
              <w:rPr>
                <w:rFonts w:ascii="Calibri" w:hAnsi="Calibri" w:cs="Calibri"/>
                <w:color w:val="000000"/>
                <w:szCs w:val="20"/>
              </w:rPr>
              <w:t>-8,31%</w:t>
            </w:r>
          </w:p>
        </w:tc>
        <w:tc>
          <w:tcPr>
            <w:tcW w:w="1126" w:type="dxa"/>
            <w:vAlign w:val="center"/>
          </w:tcPr>
          <w:p w14:paraId="7D2DBA8B" w14:textId="77777777" w:rsidR="00064CD3" w:rsidRPr="00DF2618" w:rsidRDefault="00064CD3" w:rsidP="000878F6">
            <w:pPr>
              <w:pStyle w:val="Table"/>
              <w:jc w:val="center"/>
              <w:rPr>
                <w:szCs w:val="20"/>
              </w:rPr>
            </w:pPr>
            <w:r w:rsidRPr="00DF2618">
              <w:rPr>
                <w:rFonts w:ascii="Calibri" w:hAnsi="Calibri" w:cs="Calibri"/>
                <w:color w:val="000000"/>
                <w:szCs w:val="20"/>
              </w:rPr>
              <w:t>-8,31%</w:t>
            </w:r>
          </w:p>
        </w:tc>
        <w:tc>
          <w:tcPr>
            <w:tcW w:w="1032" w:type="dxa"/>
            <w:vAlign w:val="center"/>
          </w:tcPr>
          <w:p w14:paraId="5E5A5CA8" w14:textId="77777777" w:rsidR="00064CD3" w:rsidRPr="00DF2618" w:rsidRDefault="00064CD3" w:rsidP="000878F6">
            <w:pPr>
              <w:pStyle w:val="Table"/>
              <w:jc w:val="center"/>
              <w:rPr>
                <w:szCs w:val="20"/>
              </w:rPr>
            </w:pPr>
            <w:r w:rsidRPr="00DF2618">
              <w:rPr>
                <w:rFonts w:ascii="Calibri" w:hAnsi="Calibri" w:cs="Calibri"/>
                <w:color w:val="000000"/>
                <w:szCs w:val="20"/>
              </w:rPr>
              <w:t>0,04</w:t>
            </w:r>
          </w:p>
        </w:tc>
        <w:tc>
          <w:tcPr>
            <w:tcW w:w="1220" w:type="dxa"/>
            <w:vAlign w:val="center"/>
          </w:tcPr>
          <w:p w14:paraId="4BA1841A" w14:textId="77777777" w:rsidR="00064CD3" w:rsidRPr="00DF2618" w:rsidRDefault="00064CD3" w:rsidP="000878F6">
            <w:pPr>
              <w:pStyle w:val="Table"/>
              <w:jc w:val="center"/>
              <w:rPr>
                <w:szCs w:val="20"/>
              </w:rPr>
            </w:pPr>
            <w:r w:rsidRPr="00DF2618">
              <w:rPr>
                <w:rFonts w:ascii="Calibri" w:hAnsi="Calibri" w:cs="Calibri"/>
                <w:color w:val="000000"/>
                <w:szCs w:val="20"/>
              </w:rPr>
              <w:t>0,04</w:t>
            </w:r>
          </w:p>
        </w:tc>
        <w:tc>
          <w:tcPr>
            <w:tcW w:w="969" w:type="dxa"/>
            <w:vAlign w:val="center"/>
          </w:tcPr>
          <w:p w14:paraId="0E55C8F1" w14:textId="77777777" w:rsidR="00064CD3" w:rsidRPr="00DF2618" w:rsidRDefault="00064CD3" w:rsidP="000878F6">
            <w:pPr>
              <w:pStyle w:val="Table"/>
              <w:jc w:val="center"/>
              <w:rPr>
                <w:szCs w:val="20"/>
              </w:rPr>
            </w:pPr>
            <w:r w:rsidRPr="00DF2618">
              <w:rPr>
                <w:rFonts w:ascii="Calibri" w:hAnsi="Calibri" w:cs="Calibri"/>
                <w:color w:val="000000"/>
                <w:szCs w:val="20"/>
              </w:rPr>
              <w:t>0,1%</w:t>
            </w:r>
          </w:p>
        </w:tc>
        <w:tc>
          <w:tcPr>
            <w:tcW w:w="1283" w:type="dxa"/>
            <w:vAlign w:val="center"/>
          </w:tcPr>
          <w:p w14:paraId="0C0A83D2" w14:textId="77777777" w:rsidR="00064CD3" w:rsidRPr="00DF2618" w:rsidRDefault="00064CD3" w:rsidP="000878F6">
            <w:pPr>
              <w:pStyle w:val="Table"/>
              <w:jc w:val="center"/>
              <w:rPr>
                <w:szCs w:val="20"/>
              </w:rPr>
            </w:pPr>
            <w:r w:rsidRPr="00DF2618">
              <w:rPr>
                <w:rFonts w:ascii="Calibri" w:hAnsi="Calibri" w:cs="Calibri"/>
                <w:color w:val="000000"/>
                <w:szCs w:val="20"/>
              </w:rPr>
              <w:t>0,1%</w:t>
            </w:r>
          </w:p>
        </w:tc>
      </w:tr>
      <w:tr w:rsidR="00064CD3" w:rsidRPr="00DF2618" w14:paraId="688E0371" w14:textId="77777777" w:rsidTr="00BA7936">
        <w:trPr>
          <w:trHeight w:val="268"/>
        </w:trPr>
        <w:tc>
          <w:tcPr>
            <w:tcW w:w="2252" w:type="dxa"/>
          </w:tcPr>
          <w:p w14:paraId="7C3C4E9F" w14:textId="77777777" w:rsidR="00064CD3" w:rsidRPr="00DF2618" w:rsidRDefault="00064CD3" w:rsidP="000878F6">
            <w:pPr>
              <w:pStyle w:val="Table"/>
              <w:rPr>
                <w:szCs w:val="20"/>
              </w:rPr>
            </w:pPr>
            <w:r w:rsidRPr="00DF2618">
              <w:rPr>
                <w:szCs w:val="20"/>
              </w:rPr>
              <w:t>Waste to Landfill</w:t>
            </w:r>
          </w:p>
        </w:tc>
        <w:tc>
          <w:tcPr>
            <w:tcW w:w="1126" w:type="dxa"/>
            <w:vAlign w:val="center"/>
          </w:tcPr>
          <w:p w14:paraId="30A12DF0" w14:textId="77777777" w:rsidR="00064CD3" w:rsidRPr="00DF2618" w:rsidRDefault="00064CD3" w:rsidP="000878F6">
            <w:pPr>
              <w:pStyle w:val="Table"/>
              <w:jc w:val="center"/>
              <w:rPr>
                <w:szCs w:val="20"/>
              </w:rPr>
            </w:pPr>
            <w:r w:rsidRPr="00DF2618">
              <w:rPr>
                <w:rFonts w:ascii="Calibri" w:hAnsi="Calibri" w:cs="Calibri"/>
                <w:color w:val="000000"/>
                <w:szCs w:val="20"/>
              </w:rPr>
              <w:t>-13,82%</w:t>
            </w:r>
          </w:p>
        </w:tc>
        <w:tc>
          <w:tcPr>
            <w:tcW w:w="1126" w:type="dxa"/>
            <w:vAlign w:val="center"/>
          </w:tcPr>
          <w:p w14:paraId="326C138D" w14:textId="77777777" w:rsidR="00064CD3" w:rsidRPr="00DF2618" w:rsidRDefault="00064CD3" w:rsidP="000878F6">
            <w:pPr>
              <w:pStyle w:val="Table"/>
              <w:jc w:val="center"/>
              <w:rPr>
                <w:szCs w:val="20"/>
              </w:rPr>
            </w:pPr>
            <w:r w:rsidRPr="00DF2618">
              <w:rPr>
                <w:rFonts w:ascii="Calibri" w:hAnsi="Calibri" w:cs="Calibri"/>
                <w:color w:val="000000"/>
                <w:szCs w:val="20"/>
              </w:rPr>
              <w:t>-13,82%</w:t>
            </w:r>
          </w:p>
        </w:tc>
        <w:tc>
          <w:tcPr>
            <w:tcW w:w="1032" w:type="dxa"/>
            <w:vAlign w:val="center"/>
          </w:tcPr>
          <w:p w14:paraId="7736C702" w14:textId="77777777" w:rsidR="00064CD3" w:rsidRPr="00DF2618" w:rsidRDefault="00064CD3" w:rsidP="000878F6">
            <w:pPr>
              <w:pStyle w:val="Table"/>
              <w:jc w:val="center"/>
              <w:rPr>
                <w:szCs w:val="20"/>
              </w:rPr>
            </w:pPr>
            <w:r w:rsidRPr="00DF2618">
              <w:rPr>
                <w:rFonts w:ascii="Calibri" w:hAnsi="Calibri" w:cs="Calibri"/>
                <w:color w:val="000000"/>
                <w:szCs w:val="20"/>
              </w:rPr>
              <w:t>3,23</w:t>
            </w:r>
          </w:p>
        </w:tc>
        <w:tc>
          <w:tcPr>
            <w:tcW w:w="1220" w:type="dxa"/>
            <w:vAlign w:val="center"/>
          </w:tcPr>
          <w:p w14:paraId="0B7DA02D" w14:textId="77777777" w:rsidR="00064CD3" w:rsidRPr="00DF2618" w:rsidRDefault="00064CD3" w:rsidP="000878F6">
            <w:pPr>
              <w:pStyle w:val="Table"/>
              <w:jc w:val="center"/>
              <w:rPr>
                <w:szCs w:val="20"/>
              </w:rPr>
            </w:pPr>
            <w:r w:rsidRPr="00DF2618">
              <w:rPr>
                <w:rFonts w:ascii="Calibri" w:hAnsi="Calibri" w:cs="Calibri"/>
                <w:color w:val="000000"/>
                <w:szCs w:val="20"/>
              </w:rPr>
              <w:t>1,71</w:t>
            </w:r>
          </w:p>
        </w:tc>
        <w:tc>
          <w:tcPr>
            <w:tcW w:w="969" w:type="dxa"/>
            <w:vAlign w:val="center"/>
          </w:tcPr>
          <w:p w14:paraId="6D7688FB" w14:textId="77777777" w:rsidR="00064CD3" w:rsidRPr="00DF2618" w:rsidRDefault="00064CD3" w:rsidP="000878F6">
            <w:pPr>
              <w:pStyle w:val="Table"/>
              <w:jc w:val="center"/>
              <w:rPr>
                <w:szCs w:val="20"/>
              </w:rPr>
            </w:pPr>
            <w:r w:rsidRPr="00DF2618">
              <w:rPr>
                <w:rFonts w:ascii="Calibri" w:hAnsi="Calibri" w:cs="Calibri"/>
                <w:color w:val="000000"/>
                <w:szCs w:val="20"/>
              </w:rPr>
              <w:t>10,5%</w:t>
            </w:r>
          </w:p>
        </w:tc>
        <w:tc>
          <w:tcPr>
            <w:tcW w:w="1283" w:type="dxa"/>
            <w:vAlign w:val="center"/>
          </w:tcPr>
          <w:p w14:paraId="7771EC95" w14:textId="77777777" w:rsidR="00064CD3" w:rsidRPr="00DF2618" w:rsidRDefault="00064CD3" w:rsidP="000878F6">
            <w:pPr>
              <w:pStyle w:val="Table"/>
              <w:jc w:val="center"/>
              <w:rPr>
                <w:szCs w:val="20"/>
              </w:rPr>
            </w:pPr>
            <w:r w:rsidRPr="00DF2618">
              <w:rPr>
                <w:rFonts w:ascii="Calibri" w:hAnsi="Calibri" w:cs="Calibri"/>
                <w:color w:val="000000"/>
                <w:szCs w:val="20"/>
              </w:rPr>
              <w:t>5,6%</w:t>
            </w:r>
          </w:p>
        </w:tc>
      </w:tr>
      <w:tr w:rsidR="00064CD3" w:rsidRPr="00DF2618" w14:paraId="725D0993" w14:textId="77777777" w:rsidTr="00BA7936">
        <w:trPr>
          <w:trHeight w:val="144"/>
        </w:trPr>
        <w:tc>
          <w:tcPr>
            <w:tcW w:w="2252" w:type="dxa"/>
          </w:tcPr>
          <w:p w14:paraId="2B26F4DF" w14:textId="77777777" w:rsidR="00064CD3" w:rsidRPr="00DF2618" w:rsidRDefault="00064CD3" w:rsidP="000878F6">
            <w:pPr>
              <w:pStyle w:val="Table"/>
              <w:rPr>
                <w:szCs w:val="20"/>
              </w:rPr>
            </w:pPr>
            <w:r w:rsidRPr="00DF2618">
              <w:rPr>
                <w:szCs w:val="20"/>
              </w:rPr>
              <w:t>Water Effluent</w:t>
            </w:r>
          </w:p>
        </w:tc>
        <w:tc>
          <w:tcPr>
            <w:tcW w:w="1126" w:type="dxa"/>
            <w:vAlign w:val="center"/>
          </w:tcPr>
          <w:p w14:paraId="108CDB4B" w14:textId="77777777" w:rsidR="00064CD3" w:rsidRPr="00DF2618" w:rsidRDefault="00064CD3" w:rsidP="000878F6">
            <w:pPr>
              <w:pStyle w:val="Table"/>
              <w:jc w:val="center"/>
              <w:rPr>
                <w:szCs w:val="20"/>
              </w:rPr>
            </w:pPr>
            <w:r w:rsidRPr="00DF2618">
              <w:rPr>
                <w:rFonts w:ascii="Calibri" w:hAnsi="Calibri" w:cs="Calibri"/>
                <w:color w:val="000000"/>
                <w:szCs w:val="20"/>
              </w:rPr>
              <w:t>-5,67%</w:t>
            </w:r>
          </w:p>
        </w:tc>
        <w:tc>
          <w:tcPr>
            <w:tcW w:w="1126" w:type="dxa"/>
            <w:vAlign w:val="center"/>
          </w:tcPr>
          <w:p w14:paraId="06C57C47" w14:textId="77777777" w:rsidR="00064CD3" w:rsidRPr="00DF2618" w:rsidRDefault="00064CD3" w:rsidP="000878F6">
            <w:pPr>
              <w:pStyle w:val="Table"/>
              <w:jc w:val="center"/>
              <w:rPr>
                <w:szCs w:val="20"/>
              </w:rPr>
            </w:pPr>
            <w:r w:rsidRPr="00DF2618">
              <w:rPr>
                <w:rFonts w:ascii="Calibri" w:hAnsi="Calibri" w:cs="Calibri"/>
                <w:color w:val="000000"/>
                <w:szCs w:val="20"/>
              </w:rPr>
              <w:t>-5,67%</w:t>
            </w:r>
          </w:p>
        </w:tc>
        <w:tc>
          <w:tcPr>
            <w:tcW w:w="1032" w:type="dxa"/>
            <w:vAlign w:val="center"/>
          </w:tcPr>
          <w:p w14:paraId="613D73D3" w14:textId="77777777" w:rsidR="00064CD3" w:rsidRPr="00DF2618" w:rsidRDefault="00064CD3" w:rsidP="000878F6">
            <w:pPr>
              <w:pStyle w:val="Table"/>
              <w:jc w:val="center"/>
              <w:rPr>
                <w:szCs w:val="20"/>
              </w:rPr>
            </w:pPr>
            <w:r w:rsidRPr="00DF2618">
              <w:rPr>
                <w:rFonts w:ascii="Calibri" w:hAnsi="Calibri" w:cs="Calibri"/>
                <w:color w:val="000000"/>
                <w:szCs w:val="20"/>
              </w:rPr>
              <w:t>24,94</w:t>
            </w:r>
          </w:p>
        </w:tc>
        <w:tc>
          <w:tcPr>
            <w:tcW w:w="1220" w:type="dxa"/>
            <w:vAlign w:val="center"/>
          </w:tcPr>
          <w:p w14:paraId="0D916329" w14:textId="77777777" w:rsidR="00064CD3" w:rsidRPr="00DF2618" w:rsidRDefault="00064CD3" w:rsidP="000878F6">
            <w:pPr>
              <w:pStyle w:val="Table"/>
              <w:jc w:val="center"/>
              <w:rPr>
                <w:szCs w:val="20"/>
              </w:rPr>
            </w:pPr>
            <w:r w:rsidRPr="00DF2618">
              <w:rPr>
                <w:rFonts w:ascii="Calibri" w:hAnsi="Calibri" w:cs="Calibri"/>
                <w:color w:val="000000"/>
                <w:szCs w:val="20"/>
              </w:rPr>
              <w:t>26,77</w:t>
            </w:r>
          </w:p>
        </w:tc>
        <w:tc>
          <w:tcPr>
            <w:tcW w:w="969" w:type="dxa"/>
            <w:vAlign w:val="center"/>
          </w:tcPr>
          <w:p w14:paraId="1D95D8E3" w14:textId="77777777" w:rsidR="00064CD3" w:rsidRPr="00DF2618" w:rsidRDefault="00064CD3" w:rsidP="000878F6">
            <w:pPr>
              <w:pStyle w:val="Table"/>
              <w:jc w:val="center"/>
              <w:rPr>
                <w:szCs w:val="20"/>
              </w:rPr>
            </w:pPr>
            <w:r w:rsidRPr="00DF2618">
              <w:rPr>
                <w:rFonts w:ascii="Calibri" w:hAnsi="Calibri" w:cs="Calibri"/>
                <w:color w:val="000000"/>
                <w:szCs w:val="20"/>
              </w:rPr>
              <w:t>81,4%</w:t>
            </w:r>
          </w:p>
        </w:tc>
        <w:tc>
          <w:tcPr>
            <w:tcW w:w="1283" w:type="dxa"/>
            <w:vAlign w:val="center"/>
          </w:tcPr>
          <w:p w14:paraId="18AE50C3" w14:textId="77777777" w:rsidR="00064CD3" w:rsidRPr="00DF2618" w:rsidRDefault="00064CD3" w:rsidP="000878F6">
            <w:pPr>
              <w:pStyle w:val="Table"/>
              <w:jc w:val="center"/>
              <w:rPr>
                <w:szCs w:val="20"/>
              </w:rPr>
            </w:pPr>
            <w:r w:rsidRPr="00DF2618">
              <w:rPr>
                <w:rFonts w:ascii="Calibri" w:hAnsi="Calibri" w:cs="Calibri"/>
                <w:color w:val="000000"/>
                <w:szCs w:val="20"/>
              </w:rPr>
              <w:t>87,3%</w:t>
            </w:r>
          </w:p>
        </w:tc>
      </w:tr>
      <w:tr w:rsidR="00064CD3" w:rsidRPr="00DF2618" w14:paraId="7248B0A4" w14:textId="77777777" w:rsidTr="00BA7936">
        <w:trPr>
          <w:trHeight w:val="162"/>
        </w:trPr>
        <w:tc>
          <w:tcPr>
            <w:tcW w:w="2252" w:type="dxa"/>
          </w:tcPr>
          <w:p w14:paraId="76454A34" w14:textId="77777777" w:rsidR="00064CD3" w:rsidRPr="00DF2618" w:rsidRDefault="00064CD3" w:rsidP="000878F6">
            <w:pPr>
              <w:pStyle w:val="Table"/>
              <w:rPr>
                <w:szCs w:val="20"/>
              </w:rPr>
            </w:pPr>
            <w:r w:rsidRPr="00DF2618">
              <w:rPr>
                <w:szCs w:val="20"/>
              </w:rPr>
              <w:t>Minerals &amp; Aggregates</w:t>
            </w:r>
          </w:p>
        </w:tc>
        <w:tc>
          <w:tcPr>
            <w:tcW w:w="1126" w:type="dxa"/>
            <w:vAlign w:val="center"/>
          </w:tcPr>
          <w:p w14:paraId="5B3CAC31" w14:textId="77777777" w:rsidR="00064CD3" w:rsidRPr="00DF2618" w:rsidRDefault="00064CD3" w:rsidP="000878F6">
            <w:pPr>
              <w:pStyle w:val="Table"/>
              <w:jc w:val="center"/>
              <w:rPr>
                <w:szCs w:val="20"/>
              </w:rPr>
            </w:pPr>
            <w:r w:rsidRPr="00DF2618">
              <w:rPr>
                <w:rFonts w:ascii="Calibri" w:hAnsi="Calibri" w:cs="Calibri"/>
                <w:color w:val="000000"/>
                <w:szCs w:val="20"/>
              </w:rPr>
              <w:t>-5,02%</w:t>
            </w:r>
          </w:p>
        </w:tc>
        <w:tc>
          <w:tcPr>
            <w:tcW w:w="1126" w:type="dxa"/>
            <w:vAlign w:val="center"/>
          </w:tcPr>
          <w:p w14:paraId="41A6C505" w14:textId="77777777" w:rsidR="00064CD3" w:rsidRPr="00DF2618" w:rsidRDefault="00064CD3" w:rsidP="000878F6">
            <w:pPr>
              <w:pStyle w:val="Table"/>
              <w:jc w:val="center"/>
              <w:rPr>
                <w:szCs w:val="20"/>
              </w:rPr>
            </w:pPr>
            <w:r w:rsidRPr="00DF2618">
              <w:rPr>
                <w:rFonts w:ascii="Calibri" w:hAnsi="Calibri" w:cs="Calibri"/>
                <w:color w:val="000000"/>
                <w:szCs w:val="20"/>
              </w:rPr>
              <w:t>-5,02%</w:t>
            </w:r>
          </w:p>
        </w:tc>
        <w:tc>
          <w:tcPr>
            <w:tcW w:w="1032" w:type="dxa"/>
            <w:vAlign w:val="center"/>
          </w:tcPr>
          <w:p w14:paraId="35E115E7" w14:textId="77777777" w:rsidR="00064CD3" w:rsidRPr="00DF2618" w:rsidRDefault="00064CD3" w:rsidP="000878F6">
            <w:pPr>
              <w:pStyle w:val="Table"/>
              <w:jc w:val="center"/>
              <w:rPr>
                <w:szCs w:val="20"/>
              </w:rPr>
            </w:pPr>
            <w:r w:rsidRPr="00DF2618">
              <w:rPr>
                <w:rFonts w:ascii="Calibri" w:hAnsi="Calibri" w:cs="Calibri"/>
                <w:color w:val="000000"/>
                <w:szCs w:val="20"/>
              </w:rPr>
              <w:t>1,40</w:t>
            </w:r>
          </w:p>
        </w:tc>
        <w:tc>
          <w:tcPr>
            <w:tcW w:w="1220" w:type="dxa"/>
            <w:vAlign w:val="center"/>
          </w:tcPr>
          <w:p w14:paraId="17120487" w14:textId="77777777" w:rsidR="00064CD3" w:rsidRPr="00DF2618" w:rsidRDefault="00064CD3" w:rsidP="000878F6">
            <w:pPr>
              <w:pStyle w:val="Table"/>
              <w:jc w:val="center"/>
              <w:rPr>
                <w:szCs w:val="20"/>
              </w:rPr>
            </w:pPr>
            <w:r w:rsidRPr="00DF2618">
              <w:rPr>
                <w:rFonts w:ascii="Calibri" w:hAnsi="Calibri" w:cs="Calibri"/>
                <w:color w:val="000000"/>
                <w:szCs w:val="20"/>
              </w:rPr>
              <w:t>1,37</w:t>
            </w:r>
          </w:p>
        </w:tc>
        <w:tc>
          <w:tcPr>
            <w:tcW w:w="969" w:type="dxa"/>
            <w:vAlign w:val="center"/>
          </w:tcPr>
          <w:p w14:paraId="29447F11" w14:textId="77777777" w:rsidR="00064CD3" w:rsidRPr="00DF2618" w:rsidRDefault="00064CD3" w:rsidP="000878F6">
            <w:pPr>
              <w:pStyle w:val="Table"/>
              <w:jc w:val="center"/>
              <w:rPr>
                <w:szCs w:val="20"/>
              </w:rPr>
            </w:pPr>
            <w:r w:rsidRPr="00DF2618">
              <w:rPr>
                <w:rFonts w:ascii="Calibri" w:hAnsi="Calibri" w:cs="Calibri"/>
                <w:color w:val="000000"/>
                <w:szCs w:val="20"/>
              </w:rPr>
              <w:t>N.E.</w:t>
            </w:r>
          </w:p>
        </w:tc>
        <w:tc>
          <w:tcPr>
            <w:tcW w:w="1283" w:type="dxa"/>
            <w:vAlign w:val="center"/>
          </w:tcPr>
          <w:p w14:paraId="43CB88B7" w14:textId="77777777" w:rsidR="00064CD3" w:rsidRPr="00DF2618" w:rsidRDefault="00064CD3" w:rsidP="000878F6">
            <w:pPr>
              <w:pStyle w:val="Table"/>
              <w:jc w:val="center"/>
              <w:rPr>
                <w:szCs w:val="20"/>
              </w:rPr>
            </w:pPr>
            <w:r w:rsidRPr="00DF2618">
              <w:rPr>
                <w:rFonts w:ascii="Calibri" w:hAnsi="Calibri" w:cs="Calibri"/>
                <w:color w:val="000000"/>
                <w:szCs w:val="20"/>
              </w:rPr>
              <w:t>N.E.</w:t>
            </w:r>
          </w:p>
        </w:tc>
      </w:tr>
    </w:tbl>
    <w:p w14:paraId="5A519ABB" w14:textId="77777777" w:rsidR="00064CD3" w:rsidRPr="00064CD3" w:rsidRDefault="00064CD3" w:rsidP="00064CD3">
      <w:pPr>
        <w:rPr>
          <w:lang w:eastAsia="en-GB"/>
        </w:rPr>
      </w:pPr>
    </w:p>
    <w:p w14:paraId="1C25E4F8" w14:textId="0ACE1BFA" w:rsidR="00064CD3" w:rsidRPr="00064CD3" w:rsidRDefault="00064CD3" w:rsidP="00064CD3">
      <w:pPr>
        <w:rPr>
          <w:lang w:eastAsia="en-GB"/>
        </w:rPr>
      </w:pPr>
      <w:r w:rsidRPr="00064CD3">
        <w:rPr>
          <w:lang w:eastAsia="en-GB"/>
        </w:rPr>
        <w:t>Under Scenario A, revenue increases are projected mainly from landfill and water-related instruments, with additional but smaller contributions from product and air-pollution taxes. Scenario B produces similar trends at lower magnitudes. The modelling suggests that well-calibrated environmental taxes could reduce landfilling by up to 15 per cent, cut water abstraction and discharges modestly, and generate additional revenues equivalent to around 0.2</w:t>
      </w:r>
      <w:r>
        <w:rPr>
          <w:lang w:eastAsia="en-GB"/>
        </w:rPr>
        <w:t>-</w:t>
      </w:r>
      <w:r w:rsidRPr="00064CD3">
        <w:rPr>
          <w:lang w:eastAsia="en-GB"/>
        </w:rPr>
        <w:t>0.3 per cent of total tax receipts. These results highlight a significant opportunity to strengthen Malta’s fiscal framework for environmental protection.</w:t>
      </w:r>
    </w:p>
    <w:p w14:paraId="16522F7A" w14:textId="21BB6084" w:rsidR="00064CD3" w:rsidRPr="00064CD3" w:rsidRDefault="00064CD3" w:rsidP="00064CD3">
      <w:pPr>
        <w:rPr>
          <w:lang w:eastAsia="en-GB"/>
        </w:rPr>
      </w:pPr>
      <w:r w:rsidRPr="00064CD3">
        <w:rPr>
          <w:lang w:eastAsia="en-GB"/>
        </w:rPr>
        <w:t xml:space="preserve">In terms of </w:t>
      </w:r>
      <w:r w:rsidRPr="00064CD3">
        <w:rPr>
          <w:b/>
          <w:bCs/>
          <w:lang w:eastAsia="en-GB"/>
        </w:rPr>
        <w:t>administrative feasibility</w:t>
      </w:r>
      <w:r w:rsidRPr="00064CD3">
        <w:rPr>
          <w:lang w:eastAsia="en-GB"/>
        </w:rPr>
        <w:t>, Malta benefits from a centralised tax system managed by the Malta Tax and Customs Authority (MTCA), which ensures coherence and efficiency in revenue collection. The key challenge lies not in institutional capacity but in policy design and public acceptance. Given the small domestic market, taxes must be carefully designed to avoid disproportionate impacts on competitiveness and cost of living. Existing data systems</w:t>
      </w:r>
      <w:r>
        <w:rPr>
          <w:lang w:eastAsia="en-GB"/>
        </w:rPr>
        <w:t xml:space="preserve">, </w:t>
      </w:r>
      <w:r w:rsidRPr="00064CD3">
        <w:rPr>
          <w:lang w:eastAsia="en-GB"/>
        </w:rPr>
        <w:t>for example, metering of water abstraction and waste volumes</w:t>
      </w:r>
      <w:r>
        <w:rPr>
          <w:lang w:eastAsia="en-GB"/>
        </w:rPr>
        <w:t xml:space="preserve">, </w:t>
      </w:r>
      <w:r w:rsidRPr="00064CD3">
        <w:rPr>
          <w:lang w:eastAsia="en-GB"/>
        </w:rPr>
        <w:t>are sufficiently robust to support new or strengthened instruments, though improvements in monitoring and enforcement would be necessary, particularly for smaller dischargers and agricultural users.</w:t>
      </w:r>
    </w:p>
    <w:p w14:paraId="52757EF4" w14:textId="6EB86F51" w:rsidR="00064CD3" w:rsidRPr="00064CD3" w:rsidRDefault="00064CD3" w:rsidP="00064CD3">
      <w:pPr>
        <w:rPr>
          <w:lang w:eastAsia="en-GB"/>
        </w:rPr>
      </w:pPr>
      <w:r w:rsidRPr="00064CD3">
        <w:rPr>
          <w:lang w:eastAsia="en-GB"/>
        </w:rPr>
        <w:t xml:space="preserve">The </w:t>
      </w:r>
      <w:r w:rsidRPr="00064CD3">
        <w:rPr>
          <w:b/>
          <w:bCs/>
          <w:lang w:eastAsia="en-GB"/>
        </w:rPr>
        <w:t>most significant environmental pressures</w:t>
      </w:r>
      <w:r w:rsidRPr="00064CD3">
        <w:rPr>
          <w:lang w:eastAsia="en-GB"/>
        </w:rPr>
        <w:t xml:space="preserve"> that could be addressed through fiscal reform are groundwater depletion, water pollution, and waste generation. Groundwater abstraction has long exceeded sustainable levels, and nitrate contamination of aquifers remains a serious concern. </w:t>
      </w:r>
      <w:r w:rsidRPr="00064CD3">
        <w:rPr>
          <w:lang w:eastAsia="en-GB"/>
        </w:rPr>
        <w:lastRenderedPageBreak/>
        <w:t xml:space="preserve">Introducing a </w:t>
      </w:r>
      <w:r w:rsidRPr="00064CD3">
        <w:rPr>
          <w:b/>
          <w:bCs/>
          <w:lang w:eastAsia="en-GB"/>
        </w:rPr>
        <w:t>water abstraction charge</w:t>
      </w:r>
      <w:r>
        <w:rPr>
          <w:lang w:eastAsia="en-GB"/>
        </w:rPr>
        <w:t xml:space="preserve">, </w:t>
      </w:r>
      <w:r w:rsidRPr="00064CD3">
        <w:rPr>
          <w:lang w:eastAsia="en-GB"/>
        </w:rPr>
        <w:t>differentiated by sector and volume</w:t>
      </w:r>
      <w:r>
        <w:rPr>
          <w:lang w:eastAsia="en-GB"/>
        </w:rPr>
        <w:t xml:space="preserve">, </w:t>
      </w:r>
      <w:r w:rsidRPr="00064CD3">
        <w:rPr>
          <w:lang w:eastAsia="en-GB"/>
        </w:rPr>
        <w:t>would send a clear signal on the scarcity and environmental value of water. Rates could vary by use, with higher charges for industrial and agricultural abstraction and lower rates for essential household consumption. Revenues could be recycled to support water-efficiency investments, leak reduction, and the expansion of non-conventional water sources such as desalination and water reuse.</w:t>
      </w:r>
    </w:p>
    <w:p w14:paraId="51B85D79" w14:textId="349366E5" w:rsidR="00064CD3" w:rsidRPr="00064CD3" w:rsidRDefault="00064CD3" w:rsidP="00064CD3">
      <w:pPr>
        <w:rPr>
          <w:lang w:eastAsia="en-GB"/>
        </w:rPr>
      </w:pPr>
      <w:r w:rsidRPr="00064CD3">
        <w:rPr>
          <w:lang w:eastAsia="en-GB"/>
        </w:rPr>
        <w:t xml:space="preserve">Complementing this, a </w:t>
      </w:r>
      <w:r w:rsidRPr="00064CD3">
        <w:rPr>
          <w:b/>
          <w:bCs/>
          <w:lang w:eastAsia="en-GB"/>
        </w:rPr>
        <w:t>wastewater effluent tax</w:t>
      </w:r>
      <w:r w:rsidRPr="00064CD3">
        <w:rPr>
          <w:lang w:eastAsia="en-GB"/>
        </w:rPr>
        <w:t xml:space="preserve"> could be introduced for industrial discharges based on pollutant load, replacing the current one-off permitting fee. Such a tax would encourage cleaner production and provide additional resources for upgrading wastewater treatment facilities. Careful design would be required to prevent excessive cost pass-through to small enterprises, suggesting a phased introduction with accompanying technical assistance.</w:t>
      </w:r>
    </w:p>
    <w:p w14:paraId="39D90F12" w14:textId="15DF2B65" w:rsidR="00064CD3" w:rsidRPr="00064CD3" w:rsidRDefault="00064CD3" w:rsidP="00064CD3">
      <w:pPr>
        <w:rPr>
          <w:lang w:eastAsia="en-GB"/>
        </w:rPr>
      </w:pPr>
      <w:r w:rsidRPr="00064CD3">
        <w:rPr>
          <w:lang w:eastAsia="en-GB"/>
        </w:rPr>
        <w:t xml:space="preserve">In the </w:t>
      </w:r>
      <w:r w:rsidRPr="00064CD3">
        <w:rPr>
          <w:b/>
          <w:bCs/>
          <w:lang w:eastAsia="en-GB"/>
        </w:rPr>
        <w:t>waste management sector</w:t>
      </w:r>
      <w:r w:rsidRPr="00064CD3">
        <w:rPr>
          <w:lang w:eastAsia="en-GB"/>
        </w:rPr>
        <w:t xml:space="preserve">, Malta already applies a landfill gate fee (€80 per tonne), which functions as a de facto landfill tax. However, its environmental effectiveness could be strengthened by progressively increasing the rate and earmarking a share of the proceeds for investment in recycling and waste-prevention infrastructure. To avoid a shift towards incineration, a moderate </w:t>
      </w:r>
      <w:r w:rsidRPr="00064CD3">
        <w:rPr>
          <w:b/>
          <w:bCs/>
          <w:lang w:eastAsia="en-GB"/>
        </w:rPr>
        <w:t>incineration or MBT tax</w:t>
      </w:r>
      <w:r w:rsidRPr="00064CD3">
        <w:rPr>
          <w:lang w:eastAsia="en-GB"/>
        </w:rPr>
        <w:t xml:space="preserve"> could be introduced at rates similar to the benchmark (€15 per tonne), ensuring that the relative incentives between disposal options reflect the waste hierarchy.</w:t>
      </w:r>
    </w:p>
    <w:p w14:paraId="1B289C7D" w14:textId="2D90911E" w:rsidR="00064CD3" w:rsidRPr="00064CD3" w:rsidRDefault="00064CD3" w:rsidP="00064CD3">
      <w:pPr>
        <w:rPr>
          <w:lang w:eastAsia="en-GB"/>
        </w:rPr>
      </w:pPr>
      <w:r w:rsidRPr="00064CD3">
        <w:rPr>
          <w:lang w:eastAsia="en-GB"/>
        </w:rPr>
        <w:t xml:space="preserve">Addressing </w:t>
      </w:r>
      <w:r w:rsidRPr="00064CD3">
        <w:rPr>
          <w:b/>
          <w:bCs/>
          <w:lang w:eastAsia="en-GB"/>
        </w:rPr>
        <w:t>agricultural pollution</w:t>
      </w:r>
      <w:r w:rsidRPr="00064CD3">
        <w:rPr>
          <w:lang w:eastAsia="en-GB"/>
        </w:rPr>
        <w:t xml:space="preserve"> would require the introduction of product-based instruments. A </w:t>
      </w:r>
      <w:r w:rsidRPr="00064CD3">
        <w:rPr>
          <w:b/>
          <w:bCs/>
          <w:lang w:eastAsia="en-GB"/>
        </w:rPr>
        <w:t>fertiliser tax</w:t>
      </w:r>
      <w:r w:rsidRPr="00064CD3">
        <w:rPr>
          <w:lang w:eastAsia="en-GB"/>
        </w:rPr>
        <w:t xml:space="preserve"> (e.g. €0.30 per kilogram of nitrogen) and a </w:t>
      </w:r>
      <w:r w:rsidRPr="00064CD3">
        <w:rPr>
          <w:b/>
          <w:bCs/>
          <w:lang w:eastAsia="en-GB"/>
        </w:rPr>
        <w:t>pesticide tax</w:t>
      </w:r>
      <w:r w:rsidRPr="00064CD3">
        <w:rPr>
          <w:lang w:eastAsia="en-GB"/>
        </w:rPr>
        <w:t xml:space="preserve"> (€15 per kilogram of active ingredient) could reduce nutrient and chemical runoff, thereby improving soil and groundwater quality. These instruments should be accompanied by flanking measures such as precision-agriculture support, nutrient-management planning, and advisory services to help farmers adjust. Given Malta’s small agricultural base, administrative simplicity and targeted exemptions for micro-farms would be essential.</w:t>
      </w:r>
    </w:p>
    <w:p w14:paraId="569F72B9" w14:textId="1E1BF40F" w:rsidR="00064CD3" w:rsidRPr="00064CD3" w:rsidRDefault="00064CD3" w:rsidP="00064CD3">
      <w:pPr>
        <w:rPr>
          <w:lang w:eastAsia="en-GB"/>
        </w:rPr>
      </w:pPr>
      <w:r w:rsidRPr="00064CD3">
        <w:rPr>
          <w:lang w:eastAsia="en-GB"/>
        </w:rPr>
        <w:t xml:space="preserve">Additional potential lies in </w:t>
      </w:r>
      <w:r w:rsidRPr="00064CD3">
        <w:rPr>
          <w:b/>
          <w:bCs/>
          <w:lang w:eastAsia="en-GB"/>
        </w:rPr>
        <w:t>air-pollution charges</w:t>
      </w:r>
      <w:r w:rsidRPr="00064CD3">
        <w:rPr>
          <w:lang w:eastAsia="en-GB"/>
        </w:rPr>
        <w:t xml:space="preserve"> for stationary sources, targeting major pollutants (NOx, SO₂ and PM₁₀). While the overall scale of industrial emissions in Malta is limited, such a measure could incentivise cleaner technologies in power generation, transport and construction. Combined with ongoing energy taxation and the EU ETS, this would reinforce Malta’s efforts to reduce local air-quality exceedances, which have shown little improvement since 2015.</w:t>
      </w:r>
    </w:p>
    <w:p w14:paraId="4A8D8B6A" w14:textId="0F6558DD" w:rsidR="00064CD3" w:rsidRPr="00064CD3" w:rsidRDefault="00064CD3" w:rsidP="00064CD3">
      <w:pPr>
        <w:rPr>
          <w:lang w:eastAsia="en-GB"/>
        </w:rPr>
      </w:pPr>
      <w:r w:rsidRPr="606E24A0">
        <w:rPr>
          <w:b/>
          <w:bCs/>
          <w:lang w:eastAsia="en-GB"/>
        </w:rPr>
        <w:t>Distributional and competitiveness impacts</w:t>
      </w:r>
      <w:r w:rsidR="00EB124D">
        <w:rPr>
          <w:b/>
          <w:bCs/>
          <w:lang w:eastAsia="en-GB"/>
        </w:rPr>
        <w:t>.</w:t>
      </w:r>
      <w:r w:rsidRPr="606E24A0">
        <w:rPr>
          <w:lang w:eastAsia="en-GB"/>
        </w:rPr>
        <w:t xml:space="preserve">  Environmental taxes that affect essential goods, such as water and waste services, should be phased in gradually and coupled with transparent revenue recycling. Targeted rebates or capped annual bill increases could protect low-income households, while labour tax reductions or credits for green investment could offset potential competitiveness effects. Sectors such as tourism, construction, and agriculture are likely to be most affected; clear communication and earmarking of revenues for sectoral sustainability investments would help maintain stakeholder support.</w:t>
      </w:r>
    </w:p>
    <w:p w14:paraId="74EEC59D" w14:textId="037FEBC1" w:rsidR="00064CD3" w:rsidRDefault="00064CD3" w:rsidP="00064CD3">
      <w:pPr>
        <w:rPr>
          <w:lang w:eastAsia="en-GB"/>
        </w:rPr>
      </w:pPr>
      <w:r w:rsidRPr="00064CD3">
        <w:rPr>
          <w:lang w:eastAsia="en-GB"/>
        </w:rPr>
        <w:t>Implementation feasibility is enhanced by Malta’s centralised governance and strong administrative capacity. The main barriers are political rather than technical: public sensitivity to new charges and the perception of limited environmental return on fiscal measures. These challenges can be addressed through improved communication, consultation with stakeholders, and transparent reporting of environmental outcomes. Publishing an annual report that links revenues to tangible results</w:t>
      </w:r>
      <w:r>
        <w:rPr>
          <w:lang w:eastAsia="en-GB"/>
        </w:rPr>
        <w:t xml:space="preserve">, </w:t>
      </w:r>
      <w:r w:rsidRPr="00064CD3">
        <w:rPr>
          <w:lang w:eastAsia="en-GB"/>
        </w:rPr>
        <w:t>such as improved water quality, reduced waste generation, or expanded recycling</w:t>
      </w:r>
      <w:r>
        <w:rPr>
          <w:lang w:eastAsia="en-GB"/>
        </w:rPr>
        <w:t xml:space="preserve">, </w:t>
      </w:r>
      <w:r w:rsidRPr="00064CD3">
        <w:rPr>
          <w:lang w:eastAsia="en-GB"/>
        </w:rPr>
        <w:t>would strengthen credibility and public trust.</w:t>
      </w:r>
    </w:p>
    <w:p w14:paraId="33AEB376" w14:textId="773244C0" w:rsidR="00C301F2" w:rsidRPr="00064CD3" w:rsidRDefault="00C301F2" w:rsidP="00064CD3">
      <w:pPr>
        <w:rPr>
          <w:lang w:eastAsia="en-GB"/>
        </w:rPr>
      </w:pPr>
      <w:r w:rsidRPr="00C301F2">
        <w:rPr>
          <w:lang w:eastAsia="en-GB"/>
        </w:rPr>
        <w:t xml:space="preserve">In summary, the modelling results and comparative analysis suggest that Malta’s main opportunities for environmental tax reform lie in gradually broadening the current focus on energy and transport to include water-related, waste and pollution instruments. Introducing water abstraction and </w:t>
      </w:r>
      <w:r w:rsidRPr="00C301F2">
        <w:rPr>
          <w:lang w:eastAsia="en-GB"/>
        </w:rPr>
        <w:lastRenderedPageBreak/>
        <w:t>wastewater charges, strengthening landfill pricing, and considering fertiliser and pesticide taxes over time could help address several of the country’s identified environmental pressures. International experience indicates that careful sequencing, transparent use of revenues and targeted support for affected sectors can enhance feasibility while maintaining competitiveness and social fairness.</w:t>
      </w:r>
    </w:p>
    <w:p w14:paraId="7D7F21A7" w14:textId="77777777" w:rsidR="00664BE6" w:rsidRPr="00EA4C9B" w:rsidRDefault="00664BE6" w:rsidP="00C4587F">
      <w:pPr>
        <w:pStyle w:val="AnnexHeading1"/>
        <w:ind w:hanging="1211"/>
      </w:pPr>
      <w:bookmarkStart w:id="266" w:name="_Toc214008923"/>
      <w:r w:rsidRPr="00EA4C9B">
        <w:t>Netherlands</w:t>
      </w:r>
      <w:bookmarkEnd w:id="266"/>
    </w:p>
    <w:p w14:paraId="5B8CA373" w14:textId="73D7E30C" w:rsidR="00C8135E" w:rsidRDefault="00C8135E" w:rsidP="007C4EB7">
      <w:pPr>
        <w:pStyle w:val="AnnexHeading2"/>
      </w:pPr>
      <w:bookmarkStart w:id="267" w:name="_Toc214008924"/>
      <w:r>
        <w:t>Overview of existing environmental taxes</w:t>
      </w:r>
      <w:bookmarkEnd w:id="267"/>
    </w:p>
    <w:p w14:paraId="1D4D3393" w14:textId="5E294D41" w:rsidR="00664BE6" w:rsidRPr="00EA4C9B" w:rsidRDefault="004862F4" w:rsidP="00664BE6">
      <w:r w:rsidRPr="004862F4">
        <w:t>Environmental taxes in the Netherlands amounted to 2.8% of GDP in 2023, above the EU average. While revenues have increased in absolute terms over the past 15 years, their relative weight in the economy has declined. Total environmental tax revenue reached EUR 27.7 billion in real terms in 2023 (</w:t>
      </w:r>
      <w:r w:rsidRPr="00094BDF">
        <w:fldChar w:fldCharType="begin"/>
      </w:r>
      <w:r w:rsidRPr="00094BDF">
        <w:instrText xml:space="preserve"> REF _Ref201239929 \h  \* MERGEFORMAT </w:instrText>
      </w:r>
      <w:r w:rsidRPr="00094BDF">
        <w:fldChar w:fldCharType="separate"/>
      </w:r>
      <w:r w:rsidRPr="00094BDF">
        <w:t xml:space="preserve">Figure </w:t>
      </w:r>
      <w:r>
        <w:t>A6</w:t>
      </w:r>
      <w:r w:rsidRPr="00094BDF">
        <w:t>-</w:t>
      </w:r>
      <w:r w:rsidRPr="00094BDF">
        <w:rPr>
          <w:noProof/>
        </w:rPr>
        <w:t>54</w:t>
      </w:r>
      <w:r w:rsidRPr="00094BDF">
        <w:fldChar w:fldCharType="end"/>
      </w:r>
      <w:r w:rsidRPr="004862F4">
        <w:t>), representing a 30% increase since 2009</w:t>
      </w:r>
      <w:r w:rsidR="00391DBF">
        <w:rPr>
          <w:rStyle w:val="FootnoteReference"/>
        </w:rPr>
        <w:footnoteReference w:id="615"/>
      </w:r>
      <w:r w:rsidRPr="004862F4">
        <w:t>. Over the same period, however, the ratio of environmental taxes to GDP fell by 18.3%. In 2023, revenues were mainly sourced from energy and transport taxes (around 57.2% and 28.1%, respectively), while pollution and resource taxes contributed 13.5% and 1.2%</w:t>
      </w:r>
      <w:r>
        <w:t xml:space="preserve"> respectively</w:t>
      </w:r>
      <w:r w:rsidRPr="004862F4">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64BE6" w:rsidRPr="00EA4C9B" w14:paraId="5CC4DAD6" w14:textId="77777777" w:rsidTr="00BA7936">
        <w:tc>
          <w:tcPr>
            <w:tcW w:w="9016" w:type="dxa"/>
          </w:tcPr>
          <w:p w14:paraId="35C058BB" w14:textId="77777777" w:rsidR="00664BE6" w:rsidRPr="00EA4C9B" w:rsidRDefault="00664BE6">
            <w:pPr>
              <w:spacing w:after="0"/>
              <w:jc w:val="center"/>
              <w:rPr>
                <w:sz w:val="10"/>
                <w:szCs w:val="10"/>
              </w:rPr>
            </w:pPr>
          </w:p>
          <w:p w14:paraId="2F18DEF8" w14:textId="77777777" w:rsidR="00664BE6" w:rsidRPr="00EA4C9B" w:rsidRDefault="00664BE6">
            <w:pPr>
              <w:spacing w:after="0"/>
              <w:jc w:val="center"/>
              <w:rPr>
                <w:sz w:val="10"/>
                <w:szCs w:val="10"/>
              </w:rPr>
            </w:pPr>
            <w:r w:rsidRPr="00EA4C9B">
              <w:rPr>
                <w:noProof/>
                <w:sz w:val="10"/>
                <w:szCs w:val="10"/>
              </w:rPr>
              <w:drawing>
                <wp:inline distT="0" distB="0" distL="0" distR="0" wp14:anchorId="619E300D" wp14:editId="0CA657EA">
                  <wp:extent cx="5577138" cy="1186236"/>
                  <wp:effectExtent l="0" t="0" r="0" b="0"/>
                  <wp:docPr id="2122339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8177" name="Picture 1"/>
                          <pic:cNvPicPr/>
                        </pic:nvPicPr>
                        <pic:blipFill>
                          <a:blip r:embed="rId108" cstate="print">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5577138" cy="1186236"/>
                          </a:xfrm>
                          <a:prstGeom prst="rect">
                            <a:avLst/>
                          </a:prstGeom>
                        </pic:spPr>
                      </pic:pic>
                    </a:graphicData>
                  </a:graphic>
                </wp:inline>
              </w:drawing>
            </w:r>
          </w:p>
          <w:p w14:paraId="682E8C2F" w14:textId="77777777" w:rsidR="00664BE6" w:rsidRPr="00EA4C9B" w:rsidRDefault="00664BE6">
            <w:pPr>
              <w:spacing w:after="0"/>
              <w:jc w:val="center"/>
              <w:rPr>
                <w:sz w:val="10"/>
                <w:szCs w:val="10"/>
              </w:rPr>
            </w:pPr>
          </w:p>
        </w:tc>
      </w:tr>
      <w:tr w:rsidR="00664BE6" w:rsidRPr="00EA4C9B" w14:paraId="7A7DE4C4" w14:textId="77777777" w:rsidTr="00BA7936">
        <w:tc>
          <w:tcPr>
            <w:tcW w:w="9016" w:type="dxa"/>
            <w:shd w:val="clear" w:color="auto" w:fill="003399"/>
          </w:tcPr>
          <w:p w14:paraId="070C35F0" w14:textId="1CBA1E00" w:rsidR="00664BE6" w:rsidRPr="00EA4C9B" w:rsidRDefault="00664BE6" w:rsidP="00AC6C12">
            <w:pPr>
              <w:pStyle w:val="FigTabCaption"/>
            </w:pPr>
            <w:bookmarkStart w:id="268" w:name="_Ref201239929"/>
            <w:r w:rsidRPr="00051732">
              <w:t xml:space="preserve">Figure </w:t>
            </w:r>
            <w:r w:rsidR="00490085">
              <w:t>A6</w:t>
            </w:r>
            <w:r w:rsidR="00947F4C" w:rsidRPr="00051732">
              <w:t>-</w:t>
            </w:r>
            <w:r>
              <w:fldChar w:fldCharType="begin"/>
            </w:r>
            <w:r>
              <w:instrText>SEQ Figure_A5- \* ARABIC</w:instrText>
            </w:r>
            <w:r>
              <w:fldChar w:fldCharType="separate"/>
            </w:r>
            <w:r w:rsidR="0091411A">
              <w:rPr>
                <w:noProof/>
              </w:rPr>
              <w:t>54</w:t>
            </w:r>
            <w:r>
              <w:fldChar w:fldCharType="end"/>
            </w:r>
            <w:bookmarkEnd w:id="268"/>
            <w:r w:rsidRPr="00EA4C9B">
              <w:t>: Total environmental tax revenue in the Netherlands (2009-2023) in billion euros</w:t>
            </w:r>
          </w:p>
        </w:tc>
      </w:tr>
    </w:tbl>
    <w:p w14:paraId="4ABE3654" w14:textId="2A508EA0" w:rsidR="00664BE6" w:rsidRPr="00EA4C9B" w:rsidRDefault="00664BE6" w:rsidP="00664BE6">
      <w:r w:rsidRPr="00EA4C9B">
        <w:br/>
        <w:t xml:space="preserve">In 2023, total tax revenue (including net social contributions) accounted for 38.7% of </w:t>
      </w:r>
      <w:r w:rsidR="00A012ED" w:rsidRPr="00A012ED">
        <w:t>GDP, an increase of 2.7 percentage points from 36.0% in 2009. Environmental taxes represented 7.3% of total tax revenue in 2023, down from 9.6% in 2009</w:t>
      </w:r>
      <w:r w:rsidR="00A012ED">
        <w:t xml:space="preserve"> </w:t>
      </w:r>
      <w:r w:rsidR="00A012ED" w:rsidRPr="00A012ED">
        <w:t>—</w:t>
      </w:r>
      <w:r w:rsidR="00216DEC">
        <w:t xml:space="preserve"> </w:t>
      </w:r>
      <w:r w:rsidR="00A012ED" w:rsidRPr="00A012ED">
        <w:t>a decline of 2.3 percentage points over the period. In absolute terms, the strongest decrease was recorded in transport tax revenues, which fell by 33.8%.</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64BE6" w:rsidRPr="00EA4C9B" w14:paraId="0FCBEE00" w14:textId="77777777" w:rsidTr="00BA7936">
        <w:tc>
          <w:tcPr>
            <w:tcW w:w="9016" w:type="dxa"/>
          </w:tcPr>
          <w:p w14:paraId="7E370968" w14:textId="77777777" w:rsidR="00664BE6" w:rsidRPr="00EA4C9B" w:rsidRDefault="00664BE6">
            <w:pPr>
              <w:spacing w:after="0"/>
              <w:jc w:val="center"/>
              <w:rPr>
                <w:sz w:val="10"/>
                <w:szCs w:val="10"/>
              </w:rPr>
            </w:pPr>
          </w:p>
          <w:p w14:paraId="2070D345" w14:textId="77777777" w:rsidR="00664BE6" w:rsidRPr="00EA4C9B" w:rsidRDefault="00664BE6">
            <w:pPr>
              <w:spacing w:after="0"/>
              <w:jc w:val="center"/>
              <w:rPr>
                <w:sz w:val="10"/>
                <w:szCs w:val="10"/>
              </w:rPr>
            </w:pPr>
            <w:r w:rsidRPr="00EA4C9B">
              <w:rPr>
                <w:noProof/>
                <w:sz w:val="10"/>
                <w:szCs w:val="10"/>
              </w:rPr>
              <w:drawing>
                <wp:inline distT="0" distB="0" distL="0" distR="0" wp14:anchorId="648762C7" wp14:editId="38E56407">
                  <wp:extent cx="5563065" cy="1820445"/>
                  <wp:effectExtent l="0" t="0" r="0" b="0"/>
                  <wp:docPr id="1160881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00597" name="Picture 2"/>
                          <pic:cNvPicPr/>
                        </pic:nvPicPr>
                        <pic:blipFill>
                          <a:blip r:embed="rId110" cstate="print">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5563065" cy="1820445"/>
                          </a:xfrm>
                          <a:prstGeom prst="rect">
                            <a:avLst/>
                          </a:prstGeom>
                        </pic:spPr>
                      </pic:pic>
                    </a:graphicData>
                  </a:graphic>
                </wp:inline>
              </w:drawing>
            </w:r>
          </w:p>
          <w:p w14:paraId="2365B48B" w14:textId="77777777" w:rsidR="00664BE6" w:rsidRPr="00EA4C9B" w:rsidRDefault="00664BE6">
            <w:pPr>
              <w:spacing w:after="0"/>
              <w:jc w:val="center"/>
              <w:rPr>
                <w:sz w:val="10"/>
                <w:szCs w:val="10"/>
              </w:rPr>
            </w:pPr>
          </w:p>
        </w:tc>
      </w:tr>
      <w:tr w:rsidR="00664BE6" w:rsidRPr="00EA4C9B" w14:paraId="575BD36D" w14:textId="77777777" w:rsidTr="00BA7936">
        <w:tc>
          <w:tcPr>
            <w:tcW w:w="9016" w:type="dxa"/>
            <w:shd w:val="clear" w:color="auto" w:fill="003399"/>
          </w:tcPr>
          <w:p w14:paraId="1D761DA4" w14:textId="376D59F8" w:rsidR="00664BE6" w:rsidRPr="00EA4C9B" w:rsidRDefault="00664BE6" w:rsidP="00AC6C12">
            <w:pPr>
              <w:pStyle w:val="FigTabCaption"/>
            </w:pPr>
            <w:bookmarkStart w:id="269" w:name="_Ref201232094"/>
            <w:r w:rsidRPr="00051732">
              <w:t xml:space="preserve">Figure </w:t>
            </w:r>
            <w:r w:rsidR="00490085">
              <w:t>A6</w:t>
            </w:r>
            <w:r w:rsidR="00947F4C" w:rsidRPr="00051732">
              <w:t>-</w:t>
            </w:r>
            <w:r>
              <w:fldChar w:fldCharType="begin"/>
            </w:r>
            <w:r>
              <w:instrText>SEQ Figure_A5- \* ARABIC</w:instrText>
            </w:r>
            <w:r>
              <w:fldChar w:fldCharType="separate"/>
            </w:r>
            <w:r w:rsidR="0091411A">
              <w:rPr>
                <w:noProof/>
              </w:rPr>
              <w:t>55</w:t>
            </w:r>
            <w:r>
              <w:fldChar w:fldCharType="end"/>
            </w:r>
            <w:bookmarkEnd w:id="269"/>
            <w:r w:rsidRPr="00EA4C9B">
              <w:t>: Fifteen-year (2009-2023) change in absolute terms and change as GDP-ratio of the revenues of energy taxes, transport taxes, resource taxes, pollution taxes and total environmental taxes in the Netherlands</w:t>
            </w:r>
            <w:r w:rsidR="004E7F5F">
              <w:t xml:space="preserve"> </w:t>
            </w:r>
          </w:p>
        </w:tc>
      </w:tr>
    </w:tbl>
    <w:p w14:paraId="78CAD4EF" w14:textId="77777777" w:rsidR="00664BE6" w:rsidRPr="00EA4C9B" w:rsidRDefault="00664BE6" w:rsidP="00664BE6">
      <w:r w:rsidRPr="00EA4C9B">
        <w:br/>
        <w:t xml:space="preserve">Although total environmental tax revenue has increased in absolute terms in the period from 2009 </w:t>
      </w:r>
      <w:r w:rsidRPr="00EA4C9B">
        <w:lastRenderedPageBreak/>
        <w:t>until 2023, when corrected for GDP increase the revenue has decreased. This is largely due to the effects of the COVID-19 crisis on emission-related taxes and fuel excise duties, and due to the effects of the energy crisis, which led to the measures to lower the energy costs of households</w:t>
      </w:r>
      <w:r w:rsidRPr="00EA4C9B">
        <w:rPr>
          <w:rStyle w:val="FootnoteReference"/>
        </w:rPr>
        <w:footnoteReference w:id="616"/>
      </w:r>
      <w:r w:rsidRPr="00EA4C9B">
        <w:t>.</w:t>
      </w:r>
    </w:p>
    <w:p w14:paraId="1857DAF3" w14:textId="77777777" w:rsidR="00664BE6" w:rsidRPr="00EA4C9B" w:rsidRDefault="00664BE6" w:rsidP="00C4587F">
      <w:pPr>
        <w:pStyle w:val="AnnexHeading2"/>
      </w:pPr>
      <w:bookmarkStart w:id="270" w:name="_Toc214008925"/>
      <w:r w:rsidRPr="00EA4C9B">
        <w:t>Existing pollution and resource taxes</w:t>
      </w:r>
      <w:bookmarkEnd w:id="270"/>
    </w:p>
    <w:p w14:paraId="7D7754FF" w14:textId="00478640" w:rsidR="00664BE6" w:rsidRPr="00EA4C9B" w:rsidRDefault="00664BE6" w:rsidP="00664BE6">
      <w:r w:rsidRPr="00EA4C9B">
        <w:t>In 2023, pollution and resource tax revenues reached respectively 3.73 and 0.34 billion euros (13.5% and 1.2% of the total environmental tax revenues). These amount to increases in absolute terms of — respectively — 39.2% and 21.4% over 15 years (2009-2023). However, in terms of GDP-ratios, pollution taxes decreased by 12.4% while resource taxes decreased by 24.4% (</w:t>
      </w:r>
      <w:r w:rsidR="00586A9D" w:rsidRPr="00586A9D">
        <w:fldChar w:fldCharType="begin"/>
      </w:r>
      <w:r w:rsidR="00586A9D" w:rsidRPr="00586A9D">
        <w:instrText xml:space="preserve"> REF _Ref201232094 \h  \* MERGEFORMAT </w:instrText>
      </w:r>
      <w:r w:rsidR="00586A9D" w:rsidRPr="00586A9D">
        <w:fldChar w:fldCharType="separate"/>
      </w:r>
      <w:r w:rsidR="00586A9D" w:rsidRPr="00586A9D">
        <w:t xml:space="preserve">Figure </w:t>
      </w:r>
      <w:r w:rsidR="00490085">
        <w:t>A6</w:t>
      </w:r>
      <w:r w:rsidR="00586A9D" w:rsidRPr="00586A9D">
        <w:t>-</w:t>
      </w:r>
      <w:r w:rsidR="00586A9D" w:rsidRPr="00586A9D">
        <w:rPr>
          <w:noProof/>
        </w:rPr>
        <w:t>55</w:t>
      </w:r>
      <w:r w:rsidR="00586A9D" w:rsidRPr="00586A9D">
        <w:fldChar w:fldCharType="end"/>
      </w:r>
      <w:r w:rsidRPr="00EA4C9B">
        <w:fldChar w:fldCharType="begin"/>
      </w:r>
      <w:r w:rsidRPr="00EA4C9B">
        <w:instrText xml:space="preserve"> REF _Ref190950601 \h  \* MERGEFORMAT </w:instrText>
      </w:r>
      <w:r w:rsidRPr="00EA4C9B">
        <w:fldChar w:fldCharType="separate"/>
      </w:r>
      <w:r w:rsidR="0068700D" w:rsidRPr="00B80392">
        <w:rPr>
          <w:b/>
          <w:sz w:val="20"/>
          <w:szCs w:val="20"/>
        </w:rPr>
        <w:t xml:space="preserve">Figure </w:t>
      </w:r>
      <w:r w:rsidR="0068700D">
        <w:rPr>
          <w:b/>
          <w:noProof/>
          <w:sz w:val="20"/>
          <w:szCs w:val="20"/>
        </w:rPr>
        <w:t>7</w:t>
      </w:r>
      <w:r w:rsidR="0068700D">
        <w:rPr>
          <w:b/>
          <w:noProof/>
          <w:sz w:val="20"/>
          <w:szCs w:val="20"/>
        </w:rPr>
        <w:noBreakHyphen/>
        <w:t>1</w:t>
      </w:r>
      <w:r w:rsidRPr="00EA4C9B">
        <w:fldChar w:fldCharType="end"/>
      </w:r>
      <w:r w:rsidRPr="00EA4C9B">
        <w:t xml:space="preserve">). In 2022, 71.7% of the pollution and resource tax revenues came from households, </w:t>
      </w:r>
      <w:r w:rsidRPr="00EA4C9B">
        <w:rPr>
          <w:lang w:eastAsia="en-GB"/>
        </w:rPr>
        <w:t>while businesses classified under NACE economic activities paid 28.3%, with “Services (except wholesale and retail trade, transportation and storage)” being responsible for the largest share within those businesses (47.2%).</w:t>
      </w:r>
    </w:p>
    <w:tbl>
      <w:tblPr>
        <w:tblStyle w:val="TableGrid"/>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664BE6" w:rsidRPr="00EA4C9B" w14:paraId="506DF618" w14:textId="77777777" w:rsidTr="00BA7936">
        <w:tc>
          <w:tcPr>
            <w:tcW w:w="9216" w:type="dxa"/>
          </w:tcPr>
          <w:p w14:paraId="6604A7BB" w14:textId="77777777" w:rsidR="00664BE6" w:rsidRPr="00EA4C9B" w:rsidRDefault="00664BE6">
            <w:pPr>
              <w:spacing w:after="0"/>
              <w:jc w:val="center"/>
              <w:rPr>
                <w:sz w:val="10"/>
                <w:szCs w:val="10"/>
              </w:rPr>
            </w:pPr>
          </w:p>
          <w:p w14:paraId="5BA39CC1" w14:textId="77777777" w:rsidR="00664BE6" w:rsidRPr="00EA4C9B" w:rsidRDefault="00664BE6">
            <w:pPr>
              <w:spacing w:after="0"/>
              <w:jc w:val="center"/>
              <w:rPr>
                <w:sz w:val="10"/>
                <w:szCs w:val="10"/>
              </w:rPr>
            </w:pPr>
            <w:r w:rsidRPr="00EA4C9B">
              <w:rPr>
                <w:noProof/>
                <w:sz w:val="10"/>
                <w:szCs w:val="10"/>
              </w:rPr>
              <w:drawing>
                <wp:inline distT="0" distB="0" distL="0" distR="0" wp14:anchorId="533B446C" wp14:editId="23BCC1F2">
                  <wp:extent cx="5659048" cy="1341077"/>
                  <wp:effectExtent l="0" t="0" r="0" b="5715"/>
                  <wp:docPr id="1789710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64072" name="Picture 4"/>
                          <pic:cNvPicPr/>
                        </pic:nvPicPr>
                        <pic:blipFill>
                          <a:blip r:embed="rId112" cstate="print">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5688224" cy="1347991"/>
                          </a:xfrm>
                          <a:prstGeom prst="rect">
                            <a:avLst/>
                          </a:prstGeom>
                        </pic:spPr>
                      </pic:pic>
                    </a:graphicData>
                  </a:graphic>
                </wp:inline>
              </w:drawing>
            </w:r>
          </w:p>
          <w:p w14:paraId="2EC18091" w14:textId="77777777" w:rsidR="00664BE6" w:rsidRPr="00EA4C9B" w:rsidRDefault="00664BE6">
            <w:pPr>
              <w:spacing w:after="0"/>
              <w:jc w:val="center"/>
              <w:rPr>
                <w:sz w:val="10"/>
                <w:szCs w:val="10"/>
              </w:rPr>
            </w:pPr>
          </w:p>
        </w:tc>
      </w:tr>
      <w:tr w:rsidR="00664BE6" w:rsidRPr="00EA4C9B" w14:paraId="40382CE8" w14:textId="77777777" w:rsidTr="00BA7936">
        <w:tc>
          <w:tcPr>
            <w:tcW w:w="9216" w:type="dxa"/>
            <w:shd w:val="clear" w:color="auto" w:fill="003399"/>
          </w:tcPr>
          <w:p w14:paraId="2586D222" w14:textId="3E099AA2" w:rsidR="00664BE6" w:rsidRPr="00EA4C9B" w:rsidRDefault="00664BE6" w:rsidP="00AC6C12">
            <w:pPr>
              <w:pStyle w:val="FigTabCaption"/>
              <w:rPr>
                <w:bCs/>
              </w:rPr>
            </w:pPr>
            <w:r w:rsidRPr="00051732">
              <w:t xml:space="preserve">Figure </w:t>
            </w:r>
            <w:r w:rsidR="00490085">
              <w:t>A6</w:t>
            </w:r>
            <w:r w:rsidR="00947F4C" w:rsidRPr="00051732">
              <w:t>-</w:t>
            </w:r>
            <w:r>
              <w:fldChar w:fldCharType="begin"/>
            </w:r>
            <w:r>
              <w:instrText>SEQ Figure_A5- \* ARABIC</w:instrText>
            </w:r>
            <w:r>
              <w:fldChar w:fldCharType="separate"/>
            </w:r>
            <w:r w:rsidR="0091411A">
              <w:rPr>
                <w:noProof/>
              </w:rPr>
              <w:t>56</w:t>
            </w:r>
            <w:r>
              <w:fldChar w:fldCharType="end"/>
            </w:r>
            <w:r w:rsidRPr="00EA4C9B">
              <w:t>: Resource and pollution tax revenues in the EU27 (2009-2023) in billion euros</w:t>
            </w:r>
            <w:r w:rsidRPr="00EA4C9B">
              <w:rPr>
                <w:bCs/>
              </w:rPr>
              <w:t xml:space="preserve">. </w:t>
            </w:r>
            <w:r w:rsidRPr="00EA4C9B">
              <w:rPr>
                <w:rFonts w:ascii="Calibri" w:eastAsia="Calibri" w:hAnsi="Calibri" w:cs="Calibri"/>
                <w:i/>
                <w:iCs/>
              </w:rPr>
              <w:t>Note: the share between pollution and resource taxes in 2023 was estimated as the weighted average of past years</w:t>
            </w:r>
            <w:r w:rsidRPr="00EA4C9B">
              <w:rPr>
                <w:rFonts w:ascii="Calibri" w:eastAsia="Calibri" w:hAnsi="Calibri" w:cs="Calibri"/>
              </w:rPr>
              <w:t> </w:t>
            </w:r>
          </w:p>
        </w:tc>
      </w:tr>
    </w:tbl>
    <w:p w14:paraId="461F8FDB" w14:textId="77777777" w:rsidR="00664BE6" w:rsidRPr="00EA4C9B" w:rsidRDefault="00664BE6" w:rsidP="00AC6C12">
      <w:pPr>
        <w:spacing w:after="0"/>
      </w:pPr>
    </w:p>
    <w:p w14:paraId="1780F067" w14:textId="77777777" w:rsidR="00A00DA3" w:rsidRPr="00A00DA3" w:rsidRDefault="00A00DA3" w:rsidP="00A00DA3">
      <w:pPr>
        <w:pStyle w:val="Heading4"/>
      </w:pPr>
      <w:r w:rsidRPr="00A00DA3">
        <w:t>List of pollution and resource taxes and revenue shares</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5"/>
        <w:gridCol w:w="1710"/>
        <w:gridCol w:w="1890"/>
        <w:gridCol w:w="1905"/>
      </w:tblGrid>
      <w:tr w:rsidR="00664BE6" w:rsidRPr="00EA4C9B" w14:paraId="1CE98A6E" w14:textId="77777777" w:rsidTr="00BA7936">
        <w:trPr>
          <w:trHeight w:val="135"/>
        </w:trPr>
        <w:tc>
          <w:tcPr>
            <w:tcW w:w="9000" w:type="dxa"/>
            <w:gridSpan w:val="4"/>
            <w:shd w:val="clear" w:color="auto" w:fill="003399"/>
            <w:hideMark/>
          </w:tcPr>
          <w:p w14:paraId="4DDFC731" w14:textId="2E774CC4" w:rsidR="00664BE6" w:rsidRPr="00E252F4" w:rsidRDefault="00664BE6" w:rsidP="00E252F4">
            <w:pPr>
              <w:pStyle w:val="Table"/>
              <w:rPr>
                <w:rFonts w:ascii="Segoe UI" w:eastAsia="Times New Roman" w:hAnsi="Segoe UI" w:cs="Segoe UI"/>
                <w:b/>
                <w:sz w:val="18"/>
                <w:szCs w:val="18"/>
                <w:lang w:eastAsia="en-GB"/>
              </w:rPr>
            </w:pPr>
            <w:r w:rsidRPr="00E252F4">
              <w:rPr>
                <w:b/>
                <w:color w:val="FFFFFF" w:themeColor="background1"/>
              </w:rPr>
              <w:t xml:space="preserve">Table </w:t>
            </w:r>
            <w:r w:rsidR="00490085">
              <w:rPr>
                <w:b/>
                <w:color w:val="FFFFFF" w:themeColor="background1"/>
              </w:rPr>
              <w:t>A6</w:t>
            </w:r>
            <w:r w:rsidR="00E252F4" w:rsidRPr="00E252F4">
              <w:rPr>
                <w:b/>
                <w:bCs/>
                <w:color w:val="FFFFFF" w:themeColor="background1"/>
              </w:rPr>
              <w:t>-</w:t>
            </w:r>
            <w:r w:rsidR="00E252F4" w:rsidRPr="00E252F4">
              <w:rPr>
                <w:b/>
                <w:bCs/>
                <w:color w:val="FFFFFF" w:themeColor="background1"/>
              </w:rPr>
              <w:fldChar w:fldCharType="begin"/>
            </w:r>
            <w:r w:rsidR="00E252F4" w:rsidRPr="00E252F4">
              <w:rPr>
                <w:b/>
                <w:bCs/>
                <w:color w:val="FFFFFF" w:themeColor="background1"/>
              </w:rPr>
              <w:instrText xml:space="preserve"> SEQ Table_A5- \* ARABIC </w:instrText>
            </w:r>
            <w:r w:rsidR="00E252F4" w:rsidRPr="00E252F4">
              <w:rPr>
                <w:b/>
                <w:bCs/>
                <w:color w:val="FFFFFF" w:themeColor="background1"/>
              </w:rPr>
              <w:fldChar w:fldCharType="separate"/>
            </w:r>
            <w:r w:rsidR="00C4587F">
              <w:rPr>
                <w:b/>
                <w:bCs/>
                <w:noProof/>
                <w:color w:val="FFFFFF" w:themeColor="background1"/>
              </w:rPr>
              <w:t>97</w:t>
            </w:r>
            <w:r w:rsidR="00E252F4" w:rsidRPr="00E252F4">
              <w:rPr>
                <w:b/>
                <w:bCs/>
                <w:color w:val="FFFFFF" w:themeColor="background1"/>
              </w:rPr>
              <w:fldChar w:fldCharType="end"/>
            </w:r>
            <w:r w:rsidRPr="00E252F4">
              <w:rPr>
                <w:rFonts w:ascii="Calibri" w:eastAsia="Times New Roman" w:hAnsi="Calibri" w:cs="Calibri"/>
                <w:b/>
                <w:color w:val="FFFFFF" w:themeColor="background1"/>
                <w:szCs w:val="20"/>
                <w:lang w:eastAsia="en-GB"/>
              </w:rPr>
              <w:t>:  Pollution taxes  </w:t>
            </w:r>
          </w:p>
        </w:tc>
      </w:tr>
      <w:tr w:rsidR="00664BE6" w:rsidRPr="00EA4C9B" w14:paraId="1C0390AF" w14:textId="77777777" w:rsidTr="00BA7936">
        <w:trPr>
          <w:trHeight w:val="75"/>
        </w:trPr>
        <w:tc>
          <w:tcPr>
            <w:tcW w:w="3495" w:type="dxa"/>
            <w:hideMark/>
          </w:tcPr>
          <w:p w14:paraId="46705974" w14:textId="77777777" w:rsidR="00664BE6" w:rsidRPr="00EA4C9B" w:rsidRDefault="00664BE6" w:rsidP="00E252F4">
            <w:pPr>
              <w:pStyle w:val="Table"/>
              <w:rPr>
                <w:rFonts w:ascii="Segoe UI" w:eastAsia="Times New Roman" w:hAnsi="Segoe UI" w:cs="Segoe UI"/>
                <w:sz w:val="18"/>
                <w:szCs w:val="18"/>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0" w:type="dxa"/>
            <w:hideMark/>
          </w:tcPr>
          <w:p w14:paraId="5F249985" w14:textId="704F7B2A"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Calibri" w:eastAsia="Times New Roman" w:hAnsi="Calibri" w:cs="Calibri"/>
                <w:b/>
                <w:szCs w:val="20"/>
                <w:lang w:eastAsia="en-GB"/>
              </w:rPr>
              <w:t>Revenue (€ million)</w:t>
            </w:r>
          </w:p>
          <w:p w14:paraId="1A22701D" w14:textId="3434EA5A"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Calibri" w:eastAsia="Times New Roman" w:hAnsi="Calibri" w:cs="Calibri"/>
                <w:b/>
                <w:szCs w:val="20"/>
                <w:lang w:eastAsia="en-GB"/>
              </w:rPr>
              <w:t>2009-2023</w:t>
            </w:r>
          </w:p>
        </w:tc>
        <w:tc>
          <w:tcPr>
            <w:tcW w:w="1890" w:type="dxa"/>
            <w:hideMark/>
          </w:tcPr>
          <w:p w14:paraId="3633D87C" w14:textId="6D0F4E57"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Calibri" w:eastAsia="Times New Roman" w:hAnsi="Calibri" w:cs="Calibri"/>
                <w:b/>
                <w:szCs w:val="20"/>
                <w:lang w:eastAsia="en-GB"/>
              </w:rPr>
              <w:t>Average annual revenue (€ million)</w:t>
            </w:r>
          </w:p>
        </w:tc>
        <w:tc>
          <w:tcPr>
            <w:tcW w:w="1905" w:type="dxa"/>
            <w:hideMark/>
          </w:tcPr>
          <w:p w14:paraId="7E04DF9D" w14:textId="7F3D6307"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Calibri" w:eastAsia="Times New Roman" w:hAnsi="Calibri" w:cs="Calibri"/>
                <w:b/>
                <w:szCs w:val="20"/>
                <w:lang w:eastAsia="en-GB"/>
              </w:rPr>
              <w:t>As share of all pollution tax revenues</w:t>
            </w:r>
          </w:p>
        </w:tc>
      </w:tr>
      <w:tr w:rsidR="00664BE6" w:rsidRPr="00EA4C9B" w14:paraId="31990CCD" w14:textId="77777777" w:rsidTr="00BA7936">
        <w:trPr>
          <w:trHeight w:val="45"/>
        </w:trPr>
        <w:tc>
          <w:tcPr>
            <w:tcW w:w="3495" w:type="dxa"/>
            <w:hideMark/>
          </w:tcPr>
          <w:p w14:paraId="4FD24CC9" w14:textId="77777777" w:rsidR="00664BE6" w:rsidRPr="00C305AC" w:rsidRDefault="00664BE6" w:rsidP="00E252F4">
            <w:pPr>
              <w:pStyle w:val="Table"/>
              <w:rPr>
                <w:rFonts w:ascii="Segoe UI" w:eastAsia="Times New Roman" w:hAnsi="Segoe UI" w:cs="Segoe UI"/>
                <w:sz w:val="18"/>
                <w:szCs w:val="18"/>
                <w:lang w:val="fr-BE" w:eastAsia="en-GB"/>
              </w:rPr>
            </w:pPr>
            <w:r w:rsidRPr="00C305AC">
              <w:rPr>
                <w:szCs w:val="20"/>
                <w:lang w:val="fr-BE"/>
              </w:rPr>
              <w:t>Civil aviation noise pollution tax</w:t>
            </w:r>
          </w:p>
        </w:tc>
        <w:tc>
          <w:tcPr>
            <w:tcW w:w="1710" w:type="dxa"/>
            <w:hideMark/>
          </w:tcPr>
          <w:p w14:paraId="51D8923C" w14:textId="77777777"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Segoe UI" w:eastAsia="Times New Roman" w:hAnsi="Segoe UI" w:cs="Segoe UI"/>
                <w:sz w:val="18"/>
                <w:szCs w:val="18"/>
                <w:lang w:eastAsia="en-GB"/>
              </w:rPr>
              <w:t>296.40</w:t>
            </w:r>
          </w:p>
        </w:tc>
        <w:tc>
          <w:tcPr>
            <w:tcW w:w="1890" w:type="dxa"/>
            <w:hideMark/>
          </w:tcPr>
          <w:p w14:paraId="7C6EF21E" w14:textId="77777777" w:rsidR="00664BE6" w:rsidRPr="00EA4C9B" w:rsidRDefault="00664BE6" w:rsidP="00C4587F">
            <w:pPr>
              <w:pStyle w:val="Table"/>
              <w:jc w:val="center"/>
              <w:rPr>
                <w:rFonts w:ascii="Segoe UI" w:eastAsia="Times New Roman" w:hAnsi="Segoe UI" w:cs="Segoe UI"/>
                <w:sz w:val="18"/>
                <w:szCs w:val="18"/>
                <w:lang w:eastAsia="en-GB"/>
              </w:rPr>
            </w:pPr>
            <w:r w:rsidRPr="00EA4C9B">
              <w:rPr>
                <w:szCs w:val="20"/>
              </w:rPr>
              <w:t>19.76</w:t>
            </w:r>
          </w:p>
        </w:tc>
        <w:tc>
          <w:tcPr>
            <w:tcW w:w="1905" w:type="dxa"/>
            <w:hideMark/>
          </w:tcPr>
          <w:p w14:paraId="474B5F6F" w14:textId="77777777" w:rsidR="00664BE6" w:rsidRPr="00EA4C9B" w:rsidRDefault="00664BE6" w:rsidP="00C4587F">
            <w:pPr>
              <w:pStyle w:val="Table"/>
              <w:jc w:val="center"/>
              <w:rPr>
                <w:rFonts w:ascii="Segoe UI" w:eastAsia="Times New Roman" w:hAnsi="Segoe UI" w:cs="Segoe UI"/>
                <w:sz w:val="18"/>
                <w:szCs w:val="18"/>
                <w:lang w:eastAsia="en-GB"/>
              </w:rPr>
            </w:pPr>
            <w:r w:rsidRPr="00EA4C9B">
              <w:rPr>
                <w:szCs w:val="20"/>
              </w:rPr>
              <w:t>0.7%</w:t>
            </w:r>
          </w:p>
        </w:tc>
      </w:tr>
      <w:tr w:rsidR="00664BE6" w:rsidRPr="00EA4C9B" w14:paraId="34A297F0" w14:textId="77777777" w:rsidTr="00BA7936">
        <w:trPr>
          <w:trHeight w:val="45"/>
        </w:trPr>
        <w:tc>
          <w:tcPr>
            <w:tcW w:w="3495" w:type="dxa"/>
            <w:hideMark/>
          </w:tcPr>
          <w:p w14:paraId="578CE864" w14:textId="77777777" w:rsidR="00664BE6" w:rsidRPr="00EA4C9B" w:rsidRDefault="00664BE6" w:rsidP="00E252F4">
            <w:pPr>
              <w:pStyle w:val="Table"/>
              <w:rPr>
                <w:rFonts w:ascii="Segoe UI" w:eastAsia="Times New Roman" w:hAnsi="Segoe UI" w:cs="Segoe UI"/>
                <w:sz w:val="18"/>
                <w:szCs w:val="18"/>
                <w:lang w:eastAsia="en-GB"/>
              </w:rPr>
            </w:pPr>
            <w:r w:rsidRPr="00EA4C9B">
              <w:rPr>
                <w:szCs w:val="20"/>
              </w:rPr>
              <w:t>Sewage charges (producers)</w:t>
            </w:r>
          </w:p>
        </w:tc>
        <w:tc>
          <w:tcPr>
            <w:tcW w:w="1710" w:type="dxa"/>
            <w:hideMark/>
          </w:tcPr>
          <w:p w14:paraId="53BC2EF3" w14:textId="77777777"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Segoe UI" w:eastAsia="Times New Roman" w:hAnsi="Segoe UI" w:cs="Segoe UI"/>
                <w:sz w:val="18"/>
                <w:szCs w:val="18"/>
                <w:lang w:eastAsia="en-GB"/>
              </w:rPr>
              <w:t>3,617.15</w:t>
            </w:r>
          </w:p>
        </w:tc>
        <w:tc>
          <w:tcPr>
            <w:tcW w:w="1890" w:type="dxa"/>
            <w:hideMark/>
          </w:tcPr>
          <w:p w14:paraId="75620C52" w14:textId="77777777" w:rsidR="00664BE6" w:rsidRPr="00EA4C9B" w:rsidRDefault="00664BE6" w:rsidP="00C4587F">
            <w:pPr>
              <w:pStyle w:val="Table"/>
              <w:jc w:val="center"/>
              <w:rPr>
                <w:rFonts w:ascii="Segoe UI" w:eastAsia="Times New Roman" w:hAnsi="Segoe UI" w:cs="Segoe UI"/>
                <w:sz w:val="18"/>
                <w:szCs w:val="18"/>
                <w:lang w:eastAsia="en-GB"/>
              </w:rPr>
            </w:pPr>
            <w:r w:rsidRPr="00EA4C9B">
              <w:rPr>
                <w:szCs w:val="20"/>
              </w:rPr>
              <w:t>241.14</w:t>
            </w:r>
          </w:p>
        </w:tc>
        <w:tc>
          <w:tcPr>
            <w:tcW w:w="1905" w:type="dxa"/>
            <w:hideMark/>
          </w:tcPr>
          <w:p w14:paraId="4D7FA325" w14:textId="77777777" w:rsidR="00664BE6" w:rsidRPr="00EA4C9B" w:rsidRDefault="00664BE6" w:rsidP="00C4587F">
            <w:pPr>
              <w:pStyle w:val="Table"/>
              <w:jc w:val="center"/>
              <w:rPr>
                <w:rFonts w:ascii="Segoe UI" w:eastAsia="Times New Roman" w:hAnsi="Segoe UI" w:cs="Segoe UI"/>
                <w:sz w:val="18"/>
                <w:szCs w:val="18"/>
                <w:lang w:eastAsia="en-GB"/>
              </w:rPr>
            </w:pPr>
            <w:r w:rsidRPr="00EA4C9B">
              <w:rPr>
                <w:szCs w:val="20"/>
              </w:rPr>
              <w:t>8.7%</w:t>
            </w:r>
          </w:p>
        </w:tc>
      </w:tr>
      <w:tr w:rsidR="00664BE6" w:rsidRPr="00EA4C9B" w14:paraId="1C705B17" w14:textId="77777777" w:rsidTr="00BA7936">
        <w:trPr>
          <w:trHeight w:val="45"/>
        </w:trPr>
        <w:tc>
          <w:tcPr>
            <w:tcW w:w="3495" w:type="dxa"/>
          </w:tcPr>
          <w:p w14:paraId="5CAB8F54" w14:textId="77777777" w:rsidR="00664BE6" w:rsidRPr="00EA4C9B" w:rsidRDefault="00664BE6" w:rsidP="00E252F4">
            <w:pPr>
              <w:pStyle w:val="Table"/>
              <w:rPr>
                <w:szCs w:val="20"/>
              </w:rPr>
            </w:pPr>
            <w:r w:rsidRPr="00EA4C9B">
              <w:rPr>
                <w:szCs w:val="20"/>
              </w:rPr>
              <w:t>Sewage charges (consumers)</w:t>
            </w:r>
          </w:p>
        </w:tc>
        <w:tc>
          <w:tcPr>
            <w:tcW w:w="1710" w:type="dxa"/>
          </w:tcPr>
          <w:p w14:paraId="3CA66BBF" w14:textId="77777777"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Segoe UI" w:eastAsia="Times New Roman" w:hAnsi="Segoe UI" w:cs="Segoe UI"/>
                <w:sz w:val="18"/>
                <w:szCs w:val="18"/>
                <w:lang w:eastAsia="en-GB"/>
              </w:rPr>
              <w:t>18,920.69</w:t>
            </w:r>
          </w:p>
        </w:tc>
        <w:tc>
          <w:tcPr>
            <w:tcW w:w="1890" w:type="dxa"/>
          </w:tcPr>
          <w:p w14:paraId="57805D3F" w14:textId="77777777" w:rsidR="00664BE6" w:rsidRPr="00EA4C9B" w:rsidRDefault="00664BE6" w:rsidP="00C4587F">
            <w:pPr>
              <w:pStyle w:val="Table"/>
              <w:jc w:val="center"/>
              <w:rPr>
                <w:szCs w:val="20"/>
              </w:rPr>
            </w:pPr>
            <w:r w:rsidRPr="00EA4C9B">
              <w:rPr>
                <w:szCs w:val="20"/>
              </w:rPr>
              <w:t>1,261.38</w:t>
            </w:r>
          </w:p>
        </w:tc>
        <w:tc>
          <w:tcPr>
            <w:tcW w:w="1905" w:type="dxa"/>
          </w:tcPr>
          <w:p w14:paraId="72861213" w14:textId="77777777" w:rsidR="00664BE6" w:rsidRPr="00EA4C9B" w:rsidRDefault="00664BE6" w:rsidP="00C4587F">
            <w:pPr>
              <w:pStyle w:val="Table"/>
              <w:jc w:val="center"/>
              <w:rPr>
                <w:szCs w:val="20"/>
              </w:rPr>
            </w:pPr>
            <w:r w:rsidRPr="00EA4C9B">
              <w:rPr>
                <w:szCs w:val="20"/>
              </w:rPr>
              <w:t>45.6%</w:t>
            </w:r>
          </w:p>
        </w:tc>
      </w:tr>
      <w:tr w:rsidR="00664BE6" w:rsidRPr="00EA4C9B" w14:paraId="2ECB9203" w14:textId="77777777" w:rsidTr="00BA7936">
        <w:trPr>
          <w:trHeight w:val="45"/>
        </w:trPr>
        <w:tc>
          <w:tcPr>
            <w:tcW w:w="3495" w:type="dxa"/>
          </w:tcPr>
          <w:p w14:paraId="1D634252" w14:textId="77777777" w:rsidR="00664BE6" w:rsidRPr="00EA4C9B" w:rsidRDefault="00664BE6" w:rsidP="00E252F4">
            <w:pPr>
              <w:pStyle w:val="Table"/>
              <w:rPr>
                <w:szCs w:val="20"/>
              </w:rPr>
            </w:pPr>
            <w:r w:rsidRPr="00EA4C9B">
              <w:rPr>
                <w:szCs w:val="20"/>
              </w:rPr>
              <w:t>Wastewater treatment charge (producers)</w:t>
            </w:r>
          </w:p>
        </w:tc>
        <w:tc>
          <w:tcPr>
            <w:tcW w:w="1710" w:type="dxa"/>
          </w:tcPr>
          <w:p w14:paraId="03F409C7" w14:textId="77777777"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Segoe UI" w:eastAsia="Times New Roman" w:hAnsi="Segoe UI" w:cs="Segoe UI"/>
                <w:sz w:val="18"/>
                <w:szCs w:val="18"/>
                <w:lang w:eastAsia="en-GB"/>
              </w:rPr>
              <w:t>4,891.47</w:t>
            </w:r>
          </w:p>
        </w:tc>
        <w:tc>
          <w:tcPr>
            <w:tcW w:w="1890" w:type="dxa"/>
          </w:tcPr>
          <w:p w14:paraId="4427BD6E" w14:textId="77777777" w:rsidR="00664BE6" w:rsidRPr="00EA4C9B" w:rsidRDefault="00664BE6" w:rsidP="00C4587F">
            <w:pPr>
              <w:pStyle w:val="Table"/>
              <w:jc w:val="center"/>
              <w:rPr>
                <w:szCs w:val="20"/>
              </w:rPr>
            </w:pPr>
            <w:r w:rsidRPr="00EA4C9B">
              <w:rPr>
                <w:szCs w:val="20"/>
              </w:rPr>
              <w:t>326.10</w:t>
            </w:r>
          </w:p>
        </w:tc>
        <w:tc>
          <w:tcPr>
            <w:tcW w:w="1905" w:type="dxa"/>
          </w:tcPr>
          <w:p w14:paraId="439B1042" w14:textId="77777777" w:rsidR="00664BE6" w:rsidRPr="00EA4C9B" w:rsidRDefault="00664BE6" w:rsidP="00C4587F">
            <w:pPr>
              <w:pStyle w:val="Table"/>
              <w:jc w:val="center"/>
              <w:rPr>
                <w:szCs w:val="20"/>
              </w:rPr>
            </w:pPr>
            <w:r w:rsidRPr="00EA4C9B">
              <w:rPr>
                <w:szCs w:val="20"/>
              </w:rPr>
              <w:t>11.8%</w:t>
            </w:r>
          </w:p>
        </w:tc>
      </w:tr>
      <w:tr w:rsidR="00664BE6" w:rsidRPr="00EA4C9B" w14:paraId="77605E40" w14:textId="77777777" w:rsidTr="00BA7936">
        <w:trPr>
          <w:trHeight w:val="45"/>
        </w:trPr>
        <w:tc>
          <w:tcPr>
            <w:tcW w:w="3495" w:type="dxa"/>
          </w:tcPr>
          <w:p w14:paraId="52AD555B" w14:textId="77777777" w:rsidR="00664BE6" w:rsidRPr="00EA4C9B" w:rsidRDefault="00664BE6" w:rsidP="00E252F4">
            <w:pPr>
              <w:pStyle w:val="Table"/>
              <w:rPr>
                <w:szCs w:val="20"/>
              </w:rPr>
            </w:pPr>
            <w:r w:rsidRPr="00EA4C9B">
              <w:rPr>
                <w:szCs w:val="20"/>
              </w:rPr>
              <w:t>Wastewater treatment charge (consumers)</w:t>
            </w:r>
          </w:p>
        </w:tc>
        <w:tc>
          <w:tcPr>
            <w:tcW w:w="1710" w:type="dxa"/>
          </w:tcPr>
          <w:p w14:paraId="5EB05CD9" w14:textId="77777777"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Segoe UI" w:eastAsia="Times New Roman" w:hAnsi="Segoe UI" w:cs="Segoe UI"/>
                <w:sz w:val="18"/>
                <w:szCs w:val="18"/>
                <w:lang w:eastAsia="en-GB"/>
              </w:rPr>
              <w:t>13,418.82</w:t>
            </w:r>
          </w:p>
        </w:tc>
        <w:tc>
          <w:tcPr>
            <w:tcW w:w="1890" w:type="dxa"/>
          </w:tcPr>
          <w:p w14:paraId="2EE6D40A" w14:textId="77777777" w:rsidR="00664BE6" w:rsidRPr="00EA4C9B" w:rsidRDefault="00664BE6" w:rsidP="00C4587F">
            <w:pPr>
              <w:pStyle w:val="Table"/>
              <w:jc w:val="center"/>
              <w:rPr>
                <w:szCs w:val="20"/>
              </w:rPr>
            </w:pPr>
            <w:r w:rsidRPr="00EA4C9B">
              <w:rPr>
                <w:szCs w:val="20"/>
              </w:rPr>
              <w:t>894.59</w:t>
            </w:r>
          </w:p>
        </w:tc>
        <w:tc>
          <w:tcPr>
            <w:tcW w:w="1905" w:type="dxa"/>
          </w:tcPr>
          <w:p w14:paraId="686149FD" w14:textId="77777777" w:rsidR="00664BE6" w:rsidRPr="00EA4C9B" w:rsidRDefault="00664BE6" w:rsidP="00C4587F">
            <w:pPr>
              <w:pStyle w:val="Table"/>
              <w:jc w:val="center"/>
              <w:rPr>
                <w:szCs w:val="20"/>
              </w:rPr>
            </w:pPr>
            <w:r w:rsidRPr="00EA4C9B">
              <w:rPr>
                <w:szCs w:val="20"/>
              </w:rPr>
              <w:t>32.3%</w:t>
            </w:r>
          </w:p>
        </w:tc>
      </w:tr>
      <w:tr w:rsidR="00664BE6" w:rsidRPr="00EA4C9B" w14:paraId="775DA11A" w14:textId="77777777" w:rsidTr="00BA7936">
        <w:trPr>
          <w:trHeight w:val="45"/>
        </w:trPr>
        <w:tc>
          <w:tcPr>
            <w:tcW w:w="3495" w:type="dxa"/>
          </w:tcPr>
          <w:p w14:paraId="470CBA4E" w14:textId="77777777" w:rsidR="00664BE6" w:rsidRPr="00EA4C9B" w:rsidRDefault="00664BE6" w:rsidP="00E252F4">
            <w:pPr>
              <w:pStyle w:val="Table"/>
              <w:rPr>
                <w:szCs w:val="20"/>
              </w:rPr>
            </w:pPr>
            <w:r w:rsidRPr="00EA4C9B">
              <w:rPr>
                <w:szCs w:val="20"/>
              </w:rPr>
              <w:t>Surplus manure tax</w:t>
            </w:r>
          </w:p>
        </w:tc>
        <w:tc>
          <w:tcPr>
            <w:tcW w:w="1710" w:type="dxa"/>
          </w:tcPr>
          <w:p w14:paraId="4E542252" w14:textId="77777777"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Segoe UI" w:eastAsia="Times New Roman" w:hAnsi="Segoe UI" w:cs="Segoe UI"/>
                <w:sz w:val="18"/>
                <w:szCs w:val="18"/>
                <w:lang w:eastAsia="en-GB"/>
              </w:rPr>
              <w:t>74.50</w:t>
            </w:r>
          </w:p>
        </w:tc>
        <w:tc>
          <w:tcPr>
            <w:tcW w:w="1890" w:type="dxa"/>
          </w:tcPr>
          <w:p w14:paraId="0CB5716B" w14:textId="77777777" w:rsidR="00664BE6" w:rsidRPr="00EA4C9B" w:rsidRDefault="00664BE6" w:rsidP="00C4587F">
            <w:pPr>
              <w:pStyle w:val="Table"/>
              <w:jc w:val="center"/>
              <w:rPr>
                <w:szCs w:val="20"/>
              </w:rPr>
            </w:pPr>
            <w:r w:rsidRPr="00EA4C9B">
              <w:rPr>
                <w:szCs w:val="20"/>
              </w:rPr>
              <w:t>4.97</w:t>
            </w:r>
          </w:p>
        </w:tc>
        <w:tc>
          <w:tcPr>
            <w:tcW w:w="1905" w:type="dxa"/>
          </w:tcPr>
          <w:p w14:paraId="27CCD03E" w14:textId="77777777" w:rsidR="00664BE6" w:rsidRPr="00EA4C9B" w:rsidRDefault="00664BE6" w:rsidP="00C4587F">
            <w:pPr>
              <w:pStyle w:val="Table"/>
              <w:jc w:val="center"/>
              <w:rPr>
                <w:szCs w:val="20"/>
              </w:rPr>
            </w:pPr>
            <w:r w:rsidRPr="00EA4C9B">
              <w:rPr>
                <w:szCs w:val="20"/>
              </w:rPr>
              <w:t>0.2%</w:t>
            </w:r>
          </w:p>
        </w:tc>
      </w:tr>
      <w:tr w:rsidR="00664BE6" w:rsidRPr="00EA4C9B" w14:paraId="3869605A" w14:textId="77777777" w:rsidTr="00BA7936">
        <w:trPr>
          <w:trHeight w:val="45"/>
        </w:trPr>
        <w:tc>
          <w:tcPr>
            <w:tcW w:w="3495" w:type="dxa"/>
          </w:tcPr>
          <w:p w14:paraId="5DFA66B1" w14:textId="77777777" w:rsidR="00664BE6" w:rsidRPr="00EA4C9B" w:rsidRDefault="00664BE6" w:rsidP="00E252F4">
            <w:pPr>
              <w:pStyle w:val="Table"/>
              <w:rPr>
                <w:szCs w:val="20"/>
              </w:rPr>
            </w:pPr>
            <w:r w:rsidRPr="00EA4C9B">
              <w:rPr>
                <w:szCs w:val="20"/>
              </w:rPr>
              <w:t>Other taxes on pollution</w:t>
            </w:r>
          </w:p>
        </w:tc>
        <w:tc>
          <w:tcPr>
            <w:tcW w:w="1710" w:type="dxa"/>
          </w:tcPr>
          <w:p w14:paraId="6A428511" w14:textId="77777777"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Segoe UI" w:eastAsia="Times New Roman" w:hAnsi="Segoe UI" w:cs="Segoe UI"/>
                <w:sz w:val="18"/>
                <w:szCs w:val="18"/>
                <w:lang w:eastAsia="en-GB"/>
              </w:rPr>
              <w:t>273.09</w:t>
            </w:r>
          </w:p>
        </w:tc>
        <w:tc>
          <w:tcPr>
            <w:tcW w:w="1890" w:type="dxa"/>
          </w:tcPr>
          <w:p w14:paraId="14F7C52E" w14:textId="77777777" w:rsidR="00664BE6" w:rsidRPr="00EA4C9B" w:rsidRDefault="00664BE6" w:rsidP="00C4587F">
            <w:pPr>
              <w:pStyle w:val="Table"/>
              <w:jc w:val="center"/>
              <w:rPr>
                <w:szCs w:val="20"/>
              </w:rPr>
            </w:pPr>
            <w:r w:rsidRPr="00EA4C9B">
              <w:rPr>
                <w:szCs w:val="20"/>
              </w:rPr>
              <w:t>18.21</w:t>
            </w:r>
          </w:p>
        </w:tc>
        <w:tc>
          <w:tcPr>
            <w:tcW w:w="1905" w:type="dxa"/>
          </w:tcPr>
          <w:p w14:paraId="00542DB0" w14:textId="77777777" w:rsidR="00664BE6" w:rsidRPr="00EA4C9B" w:rsidRDefault="00664BE6" w:rsidP="00C4587F">
            <w:pPr>
              <w:pStyle w:val="Table"/>
              <w:jc w:val="center"/>
              <w:rPr>
                <w:szCs w:val="20"/>
              </w:rPr>
            </w:pPr>
            <w:r w:rsidRPr="00EA4C9B">
              <w:rPr>
                <w:szCs w:val="20"/>
              </w:rPr>
              <w:t>0.7%</w:t>
            </w:r>
          </w:p>
        </w:tc>
      </w:tr>
    </w:tbl>
    <w:p w14:paraId="3DA22501" w14:textId="77777777" w:rsidR="00664BE6" w:rsidRPr="00EA4C9B" w:rsidRDefault="00664BE6" w:rsidP="00664BE6"/>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5"/>
        <w:gridCol w:w="1710"/>
        <w:gridCol w:w="1890"/>
        <w:gridCol w:w="1905"/>
      </w:tblGrid>
      <w:tr w:rsidR="00664BE6" w:rsidRPr="00EA4C9B" w14:paraId="0F76A033" w14:textId="77777777" w:rsidTr="004F0767">
        <w:trPr>
          <w:trHeight w:val="45"/>
        </w:trPr>
        <w:tc>
          <w:tcPr>
            <w:tcW w:w="9000"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10726418" w14:textId="7D04424F" w:rsidR="00664BE6" w:rsidRPr="00E252F4" w:rsidRDefault="00947F4C" w:rsidP="00E252F4">
            <w:pPr>
              <w:pStyle w:val="Table"/>
              <w:rPr>
                <w:rFonts w:ascii="Segoe UI" w:eastAsia="Times New Roman" w:hAnsi="Segoe UI" w:cs="Segoe UI"/>
                <w:b/>
                <w:sz w:val="18"/>
                <w:szCs w:val="18"/>
                <w:lang w:eastAsia="en-GB"/>
              </w:rPr>
            </w:pPr>
            <w:r w:rsidRPr="00E252F4">
              <w:rPr>
                <w:b/>
                <w:color w:val="FFFFFF" w:themeColor="background1"/>
              </w:rPr>
              <w:t xml:space="preserve">Table </w:t>
            </w:r>
            <w:r w:rsidR="00490085">
              <w:rPr>
                <w:b/>
                <w:color w:val="FFFFFF" w:themeColor="background1"/>
              </w:rPr>
              <w:t>A6</w:t>
            </w:r>
            <w:r w:rsidR="00E252F4" w:rsidRPr="00E252F4">
              <w:rPr>
                <w:b/>
                <w:bCs/>
                <w:color w:val="FFFFFF" w:themeColor="background1"/>
              </w:rPr>
              <w:t>-</w:t>
            </w:r>
            <w:r w:rsidR="00E252F4" w:rsidRPr="00E252F4">
              <w:rPr>
                <w:b/>
                <w:bCs/>
                <w:color w:val="FFFFFF" w:themeColor="background1"/>
              </w:rPr>
              <w:fldChar w:fldCharType="begin"/>
            </w:r>
            <w:r w:rsidR="00E252F4" w:rsidRPr="00E252F4">
              <w:rPr>
                <w:b/>
                <w:bCs/>
                <w:color w:val="FFFFFF" w:themeColor="background1"/>
              </w:rPr>
              <w:instrText xml:space="preserve"> SEQ Table_A5- \* ARABIC </w:instrText>
            </w:r>
            <w:r w:rsidR="00E252F4" w:rsidRPr="00E252F4">
              <w:rPr>
                <w:b/>
                <w:bCs/>
                <w:color w:val="FFFFFF" w:themeColor="background1"/>
              </w:rPr>
              <w:fldChar w:fldCharType="separate"/>
            </w:r>
            <w:r w:rsidR="00C4587F">
              <w:rPr>
                <w:b/>
                <w:bCs/>
                <w:noProof/>
                <w:color w:val="FFFFFF" w:themeColor="background1"/>
              </w:rPr>
              <w:t>98</w:t>
            </w:r>
            <w:r w:rsidR="00E252F4" w:rsidRPr="00E252F4">
              <w:rPr>
                <w:b/>
                <w:bCs/>
                <w:color w:val="FFFFFF" w:themeColor="background1"/>
              </w:rPr>
              <w:fldChar w:fldCharType="end"/>
            </w:r>
            <w:r w:rsidR="00664BE6" w:rsidRPr="00E252F4">
              <w:rPr>
                <w:rFonts w:ascii="Calibri" w:eastAsia="Times New Roman" w:hAnsi="Calibri" w:cs="Calibri"/>
                <w:b/>
                <w:color w:val="FFFFFF" w:themeColor="background1"/>
                <w:szCs w:val="20"/>
                <w:lang w:eastAsia="en-GB"/>
              </w:rPr>
              <w:t>:  Waste taxes  </w:t>
            </w:r>
          </w:p>
        </w:tc>
      </w:tr>
      <w:tr w:rsidR="00664BE6" w:rsidRPr="00EA4C9B" w14:paraId="228B4D21" w14:textId="77777777" w:rsidTr="004F0767">
        <w:trPr>
          <w:trHeight w:val="75"/>
        </w:trPr>
        <w:tc>
          <w:tcPr>
            <w:tcW w:w="3495" w:type="dxa"/>
            <w:tcBorders>
              <w:top w:val="single" w:sz="6" w:space="0" w:color="auto"/>
              <w:left w:val="single" w:sz="6" w:space="0" w:color="auto"/>
              <w:bottom w:val="single" w:sz="6" w:space="0" w:color="auto"/>
              <w:right w:val="single" w:sz="6" w:space="0" w:color="auto"/>
            </w:tcBorders>
            <w:hideMark/>
          </w:tcPr>
          <w:p w14:paraId="54EC6FD6" w14:textId="77777777" w:rsidR="00664BE6" w:rsidRPr="00EA4C9B" w:rsidRDefault="00664BE6" w:rsidP="00E252F4">
            <w:pPr>
              <w:pStyle w:val="Table"/>
              <w:rPr>
                <w:rFonts w:ascii="Segoe UI" w:eastAsia="Times New Roman" w:hAnsi="Segoe UI" w:cs="Segoe UI"/>
                <w:sz w:val="18"/>
                <w:szCs w:val="18"/>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0" w:type="dxa"/>
            <w:tcBorders>
              <w:top w:val="single" w:sz="6" w:space="0" w:color="auto"/>
              <w:left w:val="single" w:sz="6" w:space="0" w:color="auto"/>
              <w:bottom w:val="single" w:sz="6" w:space="0" w:color="auto"/>
              <w:right w:val="single" w:sz="6" w:space="0" w:color="auto"/>
            </w:tcBorders>
            <w:hideMark/>
          </w:tcPr>
          <w:p w14:paraId="0D8B3E23" w14:textId="710CF44F"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Calibri" w:eastAsia="Times New Roman" w:hAnsi="Calibri" w:cs="Calibri"/>
                <w:b/>
                <w:szCs w:val="20"/>
                <w:lang w:eastAsia="en-GB"/>
              </w:rPr>
              <w:t>Revenue (€ million)</w:t>
            </w:r>
          </w:p>
          <w:p w14:paraId="31DB6C94" w14:textId="190562C7"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Calibri" w:eastAsia="Times New Roman" w:hAnsi="Calibri" w:cs="Calibri"/>
                <w:b/>
                <w:szCs w:val="20"/>
                <w:lang w:eastAsia="en-GB"/>
              </w:rPr>
              <w:t>2009-2023</w:t>
            </w:r>
          </w:p>
        </w:tc>
        <w:tc>
          <w:tcPr>
            <w:tcW w:w="1890" w:type="dxa"/>
            <w:tcBorders>
              <w:top w:val="single" w:sz="6" w:space="0" w:color="auto"/>
              <w:left w:val="single" w:sz="6" w:space="0" w:color="auto"/>
              <w:bottom w:val="single" w:sz="6" w:space="0" w:color="auto"/>
              <w:right w:val="single" w:sz="6" w:space="0" w:color="auto"/>
            </w:tcBorders>
            <w:hideMark/>
          </w:tcPr>
          <w:p w14:paraId="49E13585" w14:textId="7EAB2B4E"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Calibri" w:eastAsia="Times New Roman" w:hAnsi="Calibri" w:cs="Calibri"/>
                <w:b/>
                <w:szCs w:val="20"/>
                <w:lang w:eastAsia="en-GB"/>
              </w:rPr>
              <w:t>Average annual revenue (€ million)</w:t>
            </w:r>
          </w:p>
        </w:tc>
        <w:tc>
          <w:tcPr>
            <w:tcW w:w="1905" w:type="dxa"/>
            <w:tcBorders>
              <w:top w:val="single" w:sz="6" w:space="0" w:color="auto"/>
              <w:left w:val="single" w:sz="6" w:space="0" w:color="auto"/>
              <w:bottom w:val="single" w:sz="6" w:space="0" w:color="auto"/>
              <w:right w:val="single" w:sz="6" w:space="0" w:color="auto"/>
            </w:tcBorders>
            <w:hideMark/>
          </w:tcPr>
          <w:p w14:paraId="5FCEFB4B" w14:textId="07A94653"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Calibri" w:eastAsia="Times New Roman" w:hAnsi="Calibri" w:cs="Calibri"/>
                <w:b/>
                <w:szCs w:val="20"/>
                <w:lang w:eastAsia="en-GB"/>
              </w:rPr>
              <w:t>As share of all waste tax revenues</w:t>
            </w:r>
          </w:p>
        </w:tc>
      </w:tr>
      <w:tr w:rsidR="00664BE6" w:rsidRPr="00EA4C9B" w14:paraId="6E449093" w14:textId="77777777" w:rsidTr="004F0767">
        <w:trPr>
          <w:trHeight w:val="45"/>
        </w:trPr>
        <w:tc>
          <w:tcPr>
            <w:tcW w:w="3495" w:type="dxa"/>
            <w:tcBorders>
              <w:top w:val="single" w:sz="6" w:space="0" w:color="auto"/>
              <w:left w:val="single" w:sz="6" w:space="0" w:color="auto"/>
              <w:bottom w:val="single" w:sz="6" w:space="0" w:color="auto"/>
              <w:right w:val="single" w:sz="6" w:space="0" w:color="auto"/>
            </w:tcBorders>
            <w:hideMark/>
          </w:tcPr>
          <w:p w14:paraId="551ABF82" w14:textId="77777777" w:rsidR="00664BE6" w:rsidRPr="00EA4C9B" w:rsidRDefault="00664BE6" w:rsidP="00E252F4">
            <w:pPr>
              <w:pStyle w:val="Table"/>
              <w:rPr>
                <w:rFonts w:ascii="Segoe UI" w:eastAsia="Times New Roman" w:hAnsi="Segoe UI" w:cs="Segoe UI"/>
                <w:sz w:val="18"/>
                <w:szCs w:val="18"/>
                <w:lang w:eastAsia="en-GB"/>
              </w:rPr>
            </w:pPr>
            <w:r w:rsidRPr="00EA4C9B">
              <w:rPr>
                <w:szCs w:val="20"/>
              </w:rPr>
              <w:t>Waste disposal charges (State)</w:t>
            </w:r>
          </w:p>
        </w:tc>
        <w:tc>
          <w:tcPr>
            <w:tcW w:w="1710" w:type="dxa"/>
            <w:tcBorders>
              <w:top w:val="single" w:sz="6" w:space="0" w:color="auto"/>
              <w:left w:val="single" w:sz="6" w:space="0" w:color="auto"/>
              <w:bottom w:val="single" w:sz="6" w:space="0" w:color="auto"/>
              <w:right w:val="single" w:sz="6" w:space="0" w:color="auto"/>
            </w:tcBorders>
            <w:hideMark/>
          </w:tcPr>
          <w:p w14:paraId="7E31B3DE" w14:textId="03FBA2B7"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Calibri" w:eastAsia="Times New Roman" w:hAnsi="Calibri" w:cs="Calibri"/>
                <w:szCs w:val="20"/>
                <w:lang w:eastAsia="en-GB"/>
              </w:rPr>
              <w:t>1567.67</w:t>
            </w:r>
          </w:p>
        </w:tc>
        <w:tc>
          <w:tcPr>
            <w:tcW w:w="1890" w:type="dxa"/>
            <w:tcBorders>
              <w:top w:val="single" w:sz="6" w:space="0" w:color="auto"/>
              <w:left w:val="single" w:sz="6" w:space="0" w:color="auto"/>
              <w:bottom w:val="single" w:sz="6" w:space="0" w:color="auto"/>
              <w:right w:val="single" w:sz="6" w:space="0" w:color="auto"/>
            </w:tcBorders>
            <w:hideMark/>
          </w:tcPr>
          <w:p w14:paraId="53CE3D17" w14:textId="77777777"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Calibri" w:eastAsia="Times New Roman" w:hAnsi="Calibri" w:cs="Calibri"/>
                <w:szCs w:val="20"/>
                <w:lang w:eastAsia="en-GB"/>
              </w:rPr>
              <w:t>104.51</w:t>
            </w:r>
          </w:p>
        </w:tc>
        <w:tc>
          <w:tcPr>
            <w:tcW w:w="1905" w:type="dxa"/>
            <w:tcBorders>
              <w:top w:val="single" w:sz="6" w:space="0" w:color="auto"/>
              <w:left w:val="single" w:sz="6" w:space="0" w:color="auto"/>
              <w:bottom w:val="single" w:sz="6" w:space="0" w:color="auto"/>
              <w:right w:val="single" w:sz="6" w:space="0" w:color="auto"/>
            </w:tcBorders>
            <w:hideMark/>
          </w:tcPr>
          <w:p w14:paraId="2A0A7559" w14:textId="679E01AC"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Calibri" w:eastAsia="Times New Roman" w:hAnsi="Calibri" w:cs="Calibri"/>
                <w:szCs w:val="20"/>
                <w:lang w:eastAsia="en-GB"/>
              </w:rPr>
              <w:t>27.4%</w:t>
            </w:r>
          </w:p>
        </w:tc>
      </w:tr>
      <w:tr w:rsidR="00664BE6" w:rsidRPr="00EA4C9B" w14:paraId="7A80EAA3" w14:textId="77777777" w:rsidTr="004F0767">
        <w:trPr>
          <w:trHeight w:val="45"/>
        </w:trPr>
        <w:tc>
          <w:tcPr>
            <w:tcW w:w="3495" w:type="dxa"/>
            <w:tcBorders>
              <w:top w:val="single" w:sz="6" w:space="0" w:color="auto"/>
              <w:left w:val="single" w:sz="6" w:space="0" w:color="auto"/>
              <w:bottom w:val="single" w:sz="6" w:space="0" w:color="auto"/>
              <w:right w:val="single" w:sz="6" w:space="0" w:color="auto"/>
            </w:tcBorders>
            <w:hideMark/>
          </w:tcPr>
          <w:p w14:paraId="576B4EE9" w14:textId="77777777" w:rsidR="00664BE6" w:rsidRPr="00EA4C9B" w:rsidRDefault="00664BE6" w:rsidP="00E252F4">
            <w:pPr>
              <w:pStyle w:val="Table"/>
              <w:rPr>
                <w:rFonts w:ascii="Segoe UI" w:eastAsia="Times New Roman" w:hAnsi="Segoe UI" w:cs="Segoe UI"/>
                <w:sz w:val="18"/>
                <w:szCs w:val="18"/>
                <w:lang w:eastAsia="en-GB"/>
              </w:rPr>
            </w:pPr>
            <w:r w:rsidRPr="00EA4C9B">
              <w:rPr>
                <w:szCs w:val="20"/>
              </w:rPr>
              <w:t>Levy on wastewater disposal in state-managed waters</w:t>
            </w:r>
          </w:p>
        </w:tc>
        <w:tc>
          <w:tcPr>
            <w:tcW w:w="1710" w:type="dxa"/>
            <w:tcBorders>
              <w:top w:val="single" w:sz="6" w:space="0" w:color="auto"/>
              <w:left w:val="single" w:sz="6" w:space="0" w:color="auto"/>
              <w:bottom w:val="single" w:sz="6" w:space="0" w:color="auto"/>
              <w:right w:val="single" w:sz="6" w:space="0" w:color="auto"/>
            </w:tcBorders>
            <w:hideMark/>
          </w:tcPr>
          <w:p w14:paraId="4ABF360F" w14:textId="33B3105B"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Calibri" w:eastAsia="Times New Roman" w:hAnsi="Calibri" w:cs="Calibri"/>
                <w:szCs w:val="20"/>
                <w:lang w:eastAsia="en-GB"/>
              </w:rPr>
              <w:t>260.25</w:t>
            </w:r>
          </w:p>
        </w:tc>
        <w:tc>
          <w:tcPr>
            <w:tcW w:w="1890" w:type="dxa"/>
            <w:tcBorders>
              <w:top w:val="single" w:sz="6" w:space="0" w:color="auto"/>
              <w:left w:val="single" w:sz="6" w:space="0" w:color="auto"/>
              <w:bottom w:val="single" w:sz="6" w:space="0" w:color="auto"/>
              <w:right w:val="single" w:sz="6" w:space="0" w:color="auto"/>
            </w:tcBorders>
            <w:hideMark/>
          </w:tcPr>
          <w:p w14:paraId="2489A921" w14:textId="778749F9"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Calibri" w:eastAsia="Times New Roman" w:hAnsi="Calibri" w:cs="Calibri"/>
                <w:szCs w:val="20"/>
                <w:lang w:eastAsia="en-GB"/>
              </w:rPr>
              <w:t>17.35</w:t>
            </w:r>
          </w:p>
        </w:tc>
        <w:tc>
          <w:tcPr>
            <w:tcW w:w="1905" w:type="dxa"/>
            <w:tcBorders>
              <w:top w:val="single" w:sz="6" w:space="0" w:color="auto"/>
              <w:left w:val="single" w:sz="6" w:space="0" w:color="auto"/>
              <w:bottom w:val="single" w:sz="6" w:space="0" w:color="auto"/>
              <w:right w:val="single" w:sz="6" w:space="0" w:color="auto"/>
            </w:tcBorders>
            <w:hideMark/>
          </w:tcPr>
          <w:p w14:paraId="502A1BFF" w14:textId="1C2DCA46" w:rsidR="00664BE6" w:rsidRPr="00EA4C9B" w:rsidRDefault="00664BE6" w:rsidP="00C4587F">
            <w:pPr>
              <w:pStyle w:val="Table"/>
              <w:jc w:val="center"/>
              <w:rPr>
                <w:rFonts w:ascii="Segoe UI" w:eastAsia="Times New Roman" w:hAnsi="Segoe UI" w:cs="Segoe UI"/>
                <w:sz w:val="18"/>
                <w:szCs w:val="18"/>
                <w:lang w:eastAsia="en-GB"/>
              </w:rPr>
            </w:pPr>
            <w:r w:rsidRPr="00EA4C9B">
              <w:rPr>
                <w:rFonts w:ascii="Calibri" w:eastAsia="Times New Roman" w:hAnsi="Calibri" w:cs="Calibri"/>
                <w:szCs w:val="20"/>
                <w:lang w:eastAsia="en-GB"/>
              </w:rPr>
              <w:t>4.5%</w:t>
            </w:r>
          </w:p>
        </w:tc>
      </w:tr>
      <w:tr w:rsidR="00664BE6" w:rsidRPr="00EA4C9B" w14:paraId="7085B236" w14:textId="77777777" w:rsidTr="004F0767">
        <w:trPr>
          <w:trHeight w:val="45"/>
        </w:trPr>
        <w:tc>
          <w:tcPr>
            <w:tcW w:w="3495" w:type="dxa"/>
            <w:tcBorders>
              <w:top w:val="single" w:sz="6" w:space="0" w:color="auto"/>
              <w:left w:val="single" w:sz="6" w:space="0" w:color="auto"/>
              <w:bottom w:val="single" w:sz="6" w:space="0" w:color="auto"/>
              <w:right w:val="single" w:sz="6" w:space="0" w:color="auto"/>
            </w:tcBorders>
          </w:tcPr>
          <w:p w14:paraId="3EB669B9" w14:textId="77777777" w:rsidR="00664BE6" w:rsidRPr="00EA4C9B" w:rsidRDefault="00664BE6" w:rsidP="00E252F4">
            <w:pPr>
              <w:pStyle w:val="Table"/>
              <w:rPr>
                <w:szCs w:val="20"/>
              </w:rPr>
            </w:pPr>
            <w:r w:rsidRPr="00EA4C9B">
              <w:rPr>
                <w:szCs w:val="20"/>
              </w:rPr>
              <w:t>Packaging tax</w:t>
            </w:r>
          </w:p>
        </w:tc>
        <w:tc>
          <w:tcPr>
            <w:tcW w:w="1710" w:type="dxa"/>
            <w:tcBorders>
              <w:top w:val="single" w:sz="6" w:space="0" w:color="auto"/>
              <w:left w:val="single" w:sz="6" w:space="0" w:color="auto"/>
              <w:bottom w:val="single" w:sz="6" w:space="0" w:color="auto"/>
              <w:right w:val="single" w:sz="6" w:space="0" w:color="auto"/>
            </w:tcBorders>
          </w:tcPr>
          <w:p w14:paraId="7702B772" w14:textId="77777777" w:rsidR="00664BE6" w:rsidRPr="00EA4C9B" w:rsidRDefault="00664BE6" w:rsidP="00C4587F">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3895.30</w:t>
            </w:r>
          </w:p>
        </w:tc>
        <w:tc>
          <w:tcPr>
            <w:tcW w:w="1890" w:type="dxa"/>
            <w:tcBorders>
              <w:top w:val="single" w:sz="6" w:space="0" w:color="auto"/>
              <w:left w:val="single" w:sz="6" w:space="0" w:color="auto"/>
              <w:bottom w:val="single" w:sz="6" w:space="0" w:color="auto"/>
              <w:right w:val="single" w:sz="6" w:space="0" w:color="auto"/>
            </w:tcBorders>
          </w:tcPr>
          <w:p w14:paraId="3E447711" w14:textId="77777777" w:rsidR="00664BE6" w:rsidRPr="00EA4C9B" w:rsidRDefault="00664BE6" w:rsidP="00C4587F">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259.69</w:t>
            </w:r>
          </w:p>
        </w:tc>
        <w:tc>
          <w:tcPr>
            <w:tcW w:w="1905" w:type="dxa"/>
            <w:tcBorders>
              <w:top w:val="single" w:sz="6" w:space="0" w:color="auto"/>
              <w:left w:val="single" w:sz="6" w:space="0" w:color="auto"/>
              <w:bottom w:val="single" w:sz="6" w:space="0" w:color="auto"/>
              <w:right w:val="single" w:sz="6" w:space="0" w:color="auto"/>
            </w:tcBorders>
          </w:tcPr>
          <w:p w14:paraId="63989B2B" w14:textId="77777777" w:rsidR="00664BE6" w:rsidRPr="00EA4C9B" w:rsidRDefault="00664BE6" w:rsidP="00C4587F">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68.1%</w:t>
            </w:r>
          </w:p>
        </w:tc>
      </w:tr>
    </w:tbl>
    <w:p w14:paraId="5412A98B" w14:textId="77777777" w:rsidR="00664BE6" w:rsidRPr="00EA4C9B" w:rsidRDefault="00664BE6" w:rsidP="00664BE6"/>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5"/>
        <w:gridCol w:w="1710"/>
        <w:gridCol w:w="1890"/>
        <w:gridCol w:w="1905"/>
      </w:tblGrid>
      <w:tr w:rsidR="00664BE6" w:rsidRPr="00EA4C9B" w14:paraId="5639A00D" w14:textId="77777777" w:rsidTr="004F0767">
        <w:trPr>
          <w:trHeight w:val="120"/>
        </w:trPr>
        <w:tc>
          <w:tcPr>
            <w:tcW w:w="9000"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6AFF10EF" w14:textId="2B9E1B9A" w:rsidR="00664BE6" w:rsidRPr="00E252F4" w:rsidRDefault="00664BE6" w:rsidP="00E252F4">
            <w:pPr>
              <w:pStyle w:val="Table"/>
              <w:rPr>
                <w:rFonts w:ascii="Segoe UI" w:eastAsia="Times New Roman" w:hAnsi="Segoe UI" w:cs="Segoe UI"/>
                <w:b/>
                <w:color w:val="FFFFFF" w:themeColor="background1"/>
                <w:sz w:val="18"/>
                <w:szCs w:val="18"/>
                <w:lang w:eastAsia="en-GB"/>
              </w:rPr>
            </w:pPr>
            <w:r w:rsidRPr="00E252F4">
              <w:rPr>
                <w:b/>
                <w:color w:val="FFFFFF" w:themeColor="background1"/>
              </w:rPr>
              <w:lastRenderedPageBreak/>
              <w:t xml:space="preserve">Table </w:t>
            </w:r>
            <w:r w:rsidR="00490085">
              <w:rPr>
                <w:b/>
                <w:color w:val="FFFFFF" w:themeColor="background1"/>
              </w:rPr>
              <w:t>A6</w:t>
            </w:r>
            <w:r w:rsidR="00E252F4" w:rsidRPr="00E252F4">
              <w:rPr>
                <w:b/>
                <w:bCs/>
                <w:color w:val="FFFFFF" w:themeColor="background1"/>
              </w:rPr>
              <w:t>-</w:t>
            </w:r>
            <w:r w:rsidR="00E252F4" w:rsidRPr="00E252F4">
              <w:rPr>
                <w:b/>
                <w:bCs/>
                <w:color w:val="FFFFFF" w:themeColor="background1"/>
              </w:rPr>
              <w:fldChar w:fldCharType="begin"/>
            </w:r>
            <w:r w:rsidR="00E252F4" w:rsidRPr="00E252F4">
              <w:rPr>
                <w:b/>
                <w:bCs/>
                <w:color w:val="FFFFFF" w:themeColor="background1"/>
              </w:rPr>
              <w:instrText xml:space="preserve"> SEQ Table_A5- \* ARABIC </w:instrText>
            </w:r>
            <w:r w:rsidR="00E252F4" w:rsidRPr="00E252F4">
              <w:rPr>
                <w:b/>
                <w:bCs/>
                <w:color w:val="FFFFFF" w:themeColor="background1"/>
              </w:rPr>
              <w:fldChar w:fldCharType="separate"/>
            </w:r>
            <w:r w:rsidR="00C4587F">
              <w:rPr>
                <w:b/>
                <w:bCs/>
                <w:noProof/>
                <w:color w:val="FFFFFF" w:themeColor="background1"/>
              </w:rPr>
              <w:t>99</w:t>
            </w:r>
            <w:r w:rsidR="00E252F4" w:rsidRPr="00E252F4">
              <w:rPr>
                <w:b/>
                <w:bCs/>
                <w:color w:val="FFFFFF" w:themeColor="background1"/>
              </w:rPr>
              <w:fldChar w:fldCharType="end"/>
            </w:r>
            <w:r w:rsidRPr="00E252F4">
              <w:rPr>
                <w:rFonts w:ascii="Calibri" w:eastAsia="Times New Roman" w:hAnsi="Calibri" w:cs="Calibri"/>
                <w:b/>
                <w:color w:val="FFFFFF" w:themeColor="background1"/>
                <w:szCs w:val="20"/>
                <w:lang w:eastAsia="en-GB"/>
              </w:rPr>
              <w:t>:  Resource taxes  </w:t>
            </w:r>
          </w:p>
        </w:tc>
      </w:tr>
      <w:tr w:rsidR="00664BE6" w:rsidRPr="00EA4C9B" w14:paraId="66DEAFEB" w14:textId="77777777" w:rsidTr="004F0767">
        <w:trPr>
          <w:trHeight w:val="45"/>
        </w:trPr>
        <w:tc>
          <w:tcPr>
            <w:tcW w:w="3495" w:type="dxa"/>
            <w:tcBorders>
              <w:top w:val="single" w:sz="6" w:space="0" w:color="auto"/>
              <w:left w:val="single" w:sz="6" w:space="0" w:color="auto"/>
              <w:bottom w:val="single" w:sz="6" w:space="0" w:color="auto"/>
              <w:right w:val="single" w:sz="6" w:space="0" w:color="auto"/>
            </w:tcBorders>
            <w:hideMark/>
          </w:tcPr>
          <w:p w14:paraId="7BBDFCE5" w14:textId="77777777" w:rsidR="00664BE6" w:rsidRPr="00EA4C9B" w:rsidRDefault="00664BE6" w:rsidP="00E252F4">
            <w:pPr>
              <w:pStyle w:val="Table"/>
              <w:rPr>
                <w:rFonts w:ascii="Segoe UI" w:eastAsia="Times New Roman" w:hAnsi="Segoe UI" w:cs="Segoe UI"/>
                <w:sz w:val="18"/>
                <w:szCs w:val="18"/>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0" w:type="dxa"/>
            <w:tcBorders>
              <w:top w:val="single" w:sz="6" w:space="0" w:color="auto"/>
              <w:left w:val="single" w:sz="6" w:space="0" w:color="auto"/>
              <w:bottom w:val="single" w:sz="6" w:space="0" w:color="auto"/>
              <w:right w:val="single" w:sz="6" w:space="0" w:color="auto"/>
            </w:tcBorders>
            <w:hideMark/>
          </w:tcPr>
          <w:p w14:paraId="429BC5CB" w14:textId="6A81483E" w:rsidR="00664BE6" w:rsidRPr="00BA7936" w:rsidRDefault="00664BE6" w:rsidP="00BA7936">
            <w:pPr>
              <w:pStyle w:val="Table"/>
              <w:jc w:val="center"/>
              <w:rPr>
                <w:rFonts w:eastAsia="Times New Roman" w:cstheme="minorHAnsi"/>
                <w:sz w:val="18"/>
                <w:szCs w:val="18"/>
                <w:lang w:eastAsia="en-GB"/>
              </w:rPr>
            </w:pPr>
            <w:r w:rsidRPr="00BA7936">
              <w:rPr>
                <w:rFonts w:eastAsia="Times New Roman" w:cstheme="minorHAnsi"/>
                <w:b/>
                <w:szCs w:val="20"/>
                <w:lang w:eastAsia="en-GB"/>
              </w:rPr>
              <w:t>Revenue (€ million)</w:t>
            </w:r>
          </w:p>
          <w:p w14:paraId="6CFFC619" w14:textId="7CBD5CD8" w:rsidR="00664BE6" w:rsidRPr="00BA7936" w:rsidRDefault="00664BE6" w:rsidP="00BA7936">
            <w:pPr>
              <w:pStyle w:val="Table"/>
              <w:jc w:val="center"/>
              <w:rPr>
                <w:rFonts w:eastAsia="Times New Roman" w:cstheme="minorHAnsi"/>
                <w:sz w:val="18"/>
                <w:szCs w:val="18"/>
                <w:lang w:eastAsia="en-GB"/>
              </w:rPr>
            </w:pPr>
            <w:r w:rsidRPr="00BA7936">
              <w:rPr>
                <w:rFonts w:eastAsia="Times New Roman" w:cstheme="minorHAnsi"/>
                <w:b/>
                <w:szCs w:val="20"/>
                <w:lang w:eastAsia="en-GB"/>
              </w:rPr>
              <w:t>2009-2023</w:t>
            </w:r>
          </w:p>
        </w:tc>
        <w:tc>
          <w:tcPr>
            <w:tcW w:w="1890" w:type="dxa"/>
            <w:tcBorders>
              <w:top w:val="single" w:sz="6" w:space="0" w:color="auto"/>
              <w:left w:val="single" w:sz="6" w:space="0" w:color="auto"/>
              <w:bottom w:val="single" w:sz="6" w:space="0" w:color="auto"/>
              <w:right w:val="single" w:sz="6" w:space="0" w:color="auto"/>
            </w:tcBorders>
            <w:hideMark/>
          </w:tcPr>
          <w:p w14:paraId="2B5FA69E" w14:textId="079FC102" w:rsidR="00664BE6" w:rsidRPr="00BA7936" w:rsidRDefault="00664BE6" w:rsidP="00BA7936">
            <w:pPr>
              <w:pStyle w:val="Table"/>
              <w:jc w:val="center"/>
              <w:rPr>
                <w:rFonts w:eastAsia="Times New Roman" w:cstheme="minorHAnsi"/>
                <w:sz w:val="18"/>
                <w:szCs w:val="18"/>
                <w:lang w:eastAsia="en-GB"/>
              </w:rPr>
            </w:pPr>
            <w:r w:rsidRPr="00BA7936">
              <w:rPr>
                <w:rFonts w:eastAsia="Times New Roman" w:cstheme="minorHAnsi"/>
                <w:b/>
                <w:szCs w:val="20"/>
                <w:lang w:eastAsia="en-GB"/>
              </w:rPr>
              <w:t>Average annual revenue (€ million)</w:t>
            </w:r>
          </w:p>
        </w:tc>
        <w:tc>
          <w:tcPr>
            <w:tcW w:w="1905" w:type="dxa"/>
            <w:tcBorders>
              <w:top w:val="single" w:sz="6" w:space="0" w:color="auto"/>
              <w:left w:val="single" w:sz="6" w:space="0" w:color="auto"/>
              <w:bottom w:val="single" w:sz="6" w:space="0" w:color="auto"/>
              <w:right w:val="single" w:sz="6" w:space="0" w:color="auto"/>
            </w:tcBorders>
            <w:hideMark/>
          </w:tcPr>
          <w:p w14:paraId="0F87C6B4" w14:textId="16BC2AD8" w:rsidR="00664BE6" w:rsidRPr="00BA7936" w:rsidRDefault="00664BE6" w:rsidP="00BA7936">
            <w:pPr>
              <w:pStyle w:val="Table"/>
              <w:jc w:val="center"/>
              <w:rPr>
                <w:rFonts w:eastAsia="Times New Roman" w:cstheme="minorHAnsi"/>
                <w:sz w:val="18"/>
                <w:szCs w:val="18"/>
                <w:lang w:eastAsia="en-GB"/>
              </w:rPr>
            </w:pPr>
            <w:r w:rsidRPr="00BA7936">
              <w:rPr>
                <w:rFonts w:eastAsia="Times New Roman" w:cstheme="minorHAnsi"/>
                <w:b/>
                <w:szCs w:val="20"/>
                <w:lang w:eastAsia="en-GB"/>
              </w:rPr>
              <w:t>As share of all resource tax revenues</w:t>
            </w:r>
          </w:p>
        </w:tc>
      </w:tr>
      <w:tr w:rsidR="00664BE6" w:rsidRPr="00EA4C9B" w14:paraId="2C4FCD3D" w14:textId="77777777" w:rsidTr="004F0767">
        <w:trPr>
          <w:trHeight w:val="90"/>
        </w:trPr>
        <w:tc>
          <w:tcPr>
            <w:tcW w:w="3495" w:type="dxa"/>
            <w:tcBorders>
              <w:top w:val="single" w:sz="6" w:space="0" w:color="auto"/>
              <w:left w:val="single" w:sz="6" w:space="0" w:color="auto"/>
              <w:bottom w:val="single" w:sz="6" w:space="0" w:color="auto"/>
              <w:right w:val="single" w:sz="6" w:space="0" w:color="auto"/>
            </w:tcBorders>
            <w:hideMark/>
          </w:tcPr>
          <w:p w14:paraId="080FC3FC" w14:textId="77777777" w:rsidR="00664BE6" w:rsidRPr="00EA4C9B" w:rsidRDefault="00664BE6" w:rsidP="00E252F4">
            <w:pPr>
              <w:pStyle w:val="Table"/>
              <w:rPr>
                <w:rFonts w:ascii="Segoe UI" w:eastAsia="Times New Roman" w:hAnsi="Segoe UI" w:cs="Segoe UI"/>
                <w:sz w:val="18"/>
                <w:szCs w:val="18"/>
                <w:lang w:eastAsia="en-GB"/>
              </w:rPr>
            </w:pPr>
            <w:r w:rsidRPr="00EA4C9B">
              <w:rPr>
                <w:szCs w:val="20"/>
              </w:rPr>
              <w:t>Tap water tax</w:t>
            </w:r>
          </w:p>
        </w:tc>
        <w:tc>
          <w:tcPr>
            <w:tcW w:w="1710" w:type="dxa"/>
            <w:tcBorders>
              <w:top w:val="single" w:sz="6" w:space="0" w:color="auto"/>
              <w:left w:val="single" w:sz="6" w:space="0" w:color="auto"/>
              <w:bottom w:val="single" w:sz="6" w:space="0" w:color="auto"/>
              <w:right w:val="single" w:sz="6" w:space="0" w:color="auto"/>
            </w:tcBorders>
            <w:hideMark/>
          </w:tcPr>
          <w:p w14:paraId="5FDE4674" w14:textId="77777777" w:rsidR="00664BE6" w:rsidRPr="00BA7936" w:rsidRDefault="00664BE6" w:rsidP="00BA7936">
            <w:pPr>
              <w:pStyle w:val="Table"/>
              <w:jc w:val="center"/>
              <w:rPr>
                <w:rFonts w:eastAsia="Times New Roman" w:cstheme="minorHAnsi"/>
                <w:sz w:val="18"/>
                <w:szCs w:val="18"/>
                <w:lang w:eastAsia="en-GB"/>
              </w:rPr>
            </w:pPr>
            <w:r w:rsidRPr="00BA7936">
              <w:rPr>
                <w:rFonts w:eastAsia="Times New Roman" w:cstheme="minorHAnsi"/>
                <w:sz w:val="18"/>
                <w:szCs w:val="18"/>
                <w:lang w:eastAsia="en-GB"/>
              </w:rPr>
              <w:t>3491.38</w:t>
            </w:r>
          </w:p>
        </w:tc>
        <w:tc>
          <w:tcPr>
            <w:tcW w:w="1890" w:type="dxa"/>
            <w:tcBorders>
              <w:top w:val="single" w:sz="6" w:space="0" w:color="auto"/>
              <w:left w:val="single" w:sz="6" w:space="0" w:color="auto"/>
              <w:bottom w:val="single" w:sz="6" w:space="0" w:color="auto"/>
              <w:right w:val="single" w:sz="6" w:space="0" w:color="auto"/>
            </w:tcBorders>
            <w:hideMark/>
          </w:tcPr>
          <w:p w14:paraId="6D41BAE9" w14:textId="77777777" w:rsidR="00664BE6" w:rsidRPr="00BA7936" w:rsidRDefault="00664BE6" w:rsidP="00BA7936">
            <w:pPr>
              <w:pStyle w:val="Table"/>
              <w:jc w:val="center"/>
              <w:rPr>
                <w:rFonts w:eastAsia="Times New Roman" w:cstheme="minorHAnsi"/>
                <w:sz w:val="18"/>
                <w:szCs w:val="18"/>
                <w:lang w:eastAsia="en-GB"/>
              </w:rPr>
            </w:pPr>
            <w:r w:rsidRPr="00BA7936">
              <w:rPr>
                <w:rFonts w:eastAsia="Times New Roman" w:cstheme="minorHAnsi"/>
                <w:sz w:val="18"/>
                <w:szCs w:val="18"/>
                <w:lang w:eastAsia="en-GB"/>
              </w:rPr>
              <w:t>232.76</w:t>
            </w:r>
          </w:p>
        </w:tc>
        <w:tc>
          <w:tcPr>
            <w:tcW w:w="1905" w:type="dxa"/>
            <w:tcBorders>
              <w:top w:val="single" w:sz="6" w:space="0" w:color="auto"/>
              <w:left w:val="single" w:sz="6" w:space="0" w:color="auto"/>
              <w:bottom w:val="single" w:sz="6" w:space="0" w:color="auto"/>
              <w:right w:val="single" w:sz="6" w:space="0" w:color="auto"/>
            </w:tcBorders>
            <w:hideMark/>
          </w:tcPr>
          <w:p w14:paraId="0DAC76A2" w14:textId="77777777" w:rsidR="00664BE6" w:rsidRPr="00BA7936" w:rsidRDefault="00664BE6" w:rsidP="00BA7936">
            <w:pPr>
              <w:pStyle w:val="Table"/>
              <w:jc w:val="center"/>
              <w:rPr>
                <w:rFonts w:eastAsia="Times New Roman" w:cstheme="minorHAnsi"/>
                <w:sz w:val="18"/>
                <w:szCs w:val="18"/>
                <w:lang w:eastAsia="en-GB"/>
              </w:rPr>
            </w:pPr>
            <w:r w:rsidRPr="00BA7936">
              <w:rPr>
                <w:rFonts w:eastAsia="Times New Roman" w:cstheme="minorHAnsi"/>
                <w:sz w:val="18"/>
                <w:szCs w:val="18"/>
                <w:lang w:eastAsia="en-GB"/>
              </w:rPr>
              <w:t>64.1%</w:t>
            </w:r>
          </w:p>
        </w:tc>
      </w:tr>
      <w:tr w:rsidR="00664BE6" w:rsidRPr="00EA4C9B" w14:paraId="081E3C9F" w14:textId="77777777" w:rsidTr="004F0767">
        <w:trPr>
          <w:trHeight w:val="75"/>
        </w:trPr>
        <w:tc>
          <w:tcPr>
            <w:tcW w:w="3495" w:type="dxa"/>
            <w:tcBorders>
              <w:top w:val="single" w:sz="6" w:space="0" w:color="auto"/>
              <w:left w:val="single" w:sz="6" w:space="0" w:color="auto"/>
              <w:bottom w:val="single" w:sz="6" w:space="0" w:color="auto"/>
              <w:right w:val="single" w:sz="6" w:space="0" w:color="auto"/>
            </w:tcBorders>
            <w:hideMark/>
          </w:tcPr>
          <w:p w14:paraId="0C817355" w14:textId="77777777" w:rsidR="00664BE6" w:rsidRPr="00EA4C9B" w:rsidRDefault="00664BE6" w:rsidP="00E252F4">
            <w:pPr>
              <w:pStyle w:val="Table"/>
              <w:rPr>
                <w:rFonts w:ascii="Segoe UI" w:eastAsia="Times New Roman" w:hAnsi="Segoe UI" w:cs="Segoe UI"/>
                <w:sz w:val="18"/>
                <w:szCs w:val="18"/>
                <w:lang w:eastAsia="en-GB"/>
              </w:rPr>
            </w:pPr>
            <w:r w:rsidRPr="00EA4C9B">
              <w:rPr>
                <w:szCs w:val="20"/>
              </w:rPr>
              <w:t>Groundwater tax</w:t>
            </w:r>
          </w:p>
        </w:tc>
        <w:tc>
          <w:tcPr>
            <w:tcW w:w="1710" w:type="dxa"/>
            <w:tcBorders>
              <w:top w:val="single" w:sz="6" w:space="0" w:color="auto"/>
              <w:left w:val="single" w:sz="6" w:space="0" w:color="auto"/>
              <w:bottom w:val="single" w:sz="6" w:space="0" w:color="auto"/>
              <w:right w:val="single" w:sz="6" w:space="0" w:color="auto"/>
            </w:tcBorders>
            <w:hideMark/>
          </w:tcPr>
          <w:p w14:paraId="5D323302" w14:textId="77777777" w:rsidR="00664BE6" w:rsidRPr="00BA7936" w:rsidRDefault="00664BE6" w:rsidP="00BA7936">
            <w:pPr>
              <w:pStyle w:val="Table"/>
              <w:jc w:val="center"/>
              <w:rPr>
                <w:rFonts w:eastAsia="Times New Roman" w:cstheme="minorHAnsi"/>
                <w:sz w:val="18"/>
                <w:szCs w:val="18"/>
                <w:lang w:eastAsia="en-GB"/>
              </w:rPr>
            </w:pPr>
            <w:r w:rsidRPr="00BA7936">
              <w:rPr>
                <w:rFonts w:eastAsia="Times New Roman" w:cstheme="minorHAnsi"/>
                <w:sz w:val="18"/>
                <w:szCs w:val="18"/>
                <w:lang w:eastAsia="en-GB"/>
              </w:rPr>
              <w:t>522.13</w:t>
            </w:r>
          </w:p>
        </w:tc>
        <w:tc>
          <w:tcPr>
            <w:tcW w:w="1890" w:type="dxa"/>
            <w:tcBorders>
              <w:top w:val="single" w:sz="6" w:space="0" w:color="auto"/>
              <w:left w:val="single" w:sz="6" w:space="0" w:color="auto"/>
              <w:bottom w:val="single" w:sz="6" w:space="0" w:color="auto"/>
              <w:right w:val="single" w:sz="6" w:space="0" w:color="auto"/>
            </w:tcBorders>
            <w:hideMark/>
          </w:tcPr>
          <w:p w14:paraId="69DBB73B" w14:textId="77777777" w:rsidR="00664BE6" w:rsidRPr="00BA7936" w:rsidRDefault="00664BE6" w:rsidP="00BA7936">
            <w:pPr>
              <w:pStyle w:val="Table"/>
              <w:jc w:val="center"/>
              <w:rPr>
                <w:rFonts w:eastAsia="Times New Roman" w:cstheme="minorHAnsi"/>
                <w:sz w:val="18"/>
                <w:szCs w:val="18"/>
                <w:lang w:eastAsia="en-GB"/>
              </w:rPr>
            </w:pPr>
            <w:r w:rsidRPr="00BA7936">
              <w:rPr>
                <w:rFonts w:eastAsia="Times New Roman" w:cstheme="minorHAnsi"/>
                <w:sz w:val="18"/>
                <w:szCs w:val="18"/>
                <w:lang w:eastAsia="en-GB"/>
              </w:rPr>
              <w:t>130.53</w:t>
            </w:r>
          </w:p>
        </w:tc>
        <w:tc>
          <w:tcPr>
            <w:tcW w:w="1905" w:type="dxa"/>
            <w:tcBorders>
              <w:top w:val="single" w:sz="6" w:space="0" w:color="auto"/>
              <w:left w:val="single" w:sz="6" w:space="0" w:color="auto"/>
              <w:bottom w:val="single" w:sz="6" w:space="0" w:color="auto"/>
              <w:right w:val="single" w:sz="6" w:space="0" w:color="auto"/>
            </w:tcBorders>
            <w:hideMark/>
          </w:tcPr>
          <w:p w14:paraId="2D1134AB" w14:textId="77777777" w:rsidR="00664BE6" w:rsidRPr="00BA7936" w:rsidRDefault="00664BE6" w:rsidP="00BA7936">
            <w:pPr>
              <w:pStyle w:val="Table"/>
              <w:jc w:val="center"/>
              <w:rPr>
                <w:rFonts w:eastAsia="Times New Roman" w:cstheme="minorHAnsi"/>
                <w:sz w:val="18"/>
                <w:szCs w:val="18"/>
                <w:lang w:eastAsia="en-GB"/>
              </w:rPr>
            </w:pPr>
            <w:r w:rsidRPr="00BA7936">
              <w:rPr>
                <w:rFonts w:eastAsia="Times New Roman" w:cstheme="minorHAnsi"/>
                <w:sz w:val="18"/>
                <w:szCs w:val="18"/>
                <w:lang w:eastAsia="en-GB"/>
              </w:rPr>
              <w:t>36.0%</w:t>
            </w:r>
          </w:p>
        </w:tc>
      </w:tr>
    </w:tbl>
    <w:p w14:paraId="0B085198" w14:textId="77777777" w:rsidR="00664BE6" w:rsidRPr="00EA4C9B" w:rsidRDefault="00664BE6" w:rsidP="00664BE6"/>
    <w:tbl>
      <w:tblPr>
        <w:tblStyle w:val="TableGrid"/>
        <w:tblpPr w:leftFromText="180" w:rightFromText="180" w:vertAnchor="text" w:horzAnchor="margin" w:tblpY="104"/>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4500"/>
        <w:gridCol w:w="4500"/>
      </w:tblGrid>
      <w:tr w:rsidR="00664BE6" w:rsidRPr="00EA4C9B" w14:paraId="7647D72C" w14:textId="77777777">
        <w:trPr>
          <w:trHeight w:val="300"/>
        </w:trPr>
        <w:tc>
          <w:tcPr>
            <w:tcW w:w="9000" w:type="dxa"/>
            <w:gridSpan w:val="2"/>
            <w:shd w:val="clear" w:color="auto" w:fill="003399"/>
            <w:tcMar>
              <w:left w:w="105" w:type="dxa"/>
              <w:right w:w="105" w:type="dxa"/>
            </w:tcMar>
          </w:tcPr>
          <w:p w14:paraId="592EDFAD" w14:textId="66DD8634" w:rsidR="00664BE6" w:rsidRPr="00E252F4" w:rsidRDefault="00664BE6" w:rsidP="00E252F4">
            <w:pPr>
              <w:pStyle w:val="Table"/>
              <w:rPr>
                <w:b/>
              </w:rPr>
            </w:pPr>
            <w:r w:rsidRPr="00E252F4">
              <w:rPr>
                <w:b/>
                <w:color w:val="FFFFFF" w:themeColor="background1"/>
              </w:rPr>
              <w:t xml:space="preserve">Table </w:t>
            </w:r>
            <w:r w:rsidR="00490085">
              <w:rPr>
                <w:b/>
                <w:color w:val="FFFFFF" w:themeColor="background1"/>
              </w:rPr>
              <w:t>A6</w:t>
            </w:r>
            <w:r w:rsidR="00E252F4" w:rsidRPr="00E252F4">
              <w:rPr>
                <w:b/>
                <w:bCs/>
                <w:color w:val="FFFFFF" w:themeColor="background1"/>
              </w:rPr>
              <w:t>-</w:t>
            </w:r>
            <w:r w:rsidR="00E252F4" w:rsidRPr="00E252F4">
              <w:rPr>
                <w:b/>
                <w:bCs/>
                <w:color w:val="FFFFFF" w:themeColor="background1"/>
              </w:rPr>
              <w:fldChar w:fldCharType="begin"/>
            </w:r>
            <w:r w:rsidR="00E252F4" w:rsidRPr="00E252F4">
              <w:rPr>
                <w:b/>
                <w:bCs/>
                <w:color w:val="FFFFFF" w:themeColor="background1"/>
              </w:rPr>
              <w:instrText xml:space="preserve"> SEQ Table_A5- \* ARABIC </w:instrText>
            </w:r>
            <w:r w:rsidR="00E252F4" w:rsidRPr="00E252F4">
              <w:rPr>
                <w:b/>
                <w:bCs/>
                <w:color w:val="FFFFFF" w:themeColor="background1"/>
              </w:rPr>
              <w:fldChar w:fldCharType="separate"/>
            </w:r>
            <w:r w:rsidR="00C4587F">
              <w:rPr>
                <w:b/>
                <w:bCs/>
                <w:noProof/>
                <w:color w:val="FFFFFF" w:themeColor="background1"/>
              </w:rPr>
              <w:t>100</w:t>
            </w:r>
            <w:r w:rsidR="00E252F4" w:rsidRPr="00E252F4">
              <w:rPr>
                <w:b/>
                <w:bCs/>
                <w:color w:val="FFFFFF" w:themeColor="background1"/>
              </w:rPr>
              <w:fldChar w:fldCharType="end"/>
            </w:r>
            <w:r w:rsidRPr="00E252F4">
              <w:rPr>
                <w:b/>
                <w:color w:val="FFFFFF" w:themeColor="background1"/>
              </w:rPr>
              <w:t>: Other environmental taxes not reported in the National Tax Lists</w:t>
            </w:r>
          </w:p>
        </w:tc>
      </w:tr>
      <w:tr w:rsidR="00664BE6" w:rsidRPr="00EA4C9B" w14:paraId="4A2D35CE" w14:textId="77777777">
        <w:trPr>
          <w:trHeight w:val="300"/>
        </w:trPr>
        <w:tc>
          <w:tcPr>
            <w:tcW w:w="4500" w:type="dxa"/>
            <w:tcMar>
              <w:left w:w="105" w:type="dxa"/>
              <w:right w:w="105" w:type="dxa"/>
            </w:tcMar>
          </w:tcPr>
          <w:p w14:paraId="3D169F55" w14:textId="77777777" w:rsidR="00664BE6" w:rsidRPr="00E252F4" w:rsidRDefault="00664BE6" w:rsidP="00E252F4">
            <w:pPr>
              <w:pStyle w:val="Table"/>
              <w:rPr>
                <w:b/>
              </w:rPr>
            </w:pPr>
            <w:r w:rsidRPr="00E252F4">
              <w:rPr>
                <w:b/>
              </w:rPr>
              <w:t>Tax Name</w:t>
            </w:r>
          </w:p>
        </w:tc>
        <w:tc>
          <w:tcPr>
            <w:tcW w:w="4500" w:type="dxa"/>
            <w:tcMar>
              <w:left w:w="105" w:type="dxa"/>
              <w:right w:w="105" w:type="dxa"/>
            </w:tcMar>
          </w:tcPr>
          <w:p w14:paraId="08DE108A" w14:textId="15EA8FE4" w:rsidR="00664BE6" w:rsidRPr="00C4587F" w:rsidRDefault="00664BE6" w:rsidP="00C4587F">
            <w:pPr>
              <w:pStyle w:val="Table"/>
              <w:jc w:val="center"/>
              <w:rPr>
                <w:rFonts w:ascii="Calibri" w:eastAsia="Calibri" w:hAnsi="Calibri" w:cs="Calibri"/>
                <w:szCs w:val="20"/>
              </w:rPr>
            </w:pPr>
            <w:r w:rsidRPr="00E252F4">
              <w:rPr>
                <w:b/>
              </w:rPr>
              <w:t>Annual revenue</w:t>
            </w:r>
            <w:r w:rsidR="00C4587F">
              <w:rPr>
                <w:rFonts w:ascii="Calibri" w:eastAsia="Calibri" w:hAnsi="Calibri" w:cs="Calibri"/>
                <w:szCs w:val="20"/>
              </w:rPr>
              <w:t xml:space="preserve"> </w:t>
            </w:r>
            <w:r w:rsidRPr="00E252F4">
              <w:rPr>
                <w:b/>
              </w:rPr>
              <w:t>(€ million) in 2022</w:t>
            </w:r>
          </w:p>
        </w:tc>
      </w:tr>
      <w:tr w:rsidR="00664BE6" w:rsidRPr="00EA4C9B" w14:paraId="72DEAFB8" w14:textId="77777777">
        <w:trPr>
          <w:trHeight w:val="300"/>
        </w:trPr>
        <w:tc>
          <w:tcPr>
            <w:tcW w:w="4500" w:type="dxa"/>
            <w:tcMar>
              <w:left w:w="105" w:type="dxa"/>
              <w:right w:w="105" w:type="dxa"/>
            </w:tcMar>
          </w:tcPr>
          <w:p w14:paraId="4375F81A" w14:textId="77777777" w:rsidR="00664BE6" w:rsidRPr="00EA4C9B" w:rsidRDefault="00664BE6" w:rsidP="00E252F4">
            <w:pPr>
              <w:pStyle w:val="Table"/>
            </w:pPr>
            <w:r w:rsidRPr="00EA4C9B">
              <w:t>Tax on the pollution of surface waters</w:t>
            </w:r>
          </w:p>
        </w:tc>
        <w:tc>
          <w:tcPr>
            <w:tcW w:w="4500" w:type="dxa"/>
            <w:tcMar>
              <w:left w:w="105" w:type="dxa"/>
              <w:right w:w="105" w:type="dxa"/>
            </w:tcMar>
          </w:tcPr>
          <w:p w14:paraId="04169F02" w14:textId="525F2E2B" w:rsidR="00664BE6" w:rsidRPr="00C4587F" w:rsidRDefault="00664BE6" w:rsidP="00C4587F">
            <w:pPr>
              <w:pStyle w:val="Table"/>
              <w:jc w:val="center"/>
              <w:rPr>
                <w:szCs w:val="20"/>
              </w:rPr>
            </w:pPr>
            <w:r w:rsidRPr="00EA4C9B">
              <w:t>17</w:t>
            </w:r>
            <w:r w:rsidR="00C4587F">
              <w:rPr>
                <w:szCs w:val="20"/>
              </w:rPr>
              <w:t xml:space="preserve"> </w:t>
            </w:r>
            <w:r w:rsidRPr="00EA4C9B">
              <w:t>(source: OECD PINE database)</w:t>
            </w:r>
          </w:p>
        </w:tc>
      </w:tr>
    </w:tbl>
    <w:p w14:paraId="6408152F" w14:textId="77777777" w:rsidR="00664BE6" w:rsidRPr="00EA4C9B" w:rsidRDefault="00664BE6" w:rsidP="00664BE6"/>
    <w:p w14:paraId="2521A922" w14:textId="6389630C" w:rsidR="00664BE6" w:rsidRPr="00EA4C9B" w:rsidRDefault="00664BE6" w:rsidP="00664BE6">
      <w:pPr>
        <w:rPr>
          <w:rFonts w:ascii="Calibri" w:hAnsi="Calibri" w:cs="Calibri"/>
        </w:rPr>
      </w:pPr>
      <w:bookmarkStart w:id="271" w:name="_Hlk195095647"/>
      <w:r w:rsidRPr="00EA4C9B">
        <w:rPr>
          <w:rFonts w:ascii="Calibri" w:hAnsi="Calibri" w:cs="Calibri"/>
        </w:rPr>
        <w:t xml:space="preserve">The Netherlands implements a </w:t>
      </w:r>
      <w:r w:rsidRPr="00EA4C9B">
        <w:rPr>
          <w:rFonts w:ascii="Calibri" w:hAnsi="Calibri" w:cs="Calibri"/>
          <w:b/>
          <w:bCs/>
        </w:rPr>
        <w:t>landfill tax</w:t>
      </w:r>
      <w:r w:rsidRPr="00EA4C9B">
        <w:rPr>
          <w:rFonts w:ascii="Calibri" w:hAnsi="Calibri" w:cs="Calibri"/>
        </w:rPr>
        <w:t>, in addition to a landfill ban of 35 waste categories, both having been introduced in 1995. The tax is set out in the Environmental Taxes Act, in Article 23</w:t>
      </w:r>
      <w:r w:rsidRPr="00EA4C9B">
        <w:rPr>
          <w:rStyle w:val="FootnoteReference"/>
          <w:rFonts w:ascii="Calibri" w:hAnsi="Calibri" w:cs="Calibri"/>
        </w:rPr>
        <w:footnoteReference w:id="617"/>
      </w:r>
      <w:r w:rsidRPr="00EA4C9B">
        <w:rPr>
          <w:rFonts w:ascii="Calibri" w:hAnsi="Calibri" w:cs="Calibri"/>
        </w:rPr>
        <w:t>. The rate is increased every year and amounted to</w:t>
      </w:r>
      <w:r w:rsidRPr="00BA7936">
        <w:rPr>
          <w:rFonts w:cstheme="minorHAnsi"/>
        </w:rPr>
        <w:t xml:space="preserve"> </w:t>
      </w:r>
      <w:r w:rsidR="00A803B6" w:rsidRPr="00BA7936">
        <w:rPr>
          <w:rFonts w:cstheme="minorHAnsi"/>
        </w:rPr>
        <w:t>€</w:t>
      </w:r>
      <w:r w:rsidRPr="00EA4C9B">
        <w:rPr>
          <w:rFonts w:ascii="Calibri" w:hAnsi="Calibri" w:cs="Calibri"/>
        </w:rPr>
        <w:t xml:space="preserve"> 39.70 in 2025. In the context of the simplification of the tax system, the tax was abolished in 2012, as the government argued that better alternatives were available to discourage landfilling of waste, and what’s more is that the revenue of the landfill tax had decreased significantly in the ten years prior, dropping to a revenue of </w:t>
      </w:r>
      <w:r w:rsidR="00C05C8C">
        <w:rPr>
          <w:rFonts w:ascii="Calibri" w:hAnsi="Calibri" w:cs="Calibri"/>
        </w:rPr>
        <w:t>€</w:t>
      </w:r>
      <w:r w:rsidR="00C05C8C" w:rsidRPr="00EA4C9B">
        <w:rPr>
          <w:rFonts w:ascii="Calibri" w:hAnsi="Calibri" w:cs="Calibri"/>
        </w:rPr>
        <w:t xml:space="preserve"> </w:t>
      </w:r>
      <w:r w:rsidRPr="00EA4C9B">
        <w:rPr>
          <w:rFonts w:ascii="Calibri" w:hAnsi="Calibri" w:cs="Calibri"/>
        </w:rPr>
        <w:t>16</w:t>
      </w:r>
      <w:r w:rsidR="00C05C8C">
        <w:rPr>
          <w:rFonts w:ascii="Calibri" w:hAnsi="Calibri" w:cs="Calibri"/>
        </w:rPr>
        <w:t xml:space="preserve"> million</w:t>
      </w:r>
      <w:r w:rsidRPr="00EA4C9B">
        <w:rPr>
          <w:rFonts w:ascii="Calibri" w:hAnsi="Calibri" w:cs="Calibri"/>
        </w:rPr>
        <w:t xml:space="preserve"> in 2011. The government saw that after the abolishment the amount of landfilled waste increased significantly, and thus the tax was reintroduced in 2014 in its current form, in combination with a tax on the burning of waste</w:t>
      </w:r>
      <w:r w:rsidRPr="00EA4C9B">
        <w:rPr>
          <w:rStyle w:val="FootnoteReference"/>
          <w:rFonts w:ascii="Calibri" w:hAnsi="Calibri" w:cs="Calibri"/>
        </w:rPr>
        <w:footnoteReference w:id="618"/>
      </w:r>
      <w:r w:rsidRPr="00EA4C9B">
        <w:rPr>
          <w:rFonts w:ascii="Calibri" w:hAnsi="Calibri" w:cs="Calibri"/>
        </w:rPr>
        <w:t xml:space="preserve">. In 2023, the landfill tax generated a revenue of </w:t>
      </w:r>
      <w:r w:rsidR="00C05C8C">
        <w:rPr>
          <w:rFonts w:ascii="Calibri" w:hAnsi="Calibri" w:cs="Calibri"/>
        </w:rPr>
        <w:t>€</w:t>
      </w:r>
      <w:r w:rsidRPr="00EA4C9B">
        <w:rPr>
          <w:rFonts w:ascii="Calibri" w:hAnsi="Calibri" w:cs="Calibri"/>
        </w:rPr>
        <w:t xml:space="preserve"> 253</w:t>
      </w:r>
      <w:r w:rsidR="00C05C8C">
        <w:rPr>
          <w:rFonts w:ascii="Calibri" w:hAnsi="Calibri" w:cs="Calibri"/>
        </w:rPr>
        <w:t xml:space="preserve"> million</w:t>
      </w:r>
      <w:r w:rsidRPr="00EA4C9B">
        <w:rPr>
          <w:rFonts w:ascii="Calibri" w:hAnsi="Calibri" w:cs="Calibri"/>
        </w:rPr>
        <w:t>.</w:t>
      </w:r>
    </w:p>
    <w:p w14:paraId="176236E6" w14:textId="778F92FF" w:rsidR="00664BE6" w:rsidRPr="00EA4C9B" w:rsidRDefault="00664BE6" w:rsidP="00664BE6">
      <w:pPr>
        <w:rPr>
          <w:rFonts w:ascii="Calibri" w:hAnsi="Calibri" w:cs="Calibri"/>
        </w:rPr>
      </w:pPr>
      <w:r w:rsidRPr="00EA4C9B">
        <w:rPr>
          <w:rFonts w:ascii="Calibri" w:hAnsi="Calibri" w:cs="Calibri"/>
        </w:rPr>
        <w:t xml:space="preserve">The </w:t>
      </w:r>
      <w:r w:rsidRPr="00EA4C9B">
        <w:rPr>
          <w:rFonts w:ascii="Calibri" w:hAnsi="Calibri" w:cs="Calibri"/>
          <w:b/>
          <w:bCs/>
        </w:rPr>
        <w:t>tap water tax</w:t>
      </w:r>
      <w:r w:rsidRPr="00EA4C9B">
        <w:rPr>
          <w:rFonts w:ascii="Calibri" w:hAnsi="Calibri" w:cs="Calibri"/>
        </w:rPr>
        <w:t xml:space="preserve"> was introduced in the Netherlands in 1995, under the same Environmental Taxes Act. It was mainly introduced to incentivise people to be conservative in their water use, by making excessive water use more expensive. The tax only applied to the first 300 m</w:t>
      </w:r>
      <w:r w:rsidRPr="00BA7936">
        <w:rPr>
          <w:rFonts w:ascii="Calibri" w:hAnsi="Calibri" w:cs="Calibri"/>
          <w:vertAlign w:val="superscript"/>
        </w:rPr>
        <w:t>3</w:t>
      </w:r>
      <w:r w:rsidRPr="00EA4C9B">
        <w:rPr>
          <w:rFonts w:ascii="Calibri" w:hAnsi="Calibri" w:cs="Calibri"/>
        </w:rPr>
        <w:t xml:space="preserve"> used in a year, and the 2025 rate is </w:t>
      </w:r>
      <w:r w:rsidR="00C05C8C">
        <w:rPr>
          <w:rFonts w:ascii="Calibri" w:hAnsi="Calibri" w:cs="Calibri"/>
        </w:rPr>
        <w:t>€</w:t>
      </w:r>
      <w:r w:rsidRPr="00EA4C9B">
        <w:rPr>
          <w:rFonts w:ascii="Calibri" w:hAnsi="Calibri" w:cs="Calibri"/>
        </w:rPr>
        <w:t xml:space="preserve"> 0.425 per m</w:t>
      </w:r>
      <w:r w:rsidRPr="00BA7936">
        <w:rPr>
          <w:rFonts w:ascii="Calibri" w:hAnsi="Calibri" w:cs="Calibri"/>
          <w:vertAlign w:val="superscript"/>
        </w:rPr>
        <w:t>3</w:t>
      </w:r>
      <w:r w:rsidRPr="00EA4C9B">
        <w:rPr>
          <w:rFonts w:ascii="Calibri" w:hAnsi="Calibri" w:cs="Calibri"/>
        </w:rPr>
        <w:t xml:space="preserve"> and has been rising steadily from </w:t>
      </w:r>
      <w:r w:rsidR="00C05C8C">
        <w:rPr>
          <w:rFonts w:ascii="Calibri" w:hAnsi="Calibri" w:cs="Calibri"/>
        </w:rPr>
        <w:t>€</w:t>
      </w:r>
      <w:r w:rsidRPr="00EA4C9B">
        <w:rPr>
          <w:rFonts w:ascii="Calibri" w:hAnsi="Calibri" w:cs="Calibri"/>
        </w:rPr>
        <w:t xml:space="preserve"> 0.336 in 2017. The tax applies to households and businesses, and has exemptions for firefighting installations</w:t>
      </w:r>
      <w:r w:rsidRPr="00EA4C9B">
        <w:rPr>
          <w:rStyle w:val="FootnoteReference"/>
          <w:rFonts w:ascii="Calibri" w:hAnsi="Calibri" w:cs="Calibri"/>
        </w:rPr>
        <w:footnoteReference w:id="619"/>
      </w:r>
      <w:r w:rsidRPr="00EA4C9B">
        <w:rPr>
          <w:rFonts w:ascii="Calibri" w:hAnsi="Calibri" w:cs="Calibri"/>
        </w:rPr>
        <w:t xml:space="preserve">. The revenue from the tap water tax was </w:t>
      </w:r>
      <w:r w:rsidR="00C05C8C">
        <w:rPr>
          <w:rFonts w:ascii="Calibri" w:hAnsi="Calibri" w:cs="Calibri"/>
        </w:rPr>
        <w:t>€</w:t>
      </w:r>
      <w:r w:rsidRPr="00EA4C9B">
        <w:rPr>
          <w:rFonts w:ascii="Calibri" w:hAnsi="Calibri" w:cs="Calibri"/>
        </w:rPr>
        <w:t xml:space="preserve"> 313</w:t>
      </w:r>
      <w:r w:rsidR="00C05C8C">
        <w:rPr>
          <w:rFonts w:ascii="Calibri" w:hAnsi="Calibri" w:cs="Calibri"/>
        </w:rPr>
        <w:t xml:space="preserve"> million</w:t>
      </w:r>
      <w:r w:rsidRPr="00EA4C9B">
        <w:rPr>
          <w:rFonts w:ascii="Calibri" w:hAnsi="Calibri" w:cs="Calibri"/>
        </w:rPr>
        <w:t xml:space="preserve"> in 2023.</w:t>
      </w:r>
    </w:p>
    <w:p w14:paraId="2DE0DC37" w14:textId="5F69D6A7" w:rsidR="00664BE6" w:rsidRPr="00EA4C9B" w:rsidRDefault="00664BE6" w:rsidP="00664BE6">
      <w:pPr>
        <w:rPr>
          <w:rFonts w:ascii="Calibri" w:hAnsi="Calibri" w:cs="Calibri"/>
        </w:rPr>
      </w:pPr>
      <w:r w:rsidRPr="00EA4C9B">
        <w:rPr>
          <w:rFonts w:ascii="Calibri" w:hAnsi="Calibri" w:cs="Calibri"/>
        </w:rPr>
        <w:t xml:space="preserve">The </w:t>
      </w:r>
      <w:r w:rsidRPr="00EA4C9B">
        <w:rPr>
          <w:rFonts w:ascii="Calibri" w:hAnsi="Calibri" w:cs="Calibri"/>
          <w:b/>
          <w:bCs/>
        </w:rPr>
        <w:t>fly tax</w:t>
      </w:r>
      <w:r w:rsidRPr="00EA4C9B">
        <w:rPr>
          <w:rFonts w:ascii="Calibri" w:hAnsi="Calibri" w:cs="Calibri"/>
        </w:rPr>
        <w:t xml:space="preserve"> is imposed on all airports in the Netherlands and is paid for every departing passenger. Having been introduced in 2021 the tax was still under </w:t>
      </w:r>
      <w:r w:rsidR="00B61AE9">
        <w:rPr>
          <w:rFonts w:ascii="Calibri" w:hAnsi="Calibri" w:cs="Calibri"/>
        </w:rPr>
        <w:t>€</w:t>
      </w:r>
      <w:r w:rsidRPr="00EA4C9B">
        <w:rPr>
          <w:rFonts w:ascii="Calibri" w:hAnsi="Calibri" w:cs="Calibri"/>
        </w:rPr>
        <w:t xml:space="preserve"> 8 per passenger, but since 2023 it has gone up, to </w:t>
      </w:r>
      <w:r w:rsidR="00C05C8C">
        <w:rPr>
          <w:rFonts w:ascii="Calibri" w:hAnsi="Calibri" w:cs="Calibri"/>
        </w:rPr>
        <w:t>€</w:t>
      </w:r>
      <w:r w:rsidRPr="00EA4C9B">
        <w:rPr>
          <w:rFonts w:ascii="Calibri" w:hAnsi="Calibri" w:cs="Calibri"/>
        </w:rPr>
        <w:t xml:space="preserve"> 29.40 per passenger in 2025. The tax applies to all planes with a weight over 4,000 kg. It excludes staff, people under the age of two and passengers that are transferring in the Netherlands</w:t>
      </w:r>
      <w:r w:rsidRPr="00EA4C9B">
        <w:rPr>
          <w:rStyle w:val="FootnoteReference"/>
          <w:rFonts w:ascii="Calibri" w:hAnsi="Calibri" w:cs="Calibri"/>
        </w:rPr>
        <w:footnoteReference w:id="620"/>
      </w:r>
      <w:r w:rsidRPr="00EA4C9B">
        <w:rPr>
          <w:rFonts w:ascii="Calibri" w:hAnsi="Calibri" w:cs="Calibri"/>
        </w:rPr>
        <w:t>.The tax was introduced to reduce CO</w:t>
      </w:r>
      <w:r w:rsidRPr="00BA7936">
        <w:rPr>
          <w:rFonts w:ascii="Calibri" w:hAnsi="Calibri" w:cs="Calibri"/>
          <w:vertAlign w:val="subscript"/>
        </w:rPr>
        <w:t>2</w:t>
      </w:r>
      <w:r w:rsidRPr="00EA4C9B">
        <w:rPr>
          <w:rFonts w:ascii="Calibri" w:hAnsi="Calibri" w:cs="Calibri"/>
        </w:rPr>
        <w:t xml:space="preserve"> emissions from aviation, and to encourage people to choose for more sustainable forms of transports</w:t>
      </w:r>
      <w:r w:rsidRPr="00EA4C9B">
        <w:rPr>
          <w:rStyle w:val="FootnoteReference"/>
          <w:rFonts w:ascii="Calibri" w:hAnsi="Calibri" w:cs="Calibri"/>
        </w:rPr>
        <w:footnoteReference w:id="621"/>
      </w:r>
      <w:r w:rsidRPr="00EA4C9B">
        <w:rPr>
          <w:rFonts w:ascii="Calibri" w:hAnsi="Calibri" w:cs="Calibri"/>
        </w:rPr>
        <w:t xml:space="preserve">. The Dutch parliament has been considering </w:t>
      </w:r>
      <w:r w:rsidR="00C4587F" w:rsidRPr="00EA4C9B">
        <w:rPr>
          <w:rFonts w:ascii="Calibri" w:hAnsi="Calibri" w:cs="Calibri"/>
        </w:rPr>
        <w:t>increasing</w:t>
      </w:r>
      <w:r w:rsidRPr="00EA4C9B">
        <w:rPr>
          <w:rFonts w:ascii="Calibri" w:hAnsi="Calibri" w:cs="Calibri"/>
        </w:rPr>
        <w:t xml:space="preserve"> the tax on long-haul flights from 2027 onwards, as these flights have higher emissions</w:t>
      </w:r>
      <w:r w:rsidRPr="00EA4C9B">
        <w:rPr>
          <w:rStyle w:val="FootnoteReference"/>
          <w:rFonts w:ascii="Calibri" w:hAnsi="Calibri" w:cs="Calibri"/>
        </w:rPr>
        <w:footnoteReference w:id="622"/>
      </w:r>
      <w:r w:rsidRPr="00EA4C9B">
        <w:rPr>
          <w:rFonts w:ascii="Calibri" w:hAnsi="Calibri" w:cs="Calibri"/>
        </w:rPr>
        <w:t>.</w:t>
      </w:r>
    </w:p>
    <w:p w14:paraId="266CE879" w14:textId="77777777" w:rsidR="00664BE6" w:rsidRPr="00EA4C9B" w:rsidRDefault="00664BE6" w:rsidP="00664BE6">
      <w:pPr>
        <w:pStyle w:val="Heading4"/>
      </w:pPr>
      <w:r w:rsidRPr="00EA4C9B">
        <w:t>Fees and other related instruments</w:t>
      </w:r>
    </w:p>
    <w:p w14:paraId="36879CAA" w14:textId="3FC44F29" w:rsidR="00664BE6" w:rsidRPr="00EA4C9B" w:rsidRDefault="00664BE6" w:rsidP="00664BE6">
      <w:r w:rsidRPr="00EA4C9B">
        <w:t xml:space="preserve">The Dutch government introduced a number of fiscal instruments to regulate the consumption water, other than the tap water tax. The Netherlands has a </w:t>
      </w:r>
      <w:r w:rsidRPr="00EA4C9B">
        <w:rPr>
          <w:b/>
          <w:bCs/>
        </w:rPr>
        <w:t>water system charge</w:t>
      </w:r>
      <w:r w:rsidRPr="00EA4C9B">
        <w:t xml:space="preserve">, which is imposed by the </w:t>
      </w:r>
      <w:r w:rsidRPr="00EA4C9B">
        <w:lastRenderedPageBreak/>
        <w:t xml:space="preserve">regional water authorities (‘waterschappen’) to households, property owners, and (nature) landowners, and is established in the ‘Waterschapswet’. There are 21 different water authorities in the Netherlands that each apply their own pricing. The 2025 charge in the region that falls under the Hollands Noorderkwartier ranges from </w:t>
      </w:r>
      <w:r w:rsidR="00B61AE9">
        <w:t>€</w:t>
      </w:r>
      <w:r w:rsidR="00A43052">
        <w:t xml:space="preserve"> </w:t>
      </w:r>
      <w:r w:rsidRPr="00EA4C9B">
        <w:t xml:space="preserve">129.57 for a household, to </w:t>
      </w:r>
      <w:r w:rsidR="00A43052">
        <w:t xml:space="preserve">€ </w:t>
      </w:r>
      <w:r w:rsidRPr="00EA4C9B">
        <w:t>132.63 for a hectare of land. For building owners the charge is 0,03725% of the property value</w:t>
      </w:r>
      <w:r w:rsidRPr="00EA4C9B">
        <w:rPr>
          <w:rStyle w:val="FootnoteReference"/>
          <w:rFonts w:ascii="Calibri" w:hAnsi="Calibri" w:cs="Calibri"/>
        </w:rPr>
        <w:footnoteReference w:id="623"/>
      </w:r>
      <w:r w:rsidRPr="00EA4C9B">
        <w:t>.The revenue is used for several purposes: to maintain the dikes and shores to prevent flooding, to purify wastewater from the sewers, and to clean polluted water surfaces so that it can flow back into nature</w:t>
      </w:r>
      <w:r w:rsidRPr="00EA4C9B">
        <w:rPr>
          <w:rStyle w:val="FootnoteReference"/>
          <w:rFonts w:ascii="Calibri" w:hAnsi="Calibri" w:cs="Calibri"/>
        </w:rPr>
        <w:footnoteReference w:id="624"/>
      </w:r>
      <w:r w:rsidRPr="00EA4C9B">
        <w:t xml:space="preserve">. In addition to this charge, there is also a </w:t>
      </w:r>
      <w:r w:rsidRPr="00EA4C9B">
        <w:rPr>
          <w:b/>
          <w:bCs/>
        </w:rPr>
        <w:t>sewage charge</w:t>
      </w:r>
      <w:r w:rsidRPr="00EA4C9B">
        <w:t>. This charge is solely used to finance the maintenance and replacement of the sewage and is imposed by the municipalities. The structure and rate of the sewage charge is different per municipality</w:t>
      </w:r>
      <w:r w:rsidRPr="00EA4C9B">
        <w:rPr>
          <w:rStyle w:val="FootnoteReference"/>
          <w:rFonts w:ascii="Calibri" w:hAnsi="Calibri" w:cs="Calibri"/>
        </w:rPr>
        <w:footnoteReference w:id="625"/>
      </w:r>
      <w:r w:rsidRPr="00EA4C9B">
        <w:t xml:space="preserve">. In the municipality of Amsterdam, owners of residential properties, houseboats and businesses pay a fixed rate of </w:t>
      </w:r>
      <w:r w:rsidR="00A43052">
        <w:t>€</w:t>
      </w:r>
      <w:r w:rsidRPr="00EA4C9B">
        <w:t xml:space="preserve"> 185.20 per year per property. If users consume more than 300 m</w:t>
      </w:r>
      <w:r w:rsidRPr="00BA7936">
        <w:rPr>
          <w:vertAlign w:val="superscript"/>
        </w:rPr>
        <w:t>3</w:t>
      </w:r>
      <w:r w:rsidRPr="00EA4C9B">
        <w:t xml:space="preserve"> per year increased rates apply: </w:t>
      </w:r>
      <w:r w:rsidR="00A43052">
        <w:t>€</w:t>
      </w:r>
      <w:r w:rsidRPr="00EA4C9B">
        <w:t xml:space="preserve"> 543 for up to 1,000 m</w:t>
      </w:r>
      <w:r w:rsidRPr="00BA7936">
        <w:rPr>
          <w:vertAlign w:val="superscript"/>
        </w:rPr>
        <w:t>3</w:t>
      </w:r>
      <w:r w:rsidRPr="00EA4C9B">
        <w:t xml:space="preserve">, </w:t>
      </w:r>
      <w:r w:rsidR="00A43052">
        <w:t>€</w:t>
      </w:r>
      <w:r w:rsidRPr="00EA4C9B">
        <w:t xml:space="preserve"> 2,054 for up to 5,000 m</w:t>
      </w:r>
      <w:r w:rsidRPr="00BA7936">
        <w:rPr>
          <w:vertAlign w:val="superscript"/>
        </w:rPr>
        <w:t>3</w:t>
      </w:r>
      <w:r w:rsidRPr="00EA4C9B">
        <w:t>, and this continues until a consumption of more than 500,001 m</w:t>
      </w:r>
      <w:r w:rsidRPr="00BA7936">
        <w:rPr>
          <w:vertAlign w:val="superscript"/>
        </w:rPr>
        <w:t>3</w:t>
      </w:r>
      <w:r w:rsidRPr="00EA4C9B">
        <w:t xml:space="preserve"> which has a rate of </w:t>
      </w:r>
      <w:r w:rsidR="00A43052">
        <w:t>€</w:t>
      </w:r>
      <w:r w:rsidRPr="00EA4C9B">
        <w:t xml:space="preserve"> 173,081</w:t>
      </w:r>
      <w:r w:rsidRPr="00EA4C9B">
        <w:rPr>
          <w:rStyle w:val="FootnoteReference"/>
          <w:rFonts w:ascii="Calibri" w:hAnsi="Calibri" w:cs="Calibri"/>
        </w:rPr>
        <w:footnoteReference w:id="626"/>
      </w:r>
      <w:r w:rsidRPr="00EA4C9B">
        <w:t xml:space="preserve">. Lastly, a separate </w:t>
      </w:r>
      <w:r w:rsidRPr="00EA4C9B">
        <w:rPr>
          <w:b/>
          <w:bCs/>
        </w:rPr>
        <w:t>water pollution charge</w:t>
      </w:r>
      <w:r w:rsidRPr="00EA4C9B">
        <w:t xml:space="preserve"> is applied in the Netherlands, which is charged by the earlier mentioned water authorities, but also by the central government, for the surface water bodies owned by the state. This charge is for water discharges directly in surface waters. The charge is based on the pollution load, which is measured in pollution units, which are based on the oxygen consumption of the discharged materials. One unit is 54.8 kg of annual oxygen demand, and the charge is </w:t>
      </w:r>
      <w:r w:rsidR="00D52B72">
        <w:t>€</w:t>
      </w:r>
      <w:r w:rsidRPr="00EA4C9B">
        <w:t xml:space="preserve"> 37.28 per pollution unit. Some exemptions apply to discharges done through the sewers, discharges under control of treatment facilities, and discharges that do not increase the pollution load</w:t>
      </w:r>
      <w:r w:rsidRPr="00EA4C9B">
        <w:rPr>
          <w:rStyle w:val="FootnoteReference"/>
          <w:rFonts w:ascii="Calibri" w:hAnsi="Calibri" w:cs="Calibri"/>
        </w:rPr>
        <w:footnoteReference w:id="627"/>
      </w:r>
      <w:r w:rsidRPr="00EA4C9B">
        <w:t>.</w:t>
      </w:r>
    </w:p>
    <w:p w14:paraId="0B9204B2" w14:textId="354C130B" w:rsidR="00664BE6" w:rsidRPr="00EA4C9B" w:rsidRDefault="00664BE6" w:rsidP="00664BE6">
      <w:r w:rsidRPr="00EA4C9B">
        <w:t xml:space="preserve">The </w:t>
      </w:r>
      <w:r w:rsidRPr="00EA4C9B">
        <w:rPr>
          <w:b/>
          <w:bCs/>
        </w:rPr>
        <w:t xml:space="preserve">Aviation Noise Pollution Charge </w:t>
      </w:r>
      <w:r w:rsidRPr="00EA4C9B">
        <w:t xml:space="preserve">was established in 2004 under the Aviation Act, and was designed to internalize the environmental costs of aviation noise, particularly in the area of Schiphol Airport, and to incentivize the use of quieter aircrafts. The charge is imposed per unit of sound produced currently stands at </w:t>
      </w:r>
      <w:r w:rsidR="00D52B72">
        <w:t>€</w:t>
      </w:r>
      <w:r w:rsidRPr="00EA4C9B">
        <w:t xml:space="preserve"> 58.75, and a separate levy of </w:t>
      </w:r>
      <w:r w:rsidR="00D52B72">
        <w:t>€</w:t>
      </w:r>
      <w:r w:rsidRPr="00EA4C9B">
        <w:t xml:space="preserve"> 0.50 per ton of maximum take-off weight is also applied. Some of the revenue is earmarked to finance noise abatement measures. The charge is applied to all civil aircrafts, and is charged to airlines, through Schiphol Airport authorities</w:t>
      </w:r>
      <w:r w:rsidRPr="00EA4C9B">
        <w:rPr>
          <w:rStyle w:val="FootnoteReference"/>
          <w:rFonts w:ascii="Calibri" w:hAnsi="Calibri" w:cs="Calibri"/>
        </w:rPr>
        <w:footnoteReference w:id="628"/>
      </w:r>
      <w:r w:rsidRPr="00EA4C9B">
        <w:t xml:space="preserve">. </w:t>
      </w:r>
    </w:p>
    <w:p w14:paraId="30055192" w14:textId="46B689C9" w:rsidR="00664BE6" w:rsidRPr="00EA4C9B" w:rsidRDefault="00664BE6" w:rsidP="00664BE6">
      <w:r w:rsidRPr="00EA4C9B">
        <w:t xml:space="preserve">Starting in 2025, the Dutch government introduced a </w:t>
      </w:r>
      <w:r w:rsidRPr="00EA4C9B">
        <w:rPr>
          <w:b/>
          <w:bCs/>
        </w:rPr>
        <w:t>CO</w:t>
      </w:r>
      <w:r w:rsidRPr="00BA7936">
        <w:rPr>
          <w:b/>
          <w:bCs/>
          <w:vertAlign w:val="subscript"/>
        </w:rPr>
        <w:t>2</w:t>
      </w:r>
      <w:r w:rsidRPr="00EA4C9B">
        <w:rPr>
          <w:b/>
          <w:bCs/>
        </w:rPr>
        <w:t>-charge for greenhouse horticulture</w:t>
      </w:r>
      <w:r w:rsidRPr="00EA4C9B">
        <w:t>. Only greenhouse companies larger than 2500 m</w:t>
      </w:r>
      <w:r w:rsidRPr="00BA7936">
        <w:rPr>
          <w:vertAlign w:val="superscript"/>
        </w:rPr>
        <w:t>2</w:t>
      </w:r>
      <w:r w:rsidRPr="00EA4C9B">
        <w:t xml:space="preserve"> and energy companies that deliver heat to these companies (if they deliver more than 75% of their natural gas-generated heat to the companies). The charge in 2025 is </w:t>
      </w:r>
      <w:r w:rsidR="00D52B72">
        <w:t xml:space="preserve">€ </w:t>
      </w:r>
      <w:r w:rsidRPr="00EA4C9B">
        <w:t>9.5 per ton of CO</w:t>
      </w:r>
      <w:r w:rsidRPr="00BA7936">
        <w:rPr>
          <w:vertAlign w:val="subscript"/>
        </w:rPr>
        <w:t>2</w:t>
      </w:r>
      <w:r w:rsidRPr="00EA4C9B">
        <w:t xml:space="preserve">, and will gradually go up to </w:t>
      </w:r>
      <w:r w:rsidR="00D52B72">
        <w:t xml:space="preserve">€ </w:t>
      </w:r>
      <w:r w:rsidRPr="00EA4C9B">
        <w:t>17.7 by 2030. The CO</w:t>
      </w:r>
      <w:r w:rsidRPr="00BA7936">
        <w:rPr>
          <w:vertAlign w:val="subscript"/>
        </w:rPr>
        <w:t>2</w:t>
      </w:r>
      <w:r w:rsidRPr="00EA4C9B">
        <w:t>-charge replace the CO</w:t>
      </w:r>
      <w:r w:rsidRPr="00BA7936">
        <w:rPr>
          <w:vertAlign w:val="subscript"/>
        </w:rPr>
        <w:t>2</w:t>
      </w:r>
      <w:r w:rsidRPr="00EA4C9B">
        <w:t>-sectorsystem, which gave the individual companies CO</w:t>
      </w:r>
      <w:r w:rsidRPr="00BA7936">
        <w:rPr>
          <w:vertAlign w:val="subscript"/>
        </w:rPr>
        <w:t>2</w:t>
      </w:r>
      <w:r w:rsidRPr="00EA4C9B">
        <w:t>-allowances based on historical emissions</w:t>
      </w:r>
      <w:r w:rsidRPr="00EA4C9B">
        <w:rPr>
          <w:rStyle w:val="FootnoteReference"/>
          <w:rFonts w:ascii="Calibri" w:hAnsi="Calibri" w:cs="Calibri"/>
        </w:rPr>
        <w:footnoteReference w:id="629"/>
      </w:r>
      <w:r w:rsidRPr="00EA4C9B">
        <w:t>.</w:t>
      </w:r>
    </w:p>
    <w:p w14:paraId="2AB89E92" w14:textId="5B8CBC9A" w:rsidR="00664BE6" w:rsidRPr="00EA4C9B" w:rsidRDefault="00664BE6" w:rsidP="00664BE6">
      <w:r w:rsidRPr="00EA4C9B">
        <w:t xml:space="preserve">The </w:t>
      </w:r>
      <w:r w:rsidRPr="00EA4C9B">
        <w:rPr>
          <w:b/>
          <w:bCs/>
        </w:rPr>
        <w:t xml:space="preserve">mineral levy </w:t>
      </w:r>
      <w:r w:rsidRPr="00EA4C9B">
        <w:t>or</w:t>
      </w:r>
      <w:r w:rsidRPr="00EA4C9B">
        <w:rPr>
          <w:b/>
          <w:bCs/>
        </w:rPr>
        <w:t xml:space="preserve"> surplus manure charge</w:t>
      </w:r>
      <w:r w:rsidRPr="00EA4C9B">
        <w:t xml:space="preserve"> is a longstanding tax that is charged to businesses that produce more manure than legally allowed. The tax has been changed numerous times since the 1980s. In 2022, it generated a revenue of </w:t>
      </w:r>
      <w:r w:rsidR="00E81F24">
        <w:t>€</w:t>
      </w:r>
      <w:r w:rsidRPr="00EA4C9B">
        <w:t xml:space="preserve"> 1</w:t>
      </w:r>
      <w:r w:rsidR="00E81F24">
        <w:t xml:space="preserve"> million</w:t>
      </w:r>
      <w:r w:rsidRPr="00EA4C9B">
        <w:t>. Revenue goes directly to the general budget of the government</w:t>
      </w:r>
      <w:r w:rsidRPr="00EA4C9B">
        <w:rPr>
          <w:rStyle w:val="FootnoteReference"/>
          <w:rFonts w:ascii="Calibri" w:hAnsi="Calibri" w:cs="Calibri"/>
        </w:rPr>
        <w:footnoteReference w:id="630"/>
      </w:r>
      <w:r w:rsidRPr="00EA4C9B">
        <w:t xml:space="preserve">. The charge is designed to address the excess manure production, which leads to </w:t>
      </w:r>
      <w:r w:rsidRPr="00EA4C9B">
        <w:lastRenderedPageBreak/>
        <w:t xml:space="preserve">nitrogen and phosphate deposits that pollute water and soil. The charge is </w:t>
      </w:r>
      <w:r w:rsidR="00E81F24">
        <w:t>€</w:t>
      </w:r>
      <w:r w:rsidRPr="00EA4C9B">
        <w:t xml:space="preserve"> 11 per kg of excessive phosphate and </w:t>
      </w:r>
      <w:r w:rsidR="00E81F24">
        <w:t>€</w:t>
      </w:r>
      <w:r w:rsidRPr="00EA4C9B">
        <w:t xml:space="preserve"> 7 per kg of excessive nitrogen</w:t>
      </w:r>
      <w:r w:rsidRPr="00EA4C9B">
        <w:rPr>
          <w:rStyle w:val="FootnoteReference"/>
          <w:rFonts w:ascii="Calibri" w:hAnsi="Calibri" w:cs="Calibri"/>
        </w:rPr>
        <w:footnoteReference w:id="631"/>
      </w:r>
      <w:r w:rsidRPr="00EA4C9B">
        <w:t>.</w:t>
      </w:r>
    </w:p>
    <w:p w14:paraId="580DA8E4" w14:textId="6D1A8363" w:rsidR="00664BE6" w:rsidRPr="00EA4C9B" w:rsidRDefault="00664BE6" w:rsidP="00664BE6">
      <w:r w:rsidRPr="00EA4C9B">
        <w:t xml:space="preserve">The Netherlands has a number of permit and license requirements related to conservation of the environment. There are </w:t>
      </w:r>
      <w:r w:rsidRPr="00EA4C9B">
        <w:rPr>
          <w:b/>
          <w:bCs/>
        </w:rPr>
        <w:t>permits for tree-felling</w:t>
      </w:r>
      <w:r w:rsidRPr="00EA4C9B">
        <w:rPr>
          <w:rStyle w:val="FootnoteReference"/>
          <w:rFonts w:ascii="Calibri" w:hAnsi="Calibri" w:cs="Calibri"/>
        </w:rPr>
        <w:footnoteReference w:id="632"/>
      </w:r>
      <w:r w:rsidRPr="00EA4C9B">
        <w:t xml:space="preserve">, </w:t>
      </w:r>
      <w:r w:rsidRPr="00EA4C9B">
        <w:rPr>
          <w:b/>
          <w:bCs/>
        </w:rPr>
        <w:t>hunting right leases</w:t>
      </w:r>
      <w:r w:rsidRPr="00EA4C9B">
        <w:rPr>
          <w:rStyle w:val="FootnoteReference"/>
          <w:rFonts w:ascii="Calibri" w:hAnsi="Calibri" w:cs="Calibri"/>
        </w:rPr>
        <w:footnoteReference w:id="633"/>
      </w:r>
      <w:r w:rsidRPr="00EA4C9B">
        <w:t xml:space="preserve">, and </w:t>
      </w:r>
      <w:r w:rsidRPr="00EA4C9B">
        <w:rPr>
          <w:b/>
          <w:bCs/>
        </w:rPr>
        <w:t>licenses for fishing</w:t>
      </w:r>
      <w:r w:rsidRPr="00EA4C9B">
        <w:rPr>
          <w:rStyle w:val="FootnoteReference"/>
          <w:rFonts w:ascii="Calibri" w:hAnsi="Calibri" w:cs="Calibri"/>
        </w:rPr>
        <w:footnoteReference w:id="634"/>
      </w:r>
      <w:r w:rsidRPr="00EA4C9B">
        <w:t>. The fees are a yearly fee for hunting and fishing, and for tree-felling the fee depends on the number, location, size and type of trees.</w:t>
      </w:r>
    </w:p>
    <w:p w14:paraId="44F50ADD" w14:textId="77777777" w:rsidR="00664BE6" w:rsidRPr="00EA4C9B" w:rsidRDefault="00664BE6" w:rsidP="00664BE6">
      <w:pPr>
        <w:rPr>
          <w:rFonts w:ascii="Calibri" w:hAnsi="Calibri" w:cs="Calibri"/>
          <w:b/>
          <w:bCs/>
          <w:i/>
          <w:iCs/>
        </w:rPr>
      </w:pPr>
      <w:r w:rsidRPr="00EA4C9B">
        <w:rPr>
          <w:rFonts w:ascii="Calibri" w:hAnsi="Calibri" w:cs="Calibri"/>
          <w:b/>
          <w:bCs/>
          <w:i/>
          <w:iCs/>
        </w:rPr>
        <w:t>Proposed or postponed environmental taxes</w:t>
      </w:r>
    </w:p>
    <w:p w14:paraId="07AEACEF" w14:textId="3BBDBD0E" w:rsidR="00664BE6" w:rsidRPr="00EA4C9B" w:rsidRDefault="00664BE6" w:rsidP="00664BE6">
      <w:r w:rsidRPr="00EA4C9B">
        <w:t xml:space="preserve">Measures include raising the minimum carbon price for the electricity sector and industry to </w:t>
      </w:r>
      <w:r w:rsidR="00E81F24">
        <w:t xml:space="preserve">€ </w:t>
      </w:r>
      <w:r w:rsidRPr="00EA4C9B">
        <w:t>51.70 per ton of CO</w:t>
      </w:r>
      <w:r w:rsidRPr="00BA7936">
        <w:rPr>
          <w:vertAlign w:val="subscript"/>
        </w:rPr>
        <w:t>2</w:t>
      </w:r>
      <w:r w:rsidRPr="00EA4C9B">
        <w:t>, and abolishing energy and coal tax exemptions for iron and construction material producers. From 2025, the reduced energy tax rate for the greenhouse horticulture sector will also be abolished, alongside the introduction of the previously mentioned carbon tax</w:t>
      </w:r>
      <w:r w:rsidRPr="00EA4C9B">
        <w:rPr>
          <w:rStyle w:val="FootnoteReference"/>
          <w:rFonts w:ascii="Calibri" w:hAnsi="Calibri" w:cs="Calibri"/>
        </w:rPr>
        <w:footnoteReference w:id="635"/>
      </w:r>
      <w:r w:rsidRPr="00EA4C9B">
        <w:t>.</w:t>
      </w:r>
    </w:p>
    <w:p w14:paraId="532D0ED6" w14:textId="790A8FB5" w:rsidR="00664BE6" w:rsidRPr="00EA4C9B" w:rsidRDefault="00664BE6" w:rsidP="00664BE6">
      <w:r w:rsidRPr="00EA4C9B">
        <w:t xml:space="preserve">However, in 2025, the Dutch government also introduced lower energy taxes on natural gas for entrepreneurs and suppliers of natural gas. The tax will go down from </w:t>
      </w:r>
      <w:r w:rsidR="00E81F24">
        <w:t xml:space="preserve">€ </w:t>
      </w:r>
      <w:r w:rsidRPr="00EA4C9B">
        <w:t>0.028 to 0.013298 per m</w:t>
      </w:r>
      <w:r w:rsidRPr="00BA7936">
        <w:rPr>
          <w:vertAlign w:val="superscript"/>
        </w:rPr>
        <w:t>3</w:t>
      </w:r>
      <w:r w:rsidRPr="00EA4C9B">
        <w:t xml:space="preserve"> (up until 170,000 m</w:t>
      </w:r>
      <w:r w:rsidRPr="00BA7936">
        <w:rPr>
          <w:vertAlign w:val="superscript"/>
        </w:rPr>
        <w:t>3</w:t>
      </w:r>
      <w:r w:rsidRPr="00EA4C9B">
        <w:t xml:space="preserve"> per year). The government also postponed the cancelation of a reduction in excise duties in petrol, diesel and LPG, and will not adjust them for inflation. The intention behind this is to improve the purchasing power of people with middle incomes and vulnerable groups</w:t>
      </w:r>
      <w:r w:rsidRPr="00EA4C9B">
        <w:rPr>
          <w:rStyle w:val="FootnoteReference"/>
          <w:rFonts w:ascii="Calibri" w:hAnsi="Calibri" w:cs="Calibri"/>
        </w:rPr>
        <w:footnoteReference w:id="636"/>
      </w:r>
      <w:r w:rsidRPr="00EA4C9B">
        <w:t>. Most of these legislative changes have gone into effect at the start of 2024 or 2025, as they apply to existing taxes.</w:t>
      </w:r>
    </w:p>
    <w:p w14:paraId="029F028F" w14:textId="77777777" w:rsidR="00664BE6" w:rsidRPr="00EA4C9B" w:rsidRDefault="00664BE6" w:rsidP="00664BE6">
      <w:pPr>
        <w:rPr>
          <w:rFonts w:ascii="Calibri" w:hAnsi="Calibri" w:cs="Calibri"/>
          <w:b/>
          <w:bCs/>
          <w:i/>
          <w:iCs/>
        </w:rPr>
      </w:pPr>
      <w:r w:rsidRPr="00EA4C9B">
        <w:rPr>
          <w:rFonts w:ascii="Calibri" w:hAnsi="Calibri" w:cs="Calibri"/>
          <w:b/>
          <w:bCs/>
          <w:i/>
          <w:iCs/>
        </w:rPr>
        <w:t>Conclusions, country-specific recommendations and reform progress</w:t>
      </w:r>
    </w:p>
    <w:p w14:paraId="79962C71" w14:textId="3BDAD9FC" w:rsidR="00664BE6" w:rsidRDefault="00664BE6" w:rsidP="00664BE6">
      <w:r w:rsidRPr="00EA4C9B">
        <w:t>In the CSRs to the Netherlands, a number of relevant recommendations have been brought up in the last years. The 2024 CSRs recommended to “take further efforts for sustainable agriculture”. The European Commission highlights that the intensive agricultural practices in the Netherlands are contributing to excessive nitrogen deposition. This calls for a more sustainable agriculture, which includes reducing livestock, accelerating the move to circular and organic agriculture, incentivize rewetting land, and limiting the use of chemicals. The Commission also notes that there is potential to increase investment in sustainable water management and preventing and controlling pollution. The 2025 CSRs again highlight the excessive levels of nitrogen depositions, which lead to soil- and water-acidification and over-fertilization, and also address the high dependency on fossil fuels</w:t>
      </w:r>
      <w:r w:rsidRPr="00EA4C9B">
        <w:rPr>
          <w:rStyle w:val="FootnoteReference"/>
          <w:rFonts w:ascii="Calibri" w:hAnsi="Calibri" w:cs="Calibri"/>
        </w:rPr>
        <w:footnoteReference w:id="637"/>
      </w:r>
      <w:r w:rsidRPr="00EA4C9B">
        <w:t>.</w:t>
      </w:r>
    </w:p>
    <w:p w14:paraId="4A1C2848" w14:textId="55E33A3E" w:rsidR="00C4587F" w:rsidRPr="00EA4C9B" w:rsidRDefault="00C4587F" w:rsidP="00664BE6">
      <w:r w:rsidRPr="00C4587F">
        <w:t>Meanwhile, on 8 July 2025 the Council of EU adopted the CSRs for the Netherlands and recommends implement structural measures to address excessive nitrogen deposition and the deterioration of water quality effectively, especially by making further efforts for sustainable agriculture.</w:t>
      </w:r>
      <w:r>
        <w:rPr>
          <w:rStyle w:val="FootnoteReference"/>
        </w:rPr>
        <w:footnoteReference w:id="638"/>
      </w:r>
    </w:p>
    <w:p w14:paraId="0C84F471" w14:textId="55E96798" w:rsidR="00664BE6" w:rsidRPr="00EA4C9B" w:rsidRDefault="00664BE6" w:rsidP="00664BE6">
      <w:r w:rsidRPr="00EA4C9B">
        <w:t xml:space="preserve">Revenue or budget neutrality has been a core principle, meaning that revenue from environmental taxes is often offset by reductions in other taxes or used for compensatory measures. While </w:t>
      </w:r>
      <w:r w:rsidRPr="00EA4C9B">
        <w:lastRenderedPageBreak/>
        <w:t>environmental taxes in the Netherlands are regressive by design, the regressivity is counterbalanced by tax-free allowances, reductions, and ceilings to make the system fairer. The Dutch environmental taxes have gone through some changes in the recent years, but these are all relevant for energy and transport taxes, thus are not relevant in this context</w:t>
      </w:r>
      <w:r w:rsidRPr="00EA4C9B">
        <w:rPr>
          <w:rStyle w:val="FootnoteReference"/>
        </w:rPr>
        <w:footnoteReference w:id="639"/>
      </w:r>
      <w:r w:rsidRPr="00EA4C9B">
        <w:t>. In the Netherlands the tax base is gradually broadened, allowing affected actors time to adapt and learn from experience</w:t>
      </w:r>
      <w:r w:rsidRPr="00EA4C9B">
        <w:rPr>
          <w:rStyle w:val="FootnoteReference"/>
        </w:rPr>
        <w:footnoteReference w:id="640"/>
      </w:r>
      <w:r w:rsidRPr="00EA4C9B">
        <w:t>. The country applies tax-free basic amounts of consumption in some cases to mitigate negative distributional effects</w:t>
      </w:r>
      <w:r w:rsidRPr="00EA4C9B">
        <w:rPr>
          <w:rStyle w:val="FootnoteReference"/>
        </w:rPr>
        <w:footnoteReference w:id="641"/>
      </w:r>
      <w:r w:rsidRPr="00EA4C9B">
        <w:t xml:space="preserve">. </w:t>
      </w:r>
    </w:p>
    <w:p w14:paraId="63A23A29" w14:textId="77777777" w:rsidR="00664BE6" w:rsidRDefault="00664BE6" w:rsidP="00664BE6">
      <w:r w:rsidRPr="00EA4C9B">
        <w:t>The different environmental tax rates are decided at the national level and updated annually. This indicates a highly centralized taxation system without significant regional variations</w:t>
      </w:r>
      <w:r w:rsidRPr="00EA4C9B">
        <w:rPr>
          <w:rStyle w:val="FootnoteReference"/>
        </w:rPr>
        <w:footnoteReference w:id="642"/>
      </w:r>
      <w:r w:rsidRPr="00EA4C9B">
        <w:t>. In the Netherlands, environmental taxes are not earmarked for environmental purposes, as their revenue goes into the government's general budget. This means that while they may serve as an incentive to reduce pollution or resource use, they are primarily a fiscal tool rather than a dedicated funding mechanism for environmental policies</w:t>
      </w:r>
      <w:r w:rsidRPr="00EA4C9B">
        <w:rPr>
          <w:rStyle w:val="FootnoteReference"/>
        </w:rPr>
        <w:footnoteReference w:id="643"/>
      </w:r>
      <w:r w:rsidRPr="00EA4C9B">
        <w:t>.</w:t>
      </w:r>
      <w:bookmarkEnd w:id="271"/>
    </w:p>
    <w:p w14:paraId="49A7B363" w14:textId="77777777" w:rsidR="00C4587F" w:rsidRDefault="00C4587F" w:rsidP="00C4587F">
      <w:pPr>
        <w:pStyle w:val="AnnexHeading2"/>
      </w:pPr>
      <w:bookmarkStart w:id="272" w:name="_Toc214008926"/>
      <w:r w:rsidRPr="00C4587F">
        <w:t>Potential</w:t>
      </w:r>
      <w:r w:rsidRPr="00EA4C9B">
        <w:t xml:space="preserve"> for implementing additional environmental taxes</w:t>
      </w:r>
      <w:bookmarkEnd w:id="272"/>
    </w:p>
    <w:p w14:paraId="4996BC38" w14:textId="36DB5ABD" w:rsidR="00B71F1F" w:rsidRPr="00B71F1F" w:rsidRDefault="00000000" w:rsidP="00B71F1F">
      <w:pPr>
        <w:rPr>
          <w:lang w:eastAsia="en-GB"/>
        </w:rPr>
      </w:pPr>
      <w:sdt>
        <w:sdtPr>
          <w:rPr>
            <w:color w:val="000000"/>
            <w:lang w:eastAsia="en-GB"/>
          </w:rPr>
          <w:tag w:val="MENDELEY_CITATION_v3_eyJjaXRhdGlvbklEIjoiTUVOREVMRVlfQ0lUQVRJT05fZWViZjRlNDYtYWVkMy00Yzc0LWEwM2QtYzcxNDU0NjQ1YTVm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076811524"/>
          <w:placeholder>
            <w:docPart w:val="DefaultPlaceholder_-1854013440"/>
          </w:placeholder>
        </w:sdtPr>
        <w:sdtContent>
          <w:r w:rsidR="002D122C" w:rsidRPr="002D122C">
            <w:rPr>
              <w:color w:val="000000"/>
              <w:lang w:eastAsia="en-GB"/>
            </w:rPr>
            <w:t>Hogg et al. (2016)</w:t>
          </w:r>
        </w:sdtContent>
      </w:sdt>
      <w:r w:rsidR="00B71F1F" w:rsidRPr="00B71F1F">
        <w:rPr>
          <w:lang w:eastAsia="en-GB"/>
        </w:rPr>
        <w:t xml:space="preserve"> identified substantial potential for the Netherlands to strengthen its environmental fiscal framework through the introduction of additional pollution and resource taxes. In particular, the study recommended new or revised instruments on aggregates, wastewater, pesticides, and fertilisers, as well as adjustments to existing levies to better reflect environmental costs. Many of these recommendations remain relevant today, given continuing pressures on land, water and ecosystems.</w:t>
      </w:r>
    </w:p>
    <w:p w14:paraId="6CF420F1" w14:textId="0FD76EF1" w:rsidR="00B71F1F" w:rsidRPr="00B71F1F" w:rsidRDefault="00B71F1F" w:rsidP="00B71F1F">
      <w:pPr>
        <w:rPr>
          <w:lang w:eastAsia="en-GB"/>
        </w:rPr>
      </w:pPr>
      <w:r w:rsidRPr="00B71F1F">
        <w:rPr>
          <w:lang w:eastAsia="en-GB"/>
        </w:rPr>
        <w:t xml:space="preserve">A key area of potential concerns </w:t>
      </w:r>
      <w:r w:rsidRPr="00B71F1F">
        <w:rPr>
          <w:b/>
          <w:bCs/>
          <w:lang w:eastAsia="en-GB"/>
        </w:rPr>
        <w:t>fertiliser and manure taxation</w:t>
      </w:r>
      <w:r w:rsidRPr="00B71F1F">
        <w:rPr>
          <w:lang w:eastAsia="en-GB"/>
        </w:rPr>
        <w:t xml:space="preserve">. The Netherlands operates a manure surplus levy (the “manure minerals charge”), targeting nitrogen and phosphorus emissions from livestock production. However, there is no tax on mineral fertilisers, which could complement the existing system and help address persistent nitrate and ammonia emissions that continue to exceed EU Water Framework Directive and NEC Directive limits. </w:t>
      </w:r>
      <w:sdt>
        <w:sdtPr>
          <w:rPr>
            <w:color w:val="000000"/>
            <w:lang w:eastAsia="en-GB"/>
          </w:rPr>
          <w:tag w:val="MENDELEY_CITATION_v3_eyJjaXRhdGlvbklEIjoiTUVOREVMRVlfQ0lUQVRJT05fM2JjYTU2MDItY2IwMC00MTk1LTgyNjQtZGY4Mzk2MTYyNDQ3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240462973"/>
          <w:placeholder>
            <w:docPart w:val="DefaultPlaceholder_-1854013440"/>
          </w:placeholder>
        </w:sdtPr>
        <w:sdtContent>
          <w:r w:rsidR="002D122C" w:rsidRPr="002D122C">
            <w:rPr>
              <w:color w:val="000000"/>
              <w:lang w:eastAsia="en-GB"/>
            </w:rPr>
            <w:t>Hogg et al. (2016)</w:t>
          </w:r>
        </w:sdtContent>
      </w:sdt>
      <w:r w:rsidRPr="00B71F1F">
        <w:rPr>
          <w:lang w:eastAsia="en-GB"/>
        </w:rPr>
        <w:t xml:space="preserve"> proposed a tax of €0.30 per kilogram of nitrogen in mineral fertilisers, adjusted for purchasing power parity. Such a tax could provide a stronger price signal for sustainable nutrient management while maintaining fairness between livestock and crop producers.</w:t>
      </w:r>
    </w:p>
    <w:p w14:paraId="6C8B5312" w14:textId="44AB4330" w:rsidR="00B71F1F" w:rsidRPr="00B71F1F" w:rsidRDefault="00B71F1F" w:rsidP="00B71F1F">
      <w:pPr>
        <w:rPr>
          <w:lang w:eastAsia="en-GB"/>
        </w:rPr>
      </w:pPr>
      <w:r w:rsidRPr="606E24A0">
        <w:rPr>
          <w:lang w:eastAsia="en-GB"/>
        </w:rPr>
        <w:t xml:space="preserve">A </w:t>
      </w:r>
      <w:r w:rsidRPr="606E24A0">
        <w:rPr>
          <w:b/>
          <w:bCs/>
          <w:lang w:eastAsia="en-GB"/>
        </w:rPr>
        <w:t>pesticides tax</w:t>
      </w:r>
      <w:r w:rsidRPr="606E24A0">
        <w:rPr>
          <w:lang w:eastAsia="en-GB"/>
        </w:rPr>
        <w:t xml:space="preserve"> could also be considered, reflecting the high intensity of pesticide use in Dutch horticulture and arable farming. Revenues could fund integrated pest management programmes or the promotion of low-impact alternatives. The modelling in the present study indicates that pesticide and fertiliser taxes would together account for some of the most significant environmental gains in the Netherlands, with potential reductions of 58% in pesticide use and 42% in fertiliser consumption, alongside moderate revenue generation.</w:t>
      </w:r>
    </w:p>
    <w:p w14:paraId="4253D50D" w14:textId="4C13154D" w:rsidR="00B71F1F" w:rsidRPr="00B71F1F" w:rsidRDefault="00B71F1F" w:rsidP="00B71F1F">
      <w:pPr>
        <w:rPr>
          <w:lang w:eastAsia="en-GB"/>
        </w:rPr>
      </w:pPr>
      <w:r w:rsidRPr="00B71F1F">
        <w:rPr>
          <w:lang w:eastAsia="en-GB"/>
        </w:rPr>
        <w:t xml:space="preserve">The </w:t>
      </w:r>
      <w:r w:rsidRPr="00B71F1F">
        <w:rPr>
          <w:b/>
          <w:bCs/>
          <w:lang w:eastAsia="en-GB"/>
        </w:rPr>
        <w:t>water sector</w:t>
      </w:r>
      <w:r w:rsidRPr="00B71F1F">
        <w:rPr>
          <w:lang w:eastAsia="en-GB"/>
        </w:rPr>
        <w:t xml:space="preserve"> presents another promising opportunity. Although the Netherlands already applies pollution charges under the Water Board Act and groundwater abstraction fees, there remains scope to align these with environmental costs more closely. </w:t>
      </w:r>
      <w:sdt>
        <w:sdtPr>
          <w:rPr>
            <w:color w:val="000000"/>
            <w:lang w:eastAsia="en-GB"/>
          </w:rPr>
          <w:tag w:val="MENDELEY_CITATION_v3_eyJjaXRhdGlvbklEIjoiTUVOREVMRVlfQ0lUQVRJT05fYWE4YjM4ODAtNzg1MC00ZTc0LTgzYmQtZWZlMGMwN2NjMGU0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483313915"/>
          <w:placeholder>
            <w:docPart w:val="DefaultPlaceholder_-1854013440"/>
          </w:placeholder>
        </w:sdtPr>
        <w:sdtContent>
          <w:r w:rsidR="002D122C" w:rsidRPr="002D122C">
            <w:rPr>
              <w:color w:val="000000"/>
              <w:lang w:eastAsia="en-GB"/>
            </w:rPr>
            <w:t>Hogg et al. (2016)</w:t>
          </w:r>
        </w:sdtContent>
      </w:sdt>
      <w:r w:rsidRPr="00B71F1F">
        <w:rPr>
          <w:lang w:eastAsia="en-GB"/>
        </w:rPr>
        <w:t xml:space="preserve"> proposed a </w:t>
      </w:r>
      <w:r w:rsidRPr="00B71F1F">
        <w:rPr>
          <w:b/>
          <w:bCs/>
          <w:lang w:eastAsia="en-GB"/>
        </w:rPr>
        <w:t>water abstraction tax</w:t>
      </w:r>
      <w:r w:rsidRPr="00B71F1F">
        <w:rPr>
          <w:lang w:eastAsia="en-GB"/>
        </w:rPr>
        <w:t xml:space="preserve"> of €190 per 1,000 m³ for industrial users and €300 per 1,000 m³ for households, alongside a </w:t>
      </w:r>
      <w:r w:rsidRPr="00B71F1F">
        <w:rPr>
          <w:b/>
          <w:bCs/>
          <w:lang w:eastAsia="en-GB"/>
        </w:rPr>
        <w:lastRenderedPageBreak/>
        <w:t>wastewater tax</w:t>
      </w:r>
      <w:r w:rsidRPr="00B71F1F">
        <w:rPr>
          <w:lang w:eastAsia="en-GB"/>
        </w:rPr>
        <w:t xml:space="preserve"> of €3.02 per kilogram of biochemical oxygen demand (BOD₅). The current levies are generally lower and vary regionally, reflecting the autonomous role of water boards. A gradual move towards harmonised, environmentally justified rates could improve efficiency and support cost recovery in line with the Water Framework Directive’s “polluter pays” principle.</w:t>
      </w:r>
    </w:p>
    <w:p w14:paraId="075342AA" w14:textId="62E3206E" w:rsidR="00B71F1F" w:rsidRPr="00B71F1F" w:rsidRDefault="00B71F1F" w:rsidP="00B71F1F">
      <w:pPr>
        <w:rPr>
          <w:lang w:eastAsia="en-GB"/>
        </w:rPr>
      </w:pPr>
      <w:r w:rsidRPr="00B71F1F">
        <w:rPr>
          <w:lang w:eastAsia="en-GB"/>
        </w:rPr>
        <w:t xml:space="preserve">Introducing or revising a </w:t>
      </w:r>
      <w:r w:rsidRPr="00B71F1F">
        <w:rPr>
          <w:b/>
          <w:bCs/>
          <w:lang w:eastAsia="en-GB"/>
        </w:rPr>
        <w:t>mineral extraction (aggregates) tax</w:t>
      </w:r>
      <w:r w:rsidRPr="00B71F1F">
        <w:rPr>
          <w:lang w:eastAsia="en-GB"/>
        </w:rPr>
        <w:t xml:space="preserve"> could also help reduce pressures on natural resources and encourage recycling of construction materials. </w:t>
      </w:r>
      <w:sdt>
        <w:sdtPr>
          <w:rPr>
            <w:color w:val="000000"/>
            <w:lang w:eastAsia="en-GB"/>
          </w:rPr>
          <w:tag w:val="MENDELEY_CITATION_v3_eyJjaXRhdGlvbklEIjoiTUVOREVMRVlfQ0lUQVRJT05fYmI3ODFmOGMtYzRiMi00YWY5LWFmZjYtOWM0N2Y1OWJkZGMx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98960639"/>
          <w:placeholder>
            <w:docPart w:val="DefaultPlaceholder_-1854013440"/>
          </w:placeholder>
        </w:sdtPr>
        <w:sdtContent>
          <w:r w:rsidR="002D122C" w:rsidRPr="002D122C">
            <w:rPr>
              <w:color w:val="000000"/>
              <w:lang w:eastAsia="en-GB"/>
            </w:rPr>
            <w:t>Hogg et al. (2016)</w:t>
          </w:r>
        </w:sdtContent>
      </w:sdt>
      <w:r w:rsidRPr="00B71F1F">
        <w:rPr>
          <w:lang w:eastAsia="en-GB"/>
        </w:rPr>
        <w:t xml:space="preserve"> suggested a rate of €2.40 per tonne on materials such as sand, gravel, limestone, and dolomite. Such a tax would align with circular economy objectives and level the playing field with neighbouring countries (e.g. the UK, Denmark, and Belgium), where similar levies have proven effective in promoting secondary materials markets.</w:t>
      </w:r>
    </w:p>
    <w:p w14:paraId="1B643BD2" w14:textId="3717EF0F" w:rsidR="00B71F1F" w:rsidRPr="00B71F1F" w:rsidRDefault="00B71F1F" w:rsidP="00B71F1F">
      <w:pPr>
        <w:rPr>
          <w:lang w:eastAsia="en-GB"/>
        </w:rPr>
      </w:pPr>
      <w:r w:rsidRPr="00B71F1F">
        <w:rPr>
          <w:lang w:eastAsia="en-GB"/>
        </w:rPr>
        <w:t xml:space="preserve">Finally, although the Netherlands already applies landfill and incineration taxes, it could consider updating rates to maintain incentives for recycling and waste prevention as the market evolves. The current landfill tax rate (€32 per tonne in 2025) is well below the </w:t>
      </w:r>
      <w:sdt>
        <w:sdtPr>
          <w:rPr>
            <w:color w:val="000000"/>
            <w:lang w:eastAsia="en-GB"/>
          </w:rPr>
          <w:tag w:val="MENDELEY_CITATION_v3_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"/>
          <w:id w:val="-1346087124"/>
          <w:placeholder>
            <w:docPart w:val="DefaultPlaceholder_-1854013440"/>
          </w:placeholder>
        </w:sdtPr>
        <w:sdtContent>
          <w:r w:rsidR="002D122C" w:rsidRPr="002D122C">
            <w:rPr>
              <w:color w:val="000000"/>
              <w:lang w:eastAsia="en-GB"/>
            </w:rPr>
            <w:t>Hogg et al.</w:t>
          </w:r>
        </w:sdtContent>
      </w:sdt>
      <w:r w:rsidRPr="00B71F1F">
        <w:rPr>
          <w:lang w:eastAsia="en-GB"/>
        </w:rPr>
        <w:t>’s recommended benchmark (€50 per tonne) and may not provide sufficient deterrence against disposal, particularly for residual construction waste.</w:t>
      </w:r>
    </w:p>
    <w:p w14:paraId="4B092BCE" w14:textId="0843C8B7" w:rsidR="009A4DA1" w:rsidRPr="00B71F1F" w:rsidRDefault="00321884" w:rsidP="00B71F1F">
      <w:pPr>
        <w:rPr>
          <w:lang w:eastAsia="en-GB"/>
        </w:rPr>
      </w:pPr>
      <w:r>
        <w:rPr>
          <w:lang w:eastAsia="en-GB"/>
        </w:rPr>
        <w:t>According to the</w:t>
      </w:r>
      <w:r w:rsidR="009A4DA1">
        <w:rPr>
          <w:lang w:eastAsia="en-GB"/>
        </w:rPr>
        <w:t xml:space="preserve"> European Commission</w:t>
      </w:r>
      <w:r>
        <w:rPr>
          <w:lang w:eastAsia="en-GB"/>
        </w:rPr>
        <w:t>,</w:t>
      </w:r>
      <w:r w:rsidR="009A4DA1">
        <w:rPr>
          <w:lang w:eastAsia="en-GB"/>
        </w:rPr>
        <w:t xml:space="preserve"> </w:t>
      </w:r>
      <w:r w:rsidR="00F7190A">
        <w:rPr>
          <w:lang w:eastAsia="en-GB"/>
        </w:rPr>
        <w:t xml:space="preserve">there </w:t>
      </w:r>
      <w:r w:rsidR="00F7190A" w:rsidRPr="00F7190A">
        <w:rPr>
          <w:lang w:eastAsia="en-GB"/>
        </w:rPr>
        <w:t xml:space="preserve">is significant potential to </w:t>
      </w:r>
      <w:r w:rsidR="00F7190A" w:rsidRPr="00BA7936">
        <w:rPr>
          <w:b/>
          <w:lang w:eastAsia="en-GB"/>
        </w:rPr>
        <w:t>extend the pay-as-you-throw system</w:t>
      </w:r>
      <w:r w:rsidR="00F7190A" w:rsidRPr="00F7190A">
        <w:rPr>
          <w:lang w:eastAsia="en-GB"/>
        </w:rPr>
        <w:t xml:space="preserve"> for residual waste nationwide, as only about 37% of the population is currently covered. </w:t>
      </w:r>
      <w:r w:rsidR="00F7190A" w:rsidRPr="00BA7936">
        <w:rPr>
          <w:b/>
          <w:lang w:eastAsia="en-GB"/>
        </w:rPr>
        <w:t>Introducing economic instruments for packaging</w:t>
      </w:r>
      <w:r w:rsidR="00F7190A" w:rsidRPr="00F7190A">
        <w:rPr>
          <w:lang w:eastAsia="en-GB"/>
        </w:rPr>
        <w:t xml:space="preserve"> could also help reduce packaging waste generation, guide choices toward more sustainable packaging materials, and promote recyclability and eco-design</w:t>
      </w:r>
      <w:r>
        <w:rPr>
          <w:rStyle w:val="FootnoteReference"/>
          <w:lang w:eastAsia="en-GB"/>
        </w:rPr>
        <w:footnoteReference w:id="644"/>
      </w:r>
      <w:r>
        <w:rPr>
          <w:lang w:eastAsia="en-GB"/>
        </w:rPr>
        <w:t>.</w:t>
      </w:r>
    </w:p>
    <w:p w14:paraId="480C74F2" w14:textId="12E301FF" w:rsidR="005F1F7F" w:rsidRDefault="005F1F7F" w:rsidP="007C4EB7">
      <w:pPr>
        <w:pStyle w:val="AnnexHeading2"/>
      </w:pPr>
      <w:bookmarkStart w:id="273" w:name="_Toc214008927"/>
      <w:r w:rsidRPr="00EA4C9B">
        <w:t>Impacts and feasibility of implementing new taxes</w:t>
      </w:r>
      <w:bookmarkEnd w:id="273"/>
    </w:p>
    <w:p w14:paraId="705C7F7E" w14:textId="1B0E54DE" w:rsidR="00CF4F57" w:rsidRDefault="00CF4F57" w:rsidP="00CF4F57">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115F87B2" w14:textId="77777777" w:rsidR="00B71F1F" w:rsidRPr="00B71F1F" w:rsidRDefault="00B71F1F" w:rsidP="00B71F1F">
      <w:pPr>
        <w:rPr>
          <w:lang w:eastAsia="en-GB"/>
        </w:rPr>
      </w:pPr>
      <w:r w:rsidRPr="00B71F1F">
        <w:rPr>
          <w:lang w:eastAsia="en-GB"/>
        </w:rPr>
        <w:t>The Netherlands has one of the most comprehensive environmental taxation frameworks in the EU, covering a broad range of energy, transport, waste, and water-related charges. However, the fiscal and environmental potential of pollution and resource taxation remains only partially realised. The modelling results indicate that introducing benchmarked pollution and resource taxes could generate substantial environmental improvements while producing moderate fiscal gains, with low overall macroeconomic risk. Under Scenario A, total additional revenues could reach approximately €960 million by 2030, representing around 22 per cent of the country’s current pollution and resource tax receipts. The largest fiscal contributions would come from water effluent and abstraction charges, while the strongest environmental effects would arise from pesticide and fertiliser taxation.</w:t>
      </w:r>
    </w:p>
    <w:p w14:paraId="50337AFC" w14:textId="3ADCA7B3" w:rsidR="00B71F1F" w:rsidRDefault="00B71F1F" w:rsidP="00B71F1F">
      <w:pPr>
        <w:rPr>
          <w:lang w:eastAsia="en-GB"/>
        </w:rPr>
      </w:pPr>
      <w:r>
        <w:rPr>
          <w:lang w:eastAsia="en-GB"/>
        </w:rPr>
        <w:t xml:space="preserve">Total revenues from the </w:t>
      </w:r>
      <w:r w:rsidR="00185A09">
        <w:t>investigated</w:t>
      </w:r>
      <w:r>
        <w:rPr>
          <w:lang w:eastAsia="en-GB"/>
        </w:rPr>
        <w:t xml:space="preserve"> taxes could rise by around €960 million in 2030 and €930 million in 2035, respectively 22% and 21% the revenues for pollution and resource taxes in 2023.  These are among the smallest increases across Member States from the </w:t>
      </w:r>
      <w:r w:rsidR="00185A09">
        <w:t>investigated</w:t>
      </w:r>
      <w:r>
        <w:rPr>
          <w:lang w:eastAsia="en-GB"/>
        </w:rPr>
        <w:t xml:space="preserve"> taxes and the Netherlands already raises over €4 billion from pollution and resource taxes. The greatest gains are from water effluent (63%), water abstraction (31%) and mineral extraction 13%%) of the total.  The other </w:t>
      </w:r>
      <w:r>
        <w:rPr>
          <w:lang w:eastAsia="en-GB"/>
        </w:rPr>
        <w:lastRenderedPageBreak/>
        <w:t xml:space="preserve">contributors are air pollution taxes (especially SO2), pesticides and fertilizers. No contribution is made from waste to incineration as it is already taxed at above the </w:t>
      </w:r>
      <w:r w:rsidR="00185A09">
        <w:t>investigated</w:t>
      </w:r>
      <w:r>
        <w:rPr>
          <w:lang w:eastAsia="en-GB"/>
        </w:rPr>
        <w:t xml:space="preserve"> minimum rates. Reduction in emissions or use of materials is greatest for pesticides (58%), fertilizers (42%) and SO2 (26-28%).</w:t>
      </w: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123"/>
        <w:gridCol w:w="1124"/>
        <w:gridCol w:w="1030"/>
        <w:gridCol w:w="1217"/>
        <w:gridCol w:w="967"/>
        <w:gridCol w:w="1283"/>
      </w:tblGrid>
      <w:tr w:rsidR="00B71F1F" w:rsidRPr="00F501DA" w14:paraId="025D1735" w14:textId="77777777" w:rsidTr="00BA7936">
        <w:trPr>
          <w:trHeight w:val="265"/>
        </w:trPr>
        <w:tc>
          <w:tcPr>
            <w:tcW w:w="8991" w:type="dxa"/>
            <w:gridSpan w:val="7"/>
            <w:shd w:val="clear" w:color="auto" w:fill="003399"/>
          </w:tcPr>
          <w:p w14:paraId="620203EA" w14:textId="4E94424F" w:rsidR="00B71F1F" w:rsidRPr="001705E9" w:rsidRDefault="00B71F1F" w:rsidP="000878F6">
            <w:pPr>
              <w:pStyle w:val="Table"/>
              <w:rPr>
                <w:b/>
                <w:lang w:eastAsia="en-GB"/>
              </w:rPr>
            </w:pPr>
            <w:r w:rsidRPr="001705E9">
              <w:rPr>
                <w:b/>
                <w:color w:val="FFFFFF" w:themeColor="background1"/>
              </w:rPr>
              <w:t xml:space="preserve">Table </w:t>
            </w:r>
            <w:r w:rsidR="00490085">
              <w:rPr>
                <w:b/>
                <w:bCs/>
                <w:color w:val="FFFFFF" w:themeColor="background1"/>
              </w:rPr>
              <w:t>A6</w:t>
            </w:r>
            <w:r w:rsidRPr="001705E9">
              <w:rPr>
                <w:b/>
                <w:bCs/>
                <w:color w:val="FFFFFF" w:themeColor="background1"/>
              </w:rPr>
              <w:t>-</w:t>
            </w:r>
            <w:r w:rsidRPr="001705E9">
              <w:rPr>
                <w:b/>
                <w:bCs/>
                <w:color w:val="FFFFFF" w:themeColor="background1"/>
              </w:rPr>
              <w:fldChar w:fldCharType="begin"/>
            </w:r>
            <w:r w:rsidRPr="001705E9">
              <w:rPr>
                <w:b/>
                <w:bCs/>
                <w:color w:val="FFFFFF" w:themeColor="background1"/>
              </w:rPr>
              <w:instrText xml:space="preserve"> SEQ Table_A5- \* ARABIC </w:instrText>
            </w:r>
            <w:r w:rsidRPr="001705E9">
              <w:rPr>
                <w:b/>
                <w:bCs/>
                <w:color w:val="FFFFFF" w:themeColor="background1"/>
              </w:rPr>
              <w:fldChar w:fldCharType="separate"/>
            </w:r>
            <w:r>
              <w:rPr>
                <w:b/>
                <w:bCs/>
                <w:noProof/>
                <w:color w:val="FFFFFF" w:themeColor="background1"/>
              </w:rPr>
              <w:t>101</w:t>
            </w:r>
            <w:r w:rsidRPr="001705E9">
              <w:rPr>
                <w:b/>
                <w:bCs/>
                <w:color w:val="FFFFFF" w:themeColor="background1"/>
              </w:rPr>
              <w:fldChar w:fldCharType="end"/>
            </w:r>
            <w:r w:rsidRPr="001705E9">
              <w:rPr>
                <w:b/>
                <w:bCs/>
                <w:color w:val="FFFFFF" w:themeColor="background1"/>
                <w:lang w:eastAsia="en-GB"/>
              </w:rPr>
              <w:t>:</w:t>
            </w:r>
            <w:r w:rsidRPr="001705E9">
              <w:rPr>
                <w:b/>
                <w:color w:val="FFFFFF" w:themeColor="background1"/>
                <w:lang w:eastAsia="en-GB"/>
              </w:rPr>
              <w:t xml:space="preserve"> Environmental Impacts and Revenue Changes in Netherlands</w:t>
            </w:r>
            <w:r>
              <w:rPr>
                <w:b/>
                <w:color w:val="FFFFFF" w:themeColor="background1"/>
                <w:lang w:eastAsia="en-GB"/>
              </w:rPr>
              <w:t xml:space="preserve"> – Scenario A</w:t>
            </w:r>
          </w:p>
        </w:tc>
      </w:tr>
      <w:tr w:rsidR="00B71F1F" w:rsidRPr="00F501DA" w14:paraId="0D997FAC" w14:textId="77777777" w:rsidTr="00BA7936">
        <w:trPr>
          <w:trHeight w:val="506"/>
        </w:trPr>
        <w:tc>
          <w:tcPr>
            <w:tcW w:w="2247" w:type="dxa"/>
          </w:tcPr>
          <w:p w14:paraId="484FEEA5" w14:textId="77777777" w:rsidR="00B71F1F" w:rsidRPr="001705E9" w:rsidRDefault="00B71F1F" w:rsidP="000878F6">
            <w:pPr>
              <w:pStyle w:val="Table"/>
              <w:rPr>
                <w:b/>
              </w:rPr>
            </w:pPr>
            <w:r w:rsidRPr="001705E9">
              <w:rPr>
                <w:b/>
              </w:rPr>
              <w:t>Tax Name</w:t>
            </w:r>
          </w:p>
        </w:tc>
        <w:tc>
          <w:tcPr>
            <w:tcW w:w="2247" w:type="dxa"/>
            <w:gridSpan w:val="2"/>
            <w:vAlign w:val="bottom"/>
          </w:tcPr>
          <w:p w14:paraId="3D831818" w14:textId="77777777" w:rsidR="00B71F1F" w:rsidRPr="00593AE2" w:rsidRDefault="00B71F1F" w:rsidP="000878F6">
            <w:pPr>
              <w:pStyle w:val="Table"/>
              <w:jc w:val="center"/>
              <w:rPr>
                <w:b/>
                <w:szCs w:val="20"/>
              </w:rPr>
            </w:pPr>
            <w:r w:rsidRPr="00593AE2">
              <w:rPr>
                <w:rFonts w:ascii="Calibri" w:hAnsi="Calibri" w:cs="Calibri"/>
                <w:b/>
                <w:bCs/>
                <w:color w:val="000000"/>
                <w:szCs w:val="20"/>
              </w:rPr>
              <w:t>% Change in Quantities as % of taxed sector</w:t>
            </w:r>
          </w:p>
        </w:tc>
        <w:tc>
          <w:tcPr>
            <w:tcW w:w="2247" w:type="dxa"/>
            <w:gridSpan w:val="2"/>
            <w:vAlign w:val="bottom"/>
          </w:tcPr>
          <w:p w14:paraId="69402DA1" w14:textId="77777777" w:rsidR="00B71F1F" w:rsidRPr="00593AE2" w:rsidRDefault="00B71F1F" w:rsidP="000878F6">
            <w:pPr>
              <w:pStyle w:val="Table"/>
              <w:jc w:val="center"/>
              <w:rPr>
                <w:b/>
                <w:szCs w:val="20"/>
              </w:rPr>
            </w:pPr>
            <w:r w:rsidRPr="00593AE2">
              <w:rPr>
                <w:rFonts w:ascii="Calibri" w:hAnsi="Calibri" w:cs="Calibri"/>
                <w:b/>
                <w:bCs/>
                <w:color w:val="000000"/>
                <w:szCs w:val="20"/>
              </w:rPr>
              <w:t>Change in Revenues (€Mn)</w:t>
            </w:r>
          </w:p>
        </w:tc>
        <w:tc>
          <w:tcPr>
            <w:tcW w:w="2250" w:type="dxa"/>
            <w:gridSpan w:val="2"/>
            <w:vAlign w:val="bottom"/>
          </w:tcPr>
          <w:p w14:paraId="5E235C51" w14:textId="77777777" w:rsidR="00B71F1F" w:rsidRPr="00593AE2" w:rsidRDefault="00B71F1F" w:rsidP="000878F6">
            <w:pPr>
              <w:pStyle w:val="Table"/>
              <w:jc w:val="center"/>
              <w:rPr>
                <w:b/>
                <w:szCs w:val="20"/>
              </w:rPr>
            </w:pPr>
            <w:r w:rsidRPr="00593AE2">
              <w:rPr>
                <w:rFonts w:ascii="Calibri" w:hAnsi="Calibri" w:cs="Calibri"/>
                <w:b/>
                <w:bCs/>
                <w:color w:val="000000"/>
                <w:szCs w:val="20"/>
              </w:rPr>
              <w:t>As % of 2023 Resource Tax</w:t>
            </w:r>
          </w:p>
        </w:tc>
      </w:tr>
      <w:tr w:rsidR="00B71F1F" w:rsidRPr="00355514" w14:paraId="3C1F74FB" w14:textId="77777777" w:rsidTr="00BA7936">
        <w:trPr>
          <w:trHeight w:val="243"/>
        </w:trPr>
        <w:tc>
          <w:tcPr>
            <w:tcW w:w="2247" w:type="dxa"/>
          </w:tcPr>
          <w:p w14:paraId="54C3A0B5" w14:textId="77777777" w:rsidR="00B71F1F" w:rsidRPr="002D44FA" w:rsidRDefault="00B71F1F" w:rsidP="000878F6">
            <w:pPr>
              <w:pStyle w:val="Table"/>
              <w:jc w:val="left"/>
              <w:rPr>
                <w:b/>
              </w:rPr>
            </w:pPr>
            <w:r w:rsidRPr="002D44FA">
              <w:rPr>
                <w:b/>
              </w:rPr>
              <w:t>Year</w:t>
            </w:r>
          </w:p>
        </w:tc>
        <w:tc>
          <w:tcPr>
            <w:tcW w:w="1123" w:type="dxa"/>
          </w:tcPr>
          <w:p w14:paraId="6FF91492" w14:textId="77777777" w:rsidR="00B71F1F" w:rsidRPr="00593AE2" w:rsidRDefault="00B71F1F" w:rsidP="000878F6">
            <w:pPr>
              <w:pStyle w:val="Table"/>
              <w:jc w:val="center"/>
              <w:rPr>
                <w:b/>
                <w:szCs w:val="20"/>
              </w:rPr>
            </w:pPr>
            <w:r w:rsidRPr="00593AE2">
              <w:rPr>
                <w:b/>
                <w:szCs w:val="20"/>
              </w:rPr>
              <w:t>2030</w:t>
            </w:r>
          </w:p>
        </w:tc>
        <w:tc>
          <w:tcPr>
            <w:tcW w:w="1124" w:type="dxa"/>
          </w:tcPr>
          <w:p w14:paraId="4197168E" w14:textId="77777777" w:rsidR="00B71F1F" w:rsidRPr="00593AE2" w:rsidRDefault="00B71F1F" w:rsidP="000878F6">
            <w:pPr>
              <w:pStyle w:val="Table"/>
              <w:jc w:val="center"/>
              <w:rPr>
                <w:b/>
                <w:szCs w:val="20"/>
              </w:rPr>
            </w:pPr>
            <w:r w:rsidRPr="00593AE2">
              <w:rPr>
                <w:b/>
                <w:szCs w:val="20"/>
              </w:rPr>
              <w:t>2035</w:t>
            </w:r>
          </w:p>
        </w:tc>
        <w:tc>
          <w:tcPr>
            <w:tcW w:w="1030" w:type="dxa"/>
          </w:tcPr>
          <w:p w14:paraId="5C49269E" w14:textId="77777777" w:rsidR="00B71F1F" w:rsidRPr="00593AE2" w:rsidRDefault="00B71F1F" w:rsidP="000878F6">
            <w:pPr>
              <w:pStyle w:val="Table"/>
              <w:jc w:val="center"/>
              <w:rPr>
                <w:b/>
                <w:szCs w:val="20"/>
              </w:rPr>
            </w:pPr>
            <w:r w:rsidRPr="00593AE2">
              <w:rPr>
                <w:b/>
                <w:szCs w:val="20"/>
              </w:rPr>
              <w:t>2030</w:t>
            </w:r>
          </w:p>
        </w:tc>
        <w:tc>
          <w:tcPr>
            <w:tcW w:w="1217" w:type="dxa"/>
          </w:tcPr>
          <w:p w14:paraId="7D5B5DDA" w14:textId="77777777" w:rsidR="00B71F1F" w:rsidRPr="00593AE2" w:rsidRDefault="00B71F1F" w:rsidP="000878F6">
            <w:pPr>
              <w:pStyle w:val="Table"/>
              <w:jc w:val="center"/>
              <w:rPr>
                <w:b/>
                <w:szCs w:val="20"/>
              </w:rPr>
            </w:pPr>
            <w:r w:rsidRPr="00593AE2">
              <w:rPr>
                <w:b/>
                <w:szCs w:val="20"/>
              </w:rPr>
              <w:t>2035</w:t>
            </w:r>
          </w:p>
        </w:tc>
        <w:tc>
          <w:tcPr>
            <w:tcW w:w="967" w:type="dxa"/>
          </w:tcPr>
          <w:p w14:paraId="352C67F6" w14:textId="77777777" w:rsidR="00B71F1F" w:rsidRPr="00593AE2" w:rsidRDefault="00B71F1F" w:rsidP="000878F6">
            <w:pPr>
              <w:pStyle w:val="Table"/>
              <w:jc w:val="center"/>
              <w:rPr>
                <w:b/>
                <w:szCs w:val="20"/>
              </w:rPr>
            </w:pPr>
            <w:r w:rsidRPr="00593AE2">
              <w:rPr>
                <w:b/>
                <w:szCs w:val="20"/>
              </w:rPr>
              <w:t>2030</w:t>
            </w:r>
          </w:p>
        </w:tc>
        <w:tc>
          <w:tcPr>
            <w:tcW w:w="1283" w:type="dxa"/>
          </w:tcPr>
          <w:p w14:paraId="039D1446" w14:textId="77777777" w:rsidR="00B71F1F" w:rsidRPr="00593AE2" w:rsidRDefault="00B71F1F" w:rsidP="000878F6">
            <w:pPr>
              <w:pStyle w:val="Table"/>
              <w:jc w:val="center"/>
              <w:rPr>
                <w:b/>
                <w:szCs w:val="20"/>
              </w:rPr>
            </w:pPr>
            <w:r w:rsidRPr="00593AE2">
              <w:rPr>
                <w:b/>
                <w:szCs w:val="20"/>
              </w:rPr>
              <w:t>2035</w:t>
            </w:r>
          </w:p>
        </w:tc>
      </w:tr>
      <w:tr w:rsidR="00B71F1F" w:rsidRPr="00355514" w14:paraId="241CC780" w14:textId="77777777" w:rsidTr="00BA7936">
        <w:trPr>
          <w:trHeight w:val="243"/>
        </w:trPr>
        <w:tc>
          <w:tcPr>
            <w:tcW w:w="2247" w:type="dxa"/>
          </w:tcPr>
          <w:p w14:paraId="1DD799D4" w14:textId="77777777" w:rsidR="00B71F1F" w:rsidRPr="00F501DA" w:rsidRDefault="00B71F1F" w:rsidP="000878F6">
            <w:pPr>
              <w:pStyle w:val="Table"/>
            </w:pPr>
            <w:r w:rsidRPr="00F501DA">
              <w:t>NOx</w:t>
            </w:r>
          </w:p>
        </w:tc>
        <w:tc>
          <w:tcPr>
            <w:tcW w:w="1123" w:type="dxa"/>
            <w:vAlign w:val="center"/>
          </w:tcPr>
          <w:p w14:paraId="733508EB" w14:textId="77777777" w:rsidR="00B71F1F" w:rsidRPr="00593AE2" w:rsidRDefault="00B71F1F" w:rsidP="000878F6">
            <w:pPr>
              <w:pStyle w:val="Table"/>
              <w:jc w:val="center"/>
              <w:rPr>
                <w:szCs w:val="20"/>
              </w:rPr>
            </w:pPr>
            <w:r w:rsidRPr="00593AE2">
              <w:rPr>
                <w:rFonts w:ascii="Calibri" w:hAnsi="Calibri" w:cs="Calibri"/>
                <w:color w:val="000000"/>
                <w:szCs w:val="20"/>
              </w:rPr>
              <w:t>-28,57%</w:t>
            </w:r>
          </w:p>
        </w:tc>
        <w:tc>
          <w:tcPr>
            <w:tcW w:w="1124" w:type="dxa"/>
            <w:vAlign w:val="center"/>
          </w:tcPr>
          <w:p w14:paraId="54A41455" w14:textId="77777777" w:rsidR="00B71F1F" w:rsidRPr="00593AE2" w:rsidRDefault="00B71F1F" w:rsidP="000878F6">
            <w:pPr>
              <w:pStyle w:val="Table"/>
              <w:jc w:val="center"/>
              <w:rPr>
                <w:szCs w:val="20"/>
              </w:rPr>
            </w:pPr>
            <w:r w:rsidRPr="00593AE2">
              <w:rPr>
                <w:rFonts w:ascii="Calibri" w:hAnsi="Calibri" w:cs="Calibri"/>
                <w:color w:val="000000"/>
                <w:szCs w:val="20"/>
              </w:rPr>
              <w:t>-28,57%</w:t>
            </w:r>
          </w:p>
        </w:tc>
        <w:tc>
          <w:tcPr>
            <w:tcW w:w="1030" w:type="dxa"/>
            <w:vAlign w:val="center"/>
          </w:tcPr>
          <w:p w14:paraId="35ACEF8D" w14:textId="77777777" w:rsidR="00B71F1F" w:rsidRPr="00593AE2" w:rsidRDefault="00B71F1F" w:rsidP="000878F6">
            <w:pPr>
              <w:pStyle w:val="Table"/>
              <w:jc w:val="center"/>
              <w:rPr>
                <w:szCs w:val="20"/>
              </w:rPr>
            </w:pPr>
            <w:r w:rsidRPr="00593AE2">
              <w:rPr>
                <w:rFonts w:ascii="Calibri" w:hAnsi="Calibri" w:cs="Calibri"/>
                <w:color w:val="000000"/>
                <w:szCs w:val="20"/>
              </w:rPr>
              <w:t>1,89</w:t>
            </w:r>
          </w:p>
        </w:tc>
        <w:tc>
          <w:tcPr>
            <w:tcW w:w="1217" w:type="dxa"/>
            <w:vAlign w:val="center"/>
          </w:tcPr>
          <w:p w14:paraId="466EB290" w14:textId="77777777" w:rsidR="00B71F1F" w:rsidRPr="00593AE2" w:rsidRDefault="00B71F1F" w:rsidP="000878F6">
            <w:pPr>
              <w:pStyle w:val="Table"/>
              <w:jc w:val="center"/>
              <w:rPr>
                <w:szCs w:val="20"/>
              </w:rPr>
            </w:pPr>
            <w:r w:rsidRPr="00593AE2">
              <w:rPr>
                <w:rFonts w:ascii="Calibri" w:hAnsi="Calibri" w:cs="Calibri"/>
                <w:color w:val="000000"/>
                <w:szCs w:val="20"/>
              </w:rPr>
              <w:t>1,38</w:t>
            </w:r>
          </w:p>
        </w:tc>
        <w:tc>
          <w:tcPr>
            <w:tcW w:w="967" w:type="dxa"/>
            <w:vAlign w:val="center"/>
          </w:tcPr>
          <w:p w14:paraId="1FC51CF3" w14:textId="77777777" w:rsidR="00B71F1F" w:rsidRPr="00593AE2" w:rsidRDefault="00B71F1F" w:rsidP="000878F6">
            <w:pPr>
              <w:pStyle w:val="Table"/>
              <w:jc w:val="center"/>
              <w:rPr>
                <w:szCs w:val="20"/>
              </w:rPr>
            </w:pPr>
            <w:r w:rsidRPr="00593AE2">
              <w:rPr>
                <w:rFonts w:ascii="Calibri" w:hAnsi="Calibri" w:cs="Calibri"/>
                <w:color w:val="000000"/>
                <w:szCs w:val="20"/>
              </w:rPr>
              <w:t>0,05%</w:t>
            </w:r>
          </w:p>
        </w:tc>
        <w:tc>
          <w:tcPr>
            <w:tcW w:w="1283" w:type="dxa"/>
            <w:vAlign w:val="center"/>
          </w:tcPr>
          <w:p w14:paraId="67F45990" w14:textId="77777777" w:rsidR="00B71F1F" w:rsidRPr="00593AE2" w:rsidRDefault="00B71F1F" w:rsidP="000878F6">
            <w:pPr>
              <w:pStyle w:val="Table"/>
              <w:jc w:val="center"/>
              <w:rPr>
                <w:szCs w:val="20"/>
              </w:rPr>
            </w:pPr>
            <w:r w:rsidRPr="00593AE2">
              <w:rPr>
                <w:rFonts w:ascii="Calibri" w:hAnsi="Calibri" w:cs="Calibri"/>
                <w:color w:val="000000"/>
                <w:szCs w:val="20"/>
              </w:rPr>
              <w:t>0,03%</w:t>
            </w:r>
          </w:p>
        </w:tc>
      </w:tr>
      <w:tr w:rsidR="00B71F1F" w:rsidRPr="00355514" w14:paraId="47CBBB35" w14:textId="77777777" w:rsidTr="00BA7936">
        <w:trPr>
          <w:trHeight w:val="243"/>
        </w:trPr>
        <w:tc>
          <w:tcPr>
            <w:tcW w:w="2247" w:type="dxa"/>
          </w:tcPr>
          <w:p w14:paraId="7F1E3956" w14:textId="77777777" w:rsidR="00B71F1F" w:rsidRPr="00F501DA" w:rsidRDefault="00B71F1F" w:rsidP="000878F6">
            <w:pPr>
              <w:pStyle w:val="Table"/>
            </w:pPr>
            <w:r w:rsidRPr="00F501DA">
              <w:t>SO2</w:t>
            </w:r>
          </w:p>
        </w:tc>
        <w:tc>
          <w:tcPr>
            <w:tcW w:w="1123" w:type="dxa"/>
            <w:vAlign w:val="center"/>
          </w:tcPr>
          <w:p w14:paraId="458A8F27" w14:textId="77777777" w:rsidR="00B71F1F" w:rsidRPr="00593AE2" w:rsidRDefault="00B71F1F" w:rsidP="000878F6">
            <w:pPr>
              <w:pStyle w:val="Table"/>
              <w:jc w:val="center"/>
              <w:rPr>
                <w:szCs w:val="20"/>
              </w:rPr>
            </w:pPr>
            <w:r w:rsidRPr="00593AE2">
              <w:rPr>
                <w:rFonts w:ascii="Calibri" w:hAnsi="Calibri" w:cs="Calibri"/>
                <w:color w:val="000000"/>
                <w:szCs w:val="20"/>
              </w:rPr>
              <w:t>-32,43%</w:t>
            </w:r>
          </w:p>
        </w:tc>
        <w:tc>
          <w:tcPr>
            <w:tcW w:w="1124" w:type="dxa"/>
            <w:vAlign w:val="center"/>
          </w:tcPr>
          <w:p w14:paraId="6FA2AF32" w14:textId="77777777" w:rsidR="00B71F1F" w:rsidRPr="00593AE2" w:rsidRDefault="00B71F1F" w:rsidP="000878F6">
            <w:pPr>
              <w:pStyle w:val="Table"/>
              <w:jc w:val="center"/>
              <w:rPr>
                <w:szCs w:val="20"/>
              </w:rPr>
            </w:pPr>
            <w:r w:rsidRPr="00593AE2">
              <w:rPr>
                <w:rFonts w:ascii="Calibri" w:hAnsi="Calibri" w:cs="Calibri"/>
                <w:color w:val="000000"/>
                <w:szCs w:val="20"/>
              </w:rPr>
              <w:t>-32,43%</w:t>
            </w:r>
          </w:p>
        </w:tc>
        <w:tc>
          <w:tcPr>
            <w:tcW w:w="1030" w:type="dxa"/>
            <w:vAlign w:val="center"/>
          </w:tcPr>
          <w:p w14:paraId="4F27FDCF" w14:textId="77777777" w:rsidR="00B71F1F" w:rsidRPr="00593AE2" w:rsidRDefault="00B71F1F" w:rsidP="000878F6">
            <w:pPr>
              <w:pStyle w:val="Table"/>
              <w:jc w:val="center"/>
              <w:rPr>
                <w:szCs w:val="20"/>
              </w:rPr>
            </w:pPr>
            <w:r w:rsidRPr="00593AE2">
              <w:rPr>
                <w:rFonts w:ascii="Calibri" w:hAnsi="Calibri" w:cs="Calibri"/>
                <w:color w:val="000000"/>
                <w:szCs w:val="20"/>
              </w:rPr>
              <w:t>10,84</w:t>
            </w:r>
          </w:p>
        </w:tc>
        <w:tc>
          <w:tcPr>
            <w:tcW w:w="1217" w:type="dxa"/>
            <w:vAlign w:val="center"/>
          </w:tcPr>
          <w:p w14:paraId="4C40D693" w14:textId="77777777" w:rsidR="00B71F1F" w:rsidRPr="00593AE2" w:rsidRDefault="00B71F1F" w:rsidP="000878F6">
            <w:pPr>
              <w:pStyle w:val="Table"/>
              <w:jc w:val="center"/>
              <w:rPr>
                <w:szCs w:val="20"/>
              </w:rPr>
            </w:pPr>
            <w:r w:rsidRPr="00593AE2">
              <w:rPr>
                <w:rFonts w:ascii="Calibri" w:hAnsi="Calibri" w:cs="Calibri"/>
                <w:color w:val="000000"/>
                <w:szCs w:val="20"/>
              </w:rPr>
              <w:t>8,44</w:t>
            </w:r>
          </w:p>
        </w:tc>
        <w:tc>
          <w:tcPr>
            <w:tcW w:w="967" w:type="dxa"/>
            <w:vAlign w:val="center"/>
          </w:tcPr>
          <w:p w14:paraId="6E74A037" w14:textId="77777777" w:rsidR="00B71F1F" w:rsidRPr="00593AE2" w:rsidRDefault="00B71F1F" w:rsidP="000878F6">
            <w:pPr>
              <w:pStyle w:val="Table"/>
              <w:jc w:val="center"/>
              <w:rPr>
                <w:szCs w:val="20"/>
              </w:rPr>
            </w:pPr>
            <w:r w:rsidRPr="00593AE2">
              <w:rPr>
                <w:rFonts w:ascii="Calibri" w:hAnsi="Calibri" w:cs="Calibri"/>
                <w:color w:val="000000"/>
                <w:szCs w:val="20"/>
              </w:rPr>
              <w:t>0,26%</w:t>
            </w:r>
          </w:p>
        </w:tc>
        <w:tc>
          <w:tcPr>
            <w:tcW w:w="1283" w:type="dxa"/>
            <w:vAlign w:val="center"/>
          </w:tcPr>
          <w:p w14:paraId="0B333D85" w14:textId="77777777" w:rsidR="00B71F1F" w:rsidRPr="00593AE2" w:rsidRDefault="00B71F1F" w:rsidP="000878F6">
            <w:pPr>
              <w:pStyle w:val="Table"/>
              <w:jc w:val="center"/>
              <w:rPr>
                <w:szCs w:val="20"/>
              </w:rPr>
            </w:pPr>
            <w:r w:rsidRPr="00593AE2">
              <w:rPr>
                <w:rFonts w:ascii="Calibri" w:hAnsi="Calibri" w:cs="Calibri"/>
                <w:color w:val="000000"/>
                <w:szCs w:val="20"/>
              </w:rPr>
              <w:t>0,21%</w:t>
            </w:r>
          </w:p>
        </w:tc>
      </w:tr>
      <w:tr w:rsidR="00B71F1F" w:rsidRPr="00355514" w14:paraId="1ACF230E" w14:textId="77777777" w:rsidTr="00BA7936">
        <w:trPr>
          <w:trHeight w:val="243"/>
        </w:trPr>
        <w:tc>
          <w:tcPr>
            <w:tcW w:w="2247" w:type="dxa"/>
          </w:tcPr>
          <w:p w14:paraId="6DD9BA51" w14:textId="77777777" w:rsidR="00B71F1F" w:rsidRPr="00F501DA" w:rsidRDefault="00B71F1F" w:rsidP="000878F6">
            <w:pPr>
              <w:pStyle w:val="Table"/>
            </w:pPr>
            <w:r w:rsidRPr="00F501DA">
              <w:t>PM2.5</w:t>
            </w:r>
          </w:p>
        </w:tc>
        <w:tc>
          <w:tcPr>
            <w:tcW w:w="1123" w:type="dxa"/>
            <w:vAlign w:val="center"/>
          </w:tcPr>
          <w:p w14:paraId="54CD9C00" w14:textId="77777777" w:rsidR="00B71F1F" w:rsidRPr="00593AE2" w:rsidRDefault="00B71F1F" w:rsidP="000878F6">
            <w:pPr>
              <w:pStyle w:val="Table"/>
              <w:jc w:val="center"/>
              <w:rPr>
                <w:szCs w:val="20"/>
              </w:rPr>
            </w:pPr>
            <w:r w:rsidRPr="00593AE2">
              <w:rPr>
                <w:rFonts w:ascii="Calibri" w:hAnsi="Calibri" w:cs="Calibri"/>
                <w:color w:val="000000"/>
                <w:szCs w:val="20"/>
              </w:rPr>
              <w:t>-29,58%</w:t>
            </w:r>
          </w:p>
        </w:tc>
        <w:tc>
          <w:tcPr>
            <w:tcW w:w="1124" w:type="dxa"/>
            <w:vAlign w:val="center"/>
          </w:tcPr>
          <w:p w14:paraId="6EE69F76" w14:textId="77777777" w:rsidR="00B71F1F" w:rsidRPr="00593AE2" w:rsidRDefault="00B71F1F" w:rsidP="000878F6">
            <w:pPr>
              <w:pStyle w:val="Table"/>
              <w:jc w:val="center"/>
              <w:rPr>
                <w:szCs w:val="20"/>
              </w:rPr>
            </w:pPr>
            <w:r w:rsidRPr="00593AE2">
              <w:rPr>
                <w:rFonts w:ascii="Calibri" w:hAnsi="Calibri" w:cs="Calibri"/>
                <w:color w:val="000000"/>
                <w:szCs w:val="20"/>
              </w:rPr>
              <w:t>-29,58%</w:t>
            </w:r>
          </w:p>
        </w:tc>
        <w:tc>
          <w:tcPr>
            <w:tcW w:w="1030" w:type="dxa"/>
            <w:vAlign w:val="center"/>
          </w:tcPr>
          <w:p w14:paraId="20806E8D" w14:textId="77777777" w:rsidR="00B71F1F" w:rsidRPr="00593AE2" w:rsidRDefault="00B71F1F" w:rsidP="000878F6">
            <w:pPr>
              <w:pStyle w:val="Table"/>
              <w:jc w:val="center"/>
              <w:rPr>
                <w:szCs w:val="20"/>
              </w:rPr>
            </w:pPr>
            <w:r w:rsidRPr="00593AE2">
              <w:rPr>
                <w:rFonts w:ascii="Calibri" w:hAnsi="Calibri" w:cs="Calibri"/>
                <w:color w:val="000000"/>
                <w:szCs w:val="20"/>
              </w:rPr>
              <w:t>3,44</w:t>
            </w:r>
          </w:p>
        </w:tc>
        <w:tc>
          <w:tcPr>
            <w:tcW w:w="1217" w:type="dxa"/>
            <w:vAlign w:val="center"/>
          </w:tcPr>
          <w:p w14:paraId="7A1DD449" w14:textId="77777777" w:rsidR="00B71F1F" w:rsidRPr="00593AE2" w:rsidRDefault="00B71F1F" w:rsidP="000878F6">
            <w:pPr>
              <w:pStyle w:val="Table"/>
              <w:jc w:val="center"/>
              <w:rPr>
                <w:szCs w:val="20"/>
              </w:rPr>
            </w:pPr>
            <w:r w:rsidRPr="00593AE2">
              <w:rPr>
                <w:rFonts w:ascii="Calibri" w:hAnsi="Calibri" w:cs="Calibri"/>
                <w:color w:val="000000"/>
                <w:szCs w:val="20"/>
              </w:rPr>
              <w:t>2,97</w:t>
            </w:r>
          </w:p>
        </w:tc>
        <w:tc>
          <w:tcPr>
            <w:tcW w:w="967" w:type="dxa"/>
            <w:vAlign w:val="center"/>
          </w:tcPr>
          <w:p w14:paraId="6565F625" w14:textId="77777777" w:rsidR="00B71F1F" w:rsidRPr="00593AE2" w:rsidRDefault="00B71F1F" w:rsidP="000878F6">
            <w:pPr>
              <w:pStyle w:val="Table"/>
              <w:jc w:val="center"/>
              <w:rPr>
                <w:szCs w:val="20"/>
              </w:rPr>
            </w:pPr>
            <w:r w:rsidRPr="00593AE2">
              <w:rPr>
                <w:rFonts w:ascii="Calibri" w:hAnsi="Calibri" w:cs="Calibri"/>
                <w:color w:val="000000"/>
                <w:szCs w:val="20"/>
              </w:rPr>
              <w:t>0,08%</w:t>
            </w:r>
          </w:p>
        </w:tc>
        <w:tc>
          <w:tcPr>
            <w:tcW w:w="1283" w:type="dxa"/>
            <w:vAlign w:val="center"/>
          </w:tcPr>
          <w:p w14:paraId="13A0CC6D" w14:textId="77777777" w:rsidR="00B71F1F" w:rsidRPr="00593AE2" w:rsidRDefault="00B71F1F" w:rsidP="000878F6">
            <w:pPr>
              <w:pStyle w:val="Table"/>
              <w:jc w:val="center"/>
              <w:rPr>
                <w:szCs w:val="20"/>
              </w:rPr>
            </w:pPr>
            <w:r w:rsidRPr="00593AE2">
              <w:rPr>
                <w:rFonts w:ascii="Calibri" w:hAnsi="Calibri" w:cs="Calibri"/>
                <w:color w:val="000000"/>
                <w:szCs w:val="20"/>
              </w:rPr>
              <w:t>0,07%</w:t>
            </w:r>
          </w:p>
        </w:tc>
      </w:tr>
      <w:tr w:rsidR="00B71F1F" w:rsidRPr="00355514" w14:paraId="3067E0D5" w14:textId="77777777" w:rsidTr="00BA7936">
        <w:trPr>
          <w:trHeight w:val="243"/>
        </w:trPr>
        <w:tc>
          <w:tcPr>
            <w:tcW w:w="2247" w:type="dxa"/>
          </w:tcPr>
          <w:p w14:paraId="17807F12" w14:textId="77777777" w:rsidR="00B71F1F" w:rsidRPr="00F501DA" w:rsidRDefault="00B71F1F" w:rsidP="000878F6">
            <w:pPr>
              <w:pStyle w:val="Table"/>
            </w:pPr>
            <w:r w:rsidRPr="00F501DA">
              <w:t>Water Abstraction</w:t>
            </w:r>
          </w:p>
        </w:tc>
        <w:tc>
          <w:tcPr>
            <w:tcW w:w="1123" w:type="dxa"/>
            <w:vAlign w:val="center"/>
          </w:tcPr>
          <w:p w14:paraId="379784BF" w14:textId="77777777" w:rsidR="00B71F1F" w:rsidRPr="00593AE2" w:rsidRDefault="00B71F1F" w:rsidP="000878F6">
            <w:pPr>
              <w:pStyle w:val="Table"/>
              <w:jc w:val="center"/>
              <w:rPr>
                <w:szCs w:val="20"/>
              </w:rPr>
            </w:pPr>
            <w:r w:rsidRPr="00593AE2">
              <w:rPr>
                <w:rFonts w:ascii="Calibri" w:hAnsi="Calibri" w:cs="Calibri"/>
                <w:color w:val="000000"/>
                <w:szCs w:val="20"/>
              </w:rPr>
              <w:t>-13,41%</w:t>
            </w:r>
          </w:p>
        </w:tc>
        <w:tc>
          <w:tcPr>
            <w:tcW w:w="1124" w:type="dxa"/>
            <w:vAlign w:val="center"/>
          </w:tcPr>
          <w:p w14:paraId="4ACC577F" w14:textId="77777777" w:rsidR="00B71F1F" w:rsidRPr="00593AE2" w:rsidRDefault="00B71F1F" w:rsidP="000878F6">
            <w:pPr>
              <w:pStyle w:val="Table"/>
              <w:jc w:val="center"/>
              <w:rPr>
                <w:szCs w:val="20"/>
              </w:rPr>
            </w:pPr>
            <w:r w:rsidRPr="00593AE2">
              <w:rPr>
                <w:rFonts w:ascii="Calibri" w:hAnsi="Calibri" w:cs="Calibri"/>
                <w:color w:val="000000"/>
                <w:szCs w:val="20"/>
              </w:rPr>
              <w:t>-13,41%</w:t>
            </w:r>
          </w:p>
        </w:tc>
        <w:tc>
          <w:tcPr>
            <w:tcW w:w="1030" w:type="dxa"/>
            <w:vAlign w:val="center"/>
          </w:tcPr>
          <w:p w14:paraId="1C458140" w14:textId="77777777" w:rsidR="00B71F1F" w:rsidRPr="00593AE2" w:rsidRDefault="00B71F1F" w:rsidP="000878F6">
            <w:pPr>
              <w:pStyle w:val="Table"/>
              <w:jc w:val="center"/>
              <w:rPr>
                <w:szCs w:val="20"/>
              </w:rPr>
            </w:pPr>
            <w:r w:rsidRPr="00593AE2">
              <w:rPr>
                <w:rFonts w:ascii="Calibri" w:hAnsi="Calibri" w:cs="Calibri"/>
                <w:color w:val="000000"/>
                <w:szCs w:val="20"/>
              </w:rPr>
              <w:t>188,28</w:t>
            </w:r>
          </w:p>
        </w:tc>
        <w:tc>
          <w:tcPr>
            <w:tcW w:w="1217" w:type="dxa"/>
            <w:vAlign w:val="center"/>
          </w:tcPr>
          <w:p w14:paraId="317C2D1F" w14:textId="77777777" w:rsidR="00B71F1F" w:rsidRPr="00593AE2" w:rsidRDefault="00B71F1F" w:rsidP="000878F6">
            <w:pPr>
              <w:pStyle w:val="Table"/>
              <w:jc w:val="center"/>
              <w:rPr>
                <w:szCs w:val="20"/>
              </w:rPr>
            </w:pPr>
            <w:r w:rsidRPr="00593AE2">
              <w:rPr>
                <w:rFonts w:ascii="Calibri" w:hAnsi="Calibri" w:cs="Calibri"/>
                <w:color w:val="000000"/>
                <w:szCs w:val="20"/>
              </w:rPr>
              <w:t>156,67</w:t>
            </w:r>
          </w:p>
        </w:tc>
        <w:tc>
          <w:tcPr>
            <w:tcW w:w="967" w:type="dxa"/>
            <w:vAlign w:val="center"/>
          </w:tcPr>
          <w:p w14:paraId="03DBD2EF" w14:textId="77777777" w:rsidR="00B71F1F" w:rsidRPr="00593AE2" w:rsidRDefault="00B71F1F" w:rsidP="000878F6">
            <w:pPr>
              <w:pStyle w:val="Table"/>
              <w:jc w:val="center"/>
              <w:rPr>
                <w:szCs w:val="20"/>
              </w:rPr>
            </w:pPr>
            <w:r w:rsidRPr="00593AE2">
              <w:rPr>
                <w:rFonts w:ascii="Calibri" w:hAnsi="Calibri" w:cs="Calibri"/>
                <w:color w:val="000000"/>
                <w:szCs w:val="20"/>
              </w:rPr>
              <w:t>4,27%</w:t>
            </w:r>
          </w:p>
        </w:tc>
        <w:tc>
          <w:tcPr>
            <w:tcW w:w="1283" w:type="dxa"/>
            <w:vAlign w:val="center"/>
          </w:tcPr>
          <w:p w14:paraId="2337D80B" w14:textId="77777777" w:rsidR="00B71F1F" w:rsidRPr="00593AE2" w:rsidRDefault="00B71F1F" w:rsidP="000878F6">
            <w:pPr>
              <w:pStyle w:val="Table"/>
              <w:jc w:val="center"/>
              <w:rPr>
                <w:szCs w:val="20"/>
              </w:rPr>
            </w:pPr>
            <w:r w:rsidRPr="00593AE2">
              <w:rPr>
                <w:rFonts w:ascii="Calibri" w:hAnsi="Calibri" w:cs="Calibri"/>
                <w:color w:val="000000"/>
                <w:szCs w:val="20"/>
              </w:rPr>
              <w:t>3,55%</w:t>
            </w:r>
          </w:p>
        </w:tc>
      </w:tr>
      <w:tr w:rsidR="00B71F1F" w:rsidRPr="00355514" w14:paraId="7B2C5563" w14:textId="77777777" w:rsidTr="00BA7936">
        <w:trPr>
          <w:trHeight w:val="261"/>
        </w:trPr>
        <w:tc>
          <w:tcPr>
            <w:tcW w:w="2247" w:type="dxa"/>
          </w:tcPr>
          <w:p w14:paraId="1C29261F" w14:textId="77777777" w:rsidR="00B71F1F" w:rsidRPr="00F501DA" w:rsidRDefault="00B71F1F" w:rsidP="000878F6">
            <w:pPr>
              <w:pStyle w:val="Table"/>
            </w:pPr>
            <w:r w:rsidRPr="00F501DA">
              <w:t>Fertilizers</w:t>
            </w:r>
          </w:p>
        </w:tc>
        <w:tc>
          <w:tcPr>
            <w:tcW w:w="1123" w:type="dxa"/>
            <w:vAlign w:val="center"/>
          </w:tcPr>
          <w:p w14:paraId="71A82576" w14:textId="77777777" w:rsidR="00B71F1F" w:rsidRPr="00593AE2" w:rsidRDefault="00B71F1F" w:rsidP="000878F6">
            <w:pPr>
              <w:pStyle w:val="Table"/>
              <w:jc w:val="center"/>
              <w:rPr>
                <w:szCs w:val="20"/>
              </w:rPr>
            </w:pPr>
            <w:r w:rsidRPr="00593AE2">
              <w:rPr>
                <w:rFonts w:ascii="Calibri" w:hAnsi="Calibri" w:cs="Calibri"/>
                <w:color w:val="000000"/>
                <w:szCs w:val="20"/>
              </w:rPr>
              <w:t>-41,94%</w:t>
            </w:r>
          </w:p>
        </w:tc>
        <w:tc>
          <w:tcPr>
            <w:tcW w:w="1124" w:type="dxa"/>
            <w:vAlign w:val="center"/>
          </w:tcPr>
          <w:p w14:paraId="5AB21487" w14:textId="77777777" w:rsidR="00B71F1F" w:rsidRPr="00593AE2" w:rsidRDefault="00B71F1F" w:rsidP="000878F6">
            <w:pPr>
              <w:pStyle w:val="Table"/>
              <w:jc w:val="center"/>
              <w:rPr>
                <w:szCs w:val="20"/>
              </w:rPr>
            </w:pPr>
            <w:r w:rsidRPr="00593AE2">
              <w:rPr>
                <w:rFonts w:ascii="Calibri" w:hAnsi="Calibri" w:cs="Calibri"/>
                <w:color w:val="000000"/>
                <w:szCs w:val="20"/>
              </w:rPr>
              <w:t>-41,94%</w:t>
            </w:r>
          </w:p>
        </w:tc>
        <w:tc>
          <w:tcPr>
            <w:tcW w:w="1030" w:type="dxa"/>
            <w:vAlign w:val="center"/>
          </w:tcPr>
          <w:p w14:paraId="7CCA7833" w14:textId="77777777" w:rsidR="00B71F1F" w:rsidRPr="00593AE2" w:rsidRDefault="00B71F1F" w:rsidP="000878F6">
            <w:pPr>
              <w:pStyle w:val="Table"/>
              <w:jc w:val="center"/>
              <w:rPr>
                <w:szCs w:val="20"/>
              </w:rPr>
            </w:pPr>
            <w:r w:rsidRPr="00593AE2">
              <w:rPr>
                <w:rFonts w:ascii="Calibri" w:hAnsi="Calibri" w:cs="Calibri"/>
                <w:color w:val="000000"/>
                <w:szCs w:val="20"/>
              </w:rPr>
              <w:t>17,67</w:t>
            </w:r>
          </w:p>
        </w:tc>
        <w:tc>
          <w:tcPr>
            <w:tcW w:w="1217" w:type="dxa"/>
            <w:vAlign w:val="center"/>
          </w:tcPr>
          <w:p w14:paraId="7E7231B6" w14:textId="77777777" w:rsidR="00B71F1F" w:rsidRPr="00593AE2" w:rsidRDefault="00B71F1F" w:rsidP="000878F6">
            <w:pPr>
              <w:pStyle w:val="Table"/>
              <w:jc w:val="center"/>
              <w:rPr>
                <w:szCs w:val="20"/>
              </w:rPr>
            </w:pPr>
            <w:r w:rsidRPr="00593AE2">
              <w:rPr>
                <w:rFonts w:ascii="Calibri" w:hAnsi="Calibri" w:cs="Calibri"/>
                <w:color w:val="000000"/>
                <w:szCs w:val="20"/>
              </w:rPr>
              <w:t>16,98</w:t>
            </w:r>
          </w:p>
        </w:tc>
        <w:tc>
          <w:tcPr>
            <w:tcW w:w="967" w:type="dxa"/>
            <w:vAlign w:val="center"/>
          </w:tcPr>
          <w:p w14:paraId="7DEA169D" w14:textId="77777777" w:rsidR="00B71F1F" w:rsidRPr="00593AE2" w:rsidRDefault="00B71F1F" w:rsidP="000878F6">
            <w:pPr>
              <w:pStyle w:val="Table"/>
              <w:jc w:val="center"/>
              <w:rPr>
                <w:szCs w:val="20"/>
              </w:rPr>
            </w:pPr>
            <w:r w:rsidRPr="00593AE2">
              <w:rPr>
                <w:rFonts w:ascii="Calibri" w:hAnsi="Calibri" w:cs="Calibri"/>
                <w:color w:val="000000"/>
                <w:szCs w:val="20"/>
              </w:rPr>
              <w:t>0,43%</w:t>
            </w:r>
          </w:p>
        </w:tc>
        <w:tc>
          <w:tcPr>
            <w:tcW w:w="1283" w:type="dxa"/>
            <w:vAlign w:val="center"/>
          </w:tcPr>
          <w:p w14:paraId="18727CD9" w14:textId="77777777" w:rsidR="00B71F1F" w:rsidRPr="00593AE2" w:rsidRDefault="00B71F1F" w:rsidP="000878F6">
            <w:pPr>
              <w:pStyle w:val="Table"/>
              <w:jc w:val="center"/>
              <w:rPr>
                <w:szCs w:val="20"/>
              </w:rPr>
            </w:pPr>
            <w:r w:rsidRPr="00593AE2">
              <w:rPr>
                <w:rFonts w:ascii="Calibri" w:hAnsi="Calibri" w:cs="Calibri"/>
                <w:color w:val="000000"/>
                <w:szCs w:val="20"/>
              </w:rPr>
              <w:t>0,41%</w:t>
            </w:r>
          </w:p>
        </w:tc>
      </w:tr>
      <w:tr w:rsidR="00B71F1F" w:rsidRPr="00355514" w14:paraId="10BF264B" w14:textId="77777777" w:rsidTr="00BA7936">
        <w:trPr>
          <w:trHeight w:val="243"/>
        </w:trPr>
        <w:tc>
          <w:tcPr>
            <w:tcW w:w="2247" w:type="dxa"/>
          </w:tcPr>
          <w:p w14:paraId="6ED4BEE2" w14:textId="77777777" w:rsidR="00B71F1F" w:rsidRPr="00F501DA" w:rsidRDefault="00B71F1F" w:rsidP="000878F6">
            <w:pPr>
              <w:pStyle w:val="Table"/>
            </w:pPr>
            <w:r w:rsidRPr="00F501DA">
              <w:t>Pesticides</w:t>
            </w:r>
          </w:p>
        </w:tc>
        <w:tc>
          <w:tcPr>
            <w:tcW w:w="1123" w:type="dxa"/>
            <w:vAlign w:val="center"/>
          </w:tcPr>
          <w:p w14:paraId="72ABD0F8" w14:textId="77777777" w:rsidR="00B71F1F" w:rsidRPr="00593AE2" w:rsidRDefault="00B71F1F" w:rsidP="000878F6">
            <w:pPr>
              <w:pStyle w:val="Table"/>
              <w:jc w:val="center"/>
              <w:rPr>
                <w:szCs w:val="20"/>
              </w:rPr>
            </w:pPr>
            <w:r w:rsidRPr="00593AE2">
              <w:rPr>
                <w:rFonts w:ascii="Calibri" w:hAnsi="Calibri" w:cs="Calibri"/>
                <w:color w:val="000000"/>
                <w:szCs w:val="20"/>
              </w:rPr>
              <w:t>n/a</w:t>
            </w:r>
          </w:p>
        </w:tc>
        <w:tc>
          <w:tcPr>
            <w:tcW w:w="1124" w:type="dxa"/>
            <w:vAlign w:val="center"/>
          </w:tcPr>
          <w:p w14:paraId="447CB773" w14:textId="77777777" w:rsidR="00B71F1F" w:rsidRPr="00593AE2" w:rsidRDefault="00B71F1F" w:rsidP="000878F6">
            <w:pPr>
              <w:pStyle w:val="Table"/>
              <w:jc w:val="center"/>
              <w:rPr>
                <w:szCs w:val="20"/>
              </w:rPr>
            </w:pPr>
            <w:r w:rsidRPr="00593AE2">
              <w:rPr>
                <w:rFonts w:ascii="Calibri" w:hAnsi="Calibri" w:cs="Calibri"/>
                <w:color w:val="000000"/>
                <w:szCs w:val="20"/>
              </w:rPr>
              <w:t>n/a</w:t>
            </w:r>
          </w:p>
        </w:tc>
        <w:tc>
          <w:tcPr>
            <w:tcW w:w="1030" w:type="dxa"/>
            <w:vAlign w:val="center"/>
          </w:tcPr>
          <w:p w14:paraId="7F968C44" w14:textId="77777777" w:rsidR="00B71F1F" w:rsidRPr="00593AE2" w:rsidRDefault="00B71F1F" w:rsidP="000878F6">
            <w:pPr>
              <w:pStyle w:val="Table"/>
              <w:jc w:val="center"/>
              <w:rPr>
                <w:szCs w:val="20"/>
              </w:rPr>
            </w:pPr>
            <w:r w:rsidRPr="00593AE2">
              <w:rPr>
                <w:rFonts w:ascii="Calibri" w:hAnsi="Calibri" w:cs="Calibri"/>
                <w:color w:val="000000"/>
                <w:szCs w:val="20"/>
              </w:rPr>
              <w:t>69,00</w:t>
            </w:r>
          </w:p>
        </w:tc>
        <w:tc>
          <w:tcPr>
            <w:tcW w:w="1217" w:type="dxa"/>
            <w:vAlign w:val="center"/>
          </w:tcPr>
          <w:p w14:paraId="4D901692" w14:textId="77777777" w:rsidR="00B71F1F" w:rsidRPr="00593AE2" w:rsidRDefault="00B71F1F" w:rsidP="000878F6">
            <w:pPr>
              <w:pStyle w:val="Table"/>
              <w:jc w:val="center"/>
              <w:rPr>
                <w:szCs w:val="20"/>
              </w:rPr>
            </w:pPr>
            <w:r w:rsidRPr="00593AE2">
              <w:rPr>
                <w:rFonts w:ascii="Calibri" w:hAnsi="Calibri" w:cs="Calibri"/>
                <w:color w:val="000000"/>
                <w:szCs w:val="20"/>
              </w:rPr>
              <w:t>68,59</w:t>
            </w:r>
          </w:p>
        </w:tc>
        <w:tc>
          <w:tcPr>
            <w:tcW w:w="967" w:type="dxa"/>
            <w:vAlign w:val="center"/>
          </w:tcPr>
          <w:p w14:paraId="2BBEC146" w14:textId="77777777" w:rsidR="00B71F1F" w:rsidRPr="00593AE2" w:rsidRDefault="00B71F1F" w:rsidP="000878F6">
            <w:pPr>
              <w:pStyle w:val="Table"/>
              <w:jc w:val="center"/>
              <w:rPr>
                <w:szCs w:val="20"/>
              </w:rPr>
            </w:pPr>
            <w:r w:rsidRPr="00593AE2">
              <w:rPr>
                <w:rFonts w:ascii="Calibri" w:hAnsi="Calibri" w:cs="Calibri"/>
                <w:color w:val="000000"/>
                <w:szCs w:val="20"/>
              </w:rPr>
              <w:t>1,68%</w:t>
            </w:r>
          </w:p>
        </w:tc>
        <w:tc>
          <w:tcPr>
            <w:tcW w:w="1283" w:type="dxa"/>
            <w:vAlign w:val="center"/>
          </w:tcPr>
          <w:p w14:paraId="500952ED" w14:textId="77777777" w:rsidR="00B71F1F" w:rsidRPr="00593AE2" w:rsidRDefault="00B71F1F" w:rsidP="000878F6">
            <w:pPr>
              <w:pStyle w:val="Table"/>
              <w:jc w:val="center"/>
              <w:rPr>
                <w:szCs w:val="20"/>
              </w:rPr>
            </w:pPr>
            <w:r w:rsidRPr="00593AE2">
              <w:rPr>
                <w:rFonts w:ascii="Calibri" w:hAnsi="Calibri" w:cs="Calibri"/>
                <w:color w:val="000000"/>
                <w:szCs w:val="20"/>
              </w:rPr>
              <w:t>1,67%</w:t>
            </w:r>
          </w:p>
        </w:tc>
      </w:tr>
      <w:tr w:rsidR="00B71F1F" w:rsidRPr="00355514" w14:paraId="1A69A2D0" w14:textId="77777777" w:rsidTr="00BA7936">
        <w:trPr>
          <w:trHeight w:val="243"/>
        </w:trPr>
        <w:tc>
          <w:tcPr>
            <w:tcW w:w="2247" w:type="dxa"/>
          </w:tcPr>
          <w:p w14:paraId="102CB6B5" w14:textId="77777777" w:rsidR="00B71F1F" w:rsidRPr="00F501DA" w:rsidRDefault="00B71F1F" w:rsidP="000878F6">
            <w:pPr>
              <w:pStyle w:val="Table"/>
            </w:pPr>
            <w:r w:rsidRPr="00F501DA">
              <w:t>Waste Incineration</w:t>
            </w:r>
          </w:p>
        </w:tc>
        <w:tc>
          <w:tcPr>
            <w:tcW w:w="1123" w:type="dxa"/>
            <w:vAlign w:val="center"/>
          </w:tcPr>
          <w:p w14:paraId="1E69FEB8" w14:textId="77777777" w:rsidR="00B71F1F" w:rsidRPr="00593AE2" w:rsidRDefault="00B71F1F" w:rsidP="000878F6">
            <w:pPr>
              <w:pStyle w:val="Table"/>
              <w:jc w:val="center"/>
              <w:rPr>
                <w:szCs w:val="20"/>
              </w:rPr>
            </w:pPr>
            <w:r w:rsidRPr="00593AE2">
              <w:rPr>
                <w:rFonts w:ascii="Calibri" w:hAnsi="Calibri" w:cs="Calibri"/>
                <w:color w:val="000000"/>
                <w:szCs w:val="20"/>
              </w:rPr>
              <w:t>0,00%</w:t>
            </w:r>
          </w:p>
        </w:tc>
        <w:tc>
          <w:tcPr>
            <w:tcW w:w="1124" w:type="dxa"/>
            <w:vAlign w:val="center"/>
          </w:tcPr>
          <w:p w14:paraId="635D9ED3" w14:textId="77777777" w:rsidR="00B71F1F" w:rsidRPr="00593AE2" w:rsidRDefault="00B71F1F" w:rsidP="000878F6">
            <w:pPr>
              <w:pStyle w:val="Table"/>
              <w:jc w:val="center"/>
              <w:rPr>
                <w:szCs w:val="20"/>
              </w:rPr>
            </w:pPr>
            <w:r w:rsidRPr="00593AE2">
              <w:rPr>
                <w:rFonts w:ascii="Calibri" w:hAnsi="Calibri" w:cs="Calibri"/>
                <w:color w:val="000000"/>
                <w:szCs w:val="20"/>
              </w:rPr>
              <w:t>0,00%</w:t>
            </w:r>
          </w:p>
        </w:tc>
        <w:tc>
          <w:tcPr>
            <w:tcW w:w="1030" w:type="dxa"/>
            <w:vAlign w:val="center"/>
          </w:tcPr>
          <w:p w14:paraId="19A2F785" w14:textId="77777777" w:rsidR="00B71F1F" w:rsidRPr="00593AE2" w:rsidRDefault="00B71F1F" w:rsidP="000878F6">
            <w:pPr>
              <w:pStyle w:val="Table"/>
              <w:jc w:val="center"/>
              <w:rPr>
                <w:szCs w:val="20"/>
              </w:rPr>
            </w:pPr>
            <w:r w:rsidRPr="00593AE2">
              <w:rPr>
                <w:rFonts w:ascii="Calibri" w:hAnsi="Calibri" w:cs="Calibri"/>
                <w:color w:val="000000"/>
                <w:szCs w:val="20"/>
              </w:rPr>
              <w:t>0,00</w:t>
            </w:r>
          </w:p>
        </w:tc>
        <w:tc>
          <w:tcPr>
            <w:tcW w:w="1217" w:type="dxa"/>
            <w:vAlign w:val="center"/>
          </w:tcPr>
          <w:p w14:paraId="1BFE6E41" w14:textId="77777777" w:rsidR="00B71F1F" w:rsidRPr="00593AE2" w:rsidRDefault="00B71F1F" w:rsidP="000878F6">
            <w:pPr>
              <w:pStyle w:val="Table"/>
              <w:jc w:val="center"/>
              <w:rPr>
                <w:szCs w:val="20"/>
              </w:rPr>
            </w:pPr>
            <w:r w:rsidRPr="00593AE2">
              <w:rPr>
                <w:rFonts w:ascii="Calibri" w:hAnsi="Calibri" w:cs="Calibri"/>
                <w:color w:val="000000"/>
                <w:szCs w:val="20"/>
              </w:rPr>
              <w:t>0,00</w:t>
            </w:r>
          </w:p>
        </w:tc>
        <w:tc>
          <w:tcPr>
            <w:tcW w:w="967" w:type="dxa"/>
            <w:vAlign w:val="center"/>
          </w:tcPr>
          <w:p w14:paraId="0AD86B4A" w14:textId="77777777" w:rsidR="00B71F1F" w:rsidRPr="00593AE2" w:rsidRDefault="00B71F1F" w:rsidP="000878F6">
            <w:pPr>
              <w:pStyle w:val="Table"/>
              <w:jc w:val="center"/>
              <w:rPr>
                <w:szCs w:val="20"/>
              </w:rPr>
            </w:pPr>
            <w:r w:rsidRPr="00593AE2">
              <w:rPr>
                <w:rFonts w:ascii="Calibri" w:hAnsi="Calibri" w:cs="Calibri"/>
                <w:color w:val="000000"/>
                <w:szCs w:val="20"/>
              </w:rPr>
              <w:t>0,00%</w:t>
            </w:r>
          </w:p>
        </w:tc>
        <w:tc>
          <w:tcPr>
            <w:tcW w:w="1283" w:type="dxa"/>
            <w:vAlign w:val="center"/>
          </w:tcPr>
          <w:p w14:paraId="2B98A7C9" w14:textId="77777777" w:rsidR="00B71F1F" w:rsidRPr="00593AE2" w:rsidRDefault="00B71F1F" w:rsidP="000878F6">
            <w:pPr>
              <w:pStyle w:val="Table"/>
              <w:jc w:val="center"/>
              <w:rPr>
                <w:szCs w:val="20"/>
              </w:rPr>
            </w:pPr>
            <w:r w:rsidRPr="00593AE2">
              <w:rPr>
                <w:rFonts w:ascii="Calibri" w:hAnsi="Calibri" w:cs="Calibri"/>
                <w:color w:val="000000"/>
                <w:szCs w:val="20"/>
              </w:rPr>
              <w:t>0,00%</w:t>
            </w:r>
          </w:p>
        </w:tc>
      </w:tr>
      <w:tr w:rsidR="00B71F1F" w:rsidRPr="00355514" w14:paraId="7323E09C" w14:textId="77777777" w:rsidTr="00BA7936">
        <w:trPr>
          <w:trHeight w:val="243"/>
        </w:trPr>
        <w:tc>
          <w:tcPr>
            <w:tcW w:w="2247" w:type="dxa"/>
          </w:tcPr>
          <w:p w14:paraId="6197C267" w14:textId="77777777" w:rsidR="00B71F1F" w:rsidRPr="00F501DA" w:rsidRDefault="00B71F1F" w:rsidP="000878F6">
            <w:pPr>
              <w:pStyle w:val="Table"/>
            </w:pPr>
            <w:r w:rsidRPr="00F501DA">
              <w:t>Waste to Landfill</w:t>
            </w:r>
          </w:p>
        </w:tc>
        <w:tc>
          <w:tcPr>
            <w:tcW w:w="1123" w:type="dxa"/>
            <w:vAlign w:val="center"/>
          </w:tcPr>
          <w:p w14:paraId="1609D624" w14:textId="77777777" w:rsidR="00B71F1F" w:rsidRPr="00593AE2" w:rsidRDefault="00B71F1F" w:rsidP="000878F6">
            <w:pPr>
              <w:pStyle w:val="Table"/>
              <w:jc w:val="center"/>
              <w:rPr>
                <w:szCs w:val="20"/>
              </w:rPr>
            </w:pPr>
            <w:r w:rsidRPr="00593AE2">
              <w:rPr>
                <w:rFonts w:ascii="Calibri" w:hAnsi="Calibri" w:cs="Calibri"/>
                <w:color w:val="000000"/>
                <w:szCs w:val="20"/>
              </w:rPr>
              <w:t>-19,92%</w:t>
            </w:r>
          </w:p>
        </w:tc>
        <w:tc>
          <w:tcPr>
            <w:tcW w:w="1124" w:type="dxa"/>
            <w:vAlign w:val="center"/>
          </w:tcPr>
          <w:p w14:paraId="1268EC10" w14:textId="77777777" w:rsidR="00B71F1F" w:rsidRPr="00593AE2" w:rsidRDefault="00B71F1F" w:rsidP="000878F6">
            <w:pPr>
              <w:pStyle w:val="Table"/>
              <w:jc w:val="center"/>
              <w:rPr>
                <w:szCs w:val="20"/>
              </w:rPr>
            </w:pPr>
            <w:r w:rsidRPr="00593AE2">
              <w:rPr>
                <w:rFonts w:ascii="Calibri" w:hAnsi="Calibri" w:cs="Calibri"/>
                <w:color w:val="000000"/>
                <w:szCs w:val="20"/>
              </w:rPr>
              <w:t>-19,92%</w:t>
            </w:r>
          </w:p>
        </w:tc>
        <w:tc>
          <w:tcPr>
            <w:tcW w:w="1030" w:type="dxa"/>
            <w:vAlign w:val="center"/>
          </w:tcPr>
          <w:p w14:paraId="5E34D224" w14:textId="77777777" w:rsidR="00B71F1F" w:rsidRPr="00593AE2" w:rsidRDefault="00B71F1F" w:rsidP="000878F6">
            <w:pPr>
              <w:pStyle w:val="Table"/>
              <w:jc w:val="center"/>
              <w:rPr>
                <w:szCs w:val="20"/>
              </w:rPr>
            </w:pPr>
            <w:r w:rsidRPr="00593AE2">
              <w:rPr>
                <w:rFonts w:ascii="Calibri" w:hAnsi="Calibri" w:cs="Calibri"/>
                <w:color w:val="000000"/>
                <w:szCs w:val="20"/>
              </w:rPr>
              <w:t>33,27</w:t>
            </w:r>
          </w:p>
        </w:tc>
        <w:tc>
          <w:tcPr>
            <w:tcW w:w="1217" w:type="dxa"/>
            <w:vAlign w:val="center"/>
          </w:tcPr>
          <w:p w14:paraId="2B6E8EFD" w14:textId="77777777" w:rsidR="00B71F1F" w:rsidRPr="00593AE2" w:rsidRDefault="00B71F1F" w:rsidP="000878F6">
            <w:pPr>
              <w:pStyle w:val="Table"/>
              <w:jc w:val="center"/>
              <w:rPr>
                <w:szCs w:val="20"/>
              </w:rPr>
            </w:pPr>
            <w:r w:rsidRPr="00593AE2">
              <w:rPr>
                <w:rFonts w:ascii="Calibri" w:hAnsi="Calibri" w:cs="Calibri"/>
                <w:color w:val="000000"/>
                <w:szCs w:val="20"/>
              </w:rPr>
              <w:t>28,46</w:t>
            </w:r>
          </w:p>
        </w:tc>
        <w:tc>
          <w:tcPr>
            <w:tcW w:w="967" w:type="dxa"/>
            <w:vAlign w:val="center"/>
          </w:tcPr>
          <w:p w14:paraId="4B704691" w14:textId="77777777" w:rsidR="00B71F1F" w:rsidRPr="00593AE2" w:rsidRDefault="00B71F1F" w:rsidP="000878F6">
            <w:pPr>
              <w:pStyle w:val="Table"/>
              <w:jc w:val="center"/>
              <w:rPr>
                <w:szCs w:val="20"/>
              </w:rPr>
            </w:pPr>
            <w:r w:rsidRPr="00593AE2">
              <w:rPr>
                <w:rFonts w:ascii="Calibri" w:hAnsi="Calibri" w:cs="Calibri"/>
                <w:color w:val="000000"/>
                <w:szCs w:val="20"/>
              </w:rPr>
              <w:t>0,81%</w:t>
            </w:r>
          </w:p>
        </w:tc>
        <w:tc>
          <w:tcPr>
            <w:tcW w:w="1283" w:type="dxa"/>
            <w:vAlign w:val="center"/>
          </w:tcPr>
          <w:p w14:paraId="2D500D88" w14:textId="77777777" w:rsidR="00B71F1F" w:rsidRPr="00593AE2" w:rsidRDefault="00B71F1F" w:rsidP="000878F6">
            <w:pPr>
              <w:pStyle w:val="Table"/>
              <w:jc w:val="center"/>
              <w:rPr>
                <w:szCs w:val="20"/>
              </w:rPr>
            </w:pPr>
            <w:r w:rsidRPr="00593AE2">
              <w:rPr>
                <w:rFonts w:ascii="Calibri" w:hAnsi="Calibri" w:cs="Calibri"/>
                <w:color w:val="000000"/>
                <w:szCs w:val="20"/>
              </w:rPr>
              <w:t>0,69%</w:t>
            </w:r>
          </w:p>
        </w:tc>
      </w:tr>
      <w:tr w:rsidR="00B71F1F" w:rsidRPr="00355514" w14:paraId="49905904" w14:textId="77777777" w:rsidTr="00BA7936">
        <w:trPr>
          <w:trHeight w:val="243"/>
        </w:trPr>
        <w:tc>
          <w:tcPr>
            <w:tcW w:w="2247" w:type="dxa"/>
          </w:tcPr>
          <w:p w14:paraId="426CC871" w14:textId="77777777" w:rsidR="00B71F1F" w:rsidRPr="00F501DA" w:rsidRDefault="00B71F1F" w:rsidP="000878F6">
            <w:pPr>
              <w:pStyle w:val="Table"/>
            </w:pPr>
            <w:r w:rsidRPr="00F501DA">
              <w:t>Water Effluent</w:t>
            </w:r>
          </w:p>
        </w:tc>
        <w:tc>
          <w:tcPr>
            <w:tcW w:w="1123" w:type="dxa"/>
            <w:vAlign w:val="center"/>
          </w:tcPr>
          <w:p w14:paraId="625275FC" w14:textId="77777777" w:rsidR="00B71F1F" w:rsidRPr="00593AE2" w:rsidRDefault="00B71F1F" w:rsidP="000878F6">
            <w:pPr>
              <w:pStyle w:val="Table"/>
              <w:jc w:val="center"/>
              <w:rPr>
                <w:szCs w:val="20"/>
              </w:rPr>
            </w:pPr>
            <w:r w:rsidRPr="00593AE2">
              <w:rPr>
                <w:rFonts w:ascii="Calibri" w:hAnsi="Calibri" w:cs="Calibri"/>
                <w:color w:val="000000"/>
                <w:szCs w:val="20"/>
              </w:rPr>
              <w:t>-5,55%</w:t>
            </w:r>
          </w:p>
        </w:tc>
        <w:tc>
          <w:tcPr>
            <w:tcW w:w="1124" w:type="dxa"/>
            <w:vAlign w:val="center"/>
          </w:tcPr>
          <w:p w14:paraId="108523B6" w14:textId="77777777" w:rsidR="00B71F1F" w:rsidRPr="00593AE2" w:rsidRDefault="00B71F1F" w:rsidP="000878F6">
            <w:pPr>
              <w:pStyle w:val="Table"/>
              <w:jc w:val="center"/>
              <w:rPr>
                <w:szCs w:val="20"/>
              </w:rPr>
            </w:pPr>
            <w:r w:rsidRPr="00593AE2">
              <w:rPr>
                <w:rFonts w:ascii="Calibri" w:hAnsi="Calibri" w:cs="Calibri"/>
                <w:color w:val="000000"/>
                <w:szCs w:val="20"/>
              </w:rPr>
              <w:t>-5,55%</w:t>
            </w:r>
          </w:p>
        </w:tc>
        <w:tc>
          <w:tcPr>
            <w:tcW w:w="1030" w:type="dxa"/>
            <w:vAlign w:val="center"/>
          </w:tcPr>
          <w:p w14:paraId="5EB7A474" w14:textId="77777777" w:rsidR="00B71F1F" w:rsidRPr="00593AE2" w:rsidRDefault="00B71F1F" w:rsidP="000878F6">
            <w:pPr>
              <w:pStyle w:val="Table"/>
              <w:jc w:val="center"/>
              <w:rPr>
                <w:szCs w:val="20"/>
              </w:rPr>
            </w:pPr>
            <w:r w:rsidRPr="00593AE2">
              <w:rPr>
                <w:rFonts w:ascii="Calibri" w:hAnsi="Calibri" w:cs="Calibri"/>
                <w:color w:val="000000"/>
                <w:szCs w:val="20"/>
              </w:rPr>
              <w:t>696,23</w:t>
            </w:r>
          </w:p>
        </w:tc>
        <w:tc>
          <w:tcPr>
            <w:tcW w:w="1217" w:type="dxa"/>
            <w:vAlign w:val="center"/>
          </w:tcPr>
          <w:p w14:paraId="462CDDD7" w14:textId="77777777" w:rsidR="00B71F1F" w:rsidRPr="00593AE2" w:rsidRDefault="00B71F1F" w:rsidP="000878F6">
            <w:pPr>
              <w:pStyle w:val="Table"/>
              <w:jc w:val="center"/>
              <w:rPr>
                <w:szCs w:val="20"/>
              </w:rPr>
            </w:pPr>
            <w:r w:rsidRPr="00593AE2">
              <w:rPr>
                <w:rFonts w:ascii="Calibri" w:hAnsi="Calibri" w:cs="Calibri"/>
                <w:color w:val="000000"/>
                <w:szCs w:val="20"/>
              </w:rPr>
              <w:t>704,69</w:t>
            </w:r>
          </w:p>
        </w:tc>
        <w:tc>
          <w:tcPr>
            <w:tcW w:w="967" w:type="dxa"/>
            <w:vAlign w:val="center"/>
          </w:tcPr>
          <w:p w14:paraId="424769EE" w14:textId="77777777" w:rsidR="00B71F1F" w:rsidRPr="00593AE2" w:rsidRDefault="00B71F1F" w:rsidP="000878F6">
            <w:pPr>
              <w:pStyle w:val="Table"/>
              <w:jc w:val="center"/>
              <w:rPr>
                <w:szCs w:val="20"/>
              </w:rPr>
            </w:pPr>
            <w:r w:rsidRPr="00593AE2">
              <w:rPr>
                <w:rFonts w:ascii="Calibri" w:hAnsi="Calibri" w:cs="Calibri"/>
                <w:color w:val="000000"/>
                <w:szCs w:val="20"/>
              </w:rPr>
              <w:t>16,99%</w:t>
            </w:r>
          </w:p>
        </w:tc>
        <w:tc>
          <w:tcPr>
            <w:tcW w:w="1283" w:type="dxa"/>
            <w:vAlign w:val="center"/>
          </w:tcPr>
          <w:p w14:paraId="48B7ADB8" w14:textId="77777777" w:rsidR="00B71F1F" w:rsidRPr="00593AE2" w:rsidRDefault="00B71F1F" w:rsidP="000878F6">
            <w:pPr>
              <w:pStyle w:val="Table"/>
              <w:jc w:val="center"/>
              <w:rPr>
                <w:szCs w:val="20"/>
              </w:rPr>
            </w:pPr>
            <w:r w:rsidRPr="00593AE2">
              <w:rPr>
                <w:rFonts w:ascii="Calibri" w:hAnsi="Calibri" w:cs="Calibri"/>
                <w:color w:val="000000"/>
                <w:szCs w:val="20"/>
              </w:rPr>
              <w:t>17,19%</w:t>
            </w:r>
          </w:p>
        </w:tc>
      </w:tr>
      <w:tr w:rsidR="00B71F1F" w:rsidRPr="00355514" w14:paraId="68552786" w14:textId="77777777" w:rsidTr="00BA7936">
        <w:trPr>
          <w:trHeight w:val="243"/>
        </w:trPr>
        <w:tc>
          <w:tcPr>
            <w:tcW w:w="2247" w:type="dxa"/>
          </w:tcPr>
          <w:p w14:paraId="41B3BAE1" w14:textId="77777777" w:rsidR="00B71F1F" w:rsidRPr="00355514" w:rsidRDefault="00B71F1F" w:rsidP="000878F6">
            <w:pPr>
              <w:pStyle w:val="Table"/>
            </w:pPr>
            <w:r w:rsidRPr="00355514">
              <w:t>Minerals &amp; Aggregates</w:t>
            </w:r>
          </w:p>
        </w:tc>
        <w:tc>
          <w:tcPr>
            <w:tcW w:w="1123" w:type="dxa"/>
            <w:vAlign w:val="center"/>
          </w:tcPr>
          <w:p w14:paraId="27152E12" w14:textId="77777777" w:rsidR="00B71F1F" w:rsidRPr="00593AE2" w:rsidRDefault="00B71F1F" w:rsidP="000878F6">
            <w:pPr>
              <w:pStyle w:val="Table"/>
              <w:jc w:val="center"/>
              <w:rPr>
                <w:szCs w:val="20"/>
              </w:rPr>
            </w:pPr>
            <w:r w:rsidRPr="00593AE2">
              <w:rPr>
                <w:rFonts w:ascii="Calibri" w:hAnsi="Calibri" w:cs="Calibri"/>
                <w:color w:val="000000"/>
                <w:szCs w:val="20"/>
              </w:rPr>
              <w:t>-16,67%</w:t>
            </w:r>
          </w:p>
        </w:tc>
        <w:tc>
          <w:tcPr>
            <w:tcW w:w="1124" w:type="dxa"/>
            <w:vAlign w:val="center"/>
          </w:tcPr>
          <w:p w14:paraId="72952454" w14:textId="77777777" w:rsidR="00B71F1F" w:rsidRPr="00593AE2" w:rsidRDefault="00B71F1F" w:rsidP="000878F6">
            <w:pPr>
              <w:pStyle w:val="Table"/>
              <w:jc w:val="center"/>
              <w:rPr>
                <w:szCs w:val="20"/>
              </w:rPr>
            </w:pPr>
            <w:r w:rsidRPr="00593AE2">
              <w:rPr>
                <w:rFonts w:ascii="Calibri" w:hAnsi="Calibri" w:cs="Calibri"/>
                <w:color w:val="000000"/>
                <w:szCs w:val="20"/>
              </w:rPr>
              <w:t>-16,67%</w:t>
            </w:r>
          </w:p>
        </w:tc>
        <w:tc>
          <w:tcPr>
            <w:tcW w:w="1030" w:type="dxa"/>
            <w:vAlign w:val="center"/>
          </w:tcPr>
          <w:p w14:paraId="5E9FA8C5" w14:textId="77777777" w:rsidR="00B71F1F" w:rsidRPr="00593AE2" w:rsidRDefault="00B71F1F" w:rsidP="000878F6">
            <w:pPr>
              <w:pStyle w:val="Table"/>
              <w:jc w:val="center"/>
              <w:rPr>
                <w:szCs w:val="20"/>
              </w:rPr>
            </w:pPr>
            <w:r w:rsidRPr="00593AE2">
              <w:rPr>
                <w:rFonts w:ascii="Calibri" w:hAnsi="Calibri" w:cs="Calibri"/>
                <w:color w:val="000000"/>
                <w:szCs w:val="20"/>
              </w:rPr>
              <w:t>64,84</w:t>
            </w:r>
          </w:p>
        </w:tc>
        <w:tc>
          <w:tcPr>
            <w:tcW w:w="1217" w:type="dxa"/>
            <w:vAlign w:val="center"/>
          </w:tcPr>
          <w:p w14:paraId="2E1A69F4" w14:textId="77777777" w:rsidR="00B71F1F" w:rsidRPr="00593AE2" w:rsidRDefault="00B71F1F" w:rsidP="000878F6">
            <w:pPr>
              <w:pStyle w:val="Table"/>
              <w:jc w:val="center"/>
              <w:rPr>
                <w:szCs w:val="20"/>
              </w:rPr>
            </w:pPr>
            <w:r w:rsidRPr="00593AE2">
              <w:rPr>
                <w:rFonts w:ascii="Calibri" w:hAnsi="Calibri" w:cs="Calibri"/>
                <w:color w:val="000000"/>
                <w:szCs w:val="20"/>
              </w:rPr>
              <w:t>67,26</w:t>
            </w:r>
          </w:p>
        </w:tc>
        <w:tc>
          <w:tcPr>
            <w:tcW w:w="967" w:type="dxa"/>
            <w:vAlign w:val="center"/>
          </w:tcPr>
          <w:p w14:paraId="465F8E0E" w14:textId="77777777" w:rsidR="00B71F1F" w:rsidRPr="00593AE2" w:rsidRDefault="00B71F1F" w:rsidP="000878F6">
            <w:pPr>
              <w:pStyle w:val="Table"/>
              <w:jc w:val="center"/>
              <w:rPr>
                <w:szCs w:val="20"/>
              </w:rPr>
            </w:pPr>
            <w:r w:rsidRPr="00593AE2">
              <w:rPr>
                <w:rFonts w:ascii="Calibri" w:hAnsi="Calibri" w:cs="Calibri"/>
                <w:color w:val="000000"/>
                <w:szCs w:val="20"/>
              </w:rPr>
              <w:t>20,72%</w:t>
            </w:r>
          </w:p>
        </w:tc>
        <w:tc>
          <w:tcPr>
            <w:tcW w:w="1283" w:type="dxa"/>
            <w:vAlign w:val="center"/>
          </w:tcPr>
          <w:p w14:paraId="5AD995D0" w14:textId="77777777" w:rsidR="00B71F1F" w:rsidRPr="00593AE2" w:rsidRDefault="00B71F1F" w:rsidP="000878F6">
            <w:pPr>
              <w:pStyle w:val="Table"/>
              <w:jc w:val="center"/>
              <w:rPr>
                <w:rFonts w:ascii="Calibri" w:hAnsi="Calibri" w:cs="Calibri"/>
                <w:color w:val="000000"/>
                <w:szCs w:val="20"/>
              </w:rPr>
            </w:pPr>
            <w:r w:rsidRPr="00593AE2">
              <w:rPr>
                <w:rFonts w:ascii="Calibri" w:hAnsi="Calibri" w:cs="Calibri"/>
                <w:color w:val="000000"/>
                <w:szCs w:val="20"/>
              </w:rPr>
              <w:t>21,49%</w:t>
            </w:r>
          </w:p>
        </w:tc>
      </w:tr>
    </w:tbl>
    <w:p w14:paraId="25DA2D27" w14:textId="77777777" w:rsidR="00B71F1F" w:rsidRDefault="00B71F1F" w:rsidP="00B71F1F"/>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123"/>
        <w:gridCol w:w="1124"/>
        <w:gridCol w:w="1030"/>
        <w:gridCol w:w="1217"/>
        <w:gridCol w:w="967"/>
        <w:gridCol w:w="1283"/>
      </w:tblGrid>
      <w:tr w:rsidR="00B71F1F" w:rsidRPr="00BC5A92" w14:paraId="123526A8" w14:textId="77777777" w:rsidTr="00BA7936">
        <w:trPr>
          <w:trHeight w:val="265"/>
          <w:tblHeader/>
        </w:trPr>
        <w:tc>
          <w:tcPr>
            <w:tcW w:w="8991" w:type="dxa"/>
            <w:gridSpan w:val="7"/>
            <w:shd w:val="clear" w:color="auto" w:fill="003399"/>
          </w:tcPr>
          <w:p w14:paraId="3E02F31B" w14:textId="024FC253" w:rsidR="00B71F1F" w:rsidRPr="00BC5A92" w:rsidRDefault="00B71F1F" w:rsidP="000878F6">
            <w:pPr>
              <w:pStyle w:val="Table"/>
              <w:rPr>
                <w:b/>
                <w:szCs w:val="20"/>
                <w:lang w:eastAsia="en-GB"/>
              </w:rPr>
            </w:pPr>
            <w:r w:rsidRPr="00BC5A92">
              <w:rPr>
                <w:b/>
                <w:color w:val="FFFFFF" w:themeColor="background1"/>
                <w:szCs w:val="20"/>
              </w:rPr>
              <w:t xml:space="preserve">Table </w:t>
            </w:r>
            <w:r w:rsidR="00490085">
              <w:rPr>
                <w:b/>
                <w:bCs/>
                <w:color w:val="FFFFFF" w:themeColor="background1"/>
                <w:szCs w:val="20"/>
              </w:rPr>
              <w:t>A6</w:t>
            </w:r>
            <w:r w:rsidRPr="00BC5A92">
              <w:rPr>
                <w:b/>
                <w:bCs/>
                <w:color w:val="FFFFFF" w:themeColor="background1"/>
                <w:szCs w:val="20"/>
              </w:rPr>
              <w:t>-</w:t>
            </w:r>
            <w:r w:rsidRPr="00BC5A92">
              <w:rPr>
                <w:b/>
                <w:bCs/>
                <w:color w:val="FFFFFF" w:themeColor="background1"/>
                <w:szCs w:val="20"/>
              </w:rPr>
              <w:fldChar w:fldCharType="begin"/>
            </w:r>
            <w:r w:rsidRPr="00BC5A92">
              <w:rPr>
                <w:b/>
                <w:bCs/>
                <w:color w:val="FFFFFF" w:themeColor="background1"/>
                <w:szCs w:val="20"/>
              </w:rPr>
              <w:instrText xml:space="preserve"> SEQ Table_A5- \* ARABIC </w:instrText>
            </w:r>
            <w:r w:rsidRPr="00BC5A92">
              <w:rPr>
                <w:b/>
                <w:bCs/>
                <w:color w:val="FFFFFF" w:themeColor="background1"/>
                <w:szCs w:val="20"/>
              </w:rPr>
              <w:fldChar w:fldCharType="separate"/>
            </w:r>
            <w:r>
              <w:rPr>
                <w:b/>
                <w:bCs/>
                <w:noProof/>
                <w:color w:val="FFFFFF" w:themeColor="background1"/>
                <w:szCs w:val="20"/>
              </w:rPr>
              <w:t>102</w:t>
            </w:r>
            <w:r w:rsidRPr="00BC5A92">
              <w:rPr>
                <w:b/>
                <w:bCs/>
                <w:color w:val="FFFFFF" w:themeColor="background1"/>
                <w:szCs w:val="20"/>
              </w:rPr>
              <w:fldChar w:fldCharType="end"/>
            </w:r>
            <w:r w:rsidRPr="00BC5A92">
              <w:rPr>
                <w:b/>
                <w:bCs/>
                <w:color w:val="FFFFFF" w:themeColor="background1"/>
                <w:szCs w:val="20"/>
                <w:lang w:eastAsia="en-GB"/>
              </w:rPr>
              <w:t>:</w:t>
            </w:r>
            <w:r w:rsidRPr="00BC5A92">
              <w:rPr>
                <w:b/>
                <w:color w:val="FFFFFF" w:themeColor="background1"/>
                <w:szCs w:val="20"/>
                <w:lang w:eastAsia="en-GB"/>
              </w:rPr>
              <w:t xml:space="preserve"> Environmental Impacts and Revenue Changes in Netherlands – Scenario B</w:t>
            </w:r>
          </w:p>
        </w:tc>
      </w:tr>
      <w:tr w:rsidR="00B71F1F" w:rsidRPr="00BC5A92" w14:paraId="243F4A2C" w14:textId="77777777" w:rsidTr="00BA7936">
        <w:trPr>
          <w:trHeight w:val="506"/>
          <w:tblHeader/>
        </w:trPr>
        <w:tc>
          <w:tcPr>
            <w:tcW w:w="2247" w:type="dxa"/>
          </w:tcPr>
          <w:p w14:paraId="1C18B853" w14:textId="77777777" w:rsidR="00B71F1F" w:rsidRPr="00BC5A92" w:rsidRDefault="00B71F1F" w:rsidP="000878F6">
            <w:pPr>
              <w:pStyle w:val="Table"/>
              <w:rPr>
                <w:b/>
                <w:szCs w:val="20"/>
              </w:rPr>
            </w:pPr>
            <w:r w:rsidRPr="00BC5A92">
              <w:rPr>
                <w:b/>
                <w:szCs w:val="20"/>
              </w:rPr>
              <w:t>Tax Name</w:t>
            </w:r>
          </w:p>
        </w:tc>
        <w:tc>
          <w:tcPr>
            <w:tcW w:w="2247" w:type="dxa"/>
            <w:gridSpan w:val="2"/>
            <w:vAlign w:val="bottom"/>
          </w:tcPr>
          <w:p w14:paraId="7B6411F4" w14:textId="77777777" w:rsidR="00B71F1F" w:rsidRPr="00BC5A92" w:rsidRDefault="00B71F1F" w:rsidP="000878F6">
            <w:pPr>
              <w:pStyle w:val="Table"/>
              <w:jc w:val="center"/>
              <w:rPr>
                <w:b/>
                <w:szCs w:val="20"/>
              </w:rPr>
            </w:pPr>
            <w:r w:rsidRPr="00BC5A92">
              <w:rPr>
                <w:rFonts w:ascii="Calibri" w:hAnsi="Calibri" w:cs="Calibri"/>
                <w:b/>
                <w:bCs/>
                <w:color w:val="000000"/>
                <w:szCs w:val="20"/>
              </w:rPr>
              <w:t>% Change in Quantities as % of taxed sector</w:t>
            </w:r>
          </w:p>
        </w:tc>
        <w:tc>
          <w:tcPr>
            <w:tcW w:w="2247" w:type="dxa"/>
            <w:gridSpan w:val="2"/>
            <w:vAlign w:val="bottom"/>
          </w:tcPr>
          <w:p w14:paraId="4911BA9F" w14:textId="77777777" w:rsidR="00B71F1F" w:rsidRPr="00BC5A92" w:rsidRDefault="00B71F1F" w:rsidP="000878F6">
            <w:pPr>
              <w:pStyle w:val="Table"/>
              <w:jc w:val="center"/>
              <w:rPr>
                <w:b/>
                <w:szCs w:val="20"/>
              </w:rPr>
            </w:pPr>
            <w:r w:rsidRPr="00BC5A92">
              <w:rPr>
                <w:rFonts w:ascii="Calibri" w:hAnsi="Calibri" w:cs="Calibri"/>
                <w:b/>
                <w:bCs/>
                <w:color w:val="000000"/>
                <w:szCs w:val="20"/>
              </w:rPr>
              <w:t>Change in Revenues (€Mn)</w:t>
            </w:r>
          </w:p>
        </w:tc>
        <w:tc>
          <w:tcPr>
            <w:tcW w:w="2250" w:type="dxa"/>
            <w:gridSpan w:val="2"/>
            <w:vAlign w:val="bottom"/>
          </w:tcPr>
          <w:p w14:paraId="48313EB4" w14:textId="77777777" w:rsidR="00B71F1F" w:rsidRPr="00BC5A92" w:rsidRDefault="00B71F1F" w:rsidP="000878F6">
            <w:pPr>
              <w:pStyle w:val="Table"/>
              <w:jc w:val="center"/>
              <w:rPr>
                <w:b/>
                <w:szCs w:val="20"/>
              </w:rPr>
            </w:pPr>
            <w:r w:rsidRPr="00BC5A92">
              <w:rPr>
                <w:rFonts w:ascii="Calibri" w:hAnsi="Calibri" w:cs="Calibri"/>
                <w:b/>
                <w:bCs/>
                <w:color w:val="000000"/>
                <w:szCs w:val="20"/>
              </w:rPr>
              <w:t>As % of 2023 Resource Tax</w:t>
            </w:r>
          </w:p>
        </w:tc>
      </w:tr>
      <w:tr w:rsidR="00B71F1F" w:rsidRPr="00BC5A92" w14:paraId="36BE3D3E" w14:textId="77777777" w:rsidTr="00BA7936">
        <w:trPr>
          <w:trHeight w:val="243"/>
        </w:trPr>
        <w:tc>
          <w:tcPr>
            <w:tcW w:w="2247" w:type="dxa"/>
          </w:tcPr>
          <w:p w14:paraId="2B0D381A" w14:textId="77777777" w:rsidR="00B71F1F" w:rsidRPr="00BC5A92" w:rsidRDefault="00B71F1F" w:rsidP="000878F6">
            <w:pPr>
              <w:pStyle w:val="Table"/>
              <w:jc w:val="left"/>
              <w:rPr>
                <w:b/>
                <w:szCs w:val="20"/>
              </w:rPr>
            </w:pPr>
            <w:r w:rsidRPr="00BC5A92">
              <w:rPr>
                <w:b/>
                <w:szCs w:val="20"/>
              </w:rPr>
              <w:t>Year</w:t>
            </w:r>
          </w:p>
        </w:tc>
        <w:tc>
          <w:tcPr>
            <w:tcW w:w="1123" w:type="dxa"/>
          </w:tcPr>
          <w:p w14:paraId="352E072D" w14:textId="77777777" w:rsidR="00B71F1F" w:rsidRPr="00BC5A92" w:rsidRDefault="00B71F1F" w:rsidP="000878F6">
            <w:pPr>
              <w:pStyle w:val="Table"/>
              <w:jc w:val="center"/>
              <w:rPr>
                <w:b/>
                <w:szCs w:val="20"/>
              </w:rPr>
            </w:pPr>
            <w:r w:rsidRPr="00BC5A92">
              <w:rPr>
                <w:b/>
                <w:szCs w:val="20"/>
              </w:rPr>
              <w:t>2030</w:t>
            </w:r>
          </w:p>
        </w:tc>
        <w:tc>
          <w:tcPr>
            <w:tcW w:w="1124" w:type="dxa"/>
          </w:tcPr>
          <w:p w14:paraId="41D618FF" w14:textId="77777777" w:rsidR="00B71F1F" w:rsidRPr="00BC5A92" w:rsidRDefault="00B71F1F" w:rsidP="000878F6">
            <w:pPr>
              <w:pStyle w:val="Table"/>
              <w:jc w:val="center"/>
              <w:rPr>
                <w:b/>
                <w:szCs w:val="20"/>
              </w:rPr>
            </w:pPr>
            <w:r w:rsidRPr="00BC5A92">
              <w:rPr>
                <w:b/>
                <w:szCs w:val="20"/>
              </w:rPr>
              <w:t>2035</w:t>
            </w:r>
          </w:p>
        </w:tc>
        <w:tc>
          <w:tcPr>
            <w:tcW w:w="1030" w:type="dxa"/>
          </w:tcPr>
          <w:p w14:paraId="4D89CBB2" w14:textId="77777777" w:rsidR="00B71F1F" w:rsidRPr="00BC5A92" w:rsidRDefault="00B71F1F" w:rsidP="000878F6">
            <w:pPr>
              <w:pStyle w:val="Table"/>
              <w:jc w:val="center"/>
              <w:rPr>
                <w:b/>
                <w:szCs w:val="20"/>
              </w:rPr>
            </w:pPr>
            <w:r w:rsidRPr="00BC5A92">
              <w:rPr>
                <w:b/>
                <w:szCs w:val="20"/>
              </w:rPr>
              <w:t>2030</w:t>
            </w:r>
          </w:p>
        </w:tc>
        <w:tc>
          <w:tcPr>
            <w:tcW w:w="1217" w:type="dxa"/>
          </w:tcPr>
          <w:p w14:paraId="3A585C6F" w14:textId="77777777" w:rsidR="00B71F1F" w:rsidRPr="00BC5A92" w:rsidRDefault="00B71F1F" w:rsidP="000878F6">
            <w:pPr>
              <w:pStyle w:val="Table"/>
              <w:jc w:val="center"/>
              <w:rPr>
                <w:b/>
                <w:szCs w:val="20"/>
              </w:rPr>
            </w:pPr>
            <w:r w:rsidRPr="00BC5A92">
              <w:rPr>
                <w:b/>
                <w:szCs w:val="20"/>
              </w:rPr>
              <w:t>2035</w:t>
            </w:r>
          </w:p>
        </w:tc>
        <w:tc>
          <w:tcPr>
            <w:tcW w:w="967" w:type="dxa"/>
          </w:tcPr>
          <w:p w14:paraId="6ADECFF6" w14:textId="77777777" w:rsidR="00B71F1F" w:rsidRPr="00BC5A92" w:rsidRDefault="00B71F1F" w:rsidP="000878F6">
            <w:pPr>
              <w:pStyle w:val="Table"/>
              <w:jc w:val="center"/>
              <w:rPr>
                <w:b/>
                <w:szCs w:val="20"/>
              </w:rPr>
            </w:pPr>
            <w:r w:rsidRPr="00BC5A92">
              <w:rPr>
                <w:b/>
                <w:szCs w:val="20"/>
              </w:rPr>
              <w:t>2030</w:t>
            </w:r>
          </w:p>
        </w:tc>
        <w:tc>
          <w:tcPr>
            <w:tcW w:w="1283" w:type="dxa"/>
          </w:tcPr>
          <w:p w14:paraId="00DCEEB5" w14:textId="77777777" w:rsidR="00B71F1F" w:rsidRPr="00BC5A92" w:rsidRDefault="00B71F1F" w:rsidP="000878F6">
            <w:pPr>
              <w:pStyle w:val="Table"/>
              <w:jc w:val="center"/>
              <w:rPr>
                <w:b/>
                <w:szCs w:val="20"/>
              </w:rPr>
            </w:pPr>
            <w:r w:rsidRPr="00BC5A92">
              <w:rPr>
                <w:b/>
                <w:szCs w:val="20"/>
              </w:rPr>
              <w:t>2035</w:t>
            </w:r>
          </w:p>
        </w:tc>
      </w:tr>
      <w:tr w:rsidR="00B71F1F" w:rsidRPr="00BC5A92" w14:paraId="47A13C66" w14:textId="77777777" w:rsidTr="00BA7936">
        <w:trPr>
          <w:trHeight w:val="243"/>
        </w:trPr>
        <w:tc>
          <w:tcPr>
            <w:tcW w:w="2247" w:type="dxa"/>
          </w:tcPr>
          <w:p w14:paraId="3B4042CD" w14:textId="77777777" w:rsidR="00B71F1F" w:rsidRPr="00BC5A92" w:rsidRDefault="00B71F1F" w:rsidP="000878F6">
            <w:pPr>
              <w:pStyle w:val="Table"/>
              <w:rPr>
                <w:szCs w:val="20"/>
              </w:rPr>
            </w:pPr>
            <w:r w:rsidRPr="00BC5A92">
              <w:rPr>
                <w:szCs w:val="20"/>
              </w:rPr>
              <w:t>NOx</w:t>
            </w:r>
          </w:p>
        </w:tc>
        <w:tc>
          <w:tcPr>
            <w:tcW w:w="1123" w:type="dxa"/>
            <w:vAlign w:val="center"/>
          </w:tcPr>
          <w:p w14:paraId="2B4F7828" w14:textId="77777777" w:rsidR="00B71F1F" w:rsidRPr="00BC5A92" w:rsidRDefault="00B71F1F" w:rsidP="000878F6">
            <w:pPr>
              <w:pStyle w:val="Table"/>
              <w:jc w:val="center"/>
              <w:rPr>
                <w:szCs w:val="20"/>
              </w:rPr>
            </w:pPr>
            <w:r w:rsidRPr="00BC5A92">
              <w:rPr>
                <w:rFonts w:ascii="Calibri" w:hAnsi="Calibri" w:cs="Calibri"/>
                <w:color w:val="000000"/>
                <w:szCs w:val="20"/>
              </w:rPr>
              <w:t>-7,39%</w:t>
            </w:r>
          </w:p>
        </w:tc>
        <w:tc>
          <w:tcPr>
            <w:tcW w:w="1124" w:type="dxa"/>
            <w:vAlign w:val="center"/>
          </w:tcPr>
          <w:p w14:paraId="22C16D86" w14:textId="77777777" w:rsidR="00B71F1F" w:rsidRPr="00BC5A92" w:rsidRDefault="00B71F1F" w:rsidP="000878F6">
            <w:pPr>
              <w:pStyle w:val="Table"/>
              <w:jc w:val="center"/>
              <w:rPr>
                <w:szCs w:val="20"/>
              </w:rPr>
            </w:pPr>
            <w:r w:rsidRPr="00BC5A92">
              <w:rPr>
                <w:rFonts w:ascii="Calibri" w:hAnsi="Calibri" w:cs="Calibri"/>
                <w:color w:val="000000"/>
                <w:szCs w:val="20"/>
              </w:rPr>
              <w:t>-7,39%</w:t>
            </w:r>
          </w:p>
        </w:tc>
        <w:tc>
          <w:tcPr>
            <w:tcW w:w="1030" w:type="dxa"/>
            <w:vAlign w:val="center"/>
          </w:tcPr>
          <w:p w14:paraId="71938318" w14:textId="77777777" w:rsidR="00B71F1F" w:rsidRPr="00BC5A92" w:rsidRDefault="00B71F1F" w:rsidP="000878F6">
            <w:pPr>
              <w:pStyle w:val="Table"/>
              <w:jc w:val="center"/>
              <w:rPr>
                <w:szCs w:val="20"/>
              </w:rPr>
            </w:pPr>
            <w:r w:rsidRPr="00BC5A92">
              <w:rPr>
                <w:rFonts w:ascii="Calibri" w:hAnsi="Calibri" w:cs="Calibri"/>
                <w:color w:val="000000"/>
                <w:szCs w:val="20"/>
              </w:rPr>
              <w:t>0,61</w:t>
            </w:r>
          </w:p>
        </w:tc>
        <w:tc>
          <w:tcPr>
            <w:tcW w:w="1217" w:type="dxa"/>
            <w:vAlign w:val="center"/>
          </w:tcPr>
          <w:p w14:paraId="4319329E" w14:textId="77777777" w:rsidR="00B71F1F" w:rsidRPr="00BC5A92" w:rsidRDefault="00B71F1F" w:rsidP="000878F6">
            <w:pPr>
              <w:pStyle w:val="Table"/>
              <w:jc w:val="center"/>
              <w:rPr>
                <w:szCs w:val="20"/>
              </w:rPr>
            </w:pPr>
            <w:r w:rsidRPr="00BC5A92">
              <w:rPr>
                <w:rFonts w:ascii="Calibri" w:hAnsi="Calibri" w:cs="Calibri"/>
                <w:color w:val="000000"/>
                <w:szCs w:val="20"/>
              </w:rPr>
              <w:t>0,45</w:t>
            </w:r>
          </w:p>
        </w:tc>
        <w:tc>
          <w:tcPr>
            <w:tcW w:w="967" w:type="dxa"/>
            <w:vAlign w:val="center"/>
          </w:tcPr>
          <w:p w14:paraId="38B7BDD4" w14:textId="77777777" w:rsidR="00B71F1F" w:rsidRPr="00BC5A92" w:rsidRDefault="00B71F1F" w:rsidP="000878F6">
            <w:pPr>
              <w:pStyle w:val="Table"/>
              <w:jc w:val="center"/>
              <w:rPr>
                <w:szCs w:val="20"/>
              </w:rPr>
            </w:pPr>
            <w:r w:rsidRPr="00BC5A92">
              <w:rPr>
                <w:rFonts w:ascii="Calibri" w:hAnsi="Calibri" w:cs="Calibri"/>
                <w:color w:val="000000"/>
                <w:szCs w:val="20"/>
              </w:rPr>
              <w:t>0,0%</w:t>
            </w:r>
          </w:p>
        </w:tc>
        <w:tc>
          <w:tcPr>
            <w:tcW w:w="1283" w:type="dxa"/>
            <w:vAlign w:val="center"/>
          </w:tcPr>
          <w:p w14:paraId="7BFA2D1A" w14:textId="77777777" w:rsidR="00B71F1F" w:rsidRPr="00BC5A92" w:rsidRDefault="00B71F1F" w:rsidP="000878F6">
            <w:pPr>
              <w:pStyle w:val="Table"/>
              <w:jc w:val="center"/>
              <w:rPr>
                <w:szCs w:val="20"/>
              </w:rPr>
            </w:pPr>
            <w:r w:rsidRPr="00BC5A92">
              <w:rPr>
                <w:rFonts w:ascii="Calibri" w:hAnsi="Calibri" w:cs="Calibri"/>
                <w:color w:val="000000"/>
                <w:szCs w:val="20"/>
              </w:rPr>
              <w:t>0,0%</w:t>
            </w:r>
          </w:p>
        </w:tc>
      </w:tr>
      <w:tr w:rsidR="00B71F1F" w:rsidRPr="00BC5A92" w14:paraId="477863B4" w14:textId="77777777" w:rsidTr="00BA7936">
        <w:trPr>
          <w:trHeight w:val="243"/>
        </w:trPr>
        <w:tc>
          <w:tcPr>
            <w:tcW w:w="2247" w:type="dxa"/>
          </w:tcPr>
          <w:p w14:paraId="0F96FBEF" w14:textId="77777777" w:rsidR="00B71F1F" w:rsidRPr="00BC5A92" w:rsidRDefault="00B71F1F" w:rsidP="000878F6">
            <w:pPr>
              <w:pStyle w:val="Table"/>
              <w:rPr>
                <w:szCs w:val="20"/>
              </w:rPr>
            </w:pPr>
            <w:r w:rsidRPr="00BC5A92">
              <w:rPr>
                <w:szCs w:val="20"/>
              </w:rPr>
              <w:t>SO2</w:t>
            </w:r>
          </w:p>
        </w:tc>
        <w:tc>
          <w:tcPr>
            <w:tcW w:w="1123" w:type="dxa"/>
            <w:vAlign w:val="center"/>
          </w:tcPr>
          <w:p w14:paraId="2E4BC25D" w14:textId="77777777" w:rsidR="00B71F1F" w:rsidRPr="00BC5A92" w:rsidRDefault="00B71F1F" w:rsidP="000878F6">
            <w:pPr>
              <w:pStyle w:val="Table"/>
              <w:jc w:val="center"/>
              <w:rPr>
                <w:szCs w:val="20"/>
              </w:rPr>
            </w:pPr>
            <w:r w:rsidRPr="00BC5A92">
              <w:rPr>
                <w:rFonts w:ascii="Calibri" w:hAnsi="Calibri" w:cs="Calibri"/>
                <w:color w:val="000000"/>
                <w:szCs w:val="20"/>
              </w:rPr>
              <w:t>-8,11%</w:t>
            </w:r>
          </w:p>
        </w:tc>
        <w:tc>
          <w:tcPr>
            <w:tcW w:w="1124" w:type="dxa"/>
            <w:vAlign w:val="center"/>
          </w:tcPr>
          <w:p w14:paraId="2B6C28A7" w14:textId="77777777" w:rsidR="00B71F1F" w:rsidRPr="00BC5A92" w:rsidRDefault="00B71F1F" w:rsidP="000878F6">
            <w:pPr>
              <w:pStyle w:val="Table"/>
              <w:jc w:val="center"/>
              <w:rPr>
                <w:szCs w:val="20"/>
              </w:rPr>
            </w:pPr>
            <w:r w:rsidRPr="00BC5A92">
              <w:rPr>
                <w:rFonts w:ascii="Calibri" w:hAnsi="Calibri" w:cs="Calibri"/>
                <w:color w:val="000000"/>
                <w:szCs w:val="20"/>
              </w:rPr>
              <w:t>-8,11%</w:t>
            </w:r>
          </w:p>
        </w:tc>
        <w:tc>
          <w:tcPr>
            <w:tcW w:w="1030" w:type="dxa"/>
            <w:vAlign w:val="center"/>
          </w:tcPr>
          <w:p w14:paraId="6F60515A" w14:textId="77777777" w:rsidR="00B71F1F" w:rsidRPr="00BC5A92" w:rsidRDefault="00B71F1F" w:rsidP="000878F6">
            <w:pPr>
              <w:pStyle w:val="Table"/>
              <w:jc w:val="center"/>
              <w:rPr>
                <w:szCs w:val="20"/>
              </w:rPr>
            </w:pPr>
            <w:r w:rsidRPr="00BC5A92">
              <w:rPr>
                <w:rFonts w:ascii="Calibri" w:hAnsi="Calibri" w:cs="Calibri"/>
                <w:color w:val="000000"/>
                <w:szCs w:val="20"/>
              </w:rPr>
              <w:t>3,69</w:t>
            </w:r>
          </w:p>
        </w:tc>
        <w:tc>
          <w:tcPr>
            <w:tcW w:w="1217" w:type="dxa"/>
            <w:vAlign w:val="center"/>
          </w:tcPr>
          <w:p w14:paraId="5D1DDCDC" w14:textId="77777777" w:rsidR="00B71F1F" w:rsidRPr="00BC5A92" w:rsidRDefault="00B71F1F" w:rsidP="000878F6">
            <w:pPr>
              <w:pStyle w:val="Table"/>
              <w:jc w:val="center"/>
              <w:rPr>
                <w:szCs w:val="20"/>
              </w:rPr>
            </w:pPr>
            <w:r w:rsidRPr="00BC5A92">
              <w:rPr>
                <w:rFonts w:ascii="Calibri" w:hAnsi="Calibri" w:cs="Calibri"/>
                <w:color w:val="000000"/>
                <w:szCs w:val="20"/>
              </w:rPr>
              <w:t>2,87</w:t>
            </w:r>
          </w:p>
        </w:tc>
        <w:tc>
          <w:tcPr>
            <w:tcW w:w="967" w:type="dxa"/>
            <w:vAlign w:val="center"/>
          </w:tcPr>
          <w:p w14:paraId="5DAEC4CD" w14:textId="77777777" w:rsidR="00B71F1F" w:rsidRPr="00BC5A92" w:rsidRDefault="00B71F1F" w:rsidP="000878F6">
            <w:pPr>
              <w:pStyle w:val="Table"/>
              <w:jc w:val="center"/>
              <w:rPr>
                <w:szCs w:val="20"/>
              </w:rPr>
            </w:pPr>
            <w:r w:rsidRPr="00BC5A92">
              <w:rPr>
                <w:rFonts w:ascii="Calibri" w:hAnsi="Calibri" w:cs="Calibri"/>
                <w:color w:val="000000"/>
                <w:szCs w:val="20"/>
              </w:rPr>
              <w:t>0,1%</w:t>
            </w:r>
          </w:p>
        </w:tc>
        <w:tc>
          <w:tcPr>
            <w:tcW w:w="1283" w:type="dxa"/>
            <w:vAlign w:val="center"/>
          </w:tcPr>
          <w:p w14:paraId="14C0E75C" w14:textId="77777777" w:rsidR="00B71F1F" w:rsidRPr="00BC5A92" w:rsidRDefault="00B71F1F" w:rsidP="000878F6">
            <w:pPr>
              <w:pStyle w:val="Table"/>
              <w:jc w:val="center"/>
              <w:rPr>
                <w:szCs w:val="20"/>
              </w:rPr>
            </w:pPr>
            <w:r w:rsidRPr="00BC5A92">
              <w:rPr>
                <w:rFonts w:ascii="Calibri" w:hAnsi="Calibri" w:cs="Calibri"/>
                <w:color w:val="000000"/>
                <w:szCs w:val="20"/>
              </w:rPr>
              <w:t>0,1%</w:t>
            </w:r>
          </w:p>
        </w:tc>
      </w:tr>
      <w:tr w:rsidR="00B71F1F" w:rsidRPr="00BC5A92" w14:paraId="53BE9431" w14:textId="77777777" w:rsidTr="00BA7936">
        <w:trPr>
          <w:trHeight w:val="243"/>
        </w:trPr>
        <w:tc>
          <w:tcPr>
            <w:tcW w:w="2247" w:type="dxa"/>
          </w:tcPr>
          <w:p w14:paraId="7095BB77" w14:textId="77777777" w:rsidR="00B71F1F" w:rsidRPr="00BC5A92" w:rsidRDefault="00B71F1F" w:rsidP="000878F6">
            <w:pPr>
              <w:pStyle w:val="Table"/>
              <w:rPr>
                <w:szCs w:val="20"/>
              </w:rPr>
            </w:pPr>
            <w:r w:rsidRPr="00BC5A92">
              <w:rPr>
                <w:szCs w:val="20"/>
              </w:rPr>
              <w:t>PM2.5</w:t>
            </w:r>
          </w:p>
        </w:tc>
        <w:tc>
          <w:tcPr>
            <w:tcW w:w="1123" w:type="dxa"/>
            <w:vAlign w:val="center"/>
          </w:tcPr>
          <w:p w14:paraId="3B45C495" w14:textId="77777777" w:rsidR="00B71F1F" w:rsidRPr="00BC5A92" w:rsidRDefault="00B71F1F" w:rsidP="000878F6">
            <w:pPr>
              <w:pStyle w:val="Table"/>
              <w:jc w:val="center"/>
              <w:rPr>
                <w:szCs w:val="20"/>
              </w:rPr>
            </w:pPr>
            <w:r w:rsidRPr="00BC5A92">
              <w:rPr>
                <w:rFonts w:ascii="Calibri" w:hAnsi="Calibri" w:cs="Calibri"/>
                <w:color w:val="000000"/>
                <w:szCs w:val="20"/>
              </w:rPr>
              <w:t>-7,39%</w:t>
            </w:r>
          </w:p>
        </w:tc>
        <w:tc>
          <w:tcPr>
            <w:tcW w:w="1124" w:type="dxa"/>
            <w:vAlign w:val="center"/>
          </w:tcPr>
          <w:p w14:paraId="7E9367CF" w14:textId="77777777" w:rsidR="00B71F1F" w:rsidRPr="00BC5A92" w:rsidRDefault="00B71F1F" w:rsidP="000878F6">
            <w:pPr>
              <w:pStyle w:val="Table"/>
              <w:jc w:val="center"/>
              <w:rPr>
                <w:szCs w:val="20"/>
              </w:rPr>
            </w:pPr>
            <w:r w:rsidRPr="00BC5A92">
              <w:rPr>
                <w:rFonts w:ascii="Calibri" w:hAnsi="Calibri" w:cs="Calibri"/>
                <w:color w:val="000000"/>
                <w:szCs w:val="20"/>
              </w:rPr>
              <w:t>-7,39%</w:t>
            </w:r>
          </w:p>
        </w:tc>
        <w:tc>
          <w:tcPr>
            <w:tcW w:w="1030" w:type="dxa"/>
            <w:vAlign w:val="center"/>
          </w:tcPr>
          <w:p w14:paraId="78026EAD" w14:textId="77777777" w:rsidR="00B71F1F" w:rsidRPr="00BC5A92" w:rsidRDefault="00B71F1F" w:rsidP="000878F6">
            <w:pPr>
              <w:pStyle w:val="Table"/>
              <w:jc w:val="center"/>
              <w:rPr>
                <w:szCs w:val="20"/>
              </w:rPr>
            </w:pPr>
            <w:r w:rsidRPr="00BC5A92">
              <w:rPr>
                <w:rFonts w:ascii="Calibri" w:hAnsi="Calibri" w:cs="Calibri"/>
                <w:color w:val="000000"/>
                <w:szCs w:val="20"/>
              </w:rPr>
              <w:t>1,13</w:t>
            </w:r>
          </w:p>
        </w:tc>
        <w:tc>
          <w:tcPr>
            <w:tcW w:w="1217" w:type="dxa"/>
            <w:vAlign w:val="center"/>
          </w:tcPr>
          <w:p w14:paraId="105CD411" w14:textId="77777777" w:rsidR="00B71F1F" w:rsidRPr="00BC5A92" w:rsidRDefault="00B71F1F" w:rsidP="000878F6">
            <w:pPr>
              <w:pStyle w:val="Table"/>
              <w:jc w:val="center"/>
              <w:rPr>
                <w:szCs w:val="20"/>
              </w:rPr>
            </w:pPr>
            <w:r w:rsidRPr="00BC5A92">
              <w:rPr>
                <w:rFonts w:ascii="Calibri" w:hAnsi="Calibri" w:cs="Calibri"/>
                <w:color w:val="000000"/>
                <w:szCs w:val="20"/>
              </w:rPr>
              <w:t>0,98</w:t>
            </w:r>
          </w:p>
        </w:tc>
        <w:tc>
          <w:tcPr>
            <w:tcW w:w="967" w:type="dxa"/>
            <w:vAlign w:val="center"/>
          </w:tcPr>
          <w:p w14:paraId="54405555" w14:textId="77777777" w:rsidR="00B71F1F" w:rsidRPr="00BC5A92" w:rsidRDefault="00B71F1F" w:rsidP="000878F6">
            <w:pPr>
              <w:pStyle w:val="Table"/>
              <w:jc w:val="center"/>
              <w:rPr>
                <w:szCs w:val="20"/>
              </w:rPr>
            </w:pPr>
            <w:r w:rsidRPr="00BC5A92">
              <w:rPr>
                <w:rFonts w:ascii="Calibri" w:hAnsi="Calibri" w:cs="Calibri"/>
                <w:color w:val="000000"/>
                <w:szCs w:val="20"/>
              </w:rPr>
              <w:t>0,0%</w:t>
            </w:r>
          </w:p>
        </w:tc>
        <w:tc>
          <w:tcPr>
            <w:tcW w:w="1283" w:type="dxa"/>
            <w:vAlign w:val="center"/>
          </w:tcPr>
          <w:p w14:paraId="431690D2" w14:textId="77777777" w:rsidR="00B71F1F" w:rsidRPr="00BC5A92" w:rsidRDefault="00B71F1F" w:rsidP="000878F6">
            <w:pPr>
              <w:pStyle w:val="Table"/>
              <w:jc w:val="center"/>
              <w:rPr>
                <w:szCs w:val="20"/>
              </w:rPr>
            </w:pPr>
            <w:r w:rsidRPr="00BC5A92">
              <w:rPr>
                <w:rFonts w:ascii="Calibri" w:hAnsi="Calibri" w:cs="Calibri"/>
                <w:color w:val="000000"/>
                <w:szCs w:val="20"/>
              </w:rPr>
              <w:t>0,0%</w:t>
            </w:r>
          </w:p>
        </w:tc>
      </w:tr>
      <w:tr w:rsidR="00B71F1F" w:rsidRPr="00BC5A92" w14:paraId="1AB49CC9" w14:textId="77777777" w:rsidTr="00BA7936">
        <w:trPr>
          <w:trHeight w:val="243"/>
        </w:trPr>
        <w:tc>
          <w:tcPr>
            <w:tcW w:w="2247" w:type="dxa"/>
          </w:tcPr>
          <w:p w14:paraId="5147F5B7" w14:textId="77777777" w:rsidR="00B71F1F" w:rsidRPr="00BC5A92" w:rsidRDefault="00B71F1F" w:rsidP="000878F6">
            <w:pPr>
              <w:pStyle w:val="Table"/>
              <w:rPr>
                <w:szCs w:val="20"/>
              </w:rPr>
            </w:pPr>
            <w:r w:rsidRPr="00BC5A92">
              <w:rPr>
                <w:szCs w:val="20"/>
              </w:rPr>
              <w:t>Water Abstraction</w:t>
            </w:r>
          </w:p>
        </w:tc>
        <w:tc>
          <w:tcPr>
            <w:tcW w:w="1123" w:type="dxa"/>
            <w:vAlign w:val="center"/>
          </w:tcPr>
          <w:p w14:paraId="50AA461F" w14:textId="77777777" w:rsidR="00B71F1F" w:rsidRPr="00BC5A92" w:rsidRDefault="00B71F1F" w:rsidP="000878F6">
            <w:pPr>
              <w:pStyle w:val="Table"/>
              <w:jc w:val="center"/>
              <w:rPr>
                <w:szCs w:val="20"/>
              </w:rPr>
            </w:pPr>
            <w:r w:rsidRPr="00BC5A92">
              <w:rPr>
                <w:rFonts w:ascii="Calibri" w:hAnsi="Calibri" w:cs="Calibri"/>
                <w:color w:val="000000"/>
                <w:szCs w:val="20"/>
              </w:rPr>
              <w:t>0,00%</w:t>
            </w:r>
          </w:p>
        </w:tc>
        <w:tc>
          <w:tcPr>
            <w:tcW w:w="1124" w:type="dxa"/>
            <w:vAlign w:val="center"/>
          </w:tcPr>
          <w:p w14:paraId="2F50E888" w14:textId="77777777" w:rsidR="00B71F1F" w:rsidRPr="00BC5A92" w:rsidRDefault="00B71F1F" w:rsidP="000878F6">
            <w:pPr>
              <w:pStyle w:val="Table"/>
              <w:jc w:val="center"/>
              <w:rPr>
                <w:szCs w:val="20"/>
              </w:rPr>
            </w:pPr>
            <w:r w:rsidRPr="00BC5A92">
              <w:rPr>
                <w:rFonts w:ascii="Calibri" w:hAnsi="Calibri" w:cs="Calibri"/>
                <w:color w:val="000000"/>
                <w:szCs w:val="20"/>
              </w:rPr>
              <w:t>0,00%</w:t>
            </w:r>
          </w:p>
        </w:tc>
        <w:tc>
          <w:tcPr>
            <w:tcW w:w="1030" w:type="dxa"/>
            <w:vAlign w:val="center"/>
          </w:tcPr>
          <w:p w14:paraId="4DF57801" w14:textId="77777777" w:rsidR="00B71F1F" w:rsidRPr="00BC5A92" w:rsidRDefault="00B71F1F" w:rsidP="000878F6">
            <w:pPr>
              <w:pStyle w:val="Table"/>
              <w:jc w:val="center"/>
              <w:rPr>
                <w:szCs w:val="20"/>
              </w:rPr>
            </w:pPr>
            <w:r w:rsidRPr="00BC5A92">
              <w:rPr>
                <w:rFonts w:ascii="Calibri" w:hAnsi="Calibri" w:cs="Calibri"/>
                <w:color w:val="000000"/>
                <w:szCs w:val="20"/>
              </w:rPr>
              <w:t>48,30</w:t>
            </w:r>
          </w:p>
        </w:tc>
        <w:tc>
          <w:tcPr>
            <w:tcW w:w="1217" w:type="dxa"/>
            <w:vAlign w:val="center"/>
          </w:tcPr>
          <w:p w14:paraId="5D09ACF5" w14:textId="77777777" w:rsidR="00B71F1F" w:rsidRPr="00BC5A92" w:rsidRDefault="00B71F1F" w:rsidP="000878F6">
            <w:pPr>
              <w:pStyle w:val="Table"/>
              <w:jc w:val="center"/>
              <w:rPr>
                <w:szCs w:val="20"/>
              </w:rPr>
            </w:pPr>
            <w:r w:rsidRPr="00BC5A92">
              <w:rPr>
                <w:rFonts w:ascii="Calibri" w:hAnsi="Calibri" w:cs="Calibri"/>
                <w:color w:val="000000"/>
                <w:szCs w:val="20"/>
              </w:rPr>
              <w:t>40,19</w:t>
            </w:r>
          </w:p>
        </w:tc>
        <w:tc>
          <w:tcPr>
            <w:tcW w:w="967" w:type="dxa"/>
            <w:vAlign w:val="center"/>
          </w:tcPr>
          <w:p w14:paraId="573D10BD" w14:textId="77777777" w:rsidR="00B71F1F" w:rsidRPr="00BC5A92" w:rsidRDefault="00B71F1F" w:rsidP="000878F6">
            <w:pPr>
              <w:pStyle w:val="Table"/>
              <w:jc w:val="center"/>
              <w:rPr>
                <w:szCs w:val="20"/>
              </w:rPr>
            </w:pPr>
            <w:r w:rsidRPr="00BC5A92">
              <w:rPr>
                <w:rFonts w:ascii="Calibri" w:hAnsi="Calibri" w:cs="Calibri"/>
                <w:color w:val="000000"/>
                <w:szCs w:val="20"/>
              </w:rPr>
              <w:t>1,1%</w:t>
            </w:r>
          </w:p>
        </w:tc>
        <w:tc>
          <w:tcPr>
            <w:tcW w:w="1283" w:type="dxa"/>
            <w:vAlign w:val="center"/>
          </w:tcPr>
          <w:p w14:paraId="5CB8056A" w14:textId="77777777" w:rsidR="00B71F1F" w:rsidRPr="00BC5A92" w:rsidRDefault="00B71F1F" w:rsidP="000878F6">
            <w:pPr>
              <w:pStyle w:val="Table"/>
              <w:jc w:val="center"/>
              <w:rPr>
                <w:szCs w:val="20"/>
              </w:rPr>
            </w:pPr>
            <w:r w:rsidRPr="00BC5A92">
              <w:rPr>
                <w:rFonts w:ascii="Calibri" w:hAnsi="Calibri" w:cs="Calibri"/>
                <w:color w:val="000000"/>
                <w:szCs w:val="20"/>
              </w:rPr>
              <w:t>0,9%</w:t>
            </w:r>
          </w:p>
        </w:tc>
      </w:tr>
      <w:tr w:rsidR="00B71F1F" w:rsidRPr="00BC5A92" w14:paraId="168CABC1" w14:textId="77777777" w:rsidTr="00BA7936">
        <w:trPr>
          <w:trHeight w:val="261"/>
        </w:trPr>
        <w:tc>
          <w:tcPr>
            <w:tcW w:w="2247" w:type="dxa"/>
          </w:tcPr>
          <w:p w14:paraId="1DEF865D" w14:textId="77777777" w:rsidR="00B71F1F" w:rsidRPr="00BC5A92" w:rsidRDefault="00B71F1F" w:rsidP="000878F6">
            <w:pPr>
              <w:pStyle w:val="Table"/>
              <w:rPr>
                <w:szCs w:val="20"/>
              </w:rPr>
            </w:pPr>
            <w:r w:rsidRPr="00BC5A92">
              <w:rPr>
                <w:szCs w:val="20"/>
              </w:rPr>
              <w:t>Fertilizers</w:t>
            </w:r>
          </w:p>
        </w:tc>
        <w:tc>
          <w:tcPr>
            <w:tcW w:w="1123" w:type="dxa"/>
            <w:vAlign w:val="center"/>
          </w:tcPr>
          <w:p w14:paraId="0902723C" w14:textId="77777777" w:rsidR="00B71F1F" w:rsidRPr="00BC5A92" w:rsidRDefault="00B71F1F" w:rsidP="000878F6">
            <w:pPr>
              <w:pStyle w:val="Table"/>
              <w:jc w:val="center"/>
              <w:rPr>
                <w:szCs w:val="20"/>
              </w:rPr>
            </w:pPr>
            <w:r w:rsidRPr="00BC5A92">
              <w:rPr>
                <w:rFonts w:ascii="Calibri" w:hAnsi="Calibri" w:cs="Calibri"/>
                <w:color w:val="000000"/>
                <w:szCs w:val="20"/>
              </w:rPr>
              <w:t>-10,48%</w:t>
            </w:r>
          </w:p>
        </w:tc>
        <w:tc>
          <w:tcPr>
            <w:tcW w:w="1124" w:type="dxa"/>
            <w:vAlign w:val="center"/>
          </w:tcPr>
          <w:p w14:paraId="3DE5101C" w14:textId="77777777" w:rsidR="00B71F1F" w:rsidRPr="00BC5A92" w:rsidRDefault="00B71F1F" w:rsidP="000878F6">
            <w:pPr>
              <w:pStyle w:val="Table"/>
              <w:jc w:val="center"/>
              <w:rPr>
                <w:szCs w:val="20"/>
              </w:rPr>
            </w:pPr>
            <w:r w:rsidRPr="00BC5A92">
              <w:rPr>
                <w:rFonts w:ascii="Calibri" w:hAnsi="Calibri" w:cs="Calibri"/>
                <w:color w:val="000000"/>
                <w:szCs w:val="20"/>
              </w:rPr>
              <w:t>-10,48%</w:t>
            </w:r>
          </w:p>
        </w:tc>
        <w:tc>
          <w:tcPr>
            <w:tcW w:w="1030" w:type="dxa"/>
            <w:vAlign w:val="center"/>
          </w:tcPr>
          <w:p w14:paraId="17A7D160" w14:textId="77777777" w:rsidR="00B71F1F" w:rsidRPr="00BC5A92" w:rsidRDefault="00B71F1F" w:rsidP="000878F6">
            <w:pPr>
              <w:pStyle w:val="Table"/>
              <w:jc w:val="center"/>
              <w:rPr>
                <w:szCs w:val="20"/>
              </w:rPr>
            </w:pPr>
            <w:r w:rsidRPr="00BC5A92">
              <w:rPr>
                <w:rFonts w:ascii="Calibri" w:hAnsi="Calibri" w:cs="Calibri"/>
                <w:color w:val="000000"/>
                <w:szCs w:val="20"/>
              </w:rPr>
              <w:t>6,81</w:t>
            </w:r>
          </w:p>
        </w:tc>
        <w:tc>
          <w:tcPr>
            <w:tcW w:w="1217" w:type="dxa"/>
            <w:vAlign w:val="center"/>
          </w:tcPr>
          <w:p w14:paraId="1C180321" w14:textId="77777777" w:rsidR="00B71F1F" w:rsidRPr="00BC5A92" w:rsidRDefault="00B71F1F" w:rsidP="000878F6">
            <w:pPr>
              <w:pStyle w:val="Table"/>
              <w:jc w:val="center"/>
              <w:rPr>
                <w:szCs w:val="20"/>
              </w:rPr>
            </w:pPr>
            <w:r w:rsidRPr="00BC5A92">
              <w:rPr>
                <w:rFonts w:ascii="Calibri" w:hAnsi="Calibri" w:cs="Calibri"/>
                <w:color w:val="000000"/>
                <w:szCs w:val="20"/>
              </w:rPr>
              <w:t>6,55</w:t>
            </w:r>
          </w:p>
        </w:tc>
        <w:tc>
          <w:tcPr>
            <w:tcW w:w="967" w:type="dxa"/>
            <w:vAlign w:val="center"/>
          </w:tcPr>
          <w:p w14:paraId="603CC5C1" w14:textId="77777777" w:rsidR="00B71F1F" w:rsidRPr="00BC5A92" w:rsidRDefault="00B71F1F" w:rsidP="000878F6">
            <w:pPr>
              <w:pStyle w:val="Table"/>
              <w:jc w:val="center"/>
              <w:rPr>
                <w:szCs w:val="20"/>
              </w:rPr>
            </w:pPr>
            <w:r w:rsidRPr="00BC5A92">
              <w:rPr>
                <w:rFonts w:ascii="Calibri" w:hAnsi="Calibri" w:cs="Calibri"/>
                <w:color w:val="000000"/>
                <w:szCs w:val="20"/>
              </w:rPr>
              <w:t>0,2%</w:t>
            </w:r>
          </w:p>
        </w:tc>
        <w:tc>
          <w:tcPr>
            <w:tcW w:w="1283" w:type="dxa"/>
            <w:vAlign w:val="center"/>
          </w:tcPr>
          <w:p w14:paraId="167B62DE" w14:textId="77777777" w:rsidR="00B71F1F" w:rsidRPr="00BC5A92" w:rsidRDefault="00B71F1F" w:rsidP="000878F6">
            <w:pPr>
              <w:pStyle w:val="Table"/>
              <w:jc w:val="center"/>
              <w:rPr>
                <w:szCs w:val="20"/>
              </w:rPr>
            </w:pPr>
            <w:r w:rsidRPr="00BC5A92">
              <w:rPr>
                <w:rFonts w:ascii="Calibri" w:hAnsi="Calibri" w:cs="Calibri"/>
                <w:color w:val="000000"/>
                <w:szCs w:val="20"/>
              </w:rPr>
              <w:t>0,2%</w:t>
            </w:r>
          </w:p>
        </w:tc>
      </w:tr>
      <w:tr w:rsidR="00B71F1F" w:rsidRPr="00BC5A92" w14:paraId="7444F9AE" w14:textId="77777777" w:rsidTr="00BA7936">
        <w:trPr>
          <w:trHeight w:val="243"/>
        </w:trPr>
        <w:tc>
          <w:tcPr>
            <w:tcW w:w="2247" w:type="dxa"/>
          </w:tcPr>
          <w:p w14:paraId="2DA5BB12" w14:textId="77777777" w:rsidR="00B71F1F" w:rsidRPr="00BC5A92" w:rsidRDefault="00B71F1F" w:rsidP="000878F6">
            <w:pPr>
              <w:pStyle w:val="Table"/>
              <w:rPr>
                <w:szCs w:val="20"/>
              </w:rPr>
            </w:pPr>
            <w:r w:rsidRPr="00BC5A92">
              <w:rPr>
                <w:szCs w:val="20"/>
              </w:rPr>
              <w:t>Pesticides</w:t>
            </w:r>
          </w:p>
        </w:tc>
        <w:tc>
          <w:tcPr>
            <w:tcW w:w="1123" w:type="dxa"/>
            <w:vAlign w:val="center"/>
          </w:tcPr>
          <w:p w14:paraId="4A065E9B" w14:textId="77777777" w:rsidR="00B71F1F" w:rsidRPr="00BC5A92" w:rsidRDefault="00B71F1F" w:rsidP="000878F6">
            <w:pPr>
              <w:pStyle w:val="Table"/>
              <w:jc w:val="center"/>
              <w:rPr>
                <w:szCs w:val="20"/>
              </w:rPr>
            </w:pPr>
            <w:r w:rsidRPr="00BC5A92">
              <w:rPr>
                <w:rFonts w:ascii="Calibri" w:hAnsi="Calibri" w:cs="Calibri"/>
                <w:color w:val="000000"/>
                <w:szCs w:val="20"/>
              </w:rPr>
              <w:t>n/a</w:t>
            </w:r>
          </w:p>
        </w:tc>
        <w:tc>
          <w:tcPr>
            <w:tcW w:w="1124" w:type="dxa"/>
            <w:vAlign w:val="center"/>
          </w:tcPr>
          <w:p w14:paraId="71683B92" w14:textId="77777777" w:rsidR="00B71F1F" w:rsidRPr="00BC5A92" w:rsidRDefault="00B71F1F" w:rsidP="000878F6">
            <w:pPr>
              <w:pStyle w:val="Table"/>
              <w:jc w:val="center"/>
              <w:rPr>
                <w:szCs w:val="20"/>
              </w:rPr>
            </w:pPr>
            <w:r w:rsidRPr="00BC5A92">
              <w:rPr>
                <w:rFonts w:ascii="Calibri" w:hAnsi="Calibri" w:cs="Calibri"/>
                <w:color w:val="000000"/>
                <w:szCs w:val="20"/>
              </w:rPr>
              <w:t>n/a</w:t>
            </w:r>
          </w:p>
        </w:tc>
        <w:tc>
          <w:tcPr>
            <w:tcW w:w="1030" w:type="dxa"/>
            <w:vAlign w:val="center"/>
          </w:tcPr>
          <w:p w14:paraId="46C23305" w14:textId="77777777" w:rsidR="00B71F1F" w:rsidRPr="00BC5A92" w:rsidRDefault="00B71F1F" w:rsidP="000878F6">
            <w:pPr>
              <w:pStyle w:val="Table"/>
              <w:jc w:val="center"/>
              <w:rPr>
                <w:szCs w:val="20"/>
              </w:rPr>
            </w:pPr>
            <w:r w:rsidRPr="00BC5A92">
              <w:rPr>
                <w:rFonts w:ascii="Calibri" w:hAnsi="Calibri" w:cs="Calibri"/>
                <w:color w:val="000000"/>
                <w:szCs w:val="20"/>
              </w:rPr>
              <w:t>35,10</w:t>
            </w:r>
          </w:p>
        </w:tc>
        <w:tc>
          <w:tcPr>
            <w:tcW w:w="1217" w:type="dxa"/>
            <w:vAlign w:val="center"/>
          </w:tcPr>
          <w:p w14:paraId="232C1EB6" w14:textId="77777777" w:rsidR="00B71F1F" w:rsidRPr="00BC5A92" w:rsidRDefault="00B71F1F" w:rsidP="000878F6">
            <w:pPr>
              <w:pStyle w:val="Table"/>
              <w:jc w:val="center"/>
              <w:rPr>
                <w:szCs w:val="20"/>
              </w:rPr>
            </w:pPr>
            <w:r w:rsidRPr="00BC5A92">
              <w:rPr>
                <w:rFonts w:ascii="Calibri" w:hAnsi="Calibri" w:cs="Calibri"/>
                <w:color w:val="000000"/>
                <w:szCs w:val="20"/>
              </w:rPr>
              <w:t>34,89</w:t>
            </w:r>
          </w:p>
        </w:tc>
        <w:tc>
          <w:tcPr>
            <w:tcW w:w="967" w:type="dxa"/>
            <w:vAlign w:val="center"/>
          </w:tcPr>
          <w:p w14:paraId="6EA2E210" w14:textId="77777777" w:rsidR="00B71F1F" w:rsidRPr="00BC5A92" w:rsidRDefault="00B71F1F" w:rsidP="000878F6">
            <w:pPr>
              <w:pStyle w:val="Table"/>
              <w:jc w:val="center"/>
              <w:rPr>
                <w:szCs w:val="20"/>
              </w:rPr>
            </w:pPr>
            <w:r w:rsidRPr="00BC5A92">
              <w:rPr>
                <w:rFonts w:ascii="Calibri" w:hAnsi="Calibri" w:cs="Calibri"/>
                <w:color w:val="000000"/>
                <w:szCs w:val="20"/>
              </w:rPr>
              <w:t>0,9%</w:t>
            </w:r>
          </w:p>
        </w:tc>
        <w:tc>
          <w:tcPr>
            <w:tcW w:w="1283" w:type="dxa"/>
            <w:vAlign w:val="center"/>
          </w:tcPr>
          <w:p w14:paraId="79C7779F" w14:textId="77777777" w:rsidR="00B71F1F" w:rsidRPr="00BC5A92" w:rsidRDefault="00B71F1F" w:rsidP="000878F6">
            <w:pPr>
              <w:pStyle w:val="Table"/>
              <w:jc w:val="center"/>
              <w:rPr>
                <w:szCs w:val="20"/>
              </w:rPr>
            </w:pPr>
            <w:r w:rsidRPr="00BC5A92">
              <w:rPr>
                <w:rFonts w:ascii="Calibri" w:hAnsi="Calibri" w:cs="Calibri"/>
                <w:color w:val="000000"/>
                <w:szCs w:val="20"/>
              </w:rPr>
              <w:t>0,9%</w:t>
            </w:r>
          </w:p>
        </w:tc>
      </w:tr>
      <w:tr w:rsidR="00B71F1F" w:rsidRPr="00BC5A92" w14:paraId="2E0E1443" w14:textId="77777777" w:rsidTr="00BA7936">
        <w:trPr>
          <w:trHeight w:val="243"/>
        </w:trPr>
        <w:tc>
          <w:tcPr>
            <w:tcW w:w="2247" w:type="dxa"/>
          </w:tcPr>
          <w:p w14:paraId="152B9035" w14:textId="77777777" w:rsidR="00B71F1F" w:rsidRPr="00BC5A92" w:rsidRDefault="00B71F1F" w:rsidP="000878F6">
            <w:pPr>
              <w:pStyle w:val="Table"/>
              <w:rPr>
                <w:szCs w:val="20"/>
              </w:rPr>
            </w:pPr>
            <w:r w:rsidRPr="00BC5A92">
              <w:rPr>
                <w:szCs w:val="20"/>
              </w:rPr>
              <w:t>Waste Incineration</w:t>
            </w:r>
          </w:p>
        </w:tc>
        <w:tc>
          <w:tcPr>
            <w:tcW w:w="1123" w:type="dxa"/>
            <w:vAlign w:val="center"/>
          </w:tcPr>
          <w:p w14:paraId="43480ECE" w14:textId="77777777" w:rsidR="00B71F1F" w:rsidRPr="00BC5A92" w:rsidRDefault="00B71F1F" w:rsidP="000878F6">
            <w:pPr>
              <w:pStyle w:val="Table"/>
              <w:jc w:val="center"/>
              <w:rPr>
                <w:szCs w:val="20"/>
              </w:rPr>
            </w:pPr>
            <w:r w:rsidRPr="00BC5A92">
              <w:rPr>
                <w:rFonts w:ascii="Calibri" w:hAnsi="Calibri" w:cs="Calibri"/>
                <w:color w:val="000000"/>
                <w:szCs w:val="20"/>
              </w:rPr>
              <w:t>0,00%</w:t>
            </w:r>
          </w:p>
        </w:tc>
        <w:tc>
          <w:tcPr>
            <w:tcW w:w="1124" w:type="dxa"/>
            <w:vAlign w:val="center"/>
          </w:tcPr>
          <w:p w14:paraId="3E6CCE9A" w14:textId="77777777" w:rsidR="00B71F1F" w:rsidRPr="00BC5A92" w:rsidRDefault="00B71F1F" w:rsidP="000878F6">
            <w:pPr>
              <w:pStyle w:val="Table"/>
              <w:jc w:val="center"/>
              <w:rPr>
                <w:szCs w:val="20"/>
              </w:rPr>
            </w:pPr>
            <w:r w:rsidRPr="00BC5A92">
              <w:rPr>
                <w:rFonts w:ascii="Calibri" w:hAnsi="Calibri" w:cs="Calibri"/>
                <w:color w:val="000000"/>
                <w:szCs w:val="20"/>
              </w:rPr>
              <w:t>0,00%</w:t>
            </w:r>
          </w:p>
        </w:tc>
        <w:tc>
          <w:tcPr>
            <w:tcW w:w="1030" w:type="dxa"/>
            <w:vAlign w:val="center"/>
          </w:tcPr>
          <w:p w14:paraId="6F3EB4A5" w14:textId="77777777" w:rsidR="00B71F1F" w:rsidRPr="00BC5A92" w:rsidRDefault="00B71F1F" w:rsidP="000878F6">
            <w:pPr>
              <w:pStyle w:val="Table"/>
              <w:jc w:val="center"/>
              <w:rPr>
                <w:szCs w:val="20"/>
              </w:rPr>
            </w:pPr>
            <w:r w:rsidRPr="00BC5A92">
              <w:rPr>
                <w:rFonts w:ascii="Calibri" w:hAnsi="Calibri" w:cs="Calibri"/>
                <w:color w:val="000000"/>
                <w:szCs w:val="20"/>
              </w:rPr>
              <w:t>0,00</w:t>
            </w:r>
          </w:p>
        </w:tc>
        <w:tc>
          <w:tcPr>
            <w:tcW w:w="1217" w:type="dxa"/>
            <w:vAlign w:val="center"/>
          </w:tcPr>
          <w:p w14:paraId="53A521D0" w14:textId="77777777" w:rsidR="00B71F1F" w:rsidRPr="00BC5A92" w:rsidRDefault="00B71F1F" w:rsidP="000878F6">
            <w:pPr>
              <w:pStyle w:val="Table"/>
              <w:jc w:val="center"/>
              <w:rPr>
                <w:szCs w:val="20"/>
              </w:rPr>
            </w:pPr>
            <w:r w:rsidRPr="00BC5A92">
              <w:rPr>
                <w:rFonts w:ascii="Calibri" w:hAnsi="Calibri" w:cs="Calibri"/>
                <w:color w:val="000000"/>
                <w:szCs w:val="20"/>
              </w:rPr>
              <w:t>0,00</w:t>
            </w:r>
          </w:p>
        </w:tc>
        <w:tc>
          <w:tcPr>
            <w:tcW w:w="967" w:type="dxa"/>
            <w:vAlign w:val="center"/>
          </w:tcPr>
          <w:p w14:paraId="010F1CC8" w14:textId="77777777" w:rsidR="00B71F1F" w:rsidRPr="00BC5A92" w:rsidRDefault="00B71F1F" w:rsidP="000878F6">
            <w:pPr>
              <w:pStyle w:val="Table"/>
              <w:jc w:val="center"/>
              <w:rPr>
                <w:szCs w:val="20"/>
              </w:rPr>
            </w:pPr>
            <w:r w:rsidRPr="00BC5A92">
              <w:rPr>
                <w:rFonts w:ascii="Calibri" w:hAnsi="Calibri" w:cs="Calibri"/>
                <w:color w:val="000000"/>
                <w:szCs w:val="20"/>
              </w:rPr>
              <w:t>0,0%</w:t>
            </w:r>
          </w:p>
        </w:tc>
        <w:tc>
          <w:tcPr>
            <w:tcW w:w="1283" w:type="dxa"/>
            <w:vAlign w:val="center"/>
          </w:tcPr>
          <w:p w14:paraId="3BCFCD91" w14:textId="77777777" w:rsidR="00B71F1F" w:rsidRPr="00BC5A92" w:rsidRDefault="00B71F1F" w:rsidP="000878F6">
            <w:pPr>
              <w:pStyle w:val="Table"/>
              <w:jc w:val="center"/>
              <w:rPr>
                <w:szCs w:val="20"/>
              </w:rPr>
            </w:pPr>
            <w:r w:rsidRPr="00BC5A92">
              <w:rPr>
                <w:rFonts w:ascii="Calibri" w:hAnsi="Calibri" w:cs="Calibri"/>
                <w:color w:val="000000"/>
                <w:szCs w:val="20"/>
              </w:rPr>
              <w:t>0,0%</w:t>
            </w:r>
          </w:p>
        </w:tc>
      </w:tr>
      <w:tr w:rsidR="00B71F1F" w:rsidRPr="00BC5A92" w14:paraId="5DEE7390" w14:textId="77777777" w:rsidTr="00BA7936">
        <w:trPr>
          <w:trHeight w:val="243"/>
        </w:trPr>
        <w:tc>
          <w:tcPr>
            <w:tcW w:w="2247" w:type="dxa"/>
          </w:tcPr>
          <w:p w14:paraId="6D2C1272" w14:textId="77777777" w:rsidR="00B71F1F" w:rsidRPr="00BC5A92" w:rsidRDefault="00B71F1F" w:rsidP="000878F6">
            <w:pPr>
              <w:pStyle w:val="Table"/>
              <w:rPr>
                <w:szCs w:val="20"/>
              </w:rPr>
            </w:pPr>
            <w:r w:rsidRPr="00BC5A92">
              <w:rPr>
                <w:szCs w:val="20"/>
              </w:rPr>
              <w:t>Waste to Landfill</w:t>
            </w:r>
          </w:p>
        </w:tc>
        <w:tc>
          <w:tcPr>
            <w:tcW w:w="1123" w:type="dxa"/>
            <w:vAlign w:val="center"/>
          </w:tcPr>
          <w:p w14:paraId="4ECCA3E3" w14:textId="77777777" w:rsidR="00B71F1F" w:rsidRPr="00BC5A92" w:rsidRDefault="00B71F1F" w:rsidP="000878F6">
            <w:pPr>
              <w:pStyle w:val="Table"/>
              <w:jc w:val="center"/>
              <w:rPr>
                <w:szCs w:val="20"/>
              </w:rPr>
            </w:pPr>
            <w:r w:rsidRPr="00BC5A92">
              <w:rPr>
                <w:rFonts w:ascii="Calibri" w:hAnsi="Calibri" w:cs="Calibri"/>
                <w:color w:val="000000"/>
                <w:szCs w:val="20"/>
              </w:rPr>
              <w:t>-2,86%</w:t>
            </w:r>
          </w:p>
        </w:tc>
        <w:tc>
          <w:tcPr>
            <w:tcW w:w="1124" w:type="dxa"/>
            <w:vAlign w:val="center"/>
          </w:tcPr>
          <w:p w14:paraId="1BB81AB4" w14:textId="77777777" w:rsidR="00B71F1F" w:rsidRPr="00BC5A92" w:rsidRDefault="00B71F1F" w:rsidP="000878F6">
            <w:pPr>
              <w:pStyle w:val="Table"/>
              <w:jc w:val="center"/>
              <w:rPr>
                <w:szCs w:val="20"/>
              </w:rPr>
            </w:pPr>
            <w:r w:rsidRPr="00BC5A92">
              <w:rPr>
                <w:rFonts w:ascii="Calibri" w:hAnsi="Calibri" w:cs="Calibri"/>
                <w:color w:val="000000"/>
                <w:szCs w:val="20"/>
              </w:rPr>
              <w:t>-2,86%</w:t>
            </w:r>
          </w:p>
        </w:tc>
        <w:tc>
          <w:tcPr>
            <w:tcW w:w="1030" w:type="dxa"/>
            <w:vAlign w:val="center"/>
          </w:tcPr>
          <w:p w14:paraId="00E519B3" w14:textId="77777777" w:rsidR="00B71F1F" w:rsidRPr="00BC5A92" w:rsidRDefault="00B71F1F" w:rsidP="000878F6">
            <w:pPr>
              <w:pStyle w:val="Table"/>
              <w:jc w:val="center"/>
              <w:rPr>
                <w:szCs w:val="20"/>
              </w:rPr>
            </w:pPr>
            <w:r w:rsidRPr="00BC5A92">
              <w:rPr>
                <w:rFonts w:ascii="Calibri" w:hAnsi="Calibri" w:cs="Calibri"/>
                <w:color w:val="000000"/>
                <w:szCs w:val="20"/>
              </w:rPr>
              <w:t>3,54</w:t>
            </w:r>
          </w:p>
        </w:tc>
        <w:tc>
          <w:tcPr>
            <w:tcW w:w="1217" w:type="dxa"/>
            <w:vAlign w:val="center"/>
          </w:tcPr>
          <w:p w14:paraId="7017A53E" w14:textId="77777777" w:rsidR="00B71F1F" w:rsidRPr="00BC5A92" w:rsidRDefault="00B71F1F" w:rsidP="000878F6">
            <w:pPr>
              <w:pStyle w:val="Table"/>
              <w:jc w:val="center"/>
              <w:rPr>
                <w:szCs w:val="20"/>
              </w:rPr>
            </w:pPr>
            <w:r w:rsidRPr="00BC5A92">
              <w:rPr>
                <w:rFonts w:ascii="Calibri" w:hAnsi="Calibri" w:cs="Calibri"/>
                <w:color w:val="000000"/>
                <w:szCs w:val="20"/>
              </w:rPr>
              <w:t>3,03</w:t>
            </w:r>
          </w:p>
        </w:tc>
        <w:tc>
          <w:tcPr>
            <w:tcW w:w="967" w:type="dxa"/>
            <w:vAlign w:val="center"/>
          </w:tcPr>
          <w:p w14:paraId="562B24B9" w14:textId="77777777" w:rsidR="00B71F1F" w:rsidRPr="00BC5A92" w:rsidRDefault="00B71F1F" w:rsidP="000878F6">
            <w:pPr>
              <w:pStyle w:val="Table"/>
              <w:jc w:val="center"/>
              <w:rPr>
                <w:szCs w:val="20"/>
              </w:rPr>
            </w:pPr>
            <w:r w:rsidRPr="00BC5A92">
              <w:rPr>
                <w:rFonts w:ascii="Calibri" w:hAnsi="Calibri" w:cs="Calibri"/>
                <w:color w:val="000000"/>
                <w:szCs w:val="20"/>
              </w:rPr>
              <w:t>0,1%</w:t>
            </w:r>
          </w:p>
        </w:tc>
        <w:tc>
          <w:tcPr>
            <w:tcW w:w="1283" w:type="dxa"/>
            <w:vAlign w:val="center"/>
          </w:tcPr>
          <w:p w14:paraId="502CB37C" w14:textId="77777777" w:rsidR="00B71F1F" w:rsidRPr="00BC5A92" w:rsidRDefault="00B71F1F" w:rsidP="000878F6">
            <w:pPr>
              <w:pStyle w:val="Table"/>
              <w:jc w:val="center"/>
              <w:rPr>
                <w:szCs w:val="20"/>
              </w:rPr>
            </w:pPr>
            <w:r w:rsidRPr="00BC5A92">
              <w:rPr>
                <w:rFonts w:ascii="Calibri" w:hAnsi="Calibri" w:cs="Calibri"/>
                <w:color w:val="000000"/>
                <w:szCs w:val="20"/>
              </w:rPr>
              <w:t>0,1%</w:t>
            </w:r>
          </w:p>
        </w:tc>
      </w:tr>
      <w:tr w:rsidR="00B71F1F" w:rsidRPr="00BC5A92" w14:paraId="3A259C74" w14:textId="77777777" w:rsidTr="00BA7936">
        <w:trPr>
          <w:trHeight w:val="243"/>
        </w:trPr>
        <w:tc>
          <w:tcPr>
            <w:tcW w:w="2247" w:type="dxa"/>
          </w:tcPr>
          <w:p w14:paraId="1FD43B26" w14:textId="77777777" w:rsidR="00B71F1F" w:rsidRPr="00BC5A92" w:rsidRDefault="00B71F1F" w:rsidP="000878F6">
            <w:pPr>
              <w:pStyle w:val="Table"/>
              <w:rPr>
                <w:szCs w:val="20"/>
              </w:rPr>
            </w:pPr>
            <w:r w:rsidRPr="00BC5A92">
              <w:rPr>
                <w:szCs w:val="20"/>
              </w:rPr>
              <w:t>Water Effluent</w:t>
            </w:r>
          </w:p>
        </w:tc>
        <w:tc>
          <w:tcPr>
            <w:tcW w:w="1123" w:type="dxa"/>
            <w:vAlign w:val="center"/>
          </w:tcPr>
          <w:p w14:paraId="2BEDE07F" w14:textId="77777777" w:rsidR="00B71F1F" w:rsidRPr="00BC5A92" w:rsidRDefault="00B71F1F" w:rsidP="000878F6">
            <w:pPr>
              <w:pStyle w:val="Table"/>
              <w:jc w:val="center"/>
              <w:rPr>
                <w:szCs w:val="20"/>
              </w:rPr>
            </w:pPr>
            <w:r w:rsidRPr="00BC5A92">
              <w:rPr>
                <w:rFonts w:ascii="Calibri" w:hAnsi="Calibri" w:cs="Calibri"/>
                <w:color w:val="000000"/>
                <w:szCs w:val="20"/>
              </w:rPr>
              <w:t>-0,98%</w:t>
            </w:r>
          </w:p>
        </w:tc>
        <w:tc>
          <w:tcPr>
            <w:tcW w:w="1124" w:type="dxa"/>
            <w:vAlign w:val="center"/>
          </w:tcPr>
          <w:p w14:paraId="5FCA2ABF" w14:textId="77777777" w:rsidR="00B71F1F" w:rsidRPr="00BC5A92" w:rsidRDefault="00B71F1F" w:rsidP="000878F6">
            <w:pPr>
              <w:pStyle w:val="Table"/>
              <w:jc w:val="center"/>
              <w:rPr>
                <w:szCs w:val="20"/>
              </w:rPr>
            </w:pPr>
            <w:r w:rsidRPr="00BC5A92">
              <w:rPr>
                <w:rFonts w:ascii="Calibri" w:hAnsi="Calibri" w:cs="Calibri"/>
                <w:color w:val="000000"/>
                <w:szCs w:val="20"/>
              </w:rPr>
              <w:t>-0,98%</w:t>
            </w:r>
          </w:p>
        </w:tc>
        <w:tc>
          <w:tcPr>
            <w:tcW w:w="1030" w:type="dxa"/>
            <w:vAlign w:val="center"/>
          </w:tcPr>
          <w:p w14:paraId="69D6CD95" w14:textId="77777777" w:rsidR="00B71F1F" w:rsidRPr="00BC5A92" w:rsidRDefault="00B71F1F" w:rsidP="000878F6">
            <w:pPr>
              <w:pStyle w:val="Table"/>
              <w:jc w:val="center"/>
              <w:rPr>
                <w:szCs w:val="20"/>
              </w:rPr>
            </w:pPr>
            <w:r w:rsidRPr="00BC5A92">
              <w:rPr>
                <w:rFonts w:ascii="Calibri" w:hAnsi="Calibri" w:cs="Calibri"/>
                <w:color w:val="000000"/>
                <w:szCs w:val="20"/>
              </w:rPr>
              <w:t>96,34</w:t>
            </w:r>
          </w:p>
        </w:tc>
        <w:tc>
          <w:tcPr>
            <w:tcW w:w="1217" w:type="dxa"/>
            <w:vAlign w:val="center"/>
          </w:tcPr>
          <w:p w14:paraId="7099B20E" w14:textId="77777777" w:rsidR="00B71F1F" w:rsidRPr="00BC5A92" w:rsidRDefault="00B71F1F" w:rsidP="000878F6">
            <w:pPr>
              <w:pStyle w:val="Table"/>
              <w:jc w:val="center"/>
              <w:rPr>
                <w:szCs w:val="20"/>
              </w:rPr>
            </w:pPr>
            <w:r w:rsidRPr="00BC5A92">
              <w:rPr>
                <w:rFonts w:ascii="Calibri" w:hAnsi="Calibri" w:cs="Calibri"/>
                <w:color w:val="000000"/>
                <w:szCs w:val="20"/>
              </w:rPr>
              <w:t>97,51</w:t>
            </w:r>
          </w:p>
        </w:tc>
        <w:tc>
          <w:tcPr>
            <w:tcW w:w="967" w:type="dxa"/>
            <w:vAlign w:val="center"/>
          </w:tcPr>
          <w:p w14:paraId="5350B6A0" w14:textId="77777777" w:rsidR="00B71F1F" w:rsidRPr="00BC5A92" w:rsidRDefault="00B71F1F" w:rsidP="000878F6">
            <w:pPr>
              <w:pStyle w:val="Table"/>
              <w:jc w:val="center"/>
              <w:rPr>
                <w:szCs w:val="20"/>
              </w:rPr>
            </w:pPr>
            <w:r w:rsidRPr="00BC5A92">
              <w:rPr>
                <w:rFonts w:ascii="Calibri" w:hAnsi="Calibri" w:cs="Calibri"/>
                <w:color w:val="000000"/>
                <w:szCs w:val="20"/>
              </w:rPr>
              <w:t>2,4%</w:t>
            </w:r>
          </w:p>
        </w:tc>
        <w:tc>
          <w:tcPr>
            <w:tcW w:w="1283" w:type="dxa"/>
            <w:vAlign w:val="center"/>
          </w:tcPr>
          <w:p w14:paraId="5A7AF569" w14:textId="77777777" w:rsidR="00B71F1F" w:rsidRPr="00BC5A92" w:rsidRDefault="00B71F1F" w:rsidP="000878F6">
            <w:pPr>
              <w:pStyle w:val="Table"/>
              <w:jc w:val="center"/>
              <w:rPr>
                <w:szCs w:val="20"/>
              </w:rPr>
            </w:pPr>
            <w:r w:rsidRPr="00BC5A92">
              <w:rPr>
                <w:rFonts w:ascii="Calibri" w:hAnsi="Calibri" w:cs="Calibri"/>
                <w:color w:val="000000"/>
                <w:szCs w:val="20"/>
              </w:rPr>
              <w:t>2,4%</w:t>
            </w:r>
          </w:p>
        </w:tc>
      </w:tr>
      <w:tr w:rsidR="00B71F1F" w:rsidRPr="00BC5A92" w14:paraId="2B2CE027" w14:textId="77777777" w:rsidTr="00BA7936">
        <w:trPr>
          <w:trHeight w:val="243"/>
        </w:trPr>
        <w:tc>
          <w:tcPr>
            <w:tcW w:w="2247" w:type="dxa"/>
          </w:tcPr>
          <w:p w14:paraId="4FEFE9C7" w14:textId="77777777" w:rsidR="00B71F1F" w:rsidRPr="00BC5A92" w:rsidRDefault="00B71F1F" w:rsidP="000878F6">
            <w:pPr>
              <w:pStyle w:val="Table"/>
              <w:rPr>
                <w:szCs w:val="20"/>
              </w:rPr>
            </w:pPr>
            <w:r w:rsidRPr="00BC5A92">
              <w:rPr>
                <w:szCs w:val="20"/>
              </w:rPr>
              <w:t>Minerals &amp; Aggregates</w:t>
            </w:r>
          </w:p>
        </w:tc>
        <w:tc>
          <w:tcPr>
            <w:tcW w:w="1123" w:type="dxa"/>
            <w:vAlign w:val="center"/>
          </w:tcPr>
          <w:p w14:paraId="41E856C0" w14:textId="77777777" w:rsidR="00B71F1F" w:rsidRPr="00BC5A92" w:rsidRDefault="00B71F1F" w:rsidP="000878F6">
            <w:pPr>
              <w:pStyle w:val="Table"/>
              <w:jc w:val="center"/>
              <w:rPr>
                <w:szCs w:val="20"/>
              </w:rPr>
            </w:pPr>
            <w:r w:rsidRPr="00BC5A92">
              <w:rPr>
                <w:rFonts w:ascii="Calibri" w:hAnsi="Calibri" w:cs="Calibri"/>
                <w:color w:val="000000"/>
                <w:szCs w:val="20"/>
              </w:rPr>
              <w:t>-5,02%</w:t>
            </w:r>
          </w:p>
        </w:tc>
        <w:tc>
          <w:tcPr>
            <w:tcW w:w="1124" w:type="dxa"/>
            <w:vAlign w:val="center"/>
          </w:tcPr>
          <w:p w14:paraId="0954ED54" w14:textId="77777777" w:rsidR="00B71F1F" w:rsidRPr="00BC5A92" w:rsidRDefault="00B71F1F" w:rsidP="000878F6">
            <w:pPr>
              <w:pStyle w:val="Table"/>
              <w:jc w:val="center"/>
              <w:rPr>
                <w:szCs w:val="20"/>
              </w:rPr>
            </w:pPr>
            <w:r w:rsidRPr="00BC5A92">
              <w:rPr>
                <w:rFonts w:ascii="Calibri" w:hAnsi="Calibri" w:cs="Calibri"/>
                <w:color w:val="000000"/>
                <w:szCs w:val="20"/>
              </w:rPr>
              <w:t>-5,02%</w:t>
            </w:r>
          </w:p>
        </w:tc>
        <w:tc>
          <w:tcPr>
            <w:tcW w:w="1030" w:type="dxa"/>
            <w:vAlign w:val="center"/>
          </w:tcPr>
          <w:p w14:paraId="1A21605F" w14:textId="77777777" w:rsidR="00B71F1F" w:rsidRPr="00BC5A92" w:rsidRDefault="00B71F1F" w:rsidP="000878F6">
            <w:pPr>
              <w:pStyle w:val="Table"/>
              <w:jc w:val="center"/>
              <w:rPr>
                <w:szCs w:val="20"/>
              </w:rPr>
            </w:pPr>
            <w:r w:rsidRPr="00BC5A92">
              <w:rPr>
                <w:rFonts w:ascii="Calibri" w:hAnsi="Calibri" w:cs="Calibri"/>
                <w:color w:val="000000"/>
                <w:szCs w:val="20"/>
              </w:rPr>
              <w:t>22,27</w:t>
            </w:r>
          </w:p>
        </w:tc>
        <w:tc>
          <w:tcPr>
            <w:tcW w:w="1217" w:type="dxa"/>
            <w:vAlign w:val="center"/>
          </w:tcPr>
          <w:p w14:paraId="0D7AE07A" w14:textId="77777777" w:rsidR="00B71F1F" w:rsidRPr="00BC5A92" w:rsidRDefault="00B71F1F" w:rsidP="000878F6">
            <w:pPr>
              <w:pStyle w:val="Table"/>
              <w:jc w:val="center"/>
              <w:rPr>
                <w:szCs w:val="20"/>
              </w:rPr>
            </w:pPr>
            <w:r w:rsidRPr="00BC5A92">
              <w:rPr>
                <w:rFonts w:ascii="Calibri" w:hAnsi="Calibri" w:cs="Calibri"/>
                <w:color w:val="000000"/>
                <w:szCs w:val="20"/>
              </w:rPr>
              <w:t>23,10</w:t>
            </w:r>
          </w:p>
        </w:tc>
        <w:tc>
          <w:tcPr>
            <w:tcW w:w="967" w:type="dxa"/>
            <w:vAlign w:val="center"/>
          </w:tcPr>
          <w:p w14:paraId="3E025221" w14:textId="77777777" w:rsidR="00B71F1F" w:rsidRPr="00BC5A92" w:rsidRDefault="00B71F1F" w:rsidP="000878F6">
            <w:pPr>
              <w:pStyle w:val="Table"/>
              <w:jc w:val="center"/>
              <w:rPr>
                <w:szCs w:val="20"/>
              </w:rPr>
            </w:pPr>
            <w:r w:rsidRPr="00BC5A92">
              <w:rPr>
                <w:rFonts w:ascii="Calibri" w:hAnsi="Calibri" w:cs="Calibri"/>
                <w:color w:val="000000"/>
                <w:szCs w:val="20"/>
              </w:rPr>
              <w:t>7,1%</w:t>
            </w:r>
          </w:p>
        </w:tc>
        <w:tc>
          <w:tcPr>
            <w:tcW w:w="1283" w:type="dxa"/>
            <w:vAlign w:val="center"/>
          </w:tcPr>
          <w:p w14:paraId="7A15A376" w14:textId="77777777" w:rsidR="00B71F1F" w:rsidRPr="00BC5A92" w:rsidRDefault="00B71F1F" w:rsidP="000878F6">
            <w:pPr>
              <w:pStyle w:val="Table"/>
              <w:jc w:val="center"/>
              <w:rPr>
                <w:rFonts w:ascii="Calibri" w:hAnsi="Calibri" w:cs="Calibri"/>
                <w:color w:val="000000"/>
                <w:szCs w:val="20"/>
              </w:rPr>
            </w:pPr>
            <w:r w:rsidRPr="00BC5A92">
              <w:rPr>
                <w:rFonts w:ascii="Calibri" w:hAnsi="Calibri" w:cs="Calibri"/>
                <w:color w:val="000000"/>
                <w:szCs w:val="20"/>
              </w:rPr>
              <w:t>7,4%</w:t>
            </w:r>
          </w:p>
        </w:tc>
      </w:tr>
    </w:tbl>
    <w:p w14:paraId="18E572C9" w14:textId="77777777" w:rsidR="00B71F1F" w:rsidRPr="00B71F1F" w:rsidRDefault="00B71F1F" w:rsidP="00B71F1F">
      <w:pPr>
        <w:rPr>
          <w:lang w:eastAsia="en-GB"/>
        </w:rPr>
      </w:pPr>
    </w:p>
    <w:p w14:paraId="55F970FC" w14:textId="5BA3CDA5" w:rsidR="00B71F1F" w:rsidRPr="00B71F1F" w:rsidRDefault="00B71F1F" w:rsidP="00B71F1F">
      <w:pPr>
        <w:rPr>
          <w:lang w:eastAsia="en-GB"/>
        </w:rPr>
      </w:pPr>
      <w:r w:rsidRPr="00B71F1F">
        <w:rPr>
          <w:lang w:eastAsia="en-GB"/>
        </w:rPr>
        <w:t xml:space="preserve">From an environmental standpoint, the introduction of new or strengthened taxes would yield a range of measurable benefits. A </w:t>
      </w:r>
      <w:r w:rsidRPr="00B71F1F">
        <w:rPr>
          <w:b/>
          <w:bCs/>
          <w:lang w:eastAsia="en-GB"/>
        </w:rPr>
        <w:t>pesticide tax</w:t>
      </w:r>
      <w:r w:rsidRPr="00B71F1F">
        <w:rPr>
          <w:lang w:eastAsia="en-GB"/>
        </w:rPr>
        <w:t xml:space="preserve">, differentiated by toxicity, and a </w:t>
      </w:r>
      <w:r w:rsidRPr="00B71F1F">
        <w:rPr>
          <w:b/>
          <w:bCs/>
          <w:lang w:eastAsia="en-GB"/>
        </w:rPr>
        <w:t>fertiliser tax</w:t>
      </w:r>
      <w:r w:rsidRPr="00B71F1F">
        <w:rPr>
          <w:lang w:eastAsia="en-GB"/>
        </w:rPr>
        <w:t xml:space="preserve"> based on nitrogen content could significantly reduce diffuse pollution from agriculture. The modelling suggests reductions of about 58 per cent in pesticide use and 42 per cent in fertiliser consumption under Scenario A, accompanied by a decline in nitrate and pesticide concentrations in surface and groundwater. These effects would be particularly relevant for regions such as Friesland, Gelderland and Limburg, where nutrient and pesticide loads remain high and compliance with EU water-quality standards remains challenging. In addition, the adoption of a </w:t>
      </w:r>
      <w:r w:rsidRPr="00B71F1F">
        <w:rPr>
          <w:b/>
          <w:bCs/>
          <w:lang w:eastAsia="en-GB"/>
        </w:rPr>
        <w:t>water abstraction tax</w:t>
      </w:r>
      <w:r w:rsidRPr="00B71F1F">
        <w:rPr>
          <w:lang w:eastAsia="en-GB"/>
        </w:rPr>
        <w:t xml:space="preserve"> and an updated </w:t>
      </w:r>
      <w:r w:rsidRPr="00B71F1F">
        <w:rPr>
          <w:b/>
          <w:bCs/>
          <w:lang w:eastAsia="en-GB"/>
        </w:rPr>
        <w:t>wastewater charge</w:t>
      </w:r>
      <w:r w:rsidRPr="00B71F1F">
        <w:rPr>
          <w:lang w:eastAsia="en-GB"/>
        </w:rPr>
        <w:t xml:space="preserve"> could further improve resource efficiency and support the full cost recovery principle under the Water Framework Directive.</w:t>
      </w:r>
    </w:p>
    <w:p w14:paraId="3C5212BA" w14:textId="725D63DD" w:rsidR="00B71F1F" w:rsidRPr="00B71F1F" w:rsidRDefault="00B71F1F" w:rsidP="00B71F1F">
      <w:pPr>
        <w:rPr>
          <w:lang w:eastAsia="en-GB"/>
        </w:rPr>
      </w:pPr>
      <w:r w:rsidRPr="606E24A0">
        <w:rPr>
          <w:lang w:eastAsia="en-GB"/>
        </w:rPr>
        <w:t xml:space="preserve">A calibrated </w:t>
      </w:r>
      <w:r w:rsidRPr="606E24A0">
        <w:rPr>
          <w:b/>
          <w:bCs/>
          <w:lang w:eastAsia="en-GB"/>
        </w:rPr>
        <w:t>mineral extraction tax</w:t>
      </w:r>
      <w:r w:rsidRPr="606E24A0">
        <w:rPr>
          <w:lang w:eastAsia="en-GB"/>
        </w:rPr>
        <w:t xml:space="preserve"> </w:t>
      </w:r>
      <w:r w:rsidR="7B737A12" w:rsidRPr="606E24A0">
        <w:rPr>
          <w:lang w:eastAsia="en-GB"/>
        </w:rPr>
        <w:t>c</w:t>
      </w:r>
      <w:r w:rsidRPr="606E24A0">
        <w:rPr>
          <w:lang w:eastAsia="en-GB"/>
        </w:rPr>
        <w:t>ould have moderate but positive effects, encouraging the use of recycled aggregates and reducing the environmental impacts of quarrying. While the Netherlands already applies landfill and incineration taxes, aligning rates with the benchmark (€50 per tonne for landfill and €15 per tonne for incineration) would help maintain incentives for waste prevention and recycling. Together, these measures would reinforce circular economy objectives and reduce reliance on virgin materials.</w:t>
      </w:r>
    </w:p>
    <w:p w14:paraId="65404E84" w14:textId="602AEB3E" w:rsidR="00B71F1F" w:rsidRPr="00B71F1F" w:rsidRDefault="00B71F1F" w:rsidP="00B71F1F">
      <w:pPr>
        <w:rPr>
          <w:lang w:eastAsia="en-GB"/>
        </w:rPr>
      </w:pPr>
      <w:r w:rsidRPr="00B71F1F">
        <w:rPr>
          <w:lang w:eastAsia="en-GB"/>
        </w:rPr>
        <w:lastRenderedPageBreak/>
        <w:t xml:space="preserve">The </w:t>
      </w:r>
      <w:r w:rsidRPr="00B71F1F">
        <w:rPr>
          <w:b/>
          <w:bCs/>
          <w:lang w:eastAsia="en-GB"/>
        </w:rPr>
        <w:t>fiscal impacts</w:t>
      </w:r>
      <w:r w:rsidRPr="00B71F1F">
        <w:rPr>
          <w:lang w:eastAsia="en-GB"/>
        </w:rPr>
        <w:t xml:space="preserve"> of such reforms would be moderate in macroeconomic terms but significant in relative sectoral terms. Water-related taxes (on effluents and abstraction) are projected to generate more than 90 per cent of total new revenues, followed by minerals (13%) and product-based instruments. The additional revenues could be used to fund environmental investments, reduce distortionary labour taxes, or provide targeted support to affected sectors and low-income households.</w:t>
      </w:r>
    </w:p>
    <w:p w14:paraId="79411571" w14:textId="698F860F" w:rsidR="00B71F1F" w:rsidRPr="00B71F1F" w:rsidRDefault="00B71F1F" w:rsidP="00B71F1F">
      <w:pPr>
        <w:rPr>
          <w:lang w:eastAsia="en-GB"/>
        </w:rPr>
      </w:pPr>
      <w:r w:rsidRPr="00B71F1F">
        <w:rPr>
          <w:lang w:eastAsia="en-GB"/>
        </w:rPr>
        <w:t xml:space="preserve">In terms of </w:t>
      </w:r>
      <w:r w:rsidRPr="00B71F1F">
        <w:rPr>
          <w:b/>
          <w:bCs/>
          <w:lang w:eastAsia="en-GB"/>
        </w:rPr>
        <w:t>administrative feasibility</w:t>
      </w:r>
      <w:r w:rsidRPr="00B71F1F">
        <w:rPr>
          <w:lang w:eastAsia="en-GB"/>
        </w:rPr>
        <w:t>, the Netherlands has one of the most advanced institutional frameworks for implementing and managing environmental taxes in the EU. Water boards already collect pollution and abstraction charges, which could serve as the administrative basis for implementing revised or harmonised rates. Similarly, the existing infrastructure for agricultural reporting under the manure and nutrient accounting systems provides a sound platform for extending taxation to mineral fertilisers and pesticides. Data availability is robust, and coordination mechanisms between fiscal and environmental authorities are well established. The principal challenges relate less to administrative capacity and more to political acceptability, particularly in agriculture, where stakeholders are sensitive to input costs and potential competitiveness effects.</w:t>
      </w:r>
    </w:p>
    <w:p w14:paraId="4F47BF2C" w14:textId="4216D3CD" w:rsidR="00B71F1F" w:rsidRPr="00B71F1F" w:rsidRDefault="00B71F1F" w:rsidP="00B71F1F">
      <w:pPr>
        <w:rPr>
          <w:lang w:eastAsia="en-GB"/>
        </w:rPr>
      </w:pPr>
      <w:r w:rsidRPr="00B71F1F">
        <w:rPr>
          <w:b/>
          <w:bCs/>
          <w:lang w:eastAsia="en-GB"/>
        </w:rPr>
        <w:t>Distributional and competitiveness impacts</w:t>
      </w:r>
      <w:r w:rsidRPr="00B71F1F">
        <w:rPr>
          <w:lang w:eastAsia="en-GB"/>
        </w:rPr>
        <w:t xml:space="preserve"> would vary across sectors but are manageable with appropriate mitigation measures. In agriculture, higher input prices could affect smaller or less efficient farms, especially those already under pressure from stricter nutrient limits and rising compliance costs. These effects can be alleviated by recycling part of the tax revenues into precision-farming support, advisory services, and grants for low-emission technologies. For industry, moderate increases in wastewater and air-pollution charges would be offset by existing innovation and energy-efficiency support programmes. In the aggregates and construction sectors, a shift towards secondary materials could be promoted through public procurement standards and targeted investment in recycling capacity.</w:t>
      </w:r>
    </w:p>
    <w:p w14:paraId="0FC72CE2" w14:textId="34ED76B5" w:rsidR="00B71F1F" w:rsidRPr="00B71F1F" w:rsidRDefault="00B71F1F" w:rsidP="00B71F1F">
      <w:pPr>
        <w:rPr>
          <w:lang w:eastAsia="en-GB"/>
        </w:rPr>
      </w:pPr>
      <w:r w:rsidRPr="00B71F1F">
        <w:rPr>
          <w:lang w:eastAsia="en-GB"/>
        </w:rPr>
        <w:t>At the household level, the impact of new environmental taxes would be limited. Water tariffs already reflect service costs, and the share of environmental taxes in household expenditure is small. Nonetheless, transparent communication on the use of revenues</w:t>
      </w:r>
      <w:r>
        <w:rPr>
          <w:lang w:eastAsia="en-GB"/>
        </w:rPr>
        <w:t xml:space="preserve">, </w:t>
      </w:r>
      <w:r w:rsidRPr="00B71F1F">
        <w:rPr>
          <w:lang w:eastAsia="en-GB"/>
        </w:rPr>
        <w:t>particularly for local water and waste infrastructure</w:t>
      </w:r>
      <w:r>
        <w:rPr>
          <w:lang w:eastAsia="en-GB"/>
        </w:rPr>
        <w:t xml:space="preserve">, </w:t>
      </w:r>
      <w:r w:rsidRPr="00B71F1F">
        <w:rPr>
          <w:lang w:eastAsia="en-GB"/>
        </w:rPr>
        <w:t>would help maintain public trust and prevent perceptions of unfairness. The Netherlands’ experience with transparent “green dividend” reporting from water boards and environmental agencies provides a strong foundation for such communication.</w:t>
      </w:r>
    </w:p>
    <w:p w14:paraId="28BBC991" w14:textId="14EFBD72" w:rsidR="00B71F1F" w:rsidRDefault="00B71F1F" w:rsidP="00B71F1F">
      <w:pPr>
        <w:rPr>
          <w:lang w:eastAsia="en-GB"/>
        </w:rPr>
      </w:pPr>
      <w:r w:rsidRPr="00B71F1F">
        <w:rPr>
          <w:lang w:eastAsia="en-GB"/>
        </w:rPr>
        <w:t xml:space="preserve">The main </w:t>
      </w:r>
      <w:r w:rsidRPr="00B71F1F">
        <w:rPr>
          <w:b/>
          <w:bCs/>
          <w:lang w:eastAsia="en-GB"/>
        </w:rPr>
        <w:t>feasibility considerations</w:t>
      </w:r>
      <w:r w:rsidRPr="00B71F1F">
        <w:rPr>
          <w:lang w:eastAsia="en-GB"/>
        </w:rPr>
        <w:t xml:space="preserve"> relate to policy coordination and stakeholder engagement. The Netherlands already applies several overlapping charges on water and waste, managed by different administrative bodies. Any new instruments would need to be integrated carefully to avoid duplication or conflicting incentives. Harmonisation of water-related tax bases across water boards and alignment with national policy targets would enhance coherence. Political resistance, especially from the agricultural sector, can be mitigated through phased implementation, clear long-term signalling, and visible reinvestment of revenues in sustainable practices.</w:t>
      </w:r>
    </w:p>
    <w:p w14:paraId="3D356F97" w14:textId="03CD0DEC" w:rsidR="00FD76BE" w:rsidRDefault="00D61F0D" w:rsidP="00FD76BE">
      <w:pPr>
        <w:rPr>
          <w:lang w:eastAsia="en-GB"/>
        </w:rPr>
      </w:pPr>
      <w:r w:rsidRPr="606E24A0">
        <w:rPr>
          <w:lang w:eastAsia="en-GB"/>
        </w:rPr>
        <w:t xml:space="preserve">Modelling results indicate that implementing benchmark rates across the eight tax categories could raise around </w:t>
      </w:r>
      <w:r w:rsidRPr="606E24A0">
        <w:rPr>
          <w:b/>
          <w:bCs/>
          <w:lang w:eastAsia="en-GB"/>
        </w:rPr>
        <w:t>€960 million in 2030</w:t>
      </w:r>
      <w:r w:rsidRPr="606E24A0">
        <w:rPr>
          <w:lang w:eastAsia="en-GB"/>
        </w:rPr>
        <w:t xml:space="preserve"> (equivalent to </w:t>
      </w:r>
      <w:r w:rsidRPr="606E24A0">
        <w:rPr>
          <w:b/>
          <w:bCs/>
          <w:lang w:eastAsia="en-GB"/>
        </w:rPr>
        <w:t>22% of current pollution and resource tax revenues</w:t>
      </w:r>
      <w:r w:rsidRPr="606E24A0">
        <w:rPr>
          <w:lang w:eastAsia="en-GB"/>
        </w:rPr>
        <w:t xml:space="preserve">) while generating significant environmental benefits. </w:t>
      </w:r>
      <w:r w:rsidR="00B71F1F" w:rsidRPr="00B71F1F">
        <w:rPr>
          <w:lang w:eastAsia="en-GB"/>
        </w:rPr>
        <w:t>In summary, the Netherlands has both the institutional capacity and the technical infrastructure to implement additional environmental taxes effectively. The greatest potential lies in the agricultural and water sectors, where well-calibrated taxes on pesticides, fertilisers, water abstraction and wastewater discharges could deliver significant environmental improvements and moderate fiscal gains. A gradual, revenue-neutral approach</w:t>
      </w:r>
      <w:r w:rsidR="00B71F1F">
        <w:rPr>
          <w:lang w:eastAsia="en-GB"/>
        </w:rPr>
        <w:t xml:space="preserve">, </w:t>
      </w:r>
      <w:r w:rsidR="00B71F1F" w:rsidRPr="00B71F1F">
        <w:rPr>
          <w:lang w:eastAsia="en-GB"/>
        </w:rPr>
        <w:t>where new tax revenues are recycled into lower labour taxes and green investments</w:t>
      </w:r>
      <w:r w:rsidR="00B71F1F">
        <w:rPr>
          <w:lang w:eastAsia="en-GB"/>
        </w:rPr>
        <w:t xml:space="preserve">, </w:t>
      </w:r>
      <w:r w:rsidR="00B71F1F" w:rsidRPr="00B71F1F">
        <w:rPr>
          <w:lang w:eastAsia="en-GB"/>
        </w:rPr>
        <w:t>would ensure competitiveness and social acceptability while reinforcing the Netherlands’ leadership in sustainable fiscal policy and circular economy transitions.</w:t>
      </w:r>
      <w:r w:rsidR="00FD76BE">
        <w:rPr>
          <w:lang w:eastAsia="en-GB"/>
        </w:rPr>
        <w:t xml:space="preserve"> </w:t>
      </w:r>
    </w:p>
    <w:p w14:paraId="03D7D804" w14:textId="19B54A6E" w:rsidR="00593AE2" w:rsidRDefault="00FD76BE" w:rsidP="00593AE2">
      <w:pPr>
        <w:rPr>
          <w:lang w:eastAsia="en-GB"/>
        </w:rPr>
      </w:pPr>
      <w:r w:rsidRPr="606E24A0">
        <w:rPr>
          <w:lang w:eastAsia="en-GB"/>
        </w:rPr>
        <w:lastRenderedPageBreak/>
        <w:t>Given the Netherlands’ advanced administrative systems, the main challenges lie not in technical feasibility but in policy coordination and political acceptance. Aligning new instruments with existing levies, ensuring consistency with EU obligations, and providing clear revenue-recycling mechanisms will be critical to maintain public support and limit competitiveness concerns. With careful design, additional environmental taxes could make an important contribution to the Netherlands’ circular economy and water quality goals, while reinforcing its long-standing leadership in green fiscal policy.</w:t>
      </w:r>
    </w:p>
    <w:p w14:paraId="6D0E9946" w14:textId="192F27A9" w:rsidR="00664BE6" w:rsidRPr="00EA4C9B" w:rsidRDefault="00664BE6" w:rsidP="00B71F1F">
      <w:pPr>
        <w:pStyle w:val="AnnexHeading1"/>
        <w:ind w:hanging="1211"/>
      </w:pPr>
      <w:bookmarkStart w:id="274" w:name="_Toc214008928"/>
      <w:r w:rsidRPr="00EA4C9B">
        <w:t>Poland</w:t>
      </w:r>
      <w:bookmarkEnd w:id="274"/>
    </w:p>
    <w:p w14:paraId="641AF901" w14:textId="77777777" w:rsidR="00664BE6" w:rsidRPr="00EA4C9B" w:rsidRDefault="00664BE6" w:rsidP="007C4EB7">
      <w:pPr>
        <w:pStyle w:val="AnnexHeading2"/>
      </w:pPr>
      <w:bookmarkStart w:id="275" w:name="_Toc214008929"/>
      <w:r w:rsidRPr="00EA4C9B">
        <w:t>Overview on environmental taxes</w:t>
      </w:r>
      <w:bookmarkEnd w:id="275"/>
    </w:p>
    <w:p w14:paraId="79CF8ED3" w14:textId="6C3CA39E" w:rsidR="00664BE6" w:rsidRPr="00EA4C9B" w:rsidRDefault="00917950" w:rsidP="00664BE6">
      <w:r w:rsidRPr="00917950">
        <w:t>Environmental taxes in Poland amounted to 2.6% of GDP in 2023, above the EU average. While revenues have grown substantially in absolute terms over the past 15 years, their relative importance in the economy has edged down. Total environmental tax revenue reached EUR 16.55 billion in real terms in 2023 (</w:t>
      </w:r>
      <w:r>
        <w:fldChar w:fldCharType="begin"/>
      </w:r>
      <w:r>
        <w:instrText xml:space="preserve"> REF _Ref201223891 \h </w:instrText>
      </w:r>
      <w:r>
        <w:fldChar w:fldCharType="separate"/>
      </w:r>
      <w:r w:rsidRPr="00051732">
        <w:t xml:space="preserve">Figure </w:t>
      </w:r>
      <w:r>
        <w:t>A6</w:t>
      </w:r>
      <w:r w:rsidRPr="00051732">
        <w:t>-</w:t>
      </w:r>
      <w:r>
        <w:rPr>
          <w:noProof/>
        </w:rPr>
        <w:t>57</w:t>
      </w:r>
      <w:r>
        <w:fldChar w:fldCharType="end"/>
      </w:r>
      <w:r w:rsidRPr="00917950">
        <w:t>), representing a 102.1% increase since 2009 (</w:t>
      </w:r>
      <w:r w:rsidRPr="00A02EC6">
        <w:fldChar w:fldCharType="begin"/>
      </w:r>
      <w:r w:rsidRPr="00A02EC6">
        <w:instrText xml:space="preserve"> REF _Ref201225933 \h  \* MERGEFORMAT </w:instrText>
      </w:r>
      <w:r w:rsidRPr="00A02EC6">
        <w:fldChar w:fldCharType="separate"/>
      </w:r>
      <w:r w:rsidRPr="00A02EC6">
        <w:t xml:space="preserve">Figure </w:t>
      </w:r>
      <w:r>
        <w:t>A6</w:t>
      </w:r>
      <w:r w:rsidRPr="00A02EC6">
        <w:t>-</w:t>
      </w:r>
      <w:r w:rsidRPr="00A02EC6">
        <w:rPr>
          <w:noProof/>
        </w:rPr>
        <w:t>58</w:t>
      </w:r>
      <w:r w:rsidRPr="00A02EC6">
        <w:fldChar w:fldCharType="end"/>
      </w:r>
      <w:r w:rsidRPr="00917950">
        <w:t>)</w:t>
      </w:r>
      <w:r w:rsidR="00951A90">
        <w:rPr>
          <w:rStyle w:val="FootnoteReference"/>
        </w:rPr>
        <w:footnoteReference w:id="645"/>
      </w:r>
      <w:r w:rsidRPr="00917950">
        <w:t>. Over the same period, however, the ratio of environmental taxes to GDP fell by 3.6%</w:t>
      </w:r>
      <w:r>
        <w:t xml:space="preserve"> </w:t>
      </w:r>
      <w:r w:rsidRPr="00917950">
        <w:t>(</w:t>
      </w:r>
      <w:r w:rsidRPr="00A02EC6">
        <w:fldChar w:fldCharType="begin"/>
      </w:r>
      <w:r w:rsidRPr="00A02EC6">
        <w:instrText xml:space="preserve"> REF _Ref201225933 \h  \* MERGEFORMAT </w:instrText>
      </w:r>
      <w:r w:rsidRPr="00A02EC6">
        <w:fldChar w:fldCharType="separate"/>
      </w:r>
      <w:r w:rsidRPr="00A02EC6">
        <w:t xml:space="preserve">Figure </w:t>
      </w:r>
      <w:r>
        <w:t>A6</w:t>
      </w:r>
      <w:r w:rsidRPr="00A02EC6">
        <w:t>-</w:t>
      </w:r>
      <w:r w:rsidRPr="00A02EC6">
        <w:rPr>
          <w:noProof/>
        </w:rPr>
        <w:t>58</w:t>
      </w:r>
      <w:r w:rsidRPr="00A02EC6">
        <w:fldChar w:fldCharType="end"/>
      </w:r>
      <w:r w:rsidRPr="00917950">
        <w:t>). In 2023, revenues were predominantly derived from energy and transport taxes (around 90.0% and 6.5%, respectively), while resource and pollution taxes contributed 0.1% and 3.4%</w:t>
      </w:r>
      <w:r>
        <w:t xml:space="preserve"> respectively</w:t>
      </w:r>
      <w:r w:rsidRPr="00917950">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64BE6" w:rsidRPr="00EA4C9B" w14:paraId="063AA25A" w14:textId="77777777" w:rsidTr="00BA7936">
        <w:tc>
          <w:tcPr>
            <w:tcW w:w="9016" w:type="dxa"/>
          </w:tcPr>
          <w:p w14:paraId="2AA73156" w14:textId="77777777" w:rsidR="00664BE6" w:rsidRPr="00EA4C9B" w:rsidRDefault="00664BE6">
            <w:pPr>
              <w:spacing w:after="0"/>
              <w:jc w:val="center"/>
              <w:rPr>
                <w:sz w:val="10"/>
                <w:szCs w:val="10"/>
              </w:rPr>
            </w:pPr>
          </w:p>
          <w:p w14:paraId="6B1C6D4E" w14:textId="77777777" w:rsidR="00664BE6" w:rsidRPr="00EA4C9B" w:rsidRDefault="00664BE6">
            <w:pPr>
              <w:spacing w:after="0"/>
              <w:jc w:val="center"/>
              <w:rPr>
                <w:sz w:val="10"/>
                <w:szCs w:val="10"/>
              </w:rPr>
            </w:pPr>
            <w:r w:rsidRPr="00EA4C9B">
              <w:rPr>
                <w:noProof/>
                <w:sz w:val="10"/>
                <w:szCs w:val="10"/>
              </w:rPr>
              <w:drawing>
                <wp:inline distT="0" distB="0" distL="0" distR="0" wp14:anchorId="36ABBA90" wp14:editId="06AD4106">
                  <wp:extent cx="5509316" cy="1125248"/>
                  <wp:effectExtent l="0" t="0" r="0" b="0"/>
                  <wp:docPr id="1601199541" name="Picture 6" descr="A graph of a graph with numbers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99541" name="Picture 6" descr="A graph of a graph with numbers and a graph&#10;&#10;AI-generated content may be incorrect."/>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64452" cy="1136509"/>
                          </a:xfrm>
                          <a:prstGeom prst="rect">
                            <a:avLst/>
                          </a:prstGeom>
                          <a:noFill/>
                        </pic:spPr>
                      </pic:pic>
                    </a:graphicData>
                  </a:graphic>
                </wp:inline>
              </w:drawing>
            </w:r>
          </w:p>
          <w:p w14:paraId="3C9A4AF6" w14:textId="77777777" w:rsidR="00664BE6" w:rsidRPr="00EA4C9B" w:rsidRDefault="00664BE6">
            <w:pPr>
              <w:spacing w:after="0"/>
              <w:jc w:val="center"/>
              <w:rPr>
                <w:sz w:val="10"/>
                <w:szCs w:val="10"/>
              </w:rPr>
            </w:pPr>
          </w:p>
        </w:tc>
      </w:tr>
      <w:tr w:rsidR="00664BE6" w:rsidRPr="00EA4C9B" w14:paraId="620C6F25" w14:textId="77777777" w:rsidTr="00BA7936">
        <w:tc>
          <w:tcPr>
            <w:tcW w:w="9016" w:type="dxa"/>
            <w:shd w:val="clear" w:color="auto" w:fill="003399"/>
          </w:tcPr>
          <w:p w14:paraId="12730827" w14:textId="3214946F" w:rsidR="00664BE6" w:rsidRPr="00F83A1E" w:rsidRDefault="00664BE6" w:rsidP="00AC6C12">
            <w:pPr>
              <w:pStyle w:val="FigTabCaption"/>
            </w:pPr>
            <w:bookmarkStart w:id="276" w:name="_Ref201225134"/>
            <w:bookmarkStart w:id="277" w:name="_Ref201223891"/>
            <w:r w:rsidRPr="00051732">
              <w:t xml:space="preserve">Figure </w:t>
            </w:r>
            <w:r w:rsidR="00490085">
              <w:t>A6</w:t>
            </w:r>
            <w:r w:rsidR="00947F4C" w:rsidRPr="00051732">
              <w:t>-</w:t>
            </w:r>
            <w:bookmarkEnd w:id="276"/>
            <w:r w:rsidR="00947F4C" w:rsidRPr="00051732">
              <w:fldChar w:fldCharType="begin"/>
            </w:r>
            <w:r w:rsidR="00947F4C" w:rsidRPr="00051732">
              <w:instrText xml:space="preserve"> SEQ Figure_A5- \* ARABIC </w:instrText>
            </w:r>
            <w:r w:rsidR="00947F4C" w:rsidRPr="00051732">
              <w:fldChar w:fldCharType="separate"/>
            </w:r>
            <w:r w:rsidR="00AC6C12">
              <w:rPr>
                <w:noProof/>
              </w:rPr>
              <w:t>57</w:t>
            </w:r>
            <w:r w:rsidR="00947F4C" w:rsidRPr="00051732">
              <w:fldChar w:fldCharType="end"/>
            </w:r>
            <w:bookmarkEnd w:id="277"/>
            <w:r w:rsidRPr="00EA4C9B">
              <w:t>: Total environmental tax revenue in Poland (2009-2023) in billion euros</w:t>
            </w:r>
          </w:p>
        </w:tc>
      </w:tr>
    </w:tbl>
    <w:p w14:paraId="729EFCC3" w14:textId="77777777" w:rsidR="00216DEC" w:rsidRDefault="00216DEC" w:rsidP="00664BE6"/>
    <w:p w14:paraId="32AEF031" w14:textId="7C4149E2" w:rsidR="00664BE6" w:rsidRPr="00EA4C9B" w:rsidRDefault="00216DEC" w:rsidP="00664BE6">
      <w:r w:rsidRPr="00216DEC">
        <w:t>In 2023, total tax revenue (including net social contributions) accounted for 35.8% of Poland’s GDP, an increase of 3.7 percentage points compared with 32.1% in 2009. Environmental taxes represented 7.2% of total tax revenue in 2023, down from 8.3% in 2009</w:t>
      </w:r>
      <w:r>
        <w:t xml:space="preserve"> </w:t>
      </w:r>
      <w:r w:rsidRPr="00216DEC">
        <w:t>—</w:t>
      </w:r>
      <w:r>
        <w:t xml:space="preserve"> </w:t>
      </w:r>
      <w:r w:rsidRPr="00216DEC">
        <w:t>a decline of 1.1 percentage points over the period. In absolute terms, revenues fell across all environmental tax categories, with the steepest decreases in resource taxes (</w:t>
      </w:r>
      <w:r>
        <w:t>-</w:t>
      </w:r>
      <w:r w:rsidRPr="00216DEC">
        <w:t>76.1%) and pollution taxes (</w:t>
      </w:r>
      <w:r>
        <w:t>-</w:t>
      </w:r>
      <w:r w:rsidRPr="00216DEC">
        <w:t>63.0%), followed by transport taxes (</w:t>
      </w:r>
      <w:r>
        <w:t>-</w:t>
      </w:r>
      <w:r w:rsidRPr="00216DEC">
        <w:t>33.7%) and energy taxes (</w:t>
      </w:r>
      <w:r>
        <w:t>-</w:t>
      </w:r>
      <w:r w:rsidRPr="00216DEC">
        <w:t>6.4%).</w:t>
      </w:r>
      <w:r w:rsidR="00245941">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64BE6" w:rsidRPr="00EA4C9B" w14:paraId="4EFE825F" w14:textId="77777777" w:rsidTr="00BA7936">
        <w:tc>
          <w:tcPr>
            <w:tcW w:w="9016" w:type="dxa"/>
          </w:tcPr>
          <w:p w14:paraId="2B9658FD" w14:textId="77777777" w:rsidR="00664BE6" w:rsidRPr="00EA4C9B" w:rsidRDefault="00664BE6">
            <w:pPr>
              <w:spacing w:after="0"/>
              <w:jc w:val="center"/>
              <w:rPr>
                <w:sz w:val="10"/>
                <w:szCs w:val="10"/>
              </w:rPr>
            </w:pPr>
          </w:p>
          <w:p w14:paraId="41E099A8" w14:textId="77777777" w:rsidR="00664BE6" w:rsidRPr="00EA4C9B" w:rsidRDefault="00664BE6">
            <w:pPr>
              <w:spacing w:after="0"/>
              <w:jc w:val="center"/>
              <w:rPr>
                <w:sz w:val="10"/>
                <w:szCs w:val="10"/>
              </w:rPr>
            </w:pPr>
            <w:r w:rsidRPr="00EA4C9B">
              <w:rPr>
                <w:noProof/>
                <w:sz w:val="10"/>
                <w:szCs w:val="10"/>
              </w:rPr>
              <w:drawing>
                <wp:inline distT="0" distB="0" distL="0" distR="0" wp14:anchorId="0A389613" wp14:editId="0C3C76FB">
                  <wp:extent cx="5415121" cy="1946495"/>
                  <wp:effectExtent l="0" t="0" r="0" b="0"/>
                  <wp:docPr id="1055291568" name="Picture 1" descr="A graph of a graph showing the amount of tax in the y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91568" name="Picture 1" descr="A graph of a graph showing the amount of tax in the year&#10;&#10;AI-generated content may be incorrec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40992" cy="1991740"/>
                          </a:xfrm>
                          <a:prstGeom prst="rect">
                            <a:avLst/>
                          </a:prstGeom>
                          <a:noFill/>
                        </pic:spPr>
                      </pic:pic>
                    </a:graphicData>
                  </a:graphic>
                </wp:inline>
              </w:drawing>
            </w:r>
          </w:p>
          <w:p w14:paraId="6073A143" w14:textId="77777777" w:rsidR="00664BE6" w:rsidRPr="00EA4C9B" w:rsidRDefault="00664BE6">
            <w:pPr>
              <w:spacing w:after="0"/>
              <w:jc w:val="center"/>
              <w:rPr>
                <w:sz w:val="10"/>
                <w:szCs w:val="10"/>
              </w:rPr>
            </w:pPr>
          </w:p>
        </w:tc>
      </w:tr>
      <w:tr w:rsidR="00664BE6" w:rsidRPr="00EA4C9B" w14:paraId="64790D8E" w14:textId="77777777" w:rsidTr="00BA7936">
        <w:tc>
          <w:tcPr>
            <w:tcW w:w="9016" w:type="dxa"/>
            <w:shd w:val="clear" w:color="auto" w:fill="003399"/>
          </w:tcPr>
          <w:p w14:paraId="14DC5A18" w14:textId="645139DB" w:rsidR="00664BE6" w:rsidRPr="00EA4C9B" w:rsidRDefault="00664BE6" w:rsidP="00AC6C12">
            <w:pPr>
              <w:pStyle w:val="FigTabCaption"/>
            </w:pPr>
            <w:bookmarkStart w:id="278" w:name="_Ref201225933"/>
            <w:r w:rsidRPr="00051732">
              <w:t xml:space="preserve">Figure </w:t>
            </w:r>
            <w:r w:rsidR="00490085">
              <w:t>A6</w:t>
            </w:r>
            <w:r w:rsidR="00947F4C" w:rsidRPr="00051732">
              <w:t>-</w:t>
            </w:r>
            <w:r>
              <w:fldChar w:fldCharType="begin"/>
            </w:r>
            <w:r>
              <w:instrText>SEQ Figure_A5- \* ARABIC</w:instrText>
            </w:r>
            <w:r>
              <w:fldChar w:fldCharType="separate"/>
            </w:r>
            <w:r w:rsidR="00AC6C12">
              <w:rPr>
                <w:noProof/>
              </w:rPr>
              <w:t>58</w:t>
            </w:r>
            <w:r>
              <w:fldChar w:fldCharType="end"/>
            </w:r>
            <w:bookmarkEnd w:id="278"/>
            <w:r w:rsidRPr="00EA4C9B">
              <w:t>: Fifteen-year (2009-2023) change in absolute terms and change as GDP-ratio of the revenues of energy taxes, transport taxes, resource taxes, pollution taxes and total environmental taxes</w:t>
            </w:r>
            <w:r w:rsidR="00E26EC7">
              <w:t xml:space="preserve"> </w:t>
            </w:r>
          </w:p>
        </w:tc>
      </w:tr>
    </w:tbl>
    <w:p w14:paraId="1309DB54" w14:textId="77777777" w:rsidR="00664BE6" w:rsidRPr="00EA4C9B" w:rsidRDefault="00664BE6" w:rsidP="00664BE6"/>
    <w:p w14:paraId="52737C25" w14:textId="77777777" w:rsidR="00664BE6" w:rsidRPr="00EA4C9B" w:rsidRDefault="00664BE6" w:rsidP="007C4EB7">
      <w:pPr>
        <w:pStyle w:val="AnnexHeading2"/>
      </w:pPr>
      <w:bookmarkStart w:id="279" w:name="_Toc214008930"/>
      <w:r w:rsidRPr="00EA4C9B">
        <w:t>Existing pollution and resource taxes</w:t>
      </w:r>
      <w:bookmarkEnd w:id="279"/>
    </w:p>
    <w:p w14:paraId="336E6A3D" w14:textId="0068014F" w:rsidR="00664BE6" w:rsidRPr="00EA4C9B" w:rsidRDefault="00664BE6" w:rsidP="00664BE6">
      <w:r w:rsidRPr="00EA4C9B">
        <w:t>In 2023, resource and pollution tax revenues reached respectively 23.7 and 563.4 million euros (0.1% and 3.4% of the total environmental tax revenues). These amount to a decrease in absolute terms of 44.2% for resource taxes and a decrease of 13.4% for pollution taxes over 15 years (2009-2013). In terms of GDP-ratios, resource taxes decreased by 73.7% while pollution taxes decreased 58.7% (</w:t>
      </w:r>
      <w:r w:rsidR="001239C5" w:rsidRPr="001239C5">
        <w:rPr>
          <w:highlight w:val="yellow"/>
        </w:rPr>
        <w:fldChar w:fldCharType="begin"/>
      </w:r>
      <w:r w:rsidR="001239C5" w:rsidRPr="001239C5">
        <w:instrText xml:space="preserve"> REF _Ref201225933 \h </w:instrText>
      </w:r>
      <w:r w:rsidR="001239C5" w:rsidRPr="001239C5">
        <w:rPr>
          <w:highlight w:val="yellow"/>
        </w:rPr>
        <w:instrText xml:space="preserve"> \* MERGEFORMAT </w:instrText>
      </w:r>
      <w:r w:rsidR="001239C5" w:rsidRPr="001239C5">
        <w:rPr>
          <w:highlight w:val="yellow"/>
        </w:rPr>
      </w:r>
      <w:r w:rsidR="001239C5" w:rsidRPr="001239C5">
        <w:rPr>
          <w:highlight w:val="yellow"/>
        </w:rPr>
        <w:fldChar w:fldCharType="separate"/>
      </w:r>
      <w:r w:rsidR="001239C5" w:rsidRPr="001239C5">
        <w:t xml:space="preserve">Figure </w:t>
      </w:r>
      <w:r w:rsidR="00490085">
        <w:t>A6</w:t>
      </w:r>
      <w:r w:rsidR="001239C5" w:rsidRPr="001239C5">
        <w:t>-</w:t>
      </w:r>
      <w:r w:rsidR="001239C5" w:rsidRPr="001239C5">
        <w:rPr>
          <w:noProof/>
        </w:rPr>
        <w:t>58</w:t>
      </w:r>
      <w:r w:rsidR="001239C5" w:rsidRPr="001239C5">
        <w:rPr>
          <w:highlight w:val="yellow"/>
        </w:rPr>
        <w:fldChar w:fldCharType="end"/>
      </w:r>
      <w:r w:rsidRPr="001239C5">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64BE6" w:rsidRPr="00EA4C9B" w14:paraId="472F2375" w14:textId="77777777" w:rsidTr="00BA7936">
        <w:tc>
          <w:tcPr>
            <w:tcW w:w="9016" w:type="dxa"/>
          </w:tcPr>
          <w:p w14:paraId="2DEE74FC" w14:textId="77777777" w:rsidR="00664BE6" w:rsidRPr="00EA4C9B" w:rsidRDefault="00664BE6">
            <w:pPr>
              <w:spacing w:after="0"/>
              <w:jc w:val="center"/>
              <w:rPr>
                <w:sz w:val="10"/>
                <w:szCs w:val="10"/>
              </w:rPr>
            </w:pPr>
          </w:p>
          <w:p w14:paraId="300AC4AF" w14:textId="77777777" w:rsidR="00664BE6" w:rsidRPr="00EA4C9B" w:rsidRDefault="00664BE6">
            <w:pPr>
              <w:spacing w:after="0"/>
              <w:jc w:val="center"/>
              <w:rPr>
                <w:sz w:val="10"/>
                <w:szCs w:val="10"/>
              </w:rPr>
            </w:pPr>
            <w:r w:rsidRPr="00EA4C9B">
              <w:rPr>
                <w:noProof/>
                <w:sz w:val="10"/>
                <w:szCs w:val="10"/>
              </w:rPr>
              <w:drawing>
                <wp:inline distT="0" distB="0" distL="0" distR="0" wp14:anchorId="74228F03" wp14:editId="01FAC3F6">
                  <wp:extent cx="5592085" cy="1343780"/>
                  <wp:effectExtent l="0" t="0" r="8890" b="8890"/>
                  <wp:docPr id="609810299" name="Picture 2" descr="A graph of gree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10299" name="Picture 2" descr="A graph of green and blue bars&#10;&#10;AI-generated content may be incorrec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49169" cy="1357497"/>
                          </a:xfrm>
                          <a:prstGeom prst="rect">
                            <a:avLst/>
                          </a:prstGeom>
                          <a:noFill/>
                        </pic:spPr>
                      </pic:pic>
                    </a:graphicData>
                  </a:graphic>
                </wp:inline>
              </w:drawing>
            </w:r>
          </w:p>
          <w:p w14:paraId="28283EF3" w14:textId="77777777" w:rsidR="00664BE6" w:rsidRPr="00EA4C9B" w:rsidRDefault="00664BE6">
            <w:pPr>
              <w:spacing w:after="0"/>
              <w:jc w:val="center"/>
              <w:rPr>
                <w:sz w:val="10"/>
                <w:szCs w:val="10"/>
              </w:rPr>
            </w:pPr>
          </w:p>
          <w:p w14:paraId="2B03ADCC" w14:textId="77777777" w:rsidR="00664BE6" w:rsidRPr="00EA4C9B" w:rsidRDefault="00664BE6">
            <w:pPr>
              <w:spacing w:after="0"/>
              <w:jc w:val="center"/>
              <w:rPr>
                <w:sz w:val="10"/>
                <w:szCs w:val="10"/>
              </w:rPr>
            </w:pPr>
          </w:p>
        </w:tc>
      </w:tr>
      <w:tr w:rsidR="00664BE6" w:rsidRPr="00EA4C9B" w14:paraId="4333318A" w14:textId="77777777" w:rsidTr="00BA7936">
        <w:tc>
          <w:tcPr>
            <w:tcW w:w="9016" w:type="dxa"/>
            <w:shd w:val="clear" w:color="auto" w:fill="003399"/>
          </w:tcPr>
          <w:p w14:paraId="767009C1" w14:textId="732CC082" w:rsidR="00664BE6" w:rsidRPr="00EA4C9B" w:rsidRDefault="00664BE6" w:rsidP="00AC6C12">
            <w:pPr>
              <w:pStyle w:val="FigTabCaption"/>
            </w:pPr>
            <w:r w:rsidRPr="00051732">
              <w:t xml:space="preserve">Figure </w:t>
            </w:r>
            <w:r w:rsidR="00490085">
              <w:t>A6</w:t>
            </w:r>
            <w:r w:rsidR="00947F4C" w:rsidRPr="00051732">
              <w:t>-</w:t>
            </w:r>
            <w:r>
              <w:fldChar w:fldCharType="begin"/>
            </w:r>
            <w:r>
              <w:instrText>SEQ Figure_A5- \* ARABIC</w:instrText>
            </w:r>
            <w:r>
              <w:fldChar w:fldCharType="separate"/>
            </w:r>
            <w:r w:rsidR="0091411A">
              <w:rPr>
                <w:noProof/>
              </w:rPr>
              <w:t>59</w:t>
            </w:r>
            <w:r>
              <w:fldChar w:fldCharType="end"/>
            </w:r>
            <w:r w:rsidRPr="00EA4C9B">
              <w:t>: Resource and pollution tax revenues in Poland (2009-2023) in million euros</w:t>
            </w:r>
            <w:r w:rsidR="00F26A70">
              <w:t>.</w:t>
            </w:r>
            <w:r w:rsidR="00F26A70" w:rsidRPr="00EA4C9B">
              <w:rPr>
                <w:rFonts w:ascii="Calibri" w:eastAsia="Calibri" w:hAnsi="Calibri" w:cs="Calibri"/>
                <w:i/>
                <w:iCs/>
              </w:rPr>
              <w:t xml:space="preserve"> Note: the share between pollution and resource taxes in 2023 was estimated as the weighted average of past years</w:t>
            </w:r>
            <w:r w:rsidR="00F26A70" w:rsidRPr="00EA4C9B">
              <w:rPr>
                <w:rFonts w:ascii="Calibri" w:eastAsia="Calibri" w:hAnsi="Calibri" w:cs="Calibri"/>
              </w:rPr>
              <w:t> </w:t>
            </w:r>
          </w:p>
        </w:tc>
      </w:tr>
    </w:tbl>
    <w:p w14:paraId="5B915B81" w14:textId="77777777" w:rsidR="00A00DA3" w:rsidRPr="00A00DA3" w:rsidRDefault="00A00DA3" w:rsidP="00A00DA3">
      <w:pPr>
        <w:pStyle w:val="Heading4"/>
      </w:pPr>
      <w:r w:rsidRPr="00A00DA3">
        <w:t>List of pollution and resource taxes and revenue shares</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5"/>
        <w:gridCol w:w="1710"/>
        <w:gridCol w:w="1890"/>
        <w:gridCol w:w="1905"/>
      </w:tblGrid>
      <w:tr w:rsidR="00664BE6" w:rsidRPr="00EA4C9B" w14:paraId="1479AEF0" w14:textId="77777777" w:rsidTr="00B71F1F">
        <w:trPr>
          <w:trHeight w:val="300"/>
          <w:tblHeader/>
        </w:trPr>
        <w:tc>
          <w:tcPr>
            <w:tcW w:w="9000"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205C6ACB" w14:textId="7C460836" w:rsidR="00664BE6" w:rsidRPr="009A26CF" w:rsidRDefault="00664BE6" w:rsidP="00BA7936">
            <w:pPr>
              <w:pStyle w:val="Table"/>
              <w:ind w:left="57" w:right="57"/>
              <w:rPr>
                <w:rFonts w:ascii="Times New Roman" w:eastAsia="Times New Roman" w:hAnsi="Times New Roman" w:cs="Times New Roman"/>
                <w:b/>
                <w:sz w:val="24"/>
                <w:lang w:eastAsia="en-GB"/>
              </w:rPr>
            </w:pPr>
            <w:r w:rsidRPr="009A26CF">
              <w:rPr>
                <w:b/>
                <w:color w:val="FFFFFF" w:themeColor="background1"/>
              </w:rPr>
              <w:t xml:space="preserve">Table </w:t>
            </w:r>
            <w:r w:rsidR="00490085">
              <w:rPr>
                <w:b/>
                <w:color w:val="FFFFFF" w:themeColor="background1"/>
              </w:rPr>
              <w:t>A6</w:t>
            </w:r>
            <w:r w:rsidR="009A26CF" w:rsidRPr="009A26CF">
              <w:rPr>
                <w:b/>
                <w:bCs/>
                <w:color w:val="FFFFFF" w:themeColor="background1"/>
              </w:rPr>
              <w:t>-</w:t>
            </w:r>
            <w:r w:rsidR="009A26CF" w:rsidRPr="009A26CF">
              <w:rPr>
                <w:b/>
                <w:bCs/>
                <w:color w:val="FFFFFF" w:themeColor="background1"/>
              </w:rPr>
              <w:fldChar w:fldCharType="begin"/>
            </w:r>
            <w:r w:rsidR="009A26CF" w:rsidRPr="009A26CF">
              <w:rPr>
                <w:b/>
                <w:bCs/>
                <w:color w:val="FFFFFF" w:themeColor="background1"/>
              </w:rPr>
              <w:instrText xml:space="preserve"> SEQ Table_A5- \* ARABIC </w:instrText>
            </w:r>
            <w:r w:rsidR="009A26CF" w:rsidRPr="009A26CF">
              <w:rPr>
                <w:b/>
                <w:bCs/>
                <w:color w:val="FFFFFF" w:themeColor="background1"/>
              </w:rPr>
              <w:fldChar w:fldCharType="separate"/>
            </w:r>
            <w:r w:rsidR="00B71F1F">
              <w:rPr>
                <w:b/>
                <w:bCs/>
                <w:noProof/>
                <w:color w:val="FFFFFF" w:themeColor="background1"/>
              </w:rPr>
              <w:t>103</w:t>
            </w:r>
            <w:r w:rsidR="009A26CF" w:rsidRPr="009A26CF">
              <w:rPr>
                <w:b/>
                <w:bCs/>
                <w:color w:val="FFFFFF" w:themeColor="background1"/>
              </w:rPr>
              <w:fldChar w:fldCharType="end"/>
            </w:r>
            <w:r w:rsidRPr="009A26CF">
              <w:rPr>
                <w:rFonts w:ascii="Calibri" w:eastAsia="Times New Roman" w:hAnsi="Calibri" w:cs="Calibri"/>
                <w:b/>
                <w:color w:val="FFFFFF" w:themeColor="background1"/>
                <w:szCs w:val="20"/>
                <w:lang w:eastAsia="en-GB"/>
              </w:rPr>
              <w:t>:  Pollution taxes  </w:t>
            </w:r>
          </w:p>
        </w:tc>
      </w:tr>
      <w:tr w:rsidR="00664BE6" w:rsidRPr="00EA4C9B" w14:paraId="176ADCF9" w14:textId="77777777" w:rsidTr="00B71F1F">
        <w:trPr>
          <w:trHeight w:val="300"/>
          <w:tblHeader/>
        </w:trPr>
        <w:tc>
          <w:tcPr>
            <w:tcW w:w="3495" w:type="dxa"/>
            <w:tcBorders>
              <w:top w:val="single" w:sz="6" w:space="0" w:color="auto"/>
              <w:left w:val="single" w:sz="6" w:space="0" w:color="auto"/>
              <w:bottom w:val="single" w:sz="6" w:space="0" w:color="auto"/>
              <w:right w:val="single" w:sz="6" w:space="0" w:color="auto"/>
            </w:tcBorders>
            <w:hideMark/>
          </w:tcPr>
          <w:p w14:paraId="1B38E1B7" w14:textId="77777777" w:rsidR="00664BE6" w:rsidRPr="00EA4C9B" w:rsidRDefault="00664BE6" w:rsidP="00BA7936">
            <w:pPr>
              <w:pStyle w:val="Table"/>
              <w:ind w:left="57" w:right="57"/>
              <w:rPr>
                <w:rFonts w:ascii="Times New Roman" w:eastAsia="Times New Roman" w:hAnsi="Times New Roman" w:cs="Times New Roman"/>
                <w:sz w:val="24"/>
                <w:lang w:eastAsia="en-GB"/>
              </w:rPr>
            </w:pPr>
            <w:r w:rsidRPr="00947F4C">
              <w:rPr>
                <w:rFonts w:ascii="Calibri" w:eastAsia="Times New Roman" w:hAnsi="Calibri" w:cs="Calibri"/>
                <w:b/>
                <w:szCs w:val="20"/>
                <w:lang w:eastAsia="en-GB"/>
              </w:rPr>
              <w:t>Tax Name</w:t>
            </w:r>
            <w:r w:rsidRPr="00947F4C">
              <w:rPr>
                <w:rFonts w:ascii="Calibri" w:eastAsia="Times New Roman" w:hAnsi="Calibri" w:cs="Calibri"/>
                <w:szCs w:val="20"/>
                <w:lang w:eastAsia="en-GB"/>
              </w:rPr>
              <w:t> </w:t>
            </w:r>
            <w:r w:rsidRPr="00EA4C9B">
              <w:rPr>
                <w:rFonts w:ascii="Calibri" w:eastAsia="Times New Roman" w:hAnsi="Calibri" w:cs="Calibri"/>
                <w:szCs w:val="20"/>
                <w:lang w:eastAsia="en-GB"/>
              </w:rPr>
              <w:t> </w:t>
            </w:r>
          </w:p>
        </w:tc>
        <w:tc>
          <w:tcPr>
            <w:tcW w:w="1710" w:type="dxa"/>
            <w:tcBorders>
              <w:top w:val="single" w:sz="6" w:space="0" w:color="auto"/>
              <w:left w:val="single" w:sz="6" w:space="0" w:color="auto"/>
              <w:bottom w:val="single" w:sz="6" w:space="0" w:color="auto"/>
              <w:right w:val="single" w:sz="6" w:space="0" w:color="auto"/>
            </w:tcBorders>
            <w:hideMark/>
          </w:tcPr>
          <w:p w14:paraId="7037E99E" w14:textId="6E4E8B33" w:rsidR="00664BE6" w:rsidRPr="00EA4C9B" w:rsidRDefault="00664BE6" w:rsidP="00BA7936">
            <w:pPr>
              <w:pStyle w:val="Table"/>
              <w:ind w:left="57" w:right="57"/>
              <w:jc w:val="center"/>
              <w:rPr>
                <w:rFonts w:ascii="Times New Roman" w:eastAsia="Times New Roman" w:hAnsi="Times New Roman" w:cs="Times New Roman"/>
                <w:sz w:val="24"/>
                <w:lang w:eastAsia="en-GB"/>
              </w:rPr>
            </w:pPr>
            <w:r w:rsidRPr="00947F4C">
              <w:rPr>
                <w:rFonts w:ascii="Calibri" w:eastAsia="Times New Roman" w:hAnsi="Calibri" w:cs="Calibri"/>
                <w:b/>
                <w:szCs w:val="20"/>
                <w:lang w:eastAsia="en-GB"/>
              </w:rPr>
              <w:t>Revenue (€ million)</w:t>
            </w:r>
          </w:p>
          <w:p w14:paraId="2C0A3ED2" w14:textId="563F2561" w:rsidR="00664BE6" w:rsidRPr="00EA4C9B" w:rsidRDefault="00664BE6" w:rsidP="00BA7936">
            <w:pPr>
              <w:pStyle w:val="Table"/>
              <w:ind w:left="57" w:right="57"/>
              <w:jc w:val="center"/>
              <w:rPr>
                <w:rFonts w:ascii="Times New Roman" w:eastAsia="Times New Roman" w:hAnsi="Times New Roman" w:cs="Times New Roman"/>
                <w:sz w:val="24"/>
                <w:lang w:eastAsia="en-GB"/>
              </w:rPr>
            </w:pPr>
            <w:r w:rsidRPr="00947F4C">
              <w:rPr>
                <w:rFonts w:ascii="Calibri" w:eastAsia="Times New Roman" w:hAnsi="Calibri" w:cs="Calibri"/>
                <w:b/>
                <w:szCs w:val="20"/>
                <w:lang w:eastAsia="en-GB"/>
              </w:rPr>
              <w:t>2009-2023</w:t>
            </w:r>
          </w:p>
        </w:tc>
        <w:tc>
          <w:tcPr>
            <w:tcW w:w="1890" w:type="dxa"/>
            <w:tcBorders>
              <w:top w:val="single" w:sz="6" w:space="0" w:color="auto"/>
              <w:left w:val="single" w:sz="6" w:space="0" w:color="auto"/>
              <w:bottom w:val="single" w:sz="6" w:space="0" w:color="auto"/>
              <w:right w:val="single" w:sz="6" w:space="0" w:color="auto"/>
            </w:tcBorders>
            <w:hideMark/>
          </w:tcPr>
          <w:p w14:paraId="2018D1D6" w14:textId="4F89CBD6" w:rsidR="00664BE6" w:rsidRPr="00EA4C9B" w:rsidRDefault="00664BE6" w:rsidP="00BA7936">
            <w:pPr>
              <w:pStyle w:val="Table"/>
              <w:ind w:left="57" w:right="57"/>
              <w:jc w:val="center"/>
              <w:rPr>
                <w:rFonts w:ascii="Times New Roman" w:eastAsia="Times New Roman" w:hAnsi="Times New Roman" w:cs="Times New Roman"/>
                <w:sz w:val="24"/>
                <w:lang w:eastAsia="en-GB"/>
              </w:rPr>
            </w:pPr>
            <w:r w:rsidRPr="00947F4C">
              <w:rPr>
                <w:rFonts w:ascii="Calibri" w:eastAsia="Times New Roman" w:hAnsi="Calibri" w:cs="Calibri"/>
                <w:b/>
                <w:szCs w:val="20"/>
                <w:lang w:eastAsia="en-GB"/>
              </w:rPr>
              <w:t>Average annual revenue (€ million)</w:t>
            </w:r>
          </w:p>
        </w:tc>
        <w:tc>
          <w:tcPr>
            <w:tcW w:w="1905" w:type="dxa"/>
            <w:tcBorders>
              <w:top w:val="single" w:sz="6" w:space="0" w:color="auto"/>
              <w:left w:val="single" w:sz="6" w:space="0" w:color="auto"/>
              <w:bottom w:val="single" w:sz="6" w:space="0" w:color="auto"/>
              <w:right w:val="single" w:sz="6" w:space="0" w:color="auto"/>
            </w:tcBorders>
            <w:hideMark/>
          </w:tcPr>
          <w:p w14:paraId="7336C685" w14:textId="745DA329" w:rsidR="00664BE6" w:rsidRPr="00EA4C9B" w:rsidRDefault="00664BE6" w:rsidP="00BA7936">
            <w:pPr>
              <w:pStyle w:val="Table"/>
              <w:ind w:left="57" w:right="57"/>
              <w:jc w:val="center"/>
              <w:rPr>
                <w:rFonts w:ascii="Times New Roman" w:eastAsia="Times New Roman" w:hAnsi="Times New Roman" w:cs="Times New Roman"/>
                <w:sz w:val="24"/>
                <w:lang w:eastAsia="en-GB"/>
              </w:rPr>
            </w:pPr>
            <w:r w:rsidRPr="00947F4C">
              <w:rPr>
                <w:rFonts w:ascii="Calibri" w:eastAsia="Times New Roman" w:hAnsi="Calibri" w:cs="Calibri"/>
                <w:b/>
                <w:szCs w:val="20"/>
                <w:lang w:eastAsia="en-GB"/>
              </w:rPr>
              <w:t>As share of all pollution tax revenues</w:t>
            </w:r>
          </w:p>
        </w:tc>
      </w:tr>
      <w:tr w:rsidR="00664BE6" w:rsidRPr="00EA4C9B" w14:paraId="65A830F0"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hideMark/>
          </w:tcPr>
          <w:p w14:paraId="79ABEB49" w14:textId="77777777" w:rsidR="00664BE6" w:rsidRPr="006D487D" w:rsidRDefault="00664BE6" w:rsidP="00BA7936">
            <w:pPr>
              <w:pStyle w:val="Table"/>
              <w:ind w:left="57" w:right="57"/>
              <w:rPr>
                <w:rFonts w:ascii="Times New Roman" w:eastAsia="Times New Roman" w:hAnsi="Times New Roman" w:cs="Times New Roman"/>
                <w:szCs w:val="20"/>
                <w:lang w:val="pl-PL" w:eastAsia="en-GB"/>
              </w:rPr>
            </w:pPr>
            <w:r w:rsidRPr="006D487D">
              <w:rPr>
                <w:szCs w:val="20"/>
                <w:lang w:val="pl-PL"/>
              </w:rPr>
              <w:t>Levies on environmental exploitation (Opłaty za korzystanie ze środowiska)</w:t>
            </w:r>
          </w:p>
        </w:tc>
        <w:tc>
          <w:tcPr>
            <w:tcW w:w="1710" w:type="dxa"/>
            <w:tcBorders>
              <w:top w:val="single" w:sz="6" w:space="0" w:color="auto"/>
              <w:left w:val="single" w:sz="6" w:space="0" w:color="auto"/>
              <w:bottom w:val="single" w:sz="6" w:space="0" w:color="auto"/>
              <w:right w:val="single" w:sz="6" w:space="0" w:color="auto"/>
            </w:tcBorders>
            <w:hideMark/>
          </w:tcPr>
          <w:p w14:paraId="536E3D83" w14:textId="77777777" w:rsidR="00664BE6" w:rsidRPr="00EA4C9B" w:rsidRDefault="00664BE6" w:rsidP="00BA7936">
            <w:pPr>
              <w:pStyle w:val="Table"/>
              <w:ind w:left="57" w:right="57"/>
              <w:jc w:val="center"/>
              <w:rPr>
                <w:rFonts w:ascii="Times New Roman" w:eastAsia="Times New Roman" w:hAnsi="Times New Roman" w:cs="Times New Roman"/>
                <w:szCs w:val="20"/>
                <w:lang w:eastAsia="en-GB"/>
              </w:rPr>
            </w:pPr>
            <w:r w:rsidRPr="00EA4C9B">
              <w:rPr>
                <w:szCs w:val="20"/>
              </w:rPr>
              <w:t>5603.5</w:t>
            </w:r>
          </w:p>
        </w:tc>
        <w:tc>
          <w:tcPr>
            <w:tcW w:w="1890" w:type="dxa"/>
            <w:tcBorders>
              <w:top w:val="single" w:sz="6" w:space="0" w:color="auto"/>
              <w:left w:val="single" w:sz="6" w:space="0" w:color="auto"/>
              <w:bottom w:val="single" w:sz="6" w:space="0" w:color="auto"/>
              <w:right w:val="single" w:sz="6" w:space="0" w:color="auto"/>
            </w:tcBorders>
            <w:hideMark/>
          </w:tcPr>
          <w:p w14:paraId="473ABD4E" w14:textId="77777777" w:rsidR="00664BE6" w:rsidRPr="00EA4C9B" w:rsidRDefault="00664BE6" w:rsidP="00BA7936">
            <w:pPr>
              <w:pStyle w:val="Table"/>
              <w:ind w:left="57" w:right="57"/>
              <w:jc w:val="center"/>
              <w:rPr>
                <w:rFonts w:ascii="Times New Roman" w:eastAsia="Times New Roman" w:hAnsi="Times New Roman" w:cs="Times New Roman"/>
                <w:szCs w:val="20"/>
                <w:lang w:eastAsia="en-GB"/>
              </w:rPr>
            </w:pPr>
            <w:r w:rsidRPr="00EA4C9B">
              <w:rPr>
                <w:szCs w:val="20"/>
              </w:rPr>
              <w:t>373.6</w:t>
            </w:r>
          </w:p>
        </w:tc>
        <w:tc>
          <w:tcPr>
            <w:tcW w:w="1905" w:type="dxa"/>
            <w:tcBorders>
              <w:top w:val="single" w:sz="6" w:space="0" w:color="auto"/>
              <w:left w:val="single" w:sz="6" w:space="0" w:color="auto"/>
              <w:bottom w:val="single" w:sz="6" w:space="0" w:color="auto"/>
              <w:right w:val="single" w:sz="6" w:space="0" w:color="auto"/>
            </w:tcBorders>
            <w:hideMark/>
          </w:tcPr>
          <w:p w14:paraId="337D36B3" w14:textId="77777777" w:rsidR="00664BE6" w:rsidRPr="00EA4C9B" w:rsidRDefault="00664BE6" w:rsidP="00BA7936">
            <w:pPr>
              <w:pStyle w:val="Table"/>
              <w:ind w:left="57" w:right="57"/>
              <w:jc w:val="center"/>
              <w:rPr>
                <w:rFonts w:ascii="Times New Roman" w:eastAsia="Times New Roman" w:hAnsi="Times New Roman" w:cs="Times New Roman"/>
                <w:szCs w:val="20"/>
                <w:lang w:eastAsia="en-GB"/>
              </w:rPr>
            </w:pPr>
            <w:r w:rsidRPr="00EA4C9B">
              <w:rPr>
                <w:szCs w:val="20"/>
              </w:rPr>
              <w:t>65.3%</w:t>
            </w:r>
          </w:p>
        </w:tc>
      </w:tr>
      <w:tr w:rsidR="00664BE6" w:rsidRPr="00EA4C9B" w14:paraId="798B1B02"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hideMark/>
          </w:tcPr>
          <w:p w14:paraId="006A6512" w14:textId="77777777" w:rsidR="00664BE6" w:rsidRPr="00EA4C9B" w:rsidRDefault="00664BE6" w:rsidP="00BA7936">
            <w:pPr>
              <w:pStyle w:val="Table"/>
              <w:ind w:left="57" w:right="57"/>
              <w:rPr>
                <w:rFonts w:ascii="Times New Roman" w:eastAsia="Times New Roman" w:hAnsi="Times New Roman" w:cs="Times New Roman"/>
                <w:szCs w:val="20"/>
                <w:lang w:eastAsia="en-GB"/>
              </w:rPr>
            </w:pPr>
            <w:r w:rsidRPr="00EA4C9B">
              <w:rPr>
                <w:szCs w:val="20"/>
              </w:rPr>
              <w:t>The National Fund for Environmental Protection and Water Management -other legal payments (</w:t>
            </w:r>
            <w:r w:rsidRPr="00EA4C9B">
              <w:rPr>
                <w:szCs w:val="20"/>
              </w:rPr>
              <w:br/>
              <w:t>'Fundusz Ochrony Środowiska i Gospodarki Wodnej -pozostałe ustawowe opłaty)</w:t>
            </w:r>
          </w:p>
        </w:tc>
        <w:tc>
          <w:tcPr>
            <w:tcW w:w="1710" w:type="dxa"/>
            <w:tcBorders>
              <w:top w:val="single" w:sz="6" w:space="0" w:color="auto"/>
              <w:left w:val="single" w:sz="6" w:space="0" w:color="auto"/>
              <w:bottom w:val="single" w:sz="6" w:space="0" w:color="auto"/>
              <w:right w:val="single" w:sz="6" w:space="0" w:color="auto"/>
            </w:tcBorders>
            <w:hideMark/>
          </w:tcPr>
          <w:p w14:paraId="0CB41D03" w14:textId="77777777" w:rsidR="00664BE6" w:rsidRPr="00EA4C9B" w:rsidRDefault="00664BE6" w:rsidP="00BA7936">
            <w:pPr>
              <w:pStyle w:val="Table"/>
              <w:ind w:left="57" w:right="57"/>
              <w:jc w:val="center"/>
              <w:rPr>
                <w:rFonts w:ascii="Times New Roman" w:eastAsia="Times New Roman" w:hAnsi="Times New Roman" w:cs="Times New Roman"/>
                <w:szCs w:val="20"/>
                <w:lang w:eastAsia="en-GB"/>
              </w:rPr>
            </w:pPr>
            <w:r w:rsidRPr="00EA4C9B">
              <w:rPr>
                <w:szCs w:val="20"/>
              </w:rPr>
              <w:t>2958.4</w:t>
            </w:r>
          </w:p>
        </w:tc>
        <w:tc>
          <w:tcPr>
            <w:tcW w:w="1890" w:type="dxa"/>
            <w:tcBorders>
              <w:top w:val="single" w:sz="6" w:space="0" w:color="auto"/>
              <w:left w:val="single" w:sz="6" w:space="0" w:color="auto"/>
              <w:bottom w:val="single" w:sz="6" w:space="0" w:color="auto"/>
              <w:right w:val="single" w:sz="6" w:space="0" w:color="auto"/>
            </w:tcBorders>
            <w:hideMark/>
          </w:tcPr>
          <w:p w14:paraId="74C9BBC7" w14:textId="77777777" w:rsidR="00664BE6" w:rsidRPr="00EA4C9B" w:rsidRDefault="00664BE6" w:rsidP="00BA7936">
            <w:pPr>
              <w:pStyle w:val="Table"/>
              <w:ind w:left="57" w:right="57"/>
              <w:jc w:val="center"/>
              <w:rPr>
                <w:rFonts w:ascii="Times New Roman" w:eastAsia="Times New Roman" w:hAnsi="Times New Roman" w:cs="Times New Roman"/>
                <w:szCs w:val="20"/>
                <w:lang w:eastAsia="en-GB"/>
              </w:rPr>
            </w:pPr>
            <w:r w:rsidRPr="00EA4C9B">
              <w:rPr>
                <w:szCs w:val="20"/>
              </w:rPr>
              <w:t>197.2</w:t>
            </w:r>
          </w:p>
        </w:tc>
        <w:tc>
          <w:tcPr>
            <w:tcW w:w="1905" w:type="dxa"/>
            <w:tcBorders>
              <w:top w:val="single" w:sz="6" w:space="0" w:color="auto"/>
              <w:left w:val="single" w:sz="6" w:space="0" w:color="auto"/>
              <w:bottom w:val="single" w:sz="6" w:space="0" w:color="auto"/>
              <w:right w:val="single" w:sz="6" w:space="0" w:color="auto"/>
            </w:tcBorders>
            <w:hideMark/>
          </w:tcPr>
          <w:p w14:paraId="7A35B5C4" w14:textId="77777777" w:rsidR="00664BE6" w:rsidRPr="00EA4C9B" w:rsidRDefault="00664BE6" w:rsidP="00BA7936">
            <w:pPr>
              <w:pStyle w:val="Table"/>
              <w:ind w:left="57" w:right="57"/>
              <w:jc w:val="center"/>
              <w:rPr>
                <w:rFonts w:ascii="Times New Roman" w:eastAsia="Times New Roman" w:hAnsi="Times New Roman" w:cs="Times New Roman"/>
                <w:szCs w:val="20"/>
                <w:lang w:eastAsia="en-GB"/>
              </w:rPr>
            </w:pPr>
            <w:r w:rsidRPr="00EA4C9B">
              <w:rPr>
                <w:szCs w:val="20"/>
              </w:rPr>
              <w:t>34.5%</w:t>
            </w:r>
          </w:p>
        </w:tc>
      </w:tr>
      <w:tr w:rsidR="00664BE6" w:rsidRPr="00EA4C9B" w14:paraId="2ACFABAC"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689810D6" w14:textId="77777777" w:rsidR="00664BE6" w:rsidRPr="00EA4C9B" w:rsidRDefault="00664BE6" w:rsidP="00BA7936">
            <w:pPr>
              <w:pStyle w:val="Table"/>
              <w:ind w:left="57" w:right="57"/>
              <w:rPr>
                <w:rFonts w:ascii="Calibri" w:eastAsia="Times New Roman" w:hAnsi="Calibri" w:cs="Calibri"/>
                <w:szCs w:val="20"/>
                <w:lang w:eastAsia="en-GB"/>
              </w:rPr>
            </w:pPr>
            <w:r w:rsidRPr="00EA4C9B">
              <w:rPr>
                <w:szCs w:val="20"/>
              </w:rPr>
              <w:t>Product fee (Opdata produktowa)</w:t>
            </w:r>
          </w:p>
        </w:tc>
        <w:tc>
          <w:tcPr>
            <w:tcW w:w="1710" w:type="dxa"/>
            <w:tcBorders>
              <w:top w:val="single" w:sz="6" w:space="0" w:color="auto"/>
              <w:left w:val="single" w:sz="6" w:space="0" w:color="auto"/>
              <w:bottom w:val="single" w:sz="6" w:space="0" w:color="auto"/>
              <w:right w:val="single" w:sz="6" w:space="0" w:color="auto"/>
            </w:tcBorders>
          </w:tcPr>
          <w:p w14:paraId="2CCADE59" w14:textId="77777777" w:rsidR="00664BE6" w:rsidRPr="00EA4C9B" w:rsidRDefault="00664BE6" w:rsidP="00BA7936">
            <w:pPr>
              <w:pStyle w:val="Table"/>
              <w:ind w:left="57" w:right="57"/>
              <w:jc w:val="center"/>
              <w:rPr>
                <w:rFonts w:ascii="Calibri" w:eastAsia="Times New Roman" w:hAnsi="Calibri" w:cs="Calibri"/>
                <w:szCs w:val="20"/>
                <w:lang w:eastAsia="en-GB"/>
              </w:rPr>
            </w:pPr>
            <w:r w:rsidRPr="00EA4C9B">
              <w:rPr>
                <w:szCs w:val="20"/>
              </w:rPr>
              <w:t>11.9</w:t>
            </w:r>
          </w:p>
        </w:tc>
        <w:tc>
          <w:tcPr>
            <w:tcW w:w="1890" w:type="dxa"/>
            <w:tcBorders>
              <w:top w:val="single" w:sz="6" w:space="0" w:color="auto"/>
              <w:left w:val="single" w:sz="6" w:space="0" w:color="auto"/>
              <w:bottom w:val="single" w:sz="6" w:space="0" w:color="auto"/>
              <w:right w:val="single" w:sz="6" w:space="0" w:color="auto"/>
            </w:tcBorders>
          </w:tcPr>
          <w:p w14:paraId="7DC0D8CA" w14:textId="77777777" w:rsidR="00664BE6" w:rsidRPr="00EA4C9B" w:rsidRDefault="00664BE6" w:rsidP="00BA7936">
            <w:pPr>
              <w:pStyle w:val="Table"/>
              <w:ind w:left="57" w:right="57"/>
              <w:jc w:val="center"/>
              <w:rPr>
                <w:rFonts w:ascii="Calibri" w:eastAsia="Times New Roman" w:hAnsi="Calibri" w:cs="Calibri"/>
                <w:szCs w:val="20"/>
                <w:lang w:eastAsia="en-GB"/>
              </w:rPr>
            </w:pPr>
            <w:r w:rsidRPr="00EA4C9B">
              <w:rPr>
                <w:szCs w:val="20"/>
              </w:rPr>
              <w:t>0.8</w:t>
            </w:r>
          </w:p>
        </w:tc>
        <w:tc>
          <w:tcPr>
            <w:tcW w:w="1905" w:type="dxa"/>
            <w:tcBorders>
              <w:top w:val="single" w:sz="6" w:space="0" w:color="auto"/>
              <w:left w:val="single" w:sz="6" w:space="0" w:color="auto"/>
              <w:bottom w:val="single" w:sz="6" w:space="0" w:color="auto"/>
              <w:right w:val="single" w:sz="6" w:space="0" w:color="auto"/>
            </w:tcBorders>
          </w:tcPr>
          <w:p w14:paraId="6A49C321" w14:textId="77777777" w:rsidR="00664BE6" w:rsidRPr="00EA4C9B" w:rsidRDefault="00664BE6" w:rsidP="00BA7936">
            <w:pPr>
              <w:pStyle w:val="Table"/>
              <w:ind w:left="57" w:right="57"/>
              <w:jc w:val="center"/>
              <w:rPr>
                <w:rFonts w:ascii="Calibri" w:eastAsia="Times New Roman" w:hAnsi="Calibri" w:cs="Calibri"/>
                <w:szCs w:val="20"/>
                <w:lang w:eastAsia="en-GB"/>
              </w:rPr>
            </w:pPr>
            <w:r w:rsidRPr="00EA4C9B">
              <w:rPr>
                <w:szCs w:val="20"/>
              </w:rPr>
              <w:t>0.1%</w:t>
            </w:r>
          </w:p>
        </w:tc>
      </w:tr>
      <w:tr w:rsidR="00664BE6" w:rsidRPr="00EA4C9B" w14:paraId="48AAA41F"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7BF9A16C" w14:textId="77777777" w:rsidR="00664BE6" w:rsidRPr="00EA4C9B" w:rsidRDefault="00664BE6" w:rsidP="00BA7936">
            <w:pPr>
              <w:pStyle w:val="Table"/>
              <w:ind w:left="57" w:right="57"/>
              <w:rPr>
                <w:rFonts w:ascii="Calibri" w:eastAsia="Times New Roman" w:hAnsi="Calibri" w:cs="Calibri"/>
                <w:szCs w:val="20"/>
                <w:lang w:eastAsia="en-GB"/>
              </w:rPr>
            </w:pPr>
            <w:r w:rsidRPr="00EA4C9B">
              <w:rPr>
                <w:szCs w:val="20"/>
              </w:rPr>
              <w:lastRenderedPageBreak/>
              <w:t>Fees and penalties for substances that deplete the ozone layer (Wpływy z opłat i kar za substancję zubożające warstwę ozonową)</w:t>
            </w:r>
          </w:p>
        </w:tc>
        <w:tc>
          <w:tcPr>
            <w:tcW w:w="1710" w:type="dxa"/>
            <w:tcBorders>
              <w:top w:val="single" w:sz="6" w:space="0" w:color="auto"/>
              <w:left w:val="single" w:sz="6" w:space="0" w:color="auto"/>
              <w:bottom w:val="single" w:sz="6" w:space="0" w:color="auto"/>
              <w:right w:val="single" w:sz="6" w:space="0" w:color="auto"/>
            </w:tcBorders>
          </w:tcPr>
          <w:p w14:paraId="32B2B86D" w14:textId="77777777" w:rsidR="00664BE6" w:rsidRPr="00EA4C9B" w:rsidRDefault="00664BE6" w:rsidP="00BA7936">
            <w:pPr>
              <w:pStyle w:val="Table"/>
              <w:ind w:left="57" w:right="57"/>
              <w:jc w:val="center"/>
              <w:rPr>
                <w:rFonts w:ascii="Calibri" w:eastAsia="Times New Roman" w:hAnsi="Calibri" w:cs="Calibri"/>
                <w:szCs w:val="20"/>
                <w:lang w:eastAsia="en-GB"/>
              </w:rPr>
            </w:pPr>
            <w:r w:rsidRPr="00EA4C9B">
              <w:rPr>
                <w:szCs w:val="20"/>
              </w:rPr>
              <w:t>0.8</w:t>
            </w:r>
          </w:p>
        </w:tc>
        <w:tc>
          <w:tcPr>
            <w:tcW w:w="1890" w:type="dxa"/>
            <w:tcBorders>
              <w:top w:val="single" w:sz="6" w:space="0" w:color="auto"/>
              <w:left w:val="single" w:sz="6" w:space="0" w:color="auto"/>
              <w:bottom w:val="single" w:sz="6" w:space="0" w:color="auto"/>
              <w:right w:val="single" w:sz="6" w:space="0" w:color="auto"/>
            </w:tcBorders>
          </w:tcPr>
          <w:p w14:paraId="0D5A01BF" w14:textId="77777777" w:rsidR="00664BE6" w:rsidRPr="00EA4C9B" w:rsidRDefault="00664BE6" w:rsidP="00BA7936">
            <w:pPr>
              <w:pStyle w:val="Table"/>
              <w:ind w:left="57" w:right="57"/>
              <w:jc w:val="center"/>
              <w:rPr>
                <w:rFonts w:ascii="Calibri" w:eastAsia="Times New Roman" w:hAnsi="Calibri" w:cs="Calibri"/>
                <w:szCs w:val="20"/>
                <w:lang w:eastAsia="en-GB"/>
              </w:rPr>
            </w:pPr>
            <w:r w:rsidRPr="00EA4C9B">
              <w:rPr>
                <w:szCs w:val="20"/>
              </w:rPr>
              <w:t>0.2</w:t>
            </w:r>
          </w:p>
        </w:tc>
        <w:tc>
          <w:tcPr>
            <w:tcW w:w="1905" w:type="dxa"/>
            <w:tcBorders>
              <w:top w:val="single" w:sz="6" w:space="0" w:color="auto"/>
              <w:left w:val="single" w:sz="6" w:space="0" w:color="auto"/>
              <w:bottom w:val="single" w:sz="6" w:space="0" w:color="auto"/>
              <w:right w:val="single" w:sz="6" w:space="0" w:color="auto"/>
            </w:tcBorders>
          </w:tcPr>
          <w:p w14:paraId="5101AF30" w14:textId="77777777" w:rsidR="00664BE6" w:rsidRPr="00EA4C9B" w:rsidRDefault="00664BE6" w:rsidP="00BA7936">
            <w:pPr>
              <w:pStyle w:val="Table"/>
              <w:ind w:left="57" w:right="57"/>
              <w:jc w:val="center"/>
              <w:rPr>
                <w:rFonts w:ascii="Calibri" w:eastAsia="Times New Roman" w:hAnsi="Calibri" w:cs="Calibri"/>
                <w:szCs w:val="20"/>
                <w:lang w:eastAsia="en-GB"/>
              </w:rPr>
            </w:pPr>
            <w:r w:rsidRPr="00EA4C9B">
              <w:rPr>
                <w:szCs w:val="20"/>
              </w:rPr>
              <w:t>0.0%</w:t>
            </w:r>
          </w:p>
        </w:tc>
      </w:tr>
    </w:tbl>
    <w:p w14:paraId="55671160" w14:textId="77777777" w:rsidR="00664BE6" w:rsidRPr="00EA4C9B" w:rsidRDefault="00664BE6" w:rsidP="00664BE6">
      <w:pPr>
        <w:spacing w:after="0"/>
        <w:textAlignment w:val="baseline"/>
        <w:rPr>
          <w:rFonts w:ascii="Segoe UI" w:eastAsia="Times New Roman" w:hAnsi="Segoe UI" w:cs="Segoe UI"/>
          <w:sz w:val="18"/>
          <w:szCs w:val="18"/>
          <w:lang w:eastAsia="en-GB"/>
        </w:rPr>
      </w:pPr>
      <w:r w:rsidRPr="00EA4C9B">
        <w:rPr>
          <w:rFonts w:ascii="Calibri" w:eastAsia="Times New Roman" w:hAnsi="Calibri" w:cs="Calibri"/>
          <w:lang w:eastAsia="en-GB"/>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5"/>
        <w:gridCol w:w="1710"/>
        <w:gridCol w:w="1890"/>
        <w:gridCol w:w="1905"/>
      </w:tblGrid>
      <w:tr w:rsidR="00664BE6" w:rsidRPr="00EA4C9B" w14:paraId="56EF3ACD" w14:textId="77777777" w:rsidTr="004F0767">
        <w:trPr>
          <w:trHeight w:val="300"/>
        </w:trPr>
        <w:tc>
          <w:tcPr>
            <w:tcW w:w="9000"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6E128117" w14:textId="533AC06A" w:rsidR="00664BE6" w:rsidRPr="009A26CF" w:rsidRDefault="00947F4C" w:rsidP="00BA7936">
            <w:pPr>
              <w:pStyle w:val="Table"/>
              <w:ind w:left="57" w:right="57"/>
              <w:rPr>
                <w:rFonts w:ascii="Times New Roman" w:eastAsia="Times New Roman" w:hAnsi="Times New Roman" w:cs="Times New Roman"/>
                <w:b/>
                <w:sz w:val="24"/>
                <w:lang w:eastAsia="en-GB"/>
              </w:rPr>
            </w:pPr>
            <w:r w:rsidRPr="009A26CF">
              <w:rPr>
                <w:b/>
                <w:color w:val="FFFFFF" w:themeColor="background1"/>
              </w:rPr>
              <w:t xml:space="preserve">Table </w:t>
            </w:r>
            <w:r w:rsidR="00490085">
              <w:rPr>
                <w:b/>
                <w:color w:val="FFFFFF" w:themeColor="background1"/>
              </w:rPr>
              <w:t>A6</w:t>
            </w:r>
            <w:r w:rsidR="009A26CF" w:rsidRPr="009A26CF">
              <w:rPr>
                <w:b/>
                <w:bCs/>
                <w:color w:val="FFFFFF" w:themeColor="background1"/>
              </w:rPr>
              <w:t>-</w:t>
            </w:r>
            <w:r w:rsidR="009A26CF" w:rsidRPr="009A26CF">
              <w:rPr>
                <w:b/>
                <w:bCs/>
                <w:color w:val="FFFFFF" w:themeColor="background1"/>
              </w:rPr>
              <w:fldChar w:fldCharType="begin"/>
            </w:r>
            <w:r w:rsidR="009A26CF" w:rsidRPr="009A26CF">
              <w:rPr>
                <w:b/>
                <w:bCs/>
                <w:color w:val="FFFFFF" w:themeColor="background1"/>
              </w:rPr>
              <w:instrText xml:space="preserve"> SEQ Table_A5- \* ARABIC </w:instrText>
            </w:r>
            <w:r w:rsidR="009A26CF" w:rsidRPr="009A26CF">
              <w:rPr>
                <w:b/>
                <w:bCs/>
                <w:color w:val="FFFFFF" w:themeColor="background1"/>
              </w:rPr>
              <w:fldChar w:fldCharType="separate"/>
            </w:r>
            <w:r w:rsidR="00DE1642">
              <w:rPr>
                <w:b/>
                <w:bCs/>
                <w:noProof/>
                <w:color w:val="FFFFFF" w:themeColor="background1"/>
              </w:rPr>
              <w:t>104</w:t>
            </w:r>
            <w:r w:rsidR="009A26CF" w:rsidRPr="009A26CF">
              <w:rPr>
                <w:b/>
                <w:bCs/>
                <w:color w:val="FFFFFF" w:themeColor="background1"/>
              </w:rPr>
              <w:fldChar w:fldCharType="end"/>
            </w:r>
            <w:r w:rsidR="00664BE6" w:rsidRPr="009A26CF">
              <w:rPr>
                <w:rFonts w:ascii="Calibri" w:eastAsia="Times New Roman" w:hAnsi="Calibri" w:cs="Calibri"/>
                <w:b/>
                <w:color w:val="FFFFFF" w:themeColor="background1"/>
                <w:szCs w:val="20"/>
                <w:lang w:eastAsia="en-GB"/>
              </w:rPr>
              <w:t>:  Waste taxes  </w:t>
            </w:r>
          </w:p>
        </w:tc>
      </w:tr>
      <w:tr w:rsidR="00664BE6" w:rsidRPr="00EA4C9B" w14:paraId="35AD126D"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hideMark/>
          </w:tcPr>
          <w:p w14:paraId="32AFB672" w14:textId="77777777" w:rsidR="00664BE6" w:rsidRPr="00EA4C9B" w:rsidRDefault="00664BE6" w:rsidP="00BA7936">
            <w:pPr>
              <w:pStyle w:val="Table"/>
              <w:ind w:left="57" w:right="57"/>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0" w:type="dxa"/>
            <w:tcBorders>
              <w:top w:val="single" w:sz="6" w:space="0" w:color="auto"/>
              <w:left w:val="single" w:sz="6" w:space="0" w:color="auto"/>
              <w:bottom w:val="single" w:sz="6" w:space="0" w:color="auto"/>
              <w:right w:val="single" w:sz="6" w:space="0" w:color="auto"/>
            </w:tcBorders>
            <w:hideMark/>
          </w:tcPr>
          <w:p w14:paraId="19F70371" w14:textId="6725E098" w:rsidR="00664BE6" w:rsidRPr="00EA4C9B" w:rsidRDefault="00664BE6"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Revenue (€ million)</w:t>
            </w:r>
          </w:p>
          <w:p w14:paraId="344BB93A" w14:textId="332605EE" w:rsidR="00664BE6" w:rsidRPr="00EA4C9B" w:rsidRDefault="00664BE6"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2009-2023</w:t>
            </w:r>
          </w:p>
        </w:tc>
        <w:tc>
          <w:tcPr>
            <w:tcW w:w="1890" w:type="dxa"/>
            <w:tcBorders>
              <w:top w:val="single" w:sz="6" w:space="0" w:color="auto"/>
              <w:left w:val="single" w:sz="6" w:space="0" w:color="auto"/>
              <w:bottom w:val="single" w:sz="6" w:space="0" w:color="auto"/>
              <w:right w:val="single" w:sz="6" w:space="0" w:color="auto"/>
            </w:tcBorders>
            <w:hideMark/>
          </w:tcPr>
          <w:p w14:paraId="580DC23B" w14:textId="54BE45B7" w:rsidR="00664BE6" w:rsidRPr="00EA4C9B" w:rsidRDefault="00664BE6"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05" w:type="dxa"/>
            <w:tcBorders>
              <w:top w:val="single" w:sz="6" w:space="0" w:color="auto"/>
              <w:left w:val="single" w:sz="6" w:space="0" w:color="auto"/>
              <w:bottom w:val="single" w:sz="6" w:space="0" w:color="auto"/>
              <w:right w:val="single" w:sz="6" w:space="0" w:color="auto"/>
            </w:tcBorders>
            <w:hideMark/>
          </w:tcPr>
          <w:p w14:paraId="22E13B4F" w14:textId="2285578C" w:rsidR="00664BE6" w:rsidRPr="00EA4C9B" w:rsidRDefault="00664BE6"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waste tax revenues</w:t>
            </w:r>
          </w:p>
        </w:tc>
      </w:tr>
      <w:tr w:rsidR="00664BE6" w:rsidRPr="00EA4C9B" w14:paraId="2DAFC323"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hideMark/>
          </w:tcPr>
          <w:p w14:paraId="4BA8B970" w14:textId="77777777" w:rsidR="00664BE6" w:rsidRPr="006D487D" w:rsidRDefault="00664BE6" w:rsidP="00BA7936">
            <w:pPr>
              <w:pStyle w:val="Table"/>
              <w:ind w:left="57" w:right="57"/>
              <w:rPr>
                <w:rFonts w:ascii="Times New Roman" w:eastAsia="Times New Roman" w:hAnsi="Times New Roman" w:cs="Times New Roman"/>
                <w:szCs w:val="20"/>
                <w:lang w:val="pl-PL" w:eastAsia="en-GB"/>
              </w:rPr>
            </w:pPr>
            <w:r w:rsidRPr="006D487D">
              <w:rPr>
                <w:szCs w:val="20"/>
                <w:lang w:val="pl-PL"/>
              </w:rPr>
              <w:t>Plastic shopping bags (Opłaty za torby z tworzywa sztucznego)</w:t>
            </w:r>
          </w:p>
        </w:tc>
        <w:tc>
          <w:tcPr>
            <w:tcW w:w="1710" w:type="dxa"/>
            <w:tcBorders>
              <w:top w:val="single" w:sz="6" w:space="0" w:color="auto"/>
              <w:left w:val="single" w:sz="6" w:space="0" w:color="auto"/>
              <w:bottom w:val="single" w:sz="6" w:space="0" w:color="auto"/>
              <w:right w:val="single" w:sz="6" w:space="0" w:color="auto"/>
            </w:tcBorders>
            <w:hideMark/>
          </w:tcPr>
          <w:p w14:paraId="22DECF5D" w14:textId="77777777" w:rsidR="00664BE6" w:rsidRPr="00EA4C9B" w:rsidRDefault="00664BE6" w:rsidP="00BA7936">
            <w:pPr>
              <w:pStyle w:val="Table"/>
              <w:ind w:left="57" w:right="57"/>
              <w:jc w:val="center"/>
              <w:rPr>
                <w:rFonts w:eastAsia="Times New Roman" w:cstheme="minorHAnsi"/>
                <w:szCs w:val="20"/>
                <w:lang w:eastAsia="en-GB"/>
              </w:rPr>
            </w:pPr>
            <w:r w:rsidRPr="00EA4C9B">
              <w:rPr>
                <w:rFonts w:cstheme="minorHAnsi"/>
                <w:szCs w:val="20"/>
              </w:rPr>
              <w:t>191.7</w:t>
            </w:r>
          </w:p>
        </w:tc>
        <w:tc>
          <w:tcPr>
            <w:tcW w:w="1890" w:type="dxa"/>
            <w:tcBorders>
              <w:top w:val="single" w:sz="6" w:space="0" w:color="auto"/>
              <w:left w:val="single" w:sz="6" w:space="0" w:color="auto"/>
              <w:bottom w:val="single" w:sz="6" w:space="0" w:color="auto"/>
              <w:right w:val="single" w:sz="6" w:space="0" w:color="auto"/>
            </w:tcBorders>
            <w:hideMark/>
          </w:tcPr>
          <w:p w14:paraId="58C5D5CF" w14:textId="77777777" w:rsidR="00664BE6" w:rsidRPr="00EA4C9B" w:rsidRDefault="00664BE6" w:rsidP="00BA7936">
            <w:pPr>
              <w:pStyle w:val="Table"/>
              <w:ind w:left="57" w:right="57"/>
              <w:jc w:val="center"/>
              <w:rPr>
                <w:rFonts w:eastAsia="Times New Roman" w:cstheme="minorHAnsi"/>
                <w:szCs w:val="20"/>
                <w:lang w:eastAsia="en-GB"/>
              </w:rPr>
            </w:pPr>
            <w:r w:rsidRPr="00EA4C9B">
              <w:rPr>
                <w:rFonts w:cstheme="minorHAnsi"/>
                <w:szCs w:val="20"/>
              </w:rPr>
              <w:t>31.9</w:t>
            </w:r>
          </w:p>
        </w:tc>
        <w:tc>
          <w:tcPr>
            <w:tcW w:w="1905" w:type="dxa"/>
            <w:tcBorders>
              <w:top w:val="single" w:sz="6" w:space="0" w:color="auto"/>
              <w:left w:val="single" w:sz="6" w:space="0" w:color="auto"/>
              <w:bottom w:val="single" w:sz="6" w:space="0" w:color="auto"/>
              <w:right w:val="single" w:sz="6" w:space="0" w:color="auto"/>
            </w:tcBorders>
            <w:hideMark/>
          </w:tcPr>
          <w:p w14:paraId="38A85ACA" w14:textId="707C5612" w:rsidR="00664BE6" w:rsidRPr="00EA4C9B" w:rsidRDefault="00664BE6"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100%</w:t>
            </w:r>
          </w:p>
        </w:tc>
      </w:tr>
      <w:tr w:rsidR="00664BE6" w:rsidRPr="00EA4C9B" w14:paraId="496B605D"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hideMark/>
          </w:tcPr>
          <w:p w14:paraId="4ADDE1B1" w14:textId="77777777" w:rsidR="00664BE6" w:rsidRPr="006D487D" w:rsidRDefault="00664BE6" w:rsidP="00BA7936">
            <w:pPr>
              <w:pStyle w:val="Table"/>
              <w:ind w:left="57" w:right="57"/>
              <w:rPr>
                <w:rFonts w:ascii="Times New Roman" w:eastAsia="Times New Roman" w:hAnsi="Times New Roman" w:cs="Times New Roman"/>
                <w:szCs w:val="20"/>
                <w:lang w:val="pl-PL" w:eastAsia="en-GB"/>
              </w:rPr>
            </w:pPr>
            <w:r w:rsidRPr="006D487D">
              <w:rPr>
                <w:szCs w:val="20"/>
                <w:lang w:val="pl-PL"/>
              </w:rPr>
              <w:t>Receipts from waste management (Przychody z tytułu zagospodarowania odpadów)</w:t>
            </w:r>
          </w:p>
        </w:tc>
        <w:tc>
          <w:tcPr>
            <w:tcW w:w="1710" w:type="dxa"/>
            <w:tcBorders>
              <w:top w:val="single" w:sz="6" w:space="0" w:color="auto"/>
              <w:left w:val="single" w:sz="6" w:space="0" w:color="auto"/>
              <w:bottom w:val="single" w:sz="6" w:space="0" w:color="auto"/>
              <w:right w:val="single" w:sz="6" w:space="0" w:color="auto"/>
            </w:tcBorders>
            <w:hideMark/>
          </w:tcPr>
          <w:p w14:paraId="3D28242F" w14:textId="77777777" w:rsidR="00664BE6" w:rsidRPr="00EA4C9B" w:rsidRDefault="00664BE6" w:rsidP="00BA7936">
            <w:pPr>
              <w:pStyle w:val="Table"/>
              <w:ind w:left="57" w:right="57"/>
              <w:jc w:val="center"/>
              <w:rPr>
                <w:rFonts w:eastAsia="Times New Roman" w:cstheme="minorHAnsi"/>
                <w:szCs w:val="20"/>
                <w:lang w:eastAsia="en-GB"/>
              </w:rPr>
            </w:pPr>
            <w:r w:rsidRPr="00EA4C9B">
              <w:rPr>
                <w:rFonts w:eastAsia="Times New Roman" w:cstheme="minorHAnsi"/>
                <w:szCs w:val="20"/>
                <w:lang w:eastAsia="en-GB"/>
              </w:rPr>
              <w:t>0.0</w:t>
            </w:r>
          </w:p>
        </w:tc>
        <w:tc>
          <w:tcPr>
            <w:tcW w:w="1890" w:type="dxa"/>
            <w:tcBorders>
              <w:top w:val="single" w:sz="6" w:space="0" w:color="auto"/>
              <w:left w:val="single" w:sz="6" w:space="0" w:color="auto"/>
              <w:bottom w:val="single" w:sz="6" w:space="0" w:color="auto"/>
              <w:right w:val="single" w:sz="6" w:space="0" w:color="auto"/>
            </w:tcBorders>
            <w:hideMark/>
          </w:tcPr>
          <w:p w14:paraId="4800F398" w14:textId="77777777" w:rsidR="00664BE6" w:rsidRPr="00EA4C9B" w:rsidRDefault="00664BE6" w:rsidP="00BA7936">
            <w:pPr>
              <w:pStyle w:val="Table"/>
              <w:ind w:left="57" w:right="57"/>
              <w:jc w:val="center"/>
              <w:rPr>
                <w:rFonts w:eastAsia="Times New Roman" w:cstheme="minorHAnsi"/>
                <w:szCs w:val="20"/>
                <w:lang w:eastAsia="en-GB"/>
              </w:rPr>
            </w:pPr>
            <w:r w:rsidRPr="00EA4C9B">
              <w:rPr>
                <w:rFonts w:eastAsia="Times New Roman" w:cstheme="minorHAnsi"/>
                <w:szCs w:val="20"/>
                <w:lang w:eastAsia="en-GB"/>
              </w:rPr>
              <w:t>0.0</w:t>
            </w:r>
          </w:p>
        </w:tc>
        <w:tc>
          <w:tcPr>
            <w:tcW w:w="1905" w:type="dxa"/>
            <w:tcBorders>
              <w:top w:val="single" w:sz="6" w:space="0" w:color="auto"/>
              <w:left w:val="single" w:sz="6" w:space="0" w:color="auto"/>
              <w:bottom w:val="single" w:sz="6" w:space="0" w:color="auto"/>
              <w:right w:val="single" w:sz="6" w:space="0" w:color="auto"/>
            </w:tcBorders>
            <w:hideMark/>
          </w:tcPr>
          <w:p w14:paraId="678DE3DC" w14:textId="6CFEE3ED" w:rsidR="00664BE6" w:rsidRPr="00EA4C9B" w:rsidRDefault="00664BE6" w:rsidP="00BA7936">
            <w:pPr>
              <w:pStyle w:val="Table"/>
              <w:ind w:left="57" w:right="57"/>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0%</w:t>
            </w:r>
          </w:p>
        </w:tc>
      </w:tr>
    </w:tbl>
    <w:p w14:paraId="375CA9C6" w14:textId="77777777" w:rsidR="00664BE6" w:rsidRPr="00EA4C9B" w:rsidRDefault="00664BE6" w:rsidP="00664BE6">
      <w:pPr>
        <w:spacing w:after="0"/>
        <w:textAlignment w:val="baseline"/>
        <w:rPr>
          <w:rFonts w:ascii="Segoe UI" w:eastAsia="Times New Roman" w:hAnsi="Segoe UI" w:cs="Segoe UI"/>
          <w:sz w:val="18"/>
          <w:szCs w:val="18"/>
          <w:lang w:eastAsia="en-GB"/>
        </w:rPr>
      </w:pPr>
      <w:r w:rsidRPr="00EA4C9B">
        <w:rPr>
          <w:rFonts w:ascii="Calibri" w:eastAsia="Times New Roman" w:hAnsi="Calibri" w:cs="Calibri"/>
          <w:lang w:eastAsia="en-GB"/>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5"/>
        <w:gridCol w:w="1710"/>
        <w:gridCol w:w="1890"/>
        <w:gridCol w:w="1905"/>
      </w:tblGrid>
      <w:tr w:rsidR="00664BE6" w:rsidRPr="00EA4C9B" w14:paraId="41BDAF48" w14:textId="77777777" w:rsidTr="004F0767">
        <w:trPr>
          <w:trHeight w:val="300"/>
        </w:trPr>
        <w:tc>
          <w:tcPr>
            <w:tcW w:w="9000"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78E9F089" w14:textId="3497AE5F" w:rsidR="00664BE6" w:rsidRPr="009A26CF" w:rsidRDefault="00664BE6" w:rsidP="00BA7936">
            <w:pPr>
              <w:pStyle w:val="Caption"/>
              <w:ind w:left="57" w:right="57"/>
              <w:jc w:val="both"/>
              <w:rPr>
                <w:rFonts w:ascii="Times New Roman" w:eastAsia="Times New Roman" w:hAnsi="Times New Roman" w:cs="Times New Roman"/>
                <w:color w:val="FFFFFF" w:themeColor="background1"/>
                <w:sz w:val="24"/>
                <w:lang w:eastAsia="en-GB"/>
              </w:rPr>
            </w:pPr>
            <w:r w:rsidRPr="009A26CF">
              <w:rPr>
                <w:color w:val="FFFFFF" w:themeColor="background1"/>
              </w:rPr>
              <w:t xml:space="preserve">Table </w:t>
            </w:r>
            <w:r w:rsidR="00490085">
              <w:rPr>
                <w:color w:val="FFFFFF" w:themeColor="background1"/>
              </w:rPr>
              <w:t>A6</w:t>
            </w:r>
            <w:r w:rsidR="009A26CF" w:rsidRPr="009A26CF">
              <w:rPr>
                <w:color w:val="FFFFFF" w:themeColor="background1"/>
              </w:rPr>
              <w:t>-</w:t>
            </w:r>
            <w:r w:rsidR="009A26CF" w:rsidRPr="009A26CF">
              <w:rPr>
                <w:color w:val="FFFFFF" w:themeColor="background1"/>
              </w:rPr>
              <w:fldChar w:fldCharType="begin"/>
            </w:r>
            <w:r w:rsidR="009A26CF" w:rsidRPr="009A26CF">
              <w:rPr>
                <w:color w:val="FFFFFF" w:themeColor="background1"/>
              </w:rPr>
              <w:instrText xml:space="preserve"> SEQ Table_A5- \* ARABIC </w:instrText>
            </w:r>
            <w:r w:rsidR="009A26CF" w:rsidRPr="009A26CF">
              <w:rPr>
                <w:color w:val="FFFFFF" w:themeColor="background1"/>
              </w:rPr>
              <w:fldChar w:fldCharType="separate"/>
            </w:r>
            <w:r w:rsidR="00DE1642">
              <w:rPr>
                <w:noProof/>
                <w:color w:val="FFFFFF" w:themeColor="background1"/>
              </w:rPr>
              <w:t>105</w:t>
            </w:r>
            <w:r w:rsidR="009A26CF" w:rsidRPr="009A26CF">
              <w:rPr>
                <w:color w:val="FFFFFF" w:themeColor="background1"/>
              </w:rPr>
              <w:fldChar w:fldCharType="end"/>
            </w:r>
            <w:r w:rsidRPr="009A26CF">
              <w:rPr>
                <w:rFonts w:ascii="Calibri" w:eastAsia="Times New Roman" w:hAnsi="Calibri" w:cs="Calibri"/>
                <w:color w:val="FFFFFF" w:themeColor="background1"/>
                <w:szCs w:val="20"/>
                <w:lang w:eastAsia="en-GB"/>
              </w:rPr>
              <w:t>:  Resource taxes  </w:t>
            </w:r>
          </w:p>
        </w:tc>
      </w:tr>
      <w:tr w:rsidR="00664BE6" w:rsidRPr="00EA4C9B" w14:paraId="403080A0"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hideMark/>
          </w:tcPr>
          <w:p w14:paraId="24FA2C35" w14:textId="77777777" w:rsidR="00664BE6" w:rsidRPr="00EA4C9B" w:rsidRDefault="00664BE6" w:rsidP="00BA7936">
            <w:pPr>
              <w:spacing w:after="0"/>
              <w:ind w:left="57" w:right="57"/>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b/>
                <w:bCs/>
                <w:sz w:val="20"/>
                <w:szCs w:val="20"/>
                <w:lang w:eastAsia="en-GB"/>
              </w:rPr>
              <w:t>Tax Name</w:t>
            </w:r>
            <w:r w:rsidRPr="00EA4C9B">
              <w:rPr>
                <w:rFonts w:ascii="Calibri" w:eastAsia="Times New Roman" w:hAnsi="Calibri" w:cs="Calibri"/>
                <w:sz w:val="20"/>
                <w:szCs w:val="20"/>
                <w:lang w:eastAsia="en-GB"/>
              </w:rPr>
              <w:t>  </w:t>
            </w:r>
          </w:p>
        </w:tc>
        <w:tc>
          <w:tcPr>
            <w:tcW w:w="1710" w:type="dxa"/>
            <w:tcBorders>
              <w:top w:val="single" w:sz="6" w:space="0" w:color="auto"/>
              <w:left w:val="single" w:sz="6" w:space="0" w:color="auto"/>
              <w:bottom w:val="single" w:sz="6" w:space="0" w:color="auto"/>
              <w:right w:val="single" w:sz="6" w:space="0" w:color="auto"/>
            </w:tcBorders>
            <w:hideMark/>
          </w:tcPr>
          <w:p w14:paraId="2C7EB8EF" w14:textId="77777777" w:rsidR="00664BE6" w:rsidRPr="00EA4C9B" w:rsidRDefault="00664BE6" w:rsidP="00BA7936">
            <w:pPr>
              <w:spacing w:after="0"/>
              <w:ind w:left="57" w:right="57"/>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b/>
                <w:bCs/>
                <w:sz w:val="20"/>
                <w:szCs w:val="20"/>
                <w:lang w:eastAsia="en-GB"/>
              </w:rPr>
              <w:t>Revenue (€ million)</w:t>
            </w:r>
            <w:r w:rsidRPr="00EA4C9B">
              <w:rPr>
                <w:rFonts w:ascii="Calibri" w:eastAsia="Times New Roman" w:hAnsi="Calibri" w:cs="Calibri"/>
                <w:sz w:val="20"/>
                <w:szCs w:val="20"/>
                <w:lang w:eastAsia="en-GB"/>
              </w:rPr>
              <w:t> </w:t>
            </w:r>
          </w:p>
          <w:p w14:paraId="14896DD6" w14:textId="77777777" w:rsidR="00664BE6" w:rsidRPr="00EA4C9B" w:rsidRDefault="00664BE6" w:rsidP="00BA7936">
            <w:pPr>
              <w:spacing w:after="0"/>
              <w:ind w:left="57" w:right="57"/>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b/>
                <w:bCs/>
                <w:sz w:val="20"/>
                <w:szCs w:val="20"/>
                <w:lang w:eastAsia="en-GB"/>
              </w:rPr>
              <w:t>2009-2023</w:t>
            </w:r>
            <w:r w:rsidRPr="00EA4C9B">
              <w:rPr>
                <w:rFonts w:ascii="Calibri" w:eastAsia="Times New Roman" w:hAnsi="Calibri" w:cs="Calibri"/>
                <w:sz w:val="20"/>
                <w:szCs w:val="20"/>
                <w:lang w:eastAsia="en-GB"/>
              </w:rPr>
              <w:t> </w:t>
            </w:r>
          </w:p>
        </w:tc>
        <w:tc>
          <w:tcPr>
            <w:tcW w:w="1890" w:type="dxa"/>
            <w:tcBorders>
              <w:top w:val="single" w:sz="6" w:space="0" w:color="auto"/>
              <w:left w:val="single" w:sz="6" w:space="0" w:color="auto"/>
              <w:bottom w:val="single" w:sz="6" w:space="0" w:color="auto"/>
              <w:right w:val="single" w:sz="6" w:space="0" w:color="auto"/>
            </w:tcBorders>
            <w:hideMark/>
          </w:tcPr>
          <w:p w14:paraId="77476961" w14:textId="77777777" w:rsidR="00664BE6" w:rsidRPr="00EA4C9B" w:rsidRDefault="00664BE6" w:rsidP="00BA7936">
            <w:pPr>
              <w:spacing w:after="0"/>
              <w:ind w:left="57" w:right="57"/>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b/>
                <w:bCs/>
                <w:sz w:val="20"/>
                <w:szCs w:val="20"/>
                <w:lang w:eastAsia="en-GB"/>
              </w:rPr>
              <w:t>Average annual revenue (€ million)</w:t>
            </w:r>
            <w:r w:rsidRPr="00EA4C9B">
              <w:rPr>
                <w:rFonts w:ascii="Calibri" w:eastAsia="Times New Roman" w:hAnsi="Calibri" w:cs="Calibri"/>
                <w:sz w:val="20"/>
                <w:szCs w:val="20"/>
                <w:lang w:eastAsia="en-GB"/>
              </w:rPr>
              <w:t> </w:t>
            </w:r>
          </w:p>
        </w:tc>
        <w:tc>
          <w:tcPr>
            <w:tcW w:w="1905" w:type="dxa"/>
            <w:tcBorders>
              <w:top w:val="single" w:sz="6" w:space="0" w:color="auto"/>
              <w:left w:val="single" w:sz="6" w:space="0" w:color="auto"/>
              <w:bottom w:val="single" w:sz="6" w:space="0" w:color="auto"/>
              <w:right w:val="single" w:sz="6" w:space="0" w:color="auto"/>
            </w:tcBorders>
            <w:hideMark/>
          </w:tcPr>
          <w:p w14:paraId="09A2A8C0" w14:textId="77777777" w:rsidR="00664BE6" w:rsidRPr="00EA4C9B" w:rsidRDefault="00664BE6" w:rsidP="00BA7936">
            <w:pPr>
              <w:spacing w:after="0"/>
              <w:ind w:left="57" w:right="57"/>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b/>
                <w:bCs/>
                <w:sz w:val="20"/>
                <w:szCs w:val="20"/>
                <w:lang w:eastAsia="en-GB"/>
              </w:rPr>
              <w:t>As share of all resource tax revenues</w:t>
            </w:r>
            <w:r w:rsidRPr="00EA4C9B">
              <w:rPr>
                <w:rFonts w:ascii="Calibri" w:eastAsia="Times New Roman" w:hAnsi="Calibri" w:cs="Calibri"/>
                <w:sz w:val="20"/>
                <w:szCs w:val="20"/>
                <w:lang w:eastAsia="en-GB"/>
              </w:rPr>
              <w:t> </w:t>
            </w:r>
          </w:p>
        </w:tc>
      </w:tr>
      <w:tr w:rsidR="00664BE6" w:rsidRPr="00EA4C9B" w14:paraId="35641873"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hideMark/>
          </w:tcPr>
          <w:p w14:paraId="1FC360C7" w14:textId="77777777" w:rsidR="00664BE6" w:rsidRPr="00EA4C9B" w:rsidRDefault="00664BE6" w:rsidP="00BA7936">
            <w:pPr>
              <w:spacing w:after="0"/>
              <w:ind w:left="57" w:right="57"/>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20"/>
                <w:szCs w:val="20"/>
                <w:lang w:eastAsia="en-GB"/>
              </w:rPr>
              <w:t>Fees for removal of trees and shrubs (Opłaty za usuwanie drzew i krzewów)</w:t>
            </w:r>
          </w:p>
        </w:tc>
        <w:tc>
          <w:tcPr>
            <w:tcW w:w="1710" w:type="dxa"/>
            <w:tcBorders>
              <w:top w:val="single" w:sz="6" w:space="0" w:color="auto"/>
              <w:left w:val="single" w:sz="6" w:space="0" w:color="auto"/>
              <w:bottom w:val="single" w:sz="6" w:space="0" w:color="auto"/>
              <w:right w:val="single" w:sz="6" w:space="0" w:color="auto"/>
            </w:tcBorders>
            <w:hideMark/>
          </w:tcPr>
          <w:p w14:paraId="2564864A" w14:textId="77777777" w:rsidR="00664BE6" w:rsidRPr="00EA4C9B" w:rsidRDefault="00664BE6" w:rsidP="00BA7936">
            <w:pPr>
              <w:spacing w:after="0"/>
              <w:ind w:left="57" w:right="57"/>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20"/>
                <w:szCs w:val="20"/>
                <w:lang w:eastAsia="en-GB"/>
              </w:rPr>
              <w:t> 357.3</w:t>
            </w:r>
          </w:p>
        </w:tc>
        <w:tc>
          <w:tcPr>
            <w:tcW w:w="1890" w:type="dxa"/>
            <w:tcBorders>
              <w:top w:val="single" w:sz="6" w:space="0" w:color="auto"/>
              <w:left w:val="single" w:sz="6" w:space="0" w:color="auto"/>
              <w:bottom w:val="single" w:sz="6" w:space="0" w:color="auto"/>
              <w:right w:val="single" w:sz="6" w:space="0" w:color="auto"/>
            </w:tcBorders>
            <w:hideMark/>
          </w:tcPr>
          <w:p w14:paraId="1C80901D" w14:textId="77777777" w:rsidR="00664BE6" w:rsidRPr="00EA4C9B" w:rsidRDefault="00664BE6" w:rsidP="00BA7936">
            <w:pPr>
              <w:spacing w:after="0"/>
              <w:ind w:left="57" w:right="57"/>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20"/>
                <w:szCs w:val="20"/>
                <w:lang w:eastAsia="en-GB"/>
              </w:rPr>
              <w:t>23.8 </w:t>
            </w:r>
          </w:p>
        </w:tc>
        <w:tc>
          <w:tcPr>
            <w:tcW w:w="1905" w:type="dxa"/>
            <w:tcBorders>
              <w:top w:val="single" w:sz="6" w:space="0" w:color="auto"/>
              <w:left w:val="single" w:sz="6" w:space="0" w:color="auto"/>
              <w:bottom w:val="single" w:sz="6" w:space="0" w:color="auto"/>
              <w:right w:val="single" w:sz="6" w:space="0" w:color="auto"/>
            </w:tcBorders>
            <w:hideMark/>
          </w:tcPr>
          <w:p w14:paraId="0B256A1A" w14:textId="77777777" w:rsidR="00664BE6" w:rsidRPr="00EA4C9B" w:rsidRDefault="00664BE6" w:rsidP="00BA7936">
            <w:pPr>
              <w:spacing w:after="0"/>
              <w:ind w:left="57" w:right="57"/>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20"/>
                <w:szCs w:val="20"/>
                <w:lang w:eastAsia="en-GB"/>
              </w:rPr>
              <w:t>100% </w:t>
            </w:r>
          </w:p>
        </w:tc>
      </w:tr>
    </w:tbl>
    <w:p w14:paraId="5C0AC5AC" w14:textId="77777777" w:rsidR="00664BE6" w:rsidRPr="00EA4C9B" w:rsidRDefault="00664BE6" w:rsidP="00664BE6">
      <w:pPr>
        <w:spacing w:after="0"/>
        <w:textAlignment w:val="baseline"/>
        <w:rPr>
          <w:rFonts w:ascii="Segoe UI" w:eastAsia="Times New Roman" w:hAnsi="Segoe UI" w:cs="Segoe UI"/>
          <w:sz w:val="18"/>
          <w:szCs w:val="18"/>
          <w:lang w:eastAsia="en-GB"/>
        </w:rPr>
      </w:pPr>
      <w:r w:rsidRPr="00EA4C9B">
        <w:rPr>
          <w:rFonts w:ascii="Calibri" w:eastAsia="Times New Roman" w:hAnsi="Calibri" w:cs="Calibri"/>
          <w:lang w:eastAsia="en-GB"/>
        </w:rPr>
        <w:t>  </w:t>
      </w:r>
    </w:p>
    <w:p w14:paraId="244E45C8" w14:textId="77777777" w:rsidR="00664BE6" w:rsidRPr="00EA4C9B" w:rsidRDefault="00664BE6" w:rsidP="00664BE6">
      <w:pPr>
        <w:spacing w:after="0"/>
        <w:textAlignment w:val="baseline"/>
        <w:rPr>
          <w:color w:val="FF0000"/>
        </w:rPr>
      </w:pPr>
      <w:r w:rsidRPr="00EA4C9B">
        <w:rPr>
          <w:rFonts w:ascii="Calibri" w:eastAsia="Times New Roman" w:hAnsi="Calibri" w:cs="Calibri"/>
          <w:lang w:eastAsia="en-GB"/>
        </w:rPr>
        <w:t>  </w:t>
      </w:r>
    </w:p>
    <w:p w14:paraId="69D7CB84" w14:textId="5CABC78D" w:rsidR="00664BE6" w:rsidRPr="00EA4C9B" w:rsidRDefault="00664BE6" w:rsidP="00664BE6">
      <w:r w:rsidRPr="00EA4C9B">
        <w:t>There are two main sources of pollution tax revenue reported in the Eurostat national tax lists: levies on environmental exploitation; and payments to the National Fund for Environmental Protection and Water Management. This fund was established in 1989 to deliver on environmental objectives using funding from environmental levies.</w:t>
      </w:r>
    </w:p>
    <w:p w14:paraId="16A77A32" w14:textId="1CDD5FBB" w:rsidR="00664BE6" w:rsidRPr="00EA4C9B" w:rsidRDefault="00664BE6" w:rsidP="00664BE6">
      <w:r w:rsidRPr="00EA4C9B">
        <w:rPr>
          <w:b/>
          <w:bCs/>
        </w:rPr>
        <w:t>Levies on environmental exploitation</w:t>
      </w:r>
      <w:r w:rsidRPr="00EA4C9B">
        <w:t xml:space="preserve"> encompass a number of taxes related to air pollution, water abstraction and pollution and waste.</w:t>
      </w:r>
      <w:r w:rsidRPr="00EA4C9B">
        <w:rPr>
          <w:rStyle w:val="FootnoteReference"/>
        </w:rPr>
        <w:footnoteReference w:id="646"/>
      </w:r>
      <w:r w:rsidRPr="00EA4C9B">
        <w:t xml:space="preserve"> </w:t>
      </w:r>
      <w:r w:rsidRPr="00EA4C9B">
        <w:rPr>
          <w:b/>
          <w:bCs/>
        </w:rPr>
        <w:t>Levies for gas and dust released into air and waste disposal</w:t>
      </w:r>
      <w:r w:rsidRPr="00EA4C9B">
        <w:t xml:space="preserve"> are governed by the 2001 Polish Environmental Protection Act and its subsequent amendments.  Under this act, entities are responsible for collecting data and calculating the environmental fees due, where entities comprise businesses, persons engaged in agricultural activities, individuals who use the environment in ways that require special permissions and organisational units such as government offices, school and municipal facilities. Over time, the reporting requirements have been amended, although annual exemption levels have not changed. Since 2017, entities, for which annual fees exceed 800 PLN are required to submit annual statements and pay the environmental fee to the Marshall Office (regional governor) by 31 March of the following year. </w:t>
      </w:r>
      <w:r w:rsidRPr="00EA4C9B">
        <w:rPr>
          <w:rStyle w:val="FootnoteReference"/>
        </w:rPr>
        <w:footnoteReference w:id="647"/>
      </w:r>
      <w:r w:rsidRPr="00EA4C9B">
        <w:t xml:space="preserve">  </w:t>
      </w:r>
    </w:p>
    <w:p w14:paraId="32079194" w14:textId="5F4E9A0C" w:rsidR="00664BE6" w:rsidRPr="00EA4C9B" w:rsidRDefault="00664BE6" w:rsidP="00664BE6">
      <w:r w:rsidRPr="00EA4C9B">
        <w:t>Fees are set by the Minister of Climate and Environment on an annual basis and vary by product being emitted or disposed of and by producer. Separate fees are specified for 67 volatile substances emitted to air that depend o</w:t>
      </w:r>
      <w:r w:rsidR="001239C5">
        <w:t>n</w:t>
      </w:r>
      <w:r w:rsidRPr="00EA4C9B">
        <w:t xml:space="preserve"> the amount emitted and their environmental impact, as well as for emissions from engines, refue</w:t>
      </w:r>
      <w:r w:rsidR="001239C5">
        <w:t>l</w:t>
      </w:r>
      <w:r w:rsidRPr="00EA4C9B">
        <w:t>ling and poultry farming.  In 2023, the maximum rate for emission to air was 447.75 PLN /kg, with the fee increased by 500% for entities not having the necessary permits. Fees for sulphur dioxide and nitrogen oxides were both 0.61 PLN/kg.</w:t>
      </w:r>
    </w:p>
    <w:p w14:paraId="6768A431" w14:textId="77777777" w:rsidR="00664BE6" w:rsidRPr="00EA4C9B" w:rsidRDefault="00664BE6" w:rsidP="00664BE6">
      <w:r w:rsidRPr="00EA4C9B">
        <w:lastRenderedPageBreak/>
        <w:t>A detailed breakdown of fees for the disposal of products to landfill is provided (close to 1000 entries), with separate categories for municipal waste. The maximum rate for disposal to landfill was 328.02 PLN/tonne in 2023 and the maximum fee for municipal waste was 300.17 PLN /kg.</w:t>
      </w:r>
      <w:r w:rsidRPr="00EA4C9B">
        <w:rPr>
          <w:rStyle w:val="FootnoteReference"/>
        </w:rPr>
        <w:t xml:space="preserve"> </w:t>
      </w:r>
      <w:r w:rsidRPr="00EA4C9B">
        <w:rPr>
          <w:rStyle w:val="FootnoteReference"/>
        </w:rPr>
        <w:footnoteReference w:id="648"/>
      </w:r>
      <w:r w:rsidRPr="00EA4C9B">
        <w:t xml:space="preserve">   Fees for municipal waste to landfill increased significantly in 2018 and rise annually with inflation. Fees may be reduced to 25% of the total rate where the landfill waste meets specific parameters (e.g. on respiration activity and organic carbon content). </w:t>
      </w:r>
      <w:r w:rsidRPr="00EA4C9B">
        <w:rPr>
          <w:rStyle w:val="FootnoteReference"/>
        </w:rPr>
        <w:footnoteReference w:id="649"/>
      </w:r>
    </w:p>
    <w:p w14:paraId="346FEC4E" w14:textId="43584D9A" w:rsidR="00664BE6" w:rsidRPr="00EA4C9B" w:rsidRDefault="00664BE6" w:rsidP="00664BE6">
      <w:r w:rsidRPr="00EA4C9B">
        <w:t xml:space="preserve">The National Fund for Environmental Protection and Water Management (NFOŚiGW), the Provincial Funds for Environmental Protection and Water Management (WFOŚiGW), districts and municipalities receive income from these environmental taxes which is intended to support financing of activities aimed at protecting or improving the environment. </w:t>
      </w:r>
    </w:p>
    <w:p w14:paraId="44C93385" w14:textId="02C1197E" w:rsidR="00664BE6" w:rsidRPr="00EA4C9B" w:rsidRDefault="00664BE6" w:rsidP="00664BE6">
      <w:r w:rsidRPr="00EA4C9B">
        <w:t xml:space="preserve">Prior to 2018, </w:t>
      </w:r>
      <w:r w:rsidRPr="00EA4C9B">
        <w:rPr>
          <w:b/>
          <w:bCs/>
        </w:rPr>
        <w:t>taxes on water abstraction and wastewater discharges</w:t>
      </w:r>
      <w:r w:rsidRPr="00EA4C9B">
        <w:t xml:space="preserve"> were also included under the Environmental Protection Act.   However, a new Polish Water Law Act came into force in 2018, which introduced fees for water services, including abstraction and discharge of wastewater.  A new administrative authority - State Water Holding Polish Waters (Wody Polskie) was also set up to handle matters covered by the Act, including with respect to applicable fees.</w:t>
      </w:r>
      <w:r w:rsidRPr="00EA4C9B">
        <w:rPr>
          <w:rStyle w:val="FootnoteReference"/>
        </w:rPr>
        <w:footnoteReference w:id="650"/>
      </w:r>
      <w:r w:rsidRPr="00EA4C9B">
        <w:t xml:space="preserve">  </w:t>
      </w:r>
    </w:p>
    <w:p w14:paraId="75CA3E38" w14:textId="2DA5F386" w:rsidR="00664BE6" w:rsidRPr="00EA4C9B" w:rsidRDefault="00664BE6" w:rsidP="00664BE6">
      <w:r w:rsidRPr="00EA4C9B">
        <w:t>Fees are charged for water services which are defined as providing households, public entities and entities conducting business activity with the possibility of using water to the extent exceeding the scope of common, ordinary and specific use of water. The service covers water abstraction and sewage discharge to water and ground with specific mention of abstraction and wastewater discharges related to aquaculture. The fees also cover extraction of materials (e.g. stone, gravel) from surface and sea water and the reduction of natural terrain retention from construction (the “rain” tax). The latter fee is determined at the municipal level. All other fees are determined by the relevant Catchment Board (organisational unit of Wody Polskie).</w:t>
      </w:r>
    </w:p>
    <w:p w14:paraId="6AC1E06E" w14:textId="77777777" w:rsidR="00664BE6" w:rsidRPr="00EA4C9B" w:rsidRDefault="00664BE6" w:rsidP="00664BE6">
      <w:r w:rsidRPr="00EA4C9B">
        <w:t>Fees for water services consist of a fixed and variable fee with a minimum charge of 20 PLN; exemptions from the fixed fee include abstraction for irrigation and aquaculture. Variable fees differ by type of service and depend on the amount and type of water abstracted, the type and quantity of substances discharged to wastewater,</w:t>
      </w:r>
      <w:r w:rsidRPr="00EA4C9B">
        <w:rPr>
          <w:rStyle w:val="FootnoteReference"/>
        </w:rPr>
        <w:footnoteReference w:id="651"/>
      </w:r>
      <w:r w:rsidRPr="00EA4C9B">
        <w:t xml:space="preserve"> and the amount of material extracted.</w:t>
      </w:r>
      <w:r w:rsidRPr="00EA4C9B">
        <w:rPr>
          <w:rStyle w:val="FootnoteReference"/>
        </w:rPr>
        <w:footnoteReference w:id="652"/>
      </w:r>
      <w:r w:rsidRPr="00EA4C9B">
        <w:t xml:space="preserve"> From 2024, fixed fees for abstraction may be differentiated by the volume abstracted relative to available resources, ranging from 50 PLN per day to 400 PLN per day. Different variable fees are set for abstraction from groundwater and surface water and these may be further moderated depending on the processes the water is used for. Fees for groundwater abstraction of 0.115 PLN/m3 for industry and 0.068 PLN/m3 for agriculture were implemented in 2018. For wastewater discharges, a charge of 4.28 PLN per kg BOD was also introduced with additional charges for specific listed chemicals, such as volatile phenols and metals.</w:t>
      </w:r>
      <w:r w:rsidRPr="00EA4C9B">
        <w:rPr>
          <w:rStyle w:val="FootnoteReference"/>
        </w:rPr>
        <w:footnoteReference w:id="653"/>
      </w:r>
    </w:p>
    <w:p w14:paraId="2ACBBFFE" w14:textId="77777777" w:rsidR="00664BE6" w:rsidRPr="00EA4C9B" w:rsidRDefault="00664BE6" w:rsidP="00664BE6">
      <w:r w:rsidRPr="00EA4C9B">
        <w:t xml:space="preserve">One impact of the Water Law Act has been to divert revenue from voivodships, municipalities, and districts to the National Fund for Environmental Protection and Water Management (NFOŚiGW), which currently receives 90% of its income from environmental fees related to wastewater </w:t>
      </w:r>
      <w:r w:rsidRPr="00EA4C9B">
        <w:lastRenderedPageBreak/>
        <w:t>pollution.</w:t>
      </w:r>
      <w:r w:rsidRPr="00EA4C9B">
        <w:rPr>
          <w:rStyle w:val="FootnoteReference"/>
        </w:rPr>
        <w:footnoteReference w:id="654"/>
      </w:r>
      <w:r w:rsidRPr="00EA4C9B">
        <w:t xml:space="preserve"> The National Fund for Environmental Protection and Water Management funds activities to support the environment and energy transformation. </w:t>
      </w:r>
      <w:r w:rsidRPr="00EA4C9B">
        <w:rPr>
          <w:rStyle w:val="FootnoteReference"/>
        </w:rPr>
        <w:footnoteReference w:id="655"/>
      </w:r>
      <w:r w:rsidRPr="00EA4C9B">
        <w:t xml:space="preserve"> It is understood that water abstraction and pollution taxes are still reported as levies on environmental exploitation.</w:t>
      </w:r>
    </w:p>
    <w:p w14:paraId="6591398E" w14:textId="77777777" w:rsidR="00664BE6" w:rsidRPr="00EA4C9B" w:rsidRDefault="00664BE6" w:rsidP="00664BE6">
      <w:r w:rsidRPr="00EA4C9B">
        <w:t xml:space="preserve">An extended producer responsibility (EPR) scheme was established in 2002 following legislation on the obligations of entrepreneurs with regard to the management of certain waste and the </w:t>
      </w:r>
      <w:r w:rsidRPr="00EA4C9B">
        <w:rPr>
          <w:b/>
          <w:bCs/>
        </w:rPr>
        <w:t>product fee</w:t>
      </w:r>
      <w:r w:rsidRPr="00EA4C9B">
        <w:t>. This was amended in 2023 to implement the provisions of Directive 2019/904 on single use plastics.</w:t>
      </w:r>
      <w:r w:rsidRPr="00EA4C9B">
        <w:rPr>
          <w:rStyle w:val="FootnoteReference"/>
        </w:rPr>
        <w:footnoteReference w:id="656"/>
      </w:r>
      <w:r w:rsidRPr="00EA4C9B">
        <w:t xml:space="preserve"> Provisions for product fees were also introduced in legislation on batteries and accumulators (2009),  and on packaging and packaging wase management (2013).</w:t>
      </w:r>
      <w:r w:rsidRPr="00EA4C9B">
        <w:rPr>
          <w:rStyle w:val="FootnoteReference"/>
        </w:rPr>
        <w:footnoteReference w:id="657"/>
      </w:r>
      <w:r w:rsidRPr="00EA4C9B">
        <w:t xml:space="preserve"> Businesses</w:t>
      </w:r>
      <w:r w:rsidRPr="00EA4C9B">
        <w:rPr>
          <w:b/>
          <w:bCs/>
        </w:rPr>
        <w:t xml:space="preserve"> </w:t>
      </w:r>
      <w:r w:rsidRPr="00EA4C9B">
        <w:t>selling products on the Polish market are liable for a product fee if they fail to meet statutory annual levels of recovery and recycling of waste from all product packaging and from certain products. Products currently include tyres, batteries and accumulators, oils and lubricant.</w:t>
      </w:r>
    </w:p>
    <w:p w14:paraId="0F59E4F7" w14:textId="77777777" w:rsidR="00664BE6" w:rsidRPr="00EA4C9B" w:rsidRDefault="00664BE6" w:rsidP="00664BE6">
      <w:r w:rsidRPr="00EA4C9B">
        <w:t>The product fee is calculated by multiplying the difference between the achieved recycling rate (if it is below the minimum target) and the target rate by the fee rate for each packaging material.</w:t>
      </w:r>
      <w:r w:rsidRPr="00EA4C9B">
        <w:rPr>
          <w:rStyle w:val="FootnoteReference"/>
        </w:rPr>
        <w:footnoteReference w:id="658"/>
      </w:r>
      <w:r w:rsidRPr="00EA4C9B">
        <w:t xml:space="preserve"> In 2024, the product fee rate for plastic packaging was 2.70PLN/kg with a minimum recovery rate of 45% and, for single use plastics, 0.20PLN/kg.</w:t>
      </w:r>
      <w:r w:rsidRPr="00EA4C9B">
        <w:rPr>
          <w:rStyle w:val="FootnoteReference"/>
        </w:rPr>
        <w:footnoteReference w:id="659"/>
      </w:r>
    </w:p>
    <w:p w14:paraId="06B18C2F" w14:textId="77777777" w:rsidR="00664BE6" w:rsidRPr="00EA4C9B" w:rsidRDefault="00664BE6" w:rsidP="00664BE6">
      <w:r w:rsidRPr="00EA4C9B">
        <w:t>In line with levies on environmental exploitation, businesses calculate the product fee to be paid and transfer it to the Marshall’s Office in the relevant province. Revenue from these fees is predominantly used to finance the National Fund for Environmental Protection and Water Management.</w:t>
      </w:r>
      <w:r w:rsidRPr="00EA4C9B">
        <w:rPr>
          <w:rStyle w:val="FootnoteReference"/>
        </w:rPr>
        <w:footnoteReference w:id="660"/>
      </w:r>
      <w:r w:rsidRPr="00EA4C9B">
        <w:t xml:space="preserve"> Packaging Recycling Notes are provided by recyclers to businesses or Product Recovery Organisations (PROs)</w:t>
      </w:r>
      <w:r w:rsidRPr="00EA4C9B">
        <w:rPr>
          <w:rStyle w:val="FootnoteReference"/>
        </w:rPr>
        <w:footnoteReference w:id="661"/>
      </w:r>
      <w:r w:rsidRPr="00EA4C9B">
        <w:t xml:space="preserve"> to prove the level of recycling achieved. PROs are also subject to a product fee if they do not achieve certain levels of recycling for household packaging waste.</w:t>
      </w:r>
      <w:r w:rsidRPr="00EA4C9B">
        <w:rPr>
          <w:rStyle w:val="FootnoteReference"/>
        </w:rPr>
        <w:footnoteReference w:id="662"/>
      </w:r>
    </w:p>
    <w:p w14:paraId="645BA03E" w14:textId="44FBA381" w:rsidR="00664BE6" w:rsidRPr="00EA4C9B" w:rsidRDefault="00664BE6" w:rsidP="00664BE6">
      <w:r w:rsidRPr="00EA4C9B">
        <w:t>Product fees are also charged in relation to the production of electronic and electrical equipment that do not satisfy recovery and recycling requirements.  Under certain circumstances entities supplying vehicles to the Polish market and individuals importing vehicles for their own use are obliged to provide a system for the collection of end-of-life vehicles and are liable for a fee if they do not do so. Proceeds from these product fees go to the National Fund for Environmental Protection and Water Management.</w:t>
      </w:r>
      <w:r w:rsidRPr="00EA4C9B">
        <w:rPr>
          <w:rStyle w:val="FootnoteReference"/>
        </w:rPr>
        <w:footnoteReference w:id="663"/>
      </w:r>
      <w:r w:rsidR="00623389">
        <w:rPr>
          <w:vertAlign w:val="superscript"/>
        </w:rPr>
        <w:t>,</w:t>
      </w:r>
      <w:r w:rsidRPr="00EA4C9B">
        <w:rPr>
          <w:rStyle w:val="FootnoteReference"/>
        </w:rPr>
        <w:footnoteReference w:id="664"/>
      </w:r>
    </w:p>
    <w:p w14:paraId="2A1F5B11" w14:textId="1EFF95F3" w:rsidR="00664BE6" w:rsidRPr="00EA4C9B" w:rsidRDefault="00664BE6" w:rsidP="00664BE6">
      <w:pPr>
        <w:rPr>
          <w:b/>
          <w:bCs/>
        </w:rPr>
      </w:pPr>
      <w:r w:rsidRPr="00EA4C9B">
        <w:lastRenderedPageBreak/>
        <w:t xml:space="preserve">Legislation was introduced in 2015 that provides for </w:t>
      </w:r>
      <w:r w:rsidRPr="00EA4C9B">
        <w:rPr>
          <w:b/>
          <w:bCs/>
        </w:rPr>
        <w:t>penalties and fees</w:t>
      </w:r>
      <w:r w:rsidRPr="00EA4C9B">
        <w:t xml:space="preserve"> in relation to the use, marketing, recovery, recycling and disposal of </w:t>
      </w:r>
      <w:r w:rsidRPr="00EA4C9B">
        <w:rPr>
          <w:b/>
          <w:bCs/>
        </w:rPr>
        <w:t>ozone-depleting substances</w:t>
      </w:r>
      <w:r w:rsidRPr="00EA4C9B">
        <w:t xml:space="preserve"> and fluorinated greenhouse gases (the so-called F-gases). These apply to companies using ozone depleting substances, predominantly in refrigeration and air conditioning industry, fire protection systems or producing electronics and industrial gases.  Penalties apply for infringements of regulations implemented by the act, including improper handling of substances covered, lack of certification for staff and companies and lack of reporting or record keeping. Administrative fines range from 600 PLN to 45000 PLN depending on the infringement. </w:t>
      </w:r>
      <w:r w:rsidRPr="00EA4C9B">
        <w:rPr>
          <w:rStyle w:val="FootnoteReference"/>
        </w:rPr>
        <w:footnoteReference w:id="665"/>
      </w:r>
    </w:p>
    <w:p w14:paraId="0FF56E46" w14:textId="77777777" w:rsidR="00664BE6" w:rsidRPr="00EA4C9B" w:rsidRDefault="00664BE6" w:rsidP="00664BE6">
      <w:r w:rsidRPr="00EA4C9B">
        <w:t>The legislation governing levies on environmental exploitation and product fees also provide for increased fees and additional fees or fines, some of which have been mentioned above. Increased fees are applied to entities that do not have the right permits or decisions for use of the environment, such as permits for emissions to air.  Additional fees are incurred for late payments or underpayments, or non-compliance with legislation</w:t>
      </w:r>
      <w:r w:rsidRPr="00EA4C9B">
        <w:rPr>
          <w:rStyle w:val="FootnoteReference"/>
        </w:rPr>
        <w:footnoteReference w:id="666"/>
      </w:r>
      <w:r w:rsidRPr="00EA4C9B">
        <w:t xml:space="preserve">. It is understood that these fees and fines are classified as </w:t>
      </w:r>
      <w:r w:rsidRPr="00EA4C9B">
        <w:rPr>
          <w:b/>
          <w:bCs/>
        </w:rPr>
        <w:t>other statutory payments to the National Fund for Environmental Protection and Water Management</w:t>
      </w:r>
      <w:r w:rsidRPr="00EA4C9B">
        <w:t xml:space="preserve">, although this is not fully clear. </w:t>
      </w:r>
      <w:r w:rsidRPr="00EA4C9B">
        <w:rPr>
          <w:rStyle w:val="FootnoteReference"/>
        </w:rPr>
        <w:footnoteReference w:id="667"/>
      </w:r>
      <w:r w:rsidRPr="00EA4C9B">
        <w:t xml:space="preserve">  In addition, revenues from environmental charges may also include interest for overdue payments and recovered costs of enforcement proceedings, among others.</w:t>
      </w:r>
      <w:r w:rsidRPr="00EA4C9B">
        <w:rPr>
          <w:rStyle w:val="FootnoteReference"/>
        </w:rPr>
        <w:footnoteReference w:id="668"/>
      </w:r>
      <w:r w:rsidRPr="00EA4C9B">
        <w:t xml:space="preserve"> Statutory payments account for more than one third of pollution tax revenue. </w:t>
      </w:r>
    </w:p>
    <w:p w14:paraId="559437C3" w14:textId="77777777" w:rsidR="00664BE6" w:rsidRPr="00EA4C9B" w:rsidRDefault="00664BE6" w:rsidP="00664BE6">
      <w:r w:rsidRPr="00EA4C9B">
        <w:t xml:space="preserve">Most taxation related to waste management is included in the environmental exploitation levies and product fees outlined above. Since 2019 there has been a separate recycling fee for </w:t>
      </w:r>
      <w:r w:rsidRPr="00EA4C9B">
        <w:rPr>
          <w:b/>
          <w:bCs/>
        </w:rPr>
        <w:t xml:space="preserve">plastic shopping bags. </w:t>
      </w:r>
      <w:r w:rsidRPr="00EA4C9B">
        <w:t>The fee, charged to individuals purchasing the bags, is then transferred to the Marshall Office every three months. The recycling fee rate is 0.2 PLN/unit, regardless of thickness.</w:t>
      </w:r>
      <w:r w:rsidRPr="00EA4C9B">
        <w:rPr>
          <w:rStyle w:val="FootnoteReference"/>
        </w:rPr>
        <w:footnoteReference w:id="669"/>
      </w:r>
    </w:p>
    <w:p w14:paraId="322C26DB" w14:textId="63BEE245" w:rsidR="00664BE6" w:rsidRPr="00EA4C9B" w:rsidRDefault="00664BE6" w:rsidP="00664BE6">
      <w:r w:rsidRPr="00EA4C9B">
        <w:t>No revenues are reported for</w:t>
      </w:r>
      <w:r w:rsidRPr="00EA4C9B">
        <w:rPr>
          <w:b/>
          <w:bCs/>
        </w:rPr>
        <w:t xml:space="preserve"> receipts for waste management </w:t>
      </w:r>
      <w:r w:rsidRPr="00EA4C9B">
        <w:t>in the Eurostat national tax list for Poland.  According to data from the Ministry of Climate and Environment, Poland has a PAYT system for municipal waste from non-household waste producers, which is based on collection frequency and the declared number of bags or containers.</w:t>
      </w:r>
      <w:r w:rsidRPr="00EA4C9B">
        <w:rPr>
          <w:rStyle w:val="FootnoteReference"/>
        </w:rPr>
        <w:footnoteReference w:id="670"/>
      </w:r>
      <w:r w:rsidRPr="00EA4C9B">
        <w:t xml:space="preserve"> </w:t>
      </w:r>
    </w:p>
    <w:p w14:paraId="62DB726D" w14:textId="77777777" w:rsidR="00664BE6" w:rsidRPr="00EA4C9B" w:rsidRDefault="00664BE6" w:rsidP="00664BE6">
      <w:r w:rsidRPr="00EA4C9B">
        <w:rPr>
          <w:b/>
          <w:bCs/>
        </w:rPr>
        <w:t>Fees for the removal of trees and shrubs</w:t>
      </w:r>
      <w:r w:rsidRPr="00EA4C9B">
        <w:t xml:space="preserve"> are charged when plants growing in urban, public or private areas are removed, and the felling is not related to forestry activities. Fees depend on the type and diameter of trees and are set by and paid to the municipality. This tax has been in force since 1992.</w:t>
      </w:r>
    </w:p>
    <w:p w14:paraId="17C1BBC2" w14:textId="77777777" w:rsidR="00664BE6" w:rsidRPr="00EA4C9B" w:rsidRDefault="00664BE6" w:rsidP="00664BE6">
      <w:pPr>
        <w:pStyle w:val="Heading4"/>
      </w:pPr>
      <w:r w:rsidRPr="00EA4C9B">
        <w:lastRenderedPageBreak/>
        <w:t>Fees and other related instruments</w:t>
      </w:r>
    </w:p>
    <w:p w14:paraId="7E4CB420" w14:textId="4E283CBB" w:rsidR="00664BE6" w:rsidRPr="00EA4C9B" w:rsidRDefault="00664BE6" w:rsidP="00664BE6">
      <w:r w:rsidRPr="00EA4C9B">
        <w:t xml:space="preserve">Fees for mineral extraction are not included as an environmental tax in the Eurostat national tax list for Poland.  </w:t>
      </w:r>
      <w:r w:rsidRPr="00EA4C9B">
        <w:rPr>
          <w:b/>
          <w:bCs/>
        </w:rPr>
        <w:t>A tax on the extraction of certain minerals</w:t>
      </w:r>
      <w:r w:rsidRPr="00EA4C9B">
        <w:t xml:space="preserve"> has been force since 2012. It covers copper and silver extraction and the tax is determined from a formula based on the daily exchange price per kilogram and the amount of these metals in the produced concentrate or ore. The tax is collected by the National Revenue Administration.  The tax was also extended to crude oil and natural gas in 2016. The tax rate on the extraction of copper and silver was reduced by 15% in 2019 to reduce the burden on businesses engaging in mining activities.</w:t>
      </w:r>
      <w:r w:rsidRPr="00EA4C9B">
        <w:rPr>
          <w:rStyle w:val="FootnoteReference"/>
        </w:rPr>
        <w:footnoteReference w:id="671"/>
      </w:r>
      <w:r w:rsidRPr="00EA4C9B">
        <w:t xml:space="preserve"> An </w:t>
      </w:r>
      <w:r w:rsidRPr="00EA4C9B">
        <w:rPr>
          <w:b/>
          <w:bCs/>
        </w:rPr>
        <w:t>exploitation fee on mineral extraction</w:t>
      </w:r>
      <w:r w:rsidRPr="00EA4C9B">
        <w:t xml:space="preserve"> has also been in force since 2002. The fee paid by mining companies is calculated by multiplying the royalty rate for the mineral type and quantity of minerals extracted in the accounting period. In 2011, for example, alabaster was subject to a fee of 2.98 PLN/tonne.</w:t>
      </w:r>
      <w:r w:rsidRPr="00EA4C9B">
        <w:rPr>
          <w:rStyle w:val="FootnoteReference"/>
        </w:rPr>
        <w:footnoteReference w:id="672"/>
      </w:r>
      <w:r w:rsidRPr="00EA4C9B">
        <w:t xml:space="preserve"> Fees are paid to the National Fund (40%) and relevant municipalities (60%).</w:t>
      </w:r>
      <w:r w:rsidRPr="00EA4C9B">
        <w:rPr>
          <w:rStyle w:val="FootnoteReference"/>
        </w:rPr>
        <w:footnoteReference w:id="673"/>
      </w:r>
      <w:r w:rsidRPr="00EA4C9B">
        <w:t xml:space="preserve"> Analysis by Ochot (2022) suggests that including mineral exploitation taxes with pollution and resource taxes would almost double their value.</w:t>
      </w:r>
      <w:r w:rsidRPr="00EA4C9B">
        <w:rPr>
          <w:rStyle w:val="FootnoteReference"/>
        </w:rPr>
        <w:footnoteReference w:id="674"/>
      </w:r>
      <w:r w:rsidRPr="00EA4C9B">
        <w:rPr>
          <w:rStyle w:val="FootnoteReference"/>
        </w:rPr>
        <w:footnoteReference w:id="675"/>
      </w:r>
      <w:r w:rsidRPr="00EA4C9B">
        <w:t xml:space="preserve"> The mineral exploitation fee is considered a rent derived from resources and not a tax but can be regarded as having a pro-environmental financial load with proceeds earmarked for environmental projects.</w:t>
      </w:r>
      <w:r w:rsidRPr="00EA4C9B">
        <w:rPr>
          <w:rStyle w:val="FootnoteReference"/>
        </w:rPr>
        <w:footnoteReference w:id="676"/>
      </w:r>
      <w:r w:rsidRPr="00EA4C9B">
        <w:t xml:space="preserve"> A comparative study by Malecki (2016) notes that some pro-ecological tax solutions used in Poland, such as mining fees (along with a deduction from the value of timber sales and waste storage fees)  were not included in the list of environmentally related taxes adopted by the Polish Central Statistical Office for the purposes of Eurostat reporting but are reported by other Member States.</w:t>
      </w:r>
      <w:r w:rsidRPr="00EA4C9B">
        <w:rPr>
          <w:rStyle w:val="FootnoteReference"/>
        </w:rPr>
        <w:footnoteReference w:id="677"/>
      </w:r>
    </w:p>
    <w:p w14:paraId="5FA727BC" w14:textId="14D2E884" w:rsidR="00664BE6" w:rsidRPr="00EA4C9B" w:rsidRDefault="00664BE6" w:rsidP="00664BE6">
      <w:r w:rsidRPr="00EA4C9B">
        <w:t xml:space="preserve">Under the Act on maintaining cleanliness and order in municipalities, municipalities can apply an increased </w:t>
      </w:r>
      <w:r w:rsidRPr="00EA4C9B">
        <w:rPr>
          <w:b/>
          <w:bCs/>
        </w:rPr>
        <w:t>waste management fee</w:t>
      </w:r>
      <w:r w:rsidRPr="00EA4C9B">
        <w:t>, two to four times higher than the regular rate, for property owners who do not fulfil the obligation to sort municipal waste at source. The waste management fee can also be reduced in proportion to the reduction in municipal waste management costs for properties home-composting bio-waste.</w:t>
      </w:r>
      <w:r w:rsidRPr="00EA4C9B">
        <w:rPr>
          <w:rStyle w:val="FootnoteReference"/>
        </w:rPr>
        <w:footnoteReference w:id="678"/>
      </w:r>
      <w:r w:rsidRPr="00EA4C9B">
        <w:t xml:space="preserve"> The waste management fee is a charge for a service and these amendments can be considered to reflect the level of service provided as well encouraging behaviour change to reduce the environmental impact of the property owners. </w:t>
      </w:r>
      <w:r w:rsidR="00C20A7B" w:rsidRPr="00C20A7B">
        <w:t>In 2019, a partial exemption from the waste fee was introduced for property owners who practice home composting, helping municipalities more effectively monitor home composting activities</w:t>
      </w:r>
      <w:r w:rsidR="00C20A7B">
        <w:t>.</w:t>
      </w:r>
      <w:r w:rsidR="00C20A7B">
        <w:rPr>
          <w:rStyle w:val="FootnoteReference"/>
        </w:rPr>
        <w:footnoteReference w:id="679"/>
      </w:r>
    </w:p>
    <w:p w14:paraId="2AAC37BB" w14:textId="77777777" w:rsidR="00664BE6" w:rsidRPr="00EA4C9B" w:rsidRDefault="00664BE6" w:rsidP="00664BE6">
      <w:r w:rsidRPr="00EA4C9B">
        <w:t xml:space="preserve">The 2023 legislation on single use plastics requires a fee to be charged to cover costs for waste collection, cleaning, transport and processing of disposable plastic items. This fee, introduced in 2024, is based on the fee rate per product type and the weight or number of disposable items placed on the </w:t>
      </w:r>
      <w:r w:rsidRPr="00EA4C9B">
        <w:lastRenderedPageBreak/>
        <w:t>market with a maximum of 1 PLN per piece.</w:t>
      </w:r>
      <w:r w:rsidRPr="00EA4C9B">
        <w:rPr>
          <w:rStyle w:val="FootnoteReference"/>
        </w:rPr>
        <w:footnoteReference w:id="680"/>
      </w:r>
      <w:r w:rsidRPr="00EA4C9B">
        <w:t xml:space="preserve"> This charge does not form part of the Eurostat tax data presented in this factsheet. Administrative penalties of up to 500,000 PLN are also foreseen.</w:t>
      </w:r>
      <w:r w:rsidRPr="00EA4C9B">
        <w:rPr>
          <w:rStyle w:val="FootnoteReference"/>
        </w:rPr>
        <w:footnoteReference w:id="681"/>
      </w:r>
    </w:p>
    <w:p w14:paraId="2BE2D202" w14:textId="77777777" w:rsidR="00664BE6" w:rsidRPr="00EA4C9B" w:rsidRDefault="00664BE6" w:rsidP="00664BE6">
      <w:r w:rsidRPr="00EA4C9B">
        <w:t xml:space="preserve">Poland has two types of fees that relate to stays in tourist locations. The main difference between locations being able to charge the </w:t>
      </w:r>
      <w:r w:rsidRPr="00EA4C9B">
        <w:rPr>
          <w:b/>
          <w:bCs/>
        </w:rPr>
        <w:t>spa fee and local fee</w:t>
      </w:r>
      <w:r w:rsidRPr="00EA4C9B">
        <w:t xml:space="preserve"> is the presence of health resort treatment facilities. Since the beginning of 2006 the local fee has been collected from individuals for each day of their stay (over 24 hours) for rest, training or tourist purposes in the resorts with beneficial climatic conditions, landscape values and conditions suitable for such purposes. The fee rate is set locally up to a maximum determined annually by the national government.</w:t>
      </w:r>
      <w:r w:rsidRPr="00EA4C9B">
        <w:rPr>
          <w:rStyle w:val="FootnoteReference"/>
        </w:rPr>
        <w:footnoteReference w:id="682"/>
      </w:r>
      <w:r w:rsidRPr="00EA4C9B">
        <w:t xml:space="preserve"> The local fee can be seen as a fee for the use of natural resources or to cover the additional costs to municipalities of these visitors but fee income received by municipalities is not necessarily earmarked for a particular purpose.</w:t>
      </w:r>
      <w:r w:rsidRPr="00EA4C9B">
        <w:rPr>
          <w:rStyle w:val="FootnoteReference"/>
        </w:rPr>
        <w:footnoteReference w:id="683"/>
      </w:r>
    </w:p>
    <w:p w14:paraId="379F5EBC" w14:textId="794474A1" w:rsidR="00664BE6" w:rsidRPr="00EA4C9B" w:rsidRDefault="00664BE6" w:rsidP="00664BE6">
      <w:r w:rsidRPr="00EA4C9B">
        <w:t xml:space="preserve">Poland has a voluntary </w:t>
      </w:r>
      <w:r w:rsidRPr="00EA4C9B">
        <w:rPr>
          <w:b/>
          <w:bCs/>
        </w:rPr>
        <w:t>deposit refund system (DRS)</w:t>
      </w:r>
      <w:r w:rsidRPr="00EA4C9B">
        <w:t xml:space="preserve"> system covering some specific glass drink bottles which is run by the largest Polish breweries. The deposit in this system is 0.5 PLN per bottle.</w:t>
      </w:r>
      <w:r w:rsidRPr="00EA4C9B">
        <w:rPr>
          <w:rStyle w:val="FootnoteReference"/>
        </w:rPr>
        <w:footnoteReference w:id="684"/>
      </w:r>
      <w:r w:rsidRPr="00EA4C9B">
        <w:t xml:space="preserve"> A mandatory DRS is due to come into force in October 2025, following a new law amending the Act on packaging and packaging waste passed in 2023. All points of sale will be obliged to charge the deposit, which will be refunded on return of the packaging to any collection point. </w:t>
      </w:r>
      <w:r w:rsidRPr="00EA4C9B">
        <w:rPr>
          <w:rStyle w:val="FootnoteReference"/>
        </w:rPr>
        <w:footnoteReference w:id="685"/>
      </w:r>
    </w:p>
    <w:p w14:paraId="78021B20" w14:textId="78AEA746" w:rsidR="00664BE6" w:rsidRPr="00EA4C9B" w:rsidRDefault="00664BE6" w:rsidP="00623389">
      <w:pPr>
        <w:pStyle w:val="Heading4"/>
      </w:pPr>
      <w:r w:rsidRPr="00EA4C9B">
        <w:t>Proposed or postponed environmental taxes</w:t>
      </w:r>
    </w:p>
    <w:p w14:paraId="03D789BF" w14:textId="77777777" w:rsidR="00664BE6" w:rsidRPr="00EA4C9B" w:rsidRDefault="00664BE6" w:rsidP="00664BE6">
      <w:r w:rsidRPr="00EA4C9B">
        <w:t>Hogg et al (2016) report that a proposal for a pay-as-you-throw charge on municipal waste in Poland was rejected due to concerns that the law would encourage households to burn waste in domestic heaters rather than pay for additional costs.</w:t>
      </w:r>
    </w:p>
    <w:p w14:paraId="7ECC263F" w14:textId="77777777" w:rsidR="00664BE6" w:rsidRPr="00EA4C9B" w:rsidRDefault="00664BE6" w:rsidP="00623389">
      <w:pPr>
        <w:pStyle w:val="Heading4"/>
      </w:pPr>
      <w:r w:rsidRPr="00EA4C9B">
        <w:t>Inconsistencies and inefficiencies in the current tax system</w:t>
      </w:r>
    </w:p>
    <w:p w14:paraId="78E43220" w14:textId="2CFB64FB" w:rsidR="00664BE6" w:rsidRPr="00EA4C9B" w:rsidRDefault="00664BE6" w:rsidP="00664BE6">
      <w:r w:rsidRPr="00EA4C9B">
        <w:t>A number of environmentally harmful subsidies have been identified for Poland. Rebates are made to farmers to offset the tax imposed on diesel in agriculture, reducing incentives to change to less polluting fuel options or to save energy. In 2022, the subsidy was around 16%.  The total rebate has increased steadily over time, reaching  EUR 201,295,630 in 2020, a 44% increase from its 2011 value.</w:t>
      </w:r>
      <w:r w:rsidRPr="00EA4C9B">
        <w:rPr>
          <w:rStyle w:val="FootnoteReference"/>
        </w:rPr>
        <w:footnoteReference w:id="686"/>
      </w:r>
      <w:r w:rsidRPr="00EA4C9B">
        <w:t xml:space="preserve"> Company cars, which make up 25% of the car fleet, are also subsidised. It is estimated that removing this subsidy would amount to a reduction of 580 to 870 thousand tonnes of CO</w:t>
      </w:r>
      <w:r w:rsidRPr="00EA4C9B">
        <w:rPr>
          <w:vertAlign w:val="subscript"/>
        </w:rPr>
        <w:t>2</w:t>
      </w:r>
      <w:r w:rsidRPr="00EA4C9B">
        <w:t xml:space="preserve"> each year. </w:t>
      </w:r>
    </w:p>
    <w:p w14:paraId="6563DD66" w14:textId="30DDC4EC" w:rsidR="00664BE6" w:rsidRPr="00EA4C9B" w:rsidRDefault="00664BE6" w:rsidP="00664BE6">
      <w:r w:rsidRPr="00EA4C9B">
        <w:t xml:space="preserve">Energy tax rates are mainly aligned with their carbon content for electricity, transport fuels and industry - with the discrepancy between diesel and petrol taxation being limited – but not for commercial and household heating. Other vehicle taxes, such as registration, are not related to emissions. </w:t>
      </w:r>
      <w:r w:rsidRPr="00EA4C9B">
        <w:rPr>
          <w:rStyle w:val="FootnoteReference"/>
        </w:rPr>
        <w:footnoteReference w:id="687"/>
      </w:r>
    </w:p>
    <w:p w14:paraId="433181EC" w14:textId="77777777" w:rsidR="00664BE6" w:rsidRPr="00EA4C9B" w:rsidRDefault="00664BE6" w:rsidP="00664BE6">
      <w:r w:rsidRPr="00EA4C9B">
        <w:t xml:space="preserve">Preferential VAT rates are also applied to several good and services that are related to resources currently considered to be heavily exploited. These include water supply and wastewater collection services, fertilisers and pesticides, agricultural products and forestry services, as well as air transport. Inconsistencies in the application of real estate taxes have also been noted. While exemptions are </w:t>
      </w:r>
      <w:r w:rsidRPr="00EA4C9B">
        <w:lastRenderedPageBreak/>
        <w:t>available for areas that constitute valuable natural resources and agricultural tax relief for the construction or modernisation of facilities for environmental protection or production of energy from natural resources, the conversion of agricultural to building land is incentivised by low real estate taxes (based on usable area and not value).</w:t>
      </w:r>
      <w:r w:rsidRPr="00EA4C9B">
        <w:rPr>
          <w:rStyle w:val="FootnoteReference"/>
        </w:rPr>
        <w:t xml:space="preserve"> </w:t>
      </w:r>
      <w:r w:rsidRPr="00EA4C9B">
        <w:rPr>
          <w:rStyle w:val="FootnoteReference"/>
        </w:rPr>
        <w:footnoteReference w:id="688"/>
      </w:r>
    </w:p>
    <w:p w14:paraId="5D521BD7" w14:textId="77777777" w:rsidR="00664BE6" w:rsidRPr="00EA4C9B" w:rsidRDefault="00664BE6" w:rsidP="00664BE6">
      <w:pPr>
        <w:pStyle w:val="Heading4"/>
      </w:pPr>
      <w:r w:rsidRPr="00EA4C9B">
        <w:t>Conclusions, country-specific recommendations and reform progress</w:t>
      </w:r>
    </w:p>
    <w:p w14:paraId="3202F088" w14:textId="77777777" w:rsidR="00664BE6" w:rsidRPr="00EA4C9B" w:rsidRDefault="00664BE6" w:rsidP="00664BE6">
      <w:r w:rsidRPr="00EA4C9B">
        <w:t>Environmental fees were introduced in Poland following the Act of 31 January 1980 on the Protection and Management of the Environment. The aim of the national system was to minimise environmental harm and to restore the environment through enacting the polluter pays principle.</w:t>
      </w:r>
      <w:r w:rsidRPr="00EA4C9B">
        <w:rPr>
          <w:rStyle w:val="FootnoteReference"/>
        </w:rPr>
        <w:footnoteReference w:id="689"/>
      </w:r>
      <w:r w:rsidRPr="00EA4C9B">
        <w:t xml:space="preserve"> The subsequent creation of the National Fund in 1989 to deliver on environmental objectives using funding from environmental levies set a precedent for other transition countries. This was followed by a period of interest in environmental fiscal reform with tax reform proposals envisioned that would be based on external cost calculations in key sectors and corresponding reductions in labour taxes.</w:t>
      </w:r>
      <w:r w:rsidRPr="00EA4C9B">
        <w:rPr>
          <w:rStyle w:val="FootnoteReference"/>
        </w:rPr>
        <w:footnoteReference w:id="690"/>
      </w:r>
      <w:r w:rsidRPr="00EA4C9B">
        <w:t xml:space="preserve"> </w:t>
      </w:r>
    </w:p>
    <w:p w14:paraId="35D25AB0" w14:textId="77777777" w:rsidR="00664BE6" w:rsidRPr="00EA4C9B" w:rsidRDefault="00664BE6" w:rsidP="00664BE6">
      <w:r w:rsidRPr="00EA4C9B">
        <w:t>Tax revenues in Poland as a percentage of GPD were lower than the EU average in 2022, mainly due to a lower share of labour taxes and greater reliance on consumption taxes.</w:t>
      </w:r>
      <w:r w:rsidRPr="00EA4C9B">
        <w:rPr>
          <w:rStyle w:val="FootnoteReference"/>
        </w:rPr>
        <w:footnoteReference w:id="691"/>
      </w:r>
      <w:r w:rsidRPr="00EA4C9B">
        <w:t xml:space="preserve"> While changes to the tax system in terms of the number of environmental fees and ways of financing the National Fund have been introduced since the 2001 Environmental Protection Act, analysis by Cieslukowski et al (2024) indicates that there is no evidence of the substitution of direct taxes for environmental ones, with social security contributions accounting for around 35% of tax revenues, income tax for 20% and environmental tax (including energy and transport) 8% over the period 2007 to 2021. They also point to potentially environmentally harmful preferential VAT rates on a number of goods and services including water supply and wastewater collection services, fertilisers, pesticides and food. Low real estate tax also provides an incentive to develop agricultural land and green spaces.</w:t>
      </w:r>
    </w:p>
    <w:p w14:paraId="61EDDE23" w14:textId="77777777" w:rsidR="00664BE6" w:rsidRPr="00EA4C9B" w:rsidRDefault="00664BE6" w:rsidP="00664BE6">
      <w:r w:rsidRPr="00EA4C9B">
        <w:t>Total environmental taxes (including energy and transport) as a share of GDP were slightly higher than the EU average for the period 2007 to 2021 at 2.6% compared to 2.4% and also account for a higher share of total tax revenue. This was mainly driven by energy taxes but pollution and resource tax shares, although much smaller, also exceeded the EU average.</w:t>
      </w:r>
      <w:r w:rsidRPr="00EA4C9B">
        <w:rPr>
          <w:rStyle w:val="FootnoteReference"/>
        </w:rPr>
        <w:t xml:space="preserve"> </w:t>
      </w:r>
      <w:r w:rsidRPr="00EA4C9B">
        <w:t xml:space="preserve"> The opposite is seen for transport taxes.</w:t>
      </w:r>
      <w:r w:rsidRPr="00EA4C9B">
        <w:rPr>
          <w:rStyle w:val="FootnoteReference"/>
        </w:rPr>
        <w:footnoteReference w:id="692"/>
      </w:r>
      <w:r w:rsidRPr="00EA4C9B">
        <w:t xml:space="preserve"> This, together with the small share of pollution and resource taxes in environmental taxes (3.2%) indicates there could be potential to strengthen the polluter pays principle in these areas.</w:t>
      </w:r>
      <w:r w:rsidRPr="00EA4C9B">
        <w:rPr>
          <w:rStyle w:val="FootnoteReference"/>
        </w:rPr>
        <w:footnoteReference w:id="693"/>
      </w:r>
    </w:p>
    <w:p w14:paraId="7D6FDA80" w14:textId="35760D46" w:rsidR="00664BE6" w:rsidRPr="00EA4C9B" w:rsidRDefault="00664BE6" w:rsidP="00664BE6">
      <w:r w:rsidRPr="00EA4C9B">
        <w:t xml:space="preserve">The taxation system for pollution and resource taxes in Poland relies extensively on entities calculating their own fees. Rogulski (2015) notes that reporting and fee collection in Poland involves a large number of entities and brings in substantial revenue (in comparison to other European countries) that is spent on pro-environmental actions via the National Fund. However, an examination of Poland’s pollution taxes found these do not effectively reduce emissions or improve economic sustainability, with exemptions </w:t>
      </w:r>
      <w:r w:rsidR="002E02F0" w:rsidRPr="00EA4C9B">
        <w:t>and system</w:t>
      </w:r>
      <w:r w:rsidRPr="00EA4C9B">
        <w:t xml:space="preserve"> design cited as explanatory factors.</w:t>
      </w:r>
      <w:r w:rsidRPr="00EA4C9B">
        <w:rPr>
          <w:rStyle w:val="FootnoteReference"/>
        </w:rPr>
        <w:footnoteReference w:id="694"/>
      </w:r>
      <w:r w:rsidRPr="00EA4C9B">
        <w:t xml:space="preserve"> There was a marked decrease in the number of entities reporting and paying fees from 2015 to 2016. Hence reported reductions in revenues related to emissions to air may be largely due to the reduced number of </w:t>
      </w:r>
      <w:r w:rsidR="002E02F0" w:rsidRPr="00EA4C9B">
        <w:t>taxpayers</w:t>
      </w:r>
      <w:r w:rsidRPr="00EA4C9B">
        <w:t xml:space="preserve"> rather than actions taken to improve environmental performance. Industry GHG emissions under the ETS </w:t>
      </w:r>
      <w:r w:rsidRPr="00EA4C9B">
        <w:lastRenderedPageBreak/>
        <w:t>increased by 15% from 2013 to 2023, although power sector emissions decreased.</w:t>
      </w:r>
      <w:r w:rsidRPr="00EA4C9B">
        <w:rPr>
          <w:rStyle w:val="FootnoteReference"/>
        </w:rPr>
        <w:footnoteReference w:id="695"/>
      </w:r>
      <w:r w:rsidRPr="00EA4C9B">
        <w:t xml:space="preserve"> The system also relies on inspection and verification of entities to determine whether they should pay fees and not all can be verified for organisational and financial reasons.  It is estimated that around 500 thousand enterprises undertake industrial or construction activities in Poland. The number paying fees has remained stable at around 30 thousand.</w:t>
      </w:r>
      <w:r w:rsidRPr="00EA4C9B">
        <w:rPr>
          <w:rStyle w:val="FootnoteReference"/>
        </w:rPr>
        <w:footnoteReference w:id="696"/>
      </w:r>
    </w:p>
    <w:p w14:paraId="471E4F05" w14:textId="77777777" w:rsidR="00664BE6" w:rsidRPr="00EA4C9B" w:rsidRDefault="00664BE6" w:rsidP="00664BE6">
      <w:r w:rsidRPr="00EA4C9B">
        <w:t>The country specific recommendations (CSRs) for Poland provide guidance on areas where pollution and resource taxation could be used to support environmental objectives, focusing on waste and water management, the use of circular materials and pollution from industry and agriculture.</w:t>
      </w:r>
      <w:r w:rsidRPr="00EA4C9B">
        <w:rPr>
          <w:rStyle w:val="FootnoteReference"/>
        </w:rPr>
        <w:footnoteReference w:id="697"/>
      </w:r>
      <w:r w:rsidRPr="00EA4C9B">
        <w:t xml:space="preserve"> More specific taxation reforms were proposed by Hogg et al. (2016) in their study assessing the environmental fiscal reform potential of EU Member States, which can be compared to changes in taxation implemented in the intervening period.</w:t>
      </w:r>
    </w:p>
    <w:p w14:paraId="70CA49A8" w14:textId="47E0BF7E" w:rsidR="00664BE6" w:rsidRPr="00EA4C9B" w:rsidRDefault="00664BE6" w:rsidP="00664BE6">
      <w:r w:rsidRPr="00EA4C9B">
        <w:t xml:space="preserve">The EU recommended improvements in waste management as part of the CSRs for Poland with some progress made over the past decade. Hogg et al. (2016) note that, since 2008, landfill taxes have provided incentives for improved waste management through increased recycling and proposed taxes could be increased to 50 </w:t>
      </w:r>
      <w:r w:rsidRPr="00EA4C9B">
        <w:rPr>
          <w:rFonts w:cstheme="minorHAnsi"/>
        </w:rPr>
        <w:t>€</w:t>
      </w:r>
      <w:r w:rsidRPr="00EA4C9B">
        <w:t xml:space="preserve">/tonne by 2019.  Landfill taxes increased in 2018 and were around 70 </w:t>
      </w:r>
      <w:r w:rsidRPr="00EA4C9B">
        <w:rPr>
          <w:rFonts w:cstheme="minorHAnsi"/>
        </w:rPr>
        <w:t>€</w:t>
      </w:r>
      <w:r w:rsidRPr="00EA4C9B">
        <w:t xml:space="preserve">/tonne in 2023. </w:t>
      </w:r>
      <w:r w:rsidR="00913125">
        <w:t xml:space="preserve">While </w:t>
      </w:r>
      <w:r w:rsidR="005E05E0">
        <w:t xml:space="preserve">no evidence has been </w:t>
      </w:r>
      <w:r w:rsidR="00530A8B">
        <w:t xml:space="preserve">reviewed linking </w:t>
      </w:r>
      <w:r w:rsidR="00675A36">
        <w:t xml:space="preserve">landfill taxes to illegal landfilling, </w:t>
      </w:r>
      <w:r w:rsidR="00F70288">
        <w:t>illegal landfilling has been identified as an increasing problem in Poland.</w:t>
      </w:r>
      <w:r w:rsidR="00F70288">
        <w:rPr>
          <w:rStyle w:val="FootnoteReference"/>
        </w:rPr>
        <w:footnoteReference w:id="698"/>
      </w:r>
      <w:r w:rsidR="00675A36">
        <w:t xml:space="preserve"> </w:t>
      </w:r>
    </w:p>
    <w:p w14:paraId="1B789FE1" w14:textId="77777777" w:rsidR="00664BE6" w:rsidRPr="00EA4C9B" w:rsidRDefault="00664BE6" w:rsidP="00664BE6">
      <w:r w:rsidRPr="00EA4C9B">
        <w:t>Packaging taxes in Poland are implemented as product fees with associated minimum recovery and recycling rates. With the exception of aluminium, Polish rates are significantly higher (2 to 4 times) than proposed packaging rates based on embodied CO2 and new product (recycling) fees for single use plastics have been recently introduced.</w:t>
      </w:r>
      <w:r w:rsidRPr="00EA4C9B">
        <w:rPr>
          <w:rStyle w:val="FootnoteReference"/>
        </w:rPr>
        <w:footnoteReference w:id="699"/>
      </w:r>
      <w:r w:rsidRPr="00EA4C9B">
        <w:t xml:space="preserve"> While the rates of the product fee have remained constant in previous years, the minimum levels of recovery and recycling have increased, adding to producer costs. Charges on plastic bags are also consistent with proposed values and large reductions in the use of plastic bags and packages due to taxes in Poland have also been reported.</w:t>
      </w:r>
      <w:r w:rsidRPr="00EA4C9B">
        <w:rPr>
          <w:rStyle w:val="FootnoteReference"/>
        </w:rPr>
        <w:footnoteReference w:id="700"/>
      </w:r>
    </w:p>
    <w:p w14:paraId="208F72C6" w14:textId="3AB7EFD7" w:rsidR="00664BE6" w:rsidRPr="00EA4C9B" w:rsidRDefault="00664BE6" w:rsidP="00664BE6">
      <w:r w:rsidRPr="00EA4C9B">
        <w:t>Research supporting the CSRs for Poland noted that it would benefit from managing water resources more sustainably, with only 31% of all surface water bodies reaching good ecological status and 59% reaching good chemical status in 2018.</w:t>
      </w:r>
      <w:r w:rsidRPr="00EA4C9B">
        <w:rPr>
          <w:rStyle w:val="FootnoteReference"/>
        </w:rPr>
        <w:footnoteReference w:id="701"/>
      </w:r>
      <w:r w:rsidRPr="00EA4C9B">
        <w:t xml:space="preserve"> This report also noted the need for investment in sustainable water management and, in particular, to ensure adequate urban wastewater collection. The approach to taxation of water abstraction and wastewater discharges in Poland changed in 2018 with the introduction of the Water Law Act. Rates prior to this were considered fairly substantial compared to international standards.</w:t>
      </w:r>
      <w:r w:rsidRPr="00EA4C9B">
        <w:rPr>
          <w:rStyle w:val="FootnoteReference"/>
        </w:rPr>
        <w:footnoteReference w:id="702"/>
      </w:r>
      <w:r w:rsidRPr="00EA4C9B">
        <w:t xml:space="preserve"> Poland has higher abstraction charges for industry compared to agriculture and public supply. A new rate of 4.28 PLN/kg BOD (approximately </w:t>
      </w:r>
      <w:r w:rsidRPr="0DB99A64">
        <w:t>€</w:t>
      </w:r>
      <w:r w:rsidRPr="00EA4C9B">
        <w:t xml:space="preserve">1/kg) for wastewater discharge was introduced in 2017, compared to the </w:t>
      </w:r>
      <w:r w:rsidRPr="0DB99A64">
        <w:t>€</w:t>
      </w:r>
      <w:r w:rsidRPr="00EA4C9B">
        <w:t xml:space="preserve">1.3/kg BOD proposed by Hogg et al. (2016). </w:t>
      </w:r>
    </w:p>
    <w:p w14:paraId="3A32D518" w14:textId="77777777" w:rsidR="00664BE6" w:rsidRPr="00EA4C9B" w:rsidRDefault="00664BE6" w:rsidP="007C4EB7">
      <w:pPr>
        <w:pStyle w:val="AnnexHeading2"/>
      </w:pPr>
      <w:bookmarkStart w:id="280" w:name="_Toc214008931"/>
      <w:r w:rsidRPr="00EA4C9B">
        <w:lastRenderedPageBreak/>
        <w:t>Potential for implementing additional environmental taxes</w:t>
      </w:r>
      <w:bookmarkEnd w:id="280"/>
    </w:p>
    <w:p w14:paraId="4B25D847" w14:textId="75E98ADE" w:rsidR="00664BE6" w:rsidRPr="00EA4C9B" w:rsidRDefault="00664BE6" w:rsidP="00664BE6">
      <w:r w:rsidRPr="00EA4C9B">
        <w:t xml:space="preserve">Inefficiencies and environmentally harmful subsidies in the current taxation </w:t>
      </w:r>
      <w:r w:rsidR="00623389" w:rsidRPr="00EA4C9B">
        <w:t>system and</w:t>
      </w:r>
      <w:r w:rsidRPr="00EA4C9B">
        <w:t xml:space="preserve"> opportunities to strengthen the polluter pays principle have been identified that indicate the potential for introducing new environmental taxes and amending existing ones. While some potential taxes relate to energy and transport and other recommendations focus on investment or other non-fiscal instruments, several pollution and resource tax improvements have been proposed.  </w:t>
      </w:r>
    </w:p>
    <w:p w14:paraId="05E6FE7A" w14:textId="52549EF5" w:rsidR="00664BE6" w:rsidRPr="00EA4C9B" w:rsidRDefault="00664BE6" w:rsidP="00664BE6">
      <w:r w:rsidRPr="00EA4C9B">
        <w:t>Waste management remains an area for improvement under the CSRs for Poland.  Waste generation increased to 4.5 tonnes per capita from 2016 to 2022, narrowing the difference between Poland’s performance and the EU average of 4.8 tonnes per capita. The country produced 113 kg of food waste per person in 2021. Almost 40% of waste was still sent to landfill in 2020 against a target of 10% by 2035. At the same time, Poland’s secondary material use rate decreased from 10.4% in 2017 to 8.4 in 2022, below the EU average of 11.5% and although the municipal waste recycling rate increased to 40.9% in 2022, it failed to meet the EU 2020 target of recycling 50% of municipal waste.</w:t>
      </w:r>
      <w:r w:rsidRPr="00EA4C9B">
        <w:rPr>
          <w:rStyle w:val="FootnoteReference"/>
        </w:rPr>
        <w:footnoteReference w:id="703"/>
      </w:r>
      <w:r w:rsidRPr="00EA4C9B">
        <w:t xml:space="preserve">  Although Poland has increased its landfill tax rate and composting and digestion of municipal waste increased to 48 kg per person in 2021, accounting for 13.3% of total municipal waste (SWD), municipal waste incineration capacity has increased over recent years and Poland currently has no </w:t>
      </w:r>
      <w:r w:rsidRPr="00EA4C9B">
        <w:rPr>
          <w:b/>
          <w:bCs/>
        </w:rPr>
        <w:t>tax on waste incineration</w:t>
      </w:r>
      <w:r w:rsidRPr="00EA4C9B">
        <w:t xml:space="preserve">. </w:t>
      </w:r>
      <w:r w:rsidRPr="00EA4C9B">
        <w:rPr>
          <w:rStyle w:val="FootnoteReference"/>
        </w:rPr>
        <w:footnoteReference w:id="704"/>
      </w:r>
      <w:r w:rsidRPr="00EA4C9B">
        <w:t xml:space="preserve"> An incineration tax is proposed as part of the IEEP study on environmental fiscal reform.</w:t>
      </w:r>
      <w:r w:rsidRPr="00EA4C9B">
        <w:rPr>
          <w:rStyle w:val="FootnoteReference"/>
        </w:rPr>
        <w:footnoteReference w:id="705"/>
      </w:r>
      <w:r w:rsidR="00DE372B">
        <w:t xml:space="preserve"> In 2023, the European Commission </w:t>
      </w:r>
      <w:r w:rsidR="005B2B89">
        <w:t xml:space="preserve">recommended expanding the </w:t>
      </w:r>
      <w:r w:rsidR="005B2B89" w:rsidRPr="005B2B89">
        <w:t>Pay-as-you</w:t>
      </w:r>
      <w:r w:rsidR="008D53D8">
        <w:t>-</w:t>
      </w:r>
      <w:r w:rsidR="005B2B89" w:rsidRPr="005B2B89">
        <w:t>throw system</w:t>
      </w:r>
      <w:r w:rsidR="005B2B89">
        <w:t xml:space="preserve"> to households</w:t>
      </w:r>
      <w:r w:rsidR="005B2B89">
        <w:rPr>
          <w:rStyle w:val="FootnoteReference"/>
        </w:rPr>
        <w:footnoteReference w:id="706"/>
      </w:r>
      <w:r w:rsidR="005B2B89">
        <w:t>.</w:t>
      </w:r>
      <w:r w:rsidR="00DE372B">
        <w:t xml:space="preserve"> </w:t>
      </w:r>
    </w:p>
    <w:p w14:paraId="09BD4A44" w14:textId="6151F210" w:rsidR="00664BE6" w:rsidRPr="00EA4C9B" w:rsidRDefault="00664BE6" w:rsidP="00664BE6">
      <w:r w:rsidRPr="00EA4C9B">
        <w:rPr>
          <w:b/>
          <w:bCs/>
        </w:rPr>
        <w:t xml:space="preserve">Poland does not currently tax fertilisers or pesticides. </w:t>
      </w:r>
      <w:r w:rsidRPr="00EA4C9B">
        <w:t xml:space="preserve">Intensive agriculture was identified as having a major impact on air quality and a major source of pollution in the CSRs for Poland. Compared to the EU-27 average of 90.7% in 2021, the Polish agricultural sector was responsible for generating 96.2% of all ammonia emissions. Based on the impact assessment for the Soil Monitoring Law, 48% of Poland’s soil could be considered as unhealthy, with a consistent nitrogen and phosphorus surplus.  </w:t>
      </w:r>
      <w:sdt>
        <w:sdtPr>
          <w:rPr>
            <w:color w:val="000000"/>
          </w:rPr>
          <w:tag w:val="MENDELEY_CITATION_v3_eyJjaXRhdGlvbklEIjoiTUVOREVMRVlfQ0lUQVRJT05fODY4Zjk0NDktNDIzZC00MDEwLTlmYzUtYzY3MGM0YjFhZmYx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164079555"/>
          <w:placeholder>
            <w:docPart w:val="DefaultPlaceholder_-1854013440"/>
          </w:placeholder>
        </w:sdtPr>
        <w:sdtContent>
          <w:r w:rsidR="002D122C" w:rsidRPr="002D122C">
            <w:rPr>
              <w:color w:val="000000"/>
            </w:rPr>
            <w:t>Hogg et al. (2016)</w:t>
          </w:r>
        </w:sdtContent>
      </w:sdt>
      <w:r w:rsidRPr="00EA4C9B">
        <w:t xml:space="preserve"> proposed a pesticide tax of €5 per kg active ingredient and a tax on the use of nitrogen in mineral fertilisers of 0.10 €/kgN be introduced from 2017.</w:t>
      </w:r>
      <w:r w:rsidRPr="00EA4C9B">
        <w:rPr>
          <w:rStyle w:val="FootnoteReference"/>
        </w:rPr>
        <w:footnoteReference w:id="707"/>
      </w:r>
      <w:r w:rsidRPr="00EA4C9B">
        <w:t xml:space="preserve"> The fertiliser tax rate was intended to reflect relative price levels for Poland under the CAP.</w:t>
      </w:r>
    </w:p>
    <w:p w14:paraId="3DD6D22B" w14:textId="582F42AA" w:rsidR="00664BE6" w:rsidRPr="00EA4C9B" w:rsidRDefault="00000000" w:rsidP="00664BE6">
      <w:sdt>
        <w:sdtPr>
          <w:rPr>
            <w:color w:val="000000"/>
          </w:rPr>
          <w:tag w:val="MENDELEY_CITATION_v3_eyJjaXRhdGlvbklEIjoiTUVOREVMRVlfQ0lUQVRJT05fMDU4N2M0MDctN2U3Mi00Njk3LWI2NzgtZGUxMmJlZjk2NmE2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423291896"/>
          <w:placeholder>
            <w:docPart w:val="DefaultPlaceholder_-1854013440"/>
          </w:placeholder>
        </w:sdtPr>
        <w:sdtContent>
          <w:r w:rsidR="002D122C" w:rsidRPr="002D122C">
            <w:rPr>
              <w:color w:val="000000"/>
            </w:rPr>
            <w:t>Hogg et al. (2016)</w:t>
          </w:r>
        </w:sdtContent>
      </w:sdt>
      <w:r w:rsidR="00664BE6" w:rsidRPr="00EA4C9B">
        <w:t xml:space="preserve"> also proposed a significant increase in </w:t>
      </w:r>
      <w:r w:rsidR="00664BE6" w:rsidRPr="00EA4C9B">
        <w:rPr>
          <w:b/>
          <w:bCs/>
        </w:rPr>
        <w:t>air pollution taxes</w:t>
      </w:r>
      <w:r w:rsidR="00664BE6" w:rsidRPr="00EA4C9B">
        <w:t xml:space="preserve"> (which form part of the levies on environmental exploitation) compared to existing taxes in 2016. Taxes for sulphur dioxide and nitrogen oxides were both 0.61 PLN/kg in 2023 (approximately equivalent to </w:t>
      </w:r>
      <w:r w:rsidR="00664BE6" w:rsidRPr="00EA4C9B">
        <w:rPr>
          <w:rFonts w:cstheme="minorHAnsi"/>
        </w:rPr>
        <w:t>€</w:t>
      </w:r>
      <w:r w:rsidR="00664BE6" w:rsidRPr="00EA4C9B">
        <w:t xml:space="preserve">145/tonne), still much lower than the proposed to </w:t>
      </w:r>
      <w:r w:rsidR="00664BE6" w:rsidRPr="00EA4C9B">
        <w:rPr>
          <w:rFonts w:cstheme="minorHAnsi"/>
        </w:rPr>
        <w:t>€</w:t>
      </w:r>
      <w:r w:rsidR="00664BE6" w:rsidRPr="00EA4C9B">
        <w:t>1000/tonne.</w:t>
      </w:r>
    </w:p>
    <w:p w14:paraId="75498FB0" w14:textId="63005D3F" w:rsidR="00664BE6" w:rsidRDefault="00664BE6" w:rsidP="00664BE6">
      <w:r w:rsidRPr="00EA4C9B">
        <w:t xml:space="preserve">As noted earlier, Poland increased </w:t>
      </w:r>
      <w:r w:rsidRPr="00EA4C9B">
        <w:rPr>
          <w:b/>
          <w:bCs/>
        </w:rPr>
        <w:t>charges for water abstraction</w:t>
      </w:r>
      <w:r w:rsidRPr="00EA4C9B">
        <w:t xml:space="preserve"> in 2018 but these still placed the burden on industry rather than households, compared to the tax rates proposed in </w:t>
      </w:r>
      <w:sdt>
        <w:sdtPr>
          <w:rPr>
            <w:color w:val="000000"/>
          </w:rPr>
          <w:tag w:val="MENDELEY_CITATION_v3_eyJjaXRhdGlvbklEIjoiTUVOREVMRVlfQ0lUQVRJT05fMGIyZjZmZjctZjg4Yy00OTdjLTlhNDktMmRjZjI3MjQxMjRj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790279474"/>
          <w:placeholder>
            <w:docPart w:val="DefaultPlaceholder_-1854013440"/>
          </w:placeholder>
        </w:sdtPr>
        <w:sdtContent>
          <w:r w:rsidR="002D122C" w:rsidRPr="002D122C">
            <w:rPr>
              <w:color w:val="000000"/>
            </w:rPr>
            <w:t>Hogg et al. (2016)</w:t>
          </w:r>
        </w:sdtContent>
      </w:sdt>
      <w:r w:rsidRPr="00EA4C9B">
        <w:t>. Changes to these tax rates could potentially improve the efficient use of water resources. In terms of water productivity, Poland generated EUR 72/m</w:t>
      </w:r>
      <w:r w:rsidRPr="00BA7936">
        <w:rPr>
          <w:vertAlign w:val="superscript"/>
        </w:rPr>
        <w:t>3</w:t>
      </w:r>
      <w:r w:rsidRPr="00EA4C9B">
        <w:t xml:space="preserve"> of water abstracted in 2021, lower than the EU average.</w:t>
      </w:r>
      <w:r w:rsidRPr="00EA4C9B">
        <w:rPr>
          <w:rStyle w:val="FootnoteReference"/>
        </w:rPr>
        <w:footnoteReference w:id="708"/>
      </w:r>
    </w:p>
    <w:p w14:paraId="068B79D4" w14:textId="77777777" w:rsidR="007557F5" w:rsidRPr="007557F5" w:rsidRDefault="007557F5" w:rsidP="007557F5">
      <w:r w:rsidRPr="007557F5">
        <w:lastRenderedPageBreak/>
        <w:t>Poland has applied an exploitation fee on mineral extraction, differentiated by mineral type, since 2002. It is therefore not immediately clear how a separate aggregates tax would operate differently from the existing fee or whether it would target additional activities. Available studies, including the calculations by Hogg et al. (2016), indicate that mineral extraction could generate significant additional revenue if incorporated into the scope of pollution and resource taxes, but the relationship between the current fee and any potential aggregates tax would require further clarification.</w:t>
      </w:r>
    </w:p>
    <w:p w14:paraId="65CF2B04" w14:textId="77777777" w:rsidR="00664BE6" w:rsidRPr="00EA4C9B" w:rsidRDefault="00664BE6" w:rsidP="00664BE6">
      <w:r w:rsidRPr="00EA4C9B">
        <w:t>Poland generated around 6.5 million tonnes (172 kg/cap) of packaging waste in 2019, slightly less than the EU average and has a recycling rate of 55.5% against a target of 65%. The current EPR scheme does not include advanced fee modulation but it is understood that this is planned to be part of an updated system.</w:t>
      </w:r>
      <w:r w:rsidRPr="00EA4C9B">
        <w:rPr>
          <w:rStyle w:val="FootnoteReference"/>
        </w:rPr>
        <w:footnoteReference w:id="709"/>
      </w:r>
      <w:r w:rsidRPr="00EA4C9B">
        <w:t xml:space="preserve"> </w:t>
      </w:r>
    </w:p>
    <w:p w14:paraId="57B21729" w14:textId="00824945" w:rsidR="00664BE6" w:rsidRPr="00EA4C9B" w:rsidRDefault="00664BE6" w:rsidP="00664BE6">
      <w:r w:rsidRPr="00EA4C9B">
        <w:t xml:space="preserve">It is noted that transport and energy taxes form an important part of potential tax reform. Proposals include energy tax harmonisation, an </w:t>
      </w:r>
      <w:r w:rsidR="00DE1642" w:rsidRPr="00EA4C9B">
        <w:t>emissions-based</w:t>
      </w:r>
      <w:r w:rsidRPr="00EA4C9B">
        <w:t xml:space="preserve"> circulation tax for road transport and an aviation passenger tax.  </w:t>
      </w:r>
    </w:p>
    <w:p w14:paraId="662F7082" w14:textId="77777777" w:rsidR="00664BE6" w:rsidRPr="00EA4C9B" w:rsidRDefault="00664BE6" w:rsidP="007C4EB7">
      <w:pPr>
        <w:pStyle w:val="AnnexHeading2"/>
      </w:pPr>
      <w:bookmarkStart w:id="281" w:name="_Toc214008932"/>
      <w:r w:rsidRPr="00EA4C9B">
        <w:t>Impacts and feasibility of implementing new environmental taxes</w:t>
      </w:r>
      <w:bookmarkEnd w:id="281"/>
    </w:p>
    <w:p w14:paraId="2C41B435" w14:textId="148A7CFB" w:rsidR="004A4F82" w:rsidRPr="004A4F82" w:rsidRDefault="004A4F82" w:rsidP="004A4F82">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661BAED7" w14:textId="77777777" w:rsidR="00DE1642" w:rsidRPr="00DE1642" w:rsidRDefault="00DE1642" w:rsidP="00DE1642">
      <w:pPr>
        <w:rPr>
          <w:rFonts w:cstheme="minorHAnsi"/>
        </w:rPr>
      </w:pPr>
      <w:r w:rsidRPr="00DE1642">
        <w:rPr>
          <w:rFonts w:cstheme="minorHAnsi"/>
        </w:rPr>
        <w:t>Poland’s environmental tax system is characterised by a strong reliance on energy and transport-related instruments, while pollution and resource taxes remain limited in scope and effectiveness. The modelling results indicate that introducing benchmarked taxes on pollution, waste, and resource use would generate significant environmental improvements and substantial additional revenues, with relatively modest macroeconomic impacts. Under Scenario A, the total additional revenues could exceed €2.8 billion by 2030, representing one of the highest increases among EU Member States, driven primarily by landfill, wastewater and mineral extraction taxes. Scenario B yields smaller but still positive effects.</w:t>
      </w:r>
    </w:p>
    <w:p w14:paraId="75704A36" w14:textId="1DD3594D" w:rsidR="00DE1642" w:rsidRPr="003B3446" w:rsidRDefault="00DE1642" w:rsidP="00DE1642">
      <w:pPr>
        <w:rPr>
          <w:lang w:eastAsia="en-GB"/>
        </w:rPr>
      </w:pPr>
      <w:r>
        <w:rPr>
          <w:lang w:eastAsia="en-GB"/>
        </w:rPr>
        <w:t xml:space="preserve">Total revenues from the </w:t>
      </w:r>
      <w:r w:rsidR="00185A09">
        <w:t>investigated</w:t>
      </w:r>
      <w:r w:rsidR="00185A09">
        <w:rPr>
          <w:lang w:eastAsia="en-GB"/>
        </w:rPr>
        <w:t xml:space="preserve"> </w:t>
      </w:r>
      <w:r>
        <w:rPr>
          <w:lang w:eastAsia="en-GB"/>
        </w:rPr>
        <w:t xml:space="preserve">taxes could rise by around €2.4 billion in 2030 and €135 million in 2035, which is around 3.5 times the revenues for pollution and resource taxes in 2023.  The greatest gains are from mineral extraction taxes, closely followed by water effluent. Other major contributors are waste to landfill and water abstraction. Significant amounts are also raised from the pesticide tax the and the fertilizer tax. Reduction in emissions or use of materials is greatest for SO2 (27-28%), waste incineration (20%), pesticides (17%) and minerals aggregates (16%). Water effluent falls by 13%, fertilizer use by 12% and water abstraction by 6%. </w:t>
      </w: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1120"/>
        <w:gridCol w:w="1121"/>
        <w:gridCol w:w="1027"/>
        <w:gridCol w:w="1213"/>
        <w:gridCol w:w="1018"/>
        <w:gridCol w:w="1280"/>
      </w:tblGrid>
      <w:tr w:rsidR="00DE1642" w:rsidRPr="00F501DA" w14:paraId="6425C961" w14:textId="77777777" w:rsidTr="00245941">
        <w:trPr>
          <w:trHeight w:val="258"/>
          <w:tblHeader/>
        </w:trPr>
        <w:tc>
          <w:tcPr>
            <w:tcW w:w="8991" w:type="dxa"/>
            <w:gridSpan w:val="7"/>
            <w:shd w:val="clear" w:color="auto" w:fill="003399"/>
          </w:tcPr>
          <w:p w14:paraId="6FDBF3D3" w14:textId="10335C59" w:rsidR="00DE1642" w:rsidRPr="00997633" w:rsidRDefault="00DE1642" w:rsidP="000878F6">
            <w:pPr>
              <w:pStyle w:val="Table"/>
              <w:rPr>
                <w:b/>
                <w:lang w:eastAsia="en-GB"/>
              </w:rPr>
            </w:pPr>
            <w:r w:rsidRPr="00997633">
              <w:rPr>
                <w:b/>
                <w:color w:val="FFFFFF" w:themeColor="background1"/>
              </w:rPr>
              <w:t xml:space="preserve">Table </w:t>
            </w:r>
            <w:r w:rsidR="00490085">
              <w:rPr>
                <w:b/>
                <w:bCs/>
                <w:color w:val="FFFFFF" w:themeColor="background1"/>
              </w:rPr>
              <w:t>A6</w:t>
            </w:r>
            <w:r w:rsidRPr="00997633">
              <w:rPr>
                <w:b/>
                <w:bCs/>
                <w:color w:val="FFFFFF" w:themeColor="background1"/>
              </w:rPr>
              <w:t>-</w:t>
            </w:r>
            <w:r w:rsidRPr="00997633">
              <w:rPr>
                <w:b/>
                <w:bCs/>
                <w:color w:val="FFFFFF" w:themeColor="background1"/>
              </w:rPr>
              <w:fldChar w:fldCharType="begin"/>
            </w:r>
            <w:r w:rsidRPr="00997633">
              <w:rPr>
                <w:b/>
                <w:bCs/>
                <w:color w:val="FFFFFF" w:themeColor="background1"/>
              </w:rPr>
              <w:instrText xml:space="preserve"> SEQ Table_A5- \* ARABIC </w:instrText>
            </w:r>
            <w:r w:rsidRPr="00997633">
              <w:rPr>
                <w:b/>
                <w:bCs/>
                <w:color w:val="FFFFFF" w:themeColor="background1"/>
              </w:rPr>
              <w:fldChar w:fldCharType="separate"/>
            </w:r>
            <w:r>
              <w:rPr>
                <w:b/>
                <w:bCs/>
                <w:noProof/>
                <w:color w:val="FFFFFF" w:themeColor="background1"/>
              </w:rPr>
              <w:t>106</w:t>
            </w:r>
            <w:r w:rsidRPr="00997633">
              <w:rPr>
                <w:b/>
                <w:bCs/>
                <w:color w:val="FFFFFF" w:themeColor="background1"/>
              </w:rPr>
              <w:fldChar w:fldCharType="end"/>
            </w:r>
            <w:r w:rsidRPr="00997633">
              <w:rPr>
                <w:b/>
                <w:bCs/>
                <w:color w:val="FFFFFF" w:themeColor="background1"/>
                <w:lang w:eastAsia="en-GB"/>
              </w:rPr>
              <w:t>:</w:t>
            </w:r>
            <w:r w:rsidRPr="00997633">
              <w:rPr>
                <w:b/>
                <w:color w:val="FFFFFF" w:themeColor="background1"/>
                <w:lang w:eastAsia="en-GB"/>
              </w:rPr>
              <w:t xml:space="preserve"> Environmental Impacts and Revenue Changes in Poland</w:t>
            </w:r>
            <w:r>
              <w:rPr>
                <w:b/>
                <w:color w:val="FFFFFF" w:themeColor="background1"/>
                <w:lang w:eastAsia="en-GB"/>
              </w:rPr>
              <w:t xml:space="preserve"> – Scenario A</w:t>
            </w:r>
          </w:p>
        </w:tc>
      </w:tr>
      <w:tr w:rsidR="00DE1642" w:rsidRPr="00F501DA" w14:paraId="4DEE1BAC" w14:textId="77777777" w:rsidTr="00245941">
        <w:trPr>
          <w:trHeight w:val="492"/>
          <w:tblHeader/>
        </w:trPr>
        <w:tc>
          <w:tcPr>
            <w:tcW w:w="2247" w:type="dxa"/>
          </w:tcPr>
          <w:p w14:paraId="18AB8574" w14:textId="77777777" w:rsidR="00DE1642" w:rsidRPr="00997633" w:rsidRDefault="00DE1642" w:rsidP="000878F6">
            <w:pPr>
              <w:pStyle w:val="Table"/>
              <w:rPr>
                <w:b/>
              </w:rPr>
            </w:pPr>
            <w:r w:rsidRPr="00997633">
              <w:rPr>
                <w:b/>
              </w:rPr>
              <w:t>Tax Name</w:t>
            </w:r>
          </w:p>
        </w:tc>
        <w:tc>
          <w:tcPr>
            <w:tcW w:w="2247" w:type="dxa"/>
            <w:gridSpan w:val="2"/>
            <w:vAlign w:val="bottom"/>
          </w:tcPr>
          <w:p w14:paraId="072B663F" w14:textId="77777777" w:rsidR="00DE1642" w:rsidRPr="00D6000A" w:rsidRDefault="00DE1642" w:rsidP="000878F6">
            <w:pPr>
              <w:pStyle w:val="Table"/>
              <w:jc w:val="center"/>
              <w:rPr>
                <w:b/>
                <w:szCs w:val="20"/>
              </w:rPr>
            </w:pPr>
            <w:r w:rsidRPr="00D6000A">
              <w:rPr>
                <w:rFonts w:ascii="Calibri" w:hAnsi="Calibri" w:cs="Calibri"/>
                <w:b/>
                <w:bCs/>
                <w:color w:val="000000"/>
                <w:szCs w:val="20"/>
              </w:rPr>
              <w:t>% Change in Quantities as % of taxed sector</w:t>
            </w:r>
          </w:p>
        </w:tc>
        <w:tc>
          <w:tcPr>
            <w:tcW w:w="2247" w:type="dxa"/>
            <w:gridSpan w:val="2"/>
            <w:vAlign w:val="bottom"/>
          </w:tcPr>
          <w:p w14:paraId="26FE2DB8" w14:textId="77777777" w:rsidR="00DE1642" w:rsidRPr="00D6000A" w:rsidRDefault="00DE1642" w:rsidP="000878F6">
            <w:pPr>
              <w:pStyle w:val="Table"/>
              <w:jc w:val="center"/>
              <w:rPr>
                <w:b/>
                <w:szCs w:val="20"/>
              </w:rPr>
            </w:pPr>
            <w:r w:rsidRPr="00D6000A">
              <w:rPr>
                <w:rFonts w:ascii="Calibri" w:hAnsi="Calibri" w:cs="Calibri"/>
                <w:b/>
                <w:bCs/>
                <w:color w:val="000000"/>
                <w:szCs w:val="20"/>
              </w:rPr>
              <w:t>Change in Revenues (€Mn)</w:t>
            </w:r>
          </w:p>
        </w:tc>
        <w:tc>
          <w:tcPr>
            <w:tcW w:w="2250" w:type="dxa"/>
            <w:gridSpan w:val="2"/>
            <w:vAlign w:val="bottom"/>
          </w:tcPr>
          <w:p w14:paraId="002CB37B" w14:textId="77777777" w:rsidR="00DE1642" w:rsidRPr="00D6000A" w:rsidRDefault="00DE1642" w:rsidP="000878F6">
            <w:pPr>
              <w:pStyle w:val="Table"/>
              <w:jc w:val="center"/>
              <w:rPr>
                <w:b/>
                <w:szCs w:val="20"/>
              </w:rPr>
            </w:pPr>
            <w:r w:rsidRPr="00D6000A">
              <w:rPr>
                <w:rFonts w:ascii="Calibri" w:hAnsi="Calibri" w:cs="Calibri"/>
                <w:b/>
                <w:bCs/>
                <w:color w:val="000000"/>
                <w:szCs w:val="20"/>
              </w:rPr>
              <w:t>As % of 2023 Resource Tax</w:t>
            </w:r>
          </w:p>
        </w:tc>
      </w:tr>
      <w:tr w:rsidR="00DE1642" w:rsidRPr="00355514" w14:paraId="5B591975" w14:textId="77777777" w:rsidTr="00245941">
        <w:trPr>
          <w:trHeight w:val="237"/>
          <w:tblHeader/>
        </w:trPr>
        <w:tc>
          <w:tcPr>
            <w:tcW w:w="2247" w:type="dxa"/>
          </w:tcPr>
          <w:p w14:paraId="42A872D9" w14:textId="77777777" w:rsidR="00DE1642" w:rsidRPr="00121992" w:rsidRDefault="00DE1642" w:rsidP="000878F6">
            <w:pPr>
              <w:pStyle w:val="Table"/>
              <w:jc w:val="left"/>
              <w:rPr>
                <w:b/>
              </w:rPr>
            </w:pPr>
            <w:r w:rsidRPr="00121992">
              <w:rPr>
                <w:b/>
              </w:rPr>
              <w:t>Year</w:t>
            </w:r>
          </w:p>
        </w:tc>
        <w:tc>
          <w:tcPr>
            <w:tcW w:w="1123" w:type="dxa"/>
          </w:tcPr>
          <w:p w14:paraId="534ABD22" w14:textId="77777777" w:rsidR="00DE1642" w:rsidRPr="00D6000A" w:rsidRDefault="00DE1642" w:rsidP="000878F6">
            <w:pPr>
              <w:pStyle w:val="Table"/>
              <w:jc w:val="center"/>
              <w:rPr>
                <w:b/>
                <w:szCs w:val="20"/>
              </w:rPr>
            </w:pPr>
            <w:r w:rsidRPr="00D6000A">
              <w:rPr>
                <w:b/>
                <w:szCs w:val="20"/>
              </w:rPr>
              <w:t>2030</w:t>
            </w:r>
          </w:p>
        </w:tc>
        <w:tc>
          <w:tcPr>
            <w:tcW w:w="1124" w:type="dxa"/>
          </w:tcPr>
          <w:p w14:paraId="75469412" w14:textId="77777777" w:rsidR="00DE1642" w:rsidRPr="00D6000A" w:rsidRDefault="00DE1642" w:rsidP="000878F6">
            <w:pPr>
              <w:pStyle w:val="Table"/>
              <w:jc w:val="center"/>
              <w:rPr>
                <w:b/>
                <w:szCs w:val="20"/>
              </w:rPr>
            </w:pPr>
            <w:r w:rsidRPr="00D6000A">
              <w:rPr>
                <w:b/>
                <w:szCs w:val="20"/>
              </w:rPr>
              <w:t>2035</w:t>
            </w:r>
          </w:p>
        </w:tc>
        <w:tc>
          <w:tcPr>
            <w:tcW w:w="1030" w:type="dxa"/>
          </w:tcPr>
          <w:p w14:paraId="2FAB64C3" w14:textId="77777777" w:rsidR="00DE1642" w:rsidRPr="00D6000A" w:rsidRDefault="00DE1642" w:rsidP="000878F6">
            <w:pPr>
              <w:pStyle w:val="Table"/>
              <w:jc w:val="center"/>
              <w:rPr>
                <w:b/>
                <w:szCs w:val="20"/>
              </w:rPr>
            </w:pPr>
            <w:r w:rsidRPr="00D6000A">
              <w:rPr>
                <w:b/>
                <w:szCs w:val="20"/>
              </w:rPr>
              <w:t>2030</w:t>
            </w:r>
          </w:p>
        </w:tc>
        <w:tc>
          <w:tcPr>
            <w:tcW w:w="1217" w:type="dxa"/>
          </w:tcPr>
          <w:p w14:paraId="5D4547CF" w14:textId="77777777" w:rsidR="00DE1642" w:rsidRPr="00D6000A" w:rsidRDefault="00DE1642" w:rsidP="000878F6">
            <w:pPr>
              <w:pStyle w:val="Table"/>
              <w:jc w:val="center"/>
              <w:rPr>
                <w:b/>
                <w:szCs w:val="20"/>
              </w:rPr>
            </w:pPr>
            <w:r w:rsidRPr="00D6000A">
              <w:rPr>
                <w:b/>
                <w:szCs w:val="20"/>
              </w:rPr>
              <w:t>2035</w:t>
            </w:r>
          </w:p>
        </w:tc>
        <w:tc>
          <w:tcPr>
            <w:tcW w:w="967" w:type="dxa"/>
          </w:tcPr>
          <w:p w14:paraId="45E0A82A" w14:textId="77777777" w:rsidR="00DE1642" w:rsidRPr="00D6000A" w:rsidRDefault="00DE1642" w:rsidP="000878F6">
            <w:pPr>
              <w:pStyle w:val="Table"/>
              <w:jc w:val="center"/>
              <w:rPr>
                <w:b/>
                <w:szCs w:val="20"/>
              </w:rPr>
            </w:pPr>
            <w:r w:rsidRPr="00D6000A">
              <w:rPr>
                <w:b/>
                <w:szCs w:val="20"/>
              </w:rPr>
              <w:t>2030</w:t>
            </w:r>
          </w:p>
        </w:tc>
        <w:tc>
          <w:tcPr>
            <w:tcW w:w="1283" w:type="dxa"/>
          </w:tcPr>
          <w:p w14:paraId="56A03689" w14:textId="77777777" w:rsidR="00DE1642" w:rsidRPr="00D6000A" w:rsidRDefault="00DE1642" w:rsidP="000878F6">
            <w:pPr>
              <w:pStyle w:val="Table"/>
              <w:jc w:val="center"/>
              <w:rPr>
                <w:b/>
                <w:szCs w:val="20"/>
              </w:rPr>
            </w:pPr>
            <w:r w:rsidRPr="00D6000A">
              <w:rPr>
                <w:b/>
                <w:szCs w:val="20"/>
              </w:rPr>
              <w:t>2035</w:t>
            </w:r>
          </w:p>
        </w:tc>
      </w:tr>
      <w:tr w:rsidR="00DE1642" w:rsidRPr="00355514" w14:paraId="0F1CD5CA" w14:textId="77777777" w:rsidTr="00BA7936">
        <w:trPr>
          <w:trHeight w:val="237"/>
        </w:trPr>
        <w:tc>
          <w:tcPr>
            <w:tcW w:w="2247" w:type="dxa"/>
          </w:tcPr>
          <w:p w14:paraId="043288BB" w14:textId="77777777" w:rsidR="00DE1642" w:rsidRPr="00F501DA" w:rsidRDefault="00DE1642" w:rsidP="000878F6">
            <w:pPr>
              <w:pStyle w:val="Table"/>
            </w:pPr>
            <w:r w:rsidRPr="00F501DA">
              <w:t>NOx</w:t>
            </w:r>
          </w:p>
        </w:tc>
        <w:tc>
          <w:tcPr>
            <w:tcW w:w="1123" w:type="dxa"/>
            <w:vAlign w:val="center"/>
          </w:tcPr>
          <w:p w14:paraId="21B41EA4" w14:textId="77777777" w:rsidR="00DE1642" w:rsidRPr="00D6000A" w:rsidRDefault="00DE1642" w:rsidP="000878F6">
            <w:pPr>
              <w:pStyle w:val="Table"/>
              <w:jc w:val="center"/>
              <w:rPr>
                <w:szCs w:val="20"/>
              </w:rPr>
            </w:pPr>
            <w:r w:rsidRPr="00D6000A">
              <w:rPr>
                <w:rFonts w:ascii="Calibri" w:hAnsi="Calibri" w:cs="Calibri"/>
                <w:color w:val="000000"/>
                <w:szCs w:val="20"/>
              </w:rPr>
              <w:t>-28,57%</w:t>
            </w:r>
          </w:p>
        </w:tc>
        <w:tc>
          <w:tcPr>
            <w:tcW w:w="1124" w:type="dxa"/>
            <w:vAlign w:val="center"/>
          </w:tcPr>
          <w:p w14:paraId="16082F9B" w14:textId="77777777" w:rsidR="00DE1642" w:rsidRPr="00D6000A" w:rsidRDefault="00DE1642" w:rsidP="000878F6">
            <w:pPr>
              <w:pStyle w:val="Table"/>
              <w:jc w:val="center"/>
              <w:rPr>
                <w:szCs w:val="20"/>
              </w:rPr>
            </w:pPr>
            <w:r w:rsidRPr="00D6000A">
              <w:rPr>
                <w:rFonts w:ascii="Calibri" w:hAnsi="Calibri" w:cs="Calibri"/>
                <w:color w:val="000000"/>
                <w:szCs w:val="20"/>
              </w:rPr>
              <w:t>-28,57%</w:t>
            </w:r>
          </w:p>
        </w:tc>
        <w:tc>
          <w:tcPr>
            <w:tcW w:w="1030" w:type="dxa"/>
            <w:vAlign w:val="center"/>
          </w:tcPr>
          <w:p w14:paraId="5316FF5C" w14:textId="77777777" w:rsidR="00DE1642" w:rsidRPr="00D6000A" w:rsidRDefault="00DE1642" w:rsidP="000878F6">
            <w:pPr>
              <w:pStyle w:val="Table"/>
              <w:jc w:val="center"/>
              <w:rPr>
                <w:szCs w:val="20"/>
              </w:rPr>
            </w:pPr>
            <w:r w:rsidRPr="00D6000A">
              <w:rPr>
                <w:rFonts w:ascii="Calibri" w:hAnsi="Calibri" w:cs="Calibri"/>
                <w:color w:val="000000"/>
                <w:szCs w:val="20"/>
              </w:rPr>
              <w:t>4,58</w:t>
            </w:r>
          </w:p>
        </w:tc>
        <w:tc>
          <w:tcPr>
            <w:tcW w:w="1217" w:type="dxa"/>
            <w:vAlign w:val="center"/>
          </w:tcPr>
          <w:p w14:paraId="344F5326" w14:textId="77777777" w:rsidR="00DE1642" w:rsidRPr="00D6000A" w:rsidRDefault="00DE1642" w:rsidP="000878F6">
            <w:pPr>
              <w:pStyle w:val="Table"/>
              <w:jc w:val="center"/>
              <w:rPr>
                <w:szCs w:val="20"/>
              </w:rPr>
            </w:pPr>
            <w:r w:rsidRPr="00D6000A">
              <w:rPr>
                <w:rFonts w:ascii="Calibri" w:hAnsi="Calibri" w:cs="Calibri"/>
                <w:color w:val="000000"/>
                <w:szCs w:val="20"/>
              </w:rPr>
              <w:t>4,05</w:t>
            </w:r>
          </w:p>
        </w:tc>
        <w:tc>
          <w:tcPr>
            <w:tcW w:w="967" w:type="dxa"/>
            <w:vAlign w:val="center"/>
          </w:tcPr>
          <w:p w14:paraId="6235B3C4" w14:textId="77777777" w:rsidR="00DE1642" w:rsidRPr="00D6000A" w:rsidRDefault="00DE1642" w:rsidP="000878F6">
            <w:pPr>
              <w:pStyle w:val="Table"/>
              <w:jc w:val="center"/>
              <w:rPr>
                <w:szCs w:val="20"/>
              </w:rPr>
            </w:pPr>
            <w:r w:rsidRPr="00D6000A">
              <w:rPr>
                <w:rFonts w:ascii="Calibri" w:hAnsi="Calibri" w:cs="Calibri"/>
                <w:color w:val="000000"/>
                <w:szCs w:val="20"/>
              </w:rPr>
              <w:t>0,69%</w:t>
            </w:r>
          </w:p>
        </w:tc>
        <w:tc>
          <w:tcPr>
            <w:tcW w:w="1283" w:type="dxa"/>
            <w:vAlign w:val="center"/>
          </w:tcPr>
          <w:p w14:paraId="413E53AC" w14:textId="77777777" w:rsidR="00DE1642" w:rsidRPr="00D6000A" w:rsidRDefault="00DE1642" w:rsidP="000878F6">
            <w:pPr>
              <w:pStyle w:val="Table"/>
              <w:jc w:val="center"/>
              <w:rPr>
                <w:szCs w:val="20"/>
              </w:rPr>
            </w:pPr>
            <w:r w:rsidRPr="00D6000A">
              <w:rPr>
                <w:rFonts w:ascii="Calibri" w:hAnsi="Calibri" w:cs="Calibri"/>
                <w:color w:val="000000"/>
                <w:szCs w:val="20"/>
              </w:rPr>
              <w:t>0,61%</w:t>
            </w:r>
          </w:p>
        </w:tc>
      </w:tr>
      <w:tr w:rsidR="00DE1642" w:rsidRPr="00355514" w14:paraId="74D73DF8" w14:textId="77777777" w:rsidTr="00BA7936">
        <w:trPr>
          <w:trHeight w:val="237"/>
        </w:trPr>
        <w:tc>
          <w:tcPr>
            <w:tcW w:w="2247" w:type="dxa"/>
          </w:tcPr>
          <w:p w14:paraId="604253DD" w14:textId="77777777" w:rsidR="00DE1642" w:rsidRPr="00F501DA" w:rsidRDefault="00DE1642" w:rsidP="000878F6">
            <w:pPr>
              <w:pStyle w:val="Table"/>
            </w:pPr>
            <w:r w:rsidRPr="00F501DA">
              <w:t>SO2</w:t>
            </w:r>
          </w:p>
        </w:tc>
        <w:tc>
          <w:tcPr>
            <w:tcW w:w="1123" w:type="dxa"/>
            <w:vAlign w:val="center"/>
          </w:tcPr>
          <w:p w14:paraId="6B9828F0" w14:textId="77777777" w:rsidR="00DE1642" w:rsidRPr="00D6000A" w:rsidRDefault="00DE1642" w:rsidP="000878F6">
            <w:pPr>
              <w:pStyle w:val="Table"/>
              <w:jc w:val="center"/>
              <w:rPr>
                <w:szCs w:val="20"/>
              </w:rPr>
            </w:pPr>
            <w:r w:rsidRPr="00D6000A">
              <w:rPr>
                <w:rFonts w:ascii="Calibri" w:hAnsi="Calibri" w:cs="Calibri"/>
                <w:color w:val="000000"/>
                <w:szCs w:val="20"/>
              </w:rPr>
              <w:t>-32,43%</w:t>
            </w:r>
          </w:p>
        </w:tc>
        <w:tc>
          <w:tcPr>
            <w:tcW w:w="1124" w:type="dxa"/>
            <w:vAlign w:val="center"/>
          </w:tcPr>
          <w:p w14:paraId="47676F5B" w14:textId="77777777" w:rsidR="00DE1642" w:rsidRPr="00D6000A" w:rsidRDefault="00DE1642" w:rsidP="000878F6">
            <w:pPr>
              <w:pStyle w:val="Table"/>
              <w:jc w:val="center"/>
              <w:rPr>
                <w:szCs w:val="20"/>
              </w:rPr>
            </w:pPr>
            <w:r w:rsidRPr="00D6000A">
              <w:rPr>
                <w:rFonts w:ascii="Calibri" w:hAnsi="Calibri" w:cs="Calibri"/>
                <w:color w:val="000000"/>
                <w:szCs w:val="20"/>
              </w:rPr>
              <w:t>-32,43%</w:t>
            </w:r>
          </w:p>
        </w:tc>
        <w:tc>
          <w:tcPr>
            <w:tcW w:w="1030" w:type="dxa"/>
            <w:vAlign w:val="center"/>
          </w:tcPr>
          <w:p w14:paraId="6627CCC0" w14:textId="77777777" w:rsidR="00DE1642" w:rsidRPr="00D6000A" w:rsidRDefault="00DE1642" w:rsidP="000878F6">
            <w:pPr>
              <w:pStyle w:val="Table"/>
              <w:jc w:val="center"/>
              <w:rPr>
                <w:szCs w:val="20"/>
              </w:rPr>
            </w:pPr>
            <w:r w:rsidRPr="00D6000A">
              <w:rPr>
                <w:rFonts w:ascii="Calibri" w:hAnsi="Calibri" w:cs="Calibri"/>
                <w:color w:val="000000"/>
                <w:szCs w:val="20"/>
              </w:rPr>
              <w:t>76,10</w:t>
            </w:r>
          </w:p>
        </w:tc>
        <w:tc>
          <w:tcPr>
            <w:tcW w:w="1217" w:type="dxa"/>
            <w:vAlign w:val="center"/>
          </w:tcPr>
          <w:p w14:paraId="1FE6C1A9" w14:textId="77777777" w:rsidR="00DE1642" w:rsidRPr="00D6000A" w:rsidRDefault="00DE1642" w:rsidP="000878F6">
            <w:pPr>
              <w:pStyle w:val="Table"/>
              <w:jc w:val="center"/>
              <w:rPr>
                <w:szCs w:val="20"/>
              </w:rPr>
            </w:pPr>
            <w:r w:rsidRPr="00D6000A">
              <w:rPr>
                <w:rFonts w:ascii="Calibri" w:hAnsi="Calibri" w:cs="Calibri"/>
                <w:color w:val="000000"/>
                <w:szCs w:val="20"/>
              </w:rPr>
              <w:t>51,35</w:t>
            </w:r>
          </w:p>
        </w:tc>
        <w:tc>
          <w:tcPr>
            <w:tcW w:w="967" w:type="dxa"/>
            <w:vAlign w:val="center"/>
          </w:tcPr>
          <w:p w14:paraId="72A0370D" w14:textId="77777777" w:rsidR="00DE1642" w:rsidRPr="00D6000A" w:rsidRDefault="00DE1642" w:rsidP="000878F6">
            <w:pPr>
              <w:pStyle w:val="Table"/>
              <w:jc w:val="center"/>
              <w:rPr>
                <w:szCs w:val="20"/>
              </w:rPr>
            </w:pPr>
            <w:r w:rsidRPr="00D6000A">
              <w:rPr>
                <w:rFonts w:ascii="Calibri" w:hAnsi="Calibri" w:cs="Calibri"/>
                <w:color w:val="000000"/>
                <w:szCs w:val="20"/>
              </w:rPr>
              <w:t>11,40%</w:t>
            </w:r>
          </w:p>
        </w:tc>
        <w:tc>
          <w:tcPr>
            <w:tcW w:w="1283" w:type="dxa"/>
            <w:vAlign w:val="center"/>
          </w:tcPr>
          <w:p w14:paraId="076CD294" w14:textId="77777777" w:rsidR="00DE1642" w:rsidRPr="00D6000A" w:rsidRDefault="00DE1642" w:rsidP="000878F6">
            <w:pPr>
              <w:pStyle w:val="Table"/>
              <w:jc w:val="center"/>
              <w:rPr>
                <w:szCs w:val="20"/>
              </w:rPr>
            </w:pPr>
            <w:r w:rsidRPr="00D6000A">
              <w:rPr>
                <w:rFonts w:ascii="Calibri" w:hAnsi="Calibri" w:cs="Calibri"/>
                <w:color w:val="000000"/>
                <w:szCs w:val="20"/>
              </w:rPr>
              <w:t>7,69%</w:t>
            </w:r>
          </w:p>
        </w:tc>
      </w:tr>
      <w:tr w:rsidR="00DE1642" w:rsidRPr="00355514" w14:paraId="02EAAAEB" w14:textId="77777777" w:rsidTr="00BA7936">
        <w:trPr>
          <w:trHeight w:val="237"/>
        </w:trPr>
        <w:tc>
          <w:tcPr>
            <w:tcW w:w="2247" w:type="dxa"/>
          </w:tcPr>
          <w:p w14:paraId="00715ADE" w14:textId="77777777" w:rsidR="00DE1642" w:rsidRPr="00F501DA" w:rsidRDefault="00DE1642" w:rsidP="000878F6">
            <w:pPr>
              <w:pStyle w:val="Table"/>
            </w:pPr>
            <w:r w:rsidRPr="00F501DA">
              <w:lastRenderedPageBreak/>
              <w:t>PM2.5</w:t>
            </w:r>
          </w:p>
        </w:tc>
        <w:tc>
          <w:tcPr>
            <w:tcW w:w="1123" w:type="dxa"/>
            <w:vAlign w:val="center"/>
          </w:tcPr>
          <w:p w14:paraId="17B7AF39" w14:textId="77777777" w:rsidR="00DE1642" w:rsidRPr="00D6000A" w:rsidRDefault="00DE1642" w:rsidP="000878F6">
            <w:pPr>
              <w:pStyle w:val="Table"/>
              <w:jc w:val="center"/>
              <w:rPr>
                <w:szCs w:val="20"/>
              </w:rPr>
            </w:pPr>
            <w:r w:rsidRPr="00D6000A">
              <w:rPr>
                <w:rFonts w:ascii="Calibri" w:hAnsi="Calibri" w:cs="Calibri"/>
                <w:color w:val="000000"/>
                <w:szCs w:val="20"/>
              </w:rPr>
              <w:t>-29,58%</w:t>
            </w:r>
          </w:p>
        </w:tc>
        <w:tc>
          <w:tcPr>
            <w:tcW w:w="1124" w:type="dxa"/>
            <w:vAlign w:val="center"/>
          </w:tcPr>
          <w:p w14:paraId="7CC9D680" w14:textId="77777777" w:rsidR="00DE1642" w:rsidRPr="00D6000A" w:rsidRDefault="00DE1642" w:rsidP="000878F6">
            <w:pPr>
              <w:pStyle w:val="Table"/>
              <w:jc w:val="center"/>
              <w:rPr>
                <w:szCs w:val="20"/>
              </w:rPr>
            </w:pPr>
            <w:r w:rsidRPr="00D6000A">
              <w:rPr>
                <w:rFonts w:ascii="Calibri" w:hAnsi="Calibri" w:cs="Calibri"/>
                <w:color w:val="000000"/>
                <w:szCs w:val="20"/>
              </w:rPr>
              <w:t>-29,58%</w:t>
            </w:r>
          </w:p>
        </w:tc>
        <w:tc>
          <w:tcPr>
            <w:tcW w:w="1030" w:type="dxa"/>
            <w:vAlign w:val="center"/>
          </w:tcPr>
          <w:p w14:paraId="6636EC10" w14:textId="77777777" w:rsidR="00DE1642" w:rsidRPr="00D6000A" w:rsidRDefault="00DE1642" w:rsidP="000878F6">
            <w:pPr>
              <w:pStyle w:val="Table"/>
              <w:jc w:val="center"/>
              <w:rPr>
                <w:szCs w:val="20"/>
              </w:rPr>
            </w:pPr>
            <w:r w:rsidRPr="00D6000A">
              <w:rPr>
                <w:rFonts w:ascii="Calibri" w:hAnsi="Calibri" w:cs="Calibri"/>
                <w:color w:val="000000"/>
                <w:szCs w:val="20"/>
              </w:rPr>
              <w:t>16,29</w:t>
            </w:r>
          </w:p>
        </w:tc>
        <w:tc>
          <w:tcPr>
            <w:tcW w:w="1217" w:type="dxa"/>
            <w:vAlign w:val="center"/>
          </w:tcPr>
          <w:p w14:paraId="640B181F" w14:textId="77777777" w:rsidR="00DE1642" w:rsidRPr="00D6000A" w:rsidRDefault="00DE1642" w:rsidP="000878F6">
            <w:pPr>
              <w:pStyle w:val="Table"/>
              <w:jc w:val="center"/>
              <w:rPr>
                <w:szCs w:val="20"/>
              </w:rPr>
            </w:pPr>
            <w:r w:rsidRPr="00D6000A">
              <w:rPr>
                <w:rFonts w:ascii="Calibri" w:hAnsi="Calibri" w:cs="Calibri"/>
                <w:color w:val="000000"/>
                <w:szCs w:val="20"/>
              </w:rPr>
              <w:t>14,29</w:t>
            </w:r>
          </w:p>
        </w:tc>
        <w:tc>
          <w:tcPr>
            <w:tcW w:w="967" w:type="dxa"/>
            <w:vAlign w:val="center"/>
          </w:tcPr>
          <w:p w14:paraId="18A95633" w14:textId="77777777" w:rsidR="00DE1642" w:rsidRPr="00D6000A" w:rsidRDefault="00DE1642" w:rsidP="000878F6">
            <w:pPr>
              <w:pStyle w:val="Table"/>
              <w:jc w:val="center"/>
              <w:rPr>
                <w:szCs w:val="20"/>
              </w:rPr>
            </w:pPr>
            <w:r w:rsidRPr="00D6000A">
              <w:rPr>
                <w:rFonts w:ascii="Calibri" w:hAnsi="Calibri" w:cs="Calibri"/>
                <w:color w:val="000000"/>
                <w:szCs w:val="20"/>
              </w:rPr>
              <w:t>2,44%</w:t>
            </w:r>
          </w:p>
        </w:tc>
        <w:tc>
          <w:tcPr>
            <w:tcW w:w="1283" w:type="dxa"/>
            <w:vAlign w:val="center"/>
          </w:tcPr>
          <w:p w14:paraId="335C9C73" w14:textId="77777777" w:rsidR="00DE1642" w:rsidRPr="00D6000A" w:rsidRDefault="00DE1642" w:rsidP="000878F6">
            <w:pPr>
              <w:pStyle w:val="Table"/>
              <w:jc w:val="center"/>
              <w:rPr>
                <w:szCs w:val="20"/>
              </w:rPr>
            </w:pPr>
            <w:r w:rsidRPr="00D6000A">
              <w:rPr>
                <w:rFonts w:ascii="Calibri" w:hAnsi="Calibri" w:cs="Calibri"/>
                <w:color w:val="000000"/>
                <w:szCs w:val="20"/>
              </w:rPr>
              <w:t>2,14%</w:t>
            </w:r>
          </w:p>
        </w:tc>
      </w:tr>
      <w:tr w:rsidR="00DE1642" w:rsidRPr="00355514" w14:paraId="03E2ACCB" w14:textId="77777777" w:rsidTr="00BA7936">
        <w:trPr>
          <w:trHeight w:val="237"/>
        </w:trPr>
        <w:tc>
          <w:tcPr>
            <w:tcW w:w="2247" w:type="dxa"/>
          </w:tcPr>
          <w:p w14:paraId="7FABA341" w14:textId="77777777" w:rsidR="00DE1642" w:rsidRPr="00F501DA" w:rsidRDefault="00DE1642" w:rsidP="000878F6">
            <w:pPr>
              <w:pStyle w:val="Table"/>
            </w:pPr>
            <w:r w:rsidRPr="00F501DA">
              <w:t>Water Abstraction</w:t>
            </w:r>
          </w:p>
        </w:tc>
        <w:tc>
          <w:tcPr>
            <w:tcW w:w="1123" w:type="dxa"/>
            <w:vAlign w:val="center"/>
          </w:tcPr>
          <w:p w14:paraId="76A2E30F" w14:textId="77777777" w:rsidR="00DE1642" w:rsidRPr="00D6000A" w:rsidRDefault="00DE1642" w:rsidP="000878F6">
            <w:pPr>
              <w:pStyle w:val="Table"/>
              <w:jc w:val="center"/>
              <w:rPr>
                <w:szCs w:val="20"/>
              </w:rPr>
            </w:pPr>
            <w:r w:rsidRPr="00D6000A">
              <w:rPr>
                <w:rFonts w:ascii="Calibri" w:hAnsi="Calibri" w:cs="Calibri"/>
                <w:color w:val="000000"/>
                <w:szCs w:val="20"/>
              </w:rPr>
              <w:t>-5,85%</w:t>
            </w:r>
          </w:p>
        </w:tc>
        <w:tc>
          <w:tcPr>
            <w:tcW w:w="1124" w:type="dxa"/>
            <w:vAlign w:val="center"/>
          </w:tcPr>
          <w:p w14:paraId="61ED9D2D" w14:textId="77777777" w:rsidR="00DE1642" w:rsidRPr="00D6000A" w:rsidRDefault="00DE1642" w:rsidP="000878F6">
            <w:pPr>
              <w:pStyle w:val="Table"/>
              <w:jc w:val="center"/>
              <w:rPr>
                <w:szCs w:val="20"/>
              </w:rPr>
            </w:pPr>
            <w:r w:rsidRPr="00D6000A">
              <w:rPr>
                <w:rFonts w:ascii="Calibri" w:hAnsi="Calibri" w:cs="Calibri"/>
                <w:color w:val="000000"/>
                <w:szCs w:val="20"/>
              </w:rPr>
              <w:t>-5,85%</w:t>
            </w:r>
          </w:p>
        </w:tc>
        <w:tc>
          <w:tcPr>
            <w:tcW w:w="1030" w:type="dxa"/>
            <w:vAlign w:val="center"/>
          </w:tcPr>
          <w:p w14:paraId="73B3A262" w14:textId="77777777" w:rsidR="00DE1642" w:rsidRPr="00D6000A" w:rsidRDefault="00DE1642" w:rsidP="000878F6">
            <w:pPr>
              <w:pStyle w:val="Table"/>
              <w:jc w:val="center"/>
              <w:rPr>
                <w:szCs w:val="20"/>
              </w:rPr>
            </w:pPr>
            <w:r w:rsidRPr="00D6000A">
              <w:rPr>
                <w:rFonts w:ascii="Calibri" w:hAnsi="Calibri" w:cs="Calibri"/>
                <w:color w:val="000000"/>
                <w:szCs w:val="20"/>
              </w:rPr>
              <w:t>370,16</w:t>
            </w:r>
          </w:p>
        </w:tc>
        <w:tc>
          <w:tcPr>
            <w:tcW w:w="1217" w:type="dxa"/>
            <w:vAlign w:val="center"/>
          </w:tcPr>
          <w:p w14:paraId="4D697E0A" w14:textId="77777777" w:rsidR="00DE1642" w:rsidRPr="00D6000A" w:rsidRDefault="00DE1642" w:rsidP="000878F6">
            <w:pPr>
              <w:pStyle w:val="Table"/>
              <w:jc w:val="center"/>
              <w:rPr>
                <w:szCs w:val="20"/>
              </w:rPr>
            </w:pPr>
            <w:r w:rsidRPr="00D6000A">
              <w:rPr>
                <w:rFonts w:ascii="Calibri" w:hAnsi="Calibri" w:cs="Calibri"/>
                <w:color w:val="000000"/>
                <w:szCs w:val="20"/>
              </w:rPr>
              <w:t>343,62</w:t>
            </w:r>
          </w:p>
        </w:tc>
        <w:tc>
          <w:tcPr>
            <w:tcW w:w="967" w:type="dxa"/>
            <w:vAlign w:val="center"/>
          </w:tcPr>
          <w:p w14:paraId="631529CF" w14:textId="77777777" w:rsidR="00DE1642" w:rsidRPr="00D6000A" w:rsidRDefault="00DE1642" w:rsidP="000878F6">
            <w:pPr>
              <w:pStyle w:val="Table"/>
              <w:jc w:val="center"/>
              <w:rPr>
                <w:szCs w:val="20"/>
              </w:rPr>
            </w:pPr>
            <w:r w:rsidRPr="00D6000A">
              <w:rPr>
                <w:rFonts w:ascii="Calibri" w:hAnsi="Calibri" w:cs="Calibri"/>
                <w:color w:val="000000"/>
                <w:szCs w:val="20"/>
              </w:rPr>
              <w:t>54,39%</w:t>
            </w:r>
          </w:p>
        </w:tc>
        <w:tc>
          <w:tcPr>
            <w:tcW w:w="1283" w:type="dxa"/>
            <w:vAlign w:val="center"/>
          </w:tcPr>
          <w:p w14:paraId="3DF1E4C8" w14:textId="77777777" w:rsidR="00DE1642" w:rsidRPr="00D6000A" w:rsidRDefault="00DE1642" w:rsidP="000878F6">
            <w:pPr>
              <w:pStyle w:val="Table"/>
              <w:jc w:val="center"/>
              <w:rPr>
                <w:szCs w:val="20"/>
              </w:rPr>
            </w:pPr>
            <w:r w:rsidRPr="00D6000A">
              <w:rPr>
                <w:rFonts w:ascii="Calibri" w:hAnsi="Calibri" w:cs="Calibri"/>
                <w:color w:val="000000"/>
                <w:szCs w:val="20"/>
              </w:rPr>
              <w:t>50,49%</w:t>
            </w:r>
          </w:p>
        </w:tc>
      </w:tr>
      <w:tr w:rsidR="00DE1642" w:rsidRPr="00355514" w14:paraId="5DB30950" w14:textId="77777777" w:rsidTr="00BA7936">
        <w:trPr>
          <w:trHeight w:val="254"/>
        </w:trPr>
        <w:tc>
          <w:tcPr>
            <w:tcW w:w="2247" w:type="dxa"/>
          </w:tcPr>
          <w:p w14:paraId="2A0B9CF2" w14:textId="77777777" w:rsidR="00DE1642" w:rsidRPr="00F501DA" w:rsidRDefault="00DE1642" w:rsidP="000878F6">
            <w:pPr>
              <w:pStyle w:val="Table"/>
            </w:pPr>
            <w:r w:rsidRPr="00F501DA">
              <w:t>Fertilizers</w:t>
            </w:r>
          </w:p>
        </w:tc>
        <w:tc>
          <w:tcPr>
            <w:tcW w:w="1123" w:type="dxa"/>
            <w:vAlign w:val="center"/>
          </w:tcPr>
          <w:p w14:paraId="1A90C868" w14:textId="77777777" w:rsidR="00DE1642" w:rsidRPr="00D6000A" w:rsidRDefault="00DE1642" w:rsidP="000878F6">
            <w:pPr>
              <w:pStyle w:val="Table"/>
              <w:jc w:val="center"/>
              <w:rPr>
                <w:szCs w:val="20"/>
              </w:rPr>
            </w:pPr>
            <w:r w:rsidRPr="00D6000A">
              <w:rPr>
                <w:rFonts w:ascii="Calibri" w:hAnsi="Calibri" w:cs="Calibri"/>
                <w:color w:val="000000"/>
                <w:szCs w:val="20"/>
              </w:rPr>
              <w:t>-11,98%</w:t>
            </w:r>
          </w:p>
        </w:tc>
        <w:tc>
          <w:tcPr>
            <w:tcW w:w="1124" w:type="dxa"/>
            <w:vAlign w:val="center"/>
          </w:tcPr>
          <w:p w14:paraId="3F65051D" w14:textId="77777777" w:rsidR="00DE1642" w:rsidRPr="00D6000A" w:rsidRDefault="00DE1642" w:rsidP="000878F6">
            <w:pPr>
              <w:pStyle w:val="Table"/>
              <w:jc w:val="center"/>
              <w:rPr>
                <w:szCs w:val="20"/>
              </w:rPr>
            </w:pPr>
            <w:r w:rsidRPr="00D6000A">
              <w:rPr>
                <w:rFonts w:ascii="Calibri" w:hAnsi="Calibri" w:cs="Calibri"/>
                <w:color w:val="000000"/>
                <w:szCs w:val="20"/>
              </w:rPr>
              <w:t>-11,98%</w:t>
            </w:r>
          </w:p>
        </w:tc>
        <w:tc>
          <w:tcPr>
            <w:tcW w:w="1030" w:type="dxa"/>
            <w:vAlign w:val="center"/>
          </w:tcPr>
          <w:p w14:paraId="21820061" w14:textId="77777777" w:rsidR="00DE1642" w:rsidRPr="00D6000A" w:rsidRDefault="00DE1642" w:rsidP="000878F6">
            <w:pPr>
              <w:pStyle w:val="Table"/>
              <w:jc w:val="center"/>
              <w:rPr>
                <w:szCs w:val="20"/>
              </w:rPr>
            </w:pPr>
            <w:r w:rsidRPr="00D6000A">
              <w:rPr>
                <w:rFonts w:ascii="Calibri" w:hAnsi="Calibri" w:cs="Calibri"/>
                <w:color w:val="000000"/>
                <w:szCs w:val="20"/>
              </w:rPr>
              <w:t>43,28</w:t>
            </w:r>
          </w:p>
        </w:tc>
        <w:tc>
          <w:tcPr>
            <w:tcW w:w="1217" w:type="dxa"/>
            <w:vAlign w:val="center"/>
          </w:tcPr>
          <w:p w14:paraId="135550B9" w14:textId="77777777" w:rsidR="00DE1642" w:rsidRPr="00D6000A" w:rsidRDefault="00DE1642" w:rsidP="000878F6">
            <w:pPr>
              <w:pStyle w:val="Table"/>
              <w:jc w:val="center"/>
              <w:rPr>
                <w:szCs w:val="20"/>
              </w:rPr>
            </w:pPr>
            <w:r w:rsidRPr="00D6000A">
              <w:rPr>
                <w:rFonts w:ascii="Calibri" w:hAnsi="Calibri" w:cs="Calibri"/>
                <w:color w:val="000000"/>
                <w:szCs w:val="20"/>
              </w:rPr>
              <w:t>42,48</w:t>
            </w:r>
          </w:p>
        </w:tc>
        <w:tc>
          <w:tcPr>
            <w:tcW w:w="967" w:type="dxa"/>
            <w:vAlign w:val="center"/>
          </w:tcPr>
          <w:p w14:paraId="4B06879F" w14:textId="77777777" w:rsidR="00DE1642" w:rsidRPr="00D6000A" w:rsidRDefault="00DE1642" w:rsidP="000878F6">
            <w:pPr>
              <w:pStyle w:val="Table"/>
              <w:jc w:val="center"/>
              <w:rPr>
                <w:szCs w:val="20"/>
              </w:rPr>
            </w:pPr>
            <w:r w:rsidRPr="00D6000A">
              <w:rPr>
                <w:rFonts w:ascii="Calibri" w:hAnsi="Calibri" w:cs="Calibri"/>
                <w:color w:val="000000"/>
                <w:szCs w:val="20"/>
              </w:rPr>
              <w:t>6,48%</w:t>
            </w:r>
          </w:p>
        </w:tc>
        <w:tc>
          <w:tcPr>
            <w:tcW w:w="1283" w:type="dxa"/>
            <w:vAlign w:val="center"/>
          </w:tcPr>
          <w:p w14:paraId="548DC45D" w14:textId="77777777" w:rsidR="00DE1642" w:rsidRPr="00D6000A" w:rsidRDefault="00DE1642" w:rsidP="000878F6">
            <w:pPr>
              <w:pStyle w:val="Table"/>
              <w:jc w:val="center"/>
              <w:rPr>
                <w:szCs w:val="20"/>
              </w:rPr>
            </w:pPr>
            <w:r w:rsidRPr="00D6000A">
              <w:rPr>
                <w:rFonts w:ascii="Calibri" w:hAnsi="Calibri" w:cs="Calibri"/>
                <w:color w:val="000000"/>
                <w:szCs w:val="20"/>
              </w:rPr>
              <w:t>6,36%</w:t>
            </w:r>
          </w:p>
        </w:tc>
      </w:tr>
      <w:tr w:rsidR="00DE1642" w:rsidRPr="00355514" w14:paraId="46D74E83" w14:textId="77777777" w:rsidTr="00BA7936">
        <w:trPr>
          <w:trHeight w:val="237"/>
        </w:trPr>
        <w:tc>
          <w:tcPr>
            <w:tcW w:w="2247" w:type="dxa"/>
          </w:tcPr>
          <w:p w14:paraId="3879209F" w14:textId="77777777" w:rsidR="00DE1642" w:rsidRPr="00F501DA" w:rsidRDefault="00DE1642" w:rsidP="000878F6">
            <w:pPr>
              <w:pStyle w:val="Table"/>
            </w:pPr>
            <w:r w:rsidRPr="00F501DA">
              <w:t>Pesticides</w:t>
            </w:r>
          </w:p>
        </w:tc>
        <w:tc>
          <w:tcPr>
            <w:tcW w:w="1123" w:type="dxa"/>
            <w:vAlign w:val="center"/>
          </w:tcPr>
          <w:p w14:paraId="19E55672" w14:textId="77777777" w:rsidR="00DE1642" w:rsidRPr="00D6000A" w:rsidRDefault="00DE1642" w:rsidP="000878F6">
            <w:pPr>
              <w:pStyle w:val="Table"/>
              <w:jc w:val="center"/>
              <w:rPr>
                <w:szCs w:val="20"/>
              </w:rPr>
            </w:pPr>
            <w:r w:rsidRPr="00D6000A">
              <w:rPr>
                <w:rFonts w:ascii="Calibri" w:hAnsi="Calibri" w:cs="Calibri"/>
                <w:color w:val="000000"/>
                <w:szCs w:val="20"/>
              </w:rPr>
              <w:t>n/a</w:t>
            </w:r>
          </w:p>
        </w:tc>
        <w:tc>
          <w:tcPr>
            <w:tcW w:w="1124" w:type="dxa"/>
            <w:vAlign w:val="center"/>
          </w:tcPr>
          <w:p w14:paraId="0E320F5C" w14:textId="77777777" w:rsidR="00DE1642" w:rsidRPr="00D6000A" w:rsidRDefault="00DE1642" w:rsidP="000878F6">
            <w:pPr>
              <w:pStyle w:val="Table"/>
              <w:jc w:val="center"/>
              <w:rPr>
                <w:szCs w:val="20"/>
              </w:rPr>
            </w:pPr>
            <w:r w:rsidRPr="00D6000A">
              <w:rPr>
                <w:rFonts w:ascii="Calibri" w:hAnsi="Calibri" w:cs="Calibri"/>
                <w:color w:val="000000"/>
                <w:szCs w:val="20"/>
              </w:rPr>
              <w:t>n/a</w:t>
            </w:r>
          </w:p>
        </w:tc>
        <w:tc>
          <w:tcPr>
            <w:tcW w:w="1030" w:type="dxa"/>
            <w:vAlign w:val="center"/>
          </w:tcPr>
          <w:p w14:paraId="3183FBE3" w14:textId="77777777" w:rsidR="00DE1642" w:rsidRPr="00D6000A" w:rsidRDefault="00DE1642" w:rsidP="000878F6">
            <w:pPr>
              <w:pStyle w:val="Table"/>
              <w:jc w:val="center"/>
              <w:rPr>
                <w:szCs w:val="20"/>
              </w:rPr>
            </w:pPr>
            <w:r w:rsidRPr="00D6000A">
              <w:rPr>
                <w:rFonts w:ascii="Calibri" w:hAnsi="Calibri" w:cs="Calibri"/>
                <w:color w:val="000000"/>
                <w:szCs w:val="20"/>
              </w:rPr>
              <w:t>85,87</w:t>
            </w:r>
          </w:p>
        </w:tc>
        <w:tc>
          <w:tcPr>
            <w:tcW w:w="1217" w:type="dxa"/>
            <w:vAlign w:val="center"/>
          </w:tcPr>
          <w:p w14:paraId="2F630789" w14:textId="77777777" w:rsidR="00DE1642" w:rsidRPr="00D6000A" w:rsidRDefault="00DE1642" w:rsidP="000878F6">
            <w:pPr>
              <w:pStyle w:val="Table"/>
              <w:jc w:val="center"/>
              <w:rPr>
                <w:szCs w:val="20"/>
              </w:rPr>
            </w:pPr>
            <w:r w:rsidRPr="00D6000A">
              <w:rPr>
                <w:rFonts w:ascii="Calibri" w:hAnsi="Calibri" w:cs="Calibri"/>
                <w:color w:val="000000"/>
                <w:szCs w:val="20"/>
              </w:rPr>
              <w:t>85,72</w:t>
            </w:r>
          </w:p>
        </w:tc>
        <w:tc>
          <w:tcPr>
            <w:tcW w:w="967" w:type="dxa"/>
            <w:vAlign w:val="center"/>
          </w:tcPr>
          <w:p w14:paraId="0524E4F8" w14:textId="77777777" w:rsidR="00DE1642" w:rsidRPr="00D6000A" w:rsidRDefault="00DE1642" w:rsidP="000878F6">
            <w:pPr>
              <w:pStyle w:val="Table"/>
              <w:jc w:val="center"/>
              <w:rPr>
                <w:szCs w:val="20"/>
              </w:rPr>
            </w:pPr>
            <w:r w:rsidRPr="00D6000A">
              <w:rPr>
                <w:rFonts w:ascii="Calibri" w:hAnsi="Calibri" w:cs="Calibri"/>
                <w:color w:val="000000"/>
                <w:szCs w:val="20"/>
              </w:rPr>
              <w:t>12,86%</w:t>
            </w:r>
          </w:p>
        </w:tc>
        <w:tc>
          <w:tcPr>
            <w:tcW w:w="1283" w:type="dxa"/>
            <w:vAlign w:val="center"/>
          </w:tcPr>
          <w:p w14:paraId="7370BB88" w14:textId="77777777" w:rsidR="00DE1642" w:rsidRPr="00D6000A" w:rsidRDefault="00DE1642" w:rsidP="000878F6">
            <w:pPr>
              <w:pStyle w:val="Table"/>
              <w:jc w:val="center"/>
              <w:rPr>
                <w:szCs w:val="20"/>
              </w:rPr>
            </w:pPr>
            <w:r w:rsidRPr="00D6000A">
              <w:rPr>
                <w:rFonts w:ascii="Calibri" w:hAnsi="Calibri" w:cs="Calibri"/>
                <w:color w:val="000000"/>
                <w:szCs w:val="20"/>
              </w:rPr>
              <w:t>12,84%</w:t>
            </w:r>
          </w:p>
        </w:tc>
      </w:tr>
      <w:tr w:rsidR="00DE1642" w:rsidRPr="00355514" w14:paraId="329AA11E" w14:textId="77777777" w:rsidTr="00BA7936">
        <w:trPr>
          <w:trHeight w:val="237"/>
        </w:trPr>
        <w:tc>
          <w:tcPr>
            <w:tcW w:w="2247" w:type="dxa"/>
          </w:tcPr>
          <w:p w14:paraId="4CEBC60A" w14:textId="77777777" w:rsidR="00DE1642" w:rsidRPr="00F501DA" w:rsidRDefault="00DE1642" w:rsidP="000878F6">
            <w:pPr>
              <w:pStyle w:val="Table"/>
            </w:pPr>
            <w:r w:rsidRPr="00F501DA">
              <w:t>Waste Incineration</w:t>
            </w:r>
          </w:p>
        </w:tc>
        <w:tc>
          <w:tcPr>
            <w:tcW w:w="1123" w:type="dxa"/>
            <w:vAlign w:val="center"/>
          </w:tcPr>
          <w:p w14:paraId="0C194E4B" w14:textId="77777777" w:rsidR="00DE1642" w:rsidRPr="00D6000A" w:rsidRDefault="00DE1642" w:rsidP="000878F6">
            <w:pPr>
              <w:pStyle w:val="Table"/>
              <w:jc w:val="center"/>
              <w:rPr>
                <w:szCs w:val="20"/>
              </w:rPr>
            </w:pPr>
            <w:r w:rsidRPr="00D6000A">
              <w:rPr>
                <w:rFonts w:ascii="Calibri" w:hAnsi="Calibri" w:cs="Calibri"/>
                <w:color w:val="000000"/>
                <w:szCs w:val="20"/>
              </w:rPr>
              <w:t>-20,00%</w:t>
            </w:r>
          </w:p>
        </w:tc>
        <w:tc>
          <w:tcPr>
            <w:tcW w:w="1124" w:type="dxa"/>
            <w:vAlign w:val="center"/>
          </w:tcPr>
          <w:p w14:paraId="41DD52DC" w14:textId="77777777" w:rsidR="00DE1642" w:rsidRPr="00D6000A" w:rsidRDefault="00DE1642" w:rsidP="000878F6">
            <w:pPr>
              <w:pStyle w:val="Table"/>
              <w:jc w:val="center"/>
              <w:rPr>
                <w:szCs w:val="20"/>
              </w:rPr>
            </w:pPr>
            <w:r w:rsidRPr="00D6000A">
              <w:rPr>
                <w:rFonts w:ascii="Calibri" w:hAnsi="Calibri" w:cs="Calibri"/>
                <w:color w:val="000000"/>
                <w:szCs w:val="20"/>
              </w:rPr>
              <w:t>-20,00%</w:t>
            </w:r>
          </w:p>
        </w:tc>
        <w:tc>
          <w:tcPr>
            <w:tcW w:w="1030" w:type="dxa"/>
            <w:vAlign w:val="center"/>
          </w:tcPr>
          <w:p w14:paraId="62C0A3ED" w14:textId="77777777" w:rsidR="00DE1642" w:rsidRPr="00D6000A" w:rsidRDefault="00DE1642" w:rsidP="000878F6">
            <w:pPr>
              <w:pStyle w:val="Table"/>
              <w:jc w:val="center"/>
              <w:rPr>
                <w:szCs w:val="20"/>
              </w:rPr>
            </w:pPr>
            <w:r w:rsidRPr="00D6000A">
              <w:rPr>
                <w:rFonts w:ascii="Calibri" w:hAnsi="Calibri" w:cs="Calibri"/>
                <w:color w:val="000000"/>
                <w:szCs w:val="20"/>
              </w:rPr>
              <w:t>5,16</w:t>
            </w:r>
          </w:p>
        </w:tc>
        <w:tc>
          <w:tcPr>
            <w:tcW w:w="1217" w:type="dxa"/>
            <w:vAlign w:val="center"/>
          </w:tcPr>
          <w:p w14:paraId="135DAB6B" w14:textId="77777777" w:rsidR="00DE1642" w:rsidRPr="00D6000A" w:rsidRDefault="00DE1642" w:rsidP="000878F6">
            <w:pPr>
              <w:pStyle w:val="Table"/>
              <w:jc w:val="center"/>
              <w:rPr>
                <w:szCs w:val="20"/>
              </w:rPr>
            </w:pPr>
            <w:r w:rsidRPr="00D6000A">
              <w:rPr>
                <w:rFonts w:ascii="Calibri" w:hAnsi="Calibri" w:cs="Calibri"/>
                <w:color w:val="000000"/>
                <w:szCs w:val="20"/>
              </w:rPr>
              <w:t>5,32</w:t>
            </w:r>
          </w:p>
        </w:tc>
        <w:tc>
          <w:tcPr>
            <w:tcW w:w="967" w:type="dxa"/>
            <w:vAlign w:val="center"/>
          </w:tcPr>
          <w:p w14:paraId="0B85E611" w14:textId="77777777" w:rsidR="00DE1642" w:rsidRPr="00D6000A" w:rsidRDefault="00DE1642" w:rsidP="000878F6">
            <w:pPr>
              <w:pStyle w:val="Table"/>
              <w:jc w:val="center"/>
              <w:rPr>
                <w:szCs w:val="20"/>
              </w:rPr>
            </w:pPr>
            <w:r w:rsidRPr="00D6000A">
              <w:rPr>
                <w:rFonts w:ascii="Calibri" w:hAnsi="Calibri" w:cs="Calibri"/>
                <w:color w:val="000000"/>
                <w:szCs w:val="20"/>
              </w:rPr>
              <w:t>0,77%</w:t>
            </w:r>
          </w:p>
        </w:tc>
        <w:tc>
          <w:tcPr>
            <w:tcW w:w="1283" w:type="dxa"/>
            <w:vAlign w:val="center"/>
          </w:tcPr>
          <w:p w14:paraId="2AD7C483" w14:textId="77777777" w:rsidR="00DE1642" w:rsidRPr="00D6000A" w:rsidRDefault="00DE1642" w:rsidP="000878F6">
            <w:pPr>
              <w:pStyle w:val="Table"/>
              <w:jc w:val="center"/>
              <w:rPr>
                <w:szCs w:val="20"/>
              </w:rPr>
            </w:pPr>
            <w:r w:rsidRPr="00D6000A">
              <w:rPr>
                <w:rFonts w:ascii="Calibri" w:hAnsi="Calibri" w:cs="Calibri"/>
                <w:color w:val="000000"/>
                <w:szCs w:val="20"/>
              </w:rPr>
              <w:t>0,80%</w:t>
            </w:r>
          </w:p>
        </w:tc>
      </w:tr>
      <w:tr w:rsidR="00DE1642" w:rsidRPr="00355514" w14:paraId="67467537" w14:textId="77777777" w:rsidTr="00BA7936">
        <w:trPr>
          <w:trHeight w:val="237"/>
        </w:trPr>
        <w:tc>
          <w:tcPr>
            <w:tcW w:w="2247" w:type="dxa"/>
          </w:tcPr>
          <w:p w14:paraId="7123D955" w14:textId="77777777" w:rsidR="00DE1642" w:rsidRPr="00F501DA" w:rsidRDefault="00DE1642" w:rsidP="000878F6">
            <w:pPr>
              <w:pStyle w:val="Table"/>
            </w:pPr>
            <w:r w:rsidRPr="00F501DA">
              <w:t>Waste to Landfill</w:t>
            </w:r>
          </w:p>
        </w:tc>
        <w:tc>
          <w:tcPr>
            <w:tcW w:w="1123" w:type="dxa"/>
            <w:vAlign w:val="center"/>
          </w:tcPr>
          <w:p w14:paraId="07557F21" w14:textId="77777777" w:rsidR="00DE1642" w:rsidRPr="00D6000A" w:rsidRDefault="00DE1642" w:rsidP="000878F6">
            <w:pPr>
              <w:pStyle w:val="Table"/>
              <w:jc w:val="center"/>
              <w:rPr>
                <w:szCs w:val="20"/>
              </w:rPr>
            </w:pPr>
            <w:r w:rsidRPr="00D6000A">
              <w:rPr>
                <w:rFonts w:ascii="Calibri" w:hAnsi="Calibri" w:cs="Calibri"/>
                <w:color w:val="000000"/>
                <w:szCs w:val="20"/>
              </w:rPr>
              <w:t>-10,78%</w:t>
            </w:r>
          </w:p>
        </w:tc>
        <w:tc>
          <w:tcPr>
            <w:tcW w:w="1124" w:type="dxa"/>
            <w:vAlign w:val="center"/>
          </w:tcPr>
          <w:p w14:paraId="75FAC204" w14:textId="77777777" w:rsidR="00DE1642" w:rsidRPr="00D6000A" w:rsidRDefault="00DE1642" w:rsidP="000878F6">
            <w:pPr>
              <w:pStyle w:val="Table"/>
              <w:jc w:val="center"/>
              <w:rPr>
                <w:szCs w:val="20"/>
              </w:rPr>
            </w:pPr>
            <w:r w:rsidRPr="00D6000A">
              <w:rPr>
                <w:rFonts w:ascii="Calibri" w:hAnsi="Calibri" w:cs="Calibri"/>
                <w:color w:val="000000"/>
                <w:szCs w:val="20"/>
              </w:rPr>
              <w:t>-10,78%</w:t>
            </w:r>
          </w:p>
        </w:tc>
        <w:tc>
          <w:tcPr>
            <w:tcW w:w="1030" w:type="dxa"/>
            <w:vAlign w:val="center"/>
          </w:tcPr>
          <w:p w14:paraId="2FF21A07" w14:textId="77777777" w:rsidR="00DE1642" w:rsidRPr="00D6000A" w:rsidRDefault="00DE1642" w:rsidP="000878F6">
            <w:pPr>
              <w:pStyle w:val="Table"/>
              <w:jc w:val="center"/>
              <w:rPr>
                <w:szCs w:val="20"/>
              </w:rPr>
            </w:pPr>
            <w:r w:rsidRPr="00D6000A">
              <w:rPr>
                <w:rFonts w:ascii="Calibri" w:hAnsi="Calibri" w:cs="Calibri"/>
                <w:color w:val="000000"/>
                <w:szCs w:val="20"/>
              </w:rPr>
              <w:t>483,66</w:t>
            </w:r>
          </w:p>
        </w:tc>
        <w:tc>
          <w:tcPr>
            <w:tcW w:w="1217" w:type="dxa"/>
            <w:vAlign w:val="center"/>
          </w:tcPr>
          <w:p w14:paraId="75DD3AB5" w14:textId="77777777" w:rsidR="00DE1642" w:rsidRPr="00D6000A" w:rsidRDefault="00DE1642" w:rsidP="000878F6">
            <w:pPr>
              <w:pStyle w:val="Table"/>
              <w:jc w:val="center"/>
              <w:rPr>
                <w:szCs w:val="20"/>
              </w:rPr>
            </w:pPr>
            <w:r w:rsidRPr="00D6000A">
              <w:rPr>
                <w:rFonts w:ascii="Calibri" w:hAnsi="Calibri" w:cs="Calibri"/>
                <w:color w:val="000000"/>
                <w:szCs w:val="20"/>
              </w:rPr>
              <w:t>528,27</w:t>
            </w:r>
          </w:p>
        </w:tc>
        <w:tc>
          <w:tcPr>
            <w:tcW w:w="967" w:type="dxa"/>
            <w:vAlign w:val="center"/>
          </w:tcPr>
          <w:p w14:paraId="43222C7D" w14:textId="77777777" w:rsidR="00DE1642" w:rsidRPr="00D6000A" w:rsidRDefault="00DE1642" w:rsidP="000878F6">
            <w:pPr>
              <w:pStyle w:val="Table"/>
              <w:jc w:val="center"/>
              <w:rPr>
                <w:szCs w:val="20"/>
              </w:rPr>
            </w:pPr>
            <w:r w:rsidRPr="00D6000A">
              <w:rPr>
                <w:rFonts w:ascii="Calibri" w:hAnsi="Calibri" w:cs="Calibri"/>
                <w:color w:val="000000"/>
                <w:szCs w:val="20"/>
              </w:rPr>
              <w:t>72,45%</w:t>
            </w:r>
          </w:p>
        </w:tc>
        <w:tc>
          <w:tcPr>
            <w:tcW w:w="1283" w:type="dxa"/>
            <w:vAlign w:val="center"/>
          </w:tcPr>
          <w:p w14:paraId="11117F1F" w14:textId="77777777" w:rsidR="00DE1642" w:rsidRPr="00D6000A" w:rsidRDefault="00DE1642" w:rsidP="000878F6">
            <w:pPr>
              <w:pStyle w:val="Table"/>
              <w:jc w:val="center"/>
              <w:rPr>
                <w:szCs w:val="20"/>
              </w:rPr>
            </w:pPr>
            <w:r w:rsidRPr="00D6000A">
              <w:rPr>
                <w:rFonts w:ascii="Calibri" w:hAnsi="Calibri" w:cs="Calibri"/>
                <w:color w:val="000000"/>
                <w:szCs w:val="20"/>
              </w:rPr>
              <w:t>79,14%</w:t>
            </w:r>
          </w:p>
        </w:tc>
      </w:tr>
      <w:tr w:rsidR="00DE1642" w:rsidRPr="00355514" w14:paraId="0089CD40" w14:textId="77777777" w:rsidTr="00BA7936">
        <w:trPr>
          <w:trHeight w:val="237"/>
        </w:trPr>
        <w:tc>
          <w:tcPr>
            <w:tcW w:w="2247" w:type="dxa"/>
          </w:tcPr>
          <w:p w14:paraId="150BBE96" w14:textId="77777777" w:rsidR="00DE1642" w:rsidRPr="00F501DA" w:rsidRDefault="00DE1642" w:rsidP="000878F6">
            <w:pPr>
              <w:pStyle w:val="Table"/>
            </w:pPr>
            <w:r w:rsidRPr="00F501DA">
              <w:t>Water Effluent</w:t>
            </w:r>
          </w:p>
        </w:tc>
        <w:tc>
          <w:tcPr>
            <w:tcW w:w="1123" w:type="dxa"/>
            <w:vAlign w:val="center"/>
          </w:tcPr>
          <w:p w14:paraId="7E9B40C7" w14:textId="77777777" w:rsidR="00DE1642" w:rsidRPr="00D6000A" w:rsidRDefault="00DE1642" w:rsidP="000878F6">
            <w:pPr>
              <w:pStyle w:val="Table"/>
              <w:jc w:val="center"/>
              <w:rPr>
                <w:szCs w:val="20"/>
              </w:rPr>
            </w:pPr>
            <w:r w:rsidRPr="00D6000A">
              <w:rPr>
                <w:rFonts w:ascii="Calibri" w:hAnsi="Calibri" w:cs="Calibri"/>
                <w:color w:val="000000"/>
                <w:szCs w:val="20"/>
              </w:rPr>
              <w:t>-6,61%</w:t>
            </w:r>
          </w:p>
        </w:tc>
        <w:tc>
          <w:tcPr>
            <w:tcW w:w="1124" w:type="dxa"/>
            <w:vAlign w:val="center"/>
          </w:tcPr>
          <w:p w14:paraId="25110CA7" w14:textId="77777777" w:rsidR="00DE1642" w:rsidRPr="00D6000A" w:rsidRDefault="00DE1642" w:rsidP="000878F6">
            <w:pPr>
              <w:pStyle w:val="Table"/>
              <w:jc w:val="center"/>
              <w:rPr>
                <w:szCs w:val="20"/>
              </w:rPr>
            </w:pPr>
            <w:r w:rsidRPr="00D6000A">
              <w:rPr>
                <w:rFonts w:ascii="Calibri" w:hAnsi="Calibri" w:cs="Calibri"/>
                <w:color w:val="000000"/>
                <w:szCs w:val="20"/>
              </w:rPr>
              <w:t>-6,61%</w:t>
            </w:r>
          </w:p>
        </w:tc>
        <w:tc>
          <w:tcPr>
            <w:tcW w:w="1030" w:type="dxa"/>
            <w:vAlign w:val="center"/>
          </w:tcPr>
          <w:p w14:paraId="1A1F2DF9" w14:textId="77777777" w:rsidR="00DE1642" w:rsidRPr="00D6000A" w:rsidRDefault="00DE1642" w:rsidP="000878F6">
            <w:pPr>
              <w:pStyle w:val="Table"/>
              <w:jc w:val="center"/>
              <w:rPr>
                <w:szCs w:val="20"/>
              </w:rPr>
            </w:pPr>
            <w:r w:rsidRPr="00D6000A">
              <w:rPr>
                <w:rFonts w:ascii="Calibri" w:hAnsi="Calibri" w:cs="Calibri"/>
                <w:color w:val="000000"/>
                <w:szCs w:val="20"/>
              </w:rPr>
              <w:t>727,89</w:t>
            </w:r>
          </w:p>
        </w:tc>
        <w:tc>
          <w:tcPr>
            <w:tcW w:w="1217" w:type="dxa"/>
            <w:vAlign w:val="center"/>
          </w:tcPr>
          <w:p w14:paraId="393371FD" w14:textId="77777777" w:rsidR="00DE1642" w:rsidRPr="00D6000A" w:rsidRDefault="00DE1642" w:rsidP="000878F6">
            <w:pPr>
              <w:pStyle w:val="Table"/>
              <w:jc w:val="center"/>
              <w:rPr>
                <w:szCs w:val="20"/>
              </w:rPr>
            </w:pPr>
            <w:r w:rsidRPr="00D6000A">
              <w:rPr>
                <w:rFonts w:ascii="Calibri" w:hAnsi="Calibri" w:cs="Calibri"/>
                <w:color w:val="000000"/>
                <w:szCs w:val="20"/>
              </w:rPr>
              <w:t>710,32</w:t>
            </w:r>
          </w:p>
        </w:tc>
        <w:tc>
          <w:tcPr>
            <w:tcW w:w="967" w:type="dxa"/>
            <w:vAlign w:val="center"/>
          </w:tcPr>
          <w:p w14:paraId="05A8CA29" w14:textId="77777777" w:rsidR="00DE1642" w:rsidRPr="00D6000A" w:rsidRDefault="00DE1642" w:rsidP="000878F6">
            <w:pPr>
              <w:pStyle w:val="Table"/>
              <w:jc w:val="center"/>
              <w:rPr>
                <w:szCs w:val="20"/>
              </w:rPr>
            </w:pPr>
            <w:r w:rsidRPr="00D6000A">
              <w:rPr>
                <w:rFonts w:ascii="Calibri" w:hAnsi="Calibri" w:cs="Calibri"/>
                <w:color w:val="000000"/>
                <w:szCs w:val="20"/>
              </w:rPr>
              <w:t>109,04%</w:t>
            </w:r>
          </w:p>
        </w:tc>
        <w:tc>
          <w:tcPr>
            <w:tcW w:w="1283" w:type="dxa"/>
            <w:vAlign w:val="center"/>
          </w:tcPr>
          <w:p w14:paraId="376032CE" w14:textId="77777777" w:rsidR="00DE1642" w:rsidRPr="00D6000A" w:rsidRDefault="00DE1642" w:rsidP="000878F6">
            <w:pPr>
              <w:pStyle w:val="Table"/>
              <w:jc w:val="center"/>
              <w:rPr>
                <w:szCs w:val="20"/>
              </w:rPr>
            </w:pPr>
            <w:r w:rsidRPr="00D6000A">
              <w:rPr>
                <w:rFonts w:ascii="Calibri" w:hAnsi="Calibri" w:cs="Calibri"/>
                <w:color w:val="000000"/>
                <w:szCs w:val="20"/>
              </w:rPr>
              <w:t>106,41%</w:t>
            </w:r>
          </w:p>
        </w:tc>
      </w:tr>
      <w:tr w:rsidR="00DE1642" w:rsidRPr="00355514" w14:paraId="6A7E8DBB" w14:textId="77777777" w:rsidTr="00BA7936">
        <w:trPr>
          <w:trHeight w:val="237"/>
        </w:trPr>
        <w:tc>
          <w:tcPr>
            <w:tcW w:w="2247" w:type="dxa"/>
          </w:tcPr>
          <w:p w14:paraId="4193BD82" w14:textId="77777777" w:rsidR="00DE1642" w:rsidRPr="00355514" w:rsidRDefault="00DE1642" w:rsidP="000878F6">
            <w:pPr>
              <w:pStyle w:val="Table"/>
            </w:pPr>
            <w:r w:rsidRPr="00355514">
              <w:t>Minerals &amp; Aggregates</w:t>
            </w:r>
          </w:p>
        </w:tc>
        <w:tc>
          <w:tcPr>
            <w:tcW w:w="1123" w:type="dxa"/>
            <w:vAlign w:val="center"/>
          </w:tcPr>
          <w:p w14:paraId="5BD9F2FA" w14:textId="77777777" w:rsidR="00DE1642" w:rsidRPr="00D6000A" w:rsidRDefault="00DE1642" w:rsidP="000878F6">
            <w:pPr>
              <w:pStyle w:val="Table"/>
              <w:jc w:val="center"/>
              <w:rPr>
                <w:szCs w:val="20"/>
              </w:rPr>
            </w:pPr>
            <w:r w:rsidRPr="00D6000A">
              <w:rPr>
                <w:rFonts w:ascii="Calibri" w:hAnsi="Calibri" w:cs="Calibri"/>
                <w:color w:val="000000"/>
                <w:szCs w:val="20"/>
              </w:rPr>
              <w:t>-15,56%</w:t>
            </w:r>
          </w:p>
        </w:tc>
        <w:tc>
          <w:tcPr>
            <w:tcW w:w="1124" w:type="dxa"/>
            <w:vAlign w:val="center"/>
          </w:tcPr>
          <w:p w14:paraId="534B4273" w14:textId="77777777" w:rsidR="00DE1642" w:rsidRPr="00D6000A" w:rsidRDefault="00DE1642" w:rsidP="000878F6">
            <w:pPr>
              <w:pStyle w:val="Table"/>
              <w:jc w:val="center"/>
              <w:rPr>
                <w:szCs w:val="20"/>
              </w:rPr>
            </w:pPr>
            <w:r w:rsidRPr="00D6000A">
              <w:rPr>
                <w:rFonts w:ascii="Calibri" w:hAnsi="Calibri" w:cs="Calibri"/>
                <w:color w:val="000000"/>
                <w:szCs w:val="20"/>
              </w:rPr>
              <w:t>-15,56%</w:t>
            </w:r>
          </w:p>
        </w:tc>
        <w:tc>
          <w:tcPr>
            <w:tcW w:w="1030" w:type="dxa"/>
            <w:vAlign w:val="center"/>
          </w:tcPr>
          <w:p w14:paraId="0941299F" w14:textId="77777777" w:rsidR="00DE1642" w:rsidRPr="00D6000A" w:rsidRDefault="00DE1642" w:rsidP="000878F6">
            <w:pPr>
              <w:pStyle w:val="Table"/>
              <w:jc w:val="center"/>
              <w:rPr>
                <w:szCs w:val="20"/>
              </w:rPr>
            </w:pPr>
            <w:r w:rsidRPr="00D6000A">
              <w:rPr>
                <w:rFonts w:ascii="Calibri" w:hAnsi="Calibri" w:cs="Calibri"/>
                <w:color w:val="000000"/>
                <w:szCs w:val="20"/>
              </w:rPr>
              <w:t>538,71</w:t>
            </w:r>
          </w:p>
        </w:tc>
        <w:tc>
          <w:tcPr>
            <w:tcW w:w="1217" w:type="dxa"/>
            <w:vAlign w:val="center"/>
          </w:tcPr>
          <w:p w14:paraId="23E66532" w14:textId="77777777" w:rsidR="00DE1642" w:rsidRPr="00D6000A" w:rsidRDefault="00DE1642" w:rsidP="000878F6">
            <w:pPr>
              <w:pStyle w:val="Table"/>
              <w:jc w:val="center"/>
              <w:rPr>
                <w:szCs w:val="20"/>
              </w:rPr>
            </w:pPr>
            <w:r w:rsidRPr="00D6000A">
              <w:rPr>
                <w:rFonts w:ascii="Calibri" w:hAnsi="Calibri" w:cs="Calibri"/>
                <w:color w:val="000000"/>
                <w:szCs w:val="20"/>
              </w:rPr>
              <w:t>571,33</w:t>
            </w:r>
          </w:p>
        </w:tc>
        <w:tc>
          <w:tcPr>
            <w:tcW w:w="967" w:type="dxa"/>
            <w:vAlign w:val="center"/>
          </w:tcPr>
          <w:p w14:paraId="58C4FDFD" w14:textId="77777777" w:rsidR="00DE1642" w:rsidRPr="00D6000A" w:rsidRDefault="00DE1642" w:rsidP="000878F6">
            <w:pPr>
              <w:pStyle w:val="Table"/>
              <w:jc w:val="center"/>
              <w:rPr>
                <w:szCs w:val="20"/>
              </w:rPr>
            </w:pPr>
            <w:r w:rsidRPr="00D6000A">
              <w:rPr>
                <w:rFonts w:ascii="Calibri" w:hAnsi="Calibri" w:cs="Calibri"/>
                <w:color w:val="000000"/>
                <w:szCs w:val="20"/>
              </w:rPr>
              <w:t>4147,13%</w:t>
            </w:r>
          </w:p>
        </w:tc>
        <w:tc>
          <w:tcPr>
            <w:tcW w:w="1283" w:type="dxa"/>
            <w:vAlign w:val="center"/>
          </w:tcPr>
          <w:p w14:paraId="1850B00C" w14:textId="77777777" w:rsidR="00DE1642" w:rsidRPr="00D6000A" w:rsidRDefault="00DE1642" w:rsidP="000878F6">
            <w:pPr>
              <w:pStyle w:val="Table"/>
              <w:jc w:val="center"/>
              <w:rPr>
                <w:szCs w:val="20"/>
              </w:rPr>
            </w:pPr>
            <w:r w:rsidRPr="00D6000A">
              <w:rPr>
                <w:rFonts w:ascii="Calibri" w:hAnsi="Calibri" w:cs="Calibri"/>
                <w:color w:val="000000"/>
                <w:szCs w:val="20"/>
              </w:rPr>
              <w:t>4398,24%</w:t>
            </w:r>
          </w:p>
        </w:tc>
      </w:tr>
    </w:tbl>
    <w:p w14:paraId="141022D1" w14:textId="77777777" w:rsidR="00DE1642" w:rsidRDefault="00DE1642" w:rsidP="00DE1642">
      <w:pPr>
        <w:rPr>
          <w:b/>
          <w:bCs/>
          <w:lang w:eastAsia="en-GB"/>
        </w:rPr>
      </w:pP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123"/>
        <w:gridCol w:w="1124"/>
        <w:gridCol w:w="1030"/>
        <w:gridCol w:w="1217"/>
        <w:gridCol w:w="967"/>
        <w:gridCol w:w="1283"/>
      </w:tblGrid>
      <w:tr w:rsidR="00DE1642" w:rsidRPr="00BC5A92" w14:paraId="0B579BB0" w14:textId="77777777" w:rsidTr="00BA7936">
        <w:trPr>
          <w:trHeight w:val="258"/>
        </w:trPr>
        <w:tc>
          <w:tcPr>
            <w:tcW w:w="8991" w:type="dxa"/>
            <w:gridSpan w:val="7"/>
            <w:shd w:val="clear" w:color="auto" w:fill="003399"/>
          </w:tcPr>
          <w:p w14:paraId="4A146446" w14:textId="17C07D2D" w:rsidR="00DE1642" w:rsidRPr="00BC5A92" w:rsidRDefault="00DE1642" w:rsidP="000878F6">
            <w:pPr>
              <w:pStyle w:val="Table"/>
              <w:rPr>
                <w:b/>
                <w:szCs w:val="20"/>
                <w:lang w:eastAsia="en-GB"/>
              </w:rPr>
            </w:pPr>
            <w:r w:rsidRPr="00BC5A92">
              <w:rPr>
                <w:b/>
                <w:color w:val="FFFFFF" w:themeColor="background1"/>
                <w:szCs w:val="20"/>
              </w:rPr>
              <w:t xml:space="preserve">Table </w:t>
            </w:r>
            <w:r w:rsidR="00490085">
              <w:rPr>
                <w:b/>
                <w:bCs/>
                <w:color w:val="FFFFFF" w:themeColor="background1"/>
                <w:szCs w:val="20"/>
              </w:rPr>
              <w:t>A6</w:t>
            </w:r>
            <w:r w:rsidRPr="00BC5A92">
              <w:rPr>
                <w:b/>
                <w:bCs/>
                <w:color w:val="FFFFFF" w:themeColor="background1"/>
                <w:szCs w:val="20"/>
              </w:rPr>
              <w:t>-</w:t>
            </w:r>
            <w:r w:rsidRPr="00BC5A92">
              <w:rPr>
                <w:b/>
                <w:bCs/>
                <w:color w:val="FFFFFF" w:themeColor="background1"/>
                <w:szCs w:val="20"/>
              </w:rPr>
              <w:fldChar w:fldCharType="begin"/>
            </w:r>
            <w:r w:rsidRPr="00BC5A92">
              <w:rPr>
                <w:b/>
                <w:bCs/>
                <w:color w:val="FFFFFF" w:themeColor="background1"/>
                <w:szCs w:val="20"/>
              </w:rPr>
              <w:instrText xml:space="preserve"> SEQ Table_A5- \* ARABIC </w:instrText>
            </w:r>
            <w:r w:rsidRPr="00BC5A92">
              <w:rPr>
                <w:b/>
                <w:bCs/>
                <w:color w:val="FFFFFF" w:themeColor="background1"/>
                <w:szCs w:val="20"/>
              </w:rPr>
              <w:fldChar w:fldCharType="separate"/>
            </w:r>
            <w:r>
              <w:rPr>
                <w:b/>
                <w:bCs/>
                <w:noProof/>
                <w:color w:val="FFFFFF" w:themeColor="background1"/>
                <w:szCs w:val="20"/>
              </w:rPr>
              <w:t>107</w:t>
            </w:r>
            <w:r w:rsidRPr="00BC5A92">
              <w:rPr>
                <w:b/>
                <w:bCs/>
                <w:color w:val="FFFFFF" w:themeColor="background1"/>
                <w:szCs w:val="20"/>
              </w:rPr>
              <w:fldChar w:fldCharType="end"/>
            </w:r>
            <w:r w:rsidRPr="00BC5A92">
              <w:rPr>
                <w:b/>
                <w:bCs/>
                <w:color w:val="FFFFFF" w:themeColor="background1"/>
                <w:szCs w:val="20"/>
                <w:lang w:eastAsia="en-GB"/>
              </w:rPr>
              <w:t>:</w:t>
            </w:r>
            <w:r w:rsidRPr="00BC5A92">
              <w:rPr>
                <w:b/>
                <w:color w:val="FFFFFF" w:themeColor="background1"/>
                <w:szCs w:val="20"/>
                <w:lang w:eastAsia="en-GB"/>
              </w:rPr>
              <w:t xml:space="preserve"> Environmental Impacts and Revenue Changes in Poland – Scenario B</w:t>
            </w:r>
          </w:p>
        </w:tc>
      </w:tr>
      <w:tr w:rsidR="00DE1642" w:rsidRPr="00BC5A92" w14:paraId="5A1BD358" w14:textId="77777777" w:rsidTr="00BA7936">
        <w:trPr>
          <w:trHeight w:val="492"/>
        </w:trPr>
        <w:tc>
          <w:tcPr>
            <w:tcW w:w="2247" w:type="dxa"/>
          </w:tcPr>
          <w:p w14:paraId="3AFC62A3" w14:textId="77777777" w:rsidR="00DE1642" w:rsidRPr="00BC5A92" w:rsidRDefault="00DE1642" w:rsidP="000878F6">
            <w:pPr>
              <w:pStyle w:val="Table"/>
              <w:rPr>
                <w:b/>
                <w:szCs w:val="20"/>
              </w:rPr>
            </w:pPr>
            <w:r w:rsidRPr="00BC5A92">
              <w:rPr>
                <w:b/>
                <w:szCs w:val="20"/>
              </w:rPr>
              <w:t>Tax Name</w:t>
            </w:r>
          </w:p>
        </w:tc>
        <w:tc>
          <w:tcPr>
            <w:tcW w:w="2247" w:type="dxa"/>
            <w:gridSpan w:val="2"/>
            <w:vAlign w:val="bottom"/>
          </w:tcPr>
          <w:p w14:paraId="7F60EDCA" w14:textId="77777777" w:rsidR="00DE1642" w:rsidRPr="00BC5A92" w:rsidRDefault="00DE1642" w:rsidP="000878F6">
            <w:pPr>
              <w:pStyle w:val="Table"/>
              <w:jc w:val="center"/>
              <w:rPr>
                <w:b/>
                <w:szCs w:val="20"/>
              </w:rPr>
            </w:pPr>
            <w:r w:rsidRPr="00BC5A92">
              <w:rPr>
                <w:rFonts w:ascii="Calibri" w:hAnsi="Calibri" w:cs="Calibri"/>
                <w:b/>
                <w:bCs/>
                <w:color w:val="000000"/>
                <w:szCs w:val="20"/>
              </w:rPr>
              <w:t>% Change in Quantities as % of taxed sector</w:t>
            </w:r>
          </w:p>
        </w:tc>
        <w:tc>
          <w:tcPr>
            <w:tcW w:w="2247" w:type="dxa"/>
            <w:gridSpan w:val="2"/>
            <w:vAlign w:val="bottom"/>
          </w:tcPr>
          <w:p w14:paraId="448F51C6" w14:textId="77777777" w:rsidR="00DE1642" w:rsidRPr="00BC5A92" w:rsidRDefault="00DE1642" w:rsidP="000878F6">
            <w:pPr>
              <w:pStyle w:val="Table"/>
              <w:jc w:val="center"/>
              <w:rPr>
                <w:b/>
                <w:szCs w:val="20"/>
              </w:rPr>
            </w:pPr>
            <w:r w:rsidRPr="00BC5A92">
              <w:rPr>
                <w:rFonts w:ascii="Calibri" w:hAnsi="Calibri" w:cs="Calibri"/>
                <w:b/>
                <w:bCs/>
                <w:color w:val="000000"/>
                <w:szCs w:val="20"/>
              </w:rPr>
              <w:t>Change in Revenues (€Mn)</w:t>
            </w:r>
          </w:p>
        </w:tc>
        <w:tc>
          <w:tcPr>
            <w:tcW w:w="2250" w:type="dxa"/>
            <w:gridSpan w:val="2"/>
            <w:vAlign w:val="bottom"/>
          </w:tcPr>
          <w:p w14:paraId="4940E847" w14:textId="77777777" w:rsidR="00DE1642" w:rsidRPr="00BC5A92" w:rsidRDefault="00DE1642" w:rsidP="000878F6">
            <w:pPr>
              <w:pStyle w:val="Table"/>
              <w:jc w:val="center"/>
              <w:rPr>
                <w:b/>
                <w:szCs w:val="20"/>
              </w:rPr>
            </w:pPr>
            <w:r w:rsidRPr="00BC5A92">
              <w:rPr>
                <w:rFonts w:ascii="Calibri" w:hAnsi="Calibri" w:cs="Calibri"/>
                <w:b/>
                <w:bCs/>
                <w:color w:val="000000"/>
                <w:szCs w:val="20"/>
              </w:rPr>
              <w:t>As % of 2023 Resource Tax</w:t>
            </w:r>
          </w:p>
        </w:tc>
      </w:tr>
      <w:tr w:rsidR="00DE1642" w:rsidRPr="00BC5A92" w14:paraId="45FD044F" w14:textId="77777777" w:rsidTr="00BA7936">
        <w:trPr>
          <w:trHeight w:val="237"/>
        </w:trPr>
        <w:tc>
          <w:tcPr>
            <w:tcW w:w="2247" w:type="dxa"/>
          </w:tcPr>
          <w:p w14:paraId="7887B1DB" w14:textId="77777777" w:rsidR="00DE1642" w:rsidRPr="00BC5A92" w:rsidRDefault="00DE1642" w:rsidP="000878F6">
            <w:pPr>
              <w:pStyle w:val="Table"/>
              <w:jc w:val="left"/>
              <w:rPr>
                <w:b/>
                <w:szCs w:val="20"/>
              </w:rPr>
            </w:pPr>
            <w:r w:rsidRPr="00BC5A92">
              <w:rPr>
                <w:b/>
                <w:szCs w:val="20"/>
              </w:rPr>
              <w:t>Year</w:t>
            </w:r>
          </w:p>
        </w:tc>
        <w:tc>
          <w:tcPr>
            <w:tcW w:w="1123" w:type="dxa"/>
          </w:tcPr>
          <w:p w14:paraId="08BF0510" w14:textId="77777777" w:rsidR="00DE1642" w:rsidRPr="00BC5A92" w:rsidRDefault="00DE1642" w:rsidP="000878F6">
            <w:pPr>
              <w:pStyle w:val="Table"/>
              <w:jc w:val="center"/>
              <w:rPr>
                <w:b/>
                <w:szCs w:val="20"/>
              </w:rPr>
            </w:pPr>
            <w:r w:rsidRPr="00BC5A92">
              <w:rPr>
                <w:b/>
                <w:szCs w:val="20"/>
              </w:rPr>
              <w:t>2030</w:t>
            </w:r>
          </w:p>
        </w:tc>
        <w:tc>
          <w:tcPr>
            <w:tcW w:w="1124" w:type="dxa"/>
          </w:tcPr>
          <w:p w14:paraId="2331FCDF" w14:textId="77777777" w:rsidR="00DE1642" w:rsidRPr="00BC5A92" w:rsidRDefault="00DE1642" w:rsidP="000878F6">
            <w:pPr>
              <w:pStyle w:val="Table"/>
              <w:jc w:val="center"/>
              <w:rPr>
                <w:b/>
                <w:szCs w:val="20"/>
              </w:rPr>
            </w:pPr>
            <w:r w:rsidRPr="00BC5A92">
              <w:rPr>
                <w:b/>
                <w:szCs w:val="20"/>
              </w:rPr>
              <w:t>2035</w:t>
            </w:r>
          </w:p>
        </w:tc>
        <w:tc>
          <w:tcPr>
            <w:tcW w:w="1030" w:type="dxa"/>
          </w:tcPr>
          <w:p w14:paraId="4FBECA7B" w14:textId="77777777" w:rsidR="00DE1642" w:rsidRPr="00BC5A92" w:rsidRDefault="00DE1642" w:rsidP="000878F6">
            <w:pPr>
              <w:pStyle w:val="Table"/>
              <w:jc w:val="center"/>
              <w:rPr>
                <w:b/>
                <w:szCs w:val="20"/>
              </w:rPr>
            </w:pPr>
            <w:r w:rsidRPr="00BC5A92">
              <w:rPr>
                <w:b/>
                <w:szCs w:val="20"/>
              </w:rPr>
              <w:t>2030</w:t>
            </w:r>
          </w:p>
        </w:tc>
        <w:tc>
          <w:tcPr>
            <w:tcW w:w="1217" w:type="dxa"/>
          </w:tcPr>
          <w:p w14:paraId="656AB7DC" w14:textId="77777777" w:rsidR="00DE1642" w:rsidRPr="00BC5A92" w:rsidRDefault="00DE1642" w:rsidP="000878F6">
            <w:pPr>
              <w:pStyle w:val="Table"/>
              <w:jc w:val="center"/>
              <w:rPr>
                <w:b/>
                <w:szCs w:val="20"/>
              </w:rPr>
            </w:pPr>
            <w:r w:rsidRPr="00BC5A92">
              <w:rPr>
                <w:b/>
                <w:szCs w:val="20"/>
              </w:rPr>
              <w:t>2035</w:t>
            </w:r>
          </w:p>
        </w:tc>
        <w:tc>
          <w:tcPr>
            <w:tcW w:w="967" w:type="dxa"/>
          </w:tcPr>
          <w:p w14:paraId="4A1C5155" w14:textId="77777777" w:rsidR="00DE1642" w:rsidRPr="00BC5A92" w:rsidRDefault="00DE1642" w:rsidP="000878F6">
            <w:pPr>
              <w:pStyle w:val="Table"/>
              <w:jc w:val="center"/>
              <w:rPr>
                <w:b/>
                <w:szCs w:val="20"/>
              </w:rPr>
            </w:pPr>
            <w:r w:rsidRPr="00BC5A92">
              <w:rPr>
                <w:b/>
                <w:szCs w:val="20"/>
              </w:rPr>
              <w:t>2030</w:t>
            </w:r>
          </w:p>
        </w:tc>
        <w:tc>
          <w:tcPr>
            <w:tcW w:w="1283" w:type="dxa"/>
          </w:tcPr>
          <w:p w14:paraId="3B68FEA0" w14:textId="77777777" w:rsidR="00DE1642" w:rsidRPr="00BC5A92" w:rsidRDefault="00DE1642" w:rsidP="000878F6">
            <w:pPr>
              <w:pStyle w:val="Table"/>
              <w:jc w:val="center"/>
              <w:rPr>
                <w:b/>
                <w:szCs w:val="20"/>
              </w:rPr>
            </w:pPr>
            <w:r w:rsidRPr="00BC5A92">
              <w:rPr>
                <w:b/>
                <w:szCs w:val="20"/>
              </w:rPr>
              <w:t>2035</w:t>
            </w:r>
          </w:p>
        </w:tc>
      </w:tr>
      <w:tr w:rsidR="00DE1642" w:rsidRPr="00BC5A92" w14:paraId="7147FC5C" w14:textId="77777777" w:rsidTr="00BA7936">
        <w:trPr>
          <w:trHeight w:val="237"/>
        </w:trPr>
        <w:tc>
          <w:tcPr>
            <w:tcW w:w="2247" w:type="dxa"/>
          </w:tcPr>
          <w:p w14:paraId="169B2FC8" w14:textId="77777777" w:rsidR="00DE1642" w:rsidRPr="00BC5A92" w:rsidRDefault="00DE1642" w:rsidP="000878F6">
            <w:pPr>
              <w:pStyle w:val="Table"/>
              <w:rPr>
                <w:szCs w:val="20"/>
              </w:rPr>
            </w:pPr>
            <w:r w:rsidRPr="00BC5A92">
              <w:rPr>
                <w:szCs w:val="20"/>
              </w:rPr>
              <w:t>NOx</w:t>
            </w:r>
          </w:p>
        </w:tc>
        <w:tc>
          <w:tcPr>
            <w:tcW w:w="1123" w:type="dxa"/>
            <w:vAlign w:val="center"/>
          </w:tcPr>
          <w:p w14:paraId="5A84C068" w14:textId="77777777" w:rsidR="00DE1642" w:rsidRPr="00BC5A92" w:rsidRDefault="00DE1642" w:rsidP="000878F6">
            <w:pPr>
              <w:pStyle w:val="Table"/>
              <w:jc w:val="center"/>
              <w:rPr>
                <w:szCs w:val="20"/>
              </w:rPr>
            </w:pPr>
            <w:r w:rsidRPr="00BC5A92">
              <w:rPr>
                <w:rFonts w:ascii="Calibri" w:hAnsi="Calibri" w:cs="Calibri"/>
                <w:color w:val="000000"/>
                <w:szCs w:val="20"/>
              </w:rPr>
              <w:t>-7,39%</w:t>
            </w:r>
          </w:p>
        </w:tc>
        <w:tc>
          <w:tcPr>
            <w:tcW w:w="1124" w:type="dxa"/>
            <w:vAlign w:val="center"/>
          </w:tcPr>
          <w:p w14:paraId="31D62AD3" w14:textId="77777777" w:rsidR="00DE1642" w:rsidRPr="00BC5A92" w:rsidRDefault="00DE1642" w:rsidP="000878F6">
            <w:pPr>
              <w:pStyle w:val="Table"/>
              <w:jc w:val="center"/>
              <w:rPr>
                <w:szCs w:val="20"/>
              </w:rPr>
            </w:pPr>
            <w:r w:rsidRPr="00BC5A92">
              <w:rPr>
                <w:rFonts w:ascii="Calibri" w:hAnsi="Calibri" w:cs="Calibri"/>
                <w:color w:val="000000"/>
                <w:szCs w:val="20"/>
              </w:rPr>
              <w:t>-7,39%</w:t>
            </w:r>
          </w:p>
        </w:tc>
        <w:tc>
          <w:tcPr>
            <w:tcW w:w="1030" w:type="dxa"/>
            <w:vAlign w:val="center"/>
          </w:tcPr>
          <w:p w14:paraId="0035C0B7" w14:textId="77777777" w:rsidR="00DE1642" w:rsidRPr="00BC5A92" w:rsidRDefault="00DE1642" w:rsidP="000878F6">
            <w:pPr>
              <w:pStyle w:val="Table"/>
              <w:jc w:val="center"/>
              <w:rPr>
                <w:szCs w:val="20"/>
              </w:rPr>
            </w:pPr>
            <w:r w:rsidRPr="00BC5A92">
              <w:rPr>
                <w:rFonts w:ascii="Calibri" w:hAnsi="Calibri" w:cs="Calibri"/>
                <w:color w:val="000000"/>
                <w:szCs w:val="20"/>
              </w:rPr>
              <w:t>0,94</w:t>
            </w:r>
          </w:p>
        </w:tc>
        <w:tc>
          <w:tcPr>
            <w:tcW w:w="1217" w:type="dxa"/>
            <w:vAlign w:val="center"/>
          </w:tcPr>
          <w:p w14:paraId="292EDAB7" w14:textId="77777777" w:rsidR="00DE1642" w:rsidRPr="00BC5A92" w:rsidRDefault="00DE1642" w:rsidP="000878F6">
            <w:pPr>
              <w:pStyle w:val="Table"/>
              <w:jc w:val="center"/>
              <w:rPr>
                <w:szCs w:val="20"/>
              </w:rPr>
            </w:pPr>
            <w:r w:rsidRPr="00BC5A92">
              <w:rPr>
                <w:rFonts w:ascii="Calibri" w:hAnsi="Calibri" w:cs="Calibri"/>
                <w:color w:val="000000"/>
                <w:szCs w:val="20"/>
              </w:rPr>
              <w:t>0,83</w:t>
            </w:r>
          </w:p>
        </w:tc>
        <w:tc>
          <w:tcPr>
            <w:tcW w:w="967" w:type="dxa"/>
            <w:vAlign w:val="center"/>
          </w:tcPr>
          <w:p w14:paraId="058954BC" w14:textId="77777777" w:rsidR="00DE1642" w:rsidRPr="00BC5A92" w:rsidRDefault="00DE1642" w:rsidP="000878F6">
            <w:pPr>
              <w:pStyle w:val="Table"/>
              <w:jc w:val="center"/>
              <w:rPr>
                <w:szCs w:val="20"/>
              </w:rPr>
            </w:pPr>
            <w:r w:rsidRPr="00BC5A92">
              <w:rPr>
                <w:rFonts w:ascii="Calibri" w:hAnsi="Calibri" w:cs="Calibri"/>
                <w:color w:val="000000"/>
                <w:szCs w:val="20"/>
              </w:rPr>
              <w:t>0,1%</w:t>
            </w:r>
          </w:p>
        </w:tc>
        <w:tc>
          <w:tcPr>
            <w:tcW w:w="1283" w:type="dxa"/>
            <w:vAlign w:val="center"/>
          </w:tcPr>
          <w:p w14:paraId="00845F48" w14:textId="77777777" w:rsidR="00DE1642" w:rsidRPr="00BC5A92" w:rsidRDefault="00DE1642" w:rsidP="000878F6">
            <w:pPr>
              <w:pStyle w:val="Table"/>
              <w:jc w:val="center"/>
              <w:rPr>
                <w:szCs w:val="20"/>
              </w:rPr>
            </w:pPr>
            <w:r w:rsidRPr="00BC5A92">
              <w:rPr>
                <w:rFonts w:ascii="Calibri" w:hAnsi="Calibri" w:cs="Calibri"/>
                <w:color w:val="000000"/>
                <w:szCs w:val="20"/>
              </w:rPr>
              <w:t>0,1%</w:t>
            </w:r>
          </w:p>
        </w:tc>
      </w:tr>
      <w:tr w:rsidR="00DE1642" w:rsidRPr="00BC5A92" w14:paraId="2E4BCA5F" w14:textId="77777777" w:rsidTr="00BA7936">
        <w:trPr>
          <w:trHeight w:val="237"/>
        </w:trPr>
        <w:tc>
          <w:tcPr>
            <w:tcW w:w="2247" w:type="dxa"/>
          </w:tcPr>
          <w:p w14:paraId="71A93FE5" w14:textId="77777777" w:rsidR="00DE1642" w:rsidRPr="00BC5A92" w:rsidRDefault="00DE1642" w:rsidP="000878F6">
            <w:pPr>
              <w:pStyle w:val="Table"/>
              <w:rPr>
                <w:szCs w:val="20"/>
              </w:rPr>
            </w:pPr>
            <w:r w:rsidRPr="00BC5A92">
              <w:rPr>
                <w:szCs w:val="20"/>
              </w:rPr>
              <w:t>SO2</w:t>
            </w:r>
          </w:p>
        </w:tc>
        <w:tc>
          <w:tcPr>
            <w:tcW w:w="1123" w:type="dxa"/>
            <w:vAlign w:val="center"/>
          </w:tcPr>
          <w:p w14:paraId="05051DC5" w14:textId="77777777" w:rsidR="00DE1642" w:rsidRPr="00BC5A92" w:rsidRDefault="00DE1642" w:rsidP="000878F6">
            <w:pPr>
              <w:pStyle w:val="Table"/>
              <w:jc w:val="center"/>
              <w:rPr>
                <w:szCs w:val="20"/>
              </w:rPr>
            </w:pPr>
            <w:r w:rsidRPr="00BC5A92">
              <w:rPr>
                <w:rFonts w:ascii="Calibri" w:hAnsi="Calibri" w:cs="Calibri"/>
                <w:color w:val="000000"/>
                <w:szCs w:val="20"/>
              </w:rPr>
              <w:t>-8,11%</w:t>
            </w:r>
          </w:p>
        </w:tc>
        <w:tc>
          <w:tcPr>
            <w:tcW w:w="1124" w:type="dxa"/>
            <w:vAlign w:val="center"/>
          </w:tcPr>
          <w:p w14:paraId="3053BF7F" w14:textId="77777777" w:rsidR="00DE1642" w:rsidRPr="00BC5A92" w:rsidRDefault="00DE1642" w:rsidP="000878F6">
            <w:pPr>
              <w:pStyle w:val="Table"/>
              <w:jc w:val="center"/>
              <w:rPr>
                <w:szCs w:val="20"/>
              </w:rPr>
            </w:pPr>
            <w:r w:rsidRPr="00BC5A92">
              <w:rPr>
                <w:rFonts w:ascii="Calibri" w:hAnsi="Calibri" w:cs="Calibri"/>
                <w:color w:val="000000"/>
                <w:szCs w:val="20"/>
              </w:rPr>
              <w:t>-8,11%</w:t>
            </w:r>
          </w:p>
        </w:tc>
        <w:tc>
          <w:tcPr>
            <w:tcW w:w="1030" w:type="dxa"/>
            <w:vAlign w:val="center"/>
          </w:tcPr>
          <w:p w14:paraId="17E63611" w14:textId="77777777" w:rsidR="00DE1642" w:rsidRPr="00BC5A92" w:rsidRDefault="00DE1642" w:rsidP="000878F6">
            <w:pPr>
              <w:pStyle w:val="Table"/>
              <w:jc w:val="center"/>
              <w:rPr>
                <w:szCs w:val="20"/>
              </w:rPr>
            </w:pPr>
            <w:r w:rsidRPr="00BC5A92">
              <w:rPr>
                <w:rFonts w:ascii="Calibri" w:hAnsi="Calibri" w:cs="Calibri"/>
                <w:color w:val="000000"/>
                <w:szCs w:val="20"/>
              </w:rPr>
              <w:t>16,28</w:t>
            </w:r>
          </w:p>
        </w:tc>
        <w:tc>
          <w:tcPr>
            <w:tcW w:w="1217" w:type="dxa"/>
            <w:vAlign w:val="center"/>
          </w:tcPr>
          <w:p w14:paraId="75B4F63A" w14:textId="77777777" w:rsidR="00DE1642" w:rsidRPr="00BC5A92" w:rsidRDefault="00DE1642" w:rsidP="000878F6">
            <w:pPr>
              <w:pStyle w:val="Table"/>
              <w:jc w:val="center"/>
              <w:rPr>
                <w:szCs w:val="20"/>
              </w:rPr>
            </w:pPr>
            <w:r w:rsidRPr="00BC5A92">
              <w:rPr>
                <w:rFonts w:ascii="Calibri" w:hAnsi="Calibri" w:cs="Calibri"/>
                <w:color w:val="000000"/>
                <w:szCs w:val="20"/>
              </w:rPr>
              <w:t>10,99</w:t>
            </w:r>
          </w:p>
        </w:tc>
        <w:tc>
          <w:tcPr>
            <w:tcW w:w="967" w:type="dxa"/>
            <w:vAlign w:val="center"/>
          </w:tcPr>
          <w:p w14:paraId="3A56F6EC" w14:textId="77777777" w:rsidR="00DE1642" w:rsidRPr="00BC5A92" w:rsidRDefault="00DE1642" w:rsidP="000878F6">
            <w:pPr>
              <w:pStyle w:val="Table"/>
              <w:jc w:val="center"/>
              <w:rPr>
                <w:szCs w:val="20"/>
              </w:rPr>
            </w:pPr>
            <w:r w:rsidRPr="00BC5A92">
              <w:rPr>
                <w:rFonts w:ascii="Calibri" w:hAnsi="Calibri" w:cs="Calibri"/>
                <w:color w:val="000000"/>
                <w:szCs w:val="20"/>
              </w:rPr>
              <w:t>2,4%</w:t>
            </w:r>
          </w:p>
        </w:tc>
        <w:tc>
          <w:tcPr>
            <w:tcW w:w="1283" w:type="dxa"/>
            <w:vAlign w:val="center"/>
          </w:tcPr>
          <w:p w14:paraId="354B8C22" w14:textId="77777777" w:rsidR="00DE1642" w:rsidRPr="00BC5A92" w:rsidRDefault="00DE1642" w:rsidP="000878F6">
            <w:pPr>
              <w:pStyle w:val="Table"/>
              <w:jc w:val="center"/>
              <w:rPr>
                <w:szCs w:val="20"/>
              </w:rPr>
            </w:pPr>
            <w:r w:rsidRPr="00BC5A92">
              <w:rPr>
                <w:rFonts w:ascii="Calibri" w:hAnsi="Calibri" w:cs="Calibri"/>
                <w:color w:val="000000"/>
                <w:szCs w:val="20"/>
              </w:rPr>
              <w:t>1,6%</w:t>
            </w:r>
          </w:p>
        </w:tc>
      </w:tr>
      <w:tr w:rsidR="00DE1642" w:rsidRPr="00BC5A92" w14:paraId="4BD8D8EC" w14:textId="77777777" w:rsidTr="00BA7936">
        <w:trPr>
          <w:trHeight w:val="237"/>
        </w:trPr>
        <w:tc>
          <w:tcPr>
            <w:tcW w:w="2247" w:type="dxa"/>
          </w:tcPr>
          <w:p w14:paraId="2C9F6612" w14:textId="77777777" w:rsidR="00DE1642" w:rsidRPr="00BC5A92" w:rsidRDefault="00DE1642" w:rsidP="000878F6">
            <w:pPr>
              <w:pStyle w:val="Table"/>
              <w:rPr>
                <w:szCs w:val="20"/>
              </w:rPr>
            </w:pPr>
            <w:r w:rsidRPr="00BC5A92">
              <w:rPr>
                <w:szCs w:val="20"/>
              </w:rPr>
              <w:t>PM2.5</w:t>
            </w:r>
          </w:p>
        </w:tc>
        <w:tc>
          <w:tcPr>
            <w:tcW w:w="1123" w:type="dxa"/>
            <w:vAlign w:val="center"/>
          </w:tcPr>
          <w:p w14:paraId="7A1B85EB" w14:textId="77777777" w:rsidR="00DE1642" w:rsidRPr="00BC5A92" w:rsidRDefault="00DE1642" w:rsidP="000878F6">
            <w:pPr>
              <w:pStyle w:val="Table"/>
              <w:jc w:val="center"/>
              <w:rPr>
                <w:szCs w:val="20"/>
              </w:rPr>
            </w:pPr>
            <w:r w:rsidRPr="00BC5A92">
              <w:rPr>
                <w:rFonts w:ascii="Calibri" w:hAnsi="Calibri" w:cs="Calibri"/>
                <w:color w:val="000000"/>
                <w:szCs w:val="20"/>
              </w:rPr>
              <w:t>-7,39%</w:t>
            </w:r>
          </w:p>
        </w:tc>
        <w:tc>
          <w:tcPr>
            <w:tcW w:w="1124" w:type="dxa"/>
            <w:vAlign w:val="center"/>
          </w:tcPr>
          <w:p w14:paraId="0CED9038" w14:textId="77777777" w:rsidR="00DE1642" w:rsidRPr="00BC5A92" w:rsidRDefault="00DE1642" w:rsidP="000878F6">
            <w:pPr>
              <w:pStyle w:val="Table"/>
              <w:jc w:val="center"/>
              <w:rPr>
                <w:szCs w:val="20"/>
              </w:rPr>
            </w:pPr>
            <w:r w:rsidRPr="00BC5A92">
              <w:rPr>
                <w:rFonts w:ascii="Calibri" w:hAnsi="Calibri" w:cs="Calibri"/>
                <w:color w:val="000000"/>
                <w:szCs w:val="20"/>
              </w:rPr>
              <w:t>-7,39%</w:t>
            </w:r>
          </w:p>
        </w:tc>
        <w:tc>
          <w:tcPr>
            <w:tcW w:w="1030" w:type="dxa"/>
            <w:vAlign w:val="center"/>
          </w:tcPr>
          <w:p w14:paraId="10C273F6" w14:textId="77777777" w:rsidR="00DE1642" w:rsidRPr="00BC5A92" w:rsidRDefault="00DE1642" w:rsidP="000878F6">
            <w:pPr>
              <w:pStyle w:val="Table"/>
              <w:jc w:val="center"/>
              <w:rPr>
                <w:szCs w:val="20"/>
              </w:rPr>
            </w:pPr>
            <w:r w:rsidRPr="00BC5A92">
              <w:rPr>
                <w:rFonts w:ascii="Calibri" w:hAnsi="Calibri" w:cs="Calibri"/>
                <w:color w:val="000000"/>
                <w:szCs w:val="20"/>
              </w:rPr>
              <w:t>5,36</w:t>
            </w:r>
          </w:p>
        </w:tc>
        <w:tc>
          <w:tcPr>
            <w:tcW w:w="1217" w:type="dxa"/>
            <w:vAlign w:val="center"/>
          </w:tcPr>
          <w:p w14:paraId="0EE76003" w14:textId="77777777" w:rsidR="00DE1642" w:rsidRPr="00BC5A92" w:rsidRDefault="00DE1642" w:rsidP="000878F6">
            <w:pPr>
              <w:pStyle w:val="Table"/>
              <w:jc w:val="center"/>
              <w:rPr>
                <w:szCs w:val="20"/>
              </w:rPr>
            </w:pPr>
            <w:r w:rsidRPr="00BC5A92">
              <w:rPr>
                <w:rFonts w:ascii="Calibri" w:hAnsi="Calibri" w:cs="Calibri"/>
                <w:color w:val="000000"/>
                <w:szCs w:val="20"/>
              </w:rPr>
              <w:t>4,70</w:t>
            </w:r>
          </w:p>
        </w:tc>
        <w:tc>
          <w:tcPr>
            <w:tcW w:w="967" w:type="dxa"/>
            <w:vAlign w:val="center"/>
          </w:tcPr>
          <w:p w14:paraId="5D5B1D0B" w14:textId="77777777" w:rsidR="00DE1642" w:rsidRPr="00BC5A92" w:rsidRDefault="00DE1642" w:rsidP="000878F6">
            <w:pPr>
              <w:pStyle w:val="Table"/>
              <w:jc w:val="center"/>
              <w:rPr>
                <w:szCs w:val="20"/>
              </w:rPr>
            </w:pPr>
            <w:r w:rsidRPr="00BC5A92">
              <w:rPr>
                <w:rFonts w:ascii="Calibri" w:hAnsi="Calibri" w:cs="Calibri"/>
                <w:color w:val="000000"/>
                <w:szCs w:val="20"/>
              </w:rPr>
              <w:t>0,8%</w:t>
            </w:r>
          </w:p>
        </w:tc>
        <w:tc>
          <w:tcPr>
            <w:tcW w:w="1283" w:type="dxa"/>
            <w:vAlign w:val="center"/>
          </w:tcPr>
          <w:p w14:paraId="0B76138E" w14:textId="77777777" w:rsidR="00DE1642" w:rsidRPr="00BC5A92" w:rsidRDefault="00DE1642" w:rsidP="000878F6">
            <w:pPr>
              <w:pStyle w:val="Table"/>
              <w:jc w:val="center"/>
              <w:rPr>
                <w:szCs w:val="20"/>
              </w:rPr>
            </w:pPr>
            <w:r w:rsidRPr="00BC5A92">
              <w:rPr>
                <w:rFonts w:ascii="Calibri" w:hAnsi="Calibri" w:cs="Calibri"/>
                <w:color w:val="000000"/>
                <w:szCs w:val="20"/>
              </w:rPr>
              <w:t>0,7%</w:t>
            </w:r>
          </w:p>
        </w:tc>
      </w:tr>
      <w:tr w:rsidR="00DE1642" w:rsidRPr="00BC5A92" w14:paraId="0B78ED28" w14:textId="77777777" w:rsidTr="00BA7936">
        <w:trPr>
          <w:trHeight w:val="237"/>
        </w:trPr>
        <w:tc>
          <w:tcPr>
            <w:tcW w:w="2247" w:type="dxa"/>
          </w:tcPr>
          <w:p w14:paraId="5906A143" w14:textId="77777777" w:rsidR="00DE1642" w:rsidRPr="00BC5A92" w:rsidRDefault="00DE1642" w:rsidP="000878F6">
            <w:pPr>
              <w:pStyle w:val="Table"/>
              <w:rPr>
                <w:szCs w:val="20"/>
              </w:rPr>
            </w:pPr>
            <w:r w:rsidRPr="00BC5A92">
              <w:rPr>
                <w:szCs w:val="20"/>
              </w:rPr>
              <w:t>Water Abstraction</w:t>
            </w:r>
          </w:p>
        </w:tc>
        <w:tc>
          <w:tcPr>
            <w:tcW w:w="1123" w:type="dxa"/>
            <w:vAlign w:val="center"/>
          </w:tcPr>
          <w:p w14:paraId="6E6564C6" w14:textId="77777777" w:rsidR="00DE1642" w:rsidRPr="00BC5A92" w:rsidRDefault="00DE1642" w:rsidP="000878F6">
            <w:pPr>
              <w:pStyle w:val="Table"/>
              <w:jc w:val="center"/>
              <w:rPr>
                <w:szCs w:val="20"/>
              </w:rPr>
            </w:pPr>
            <w:r w:rsidRPr="00BC5A92">
              <w:rPr>
                <w:rFonts w:ascii="Calibri" w:hAnsi="Calibri" w:cs="Calibri"/>
                <w:color w:val="000000"/>
                <w:szCs w:val="20"/>
              </w:rPr>
              <w:t>-1,14%</w:t>
            </w:r>
          </w:p>
        </w:tc>
        <w:tc>
          <w:tcPr>
            <w:tcW w:w="1124" w:type="dxa"/>
            <w:vAlign w:val="center"/>
          </w:tcPr>
          <w:p w14:paraId="42D7ED2D" w14:textId="77777777" w:rsidR="00DE1642" w:rsidRPr="00BC5A92" w:rsidRDefault="00DE1642" w:rsidP="000878F6">
            <w:pPr>
              <w:pStyle w:val="Table"/>
              <w:jc w:val="center"/>
              <w:rPr>
                <w:szCs w:val="20"/>
              </w:rPr>
            </w:pPr>
            <w:r w:rsidRPr="00BC5A92">
              <w:rPr>
                <w:rFonts w:ascii="Calibri" w:hAnsi="Calibri" w:cs="Calibri"/>
                <w:color w:val="000000"/>
                <w:szCs w:val="20"/>
              </w:rPr>
              <w:t>-1,14%</w:t>
            </w:r>
          </w:p>
        </w:tc>
        <w:tc>
          <w:tcPr>
            <w:tcW w:w="1030" w:type="dxa"/>
            <w:vAlign w:val="center"/>
          </w:tcPr>
          <w:p w14:paraId="70B2AABD" w14:textId="77777777" w:rsidR="00DE1642" w:rsidRPr="00BC5A92" w:rsidRDefault="00DE1642" w:rsidP="000878F6">
            <w:pPr>
              <w:pStyle w:val="Table"/>
              <w:jc w:val="center"/>
              <w:rPr>
                <w:szCs w:val="20"/>
              </w:rPr>
            </w:pPr>
            <w:r w:rsidRPr="00BC5A92">
              <w:rPr>
                <w:rFonts w:ascii="Calibri" w:hAnsi="Calibri" w:cs="Calibri"/>
                <w:color w:val="000000"/>
                <w:szCs w:val="20"/>
              </w:rPr>
              <w:t>23,64</w:t>
            </w:r>
          </w:p>
        </w:tc>
        <w:tc>
          <w:tcPr>
            <w:tcW w:w="1217" w:type="dxa"/>
            <w:vAlign w:val="center"/>
          </w:tcPr>
          <w:p w14:paraId="114D1B3C" w14:textId="77777777" w:rsidR="00DE1642" w:rsidRPr="00BC5A92" w:rsidRDefault="00DE1642" w:rsidP="000878F6">
            <w:pPr>
              <w:pStyle w:val="Table"/>
              <w:jc w:val="center"/>
              <w:rPr>
                <w:szCs w:val="20"/>
              </w:rPr>
            </w:pPr>
            <w:r w:rsidRPr="00BC5A92">
              <w:rPr>
                <w:rFonts w:ascii="Calibri" w:hAnsi="Calibri" w:cs="Calibri"/>
                <w:color w:val="000000"/>
                <w:szCs w:val="20"/>
              </w:rPr>
              <w:t>21,95</w:t>
            </w:r>
          </w:p>
        </w:tc>
        <w:tc>
          <w:tcPr>
            <w:tcW w:w="967" w:type="dxa"/>
            <w:vAlign w:val="center"/>
          </w:tcPr>
          <w:p w14:paraId="561A88F7" w14:textId="77777777" w:rsidR="00DE1642" w:rsidRPr="00BC5A92" w:rsidRDefault="00DE1642" w:rsidP="000878F6">
            <w:pPr>
              <w:pStyle w:val="Table"/>
              <w:jc w:val="center"/>
              <w:rPr>
                <w:szCs w:val="20"/>
              </w:rPr>
            </w:pPr>
            <w:r w:rsidRPr="00BC5A92">
              <w:rPr>
                <w:rFonts w:ascii="Calibri" w:hAnsi="Calibri" w:cs="Calibri"/>
                <w:color w:val="000000"/>
                <w:szCs w:val="20"/>
              </w:rPr>
              <w:t>3,5%</w:t>
            </w:r>
          </w:p>
        </w:tc>
        <w:tc>
          <w:tcPr>
            <w:tcW w:w="1283" w:type="dxa"/>
            <w:vAlign w:val="center"/>
          </w:tcPr>
          <w:p w14:paraId="53054019" w14:textId="77777777" w:rsidR="00DE1642" w:rsidRPr="00BC5A92" w:rsidRDefault="00DE1642" w:rsidP="000878F6">
            <w:pPr>
              <w:pStyle w:val="Table"/>
              <w:jc w:val="center"/>
              <w:rPr>
                <w:szCs w:val="20"/>
              </w:rPr>
            </w:pPr>
            <w:r w:rsidRPr="00BC5A92">
              <w:rPr>
                <w:rFonts w:ascii="Calibri" w:hAnsi="Calibri" w:cs="Calibri"/>
                <w:color w:val="000000"/>
                <w:szCs w:val="20"/>
              </w:rPr>
              <w:t>3,2%</w:t>
            </w:r>
          </w:p>
        </w:tc>
      </w:tr>
      <w:tr w:rsidR="00DE1642" w:rsidRPr="00BC5A92" w14:paraId="4C1B8E21" w14:textId="77777777" w:rsidTr="00BA7936">
        <w:trPr>
          <w:trHeight w:val="254"/>
        </w:trPr>
        <w:tc>
          <w:tcPr>
            <w:tcW w:w="2247" w:type="dxa"/>
          </w:tcPr>
          <w:p w14:paraId="392EC47D" w14:textId="77777777" w:rsidR="00DE1642" w:rsidRPr="00BC5A92" w:rsidRDefault="00DE1642" w:rsidP="000878F6">
            <w:pPr>
              <w:pStyle w:val="Table"/>
              <w:rPr>
                <w:szCs w:val="20"/>
              </w:rPr>
            </w:pPr>
            <w:r w:rsidRPr="00BC5A92">
              <w:rPr>
                <w:szCs w:val="20"/>
              </w:rPr>
              <w:t>Fertilizers</w:t>
            </w:r>
          </w:p>
        </w:tc>
        <w:tc>
          <w:tcPr>
            <w:tcW w:w="1123" w:type="dxa"/>
            <w:vAlign w:val="center"/>
          </w:tcPr>
          <w:p w14:paraId="5234C8A6" w14:textId="77777777" w:rsidR="00DE1642" w:rsidRPr="00BC5A92" w:rsidRDefault="00DE1642" w:rsidP="000878F6">
            <w:pPr>
              <w:pStyle w:val="Table"/>
              <w:jc w:val="center"/>
              <w:rPr>
                <w:szCs w:val="20"/>
              </w:rPr>
            </w:pPr>
            <w:r w:rsidRPr="00BC5A92">
              <w:rPr>
                <w:rFonts w:ascii="Calibri" w:hAnsi="Calibri" w:cs="Calibri"/>
                <w:color w:val="000000"/>
                <w:szCs w:val="20"/>
              </w:rPr>
              <w:t>-3,00%</w:t>
            </w:r>
          </w:p>
        </w:tc>
        <w:tc>
          <w:tcPr>
            <w:tcW w:w="1124" w:type="dxa"/>
            <w:vAlign w:val="center"/>
          </w:tcPr>
          <w:p w14:paraId="4E026EF5" w14:textId="77777777" w:rsidR="00DE1642" w:rsidRPr="00BC5A92" w:rsidRDefault="00DE1642" w:rsidP="000878F6">
            <w:pPr>
              <w:pStyle w:val="Table"/>
              <w:jc w:val="center"/>
              <w:rPr>
                <w:szCs w:val="20"/>
              </w:rPr>
            </w:pPr>
            <w:r w:rsidRPr="00BC5A92">
              <w:rPr>
                <w:rFonts w:ascii="Calibri" w:hAnsi="Calibri" w:cs="Calibri"/>
                <w:color w:val="000000"/>
                <w:szCs w:val="20"/>
              </w:rPr>
              <w:t>-3,00%</w:t>
            </w:r>
          </w:p>
        </w:tc>
        <w:tc>
          <w:tcPr>
            <w:tcW w:w="1030" w:type="dxa"/>
            <w:vAlign w:val="center"/>
          </w:tcPr>
          <w:p w14:paraId="4E6780FF" w14:textId="77777777" w:rsidR="00DE1642" w:rsidRPr="00BC5A92" w:rsidRDefault="00DE1642" w:rsidP="000878F6">
            <w:pPr>
              <w:pStyle w:val="Table"/>
              <w:jc w:val="center"/>
              <w:rPr>
                <w:szCs w:val="20"/>
              </w:rPr>
            </w:pPr>
            <w:r w:rsidRPr="00BC5A92">
              <w:rPr>
                <w:rFonts w:ascii="Calibri" w:hAnsi="Calibri" w:cs="Calibri"/>
                <w:color w:val="000000"/>
                <w:szCs w:val="20"/>
              </w:rPr>
              <w:t>11,92</w:t>
            </w:r>
          </w:p>
        </w:tc>
        <w:tc>
          <w:tcPr>
            <w:tcW w:w="1217" w:type="dxa"/>
            <w:vAlign w:val="center"/>
          </w:tcPr>
          <w:p w14:paraId="73CCA83A" w14:textId="77777777" w:rsidR="00DE1642" w:rsidRPr="00BC5A92" w:rsidRDefault="00DE1642" w:rsidP="000878F6">
            <w:pPr>
              <w:pStyle w:val="Table"/>
              <w:jc w:val="center"/>
              <w:rPr>
                <w:szCs w:val="20"/>
              </w:rPr>
            </w:pPr>
            <w:r w:rsidRPr="00BC5A92">
              <w:rPr>
                <w:rFonts w:ascii="Calibri" w:hAnsi="Calibri" w:cs="Calibri"/>
                <w:color w:val="000000"/>
                <w:szCs w:val="20"/>
              </w:rPr>
              <w:t>11,70</w:t>
            </w:r>
          </w:p>
        </w:tc>
        <w:tc>
          <w:tcPr>
            <w:tcW w:w="967" w:type="dxa"/>
            <w:vAlign w:val="center"/>
          </w:tcPr>
          <w:p w14:paraId="0D5EA100" w14:textId="77777777" w:rsidR="00DE1642" w:rsidRPr="00BC5A92" w:rsidRDefault="00DE1642" w:rsidP="000878F6">
            <w:pPr>
              <w:pStyle w:val="Table"/>
              <w:jc w:val="center"/>
              <w:rPr>
                <w:szCs w:val="20"/>
              </w:rPr>
            </w:pPr>
            <w:r w:rsidRPr="00BC5A92">
              <w:rPr>
                <w:rFonts w:ascii="Calibri" w:hAnsi="Calibri" w:cs="Calibri"/>
                <w:color w:val="000000"/>
                <w:szCs w:val="20"/>
              </w:rPr>
              <w:t>1,8%</w:t>
            </w:r>
          </w:p>
        </w:tc>
        <w:tc>
          <w:tcPr>
            <w:tcW w:w="1283" w:type="dxa"/>
            <w:vAlign w:val="center"/>
          </w:tcPr>
          <w:p w14:paraId="02532E15" w14:textId="77777777" w:rsidR="00DE1642" w:rsidRPr="00BC5A92" w:rsidRDefault="00DE1642" w:rsidP="000878F6">
            <w:pPr>
              <w:pStyle w:val="Table"/>
              <w:jc w:val="center"/>
              <w:rPr>
                <w:szCs w:val="20"/>
              </w:rPr>
            </w:pPr>
            <w:r w:rsidRPr="00BC5A92">
              <w:rPr>
                <w:rFonts w:ascii="Calibri" w:hAnsi="Calibri" w:cs="Calibri"/>
                <w:color w:val="000000"/>
                <w:szCs w:val="20"/>
              </w:rPr>
              <w:t>1,8%</w:t>
            </w:r>
          </w:p>
        </w:tc>
      </w:tr>
      <w:tr w:rsidR="00DE1642" w:rsidRPr="00BC5A92" w14:paraId="6EAF3052" w14:textId="77777777" w:rsidTr="00BA7936">
        <w:trPr>
          <w:trHeight w:val="237"/>
        </w:trPr>
        <w:tc>
          <w:tcPr>
            <w:tcW w:w="2247" w:type="dxa"/>
          </w:tcPr>
          <w:p w14:paraId="5828722A" w14:textId="77777777" w:rsidR="00DE1642" w:rsidRPr="00BC5A92" w:rsidRDefault="00DE1642" w:rsidP="000878F6">
            <w:pPr>
              <w:pStyle w:val="Table"/>
              <w:rPr>
                <w:szCs w:val="20"/>
              </w:rPr>
            </w:pPr>
            <w:r w:rsidRPr="00BC5A92">
              <w:rPr>
                <w:szCs w:val="20"/>
              </w:rPr>
              <w:t>Pesticides</w:t>
            </w:r>
          </w:p>
        </w:tc>
        <w:tc>
          <w:tcPr>
            <w:tcW w:w="1123" w:type="dxa"/>
            <w:vAlign w:val="center"/>
          </w:tcPr>
          <w:p w14:paraId="22B08E80" w14:textId="77777777" w:rsidR="00DE1642" w:rsidRPr="00BC5A92" w:rsidRDefault="00DE1642" w:rsidP="000878F6">
            <w:pPr>
              <w:pStyle w:val="Table"/>
              <w:jc w:val="center"/>
              <w:rPr>
                <w:szCs w:val="20"/>
              </w:rPr>
            </w:pPr>
            <w:r w:rsidRPr="00BC5A92">
              <w:rPr>
                <w:rFonts w:ascii="Calibri" w:hAnsi="Calibri" w:cs="Calibri"/>
                <w:color w:val="000000"/>
                <w:szCs w:val="20"/>
              </w:rPr>
              <w:t>n/a</w:t>
            </w:r>
          </w:p>
        </w:tc>
        <w:tc>
          <w:tcPr>
            <w:tcW w:w="1124" w:type="dxa"/>
            <w:vAlign w:val="center"/>
          </w:tcPr>
          <w:p w14:paraId="6A5784C9" w14:textId="77777777" w:rsidR="00DE1642" w:rsidRPr="00BC5A92" w:rsidRDefault="00DE1642" w:rsidP="000878F6">
            <w:pPr>
              <w:pStyle w:val="Table"/>
              <w:jc w:val="center"/>
              <w:rPr>
                <w:szCs w:val="20"/>
              </w:rPr>
            </w:pPr>
            <w:r w:rsidRPr="00BC5A92">
              <w:rPr>
                <w:rFonts w:ascii="Calibri" w:hAnsi="Calibri" w:cs="Calibri"/>
                <w:color w:val="000000"/>
                <w:szCs w:val="20"/>
              </w:rPr>
              <w:t>n/a</w:t>
            </w:r>
          </w:p>
        </w:tc>
        <w:tc>
          <w:tcPr>
            <w:tcW w:w="1030" w:type="dxa"/>
            <w:vAlign w:val="center"/>
          </w:tcPr>
          <w:p w14:paraId="3A8E0D61" w14:textId="77777777" w:rsidR="00DE1642" w:rsidRPr="00BC5A92" w:rsidRDefault="00DE1642" w:rsidP="000878F6">
            <w:pPr>
              <w:pStyle w:val="Table"/>
              <w:jc w:val="center"/>
              <w:rPr>
                <w:szCs w:val="20"/>
              </w:rPr>
            </w:pPr>
            <w:r w:rsidRPr="00BC5A92">
              <w:rPr>
                <w:rFonts w:ascii="Calibri" w:hAnsi="Calibri" w:cs="Calibri"/>
                <w:color w:val="000000"/>
                <w:szCs w:val="20"/>
              </w:rPr>
              <w:t>43,86</w:t>
            </w:r>
          </w:p>
        </w:tc>
        <w:tc>
          <w:tcPr>
            <w:tcW w:w="1217" w:type="dxa"/>
            <w:vAlign w:val="center"/>
          </w:tcPr>
          <w:p w14:paraId="76A40D77" w14:textId="77777777" w:rsidR="00DE1642" w:rsidRPr="00BC5A92" w:rsidRDefault="00DE1642" w:rsidP="000878F6">
            <w:pPr>
              <w:pStyle w:val="Table"/>
              <w:jc w:val="center"/>
              <w:rPr>
                <w:szCs w:val="20"/>
              </w:rPr>
            </w:pPr>
            <w:r w:rsidRPr="00BC5A92">
              <w:rPr>
                <w:rFonts w:ascii="Calibri" w:hAnsi="Calibri" w:cs="Calibri"/>
                <w:color w:val="000000"/>
                <w:szCs w:val="20"/>
              </w:rPr>
              <w:t>43,79</w:t>
            </w:r>
          </w:p>
        </w:tc>
        <w:tc>
          <w:tcPr>
            <w:tcW w:w="967" w:type="dxa"/>
            <w:vAlign w:val="center"/>
          </w:tcPr>
          <w:p w14:paraId="0EA57629" w14:textId="77777777" w:rsidR="00DE1642" w:rsidRPr="00BC5A92" w:rsidRDefault="00DE1642" w:rsidP="000878F6">
            <w:pPr>
              <w:pStyle w:val="Table"/>
              <w:jc w:val="center"/>
              <w:rPr>
                <w:szCs w:val="20"/>
              </w:rPr>
            </w:pPr>
            <w:r w:rsidRPr="00BC5A92">
              <w:rPr>
                <w:rFonts w:ascii="Calibri" w:hAnsi="Calibri" w:cs="Calibri"/>
                <w:color w:val="000000"/>
                <w:szCs w:val="20"/>
              </w:rPr>
              <w:t>6,6%</w:t>
            </w:r>
          </w:p>
        </w:tc>
        <w:tc>
          <w:tcPr>
            <w:tcW w:w="1283" w:type="dxa"/>
            <w:vAlign w:val="center"/>
          </w:tcPr>
          <w:p w14:paraId="7CB2B3F8" w14:textId="77777777" w:rsidR="00DE1642" w:rsidRPr="00BC5A92" w:rsidRDefault="00DE1642" w:rsidP="000878F6">
            <w:pPr>
              <w:pStyle w:val="Table"/>
              <w:jc w:val="center"/>
              <w:rPr>
                <w:szCs w:val="20"/>
              </w:rPr>
            </w:pPr>
            <w:r w:rsidRPr="00BC5A92">
              <w:rPr>
                <w:rFonts w:ascii="Calibri" w:hAnsi="Calibri" w:cs="Calibri"/>
                <w:color w:val="000000"/>
                <w:szCs w:val="20"/>
              </w:rPr>
              <w:t>6,6%</w:t>
            </w:r>
          </w:p>
        </w:tc>
      </w:tr>
      <w:tr w:rsidR="00DE1642" w:rsidRPr="00BC5A92" w14:paraId="750C724C" w14:textId="77777777" w:rsidTr="00BA7936">
        <w:trPr>
          <w:trHeight w:val="237"/>
        </w:trPr>
        <w:tc>
          <w:tcPr>
            <w:tcW w:w="2247" w:type="dxa"/>
          </w:tcPr>
          <w:p w14:paraId="51DDA3F6" w14:textId="77777777" w:rsidR="00DE1642" w:rsidRPr="00BC5A92" w:rsidRDefault="00DE1642" w:rsidP="000878F6">
            <w:pPr>
              <w:pStyle w:val="Table"/>
              <w:rPr>
                <w:szCs w:val="20"/>
              </w:rPr>
            </w:pPr>
            <w:r w:rsidRPr="00BC5A92">
              <w:rPr>
                <w:szCs w:val="20"/>
              </w:rPr>
              <w:t>Waste Incineration</w:t>
            </w:r>
          </w:p>
        </w:tc>
        <w:tc>
          <w:tcPr>
            <w:tcW w:w="1123" w:type="dxa"/>
            <w:vAlign w:val="center"/>
          </w:tcPr>
          <w:p w14:paraId="3EE7FD0B" w14:textId="77777777" w:rsidR="00DE1642" w:rsidRPr="00BC5A92" w:rsidRDefault="00DE1642" w:rsidP="000878F6">
            <w:pPr>
              <w:pStyle w:val="Table"/>
              <w:jc w:val="center"/>
              <w:rPr>
                <w:szCs w:val="20"/>
              </w:rPr>
            </w:pPr>
            <w:r w:rsidRPr="00BC5A92">
              <w:rPr>
                <w:rFonts w:ascii="Calibri" w:hAnsi="Calibri" w:cs="Calibri"/>
                <w:color w:val="000000"/>
                <w:szCs w:val="20"/>
              </w:rPr>
              <w:t>0,00%</w:t>
            </w:r>
          </w:p>
        </w:tc>
        <w:tc>
          <w:tcPr>
            <w:tcW w:w="1124" w:type="dxa"/>
            <w:vAlign w:val="center"/>
          </w:tcPr>
          <w:p w14:paraId="64E35F51" w14:textId="77777777" w:rsidR="00DE1642" w:rsidRPr="00BC5A92" w:rsidRDefault="00DE1642" w:rsidP="000878F6">
            <w:pPr>
              <w:pStyle w:val="Table"/>
              <w:jc w:val="center"/>
              <w:rPr>
                <w:szCs w:val="20"/>
              </w:rPr>
            </w:pPr>
            <w:r w:rsidRPr="00BC5A92">
              <w:rPr>
                <w:rFonts w:ascii="Calibri" w:hAnsi="Calibri" w:cs="Calibri"/>
                <w:color w:val="000000"/>
                <w:szCs w:val="20"/>
              </w:rPr>
              <w:t>0,00%</w:t>
            </w:r>
          </w:p>
        </w:tc>
        <w:tc>
          <w:tcPr>
            <w:tcW w:w="1030" w:type="dxa"/>
            <w:vAlign w:val="center"/>
          </w:tcPr>
          <w:p w14:paraId="01CC9BD8" w14:textId="77777777" w:rsidR="00DE1642" w:rsidRPr="00BC5A92" w:rsidRDefault="00DE1642" w:rsidP="000878F6">
            <w:pPr>
              <w:pStyle w:val="Table"/>
              <w:jc w:val="center"/>
              <w:rPr>
                <w:szCs w:val="20"/>
              </w:rPr>
            </w:pPr>
            <w:r w:rsidRPr="00BC5A92">
              <w:rPr>
                <w:rFonts w:ascii="Calibri" w:hAnsi="Calibri" w:cs="Calibri"/>
                <w:color w:val="000000"/>
                <w:szCs w:val="20"/>
              </w:rPr>
              <w:t>2,68</w:t>
            </w:r>
          </w:p>
        </w:tc>
        <w:tc>
          <w:tcPr>
            <w:tcW w:w="1217" w:type="dxa"/>
            <w:vAlign w:val="center"/>
          </w:tcPr>
          <w:p w14:paraId="218352C9" w14:textId="77777777" w:rsidR="00DE1642" w:rsidRPr="00BC5A92" w:rsidRDefault="00DE1642" w:rsidP="000878F6">
            <w:pPr>
              <w:pStyle w:val="Table"/>
              <w:jc w:val="center"/>
              <w:rPr>
                <w:szCs w:val="20"/>
              </w:rPr>
            </w:pPr>
            <w:r w:rsidRPr="00BC5A92">
              <w:rPr>
                <w:rFonts w:ascii="Calibri" w:hAnsi="Calibri" w:cs="Calibri"/>
                <w:color w:val="000000"/>
                <w:szCs w:val="20"/>
              </w:rPr>
              <w:t>2,76</w:t>
            </w:r>
          </w:p>
        </w:tc>
        <w:tc>
          <w:tcPr>
            <w:tcW w:w="967" w:type="dxa"/>
            <w:vAlign w:val="center"/>
          </w:tcPr>
          <w:p w14:paraId="460BAE08" w14:textId="77777777" w:rsidR="00DE1642" w:rsidRPr="00BC5A92" w:rsidRDefault="00DE1642" w:rsidP="000878F6">
            <w:pPr>
              <w:pStyle w:val="Table"/>
              <w:jc w:val="center"/>
              <w:rPr>
                <w:szCs w:val="20"/>
              </w:rPr>
            </w:pPr>
            <w:r w:rsidRPr="00BC5A92">
              <w:rPr>
                <w:rFonts w:ascii="Calibri" w:hAnsi="Calibri" w:cs="Calibri"/>
                <w:color w:val="000000"/>
                <w:szCs w:val="20"/>
              </w:rPr>
              <w:t>0,4%</w:t>
            </w:r>
          </w:p>
        </w:tc>
        <w:tc>
          <w:tcPr>
            <w:tcW w:w="1283" w:type="dxa"/>
            <w:vAlign w:val="center"/>
          </w:tcPr>
          <w:p w14:paraId="49203E8D" w14:textId="77777777" w:rsidR="00DE1642" w:rsidRPr="00BC5A92" w:rsidRDefault="00DE1642" w:rsidP="000878F6">
            <w:pPr>
              <w:pStyle w:val="Table"/>
              <w:jc w:val="center"/>
              <w:rPr>
                <w:szCs w:val="20"/>
              </w:rPr>
            </w:pPr>
            <w:r w:rsidRPr="00BC5A92">
              <w:rPr>
                <w:rFonts w:ascii="Calibri" w:hAnsi="Calibri" w:cs="Calibri"/>
                <w:color w:val="000000"/>
                <w:szCs w:val="20"/>
              </w:rPr>
              <w:t>0,4%</w:t>
            </w:r>
          </w:p>
        </w:tc>
      </w:tr>
      <w:tr w:rsidR="00DE1642" w:rsidRPr="00BC5A92" w14:paraId="6A5B9C60" w14:textId="77777777" w:rsidTr="00BA7936">
        <w:trPr>
          <w:trHeight w:val="237"/>
        </w:trPr>
        <w:tc>
          <w:tcPr>
            <w:tcW w:w="2247" w:type="dxa"/>
          </w:tcPr>
          <w:p w14:paraId="7989CDF5" w14:textId="77777777" w:rsidR="00DE1642" w:rsidRPr="00BC5A92" w:rsidRDefault="00DE1642" w:rsidP="000878F6">
            <w:pPr>
              <w:pStyle w:val="Table"/>
              <w:rPr>
                <w:szCs w:val="20"/>
              </w:rPr>
            </w:pPr>
            <w:r w:rsidRPr="00BC5A92">
              <w:rPr>
                <w:szCs w:val="20"/>
              </w:rPr>
              <w:t>Waste to Landfill</w:t>
            </w:r>
          </w:p>
        </w:tc>
        <w:tc>
          <w:tcPr>
            <w:tcW w:w="1123" w:type="dxa"/>
            <w:vAlign w:val="center"/>
          </w:tcPr>
          <w:p w14:paraId="36AF360D" w14:textId="77777777" w:rsidR="00DE1642" w:rsidRPr="00BC5A92" w:rsidRDefault="00DE1642" w:rsidP="000878F6">
            <w:pPr>
              <w:pStyle w:val="Table"/>
              <w:jc w:val="center"/>
              <w:rPr>
                <w:szCs w:val="20"/>
              </w:rPr>
            </w:pPr>
            <w:r w:rsidRPr="00BC5A92">
              <w:rPr>
                <w:rFonts w:ascii="Calibri" w:hAnsi="Calibri" w:cs="Calibri"/>
                <w:color w:val="000000"/>
                <w:szCs w:val="20"/>
              </w:rPr>
              <w:t>0,00%</w:t>
            </w:r>
          </w:p>
        </w:tc>
        <w:tc>
          <w:tcPr>
            <w:tcW w:w="1124" w:type="dxa"/>
            <w:vAlign w:val="center"/>
          </w:tcPr>
          <w:p w14:paraId="7AB968E9" w14:textId="77777777" w:rsidR="00DE1642" w:rsidRPr="00BC5A92" w:rsidRDefault="00DE1642" w:rsidP="000878F6">
            <w:pPr>
              <w:pStyle w:val="Table"/>
              <w:jc w:val="center"/>
              <w:rPr>
                <w:szCs w:val="20"/>
              </w:rPr>
            </w:pPr>
            <w:r w:rsidRPr="00BC5A92">
              <w:rPr>
                <w:rFonts w:ascii="Calibri" w:hAnsi="Calibri" w:cs="Calibri"/>
                <w:color w:val="000000"/>
                <w:szCs w:val="20"/>
              </w:rPr>
              <w:t>0,00%</w:t>
            </w:r>
          </w:p>
        </w:tc>
        <w:tc>
          <w:tcPr>
            <w:tcW w:w="1030" w:type="dxa"/>
            <w:vAlign w:val="center"/>
          </w:tcPr>
          <w:p w14:paraId="35FAAAD5" w14:textId="77777777" w:rsidR="00DE1642" w:rsidRPr="00BC5A92" w:rsidRDefault="00DE1642" w:rsidP="000878F6">
            <w:pPr>
              <w:pStyle w:val="Table"/>
              <w:jc w:val="center"/>
              <w:rPr>
                <w:szCs w:val="20"/>
              </w:rPr>
            </w:pPr>
            <w:r w:rsidRPr="00BC5A92">
              <w:rPr>
                <w:rFonts w:ascii="Calibri" w:hAnsi="Calibri" w:cs="Calibri"/>
                <w:color w:val="000000"/>
                <w:szCs w:val="20"/>
              </w:rPr>
              <w:t>0,00</w:t>
            </w:r>
          </w:p>
        </w:tc>
        <w:tc>
          <w:tcPr>
            <w:tcW w:w="1217" w:type="dxa"/>
            <w:vAlign w:val="center"/>
          </w:tcPr>
          <w:p w14:paraId="6C786E57" w14:textId="77777777" w:rsidR="00DE1642" w:rsidRPr="00BC5A92" w:rsidRDefault="00DE1642" w:rsidP="000878F6">
            <w:pPr>
              <w:pStyle w:val="Table"/>
              <w:jc w:val="center"/>
              <w:rPr>
                <w:szCs w:val="20"/>
              </w:rPr>
            </w:pPr>
            <w:r w:rsidRPr="00BC5A92">
              <w:rPr>
                <w:rFonts w:ascii="Calibri" w:hAnsi="Calibri" w:cs="Calibri"/>
                <w:color w:val="000000"/>
                <w:szCs w:val="20"/>
              </w:rPr>
              <w:t>0,00</w:t>
            </w:r>
          </w:p>
        </w:tc>
        <w:tc>
          <w:tcPr>
            <w:tcW w:w="967" w:type="dxa"/>
            <w:vAlign w:val="center"/>
          </w:tcPr>
          <w:p w14:paraId="632DEBF3" w14:textId="77777777" w:rsidR="00DE1642" w:rsidRPr="00BC5A92" w:rsidRDefault="00DE1642" w:rsidP="000878F6">
            <w:pPr>
              <w:pStyle w:val="Table"/>
              <w:jc w:val="center"/>
              <w:rPr>
                <w:szCs w:val="20"/>
              </w:rPr>
            </w:pPr>
            <w:r w:rsidRPr="00BC5A92">
              <w:rPr>
                <w:rFonts w:ascii="Calibri" w:hAnsi="Calibri" w:cs="Calibri"/>
                <w:color w:val="000000"/>
                <w:szCs w:val="20"/>
              </w:rPr>
              <w:t>0,0%</w:t>
            </w:r>
          </w:p>
        </w:tc>
        <w:tc>
          <w:tcPr>
            <w:tcW w:w="1283" w:type="dxa"/>
            <w:vAlign w:val="center"/>
          </w:tcPr>
          <w:p w14:paraId="73C1BC24" w14:textId="77777777" w:rsidR="00DE1642" w:rsidRPr="00BC5A92" w:rsidRDefault="00DE1642" w:rsidP="000878F6">
            <w:pPr>
              <w:pStyle w:val="Table"/>
              <w:jc w:val="center"/>
              <w:rPr>
                <w:szCs w:val="20"/>
              </w:rPr>
            </w:pPr>
            <w:r w:rsidRPr="00BC5A92">
              <w:rPr>
                <w:rFonts w:ascii="Calibri" w:hAnsi="Calibri" w:cs="Calibri"/>
                <w:color w:val="000000"/>
                <w:szCs w:val="20"/>
              </w:rPr>
              <w:t>0,0%</w:t>
            </w:r>
          </w:p>
        </w:tc>
      </w:tr>
      <w:tr w:rsidR="00DE1642" w:rsidRPr="00BC5A92" w14:paraId="7C13911C" w14:textId="77777777" w:rsidTr="00BA7936">
        <w:trPr>
          <w:trHeight w:val="237"/>
        </w:trPr>
        <w:tc>
          <w:tcPr>
            <w:tcW w:w="2247" w:type="dxa"/>
          </w:tcPr>
          <w:p w14:paraId="578AECE9" w14:textId="77777777" w:rsidR="00DE1642" w:rsidRPr="00BC5A92" w:rsidRDefault="00DE1642" w:rsidP="000878F6">
            <w:pPr>
              <w:pStyle w:val="Table"/>
              <w:rPr>
                <w:szCs w:val="20"/>
              </w:rPr>
            </w:pPr>
            <w:r w:rsidRPr="00BC5A92">
              <w:rPr>
                <w:szCs w:val="20"/>
              </w:rPr>
              <w:t>Water Effluent</w:t>
            </w:r>
          </w:p>
        </w:tc>
        <w:tc>
          <w:tcPr>
            <w:tcW w:w="1123" w:type="dxa"/>
            <w:vAlign w:val="center"/>
          </w:tcPr>
          <w:p w14:paraId="07AF7EEA" w14:textId="77777777" w:rsidR="00DE1642" w:rsidRPr="00BC5A92" w:rsidRDefault="00DE1642" w:rsidP="000878F6">
            <w:pPr>
              <w:pStyle w:val="Table"/>
              <w:jc w:val="center"/>
              <w:rPr>
                <w:szCs w:val="20"/>
              </w:rPr>
            </w:pPr>
            <w:r w:rsidRPr="00BC5A92">
              <w:rPr>
                <w:rFonts w:ascii="Calibri" w:hAnsi="Calibri" w:cs="Calibri"/>
                <w:color w:val="000000"/>
                <w:szCs w:val="20"/>
              </w:rPr>
              <w:t>-2,09%</w:t>
            </w:r>
          </w:p>
        </w:tc>
        <w:tc>
          <w:tcPr>
            <w:tcW w:w="1124" w:type="dxa"/>
            <w:vAlign w:val="center"/>
          </w:tcPr>
          <w:p w14:paraId="72A4896F" w14:textId="77777777" w:rsidR="00DE1642" w:rsidRPr="00BC5A92" w:rsidRDefault="00DE1642" w:rsidP="000878F6">
            <w:pPr>
              <w:pStyle w:val="Table"/>
              <w:jc w:val="center"/>
              <w:rPr>
                <w:szCs w:val="20"/>
              </w:rPr>
            </w:pPr>
            <w:r w:rsidRPr="00BC5A92">
              <w:rPr>
                <w:rFonts w:ascii="Calibri" w:hAnsi="Calibri" w:cs="Calibri"/>
                <w:color w:val="000000"/>
                <w:szCs w:val="20"/>
              </w:rPr>
              <w:t>-2,09%</w:t>
            </w:r>
          </w:p>
        </w:tc>
        <w:tc>
          <w:tcPr>
            <w:tcW w:w="1030" w:type="dxa"/>
            <w:vAlign w:val="center"/>
          </w:tcPr>
          <w:p w14:paraId="2D394A88" w14:textId="77777777" w:rsidR="00DE1642" w:rsidRPr="00BC5A92" w:rsidRDefault="00DE1642" w:rsidP="000878F6">
            <w:pPr>
              <w:pStyle w:val="Table"/>
              <w:jc w:val="center"/>
              <w:rPr>
                <w:szCs w:val="20"/>
              </w:rPr>
            </w:pPr>
            <w:r w:rsidRPr="00BC5A92">
              <w:rPr>
                <w:rFonts w:ascii="Calibri" w:hAnsi="Calibri" w:cs="Calibri"/>
                <w:color w:val="000000"/>
                <w:szCs w:val="20"/>
              </w:rPr>
              <w:t>179,06</w:t>
            </w:r>
          </w:p>
        </w:tc>
        <w:tc>
          <w:tcPr>
            <w:tcW w:w="1217" w:type="dxa"/>
            <w:vAlign w:val="center"/>
          </w:tcPr>
          <w:p w14:paraId="09ED09C4" w14:textId="77777777" w:rsidR="00DE1642" w:rsidRPr="00BC5A92" w:rsidRDefault="00DE1642" w:rsidP="000878F6">
            <w:pPr>
              <w:pStyle w:val="Table"/>
              <w:jc w:val="center"/>
              <w:rPr>
                <w:szCs w:val="20"/>
              </w:rPr>
            </w:pPr>
            <w:r w:rsidRPr="00BC5A92">
              <w:rPr>
                <w:rFonts w:ascii="Calibri" w:hAnsi="Calibri" w:cs="Calibri"/>
                <w:color w:val="000000"/>
                <w:szCs w:val="20"/>
              </w:rPr>
              <w:t>174,74</w:t>
            </w:r>
          </w:p>
        </w:tc>
        <w:tc>
          <w:tcPr>
            <w:tcW w:w="967" w:type="dxa"/>
            <w:vAlign w:val="center"/>
          </w:tcPr>
          <w:p w14:paraId="659C6D2E" w14:textId="77777777" w:rsidR="00DE1642" w:rsidRPr="00BC5A92" w:rsidRDefault="00DE1642" w:rsidP="000878F6">
            <w:pPr>
              <w:pStyle w:val="Table"/>
              <w:jc w:val="center"/>
              <w:rPr>
                <w:szCs w:val="20"/>
              </w:rPr>
            </w:pPr>
            <w:r w:rsidRPr="00BC5A92">
              <w:rPr>
                <w:rFonts w:ascii="Calibri" w:hAnsi="Calibri" w:cs="Calibri"/>
                <w:color w:val="000000"/>
                <w:szCs w:val="20"/>
              </w:rPr>
              <w:t>26,8%</w:t>
            </w:r>
          </w:p>
        </w:tc>
        <w:tc>
          <w:tcPr>
            <w:tcW w:w="1283" w:type="dxa"/>
            <w:vAlign w:val="center"/>
          </w:tcPr>
          <w:p w14:paraId="3D157AC4" w14:textId="77777777" w:rsidR="00DE1642" w:rsidRPr="00BC5A92" w:rsidRDefault="00DE1642" w:rsidP="000878F6">
            <w:pPr>
              <w:pStyle w:val="Table"/>
              <w:jc w:val="center"/>
              <w:rPr>
                <w:szCs w:val="20"/>
              </w:rPr>
            </w:pPr>
            <w:r w:rsidRPr="00BC5A92">
              <w:rPr>
                <w:rFonts w:ascii="Calibri" w:hAnsi="Calibri" w:cs="Calibri"/>
                <w:color w:val="000000"/>
                <w:szCs w:val="20"/>
              </w:rPr>
              <w:t>26,2%</w:t>
            </w:r>
          </w:p>
        </w:tc>
      </w:tr>
      <w:tr w:rsidR="00DE1642" w:rsidRPr="00BC5A92" w14:paraId="4FF2F41F" w14:textId="77777777" w:rsidTr="00BA7936">
        <w:trPr>
          <w:trHeight w:val="237"/>
        </w:trPr>
        <w:tc>
          <w:tcPr>
            <w:tcW w:w="2247" w:type="dxa"/>
          </w:tcPr>
          <w:p w14:paraId="15B2CC32" w14:textId="77777777" w:rsidR="00DE1642" w:rsidRPr="00BC5A92" w:rsidRDefault="00DE1642" w:rsidP="000878F6">
            <w:pPr>
              <w:pStyle w:val="Table"/>
              <w:rPr>
                <w:szCs w:val="20"/>
              </w:rPr>
            </w:pPr>
            <w:r w:rsidRPr="00BC5A92">
              <w:rPr>
                <w:szCs w:val="20"/>
              </w:rPr>
              <w:t>Minerals &amp; Aggregates</w:t>
            </w:r>
          </w:p>
        </w:tc>
        <w:tc>
          <w:tcPr>
            <w:tcW w:w="1123" w:type="dxa"/>
            <w:vAlign w:val="center"/>
          </w:tcPr>
          <w:p w14:paraId="075058BC" w14:textId="77777777" w:rsidR="00DE1642" w:rsidRPr="00BC5A92" w:rsidRDefault="00DE1642" w:rsidP="000878F6">
            <w:pPr>
              <w:pStyle w:val="Table"/>
              <w:jc w:val="center"/>
              <w:rPr>
                <w:szCs w:val="20"/>
              </w:rPr>
            </w:pPr>
            <w:r w:rsidRPr="00BC5A92">
              <w:rPr>
                <w:rFonts w:ascii="Calibri" w:hAnsi="Calibri" w:cs="Calibri"/>
                <w:color w:val="000000"/>
                <w:szCs w:val="20"/>
              </w:rPr>
              <w:t>0,00%</w:t>
            </w:r>
          </w:p>
        </w:tc>
        <w:tc>
          <w:tcPr>
            <w:tcW w:w="1124" w:type="dxa"/>
            <w:vAlign w:val="center"/>
          </w:tcPr>
          <w:p w14:paraId="3068CB1C" w14:textId="77777777" w:rsidR="00DE1642" w:rsidRPr="00BC5A92" w:rsidRDefault="00DE1642" w:rsidP="000878F6">
            <w:pPr>
              <w:pStyle w:val="Table"/>
              <w:jc w:val="center"/>
              <w:rPr>
                <w:szCs w:val="20"/>
              </w:rPr>
            </w:pPr>
            <w:r w:rsidRPr="00BC5A92">
              <w:rPr>
                <w:rFonts w:ascii="Calibri" w:hAnsi="Calibri" w:cs="Calibri"/>
                <w:color w:val="000000"/>
                <w:szCs w:val="20"/>
              </w:rPr>
              <w:t>0,00%</w:t>
            </w:r>
          </w:p>
        </w:tc>
        <w:tc>
          <w:tcPr>
            <w:tcW w:w="1030" w:type="dxa"/>
            <w:vAlign w:val="center"/>
          </w:tcPr>
          <w:p w14:paraId="3F44CE75" w14:textId="77777777" w:rsidR="00DE1642" w:rsidRPr="00BC5A92" w:rsidRDefault="00DE1642" w:rsidP="000878F6">
            <w:pPr>
              <w:pStyle w:val="Table"/>
              <w:jc w:val="center"/>
              <w:rPr>
                <w:szCs w:val="20"/>
              </w:rPr>
            </w:pPr>
            <w:r w:rsidRPr="00BC5A92">
              <w:rPr>
                <w:rFonts w:ascii="Calibri" w:hAnsi="Calibri" w:cs="Calibri"/>
                <w:color w:val="000000"/>
                <w:szCs w:val="20"/>
              </w:rPr>
              <w:t>0,00</w:t>
            </w:r>
          </w:p>
        </w:tc>
        <w:tc>
          <w:tcPr>
            <w:tcW w:w="1217" w:type="dxa"/>
            <w:vAlign w:val="center"/>
          </w:tcPr>
          <w:p w14:paraId="4DB13DD0" w14:textId="77777777" w:rsidR="00DE1642" w:rsidRPr="00BC5A92" w:rsidRDefault="00DE1642" w:rsidP="000878F6">
            <w:pPr>
              <w:pStyle w:val="Table"/>
              <w:jc w:val="center"/>
              <w:rPr>
                <w:szCs w:val="20"/>
              </w:rPr>
            </w:pPr>
            <w:r w:rsidRPr="00BC5A92">
              <w:rPr>
                <w:rFonts w:ascii="Calibri" w:hAnsi="Calibri" w:cs="Calibri"/>
                <w:color w:val="000000"/>
                <w:szCs w:val="20"/>
              </w:rPr>
              <w:t>0,00</w:t>
            </w:r>
          </w:p>
        </w:tc>
        <w:tc>
          <w:tcPr>
            <w:tcW w:w="967" w:type="dxa"/>
            <w:vAlign w:val="center"/>
          </w:tcPr>
          <w:p w14:paraId="239D3034" w14:textId="77777777" w:rsidR="00DE1642" w:rsidRPr="00BC5A92" w:rsidRDefault="00DE1642" w:rsidP="000878F6">
            <w:pPr>
              <w:pStyle w:val="Table"/>
              <w:jc w:val="center"/>
              <w:rPr>
                <w:szCs w:val="20"/>
              </w:rPr>
            </w:pPr>
            <w:r w:rsidRPr="00BC5A92">
              <w:rPr>
                <w:rFonts w:ascii="Calibri" w:hAnsi="Calibri" w:cs="Calibri"/>
                <w:color w:val="000000"/>
                <w:szCs w:val="20"/>
              </w:rPr>
              <w:t>0,0%</w:t>
            </w:r>
          </w:p>
        </w:tc>
        <w:tc>
          <w:tcPr>
            <w:tcW w:w="1283" w:type="dxa"/>
            <w:vAlign w:val="center"/>
          </w:tcPr>
          <w:p w14:paraId="604EF3FC" w14:textId="77777777" w:rsidR="00DE1642" w:rsidRPr="00BC5A92" w:rsidRDefault="00DE1642" w:rsidP="000878F6">
            <w:pPr>
              <w:pStyle w:val="Table"/>
              <w:jc w:val="center"/>
              <w:rPr>
                <w:szCs w:val="20"/>
              </w:rPr>
            </w:pPr>
            <w:r w:rsidRPr="00BC5A92">
              <w:rPr>
                <w:rFonts w:ascii="Calibri" w:hAnsi="Calibri" w:cs="Calibri"/>
                <w:color w:val="000000"/>
                <w:szCs w:val="20"/>
              </w:rPr>
              <w:t>0,0%</w:t>
            </w:r>
          </w:p>
        </w:tc>
      </w:tr>
    </w:tbl>
    <w:p w14:paraId="4F0F57D4" w14:textId="77777777" w:rsidR="00DE1642" w:rsidRPr="00DE1642" w:rsidRDefault="00DE1642" w:rsidP="00DE1642">
      <w:pPr>
        <w:rPr>
          <w:rFonts w:cstheme="minorHAnsi"/>
        </w:rPr>
      </w:pPr>
    </w:p>
    <w:p w14:paraId="6ACF64B3" w14:textId="38C6D2A5" w:rsidR="00DE1642" w:rsidRPr="00DE1642" w:rsidRDefault="00DE1642" w:rsidP="00DE1642">
      <w:pPr>
        <w:rPr>
          <w:rFonts w:cstheme="minorHAnsi"/>
        </w:rPr>
      </w:pPr>
      <w:r w:rsidRPr="00DE1642">
        <w:rPr>
          <w:rFonts w:cstheme="minorHAnsi"/>
        </w:rPr>
        <w:t xml:space="preserve">The largest potential gains are expected in </w:t>
      </w:r>
      <w:r w:rsidRPr="00DE1642">
        <w:rPr>
          <w:rFonts w:cstheme="minorHAnsi"/>
          <w:b/>
          <w:bCs/>
        </w:rPr>
        <w:t>waste management</w:t>
      </w:r>
      <w:r w:rsidRPr="00DE1642">
        <w:rPr>
          <w:rFonts w:cstheme="minorHAnsi"/>
        </w:rPr>
        <w:t xml:space="preserve">, </w:t>
      </w:r>
      <w:r w:rsidRPr="00DE1642">
        <w:rPr>
          <w:rFonts w:cstheme="minorHAnsi"/>
          <w:b/>
          <w:bCs/>
        </w:rPr>
        <w:t>water pollution control</w:t>
      </w:r>
      <w:r w:rsidRPr="00DE1642">
        <w:rPr>
          <w:rFonts w:cstheme="minorHAnsi"/>
        </w:rPr>
        <w:t xml:space="preserve">, and </w:t>
      </w:r>
      <w:r w:rsidRPr="00DE1642">
        <w:rPr>
          <w:rFonts w:cstheme="minorHAnsi"/>
          <w:b/>
          <w:bCs/>
        </w:rPr>
        <w:t>resource extraction</w:t>
      </w:r>
      <w:r w:rsidRPr="00DE1642">
        <w:rPr>
          <w:rFonts w:cstheme="minorHAnsi"/>
        </w:rPr>
        <w:t xml:space="preserve">, reflecting persistent structural challenges in these areas. The model projects reductions in waste to landfill of nearly 35 per cent by 2030 and a parallel increase in recycling rates, consistent with the benchmark landfill tax of €65 per tonne. Such an increase would align Poland more closely with EU circular economy objectives and the waste hierarchy. The introduction of a </w:t>
      </w:r>
      <w:r w:rsidRPr="00DE1642">
        <w:rPr>
          <w:rFonts w:cstheme="minorHAnsi"/>
          <w:b/>
          <w:bCs/>
        </w:rPr>
        <w:t>waste incineration tax</w:t>
      </w:r>
      <w:r w:rsidRPr="00DE1642">
        <w:rPr>
          <w:rFonts w:cstheme="minorHAnsi"/>
        </w:rPr>
        <w:t>, set at €15 per tonne, would also help prevent substitution from landfill to incineration and further incentivise waste prevention and sorting.</w:t>
      </w:r>
    </w:p>
    <w:p w14:paraId="7632C37E" w14:textId="0293D527" w:rsidR="00DE1642" w:rsidRPr="00DE1642" w:rsidRDefault="00DE1642" w:rsidP="00DE1642">
      <w:pPr>
        <w:rPr>
          <w:rFonts w:cstheme="minorHAnsi"/>
        </w:rPr>
      </w:pPr>
      <w:r w:rsidRPr="00DE1642">
        <w:rPr>
          <w:rFonts w:cstheme="minorHAnsi"/>
        </w:rPr>
        <w:t xml:space="preserve">In the </w:t>
      </w:r>
      <w:r w:rsidRPr="00DE1642">
        <w:rPr>
          <w:rFonts w:cstheme="minorHAnsi"/>
          <w:b/>
          <w:bCs/>
        </w:rPr>
        <w:t>water sector</w:t>
      </w:r>
      <w:r w:rsidRPr="00DE1642">
        <w:rPr>
          <w:rFonts w:cstheme="minorHAnsi"/>
        </w:rPr>
        <w:t xml:space="preserve">, Poland already applies wastewater discharge charges and water abstraction fees, but current rates remain low relative to the environmental costs of pollution and water scarcity. Implementing benchmarked </w:t>
      </w:r>
      <w:r w:rsidRPr="00DE1642">
        <w:rPr>
          <w:rFonts w:cstheme="minorHAnsi"/>
          <w:b/>
          <w:bCs/>
        </w:rPr>
        <w:t>wastewater taxes</w:t>
      </w:r>
      <w:r>
        <w:rPr>
          <w:rFonts w:cstheme="minorHAnsi"/>
        </w:rPr>
        <w:t xml:space="preserve">, </w:t>
      </w:r>
      <w:r w:rsidRPr="00DE1642">
        <w:rPr>
          <w:rFonts w:cstheme="minorHAnsi"/>
        </w:rPr>
        <w:t>based on pollutant load (e.g. €2.70 per kilogram of BOD)</w:t>
      </w:r>
      <w:r>
        <w:rPr>
          <w:rFonts w:cstheme="minorHAnsi"/>
        </w:rPr>
        <w:t xml:space="preserve">, </w:t>
      </w:r>
      <w:r w:rsidRPr="00DE1642">
        <w:rPr>
          <w:rFonts w:cstheme="minorHAnsi"/>
        </w:rPr>
        <w:t xml:space="preserve">could cut emissions of organic pollutants by up to 15 per cent and generate additional revenues of more than €1 billion annually. A calibrated </w:t>
      </w:r>
      <w:r w:rsidRPr="00DE1642">
        <w:rPr>
          <w:rFonts w:cstheme="minorHAnsi"/>
          <w:b/>
          <w:bCs/>
        </w:rPr>
        <w:t>water abstraction tax</w:t>
      </w:r>
      <w:r w:rsidRPr="00DE1642">
        <w:rPr>
          <w:rFonts w:cstheme="minorHAnsi"/>
        </w:rPr>
        <w:t>, adjusted for water stress by region, would further enhance resource efficiency and support cost recovery in line with the Water Framework Directive’s “polluter pays” principle.</w:t>
      </w:r>
    </w:p>
    <w:p w14:paraId="74AECF9F" w14:textId="7C64F029" w:rsidR="00DE1642" w:rsidRPr="00DE1642" w:rsidRDefault="00DE1642" w:rsidP="00DE1642">
      <w:pPr>
        <w:rPr>
          <w:rFonts w:cstheme="minorHAnsi"/>
        </w:rPr>
      </w:pPr>
      <w:r w:rsidRPr="00DE1642">
        <w:rPr>
          <w:rFonts w:cstheme="minorHAnsi"/>
        </w:rPr>
        <w:t xml:space="preserve">The modelling also points to considerable potential in </w:t>
      </w:r>
      <w:r w:rsidRPr="00DE1642">
        <w:rPr>
          <w:rFonts w:cstheme="minorHAnsi"/>
          <w:b/>
          <w:bCs/>
        </w:rPr>
        <w:t>mineral extraction taxation</w:t>
      </w:r>
      <w:r w:rsidRPr="00DE1642">
        <w:rPr>
          <w:rFonts w:cstheme="minorHAnsi"/>
        </w:rPr>
        <w:t>. Poland’s construction and mining sectors are among the largest in the EU, and current extraction charges are well below levels that reflect environmental externalities. A mineral extraction tax at €3.12 per tonne (inflation-adjusted benchmark) would reduce extraction volumes by around 17 per cent and raise close to €500 million annually. This would promote the use of recycled aggregates and secondary materials, strengthening the country’s circular economy performance.</w:t>
      </w:r>
    </w:p>
    <w:p w14:paraId="096B80C3" w14:textId="475E618A" w:rsidR="00DE1642" w:rsidRPr="00DE1642" w:rsidRDefault="00DE1642" w:rsidP="00DE1642">
      <w:pPr>
        <w:rPr>
          <w:rFonts w:cstheme="minorHAnsi"/>
        </w:rPr>
      </w:pPr>
      <w:r w:rsidRPr="00DE1642">
        <w:rPr>
          <w:rFonts w:cstheme="minorHAnsi"/>
        </w:rPr>
        <w:lastRenderedPageBreak/>
        <w:t xml:space="preserve">In </w:t>
      </w:r>
      <w:r w:rsidRPr="00DE1642">
        <w:rPr>
          <w:rFonts w:cstheme="minorHAnsi"/>
          <w:b/>
          <w:bCs/>
        </w:rPr>
        <w:t>agriculture</w:t>
      </w:r>
      <w:r w:rsidRPr="00DE1642">
        <w:rPr>
          <w:rFonts w:cstheme="minorHAnsi"/>
        </w:rPr>
        <w:t xml:space="preserve">, introducing product-based taxes on </w:t>
      </w:r>
      <w:r w:rsidRPr="00DE1642">
        <w:rPr>
          <w:rFonts w:cstheme="minorHAnsi"/>
          <w:b/>
          <w:bCs/>
        </w:rPr>
        <w:t>fertilisers and pesticides</w:t>
      </w:r>
      <w:r w:rsidRPr="00DE1642">
        <w:rPr>
          <w:rFonts w:cstheme="minorHAnsi"/>
        </w:rPr>
        <w:t xml:space="preserve"> would address nutrient and chemical pollution, a continuing issue for water and soil quality. The modelling suggests that a nitrogen-based fertiliser tax (€0.30 per kilogram of N) and a pesticide tax (€5 per kilogram of active ingredient) could reduce fertiliser use by around 12 per cent and pesticide use by 8 per cent, while raising approximately €200 million per year. Complementary measures such as advisory services, precision-farming subsidies, and soil testing could ensure cost-effective compliance and limit impacts on farm incomes.</w:t>
      </w:r>
    </w:p>
    <w:p w14:paraId="776B1844" w14:textId="0AD0B34B" w:rsidR="00DE1642" w:rsidRPr="00DE1642" w:rsidRDefault="00DE1642" w:rsidP="00DE1642">
      <w:pPr>
        <w:rPr>
          <w:rFonts w:cstheme="minorHAnsi"/>
        </w:rPr>
      </w:pPr>
      <w:r w:rsidRPr="00DE1642">
        <w:rPr>
          <w:rFonts w:cstheme="minorHAnsi"/>
        </w:rPr>
        <w:t xml:space="preserve">In terms of </w:t>
      </w:r>
      <w:r w:rsidRPr="00DE1642">
        <w:rPr>
          <w:rFonts w:cstheme="minorHAnsi"/>
          <w:b/>
          <w:bCs/>
        </w:rPr>
        <w:t>fiscal effects</w:t>
      </w:r>
      <w:r w:rsidRPr="00DE1642">
        <w:rPr>
          <w:rFonts w:cstheme="minorHAnsi"/>
        </w:rPr>
        <w:t>, the strongest revenue contributions would come from wastewater, landfill, and mineral extraction taxes. Together, these instruments would account for more than 80 per cent of new receipts. Additional revenues could be channelled into reducing labour taxes, financing green investment, or supporting environmental infrastructure. Poland’s ongoing modernisation of wastewater treatment and recycling systems provides a clear avenue for effective use of such revenues.</w:t>
      </w:r>
    </w:p>
    <w:p w14:paraId="1BE0C831" w14:textId="217318D9" w:rsidR="00DE1642" w:rsidRPr="00DE1642" w:rsidRDefault="00DE1642" w:rsidP="606E24A0">
      <w:r w:rsidRPr="606E24A0">
        <w:t>Poland has the necessary regulatory and institutional framework, including the National Fund for Environmental Protection and Water Management (NFEP&amp;WM) and regional environmental authorities, which oversee the collection of environmental charges. However, implementation would require improved coordination between fiscal and environmental administrations, particularly in data management and enforcement. Strengthening monitoring systems for industrial effluents, groundwater abstraction, and waste flows would also be critical to ensure compliance and minimise evasion.</w:t>
      </w:r>
    </w:p>
    <w:p w14:paraId="7B3D4FEB" w14:textId="578CFE51" w:rsidR="00DE1642" w:rsidRPr="00DE1642" w:rsidRDefault="00DE1642" w:rsidP="606E24A0">
      <w:r w:rsidRPr="606E24A0">
        <w:t xml:space="preserve">The </w:t>
      </w:r>
      <w:r w:rsidRPr="606E24A0">
        <w:rPr>
          <w:b/>
          <w:bCs/>
        </w:rPr>
        <w:t>distributional and competitiveness effects</w:t>
      </w:r>
      <w:r w:rsidRPr="606E24A0">
        <w:t xml:space="preserve"> of these reforms would be mixed across sectors but </w:t>
      </w:r>
      <w:r w:rsidR="00760F87">
        <w:t>are expected</w:t>
      </w:r>
      <w:r w:rsidR="008E783E">
        <w:t xml:space="preserve"> to be moderate</w:t>
      </w:r>
      <w:r w:rsidRPr="606E24A0">
        <w:t>. Energy-intensive industries, construction materials producers, and farmers would bear most of the direct cost increases. However, these can be mitigated through phased implementation and targeted support for investments in cleaner technologies and circular economy innovations. For households, the impacts would be limited, as most proposed taxes affect upstream producers rather than consumers directly. Nonetheless, any increases in municipal waste or water tariffs should be accompanied by transparent communication and, if necessary, income-based rebates for low-income households to maintain affordability.</w:t>
      </w:r>
    </w:p>
    <w:p w14:paraId="18CB97A8" w14:textId="2104AC9D" w:rsidR="00DE1642" w:rsidRPr="00DE1642" w:rsidRDefault="00DE1642" w:rsidP="00DE1642">
      <w:pPr>
        <w:rPr>
          <w:rFonts w:cstheme="minorHAnsi"/>
        </w:rPr>
      </w:pPr>
      <w:r w:rsidRPr="00DE1642">
        <w:rPr>
          <w:rFonts w:cstheme="minorHAnsi"/>
        </w:rPr>
        <w:t>Political feasibility remains a significant consideration. Past attempts to increase environmental charges, especially in water and waste, have met resistance from local governments and industry associations concerned about competitiveness and regional inequalities. Building stakeholder trust through consultation, predictable multi-year implementation schedules, and visible reinvestment of revenues into local environmental projects will be essential to ensure acceptance. Clear messaging that these measures can reduce reliance on EU funding by strengthening domestic environmental financing could also enhance support.</w:t>
      </w:r>
    </w:p>
    <w:p w14:paraId="5476B29D" w14:textId="394DB6F3" w:rsidR="00D6000A" w:rsidRPr="00DE1642" w:rsidRDefault="00DE1642" w:rsidP="006C2B0C">
      <w:pPr>
        <w:rPr>
          <w:rFonts w:cstheme="minorHAnsi"/>
        </w:rPr>
      </w:pPr>
      <w:r w:rsidRPr="00DE1642">
        <w:rPr>
          <w:rFonts w:cstheme="minorHAnsi"/>
        </w:rPr>
        <w:t>In summary, Poland has high potential to expand environmental taxation with strong environmental and fiscal benefits. The priority measures include strengthening landfill and wastewater taxes, introducing or increasing charges on mineral extraction, and applying targeted taxes on fertilisers and pesticides. With gradual implementation, transparent revenue recycling, and coordinated administration, Poland can reduce pollution, improve resource efficiency, and mobilise significant revenues to support its green transition while maintaining competitiveness and social fairness.</w:t>
      </w:r>
    </w:p>
    <w:p w14:paraId="50FB89DF" w14:textId="77777777" w:rsidR="00F83E65" w:rsidRPr="00EA4C9B" w:rsidRDefault="00F83E65" w:rsidP="00DE1642">
      <w:pPr>
        <w:pStyle w:val="AnnexHeading1"/>
        <w:ind w:hanging="1211"/>
      </w:pPr>
      <w:bookmarkStart w:id="282" w:name="_Toc214008933"/>
      <w:r w:rsidRPr="00EA4C9B">
        <w:lastRenderedPageBreak/>
        <w:t>Portugal</w:t>
      </w:r>
      <w:bookmarkEnd w:id="282"/>
      <w:r w:rsidRPr="00EA4C9B">
        <w:t> </w:t>
      </w:r>
    </w:p>
    <w:p w14:paraId="56138414" w14:textId="77777777" w:rsidR="00664BE6" w:rsidRPr="00D37755" w:rsidRDefault="00664BE6" w:rsidP="007C4EB7">
      <w:pPr>
        <w:pStyle w:val="AnnexHeading2"/>
      </w:pPr>
      <w:bookmarkStart w:id="283" w:name="_Toc214008934"/>
      <w:r w:rsidRPr="00D37755">
        <w:t>Overview of existing environmental taxes</w:t>
      </w:r>
      <w:bookmarkEnd w:id="283"/>
      <w:r w:rsidRPr="00D37755">
        <w:t> </w:t>
      </w:r>
    </w:p>
    <w:p w14:paraId="324F5B39" w14:textId="55FB932A" w:rsidR="00664BE6" w:rsidRPr="00EA4C9B" w:rsidRDefault="00C05BBD" w:rsidP="00664BE6">
      <w:pPr>
        <w:rPr>
          <w:lang w:eastAsia="en-GB"/>
        </w:rPr>
      </w:pPr>
      <w:r w:rsidRPr="00C05BBD">
        <w:t>Environmental taxes in Portugal amounted to 2.0% of GDP in 2023, close to the EU average. While revenues have increased in absolute terms over the past 15 years, their relative importance in the economy has declined. Total environmental tax revenue reached EUR 4.95 billion in 2023 (</w:t>
      </w:r>
      <w:r w:rsidRPr="007911C4">
        <w:fldChar w:fldCharType="begin"/>
      </w:r>
      <w:r w:rsidRPr="007911C4">
        <w:instrText xml:space="preserve"> REF _Ref201234971 \h  \* MERGEFORMAT </w:instrText>
      </w:r>
      <w:r w:rsidRPr="007911C4">
        <w:fldChar w:fldCharType="separate"/>
      </w:r>
      <w:r w:rsidRPr="007911C4">
        <w:t xml:space="preserve">Figure </w:t>
      </w:r>
      <w:r>
        <w:t>A6</w:t>
      </w:r>
      <w:r w:rsidRPr="007911C4">
        <w:t>-</w:t>
      </w:r>
      <w:r w:rsidRPr="007911C4">
        <w:rPr>
          <w:noProof/>
        </w:rPr>
        <w:t>60</w:t>
      </w:r>
      <w:r w:rsidRPr="007911C4">
        <w:fldChar w:fldCharType="end"/>
      </w:r>
      <w:r w:rsidRPr="00C05BBD">
        <w:t>), representing a 15.9% rise since 2009 (</w:t>
      </w:r>
      <w:r w:rsidRPr="00496605">
        <w:fldChar w:fldCharType="begin"/>
      </w:r>
      <w:r w:rsidRPr="00496605">
        <w:instrText xml:space="preserve"> REF _Ref201231640 \h  \* MERGEFORMAT </w:instrText>
      </w:r>
      <w:r w:rsidRPr="00496605">
        <w:fldChar w:fldCharType="separate"/>
      </w:r>
      <w:r w:rsidRPr="00496605">
        <w:t xml:space="preserve">Figure </w:t>
      </w:r>
      <w:r>
        <w:t>A6</w:t>
      </w:r>
      <w:r w:rsidRPr="00496605">
        <w:t>-</w:t>
      </w:r>
      <w:r w:rsidRPr="00496605">
        <w:rPr>
          <w:noProof/>
        </w:rPr>
        <w:t>61</w:t>
      </w:r>
      <w:r w:rsidRPr="00496605">
        <w:fldChar w:fldCharType="end"/>
      </w:r>
      <w:r w:rsidRPr="00C05BBD">
        <w:t>)</w:t>
      </w:r>
      <w:r w:rsidR="00D84112">
        <w:rPr>
          <w:rStyle w:val="FootnoteReference"/>
          <w:lang w:eastAsia="es-ES"/>
        </w:rPr>
        <w:footnoteReference w:id="710"/>
      </w:r>
      <w:r w:rsidRPr="00C05BBD">
        <w:t>. Over the same period, however, the ratio of environmental taxes to GDP fell by 17.5%. In 2023, revenues were mainly derived from energy and transport taxes (around 73.8% and 24.3%, respectively), while resource and pollution taxes contributed around 0.9% and 1.0%</w:t>
      </w:r>
      <w:r>
        <w:t xml:space="preserve"> respectively</w:t>
      </w:r>
      <w:r w:rsidRPr="00C05BBD">
        <w:t>.</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664BE6" w:rsidRPr="00EA4C9B" w14:paraId="33AD9C36" w14:textId="77777777" w:rsidTr="00245941">
        <w:trPr>
          <w:trHeight w:val="1740"/>
        </w:trPr>
        <w:tc>
          <w:tcPr>
            <w:tcW w:w="9010" w:type="dxa"/>
            <w:tcBorders>
              <w:top w:val="single" w:sz="6" w:space="0" w:color="auto"/>
              <w:left w:val="single" w:sz="6" w:space="0" w:color="auto"/>
              <w:bottom w:val="single" w:sz="6" w:space="0" w:color="auto"/>
              <w:right w:val="single" w:sz="6" w:space="0" w:color="auto"/>
            </w:tcBorders>
            <w:hideMark/>
          </w:tcPr>
          <w:p w14:paraId="01427743" w14:textId="77777777" w:rsidR="00DE1642" w:rsidRDefault="00DE1642" w:rsidP="00245941">
            <w:pPr>
              <w:spacing w:after="0"/>
              <w:rPr>
                <w:sz w:val="2"/>
                <w:szCs w:val="2"/>
              </w:rPr>
            </w:pPr>
          </w:p>
          <w:p w14:paraId="429044D6" w14:textId="24879A98" w:rsidR="00664BE6" w:rsidRPr="00EA4C9B" w:rsidRDefault="00664BE6" w:rsidP="00245941">
            <w:pPr>
              <w:spacing w:after="0"/>
              <w:jc w:val="center"/>
              <w:rPr>
                <w:sz w:val="2"/>
                <w:szCs w:val="2"/>
              </w:rPr>
            </w:pPr>
            <w:r w:rsidRPr="00EA4C9B">
              <w:rPr>
                <w:noProof/>
                <w:sz w:val="2"/>
                <w:szCs w:val="2"/>
              </w:rPr>
              <w:drawing>
                <wp:inline distT="0" distB="0" distL="0" distR="0" wp14:anchorId="158BA815" wp14:editId="1B1EA709">
                  <wp:extent cx="5588000" cy="1083310"/>
                  <wp:effectExtent l="0" t="0" r="0" b="0"/>
                  <wp:docPr id="1669760430" name="Imagen 1" descr="A graph of a graph with numbers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60430" name="Imagen 1" descr="A graph of a graph with numbers and a graph&#10;&#10;AI-generated content may be incorrect."/>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588000" cy="1083310"/>
                          </a:xfrm>
                          <a:prstGeom prst="rect">
                            <a:avLst/>
                          </a:prstGeom>
                          <a:noFill/>
                        </pic:spPr>
                      </pic:pic>
                    </a:graphicData>
                  </a:graphic>
                </wp:inline>
              </w:drawing>
            </w:r>
          </w:p>
        </w:tc>
      </w:tr>
      <w:tr w:rsidR="00664BE6" w:rsidRPr="00EA4C9B" w14:paraId="2EC23CC9" w14:textId="77777777" w:rsidTr="004F0767">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003399"/>
            <w:hideMark/>
          </w:tcPr>
          <w:p w14:paraId="264E8E9F" w14:textId="2706E669" w:rsidR="00664BE6" w:rsidRPr="00EA4C9B" w:rsidRDefault="00664BE6" w:rsidP="00623389">
            <w:pPr>
              <w:pStyle w:val="FigTabCaption"/>
              <w:rPr>
                <w:lang w:eastAsia="es-ES"/>
              </w:rPr>
            </w:pPr>
            <w:bookmarkStart w:id="284" w:name="_Ref201234971"/>
            <w:r w:rsidRPr="00051732">
              <w:t xml:space="preserve">Figure </w:t>
            </w:r>
            <w:r w:rsidR="00490085">
              <w:t>A6</w:t>
            </w:r>
            <w:r w:rsidR="00947F4C" w:rsidRPr="00051732">
              <w:t>-</w:t>
            </w:r>
            <w:fldSimple w:instr=" SEQ Figure_A5- \* ARABIC ">
              <w:r w:rsidR="0091411A">
                <w:rPr>
                  <w:noProof/>
                </w:rPr>
                <w:t>60</w:t>
              </w:r>
            </w:fldSimple>
            <w:bookmarkEnd w:id="284"/>
            <w:r w:rsidRPr="00EA4C9B">
              <w:rPr>
                <w:lang w:eastAsia="es-ES"/>
              </w:rPr>
              <w:t>: Total environmental tax revenue in Portugal (2009-2023) in billion euros </w:t>
            </w:r>
          </w:p>
        </w:tc>
      </w:tr>
    </w:tbl>
    <w:p w14:paraId="129E03D2" w14:textId="77777777" w:rsidR="00D84112" w:rsidRDefault="00D84112" w:rsidP="00D84112"/>
    <w:p w14:paraId="6CA2A862" w14:textId="6FBC6B3E" w:rsidR="00664BE6" w:rsidRPr="00EA4C9B" w:rsidRDefault="00C06EFE" w:rsidP="00BA7936">
      <w:r w:rsidRPr="00C06EFE">
        <w:t>In 2023, total tax revenue (including net social contributions) accounted for 23.3% of Portugal’s GDP, a decrease of 9.1 percentage points from 32.4% in 2009. Environmental taxes represented 8.5% of total tax revenue in 2023, up from 7.3% in 2009</w:t>
      </w:r>
      <w:r>
        <w:t xml:space="preserve"> </w:t>
      </w:r>
      <w:r w:rsidRPr="00C06EFE">
        <w:t>—</w:t>
      </w:r>
      <w:r>
        <w:t xml:space="preserve"> </w:t>
      </w:r>
      <w:r w:rsidRPr="00C06EFE">
        <w:t>an increase of 1.2 percentage points over the period. In absolute terms, the strongest increases were recorded in pollution tax revenues (up 380%) and resource tax revenues (up 327%).</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664BE6" w:rsidRPr="00EA4C9B" w14:paraId="4B33E6D8" w14:textId="77777777" w:rsidTr="004F0767">
        <w:trPr>
          <w:trHeight w:val="300"/>
        </w:trPr>
        <w:tc>
          <w:tcPr>
            <w:tcW w:w="9015" w:type="dxa"/>
            <w:tcBorders>
              <w:top w:val="single" w:sz="6" w:space="0" w:color="auto"/>
              <w:left w:val="single" w:sz="6" w:space="0" w:color="auto"/>
              <w:bottom w:val="single" w:sz="6" w:space="0" w:color="auto"/>
              <w:right w:val="single" w:sz="6" w:space="0" w:color="auto"/>
            </w:tcBorders>
            <w:hideMark/>
          </w:tcPr>
          <w:p w14:paraId="4A31C2CC" w14:textId="77777777" w:rsidR="00245941" w:rsidRDefault="00245941">
            <w:pPr>
              <w:spacing w:after="0"/>
              <w:jc w:val="center"/>
              <w:textAlignment w:val="baseline"/>
              <w:rPr>
                <w:rFonts w:ascii="Calibri" w:eastAsia="Times New Roman" w:hAnsi="Calibri" w:cs="Calibri"/>
                <w:sz w:val="2"/>
                <w:szCs w:val="2"/>
                <w:lang w:eastAsia="es-ES"/>
              </w:rPr>
            </w:pPr>
          </w:p>
          <w:p w14:paraId="2CE19C26" w14:textId="77777777" w:rsidR="00245941" w:rsidRDefault="00245941">
            <w:pPr>
              <w:spacing w:after="0"/>
              <w:jc w:val="center"/>
              <w:textAlignment w:val="baseline"/>
              <w:rPr>
                <w:rFonts w:ascii="Calibri" w:eastAsia="Times New Roman" w:hAnsi="Calibri" w:cs="Calibri"/>
                <w:sz w:val="2"/>
                <w:szCs w:val="2"/>
                <w:lang w:eastAsia="es-ES"/>
              </w:rPr>
            </w:pPr>
          </w:p>
          <w:p w14:paraId="3722AEBD" w14:textId="338681E3" w:rsidR="00664BE6" w:rsidRDefault="00664BE6">
            <w:pPr>
              <w:spacing w:after="0"/>
              <w:jc w:val="center"/>
              <w:textAlignment w:val="baseline"/>
              <w:rPr>
                <w:rFonts w:ascii="Calibri" w:eastAsia="Times New Roman" w:hAnsi="Calibri" w:cs="Calibri"/>
                <w:sz w:val="2"/>
                <w:szCs w:val="2"/>
                <w:lang w:eastAsia="es-ES"/>
              </w:rPr>
            </w:pPr>
            <w:r w:rsidRPr="00EA4C9B">
              <w:rPr>
                <w:rFonts w:ascii="Calibri" w:eastAsia="Times New Roman" w:hAnsi="Calibri" w:cs="Calibri"/>
                <w:sz w:val="2"/>
                <w:szCs w:val="2"/>
                <w:lang w:eastAsia="es-ES"/>
              </w:rPr>
              <w:t> </w:t>
            </w:r>
            <w:r w:rsidRPr="00EA4C9B">
              <w:rPr>
                <w:rFonts w:ascii="Calibri" w:eastAsia="Times New Roman" w:hAnsi="Calibri" w:cs="Calibri"/>
                <w:noProof/>
                <w:sz w:val="2"/>
                <w:szCs w:val="2"/>
                <w:lang w:eastAsia="es-ES"/>
              </w:rPr>
              <w:drawing>
                <wp:inline distT="0" distB="0" distL="0" distR="0" wp14:anchorId="29472881" wp14:editId="06CDAAD0">
                  <wp:extent cx="5205742" cy="2162311"/>
                  <wp:effectExtent l="0" t="0" r="1270" b="0"/>
                  <wp:docPr id="1338902866" name="Picture 1" descr="Gráfico, Gráfico en casca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02866" name="Picture 1" descr="Gráfico, Gráfico en cascada&#10;&#10;El contenido generado por IA puede ser incorrecto."/>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27449" cy="2171328"/>
                          </a:xfrm>
                          <a:prstGeom prst="rect">
                            <a:avLst/>
                          </a:prstGeom>
                          <a:noFill/>
                        </pic:spPr>
                      </pic:pic>
                    </a:graphicData>
                  </a:graphic>
                </wp:inline>
              </w:drawing>
            </w:r>
          </w:p>
          <w:p w14:paraId="26DC902F" w14:textId="77777777" w:rsidR="00245941" w:rsidRPr="00245941" w:rsidRDefault="00245941">
            <w:pPr>
              <w:spacing w:after="0"/>
              <w:jc w:val="center"/>
              <w:textAlignment w:val="baseline"/>
              <w:rPr>
                <w:rFonts w:eastAsia="Times New Roman" w:cstheme="minorHAnsi"/>
                <w:sz w:val="10"/>
                <w:szCs w:val="10"/>
                <w:lang w:eastAsia="es-ES"/>
              </w:rPr>
            </w:pPr>
          </w:p>
          <w:p w14:paraId="48965B28" w14:textId="77777777" w:rsidR="00664BE6" w:rsidRPr="00EA4C9B" w:rsidRDefault="00664BE6">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sz w:val="2"/>
                <w:szCs w:val="2"/>
                <w:lang w:eastAsia="es-ES"/>
              </w:rPr>
              <w:t> </w:t>
            </w:r>
          </w:p>
        </w:tc>
      </w:tr>
      <w:tr w:rsidR="00664BE6" w:rsidRPr="00EA4C9B" w14:paraId="2A5A743B" w14:textId="77777777" w:rsidTr="004F0767">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003399"/>
            <w:hideMark/>
          </w:tcPr>
          <w:p w14:paraId="212BDA17" w14:textId="354838F8" w:rsidR="00664BE6" w:rsidRPr="00EA4C9B" w:rsidRDefault="00664BE6" w:rsidP="00623389">
            <w:pPr>
              <w:pStyle w:val="FigTabCaption"/>
              <w:rPr>
                <w:rFonts w:ascii="Segoe UI" w:eastAsia="Times New Roman" w:hAnsi="Segoe UI" w:cs="Segoe UI"/>
                <w:sz w:val="18"/>
                <w:szCs w:val="18"/>
                <w:lang w:eastAsia="es-ES"/>
              </w:rPr>
            </w:pPr>
            <w:bookmarkStart w:id="285" w:name="_Ref201231640"/>
            <w:r w:rsidRPr="00051732">
              <w:t xml:space="preserve">Figure </w:t>
            </w:r>
            <w:r w:rsidR="00490085">
              <w:t>A6</w:t>
            </w:r>
            <w:r w:rsidR="00947F4C" w:rsidRPr="00051732">
              <w:t>-</w:t>
            </w:r>
            <w:fldSimple w:instr=" SEQ Figure_A5- \* ARABIC ">
              <w:r w:rsidR="0091411A">
                <w:rPr>
                  <w:noProof/>
                </w:rPr>
                <w:t>61</w:t>
              </w:r>
            </w:fldSimple>
            <w:bookmarkEnd w:id="285"/>
            <w:r w:rsidRPr="00EA4C9B">
              <w:rPr>
                <w:shd w:val="clear" w:color="auto" w:fill="003399"/>
                <w:lang w:eastAsia="es-ES"/>
              </w:rPr>
              <w:t>:</w:t>
            </w:r>
            <w:r w:rsidRPr="00EA4C9B">
              <w:rPr>
                <w:lang w:eastAsia="es-ES"/>
              </w:rPr>
              <w:t xml:space="preserve"> Fifteen-year (2009-2023) change in absolute terms and change as GDP-ratio of the revenues of energy taxes, transport taxes, resource taxes, pollution taxes and total environmental taxes </w:t>
            </w:r>
          </w:p>
        </w:tc>
      </w:tr>
    </w:tbl>
    <w:p w14:paraId="6B29C709" w14:textId="77777777" w:rsidR="00664BE6" w:rsidRPr="00D37755" w:rsidRDefault="00664BE6" w:rsidP="007C4EB7">
      <w:pPr>
        <w:pStyle w:val="AnnexHeading2"/>
      </w:pPr>
      <w:bookmarkStart w:id="286" w:name="_Toc214008935"/>
      <w:r w:rsidRPr="00D37755">
        <w:t>Existing pollution and resource taxes</w:t>
      </w:r>
      <w:bookmarkEnd w:id="286"/>
    </w:p>
    <w:p w14:paraId="62AABEBD" w14:textId="76E871DD" w:rsidR="00664BE6" w:rsidRPr="00EA4C9B" w:rsidRDefault="00664BE6" w:rsidP="00664BE6">
      <w:pPr>
        <w:spacing w:before="120" w:after="120"/>
      </w:pPr>
      <w:r w:rsidRPr="00EA4C9B">
        <w:t>In 2023, pollution and resource tax revenues reached 47.68 and 46.65 million euros, respectively</w:t>
      </w:r>
      <w:r w:rsidRPr="00EA4C9B">
        <w:rPr>
          <w:b/>
          <w:bCs/>
        </w:rPr>
        <w:t xml:space="preserve"> </w:t>
      </w:r>
      <w:r w:rsidRPr="00EA4C9B">
        <w:t>(each accounted for 1% of the total environmental tax revenues</w:t>
      </w:r>
      <w:r w:rsidRPr="00EA4C9B">
        <w:rPr>
          <w:lang w:eastAsia="en-GB"/>
        </w:rPr>
        <w:t>),</w:t>
      </w:r>
      <w:r w:rsidRPr="00EA4C9B">
        <w:t xml:space="preserve"> </w:t>
      </w:r>
      <w:r w:rsidRPr="00EA4C9B">
        <w:rPr>
          <w:lang w:eastAsia="en-GB"/>
        </w:rPr>
        <w:t xml:space="preserve">increasing in absolute terms by </w:t>
      </w:r>
      <w:r w:rsidRPr="00EA4C9B">
        <w:t xml:space="preserve">380% for </w:t>
      </w:r>
      <w:r w:rsidRPr="00EA4C9B">
        <w:lastRenderedPageBreak/>
        <w:t>pollution taxes and of 327% for resource taxes over 15 years (2009-2023). In terms of GDP-ratios, pollution taxes increased by 226% and resource taxes increased by 196.5% (</w:t>
      </w:r>
      <w:r w:rsidR="00496605" w:rsidRPr="00496605">
        <w:fldChar w:fldCharType="begin"/>
      </w:r>
      <w:r w:rsidR="00496605" w:rsidRPr="00496605">
        <w:instrText xml:space="preserve"> REF _Ref201231640 \h  \* MERGEFORMAT </w:instrText>
      </w:r>
      <w:r w:rsidR="00496605" w:rsidRPr="00496605">
        <w:fldChar w:fldCharType="separate"/>
      </w:r>
      <w:r w:rsidR="00496605" w:rsidRPr="00496605">
        <w:t xml:space="preserve">Figure </w:t>
      </w:r>
      <w:r w:rsidR="00490085">
        <w:t>A6</w:t>
      </w:r>
      <w:r w:rsidR="00496605" w:rsidRPr="00496605">
        <w:t>-</w:t>
      </w:r>
      <w:r w:rsidR="00496605" w:rsidRPr="00496605">
        <w:rPr>
          <w:noProof/>
        </w:rPr>
        <w:t>61</w:t>
      </w:r>
      <w:r w:rsidR="00496605" w:rsidRPr="00496605">
        <w:fldChar w:fldCharType="end"/>
      </w:r>
      <w:r w:rsidRPr="00EA4C9B">
        <w:t xml:space="preserve">). </w:t>
      </w:r>
    </w:p>
    <w:tbl>
      <w:tblPr>
        <w:tblW w:w="9010" w:type="dxa"/>
        <w:tblBorders>
          <w:top w:val="outset" w:sz="6" w:space="0" w:color="auto"/>
          <w:left w:val="outset" w:sz="6" w:space="0" w:color="auto"/>
          <w:bottom w:val="outset" w:sz="6" w:space="0" w:color="auto"/>
          <w:right w:val="outset" w:sz="6" w:space="0" w:color="auto"/>
        </w:tblBorders>
        <w:tblCellMar>
          <w:left w:w="70" w:type="dxa"/>
          <w:right w:w="70" w:type="dxa"/>
        </w:tblCellMar>
        <w:tblLook w:val="04A0" w:firstRow="1" w:lastRow="0" w:firstColumn="1" w:lastColumn="0" w:noHBand="0" w:noVBand="1"/>
      </w:tblPr>
      <w:tblGrid>
        <w:gridCol w:w="9010"/>
      </w:tblGrid>
      <w:tr w:rsidR="00664BE6" w:rsidRPr="00EA4C9B" w14:paraId="224C56E3" w14:textId="77777777" w:rsidTr="004F0767">
        <w:trPr>
          <w:trHeight w:val="300"/>
        </w:trPr>
        <w:tc>
          <w:tcPr>
            <w:tcW w:w="9010" w:type="dxa"/>
            <w:tcBorders>
              <w:top w:val="single" w:sz="6" w:space="0" w:color="auto"/>
              <w:left w:val="single" w:sz="6" w:space="0" w:color="auto"/>
              <w:bottom w:val="single" w:sz="6" w:space="0" w:color="auto"/>
              <w:right w:val="single" w:sz="6" w:space="0" w:color="auto"/>
            </w:tcBorders>
            <w:hideMark/>
          </w:tcPr>
          <w:p w14:paraId="4B64320D" w14:textId="77777777" w:rsidR="00664BE6" w:rsidRPr="00EA4C9B" w:rsidRDefault="00664BE6">
            <w:pPr>
              <w:spacing w:after="0"/>
              <w:jc w:val="center"/>
              <w:textAlignment w:val="baseline"/>
              <w:rPr>
                <w:rFonts w:eastAsia="Times New Roman" w:cstheme="minorHAnsi"/>
                <w:sz w:val="2"/>
                <w:szCs w:val="2"/>
                <w:lang w:eastAsia="es-ES"/>
              </w:rPr>
            </w:pPr>
          </w:p>
          <w:p w14:paraId="5DE0EAF2" w14:textId="77777777" w:rsidR="00664BE6" w:rsidRPr="00EA4C9B" w:rsidRDefault="00664BE6">
            <w:pPr>
              <w:spacing w:after="0"/>
              <w:jc w:val="center"/>
              <w:textAlignment w:val="baseline"/>
              <w:rPr>
                <w:rFonts w:ascii="Segoe UI" w:eastAsia="Times New Roman" w:hAnsi="Segoe UI" w:cs="Segoe UI"/>
                <w:sz w:val="18"/>
                <w:szCs w:val="18"/>
                <w:lang w:eastAsia="es-ES"/>
              </w:rPr>
            </w:pPr>
            <w:r w:rsidRPr="00EA4C9B">
              <w:rPr>
                <w:rFonts w:ascii="Calibri" w:eastAsia="Times New Roman" w:hAnsi="Calibri" w:cs="Calibri"/>
                <w:sz w:val="10"/>
                <w:szCs w:val="10"/>
                <w:lang w:eastAsia="es-ES"/>
              </w:rPr>
              <w:t> </w:t>
            </w:r>
            <w:r w:rsidRPr="00EA4C9B">
              <w:rPr>
                <w:rFonts w:ascii="Calibri" w:eastAsia="Times New Roman" w:hAnsi="Calibri" w:cs="Calibri"/>
                <w:noProof/>
                <w:sz w:val="10"/>
                <w:szCs w:val="10"/>
                <w:lang w:eastAsia="es-ES"/>
              </w:rPr>
              <w:drawing>
                <wp:inline distT="0" distB="0" distL="0" distR="0" wp14:anchorId="06664551" wp14:editId="78B304D7">
                  <wp:extent cx="5587200" cy="1204048"/>
                  <wp:effectExtent l="0" t="0" r="0" b="0"/>
                  <wp:docPr id="2134264899" name="Picture 3" descr="Gráfico, Gráfico en casca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64899" name="Picture 3" descr="Gráfico, Gráfico en cascada&#10;&#10;El contenido generado por IA puede ser incorrecto."/>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587200" cy="1204048"/>
                          </a:xfrm>
                          <a:prstGeom prst="rect">
                            <a:avLst/>
                          </a:prstGeom>
                          <a:noFill/>
                        </pic:spPr>
                      </pic:pic>
                    </a:graphicData>
                  </a:graphic>
                </wp:inline>
              </w:drawing>
            </w:r>
          </w:p>
          <w:p w14:paraId="18A23808" w14:textId="77777777" w:rsidR="00664BE6" w:rsidRPr="00EA4C9B" w:rsidRDefault="00664BE6">
            <w:pPr>
              <w:spacing w:after="0"/>
              <w:jc w:val="center"/>
              <w:textAlignment w:val="baseline"/>
              <w:rPr>
                <w:rFonts w:ascii="Segoe UI" w:eastAsia="Times New Roman" w:hAnsi="Segoe UI" w:cs="Segoe UI"/>
                <w:sz w:val="2"/>
                <w:szCs w:val="2"/>
                <w:lang w:eastAsia="es-ES"/>
              </w:rPr>
            </w:pPr>
            <w:r w:rsidRPr="00EA4C9B">
              <w:rPr>
                <w:rFonts w:ascii="Calibri" w:eastAsia="Times New Roman" w:hAnsi="Calibri" w:cs="Calibri"/>
                <w:sz w:val="2"/>
                <w:szCs w:val="2"/>
                <w:lang w:eastAsia="es-ES"/>
              </w:rPr>
              <w:t> </w:t>
            </w:r>
          </w:p>
        </w:tc>
      </w:tr>
      <w:tr w:rsidR="00664BE6" w:rsidRPr="00EA4C9B" w14:paraId="5ECF2410" w14:textId="77777777" w:rsidTr="004F0767">
        <w:tblPrEx>
          <w:tblCellMar>
            <w:left w:w="0" w:type="dxa"/>
            <w:right w:w="0" w:type="dxa"/>
          </w:tblCellMar>
        </w:tblPrEx>
        <w:trPr>
          <w:trHeight w:val="300"/>
        </w:trPr>
        <w:tc>
          <w:tcPr>
            <w:tcW w:w="9010" w:type="dxa"/>
            <w:tcBorders>
              <w:top w:val="single" w:sz="6" w:space="0" w:color="auto"/>
              <w:left w:val="single" w:sz="6" w:space="0" w:color="auto"/>
              <w:bottom w:val="single" w:sz="6" w:space="0" w:color="auto"/>
              <w:right w:val="single" w:sz="6" w:space="0" w:color="auto"/>
            </w:tcBorders>
            <w:shd w:val="clear" w:color="auto" w:fill="003399"/>
            <w:hideMark/>
          </w:tcPr>
          <w:p w14:paraId="65ADFCFB" w14:textId="18FD5AB3" w:rsidR="00664BE6" w:rsidRPr="00EA4C9B" w:rsidRDefault="00664BE6" w:rsidP="00623389">
            <w:pPr>
              <w:pStyle w:val="FigTabCaption"/>
              <w:rPr>
                <w:rFonts w:ascii="Segoe UI" w:eastAsia="Times New Roman" w:hAnsi="Segoe UI" w:cs="Segoe UI"/>
                <w:sz w:val="18"/>
                <w:szCs w:val="18"/>
                <w:lang w:eastAsia="es-ES"/>
              </w:rPr>
            </w:pPr>
            <w:r w:rsidRPr="00051732">
              <w:t xml:space="preserve">Figure </w:t>
            </w:r>
            <w:r w:rsidR="00490085">
              <w:t>A6</w:t>
            </w:r>
            <w:r w:rsidR="00947F4C" w:rsidRPr="00051732">
              <w:t>-</w:t>
            </w:r>
            <w:fldSimple w:instr=" SEQ Figure_A5- \* ARABIC ">
              <w:r w:rsidR="0091411A">
                <w:rPr>
                  <w:noProof/>
                </w:rPr>
                <w:t>62</w:t>
              </w:r>
            </w:fldSimple>
            <w:r w:rsidRPr="00EA4C9B">
              <w:rPr>
                <w:lang w:eastAsia="es-ES"/>
              </w:rPr>
              <w:t>: Resource and pollution tax revenues in Portugal (2009-2023) in million euros</w:t>
            </w:r>
            <w:r w:rsidR="00F26A70">
              <w:rPr>
                <w:lang w:eastAsia="es-ES"/>
              </w:rPr>
              <w:t>.</w:t>
            </w:r>
            <w:r w:rsidR="00F26A70" w:rsidRPr="00EA4C9B">
              <w:rPr>
                <w:rFonts w:ascii="Calibri" w:eastAsia="Calibri" w:hAnsi="Calibri" w:cs="Calibri"/>
                <w:i/>
                <w:iCs/>
              </w:rPr>
              <w:t xml:space="preserve"> Note: the share between pollution and resource taxes in 2023 was estimated as the weighted average of past years</w:t>
            </w:r>
            <w:r w:rsidR="00F26A70" w:rsidRPr="00EA4C9B">
              <w:rPr>
                <w:rFonts w:ascii="Calibri" w:eastAsia="Calibri" w:hAnsi="Calibri" w:cs="Calibri"/>
              </w:rPr>
              <w:t> </w:t>
            </w:r>
          </w:p>
        </w:tc>
      </w:tr>
    </w:tbl>
    <w:p w14:paraId="70540B77" w14:textId="77777777" w:rsidR="00A00DA3" w:rsidRPr="00A00DA3" w:rsidRDefault="00A00DA3" w:rsidP="00A00DA3">
      <w:pPr>
        <w:pStyle w:val="Heading4"/>
      </w:pPr>
      <w:r w:rsidRPr="00A00DA3">
        <w:t>List of pollution and resource taxes and revenue shares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664BE6" w:rsidRPr="00EA4C9B" w14:paraId="5EFD2423" w14:textId="77777777" w:rsidTr="004F0767">
        <w:trPr>
          <w:trHeight w:val="147"/>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725FC45D" w14:textId="27785621" w:rsidR="00664BE6" w:rsidRPr="00997633" w:rsidRDefault="00947F4C" w:rsidP="00997633">
            <w:pPr>
              <w:pStyle w:val="Table"/>
              <w:rPr>
                <w:rFonts w:ascii="Times New Roman" w:eastAsia="Times New Roman" w:hAnsi="Times New Roman" w:cs="Times New Roman"/>
                <w:b/>
                <w:sz w:val="24"/>
                <w:lang w:eastAsia="en-GB"/>
              </w:rPr>
            </w:pPr>
            <w:r w:rsidRPr="00997633">
              <w:rPr>
                <w:b/>
                <w:color w:val="FFFFFF" w:themeColor="background1"/>
              </w:rPr>
              <w:t xml:space="preserve">Table </w:t>
            </w:r>
            <w:r w:rsidR="00490085">
              <w:rPr>
                <w:b/>
                <w:color w:val="FFFFFF" w:themeColor="background1"/>
              </w:rPr>
              <w:t>A6</w:t>
            </w:r>
            <w:r w:rsidR="00997633" w:rsidRPr="00997633">
              <w:rPr>
                <w:b/>
                <w:bCs/>
                <w:color w:val="FFFFFF" w:themeColor="background1"/>
              </w:rPr>
              <w:t>-</w:t>
            </w:r>
            <w:r w:rsidR="00997633" w:rsidRPr="00997633">
              <w:rPr>
                <w:b/>
                <w:bCs/>
                <w:color w:val="FFFFFF" w:themeColor="background1"/>
              </w:rPr>
              <w:fldChar w:fldCharType="begin"/>
            </w:r>
            <w:r w:rsidR="00997633" w:rsidRPr="00997633">
              <w:rPr>
                <w:b/>
                <w:bCs/>
                <w:color w:val="FFFFFF" w:themeColor="background1"/>
              </w:rPr>
              <w:instrText xml:space="preserve"> SEQ Table_A5- \* ARABIC </w:instrText>
            </w:r>
            <w:r w:rsidR="00997633" w:rsidRPr="00997633">
              <w:rPr>
                <w:b/>
                <w:bCs/>
                <w:color w:val="FFFFFF" w:themeColor="background1"/>
              </w:rPr>
              <w:fldChar w:fldCharType="separate"/>
            </w:r>
            <w:r w:rsidR="00DE1642">
              <w:rPr>
                <w:b/>
                <w:bCs/>
                <w:noProof/>
                <w:color w:val="FFFFFF" w:themeColor="background1"/>
              </w:rPr>
              <w:t>108</w:t>
            </w:r>
            <w:r w:rsidR="00997633" w:rsidRPr="00997633">
              <w:rPr>
                <w:b/>
                <w:bCs/>
                <w:color w:val="FFFFFF" w:themeColor="background1"/>
              </w:rPr>
              <w:fldChar w:fldCharType="end"/>
            </w:r>
            <w:r w:rsidR="00664BE6" w:rsidRPr="00997633">
              <w:rPr>
                <w:rFonts w:ascii="Calibri" w:eastAsia="Times New Roman" w:hAnsi="Calibri" w:cs="Calibri"/>
                <w:b/>
                <w:color w:val="FFFFFF" w:themeColor="background1"/>
                <w:szCs w:val="20"/>
                <w:lang w:eastAsia="en-GB"/>
              </w:rPr>
              <w:t>:  Pollution taxes </w:t>
            </w:r>
          </w:p>
        </w:tc>
      </w:tr>
      <w:tr w:rsidR="00664BE6" w:rsidRPr="00EA4C9B" w14:paraId="1B1328EF" w14:textId="77777777" w:rsidTr="004F0767">
        <w:trPr>
          <w:trHeight w:val="76"/>
        </w:trPr>
        <w:tc>
          <w:tcPr>
            <w:tcW w:w="3497" w:type="dxa"/>
            <w:tcBorders>
              <w:top w:val="single" w:sz="6" w:space="0" w:color="auto"/>
              <w:left w:val="single" w:sz="6" w:space="0" w:color="auto"/>
              <w:bottom w:val="single" w:sz="6" w:space="0" w:color="auto"/>
              <w:right w:val="single" w:sz="6" w:space="0" w:color="auto"/>
            </w:tcBorders>
            <w:hideMark/>
          </w:tcPr>
          <w:p w14:paraId="30603266" w14:textId="77777777" w:rsidR="00664BE6" w:rsidRPr="00EA4C9B" w:rsidRDefault="00664BE6" w:rsidP="00997633">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8" w:type="dxa"/>
            <w:tcBorders>
              <w:top w:val="single" w:sz="6" w:space="0" w:color="auto"/>
              <w:left w:val="single" w:sz="6" w:space="0" w:color="auto"/>
              <w:bottom w:val="single" w:sz="6" w:space="0" w:color="auto"/>
              <w:right w:val="single" w:sz="6" w:space="0" w:color="auto"/>
            </w:tcBorders>
          </w:tcPr>
          <w:p w14:paraId="757A4B2B" w14:textId="77777777" w:rsidR="00664BE6" w:rsidRPr="00EA4C9B" w:rsidRDefault="00664BE6" w:rsidP="00DE1642">
            <w:pPr>
              <w:pStyle w:val="Table"/>
              <w:jc w:val="center"/>
              <w:rPr>
                <w:rFonts w:ascii="Calibri" w:eastAsia="Times New Roman" w:hAnsi="Calibri" w:cs="Calibri"/>
                <w:b/>
                <w:bCs/>
                <w:szCs w:val="20"/>
                <w:lang w:eastAsia="en-GB"/>
              </w:rPr>
            </w:pPr>
            <w:r w:rsidRPr="00EA4C9B">
              <w:rPr>
                <w:rFonts w:ascii="Calibri" w:eastAsia="Times New Roman" w:hAnsi="Calibri" w:cs="Calibri"/>
                <w:b/>
                <w:szCs w:val="20"/>
                <w:lang w:eastAsia="en-GB"/>
              </w:rPr>
              <w:t>Revenue (€ million)</w:t>
            </w:r>
          </w:p>
          <w:p w14:paraId="6FA2A1D6" w14:textId="77777777" w:rsidR="00664BE6" w:rsidRPr="00EA4C9B" w:rsidRDefault="00664BE6" w:rsidP="00DE1642">
            <w:pPr>
              <w:pStyle w:val="Table"/>
              <w:jc w:val="center"/>
              <w:rPr>
                <w:rFonts w:ascii="Calibri" w:eastAsia="Times New Roman" w:hAnsi="Calibri" w:cs="Calibri"/>
                <w:b/>
                <w:szCs w:val="20"/>
                <w:lang w:eastAsia="en-GB"/>
              </w:rPr>
            </w:pPr>
            <w:r w:rsidRPr="00EA4C9B">
              <w:rPr>
                <w:rFonts w:ascii="Calibri" w:eastAsia="Times New Roman" w:hAnsi="Calibri" w:cs="Calibri"/>
                <w:b/>
                <w:szCs w:val="20"/>
                <w:lang w:eastAsia="en-GB"/>
              </w:rPr>
              <w:t>2009-2023</w:t>
            </w:r>
          </w:p>
        </w:tc>
        <w:tc>
          <w:tcPr>
            <w:tcW w:w="1894" w:type="dxa"/>
            <w:tcBorders>
              <w:top w:val="single" w:sz="6" w:space="0" w:color="auto"/>
              <w:left w:val="single" w:sz="6" w:space="0" w:color="auto"/>
              <w:bottom w:val="single" w:sz="6" w:space="0" w:color="auto"/>
              <w:right w:val="single" w:sz="6" w:space="0" w:color="auto"/>
            </w:tcBorders>
            <w:hideMark/>
          </w:tcPr>
          <w:p w14:paraId="4D277A44" w14:textId="77777777" w:rsidR="00664BE6" w:rsidRPr="00EA4C9B" w:rsidRDefault="00664BE6" w:rsidP="00DE164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7E8A4F5A" w14:textId="77777777" w:rsidR="00664BE6" w:rsidRPr="00EA4C9B" w:rsidRDefault="00664BE6" w:rsidP="00DE164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pollution tax revenues</w:t>
            </w:r>
          </w:p>
        </w:tc>
      </w:tr>
      <w:tr w:rsidR="00664BE6" w:rsidRPr="00EA4C9B" w14:paraId="2C7CC695"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hideMark/>
          </w:tcPr>
          <w:p w14:paraId="49160841" w14:textId="77777777" w:rsidR="00664BE6" w:rsidRPr="00EA4C9B" w:rsidRDefault="00664BE6" w:rsidP="00997633">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Tax on noise </w:t>
            </w:r>
          </w:p>
        </w:tc>
        <w:tc>
          <w:tcPr>
            <w:tcW w:w="1718" w:type="dxa"/>
            <w:tcBorders>
              <w:top w:val="single" w:sz="6" w:space="0" w:color="auto"/>
              <w:left w:val="single" w:sz="6" w:space="0" w:color="auto"/>
              <w:bottom w:val="single" w:sz="6" w:space="0" w:color="auto"/>
              <w:right w:val="single" w:sz="6" w:space="0" w:color="auto"/>
            </w:tcBorders>
            <w:vAlign w:val="center"/>
          </w:tcPr>
          <w:p w14:paraId="6D477EA0"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€0.1 - €2.4</w:t>
            </w:r>
          </w:p>
        </w:tc>
        <w:tc>
          <w:tcPr>
            <w:tcW w:w="1894" w:type="dxa"/>
            <w:tcBorders>
              <w:top w:val="single" w:sz="6" w:space="0" w:color="auto"/>
              <w:left w:val="single" w:sz="6" w:space="0" w:color="auto"/>
              <w:bottom w:val="single" w:sz="6" w:space="0" w:color="auto"/>
              <w:right w:val="single" w:sz="6" w:space="0" w:color="auto"/>
            </w:tcBorders>
            <w:vAlign w:val="center"/>
            <w:hideMark/>
          </w:tcPr>
          <w:p w14:paraId="6AD1B83C" w14:textId="77777777" w:rsidR="00664BE6" w:rsidRPr="00EA4C9B" w:rsidRDefault="00664BE6" w:rsidP="00DE164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€0.6</w:t>
            </w:r>
          </w:p>
        </w:tc>
        <w:tc>
          <w:tcPr>
            <w:tcW w:w="1901" w:type="dxa"/>
            <w:tcBorders>
              <w:top w:val="single" w:sz="6" w:space="0" w:color="auto"/>
              <w:left w:val="single" w:sz="6" w:space="0" w:color="auto"/>
              <w:bottom w:val="single" w:sz="6" w:space="0" w:color="auto"/>
              <w:right w:val="single" w:sz="6" w:space="0" w:color="auto"/>
            </w:tcBorders>
            <w:vAlign w:val="center"/>
            <w:hideMark/>
          </w:tcPr>
          <w:p w14:paraId="0A95B63C" w14:textId="77777777" w:rsidR="00664BE6" w:rsidRPr="00EA4C9B" w:rsidRDefault="00664BE6" w:rsidP="00DE164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20.7%</w:t>
            </w:r>
          </w:p>
        </w:tc>
      </w:tr>
      <w:tr w:rsidR="00664BE6" w:rsidRPr="00EA4C9B" w14:paraId="0E5CEFAA"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hideMark/>
          </w:tcPr>
          <w:p w14:paraId="49DB111A" w14:textId="77777777" w:rsidR="00664BE6" w:rsidRPr="00EA4C9B" w:rsidRDefault="00664BE6" w:rsidP="00997633">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Regulatory fee on quality of water for human consumption</w:t>
            </w:r>
          </w:p>
        </w:tc>
        <w:tc>
          <w:tcPr>
            <w:tcW w:w="1718" w:type="dxa"/>
            <w:tcBorders>
              <w:top w:val="single" w:sz="6" w:space="0" w:color="auto"/>
              <w:left w:val="single" w:sz="6" w:space="0" w:color="auto"/>
              <w:bottom w:val="single" w:sz="6" w:space="0" w:color="auto"/>
              <w:right w:val="single" w:sz="6" w:space="0" w:color="auto"/>
            </w:tcBorders>
            <w:vAlign w:val="center"/>
          </w:tcPr>
          <w:p w14:paraId="742BFD84"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N.A. - €2.4</w:t>
            </w:r>
          </w:p>
        </w:tc>
        <w:tc>
          <w:tcPr>
            <w:tcW w:w="1894" w:type="dxa"/>
            <w:tcBorders>
              <w:top w:val="single" w:sz="6" w:space="0" w:color="auto"/>
              <w:left w:val="single" w:sz="6" w:space="0" w:color="auto"/>
              <w:bottom w:val="single" w:sz="6" w:space="0" w:color="auto"/>
              <w:right w:val="single" w:sz="6" w:space="0" w:color="auto"/>
            </w:tcBorders>
            <w:vAlign w:val="center"/>
            <w:hideMark/>
          </w:tcPr>
          <w:p w14:paraId="56A9A072" w14:textId="77777777" w:rsidR="00664BE6" w:rsidRPr="00EA4C9B" w:rsidRDefault="00664BE6" w:rsidP="00DE164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€2.2</w:t>
            </w:r>
          </w:p>
        </w:tc>
        <w:tc>
          <w:tcPr>
            <w:tcW w:w="1901" w:type="dxa"/>
            <w:tcBorders>
              <w:top w:val="single" w:sz="6" w:space="0" w:color="auto"/>
              <w:left w:val="single" w:sz="6" w:space="0" w:color="auto"/>
              <w:bottom w:val="single" w:sz="6" w:space="0" w:color="auto"/>
              <w:right w:val="single" w:sz="6" w:space="0" w:color="auto"/>
            </w:tcBorders>
            <w:vAlign w:val="center"/>
            <w:hideMark/>
          </w:tcPr>
          <w:p w14:paraId="447D1A0B" w14:textId="77777777" w:rsidR="00664BE6" w:rsidRPr="00EA4C9B" w:rsidRDefault="00664BE6" w:rsidP="00DE164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75.9%</w:t>
            </w:r>
          </w:p>
        </w:tc>
      </w:tr>
      <w:tr w:rsidR="00664BE6" w:rsidRPr="00EA4C9B" w14:paraId="6CDF6BD5"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1E63142B" w14:textId="77777777" w:rsidR="00664BE6" w:rsidRPr="00EA4C9B" w:rsidRDefault="00664BE6" w:rsidP="00997633">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Tax on noise</w:t>
            </w:r>
          </w:p>
        </w:tc>
        <w:tc>
          <w:tcPr>
            <w:tcW w:w="1718" w:type="dxa"/>
            <w:tcBorders>
              <w:top w:val="single" w:sz="6" w:space="0" w:color="auto"/>
              <w:left w:val="single" w:sz="6" w:space="0" w:color="auto"/>
              <w:bottom w:val="single" w:sz="6" w:space="0" w:color="auto"/>
              <w:right w:val="single" w:sz="6" w:space="0" w:color="auto"/>
            </w:tcBorders>
            <w:vAlign w:val="center"/>
          </w:tcPr>
          <w:p w14:paraId="5A096D11"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€0.1 - €0.5</w:t>
            </w:r>
          </w:p>
        </w:tc>
        <w:tc>
          <w:tcPr>
            <w:tcW w:w="1894" w:type="dxa"/>
            <w:tcBorders>
              <w:top w:val="single" w:sz="6" w:space="0" w:color="auto"/>
              <w:left w:val="single" w:sz="6" w:space="0" w:color="auto"/>
              <w:bottom w:val="single" w:sz="6" w:space="0" w:color="auto"/>
              <w:right w:val="single" w:sz="6" w:space="0" w:color="auto"/>
            </w:tcBorders>
            <w:vAlign w:val="center"/>
          </w:tcPr>
          <w:p w14:paraId="36AA0EE7"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€0.1</w:t>
            </w:r>
          </w:p>
        </w:tc>
        <w:tc>
          <w:tcPr>
            <w:tcW w:w="1901" w:type="dxa"/>
            <w:tcBorders>
              <w:top w:val="single" w:sz="6" w:space="0" w:color="auto"/>
              <w:left w:val="single" w:sz="6" w:space="0" w:color="auto"/>
              <w:bottom w:val="single" w:sz="6" w:space="0" w:color="auto"/>
              <w:right w:val="single" w:sz="6" w:space="0" w:color="auto"/>
            </w:tcBorders>
            <w:vAlign w:val="center"/>
          </w:tcPr>
          <w:p w14:paraId="350A72B5"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3.4%</w:t>
            </w:r>
          </w:p>
        </w:tc>
      </w:tr>
      <w:tr w:rsidR="00A20E4A" w:rsidRPr="00EA4C9B" w14:paraId="25461FA4" w14:textId="77777777">
        <w:trPr>
          <w:trHeight w:val="49"/>
        </w:trPr>
        <w:tc>
          <w:tcPr>
            <w:tcW w:w="9010" w:type="dxa"/>
            <w:gridSpan w:val="4"/>
            <w:tcBorders>
              <w:top w:val="single" w:sz="6" w:space="0" w:color="auto"/>
              <w:left w:val="single" w:sz="6" w:space="0" w:color="auto"/>
              <w:bottom w:val="single" w:sz="6" w:space="0" w:color="auto"/>
              <w:right w:val="single" w:sz="6" w:space="0" w:color="auto"/>
            </w:tcBorders>
          </w:tcPr>
          <w:p w14:paraId="1B0EE3CE" w14:textId="4FE2EE6D" w:rsidR="00A20E4A" w:rsidRPr="00EA4C9B" w:rsidRDefault="00A20E4A" w:rsidP="00BA7936">
            <w:pPr>
              <w:pStyle w:val="Table"/>
              <w:jc w:val="left"/>
              <w:rPr>
                <w:rFonts w:ascii="Calibri" w:eastAsia="Times New Roman" w:hAnsi="Calibri" w:cs="Calibri"/>
                <w:szCs w:val="20"/>
                <w:lang w:eastAsia="en-GB"/>
              </w:rPr>
            </w:pPr>
            <w:r w:rsidRPr="00A20E4A">
              <w:rPr>
                <w:rFonts w:ascii="Calibri" w:eastAsia="Times New Roman" w:hAnsi="Calibri" w:cs="Calibri"/>
                <w:szCs w:val="20"/>
                <w:lang w:eastAsia="en-GB"/>
              </w:rPr>
              <w:t>Note: N.A. = Data not available</w:t>
            </w:r>
          </w:p>
        </w:tc>
      </w:tr>
    </w:tbl>
    <w:p w14:paraId="5238C1AA" w14:textId="55476F1C" w:rsidR="00664BE6" w:rsidRPr="00EA4C9B" w:rsidRDefault="00664BE6" w:rsidP="00664BE6">
      <w:pPr>
        <w:rPr>
          <w:sz w:val="16"/>
          <w:szCs w:val="16"/>
        </w:rPr>
      </w:pPr>
      <w:r w:rsidRPr="00EA4C9B">
        <w:rPr>
          <w:rFonts w:ascii="Calibri" w:eastAsia="Times New Roman" w:hAnsi="Calibri" w:cs="Calibri"/>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664BE6" w:rsidRPr="00EA4C9B" w14:paraId="1D6B63E0" w14:textId="77777777" w:rsidTr="004F0767">
        <w:trPr>
          <w:trHeight w:val="49"/>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666A7730" w14:textId="13C77B4D" w:rsidR="00664BE6" w:rsidRPr="00997633" w:rsidRDefault="00947F4C" w:rsidP="00997633">
            <w:pPr>
              <w:pStyle w:val="Table"/>
              <w:rPr>
                <w:rFonts w:ascii="Times New Roman" w:eastAsia="Times New Roman" w:hAnsi="Times New Roman" w:cs="Times New Roman"/>
                <w:b/>
                <w:sz w:val="24"/>
                <w:lang w:eastAsia="en-GB"/>
              </w:rPr>
            </w:pPr>
            <w:r w:rsidRPr="00997633">
              <w:rPr>
                <w:b/>
                <w:color w:val="FFFFFF" w:themeColor="background1"/>
              </w:rPr>
              <w:t xml:space="preserve">Table </w:t>
            </w:r>
            <w:r w:rsidR="00490085">
              <w:rPr>
                <w:b/>
                <w:color w:val="FFFFFF" w:themeColor="background1"/>
              </w:rPr>
              <w:t>A6</w:t>
            </w:r>
            <w:r w:rsidR="00997633" w:rsidRPr="00997633">
              <w:rPr>
                <w:b/>
                <w:bCs/>
                <w:color w:val="FFFFFF" w:themeColor="background1"/>
              </w:rPr>
              <w:t>-</w:t>
            </w:r>
            <w:r w:rsidR="00997633" w:rsidRPr="00997633">
              <w:rPr>
                <w:b/>
                <w:bCs/>
                <w:color w:val="FFFFFF" w:themeColor="background1"/>
              </w:rPr>
              <w:fldChar w:fldCharType="begin"/>
            </w:r>
            <w:r w:rsidR="00997633" w:rsidRPr="00997633">
              <w:rPr>
                <w:b/>
                <w:bCs/>
                <w:color w:val="FFFFFF" w:themeColor="background1"/>
              </w:rPr>
              <w:instrText xml:space="preserve"> SEQ Table_A5- \* ARABIC </w:instrText>
            </w:r>
            <w:r w:rsidR="00997633" w:rsidRPr="00997633">
              <w:rPr>
                <w:b/>
                <w:bCs/>
                <w:color w:val="FFFFFF" w:themeColor="background1"/>
              </w:rPr>
              <w:fldChar w:fldCharType="separate"/>
            </w:r>
            <w:r w:rsidR="00DE1642">
              <w:rPr>
                <w:b/>
                <w:bCs/>
                <w:noProof/>
                <w:color w:val="FFFFFF" w:themeColor="background1"/>
              </w:rPr>
              <w:t>109</w:t>
            </w:r>
            <w:r w:rsidR="00997633" w:rsidRPr="00997633">
              <w:rPr>
                <w:b/>
                <w:bCs/>
                <w:color w:val="FFFFFF" w:themeColor="background1"/>
              </w:rPr>
              <w:fldChar w:fldCharType="end"/>
            </w:r>
            <w:r w:rsidR="00664BE6" w:rsidRPr="00997633">
              <w:rPr>
                <w:rFonts w:ascii="Calibri" w:eastAsia="Times New Roman" w:hAnsi="Calibri" w:cs="Calibri"/>
                <w:b/>
                <w:color w:val="FFFFFF" w:themeColor="background1"/>
                <w:szCs w:val="20"/>
                <w:lang w:eastAsia="en-GB"/>
              </w:rPr>
              <w:t>:  Waste taxes </w:t>
            </w:r>
          </w:p>
        </w:tc>
      </w:tr>
      <w:tr w:rsidR="00664BE6" w:rsidRPr="00EA4C9B" w14:paraId="344E1231" w14:textId="77777777" w:rsidTr="004F0767">
        <w:trPr>
          <w:trHeight w:val="76"/>
        </w:trPr>
        <w:tc>
          <w:tcPr>
            <w:tcW w:w="3497" w:type="dxa"/>
            <w:tcBorders>
              <w:top w:val="single" w:sz="6" w:space="0" w:color="auto"/>
              <w:left w:val="single" w:sz="6" w:space="0" w:color="auto"/>
              <w:bottom w:val="single" w:sz="6" w:space="0" w:color="auto"/>
              <w:right w:val="single" w:sz="6" w:space="0" w:color="auto"/>
            </w:tcBorders>
            <w:hideMark/>
          </w:tcPr>
          <w:p w14:paraId="3BE35062" w14:textId="77777777" w:rsidR="00664BE6" w:rsidRPr="00EA4C9B" w:rsidRDefault="00664BE6" w:rsidP="00997633">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8" w:type="dxa"/>
            <w:tcBorders>
              <w:top w:val="single" w:sz="6" w:space="0" w:color="auto"/>
              <w:left w:val="single" w:sz="6" w:space="0" w:color="auto"/>
              <w:bottom w:val="single" w:sz="6" w:space="0" w:color="auto"/>
              <w:right w:val="single" w:sz="6" w:space="0" w:color="auto"/>
            </w:tcBorders>
          </w:tcPr>
          <w:p w14:paraId="1A8F886F" w14:textId="77777777" w:rsidR="00664BE6" w:rsidRPr="00EA4C9B" w:rsidRDefault="00664BE6" w:rsidP="00DE1642">
            <w:pPr>
              <w:pStyle w:val="Table"/>
              <w:jc w:val="center"/>
              <w:rPr>
                <w:rFonts w:ascii="Calibri" w:eastAsia="Times New Roman" w:hAnsi="Calibri" w:cs="Calibri"/>
                <w:b/>
                <w:bCs/>
                <w:szCs w:val="20"/>
                <w:lang w:eastAsia="en-GB"/>
              </w:rPr>
            </w:pPr>
            <w:r w:rsidRPr="00EA4C9B">
              <w:rPr>
                <w:rFonts w:ascii="Calibri" w:eastAsia="Times New Roman" w:hAnsi="Calibri" w:cs="Calibri"/>
                <w:b/>
                <w:szCs w:val="20"/>
                <w:lang w:eastAsia="en-GB"/>
              </w:rPr>
              <w:t>Revenue (€ million)</w:t>
            </w:r>
          </w:p>
          <w:p w14:paraId="0F71D315" w14:textId="77777777" w:rsidR="00664BE6" w:rsidRPr="00EA4C9B" w:rsidRDefault="00664BE6" w:rsidP="00DE1642">
            <w:pPr>
              <w:pStyle w:val="Table"/>
              <w:jc w:val="center"/>
              <w:rPr>
                <w:rFonts w:ascii="Calibri" w:eastAsia="Times New Roman" w:hAnsi="Calibri" w:cs="Calibri"/>
                <w:b/>
                <w:szCs w:val="20"/>
                <w:lang w:eastAsia="en-GB"/>
              </w:rPr>
            </w:pPr>
            <w:r w:rsidRPr="00EA4C9B">
              <w:rPr>
                <w:rFonts w:ascii="Calibri" w:eastAsia="Times New Roman" w:hAnsi="Calibri" w:cs="Calibri"/>
                <w:b/>
                <w:szCs w:val="20"/>
                <w:lang w:eastAsia="en-GB"/>
              </w:rPr>
              <w:t>2009-2023</w:t>
            </w:r>
          </w:p>
        </w:tc>
        <w:tc>
          <w:tcPr>
            <w:tcW w:w="1894" w:type="dxa"/>
            <w:tcBorders>
              <w:top w:val="single" w:sz="6" w:space="0" w:color="auto"/>
              <w:left w:val="single" w:sz="6" w:space="0" w:color="auto"/>
              <w:bottom w:val="single" w:sz="6" w:space="0" w:color="auto"/>
              <w:right w:val="single" w:sz="6" w:space="0" w:color="auto"/>
            </w:tcBorders>
            <w:hideMark/>
          </w:tcPr>
          <w:p w14:paraId="1CBB8E6B" w14:textId="77777777" w:rsidR="00664BE6" w:rsidRPr="00EA4C9B" w:rsidRDefault="00664BE6" w:rsidP="00DE164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625364C7" w14:textId="77777777" w:rsidR="00664BE6" w:rsidRPr="00EA4C9B" w:rsidRDefault="00664BE6" w:rsidP="00DE164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waste tax revenues</w:t>
            </w:r>
          </w:p>
        </w:tc>
      </w:tr>
      <w:tr w:rsidR="00664BE6" w:rsidRPr="00EA4C9B" w14:paraId="730C08EE"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hideMark/>
          </w:tcPr>
          <w:p w14:paraId="321CAADB" w14:textId="77777777" w:rsidR="00664BE6" w:rsidRPr="00EA4C9B" w:rsidRDefault="00664BE6" w:rsidP="00997633">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Excise duty on lightweight plastic bags</w:t>
            </w:r>
          </w:p>
        </w:tc>
        <w:tc>
          <w:tcPr>
            <w:tcW w:w="1718" w:type="dxa"/>
            <w:tcBorders>
              <w:top w:val="single" w:sz="6" w:space="0" w:color="auto"/>
              <w:left w:val="single" w:sz="6" w:space="0" w:color="auto"/>
              <w:bottom w:val="single" w:sz="6" w:space="0" w:color="auto"/>
              <w:right w:val="single" w:sz="6" w:space="0" w:color="auto"/>
            </w:tcBorders>
            <w:vAlign w:val="center"/>
          </w:tcPr>
          <w:p w14:paraId="10D37139"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N.A. - €0.5</w:t>
            </w:r>
          </w:p>
        </w:tc>
        <w:tc>
          <w:tcPr>
            <w:tcW w:w="1894" w:type="dxa"/>
            <w:tcBorders>
              <w:top w:val="single" w:sz="6" w:space="0" w:color="auto"/>
              <w:left w:val="single" w:sz="6" w:space="0" w:color="auto"/>
              <w:bottom w:val="single" w:sz="6" w:space="0" w:color="auto"/>
              <w:right w:val="single" w:sz="6" w:space="0" w:color="auto"/>
            </w:tcBorders>
            <w:vAlign w:val="center"/>
            <w:hideMark/>
          </w:tcPr>
          <w:p w14:paraId="1AAB4D22" w14:textId="77777777" w:rsidR="00664BE6" w:rsidRPr="00EA4C9B" w:rsidRDefault="00664BE6" w:rsidP="00DE164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€0.3</w:t>
            </w:r>
          </w:p>
        </w:tc>
        <w:tc>
          <w:tcPr>
            <w:tcW w:w="1901" w:type="dxa"/>
            <w:tcBorders>
              <w:top w:val="single" w:sz="6" w:space="0" w:color="auto"/>
              <w:left w:val="single" w:sz="6" w:space="0" w:color="auto"/>
              <w:bottom w:val="single" w:sz="6" w:space="0" w:color="auto"/>
              <w:right w:val="single" w:sz="6" w:space="0" w:color="auto"/>
            </w:tcBorders>
            <w:vAlign w:val="center"/>
            <w:hideMark/>
          </w:tcPr>
          <w:p w14:paraId="38BAD862" w14:textId="77777777" w:rsidR="00664BE6" w:rsidRPr="00EA4C9B" w:rsidRDefault="00664BE6" w:rsidP="00DE164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9%</w:t>
            </w:r>
          </w:p>
        </w:tc>
      </w:tr>
      <w:tr w:rsidR="00664BE6" w:rsidRPr="00EA4C9B" w14:paraId="24486944"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hideMark/>
          </w:tcPr>
          <w:p w14:paraId="2FBF90CB" w14:textId="77777777" w:rsidR="00664BE6" w:rsidRPr="00EA4C9B" w:rsidRDefault="00664BE6" w:rsidP="00997633">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Fee on imported non-reusable beverage packaging</w:t>
            </w:r>
          </w:p>
        </w:tc>
        <w:tc>
          <w:tcPr>
            <w:tcW w:w="1718" w:type="dxa"/>
            <w:tcBorders>
              <w:top w:val="single" w:sz="6" w:space="0" w:color="auto"/>
              <w:left w:val="single" w:sz="6" w:space="0" w:color="auto"/>
              <w:bottom w:val="single" w:sz="6" w:space="0" w:color="auto"/>
              <w:right w:val="single" w:sz="6" w:space="0" w:color="auto"/>
            </w:tcBorders>
            <w:vAlign w:val="center"/>
          </w:tcPr>
          <w:p w14:paraId="632278A9"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€0.1 – N.A.</w:t>
            </w:r>
          </w:p>
        </w:tc>
        <w:tc>
          <w:tcPr>
            <w:tcW w:w="1894" w:type="dxa"/>
            <w:tcBorders>
              <w:top w:val="single" w:sz="6" w:space="0" w:color="auto"/>
              <w:left w:val="single" w:sz="6" w:space="0" w:color="auto"/>
              <w:bottom w:val="single" w:sz="6" w:space="0" w:color="auto"/>
              <w:right w:val="single" w:sz="6" w:space="0" w:color="auto"/>
            </w:tcBorders>
            <w:vAlign w:val="center"/>
            <w:hideMark/>
          </w:tcPr>
          <w:p w14:paraId="3C7BDF16" w14:textId="77777777" w:rsidR="00664BE6" w:rsidRPr="00EA4C9B" w:rsidRDefault="00664BE6" w:rsidP="00DE164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€0.1</w:t>
            </w:r>
          </w:p>
        </w:tc>
        <w:tc>
          <w:tcPr>
            <w:tcW w:w="1901" w:type="dxa"/>
            <w:tcBorders>
              <w:top w:val="single" w:sz="6" w:space="0" w:color="auto"/>
              <w:left w:val="single" w:sz="6" w:space="0" w:color="auto"/>
              <w:bottom w:val="single" w:sz="6" w:space="0" w:color="auto"/>
              <w:right w:val="single" w:sz="6" w:space="0" w:color="auto"/>
            </w:tcBorders>
            <w:vAlign w:val="center"/>
            <w:hideMark/>
          </w:tcPr>
          <w:p w14:paraId="772A13D9" w14:textId="77777777" w:rsidR="00664BE6" w:rsidRPr="00EA4C9B" w:rsidRDefault="00664BE6" w:rsidP="00DE164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N.A.</w:t>
            </w:r>
          </w:p>
        </w:tc>
      </w:tr>
      <w:tr w:rsidR="00664BE6" w:rsidRPr="00EA4C9B" w14:paraId="6414E9CC"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08FB0BBB" w14:textId="77777777" w:rsidR="00664BE6" w:rsidRPr="00EA4C9B" w:rsidRDefault="00664BE6" w:rsidP="00997633">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Fee on non-reusable beverage packaging</w:t>
            </w:r>
          </w:p>
        </w:tc>
        <w:tc>
          <w:tcPr>
            <w:tcW w:w="1718" w:type="dxa"/>
            <w:tcBorders>
              <w:top w:val="single" w:sz="6" w:space="0" w:color="auto"/>
              <w:left w:val="single" w:sz="6" w:space="0" w:color="auto"/>
              <w:bottom w:val="single" w:sz="6" w:space="0" w:color="auto"/>
              <w:right w:val="single" w:sz="6" w:space="0" w:color="auto"/>
            </w:tcBorders>
            <w:vAlign w:val="center"/>
          </w:tcPr>
          <w:p w14:paraId="21FDB6FD"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€3.4 - €2.1</w:t>
            </w:r>
          </w:p>
        </w:tc>
        <w:tc>
          <w:tcPr>
            <w:tcW w:w="1894" w:type="dxa"/>
            <w:tcBorders>
              <w:top w:val="single" w:sz="6" w:space="0" w:color="auto"/>
              <w:left w:val="single" w:sz="6" w:space="0" w:color="auto"/>
              <w:bottom w:val="single" w:sz="6" w:space="0" w:color="auto"/>
              <w:right w:val="single" w:sz="6" w:space="0" w:color="auto"/>
            </w:tcBorders>
            <w:vAlign w:val="center"/>
          </w:tcPr>
          <w:p w14:paraId="1D61C847"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€3.3</w:t>
            </w:r>
          </w:p>
        </w:tc>
        <w:tc>
          <w:tcPr>
            <w:tcW w:w="1901" w:type="dxa"/>
            <w:tcBorders>
              <w:top w:val="single" w:sz="6" w:space="0" w:color="auto"/>
              <w:left w:val="single" w:sz="6" w:space="0" w:color="auto"/>
              <w:bottom w:val="single" w:sz="6" w:space="0" w:color="auto"/>
              <w:right w:val="single" w:sz="6" w:space="0" w:color="auto"/>
            </w:tcBorders>
            <w:vAlign w:val="center"/>
          </w:tcPr>
          <w:p w14:paraId="4B4D0064"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37%</w:t>
            </w:r>
          </w:p>
        </w:tc>
      </w:tr>
      <w:tr w:rsidR="00664BE6" w:rsidRPr="00EA4C9B" w14:paraId="66D04860"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115A1F6A" w14:textId="77777777" w:rsidR="00664BE6" w:rsidRPr="00EA4C9B" w:rsidRDefault="00664BE6" w:rsidP="00997633">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Excise duties on single-use packages</w:t>
            </w:r>
          </w:p>
        </w:tc>
        <w:tc>
          <w:tcPr>
            <w:tcW w:w="1718" w:type="dxa"/>
            <w:tcBorders>
              <w:top w:val="single" w:sz="6" w:space="0" w:color="auto"/>
              <w:left w:val="single" w:sz="6" w:space="0" w:color="auto"/>
              <w:bottom w:val="single" w:sz="6" w:space="0" w:color="auto"/>
              <w:right w:val="single" w:sz="6" w:space="0" w:color="auto"/>
            </w:tcBorders>
            <w:vAlign w:val="center"/>
          </w:tcPr>
          <w:p w14:paraId="4973D2FD"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N.A. - €3</w:t>
            </w:r>
          </w:p>
        </w:tc>
        <w:tc>
          <w:tcPr>
            <w:tcW w:w="1894" w:type="dxa"/>
            <w:tcBorders>
              <w:top w:val="single" w:sz="6" w:space="0" w:color="auto"/>
              <w:left w:val="single" w:sz="6" w:space="0" w:color="auto"/>
              <w:bottom w:val="single" w:sz="6" w:space="0" w:color="auto"/>
              <w:right w:val="single" w:sz="6" w:space="0" w:color="auto"/>
            </w:tcBorders>
            <w:vAlign w:val="center"/>
          </w:tcPr>
          <w:p w14:paraId="7B721790"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€1.7</w:t>
            </w:r>
          </w:p>
        </w:tc>
        <w:tc>
          <w:tcPr>
            <w:tcW w:w="1901" w:type="dxa"/>
            <w:tcBorders>
              <w:top w:val="single" w:sz="6" w:space="0" w:color="auto"/>
              <w:left w:val="single" w:sz="6" w:space="0" w:color="auto"/>
              <w:bottom w:val="single" w:sz="6" w:space="0" w:color="auto"/>
              <w:right w:val="single" w:sz="6" w:space="0" w:color="auto"/>
            </w:tcBorders>
            <w:vAlign w:val="center"/>
          </w:tcPr>
          <w:p w14:paraId="62FEDF7A"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54%</w:t>
            </w:r>
          </w:p>
        </w:tc>
      </w:tr>
      <w:tr w:rsidR="00A20E4A" w:rsidRPr="00EA4C9B" w14:paraId="13209713" w14:textId="77777777">
        <w:trPr>
          <w:trHeight w:val="49"/>
        </w:trPr>
        <w:tc>
          <w:tcPr>
            <w:tcW w:w="9010" w:type="dxa"/>
            <w:gridSpan w:val="4"/>
            <w:tcBorders>
              <w:top w:val="single" w:sz="6" w:space="0" w:color="auto"/>
              <w:left w:val="single" w:sz="6" w:space="0" w:color="auto"/>
              <w:bottom w:val="single" w:sz="6" w:space="0" w:color="auto"/>
              <w:right w:val="single" w:sz="6" w:space="0" w:color="auto"/>
            </w:tcBorders>
          </w:tcPr>
          <w:p w14:paraId="3655C2D8" w14:textId="4B66E640" w:rsidR="00A20E4A" w:rsidRPr="00EA4C9B" w:rsidRDefault="00A20E4A" w:rsidP="00BA7936">
            <w:pPr>
              <w:pStyle w:val="Table"/>
              <w:jc w:val="left"/>
              <w:rPr>
                <w:rFonts w:ascii="Calibri" w:eastAsia="Times New Roman" w:hAnsi="Calibri" w:cs="Calibri"/>
                <w:szCs w:val="20"/>
                <w:lang w:eastAsia="en-GB"/>
              </w:rPr>
            </w:pPr>
            <w:r w:rsidRPr="00A20E4A">
              <w:rPr>
                <w:rFonts w:ascii="Calibri" w:eastAsia="Times New Roman" w:hAnsi="Calibri" w:cs="Calibri"/>
                <w:szCs w:val="20"/>
                <w:lang w:eastAsia="en-GB"/>
              </w:rPr>
              <w:t>Note: N.A. = Data not available</w:t>
            </w:r>
          </w:p>
        </w:tc>
      </w:tr>
    </w:tbl>
    <w:p w14:paraId="5F756AC8" w14:textId="75F6DCAE" w:rsidR="00664BE6" w:rsidRPr="00EA4C9B" w:rsidRDefault="00664BE6" w:rsidP="00664BE6">
      <w:pPr>
        <w:rPr>
          <w:sz w:val="16"/>
          <w:szCs w:val="16"/>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00"/>
        <w:gridCol w:w="1717"/>
        <w:gridCol w:w="1893"/>
        <w:gridCol w:w="1900"/>
      </w:tblGrid>
      <w:tr w:rsidR="00664BE6" w:rsidRPr="00EA4C9B" w14:paraId="102C3CB4" w14:textId="77777777" w:rsidTr="004F0767">
        <w:trPr>
          <w:trHeight w:val="133"/>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368E67AE" w14:textId="223CFD5A" w:rsidR="00664BE6" w:rsidRPr="00997633" w:rsidRDefault="00947F4C" w:rsidP="00997633">
            <w:pPr>
              <w:pStyle w:val="Table"/>
              <w:rPr>
                <w:rFonts w:ascii="Times New Roman" w:eastAsia="Times New Roman" w:hAnsi="Times New Roman" w:cs="Times New Roman"/>
                <w:b/>
                <w:sz w:val="24"/>
                <w:lang w:eastAsia="en-GB"/>
              </w:rPr>
            </w:pPr>
            <w:r w:rsidRPr="00997633">
              <w:rPr>
                <w:b/>
                <w:color w:val="FFFFFF" w:themeColor="background1"/>
              </w:rPr>
              <w:t xml:space="preserve">Table </w:t>
            </w:r>
            <w:r w:rsidR="00490085">
              <w:rPr>
                <w:b/>
                <w:color w:val="FFFFFF" w:themeColor="background1"/>
              </w:rPr>
              <w:t>A6</w:t>
            </w:r>
            <w:r w:rsidR="00997633" w:rsidRPr="00997633">
              <w:rPr>
                <w:b/>
                <w:bCs/>
                <w:color w:val="FFFFFF" w:themeColor="background1"/>
              </w:rPr>
              <w:t>-</w:t>
            </w:r>
            <w:r w:rsidR="00997633" w:rsidRPr="00997633">
              <w:rPr>
                <w:b/>
                <w:bCs/>
                <w:color w:val="FFFFFF" w:themeColor="background1"/>
              </w:rPr>
              <w:fldChar w:fldCharType="begin"/>
            </w:r>
            <w:r w:rsidR="00997633" w:rsidRPr="00997633">
              <w:rPr>
                <w:b/>
                <w:bCs/>
                <w:color w:val="FFFFFF" w:themeColor="background1"/>
              </w:rPr>
              <w:instrText xml:space="preserve"> SEQ Table_A5- \* ARABIC </w:instrText>
            </w:r>
            <w:r w:rsidR="00997633" w:rsidRPr="00997633">
              <w:rPr>
                <w:b/>
                <w:bCs/>
                <w:color w:val="FFFFFF" w:themeColor="background1"/>
              </w:rPr>
              <w:fldChar w:fldCharType="separate"/>
            </w:r>
            <w:r w:rsidR="00DE1642">
              <w:rPr>
                <w:b/>
                <w:bCs/>
                <w:noProof/>
                <w:color w:val="FFFFFF" w:themeColor="background1"/>
              </w:rPr>
              <w:t>110</w:t>
            </w:r>
            <w:r w:rsidR="00997633" w:rsidRPr="00997633">
              <w:rPr>
                <w:b/>
                <w:bCs/>
                <w:color w:val="FFFFFF" w:themeColor="background1"/>
              </w:rPr>
              <w:fldChar w:fldCharType="end"/>
            </w:r>
            <w:r w:rsidR="00664BE6" w:rsidRPr="00997633">
              <w:rPr>
                <w:rFonts w:ascii="Calibri" w:eastAsia="Times New Roman" w:hAnsi="Calibri" w:cs="Calibri"/>
                <w:b/>
                <w:color w:val="FFFFFF" w:themeColor="background1"/>
                <w:szCs w:val="20"/>
                <w:lang w:eastAsia="en-GB"/>
              </w:rPr>
              <w:t>:  Resource taxes </w:t>
            </w:r>
          </w:p>
        </w:tc>
      </w:tr>
      <w:tr w:rsidR="00664BE6" w:rsidRPr="00EA4C9B" w14:paraId="5423A307" w14:textId="77777777" w:rsidTr="004F0767">
        <w:trPr>
          <w:trHeight w:val="49"/>
        </w:trPr>
        <w:tc>
          <w:tcPr>
            <w:tcW w:w="3500" w:type="dxa"/>
            <w:tcBorders>
              <w:top w:val="single" w:sz="6" w:space="0" w:color="auto"/>
              <w:left w:val="single" w:sz="6" w:space="0" w:color="auto"/>
              <w:bottom w:val="single" w:sz="6" w:space="0" w:color="auto"/>
              <w:right w:val="single" w:sz="6" w:space="0" w:color="auto"/>
            </w:tcBorders>
            <w:hideMark/>
          </w:tcPr>
          <w:p w14:paraId="0C218B9A" w14:textId="77777777" w:rsidR="00664BE6" w:rsidRPr="00997633" w:rsidRDefault="00664BE6" w:rsidP="00997633">
            <w:pPr>
              <w:pStyle w:val="Table"/>
              <w:rPr>
                <w:rFonts w:ascii="Times New Roman" w:eastAsia="Times New Roman" w:hAnsi="Times New Roman" w:cs="Times New Roman"/>
                <w:b/>
                <w:sz w:val="24"/>
                <w:lang w:eastAsia="en-GB"/>
              </w:rPr>
            </w:pPr>
            <w:r w:rsidRPr="00997633">
              <w:rPr>
                <w:rFonts w:ascii="Calibri" w:eastAsia="Times New Roman" w:hAnsi="Calibri" w:cs="Calibri"/>
                <w:b/>
                <w:szCs w:val="20"/>
                <w:lang w:eastAsia="en-GB"/>
              </w:rPr>
              <w:t>Tax Name </w:t>
            </w:r>
          </w:p>
        </w:tc>
        <w:tc>
          <w:tcPr>
            <w:tcW w:w="1717" w:type="dxa"/>
            <w:tcBorders>
              <w:top w:val="single" w:sz="6" w:space="0" w:color="auto"/>
              <w:left w:val="single" w:sz="6" w:space="0" w:color="auto"/>
              <w:bottom w:val="single" w:sz="6" w:space="0" w:color="auto"/>
              <w:right w:val="single" w:sz="6" w:space="0" w:color="auto"/>
            </w:tcBorders>
          </w:tcPr>
          <w:p w14:paraId="7DF54DFC" w14:textId="77777777" w:rsidR="00664BE6" w:rsidRPr="00EA4C9B" w:rsidRDefault="00664BE6" w:rsidP="00DE1642">
            <w:pPr>
              <w:pStyle w:val="Table"/>
              <w:jc w:val="center"/>
              <w:rPr>
                <w:rFonts w:ascii="Calibri" w:eastAsia="Times New Roman" w:hAnsi="Calibri" w:cs="Calibri"/>
                <w:b/>
                <w:bCs/>
                <w:szCs w:val="20"/>
                <w:lang w:eastAsia="en-GB"/>
              </w:rPr>
            </w:pPr>
            <w:r w:rsidRPr="00997633">
              <w:rPr>
                <w:rFonts w:ascii="Calibri" w:eastAsia="Times New Roman" w:hAnsi="Calibri" w:cs="Calibri"/>
                <w:b/>
                <w:szCs w:val="20"/>
                <w:lang w:eastAsia="en-GB"/>
              </w:rPr>
              <w:t>Revenue (€ million)</w:t>
            </w:r>
          </w:p>
          <w:p w14:paraId="46BDC1D8" w14:textId="77777777" w:rsidR="00664BE6" w:rsidRPr="00997633" w:rsidRDefault="00664BE6" w:rsidP="00DE1642">
            <w:pPr>
              <w:pStyle w:val="Table"/>
              <w:jc w:val="center"/>
              <w:rPr>
                <w:rFonts w:ascii="Calibri" w:eastAsia="Times New Roman" w:hAnsi="Calibri" w:cs="Calibri"/>
                <w:b/>
                <w:szCs w:val="20"/>
                <w:lang w:eastAsia="en-GB"/>
              </w:rPr>
            </w:pPr>
            <w:r w:rsidRPr="00997633">
              <w:rPr>
                <w:rFonts w:ascii="Calibri" w:eastAsia="Times New Roman" w:hAnsi="Calibri" w:cs="Calibri"/>
                <w:b/>
                <w:szCs w:val="20"/>
                <w:lang w:eastAsia="en-GB"/>
              </w:rPr>
              <w:t>2009-2023</w:t>
            </w:r>
          </w:p>
        </w:tc>
        <w:tc>
          <w:tcPr>
            <w:tcW w:w="1893" w:type="dxa"/>
            <w:tcBorders>
              <w:top w:val="single" w:sz="6" w:space="0" w:color="auto"/>
              <w:left w:val="single" w:sz="6" w:space="0" w:color="auto"/>
              <w:bottom w:val="single" w:sz="6" w:space="0" w:color="auto"/>
              <w:right w:val="single" w:sz="6" w:space="0" w:color="auto"/>
            </w:tcBorders>
            <w:hideMark/>
          </w:tcPr>
          <w:p w14:paraId="78C25AB3" w14:textId="77777777" w:rsidR="00664BE6" w:rsidRPr="00997633" w:rsidRDefault="00664BE6" w:rsidP="00DE1642">
            <w:pPr>
              <w:pStyle w:val="Table"/>
              <w:jc w:val="center"/>
              <w:rPr>
                <w:rFonts w:ascii="Times New Roman" w:eastAsia="Times New Roman" w:hAnsi="Times New Roman" w:cs="Times New Roman"/>
                <w:b/>
                <w:sz w:val="24"/>
                <w:lang w:eastAsia="en-GB"/>
              </w:rPr>
            </w:pPr>
            <w:r w:rsidRPr="00997633">
              <w:rPr>
                <w:rFonts w:ascii="Calibri" w:eastAsia="Times New Roman" w:hAnsi="Calibri" w:cs="Calibri"/>
                <w:b/>
                <w:szCs w:val="20"/>
                <w:lang w:eastAsia="en-GB"/>
              </w:rPr>
              <w:t>Average annual revenue (€ million)</w:t>
            </w:r>
          </w:p>
        </w:tc>
        <w:tc>
          <w:tcPr>
            <w:tcW w:w="1900" w:type="dxa"/>
            <w:tcBorders>
              <w:top w:val="single" w:sz="6" w:space="0" w:color="auto"/>
              <w:left w:val="single" w:sz="6" w:space="0" w:color="auto"/>
              <w:bottom w:val="single" w:sz="6" w:space="0" w:color="auto"/>
              <w:right w:val="single" w:sz="6" w:space="0" w:color="auto"/>
            </w:tcBorders>
            <w:hideMark/>
          </w:tcPr>
          <w:p w14:paraId="531E800F" w14:textId="77777777" w:rsidR="00664BE6" w:rsidRPr="00997633" w:rsidRDefault="00664BE6" w:rsidP="00DE1642">
            <w:pPr>
              <w:pStyle w:val="Table"/>
              <w:jc w:val="center"/>
              <w:rPr>
                <w:rFonts w:ascii="Times New Roman" w:eastAsia="Times New Roman" w:hAnsi="Times New Roman" w:cs="Times New Roman"/>
                <w:b/>
                <w:sz w:val="24"/>
                <w:lang w:eastAsia="en-GB"/>
              </w:rPr>
            </w:pPr>
            <w:r w:rsidRPr="00997633">
              <w:rPr>
                <w:rFonts w:ascii="Calibri" w:eastAsia="Times New Roman" w:hAnsi="Calibri" w:cs="Calibri"/>
                <w:b/>
                <w:szCs w:val="20"/>
                <w:lang w:eastAsia="en-GB"/>
              </w:rPr>
              <w:t>As share of all resource tax revenues</w:t>
            </w:r>
          </w:p>
        </w:tc>
      </w:tr>
      <w:tr w:rsidR="00664BE6" w:rsidRPr="00EA4C9B" w14:paraId="13667A1D" w14:textId="77777777" w:rsidTr="004F0767">
        <w:trPr>
          <w:trHeight w:val="104"/>
        </w:trPr>
        <w:tc>
          <w:tcPr>
            <w:tcW w:w="3500" w:type="dxa"/>
            <w:tcBorders>
              <w:top w:val="single" w:sz="6" w:space="0" w:color="auto"/>
              <w:left w:val="single" w:sz="6" w:space="0" w:color="auto"/>
              <w:bottom w:val="single" w:sz="6" w:space="0" w:color="auto"/>
              <w:right w:val="single" w:sz="6" w:space="0" w:color="auto"/>
            </w:tcBorders>
            <w:hideMark/>
          </w:tcPr>
          <w:p w14:paraId="76322CBD" w14:textId="77777777" w:rsidR="00664BE6" w:rsidRPr="00EA4C9B" w:rsidRDefault="00664BE6" w:rsidP="00997633">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Fishery license fee </w:t>
            </w:r>
          </w:p>
        </w:tc>
        <w:tc>
          <w:tcPr>
            <w:tcW w:w="1717" w:type="dxa"/>
            <w:tcBorders>
              <w:top w:val="single" w:sz="6" w:space="0" w:color="auto"/>
              <w:left w:val="single" w:sz="6" w:space="0" w:color="auto"/>
              <w:bottom w:val="single" w:sz="6" w:space="0" w:color="auto"/>
              <w:right w:val="single" w:sz="6" w:space="0" w:color="auto"/>
            </w:tcBorders>
          </w:tcPr>
          <w:p w14:paraId="7DEB4FC2"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€0.1 - €1</w:t>
            </w:r>
          </w:p>
        </w:tc>
        <w:tc>
          <w:tcPr>
            <w:tcW w:w="1893" w:type="dxa"/>
            <w:tcBorders>
              <w:top w:val="single" w:sz="6" w:space="0" w:color="auto"/>
              <w:left w:val="single" w:sz="6" w:space="0" w:color="auto"/>
              <w:bottom w:val="single" w:sz="6" w:space="0" w:color="auto"/>
              <w:right w:val="single" w:sz="6" w:space="0" w:color="auto"/>
            </w:tcBorders>
            <w:hideMark/>
          </w:tcPr>
          <w:p w14:paraId="475FC47B" w14:textId="77777777" w:rsidR="00664BE6" w:rsidRPr="00EA4C9B" w:rsidRDefault="00664BE6" w:rsidP="00DE164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w:t>
            </w:r>
          </w:p>
        </w:tc>
        <w:tc>
          <w:tcPr>
            <w:tcW w:w="1900" w:type="dxa"/>
            <w:tcBorders>
              <w:top w:val="single" w:sz="6" w:space="0" w:color="auto"/>
              <w:left w:val="single" w:sz="6" w:space="0" w:color="auto"/>
              <w:bottom w:val="single" w:sz="6" w:space="0" w:color="auto"/>
              <w:right w:val="single" w:sz="6" w:space="0" w:color="auto"/>
            </w:tcBorders>
            <w:hideMark/>
          </w:tcPr>
          <w:p w14:paraId="40017807" w14:textId="77777777" w:rsidR="00664BE6" w:rsidRPr="00EA4C9B" w:rsidRDefault="00664BE6" w:rsidP="00DE164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3%</w:t>
            </w:r>
          </w:p>
        </w:tc>
      </w:tr>
      <w:tr w:rsidR="00664BE6" w:rsidRPr="00EA4C9B" w14:paraId="41E60810" w14:textId="77777777" w:rsidTr="004F0767">
        <w:trPr>
          <w:trHeight w:val="76"/>
        </w:trPr>
        <w:tc>
          <w:tcPr>
            <w:tcW w:w="3500" w:type="dxa"/>
            <w:tcBorders>
              <w:top w:val="single" w:sz="6" w:space="0" w:color="auto"/>
              <w:left w:val="single" w:sz="6" w:space="0" w:color="auto"/>
              <w:bottom w:val="single" w:sz="6" w:space="0" w:color="auto"/>
              <w:right w:val="single" w:sz="6" w:space="0" w:color="auto"/>
            </w:tcBorders>
            <w:hideMark/>
          </w:tcPr>
          <w:p w14:paraId="5D676EA5" w14:textId="77777777" w:rsidR="00664BE6" w:rsidRPr="00EA4C9B" w:rsidRDefault="00664BE6" w:rsidP="00997633">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Fee for the use of water resources</w:t>
            </w:r>
          </w:p>
        </w:tc>
        <w:tc>
          <w:tcPr>
            <w:tcW w:w="1717" w:type="dxa"/>
            <w:tcBorders>
              <w:top w:val="single" w:sz="6" w:space="0" w:color="auto"/>
              <w:left w:val="single" w:sz="6" w:space="0" w:color="auto"/>
              <w:bottom w:val="single" w:sz="6" w:space="0" w:color="auto"/>
              <w:right w:val="single" w:sz="6" w:space="0" w:color="auto"/>
            </w:tcBorders>
          </w:tcPr>
          <w:p w14:paraId="640C8E0D"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€6.8 - €4.2</w:t>
            </w:r>
          </w:p>
        </w:tc>
        <w:tc>
          <w:tcPr>
            <w:tcW w:w="1893" w:type="dxa"/>
            <w:tcBorders>
              <w:top w:val="single" w:sz="6" w:space="0" w:color="auto"/>
              <w:left w:val="single" w:sz="6" w:space="0" w:color="auto"/>
              <w:bottom w:val="single" w:sz="6" w:space="0" w:color="auto"/>
              <w:right w:val="single" w:sz="6" w:space="0" w:color="auto"/>
            </w:tcBorders>
            <w:hideMark/>
          </w:tcPr>
          <w:p w14:paraId="50B267F5" w14:textId="77777777" w:rsidR="00664BE6" w:rsidRPr="00EA4C9B" w:rsidRDefault="00664BE6" w:rsidP="00DE164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€5.3</w:t>
            </w:r>
          </w:p>
        </w:tc>
        <w:tc>
          <w:tcPr>
            <w:tcW w:w="1900" w:type="dxa"/>
            <w:tcBorders>
              <w:top w:val="single" w:sz="6" w:space="0" w:color="auto"/>
              <w:left w:val="single" w:sz="6" w:space="0" w:color="auto"/>
              <w:bottom w:val="single" w:sz="6" w:space="0" w:color="auto"/>
              <w:right w:val="single" w:sz="6" w:space="0" w:color="auto"/>
            </w:tcBorders>
            <w:hideMark/>
          </w:tcPr>
          <w:p w14:paraId="674AF6AC" w14:textId="77777777" w:rsidR="00664BE6" w:rsidRPr="00EA4C9B" w:rsidRDefault="00664BE6" w:rsidP="00DE1642">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13%</w:t>
            </w:r>
          </w:p>
        </w:tc>
      </w:tr>
      <w:tr w:rsidR="00664BE6" w:rsidRPr="00EA4C9B" w14:paraId="796555C1" w14:textId="77777777" w:rsidTr="004F0767">
        <w:trPr>
          <w:trHeight w:val="76"/>
        </w:trPr>
        <w:tc>
          <w:tcPr>
            <w:tcW w:w="3500" w:type="dxa"/>
            <w:tcBorders>
              <w:top w:val="single" w:sz="6" w:space="0" w:color="auto"/>
              <w:left w:val="single" w:sz="6" w:space="0" w:color="auto"/>
              <w:bottom w:val="single" w:sz="6" w:space="0" w:color="auto"/>
              <w:right w:val="single" w:sz="6" w:space="0" w:color="auto"/>
            </w:tcBorders>
          </w:tcPr>
          <w:p w14:paraId="30D03703" w14:textId="77777777" w:rsidR="00664BE6" w:rsidRPr="00EA4C9B" w:rsidRDefault="00664BE6" w:rsidP="00997633">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Regulatory fee on water and water services</w:t>
            </w:r>
          </w:p>
        </w:tc>
        <w:tc>
          <w:tcPr>
            <w:tcW w:w="1717" w:type="dxa"/>
            <w:tcBorders>
              <w:top w:val="single" w:sz="6" w:space="0" w:color="auto"/>
              <w:left w:val="single" w:sz="6" w:space="0" w:color="auto"/>
              <w:bottom w:val="single" w:sz="6" w:space="0" w:color="auto"/>
              <w:right w:val="single" w:sz="6" w:space="0" w:color="auto"/>
            </w:tcBorders>
          </w:tcPr>
          <w:p w14:paraId="3EDB48D4"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€1.7 - €5.7</w:t>
            </w:r>
          </w:p>
        </w:tc>
        <w:tc>
          <w:tcPr>
            <w:tcW w:w="1893" w:type="dxa"/>
            <w:tcBorders>
              <w:top w:val="single" w:sz="6" w:space="0" w:color="auto"/>
              <w:left w:val="single" w:sz="6" w:space="0" w:color="auto"/>
              <w:bottom w:val="single" w:sz="6" w:space="0" w:color="auto"/>
              <w:right w:val="single" w:sz="6" w:space="0" w:color="auto"/>
            </w:tcBorders>
          </w:tcPr>
          <w:p w14:paraId="7D85C594"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€5.1</w:t>
            </w:r>
          </w:p>
        </w:tc>
        <w:tc>
          <w:tcPr>
            <w:tcW w:w="1900" w:type="dxa"/>
            <w:tcBorders>
              <w:top w:val="single" w:sz="6" w:space="0" w:color="auto"/>
              <w:left w:val="single" w:sz="6" w:space="0" w:color="auto"/>
              <w:bottom w:val="single" w:sz="6" w:space="0" w:color="auto"/>
              <w:right w:val="single" w:sz="6" w:space="0" w:color="auto"/>
            </w:tcBorders>
          </w:tcPr>
          <w:p w14:paraId="0FF9B36F"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18%</w:t>
            </w:r>
          </w:p>
        </w:tc>
      </w:tr>
      <w:tr w:rsidR="00664BE6" w:rsidRPr="00EA4C9B" w14:paraId="3B22D996" w14:textId="77777777" w:rsidTr="004F0767">
        <w:trPr>
          <w:trHeight w:val="76"/>
        </w:trPr>
        <w:tc>
          <w:tcPr>
            <w:tcW w:w="3500" w:type="dxa"/>
            <w:tcBorders>
              <w:top w:val="single" w:sz="6" w:space="0" w:color="auto"/>
              <w:left w:val="single" w:sz="6" w:space="0" w:color="auto"/>
              <w:bottom w:val="single" w:sz="6" w:space="0" w:color="auto"/>
              <w:right w:val="single" w:sz="6" w:space="0" w:color="auto"/>
            </w:tcBorders>
          </w:tcPr>
          <w:p w14:paraId="3F97C24D" w14:textId="77777777" w:rsidR="00664BE6" w:rsidRPr="00EA4C9B" w:rsidRDefault="00664BE6" w:rsidP="00997633">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Hunting and fishery licenses</w:t>
            </w:r>
          </w:p>
        </w:tc>
        <w:tc>
          <w:tcPr>
            <w:tcW w:w="1717" w:type="dxa"/>
            <w:tcBorders>
              <w:top w:val="single" w:sz="6" w:space="0" w:color="auto"/>
              <w:left w:val="single" w:sz="6" w:space="0" w:color="auto"/>
              <w:bottom w:val="single" w:sz="6" w:space="0" w:color="auto"/>
              <w:right w:val="single" w:sz="6" w:space="0" w:color="auto"/>
            </w:tcBorders>
          </w:tcPr>
          <w:p w14:paraId="3C05E11C"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€9.4 – €12.5</w:t>
            </w:r>
          </w:p>
        </w:tc>
        <w:tc>
          <w:tcPr>
            <w:tcW w:w="1893" w:type="dxa"/>
            <w:tcBorders>
              <w:top w:val="single" w:sz="6" w:space="0" w:color="auto"/>
              <w:left w:val="single" w:sz="6" w:space="0" w:color="auto"/>
              <w:bottom w:val="single" w:sz="6" w:space="0" w:color="auto"/>
              <w:right w:val="single" w:sz="6" w:space="0" w:color="auto"/>
            </w:tcBorders>
          </w:tcPr>
          <w:p w14:paraId="4899C08B"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€11.5</w:t>
            </w:r>
          </w:p>
        </w:tc>
        <w:tc>
          <w:tcPr>
            <w:tcW w:w="1900" w:type="dxa"/>
            <w:tcBorders>
              <w:top w:val="single" w:sz="6" w:space="0" w:color="auto"/>
              <w:left w:val="single" w:sz="6" w:space="0" w:color="auto"/>
              <w:bottom w:val="single" w:sz="6" w:space="0" w:color="auto"/>
              <w:right w:val="single" w:sz="6" w:space="0" w:color="auto"/>
            </w:tcBorders>
          </w:tcPr>
          <w:p w14:paraId="4D7C7860"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39%</w:t>
            </w:r>
          </w:p>
        </w:tc>
      </w:tr>
      <w:tr w:rsidR="00664BE6" w:rsidRPr="00EA4C9B" w14:paraId="1E2A4358" w14:textId="77777777" w:rsidTr="004F0767">
        <w:trPr>
          <w:trHeight w:val="76"/>
        </w:trPr>
        <w:tc>
          <w:tcPr>
            <w:tcW w:w="3500" w:type="dxa"/>
            <w:tcBorders>
              <w:top w:val="single" w:sz="6" w:space="0" w:color="auto"/>
              <w:left w:val="single" w:sz="6" w:space="0" w:color="auto"/>
              <w:bottom w:val="single" w:sz="6" w:space="0" w:color="auto"/>
              <w:right w:val="single" w:sz="6" w:space="0" w:color="auto"/>
            </w:tcBorders>
          </w:tcPr>
          <w:p w14:paraId="430219BF" w14:textId="77777777" w:rsidR="00664BE6" w:rsidRPr="00EA4C9B" w:rsidRDefault="00664BE6" w:rsidP="00997633">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Fee on the use of water resources</w:t>
            </w:r>
          </w:p>
        </w:tc>
        <w:tc>
          <w:tcPr>
            <w:tcW w:w="1717" w:type="dxa"/>
            <w:tcBorders>
              <w:top w:val="single" w:sz="6" w:space="0" w:color="auto"/>
              <w:left w:val="single" w:sz="6" w:space="0" w:color="auto"/>
              <w:bottom w:val="single" w:sz="6" w:space="0" w:color="auto"/>
              <w:right w:val="single" w:sz="6" w:space="0" w:color="auto"/>
            </w:tcBorders>
          </w:tcPr>
          <w:p w14:paraId="42A28E73"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N.A. - €8.4</w:t>
            </w:r>
          </w:p>
        </w:tc>
        <w:tc>
          <w:tcPr>
            <w:tcW w:w="1893" w:type="dxa"/>
            <w:tcBorders>
              <w:top w:val="single" w:sz="6" w:space="0" w:color="auto"/>
              <w:left w:val="single" w:sz="6" w:space="0" w:color="auto"/>
              <w:bottom w:val="single" w:sz="6" w:space="0" w:color="auto"/>
              <w:right w:val="single" w:sz="6" w:space="0" w:color="auto"/>
            </w:tcBorders>
          </w:tcPr>
          <w:p w14:paraId="713FB85A"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€8.2</w:t>
            </w:r>
          </w:p>
        </w:tc>
        <w:tc>
          <w:tcPr>
            <w:tcW w:w="1900" w:type="dxa"/>
            <w:tcBorders>
              <w:top w:val="single" w:sz="6" w:space="0" w:color="auto"/>
              <w:left w:val="single" w:sz="6" w:space="0" w:color="auto"/>
              <w:bottom w:val="single" w:sz="6" w:space="0" w:color="auto"/>
              <w:right w:val="single" w:sz="6" w:space="0" w:color="auto"/>
            </w:tcBorders>
          </w:tcPr>
          <w:p w14:paraId="34904816" w14:textId="77777777" w:rsidR="00664BE6" w:rsidRPr="00EA4C9B" w:rsidRDefault="00664BE6" w:rsidP="00DE1642">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27%</w:t>
            </w:r>
          </w:p>
        </w:tc>
      </w:tr>
    </w:tbl>
    <w:p w14:paraId="455D4E03" w14:textId="2CC4629C" w:rsidR="00997633" w:rsidRDefault="00997633" w:rsidP="00245941">
      <w:pPr>
        <w:pStyle w:val="Caption"/>
        <w:jc w:val="both"/>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933"/>
      </w:tblGrid>
      <w:tr w:rsidR="00664BE6" w:rsidRPr="00EA4C9B" w14:paraId="4EA24C5F" w14:textId="77777777" w:rsidTr="00BA7936">
        <w:tc>
          <w:tcPr>
            <w:tcW w:w="9016" w:type="dxa"/>
            <w:gridSpan w:val="2"/>
            <w:shd w:val="clear" w:color="auto" w:fill="003399"/>
          </w:tcPr>
          <w:p w14:paraId="2CEB016C" w14:textId="047086FE" w:rsidR="00664BE6" w:rsidRPr="00997633" w:rsidRDefault="00664BE6" w:rsidP="00997633">
            <w:pPr>
              <w:pStyle w:val="Table"/>
              <w:rPr>
                <w:b/>
                <w:color w:val="FFFFFF" w:themeColor="background1"/>
                <w:lang w:eastAsia="en-GB"/>
              </w:rPr>
            </w:pPr>
            <w:r w:rsidRPr="00997633">
              <w:rPr>
                <w:b/>
                <w:color w:val="FFFFFF" w:themeColor="background1"/>
              </w:rPr>
              <w:t xml:space="preserve">Table </w:t>
            </w:r>
            <w:r w:rsidR="00490085">
              <w:rPr>
                <w:b/>
                <w:color w:val="FFFFFF" w:themeColor="background1"/>
              </w:rPr>
              <w:t>A6</w:t>
            </w:r>
            <w:r w:rsidR="00997633" w:rsidRPr="00997633">
              <w:rPr>
                <w:b/>
                <w:bCs/>
                <w:color w:val="FFFFFF" w:themeColor="background1"/>
              </w:rPr>
              <w:t>-</w:t>
            </w:r>
            <w:r w:rsidR="00997633" w:rsidRPr="00997633">
              <w:rPr>
                <w:b/>
                <w:bCs/>
                <w:color w:val="FFFFFF" w:themeColor="background1"/>
              </w:rPr>
              <w:fldChar w:fldCharType="begin"/>
            </w:r>
            <w:r w:rsidR="00997633" w:rsidRPr="00997633">
              <w:rPr>
                <w:b/>
                <w:bCs/>
                <w:color w:val="FFFFFF" w:themeColor="background1"/>
              </w:rPr>
              <w:instrText xml:space="preserve"> SEQ Table_A5- \* ARABIC </w:instrText>
            </w:r>
            <w:r w:rsidR="00997633" w:rsidRPr="00997633">
              <w:rPr>
                <w:b/>
                <w:bCs/>
                <w:color w:val="FFFFFF" w:themeColor="background1"/>
              </w:rPr>
              <w:fldChar w:fldCharType="separate"/>
            </w:r>
            <w:r w:rsidR="00DE1642">
              <w:rPr>
                <w:b/>
                <w:bCs/>
                <w:noProof/>
                <w:color w:val="FFFFFF" w:themeColor="background1"/>
              </w:rPr>
              <w:t>111</w:t>
            </w:r>
            <w:r w:rsidR="00997633" w:rsidRPr="00997633">
              <w:rPr>
                <w:b/>
                <w:bCs/>
                <w:color w:val="FFFFFF" w:themeColor="background1"/>
              </w:rPr>
              <w:fldChar w:fldCharType="end"/>
            </w:r>
            <w:r w:rsidRPr="00997633">
              <w:rPr>
                <w:b/>
                <w:color w:val="FFFFFF" w:themeColor="background1"/>
                <w:lang w:eastAsia="en-GB"/>
              </w:rPr>
              <w:t>: Other environmental taxes not reported in the National Tax Lists</w:t>
            </w:r>
          </w:p>
        </w:tc>
      </w:tr>
      <w:tr w:rsidR="002E02F0" w:rsidRPr="00EA4C9B" w14:paraId="5C5AB9A5" w14:textId="77777777" w:rsidTr="00BA7936">
        <w:tc>
          <w:tcPr>
            <w:tcW w:w="7083" w:type="dxa"/>
          </w:tcPr>
          <w:p w14:paraId="4358C4EF" w14:textId="72086C13" w:rsidR="002E02F0" w:rsidRPr="00997633" w:rsidRDefault="002E02F0" w:rsidP="00997633">
            <w:pPr>
              <w:pStyle w:val="Table"/>
              <w:rPr>
                <w:b/>
                <w:lang w:eastAsia="en-GB"/>
              </w:rPr>
            </w:pPr>
            <w:r w:rsidRPr="00997633">
              <w:rPr>
                <w:b/>
                <w:lang w:eastAsia="en-GB"/>
              </w:rPr>
              <w:t>Tax Name </w:t>
            </w:r>
          </w:p>
        </w:tc>
        <w:tc>
          <w:tcPr>
            <w:tcW w:w="1933" w:type="dxa"/>
          </w:tcPr>
          <w:p w14:paraId="3F87D84B" w14:textId="77777777" w:rsidR="002E02F0" w:rsidRPr="00EA4C9B" w:rsidRDefault="002E02F0" w:rsidP="00997633">
            <w:pPr>
              <w:pStyle w:val="Table"/>
              <w:rPr>
                <w:rFonts w:ascii="Calibri" w:eastAsia="Times New Roman" w:hAnsi="Calibri" w:cs="Calibri"/>
                <w:b/>
                <w:bCs/>
                <w:szCs w:val="20"/>
                <w:lang w:eastAsia="en-GB"/>
              </w:rPr>
            </w:pPr>
            <w:r w:rsidRPr="00997633">
              <w:rPr>
                <w:b/>
                <w:lang w:eastAsia="en-GB"/>
              </w:rPr>
              <w:t xml:space="preserve">Annual revenue </w:t>
            </w:r>
          </w:p>
          <w:p w14:paraId="59819C6C" w14:textId="77777777" w:rsidR="002E02F0" w:rsidRPr="00997633" w:rsidRDefault="002E02F0" w:rsidP="00997633">
            <w:pPr>
              <w:pStyle w:val="Table"/>
              <w:rPr>
                <w:b/>
                <w:lang w:eastAsia="en-GB"/>
              </w:rPr>
            </w:pPr>
            <w:r w:rsidRPr="00997633">
              <w:rPr>
                <w:b/>
                <w:lang w:eastAsia="en-GB"/>
              </w:rPr>
              <w:t>(€ million) in 2023</w:t>
            </w:r>
          </w:p>
        </w:tc>
      </w:tr>
      <w:tr w:rsidR="002E02F0" w:rsidRPr="00EA4C9B" w14:paraId="6D41B956" w14:textId="77777777" w:rsidTr="00BA7936">
        <w:tc>
          <w:tcPr>
            <w:tcW w:w="7083" w:type="dxa"/>
          </w:tcPr>
          <w:p w14:paraId="1F90C3B0" w14:textId="77777777" w:rsidR="002E02F0" w:rsidRPr="00EA4C9B" w:rsidRDefault="002E02F0" w:rsidP="00997633">
            <w:pPr>
              <w:pStyle w:val="Table"/>
              <w:rPr>
                <w:lang w:eastAsia="en-GB"/>
              </w:rPr>
            </w:pPr>
            <w:r w:rsidRPr="00EA4C9B">
              <w:rPr>
                <w:lang w:eastAsia="en-GB"/>
              </w:rPr>
              <w:t>Fee on water and waste services</w:t>
            </w:r>
          </w:p>
        </w:tc>
        <w:tc>
          <w:tcPr>
            <w:tcW w:w="1933" w:type="dxa"/>
          </w:tcPr>
          <w:p w14:paraId="0FAFFB20" w14:textId="77777777" w:rsidR="002E02F0" w:rsidRPr="00EA4C9B" w:rsidRDefault="002E02F0" w:rsidP="00997633">
            <w:pPr>
              <w:pStyle w:val="Table"/>
              <w:rPr>
                <w:lang w:eastAsia="en-GB"/>
              </w:rPr>
            </w:pPr>
            <w:r w:rsidRPr="00EA4C9B">
              <w:rPr>
                <w:lang w:eastAsia="en-GB"/>
              </w:rPr>
              <w:t>€5.7</w:t>
            </w:r>
          </w:p>
        </w:tc>
      </w:tr>
      <w:tr w:rsidR="002E02F0" w:rsidRPr="00EA4C9B" w14:paraId="6E9EF085" w14:textId="77777777" w:rsidTr="00BA7936">
        <w:tc>
          <w:tcPr>
            <w:tcW w:w="7083" w:type="dxa"/>
          </w:tcPr>
          <w:p w14:paraId="0D7019B9" w14:textId="77777777" w:rsidR="002E02F0" w:rsidRPr="00EA4C9B" w:rsidRDefault="002E02F0" w:rsidP="00997633">
            <w:pPr>
              <w:pStyle w:val="Table"/>
              <w:rPr>
                <w:lang w:eastAsia="en-GB"/>
              </w:rPr>
            </w:pPr>
            <w:r w:rsidRPr="00EA4C9B">
              <w:rPr>
                <w:lang w:eastAsia="en-GB"/>
              </w:rPr>
              <w:t>Pay as you throw tax</w:t>
            </w:r>
          </w:p>
        </w:tc>
        <w:tc>
          <w:tcPr>
            <w:tcW w:w="1933" w:type="dxa"/>
          </w:tcPr>
          <w:p w14:paraId="20977CE4" w14:textId="77777777" w:rsidR="002E02F0" w:rsidRPr="00EA4C9B" w:rsidRDefault="002E02F0" w:rsidP="00997633">
            <w:pPr>
              <w:pStyle w:val="Table"/>
              <w:rPr>
                <w:lang w:eastAsia="en-GB"/>
              </w:rPr>
            </w:pPr>
            <w:r w:rsidRPr="00EA4C9B">
              <w:rPr>
                <w:lang w:eastAsia="en-GB"/>
              </w:rPr>
              <w:t>N.A.</w:t>
            </w:r>
          </w:p>
        </w:tc>
      </w:tr>
      <w:tr w:rsidR="00A20E4A" w:rsidRPr="00EA4C9B" w14:paraId="025F30A2" w14:textId="77777777">
        <w:tc>
          <w:tcPr>
            <w:tcW w:w="9016" w:type="dxa"/>
            <w:gridSpan w:val="2"/>
          </w:tcPr>
          <w:p w14:paraId="2CE5AE5F" w14:textId="4DF2B1BF" w:rsidR="00A20E4A" w:rsidRPr="00EA4C9B" w:rsidRDefault="00A20E4A" w:rsidP="00BA7936">
            <w:pPr>
              <w:pStyle w:val="Table"/>
              <w:jc w:val="left"/>
              <w:rPr>
                <w:lang w:eastAsia="en-GB"/>
              </w:rPr>
            </w:pPr>
            <w:r w:rsidRPr="00A20E4A">
              <w:rPr>
                <w:lang w:eastAsia="en-GB"/>
              </w:rPr>
              <w:t>Note: N.A. = Data not available</w:t>
            </w:r>
          </w:p>
        </w:tc>
      </w:tr>
    </w:tbl>
    <w:p w14:paraId="1A9C6F1E" w14:textId="77777777" w:rsidR="00664BE6" w:rsidRPr="00EA4C9B" w:rsidRDefault="00664BE6" w:rsidP="00664BE6">
      <w:pPr>
        <w:pStyle w:val="Heading4"/>
      </w:pPr>
      <w:r w:rsidRPr="00EA4C9B">
        <w:lastRenderedPageBreak/>
        <w:t>Taxes, fees and other related instruments</w:t>
      </w:r>
    </w:p>
    <w:p w14:paraId="7E5F9FD2" w14:textId="77777777" w:rsidR="00664BE6" w:rsidRPr="00EA4C9B" w:rsidRDefault="00664BE6" w:rsidP="00664BE6">
      <w:pPr>
        <w:pStyle w:val="NormalWeb"/>
        <w:spacing w:before="120" w:beforeAutospacing="0" w:after="120" w:afterAutospacing="0"/>
        <w:jc w:val="both"/>
        <w:rPr>
          <w:rFonts w:asciiTheme="minorHAnsi" w:eastAsiaTheme="minorHAnsi" w:hAnsiTheme="minorHAnsi" w:cstheme="minorBidi"/>
          <w:sz w:val="22"/>
          <w:szCs w:val="22"/>
          <w:lang w:eastAsia="en-US"/>
        </w:rPr>
      </w:pPr>
      <w:r w:rsidRPr="0DB99A64">
        <w:rPr>
          <w:rFonts w:asciiTheme="minorHAnsi" w:eastAsiaTheme="minorEastAsia" w:hAnsiTheme="minorHAnsi" w:cstheme="minorBidi"/>
          <w:sz w:val="22"/>
          <w:szCs w:val="22"/>
          <w:lang w:eastAsia="en-US"/>
        </w:rPr>
        <w:t xml:space="preserve">The Portugal's </w:t>
      </w:r>
      <w:r w:rsidRPr="0DB99A64">
        <w:rPr>
          <w:rFonts w:asciiTheme="minorHAnsi" w:eastAsiaTheme="minorEastAsia" w:hAnsiTheme="minorHAnsi" w:cstheme="minorBidi"/>
          <w:b/>
          <w:sz w:val="22"/>
          <w:szCs w:val="22"/>
          <w:lang w:eastAsia="en-US"/>
        </w:rPr>
        <w:t xml:space="preserve">Water Resources Fee </w:t>
      </w:r>
      <w:r w:rsidRPr="0DB99A64">
        <w:rPr>
          <w:rFonts w:asciiTheme="minorHAnsi" w:eastAsiaTheme="minorEastAsia" w:hAnsiTheme="minorHAnsi" w:cstheme="minorBidi"/>
          <w:sz w:val="22"/>
          <w:szCs w:val="22"/>
          <w:lang w:eastAsia="en-US"/>
        </w:rPr>
        <w:t>(TRH, for its acronym in Portuguese) was established in 2008 by Decree-Law 97/2008 and amended by the 2014 Green Tax Reform. It covers the costs of managing and guaranteeing water quality and quantity. The TRH also compensates for the benefits of using public water for private purposes, and the environmental costs of activities that impact water resources. It is therefore a tax that covers the costs of water resource management, environmental impacts, and the benefits of using public water. The fee is based on how much water a consumer uses (it covers different economic sectors under five components</w:t>
      </w:r>
      <w:r w:rsidRPr="0DB99A64">
        <w:rPr>
          <w:rStyle w:val="FootnoteReference"/>
          <w:rFonts w:asciiTheme="minorHAnsi" w:eastAsiaTheme="minorEastAsia" w:hAnsiTheme="minorHAnsi" w:cstheme="minorBidi"/>
          <w:sz w:val="22"/>
          <w:szCs w:val="22"/>
          <w:lang w:eastAsia="en-US"/>
        </w:rPr>
        <w:footnoteReference w:id="711"/>
      </w:r>
      <w:r w:rsidRPr="0DB99A64">
        <w:rPr>
          <w:rFonts w:asciiTheme="minorHAnsi" w:eastAsiaTheme="minorEastAsia" w:hAnsiTheme="minorHAnsi" w:cstheme="minorBidi"/>
          <w:sz w:val="22"/>
          <w:szCs w:val="22"/>
          <w:lang w:eastAsia="en-US"/>
        </w:rPr>
        <w:t>) and is regularly updated with inflation. Since 2017, an additional fee has been applied to the volume of water abstracted for public water supply to compensate for the higher costs incurred in low-density areas. Low-income households, charities, non-profit organizations, and public-benefit entities may be eligible for social tariffs and large families may also be eligible for special tariffs. The tax seems to have had a limited impact on changing behaviours, and, with the economic recovery, revenue increased faster than rates, indicating more intense use and degradation of the water resource. Moreover, the water abstraction fee is significantly lower for agriculture with reductions applying to irrigation (OECD, 2023</w:t>
      </w:r>
      <w:r w:rsidRPr="0DB99A64">
        <w:rPr>
          <w:rStyle w:val="FootnoteReference"/>
          <w:rFonts w:asciiTheme="minorHAnsi" w:eastAsiaTheme="minorEastAsia" w:hAnsiTheme="minorHAnsi" w:cstheme="minorBidi"/>
          <w:sz w:val="22"/>
          <w:szCs w:val="22"/>
          <w:lang w:eastAsia="en-US"/>
        </w:rPr>
        <w:footnoteReference w:id="712"/>
      </w:r>
      <w:r w:rsidRPr="0DB99A64">
        <w:rPr>
          <w:rFonts w:asciiTheme="minorHAnsi" w:eastAsiaTheme="minorEastAsia" w:hAnsiTheme="minorHAnsi" w:cstheme="minorBidi"/>
          <w:sz w:val="22"/>
          <w:szCs w:val="22"/>
          <w:lang w:eastAsia="en-US"/>
        </w:rPr>
        <w:t xml:space="preserve">). </w:t>
      </w:r>
    </w:p>
    <w:p w14:paraId="358337E5" w14:textId="77777777" w:rsidR="00664BE6" w:rsidRPr="00EA4C9B" w:rsidRDefault="00664BE6" w:rsidP="00664BE6">
      <w:pPr>
        <w:pStyle w:val="NormalWeb"/>
        <w:spacing w:before="120" w:beforeAutospacing="0" w:after="120" w:afterAutospacing="0"/>
        <w:jc w:val="both"/>
        <w:rPr>
          <w:rFonts w:asciiTheme="minorHAnsi" w:eastAsiaTheme="minorHAnsi" w:hAnsiTheme="minorHAnsi" w:cstheme="minorBidi"/>
          <w:sz w:val="22"/>
          <w:szCs w:val="22"/>
          <w:lang w:eastAsia="en-US"/>
        </w:rPr>
      </w:pPr>
      <w:r w:rsidRPr="0DB99A64">
        <w:rPr>
          <w:rFonts w:asciiTheme="minorHAnsi" w:eastAsiaTheme="minorEastAsia" w:hAnsiTheme="minorHAnsi" w:cstheme="minorBidi"/>
          <w:sz w:val="22"/>
          <w:szCs w:val="22"/>
          <w:lang w:eastAsia="en-US"/>
        </w:rPr>
        <w:t>According to the 2025 European Semester report</w:t>
      </w:r>
      <w:r w:rsidRPr="0DB99A64">
        <w:rPr>
          <w:rStyle w:val="FootnoteReference"/>
          <w:rFonts w:asciiTheme="minorHAnsi" w:eastAsiaTheme="minorEastAsia" w:hAnsiTheme="minorHAnsi" w:cstheme="minorBidi"/>
          <w:sz w:val="22"/>
          <w:szCs w:val="22"/>
          <w:lang w:eastAsia="en-US"/>
        </w:rPr>
        <w:footnoteReference w:id="713"/>
      </w:r>
      <w:r w:rsidRPr="0DB99A64">
        <w:rPr>
          <w:rFonts w:asciiTheme="minorHAnsi" w:eastAsiaTheme="minorEastAsia" w:hAnsiTheme="minorHAnsi" w:cstheme="minorBidi"/>
          <w:sz w:val="22"/>
          <w:szCs w:val="22"/>
          <w:lang w:eastAsia="en-US"/>
        </w:rPr>
        <w:t>, while the TRH is one of the few significant pollution taxes in Portugal, it is currently underperforming in promoting behavioural change. The Commission stresses the need to reform the TRH to better differentiate between users and water basins, improve cost recovery, and internalise environmental externalities, especially in agriculture.</w:t>
      </w:r>
    </w:p>
    <w:p w14:paraId="060428BB" w14:textId="77777777" w:rsidR="00664BE6" w:rsidRPr="00EA4C9B" w:rsidRDefault="00664BE6" w:rsidP="00664BE6">
      <w:pPr>
        <w:pStyle w:val="NormalWeb"/>
        <w:spacing w:before="120" w:beforeAutospacing="0" w:after="120" w:afterAutospacing="0"/>
        <w:jc w:val="both"/>
        <w:rPr>
          <w:rFonts w:asciiTheme="minorHAnsi" w:eastAsiaTheme="minorHAnsi" w:hAnsiTheme="minorHAnsi" w:cstheme="minorHAnsi"/>
          <w:sz w:val="22"/>
          <w:szCs w:val="22"/>
          <w:lang w:eastAsia="en-US"/>
        </w:rPr>
      </w:pPr>
      <w:r w:rsidRPr="0DB99A64">
        <w:rPr>
          <w:rFonts w:asciiTheme="minorHAnsi" w:eastAsiaTheme="minorEastAsia" w:hAnsiTheme="minorHAnsi" w:cstheme="minorBidi"/>
          <w:sz w:val="22"/>
          <w:szCs w:val="22"/>
          <w:lang w:eastAsia="en-US"/>
        </w:rPr>
        <w:t xml:space="preserve">Currently, </w:t>
      </w:r>
      <w:r w:rsidRPr="0DB99A64">
        <w:rPr>
          <w:rFonts w:asciiTheme="minorHAnsi" w:hAnsiTheme="minorHAnsi" w:cstheme="minorBidi"/>
          <w:sz w:val="22"/>
          <w:szCs w:val="22"/>
        </w:rPr>
        <w:t>there are tax measures implemented with the aim of reducing the use of plastic and therefore promoting the rational use of natural resources, applying the user-pays principle (</w:t>
      </w:r>
      <w:r w:rsidRPr="0DB99A64">
        <w:rPr>
          <w:rFonts w:asciiTheme="minorHAnsi" w:eastAsiaTheme="minorEastAsia" w:hAnsiTheme="minorHAnsi" w:cstheme="minorBidi"/>
          <w:b/>
          <w:sz w:val="22"/>
          <w:szCs w:val="22"/>
          <w:lang w:eastAsia="en-US"/>
        </w:rPr>
        <w:t>levy on single-use packages and plastic bags</w:t>
      </w:r>
      <w:r w:rsidRPr="0DB99A64">
        <w:rPr>
          <w:rFonts w:asciiTheme="minorHAnsi" w:eastAsiaTheme="minorEastAsia" w:hAnsiTheme="minorHAnsi" w:cstheme="minorBidi"/>
          <w:sz w:val="22"/>
          <w:szCs w:val="22"/>
          <w:lang w:eastAsia="en-US"/>
        </w:rPr>
        <w:t>)</w:t>
      </w:r>
      <w:r w:rsidRPr="0DB99A64">
        <w:rPr>
          <w:rFonts w:asciiTheme="minorHAnsi" w:hAnsiTheme="minorHAnsi" w:cstheme="minorBidi"/>
          <w:sz w:val="22"/>
          <w:szCs w:val="22"/>
        </w:rPr>
        <w:t xml:space="preserve">. </w:t>
      </w:r>
      <w:r w:rsidRPr="0DB99A64">
        <w:rPr>
          <w:rFonts w:asciiTheme="minorHAnsi" w:eastAsiaTheme="minorEastAsia" w:hAnsiTheme="minorHAnsi" w:cstheme="minorBidi"/>
          <w:sz w:val="22"/>
          <w:szCs w:val="22"/>
          <w:lang w:eastAsia="en-US"/>
        </w:rPr>
        <w:t>Under Law No. 82-D/2014, a contribution on lightweight plastic bags</w:t>
      </w:r>
      <w:r w:rsidRPr="0DB99A64">
        <w:rPr>
          <w:rFonts w:asciiTheme="minorHAnsi" w:eastAsiaTheme="minorEastAsia" w:hAnsiTheme="minorHAnsi" w:cstheme="minorBidi"/>
          <w:sz w:val="22"/>
          <w:szCs w:val="22"/>
        </w:rPr>
        <w:footnoteReference w:id="714"/>
      </w:r>
      <w:r w:rsidRPr="0DB99A64">
        <w:rPr>
          <w:rFonts w:asciiTheme="minorHAnsi" w:eastAsiaTheme="minorEastAsia" w:hAnsiTheme="minorHAnsi" w:cstheme="minorBidi"/>
          <w:sz w:val="22"/>
          <w:szCs w:val="22"/>
          <w:lang w:eastAsia="en-US"/>
        </w:rPr>
        <w:t xml:space="preserve"> was created with the aim of promoting more sustainable behaviour (of consumers, producers and traders. These bags are subject to a contribution (EUR 0.1 including VAT) and its value must be discriminated on invoices. It reduced their consumption by 98% in two years. However, overall plastic bag consumption was reduced by 70% over 2014-16, and the decline continued until 2020. Since 2021, Portugal has banned the free provision of carrier bags of any material (including paper bags) at the point of sale. An exemption applies for bags used to pack loose items or bulk products (OECD, 2023).</w:t>
      </w:r>
    </w:p>
    <w:p w14:paraId="689B4DEC" w14:textId="77777777" w:rsidR="00664BE6" w:rsidRPr="00EA4C9B" w:rsidRDefault="00664BE6" w:rsidP="00664BE6">
      <w:pPr>
        <w:pStyle w:val="NormalWeb"/>
        <w:spacing w:before="120" w:beforeAutospacing="0" w:after="120" w:afterAutospacing="0"/>
        <w:jc w:val="both"/>
        <w:rPr>
          <w:rFonts w:asciiTheme="minorHAnsi" w:hAnsiTheme="minorHAnsi" w:cstheme="minorHAnsi"/>
          <w:sz w:val="22"/>
          <w:szCs w:val="22"/>
        </w:rPr>
      </w:pPr>
      <w:r w:rsidRPr="00EA4C9B">
        <w:rPr>
          <w:rFonts w:asciiTheme="minorHAnsi" w:eastAsiaTheme="minorHAnsi" w:hAnsiTheme="minorHAnsi" w:cstheme="minorHAnsi"/>
          <w:sz w:val="22"/>
          <w:szCs w:val="22"/>
          <w:lang w:eastAsia="en-US"/>
        </w:rPr>
        <w:t xml:space="preserve">The next step was the contribution on single-use plastic or aluminum packaging for take-away meals (in restaurants or at home). Portugal implemented a contribution on single-use plastic (or multi-material with plastic) packaging as part of the Portuguese State Budget Law for 2021 (Decree-Law no. 78/2021). This is following the European Union (EU) Single-Use Plastic Directive (2019/904). The contribution is in force as of 1 July 2022. The contribution is levied per package, completely or partially made of plastic (or multi-material with plastic) to be purchased in to-go food regimes. The contribution is levied per package, completely or partially made of plastic (or multi-material with plastic) to be purchased in to-go food regimes. This includes ready-to-eat meals, ready-to-eat meals with take-away (including drive-in) or with home delivery and applies for those meals packed in the establishment or in the point-of-sale area. It applies because of production, importation as well as the intra-community acquisition (acquisition from another EU Member State of single-use packaging, including acquisition </w:t>
      </w:r>
      <w:r w:rsidRPr="00EA4C9B">
        <w:rPr>
          <w:rFonts w:asciiTheme="minorHAnsi" w:eastAsiaTheme="minorHAnsi" w:hAnsiTheme="minorHAnsi" w:cstheme="minorHAnsi"/>
          <w:sz w:val="22"/>
          <w:szCs w:val="22"/>
          <w:lang w:eastAsia="en-US"/>
        </w:rPr>
        <w:lastRenderedPageBreak/>
        <w:t>from the Autonomous Regions of Azores and/or Madeira). A contribution was also applied on single-use packaging made of aluminum, or multi-material with aluminum as of 1 January 2023.</w:t>
      </w:r>
    </w:p>
    <w:p w14:paraId="29093538" w14:textId="77777777" w:rsidR="00664BE6" w:rsidRPr="00EA4C9B" w:rsidRDefault="00664BE6" w:rsidP="00664BE6">
      <w:pPr>
        <w:pStyle w:val="NormalWeb"/>
        <w:spacing w:before="120" w:beforeAutospacing="0" w:after="120" w:afterAutospacing="0"/>
        <w:jc w:val="both"/>
        <w:rPr>
          <w:rFonts w:asciiTheme="minorHAnsi" w:hAnsiTheme="minorHAnsi" w:cstheme="minorHAnsi"/>
          <w:sz w:val="22"/>
          <w:szCs w:val="22"/>
        </w:rPr>
      </w:pPr>
      <w:r w:rsidRPr="00EA4C9B">
        <w:rPr>
          <w:rFonts w:asciiTheme="minorHAnsi" w:eastAsiaTheme="minorHAnsi" w:hAnsiTheme="minorHAnsi" w:cstheme="minorBidi"/>
          <w:sz w:val="22"/>
          <w:szCs w:val="22"/>
          <w:lang w:eastAsia="en-US"/>
        </w:rPr>
        <w:t xml:space="preserve">The levy is set at € 0.10 per package in Portugal mainland and can be passed along the economic chain. The final charge levy to the final consumer cannot be less than € 0.20 per package. As for the plastic bags, it is foreseen a levy of € 0.08 for plastic bags.  </w:t>
      </w:r>
    </w:p>
    <w:p w14:paraId="614B810E" w14:textId="77777777" w:rsidR="00664BE6" w:rsidRPr="00EA4C9B" w:rsidRDefault="00664BE6" w:rsidP="00664BE6">
      <w:r w:rsidRPr="00EA4C9B">
        <w:t xml:space="preserve">The cost of a </w:t>
      </w:r>
      <w:r w:rsidRPr="00EA4C9B">
        <w:rPr>
          <w:b/>
          <w:bCs/>
        </w:rPr>
        <w:t>fishery license fee</w:t>
      </w:r>
      <w:r w:rsidRPr="00EA4C9B">
        <w:t xml:space="preserve"> depends on the type of license, its duration, and whether the person is a resident or non-resident. Licences are valid for each calendar year and can be valid for 7 days to 1 year. For onshore, it is of €2 daily or €8 annual, for on-board, it is of €55 daily or €50 annual, for underwater, it is €3 daily or €25 annual, and for general recreational, it is €70 annual. At the same time, for Portuguese citizens and residents, prices range from €12.30 to €20.50 for a one-year license, while for non-residents, the cost is approximately €15.36 for 7 days, €20.50 for 30 days, and €51.22 for one year. Everyone over the age of 14 needs a fishing license. </w:t>
      </w:r>
    </w:p>
    <w:p w14:paraId="28A2DC84" w14:textId="77777777" w:rsidR="00664BE6" w:rsidRPr="00EA4C9B" w:rsidRDefault="00664BE6" w:rsidP="00664BE6">
      <w:r w:rsidRPr="00EA4C9B">
        <w:t xml:space="preserve">Experiences with </w:t>
      </w:r>
      <w:r w:rsidRPr="00EA4C9B">
        <w:rPr>
          <w:b/>
          <w:bCs/>
        </w:rPr>
        <w:t>pay-as-you-throw systems</w:t>
      </w:r>
      <w:r w:rsidRPr="00EA4C9B">
        <w:t xml:space="preserve"> are limited due to the charging system. Municipal waste charges are included in the water bill and linked to water consumption. Portugal has made little progress in passing on the waste management tax to households through waste charges as recommended in the 2011 Environmental Performance Review. In 2020, three quarters of municipalities did not fully recover the costs of waste service provision. Despite the welcome introduction of a cost accounting system for waste management, problems remain with its implementation by municipalities (OECD, 2023). </w:t>
      </w:r>
    </w:p>
    <w:p w14:paraId="0AF2730C" w14:textId="77777777" w:rsidR="00664BE6" w:rsidRPr="00EA4C9B" w:rsidRDefault="00664BE6" w:rsidP="00664BE6">
      <w:pPr>
        <w:pStyle w:val="Heading4"/>
      </w:pPr>
      <w:r w:rsidRPr="00EA4C9B">
        <w:t>Conclusions, country-specific recommendations and reform progress</w:t>
      </w:r>
    </w:p>
    <w:p w14:paraId="12344497" w14:textId="0731359F" w:rsidR="00664BE6" w:rsidRPr="00EA4C9B" w:rsidRDefault="00664BE6" w:rsidP="00664BE6">
      <w:pPr>
        <w:spacing w:before="120" w:after="120"/>
      </w:pPr>
      <w:r w:rsidRPr="00EA4C9B">
        <w:t>Portugal’s environmental tax system is centralized, with minimal regional differentiation, ensuring uniform implementation across the country. While this structure supports consistency, it limits the flexibility to tailor fiscal measures to specific regional environmental challenges</w:t>
      </w:r>
      <w:r w:rsidRPr="00EA4C9B">
        <w:rPr>
          <w:rStyle w:val="FootnoteReference"/>
        </w:rPr>
        <w:footnoteReference w:id="715"/>
      </w:r>
      <w:r w:rsidRPr="00EA4C9B">
        <w:t>. Moreover, the Portuguese tax system is complex and the many preferential tax treatments blur the price signals (OECD, 2023). The reliance on indirect taxation may be insufficient in driving long-term sustainability, especially without complementary regulatory mechanisms or direct incentives for green investment</w:t>
      </w:r>
      <w:r w:rsidRPr="00EA4C9B">
        <w:rPr>
          <w:rStyle w:val="FootnoteReference"/>
        </w:rPr>
        <w:footnoteReference w:id="716"/>
      </w:r>
      <w:r w:rsidR="00496605">
        <w:rPr>
          <w:vertAlign w:val="superscript"/>
        </w:rPr>
        <w:t>,</w:t>
      </w:r>
      <w:r w:rsidRPr="00EA4C9B">
        <w:rPr>
          <w:rStyle w:val="FootnoteReference"/>
        </w:rPr>
        <w:footnoteReference w:id="717"/>
      </w:r>
      <w:r w:rsidRPr="00EA4C9B">
        <w:t>.</w:t>
      </w:r>
    </w:p>
    <w:p w14:paraId="7A38154A" w14:textId="77777777" w:rsidR="00664BE6" w:rsidRPr="00EA4C9B" w:rsidRDefault="00664BE6" w:rsidP="00664BE6">
      <w:pPr>
        <w:spacing w:before="120" w:after="120"/>
      </w:pPr>
      <w:r w:rsidRPr="00EA4C9B">
        <w:t>The 2025 European Semester report</w:t>
      </w:r>
      <w:r w:rsidRPr="00EA4C9B">
        <w:rPr>
          <w:rStyle w:val="FootnoteReference"/>
        </w:rPr>
        <w:footnoteReference w:id="718"/>
      </w:r>
      <w:r w:rsidRPr="00EA4C9B">
        <w:t xml:space="preserve"> reiterates concerns about Portugal’s over-reliance on energy taxes and insufficient use of pollution and resource-related instruments. It calls for reforms to better align the tax system with environmental targets and improve revenue stability.</w:t>
      </w:r>
    </w:p>
    <w:p w14:paraId="5495C02D" w14:textId="77777777" w:rsidR="00664BE6" w:rsidRPr="00EA4C9B" w:rsidRDefault="00664BE6" w:rsidP="00664BE6">
      <w:pPr>
        <w:spacing w:before="120" w:after="120"/>
      </w:pPr>
      <w:r w:rsidRPr="00EA4C9B">
        <w:t>Following the recommendation of the 2011 Environmental Performance Review, Portugal implemented a green tax reform in 2014, which was part of a broader fiscal consolidation effort required by the EU economic adjustment programme. Law No. 82-D/2014 introduced (1) a carbon tax in sectors outside the EU ETS, (2) increased the CO</w:t>
      </w:r>
      <w:r w:rsidRPr="00EA4C9B">
        <w:rPr>
          <w:vertAlign w:val="subscript"/>
        </w:rPr>
        <w:t>2</w:t>
      </w:r>
      <w:r w:rsidRPr="00EA4C9B">
        <w:t xml:space="preserve"> component of the registration tax, (3) granted property tax breaks for forest management, and as explained above (4) revised the taxation of water and waste management, and (5) introduced a tax on single-use lightweight plastic bags. </w:t>
      </w:r>
    </w:p>
    <w:p w14:paraId="0FFA67C6" w14:textId="77777777" w:rsidR="00664BE6" w:rsidRPr="00EA4C9B" w:rsidRDefault="00664BE6" w:rsidP="00664BE6">
      <w:pPr>
        <w:spacing w:before="120" w:after="120"/>
      </w:pPr>
      <w:r w:rsidRPr="00EA4C9B">
        <w:lastRenderedPageBreak/>
        <w:t>However, according to recent studies the impact of the reform has plateaued. Environmental tax revenues have not increased proportionately with environmental goals, and many instruments are not effectively internalising costs or changing behaviours</w:t>
      </w:r>
      <w:r w:rsidRPr="00EA4C9B">
        <w:rPr>
          <w:rStyle w:val="FootnoteReference"/>
        </w:rPr>
        <w:footnoteReference w:id="719"/>
      </w:r>
      <w:r w:rsidRPr="00EA4C9B">
        <w:t>.</w:t>
      </w:r>
    </w:p>
    <w:p w14:paraId="146BE036" w14:textId="77777777" w:rsidR="00664BE6" w:rsidRPr="00EA4C9B" w:rsidRDefault="00664BE6" w:rsidP="00664BE6">
      <w:pPr>
        <w:spacing w:before="120" w:after="120"/>
      </w:pPr>
      <w:r w:rsidRPr="00EA4C9B">
        <w:t>Thus, Portugal has gradually expanded its environmental tax base, with new levies on plastic waste, resource extraction, and water use. The economic burden of these taxes, particularly for lower-income households and resource-dependent industries, has led to calls for a more balanced approach. Future reforms will need to reconcile revenue generation with stronger environmental effectiveness, ensuring that taxation mechanisms align with long-term decarbonization and resource efficiency goals</w:t>
      </w:r>
      <w:r w:rsidRPr="00EA4C9B">
        <w:rPr>
          <w:rStyle w:val="FootnoteReference"/>
        </w:rPr>
        <w:footnoteReference w:id="720"/>
      </w:r>
      <w:r w:rsidRPr="00EA4C9B">
        <w:t xml:space="preserve">. Likewise, taxes on pollution and resource management raise little revenue (they represented barely 1% of revenue from environmentally related taxes in 2020, a low rate compared with the OECD Europe average of 5%). Revenue from taxes on pollution mainly comes from the water resources tax (parts related to discharge on effluents and land occupation; other components are considered as environmental charges) and the tax on non-reusable beverage packaging. Fees for hunting and fishery licence make up the bulk of revenue from resources taxes (OECD, 2023). There is also limited evidence that these fiscal measures have substantially altered consumption and production patterns. For example, the tax on single-use lightweight plastic bags has significantly reduced their use, and the taxes on water and waste management do not fully internalise environmental costs. </w:t>
      </w:r>
    </w:p>
    <w:p w14:paraId="098543D3" w14:textId="77777777" w:rsidR="00664BE6" w:rsidRPr="00D37755" w:rsidRDefault="00664BE6" w:rsidP="007C4EB7">
      <w:pPr>
        <w:pStyle w:val="AnnexHeading2"/>
      </w:pPr>
      <w:bookmarkStart w:id="287" w:name="_Toc214008936"/>
      <w:r w:rsidRPr="00D37755">
        <w:t>Potential for implementing additional environmental taxes</w:t>
      </w:r>
      <w:bookmarkEnd w:id="287"/>
    </w:p>
    <w:p w14:paraId="58879EB6" w14:textId="77777777" w:rsidR="00664BE6" w:rsidRPr="00EA4C9B" w:rsidRDefault="00664BE6" w:rsidP="00664BE6">
      <w:pPr>
        <w:pStyle w:val="NormalWeb"/>
        <w:spacing w:before="120" w:after="120"/>
        <w:jc w:val="both"/>
        <w:rPr>
          <w:rFonts w:asciiTheme="minorHAnsi" w:eastAsiaTheme="minorHAnsi" w:hAnsiTheme="minorHAnsi" w:cstheme="minorBidi"/>
          <w:sz w:val="22"/>
          <w:szCs w:val="22"/>
          <w:lang w:eastAsia="en-US"/>
        </w:rPr>
      </w:pPr>
      <w:r w:rsidRPr="00EA4C9B">
        <w:rPr>
          <w:rFonts w:asciiTheme="minorHAnsi" w:eastAsiaTheme="minorHAnsi" w:hAnsiTheme="minorHAnsi" w:cstheme="minorBidi"/>
          <w:sz w:val="22"/>
          <w:szCs w:val="22"/>
          <w:lang w:eastAsia="en-US"/>
        </w:rPr>
        <w:t xml:space="preserve">The country has made progress in integrating environmental issues into strategic documents and sectoral plans and has several mechanisms for horizontal co-operation. However, the country could improve its environmental performance by introducing additional environmental taxes (especially a separate tax for solid waste) and by reducing the tax advantages of fossil fuels. Despite that, the reform in Portugal would be quite different from other international experiences, since it is based almost solely on new instruments and, in addition, seems to reject the possibility of reducing social security contributions as a method of revenue-recycling (double-dividend). </w:t>
      </w:r>
    </w:p>
    <w:p w14:paraId="65E09AA2" w14:textId="77777777" w:rsidR="00664BE6" w:rsidRPr="00EA4C9B" w:rsidRDefault="00664BE6" w:rsidP="00664BE6">
      <w:pPr>
        <w:pStyle w:val="NormalWeb"/>
        <w:spacing w:before="120" w:after="120"/>
        <w:jc w:val="both"/>
        <w:rPr>
          <w:rFonts w:asciiTheme="minorHAnsi" w:eastAsiaTheme="minorHAnsi" w:hAnsiTheme="minorHAnsi" w:cstheme="minorBidi"/>
          <w:sz w:val="22"/>
          <w:szCs w:val="22"/>
          <w:lang w:eastAsia="en-US"/>
        </w:rPr>
      </w:pPr>
      <w:r w:rsidRPr="0DB99A64">
        <w:rPr>
          <w:rFonts w:asciiTheme="minorHAnsi" w:eastAsiaTheme="minorEastAsia" w:hAnsiTheme="minorHAnsi" w:cstheme="minorBidi"/>
          <w:sz w:val="22"/>
          <w:szCs w:val="22"/>
          <w:lang w:eastAsia="en-US"/>
        </w:rPr>
        <w:t xml:space="preserve">Campos Rodrigues (2022) points out some suggestions for a future reform of the </w:t>
      </w:r>
      <w:r w:rsidRPr="0DB99A64">
        <w:rPr>
          <w:rFonts w:asciiTheme="minorHAnsi" w:eastAsiaTheme="minorEastAsia" w:hAnsiTheme="minorHAnsi" w:cstheme="minorBidi"/>
          <w:b/>
          <w:sz w:val="22"/>
          <w:szCs w:val="22"/>
          <w:lang w:eastAsia="en-US"/>
        </w:rPr>
        <w:t>Water Resources Fee (TRH)</w:t>
      </w:r>
      <w:r w:rsidRPr="0DB99A64">
        <w:rPr>
          <w:rFonts w:asciiTheme="minorHAnsi" w:eastAsiaTheme="minorEastAsia" w:hAnsiTheme="minorHAnsi" w:cstheme="minorBidi"/>
          <w:sz w:val="22"/>
          <w:szCs w:val="22"/>
          <w:lang w:eastAsia="en-US"/>
        </w:rPr>
        <w:t>: (1) expand the use of the shortage coefficient of water resources in different water basins of the territory to other components; (2) integrate other environmental impacts, such as the retention of sediments, diffuse pollution, or the impact of thermal discharges; (3) assure the balance among sectors, reducing the burden for the public water supply; (4) evaluate the current approach of the instrument, where the value to be paid is often passed on to the final user, which does not have a direct role in the management of water resources; and (5) modify the base values so that they are not identical for all water areas within a river basin as these present differences in terms of water flows (Campos Rodrigues, 2022</w:t>
      </w:r>
      <w:r w:rsidRPr="0DB99A64">
        <w:rPr>
          <w:rStyle w:val="FootnoteReference"/>
          <w:rFonts w:asciiTheme="minorHAnsi" w:eastAsiaTheme="minorEastAsia" w:hAnsiTheme="minorHAnsi" w:cstheme="minorBidi"/>
          <w:sz w:val="22"/>
          <w:szCs w:val="22"/>
          <w:lang w:eastAsia="en-US"/>
        </w:rPr>
        <w:footnoteReference w:id="721"/>
      </w:r>
      <w:r w:rsidRPr="0DB99A64">
        <w:rPr>
          <w:rFonts w:asciiTheme="minorHAnsi" w:eastAsiaTheme="minorEastAsia" w:hAnsiTheme="minorHAnsi" w:cstheme="minorBidi"/>
          <w:sz w:val="22"/>
          <w:szCs w:val="22"/>
          <w:lang w:eastAsia="en-US"/>
        </w:rPr>
        <w:t xml:space="preserve">). OECD (2023) also suggests raising water abstraction charges for agriculture, strengthen capacity to monitor abstractions, enforce water licensing regulations and limit new abstraction permits in over-allocated basins. </w:t>
      </w:r>
    </w:p>
    <w:p w14:paraId="749935FB" w14:textId="77777777" w:rsidR="00664BE6" w:rsidRPr="00EA4C9B" w:rsidRDefault="00664BE6" w:rsidP="00664BE6">
      <w:pPr>
        <w:pStyle w:val="NormalWeb"/>
        <w:spacing w:before="120" w:after="120"/>
        <w:jc w:val="both"/>
        <w:rPr>
          <w:rFonts w:asciiTheme="minorHAnsi" w:eastAsiaTheme="minorHAnsi" w:hAnsiTheme="minorHAnsi" w:cstheme="minorBidi"/>
          <w:sz w:val="22"/>
          <w:szCs w:val="22"/>
          <w:lang w:eastAsia="en-US"/>
        </w:rPr>
      </w:pPr>
      <w:r w:rsidRPr="00EA4C9B">
        <w:rPr>
          <w:rFonts w:asciiTheme="minorHAnsi" w:eastAsiaTheme="minorHAnsi" w:hAnsiTheme="minorHAnsi" w:cstheme="minorBidi"/>
          <w:sz w:val="22"/>
          <w:szCs w:val="22"/>
          <w:lang w:eastAsia="en-US"/>
        </w:rPr>
        <w:t xml:space="preserve">In terms of </w:t>
      </w:r>
      <w:r w:rsidRPr="00EA4C9B">
        <w:rPr>
          <w:rFonts w:asciiTheme="minorHAnsi" w:eastAsiaTheme="minorHAnsi" w:hAnsiTheme="minorHAnsi" w:cstheme="minorBidi"/>
          <w:b/>
          <w:bCs/>
          <w:sz w:val="22"/>
          <w:szCs w:val="22"/>
          <w:lang w:eastAsia="en-US"/>
        </w:rPr>
        <w:t>waste charges</w:t>
      </w:r>
      <w:r w:rsidRPr="00EA4C9B">
        <w:rPr>
          <w:rFonts w:asciiTheme="minorHAnsi" w:eastAsiaTheme="minorHAnsi" w:hAnsiTheme="minorHAnsi" w:cstheme="minorBidi"/>
          <w:sz w:val="22"/>
          <w:szCs w:val="22"/>
          <w:lang w:eastAsia="en-US"/>
        </w:rPr>
        <w:t xml:space="preserve">, as of 2026, in line with the 2020 reform, these will no longer be indexed to water consumption but to the amounts of waste collected. Effective implementation of the user pays, </w:t>
      </w:r>
      <w:r w:rsidRPr="00EA4C9B">
        <w:rPr>
          <w:rFonts w:asciiTheme="minorHAnsi" w:eastAsiaTheme="minorHAnsi" w:hAnsiTheme="minorHAnsi" w:cstheme="minorBidi"/>
          <w:sz w:val="22"/>
          <w:szCs w:val="22"/>
          <w:lang w:eastAsia="en-US"/>
        </w:rPr>
        <w:lastRenderedPageBreak/>
        <w:t xml:space="preserve">and polluter pays principles will be key to achieve more ambitious environmental targets in the sector. This requires accelerating the passing on of municipal waste management costs to households through dedicated identifiable charges uncoupled from the water bill, as part of wider awareness-raising campaigns to move up the waste hierarchy; develop separate collection of waste (OECD, 2023). </w:t>
      </w:r>
    </w:p>
    <w:p w14:paraId="3FA7D7D0" w14:textId="347A375C" w:rsidR="00AF7142" w:rsidRPr="00EA4C9B" w:rsidRDefault="00AF7142" w:rsidP="00664BE6">
      <w:pPr>
        <w:pStyle w:val="NormalWeb"/>
        <w:spacing w:before="120" w:after="12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In 2023, the European Commission </w:t>
      </w:r>
      <w:r w:rsidR="008D69CC">
        <w:rPr>
          <w:rFonts w:asciiTheme="minorHAnsi" w:eastAsiaTheme="minorHAnsi" w:hAnsiTheme="minorHAnsi" w:cstheme="minorBidi"/>
          <w:sz w:val="22"/>
          <w:szCs w:val="22"/>
          <w:lang w:eastAsia="en-US"/>
        </w:rPr>
        <w:t xml:space="preserve">underlined the </w:t>
      </w:r>
      <w:r w:rsidR="001F044C">
        <w:rPr>
          <w:rFonts w:asciiTheme="minorHAnsi" w:eastAsiaTheme="minorHAnsi" w:hAnsiTheme="minorHAnsi" w:cstheme="minorBidi"/>
          <w:sz w:val="22"/>
          <w:szCs w:val="22"/>
          <w:lang w:eastAsia="en-US"/>
        </w:rPr>
        <w:t>need to s</w:t>
      </w:r>
      <w:r w:rsidR="001F044C" w:rsidRPr="001F044C">
        <w:rPr>
          <w:rFonts w:asciiTheme="minorHAnsi" w:eastAsiaTheme="minorHAnsi" w:hAnsiTheme="minorHAnsi" w:cstheme="minorBidi"/>
          <w:sz w:val="22"/>
          <w:szCs w:val="22"/>
          <w:lang w:eastAsia="en-US"/>
        </w:rPr>
        <w:t>trengthen economic instruments by</w:t>
      </w:r>
      <w:r w:rsidR="001F044C">
        <w:rPr>
          <w:rFonts w:asciiTheme="minorHAnsi" w:eastAsiaTheme="minorHAnsi" w:hAnsiTheme="minorHAnsi" w:cstheme="minorBidi"/>
          <w:sz w:val="22"/>
          <w:szCs w:val="22"/>
          <w:lang w:eastAsia="en-US"/>
        </w:rPr>
        <w:t>, for example,</w:t>
      </w:r>
      <w:r w:rsidR="001F044C" w:rsidRPr="001F044C">
        <w:rPr>
          <w:rFonts w:asciiTheme="minorHAnsi" w:eastAsiaTheme="minorHAnsi" w:hAnsiTheme="minorHAnsi" w:cstheme="minorBidi"/>
          <w:sz w:val="22"/>
          <w:szCs w:val="22"/>
          <w:lang w:eastAsia="en-US"/>
        </w:rPr>
        <w:t xml:space="preserve"> introducing mandatory pay-as-you-throw systems, establishing a deposit-refund scheme, extending producer responsibility to non-household waste, and raising the landfill tax</w:t>
      </w:r>
      <w:r w:rsidR="004C0620">
        <w:rPr>
          <w:rStyle w:val="FootnoteReference"/>
          <w:rFonts w:asciiTheme="minorHAnsi" w:eastAsiaTheme="minorHAnsi" w:hAnsiTheme="minorHAnsi" w:cstheme="minorBidi"/>
          <w:sz w:val="22"/>
          <w:szCs w:val="22"/>
          <w:lang w:eastAsia="en-US"/>
        </w:rPr>
        <w:footnoteReference w:id="722"/>
      </w:r>
      <w:r w:rsidR="004C0620">
        <w:rPr>
          <w:rFonts w:asciiTheme="minorHAnsi" w:eastAsiaTheme="minorHAnsi" w:hAnsiTheme="minorHAnsi" w:cstheme="minorBidi"/>
          <w:sz w:val="22"/>
          <w:szCs w:val="22"/>
          <w:lang w:eastAsia="en-US"/>
        </w:rPr>
        <w:t>.</w:t>
      </w:r>
    </w:p>
    <w:p w14:paraId="34B8C510" w14:textId="77777777" w:rsidR="00664BE6" w:rsidRPr="00BF7673" w:rsidRDefault="00664BE6" w:rsidP="007C4EB7">
      <w:pPr>
        <w:pStyle w:val="AnnexHeading2"/>
      </w:pPr>
      <w:bookmarkStart w:id="288" w:name="_Toc214008937"/>
      <w:r w:rsidRPr="00BF7673">
        <w:t>Impacts and feasibility of implementing new environmental taxes</w:t>
      </w:r>
      <w:bookmarkEnd w:id="288"/>
    </w:p>
    <w:p w14:paraId="246D308B" w14:textId="518A6372" w:rsidR="004A4F82" w:rsidRDefault="004A4F82" w:rsidP="004A4F82">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2E58D6B5" w14:textId="7EBAA181" w:rsidR="00A10A55" w:rsidRPr="00A10A55" w:rsidRDefault="00A10A55" w:rsidP="00A10A55">
      <w:r w:rsidRPr="00A10A55">
        <w:t>Portugal’s environmental tax framework is relatively developed compared to many EU Member States, with a well-established carbon tax, energy excises, and a series of sectoral levies under the “Green Tax Reform” (2014). However, non-energy environmental taxes</w:t>
      </w:r>
      <w:r>
        <w:t xml:space="preserve">, </w:t>
      </w:r>
      <w:r w:rsidRPr="00A10A55">
        <w:t>covering pollution, waste, and resource use</w:t>
      </w:r>
      <w:r>
        <w:t xml:space="preserve">, </w:t>
      </w:r>
      <w:r w:rsidRPr="00A10A55">
        <w:t>remain underutilised and unevenly applied. The modelling results suggest that implementing the benchmarked taxes would yield substantial environmental benefits and significant fiscal gains, with relatively low macroeconomic disruption. Under Scenario A, Portugal is among the countries with the highest potential percentage increase in resource and pollution tax revenues, driven mainly by water abstraction, wastewater effluent and landfill taxation. Scenario B, with lower benchmark rates, produces smaller yet still meaningful improvements.</w:t>
      </w:r>
    </w:p>
    <w:p w14:paraId="79FCD128" w14:textId="67F34830" w:rsidR="00A10A55" w:rsidRDefault="00A10A55" w:rsidP="00A10A55">
      <w:pPr>
        <w:rPr>
          <w:lang w:eastAsia="en-GB"/>
        </w:rPr>
      </w:pPr>
      <w:r>
        <w:rPr>
          <w:lang w:eastAsia="en-GB"/>
        </w:rPr>
        <w:t xml:space="preserve">Total revenues from the </w:t>
      </w:r>
      <w:r w:rsidR="00185A09">
        <w:t>investigated</w:t>
      </w:r>
      <w:r>
        <w:rPr>
          <w:lang w:eastAsia="en-GB"/>
        </w:rPr>
        <w:t xml:space="preserve"> taxes could rise by around €2 billion in 2030 and €135 million in 2035, which is nearly 20 times the revenues for pollution and resource taxes in 2023.  The greatest gains are from water abstraction which around for more than half the gain, followed by water effluent, which makes up over a third of the gains.  The rest all make some contributions. Reductions in emissions or materials are notable for waste to landfill, water abstraction, SO2 emissions, pesticides, PM2.5 and water effluent. Waste to landfill falls by 30%, water effluent by 17% and water abstraction by 28%, Pesticide use declines by 25%, and fertilizer use by 18%.  Mineral extraction falls by 6%. </w:t>
      </w:r>
    </w:p>
    <w:tbl>
      <w:tblPr>
        <w:tblStyle w:val="Lentelstinklelis1"/>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1113"/>
        <w:gridCol w:w="1113"/>
        <w:gridCol w:w="1028"/>
        <w:gridCol w:w="1205"/>
        <w:gridCol w:w="1098"/>
        <w:gridCol w:w="1274"/>
      </w:tblGrid>
      <w:tr w:rsidR="00A10A55" w:rsidRPr="00F501DA" w14:paraId="1C7700BD" w14:textId="77777777" w:rsidTr="00245941">
        <w:trPr>
          <w:trHeight w:val="263"/>
          <w:tblHeader/>
        </w:trPr>
        <w:tc>
          <w:tcPr>
            <w:tcW w:w="9024" w:type="dxa"/>
            <w:gridSpan w:val="7"/>
            <w:shd w:val="clear" w:color="auto" w:fill="003399"/>
          </w:tcPr>
          <w:p w14:paraId="72F0D70D" w14:textId="10B96E92" w:rsidR="00A10A55" w:rsidRPr="00997633" w:rsidRDefault="00A10A55" w:rsidP="000878F6">
            <w:pPr>
              <w:pStyle w:val="Table"/>
              <w:rPr>
                <w:b/>
                <w:color w:val="FFFFFF" w:themeColor="background1"/>
                <w:lang w:eastAsia="en-GB"/>
              </w:rPr>
            </w:pPr>
            <w:r w:rsidRPr="00997633">
              <w:rPr>
                <w:b/>
                <w:color w:val="FFFFFF" w:themeColor="background1"/>
              </w:rPr>
              <w:t xml:space="preserve">Table </w:t>
            </w:r>
            <w:r w:rsidR="00490085">
              <w:rPr>
                <w:b/>
                <w:bCs/>
                <w:color w:val="FFFFFF" w:themeColor="background1"/>
              </w:rPr>
              <w:t>A6</w:t>
            </w:r>
            <w:r w:rsidRPr="00997633">
              <w:rPr>
                <w:b/>
                <w:bCs/>
                <w:color w:val="FFFFFF" w:themeColor="background1"/>
              </w:rPr>
              <w:t>-</w:t>
            </w:r>
            <w:r w:rsidRPr="00997633">
              <w:rPr>
                <w:b/>
                <w:bCs/>
                <w:color w:val="FFFFFF" w:themeColor="background1"/>
              </w:rPr>
              <w:fldChar w:fldCharType="begin"/>
            </w:r>
            <w:r w:rsidRPr="00997633">
              <w:rPr>
                <w:b/>
                <w:bCs/>
                <w:color w:val="FFFFFF" w:themeColor="background1"/>
              </w:rPr>
              <w:instrText xml:space="preserve"> SEQ Table_A5- \* ARABIC </w:instrText>
            </w:r>
            <w:r w:rsidRPr="00997633">
              <w:rPr>
                <w:b/>
                <w:bCs/>
                <w:color w:val="FFFFFF" w:themeColor="background1"/>
              </w:rPr>
              <w:fldChar w:fldCharType="separate"/>
            </w:r>
            <w:r>
              <w:rPr>
                <w:b/>
                <w:bCs/>
                <w:noProof/>
                <w:color w:val="FFFFFF" w:themeColor="background1"/>
              </w:rPr>
              <w:t>112</w:t>
            </w:r>
            <w:r w:rsidRPr="00997633">
              <w:rPr>
                <w:b/>
                <w:bCs/>
                <w:color w:val="FFFFFF" w:themeColor="background1"/>
              </w:rPr>
              <w:fldChar w:fldCharType="end"/>
            </w:r>
            <w:r w:rsidRPr="00997633">
              <w:rPr>
                <w:b/>
                <w:bCs/>
                <w:color w:val="FFFFFF" w:themeColor="background1"/>
                <w:lang w:eastAsia="en-GB"/>
              </w:rPr>
              <w:t>:</w:t>
            </w:r>
            <w:r w:rsidRPr="00997633">
              <w:rPr>
                <w:b/>
                <w:color w:val="FFFFFF" w:themeColor="background1"/>
                <w:lang w:eastAsia="en-GB"/>
              </w:rPr>
              <w:t xml:space="preserve"> Environmental Impacts and Revenue Changes in Portugal</w:t>
            </w:r>
            <w:r>
              <w:rPr>
                <w:b/>
                <w:color w:val="FFFFFF" w:themeColor="background1"/>
                <w:lang w:eastAsia="en-GB"/>
              </w:rPr>
              <w:t xml:space="preserve"> – Scenario A</w:t>
            </w:r>
          </w:p>
        </w:tc>
      </w:tr>
      <w:tr w:rsidR="00A10A55" w:rsidRPr="00F501DA" w14:paraId="0A36BD41" w14:textId="77777777" w:rsidTr="00245941">
        <w:trPr>
          <w:trHeight w:val="503"/>
          <w:tblHeader/>
        </w:trPr>
        <w:tc>
          <w:tcPr>
            <w:tcW w:w="2193" w:type="dxa"/>
          </w:tcPr>
          <w:p w14:paraId="1C64259C" w14:textId="77777777" w:rsidR="00A10A55" w:rsidRPr="00997633" w:rsidRDefault="00A10A55" w:rsidP="000878F6">
            <w:pPr>
              <w:pStyle w:val="Table"/>
              <w:rPr>
                <w:b/>
              </w:rPr>
            </w:pPr>
            <w:r w:rsidRPr="00997633">
              <w:rPr>
                <w:b/>
              </w:rPr>
              <w:t>Tax Name</w:t>
            </w:r>
          </w:p>
        </w:tc>
        <w:tc>
          <w:tcPr>
            <w:tcW w:w="2226" w:type="dxa"/>
            <w:gridSpan w:val="2"/>
            <w:vAlign w:val="bottom"/>
          </w:tcPr>
          <w:p w14:paraId="49038812" w14:textId="77777777" w:rsidR="00A10A55" w:rsidRPr="00AA5F0D" w:rsidRDefault="00A10A55" w:rsidP="000878F6">
            <w:pPr>
              <w:pStyle w:val="Table"/>
              <w:jc w:val="center"/>
              <w:rPr>
                <w:b/>
                <w:szCs w:val="20"/>
              </w:rPr>
            </w:pPr>
            <w:r w:rsidRPr="00AA5F0D">
              <w:rPr>
                <w:rFonts w:ascii="Calibri" w:hAnsi="Calibri" w:cs="Calibri"/>
                <w:b/>
                <w:bCs/>
                <w:color w:val="000000"/>
                <w:szCs w:val="20"/>
              </w:rPr>
              <w:t>% Change in Quantities as % of taxed sector</w:t>
            </w:r>
          </w:p>
        </w:tc>
        <w:tc>
          <w:tcPr>
            <w:tcW w:w="2233" w:type="dxa"/>
            <w:gridSpan w:val="2"/>
            <w:vAlign w:val="bottom"/>
          </w:tcPr>
          <w:p w14:paraId="2787EF6F" w14:textId="77777777" w:rsidR="00A10A55" w:rsidRPr="00AA5F0D" w:rsidRDefault="00A10A55" w:rsidP="000878F6">
            <w:pPr>
              <w:pStyle w:val="Table"/>
              <w:jc w:val="center"/>
              <w:rPr>
                <w:b/>
                <w:szCs w:val="20"/>
              </w:rPr>
            </w:pPr>
            <w:r w:rsidRPr="00AA5F0D">
              <w:rPr>
                <w:rFonts w:ascii="Calibri" w:hAnsi="Calibri" w:cs="Calibri"/>
                <w:b/>
                <w:bCs/>
                <w:color w:val="000000"/>
                <w:szCs w:val="20"/>
              </w:rPr>
              <w:t>Change in Revenues (€Mn)</w:t>
            </w:r>
          </w:p>
        </w:tc>
        <w:tc>
          <w:tcPr>
            <w:tcW w:w="2372" w:type="dxa"/>
            <w:gridSpan w:val="2"/>
            <w:vAlign w:val="bottom"/>
          </w:tcPr>
          <w:p w14:paraId="24F94773" w14:textId="77777777" w:rsidR="00A10A55" w:rsidRPr="00AA5F0D" w:rsidRDefault="00A10A55" w:rsidP="000878F6">
            <w:pPr>
              <w:pStyle w:val="Table"/>
              <w:jc w:val="center"/>
              <w:rPr>
                <w:b/>
                <w:szCs w:val="20"/>
              </w:rPr>
            </w:pPr>
            <w:r w:rsidRPr="00AA5F0D">
              <w:rPr>
                <w:rFonts w:ascii="Calibri" w:hAnsi="Calibri" w:cs="Calibri"/>
                <w:b/>
                <w:bCs/>
                <w:color w:val="000000"/>
                <w:szCs w:val="20"/>
              </w:rPr>
              <w:t>As % of 2023 Resource Tax</w:t>
            </w:r>
          </w:p>
        </w:tc>
      </w:tr>
      <w:tr w:rsidR="00A10A55" w:rsidRPr="00022C08" w14:paraId="3E1FEA33" w14:textId="77777777" w:rsidTr="00245941">
        <w:trPr>
          <w:trHeight w:val="242"/>
          <w:tblHeader/>
        </w:trPr>
        <w:tc>
          <w:tcPr>
            <w:tcW w:w="2193" w:type="dxa"/>
          </w:tcPr>
          <w:p w14:paraId="71071C1C" w14:textId="77777777" w:rsidR="00A10A55" w:rsidRPr="00F2033A" w:rsidRDefault="00A10A55" w:rsidP="000878F6">
            <w:pPr>
              <w:pStyle w:val="Table"/>
              <w:jc w:val="left"/>
              <w:rPr>
                <w:b/>
              </w:rPr>
            </w:pPr>
            <w:r w:rsidRPr="00F2033A">
              <w:rPr>
                <w:b/>
              </w:rPr>
              <w:t>Year</w:t>
            </w:r>
          </w:p>
        </w:tc>
        <w:tc>
          <w:tcPr>
            <w:tcW w:w="1113" w:type="dxa"/>
          </w:tcPr>
          <w:p w14:paraId="38CE5289" w14:textId="77777777" w:rsidR="00A10A55" w:rsidRPr="00AA5F0D" w:rsidRDefault="00A10A55" w:rsidP="000878F6">
            <w:pPr>
              <w:pStyle w:val="Table"/>
              <w:jc w:val="center"/>
              <w:rPr>
                <w:b/>
                <w:szCs w:val="20"/>
              </w:rPr>
            </w:pPr>
            <w:r w:rsidRPr="00AA5F0D">
              <w:rPr>
                <w:b/>
                <w:szCs w:val="20"/>
              </w:rPr>
              <w:t>2030</w:t>
            </w:r>
          </w:p>
        </w:tc>
        <w:tc>
          <w:tcPr>
            <w:tcW w:w="1113" w:type="dxa"/>
          </w:tcPr>
          <w:p w14:paraId="5E412F0E" w14:textId="77777777" w:rsidR="00A10A55" w:rsidRPr="00AA5F0D" w:rsidRDefault="00A10A55" w:rsidP="000878F6">
            <w:pPr>
              <w:pStyle w:val="Table"/>
              <w:jc w:val="center"/>
              <w:rPr>
                <w:b/>
                <w:szCs w:val="20"/>
              </w:rPr>
            </w:pPr>
            <w:r w:rsidRPr="00AA5F0D">
              <w:rPr>
                <w:b/>
                <w:szCs w:val="20"/>
              </w:rPr>
              <w:t>2035</w:t>
            </w:r>
          </w:p>
        </w:tc>
        <w:tc>
          <w:tcPr>
            <w:tcW w:w="1028" w:type="dxa"/>
          </w:tcPr>
          <w:p w14:paraId="05B70B66" w14:textId="77777777" w:rsidR="00A10A55" w:rsidRPr="00AA5F0D" w:rsidRDefault="00A10A55" w:rsidP="000878F6">
            <w:pPr>
              <w:pStyle w:val="Table"/>
              <w:jc w:val="center"/>
              <w:rPr>
                <w:b/>
                <w:szCs w:val="20"/>
              </w:rPr>
            </w:pPr>
            <w:r w:rsidRPr="00AA5F0D">
              <w:rPr>
                <w:b/>
                <w:szCs w:val="20"/>
              </w:rPr>
              <w:t>2030</w:t>
            </w:r>
          </w:p>
        </w:tc>
        <w:tc>
          <w:tcPr>
            <w:tcW w:w="1205" w:type="dxa"/>
          </w:tcPr>
          <w:p w14:paraId="5A3CFD54" w14:textId="77777777" w:rsidR="00A10A55" w:rsidRPr="00AA5F0D" w:rsidRDefault="00A10A55" w:rsidP="000878F6">
            <w:pPr>
              <w:pStyle w:val="Table"/>
              <w:jc w:val="center"/>
              <w:rPr>
                <w:b/>
                <w:szCs w:val="20"/>
              </w:rPr>
            </w:pPr>
            <w:r w:rsidRPr="00AA5F0D">
              <w:rPr>
                <w:b/>
                <w:szCs w:val="20"/>
              </w:rPr>
              <w:t>2035</w:t>
            </w:r>
          </w:p>
        </w:tc>
        <w:tc>
          <w:tcPr>
            <w:tcW w:w="1098" w:type="dxa"/>
          </w:tcPr>
          <w:p w14:paraId="70CF5EF9" w14:textId="77777777" w:rsidR="00A10A55" w:rsidRPr="00AA5F0D" w:rsidRDefault="00A10A55" w:rsidP="000878F6">
            <w:pPr>
              <w:pStyle w:val="Table"/>
              <w:jc w:val="center"/>
              <w:rPr>
                <w:b/>
                <w:szCs w:val="20"/>
              </w:rPr>
            </w:pPr>
            <w:r w:rsidRPr="00AA5F0D">
              <w:rPr>
                <w:b/>
                <w:szCs w:val="20"/>
              </w:rPr>
              <w:t>2030</w:t>
            </w:r>
          </w:p>
        </w:tc>
        <w:tc>
          <w:tcPr>
            <w:tcW w:w="1274" w:type="dxa"/>
          </w:tcPr>
          <w:p w14:paraId="5E7B6008" w14:textId="77777777" w:rsidR="00A10A55" w:rsidRPr="00AA5F0D" w:rsidRDefault="00A10A55" w:rsidP="000878F6">
            <w:pPr>
              <w:pStyle w:val="Table"/>
              <w:jc w:val="center"/>
              <w:rPr>
                <w:b/>
                <w:szCs w:val="20"/>
              </w:rPr>
            </w:pPr>
            <w:r w:rsidRPr="00AA5F0D">
              <w:rPr>
                <w:b/>
                <w:szCs w:val="20"/>
              </w:rPr>
              <w:t>2035</w:t>
            </w:r>
          </w:p>
        </w:tc>
      </w:tr>
      <w:tr w:rsidR="00A10A55" w:rsidRPr="00022C08" w14:paraId="22F04B6C" w14:textId="77777777" w:rsidTr="00BA7936">
        <w:trPr>
          <w:trHeight w:val="242"/>
        </w:trPr>
        <w:tc>
          <w:tcPr>
            <w:tcW w:w="2193" w:type="dxa"/>
          </w:tcPr>
          <w:p w14:paraId="69687174" w14:textId="77777777" w:rsidR="00A10A55" w:rsidRPr="00F501DA" w:rsidRDefault="00A10A55" w:rsidP="000878F6">
            <w:pPr>
              <w:pStyle w:val="Table"/>
            </w:pPr>
            <w:r w:rsidRPr="00F501DA">
              <w:t>NOx</w:t>
            </w:r>
          </w:p>
        </w:tc>
        <w:tc>
          <w:tcPr>
            <w:tcW w:w="1113" w:type="dxa"/>
            <w:vAlign w:val="center"/>
          </w:tcPr>
          <w:p w14:paraId="66D5618E" w14:textId="77777777" w:rsidR="00A10A55" w:rsidRPr="00AA5F0D" w:rsidRDefault="00A10A55" w:rsidP="000878F6">
            <w:pPr>
              <w:pStyle w:val="Table"/>
              <w:jc w:val="center"/>
              <w:rPr>
                <w:szCs w:val="20"/>
              </w:rPr>
            </w:pPr>
            <w:r w:rsidRPr="00AA5F0D">
              <w:rPr>
                <w:rFonts w:ascii="Calibri" w:hAnsi="Calibri" w:cs="Calibri"/>
                <w:color w:val="000000"/>
                <w:szCs w:val="20"/>
              </w:rPr>
              <w:t>-28,57%</w:t>
            </w:r>
          </w:p>
        </w:tc>
        <w:tc>
          <w:tcPr>
            <w:tcW w:w="1113" w:type="dxa"/>
            <w:vAlign w:val="center"/>
          </w:tcPr>
          <w:p w14:paraId="230C6C70" w14:textId="77777777" w:rsidR="00A10A55" w:rsidRPr="00AA5F0D" w:rsidRDefault="00A10A55" w:rsidP="000878F6">
            <w:pPr>
              <w:pStyle w:val="Table"/>
              <w:jc w:val="center"/>
              <w:rPr>
                <w:szCs w:val="20"/>
              </w:rPr>
            </w:pPr>
            <w:r w:rsidRPr="00AA5F0D">
              <w:rPr>
                <w:rFonts w:ascii="Calibri" w:hAnsi="Calibri" w:cs="Calibri"/>
                <w:color w:val="000000"/>
                <w:szCs w:val="20"/>
              </w:rPr>
              <w:t>-28,57%</w:t>
            </w:r>
          </w:p>
        </w:tc>
        <w:tc>
          <w:tcPr>
            <w:tcW w:w="1028" w:type="dxa"/>
            <w:vAlign w:val="center"/>
          </w:tcPr>
          <w:p w14:paraId="2EA8D516" w14:textId="77777777" w:rsidR="00A10A55" w:rsidRPr="00AA5F0D" w:rsidRDefault="00A10A55" w:rsidP="000878F6">
            <w:pPr>
              <w:pStyle w:val="Table"/>
              <w:jc w:val="center"/>
              <w:rPr>
                <w:szCs w:val="20"/>
              </w:rPr>
            </w:pPr>
            <w:r w:rsidRPr="00AA5F0D">
              <w:rPr>
                <w:rFonts w:ascii="Calibri" w:hAnsi="Calibri" w:cs="Calibri"/>
                <w:color w:val="000000"/>
                <w:szCs w:val="20"/>
              </w:rPr>
              <w:t>2,91</w:t>
            </w:r>
          </w:p>
        </w:tc>
        <w:tc>
          <w:tcPr>
            <w:tcW w:w="1205" w:type="dxa"/>
            <w:vAlign w:val="center"/>
          </w:tcPr>
          <w:p w14:paraId="1E038303" w14:textId="77777777" w:rsidR="00A10A55" w:rsidRPr="00AA5F0D" w:rsidRDefault="00A10A55" w:rsidP="000878F6">
            <w:pPr>
              <w:pStyle w:val="Table"/>
              <w:jc w:val="center"/>
              <w:rPr>
                <w:szCs w:val="20"/>
              </w:rPr>
            </w:pPr>
            <w:r w:rsidRPr="00AA5F0D">
              <w:rPr>
                <w:rFonts w:ascii="Calibri" w:hAnsi="Calibri" w:cs="Calibri"/>
                <w:color w:val="000000"/>
                <w:szCs w:val="20"/>
              </w:rPr>
              <w:t>2,64</w:t>
            </w:r>
          </w:p>
        </w:tc>
        <w:tc>
          <w:tcPr>
            <w:tcW w:w="1098" w:type="dxa"/>
            <w:vAlign w:val="center"/>
          </w:tcPr>
          <w:p w14:paraId="07C5D1A6" w14:textId="77777777" w:rsidR="00A10A55" w:rsidRPr="00AA5F0D" w:rsidRDefault="00A10A55" w:rsidP="000878F6">
            <w:pPr>
              <w:pStyle w:val="Table"/>
              <w:jc w:val="center"/>
              <w:rPr>
                <w:szCs w:val="20"/>
              </w:rPr>
            </w:pPr>
            <w:r w:rsidRPr="00AA5F0D">
              <w:rPr>
                <w:rFonts w:ascii="Calibri" w:hAnsi="Calibri" w:cs="Calibri"/>
                <w:color w:val="000000"/>
                <w:szCs w:val="20"/>
              </w:rPr>
              <w:t>3,69%</w:t>
            </w:r>
          </w:p>
        </w:tc>
        <w:tc>
          <w:tcPr>
            <w:tcW w:w="1274" w:type="dxa"/>
            <w:vAlign w:val="center"/>
          </w:tcPr>
          <w:p w14:paraId="4B0892B0" w14:textId="77777777" w:rsidR="00A10A55" w:rsidRPr="00AA5F0D" w:rsidRDefault="00A10A55" w:rsidP="000878F6">
            <w:pPr>
              <w:pStyle w:val="Table"/>
              <w:jc w:val="center"/>
              <w:rPr>
                <w:szCs w:val="20"/>
              </w:rPr>
            </w:pPr>
            <w:r w:rsidRPr="00AA5F0D">
              <w:rPr>
                <w:rFonts w:ascii="Calibri" w:hAnsi="Calibri" w:cs="Calibri"/>
                <w:color w:val="000000"/>
                <w:szCs w:val="20"/>
              </w:rPr>
              <w:t>3,34%</w:t>
            </w:r>
          </w:p>
        </w:tc>
      </w:tr>
      <w:tr w:rsidR="00A10A55" w:rsidRPr="00022C08" w14:paraId="353488C1" w14:textId="77777777" w:rsidTr="00BA7936">
        <w:trPr>
          <w:trHeight w:val="242"/>
        </w:trPr>
        <w:tc>
          <w:tcPr>
            <w:tcW w:w="2193" w:type="dxa"/>
          </w:tcPr>
          <w:p w14:paraId="778A2DC5" w14:textId="77777777" w:rsidR="00A10A55" w:rsidRPr="00F501DA" w:rsidRDefault="00A10A55" w:rsidP="000878F6">
            <w:pPr>
              <w:pStyle w:val="Table"/>
            </w:pPr>
            <w:r w:rsidRPr="00F501DA">
              <w:t>SO2</w:t>
            </w:r>
          </w:p>
        </w:tc>
        <w:tc>
          <w:tcPr>
            <w:tcW w:w="1113" w:type="dxa"/>
            <w:vAlign w:val="center"/>
          </w:tcPr>
          <w:p w14:paraId="0B0ADFF9" w14:textId="77777777" w:rsidR="00A10A55" w:rsidRPr="00AA5F0D" w:rsidRDefault="00A10A55" w:rsidP="000878F6">
            <w:pPr>
              <w:pStyle w:val="Table"/>
              <w:jc w:val="center"/>
              <w:rPr>
                <w:szCs w:val="20"/>
              </w:rPr>
            </w:pPr>
            <w:r w:rsidRPr="00AA5F0D">
              <w:rPr>
                <w:rFonts w:ascii="Calibri" w:hAnsi="Calibri" w:cs="Calibri"/>
                <w:color w:val="000000"/>
                <w:szCs w:val="20"/>
              </w:rPr>
              <w:t>-32,43%</w:t>
            </w:r>
          </w:p>
        </w:tc>
        <w:tc>
          <w:tcPr>
            <w:tcW w:w="1113" w:type="dxa"/>
            <w:vAlign w:val="center"/>
          </w:tcPr>
          <w:p w14:paraId="3B3EFB3F" w14:textId="77777777" w:rsidR="00A10A55" w:rsidRPr="00AA5F0D" w:rsidRDefault="00A10A55" w:rsidP="000878F6">
            <w:pPr>
              <w:pStyle w:val="Table"/>
              <w:jc w:val="center"/>
              <w:rPr>
                <w:szCs w:val="20"/>
              </w:rPr>
            </w:pPr>
            <w:r w:rsidRPr="00AA5F0D">
              <w:rPr>
                <w:rFonts w:ascii="Calibri" w:hAnsi="Calibri" w:cs="Calibri"/>
                <w:color w:val="000000"/>
                <w:szCs w:val="20"/>
              </w:rPr>
              <w:t>-32,43%</w:t>
            </w:r>
          </w:p>
        </w:tc>
        <w:tc>
          <w:tcPr>
            <w:tcW w:w="1028" w:type="dxa"/>
            <w:vAlign w:val="center"/>
          </w:tcPr>
          <w:p w14:paraId="7A3964AB" w14:textId="77777777" w:rsidR="00A10A55" w:rsidRPr="00AA5F0D" w:rsidRDefault="00A10A55" w:rsidP="000878F6">
            <w:pPr>
              <w:pStyle w:val="Table"/>
              <w:jc w:val="center"/>
              <w:rPr>
                <w:szCs w:val="20"/>
              </w:rPr>
            </w:pPr>
            <w:r w:rsidRPr="00AA5F0D">
              <w:rPr>
                <w:rFonts w:ascii="Calibri" w:hAnsi="Calibri" w:cs="Calibri"/>
                <w:color w:val="000000"/>
                <w:szCs w:val="20"/>
              </w:rPr>
              <w:t>23,32</w:t>
            </w:r>
          </w:p>
        </w:tc>
        <w:tc>
          <w:tcPr>
            <w:tcW w:w="1205" w:type="dxa"/>
            <w:vAlign w:val="center"/>
          </w:tcPr>
          <w:p w14:paraId="06D7EA96" w14:textId="77777777" w:rsidR="00A10A55" w:rsidRPr="00AA5F0D" w:rsidRDefault="00A10A55" w:rsidP="000878F6">
            <w:pPr>
              <w:pStyle w:val="Table"/>
              <w:jc w:val="center"/>
              <w:rPr>
                <w:szCs w:val="20"/>
              </w:rPr>
            </w:pPr>
            <w:r w:rsidRPr="00AA5F0D">
              <w:rPr>
                <w:rFonts w:ascii="Calibri" w:hAnsi="Calibri" w:cs="Calibri"/>
                <w:color w:val="000000"/>
                <w:szCs w:val="20"/>
              </w:rPr>
              <w:t>18,62</w:t>
            </w:r>
          </w:p>
        </w:tc>
        <w:tc>
          <w:tcPr>
            <w:tcW w:w="1098" w:type="dxa"/>
            <w:vAlign w:val="center"/>
          </w:tcPr>
          <w:p w14:paraId="244F36B7" w14:textId="77777777" w:rsidR="00A10A55" w:rsidRPr="00AA5F0D" w:rsidRDefault="00A10A55" w:rsidP="000878F6">
            <w:pPr>
              <w:pStyle w:val="Table"/>
              <w:jc w:val="center"/>
              <w:rPr>
                <w:szCs w:val="20"/>
              </w:rPr>
            </w:pPr>
            <w:r w:rsidRPr="00AA5F0D">
              <w:rPr>
                <w:rFonts w:ascii="Calibri" w:hAnsi="Calibri" w:cs="Calibri"/>
                <w:color w:val="000000"/>
                <w:szCs w:val="20"/>
              </w:rPr>
              <w:t>29,54%</w:t>
            </w:r>
          </w:p>
        </w:tc>
        <w:tc>
          <w:tcPr>
            <w:tcW w:w="1274" w:type="dxa"/>
            <w:vAlign w:val="center"/>
          </w:tcPr>
          <w:p w14:paraId="0DF2C321" w14:textId="77777777" w:rsidR="00A10A55" w:rsidRPr="00AA5F0D" w:rsidRDefault="00A10A55" w:rsidP="000878F6">
            <w:pPr>
              <w:pStyle w:val="Table"/>
              <w:jc w:val="center"/>
              <w:rPr>
                <w:szCs w:val="20"/>
              </w:rPr>
            </w:pPr>
            <w:r w:rsidRPr="00AA5F0D">
              <w:rPr>
                <w:rFonts w:ascii="Calibri" w:hAnsi="Calibri" w:cs="Calibri"/>
                <w:color w:val="000000"/>
                <w:szCs w:val="20"/>
              </w:rPr>
              <w:t>23,59%</w:t>
            </w:r>
          </w:p>
        </w:tc>
      </w:tr>
      <w:tr w:rsidR="00A10A55" w:rsidRPr="00022C08" w14:paraId="76F3AA1B" w14:textId="77777777" w:rsidTr="00BA7936">
        <w:trPr>
          <w:trHeight w:val="242"/>
        </w:trPr>
        <w:tc>
          <w:tcPr>
            <w:tcW w:w="2193" w:type="dxa"/>
          </w:tcPr>
          <w:p w14:paraId="3B6F1DB2" w14:textId="77777777" w:rsidR="00A10A55" w:rsidRPr="00F501DA" w:rsidRDefault="00A10A55" w:rsidP="000878F6">
            <w:pPr>
              <w:pStyle w:val="Table"/>
            </w:pPr>
            <w:r w:rsidRPr="00F501DA">
              <w:t>PM2.5</w:t>
            </w:r>
          </w:p>
        </w:tc>
        <w:tc>
          <w:tcPr>
            <w:tcW w:w="1113" w:type="dxa"/>
            <w:vAlign w:val="center"/>
          </w:tcPr>
          <w:p w14:paraId="30D2F761" w14:textId="77777777" w:rsidR="00A10A55" w:rsidRPr="00AA5F0D" w:rsidRDefault="00A10A55" w:rsidP="000878F6">
            <w:pPr>
              <w:pStyle w:val="Table"/>
              <w:jc w:val="center"/>
              <w:rPr>
                <w:szCs w:val="20"/>
              </w:rPr>
            </w:pPr>
            <w:r w:rsidRPr="00AA5F0D">
              <w:rPr>
                <w:rFonts w:ascii="Calibri" w:hAnsi="Calibri" w:cs="Calibri"/>
                <w:color w:val="000000"/>
                <w:szCs w:val="20"/>
              </w:rPr>
              <w:t>-29,58%</w:t>
            </w:r>
          </w:p>
        </w:tc>
        <w:tc>
          <w:tcPr>
            <w:tcW w:w="1113" w:type="dxa"/>
            <w:vAlign w:val="center"/>
          </w:tcPr>
          <w:p w14:paraId="2869032E" w14:textId="77777777" w:rsidR="00A10A55" w:rsidRPr="00AA5F0D" w:rsidRDefault="00A10A55" w:rsidP="000878F6">
            <w:pPr>
              <w:pStyle w:val="Table"/>
              <w:jc w:val="center"/>
              <w:rPr>
                <w:szCs w:val="20"/>
              </w:rPr>
            </w:pPr>
            <w:r w:rsidRPr="00AA5F0D">
              <w:rPr>
                <w:rFonts w:ascii="Calibri" w:hAnsi="Calibri" w:cs="Calibri"/>
                <w:color w:val="000000"/>
                <w:szCs w:val="20"/>
              </w:rPr>
              <w:t>-29,58%</w:t>
            </w:r>
          </w:p>
        </w:tc>
        <w:tc>
          <w:tcPr>
            <w:tcW w:w="1028" w:type="dxa"/>
            <w:vAlign w:val="center"/>
          </w:tcPr>
          <w:p w14:paraId="5FABC55D" w14:textId="77777777" w:rsidR="00A10A55" w:rsidRPr="00AA5F0D" w:rsidRDefault="00A10A55" w:rsidP="000878F6">
            <w:pPr>
              <w:pStyle w:val="Table"/>
              <w:jc w:val="center"/>
              <w:rPr>
                <w:szCs w:val="20"/>
              </w:rPr>
            </w:pPr>
            <w:r w:rsidRPr="00AA5F0D">
              <w:rPr>
                <w:rFonts w:ascii="Calibri" w:hAnsi="Calibri" w:cs="Calibri"/>
                <w:color w:val="000000"/>
                <w:szCs w:val="20"/>
              </w:rPr>
              <w:t>17,86</w:t>
            </w:r>
          </w:p>
        </w:tc>
        <w:tc>
          <w:tcPr>
            <w:tcW w:w="1205" w:type="dxa"/>
            <w:vAlign w:val="center"/>
          </w:tcPr>
          <w:p w14:paraId="5BBF6FD4" w14:textId="77777777" w:rsidR="00A10A55" w:rsidRPr="00AA5F0D" w:rsidRDefault="00A10A55" w:rsidP="000878F6">
            <w:pPr>
              <w:pStyle w:val="Table"/>
              <w:jc w:val="center"/>
              <w:rPr>
                <w:szCs w:val="20"/>
              </w:rPr>
            </w:pPr>
            <w:r w:rsidRPr="00AA5F0D">
              <w:rPr>
                <w:rFonts w:ascii="Calibri" w:hAnsi="Calibri" w:cs="Calibri"/>
                <w:color w:val="000000"/>
                <w:szCs w:val="20"/>
              </w:rPr>
              <w:t>17,86</w:t>
            </w:r>
          </w:p>
        </w:tc>
        <w:tc>
          <w:tcPr>
            <w:tcW w:w="1098" w:type="dxa"/>
            <w:vAlign w:val="center"/>
          </w:tcPr>
          <w:p w14:paraId="5A31F932" w14:textId="77777777" w:rsidR="00A10A55" w:rsidRPr="00AA5F0D" w:rsidRDefault="00A10A55" w:rsidP="000878F6">
            <w:pPr>
              <w:pStyle w:val="Table"/>
              <w:jc w:val="center"/>
              <w:rPr>
                <w:szCs w:val="20"/>
              </w:rPr>
            </w:pPr>
            <w:r w:rsidRPr="00AA5F0D">
              <w:rPr>
                <w:rFonts w:ascii="Calibri" w:hAnsi="Calibri" w:cs="Calibri"/>
                <w:color w:val="000000"/>
                <w:szCs w:val="20"/>
              </w:rPr>
              <w:t>22,64%</w:t>
            </w:r>
          </w:p>
        </w:tc>
        <w:tc>
          <w:tcPr>
            <w:tcW w:w="1274" w:type="dxa"/>
            <w:vAlign w:val="center"/>
          </w:tcPr>
          <w:p w14:paraId="4A31E38E" w14:textId="77777777" w:rsidR="00A10A55" w:rsidRPr="00AA5F0D" w:rsidRDefault="00A10A55" w:rsidP="000878F6">
            <w:pPr>
              <w:pStyle w:val="Table"/>
              <w:jc w:val="center"/>
              <w:rPr>
                <w:szCs w:val="20"/>
              </w:rPr>
            </w:pPr>
            <w:r w:rsidRPr="00AA5F0D">
              <w:rPr>
                <w:rFonts w:ascii="Calibri" w:hAnsi="Calibri" w:cs="Calibri"/>
                <w:color w:val="000000"/>
                <w:szCs w:val="20"/>
              </w:rPr>
              <w:t>22,63%</w:t>
            </w:r>
          </w:p>
        </w:tc>
      </w:tr>
      <w:tr w:rsidR="00A10A55" w:rsidRPr="00022C08" w14:paraId="34C8B42C" w14:textId="77777777" w:rsidTr="00BA7936">
        <w:trPr>
          <w:trHeight w:val="211"/>
        </w:trPr>
        <w:tc>
          <w:tcPr>
            <w:tcW w:w="2193" w:type="dxa"/>
          </w:tcPr>
          <w:p w14:paraId="7CD1C0BF" w14:textId="77777777" w:rsidR="00A10A55" w:rsidRPr="00F501DA" w:rsidRDefault="00A10A55" w:rsidP="000878F6">
            <w:pPr>
              <w:pStyle w:val="Table"/>
            </w:pPr>
            <w:r w:rsidRPr="00F501DA">
              <w:t>Water Abstraction</w:t>
            </w:r>
          </w:p>
        </w:tc>
        <w:tc>
          <w:tcPr>
            <w:tcW w:w="1113" w:type="dxa"/>
            <w:vAlign w:val="center"/>
          </w:tcPr>
          <w:p w14:paraId="15DC51A8" w14:textId="77777777" w:rsidR="00A10A55" w:rsidRPr="00AA5F0D" w:rsidRDefault="00A10A55" w:rsidP="000878F6">
            <w:pPr>
              <w:pStyle w:val="Table"/>
              <w:jc w:val="center"/>
              <w:rPr>
                <w:szCs w:val="20"/>
              </w:rPr>
            </w:pPr>
            <w:r w:rsidRPr="00AA5F0D">
              <w:rPr>
                <w:rFonts w:ascii="Calibri" w:hAnsi="Calibri" w:cs="Calibri"/>
                <w:color w:val="000000"/>
                <w:szCs w:val="20"/>
              </w:rPr>
              <w:t>-28,19%</w:t>
            </w:r>
          </w:p>
        </w:tc>
        <w:tc>
          <w:tcPr>
            <w:tcW w:w="1113" w:type="dxa"/>
            <w:vAlign w:val="center"/>
          </w:tcPr>
          <w:p w14:paraId="40354DA8" w14:textId="77777777" w:rsidR="00A10A55" w:rsidRPr="00AA5F0D" w:rsidRDefault="00A10A55" w:rsidP="000878F6">
            <w:pPr>
              <w:pStyle w:val="Table"/>
              <w:jc w:val="center"/>
              <w:rPr>
                <w:szCs w:val="20"/>
              </w:rPr>
            </w:pPr>
            <w:r w:rsidRPr="00AA5F0D">
              <w:rPr>
                <w:rFonts w:ascii="Calibri" w:hAnsi="Calibri" w:cs="Calibri"/>
                <w:color w:val="000000"/>
                <w:szCs w:val="20"/>
              </w:rPr>
              <w:t>-28,19%</w:t>
            </w:r>
          </w:p>
        </w:tc>
        <w:tc>
          <w:tcPr>
            <w:tcW w:w="1028" w:type="dxa"/>
            <w:vAlign w:val="center"/>
          </w:tcPr>
          <w:p w14:paraId="57F105A3" w14:textId="77777777" w:rsidR="00A10A55" w:rsidRPr="00AA5F0D" w:rsidRDefault="00A10A55" w:rsidP="000878F6">
            <w:pPr>
              <w:pStyle w:val="Table"/>
              <w:jc w:val="center"/>
              <w:rPr>
                <w:szCs w:val="20"/>
              </w:rPr>
            </w:pPr>
            <w:r w:rsidRPr="00AA5F0D">
              <w:rPr>
                <w:rFonts w:ascii="Calibri" w:hAnsi="Calibri" w:cs="Calibri"/>
                <w:color w:val="000000"/>
                <w:szCs w:val="20"/>
              </w:rPr>
              <w:t>1116,89</w:t>
            </w:r>
          </w:p>
        </w:tc>
        <w:tc>
          <w:tcPr>
            <w:tcW w:w="1205" w:type="dxa"/>
            <w:vAlign w:val="center"/>
          </w:tcPr>
          <w:p w14:paraId="547235B9" w14:textId="77777777" w:rsidR="00A10A55" w:rsidRPr="00AA5F0D" w:rsidRDefault="00A10A55" w:rsidP="000878F6">
            <w:pPr>
              <w:pStyle w:val="Table"/>
              <w:jc w:val="center"/>
              <w:rPr>
                <w:szCs w:val="20"/>
              </w:rPr>
            </w:pPr>
            <w:r w:rsidRPr="00AA5F0D">
              <w:rPr>
                <w:rFonts w:ascii="Calibri" w:hAnsi="Calibri" w:cs="Calibri"/>
                <w:color w:val="000000"/>
                <w:szCs w:val="20"/>
              </w:rPr>
              <w:t>1140,67</w:t>
            </w:r>
          </w:p>
        </w:tc>
        <w:tc>
          <w:tcPr>
            <w:tcW w:w="1098" w:type="dxa"/>
            <w:vAlign w:val="center"/>
          </w:tcPr>
          <w:p w14:paraId="3C83EF8C" w14:textId="77777777" w:rsidR="00A10A55" w:rsidRPr="00AA5F0D" w:rsidRDefault="00A10A55" w:rsidP="000878F6">
            <w:pPr>
              <w:pStyle w:val="Table"/>
              <w:jc w:val="center"/>
              <w:rPr>
                <w:szCs w:val="20"/>
              </w:rPr>
            </w:pPr>
            <w:r w:rsidRPr="00AA5F0D">
              <w:rPr>
                <w:rFonts w:ascii="Calibri" w:hAnsi="Calibri" w:cs="Calibri"/>
                <w:color w:val="000000"/>
                <w:szCs w:val="20"/>
              </w:rPr>
              <w:t>1090,29%</w:t>
            </w:r>
          </w:p>
        </w:tc>
        <w:tc>
          <w:tcPr>
            <w:tcW w:w="1274" w:type="dxa"/>
            <w:vAlign w:val="center"/>
          </w:tcPr>
          <w:p w14:paraId="2C899292" w14:textId="77777777" w:rsidR="00A10A55" w:rsidRPr="00AA5F0D" w:rsidRDefault="00A10A55" w:rsidP="000878F6">
            <w:pPr>
              <w:pStyle w:val="Table"/>
              <w:jc w:val="center"/>
              <w:rPr>
                <w:szCs w:val="20"/>
              </w:rPr>
            </w:pPr>
            <w:r w:rsidRPr="00AA5F0D">
              <w:rPr>
                <w:rFonts w:ascii="Calibri" w:hAnsi="Calibri" w:cs="Calibri"/>
                <w:color w:val="000000"/>
                <w:szCs w:val="20"/>
              </w:rPr>
              <w:t>1113,50%</w:t>
            </w:r>
          </w:p>
        </w:tc>
      </w:tr>
      <w:tr w:rsidR="00A10A55" w:rsidRPr="00022C08" w14:paraId="7EB94102" w14:textId="77777777" w:rsidTr="00BA7936">
        <w:trPr>
          <w:trHeight w:val="242"/>
        </w:trPr>
        <w:tc>
          <w:tcPr>
            <w:tcW w:w="2193" w:type="dxa"/>
          </w:tcPr>
          <w:p w14:paraId="12B4BA41" w14:textId="77777777" w:rsidR="00A10A55" w:rsidRPr="00F501DA" w:rsidRDefault="00A10A55" w:rsidP="000878F6">
            <w:pPr>
              <w:pStyle w:val="Table"/>
            </w:pPr>
            <w:r w:rsidRPr="00F501DA">
              <w:t>Fertilizers</w:t>
            </w:r>
          </w:p>
        </w:tc>
        <w:tc>
          <w:tcPr>
            <w:tcW w:w="1113" w:type="dxa"/>
            <w:vAlign w:val="center"/>
          </w:tcPr>
          <w:p w14:paraId="3A5A00EB" w14:textId="77777777" w:rsidR="00A10A55" w:rsidRPr="00AA5F0D" w:rsidRDefault="00A10A55" w:rsidP="000878F6">
            <w:pPr>
              <w:pStyle w:val="Table"/>
              <w:jc w:val="center"/>
              <w:rPr>
                <w:szCs w:val="20"/>
              </w:rPr>
            </w:pPr>
            <w:r w:rsidRPr="00AA5F0D">
              <w:rPr>
                <w:rFonts w:ascii="Calibri" w:hAnsi="Calibri" w:cs="Calibri"/>
                <w:color w:val="000000"/>
                <w:szCs w:val="20"/>
              </w:rPr>
              <w:t>-17,97%</w:t>
            </w:r>
          </w:p>
        </w:tc>
        <w:tc>
          <w:tcPr>
            <w:tcW w:w="1113" w:type="dxa"/>
            <w:vAlign w:val="center"/>
          </w:tcPr>
          <w:p w14:paraId="29E1FEC8" w14:textId="77777777" w:rsidR="00A10A55" w:rsidRPr="00AA5F0D" w:rsidRDefault="00A10A55" w:rsidP="000878F6">
            <w:pPr>
              <w:pStyle w:val="Table"/>
              <w:jc w:val="center"/>
              <w:rPr>
                <w:szCs w:val="20"/>
              </w:rPr>
            </w:pPr>
            <w:r w:rsidRPr="00AA5F0D">
              <w:rPr>
                <w:rFonts w:ascii="Calibri" w:hAnsi="Calibri" w:cs="Calibri"/>
                <w:color w:val="000000"/>
                <w:szCs w:val="20"/>
              </w:rPr>
              <w:t>-17,97%</w:t>
            </w:r>
          </w:p>
        </w:tc>
        <w:tc>
          <w:tcPr>
            <w:tcW w:w="1028" w:type="dxa"/>
            <w:vAlign w:val="center"/>
          </w:tcPr>
          <w:p w14:paraId="5DF7F61A" w14:textId="77777777" w:rsidR="00A10A55" w:rsidRPr="00AA5F0D" w:rsidRDefault="00A10A55" w:rsidP="000878F6">
            <w:pPr>
              <w:pStyle w:val="Table"/>
              <w:jc w:val="center"/>
              <w:rPr>
                <w:szCs w:val="20"/>
              </w:rPr>
            </w:pPr>
            <w:r w:rsidRPr="00AA5F0D">
              <w:rPr>
                <w:rFonts w:ascii="Calibri" w:hAnsi="Calibri" w:cs="Calibri"/>
                <w:color w:val="000000"/>
                <w:szCs w:val="20"/>
              </w:rPr>
              <w:t>5,10</w:t>
            </w:r>
          </w:p>
        </w:tc>
        <w:tc>
          <w:tcPr>
            <w:tcW w:w="1205" w:type="dxa"/>
            <w:vAlign w:val="center"/>
          </w:tcPr>
          <w:p w14:paraId="0CA92D2C" w14:textId="77777777" w:rsidR="00A10A55" w:rsidRPr="00AA5F0D" w:rsidRDefault="00A10A55" w:rsidP="000878F6">
            <w:pPr>
              <w:pStyle w:val="Table"/>
              <w:jc w:val="center"/>
              <w:rPr>
                <w:szCs w:val="20"/>
              </w:rPr>
            </w:pPr>
            <w:r w:rsidRPr="00AA5F0D">
              <w:rPr>
                <w:rFonts w:ascii="Calibri" w:hAnsi="Calibri" w:cs="Calibri"/>
                <w:color w:val="000000"/>
                <w:szCs w:val="20"/>
              </w:rPr>
              <w:t>4,94</w:t>
            </w:r>
          </w:p>
        </w:tc>
        <w:tc>
          <w:tcPr>
            <w:tcW w:w="1098" w:type="dxa"/>
            <w:vAlign w:val="center"/>
          </w:tcPr>
          <w:p w14:paraId="5136AFC6" w14:textId="77777777" w:rsidR="00A10A55" w:rsidRPr="00AA5F0D" w:rsidRDefault="00A10A55" w:rsidP="000878F6">
            <w:pPr>
              <w:pStyle w:val="Table"/>
              <w:jc w:val="center"/>
              <w:rPr>
                <w:szCs w:val="20"/>
              </w:rPr>
            </w:pPr>
            <w:r w:rsidRPr="00AA5F0D">
              <w:rPr>
                <w:rFonts w:ascii="Calibri" w:hAnsi="Calibri" w:cs="Calibri"/>
                <w:color w:val="000000"/>
                <w:szCs w:val="20"/>
              </w:rPr>
              <w:t>6,46%</w:t>
            </w:r>
          </w:p>
        </w:tc>
        <w:tc>
          <w:tcPr>
            <w:tcW w:w="1274" w:type="dxa"/>
            <w:vAlign w:val="center"/>
          </w:tcPr>
          <w:p w14:paraId="3A022103" w14:textId="77777777" w:rsidR="00A10A55" w:rsidRPr="00AA5F0D" w:rsidRDefault="00A10A55" w:rsidP="000878F6">
            <w:pPr>
              <w:pStyle w:val="Table"/>
              <w:jc w:val="center"/>
              <w:rPr>
                <w:szCs w:val="20"/>
              </w:rPr>
            </w:pPr>
            <w:r w:rsidRPr="00AA5F0D">
              <w:rPr>
                <w:rFonts w:ascii="Calibri" w:hAnsi="Calibri" w:cs="Calibri"/>
                <w:color w:val="000000"/>
                <w:szCs w:val="20"/>
              </w:rPr>
              <w:t>6,26%</w:t>
            </w:r>
          </w:p>
        </w:tc>
      </w:tr>
      <w:tr w:rsidR="00A10A55" w:rsidRPr="00022C08" w14:paraId="264ECD9B" w14:textId="77777777" w:rsidTr="00BA7936">
        <w:trPr>
          <w:trHeight w:val="242"/>
        </w:trPr>
        <w:tc>
          <w:tcPr>
            <w:tcW w:w="2193" w:type="dxa"/>
          </w:tcPr>
          <w:p w14:paraId="23FFF086" w14:textId="77777777" w:rsidR="00A10A55" w:rsidRPr="00F501DA" w:rsidRDefault="00A10A55" w:rsidP="000878F6">
            <w:pPr>
              <w:pStyle w:val="Table"/>
            </w:pPr>
            <w:r w:rsidRPr="00F501DA">
              <w:t>Pesticides</w:t>
            </w:r>
          </w:p>
        </w:tc>
        <w:tc>
          <w:tcPr>
            <w:tcW w:w="1113" w:type="dxa"/>
            <w:vAlign w:val="center"/>
          </w:tcPr>
          <w:p w14:paraId="2CBB15D4" w14:textId="77777777" w:rsidR="00A10A55" w:rsidRPr="00AA5F0D" w:rsidRDefault="00A10A55" w:rsidP="000878F6">
            <w:pPr>
              <w:pStyle w:val="Table"/>
              <w:jc w:val="center"/>
              <w:rPr>
                <w:szCs w:val="20"/>
              </w:rPr>
            </w:pPr>
            <w:r w:rsidRPr="00AA5F0D">
              <w:rPr>
                <w:rFonts w:ascii="Calibri" w:hAnsi="Calibri" w:cs="Calibri"/>
                <w:color w:val="000000"/>
                <w:szCs w:val="20"/>
              </w:rPr>
              <w:t>n/a</w:t>
            </w:r>
          </w:p>
        </w:tc>
        <w:tc>
          <w:tcPr>
            <w:tcW w:w="1113" w:type="dxa"/>
            <w:vAlign w:val="center"/>
          </w:tcPr>
          <w:p w14:paraId="204134FE" w14:textId="77777777" w:rsidR="00A10A55" w:rsidRPr="00AA5F0D" w:rsidRDefault="00A10A55" w:rsidP="000878F6">
            <w:pPr>
              <w:pStyle w:val="Table"/>
              <w:jc w:val="center"/>
              <w:rPr>
                <w:szCs w:val="20"/>
              </w:rPr>
            </w:pPr>
            <w:r w:rsidRPr="00AA5F0D">
              <w:rPr>
                <w:rFonts w:ascii="Calibri" w:hAnsi="Calibri" w:cs="Calibri"/>
                <w:color w:val="000000"/>
                <w:szCs w:val="20"/>
              </w:rPr>
              <w:t>n/a</w:t>
            </w:r>
          </w:p>
        </w:tc>
        <w:tc>
          <w:tcPr>
            <w:tcW w:w="1028" w:type="dxa"/>
            <w:vAlign w:val="center"/>
          </w:tcPr>
          <w:p w14:paraId="009AB8FD" w14:textId="77777777" w:rsidR="00A10A55" w:rsidRPr="00AA5F0D" w:rsidRDefault="00A10A55" w:rsidP="000878F6">
            <w:pPr>
              <w:pStyle w:val="Table"/>
              <w:jc w:val="center"/>
              <w:rPr>
                <w:szCs w:val="20"/>
              </w:rPr>
            </w:pPr>
            <w:r w:rsidRPr="00AA5F0D">
              <w:rPr>
                <w:rFonts w:ascii="Calibri" w:hAnsi="Calibri" w:cs="Calibri"/>
                <w:color w:val="000000"/>
                <w:szCs w:val="20"/>
              </w:rPr>
              <w:t>37,52</w:t>
            </w:r>
          </w:p>
        </w:tc>
        <w:tc>
          <w:tcPr>
            <w:tcW w:w="1205" w:type="dxa"/>
            <w:vAlign w:val="center"/>
          </w:tcPr>
          <w:p w14:paraId="4AB764AD" w14:textId="77777777" w:rsidR="00A10A55" w:rsidRPr="00AA5F0D" w:rsidRDefault="00A10A55" w:rsidP="000878F6">
            <w:pPr>
              <w:pStyle w:val="Table"/>
              <w:jc w:val="center"/>
              <w:rPr>
                <w:szCs w:val="20"/>
              </w:rPr>
            </w:pPr>
            <w:r w:rsidRPr="00AA5F0D">
              <w:rPr>
                <w:rFonts w:ascii="Calibri" w:hAnsi="Calibri" w:cs="Calibri"/>
                <w:color w:val="000000"/>
                <w:szCs w:val="20"/>
              </w:rPr>
              <w:t>37,47</w:t>
            </w:r>
          </w:p>
        </w:tc>
        <w:tc>
          <w:tcPr>
            <w:tcW w:w="1098" w:type="dxa"/>
            <w:vAlign w:val="center"/>
          </w:tcPr>
          <w:p w14:paraId="789E2579" w14:textId="77777777" w:rsidR="00A10A55" w:rsidRPr="00AA5F0D" w:rsidRDefault="00A10A55" w:rsidP="000878F6">
            <w:pPr>
              <w:pStyle w:val="Table"/>
              <w:jc w:val="center"/>
              <w:rPr>
                <w:szCs w:val="20"/>
              </w:rPr>
            </w:pPr>
            <w:r w:rsidRPr="00AA5F0D">
              <w:rPr>
                <w:rFonts w:ascii="Calibri" w:hAnsi="Calibri" w:cs="Calibri"/>
                <w:color w:val="000000"/>
                <w:szCs w:val="20"/>
              </w:rPr>
              <w:t>47,55%</w:t>
            </w:r>
          </w:p>
        </w:tc>
        <w:tc>
          <w:tcPr>
            <w:tcW w:w="1274" w:type="dxa"/>
            <w:vAlign w:val="center"/>
          </w:tcPr>
          <w:p w14:paraId="66109C73" w14:textId="77777777" w:rsidR="00A10A55" w:rsidRPr="00AA5F0D" w:rsidRDefault="00A10A55" w:rsidP="000878F6">
            <w:pPr>
              <w:pStyle w:val="Table"/>
              <w:jc w:val="center"/>
              <w:rPr>
                <w:szCs w:val="20"/>
              </w:rPr>
            </w:pPr>
            <w:r w:rsidRPr="00AA5F0D">
              <w:rPr>
                <w:rFonts w:ascii="Calibri" w:hAnsi="Calibri" w:cs="Calibri"/>
                <w:color w:val="000000"/>
                <w:szCs w:val="20"/>
              </w:rPr>
              <w:t>47,47%</w:t>
            </w:r>
          </w:p>
        </w:tc>
      </w:tr>
      <w:tr w:rsidR="00A10A55" w:rsidRPr="00022C08" w14:paraId="24ED7872" w14:textId="77777777" w:rsidTr="00BA7936">
        <w:trPr>
          <w:trHeight w:val="259"/>
        </w:trPr>
        <w:tc>
          <w:tcPr>
            <w:tcW w:w="2193" w:type="dxa"/>
          </w:tcPr>
          <w:p w14:paraId="38328761" w14:textId="77777777" w:rsidR="00A10A55" w:rsidRPr="00F501DA" w:rsidRDefault="00A10A55" w:rsidP="000878F6">
            <w:pPr>
              <w:pStyle w:val="Table"/>
            </w:pPr>
            <w:r w:rsidRPr="00F501DA">
              <w:t>Waste Incineration</w:t>
            </w:r>
          </w:p>
        </w:tc>
        <w:tc>
          <w:tcPr>
            <w:tcW w:w="1113" w:type="dxa"/>
            <w:vAlign w:val="center"/>
          </w:tcPr>
          <w:p w14:paraId="05806670" w14:textId="77777777" w:rsidR="00A10A55" w:rsidRPr="00AA5F0D" w:rsidRDefault="00A10A55" w:rsidP="000878F6">
            <w:pPr>
              <w:pStyle w:val="Table"/>
              <w:jc w:val="center"/>
              <w:rPr>
                <w:szCs w:val="20"/>
              </w:rPr>
            </w:pPr>
            <w:r w:rsidRPr="00AA5F0D">
              <w:rPr>
                <w:rFonts w:ascii="Calibri" w:hAnsi="Calibri" w:cs="Calibri"/>
                <w:color w:val="000000"/>
                <w:szCs w:val="20"/>
              </w:rPr>
              <w:t>-8,78%</w:t>
            </w:r>
          </w:p>
        </w:tc>
        <w:tc>
          <w:tcPr>
            <w:tcW w:w="1113" w:type="dxa"/>
            <w:vAlign w:val="center"/>
          </w:tcPr>
          <w:p w14:paraId="29E69421" w14:textId="77777777" w:rsidR="00A10A55" w:rsidRPr="00AA5F0D" w:rsidRDefault="00A10A55" w:rsidP="000878F6">
            <w:pPr>
              <w:pStyle w:val="Table"/>
              <w:jc w:val="center"/>
              <w:rPr>
                <w:szCs w:val="20"/>
              </w:rPr>
            </w:pPr>
            <w:r w:rsidRPr="00AA5F0D">
              <w:rPr>
                <w:rFonts w:ascii="Calibri" w:hAnsi="Calibri" w:cs="Calibri"/>
                <w:color w:val="000000"/>
                <w:szCs w:val="20"/>
              </w:rPr>
              <w:t>0,00%</w:t>
            </w:r>
          </w:p>
        </w:tc>
        <w:tc>
          <w:tcPr>
            <w:tcW w:w="1028" w:type="dxa"/>
            <w:vAlign w:val="center"/>
          </w:tcPr>
          <w:p w14:paraId="0DCD8DBC" w14:textId="77777777" w:rsidR="00A10A55" w:rsidRPr="00AA5F0D" w:rsidRDefault="00A10A55" w:rsidP="000878F6">
            <w:pPr>
              <w:pStyle w:val="Table"/>
              <w:jc w:val="center"/>
              <w:rPr>
                <w:szCs w:val="20"/>
              </w:rPr>
            </w:pPr>
            <w:r w:rsidRPr="00AA5F0D">
              <w:rPr>
                <w:rFonts w:ascii="Calibri" w:hAnsi="Calibri" w:cs="Calibri"/>
                <w:color w:val="000000"/>
                <w:szCs w:val="20"/>
              </w:rPr>
              <w:t>0,08</w:t>
            </w:r>
          </w:p>
        </w:tc>
        <w:tc>
          <w:tcPr>
            <w:tcW w:w="1205" w:type="dxa"/>
            <w:vAlign w:val="center"/>
          </w:tcPr>
          <w:p w14:paraId="21C30D50" w14:textId="77777777" w:rsidR="00A10A55" w:rsidRPr="00AA5F0D" w:rsidRDefault="00A10A55" w:rsidP="000878F6">
            <w:pPr>
              <w:pStyle w:val="Table"/>
              <w:jc w:val="center"/>
              <w:rPr>
                <w:szCs w:val="20"/>
              </w:rPr>
            </w:pPr>
            <w:r w:rsidRPr="00AA5F0D">
              <w:rPr>
                <w:rFonts w:ascii="Calibri" w:hAnsi="Calibri" w:cs="Calibri"/>
                <w:color w:val="000000"/>
                <w:szCs w:val="20"/>
              </w:rPr>
              <w:t>0,09</w:t>
            </w:r>
          </w:p>
        </w:tc>
        <w:tc>
          <w:tcPr>
            <w:tcW w:w="1098" w:type="dxa"/>
            <w:vAlign w:val="center"/>
          </w:tcPr>
          <w:p w14:paraId="52E26963" w14:textId="77777777" w:rsidR="00A10A55" w:rsidRPr="00AA5F0D" w:rsidRDefault="00A10A55" w:rsidP="000878F6">
            <w:pPr>
              <w:pStyle w:val="Table"/>
              <w:jc w:val="center"/>
              <w:rPr>
                <w:szCs w:val="20"/>
              </w:rPr>
            </w:pPr>
            <w:r w:rsidRPr="00AA5F0D">
              <w:rPr>
                <w:rFonts w:ascii="Calibri" w:hAnsi="Calibri" w:cs="Calibri"/>
                <w:color w:val="000000"/>
                <w:szCs w:val="20"/>
              </w:rPr>
              <w:t>0,11%</w:t>
            </w:r>
          </w:p>
        </w:tc>
        <w:tc>
          <w:tcPr>
            <w:tcW w:w="1274" w:type="dxa"/>
            <w:vAlign w:val="center"/>
          </w:tcPr>
          <w:p w14:paraId="52F1E510" w14:textId="77777777" w:rsidR="00A10A55" w:rsidRPr="00AA5F0D" w:rsidRDefault="00A10A55" w:rsidP="000878F6">
            <w:pPr>
              <w:pStyle w:val="Table"/>
              <w:jc w:val="center"/>
              <w:rPr>
                <w:szCs w:val="20"/>
              </w:rPr>
            </w:pPr>
            <w:r w:rsidRPr="00AA5F0D">
              <w:rPr>
                <w:rFonts w:ascii="Calibri" w:hAnsi="Calibri" w:cs="Calibri"/>
                <w:color w:val="000000"/>
                <w:szCs w:val="20"/>
              </w:rPr>
              <w:t>0,12%</w:t>
            </w:r>
          </w:p>
        </w:tc>
      </w:tr>
      <w:tr w:rsidR="00A10A55" w:rsidRPr="00022C08" w14:paraId="4737E06D" w14:textId="77777777" w:rsidTr="00BA7936">
        <w:trPr>
          <w:trHeight w:val="242"/>
        </w:trPr>
        <w:tc>
          <w:tcPr>
            <w:tcW w:w="2193" w:type="dxa"/>
          </w:tcPr>
          <w:p w14:paraId="45327AE4" w14:textId="77777777" w:rsidR="00A10A55" w:rsidRPr="00F501DA" w:rsidRDefault="00A10A55" w:rsidP="000878F6">
            <w:pPr>
              <w:pStyle w:val="Table"/>
            </w:pPr>
            <w:r w:rsidRPr="00F501DA">
              <w:t>Waste to Landfill</w:t>
            </w:r>
          </w:p>
        </w:tc>
        <w:tc>
          <w:tcPr>
            <w:tcW w:w="1113" w:type="dxa"/>
            <w:vAlign w:val="center"/>
          </w:tcPr>
          <w:p w14:paraId="3CA14FA0" w14:textId="77777777" w:rsidR="00A10A55" w:rsidRPr="00AA5F0D" w:rsidRDefault="00A10A55" w:rsidP="000878F6">
            <w:pPr>
              <w:pStyle w:val="Table"/>
              <w:jc w:val="center"/>
              <w:rPr>
                <w:szCs w:val="20"/>
              </w:rPr>
            </w:pPr>
            <w:r w:rsidRPr="00AA5F0D">
              <w:rPr>
                <w:rFonts w:ascii="Calibri" w:hAnsi="Calibri" w:cs="Calibri"/>
                <w:color w:val="000000"/>
                <w:szCs w:val="20"/>
              </w:rPr>
              <w:t>-30,06%</w:t>
            </w:r>
          </w:p>
        </w:tc>
        <w:tc>
          <w:tcPr>
            <w:tcW w:w="1113" w:type="dxa"/>
            <w:vAlign w:val="center"/>
          </w:tcPr>
          <w:p w14:paraId="13787BF4" w14:textId="77777777" w:rsidR="00A10A55" w:rsidRPr="00AA5F0D" w:rsidRDefault="00A10A55" w:rsidP="000878F6">
            <w:pPr>
              <w:pStyle w:val="Table"/>
              <w:jc w:val="center"/>
              <w:rPr>
                <w:szCs w:val="20"/>
              </w:rPr>
            </w:pPr>
            <w:r w:rsidRPr="00AA5F0D">
              <w:rPr>
                <w:rFonts w:ascii="Calibri" w:hAnsi="Calibri" w:cs="Calibri"/>
                <w:color w:val="000000"/>
                <w:szCs w:val="20"/>
              </w:rPr>
              <w:t>-30,06%</w:t>
            </w:r>
          </w:p>
        </w:tc>
        <w:tc>
          <w:tcPr>
            <w:tcW w:w="1028" w:type="dxa"/>
            <w:vAlign w:val="center"/>
          </w:tcPr>
          <w:p w14:paraId="1037F66B" w14:textId="77777777" w:rsidR="00A10A55" w:rsidRPr="00AA5F0D" w:rsidRDefault="00A10A55" w:rsidP="000878F6">
            <w:pPr>
              <w:pStyle w:val="Table"/>
              <w:jc w:val="center"/>
              <w:rPr>
                <w:szCs w:val="20"/>
              </w:rPr>
            </w:pPr>
            <w:r w:rsidRPr="00AA5F0D">
              <w:rPr>
                <w:rFonts w:ascii="Calibri" w:hAnsi="Calibri" w:cs="Calibri"/>
                <w:color w:val="000000"/>
                <w:szCs w:val="20"/>
              </w:rPr>
              <w:t>56,09</w:t>
            </w:r>
          </w:p>
        </w:tc>
        <w:tc>
          <w:tcPr>
            <w:tcW w:w="1205" w:type="dxa"/>
            <w:vAlign w:val="center"/>
          </w:tcPr>
          <w:p w14:paraId="4DF511E1" w14:textId="77777777" w:rsidR="00A10A55" w:rsidRPr="00AA5F0D" w:rsidRDefault="00A10A55" w:rsidP="000878F6">
            <w:pPr>
              <w:pStyle w:val="Table"/>
              <w:jc w:val="center"/>
              <w:rPr>
                <w:szCs w:val="20"/>
              </w:rPr>
            </w:pPr>
            <w:r w:rsidRPr="00AA5F0D">
              <w:rPr>
                <w:rFonts w:ascii="Calibri" w:hAnsi="Calibri" w:cs="Calibri"/>
                <w:color w:val="000000"/>
                <w:szCs w:val="20"/>
              </w:rPr>
              <w:t>42,90</w:t>
            </w:r>
          </w:p>
        </w:tc>
        <w:tc>
          <w:tcPr>
            <w:tcW w:w="1098" w:type="dxa"/>
            <w:vAlign w:val="center"/>
          </w:tcPr>
          <w:p w14:paraId="4DBBC89E" w14:textId="77777777" w:rsidR="00A10A55" w:rsidRPr="00AA5F0D" w:rsidRDefault="00A10A55" w:rsidP="000878F6">
            <w:pPr>
              <w:pStyle w:val="Table"/>
              <w:jc w:val="center"/>
              <w:rPr>
                <w:szCs w:val="20"/>
              </w:rPr>
            </w:pPr>
            <w:r w:rsidRPr="00AA5F0D">
              <w:rPr>
                <w:rFonts w:ascii="Calibri" w:hAnsi="Calibri" w:cs="Calibri"/>
                <w:color w:val="000000"/>
                <w:szCs w:val="20"/>
              </w:rPr>
              <w:t>71,07%</w:t>
            </w:r>
          </w:p>
        </w:tc>
        <w:tc>
          <w:tcPr>
            <w:tcW w:w="1274" w:type="dxa"/>
            <w:vAlign w:val="center"/>
          </w:tcPr>
          <w:p w14:paraId="380C341C" w14:textId="77777777" w:rsidR="00A10A55" w:rsidRPr="00AA5F0D" w:rsidRDefault="00A10A55" w:rsidP="000878F6">
            <w:pPr>
              <w:pStyle w:val="Table"/>
              <w:jc w:val="center"/>
              <w:rPr>
                <w:szCs w:val="20"/>
              </w:rPr>
            </w:pPr>
            <w:r w:rsidRPr="00AA5F0D">
              <w:rPr>
                <w:rFonts w:ascii="Calibri" w:hAnsi="Calibri" w:cs="Calibri"/>
                <w:color w:val="000000"/>
                <w:szCs w:val="20"/>
              </w:rPr>
              <w:t>54,35%</w:t>
            </w:r>
          </w:p>
        </w:tc>
      </w:tr>
      <w:tr w:rsidR="00A10A55" w:rsidRPr="00022C08" w14:paraId="6D4E683B" w14:textId="77777777" w:rsidTr="00BA7936">
        <w:trPr>
          <w:trHeight w:val="242"/>
        </w:trPr>
        <w:tc>
          <w:tcPr>
            <w:tcW w:w="2193" w:type="dxa"/>
          </w:tcPr>
          <w:p w14:paraId="45A98FA9" w14:textId="77777777" w:rsidR="00A10A55" w:rsidRPr="00F501DA" w:rsidRDefault="00A10A55" w:rsidP="000878F6">
            <w:pPr>
              <w:pStyle w:val="Table"/>
            </w:pPr>
            <w:r w:rsidRPr="00F501DA">
              <w:lastRenderedPageBreak/>
              <w:t>Water Effluent</w:t>
            </w:r>
          </w:p>
        </w:tc>
        <w:tc>
          <w:tcPr>
            <w:tcW w:w="1113" w:type="dxa"/>
            <w:vAlign w:val="center"/>
          </w:tcPr>
          <w:p w14:paraId="14F92CF9" w14:textId="77777777" w:rsidR="00A10A55" w:rsidRPr="00AA5F0D" w:rsidRDefault="00A10A55" w:rsidP="000878F6">
            <w:pPr>
              <w:pStyle w:val="Table"/>
              <w:jc w:val="center"/>
              <w:rPr>
                <w:szCs w:val="20"/>
              </w:rPr>
            </w:pPr>
            <w:r w:rsidRPr="00AA5F0D">
              <w:rPr>
                <w:rFonts w:ascii="Calibri" w:hAnsi="Calibri" w:cs="Calibri"/>
                <w:color w:val="000000"/>
                <w:szCs w:val="20"/>
              </w:rPr>
              <w:t>-9,09%</w:t>
            </w:r>
          </w:p>
        </w:tc>
        <w:tc>
          <w:tcPr>
            <w:tcW w:w="1113" w:type="dxa"/>
            <w:vAlign w:val="center"/>
          </w:tcPr>
          <w:p w14:paraId="363F197C" w14:textId="77777777" w:rsidR="00A10A55" w:rsidRPr="00AA5F0D" w:rsidRDefault="00A10A55" w:rsidP="000878F6">
            <w:pPr>
              <w:pStyle w:val="Table"/>
              <w:jc w:val="center"/>
              <w:rPr>
                <w:szCs w:val="20"/>
              </w:rPr>
            </w:pPr>
            <w:r w:rsidRPr="00AA5F0D">
              <w:rPr>
                <w:rFonts w:ascii="Calibri" w:hAnsi="Calibri" w:cs="Calibri"/>
                <w:color w:val="000000"/>
                <w:szCs w:val="20"/>
              </w:rPr>
              <w:t>-9,09%</w:t>
            </w:r>
          </w:p>
        </w:tc>
        <w:tc>
          <w:tcPr>
            <w:tcW w:w="1028" w:type="dxa"/>
            <w:vAlign w:val="center"/>
          </w:tcPr>
          <w:p w14:paraId="2DC17966" w14:textId="77777777" w:rsidR="00A10A55" w:rsidRPr="00AA5F0D" w:rsidRDefault="00A10A55" w:rsidP="000878F6">
            <w:pPr>
              <w:pStyle w:val="Table"/>
              <w:jc w:val="center"/>
              <w:rPr>
                <w:szCs w:val="20"/>
              </w:rPr>
            </w:pPr>
            <w:r w:rsidRPr="00AA5F0D">
              <w:rPr>
                <w:rFonts w:ascii="Calibri" w:hAnsi="Calibri" w:cs="Calibri"/>
                <w:color w:val="000000"/>
                <w:szCs w:val="20"/>
              </w:rPr>
              <w:t>762,68</w:t>
            </w:r>
          </w:p>
        </w:tc>
        <w:tc>
          <w:tcPr>
            <w:tcW w:w="1205" w:type="dxa"/>
            <w:vAlign w:val="center"/>
          </w:tcPr>
          <w:p w14:paraId="725AFF3D" w14:textId="77777777" w:rsidR="00A10A55" w:rsidRPr="00AA5F0D" w:rsidRDefault="00A10A55" w:rsidP="000878F6">
            <w:pPr>
              <w:pStyle w:val="Table"/>
              <w:jc w:val="center"/>
              <w:rPr>
                <w:szCs w:val="20"/>
              </w:rPr>
            </w:pPr>
            <w:r w:rsidRPr="00AA5F0D">
              <w:rPr>
                <w:rFonts w:ascii="Calibri" w:hAnsi="Calibri" w:cs="Calibri"/>
                <w:color w:val="000000"/>
                <w:szCs w:val="20"/>
              </w:rPr>
              <w:t>753,13</w:t>
            </w:r>
          </w:p>
        </w:tc>
        <w:tc>
          <w:tcPr>
            <w:tcW w:w="1098" w:type="dxa"/>
            <w:vAlign w:val="center"/>
          </w:tcPr>
          <w:p w14:paraId="27FEC86A" w14:textId="77777777" w:rsidR="00A10A55" w:rsidRPr="00AA5F0D" w:rsidRDefault="00A10A55" w:rsidP="000878F6">
            <w:pPr>
              <w:pStyle w:val="Table"/>
              <w:jc w:val="center"/>
              <w:rPr>
                <w:szCs w:val="20"/>
              </w:rPr>
            </w:pPr>
            <w:r w:rsidRPr="00AA5F0D">
              <w:rPr>
                <w:rFonts w:ascii="Calibri" w:hAnsi="Calibri" w:cs="Calibri"/>
                <w:color w:val="000000"/>
                <w:szCs w:val="20"/>
              </w:rPr>
              <w:t>966,40%</w:t>
            </w:r>
          </w:p>
        </w:tc>
        <w:tc>
          <w:tcPr>
            <w:tcW w:w="1274" w:type="dxa"/>
            <w:vAlign w:val="center"/>
          </w:tcPr>
          <w:p w14:paraId="745B4AB8" w14:textId="77777777" w:rsidR="00A10A55" w:rsidRPr="00AA5F0D" w:rsidRDefault="00A10A55" w:rsidP="000878F6">
            <w:pPr>
              <w:pStyle w:val="Table"/>
              <w:jc w:val="center"/>
              <w:rPr>
                <w:szCs w:val="20"/>
              </w:rPr>
            </w:pPr>
            <w:r w:rsidRPr="00AA5F0D">
              <w:rPr>
                <w:rFonts w:ascii="Calibri" w:hAnsi="Calibri" w:cs="Calibri"/>
                <w:color w:val="000000"/>
                <w:szCs w:val="20"/>
              </w:rPr>
              <w:t>954,29%</w:t>
            </w:r>
          </w:p>
        </w:tc>
      </w:tr>
      <w:tr w:rsidR="00A10A55" w:rsidRPr="00022C08" w14:paraId="085EDBFA" w14:textId="77777777" w:rsidTr="00BA7936">
        <w:trPr>
          <w:trHeight w:val="242"/>
        </w:trPr>
        <w:tc>
          <w:tcPr>
            <w:tcW w:w="2193" w:type="dxa"/>
          </w:tcPr>
          <w:p w14:paraId="74019525" w14:textId="77777777" w:rsidR="00A10A55" w:rsidRPr="00022C08" w:rsidRDefault="00A10A55" w:rsidP="000878F6">
            <w:pPr>
              <w:pStyle w:val="Table"/>
            </w:pPr>
            <w:r w:rsidRPr="00022C08">
              <w:t>Minerals &amp; Aggregates</w:t>
            </w:r>
          </w:p>
        </w:tc>
        <w:tc>
          <w:tcPr>
            <w:tcW w:w="1113" w:type="dxa"/>
            <w:vAlign w:val="center"/>
          </w:tcPr>
          <w:p w14:paraId="7BC39410" w14:textId="77777777" w:rsidR="00A10A55" w:rsidRPr="00AA5F0D" w:rsidRDefault="00A10A55" w:rsidP="000878F6">
            <w:pPr>
              <w:pStyle w:val="Table"/>
              <w:jc w:val="center"/>
              <w:rPr>
                <w:szCs w:val="20"/>
              </w:rPr>
            </w:pPr>
            <w:r w:rsidRPr="00AA5F0D">
              <w:rPr>
                <w:rFonts w:ascii="Calibri" w:hAnsi="Calibri" w:cs="Calibri"/>
                <w:color w:val="000000"/>
                <w:szCs w:val="20"/>
              </w:rPr>
              <w:t>-6,45%</w:t>
            </w:r>
          </w:p>
        </w:tc>
        <w:tc>
          <w:tcPr>
            <w:tcW w:w="1113" w:type="dxa"/>
            <w:vAlign w:val="center"/>
          </w:tcPr>
          <w:p w14:paraId="1914321C" w14:textId="77777777" w:rsidR="00A10A55" w:rsidRPr="00AA5F0D" w:rsidRDefault="00A10A55" w:rsidP="000878F6">
            <w:pPr>
              <w:pStyle w:val="Table"/>
              <w:jc w:val="center"/>
              <w:rPr>
                <w:szCs w:val="20"/>
              </w:rPr>
            </w:pPr>
            <w:r w:rsidRPr="00AA5F0D">
              <w:rPr>
                <w:rFonts w:ascii="Calibri" w:hAnsi="Calibri" w:cs="Calibri"/>
                <w:color w:val="000000"/>
                <w:szCs w:val="20"/>
              </w:rPr>
              <w:t>-6,45%</w:t>
            </w:r>
          </w:p>
        </w:tc>
        <w:tc>
          <w:tcPr>
            <w:tcW w:w="1028" w:type="dxa"/>
            <w:vAlign w:val="center"/>
          </w:tcPr>
          <w:p w14:paraId="36D31F3C" w14:textId="77777777" w:rsidR="00A10A55" w:rsidRPr="00AA5F0D" w:rsidRDefault="00A10A55" w:rsidP="000878F6">
            <w:pPr>
              <w:pStyle w:val="Table"/>
              <w:jc w:val="center"/>
              <w:rPr>
                <w:szCs w:val="20"/>
              </w:rPr>
            </w:pPr>
            <w:r w:rsidRPr="00AA5F0D">
              <w:rPr>
                <w:rFonts w:ascii="Calibri" w:hAnsi="Calibri" w:cs="Calibri"/>
                <w:color w:val="000000"/>
                <w:szCs w:val="20"/>
              </w:rPr>
              <w:t>63,29</w:t>
            </w:r>
          </w:p>
        </w:tc>
        <w:tc>
          <w:tcPr>
            <w:tcW w:w="1205" w:type="dxa"/>
            <w:vAlign w:val="center"/>
          </w:tcPr>
          <w:p w14:paraId="5C620A13" w14:textId="77777777" w:rsidR="00A10A55" w:rsidRPr="00AA5F0D" w:rsidRDefault="00A10A55" w:rsidP="000878F6">
            <w:pPr>
              <w:pStyle w:val="Table"/>
              <w:jc w:val="center"/>
              <w:rPr>
                <w:szCs w:val="20"/>
              </w:rPr>
            </w:pPr>
            <w:r w:rsidRPr="00AA5F0D">
              <w:rPr>
                <w:rFonts w:ascii="Calibri" w:hAnsi="Calibri" w:cs="Calibri"/>
                <w:color w:val="000000"/>
                <w:szCs w:val="20"/>
              </w:rPr>
              <w:t>57,47</w:t>
            </w:r>
          </w:p>
        </w:tc>
        <w:tc>
          <w:tcPr>
            <w:tcW w:w="1098" w:type="dxa"/>
            <w:vAlign w:val="center"/>
          </w:tcPr>
          <w:p w14:paraId="38296D78" w14:textId="77777777" w:rsidR="00A10A55" w:rsidRPr="00AA5F0D" w:rsidRDefault="00A10A55" w:rsidP="000878F6">
            <w:pPr>
              <w:pStyle w:val="Table"/>
              <w:jc w:val="center"/>
              <w:rPr>
                <w:szCs w:val="20"/>
              </w:rPr>
            </w:pPr>
            <w:r w:rsidRPr="00AA5F0D">
              <w:rPr>
                <w:rFonts w:ascii="Calibri" w:hAnsi="Calibri" w:cs="Calibri"/>
                <w:color w:val="000000"/>
                <w:szCs w:val="20"/>
              </w:rPr>
              <w:t>269,09%</w:t>
            </w:r>
          </w:p>
        </w:tc>
        <w:tc>
          <w:tcPr>
            <w:tcW w:w="1274" w:type="dxa"/>
            <w:vAlign w:val="center"/>
          </w:tcPr>
          <w:p w14:paraId="28596405" w14:textId="77777777" w:rsidR="00A10A55" w:rsidRPr="00AA5F0D" w:rsidRDefault="00A10A55" w:rsidP="000878F6">
            <w:pPr>
              <w:pStyle w:val="Table"/>
              <w:jc w:val="center"/>
              <w:rPr>
                <w:szCs w:val="20"/>
              </w:rPr>
            </w:pPr>
            <w:r w:rsidRPr="00AA5F0D">
              <w:rPr>
                <w:rFonts w:ascii="Calibri" w:hAnsi="Calibri" w:cs="Calibri"/>
                <w:color w:val="000000"/>
                <w:szCs w:val="20"/>
              </w:rPr>
              <w:t>244,34%</w:t>
            </w:r>
          </w:p>
        </w:tc>
      </w:tr>
    </w:tbl>
    <w:p w14:paraId="3A29B63A" w14:textId="77777777" w:rsidR="00A10A55" w:rsidRDefault="00A10A55" w:rsidP="00A10A55">
      <w:pPr>
        <w:rPr>
          <w:lang w:eastAsia="en-GB"/>
        </w:rPr>
      </w:pPr>
    </w:p>
    <w:tbl>
      <w:tblPr>
        <w:tblStyle w:val="Lentelstinklelis1"/>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1113"/>
        <w:gridCol w:w="1113"/>
        <w:gridCol w:w="1028"/>
        <w:gridCol w:w="1205"/>
        <w:gridCol w:w="1098"/>
        <w:gridCol w:w="1274"/>
      </w:tblGrid>
      <w:tr w:rsidR="00A10A55" w:rsidRPr="00574DD5" w14:paraId="60D13007" w14:textId="77777777" w:rsidTr="00BA7936">
        <w:trPr>
          <w:trHeight w:val="263"/>
        </w:trPr>
        <w:tc>
          <w:tcPr>
            <w:tcW w:w="9024" w:type="dxa"/>
            <w:gridSpan w:val="7"/>
            <w:shd w:val="clear" w:color="auto" w:fill="003399"/>
          </w:tcPr>
          <w:p w14:paraId="6D408F95" w14:textId="3184467D" w:rsidR="00A10A55" w:rsidRPr="00574DD5" w:rsidRDefault="00A10A55" w:rsidP="000878F6">
            <w:pPr>
              <w:pStyle w:val="Table"/>
              <w:rPr>
                <w:b/>
                <w:color w:val="FFFFFF" w:themeColor="background1"/>
                <w:szCs w:val="20"/>
                <w:lang w:eastAsia="en-GB"/>
              </w:rPr>
            </w:pPr>
            <w:r w:rsidRPr="00574DD5">
              <w:rPr>
                <w:b/>
                <w:color w:val="FFFFFF" w:themeColor="background1"/>
                <w:szCs w:val="20"/>
              </w:rPr>
              <w:t xml:space="preserve">Table </w:t>
            </w:r>
            <w:r w:rsidR="00490085">
              <w:rPr>
                <w:b/>
                <w:bCs/>
                <w:color w:val="FFFFFF" w:themeColor="background1"/>
                <w:szCs w:val="20"/>
              </w:rPr>
              <w:t>A6</w:t>
            </w:r>
            <w:r w:rsidRPr="00574DD5">
              <w:rPr>
                <w:b/>
                <w:bCs/>
                <w:color w:val="FFFFFF" w:themeColor="background1"/>
                <w:szCs w:val="20"/>
              </w:rPr>
              <w:t>-</w:t>
            </w:r>
            <w:r w:rsidRPr="00574DD5">
              <w:rPr>
                <w:b/>
                <w:bCs/>
                <w:color w:val="FFFFFF" w:themeColor="background1"/>
                <w:szCs w:val="20"/>
              </w:rPr>
              <w:fldChar w:fldCharType="begin"/>
            </w:r>
            <w:r w:rsidRPr="00574DD5">
              <w:rPr>
                <w:b/>
                <w:bCs/>
                <w:color w:val="FFFFFF" w:themeColor="background1"/>
                <w:szCs w:val="20"/>
              </w:rPr>
              <w:instrText xml:space="preserve"> SEQ Table_A5- \* ARABIC </w:instrText>
            </w:r>
            <w:r w:rsidRPr="00574DD5">
              <w:rPr>
                <w:b/>
                <w:bCs/>
                <w:color w:val="FFFFFF" w:themeColor="background1"/>
                <w:szCs w:val="20"/>
              </w:rPr>
              <w:fldChar w:fldCharType="separate"/>
            </w:r>
            <w:r>
              <w:rPr>
                <w:b/>
                <w:bCs/>
                <w:noProof/>
                <w:color w:val="FFFFFF" w:themeColor="background1"/>
                <w:szCs w:val="20"/>
              </w:rPr>
              <w:t>113</w:t>
            </w:r>
            <w:r w:rsidRPr="00574DD5">
              <w:rPr>
                <w:b/>
                <w:bCs/>
                <w:color w:val="FFFFFF" w:themeColor="background1"/>
                <w:szCs w:val="20"/>
              </w:rPr>
              <w:fldChar w:fldCharType="end"/>
            </w:r>
            <w:r w:rsidRPr="00574DD5">
              <w:rPr>
                <w:b/>
                <w:bCs/>
                <w:color w:val="FFFFFF" w:themeColor="background1"/>
                <w:szCs w:val="20"/>
                <w:lang w:eastAsia="en-GB"/>
              </w:rPr>
              <w:t>:</w:t>
            </w:r>
            <w:r w:rsidRPr="00574DD5">
              <w:rPr>
                <w:b/>
                <w:color w:val="FFFFFF" w:themeColor="background1"/>
                <w:szCs w:val="20"/>
                <w:lang w:eastAsia="en-GB"/>
              </w:rPr>
              <w:t xml:space="preserve"> Environmental Impacts and Revenue Changes in Portugal – Scenario B</w:t>
            </w:r>
          </w:p>
        </w:tc>
      </w:tr>
      <w:tr w:rsidR="00A10A55" w:rsidRPr="00574DD5" w14:paraId="4C0822CB" w14:textId="77777777" w:rsidTr="00BA7936">
        <w:trPr>
          <w:trHeight w:val="503"/>
        </w:trPr>
        <w:tc>
          <w:tcPr>
            <w:tcW w:w="2193" w:type="dxa"/>
          </w:tcPr>
          <w:p w14:paraId="542C61C5" w14:textId="77777777" w:rsidR="00A10A55" w:rsidRPr="00574DD5" w:rsidRDefault="00A10A55" w:rsidP="000878F6">
            <w:pPr>
              <w:pStyle w:val="Table"/>
              <w:rPr>
                <w:b/>
                <w:szCs w:val="20"/>
              </w:rPr>
            </w:pPr>
            <w:r w:rsidRPr="00574DD5">
              <w:rPr>
                <w:b/>
                <w:szCs w:val="20"/>
              </w:rPr>
              <w:t>Tax Name</w:t>
            </w:r>
          </w:p>
        </w:tc>
        <w:tc>
          <w:tcPr>
            <w:tcW w:w="2226" w:type="dxa"/>
            <w:gridSpan w:val="2"/>
            <w:vAlign w:val="bottom"/>
          </w:tcPr>
          <w:p w14:paraId="45AFAB9E" w14:textId="77777777" w:rsidR="00A10A55" w:rsidRPr="00574DD5" w:rsidRDefault="00A10A55" w:rsidP="000878F6">
            <w:pPr>
              <w:pStyle w:val="Table"/>
              <w:jc w:val="center"/>
              <w:rPr>
                <w:b/>
                <w:szCs w:val="20"/>
              </w:rPr>
            </w:pPr>
            <w:r w:rsidRPr="00574DD5">
              <w:rPr>
                <w:rFonts w:ascii="Calibri" w:hAnsi="Calibri" w:cs="Calibri"/>
                <w:b/>
                <w:bCs/>
                <w:color w:val="000000"/>
                <w:szCs w:val="20"/>
              </w:rPr>
              <w:t>% Change in Quantities as % of taxed sector</w:t>
            </w:r>
          </w:p>
        </w:tc>
        <w:tc>
          <w:tcPr>
            <w:tcW w:w="2233" w:type="dxa"/>
            <w:gridSpan w:val="2"/>
            <w:vAlign w:val="bottom"/>
          </w:tcPr>
          <w:p w14:paraId="7F579932" w14:textId="77777777" w:rsidR="00A10A55" w:rsidRPr="00574DD5" w:rsidRDefault="00A10A55" w:rsidP="000878F6">
            <w:pPr>
              <w:pStyle w:val="Table"/>
              <w:jc w:val="center"/>
              <w:rPr>
                <w:b/>
                <w:szCs w:val="20"/>
              </w:rPr>
            </w:pPr>
            <w:r w:rsidRPr="00574DD5">
              <w:rPr>
                <w:rFonts w:ascii="Calibri" w:hAnsi="Calibri" w:cs="Calibri"/>
                <w:b/>
                <w:bCs/>
                <w:color w:val="000000"/>
                <w:szCs w:val="20"/>
              </w:rPr>
              <w:t>Change in Revenues (€Mn)</w:t>
            </w:r>
          </w:p>
        </w:tc>
        <w:tc>
          <w:tcPr>
            <w:tcW w:w="2372" w:type="dxa"/>
            <w:gridSpan w:val="2"/>
            <w:vAlign w:val="bottom"/>
          </w:tcPr>
          <w:p w14:paraId="5E9D1A55" w14:textId="77777777" w:rsidR="00A10A55" w:rsidRPr="00574DD5" w:rsidRDefault="00A10A55" w:rsidP="000878F6">
            <w:pPr>
              <w:pStyle w:val="Table"/>
              <w:jc w:val="center"/>
              <w:rPr>
                <w:b/>
                <w:szCs w:val="20"/>
              </w:rPr>
            </w:pPr>
            <w:r w:rsidRPr="00574DD5">
              <w:rPr>
                <w:rFonts w:ascii="Calibri" w:hAnsi="Calibri" w:cs="Calibri"/>
                <w:b/>
                <w:bCs/>
                <w:color w:val="000000"/>
                <w:szCs w:val="20"/>
              </w:rPr>
              <w:t>As % of 2023 Resource Tax</w:t>
            </w:r>
          </w:p>
        </w:tc>
      </w:tr>
      <w:tr w:rsidR="00A10A55" w:rsidRPr="00574DD5" w14:paraId="43BAFC10" w14:textId="77777777" w:rsidTr="00BA7936">
        <w:trPr>
          <w:trHeight w:val="242"/>
        </w:trPr>
        <w:tc>
          <w:tcPr>
            <w:tcW w:w="2193" w:type="dxa"/>
          </w:tcPr>
          <w:p w14:paraId="6F2B9F82" w14:textId="77777777" w:rsidR="00A10A55" w:rsidRPr="00574DD5" w:rsidRDefault="00A10A55" w:rsidP="000878F6">
            <w:pPr>
              <w:pStyle w:val="Table"/>
              <w:jc w:val="left"/>
              <w:rPr>
                <w:b/>
                <w:szCs w:val="20"/>
              </w:rPr>
            </w:pPr>
            <w:r w:rsidRPr="00574DD5">
              <w:rPr>
                <w:b/>
                <w:szCs w:val="20"/>
              </w:rPr>
              <w:t>Year</w:t>
            </w:r>
          </w:p>
        </w:tc>
        <w:tc>
          <w:tcPr>
            <w:tcW w:w="1113" w:type="dxa"/>
          </w:tcPr>
          <w:p w14:paraId="77932F4A" w14:textId="77777777" w:rsidR="00A10A55" w:rsidRPr="00574DD5" w:rsidRDefault="00A10A55" w:rsidP="000878F6">
            <w:pPr>
              <w:pStyle w:val="Table"/>
              <w:jc w:val="center"/>
              <w:rPr>
                <w:b/>
                <w:szCs w:val="20"/>
              </w:rPr>
            </w:pPr>
            <w:r w:rsidRPr="00574DD5">
              <w:rPr>
                <w:b/>
                <w:szCs w:val="20"/>
              </w:rPr>
              <w:t>2030</w:t>
            </w:r>
          </w:p>
        </w:tc>
        <w:tc>
          <w:tcPr>
            <w:tcW w:w="1113" w:type="dxa"/>
          </w:tcPr>
          <w:p w14:paraId="648A2DD4" w14:textId="77777777" w:rsidR="00A10A55" w:rsidRPr="00574DD5" w:rsidRDefault="00A10A55" w:rsidP="000878F6">
            <w:pPr>
              <w:pStyle w:val="Table"/>
              <w:jc w:val="center"/>
              <w:rPr>
                <w:b/>
                <w:szCs w:val="20"/>
              </w:rPr>
            </w:pPr>
            <w:r w:rsidRPr="00574DD5">
              <w:rPr>
                <w:b/>
                <w:szCs w:val="20"/>
              </w:rPr>
              <w:t>2035</w:t>
            </w:r>
          </w:p>
        </w:tc>
        <w:tc>
          <w:tcPr>
            <w:tcW w:w="1028" w:type="dxa"/>
          </w:tcPr>
          <w:p w14:paraId="240D1946" w14:textId="77777777" w:rsidR="00A10A55" w:rsidRPr="00574DD5" w:rsidRDefault="00A10A55" w:rsidP="000878F6">
            <w:pPr>
              <w:pStyle w:val="Table"/>
              <w:jc w:val="center"/>
              <w:rPr>
                <w:b/>
                <w:szCs w:val="20"/>
              </w:rPr>
            </w:pPr>
            <w:r w:rsidRPr="00574DD5">
              <w:rPr>
                <w:b/>
                <w:szCs w:val="20"/>
              </w:rPr>
              <w:t>2030</w:t>
            </w:r>
          </w:p>
        </w:tc>
        <w:tc>
          <w:tcPr>
            <w:tcW w:w="1205" w:type="dxa"/>
          </w:tcPr>
          <w:p w14:paraId="258F648E" w14:textId="77777777" w:rsidR="00A10A55" w:rsidRPr="00574DD5" w:rsidRDefault="00A10A55" w:rsidP="000878F6">
            <w:pPr>
              <w:pStyle w:val="Table"/>
              <w:jc w:val="center"/>
              <w:rPr>
                <w:b/>
                <w:szCs w:val="20"/>
              </w:rPr>
            </w:pPr>
            <w:r w:rsidRPr="00574DD5">
              <w:rPr>
                <w:b/>
                <w:szCs w:val="20"/>
              </w:rPr>
              <w:t>2035</w:t>
            </w:r>
          </w:p>
        </w:tc>
        <w:tc>
          <w:tcPr>
            <w:tcW w:w="1098" w:type="dxa"/>
          </w:tcPr>
          <w:p w14:paraId="09115210" w14:textId="77777777" w:rsidR="00A10A55" w:rsidRPr="00574DD5" w:rsidRDefault="00A10A55" w:rsidP="000878F6">
            <w:pPr>
              <w:pStyle w:val="Table"/>
              <w:jc w:val="center"/>
              <w:rPr>
                <w:b/>
                <w:szCs w:val="20"/>
              </w:rPr>
            </w:pPr>
            <w:r w:rsidRPr="00574DD5">
              <w:rPr>
                <w:b/>
                <w:szCs w:val="20"/>
              </w:rPr>
              <w:t>2030</w:t>
            </w:r>
          </w:p>
        </w:tc>
        <w:tc>
          <w:tcPr>
            <w:tcW w:w="1274" w:type="dxa"/>
          </w:tcPr>
          <w:p w14:paraId="7885E54F" w14:textId="77777777" w:rsidR="00A10A55" w:rsidRPr="00574DD5" w:rsidRDefault="00A10A55" w:rsidP="000878F6">
            <w:pPr>
              <w:pStyle w:val="Table"/>
              <w:jc w:val="center"/>
              <w:rPr>
                <w:b/>
                <w:szCs w:val="20"/>
              </w:rPr>
            </w:pPr>
            <w:r w:rsidRPr="00574DD5">
              <w:rPr>
                <w:b/>
                <w:szCs w:val="20"/>
              </w:rPr>
              <w:t>2035</w:t>
            </w:r>
          </w:p>
        </w:tc>
      </w:tr>
      <w:tr w:rsidR="00A10A55" w:rsidRPr="00574DD5" w14:paraId="55FF54F0" w14:textId="77777777" w:rsidTr="00BA7936">
        <w:trPr>
          <w:trHeight w:val="242"/>
        </w:trPr>
        <w:tc>
          <w:tcPr>
            <w:tcW w:w="2193" w:type="dxa"/>
          </w:tcPr>
          <w:p w14:paraId="7764CF18" w14:textId="77777777" w:rsidR="00A10A55" w:rsidRPr="00574DD5" w:rsidRDefault="00A10A55" w:rsidP="000878F6">
            <w:pPr>
              <w:pStyle w:val="Table"/>
              <w:rPr>
                <w:szCs w:val="20"/>
              </w:rPr>
            </w:pPr>
            <w:r w:rsidRPr="00574DD5">
              <w:rPr>
                <w:szCs w:val="20"/>
              </w:rPr>
              <w:t>NOx</w:t>
            </w:r>
          </w:p>
        </w:tc>
        <w:tc>
          <w:tcPr>
            <w:tcW w:w="1113" w:type="dxa"/>
            <w:vAlign w:val="center"/>
          </w:tcPr>
          <w:p w14:paraId="7169D163" w14:textId="77777777" w:rsidR="00A10A55" w:rsidRPr="00574DD5" w:rsidRDefault="00A10A55" w:rsidP="000878F6">
            <w:pPr>
              <w:pStyle w:val="Table"/>
              <w:jc w:val="center"/>
              <w:rPr>
                <w:szCs w:val="20"/>
              </w:rPr>
            </w:pPr>
            <w:r w:rsidRPr="00574DD5">
              <w:rPr>
                <w:rFonts w:ascii="Calibri" w:hAnsi="Calibri" w:cs="Calibri"/>
                <w:color w:val="000000"/>
                <w:szCs w:val="20"/>
              </w:rPr>
              <w:t>-7,39%</w:t>
            </w:r>
          </w:p>
        </w:tc>
        <w:tc>
          <w:tcPr>
            <w:tcW w:w="1113" w:type="dxa"/>
            <w:vAlign w:val="center"/>
          </w:tcPr>
          <w:p w14:paraId="0392C4F8" w14:textId="77777777" w:rsidR="00A10A55" w:rsidRPr="00574DD5" w:rsidRDefault="00A10A55" w:rsidP="000878F6">
            <w:pPr>
              <w:pStyle w:val="Table"/>
              <w:jc w:val="center"/>
              <w:rPr>
                <w:szCs w:val="20"/>
              </w:rPr>
            </w:pPr>
            <w:r w:rsidRPr="00574DD5">
              <w:rPr>
                <w:rFonts w:ascii="Calibri" w:hAnsi="Calibri" w:cs="Calibri"/>
                <w:color w:val="000000"/>
                <w:szCs w:val="20"/>
              </w:rPr>
              <w:t>-7,39%</w:t>
            </w:r>
          </w:p>
        </w:tc>
        <w:tc>
          <w:tcPr>
            <w:tcW w:w="1028" w:type="dxa"/>
            <w:vAlign w:val="center"/>
          </w:tcPr>
          <w:p w14:paraId="309B1744" w14:textId="77777777" w:rsidR="00A10A55" w:rsidRPr="00574DD5" w:rsidRDefault="00A10A55" w:rsidP="000878F6">
            <w:pPr>
              <w:pStyle w:val="Table"/>
              <w:jc w:val="center"/>
              <w:rPr>
                <w:szCs w:val="20"/>
              </w:rPr>
            </w:pPr>
            <w:r w:rsidRPr="00574DD5">
              <w:rPr>
                <w:rFonts w:ascii="Calibri" w:hAnsi="Calibri" w:cs="Calibri"/>
                <w:color w:val="000000"/>
                <w:szCs w:val="20"/>
              </w:rPr>
              <w:t>0,95</w:t>
            </w:r>
          </w:p>
        </w:tc>
        <w:tc>
          <w:tcPr>
            <w:tcW w:w="1205" w:type="dxa"/>
            <w:vAlign w:val="center"/>
          </w:tcPr>
          <w:p w14:paraId="48D855E2" w14:textId="77777777" w:rsidR="00A10A55" w:rsidRPr="00574DD5" w:rsidRDefault="00A10A55" w:rsidP="000878F6">
            <w:pPr>
              <w:pStyle w:val="Table"/>
              <w:jc w:val="center"/>
              <w:rPr>
                <w:szCs w:val="20"/>
              </w:rPr>
            </w:pPr>
            <w:r w:rsidRPr="00574DD5">
              <w:rPr>
                <w:rFonts w:ascii="Calibri" w:hAnsi="Calibri" w:cs="Calibri"/>
                <w:color w:val="000000"/>
                <w:szCs w:val="20"/>
              </w:rPr>
              <w:t>0,86</w:t>
            </w:r>
          </w:p>
        </w:tc>
        <w:tc>
          <w:tcPr>
            <w:tcW w:w="1098" w:type="dxa"/>
            <w:vAlign w:val="center"/>
          </w:tcPr>
          <w:p w14:paraId="2E639233" w14:textId="77777777" w:rsidR="00A10A55" w:rsidRPr="00574DD5" w:rsidRDefault="00A10A55" w:rsidP="000878F6">
            <w:pPr>
              <w:pStyle w:val="Table"/>
              <w:jc w:val="center"/>
              <w:rPr>
                <w:szCs w:val="20"/>
              </w:rPr>
            </w:pPr>
            <w:r w:rsidRPr="00574DD5">
              <w:rPr>
                <w:rFonts w:ascii="Calibri" w:hAnsi="Calibri" w:cs="Calibri"/>
                <w:color w:val="000000"/>
                <w:szCs w:val="20"/>
              </w:rPr>
              <w:t>1,2%</w:t>
            </w:r>
          </w:p>
        </w:tc>
        <w:tc>
          <w:tcPr>
            <w:tcW w:w="1274" w:type="dxa"/>
            <w:vAlign w:val="center"/>
          </w:tcPr>
          <w:p w14:paraId="3CEC72DD" w14:textId="77777777" w:rsidR="00A10A55" w:rsidRPr="00574DD5" w:rsidRDefault="00A10A55" w:rsidP="000878F6">
            <w:pPr>
              <w:pStyle w:val="Table"/>
              <w:jc w:val="center"/>
              <w:rPr>
                <w:szCs w:val="20"/>
              </w:rPr>
            </w:pPr>
            <w:r w:rsidRPr="00574DD5">
              <w:rPr>
                <w:rFonts w:ascii="Calibri" w:hAnsi="Calibri" w:cs="Calibri"/>
                <w:color w:val="000000"/>
                <w:szCs w:val="20"/>
              </w:rPr>
              <w:t>1,1%</w:t>
            </w:r>
          </w:p>
        </w:tc>
      </w:tr>
      <w:tr w:rsidR="00A10A55" w:rsidRPr="00574DD5" w14:paraId="3BB47E22" w14:textId="77777777" w:rsidTr="00BA7936">
        <w:trPr>
          <w:trHeight w:val="242"/>
        </w:trPr>
        <w:tc>
          <w:tcPr>
            <w:tcW w:w="2193" w:type="dxa"/>
          </w:tcPr>
          <w:p w14:paraId="3F6A4E0F" w14:textId="77777777" w:rsidR="00A10A55" w:rsidRPr="00574DD5" w:rsidRDefault="00A10A55" w:rsidP="000878F6">
            <w:pPr>
              <w:pStyle w:val="Table"/>
              <w:rPr>
                <w:szCs w:val="20"/>
              </w:rPr>
            </w:pPr>
            <w:r w:rsidRPr="00574DD5">
              <w:rPr>
                <w:szCs w:val="20"/>
              </w:rPr>
              <w:t>SO2</w:t>
            </w:r>
          </w:p>
        </w:tc>
        <w:tc>
          <w:tcPr>
            <w:tcW w:w="1113" w:type="dxa"/>
            <w:vAlign w:val="center"/>
          </w:tcPr>
          <w:p w14:paraId="6C416B3D" w14:textId="77777777" w:rsidR="00A10A55" w:rsidRPr="00574DD5" w:rsidRDefault="00A10A55" w:rsidP="000878F6">
            <w:pPr>
              <w:pStyle w:val="Table"/>
              <w:jc w:val="center"/>
              <w:rPr>
                <w:szCs w:val="20"/>
              </w:rPr>
            </w:pPr>
            <w:r w:rsidRPr="00574DD5">
              <w:rPr>
                <w:rFonts w:ascii="Calibri" w:hAnsi="Calibri" w:cs="Calibri"/>
                <w:color w:val="000000"/>
                <w:szCs w:val="20"/>
              </w:rPr>
              <w:t>-8,11%</w:t>
            </w:r>
          </w:p>
        </w:tc>
        <w:tc>
          <w:tcPr>
            <w:tcW w:w="1113" w:type="dxa"/>
            <w:vAlign w:val="center"/>
          </w:tcPr>
          <w:p w14:paraId="24BC028A" w14:textId="77777777" w:rsidR="00A10A55" w:rsidRPr="00574DD5" w:rsidRDefault="00A10A55" w:rsidP="000878F6">
            <w:pPr>
              <w:pStyle w:val="Table"/>
              <w:jc w:val="center"/>
              <w:rPr>
                <w:szCs w:val="20"/>
              </w:rPr>
            </w:pPr>
            <w:r w:rsidRPr="00574DD5">
              <w:rPr>
                <w:rFonts w:ascii="Calibri" w:hAnsi="Calibri" w:cs="Calibri"/>
                <w:color w:val="000000"/>
                <w:szCs w:val="20"/>
              </w:rPr>
              <w:t>-8,11%</w:t>
            </w:r>
          </w:p>
        </w:tc>
        <w:tc>
          <w:tcPr>
            <w:tcW w:w="1028" w:type="dxa"/>
            <w:vAlign w:val="center"/>
          </w:tcPr>
          <w:p w14:paraId="5BBA39E1" w14:textId="77777777" w:rsidR="00A10A55" w:rsidRPr="00574DD5" w:rsidRDefault="00A10A55" w:rsidP="000878F6">
            <w:pPr>
              <w:pStyle w:val="Table"/>
              <w:jc w:val="center"/>
              <w:rPr>
                <w:szCs w:val="20"/>
              </w:rPr>
            </w:pPr>
            <w:r w:rsidRPr="00574DD5">
              <w:rPr>
                <w:rFonts w:ascii="Calibri" w:hAnsi="Calibri" w:cs="Calibri"/>
                <w:color w:val="000000"/>
                <w:szCs w:val="20"/>
              </w:rPr>
              <w:t>7,93</w:t>
            </w:r>
          </w:p>
        </w:tc>
        <w:tc>
          <w:tcPr>
            <w:tcW w:w="1205" w:type="dxa"/>
            <w:vAlign w:val="center"/>
          </w:tcPr>
          <w:p w14:paraId="124B4D19" w14:textId="77777777" w:rsidR="00A10A55" w:rsidRPr="00574DD5" w:rsidRDefault="00A10A55" w:rsidP="000878F6">
            <w:pPr>
              <w:pStyle w:val="Table"/>
              <w:jc w:val="center"/>
              <w:rPr>
                <w:szCs w:val="20"/>
              </w:rPr>
            </w:pPr>
            <w:r w:rsidRPr="00574DD5">
              <w:rPr>
                <w:rFonts w:ascii="Calibri" w:hAnsi="Calibri" w:cs="Calibri"/>
                <w:color w:val="000000"/>
                <w:szCs w:val="20"/>
              </w:rPr>
              <w:t>6,33</w:t>
            </w:r>
          </w:p>
        </w:tc>
        <w:tc>
          <w:tcPr>
            <w:tcW w:w="1098" w:type="dxa"/>
            <w:vAlign w:val="center"/>
          </w:tcPr>
          <w:p w14:paraId="6DD9822F" w14:textId="77777777" w:rsidR="00A10A55" w:rsidRPr="00574DD5" w:rsidRDefault="00A10A55" w:rsidP="000878F6">
            <w:pPr>
              <w:pStyle w:val="Table"/>
              <w:jc w:val="center"/>
              <w:rPr>
                <w:szCs w:val="20"/>
              </w:rPr>
            </w:pPr>
            <w:r w:rsidRPr="00574DD5">
              <w:rPr>
                <w:rFonts w:ascii="Calibri" w:hAnsi="Calibri" w:cs="Calibri"/>
                <w:color w:val="000000"/>
                <w:szCs w:val="20"/>
              </w:rPr>
              <w:t>10,0%</w:t>
            </w:r>
          </w:p>
        </w:tc>
        <w:tc>
          <w:tcPr>
            <w:tcW w:w="1274" w:type="dxa"/>
            <w:vAlign w:val="center"/>
          </w:tcPr>
          <w:p w14:paraId="4C643790" w14:textId="77777777" w:rsidR="00A10A55" w:rsidRPr="00574DD5" w:rsidRDefault="00A10A55" w:rsidP="000878F6">
            <w:pPr>
              <w:pStyle w:val="Table"/>
              <w:jc w:val="center"/>
              <w:rPr>
                <w:szCs w:val="20"/>
              </w:rPr>
            </w:pPr>
            <w:r w:rsidRPr="00574DD5">
              <w:rPr>
                <w:rFonts w:ascii="Calibri" w:hAnsi="Calibri" w:cs="Calibri"/>
                <w:color w:val="000000"/>
                <w:szCs w:val="20"/>
              </w:rPr>
              <w:t>8,0%</w:t>
            </w:r>
          </w:p>
        </w:tc>
      </w:tr>
      <w:tr w:rsidR="00A10A55" w:rsidRPr="00574DD5" w14:paraId="20642559" w14:textId="77777777" w:rsidTr="00BA7936">
        <w:trPr>
          <w:trHeight w:val="242"/>
        </w:trPr>
        <w:tc>
          <w:tcPr>
            <w:tcW w:w="2193" w:type="dxa"/>
          </w:tcPr>
          <w:p w14:paraId="1657AAA2" w14:textId="77777777" w:rsidR="00A10A55" w:rsidRPr="00574DD5" w:rsidRDefault="00A10A55" w:rsidP="000878F6">
            <w:pPr>
              <w:pStyle w:val="Table"/>
              <w:rPr>
                <w:szCs w:val="20"/>
              </w:rPr>
            </w:pPr>
            <w:r w:rsidRPr="00574DD5">
              <w:rPr>
                <w:szCs w:val="20"/>
              </w:rPr>
              <w:t>PM2.5</w:t>
            </w:r>
          </w:p>
        </w:tc>
        <w:tc>
          <w:tcPr>
            <w:tcW w:w="1113" w:type="dxa"/>
            <w:vAlign w:val="center"/>
          </w:tcPr>
          <w:p w14:paraId="3C39B8E2" w14:textId="77777777" w:rsidR="00A10A55" w:rsidRPr="00574DD5" w:rsidRDefault="00A10A55" w:rsidP="000878F6">
            <w:pPr>
              <w:pStyle w:val="Table"/>
              <w:jc w:val="center"/>
              <w:rPr>
                <w:szCs w:val="20"/>
              </w:rPr>
            </w:pPr>
            <w:r w:rsidRPr="00574DD5">
              <w:rPr>
                <w:rFonts w:ascii="Calibri" w:hAnsi="Calibri" w:cs="Calibri"/>
                <w:color w:val="000000"/>
                <w:szCs w:val="20"/>
              </w:rPr>
              <w:t>-7,39%</w:t>
            </w:r>
          </w:p>
        </w:tc>
        <w:tc>
          <w:tcPr>
            <w:tcW w:w="1113" w:type="dxa"/>
            <w:vAlign w:val="center"/>
          </w:tcPr>
          <w:p w14:paraId="0D767A24" w14:textId="77777777" w:rsidR="00A10A55" w:rsidRPr="00574DD5" w:rsidRDefault="00A10A55" w:rsidP="000878F6">
            <w:pPr>
              <w:pStyle w:val="Table"/>
              <w:jc w:val="center"/>
              <w:rPr>
                <w:szCs w:val="20"/>
              </w:rPr>
            </w:pPr>
            <w:r w:rsidRPr="00574DD5">
              <w:rPr>
                <w:rFonts w:ascii="Calibri" w:hAnsi="Calibri" w:cs="Calibri"/>
                <w:color w:val="000000"/>
                <w:szCs w:val="20"/>
              </w:rPr>
              <w:t>-7,39%</w:t>
            </w:r>
          </w:p>
        </w:tc>
        <w:tc>
          <w:tcPr>
            <w:tcW w:w="1028" w:type="dxa"/>
            <w:vAlign w:val="center"/>
          </w:tcPr>
          <w:p w14:paraId="153867DC" w14:textId="77777777" w:rsidR="00A10A55" w:rsidRPr="00574DD5" w:rsidRDefault="00A10A55" w:rsidP="000878F6">
            <w:pPr>
              <w:pStyle w:val="Table"/>
              <w:jc w:val="center"/>
              <w:rPr>
                <w:szCs w:val="20"/>
              </w:rPr>
            </w:pPr>
            <w:r w:rsidRPr="00574DD5">
              <w:rPr>
                <w:rFonts w:ascii="Calibri" w:hAnsi="Calibri" w:cs="Calibri"/>
                <w:color w:val="000000"/>
                <w:szCs w:val="20"/>
              </w:rPr>
              <w:t>5,87</w:t>
            </w:r>
          </w:p>
        </w:tc>
        <w:tc>
          <w:tcPr>
            <w:tcW w:w="1205" w:type="dxa"/>
            <w:vAlign w:val="center"/>
          </w:tcPr>
          <w:p w14:paraId="2FF51FEA" w14:textId="77777777" w:rsidR="00A10A55" w:rsidRPr="00574DD5" w:rsidRDefault="00A10A55" w:rsidP="000878F6">
            <w:pPr>
              <w:pStyle w:val="Table"/>
              <w:jc w:val="center"/>
              <w:rPr>
                <w:szCs w:val="20"/>
              </w:rPr>
            </w:pPr>
            <w:r w:rsidRPr="00574DD5">
              <w:rPr>
                <w:rFonts w:ascii="Calibri" w:hAnsi="Calibri" w:cs="Calibri"/>
                <w:color w:val="000000"/>
                <w:szCs w:val="20"/>
              </w:rPr>
              <w:t>5,87</w:t>
            </w:r>
          </w:p>
        </w:tc>
        <w:tc>
          <w:tcPr>
            <w:tcW w:w="1098" w:type="dxa"/>
            <w:vAlign w:val="center"/>
          </w:tcPr>
          <w:p w14:paraId="69D6284D" w14:textId="77777777" w:rsidR="00A10A55" w:rsidRPr="00574DD5" w:rsidRDefault="00A10A55" w:rsidP="000878F6">
            <w:pPr>
              <w:pStyle w:val="Table"/>
              <w:jc w:val="center"/>
              <w:rPr>
                <w:szCs w:val="20"/>
              </w:rPr>
            </w:pPr>
            <w:r w:rsidRPr="00574DD5">
              <w:rPr>
                <w:rFonts w:ascii="Calibri" w:hAnsi="Calibri" w:cs="Calibri"/>
                <w:color w:val="000000"/>
                <w:szCs w:val="20"/>
              </w:rPr>
              <w:t>7,4%</w:t>
            </w:r>
          </w:p>
        </w:tc>
        <w:tc>
          <w:tcPr>
            <w:tcW w:w="1274" w:type="dxa"/>
            <w:vAlign w:val="center"/>
          </w:tcPr>
          <w:p w14:paraId="57D4F913" w14:textId="77777777" w:rsidR="00A10A55" w:rsidRPr="00574DD5" w:rsidRDefault="00A10A55" w:rsidP="000878F6">
            <w:pPr>
              <w:pStyle w:val="Table"/>
              <w:jc w:val="center"/>
              <w:rPr>
                <w:szCs w:val="20"/>
              </w:rPr>
            </w:pPr>
            <w:r w:rsidRPr="00574DD5">
              <w:rPr>
                <w:rFonts w:ascii="Calibri" w:hAnsi="Calibri" w:cs="Calibri"/>
                <w:color w:val="000000"/>
                <w:szCs w:val="20"/>
              </w:rPr>
              <w:t>7,4%</w:t>
            </w:r>
          </w:p>
        </w:tc>
      </w:tr>
      <w:tr w:rsidR="00A10A55" w:rsidRPr="00574DD5" w14:paraId="194DA997" w14:textId="77777777" w:rsidTr="00BA7936">
        <w:trPr>
          <w:trHeight w:val="211"/>
        </w:trPr>
        <w:tc>
          <w:tcPr>
            <w:tcW w:w="2193" w:type="dxa"/>
          </w:tcPr>
          <w:p w14:paraId="3CF979D6" w14:textId="77777777" w:rsidR="00A10A55" w:rsidRPr="00574DD5" w:rsidRDefault="00A10A55" w:rsidP="000878F6">
            <w:pPr>
              <w:pStyle w:val="Table"/>
              <w:rPr>
                <w:szCs w:val="20"/>
              </w:rPr>
            </w:pPr>
            <w:r w:rsidRPr="00574DD5">
              <w:rPr>
                <w:szCs w:val="20"/>
              </w:rPr>
              <w:t>Water Abstraction</w:t>
            </w:r>
          </w:p>
        </w:tc>
        <w:tc>
          <w:tcPr>
            <w:tcW w:w="1113" w:type="dxa"/>
            <w:vAlign w:val="center"/>
          </w:tcPr>
          <w:p w14:paraId="49C3CA8D" w14:textId="77777777" w:rsidR="00A10A55" w:rsidRPr="00574DD5" w:rsidRDefault="00A10A55" w:rsidP="000878F6">
            <w:pPr>
              <w:pStyle w:val="Table"/>
              <w:jc w:val="center"/>
              <w:rPr>
                <w:szCs w:val="20"/>
              </w:rPr>
            </w:pPr>
            <w:r w:rsidRPr="00574DD5">
              <w:rPr>
                <w:rFonts w:ascii="Calibri" w:hAnsi="Calibri" w:cs="Calibri"/>
                <w:color w:val="000000"/>
                <w:szCs w:val="20"/>
              </w:rPr>
              <w:t>-5,52%</w:t>
            </w:r>
          </w:p>
        </w:tc>
        <w:tc>
          <w:tcPr>
            <w:tcW w:w="1113" w:type="dxa"/>
            <w:vAlign w:val="center"/>
          </w:tcPr>
          <w:p w14:paraId="773E6BD2" w14:textId="77777777" w:rsidR="00A10A55" w:rsidRPr="00574DD5" w:rsidRDefault="00A10A55" w:rsidP="000878F6">
            <w:pPr>
              <w:pStyle w:val="Table"/>
              <w:jc w:val="center"/>
              <w:rPr>
                <w:szCs w:val="20"/>
              </w:rPr>
            </w:pPr>
            <w:r w:rsidRPr="00574DD5">
              <w:rPr>
                <w:rFonts w:ascii="Calibri" w:hAnsi="Calibri" w:cs="Calibri"/>
                <w:color w:val="000000"/>
                <w:szCs w:val="20"/>
              </w:rPr>
              <w:t>-5,52%</w:t>
            </w:r>
          </w:p>
        </w:tc>
        <w:tc>
          <w:tcPr>
            <w:tcW w:w="1028" w:type="dxa"/>
            <w:vAlign w:val="center"/>
          </w:tcPr>
          <w:p w14:paraId="30BB4702" w14:textId="77777777" w:rsidR="00A10A55" w:rsidRPr="00574DD5" w:rsidRDefault="00A10A55" w:rsidP="000878F6">
            <w:pPr>
              <w:pStyle w:val="Table"/>
              <w:jc w:val="center"/>
              <w:rPr>
                <w:szCs w:val="20"/>
              </w:rPr>
            </w:pPr>
            <w:r w:rsidRPr="00574DD5">
              <w:rPr>
                <w:rFonts w:ascii="Calibri" w:hAnsi="Calibri" w:cs="Calibri"/>
                <w:color w:val="000000"/>
                <w:szCs w:val="20"/>
              </w:rPr>
              <w:t>287,56</w:t>
            </w:r>
          </w:p>
        </w:tc>
        <w:tc>
          <w:tcPr>
            <w:tcW w:w="1205" w:type="dxa"/>
            <w:vAlign w:val="center"/>
          </w:tcPr>
          <w:p w14:paraId="1B9FEAF9" w14:textId="77777777" w:rsidR="00A10A55" w:rsidRPr="00574DD5" w:rsidRDefault="00A10A55" w:rsidP="000878F6">
            <w:pPr>
              <w:pStyle w:val="Table"/>
              <w:jc w:val="center"/>
              <w:rPr>
                <w:szCs w:val="20"/>
              </w:rPr>
            </w:pPr>
            <w:r w:rsidRPr="00574DD5">
              <w:rPr>
                <w:rFonts w:ascii="Calibri" w:hAnsi="Calibri" w:cs="Calibri"/>
                <w:color w:val="000000"/>
                <w:szCs w:val="20"/>
              </w:rPr>
              <w:t>293,69</w:t>
            </w:r>
          </w:p>
        </w:tc>
        <w:tc>
          <w:tcPr>
            <w:tcW w:w="1098" w:type="dxa"/>
            <w:vAlign w:val="center"/>
          </w:tcPr>
          <w:p w14:paraId="610624BA" w14:textId="77777777" w:rsidR="00A10A55" w:rsidRPr="00574DD5" w:rsidRDefault="00A10A55" w:rsidP="000878F6">
            <w:pPr>
              <w:pStyle w:val="Table"/>
              <w:jc w:val="center"/>
              <w:rPr>
                <w:szCs w:val="20"/>
              </w:rPr>
            </w:pPr>
            <w:r w:rsidRPr="00574DD5">
              <w:rPr>
                <w:rFonts w:ascii="Calibri" w:hAnsi="Calibri" w:cs="Calibri"/>
                <w:color w:val="000000"/>
                <w:szCs w:val="20"/>
              </w:rPr>
              <w:t>280,7%</w:t>
            </w:r>
          </w:p>
        </w:tc>
        <w:tc>
          <w:tcPr>
            <w:tcW w:w="1274" w:type="dxa"/>
            <w:vAlign w:val="center"/>
          </w:tcPr>
          <w:p w14:paraId="43BBDE58" w14:textId="77777777" w:rsidR="00A10A55" w:rsidRPr="00574DD5" w:rsidRDefault="00A10A55" w:rsidP="000878F6">
            <w:pPr>
              <w:pStyle w:val="Table"/>
              <w:jc w:val="center"/>
              <w:rPr>
                <w:szCs w:val="20"/>
              </w:rPr>
            </w:pPr>
            <w:r w:rsidRPr="00574DD5">
              <w:rPr>
                <w:rFonts w:ascii="Calibri" w:hAnsi="Calibri" w:cs="Calibri"/>
                <w:color w:val="000000"/>
                <w:szCs w:val="20"/>
              </w:rPr>
              <w:t>286,7%</w:t>
            </w:r>
          </w:p>
        </w:tc>
      </w:tr>
      <w:tr w:rsidR="00A10A55" w:rsidRPr="00574DD5" w14:paraId="2E157C64" w14:textId="77777777" w:rsidTr="00BA7936">
        <w:trPr>
          <w:trHeight w:val="242"/>
        </w:trPr>
        <w:tc>
          <w:tcPr>
            <w:tcW w:w="2193" w:type="dxa"/>
          </w:tcPr>
          <w:p w14:paraId="536FD49B" w14:textId="77777777" w:rsidR="00A10A55" w:rsidRPr="00574DD5" w:rsidRDefault="00A10A55" w:rsidP="000878F6">
            <w:pPr>
              <w:pStyle w:val="Table"/>
              <w:rPr>
                <w:szCs w:val="20"/>
              </w:rPr>
            </w:pPr>
            <w:r w:rsidRPr="00574DD5">
              <w:rPr>
                <w:szCs w:val="20"/>
              </w:rPr>
              <w:t>Fertilizers</w:t>
            </w:r>
          </w:p>
        </w:tc>
        <w:tc>
          <w:tcPr>
            <w:tcW w:w="1113" w:type="dxa"/>
            <w:vAlign w:val="center"/>
          </w:tcPr>
          <w:p w14:paraId="043C147B" w14:textId="77777777" w:rsidR="00A10A55" w:rsidRPr="00574DD5" w:rsidRDefault="00A10A55" w:rsidP="000878F6">
            <w:pPr>
              <w:pStyle w:val="Table"/>
              <w:jc w:val="center"/>
              <w:rPr>
                <w:szCs w:val="20"/>
              </w:rPr>
            </w:pPr>
            <w:r w:rsidRPr="00574DD5">
              <w:rPr>
                <w:rFonts w:ascii="Calibri" w:hAnsi="Calibri" w:cs="Calibri"/>
                <w:color w:val="000000"/>
                <w:szCs w:val="20"/>
              </w:rPr>
              <w:t>-4,49%</w:t>
            </w:r>
          </w:p>
        </w:tc>
        <w:tc>
          <w:tcPr>
            <w:tcW w:w="1113" w:type="dxa"/>
            <w:vAlign w:val="center"/>
          </w:tcPr>
          <w:p w14:paraId="0FEA61D1" w14:textId="77777777" w:rsidR="00A10A55" w:rsidRPr="00574DD5" w:rsidRDefault="00A10A55" w:rsidP="000878F6">
            <w:pPr>
              <w:pStyle w:val="Table"/>
              <w:jc w:val="center"/>
              <w:rPr>
                <w:szCs w:val="20"/>
              </w:rPr>
            </w:pPr>
            <w:r w:rsidRPr="00574DD5">
              <w:rPr>
                <w:rFonts w:ascii="Calibri" w:hAnsi="Calibri" w:cs="Calibri"/>
                <w:color w:val="000000"/>
                <w:szCs w:val="20"/>
              </w:rPr>
              <w:t>-4,49%</w:t>
            </w:r>
          </w:p>
        </w:tc>
        <w:tc>
          <w:tcPr>
            <w:tcW w:w="1028" w:type="dxa"/>
            <w:vAlign w:val="center"/>
          </w:tcPr>
          <w:p w14:paraId="2DB74C12" w14:textId="77777777" w:rsidR="00A10A55" w:rsidRPr="00574DD5" w:rsidRDefault="00A10A55" w:rsidP="000878F6">
            <w:pPr>
              <w:pStyle w:val="Table"/>
              <w:jc w:val="center"/>
              <w:rPr>
                <w:szCs w:val="20"/>
              </w:rPr>
            </w:pPr>
            <w:r w:rsidRPr="00574DD5">
              <w:rPr>
                <w:rFonts w:ascii="Calibri" w:hAnsi="Calibri" w:cs="Calibri"/>
                <w:color w:val="000000"/>
                <w:szCs w:val="20"/>
              </w:rPr>
              <w:t>1,48</w:t>
            </w:r>
          </w:p>
        </w:tc>
        <w:tc>
          <w:tcPr>
            <w:tcW w:w="1205" w:type="dxa"/>
            <w:vAlign w:val="center"/>
          </w:tcPr>
          <w:p w14:paraId="6BEE0A68" w14:textId="77777777" w:rsidR="00A10A55" w:rsidRPr="00574DD5" w:rsidRDefault="00A10A55" w:rsidP="000878F6">
            <w:pPr>
              <w:pStyle w:val="Table"/>
              <w:jc w:val="center"/>
              <w:rPr>
                <w:szCs w:val="20"/>
              </w:rPr>
            </w:pPr>
            <w:r w:rsidRPr="00574DD5">
              <w:rPr>
                <w:rFonts w:ascii="Calibri" w:hAnsi="Calibri" w:cs="Calibri"/>
                <w:color w:val="000000"/>
                <w:szCs w:val="20"/>
              </w:rPr>
              <w:t>1,44</w:t>
            </w:r>
          </w:p>
        </w:tc>
        <w:tc>
          <w:tcPr>
            <w:tcW w:w="1098" w:type="dxa"/>
            <w:vAlign w:val="center"/>
          </w:tcPr>
          <w:p w14:paraId="261216A4" w14:textId="77777777" w:rsidR="00A10A55" w:rsidRPr="00574DD5" w:rsidRDefault="00A10A55" w:rsidP="000878F6">
            <w:pPr>
              <w:pStyle w:val="Table"/>
              <w:jc w:val="center"/>
              <w:rPr>
                <w:szCs w:val="20"/>
              </w:rPr>
            </w:pPr>
            <w:r w:rsidRPr="00574DD5">
              <w:rPr>
                <w:rFonts w:ascii="Calibri" w:hAnsi="Calibri" w:cs="Calibri"/>
                <w:color w:val="000000"/>
                <w:szCs w:val="20"/>
              </w:rPr>
              <w:t>1,9%</w:t>
            </w:r>
          </w:p>
        </w:tc>
        <w:tc>
          <w:tcPr>
            <w:tcW w:w="1274" w:type="dxa"/>
            <w:vAlign w:val="center"/>
          </w:tcPr>
          <w:p w14:paraId="1EFB69C5" w14:textId="77777777" w:rsidR="00A10A55" w:rsidRPr="00574DD5" w:rsidRDefault="00A10A55" w:rsidP="000878F6">
            <w:pPr>
              <w:pStyle w:val="Table"/>
              <w:jc w:val="center"/>
              <w:rPr>
                <w:szCs w:val="20"/>
              </w:rPr>
            </w:pPr>
            <w:r w:rsidRPr="00574DD5">
              <w:rPr>
                <w:rFonts w:ascii="Calibri" w:hAnsi="Calibri" w:cs="Calibri"/>
                <w:color w:val="000000"/>
                <w:szCs w:val="20"/>
              </w:rPr>
              <w:t>1,8%</w:t>
            </w:r>
          </w:p>
        </w:tc>
      </w:tr>
      <w:tr w:rsidR="00A10A55" w:rsidRPr="00574DD5" w14:paraId="029EBD78" w14:textId="77777777" w:rsidTr="00BA7936">
        <w:trPr>
          <w:trHeight w:val="242"/>
        </w:trPr>
        <w:tc>
          <w:tcPr>
            <w:tcW w:w="2193" w:type="dxa"/>
          </w:tcPr>
          <w:p w14:paraId="0951C94B" w14:textId="77777777" w:rsidR="00A10A55" w:rsidRPr="00574DD5" w:rsidRDefault="00A10A55" w:rsidP="000878F6">
            <w:pPr>
              <w:pStyle w:val="Table"/>
              <w:rPr>
                <w:szCs w:val="20"/>
              </w:rPr>
            </w:pPr>
            <w:r w:rsidRPr="00574DD5">
              <w:rPr>
                <w:szCs w:val="20"/>
              </w:rPr>
              <w:t>Pesticides</w:t>
            </w:r>
          </w:p>
        </w:tc>
        <w:tc>
          <w:tcPr>
            <w:tcW w:w="1113" w:type="dxa"/>
            <w:vAlign w:val="center"/>
          </w:tcPr>
          <w:p w14:paraId="21A4083B" w14:textId="77777777" w:rsidR="00A10A55" w:rsidRPr="00574DD5" w:rsidRDefault="00A10A55" w:rsidP="000878F6">
            <w:pPr>
              <w:pStyle w:val="Table"/>
              <w:jc w:val="center"/>
              <w:rPr>
                <w:szCs w:val="20"/>
              </w:rPr>
            </w:pPr>
            <w:r w:rsidRPr="00574DD5">
              <w:rPr>
                <w:rFonts w:ascii="Calibri" w:hAnsi="Calibri" w:cs="Calibri"/>
                <w:color w:val="000000"/>
                <w:szCs w:val="20"/>
              </w:rPr>
              <w:t>n/a</w:t>
            </w:r>
          </w:p>
        </w:tc>
        <w:tc>
          <w:tcPr>
            <w:tcW w:w="1113" w:type="dxa"/>
            <w:vAlign w:val="center"/>
          </w:tcPr>
          <w:p w14:paraId="2CDC8BF0" w14:textId="77777777" w:rsidR="00A10A55" w:rsidRPr="00574DD5" w:rsidRDefault="00A10A55" w:rsidP="000878F6">
            <w:pPr>
              <w:pStyle w:val="Table"/>
              <w:jc w:val="center"/>
              <w:rPr>
                <w:szCs w:val="20"/>
              </w:rPr>
            </w:pPr>
            <w:r w:rsidRPr="00574DD5">
              <w:rPr>
                <w:rFonts w:ascii="Calibri" w:hAnsi="Calibri" w:cs="Calibri"/>
                <w:color w:val="000000"/>
                <w:szCs w:val="20"/>
              </w:rPr>
              <w:t>n/a</w:t>
            </w:r>
          </w:p>
        </w:tc>
        <w:tc>
          <w:tcPr>
            <w:tcW w:w="1028" w:type="dxa"/>
            <w:vAlign w:val="center"/>
          </w:tcPr>
          <w:p w14:paraId="23F13B20" w14:textId="77777777" w:rsidR="00A10A55" w:rsidRPr="00574DD5" w:rsidRDefault="00A10A55" w:rsidP="000878F6">
            <w:pPr>
              <w:pStyle w:val="Table"/>
              <w:jc w:val="center"/>
              <w:rPr>
                <w:szCs w:val="20"/>
              </w:rPr>
            </w:pPr>
            <w:r w:rsidRPr="00574DD5">
              <w:rPr>
                <w:rFonts w:ascii="Calibri" w:hAnsi="Calibri" w:cs="Calibri"/>
                <w:color w:val="000000"/>
                <w:szCs w:val="20"/>
              </w:rPr>
              <w:t>20,68</w:t>
            </w:r>
          </w:p>
        </w:tc>
        <w:tc>
          <w:tcPr>
            <w:tcW w:w="1205" w:type="dxa"/>
            <w:vAlign w:val="center"/>
          </w:tcPr>
          <w:p w14:paraId="7875F24B" w14:textId="77777777" w:rsidR="00A10A55" w:rsidRPr="00574DD5" w:rsidRDefault="00A10A55" w:rsidP="000878F6">
            <w:pPr>
              <w:pStyle w:val="Table"/>
              <w:jc w:val="center"/>
              <w:rPr>
                <w:szCs w:val="20"/>
              </w:rPr>
            </w:pPr>
            <w:r w:rsidRPr="00574DD5">
              <w:rPr>
                <w:rFonts w:ascii="Calibri" w:hAnsi="Calibri" w:cs="Calibri"/>
                <w:color w:val="000000"/>
                <w:szCs w:val="20"/>
              </w:rPr>
              <w:t>20,65</w:t>
            </w:r>
          </w:p>
        </w:tc>
        <w:tc>
          <w:tcPr>
            <w:tcW w:w="1098" w:type="dxa"/>
            <w:vAlign w:val="center"/>
          </w:tcPr>
          <w:p w14:paraId="5FDD25E0" w14:textId="77777777" w:rsidR="00A10A55" w:rsidRPr="00574DD5" w:rsidRDefault="00A10A55" w:rsidP="000878F6">
            <w:pPr>
              <w:pStyle w:val="Table"/>
              <w:jc w:val="center"/>
              <w:rPr>
                <w:szCs w:val="20"/>
              </w:rPr>
            </w:pPr>
            <w:r w:rsidRPr="00574DD5">
              <w:rPr>
                <w:rFonts w:ascii="Calibri" w:hAnsi="Calibri" w:cs="Calibri"/>
                <w:color w:val="000000"/>
                <w:szCs w:val="20"/>
              </w:rPr>
              <w:t>26,2%</w:t>
            </w:r>
          </w:p>
        </w:tc>
        <w:tc>
          <w:tcPr>
            <w:tcW w:w="1274" w:type="dxa"/>
            <w:vAlign w:val="center"/>
          </w:tcPr>
          <w:p w14:paraId="4202DB2A" w14:textId="77777777" w:rsidR="00A10A55" w:rsidRPr="00574DD5" w:rsidRDefault="00A10A55" w:rsidP="000878F6">
            <w:pPr>
              <w:pStyle w:val="Table"/>
              <w:jc w:val="center"/>
              <w:rPr>
                <w:szCs w:val="20"/>
              </w:rPr>
            </w:pPr>
            <w:r w:rsidRPr="00574DD5">
              <w:rPr>
                <w:rFonts w:ascii="Calibri" w:hAnsi="Calibri" w:cs="Calibri"/>
                <w:color w:val="000000"/>
                <w:szCs w:val="20"/>
              </w:rPr>
              <w:t>26,2%</w:t>
            </w:r>
          </w:p>
        </w:tc>
      </w:tr>
      <w:tr w:rsidR="00A10A55" w:rsidRPr="00574DD5" w14:paraId="577E9127" w14:textId="77777777" w:rsidTr="00BA7936">
        <w:trPr>
          <w:trHeight w:val="259"/>
        </w:trPr>
        <w:tc>
          <w:tcPr>
            <w:tcW w:w="2193" w:type="dxa"/>
          </w:tcPr>
          <w:p w14:paraId="1ED74497" w14:textId="77777777" w:rsidR="00A10A55" w:rsidRPr="00574DD5" w:rsidRDefault="00A10A55" w:rsidP="000878F6">
            <w:pPr>
              <w:pStyle w:val="Table"/>
              <w:rPr>
                <w:szCs w:val="20"/>
              </w:rPr>
            </w:pPr>
            <w:r w:rsidRPr="00574DD5">
              <w:rPr>
                <w:szCs w:val="20"/>
              </w:rPr>
              <w:t>Waste Incineration</w:t>
            </w:r>
          </w:p>
        </w:tc>
        <w:tc>
          <w:tcPr>
            <w:tcW w:w="1113" w:type="dxa"/>
            <w:vAlign w:val="center"/>
          </w:tcPr>
          <w:p w14:paraId="436F1DD7" w14:textId="77777777" w:rsidR="00A10A55" w:rsidRPr="00574DD5" w:rsidRDefault="00A10A55" w:rsidP="000878F6">
            <w:pPr>
              <w:pStyle w:val="Table"/>
              <w:jc w:val="center"/>
              <w:rPr>
                <w:szCs w:val="20"/>
              </w:rPr>
            </w:pPr>
            <w:r w:rsidRPr="00574DD5">
              <w:rPr>
                <w:rFonts w:ascii="Calibri" w:hAnsi="Calibri" w:cs="Calibri"/>
                <w:color w:val="000000"/>
                <w:szCs w:val="20"/>
              </w:rPr>
              <w:t>0,00%</w:t>
            </w:r>
          </w:p>
        </w:tc>
        <w:tc>
          <w:tcPr>
            <w:tcW w:w="1113" w:type="dxa"/>
            <w:vAlign w:val="center"/>
          </w:tcPr>
          <w:p w14:paraId="18D88871" w14:textId="77777777" w:rsidR="00A10A55" w:rsidRPr="00574DD5" w:rsidRDefault="00A10A55" w:rsidP="000878F6">
            <w:pPr>
              <w:pStyle w:val="Table"/>
              <w:jc w:val="center"/>
              <w:rPr>
                <w:szCs w:val="20"/>
              </w:rPr>
            </w:pPr>
            <w:r w:rsidRPr="00574DD5">
              <w:rPr>
                <w:rFonts w:ascii="Calibri" w:hAnsi="Calibri" w:cs="Calibri"/>
                <w:color w:val="000000"/>
                <w:szCs w:val="20"/>
              </w:rPr>
              <w:t>0,00%</w:t>
            </w:r>
          </w:p>
        </w:tc>
        <w:tc>
          <w:tcPr>
            <w:tcW w:w="1028" w:type="dxa"/>
            <w:vAlign w:val="center"/>
          </w:tcPr>
          <w:p w14:paraId="45F70788" w14:textId="77777777" w:rsidR="00A10A55" w:rsidRPr="00574DD5" w:rsidRDefault="00A10A55" w:rsidP="000878F6">
            <w:pPr>
              <w:pStyle w:val="Table"/>
              <w:jc w:val="center"/>
              <w:rPr>
                <w:szCs w:val="20"/>
              </w:rPr>
            </w:pPr>
            <w:r w:rsidRPr="00574DD5">
              <w:rPr>
                <w:rFonts w:ascii="Calibri" w:hAnsi="Calibri" w:cs="Calibri"/>
                <w:color w:val="000000"/>
                <w:szCs w:val="20"/>
              </w:rPr>
              <w:t>0,00</w:t>
            </w:r>
          </w:p>
        </w:tc>
        <w:tc>
          <w:tcPr>
            <w:tcW w:w="1205" w:type="dxa"/>
            <w:vAlign w:val="center"/>
          </w:tcPr>
          <w:p w14:paraId="30E8B3E4" w14:textId="77777777" w:rsidR="00A10A55" w:rsidRPr="00574DD5" w:rsidRDefault="00A10A55" w:rsidP="000878F6">
            <w:pPr>
              <w:pStyle w:val="Table"/>
              <w:jc w:val="center"/>
              <w:rPr>
                <w:szCs w:val="20"/>
              </w:rPr>
            </w:pPr>
            <w:r w:rsidRPr="00574DD5">
              <w:rPr>
                <w:rFonts w:ascii="Calibri" w:hAnsi="Calibri" w:cs="Calibri"/>
                <w:color w:val="000000"/>
                <w:szCs w:val="20"/>
              </w:rPr>
              <w:t>0,00</w:t>
            </w:r>
          </w:p>
        </w:tc>
        <w:tc>
          <w:tcPr>
            <w:tcW w:w="1098" w:type="dxa"/>
            <w:vAlign w:val="center"/>
          </w:tcPr>
          <w:p w14:paraId="6A49F03E" w14:textId="77777777" w:rsidR="00A10A55" w:rsidRPr="00574DD5" w:rsidRDefault="00A10A55" w:rsidP="000878F6">
            <w:pPr>
              <w:pStyle w:val="Table"/>
              <w:jc w:val="center"/>
              <w:rPr>
                <w:szCs w:val="20"/>
              </w:rPr>
            </w:pPr>
            <w:r w:rsidRPr="00574DD5">
              <w:rPr>
                <w:rFonts w:ascii="Calibri" w:hAnsi="Calibri" w:cs="Calibri"/>
                <w:color w:val="000000"/>
                <w:szCs w:val="20"/>
              </w:rPr>
              <w:t>0,0%</w:t>
            </w:r>
          </w:p>
        </w:tc>
        <w:tc>
          <w:tcPr>
            <w:tcW w:w="1274" w:type="dxa"/>
            <w:vAlign w:val="center"/>
          </w:tcPr>
          <w:p w14:paraId="31926021" w14:textId="77777777" w:rsidR="00A10A55" w:rsidRPr="00574DD5" w:rsidRDefault="00A10A55" w:rsidP="000878F6">
            <w:pPr>
              <w:pStyle w:val="Table"/>
              <w:jc w:val="center"/>
              <w:rPr>
                <w:szCs w:val="20"/>
              </w:rPr>
            </w:pPr>
            <w:r w:rsidRPr="00574DD5">
              <w:rPr>
                <w:rFonts w:ascii="Calibri" w:hAnsi="Calibri" w:cs="Calibri"/>
                <w:color w:val="000000"/>
                <w:szCs w:val="20"/>
              </w:rPr>
              <w:t>0,0%</w:t>
            </w:r>
          </w:p>
        </w:tc>
      </w:tr>
      <w:tr w:rsidR="00A10A55" w:rsidRPr="00574DD5" w14:paraId="608074ED" w14:textId="77777777" w:rsidTr="00BA7936">
        <w:trPr>
          <w:trHeight w:val="242"/>
        </w:trPr>
        <w:tc>
          <w:tcPr>
            <w:tcW w:w="2193" w:type="dxa"/>
          </w:tcPr>
          <w:p w14:paraId="2D9363BB" w14:textId="77777777" w:rsidR="00A10A55" w:rsidRPr="00574DD5" w:rsidRDefault="00A10A55" w:rsidP="000878F6">
            <w:pPr>
              <w:pStyle w:val="Table"/>
              <w:rPr>
                <w:szCs w:val="20"/>
              </w:rPr>
            </w:pPr>
            <w:r w:rsidRPr="00574DD5">
              <w:rPr>
                <w:szCs w:val="20"/>
              </w:rPr>
              <w:t>Waste to Landfill</w:t>
            </w:r>
          </w:p>
        </w:tc>
        <w:tc>
          <w:tcPr>
            <w:tcW w:w="1113" w:type="dxa"/>
            <w:vAlign w:val="center"/>
          </w:tcPr>
          <w:p w14:paraId="0A65B941" w14:textId="77777777" w:rsidR="00A10A55" w:rsidRPr="00574DD5" w:rsidRDefault="00A10A55" w:rsidP="000878F6">
            <w:pPr>
              <w:pStyle w:val="Table"/>
              <w:jc w:val="center"/>
              <w:rPr>
                <w:szCs w:val="20"/>
              </w:rPr>
            </w:pPr>
            <w:r w:rsidRPr="00574DD5">
              <w:rPr>
                <w:rFonts w:ascii="Calibri" w:hAnsi="Calibri" w:cs="Calibri"/>
                <w:color w:val="000000"/>
                <w:szCs w:val="20"/>
              </w:rPr>
              <w:t>-15,16%</w:t>
            </w:r>
          </w:p>
        </w:tc>
        <w:tc>
          <w:tcPr>
            <w:tcW w:w="1113" w:type="dxa"/>
            <w:vAlign w:val="center"/>
          </w:tcPr>
          <w:p w14:paraId="7B80AE8D" w14:textId="77777777" w:rsidR="00A10A55" w:rsidRPr="00574DD5" w:rsidRDefault="00A10A55" w:rsidP="000878F6">
            <w:pPr>
              <w:pStyle w:val="Table"/>
              <w:jc w:val="center"/>
              <w:rPr>
                <w:szCs w:val="20"/>
              </w:rPr>
            </w:pPr>
            <w:r w:rsidRPr="00574DD5">
              <w:rPr>
                <w:rFonts w:ascii="Calibri" w:hAnsi="Calibri" w:cs="Calibri"/>
                <w:color w:val="000000"/>
                <w:szCs w:val="20"/>
              </w:rPr>
              <w:t>-15,16%</w:t>
            </w:r>
          </w:p>
        </w:tc>
        <w:tc>
          <w:tcPr>
            <w:tcW w:w="1028" w:type="dxa"/>
            <w:vAlign w:val="center"/>
          </w:tcPr>
          <w:p w14:paraId="12B5636B" w14:textId="77777777" w:rsidR="00A10A55" w:rsidRPr="00574DD5" w:rsidRDefault="00A10A55" w:rsidP="000878F6">
            <w:pPr>
              <w:pStyle w:val="Table"/>
              <w:jc w:val="center"/>
              <w:rPr>
                <w:szCs w:val="20"/>
              </w:rPr>
            </w:pPr>
            <w:r w:rsidRPr="00574DD5">
              <w:rPr>
                <w:rFonts w:ascii="Calibri" w:hAnsi="Calibri" w:cs="Calibri"/>
                <w:color w:val="000000"/>
                <w:szCs w:val="20"/>
              </w:rPr>
              <w:t>20,83</w:t>
            </w:r>
          </w:p>
        </w:tc>
        <w:tc>
          <w:tcPr>
            <w:tcW w:w="1205" w:type="dxa"/>
            <w:vAlign w:val="center"/>
          </w:tcPr>
          <w:p w14:paraId="53B3ADA7" w14:textId="77777777" w:rsidR="00A10A55" w:rsidRPr="00574DD5" w:rsidRDefault="00A10A55" w:rsidP="000878F6">
            <w:pPr>
              <w:pStyle w:val="Table"/>
              <w:jc w:val="center"/>
              <w:rPr>
                <w:szCs w:val="20"/>
              </w:rPr>
            </w:pPr>
            <w:r w:rsidRPr="00574DD5">
              <w:rPr>
                <w:rFonts w:ascii="Calibri" w:hAnsi="Calibri" w:cs="Calibri"/>
                <w:color w:val="000000"/>
                <w:szCs w:val="20"/>
              </w:rPr>
              <w:t>15,93</w:t>
            </w:r>
          </w:p>
        </w:tc>
        <w:tc>
          <w:tcPr>
            <w:tcW w:w="1098" w:type="dxa"/>
            <w:vAlign w:val="center"/>
          </w:tcPr>
          <w:p w14:paraId="2F19B8D6" w14:textId="77777777" w:rsidR="00A10A55" w:rsidRPr="00574DD5" w:rsidRDefault="00A10A55" w:rsidP="000878F6">
            <w:pPr>
              <w:pStyle w:val="Table"/>
              <w:jc w:val="center"/>
              <w:rPr>
                <w:szCs w:val="20"/>
              </w:rPr>
            </w:pPr>
            <w:r w:rsidRPr="00574DD5">
              <w:rPr>
                <w:rFonts w:ascii="Calibri" w:hAnsi="Calibri" w:cs="Calibri"/>
                <w:color w:val="000000"/>
                <w:szCs w:val="20"/>
              </w:rPr>
              <w:t>26,4%</w:t>
            </w:r>
          </w:p>
        </w:tc>
        <w:tc>
          <w:tcPr>
            <w:tcW w:w="1274" w:type="dxa"/>
            <w:vAlign w:val="center"/>
          </w:tcPr>
          <w:p w14:paraId="08D4A311" w14:textId="77777777" w:rsidR="00A10A55" w:rsidRPr="00574DD5" w:rsidRDefault="00A10A55" w:rsidP="000878F6">
            <w:pPr>
              <w:pStyle w:val="Table"/>
              <w:jc w:val="center"/>
              <w:rPr>
                <w:szCs w:val="20"/>
              </w:rPr>
            </w:pPr>
            <w:r w:rsidRPr="00574DD5">
              <w:rPr>
                <w:rFonts w:ascii="Calibri" w:hAnsi="Calibri" w:cs="Calibri"/>
                <w:color w:val="000000"/>
                <w:szCs w:val="20"/>
              </w:rPr>
              <w:t>20,2%</w:t>
            </w:r>
          </w:p>
        </w:tc>
      </w:tr>
      <w:tr w:rsidR="00A10A55" w:rsidRPr="00574DD5" w14:paraId="4BA8A61A" w14:textId="77777777" w:rsidTr="00BA7936">
        <w:trPr>
          <w:trHeight w:val="242"/>
        </w:trPr>
        <w:tc>
          <w:tcPr>
            <w:tcW w:w="2193" w:type="dxa"/>
          </w:tcPr>
          <w:p w14:paraId="3B129951" w14:textId="77777777" w:rsidR="00A10A55" w:rsidRPr="00574DD5" w:rsidRDefault="00A10A55" w:rsidP="000878F6">
            <w:pPr>
              <w:pStyle w:val="Table"/>
              <w:rPr>
                <w:szCs w:val="20"/>
              </w:rPr>
            </w:pPr>
            <w:r w:rsidRPr="00574DD5">
              <w:rPr>
                <w:szCs w:val="20"/>
              </w:rPr>
              <w:t>Water Effluent</w:t>
            </w:r>
          </w:p>
        </w:tc>
        <w:tc>
          <w:tcPr>
            <w:tcW w:w="1113" w:type="dxa"/>
            <w:vAlign w:val="center"/>
          </w:tcPr>
          <w:p w14:paraId="53907D82" w14:textId="77777777" w:rsidR="00A10A55" w:rsidRPr="00574DD5" w:rsidRDefault="00A10A55" w:rsidP="000878F6">
            <w:pPr>
              <w:pStyle w:val="Table"/>
              <w:jc w:val="center"/>
              <w:rPr>
                <w:szCs w:val="20"/>
              </w:rPr>
            </w:pPr>
            <w:r w:rsidRPr="00574DD5">
              <w:rPr>
                <w:rFonts w:ascii="Calibri" w:hAnsi="Calibri" w:cs="Calibri"/>
                <w:color w:val="000000"/>
                <w:szCs w:val="20"/>
              </w:rPr>
              <w:t>-5,67%</w:t>
            </w:r>
          </w:p>
        </w:tc>
        <w:tc>
          <w:tcPr>
            <w:tcW w:w="1113" w:type="dxa"/>
            <w:vAlign w:val="center"/>
          </w:tcPr>
          <w:p w14:paraId="692BD032" w14:textId="77777777" w:rsidR="00A10A55" w:rsidRPr="00574DD5" w:rsidRDefault="00A10A55" w:rsidP="000878F6">
            <w:pPr>
              <w:pStyle w:val="Table"/>
              <w:jc w:val="center"/>
              <w:rPr>
                <w:szCs w:val="20"/>
              </w:rPr>
            </w:pPr>
            <w:r w:rsidRPr="00574DD5">
              <w:rPr>
                <w:rFonts w:ascii="Calibri" w:hAnsi="Calibri" w:cs="Calibri"/>
                <w:color w:val="000000"/>
                <w:szCs w:val="20"/>
              </w:rPr>
              <w:t>-5,67%</w:t>
            </w:r>
          </w:p>
        </w:tc>
        <w:tc>
          <w:tcPr>
            <w:tcW w:w="1028" w:type="dxa"/>
            <w:vAlign w:val="center"/>
          </w:tcPr>
          <w:p w14:paraId="50DF048D" w14:textId="77777777" w:rsidR="00A10A55" w:rsidRPr="00574DD5" w:rsidRDefault="00A10A55" w:rsidP="000878F6">
            <w:pPr>
              <w:pStyle w:val="Table"/>
              <w:jc w:val="center"/>
              <w:rPr>
                <w:szCs w:val="20"/>
              </w:rPr>
            </w:pPr>
            <w:r w:rsidRPr="00574DD5">
              <w:rPr>
                <w:rFonts w:ascii="Calibri" w:hAnsi="Calibri" w:cs="Calibri"/>
                <w:color w:val="000000"/>
                <w:szCs w:val="20"/>
              </w:rPr>
              <w:t>492,19</w:t>
            </w:r>
          </w:p>
        </w:tc>
        <w:tc>
          <w:tcPr>
            <w:tcW w:w="1205" w:type="dxa"/>
            <w:vAlign w:val="center"/>
          </w:tcPr>
          <w:p w14:paraId="16BE6EC4" w14:textId="77777777" w:rsidR="00A10A55" w:rsidRPr="00574DD5" w:rsidRDefault="00A10A55" w:rsidP="000878F6">
            <w:pPr>
              <w:pStyle w:val="Table"/>
              <w:jc w:val="center"/>
              <w:rPr>
                <w:szCs w:val="20"/>
              </w:rPr>
            </w:pPr>
            <w:r w:rsidRPr="00574DD5">
              <w:rPr>
                <w:rFonts w:ascii="Calibri" w:hAnsi="Calibri" w:cs="Calibri"/>
                <w:color w:val="000000"/>
                <w:szCs w:val="20"/>
              </w:rPr>
              <w:t>486,03</w:t>
            </w:r>
          </w:p>
        </w:tc>
        <w:tc>
          <w:tcPr>
            <w:tcW w:w="1098" w:type="dxa"/>
            <w:vAlign w:val="center"/>
          </w:tcPr>
          <w:p w14:paraId="22AC0B01" w14:textId="77777777" w:rsidR="00A10A55" w:rsidRPr="00574DD5" w:rsidRDefault="00A10A55" w:rsidP="000878F6">
            <w:pPr>
              <w:pStyle w:val="Table"/>
              <w:jc w:val="center"/>
              <w:rPr>
                <w:szCs w:val="20"/>
              </w:rPr>
            </w:pPr>
            <w:r w:rsidRPr="00574DD5">
              <w:rPr>
                <w:rFonts w:ascii="Calibri" w:hAnsi="Calibri" w:cs="Calibri"/>
                <w:color w:val="000000"/>
                <w:szCs w:val="20"/>
              </w:rPr>
              <w:t>623,7%</w:t>
            </w:r>
          </w:p>
        </w:tc>
        <w:tc>
          <w:tcPr>
            <w:tcW w:w="1274" w:type="dxa"/>
            <w:vAlign w:val="center"/>
          </w:tcPr>
          <w:p w14:paraId="3D2EE8E0" w14:textId="77777777" w:rsidR="00A10A55" w:rsidRPr="00574DD5" w:rsidRDefault="00A10A55" w:rsidP="000878F6">
            <w:pPr>
              <w:pStyle w:val="Table"/>
              <w:jc w:val="center"/>
              <w:rPr>
                <w:szCs w:val="20"/>
              </w:rPr>
            </w:pPr>
            <w:r w:rsidRPr="00574DD5">
              <w:rPr>
                <w:rFonts w:ascii="Calibri" w:hAnsi="Calibri" w:cs="Calibri"/>
                <w:color w:val="000000"/>
                <w:szCs w:val="20"/>
              </w:rPr>
              <w:t>615,8%</w:t>
            </w:r>
          </w:p>
        </w:tc>
      </w:tr>
      <w:tr w:rsidR="00A10A55" w:rsidRPr="00574DD5" w14:paraId="29F7CB79" w14:textId="77777777" w:rsidTr="00BA7936">
        <w:trPr>
          <w:trHeight w:val="242"/>
        </w:trPr>
        <w:tc>
          <w:tcPr>
            <w:tcW w:w="2193" w:type="dxa"/>
          </w:tcPr>
          <w:p w14:paraId="1FF90D49" w14:textId="77777777" w:rsidR="00A10A55" w:rsidRPr="00574DD5" w:rsidRDefault="00A10A55" w:rsidP="000878F6">
            <w:pPr>
              <w:pStyle w:val="Table"/>
              <w:rPr>
                <w:szCs w:val="20"/>
              </w:rPr>
            </w:pPr>
            <w:r w:rsidRPr="00574DD5">
              <w:rPr>
                <w:szCs w:val="20"/>
              </w:rPr>
              <w:t>Minerals &amp; Aggregates</w:t>
            </w:r>
          </w:p>
        </w:tc>
        <w:tc>
          <w:tcPr>
            <w:tcW w:w="1113" w:type="dxa"/>
            <w:vAlign w:val="center"/>
          </w:tcPr>
          <w:p w14:paraId="307F7B31" w14:textId="77777777" w:rsidR="00A10A55" w:rsidRPr="00574DD5" w:rsidRDefault="00A10A55" w:rsidP="000878F6">
            <w:pPr>
              <w:pStyle w:val="Table"/>
              <w:jc w:val="center"/>
              <w:rPr>
                <w:szCs w:val="20"/>
              </w:rPr>
            </w:pPr>
            <w:r w:rsidRPr="00574DD5">
              <w:rPr>
                <w:rFonts w:ascii="Calibri" w:hAnsi="Calibri" w:cs="Calibri"/>
                <w:color w:val="000000"/>
                <w:szCs w:val="20"/>
              </w:rPr>
              <w:t>-4,62%</w:t>
            </w:r>
          </w:p>
        </w:tc>
        <w:tc>
          <w:tcPr>
            <w:tcW w:w="1113" w:type="dxa"/>
            <w:vAlign w:val="center"/>
          </w:tcPr>
          <w:p w14:paraId="25A5E031" w14:textId="77777777" w:rsidR="00A10A55" w:rsidRPr="00574DD5" w:rsidRDefault="00A10A55" w:rsidP="000878F6">
            <w:pPr>
              <w:pStyle w:val="Table"/>
              <w:jc w:val="center"/>
              <w:rPr>
                <w:szCs w:val="20"/>
              </w:rPr>
            </w:pPr>
            <w:r w:rsidRPr="00574DD5">
              <w:rPr>
                <w:rFonts w:ascii="Calibri" w:hAnsi="Calibri" w:cs="Calibri"/>
                <w:color w:val="000000"/>
                <w:szCs w:val="20"/>
              </w:rPr>
              <w:t>-4,62%</w:t>
            </w:r>
          </w:p>
        </w:tc>
        <w:tc>
          <w:tcPr>
            <w:tcW w:w="1028" w:type="dxa"/>
            <w:vAlign w:val="center"/>
          </w:tcPr>
          <w:p w14:paraId="67968606" w14:textId="77777777" w:rsidR="00A10A55" w:rsidRPr="00574DD5" w:rsidRDefault="00A10A55" w:rsidP="000878F6">
            <w:pPr>
              <w:pStyle w:val="Table"/>
              <w:jc w:val="center"/>
              <w:rPr>
                <w:szCs w:val="20"/>
              </w:rPr>
            </w:pPr>
            <w:r w:rsidRPr="00574DD5">
              <w:rPr>
                <w:rFonts w:ascii="Calibri" w:hAnsi="Calibri" w:cs="Calibri"/>
                <w:color w:val="000000"/>
                <w:szCs w:val="20"/>
              </w:rPr>
              <w:t>0,00</w:t>
            </w:r>
          </w:p>
        </w:tc>
        <w:tc>
          <w:tcPr>
            <w:tcW w:w="1205" w:type="dxa"/>
            <w:vAlign w:val="center"/>
          </w:tcPr>
          <w:p w14:paraId="14A0864C" w14:textId="77777777" w:rsidR="00A10A55" w:rsidRPr="00574DD5" w:rsidRDefault="00A10A55" w:rsidP="000878F6">
            <w:pPr>
              <w:pStyle w:val="Table"/>
              <w:jc w:val="center"/>
              <w:rPr>
                <w:szCs w:val="20"/>
              </w:rPr>
            </w:pPr>
            <w:r w:rsidRPr="00574DD5">
              <w:rPr>
                <w:rFonts w:ascii="Calibri" w:hAnsi="Calibri" w:cs="Calibri"/>
                <w:color w:val="000000"/>
                <w:szCs w:val="20"/>
              </w:rPr>
              <w:t>0,00</w:t>
            </w:r>
          </w:p>
        </w:tc>
        <w:tc>
          <w:tcPr>
            <w:tcW w:w="1098" w:type="dxa"/>
            <w:vAlign w:val="center"/>
          </w:tcPr>
          <w:p w14:paraId="6D4CDD96" w14:textId="77777777" w:rsidR="00A10A55" w:rsidRPr="00574DD5" w:rsidRDefault="00A10A55" w:rsidP="000878F6">
            <w:pPr>
              <w:pStyle w:val="Table"/>
              <w:jc w:val="center"/>
              <w:rPr>
                <w:szCs w:val="20"/>
              </w:rPr>
            </w:pPr>
            <w:r w:rsidRPr="00574DD5">
              <w:rPr>
                <w:rFonts w:ascii="Calibri" w:hAnsi="Calibri" w:cs="Calibri"/>
                <w:color w:val="000000"/>
                <w:szCs w:val="20"/>
              </w:rPr>
              <w:t>0,0%</w:t>
            </w:r>
          </w:p>
        </w:tc>
        <w:tc>
          <w:tcPr>
            <w:tcW w:w="1274" w:type="dxa"/>
            <w:vAlign w:val="center"/>
          </w:tcPr>
          <w:p w14:paraId="38DDA460" w14:textId="77777777" w:rsidR="00A10A55" w:rsidRPr="00574DD5" w:rsidRDefault="00A10A55" w:rsidP="000878F6">
            <w:pPr>
              <w:pStyle w:val="Table"/>
              <w:jc w:val="center"/>
              <w:rPr>
                <w:szCs w:val="20"/>
              </w:rPr>
            </w:pPr>
            <w:r w:rsidRPr="00574DD5">
              <w:rPr>
                <w:rFonts w:ascii="Calibri" w:hAnsi="Calibri" w:cs="Calibri"/>
                <w:color w:val="000000"/>
                <w:szCs w:val="20"/>
              </w:rPr>
              <w:t>0,0%</w:t>
            </w:r>
          </w:p>
        </w:tc>
      </w:tr>
    </w:tbl>
    <w:p w14:paraId="2131BA4B" w14:textId="77777777" w:rsidR="00A10A55" w:rsidRPr="00A10A55" w:rsidRDefault="00A10A55" w:rsidP="00A10A55"/>
    <w:p w14:paraId="0EB7CF49" w14:textId="58D0ABF2" w:rsidR="00A10A55" w:rsidRPr="00A10A55" w:rsidRDefault="00A10A55" w:rsidP="00A10A55">
      <w:r w:rsidRPr="00A10A55">
        <w:t xml:space="preserve">The most significant environmental benefits are expected in the </w:t>
      </w:r>
      <w:r w:rsidRPr="00A10A55">
        <w:rPr>
          <w:b/>
          <w:bCs/>
        </w:rPr>
        <w:t>water and waste sectors</w:t>
      </w:r>
      <w:r w:rsidRPr="00A10A55">
        <w:t xml:space="preserve">, which face persistent pressures related to over-abstraction, nutrient pollution, and landfill dependency. The modelling projects that introducing benchmark-level </w:t>
      </w:r>
      <w:r w:rsidRPr="00A10A55">
        <w:rPr>
          <w:b/>
          <w:bCs/>
        </w:rPr>
        <w:t>water abstraction and wastewater taxes</w:t>
      </w:r>
      <w:r w:rsidRPr="00A10A55">
        <w:t xml:space="preserve"> could reduce water use by around 32 per cent and pollutant discharges (BOD₅) by 17 per cent by 2030. The associated revenue gains would be substantial</w:t>
      </w:r>
      <w:r>
        <w:t xml:space="preserve">, </w:t>
      </w:r>
      <w:r w:rsidRPr="00A10A55">
        <w:t>together contributing nearly three-quarters of all additional receipts under Scenario A. These measures would reinforce cost recovery in line with the Water Framework Directive and provide resources for water efficiency and treatment infrastructure, particularly in water-stressed regions such as the Algarve and Alentejo.</w:t>
      </w:r>
    </w:p>
    <w:p w14:paraId="2867A314" w14:textId="48AFD41F" w:rsidR="00A10A55" w:rsidRPr="00A10A55" w:rsidRDefault="00A10A55" w:rsidP="00A10A55">
      <w:r w:rsidRPr="00A10A55">
        <w:t xml:space="preserve">In </w:t>
      </w:r>
      <w:r w:rsidRPr="00A10A55">
        <w:rPr>
          <w:b/>
          <w:bCs/>
        </w:rPr>
        <w:t>waste management</w:t>
      </w:r>
      <w:r w:rsidRPr="00A10A55">
        <w:t xml:space="preserve">, Portugal has made progress in reducing landfill dependency but continues to rely heavily on landfilling compared to EU averages. The modelling estimates that a </w:t>
      </w:r>
      <w:r w:rsidRPr="00A10A55">
        <w:rPr>
          <w:b/>
          <w:bCs/>
        </w:rPr>
        <w:t>landfill tax</w:t>
      </w:r>
      <w:r w:rsidRPr="00A10A55">
        <w:t xml:space="preserve"> at the benchmark rate (€65 per tonne) could reduce disposal volumes by approximately 30 per cent and generate over €300 million annually by 2030. While landfill taxes exist at national and municipal levels, rates vary and remain below this threshold. Gradually harmonising and raising these rates</w:t>
      </w:r>
      <w:r>
        <w:t xml:space="preserve">, </w:t>
      </w:r>
      <w:r w:rsidRPr="00A10A55">
        <w:t>paired with increased investment in sorting, composting, and recycling</w:t>
      </w:r>
      <w:r>
        <w:t xml:space="preserve">, </w:t>
      </w:r>
      <w:r w:rsidRPr="00A10A55">
        <w:t xml:space="preserve">would strengthen the circular economy and help meet EU waste targets. To avoid displacement towards incineration, a moderate </w:t>
      </w:r>
      <w:r w:rsidRPr="00A10A55">
        <w:rPr>
          <w:b/>
          <w:bCs/>
        </w:rPr>
        <w:t>incineration tax</w:t>
      </w:r>
      <w:r w:rsidRPr="00A10A55">
        <w:t xml:space="preserve"> (€15 per tonne) could be introduced concurrently.</w:t>
      </w:r>
    </w:p>
    <w:p w14:paraId="1FBC7BA7" w14:textId="586146DE" w:rsidR="00A10A55" w:rsidRPr="00A10A55" w:rsidRDefault="00A10A55" w:rsidP="00A10A55">
      <w:r w:rsidRPr="00A10A55">
        <w:t xml:space="preserve">For </w:t>
      </w:r>
      <w:r w:rsidRPr="00A10A55">
        <w:rPr>
          <w:b/>
          <w:bCs/>
        </w:rPr>
        <w:t>agriculture</w:t>
      </w:r>
      <w:r w:rsidRPr="00A10A55">
        <w:t xml:space="preserve">, introducing product-based taxes on </w:t>
      </w:r>
      <w:r w:rsidRPr="00A10A55">
        <w:rPr>
          <w:b/>
          <w:bCs/>
        </w:rPr>
        <w:t>fertilisers and pesticides</w:t>
      </w:r>
      <w:r w:rsidRPr="00A10A55">
        <w:t xml:space="preserve"> would support water-quality improvements and more sustainable nutrient management. The modelling suggests that a nitrogen-based fertiliser tax (€0.30 per kilogram of N) and a pesticide tax (€5 per kilogram of active ingredient) would together reduce input use by 10–12 per cent and generate moderate additional revenues. The environmental benefits would be particularly relevant in the Tagus and Sado river basins, where nitrate pollution and pesticide residues remain problematic. To ensure fairness and feasibility, such taxes should be phased in gradually and paired with technical assistance, advisory services, and investment support for precision agriculture and integrated pest management.</w:t>
      </w:r>
    </w:p>
    <w:p w14:paraId="6A1FCBBD" w14:textId="26E89854" w:rsidR="00A10A55" w:rsidRPr="00A10A55" w:rsidRDefault="00A10A55" w:rsidP="00A10A55">
      <w:r w:rsidRPr="00A10A55">
        <w:t xml:space="preserve">Portugal also presents potential for expanding </w:t>
      </w:r>
      <w:r w:rsidRPr="00A10A55">
        <w:rPr>
          <w:b/>
          <w:bCs/>
        </w:rPr>
        <w:t>resource-use taxation</w:t>
      </w:r>
      <w:r w:rsidRPr="00A10A55">
        <w:t xml:space="preserve">, notably through a </w:t>
      </w:r>
      <w:r w:rsidRPr="00A10A55">
        <w:rPr>
          <w:b/>
          <w:bCs/>
        </w:rPr>
        <w:t>mineral extraction tax</w:t>
      </w:r>
      <w:r w:rsidRPr="00A10A55">
        <w:t xml:space="preserve"> and adjustments to existing fees. The modelling suggests that a €3.12 per tonne tax on </w:t>
      </w:r>
      <w:r w:rsidRPr="00A10A55">
        <w:lastRenderedPageBreak/>
        <w:t>construction aggregates (sand, gravel, limestone, gypsum) could reduce extraction volumes by 14 per cent and raise approximately €200 million annually. The measure would promote the uptake of recycled aggregates and reduce the environmental footprint of quarrying, aligning with the country’s circular economy roadmap.</w:t>
      </w:r>
    </w:p>
    <w:p w14:paraId="58C56466" w14:textId="442894A6" w:rsidR="00A10A55" w:rsidRPr="00A10A55" w:rsidRDefault="00A10A55" w:rsidP="00A10A55">
      <w:r w:rsidRPr="00A10A55">
        <w:t xml:space="preserve">Smaller, complementary gains could be achieved through the introduction of </w:t>
      </w:r>
      <w:r w:rsidRPr="00A10A55">
        <w:rPr>
          <w:b/>
          <w:bCs/>
        </w:rPr>
        <w:t>air-pollution charges</w:t>
      </w:r>
      <w:r w:rsidRPr="00A10A55">
        <w:t xml:space="preserve"> for industrial point sources (NOx, SO₂, PM₂.₅), which remain untaxed. At benchmark rates (€1,000 per tonne for NOx and SO₂, €2,000 per tonne for PM₂.₅), these would create incentives for cleaner technologies in industry and energy generation. Portugal’s existing environmental permitting and monitoring systems would enable straightforward implementation, leveraging existing emissions data.</w:t>
      </w:r>
    </w:p>
    <w:p w14:paraId="2F95AF13" w14:textId="63DB7EBE" w:rsidR="00A10A55" w:rsidRPr="00A10A55" w:rsidRDefault="00A10A55" w:rsidP="00A10A55">
      <w:r w:rsidRPr="00A10A55">
        <w:t xml:space="preserve">In </w:t>
      </w:r>
      <w:r w:rsidRPr="00A10A55">
        <w:rPr>
          <w:b/>
          <w:bCs/>
        </w:rPr>
        <w:t>fiscal terms</w:t>
      </w:r>
      <w:r w:rsidRPr="00A10A55">
        <w:t>, Portugal could raise an additional €1.5–2.0 billion in annual revenues from new or strengthened environmental taxes under Scenario A, equivalent to roughly 1 per cent of total tax receipts. Most of these gains would stem from the water and waste sectors. These revenues could be recycled to reduce labour taxes, support low-income households, and finance green investments in water, waste, and circular economy infrastructure. Transparent earmarking and reporting would be crucial to maintain public trust and demonstrate environmental returns.</w:t>
      </w:r>
    </w:p>
    <w:p w14:paraId="31E31424" w14:textId="23EBBB60" w:rsidR="00A10A55" w:rsidRPr="00A10A55" w:rsidRDefault="00A10A55" w:rsidP="00A10A55">
      <w:r w:rsidRPr="00A10A55">
        <w:t xml:space="preserve">From an </w:t>
      </w:r>
      <w:r w:rsidRPr="00A10A55">
        <w:rPr>
          <w:b/>
          <w:bCs/>
        </w:rPr>
        <w:t>administrative perspective</w:t>
      </w:r>
      <w:r w:rsidRPr="00A10A55">
        <w:t>, feasibility is high. Portugal already operates robust systems for environmental data collection and fiscal management, and most of the proposed instruments build on existing frameworks. The General Directorate for Energy and Geology and the Portuguese Environment Agency (APA) could manage mineral and pollution-based taxes, while water boards and utilities could administer abstraction and wastewater charges. The main challenges are political and behavioural</w:t>
      </w:r>
      <w:r>
        <w:t xml:space="preserve">: </w:t>
      </w:r>
      <w:r w:rsidRPr="00A10A55">
        <w:t>ensuring that the public perceives these taxes as fair and effective, and that key sectors have the capacity to adapt.</w:t>
      </w:r>
    </w:p>
    <w:p w14:paraId="5EFFD1FD" w14:textId="25801011" w:rsidR="00A10A55" w:rsidRPr="00A10A55" w:rsidRDefault="00A10A55" w:rsidP="00A10A55">
      <w:r w:rsidRPr="00A10A55">
        <w:rPr>
          <w:b/>
          <w:bCs/>
        </w:rPr>
        <w:t>Distributional and competitiveness impacts</w:t>
      </w:r>
      <w:r w:rsidRPr="00A10A55">
        <w:t xml:space="preserve"> are expected to be limited but should nonetheless be managed proactively. For households, gradual phasing of higher water and waste tariffs, combined with targeted bill credits or social rebates for low-income consumers, can maintain affordability. For firms, especially in agriculture and construction, transitional measures such as investment grants, depreciation allowances for abatement equipment, and public procurement incentives for recycled materials can offset short-term competitiveness risks.</w:t>
      </w:r>
    </w:p>
    <w:p w14:paraId="689D8874" w14:textId="73D8FBCA" w:rsidR="00A10A55" w:rsidRPr="00A10A55" w:rsidRDefault="00A10A55" w:rsidP="00A10A55">
      <w:r w:rsidRPr="00A10A55">
        <w:t>Portugal’s experience with its Green Tax Reform demonstrates that environmental taxation can be socially acceptable when accompanied by clear communication, fairness, and visible reinvestment of revenues. A phased approach</w:t>
      </w:r>
      <w:r>
        <w:t xml:space="preserve">, </w:t>
      </w:r>
      <w:r w:rsidRPr="00A10A55">
        <w:t>starting with water abstraction and wastewater taxes, followed by higher landfill rates, fertiliser and pesticide instruments, and a minerals charge</w:t>
      </w:r>
      <w:r>
        <w:t xml:space="preserve">, </w:t>
      </w:r>
      <w:r w:rsidRPr="00A10A55">
        <w:t>would allow for predictable adaptation and stakeholder engagement.</w:t>
      </w:r>
    </w:p>
    <w:p w14:paraId="6735DA6F" w14:textId="08DF4F96" w:rsidR="00AA5F0D" w:rsidRPr="00A10A55" w:rsidRDefault="00A10A55" w:rsidP="00C55692">
      <w:pPr>
        <w:rPr>
          <w:rFonts w:ascii="Times New Roman" w:eastAsia="Times New Roman" w:hAnsi="Times New Roman" w:cs="Times New Roman"/>
          <w:sz w:val="24"/>
          <w:szCs w:val="24"/>
          <w:lang w:eastAsia="en-GB"/>
        </w:rPr>
      </w:pPr>
      <w:r w:rsidRPr="00A10A55">
        <w:t>In summary, Portugal has strong potential to expand its environmental tax base beyond energy and transport. By prioritising water, waste, and agricultural instruments, and by designing revenue recycling to reinforce social equity and investment in sustainability, Portugal can achieve significant environmental benefits and stable fiscal gains while supporting a more circular and resource-efficient economy.</w:t>
      </w:r>
    </w:p>
    <w:p w14:paraId="1E27D7AA" w14:textId="77777777" w:rsidR="00F83E65" w:rsidRPr="00EA4C9B" w:rsidRDefault="00F83E65" w:rsidP="00A10A55">
      <w:pPr>
        <w:pStyle w:val="AnnexHeading1"/>
        <w:ind w:hanging="1211"/>
      </w:pPr>
      <w:bookmarkStart w:id="289" w:name="_Toc214008938"/>
      <w:r w:rsidRPr="00EA4C9B">
        <w:t>Romania</w:t>
      </w:r>
      <w:bookmarkEnd w:id="289"/>
      <w:r w:rsidRPr="00EA4C9B">
        <w:t> </w:t>
      </w:r>
    </w:p>
    <w:p w14:paraId="0EBD1E56" w14:textId="77777777" w:rsidR="002435CD" w:rsidRPr="00EA4C9B" w:rsidRDefault="002435CD" w:rsidP="007C4EB7">
      <w:pPr>
        <w:pStyle w:val="AnnexHeading2"/>
      </w:pPr>
      <w:bookmarkStart w:id="290" w:name="_Toc214008939"/>
      <w:r w:rsidRPr="00EA4C9B">
        <w:t>Overview of existing environmental taxes</w:t>
      </w:r>
      <w:bookmarkEnd w:id="290"/>
    </w:p>
    <w:p w14:paraId="08417873" w14:textId="20BCE64A" w:rsidR="002435CD" w:rsidRPr="00EA4C9B" w:rsidRDefault="00D51045" w:rsidP="002435CD">
      <w:pPr>
        <w:spacing w:before="120" w:after="120"/>
        <w:rPr>
          <w:lang w:eastAsia="en-GB"/>
        </w:rPr>
      </w:pPr>
      <w:r w:rsidRPr="00D51045">
        <w:t xml:space="preserve">Environmental taxes in Romania amounted to 2.2% of GDP in 2023, slightly above the EU average. While revenues have risen sharply in absolute terms over the past 15 years, their relative importance </w:t>
      </w:r>
      <w:r w:rsidRPr="00D51045">
        <w:lastRenderedPageBreak/>
        <w:t>in the economy has grown more moderately. Total environmental tax revenue reached EUR 7.29 billion in real terms in 2023 (</w:t>
      </w:r>
      <w:r w:rsidR="00AB1E38">
        <w:fldChar w:fldCharType="begin"/>
      </w:r>
      <w:r w:rsidR="00AB1E38">
        <w:instrText xml:space="preserve"> REF _Ref201231435 \h  \* MERGEFORMAT </w:instrText>
      </w:r>
      <w:r w:rsidR="00AB1E38">
        <w:fldChar w:fldCharType="separate"/>
      </w:r>
      <w:r w:rsidR="00AB1E38">
        <w:t>Figure A6-</w:t>
      </w:r>
      <w:r w:rsidR="00AB1E38" w:rsidRPr="606E24A0">
        <w:rPr>
          <w:noProof/>
        </w:rPr>
        <w:t>63</w:t>
      </w:r>
      <w:r w:rsidR="00AB1E38">
        <w:fldChar w:fldCharType="end"/>
      </w:r>
      <w:r w:rsidRPr="00D51045">
        <w:t>), representing a substantial 224.9% increase since 2009</w:t>
      </w:r>
      <w:r w:rsidR="00072325">
        <w:rPr>
          <w:rStyle w:val="FootnoteReference"/>
        </w:rPr>
        <w:footnoteReference w:id="723"/>
      </w:r>
      <w:r w:rsidRPr="00D51045">
        <w:t>. Over the same period, however, the ratio of environmental taxes to GDP increased by only 25.4% (</w:t>
      </w:r>
      <w:r w:rsidR="00AB1E38">
        <w:fldChar w:fldCharType="begin"/>
      </w:r>
      <w:r w:rsidR="00AB1E38">
        <w:instrText xml:space="preserve"> REF _Ref201231461 \h  \* MERGEFORMAT </w:instrText>
      </w:r>
      <w:r w:rsidR="00AB1E38">
        <w:fldChar w:fldCharType="separate"/>
      </w:r>
      <w:r w:rsidR="00AB1E38">
        <w:t>Figure A6-</w:t>
      </w:r>
      <w:r w:rsidR="00AB1E38" w:rsidRPr="606E24A0">
        <w:rPr>
          <w:noProof/>
        </w:rPr>
        <w:t>64</w:t>
      </w:r>
      <w:r w:rsidR="00AB1E38">
        <w:fldChar w:fldCharType="end"/>
      </w:r>
      <w:r w:rsidRPr="00D51045">
        <w:t xml:space="preserve">). In 2023, revenues were overwhelmingly derived from energy and transport taxes (around 94.13% and 5.71%, respectively), while pollution and resource taxes </w:t>
      </w:r>
      <w:r w:rsidR="008D63DC" w:rsidRPr="606E24A0">
        <w:rPr>
          <w:lang w:eastAsia="en-GB"/>
        </w:rPr>
        <w:t>amounting to around 0.16%.</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35CD" w:rsidRPr="00EA4C9B" w14:paraId="41EDBD93" w14:textId="77777777" w:rsidTr="00BA7936">
        <w:trPr>
          <w:trHeight w:val="1871"/>
        </w:trPr>
        <w:tc>
          <w:tcPr>
            <w:tcW w:w="9014" w:type="dxa"/>
          </w:tcPr>
          <w:p w14:paraId="52B697E3" w14:textId="77777777" w:rsidR="002435CD" w:rsidRPr="00EA4C9B" w:rsidRDefault="002435CD" w:rsidP="00BA7936">
            <w:pPr>
              <w:jc w:val="center"/>
              <w:rPr>
                <w:sz w:val="2"/>
                <w:szCs w:val="2"/>
              </w:rPr>
            </w:pPr>
            <w:r w:rsidRPr="00EA4C9B">
              <w:rPr>
                <w:noProof/>
                <w:sz w:val="2"/>
                <w:szCs w:val="2"/>
              </w:rPr>
              <w:drawing>
                <wp:anchor distT="0" distB="0" distL="114300" distR="114300" simplePos="0" relativeHeight="251658241" behindDoc="0" locked="0" layoutInCell="1" allowOverlap="1" wp14:anchorId="21856712" wp14:editId="6B9CC809">
                  <wp:simplePos x="0" y="0"/>
                  <wp:positionH relativeFrom="column">
                    <wp:posOffset>4445</wp:posOffset>
                  </wp:positionH>
                  <wp:positionV relativeFrom="paragraph">
                    <wp:posOffset>57150</wp:posOffset>
                  </wp:positionV>
                  <wp:extent cx="5572800" cy="1104066"/>
                  <wp:effectExtent l="0" t="0" r="0" b="1270"/>
                  <wp:wrapSquare wrapText="bothSides"/>
                  <wp:docPr id="650142714" name="Picture 1" descr="A graph of 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42714" name="Picture 1" descr="A graph of a graph with numbers and a line&#10;&#10;AI-generated content may be incorrec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572800" cy="1104066"/>
                          </a:xfrm>
                          <a:prstGeom prst="rect">
                            <a:avLst/>
                          </a:prstGeom>
                          <a:noFill/>
                        </pic:spPr>
                      </pic:pic>
                    </a:graphicData>
                  </a:graphic>
                  <wp14:sizeRelH relativeFrom="page">
                    <wp14:pctWidth>0</wp14:pctWidth>
                  </wp14:sizeRelH>
                  <wp14:sizeRelV relativeFrom="page">
                    <wp14:pctHeight>0</wp14:pctHeight>
                  </wp14:sizeRelV>
                </wp:anchor>
              </w:drawing>
            </w:r>
          </w:p>
        </w:tc>
      </w:tr>
      <w:tr w:rsidR="002435CD" w:rsidRPr="00EA4C9B" w14:paraId="702934E2" w14:textId="77777777" w:rsidTr="00BA7936">
        <w:tc>
          <w:tcPr>
            <w:tcW w:w="9016" w:type="dxa"/>
            <w:shd w:val="clear" w:color="auto" w:fill="003399"/>
          </w:tcPr>
          <w:p w14:paraId="588E8FA3" w14:textId="3BE488B2" w:rsidR="002435CD" w:rsidRPr="00EA4C9B" w:rsidRDefault="002435CD" w:rsidP="00BA7936">
            <w:pPr>
              <w:pStyle w:val="FigTabCaption"/>
              <w:spacing w:after="240"/>
            </w:pPr>
            <w:bookmarkStart w:id="291" w:name="_Ref201231435"/>
            <w:r w:rsidRPr="00051732">
              <w:t xml:space="preserve">Figure </w:t>
            </w:r>
            <w:r w:rsidR="00490085">
              <w:t>A6</w:t>
            </w:r>
            <w:r w:rsidR="00947F4C" w:rsidRPr="00051732">
              <w:t>-</w:t>
            </w:r>
            <w:r>
              <w:fldChar w:fldCharType="begin"/>
            </w:r>
            <w:r>
              <w:instrText>SEQ Figure_A5- \* ARABIC</w:instrText>
            </w:r>
            <w:r>
              <w:fldChar w:fldCharType="separate"/>
            </w:r>
            <w:r w:rsidR="0091411A">
              <w:rPr>
                <w:noProof/>
              </w:rPr>
              <w:t>63</w:t>
            </w:r>
            <w:r>
              <w:fldChar w:fldCharType="end"/>
            </w:r>
            <w:bookmarkEnd w:id="291"/>
            <w:r w:rsidRPr="00EA4C9B">
              <w:t>: Total environmental tax revenue in Romania (2009-2023) in billion euros</w:t>
            </w:r>
          </w:p>
        </w:tc>
      </w:tr>
    </w:tbl>
    <w:p w14:paraId="77DEA5AE" w14:textId="77777777" w:rsidR="002435CD" w:rsidRPr="00EA4C9B" w:rsidRDefault="002435CD" w:rsidP="002435CD">
      <w:pPr>
        <w:spacing w:after="0"/>
      </w:pPr>
    </w:p>
    <w:p w14:paraId="6B4AEC5C" w14:textId="1D7B7A22" w:rsidR="00CA1898" w:rsidRPr="00EA4C9B" w:rsidRDefault="00CA1898" w:rsidP="00BA7936">
      <w:r w:rsidRPr="00CA1898">
        <w:t>In 2023, total tax revenue (including net social contributions) accounted for 26.8% of Romania’s GDP, an increase of 1.2 percentage points compared with 25.6% in 2009. Environmental taxes represented 8.38% of total tax revenue in 2023, up from 7.02% in 2009</w:t>
      </w:r>
      <w:r>
        <w:t xml:space="preserve"> </w:t>
      </w:r>
      <w:r w:rsidRPr="00CA1898">
        <w:t>—</w:t>
      </w:r>
      <w:r>
        <w:t xml:space="preserve"> </w:t>
      </w:r>
      <w:r w:rsidRPr="00CA1898">
        <w:t>a rise of 1.36 percentage points over the period. In absolute terms, the strongest increase occurred in energy tax revenues (up 32.5%), while the largest decrease was recorded in transport tax revenues (</w:t>
      </w:r>
      <w:r>
        <w:t>-</w:t>
      </w:r>
      <w:r w:rsidRPr="00CA1898">
        <w:t>53.9%).</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35CD" w:rsidRPr="00EA4C9B" w14:paraId="5A518FD4" w14:textId="77777777" w:rsidTr="00BA7936">
        <w:tc>
          <w:tcPr>
            <w:tcW w:w="9016" w:type="dxa"/>
          </w:tcPr>
          <w:p w14:paraId="3386ED7C" w14:textId="77777777" w:rsidR="002435CD" w:rsidRPr="00EA4C9B" w:rsidRDefault="002435CD">
            <w:pPr>
              <w:spacing w:after="0"/>
              <w:jc w:val="center"/>
              <w:rPr>
                <w:sz w:val="2"/>
                <w:szCs w:val="2"/>
              </w:rPr>
            </w:pPr>
            <w:r w:rsidRPr="00EA4C9B">
              <w:rPr>
                <w:noProof/>
                <w:sz w:val="2"/>
                <w:szCs w:val="2"/>
              </w:rPr>
              <w:drawing>
                <wp:inline distT="0" distB="0" distL="0" distR="0" wp14:anchorId="6261234D" wp14:editId="656EED91">
                  <wp:extent cx="5587200" cy="1692787"/>
                  <wp:effectExtent l="0" t="0" r="0" b="3175"/>
                  <wp:docPr id="527061408" name="Picture 1" descr="A graph of energy and transport te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61408" name="Picture 1" descr="A graph of energy and transport terms&#10;&#10;AI-generated content may be incorrect."/>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587200" cy="1692787"/>
                          </a:xfrm>
                          <a:prstGeom prst="rect">
                            <a:avLst/>
                          </a:prstGeom>
                          <a:noFill/>
                        </pic:spPr>
                      </pic:pic>
                    </a:graphicData>
                  </a:graphic>
                </wp:inline>
              </w:drawing>
            </w:r>
          </w:p>
        </w:tc>
      </w:tr>
      <w:tr w:rsidR="002435CD" w:rsidRPr="00EA4C9B" w14:paraId="6BAFAD83" w14:textId="77777777" w:rsidTr="00BA7936">
        <w:tc>
          <w:tcPr>
            <w:tcW w:w="9016" w:type="dxa"/>
            <w:shd w:val="clear" w:color="auto" w:fill="003399"/>
          </w:tcPr>
          <w:p w14:paraId="0607936F" w14:textId="21BF99C9" w:rsidR="002435CD" w:rsidRPr="00EA4C9B" w:rsidRDefault="002435CD" w:rsidP="00440D15">
            <w:pPr>
              <w:pStyle w:val="FigTabCaption"/>
            </w:pPr>
            <w:bookmarkStart w:id="292" w:name="_Ref201231461"/>
            <w:r w:rsidRPr="00051732">
              <w:t xml:space="preserve">Figure </w:t>
            </w:r>
            <w:r w:rsidR="00490085">
              <w:t>A6</w:t>
            </w:r>
            <w:r w:rsidR="00947F4C" w:rsidRPr="00051732">
              <w:t>-</w:t>
            </w:r>
            <w:r>
              <w:fldChar w:fldCharType="begin"/>
            </w:r>
            <w:r>
              <w:instrText>SEQ Figure_A5- \* ARABIC</w:instrText>
            </w:r>
            <w:r>
              <w:fldChar w:fldCharType="separate"/>
            </w:r>
            <w:r w:rsidR="0091411A">
              <w:rPr>
                <w:noProof/>
              </w:rPr>
              <w:t>64</w:t>
            </w:r>
            <w:r>
              <w:fldChar w:fldCharType="end"/>
            </w:r>
            <w:bookmarkEnd w:id="292"/>
            <w:r w:rsidRPr="00EA4C9B">
              <w:t>: Fifteen-year (2009-2023) change in absolute terms and change as GDP-ratio of the revenues of energy taxes, transport taxes, resource taxes, pollution taxes and total environmental taxes</w:t>
            </w:r>
            <w:r w:rsidR="00032C7B">
              <w:t xml:space="preserve"> </w:t>
            </w:r>
          </w:p>
        </w:tc>
      </w:tr>
    </w:tbl>
    <w:p w14:paraId="58E814EF" w14:textId="77777777" w:rsidR="00072325" w:rsidRDefault="00072325" w:rsidP="00072325"/>
    <w:p w14:paraId="1F09C123" w14:textId="77777777" w:rsidR="002435CD" w:rsidRPr="00EA4C9B" w:rsidRDefault="002435CD" w:rsidP="007C4EB7">
      <w:pPr>
        <w:pStyle w:val="AnnexHeading2"/>
      </w:pPr>
      <w:bookmarkStart w:id="293" w:name="_Toc214008940"/>
      <w:r w:rsidRPr="00EA4C9B">
        <w:t>Existing pollution and resource taxes</w:t>
      </w:r>
      <w:bookmarkEnd w:id="293"/>
    </w:p>
    <w:p w14:paraId="575AE8C1" w14:textId="4D0989A8" w:rsidR="002435CD" w:rsidRPr="00EA4C9B" w:rsidRDefault="002435CD" w:rsidP="002435CD">
      <w:pPr>
        <w:spacing w:before="120" w:after="120"/>
      </w:pPr>
      <w:r w:rsidRPr="00EA4C9B">
        <w:t xml:space="preserve">In 2023, pollution and resource tax revenues reached respectively 6.4 and 5.2 million euros. These amount to changes in absolute terms of — respectively — 38.6% and 89.3% over 15 years (2009-2023). In terms of GDP-ratios, pollution taxes decreased by 46.5% </w:t>
      </w:r>
      <w:r w:rsidR="1A469044">
        <w:t>and</w:t>
      </w:r>
      <w:r w:rsidRPr="00EA4C9B">
        <w:t xml:space="preserve"> resource taxes decreased by 26.9% (</w:t>
      </w:r>
      <w:r w:rsidR="00EC7B94" w:rsidRPr="00EC7B94">
        <w:fldChar w:fldCharType="begin"/>
      </w:r>
      <w:r w:rsidR="00EC7B94" w:rsidRPr="00EC7B94">
        <w:instrText xml:space="preserve"> REF _Ref201231461 \h  \* MERGEFORMAT </w:instrText>
      </w:r>
      <w:r w:rsidR="00EC7B94" w:rsidRPr="00EC7B94">
        <w:fldChar w:fldCharType="separate"/>
      </w:r>
      <w:r w:rsidR="00EC7B94" w:rsidRPr="00EC7B94">
        <w:t xml:space="preserve">Figure </w:t>
      </w:r>
      <w:r w:rsidR="00490085">
        <w:t>A6</w:t>
      </w:r>
      <w:r w:rsidR="00EC7B94" w:rsidRPr="00EC7B94">
        <w:t>-</w:t>
      </w:r>
      <w:r w:rsidR="00EC7B94" w:rsidRPr="00EC7B94">
        <w:rPr>
          <w:noProof/>
        </w:rPr>
        <w:t>64</w:t>
      </w:r>
      <w:r w:rsidR="00EC7B94" w:rsidRPr="00EC7B94">
        <w:fldChar w:fldCharType="end"/>
      </w:r>
      <w:r w:rsidR="00EC7B94">
        <w:t>).</w:t>
      </w:r>
      <w:r w:rsidRPr="00EA4C9B">
        <w:t xml:space="preserve"> In 2023, pollution and resource tax revenues accounted for 0.07% and 0.09% of the total environmental tax revenues respectively.</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35CD" w:rsidRPr="00EA4C9B" w14:paraId="7B1B5A97" w14:textId="77777777" w:rsidTr="00BA7936">
        <w:tc>
          <w:tcPr>
            <w:tcW w:w="9016" w:type="dxa"/>
          </w:tcPr>
          <w:p w14:paraId="55A020E8" w14:textId="77777777" w:rsidR="002435CD" w:rsidRPr="00EA4C9B" w:rsidRDefault="002435CD">
            <w:pPr>
              <w:spacing w:after="0"/>
              <w:jc w:val="center"/>
              <w:rPr>
                <w:sz w:val="2"/>
                <w:szCs w:val="2"/>
              </w:rPr>
            </w:pPr>
            <w:r w:rsidRPr="00EA4C9B">
              <w:rPr>
                <w:noProof/>
                <w:sz w:val="2"/>
                <w:szCs w:val="2"/>
              </w:rPr>
              <w:lastRenderedPageBreak/>
              <w:drawing>
                <wp:inline distT="0" distB="0" distL="0" distR="0" wp14:anchorId="27D1E153" wp14:editId="750F4249">
                  <wp:extent cx="5587200" cy="1226259"/>
                  <wp:effectExtent l="0" t="0" r="0" b="0"/>
                  <wp:docPr id="2114289475" name="Picture 2"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89475" name="Picture 2" descr="A graph of a number of people&#10;&#10;AI-generated content may be incorrect."/>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587200" cy="1226259"/>
                          </a:xfrm>
                          <a:prstGeom prst="rect">
                            <a:avLst/>
                          </a:prstGeom>
                          <a:noFill/>
                        </pic:spPr>
                      </pic:pic>
                    </a:graphicData>
                  </a:graphic>
                </wp:inline>
              </w:drawing>
            </w:r>
          </w:p>
        </w:tc>
      </w:tr>
      <w:tr w:rsidR="002435CD" w:rsidRPr="00EA4C9B" w14:paraId="3FBB64AA" w14:textId="77777777" w:rsidTr="00BA7936">
        <w:tc>
          <w:tcPr>
            <w:tcW w:w="9016" w:type="dxa"/>
            <w:shd w:val="clear" w:color="auto" w:fill="003399"/>
          </w:tcPr>
          <w:p w14:paraId="20A7D841" w14:textId="588A1272" w:rsidR="00BE61A1" w:rsidRDefault="002435CD" w:rsidP="00440D15">
            <w:pPr>
              <w:pStyle w:val="FigTabCaption"/>
            </w:pPr>
            <w:r w:rsidRPr="00051732">
              <w:t xml:space="preserve">Figure </w:t>
            </w:r>
            <w:r w:rsidR="00490085">
              <w:t>A6</w:t>
            </w:r>
            <w:r w:rsidR="00947F4C" w:rsidRPr="00051732">
              <w:t>-</w:t>
            </w:r>
            <w:r>
              <w:fldChar w:fldCharType="begin"/>
            </w:r>
            <w:r>
              <w:instrText>SEQ Figure_A5- \* ARABIC</w:instrText>
            </w:r>
            <w:r>
              <w:fldChar w:fldCharType="separate"/>
            </w:r>
            <w:r w:rsidR="0091411A">
              <w:rPr>
                <w:noProof/>
              </w:rPr>
              <w:t>65</w:t>
            </w:r>
            <w:r>
              <w:fldChar w:fldCharType="end"/>
            </w:r>
            <w:r w:rsidRPr="00EA4C9B">
              <w:t xml:space="preserve">: Resource and pollution tax revenues in Romania (2009-2023) in million euros. </w:t>
            </w:r>
          </w:p>
          <w:p w14:paraId="636F4BCA" w14:textId="16644B42" w:rsidR="002435CD" w:rsidRPr="00EA4C9B" w:rsidRDefault="002435CD" w:rsidP="00440D15">
            <w:pPr>
              <w:pStyle w:val="FigTabCaption"/>
            </w:pPr>
            <w:r w:rsidRPr="00EA4C9B">
              <w:rPr>
                <w:i/>
                <w:iCs/>
              </w:rPr>
              <w:t>Note: the share between pollution and resource taxes in 2023 was estimated as the weighted average of past years</w:t>
            </w:r>
            <w:r w:rsidRPr="00EA4C9B">
              <w:t> </w:t>
            </w:r>
          </w:p>
        </w:tc>
      </w:tr>
    </w:tbl>
    <w:p w14:paraId="06745F26" w14:textId="77777777" w:rsidR="00A00DA3" w:rsidRPr="00A00DA3" w:rsidRDefault="00A00DA3" w:rsidP="00A00DA3">
      <w:pPr>
        <w:pStyle w:val="Heading4"/>
        <w:rPr>
          <w:rFonts w:eastAsia="Times New Roman" w:cs="Calibri"/>
          <w:lang w:eastAsia="en-GB"/>
        </w:rPr>
      </w:pPr>
      <w:r w:rsidRPr="00A00DA3">
        <w:rPr>
          <w:rFonts w:eastAsia="Times New Roman" w:cs="Calibri"/>
          <w:lang w:eastAsia="en-GB"/>
        </w:rPr>
        <w:t>List of pollution and resource taxes and revenue shares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2435CD" w:rsidRPr="00EA4C9B" w14:paraId="67108C26" w14:textId="77777777" w:rsidTr="004F0767">
        <w:trPr>
          <w:trHeight w:val="49"/>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29B02F3A" w14:textId="47876246" w:rsidR="002435CD" w:rsidRPr="00997633" w:rsidRDefault="00947F4C" w:rsidP="00997633">
            <w:pPr>
              <w:pStyle w:val="Table"/>
              <w:rPr>
                <w:rFonts w:ascii="Times New Roman" w:eastAsia="Times New Roman" w:hAnsi="Times New Roman" w:cs="Times New Roman"/>
                <w:b/>
                <w:sz w:val="24"/>
                <w:lang w:eastAsia="en-GB"/>
              </w:rPr>
            </w:pPr>
            <w:r w:rsidRPr="00997633">
              <w:rPr>
                <w:b/>
                <w:color w:val="FFFFFF" w:themeColor="background1"/>
              </w:rPr>
              <w:t xml:space="preserve">Table </w:t>
            </w:r>
            <w:r w:rsidR="00490085">
              <w:rPr>
                <w:b/>
                <w:color w:val="FFFFFF" w:themeColor="background1"/>
              </w:rPr>
              <w:t>A6</w:t>
            </w:r>
            <w:r w:rsidR="00997633" w:rsidRPr="00997633">
              <w:rPr>
                <w:b/>
                <w:bCs/>
                <w:color w:val="FFFFFF" w:themeColor="background1"/>
              </w:rPr>
              <w:t>-</w:t>
            </w:r>
            <w:r w:rsidR="00997633" w:rsidRPr="00997633">
              <w:rPr>
                <w:b/>
                <w:bCs/>
                <w:color w:val="FFFFFF" w:themeColor="background1"/>
              </w:rPr>
              <w:fldChar w:fldCharType="begin"/>
            </w:r>
            <w:r w:rsidR="00997633" w:rsidRPr="00997633">
              <w:rPr>
                <w:b/>
                <w:bCs/>
                <w:color w:val="FFFFFF" w:themeColor="background1"/>
              </w:rPr>
              <w:instrText xml:space="preserve"> SEQ Table_A5- \* ARABIC </w:instrText>
            </w:r>
            <w:r w:rsidR="00997633" w:rsidRPr="00997633">
              <w:rPr>
                <w:b/>
                <w:bCs/>
                <w:color w:val="FFFFFF" w:themeColor="background1"/>
              </w:rPr>
              <w:fldChar w:fldCharType="separate"/>
            </w:r>
            <w:r w:rsidR="00BE61A1">
              <w:rPr>
                <w:b/>
                <w:bCs/>
                <w:noProof/>
                <w:color w:val="FFFFFF" w:themeColor="background1"/>
              </w:rPr>
              <w:t>114</w:t>
            </w:r>
            <w:r w:rsidR="00997633" w:rsidRPr="00997633">
              <w:rPr>
                <w:b/>
                <w:bCs/>
                <w:color w:val="FFFFFF" w:themeColor="background1"/>
              </w:rPr>
              <w:fldChar w:fldCharType="end"/>
            </w:r>
            <w:r w:rsidR="00997633">
              <w:rPr>
                <w:b/>
                <w:bCs/>
                <w:color w:val="FFFFFF" w:themeColor="background1"/>
              </w:rPr>
              <w:t>:</w:t>
            </w:r>
            <w:r w:rsidR="002435CD">
              <w:rPr>
                <w:b/>
                <w:color w:val="FFFFFF" w:themeColor="background1"/>
              </w:rPr>
              <w:t xml:space="preserve"> </w:t>
            </w:r>
            <w:r w:rsidR="002435CD" w:rsidRPr="00997633">
              <w:rPr>
                <w:rFonts w:ascii="Calibri" w:eastAsia="Times New Roman" w:hAnsi="Calibri" w:cs="Calibri"/>
                <w:b/>
                <w:color w:val="FFFFFF" w:themeColor="background1"/>
                <w:szCs w:val="20"/>
                <w:lang w:eastAsia="en-GB"/>
              </w:rPr>
              <w:t>Waste taxes </w:t>
            </w:r>
          </w:p>
        </w:tc>
      </w:tr>
      <w:tr w:rsidR="002435CD" w:rsidRPr="00EA4C9B" w14:paraId="68AC28AA" w14:textId="77777777" w:rsidTr="004F0767">
        <w:trPr>
          <w:trHeight w:val="76"/>
        </w:trPr>
        <w:tc>
          <w:tcPr>
            <w:tcW w:w="3497" w:type="dxa"/>
            <w:tcBorders>
              <w:top w:val="single" w:sz="6" w:space="0" w:color="auto"/>
              <w:left w:val="single" w:sz="6" w:space="0" w:color="auto"/>
              <w:bottom w:val="single" w:sz="6" w:space="0" w:color="auto"/>
              <w:right w:val="single" w:sz="6" w:space="0" w:color="auto"/>
            </w:tcBorders>
            <w:hideMark/>
          </w:tcPr>
          <w:p w14:paraId="00DD83F9" w14:textId="77777777" w:rsidR="002435CD" w:rsidRPr="00EA4C9B" w:rsidRDefault="002435CD" w:rsidP="00997633">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8" w:type="dxa"/>
            <w:tcBorders>
              <w:top w:val="single" w:sz="6" w:space="0" w:color="auto"/>
              <w:left w:val="single" w:sz="6" w:space="0" w:color="auto"/>
              <w:bottom w:val="single" w:sz="6" w:space="0" w:color="auto"/>
              <w:right w:val="single" w:sz="6" w:space="0" w:color="auto"/>
            </w:tcBorders>
          </w:tcPr>
          <w:p w14:paraId="4D1C85BA" w14:textId="77777777" w:rsidR="002435CD" w:rsidRPr="00EA4C9B" w:rsidRDefault="002435CD" w:rsidP="00BE61A1">
            <w:pPr>
              <w:pStyle w:val="Table"/>
              <w:jc w:val="center"/>
              <w:rPr>
                <w:rFonts w:ascii="Calibri" w:eastAsia="Times New Roman" w:hAnsi="Calibri" w:cs="Calibri"/>
                <w:b/>
                <w:bCs/>
                <w:szCs w:val="20"/>
                <w:lang w:eastAsia="en-GB"/>
              </w:rPr>
            </w:pPr>
            <w:r w:rsidRPr="00EA4C9B">
              <w:rPr>
                <w:rFonts w:ascii="Calibri" w:eastAsia="Times New Roman" w:hAnsi="Calibri" w:cs="Calibri"/>
                <w:b/>
                <w:szCs w:val="20"/>
                <w:lang w:eastAsia="en-GB"/>
              </w:rPr>
              <w:t>Revenue (€ million)</w:t>
            </w:r>
          </w:p>
          <w:p w14:paraId="5A431918" w14:textId="77777777" w:rsidR="002435CD" w:rsidRPr="00EA4C9B" w:rsidRDefault="002435CD" w:rsidP="00BE61A1">
            <w:pPr>
              <w:pStyle w:val="Table"/>
              <w:jc w:val="center"/>
              <w:rPr>
                <w:rFonts w:ascii="Calibri" w:eastAsia="Times New Roman" w:hAnsi="Calibri" w:cs="Calibri"/>
                <w:b/>
                <w:szCs w:val="20"/>
                <w:lang w:eastAsia="en-GB"/>
              </w:rPr>
            </w:pPr>
            <w:r w:rsidRPr="00EA4C9B">
              <w:rPr>
                <w:rFonts w:ascii="Calibri" w:eastAsia="Times New Roman" w:hAnsi="Calibri" w:cs="Calibri"/>
                <w:b/>
                <w:szCs w:val="20"/>
                <w:lang w:eastAsia="en-GB"/>
              </w:rPr>
              <w:t>2009-2023</w:t>
            </w:r>
          </w:p>
        </w:tc>
        <w:tc>
          <w:tcPr>
            <w:tcW w:w="1894" w:type="dxa"/>
            <w:tcBorders>
              <w:top w:val="single" w:sz="6" w:space="0" w:color="auto"/>
              <w:left w:val="single" w:sz="6" w:space="0" w:color="auto"/>
              <w:bottom w:val="single" w:sz="6" w:space="0" w:color="auto"/>
              <w:right w:val="single" w:sz="6" w:space="0" w:color="auto"/>
            </w:tcBorders>
            <w:hideMark/>
          </w:tcPr>
          <w:p w14:paraId="5B26A1EE" w14:textId="77777777" w:rsidR="002435CD" w:rsidRPr="00EA4C9B" w:rsidRDefault="002435CD" w:rsidP="00BE61A1">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741F1D18" w14:textId="77777777" w:rsidR="002435CD" w:rsidRPr="00EA4C9B" w:rsidRDefault="002435CD" w:rsidP="00BE61A1">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waste tax revenues</w:t>
            </w:r>
          </w:p>
        </w:tc>
      </w:tr>
      <w:tr w:rsidR="002435CD" w:rsidRPr="00EA4C9B" w14:paraId="229D0971"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hideMark/>
          </w:tcPr>
          <w:p w14:paraId="2FA0E0D8" w14:textId="77777777" w:rsidR="002435CD" w:rsidRPr="00EA4C9B" w:rsidRDefault="002435CD" w:rsidP="00997633">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Environmental fees</w:t>
            </w:r>
          </w:p>
        </w:tc>
        <w:tc>
          <w:tcPr>
            <w:tcW w:w="1718" w:type="dxa"/>
            <w:tcBorders>
              <w:top w:val="single" w:sz="6" w:space="0" w:color="auto"/>
              <w:left w:val="single" w:sz="6" w:space="0" w:color="auto"/>
              <w:bottom w:val="single" w:sz="6" w:space="0" w:color="auto"/>
              <w:right w:val="single" w:sz="6" w:space="0" w:color="auto"/>
            </w:tcBorders>
          </w:tcPr>
          <w:p w14:paraId="49DE8533" w14:textId="77777777" w:rsidR="002435CD" w:rsidRPr="00EA4C9B" w:rsidRDefault="002435CD" w:rsidP="00BE61A1">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€3.7 - €4.7</w:t>
            </w:r>
          </w:p>
        </w:tc>
        <w:tc>
          <w:tcPr>
            <w:tcW w:w="1894" w:type="dxa"/>
            <w:tcBorders>
              <w:top w:val="single" w:sz="6" w:space="0" w:color="auto"/>
              <w:left w:val="single" w:sz="6" w:space="0" w:color="auto"/>
              <w:bottom w:val="single" w:sz="6" w:space="0" w:color="auto"/>
              <w:right w:val="single" w:sz="6" w:space="0" w:color="auto"/>
            </w:tcBorders>
            <w:hideMark/>
          </w:tcPr>
          <w:p w14:paraId="78A8E159" w14:textId="77777777" w:rsidR="002435CD" w:rsidRPr="00EA4C9B" w:rsidRDefault="002435CD" w:rsidP="00BE61A1">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€4.7</w:t>
            </w:r>
          </w:p>
        </w:tc>
        <w:tc>
          <w:tcPr>
            <w:tcW w:w="1901" w:type="dxa"/>
            <w:tcBorders>
              <w:top w:val="single" w:sz="6" w:space="0" w:color="auto"/>
              <w:left w:val="single" w:sz="6" w:space="0" w:color="auto"/>
              <w:bottom w:val="single" w:sz="6" w:space="0" w:color="auto"/>
              <w:right w:val="single" w:sz="6" w:space="0" w:color="auto"/>
            </w:tcBorders>
            <w:hideMark/>
          </w:tcPr>
          <w:p w14:paraId="01D9FBC9" w14:textId="77777777" w:rsidR="002435CD" w:rsidRPr="00EA4C9B" w:rsidRDefault="002435CD" w:rsidP="00BE61A1">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100%</w:t>
            </w:r>
          </w:p>
        </w:tc>
      </w:tr>
    </w:tbl>
    <w:p w14:paraId="7D7FE919" w14:textId="77777777" w:rsidR="002435CD" w:rsidRPr="00EA4C9B" w:rsidRDefault="002435CD" w:rsidP="002435CD">
      <w:pPr>
        <w:spacing w:before="120" w:after="120"/>
        <w:textAlignment w:val="baseline"/>
        <w:rPr>
          <w:rFonts w:ascii="Calibri" w:eastAsia="Times New Roman" w:hAnsi="Calibri" w:cs="Calibri"/>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00"/>
        <w:gridCol w:w="1717"/>
        <w:gridCol w:w="1893"/>
        <w:gridCol w:w="1900"/>
      </w:tblGrid>
      <w:tr w:rsidR="002435CD" w:rsidRPr="00EA4C9B" w14:paraId="3D2228DF" w14:textId="77777777" w:rsidTr="004F0767">
        <w:trPr>
          <w:trHeight w:val="133"/>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2F1E6C01" w14:textId="218F735B" w:rsidR="002435CD" w:rsidRPr="00997633" w:rsidRDefault="00947F4C" w:rsidP="00997633">
            <w:pPr>
              <w:pStyle w:val="Table"/>
              <w:rPr>
                <w:rFonts w:ascii="Times New Roman" w:eastAsia="Times New Roman" w:hAnsi="Times New Roman" w:cs="Times New Roman"/>
                <w:b/>
                <w:sz w:val="24"/>
                <w:lang w:eastAsia="en-GB"/>
              </w:rPr>
            </w:pPr>
            <w:r w:rsidRPr="00997633">
              <w:rPr>
                <w:b/>
                <w:color w:val="FFFFFF" w:themeColor="background1"/>
              </w:rPr>
              <w:t xml:space="preserve">Table </w:t>
            </w:r>
            <w:r w:rsidR="00490085">
              <w:rPr>
                <w:b/>
                <w:color w:val="FFFFFF" w:themeColor="background1"/>
              </w:rPr>
              <w:t>A6</w:t>
            </w:r>
            <w:r w:rsidR="00997633" w:rsidRPr="00997633">
              <w:rPr>
                <w:b/>
                <w:bCs/>
                <w:color w:val="FFFFFF" w:themeColor="background1"/>
              </w:rPr>
              <w:t>-</w:t>
            </w:r>
            <w:r w:rsidR="00997633" w:rsidRPr="00997633">
              <w:rPr>
                <w:b/>
                <w:bCs/>
                <w:color w:val="FFFFFF" w:themeColor="background1"/>
              </w:rPr>
              <w:fldChar w:fldCharType="begin"/>
            </w:r>
            <w:r w:rsidR="00997633" w:rsidRPr="00997633">
              <w:rPr>
                <w:b/>
                <w:bCs/>
                <w:color w:val="FFFFFF" w:themeColor="background1"/>
              </w:rPr>
              <w:instrText xml:space="preserve"> SEQ Table_A5- \* ARABIC </w:instrText>
            </w:r>
            <w:r w:rsidR="00997633" w:rsidRPr="00997633">
              <w:rPr>
                <w:b/>
                <w:bCs/>
                <w:color w:val="FFFFFF" w:themeColor="background1"/>
              </w:rPr>
              <w:fldChar w:fldCharType="separate"/>
            </w:r>
            <w:r w:rsidR="00BE61A1">
              <w:rPr>
                <w:b/>
                <w:bCs/>
                <w:noProof/>
                <w:color w:val="FFFFFF" w:themeColor="background1"/>
              </w:rPr>
              <w:t>115</w:t>
            </w:r>
            <w:r w:rsidR="00997633" w:rsidRPr="00997633">
              <w:rPr>
                <w:b/>
                <w:bCs/>
                <w:color w:val="FFFFFF" w:themeColor="background1"/>
              </w:rPr>
              <w:fldChar w:fldCharType="end"/>
            </w:r>
            <w:r w:rsidR="002435CD" w:rsidRPr="00997633">
              <w:rPr>
                <w:rFonts w:ascii="Calibri" w:eastAsia="Times New Roman" w:hAnsi="Calibri" w:cs="Calibri"/>
                <w:b/>
                <w:color w:val="FFFFFF" w:themeColor="background1"/>
                <w:szCs w:val="20"/>
                <w:lang w:eastAsia="en-GB"/>
              </w:rPr>
              <w:t>:  Resource taxes </w:t>
            </w:r>
          </w:p>
        </w:tc>
      </w:tr>
      <w:tr w:rsidR="002435CD" w:rsidRPr="00EA4C9B" w14:paraId="212F987B" w14:textId="77777777" w:rsidTr="004F0767">
        <w:trPr>
          <w:trHeight w:val="49"/>
        </w:trPr>
        <w:tc>
          <w:tcPr>
            <w:tcW w:w="3500" w:type="dxa"/>
            <w:tcBorders>
              <w:top w:val="single" w:sz="6" w:space="0" w:color="auto"/>
              <w:left w:val="single" w:sz="6" w:space="0" w:color="auto"/>
              <w:bottom w:val="single" w:sz="6" w:space="0" w:color="auto"/>
              <w:right w:val="single" w:sz="6" w:space="0" w:color="auto"/>
            </w:tcBorders>
            <w:hideMark/>
          </w:tcPr>
          <w:p w14:paraId="6286C9ED" w14:textId="77777777" w:rsidR="002435CD" w:rsidRPr="00EA4C9B" w:rsidRDefault="002435CD" w:rsidP="00997633">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7" w:type="dxa"/>
            <w:tcBorders>
              <w:top w:val="single" w:sz="6" w:space="0" w:color="auto"/>
              <w:left w:val="single" w:sz="6" w:space="0" w:color="auto"/>
              <w:bottom w:val="single" w:sz="6" w:space="0" w:color="auto"/>
              <w:right w:val="single" w:sz="6" w:space="0" w:color="auto"/>
            </w:tcBorders>
          </w:tcPr>
          <w:p w14:paraId="67FD7DE9" w14:textId="77777777" w:rsidR="002435CD" w:rsidRPr="00EA4C9B" w:rsidRDefault="002435CD" w:rsidP="00BE61A1">
            <w:pPr>
              <w:pStyle w:val="Table"/>
              <w:jc w:val="center"/>
              <w:rPr>
                <w:rFonts w:ascii="Calibri" w:eastAsia="Times New Roman" w:hAnsi="Calibri" w:cs="Calibri"/>
                <w:b/>
                <w:bCs/>
                <w:szCs w:val="20"/>
                <w:lang w:eastAsia="en-GB"/>
              </w:rPr>
            </w:pPr>
            <w:r w:rsidRPr="00EA4C9B">
              <w:rPr>
                <w:rFonts w:ascii="Calibri" w:eastAsia="Times New Roman" w:hAnsi="Calibri" w:cs="Calibri"/>
                <w:b/>
                <w:szCs w:val="20"/>
                <w:lang w:eastAsia="en-GB"/>
              </w:rPr>
              <w:t>Revenue (€ million)</w:t>
            </w:r>
          </w:p>
          <w:p w14:paraId="02D4344E" w14:textId="77777777" w:rsidR="002435CD" w:rsidRPr="00EA4C9B" w:rsidRDefault="002435CD" w:rsidP="00BE61A1">
            <w:pPr>
              <w:pStyle w:val="Table"/>
              <w:jc w:val="center"/>
              <w:rPr>
                <w:rFonts w:ascii="Calibri" w:eastAsia="Times New Roman" w:hAnsi="Calibri" w:cs="Calibri"/>
                <w:b/>
                <w:szCs w:val="20"/>
                <w:lang w:eastAsia="en-GB"/>
              </w:rPr>
            </w:pPr>
            <w:r w:rsidRPr="00EA4C9B">
              <w:rPr>
                <w:rFonts w:ascii="Calibri" w:eastAsia="Times New Roman" w:hAnsi="Calibri" w:cs="Calibri"/>
                <w:b/>
                <w:szCs w:val="20"/>
                <w:lang w:eastAsia="en-GB"/>
              </w:rPr>
              <w:t>2009-2023</w:t>
            </w:r>
          </w:p>
        </w:tc>
        <w:tc>
          <w:tcPr>
            <w:tcW w:w="1893" w:type="dxa"/>
            <w:tcBorders>
              <w:top w:val="single" w:sz="6" w:space="0" w:color="auto"/>
              <w:left w:val="single" w:sz="6" w:space="0" w:color="auto"/>
              <w:bottom w:val="single" w:sz="6" w:space="0" w:color="auto"/>
              <w:right w:val="single" w:sz="6" w:space="0" w:color="auto"/>
            </w:tcBorders>
            <w:hideMark/>
          </w:tcPr>
          <w:p w14:paraId="21E753F4" w14:textId="77777777" w:rsidR="002435CD" w:rsidRPr="00EA4C9B" w:rsidRDefault="002435CD" w:rsidP="00BE61A1">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00" w:type="dxa"/>
            <w:tcBorders>
              <w:top w:val="single" w:sz="6" w:space="0" w:color="auto"/>
              <w:left w:val="single" w:sz="6" w:space="0" w:color="auto"/>
              <w:bottom w:val="single" w:sz="6" w:space="0" w:color="auto"/>
              <w:right w:val="single" w:sz="6" w:space="0" w:color="auto"/>
            </w:tcBorders>
            <w:hideMark/>
          </w:tcPr>
          <w:p w14:paraId="428C7349" w14:textId="77777777" w:rsidR="002435CD" w:rsidRPr="00EA4C9B" w:rsidRDefault="002435CD" w:rsidP="00BE61A1">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resource tax revenues</w:t>
            </w:r>
          </w:p>
        </w:tc>
      </w:tr>
      <w:tr w:rsidR="002435CD" w:rsidRPr="00EA4C9B" w14:paraId="0B9FEB4B" w14:textId="77777777" w:rsidTr="004F0767">
        <w:trPr>
          <w:trHeight w:val="104"/>
        </w:trPr>
        <w:tc>
          <w:tcPr>
            <w:tcW w:w="3500" w:type="dxa"/>
            <w:tcBorders>
              <w:top w:val="single" w:sz="6" w:space="0" w:color="auto"/>
              <w:left w:val="single" w:sz="6" w:space="0" w:color="auto"/>
              <w:bottom w:val="single" w:sz="6" w:space="0" w:color="auto"/>
              <w:right w:val="single" w:sz="6" w:space="0" w:color="auto"/>
            </w:tcBorders>
            <w:hideMark/>
          </w:tcPr>
          <w:p w14:paraId="39F95BCF" w14:textId="77777777" w:rsidR="002435CD" w:rsidRPr="00EA4C9B" w:rsidRDefault="002435CD" w:rsidP="00997633">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Tax on mineral extraction activities</w:t>
            </w:r>
          </w:p>
        </w:tc>
        <w:tc>
          <w:tcPr>
            <w:tcW w:w="1717" w:type="dxa"/>
            <w:tcBorders>
              <w:top w:val="single" w:sz="6" w:space="0" w:color="auto"/>
              <w:left w:val="single" w:sz="6" w:space="0" w:color="auto"/>
              <w:bottom w:val="single" w:sz="6" w:space="0" w:color="auto"/>
              <w:right w:val="single" w:sz="6" w:space="0" w:color="auto"/>
            </w:tcBorders>
          </w:tcPr>
          <w:p w14:paraId="2E43E5B9" w14:textId="77777777" w:rsidR="002435CD" w:rsidRPr="00EA4C9B" w:rsidRDefault="002435CD" w:rsidP="00BE61A1">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€3 - €5.6</w:t>
            </w:r>
          </w:p>
        </w:tc>
        <w:tc>
          <w:tcPr>
            <w:tcW w:w="1893" w:type="dxa"/>
            <w:tcBorders>
              <w:top w:val="single" w:sz="6" w:space="0" w:color="auto"/>
              <w:left w:val="single" w:sz="6" w:space="0" w:color="auto"/>
              <w:bottom w:val="single" w:sz="6" w:space="0" w:color="auto"/>
              <w:right w:val="single" w:sz="6" w:space="0" w:color="auto"/>
            </w:tcBorders>
            <w:hideMark/>
          </w:tcPr>
          <w:p w14:paraId="7DD0B5A8" w14:textId="77777777" w:rsidR="002435CD" w:rsidRPr="00EA4C9B" w:rsidRDefault="002435CD" w:rsidP="00BE61A1">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€4.8</w:t>
            </w:r>
          </w:p>
        </w:tc>
        <w:tc>
          <w:tcPr>
            <w:tcW w:w="1900" w:type="dxa"/>
            <w:tcBorders>
              <w:top w:val="single" w:sz="6" w:space="0" w:color="auto"/>
              <w:left w:val="single" w:sz="6" w:space="0" w:color="auto"/>
              <w:bottom w:val="single" w:sz="6" w:space="0" w:color="auto"/>
              <w:right w:val="single" w:sz="6" w:space="0" w:color="auto"/>
            </w:tcBorders>
            <w:hideMark/>
          </w:tcPr>
          <w:p w14:paraId="4AD5EADD" w14:textId="77777777" w:rsidR="002435CD" w:rsidRPr="00EA4C9B" w:rsidRDefault="002435CD" w:rsidP="00BE61A1">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100%</w:t>
            </w:r>
          </w:p>
        </w:tc>
      </w:tr>
    </w:tbl>
    <w:p w14:paraId="00F22D05" w14:textId="28826CD3" w:rsidR="00997633" w:rsidRDefault="002435CD" w:rsidP="00BA7936">
      <w:pPr>
        <w:spacing w:before="120" w:after="120"/>
        <w:textAlignment w:val="baseline"/>
      </w:pPr>
      <w:r w:rsidRPr="00EA4C9B">
        <w:rPr>
          <w:rFonts w:ascii="Calibri" w:eastAsia="Times New Roman" w:hAnsi="Calibri" w:cs="Calibri"/>
          <w:lang w:eastAsia="en-GB"/>
        </w:rPr>
        <w:t>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933"/>
      </w:tblGrid>
      <w:tr w:rsidR="002435CD" w:rsidRPr="00EA4C9B" w14:paraId="27101614" w14:textId="77777777" w:rsidTr="00BA7936">
        <w:tc>
          <w:tcPr>
            <w:tcW w:w="9016" w:type="dxa"/>
            <w:gridSpan w:val="2"/>
            <w:shd w:val="clear" w:color="auto" w:fill="003399"/>
          </w:tcPr>
          <w:p w14:paraId="0583A9A7" w14:textId="6E601B83" w:rsidR="002435CD" w:rsidRPr="00F576FE" w:rsidRDefault="002435CD">
            <w:pPr>
              <w:spacing w:after="0"/>
              <w:textAlignment w:val="baseline"/>
              <w:rPr>
                <w:rFonts w:ascii="Calibri" w:eastAsia="Times New Roman" w:hAnsi="Calibri" w:cs="Calibri"/>
                <w:b/>
                <w:szCs w:val="20"/>
                <w:lang w:eastAsia="en-GB"/>
              </w:rPr>
            </w:pPr>
            <w:r w:rsidRPr="00F576FE">
              <w:rPr>
                <w:rFonts w:ascii="Calibri" w:eastAsia="Times New Roman" w:hAnsi="Calibri" w:cs="Calibri"/>
                <w:b/>
                <w:lang w:eastAsia="en-GB"/>
              </w:rPr>
              <w:t> </w:t>
            </w:r>
            <w:r w:rsidRPr="00F576FE">
              <w:rPr>
                <w:b/>
              </w:rPr>
              <w:t xml:space="preserve">Table </w:t>
            </w:r>
            <w:r w:rsidR="00490085">
              <w:rPr>
                <w:b/>
              </w:rPr>
              <w:t>A6</w:t>
            </w:r>
            <w:r w:rsidR="00997633" w:rsidRPr="00F576FE">
              <w:rPr>
                <w:b/>
              </w:rPr>
              <w:t>-</w:t>
            </w:r>
            <w:r w:rsidR="00997633" w:rsidRPr="00F576FE">
              <w:rPr>
                <w:b/>
              </w:rPr>
              <w:fldChar w:fldCharType="begin"/>
            </w:r>
            <w:r w:rsidR="00997633" w:rsidRPr="00F576FE">
              <w:rPr>
                <w:b/>
              </w:rPr>
              <w:instrText xml:space="preserve"> SEQ Table_A5- \* ARABIC </w:instrText>
            </w:r>
            <w:r w:rsidR="00997633" w:rsidRPr="00F576FE">
              <w:rPr>
                <w:b/>
              </w:rPr>
              <w:fldChar w:fldCharType="separate"/>
            </w:r>
            <w:r w:rsidR="00BE61A1">
              <w:rPr>
                <w:b/>
                <w:noProof/>
              </w:rPr>
              <w:t>116</w:t>
            </w:r>
            <w:r w:rsidR="00997633" w:rsidRPr="00F576FE">
              <w:rPr>
                <w:b/>
              </w:rPr>
              <w:fldChar w:fldCharType="end"/>
            </w:r>
            <w:r w:rsidRPr="00EA4C9B">
              <w:rPr>
                <w:rFonts w:ascii="Calibri" w:eastAsia="Times New Roman" w:hAnsi="Calibri" w:cs="Calibri"/>
                <w:b/>
                <w:bCs/>
                <w:color w:val="FFFFFF"/>
                <w:szCs w:val="20"/>
                <w:lang w:eastAsia="en-GB"/>
              </w:rPr>
              <w:t>: Other environmental taxes not reported in the National Tax Lists</w:t>
            </w:r>
          </w:p>
        </w:tc>
      </w:tr>
      <w:tr w:rsidR="002435CD" w:rsidRPr="00EA4C9B" w14:paraId="4E1FD341" w14:textId="77777777" w:rsidTr="00BA7936">
        <w:tc>
          <w:tcPr>
            <w:tcW w:w="7083" w:type="dxa"/>
          </w:tcPr>
          <w:p w14:paraId="2F2BCFC3" w14:textId="08CC92BB" w:rsidR="002435CD" w:rsidRPr="00F576FE" w:rsidRDefault="00947F4C">
            <w:pPr>
              <w:spacing w:after="0"/>
              <w:textAlignment w:val="baseline"/>
              <w:rPr>
                <w:rFonts w:ascii="Calibri" w:eastAsia="Times New Roman" w:hAnsi="Calibri" w:cs="Calibri"/>
                <w:b/>
                <w:szCs w:val="20"/>
                <w:lang w:eastAsia="en-GB"/>
              </w:rPr>
            </w:pPr>
            <w:r w:rsidRPr="00EA4C9B">
              <w:rPr>
                <w:rFonts w:ascii="Calibri" w:eastAsia="Times New Roman" w:hAnsi="Calibri" w:cs="Calibri"/>
                <w:b/>
                <w:bCs/>
                <w:szCs w:val="20"/>
                <w:lang w:eastAsia="en-GB"/>
              </w:rPr>
              <w:t>Tax Name</w:t>
            </w:r>
            <w:r w:rsidRPr="00F576FE">
              <w:rPr>
                <w:rFonts w:ascii="Calibri" w:eastAsia="Times New Roman" w:hAnsi="Calibri" w:cs="Calibri"/>
                <w:b/>
                <w:szCs w:val="20"/>
                <w:lang w:eastAsia="en-GB"/>
              </w:rPr>
              <w:t> </w:t>
            </w:r>
          </w:p>
        </w:tc>
        <w:tc>
          <w:tcPr>
            <w:tcW w:w="1933" w:type="dxa"/>
          </w:tcPr>
          <w:p w14:paraId="3ECE4528" w14:textId="77777777" w:rsidR="002435CD" w:rsidRPr="00EA4C9B" w:rsidRDefault="002435CD">
            <w:pPr>
              <w:spacing w:after="0"/>
              <w:jc w:val="center"/>
              <w:textAlignment w:val="baseline"/>
              <w:rPr>
                <w:rFonts w:ascii="Calibri" w:eastAsia="Times New Roman" w:hAnsi="Calibri" w:cs="Calibri"/>
                <w:b/>
                <w:bCs/>
                <w:szCs w:val="20"/>
                <w:lang w:eastAsia="en-GB"/>
              </w:rPr>
            </w:pPr>
            <w:r w:rsidRPr="00EA4C9B">
              <w:rPr>
                <w:rFonts w:ascii="Calibri" w:eastAsia="Times New Roman" w:hAnsi="Calibri" w:cs="Calibri"/>
                <w:b/>
                <w:bCs/>
                <w:szCs w:val="20"/>
                <w:lang w:eastAsia="en-GB"/>
              </w:rPr>
              <w:t xml:space="preserve">Annual revenue </w:t>
            </w:r>
          </w:p>
          <w:p w14:paraId="0A3FD6CB" w14:textId="77777777" w:rsidR="002435CD" w:rsidRPr="00EA4C9B" w:rsidRDefault="002435CD">
            <w:pPr>
              <w:spacing w:after="0"/>
              <w:jc w:val="center"/>
              <w:textAlignment w:val="baseline"/>
              <w:rPr>
                <w:rFonts w:ascii="Calibri" w:eastAsia="Times New Roman" w:hAnsi="Calibri" w:cs="Calibri"/>
                <w:b/>
                <w:bCs/>
                <w:szCs w:val="20"/>
                <w:lang w:eastAsia="en-GB"/>
              </w:rPr>
            </w:pPr>
            <w:r w:rsidRPr="00EA4C9B">
              <w:rPr>
                <w:rFonts w:ascii="Calibri" w:eastAsia="Times New Roman" w:hAnsi="Calibri" w:cs="Calibri"/>
                <w:b/>
                <w:bCs/>
                <w:szCs w:val="20"/>
                <w:lang w:eastAsia="en-GB"/>
              </w:rPr>
              <w:t>(€ million) in 2023</w:t>
            </w:r>
          </w:p>
        </w:tc>
      </w:tr>
      <w:tr w:rsidR="002435CD" w:rsidRPr="00EA4C9B" w14:paraId="0CF66AC0" w14:textId="77777777" w:rsidTr="00BA7936">
        <w:tc>
          <w:tcPr>
            <w:tcW w:w="7083" w:type="dxa"/>
          </w:tcPr>
          <w:p w14:paraId="35F85695" w14:textId="77777777" w:rsidR="002435CD" w:rsidRPr="00EA4C9B" w:rsidRDefault="002435CD">
            <w:pPr>
              <w:spacing w:after="0"/>
              <w:textAlignment w:val="baseline"/>
              <w:rPr>
                <w:rFonts w:ascii="Calibri" w:eastAsia="Times New Roman" w:hAnsi="Calibri" w:cs="Calibri"/>
                <w:szCs w:val="20"/>
                <w:lang w:eastAsia="en-GB"/>
              </w:rPr>
            </w:pPr>
            <w:r w:rsidRPr="00EA4C9B">
              <w:rPr>
                <w:rFonts w:ascii="Calibri" w:eastAsia="Times New Roman" w:hAnsi="Calibri" w:cs="Calibri"/>
                <w:szCs w:val="20"/>
                <w:lang w:eastAsia="en-GB"/>
              </w:rPr>
              <w:t>Forest felling charge</w:t>
            </w:r>
          </w:p>
        </w:tc>
        <w:tc>
          <w:tcPr>
            <w:tcW w:w="1933" w:type="dxa"/>
          </w:tcPr>
          <w:p w14:paraId="131E502C" w14:textId="77777777" w:rsidR="002435CD" w:rsidRPr="00EA4C9B" w:rsidRDefault="002435CD">
            <w:pPr>
              <w:spacing w:after="0"/>
              <w:jc w:val="center"/>
              <w:textAlignment w:val="baseline"/>
              <w:rPr>
                <w:rFonts w:ascii="Calibri" w:eastAsia="Times New Roman" w:hAnsi="Calibri" w:cs="Calibri"/>
                <w:szCs w:val="20"/>
                <w:lang w:eastAsia="en-GB"/>
              </w:rPr>
            </w:pPr>
            <w:r w:rsidRPr="00EA4C9B">
              <w:rPr>
                <w:rFonts w:ascii="Calibri" w:eastAsia="Times New Roman" w:hAnsi="Calibri" w:cs="Calibri"/>
                <w:szCs w:val="20"/>
                <w:lang w:eastAsia="en-GB"/>
              </w:rPr>
              <w:t>N.A.</w:t>
            </w:r>
          </w:p>
        </w:tc>
      </w:tr>
      <w:tr w:rsidR="00072325" w:rsidRPr="00EA4C9B" w14:paraId="1835CEB2" w14:textId="77777777">
        <w:tc>
          <w:tcPr>
            <w:tcW w:w="9016" w:type="dxa"/>
            <w:gridSpan w:val="2"/>
          </w:tcPr>
          <w:p w14:paraId="6FBF47E3" w14:textId="25B55F00" w:rsidR="00072325" w:rsidRPr="00EA4C9B" w:rsidRDefault="00072325" w:rsidP="00BA7936">
            <w:pPr>
              <w:spacing w:after="0"/>
              <w:jc w:val="left"/>
              <w:textAlignment w:val="baseline"/>
              <w:rPr>
                <w:rFonts w:ascii="Calibri" w:eastAsia="Times New Roman" w:hAnsi="Calibri" w:cs="Calibri"/>
                <w:szCs w:val="20"/>
                <w:lang w:eastAsia="en-GB"/>
              </w:rPr>
            </w:pPr>
            <w:r w:rsidRPr="00072325">
              <w:rPr>
                <w:rFonts w:ascii="Calibri" w:eastAsia="Times New Roman" w:hAnsi="Calibri" w:cs="Calibri"/>
                <w:szCs w:val="20"/>
                <w:lang w:eastAsia="en-GB"/>
              </w:rPr>
              <w:t>Note: N.A. = Data not available</w:t>
            </w:r>
          </w:p>
        </w:tc>
      </w:tr>
    </w:tbl>
    <w:p w14:paraId="412C717F" w14:textId="77777777" w:rsidR="00072325" w:rsidRDefault="00072325" w:rsidP="002435CD"/>
    <w:p w14:paraId="59F83F77" w14:textId="1D24F173" w:rsidR="00523EA8" w:rsidRPr="00523EA8" w:rsidRDefault="00523EA8" w:rsidP="00523EA8">
      <w:r w:rsidRPr="00523EA8">
        <w:t>The country’s pollution-tax structure appears to be very limited. Although Romania does levy contributions related to pollutant releases, solid waste, packaging and other environmental funds, the revenue from instruments that meet the standard definition of a pollution tax remains extremely small relative to energy and transport taxes. Historical data suggest that pollution and resource tax revenues rarely exceed 1% of the total environmental tax base in Romania</w:t>
      </w:r>
      <w:r w:rsidR="004F377E">
        <w:t>.</w:t>
      </w:r>
      <w:r w:rsidR="004F377E">
        <w:rPr>
          <w:rStyle w:val="FootnoteReference"/>
        </w:rPr>
        <w:footnoteReference w:id="724"/>
      </w:r>
    </w:p>
    <w:p w14:paraId="19831E46" w14:textId="77777777" w:rsidR="002435CD" w:rsidRPr="00EA4C9B" w:rsidRDefault="002435CD" w:rsidP="002435CD">
      <w:pPr>
        <w:rPr>
          <w:rFonts w:ascii="Calibri" w:eastAsia="Times New Roman" w:hAnsi="Calibri" w:cs="Calibri"/>
          <w:lang w:eastAsia="en-GB"/>
        </w:rPr>
      </w:pPr>
      <w:r w:rsidRPr="00EA4C9B">
        <w:t xml:space="preserve">Regarding resource taxes, Romania has a </w:t>
      </w:r>
      <w:r w:rsidRPr="00EA4C9B">
        <w:rPr>
          <w:b/>
          <w:bCs/>
        </w:rPr>
        <w:t xml:space="preserve">tax on mineral extraction activities </w:t>
      </w:r>
      <w:r w:rsidRPr="00EA4C9B">
        <w:t>which imposes annual fees on entities prospecting, exploring and/or exploiting Romania’s mineral resources. However, there are no national taxes on water abstraction, forest exploitation, or other forms of natural resource use, beyond administrative fees. The overall tax design does not reflect resource scarcity or environmental degradation costs.</w:t>
      </w:r>
    </w:p>
    <w:p w14:paraId="562D134F" w14:textId="77777777" w:rsidR="002435CD" w:rsidRPr="00EA4C9B" w:rsidRDefault="002435CD" w:rsidP="002435CD">
      <w:pPr>
        <w:rPr>
          <w:b/>
          <w:bCs/>
          <w:i/>
          <w:iCs/>
        </w:rPr>
      </w:pPr>
      <w:r w:rsidRPr="00EA4C9B">
        <w:rPr>
          <w:b/>
          <w:bCs/>
          <w:i/>
          <w:iCs/>
        </w:rPr>
        <w:t>Fees and other related instruments</w:t>
      </w:r>
    </w:p>
    <w:p w14:paraId="1A4A9A2A" w14:textId="77777777" w:rsidR="002435CD" w:rsidRPr="00EA4C9B" w:rsidRDefault="002435CD" w:rsidP="002435CD">
      <w:r w:rsidRPr="00EA4C9B">
        <w:t xml:space="preserve">Romania operates several environment-related charges and fees which play a role in environmental cost internalisation. These include </w:t>
      </w:r>
      <w:r w:rsidRPr="00EA4C9B">
        <w:rPr>
          <w:b/>
          <w:bCs/>
        </w:rPr>
        <w:t>environmental fees</w:t>
      </w:r>
      <w:r w:rsidRPr="00EA4C9B">
        <w:t xml:space="preserve">, </w:t>
      </w:r>
      <w:r w:rsidRPr="00EA4C9B">
        <w:rPr>
          <w:b/>
          <w:bCs/>
        </w:rPr>
        <w:t>forest felling charges</w:t>
      </w:r>
      <w:r w:rsidRPr="00EA4C9B">
        <w:t xml:space="preserve">, </w:t>
      </w:r>
      <w:r w:rsidRPr="00EA4C9B">
        <w:rPr>
          <w:b/>
          <w:bCs/>
        </w:rPr>
        <w:t>water abstraction fees</w:t>
      </w:r>
      <w:r w:rsidRPr="00EA4C9B">
        <w:t xml:space="preserve">, and </w:t>
      </w:r>
      <w:r w:rsidRPr="00EA4C9B">
        <w:rPr>
          <w:b/>
          <w:bCs/>
        </w:rPr>
        <w:t>wastewater discharge charges</w:t>
      </w:r>
      <w:r w:rsidRPr="00EA4C9B">
        <w:t xml:space="preserve">. Administered under the Water Law (Law No. 107/1996), these fees are set nationally but implemented by local water authorities. However, in most cases, the fee </w:t>
      </w:r>
      <w:r w:rsidRPr="00EA4C9B">
        <w:lastRenderedPageBreak/>
        <w:t>levels are not indexed to environmental impacts or scarcity, and enforcement capacity is limited without systematic escalation or performance linkage.</w:t>
      </w:r>
    </w:p>
    <w:p w14:paraId="3B08F647" w14:textId="77777777" w:rsidR="002435CD" w:rsidRPr="00EA4C9B" w:rsidRDefault="002435CD" w:rsidP="002435CD">
      <w:r w:rsidRPr="00EA4C9B">
        <w:t>Romania’s waste sector also applies producer responsibility fees under Government Emergency Ordinance 196/2005, covering packaging, electrical and electronic goods, and batteries. These fees are paid to environmental funds or collective compliance schemes. However, the lack of consistent reporting, transparency, and reinvestment mechanisms limits their effectiveness in steering behaviour or supporting environmental objectives.</w:t>
      </w:r>
    </w:p>
    <w:p w14:paraId="61DCE466" w14:textId="09659FB4" w:rsidR="002435CD" w:rsidRPr="00EA4C9B" w:rsidRDefault="002435CD" w:rsidP="002435CD">
      <w:r w:rsidRPr="00EA4C9B">
        <w:t>The 2025 European Semester Country Report</w:t>
      </w:r>
      <w:r w:rsidRPr="00EA4C9B">
        <w:rPr>
          <w:rStyle w:val="FootnoteReference"/>
        </w:rPr>
        <w:footnoteReference w:id="725"/>
      </w:r>
      <w:r w:rsidRPr="00EA4C9B">
        <w:t xml:space="preserve"> underlines that environmental charge revenues should be better targeted and integrated within a circular economy framework</w:t>
      </w:r>
      <w:r w:rsidR="00A27F0D">
        <w:t xml:space="preserve"> </w:t>
      </w:r>
      <w:r w:rsidRPr="00EA4C9B">
        <w:t>—</w:t>
      </w:r>
      <w:r w:rsidR="00A27F0D">
        <w:t xml:space="preserve"> </w:t>
      </w:r>
      <w:r w:rsidRPr="00EA4C9B">
        <w:t>especially in the waste and water sectors</w:t>
      </w:r>
      <w:r w:rsidR="00A27F0D">
        <w:t xml:space="preserve"> </w:t>
      </w:r>
      <w:r w:rsidRPr="00EA4C9B">
        <w:t>—</w:t>
      </w:r>
      <w:r w:rsidR="00A27F0D">
        <w:t xml:space="preserve"> </w:t>
      </w:r>
      <w:r w:rsidRPr="00EA4C9B">
        <w:t>and commends steps taken under RRF funding to improve transparency and performance tracking.</w:t>
      </w:r>
    </w:p>
    <w:p w14:paraId="7232F864" w14:textId="77777777" w:rsidR="002435CD" w:rsidRPr="00EA4C9B" w:rsidRDefault="002435CD" w:rsidP="002435CD">
      <w:pPr>
        <w:rPr>
          <w:b/>
          <w:bCs/>
          <w:i/>
          <w:iCs/>
        </w:rPr>
      </w:pPr>
      <w:r w:rsidRPr="00EA4C9B">
        <w:rPr>
          <w:b/>
          <w:bCs/>
          <w:i/>
          <w:iCs/>
        </w:rPr>
        <w:t>Proposed or postponed environmental taxes</w:t>
      </w:r>
    </w:p>
    <w:p w14:paraId="286FFE47" w14:textId="6103FDC5" w:rsidR="002435CD" w:rsidRPr="00EA4C9B" w:rsidRDefault="002435CD" w:rsidP="002435CD">
      <w:r w:rsidRPr="00EA4C9B">
        <w:t>Romania has repeatedly committed to introducing a landfill tax and reforming its environmental fiscal framework in alignment with EU directives on circular economy and climate action. A landfill tax was originally proposed in the National Waste Management Plan (2016–2022) and introduced in 2019. Currently there are no plans to further increase the landfill tax nor to extend the existing landfill ban for recyclables to other waste types (EEA, 2023</w:t>
      </w:r>
      <w:r w:rsidRPr="00EA4C9B">
        <w:rPr>
          <w:rStyle w:val="FootnoteReference"/>
        </w:rPr>
        <w:footnoteReference w:id="726"/>
      </w:r>
      <w:r w:rsidRPr="00EA4C9B">
        <w:t>).</w:t>
      </w:r>
    </w:p>
    <w:p w14:paraId="6B7ABD7C" w14:textId="77777777" w:rsidR="002435CD" w:rsidRPr="00EA4C9B" w:rsidRDefault="002435CD" w:rsidP="002435CD">
      <w:r w:rsidRPr="00EA4C9B">
        <w:t>Discussions around carbon pricing reforms — particularly aligning national excise duties with EU minimum rates and integrating emissions into the EU ETS — have stalled. The lack of progress reflects both political resistance and administrative capacity constraints, especially in monitoring and enforcement at the local level.</w:t>
      </w:r>
    </w:p>
    <w:p w14:paraId="5EC43A20" w14:textId="77777777" w:rsidR="002435CD" w:rsidRPr="00EA4C9B" w:rsidRDefault="002435CD" w:rsidP="002435CD">
      <w:r w:rsidRPr="00EA4C9B">
        <w:t xml:space="preserve">While Romania is legally obliged to contribute to the EU's own resources system (notably the plastic levy), it has not yet adopted a national plastic tax. The government has not clarified whether it intends to finance these payments through the general budget or new fiscal instruments. </w:t>
      </w:r>
    </w:p>
    <w:p w14:paraId="28F6D609" w14:textId="77777777" w:rsidR="002435CD" w:rsidRPr="00EA4C9B" w:rsidRDefault="002435CD" w:rsidP="002435CD">
      <w:r w:rsidRPr="00EA4C9B">
        <w:t>The 2025 Semester recommendations</w:t>
      </w:r>
      <w:r w:rsidRPr="00EA4C9B">
        <w:rPr>
          <w:rStyle w:val="FootnoteReference"/>
        </w:rPr>
        <w:footnoteReference w:id="727"/>
      </w:r>
      <w:r w:rsidRPr="00EA4C9B">
        <w:t xml:space="preserve"> emphasise the introduction of CO₂-based registration and circulation taxes, and the need for stronger polluter-pays instruments.</w:t>
      </w:r>
    </w:p>
    <w:p w14:paraId="207DED24" w14:textId="77777777" w:rsidR="002435CD" w:rsidRPr="00EA4C9B" w:rsidRDefault="002435CD" w:rsidP="002435CD">
      <w:pPr>
        <w:rPr>
          <w:b/>
          <w:bCs/>
          <w:i/>
          <w:iCs/>
        </w:rPr>
      </w:pPr>
      <w:r w:rsidRPr="00EA4C9B">
        <w:rPr>
          <w:b/>
          <w:bCs/>
          <w:i/>
          <w:iCs/>
        </w:rPr>
        <w:t>Conclusions, country-specific recommendations and reform progress</w:t>
      </w:r>
    </w:p>
    <w:p w14:paraId="1FC46A69" w14:textId="5D38A223" w:rsidR="006D3D35" w:rsidRPr="006D3D35" w:rsidRDefault="006D3D35" w:rsidP="006D3D35">
      <w:r w:rsidRPr="006D3D35">
        <w:t>Despite the relatively high share of environmental taxes in total revenue, environmental tax receipts remain heavily concentrated in energy excise duties, particularly fuel taxes. Revenues from pollution and resource-use taxes are very small, which limits the extent to which price signals reflect environmental externalities. Institutional arrangements also appear complex, as environmental charges and taxes are administered by multiple authorities, which can lead to overlapping responsibilities or incentives that are not fully aligned. For example, while many local authorities seek to improve recycling performance, the absence of strong and consistent national price signals</w:t>
      </w:r>
      <w:r>
        <w:t xml:space="preserve">, </w:t>
      </w:r>
      <w:r w:rsidRPr="006D3D35">
        <w:t>such as landfill charges</w:t>
      </w:r>
      <w:r>
        <w:t xml:space="preserve">, </w:t>
      </w:r>
      <w:r w:rsidRPr="006D3D35">
        <w:t>may reduce the effectiveness of local initiatives.</w:t>
      </w:r>
    </w:p>
    <w:p w14:paraId="38483667" w14:textId="769D35F1" w:rsidR="002435CD" w:rsidRPr="00EA4C9B" w:rsidRDefault="002435CD" w:rsidP="002435CD">
      <w:r w:rsidRPr="00EA4C9B">
        <w:lastRenderedPageBreak/>
        <w:t>The European Commission has consistently urged Romania to improve its tax mix by shifting the burden away from labour towards environmental and property taxation, with stronger price signals on CO₂ and pollution to support the climate agenda</w:t>
      </w:r>
      <w:r w:rsidRPr="00EA4C9B">
        <w:rPr>
          <w:rStyle w:val="FootnoteReference"/>
        </w:rPr>
        <w:footnoteReference w:id="728"/>
      </w:r>
      <w:r w:rsidR="00882B73">
        <w:rPr>
          <w:vertAlign w:val="superscript"/>
        </w:rPr>
        <w:t>,</w:t>
      </w:r>
      <w:r w:rsidRPr="00EA4C9B">
        <w:rPr>
          <w:rStyle w:val="FootnoteReference"/>
        </w:rPr>
        <w:footnoteReference w:id="729"/>
      </w:r>
      <w:r w:rsidR="00882B73">
        <w:rPr>
          <w:vertAlign w:val="superscript"/>
        </w:rPr>
        <w:t>,</w:t>
      </w:r>
      <w:r w:rsidRPr="00EA4C9B">
        <w:rPr>
          <w:rStyle w:val="FootnoteReference"/>
        </w:rPr>
        <w:footnoteReference w:id="730"/>
      </w:r>
      <w:r w:rsidRPr="00EA4C9B">
        <w:t>. However, while headline revenues have grown, the underlying structure remains unbalanced and regressive. Environmental tax rates do not reflect the environmental damage caused by different activities, and fiscal incentives remain poorly aligned with sustainability goals.</w:t>
      </w:r>
    </w:p>
    <w:p w14:paraId="455BD413" w14:textId="77777777" w:rsidR="002435CD" w:rsidRPr="00EA4C9B" w:rsidRDefault="002435CD" w:rsidP="002435CD">
      <w:r w:rsidRPr="00EA4C9B">
        <w:t>According to the 2023 European Semester Report, Romania has made only limited progress in implementing green tax reforms. The eco-modulation of fees, the introduction of differentiated vehicle taxes, or the use of CO₂-based registration and circulation taxes have not advanced beyond discussion stages.</w:t>
      </w:r>
    </w:p>
    <w:p w14:paraId="6EE3C1C1" w14:textId="77777777" w:rsidR="002435CD" w:rsidRPr="00EA4C9B" w:rsidRDefault="002435CD" w:rsidP="007C4EB7">
      <w:pPr>
        <w:pStyle w:val="AnnexHeading2"/>
      </w:pPr>
      <w:bookmarkStart w:id="294" w:name="_Toc214008941"/>
      <w:r w:rsidRPr="00EA4C9B">
        <w:t>Potential for implementing additional environmental taxes</w:t>
      </w:r>
      <w:bookmarkEnd w:id="294"/>
    </w:p>
    <w:p w14:paraId="2181B7C4" w14:textId="42F18EFB" w:rsidR="00BE61A1" w:rsidRPr="00BE61A1" w:rsidRDefault="00BE61A1" w:rsidP="00BE61A1">
      <w:r w:rsidRPr="00BE61A1">
        <w:t>Romania has significant potential to strengthen its environmental tax framework, which remains heavily weighted towards energy and transport while leaving pollution, waste, and resource-related instruments underdeveloped. Several areas stand out as priorities for reform and expansion.</w:t>
      </w:r>
    </w:p>
    <w:p w14:paraId="55B5AADF" w14:textId="74E8CD4E" w:rsidR="00BE61A1" w:rsidRPr="00BE61A1" w:rsidRDefault="00BE61A1" w:rsidP="00BE61A1">
      <w:r w:rsidRPr="00BE61A1">
        <w:t xml:space="preserve">A key opportunity lies in </w:t>
      </w:r>
      <w:r w:rsidRPr="00BE61A1">
        <w:rPr>
          <w:b/>
          <w:bCs/>
        </w:rPr>
        <w:t>waste management</w:t>
      </w:r>
      <w:r w:rsidRPr="00BE61A1">
        <w:t xml:space="preserve">, where the </w:t>
      </w:r>
      <w:r w:rsidRPr="00BE61A1">
        <w:rPr>
          <w:b/>
          <w:bCs/>
        </w:rPr>
        <w:t>landfill tax</w:t>
      </w:r>
      <w:r w:rsidRPr="00BE61A1">
        <w:t xml:space="preserve"> could be strengthened through the introduction of a gradual rate escalator and clear earmarking of revenues for recycling, sorting, and waste-treatment infrastructure. This would not only help meet EU circular economy and waste targets but also provide stable funding for local waste systems.</w:t>
      </w:r>
      <w:r w:rsidR="00AA4549">
        <w:t xml:space="preserve"> </w:t>
      </w:r>
      <w:r w:rsidR="00AA4549" w:rsidRPr="00AA4549">
        <w:t>In addition, the European Commission recommends</w:t>
      </w:r>
      <w:r w:rsidR="006C6CD8">
        <w:rPr>
          <w:rStyle w:val="FootnoteReference"/>
        </w:rPr>
        <w:footnoteReference w:id="731"/>
      </w:r>
      <w:r w:rsidR="00AA4549" w:rsidRPr="00AA4549">
        <w:t xml:space="preserve"> implementing economic instruments such as </w:t>
      </w:r>
      <w:r w:rsidR="00AA4549">
        <w:t>p</w:t>
      </w:r>
      <w:r w:rsidR="00AA4549" w:rsidRPr="00AA4549">
        <w:t>ay-as-you-throw schemes and increasing the landfill tax to incentivise separate collection at source and minimise the landfilling of waste.</w:t>
      </w:r>
    </w:p>
    <w:p w14:paraId="1A5AFDCF" w14:textId="540C7403" w:rsidR="00BE61A1" w:rsidRPr="00BE61A1" w:rsidRDefault="00BE61A1" w:rsidP="00BE61A1">
      <w:r w:rsidRPr="00BE61A1">
        <w:t xml:space="preserve">In the </w:t>
      </w:r>
      <w:r w:rsidRPr="00BE61A1">
        <w:rPr>
          <w:b/>
          <w:bCs/>
        </w:rPr>
        <w:t>water sector</w:t>
      </w:r>
      <w:r w:rsidRPr="00BE61A1">
        <w:t xml:space="preserve">, there is scope to </w:t>
      </w:r>
      <w:r w:rsidRPr="00BE61A1">
        <w:rPr>
          <w:b/>
          <w:bCs/>
        </w:rPr>
        <w:t>reform water abstraction and wastewater fees</w:t>
      </w:r>
      <w:r w:rsidRPr="00BE61A1">
        <w:t>, ensuring better differentiation by sector and region. Current rates remain too low to reflect environmental costs or promote efficiency. Strengthening these instruments would help address over-abstraction, improve water quality, and align pricing with the “polluter pays” principle enshrined in the Water Framework Directive.</w:t>
      </w:r>
    </w:p>
    <w:p w14:paraId="195E5257" w14:textId="7CCB7233" w:rsidR="00BE61A1" w:rsidRPr="00BE61A1" w:rsidRDefault="00BE61A1" w:rsidP="00BE61A1">
      <w:r w:rsidRPr="00BE61A1">
        <w:t xml:space="preserve">In </w:t>
      </w:r>
      <w:r w:rsidRPr="00BE61A1">
        <w:rPr>
          <w:b/>
          <w:bCs/>
        </w:rPr>
        <w:t>agriculture</w:t>
      </w:r>
      <w:r w:rsidRPr="00BE61A1">
        <w:t xml:space="preserve">, introducing </w:t>
      </w:r>
      <w:r w:rsidRPr="00BE61A1">
        <w:rPr>
          <w:b/>
          <w:bCs/>
        </w:rPr>
        <w:t>taxes on fertilisers and pesticides</w:t>
      </w:r>
      <w:r w:rsidRPr="00BE61A1">
        <w:t xml:space="preserve"> would help curb diffuse nutrient and chemical pollution, which continues to degrade surface and groundwater quality. Differentiated rates based on nitrogen content and toxicity could create effective incentives for more sustainable farming practices while generating revenues that could fund precision agriculture and advisory services.</w:t>
      </w:r>
    </w:p>
    <w:p w14:paraId="0323CA61" w14:textId="23E909F0" w:rsidR="00BE61A1" w:rsidRPr="00BE61A1" w:rsidRDefault="00BE61A1" w:rsidP="00BE61A1">
      <w:r w:rsidRPr="00BE61A1">
        <w:t xml:space="preserve">The </w:t>
      </w:r>
      <w:r w:rsidRPr="00BE61A1">
        <w:rPr>
          <w:b/>
          <w:bCs/>
        </w:rPr>
        <w:t>transport sector</w:t>
      </w:r>
      <w:r w:rsidRPr="00BE61A1">
        <w:t xml:space="preserve"> presents another major opportunity for reform. Aligning </w:t>
      </w:r>
      <w:r w:rsidRPr="00BE61A1">
        <w:rPr>
          <w:b/>
          <w:bCs/>
        </w:rPr>
        <w:t>vehicle and fuel taxation</w:t>
      </w:r>
      <w:r w:rsidRPr="00BE61A1">
        <w:t xml:space="preserve"> more closely with CO₂ emissions, including the revision of company car taxation, would support decarbonisation and encourage the transition to cleaner vehicle fleets. Complementary </w:t>
      </w:r>
      <w:r w:rsidRPr="00BE61A1">
        <w:rPr>
          <w:b/>
          <w:bCs/>
        </w:rPr>
        <w:t>CO₂-</w:t>
      </w:r>
      <w:r w:rsidRPr="00BE61A1">
        <w:rPr>
          <w:b/>
          <w:bCs/>
        </w:rPr>
        <w:lastRenderedPageBreak/>
        <w:t>based circulation fees</w:t>
      </w:r>
      <w:r w:rsidRPr="00BE61A1">
        <w:t xml:space="preserve"> and </w:t>
      </w:r>
      <w:r w:rsidRPr="00BE61A1">
        <w:rPr>
          <w:b/>
          <w:bCs/>
        </w:rPr>
        <w:t>eco-differentiated registration taxes</w:t>
      </w:r>
      <w:r w:rsidRPr="00BE61A1">
        <w:t xml:space="preserve"> could further strengthen the price signal and accelerate fleet renewal.</w:t>
      </w:r>
    </w:p>
    <w:p w14:paraId="18DA3C87" w14:textId="3E2EF5F5" w:rsidR="00BE61A1" w:rsidRPr="00BE61A1" w:rsidRDefault="00BE61A1" w:rsidP="00BE61A1">
      <w:r w:rsidRPr="00BE61A1">
        <w:t xml:space="preserve">Romania could also benefit from expanding </w:t>
      </w:r>
      <w:r w:rsidRPr="00BE61A1">
        <w:rPr>
          <w:b/>
          <w:bCs/>
        </w:rPr>
        <w:t>resource extraction levies</w:t>
      </w:r>
      <w:r w:rsidRPr="00BE61A1">
        <w:t>, particularly for forestry, water, and construction aggregates. Higher and better-calibrated extraction charges would internalise environmental costs, reduce overexploitation of natural resources, and incentivise recycling and circular economy practices.</w:t>
      </w:r>
    </w:p>
    <w:p w14:paraId="4080416F" w14:textId="2A9E9391" w:rsidR="00BE61A1" w:rsidRPr="00BE61A1" w:rsidRDefault="00BE61A1" w:rsidP="00BE61A1">
      <w:r w:rsidRPr="00BE61A1">
        <w:t xml:space="preserve">Finally, the introduction of a </w:t>
      </w:r>
      <w:r w:rsidRPr="00BE61A1">
        <w:rPr>
          <w:b/>
          <w:bCs/>
        </w:rPr>
        <w:t>plastic packaging levy</w:t>
      </w:r>
      <w:r w:rsidRPr="00BE61A1">
        <w:t xml:space="preserve"> would complement the EU-level contribution on non-recycled plastic waste, provide an additional incentive for waste reduction, and generate revenues for investments in reuse and recycling systems.</w:t>
      </w:r>
    </w:p>
    <w:p w14:paraId="135B224F" w14:textId="77777777" w:rsidR="00BE61A1" w:rsidRPr="00BE61A1" w:rsidRDefault="00BE61A1" w:rsidP="00BE61A1">
      <w:r w:rsidRPr="00BE61A1">
        <w:t xml:space="preserve">The 2025 European Semester report underlines that </w:t>
      </w:r>
      <w:r w:rsidRPr="00BE61A1">
        <w:rPr>
          <w:b/>
          <w:bCs/>
        </w:rPr>
        <w:t>carbon taxes, CO₂-based vehicle levies, and plastic and packaging taxes</w:t>
      </w:r>
      <w:r w:rsidRPr="00BE61A1">
        <w:t xml:space="preserve"> are among the most effective tools available to Romania and should be adopted without delay. Collectively, these reforms would broaden Romania’s environmental tax base, enhance its alignment with EU policy priorities, and support the dual objectives of environmental sustainability and fiscal resilience.</w:t>
      </w:r>
    </w:p>
    <w:p w14:paraId="6C289A77" w14:textId="77777777" w:rsidR="002435CD" w:rsidRPr="00EA4C9B" w:rsidRDefault="002435CD" w:rsidP="007C4EB7">
      <w:pPr>
        <w:pStyle w:val="AnnexHeading2"/>
      </w:pPr>
      <w:bookmarkStart w:id="295" w:name="_Toc214008942"/>
      <w:r w:rsidRPr="00EA4C9B">
        <w:t>Impacts and feasibility of implementing new environmental taxes</w:t>
      </w:r>
      <w:bookmarkEnd w:id="295"/>
    </w:p>
    <w:p w14:paraId="65000C85" w14:textId="419573CF" w:rsidR="004A4F82" w:rsidRDefault="004A4F82" w:rsidP="004A4F82">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40851B30" w14:textId="6C4352FF" w:rsidR="00BE61A1" w:rsidRPr="00BE61A1" w:rsidRDefault="00BE61A1" w:rsidP="00BE61A1">
      <w:r w:rsidRPr="00BE61A1">
        <w:t>Romania’s current environmental taxation framework is relatively limited in scope and efficiency. Energy and transport-related taxes dominate, while non-energy environmental taxes</w:t>
      </w:r>
      <w:r>
        <w:t xml:space="preserve">, </w:t>
      </w:r>
      <w:r w:rsidRPr="00BE61A1">
        <w:t>covering pollution, waste, and resource use</w:t>
      </w:r>
      <w:r>
        <w:t xml:space="preserve">, </w:t>
      </w:r>
      <w:r w:rsidRPr="00BE61A1">
        <w:t>remain underdeveloped and weakly enforced. The modelling results indicate that Romania has one of the highest potentials among all EU Member States to increase both environmental tax revenues and environmental effectiveness through the introduction of benchmarked pollution and resource taxes. Under Scenario A, additional revenues could reach approximately €2.9 billion by 2030, representing nearly a tripling of current pollution and resource tax receipts. The largest fiscal contributions would come from wastewater effluent, water abstraction and landfill taxes, accompanied by strong reductions in pollutants, waste volumes and resource extraction. Scenario B, with more moderate rate levels, still delivers substantial benefits at lower revenue levels.</w:t>
      </w:r>
    </w:p>
    <w:p w14:paraId="7D0B52A7" w14:textId="5EF8E7C5" w:rsidR="00BE61A1" w:rsidRDefault="00BE61A1" w:rsidP="00BE61A1">
      <w:pPr>
        <w:rPr>
          <w:lang w:eastAsia="en-GB"/>
        </w:rPr>
      </w:pPr>
      <w:r>
        <w:rPr>
          <w:lang w:eastAsia="en-GB"/>
        </w:rPr>
        <w:t xml:space="preserve">Total revenues from the </w:t>
      </w:r>
      <w:r w:rsidR="00185A09">
        <w:t>investigated</w:t>
      </w:r>
      <w:r>
        <w:rPr>
          <w:lang w:eastAsia="en-GB"/>
        </w:rPr>
        <w:t xml:space="preserve"> taxes could rise by €6.6 billion in 2030 and €6.8 billion in 2035, which are 566-580 times the revenues for pollution and resource taxes in 2023.  It is the Member State with the largest increase in tax revenues from the proposals.  Existing revenues are among the lowest in the EU at €11 million. There are major gains from waste to landfill, minerals aggregates and water abstraction, followed by water effluent.  Pesticide and fertilizer taxes make a small contribution as do taxes in air emissions and waste incineration. Reductions in emissions or materials are notable for waste to landfill, SO2 and PM2.5 emissions and water abstraction, pesticides and water effluent. Waste to landfill falls by 36% and water abstraction by 21%, Pesticide use declines by 17%, and fertilizer use by 12%.  Mineral extraction falls by 17%. </w:t>
      </w: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107"/>
        <w:gridCol w:w="1107"/>
        <w:gridCol w:w="1018"/>
        <w:gridCol w:w="1199"/>
        <w:gridCol w:w="1119"/>
        <w:gridCol w:w="1266"/>
      </w:tblGrid>
      <w:tr w:rsidR="00BE61A1" w:rsidRPr="00F501DA" w14:paraId="5591BE46" w14:textId="77777777" w:rsidTr="00BA7936">
        <w:trPr>
          <w:trHeight w:val="269"/>
          <w:tblHeader/>
        </w:trPr>
        <w:tc>
          <w:tcPr>
            <w:tcW w:w="9011" w:type="dxa"/>
            <w:gridSpan w:val="7"/>
            <w:shd w:val="clear" w:color="auto" w:fill="003399"/>
          </w:tcPr>
          <w:p w14:paraId="366ED943" w14:textId="0E532450" w:rsidR="00BE61A1" w:rsidRPr="00F576FE" w:rsidRDefault="00BE61A1" w:rsidP="000878F6">
            <w:pPr>
              <w:pStyle w:val="Table"/>
              <w:rPr>
                <w:b/>
                <w:lang w:eastAsia="en-GB"/>
              </w:rPr>
            </w:pPr>
            <w:r w:rsidRPr="00F576FE">
              <w:rPr>
                <w:b/>
                <w:color w:val="FFFFFF" w:themeColor="background1"/>
              </w:rPr>
              <w:lastRenderedPageBreak/>
              <w:t xml:space="preserve">Table </w:t>
            </w:r>
            <w:r w:rsidR="00490085">
              <w:rPr>
                <w:b/>
                <w:bCs/>
                <w:color w:val="FFFFFF" w:themeColor="background1"/>
              </w:rPr>
              <w:t>A6</w:t>
            </w:r>
            <w:r w:rsidRPr="00F576FE">
              <w:rPr>
                <w:b/>
                <w:bCs/>
                <w:color w:val="FFFFFF" w:themeColor="background1"/>
              </w:rPr>
              <w:t>-</w:t>
            </w:r>
            <w:r w:rsidRPr="00F576FE">
              <w:rPr>
                <w:b/>
                <w:bCs/>
                <w:color w:val="FFFFFF" w:themeColor="background1"/>
              </w:rPr>
              <w:fldChar w:fldCharType="begin"/>
            </w:r>
            <w:r w:rsidRPr="00F576FE">
              <w:rPr>
                <w:b/>
                <w:bCs/>
                <w:color w:val="FFFFFF" w:themeColor="background1"/>
              </w:rPr>
              <w:instrText xml:space="preserve"> SEQ Table_A5- \* ARABIC </w:instrText>
            </w:r>
            <w:r w:rsidRPr="00F576FE">
              <w:rPr>
                <w:b/>
                <w:bCs/>
                <w:color w:val="FFFFFF" w:themeColor="background1"/>
              </w:rPr>
              <w:fldChar w:fldCharType="separate"/>
            </w:r>
            <w:r>
              <w:rPr>
                <w:b/>
                <w:bCs/>
                <w:noProof/>
                <w:color w:val="FFFFFF" w:themeColor="background1"/>
              </w:rPr>
              <w:t>104</w:t>
            </w:r>
            <w:r w:rsidRPr="00F576FE">
              <w:rPr>
                <w:b/>
                <w:bCs/>
                <w:color w:val="FFFFFF" w:themeColor="background1"/>
              </w:rPr>
              <w:fldChar w:fldCharType="end"/>
            </w:r>
            <w:r w:rsidRPr="00F576FE">
              <w:rPr>
                <w:b/>
                <w:bCs/>
                <w:color w:val="FFFFFF" w:themeColor="background1"/>
                <w:lang w:eastAsia="en-GB"/>
              </w:rPr>
              <w:t>:</w:t>
            </w:r>
            <w:r w:rsidRPr="00F576FE">
              <w:rPr>
                <w:b/>
                <w:color w:val="FFFFFF" w:themeColor="background1"/>
                <w:lang w:eastAsia="en-GB"/>
              </w:rPr>
              <w:t xml:space="preserve"> Environmental Impacts and Revenue Changes in Romania</w:t>
            </w:r>
            <w:r>
              <w:rPr>
                <w:b/>
                <w:color w:val="FFFFFF" w:themeColor="background1"/>
                <w:lang w:eastAsia="en-GB"/>
              </w:rPr>
              <w:t xml:space="preserve"> – Scenario A</w:t>
            </w:r>
          </w:p>
        </w:tc>
      </w:tr>
      <w:tr w:rsidR="00BE61A1" w:rsidRPr="00F501DA" w14:paraId="5FAFF23A" w14:textId="77777777" w:rsidTr="00BA7936">
        <w:trPr>
          <w:trHeight w:val="513"/>
          <w:tblHeader/>
        </w:trPr>
        <w:tc>
          <w:tcPr>
            <w:tcW w:w="2230" w:type="dxa"/>
          </w:tcPr>
          <w:p w14:paraId="533D6296" w14:textId="77777777" w:rsidR="00BE61A1" w:rsidRPr="00F576FE" w:rsidRDefault="00BE61A1" w:rsidP="000878F6">
            <w:pPr>
              <w:pStyle w:val="Table"/>
              <w:rPr>
                <w:b/>
              </w:rPr>
            </w:pPr>
            <w:r w:rsidRPr="00F576FE">
              <w:rPr>
                <w:b/>
              </w:rPr>
              <w:t>Tax Name</w:t>
            </w:r>
          </w:p>
        </w:tc>
        <w:tc>
          <w:tcPr>
            <w:tcW w:w="2230" w:type="dxa"/>
            <w:gridSpan w:val="2"/>
            <w:vAlign w:val="bottom"/>
          </w:tcPr>
          <w:p w14:paraId="74FC088E" w14:textId="77777777" w:rsidR="00BE61A1" w:rsidRPr="0085594F" w:rsidRDefault="00BE61A1" w:rsidP="000878F6">
            <w:pPr>
              <w:pStyle w:val="Table"/>
              <w:jc w:val="center"/>
              <w:rPr>
                <w:b/>
                <w:szCs w:val="20"/>
              </w:rPr>
            </w:pPr>
            <w:r w:rsidRPr="0085594F">
              <w:rPr>
                <w:rFonts w:ascii="Calibri" w:hAnsi="Calibri" w:cs="Calibri"/>
                <w:b/>
                <w:bCs/>
                <w:color w:val="000000"/>
                <w:szCs w:val="20"/>
              </w:rPr>
              <w:t>% Change in Quantities as % of taxed sector</w:t>
            </w:r>
          </w:p>
        </w:tc>
        <w:tc>
          <w:tcPr>
            <w:tcW w:w="2230" w:type="dxa"/>
            <w:gridSpan w:val="2"/>
            <w:vAlign w:val="bottom"/>
          </w:tcPr>
          <w:p w14:paraId="03E1174A" w14:textId="77777777" w:rsidR="00BE61A1" w:rsidRPr="0085594F" w:rsidRDefault="00BE61A1" w:rsidP="000878F6">
            <w:pPr>
              <w:pStyle w:val="Table"/>
              <w:jc w:val="center"/>
              <w:rPr>
                <w:b/>
                <w:szCs w:val="20"/>
              </w:rPr>
            </w:pPr>
            <w:r w:rsidRPr="0085594F">
              <w:rPr>
                <w:rFonts w:ascii="Calibri" w:hAnsi="Calibri" w:cs="Calibri"/>
                <w:b/>
                <w:bCs/>
                <w:color w:val="000000"/>
                <w:szCs w:val="20"/>
              </w:rPr>
              <w:t>Change in Revenues (€Mn)</w:t>
            </w:r>
          </w:p>
        </w:tc>
        <w:tc>
          <w:tcPr>
            <w:tcW w:w="2321" w:type="dxa"/>
            <w:gridSpan w:val="2"/>
            <w:vAlign w:val="bottom"/>
          </w:tcPr>
          <w:p w14:paraId="6D473457" w14:textId="77777777" w:rsidR="00BE61A1" w:rsidRPr="0085594F" w:rsidRDefault="00BE61A1" w:rsidP="000878F6">
            <w:pPr>
              <w:pStyle w:val="Table"/>
              <w:jc w:val="center"/>
              <w:rPr>
                <w:b/>
                <w:szCs w:val="20"/>
              </w:rPr>
            </w:pPr>
            <w:r w:rsidRPr="0085594F">
              <w:rPr>
                <w:rFonts w:ascii="Calibri" w:hAnsi="Calibri" w:cs="Calibri"/>
                <w:b/>
                <w:bCs/>
                <w:color w:val="000000"/>
                <w:szCs w:val="20"/>
              </w:rPr>
              <w:t>As % of 2023 Resource Tax</w:t>
            </w:r>
          </w:p>
        </w:tc>
      </w:tr>
      <w:tr w:rsidR="00BE61A1" w:rsidRPr="00022C08" w14:paraId="67B5F1AD" w14:textId="77777777" w:rsidTr="00BA7936">
        <w:trPr>
          <w:trHeight w:val="247"/>
          <w:tblHeader/>
        </w:trPr>
        <w:tc>
          <w:tcPr>
            <w:tcW w:w="2230" w:type="dxa"/>
          </w:tcPr>
          <w:p w14:paraId="7BEC883D" w14:textId="77777777" w:rsidR="00BE61A1" w:rsidRPr="00ED2593" w:rsidRDefault="00BE61A1" w:rsidP="000878F6">
            <w:pPr>
              <w:pStyle w:val="Table"/>
              <w:rPr>
                <w:b/>
              </w:rPr>
            </w:pPr>
            <w:r w:rsidRPr="00ED2593">
              <w:rPr>
                <w:b/>
              </w:rPr>
              <w:t>Year</w:t>
            </w:r>
          </w:p>
        </w:tc>
        <w:tc>
          <w:tcPr>
            <w:tcW w:w="1115" w:type="dxa"/>
          </w:tcPr>
          <w:p w14:paraId="3C337EF3" w14:textId="77777777" w:rsidR="00BE61A1" w:rsidRPr="0085594F" w:rsidRDefault="00BE61A1" w:rsidP="000878F6">
            <w:pPr>
              <w:pStyle w:val="Table"/>
              <w:jc w:val="center"/>
              <w:rPr>
                <w:b/>
                <w:szCs w:val="20"/>
              </w:rPr>
            </w:pPr>
            <w:r w:rsidRPr="0085594F">
              <w:rPr>
                <w:b/>
                <w:szCs w:val="20"/>
              </w:rPr>
              <w:t>2030</w:t>
            </w:r>
          </w:p>
        </w:tc>
        <w:tc>
          <w:tcPr>
            <w:tcW w:w="1115" w:type="dxa"/>
          </w:tcPr>
          <w:p w14:paraId="1E9A149C" w14:textId="77777777" w:rsidR="00BE61A1" w:rsidRPr="0085594F" w:rsidRDefault="00BE61A1" w:rsidP="000878F6">
            <w:pPr>
              <w:pStyle w:val="Table"/>
              <w:jc w:val="center"/>
              <w:rPr>
                <w:b/>
                <w:szCs w:val="20"/>
              </w:rPr>
            </w:pPr>
            <w:r w:rsidRPr="0085594F">
              <w:rPr>
                <w:b/>
                <w:szCs w:val="20"/>
              </w:rPr>
              <w:t>2035</w:t>
            </w:r>
          </w:p>
        </w:tc>
        <w:tc>
          <w:tcPr>
            <w:tcW w:w="1022" w:type="dxa"/>
          </w:tcPr>
          <w:p w14:paraId="18156078" w14:textId="77777777" w:rsidR="00BE61A1" w:rsidRPr="0085594F" w:rsidRDefault="00BE61A1" w:rsidP="000878F6">
            <w:pPr>
              <w:pStyle w:val="Table"/>
              <w:jc w:val="center"/>
              <w:rPr>
                <w:b/>
                <w:szCs w:val="20"/>
              </w:rPr>
            </w:pPr>
            <w:r w:rsidRPr="0085594F">
              <w:rPr>
                <w:b/>
                <w:szCs w:val="20"/>
              </w:rPr>
              <w:t>2030</w:t>
            </w:r>
          </w:p>
        </w:tc>
        <w:tc>
          <w:tcPr>
            <w:tcW w:w="1208" w:type="dxa"/>
          </w:tcPr>
          <w:p w14:paraId="07228D20" w14:textId="77777777" w:rsidR="00BE61A1" w:rsidRPr="0085594F" w:rsidRDefault="00BE61A1" w:rsidP="000878F6">
            <w:pPr>
              <w:pStyle w:val="Table"/>
              <w:jc w:val="center"/>
              <w:rPr>
                <w:b/>
                <w:szCs w:val="20"/>
              </w:rPr>
            </w:pPr>
            <w:r w:rsidRPr="0085594F">
              <w:rPr>
                <w:b/>
                <w:szCs w:val="20"/>
              </w:rPr>
              <w:t>2035</w:t>
            </w:r>
          </w:p>
        </w:tc>
        <w:tc>
          <w:tcPr>
            <w:tcW w:w="1051" w:type="dxa"/>
          </w:tcPr>
          <w:p w14:paraId="538CBA93" w14:textId="77777777" w:rsidR="00BE61A1" w:rsidRPr="0085594F" w:rsidRDefault="00BE61A1" w:rsidP="000878F6">
            <w:pPr>
              <w:pStyle w:val="Table"/>
              <w:jc w:val="center"/>
              <w:rPr>
                <w:b/>
                <w:szCs w:val="20"/>
              </w:rPr>
            </w:pPr>
            <w:r w:rsidRPr="0085594F">
              <w:rPr>
                <w:b/>
                <w:szCs w:val="20"/>
              </w:rPr>
              <w:t>2030</w:t>
            </w:r>
          </w:p>
        </w:tc>
        <w:tc>
          <w:tcPr>
            <w:tcW w:w="1270" w:type="dxa"/>
          </w:tcPr>
          <w:p w14:paraId="58DE6AD9" w14:textId="77777777" w:rsidR="00BE61A1" w:rsidRPr="0085594F" w:rsidRDefault="00BE61A1" w:rsidP="000878F6">
            <w:pPr>
              <w:pStyle w:val="Table"/>
              <w:jc w:val="center"/>
              <w:rPr>
                <w:b/>
                <w:szCs w:val="20"/>
              </w:rPr>
            </w:pPr>
            <w:r w:rsidRPr="0085594F">
              <w:rPr>
                <w:b/>
                <w:szCs w:val="20"/>
              </w:rPr>
              <w:t>2035</w:t>
            </w:r>
          </w:p>
        </w:tc>
      </w:tr>
      <w:tr w:rsidR="00BE61A1" w:rsidRPr="00022C08" w14:paraId="2729F4C8" w14:textId="77777777" w:rsidTr="00BA7936">
        <w:trPr>
          <w:trHeight w:val="247"/>
        </w:trPr>
        <w:tc>
          <w:tcPr>
            <w:tcW w:w="2230" w:type="dxa"/>
          </w:tcPr>
          <w:p w14:paraId="4A057ACD" w14:textId="77777777" w:rsidR="00BE61A1" w:rsidRPr="00F501DA" w:rsidRDefault="00BE61A1" w:rsidP="000878F6">
            <w:pPr>
              <w:pStyle w:val="Table"/>
            </w:pPr>
            <w:r w:rsidRPr="005211C1">
              <w:t>NOx</w:t>
            </w:r>
          </w:p>
        </w:tc>
        <w:tc>
          <w:tcPr>
            <w:tcW w:w="1115" w:type="dxa"/>
            <w:vAlign w:val="center"/>
          </w:tcPr>
          <w:p w14:paraId="4F44D51A" w14:textId="77777777" w:rsidR="00BE61A1" w:rsidRPr="0085594F" w:rsidRDefault="00BE61A1" w:rsidP="000878F6">
            <w:pPr>
              <w:pStyle w:val="Table"/>
              <w:jc w:val="center"/>
              <w:rPr>
                <w:szCs w:val="20"/>
              </w:rPr>
            </w:pPr>
            <w:r w:rsidRPr="0085594F">
              <w:rPr>
                <w:rFonts w:ascii="Calibri" w:hAnsi="Calibri" w:cs="Calibri"/>
                <w:color w:val="000000"/>
                <w:szCs w:val="20"/>
              </w:rPr>
              <w:t>-28,57%</w:t>
            </w:r>
          </w:p>
        </w:tc>
        <w:tc>
          <w:tcPr>
            <w:tcW w:w="1115" w:type="dxa"/>
            <w:vAlign w:val="center"/>
          </w:tcPr>
          <w:p w14:paraId="1EB01CFD" w14:textId="77777777" w:rsidR="00BE61A1" w:rsidRPr="0085594F" w:rsidRDefault="00BE61A1" w:rsidP="000878F6">
            <w:pPr>
              <w:pStyle w:val="Table"/>
              <w:jc w:val="center"/>
              <w:rPr>
                <w:szCs w:val="20"/>
              </w:rPr>
            </w:pPr>
            <w:r w:rsidRPr="0085594F">
              <w:rPr>
                <w:rFonts w:ascii="Calibri" w:hAnsi="Calibri" w:cs="Calibri"/>
                <w:color w:val="000000"/>
                <w:szCs w:val="20"/>
              </w:rPr>
              <w:t>-28,57%</w:t>
            </w:r>
          </w:p>
        </w:tc>
        <w:tc>
          <w:tcPr>
            <w:tcW w:w="1022" w:type="dxa"/>
            <w:vAlign w:val="center"/>
          </w:tcPr>
          <w:p w14:paraId="6554E7E1" w14:textId="77777777" w:rsidR="00BE61A1" w:rsidRPr="0085594F" w:rsidRDefault="00BE61A1" w:rsidP="000878F6">
            <w:pPr>
              <w:pStyle w:val="Table"/>
              <w:jc w:val="center"/>
              <w:rPr>
                <w:szCs w:val="20"/>
              </w:rPr>
            </w:pPr>
            <w:r w:rsidRPr="0085594F">
              <w:rPr>
                <w:rFonts w:ascii="Calibri" w:hAnsi="Calibri" w:cs="Calibri"/>
                <w:color w:val="000000"/>
                <w:szCs w:val="20"/>
              </w:rPr>
              <w:t>1,73</w:t>
            </w:r>
          </w:p>
        </w:tc>
        <w:tc>
          <w:tcPr>
            <w:tcW w:w="1208" w:type="dxa"/>
            <w:vAlign w:val="center"/>
          </w:tcPr>
          <w:p w14:paraId="05509801" w14:textId="77777777" w:rsidR="00BE61A1" w:rsidRPr="0085594F" w:rsidRDefault="00BE61A1" w:rsidP="000878F6">
            <w:pPr>
              <w:pStyle w:val="Table"/>
              <w:jc w:val="center"/>
              <w:rPr>
                <w:szCs w:val="20"/>
              </w:rPr>
            </w:pPr>
            <w:r w:rsidRPr="0085594F">
              <w:rPr>
                <w:rFonts w:ascii="Calibri" w:hAnsi="Calibri" w:cs="Calibri"/>
                <w:color w:val="000000"/>
                <w:szCs w:val="20"/>
              </w:rPr>
              <w:t>1,40</w:t>
            </w:r>
          </w:p>
        </w:tc>
        <w:tc>
          <w:tcPr>
            <w:tcW w:w="1051" w:type="dxa"/>
            <w:vAlign w:val="center"/>
          </w:tcPr>
          <w:p w14:paraId="7FE41C1A" w14:textId="77777777" w:rsidR="00BE61A1" w:rsidRPr="0085594F" w:rsidRDefault="00BE61A1" w:rsidP="000878F6">
            <w:pPr>
              <w:pStyle w:val="Table"/>
              <w:jc w:val="center"/>
              <w:rPr>
                <w:szCs w:val="20"/>
              </w:rPr>
            </w:pPr>
            <w:r w:rsidRPr="0085594F">
              <w:rPr>
                <w:rFonts w:ascii="Calibri" w:hAnsi="Calibri" w:cs="Calibri"/>
                <w:color w:val="000000"/>
                <w:szCs w:val="20"/>
              </w:rPr>
              <w:t>32,54%</w:t>
            </w:r>
          </w:p>
        </w:tc>
        <w:tc>
          <w:tcPr>
            <w:tcW w:w="1270" w:type="dxa"/>
            <w:vAlign w:val="center"/>
          </w:tcPr>
          <w:p w14:paraId="6D17050F" w14:textId="77777777" w:rsidR="00BE61A1" w:rsidRPr="0085594F" w:rsidRDefault="00BE61A1" w:rsidP="000878F6">
            <w:pPr>
              <w:pStyle w:val="Table"/>
              <w:jc w:val="center"/>
              <w:rPr>
                <w:szCs w:val="20"/>
              </w:rPr>
            </w:pPr>
            <w:r w:rsidRPr="0085594F">
              <w:rPr>
                <w:rFonts w:ascii="Calibri" w:hAnsi="Calibri" w:cs="Calibri"/>
                <w:color w:val="000000"/>
                <w:szCs w:val="20"/>
              </w:rPr>
              <w:t>26,30%</w:t>
            </w:r>
          </w:p>
        </w:tc>
      </w:tr>
      <w:tr w:rsidR="00BE61A1" w:rsidRPr="00022C08" w14:paraId="62F34F79" w14:textId="77777777" w:rsidTr="00BA7936">
        <w:trPr>
          <w:trHeight w:val="247"/>
        </w:trPr>
        <w:tc>
          <w:tcPr>
            <w:tcW w:w="2230" w:type="dxa"/>
          </w:tcPr>
          <w:p w14:paraId="0FA05887" w14:textId="77777777" w:rsidR="00BE61A1" w:rsidRPr="00F501DA" w:rsidRDefault="00BE61A1" w:rsidP="000878F6">
            <w:pPr>
              <w:pStyle w:val="Table"/>
            </w:pPr>
            <w:r w:rsidRPr="005211C1">
              <w:t>SO2</w:t>
            </w:r>
          </w:p>
        </w:tc>
        <w:tc>
          <w:tcPr>
            <w:tcW w:w="1115" w:type="dxa"/>
            <w:vAlign w:val="center"/>
          </w:tcPr>
          <w:p w14:paraId="1570EB8B" w14:textId="77777777" w:rsidR="00BE61A1" w:rsidRPr="0085594F" w:rsidRDefault="00BE61A1" w:rsidP="000878F6">
            <w:pPr>
              <w:pStyle w:val="Table"/>
              <w:jc w:val="center"/>
              <w:rPr>
                <w:szCs w:val="20"/>
              </w:rPr>
            </w:pPr>
            <w:r w:rsidRPr="0085594F">
              <w:rPr>
                <w:rFonts w:ascii="Calibri" w:hAnsi="Calibri" w:cs="Calibri"/>
                <w:color w:val="000000"/>
                <w:szCs w:val="20"/>
              </w:rPr>
              <w:t>-32,43%</w:t>
            </w:r>
          </w:p>
        </w:tc>
        <w:tc>
          <w:tcPr>
            <w:tcW w:w="1115" w:type="dxa"/>
            <w:vAlign w:val="center"/>
          </w:tcPr>
          <w:p w14:paraId="2808E553" w14:textId="77777777" w:rsidR="00BE61A1" w:rsidRPr="0085594F" w:rsidRDefault="00BE61A1" w:rsidP="000878F6">
            <w:pPr>
              <w:pStyle w:val="Table"/>
              <w:jc w:val="center"/>
              <w:rPr>
                <w:szCs w:val="20"/>
              </w:rPr>
            </w:pPr>
            <w:r w:rsidRPr="0085594F">
              <w:rPr>
                <w:rFonts w:ascii="Calibri" w:hAnsi="Calibri" w:cs="Calibri"/>
                <w:color w:val="000000"/>
                <w:szCs w:val="20"/>
              </w:rPr>
              <w:t>-32,43%</w:t>
            </w:r>
          </w:p>
        </w:tc>
        <w:tc>
          <w:tcPr>
            <w:tcW w:w="1022" w:type="dxa"/>
            <w:vAlign w:val="center"/>
          </w:tcPr>
          <w:p w14:paraId="785272F9" w14:textId="77777777" w:rsidR="00BE61A1" w:rsidRPr="0085594F" w:rsidRDefault="00BE61A1" w:rsidP="000878F6">
            <w:pPr>
              <w:pStyle w:val="Table"/>
              <w:jc w:val="center"/>
              <w:rPr>
                <w:szCs w:val="20"/>
              </w:rPr>
            </w:pPr>
            <w:r w:rsidRPr="0085594F">
              <w:rPr>
                <w:rFonts w:ascii="Calibri" w:hAnsi="Calibri" w:cs="Calibri"/>
                <w:color w:val="000000"/>
                <w:szCs w:val="20"/>
              </w:rPr>
              <w:t>8,43</w:t>
            </w:r>
          </w:p>
        </w:tc>
        <w:tc>
          <w:tcPr>
            <w:tcW w:w="1208" w:type="dxa"/>
            <w:vAlign w:val="center"/>
          </w:tcPr>
          <w:p w14:paraId="0E11A1C9" w14:textId="77777777" w:rsidR="00BE61A1" w:rsidRPr="0085594F" w:rsidRDefault="00BE61A1" w:rsidP="000878F6">
            <w:pPr>
              <w:pStyle w:val="Table"/>
              <w:jc w:val="center"/>
              <w:rPr>
                <w:szCs w:val="20"/>
              </w:rPr>
            </w:pPr>
            <w:r w:rsidRPr="0085594F">
              <w:rPr>
                <w:rFonts w:ascii="Calibri" w:hAnsi="Calibri" w:cs="Calibri"/>
                <w:color w:val="000000"/>
                <w:szCs w:val="20"/>
              </w:rPr>
              <w:t>3,40</w:t>
            </w:r>
          </w:p>
        </w:tc>
        <w:tc>
          <w:tcPr>
            <w:tcW w:w="1051" w:type="dxa"/>
            <w:vAlign w:val="center"/>
          </w:tcPr>
          <w:p w14:paraId="55786214" w14:textId="77777777" w:rsidR="00BE61A1" w:rsidRPr="0085594F" w:rsidRDefault="00BE61A1" w:rsidP="000878F6">
            <w:pPr>
              <w:pStyle w:val="Table"/>
              <w:jc w:val="center"/>
              <w:rPr>
                <w:szCs w:val="20"/>
              </w:rPr>
            </w:pPr>
            <w:r w:rsidRPr="0085594F">
              <w:rPr>
                <w:rFonts w:ascii="Calibri" w:hAnsi="Calibri" w:cs="Calibri"/>
                <w:color w:val="000000"/>
                <w:szCs w:val="20"/>
              </w:rPr>
              <w:t>158,49%</w:t>
            </w:r>
          </w:p>
        </w:tc>
        <w:tc>
          <w:tcPr>
            <w:tcW w:w="1270" w:type="dxa"/>
            <w:vAlign w:val="center"/>
          </w:tcPr>
          <w:p w14:paraId="06576CBD" w14:textId="77777777" w:rsidR="00BE61A1" w:rsidRPr="0085594F" w:rsidRDefault="00BE61A1" w:rsidP="000878F6">
            <w:pPr>
              <w:pStyle w:val="Table"/>
              <w:jc w:val="center"/>
              <w:rPr>
                <w:szCs w:val="20"/>
              </w:rPr>
            </w:pPr>
            <w:r w:rsidRPr="0085594F">
              <w:rPr>
                <w:rFonts w:ascii="Calibri" w:hAnsi="Calibri" w:cs="Calibri"/>
                <w:color w:val="000000"/>
                <w:szCs w:val="20"/>
              </w:rPr>
              <w:t>63,86%</w:t>
            </w:r>
          </w:p>
        </w:tc>
      </w:tr>
      <w:tr w:rsidR="00BE61A1" w:rsidRPr="00022C08" w14:paraId="180A24C0" w14:textId="77777777" w:rsidTr="00BA7936">
        <w:trPr>
          <w:trHeight w:val="247"/>
        </w:trPr>
        <w:tc>
          <w:tcPr>
            <w:tcW w:w="2230" w:type="dxa"/>
          </w:tcPr>
          <w:p w14:paraId="2B3CB35E" w14:textId="77777777" w:rsidR="00BE61A1" w:rsidRPr="00F501DA" w:rsidRDefault="00BE61A1" w:rsidP="000878F6">
            <w:pPr>
              <w:pStyle w:val="Table"/>
            </w:pPr>
            <w:r w:rsidRPr="005211C1">
              <w:t>PM2.5</w:t>
            </w:r>
          </w:p>
        </w:tc>
        <w:tc>
          <w:tcPr>
            <w:tcW w:w="1115" w:type="dxa"/>
            <w:vAlign w:val="center"/>
          </w:tcPr>
          <w:p w14:paraId="52B9F1E4" w14:textId="77777777" w:rsidR="00BE61A1" w:rsidRPr="0085594F" w:rsidRDefault="00BE61A1" w:rsidP="000878F6">
            <w:pPr>
              <w:pStyle w:val="Table"/>
              <w:jc w:val="center"/>
              <w:rPr>
                <w:szCs w:val="20"/>
              </w:rPr>
            </w:pPr>
            <w:r w:rsidRPr="0085594F">
              <w:rPr>
                <w:rFonts w:ascii="Calibri" w:hAnsi="Calibri" w:cs="Calibri"/>
                <w:color w:val="000000"/>
                <w:szCs w:val="20"/>
              </w:rPr>
              <w:t>-29,58%</w:t>
            </w:r>
          </w:p>
        </w:tc>
        <w:tc>
          <w:tcPr>
            <w:tcW w:w="1115" w:type="dxa"/>
            <w:vAlign w:val="center"/>
          </w:tcPr>
          <w:p w14:paraId="4281A260" w14:textId="77777777" w:rsidR="00BE61A1" w:rsidRPr="0085594F" w:rsidRDefault="00BE61A1" w:rsidP="000878F6">
            <w:pPr>
              <w:pStyle w:val="Table"/>
              <w:jc w:val="center"/>
              <w:rPr>
                <w:szCs w:val="20"/>
              </w:rPr>
            </w:pPr>
            <w:r w:rsidRPr="0085594F">
              <w:rPr>
                <w:rFonts w:ascii="Calibri" w:hAnsi="Calibri" w:cs="Calibri"/>
                <w:color w:val="000000"/>
                <w:szCs w:val="20"/>
              </w:rPr>
              <w:t>-29,58%</w:t>
            </w:r>
          </w:p>
        </w:tc>
        <w:tc>
          <w:tcPr>
            <w:tcW w:w="1022" w:type="dxa"/>
            <w:vAlign w:val="center"/>
          </w:tcPr>
          <w:p w14:paraId="023F21F5" w14:textId="77777777" w:rsidR="00BE61A1" w:rsidRPr="0085594F" w:rsidRDefault="00BE61A1" w:rsidP="000878F6">
            <w:pPr>
              <w:pStyle w:val="Table"/>
              <w:jc w:val="center"/>
              <w:rPr>
                <w:szCs w:val="20"/>
              </w:rPr>
            </w:pPr>
            <w:r w:rsidRPr="0085594F">
              <w:rPr>
                <w:rFonts w:ascii="Calibri" w:hAnsi="Calibri" w:cs="Calibri"/>
                <w:color w:val="000000"/>
                <w:szCs w:val="20"/>
              </w:rPr>
              <w:t>6,19</w:t>
            </w:r>
          </w:p>
        </w:tc>
        <w:tc>
          <w:tcPr>
            <w:tcW w:w="1208" w:type="dxa"/>
            <w:vAlign w:val="center"/>
          </w:tcPr>
          <w:p w14:paraId="4B0668C1" w14:textId="77777777" w:rsidR="00BE61A1" w:rsidRPr="0085594F" w:rsidRDefault="00BE61A1" w:rsidP="000878F6">
            <w:pPr>
              <w:pStyle w:val="Table"/>
              <w:jc w:val="center"/>
              <w:rPr>
                <w:szCs w:val="20"/>
              </w:rPr>
            </w:pPr>
            <w:r w:rsidRPr="0085594F">
              <w:rPr>
                <w:rFonts w:ascii="Calibri" w:hAnsi="Calibri" w:cs="Calibri"/>
                <w:color w:val="000000"/>
                <w:szCs w:val="20"/>
              </w:rPr>
              <w:t>4,95</w:t>
            </w:r>
          </w:p>
        </w:tc>
        <w:tc>
          <w:tcPr>
            <w:tcW w:w="1051" w:type="dxa"/>
            <w:vAlign w:val="center"/>
          </w:tcPr>
          <w:p w14:paraId="4FED8929" w14:textId="77777777" w:rsidR="00BE61A1" w:rsidRPr="0085594F" w:rsidRDefault="00BE61A1" w:rsidP="000878F6">
            <w:pPr>
              <w:pStyle w:val="Table"/>
              <w:jc w:val="center"/>
              <w:rPr>
                <w:szCs w:val="20"/>
              </w:rPr>
            </w:pPr>
            <w:r w:rsidRPr="0085594F">
              <w:rPr>
                <w:rFonts w:ascii="Calibri" w:hAnsi="Calibri" w:cs="Calibri"/>
                <w:color w:val="000000"/>
                <w:szCs w:val="20"/>
              </w:rPr>
              <w:t>116,36%</w:t>
            </w:r>
          </w:p>
        </w:tc>
        <w:tc>
          <w:tcPr>
            <w:tcW w:w="1270" w:type="dxa"/>
            <w:vAlign w:val="center"/>
          </w:tcPr>
          <w:p w14:paraId="66B3BA97" w14:textId="77777777" w:rsidR="00BE61A1" w:rsidRPr="0085594F" w:rsidRDefault="00BE61A1" w:rsidP="000878F6">
            <w:pPr>
              <w:pStyle w:val="Table"/>
              <w:jc w:val="center"/>
              <w:rPr>
                <w:szCs w:val="20"/>
              </w:rPr>
            </w:pPr>
            <w:r w:rsidRPr="0085594F">
              <w:rPr>
                <w:rFonts w:ascii="Calibri" w:hAnsi="Calibri" w:cs="Calibri"/>
                <w:color w:val="000000"/>
                <w:szCs w:val="20"/>
              </w:rPr>
              <w:t>93,13%</w:t>
            </w:r>
          </w:p>
        </w:tc>
      </w:tr>
      <w:tr w:rsidR="00BE61A1" w:rsidRPr="00022C08" w14:paraId="0B71158D" w14:textId="77777777" w:rsidTr="00BA7936">
        <w:trPr>
          <w:trHeight w:val="247"/>
        </w:trPr>
        <w:tc>
          <w:tcPr>
            <w:tcW w:w="2230" w:type="dxa"/>
          </w:tcPr>
          <w:p w14:paraId="583090D2" w14:textId="77777777" w:rsidR="00BE61A1" w:rsidRPr="00F501DA" w:rsidRDefault="00BE61A1" w:rsidP="000878F6">
            <w:pPr>
              <w:pStyle w:val="Table"/>
            </w:pPr>
            <w:r w:rsidRPr="005211C1">
              <w:t>Water Abstraction</w:t>
            </w:r>
          </w:p>
        </w:tc>
        <w:tc>
          <w:tcPr>
            <w:tcW w:w="1115" w:type="dxa"/>
            <w:vAlign w:val="center"/>
          </w:tcPr>
          <w:p w14:paraId="5A30B589" w14:textId="77777777" w:rsidR="00BE61A1" w:rsidRPr="0085594F" w:rsidRDefault="00BE61A1" w:rsidP="000878F6">
            <w:pPr>
              <w:pStyle w:val="Table"/>
              <w:jc w:val="center"/>
              <w:rPr>
                <w:szCs w:val="20"/>
              </w:rPr>
            </w:pPr>
            <w:r w:rsidRPr="0085594F">
              <w:rPr>
                <w:rFonts w:ascii="Calibri" w:hAnsi="Calibri" w:cs="Calibri"/>
                <w:color w:val="000000"/>
                <w:szCs w:val="20"/>
              </w:rPr>
              <w:t>-20,64%</w:t>
            </w:r>
          </w:p>
        </w:tc>
        <w:tc>
          <w:tcPr>
            <w:tcW w:w="1115" w:type="dxa"/>
            <w:vAlign w:val="center"/>
          </w:tcPr>
          <w:p w14:paraId="19B11C2B" w14:textId="77777777" w:rsidR="00BE61A1" w:rsidRPr="0085594F" w:rsidRDefault="00BE61A1" w:rsidP="000878F6">
            <w:pPr>
              <w:pStyle w:val="Table"/>
              <w:jc w:val="center"/>
              <w:rPr>
                <w:szCs w:val="20"/>
              </w:rPr>
            </w:pPr>
            <w:r w:rsidRPr="0085594F">
              <w:rPr>
                <w:rFonts w:ascii="Calibri" w:hAnsi="Calibri" w:cs="Calibri"/>
                <w:color w:val="000000"/>
                <w:szCs w:val="20"/>
              </w:rPr>
              <w:t>-20,64%</w:t>
            </w:r>
          </w:p>
        </w:tc>
        <w:tc>
          <w:tcPr>
            <w:tcW w:w="1022" w:type="dxa"/>
            <w:vAlign w:val="center"/>
          </w:tcPr>
          <w:p w14:paraId="3A925777" w14:textId="77777777" w:rsidR="00BE61A1" w:rsidRPr="0085594F" w:rsidRDefault="00BE61A1" w:rsidP="000878F6">
            <w:pPr>
              <w:pStyle w:val="Table"/>
              <w:jc w:val="center"/>
              <w:rPr>
                <w:szCs w:val="20"/>
              </w:rPr>
            </w:pPr>
            <w:r w:rsidRPr="0085594F">
              <w:rPr>
                <w:rFonts w:ascii="Calibri" w:hAnsi="Calibri" w:cs="Calibri"/>
                <w:color w:val="000000"/>
                <w:szCs w:val="20"/>
              </w:rPr>
              <w:t>1409,53</w:t>
            </w:r>
          </w:p>
        </w:tc>
        <w:tc>
          <w:tcPr>
            <w:tcW w:w="1208" w:type="dxa"/>
            <w:vAlign w:val="center"/>
          </w:tcPr>
          <w:p w14:paraId="1B3252C4" w14:textId="77777777" w:rsidR="00BE61A1" w:rsidRPr="0085594F" w:rsidRDefault="00BE61A1" w:rsidP="000878F6">
            <w:pPr>
              <w:pStyle w:val="Table"/>
              <w:jc w:val="center"/>
              <w:rPr>
                <w:szCs w:val="20"/>
              </w:rPr>
            </w:pPr>
            <w:r w:rsidRPr="0085594F">
              <w:rPr>
                <w:rFonts w:ascii="Calibri" w:hAnsi="Calibri" w:cs="Calibri"/>
                <w:color w:val="000000"/>
                <w:szCs w:val="20"/>
              </w:rPr>
              <w:t>1608,72</w:t>
            </w:r>
          </w:p>
        </w:tc>
        <w:tc>
          <w:tcPr>
            <w:tcW w:w="1051" w:type="dxa"/>
            <w:vAlign w:val="center"/>
          </w:tcPr>
          <w:p w14:paraId="749DD735" w14:textId="77777777" w:rsidR="00BE61A1" w:rsidRPr="0085594F" w:rsidRDefault="00BE61A1" w:rsidP="000878F6">
            <w:pPr>
              <w:pStyle w:val="Table"/>
              <w:jc w:val="center"/>
              <w:rPr>
                <w:szCs w:val="20"/>
              </w:rPr>
            </w:pPr>
            <w:r w:rsidRPr="0085594F">
              <w:rPr>
                <w:rFonts w:ascii="Calibri" w:hAnsi="Calibri" w:cs="Calibri"/>
                <w:color w:val="000000"/>
                <w:szCs w:val="20"/>
              </w:rPr>
              <w:t>12088,56%</w:t>
            </w:r>
          </w:p>
        </w:tc>
        <w:tc>
          <w:tcPr>
            <w:tcW w:w="1270" w:type="dxa"/>
            <w:vAlign w:val="center"/>
          </w:tcPr>
          <w:p w14:paraId="6655FA52" w14:textId="77777777" w:rsidR="00BE61A1" w:rsidRPr="0085594F" w:rsidRDefault="00BE61A1" w:rsidP="000878F6">
            <w:pPr>
              <w:pStyle w:val="Table"/>
              <w:jc w:val="center"/>
              <w:rPr>
                <w:szCs w:val="20"/>
              </w:rPr>
            </w:pPr>
            <w:r w:rsidRPr="0085594F">
              <w:rPr>
                <w:rFonts w:ascii="Calibri" w:hAnsi="Calibri" w:cs="Calibri"/>
                <w:color w:val="000000"/>
                <w:szCs w:val="20"/>
              </w:rPr>
              <w:t>13796,88%</w:t>
            </w:r>
          </w:p>
        </w:tc>
      </w:tr>
      <w:tr w:rsidR="00BE61A1" w:rsidRPr="00022C08" w14:paraId="5DE47C8D" w14:textId="77777777" w:rsidTr="00BA7936">
        <w:trPr>
          <w:trHeight w:val="265"/>
        </w:trPr>
        <w:tc>
          <w:tcPr>
            <w:tcW w:w="2230" w:type="dxa"/>
          </w:tcPr>
          <w:p w14:paraId="0C547C12" w14:textId="77777777" w:rsidR="00BE61A1" w:rsidRPr="00F501DA" w:rsidRDefault="00BE61A1" w:rsidP="000878F6">
            <w:pPr>
              <w:pStyle w:val="Table"/>
            </w:pPr>
            <w:r w:rsidRPr="005211C1">
              <w:t>Fertilizers</w:t>
            </w:r>
          </w:p>
        </w:tc>
        <w:tc>
          <w:tcPr>
            <w:tcW w:w="1115" w:type="dxa"/>
            <w:vAlign w:val="center"/>
          </w:tcPr>
          <w:p w14:paraId="20287AB5" w14:textId="77777777" w:rsidR="00BE61A1" w:rsidRPr="0085594F" w:rsidRDefault="00BE61A1" w:rsidP="000878F6">
            <w:pPr>
              <w:pStyle w:val="Table"/>
              <w:jc w:val="center"/>
              <w:rPr>
                <w:szCs w:val="20"/>
              </w:rPr>
            </w:pPr>
            <w:r w:rsidRPr="0085594F">
              <w:rPr>
                <w:rFonts w:ascii="Calibri" w:hAnsi="Calibri" w:cs="Calibri"/>
                <w:color w:val="000000"/>
                <w:szCs w:val="20"/>
              </w:rPr>
              <w:t>-11,98%</w:t>
            </w:r>
          </w:p>
        </w:tc>
        <w:tc>
          <w:tcPr>
            <w:tcW w:w="1115" w:type="dxa"/>
            <w:vAlign w:val="center"/>
          </w:tcPr>
          <w:p w14:paraId="4BF8461F" w14:textId="77777777" w:rsidR="00BE61A1" w:rsidRPr="0085594F" w:rsidRDefault="00BE61A1" w:rsidP="000878F6">
            <w:pPr>
              <w:pStyle w:val="Table"/>
              <w:jc w:val="center"/>
              <w:rPr>
                <w:szCs w:val="20"/>
              </w:rPr>
            </w:pPr>
            <w:r w:rsidRPr="0085594F">
              <w:rPr>
                <w:rFonts w:ascii="Calibri" w:hAnsi="Calibri" w:cs="Calibri"/>
                <w:color w:val="000000"/>
                <w:szCs w:val="20"/>
              </w:rPr>
              <w:t>-11,98%</w:t>
            </w:r>
          </w:p>
        </w:tc>
        <w:tc>
          <w:tcPr>
            <w:tcW w:w="1022" w:type="dxa"/>
            <w:vAlign w:val="center"/>
          </w:tcPr>
          <w:p w14:paraId="0EA70156" w14:textId="77777777" w:rsidR="00BE61A1" w:rsidRPr="0085594F" w:rsidRDefault="00BE61A1" w:rsidP="000878F6">
            <w:pPr>
              <w:pStyle w:val="Table"/>
              <w:jc w:val="center"/>
              <w:rPr>
                <w:szCs w:val="20"/>
              </w:rPr>
            </w:pPr>
            <w:r w:rsidRPr="0085594F">
              <w:rPr>
                <w:rFonts w:ascii="Calibri" w:hAnsi="Calibri" w:cs="Calibri"/>
                <w:color w:val="000000"/>
                <w:szCs w:val="20"/>
              </w:rPr>
              <w:t>24,79</w:t>
            </w:r>
          </w:p>
        </w:tc>
        <w:tc>
          <w:tcPr>
            <w:tcW w:w="1208" w:type="dxa"/>
            <w:vAlign w:val="center"/>
          </w:tcPr>
          <w:p w14:paraId="37EAED33" w14:textId="77777777" w:rsidR="00BE61A1" w:rsidRPr="0085594F" w:rsidRDefault="00BE61A1" w:rsidP="000878F6">
            <w:pPr>
              <w:pStyle w:val="Table"/>
              <w:jc w:val="center"/>
              <w:rPr>
                <w:szCs w:val="20"/>
              </w:rPr>
            </w:pPr>
            <w:r w:rsidRPr="0085594F">
              <w:rPr>
                <w:rFonts w:ascii="Calibri" w:hAnsi="Calibri" w:cs="Calibri"/>
                <w:color w:val="000000"/>
                <w:szCs w:val="20"/>
              </w:rPr>
              <w:t>29,09</w:t>
            </w:r>
          </w:p>
        </w:tc>
        <w:tc>
          <w:tcPr>
            <w:tcW w:w="1051" w:type="dxa"/>
            <w:vAlign w:val="center"/>
          </w:tcPr>
          <w:p w14:paraId="4A9A96C4" w14:textId="77777777" w:rsidR="00BE61A1" w:rsidRPr="0085594F" w:rsidRDefault="00BE61A1" w:rsidP="000878F6">
            <w:pPr>
              <w:pStyle w:val="Table"/>
              <w:jc w:val="center"/>
              <w:rPr>
                <w:szCs w:val="20"/>
              </w:rPr>
            </w:pPr>
            <w:r w:rsidRPr="0085594F">
              <w:rPr>
                <w:rFonts w:ascii="Calibri" w:hAnsi="Calibri" w:cs="Calibri"/>
                <w:color w:val="000000"/>
                <w:szCs w:val="20"/>
              </w:rPr>
              <w:t>465,92%</w:t>
            </w:r>
          </w:p>
        </w:tc>
        <w:tc>
          <w:tcPr>
            <w:tcW w:w="1270" w:type="dxa"/>
            <w:vAlign w:val="center"/>
          </w:tcPr>
          <w:p w14:paraId="2796C3DB" w14:textId="77777777" w:rsidR="00BE61A1" w:rsidRPr="0085594F" w:rsidRDefault="00BE61A1" w:rsidP="000878F6">
            <w:pPr>
              <w:pStyle w:val="Table"/>
              <w:jc w:val="center"/>
              <w:rPr>
                <w:szCs w:val="20"/>
              </w:rPr>
            </w:pPr>
            <w:r w:rsidRPr="0085594F">
              <w:rPr>
                <w:rFonts w:ascii="Calibri" w:hAnsi="Calibri" w:cs="Calibri"/>
                <w:color w:val="000000"/>
                <w:szCs w:val="20"/>
              </w:rPr>
              <w:t>546,87%</w:t>
            </w:r>
          </w:p>
        </w:tc>
      </w:tr>
      <w:tr w:rsidR="00BE61A1" w:rsidRPr="00022C08" w14:paraId="0F3B228C" w14:textId="77777777" w:rsidTr="00BA7936">
        <w:trPr>
          <w:trHeight w:val="247"/>
        </w:trPr>
        <w:tc>
          <w:tcPr>
            <w:tcW w:w="2230" w:type="dxa"/>
          </w:tcPr>
          <w:p w14:paraId="218B1ED1" w14:textId="77777777" w:rsidR="00BE61A1" w:rsidRPr="00F501DA" w:rsidRDefault="00BE61A1" w:rsidP="000878F6">
            <w:pPr>
              <w:pStyle w:val="Table"/>
            </w:pPr>
            <w:r w:rsidRPr="005211C1">
              <w:t>Pesticides</w:t>
            </w:r>
          </w:p>
        </w:tc>
        <w:tc>
          <w:tcPr>
            <w:tcW w:w="1115" w:type="dxa"/>
            <w:vAlign w:val="center"/>
          </w:tcPr>
          <w:p w14:paraId="7129F97C" w14:textId="77777777" w:rsidR="00BE61A1" w:rsidRPr="0085594F" w:rsidRDefault="00BE61A1" w:rsidP="000878F6">
            <w:pPr>
              <w:pStyle w:val="Table"/>
              <w:jc w:val="center"/>
              <w:rPr>
                <w:szCs w:val="20"/>
              </w:rPr>
            </w:pPr>
            <w:r w:rsidRPr="0085594F">
              <w:rPr>
                <w:rFonts w:ascii="Calibri" w:hAnsi="Calibri" w:cs="Calibri"/>
                <w:color w:val="000000"/>
                <w:szCs w:val="20"/>
              </w:rPr>
              <w:t>n/a</w:t>
            </w:r>
          </w:p>
        </w:tc>
        <w:tc>
          <w:tcPr>
            <w:tcW w:w="1115" w:type="dxa"/>
            <w:vAlign w:val="center"/>
          </w:tcPr>
          <w:p w14:paraId="725507C6" w14:textId="77777777" w:rsidR="00BE61A1" w:rsidRPr="0085594F" w:rsidRDefault="00BE61A1" w:rsidP="000878F6">
            <w:pPr>
              <w:pStyle w:val="Table"/>
              <w:jc w:val="center"/>
              <w:rPr>
                <w:szCs w:val="20"/>
              </w:rPr>
            </w:pPr>
            <w:r w:rsidRPr="0085594F">
              <w:rPr>
                <w:rFonts w:ascii="Calibri" w:hAnsi="Calibri" w:cs="Calibri"/>
                <w:color w:val="000000"/>
                <w:szCs w:val="20"/>
              </w:rPr>
              <w:t>n/a</w:t>
            </w:r>
          </w:p>
        </w:tc>
        <w:tc>
          <w:tcPr>
            <w:tcW w:w="1022" w:type="dxa"/>
            <w:vAlign w:val="center"/>
          </w:tcPr>
          <w:p w14:paraId="43182F31" w14:textId="77777777" w:rsidR="00BE61A1" w:rsidRPr="0085594F" w:rsidRDefault="00BE61A1" w:rsidP="000878F6">
            <w:pPr>
              <w:pStyle w:val="Table"/>
              <w:jc w:val="center"/>
              <w:rPr>
                <w:szCs w:val="20"/>
              </w:rPr>
            </w:pPr>
            <w:r w:rsidRPr="0085594F">
              <w:rPr>
                <w:rFonts w:ascii="Calibri" w:hAnsi="Calibri" w:cs="Calibri"/>
                <w:color w:val="000000"/>
                <w:szCs w:val="20"/>
              </w:rPr>
              <w:t>27,11</w:t>
            </w:r>
          </w:p>
        </w:tc>
        <w:tc>
          <w:tcPr>
            <w:tcW w:w="1208" w:type="dxa"/>
            <w:vAlign w:val="center"/>
          </w:tcPr>
          <w:p w14:paraId="11D732CF" w14:textId="77777777" w:rsidR="00BE61A1" w:rsidRPr="0085594F" w:rsidRDefault="00BE61A1" w:rsidP="000878F6">
            <w:pPr>
              <w:pStyle w:val="Table"/>
              <w:jc w:val="center"/>
              <w:rPr>
                <w:szCs w:val="20"/>
              </w:rPr>
            </w:pPr>
            <w:r w:rsidRPr="0085594F">
              <w:rPr>
                <w:rFonts w:ascii="Calibri" w:hAnsi="Calibri" w:cs="Calibri"/>
                <w:color w:val="000000"/>
                <w:szCs w:val="20"/>
              </w:rPr>
              <w:t>27,06</w:t>
            </w:r>
          </w:p>
        </w:tc>
        <w:tc>
          <w:tcPr>
            <w:tcW w:w="1051" w:type="dxa"/>
            <w:vAlign w:val="center"/>
          </w:tcPr>
          <w:p w14:paraId="07C4F809" w14:textId="77777777" w:rsidR="00BE61A1" w:rsidRPr="0085594F" w:rsidRDefault="00BE61A1" w:rsidP="000878F6">
            <w:pPr>
              <w:pStyle w:val="Table"/>
              <w:jc w:val="center"/>
              <w:rPr>
                <w:szCs w:val="20"/>
              </w:rPr>
            </w:pPr>
            <w:r w:rsidRPr="0085594F">
              <w:rPr>
                <w:rFonts w:ascii="Calibri" w:hAnsi="Calibri" w:cs="Calibri"/>
                <w:color w:val="000000"/>
                <w:szCs w:val="20"/>
              </w:rPr>
              <w:t>509,51%</w:t>
            </w:r>
          </w:p>
        </w:tc>
        <w:tc>
          <w:tcPr>
            <w:tcW w:w="1270" w:type="dxa"/>
            <w:vAlign w:val="center"/>
          </w:tcPr>
          <w:p w14:paraId="2A6C13AA" w14:textId="77777777" w:rsidR="00BE61A1" w:rsidRPr="0085594F" w:rsidRDefault="00BE61A1" w:rsidP="000878F6">
            <w:pPr>
              <w:pStyle w:val="Table"/>
              <w:jc w:val="center"/>
              <w:rPr>
                <w:szCs w:val="20"/>
              </w:rPr>
            </w:pPr>
            <w:r w:rsidRPr="0085594F">
              <w:rPr>
                <w:rFonts w:ascii="Calibri" w:hAnsi="Calibri" w:cs="Calibri"/>
                <w:color w:val="000000"/>
                <w:szCs w:val="20"/>
              </w:rPr>
              <w:t>508,56%</w:t>
            </w:r>
          </w:p>
        </w:tc>
      </w:tr>
      <w:tr w:rsidR="00BE61A1" w:rsidRPr="00022C08" w14:paraId="5C1168E9" w14:textId="77777777" w:rsidTr="00BA7936">
        <w:trPr>
          <w:trHeight w:val="247"/>
        </w:trPr>
        <w:tc>
          <w:tcPr>
            <w:tcW w:w="2230" w:type="dxa"/>
          </w:tcPr>
          <w:p w14:paraId="6AA91AC4" w14:textId="77777777" w:rsidR="00BE61A1" w:rsidRPr="00F501DA" w:rsidRDefault="00BE61A1" w:rsidP="000878F6">
            <w:pPr>
              <w:pStyle w:val="Table"/>
            </w:pPr>
            <w:r w:rsidRPr="005211C1">
              <w:t>Waste Incineration</w:t>
            </w:r>
          </w:p>
        </w:tc>
        <w:tc>
          <w:tcPr>
            <w:tcW w:w="1115" w:type="dxa"/>
            <w:vAlign w:val="center"/>
          </w:tcPr>
          <w:p w14:paraId="7474BD19" w14:textId="77777777" w:rsidR="00BE61A1" w:rsidRPr="0085594F" w:rsidRDefault="00BE61A1" w:rsidP="000878F6">
            <w:pPr>
              <w:pStyle w:val="Table"/>
              <w:jc w:val="center"/>
              <w:rPr>
                <w:szCs w:val="20"/>
              </w:rPr>
            </w:pPr>
            <w:r w:rsidRPr="0085594F">
              <w:rPr>
                <w:rFonts w:ascii="Calibri" w:hAnsi="Calibri" w:cs="Calibri"/>
                <w:color w:val="000000"/>
                <w:szCs w:val="20"/>
              </w:rPr>
              <w:t>-20,00%</w:t>
            </w:r>
          </w:p>
        </w:tc>
        <w:tc>
          <w:tcPr>
            <w:tcW w:w="1115" w:type="dxa"/>
            <w:vAlign w:val="center"/>
          </w:tcPr>
          <w:p w14:paraId="3D875780" w14:textId="77777777" w:rsidR="00BE61A1" w:rsidRPr="0085594F" w:rsidRDefault="00BE61A1" w:rsidP="000878F6">
            <w:pPr>
              <w:pStyle w:val="Table"/>
              <w:jc w:val="center"/>
              <w:rPr>
                <w:szCs w:val="20"/>
              </w:rPr>
            </w:pPr>
            <w:r w:rsidRPr="0085594F">
              <w:rPr>
                <w:rFonts w:ascii="Calibri" w:hAnsi="Calibri" w:cs="Calibri"/>
                <w:color w:val="000000"/>
                <w:szCs w:val="20"/>
              </w:rPr>
              <w:t>-20,00%</w:t>
            </w:r>
          </w:p>
        </w:tc>
        <w:tc>
          <w:tcPr>
            <w:tcW w:w="1022" w:type="dxa"/>
            <w:vAlign w:val="center"/>
          </w:tcPr>
          <w:p w14:paraId="0C34A73D" w14:textId="77777777" w:rsidR="00BE61A1" w:rsidRPr="0085594F" w:rsidRDefault="00BE61A1" w:rsidP="000878F6">
            <w:pPr>
              <w:pStyle w:val="Table"/>
              <w:jc w:val="center"/>
              <w:rPr>
                <w:szCs w:val="20"/>
              </w:rPr>
            </w:pPr>
            <w:r w:rsidRPr="0085594F">
              <w:rPr>
                <w:rFonts w:ascii="Calibri" w:hAnsi="Calibri" w:cs="Calibri"/>
                <w:color w:val="000000"/>
                <w:szCs w:val="20"/>
              </w:rPr>
              <w:t>5,59</w:t>
            </w:r>
          </w:p>
        </w:tc>
        <w:tc>
          <w:tcPr>
            <w:tcW w:w="1208" w:type="dxa"/>
            <w:vAlign w:val="center"/>
          </w:tcPr>
          <w:p w14:paraId="5B008B8D" w14:textId="77777777" w:rsidR="00BE61A1" w:rsidRPr="0085594F" w:rsidRDefault="00BE61A1" w:rsidP="000878F6">
            <w:pPr>
              <w:pStyle w:val="Table"/>
              <w:jc w:val="center"/>
              <w:rPr>
                <w:szCs w:val="20"/>
              </w:rPr>
            </w:pPr>
            <w:r w:rsidRPr="0085594F">
              <w:rPr>
                <w:rFonts w:ascii="Calibri" w:hAnsi="Calibri" w:cs="Calibri"/>
                <w:color w:val="000000"/>
                <w:szCs w:val="20"/>
              </w:rPr>
              <w:t>10,70</w:t>
            </w:r>
          </w:p>
        </w:tc>
        <w:tc>
          <w:tcPr>
            <w:tcW w:w="1051" w:type="dxa"/>
            <w:vAlign w:val="center"/>
          </w:tcPr>
          <w:p w14:paraId="3EF6897F" w14:textId="77777777" w:rsidR="00BE61A1" w:rsidRPr="0085594F" w:rsidRDefault="00BE61A1" w:rsidP="000878F6">
            <w:pPr>
              <w:pStyle w:val="Table"/>
              <w:jc w:val="center"/>
              <w:rPr>
                <w:szCs w:val="20"/>
              </w:rPr>
            </w:pPr>
            <w:r w:rsidRPr="0085594F">
              <w:rPr>
                <w:rFonts w:ascii="Calibri" w:hAnsi="Calibri" w:cs="Calibri"/>
                <w:color w:val="000000"/>
                <w:szCs w:val="20"/>
              </w:rPr>
              <w:t>105,15%</w:t>
            </w:r>
          </w:p>
        </w:tc>
        <w:tc>
          <w:tcPr>
            <w:tcW w:w="1270" w:type="dxa"/>
            <w:vAlign w:val="center"/>
          </w:tcPr>
          <w:p w14:paraId="1305AED9" w14:textId="77777777" w:rsidR="00BE61A1" w:rsidRPr="0085594F" w:rsidRDefault="00BE61A1" w:rsidP="000878F6">
            <w:pPr>
              <w:pStyle w:val="Table"/>
              <w:jc w:val="center"/>
              <w:rPr>
                <w:szCs w:val="20"/>
              </w:rPr>
            </w:pPr>
            <w:r w:rsidRPr="0085594F">
              <w:rPr>
                <w:rFonts w:ascii="Calibri" w:hAnsi="Calibri" w:cs="Calibri"/>
                <w:color w:val="000000"/>
                <w:szCs w:val="20"/>
              </w:rPr>
              <w:t>201,05%</w:t>
            </w:r>
          </w:p>
        </w:tc>
      </w:tr>
      <w:tr w:rsidR="00BE61A1" w:rsidRPr="00022C08" w14:paraId="1DB67AF2" w14:textId="77777777" w:rsidTr="00BA7936">
        <w:trPr>
          <w:trHeight w:val="247"/>
        </w:trPr>
        <w:tc>
          <w:tcPr>
            <w:tcW w:w="2230" w:type="dxa"/>
          </w:tcPr>
          <w:p w14:paraId="22F2A7AF" w14:textId="77777777" w:rsidR="00BE61A1" w:rsidRPr="00F501DA" w:rsidRDefault="00BE61A1" w:rsidP="000878F6">
            <w:pPr>
              <w:pStyle w:val="Table"/>
            </w:pPr>
            <w:r w:rsidRPr="005211C1">
              <w:t>Waste to Landfill</w:t>
            </w:r>
          </w:p>
        </w:tc>
        <w:tc>
          <w:tcPr>
            <w:tcW w:w="1115" w:type="dxa"/>
            <w:vAlign w:val="center"/>
          </w:tcPr>
          <w:p w14:paraId="5217B3C6" w14:textId="77777777" w:rsidR="00BE61A1" w:rsidRPr="0085594F" w:rsidRDefault="00BE61A1" w:rsidP="000878F6">
            <w:pPr>
              <w:pStyle w:val="Table"/>
              <w:jc w:val="center"/>
              <w:rPr>
                <w:szCs w:val="20"/>
              </w:rPr>
            </w:pPr>
            <w:r w:rsidRPr="0085594F">
              <w:rPr>
                <w:rFonts w:ascii="Calibri" w:hAnsi="Calibri" w:cs="Calibri"/>
                <w:color w:val="000000"/>
                <w:szCs w:val="20"/>
              </w:rPr>
              <w:t>-35,76%</w:t>
            </w:r>
          </w:p>
        </w:tc>
        <w:tc>
          <w:tcPr>
            <w:tcW w:w="1115" w:type="dxa"/>
            <w:vAlign w:val="center"/>
          </w:tcPr>
          <w:p w14:paraId="72588C8B" w14:textId="77777777" w:rsidR="00BE61A1" w:rsidRPr="0085594F" w:rsidRDefault="00BE61A1" w:rsidP="000878F6">
            <w:pPr>
              <w:pStyle w:val="Table"/>
              <w:jc w:val="center"/>
              <w:rPr>
                <w:szCs w:val="20"/>
              </w:rPr>
            </w:pPr>
            <w:r w:rsidRPr="0085594F">
              <w:rPr>
                <w:rFonts w:ascii="Calibri" w:hAnsi="Calibri" w:cs="Calibri"/>
                <w:color w:val="000000"/>
                <w:szCs w:val="20"/>
              </w:rPr>
              <w:t>-35,76%</w:t>
            </w:r>
          </w:p>
        </w:tc>
        <w:tc>
          <w:tcPr>
            <w:tcW w:w="1022" w:type="dxa"/>
            <w:vAlign w:val="center"/>
          </w:tcPr>
          <w:p w14:paraId="4A1493A0" w14:textId="77777777" w:rsidR="00BE61A1" w:rsidRPr="0085594F" w:rsidRDefault="00BE61A1" w:rsidP="000878F6">
            <w:pPr>
              <w:pStyle w:val="Table"/>
              <w:jc w:val="center"/>
              <w:rPr>
                <w:szCs w:val="20"/>
              </w:rPr>
            </w:pPr>
            <w:r w:rsidRPr="0085594F">
              <w:rPr>
                <w:rFonts w:ascii="Calibri" w:hAnsi="Calibri" w:cs="Calibri"/>
                <w:color w:val="000000"/>
                <w:szCs w:val="20"/>
              </w:rPr>
              <w:t>2924,66</w:t>
            </w:r>
          </w:p>
        </w:tc>
        <w:tc>
          <w:tcPr>
            <w:tcW w:w="1208" w:type="dxa"/>
            <w:vAlign w:val="center"/>
          </w:tcPr>
          <w:p w14:paraId="127046F5" w14:textId="77777777" w:rsidR="00BE61A1" w:rsidRPr="0085594F" w:rsidRDefault="00BE61A1" w:rsidP="000878F6">
            <w:pPr>
              <w:pStyle w:val="Table"/>
              <w:jc w:val="center"/>
              <w:rPr>
                <w:szCs w:val="20"/>
              </w:rPr>
            </w:pPr>
            <w:r w:rsidRPr="0085594F">
              <w:rPr>
                <w:rFonts w:ascii="Calibri" w:hAnsi="Calibri" w:cs="Calibri"/>
                <w:color w:val="000000"/>
                <w:szCs w:val="20"/>
              </w:rPr>
              <w:t>2639,19</w:t>
            </w:r>
          </w:p>
        </w:tc>
        <w:tc>
          <w:tcPr>
            <w:tcW w:w="1051" w:type="dxa"/>
            <w:vAlign w:val="center"/>
          </w:tcPr>
          <w:p w14:paraId="785ED2B5" w14:textId="77777777" w:rsidR="00BE61A1" w:rsidRPr="0085594F" w:rsidRDefault="00BE61A1" w:rsidP="000878F6">
            <w:pPr>
              <w:pStyle w:val="Table"/>
              <w:jc w:val="center"/>
              <w:rPr>
                <w:szCs w:val="20"/>
              </w:rPr>
            </w:pPr>
            <w:r w:rsidRPr="0085594F">
              <w:rPr>
                <w:rFonts w:ascii="Calibri" w:hAnsi="Calibri" w:cs="Calibri"/>
                <w:color w:val="000000"/>
                <w:szCs w:val="20"/>
              </w:rPr>
              <w:t>54974,79%</w:t>
            </w:r>
          </w:p>
        </w:tc>
        <w:tc>
          <w:tcPr>
            <w:tcW w:w="1270" w:type="dxa"/>
            <w:vAlign w:val="center"/>
          </w:tcPr>
          <w:p w14:paraId="68C66250" w14:textId="77777777" w:rsidR="00BE61A1" w:rsidRPr="0085594F" w:rsidRDefault="00BE61A1" w:rsidP="000878F6">
            <w:pPr>
              <w:pStyle w:val="Table"/>
              <w:jc w:val="center"/>
              <w:rPr>
                <w:szCs w:val="20"/>
              </w:rPr>
            </w:pPr>
            <w:r w:rsidRPr="0085594F">
              <w:rPr>
                <w:rFonts w:ascii="Calibri" w:hAnsi="Calibri" w:cs="Calibri"/>
                <w:color w:val="000000"/>
                <w:szCs w:val="20"/>
              </w:rPr>
              <w:t>49608,90%</w:t>
            </w:r>
          </w:p>
        </w:tc>
      </w:tr>
      <w:tr w:rsidR="00BE61A1" w:rsidRPr="00022C08" w14:paraId="3DA6A369" w14:textId="77777777" w:rsidTr="00BA7936">
        <w:trPr>
          <w:trHeight w:val="247"/>
        </w:trPr>
        <w:tc>
          <w:tcPr>
            <w:tcW w:w="2230" w:type="dxa"/>
          </w:tcPr>
          <w:p w14:paraId="7C974E42" w14:textId="77777777" w:rsidR="00BE61A1" w:rsidRPr="00F501DA" w:rsidRDefault="00BE61A1" w:rsidP="000878F6">
            <w:pPr>
              <w:pStyle w:val="Table"/>
            </w:pPr>
            <w:r w:rsidRPr="005211C1">
              <w:t>Water Effluent</w:t>
            </w:r>
          </w:p>
        </w:tc>
        <w:tc>
          <w:tcPr>
            <w:tcW w:w="1115" w:type="dxa"/>
            <w:vAlign w:val="center"/>
          </w:tcPr>
          <w:p w14:paraId="53A22A98" w14:textId="77777777" w:rsidR="00BE61A1" w:rsidRPr="0085594F" w:rsidRDefault="00BE61A1" w:rsidP="000878F6">
            <w:pPr>
              <w:pStyle w:val="Table"/>
              <w:jc w:val="center"/>
              <w:rPr>
                <w:szCs w:val="20"/>
              </w:rPr>
            </w:pPr>
            <w:r w:rsidRPr="0085594F">
              <w:rPr>
                <w:rFonts w:ascii="Calibri" w:hAnsi="Calibri" w:cs="Calibri"/>
                <w:color w:val="000000"/>
                <w:szCs w:val="20"/>
              </w:rPr>
              <w:t>-9,09%</w:t>
            </w:r>
          </w:p>
        </w:tc>
        <w:tc>
          <w:tcPr>
            <w:tcW w:w="1115" w:type="dxa"/>
            <w:vAlign w:val="center"/>
          </w:tcPr>
          <w:p w14:paraId="0F48E35C" w14:textId="77777777" w:rsidR="00BE61A1" w:rsidRPr="0085594F" w:rsidRDefault="00BE61A1" w:rsidP="000878F6">
            <w:pPr>
              <w:pStyle w:val="Table"/>
              <w:jc w:val="center"/>
              <w:rPr>
                <w:szCs w:val="20"/>
              </w:rPr>
            </w:pPr>
            <w:r w:rsidRPr="0085594F">
              <w:rPr>
                <w:rFonts w:ascii="Calibri" w:hAnsi="Calibri" w:cs="Calibri"/>
                <w:color w:val="000000"/>
                <w:szCs w:val="20"/>
              </w:rPr>
              <w:t>-9,09%</w:t>
            </w:r>
          </w:p>
        </w:tc>
        <w:tc>
          <w:tcPr>
            <w:tcW w:w="1022" w:type="dxa"/>
            <w:vAlign w:val="center"/>
          </w:tcPr>
          <w:p w14:paraId="7A47079A" w14:textId="77777777" w:rsidR="00BE61A1" w:rsidRPr="0085594F" w:rsidRDefault="00BE61A1" w:rsidP="000878F6">
            <w:pPr>
              <w:pStyle w:val="Table"/>
              <w:jc w:val="center"/>
              <w:rPr>
                <w:szCs w:val="20"/>
              </w:rPr>
            </w:pPr>
            <w:r w:rsidRPr="0085594F">
              <w:rPr>
                <w:rFonts w:ascii="Calibri" w:hAnsi="Calibri" w:cs="Calibri"/>
                <w:color w:val="000000"/>
                <w:szCs w:val="20"/>
              </w:rPr>
              <w:t>681,32</w:t>
            </w:r>
          </w:p>
        </w:tc>
        <w:tc>
          <w:tcPr>
            <w:tcW w:w="1208" w:type="dxa"/>
            <w:vAlign w:val="center"/>
          </w:tcPr>
          <w:p w14:paraId="11FB8E38" w14:textId="77777777" w:rsidR="00BE61A1" w:rsidRPr="0085594F" w:rsidRDefault="00BE61A1" w:rsidP="000878F6">
            <w:pPr>
              <w:pStyle w:val="Table"/>
              <w:jc w:val="center"/>
              <w:rPr>
                <w:szCs w:val="20"/>
              </w:rPr>
            </w:pPr>
            <w:r w:rsidRPr="0085594F">
              <w:rPr>
                <w:rFonts w:ascii="Calibri" w:hAnsi="Calibri" w:cs="Calibri"/>
                <w:color w:val="000000"/>
                <w:szCs w:val="20"/>
              </w:rPr>
              <w:t>661,32</w:t>
            </w:r>
          </w:p>
        </w:tc>
        <w:tc>
          <w:tcPr>
            <w:tcW w:w="1051" w:type="dxa"/>
            <w:vAlign w:val="center"/>
          </w:tcPr>
          <w:p w14:paraId="7A8BA3C7" w14:textId="77777777" w:rsidR="00BE61A1" w:rsidRPr="0085594F" w:rsidRDefault="00BE61A1" w:rsidP="000878F6">
            <w:pPr>
              <w:pStyle w:val="Table"/>
              <w:jc w:val="center"/>
              <w:rPr>
                <w:szCs w:val="20"/>
              </w:rPr>
            </w:pPr>
            <w:r w:rsidRPr="0085594F">
              <w:rPr>
                <w:rFonts w:ascii="Calibri" w:hAnsi="Calibri" w:cs="Calibri"/>
                <w:color w:val="000000"/>
                <w:szCs w:val="20"/>
              </w:rPr>
              <w:t>12806,81%</w:t>
            </w:r>
          </w:p>
        </w:tc>
        <w:tc>
          <w:tcPr>
            <w:tcW w:w="1270" w:type="dxa"/>
            <w:vAlign w:val="center"/>
          </w:tcPr>
          <w:p w14:paraId="5A16F44A" w14:textId="77777777" w:rsidR="00BE61A1" w:rsidRPr="0085594F" w:rsidRDefault="00BE61A1" w:rsidP="000878F6">
            <w:pPr>
              <w:pStyle w:val="Table"/>
              <w:jc w:val="center"/>
              <w:rPr>
                <w:szCs w:val="20"/>
              </w:rPr>
            </w:pPr>
            <w:r w:rsidRPr="0085594F">
              <w:rPr>
                <w:rFonts w:ascii="Calibri" w:hAnsi="Calibri" w:cs="Calibri"/>
                <w:color w:val="000000"/>
                <w:szCs w:val="20"/>
              </w:rPr>
              <w:t>12430,83%</w:t>
            </w:r>
          </w:p>
        </w:tc>
      </w:tr>
      <w:tr w:rsidR="00BE61A1" w:rsidRPr="00022C08" w14:paraId="0707A56E" w14:textId="77777777" w:rsidTr="00BA7936">
        <w:trPr>
          <w:trHeight w:val="247"/>
        </w:trPr>
        <w:tc>
          <w:tcPr>
            <w:tcW w:w="2230" w:type="dxa"/>
          </w:tcPr>
          <w:p w14:paraId="3CD7B588" w14:textId="77777777" w:rsidR="00BE61A1" w:rsidRPr="005211C1" w:rsidRDefault="00BE61A1" w:rsidP="000878F6">
            <w:pPr>
              <w:pStyle w:val="Table"/>
            </w:pPr>
            <w:r w:rsidRPr="005211C1">
              <w:t>Minerals &amp; Aggregates</w:t>
            </w:r>
          </w:p>
        </w:tc>
        <w:tc>
          <w:tcPr>
            <w:tcW w:w="1115" w:type="dxa"/>
            <w:vAlign w:val="center"/>
          </w:tcPr>
          <w:p w14:paraId="3A5BF9B3" w14:textId="77777777" w:rsidR="00BE61A1" w:rsidRPr="0085594F" w:rsidRDefault="00BE61A1" w:rsidP="000878F6">
            <w:pPr>
              <w:pStyle w:val="Table"/>
              <w:jc w:val="center"/>
              <w:rPr>
                <w:szCs w:val="20"/>
              </w:rPr>
            </w:pPr>
            <w:r w:rsidRPr="0085594F">
              <w:rPr>
                <w:rFonts w:ascii="Calibri" w:hAnsi="Calibri" w:cs="Calibri"/>
                <w:color w:val="000000"/>
                <w:szCs w:val="20"/>
              </w:rPr>
              <w:t>-16,67%</w:t>
            </w:r>
          </w:p>
        </w:tc>
        <w:tc>
          <w:tcPr>
            <w:tcW w:w="1115" w:type="dxa"/>
            <w:vAlign w:val="center"/>
          </w:tcPr>
          <w:p w14:paraId="758712F4" w14:textId="77777777" w:rsidR="00BE61A1" w:rsidRPr="0085594F" w:rsidRDefault="00BE61A1" w:rsidP="000878F6">
            <w:pPr>
              <w:pStyle w:val="Table"/>
              <w:jc w:val="center"/>
              <w:rPr>
                <w:szCs w:val="20"/>
              </w:rPr>
            </w:pPr>
            <w:r w:rsidRPr="0085594F">
              <w:rPr>
                <w:rFonts w:ascii="Calibri" w:hAnsi="Calibri" w:cs="Calibri"/>
                <w:color w:val="000000"/>
                <w:szCs w:val="20"/>
              </w:rPr>
              <w:t>-16,67%</w:t>
            </w:r>
          </w:p>
        </w:tc>
        <w:tc>
          <w:tcPr>
            <w:tcW w:w="1022" w:type="dxa"/>
            <w:vAlign w:val="center"/>
          </w:tcPr>
          <w:p w14:paraId="59EF0D0E" w14:textId="77777777" w:rsidR="00BE61A1" w:rsidRPr="0085594F" w:rsidRDefault="00BE61A1" w:rsidP="000878F6">
            <w:pPr>
              <w:pStyle w:val="Table"/>
              <w:jc w:val="center"/>
              <w:rPr>
                <w:szCs w:val="20"/>
              </w:rPr>
            </w:pPr>
            <w:r w:rsidRPr="0085594F">
              <w:rPr>
                <w:rFonts w:ascii="Calibri" w:hAnsi="Calibri" w:cs="Calibri"/>
                <w:color w:val="000000"/>
                <w:szCs w:val="20"/>
              </w:rPr>
              <w:t>1297,41</w:t>
            </w:r>
          </w:p>
        </w:tc>
        <w:tc>
          <w:tcPr>
            <w:tcW w:w="1208" w:type="dxa"/>
            <w:vAlign w:val="center"/>
          </w:tcPr>
          <w:p w14:paraId="42D4BA03" w14:textId="77777777" w:rsidR="00BE61A1" w:rsidRPr="0085594F" w:rsidRDefault="00BE61A1" w:rsidP="000878F6">
            <w:pPr>
              <w:pStyle w:val="Table"/>
              <w:jc w:val="center"/>
              <w:rPr>
                <w:szCs w:val="20"/>
              </w:rPr>
            </w:pPr>
            <w:r w:rsidRPr="0085594F">
              <w:rPr>
                <w:rFonts w:ascii="Calibri" w:hAnsi="Calibri" w:cs="Calibri"/>
                <w:color w:val="000000"/>
                <w:szCs w:val="20"/>
              </w:rPr>
              <w:t>1542,86</w:t>
            </w:r>
          </w:p>
        </w:tc>
        <w:tc>
          <w:tcPr>
            <w:tcW w:w="1051" w:type="dxa"/>
            <w:vAlign w:val="center"/>
          </w:tcPr>
          <w:p w14:paraId="75F0DC74" w14:textId="77777777" w:rsidR="00BE61A1" w:rsidRPr="0085594F" w:rsidRDefault="00BE61A1" w:rsidP="000878F6">
            <w:pPr>
              <w:pStyle w:val="Table"/>
              <w:jc w:val="center"/>
              <w:rPr>
                <w:szCs w:val="20"/>
              </w:rPr>
            </w:pPr>
            <w:r w:rsidRPr="0085594F">
              <w:rPr>
                <w:rFonts w:ascii="Calibri" w:hAnsi="Calibri" w:cs="Calibri"/>
                <w:color w:val="000000"/>
                <w:szCs w:val="20"/>
              </w:rPr>
              <w:t>20431,62%</w:t>
            </w:r>
          </w:p>
        </w:tc>
        <w:tc>
          <w:tcPr>
            <w:tcW w:w="1270" w:type="dxa"/>
            <w:vAlign w:val="center"/>
          </w:tcPr>
          <w:p w14:paraId="34464667" w14:textId="77777777" w:rsidR="00BE61A1" w:rsidRPr="0085594F" w:rsidRDefault="00BE61A1" w:rsidP="000878F6">
            <w:pPr>
              <w:pStyle w:val="Table"/>
              <w:jc w:val="center"/>
              <w:rPr>
                <w:szCs w:val="20"/>
              </w:rPr>
            </w:pPr>
            <w:r w:rsidRPr="0085594F">
              <w:rPr>
                <w:rFonts w:ascii="Calibri" w:hAnsi="Calibri" w:cs="Calibri"/>
                <w:color w:val="000000"/>
                <w:szCs w:val="20"/>
              </w:rPr>
              <w:t>24296,95%</w:t>
            </w:r>
          </w:p>
        </w:tc>
      </w:tr>
    </w:tbl>
    <w:p w14:paraId="4B620F6D" w14:textId="77777777" w:rsidR="00BE61A1" w:rsidRDefault="00BE61A1" w:rsidP="00BE61A1">
      <w:pPr>
        <w:rPr>
          <w:lang w:eastAsia="en-GB"/>
        </w:rPr>
      </w:pP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115"/>
        <w:gridCol w:w="1115"/>
        <w:gridCol w:w="1022"/>
        <w:gridCol w:w="1208"/>
        <w:gridCol w:w="1051"/>
        <w:gridCol w:w="1270"/>
      </w:tblGrid>
      <w:tr w:rsidR="00BE61A1" w:rsidRPr="00574DD5" w14:paraId="12F2CFA2" w14:textId="77777777" w:rsidTr="00BA7936">
        <w:trPr>
          <w:trHeight w:val="269"/>
          <w:tblHeader/>
        </w:trPr>
        <w:tc>
          <w:tcPr>
            <w:tcW w:w="9011" w:type="dxa"/>
            <w:gridSpan w:val="7"/>
            <w:shd w:val="clear" w:color="auto" w:fill="003399"/>
          </w:tcPr>
          <w:p w14:paraId="0BF6B7B8" w14:textId="1A1A738C" w:rsidR="00BE61A1" w:rsidRPr="00574DD5" w:rsidRDefault="00BE61A1" w:rsidP="000878F6">
            <w:pPr>
              <w:pStyle w:val="Table"/>
              <w:rPr>
                <w:b/>
                <w:szCs w:val="20"/>
                <w:lang w:eastAsia="en-GB"/>
              </w:rPr>
            </w:pPr>
            <w:r w:rsidRPr="00574DD5">
              <w:rPr>
                <w:b/>
                <w:color w:val="FFFFFF" w:themeColor="background1"/>
                <w:szCs w:val="20"/>
              </w:rPr>
              <w:t xml:space="preserve">Table </w:t>
            </w:r>
            <w:r w:rsidR="00490085">
              <w:rPr>
                <w:b/>
                <w:bCs/>
                <w:color w:val="FFFFFF" w:themeColor="background1"/>
                <w:szCs w:val="20"/>
              </w:rPr>
              <w:t>A6</w:t>
            </w:r>
            <w:r w:rsidRPr="00574DD5">
              <w:rPr>
                <w:b/>
                <w:bCs/>
                <w:color w:val="FFFFFF" w:themeColor="background1"/>
                <w:szCs w:val="20"/>
              </w:rPr>
              <w:t>-</w:t>
            </w:r>
            <w:r w:rsidRPr="00574DD5">
              <w:rPr>
                <w:b/>
                <w:bCs/>
                <w:color w:val="FFFFFF" w:themeColor="background1"/>
                <w:szCs w:val="20"/>
              </w:rPr>
              <w:fldChar w:fldCharType="begin"/>
            </w:r>
            <w:r w:rsidRPr="00574DD5">
              <w:rPr>
                <w:b/>
                <w:bCs/>
                <w:color w:val="FFFFFF" w:themeColor="background1"/>
                <w:szCs w:val="20"/>
              </w:rPr>
              <w:instrText xml:space="preserve"> SEQ Table_A5- \* ARABIC </w:instrText>
            </w:r>
            <w:r w:rsidRPr="00574DD5">
              <w:rPr>
                <w:b/>
                <w:bCs/>
                <w:color w:val="FFFFFF" w:themeColor="background1"/>
                <w:szCs w:val="20"/>
              </w:rPr>
              <w:fldChar w:fldCharType="separate"/>
            </w:r>
            <w:r w:rsidRPr="00574DD5">
              <w:rPr>
                <w:b/>
                <w:bCs/>
                <w:noProof/>
                <w:color w:val="FFFFFF" w:themeColor="background1"/>
                <w:szCs w:val="20"/>
              </w:rPr>
              <w:t>105</w:t>
            </w:r>
            <w:r w:rsidRPr="00574DD5">
              <w:rPr>
                <w:b/>
                <w:bCs/>
                <w:color w:val="FFFFFF" w:themeColor="background1"/>
                <w:szCs w:val="20"/>
              </w:rPr>
              <w:fldChar w:fldCharType="end"/>
            </w:r>
            <w:r w:rsidRPr="00574DD5">
              <w:rPr>
                <w:b/>
                <w:bCs/>
                <w:color w:val="FFFFFF" w:themeColor="background1"/>
                <w:szCs w:val="20"/>
                <w:lang w:eastAsia="en-GB"/>
              </w:rPr>
              <w:t>:</w:t>
            </w:r>
            <w:r w:rsidRPr="00574DD5">
              <w:rPr>
                <w:b/>
                <w:color w:val="FFFFFF" w:themeColor="background1"/>
                <w:szCs w:val="20"/>
                <w:lang w:eastAsia="en-GB"/>
              </w:rPr>
              <w:t xml:space="preserve"> Environmental Impacts and Revenue Changes in Romania – Scenario B</w:t>
            </w:r>
          </w:p>
        </w:tc>
      </w:tr>
      <w:tr w:rsidR="00BE61A1" w:rsidRPr="00574DD5" w14:paraId="6A19110C" w14:textId="77777777" w:rsidTr="00BA7936">
        <w:trPr>
          <w:trHeight w:val="513"/>
          <w:tblHeader/>
        </w:trPr>
        <w:tc>
          <w:tcPr>
            <w:tcW w:w="2230" w:type="dxa"/>
          </w:tcPr>
          <w:p w14:paraId="08143FC3" w14:textId="77777777" w:rsidR="00BE61A1" w:rsidRPr="00574DD5" w:rsidRDefault="00BE61A1" w:rsidP="000878F6">
            <w:pPr>
              <w:pStyle w:val="Table"/>
              <w:rPr>
                <w:b/>
                <w:szCs w:val="20"/>
              </w:rPr>
            </w:pPr>
            <w:r w:rsidRPr="00574DD5">
              <w:rPr>
                <w:b/>
                <w:szCs w:val="20"/>
              </w:rPr>
              <w:t>Tax Name</w:t>
            </w:r>
          </w:p>
        </w:tc>
        <w:tc>
          <w:tcPr>
            <w:tcW w:w="2230" w:type="dxa"/>
            <w:gridSpan w:val="2"/>
            <w:vAlign w:val="bottom"/>
          </w:tcPr>
          <w:p w14:paraId="0BDEE160" w14:textId="77777777" w:rsidR="00BE61A1" w:rsidRPr="00574DD5" w:rsidRDefault="00BE61A1" w:rsidP="000878F6">
            <w:pPr>
              <w:pStyle w:val="Table"/>
              <w:jc w:val="center"/>
              <w:rPr>
                <w:b/>
                <w:szCs w:val="20"/>
              </w:rPr>
            </w:pPr>
            <w:r w:rsidRPr="00574DD5">
              <w:rPr>
                <w:rFonts w:ascii="Calibri" w:hAnsi="Calibri" w:cs="Calibri"/>
                <w:b/>
                <w:bCs/>
                <w:color w:val="000000"/>
                <w:szCs w:val="20"/>
              </w:rPr>
              <w:t>% Change in Quantities as % of taxed sector</w:t>
            </w:r>
          </w:p>
        </w:tc>
        <w:tc>
          <w:tcPr>
            <w:tcW w:w="2230" w:type="dxa"/>
            <w:gridSpan w:val="2"/>
            <w:vAlign w:val="bottom"/>
          </w:tcPr>
          <w:p w14:paraId="0078E8EF" w14:textId="77777777" w:rsidR="00BE61A1" w:rsidRPr="00574DD5" w:rsidRDefault="00BE61A1" w:rsidP="000878F6">
            <w:pPr>
              <w:pStyle w:val="Table"/>
              <w:jc w:val="center"/>
              <w:rPr>
                <w:b/>
                <w:szCs w:val="20"/>
              </w:rPr>
            </w:pPr>
            <w:r w:rsidRPr="00574DD5">
              <w:rPr>
                <w:rFonts w:ascii="Calibri" w:hAnsi="Calibri" w:cs="Calibri"/>
                <w:b/>
                <w:bCs/>
                <w:color w:val="000000"/>
                <w:szCs w:val="20"/>
              </w:rPr>
              <w:t>Change in Revenues (€Mn)</w:t>
            </w:r>
          </w:p>
        </w:tc>
        <w:tc>
          <w:tcPr>
            <w:tcW w:w="2321" w:type="dxa"/>
            <w:gridSpan w:val="2"/>
            <w:vAlign w:val="bottom"/>
          </w:tcPr>
          <w:p w14:paraId="398CD01F" w14:textId="77777777" w:rsidR="00BE61A1" w:rsidRPr="00574DD5" w:rsidRDefault="00BE61A1" w:rsidP="000878F6">
            <w:pPr>
              <w:pStyle w:val="Table"/>
              <w:jc w:val="center"/>
              <w:rPr>
                <w:b/>
                <w:szCs w:val="20"/>
              </w:rPr>
            </w:pPr>
            <w:r w:rsidRPr="00574DD5">
              <w:rPr>
                <w:rFonts w:ascii="Calibri" w:hAnsi="Calibri" w:cs="Calibri"/>
                <w:b/>
                <w:bCs/>
                <w:color w:val="000000"/>
                <w:szCs w:val="20"/>
              </w:rPr>
              <w:t>As % of 2023 Resource Tax</w:t>
            </w:r>
          </w:p>
        </w:tc>
      </w:tr>
      <w:tr w:rsidR="00BE61A1" w:rsidRPr="00574DD5" w14:paraId="0862E3C2" w14:textId="77777777" w:rsidTr="00BA7936">
        <w:trPr>
          <w:trHeight w:val="247"/>
        </w:trPr>
        <w:tc>
          <w:tcPr>
            <w:tcW w:w="2230" w:type="dxa"/>
          </w:tcPr>
          <w:p w14:paraId="5EAFF238" w14:textId="77777777" w:rsidR="00BE61A1" w:rsidRPr="00574DD5" w:rsidRDefault="00BE61A1" w:rsidP="000878F6">
            <w:pPr>
              <w:pStyle w:val="Table"/>
              <w:rPr>
                <w:b/>
                <w:szCs w:val="20"/>
              </w:rPr>
            </w:pPr>
            <w:r w:rsidRPr="00574DD5">
              <w:rPr>
                <w:b/>
                <w:szCs w:val="20"/>
              </w:rPr>
              <w:t>Year</w:t>
            </w:r>
          </w:p>
        </w:tc>
        <w:tc>
          <w:tcPr>
            <w:tcW w:w="1115" w:type="dxa"/>
          </w:tcPr>
          <w:p w14:paraId="1EEC27A9" w14:textId="77777777" w:rsidR="00BE61A1" w:rsidRPr="00574DD5" w:rsidRDefault="00BE61A1" w:rsidP="000878F6">
            <w:pPr>
              <w:pStyle w:val="Table"/>
              <w:jc w:val="center"/>
              <w:rPr>
                <w:b/>
                <w:szCs w:val="20"/>
              </w:rPr>
            </w:pPr>
            <w:r w:rsidRPr="00574DD5">
              <w:rPr>
                <w:b/>
                <w:szCs w:val="20"/>
              </w:rPr>
              <w:t>2030</w:t>
            </w:r>
          </w:p>
        </w:tc>
        <w:tc>
          <w:tcPr>
            <w:tcW w:w="1115" w:type="dxa"/>
          </w:tcPr>
          <w:p w14:paraId="64BA45A6" w14:textId="77777777" w:rsidR="00BE61A1" w:rsidRPr="00574DD5" w:rsidRDefault="00BE61A1" w:rsidP="000878F6">
            <w:pPr>
              <w:pStyle w:val="Table"/>
              <w:jc w:val="center"/>
              <w:rPr>
                <w:b/>
                <w:szCs w:val="20"/>
              </w:rPr>
            </w:pPr>
            <w:r w:rsidRPr="00574DD5">
              <w:rPr>
                <w:b/>
                <w:szCs w:val="20"/>
              </w:rPr>
              <w:t>2035</w:t>
            </w:r>
          </w:p>
        </w:tc>
        <w:tc>
          <w:tcPr>
            <w:tcW w:w="1022" w:type="dxa"/>
          </w:tcPr>
          <w:p w14:paraId="590EE78A" w14:textId="77777777" w:rsidR="00BE61A1" w:rsidRPr="00574DD5" w:rsidRDefault="00BE61A1" w:rsidP="000878F6">
            <w:pPr>
              <w:pStyle w:val="Table"/>
              <w:jc w:val="center"/>
              <w:rPr>
                <w:b/>
                <w:szCs w:val="20"/>
              </w:rPr>
            </w:pPr>
            <w:r w:rsidRPr="00574DD5">
              <w:rPr>
                <w:b/>
                <w:szCs w:val="20"/>
              </w:rPr>
              <w:t>2030</w:t>
            </w:r>
          </w:p>
        </w:tc>
        <w:tc>
          <w:tcPr>
            <w:tcW w:w="1208" w:type="dxa"/>
          </w:tcPr>
          <w:p w14:paraId="2BD58B1A" w14:textId="77777777" w:rsidR="00BE61A1" w:rsidRPr="00574DD5" w:rsidRDefault="00BE61A1" w:rsidP="000878F6">
            <w:pPr>
              <w:pStyle w:val="Table"/>
              <w:jc w:val="center"/>
              <w:rPr>
                <w:b/>
                <w:szCs w:val="20"/>
              </w:rPr>
            </w:pPr>
            <w:r w:rsidRPr="00574DD5">
              <w:rPr>
                <w:b/>
                <w:szCs w:val="20"/>
              </w:rPr>
              <w:t>2035</w:t>
            </w:r>
          </w:p>
        </w:tc>
        <w:tc>
          <w:tcPr>
            <w:tcW w:w="1051" w:type="dxa"/>
          </w:tcPr>
          <w:p w14:paraId="3A46227D" w14:textId="77777777" w:rsidR="00BE61A1" w:rsidRPr="00574DD5" w:rsidRDefault="00BE61A1" w:rsidP="000878F6">
            <w:pPr>
              <w:pStyle w:val="Table"/>
              <w:jc w:val="center"/>
              <w:rPr>
                <w:b/>
                <w:szCs w:val="20"/>
              </w:rPr>
            </w:pPr>
            <w:r w:rsidRPr="00574DD5">
              <w:rPr>
                <w:b/>
                <w:szCs w:val="20"/>
              </w:rPr>
              <w:t>2030</w:t>
            </w:r>
          </w:p>
        </w:tc>
        <w:tc>
          <w:tcPr>
            <w:tcW w:w="1270" w:type="dxa"/>
          </w:tcPr>
          <w:p w14:paraId="2FA5D82C" w14:textId="77777777" w:rsidR="00BE61A1" w:rsidRPr="00574DD5" w:rsidRDefault="00BE61A1" w:rsidP="000878F6">
            <w:pPr>
              <w:pStyle w:val="Table"/>
              <w:jc w:val="center"/>
              <w:rPr>
                <w:b/>
                <w:szCs w:val="20"/>
              </w:rPr>
            </w:pPr>
            <w:r w:rsidRPr="00574DD5">
              <w:rPr>
                <w:b/>
                <w:szCs w:val="20"/>
              </w:rPr>
              <w:t>2035</w:t>
            </w:r>
          </w:p>
        </w:tc>
      </w:tr>
      <w:tr w:rsidR="00BE61A1" w:rsidRPr="00574DD5" w14:paraId="4B802480" w14:textId="77777777" w:rsidTr="00BA7936">
        <w:trPr>
          <w:trHeight w:val="247"/>
        </w:trPr>
        <w:tc>
          <w:tcPr>
            <w:tcW w:w="2230" w:type="dxa"/>
          </w:tcPr>
          <w:p w14:paraId="54C83FCC" w14:textId="77777777" w:rsidR="00BE61A1" w:rsidRPr="00574DD5" w:rsidRDefault="00BE61A1" w:rsidP="000878F6">
            <w:pPr>
              <w:pStyle w:val="Table"/>
              <w:rPr>
                <w:szCs w:val="20"/>
              </w:rPr>
            </w:pPr>
            <w:r w:rsidRPr="00574DD5">
              <w:rPr>
                <w:szCs w:val="20"/>
              </w:rPr>
              <w:t>NOx</w:t>
            </w:r>
          </w:p>
        </w:tc>
        <w:tc>
          <w:tcPr>
            <w:tcW w:w="1115" w:type="dxa"/>
            <w:vAlign w:val="center"/>
          </w:tcPr>
          <w:p w14:paraId="21446966" w14:textId="77777777" w:rsidR="00BE61A1" w:rsidRPr="00574DD5" w:rsidRDefault="00BE61A1" w:rsidP="000878F6">
            <w:pPr>
              <w:pStyle w:val="Table"/>
              <w:jc w:val="center"/>
              <w:rPr>
                <w:szCs w:val="20"/>
              </w:rPr>
            </w:pPr>
            <w:r w:rsidRPr="00574DD5">
              <w:rPr>
                <w:rFonts w:ascii="Calibri" w:hAnsi="Calibri" w:cs="Calibri"/>
                <w:color w:val="000000"/>
                <w:szCs w:val="20"/>
              </w:rPr>
              <w:t>-7,39%</w:t>
            </w:r>
          </w:p>
        </w:tc>
        <w:tc>
          <w:tcPr>
            <w:tcW w:w="1115" w:type="dxa"/>
            <w:vAlign w:val="center"/>
          </w:tcPr>
          <w:p w14:paraId="588C444C" w14:textId="77777777" w:rsidR="00BE61A1" w:rsidRPr="00574DD5" w:rsidRDefault="00BE61A1" w:rsidP="000878F6">
            <w:pPr>
              <w:pStyle w:val="Table"/>
              <w:jc w:val="center"/>
              <w:rPr>
                <w:szCs w:val="20"/>
              </w:rPr>
            </w:pPr>
            <w:r w:rsidRPr="00574DD5">
              <w:rPr>
                <w:rFonts w:ascii="Calibri" w:hAnsi="Calibri" w:cs="Calibri"/>
                <w:color w:val="000000"/>
                <w:szCs w:val="20"/>
              </w:rPr>
              <w:t>-7,39%</w:t>
            </w:r>
          </w:p>
        </w:tc>
        <w:tc>
          <w:tcPr>
            <w:tcW w:w="1022" w:type="dxa"/>
            <w:vAlign w:val="center"/>
          </w:tcPr>
          <w:p w14:paraId="1824F413" w14:textId="77777777" w:rsidR="00BE61A1" w:rsidRPr="00574DD5" w:rsidRDefault="00BE61A1" w:rsidP="000878F6">
            <w:pPr>
              <w:pStyle w:val="Table"/>
              <w:jc w:val="center"/>
              <w:rPr>
                <w:szCs w:val="20"/>
              </w:rPr>
            </w:pPr>
            <w:r w:rsidRPr="00574DD5">
              <w:rPr>
                <w:rFonts w:ascii="Calibri" w:hAnsi="Calibri" w:cs="Calibri"/>
                <w:color w:val="000000"/>
                <w:szCs w:val="20"/>
              </w:rPr>
              <w:t>0,56</w:t>
            </w:r>
          </w:p>
        </w:tc>
        <w:tc>
          <w:tcPr>
            <w:tcW w:w="1208" w:type="dxa"/>
            <w:vAlign w:val="center"/>
          </w:tcPr>
          <w:p w14:paraId="5CB435EC" w14:textId="77777777" w:rsidR="00BE61A1" w:rsidRPr="00574DD5" w:rsidRDefault="00BE61A1" w:rsidP="000878F6">
            <w:pPr>
              <w:pStyle w:val="Table"/>
              <w:jc w:val="center"/>
              <w:rPr>
                <w:szCs w:val="20"/>
              </w:rPr>
            </w:pPr>
            <w:r w:rsidRPr="00574DD5">
              <w:rPr>
                <w:rFonts w:ascii="Calibri" w:hAnsi="Calibri" w:cs="Calibri"/>
                <w:color w:val="000000"/>
                <w:szCs w:val="20"/>
              </w:rPr>
              <w:t>0,45</w:t>
            </w:r>
          </w:p>
        </w:tc>
        <w:tc>
          <w:tcPr>
            <w:tcW w:w="1051" w:type="dxa"/>
            <w:vAlign w:val="center"/>
          </w:tcPr>
          <w:p w14:paraId="08858158" w14:textId="77777777" w:rsidR="00BE61A1" w:rsidRPr="00574DD5" w:rsidRDefault="00BE61A1" w:rsidP="000878F6">
            <w:pPr>
              <w:pStyle w:val="Table"/>
              <w:jc w:val="center"/>
              <w:rPr>
                <w:szCs w:val="20"/>
              </w:rPr>
            </w:pPr>
            <w:r w:rsidRPr="00574DD5">
              <w:rPr>
                <w:rFonts w:ascii="Calibri" w:hAnsi="Calibri" w:cs="Calibri"/>
                <w:color w:val="000000"/>
                <w:szCs w:val="20"/>
              </w:rPr>
              <w:t>10,5%</w:t>
            </w:r>
          </w:p>
        </w:tc>
        <w:tc>
          <w:tcPr>
            <w:tcW w:w="1270" w:type="dxa"/>
            <w:vAlign w:val="center"/>
          </w:tcPr>
          <w:p w14:paraId="04BFC1F2" w14:textId="77777777" w:rsidR="00BE61A1" w:rsidRPr="00574DD5" w:rsidRDefault="00BE61A1" w:rsidP="000878F6">
            <w:pPr>
              <w:pStyle w:val="Table"/>
              <w:jc w:val="center"/>
              <w:rPr>
                <w:szCs w:val="20"/>
              </w:rPr>
            </w:pPr>
            <w:r w:rsidRPr="00574DD5">
              <w:rPr>
                <w:rFonts w:ascii="Calibri" w:hAnsi="Calibri" w:cs="Calibri"/>
                <w:color w:val="000000"/>
                <w:szCs w:val="20"/>
              </w:rPr>
              <w:t>8,4%</w:t>
            </w:r>
          </w:p>
        </w:tc>
      </w:tr>
      <w:tr w:rsidR="00BE61A1" w:rsidRPr="00574DD5" w14:paraId="2A35CD38" w14:textId="77777777" w:rsidTr="00BA7936">
        <w:trPr>
          <w:trHeight w:val="247"/>
        </w:trPr>
        <w:tc>
          <w:tcPr>
            <w:tcW w:w="2230" w:type="dxa"/>
          </w:tcPr>
          <w:p w14:paraId="0E051633" w14:textId="77777777" w:rsidR="00BE61A1" w:rsidRPr="00574DD5" w:rsidRDefault="00BE61A1" w:rsidP="000878F6">
            <w:pPr>
              <w:pStyle w:val="Table"/>
              <w:rPr>
                <w:szCs w:val="20"/>
              </w:rPr>
            </w:pPr>
            <w:r w:rsidRPr="00574DD5">
              <w:rPr>
                <w:szCs w:val="20"/>
              </w:rPr>
              <w:t>SO2</w:t>
            </w:r>
          </w:p>
        </w:tc>
        <w:tc>
          <w:tcPr>
            <w:tcW w:w="1115" w:type="dxa"/>
            <w:vAlign w:val="center"/>
          </w:tcPr>
          <w:p w14:paraId="743151E1" w14:textId="77777777" w:rsidR="00BE61A1" w:rsidRPr="00574DD5" w:rsidRDefault="00BE61A1" w:rsidP="000878F6">
            <w:pPr>
              <w:pStyle w:val="Table"/>
              <w:jc w:val="center"/>
              <w:rPr>
                <w:szCs w:val="20"/>
              </w:rPr>
            </w:pPr>
            <w:r w:rsidRPr="00574DD5">
              <w:rPr>
                <w:rFonts w:ascii="Calibri" w:hAnsi="Calibri" w:cs="Calibri"/>
                <w:color w:val="000000"/>
                <w:szCs w:val="20"/>
              </w:rPr>
              <w:t>-8,11%</w:t>
            </w:r>
          </w:p>
        </w:tc>
        <w:tc>
          <w:tcPr>
            <w:tcW w:w="1115" w:type="dxa"/>
            <w:vAlign w:val="center"/>
          </w:tcPr>
          <w:p w14:paraId="231F1D26" w14:textId="77777777" w:rsidR="00BE61A1" w:rsidRPr="00574DD5" w:rsidRDefault="00BE61A1" w:rsidP="000878F6">
            <w:pPr>
              <w:pStyle w:val="Table"/>
              <w:jc w:val="center"/>
              <w:rPr>
                <w:szCs w:val="20"/>
              </w:rPr>
            </w:pPr>
            <w:r w:rsidRPr="00574DD5">
              <w:rPr>
                <w:rFonts w:ascii="Calibri" w:hAnsi="Calibri" w:cs="Calibri"/>
                <w:color w:val="000000"/>
                <w:szCs w:val="20"/>
              </w:rPr>
              <w:t>-8,11%</w:t>
            </w:r>
          </w:p>
        </w:tc>
        <w:tc>
          <w:tcPr>
            <w:tcW w:w="1022" w:type="dxa"/>
            <w:vAlign w:val="center"/>
          </w:tcPr>
          <w:p w14:paraId="7BAE10BE" w14:textId="77777777" w:rsidR="00BE61A1" w:rsidRPr="00574DD5" w:rsidRDefault="00BE61A1" w:rsidP="000878F6">
            <w:pPr>
              <w:pStyle w:val="Table"/>
              <w:jc w:val="center"/>
              <w:rPr>
                <w:szCs w:val="20"/>
              </w:rPr>
            </w:pPr>
            <w:r w:rsidRPr="00574DD5">
              <w:rPr>
                <w:rFonts w:ascii="Calibri" w:hAnsi="Calibri" w:cs="Calibri"/>
                <w:color w:val="000000"/>
                <w:szCs w:val="20"/>
              </w:rPr>
              <w:t>2,83</w:t>
            </w:r>
          </w:p>
        </w:tc>
        <w:tc>
          <w:tcPr>
            <w:tcW w:w="1208" w:type="dxa"/>
            <w:vAlign w:val="center"/>
          </w:tcPr>
          <w:p w14:paraId="5FC55656" w14:textId="77777777" w:rsidR="00BE61A1" w:rsidRPr="00574DD5" w:rsidRDefault="00BE61A1" w:rsidP="000878F6">
            <w:pPr>
              <w:pStyle w:val="Table"/>
              <w:jc w:val="center"/>
              <w:rPr>
                <w:szCs w:val="20"/>
              </w:rPr>
            </w:pPr>
            <w:r w:rsidRPr="00574DD5">
              <w:rPr>
                <w:rFonts w:ascii="Calibri" w:hAnsi="Calibri" w:cs="Calibri"/>
                <w:color w:val="000000"/>
                <w:szCs w:val="20"/>
              </w:rPr>
              <w:t>1,14</w:t>
            </w:r>
          </w:p>
        </w:tc>
        <w:tc>
          <w:tcPr>
            <w:tcW w:w="1051" w:type="dxa"/>
            <w:vAlign w:val="center"/>
          </w:tcPr>
          <w:p w14:paraId="308E111D" w14:textId="77777777" w:rsidR="00BE61A1" w:rsidRPr="00574DD5" w:rsidRDefault="00BE61A1" w:rsidP="000878F6">
            <w:pPr>
              <w:pStyle w:val="Table"/>
              <w:jc w:val="center"/>
              <w:rPr>
                <w:szCs w:val="20"/>
              </w:rPr>
            </w:pPr>
            <w:r w:rsidRPr="00574DD5">
              <w:rPr>
                <w:rFonts w:ascii="Calibri" w:hAnsi="Calibri" w:cs="Calibri"/>
                <w:color w:val="000000"/>
                <w:szCs w:val="20"/>
              </w:rPr>
              <w:t>53,3%</w:t>
            </w:r>
          </w:p>
        </w:tc>
        <w:tc>
          <w:tcPr>
            <w:tcW w:w="1270" w:type="dxa"/>
            <w:vAlign w:val="center"/>
          </w:tcPr>
          <w:p w14:paraId="55334047" w14:textId="77777777" w:rsidR="00BE61A1" w:rsidRPr="00574DD5" w:rsidRDefault="00BE61A1" w:rsidP="000878F6">
            <w:pPr>
              <w:pStyle w:val="Table"/>
              <w:jc w:val="center"/>
              <w:rPr>
                <w:szCs w:val="20"/>
              </w:rPr>
            </w:pPr>
            <w:r w:rsidRPr="00574DD5">
              <w:rPr>
                <w:rFonts w:ascii="Calibri" w:hAnsi="Calibri" w:cs="Calibri"/>
                <w:color w:val="000000"/>
                <w:szCs w:val="20"/>
              </w:rPr>
              <w:t>21,5%</w:t>
            </w:r>
          </w:p>
        </w:tc>
      </w:tr>
      <w:tr w:rsidR="00BE61A1" w:rsidRPr="00574DD5" w14:paraId="710AB029" w14:textId="77777777" w:rsidTr="00BA7936">
        <w:trPr>
          <w:trHeight w:val="247"/>
        </w:trPr>
        <w:tc>
          <w:tcPr>
            <w:tcW w:w="2230" w:type="dxa"/>
          </w:tcPr>
          <w:p w14:paraId="6D0EA69F" w14:textId="77777777" w:rsidR="00BE61A1" w:rsidRPr="00574DD5" w:rsidRDefault="00BE61A1" w:rsidP="000878F6">
            <w:pPr>
              <w:pStyle w:val="Table"/>
              <w:rPr>
                <w:szCs w:val="20"/>
              </w:rPr>
            </w:pPr>
            <w:r w:rsidRPr="00574DD5">
              <w:rPr>
                <w:szCs w:val="20"/>
              </w:rPr>
              <w:t>PM2.5</w:t>
            </w:r>
          </w:p>
        </w:tc>
        <w:tc>
          <w:tcPr>
            <w:tcW w:w="1115" w:type="dxa"/>
            <w:vAlign w:val="center"/>
          </w:tcPr>
          <w:p w14:paraId="661B1453" w14:textId="77777777" w:rsidR="00BE61A1" w:rsidRPr="00574DD5" w:rsidRDefault="00BE61A1" w:rsidP="000878F6">
            <w:pPr>
              <w:pStyle w:val="Table"/>
              <w:jc w:val="center"/>
              <w:rPr>
                <w:szCs w:val="20"/>
              </w:rPr>
            </w:pPr>
            <w:r w:rsidRPr="00574DD5">
              <w:rPr>
                <w:rFonts w:ascii="Calibri" w:hAnsi="Calibri" w:cs="Calibri"/>
                <w:color w:val="000000"/>
                <w:szCs w:val="20"/>
              </w:rPr>
              <w:t>-7,39%</w:t>
            </w:r>
          </w:p>
        </w:tc>
        <w:tc>
          <w:tcPr>
            <w:tcW w:w="1115" w:type="dxa"/>
            <w:vAlign w:val="center"/>
          </w:tcPr>
          <w:p w14:paraId="37E7AA04" w14:textId="77777777" w:rsidR="00BE61A1" w:rsidRPr="00574DD5" w:rsidRDefault="00BE61A1" w:rsidP="000878F6">
            <w:pPr>
              <w:pStyle w:val="Table"/>
              <w:jc w:val="center"/>
              <w:rPr>
                <w:szCs w:val="20"/>
              </w:rPr>
            </w:pPr>
            <w:r w:rsidRPr="00574DD5">
              <w:rPr>
                <w:rFonts w:ascii="Calibri" w:hAnsi="Calibri" w:cs="Calibri"/>
                <w:color w:val="000000"/>
                <w:szCs w:val="20"/>
              </w:rPr>
              <w:t>-7,39%</w:t>
            </w:r>
          </w:p>
        </w:tc>
        <w:tc>
          <w:tcPr>
            <w:tcW w:w="1022" w:type="dxa"/>
            <w:vAlign w:val="center"/>
          </w:tcPr>
          <w:p w14:paraId="4D722A94" w14:textId="77777777" w:rsidR="00BE61A1" w:rsidRPr="00574DD5" w:rsidRDefault="00BE61A1" w:rsidP="000878F6">
            <w:pPr>
              <w:pStyle w:val="Table"/>
              <w:jc w:val="center"/>
              <w:rPr>
                <w:szCs w:val="20"/>
              </w:rPr>
            </w:pPr>
            <w:r w:rsidRPr="00574DD5">
              <w:rPr>
                <w:rFonts w:ascii="Calibri" w:hAnsi="Calibri" w:cs="Calibri"/>
                <w:color w:val="000000"/>
                <w:szCs w:val="20"/>
              </w:rPr>
              <w:t>2,04</w:t>
            </w:r>
          </w:p>
        </w:tc>
        <w:tc>
          <w:tcPr>
            <w:tcW w:w="1208" w:type="dxa"/>
            <w:vAlign w:val="center"/>
          </w:tcPr>
          <w:p w14:paraId="2FD8426A" w14:textId="77777777" w:rsidR="00BE61A1" w:rsidRPr="00574DD5" w:rsidRDefault="00BE61A1" w:rsidP="000878F6">
            <w:pPr>
              <w:pStyle w:val="Table"/>
              <w:jc w:val="center"/>
              <w:rPr>
                <w:szCs w:val="20"/>
              </w:rPr>
            </w:pPr>
            <w:r w:rsidRPr="00574DD5">
              <w:rPr>
                <w:rFonts w:ascii="Calibri" w:hAnsi="Calibri" w:cs="Calibri"/>
                <w:color w:val="000000"/>
                <w:szCs w:val="20"/>
              </w:rPr>
              <w:t>1,63</w:t>
            </w:r>
          </w:p>
        </w:tc>
        <w:tc>
          <w:tcPr>
            <w:tcW w:w="1051" w:type="dxa"/>
            <w:vAlign w:val="center"/>
          </w:tcPr>
          <w:p w14:paraId="16789D66" w14:textId="77777777" w:rsidR="00BE61A1" w:rsidRPr="00574DD5" w:rsidRDefault="00BE61A1" w:rsidP="000878F6">
            <w:pPr>
              <w:pStyle w:val="Table"/>
              <w:jc w:val="center"/>
              <w:rPr>
                <w:szCs w:val="20"/>
              </w:rPr>
            </w:pPr>
            <w:r w:rsidRPr="00574DD5">
              <w:rPr>
                <w:rFonts w:ascii="Calibri" w:hAnsi="Calibri" w:cs="Calibri"/>
                <w:color w:val="000000"/>
                <w:szCs w:val="20"/>
              </w:rPr>
              <w:t>38,3%</w:t>
            </w:r>
          </w:p>
        </w:tc>
        <w:tc>
          <w:tcPr>
            <w:tcW w:w="1270" w:type="dxa"/>
            <w:vAlign w:val="center"/>
          </w:tcPr>
          <w:p w14:paraId="2C3B1112" w14:textId="77777777" w:rsidR="00BE61A1" w:rsidRPr="00574DD5" w:rsidRDefault="00BE61A1" w:rsidP="000878F6">
            <w:pPr>
              <w:pStyle w:val="Table"/>
              <w:jc w:val="center"/>
              <w:rPr>
                <w:szCs w:val="20"/>
              </w:rPr>
            </w:pPr>
            <w:r w:rsidRPr="00574DD5">
              <w:rPr>
                <w:rFonts w:ascii="Calibri" w:hAnsi="Calibri" w:cs="Calibri"/>
                <w:color w:val="000000"/>
                <w:szCs w:val="20"/>
              </w:rPr>
              <w:t>30,6%</w:t>
            </w:r>
          </w:p>
        </w:tc>
      </w:tr>
      <w:tr w:rsidR="00BE61A1" w:rsidRPr="00574DD5" w14:paraId="0A5E8974" w14:textId="77777777" w:rsidTr="00BA7936">
        <w:trPr>
          <w:trHeight w:val="247"/>
        </w:trPr>
        <w:tc>
          <w:tcPr>
            <w:tcW w:w="2230" w:type="dxa"/>
          </w:tcPr>
          <w:p w14:paraId="4214FFD1" w14:textId="77777777" w:rsidR="00BE61A1" w:rsidRPr="00574DD5" w:rsidRDefault="00BE61A1" w:rsidP="000878F6">
            <w:pPr>
              <w:pStyle w:val="Table"/>
              <w:rPr>
                <w:szCs w:val="20"/>
              </w:rPr>
            </w:pPr>
            <w:r w:rsidRPr="00574DD5">
              <w:rPr>
                <w:szCs w:val="20"/>
              </w:rPr>
              <w:t>Water Abstraction</w:t>
            </w:r>
          </w:p>
        </w:tc>
        <w:tc>
          <w:tcPr>
            <w:tcW w:w="1115" w:type="dxa"/>
            <w:vAlign w:val="center"/>
          </w:tcPr>
          <w:p w14:paraId="3AA6D68F" w14:textId="77777777" w:rsidR="00BE61A1" w:rsidRPr="00574DD5" w:rsidRDefault="00BE61A1" w:rsidP="000878F6">
            <w:pPr>
              <w:pStyle w:val="Table"/>
              <w:jc w:val="center"/>
              <w:rPr>
                <w:szCs w:val="20"/>
              </w:rPr>
            </w:pPr>
            <w:r w:rsidRPr="00574DD5">
              <w:rPr>
                <w:rFonts w:ascii="Calibri" w:hAnsi="Calibri" w:cs="Calibri"/>
                <w:color w:val="000000"/>
                <w:szCs w:val="20"/>
              </w:rPr>
              <w:t>-4,04%</w:t>
            </w:r>
          </w:p>
        </w:tc>
        <w:tc>
          <w:tcPr>
            <w:tcW w:w="1115" w:type="dxa"/>
            <w:vAlign w:val="center"/>
          </w:tcPr>
          <w:p w14:paraId="2D81F96D" w14:textId="77777777" w:rsidR="00BE61A1" w:rsidRPr="00574DD5" w:rsidRDefault="00BE61A1" w:rsidP="000878F6">
            <w:pPr>
              <w:pStyle w:val="Table"/>
              <w:jc w:val="center"/>
              <w:rPr>
                <w:szCs w:val="20"/>
              </w:rPr>
            </w:pPr>
            <w:r w:rsidRPr="00574DD5">
              <w:rPr>
                <w:rFonts w:ascii="Calibri" w:hAnsi="Calibri" w:cs="Calibri"/>
                <w:color w:val="000000"/>
                <w:szCs w:val="20"/>
              </w:rPr>
              <w:t>-4,04%</w:t>
            </w:r>
          </w:p>
        </w:tc>
        <w:tc>
          <w:tcPr>
            <w:tcW w:w="1022" w:type="dxa"/>
            <w:vAlign w:val="center"/>
          </w:tcPr>
          <w:p w14:paraId="6E4A9D64" w14:textId="77777777" w:rsidR="00BE61A1" w:rsidRPr="00574DD5" w:rsidRDefault="00BE61A1" w:rsidP="000878F6">
            <w:pPr>
              <w:pStyle w:val="Table"/>
              <w:jc w:val="center"/>
              <w:rPr>
                <w:szCs w:val="20"/>
              </w:rPr>
            </w:pPr>
            <w:r w:rsidRPr="00574DD5">
              <w:rPr>
                <w:rFonts w:ascii="Calibri" w:hAnsi="Calibri" w:cs="Calibri"/>
                <w:color w:val="000000"/>
                <w:szCs w:val="20"/>
              </w:rPr>
              <w:t>255,80</w:t>
            </w:r>
          </w:p>
        </w:tc>
        <w:tc>
          <w:tcPr>
            <w:tcW w:w="1208" w:type="dxa"/>
            <w:vAlign w:val="center"/>
          </w:tcPr>
          <w:p w14:paraId="3F84FA84" w14:textId="77777777" w:rsidR="00BE61A1" w:rsidRPr="00574DD5" w:rsidRDefault="00BE61A1" w:rsidP="000878F6">
            <w:pPr>
              <w:pStyle w:val="Table"/>
              <w:jc w:val="center"/>
              <w:rPr>
                <w:szCs w:val="20"/>
              </w:rPr>
            </w:pPr>
            <w:r w:rsidRPr="00574DD5">
              <w:rPr>
                <w:rFonts w:ascii="Calibri" w:hAnsi="Calibri" w:cs="Calibri"/>
                <w:color w:val="000000"/>
                <w:szCs w:val="20"/>
              </w:rPr>
              <w:t>291,95</w:t>
            </w:r>
          </w:p>
        </w:tc>
        <w:tc>
          <w:tcPr>
            <w:tcW w:w="1051" w:type="dxa"/>
            <w:vAlign w:val="center"/>
          </w:tcPr>
          <w:p w14:paraId="6B8B7716" w14:textId="77777777" w:rsidR="00BE61A1" w:rsidRPr="00574DD5" w:rsidRDefault="00BE61A1" w:rsidP="000878F6">
            <w:pPr>
              <w:pStyle w:val="Table"/>
              <w:jc w:val="center"/>
              <w:rPr>
                <w:szCs w:val="20"/>
              </w:rPr>
            </w:pPr>
            <w:r w:rsidRPr="00574DD5">
              <w:rPr>
                <w:rFonts w:ascii="Calibri" w:hAnsi="Calibri" w:cs="Calibri"/>
                <w:color w:val="000000"/>
                <w:szCs w:val="20"/>
              </w:rPr>
              <w:t>2193,8%</w:t>
            </w:r>
          </w:p>
        </w:tc>
        <w:tc>
          <w:tcPr>
            <w:tcW w:w="1270" w:type="dxa"/>
            <w:vAlign w:val="center"/>
          </w:tcPr>
          <w:p w14:paraId="60647EBA" w14:textId="77777777" w:rsidR="00BE61A1" w:rsidRPr="00574DD5" w:rsidRDefault="00BE61A1" w:rsidP="000878F6">
            <w:pPr>
              <w:pStyle w:val="Table"/>
              <w:jc w:val="center"/>
              <w:rPr>
                <w:szCs w:val="20"/>
              </w:rPr>
            </w:pPr>
            <w:r w:rsidRPr="00574DD5">
              <w:rPr>
                <w:rFonts w:ascii="Calibri" w:hAnsi="Calibri" w:cs="Calibri"/>
                <w:color w:val="000000"/>
                <w:szCs w:val="20"/>
              </w:rPr>
              <w:t>2503,8%</w:t>
            </w:r>
          </w:p>
        </w:tc>
      </w:tr>
      <w:tr w:rsidR="00BE61A1" w:rsidRPr="00574DD5" w14:paraId="721AC65E" w14:textId="77777777" w:rsidTr="00BA7936">
        <w:trPr>
          <w:trHeight w:val="265"/>
        </w:trPr>
        <w:tc>
          <w:tcPr>
            <w:tcW w:w="2230" w:type="dxa"/>
          </w:tcPr>
          <w:p w14:paraId="67CBDF7C" w14:textId="77777777" w:rsidR="00BE61A1" w:rsidRPr="00574DD5" w:rsidRDefault="00BE61A1" w:rsidP="000878F6">
            <w:pPr>
              <w:pStyle w:val="Table"/>
              <w:rPr>
                <w:szCs w:val="20"/>
              </w:rPr>
            </w:pPr>
            <w:r w:rsidRPr="00574DD5">
              <w:rPr>
                <w:szCs w:val="20"/>
              </w:rPr>
              <w:t>Fertilizers</w:t>
            </w:r>
          </w:p>
        </w:tc>
        <w:tc>
          <w:tcPr>
            <w:tcW w:w="1115" w:type="dxa"/>
            <w:vAlign w:val="center"/>
          </w:tcPr>
          <w:p w14:paraId="134988AB" w14:textId="77777777" w:rsidR="00BE61A1" w:rsidRPr="00574DD5" w:rsidRDefault="00BE61A1" w:rsidP="000878F6">
            <w:pPr>
              <w:pStyle w:val="Table"/>
              <w:jc w:val="center"/>
              <w:rPr>
                <w:szCs w:val="20"/>
              </w:rPr>
            </w:pPr>
            <w:r w:rsidRPr="00574DD5">
              <w:rPr>
                <w:rFonts w:ascii="Calibri" w:hAnsi="Calibri" w:cs="Calibri"/>
                <w:color w:val="000000"/>
                <w:szCs w:val="20"/>
              </w:rPr>
              <w:t>-3,00%</w:t>
            </w:r>
          </w:p>
        </w:tc>
        <w:tc>
          <w:tcPr>
            <w:tcW w:w="1115" w:type="dxa"/>
            <w:vAlign w:val="center"/>
          </w:tcPr>
          <w:p w14:paraId="070CBBD3" w14:textId="77777777" w:rsidR="00BE61A1" w:rsidRPr="00574DD5" w:rsidRDefault="00BE61A1" w:rsidP="000878F6">
            <w:pPr>
              <w:pStyle w:val="Table"/>
              <w:jc w:val="center"/>
              <w:rPr>
                <w:szCs w:val="20"/>
              </w:rPr>
            </w:pPr>
            <w:r w:rsidRPr="00574DD5">
              <w:rPr>
                <w:rFonts w:ascii="Calibri" w:hAnsi="Calibri" w:cs="Calibri"/>
                <w:color w:val="000000"/>
                <w:szCs w:val="20"/>
              </w:rPr>
              <w:t>-3,00%</w:t>
            </w:r>
          </w:p>
        </w:tc>
        <w:tc>
          <w:tcPr>
            <w:tcW w:w="1022" w:type="dxa"/>
            <w:vAlign w:val="center"/>
          </w:tcPr>
          <w:p w14:paraId="0E8E4DDF" w14:textId="77777777" w:rsidR="00BE61A1" w:rsidRPr="00574DD5" w:rsidRDefault="00BE61A1" w:rsidP="000878F6">
            <w:pPr>
              <w:pStyle w:val="Table"/>
              <w:jc w:val="center"/>
              <w:rPr>
                <w:szCs w:val="20"/>
              </w:rPr>
            </w:pPr>
            <w:r w:rsidRPr="00574DD5">
              <w:rPr>
                <w:rFonts w:ascii="Calibri" w:hAnsi="Calibri" w:cs="Calibri"/>
                <w:color w:val="000000"/>
                <w:szCs w:val="20"/>
              </w:rPr>
              <w:t>6,83</w:t>
            </w:r>
          </w:p>
        </w:tc>
        <w:tc>
          <w:tcPr>
            <w:tcW w:w="1208" w:type="dxa"/>
            <w:vAlign w:val="center"/>
          </w:tcPr>
          <w:p w14:paraId="044E0AAE" w14:textId="77777777" w:rsidR="00BE61A1" w:rsidRPr="00574DD5" w:rsidRDefault="00BE61A1" w:rsidP="000878F6">
            <w:pPr>
              <w:pStyle w:val="Table"/>
              <w:jc w:val="center"/>
              <w:rPr>
                <w:szCs w:val="20"/>
              </w:rPr>
            </w:pPr>
            <w:r w:rsidRPr="00574DD5">
              <w:rPr>
                <w:rFonts w:ascii="Calibri" w:hAnsi="Calibri" w:cs="Calibri"/>
                <w:color w:val="000000"/>
                <w:szCs w:val="20"/>
              </w:rPr>
              <w:t>8,02</w:t>
            </w:r>
          </w:p>
        </w:tc>
        <w:tc>
          <w:tcPr>
            <w:tcW w:w="1051" w:type="dxa"/>
            <w:vAlign w:val="center"/>
          </w:tcPr>
          <w:p w14:paraId="40FC5E32" w14:textId="77777777" w:rsidR="00BE61A1" w:rsidRPr="00574DD5" w:rsidRDefault="00BE61A1" w:rsidP="000878F6">
            <w:pPr>
              <w:pStyle w:val="Table"/>
              <w:jc w:val="center"/>
              <w:rPr>
                <w:szCs w:val="20"/>
              </w:rPr>
            </w:pPr>
            <w:r w:rsidRPr="00574DD5">
              <w:rPr>
                <w:rFonts w:ascii="Calibri" w:hAnsi="Calibri" w:cs="Calibri"/>
                <w:color w:val="000000"/>
                <w:szCs w:val="20"/>
              </w:rPr>
              <w:t>128,4%</w:t>
            </w:r>
          </w:p>
        </w:tc>
        <w:tc>
          <w:tcPr>
            <w:tcW w:w="1270" w:type="dxa"/>
            <w:vAlign w:val="center"/>
          </w:tcPr>
          <w:p w14:paraId="2CB68BB7" w14:textId="77777777" w:rsidR="00BE61A1" w:rsidRPr="00574DD5" w:rsidRDefault="00BE61A1" w:rsidP="000878F6">
            <w:pPr>
              <w:pStyle w:val="Table"/>
              <w:jc w:val="center"/>
              <w:rPr>
                <w:szCs w:val="20"/>
              </w:rPr>
            </w:pPr>
            <w:r w:rsidRPr="00574DD5">
              <w:rPr>
                <w:rFonts w:ascii="Calibri" w:hAnsi="Calibri" w:cs="Calibri"/>
                <w:color w:val="000000"/>
                <w:szCs w:val="20"/>
              </w:rPr>
              <w:t>150,7%</w:t>
            </w:r>
          </w:p>
        </w:tc>
      </w:tr>
      <w:tr w:rsidR="00BE61A1" w:rsidRPr="00574DD5" w14:paraId="23F49E2B" w14:textId="77777777" w:rsidTr="00BA7936">
        <w:trPr>
          <w:trHeight w:val="247"/>
        </w:trPr>
        <w:tc>
          <w:tcPr>
            <w:tcW w:w="2230" w:type="dxa"/>
          </w:tcPr>
          <w:p w14:paraId="0838EAA7" w14:textId="77777777" w:rsidR="00BE61A1" w:rsidRPr="00574DD5" w:rsidRDefault="00BE61A1" w:rsidP="000878F6">
            <w:pPr>
              <w:pStyle w:val="Table"/>
              <w:rPr>
                <w:szCs w:val="20"/>
              </w:rPr>
            </w:pPr>
            <w:r w:rsidRPr="00574DD5">
              <w:rPr>
                <w:szCs w:val="20"/>
              </w:rPr>
              <w:t>Pesticides</w:t>
            </w:r>
          </w:p>
        </w:tc>
        <w:tc>
          <w:tcPr>
            <w:tcW w:w="1115" w:type="dxa"/>
            <w:vAlign w:val="center"/>
          </w:tcPr>
          <w:p w14:paraId="0A8ECEBB" w14:textId="77777777" w:rsidR="00BE61A1" w:rsidRPr="00574DD5" w:rsidRDefault="00BE61A1" w:rsidP="000878F6">
            <w:pPr>
              <w:pStyle w:val="Table"/>
              <w:jc w:val="center"/>
              <w:rPr>
                <w:szCs w:val="20"/>
              </w:rPr>
            </w:pPr>
            <w:r w:rsidRPr="00574DD5">
              <w:rPr>
                <w:rFonts w:ascii="Calibri" w:hAnsi="Calibri" w:cs="Calibri"/>
                <w:color w:val="000000"/>
                <w:szCs w:val="20"/>
              </w:rPr>
              <w:t>n/a</w:t>
            </w:r>
          </w:p>
        </w:tc>
        <w:tc>
          <w:tcPr>
            <w:tcW w:w="1115" w:type="dxa"/>
            <w:vAlign w:val="center"/>
          </w:tcPr>
          <w:p w14:paraId="239D890B" w14:textId="77777777" w:rsidR="00BE61A1" w:rsidRPr="00574DD5" w:rsidRDefault="00BE61A1" w:rsidP="000878F6">
            <w:pPr>
              <w:pStyle w:val="Table"/>
              <w:jc w:val="center"/>
              <w:rPr>
                <w:szCs w:val="20"/>
              </w:rPr>
            </w:pPr>
            <w:r w:rsidRPr="00574DD5">
              <w:rPr>
                <w:rFonts w:ascii="Calibri" w:hAnsi="Calibri" w:cs="Calibri"/>
                <w:color w:val="000000"/>
                <w:szCs w:val="20"/>
              </w:rPr>
              <w:t>n/a</w:t>
            </w:r>
          </w:p>
        </w:tc>
        <w:tc>
          <w:tcPr>
            <w:tcW w:w="1022" w:type="dxa"/>
            <w:vAlign w:val="center"/>
          </w:tcPr>
          <w:p w14:paraId="6D9F2BCE" w14:textId="77777777" w:rsidR="00BE61A1" w:rsidRPr="00574DD5" w:rsidRDefault="00BE61A1" w:rsidP="000878F6">
            <w:pPr>
              <w:pStyle w:val="Table"/>
              <w:jc w:val="center"/>
              <w:rPr>
                <w:szCs w:val="20"/>
              </w:rPr>
            </w:pPr>
            <w:r w:rsidRPr="00574DD5">
              <w:rPr>
                <w:rFonts w:ascii="Calibri" w:hAnsi="Calibri" w:cs="Calibri"/>
                <w:color w:val="000000"/>
                <w:szCs w:val="20"/>
              </w:rPr>
              <w:t>13,97</w:t>
            </w:r>
          </w:p>
        </w:tc>
        <w:tc>
          <w:tcPr>
            <w:tcW w:w="1208" w:type="dxa"/>
            <w:vAlign w:val="center"/>
          </w:tcPr>
          <w:p w14:paraId="0E60829D" w14:textId="77777777" w:rsidR="00BE61A1" w:rsidRPr="00574DD5" w:rsidRDefault="00BE61A1" w:rsidP="000878F6">
            <w:pPr>
              <w:pStyle w:val="Table"/>
              <w:jc w:val="center"/>
              <w:rPr>
                <w:szCs w:val="20"/>
              </w:rPr>
            </w:pPr>
            <w:r w:rsidRPr="00574DD5">
              <w:rPr>
                <w:rFonts w:ascii="Calibri" w:hAnsi="Calibri" w:cs="Calibri"/>
                <w:color w:val="000000"/>
                <w:szCs w:val="20"/>
              </w:rPr>
              <w:t>13,94</w:t>
            </w:r>
          </w:p>
        </w:tc>
        <w:tc>
          <w:tcPr>
            <w:tcW w:w="1051" w:type="dxa"/>
            <w:vAlign w:val="center"/>
          </w:tcPr>
          <w:p w14:paraId="277F6F6B" w14:textId="77777777" w:rsidR="00BE61A1" w:rsidRPr="00574DD5" w:rsidRDefault="00BE61A1" w:rsidP="000878F6">
            <w:pPr>
              <w:pStyle w:val="Table"/>
              <w:jc w:val="center"/>
              <w:rPr>
                <w:szCs w:val="20"/>
              </w:rPr>
            </w:pPr>
            <w:r w:rsidRPr="00574DD5">
              <w:rPr>
                <w:rFonts w:ascii="Calibri" w:hAnsi="Calibri" w:cs="Calibri"/>
                <w:color w:val="000000"/>
                <w:szCs w:val="20"/>
              </w:rPr>
              <w:t>262,5%</w:t>
            </w:r>
          </w:p>
        </w:tc>
        <w:tc>
          <w:tcPr>
            <w:tcW w:w="1270" w:type="dxa"/>
            <w:vAlign w:val="center"/>
          </w:tcPr>
          <w:p w14:paraId="5EE2200E" w14:textId="77777777" w:rsidR="00BE61A1" w:rsidRPr="00574DD5" w:rsidRDefault="00BE61A1" w:rsidP="000878F6">
            <w:pPr>
              <w:pStyle w:val="Table"/>
              <w:jc w:val="center"/>
              <w:rPr>
                <w:szCs w:val="20"/>
              </w:rPr>
            </w:pPr>
            <w:r w:rsidRPr="00574DD5">
              <w:rPr>
                <w:rFonts w:ascii="Calibri" w:hAnsi="Calibri" w:cs="Calibri"/>
                <w:color w:val="000000"/>
                <w:szCs w:val="20"/>
              </w:rPr>
              <w:t>262,0%</w:t>
            </w:r>
          </w:p>
        </w:tc>
      </w:tr>
      <w:tr w:rsidR="00BE61A1" w:rsidRPr="00574DD5" w14:paraId="43ADE36D" w14:textId="77777777" w:rsidTr="00BA7936">
        <w:trPr>
          <w:trHeight w:val="247"/>
        </w:trPr>
        <w:tc>
          <w:tcPr>
            <w:tcW w:w="2230" w:type="dxa"/>
          </w:tcPr>
          <w:p w14:paraId="7A648C5E" w14:textId="77777777" w:rsidR="00BE61A1" w:rsidRPr="00574DD5" w:rsidRDefault="00BE61A1" w:rsidP="000878F6">
            <w:pPr>
              <w:pStyle w:val="Table"/>
              <w:rPr>
                <w:szCs w:val="20"/>
              </w:rPr>
            </w:pPr>
            <w:r w:rsidRPr="00574DD5">
              <w:rPr>
                <w:szCs w:val="20"/>
              </w:rPr>
              <w:t>Waste Incineration</w:t>
            </w:r>
          </w:p>
        </w:tc>
        <w:tc>
          <w:tcPr>
            <w:tcW w:w="1115" w:type="dxa"/>
            <w:vAlign w:val="center"/>
          </w:tcPr>
          <w:p w14:paraId="7E69ED8D" w14:textId="77777777" w:rsidR="00BE61A1" w:rsidRPr="00574DD5" w:rsidRDefault="00BE61A1" w:rsidP="000878F6">
            <w:pPr>
              <w:pStyle w:val="Table"/>
              <w:jc w:val="center"/>
              <w:rPr>
                <w:szCs w:val="20"/>
              </w:rPr>
            </w:pPr>
            <w:r w:rsidRPr="00574DD5">
              <w:rPr>
                <w:rFonts w:ascii="Calibri" w:hAnsi="Calibri" w:cs="Calibri"/>
                <w:color w:val="000000"/>
                <w:szCs w:val="20"/>
              </w:rPr>
              <w:t>-8,31%</w:t>
            </w:r>
          </w:p>
        </w:tc>
        <w:tc>
          <w:tcPr>
            <w:tcW w:w="1115" w:type="dxa"/>
            <w:vAlign w:val="center"/>
          </w:tcPr>
          <w:p w14:paraId="40CB40B8" w14:textId="77777777" w:rsidR="00BE61A1" w:rsidRPr="00574DD5" w:rsidRDefault="00BE61A1" w:rsidP="000878F6">
            <w:pPr>
              <w:pStyle w:val="Table"/>
              <w:jc w:val="center"/>
              <w:rPr>
                <w:szCs w:val="20"/>
              </w:rPr>
            </w:pPr>
            <w:r w:rsidRPr="00574DD5">
              <w:rPr>
                <w:rFonts w:ascii="Calibri" w:hAnsi="Calibri" w:cs="Calibri"/>
                <w:color w:val="000000"/>
                <w:szCs w:val="20"/>
              </w:rPr>
              <w:t>-8,31%</w:t>
            </w:r>
          </w:p>
        </w:tc>
        <w:tc>
          <w:tcPr>
            <w:tcW w:w="1022" w:type="dxa"/>
            <w:vAlign w:val="center"/>
          </w:tcPr>
          <w:p w14:paraId="507EAE7B" w14:textId="77777777" w:rsidR="00BE61A1" w:rsidRPr="00574DD5" w:rsidRDefault="00BE61A1" w:rsidP="000878F6">
            <w:pPr>
              <w:pStyle w:val="Table"/>
              <w:jc w:val="center"/>
              <w:rPr>
                <w:szCs w:val="20"/>
              </w:rPr>
            </w:pPr>
            <w:r w:rsidRPr="00574DD5">
              <w:rPr>
                <w:rFonts w:ascii="Calibri" w:hAnsi="Calibri" w:cs="Calibri"/>
                <w:color w:val="000000"/>
                <w:szCs w:val="20"/>
              </w:rPr>
              <w:t>2,66</w:t>
            </w:r>
          </w:p>
        </w:tc>
        <w:tc>
          <w:tcPr>
            <w:tcW w:w="1208" w:type="dxa"/>
            <w:vAlign w:val="center"/>
          </w:tcPr>
          <w:p w14:paraId="26F88425" w14:textId="77777777" w:rsidR="00BE61A1" w:rsidRPr="00574DD5" w:rsidRDefault="00BE61A1" w:rsidP="000878F6">
            <w:pPr>
              <w:pStyle w:val="Table"/>
              <w:jc w:val="center"/>
              <w:rPr>
                <w:szCs w:val="20"/>
              </w:rPr>
            </w:pPr>
            <w:r w:rsidRPr="00574DD5">
              <w:rPr>
                <w:rFonts w:ascii="Calibri" w:hAnsi="Calibri" w:cs="Calibri"/>
                <w:color w:val="000000"/>
                <w:szCs w:val="20"/>
              </w:rPr>
              <w:t>5,09</w:t>
            </w:r>
          </w:p>
        </w:tc>
        <w:tc>
          <w:tcPr>
            <w:tcW w:w="1051" w:type="dxa"/>
            <w:vAlign w:val="center"/>
          </w:tcPr>
          <w:p w14:paraId="26F242A7" w14:textId="77777777" w:rsidR="00BE61A1" w:rsidRPr="00574DD5" w:rsidRDefault="00BE61A1" w:rsidP="000878F6">
            <w:pPr>
              <w:pStyle w:val="Table"/>
              <w:jc w:val="center"/>
              <w:rPr>
                <w:szCs w:val="20"/>
              </w:rPr>
            </w:pPr>
            <w:r w:rsidRPr="00574DD5">
              <w:rPr>
                <w:rFonts w:ascii="Calibri" w:hAnsi="Calibri" w:cs="Calibri"/>
                <w:color w:val="000000"/>
                <w:szCs w:val="20"/>
              </w:rPr>
              <w:t>50,1%</w:t>
            </w:r>
          </w:p>
        </w:tc>
        <w:tc>
          <w:tcPr>
            <w:tcW w:w="1270" w:type="dxa"/>
            <w:vAlign w:val="center"/>
          </w:tcPr>
          <w:p w14:paraId="36F3D7E3" w14:textId="77777777" w:rsidR="00BE61A1" w:rsidRPr="00574DD5" w:rsidRDefault="00BE61A1" w:rsidP="000878F6">
            <w:pPr>
              <w:pStyle w:val="Table"/>
              <w:jc w:val="center"/>
              <w:rPr>
                <w:szCs w:val="20"/>
              </w:rPr>
            </w:pPr>
            <w:r w:rsidRPr="00574DD5">
              <w:rPr>
                <w:rFonts w:ascii="Calibri" w:hAnsi="Calibri" w:cs="Calibri"/>
                <w:color w:val="000000"/>
                <w:szCs w:val="20"/>
              </w:rPr>
              <w:t>95,7%</w:t>
            </w:r>
          </w:p>
        </w:tc>
      </w:tr>
      <w:tr w:rsidR="00BE61A1" w:rsidRPr="00574DD5" w14:paraId="430A8650" w14:textId="77777777" w:rsidTr="00BA7936">
        <w:trPr>
          <w:trHeight w:val="247"/>
        </w:trPr>
        <w:tc>
          <w:tcPr>
            <w:tcW w:w="2230" w:type="dxa"/>
          </w:tcPr>
          <w:p w14:paraId="00FA9CC6" w14:textId="77777777" w:rsidR="00BE61A1" w:rsidRPr="00574DD5" w:rsidRDefault="00BE61A1" w:rsidP="000878F6">
            <w:pPr>
              <w:pStyle w:val="Table"/>
              <w:rPr>
                <w:szCs w:val="20"/>
              </w:rPr>
            </w:pPr>
            <w:r w:rsidRPr="00574DD5">
              <w:rPr>
                <w:szCs w:val="20"/>
              </w:rPr>
              <w:t>Waste to Landfill</w:t>
            </w:r>
          </w:p>
        </w:tc>
        <w:tc>
          <w:tcPr>
            <w:tcW w:w="1115" w:type="dxa"/>
            <w:vAlign w:val="center"/>
          </w:tcPr>
          <w:p w14:paraId="295D190B" w14:textId="77777777" w:rsidR="00BE61A1" w:rsidRPr="00574DD5" w:rsidRDefault="00BE61A1" w:rsidP="000878F6">
            <w:pPr>
              <w:pStyle w:val="Table"/>
              <w:jc w:val="center"/>
              <w:rPr>
                <w:szCs w:val="20"/>
              </w:rPr>
            </w:pPr>
            <w:r w:rsidRPr="00574DD5">
              <w:rPr>
                <w:rFonts w:ascii="Calibri" w:hAnsi="Calibri" w:cs="Calibri"/>
                <w:color w:val="000000"/>
                <w:szCs w:val="20"/>
              </w:rPr>
              <w:t>-22,08%</w:t>
            </w:r>
          </w:p>
        </w:tc>
        <w:tc>
          <w:tcPr>
            <w:tcW w:w="1115" w:type="dxa"/>
            <w:vAlign w:val="center"/>
          </w:tcPr>
          <w:p w14:paraId="73968EEA" w14:textId="77777777" w:rsidR="00BE61A1" w:rsidRPr="00574DD5" w:rsidRDefault="00BE61A1" w:rsidP="000878F6">
            <w:pPr>
              <w:pStyle w:val="Table"/>
              <w:jc w:val="center"/>
              <w:rPr>
                <w:szCs w:val="20"/>
              </w:rPr>
            </w:pPr>
            <w:r w:rsidRPr="00574DD5">
              <w:rPr>
                <w:rFonts w:ascii="Calibri" w:hAnsi="Calibri" w:cs="Calibri"/>
                <w:color w:val="000000"/>
                <w:szCs w:val="20"/>
              </w:rPr>
              <w:t>-22,08%</w:t>
            </w:r>
          </w:p>
        </w:tc>
        <w:tc>
          <w:tcPr>
            <w:tcW w:w="1022" w:type="dxa"/>
            <w:vAlign w:val="center"/>
          </w:tcPr>
          <w:p w14:paraId="71F59D21" w14:textId="77777777" w:rsidR="00BE61A1" w:rsidRPr="00574DD5" w:rsidRDefault="00BE61A1" w:rsidP="000878F6">
            <w:pPr>
              <w:pStyle w:val="Table"/>
              <w:jc w:val="center"/>
              <w:rPr>
                <w:szCs w:val="20"/>
              </w:rPr>
            </w:pPr>
            <w:r w:rsidRPr="00574DD5">
              <w:rPr>
                <w:rFonts w:ascii="Calibri" w:hAnsi="Calibri" w:cs="Calibri"/>
                <w:color w:val="000000"/>
                <w:szCs w:val="20"/>
              </w:rPr>
              <w:t>1324,28</w:t>
            </w:r>
          </w:p>
        </w:tc>
        <w:tc>
          <w:tcPr>
            <w:tcW w:w="1208" w:type="dxa"/>
            <w:vAlign w:val="center"/>
          </w:tcPr>
          <w:p w14:paraId="7699F5A5" w14:textId="77777777" w:rsidR="00BE61A1" w:rsidRPr="00574DD5" w:rsidRDefault="00BE61A1" w:rsidP="000878F6">
            <w:pPr>
              <w:pStyle w:val="Table"/>
              <w:jc w:val="center"/>
              <w:rPr>
                <w:szCs w:val="20"/>
              </w:rPr>
            </w:pPr>
            <w:r w:rsidRPr="00574DD5">
              <w:rPr>
                <w:rFonts w:ascii="Calibri" w:hAnsi="Calibri" w:cs="Calibri"/>
                <w:color w:val="000000"/>
                <w:szCs w:val="20"/>
              </w:rPr>
              <w:t>1195,03</w:t>
            </w:r>
          </w:p>
        </w:tc>
        <w:tc>
          <w:tcPr>
            <w:tcW w:w="1051" w:type="dxa"/>
            <w:vAlign w:val="center"/>
          </w:tcPr>
          <w:p w14:paraId="0B71A21F" w14:textId="77777777" w:rsidR="00BE61A1" w:rsidRPr="00574DD5" w:rsidRDefault="00BE61A1" w:rsidP="000878F6">
            <w:pPr>
              <w:pStyle w:val="Table"/>
              <w:jc w:val="center"/>
              <w:rPr>
                <w:szCs w:val="20"/>
              </w:rPr>
            </w:pPr>
            <w:r w:rsidRPr="00574DD5">
              <w:rPr>
                <w:rFonts w:ascii="Calibri" w:hAnsi="Calibri" w:cs="Calibri"/>
                <w:color w:val="000000"/>
                <w:szCs w:val="20"/>
              </w:rPr>
              <w:t>24892,6%</w:t>
            </w:r>
          </w:p>
        </w:tc>
        <w:tc>
          <w:tcPr>
            <w:tcW w:w="1270" w:type="dxa"/>
            <w:vAlign w:val="center"/>
          </w:tcPr>
          <w:p w14:paraId="21653763" w14:textId="77777777" w:rsidR="00BE61A1" w:rsidRPr="00574DD5" w:rsidRDefault="00BE61A1" w:rsidP="000878F6">
            <w:pPr>
              <w:pStyle w:val="Table"/>
              <w:jc w:val="center"/>
              <w:rPr>
                <w:szCs w:val="20"/>
              </w:rPr>
            </w:pPr>
            <w:r w:rsidRPr="00574DD5">
              <w:rPr>
                <w:rFonts w:ascii="Calibri" w:hAnsi="Calibri" w:cs="Calibri"/>
                <w:color w:val="000000"/>
                <w:szCs w:val="20"/>
              </w:rPr>
              <w:t>22462,9%</w:t>
            </w:r>
          </w:p>
        </w:tc>
      </w:tr>
      <w:tr w:rsidR="00BE61A1" w:rsidRPr="00574DD5" w14:paraId="12C2D871" w14:textId="77777777" w:rsidTr="00BA7936">
        <w:trPr>
          <w:trHeight w:val="247"/>
        </w:trPr>
        <w:tc>
          <w:tcPr>
            <w:tcW w:w="2230" w:type="dxa"/>
          </w:tcPr>
          <w:p w14:paraId="05CF917E" w14:textId="77777777" w:rsidR="00BE61A1" w:rsidRPr="00574DD5" w:rsidRDefault="00BE61A1" w:rsidP="000878F6">
            <w:pPr>
              <w:pStyle w:val="Table"/>
              <w:rPr>
                <w:szCs w:val="20"/>
              </w:rPr>
            </w:pPr>
            <w:r w:rsidRPr="00574DD5">
              <w:rPr>
                <w:szCs w:val="20"/>
              </w:rPr>
              <w:t>Water Effluent</w:t>
            </w:r>
          </w:p>
        </w:tc>
        <w:tc>
          <w:tcPr>
            <w:tcW w:w="1115" w:type="dxa"/>
            <w:vAlign w:val="center"/>
          </w:tcPr>
          <w:p w14:paraId="070D4DDE" w14:textId="77777777" w:rsidR="00BE61A1" w:rsidRPr="00574DD5" w:rsidRDefault="00BE61A1" w:rsidP="000878F6">
            <w:pPr>
              <w:pStyle w:val="Table"/>
              <w:jc w:val="center"/>
              <w:rPr>
                <w:szCs w:val="20"/>
              </w:rPr>
            </w:pPr>
            <w:r w:rsidRPr="00574DD5">
              <w:rPr>
                <w:rFonts w:ascii="Calibri" w:hAnsi="Calibri" w:cs="Calibri"/>
                <w:color w:val="000000"/>
                <w:szCs w:val="20"/>
              </w:rPr>
              <w:t>-5,67%</w:t>
            </w:r>
          </w:p>
        </w:tc>
        <w:tc>
          <w:tcPr>
            <w:tcW w:w="1115" w:type="dxa"/>
            <w:vAlign w:val="center"/>
          </w:tcPr>
          <w:p w14:paraId="2470EEE1" w14:textId="77777777" w:rsidR="00BE61A1" w:rsidRPr="00574DD5" w:rsidRDefault="00BE61A1" w:rsidP="000878F6">
            <w:pPr>
              <w:pStyle w:val="Table"/>
              <w:jc w:val="center"/>
              <w:rPr>
                <w:szCs w:val="20"/>
              </w:rPr>
            </w:pPr>
            <w:r w:rsidRPr="00574DD5">
              <w:rPr>
                <w:rFonts w:ascii="Calibri" w:hAnsi="Calibri" w:cs="Calibri"/>
                <w:color w:val="000000"/>
                <w:szCs w:val="20"/>
              </w:rPr>
              <w:t>-5,67%</w:t>
            </w:r>
          </w:p>
        </w:tc>
        <w:tc>
          <w:tcPr>
            <w:tcW w:w="1022" w:type="dxa"/>
            <w:vAlign w:val="center"/>
          </w:tcPr>
          <w:p w14:paraId="1B88EE2E" w14:textId="77777777" w:rsidR="00BE61A1" w:rsidRPr="00574DD5" w:rsidRDefault="00BE61A1" w:rsidP="000878F6">
            <w:pPr>
              <w:pStyle w:val="Table"/>
              <w:jc w:val="center"/>
              <w:rPr>
                <w:szCs w:val="20"/>
              </w:rPr>
            </w:pPr>
            <w:r w:rsidRPr="00574DD5">
              <w:rPr>
                <w:rFonts w:ascii="Calibri" w:hAnsi="Calibri" w:cs="Calibri"/>
                <w:color w:val="000000"/>
                <w:szCs w:val="20"/>
              </w:rPr>
              <w:t>436,05</w:t>
            </w:r>
          </w:p>
        </w:tc>
        <w:tc>
          <w:tcPr>
            <w:tcW w:w="1208" w:type="dxa"/>
            <w:vAlign w:val="center"/>
          </w:tcPr>
          <w:p w14:paraId="6F261647" w14:textId="77777777" w:rsidR="00BE61A1" w:rsidRPr="00574DD5" w:rsidRDefault="00BE61A1" w:rsidP="000878F6">
            <w:pPr>
              <w:pStyle w:val="Table"/>
              <w:jc w:val="center"/>
              <w:rPr>
                <w:szCs w:val="20"/>
              </w:rPr>
            </w:pPr>
            <w:r w:rsidRPr="00574DD5">
              <w:rPr>
                <w:rFonts w:ascii="Calibri" w:hAnsi="Calibri" w:cs="Calibri"/>
                <w:color w:val="000000"/>
                <w:szCs w:val="20"/>
              </w:rPr>
              <w:t>423,25</w:t>
            </w:r>
          </w:p>
        </w:tc>
        <w:tc>
          <w:tcPr>
            <w:tcW w:w="1051" w:type="dxa"/>
            <w:vAlign w:val="center"/>
          </w:tcPr>
          <w:p w14:paraId="23318B25" w14:textId="77777777" w:rsidR="00BE61A1" w:rsidRPr="00574DD5" w:rsidRDefault="00BE61A1" w:rsidP="000878F6">
            <w:pPr>
              <w:pStyle w:val="Table"/>
              <w:jc w:val="center"/>
              <w:rPr>
                <w:szCs w:val="20"/>
              </w:rPr>
            </w:pPr>
            <w:r w:rsidRPr="00574DD5">
              <w:rPr>
                <w:rFonts w:ascii="Calibri" w:hAnsi="Calibri" w:cs="Calibri"/>
                <w:color w:val="000000"/>
                <w:szCs w:val="20"/>
              </w:rPr>
              <w:t>8196,4%</w:t>
            </w:r>
          </w:p>
        </w:tc>
        <w:tc>
          <w:tcPr>
            <w:tcW w:w="1270" w:type="dxa"/>
            <w:vAlign w:val="center"/>
          </w:tcPr>
          <w:p w14:paraId="3EB3CCC1" w14:textId="77777777" w:rsidR="00BE61A1" w:rsidRPr="00574DD5" w:rsidRDefault="00BE61A1" w:rsidP="000878F6">
            <w:pPr>
              <w:pStyle w:val="Table"/>
              <w:jc w:val="center"/>
              <w:rPr>
                <w:szCs w:val="20"/>
              </w:rPr>
            </w:pPr>
            <w:r w:rsidRPr="00574DD5">
              <w:rPr>
                <w:rFonts w:ascii="Calibri" w:hAnsi="Calibri" w:cs="Calibri"/>
                <w:color w:val="000000"/>
                <w:szCs w:val="20"/>
              </w:rPr>
              <w:t>7955,8%</w:t>
            </w:r>
          </w:p>
        </w:tc>
      </w:tr>
      <w:tr w:rsidR="00BE61A1" w:rsidRPr="00574DD5" w14:paraId="2CFEBE8E" w14:textId="77777777" w:rsidTr="00BA7936">
        <w:trPr>
          <w:trHeight w:val="247"/>
        </w:trPr>
        <w:tc>
          <w:tcPr>
            <w:tcW w:w="2230" w:type="dxa"/>
          </w:tcPr>
          <w:p w14:paraId="57F60FBC" w14:textId="77777777" w:rsidR="00BE61A1" w:rsidRPr="00574DD5" w:rsidRDefault="00BE61A1" w:rsidP="000878F6">
            <w:pPr>
              <w:pStyle w:val="Table"/>
              <w:rPr>
                <w:szCs w:val="20"/>
              </w:rPr>
            </w:pPr>
            <w:r w:rsidRPr="00574DD5">
              <w:rPr>
                <w:szCs w:val="20"/>
              </w:rPr>
              <w:t>Minerals &amp; Aggregates</w:t>
            </w:r>
          </w:p>
        </w:tc>
        <w:tc>
          <w:tcPr>
            <w:tcW w:w="1115" w:type="dxa"/>
            <w:vAlign w:val="center"/>
          </w:tcPr>
          <w:p w14:paraId="15C69157" w14:textId="77777777" w:rsidR="00BE61A1" w:rsidRPr="00574DD5" w:rsidRDefault="00BE61A1" w:rsidP="000878F6">
            <w:pPr>
              <w:pStyle w:val="Table"/>
              <w:jc w:val="center"/>
              <w:rPr>
                <w:szCs w:val="20"/>
              </w:rPr>
            </w:pPr>
            <w:r w:rsidRPr="00574DD5">
              <w:rPr>
                <w:rFonts w:ascii="Calibri" w:hAnsi="Calibri" w:cs="Calibri"/>
                <w:color w:val="000000"/>
                <w:szCs w:val="20"/>
              </w:rPr>
              <w:t>-5,02%</w:t>
            </w:r>
          </w:p>
        </w:tc>
        <w:tc>
          <w:tcPr>
            <w:tcW w:w="1115" w:type="dxa"/>
            <w:vAlign w:val="center"/>
          </w:tcPr>
          <w:p w14:paraId="7DC27B9C" w14:textId="77777777" w:rsidR="00BE61A1" w:rsidRPr="00574DD5" w:rsidRDefault="00BE61A1" w:rsidP="000878F6">
            <w:pPr>
              <w:pStyle w:val="Table"/>
              <w:jc w:val="center"/>
              <w:rPr>
                <w:szCs w:val="20"/>
              </w:rPr>
            </w:pPr>
            <w:r w:rsidRPr="00574DD5">
              <w:rPr>
                <w:rFonts w:ascii="Calibri" w:hAnsi="Calibri" w:cs="Calibri"/>
                <w:color w:val="000000"/>
                <w:szCs w:val="20"/>
              </w:rPr>
              <w:t>-5,02%</w:t>
            </w:r>
          </w:p>
        </w:tc>
        <w:tc>
          <w:tcPr>
            <w:tcW w:w="1022" w:type="dxa"/>
            <w:vAlign w:val="center"/>
          </w:tcPr>
          <w:p w14:paraId="290D1B0A" w14:textId="77777777" w:rsidR="00BE61A1" w:rsidRPr="00574DD5" w:rsidRDefault="00BE61A1" w:rsidP="000878F6">
            <w:pPr>
              <w:pStyle w:val="Table"/>
              <w:jc w:val="center"/>
              <w:rPr>
                <w:szCs w:val="20"/>
              </w:rPr>
            </w:pPr>
            <w:r w:rsidRPr="00574DD5">
              <w:rPr>
                <w:rFonts w:ascii="Calibri" w:hAnsi="Calibri" w:cs="Calibri"/>
                <w:color w:val="000000"/>
                <w:szCs w:val="20"/>
              </w:rPr>
              <w:t>264,06</w:t>
            </w:r>
          </w:p>
        </w:tc>
        <w:tc>
          <w:tcPr>
            <w:tcW w:w="1208" w:type="dxa"/>
            <w:vAlign w:val="center"/>
          </w:tcPr>
          <w:p w14:paraId="76D322C6" w14:textId="77777777" w:rsidR="00BE61A1" w:rsidRPr="00574DD5" w:rsidRDefault="00BE61A1" w:rsidP="000878F6">
            <w:pPr>
              <w:pStyle w:val="Table"/>
              <w:jc w:val="center"/>
              <w:rPr>
                <w:szCs w:val="20"/>
              </w:rPr>
            </w:pPr>
            <w:r w:rsidRPr="00574DD5">
              <w:rPr>
                <w:rFonts w:ascii="Calibri" w:hAnsi="Calibri" w:cs="Calibri"/>
                <w:color w:val="000000"/>
                <w:szCs w:val="20"/>
              </w:rPr>
              <w:t>314,01</w:t>
            </w:r>
          </w:p>
        </w:tc>
        <w:tc>
          <w:tcPr>
            <w:tcW w:w="1051" w:type="dxa"/>
            <w:vAlign w:val="center"/>
          </w:tcPr>
          <w:p w14:paraId="1CEA0576" w14:textId="77777777" w:rsidR="00BE61A1" w:rsidRPr="00574DD5" w:rsidRDefault="00BE61A1" w:rsidP="000878F6">
            <w:pPr>
              <w:pStyle w:val="Table"/>
              <w:jc w:val="center"/>
              <w:rPr>
                <w:szCs w:val="20"/>
              </w:rPr>
            </w:pPr>
            <w:r w:rsidRPr="00574DD5">
              <w:rPr>
                <w:rFonts w:ascii="Calibri" w:hAnsi="Calibri" w:cs="Calibri"/>
                <w:color w:val="000000"/>
                <w:szCs w:val="20"/>
              </w:rPr>
              <w:t>4158,4%</w:t>
            </w:r>
          </w:p>
        </w:tc>
        <w:tc>
          <w:tcPr>
            <w:tcW w:w="1270" w:type="dxa"/>
            <w:vAlign w:val="center"/>
          </w:tcPr>
          <w:p w14:paraId="58E03930" w14:textId="77777777" w:rsidR="00BE61A1" w:rsidRPr="00574DD5" w:rsidRDefault="00BE61A1" w:rsidP="000878F6">
            <w:pPr>
              <w:pStyle w:val="Table"/>
              <w:jc w:val="center"/>
              <w:rPr>
                <w:szCs w:val="20"/>
              </w:rPr>
            </w:pPr>
            <w:r w:rsidRPr="00574DD5">
              <w:rPr>
                <w:rFonts w:ascii="Calibri" w:hAnsi="Calibri" w:cs="Calibri"/>
                <w:color w:val="000000"/>
                <w:szCs w:val="20"/>
              </w:rPr>
              <w:t>4945,1%</w:t>
            </w:r>
          </w:p>
        </w:tc>
      </w:tr>
    </w:tbl>
    <w:p w14:paraId="4D70E810" w14:textId="77777777" w:rsidR="00BE61A1" w:rsidRPr="00BE61A1" w:rsidRDefault="00BE61A1" w:rsidP="00BE61A1"/>
    <w:p w14:paraId="752B7580" w14:textId="026806BD" w:rsidR="00BE61A1" w:rsidRPr="00BE61A1" w:rsidRDefault="00BE61A1" w:rsidP="00BE61A1">
      <w:r w:rsidRPr="00BE61A1">
        <w:t xml:space="preserve">The most significant environmental improvements are projected in </w:t>
      </w:r>
      <w:r w:rsidRPr="00BE61A1">
        <w:rPr>
          <w:b/>
          <w:bCs/>
        </w:rPr>
        <w:t>waste management</w:t>
      </w:r>
      <w:r w:rsidRPr="00BE61A1">
        <w:t xml:space="preserve"> and </w:t>
      </w:r>
      <w:r w:rsidRPr="00BE61A1">
        <w:rPr>
          <w:b/>
          <w:bCs/>
        </w:rPr>
        <w:t>water quality</w:t>
      </w:r>
      <w:r w:rsidRPr="00BE61A1">
        <w:t xml:space="preserve">, two areas where Romania continues to face major compliance challenges under EU directives. A strengthened </w:t>
      </w:r>
      <w:r w:rsidRPr="00BE61A1">
        <w:rPr>
          <w:b/>
          <w:bCs/>
        </w:rPr>
        <w:t>landfill tax</w:t>
      </w:r>
      <w:r>
        <w:t xml:space="preserve">, </w:t>
      </w:r>
      <w:r w:rsidRPr="00BE61A1">
        <w:t>set at the benchmark rate of €65 per tonne</w:t>
      </w:r>
      <w:r>
        <w:t xml:space="preserve">, </w:t>
      </w:r>
      <w:r w:rsidRPr="00BE61A1">
        <w:t xml:space="preserve">could reduce the amount of waste sent to landfill by more than 30 per cent by 2030. This would represent one of the largest reductions among EU Member States, reflecting both the scale of the current challenge and the sensitivity of disposal behaviour to price signals. Higher landfill charges would also encourage investment in sorting, composting, and recycling infrastructure, helping Romania to close the gap towards EU waste targets. A complementary </w:t>
      </w:r>
      <w:r w:rsidRPr="00BE61A1">
        <w:rPr>
          <w:b/>
          <w:bCs/>
        </w:rPr>
        <w:t>incineration tax</w:t>
      </w:r>
      <w:r w:rsidRPr="00BE61A1">
        <w:t>, set at €15 per tonne, could prevent the diversion of waste from landfill to incineration and reinforce the waste hierarchy.</w:t>
      </w:r>
    </w:p>
    <w:p w14:paraId="1946BF82" w14:textId="6BD73A0E" w:rsidR="00BE61A1" w:rsidRPr="00BE61A1" w:rsidRDefault="00BE61A1" w:rsidP="00BE61A1">
      <w:r w:rsidRPr="00BE61A1">
        <w:t xml:space="preserve">In the </w:t>
      </w:r>
      <w:r w:rsidRPr="00BE61A1">
        <w:rPr>
          <w:b/>
          <w:bCs/>
        </w:rPr>
        <w:t>water sector</w:t>
      </w:r>
      <w:r w:rsidRPr="00BE61A1">
        <w:t xml:space="preserve">, Romania applies modest charges for abstraction and discharges, but these are far below levels that would internalise environmental costs or support the full cost-recovery principle under the Water Framework Directive. The modelling suggests that applying benchmark </w:t>
      </w:r>
      <w:r w:rsidRPr="00BE61A1">
        <w:rPr>
          <w:b/>
          <w:bCs/>
        </w:rPr>
        <w:t>water abstraction and wastewater taxes</w:t>
      </w:r>
      <w:r w:rsidRPr="00BE61A1">
        <w:t xml:space="preserve"> could reduce abstraction by about 20 per cent and organic pollutant loads (BOD₅) by roughly 16 per cent by 2030. These reforms would also generate significant fiscal gains, accounting for nearly 60 per cent of all new revenues under Scenario A. The benefits would be particularly relevant for the Danube and Black Sea basins, where nutrient and chemical pollution remain critical issues. A phased introduction of higher rates, accompanied by reinvestment of part of the revenues into water treatment infrastructure and monitoring systems, would enhance administrative feasibility and political acceptability.</w:t>
      </w:r>
    </w:p>
    <w:p w14:paraId="5091DFB1" w14:textId="495496D0" w:rsidR="00BE61A1" w:rsidRPr="00BE61A1" w:rsidRDefault="00BE61A1" w:rsidP="00BE61A1">
      <w:r w:rsidRPr="00BE61A1">
        <w:lastRenderedPageBreak/>
        <w:t xml:space="preserve">Romania’s </w:t>
      </w:r>
      <w:r w:rsidRPr="00BE61A1">
        <w:rPr>
          <w:b/>
          <w:bCs/>
        </w:rPr>
        <w:t>agricultural sector</w:t>
      </w:r>
      <w:r w:rsidRPr="00BE61A1">
        <w:t xml:space="preserve"> also presents major opportunities for environmental fiscal reform. The country has one of the highest shares of agricultural land in the EU but low uptake of precision-farming and nutrient-management practices. Introducing a </w:t>
      </w:r>
      <w:r w:rsidRPr="00BE61A1">
        <w:rPr>
          <w:b/>
          <w:bCs/>
        </w:rPr>
        <w:t>fertiliser tax</w:t>
      </w:r>
      <w:r w:rsidRPr="00BE61A1">
        <w:t xml:space="preserve"> (at €0.30 per kilogram of nitrogen) and a </w:t>
      </w:r>
      <w:r w:rsidRPr="00BE61A1">
        <w:rPr>
          <w:b/>
          <w:bCs/>
        </w:rPr>
        <w:t>pesticide tax</w:t>
      </w:r>
      <w:r w:rsidRPr="00BE61A1">
        <w:t xml:space="preserve"> (€5 per kilogram of active ingredient, differentiated by toxicity) could reduce fertiliser and pesticide use by an estimated 12</w:t>
      </w:r>
      <w:r>
        <w:t>-</w:t>
      </w:r>
      <w:r w:rsidRPr="00BE61A1">
        <w:t>15 per cent and 10</w:t>
      </w:r>
      <w:r>
        <w:t>-</w:t>
      </w:r>
      <w:r w:rsidRPr="00BE61A1">
        <w:t>12 per cent respectively. The environmental gains would include lower nitrate and pesticide concentrations in groundwater, improved soil quality, and reduced eutrophication in the Danube Delta. To protect farmers’ incomes and productivity, these taxes should be phased in gradually and accompanied by targeted support</w:t>
      </w:r>
      <w:r>
        <w:t xml:space="preserve">, </w:t>
      </w:r>
      <w:r w:rsidRPr="00BE61A1">
        <w:t>such as co-financing for precision-application equipment, advisory services, and access to sustainable alternatives.</w:t>
      </w:r>
    </w:p>
    <w:p w14:paraId="27AB3828" w14:textId="4D2A91A3" w:rsidR="00BE61A1" w:rsidRPr="00BE61A1" w:rsidRDefault="00BE61A1" w:rsidP="00BE61A1">
      <w:r w:rsidRPr="00BE61A1">
        <w:t xml:space="preserve">A </w:t>
      </w:r>
      <w:r w:rsidRPr="00BE61A1">
        <w:rPr>
          <w:b/>
          <w:bCs/>
        </w:rPr>
        <w:t>mineral extraction tax</w:t>
      </w:r>
      <w:r w:rsidRPr="00BE61A1">
        <w:t xml:space="preserve"> on sand, gravel and limestone at the benchmark rate of €3.12 per tonne could also deliver significant benefits. Romania’s construction materials sector is among the most resource-intensive in the EU, and the introduction of such a tax could reduce extraction volumes by around 17 per cent while generating revenues exceeding €250 million annually. Combined with circular-economy incentives for recycled aggregates, this would contribute to more sustainable material use and reduced environmental degradation.</w:t>
      </w:r>
    </w:p>
    <w:p w14:paraId="0D529D2B" w14:textId="7521FF84" w:rsidR="00BE61A1" w:rsidRPr="00BE61A1" w:rsidRDefault="00BE61A1" w:rsidP="00BE61A1">
      <w:r w:rsidRPr="00BE61A1">
        <w:t>The fiscal impacts of these reforms would be substantial but manageable. The largest revenue gains would derive from water and waste-related instruments, with additional contributions from product and resource-based taxes. The new revenues could support national environmental priorities, including the upgrading of waste treatment facilities, expansion of wastewater networks, and the decarbonisation of industrial and agricultural practices. Revenue recycling could also help offset distributional effects by funding lower social security contributions for low-income households and SMEs, or by supporting regional development in less affluent areas.</w:t>
      </w:r>
    </w:p>
    <w:p w14:paraId="6109B294" w14:textId="48148A96" w:rsidR="00BE61A1" w:rsidRPr="00BE61A1" w:rsidRDefault="00BE61A1" w:rsidP="00BE61A1">
      <w:r w:rsidRPr="00BE61A1">
        <w:t xml:space="preserve">In terms of </w:t>
      </w:r>
      <w:r w:rsidRPr="00BE61A1">
        <w:rPr>
          <w:b/>
          <w:bCs/>
        </w:rPr>
        <w:t>administrative feasibility</w:t>
      </w:r>
      <w:r w:rsidRPr="00BE61A1">
        <w:t>, Romania faces some implementation challenges due to institutional fragmentation and limited enforcement capacity at local level. However, existing structures</w:t>
      </w:r>
      <w:r>
        <w:t xml:space="preserve">, </w:t>
      </w:r>
      <w:r w:rsidRPr="00BE61A1">
        <w:t>such as the National Environmental Protection Agency (NEPA), the Water Administration “Apele Române”, and county-level environmental agencies</w:t>
      </w:r>
      <w:r>
        <w:t xml:space="preserve">, </w:t>
      </w:r>
      <w:r w:rsidRPr="00BE61A1">
        <w:t>provide an adequate foundation for expansion, provided that coordination and monitoring systems are strengthened. Developing a digital registry for pollution and resource-use data would enhance compliance, transparency, and efficiency.</w:t>
      </w:r>
    </w:p>
    <w:p w14:paraId="524189B8" w14:textId="3ABCEB56" w:rsidR="00BE61A1" w:rsidRPr="00BE61A1" w:rsidRDefault="00BE61A1" w:rsidP="00BE61A1">
      <w:r w:rsidRPr="00BE61A1">
        <w:rPr>
          <w:b/>
          <w:bCs/>
        </w:rPr>
        <w:t>Distributional and competitiveness impacts</w:t>
      </w:r>
      <w:r w:rsidRPr="00BE61A1">
        <w:t xml:space="preserve"> are expected to be modest overall, but certain sectors</w:t>
      </w:r>
      <w:r>
        <w:t xml:space="preserve">, </w:t>
      </w:r>
      <w:r w:rsidRPr="00BE61A1">
        <w:t>particularly agriculture, construction materials, and energy-intensive manufacturing</w:t>
      </w:r>
      <w:r>
        <w:t xml:space="preserve">, </w:t>
      </w:r>
      <w:r w:rsidRPr="00BE61A1">
        <w:t>would bear the main cost increases. These can be mitigated through phased implementation, investment support, and technology incentives. For households, direct impacts are likely to be limited, but as higher landfill and wastewater charges could translate into higher service tariffs, accompanying social measures such as income-based rebates or progressive tariff structures would help maintain affordability.</w:t>
      </w:r>
    </w:p>
    <w:p w14:paraId="2943C38E" w14:textId="387349E4" w:rsidR="00BE61A1" w:rsidRPr="00BE61A1" w:rsidRDefault="00BE61A1" w:rsidP="00BE61A1">
      <w:r w:rsidRPr="00BE61A1">
        <w:t>Political feasibility remains the key challenge. Past attempts to raise landfill fees and water charges met with resistance due to concerns about affordability and regional disparities. Successful implementation will require broad stakeholder engagement, clear communication of environmental and fiscal benefits, and visible reinvestment of revenues in environmental infrastructure. Public acceptance would also increase if revenues are transparently earmarked for tangible local improvements</w:t>
      </w:r>
      <w:r>
        <w:t xml:space="preserve">, </w:t>
      </w:r>
      <w:r w:rsidRPr="00BE61A1">
        <w:t>such as cleaner rivers, upgraded waste facilities, or subsidies for water-efficient technologies.</w:t>
      </w:r>
    </w:p>
    <w:p w14:paraId="6AF3DAC9" w14:textId="44BC0B53" w:rsidR="0085594F" w:rsidRPr="00A75CA3" w:rsidRDefault="00BE61A1" w:rsidP="003873EE">
      <w:r w:rsidRPr="00BE61A1">
        <w:t xml:space="preserve">In summary, Romania has exceptionally high potential to expand environmental taxation in a way that delivers both strong environmental outcomes and significant fiscal benefits. The most promising measures include raising landfill and wastewater taxes, introducing abstraction charges aligned with environmental costs, and implementing fertiliser, pesticide and mineral extraction taxes. With gradual </w:t>
      </w:r>
      <w:r w:rsidRPr="00BE61A1">
        <w:lastRenderedPageBreak/>
        <w:t>implementation, clear communication, and well-designed revenue recycling, Romania could use environmental taxation as a cornerstone of its transition towards sustainable resource use, compliance with EU environmental law, and greater fiscal resilience.</w:t>
      </w:r>
    </w:p>
    <w:p w14:paraId="0E1AAB6A" w14:textId="77777777" w:rsidR="002435CD" w:rsidRPr="00EA4C9B" w:rsidRDefault="002435CD" w:rsidP="00BE61A1">
      <w:pPr>
        <w:pStyle w:val="AnnexHeading1"/>
        <w:ind w:hanging="1211"/>
      </w:pPr>
      <w:bookmarkStart w:id="296" w:name="_Toc214008943"/>
      <w:r w:rsidRPr="00EA4C9B">
        <w:t>Slovakia</w:t>
      </w:r>
      <w:bookmarkEnd w:id="296"/>
    </w:p>
    <w:p w14:paraId="302EBAC1" w14:textId="77777777" w:rsidR="002435CD" w:rsidRPr="00EA4C9B" w:rsidRDefault="002435CD" w:rsidP="007C4EB7">
      <w:pPr>
        <w:pStyle w:val="AnnexHeading2"/>
      </w:pPr>
      <w:bookmarkStart w:id="297" w:name="_Toc214008944"/>
      <w:r w:rsidRPr="00EA4C9B">
        <w:t>Overview of existing environmental taxes</w:t>
      </w:r>
      <w:bookmarkEnd w:id="297"/>
    </w:p>
    <w:p w14:paraId="0BBF4F44" w14:textId="77CD8199" w:rsidR="002435CD" w:rsidRPr="00EA4C9B" w:rsidRDefault="0083598E" w:rsidP="002435CD">
      <w:r w:rsidRPr="0083598E">
        <w:t>Environmental taxes in Slovakia amounted to 2.0% of GDP in 2023, close to the EU average. Both the absolute level and the relative economic importance of environmental taxation have increased slightly over the past 15 years. Total environmental tax revenue reached EUR 2.13 billion in real terms in 2023 (</w:t>
      </w:r>
      <w:r w:rsidRPr="00FB7DC0">
        <w:rPr>
          <w:highlight w:val="yellow"/>
        </w:rPr>
        <w:fldChar w:fldCharType="begin"/>
      </w:r>
      <w:r w:rsidRPr="00FB7DC0">
        <w:instrText xml:space="preserve"> REF _Ref201231136 \h </w:instrText>
      </w:r>
      <w:r w:rsidRPr="00FB7DC0">
        <w:rPr>
          <w:highlight w:val="yellow"/>
        </w:rPr>
        <w:instrText xml:space="preserve"> \* MERGEFORMAT </w:instrText>
      </w:r>
      <w:r w:rsidRPr="00FB7DC0">
        <w:rPr>
          <w:highlight w:val="yellow"/>
        </w:rPr>
      </w:r>
      <w:r w:rsidRPr="00FB7DC0">
        <w:rPr>
          <w:highlight w:val="yellow"/>
        </w:rPr>
        <w:fldChar w:fldCharType="separate"/>
      </w:r>
      <w:r w:rsidRPr="00FB7DC0">
        <w:t xml:space="preserve">Figure </w:t>
      </w:r>
      <w:r>
        <w:t>A6</w:t>
      </w:r>
      <w:r w:rsidRPr="00FB7DC0">
        <w:t>-</w:t>
      </w:r>
      <w:r w:rsidRPr="00FB7DC0">
        <w:rPr>
          <w:noProof/>
        </w:rPr>
        <w:t>66</w:t>
      </w:r>
      <w:r w:rsidRPr="00FB7DC0">
        <w:rPr>
          <w:highlight w:val="yellow"/>
        </w:rPr>
        <w:fldChar w:fldCharType="end"/>
      </w:r>
      <w:r w:rsidRPr="0083598E">
        <w:t>), representing a 73.2% increase since 2009</w:t>
      </w:r>
      <w:r w:rsidR="00072325">
        <w:rPr>
          <w:rStyle w:val="FootnoteReference"/>
        </w:rPr>
        <w:footnoteReference w:id="732"/>
      </w:r>
      <w:r w:rsidRPr="0083598E">
        <w:t>. Over the same period, the ratio of environmental taxes to GDP rose modestly by 1.3% (</w:t>
      </w:r>
      <w:r w:rsidRPr="004C02E7">
        <w:rPr>
          <w:highlight w:val="yellow"/>
        </w:rPr>
        <w:fldChar w:fldCharType="begin"/>
      </w:r>
      <w:r w:rsidRPr="004C02E7">
        <w:instrText xml:space="preserve"> REF _Ref201231166 \h </w:instrText>
      </w:r>
      <w:r w:rsidRPr="004C02E7">
        <w:rPr>
          <w:highlight w:val="yellow"/>
        </w:rPr>
        <w:instrText xml:space="preserve"> \* MERGEFORMAT </w:instrText>
      </w:r>
      <w:r w:rsidRPr="004C02E7">
        <w:rPr>
          <w:highlight w:val="yellow"/>
        </w:rPr>
      </w:r>
      <w:r w:rsidRPr="004C02E7">
        <w:rPr>
          <w:highlight w:val="yellow"/>
        </w:rPr>
        <w:fldChar w:fldCharType="separate"/>
      </w:r>
      <w:r w:rsidRPr="004C02E7">
        <w:t xml:space="preserve">Figure </w:t>
      </w:r>
      <w:r>
        <w:t>A6</w:t>
      </w:r>
      <w:r w:rsidRPr="004C02E7">
        <w:t>-</w:t>
      </w:r>
      <w:r w:rsidRPr="004C02E7">
        <w:rPr>
          <w:noProof/>
        </w:rPr>
        <w:t>67</w:t>
      </w:r>
      <w:r w:rsidRPr="004C02E7">
        <w:rPr>
          <w:highlight w:val="yellow"/>
        </w:rPr>
        <w:fldChar w:fldCharType="end"/>
      </w:r>
      <w:r w:rsidRPr="0083598E">
        <w:t>). In 2023, revenues were predominantly sourced from energy and transport taxes (around 90.6% and 8.5%, respectively), while pollution taxes accounted for around 0.9%.</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35CD" w:rsidRPr="00EA4C9B" w14:paraId="0B8CB21A" w14:textId="77777777" w:rsidTr="00BA7936">
        <w:tc>
          <w:tcPr>
            <w:tcW w:w="9016" w:type="dxa"/>
          </w:tcPr>
          <w:p w14:paraId="45508C50" w14:textId="77777777" w:rsidR="002435CD" w:rsidRPr="00EA4C9B" w:rsidRDefault="002435CD">
            <w:pPr>
              <w:spacing w:after="0"/>
              <w:jc w:val="center"/>
              <w:rPr>
                <w:sz w:val="10"/>
                <w:szCs w:val="10"/>
              </w:rPr>
            </w:pPr>
          </w:p>
          <w:p w14:paraId="3E23C423" w14:textId="77777777" w:rsidR="002435CD" w:rsidRPr="00EA4C9B" w:rsidRDefault="002435CD">
            <w:pPr>
              <w:spacing w:after="0"/>
              <w:jc w:val="center"/>
              <w:rPr>
                <w:sz w:val="10"/>
                <w:szCs w:val="10"/>
              </w:rPr>
            </w:pPr>
            <w:r w:rsidRPr="00EA4C9B">
              <w:rPr>
                <w:noProof/>
                <w:sz w:val="10"/>
                <w:szCs w:val="10"/>
              </w:rPr>
              <w:drawing>
                <wp:inline distT="0" distB="0" distL="0" distR="0" wp14:anchorId="0ECF7C0D" wp14:editId="7FA19648">
                  <wp:extent cx="5489166" cy="1121134"/>
                  <wp:effectExtent l="0" t="0" r="0" b="3175"/>
                  <wp:docPr id="281004702" name="Picture 1" descr="A graph of 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04702" name="Picture 1" descr="A graph of a graph with numbers and a bar&#10;&#10;AI-generated content may be incorrect."/>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612352" cy="1146294"/>
                          </a:xfrm>
                          <a:prstGeom prst="rect">
                            <a:avLst/>
                          </a:prstGeom>
                          <a:noFill/>
                        </pic:spPr>
                      </pic:pic>
                    </a:graphicData>
                  </a:graphic>
                </wp:inline>
              </w:drawing>
            </w:r>
          </w:p>
          <w:p w14:paraId="7D283BD7" w14:textId="77777777" w:rsidR="002435CD" w:rsidRPr="00EA4C9B" w:rsidRDefault="002435CD">
            <w:pPr>
              <w:spacing w:after="0"/>
              <w:jc w:val="center"/>
              <w:rPr>
                <w:sz w:val="10"/>
                <w:szCs w:val="10"/>
              </w:rPr>
            </w:pPr>
          </w:p>
        </w:tc>
      </w:tr>
      <w:tr w:rsidR="002435CD" w:rsidRPr="00EA4C9B" w14:paraId="2558AD07" w14:textId="77777777" w:rsidTr="00BA7936">
        <w:tc>
          <w:tcPr>
            <w:tcW w:w="9016" w:type="dxa"/>
            <w:shd w:val="clear" w:color="auto" w:fill="003399"/>
          </w:tcPr>
          <w:p w14:paraId="2F9940D3" w14:textId="533A3C92" w:rsidR="002435CD" w:rsidRPr="00EA4C9B" w:rsidRDefault="002435CD" w:rsidP="00254BBC">
            <w:pPr>
              <w:pStyle w:val="FigTabCaption"/>
            </w:pPr>
            <w:bookmarkStart w:id="298" w:name="_Ref201231136"/>
            <w:r w:rsidRPr="00051732">
              <w:t xml:space="preserve">Figure </w:t>
            </w:r>
            <w:r w:rsidR="00490085">
              <w:t>A6</w:t>
            </w:r>
            <w:r w:rsidR="0031315F" w:rsidRPr="00051732">
              <w:t>-</w:t>
            </w:r>
            <w:r>
              <w:fldChar w:fldCharType="begin"/>
            </w:r>
            <w:r>
              <w:instrText>SEQ Figure_A5- \* ARABIC</w:instrText>
            </w:r>
            <w:r>
              <w:fldChar w:fldCharType="separate"/>
            </w:r>
            <w:r w:rsidR="0091411A">
              <w:rPr>
                <w:noProof/>
              </w:rPr>
              <w:t>66</w:t>
            </w:r>
            <w:r>
              <w:fldChar w:fldCharType="end"/>
            </w:r>
            <w:bookmarkEnd w:id="298"/>
            <w:r w:rsidRPr="00EA4C9B">
              <w:t>: Total environmental tax revenue in Slovakia (2009-2023) in billion euros</w:t>
            </w:r>
          </w:p>
        </w:tc>
      </w:tr>
    </w:tbl>
    <w:p w14:paraId="55F2BF3B" w14:textId="77777777" w:rsidR="002435CD" w:rsidRPr="00EA4C9B" w:rsidRDefault="002435CD" w:rsidP="00254BBC">
      <w:pPr>
        <w:spacing w:after="0"/>
      </w:pPr>
    </w:p>
    <w:p w14:paraId="5C9F2488" w14:textId="38DDE652" w:rsidR="002435CD" w:rsidRPr="00EA4C9B" w:rsidRDefault="00987C62" w:rsidP="002435CD">
      <w:r w:rsidRPr="00987C62">
        <w:t>Total tax revenue (including net social contributions) increased from 28.9% of Slovakia’s GDP in 2009 to 35.3% in 2023, a rise of 6.4 percentage points. Over the same period, the share of environmental taxes in total tax revenue fell from 6.8% to 5.7%</w:t>
      </w:r>
      <w:r>
        <w:t xml:space="preserve"> </w:t>
      </w:r>
      <w:r w:rsidRPr="00987C62">
        <w:t>—</w:t>
      </w:r>
      <w:r>
        <w:t xml:space="preserve"> </w:t>
      </w:r>
      <w:r w:rsidRPr="00987C62">
        <w:t>a decline of 1.1 percentage points</w:t>
      </w:r>
      <w:r>
        <w:t xml:space="preserve"> </w:t>
      </w:r>
      <w:r w:rsidRPr="00987C62">
        <w:t>—</w:t>
      </w:r>
      <w:r>
        <w:t xml:space="preserve"> </w:t>
      </w:r>
      <w:r w:rsidRPr="00987C62">
        <w:t>with decreases across all environmental tax categories. In absolute terms, the steepest decline occurred in pollution taxes (</w:t>
      </w:r>
      <w:r>
        <w:t>-</w:t>
      </w:r>
      <w:r w:rsidRPr="00987C62">
        <w:t>76.1%), followed by transport taxes (</w:t>
      </w:r>
      <w:r>
        <w:t>-</w:t>
      </w:r>
      <w:r w:rsidRPr="00987C62">
        <w:t>42.6%), both of which also fell relative to GDP (</w:t>
      </w:r>
      <w:r w:rsidRPr="004C02E7">
        <w:fldChar w:fldCharType="begin"/>
      </w:r>
      <w:r w:rsidRPr="004C02E7">
        <w:instrText xml:space="preserve"> REF _Ref201231166 \h  \* MERGEFORMAT </w:instrText>
      </w:r>
      <w:r w:rsidRPr="004C02E7">
        <w:fldChar w:fldCharType="separate"/>
      </w:r>
      <w:r w:rsidRPr="004C02E7">
        <w:t xml:space="preserve">Figure </w:t>
      </w:r>
      <w:r>
        <w:t>A6</w:t>
      </w:r>
      <w:r w:rsidRPr="004C02E7">
        <w:t>-</w:t>
      </w:r>
      <w:r w:rsidRPr="004C02E7">
        <w:rPr>
          <w:noProof/>
        </w:rPr>
        <w:t>67</w:t>
      </w:r>
      <w:r w:rsidRPr="004C02E7">
        <w:fldChar w:fldCharType="end"/>
      </w:r>
      <w:r w:rsidRPr="00987C62">
        <w:t>). While revenues from energy taxes increased in GDP terms (up 7.9%), they still accounted for a smaller share of total taxation (12.1%) in 2023</w:t>
      </w:r>
      <w:r w:rsidRPr="00EA4C9B">
        <w:rPr>
          <w:rStyle w:val="FootnoteReference"/>
        </w:rPr>
        <w:footnoteReference w:id="733"/>
      </w:r>
      <w:r w:rsidRPr="00987C62">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35CD" w:rsidRPr="00EA4C9B" w14:paraId="197294FF" w14:textId="77777777" w:rsidTr="00BA7936">
        <w:tc>
          <w:tcPr>
            <w:tcW w:w="9016" w:type="dxa"/>
          </w:tcPr>
          <w:p w14:paraId="60495709" w14:textId="77777777" w:rsidR="002435CD" w:rsidRPr="00EA4C9B" w:rsidRDefault="002435CD">
            <w:pPr>
              <w:spacing w:after="0"/>
              <w:jc w:val="center"/>
              <w:rPr>
                <w:sz w:val="10"/>
                <w:szCs w:val="10"/>
              </w:rPr>
            </w:pPr>
          </w:p>
          <w:p w14:paraId="789CE81B" w14:textId="77777777" w:rsidR="002435CD" w:rsidRPr="00EA4C9B" w:rsidRDefault="002435CD">
            <w:pPr>
              <w:spacing w:after="0"/>
              <w:jc w:val="center"/>
              <w:rPr>
                <w:sz w:val="10"/>
                <w:szCs w:val="10"/>
              </w:rPr>
            </w:pPr>
            <w:r w:rsidRPr="00EA4C9B">
              <w:rPr>
                <w:noProof/>
                <w:sz w:val="10"/>
                <w:szCs w:val="10"/>
              </w:rPr>
              <w:drawing>
                <wp:inline distT="0" distB="0" distL="0" distR="0" wp14:anchorId="6DFDF187" wp14:editId="17CF1D3E">
                  <wp:extent cx="5214796" cy="1564333"/>
                  <wp:effectExtent l="0" t="0" r="5080" b="0"/>
                  <wp:docPr id="388343481" name="Picture 4" descr="A graph of a number of tax retu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43481" name="Picture 4" descr="A graph of a number of tax returns&#10;&#10;AI-generated content may be incorrec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69178" cy="1580646"/>
                          </a:xfrm>
                          <a:prstGeom prst="rect">
                            <a:avLst/>
                          </a:prstGeom>
                          <a:noFill/>
                        </pic:spPr>
                      </pic:pic>
                    </a:graphicData>
                  </a:graphic>
                </wp:inline>
              </w:drawing>
            </w:r>
          </w:p>
          <w:p w14:paraId="36814CF8" w14:textId="77777777" w:rsidR="002435CD" w:rsidRPr="00EA4C9B" w:rsidRDefault="002435CD">
            <w:pPr>
              <w:spacing w:after="0"/>
              <w:jc w:val="center"/>
              <w:rPr>
                <w:sz w:val="10"/>
                <w:szCs w:val="10"/>
              </w:rPr>
            </w:pPr>
          </w:p>
        </w:tc>
      </w:tr>
      <w:tr w:rsidR="002435CD" w:rsidRPr="00EA4C9B" w14:paraId="0B102E7E" w14:textId="77777777" w:rsidTr="00BA7936">
        <w:tc>
          <w:tcPr>
            <w:tcW w:w="9016" w:type="dxa"/>
            <w:shd w:val="clear" w:color="auto" w:fill="003399"/>
          </w:tcPr>
          <w:p w14:paraId="5BCAB860" w14:textId="05292E73" w:rsidR="002435CD" w:rsidRPr="00EA4C9B" w:rsidRDefault="002435CD" w:rsidP="00254BBC">
            <w:pPr>
              <w:pStyle w:val="FigTabCaption"/>
            </w:pPr>
            <w:bookmarkStart w:id="299" w:name="_Ref201231166"/>
            <w:r w:rsidRPr="00051732">
              <w:t xml:space="preserve">Figure </w:t>
            </w:r>
            <w:r w:rsidR="00490085">
              <w:t>A6</w:t>
            </w:r>
            <w:r w:rsidR="00947F4C" w:rsidRPr="00051732">
              <w:t>-</w:t>
            </w:r>
            <w:r>
              <w:fldChar w:fldCharType="begin"/>
            </w:r>
            <w:r>
              <w:instrText>SEQ Figure_A5- \* ARABIC</w:instrText>
            </w:r>
            <w:r>
              <w:fldChar w:fldCharType="separate"/>
            </w:r>
            <w:r w:rsidR="0091411A">
              <w:rPr>
                <w:noProof/>
              </w:rPr>
              <w:t>67</w:t>
            </w:r>
            <w:r>
              <w:fldChar w:fldCharType="end"/>
            </w:r>
            <w:bookmarkEnd w:id="299"/>
            <w:r w:rsidRPr="00EA4C9B">
              <w:t>: Fifteen-year (2009-2023) change in absolute terms and change as GDP-ratio of the revenues of energy taxes, transport taxes, resource taxes, pollution taxes and total environmental taxes</w:t>
            </w:r>
            <w:r w:rsidR="00032C7B">
              <w:t xml:space="preserve"> </w:t>
            </w:r>
          </w:p>
        </w:tc>
      </w:tr>
    </w:tbl>
    <w:p w14:paraId="06D455AB" w14:textId="77777777" w:rsidR="002435CD" w:rsidRPr="00EA4C9B" w:rsidRDefault="002435CD" w:rsidP="002435CD"/>
    <w:p w14:paraId="1AE735F3" w14:textId="77777777" w:rsidR="002435CD" w:rsidRPr="00EA4C9B" w:rsidRDefault="002435CD" w:rsidP="007C4EB7">
      <w:pPr>
        <w:pStyle w:val="AnnexHeading2"/>
      </w:pPr>
      <w:bookmarkStart w:id="300" w:name="_Toc214008945"/>
      <w:r w:rsidRPr="00EA4C9B">
        <w:lastRenderedPageBreak/>
        <w:t>Existing pollution and resource taxes</w:t>
      </w:r>
      <w:bookmarkEnd w:id="300"/>
    </w:p>
    <w:p w14:paraId="330D60ED" w14:textId="2DBE34A6" w:rsidR="002435CD" w:rsidRPr="00EA4C9B" w:rsidRDefault="002435CD" w:rsidP="002435CD">
      <w:r>
        <w:t>In 2023, pollution tax revenues reached 23.0 million euros (0.9% of the total environmental tax revenues) (</w:t>
      </w:r>
      <w:r>
        <w:fldChar w:fldCharType="begin"/>
      </w:r>
      <w:r>
        <w:instrText xml:space="preserve"> REF _Ref201231234 \h  \* MERGEFORMAT </w:instrText>
      </w:r>
      <w:r>
        <w:fldChar w:fldCharType="separate"/>
      </w:r>
      <w:r w:rsidR="004C02E7">
        <w:t xml:space="preserve">Figure </w:t>
      </w:r>
      <w:r w:rsidR="00490085">
        <w:t>A6</w:t>
      </w:r>
      <w:r w:rsidR="004C02E7">
        <w:t>-</w:t>
      </w:r>
      <w:r w:rsidR="004C02E7" w:rsidRPr="606E24A0">
        <w:rPr>
          <w:noProof/>
        </w:rPr>
        <w:t>68</w:t>
      </w:r>
      <w:r>
        <w:fldChar w:fldCharType="end"/>
      </w:r>
      <w:r w:rsidR="00DA126B">
        <w:t>)</w:t>
      </w:r>
      <w:r>
        <w:t>, decreasing in absolute terms by 50.0% over 15 years (2009-2023) and decreasing by 65.4% in terms of GDP-ratios (</w:t>
      </w:r>
      <w:r>
        <w:fldChar w:fldCharType="begin"/>
      </w:r>
      <w:r>
        <w:instrText xml:space="preserve"> REF _Ref201231166 \h  \* MERGEFORMAT </w:instrText>
      </w:r>
      <w:r>
        <w:fldChar w:fldCharType="separate"/>
      </w:r>
      <w:r w:rsidR="004C02E7">
        <w:t xml:space="preserve">Figure </w:t>
      </w:r>
      <w:r w:rsidR="00490085">
        <w:t>A6</w:t>
      </w:r>
      <w:r w:rsidR="004C02E7">
        <w:t>-</w:t>
      </w:r>
      <w:r w:rsidR="004C02E7" w:rsidRPr="606E24A0">
        <w:rPr>
          <w:noProof/>
        </w:rPr>
        <w:t>67</w:t>
      </w:r>
      <w:r>
        <w:fldChar w:fldCharType="end"/>
      </w:r>
      <w:r>
        <w:t xml:space="preserve">). The tax on waste disposal is presented separately from the other pollution taxes below. Slovakia does not have resource taxes.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35CD" w:rsidRPr="00EA4C9B" w14:paraId="0E15FDF8" w14:textId="77777777" w:rsidTr="00BA7936">
        <w:tc>
          <w:tcPr>
            <w:tcW w:w="9016" w:type="dxa"/>
          </w:tcPr>
          <w:p w14:paraId="234C4009" w14:textId="77777777" w:rsidR="002435CD" w:rsidRPr="00EA4C9B" w:rsidRDefault="002435CD">
            <w:pPr>
              <w:spacing w:after="0"/>
              <w:jc w:val="center"/>
              <w:rPr>
                <w:sz w:val="10"/>
                <w:szCs w:val="10"/>
              </w:rPr>
            </w:pPr>
          </w:p>
          <w:p w14:paraId="3F416E3D" w14:textId="77777777" w:rsidR="002435CD" w:rsidRPr="00EA4C9B" w:rsidRDefault="002435CD">
            <w:pPr>
              <w:spacing w:after="0"/>
              <w:jc w:val="center"/>
              <w:rPr>
                <w:sz w:val="10"/>
                <w:szCs w:val="10"/>
              </w:rPr>
            </w:pPr>
            <w:r w:rsidRPr="00EA4C9B">
              <w:rPr>
                <w:noProof/>
                <w:sz w:val="10"/>
                <w:szCs w:val="10"/>
              </w:rPr>
              <w:drawing>
                <wp:inline distT="0" distB="0" distL="0" distR="0" wp14:anchorId="07AD9381" wp14:editId="670722CE">
                  <wp:extent cx="5617324" cy="1156278"/>
                  <wp:effectExtent l="0" t="0" r="2540" b="6350"/>
                  <wp:docPr id="1540128955" name="Picture 1" descr="A graph of a number of gree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28955" name="Picture 1" descr="A graph of a number of green rectangles&#10;&#10;AI-generated content may be incorrect."/>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31211" cy="1179721"/>
                          </a:xfrm>
                          <a:prstGeom prst="rect">
                            <a:avLst/>
                          </a:prstGeom>
                          <a:noFill/>
                        </pic:spPr>
                      </pic:pic>
                    </a:graphicData>
                  </a:graphic>
                </wp:inline>
              </w:drawing>
            </w:r>
          </w:p>
          <w:p w14:paraId="4C2EF340" w14:textId="77777777" w:rsidR="002435CD" w:rsidRPr="00EA4C9B" w:rsidRDefault="002435CD">
            <w:pPr>
              <w:spacing w:after="0"/>
              <w:jc w:val="center"/>
              <w:rPr>
                <w:sz w:val="10"/>
                <w:szCs w:val="10"/>
              </w:rPr>
            </w:pPr>
          </w:p>
          <w:p w14:paraId="4036B6F7" w14:textId="77777777" w:rsidR="002435CD" w:rsidRPr="00EA4C9B" w:rsidRDefault="002435CD">
            <w:pPr>
              <w:spacing w:after="0"/>
              <w:jc w:val="center"/>
              <w:rPr>
                <w:sz w:val="10"/>
                <w:szCs w:val="10"/>
              </w:rPr>
            </w:pPr>
          </w:p>
        </w:tc>
      </w:tr>
      <w:tr w:rsidR="002435CD" w:rsidRPr="00EA4C9B" w14:paraId="748D1901" w14:textId="77777777" w:rsidTr="00BA7936">
        <w:tc>
          <w:tcPr>
            <w:tcW w:w="9016" w:type="dxa"/>
            <w:shd w:val="clear" w:color="auto" w:fill="003399"/>
          </w:tcPr>
          <w:p w14:paraId="7CBCDD92" w14:textId="35B40C03" w:rsidR="002435CD" w:rsidRPr="00EA4C9B" w:rsidRDefault="002435CD" w:rsidP="00254BBC">
            <w:pPr>
              <w:pStyle w:val="FigTabCaption"/>
            </w:pPr>
            <w:bookmarkStart w:id="301" w:name="_Ref201231234"/>
            <w:r w:rsidRPr="00051732">
              <w:t xml:space="preserve">Figure </w:t>
            </w:r>
            <w:r w:rsidR="00490085">
              <w:t>A6</w:t>
            </w:r>
            <w:r w:rsidR="00947F4C" w:rsidRPr="00051732">
              <w:t>-</w:t>
            </w:r>
            <w:r>
              <w:fldChar w:fldCharType="begin"/>
            </w:r>
            <w:r>
              <w:instrText>SEQ Figure_A5- \* ARABIC</w:instrText>
            </w:r>
            <w:r>
              <w:fldChar w:fldCharType="separate"/>
            </w:r>
            <w:r w:rsidR="0091411A">
              <w:rPr>
                <w:noProof/>
              </w:rPr>
              <w:t>68</w:t>
            </w:r>
            <w:r>
              <w:fldChar w:fldCharType="end"/>
            </w:r>
            <w:bookmarkEnd w:id="301"/>
            <w:r w:rsidRPr="00EA4C9B">
              <w:t>: Resource and pollution tax revenues in Slovakia (2009-2023) in million euros</w:t>
            </w:r>
            <w:r w:rsidR="00F26A70">
              <w:t xml:space="preserve">. </w:t>
            </w:r>
            <w:r w:rsidR="00F26A70" w:rsidRPr="00EA4C9B">
              <w:rPr>
                <w:rFonts w:ascii="Calibri" w:eastAsia="Calibri" w:hAnsi="Calibri" w:cs="Calibri"/>
                <w:i/>
                <w:iCs/>
              </w:rPr>
              <w:t>Note: the share between pollution and resource taxes in 2023 was estimated as the weighted average of past years</w:t>
            </w:r>
            <w:r w:rsidR="00F26A70" w:rsidRPr="00EA4C9B">
              <w:rPr>
                <w:rFonts w:ascii="Calibri" w:eastAsia="Calibri" w:hAnsi="Calibri" w:cs="Calibri"/>
              </w:rPr>
              <w:t> </w:t>
            </w:r>
          </w:p>
        </w:tc>
      </w:tr>
    </w:tbl>
    <w:p w14:paraId="52BCD5CA" w14:textId="1F29782F" w:rsidR="00A028DC" w:rsidRDefault="002435CD" w:rsidP="002435CD">
      <w:pPr>
        <w:spacing w:after="0"/>
        <w:textAlignment w:val="baseline"/>
        <w:rPr>
          <w:rFonts w:ascii="Calibri" w:eastAsia="Times New Roman" w:hAnsi="Calibri" w:cs="Calibri"/>
          <w:color w:val="000000"/>
          <w:sz w:val="20"/>
          <w:szCs w:val="20"/>
          <w:lang w:eastAsia="en-GB"/>
        </w:rPr>
      </w:pPr>
      <w:r w:rsidRPr="00EA4C9B">
        <w:rPr>
          <w:rFonts w:ascii="Calibri" w:eastAsia="Times New Roman" w:hAnsi="Calibri" w:cs="Calibri"/>
          <w:color w:val="000000"/>
          <w:sz w:val="20"/>
          <w:szCs w:val="20"/>
          <w:lang w:eastAsia="en-GB"/>
        </w:rPr>
        <w:t> </w:t>
      </w:r>
    </w:p>
    <w:p w14:paraId="1587B9EB" w14:textId="77777777" w:rsidR="00A00DA3" w:rsidRPr="00A00DA3" w:rsidRDefault="00A00DA3" w:rsidP="00A00DA3">
      <w:pPr>
        <w:pStyle w:val="Heading4"/>
      </w:pPr>
      <w:r w:rsidRPr="00A00DA3">
        <w:t>List of pollution and resource taxes and revenue shares</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5"/>
        <w:gridCol w:w="1710"/>
        <w:gridCol w:w="1890"/>
        <w:gridCol w:w="1905"/>
      </w:tblGrid>
      <w:tr w:rsidR="002435CD" w:rsidRPr="00EA4C9B" w14:paraId="16C2B9F0" w14:textId="77777777" w:rsidTr="004F0767">
        <w:trPr>
          <w:trHeight w:val="300"/>
        </w:trPr>
        <w:tc>
          <w:tcPr>
            <w:tcW w:w="9000"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37DC3AA6" w14:textId="268950B2" w:rsidR="002435CD" w:rsidRPr="00F576FE" w:rsidRDefault="002435CD" w:rsidP="00F576FE">
            <w:pPr>
              <w:pStyle w:val="Table"/>
              <w:rPr>
                <w:rFonts w:ascii="Times New Roman" w:eastAsia="Times New Roman" w:hAnsi="Times New Roman" w:cs="Times New Roman"/>
                <w:b/>
                <w:sz w:val="24"/>
                <w:lang w:eastAsia="en-GB"/>
              </w:rPr>
            </w:pPr>
            <w:r w:rsidRPr="00F576FE">
              <w:rPr>
                <w:b/>
                <w:color w:val="FFFFFF" w:themeColor="background1"/>
              </w:rPr>
              <w:t xml:space="preserve">Table </w:t>
            </w:r>
            <w:r w:rsidR="00490085">
              <w:rPr>
                <w:b/>
                <w:color w:val="FFFFFF" w:themeColor="background1"/>
              </w:rPr>
              <w:t>A6</w:t>
            </w:r>
            <w:r w:rsidR="00F576FE" w:rsidRPr="00F576FE">
              <w:rPr>
                <w:b/>
                <w:bCs/>
                <w:color w:val="FFFFFF" w:themeColor="background1"/>
              </w:rPr>
              <w:t>-</w:t>
            </w:r>
            <w:r w:rsidR="00F576FE" w:rsidRPr="00F576FE">
              <w:rPr>
                <w:b/>
                <w:bCs/>
                <w:color w:val="FFFFFF" w:themeColor="background1"/>
              </w:rPr>
              <w:fldChar w:fldCharType="begin"/>
            </w:r>
            <w:r w:rsidR="00F576FE" w:rsidRPr="00F576FE">
              <w:rPr>
                <w:b/>
                <w:bCs/>
                <w:color w:val="FFFFFF" w:themeColor="background1"/>
              </w:rPr>
              <w:instrText xml:space="preserve"> SEQ Table_A5- \* ARABIC </w:instrText>
            </w:r>
            <w:r w:rsidR="00F576FE" w:rsidRPr="00F576FE">
              <w:rPr>
                <w:b/>
                <w:bCs/>
                <w:color w:val="FFFFFF" w:themeColor="background1"/>
              </w:rPr>
              <w:fldChar w:fldCharType="separate"/>
            </w:r>
            <w:r w:rsidR="00BE61A1">
              <w:rPr>
                <w:b/>
                <w:bCs/>
                <w:noProof/>
                <w:color w:val="FFFFFF" w:themeColor="background1"/>
              </w:rPr>
              <w:t>119</w:t>
            </w:r>
            <w:r w:rsidR="00F576FE" w:rsidRPr="00F576FE">
              <w:rPr>
                <w:b/>
                <w:bCs/>
                <w:color w:val="FFFFFF" w:themeColor="background1"/>
              </w:rPr>
              <w:fldChar w:fldCharType="end"/>
            </w:r>
            <w:r w:rsidRPr="00F576FE">
              <w:rPr>
                <w:rFonts w:ascii="Calibri" w:eastAsia="Times New Roman" w:hAnsi="Calibri" w:cs="Calibri"/>
                <w:b/>
                <w:color w:val="FFFFFF" w:themeColor="background1"/>
                <w:szCs w:val="20"/>
                <w:lang w:eastAsia="en-GB"/>
              </w:rPr>
              <w:t>:  Pollution taxes  </w:t>
            </w:r>
          </w:p>
        </w:tc>
      </w:tr>
      <w:tr w:rsidR="002435CD" w:rsidRPr="00EA4C9B" w14:paraId="613DA253"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hideMark/>
          </w:tcPr>
          <w:p w14:paraId="4763F88A" w14:textId="77777777" w:rsidR="002435CD" w:rsidRPr="00EA4C9B" w:rsidRDefault="002435CD" w:rsidP="00F576FE">
            <w:pPr>
              <w:pStyle w:val="Table"/>
              <w:rPr>
                <w:rFonts w:ascii="Times New Roman" w:eastAsia="Times New Roman" w:hAnsi="Times New Roman" w:cs="Times New Roman"/>
                <w:sz w:val="24"/>
                <w:lang w:eastAsia="en-GB"/>
              </w:rPr>
            </w:pPr>
            <w:r w:rsidRPr="0031315F">
              <w:rPr>
                <w:rFonts w:ascii="Calibri" w:eastAsia="Times New Roman" w:hAnsi="Calibri" w:cs="Calibri"/>
                <w:b/>
                <w:szCs w:val="20"/>
                <w:lang w:eastAsia="en-GB"/>
              </w:rPr>
              <w:t>Tax Name</w:t>
            </w:r>
            <w:r w:rsidRPr="0031315F">
              <w:rPr>
                <w:rFonts w:ascii="Calibri" w:eastAsia="Times New Roman" w:hAnsi="Calibri" w:cs="Calibri"/>
                <w:szCs w:val="20"/>
                <w:lang w:eastAsia="en-GB"/>
              </w:rPr>
              <w:t> </w:t>
            </w:r>
            <w:r w:rsidRPr="00EA4C9B">
              <w:rPr>
                <w:rFonts w:ascii="Calibri" w:eastAsia="Times New Roman" w:hAnsi="Calibri" w:cs="Calibri"/>
                <w:szCs w:val="20"/>
                <w:lang w:eastAsia="en-GB"/>
              </w:rPr>
              <w:t> </w:t>
            </w:r>
          </w:p>
        </w:tc>
        <w:tc>
          <w:tcPr>
            <w:tcW w:w="1710" w:type="dxa"/>
            <w:tcBorders>
              <w:top w:val="single" w:sz="6" w:space="0" w:color="auto"/>
              <w:left w:val="single" w:sz="6" w:space="0" w:color="auto"/>
              <w:bottom w:val="single" w:sz="6" w:space="0" w:color="auto"/>
              <w:right w:val="single" w:sz="6" w:space="0" w:color="auto"/>
            </w:tcBorders>
            <w:hideMark/>
          </w:tcPr>
          <w:p w14:paraId="6142A37E" w14:textId="77777777" w:rsidR="002435CD" w:rsidRPr="0031315F" w:rsidRDefault="002435CD" w:rsidP="00F576FE">
            <w:pPr>
              <w:pStyle w:val="Table"/>
              <w:rPr>
                <w:rFonts w:ascii="Calibri" w:eastAsia="Times New Roman" w:hAnsi="Calibri" w:cs="Calibri"/>
                <w:b/>
                <w:szCs w:val="20"/>
                <w:lang w:eastAsia="en-GB"/>
              </w:rPr>
            </w:pPr>
            <w:r w:rsidRPr="0031315F">
              <w:rPr>
                <w:rFonts w:ascii="Calibri" w:eastAsia="Times New Roman" w:hAnsi="Calibri" w:cs="Calibri"/>
                <w:b/>
                <w:szCs w:val="20"/>
                <w:lang w:eastAsia="en-GB"/>
              </w:rPr>
              <w:t>Revenue (€ million) </w:t>
            </w:r>
          </w:p>
          <w:p w14:paraId="5486FF0D" w14:textId="77777777" w:rsidR="002435CD" w:rsidRPr="00EA4C9B" w:rsidRDefault="002435CD" w:rsidP="00F576FE">
            <w:pPr>
              <w:pStyle w:val="Table"/>
              <w:rPr>
                <w:rFonts w:ascii="Times New Roman" w:eastAsia="Times New Roman" w:hAnsi="Times New Roman" w:cs="Times New Roman"/>
                <w:sz w:val="24"/>
                <w:lang w:eastAsia="en-GB"/>
              </w:rPr>
            </w:pPr>
            <w:r w:rsidRPr="0031315F">
              <w:rPr>
                <w:rFonts w:ascii="Calibri" w:eastAsia="Times New Roman" w:hAnsi="Calibri" w:cs="Calibri"/>
                <w:b/>
                <w:szCs w:val="20"/>
                <w:lang w:eastAsia="en-GB"/>
              </w:rPr>
              <w:t>2009-2023</w:t>
            </w:r>
            <w:r w:rsidRPr="00EA4C9B">
              <w:rPr>
                <w:rFonts w:ascii="Calibri" w:eastAsia="Times New Roman" w:hAnsi="Calibri" w:cs="Calibri"/>
                <w:szCs w:val="20"/>
                <w:lang w:eastAsia="en-GB"/>
              </w:rPr>
              <w:t> </w:t>
            </w:r>
          </w:p>
        </w:tc>
        <w:tc>
          <w:tcPr>
            <w:tcW w:w="1890" w:type="dxa"/>
            <w:tcBorders>
              <w:top w:val="single" w:sz="6" w:space="0" w:color="auto"/>
              <w:left w:val="single" w:sz="6" w:space="0" w:color="auto"/>
              <w:bottom w:val="single" w:sz="6" w:space="0" w:color="auto"/>
              <w:right w:val="single" w:sz="6" w:space="0" w:color="auto"/>
            </w:tcBorders>
            <w:hideMark/>
          </w:tcPr>
          <w:p w14:paraId="59F36D3D" w14:textId="77777777" w:rsidR="002435CD" w:rsidRPr="00EA4C9B" w:rsidRDefault="002435CD" w:rsidP="00F576FE">
            <w:pPr>
              <w:pStyle w:val="Table"/>
              <w:rPr>
                <w:rFonts w:ascii="Times New Roman" w:eastAsia="Times New Roman" w:hAnsi="Times New Roman" w:cs="Times New Roman"/>
                <w:sz w:val="24"/>
                <w:lang w:eastAsia="en-GB"/>
              </w:rPr>
            </w:pPr>
            <w:r w:rsidRPr="0031315F">
              <w:rPr>
                <w:rFonts w:ascii="Calibri" w:eastAsia="Times New Roman" w:hAnsi="Calibri" w:cs="Calibri"/>
                <w:b/>
                <w:szCs w:val="20"/>
                <w:lang w:eastAsia="en-GB"/>
              </w:rPr>
              <w:t>Average annual revenue (€ million)</w:t>
            </w:r>
            <w:r w:rsidRPr="00EA4C9B">
              <w:rPr>
                <w:rFonts w:ascii="Calibri" w:eastAsia="Times New Roman" w:hAnsi="Calibri" w:cs="Calibri"/>
                <w:szCs w:val="20"/>
                <w:lang w:eastAsia="en-GB"/>
              </w:rPr>
              <w:t> </w:t>
            </w:r>
          </w:p>
        </w:tc>
        <w:tc>
          <w:tcPr>
            <w:tcW w:w="1905" w:type="dxa"/>
            <w:tcBorders>
              <w:top w:val="single" w:sz="6" w:space="0" w:color="auto"/>
              <w:left w:val="single" w:sz="6" w:space="0" w:color="auto"/>
              <w:bottom w:val="single" w:sz="6" w:space="0" w:color="auto"/>
              <w:right w:val="single" w:sz="6" w:space="0" w:color="auto"/>
            </w:tcBorders>
            <w:hideMark/>
          </w:tcPr>
          <w:p w14:paraId="6AB29CFE" w14:textId="77777777" w:rsidR="002435CD" w:rsidRPr="00EA4C9B" w:rsidRDefault="002435CD" w:rsidP="00F576FE">
            <w:pPr>
              <w:pStyle w:val="Table"/>
              <w:rPr>
                <w:rFonts w:ascii="Times New Roman" w:eastAsia="Times New Roman" w:hAnsi="Times New Roman" w:cs="Times New Roman"/>
                <w:sz w:val="24"/>
                <w:lang w:eastAsia="en-GB"/>
              </w:rPr>
            </w:pPr>
            <w:r w:rsidRPr="0031315F">
              <w:rPr>
                <w:rFonts w:ascii="Calibri" w:eastAsia="Times New Roman" w:hAnsi="Calibri" w:cs="Calibri"/>
                <w:b/>
                <w:szCs w:val="20"/>
                <w:lang w:eastAsia="en-GB"/>
              </w:rPr>
              <w:t>As share of all pollution tax revenues</w:t>
            </w:r>
            <w:r w:rsidRPr="00EA4C9B">
              <w:rPr>
                <w:rFonts w:ascii="Calibri" w:eastAsia="Times New Roman" w:hAnsi="Calibri" w:cs="Calibri"/>
                <w:szCs w:val="20"/>
                <w:lang w:eastAsia="en-GB"/>
              </w:rPr>
              <w:t> </w:t>
            </w:r>
          </w:p>
        </w:tc>
      </w:tr>
      <w:tr w:rsidR="002435CD" w:rsidRPr="00EA4C9B" w14:paraId="1B72B37A"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14893321" w14:textId="77777777" w:rsidR="002435CD" w:rsidRPr="00EA4C9B" w:rsidRDefault="002435CD" w:rsidP="00F576FE">
            <w:pPr>
              <w:pStyle w:val="Table"/>
              <w:rPr>
                <w:rFonts w:ascii="Calibri" w:eastAsia="Times New Roman" w:hAnsi="Calibri" w:cs="Calibri"/>
                <w:i/>
                <w:szCs w:val="20"/>
                <w:lang w:eastAsia="en-GB"/>
              </w:rPr>
            </w:pPr>
            <w:r w:rsidRPr="00EA4C9B">
              <w:rPr>
                <w:szCs w:val="20"/>
              </w:rPr>
              <w:t xml:space="preserve">Fees connected with water pollution </w:t>
            </w:r>
            <w:r w:rsidRPr="00EA4C9B">
              <w:rPr>
                <w:i/>
                <w:szCs w:val="20"/>
              </w:rPr>
              <w:t>(Poplatky za vypúštanie odpadových vôd)</w:t>
            </w:r>
          </w:p>
        </w:tc>
        <w:tc>
          <w:tcPr>
            <w:tcW w:w="1710" w:type="dxa"/>
            <w:tcBorders>
              <w:top w:val="single" w:sz="6" w:space="0" w:color="auto"/>
              <w:left w:val="single" w:sz="6" w:space="0" w:color="auto"/>
              <w:bottom w:val="single" w:sz="6" w:space="0" w:color="auto"/>
              <w:right w:val="single" w:sz="6" w:space="0" w:color="auto"/>
            </w:tcBorders>
          </w:tcPr>
          <w:p w14:paraId="6E7B3ED2" w14:textId="77777777" w:rsidR="002435CD" w:rsidRPr="00EA4C9B" w:rsidRDefault="002435CD" w:rsidP="00F576FE">
            <w:pPr>
              <w:pStyle w:val="Table"/>
              <w:rPr>
                <w:rFonts w:ascii="Calibri" w:eastAsia="Times New Roman" w:hAnsi="Calibri" w:cs="Calibri"/>
                <w:szCs w:val="20"/>
                <w:lang w:eastAsia="en-GB"/>
              </w:rPr>
            </w:pPr>
            <w:r w:rsidRPr="00EA4C9B">
              <w:t>266.6</w:t>
            </w:r>
          </w:p>
        </w:tc>
        <w:tc>
          <w:tcPr>
            <w:tcW w:w="1890" w:type="dxa"/>
            <w:tcBorders>
              <w:top w:val="single" w:sz="6" w:space="0" w:color="auto"/>
              <w:left w:val="single" w:sz="6" w:space="0" w:color="auto"/>
              <w:bottom w:val="single" w:sz="6" w:space="0" w:color="auto"/>
              <w:right w:val="single" w:sz="6" w:space="0" w:color="auto"/>
            </w:tcBorders>
          </w:tcPr>
          <w:p w14:paraId="0925E339" w14:textId="77777777" w:rsidR="002435CD" w:rsidRPr="00EA4C9B" w:rsidRDefault="002435CD" w:rsidP="00F576FE">
            <w:pPr>
              <w:pStyle w:val="Table"/>
              <w:rPr>
                <w:rFonts w:ascii="Calibri" w:eastAsia="Times New Roman" w:hAnsi="Calibri" w:cs="Calibri"/>
                <w:szCs w:val="20"/>
                <w:lang w:eastAsia="en-GB"/>
              </w:rPr>
            </w:pPr>
            <w:r w:rsidRPr="00EA4C9B">
              <w:t>17.8</w:t>
            </w:r>
          </w:p>
        </w:tc>
        <w:tc>
          <w:tcPr>
            <w:tcW w:w="1905" w:type="dxa"/>
            <w:tcBorders>
              <w:top w:val="single" w:sz="6" w:space="0" w:color="auto"/>
              <w:left w:val="single" w:sz="6" w:space="0" w:color="auto"/>
              <w:bottom w:val="single" w:sz="6" w:space="0" w:color="auto"/>
              <w:right w:val="single" w:sz="6" w:space="0" w:color="auto"/>
            </w:tcBorders>
          </w:tcPr>
          <w:p w14:paraId="0D8AA899" w14:textId="77777777" w:rsidR="002435CD" w:rsidRPr="00EA4C9B" w:rsidRDefault="002435CD" w:rsidP="00F576FE">
            <w:pPr>
              <w:pStyle w:val="Table"/>
              <w:rPr>
                <w:rFonts w:ascii="Calibri" w:eastAsia="Times New Roman" w:hAnsi="Calibri" w:cs="Calibri"/>
                <w:szCs w:val="20"/>
                <w:lang w:eastAsia="en-GB"/>
              </w:rPr>
            </w:pPr>
            <w:r w:rsidRPr="00EA4C9B">
              <w:t>58.9%</w:t>
            </w:r>
          </w:p>
        </w:tc>
      </w:tr>
      <w:tr w:rsidR="002435CD" w:rsidRPr="00EA4C9B" w14:paraId="0161CFE4"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hideMark/>
          </w:tcPr>
          <w:p w14:paraId="1A5C0426" w14:textId="77777777" w:rsidR="002435CD" w:rsidRPr="00EA4C9B" w:rsidRDefault="002435CD" w:rsidP="00F576FE">
            <w:pPr>
              <w:pStyle w:val="Table"/>
              <w:rPr>
                <w:rFonts w:ascii="Times New Roman" w:eastAsia="Times New Roman" w:hAnsi="Times New Roman" w:cs="Times New Roman"/>
                <w:i/>
                <w:szCs w:val="20"/>
                <w:lang w:eastAsia="en-GB"/>
              </w:rPr>
            </w:pPr>
            <w:r w:rsidRPr="00EA4C9B">
              <w:rPr>
                <w:szCs w:val="20"/>
              </w:rPr>
              <w:t xml:space="preserve">Fees connected with air pollution </w:t>
            </w:r>
            <w:r w:rsidRPr="00EA4C9B">
              <w:rPr>
                <w:i/>
                <w:szCs w:val="20"/>
              </w:rPr>
              <w:t>(Za znečisťovanie ovzdušia)</w:t>
            </w:r>
          </w:p>
        </w:tc>
        <w:tc>
          <w:tcPr>
            <w:tcW w:w="1710" w:type="dxa"/>
            <w:tcBorders>
              <w:top w:val="single" w:sz="6" w:space="0" w:color="auto"/>
              <w:left w:val="single" w:sz="6" w:space="0" w:color="auto"/>
              <w:bottom w:val="single" w:sz="6" w:space="0" w:color="auto"/>
              <w:right w:val="single" w:sz="6" w:space="0" w:color="auto"/>
            </w:tcBorders>
            <w:hideMark/>
          </w:tcPr>
          <w:p w14:paraId="5717DB74" w14:textId="77777777" w:rsidR="002435CD" w:rsidRPr="00EA4C9B" w:rsidRDefault="002435CD" w:rsidP="00F576FE">
            <w:pPr>
              <w:pStyle w:val="Table"/>
              <w:rPr>
                <w:rFonts w:ascii="Times New Roman" w:eastAsia="Times New Roman" w:hAnsi="Times New Roman" w:cs="Times New Roman"/>
                <w:sz w:val="24"/>
                <w:lang w:eastAsia="en-GB"/>
              </w:rPr>
            </w:pPr>
            <w:r w:rsidRPr="00EA4C9B">
              <w:t>178.7</w:t>
            </w:r>
          </w:p>
        </w:tc>
        <w:tc>
          <w:tcPr>
            <w:tcW w:w="1890" w:type="dxa"/>
            <w:tcBorders>
              <w:top w:val="single" w:sz="6" w:space="0" w:color="auto"/>
              <w:left w:val="single" w:sz="6" w:space="0" w:color="auto"/>
              <w:bottom w:val="single" w:sz="6" w:space="0" w:color="auto"/>
              <w:right w:val="single" w:sz="6" w:space="0" w:color="auto"/>
            </w:tcBorders>
            <w:hideMark/>
          </w:tcPr>
          <w:p w14:paraId="494ACD14" w14:textId="77777777" w:rsidR="002435CD" w:rsidRPr="00EA4C9B" w:rsidRDefault="002435CD" w:rsidP="00F576FE">
            <w:pPr>
              <w:pStyle w:val="Table"/>
              <w:rPr>
                <w:rFonts w:ascii="Times New Roman" w:eastAsia="Times New Roman" w:hAnsi="Times New Roman" w:cs="Times New Roman"/>
                <w:sz w:val="24"/>
                <w:lang w:eastAsia="en-GB"/>
              </w:rPr>
            </w:pPr>
            <w:r w:rsidRPr="00EA4C9B">
              <w:t>11.9</w:t>
            </w:r>
          </w:p>
        </w:tc>
        <w:tc>
          <w:tcPr>
            <w:tcW w:w="1905" w:type="dxa"/>
            <w:tcBorders>
              <w:top w:val="single" w:sz="6" w:space="0" w:color="auto"/>
              <w:left w:val="single" w:sz="6" w:space="0" w:color="auto"/>
              <w:bottom w:val="single" w:sz="6" w:space="0" w:color="auto"/>
              <w:right w:val="single" w:sz="6" w:space="0" w:color="auto"/>
            </w:tcBorders>
            <w:hideMark/>
          </w:tcPr>
          <w:p w14:paraId="55AA4D3C" w14:textId="77777777" w:rsidR="002435CD" w:rsidRPr="00EA4C9B" w:rsidRDefault="002435CD" w:rsidP="00F576FE">
            <w:pPr>
              <w:pStyle w:val="Table"/>
              <w:rPr>
                <w:rFonts w:ascii="Times New Roman" w:eastAsia="Times New Roman" w:hAnsi="Times New Roman" w:cs="Times New Roman"/>
                <w:sz w:val="24"/>
                <w:lang w:eastAsia="en-GB"/>
              </w:rPr>
            </w:pPr>
            <w:r w:rsidRPr="00EA4C9B">
              <w:t>39.5%</w:t>
            </w:r>
          </w:p>
        </w:tc>
      </w:tr>
      <w:tr w:rsidR="002435CD" w:rsidRPr="00EA4C9B" w14:paraId="7725B118"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tcPr>
          <w:p w14:paraId="2071102F" w14:textId="77777777" w:rsidR="002435CD" w:rsidRPr="00EA4C9B" w:rsidRDefault="002435CD" w:rsidP="00F576FE">
            <w:pPr>
              <w:pStyle w:val="Table"/>
              <w:rPr>
                <w:szCs w:val="20"/>
              </w:rPr>
            </w:pPr>
            <w:r w:rsidRPr="00EA4C9B">
              <w:rPr>
                <w:rFonts w:ascii="Calibri" w:eastAsia="Times New Roman" w:hAnsi="Calibri" w:cs="Calibri"/>
                <w:szCs w:val="20"/>
                <w:lang w:eastAsia="en-GB"/>
              </w:rPr>
              <w:t xml:space="preserve">Tax on excavation areas </w:t>
            </w:r>
            <w:r w:rsidRPr="00EA4C9B">
              <w:rPr>
                <w:rFonts w:ascii="Calibri" w:eastAsia="Times New Roman" w:hAnsi="Calibri" w:cs="Calibri"/>
                <w:i/>
                <w:szCs w:val="20"/>
                <w:lang w:eastAsia="en-GB"/>
              </w:rPr>
              <w:t>(úhrada za dobývací priestor)</w:t>
            </w:r>
            <w:r w:rsidRPr="00EA4C9B">
              <w:rPr>
                <w:rStyle w:val="FootnoteReference"/>
                <w:rFonts w:ascii="Calibri" w:eastAsia="Times New Roman" w:hAnsi="Calibri" w:cs="Calibri"/>
                <w:i/>
                <w:szCs w:val="20"/>
                <w:lang w:eastAsia="en-GB"/>
              </w:rPr>
              <w:footnoteReference w:id="734"/>
            </w:r>
          </w:p>
        </w:tc>
        <w:tc>
          <w:tcPr>
            <w:tcW w:w="1710" w:type="dxa"/>
            <w:tcBorders>
              <w:top w:val="single" w:sz="6" w:space="0" w:color="auto"/>
              <w:left w:val="single" w:sz="6" w:space="0" w:color="auto"/>
              <w:bottom w:val="single" w:sz="6" w:space="0" w:color="auto"/>
              <w:right w:val="single" w:sz="6" w:space="0" w:color="auto"/>
            </w:tcBorders>
          </w:tcPr>
          <w:p w14:paraId="2C8690F3" w14:textId="77777777" w:rsidR="002435CD" w:rsidRPr="00EA4C9B" w:rsidRDefault="002435CD" w:rsidP="00F576FE">
            <w:pPr>
              <w:pStyle w:val="Table"/>
            </w:pPr>
            <w:r w:rsidRPr="00EA4C9B">
              <w:t>7.6</w:t>
            </w:r>
          </w:p>
        </w:tc>
        <w:tc>
          <w:tcPr>
            <w:tcW w:w="1890" w:type="dxa"/>
            <w:tcBorders>
              <w:top w:val="single" w:sz="6" w:space="0" w:color="auto"/>
              <w:left w:val="single" w:sz="6" w:space="0" w:color="auto"/>
              <w:bottom w:val="single" w:sz="6" w:space="0" w:color="auto"/>
              <w:right w:val="single" w:sz="6" w:space="0" w:color="auto"/>
            </w:tcBorders>
          </w:tcPr>
          <w:p w14:paraId="41739042" w14:textId="77777777" w:rsidR="002435CD" w:rsidRPr="00EA4C9B" w:rsidRDefault="002435CD" w:rsidP="00F576FE">
            <w:pPr>
              <w:pStyle w:val="Table"/>
            </w:pPr>
            <w:r w:rsidRPr="00EA4C9B">
              <w:t>0.5</w:t>
            </w:r>
          </w:p>
        </w:tc>
        <w:tc>
          <w:tcPr>
            <w:tcW w:w="1905" w:type="dxa"/>
            <w:tcBorders>
              <w:top w:val="single" w:sz="6" w:space="0" w:color="auto"/>
              <w:left w:val="single" w:sz="6" w:space="0" w:color="auto"/>
              <w:bottom w:val="single" w:sz="6" w:space="0" w:color="auto"/>
              <w:right w:val="single" w:sz="6" w:space="0" w:color="auto"/>
            </w:tcBorders>
          </w:tcPr>
          <w:p w14:paraId="09720B3C" w14:textId="77777777" w:rsidR="002435CD" w:rsidRPr="00EA4C9B" w:rsidRDefault="002435CD" w:rsidP="00F576FE">
            <w:pPr>
              <w:pStyle w:val="Table"/>
            </w:pPr>
            <w:r w:rsidRPr="00EA4C9B">
              <w:rPr>
                <w:rFonts w:ascii="Calibri" w:eastAsia="Times New Roman" w:hAnsi="Calibri" w:cs="Calibri"/>
                <w:szCs w:val="20"/>
                <w:lang w:eastAsia="en-GB"/>
              </w:rPr>
              <w:t>1.7% </w:t>
            </w:r>
          </w:p>
        </w:tc>
      </w:tr>
    </w:tbl>
    <w:p w14:paraId="7C07DDAD" w14:textId="77777777" w:rsidR="002435CD" w:rsidRPr="00EA4C9B" w:rsidRDefault="002435CD" w:rsidP="002435CD">
      <w:pPr>
        <w:spacing w:after="0"/>
        <w:textAlignment w:val="baseline"/>
        <w:rPr>
          <w:rFonts w:ascii="Segoe UI" w:eastAsia="Times New Roman" w:hAnsi="Segoe UI" w:cs="Segoe UI"/>
          <w:sz w:val="18"/>
          <w:szCs w:val="18"/>
          <w:lang w:eastAsia="en-GB"/>
        </w:rPr>
      </w:pPr>
      <w:r w:rsidRPr="00EA4C9B">
        <w:rPr>
          <w:rFonts w:ascii="Calibri" w:eastAsia="Times New Roman" w:hAnsi="Calibri" w:cs="Calibri"/>
          <w:lang w:eastAsia="en-GB"/>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5"/>
        <w:gridCol w:w="1710"/>
        <w:gridCol w:w="1890"/>
        <w:gridCol w:w="1905"/>
      </w:tblGrid>
      <w:tr w:rsidR="002435CD" w:rsidRPr="00EA4C9B" w14:paraId="519CAF25" w14:textId="77777777" w:rsidTr="004F0767">
        <w:trPr>
          <w:trHeight w:val="300"/>
        </w:trPr>
        <w:tc>
          <w:tcPr>
            <w:tcW w:w="9000" w:type="dxa"/>
            <w:gridSpan w:val="4"/>
            <w:tcBorders>
              <w:top w:val="single" w:sz="6" w:space="0" w:color="auto"/>
              <w:left w:val="single" w:sz="6" w:space="0" w:color="auto"/>
              <w:bottom w:val="single" w:sz="6" w:space="0" w:color="auto"/>
              <w:right w:val="single" w:sz="6" w:space="0" w:color="auto"/>
            </w:tcBorders>
            <w:shd w:val="clear" w:color="auto" w:fill="003399"/>
            <w:hideMark/>
          </w:tcPr>
          <w:p w14:paraId="54D02EB5" w14:textId="266DF97D" w:rsidR="002435CD" w:rsidRPr="00F576FE" w:rsidRDefault="0031315F" w:rsidP="00F576FE">
            <w:pPr>
              <w:pStyle w:val="Table"/>
              <w:rPr>
                <w:rFonts w:ascii="Times New Roman" w:eastAsia="Times New Roman" w:hAnsi="Times New Roman" w:cs="Times New Roman"/>
                <w:b/>
                <w:sz w:val="24"/>
                <w:lang w:eastAsia="en-GB"/>
              </w:rPr>
            </w:pPr>
            <w:r w:rsidRPr="00F576FE">
              <w:rPr>
                <w:b/>
                <w:color w:val="FFFFFF" w:themeColor="background1"/>
              </w:rPr>
              <w:t xml:space="preserve">Table </w:t>
            </w:r>
            <w:r w:rsidR="00490085">
              <w:rPr>
                <w:b/>
                <w:color w:val="FFFFFF" w:themeColor="background1"/>
              </w:rPr>
              <w:t>A6</w:t>
            </w:r>
            <w:r w:rsidR="00F576FE" w:rsidRPr="00F576FE">
              <w:rPr>
                <w:b/>
                <w:bCs/>
                <w:color w:val="FFFFFF" w:themeColor="background1"/>
              </w:rPr>
              <w:t>-</w:t>
            </w:r>
            <w:r w:rsidR="00F576FE" w:rsidRPr="00F576FE">
              <w:rPr>
                <w:b/>
                <w:bCs/>
                <w:color w:val="FFFFFF" w:themeColor="background1"/>
              </w:rPr>
              <w:fldChar w:fldCharType="begin"/>
            </w:r>
            <w:r w:rsidR="00F576FE" w:rsidRPr="00F576FE">
              <w:rPr>
                <w:b/>
                <w:bCs/>
                <w:color w:val="FFFFFF" w:themeColor="background1"/>
              </w:rPr>
              <w:instrText xml:space="preserve"> SEQ Table_A5- \* ARABIC </w:instrText>
            </w:r>
            <w:r w:rsidR="00F576FE" w:rsidRPr="00F576FE">
              <w:rPr>
                <w:b/>
                <w:bCs/>
                <w:color w:val="FFFFFF" w:themeColor="background1"/>
              </w:rPr>
              <w:fldChar w:fldCharType="separate"/>
            </w:r>
            <w:r w:rsidR="00BE61A1">
              <w:rPr>
                <w:b/>
                <w:bCs/>
                <w:noProof/>
                <w:color w:val="FFFFFF" w:themeColor="background1"/>
              </w:rPr>
              <w:t>120</w:t>
            </w:r>
            <w:r w:rsidR="00F576FE" w:rsidRPr="00F576FE">
              <w:rPr>
                <w:b/>
                <w:bCs/>
                <w:color w:val="FFFFFF" w:themeColor="background1"/>
              </w:rPr>
              <w:fldChar w:fldCharType="end"/>
            </w:r>
            <w:r w:rsidR="002435CD" w:rsidRPr="00F576FE">
              <w:rPr>
                <w:rFonts w:ascii="Calibri" w:eastAsia="Times New Roman" w:hAnsi="Calibri" w:cs="Calibri"/>
                <w:b/>
                <w:color w:val="FFFFFF" w:themeColor="background1"/>
                <w:szCs w:val="20"/>
                <w:lang w:eastAsia="en-GB"/>
              </w:rPr>
              <w:t>:  Waste taxes  </w:t>
            </w:r>
          </w:p>
        </w:tc>
      </w:tr>
      <w:tr w:rsidR="002435CD" w:rsidRPr="00EA4C9B" w14:paraId="3A71BFB5"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hideMark/>
          </w:tcPr>
          <w:p w14:paraId="02F7ECAC" w14:textId="77777777" w:rsidR="002435CD" w:rsidRPr="00EA4C9B" w:rsidRDefault="002435CD" w:rsidP="00F576FE">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0" w:type="dxa"/>
            <w:tcBorders>
              <w:top w:val="single" w:sz="6" w:space="0" w:color="auto"/>
              <w:left w:val="single" w:sz="6" w:space="0" w:color="auto"/>
              <w:bottom w:val="single" w:sz="6" w:space="0" w:color="auto"/>
              <w:right w:val="single" w:sz="6" w:space="0" w:color="auto"/>
            </w:tcBorders>
            <w:hideMark/>
          </w:tcPr>
          <w:p w14:paraId="7C3F27DF" w14:textId="77777777" w:rsidR="002435CD" w:rsidRPr="00EA4C9B" w:rsidRDefault="002435CD" w:rsidP="00F576FE">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Revenue (€ million)</w:t>
            </w:r>
            <w:r w:rsidRPr="00EA4C9B">
              <w:rPr>
                <w:rFonts w:ascii="Calibri" w:eastAsia="Times New Roman" w:hAnsi="Calibri" w:cs="Calibri"/>
                <w:szCs w:val="20"/>
                <w:lang w:eastAsia="en-GB"/>
              </w:rPr>
              <w:t> </w:t>
            </w:r>
          </w:p>
          <w:p w14:paraId="1DE9885B" w14:textId="77777777" w:rsidR="002435CD" w:rsidRPr="00EA4C9B" w:rsidRDefault="002435CD" w:rsidP="00F576FE">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2009-2023</w:t>
            </w:r>
            <w:r w:rsidRPr="00EA4C9B">
              <w:rPr>
                <w:rFonts w:ascii="Calibri" w:eastAsia="Times New Roman" w:hAnsi="Calibri" w:cs="Calibri"/>
                <w:szCs w:val="20"/>
                <w:lang w:eastAsia="en-GB"/>
              </w:rPr>
              <w:t> </w:t>
            </w:r>
          </w:p>
        </w:tc>
        <w:tc>
          <w:tcPr>
            <w:tcW w:w="1890" w:type="dxa"/>
            <w:tcBorders>
              <w:top w:val="single" w:sz="6" w:space="0" w:color="auto"/>
              <w:left w:val="single" w:sz="6" w:space="0" w:color="auto"/>
              <w:bottom w:val="single" w:sz="6" w:space="0" w:color="auto"/>
              <w:right w:val="single" w:sz="6" w:space="0" w:color="auto"/>
            </w:tcBorders>
            <w:hideMark/>
          </w:tcPr>
          <w:p w14:paraId="2320DC82" w14:textId="77777777" w:rsidR="002435CD" w:rsidRPr="00EA4C9B" w:rsidRDefault="002435CD" w:rsidP="00F576FE">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r w:rsidRPr="00EA4C9B">
              <w:rPr>
                <w:rFonts w:ascii="Calibri" w:eastAsia="Times New Roman" w:hAnsi="Calibri" w:cs="Calibri"/>
                <w:szCs w:val="20"/>
                <w:lang w:eastAsia="en-GB"/>
              </w:rPr>
              <w:t> </w:t>
            </w:r>
          </w:p>
        </w:tc>
        <w:tc>
          <w:tcPr>
            <w:tcW w:w="1905" w:type="dxa"/>
            <w:tcBorders>
              <w:top w:val="single" w:sz="6" w:space="0" w:color="auto"/>
              <w:left w:val="single" w:sz="6" w:space="0" w:color="auto"/>
              <w:bottom w:val="single" w:sz="6" w:space="0" w:color="auto"/>
              <w:right w:val="single" w:sz="6" w:space="0" w:color="auto"/>
            </w:tcBorders>
            <w:hideMark/>
          </w:tcPr>
          <w:p w14:paraId="3EB82BB6" w14:textId="77777777" w:rsidR="002435CD" w:rsidRPr="00EA4C9B" w:rsidRDefault="002435CD" w:rsidP="00F576FE">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waste tax revenues</w:t>
            </w:r>
            <w:r w:rsidRPr="00EA4C9B">
              <w:rPr>
                <w:rFonts w:ascii="Calibri" w:eastAsia="Times New Roman" w:hAnsi="Calibri" w:cs="Calibri"/>
                <w:szCs w:val="20"/>
                <w:lang w:eastAsia="en-GB"/>
              </w:rPr>
              <w:t> </w:t>
            </w:r>
          </w:p>
        </w:tc>
      </w:tr>
      <w:tr w:rsidR="002435CD" w:rsidRPr="00EA4C9B" w14:paraId="546A46E2" w14:textId="77777777" w:rsidTr="004F0767">
        <w:trPr>
          <w:trHeight w:val="300"/>
        </w:trPr>
        <w:tc>
          <w:tcPr>
            <w:tcW w:w="3495" w:type="dxa"/>
            <w:tcBorders>
              <w:top w:val="single" w:sz="6" w:space="0" w:color="auto"/>
              <w:left w:val="single" w:sz="6" w:space="0" w:color="auto"/>
              <w:bottom w:val="single" w:sz="6" w:space="0" w:color="auto"/>
              <w:right w:val="single" w:sz="6" w:space="0" w:color="auto"/>
            </w:tcBorders>
            <w:hideMark/>
          </w:tcPr>
          <w:p w14:paraId="38D44D62" w14:textId="77777777" w:rsidR="002435CD" w:rsidRPr="006D487D" w:rsidRDefault="002435CD" w:rsidP="00F576FE">
            <w:pPr>
              <w:pStyle w:val="Table"/>
              <w:rPr>
                <w:rFonts w:ascii="Times New Roman" w:eastAsia="Times New Roman" w:hAnsi="Times New Roman" w:cs="Times New Roman"/>
                <w:i/>
                <w:sz w:val="24"/>
                <w:lang w:val="pl-PL" w:eastAsia="en-GB"/>
              </w:rPr>
            </w:pPr>
            <w:r w:rsidRPr="006D487D">
              <w:rPr>
                <w:rFonts w:ascii="Calibri" w:eastAsia="Times New Roman" w:hAnsi="Calibri" w:cs="Calibri"/>
                <w:szCs w:val="20"/>
                <w:lang w:val="pl-PL" w:eastAsia="en-GB"/>
              </w:rPr>
              <w:t xml:space="preserve">Tax for waste disposal </w:t>
            </w:r>
            <w:r w:rsidRPr="006D487D">
              <w:rPr>
                <w:rFonts w:ascii="Calibri" w:eastAsia="Times New Roman" w:hAnsi="Calibri" w:cs="Calibri"/>
                <w:i/>
                <w:szCs w:val="20"/>
                <w:lang w:val="pl-PL" w:eastAsia="en-GB"/>
              </w:rPr>
              <w:t>(poplatok za uloženie odpadu)</w:t>
            </w:r>
            <w:r w:rsidRPr="00EA4C9B">
              <w:rPr>
                <w:rStyle w:val="FootnoteReference"/>
                <w:rFonts w:ascii="Calibri" w:eastAsia="Times New Roman" w:hAnsi="Calibri" w:cs="Calibri"/>
                <w:i/>
                <w:szCs w:val="20"/>
                <w:lang w:eastAsia="en-GB"/>
              </w:rPr>
              <w:footnoteReference w:id="735"/>
            </w:r>
          </w:p>
        </w:tc>
        <w:tc>
          <w:tcPr>
            <w:tcW w:w="1710" w:type="dxa"/>
            <w:tcBorders>
              <w:top w:val="single" w:sz="6" w:space="0" w:color="auto"/>
              <w:left w:val="single" w:sz="6" w:space="0" w:color="auto"/>
              <w:bottom w:val="single" w:sz="6" w:space="0" w:color="auto"/>
              <w:right w:val="single" w:sz="6" w:space="0" w:color="auto"/>
            </w:tcBorders>
            <w:hideMark/>
          </w:tcPr>
          <w:p w14:paraId="43A97F25" w14:textId="77777777" w:rsidR="002435CD" w:rsidRPr="00EA4C9B" w:rsidRDefault="002435CD" w:rsidP="00F576FE">
            <w:pPr>
              <w:pStyle w:val="Table"/>
              <w:rPr>
                <w:rFonts w:ascii="Times New Roman" w:eastAsia="Times New Roman" w:hAnsi="Times New Roman" w:cs="Times New Roman"/>
                <w:sz w:val="24"/>
                <w:lang w:eastAsia="en-GB"/>
              </w:rPr>
            </w:pPr>
            <w:r w:rsidRPr="00EA4C9B">
              <w:t>0.0</w:t>
            </w:r>
          </w:p>
        </w:tc>
        <w:tc>
          <w:tcPr>
            <w:tcW w:w="1890" w:type="dxa"/>
            <w:tcBorders>
              <w:top w:val="single" w:sz="6" w:space="0" w:color="auto"/>
              <w:left w:val="single" w:sz="6" w:space="0" w:color="auto"/>
              <w:bottom w:val="single" w:sz="6" w:space="0" w:color="auto"/>
              <w:right w:val="single" w:sz="6" w:space="0" w:color="auto"/>
            </w:tcBorders>
            <w:hideMark/>
          </w:tcPr>
          <w:p w14:paraId="587F8069" w14:textId="77777777" w:rsidR="002435CD" w:rsidRPr="00EA4C9B" w:rsidRDefault="002435CD" w:rsidP="00F576FE">
            <w:pPr>
              <w:pStyle w:val="Table"/>
              <w:rPr>
                <w:rFonts w:ascii="Times New Roman" w:eastAsia="Times New Roman" w:hAnsi="Times New Roman" w:cs="Times New Roman"/>
                <w:sz w:val="24"/>
                <w:lang w:eastAsia="en-GB"/>
              </w:rPr>
            </w:pPr>
            <w:r w:rsidRPr="00EA4C9B">
              <w:t>0.0</w:t>
            </w:r>
          </w:p>
        </w:tc>
        <w:tc>
          <w:tcPr>
            <w:tcW w:w="1905" w:type="dxa"/>
            <w:tcBorders>
              <w:top w:val="single" w:sz="6" w:space="0" w:color="auto"/>
              <w:left w:val="single" w:sz="6" w:space="0" w:color="auto"/>
              <w:bottom w:val="single" w:sz="6" w:space="0" w:color="auto"/>
              <w:right w:val="single" w:sz="6" w:space="0" w:color="auto"/>
            </w:tcBorders>
            <w:hideMark/>
          </w:tcPr>
          <w:p w14:paraId="2E6E3169" w14:textId="77777777" w:rsidR="002435CD" w:rsidRPr="00EA4C9B" w:rsidRDefault="002435CD" w:rsidP="00F576FE">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100% </w:t>
            </w:r>
          </w:p>
        </w:tc>
      </w:tr>
    </w:tbl>
    <w:p w14:paraId="0C2E3FB8" w14:textId="77777777" w:rsidR="002435CD" w:rsidRPr="00EA4C9B" w:rsidRDefault="002435CD" w:rsidP="002435CD">
      <w:pPr>
        <w:spacing w:after="0"/>
        <w:textAlignment w:val="baseline"/>
        <w:rPr>
          <w:rFonts w:ascii="Segoe UI" w:eastAsia="Times New Roman" w:hAnsi="Segoe UI" w:cs="Segoe UI"/>
          <w:sz w:val="18"/>
          <w:szCs w:val="18"/>
          <w:lang w:eastAsia="en-GB"/>
        </w:rPr>
      </w:pPr>
      <w:r w:rsidRPr="00EA4C9B">
        <w:rPr>
          <w:rFonts w:ascii="Calibri" w:eastAsia="Times New Roman" w:hAnsi="Calibri" w:cs="Calibri"/>
          <w:lang w:eastAsia="en-GB"/>
        </w:rPr>
        <w:t> </w:t>
      </w:r>
    </w:p>
    <w:p w14:paraId="654F33BC" w14:textId="77777777" w:rsidR="002435CD" w:rsidRPr="00EA4C9B" w:rsidRDefault="002435CD" w:rsidP="002435CD">
      <w:pPr>
        <w:spacing w:after="0"/>
        <w:jc w:val="left"/>
        <w:rPr>
          <w:rFonts w:ascii="Calibri" w:hAnsi="Calibri" w:cs="Calibri"/>
        </w:rPr>
      </w:pPr>
      <w:r w:rsidRPr="00EA4C9B">
        <w:rPr>
          <w:rFonts w:ascii="Calibri" w:hAnsi="Calibri" w:cs="Calibri"/>
        </w:rPr>
        <w:t>The Office for the Regulation of Network Industries (ÚRSO) oversees tariffs for drinking water and sanitation, as well as charges for water abstraction and pollution.</w:t>
      </w:r>
    </w:p>
    <w:p w14:paraId="2A808E7C" w14:textId="77777777" w:rsidR="002435CD" w:rsidRPr="00EA4C9B" w:rsidRDefault="002435CD" w:rsidP="002435CD">
      <w:pPr>
        <w:spacing w:after="0"/>
        <w:jc w:val="left"/>
        <w:rPr>
          <w:rFonts w:ascii="Calibri" w:hAnsi="Calibri" w:cs="Calibri"/>
        </w:rPr>
      </w:pPr>
    </w:p>
    <w:p w14:paraId="20E70710" w14:textId="77777777" w:rsidR="002435CD" w:rsidRPr="00EA4C9B" w:rsidRDefault="002435CD" w:rsidP="004C02E7">
      <w:pPr>
        <w:spacing w:after="0"/>
        <w:rPr>
          <w:rFonts w:ascii="Calibri" w:hAnsi="Calibri" w:cs="Calibri"/>
        </w:rPr>
      </w:pPr>
      <w:r w:rsidRPr="00EA4C9B">
        <w:rPr>
          <w:rFonts w:ascii="Calibri" w:hAnsi="Calibri" w:cs="Calibri"/>
        </w:rPr>
        <w:t xml:space="preserve">Any </w:t>
      </w:r>
      <w:r w:rsidRPr="00EA4C9B">
        <w:rPr>
          <w:rFonts w:ascii="Calibri" w:hAnsi="Calibri" w:cs="Calibri"/>
          <w:b/>
          <w:bCs/>
        </w:rPr>
        <w:t>abstraction</w:t>
      </w:r>
      <w:r w:rsidRPr="00EA4C9B">
        <w:rPr>
          <w:rFonts w:ascii="Calibri" w:hAnsi="Calibri" w:cs="Calibri"/>
        </w:rPr>
        <w:t xml:space="preserve"> of surface or groundwater above certain thresholds requires a permit from the State Water Administration Authority. Permits specify annual abstraction amounts and conditions, typically for up to 10 years. Small abstractions are exempted from permitting and controls. For permitted abstractions, payments and charges are determined by law. These charges are collected by the Slovak Environmental Fund and are used to subsidize water and wastewater projects. Slovakia’s water abstraction fees are set by national legislation and are differentiated by the purpose of use. The principal rates identified are: agricultural land irrigation 0.001 EUR per cubic meter and public water </w:t>
      </w:r>
      <w:r w:rsidRPr="00EA4C9B">
        <w:rPr>
          <w:rFonts w:ascii="Calibri" w:hAnsi="Calibri" w:cs="Calibri"/>
        </w:rPr>
        <w:lastRenderedPageBreak/>
        <w:t>supply systems 0.0332 EUR per cubic meter</w:t>
      </w:r>
      <w:r w:rsidRPr="00EA4C9B">
        <w:rPr>
          <w:rStyle w:val="FootnoteReference"/>
          <w:rFonts w:ascii="Calibri" w:hAnsi="Calibri" w:cs="Calibri"/>
        </w:rPr>
        <w:footnoteReference w:id="736"/>
      </w:r>
      <w:r w:rsidRPr="00EA4C9B">
        <w:rPr>
          <w:rFonts w:ascii="Calibri" w:hAnsi="Calibri" w:cs="Calibri"/>
        </w:rPr>
        <w:t>. These rates are estimates based on Slovak regulations and are cited in comparative legislative reviews.</w:t>
      </w:r>
    </w:p>
    <w:p w14:paraId="5A06A663" w14:textId="77777777" w:rsidR="002435CD" w:rsidRPr="00EA4C9B" w:rsidRDefault="002435CD" w:rsidP="004C02E7">
      <w:pPr>
        <w:spacing w:after="0"/>
        <w:rPr>
          <w:rFonts w:ascii="Calibri" w:hAnsi="Calibri" w:cs="Calibri"/>
        </w:rPr>
      </w:pPr>
    </w:p>
    <w:p w14:paraId="4C29F8EF" w14:textId="6DD302B2" w:rsidR="002435CD" w:rsidRPr="00EA4C9B" w:rsidRDefault="002435CD" w:rsidP="004C02E7">
      <w:pPr>
        <w:spacing w:after="0"/>
        <w:rPr>
          <w:rFonts w:ascii="Calibri" w:hAnsi="Calibri" w:cs="Calibri"/>
        </w:rPr>
      </w:pPr>
      <w:r w:rsidRPr="00EA4C9B">
        <w:rPr>
          <w:rFonts w:ascii="Calibri" w:hAnsi="Calibri" w:cs="Calibri"/>
          <w:b/>
          <w:bCs/>
        </w:rPr>
        <w:t>Fees connected with wastewater pollution</w:t>
      </w:r>
      <w:r w:rsidRPr="00EA4C9B">
        <w:rPr>
          <w:rFonts w:ascii="Calibri" w:hAnsi="Calibri" w:cs="Calibri"/>
        </w:rPr>
        <w:t xml:space="preserve"> were established in 1966 and are currently regulated by the Resolution of the Government of the Slovak Republic (755/2004)</w:t>
      </w:r>
      <w:r w:rsidRPr="00EA4C9B">
        <w:rPr>
          <w:rStyle w:val="FootnoteReference"/>
          <w:rFonts w:ascii="Calibri" w:hAnsi="Calibri" w:cs="Calibri"/>
        </w:rPr>
        <w:footnoteReference w:id="737"/>
      </w:r>
      <w:r w:rsidRPr="00EA4C9B">
        <w:rPr>
          <w:rFonts w:ascii="Calibri" w:hAnsi="Calibri" w:cs="Calibri"/>
        </w:rPr>
        <w:t xml:space="preserve">. The Regulation imposes charges not based solely on volume, but instead when pollutant concentrations exceed permitted limits and discharges exceed authorised thresholds. The pollution indicators are chemical oxygen demand, suspended solids, phosphorus, nitrogen, ammoniacal nitrogen, adsorbed organic halogen, mercury, cadmium, and soluble inorganic salts.  The tax base is set by the national government per kg of each pollutant, and the fees are calculated based on pollutant loads above permitted levels. </w:t>
      </w:r>
    </w:p>
    <w:p w14:paraId="013FC1EB" w14:textId="77777777" w:rsidR="002435CD" w:rsidRPr="00EA4C9B" w:rsidRDefault="002435CD" w:rsidP="004C02E7">
      <w:pPr>
        <w:spacing w:after="0"/>
        <w:rPr>
          <w:rFonts w:ascii="Calibri" w:hAnsi="Calibri" w:cs="Calibri"/>
        </w:rPr>
      </w:pPr>
    </w:p>
    <w:p w14:paraId="05FF06BA" w14:textId="77777777" w:rsidR="002435CD" w:rsidRPr="00EA4C9B" w:rsidRDefault="002435CD" w:rsidP="002435CD">
      <w:pPr>
        <w:rPr>
          <w:rFonts w:ascii="Calibri" w:hAnsi="Calibri" w:cs="Calibri"/>
        </w:rPr>
      </w:pPr>
      <w:r w:rsidRPr="00EA4C9B">
        <w:t>Revenues from abstraction and wastewater fees (as well as from air pollution, waste disposal, and excavation areas which are discussed further down) are used to provide income for the Environmental Fund. The Environmental Fund, established by Act No. 587/2004 and overseen by the Ministry of Environment, provides financial support for environmental protection, with use of the funds aligning with the priorities and objectives set out in national environmental policy</w:t>
      </w:r>
      <w:r w:rsidRPr="00EA4C9B">
        <w:rPr>
          <w:rStyle w:val="FootnoteReference"/>
        </w:rPr>
        <w:footnoteReference w:id="738"/>
      </w:r>
      <w:r w:rsidRPr="00EA4C9B">
        <w:t xml:space="preserve">. Its primary income derives from pollution-related fees, fines and penalties. </w:t>
      </w:r>
    </w:p>
    <w:p w14:paraId="23B1C372" w14:textId="5C437008" w:rsidR="002435CD" w:rsidRPr="00EA4C9B" w:rsidRDefault="002435CD" w:rsidP="004C02E7">
      <w:pPr>
        <w:spacing w:after="0"/>
        <w:rPr>
          <w:rFonts w:ascii="Calibri" w:hAnsi="Calibri" w:cs="Calibri"/>
        </w:rPr>
      </w:pPr>
      <w:r w:rsidRPr="00EA4C9B">
        <w:rPr>
          <w:rFonts w:ascii="Calibri" w:hAnsi="Calibri" w:cs="Calibri"/>
        </w:rPr>
        <w:t xml:space="preserve">The </w:t>
      </w:r>
      <w:r w:rsidRPr="00EA4C9B">
        <w:rPr>
          <w:rFonts w:ascii="Calibri" w:hAnsi="Calibri" w:cs="Calibri"/>
          <w:b/>
          <w:bCs/>
        </w:rPr>
        <w:t xml:space="preserve">fee connected with air pollution </w:t>
      </w:r>
      <w:r w:rsidRPr="00EA4C9B">
        <w:rPr>
          <w:rFonts w:ascii="Calibri" w:hAnsi="Calibri" w:cs="Calibri"/>
        </w:rPr>
        <w:t>was established in 2004 and is currently regulated by the Act on Air Pollution Charges (190/2023)</w:t>
      </w:r>
      <w:r w:rsidRPr="00EA4C9B">
        <w:rPr>
          <w:rStyle w:val="FootnoteReference"/>
          <w:rFonts w:ascii="Calibri" w:hAnsi="Calibri" w:cs="Calibri"/>
        </w:rPr>
        <w:footnoteReference w:id="739"/>
      </w:r>
      <w:r w:rsidRPr="00EA4C9B">
        <w:rPr>
          <w:rFonts w:ascii="Calibri" w:hAnsi="Calibri" w:cs="Calibri"/>
        </w:rPr>
        <w:t>. The taxpayers are the firms operating stationary sources of air pollution.  This tax was established to limit emissions into the air, with the sources of air pollution categorised by size (large, medium, and small).  The tax base is set by the central authority and is the quantity of emissions discharged.  The tax rate is set by the central authority and is determined by the quantity of emissions during the preceding calendar year (or, if the source has ceased to exist or the operator changed, the period of the relevant year up to the date of said change).  The taxpayers calculate the expected fee based on the prescribed method with the final fee decided by the administrative authority. The taxes apply nationally with regional differences; in the case of small sources of pollution, a tax is mandated only if the municipality has issued a general binding regulation.  The revenue of large and medium-sized sources is earmarked for the Environmental Fund, and the revenue of the small sources is earmarked for the municipality concerned.</w:t>
      </w:r>
    </w:p>
    <w:p w14:paraId="75A3C264" w14:textId="77777777" w:rsidR="002435CD" w:rsidRPr="00EA4C9B" w:rsidRDefault="002435CD" w:rsidP="004C02E7">
      <w:pPr>
        <w:spacing w:after="0"/>
        <w:rPr>
          <w:rFonts w:ascii="Calibri" w:hAnsi="Calibri" w:cs="Calibri"/>
        </w:rPr>
      </w:pPr>
    </w:p>
    <w:p w14:paraId="266573F3" w14:textId="348014B1" w:rsidR="002435CD" w:rsidRPr="00EA4C9B" w:rsidRDefault="002435CD" w:rsidP="004C02E7">
      <w:pPr>
        <w:spacing w:after="0"/>
        <w:rPr>
          <w:rFonts w:ascii="Calibri" w:hAnsi="Calibri" w:cs="Calibri"/>
        </w:rPr>
      </w:pPr>
      <w:r w:rsidRPr="00EA4C9B">
        <w:rPr>
          <w:rFonts w:ascii="Calibri" w:hAnsi="Calibri" w:cs="Calibri"/>
        </w:rPr>
        <w:t xml:space="preserve">The </w:t>
      </w:r>
      <w:r w:rsidRPr="00EA4C9B">
        <w:rPr>
          <w:rFonts w:ascii="Calibri" w:hAnsi="Calibri" w:cs="Calibri"/>
          <w:b/>
          <w:bCs/>
        </w:rPr>
        <w:t>tax on excavation areas</w:t>
      </w:r>
      <w:r w:rsidRPr="00EA4C9B">
        <w:rPr>
          <w:rStyle w:val="FootnoteReference"/>
          <w:rFonts w:ascii="Calibri" w:hAnsi="Calibri" w:cs="Calibri"/>
          <w:b/>
          <w:bCs/>
        </w:rPr>
        <w:footnoteReference w:id="740"/>
      </w:r>
      <w:r w:rsidRPr="00EA4C9B">
        <w:rPr>
          <w:rFonts w:ascii="Calibri" w:hAnsi="Calibri" w:cs="Calibri"/>
          <w:b/>
          <w:bCs/>
        </w:rPr>
        <w:t xml:space="preserve"> </w:t>
      </w:r>
      <w:r w:rsidRPr="00EA4C9B">
        <w:rPr>
          <w:rFonts w:ascii="Calibri" w:hAnsi="Calibri" w:cs="Calibri"/>
        </w:rPr>
        <w:t>was established in 1992 and is currently subject to the Regulation of the Government of the Slovak Republic on Payment for Mining Area, Payment for Extracted Minerals and Payment for Storage of Gases or Liquids (50/2002)</w:t>
      </w:r>
      <w:r w:rsidRPr="00EA4C9B">
        <w:rPr>
          <w:rStyle w:val="FootnoteReference"/>
          <w:rFonts w:ascii="Calibri" w:hAnsi="Calibri" w:cs="Calibri"/>
        </w:rPr>
        <w:footnoteReference w:id="741"/>
      </w:r>
      <w:r w:rsidRPr="00EA4C9B">
        <w:rPr>
          <w:rFonts w:ascii="Calibri" w:hAnsi="Calibri" w:cs="Calibri"/>
        </w:rPr>
        <w:t>. The taxpayers are the mining firms (B05, B07, B08). The tax base is set by the central authority and is the extracted minerals and the mining area.  The tax rate is the product of the remuneration rate and the mining area (in km</w:t>
      </w:r>
      <w:r w:rsidRPr="00EA4C9B">
        <w:rPr>
          <w:rFonts w:ascii="Calibri" w:hAnsi="Calibri" w:cs="Calibri"/>
          <w:vertAlign w:val="superscript"/>
        </w:rPr>
        <w:t>2</w:t>
      </w:r>
      <w:r w:rsidRPr="00EA4C9B">
        <w:rPr>
          <w:rFonts w:ascii="Calibri" w:hAnsi="Calibri" w:cs="Calibri"/>
        </w:rPr>
        <w:t>). The tax applies nationally with no regional differences.</w:t>
      </w:r>
      <w:r w:rsidR="00254BBC">
        <w:rPr>
          <w:rFonts w:ascii="Calibri" w:hAnsi="Calibri" w:cs="Calibri"/>
        </w:rPr>
        <w:t xml:space="preserve"> </w:t>
      </w:r>
      <w:r w:rsidRPr="00EA4C9B">
        <w:rPr>
          <w:rFonts w:ascii="Calibri" w:hAnsi="Calibri" w:cs="Calibri"/>
        </w:rPr>
        <w:t>Although reimbursements from mining extraction are also used to finance the Environment Fund</w:t>
      </w:r>
      <w:r w:rsidRPr="00EA4C9B" w:rsidDel="006A525A">
        <w:rPr>
          <w:rFonts w:ascii="Calibri" w:hAnsi="Calibri" w:cs="Calibri"/>
        </w:rPr>
        <w:t xml:space="preserve"> </w:t>
      </w:r>
      <w:r w:rsidRPr="00EA4C9B">
        <w:rPr>
          <w:rFonts w:ascii="Calibri" w:hAnsi="Calibri" w:cs="Calibri"/>
        </w:rPr>
        <w:t xml:space="preserve">the majority of the revenue is earmarked, with the District </w:t>
      </w:r>
      <w:r w:rsidRPr="00EA4C9B">
        <w:rPr>
          <w:rFonts w:ascii="Calibri" w:hAnsi="Calibri" w:cs="Calibri"/>
        </w:rPr>
        <w:lastRenderedPageBreak/>
        <w:t xml:space="preserve">Mining Authority distributing 80% of the proceeds of the payment for the mining area to the municipalities according to the size of the parts of the mining area in their territories. </w:t>
      </w:r>
    </w:p>
    <w:p w14:paraId="1D1DE581" w14:textId="77777777" w:rsidR="002435CD" w:rsidRPr="00EA4C9B" w:rsidRDefault="002435CD" w:rsidP="004C02E7">
      <w:pPr>
        <w:spacing w:after="0"/>
        <w:rPr>
          <w:rFonts w:ascii="Calibri" w:hAnsi="Calibri" w:cs="Calibri"/>
        </w:rPr>
      </w:pPr>
    </w:p>
    <w:p w14:paraId="1EFA507F" w14:textId="7E989A1B" w:rsidR="002435CD" w:rsidRPr="00EA4C9B" w:rsidRDefault="002435CD" w:rsidP="004C02E7">
      <w:pPr>
        <w:spacing w:after="0"/>
        <w:rPr>
          <w:rFonts w:ascii="Calibri" w:hAnsi="Calibri" w:cs="Calibri"/>
        </w:rPr>
      </w:pPr>
      <w:r w:rsidRPr="00EA4C9B">
        <w:rPr>
          <w:rFonts w:ascii="Calibri" w:hAnsi="Calibri" w:cs="Calibri"/>
        </w:rPr>
        <w:t xml:space="preserve">The </w:t>
      </w:r>
      <w:r w:rsidRPr="00EA4C9B">
        <w:rPr>
          <w:rFonts w:ascii="Calibri" w:hAnsi="Calibri" w:cs="Calibri"/>
          <w:b/>
          <w:bCs/>
        </w:rPr>
        <w:t xml:space="preserve">tax for waste disposal </w:t>
      </w:r>
      <w:r w:rsidRPr="00EA4C9B">
        <w:rPr>
          <w:rFonts w:ascii="Calibri" w:hAnsi="Calibri" w:cs="Calibri"/>
        </w:rPr>
        <w:t>was established in 2016 and amended in 2018 and is currently regulated by the Act on Fees for Waste Disposal (329/2018)</w:t>
      </w:r>
      <w:r w:rsidRPr="00EA4C9B">
        <w:rPr>
          <w:rStyle w:val="FootnoteReference"/>
          <w:rFonts w:ascii="Calibri" w:hAnsi="Calibri" w:cs="Calibri"/>
        </w:rPr>
        <w:footnoteReference w:id="742"/>
      </w:r>
      <w:r w:rsidRPr="00EA4C9B">
        <w:rPr>
          <w:rFonts w:ascii="Calibri" w:hAnsi="Calibri" w:cs="Calibri"/>
        </w:rPr>
        <w:t>. This tax covers disposal of construction, industrial and municipal waste to landfill or sludge pond (excluding mining waste). The taxpayer is the last holder of the waste being disposed of; for municipal waste, the taxpayer is the municipality. The tax base is set by the central authority and is the quantity of waste. The tax rate is set by the central authority and is determined by the amount of waste (by weight) and category of waste according to a special regulation.</w:t>
      </w:r>
      <w:r w:rsidR="00254BBC">
        <w:rPr>
          <w:rFonts w:ascii="Calibri" w:hAnsi="Calibri" w:cs="Calibri"/>
        </w:rPr>
        <w:t xml:space="preserve"> </w:t>
      </w:r>
      <w:r w:rsidRPr="00EA4C9B">
        <w:rPr>
          <w:rFonts w:ascii="Calibri" w:hAnsi="Calibri" w:cs="Calibri"/>
        </w:rPr>
        <w:t>The tax applies nationally with no regional differences.  Revenue is earmarked for the Environmental Fund.</w:t>
      </w:r>
    </w:p>
    <w:p w14:paraId="03EEC852" w14:textId="77777777" w:rsidR="002435CD" w:rsidRPr="00EA4C9B" w:rsidRDefault="002435CD" w:rsidP="002435CD">
      <w:pPr>
        <w:pStyle w:val="Heading4"/>
      </w:pPr>
      <w:r w:rsidRPr="00EA4C9B">
        <w:t>Fees and other related instruments</w:t>
      </w:r>
    </w:p>
    <w:p w14:paraId="7A879D65" w14:textId="73CF1771" w:rsidR="002435CD" w:rsidRPr="00EA4C9B" w:rsidRDefault="002435CD" w:rsidP="002435CD">
      <w:pPr>
        <w:rPr>
          <w:rFonts w:ascii="Calibri" w:hAnsi="Calibri" w:cs="Calibri"/>
        </w:rPr>
      </w:pPr>
      <w:r w:rsidRPr="00EA4C9B">
        <w:rPr>
          <w:rFonts w:ascii="Calibri" w:hAnsi="Calibri" w:cs="Calibri"/>
        </w:rPr>
        <w:t xml:space="preserve">The Environmental Fund's main sources of income, alongside taxes, include </w:t>
      </w:r>
      <w:r w:rsidRPr="00EA4C9B">
        <w:rPr>
          <w:rFonts w:ascii="Calibri" w:hAnsi="Calibri" w:cs="Calibri"/>
          <w:b/>
          <w:bCs/>
        </w:rPr>
        <w:t>penalties and fines</w:t>
      </w:r>
      <w:r w:rsidRPr="00EA4C9B">
        <w:rPr>
          <w:rFonts w:ascii="Calibri" w:hAnsi="Calibri" w:cs="Calibri"/>
        </w:rPr>
        <w:t xml:space="preserve"> for the violation of various environment-related laws</w:t>
      </w:r>
      <w:r w:rsidRPr="00EA4C9B">
        <w:rPr>
          <w:rStyle w:val="FootnoteReference"/>
          <w:rFonts w:ascii="Calibri" w:hAnsi="Calibri" w:cs="Calibri"/>
        </w:rPr>
        <w:footnoteReference w:id="743"/>
      </w:r>
      <w:r w:rsidRPr="00EA4C9B">
        <w:rPr>
          <w:rFonts w:ascii="Calibri" w:hAnsi="Calibri" w:cs="Calibri"/>
        </w:rPr>
        <w:t>. Examples of activities or non-compliance that can lead to these penalties and fines include</w:t>
      </w:r>
      <w:r w:rsidR="00BB1A1A">
        <w:rPr>
          <w:rFonts w:ascii="Calibri" w:hAnsi="Calibri" w:cs="Calibri"/>
        </w:rPr>
        <w:t>:</w:t>
      </w:r>
      <w:r w:rsidRPr="00EA4C9B">
        <w:rPr>
          <w:rFonts w:ascii="Calibri" w:hAnsi="Calibri" w:cs="Calibri"/>
        </w:rPr>
        <w:t xml:space="preserve"> illegal placement or dumping of waste, exceeding pollution limits, violations of the Act on Air, and infringement of duties in the waste legislation. These penalties and fines are intended to deter illegal activities or non-compliance with environmental regulations, rather than to function as charges for lawful environmental use or emissions within permitted limits, which is the usual role of environmental taxes or fees. Although such penalties may contribute to environmental funding, they are fundamentally based on breaches of environmental law.</w:t>
      </w:r>
    </w:p>
    <w:p w14:paraId="3FAE20F4" w14:textId="77777777" w:rsidR="002435CD" w:rsidRPr="00EA4C9B" w:rsidRDefault="002435CD" w:rsidP="002435CD">
      <w:pPr>
        <w:rPr>
          <w:rFonts w:ascii="Calibri" w:hAnsi="Calibri" w:cs="Calibri"/>
        </w:rPr>
      </w:pPr>
      <w:r w:rsidRPr="00EA4C9B">
        <w:rPr>
          <w:rFonts w:ascii="Calibri" w:hAnsi="Calibri" w:cs="Calibri"/>
        </w:rPr>
        <w:t xml:space="preserve">A </w:t>
      </w:r>
      <w:r w:rsidRPr="00EA4C9B">
        <w:rPr>
          <w:rFonts w:ascii="Calibri" w:hAnsi="Calibri" w:cs="Calibri"/>
          <w:b/>
          <w:bCs/>
        </w:rPr>
        <w:t>local fee for municipal waste</w:t>
      </w:r>
      <w:r w:rsidRPr="00EA4C9B">
        <w:rPr>
          <w:rFonts w:ascii="Calibri" w:hAnsi="Calibri" w:cs="Calibri"/>
        </w:rPr>
        <w:t xml:space="preserve"> and small construction waste is collected by the municipality based on generally binding municipal regulation that is typically annually set, with the amount of the flat rate of this fee varying between different regions. While related to waste management (which falls under pollution/resource taxes at the landfill stage), the municipal fee targets covering the costs of collection and management services provided by the municipality. This contrasts with a tax designed purely to internalise the environmental externality of waste generation or disposal itself, although the fee amount can also act as an incentive for waste reduction/sorting.</w:t>
      </w:r>
      <w:r w:rsidRPr="00EA4C9B" w:rsidDel="00CF75C9">
        <w:rPr>
          <w:rFonts w:ascii="Calibri" w:hAnsi="Calibri" w:cs="Calibri"/>
        </w:rPr>
        <w:t xml:space="preserve"> </w:t>
      </w:r>
    </w:p>
    <w:p w14:paraId="163314D3" w14:textId="77777777" w:rsidR="002435CD" w:rsidRPr="00EA4C9B" w:rsidRDefault="002435CD" w:rsidP="002435CD">
      <w:r w:rsidRPr="00EA4C9B">
        <w:rPr>
          <w:rFonts w:ascii="Calibri" w:hAnsi="Calibri" w:cs="Calibri"/>
        </w:rPr>
        <w:t xml:space="preserve">Effective from 1 January 2022, Slovakia introduced a </w:t>
      </w:r>
      <w:r w:rsidRPr="00EA4C9B">
        <w:rPr>
          <w:rFonts w:ascii="Calibri" w:hAnsi="Calibri" w:cs="Calibri"/>
          <w:b/>
          <w:bCs/>
        </w:rPr>
        <w:t>deposit return system</w:t>
      </w:r>
      <w:r w:rsidRPr="00EA4C9B">
        <w:rPr>
          <w:rFonts w:ascii="Calibri" w:hAnsi="Calibri" w:cs="Calibri"/>
        </w:rPr>
        <w:t xml:space="preserve"> for single-use beverage packaging, including plastic bottles and metal cans</w:t>
      </w:r>
      <w:r w:rsidRPr="00EA4C9B">
        <w:rPr>
          <w:rStyle w:val="FootnoteReference"/>
          <w:rFonts w:ascii="Calibri" w:hAnsi="Calibri" w:cs="Calibri"/>
        </w:rPr>
        <w:footnoteReference w:id="744"/>
      </w:r>
      <w:r w:rsidRPr="00EA4C9B">
        <w:rPr>
          <w:rFonts w:ascii="Calibri" w:hAnsi="Calibri" w:cs="Calibri"/>
        </w:rPr>
        <w:t>. Consumers pay a deposit upon purchase, which is refunded when the packaging is returned for recycling. This initiative aims to enhance recycling rates and reduce littering.</w:t>
      </w:r>
      <w:r w:rsidRPr="00EA4C9B">
        <w:t xml:space="preserve"> </w:t>
      </w:r>
    </w:p>
    <w:p w14:paraId="40B29082" w14:textId="77777777" w:rsidR="002435CD" w:rsidRPr="00EA4C9B" w:rsidRDefault="002435CD" w:rsidP="002435CD">
      <w:pPr>
        <w:rPr>
          <w:rFonts w:ascii="Calibri" w:hAnsi="Calibri" w:cs="Calibri"/>
        </w:rPr>
      </w:pPr>
      <w:r w:rsidRPr="00EA4C9B">
        <w:t xml:space="preserve">A fee on lightweight </w:t>
      </w:r>
      <w:r w:rsidRPr="00EA4C9B">
        <w:rPr>
          <w:b/>
          <w:bCs/>
        </w:rPr>
        <w:t>plastic carrier bags</w:t>
      </w:r>
      <w:r w:rsidRPr="00EA4C9B">
        <w:t xml:space="preserve"> was introduced in early 2018, and by the end of 2019, this was expanded to include all plastic carrier bags, with the exception of very lightweight ones</w:t>
      </w:r>
      <w:r w:rsidRPr="00EA4C9B">
        <w:rPr>
          <w:rStyle w:val="FootnoteReference"/>
        </w:rPr>
        <w:footnoteReference w:id="745"/>
      </w:r>
      <w:r w:rsidRPr="00EA4C9B">
        <w:t>.</w:t>
      </w:r>
    </w:p>
    <w:p w14:paraId="1D5EAB5D" w14:textId="77777777" w:rsidR="002435CD" w:rsidRPr="00EA4C9B" w:rsidRDefault="002435CD" w:rsidP="002435CD">
      <w:pPr>
        <w:rPr>
          <w:rFonts w:ascii="Calibri" w:hAnsi="Calibri" w:cs="Calibri"/>
        </w:rPr>
      </w:pPr>
      <w:r w:rsidRPr="00EA4C9B">
        <w:rPr>
          <w:rFonts w:ascii="Calibri" w:hAnsi="Calibri" w:cs="Calibri"/>
        </w:rPr>
        <w:t xml:space="preserve">In Slovakia, both hunting and fishing are regulated activities requiring appropriate </w:t>
      </w:r>
      <w:r w:rsidRPr="00EA4C9B">
        <w:rPr>
          <w:rFonts w:ascii="Calibri" w:hAnsi="Calibri" w:cs="Calibri"/>
          <w:b/>
          <w:bCs/>
        </w:rPr>
        <w:t>licences and permits</w:t>
      </w:r>
      <w:r w:rsidRPr="00EA4C9B">
        <w:rPr>
          <w:rFonts w:ascii="Calibri" w:hAnsi="Calibri" w:cs="Calibri"/>
        </w:rPr>
        <w:t xml:space="preserve">. Fishing requires both a licence and a permit, with licence fees ranging from €1.50 for a week </w:t>
      </w:r>
      <w:r w:rsidRPr="00EA4C9B">
        <w:rPr>
          <w:rFonts w:ascii="Calibri" w:hAnsi="Calibri" w:cs="Calibri"/>
        </w:rPr>
        <w:lastRenderedPageBreak/>
        <w:t>to €17.00 for three years, and exemptions available for specific groups</w:t>
      </w:r>
      <w:r w:rsidRPr="00EA4C9B">
        <w:rPr>
          <w:rStyle w:val="FootnoteReference"/>
          <w:rFonts w:ascii="Calibri" w:hAnsi="Calibri" w:cs="Calibri"/>
        </w:rPr>
        <w:footnoteReference w:id="746"/>
      </w:r>
      <w:r w:rsidRPr="00EA4C9B">
        <w:rPr>
          <w:rFonts w:ascii="Calibri" w:hAnsi="Calibri" w:cs="Calibri"/>
        </w:rPr>
        <w:t>. Fishing permits, issued by local associations, vary in cost depending on the area and whether the angler is a member, with non-members typically paying higher daily rates.</w:t>
      </w:r>
      <w:r w:rsidRPr="00EA4C9B">
        <w:t xml:space="preserve">  </w:t>
      </w:r>
      <w:r w:rsidRPr="00EA4C9B">
        <w:rPr>
          <w:rFonts w:ascii="Calibri" w:hAnsi="Calibri" w:cs="Calibri"/>
        </w:rPr>
        <w:t>Hunting in Slovakia requires a valid licence, with fees ranging from €10 for a week to €80 for ten years for Slovak citizens, and higher rates for foreigners, starting at €50 weekly. Additional fees may apply for foreign guests, including combined licence and insurance packages. These fees do not qualify as environmental taxes because their payment is not unrequited (the payment is made in exchange for a right or service (i.e., the legal right to hunt or fish) and the base is not a unit of environmental harm (e.g. emissions, pollution, resource extraction volume), but rather the activity or administrative process.</w:t>
      </w:r>
    </w:p>
    <w:p w14:paraId="53E0C3FC" w14:textId="77777777" w:rsidR="002435CD" w:rsidRPr="00EA4C9B" w:rsidRDefault="002435CD" w:rsidP="002435CD">
      <w:pPr>
        <w:rPr>
          <w:rFonts w:ascii="Calibri" w:hAnsi="Calibri" w:cs="Calibri"/>
        </w:rPr>
      </w:pPr>
      <w:r w:rsidRPr="00EA4C9B">
        <w:rPr>
          <w:rFonts w:ascii="Calibri" w:hAnsi="Calibri" w:cs="Calibri"/>
        </w:rPr>
        <w:t xml:space="preserve">Another common fiscal instrument discussed in the context of sustainability or environmental impacts (e.g. managing over-tourism) but that do not qualify as environmental tax is the so-called </w:t>
      </w:r>
      <w:r w:rsidRPr="00EA4C9B">
        <w:rPr>
          <w:rFonts w:ascii="Calibri" w:hAnsi="Calibri" w:cs="Calibri"/>
          <w:b/>
          <w:bCs/>
        </w:rPr>
        <w:t>“tourist tax”</w:t>
      </w:r>
      <w:r w:rsidRPr="00EA4C9B">
        <w:rPr>
          <w:rFonts w:ascii="Calibri" w:hAnsi="Calibri" w:cs="Calibri"/>
        </w:rPr>
        <w:t>.  The tax is typically collected by accommodation providers, is levied per person, per night, and varies by municipality. This is an unrequited payment, for which the base is presence or overnight stays, rather than a physical unit of pollution or environmental harm. Tourist activity (and over-tourism) may have environmental consequences (e.g. waste, emissions), but the tax is not calculated on that basis.</w:t>
      </w:r>
    </w:p>
    <w:p w14:paraId="75FB6197" w14:textId="77777777" w:rsidR="00B4648C" w:rsidRPr="00EA4C9B" w:rsidRDefault="00B4648C" w:rsidP="00B4648C">
      <w:pPr>
        <w:pStyle w:val="Heading4"/>
        <w:spacing w:before="0"/>
      </w:pPr>
      <w:r w:rsidRPr="00EA4C9B">
        <w:t>Inconsistencies and inefficiencies in the current tax system</w:t>
      </w:r>
    </w:p>
    <w:p w14:paraId="48090DF7" w14:textId="3754874E" w:rsidR="002435CD" w:rsidRPr="00EA4C9B" w:rsidRDefault="002435CD" w:rsidP="002435CD">
      <w:r>
        <w:t xml:space="preserve">Slovakia has one of the lowest air pollution charges for </w:t>
      </w:r>
      <w:r w:rsidR="00DA126B" w:rsidRPr="00613B76">
        <w:t>SO</w:t>
      </w:r>
      <w:r w:rsidR="00DA126B" w:rsidRPr="00613B76">
        <w:rPr>
          <w:vertAlign w:val="subscript"/>
        </w:rPr>
        <w:t>2</w:t>
      </w:r>
      <w:r w:rsidR="00613B76">
        <w:t>, NO</w:t>
      </w:r>
      <w:r w:rsidR="00613B76">
        <w:rPr>
          <w:vertAlign w:val="subscript"/>
        </w:rPr>
        <w:t>x</w:t>
      </w:r>
      <w:r w:rsidR="00613B76">
        <w:t xml:space="preserve"> and PM</w:t>
      </w:r>
      <w:r w:rsidR="00613B76">
        <w:rPr>
          <w:vertAlign w:val="subscript"/>
        </w:rPr>
        <w:t>2.5</w:t>
      </w:r>
      <w:r w:rsidR="00613B76">
        <w:t>.</w:t>
      </w:r>
      <w:r>
        <w:t xml:space="preserve"> Nominal tax rates on air pollutants have remained unchanged since 1998. In </w:t>
      </w:r>
      <w:r w:rsidR="00B4648C">
        <w:t>addition,</w:t>
      </w:r>
      <w:r>
        <w:t xml:space="preserve"> emission rates are following a downward trend so that revenues are decreasing, marginal external damages are still reported to be higher than taxes. The lack of tax indexation has also been identified for other taxes, such as the land fill tax. Legislation on water covers both abstraction and discharge. Agriculture was integrated in the Slovak water charge scheme in 2017 at a much lower price than industry, although similar volumes of water are abstracted. Taxes on wastewater are applied to entities discharging sufficient volumes and depend on pollutant type, concentration and limit values. </w:t>
      </w:r>
    </w:p>
    <w:p w14:paraId="1E699393" w14:textId="77777777" w:rsidR="002435CD" w:rsidRPr="00EA4C9B" w:rsidRDefault="002435CD" w:rsidP="002435CD">
      <w:r w:rsidRPr="00EA4C9B">
        <w:t xml:space="preserve">OECD (2020) notes that some </w:t>
      </w:r>
      <w:r w:rsidRPr="00EA4C9B">
        <w:rPr>
          <w:b/>
          <w:bCs/>
        </w:rPr>
        <w:t>high energy sectors</w:t>
      </w:r>
      <w:r w:rsidRPr="00EA4C9B">
        <w:t xml:space="preserve"> in Slovakia often receive preferential treatment under energy tax regimes, resulting in under-pricing of environmental damage such as CO₂ and air pollutant emissions. </w:t>
      </w:r>
    </w:p>
    <w:p w14:paraId="534F35E2" w14:textId="77777777" w:rsidR="002435CD" w:rsidRPr="00EA4C9B" w:rsidRDefault="002435CD" w:rsidP="002435CD">
      <w:pPr>
        <w:pStyle w:val="Heading4"/>
      </w:pPr>
      <w:r w:rsidRPr="00EA4C9B">
        <w:t>Proposed or postponed environmental taxes</w:t>
      </w:r>
    </w:p>
    <w:p w14:paraId="20D303E2" w14:textId="77777777" w:rsidR="002435CD" w:rsidRPr="00EA4C9B" w:rsidRDefault="002435CD" w:rsidP="002435CD">
      <w:r w:rsidRPr="00EA4C9B">
        <w:t xml:space="preserve">Research suggests that the Slovak Republic has not recently introduced any environmentally related tax instruments. </w:t>
      </w:r>
    </w:p>
    <w:p w14:paraId="5A48B457" w14:textId="77777777" w:rsidR="002435CD" w:rsidRPr="00EA4C9B" w:rsidRDefault="002435CD" w:rsidP="002435CD">
      <w:r w:rsidRPr="00EA4C9B">
        <w:t>In the draft law amending the Waste Act currently under approval, a ban on energy recovery of waste that can be recovered or recycled is being proposed (Ministry of the Environment of the Slovak Republic &amp; Slovak Environmental Agency, 2021).</w:t>
      </w:r>
    </w:p>
    <w:p w14:paraId="323B5322" w14:textId="77777777" w:rsidR="002435CD" w:rsidRPr="00EA4C9B" w:rsidRDefault="002435CD" w:rsidP="002435CD">
      <w:r w:rsidRPr="00EA4C9B">
        <w:t>The "Greener Slovakia" strategy (2019) outlined Slovakia's environmental policy until 2030</w:t>
      </w:r>
      <w:r w:rsidRPr="00EA4C9B">
        <w:rPr>
          <w:rStyle w:val="FootnoteReference"/>
        </w:rPr>
        <w:footnoteReference w:id="747"/>
      </w:r>
      <w:r w:rsidRPr="00EA4C9B">
        <w:t xml:space="preserve">. The strategy proposes a fiscally neutral environmental tax reform as part of a broader tax overhaul, aiming to shift the tax burden onto environmentally harmful activities. Measures under consideration included removing unjustified excise duty exemptions and introducing new pollution-related taxes. Carbon leakage from emissions trading areas was highlighted as an area to address. Carbon taxation </w:t>
      </w:r>
      <w:r w:rsidRPr="00EA4C9B">
        <w:lastRenderedPageBreak/>
        <w:t xml:space="preserve">in sectors such as transport, construction, agriculture, and waste incineration were viewed as a cost-effective way to cut greenhouse gas emissions and a review of taxes on harmful substances in consumer products like batteries and gases is planned. The strategy highlights that fuel prices should reflect their environmental impacts. Stating that fossil fuels will therefore gradually balance the tax burden on petrol and diesel. On the issue of air pollution, the strategy mentions that the air pollution taxation system will be designed to be both efficient and incentivising, with potential implementation of an emissions trading scheme for air pollutants will be explored. </w:t>
      </w:r>
    </w:p>
    <w:p w14:paraId="28F11DEA" w14:textId="77777777" w:rsidR="002435CD" w:rsidRPr="00EA4C9B" w:rsidRDefault="002435CD" w:rsidP="002435CD">
      <w:pPr>
        <w:pStyle w:val="Heading4"/>
      </w:pPr>
      <w:r w:rsidRPr="00EA4C9B">
        <w:t>Conclusions, country-specific recommendations and reform progress</w:t>
      </w:r>
    </w:p>
    <w:p w14:paraId="45155653" w14:textId="77777777" w:rsidR="002435CD" w:rsidRPr="00EA4C9B" w:rsidRDefault="002435CD" w:rsidP="002435CD">
      <w:r w:rsidRPr="00EA4C9B">
        <w:t>In its 2024 Environmental Performance Reviews, the OECD stated that while Slovakia has pledged to implement a fiscally neutral green tax reform, progress has been limited</w:t>
      </w:r>
      <w:r w:rsidRPr="00EA4C9B">
        <w:rPr>
          <w:rStyle w:val="FootnoteReference"/>
        </w:rPr>
        <w:footnoteReference w:id="748"/>
      </w:r>
      <w:r w:rsidRPr="00EA4C9B">
        <w:t xml:space="preserve">. The shift from taxing labour to targeting environmentally damaging activities has not yet occurred, and carbon pricing remains low compared to other EU members, offering inconsistent incentives to reduce emissions. The OECD noted that diesel is taxed less than petrol, despite its higher carbon and air pollution impacts. Revenues from vehicle, pollution, and resource taxes are below the OECD Europe average. </w:t>
      </w:r>
    </w:p>
    <w:p w14:paraId="5E9D9075" w14:textId="7F3055A4" w:rsidR="002435CD" w:rsidRPr="00EA4C9B" w:rsidRDefault="002435CD" w:rsidP="002435CD">
      <w:r w:rsidRPr="00EA4C9B">
        <w:t>Although, in 2022, Slovakia’s environmental tax revenue was higher than the EU average (both GDP share and total tax revenue), largely due to energy tax revenues, whilst revenues from transport and pollution/resource-related taxes were below the EU average. The CSR suggests this is where there is potential to strengthen the application of the ‘polluter pays’ principle</w:t>
      </w:r>
      <w:r w:rsidRPr="00EA4C9B">
        <w:rPr>
          <w:rStyle w:val="FootnoteReference"/>
        </w:rPr>
        <w:footnoteReference w:id="749"/>
      </w:r>
      <w:r w:rsidRPr="00EA4C9B">
        <w:t>. Currently, Slovakia only implements two of the six key pollution and resource taxes</w:t>
      </w:r>
      <w:r w:rsidRPr="00EA4C9B">
        <w:rPr>
          <w:rStyle w:val="FootnoteReference"/>
        </w:rPr>
        <w:footnoteReference w:id="750"/>
      </w:r>
      <w:r w:rsidRPr="00EA4C9B">
        <w:t>—specifically on NOₓ emissions (pollution tax) and landfill waste. The commissions 2024 Country Report highlighted that there is potential to broaden waste disposal taxes (e.g. to include incineration) and introducing new levies, such as those on water pollution or plastic products (Slovakia does not currently tax single use plastic or plastic packaging)</w:t>
      </w:r>
      <w:r w:rsidRPr="00EA4C9B">
        <w:rPr>
          <w:rStyle w:val="FootnoteReference"/>
        </w:rPr>
        <w:footnoteReference w:id="751"/>
      </w:r>
      <w:r w:rsidRPr="00EA4C9B">
        <w:t>.</w:t>
      </w:r>
    </w:p>
    <w:p w14:paraId="5DBBBE54" w14:textId="77777777" w:rsidR="002435CD" w:rsidRPr="00EA4C9B" w:rsidRDefault="002435CD" w:rsidP="002435CD">
      <w:r w:rsidRPr="00EA4C9B">
        <w:t>The European Environment Agency discusses the introduction of an incineration tax in its Early Warning Assessment related to the 2025 targets for municipal waste and packaging waste (Slovakia)</w:t>
      </w:r>
      <w:r w:rsidRPr="00EA4C9B">
        <w:rPr>
          <w:rStyle w:val="FootnoteReference"/>
        </w:rPr>
        <w:footnoteReference w:id="752"/>
      </w:r>
      <w:r w:rsidRPr="00EA4C9B">
        <w:t xml:space="preserve">.  Currently, Slovakia does not have a tax on waste incineration. There is also no tax on waste exported for incineration in place.  It is understood that additional taxation changes are not planned on incineration either. A previous (2018) Early Warning Report recommended that Slovakia should "Revision of the landfill tax to ensure other residual waste treatment and disposal techniques (such as incineration) are also covered". </w:t>
      </w:r>
    </w:p>
    <w:p w14:paraId="068196F4" w14:textId="77777777" w:rsidR="002435CD" w:rsidRPr="00EA4C9B" w:rsidRDefault="002435CD" w:rsidP="002435CD">
      <w:r w:rsidRPr="00EA4C9B">
        <w:lastRenderedPageBreak/>
        <w:t>The OECD report (2020)</w:t>
      </w:r>
      <w:r w:rsidRPr="00EA4C9B">
        <w:rPr>
          <w:rStyle w:val="FootnoteReference"/>
        </w:rPr>
        <w:footnoteReference w:id="753"/>
      </w:r>
      <w:r w:rsidRPr="00EA4C9B">
        <w:t xml:space="preserve"> found that the tax burden is increasingly carried by labour and capital taxes as opposed to environmental taxes. Although the use of environmentally related taxes has been expanding in other OECD countries, Slovakia has not introduced any new such tax instruments in recent years.</w:t>
      </w:r>
    </w:p>
    <w:p w14:paraId="3488BA7A" w14:textId="77777777" w:rsidR="002435CD" w:rsidRPr="00EA4C9B" w:rsidRDefault="002435CD" w:rsidP="002435CD">
      <w:pPr>
        <w:rPr>
          <w:b/>
          <w:bCs/>
        </w:rPr>
      </w:pPr>
      <w:r w:rsidRPr="00EA4C9B">
        <w:t>The introduction of taxes on synthetic pesticides and fertilisers is suggested as a way to reduce negative impacts and discourage the use of such products by farmers, municipalities and households. The tax rates can vary based on the toxicity of the substance in question.</w:t>
      </w:r>
      <w:r w:rsidRPr="00EA4C9B">
        <w:rPr>
          <w:b/>
          <w:bCs/>
        </w:rPr>
        <w:t xml:space="preserve"> </w:t>
      </w:r>
    </w:p>
    <w:p w14:paraId="7C6697C2" w14:textId="77777777" w:rsidR="002435CD" w:rsidRPr="00EA4C9B" w:rsidRDefault="002435CD" w:rsidP="002435CD">
      <w:r w:rsidRPr="00EA4C9B">
        <w:t>The OECD (2020) report included the recommendation to account for the environmentally harmful effects of recreation and leisure activities, for example by introducing entrance fees to national parks. Although some national parks (e.g. Slovak Paradise) already include entrance fees for specific areas, this practice is not yet consistent across all protected areas. Therefore, this recommendation still remains relevant and could help to establish a more uniform and comprehensive approach to managing visitor impacts, funding conservation efforts, and promoting sustainable tourism.</w:t>
      </w:r>
    </w:p>
    <w:p w14:paraId="06D8EB96" w14:textId="77777777" w:rsidR="002435CD" w:rsidRPr="00EA4C9B" w:rsidRDefault="002435CD" w:rsidP="002435CD">
      <w:r w:rsidRPr="00EA4C9B">
        <w:t>In some areas reform is already in progress, increased fee levels were introduced in January 2019 by the Act on Fees for Waste Disposal (No. 329/2018). The calculation method also changed in 2019, basing the fee rate on the sorting level of municipal waste in each municipality</w:t>
      </w:r>
      <w:r w:rsidRPr="00EA4C9B">
        <w:rPr>
          <w:rStyle w:val="FootnoteReference"/>
        </w:rPr>
        <w:footnoteReference w:id="754"/>
      </w:r>
      <w:r w:rsidRPr="00EA4C9B">
        <w:t xml:space="preserve">. </w:t>
      </w:r>
    </w:p>
    <w:p w14:paraId="4AD28194" w14:textId="77777777" w:rsidR="002435CD" w:rsidRPr="00EA4C9B" w:rsidRDefault="002435CD" w:rsidP="002435CD">
      <w:r w:rsidRPr="00EA4C9B">
        <w:t>In 2022, the Slovak Government amended Regulation No. 330/2018 to increase landfill fees for industrial waste, including construction and demolition waste, significantly over 2022–2024</w:t>
      </w:r>
      <w:r w:rsidRPr="00EA4C9B">
        <w:rPr>
          <w:rStyle w:val="FootnoteReference"/>
        </w:rPr>
        <w:footnoteReference w:id="755"/>
      </w:r>
      <w:r w:rsidRPr="00EA4C9B">
        <w:t>. The amendment also outlined how revenue from these fees will be redistributed.</w:t>
      </w:r>
    </w:p>
    <w:p w14:paraId="08C1EB6D" w14:textId="77777777" w:rsidR="002435CD" w:rsidRPr="00EA4C9B" w:rsidRDefault="002435CD" w:rsidP="007C4EB7">
      <w:pPr>
        <w:pStyle w:val="AnnexHeading2"/>
      </w:pPr>
      <w:bookmarkStart w:id="302" w:name="_Toc214008946"/>
      <w:r w:rsidRPr="00EA4C9B">
        <w:t>Potential for new environmental taxes</w:t>
      </w:r>
      <w:bookmarkEnd w:id="302"/>
    </w:p>
    <w:p w14:paraId="25841DA0" w14:textId="77777777" w:rsidR="002435CD" w:rsidRPr="00EA4C9B" w:rsidRDefault="002435CD" w:rsidP="002435CD">
      <w:r w:rsidRPr="00EA4C9B">
        <w:t>According to 2023 estimates, 70% of greenhouse gas emissions in Slovakia are subject to a positive Net Effective Carbon Rate (ECR)</w:t>
      </w:r>
      <w:r w:rsidRPr="00EA4C9B">
        <w:rPr>
          <w:rStyle w:val="FootnoteReference"/>
        </w:rPr>
        <w:footnoteReference w:id="756"/>
      </w:r>
      <w:r w:rsidRPr="00EA4C9B">
        <w:t xml:space="preserve">, while a majority of emissions are priced to some extent, a significant share remains either weakly priced or subsidised, limiting the full effectiveness of carbon pricing in driving emission reductions. </w:t>
      </w:r>
    </w:p>
    <w:p w14:paraId="58714D14" w14:textId="77777777" w:rsidR="002435CD" w:rsidRPr="00EA4C9B" w:rsidRDefault="002435CD" w:rsidP="002435CD">
      <w:r w:rsidRPr="00EA4C9B">
        <w:t>The OECD 2020 country report for Slovakia highlighted that tax rates for emissions in the Slovak Republic do not reflect the external damage costs. This is a similar conclusion to that from a 2016 study titled ‘Comparative Assessment of External Costs and Pollution Taxes in Baltic States, Czech Republic, and Slovakia’</w:t>
      </w:r>
      <w:r w:rsidRPr="00EA4C9B">
        <w:rPr>
          <w:rStyle w:val="FootnoteReference"/>
        </w:rPr>
        <w:footnoteReference w:id="757"/>
      </w:r>
      <w:r w:rsidRPr="00EA4C9B">
        <w:t xml:space="preserve">, which found that Slovakia had one of the highest external costs of </w:t>
      </w:r>
      <w:r w:rsidRPr="00EA4C9B">
        <w:lastRenderedPageBreak/>
        <w:t xml:space="preserve">atmospheric emissions (only behind Czech Republic) yet comparatively lower pollution taxes than some other countries in the study.  Air pollution remains a major contributor to environmental inequality in Slovakia, with average levels in 2021 exceeding the EU average. According to the OECD’s report </w:t>
      </w:r>
      <w:r w:rsidRPr="00EA4C9B">
        <w:rPr>
          <w:i/>
          <w:iCs/>
        </w:rPr>
        <w:t>‘Towards a Green Fiscal Reform in the Slovak Republic’</w:t>
      </w:r>
      <w:r w:rsidRPr="00EA4C9B">
        <w:t>, air pollutant taxes—such as those on sulphur dioxide, nitrogen oxides, particulate matter (PM₂.₅), and ammonia—are set well below the estimated damage they cause. For example, the tax on PM₂.₅ is €166 per tonne, while the associated marginal damage is estimated at €20,000, covering less than 1% of the external cost.</w:t>
      </w:r>
    </w:p>
    <w:p w14:paraId="0DA6DCD3" w14:textId="77777777" w:rsidR="002435CD" w:rsidRPr="00EA4C9B" w:rsidRDefault="002435CD" w:rsidP="002435CD">
      <w:r w:rsidRPr="00EA4C9B">
        <w:t xml:space="preserve">This suggests higher </w:t>
      </w:r>
      <w:r w:rsidRPr="00EA4C9B">
        <w:rPr>
          <w:b/>
          <w:bCs/>
        </w:rPr>
        <w:t>air pollution taxes</w:t>
      </w:r>
      <w:r w:rsidRPr="00EA4C9B">
        <w:t xml:space="preserve"> could be implemented. However, this paper concluded that while pollution taxes contribute to reducing emissions, they were not found to be the primary driver, suggesting further analysis is needed to identify the key sources of emissions and effective policies. </w:t>
      </w:r>
    </w:p>
    <w:p w14:paraId="557234FC" w14:textId="40028597" w:rsidR="002435CD" w:rsidRPr="00EA4C9B" w:rsidRDefault="002435CD" w:rsidP="002435CD">
      <w:r w:rsidRPr="00EA4C9B">
        <w:t>According to the EC 2024 Country Report Slovakia has a nitrogen surplus on agricultural land and waterbodies are affected by pesticide pollution. The sector is subsidised by the EU (almost EUR 600 million) and the state budget (averages EUR 64 million), with a review prepared by the analytical unit of the Ministry of Finance finding that the subsidies, that often provided as flat-rate payments or compensation schemes, do not sufficiently motivate beneficiaries to be efficient</w:t>
      </w:r>
      <w:r w:rsidRPr="00EA4C9B">
        <w:rPr>
          <w:rStyle w:val="FootnoteReference"/>
        </w:rPr>
        <w:footnoteReference w:id="758"/>
      </w:r>
      <w:r w:rsidRPr="00EA4C9B">
        <w:t xml:space="preserve">. The sector is largely exempt from energy taxes and emissions trading schemes.  As previously highlighted Slovakia currently has no taxes </w:t>
      </w:r>
      <w:r w:rsidRPr="00EA4C9B">
        <w:rPr>
          <w:b/>
          <w:bCs/>
        </w:rPr>
        <w:t>fertilisers</w:t>
      </w:r>
      <w:r w:rsidRPr="00EA4C9B">
        <w:t>, leaving scope for potential new environmental taxes. IEEP Study on Assessing the Environmental Fiscal Reform Potential for the EU28 (2016)</w:t>
      </w:r>
      <w:r w:rsidRPr="00EA4C9B">
        <w:rPr>
          <w:rStyle w:val="FootnoteReference"/>
        </w:rPr>
        <w:footnoteReference w:id="759"/>
      </w:r>
      <w:r w:rsidRPr="00EA4C9B">
        <w:t xml:space="preserve"> suggested introducing pesticide taxes, banding the taxes to reflect the level of hazard associated with the pesticide in question. These recommendations remain relevant.</w:t>
      </w:r>
    </w:p>
    <w:p w14:paraId="19679971" w14:textId="77777777" w:rsidR="002435CD" w:rsidRPr="00EA4C9B" w:rsidRDefault="002435CD" w:rsidP="002435CD">
      <w:r w:rsidRPr="00EA4C9B">
        <w:t>The EEA suggested there is scope to introduce an incineration tax</w:t>
      </w:r>
      <w:r w:rsidRPr="00EA4C9B">
        <w:rPr>
          <w:rStyle w:val="FootnoteReference"/>
        </w:rPr>
        <w:footnoteReference w:id="760"/>
      </w:r>
      <w:r w:rsidRPr="00EA4C9B">
        <w:t xml:space="preserve">, currently, Slovakia does not have a tax on waste incineration.  This could help to ensure that wastes are not shifted from landfill to incineration and instead encourage overall waste reduction. Based on available information, Slovakia does not currently apply any </w:t>
      </w:r>
      <w:r w:rsidRPr="00EA4C9B">
        <w:rPr>
          <w:b/>
          <w:bCs/>
        </w:rPr>
        <w:t>packaging taxes</w:t>
      </w:r>
      <w:r w:rsidRPr="00EA4C9B">
        <w:rPr>
          <w:rStyle w:val="FootnoteReference"/>
        </w:rPr>
        <w:footnoteReference w:id="761"/>
      </w:r>
      <w:r w:rsidRPr="00EA4C9B">
        <w:t>, leaving this as another potential area for the introduction of a new environmental tax.</w:t>
      </w:r>
    </w:p>
    <w:p w14:paraId="36763B20" w14:textId="77777777" w:rsidR="002435CD" w:rsidRPr="00EA4C9B" w:rsidRDefault="002435CD" w:rsidP="007C4EB7">
      <w:pPr>
        <w:pStyle w:val="AnnexHeading2"/>
      </w:pPr>
      <w:bookmarkStart w:id="303" w:name="_Toc214008947"/>
      <w:r w:rsidRPr="00EA4C9B">
        <w:t>Impacts and feasibility of implementing new environmental taxes</w:t>
      </w:r>
      <w:bookmarkEnd w:id="303"/>
    </w:p>
    <w:p w14:paraId="304A08DC" w14:textId="5B41AAF1" w:rsidR="004A4F82" w:rsidRDefault="004A4F82" w:rsidP="004A4F82">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21F7C039" w14:textId="77777777" w:rsidR="00DA651F" w:rsidRDefault="00DA651F" w:rsidP="00DA651F">
      <w:r w:rsidRPr="00DA651F">
        <w:t xml:space="preserve">Slovakia’s environmental tax structure is dominated by energy and transport-related taxes, while non-energy taxes—on pollution, waste and resource use—remain limited in coverage and ambition. The </w:t>
      </w:r>
      <w:r w:rsidRPr="00DA651F">
        <w:lastRenderedPageBreak/>
        <w:t>modelling results indicate that Slovakia has significant untapped potential to enhance both its environmental outcomes and fiscal performance through the introduction of additional or strengthened environmental taxes. Under Scenario A, total additional revenues could reach around €1.3 billion by 2030, representing one of the higher relative increases in the EU. The largest fiscal and environmental contributions would come from landfill, water effluent, and mineral extraction taxes, while Scenario B yields smaller yet still substantial gains.</w:t>
      </w:r>
    </w:p>
    <w:p w14:paraId="0A431C32" w14:textId="752DD46D" w:rsidR="00DA651F" w:rsidRDefault="00DA651F" w:rsidP="00DA651F">
      <w:r>
        <w:t xml:space="preserve">Total revenues from the </w:t>
      </w:r>
      <w:r w:rsidR="00185A09">
        <w:t>investigated</w:t>
      </w:r>
      <w:r>
        <w:t xml:space="preserve"> taxes could rise by €240 million in 2030 and €230 million in 2035, which are around nine times the revenues for pollution and resource taxes in 2023.  There are major gains from minerals aggregates, which make up 40% of the total gain, followed by waste to landfill and water effluent.  Pesticide and fertilizer taxes also make a contribution, as well as taxes on SO</w:t>
      </w:r>
      <w:r w:rsidRPr="00BE61A1">
        <w:rPr>
          <w:vertAlign w:val="subscript"/>
        </w:rPr>
        <w:t>2</w:t>
      </w:r>
      <w:r>
        <w:t xml:space="preserve">.   Reductions in emissions or materials are notable for SO2. Waste to landfill falls by 30%, water effluent by 27% and water abstraction by 23%, Pesticide use declines by 17%, and fertilizer use by 12%.  Mineral extraction falls by 17%. </w:t>
      </w:r>
    </w:p>
    <w:tbl>
      <w:tblPr>
        <w:tblStyle w:val="Lentelstinklelis1"/>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32"/>
        <w:gridCol w:w="1133"/>
        <w:gridCol w:w="1037"/>
        <w:gridCol w:w="1227"/>
        <w:gridCol w:w="986"/>
        <w:gridCol w:w="1295"/>
      </w:tblGrid>
      <w:tr w:rsidR="00DA651F" w:rsidRPr="00F501DA" w14:paraId="6F6EAAA0" w14:textId="77777777" w:rsidTr="00BA7936">
        <w:trPr>
          <w:trHeight w:val="301"/>
        </w:trPr>
        <w:tc>
          <w:tcPr>
            <w:tcW w:w="9073" w:type="dxa"/>
            <w:gridSpan w:val="7"/>
            <w:shd w:val="clear" w:color="auto" w:fill="003399"/>
          </w:tcPr>
          <w:p w14:paraId="4B9D5FBD" w14:textId="465A3345" w:rsidR="00DA651F" w:rsidRPr="00F576FE" w:rsidRDefault="00DA651F" w:rsidP="000878F6">
            <w:pPr>
              <w:pStyle w:val="Table"/>
              <w:rPr>
                <w:b/>
                <w:lang w:eastAsia="en-GB"/>
              </w:rPr>
            </w:pPr>
            <w:r w:rsidRPr="00F576FE">
              <w:rPr>
                <w:b/>
                <w:color w:val="FFFFFF" w:themeColor="background1"/>
              </w:rPr>
              <w:t xml:space="preserve">Table </w:t>
            </w:r>
            <w:r w:rsidR="00490085">
              <w:rPr>
                <w:b/>
                <w:bCs/>
                <w:color w:val="FFFFFF" w:themeColor="background1"/>
              </w:rPr>
              <w:t>A6</w:t>
            </w:r>
            <w:r w:rsidRPr="00F576FE">
              <w:rPr>
                <w:b/>
                <w:bCs/>
                <w:color w:val="FFFFFF" w:themeColor="background1"/>
              </w:rPr>
              <w:t>-</w:t>
            </w:r>
            <w:r w:rsidRPr="00F576FE">
              <w:rPr>
                <w:b/>
                <w:bCs/>
                <w:color w:val="FFFFFF" w:themeColor="background1"/>
              </w:rPr>
              <w:fldChar w:fldCharType="begin"/>
            </w:r>
            <w:r w:rsidRPr="00F576FE">
              <w:rPr>
                <w:b/>
                <w:bCs/>
                <w:color w:val="FFFFFF" w:themeColor="background1"/>
              </w:rPr>
              <w:instrText xml:space="preserve"> SEQ Table_A5- \* ARABIC </w:instrText>
            </w:r>
            <w:r w:rsidRPr="00F576FE">
              <w:rPr>
                <w:b/>
                <w:bCs/>
                <w:color w:val="FFFFFF" w:themeColor="background1"/>
              </w:rPr>
              <w:fldChar w:fldCharType="separate"/>
            </w:r>
            <w:r>
              <w:rPr>
                <w:b/>
                <w:bCs/>
                <w:noProof/>
                <w:color w:val="FFFFFF" w:themeColor="background1"/>
              </w:rPr>
              <w:t>121</w:t>
            </w:r>
            <w:r w:rsidRPr="00F576FE">
              <w:rPr>
                <w:b/>
                <w:bCs/>
                <w:color w:val="FFFFFF" w:themeColor="background1"/>
              </w:rPr>
              <w:fldChar w:fldCharType="end"/>
            </w:r>
            <w:r w:rsidRPr="00F576FE">
              <w:rPr>
                <w:b/>
                <w:bCs/>
                <w:color w:val="FFFFFF" w:themeColor="background1"/>
                <w:lang w:eastAsia="en-GB"/>
              </w:rPr>
              <w:t>:</w:t>
            </w:r>
            <w:r w:rsidRPr="00F576FE">
              <w:rPr>
                <w:b/>
                <w:color w:val="FFFFFF" w:themeColor="background1"/>
                <w:lang w:eastAsia="en-GB"/>
              </w:rPr>
              <w:t xml:space="preserve"> Environmental Impacts and Revenue Changes in Slovakia</w:t>
            </w:r>
            <w:r>
              <w:rPr>
                <w:b/>
                <w:color w:val="FFFFFF" w:themeColor="background1"/>
                <w:lang w:eastAsia="en-GB"/>
              </w:rPr>
              <w:t xml:space="preserve"> – Scenario A</w:t>
            </w:r>
          </w:p>
        </w:tc>
      </w:tr>
      <w:tr w:rsidR="00DA651F" w:rsidRPr="00F501DA" w14:paraId="3A0BC1CA" w14:textId="77777777" w:rsidTr="00BA7936">
        <w:trPr>
          <w:trHeight w:val="405"/>
        </w:trPr>
        <w:tc>
          <w:tcPr>
            <w:tcW w:w="2263" w:type="dxa"/>
          </w:tcPr>
          <w:p w14:paraId="0394BB95" w14:textId="77777777" w:rsidR="00DA651F" w:rsidRPr="00F576FE" w:rsidRDefault="00DA651F" w:rsidP="000878F6">
            <w:pPr>
              <w:pStyle w:val="Table"/>
              <w:rPr>
                <w:b/>
              </w:rPr>
            </w:pPr>
            <w:r w:rsidRPr="00F576FE">
              <w:rPr>
                <w:b/>
              </w:rPr>
              <w:t>Tax Name</w:t>
            </w:r>
          </w:p>
        </w:tc>
        <w:tc>
          <w:tcPr>
            <w:tcW w:w="2265" w:type="dxa"/>
            <w:gridSpan w:val="2"/>
            <w:vAlign w:val="bottom"/>
          </w:tcPr>
          <w:p w14:paraId="7BECF58D" w14:textId="77777777" w:rsidR="00DA651F" w:rsidRPr="004B146A" w:rsidRDefault="00DA651F" w:rsidP="000878F6">
            <w:pPr>
              <w:pStyle w:val="Table"/>
              <w:jc w:val="center"/>
              <w:rPr>
                <w:b/>
                <w:szCs w:val="20"/>
              </w:rPr>
            </w:pPr>
            <w:r w:rsidRPr="004B146A">
              <w:rPr>
                <w:rFonts w:ascii="Calibri" w:hAnsi="Calibri" w:cs="Calibri"/>
                <w:b/>
                <w:bCs/>
                <w:color w:val="000000"/>
                <w:szCs w:val="20"/>
              </w:rPr>
              <w:t>% Change in Quantities as % of taxed sector</w:t>
            </w:r>
          </w:p>
        </w:tc>
        <w:tc>
          <w:tcPr>
            <w:tcW w:w="2264" w:type="dxa"/>
            <w:gridSpan w:val="2"/>
            <w:vAlign w:val="bottom"/>
          </w:tcPr>
          <w:p w14:paraId="4C952BCA" w14:textId="77777777" w:rsidR="00DA651F" w:rsidRPr="004B146A" w:rsidRDefault="00DA651F" w:rsidP="000878F6">
            <w:pPr>
              <w:pStyle w:val="Table"/>
              <w:jc w:val="center"/>
              <w:rPr>
                <w:b/>
                <w:szCs w:val="20"/>
              </w:rPr>
            </w:pPr>
            <w:r w:rsidRPr="004B146A">
              <w:rPr>
                <w:rFonts w:ascii="Calibri" w:hAnsi="Calibri" w:cs="Calibri"/>
                <w:b/>
                <w:bCs/>
                <w:color w:val="000000"/>
                <w:szCs w:val="20"/>
              </w:rPr>
              <w:t>Change in Revenues (€Mn)</w:t>
            </w:r>
          </w:p>
        </w:tc>
        <w:tc>
          <w:tcPr>
            <w:tcW w:w="2281" w:type="dxa"/>
            <w:gridSpan w:val="2"/>
            <w:vAlign w:val="bottom"/>
          </w:tcPr>
          <w:p w14:paraId="11BDD11B" w14:textId="77777777" w:rsidR="00DA651F" w:rsidRPr="004B146A" w:rsidRDefault="00DA651F" w:rsidP="000878F6">
            <w:pPr>
              <w:pStyle w:val="Table"/>
              <w:jc w:val="center"/>
              <w:rPr>
                <w:b/>
                <w:szCs w:val="20"/>
              </w:rPr>
            </w:pPr>
            <w:r w:rsidRPr="004B146A">
              <w:rPr>
                <w:rFonts w:ascii="Calibri" w:hAnsi="Calibri" w:cs="Calibri"/>
                <w:b/>
                <w:bCs/>
                <w:color w:val="000000"/>
                <w:szCs w:val="20"/>
              </w:rPr>
              <w:t>As % of 2023 Resource Tax</w:t>
            </w:r>
          </w:p>
        </w:tc>
      </w:tr>
      <w:tr w:rsidR="00DA651F" w:rsidRPr="00355514" w14:paraId="55465663" w14:textId="77777777" w:rsidTr="00BA7936">
        <w:trPr>
          <w:trHeight w:val="199"/>
        </w:trPr>
        <w:tc>
          <w:tcPr>
            <w:tcW w:w="2263" w:type="dxa"/>
          </w:tcPr>
          <w:p w14:paraId="70163912" w14:textId="77777777" w:rsidR="00DA651F" w:rsidRPr="00ED2593" w:rsidRDefault="00DA651F" w:rsidP="000878F6">
            <w:pPr>
              <w:pStyle w:val="Table"/>
              <w:jc w:val="left"/>
              <w:rPr>
                <w:b/>
              </w:rPr>
            </w:pPr>
            <w:r w:rsidRPr="00ED2593">
              <w:rPr>
                <w:b/>
              </w:rPr>
              <w:t>Year</w:t>
            </w:r>
          </w:p>
        </w:tc>
        <w:tc>
          <w:tcPr>
            <w:tcW w:w="1132" w:type="dxa"/>
          </w:tcPr>
          <w:p w14:paraId="1F986DD0" w14:textId="77777777" w:rsidR="00DA651F" w:rsidRPr="004B146A" w:rsidRDefault="00DA651F" w:rsidP="000878F6">
            <w:pPr>
              <w:pStyle w:val="Table"/>
              <w:jc w:val="center"/>
              <w:rPr>
                <w:b/>
                <w:szCs w:val="20"/>
              </w:rPr>
            </w:pPr>
            <w:r w:rsidRPr="004B146A">
              <w:rPr>
                <w:b/>
                <w:szCs w:val="20"/>
              </w:rPr>
              <w:t>2030</w:t>
            </w:r>
          </w:p>
        </w:tc>
        <w:tc>
          <w:tcPr>
            <w:tcW w:w="1133" w:type="dxa"/>
          </w:tcPr>
          <w:p w14:paraId="35B98B39" w14:textId="77777777" w:rsidR="00DA651F" w:rsidRPr="004B146A" w:rsidRDefault="00DA651F" w:rsidP="000878F6">
            <w:pPr>
              <w:pStyle w:val="Table"/>
              <w:jc w:val="center"/>
              <w:rPr>
                <w:b/>
                <w:szCs w:val="20"/>
              </w:rPr>
            </w:pPr>
            <w:r w:rsidRPr="004B146A">
              <w:rPr>
                <w:b/>
                <w:szCs w:val="20"/>
              </w:rPr>
              <w:t>2035</w:t>
            </w:r>
          </w:p>
        </w:tc>
        <w:tc>
          <w:tcPr>
            <w:tcW w:w="1037" w:type="dxa"/>
          </w:tcPr>
          <w:p w14:paraId="2A1EC833" w14:textId="77777777" w:rsidR="00DA651F" w:rsidRPr="004B146A" w:rsidRDefault="00DA651F" w:rsidP="000878F6">
            <w:pPr>
              <w:pStyle w:val="Table"/>
              <w:jc w:val="center"/>
              <w:rPr>
                <w:b/>
                <w:szCs w:val="20"/>
              </w:rPr>
            </w:pPr>
            <w:r w:rsidRPr="004B146A">
              <w:rPr>
                <w:b/>
                <w:szCs w:val="20"/>
              </w:rPr>
              <w:t>2030</w:t>
            </w:r>
          </w:p>
        </w:tc>
        <w:tc>
          <w:tcPr>
            <w:tcW w:w="1227" w:type="dxa"/>
          </w:tcPr>
          <w:p w14:paraId="79F312BB" w14:textId="77777777" w:rsidR="00DA651F" w:rsidRPr="004B146A" w:rsidRDefault="00DA651F" w:rsidP="000878F6">
            <w:pPr>
              <w:pStyle w:val="Table"/>
              <w:jc w:val="center"/>
              <w:rPr>
                <w:b/>
                <w:szCs w:val="20"/>
              </w:rPr>
            </w:pPr>
            <w:r w:rsidRPr="004B146A">
              <w:rPr>
                <w:b/>
                <w:szCs w:val="20"/>
              </w:rPr>
              <w:t>2035</w:t>
            </w:r>
          </w:p>
        </w:tc>
        <w:tc>
          <w:tcPr>
            <w:tcW w:w="986" w:type="dxa"/>
          </w:tcPr>
          <w:p w14:paraId="7D2297B3" w14:textId="77777777" w:rsidR="00DA651F" w:rsidRPr="004B146A" w:rsidRDefault="00DA651F" w:rsidP="000878F6">
            <w:pPr>
              <w:pStyle w:val="Table"/>
              <w:jc w:val="center"/>
              <w:rPr>
                <w:b/>
                <w:szCs w:val="20"/>
              </w:rPr>
            </w:pPr>
            <w:r w:rsidRPr="004B146A">
              <w:rPr>
                <w:b/>
                <w:szCs w:val="20"/>
              </w:rPr>
              <w:t>2030</w:t>
            </w:r>
          </w:p>
        </w:tc>
        <w:tc>
          <w:tcPr>
            <w:tcW w:w="1295" w:type="dxa"/>
          </w:tcPr>
          <w:p w14:paraId="3322B353" w14:textId="77777777" w:rsidR="00DA651F" w:rsidRPr="004B146A" w:rsidRDefault="00DA651F" w:rsidP="000878F6">
            <w:pPr>
              <w:pStyle w:val="Table"/>
              <w:jc w:val="center"/>
              <w:rPr>
                <w:b/>
                <w:szCs w:val="20"/>
              </w:rPr>
            </w:pPr>
            <w:r w:rsidRPr="004B146A">
              <w:rPr>
                <w:b/>
                <w:szCs w:val="20"/>
              </w:rPr>
              <w:t>2035</w:t>
            </w:r>
          </w:p>
        </w:tc>
      </w:tr>
      <w:tr w:rsidR="00DA651F" w:rsidRPr="00355514" w14:paraId="2808A59D" w14:textId="77777777" w:rsidTr="00BA7936">
        <w:trPr>
          <w:trHeight w:val="231"/>
        </w:trPr>
        <w:tc>
          <w:tcPr>
            <w:tcW w:w="2263" w:type="dxa"/>
          </w:tcPr>
          <w:p w14:paraId="066CE8A3" w14:textId="77777777" w:rsidR="00DA651F" w:rsidRPr="00F501DA" w:rsidRDefault="00DA651F" w:rsidP="000878F6">
            <w:pPr>
              <w:pStyle w:val="Table"/>
            </w:pPr>
            <w:r w:rsidRPr="00F501DA">
              <w:t>NOx</w:t>
            </w:r>
          </w:p>
        </w:tc>
        <w:tc>
          <w:tcPr>
            <w:tcW w:w="1132" w:type="dxa"/>
            <w:vAlign w:val="center"/>
          </w:tcPr>
          <w:p w14:paraId="1B25726F" w14:textId="77777777" w:rsidR="00DA651F" w:rsidRPr="004B146A" w:rsidRDefault="00DA651F" w:rsidP="000878F6">
            <w:pPr>
              <w:pStyle w:val="Table"/>
              <w:jc w:val="center"/>
              <w:rPr>
                <w:szCs w:val="20"/>
              </w:rPr>
            </w:pPr>
            <w:r w:rsidRPr="004B146A">
              <w:rPr>
                <w:rFonts w:ascii="Calibri" w:hAnsi="Calibri" w:cs="Calibri"/>
                <w:color w:val="000000"/>
                <w:szCs w:val="20"/>
              </w:rPr>
              <w:t>-28,57%</w:t>
            </w:r>
          </w:p>
        </w:tc>
        <w:tc>
          <w:tcPr>
            <w:tcW w:w="1133" w:type="dxa"/>
            <w:vAlign w:val="center"/>
          </w:tcPr>
          <w:p w14:paraId="06A3CF2A" w14:textId="77777777" w:rsidR="00DA651F" w:rsidRPr="004B146A" w:rsidRDefault="00DA651F" w:rsidP="000878F6">
            <w:pPr>
              <w:pStyle w:val="Table"/>
              <w:jc w:val="center"/>
              <w:rPr>
                <w:szCs w:val="20"/>
              </w:rPr>
            </w:pPr>
            <w:r w:rsidRPr="004B146A">
              <w:rPr>
                <w:rFonts w:ascii="Calibri" w:hAnsi="Calibri" w:cs="Calibri"/>
                <w:color w:val="000000"/>
                <w:szCs w:val="20"/>
              </w:rPr>
              <w:t>-28,57%</w:t>
            </w:r>
          </w:p>
        </w:tc>
        <w:tc>
          <w:tcPr>
            <w:tcW w:w="1037" w:type="dxa"/>
            <w:vAlign w:val="center"/>
          </w:tcPr>
          <w:p w14:paraId="554F32A2" w14:textId="77777777" w:rsidR="00DA651F" w:rsidRPr="004B146A" w:rsidRDefault="00DA651F" w:rsidP="000878F6">
            <w:pPr>
              <w:pStyle w:val="Table"/>
              <w:jc w:val="center"/>
              <w:rPr>
                <w:szCs w:val="20"/>
              </w:rPr>
            </w:pPr>
            <w:r w:rsidRPr="004B146A">
              <w:rPr>
                <w:rFonts w:ascii="Calibri" w:hAnsi="Calibri" w:cs="Calibri"/>
                <w:color w:val="000000"/>
                <w:szCs w:val="20"/>
              </w:rPr>
              <w:t>0,78</w:t>
            </w:r>
          </w:p>
        </w:tc>
        <w:tc>
          <w:tcPr>
            <w:tcW w:w="1227" w:type="dxa"/>
            <w:vAlign w:val="center"/>
          </w:tcPr>
          <w:p w14:paraId="5A56496A" w14:textId="77777777" w:rsidR="00DA651F" w:rsidRPr="004B146A" w:rsidRDefault="00DA651F" w:rsidP="000878F6">
            <w:pPr>
              <w:pStyle w:val="Table"/>
              <w:jc w:val="center"/>
              <w:rPr>
                <w:szCs w:val="20"/>
              </w:rPr>
            </w:pPr>
            <w:r w:rsidRPr="004B146A">
              <w:rPr>
                <w:rFonts w:ascii="Calibri" w:hAnsi="Calibri" w:cs="Calibri"/>
                <w:color w:val="000000"/>
                <w:szCs w:val="20"/>
              </w:rPr>
              <w:t>0,51</w:t>
            </w:r>
          </w:p>
        </w:tc>
        <w:tc>
          <w:tcPr>
            <w:tcW w:w="986" w:type="dxa"/>
            <w:vAlign w:val="center"/>
          </w:tcPr>
          <w:p w14:paraId="3B4B5C2C" w14:textId="77777777" w:rsidR="00DA651F" w:rsidRPr="004B146A" w:rsidRDefault="00DA651F" w:rsidP="000878F6">
            <w:pPr>
              <w:pStyle w:val="Table"/>
              <w:jc w:val="center"/>
              <w:rPr>
                <w:szCs w:val="20"/>
              </w:rPr>
            </w:pPr>
            <w:r w:rsidRPr="004B146A">
              <w:rPr>
                <w:rFonts w:ascii="Calibri" w:hAnsi="Calibri" w:cs="Calibri"/>
                <w:color w:val="000000"/>
                <w:szCs w:val="20"/>
              </w:rPr>
              <w:t>2,95%</w:t>
            </w:r>
          </w:p>
        </w:tc>
        <w:tc>
          <w:tcPr>
            <w:tcW w:w="1295" w:type="dxa"/>
            <w:vAlign w:val="center"/>
          </w:tcPr>
          <w:p w14:paraId="551BD6B4" w14:textId="77777777" w:rsidR="00DA651F" w:rsidRPr="004B146A" w:rsidRDefault="00DA651F" w:rsidP="000878F6">
            <w:pPr>
              <w:pStyle w:val="Table"/>
              <w:jc w:val="center"/>
              <w:rPr>
                <w:szCs w:val="20"/>
              </w:rPr>
            </w:pPr>
            <w:r w:rsidRPr="004B146A">
              <w:rPr>
                <w:rFonts w:ascii="Calibri" w:hAnsi="Calibri" w:cs="Calibri"/>
                <w:color w:val="000000"/>
                <w:szCs w:val="20"/>
              </w:rPr>
              <w:t>1,95%</w:t>
            </w:r>
          </w:p>
        </w:tc>
      </w:tr>
      <w:tr w:rsidR="00DA651F" w:rsidRPr="00355514" w14:paraId="23954E73" w14:textId="77777777" w:rsidTr="00BA7936">
        <w:trPr>
          <w:trHeight w:val="263"/>
        </w:trPr>
        <w:tc>
          <w:tcPr>
            <w:tcW w:w="2263" w:type="dxa"/>
          </w:tcPr>
          <w:p w14:paraId="6EC632ED" w14:textId="77777777" w:rsidR="00DA651F" w:rsidRPr="00F501DA" w:rsidRDefault="00DA651F" w:rsidP="000878F6">
            <w:pPr>
              <w:pStyle w:val="Table"/>
            </w:pPr>
            <w:r w:rsidRPr="00F501DA">
              <w:t>SO2</w:t>
            </w:r>
          </w:p>
        </w:tc>
        <w:tc>
          <w:tcPr>
            <w:tcW w:w="1132" w:type="dxa"/>
            <w:vAlign w:val="center"/>
          </w:tcPr>
          <w:p w14:paraId="449CA575" w14:textId="77777777" w:rsidR="00DA651F" w:rsidRPr="004B146A" w:rsidRDefault="00DA651F" w:rsidP="000878F6">
            <w:pPr>
              <w:pStyle w:val="Table"/>
              <w:jc w:val="center"/>
              <w:rPr>
                <w:szCs w:val="20"/>
              </w:rPr>
            </w:pPr>
            <w:r w:rsidRPr="004B146A">
              <w:rPr>
                <w:rFonts w:ascii="Calibri" w:hAnsi="Calibri" w:cs="Calibri"/>
                <w:color w:val="000000"/>
                <w:szCs w:val="20"/>
              </w:rPr>
              <w:t>-32,43%</w:t>
            </w:r>
          </w:p>
        </w:tc>
        <w:tc>
          <w:tcPr>
            <w:tcW w:w="1133" w:type="dxa"/>
            <w:vAlign w:val="center"/>
          </w:tcPr>
          <w:p w14:paraId="488460FB" w14:textId="77777777" w:rsidR="00DA651F" w:rsidRPr="004B146A" w:rsidRDefault="00DA651F" w:rsidP="000878F6">
            <w:pPr>
              <w:pStyle w:val="Table"/>
              <w:jc w:val="center"/>
              <w:rPr>
                <w:szCs w:val="20"/>
              </w:rPr>
            </w:pPr>
            <w:r w:rsidRPr="004B146A">
              <w:rPr>
                <w:rFonts w:ascii="Calibri" w:hAnsi="Calibri" w:cs="Calibri"/>
                <w:color w:val="000000"/>
                <w:szCs w:val="20"/>
              </w:rPr>
              <w:t>-32,43%</w:t>
            </w:r>
          </w:p>
        </w:tc>
        <w:tc>
          <w:tcPr>
            <w:tcW w:w="1037" w:type="dxa"/>
            <w:vAlign w:val="center"/>
          </w:tcPr>
          <w:p w14:paraId="1989511B" w14:textId="77777777" w:rsidR="00DA651F" w:rsidRPr="004B146A" w:rsidRDefault="00DA651F" w:rsidP="000878F6">
            <w:pPr>
              <w:pStyle w:val="Table"/>
              <w:jc w:val="center"/>
              <w:rPr>
                <w:szCs w:val="20"/>
              </w:rPr>
            </w:pPr>
            <w:r w:rsidRPr="004B146A">
              <w:rPr>
                <w:rFonts w:ascii="Calibri" w:hAnsi="Calibri" w:cs="Calibri"/>
                <w:color w:val="000000"/>
                <w:szCs w:val="20"/>
              </w:rPr>
              <w:t>3,44</w:t>
            </w:r>
          </w:p>
        </w:tc>
        <w:tc>
          <w:tcPr>
            <w:tcW w:w="1227" w:type="dxa"/>
            <w:vAlign w:val="center"/>
          </w:tcPr>
          <w:p w14:paraId="43F93D11" w14:textId="77777777" w:rsidR="00DA651F" w:rsidRPr="004B146A" w:rsidRDefault="00DA651F" w:rsidP="000878F6">
            <w:pPr>
              <w:pStyle w:val="Table"/>
              <w:jc w:val="center"/>
              <w:rPr>
                <w:szCs w:val="20"/>
              </w:rPr>
            </w:pPr>
            <w:r w:rsidRPr="004B146A">
              <w:rPr>
                <w:rFonts w:ascii="Calibri" w:hAnsi="Calibri" w:cs="Calibri"/>
                <w:color w:val="000000"/>
                <w:szCs w:val="20"/>
              </w:rPr>
              <w:t>1,82</w:t>
            </w:r>
          </w:p>
        </w:tc>
        <w:tc>
          <w:tcPr>
            <w:tcW w:w="986" w:type="dxa"/>
            <w:vAlign w:val="center"/>
          </w:tcPr>
          <w:p w14:paraId="4BA8A139" w14:textId="77777777" w:rsidR="00DA651F" w:rsidRPr="004B146A" w:rsidRDefault="00DA651F" w:rsidP="000878F6">
            <w:pPr>
              <w:pStyle w:val="Table"/>
              <w:jc w:val="center"/>
              <w:rPr>
                <w:szCs w:val="20"/>
              </w:rPr>
            </w:pPr>
            <w:r w:rsidRPr="004B146A">
              <w:rPr>
                <w:rFonts w:ascii="Calibri" w:hAnsi="Calibri" w:cs="Calibri"/>
                <w:color w:val="000000"/>
                <w:szCs w:val="20"/>
              </w:rPr>
              <w:t>13,00%</w:t>
            </w:r>
          </w:p>
        </w:tc>
        <w:tc>
          <w:tcPr>
            <w:tcW w:w="1295" w:type="dxa"/>
            <w:vAlign w:val="center"/>
          </w:tcPr>
          <w:p w14:paraId="1F3DDEB3" w14:textId="77777777" w:rsidR="00DA651F" w:rsidRPr="004B146A" w:rsidRDefault="00DA651F" w:rsidP="000878F6">
            <w:pPr>
              <w:pStyle w:val="Table"/>
              <w:jc w:val="center"/>
              <w:rPr>
                <w:szCs w:val="20"/>
              </w:rPr>
            </w:pPr>
            <w:r w:rsidRPr="004B146A">
              <w:rPr>
                <w:rFonts w:ascii="Calibri" w:hAnsi="Calibri" w:cs="Calibri"/>
                <w:color w:val="000000"/>
                <w:szCs w:val="20"/>
              </w:rPr>
              <w:t>6,87%</w:t>
            </w:r>
          </w:p>
        </w:tc>
      </w:tr>
      <w:tr w:rsidR="00DA651F" w:rsidRPr="00355514" w14:paraId="60A43BF8" w14:textId="77777777" w:rsidTr="00BA7936">
        <w:trPr>
          <w:trHeight w:val="111"/>
        </w:trPr>
        <w:tc>
          <w:tcPr>
            <w:tcW w:w="2263" w:type="dxa"/>
          </w:tcPr>
          <w:p w14:paraId="31EF47F4" w14:textId="77777777" w:rsidR="00DA651F" w:rsidRPr="00F501DA" w:rsidRDefault="00DA651F" w:rsidP="000878F6">
            <w:pPr>
              <w:pStyle w:val="Table"/>
            </w:pPr>
            <w:r w:rsidRPr="00F501DA">
              <w:t>PM2.5</w:t>
            </w:r>
          </w:p>
        </w:tc>
        <w:tc>
          <w:tcPr>
            <w:tcW w:w="1132" w:type="dxa"/>
            <w:vAlign w:val="center"/>
          </w:tcPr>
          <w:p w14:paraId="43A81BA1" w14:textId="77777777" w:rsidR="00DA651F" w:rsidRPr="004B146A" w:rsidRDefault="00DA651F" w:rsidP="000878F6">
            <w:pPr>
              <w:pStyle w:val="Table"/>
              <w:jc w:val="center"/>
              <w:rPr>
                <w:szCs w:val="20"/>
              </w:rPr>
            </w:pPr>
            <w:r w:rsidRPr="004B146A">
              <w:rPr>
                <w:rFonts w:ascii="Calibri" w:hAnsi="Calibri" w:cs="Calibri"/>
                <w:color w:val="000000"/>
                <w:szCs w:val="20"/>
              </w:rPr>
              <w:t>-29,58%</w:t>
            </w:r>
          </w:p>
        </w:tc>
        <w:tc>
          <w:tcPr>
            <w:tcW w:w="1133" w:type="dxa"/>
            <w:vAlign w:val="center"/>
          </w:tcPr>
          <w:p w14:paraId="2338CDFA" w14:textId="77777777" w:rsidR="00DA651F" w:rsidRPr="004B146A" w:rsidRDefault="00DA651F" w:rsidP="000878F6">
            <w:pPr>
              <w:pStyle w:val="Table"/>
              <w:jc w:val="center"/>
              <w:rPr>
                <w:szCs w:val="20"/>
              </w:rPr>
            </w:pPr>
            <w:r w:rsidRPr="004B146A">
              <w:rPr>
                <w:rFonts w:ascii="Calibri" w:hAnsi="Calibri" w:cs="Calibri"/>
                <w:color w:val="000000"/>
                <w:szCs w:val="20"/>
              </w:rPr>
              <w:t>-29,58%</w:t>
            </w:r>
          </w:p>
        </w:tc>
        <w:tc>
          <w:tcPr>
            <w:tcW w:w="1037" w:type="dxa"/>
            <w:vAlign w:val="center"/>
          </w:tcPr>
          <w:p w14:paraId="5542A52B" w14:textId="77777777" w:rsidR="00DA651F" w:rsidRPr="004B146A" w:rsidRDefault="00DA651F" w:rsidP="000878F6">
            <w:pPr>
              <w:pStyle w:val="Table"/>
              <w:jc w:val="center"/>
              <w:rPr>
                <w:szCs w:val="20"/>
              </w:rPr>
            </w:pPr>
            <w:r w:rsidRPr="004B146A">
              <w:rPr>
                <w:rFonts w:ascii="Calibri" w:hAnsi="Calibri" w:cs="Calibri"/>
                <w:color w:val="000000"/>
                <w:szCs w:val="20"/>
              </w:rPr>
              <w:t>0,65</w:t>
            </w:r>
          </w:p>
        </w:tc>
        <w:tc>
          <w:tcPr>
            <w:tcW w:w="1227" w:type="dxa"/>
            <w:vAlign w:val="center"/>
          </w:tcPr>
          <w:p w14:paraId="78C7490C" w14:textId="77777777" w:rsidR="00DA651F" w:rsidRPr="004B146A" w:rsidRDefault="00DA651F" w:rsidP="000878F6">
            <w:pPr>
              <w:pStyle w:val="Table"/>
              <w:jc w:val="center"/>
              <w:rPr>
                <w:szCs w:val="20"/>
              </w:rPr>
            </w:pPr>
            <w:r w:rsidRPr="004B146A">
              <w:rPr>
                <w:rFonts w:ascii="Calibri" w:hAnsi="Calibri" w:cs="Calibri"/>
                <w:color w:val="000000"/>
                <w:szCs w:val="20"/>
              </w:rPr>
              <w:t>0,48</w:t>
            </w:r>
          </w:p>
        </w:tc>
        <w:tc>
          <w:tcPr>
            <w:tcW w:w="986" w:type="dxa"/>
            <w:vAlign w:val="center"/>
          </w:tcPr>
          <w:p w14:paraId="104A36D1" w14:textId="77777777" w:rsidR="00DA651F" w:rsidRPr="004B146A" w:rsidRDefault="00DA651F" w:rsidP="000878F6">
            <w:pPr>
              <w:pStyle w:val="Table"/>
              <w:jc w:val="center"/>
              <w:rPr>
                <w:szCs w:val="20"/>
              </w:rPr>
            </w:pPr>
            <w:r w:rsidRPr="004B146A">
              <w:rPr>
                <w:rFonts w:ascii="Calibri" w:hAnsi="Calibri" w:cs="Calibri"/>
                <w:color w:val="000000"/>
                <w:szCs w:val="20"/>
              </w:rPr>
              <w:t>2,46%</w:t>
            </w:r>
          </w:p>
        </w:tc>
        <w:tc>
          <w:tcPr>
            <w:tcW w:w="1295" w:type="dxa"/>
            <w:vAlign w:val="center"/>
          </w:tcPr>
          <w:p w14:paraId="0A25A128" w14:textId="77777777" w:rsidR="00DA651F" w:rsidRPr="004B146A" w:rsidRDefault="00DA651F" w:rsidP="000878F6">
            <w:pPr>
              <w:pStyle w:val="Table"/>
              <w:jc w:val="center"/>
              <w:rPr>
                <w:szCs w:val="20"/>
              </w:rPr>
            </w:pPr>
            <w:r w:rsidRPr="004B146A">
              <w:rPr>
                <w:rFonts w:ascii="Calibri" w:hAnsi="Calibri" w:cs="Calibri"/>
                <w:color w:val="000000"/>
                <w:szCs w:val="20"/>
              </w:rPr>
              <w:t>1,81%</w:t>
            </w:r>
          </w:p>
        </w:tc>
      </w:tr>
      <w:tr w:rsidR="00DA651F" w:rsidRPr="00355514" w14:paraId="496F4FB5" w14:textId="77777777" w:rsidTr="00BA7936">
        <w:trPr>
          <w:trHeight w:val="157"/>
        </w:trPr>
        <w:tc>
          <w:tcPr>
            <w:tcW w:w="2263" w:type="dxa"/>
          </w:tcPr>
          <w:p w14:paraId="179D7B07" w14:textId="77777777" w:rsidR="00DA651F" w:rsidRPr="00F501DA" w:rsidRDefault="00DA651F" w:rsidP="000878F6">
            <w:pPr>
              <w:pStyle w:val="Table"/>
            </w:pPr>
            <w:r w:rsidRPr="00F501DA">
              <w:t>Water Abstraction</w:t>
            </w:r>
          </w:p>
        </w:tc>
        <w:tc>
          <w:tcPr>
            <w:tcW w:w="1132" w:type="dxa"/>
            <w:vAlign w:val="center"/>
          </w:tcPr>
          <w:p w14:paraId="0F857E88" w14:textId="77777777" w:rsidR="00DA651F" w:rsidRPr="004B146A" w:rsidRDefault="00DA651F" w:rsidP="000878F6">
            <w:pPr>
              <w:pStyle w:val="Table"/>
              <w:jc w:val="center"/>
              <w:rPr>
                <w:szCs w:val="20"/>
              </w:rPr>
            </w:pPr>
            <w:r w:rsidRPr="004B146A">
              <w:rPr>
                <w:rFonts w:ascii="Calibri" w:hAnsi="Calibri" w:cs="Calibri"/>
                <w:color w:val="000000"/>
                <w:szCs w:val="20"/>
              </w:rPr>
              <w:t>-23,08%</w:t>
            </w:r>
          </w:p>
        </w:tc>
        <w:tc>
          <w:tcPr>
            <w:tcW w:w="1133" w:type="dxa"/>
            <w:vAlign w:val="center"/>
          </w:tcPr>
          <w:p w14:paraId="0F53E9B9" w14:textId="77777777" w:rsidR="00DA651F" w:rsidRPr="004B146A" w:rsidRDefault="00DA651F" w:rsidP="000878F6">
            <w:pPr>
              <w:pStyle w:val="Table"/>
              <w:jc w:val="center"/>
              <w:rPr>
                <w:szCs w:val="20"/>
              </w:rPr>
            </w:pPr>
            <w:r w:rsidRPr="004B146A">
              <w:rPr>
                <w:rFonts w:ascii="Calibri" w:hAnsi="Calibri" w:cs="Calibri"/>
                <w:color w:val="000000"/>
                <w:szCs w:val="20"/>
              </w:rPr>
              <w:t>-23,08%</w:t>
            </w:r>
          </w:p>
        </w:tc>
        <w:tc>
          <w:tcPr>
            <w:tcW w:w="1037" w:type="dxa"/>
            <w:vAlign w:val="center"/>
          </w:tcPr>
          <w:p w14:paraId="213A082B" w14:textId="77777777" w:rsidR="00DA651F" w:rsidRPr="004B146A" w:rsidRDefault="00DA651F" w:rsidP="000878F6">
            <w:pPr>
              <w:pStyle w:val="Table"/>
              <w:jc w:val="center"/>
              <w:rPr>
                <w:szCs w:val="20"/>
              </w:rPr>
            </w:pPr>
            <w:r w:rsidRPr="004B146A">
              <w:rPr>
                <w:rFonts w:ascii="Calibri" w:hAnsi="Calibri" w:cs="Calibri"/>
                <w:color w:val="000000"/>
                <w:szCs w:val="20"/>
              </w:rPr>
              <w:t>17,28</w:t>
            </w:r>
          </w:p>
        </w:tc>
        <w:tc>
          <w:tcPr>
            <w:tcW w:w="1227" w:type="dxa"/>
            <w:vAlign w:val="center"/>
          </w:tcPr>
          <w:p w14:paraId="4A5828AC" w14:textId="77777777" w:rsidR="00DA651F" w:rsidRPr="004B146A" w:rsidRDefault="00DA651F" w:rsidP="000878F6">
            <w:pPr>
              <w:pStyle w:val="Table"/>
              <w:jc w:val="center"/>
              <w:rPr>
                <w:szCs w:val="20"/>
              </w:rPr>
            </w:pPr>
            <w:r w:rsidRPr="004B146A">
              <w:rPr>
                <w:rFonts w:ascii="Calibri" w:hAnsi="Calibri" w:cs="Calibri"/>
                <w:color w:val="000000"/>
                <w:szCs w:val="20"/>
              </w:rPr>
              <w:t>16,57</w:t>
            </w:r>
          </w:p>
        </w:tc>
        <w:tc>
          <w:tcPr>
            <w:tcW w:w="986" w:type="dxa"/>
            <w:vAlign w:val="center"/>
          </w:tcPr>
          <w:p w14:paraId="331D1A2A" w14:textId="77777777" w:rsidR="00DA651F" w:rsidRPr="004B146A" w:rsidRDefault="00DA651F" w:rsidP="000878F6">
            <w:pPr>
              <w:pStyle w:val="Table"/>
              <w:jc w:val="center"/>
              <w:rPr>
                <w:szCs w:val="20"/>
              </w:rPr>
            </w:pPr>
            <w:r w:rsidRPr="004B146A">
              <w:rPr>
                <w:rFonts w:ascii="Calibri" w:hAnsi="Calibri" w:cs="Calibri"/>
                <w:color w:val="000000"/>
                <w:szCs w:val="20"/>
              </w:rPr>
              <w:t>65,29%</w:t>
            </w:r>
          </w:p>
        </w:tc>
        <w:tc>
          <w:tcPr>
            <w:tcW w:w="1295" w:type="dxa"/>
            <w:vAlign w:val="center"/>
          </w:tcPr>
          <w:p w14:paraId="7E818243" w14:textId="77777777" w:rsidR="00DA651F" w:rsidRPr="004B146A" w:rsidRDefault="00DA651F" w:rsidP="000878F6">
            <w:pPr>
              <w:pStyle w:val="Table"/>
              <w:jc w:val="center"/>
              <w:rPr>
                <w:szCs w:val="20"/>
              </w:rPr>
            </w:pPr>
            <w:r w:rsidRPr="004B146A">
              <w:rPr>
                <w:rFonts w:ascii="Calibri" w:hAnsi="Calibri" w:cs="Calibri"/>
                <w:color w:val="000000"/>
                <w:szCs w:val="20"/>
              </w:rPr>
              <w:t>62,61%</w:t>
            </w:r>
          </w:p>
        </w:tc>
      </w:tr>
      <w:tr w:rsidR="00DA651F" w:rsidRPr="00355514" w14:paraId="563EE7B8" w14:textId="77777777" w:rsidTr="00BA7936">
        <w:trPr>
          <w:trHeight w:val="261"/>
        </w:trPr>
        <w:tc>
          <w:tcPr>
            <w:tcW w:w="2263" w:type="dxa"/>
          </w:tcPr>
          <w:p w14:paraId="4E51A6E6" w14:textId="77777777" w:rsidR="00DA651F" w:rsidRPr="00F501DA" w:rsidRDefault="00DA651F" w:rsidP="000878F6">
            <w:pPr>
              <w:pStyle w:val="Table"/>
            </w:pPr>
            <w:r w:rsidRPr="00F501DA">
              <w:t>Fertilizers</w:t>
            </w:r>
          </w:p>
        </w:tc>
        <w:tc>
          <w:tcPr>
            <w:tcW w:w="1132" w:type="dxa"/>
            <w:vAlign w:val="center"/>
          </w:tcPr>
          <w:p w14:paraId="2D7C9EB9" w14:textId="77777777" w:rsidR="00DA651F" w:rsidRPr="004B146A" w:rsidRDefault="00DA651F" w:rsidP="000878F6">
            <w:pPr>
              <w:pStyle w:val="Table"/>
              <w:jc w:val="center"/>
              <w:rPr>
                <w:szCs w:val="20"/>
              </w:rPr>
            </w:pPr>
            <w:r w:rsidRPr="004B146A">
              <w:rPr>
                <w:rFonts w:ascii="Calibri" w:hAnsi="Calibri" w:cs="Calibri"/>
                <w:color w:val="000000"/>
                <w:szCs w:val="20"/>
              </w:rPr>
              <w:t>-11,98%</w:t>
            </w:r>
          </w:p>
        </w:tc>
        <w:tc>
          <w:tcPr>
            <w:tcW w:w="1133" w:type="dxa"/>
            <w:vAlign w:val="center"/>
          </w:tcPr>
          <w:p w14:paraId="20E1D888" w14:textId="77777777" w:rsidR="00DA651F" w:rsidRPr="004B146A" w:rsidRDefault="00DA651F" w:rsidP="000878F6">
            <w:pPr>
              <w:pStyle w:val="Table"/>
              <w:jc w:val="center"/>
              <w:rPr>
                <w:szCs w:val="20"/>
              </w:rPr>
            </w:pPr>
            <w:r w:rsidRPr="004B146A">
              <w:rPr>
                <w:rFonts w:ascii="Calibri" w:hAnsi="Calibri" w:cs="Calibri"/>
                <w:color w:val="000000"/>
                <w:szCs w:val="20"/>
              </w:rPr>
              <w:t>-11,98%</w:t>
            </w:r>
          </w:p>
        </w:tc>
        <w:tc>
          <w:tcPr>
            <w:tcW w:w="1037" w:type="dxa"/>
            <w:vAlign w:val="center"/>
          </w:tcPr>
          <w:p w14:paraId="133C8B29" w14:textId="77777777" w:rsidR="00DA651F" w:rsidRPr="004B146A" w:rsidRDefault="00DA651F" w:rsidP="000878F6">
            <w:pPr>
              <w:pStyle w:val="Table"/>
              <w:jc w:val="center"/>
              <w:rPr>
                <w:szCs w:val="20"/>
              </w:rPr>
            </w:pPr>
            <w:r w:rsidRPr="004B146A">
              <w:rPr>
                <w:rFonts w:ascii="Calibri" w:hAnsi="Calibri" w:cs="Calibri"/>
                <w:color w:val="000000"/>
                <w:szCs w:val="20"/>
              </w:rPr>
              <w:t>4,86</w:t>
            </w:r>
          </w:p>
        </w:tc>
        <w:tc>
          <w:tcPr>
            <w:tcW w:w="1227" w:type="dxa"/>
            <w:vAlign w:val="center"/>
          </w:tcPr>
          <w:p w14:paraId="14B36EC0" w14:textId="77777777" w:rsidR="00DA651F" w:rsidRPr="004B146A" w:rsidRDefault="00DA651F" w:rsidP="000878F6">
            <w:pPr>
              <w:pStyle w:val="Table"/>
              <w:jc w:val="center"/>
              <w:rPr>
                <w:szCs w:val="20"/>
              </w:rPr>
            </w:pPr>
            <w:r w:rsidRPr="004B146A">
              <w:rPr>
                <w:rFonts w:ascii="Calibri" w:hAnsi="Calibri" w:cs="Calibri"/>
                <w:color w:val="000000"/>
                <w:szCs w:val="20"/>
              </w:rPr>
              <w:t>5,06</w:t>
            </w:r>
          </w:p>
        </w:tc>
        <w:tc>
          <w:tcPr>
            <w:tcW w:w="986" w:type="dxa"/>
            <w:vAlign w:val="center"/>
          </w:tcPr>
          <w:p w14:paraId="42AC80D6" w14:textId="77777777" w:rsidR="00DA651F" w:rsidRPr="004B146A" w:rsidRDefault="00DA651F" w:rsidP="000878F6">
            <w:pPr>
              <w:pStyle w:val="Table"/>
              <w:jc w:val="center"/>
              <w:rPr>
                <w:szCs w:val="20"/>
              </w:rPr>
            </w:pPr>
            <w:r w:rsidRPr="004B146A">
              <w:rPr>
                <w:rFonts w:ascii="Calibri" w:hAnsi="Calibri" w:cs="Calibri"/>
                <w:color w:val="000000"/>
                <w:szCs w:val="20"/>
              </w:rPr>
              <w:t>18,38%</w:t>
            </w:r>
          </w:p>
        </w:tc>
        <w:tc>
          <w:tcPr>
            <w:tcW w:w="1295" w:type="dxa"/>
            <w:vAlign w:val="center"/>
          </w:tcPr>
          <w:p w14:paraId="6ED75759" w14:textId="77777777" w:rsidR="00DA651F" w:rsidRPr="004B146A" w:rsidRDefault="00DA651F" w:rsidP="000878F6">
            <w:pPr>
              <w:pStyle w:val="Table"/>
              <w:jc w:val="center"/>
              <w:rPr>
                <w:szCs w:val="20"/>
              </w:rPr>
            </w:pPr>
            <w:r w:rsidRPr="004B146A">
              <w:rPr>
                <w:rFonts w:ascii="Calibri" w:hAnsi="Calibri" w:cs="Calibri"/>
                <w:color w:val="000000"/>
                <w:szCs w:val="20"/>
              </w:rPr>
              <w:t>19,12%</w:t>
            </w:r>
          </w:p>
        </w:tc>
      </w:tr>
      <w:tr w:rsidR="00DA651F" w:rsidRPr="00355514" w14:paraId="24957FE0" w14:textId="77777777" w:rsidTr="00BA7936">
        <w:trPr>
          <w:trHeight w:val="193"/>
        </w:trPr>
        <w:tc>
          <w:tcPr>
            <w:tcW w:w="2263" w:type="dxa"/>
          </w:tcPr>
          <w:p w14:paraId="464C5762" w14:textId="77777777" w:rsidR="00DA651F" w:rsidRPr="00F501DA" w:rsidRDefault="00DA651F" w:rsidP="000878F6">
            <w:pPr>
              <w:pStyle w:val="Table"/>
            </w:pPr>
            <w:r w:rsidRPr="00F501DA">
              <w:t>Pesticides</w:t>
            </w:r>
          </w:p>
        </w:tc>
        <w:tc>
          <w:tcPr>
            <w:tcW w:w="1132" w:type="dxa"/>
            <w:vAlign w:val="center"/>
          </w:tcPr>
          <w:p w14:paraId="79C126C3" w14:textId="77777777" w:rsidR="00DA651F" w:rsidRPr="004B146A" w:rsidRDefault="00DA651F" w:rsidP="000878F6">
            <w:pPr>
              <w:pStyle w:val="Table"/>
              <w:jc w:val="center"/>
              <w:rPr>
                <w:szCs w:val="20"/>
              </w:rPr>
            </w:pPr>
            <w:r w:rsidRPr="004B146A">
              <w:rPr>
                <w:rFonts w:ascii="Calibri" w:hAnsi="Calibri" w:cs="Calibri"/>
                <w:color w:val="000000"/>
                <w:szCs w:val="20"/>
              </w:rPr>
              <w:t>n/a</w:t>
            </w:r>
          </w:p>
        </w:tc>
        <w:tc>
          <w:tcPr>
            <w:tcW w:w="1133" w:type="dxa"/>
            <w:vAlign w:val="center"/>
          </w:tcPr>
          <w:p w14:paraId="01F8F0B8" w14:textId="77777777" w:rsidR="00DA651F" w:rsidRPr="004B146A" w:rsidRDefault="00DA651F" w:rsidP="000878F6">
            <w:pPr>
              <w:pStyle w:val="Table"/>
              <w:jc w:val="center"/>
              <w:rPr>
                <w:szCs w:val="20"/>
              </w:rPr>
            </w:pPr>
            <w:r w:rsidRPr="004B146A">
              <w:rPr>
                <w:rFonts w:ascii="Calibri" w:hAnsi="Calibri" w:cs="Calibri"/>
                <w:color w:val="000000"/>
                <w:szCs w:val="20"/>
              </w:rPr>
              <w:t>n/a</w:t>
            </w:r>
          </w:p>
        </w:tc>
        <w:tc>
          <w:tcPr>
            <w:tcW w:w="1037" w:type="dxa"/>
            <w:vAlign w:val="center"/>
          </w:tcPr>
          <w:p w14:paraId="46376948" w14:textId="77777777" w:rsidR="00DA651F" w:rsidRPr="004B146A" w:rsidRDefault="00DA651F" w:rsidP="000878F6">
            <w:pPr>
              <w:pStyle w:val="Table"/>
              <w:jc w:val="center"/>
              <w:rPr>
                <w:szCs w:val="20"/>
              </w:rPr>
            </w:pPr>
            <w:r w:rsidRPr="004B146A">
              <w:rPr>
                <w:rFonts w:ascii="Calibri" w:hAnsi="Calibri" w:cs="Calibri"/>
                <w:color w:val="000000"/>
                <w:szCs w:val="20"/>
              </w:rPr>
              <w:t>8,15</w:t>
            </w:r>
          </w:p>
        </w:tc>
        <w:tc>
          <w:tcPr>
            <w:tcW w:w="1227" w:type="dxa"/>
            <w:vAlign w:val="center"/>
          </w:tcPr>
          <w:p w14:paraId="56CECFF7" w14:textId="77777777" w:rsidR="00DA651F" w:rsidRPr="004B146A" w:rsidRDefault="00DA651F" w:rsidP="000878F6">
            <w:pPr>
              <w:pStyle w:val="Table"/>
              <w:jc w:val="center"/>
              <w:rPr>
                <w:szCs w:val="20"/>
              </w:rPr>
            </w:pPr>
            <w:r w:rsidRPr="004B146A">
              <w:rPr>
                <w:rFonts w:ascii="Calibri" w:hAnsi="Calibri" w:cs="Calibri"/>
                <w:color w:val="000000"/>
                <w:szCs w:val="20"/>
              </w:rPr>
              <w:t>8,09</w:t>
            </w:r>
          </w:p>
        </w:tc>
        <w:tc>
          <w:tcPr>
            <w:tcW w:w="986" w:type="dxa"/>
            <w:vAlign w:val="center"/>
          </w:tcPr>
          <w:p w14:paraId="570D1B48" w14:textId="77777777" w:rsidR="00DA651F" w:rsidRPr="004B146A" w:rsidRDefault="00DA651F" w:rsidP="000878F6">
            <w:pPr>
              <w:pStyle w:val="Table"/>
              <w:jc w:val="center"/>
              <w:rPr>
                <w:szCs w:val="20"/>
              </w:rPr>
            </w:pPr>
            <w:r w:rsidRPr="004B146A">
              <w:rPr>
                <w:rFonts w:ascii="Calibri" w:hAnsi="Calibri" w:cs="Calibri"/>
                <w:color w:val="000000"/>
                <w:szCs w:val="20"/>
              </w:rPr>
              <w:t>30,79%</w:t>
            </w:r>
          </w:p>
        </w:tc>
        <w:tc>
          <w:tcPr>
            <w:tcW w:w="1295" w:type="dxa"/>
            <w:vAlign w:val="center"/>
          </w:tcPr>
          <w:p w14:paraId="2CDC9038" w14:textId="77777777" w:rsidR="00DA651F" w:rsidRPr="004B146A" w:rsidRDefault="00DA651F" w:rsidP="000878F6">
            <w:pPr>
              <w:pStyle w:val="Table"/>
              <w:jc w:val="center"/>
              <w:rPr>
                <w:szCs w:val="20"/>
              </w:rPr>
            </w:pPr>
            <w:r w:rsidRPr="004B146A">
              <w:rPr>
                <w:rFonts w:ascii="Calibri" w:hAnsi="Calibri" w:cs="Calibri"/>
                <w:color w:val="000000"/>
                <w:szCs w:val="20"/>
              </w:rPr>
              <w:t>30,57%</w:t>
            </w:r>
          </w:p>
        </w:tc>
      </w:tr>
      <w:tr w:rsidR="00DA651F" w:rsidRPr="00355514" w14:paraId="005ECE7E" w14:textId="77777777" w:rsidTr="00BA7936">
        <w:trPr>
          <w:trHeight w:val="282"/>
        </w:trPr>
        <w:tc>
          <w:tcPr>
            <w:tcW w:w="2263" w:type="dxa"/>
          </w:tcPr>
          <w:p w14:paraId="16576B73" w14:textId="77777777" w:rsidR="00DA651F" w:rsidRPr="00F501DA" w:rsidRDefault="00DA651F" w:rsidP="000878F6">
            <w:pPr>
              <w:pStyle w:val="Table"/>
            </w:pPr>
            <w:r w:rsidRPr="00F501DA">
              <w:t>Waste Incineration</w:t>
            </w:r>
          </w:p>
        </w:tc>
        <w:tc>
          <w:tcPr>
            <w:tcW w:w="1132" w:type="dxa"/>
            <w:vAlign w:val="center"/>
          </w:tcPr>
          <w:p w14:paraId="32C1E1A9" w14:textId="77777777" w:rsidR="00DA651F" w:rsidRPr="004B146A" w:rsidRDefault="00DA651F" w:rsidP="000878F6">
            <w:pPr>
              <w:pStyle w:val="Table"/>
              <w:jc w:val="center"/>
              <w:rPr>
                <w:szCs w:val="20"/>
              </w:rPr>
            </w:pPr>
            <w:r w:rsidRPr="004B146A">
              <w:rPr>
                <w:rFonts w:ascii="Calibri" w:hAnsi="Calibri" w:cs="Calibri"/>
                <w:color w:val="000000"/>
                <w:szCs w:val="20"/>
              </w:rPr>
              <w:t>-20,00%</w:t>
            </w:r>
          </w:p>
        </w:tc>
        <w:tc>
          <w:tcPr>
            <w:tcW w:w="1133" w:type="dxa"/>
            <w:vAlign w:val="center"/>
          </w:tcPr>
          <w:p w14:paraId="52FAE3CA" w14:textId="77777777" w:rsidR="00DA651F" w:rsidRPr="004B146A" w:rsidRDefault="00DA651F" w:rsidP="000878F6">
            <w:pPr>
              <w:pStyle w:val="Table"/>
              <w:jc w:val="center"/>
              <w:rPr>
                <w:szCs w:val="20"/>
              </w:rPr>
            </w:pPr>
            <w:r w:rsidRPr="004B146A">
              <w:rPr>
                <w:rFonts w:ascii="Calibri" w:hAnsi="Calibri" w:cs="Calibri"/>
                <w:color w:val="000000"/>
                <w:szCs w:val="20"/>
              </w:rPr>
              <w:t>-20,00%</w:t>
            </w:r>
          </w:p>
        </w:tc>
        <w:tc>
          <w:tcPr>
            <w:tcW w:w="1037" w:type="dxa"/>
            <w:vAlign w:val="center"/>
          </w:tcPr>
          <w:p w14:paraId="7E019C96" w14:textId="77777777" w:rsidR="00DA651F" w:rsidRPr="004B146A" w:rsidRDefault="00DA651F" w:rsidP="000878F6">
            <w:pPr>
              <w:pStyle w:val="Table"/>
              <w:jc w:val="center"/>
              <w:rPr>
                <w:szCs w:val="20"/>
              </w:rPr>
            </w:pPr>
            <w:r w:rsidRPr="004B146A">
              <w:rPr>
                <w:rFonts w:ascii="Calibri" w:hAnsi="Calibri" w:cs="Calibri"/>
                <w:color w:val="000000"/>
                <w:szCs w:val="20"/>
              </w:rPr>
              <w:t>0,06</w:t>
            </w:r>
          </w:p>
        </w:tc>
        <w:tc>
          <w:tcPr>
            <w:tcW w:w="1227" w:type="dxa"/>
            <w:vAlign w:val="center"/>
          </w:tcPr>
          <w:p w14:paraId="1EE12F63" w14:textId="77777777" w:rsidR="00DA651F" w:rsidRPr="004B146A" w:rsidRDefault="00DA651F" w:rsidP="000878F6">
            <w:pPr>
              <w:pStyle w:val="Table"/>
              <w:jc w:val="center"/>
              <w:rPr>
                <w:szCs w:val="20"/>
              </w:rPr>
            </w:pPr>
            <w:r w:rsidRPr="004B146A">
              <w:rPr>
                <w:rFonts w:ascii="Calibri" w:hAnsi="Calibri" w:cs="Calibri"/>
                <w:color w:val="000000"/>
                <w:szCs w:val="20"/>
              </w:rPr>
              <w:t>0,03</w:t>
            </w:r>
          </w:p>
        </w:tc>
        <w:tc>
          <w:tcPr>
            <w:tcW w:w="986" w:type="dxa"/>
            <w:vAlign w:val="center"/>
          </w:tcPr>
          <w:p w14:paraId="3FE3BD69" w14:textId="77777777" w:rsidR="00DA651F" w:rsidRPr="004B146A" w:rsidRDefault="00DA651F" w:rsidP="000878F6">
            <w:pPr>
              <w:pStyle w:val="Table"/>
              <w:jc w:val="center"/>
              <w:rPr>
                <w:szCs w:val="20"/>
              </w:rPr>
            </w:pPr>
            <w:r w:rsidRPr="004B146A">
              <w:rPr>
                <w:rFonts w:ascii="Calibri" w:hAnsi="Calibri" w:cs="Calibri"/>
                <w:color w:val="000000"/>
                <w:szCs w:val="20"/>
              </w:rPr>
              <w:t>0,22%</w:t>
            </w:r>
          </w:p>
        </w:tc>
        <w:tc>
          <w:tcPr>
            <w:tcW w:w="1295" w:type="dxa"/>
            <w:vAlign w:val="center"/>
          </w:tcPr>
          <w:p w14:paraId="1EE633D2" w14:textId="77777777" w:rsidR="00DA651F" w:rsidRPr="004B146A" w:rsidRDefault="00DA651F" w:rsidP="000878F6">
            <w:pPr>
              <w:pStyle w:val="Table"/>
              <w:jc w:val="center"/>
              <w:rPr>
                <w:szCs w:val="20"/>
              </w:rPr>
            </w:pPr>
            <w:r w:rsidRPr="004B146A">
              <w:rPr>
                <w:rFonts w:ascii="Calibri" w:hAnsi="Calibri" w:cs="Calibri"/>
                <w:color w:val="000000"/>
                <w:szCs w:val="20"/>
              </w:rPr>
              <w:t>0,13%</w:t>
            </w:r>
          </w:p>
        </w:tc>
      </w:tr>
      <w:tr w:rsidR="00DA651F" w:rsidRPr="00355514" w14:paraId="7588E0EC" w14:textId="77777777" w:rsidTr="00BA7936">
        <w:trPr>
          <w:trHeight w:val="140"/>
        </w:trPr>
        <w:tc>
          <w:tcPr>
            <w:tcW w:w="2263" w:type="dxa"/>
          </w:tcPr>
          <w:p w14:paraId="50246B06" w14:textId="77777777" w:rsidR="00DA651F" w:rsidRPr="00F501DA" w:rsidRDefault="00DA651F" w:rsidP="000878F6">
            <w:pPr>
              <w:pStyle w:val="Table"/>
            </w:pPr>
            <w:r w:rsidRPr="00F501DA">
              <w:t>Waste to Landfill</w:t>
            </w:r>
          </w:p>
        </w:tc>
        <w:tc>
          <w:tcPr>
            <w:tcW w:w="1132" w:type="dxa"/>
            <w:vAlign w:val="center"/>
          </w:tcPr>
          <w:p w14:paraId="202AA850" w14:textId="77777777" w:rsidR="00DA651F" w:rsidRPr="004B146A" w:rsidRDefault="00DA651F" w:rsidP="000878F6">
            <w:pPr>
              <w:pStyle w:val="Table"/>
              <w:jc w:val="center"/>
              <w:rPr>
                <w:szCs w:val="20"/>
              </w:rPr>
            </w:pPr>
            <w:r w:rsidRPr="004B146A">
              <w:rPr>
                <w:rFonts w:ascii="Calibri" w:hAnsi="Calibri" w:cs="Calibri"/>
                <w:color w:val="000000"/>
                <w:szCs w:val="20"/>
              </w:rPr>
              <w:t>-30,06%</w:t>
            </w:r>
          </w:p>
        </w:tc>
        <w:tc>
          <w:tcPr>
            <w:tcW w:w="1133" w:type="dxa"/>
            <w:vAlign w:val="center"/>
          </w:tcPr>
          <w:p w14:paraId="1F87D2D7" w14:textId="77777777" w:rsidR="00DA651F" w:rsidRPr="004B146A" w:rsidRDefault="00DA651F" w:rsidP="000878F6">
            <w:pPr>
              <w:pStyle w:val="Table"/>
              <w:jc w:val="center"/>
              <w:rPr>
                <w:szCs w:val="20"/>
              </w:rPr>
            </w:pPr>
            <w:r w:rsidRPr="004B146A">
              <w:rPr>
                <w:rFonts w:ascii="Calibri" w:hAnsi="Calibri" w:cs="Calibri"/>
                <w:color w:val="000000"/>
                <w:szCs w:val="20"/>
              </w:rPr>
              <w:t>-30,06%</w:t>
            </w:r>
          </w:p>
        </w:tc>
        <w:tc>
          <w:tcPr>
            <w:tcW w:w="1037" w:type="dxa"/>
            <w:vAlign w:val="center"/>
          </w:tcPr>
          <w:p w14:paraId="38B04A69" w14:textId="77777777" w:rsidR="00DA651F" w:rsidRPr="004B146A" w:rsidRDefault="00DA651F" w:rsidP="000878F6">
            <w:pPr>
              <w:pStyle w:val="Table"/>
              <w:jc w:val="center"/>
              <w:rPr>
                <w:szCs w:val="20"/>
              </w:rPr>
            </w:pPr>
            <w:r w:rsidRPr="004B146A">
              <w:rPr>
                <w:rFonts w:ascii="Calibri" w:hAnsi="Calibri" w:cs="Calibri"/>
                <w:color w:val="000000"/>
                <w:szCs w:val="20"/>
              </w:rPr>
              <w:t>49,64</w:t>
            </w:r>
          </w:p>
        </w:tc>
        <w:tc>
          <w:tcPr>
            <w:tcW w:w="1227" w:type="dxa"/>
            <w:vAlign w:val="center"/>
          </w:tcPr>
          <w:p w14:paraId="5E2382D9" w14:textId="77777777" w:rsidR="00DA651F" w:rsidRPr="004B146A" w:rsidRDefault="00DA651F" w:rsidP="000878F6">
            <w:pPr>
              <w:pStyle w:val="Table"/>
              <w:jc w:val="center"/>
              <w:rPr>
                <w:szCs w:val="20"/>
              </w:rPr>
            </w:pPr>
            <w:r w:rsidRPr="004B146A">
              <w:rPr>
                <w:rFonts w:ascii="Calibri" w:hAnsi="Calibri" w:cs="Calibri"/>
                <w:color w:val="000000"/>
                <w:szCs w:val="20"/>
              </w:rPr>
              <w:t>42,69</w:t>
            </w:r>
          </w:p>
        </w:tc>
        <w:tc>
          <w:tcPr>
            <w:tcW w:w="986" w:type="dxa"/>
            <w:vAlign w:val="center"/>
          </w:tcPr>
          <w:p w14:paraId="135F9D78" w14:textId="77777777" w:rsidR="00DA651F" w:rsidRPr="004B146A" w:rsidRDefault="00DA651F" w:rsidP="000878F6">
            <w:pPr>
              <w:pStyle w:val="Table"/>
              <w:jc w:val="center"/>
              <w:rPr>
                <w:szCs w:val="20"/>
              </w:rPr>
            </w:pPr>
            <w:r w:rsidRPr="004B146A">
              <w:rPr>
                <w:rFonts w:ascii="Calibri" w:hAnsi="Calibri" w:cs="Calibri"/>
                <w:color w:val="000000"/>
                <w:szCs w:val="20"/>
              </w:rPr>
              <w:t>187,60%</w:t>
            </w:r>
          </w:p>
        </w:tc>
        <w:tc>
          <w:tcPr>
            <w:tcW w:w="1295" w:type="dxa"/>
            <w:vAlign w:val="center"/>
          </w:tcPr>
          <w:p w14:paraId="5628C7E1" w14:textId="77777777" w:rsidR="00DA651F" w:rsidRPr="004B146A" w:rsidRDefault="00DA651F" w:rsidP="000878F6">
            <w:pPr>
              <w:pStyle w:val="Table"/>
              <w:jc w:val="center"/>
              <w:rPr>
                <w:szCs w:val="20"/>
              </w:rPr>
            </w:pPr>
            <w:r w:rsidRPr="004B146A">
              <w:rPr>
                <w:rFonts w:ascii="Calibri" w:hAnsi="Calibri" w:cs="Calibri"/>
                <w:color w:val="000000"/>
                <w:szCs w:val="20"/>
              </w:rPr>
              <w:t>161,32%</w:t>
            </w:r>
          </w:p>
        </w:tc>
      </w:tr>
      <w:tr w:rsidR="00DA651F" w:rsidRPr="00355514" w14:paraId="73BA6DC6" w14:textId="77777777" w:rsidTr="00BA7936">
        <w:trPr>
          <w:trHeight w:val="158"/>
        </w:trPr>
        <w:tc>
          <w:tcPr>
            <w:tcW w:w="2263" w:type="dxa"/>
          </w:tcPr>
          <w:p w14:paraId="1F29A3F0" w14:textId="77777777" w:rsidR="00DA651F" w:rsidRPr="00F501DA" w:rsidRDefault="00DA651F" w:rsidP="000878F6">
            <w:pPr>
              <w:pStyle w:val="Table"/>
            </w:pPr>
            <w:r w:rsidRPr="00F501DA">
              <w:t>Water Effluent</w:t>
            </w:r>
          </w:p>
        </w:tc>
        <w:tc>
          <w:tcPr>
            <w:tcW w:w="1132" w:type="dxa"/>
            <w:vAlign w:val="center"/>
          </w:tcPr>
          <w:p w14:paraId="1B82FEBD" w14:textId="77777777" w:rsidR="00DA651F" w:rsidRPr="004B146A" w:rsidRDefault="00DA651F" w:rsidP="000878F6">
            <w:pPr>
              <w:pStyle w:val="Table"/>
              <w:jc w:val="center"/>
              <w:rPr>
                <w:szCs w:val="20"/>
              </w:rPr>
            </w:pPr>
            <w:r w:rsidRPr="004B146A">
              <w:rPr>
                <w:rFonts w:ascii="Calibri" w:hAnsi="Calibri" w:cs="Calibri"/>
                <w:color w:val="000000"/>
                <w:szCs w:val="20"/>
              </w:rPr>
              <w:t>-4,36%</w:t>
            </w:r>
          </w:p>
        </w:tc>
        <w:tc>
          <w:tcPr>
            <w:tcW w:w="1133" w:type="dxa"/>
            <w:vAlign w:val="center"/>
          </w:tcPr>
          <w:p w14:paraId="0B735641" w14:textId="77777777" w:rsidR="00DA651F" w:rsidRPr="004B146A" w:rsidRDefault="00DA651F" w:rsidP="000878F6">
            <w:pPr>
              <w:pStyle w:val="Table"/>
              <w:jc w:val="center"/>
              <w:rPr>
                <w:szCs w:val="20"/>
              </w:rPr>
            </w:pPr>
            <w:r w:rsidRPr="004B146A">
              <w:rPr>
                <w:rFonts w:ascii="Calibri" w:hAnsi="Calibri" w:cs="Calibri"/>
                <w:color w:val="000000"/>
                <w:szCs w:val="20"/>
              </w:rPr>
              <w:t>-4,36%</w:t>
            </w:r>
          </w:p>
        </w:tc>
        <w:tc>
          <w:tcPr>
            <w:tcW w:w="1037" w:type="dxa"/>
            <w:vAlign w:val="center"/>
          </w:tcPr>
          <w:p w14:paraId="62C0BAED" w14:textId="77777777" w:rsidR="00DA651F" w:rsidRPr="004B146A" w:rsidRDefault="00DA651F" w:rsidP="000878F6">
            <w:pPr>
              <w:pStyle w:val="Table"/>
              <w:jc w:val="center"/>
              <w:rPr>
                <w:szCs w:val="20"/>
              </w:rPr>
            </w:pPr>
            <w:r w:rsidRPr="004B146A">
              <w:rPr>
                <w:rFonts w:ascii="Calibri" w:hAnsi="Calibri" w:cs="Calibri"/>
                <w:color w:val="000000"/>
                <w:szCs w:val="20"/>
              </w:rPr>
              <w:t>70,00</w:t>
            </w:r>
          </w:p>
        </w:tc>
        <w:tc>
          <w:tcPr>
            <w:tcW w:w="1227" w:type="dxa"/>
            <w:vAlign w:val="center"/>
          </w:tcPr>
          <w:p w14:paraId="16D00299" w14:textId="77777777" w:rsidR="00DA651F" w:rsidRPr="004B146A" w:rsidRDefault="00DA651F" w:rsidP="000878F6">
            <w:pPr>
              <w:pStyle w:val="Table"/>
              <w:jc w:val="center"/>
              <w:rPr>
                <w:szCs w:val="20"/>
              </w:rPr>
            </w:pPr>
            <w:r w:rsidRPr="004B146A">
              <w:rPr>
                <w:rFonts w:ascii="Calibri" w:hAnsi="Calibri" w:cs="Calibri"/>
                <w:color w:val="000000"/>
                <w:szCs w:val="20"/>
              </w:rPr>
              <w:t>68,95</w:t>
            </w:r>
          </w:p>
        </w:tc>
        <w:tc>
          <w:tcPr>
            <w:tcW w:w="986" w:type="dxa"/>
            <w:vAlign w:val="center"/>
          </w:tcPr>
          <w:p w14:paraId="45005BA8" w14:textId="77777777" w:rsidR="00DA651F" w:rsidRPr="004B146A" w:rsidRDefault="00DA651F" w:rsidP="000878F6">
            <w:pPr>
              <w:pStyle w:val="Table"/>
              <w:jc w:val="center"/>
              <w:rPr>
                <w:szCs w:val="20"/>
              </w:rPr>
            </w:pPr>
            <w:r w:rsidRPr="004B146A">
              <w:rPr>
                <w:rFonts w:ascii="Calibri" w:hAnsi="Calibri" w:cs="Calibri"/>
                <w:color w:val="000000"/>
                <w:szCs w:val="20"/>
              </w:rPr>
              <w:t>264,55%</w:t>
            </w:r>
          </w:p>
        </w:tc>
        <w:tc>
          <w:tcPr>
            <w:tcW w:w="1295" w:type="dxa"/>
            <w:vAlign w:val="center"/>
          </w:tcPr>
          <w:p w14:paraId="39C91F16" w14:textId="77777777" w:rsidR="00DA651F" w:rsidRPr="004B146A" w:rsidRDefault="00DA651F" w:rsidP="000878F6">
            <w:pPr>
              <w:pStyle w:val="Table"/>
              <w:jc w:val="center"/>
              <w:rPr>
                <w:szCs w:val="20"/>
              </w:rPr>
            </w:pPr>
            <w:r w:rsidRPr="004B146A">
              <w:rPr>
                <w:rFonts w:ascii="Calibri" w:hAnsi="Calibri" w:cs="Calibri"/>
                <w:color w:val="000000"/>
                <w:szCs w:val="20"/>
              </w:rPr>
              <w:t>260,59%</w:t>
            </w:r>
          </w:p>
        </w:tc>
      </w:tr>
      <w:tr w:rsidR="00DA651F" w:rsidRPr="00355514" w14:paraId="0706F93F" w14:textId="77777777" w:rsidTr="00BA7936">
        <w:trPr>
          <w:trHeight w:val="190"/>
        </w:trPr>
        <w:tc>
          <w:tcPr>
            <w:tcW w:w="2263" w:type="dxa"/>
          </w:tcPr>
          <w:p w14:paraId="52123C84" w14:textId="77777777" w:rsidR="00DA651F" w:rsidRPr="00355514" w:rsidRDefault="00DA651F" w:rsidP="000878F6">
            <w:pPr>
              <w:pStyle w:val="Table"/>
            </w:pPr>
            <w:r w:rsidRPr="00355514">
              <w:t>Minerals &amp; Aggregates</w:t>
            </w:r>
          </w:p>
        </w:tc>
        <w:tc>
          <w:tcPr>
            <w:tcW w:w="1132" w:type="dxa"/>
            <w:vAlign w:val="center"/>
          </w:tcPr>
          <w:p w14:paraId="20A869E6" w14:textId="77777777" w:rsidR="00DA651F" w:rsidRPr="004B146A" w:rsidRDefault="00DA651F" w:rsidP="000878F6">
            <w:pPr>
              <w:pStyle w:val="Table"/>
              <w:jc w:val="center"/>
              <w:rPr>
                <w:szCs w:val="20"/>
              </w:rPr>
            </w:pPr>
            <w:r w:rsidRPr="004B146A">
              <w:rPr>
                <w:rFonts w:ascii="Calibri" w:hAnsi="Calibri" w:cs="Calibri"/>
                <w:color w:val="000000"/>
                <w:szCs w:val="20"/>
              </w:rPr>
              <w:t>-16,67%</w:t>
            </w:r>
          </w:p>
        </w:tc>
        <w:tc>
          <w:tcPr>
            <w:tcW w:w="1133" w:type="dxa"/>
            <w:vAlign w:val="center"/>
          </w:tcPr>
          <w:p w14:paraId="77F35D24" w14:textId="77777777" w:rsidR="00DA651F" w:rsidRPr="004B146A" w:rsidRDefault="00DA651F" w:rsidP="000878F6">
            <w:pPr>
              <w:pStyle w:val="Table"/>
              <w:jc w:val="center"/>
              <w:rPr>
                <w:szCs w:val="20"/>
              </w:rPr>
            </w:pPr>
            <w:r w:rsidRPr="004B146A">
              <w:rPr>
                <w:rFonts w:ascii="Calibri" w:hAnsi="Calibri" w:cs="Calibri"/>
                <w:color w:val="000000"/>
                <w:szCs w:val="20"/>
              </w:rPr>
              <w:t>-16,67%</w:t>
            </w:r>
          </w:p>
        </w:tc>
        <w:tc>
          <w:tcPr>
            <w:tcW w:w="1037" w:type="dxa"/>
            <w:vAlign w:val="center"/>
          </w:tcPr>
          <w:p w14:paraId="4E491DF2" w14:textId="77777777" w:rsidR="00DA651F" w:rsidRPr="004B146A" w:rsidRDefault="00DA651F" w:rsidP="000878F6">
            <w:pPr>
              <w:pStyle w:val="Table"/>
              <w:jc w:val="center"/>
              <w:rPr>
                <w:szCs w:val="20"/>
              </w:rPr>
            </w:pPr>
            <w:r w:rsidRPr="004B146A">
              <w:rPr>
                <w:rFonts w:ascii="Calibri" w:hAnsi="Calibri" w:cs="Calibri"/>
                <w:color w:val="000000"/>
                <w:szCs w:val="20"/>
              </w:rPr>
              <w:t>81,09</w:t>
            </w:r>
          </w:p>
        </w:tc>
        <w:tc>
          <w:tcPr>
            <w:tcW w:w="1227" w:type="dxa"/>
            <w:vAlign w:val="center"/>
          </w:tcPr>
          <w:p w14:paraId="660EAE18" w14:textId="77777777" w:rsidR="00DA651F" w:rsidRPr="004B146A" w:rsidRDefault="00DA651F" w:rsidP="000878F6">
            <w:pPr>
              <w:pStyle w:val="Table"/>
              <w:jc w:val="center"/>
              <w:rPr>
                <w:szCs w:val="20"/>
              </w:rPr>
            </w:pPr>
            <w:r w:rsidRPr="004B146A">
              <w:rPr>
                <w:rFonts w:ascii="Calibri" w:hAnsi="Calibri" w:cs="Calibri"/>
                <w:color w:val="000000"/>
                <w:szCs w:val="20"/>
              </w:rPr>
              <w:t>79,72</w:t>
            </w:r>
          </w:p>
        </w:tc>
        <w:tc>
          <w:tcPr>
            <w:tcW w:w="986" w:type="dxa"/>
            <w:vAlign w:val="center"/>
          </w:tcPr>
          <w:p w14:paraId="5C39BF1C" w14:textId="77777777" w:rsidR="00DA651F" w:rsidRPr="004B146A" w:rsidRDefault="00DA651F" w:rsidP="000878F6">
            <w:pPr>
              <w:pStyle w:val="Table"/>
              <w:jc w:val="center"/>
              <w:rPr>
                <w:szCs w:val="20"/>
              </w:rPr>
            </w:pPr>
            <w:r w:rsidRPr="004B146A">
              <w:rPr>
                <w:rFonts w:ascii="Calibri" w:hAnsi="Calibri" w:cs="Calibri"/>
                <w:color w:val="000000"/>
                <w:szCs w:val="20"/>
              </w:rPr>
              <w:t>N.E.</w:t>
            </w:r>
          </w:p>
        </w:tc>
        <w:tc>
          <w:tcPr>
            <w:tcW w:w="1295" w:type="dxa"/>
            <w:vAlign w:val="center"/>
          </w:tcPr>
          <w:p w14:paraId="2E6580B2" w14:textId="77777777" w:rsidR="00DA651F" w:rsidRPr="004B146A" w:rsidRDefault="00DA651F" w:rsidP="000878F6">
            <w:pPr>
              <w:pStyle w:val="Table"/>
              <w:jc w:val="center"/>
              <w:rPr>
                <w:szCs w:val="20"/>
              </w:rPr>
            </w:pPr>
            <w:r w:rsidRPr="004B146A">
              <w:rPr>
                <w:rFonts w:ascii="Calibri" w:hAnsi="Calibri" w:cs="Calibri"/>
                <w:color w:val="000000"/>
                <w:szCs w:val="20"/>
              </w:rPr>
              <w:t>N.E.</w:t>
            </w:r>
          </w:p>
        </w:tc>
      </w:tr>
    </w:tbl>
    <w:p w14:paraId="31948B6D" w14:textId="77777777" w:rsidR="00DA651F" w:rsidRDefault="00DA651F" w:rsidP="00DA651F"/>
    <w:tbl>
      <w:tblPr>
        <w:tblStyle w:val="Lentelstinklelis1"/>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32"/>
        <w:gridCol w:w="1133"/>
        <w:gridCol w:w="1037"/>
        <w:gridCol w:w="1227"/>
        <w:gridCol w:w="986"/>
        <w:gridCol w:w="1295"/>
      </w:tblGrid>
      <w:tr w:rsidR="00DA651F" w:rsidRPr="00B129CB" w14:paraId="16F4B03C" w14:textId="77777777" w:rsidTr="00BA7936">
        <w:trPr>
          <w:trHeight w:val="301"/>
          <w:tblHeader/>
        </w:trPr>
        <w:tc>
          <w:tcPr>
            <w:tcW w:w="9073" w:type="dxa"/>
            <w:gridSpan w:val="7"/>
            <w:shd w:val="clear" w:color="auto" w:fill="003399"/>
          </w:tcPr>
          <w:p w14:paraId="2AB5AE83" w14:textId="481AAF96" w:rsidR="00DA651F" w:rsidRPr="00B129CB" w:rsidRDefault="00DA651F" w:rsidP="000878F6">
            <w:pPr>
              <w:pStyle w:val="Table"/>
              <w:rPr>
                <w:b/>
                <w:szCs w:val="20"/>
                <w:lang w:eastAsia="en-GB"/>
              </w:rPr>
            </w:pPr>
            <w:r w:rsidRPr="00B129CB">
              <w:rPr>
                <w:b/>
                <w:color w:val="FFFFFF" w:themeColor="background1"/>
                <w:szCs w:val="20"/>
              </w:rPr>
              <w:t xml:space="preserve">Table </w:t>
            </w:r>
            <w:r w:rsidR="00490085">
              <w:rPr>
                <w:b/>
                <w:bCs/>
                <w:color w:val="FFFFFF" w:themeColor="background1"/>
                <w:szCs w:val="20"/>
              </w:rPr>
              <w:t>A6</w:t>
            </w:r>
            <w:r w:rsidRPr="00B129CB">
              <w:rPr>
                <w:b/>
                <w:bCs/>
                <w:color w:val="FFFFFF" w:themeColor="background1"/>
                <w:szCs w:val="20"/>
              </w:rPr>
              <w:t>-</w:t>
            </w:r>
            <w:r w:rsidRPr="00B129CB">
              <w:rPr>
                <w:b/>
                <w:bCs/>
                <w:color w:val="FFFFFF" w:themeColor="background1"/>
                <w:szCs w:val="20"/>
              </w:rPr>
              <w:fldChar w:fldCharType="begin"/>
            </w:r>
            <w:r w:rsidRPr="00B129CB">
              <w:rPr>
                <w:b/>
                <w:bCs/>
                <w:color w:val="FFFFFF" w:themeColor="background1"/>
                <w:szCs w:val="20"/>
              </w:rPr>
              <w:instrText xml:space="preserve"> SEQ Table_A5- \* ARABIC </w:instrText>
            </w:r>
            <w:r w:rsidRPr="00B129CB">
              <w:rPr>
                <w:b/>
                <w:bCs/>
                <w:color w:val="FFFFFF" w:themeColor="background1"/>
                <w:szCs w:val="20"/>
              </w:rPr>
              <w:fldChar w:fldCharType="separate"/>
            </w:r>
            <w:r>
              <w:rPr>
                <w:b/>
                <w:bCs/>
                <w:noProof/>
                <w:color w:val="FFFFFF" w:themeColor="background1"/>
                <w:szCs w:val="20"/>
              </w:rPr>
              <w:t>122</w:t>
            </w:r>
            <w:r w:rsidRPr="00B129CB">
              <w:rPr>
                <w:b/>
                <w:bCs/>
                <w:color w:val="FFFFFF" w:themeColor="background1"/>
                <w:szCs w:val="20"/>
              </w:rPr>
              <w:fldChar w:fldCharType="end"/>
            </w:r>
            <w:r w:rsidRPr="00B129CB">
              <w:rPr>
                <w:b/>
                <w:bCs/>
                <w:color w:val="FFFFFF" w:themeColor="background1"/>
                <w:szCs w:val="20"/>
                <w:lang w:eastAsia="en-GB"/>
              </w:rPr>
              <w:t>:</w:t>
            </w:r>
            <w:r w:rsidRPr="00B129CB">
              <w:rPr>
                <w:b/>
                <w:color w:val="FFFFFF" w:themeColor="background1"/>
                <w:szCs w:val="20"/>
                <w:lang w:eastAsia="en-GB"/>
              </w:rPr>
              <w:t xml:space="preserve"> Environmental Impacts and Revenue Changes in Slovakia – Scenario B</w:t>
            </w:r>
          </w:p>
        </w:tc>
      </w:tr>
      <w:tr w:rsidR="00DA651F" w:rsidRPr="00B129CB" w14:paraId="5090D156" w14:textId="77777777" w:rsidTr="00BA7936">
        <w:trPr>
          <w:trHeight w:val="405"/>
          <w:tblHeader/>
        </w:trPr>
        <w:tc>
          <w:tcPr>
            <w:tcW w:w="2263" w:type="dxa"/>
          </w:tcPr>
          <w:p w14:paraId="44199CB4" w14:textId="77777777" w:rsidR="00DA651F" w:rsidRPr="00B129CB" w:rsidRDefault="00DA651F" w:rsidP="000878F6">
            <w:pPr>
              <w:pStyle w:val="Table"/>
              <w:rPr>
                <w:b/>
                <w:szCs w:val="20"/>
              </w:rPr>
            </w:pPr>
            <w:r w:rsidRPr="00B129CB">
              <w:rPr>
                <w:b/>
                <w:szCs w:val="20"/>
              </w:rPr>
              <w:t>Tax Name</w:t>
            </w:r>
          </w:p>
        </w:tc>
        <w:tc>
          <w:tcPr>
            <w:tcW w:w="2265" w:type="dxa"/>
            <w:gridSpan w:val="2"/>
            <w:vAlign w:val="bottom"/>
          </w:tcPr>
          <w:p w14:paraId="259D73FE" w14:textId="77777777" w:rsidR="00DA651F" w:rsidRPr="00B129CB" w:rsidRDefault="00DA651F" w:rsidP="000878F6">
            <w:pPr>
              <w:pStyle w:val="Table"/>
              <w:jc w:val="center"/>
              <w:rPr>
                <w:b/>
                <w:szCs w:val="20"/>
              </w:rPr>
            </w:pPr>
            <w:r w:rsidRPr="00B129CB">
              <w:rPr>
                <w:rFonts w:ascii="Calibri" w:hAnsi="Calibri" w:cs="Calibri"/>
                <w:b/>
                <w:bCs/>
                <w:color w:val="000000"/>
                <w:szCs w:val="20"/>
              </w:rPr>
              <w:t>% Change in Quantities as % of taxed sector</w:t>
            </w:r>
          </w:p>
        </w:tc>
        <w:tc>
          <w:tcPr>
            <w:tcW w:w="2264" w:type="dxa"/>
            <w:gridSpan w:val="2"/>
            <w:vAlign w:val="bottom"/>
          </w:tcPr>
          <w:p w14:paraId="24779F82" w14:textId="77777777" w:rsidR="00DA651F" w:rsidRPr="00B129CB" w:rsidRDefault="00DA651F" w:rsidP="000878F6">
            <w:pPr>
              <w:pStyle w:val="Table"/>
              <w:jc w:val="center"/>
              <w:rPr>
                <w:b/>
                <w:szCs w:val="20"/>
              </w:rPr>
            </w:pPr>
            <w:r w:rsidRPr="00B129CB">
              <w:rPr>
                <w:rFonts w:ascii="Calibri" w:hAnsi="Calibri" w:cs="Calibri"/>
                <w:b/>
                <w:bCs/>
                <w:color w:val="000000"/>
                <w:szCs w:val="20"/>
              </w:rPr>
              <w:t>Change in Revenues (€Mn)</w:t>
            </w:r>
          </w:p>
        </w:tc>
        <w:tc>
          <w:tcPr>
            <w:tcW w:w="2281" w:type="dxa"/>
            <w:gridSpan w:val="2"/>
            <w:vAlign w:val="bottom"/>
          </w:tcPr>
          <w:p w14:paraId="1C2EF59A" w14:textId="77777777" w:rsidR="00DA651F" w:rsidRPr="00B129CB" w:rsidRDefault="00DA651F" w:rsidP="000878F6">
            <w:pPr>
              <w:pStyle w:val="Table"/>
              <w:jc w:val="center"/>
              <w:rPr>
                <w:b/>
                <w:szCs w:val="20"/>
              </w:rPr>
            </w:pPr>
            <w:r w:rsidRPr="00B129CB">
              <w:rPr>
                <w:rFonts w:ascii="Calibri" w:hAnsi="Calibri" w:cs="Calibri"/>
                <w:b/>
                <w:bCs/>
                <w:color w:val="000000"/>
                <w:szCs w:val="20"/>
              </w:rPr>
              <w:t>As % of 2023 Resource Tax</w:t>
            </w:r>
          </w:p>
        </w:tc>
      </w:tr>
      <w:tr w:rsidR="00DA651F" w:rsidRPr="00B129CB" w14:paraId="56EEC249" w14:textId="77777777" w:rsidTr="00BA7936">
        <w:trPr>
          <w:trHeight w:val="199"/>
          <w:tblHeader/>
        </w:trPr>
        <w:tc>
          <w:tcPr>
            <w:tcW w:w="2263" w:type="dxa"/>
          </w:tcPr>
          <w:p w14:paraId="5EBBB984" w14:textId="77777777" w:rsidR="00DA651F" w:rsidRPr="00B129CB" w:rsidRDefault="00DA651F" w:rsidP="000878F6">
            <w:pPr>
              <w:pStyle w:val="Table"/>
              <w:jc w:val="left"/>
              <w:rPr>
                <w:b/>
                <w:szCs w:val="20"/>
              </w:rPr>
            </w:pPr>
            <w:r w:rsidRPr="00B129CB">
              <w:rPr>
                <w:b/>
                <w:szCs w:val="20"/>
              </w:rPr>
              <w:t>Year</w:t>
            </w:r>
          </w:p>
        </w:tc>
        <w:tc>
          <w:tcPr>
            <w:tcW w:w="1132" w:type="dxa"/>
          </w:tcPr>
          <w:p w14:paraId="62C8DEA8" w14:textId="77777777" w:rsidR="00DA651F" w:rsidRPr="00B129CB" w:rsidRDefault="00DA651F" w:rsidP="000878F6">
            <w:pPr>
              <w:pStyle w:val="Table"/>
              <w:jc w:val="center"/>
              <w:rPr>
                <w:b/>
                <w:szCs w:val="20"/>
              </w:rPr>
            </w:pPr>
            <w:r w:rsidRPr="00B129CB">
              <w:rPr>
                <w:b/>
                <w:szCs w:val="20"/>
              </w:rPr>
              <w:t>2030</w:t>
            </w:r>
          </w:p>
        </w:tc>
        <w:tc>
          <w:tcPr>
            <w:tcW w:w="1133" w:type="dxa"/>
          </w:tcPr>
          <w:p w14:paraId="4F12CDD7" w14:textId="77777777" w:rsidR="00DA651F" w:rsidRPr="00B129CB" w:rsidRDefault="00DA651F" w:rsidP="000878F6">
            <w:pPr>
              <w:pStyle w:val="Table"/>
              <w:jc w:val="center"/>
              <w:rPr>
                <w:b/>
                <w:szCs w:val="20"/>
              </w:rPr>
            </w:pPr>
            <w:r w:rsidRPr="00B129CB">
              <w:rPr>
                <w:b/>
                <w:szCs w:val="20"/>
              </w:rPr>
              <w:t>2035</w:t>
            </w:r>
          </w:p>
        </w:tc>
        <w:tc>
          <w:tcPr>
            <w:tcW w:w="1037" w:type="dxa"/>
          </w:tcPr>
          <w:p w14:paraId="1F6F7FC8" w14:textId="77777777" w:rsidR="00DA651F" w:rsidRPr="00B129CB" w:rsidRDefault="00DA651F" w:rsidP="000878F6">
            <w:pPr>
              <w:pStyle w:val="Table"/>
              <w:jc w:val="center"/>
              <w:rPr>
                <w:b/>
                <w:szCs w:val="20"/>
              </w:rPr>
            </w:pPr>
            <w:r w:rsidRPr="00B129CB">
              <w:rPr>
                <w:b/>
                <w:szCs w:val="20"/>
              </w:rPr>
              <w:t>2030</w:t>
            </w:r>
          </w:p>
        </w:tc>
        <w:tc>
          <w:tcPr>
            <w:tcW w:w="1227" w:type="dxa"/>
          </w:tcPr>
          <w:p w14:paraId="1385EADC" w14:textId="77777777" w:rsidR="00DA651F" w:rsidRPr="00B129CB" w:rsidRDefault="00DA651F" w:rsidP="000878F6">
            <w:pPr>
              <w:pStyle w:val="Table"/>
              <w:jc w:val="center"/>
              <w:rPr>
                <w:b/>
                <w:szCs w:val="20"/>
              </w:rPr>
            </w:pPr>
            <w:r w:rsidRPr="00B129CB">
              <w:rPr>
                <w:b/>
                <w:szCs w:val="20"/>
              </w:rPr>
              <w:t>2035</w:t>
            </w:r>
          </w:p>
        </w:tc>
        <w:tc>
          <w:tcPr>
            <w:tcW w:w="986" w:type="dxa"/>
          </w:tcPr>
          <w:p w14:paraId="138FAD2D" w14:textId="77777777" w:rsidR="00DA651F" w:rsidRPr="00B129CB" w:rsidRDefault="00DA651F" w:rsidP="000878F6">
            <w:pPr>
              <w:pStyle w:val="Table"/>
              <w:jc w:val="center"/>
              <w:rPr>
                <w:b/>
                <w:szCs w:val="20"/>
              </w:rPr>
            </w:pPr>
            <w:r w:rsidRPr="00B129CB">
              <w:rPr>
                <w:b/>
                <w:szCs w:val="20"/>
              </w:rPr>
              <w:t>2030</w:t>
            </w:r>
          </w:p>
        </w:tc>
        <w:tc>
          <w:tcPr>
            <w:tcW w:w="1295" w:type="dxa"/>
          </w:tcPr>
          <w:p w14:paraId="09F3541E" w14:textId="77777777" w:rsidR="00DA651F" w:rsidRPr="00B129CB" w:rsidRDefault="00DA651F" w:rsidP="000878F6">
            <w:pPr>
              <w:pStyle w:val="Table"/>
              <w:jc w:val="center"/>
              <w:rPr>
                <w:b/>
                <w:szCs w:val="20"/>
              </w:rPr>
            </w:pPr>
            <w:r w:rsidRPr="00B129CB">
              <w:rPr>
                <w:b/>
                <w:szCs w:val="20"/>
              </w:rPr>
              <w:t>2035</w:t>
            </w:r>
          </w:p>
        </w:tc>
      </w:tr>
      <w:tr w:rsidR="00DA651F" w:rsidRPr="00B129CB" w14:paraId="2D1F30A8" w14:textId="77777777" w:rsidTr="00BA7936">
        <w:trPr>
          <w:trHeight w:val="231"/>
        </w:trPr>
        <w:tc>
          <w:tcPr>
            <w:tcW w:w="2263" w:type="dxa"/>
          </w:tcPr>
          <w:p w14:paraId="20A05DFC" w14:textId="77777777" w:rsidR="00DA651F" w:rsidRPr="00B129CB" w:rsidRDefault="00DA651F" w:rsidP="000878F6">
            <w:pPr>
              <w:pStyle w:val="Table"/>
              <w:rPr>
                <w:szCs w:val="20"/>
              </w:rPr>
            </w:pPr>
            <w:r w:rsidRPr="00B129CB">
              <w:rPr>
                <w:szCs w:val="20"/>
              </w:rPr>
              <w:t>NOx</w:t>
            </w:r>
          </w:p>
        </w:tc>
        <w:tc>
          <w:tcPr>
            <w:tcW w:w="1132" w:type="dxa"/>
            <w:vAlign w:val="center"/>
          </w:tcPr>
          <w:p w14:paraId="434262DD" w14:textId="77777777" w:rsidR="00DA651F" w:rsidRPr="00B129CB" w:rsidRDefault="00DA651F" w:rsidP="000878F6">
            <w:pPr>
              <w:pStyle w:val="Table"/>
              <w:jc w:val="center"/>
              <w:rPr>
                <w:szCs w:val="20"/>
              </w:rPr>
            </w:pPr>
            <w:r w:rsidRPr="00B129CB">
              <w:rPr>
                <w:rFonts w:ascii="Calibri" w:hAnsi="Calibri" w:cs="Calibri"/>
                <w:color w:val="000000"/>
                <w:szCs w:val="20"/>
              </w:rPr>
              <w:t>-7,39%</w:t>
            </w:r>
          </w:p>
        </w:tc>
        <w:tc>
          <w:tcPr>
            <w:tcW w:w="1133" w:type="dxa"/>
            <w:vAlign w:val="center"/>
          </w:tcPr>
          <w:p w14:paraId="64D79BB7" w14:textId="77777777" w:rsidR="00DA651F" w:rsidRPr="00B129CB" w:rsidRDefault="00DA651F" w:rsidP="000878F6">
            <w:pPr>
              <w:pStyle w:val="Table"/>
              <w:jc w:val="center"/>
              <w:rPr>
                <w:szCs w:val="20"/>
              </w:rPr>
            </w:pPr>
            <w:r w:rsidRPr="00B129CB">
              <w:rPr>
                <w:rFonts w:ascii="Calibri" w:hAnsi="Calibri" w:cs="Calibri"/>
                <w:color w:val="000000"/>
                <w:szCs w:val="20"/>
              </w:rPr>
              <w:t>-7,39%</w:t>
            </w:r>
          </w:p>
        </w:tc>
        <w:tc>
          <w:tcPr>
            <w:tcW w:w="1037" w:type="dxa"/>
            <w:vAlign w:val="center"/>
          </w:tcPr>
          <w:p w14:paraId="3E7D96BE" w14:textId="77777777" w:rsidR="00DA651F" w:rsidRPr="00B129CB" w:rsidRDefault="00DA651F" w:rsidP="000878F6">
            <w:pPr>
              <w:pStyle w:val="Table"/>
              <w:jc w:val="center"/>
              <w:rPr>
                <w:szCs w:val="20"/>
              </w:rPr>
            </w:pPr>
            <w:r w:rsidRPr="00B129CB">
              <w:rPr>
                <w:rFonts w:ascii="Calibri" w:hAnsi="Calibri" w:cs="Calibri"/>
                <w:color w:val="000000"/>
                <w:szCs w:val="20"/>
              </w:rPr>
              <w:t>0,22</w:t>
            </w:r>
          </w:p>
        </w:tc>
        <w:tc>
          <w:tcPr>
            <w:tcW w:w="1227" w:type="dxa"/>
            <w:vAlign w:val="center"/>
          </w:tcPr>
          <w:p w14:paraId="730CDA00" w14:textId="77777777" w:rsidR="00DA651F" w:rsidRPr="00B129CB" w:rsidRDefault="00DA651F" w:rsidP="000878F6">
            <w:pPr>
              <w:pStyle w:val="Table"/>
              <w:jc w:val="center"/>
              <w:rPr>
                <w:szCs w:val="20"/>
              </w:rPr>
            </w:pPr>
            <w:r w:rsidRPr="00B129CB">
              <w:rPr>
                <w:rFonts w:ascii="Calibri" w:hAnsi="Calibri" w:cs="Calibri"/>
                <w:color w:val="000000"/>
                <w:szCs w:val="20"/>
              </w:rPr>
              <w:t>0,15</w:t>
            </w:r>
          </w:p>
        </w:tc>
        <w:tc>
          <w:tcPr>
            <w:tcW w:w="986" w:type="dxa"/>
            <w:vAlign w:val="center"/>
          </w:tcPr>
          <w:p w14:paraId="4F14302E" w14:textId="77777777" w:rsidR="00DA651F" w:rsidRPr="00B129CB" w:rsidRDefault="00DA651F" w:rsidP="000878F6">
            <w:pPr>
              <w:pStyle w:val="Table"/>
              <w:jc w:val="center"/>
              <w:rPr>
                <w:szCs w:val="20"/>
              </w:rPr>
            </w:pPr>
            <w:r w:rsidRPr="00B129CB">
              <w:rPr>
                <w:rFonts w:ascii="Calibri" w:hAnsi="Calibri" w:cs="Calibri"/>
                <w:color w:val="000000"/>
                <w:szCs w:val="20"/>
              </w:rPr>
              <w:t>0,8%</w:t>
            </w:r>
          </w:p>
        </w:tc>
        <w:tc>
          <w:tcPr>
            <w:tcW w:w="1295" w:type="dxa"/>
            <w:vAlign w:val="center"/>
          </w:tcPr>
          <w:p w14:paraId="54892A0E" w14:textId="77777777" w:rsidR="00DA651F" w:rsidRPr="00B129CB" w:rsidRDefault="00DA651F" w:rsidP="000878F6">
            <w:pPr>
              <w:pStyle w:val="Table"/>
              <w:jc w:val="center"/>
              <w:rPr>
                <w:szCs w:val="20"/>
              </w:rPr>
            </w:pPr>
            <w:r w:rsidRPr="00B129CB">
              <w:rPr>
                <w:rFonts w:ascii="Calibri" w:hAnsi="Calibri" w:cs="Calibri"/>
                <w:color w:val="000000"/>
                <w:szCs w:val="20"/>
              </w:rPr>
              <w:t>0,6%</w:t>
            </w:r>
          </w:p>
        </w:tc>
      </w:tr>
      <w:tr w:rsidR="00DA651F" w:rsidRPr="00B129CB" w14:paraId="5008DB00" w14:textId="77777777" w:rsidTr="00BA7936">
        <w:trPr>
          <w:trHeight w:val="263"/>
        </w:trPr>
        <w:tc>
          <w:tcPr>
            <w:tcW w:w="2263" w:type="dxa"/>
          </w:tcPr>
          <w:p w14:paraId="209A6125" w14:textId="77777777" w:rsidR="00DA651F" w:rsidRPr="00B129CB" w:rsidRDefault="00DA651F" w:rsidP="000878F6">
            <w:pPr>
              <w:pStyle w:val="Table"/>
              <w:rPr>
                <w:szCs w:val="20"/>
              </w:rPr>
            </w:pPr>
            <w:r w:rsidRPr="00B129CB">
              <w:rPr>
                <w:szCs w:val="20"/>
              </w:rPr>
              <w:t>SO2</w:t>
            </w:r>
          </w:p>
        </w:tc>
        <w:tc>
          <w:tcPr>
            <w:tcW w:w="1132" w:type="dxa"/>
            <w:vAlign w:val="center"/>
          </w:tcPr>
          <w:p w14:paraId="5D8D8030" w14:textId="77777777" w:rsidR="00DA651F" w:rsidRPr="00B129CB" w:rsidRDefault="00DA651F" w:rsidP="000878F6">
            <w:pPr>
              <w:pStyle w:val="Table"/>
              <w:jc w:val="center"/>
              <w:rPr>
                <w:szCs w:val="20"/>
              </w:rPr>
            </w:pPr>
            <w:r w:rsidRPr="00B129CB">
              <w:rPr>
                <w:rFonts w:ascii="Calibri" w:hAnsi="Calibri" w:cs="Calibri"/>
                <w:color w:val="000000"/>
                <w:szCs w:val="20"/>
              </w:rPr>
              <w:t>-8,11%</w:t>
            </w:r>
          </w:p>
        </w:tc>
        <w:tc>
          <w:tcPr>
            <w:tcW w:w="1133" w:type="dxa"/>
            <w:vAlign w:val="center"/>
          </w:tcPr>
          <w:p w14:paraId="187B90AD" w14:textId="77777777" w:rsidR="00DA651F" w:rsidRPr="00B129CB" w:rsidRDefault="00DA651F" w:rsidP="000878F6">
            <w:pPr>
              <w:pStyle w:val="Table"/>
              <w:jc w:val="center"/>
              <w:rPr>
                <w:szCs w:val="20"/>
              </w:rPr>
            </w:pPr>
            <w:r w:rsidRPr="00B129CB">
              <w:rPr>
                <w:rFonts w:ascii="Calibri" w:hAnsi="Calibri" w:cs="Calibri"/>
                <w:color w:val="000000"/>
                <w:szCs w:val="20"/>
              </w:rPr>
              <w:t>-8,11%</w:t>
            </w:r>
          </w:p>
        </w:tc>
        <w:tc>
          <w:tcPr>
            <w:tcW w:w="1037" w:type="dxa"/>
            <w:vAlign w:val="center"/>
          </w:tcPr>
          <w:p w14:paraId="5769EB27" w14:textId="77777777" w:rsidR="00DA651F" w:rsidRPr="00B129CB" w:rsidRDefault="00DA651F" w:rsidP="000878F6">
            <w:pPr>
              <w:pStyle w:val="Table"/>
              <w:jc w:val="center"/>
              <w:rPr>
                <w:szCs w:val="20"/>
              </w:rPr>
            </w:pPr>
            <w:r w:rsidRPr="00B129CB">
              <w:rPr>
                <w:rFonts w:ascii="Calibri" w:hAnsi="Calibri" w:cs="Calibri"/>
                <w:color w:val="000000"/>
                <w:szCs w:val="20"/>
              </w:rPr>
              <w:t>1,03</w:t>
            </w:r>
          </w:p>
        </w:tc>
        <w:tc>
          <w:tcPr>
            <w:tcW w:w="1227" w:type="dxa"/>
            <w:vAlign w:val="center"/>
          </w:tcPr>
          <w:p w14:paraId="156F1AC0" w14:textId="77777777" w:rsidR="00DA651F" w:rsidRPr="00B129CB" w:rsidRDefault="00DA651F" w:rsidP="000878F6">
            <w:pPr>
              <w:pStyle w:val="Table"/>
              <w:jc w:val="center"/>
              <w:rPr>
                <w:szCs w:val="20"/>
              </w:rPr>
            </w:pPr>
            <w:r w:rsidRPr="00B129CB">
              <w:rPr>
                <w:rFonts w:ascii="Calibri" w:hAnsi="Calibri" w:cs="Calibri"/>
                <w:color w:val="000000"/>
                <w:szCs w:val="20"/>
              </w:rPr>
              <w:t>0,54</w:t>
            </w:r>
          </w:p>
        </w:tc>
        <w:tc>
          <w:tcPr>
            <w:tcW w:w="986" w:type="dxa"/>
            <w:vAlign w:val="center"/>
          </w:tcPr>
          <w:p w14:paraId="6261FA96" w14:textId="77777777" w:rsidR="00DA651F" w:rsidRPr="00B129CB" w:rsidRDefault="00DA651F" w:rsidP="000878F6">
            <w:pPr>
              <w:pStyle w:val="Table"/>
              <w:jc w:val="center"/>
              <w:rPr>
                <w:szCs w:val="20"/>
              </w:rPr>
            </w:pPr>
            <w:r w:rsidRPr="00B129CB">
              <w:rPr>
                <w:rFonts w:ascii="Calibri" w:hAnsi="Calibri" w:cs="Calibri"/>
                <w:color w:val="000000"/>
                <w:szCs w:val="20"/>
              </w:rPr>
              <w:t>3,9%</w:t>
            </w:r>
          </w:p>
        </w:tc>
        <w:tc>
          <w:tcPr>
            <w:tcW w:w="1295" w:type="dxa"/>
            <w:vAlign w:val="center"/>
          </w:tcPr>
          <w:p w14:paraId="63D7273A" w14:textId="77777777" w:rsidR="00DA651F" w:rsidRPr="00B129CB" w:rsidRDefault="00DA651F" w:rsidP="000878F6">
            <w:pPr>
              <w:pStyle w:val="Table"/>
              <w:jc w:val="center"/>
              <w:rPr>
                <w:szCs w:val="20"/>
              </w:rPr>
            </w:pPr>
            <w:r w:rsidRPr="00B129CB">
              <w:rPr>
                <w:rFonts w:ascii="Calibri" w:hAnsi="Calibri" w:cs="Calibri"/>
                <w:color w:val="000000"/>
                <w:szCs w:val="20"/>
              </w:rPr>
              <w:t>2,1%</w:t>
            </w:r>
          </w:p>
        </w:tc>
      </w:tr>
      <w:tr w:rsidR="00DA651F" w:rsidRPr="00B129CB" w14:paraId="2DA319E3" w14:textId="77777777" w:rsidTr="00BA7936">
        <w:trPr>
          <w:trHeight w:val="111"/>
        </w:trPr>
        <w:tc>
          <w:tcPr>
            <w:tcW w:w="2263" w:type="dxa"/>
          </w:tcPr>
          <w:p w14:paraId="7EC65D4C" w14:textId="77777777" w:rsidR="00DA651F" w:rsidRPr="00B129CB" w:rsidRDefault="00DA651F" w:rsidP="000878F6">
            <w:pPr>
              <w:pStyle w:val="Table"/>
              <w:rPr>
                <w:szCs w:val="20"/>
              </w:rPr>
            </w:pPr>
            <w:r w:rsidRPr="00B129CB">
              <w:rPr>
                <w:szCs w:val="20"/>
              </w:rPr>
              <w:t>PM2.5</w:t>
            </w:r>
          </w:p>
        </w:tc>
        <w:tc>
          <w:tcPr>
            <w:tcW w:w="1132" w:type="dxa"/>
            <w:vAlign w:val="center"/>
          </w:tcPr>
          <w:p w14:paraId="1AF625B2" w14:textId="77777777" w:rsidR="00DA651F" w:rsidRPr="00B129CB" w:rsidRDefault="00DA651F" w:rsidP="000878F6">
            <w:pPr>
              <w:pStyle w:val="Table"/>
              <w:jc w:val="center"/>
              <w:rPr>
                <w:szCs w:val="20"/>
              </w:rPr>
            </w:pPr>
            <w:r w:rsidRPr="00B129CB">
              <w:rPr>
                <w:rFonts w:ascii="Calibri" w:hAnsi="Calibri" w:cs="Calibri"/>
                <w:color w:val="000000"/>
                <w:szCs w:val="20"/>
              </w:rPr>
              <w:t>-7,39%</w:t>
            </w:r>
          </w:p>
        </w:tc>
        <w:tc>
          <w:tcPr>
            <w:tcW w:w="1133" w:type="dxa"/>
            <w:vAlign w:val="center"/>
          </w:tcPr>
          <w:p w14:paraId="7010E585" w14:textId="77777777" w:rsidR="00DA651F" w:rsidRPr="00B129CB" w:rsidRDefault="00DA651F" w:rsidP="000878F6">
            <w:pPr>
              <w:pStyle w:val="Table"/>
              <w:jc w:val="center"/>
              <w:rPr>
                <w:szCs w:val="20"/>
              </w:rPr>
            </w:pPr>
            <w:r w:rsidRPr="00B129CB">
              <w:rPr>
                <w:rFonts w:ascii="Calibri" w:hAnsi="Calibri" w:cs="Calibri"/>
                <w:color w:val="000000"/>
                <w:szCs w:val="20"/>
              </w:rPr>
              <w:t>-7,39%</w:t>
            </w:r>
          </w:p>
        </w:tc>
        <w:tc>
          <w:tcPr>
            <w:tcW w:w="1037" w:type="dxa"/>
            <w:vAlign w:val="center"/>
          </w:tcPr>
          <w:p w14:paraId="53420093" w14:textId="77777777" w:rsidR="00DA651F" w:rsidRPr="00B129CB" w:rsidRDefault="00DA651F" w:rsidP="000878F6">
            <w:pPr>
              <w:pStyle w:val="Table"/>
              <w:jc w:val="center"/>
              <w:rPr>
                <w:szCs w:val="20"/>
              </w:rPr>
            </w:pPr>
            <w:r w:rsidRPr="00B129CB">
              <w:rPr>
                <w:rFonts w:ascii="Calibri" w:hAnsi="Calibri" w:cs="Calibri"/>
                <w:color w:val="000000"/>
                <w:szCs w:val="20"/>
              </w:rPr>
              <w:t>0,21</w:t>
            </w:r>
          </w:p>
        </w:tc>
        <w:tc>
          <w:tcPr>
            <w:tcW w:w="1227" w:type="dxa"/>
            <w:vAlign w:val="center"/>
          </w:tcPr>
          <w:p w14:paraId="261CD867" w14:textId="77777777" w:rsidR="00DA651F" w:rsidRPr="00B129CB" w:rsidRDefault="00DA651F" w:rsidP="000878F6">
            <w:pPr>
              <w:pStyle w:val="Table"/>
              <w:jc w:val="center"/>
              <w:rPr>
                <w:szCs w:val="20"/>
              </w:rPr>
            </w:pPr>
            <w:r w:rsidRPr="00B129CB">
              <w:rPr>
                <w:rFonts w:ascii="Calibri" w:hAnsi="Calibri" w:cs="Calibri"/>
                <w:color w:val="000000"/>
                <w:szCs w:val="20"/>
              </w:rPr>
              <w:t>0,16</w:t>
            </w:r>
          </w:p>
        </w:tc>
        <w:tc>
          <w:tcPr>
            <w:tcW w:w="986" w:type="dxa"/>
            <w:vAlign w:val="center"/>
          </w:tcPr>
          <w:p w14:paraId="3BA6A875" w14:textId="77777777" w:rsidR="00DA651F" w:rsidRPr="00B129CB" w:rsidRDefault="00DA651F" w:rsidP="000878F6">
            <w:pPr>
              <w:pStyle w:val="Table"/>
              <w:jc w:val="center"/>
              <w:rPr>
                <w:szCs w:val="20"/>
              </w:rPr>
            </w:pPr>
            <w:r w:rsidRPr="00B129CB">
              <w:rPr>
                <w:rFonts w:ascii="Calibri" w:hAnsi="Calibri" w:cs="Calibri"/>
                <w:color w:val="000000"/>
                <w:szCs w:val="20"/>
              </w:rPr>
              <w:t>0,8%</w:t>
            </w:r>
          </w:p>
        </w:tc>
        <w:tc>
          <w:tcPr>
            <w:tcW w:w="1295" w:type="dxa"/>
            <w:vAlign w:val="center"/>
          </w:tcPr>
          <w:p w14:paraId="03995D76" w14:textId="77777777" w:rsidR="00DA651F" w:rsidRPr="00B129CB" w:rsidRDefault="00DA651F" w:rsidP="000878F6">
            <w:pPr>
              <w:pStyle w:val="Table"/>
              <w:jc w:val="center"/>
              <w:rPr>
                <w:szCs w:val="20"/>
              </w:rPr>
            </w:pPr>
            <w:r w:rsidRPr="00B129CB">
              <w:rPr>
                <w:rFonts w:ascii="Calibri" w:hAnsi="Calibri" w:cs="Calibri"/>
                <w:color w:val="000000"/>
                <w:szCs w:val="20"/>
              </w:rPr>
              <w:t>0,6%</w:t>
            </w:r>
          </w:p>
        </w:tc>
      </w:tr>
      <w:tr w:rsidR="00DA651F" w:rsidRPr="00B129CB" w14:paraId="5B461FDF" w14:textId="77777777" w:rsidTr="00BA7936">
        <w:trPr>
          <w:trHeight w:val="157"/>
        </w:trPr>
        <w:tc>
          <w:tcPr>
            <w:tcW w:w="2263" w:type="dxa"/>
          </w:tcPr>
          <w:p w14:paraId="6524DEC6" w14:textId="77777777" w:rsidR="00DA651F" w:rsidRPr="00B129CB" w:rsidRDefault="00DA651F" w:rsidP="000878F6">
            <w:pPr>
              <w:pStyle w:val="Table"/>
              <w:rPr>
                <w:szCs w:val="20"/>
              </w:rPr>
            </w:pPr>
            <w:r w:rsidRPr="00B129CB">
              <w:rPr>
                <w:szCs w:val="20"/>
              </w:rPr>
              <w:t>Water Abstraction</w:t>
            </w:r>
          </w:p>
        </w:tc>
        <w:tc>
          <w:tcPr>
            <w:tcW w:w="1132" w:type="dxa"/>
            <w:vAlign w:val="center"/>
          </w:tcPr>
          <w:p w14:paraId="52832C71" w14:textId="77777777" w:rsidR="00DA651F" w:rsidRPr="00B129CB" w:rsidRDefault="00DA651F" w:rsidP="000878F6">
            <w:pPr>
              <w:pStyle w:val="Table"/>
              <w:jc w:val="center"/>
              <w:rPr>
                <w:szCs w:val="20"/>
              </w:rPr>
            </w:pPr>
            <w:r w:rsidRPr="00B129CB">
              <w:rPr>
                <w:rFonts w:ascii="Calibri" w:hAnsi="Calibri" w:cs="Calibri"/>
                <w:color w:val="000000"/>
                <w:szCs w:val="20"/>
              </w:rPr>
              <w:t>0,00%</w:t>
            </w:r>
          </w:p>
        </w:tc>
        <w:tc>
          <w:tcPr>
            <w:tcW w:w="1133" w:type="dxa"/>
            <w:vAlign w:val="center"/>
          </w:tcPr>
          <w:p w14:paraId="0D4CD514" w14:textId="77777777" w:rsidR="00DA651F" w:rsidRPr="00B129CB" w:rsidRDefault="00DA651F" w:rsidP="000878F6">
            <w:pPr>
              <w:pStyle w:val="Table"/>
              <w:jc w:val="center"/>
              <w:rPr>
                <w:szCs w:val="20"/>
              </w:rPr>
            </w:pPr>
            <w:r w:rsidRPr="00B129CB">
              <w:rPr>
                <w:rFonts w:ascii="Calibri" w:hAnsi="Calibri" w:cs="Calibri"/>
                <w:color w:val="000000"/>
                <w:szCs w:val="20"/>
              </w:rPr>
              <w:t>0,00%</w:t>
            </w:r>
          </w:p>
        </w:tc>
        <w:tc>
          <w:tcPr>
            <w:tcW w:w="1037" w:type="dxa"/>
            <w:vAlign w:val="center"/>
          </w:tcPr>
          <w:p w14:paraId="57971491" w14:textId="77777777" w:rsidR="00DA651F" w:rsidRPr="00B129CB" w:rsidRDefault="00DA651F" w:rsidP="000878F6">
            <w:pPr>
              <w:pStyle w:val="Table"/>
              <w:jc w:val="center"/>
              <w:rPr>
                <w:szCs w:val="20"/>
              </w:rPr>
            </w:pPr>
            <w:r w:rsidRPr="00B129CB">
              <w:rPr>
                <w:rFonts w:ascii="Calibri" w:hAnsi="Calibri" w:cs="Calibri"/>
                <w:color w:val="000000"/>
                <w:szCs w:val="20"/>
              </w:rPr>
              <w:t>0,00</w:t>
            </w:r>
          </w:p>
        </w:tc>
        <w:tc>
          <w:tcPr>
            <w:tcW w:w="1227" w:type="dxa"/>
            <w:vAlign w:val="center"/>
          </w:tcPr>
          <w:p w14:paraId="59FCD045" w14:textId="77777777" w:rsidR="00DA651F" w:rsidRPr="00B129CB" w:rsidRDefault="00DA651F" w:rsidP="000878F6">
            <w:pPr>
              <w:pStyle w:val="Table"/>
              <w:jc w:val="center"/>
              <w:rPr>
                <w:szCs w:val="20"/>
              </w:rPr>
            </w:pPr>
            <w:r w:rsidRPr="00B129CB">
              <w:rPr>
                <w:rFonts w:ascii="Calibri" w:hAnsi="Calibri" w:cs="Calibri"/>
                <w:color w:val="000000"/>
                <w:szCs w:val="20"/>
              </w:rPr>
              <w:t>0,00</w:t>
            </w:r>
          </w:p>
        </w:tc>
        <w:tc>
          <w:tcPr>
            <w:tcW w:w="986" w:type="dxa"/>
            <w:vAlign w:val="center"/>
          </w:tcPr>
          <w:p w14:paraId="52CEDFDA" w14:textId="77777777" w:rsidR="00DA651F" w:rsidRPr="00B129CB" w:rsidRDefault="00DA651F" w:rsidP="000878F6">
            <w:pPr>
              <w:pStyle w:val="Table"/>
              <w:jc w:val="center"/>
              <w:rPr>
                <w:szCs w:val="20"/>
              </w:rPr>
            </w:pPr>
            <w:r w:rsidRPr="00B129CB">
              <w:rPr>
                <w:rFonts w:ascii="Calibri" w:hAnsi="Calibri" w:cs="Calibri"/>
                <w:color w:val="000000"/>
                <w:szCs w:val="20"/>
              </w:rPr>
              <w:t>0,0%</w:t>
            </w:r>
          </w:p>
        </w:tc>
        <w:tc>
          <w:tcPr>
            <w:tcW w:w="1295" w:type="dxa"/>
            <w:vAlign w:val="center"/>
          </w:tcPr>
          <w:p w14:paraId="656E808A" w14:textId="77777777" w:rsidR="00DA651F" w:rsidRPr="00B129CB" w:rsidRDefault="00DA651F" w:rsidP="000878F6">
            <w:pPr>
              <w:pStyle w:val="Table"/>
              <w:jc w:val="center"/>
              <w:rPr>
                <w:szCs w:val="20"/>
              </w:rPr>
            </w:pPr>
            <w:r w:rsidRPr="00B129CB">
              <w:rPr>
                <w:rFonts w:ascii="Calibri" w:hAnsi="Calibri" w:cs="Calibri"/>
                <w:color w:val="000000"/>
                <w:szCs w:val="20"/>
              </w:rPr>
              <w:t>0,0%</w:t>
            </w:r>
          </w:p>
        </w:tc>
      </w:tr>
      <w:tr w:rsidR="00DA651F" w:rsidRPr="00B129CB" w14:paraId="3AC410E6" w14:textId="77777777" w:rsidTr="00BA7936">
        <w:trPr>
          <w:trHeight w:val="261"/>
        </w:trPr>
        <w:tc>
          <w:tcPr>
            <w:tcW w:w="2263" w:type="dxa"/>
          </w:tcPr>
          <w:p w14:paraId="2C41A3E0" w14:textId="77777777" w:rsidR="00DA651F" w:rsidRPr="00B129CB" w:rsidRDefault="00DA651F" w:rsidP="000878F6">
            <w:pPr>
              <w:pStyle w:val="Table"/>
              <w:rPr>
                <w:szCs w:val="20"/>
              </w:rPr>
            </w:pPr>
            <w:r w:rsidRPr="00B129CB">
              <w:rPr>
                <w:szCs w:val="20"/>
              </w:rPr>
              <w:t>Fertilizers</w:t>
            </w:r>
          </w:p>
        </w:tc>
        <w:tc>
          <w:tcPr>
            <w:tcW w:w="1132" w:type="dxa"/>
            <w:vAlign w:val="center"/>
          </w:tcPr>
          <w:p w14:paraId="6D38977F" w14:textId="77777777" w:rsidR="00DA651F" w:rsidRPr="00B129CB" w:rsidRDefault="00DA651F" w:rsidP="000878F6">
            <w:pPr>
              <w:pStyle w:val="Table"/>
              <w:jc w:val="center"/>
              <w:rPr>
                <w:szCs w:val="20"/>
              </w:rPr>
            </w:pPr>
            <w:r w:rsidRPr="00B129CB">
              <w:rPr>
                <w:rFonts w:ascii="Calibri" w:hAnsi="Calibri" w:cs="Calibri"/>
                <w:color w:val="000000"/>
                <w:szCs w:val="20"/>
              </w:rPr>
              <w:t>-3,00%</w:t>
            </w:r>
          </w:p>
        </w:tc>
        <w:tc>
          <w:tcPr>
            <w:tcW w:w="1133" w:type="dxa"/>
            <w:vAlign w:val="center"/>
          </w:tcPr>
          <w:p w14:paraId="2F18DC26" w14:textId="77777777" w:rsidR="00DA651F" w:rsidRPr="00B129CB" w:rsidRDefault="00DA651F" w:rsidP="000878F6">
            <w:pPr>
              <w:pStyle w:val="Table"/>
              <w:jc w:val="center"/>
              <w:rPr>
                <w:szCs w:val="20"/>
              </w:rPr>
            </w:pPr>
            <w:r w:rsidRPr="00B129CB">
              <w:rPr>
                <w:rFonts w:ascii="Calibri" w:hAnsi="Calibri" w:cs="Calibri"/>
                <w:color w:val="000000"/>
                <w:szCs w:val="20"/>
              </w:rPr>
              <w:t>-3,00%</w:t>
            </w:r>
          </w:p>
        </w:tc>
        <w:tc>
          <w:tcPr>
            <w:tcW w:w="1037" w:type="dxa"/>
            <w:vAlign w:val="center"/>
          </w:tcPr>
          <w:p w14:paraId="67C25EC4" w14:textId="77777777" w:rsidR="00DA651F" w:rsidRPr="00B129CB" w:rsidRDefault="00DA651F" w:rsidP="000878F6">
            <w:pPr>
              <w:pStyle w:val="Table"/>
              <w:jc w:val="center"/>
              <w:rPr>
                <w:szCs w:val="20"/>
              </w:rPr>
            </w:pPr>
            <w:r w:rsidRPr="00B129CB">
              <w:rPr>
                <w:rFonts w:ascii="Calibri" w:hAnsi="Calibri" w:cs="Calibri"/>
                <w:color w:val="000000"/>
                <w:szCs w:val="20"/>
              </w:rPr>
              <w:t>1,34</w:t>
            </w:r>
          </w:p>
        </w:tc>
        <w:tc>
          <w:tcPr>
            <w:tcW w:w="1227" w:type="dxa"/>
            <w:vAlign w:val="center"/>
          </w:tcPr>
          <w:p w14:paraId="26BA718D" w14:textId="77777777" w:rsidR="00DA651F" w:rsidRPr="00B129CB" w:rsidRDefault="00DA651F" w:rsidP="000878F6">
            <w:pPr>
              <w:pStyle w:val="Table"/>
              <w:jc w:val="center"/>
              <w:rPr>
                <w:szCs w:val="20"/>
              </w:rPr>
            </w:pPr>
            <w:r w:rsidRPr="00B129CB">
              <w:rPr>
                <w:rFonts w:ascii="Calibri" w:hAnsi="Calibri" w:cs="Calibri"/>
                <w:color w:val="000000"/>
                <w:szCs w:val="20"/>
              </w:rPr>
              <w:t>1,39</w:t>
            </w:r>
          </w:p>
        </w:tc>
        <w:tc>
          <w:tcPr>
            <w:tcW w:w="986" w:type="dxa"/>
            <w:vAlign w:val="center"/>
          </w:tcPr>
          <w:p w14:paraId="59A2FAB9" w14:textId="77777777" w:rsidR="00DA651F" w:rsidRPr="00B129CB" w:rsidRDefault="00DA651F" w:rsidP="000878F6">
            <w:pPr>
              <w:pStyle w:val="Table"/>
              <w:jc w:val="center"/>
              <w:rPr>
                <w:szCs w:val="20"/>
              </w:rPr>
            </w:pPr>
            <w:r w:rsidRPr="00B129CB">
              <w:rPr>
                <w:rFonts w:ascii="Calibri" w:hAnsi="Calibri" w:cs="Calibri"/>
                <w:color w:val="000000"/>
                <w:szCs w:val="20"/>
              </w:rPr>
              <w:t>5,1%</w:t>
            </w:r>
          </w:p>
        </w:tc>
        <w:tc>
          <w:tcPr>
            <w:tcW w:w="1295" w:type="dxa"/>
            <w:vAlign w:val="center"/>
          </w:tcPr>
          <w:p w14:paraId="5C797681" w14:textId="77777777" w:rsidR="00DA651F" w:rsidRPr="00B129CB" w:rsidRDefault="00DA651F" w:rsidP="000878F6">
            <w:pPr>
              <w:pStyle w:val="Table"/>
              <w:jc w:val="center"/>
              <w:rPr>
                <w:szCs w:val="20"/>
              </w:rPr>
            </w:pPr>
            <w:r w:rsidRPr="00B129CB">
              <w:rPr>
                <w:rFonts w:ascii="Calibri" w:hAnsi="Calibri" w:cs="Calibri"/>
                <w:color w:val="000000"/>
                <w:szCs w:val="20"/>
              </w:rPr>
              <w:t>5,3%</w:t>
            </w:r>
          </w:p>
        </w:tc>
      </w:tr>
      <w:tr w:rsidR="00DA651F" w:rsidRPr="00B129CB" w14:paraId="58F7C62D" w14:textId="77777777" w:rsidTr="00BA7936">
        <w:trPr>
          <w:trHeight w:val="193"/>
        </w:trPr>
        <w:tc>
          <w:tcPr>
            <w:tcW w:w="2263" w:type="dxa"/>
          </w:tcPr>
          <w:p w14:paraId="0EC91FD3" w14:textId="77777777" w:rsidR="00DA651F" w:rsidRPr="00B129CB" w:rsidRDefault="00DA651F" w:rsidP="000878F6">
            <w:pPr>
              <w:pStyle w:val="Table"/>
              <w:rPr>
                <w:szCs w:val="20"/>
              </w:rPr>
            </w:pPr>
            <w:r w:rsidRPr="00B129CB">
              <w:rPr>
                <w:szCs w:val="20"/>
              </w:rPr>
              <w:t>Pesticides</w:t>
            </w:r>
          </w:p>
        </w:tc>
        <w:tc>
          <w:tcPr>
            <w:tcW w:w="1132" w:type="dxa"/>
            <w:vAlign w:val="center"/>
          </w:tcPr>
          <w:p w14:paraId="54D69414" w14:textId="77777777" w:rsidR="00DA651F" w:rsidRPr="00B129CB" w:rsidRDefault="00DA651F" w:rsidP="000878F6">
            <w:pPr>
              <w:pStyle w:val="Table"/>
              <w:jc w:val="center"/>
              <w:rPr>
                <w:szCs w:val="20"/>
              </w:rPr>
            </w:pPr>
            <w:r w:rsidRPr="00B129CB">
              <w:rPr>
                <w:rFonts w:ascii="Calibri" w:hAnsi="Calibri" w:cs="Calibri"/>
                <w:color w:val="000000"/>
                <w:szCs w:val="20"/>
              </w:rPr>
              <w:t>n/a</w:t>
            </w:r>
          </w:p>
        </w:tc>
        <w:tc>
          <w:tcPr>
            <w:tcW w:w="1133" w:type="dxa"/>
            <w:vAlign w:val="center"/>
          </w:tcPr>
          <w:p w14:paraId="46FBA678" w14:textId="77777777" w:rsidR="00DA651F" w:rsidRPr="00B129CB" w:rsidRDefault="00DA651F" w:rsidP="000878F6">
            <w:pPr>
              <w:pStyle w:val="Table"/>
              <w:jc w:val="center"/>
              <w:rPr>
                <w:szCs w:val="20"/>
              </w:rPr>
            </w:pPr>
            <w:r w:rsidRPr="00B129CB">
              <w:rPr>
                <w:rFonts w:ascii="Calibri" w:hAnsi="Calibri" w:cs="Calibri"/>
                <w:color w:val="000000"/>
                <w:szCs w:val="20"/>
              </w:rPr>
              <w:t>n/a</w:t>
            </w:r>
          </w:p>
        </w:tc>
        <w:tc>
          <w:tcPr>
            <w:tcW w:w="1037" w:type="dxa"/>
            <w:vAlign w:val="center"/>
          </w:tcPr>
          <w:p w14:paraId="3F2E3651" w14:textId="77777777" w:rsidR="00DA651F" w:rsidRPr="00B129CB" w:rsidRDefault="00DA651F" w:rsidP="000878F6">
            <w:pPr>
              <w:pStyle w:val="Table"/>
              <w:jc w:val="center"/>
              <w:rPr>
                <w:szCs w:val="20"/>
              </w:rPr>
            </w:pPr>
            <w:r w:rsidRPr="00B129CB">
              <w:rPr>
                <w:rFonts w:ascii="Calibri" w:hAnsi="Calibri" w:cs="Calibri"/>
                <w:color w:val="000000"/>
                <w:szCs w:val="20"/>
              </w:rPr>
              <w:t>4,16</w:t>
            </w:r>
          </w:p>
        </w:tc>
        <w:tc>
          <w:tcPr>
            <w:tcW w:w="1227" w:type="dxa"/>
            <w:vAlign w:val="center"/>
          </w:tcPr>
          <w:p w14:paraId="6AE68A67" w14:textId="77777777" w:rsidR="00DA651F" w:rsidRPr="00B129CB" w:rsidRDefault="00DA651F" w:rsidP="000878F6">
            <w:pPr>
              <w:pStyle w:val="Table"/>
              <w:jc w:val="center"/>
              <w:rPr>
                <w:szCs w:val="20"/>
              </w:rPr>
            </w:pPr>
            <w:r w:rsidRPr="00B129CB">
              <w:rPr>
                <w:rFonts w:ascii="Calibri" w:hAnsi="Calibri" w:cs="Calibri"/>
                <w:color w:val="000000"/>
                <w:szCs w:val="20"/>
              </w:rPr>
              <w:t>4,13</w:t>
            </w:r>
          </w:p>
        </w:tc>
        <w:tc>
          <w:tcPr>
            <w:tcW w:w="986" w:type="dxa"/>
            <w:vAlign w:val="center"/>
          </w:tcPr>
          <w:p w14:paraId="29588E7A" w14:textId="77777777" w:rsidR="00DA651F" w:rsidRPr="00B129CB" w:rsidRDefault="00DA651F" w:rsidP="000878F6">
            <w:pPr>
              <w:pStyle w:val="Table"/>
              <w:jc w:val="center"/>
              <w:rPr>
                <w:szCs w:val="20"/>
              </w:rPr>
            </w:pPr>
            <w:r w:rsidRPr="00B129CB">
              <w:rPr>
                <w:rFonts w:ascii="Calibri" w:hAnsi="Calibri" w:cs="Calibri"/>
                <w:color w:val="000000"/>
                <w:szCs w:val="20"/>
              </w:rPr>
              <w:t>15,7%</w:t>
            </w:r>
          </w:p>
        </w:tc>
        <w:tc>
          <w:tcPr>
            <w:tcW w:w="1295" w:type="dxa"/>
            <w:vAlign w:val="center"/>
          </w:tcPr>
          <w:p w14:paraId="455E97F1" w14:textId="77777777" w:rsidR="00DA651F" w:rsidRPr="00B129CB" w:rsidRDefault="00DA651F" w:rsidP="000878F6">
            <w:pPr>
              <w:pStyle w:val="Table"/>
              <w:jc w:val="center"/>
              <w:rPr>
                <w:szCs w:val="20"/>
              </w:rPr>
            </w:pPr>
            <w:r w:rsidRPr="00B129CB">
              <w:rPr>
                <w:rFonts w:ascii="Calibri" w:hAnsi="Calibri" w:cs="Calibri"/>
                <w:color w:val="000000"/>
                <w:szCs w:val="20"/>
              </w:rPr>
              <w:t>15,6%</w:t>
            </w:r>
          </w:p>
        </w:tc>
      </w:tr>
      <w:tr w:rsidR="00DA651F" w:rsidRPr="00B129CB" w14:paraId="39082445" w14:textId="77777777" w:rsidTr="00BA7936">
        <w:trPr>
          <w:trHeight w:val="282"/>
        </w:trPr>
        <w:tc>
          <w:tcPr>
            <w:tcW w:w="2263" w:type="dxa"/>
          </w:tcPr>
          <w:p w14:paraId="347A8D15" w14:textId="77777777" w:rsidR="00DA651F" w:rsidRPr="00B129CB" w:rsidRDefault="00DA651F" w:rsidP="000878F6">
            <w:pPr>
              <w:pStyle w:val="Table"/>
              <w:rPr>
                <w:szCs w:val="20"/>
              </w:rPr>
            </w:pPr>
            <w:r w:rsidRPr="00B129CB">
              <w:rPr>
                <w:szCs w:val="20"/>
              </w:rPr>
              <w:t>Waste Incineration</w:t>
            </w:r>
          </w:p>
        </w:tc>
        <w:tc>
          <w:tcPr>
            <w:tcW w:w="1132" w:type="dxa"/>
            <w:vAlign w:val="center"/>
          </w:tcPr>
          <w:p w14:paraId="5C832536" w14:textId="77777777" w:rsidR="00DA651F" w:rsidRPr="00B129CB" w:rsidRDefault="00DA651F" w:rsidP="000878F6">
            <w:pPr>
              <w:pStyle w:val="Table"/>
              <w:jc w:val="center"/>
              <w:rPr>
                <w:szCs w:val="20"/>
              </w:rPr>
            </w:pPr>
            <w:r w:rsidRPr="00B129CB">
              <w:rPr>
                <w:rFonts w:ascii="Calibri" w:hAnsi="Calibri" w:cs="Calibri"/>
                <w:color w:val="000000"/>
                <w:szCs w:val="20"/>
              </w:rPr>
              <w:t>-8,31%</w:t>
            </w:r>
          </w:p>
        </w:tc>
        <w:tc>
          <w:tcPr>
            <w:tcW w:w="1133" w:type="dxa"/>
            <w:vAlign w:val="center"/>
          </w:tcPr>
          <w:p w14:paraId="2E376681" w14:textId="77777777" w:rsidR="00DA651F" w:rsidRPr="00B129CB" w:rsidRDefault="00DA651F" w:rsidP="000878F6">
            <w:pPr>
              <w:pStyle w:val="Table"/>
              <w:jc w:val="center"/>
              <w:rPr>
                <w:szCs w:val="20"/>
              </w:rPr>
            </w:pPr>
            <w:r w:rsidRPr="00B129CB">
              <w:rPr>
                <w:rFonts w:ascii="Calibri" w:hAnsi="Calibri" w:cs="Calibri"/>
                <w:color w:val="000000"/>
                <w:szCs w:val="20"/>
              </w:rPr>
              <w:t>-8,31%</w:t>
            </w:r>
          </w:p>
        </w:tc>
        <w:tc>
          <w:tcPr>
            <w:tcW w:w="1037" w:type="dxa"/>
            <w:vAlign w:val="center"/>
          </w:tcPr>
          <w:p w14:paraId="1E642D32" w14:textId="77777777" w:rsidR="00DA651F" w:rsidRPr="00B129CB" w:rsidRDefault="00DA651F" w:rsidP="000878F6">
            <w:pPr>
              <w:pStyle w:val="Table"/>
              <w:jc w:val="center"/>
              <w:rPr>
                <w:szCs w:val="20"/>
              </w:rPr>
            </w:pPr>
            <w:r w:rsidRPr="00B129CB">
              <w:rPr>
                <w:rFonts w:ascii="Calibri" w:hAnsi="Calibri" w:cs="Calibri"/>
                <w:color w:val="000000"/>
                <w:szCs w:val="20"/>
              </w:rPr>
              <w:t>0,03</w:t>
            </w:r>
          </w:p>
        </w:tc>
        <w:tc>
          <w:tcPr>
            <w:tcW w:w="1227" w:type="dxa"/>
            <w:vAlign w:val="center"/>
          </w:tcPr>
          <w:p w14:paraId="042691D6" w14:textId="77777777" w:rsidR="00DA651F" w:rsidRPr="00B129CB" w:rsidRDefault="00DA651F" w:rsidP="000878F6">
            <w:pPr>
              <w:pStyle w:val="Table"/>
              <w:jc w:val="center"/>
              <w:rPr>
                <w:szCs w:val="20"/>
              </w:rPr>
            </w:pPr>
            <w:r w:rsidRPr="00B129CB">
              <w:rPr>
                <w:rFonts w:ascii="Calibri" w:hAnsi="Calibri" w:cs="Calibri"/>
                <w:color w:val="000000"/>
                <w:szCs w:val="20"/>
              </w:rPr>
              <w:t>0,02</w:t>
            </w:r>
          </w:p>
        </w:tc>
        <w:tc>
          <w:tcPr>
            <w:tcW w:w="986" w:type="dxa"/>
            <w:vAlign w:val="center"/>
          </w:tcPr>
          <w:p w14:paraId="56B57AD5" w14:textId="77777777" w:rsidR="00DA651F" w:rsidRPr="00B129CB" w:rsidRDefault="00DA651F" w:rsidP="000878F6">
            <w:pPr>
              <w:pStyle w:val="Table"/>
              <w:jc w:val="center"/>
              <w:rPr>
                <w:szCs w:val="20"/>
              </w:rPr>
            </w:pPr>
            <w:r w:rsidRPr="00B129CB">
              <w:rPr>
                <w:rFonts w:ascii="Calibri" w:hAnsi="Calibri" w:cs="Calibri"/>
                <w:color w:val="000000"/>
                <w:szCs w:val="20"/>
              </w:rPr>
              <w:t>0,1%</w:t>
            </w:r>
          </w:p>
        </w:tc>
        <w:tc>
          <w:tcPr>
            <w:tcW w:w="1295" w:type="dxa"/>
            <w:vAlign w:val="center"/>
          </w:tcPr>
          <w:p w14:paraId="0B363126" w14:textId="77777777" w:rsidR="00DA651F" w:rsidRPr="00B129CB" w:rsidRDefault="00DA651F" w:rsidP="000878F6">
            <w:pPr>
              <w:pStyle w:val="Table"/>
              <w:jc w:val="center"/>
              <w:rPr>
                <w:szCs w:val="20"/>
              </w:rPr>
            </w:pPr>
            <w:r w:rsidRPr="00B129CB">
              <w:rPr>
                <w:rFonts w:ascii="Calibri" w:hAnsi="Calibri" w:cs="Calibri"/>
                <w:color w:val="000000"/>
                <w:szCs w:val="20"/>
              </w:rPr>
              <w:t>0,1%</w:t>
            </w:r>
          </w:p>
        </w:tc>
      </w:tr>
      <w:tr w:rsidR="00DA651F" w:rsidRPr="00B129CB" w14:paraId="1DCB4797" w14:textId="77777777" w:rsidTr="00BA7936">
        <w:trPr>
          <w:trHeight w:val="140"/>
        </w:trPr>
        <w:tc>
          <w:tcPr>
            <w:tcW w:w="2263" w:type="dxa"/>
          </w:tcPr>
          <w:p w14:paraId="08643E04" w14:textId="77777777" w:rsidR="00DA651F" w:rsidRPr="00B129CB" w:rsidRDefault="00DA651F" w:rsidP="000878F6">
            <w:pPr>
              <w:pStyle w:val="Table"/>
              <w:rPr>
                <w:szCs w:val="20"/>
              </w:rPr>
            </w:pPr>
            <w:r w:rsidRPr="00B129CB">
              <w:rPr>
                <w:szCs w:val="20"/>
              </w:rPr>
              <w:t>Waste to Landfill</w:t>
            </w:r>
          </w:p>
        </w:tc>
        <w:tc>
          <w:tcPr>
            <w:tcW w:w="1132" w:type="dxa"/>
            <w:vAlign w:val="center"/>
          </w:tcPr>
          <w:p w14:paraId="08ABD5DB" w14:textId="77777777" w:rsidR="00DA651F" w:rsidRPr="00B129CB" w:rsidRDefault="00DA651F" w:rsidP="000878F6">
            <w:pPr>
              <w:pStyle w:val="Table"/>
              <w:jc w:val="center"/>
              <w:rPr>
                <w:szCs w:val="20"/>
              </w:rPr>
            </w:pPr>
            <w:r w:rsidRPr="00B129CB">
              <w:rPr>
                <w:rFonts w:ascii="Calibri" w:hAnsi="Calibri" w:cs="Calibri"/>
                <w:color w:val="000000"/>
                <w:szCs w:val="20"/>
              </w:rPr>
              <w:t>-15,16%</w:t>
            </w:r>
          </w:p>
        </w:tc>
        <w:tc>
          <w:tcPr>
            <w:tcW w:w="1133" w:type="dxa"/>
            <w:vAlign w:val="center"/>
          </w:tcPr>
          <w:p w14:paraId="4337E117" w14:textId="77777777" w:rsidR="00DA651F" w:rsidRPr="00B129CB" w:rsidRDefault="00DA651F" w:rsidP="000878F6">
            <w:pPr>
              <w:pStyle w:val="Table"/>
              <w:jc w:val="center"/>
              <w:rPr>
                <w:szCs w:val="20"/>
              </w:rPr>
            </w:pPr>
            <w:r w:rsidRPr="00B129CB">
              <w:rPr>
                <w:rFonts w:ascii="Calibri" w:hAnsi="Calibri" w:cs="Calibri"/>
                <w:color w:val="000000"/>
                <w:szCs w:val="20"/>
              </w:rPr>
              <w:t>-15,16%</w:t>
            </w:r>
          </w:p>
        </w:tc>
        <w:tc>
          <w:tcPr>
            <w:tcW w:w="1037" w:type="dxa"/>
            <w:vAlign w:val="center"/>
          </w:tcPr>
          <w:p w14:paraId="51C3017A" w14:textId="77777777" w:rsidR="00DA651F" w:rsidRPr="00B129CB" w:rsidRDefault="00DA651F" w:rsidP="000878F6">
            <w:pPr>
              <w:pStyle w:val="Table"/>
              <w:jc w:val="center"/>
              <w:rPr>
                <w:szCs w:val="20"/>
              </w:rPr>
            </w:pPr>
            <w:r w:rsidRPr="00B129CB">
              <w:rPr>
                <w:rFonts w:ascii="Calibri" w:hAnsi="Calibri" w:cs="Calibri"/>
                <w:color w:val="000000"/>
                <w:szCs w:val="20"/>
              </w:rPr>
              <w:t>18,44</w:t>
            </w:r>
          </w:p>
        </w:tc>
        <w:tc>
          <w:tcPr>
            <w:tcW w:w="1227" w:type="dxa"/>
            <w:vAlign w:val="center"/>
          </w:tcPr>
          <w:p w14:paraId="411C8228" w14:textId="77777777" w:rsidR="00DA651F" w:rsidRPr="00B129CB" w:rsidRDefault="00DA651F" w:rsidP="000878F6">
            <w:pPr>
              <w:pStyle w:val="Table"/>
              <w:jc w:val="center"/>
              <w:rPr>
                <w:szCs w:val="20"/>
              </w:rPr>
            </w:pPr>
            <w:r w:rsidRPr="00B129CB">
              <w:rPr>
                <w:rFonts w:ascii="Calibri" w:hAnsi="Calibri" w:cs="Calibri"/>
                <w:color w:val="000000"/>
                <w:szCs w:val="20"/>
              </w:rPr>
              <w:t>15,85</w:t>
            </w:r>
          </w:p>
        </w:tc>
        <w:tc>
          <w:tcPr>
            <w:tcW w:w="986" w:type="dxa"/>
            <w:vAlign w:val="center"/>
          </w:tcPr>
          <w:p w14:paraId="7DBA1464" w14:textId="77777777" w:rsidR="00DA651F" w:rsidRPr="00B129CB" w:rsidRDefault="00DA651F" w:rsidP="000878F6">
            <w:pPr>
              <w:pStyle w:val="Table"/>
              <w:jc w:val="center"/>
              <w:rPr>
                <w:szCs w:val="20"/>
              </w:rPr>
            </w:pPr>
            <w:r w:rsidRPr="00B129CB">
              <w:rPr>
                <w:rFonts w:ascii="Calibri" w:hAnsi="Calibri" w:cs="Calibri"/>
                <w:color w:val="000000"/>
                <w:szCs w:val="20"/>
              </w:rPr>
              <w:t>69,7%</w:t>
            </w:r>
          </w:p>
        </w:tc>
        <w:tc>
          <w:tcPr>
            <w:tcW w:w="1295" w:type="dxa"/>
            <w:vAlign w:val="center"/>
          </w:tcPr>
          <w:p w14:paraId="66AD34B1" w14:textId="77777777" w:rsidR="00DA651F" w:rsidRPr="00B129CB" w:rsidRDefault="00DA651F" w:rsidP="000878F6">
            <w:pPr>
              <w:pStyle w:val="Table"/>
              <w:jc w:val="center"/>
              <w:rPr>
                <w:szCs w:val="20"/>
              </w:rPr>
            </w:pPr>
            <w:r w:rsidRPr="00B129CB">
              <w:rPr>
                <w:rFonts w:ascii="Calibri" w:hAnsi="Calibri" w:cs="Calibri"/>
                <w:color w:val="000000"/>
                <w:szCs w:val="20"/>
              </w:rPr>
              <w:t>59,9%</w:t>
            </w:r>
          </w:p>
        </w:tc>
      </w:tr>
      <w:tr w:rsidR="00DA651F" w:rsidRPr="00B129CB" w14:paraId="199449C5" w14:textId="77777777" w:rsidTr="00BA7936">
        <w:trPr>
          <w:trHeight w:val="158"/>
        </w:trPr>
        <w:tc>
          <w:tcPr>
            <w:tcW w:w="2263" w:type="dxa"/>
          </w:tcPr>
          <w:p w14:paraId="1A8624CE" w14:textId="77777777" w:rsidR="00DA651F" w:rsidRPr="00B129CB" w:rsidRDefault="00DA651F" w:rsidP="000878F6">
            <w:pPr>
              <w:pStyle w:val="Table"/>
              <w:rPr>
                <w:szCs w:val="20"/>
              </w:rPr>
            </w:pPr>
            <w:r w:rsidRPr="00B129CB">
              <w:rPr>
                <w:szCs w:val="20"/>
              </w:rPr>
              <w:t>Water Effluent</w:t>
            </w:r>
          </w:p>
        </w:tc>
        <w:tc>
          <w:tcPr>
            <w:tcW w:w="1132" w:type="dxa"/>
            <w:vAlign w:val="center"/>
          </w:tcPr>
          <w:p w14:paraId="273EA81D" w14:textId="77777777" w:rsidR="00DA651F" w:rsidRPr="00B129CB" w:rsidRDefault="00DA651F" w:rsidP="000878F6">
            <w:pPr>
              <w:pStyle w:val="Table"/>
              <w:jc w:val="center"/>
              <w:rPr>
                <w:szCs w:val="20"/>
              </w:rPr>
            </w:pPr>
            <w:r w:rsidRPr="00B129CB">
              <w:rPr>
                <w:rFonts w:ascii="Calibri" w:hAnsi="Calibri" w:cs="Calibri"/>
                <w:color w:val="000000"/>
                <w:szCs w:val="20"/>
              </w:rPr>
              <w:t>0,27%</w:t>
            </w:r>
          </w:p>
        </w:tc>
        <w:tc>
          <w:tcPr>
            <w:tcW w:w="1133" w:type="dxa"/>
            <w:vAlign w:val="center"/>
          </w:tcPr>
          <w:p w14:paraId="29C419A2" w14:textId="77777777" w:rsidR="00DA651F" w:rsidRPr="00B129CB" w:rsidRDefault="00DA651F" w:rsidP="000878F6">
            <w:pPr>
              <w:pStyle w:val="Table"/>
              <w:jc w:val="center"/>
              <w:rPr>
                <w:szCs w:val="20"/>
              </w:rPr>
            </w:pPr>
            <w:r w:rsidRPr="00B129CB">
              <w:rPr>
                <w:rFonts w:ascii="Calibri" w:hAnsi="Calibri" w:cs="Calibri"/>
                <w:color w:val="000000"/>
                <w:szCs w:val="20"/>
              </w:rPr>
              <w:t>0,27%</w:t>
            </w:r>
          </w:p>
        </w:tc>
        <w:tc>
          <w:tcPr>
            <w:tcW w:w="1037" w:type="dxa"/>
            <w:vAlign w:val="center"/>
          </w:tcPr>
          <w:p w14:paraId="63181F0F" w14:textId="77777777" w:rsidR="00DA651F" w:rsidRPr="00B129CB" w:rsidRDefault="00DA651F" w:rsidP="000878F6">
            <w:pPr>
              <w:pStyle w:val="Table"/>
              <w:jc w:val="center"/>
              <w:rPr>
                <w:szCs w:val="20"/>
              </w:rPr>
            </w:pPr>
            <w:r w:rsidRPr="00B129CB">
              <w:rPr>
                <w:rFonts w:ascii="Calibri" w:hAnsi="Calibri" w:cs="Calibri"/>
                <w:color w:val="000000"/>
                <w:szCs w:val="20"/>
              </w:rPr>
              <w:t>-3,36</w:t>
            </w:r>
          </w:p>
        </w:tc>
        <w:tc>
          <w:tcPr>
            <w:tcW w:w="1227" w:type="dxa"/>
            <w:vAlign w:val="center"/>
          </w:tcPr>
          <w:p w14:paraId="2F6C8008" w14:textId="77777777" w:rsidR="00DA651F" w:rsidRPr="00B129CB" w:rsidRDefault="00DA651F" w:rsidP="000878F6">
            <w:pPr>
              <w:pStyle w:val="Table"/>
              <w:jc w:val="center"/>
              <w:rPr>
                <w:szCs w:val="20"/>
              </w:rPr>
            </w:pPr>
            <w:r w:rsidRPr="00B129CB">
              <w:rPr>
                <w:rFonts w:ascii="Calibri" w:hAnsi="Calibri" w:cs="Calibri"/>
                <w:color w:val="000000"/>
                <w:szCs w:val="20"/>
              </w:rPr>
              <w:t>-3,31</w:t>
            </w:r>
          </w:p>
        </w:tc>
        <w:tc>
          <w:tcPr>
            <w:tcW w:w="986" w:type="dxa"/>
            <w:vAlign w:val="center"/>
          </w:tcPr>
          <w:p w14:paraId="707876DD" w14:textId="77777777" w:rsidR="00DA651F" w:rsidRPr="00B129CB" w:rsidRDefault="00DA651F" w:rsidP="000878F6">
            <w:pPr>
              <w:pStyle w:val="Table"/>
              <w:jc w:val="center"/>
              <w:rPr>
                <w:szCs w:val="20"/>
              </w:rPr>
            </w:pPr>
            <w:r w:rsidRPr="00B129CB">
              <w:rPr>
                <w:rFonts w:ascii="Calibri" w:hAnsi="Calibri" w:cs="Calibri"/>
                <w:color w:val="000000"/>
                <w:szCs w:val="20"/>
              </w:rPr>
              <w:t>-12,7%</w:t>
            </w:r>
          </w:p>
        </w:tc>
        <w:tc>
          <w:tcPr>
            <w:tcW w:w="1295" w:type="dxa"/>
            <w:vAlign w:val="center"/>
          </w:tcPr>
          <w:p w14:paraId="5874F2D2" w14:textId="77777777" w:rsidR="00DA651F" w:rsidRPr="00B129CB" w:rsidRDefault="00DA651F" w:rsidP="000878F6">
            <w:pPr>
              <w:pStyle w:val="Table"/>
              <w:jc w:val="center"/>
              <w:rPr>
                <w:szCs w:val="20"/>
              </w:rPr>
            </w:pPr>
            <w:r w:rsidRPr="00B129CB">
              <w:rPr>
                <w:rFonts w:ascii="Calibri" w:hAnsi="Calibri" w:cs="Calibri"/>
                <w:color w:val="000000"/>
                <w:szCs w:val="20"/>
              </w:rPr>
              <w:t>-12,5%</w:t>
            </w:r>
          </w:p>
        </w:tc>
      </w:tr>
      <w:tr w:rsidR="00DA651F" w:rsidRPr="00B129CB" w14:paraId="4F84CC62" w14:textId="77777777" w:rsidTr="00BA7936">
        <w:trPr>
          <w:trHeight w:val="190"/>
        </w:trPr>
        <w:tc>
          <w:tcPr>
            <w:tcW w:w="2263" w:type="dxa"/>
          </w:tcPr>
          <w:p w14:paraId="68DEB81F" w14:textId="77777777" w:rsidR="00DA651F" w:rsidRPr="00B129CB" w:rsidRDefault="00DA651F" w:rsidP="000878F6">
            <w:pPr>
              <w:pStyle w:val="Table"/>
              <w:rPr>
                <w:szCs w:val="20"/>
              </w:rPr>
            </w:pPr>
            <w:r w:rsidRPr="00B129CB">
              <w:rPr>
                <w:szCs w:val="20"/>
              </w:rPr>
              <w:t>Minerals &amp; Aggregates</w:t>
            </w:r>
          </w:p>
        </w:tc>
        <w:tc>
          <w:tcPr>
            <w:tcW w:w="1132" w:type="dxa"/>
            <w:vAlign w:val="center"/>
          </w:tcPr>
          <w:p w14:paraId="434A67E3" w14:textId="77777777" w:rsidR="00DA651F" w:rsidRPr="00B129CB" w:rsidRDefault="00DA651F" w:rsidP="000878F6">
            <w:pPr>
              <w:pStyle w:val="Table"/>
              <w:jc w:val="center"/>
              <w:rPr>
                <w:szCs w:val="20"/>
              </w:rPr>
            </w:pPr>
            <w:r w:rsidRPr="00B129CB">
              <w:rPr>
                <w:rFonts w:ascii="Calibri" w:hAnsi="Calibri" w:cs="Calibri"/>
                <w:color w:val="000000"/>
                <w:szCs w:val="20"/>
              </w:rPr>
              <w:t>-5,02%</w:t>
            </w:r>
          </w:p>
        </w:tc>
        <w:tc>
          <w:tcPr>
            <w:tcW w:w="1133" w:type="dxa"/>
            <w:vAlign w:val="center"/>
          </w:tcPr>
          <w:p w14:paraId="18803527" w14:textId="77777777" w:rsidR="00DA651F" w:rsidRPr="00B129CB" w:rsidRDefault="00DA651F" w:rsidP="000878F6">
            <w:pPr>
              <w:pStyle w:val="Table"/>
              <w:jc w:val="center"/>
              <w:rPr>
                <w:szCs w:val="20"/>
              </w:rPr>
            </w:pPr>
            <w:r w:rsidRPr="00B129CB">
              <w:rPr>
                <w:rFonts w:ascii="Calibri" w:hAnsi="Calibri" w:cs="Calibri"/>
                <w:color w:val="000000"/>
                <w:szCs w:val="20"/>
              </w:rPr>
              <w:t>-5,02%</w:t>
            </w:r>
          </w:p>
        </w:tc>
        <w:tc>
          <w:tcPr>
            <w:tcW w:w="1037" w:type="dxa"/>
            <w:vAlign w:val="center"/>
          </w:tcPr>
          <w:p w14:paraId="0983C9CD" w14:textId="77777777" w:rsidR="00DA651F" w:rsidRPr="00B129CB" w:rsidRDefault="00DA651F" w:rsidP="000878F6">
            <w:pPr>
              <w:pStyle w:val="Table"/>
              <w:jc w:val="center"/>
              <w:rPr>
                <w:szCs w:val="20"/>
              </w:rPr>
            </w:pPr>
            <w:r w:rsidRPr="00B129CB">
              <w:rPr>
                <w:rFonts w:ascii="Calibri" w:hAnsi="Calibri" w:cs="Calibri"/>
                <w:color w:val="000000"/>
                <w:szCs w:val="20"/>
              </w:rPr>
              <w:t>26,88</w:t>
            </w:r>
          </w:p>
        </w:tc>
        <w:tc>
          <w:tcPr>
            <w:tcW w:w="1227" w:type="dxa"/>
            <w:vAlign w:val="center"/>
          </w:tcPr>
          <w:p w14:paraId="1FE16C88" w14:textId="77777777" w:rsidR="00DA651F" w:rsidRPr="00B129CB" w:rsidRDefault="00DA651F" w:rsidP="000878F6">
            <w:pPr>
              <w:pStyle w:val="Table"/>
              <w:jc w:val="center"/>
              <w:rPr>
                <w:szCs w:val="20"/>
              </w:rPr>
            </w:pPr>
            <w:r w:rsidRPr="00B129CB">
              <w:rPr>
                <w:rFonts w:ascii="Calibri" w:hAnsi="Calibri" w:cs="Calibri"/>
                <w:color w:val="000000"/>
                <w:szCs w:val="20"/>
              </w:rPr>
              <w:t>26,42</w:t>
            </w:r>
          </w:p>
        </w:tc>
        <w:tc>
          <w:tcPr>
            <w:tcW w:w="986" w:type="dxa"/>
            <w:vAlign w:val="center"/>
          </w:tcPr>
          <w:p w14:paraId="260D5395" w14:textId="77777777" w:rsidR="00DA651F" w:rsidRPr="00B129CB" w:rsidRDefault="00DA651F" w:rsidP="000878F6">
            <w:pPr>
              <w:pStyle w:val="Table"/>
              <w:jc w:val="center"/>
              <w:rPr>
                <w:szCs w:val="20"/>
              </w:rPr>
            </w:pPr>
            <w:r w:rsidRPr="00B129CB">
              <w:rPr>
                <w:rFonts w:ascii="Calibri" w:hAnsi="Calibri" w:cs="Calibri"/>
                <w:color w:val="000000"/>
                <w:szCs w:val="20"/>
              </w:rPr>
              <w:t>N.E.</w:t>
            </w:r>
          </w:p>
        </w:tc>
        <w:tc>
          <w:tcPr>
            <w:tcW w:w="1295" w:type="dxa"/>
            <w:vAlign w:val="center"/>
          </w:tcPr>
          <w:p w14:paraId="684C3B1E" w14:textId="77777777" w:rsidR="00DA651F" w:rsidRPr="00B129CB" w:rsidRDefault="00DA651F" w:rsidP="000878F6">
            <w:pPr>
              <w:pStyle w:val="Table"/>
              <w:jc w:val="center"/>
              <w:rPr>
                <w:szCs w:val="20"/>
              </w:rPr>
            </w:pPr>
            <w:r w:rsidRPr="00B129CB">
              <w:rPr>
                <w:rFonts w:ascii="Calibri" w:hAnsi="Calibri" w:cs="Calibri"/>
                <w:color w:val="000000"/>
                <w:szCs w:val="20"/>
              </w:rPr>
              <w:t>N.E.</w:t>
            </w:r>
          </w:p>
        </w:tc>
      </w:tr>
    </w:tbl>
    <w:p w14:paraId="38960993" w14:textId="77777777" w:rsidR="00DA651F" w:rsidRPr="00DA651F" w:rsidRDefault="00DA651F" w:rsidP="00DA651F"/>
    <w:p w14:paraId="0A21B229" w14:textId="389C8E7E" w:rsidR="00DA651F" w:rsidRPr="00DA651F" w:rsidRDefault="00DA651F" w:rsidP="00DA651F">
      <w:r w:rsidRPr="00DA651F">
        <w:t xml:space="preserve">The greatest environmental benefits are projected in </w:t>
      </w:r>
      <w:r w:rsidRPr="00DA651F">
        <w:rPr>
          <w:b/>
          <w:bCs/>
        </w:rPr>
        <w:t>waste management</w:t>
      </w:r>
      <w:r w:rsidRPr="00DA651F">
        <w:t xml:space="preserve">. Slovakia continues to rely heavily on landfilling, with rates well above the EU average despite recent improvements. The modelling suggests that raising landfill charges to the benchmark level (€65 per tonne) could reduce disposal volumes by around 30 per cent by 2030. This would align with the country’s circular economy targets and help achieve compliance with EU waste directives. To prevent unintended diversion </w:t>
      </w:r>
      <w:r w:rsidRPr="00DA651F">
        <w:lastRenderedPageBreak/>
        <w:t xml:space="preserve">towards incineration, a moderate </w:t>
      </w:r>
      <w:r w:rsidRPr="00DA651F">
        <w:rPr>
          <w:b/>
          <w:bCs/>
        </w:rPr>
        <w:t>incineration tax</w:t>
      </w:r>
      <w:r w:rsidRPr="00DA651F">
        <w:t xml:space="preserve"> (€15 per tonne) could be introduced concurrently. Both measures would encourage investment in separate collection, sorting and recycling infrastructure, areas that remain underdeveloped in several regions.</w:t>
      </w:r>
    </w:p>
    <w:p w14:paraId="60F07C06" w14:textId="024BA348" w:rsidR="00DA651F" w:rsidRPr="00DA651F" w:rsidRDefault="00DA651F" w:rsidP="00DA651F">
      <w:r w:rsidRPr="00DA651F">
        <w:t xml:space="preserve">In the </w:t>
      </w:r>
      <w:r w:rsidRPr="00DA651F">
        <w:rPr>
          <w:b/>
          <w:bCs/>
        </w:rPr>
        <w:t>water sector</w:t>
      </w:r>
      <w:r w:rsidRPr="00DA651F">
        <w:t xml:space="preserve">, Slovakia applies abstraction and discharge fees, but these are generally low and not sufficiently differentiated by use or region. The modelling indicates that introducing </w:t>
      </w:r>
      <w:r w:rsidRPr="00DA651F">
        <w:rPr>
          <w:b/>
          <w:bCs/>
        </w:rPr>
        <w:t>benchmark-level wastewater and water abstraction taxes</w:t>
      </w:r>
      <w:r w:rsidRPr="00DA651F">
        <w:t xml:space="preserve"> could reduce organic pollutant loads (BOD₅) by about 15 per cent and abstraction volumes by 10 per cent, while raising significant additional revenues</w:t>
      </w:r>
      <w:r>
        <w:t xml:space="preserve">, </w:t>
      </w:r>
      <w:r w:rsidRPr="00DA651F">
        <w:t>more than half of the total from new environmental taxes. These measures would strengthen the implementation of the Water Framework Directive’s cost-recovery and “polluter pays” principles, especially in industrial and agricultural water use. Phased increases, accompanied by investments in water efficiency and treatment technologies, would ensure both environmental and economic feasibility.</w:t>
      </w:r>
    </w:p>
    <w:p w14:paraId="2B087284" w14:textId="2AC3C425" w:rsidR="00DA651F" w:rsidRPr="00DA651F" w:rsidRDefault="00DA651F" w:rsidP="00DA651F">
      <w:r w:rsidRPr="00DA651F">
        <w:t xml:space="preserve">In </w:t>
      </w:r>
      <w:r w:rsidRPr="00DA651F">
        <w:rPr>
          <w:b/>
          <w:bCs/>
        </w:rPr>
        <w:t>agriculture</w:t>
      </w:r>
      <w:r w:rsidRPr="00DA651F">
        <w:t xml:space="preserve">, Slovakia has scope to reduce diffuse pollution through </w:t>
      </w:r>
      <w:r w:rsidRPr="00DA651F">
        <w:rPr>
          <w:b/>
          <w:bCs/>
        </w:rPr>
        <w:t>fertiliser and pesticide taxes</w:t>
      </w:r>
      <w:r w:rsidRPr="00DA651F">
        <w:t>. The modelling suggests that a nitrogen-based fertiliser tax (€0.30 per kilogram of N) and a pesticide tax (€5 per kilogram of active ingredient, differentiated by toxicity) could reduce use by around 10–12 per cent, lowering nutrient runoff and improving water quality. To protect farmers and maintain competitiveness, these taxes should be phased in gradually and combined with support measures such as subsidies for precision farming, soil testing, and integrated pest management.</w:t>
      </w:r>
    </w:p>
    <w:p w14:paraId="61BCFC28" w14:textId="334881C2" w:rsidR="00DA651F" w:rsidRPr="00DA651F" w:rsidRDefault="00DA651F" w:rsidP="00DA651F">
      <w:r w:rsidRPr="00DA651F">
        <w:t xml:space="preserve">The </w:t>
      </w:r>
      <w:r w:rsidRPr="00DA651F">
        <w:rPr>
          <w:b/>
          <w:bCs/>
        </w:rPr>
        <w:t>mineral extraction sector</w:t>
      </w:r>
      <w:r w:rsidRPr="00DA651F">
        <w:t xml:space="preserve"> represents another area with considerable potential. Slovakia’s extraction of aggregates, limestone, and gypsum remains intensive, and current levies are far below the benchmark rate. Introducing a </w:t>
      </w:r>
      <w:r w:rsidRPr="00DA651F">
        <w:rPr>
          <w:b/>
          <w:bCs/>
        </w:rPr>
        <w:t>mineral extraction tax</w:t>
      </w:r>
      <w:r w:rsidRPr="00DA651F">
        <w:t xml:space="preserve"> (€3.12 per tonne) would reduce extraction by approximately 17 per cent and raise around €250 million annually. This would stimulate the use of recycled aggregates, contributing to circular economy objectives while ensuring that extraction activities internalise their environmental costs.</w:t>
      </w:r>
    </w:p>
    <w:p w14:paraId="08E3AEF9" w14:textId="7FA6B070" w:rsidR="00DA651F" w:rsidRPr="00DA651F" w:rsidRDefault="00DA651F" w:rsidP="00DA651F">
      <w:r w:rsidRPr="00DA651F">
        <w:t>The fiscal impacts of such reforms would be significant. Water-related instruments would account for roughly 50 per cent of new revenues, followed by waste and resource-use taxes. These revenues could be reinvested to modernise waste and wastewater treatment facilities, support circular economy projects, and reduce distortionary labour taxes. Transparent earmarking and reporting would enhance public confidence and ensure that environmental and fiscal objectives reinforce one another.</w:t>
      </w:r>
    </w:p>
    <w:p w14:paraId="4F9C79C0" w14:textId="13EA6D95" w:rsidR="00DA651F" w:rsidRPr="00DA651F" w:rsidRDefault="00DA651F" w:rsidP="00DA651F">
      <w:r w:rsidRPr="00DA651F">
        <w:t xml:space="preserve">From an </w:t>
      </w:r>
      <w:r w:rsidRPr="00DA651F">
        <w:rPr>
          <w:b/>
          <w:bCs/>
        </w:rPr>
        <w:t>administrative perspective</w:t>
      </w:r>
      <w:r w:rsidRPr="00DA651F">
        <w:t>, Slovakia has a solid institutional foundation for environmental taxation. Existing mechanisms for collecting water and waste fees, managed by the Slovak Environmental Inspectorate and regional authorities, could be expanded to accommodate new instruments. However, improvements in data collection and monitoring</w:t>
      </w:r>
      <w:r>
        <w:t xml:space="preserve">, </w:t>
      </w:r>
      <w:r w:rsidRPr="00DA651F">
        <w:t>particularly for smaller dischargers, abstractions, and agricultural sources</w:t>
      </w:r>
      <w:r>
        <w:t xml:space="preserve">, </w:t>
      </w:r>
      <w:r w:rsidRPr="00DA651F">
        <w:t>would be necessary. The government’s ongoing digitalisation of environmental reporting provides a strong basis for scaling up administration and compliance monitoring.</w:t>
      </w:r>
    </w:p>
    <w:p w14:paraId="76AA23E7" w14:textId="237AB37D" w:rsidR="00DA651F" w:rsidRDefault="00DA651F" w:rsidP="00DA651F">
      <w:r w:rsidRPr="00DA651F">
        <w:rPr>
          <w:b/>
          <w:bCs/>
        </w:rPr>
        <w:t>Distributional and competitiveness impacts</w:t>
      </w:r>
      <w:r w:rsidRPr="00DA651F">
        <w:t xml:space="preserve"> would be moderate overall. Higher landfill and water treatment costs could increase tariffs for municipalities and households, but these effects can be mitigated through phased implementation and targeted support for low-income households. For agriculture and small businesses, transitional investment aid and access to green financing would help offset the initial cost burden. For industry, particularly construction materials and manufacturing, competitiveness concerns could be addressed through incentives for resource efficiency, recycled content, and cleaner production technologies.</w:t>
      </w:r>
    </w:p>
    <w:p w14:paraId="4B554565" w14:textId="466E30EF" w:rsidR="00317C2F" w:rsidRPr="00DA651F" w:rsidRDefault="00317C2F" w:rsidP="00DA651F">
      <w:r w:rsidRPr="00317C2F">
        <w:t xml:space="preserve">Political feasibility will depend on clear communication and stakeholder engagement. Past experience in Slovakia shows that the effectiveness of environmental charges is strongly linked to transparency </w:t>
      </w:r>
      <w:r w:rsidRPr="00317C2F">
        <w:lastRenderedPageBreak/>
        <w:t>and to the visible reinvestment of revenues. As the OECD notes, “</w:t>
      </w:r>
      <w:r w:rsidR="00C25234">
        <w:t>p</w:t>
      </w:r>
      <w:r w:rsidRPr="00317C2F">
        <w:t>ublic acceptability of environmentally related taxes increases when people understand the purpose of the tax and when revenues are used in ways that are seen as fair and environmentally effective.”</w:t>
      </w:r>
      <w:r w:rsidR="00C25234">
        <w:rPr>
          <w:rStyle w:val="FootnoteReference"/>
        </w:rPr>
        <w:footnoteReference w:id="762"/>
      </w:r>
      <w:r w:rsidRPr="00317C2F">
        <w:t xml:space="preserve"> Framing new or adjusted taxes as instruments to improve local waste management, water quality and air-pollution control can therefore play an important role in building political and public support.</w:t>
      </w:r>
    </w:p>
    <w:p w14:paraId="6E7B37D2" w14:textId="35448B64" w:rsidR="00DA651F" w:rsidRPr="00DA651F" w:rsidRDefault="00DA651F" w:rsidP="00DA651F">
      <w:r>
        <w:t>Political feasibility will depend on clear communication and stakeholder engagement. Past experience in Slovakia shows that the success of environmental charges depends heavily on transparency and visible reinvestment of revenues. Framing new or increased taxes as tools to improve local waste management, water quality, and air pollution control will be essential to gaining public and political acceptance.</w:t>
      </w:r>
    </w:p>
    <w:p w14:paraId="45D9FB5B" w14:textId="21A45206" w:rsidR="00DA651F" w:rsidRDefault="00DA651F" w:rsidP="002435CD">
      <w:r w:rsidRPr="00DA651F">
        <w:t>In summary, Slovakia has strong potential to expand environmental taxation in ways that deliver measurable environmental gains and fiscal benefits. The most promising measures include strengthening landfill and wastewater charges, introducing fertiliser and pesticide taxes, and reforming mineral extraction fees. A phased, revenue-neutral approach—combining predictable rate increases, visible reinvestment, and targeted social and competitiveness safeguards—would allow Slovakia to advance its circular economy and sustainability goals while maintaining public trust and economic stability.</w:t>
      </w:r>
    </w:p>
    <w:p w14:paraId="39E21AE6" w14:textId="77777777" w:rsidR="002435CD" w:rsidRPr="00EA4C9B" w:rsidRDefault="002435CD" w:rsidP="00DA651F">
      <w:pPr>
        <w:pStyle w:val="AnnexHeading1"/>
        <w:ind w:hanging="1211"/>
      </w:pPr>
      <w:bookmarkStart w:id="304" w:name="_Toc214008948"/>
      <w:r w:rsidRPr="00EA4C9B">
        <w:t>Slovenia</w:t>
      </w:r>
      <w:bookmarkEnd w:id="304"/>
    </w:p>
    <w:p w14:paraId="322EC292" w14:textId="77777777" w:rsidR="002435CD" w:rsidRPr="00EA4C9B" w:rsidRDefault="002435CD" w:rsidP="007C4EB7">
      <w:pPr>
        <w:pStyle w:val="AnnexHeading2"/>
      </w:pPr>
      <w:bookmarkStart w:id="305" w:name="_Toc214008949"/>
      <w:r w:rsidRPr="00EA4C9B">
        <w:t>Overview of existing environmental taxes in Slovenia</w:t>
      </w:r>
      <w:bookmarkEnd w:id="305"/>
    </w:p>
    <w:p w14:paraId="46EB2CC9" w14:textId="14AE551A" w:rsidR="002435CD" w:rsidRPr="00EA4C9B" w:rsidRDefault="00B707F6" w:rsidP="009E1B64">
      <w:pPr>
        <w:pStyle w:val="Bulletlist"/>
        <w:numPr>
          <w:ilvl w:val="0"/>
          <w:numId w:val="0"/>
        </w:numPr>
      </w:pPr>
      <w:r w:rsidRPr="00B707F6">
        <w:t>Environmental taxes in Slovenia amounted to 2.8% of GDP in 2023, above the EU average. While revenues have increased in absolute terms over the past 15 years, their relative weight in the economy has declined. Total environmental tax revenue reached EUR 1.63 billion in 2023 (</w:t>
      </w:r>
      <w:r w:rsidRPr="004C2910">
        <w:fldChar w:fldCharType="begin"/>
      </w:r>
      <w:r w:rsidRPr="004C2910">
        <w:rPr>
          <w:szCs w:val="22"/>
        </w:rPr>
        <w:instrText xml:space="preserve"> REF _Ref201234930 \h  \* MERGEFORMAT </w:instrText>
      </w:r>
      <w:r w:rsidRPr="004C2910">
        <w:fldChar w:fldCharType="separate"/>
      </w:r>
      <w:r w:rsidRPr="004C2910">
        <w:rPr>
          <w:szCs w:val="22"/>
        </w:rPr>
        <w:t xml:space="preserve">Figure </w:t>
      </w:r>
      <w:r>
        <w:rPr>
          <w:szCs w:val="22"/>
        </w:rPr>
        <w:t>A6</w:t>
      </w:r>
      <w:r w:rsidRPr="004C2910">
        <w:rPr>
          <w:szCs w:val="22"/>
        </w:rPr>
        <w:t>-</w:t>
      </w:r>
      <w:r w:rsidRPr="004C2910">
        <w:rPr>
          <w:noProof/>
          <w:szCs w:val="22"/>
        </w:rPr>
        <w:t>69</w:t>
      </w:r>
      <w:r w:rsidRPr="004C2910">
        <w:fldChar w:fldCharType="end"/>
      </w:r>
      <w:r w:rsidRPr="00B707F6">
        <w:t>), representing a 31.5% increase since 2009</w:t>
      </w:r>
      <w:r w:rsidR="00F72177">
        <w:rPr>
          <w:rStyle w:val="FootnoteReference"/>
        </w:rPr>
        <w:footnoteReference w:id="763"/>
      </w:r>
      <w:r w:rsidRPr="00B707F6">
        <w:t>. Over the same period, however, the ratio of environmental taxes to GDP fell from 3.5% in 2009 to 2.8% in 2023.</w:t>
      </w:r>
    </w:p>
    <w:tbl>
      <w:tblPr>
        <w:tblStyle w:val="TableGrid"/>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1"/>
      </w:tblGrid>
      <w:tr w:rsidR="002435CD" w:rsidRPr="00EA4C9B" w14:paraId="37563619" w14:textId="77777777" w:rsidTr="00BA7936">
        <w:trPr>
          <w:trHeight w:val="2564"/>
        </w:trPr>
        <w:tc>
          <w:tcPr>
            <w:tcW w:w="8991" w:type="dxa"/>
          </w:tcPr>
          <w:p w14:paraId="4721FB61" w14:textId="77777777" w:rsidR="002435CD" w:rsidRPr="00EA4C9B" w:rsidRDefault="002435CD">
            <w:pPr>
              <w:spacing w:after="0"/>
              <w:jc w:val="center"/>
              <w:rPr>
                <w:sz w:val="10"/>
                <w:szCs w:val="10"/>
              </w:rPr>
            </w:pPr>
          </w:p>
          <w:p w14:paraId="7DB58257" w14:textId="77777777" w:rsidR="002435CD" w:rsidRPr="00EA4C9B" w:rsidRDefault="002435CD">
            <w:pPr>
              <w:spacing w:after="0"/>
              <w:jc w:val="center"/>
            </w:pPr>
            <w:r w:rsidRPr="00EA4C9B">
              <w:rPr>
                <w:noProof/>
              </w:rPr>
              <w:drawing>
                <wp:inline distT="0" distB="0" distL="0" distR="0" wp14:anchorId="50C0BFF6" wp14:editId="0D911F74">
                  <wp:extent cx="5562600" cy="1524434"/>
                  <wp:effectExtent l="0" t="0" r="0" b="0"/>
                  <wp:docPr id="1847791362" name="Picture 184779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91362" name="Picture 1847791362"/>
                          <pic:cNvPicPr/>
                        </pic:nvPicPr>
                        <pic:blipFill>
                          <a:blip r:embed="rId126">
                            <a:extLst>
                              <a:ext uri="{96DAC541-7B7A-43D3-8B79-37D633B846F1}">
                                <asvg:svgBlip xmlns:asvg="http://schemas.microsoft.com/office/drawing/2016/SVG/main" r:embed="rId127"/>
                              </a:ext>
                            </a:extLst>
                          </a:blip>
                          <a:stretch>
                            <a:fillRect/>
                          </a:stretch>
                        </pic:blipFill>
                        <pic:spPr>
                          <a:xfrm>
                            <a:off x="0" y="0"/>
                            <a:ext cx="5648171" cy="1547885"/>
                          </a:xfrm>
                          <a:prstGeom prst="rect">
                            <a:avLst/>
                          </a:prstGeom>
                        </pic:spPr>
                      </pic:pic>
                    </a:graphicData>
                  </a:graphic>
                </wp:inline>
              </w:drawing>
            </w:r>
          </w:p>
        </w:tc>
      </w:tr>
      <w:tr w:rsidR="002435CD" w:rsidRPr="00EA4C9B" w14:paraId="46BAEB69" w14:textId="77777777" w:rsidTr="00BA7936">
        <w:trPr>
          <w:trHeight w:val="316"/>
        </w:trPr>
        <w:tc>
          <w:tcPr>
            <w:tcW w:w="8991" w:type="dxa"/>
            <w:shd w:val="clear" w:color="auto" w:fill="003399"/>
          </w:tcPr>
          <w:p w14:paraId="0166258B" w14:textId="0FDC4DD4" w:rsidR="002435CD" w:rsidRPr="00EA4C9B" w:rsidRDefault="002435CD" w:rsidP="00F53301">
            <w:pPr>
              <w:pStyle w:val="FigTabCaption"/>
              <w:rPr>
                <w:bCs/>
              </w:rPr>
            </w:pPr>
            <w:bookmarkStart w:id="306" w:name="_Ref201234930"/>
            <w:r w:rsidRPr="00051732">
              <w:t xml:space="preserve">Figure </w:t>
            </w:r>
            <w:r w:rsidR="00490085">
              <w:t>A6</w:t>
            </w:r>
            <w:r w:rsidR="0031315F" w:rsidRPr="00051732">
              <w:t>-</w:t>
            </w:r>
            <w:r>
              <w:fldChar w:fldCharType="begin"/>
            </w:r>
            <w:r>
              <w:instrText>SEQ Figure_A5- \* ARABIC</w:instrText>
            </w:r>
            <w:r>
              <w:fldChar w:fldCharType="separate"/>
            </w:r>
            <w:r w:rsidR="0091411A">
              <w:rPr>
                <w:noProof/>
              </w:rPr>
              <w:t>69</w:t>
            </w:r>
            <w:r>
              <w:fldChar w:fldCharType="end"/>
            </w:r>
            <w:bookmarkEnd w:id="306"/>
            <w:r w:rsidRPr="00EA4C9B">
              <w:t>: Total environmental tax revenue in Slovenia (2009-2023) in million euros</w:t>
            </w:r>
            <w:r w:rsidR="00AD76D4">
              <w:t xml:space="preserve"> - </w:t>
            </w:r>
            <w:r w:rsidR="00AD76D4" w:rsidRPr="00AD76D4">
              <w:rPr>
                <w:i/>
                <w:iCs/>
              </w:rPr>
              <w:t>Note: pollution and resource taxes in 2023 w</w:t>
            </w:r>
            <w:r w:rsidR="00675FA8">
              <w:rPr>
                <w:i/>
                <w:iCs/>
              </w:rPr>
              <w:t>ere</w:t>
            </w:r>
            <w:r w:rsidR="00AD76D4" w:rsidRPr="00AD76D4">
              <w:rPr>
                <w:i/>
                <w:iCs/>
              </w:rPr>
              <w:t xml:space="preserve"> estimated as the weighted average of past years</w:t>
            </w:r>
            <w:r w:rsidR="00AD76D4" w:rsidRPr="00AD76D4">
              <w:t> </w:t>
            </w:r>
          </w:p>
        </w:tc>
      </w:tr>
    </w:tbl>
    <w:p w14:paraId="0F700AA3" w14:textId="77777777" w:rsidR="002435CD" w:rsidRPr="00EA4C9B" w:rsidRDefault="002435CD" w:rsidP="009E1B64">
      <w:pPr>
        <w:pStyle w:val="Bulletlist"/>
        <w:numPr>
          <w:ilvl w:val="0"/>
          <w:numId w:val="0"/>
        </w:numPr>
      </w:pPr>
    </w:p>
    <w:p w14:paraId="5854B7FA" w14:textId="03DD3AA9" w:rsidR="002435CD" w:rsidRPr="00EA4C9B" w:rsidRDefault="002A304F" w:rsidP="009E1B64">
      <w:pPr>
        <w:pStyle w:val="Bulletlist"/>
        <w:numPr>
          <w:ilvl w:val="0"/>
          <w:numId w:val="0"/>
        </w:numPr>
      </w:pPr>
      <w:r w:rsidRPr="002A304F">
        <w:fldChar w:fldCharType="begin"/>
      </w:r>
      <w:r w:rsidRPr="002A304F">
        <w:instrText xml:space="preserve"> REF _Ref201230941 \h  \* MERGEFORMAT </w:instrText>
      </w:r>
      <w:r w:rsidRPr="002A304F">
        <w:fldChar w:fldCharType="separate"/>
      </w:r>
      <w:r w:rsidRPr="002A304F">
        <w:t xml:space="preserve">Figure </w:t>
      </w:r>
      <w:r w:rsidR="00490085">
        <w:t>A6</w:t>
      </w:r>
      <w:r w:rsidRPr="002A304F">
        <w:t>-</w:t>
      </w:r>
      <w:r w:rsidRPr="002A304F">
        <w:rPr>
          <w:noProof/>
        </w:rPr>
        <w:t>70</w:t>
      </w:r>
      <w:r w:rsidRPr="002A304F">
        <w:fldChar w:fldCharType="end"/>
      </w:r>
      <w:r w:rsidR="002435CD">
        <w:t xml:space="preserve"> </w:t>
      </w:r>
      <w:r w:rsidR="002435CD" w:rsidRPr="00EA4C9B">
        <w:t xml:space="preserve">shows the percentage change in absolute terms for GDP and environmental taxes in terms of revenue (blue column) as well as the percentage change in the GDP-ratio between the years 2009-2023 (yellow column). Between the years 2009-2023, revenue for total environmental taxes increased by nearly a third, which was driven by increases in energy tax, transport and resource taxes. </w:t>
      </w:r>
      <w:r w:rsidR="002435CD" w:rsidRPr="00EA4C9B">
        <w:lastRenderedPageBreak/>
        <w:t xml:space="preserve">Meanwhile, revenue received from pollution taxes declined by nearly a quarter between the years 2009-2023. In terms of the percentage change in the GDP-ratio, all environmental taxes registered a decline between the years 2009-2023, with pollution tax decreasing by over 50%.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35CD" w:rsidRPr="00EA4C9B" w14:paraId="34318410" w14:textId="77777777" w:rsidTr="00BA7936">
        <w:tc>
          <w:tcPr>
            <w:tcW w:w="9016" w:type="dxa"/>
          </w:tcPr>
          <w:p w14:paraId="4522C477" w14:textId="77777777" w:rsidR="002435CD" w:rsidRPr="00EA4C9B" w:rsidRDefault="002435CD">
            <w:pPr>
              <w:spacing w:after="0"/>
              <w:jc w:val="center"/>
              <w:rPr>
                <w:sz w:val="10"/>
                <w:szCs w:val="10"/>
              </w:rPr>
            </w:pPr>
          </w:p>
          <w:p w14:paraId="61D7F07B" w14:textId="77777777" w:rsidR="002435CD" w:rsidRPr="00EA4C9B" w:rsidRDefault="002435CD">
            <w:pPr>
              <w:spacing w:after="0"/>
              <w:jc w:val="center"/>
            </w:pPr>
            <w:r w:rsidRPr="00EA4C9B">
              <w:rPr>
                <w:noProof/>
              </w:rPr>
              <w:drawing>
                <wp:inline distT="0" distB="0" distL="0" distR="0" wp14:anchorId="13706BE0" wp14:editId="5AE735D5">
                  <wp:extent cx="5674994" cy="1703070"/>
                  <wp:effectExtent l="0" t="0" r="2540" b="0"/>
                  <wp:docPr id="1767235422" name="Picture 176723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35422" name="Picture 1767235422"/>
                          <pic:cNvPicPr/>
                        </pic:nvPicPr>
                        <pic:blipFill>
                          <a:blip r:embed="rId128">
                            <a:extLst>
                              <a:ext uri="{96DAC541-7B7A-43D3-8B79-37D633B846F1}">
                                <asvg:svgBlip xmlns:asvg="http://schemas.microsoft.com/office/drawing/2016/SVG/main" r:embed="rId129"/>
                              </a:ext>
                            </a:extLst>
                          </a:blip>
                          <a:stretch>
                            <a:fillRect/>
                          </a:stretch>
                        </pic:blipFill>
                        <pic:spPr>
                          <a:xfrm>
                            <a:off x="0" y="0"/>
                            <a:ext cx="5690850" cy="1707828"/>
                          </a:xfrm>
                          <a:prstGeom prst="rect">
                            <a:avLst/>
                          </a:prstGeom>
                        </pic:spPr>
                      </pic:pic>
                    </a:graphicData>
                  </a:graphic>
                </wp:inline>
              </w:drawing>
            </w:r>
          </w:p>
        </w:tc>
      </w:tr>
      <w:tr w:rsidR="002435CD" w:rsidRPr="00EA4C9B" w14:paraId="36FCCF3F" w14:textId="77777777" w:rsidTr="00BA7936">
        <w:tc>
          <w:tcPr>
            <w:tcW w:w="9016" w:type="dxa"/>
            <w:shd w:val="clear" w:color="auto" w:fill="003399"/>
          </w:tcPr>
          <w:p w14:paraId="6AA42A6F" w14:textId="29479277" w:rsidR="002435CD" w:rsidRPr="00EA4C9B" w:rsidRDefault="002435CD" w:rsidP="00F53301">
            <w:pPr>
              <w:pStyle w:val="FigTabCaption"/>
            </w:pPr>
            <w:bookmarkStart w:id="307" w:name="_Ref201230941"/>
            <w:r w:rsidRPr="00051732">
              <w:t xml:space="preserve">Figure </w:t>
            </w:r>
            <w:r w:rsidR="00490085">
              <w:t>A6</w:t>
            </w:r>
            <w:r w:rsidR="0031315F" w:rsidRPr="00051732">
              <w:t>-</w:t>
            </w:r>
            <w:r>
              <w:fldChar w:fldCharType="begin"/>
            </w:r>
            <w:r>
              <w:instrText>SEQ Figure_A5- \* ARABIC</w:instrText>
            </w:r>
            <w:r>
              <w:fldChar w:fldCharType="separate"/>
            </w:r>
            <w:r w:rsidR="0091411A">
              <w:rPr>
                <w:noProof/>
              </w:rPr>
              <w:t>70</w:t>
            </w:r>
            <w:r>
              <w:fldChar w:fldCharType="end"/>
            </w:r>
            <w:bookmarkEnd w:id="307"/>
            <w:r w:rsidRPr="00EA4C9B">
              <w:t>: Fifteen-year (2009-2023) change in absolute terms and change as GDP-ratio of the revenues of energy taxes, transport taxes, resource taxes, pollution taxes and total environmental taxes</w:t>
            </w:r>
            <w:r w:rsidR="00BA1510">
              <w:t xml:space="preserve"> </w:t>
            </w:r>
          </w:p>
        </w:tc>
      </w:tr>
    </w:tbl>
    <w:p w14:paraId="1BA78572" w14:textId="77777777" w:rsidR="002435CD" w:rsidRPr="00EA4C9B" w:rsidRDefault="002435CD" w:rsidP="002435CD"/>
    <w:p w14:paraId="04B72CED" w14:textId="77777777" w:rsidR="002435CD" w:rsidRPr="00EA4C9B" w:rsidRDefault="002435CD" w:rsidP="007C4EB7">
      <w:pPr>
        <w:pStyle w:val="AnnexHeading2"/>
      </w:pPr>
      <w:bookmarkStart w:id="308" w:name="_Toc214008950"/>
      <w:r w:rsidRPr="00EA4C9B">
        <w:t>Existing pollution and resource taxes</w:t>
      </w:r>
      <w:bookmarkEnd w:id="308"/>
    </w:p>
    <w:p w14:paraId="024330A8" w14:textId="39CAB792" w:rsidR="002435CD" w:rsidRPr="00EA4C9B" w:rsidRDefault="002435CD" w:rsidP="002435CD">
      <w:r w:rsidRPr="00EA4C9B">
        <w:t>In 2022, pollution and resource tax revenues reached respectively 22.8 and 29.4 million euros. The projected values for 2023 are 24.71 and 24.98 million euros respectively. These amount to a decrease in pollution tax revenues in absolute terms of 33.3% and a 0% change in resource tax revenues over 15 years (2009-2023). However, in terms of GDP-ratios, pollution taxes decreased by 54% while resource taxes decreased by 29.1% (</w:t>
      </w:r>
      <w:r w:rsidR="00E72F58" w:rsidRPr="00E72F58">
        <w:fldChar w:fldCharType="begin"/>
      </w:r>
      <w:r w:rsidR="00E72F58" w:rsidRPr="00E72F58">
        <w:instrText xml:space="preserve"> REF _Ref201230941 \h  \* MERGEFORMAT </w:instrText>
      </w:r>
      <w:r w:rsidR="00E72F58" w:rsidRPr="00E72F58">
        <w:fldChar w:fldCharType="separate"/>
      </w:r>
      <w:r w:rsidR="00E72F58" w:rsidRPr="00E72F58">
        <w:t xml:space="preserve">Figure </w:t>
      </w:r>
      <w:r w:rsidR="00490085">
        <w:t>A6</w:t>
      </w:r>
      <w:r w:rsidR="00E72F58" w:rsidRPr="00E72F58">
        <w:t>-</w:t>
      </w:r>
      <w:r w:rsidR="00E72F58" w:rsidRPr="00E72F58">
        <w:rPr>
          <w:noProof/>
        </w:rPr>
        <w:t>70</w:t>
      </w:r>
      <w:r w:rsidR="00E72F58" w:rsidRPr="00E72F58">
        <w:fldChar w:fldCharType="end"/>
      </w:r>
      <w:r w:rsidRPr="00EA4C9B">
        <w:t>). In 2023, pollution and resource tax revenues each accounted for — respectively — 1.2% of the total environmental tax revenues. In 2022, 93% of pollution tax revenues were paid by households and 7% by economic activities</w:t>
      </w:r>
      <w:r w:rsidRPr="00EA4C9B">
        <w:rPr>
          <w:vertAlign w:val="superscript"/>
        </w:rPr>
        <w:footnoteReference w:id="764"/>
      </w:r>
      <w:r w:rsidRPr="00EA4C9B">
        <w:t>. Meanwhile, economic activities made up 100% of resource tax revenue</w:t>
      </w:r>
      <w:r w:rsidRPr="00EA4C9B">
        <w:rPr>
          <w:vertAlign w:val="superscript"/>
        </w:rPr>
        <w:footnoteReference w:id="765"/>
      </w:r>
      <w:r w:rsidRPr="00EA4C9B">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35CD" w:rsidRPr="00EA4C9B" w14:paraId="4750F491" w14:textId="77777777" w:rsidTr="00BA7936">
        <w:tc>
          <w:tcPr>
            <w:tcW w:w="9016" w:type="dxa"/>
          </w:tcPr>
          <w:p w14:paraId="66AE451E" w14:textId="77777777" w:rsidR="002435CD" w:rsidRPr="00EA4C9B" w:rsidRDefault="002435CD">
            <w:pPr>
              <w:spacing w:after="0"/>
              <w:jc w:val="center"/>
              <w:rPr>
                <w:sz w:val="10"/>
                <w:szCs w:val="10"/>
              </w:rPr>
            </w:pPr>
          </w:p>
          <w:p w14:paraId="469E708F" w14:textId="77777777" w:rsidR="002435CD" w:rsidRPr="00EA4C9B" w:rsidRDefault="002435CD">
            <w:pPr>
              <w:spacing w:after="0"/>
              <w:jc w:val="center"/>
            </w:pPr>
            <w:r w:rsidRPr="00EA4C9B">
              <w:rPr>
                <w:noProof/>
              </w:rPr>
              <w:drawing>
                <wp:inline distT="0" distB="0" distL="0" distR="0" wp14:anchorId="730914D3" wp14:editId="549158C3">
                  <wp:extent cx="5581648" cy="1247775"/>
                  <wp:effectExtent l="0" t="0" r="0" b="0"/>
                  <wp:docPr id="870650251" name="Picture 87065025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50251" name="Picture 870650251" descr="A graph of a number of people&#10;&#10;AI-generated content may be incorrect."/>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581648" cy="1247775"/>
                          </a:xfrm>
                          <a:prstGeom prst="rect">
                            <a:avLst/>
                          </a:prstGeom>
                        </pic:spPr>
                      </pic:pic>
                    </a:graphicData>
                  </a:graphic>
                </wp:inline>
              </w:drawing>
            </w:r>
          </w:p>
        </w:tc>
      </w:tr>
      <w:tr w:rsidR="002435CD" w:rsidRPr="00EA4C9B" w14:paraId="6739732D" w14:textId="77777777" w:rsidTr="00BA7936">
        <w:tc>
          <w:tcPr>
            <w:tcW w:w="9016" w:type="dxa"/>
            <w:shd w:val="clear" w:color="auto" w:fill="003399"/>
          </w:tcPr>
          <w:p w14:paraId="07C3379F" w14:textId="7A4190B6" w:rsidR="002435CD" w:rsidRPr="00EA4C9B" w:rsidRDefault="002435CD" w:rsidP="00F53301">
            <w:pPr>
              <w:pStyle w:val="FigTabCaption"/>
              <w:rPr>
                <w:bCs/>
              </w:rPr>
            </w:pPr>
            <w:r w:rsidRPr="00051732">
              <w:t xml:space="preserve">Figure </w:t>
            </w:r>
            <w:r w:rsidR="00490085">
              <w:t>A6</w:t>
            </w:r>
            <w:r w:rsidR="0031315F" w:rsidRPr="00051732">
              <w:t>-</w:t>
            </w:r>
            <w:r>
              <w:fldChar w:fldCharType="begin"/>
            </w:r>
            <w:r>
              <w:instrText>SEQ Figure_A5- \* ARABIC</w:instrText>
            </w:r>
            <w:r>
              <w:fldChar w:fldCharType="separate"/>
            </w:r>
            <w:r w:rsidR="0091411A">
              <w:rPr>
                <w:noProof/>
              </w:rPr>
              <w:t>71</w:t>
            </w:r>
            <w:r>
              <w:fldChar w:fldCharType="end"/>
            </w:r>
            <w:r w:rsidRPr="00EA4C9B">
              <w:t>: Resource and pollution tax revenues in Slovenia (2009-2023) in million euros</w:t>
            </w:r>
            <w:r w:rsidR="00F26A70">
              <w:t>.</w:t>
            </w:r>
            <w:r w:rsidR="00F26A70" w:rsidRPr="00EA4C9B">
              <w:rPr>
                <w:rFonts w:ascii="Calibri" w:eastAsia="Calibri" w:hAnsi="Calibri" w:cs="Calibri"/>
                <w:i/>
                <w:iCs/>
              </w:rPr>
              <w:t xml:space="preserve"> Note: the share between pollution and resource taxes in 2023 was estimated as the weighted average of past years</w:t>
            </w:r>
            <w:r w:rsidR="00F26A70" w:rsidRPr="00EA4C9B">
              <w:rPr>
                <w:rFonts w:ascii="Calibri" w:eastAsia="Calibri" w:hAnsi="Calibri" w:cs="Calibri"/>
              </w:rPr>
              <w:t> </w:t>
            </w:r>
          </w:p>
        </w:tc>
      </w:tr>
    </w:tbl>
    <w:p w14:paraId="220469D4" w14:textId="77777777" w:rsidR="002435CD" w:rsidRDefault="002435CD" w:rsidP="002435CD"/>
    <w:p w14:paraId="5778D60D" w14:textId="77777777" w:rsidR="00A00DA3" w:rsidRPr="00A00DA3" w:rsidRDefault="00A00DA3" w:rsidP="00A00DA3">
      <w:pPr>
        <w:pStyle w:val="Heading4"/>
      </w:pPr>
      <w:r w:rsidRPr="00A00DA3">
        <w:t>List of pollution and resource taxes and revenue shares</w:t>
      </w:r>
    </w:p>
    <w:p w14:paraId="1E5CB3BF" w14:textId="0E1E18D0" w:rsidR="002435CD" w:rsidRPr="00EA4C9B" w:rsidRDefault="00842127" w:rsidP="002435CD">
      <w:r w:rsidRPr="00D15284">
        <w:fldChar w:fldCharType="begin"/>
      </w:r>
      <w:r w:rsidRPr="00D15284">
        <w:instrText xml:space="preserve"> REF part_edae565ec6424f6a8d0f795316d4749d \h </w:instrText>
      </w:r>
      <w:r w:rsidR="001F5A98" w:rsidRPr="00D15284">
        <w:instrText xml:space="preserve"> \* MERGEFORMAT </w:instrText>
      </w:r>
      <w:r w:rsidRPr="00D15284">
        <w:fldChar w:fldCharType="end"/>
      </w:r>
      <w:r w:rsidRPr="00D15284">
        <w:t xml:space="preserve"> through </w:t>
      </w:r>
      <w:r w:rsidR="004F176A" w:rsidRPr="00D15284">
        <w:fldChar w:fldCharType="begin"/>
      </w:r>
      <w:r w:rsidR="004F176A" w:rsidRPr="00D15284">
        <w:instrText xml:space="preserve"> REF part_edae565ec6424f6a8d0f795316d4749d \h </w:instrText>
      </w:r>
      <w:r w:rsidR="001F5A98" w:rsidRPr="00D15284">
        <w:instrText xml:space="preserve"> \* MERGEFORMAT </w:instrText>
      </w:r>
      <w:r w:rsidR="004F176A" w:rsidRPr="00D15284">
        <w:fldChar w:fldCharType="end"/>
      </w:r>
      <w:r w:rsidR="004F176A" w:rsidRPr="00D15284">
        <w:t xml:space="preserve"> </w:t>
      </w:r>
      <w:r w:rsidR="002435CD" w:rsidRPr="00D15284">
        <w:t>indicates the taxes that are from the National Tax List</w:t>
      </w:r>
      <w:r w:rsidR="002435CD" w:rsidRPr="00D15284">
        <w:rPr>
          <w:rStyle w:val="FootnoteReference"/>
        </w:rPr>
        <w:footnoteReference w:id="766"/>
      </w:r>
      <w:r w:rsidR="002435CD" w:rsidRPr="00D15284">
        <w:t xml:space="preserve"> reported by Eurostat. </w:t>
      </w:r>
      <w:r w:rsidR="00045CEC" w:rsidRPr="00D15284">
        <w:fldChar w:fldCharType="begin"/>
      </w:r>
      <w:r w:rsidR="00045CEC" w:rsidRPr="00D15284">
        <w:instrText xml:space="preserve"> REF part_edae565ec6424f6a8d0f795316d4749d \h </w:instrText>
      </w:r>
      <w:r w:rsidR="001F5A98" w:rsidRPr="00D15284">
        <w:instrText xml:space="preserve"> \* MERGEFORMAT </w:instrText>
      </w:r>
      <w:r w:rsidR="00045CEC" w:rsidRPr="00D15284">
        <w:fldChar w:fldCharType="end"/>
      </w:r>
      <w:r w:rsidR="002435CD" w:rsidRPr="00D15284">
        <w:t xml:space="preserve"> shows the breakdown of taxes on waste pollution taken from the PINE database</w:t>
      </w:r>
      <w:r w:rsidR="002435CD" w:rsidRPr="00D15284">
        <w:rPr>
          <w:rStyle w:val="FootnoteReference"/>
        </w:rPr>
        <w:footnoteReference w:id="767"/>
      </w:r>
      <w:r w:rsidR="002435CD" w:rsidRPr="00D15284">
        <w:t xml:space="preserve">. Meanwhile, </w:t>
      </w:r>
      <w:r w:rsidR="00045CEC" w:rsidRPr="00D15284">
        <w:fldChar w:fldCharType="begin"/>
      </w:r>
      <w:r w:rsidR="00045CEC" w:rsidRPr="00D15284">
        <w:instrText xml:space="preserve"> REF part_edae565ec6424f6a8d0f795316d4749d \h </w:instrText>
      </w:r>
      <w:r w:rsidR="001F5A98" w:rsidRPr="00D15284">
        <w:instrText xml:space="preserve"> \* MERGEFORMAT </w:instrText>
      </w:r>
      <w:r w:rsidR="00045CEC" w:rsidRPr="00D15284">
        <w:fldChar w:fldCharType="end"/>
      </w:r>
      <w:r w:rsidR="002435CD" w:rsidRPr="00EA4C9B">
        <w:t xml:space="preserve"> indicates those taxes that weren’t in the National Tax List but in other sources including the PINE database.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41"/>
        <w:gridCol w:w="2241"/>
        <w:gridCol w:w="2241"/>
        <w:gridCol w:w="2241"/>
      </w:tblGrid>
      <w:tr w:rsidR="002435CD" w:rsidRPr="00EA4C9B" w14:paraId="73851454" w14:textId="77777777">
        <w:trPr>
          <w:trHeight w:val="300"/>
        </w:trPr>
        <w:tc>
          <w:tcPr>
            <w:tcW w:w="8964" w:type="dxa"/>
            <w:gridSpan w:val="4"/>
            <w:tcBorders>
              <w:top w:val="single" w:sz="6" w:space="0" w:color="auto"/>
              <w:left w:val="single" w:sz="6" w:space="0" w:color="auto"/>
              <w:bottom w:val="single" w:sz="6" w:space="0" w:color="auto"/>
              <w:right w:val="single" w:sz="6" w:space="0" w:color="auto"/>
            </w:tcBorders>
            <w:shd w:val="clear" w:color="auto" w:fill="003399"/>
            <w:tcMar>
              <w:left w:w="105" w:type="dxa"/>
              <w:right w:w="105" w:type="dxa"/>
            </w:tcMar>
          </w:tcPr>
          <w:p w14:paraId="65687609" w14:textId="4450C2EC" w:rsidR="002435CD" w:rsidRPr="008B3A2E" w:rsidRDefault="0031315F" w:rsidP="008B3A2E">
            <w:pPr>
              <w:pStyle w:val="Table"/>
              <w:rPr>
                <w:rFonts w:eastAsia="Calibri" w:cstheme="minorHAnsi"/>
                <w:b/>
                <w:color w:val="FFFFFF" w:themeColor="background1"/>
                <w:szCs w:val="20"/>
              </w:rPr>
            </w:pPr>
            <w:r w:rsidRPr="008B3A2E">
              <w:rPr>
                <w:b/>
                <w:color w:val="FFFFFF" w:themeColor="background1"/>
              </w:rPr>
              <w:lastRenderedPageBreak/>
              <w:t xml:space="preserve">Table </w:t>
            </w:r>
            <w:r w:rsidR="00490085">
              <w:rPr>
                <w:b/>
                <w:color w:val="FFFFFF" w:themeColor="background1"/>
              </w:rPr>
              <w:t>A6</w:t>
            </w:r>
            <w:r w:rsidR="008B3A2E" w:rsidRPr="008B3A2E">
              <w:rPr>
                <w:b/>
                <w:bCs/>
                <w:color w:val="FFFFFF" w:themeColor="background1"/>
              </w:rPr>
              <w:t>-</w:t>
            </w:r>
            <w:r w:rsidR="008B3A2E" w:rsidRPr="008B3A2E">
              <w:rPr>
                <w:b/>
                <w:bCs/>
                <w:color w:val="FFFFFF" w:themeColor="background1"/>
              </w:rPr>
              <w:fldChar w:fldCharType="begin"/>
            </w:r>
            <w:r w:rsidR="008B3A2E" w:rsidRPr="008B3A2E">
              <w:rPr>
                <w:b/>
                <w:bCs/>
                <w:color w:val="FFFFFF" w:themeColor="background1"/>
              </w:rPr>
              <w:instrText xml:space="preserve"> SEQ Table_A5- \* ARABIC </w:instrText>
            </w:r>
            <w:r w:rsidR="008B3A2E" w:rsidRPr="008B3A2E">
              <w:rPr>
                <w:b/>
                <w:bCs/>
                <w:color w:val="FFFFFF" w:themeColor="background1"/>
              </w:rPr>
              <w:fldChar w:fldCharType="separate"/>
            </w:r>
            <w:r w:rsidR="00DA651F">
              <w:rPr>
                <w:b/>
                <w:bCs/>
                <w:noProof/>
                <w:color w:val="FFFFFF" w:themeColor="background1"/>
              </w:rPr>
              <w:t>123</w:t>
            </w:r>
            <w:r w:rsidR="008B3A2E" w:rsidRPr="008B3A2E">
              <w:rPr>
                <w:b/>
                <w:bCs/>
                <w:color w:val="FFFFFF" w:themeColor="background1"/>
              </w:rPr>
              <w:fldChar w:fldCharType="end"/>
            </w:r>
            <w:r w:rsidR="002435CD" w:rsidRPr="008B3A2E">
              <w:rPr>
                <w:rFonts w:eastAsia="Calibri" w:cstheme="minorHAnsi"/>
                <w:b/>
                <w:color w:val="FFFFFF" w:themeColor="background1"/>
                <w:szCs w:val="20"/>
              </w:rPr>
              <w:t>:  Waste taxes </w:t>
            </w:r>
          </w:p>
        </w:tc>
      </w:tr>
      <w:tr w:rsidR="002435CD" w:rsidRPr="00EA4C9B" w14:paraId="786191FD" w14:textId="77777777">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5369CB48" w14:textId="77777777" w:rsidR="002435CD" w:rsidRPr="00EA4C9B" w:rsidRDefault="002435CD" w:rsidP="008B3A2E">
            <w:pPr>
              <w:pStyle w:val="Table"/>
              <w:rPr>
                <w:rFonts w:eastAsia="Calibri" w:cstheme="minorHAnsi"/>
                <w:szCs w:val="20"/>
              </w:rPr>
            </w:pPr>
            <w:r w:rsidRPr="00EA4C9B">
              <w:rPr>
                <w:rFonts w:eastAsia="Calibri" w:cstheme="minorHAnsi"/>
                <w:b/>
                <w:szCs w:val="20"/>
              </w:rPr>
              <w:t>Tax Name</w:t>
            </w:r>
            <w:r w:rsidRPr="00EA4C9B">
              <w:rPr>
                <w:rFonts w:eastAsia="Calibri" w:cstheme="minorHAnsi"/>
                <w:szCs w:val="20"/>
              </w:rPr>
              <w:t> </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1CA8713C" w14:textId="77777777" w:rsidR="002435CD" w:rsidRPr="00EA4C9B" w:rsidRDefault="002435CD" w:rsidP="00DA651F">
            <w:pPr>
              <w:pStyle w:val="Table"/>
              <w:jc w:val="center"/>
              <w:rPr>
                <w:rFonts w:eastAsia="Calibri" w:cstheme="minorHAnsi"/>
                <w:szCs w:val="20"/>
              </w:rPr>
            </w:pPr>
            <w:r w:rsidRPr="00EA4C9B">
              <w:rPr>
                <w:rFonts w:eastAsia="Calibri" w:cstheme="minorHAnsi"/>
                <w:b/>
                <w:szCs w:val="20"/>
              </w:rPr>
              <w:t>Revenue (€ million)</w:t>
            </w:r>
          </w:p>
          <w:p w14:paraId="050CC9BE" w14:textId="77777777" w:rsidR="002435CD" w:rsidRPr="00EA4C9B" w:rsidRDefault="002435CD" w:rsidP="00DA651F">
            <w:pPr>
              <w:pStyle w:val="Table"/>
              <w:jc w:val="center"/>
              <w:rPr>
                <w:rFonts w:eastAsia="Calibri" w:cstheme="minorHAnsi"/>
                <w:szCs w:val="20"/>
              </w:rPr>
            </w:pPr>
            <w:r w:rsidRPr="00EA4C9B">
              <w:rPr>
                <w:rFonts w:eastAsia="Calibri" w:cstheme="minorHAnsi"/>
                <w:b/>
                <w:szCs w:val="20"/>
              </w:rPr>
              <w:t>2009-2023</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56A42150" w14:textId="77777777" w:rsidR="002435CD" w:rsidRPr="00EA4C9B" w:rsidRDefault="002435CD" w:rsidP="00DA651F">
            <w:pPr>
              <w:pStyle w:val="Table"/>
              <w:jc w:val="center"/>
              <w:rPr>
                <w:rFonts w:eastAsia="Calibri" w:cstheme="minorHAnsi"/>
                <w:szCs w:val="20"/>
              </w:rPr>
            </w:pPr>
            <w:r w:rsidRPr="00EA4C9B">
              <w:rPr>
                <w:rFonts w:eastAsia="Calibri" w:cstheme="minorHAnsi"/>
                <w:b/>
                <w:szCs w:val="20"/>
              </w:rPr>
              <w:t>Average annual revenue (€ million)</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719EE91B" w14:textId="77777777" w:rsidR="002435CD" w:rsidRPr="00EA4C9B" w:rsidRDefault="002435CD" w:rsidP="00DA651F">
            <w:pPr>
              <w:pStyle w:val="Table"/>
              <w:jc w:val="center"/>
              <w:rPr>
                <w:rFonts w:eastAsia="Calibri" w:cstheme="minorHAnsi"/>
                <w:szCs w:val="20"/>
              </w:rPr>
            </w:pPr>
            <w:r w:rsidRPr="00EA4C9B">
              <w:rPr>
                <w:rFonts w:eastAsia="Calibri" w:cstheme="minorHAnsi"/>
                <w:b/>
                <w:szCs w:val="20"/>
              </w:rPr>
              <w:t>As share of all waste tax revenues</w:t>
            </w:r>
          </w:p>
        </w:tc>
      </w:tr>
      <w:tr w:rsidR="002435CD" w:rsidRPr="00EA4C9B" w14:paraId="6B371BDE" w14:textId="77777777">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22A8760" w14:textId="77777777" w:rsidR="002435CD" w:rsidRPr="00EA4C9B" w:rsidRDefault="002435CD" w:rsidP="008B3A2E">
            <w:pPr>
              <w:pStyle w:val="Table"/>
              <w:rPr>
                <w:rFonts w:eastAsia="Calibri" w:cstheme="minorHAnsi"/>
                <w:szCs w:val="20"/>
              </w:rPr>
            </w:pPr>
            <w:r w:rsidRPr="00EA4C9B">
              <w:rPr>
                <w:rFonts w:cstheme="minorHAnsi"/>
                <w:szCs w:val="20"/>
              </w:rPr>
              <w:t>Taxes on waste pollution</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4986071" w14:textId="77777777" w:rsidR="002435CD" w:rsidRPr="00EA4C9B" w:rsidRDefault="002435CD" w:rsidP="00DA651F">
            <w:pPr>
              <w:pStyle w:val="Table"/>
              <w:jc w:val="center"/>
              <w:rPr>
                <w:rFonts w:eastAsia="Calibri" w:cstheme="minorHAnsi"/>
                <w:szCs w:val="20"/>
              </w:rPr>
            </w:pPr>
            <w:r w:rsidRPr="00EA4C9B">
              <w:rPr>
                <w:rFonts w:cstheme="minorHAnsi"/>
                <w:color w:val="000000"/>
                <w:szCs w:val="20"/>
              </w:rPr>
              <w:t>29.6</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4B89E7A" w14:textId="77777777" w:rsidR="002435CD" w:rsidRPr="00EA4C9B" w:rsidRDefault="002435CD" w:rsidP="00DA651F">
            <w:pPr>
              <w:pStyle w:val="Table"/>
              <w:jc w:val="center"/>
              <w:rPr>
                <w:rFonts w:eastAsia="Calibri" w:cstheme="minorHAnsi"/>
                <w:szCs w:val="20"/>
              </w:rPr>
            </w:pPr>
            <w:r w:rsidRPr="00EA4C9B">
              <w:rPr>
                <w:rFonts w:cstheme="minorHAnsi"/>
                <w:color w:val="000000"/>
                <w:szCs w:val="20"/>
              </w:rPr>
              <w:t>2.0</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59A4767A" w14:textId="77777777" w:rsidR="002435CD" w:rsidRPr="00EA4C9B" w:rsidRDefault="002435CD" w:rsidP="00DA651F">
            <w:pPr>
              <w:pStyle w:val="Table"/>
              <w:jc w:val="center"/>
              <w:rPr>
                <w:rFonts w:eastAsia="Calibri"/>
                <w:szCs w:val="20"/>
              </w:rPr>
            </w:pPr>
          </w:p>
          <w:p w14:paraId="1561FD17" w14:textId="77777777" w:rsidR="002435CD" w:rsidRPr="00EA4C9B" w:rsidRDefault="002435CD" w:rsidP="00DA651F">
            <w:pPr>
              <w:pStyle w:val="Table"/>
              <w:jc w:val="center"/>
              <w:rPr>
                <w:rFonts w:eastAsia="Calibri" w:cstheme="minorHAnsi"/>
                <w:szCs w:val="20"/>
              </w:rPr>
            </w:pPr>
            <w:r w:rsidRPr="00EA4C9B">
              <w:rPr>
                <w:rFonts w:eastAsia="Calibri" w:cstheme="minorHAnsi"/>
                <w:szCs w:val="20"/>
              </w:rPr>
              <w:t>100%</w:t>
            </w:r>
          </w:p>
        </w:tc>
      </w:tr>
      <w:tr w:rsidR="002435CD" w:rsidRPr="00EA4C9B" w14:paraId="36644F2A" w14:textId="77777777">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C34FC8C" w14:textId="77777777" w:rsidR="002435CD" w:rsidRPr="00EA4C9B" w:rsidRDefault="002435CD" w:rsidP="008B3A2E">
            <w:pPr>
              <w:pStyle w:val="Table"/>
              <w:rPr>
                <w:rFonts w:cstheme="minorHAnsi"/>
                <w:szCs w:val="20"/>
              </w:rPr>
            </w:pPr>
            <w:r w:rsidRPr="00EA4C9B">
              <w:rPr>
                <w:rFonts w:cstheme="minorHAnsi"/>
                <w:szCs w:val="20"/>
              </w:rPr>
              <w:t>Environmental tax for environmental pollution due to wastewater discharge (special water tax)</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7C96C16" w14:textId="77777777" w:rsidR="002435CD" w:rsidRPr="00EA4C9B" w:rsidRDefault="002435CD" w:rsidP="00DA651F">
            <w:pPr>
              <w:pStyle w:val="Table"/>
              <w:jc w:val="center"/>
              <w:rPr>
                <w:rFonts w:cstheme="minorHAnsi"/>
                <w:color w:val="000000"/>
                <w:szCs w:val="20"/>
              </w:rPr>
            </w:pPr>
            <w:r w:rsidRPr="00EA4C9B">
              <w:rPr>
                <w:rFonts w:cstheme="minorHAnsi"/>
                <w:color w:val="000000"/>
                <w:szCs w:val="20"/>
              </w:rPr>
              <w:t>386.8</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544710A" w14:textId="77777777" w:rsidR="002435CD" w:rsidRPr="00EA4C9B" w:rsidRDefault="002435CD" w:rsidP="00DA651F">
            <w:pPr>
              <w:pStyle w:val="Table"/>
              <w:jc w:val="center"/>
              <w:rPr>
                <w:rFonts w:cstheme="minorHAnsi"/>
                <w:color w:val="000000"/>
                <w:szCs w:val="20"/>
              </w:rPr>
            </w:pPr>
            <w:r w:rsidRPr="00EA4C9B">
              <w:rPr>
                <w:rFonts w:cstheme="minorHAnsi"/>
                <w:color w:val="000000"/>
                <w:szCs w:val="20"/>
              </w:rPr>
              <w:t>25.8</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0DB17FCD" w14:textId="77777777" w:rsidR="002435CD" w:rsidRPr="00EA4C9B" w:rsidRDefault="002435CD" w:rsidP="00DA651F">
            <w:pPr>
              <w:pStyle w:val="Table"/>
              <w:jc w:val="center"/>
              <w:rPr>
                <w:rFonts w:eastAsia="Calibri"/>
                <w:szCs w:val="20"/>
              </w:rPr>
            </w:pPr>
          </w:p>
          <w:p w14:paraId="6D8095EA" w14:textId="77777777" w:rsidR="002435CD" w:rsidRPr="00EA4C9B" w:rsidRDefault="002435CD" w:rsidP="00DA651F">
            <w:pPr>
              <w:pStyle w:val="Table"/>
              <w:jc w:val="center"/>
              <w:rPr>
                <w:rFonts w:eastAsia="Calibri"/>
                <w:szCs w:val="20"/>
              </w:rPr>
            </w:pPr>
          </w:p>
          <w:p w14:paraId="790425EB" w14:textId="77777777" w:rsidR="002435CD" w:rsidRPr="00EA4C9B" w:rsidRDefault="002435CD" w:rsidP="00DA651F">
            <w:pPr>
              <w:pStyle w:val="Table"/>
              <w:jc w:val="center"/>
              <w:rPr>
                <w:rFonts w:eastAsia="Calibri"/>
                <w:szCs w:val="20"/>
              </w:rPr>
            </w:pPr>
          </w:p>
          <w:p w14:paraId="2F2FA893" w14:textId="77777777" w:rsidR="002435CD" w:rsidRPr="00EA4C9B" w:rsidRDefault="002435CD" w:rsidP="00DA651F">
            <w:pPr>
              <w:pStyle w:val="Table"/>
              <w:jc w:val="center"/>
              <w:rPr>
                <w:rFonts w:eastAsia="Calibri"/>
                <w:szCs w:val="20"/>
              </w:rPr>
            </w:pPr>
          </w:p>
          <w:p w14:paraId="5262E126" w14:textId="77777777" w:rsidR="002435CD" w:rsidRPr="00EA4C9B" w:rsidRDefault="002435CD" w:rsidP="00DA651F">
            <w:pPr>
              <w:pStyle w:val="Table"/>
              <w:jc w:val="center"/>
              <w:rPr>
                <w:rFonts w:eastAsia="Calibri"/>
                <w:szCs w:val="20"/>
              </w:rPr>
            </w:pPr>
            <w:r w:rsidRPr="00EA4C9B">
              <w:rPr>
                <w:rFonts w:eastAsia="Calibri"/>
                <w:szCs w:val="20"/>
              </w:rPr>
              <w:t>100%</w:t>
            </w:r>
          </w:p>
        </w:tc>
      </w:tr>
    </w:tbl>
    <w:p w14:paraId="413DC85D" w14:textId="77777777" w:rsidR="002435CD" w:rsidRPr="00EA4C9B" w:rsidRDefault="002435CD" w:rsidP="009E1B64">
      <w:pPr>
        <w:pStyle w:val="Bulletlist"/>
        <w:numPr>
          <w:ilvl w:val="0"/>
          <w:numId w:val="0"/>
        </w:numPr>
      </w:pP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5206"/>
        <w:gridCol w:w="3804"/>
      </w:tblGrid>
      <w:tr w:rsidR="002435CD" w:rsidRPr="00EA4C9B" w14:paraId="79D1D076" w14:textId="77777777" w:rsidTr="004F0767">
        <w:trPr>
          <w:trHeight w:val="300"/>
        </w:trPr>
        <w:tc>
          <w:tcPr>
            <w:tcW w:w="5000" w:type="pct"/>
            <w:gridSpan w:val="2"/>
            <w:tcBorders>
              <w:top w:val="single" w:sz="6" w:space="0" w:color="auto"/>
              <w:left w:val="single" w:sz="6" w:space="0" w:color="auto"/>
              <w:right w:val="single" w:sz="6" w:space="0" w:color="auto"/>
            </w:tcBorders>
            <w:shd w:val="clear" w:color="auto" w:fill="003399"/>
          </w:tcPr>
          <w:p w14:paraId="7A3C63E9" w14:textId="21D56436" w:rsidR="002435CD" w:rsidRPr="008B3A2E" w:rsidRDefault="002435CD" w:rsidP="008B3A2E">
            <w:pPr>
              <w:pStyle w:val="Table"/>
              <w:rPr>
                <w:rFonts w:eastAsia="Calibri" w:cstheme="minorHAnsi"/>
                <w:b/>
                <w:color w:val="FFFFFF" w:themeColor="background1"/>
                <w:szCs w:val="20"/>
              </w:rPr>
            </w:pPr>
            <w:r w:rsidRPr="008B3A2E">
              <w:rPr>
                <w:b/>
                <w:color w:val="FFFFFF" w:themeColor="background1"/>
              </w:rPr>
              <w:t xml:space="preserve">Table </w:t>
            </w:r>
            <w:r w:rsidR="00490085">
              <w:rPr>
                <w:b/>
                <w:color w:val="FFFFFF" w:themeColor="background1"/>
              </w:rPr>
              <w:t>A6</w:t>
            </w:r>
            <w:r w:rsidR="008B3A2E" w:rsidRPr="008B3A2E">
              <w:rPr>
                <w:b/>
                <w:bCs/>
                <w:color w:val="FFFFFF" w:themeColor="background1"/>
              </w:rPr>
              <w:t>-</w:t>
            </w:r>
            <w:r w:rsidR="008B3A2E" w:rsidRPr="008B3A2E">
              <w:rPr>
                <w:b/>
                <w:bCs/>
                <w:color w:val="FFFFFF" w:themeColor="background1"/>
              </w:rPr>
              <w:fldChar w:fldCharType="begin"/>
            </w:r>
            <w:r w:rsidR="008B3A2E" w:rsidRPr="008B3A2E">
              <w:rPr>
                <w:b/>
                <w:bCs/>
                <w:color w:val="FFFFFF" w:themeColor="background1"/>
              </w:rPr>
              <w:instrText xml:space="preserve"> SEQ Table_A5- \* ARABIC </w:instrText>
            </w:r>
            <w:r w:rsidR="008B3A2E" w:rsidRPr="008B3A2E">
              <w:rPr>
                <w:b/>
                <w:bCs/>
                <w:color w:val="FFFFFF" w:themeColor="background1"/>
              </w:rPr>
              <w:fldChar w:fldCharType="separate"/>
            </w:r>
            <w:r w:rsidR="00DA651F">
              <w:rPr>
                <w:b/>
                <w:bCs/>
                <w:noProof/>
                <w:color w:val="FFFFFF" w:themeColor="background1"/>
              </w:rPr>
              <w:t>124</w:t>
            </w:r>
            <w:r w:rsidR="008B3A2E" w:rsidRPr="008B3A2E">
              <w:rPr>
                <w:b/>
                <w:bCs/>
                <w:color w:val="FFFFFF" w:themeColor="background1"/>
              </w:rPr>
              <w:fldChar w:fldCharType="end"/>
            </w:r>
            <w:r w:rsidRPr="008B3A2E">
              <w:rPr>
                <w:rFonts w:eastAsia="Calibri" w:cstheme="minorHAnsi"/>
                <w:b/>
                <w:color w:val="FFFFFF" w:themeColor="background1"/>
                <w:szCs w:val="20"/>
              </w:rPr>
              <w:t xml:space="preserve">: Taxes on waste pollution by sub-group </w:t>
            </w:r>
          </w:p>
        </w:tc>
      </w:tr>
      <w:tr w:rsidR="002435CD" w:rsidRPr="00EA4C9B" w14:paraId="72B3C78E" w14:textId="77777777" w:rsidTr="004F0767">
        <w:trPr>
          <w:trHeight w:val="300"/>
        </w:trPr>
        <w:tc>
          <w:tcPr>
            <w:tcW w:w="2889" w:type="pct"/>
            <w:tcBorders>
              <w:left w:val="single" w:sz="6" w:space="0" w:color="auto"/>
            </w:tcBorders>
          </w:tcPr>
          <w:p w14:paraId="01373196" w14:textId="77777777" w:rsidR="002435CD" w:rsidRPr="00EA4C9B" w:rsidRDefault="002435CD" w:rsidP="008B3A2E">
            <w:pPr>
              <w:pStyle w:val="Table"/>
              <w:rPr>
                <w:rFonts w:cstheme="minorHAnsi"/>
                <w:b/>
                <w:szCs w:val="20"/>
              </w:rPr>
            </w:pPr>
            <w:r w:rsidRPr="00EA4C9B">
              <w:rPr>
                <w:rFonts w:cstheme="minorHAnsi"/>
                <w:b/>
                <w:szCs w:val="20"/>
              </w:rPr>
              <w:t>Tax Name</w:t>
            </w:r>
          </w:p>
        </w:tc>
        <w:tc>
          <w:tcPr>
            <w:tcW w:w="2111" w:type="pct"/>
            <w:tcBorders>
              <w:right w:val="single" w:sz="6" w:space="0" w:color="auto"/>
            </w:tcBorders>
            <w:tcMar>
              <w:left w:w="105" w:type="dxa"/>
              <w:right w:w="105" w:type="dxa"/>
            </w:tcMar>
          </w:tcPr>
          <w:p w14:paraId="3D75FE91" w14:textId="77777777" w:rsidR="002435CD" w:rsidRPr="00EA4C9B" w:rsidRDefault="002435CD" w:rsidP="00DA651F">
            <w:pPr>
              <w:pStyle w:val="Table"/>
              <w:jc w:val="center"/>
              <w:rPr>
                <w:rFonts w:cstheme="minorHAnsi"/>
                <w:b/>
                <w:color w:val="000000"/>
                <w:szCs w:val="20"/>
              </w:rPr>
            </w:pPr>
            <w:r w:rsidRPr="0DB99A64">
              <w:rPr>
                <w:b/>
                <w:color w:val="000000"/>
                <w:szCs w:val="20"/>
              </w:rPr>
              <w:t xml:space="preserve">Annual revenue </w:t>
            </w:r>
            <w:r w:rsidRPr="0DB99A64">
              <w:rPr>
                <w:rFonts w:eastAsia="Calibri"/>
                <w:b/>
                <w:szCs w:val="20"/>
              </w:rPr>
              <w:t>(€ million) in 2023</w:t>
            </w:r>
            <w:r w:rsidRPr="0DB99A64">
              <w:rPr>
                <w:rStyle w:val="FootnoteReference"/>
                <w:rFonts w:eastAsia="Calibri"/>
                <w:b/>
                <w:szCs w:val="20"/>
              </w:rPr>
              <w:footnoteReference w:id="768"/>
            </w:r>
          </w:p>
        </w:tc>
      </w:tr>
      <w:tr w:rsidR="002435CD" w:rsidRPr="00EA4C9B" w14:paraId="06DDA63B" w14:textId="77777777" w:rsidTr="004F0767">
        <w:trPr>
          <w:trHeight w:val="300"/>
        </w:trPr>
        <w:tc>
          <w:tcPr>
            <w:tcW w:w="2889" w:type="pct"/>
            <w:tcBorders>
              <w:left w:val="single" w:sz="6" w:space="0" w:color="auto"/>
            </w:tcBorders>
          </w:tcPr>
          <w:p w14:paraId="75FB97CE" w14:textId="77777777" w:rsidR="002435CD" w:rsidRPr="00EA4C9B" w:rsidRDefault="002435CD" w:rsidP="008B3A2E">
            <w:pPr>
              <w:pStyle w:val="Table"/>
              <w:rPr>
                <w:rFonts w:cstheme="minorHAnsi"/>
                <w:szCs w:val="20"/>
              </w:rPr>
            </w:pPr>
            <w:r w:rsidRPr="00EA4C9B">
              <w:rPr>
                <w:rFonts w:cstheme="minorHAnsi"/>
                <w:szCs w:val="20"/>
              </w:rPr>
              <w:t>Tax on waste electrical and electronic equipment</w:t>
            </w:r>
          </w:p>
        </w:tc>
        <w:tc>
          <w:tcPr>
            <w:tcW w:w="2111" w:type="pct"/>
            <w:tcBorders>
              <w:right w:val="single" w:sz="6" w:space="0" w:color="auto"/>
            </w:tcBorders>
            <w:tcMar>
              <w:left w:w="105" w:type="dxa"/>
              <w:right w:w="105" w:type="dxa"/>
            </w:tcMar>
          </w:tcPr>
          <w:p w14:paraId="4FFBB864" w14:textId="77777777" w:rsidR="002435CD" w:rsidRPr="00EA4C9B" w:rsidRDefault="002435CD" w:rsidP="00DA651F">
            <w:pPr>
              <w:pStyle w:val="Table"/>
              <w:jc w:val="center"/>
              <w:rPr>
                <w:rFonts w:ascii="Calibri" w:hAnsi="Calibri" w:cs="Calibri"/>
                <w:color w:val="000000"/>
              </w:rPr>
            </w:pPr>
            <w:r w:rsidRPr="00EA4C9B">
              <w:rPr>
                <w:rFonts w:cstheme="minorHAnsi"/>
                <w:color w:val="000000"/>
                <w:szCs w:val="20"/>
              </w:rPr>
              <w:t>0.6</w:t>
            </w:r>
          </w:p>
        </w:tc>
      </w:tr>
      <w:tr w:rsidR="002435CD" w:rsidRPr="00EA4C9B" w14:paraId="5C6B04F2" w14:textId="77777777" w:rsidTr="004F0767">
        <w:trPr>
          <w:trHeight w:val="300"/>
        </w:trPr>
        <w:tc>
          <w:tcPr>
            <w:tcW w:w="2889" w:type="pct"/>
            <w:tcBorders>
              <w:left w:val="single" w:sz="6" w:space="0" w:color="auto"/>
            </w:tcBorders>
          </w:tcPr>
          <w:p w14:paraId="003EC701" w14:textId="77777777" w:rsidR="002435CD" w:rsidRPr="00EA4C9B" w:rsidRDefault="002435CD" w:rsidP="008B3A2E">
            <w:pPr>
              <w:pStyle w:val="Table"/>
              <w:rPr>
                <w:rFonts w:cstheme="minorHAnsi"/>
                <w:szCs w:val="20"/>
              </w:rPr>
            </w:pPr>
            <w:r w:rsidRPr="00EA4C9B">
              <w:rPr>
                <w:rFonts w:cstheme="minorHAnsi"/>
                <w:szCs w:val="20"/>
              </w:rPr>
              <w:t>Tax on packaging waste</w:t>
            </w:r>
          </w:p>
        </w:tc>
        <w:tc>
          <w:tcPr>
            <w:tcW w:w="2111" w:type="pct"/>
            <w:tcBorders>
              <w:right w:val="single" w:sz="6" w:space="0" w:color="auto"/>
            </w:tcBorders>
            <w:tcMar>
              <w:left w:w="105" w:type="dxa"/>
              <w:right w:w="105" w:type="dxa"/>
            </w:tcMar>
          </w:tcPr>
          <w:p w14:paraId="0365333B" w14:textId="77777777" w:rsidR="002435CD" w:rsidRPr="00EA4C9B" w:rsidRDefault="002435CD" w:rsidP="00DA651F">
            <w:pPr>
              <w:pStyle w:val="Table"/>
              <w:jc w:val="center"/>
              <w:rPr>
                <w:rFonts w:eastAsia="Calibri" w:cstheme="minorHAnsi"/>
                <w:szCs w:val="20"/>
              </w:rPr>
            </w:pPr>
            <w:r w:rsidRPr="00EA4C9B">
              <w:rPr>
                <w:rFonts w:eastAsia="Calibri" w:cstheme="minorHAnsi"/>
                <w:szCs w:val="20"/>
              </w:rPr>
              <w:t>0.8</w:t>
            </w:r>
          </w:p>
        </w:tc>
      </w:tr>
      <w:tr w:rsidR="002435CD" w:rsidRPr="00EA4C9B" w14:paraId="5EDEE32B" w14:textId="77777777" w:rsidTr="004F0767">
        <w:trPr>
          <w:trHeight w:val="300"/>
        </w:trPr>
        <w:tc>
          <w:tcPr>
            <w:tcW w:w="2889" w:type="pct"/>
            <w:tcBorders>
              <w:left w:val="single" w:sz="6" w:space="0" w:color="auto"/>
            </w:tcBorders>
          </w:tcPr>
          <w:p w14:paraId="10A9AE11" w14:textId="77777777" w:rsidR="002435CD" w:rsidRPr="00EA4C9B" w:rsidRDefault="002435CD" w:rsidP="008B3A2E">
            <w:pPr>
              <w:pStyle w:val="Table"/>
              <w:rPr>
                <w:rFonts w:cstheme="minorHAnsi"/>
                <w:szCs w:val="20"/>
              </w:rPr>
            </w:pPr>
            <w:r w:rsidRPr="00EA4C9B">
              <w:rPr>
                <w:rFonts w:cstheme="minorHAnsi"/>
                <w:szCs w:val="20"/>
              </w:rPr>
              <w:t>Tax on waste pneumatic tyres</w:t>
            </w:r>
          </w:p>
        </w:tc>
        <w:tc>
          <w:tcPr>
            <w:tcW w:w="2111" w:type="pct"/>
            <w:tcBorders>
              <w:right w:val="single" w:sz="6" w:space="0" w:color="auto"/>
            </w:tcBorders>
            <w:tcMar>
              <w:left w:w="105" w:type="dxa"/>
              <w:right w:w="105" w:type="dxa"/>
            </w:tcMar>
          </w:tcPr>
          <w:p w14:paraId="58876FF5" w14:textId="77777777" w:rsidR="002435CD" w:rsidRPr="00EA4C9B" w:rsidRDefault="002435CD" w:rsidP="00DA651F">
            <w:pPr>
              <w:pStyle w:val="Table"/>
              <w:jc w:val="center"/>
              <w:rPr>
                <w:rFonts w:eastAsia="Calibri" w:cstheme="minorHAnsi"/>
                <w:szCs w:val="20"/>
              </w:rPr>
            </w:pPr>
            <w:r w:rsidRPr="00EA4C9B">
              <w:rPr>
                <w:rFonts w:eastAsia="Calibri" w:cstheme="minorHAnsi"/>
                <w:szCs w:val="20"/>
              </w:rPr>
              <w:t>0.2</w:t>
            </w:r>
          </w:p>
        </w:tc>
      </w:tr>
    </w:tbl>
    <w:p w14:paraId="27BDC84E" w14:textId="77777777" w:rsidR="002435CD" w:rsidRPr="00EA4C9B" w:rsidRDefault="002435CD" w:rsidP="009E1B64">
      <w:pPr>
        <w:pStyle w:val="Bulletlist"/>
        <w:numPr>
          <w:ilvl w:val="0"/>
          <w:numId w:val="0"/>
        </w:num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41"/>
        <w:gridCol w:w="2241"/>
        <w:gridCol w:w="2241"/>
        <w:gridCol w:w="2241"/>
      </w:tblGrid>
      <w:tr w:rsidR="002435CD" w:rsidRPr="00EA4C9B" w14:paraId="1FE19CFF" w14:textId="77777777">
        <w:trPr>
          <w:trHeight w:val="300"/>
        </w:trPr>
        <w:tc>
          <w:tcPr>
            <w:tcW w:w="8964" w:type="dxa"/>
            <w:gridSpan w:val="4"/>
            <w:tcBorders>
              <w:top w:val="single" w:sz="6" w:space="0" w:color="auto"/>
              <w:left w:val="single" w:sz="6" w:space="0" w:color="auto"/>
              <w:bottom w:val="single" w:sz="6" w:space="0" w:color="auto"/>
              <w:right w:val="single" w:sz="6" w:space="0" w:color="auto"/>
            </w:tcBorders>
            <w:shd w:val="clear" w:color="auto" w:fill="003399"/>
            <w:tcMar>
              <w:left w:w="105" w:type="dxa"/>
              <w:right w:w="105" w:type="dxa"/>
            </w:tcMar>
          </w:tcPr>
          <w:p w14:paraId="36BA3074" w14:textId="3F398C3A" w:rsidR="002435CD" w:rsidRPr="008B3A2E" w:rsidRDefault="002435CD" w:rsidP="008B3A2E">
            <w:pPr>
              <w:pStyle w:val="Table"/>
              <w:rPr>
                <w:rFonts w:eastAsia="Calibri" w:cstheme="minorHAnsi"/>
                <w:b/>
                <w:color w:val="FFFFFF" w:themeColor="background1"/>
                <w:szCs w:val="20"/>
              </w:rPr>
            </w:pPr>
            <w:r w:rsidRPr="008B3A2E">
              <w:rPr>
                <w:b/>
                <w:color w:val="FFFFFF" w:themeColor="background1"/>
              </w:rPr>
              <w:t xml:space="preserve">Table </w:t>
            </w:r>
            <w:r w:rsidR="00490085">
              <w:rPr>
                <w:b/>
                <w:color w:val="FFFFFF" w:themeColor="background1"/>
              </w:rPr>
              <w:t>A6</w:t>
            </w:r>
            <w:r w:rsidR="008B3A2E" w:rsidRPr="008B3A2E">
              <w:rPr>
                <w:b/>
                <w:bCs/>
                <w:color w:val="FFFFFF" w:themeColor="background1"/>
              </w:rPr>
              <w:t>-</w:t>
            </w:r>
            <w:r w:rsidR="008B3A2E" w:rsidRPr="008B3A2E">
              <w:rPr>
                <w:b/>
                <w:bCs/>
                <w:color w:val="FFFFFF" w:themeColor="background1"/>
              </w:rPr>
              <w:fldChar w:fldCharType="begin"/>
            </w:r>
            <w:r w:rsidR="008B3A2E" w:rsidRPr="008B3A2E">
              <w:rPr>
                <w:b/>
                <w:bCs/>
                <w:color w:val="FFFFFF" w:themeColor="background1"/>
              </w:rPr>
              <w:instrText xml:space="preserve"> SEQ Table_A5- \* ARABIC </w:instrText>
            </w:r>
            <w:r w:rsidR="008B3A2E" w:rsidRPr="008B3A2E">
              <w:rPr>
                <w:b/>
                <w:bCs/>
                <w:color w:val="FFFFFF" w:themeColor="background1"/>
              </w:rPr>
              <w:fldChar w:fldCharType="separate"/>
            </w:r>
            <w:r w:rsidR="00DA651F">
              <w:rPr>
                <w:b/>
                <w:bCs/>
                <w:noProof/>
                <w:color w:val="FFFFFF" w:themeColor="background1"/>
              </w:rPr>
              <w:t>125</w:t>
            </w:r>
            <w:r w:rsidR="008B3A2E" w:rsidRPr="008B3A2E">
              <w:rPr>
                <w:b/>
                <w:bCs/>
                <w:color w:val="FFFFFF" w:themeColor="background1"/>
              </w:rPr>
              <w:fldChar w:fldCharType="end"/>
            </w:r>
            <w:r w:rsidRPr="008B3A2E">
              <w:rPr>
                <w:rFonts w:eastAsia="Calibri" w:cstheme="minorHAnsi"/>
                <w:b/>
                <w:color w:val="FFFFFF" w:themeColor="background1"/>
                <w:szCs w:val="20"/>
              </w:rPr>
              <w:t>:  Resource taxes </w:t>
            </w:r>
          </w:p>
        </w:tc>
      </w:tr>
      <w:tr w:rsidR="002435CD" w:rsidRPr="00EA4C9B" w14:paraId="59C9A4DD" w14:textId="77777777">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2D50A7B9" w14:textId="77777777" w:rsidR="002435CD" w:rsidRPr="00EA4C9B" w:rsidRDefault="002435CD" w:rsidP="008B3A2E">
            <w:pPr>
              <w:pStyle w:val="Table"/>
              <w:rPr>
                <w:rFonts w:eastAsia="Calibri" w:cstheme="minorHAnsi"/>
                <w:szCs w:val="20"/>
              </w:rPr>
            </w:pPr>
            <w:r w:rsidRPr="00EA4C9B">
              <w:rPr>
                <w:rFonts w:eastAsia="Calibri" w:cstheme="minorHAnsi"/>
                <w:b/>
                <w:szCs w:val="20"/>
              </w:rPr>
              <w:t>Tax Name</w:t>
            </w:r>
            <w:r w:rsidRPr="00EA4C9B">
              <w:rPr>
                <w:rFonts w:eastAsia="Calibri" w:cstheme="minorHAnsi"/>
                <w:szCs w:val="20"/>
              </w:rPr>
              <w:t> </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0A3F29D2" w14:textId="77777777" w:rsidR="002435CD" w:rsidRPr="00EA4C9B" w:rsidRDefault="002435CD" w:rsidP="00DA651F">
            <w:pPr>
              <w:pStyle w:val="Table"/>
              <w:jc w:val="center"/>
              <w:rPr>
                <w:rFonts w:eastAsia="Calibri" w:cstheme="minorHAnsi"/>
                <w:szCs w:val="20"/>
              </w:rPr>
            </w:pPr>
            <w:r w:rsidRPr="00EA4C9B">
              <w:rPr>
                <w:rFonts w:eastAsia="Calibri" w:cstheme="minorHAnsi"/>
                <w:b/>
                <w:szCs w:val="20"/>
              </w:rPr>
              <w:t>Revenue (€ million)</w:t>
            </w:r>
          </w:p>
          <w:p w14:paraId="343406F3" w14:textId="77777777" w:rsidR="002435CD" w:rsidRPr="00EA4C9B" w:rsidRDefault="002435CD" w:rsidP="00DA651F">
            <w:pPr>
              <w:pStyle w:val="Table"/>
              <w:jc w:val="center"/>
              <w:rPr>
                <w:rFonts w:eastAsia="Calibri" w:cstheme="minorHAnsi"/>
                <w:szCs w:val="20"/>
              </w:rPr>
            </w:pPr>
            <w:r w:rsidRPr="00EA4C9B">
              <w:rPr>
                <w:rFonts w:eastAsia="Calibri" w:cstheme="minorHAnsi"/>
                <w:b/>
                <w:szCs w:val="20"/>
              </w:rPr>
              <w:t>2009-2023</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4AFB71D1" w14:textId="77777777" w:rsidR="002435CD" w:rsidRPr="00EA4C9B" w:rsidRDefault="002435CD" w:rsidP="00DA651F">
            <w:pPr>
              <w:pStyle w:val="Table"/>
              <w:jc w:val="center"/>
              <w:rPr>
                <w:rFonts w:eastAsia="Calibri" w:cstheme="minorHAnsi"/>
                <w:szCs w:val="20"/>
              </w:rPr>
            </w:pPr>
            <w:r w:rsidRPr="00EA4C9B">
              <w:rPr>
                <w:rFonts w:eastAsia="Calibri" w:cstheme="minorHAnsi"/>
                <w:b/>
                <w:szCs w:val="20"/>
              </w:rPr>
              <w:t>Average annual revenue (€ million)</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2B4A3B17" w14:textId="77777777" w:rsidR="002435CD" w:rsidRPr="00EA4C9B" w:rsidRDefault="002435CD" w:rsidP="00DA651F">
            <w:pPr>
              <w:pStyle w:val="Table"/>
              <w:jc w:val="center"/>
              <w:rPr>
                <w:rFonts w:eastAsia="Calibri" w:cstheme="minorHAnsi"/>
                <w:szCs w:val="20"/>
              </w:rPr>
            </w:pPr>
            <w:r w:rsidRPr="00EA4C9B">
              <w:rPr>
                <w:rFonts w:eastAsia="Calibri" w:cstheme="minorHAnsi"/>
                <w:b/>
                <w:szCs w:val="20"/>
              </w:rPr>
              <w:t>As share of all resource tax revenues</w:t>
            </w:r>
          </w:p>
        </w:tc>
      </w:tr>
      <w:tr w:rsidR="002435CD" w:rsidRPr="00EA4C9B" w14:paraId="49891840" w14:textId="77777777">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7C6A560" w14:textId="77777777" w:rsidR="002435CD" w:rsidRPr="00EA4C9B" w:rsidRDefault="002435CD" w:rsidP="008B3A2E">
            <w:pPr>
              <w:pStyle w:val="Table"/>
              <w:rPr>
                <w:rFonts w:eastAsia="Calibri" w:cstheme="minorHAnsi"/>
                <w:szCs w:val="20"/>
              </w:rPr>
            </w:pPr>
            <w:r w:rsidRPr="00EA4C9B">
              <w:rPr>
                <w:rFonts w:cstheme="minorHAnsi"/>
                <w:szCs w:val="20"/>
              </w:rPr>
              <w:t>Charges on use of water</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AC32DB8" w14:textId="77777777" w:rsidR="002435CD" w:rsidRPr="00EA4C9B" w:rsidRDefault="002435CD" w:rsidP="00DA651F">
            <w:pPr>
              <w:pStyle w:val="Table"/>
              <w:jc w:val="center"/>
              <w:rPr>
                <w:rFonts w:eastAsia="Calibri" w:cstheme="minorHAnsi"/>
                <w:szCs w:val="20"/>
              </w:rPr>
            </w:pPr>
            <w:r w:rsidRPr="00EA4C9B">
              <w:rPr>
                <w:rFonts w:cstheme="minorHAnsi"/>
                <w:color w:val="000000"/>
                <w:szCs w:val="20"/>
              </w:rPr>
              <w:t>425.9</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CBD9726" w14:textId="77777777" w:rsidR="002435CD" w:rsidRPr="00EA4C9B" w:rsidRDefault="002435CD" w:rsidP="00DA651F">
            <w:pPr>
              <w:pStyle w:val="Table"/>
              <w:jc w:val="center"/>
              <w:rPr>
                <w:rFonts w:eastAsia="Calibri" w:cstheme="minorHAnsi"/>
                <w:szCs w:val="20"/>
              </w:rPr>
            </w:pPr>
            <w:r w:rsidRPr="00EA4C9B">
              <w:rPr>
                <w:rFonts w:cstheme="minorHAnsi"/>
                <w:color w:val="000000"/>
                <w:szCs w:val="20"/>
              </w:rPr>
              <w:t>28.4</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105C8C90" w14:textId="77777777" w:rsidR="002435CD" w:rsidRPr="00EA4C9B" w:rsidRDefault="002435CD" w:rsidP="00DA651F">
            <w:pPr>
              <w:pStyle w:val="Table"/>
              <w:jc w:val="center"/>
              <w:rPr>
                <w:rFonts w:eastAsia="Calibri" w:cstheme="minorHAnsi"/>
                <w:szCs w:val="20"/>
              </w:rPr>
            </w:pPr>
            <w:r w:rsidRPr="00EA4C9B">
              <w:rPr>
                <w:rFonts w:eastAsia="Calibri" w:cstheme="minorHAnsi"/>
                <w:szCs w:val="20"/>
              </w:rPr>
              <w:t>100%</w:t>
            </w:r>
          </w:p>
        </w:tc>
      </w:tr>
    </w:tbl>
    <w:p w14:paraId="2B7421F9" w14:textId="77777777" w:rsidR="002435CD" w:rsidRPr="00EA4C9B" w:rsidRDefault="002435CD" w:rsidP="009E1B64">
      <w:pPr>
        <w:pStyle w:val="Bulletlist"/>
        <w:numPr>
          <w:ilvl w:val="0"/>
          <w:numId w:val="0"/>
        </w:numPr>
      </w:pP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3253"/>
        <w:gridCol w:w="2717"/>
        <w:gridCol w:w="3040"/>
      </w:tblGrid>
      <w:tr w:rsidR="002435CD" w:rsidRPr="00EA4C9B" w14:paraId="65667F51" w14:textId="77777777" w:rsidTr="004F0767">
        <w:trPr>
          <w:trHeight w:val="300"/>
        </w:trPr>
        <w:tc>
          <w:tcPr>
            <w:tcW w:w="5000" w:type="pct"/>
            <w:gridSpan w:val="3"/>
            <w:tcBorders>
              <w:top w:val="single" w:sz="6" w:space="0" w:color="auto"/>
              <w:left w:val="single" w:sz="6" w:space="0" w:color="auto"/>
              <w:right w:val="single" w:sz="6" w:space="0" w:color="auto"/>
            </w:tcBorders>
            <w:shd w:val="clear" w:color="auto" w:fill="003399"/>
          </w:tcPr>
          <w:p w14:paraId="21481551" w14:textId="392968E5" w:rsidR="002435CD" w:rsidRPr="008B3A2E" w:rsidRDefault="002435CD" w:rsidP="008B3A2E">
            <w:pPr>
              <w:pStyle w:val="Table"/>
              <w:rPr>
                <w:b/>
                <w:color w:val="FFFFFF" w:themeColor="background1"/>
              </w:rPr>
            </w:pPr>
            <w:bookmarkStart w:id="309" w:name="_Hlk197439148"/>
            <w:r w:rsidRPr="008B3A2E">
              <w:rPr>
                <w:b/>
                <w:color w:val="FFFFFF" w:themeColor="background1"/>
              </w:rPr>
              <w:t xml:space="preserve">Table </w:t>
            </w:r>
            <w:r w:rsidR="00490085">
              <w:rPr>
                <w:b/>
                <w:color w:val="FFFFFF" w:themeColor="background1"/>
              </w:rPr>
              <w:t>A6</w:t>
            </w:r>
            <w:r w:rsidR="008B3A2E" w:rsidRPr="008B3A2E">
              <w:rPr>
                <w:b/>
                <w:bCs/>
                <w:color w:val="FFFFFF" w:themeColor="background1"/>
              </w:rPr>
              <w:t>-</w:t>
            </w:r>
            <w:r w:rsidR="008B3A2E" w:rsidRPr="008B3A2E">
              <w:rPr>
                <w:b/>
                <w:bCs/>
                <w:color w:val="FFFFFF" w:themeColor="background1"/>
              </w:rPr>
              <w:fldChar w:fldCharType="begin"/>
            </w:r>
            <w:r w:rsidR="008B3A2E" w:rsidRPr="008B3A2E">
              <w:rPr>
                <w:b/>
                <w:bCs/>
                <w:color w:val="FFFFFF" w:themeColor="background1"/>
              </w:rPr>
              <w:instrText xml:space="preserve"> SEQ Table_A5- \* ARABIC </w:instrText>
            </w:r>
            <w:r w:rsidR="008B3A2E" w:rsidRPr="008B3A2E">
              <w:rPr>
                <w:b/>
                <w:bCs/>
                <w:color w:val="FFFFFF" w:themeColor="background1"/>
              </w:rPr>
              <w:fldChar w:fldCharType="separate"/>
            </w:r>
            <w:r w:rsidR="00DA651F">
              <w:rPr>
                <w:b/>
                <w:bCs/>
                <w:noProof/>
                <w:color w:val="FFFFFF" w:themeColor="background1"/>
              </w:rPr>
              <w:t>126</w:t>
            </w:r>
            <w:r w:rsidR="008B3A2E" w:rsidRPr="008B3A2E">
              <w:rPr>
                <w:b/>
                <w:bCs/>
                <w:color w:val="FFFFFF" w:themeColor="background1"/>
              </w:rPr>
              <w:fldChar w:fldCharType="end"/>
            </w:r>
            <w:r w:rsidRPr="008B3A2E">
              <w:rPr>
                <w:b/>
                <w:color w:val="FFFFFF" w:themeColor="background1"/>
              </w:rPr>
              <w:t>: Other environmental taxes not reported in the National Tax Lists</w:t>
            </w:r>
          </w:p>
        </w:tc>
      </w:tr>
      <w:tr w:rsidR="002435CD" w:rsidRPr="00EA4C9B" w14:paraId="22D4799A" w14:textId="77777777" w:rsidTr="004F0767">
        <w:trPr>
          <w:trHeight w:val="300"/>
        </w:trPr>
        <w:tc>
          <w:tcPr>
            <w:tcW w:w="1805" w:type="pct"/>
            <w:tcBorders>
              <w:top w:val="single" w:sz="6" w:space="0" w:color="auto"/>
              <w:left w:val="single" w:sz="6" w:space="0" w:color="auto"/>
              <w:right w:val="single" w:sz="6" w:space="0" w:color="auto"/>
            </w:tcBorders>
          </w:tcPr>
          <w:p w14:paraId="282F3DCA" w14:textId="77777777" w:rsidR="002435CD" w:rsidRPr="008B3A2E" w:rsidRDefault="002435CD" w:rsidP="008B3A2E">
            <w:pPr>
              <w:pStyle w:val="Table"/>
              <w:rPr>
                <w:b/>
              </w:rPr>
            </w:pPr>
            <w:r w:rsidRPr="008B3A2E">
              <w:rPr>
                <w:b/>
              </w:rPr>
              <w:t>Tax Name </w:t>
            </w:r>
          </w:p>
        </w:tc>
        <w:tc>
          <w:tcPr>
            <w:tcW w:w="1508" w:type="pct"/>
            <w:tcBorders>
              <w:top w:val="single" w:sz="6" w:space="0" w:color="auto"/>
              <w:left w:val="single" w:sz="6" w:space="0" w:color="auto"/>
              <w:right w:val="single" w:sz="6" w:space="0" w:color="auto"/>
            </w:tcBorders>
            <w:tcMar>
              <w:left w:w="105" w:type="dxa"/>
              <w:right w:w="105" w:type="dxa"/>
            </w:tcMar>
          </w:tcPr>
          <w:p w14:paraId="37622F6C" w14:textId="550D3621" w:rsidR="002435CD" w:rsidRPr="008B3A2E" w:rsidRDefault="002435CD" w:rsidP="00DA651F">
            <w:pPr>
              <w:pStyle w:val="Table"/>
              <w:jc w:val="center"/>
              <w:rPr>
                <w:b/>
              </w:rPr>
            </w:pPr>
            <w:r w:rsidRPr="008B3A2E">
              <w:rPr>
                <w:b/>
              </w:rPr>
              <w:t>Tax category</w:t>
            </w:r>
          </w:p>
        </w:tc>
        <w:tc>
          <w:tcPr>
            <w:tcW w:w="1687" w:type="pct"/>
            <w:tcBorders>
              <w:top w:val="single" w:sz="6" w:space="0" w:color="auto"/>
              <w:right w:val="single" w:sz="6" w:space="0" w:color="auto"/>
            </w:tcBorders>
            <w:tcMar>
              <w:left w:w="105" w:type="dxa"/>
              <w:right w:w="105" w:type="dxa"/>
            </w:tcMar>
          </w:tcPr>
          <w:p w14:paraId="4CC20F2F" w14:textId="76E27D88" w:rsidR="002435CD" w:rsidRPr="00EA4C9B" w:rsidRDefault="002435CD" w:rsidP="00DA651F">
            <w:pPr>
              <w:pStyle w:val="Table"/>
              <w:jc w:val="center"/>
              <w:rPr>
                <w:rFonts w:eastAsia="Calibri" w:cstheme="minorHAnsi"/>
                <w:szCs w:val="20"/>
              </w:rPr>
            </w:pPr>
            <w:r w:rsidRPr="008B3A2E">
              <w:rPr>
                <w:b/>
              </w:rPr>
              <w:t>Annual revenue</w:t>
            </w:r>
          </w:p>
          <w:p w14:paraId="4BCD6CD1" w14:textId="77777777" w:rsidR="002435CD" w:rsidRPr="008B3A2E" w:rsidRDefault="002435CD" w:rsidP="00DA651F">
            <w:pPr>
              <w:pStyle w:val="Table"/>
              <w:jc w:val="center"/>
              <w:rPr>
                <w:b/>
              </w:rPr>
            </w:pPr>
            <w:r w:rsidRPr="008B3A2E">
              <w:rPr>
                <w:b/>
              </w:rPr>
              <w:t>(€ million) in 2023</w:t>
            </w:r>
            <w:r w:rsidRPr="008B3A2E">
              <w:rPr>
                <w:rStyle w:val="FootnoteReference"/>
                <w:rFonts w:eastAsia="Calibri"/>
                <w:b/>
                <w:szCs w:val="20"/>
              </w:rPr>
              <w:footnoteReference w:id="769"/>
            </w:r>
          </w:p>
        </w:tc>
      </w:tr>
      <w:tr w:rsidR="002435CD" w:rsidRPr="00EA4C9B" w14:paraId="69851B88" w14:textId="77777777" w:rsidTr="004F0767">
        <w:trPr>
          <w:trHeight w:val="300"/>
        </w:trPr>
        <w:tc>
          <w:tcPr>
            <w:tcW w:w="1805" w:type="pct"/>
            <w:tcBorders>
              <w:left w:val="single" w:sz="6" w:space="0" w:color="auto"/>
            </w:tcBorders>
          </w:tcPr>
          <w:p w14:paraId="4C49BD18" w14:textId="77777777" w:rsidR="002435CD" w:rsidRPr="00EA4C9B" w:rsidRDefault="002435CD" w:rsidP="008B3A2E">
            <w:pPr>
              <w:pStyle w:val="Table"/>
            </w:pPr>
            <w:r w:rsidRPr="00EA4C9B">
              <w:t>Tax on volatile organic compounds</w:t>
            </w:r>
          </w:p>
        </w:tc>
        <w:tc>
          <w:tcPr>
            <w:tcW w:w="1508" w:type="pct"/>
            <w:tcBorders>
              <w:left w:val="single" w:sz="6" w:space="0" w:color="auto"/>
            </w:tcBorders>
            <w:tcMar>
              <w:left w:w="105" w:type="dxa"/>
              <w:right w:w="105" w:type="dxa"/>
            </w:tcMar>
          </w:tcPr>
          <w:p w14:paraId="43E82BBE" w14:textId="77777777" w:rsidR="002435CD" w:rsidRPr="00EA4C9B" w:rsidRDefault="002435CD" w:rsidP="00DA651F">
            <w:pPr>
              <w:pStyle w:val="Table"/>
              <w:jc w:val="center"/>
            </w:pPr>
            <w:r w:rsidRPr="00EA4C9B">
              <w:t>Pollution tax</w:t>
            </w:r>
          </w:p>
        </w:tc>
        <w:tc>
          <w:tcPr>
            <w:tcW w:w="1687" w:type="pct"/>
            <w:tcBorders>
              <w:right w:val="single" w:sz="6" w:space="0" w:color="auto"/>
            </w:tcBorders>
            <w:tcMar>
              <w:left w:w="105" w:type="dxa"/>
              <w:right w:w="105" w:type="dxa"/>
            </w:tcMar>
          </w:tcPr>
          <w:p w14:paraId="3CE2F2B0" w14:textId="77777777" w:rsidR="002435CD" w:rsidRPr="00EA4C9B" w:rsidRDefault="002435CD" w:rsidP="00DA651F">
            <w:pPr>
              <w:pStyle w:val="Table"/>
              <w:jc w:val="center"/>
            </w:pPr>
            <w:r w:rsidRPr="00EA4C9B">
              <w:t>0.07</w:t>
            </w:r>
          </w:p>
        </w:tc>
      </w:tr>
      <w:bookmarkEnd w:id="309"/>
    </w:tbl>
    <w:p w14:paraId="327E2931" w14:textId="77777777" w:rsidR="002435CD" w:rsidRPr="00EA4C9B" w:rsidRDefault="002435CD" w:rsidP="009E1B64">
      <w:pPr>
        <w:pStyle w:val="Bulletlist"/>
        <w:numPr>
          <w:ilvl w:val="0"/>
          <w:numId w:val="0"/>
        </w:numPr>
      </w:pPr>
    </w:p>
    <w:p w14:paraId="2CFF0F26" w14:textId="67E5D953" w:rsidR="002435CD" w:rsidRPr="00EA4C9B" w:rsidRDefault="002435CD" w:rsidP="002435CD">
      <w:r w:rsidRPr="00EA4C9B">
        <w:t xml:space="preserve">An </w:t>
      </w:r>
      <w:r w:rsidRPr="00EA4C9B">
        <w:rPr>
          <w:b/>
          <w:bCs/>
        </w:rPr>
        <w:t>environmental tax for environmental pollution due to wastewater discharge</w:t>
      </w:r>
      <w:r w:rsidR="00245941">
        <w:rPr>
          <w:rStyle w:val="FootnoteReference"/>
          <w:b/>
          <w:bCs/>
        </w:rPr>
        <w:footnoteReference w:id="770"/>
      </w:r>
      <w:r w:rsidRPr="00EA4C9B">
        <w:t xml:space="preserve"> currently applies in Slovenia and has been in place since 1996. Anyone who pollutes the environment by discharging wastewater in the course of their activity is liable for the payment of an environmental levy</w:t>
      </w:r>
      <w:r w:rsidRPr="00EA4C9B">
        <w:rPr>
          <w:rStyle w:val="FootnoteReference"/>
        </w:rPr>
        <w:footnoteReference w:id="771"/>
      </w:r>
      <w:r w:rsidRPr="00EA4C9B">
        <w:t>. The levy comes under two types of legislation including:</w:t>
      </w:r>
    </w:p>
    <w:p w14:paraId="4FF4F02F" w14:textId="77777777" w:rsidR="002435CD" w:rsidRPr="00EA4C9B" w:rsidRDefault="002435CD" w:rsidP="009E1B64">
      <w:pPr>
        <w:pStyle w:val="Bulletlist"/>
      </w:pPr>
      <w:r w:rsidRPr="00EA4C9B">
        <w:t>The regulation on an environmental levy on pollution cause by discharges of wastewater</w:t>
      </w:r>
      <w:r w:rsidRPr="0DB99A64">
        <w:rPr>
          <w:rStyle w:val="FootnoteReference"/>
        </w:rPr>
        <w:footnoteReference w:id="772"/>
      </w:r>
    </w:p>
    <w:p w14:paraId="10357888" w14:textId="7378832D" w:rsidR="002435CD" w:rsidRPr="00EA4C9B" w:rsidRDefault="002435CD" w:rsidP="009E1B64">
      <w:pPr>
        <w:pStyle w:val="Bulletlist"/>
      </w:pPr>
      <w:r w:rsidRPr="00EA4C9B">
        <w:t>Regulations on the first measurements and operational monitoring of wastewater</w:t>
      </w:r>
      <w:r w:rsidRPr="0DB99A64">
        <w:rPr>
          <w:rStyle w:val="FootnoteReference"/>
        </w:rPr>
        <w:footnoteReference w:id="773"/>
      </w:r>
    </w:p>
    <w:p w14:paraId="19AA4F32" w14:textId="7628323D" w:rsidR="002435CD" w:rsidRPr="00EA4C9B" w:rsidRDefault="002435CD" w:rsidP="002435CD">
      <w:r w:rsidRPr="00EA4C9B">
        <w:t>The types of pollution for which an environmental charge is payable includes industrial and urban wastewater. No environmental charge shall be payable for pollution resulting from certain discharges. First, no charge shall apply to discharges of wastewater where the regulation governing the emission of the substances and heat during the discharge of wastewater into waters and public sewage does not apply to the management of that wastewater.</w:t>
      </w:r>
    </w:p>
    <w:p w14:paraId="452DF4DA" w14:textId="7F1C3ACE" w:rsidR="002435CD" w:rsidRPr="00EA4C9B" w:rsidRDefault="002435CD" w:rsidP="002435CD">
      <w:r w:rsidRPr="00EA4C9B">
        <w:lastRenderedPageBreak/>
        <w:t xml:space="preserve">Second, no charge shall apply to urban wastewater generated on an agricultural holding and collected in a non-flowing septic tank, provided that it is used as fertiliser in accordance with the regulation on the use of sludge from urban wastewater treatment plants in agriculture. In such cases, the owner of the facility must also submit a written statement to the payer of the environmental duty, in line with the regulation on the discharge and treatment of urban wastewater. </w:t>
      </w:r>
    </w:p>
    <w:p w14:paraId="087C79B3" w14:textId="332AAC8D" w:rsidR="002435CD" w:rsidRPr="00EA4C9B" w:rsidRDefault="002435CD" w:rsidP="002435CD">
      <w:r w:rsidRPr="00EA4C9B">
        <w:t>Third, no charge shall apply to urban wastewater generated in a one-dwelling or multi-dwelling that has no registered residents, where the consumption of drinking water is not measured by abstraction from the drinking water supply system, and where no economic activity takes place in the building</w:t>
      </w:r>
      <w:r w:rsidRPr="00EA4C9B">
        <w:rPr>
          <w:rStyle w:val="FootnoteReference"/>
        </w:rPr>
        <w:footnoteReference w:id="774"/>
      </w:r>
      <w:r w:rsidRPr="00EA4C9B">
        <w:t xml:space="preserve">. </w:t>
      </w:r>
    </w:p>
    <w:p w14:paraId="2F60F3A7" w14:textId="45199073" w:rsidR="002435CD" w:rsidRPr="00EA4C9B" w:rsidRDefault="002435CD" w:rsidP="002435CD">
      <w:r w:rsidRPr="00EA4C9B">
        <w:t xml:space="preserve">The basis of calculating the environmental tax is the sum of the unit of “environmental burden” achieved by direct or indirect discharge of wastewater or discharge of wastewater into water bodies through public sewers. The current amount of the environmental tax on environmental protection due to wastewater discharge is </w:t>
      </w:r>
      <w:r w:rsidRPr="0DB99A64">
        <w:t>€</w:t>
      </w:r>
      <w:r w:rsidRPr="00EA4C9B">
        <w:t>26,4165 per pollution unit. It’s unclear from the source what is meant by a unit of environmental burden or how it is calculated. Therefore, we have contracted the General Finance office for more information [awaiting response]</w:t>
      </w:r>
      <w:r w:rsidRPr="00EA4C9B">
        <w:rPr>
          <w:rStyle w:val="FootnoteReference"/>
        </w:rPr>
        <w:footnoteReference w:id="775"/>
      </w:r>
      <w:r w:rsidRPr="00EA4C9B">
        <w:t>.  The amount of the environmental tax on environmental protection due to wastewater discharge is determined by the Government of the Republic of Slovenia</w:t>
      </w:r>
      <w:r w:rsidRPr="00EA4C9B">
        <w:rPr>
          <w:rStyle w:val="FootnoteReference"/>
        </w:rPr>
        <w:footnoteReference w:id="776"/>
      </w:r>
      <w:r w:rsidRPr="00EA4C9B">
        <w:t xml:space="preserve">. </w:t>
      </w:r>
    </w:p>
    <w:p w14:paraId="35702184" w14:textId="77777777" w:rsidR="002435CD" w:rsidRPr="00EA4C9B" w:rsidRDefault="002435CD" w:rsidP="002435CD">
      <w:r w:rsidRPr="00EA4C9B">
        <w:t>On the basis of the Report on Operational Monitoring of Wastewater</w:t>
      </w:r>
      <w:r w:rsidRPr="00EA4C9B">
        <w:rPr>
          <w:rStyle w:val="FootnoteReference"/>
        </w:rPr>
        <w:footnoteReference w:id="777"/>
      </w:r>
      <w:r w:rsidRPr="00EA4C9B">
        <w:t xml:space="preserve"> for the previous year, taxpayers must prepare a three-month statement of the environmental tax for industrial wastewater discharge and submit it to the locally competent financial authority via the e-TROD information system on the form published on the website of the Financial Administration:</w:t>
      </w:r>
    </w:p>
    <w:p w14:paraId="29C2823F" w14:textId="77777777" w:rsidR="002435CD" w:rsidRPr="00EA4C9B" w:rsidRDefault="002435CD" w:rsidP="009E1B64">
      <w:pPr>
        <w:pStyle w:val="Bulletlist"/>
      </w:pPr>
      <w:r w:rsidRPr="00EA4C9B">
        <w:t>For the first trimester, by 25 April of the current year at the latest,</w:t>
      </w:r>
    </w:p>
    <w:p w14:paraId="260B74B1" w14:textId="77777777" w:rsidR="002435CD" w:rsidRPr="00EA4C9B" w:rsidRDefault="002435CD" w:rsidP="009E1B64">
      <w:pPr>
        <w:pStyle w:val="Bulletlist"/>
      </w:pPr>
      <w:r w:rsidRPr="00EA4C9B">
        <w:t>For the second trimester, not later than 25 July of the current year,</w:t>
      </w:r>
    </w:p>
    <w:p w14:paraId="208880EC" w14:textId="77777777" w:rsidR="002435CD" w:rsidRPr="00EA4C9B" w:rsidRDefault="002435CD" w:rsidP="009E1B64">
      <w:pPr>
        <w:pStyle w:val="Bulletlist"/>
      </w:pPr>
      <w:r w:rsidRPr="00EA4C9B">
        <w:t>For the third trimester, no later than 25 October of the current year, and</w:t>
      </w:r>
    </w:p>
    <w:p w14:paraId="2FC69050" w14:textId="77777777" w:rsidR="002435CD" w:rsidRPr="00EA4C9B" w:rsidRDefault="002435CD" w:rsidP="009E1B64">
      <w:pPr>
        <w:pStyle w:val="Bulletlist"/>
      </w:pPr>
      <w:r w:rsidRPr="00EA4C9B">
        <w:t>For the fourth trimester, not later than 25 January of the previous year.</w:t>
      </w:r>
    </w:p>
    <w:p w14:paraId="2BEE7796" w14:textId="254320C6" w:rsidR="002435CD" w:rsidRPr="00EA4C9B" w:rsidRDefault="75EEB342" w:rsidP="002435CD">
      <w:r w:rsidRPr="00EA4C9B">
        <w:t xml:space="preserve">According to information from the </w:t>
      </w:r>
      <w:r w:rsidR="00CA0C24">
        <w:t>‘D</w:t>
      </w:r>
      <w:r w:rsidR="00CF508E">
        <w:t>irective on Drinking, Bathing and Urban Wastewater’</w:t>
      </w:r>
      <w:r w:rsidR="00CF508E">
        <w:rPr>
          <w:rStyle w:val="FootnoteReference"/>
        </w:rPr>
        <w:footnoteReference w:id="778"/>
      </w:r>
      <w:r w:rsidRPr="00EA4C9B">
        <w:t xml:space="preserve">, </w:t>
      </w:r>
      <w:r w:rsidR="002A6689">
        <w:t>62.9</w:t>
      </w:r>
      <w:r w:rsidRPr="00EA4C9B">
        <w:t>% of the urban wastewater in Slovenia is treated according to the requirements of the Urban Waste Water Treatment Directive (UWWTD) and this is below the EU average of 75.9% suggesting that the tax is not as effective as it could be. In terms of investment for collecting and treating urban wastewater, Slovenia is below the EU average of (</w:t>
      </w:r>
      <w:r w:rsidRPr="343C71E8">
        <w:t>€</w:t>
      </w:r>
      <w:r w:rsidRPr="00EA4C9B">
        <w:t xml:space="preserve">43 compared to </w:t>
      </w:r>
      <w:r w:rsidRPr="343C71E8">
        <w:t xml:space="preserve">€49 per citizen every year). </w:t>
      </w:r>
      <w:r w:rsidRPr="00EA4C9B">
        <w:t>However, between the years 2016 and 2020, Slovenia has got closer to the target for:</w:t>
      </w:r>
    </w:p>
    <w:p w14:paraId="766E7F4B" w14:textId="77777777" w:rsidR="002435CD" w:rsidRPr="00EA4C9B" w:rsidRDefault="002435CD" w:rsidP="009E1B64">
      <w:pPr>
        <w:pStyle w:val="Bulletlist"/>
      </w:pPr>
      <w:r w:rsidRPr="00EA4C9B">
        <w:t>collection of urban wastewater</w:t>
      </w:r>
    </w:p>
    <w:p w14:paraId="08165D3B" w14:textId="77777777" w:rsidR="002435CD" w:rsidRPr="00EA4C9B" w:rsidRDefault="002435CD" w:rsidP="009E1B64">
      <w:pPr>
        <w:pStyle w:val="Bulletlist"/>
      </w:pPr>
      <w:r w:rsidRPr="00EA4C9B">
        <w:t>for biological treatment of urban wastewater</w:t>
      </w:r>
    </w:p>
    <w:p w14:paraId="5D035302" w14:textId="77777777" w:rsidR="002435CD" w:rsidRPr="00EA4C9B" w:rsidRDefault="002435CD" w:rsidP="009E1B64">
      <w:pPr>
        <w:pStyle w:val="Bulletlist"/>
      </w:pPr>
      <w:r w:rsidRPr="00EA4C9B">
        <w:t xml:space="preserve">for biological treatment of urban wastewater with nitrogen and phosphorus removal. </w:t>
      </w:r>
    </w:p>
    <w:p w14:paraId="639464DE" w14:textId="77777777" w:rsidR="002435CD" w:rsidRPr="00EA4C9B" w:rsidRDefault="002435CD" w:rsidP="009E1B64">
      <w:pPr>
        <w:pStyle w:val="Bulletlist"/>
        <w:numPr>
          <w:ilvl w:val="0"/>
          <w:numId w:val="0"/>
        </w:numPr>
      </w:pPr>
    </w:p>
    <w:p w14:paraId="4EEE7D20" w14:textId="5CFA9697" w:rsidR="002435CD" w:rsidRPr="00EA4C9B" w:rsidRDefault="002435CD" w:rsidP="009E1B64">
      <w:pPr>
        <w:pStyle w:val="Bulletlist"/>
        <w:numPr>
          <w:ilvl w:val="0"/>
          <w:numId w:val="0"/>
        </w:numPr>
      </w:pPr>
      <w:r w:rsidRPr="00EA4C9B">
        <w:t xml:space="preserve">There are multiple taxes on waste pollution in Slovenia. These are described below. </w:t>
      </w:r>
    </w:p>
    <w:p w14:paraId="2E4324B8" w14:textId="77777777" w:rsidR="002435CD" w:rsidRPr="00EA4C9B" w:rsidRDefault="002435CD" w:rsidP="009E1B64">
      <w:pPr>
        <w:pStyle w:val="Bulletlist"/>
        <w:numPr>
          <w:ilvl w:val="0"/>
          <w:numId w:val="0"/>
        </w:numPr>
      </w:pPr>
    </w:p>
    <w:p w14:paraId="42DEDB71" w14:textId="14BA1D3C" w:rsidR="002435CD" w:rsidRPr="00EA4C9B" w:rsidRDefault="002435CD" w:rsidP="00245941">
      <w:pPr>
        <w:pStyle w:val="Bulletlist"/>
        <w:numPr>
          <w:ilvl w:val="0"/>
          <w:numId w:val="0"/>
        </w:numPr>
      </w:pPr>
      <w:r w:rsidRPr="00EA4C9B">
        <w:rPr>
          <w:b/>
          <w:bCs/>
        </w:rPr>
        <w:lastRenderedPageBreak/>
        <w:t>Waste disposal</w:t>
      </w:r>
      <w:r w:rsidR="00245941">
        <w:rPr>
          <w:rStyle w:val="FootnoteReference"/>
          <w:b/>
          <w:bCs/>
        </w:rPr>
        <w:footnoteReference w:id="779"/>
      </w:r>
      <w:r w:rsidR="00245941">
        <w:t xml:space="preserve">. </w:t>
      </w:r>
      <w:r w:rsidRPr="00EA4C9B">
        <w:t>Based on the regulation on environmental tax for pollution caused by the disposal of waste in landfills</w:t>
      </w:r>
      <w:r w:rsidRPr="00EA4C9B">
        <w:rPr>
          <w:rStyle w:val="FootnoteReference"/>
        </w:rPr>
        <w:footnoteReference w:id="780"/>
      </w:r>
      <w:r w:rsidRPr="00EA4C9B">
        <w:t>, which entered into force on 22 February 2014, an environmental levy is paid for pollution resulting from waste disposal in landfills for inert waste, non-hazardous waste, or hazardous waste</w:t>
      </w:r>
      <w:r w:rsidRPr="00EA4C9B">
        <w:rPr>
          <w:rStyle w:val="FootnoteReference"/>
        </w:rPr>
        <w:footnoteReference w:id="781"/>
      </w:r>
      <w:r w:rsidRPr="00EA4C9B">
        <w:t xml:space="preserve">. This tax is payable for waste deposited in both industrial landfills (with the state as the tax recipient) and public dumping grounds (with local communities as the tax recipients). The environmental tax is not paid for waste used to cover a landfill in accordance with the Regulation on Landfills. </w:t>
      </w:r>
    </w:p>
    <w:p w14:paraId="4F060FBD" w14:textId="355FA4C0" w:rsidR="002435CD" w:rsidRPr="00EA4C9B" w:rsidRDefault="002435CD" w:rsidP="002435CD">
      <w:r w:rsidRPr="00EA4C9B">
        <w:t xml:space="preserve">The basis for calculating the environmental tax is the environmental burden unit, which is equal to one kilogram of waste deposited at the landfill. The number of environmental burden units per kilogram of each type of deposited waste is: </w:t>
      </w:r>
    </w:p>
    <w:p w14:paraId="3696B455" w14:textId="77777777" w:rsidR="002435CD" w:rsidRPr="00EA4C9B" w:rsidRDefault="002435CD" w:rsidP="009B400E">
      <w:pPr>
        <w:pStyle w:val="Bulletlist"/>
        <w:numPr>
          <w:ilvl w:val="0"/>
          <w:numId w:val="20"/>
        </w:numPr>
      </w:pPr>
      <w:r w:rsidRPr="00EA4C9B">
        <w:t>1 unit of environmental impact per kilogram of inert waste,</w:t>
      </w:r>
    </w:p>
    <w:p w14:paraId="4E90DF38" w14:textId="77777777" w:rsidR="002435CD" w:rsidRPr="00EA4C9B" w:rsidRDefault="002435CD" w:rsidP="009B400E">
      <w:pPr>
        <w:pStyle w:val="Bulletlist"/>
        <w:numPr>
          <w:ilvl w:val="0"/>
          <w:numId w:val="20"/>
        </w:numPr>
      </w:pPr>
      <w:r w:rsidRPr="00EA4C9B">
        <w:t>5 environmental load units per kilogram of non-hazardous waste</w:t>
      </w:r>
    </w:p>
    <w:p w14:paraId="26D045FB" w14:textId="77777777" w:rsidR="002435CD" w:rsidRPr="00EA4C9B" w:rsidRDefault="002435CD" w:rsidP="009B400E">
      <w:pPr>
        <w:pStyle w:val="Bulletlist"/>
        <w:numPr>
          <w:ilvl w:val="0"/>
          <w:numId w:val="20"/>
        </w:numPr>
      </w:pPr>
      <w:r w:rsidRPr="00EA4C9B">
        <w:t xml:space="preserve">10 environmental load units per kilogram of hazardous waste </w:t>
      </w:r>
    </w:p>
    <w:p w14:paraId="0BFC4680" w14:textId="3AF4948F" w:rsidR="002435CD" w:rsidRPr="00EA4C9B" w:rsidRDefault="002435CD" w:rsidP="002435CD">
      <w:r w:rsidRPr="00EA4C9B">
        <w:t xml:space="preserve">The amount of the environmental tax per unit of environmental burden is determined by the Government of the Republic of Slovenia by a decision published in the Official Gazette of the Republic of Slovenia. Until the publication of the decision, the amount of the environmental tax per unit of burden is </w:t>
      </w:r>
      <w:r w:rsidRPr="0DB99A64">
        <w:t>€</w:t>
      </w:r>
      <w:r w:rsidRPr="00EA4C9B">
        <w:t>0.0022</w:t>
      </w:r>
      <w:r w:rsidRPr="00EA4C9B">
        <w:rPr>
          <w:rStyle w:val="FootnoteReference"/>
        </w:rPr>
        <w:footnoteReference w:id="782"/>
      </w:r>
      <w:r w:rsidRPr="00EA4C9B">
        <w:rPr>
          <w:rStyle w:val="FootnoteReference"/>
        </w:rPr>
        <w:footnoteReference w:id="783"/>
      </w:r>
      <w:r w:rsidRPr="00EA4C9B">
        <w:t>.</w:t>
      </w:r>
    </w:p>
    <w:p w14:paraId="2F8E4257" w14:textId="6D23D661" w:rsidR="002435CD" w:rsidRPr="00EA4C9B" w:rsidRDefault="00245941" w:rsidP="002435CD">
      <w:r w:rsidRPr="00245941">
        <w:t>The</w:t>
      </w:r>
      <w:r>
        <w:rPr>
          <w:b/>
          <w:bCs/>
        </w:rPr>
        <w:t xml:space="preserve"> t</w:t>
      </w:r>
      <w:r w:rsidR="002435CD" w:rsidRPr="00EA4C9B">
        <w:rPr>
          <w:b/>
          <w:bCs/>
        </w:rPr>
        <w:t>ax on waste from electrical and electronic equipment from households</w:t>
      </w:r>
      <w:r>
        <w:rPr>
          <w:rStyle w:val="FootnoteReference"/>
          <w:b/>
          <w:bCs/>
        </w:rPr>
        <w:footnoteReference w:id="784"/>
      </w:r>
      <w:r w:rsidR="002435CD" w:rsidRPr="00EA4C9B">
        <w:t xml:space="preserve"> has been in force since 2006 and has been revised a couple of times - once in 2008, due to the expansion of the definition of electrical equipment to include accumulators and batteries, and again in 2022, following the decree on the environmental tax on the generation of waste electrical and electronic equipment and waste portable batteries and accumulators. The list of Electrical and Electronic Equipment (EEE) contains approximately 511 tariff codes, including items such as portable batteries and accumulators. These are categorised into seven different pollution units. The tax bases are an annual fee of €33.38 and an environmental pollution unit charge of €0.0083. The number of load units for EEE classes and portable batteries and accumulators are determined in annex 2</w:t>
      </w:r>
      <w:r w:rsidR="002435CD" w:rsidRPr="00EA4C9B">
        <w:rPr>
          <w:rStyle w:val="FootnoteReference"/>
        </w:rPr>
        <w:footnoteReference w:id="785"/>
      </w:r>
      <w:r w:rsidR="002435CD" w:rsidRPr="00EA4C9B">
        <w:t xml:space="preserve"> in the regulation on the environmental liabilities for environmental pollution due to waste generation electrical and electronic equipment and water portable batteries and batteries. </w:t>
      </w:r>
    </w:p>
    <w:p w14:paraId="66BA2F0D" w14:textId="0B66A97D" w:rsidR="002435CD" w:rsidRPr="00EA4C9B" w:rsidRDefault="002435CD" w:rsidP="002435CD">
      <w:r w:rsidRPr="00EA4C9B">
        <w:t>Taxpayers are producers and acquirers (including importers) of EEE. However, producers and acquirers are exempt if their annual EEE amount is less than 1,500 kg, provided they use the EEE as end-users for purposes other than manufacturing, repairing, or maintaining any equipment containing EEE. A person who exports EEE, on which environmental tax has already been paid, to another EU Member State or outside the EU territory is entitled to a refund</w:t>
      </w:r>
      <w:r w:rsidRPr="00EA4C9B">
        <w:rPr>
          <w:rStyle w:val="FootnoteReference"/>
        </w:rPr>
        <w:footnoteReference w:id="786"/>
      </w:r>
      <w:r w:rsidRPr="00EA4C9B">
        <w:t xml:space="preserve">. </w:t>
      </w:r>
    </w:p>
    <w:p w14:paraId="506A2073" w14:textId="7C80E74A" w:rsidR="002435CD" w:rsidRPr="00EA4C9B" w:rsidRDefault="002435CD" w:rsidP="002435CD">
      <w:r w:rsidRPr="00EA4C9B">
        <w:t>A producer of EEE is a legal person or a self-employed person, who:</w:t>
      </w:r>
    </w:p>
    <w:p w14:paraId="488DC6CC" w14:textId="34D202C0" w:rsidR="002435CD" w:rsidRPr="00EA4C9B" w:rsidRDefault="002435CD" w:rsidP="009E1B64">
      <w:pPr>
        <w:pStyle w:val="Bulletlist"/>
      </w:pPr>
      <w:r w:rsidRPr="00EA4C9B">
        <w:lastRenderedPageBreak/>
        <w:t>Regardless of the sales method used, including online sales, and in accordance with consumer protection regulations:</w:t>
      </w:r>
    </w:p>
    <w:p w14:paraId="0210499E" w14:textId="77777777" w:rsidR="002435CD" w:rsidRPr="00EA4C9B" w:rsidRDefault="002435CD" w:rsidP="009E1B64">
      <w:pPr>
        <w:pStyle w:val="Bulletlist2"/>
      </w:pPr>
      <w:r w:rsidRPr="00EA4C9B">
        <w:t>Is established in the Republic of Slovenia (RS) and produces EEE under their own name or trademark or has designed or manufactured EEE and subsequently markets it under their own name or trademark within the RS.</w:t>
      </w:r>
    </w:p>
    <w:p w14:paraId="45E4ED24" w14:textId="77777777" w:rsidR="002435CD" w:rsidRPr="00EA4C9B" w:rsidRDefault="002435CD" w:rsidP="009E1B64">
      <w:pPr>
        <w:pStyle w:val="Bulletlist2"/>
      </w:pPr>
      <w:r w:rsidRPr="00EA4C9B">
        <w:t>Is established in the RS and sells EEE manufactured by other suppliers under their own name or trademark within the RS. A reseller is not considered a producer if the producer’s trademark, as defined in the previous point, is visible on the EEE.</w:t>
      </w:r>
    </w:p>
    <w:p w14:paraId="5F11A025" w14:textId="2DD8C611" w:rsidR="002435CD" w:rsidRPr="00EA4C9B" w:rsidRDefault="002435CD" w:rsidP="009E1B64">
      <w:pPr>
        <w:pStyle w:val="Bulletlist2"/>
      </w:pPr>
      <w:r w:rsidRPr="00EA4C9B">
        <w:t>Is established in the RS and, in the course of business, places EEE from a third country or another EU Member State on the market in the RS; or</w:t>
      </w:r>
    </w:p>
    <w:p w14:paraId="12B5E666" w14:textId="77777777" w:rsidR="002435CD" w:rsidRPr="00EA4C9B" w:rsidRDefault="002435CD" w:rsidP="009E1B64">
      <w:pPr>
        <w:pStyle w:val="Bulletlist"/>
      </w:pPr>
      <w:r w:rsidRPr="00EA4C9B">
        <w:t>acquires EEE in another EU Member State and introduces it into the territory of the RS or imports it from third countries and uses it as an end-user for the purpose of conducting their activities.</w:t>
      </w:r>
    </w:p>
    <w:p w14:paraId="31507535" w14:textId="77777777" w:rsidR="002435CD" w:rsidRPr="00EA4C9B" w:rsidRDefault="002435CD" w:rsidP="009E1B64">
      <w:pPr>
        <w:pStyle w:val="Bulletlist"/>
        <w:numPr>
          <w:ilvl w:val="0"/>
          <w:numId w:val="0"/>
        </w:numPr>
        <w:ind w:left="709"/>
      </w:pPr>
    </w:p>
    <w:p w14:paraId="0468B1F4" w14:textId="77777777" w:rsidR="002435CD" w:rsidRPr="00EA4C9B" w:rsidRDefault="002435CD" w:rsidP="009E1B64">
      <w:pPr>
        <w:pStyle w:val="Bulletlist"/>
        <w:numPr>
          <w:ilvl w:val="0"/>
          <w:numId w:val="0"/>
        </w:numPr>
        <w:ind w:left="709"/>
      </w:pPr>
      <w:r w:rsidRPr="00EA4C9B">
        <w:t>A company established in another EU Member State, that sells EEE to end-users in the RS via the Internet, must designate a legal person or a self-employed person established in the RS as its authorized representative, to fulfil its obligations as an EEE producer. This representative is contractually authorized to fulfil the company’s obligations as an EEE producer.</w:t>
      </w:r>
    </w:p>
    <w:p w14:paraId="1D228FBC" w14:textId="77777777" w:rsidR="002435CD" w:rsidRPr="00EA4C9B" w:rsidRDefault="002435CD" w:rsidP="009E1B64">
      <w:pPr>
        <w:pStyle w:val="Bulletlist"/>
        <w:numPr>
          <w:ilvl w:val="0"/>
          <w:numId w:val="0"/>
        </w:numPr>
        <w:ind w:left="709"/>
      </w:pPr>
    </w:p>
    <w:p w14:paraId="52DAC1F8" w14:textId="3F7F9922" w:rsidR="002435CD" w:rsidRPr="00EA4C9B" w:rsidRDefault="002435CD" w:rsidP="009E1B64">
      <w:pPr>
        <w:pStyle w:val="Bulletlist"/>
        <w:numPr>
          <w:ilvl w:val="0"/>
          <w:numId w:val="0"/>
        </w:numPr>
        <w:ind w:left="709"/>
      </w:pPr>
      <w:r w:rsidRPr="00EA4C9B">
        <w:t>A legal person or a self-employed person that is chosen by the company is defined in Article 18 of the Waste Electrical and Electronic Equipment Regulation (WEEE Regulation, Official Journal of the Republic of Slovenia, No. 55/15, 47/16, 72/18, 84/18 - ZIURKOE, 108/20 and 44/22 - ZVO-2). An authorized representative is therefore a person established in the Republic of Slovenia who has been authorized by an EEE producer not established in the Republic of Slovenia to fulfil his obligations. The obligations towards the Financial Administration of the Republic of Slovenia which the authorized representative performs on behalf of the foreign producer refer to the provisions of the Regulation on the environmental charge for environmental pollution caused by waste electrical and electronic equipment and waste portable batteries and accumulators (Official Journal of the Republic of Slovenia, No 84/18 and 44/22 - ZVO-2)</w:t>
      </w:r>
      <w:r w:rsidRPr="0DB99A64">
        <w:rPr>
          <w:rStyle w:val="FootnoteReference"/>
        </w:rPr>
        <w:footnoteReference w:id="787"/>
      </w:r>
      <w:r w:rsidRPr="00EA4C9B">
        <w:t>.</w:t>
      </w:r>
    </w:p>
    <w:p w14:paraId="2D501B04" w14:textId="77777777" w:rsidR="002435CD" w:rsidRPr="00EA4C9B" w:rsidRDefault="002435CD" w:rsidP="009E1B64">
      <w:pPr>
        <w:pStyle w:val="Bulletlist"/>
        <w:numPr>
          <w:ilvl w:val="0"/>
          <w:numId w:val="0"/>
        </w:numPr>
      </w:pPr>
    </w:p>
    <w:p w14:paraId="49CD1555" w14:textId="7712711D" w:rsidR="002435CD" w:rsidRPr="00245941" w:rsidRDefault="00245941" w:rsidP="00245941">
      <w:pPr>
        <w:pStyle w:val="Bulletlist"/>
        <w:numPr>
          <w:ilvl w:val="0"/>
          <w:numId w:val="0"/>
        </w:numPr>
        <w:rPr>
          <w:b/>
          <w:bCs/>
        </w:rPr>
      </w:pPr>
      <w:r>
        <w:t xml:space="preserve">The </w:t>
      </w:r>
      <w:r>
        <w:rPr>
          <w:b/>
          <w:bCs/>
        </w:rPr>
        <w:t>t</w:t>
      </w:r>
      <w:r w:rsidR="002435CD" w:rsidRPr="00DA651F">
        <w:rPr>
          <w:b/>
          <w:bCs/>
        </w:rPr>
        <w:t>ax on waste from pneumatic tyres</w:t>
      </w:r>
      <w:r>
        <w:rPr>
          <w:rStyle w:val="FootnoteReference"/>
          <w:b/>
          <w:bCs/>
        </w:rPr>
        <w:footnoteReference w:id="788"/>
      </w:r>
      <w:r w:rsidR="002435CD" w:rsidRPr="00DA651F">
        <w:rPr>
          <w:b/>
          <w:bCs/>
        </w:rPr>
        <w:t xml:space="preserve"> </w:t>
      </w:r>
      <w:r w:rsidR="002435CD" w:rsidRPr="00EA4C9B">
        <w:t>has been in force since 2006 and was revised in 2022 due to the regulation on environmental tax on the generation of waste pneumatic tyres</w:t>
      </w:r>
      <w:r w:rsidR="006453CA">
        <w:t xml:space="preserve"> </w:t>
      </w:r>
      <w:r w:rsidR="002435CD" w:rsidRPr="00EA4C9B">
        <w:t>coming into force</w:t>
      </w:r>
      <w:r w:rsidR="002435CD" w:rsidRPr="00EA4C9B">
        <w:rPr>
          <w:rStyle w:val="FootnoteReference"/>
        </w:rPr>
        <w:footnoteReference w:id="789"/>
      </w:r>
      <w:r w:rsidR="002435CD" w:rsidRPr="00EA4C9B">
        <w:t xml:space="preserve">. The basis for calculating the environmental tax includes: </w:t>
      </w:r>
    </w:p>
    <w:p w14:paraId="5BB84341" w14:textId="77777777" w:rsidR="002435CD" w:rsidRPr="00EA4C9B" w:rsidRDefault="002435CD" w:rsidP="009B400E">
      <w:pPr>
        <w:pStyle w:val="ListParagraph"/>
        <w:numPr>
          <w:ilvl w:val="0"/>
          <w:numId w:val="21"/>
        </w:numPr>
      </w:pPr>
      <w:r w:rsidRPr="00EA4C9B">
        <w:t>An annual fee for maintaining records of persons liable to pay the environmental tax (hereinafter referred to as the “the fee”) amounting to €33.38 per year. An instalment of the annual fee, in the amount of €8.35, is included in each invoice.</w:t>
      </w:r>
    </w:p>
    <w:p w14:paraId="46F90B99" w14:textId="77777777" w:rsidR="002435CD" w:rsidRPr="00EA4C9B" w:rsidRDefault="002435CD" w:rsidP="009B400E">
      <w:pPr>
        <w:pStyle w:val="ListParagraph"/>
        <w:numPr>
          <w:ilvl w:val="0"/>
          <w:numId w:val="21"/>
        </w:numPr>
      </w:pPr>
      <w:r w:rsidRPr="00EA4C9B">
        <w:rPr>
          <w:rFonts w:cstheme="minorHAnsi"/>
        </w:rPr>
        <w:t xml:space="preserve">A unit of environmental burden resulting from the generation of used tires (hereinafter referred to as “unit of burden”), based on the mass of 1 kg of tires. The amount per unit of burden is €0.0054. </w:t>
      </w:r>
    </w:p>
    <w:p w14:paraId="5B3ED781" w14:textId="77777777" w:rsidR="002435CD" w:rsidRPr="00EA4C9B" w:rsidRDefault="002435CD" w:rsidP="002435CD">
      <w:r w:rsidRPr="00EA4C9B">
        <w:lastRenderedPageBreak/>
        <w:t>The load unit is equal to the environmental load caused by a mass of 1kg of tires used for passenger motor vehicles. The number of load units for each type of tire or tire product is specified in Annex 1</w:t>
      </w:r>
      <w:r w:rsidRPr="00EA4C9B">
        <w:rPr>
          <w:rStyle w:val="FootnoteReference"/>
        </w:rPr>
        <w:footnoteReference w:id="790"/>
      </w:r>
      <w:r w:rsidRPr="00EA4C9B">
        <w:t xml:space="preserve"> of the regulation, which is an integral part of the regulation. </w:t>
      </w:r>
    </w:p>
    <w:p w14:paraId="14DE516C" w14:textId="77777777" w:rsidR="002435CD" w:rsidRPr="00EA4C9B" w:rsidRDefault="002435CD" w:rsidP="002435CD">
      <w:r w:rsidRPr="00EA4C9B">
        <w:t>The amount of the environmental tax for compensation and for the unit of burden is determined by the Government of the Republic of Slovenia with a resolution published in the Official Gazette of the Republic of Slovenia</w:t>
      </w:r>
      <w:r w:rsidRPr="00EA4C9B">
        <w:rPr>
          <w:rStyle w:val="FootnoteReference"/>
        </w:rPr>
        <w:footnoteReference w:id="791"/>
      </w:r>
      <w:r w:rsidRPr="00EA4C9B">
        <w:t xml:space="preserve">. </w:t>
      </w:r>
    </w:p>
    <w:p w14:paraId="2FE662BE" w14:textId="77777777" w:rsidR="002435CD" w:rsidRPr="00EA4C9B" w:rsidRDefault="002435CD" w:rsidP="002435CD">
      <w:r w:rsidRPr="00EA4C9B">
        <w:t>Taxpayers are producers, acquirers (including importers) of tyres and producers of retreaded tyres. A legal entity or sole proprietor who exports tyres or retreaded tyres, for which the environmental duty has been paid, to another EU Member State is entitled to a refund of the environmental duty paid, based on the total number of load units. This also applies to anyone who exports such tyres to other EU countries</w:t>
      </w:r>
      <w:r w:rsidRPr="00EA4C9B">
        <w:rPr>
          <w:rStyle w:val="FootnoteReference"/>
        </w:rPr>
        <w:footnoteReference w:id="792"/>
      </w:r>
      <w:r w:rsidRPr="00EA4C9B">
        <w:t xml:space="preserve">. </w:t>
      </w:r>
    </w:p>
    <w:p w14:paraId="6B299100" w14:textId="0686F2B2" w:rsidR="002435CD" w:rsidRPr="00245941" w:rsidRDefault="00245941" w:rsidP="00245941">
      <w:pPr>
        <w:pStyle w:val="Bulletlist"/>
        <w:numPr>
          <w:ilvl w:val="0"/>
          <w:numId w:val="0"/>
        </w:numPr>
        <w:rPr>
          <w:b/>
          <w:bCs/>
        </w:rPr>
      </w:pPr>
      <w:r>
        <w:t xml:space="preserve">The </w:t>
      </w:r>
      <w:r>
        <w:rPr>
          <w:b/>
          <w:bCs/>
        </w:rPr>
        <w:t>t</w:t>
      </w:r>
      <w:r w:rsidR="002435CD" w:rsidRPr="00DA651F">
        <w:rPr>
          <w:b/>
          <w:bCs/>
        </w:rPr>
        <w:t>ax on packaging waste</w:t>
      </w:r>
      <w:r>
        <w:rPr>
          <w:rStyle w:val="FootnoteReference"/>
          <w:b/>
          <w:bCs/>
        </w:rPr>
        <w:footnoteReference w:id="793"/>
      </w:r>
      <w:r w:rsidR="002435CD" w:rsidRPr="00DA651F">
        <w:rPr>
          <w:b/>
          <w:bCs/>
        </w:rPr>
        <w:t xml:space="preserve"> </w:t>
      </w:r>
      <w:r w:rsidR="002435CD" w:rsidRPr="00EA4C9B">
        <w:t>has been in force since 2006 and the tax is payable for all kinds of packing materials and for grave candles. The basis for calculating the environmental tax includes:</w:t>
      </w:r>
    </w:p>
    <w:p w14:paraId="34AC8DA9" w14:textId="77777777" w:rsidR="002435CD" w:rsidRPr="00EA4C9B" w:rsidRDefault="002435CD" w:rsidP="009B400E">
      <w:pPr>
        <w:pStyle w:val="ListParagraph"/>
        <w:numPr>
          <w:ilvl w:val="0"/>
          <w:numId w:val="22"/>
        </w:numPr>
      </w:pPr>
      <w:r w:rsidRPr="00EA4C9B">
        <w:t>An annual fee for maintaining records of persons liable to pay for environmental tax (hereinafter referred to as: fee), which amounts to €33.38 (a three-month fee instalment of €8.35 is calculated on each billing form); and</w:t>
      </w:r>
    </w:p>
    <w:p w14:paraId="5AC34C02" w14:textId="77777777" w:rsidR="002435CD" w:rsidRPr="00EA4C9B" w:rsidRDefault="002435CD" w:rsidP="009B400E">
      <w:pPr>
        <w:pStyle w:val="ListParagraph"/>
        <w:numPr>
          <w:ilvl w:val="0"/>
          <w:numId w:val="22"/>
        </w:numPr>
      </w:pPr>
      <w:r w:rsidRPr="00EA4C9B">
        <w:t>Unit of environmental burden due to the generation of packaging waste. The environmental burden units are specified in Annex 1 of the Packaging and Packaging Waste Directive</w:t>
      </w:r>
      <w:r w:rsidRPr="00EA4C9B">
        <w:rPr>
          <w:rStyle w:val="FootnoteReference"/>
        </w:rPr>
        <w:footnoteReference w:id="794"/>
      </w:r>
      <w:r w:rsidRPr="00EA4C9B">
        <w:t>. The amount paid per environmental unit is €0.0017</w:t>
      </w:r>
      <w:r w:rsidRPr="00EA4C9B">
        <w:rPr>
          <w:rStyle w:val="FootnoteReference"/>
        </w:rPr>
        <w:footnoteReference w:id="795"/>
      </w:r>
      <w:r w:rsidRPr="00EA4C9B">
        <w:t xml:space="preserve">. </w:t>
      </w:r>
    </w:p>
    <w:p w14:paraId="1147CABC" w14:textId="77777777" w:rsidR="002435CD" w:rsidRPr="00EA4C9B" w:rsidRDefault="002435CD" w:rsidP="002435CD">
      <w:r w:rsidRPr="00EA4C9B">
        <w:t>Taxpayers are packers, acquirers (including importers) of packaged goods, and producers and acquirers of packaging not intended for packaging items (i.e., items that are designed and intended to be filled at the point of sale)</w:t>
      </w:r>
      <w:r w:rsidRPr="00EA4C9B">
        <w:rPr>
          <w:rStyle w:val="FootnoteReference"/>
        </w:rPr>
        <w:footnoteReference w:id="796"/>
      </w:r>
      <w:r w:rsidRPr="00EA4C9B">
        <w:t xml:space="preserve">. A packer or acquirer of packaged goods is not considered a taxpayer if the annual amount of packaging placed on the market in Slovenia or used by the entity itself does not exceed 15,000kg, except when the packaging is made of polyvinyl chloride, used for grave candles, or consists of carrier plastic bags. </w:t>
      </w:r>
    </w:p>
    <w:p w14:paraId="0A395841" w14:textId="77777777" w:rsidR="002435CD" w:rsidRPr="00EA4C9B" w:rsidRDefault="002435CD" w:rsidP="002435CD">
      <w:r w:rsidRPr="00EA4C9B">
        <w:t xml:space="preserve">Refunds are available for packaging for which the tax has been paid if taken out of Slovenia or exported. </w:t>
      </w:r>
    </w:p>
    <w:p w14:paraId="54FB73CE" w14:textId="77777777" w:rsidR="002435CD" w:rsidRPr="00EA4C9B" w:rsidRDefault="002435CD" w:rsidP="002435CD">
      <w:r w:rsidRPr="00EA4C9B">
        <w:t>Despite having multiple waste taxes, waste generation in Slovenia has increased over the last 12 years</w:t>
      </w:r>
      <w:r w:rsidRPr="00EA4C9B">
        <w:rPr>
          <w:rStyle w:val="FootnoteReference"/>
        </w:rPr>
        <w:footnoteReference w:id="797"/>
      </w:r>
      <w:r w:rsidRPr="00EA4C9B">
        <w:t xml:space="preserve">. More information on the effectiveness of the waste tax can be found in the conclusions section.  </w:t>
      </w:r>
    </w:p>
    <w:p w14:paraId="4D967689" w14:textId="53545293" w:rsidR="002435CD" w:rsidRPr="00EA4C9B" w:rsidRDefault="002435CD" w:rsidP="009E1B64">
      <w:pPr>
        <w:pStyle w:val="Bulletlist"/>
        <w:numPr>
          <w:ilvl w:val="0"/>
          <w:numId w:val="0"/>
        </w:numPr>
        <w:rPr>
          <w:b/>
          <w:bCs/>
        </w:rPr>
      </w:pPr>
      <w:r w:rsidRPr="00EA4C9B">
        <w:rPr>
          <w:b/>
          <w:bCs/>
        </w:rPr>
        <w:t>Charges on use of water</w:t>
      </w:r>
      <w:r w:rsidR="005177D9">
        <w:rPr>
          <w:rStyle w:val="FootnoteReference"/>
          <w:b/>
          <w:bCs/>
        </w:rPr>
        <w:footnoteReference w:id="798"/>
      </w:r>
      <w:r w:rsidRPr="00EA4C9B">
        <w:rPr>
          <w:b/>
          <w:bCs/>
        </w:rPr>
        <w:t xml:space="preserve"> </w:t>
      </w:r>
      <w:r w:rsidRPr="00EA4C9B">
        <w:t>h</w:t>
      </w:r>
      <w:r w:rsidR="005177D9">
        <w:t>ave</w:t>
      </w:r>
      <w:r w:rsidRPr="00EA4C9B">
        <w:t xml:space="preserve"> been in force since 1993 and is a tax on the amount of water consumed</w:t>
      </w:r>
      <w:r w:rsidRPr="0DB99A64">
        <w:rPr>
          <w:rStyle w:val="FootnoteReference"/>
        </w:rPr>
        <w:footnoteReference w:id="799"/>
      </w:r>
      <w:r w:rsidRPr="00EA4C9B">
        <w:t xml:space="preserve">. Persons liable for the payment of water reimbursement are the holders of a water right granted by a water permit or concession. Only those taxpayers whose basis for accounting is the </w:t>
      </w:r>
      <w:r w:rsidRPr="00EA4C9B">
        <w:lastRenderedPageBreak/>
        <w:t>amount of water and debris taken from water sources, expressed in m3</w:t>
      </w:r>
      <w:r w:rsidRPr="0DB99A64">
        <w:rPr>
          <w:rStyle w:val="FootnoteReference"/>
        </w:rPr>
        <w:footnoteReference w:id="800"/>
      </w:r>
      <w:r w:rsidRPr="00EA4C9B">
        <w:t>, are obliged to submit the return. Charges differ from municipality to municipality depending on different factors (level of service provided and costs associated with providing service, population distribution and density, etc.)</w:t>
      </w:r>
      <w:r w:rsidRPr="0DB99A64">
        <w:rPr>
          <w:rStyle w:val="FootnoteReference"/>
        </w:rPr>
        <w:footnoteReference w:id="801"/>
      </w:r>
      <w:r w:rsidRPr="00EA4C9B">
        <w:t>.</w:t>
      </w:r>
    </w:p>
    <w:p w14:paraId="204E314D" w14:textId="73FDAB6A" w:rsidR="002435CD" w:rsidRPr="00EA4C9B" w:rsidRDefault="005177D9" w:rsidP="002435CD">
      <w:r>
        <w:t xml:space="preserve">The </w:t>
      </w:r>
      <w:r w:rsidRPr="005177D9">
        <w:rPr>
          <w:b/>
          <w:bCs/>
        </w:rPr>
        <w:t>t</w:t>
      </w:r>
      <w:r w:rsidR="002435CD" w:rsidRPr="005177D9">
        <w:rPr>
          <w:b/>
          <w:bCs/>
        </w:rPr>
        <w:t>ax on</w:t>
      </w:r>
      <w:r w:rsidR="002435CD" w:rsidRPr="00EA4C9B">
        <w:t xml:space="preserve"> </w:t>
      </w:r>
      <w:r w:rsidR="002435CD" w:rsidRPr="00EA4C9B">
        <w:rPr>
          <w:b/>
          <w:bCs/>
        </w:rPr>
        <w:t>volatile organic compounds</w:t>
      </w:r>
      <w:r>
        <w:rPr>
          <w:rStyle w:val="FootnoteReference"/>
          <w:b/>
          <w:bCs/>
        </w:rPr>
        <w:footnoteReference w:id="802"/>
      </w:r>
      <w:r w:rsidR="002435CD" w:rsidRPr="00EA4C9B">
        <w:rPr>
          <w:b/>
          <w:bCs/>
        </w:rPr>
        <w:t xml:space="preserve"> </w:t>
      </w:r>
      <w:r w:rsidR="002435CD" w:rsidRPr="00EA4C9B">
        <w:t>has been in place since</w:t>
      </w:r>
      <w:r w:rsidR="002435CD" w:rsidRPr="00EA4C9B">
        <w:rPr>
          <w:b/>
          <w:bCs/>
        </w:rPr>
        <w:t xml:space="preserve"> </w:t>
      </w:r>
      <w:r w:rsidR="002435CD" w:rsidRPr="00EA4C9B">
        <w:t>2007. The tax is payable on all water-based or solvent coatings, with the exception of aerosols (e.g. sprays), and on vehicle refinishing products listed in tables A and B of Annex I</w:t>
      </w:r>
      <w:r w:rsidR="002435CD" w:rsidRPr="00EA4C9B">
        <w:rPr>
          <w:rStyle w:val="FootnoteReference"/>
        </w:rPr>
        <w:footnoteReference w:id="803"/>
      </w:r>
      <w:r w:rsidR="002435CD" w:rsidRPr="00EA4C9B">
        <w:t xml:space="preserve">.  The basis for calculating the tax is the annual compensation for keeping records of producers and purchases of products containing organic solvents and the unit of load of the air with emissions of volatile organic compounds. An environmental unit is equal to the emission of 0.1 kg of volatile organic compounds contained in a product with organic solvents. The number of load units per 100g of volatile organic compounds in the product is specified for individual </w:t>
      </w:r>
      <w:r w:rsidRPr="00EA4C9B">
        <w:t>categories</w:t>
      </w:r>
      <w:r w:rsidR="002435CD" w:rsidRPr="00EA4C9B">
        <w:t xml:space="preserve"> and products with organic solvents in Tables A and B Annex 1 of the Regulation</w:t>
      </w:r>
      <w:r w:rsidR="002435CD" w:rsidRPr="00EA4C9B">
        <w:rPr>
          <w:rStyle w:val="FootnoteReference"/>
        </w:rPr>
        <w:footnoteReference w:id="804"/>
      </w:r>
      <w:r w:rsidR="002435CD" w:rsidRPr="00EA4C9B">
        <w:t>. Bases for charging tax are annual compensation (</w:t>
      </w:r>
      <w:r w:rsidR="002435CD" w:rsidRPr="0DB99A64">
        <w:t>€</w:t>
      </w:r>
      <w:r w:rsidR="002435CD" w:rsidRPr="00EA4C9B">
        <w:t>400 euros per year) and environmental pollution unit (</w:t>
      </w:r>
      <w:r w:rsidR="002435CD" w:rsidRPr="0DB99A64">
        <w:t>€</w:t>
      </w:r>
      <w:r w:rsidR="002435CD" w:rsidRPr="00EA4C9B">
        <w:t>0.001 euros). Taxpayers are producers and acquirers from EU countries or from third countries if their annual quantity of acquired or produced above mentioned products exceeds 150 kg</w:t>
      </w:r>
      <w:r w:rsidR="002435CD" w:rsidRPr="00EA4C9B">
        <w:rPr>
          <w:rStyle w:val="FootnoteReference"/>
        </w:rPr>
        <w:footnoteReference w:id="805"/>
      </w:r>
      <w:r w:rsidR="002435CD" w:rsidRPr="00EA4C9B">
        <w:t>. Refunds are available for volatile organic compounds for which the tax has been paid if taken out of Slovenia or exported</w:t>
      </w:r>
      <w:r w:rsidR="002435CD" w:rsidRPr="00EA4C9B">
        <w:rPr>
          <w:rStyle w:val="FootnoteReference"/>
        </w:rPr>
        <w:footnoteReference w:id="806"/>
      </w:r>
      <w:r w:rsidR="002435CD" w:rsidRPr="00EA4C9B">
        <w:t xml:space="preserve">. </w:t>
      </w:r>
    </w:p>
    <w:p w14:paraId="72C60E0B" w14:textId="77777777" w:rsidR="002435CD" w:rsidRPr="00EA4C9B" w:rsidRDefault="002435CD" w:rsidP="002435CD">
      <w:r w:rsidRPr="00EA4C9B">
        <w:t>As of 2025, Slovenia’s Paint, Coatings &amp; Printing Ink Manufacturing industry is valued at approximately €409.3 million. The sector has experienced a decline over the past five years, with a compound annual growth rate of -2.1% from 2019 to 2024</w:t>
      </w:r>
      <w:r w:rsidRPr="00EA4C9B">
        <w:rPr>
          <w:rStyle w:val="FootnoteReference"/>
        </w:rPr>
        <w:footnoteReference w:id="807"/>
      </w:r>
      <w:r w:rsidRPr="00EA4C9B">
        <w:t>. This suggests that the tax has been effective in reducing the use of paints and varnishes.</w:t>
      </w:r>
    </w:p>
    <w:p w14:paraId="3315A93E" w14:textId="77777777" w:rsidR="002435CD" w:rsidRPr="00EA4C9B" w:rsidRDefault="002435CD" w:rsidP="002435CD">
      <w:pPr>
        <w:pStyle w:val="Heading4"/>
      </w:pPr>
      <w:r w:rsidRPr="00EA4C9B">
        <w:t xml:space="preserve">Fees and other related instruments </w:t>
      </w:r>
    </w:p>
    <w:p w14:paraId="6B4D5194" w14:textId="7798A4E5" w:rsidR="002435CD" w:rsidRPr="00EA4C9B" w:rsidRDefault="002435CD" w:rsidP="002435CD">
      <w:r w:rsidRPr="00EA4C9B">
        <w:t>In Slovenia, there are several fees or charges that aren’t classed as taxes according to the PINE database</w:t>
      </w:r>
      <w:r w:rsidRPr="00EA4C9B">
        <w:rPr>
          <w:vertAlign w:val="superscript"/>
        </w:rPr>
        <w:footnoteReference w:id="808"/>
      </w:r>
      <w:r w:rsidRPr="00EA4C9B">
        <w:t xml:space="preserve">. Note, PINE define fees as compulsory requited payments to the government that are levied more-or-less in proportion to the services provided. In this database, the terms “fees” and “charges” are used interchangeably. </w:t>
      </w:r>
      <w:bookmarkStart w:id="310" w:name="_Hlk197010490"/>
      <w:r w:rsidRPr="00EA4C9B">
        <w:t>The main difference between taxes and fees/charges is the type of beneficiary: fees are paid for government services directed at a specific beneficiary, while taxes are used to raise revenue to fund government expenditure</w:t>
      </w:r>
      <w:bookmarkEnd w:id="310"/>
      <w:r w:rsidRPr="00EA4C9B">
        <w:t xml:space="preserve">. These include: </w:t>
      </w:r>
    </w:p>
    <w:p w14:paraId="103F7D4D" w14:textId="77777777" w:rsidR="002435CD" w:rsidRPr="00EA4C9B" w:rsidRDefault="002435CD" w:rsidP="009B400E">
      <w:pPr>
        <w:pStyle w:val="ListParagraph"/>
        <w:numPr>
          <w:ilvl w:val="0"/>
          <w:numId w:val="23"/>
        </w:numPr>
      </w:pPr>
      <w:r w:rsidRPr="00EA4C9B">
        <w:t>Water abstraction charge which was implemented in 1993</w:t>
      </w:r>
    </w:p>
    <w:p w14:paraId="6EB6A10D" w14:textId="77777777" w:rsidR="002435CD" w:rsidRPr="00EA4C9B" w:rsidRDefault="002435CD" w:rsidP="009B400E">
      <w:pPr>
        <w:pStyle w:val="ListParagraph"/>
        <w:numPr>
          <w:ilvl w:val="0"/>
          <w:numId w:val="23"/>
        </w:numPr>
      </w:pPr>
      <w:r w:rsidRPr="00EA4C9B">
        <w:t>Waste user charge which was implemented in 1993</w:t>
      </w:r>
    </w:p>
    <w:p w14:paraId="6F4D64C2" w14:textId="77777777" w:rsidR="002435CD" w:rsidRPr="00EA4C9B" w:rsidRDefault="002435CD" w:rsidP="009B400E">
      <w:pPr>
        <w:pStyle w:val="ListParagraph"/>
        <w:numPr>
          <w:ilvl w:val="0"/>
          <w:numId w:val="23"/>
        </w:numPr>
      </w:pPr>
      <w:r w:rsidRPr="00EA4C9B">
        <w:t>Wastewater collection and treatment charge implemented in 1993</w:t>
      </w:r>
    </w:p>
    <w:p w14:paraId="071F5C0B" w14:textId="77777777" w:rsidR="002435CD" w:rsidRPr="00EA4C9B" w:rsidRDefault="002435CD" w:rsidP="009B400E">
      <w:pPr>
        <w:pStyle w:val="ListParagraph"/>
        <w:numPr>
          <w:ilvl w:val="0"/>
          <w:numId w:val="23"/>
        </w:numPr>
      </w:pPr>
      <w:r w:rsidRPr="00EA4C9B">
        <w:t>Payment for water rights implemented in 2002</w:t>
      </w:r>
    </w:p>
    <w:p w14:paraId="591AC552" w14:textId="77777777" w:rsidR="002435CD" w:rsidRPr="00EA4C9B" w:rsidRDefault="002435CD" w:rsidP="009B400E">
      <w:pPr>
        <w:pStyle w:val="ListParagraph"/>
        <w:numPr>
          <w:ilvl w:val="0"/>
          <w:numId w:val="23"/>
        </w:numPr>
      </w:pPr>
      <w:r w:rsidRPr="00EA4C9B">
        <w:t>Fee for activities related to hazardous substances implemented in 1999.</w:t>
      </w:r>
    </w:p>
    <w:p w14:paraId="7310C4E2" w14:textId="77777777" w:rsidR="002435CD" w:rsidRPr="00EA4C9B" w:rsidRDefault="002435CD" w:rsidP="005177D9">
      <w:pPr>
        <w:pStyle w:val="Heading4"/>
      </w:pPr>
      <w:r w:rsidRPr="00EA4C9B">
        <w:lastRenderedPageBreak/>
        <w:t>Conclusions, country-specific recommendations and reform progress</w:t>
      </w:r>
    </w:p>
    <w:p w14:paraId="655E1A18" w14:textId="77777777" w:rsidR="002435CD" w:rsidRPr="00EA4C9B" w:rsidRDefault="002435CD" w:rsidP="002435CD">
      <w:r w:rsidRPr="00EA4C9B">
        <w:t>The taxation system in Slovenia is centralised, with the Ministry of Finance responsible for determining tax policy and setting tax rate. The Financial Administration of the Republic of Slovenia is in charge of implementing tax legislation and collecting taxes from individuals and businesses</w:t>
      </w:r>
      <w:r w:rsidRPr="00EA4C9B">
        <w:rPr>
          <w:rStyle w:val="FootnoteReference"/>
        </w:rPr>
        <w:footnoteReference w:id="809"/>
      </w:r>
      <w:r w:rsidRPr="00EA4C9B">
        <w:t>.</w:t>
      </w:r>
    </w:p>
    <w:p w14:paraId="661BFEA1" w14:textId="08A3D570" w:rsidR="002435CD" w:rsidRPr="00EA4C9B" w:rsidRDefault="75EEB342" w:rsidP="002435CD">
      <w:r w:rsidRPr="00EA4C9B">
        <w:t xml:space="preserve">Slovenia has implemented specific pollution taxes for different kinds of waste streams, rather than having a generic landfill tax as observed in certain other EU members. These waste streams include tyres, packaging materials, electronic waste, etc (see </w:t>
      </w:r>
      <w:r w:rsidR="00F6794D" w:rsidRPr="001F5A98">
        <w:fldChar w:fldCharType="begin"/>
      </w:r>
      <w:r w:rsidR="00F6794D" w:rsidRPr="001F5A98">
        <w:instrText xml:space="preserve"> REF part_edae565ec6424f6a8d0f795316d4749d \h </w:instrText>
      </w:r>
      <w:r w:rsidR="001F5A98" w:rsidRPr="001F5A98">
        <w:instrText xml:space="preserve"> \* MERGEFORMAT </w:instrText>
      </w:r>
      <w:r w:rsidR="00F6794D" w:rsidRPr="001F5A98">
        <w:fldChar w:fldCharType="end"/>
      </w:r>
      <w:r w:rsidRPr="00EA4C9B">
        <w:t>). Despite having multiple waste taxes, waste generation in Slovenia has increased over the last 12 years</w:t>
      </w:r>
      <w:r w:rsidR="002435CD" w:rsidRPr="00EA4C9B">
        <w:rPr>
          <w:rStyle w:val="FootnoteReference"/>
        </w:rPr>
        <w:footnoteReference w:id="810"/>
      </w:r>
      <w:r w:rsidRPr="00EA4C9B">
        <w:t>. According to a report published in March 2025 by the European Environment Agency</w:t>
      </w:r>
      <w:r w:rsidR="002435CD" w:rsidRPr="00EA4C9B">
        <w:rPr>
          <w:rStyle w:val="FootnoteReference"/>
        </w:rPr>
        <w:footnoteReference w:id="811"/>
      </w:r>
      <w:r w:rsidRPr="00EA4C9B">
        <w:t>, the rise in waste generated is primarily driven by specific waste categories - namely soils and mineral waste from construction and demolition (which are classified as major mineral wastes). The Commission’s Environmental Implementation Review 2022 (EIR)</w:t>
      </w:r>
      <w:r w:rsidR="002435CD" w:rsidRPr="00EA4C9B">
        <w:rPr>
          <w:rStyle w:val="FootnoteReference"/>
        </w:rPr>
        <w:footnoteReference w:id="812"/>
      </w:r>
      <w:r w:rsidRPr="00EA4C9B">
        <w:t xml:space="preserve"> recommended the introduction and implementation of new policies to promote waste prevention, make reuse and recycling more economically attractive, and close and rehabilitate illegal landfills. </w:t>
      </w:r>
      <w:r w:rsidR="00DE4B94" w:rsidRPr="00DE4B94">
        <w:t>The Court of Justice has delivered a judgement on 8 May 2025 issuing a fine of 1.2 million € to Slovenia for delaying the rehabilitation of an illegal landfill in Bukovžlak</w:t>
      </w:r>
      <w:r w:rsidR="00B64B92">
        <w:rPr>
          <w:rStyle w:val="FootnoteReference"/>
        </w:rPr>
        <w:footnoteReference w:id="813"/>
      </w:r>
      <w:r w:rsidR="00DE4B94" w:rsidRPr="00DE4B94">
        <w:t xml:space="preserve">. </w:t>
      </w:r>
    </w:p>
    <w:p w14:paraId="5B04669D" w14:textId="77777777" w:rsidR="002435CD" w:rsidRPr="00EA4C9B" w:rsidRDefault="002435CD" w:rsidP="002435CD">
      <w:r w:rsidRPr="00EA4C9B">
        <w:t>According to the latest country specific recommendation report</w:t>
      </w:r>
      <w:r w:rsidRPr="00EA4C9B">
        <w:rPr>
          <w:rStyle w:val="FootnoteReference"/>
        </w:rPr>
        <w:footnoteReference w:id="814"/>
      </w:r>
      <w:r w:rsidRPr="00EA4C9B">
        <w:t xml:space="preserve">, there is potential to strengthen the application of the ‘polluter pays’ principle. Slovenia has implemented three of the six main types of pollution and resource taxes (i.e. taxes on waste landfilling, waste loadings to water and plastic products). There could be scope to expand waste disposal taxes (including on incineration) and to implement the three other types of environmental taxes (i.e. taxes on NOx emissions, pesticides and fertilisers). </w:t>
      </w:r>
    </w:p>
    <w:p w14:paraId="52E1861A" w14:textId="77777777" w:rsidR="002435CD" w:rsidRPr="00EA4C9B" w:rsidRDefault="002435CD" w:rsidP="007C4EB7">
      <w:pPr>
        <w:pStyle w:val="AnnexHeading2"/>
      </w:pPr>
      <w:bookmarkStart w:id="311" w:name="_Toc214008951"/>
      <w:r w:rsidRPr="00EA4C9B">
        <w:t>Potential for implementing additional environmental taxes</w:t>
      </w:r>
      <w:bookmarkEnd w:id="311"/>
    </w:p>
    <w:p w14:paraId="4F50B858" w14:textId="2F15D49E" w:rsidR="00DA651F" w:rsidRPr="00DA651F" w:rsidRDefault="00DA651F" w:rsidP="00DA651F">
      <w:r w:rsidRPr="00DA651F">
        <w:t xml:space="preserve">Slovenia already has a relatively well-developed system of environmental charges, including taxes on air pollution, wastewater discharges, and waste management. These instruments have contributed to improving air and water quality and reducing landfilling rates. However, the fiscal and environmental potential of non-energy environmental taxes remains only partly realised. </w:t>
      </w:r>
      <w:sdt>
        <w:sdtPr>
          <w:rPr>
            <w:color w:val="000000"/>
          </w:rPr>
          <w:tag w:val="MENDELEY_CITATION_v3_eyJjaXRhdGlvbklEIjoiTUVOREVMRVlfQ0lUQVRJT05fYmU1NTJhODItZDg5OC00YTFmLTkzYTQtYjNkOGUxMjI4NzRk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432822075"/>
          <w:placeholder>
            <w:docPart w:val="DefaultPlaceholder_-1854013440"/>
          </w:placeholder>
        </w:sdtPr>
        <w:sdtContent>
          <w:r w:rsidR="002D122C" w:rsidRPr="002D122C">
            <w:rPr>
              <w:color w:val="000000"/>
            </w:rPr>
            <w:t>Hogg et al. (2016)</w:t>
          </w:r>
        </w:sdtContent>
      </w:sdt>
      <w:r w:rsidRPr="00DA651F">
        <w:t xml:space="preserve"> identified several areas in which Slovenia could extend or strengthen its environmental tax base, and many of these recommendations remain relevant today.</w:t>
      </w:r>
    </w:p>
    <w:p w14:paraId="7A9C4C6C" w14:textId="56F87088" w:rsidR="00DA651F" w:rsidRPr="00DA651F" w:rsidRDefault="00DA651F" w:rsidP="00DA651F">
      <w:r w:rsidRPr="00DA651F">
        <w:t xml:space="preserve">A first area of potential is </w:t>
      </w:r>
      <w:r w:rsidRPr="00DA651F">
        <w:rPr>
          <w:b/>
          <w:bCs/>
        </w:rPr>
        <w:t>waste management and circular economy development</w:t>
      </w:r>
      <w:r w:rsidRPr="00DA651F">
        <w:t>. While Slovenia applies landfill and incineration charges, these remain below the benchmark rates needed to achieve full cost internalisation and waste diversion targets. Increasing the landfill tax towards €65 per tonne, in combination with a moderate incineration tax of €15 per tonne, would provide stronger incentives for waste prevention, sorting, and recycling. The resulting revenues could be earmarked for investments in high-quality recycling infrastructure and regional waste treatment facilities.</w:t>
      </w:r>
      <w:r w:rsidR="00E4769C">
        <w:t xml:space="preserve"> </w:t>
      </w:r>
      <w:r w:rsidR="00E4769C" w:rsidRPr="00E4769C">
        <w:t xml:space="preserve">In </w:t>
      </w:r>
      <w:r w:rsidR="00E4769C" w:rsidRPr="00E4769C">
        <w:lastRenderedPageBreak/>
        <w:t xml:space="preserve">addition, the European Commission’s </w:t>
      </w:r>
      <w:r w:rsidR="00E4769C">
        <w:t>report</w:t>
      </w:r>
      <w:r w:rsidR="00E4769C">
        <w:rPr>
          <w:rStyle w:val="FootnoteReference"/>
        </w:rPr>
        <w:footnoteReference w:id="815"/>
      </w:r>
      <w:r w:rsidR="00E4769C" w:rsidRPr="00E4769C">
        <w:t xml:space="preserve"> on Slovenia identifies the introduction of a mandatory deposit-refund scheme for packaging as a further opportunity. Such a system would boost reuse and substantially improve the capture of recyclable waste</w:t>
      </w:r>
    </w:p>
    <w:p w14:paraId="27CFEA7D" w14:textId="1F13B17B" w:rsidR="00DA651F" w:rsidRPr="00DA651F" w:rsidRDefault="00DA651F" w:rsidP="00DA651F">
      <w:r w:rsidRPr="00DA651F">
        <w:t xml:space="preserve">The </w:t>
      </w:r>
      <w:r w:rsidRPr="00DA651F">
        <w:rPr>
          <w:b/>
          <w:bCs/>
        </w:rPr>
        <w:t>water sector</w:t>
      </w:r>
      <w:r w:rsidRPr="00DA651F">
        <w:t xml:space="preserve"> offers another important opportunity. Slovenia’s current system of water abstraction and wastewater charges is relatively comprehensive, yet the rates are modest compared to the environmental costs they are intended to recover. </w:t>
      </w:r>
      <w:sdt>
        <w:sdtPr>
          <w:rPr>
            <w:color w:val="000000"/>
          </w:rPr>
          <w:tag w:val="MENDELEY_CITATION_v3_eyJjaXRhdGlvbklEIjoiTUVOREVMRVlfQ0lUQVRJT05fODg3ZmIwNzItMDY1ZC00NjdmLTljZWMtZjM5MDIyZTdmMjMy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105495365"/>
          <w:placeholder>
            <w:docPart w:val="DefaultPlaceholder_-1854013440"/>
          </w:placeholder>
        </w:sdtPr>
        <w:sdtContent>
          <w:r w:rsidR="002D122C" w:rsidRPr="002D122C">
            <w:rPr>
              <w:color w:val="000000"/>
            </w:rPr>
            <w:t>Hogg et al. (2016)</w:t>
          </w:r>
        </w:sdtContent>
      </w:sdt>
      <w:r w:rsidRPr="00DA651F">
        <w:t xml:space="preserve"> recommended aligning these with benchmark levels</w:t>
      </w:r>
      <w:r>
        <w:t xml:space="preserve"> </w:t>
      </w:r>
      <w:r w:rsidRPr="00DA651F">
        <w:t>—</w:t>
      </w:r>
      <w:r>
        <w:t xml:space="preserve"> </w:t>
      </w:r>
      <w:r w:rsidRPr="00DA651F">
        <w:t>€300 per 1,000 m³ for household use, €190 per 1,000 m³ for industrial use, and €26 per 1,000 m³ for agriculture</w:t>
      </w:r>
      <w:r>
        <w:t xml:space="preserve"> </w:t>
      </w:r>
      <w:r w:rsidRPr="00DA651F">
        <w:t>—</w:t>
      </w:r>
      <w:r>
        <w:t xml:space="preserve"> </w:t>
      </w:r>
      <w:r w:rsidRPr="00DA651F">
        <w:t>and introducing a wastewater tax of around €2.70 per kilogram of biochemical oxygen demand (BOD₅). Such reforms would encourage efficient water use, strengthen compliance with the Water Framework Directive, and provide a more robust funding base for wastewater infrastructure upgrades, especially in smaller municipalities.</w:t>
      </w:r>
    </w:p>
    <w:p w14:paraId="7B94BC1A" w14:textId="60429ED6" w:rsidR="00DA651F" w:rsidRPr="00DA651F" w:rsidRDefault="00DA651F" w:rsidP="00DA651F">
      <w:r w:rsidRPr="00DA651F">
        <w:t xml:space="preserve">In </w:t>
      </w:r>
      <w:r w:rsidRPr="00DA651F">
        <w:rPr>
          <w:b/>
          <w:bCs/>
        </w:rPr>
        <w:t>agriculture</w:t>
      </w:r>
      <w:r w:rsidRPr="00DA651F">
        <w:t xml:space="preserve">, diffuse pollution remains a concern, particularly nitrate and pesticide runoff affecting groundwater and river basins in eastern Slovenia. The introduction of </w:t>
      </w:r>
      <w:r w:rsidRPr="00DA651F">
        <w:rPr>
          <w:b/>
          <w:bCs/>
        </w:rPr>
        <w:t>fertiliser and pesticide taxes</w:t>
      </w:r>
      <w:r w:rsidRPr="00DA651F">
        <w:t xml:space="preserve"> would directly address this issue. A nitrogen-based fertiliser tax of €0.30 per kilogram and a pesticide tax of €5 per kilogram of active ingredient</w:t>
      </w:r>
      <w:r>
        <w:t xml:space="preserve">, </w:t>
      </w:r>
      <w:r w:rsidRPr="00DA651F">
        <w:t>adjusted for toxicity</w:t>
      </w:r>
      <w:r>
        <w:t xml:space="preserve">, </w:t>
      </w:r>
      <w:r w:rsidRPr="00DA651F">
        <w:t>would reduce nutrient and chemical use and promote more sustainable farming practices. To ensure fairness and maintain competitiveness, these measures could be phased in gradually and complemented by advisory services, training, and financial incentives for precision agriculture and integrated pest management.</w:t>
      </w:r>
    </w:p>
    <w:p w14:paraId="0D4D79E2" w14:textId="58C55F84" w:rsidR="00DA651F" w:rsidRPr="00DA651F" w:rsidRDefault="00DA651F" w:rsidP="00DA651F">
      <w:r w:rsidRPr="00DA651F">
        <w:t xml:space="preserve">Slovenia also has potential to expand </w:t>
      </w:r>
      <w:r w:rsidRPr="00DA651F">
        <w:rPr>
          <w:b/>
          <w:bCs/>
        </w:rPr>
        <w:t>resource-use taxation</w:t>
      </w:r>
      <w:r w:rsidRPr="00DA651F">
        <w:t xml:space="preserve">, particularly through a </w:t>
      </w:r>
      <w:r w:rsidRPr="00DA651F">
        <w:rPr>
          <w:b/>
          <w:bCs/>
        </w:rPr>
        <w:t>mineral extraction tax</w:t>
      </w:r>
      <w:r w:rsidRPr="00DA651F">
        <w:t xml:space="preserve">. The extraction of aggregates and limestone continues to exert environmental pressure in certain regions. A tax of €3.12 per tonne, as proposed in </w:t>
      </w:r>
      <w:sdt>
        <w:sdtPr>
          <w:rPr>
            <w:color w:val="000000"/>
          </w:rPr>
          <w:tag w:val="MENDELEY_CITATION_v3_eyJjaXRhdGlvbklEIjoiTUVOREVMRVlfQ0lUQVRJT05fNWYyMDA2ZTItNWNjNi00ODE1LWI5NGQtMWRmZWM1OWZhMWQ0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788742141"/>
          <w:placeholder>
            <w:docPart w:val="DefaultPlaceholder_-1854013440"/>
          </w:placeholder>
        </w:sdtPr>
        <w:sdtContent>
          <w:r w:rsidR="002D122C" w:rsidRPr="002D122C">
            <w:rPr>
              <w:color w:val="000000"/>
            </w:rPr>
            <w:t>Hogg et al. (2016)</w:t>
          </w:r>
        </w:sdtContent>
      </w:sdt>
      <w:r w:rsidRPr="00DA651F">
        <w:t>, would help internalise the costs of land and ecosystem disturbance while encouraging the use of recycled aggregates. This measure would also bring Slovenia’s approach in line with neighbouring Member States, improving the consistency of market conditions across borders.</w:t>
      </w:r>
    </w:p>
    <w:p w14:paraId="4F01D5D8" w14:textId="6401E485" w:rsidR="00DA651F" w:rsidRPr="00DA651F" w:rsidRDefault="00DA651F" w:rsidP="00DA651F">
      <w:r w:rsidRPr="00DA651F">
        <w:t xml:space="preserve">Finally, although Slovenia’s </w:t>
      </w:r>
      <w:r w:rsidRPr="00DA651F">
        <w:rPr>
          <w:b/>
          <w:bCs/>
        </w:rPr>
        <w:t>air-pollution charges</w:t>
      </w:r>
      <w:r w:rsidRPr="00DA651F">
        <w:t xml:space="preserve"> are already in place, there is scope for further differentiation and rate adjustment to strengthen incentives for emission reductions. </w:t>
      </w:r>
      <w:sdt>
        <w:sdtPr>
          <w:rPr>
            <w:color w:val="000000"/>
          </w:rPr>
          <w:tag w:val="MENDELEY_CITATION_v3_eyJjaXRhdGlvbklEIjoiTUVOREVMRVlfQ0lUQVRJT05fYjdlZWI1YjItYzk2OC00NTJlLWJiZmYtNDc1OTlhMmM3MGIy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664820539"/>
          <w:placeholder>
            <w:docPart w:val="DefaultPlaceholder_-1854013440"/>
          </w:placeholder>
        </w:sdtPr>
        <w:sdtContent>
          <w:r w:rsidR="002D122C" w:rsidRPr="002D122C">
            <w:rPr>
              <w:color w:val="000000"/>
            </w:rPr>
            <w:t>Hogg et al. (2016)</w:t>
          </w:r>
        </w:sdtContent>
      </w:sdt>
      <w:r w:rsidRPr="00DA651F">
        <w:t xml:space="preserve"> suggested benchmark rates of €1,000 per tonne for nitrogen oxides (NOx) and sulphur oxides (SOx), and €2,000 per tonne for particulate matter (PM₁₀). Updating these rates and extending coverage to smaller emitters could help further improve air quality, particularly in urban and industrial areas that still face challenges with particulate pollution.</w:t>
      </w:r>
    </w:p>
    <w:p w14:paraId="14759843" w14:textId="77777777" w:rsidR="00DA651F" w:rsidRPr="00DA651F" w:rsidRDefault="00DA651F" w:rsidP="00DA651F">
      <w:r w:rsidRPr="00DA651F">
        <w:t xml:space="preserve">Overall, Slovenia’s potential for implementing additional environmental taxes lies not in the creation of entirely new instruments but in </w:t>
      </w:r>
      <w:r w:rsidRPr="00DA651F">
        <w:rPr>
          <w:b/>
          <w:bCs/>
        </w:rPr>
        <w:t>adjusting existing taxes and broadening their scope</w:t>
      </w:r>
      <w:r w:rsidRPr="00DA651F">
        <w:t>. Strengthening landfill, wastewater, and abstraction charges; introducing fertiliser and pesticide taxes; and aligning mineral extraction and air pollution rates with environmental benchmarks would yield measurable benefits. The institutional framework for such reforms is already in place, supported by strong monitoring capacity and public awareness of environmental issues. A well-sequenced package of tax adjustments, coupled with clear revenue recycling and communication of environmental gains, would enable Slovenia to enhance both its fiscal sustainability and its environmental performance.</w:t>
      </w:r>
    </w:p>
    <w:p w14:paraId="7A1434DA" w14:textId="77777777" w:rsidR="002435CD" w:rsidRDefault="002435CD" w:rsidP="007C4EB7">
      <w:pPr>
        <w:pStyle w:val="AnnexHeading2"/>
      </w:pPr>
      <w:bookmarkStart w:id="312" w:name="_Toc214008952"/>
      <w:r w:rsidRPr="00EA4C9B">
        <w:t>Impacts of implementing new environmental taxes</w:t>
      </w:r>
      <w:bookmarkEnd w:id="312"/>
    </w:p>
    <w:p w14:paraId="3C3EE942" w14:textId="6DD25A8F" w:rsidR="004A4F82" w:rsidRDefault="004A4F82" w:rsidP="004A4F82">
      <w:r w:rsidRPr="00FA6252">
        <w:t xml:space="preserve">The following findings draw on the modelling undertaken for the study, which assesses how introducing or increasing a set of pollution and resource taxes would affect revenues, environmental </w:t>
      </w:r>
      <w:r w:rsidRPr="00FA6252">
        <w:lastRenderedPageBreak/>
        <w:t>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16136854" w14:textId="77777777" w:rsidR="00DA651F" w:rsidRPr="00DA651F" w:rsidRDefault="00DA651F" w:rsidP="00DA651F">
      <w:r w:rsidRPr="00DA651F">
        <w:t>Slovenia has made considerable progress in environmental taxation, with established instruments for air pollution, wastewater, and waste management. However, several opportunities remain to strengthen the scope and effectiveness of these instruments. The modelling results show that Slovenia has a moderate but still significant potential to expand environmental taxation, particularly in waste management, water pollution control, and agriculture. Under Scenario A, total additional revenues could reach around €420 million by 2030, while under Scenario B, fiscal gains would remain positive though more modest. The largest impacts would come from landfill, wastewater, and mineral extraction taxes, with meaningful environmental benefits across multiple categories.</w:t>
      </w:r>
    </w:p>
    <w:p w14:paraId="7F9154A2" w14:textId="51A062D7" w:rsidR="00DA651F" w:rsidRPr="00286E4F" w:rsidRDefault="00DA651F" w:rsidP="00DA651F">
      <w:r>
        <w:t xml:space="preserve">Total revenues from the </w:t>
      </w:r>
      <w:r w:rsidR="00185A09">
        <w:t>investigated</w:t>
      </w:r>
      <w:r>
        <w:t xml:space="preserve"> taxes could rise by €140 million in 2030 and €135 million in 2035, which is around 2.5 times the revenues for pollution and resource taxes in 2023.  There are major gains from minerals aggregates and water effluent, followed by water abstraction. Waste to landfill contributes around €4 million in 2030 but this declines to under €3 million in 2035.  Pesticide and fertilizer taxes make a small contribution. Reductions in emissions or materials are notable for waste to landfill, SO2 emissions, pesticides and water effluent. Waste to landfill falls by 44%, water effluent by 27% and water abstraction by 15%, Pesticide use declines by 33%, and fertilizer use by 24%.  Mineral extraction falls by 17%.</w:t>
      </w: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26"/>
        <w:gridCol w:w="1126"/>
        <w:gridCol w:w="1032"/>
        <w:gridCol w:w="1220"/>
        <w:gridCol w:w="969"/>
        <w:gridCol w:w="1283"/>
      </w:tblGrid>
      <w:tr w:rsidR="00DA651F" w:rsidRPr="00F501DA" w14:paraId="1F4B74F5" w14:textId="77777777" w:rsidTr="00BA7936">
        <w:trPr>
          <w:trHeight w:val="259"/>
          <w:tblHeader/>
        </w:trPr>
        <w:tc>
          <w:tcPr>
            <w:tcW w:w="9008" w:type="dxa"/>
            <w:gridSpan w:val="7"/>
            <w:shd w:val="clear" w:color="auto" w:fill="003399"/>
          </w:tcPr>
          <w:p w14:paraId="0568C49D" w14:textId="2BF58747" w:rsidR="00DA651F" w:rsidRPr="008B3A2E" w:rsidRDefault="00DA651F" w:rsidP="000878F6">
            <w:pPr>
              <w:pStyle w:val="Table"/>
              <w:rPr>
                <w:b/>
                <w:color w:val="FFFFFF" w:themeColor="background1"/>
                <w:lang w:eastAsia="en-GB"/>
              </w:rPr>
            </w:pPr>
            <w:r w:rsidRPr="008B3A2E">
              <w:rPr>
                <w:b/>
                <w:color w:val="FFFFFF" w:themeColor="background1"/>
              </w:rPr>
              <w:t xml:space="preserve">Table </w:t>
            </w:r>
            <w:r w:rsidR="00490085">
              <w:rPr>
                <w:b/>
                <w:bCs/>
                <w:color w:val="FFFFFF" w:themeColor="background1"/>
              </w:rPr>
              <w:t>A6</w:t>
            </w:r>
            <w:r w:rsidRPr="008B3A2E">
              <w:rPr>
                <w:b/>
                <w:bCs/>
                <w:color w:val="FFFFFF" w:themeColor="background1"/>
              </w:rPr>
              <w:t>-</w:t>
            </w:r>
            <w:r w:rsidRPr="008B3A2E">
              <w:rPr>
                <w:b/>
                <w:bCs/>
                <w:color w:val="FFFFFF" w:themeColor="background1"/>
              </w:rPr>
              <w:fldChar w:fldCharType="begin"/>
            </w:r>
            <w:r w:rsidRPr="008B3A2E">
              <w:rPr>
                <w:b/>
                <w:bCs/>
                <w:color w:val="FFFFFF" w:themeColor="background1"/>
              </w:rPr>
              <w:instrText xml:space="preserve"> SEQ Table_A5- \* ARABIC </w:instrText>
            </w:r>
            <w:r w:rsidRPr="008B3A2E">
              <w:rPr>
                <w:b/>
                <w:bCs/>
                <w:color w:val="FFFFFF" w:themeColor="background1"/>
              </w:rPr>
              <w:fldChar w:fldCharType="separate"/>
            </w:r>
            <w:r>
              <w:rPr>
                <w:b/>
                <w:bCs/>
                <w:noProof/>
                <w:color w:val="FFFFFF" w:themeColor="background1"/>
              </w:rPr>
              <w:t>127</w:t>
            </w:r>
            <w:r w:rsidRPr="008B3A2E">
              <w:rPr>
                <w:b/>
                <w:bCs/>
                <w:color w:val="FFFFFF" w:themeColor="background1"/>
              </w:rPr>
              <w:fldChar w:fldCharType="end"/>
            </w:r>
            <w:r w:rsidRPr="008B3A2E">
              <w:rPr>
                <w:b/>
                <w:bCs/>
                <w:color w:val="FFFFFF" w:themeColor="background1"/>
              </w:rPr>
              <w:t>:</w:t>
            </w:r>
            <w:r w:rsidRPr="008B3A2E">
              <w:rPr>
                <w:b/>
                <w:color w:val="FFFFFF" w:themeColor="background1"/>
              </w:rPr>
              <w:t xml:space="preserve"> </w:t>
            </w:r>
            <w:r w:rsidRPr="008B3A2E">
              <w:rPr>
                <w:b/>
                <w:color w:val="FFFFFF" w:themeColor="background1"/>
                <w:lang w:eastAsia="en-GB"/>
              </w:rPr>
              <w:t>Environmental Impacts and Revenue Changes in Slovenia</w:t>
            </w:r>
            <w:r>
              <w:rPr>
                <w:b/>
                <w:color w:val="FFFFFF" w:themeColor="background1"/>
                <w:lang w:eastAsia="en-GB"/>
              </w:rPr>
              <w:t xml:space="preserve"> – Scenario A</w:t>
            </w:r>
          </w:p>
        </w:tc>
      </w:tr>
      <w:tr w:rsidR="00DA651F" w:rsidRPr="00F501DA" w14:paraId="6DBDF23C" w14:textId="77777777" w:rsidTr="00BA7936">
        <w:trPr>
          <w:trHeight w:val="495"/>
          <w:tblHeader/>
        </w:trPr>
        <w:tc>
          <w:tcPr>
            <w:tcW w:w="2252" w:type="dxa"/>
          </w:tcPr>
          <w:p w14:paraId="2CD29E24" w14:textId="77777777" w:rsidR="00DA651F" w:rsidRPr="008B3A2E" w:rsidRDefault="00DA651F" w:rsidP="000878F6">
            <w:pPr>
              <w:pStyle w:val="Table"/>
              <w:rPr>
                <w:b/>
              </w:rPr>
            </w:pPr>
            <w:r w:rsidRPr="008B3A2E">
              <w:rPr>
                <w:b/>
              </w:rPr>
              <w:t>Tax Name</w:t>
            </w:r>
          </w:p>
        </w:tc>
        <w:tc>
          <w:tcPr>
            <w:tcW w:w="2252" w:type="dxa"/>
            <w:gridSpan w:val="2"/>
            <w:vAlign w:val="bottom"/>
          </w:tcPr>
          <w:p w14:paraId="27099B54" w14:textId="77777777" w:rsidR="00DA651F" w:rsidRPr="00724F1C" w:rsidRDefault="00DA651F" w:rsidP="000878F6">
            <w:pPr>
              <w:pStyle w:val="Table"/>
              <w:jc w:val="center"/>
              <w:rPr>
                <w:b/>
                <w:szCs w:val="20"/>
              </w:rPr>
            </w:pPr>
            <w:r w:rsidRPr="00724F1C">
              <w:rPr>
                <w:rFonts w:ascii="Calibri" w:hAnsi="Calibri" w:cs="Calibri"/>
                <w:b/>
                <w:bCs/>
                <w:color w:val="000000"/>
                <w:szCs w:val="20"/>
              </w:rPr>
              <w:t>% Change in Quantities as % of taxed sector</w:t>
            </w:r>
          </w:p>
        </w:tc>
        <w:tc>
          <w:tcPr>
            <w:tcW w:w="2252" w:type="dxa"/>
            <w:gridSpan w:val="2"/>
            <w:vAlign w:val="bottom"/>
          </w:tcPr>
          <w:p w14:paraId="3698AD99" w14:textId="77777777" w:rsidR="00DA651F" w:rsidRPr="00724F1C" w:rsidRDefault="00DA651F" w:rsidP="000878F6">
            <w:pPr>
              <w:pStyle w:val="Table"/>
              <w:jc w:val="center"/>
              <w:rPr>
                <w:b/>
                <w:szCs w:val="20"/>
              </w:rPr>
            </w:pPr>
            <w:r w:rsidRPr="00724F1C">
              <w:rPr>
                <w:rFonts w:ascii="Calibri" w:hAnsi="Calibri" w:cs="Calibri"/>
                <w:b/>
                <w:bCs/>
                <w:color w:val="000000"/>
                <w:szCs w:val="20"/>
              </w:rPr>
              <w:t>Change in Revenues (€Mn)</w:t>
            </w:r>
          </w:p>
        </w:tc>
        <w:tc>
          <w:tcPr>
            <w:tcW w:w="2252" w:type="dxa"/>
            <w:gridSpan w:val="2"/>
            <w:vAlign w:val="bottom"/>
          </w:tcPr>
          <w:p w14:paraId="1A489662" w14:textId="77777777" w:rsidR="00DA651F" w:rsidRPr="00724F1C" w:rsidRDefault="00DA651F" w:rsidP="000878F6">
            <w:pPr>
              <w:pStyle w:val="Table"/>
              <w:jc w:val="center"/>
              <w:rPr>
                <w:b/>
                <w:szCs w:val="20"/>
              </w:rPr>
            </w:pPr>
            <w:r w:rsidRPr="00724F1C">
              <w:rPr>
                <w:rFonts w:ascii="Calibri" w:hAnsi="Calibri" w:cs="Calibri"/>
                <w:b/>
                <w:bCs/>
                <w:color w:val="000000"/>
                <w:szCs w:val="20"/>
              </w:rPr>
              <w:t>As % of 2023 Resource Tax</w:t>
            </w:r>
          </w:p>
        </w:tc>
      </w:tr>
      <w:tr w:rsidR="00DA651F" w:rsidRPr="00355514" w14:paraId="1A8081DD" w14:textId="77777777" w:rsidTr="00BA7936">
        <w:trPr>
          <w:trHeight w:val="238"/>
          <w:tblHeader/>
        </w:trPr>
        <w:tc>
          <w:tcPr>
            <w:tcW w:w="2252" w:type="dxa"/>
          </w:tcPr>
          <w:p w14:paraId="2B02D053" w14:textId="77777777" w:rsidR="00DA651F" w:rsidRPr="00ED2593" w:rsidRDefault="00DA651F" w:rsidP="000878F6">
            <w:pPr>
              <w:pStyle w:val="Table"/>
              <w:jc w:val="left"/>
              <w:rPr>
                <w:b/>
              </w:rPr>
            </w:pPr>
            <w:r w:rsidRPr="00ED2593">
              <w:rPr>
                <w:b/>
              </w:rPr>
              <w:t>Year</w:t>
            </w:r>
          </w:p>
        </w:tc>
        <w:tc>
          <w:tcPr>
            <w:tcW w:w="1126" w:type="dxa"/>
          </w:tcPr>
          <w:p w14:paraId="25FEC29E" w14:textId="77777777" w:rsidR="00DA651F" w:rsidRPr="00724F1C" w:rsidRDefault="00DA651F" w:rsidP="000878F6">
            <w:pPr>
              <w:pStyle w:val="Table"/>
              <w:jc w:val="center"/>
              <w:rPr>
                <w:b/>
                <w:szCs w:val="20"/>
              </w:rPr>
            </w:pPr>
            <w:r w:rsidRPr="00724F1C">
              <w:rPr>
                <w:b/>
                <w:szCs w:val="20"/>
              </w:rPr>
              <w:t>2030</w:t>
            </w:r>
          </w:p>
        </w:tc>
        <w:tc>
          <w:tcPr>
            <w:tcW w:w="1126" w:type="dxa"/>
          </w:tcPr>
          <w:p w14:paraId="397CDF4C" w14:textId="77777777" w:rsidR="00DA651F" w:rsidRPr="00724F1C" w:rsidRDefault="00DA651F" w:rsidP="000878F6">
            <w:pPr>
              <w:pStyle w:val="Table"/>
              <w:jc w:val="center"/>
              <w:rPr>
                <w:b/>
                <w:szCs w:val="20"/>
              </w:rPr>
            </w:pPr>
            <w:r w:rsidRPr="00724F1C">
              <w:rPr>
                <w:b/>
                <w:szCs w:val="20"/>
              </w:rPr>
              <w:t>2035</w:t>
            </w:r>
          </w:p>
        </w:tc>
        <w:tc>
          <w:tcPr>
            <w:tcW w:w="1032" w:type="dxa"/>
          </w:tcPr>
          <w:p w14:paraId="068F2D6C" w14:textId="77777777" w:rsidR="00DA651F" w:rsidRPr="00724F1C" w:rsidRDefault="00DA651F" w:rsidP="000878F6">
            <w:pPr>
              <w:pStyle w:val="Table"/>
              <w:jc w:val="center"/>
              <w:rPr>
                <w:b/>
                <w:szCs w:val="20"/>
              </w:rPr>
            </w:pPr>
            <w:r w:rsidRPr="00724F1C">
              <w:rPr>
                <w:b/>
                <w:szCs w:val="20"/>
              </w:rPr>
              <w:t>2030</w:t>
            </w:r>
          </w:p>
        </w:tc>
        <w:tc>
          <w:tcPr>
            <w:tcW w:w="1220" w:type="dxa"/>
          </w:tcPr>
          <w:p w14:paraId="3DCE2E4C" w14:textId="77777777" w:rsidR="00DA651F" w:rsidRPr="00724F1C" w:rsidRDefault="00DA651F" w:rsidP="000878F6">
            <w:pPr>
              <w:pStyle w:val="Table"/>
              <w:jc w:val="center"/>
              <w:rPr>
                <w:b/>
                <w:szCs w:val="20"/>
              </w:rPr>
            </w:pPr>
            <w:r w:rsidRPr="00724F1C">
              <w:rPr>
                <w:b/>
                <w:szCs w:val="20"/>
              </w:rPr>
              <w:t>2035</w:t>
            </w:r>
          </w:p>
        </w:tc>
        <w:tc>
          <w:tcPr>
            <w:tcW w:w="969" w:type="dxa"/>
          </w:tcPr>
          <w:p w14:paraId="29D2FDF1" w14:textId="77777777" w:rsidR="00DA651F" w:rsidRPr="00724F1C" w:rsidRDefault="00DA651F" w:rsidP="000878F6">
            <w:pPr>
              <w:pStyle w:val="Table"/>
              <w:jc w:val="center"/>
              <w:rPr>
                <w:b/>
                <w:szCs w:val="20"/>
              </w:rPr>
            </w:pPr>
            <w:r w:rsidRPr="00724F1C">
              <w:rPr>
                <w:b/>
                <w:szCs w:val="20"/>
              </w:rPr>
              <w:t>2030</w:t>
            </w:r>
          </w:p>
        </w:tc>
        <w:tc>
          <w:tcPr>
            <w:tcW w:w="1283" w:type="dxa"/>
          </w:tcPr>
          <w:p w14:paraId="1E64C259" w14:textId="77777777" w:rsidR="00DA651F" w:rsidRPr="00724F1C" w:rsidRDefault="00DA651F" w:rsidP="000878F6">
            <w:pPr>
              <w:pStyle w:val="Table"/>
              <w:jc w:val="center"/>
              <w:rPr>
                <w:b/>
                <w:szCs w:val="20"/>
              </w:rPr>
            </w:pPr>
            <w:r w:rsidRPr="00724F1C">
              <w:rPr>
                <w:b/>
                <w:szCs w:val="20"/>
              </w:rPr>
              <w:t>2035</w:t>
            </w:r>
          </w:p>
        </w:tc>
      </w:tr>
      <w:tr w:rsidR="00DA651F" w:rsidRPr="00355514" w14:paraId="729BFADD" w14:textId="77777777" w:rsidTr="00BA7936">
        <w:trPr>
          <w:trHeight w:val="238"/>
        </w:trPr>
        <w:tc>
          <w:tcPr>
            <w:tcW w:w="2252" w:type="dxa"/>
          </w:tcPr>
          <w:p w14:paraId="4F02B13C" w14:textId="77777777" w:rsidR="00DA651F" w:rsidRPr="00F501DA" w:rsidRDefault="00DA651F" w:rsidP="000878F6">
            <w:pPr>
              <w:pStyle w:val="Table"/>
            </w:pPr>
            <w:r w:rsidRPr="00F501DA">
              <w:t>NOx</w:t>
            </w:r>
          </w:p>
        </w:tc>
        <w:tc>
          <w:tcPr>
            <w:tcW w:w="1126" w:type="dxa"/>
            <w:vAlign w:val="center"/>
          </w:tcPr>
          <w:p w14:paraId="35561C3F" w14:textId="77777777" w:rsidR="00DA651F" w:rsidRPr="00724F1C" w:rsidRDefault="00DA651F" w:rsidP="000878F6">
            <w:pPr>
              <w:pStyle w:val="Table"/>
              <w:jc w:val="center"/>
              <w:rPr>
                <w:szCs w:val="20"/>
              </w:rPr>
            </w:pPr>
            <w:r w:rsidRPr="00724F1C">
              <w:rPr>
                <w:rFonts w:ascii="Calibri" w:hAnsi="Calibri" w:cs="Calibri"/>
                <w:color w:val="000000"/>
                <w:szCs w:val="20"/>
              </w:rPr>
              <w:t>-28,57%</w:t>
            </w:r>
          </w:p>
        </w:tc>
        <w:tc>
          <w:tcPr>
            <w:tcW w:w="1126" w:type="dxa"/>
            <w:vAlign w:val="center"/>
          </w:tcPr>
          <w:p w14:paraId="4386615F" w14:textId="77777777" w:rsidR="00DA651F" w:rsidRPr="00724F1C" w:rsidRDefault="00DA651F" w:rsidP="000878F6">
            <w:pPr>
              <w:pStyle w:val="Table"/>
              <w:jc w:val="center"/>
              <w:rPr>
                <w:szCs w:val="20"/>
              </w:rPr>
            </w:pPr>
            <w:r w:rsidRPr="00724F1C">
              <w:rPr>
                <w:rFonts w:ascii="Calibri" w:hAnsi="Calibri" w:cs="Calibri"/>
                <w:color w:val="000000"/>
                <w:szCs w:val="20"/>
              </w:rPr>
              <w:t>-28,57%</w:t>
            </w:r>
          </w:p>
        </w:tc>
        <w:tc>
          <w:tcPr>
            <w:tcW w:w="1032" w:type="dxa"/>
            <w:vAlign w:val="center"/>
          </w:tcPr>
          <w:p w14:paraId="1552541A" w14:textId="77777777" w:rsidR="00DA651F" w:rsidRPr="00724F1C" w:rsidRDefault="00DA651F" w:rsidP="000878F6">
            <w:pPr>
              <w:pStyle w:val="Table"/>
              <w:jc w:val="center"/>
              <w:rPr>
                <w:szCs w:val="20"/>
              </w:rPr>
            </w:pPr>
            <w:r w:rsidRPr="00724F1C">
              <w:rPr>
                <w:rFonts w:ascii="Calibri" w:hAnsi="Calibri" w:cs="Calibri"/>
                <w:color w:val="000000"/>
                <w:szCs w:val="20"/>
              </w:rPr>
              <w:t>0,23</w:t>
            </w:r>
          </w:p>
        </w:tc>
        <w:tc>
          <w:tcPr>
            <w:tcW w:w="1220" w:type="dxa"/>
            <w:vAlign w:val="center"/>
          </w:tcPr>
          <w:p w14:paraId="12713414" w14:textId="77777777" w:rsidR="00DA651F" w:rsidRPr="00724F1C" w:rsidRDefault="00DA651F" w:rsidP="000878F6">
            <w:pPr>
              <w:pStyle w:val="Table"/>
              <w:jc w:val="center"/>
              <w:rPr>
                <w:szCs w:val="20"/>
              </w:rPr>
            </w:pPr>
            <w:r w:rsidRPr="00724F1C">
              <w:rPr>
                <w:rFonts w:ascii="Calibri" w:hAnsi="Calibri" w:cs="Calibri"/>
                <w:color w:val="000000"/>
                <w:szCs w:val="20"/>
              </w:rPr>
              <w:t>0,22</w:t>
            </w:r>
          </w:p>
        </w:tc>
        <w:tc>
          <w:tcPr>
            <w:tcW w:w="969" w:type="dxa"/>
            <w:vAlign w:val="center"/>
          </w:tcPr>
          <w:p w14:paraId="1BE79372" w14:textId="77777777" w:rsidR="00DA651F" w:rsidRPr="00724F1C" w:rsidRDefault="00DA651F" w:rsidP="000878F6">
            <w:pPr>
              <w:pStyle w:val="Table"/>
              <w:jc w:val="center"/>
              <w:rPr>
                <w:szCs w:val="20"/>
              </w:rPr>
            </w:pPr>
            <w:r w:rsidRPr="00724F1C">
              <w:rPr>
                <w:rFonts w:ascii="Calibri" w:hAnsi="Calibri" w:cs="Calibri"/>
                <w:color w:val="000000"/>
                <w:szCs w:val="20"/>
              </w:rPr>
              <w:t>0,97%</w:t>
            </w:r>
          </w:p>
        </w:tc>
        <w:tc>
          <w:tcPr>
            <w:tcW w:w="1283" w:type="dxa"/>
            <w:vAlign w:val="center"/>
          </w:tcPr>
          <w:p w14:paraId="1E104E63" w14:textId="77777777" w:rsidR="00DA651F" w:rsidRPr="00724F1C" w:rsidRDefault="00DA651F" w:rsidP="000878F6">
            <w:pPr>
              <w:pStyle w:val="Table"/>
              <w:jc w:val="center"/>
              <w:rPr>
                <w:szCs w:val="20"/>
              </w:rPr>
            </w:pPr>
            <w:r w:rsidRPr="00724F1C">
              <w:rPr>
                <w:rFonts w:ascii="Calibri" w:hAnsi="Calibri" w:cs="Calibri"/>
                <w:color w:val="000000"/>
                <w:szCs w:val="20"/>
              </w:rPr>
              <w:t>0,91%</w:t>
            </w:r>
          </w:p>
        </w:tc>
      </w:tr>
      <w:tr w:rsidR="00DA651F" w:rsidRPr="00355514" w14:paraId="38B34380" w14:textId="77777777" w:rsidTr="00BA7936">
        <w:trPr>
          <w:trHeight w:val="238"/>
        </w:trPr>
        <w:tc>
          <w:tcPr>
            <w:tcW w:w="2252" w:type="dxa"/>
          </w:tcPr>
          <w:p w14:paraId="64F3D463" w14:textId="77777777" w:rsidR="00DA651F" w:rsidRPr="00F501DA" w:rsidRDefault="00DA651F" w:rsidP="000878F6">
            <w:pPr>
              <w:pStyle w:val="Table"/>
            </w:pPr>
            <w:r w:rsidRPr="00F501DA">
              <w:t>SO2</w:t>
            </w:r>
          </w:p>
        </w:tc>
        <w:tc>
          <w:tcPr>
            <w:tcW w:w="1126" w:type="dxa"/>
            <w:vAlign w:val="center"/>
          </w:tcPr>
          <w:p w14:paraId="7927CD93" w14:textId="77777777" w:rsidR="00DA651F" w:rsidRPr="00724F1C" w:rsidRDefault="00DA651F" w:rsidP="000878F6">
            <w:pPr>
              <w:pStyle w:val="Table"/>
              <w:jc w:val="center"/>
              <w:rPr>
                <w:szCs w:val="20"/>
              </w:rPr>
            </w:pPr>
            <w:r w:rsidRPr="00724F1C">
              <w:rPr>
                <w:rFonts w:ascii="Calibri" w:hAnsi="Calibri" w:cs="Calibri"/>
                <w:color w:val="000000"/>
                <w:szCs w:val="20"/>
              </w:rPr>
              <w:t>-32,43%</w:t>
            </w:r>
          </w:p>
        </w:tc>
        <w:tc>
          <w:tcPr>
            <w:tcW w:w="1126" w:type="dxa"/>
            <w:vAlign w:val="center"/>
          </w:tcPr>
          <w:p w14:paraId="07068B06" w14:textId="77777777" w:rsidR="00DA651F" w:rsidRPr="00724F1C" w:rsidRDefault="00DA651F" w:rsidP="000878F6">
            <w:pPr>
              <w:pStyle w:val="Table"/>
              <w:jc w:val="center"/>
              <w:rPr>
                <w:szCs w:val="20"/>
              </w:rPr>
            </w:pPr>
            <w:r w:rsidRPr="00724F1C">
              <w:rPr>
                <w:rFonts w:ascii="Calibri" w:hAnsi="Calibri" w:cs="Calibri"/>
                <w:color w:val="000000"/>
                <w:szCs w:val="20"/>
              </w:rPr>
              <w:t>-32,43%</w:t>
            </w:r>
          </w:p>
        </w:tc>
        <w:tc>
          <w:tcPr>
            <w:tcW w:w="1032" w:type="dxa"/>
            <w:vAlign w:val="center"/>
          </w:tcPr>
          <w:p w14:paraId="21101A02" w14:textId="77777777" w:rsidR="00DA651F" w:rsidRPr="00724F1C" w:rsidRDefault="00DA651F" w:rsidP="000878F6">
            <w:pPr>
              <w:pStyle w:val="Table"/>
              <w:jc w:val="center"/>
              <w:rPr>
                <w:szCs w:val="20"/>
              </w:rPr>
            </w:pPr>
            <w:r w:rsidRPr="00724F1C">
              <w:rPr>
                <w:rFonts w:ascii="Calibri" w:hAnsi="Calibri" w:cs="Calibri"/>
                <w:color w:val="000000"/>
                <w:szCs w:val="20"/>
              </w:rPr>
              <w:t>1,31</w:t>
            </w:r>
          </w:p>
        </w:tc>
        <w:tc>
          <w:tcPr>
            <w:tcW w:w="1220" w:type="dxa"/>
            <w:vAlign w:val="center"/>
          </w:tcPr>
          <w:p w14:paraId="01C27461" w14:textId="77777777" w:rsidR="00DA651F" w:rsidRPr="00724F1C" w:rsidRDefault="00DA651F" w:rsidP="000878F6">
            <w:pPr>
              <w:pStyle w:val="Table"/>
              <w:jc w:val="center"/>
              <w:rPr>
                <w:szCs w:val="20"/>
              </w:rPr>
            </w:pPr>
            <w:r w:rsidRPr="00724F1C">
              <w:rPr>
                <w:rFonts w:ascii="Calibri" w:hAnsi="Calibri" w:cs="Calibri"/>
                <w:color w:val="000000"/>
                <w:szCs w:val="20"/>
              </w:rPr>
              <w:t>0,86</w:t>
            </w:r>
          </w:p>
        </w:tc>
        <w:tc>
          <w:tcPr>
            <w:tcW w:w="969" w:type="dxa"/>
            <w:vAlign w:val="center"/>
          </w:tcPr>
          <w:p w14:paraId="1BF762D1" w14:textId="77777777" w:rsidR="00DA651F" w:rsidRPr="00724F1C" w:rsidRDefault="00DA651F" w:rsidP="000878F6">
            <w:pPr>
              <w:pStyle w:val="Table"/>
              <w:jc w:val="center"/>
              <w:rPr>
                <w:szCs w:val="20"/>
              </w:rPr>
            </w:pPr>
            <w:r w:rsidRPr="00724F1C">
              <w:rPr>
                <w:rFonts w:ascii="Calibri" w:hAnsi="Calibri" w:cs="Calibri"/>
                <w:color w:val="000000"/>
                <w:szCs w:val="20"/>
              </w:rPr>
              <w:t>5,45%</w:t>
            </w:r>
          </w:p>
        </w:tc>
        <w:tc>
          <w:tcPr>
            <w:tcW w:w="1283" w:type="dxa"/>
            <w:vAlign w:val="center"/>
          </w:tcPr>
          <w:p w14:paraId="7C969A88" w14:textId="77777777" w:rsidR="00DA651F" w:rsidRPr="00724F1C" w:rsidRDefault="00DA651F" w:rsidP="000878F6">
            <w:pPr>
              <w:pStyle w:val="Table"/>
              <w:jc w:val="center"/>
              <w:rPr>
                <w:szCs w:val="20"/>
              </w:rPr>
            </w:pPr>
            <w:r w:rsidRPr="00724F1C">
              <w:rPr>
                <w:rFonts w:ascii="Calibri" w:hAnsi="Calibri" w:cs="Calibri"/>
                <w:color w:val="000000"/>
                <w:szCs w:val="20"/>
              </w:rPr>
              <w:t>3,57%</w:t>
            </w:r>
          </w:p>
        </w:tc>
      </w:tr>
      <w:tr w:rsidR="00DA651F" w:rsidRPr="00355514" w14:paraId="6494FB00" w14:textId="77777777" w:rsidTr="00BA7936">
        <w:trPr>
          <w:trHeight w:val="238"/>
        </w:trPr>
        <w:tc>
          <w:tcPr>
            <w:tcW w:w="2252" w:type="dxa"/>
          </w:tcPr>
          <w:p w14:paraId="50315526" w14:textId="77777777" w:rsidR="00DA651F" w:rsidRPr="00F501DA" w:rsidRDefault="00DA651F" w:rsidP="000878F6">
            <w:pPr>
              <w:pStyle w:val="Table"/>
            </w:pPr>
            <w:r w:rsidRPr="00F501DA">
              <w:t>PM2.5</w:t>
            </w:r>
          </w:p>
        </w:tc>
        <w:tc>
          <w:tcPr>
            <w:tcW w:w="1126" w:type="dxa"/>
            <w:vAlign w:val="center"/>
          </w:tcPr>
          <w:p w14:paraId="0F9C6FDE" w14:textId="77777777" w:rsidR="00DA651F" w:rsidRPr="00724F1C" w:rsidRDefault="00DA651F" w:rsidP="000878F6">
            <w:pPr>
              <w:pStyle w:val="Table"/>
              <w:jc w:val="center"/>
              <w:rPr>
                <w:szCs w:val="20"/>
              </w:rPr>
            </w:pPr>
            <w:r w:rsidRPr="00724F1C">
              <w:rPr>
                <w:rFonts w:ascii="Calibri" w:hAnsi="Calibri" w:cs="Calibri"/>
                <w:color w:val="000000"/>
                <w:szCs w:val="20"/>
              </w:rPr>
              <w:t>-29,58%</w:t>
            </w:r>
          </w:p>
        </w:tc>
        <w:tc>
          <w:tcPr>
            <w:tcW w:w="1126" w:type="dxa"/>
            <w:vAlign w:val="center"/>
          </w:tcPr>
          <w:p w14:paraId="7F7C620C" w14:textId="77777777" w:rsidR="00DA651F" w:rsidRPr="00724F1C" w:rsidRDefault="00DA651F" w:rsidP="000878F6">
            <w:pPr>
              <w:pStyle w:val="Table"/>
              <w:jc w:val="center"/>
              <w:rPr>
                <w:szCs w:val="20"/>
              </w:rPr>
            </w:pPr>
            <w:r w:rsidRPr="00724F1C">
              <w:rPr>
                <w:rFonts w:ascii="Calibri" w:hAnsi="Calibri" w:cs="Calibri"/>
                <w:color w:val="000000"/>
                <w:szCs w:val="20"/>
              </w:rPr>
              <w:t>-29,58%</w:t>
            </w:r>
          </w:p>
        </w:tc>
        <w:tc>
          <w:tcPr>
            <w:tcW w:w="1032" w:type="dxa"/>
            <w:vAlign w:val="center"/>
          </w:tcPr>
          <w:p w14:paraId="61CA74B9" w14:textId="77777777" w:rsidR="00DA651F" w:rsidRPr="00724F1C" w:rsidRDefault="00DA651F" w:rsidP="000878F6">
            <w:pPr>
              <w:pStyle w:val="Table"/>
              <w:jc w:val="center"/>
              <w:rPr>
                <w:szCs w:val="20"/>
              </w:rPr>
            </w:pPr>
            <w:r w:rsidRPr="00724F1C">
              <w:rPr>
                <w:rFonts w:ascii="Calibri" w:hAnsi="Calibri" w:cs="Calibri"/>
                <w:color w:val="000000"/>
                <w:szCs w:val="20"/>
              </w:rPr>
              <w:t>1,71</w:t>
            </w:r>
          </w:p>
        </w:tc>
        <w:tc>
          <w:tcPr>
            <w:tcW w:w="1220" w:type="dxa"/>
            <w:vAlign w:val="center"/>
          </w:tcPr>
          <w:p w14:paraId="2EECBB8B" w14:textId="77777777" w:rsidR="00DA651F" w:rsidRPr="00724F1C" w:rsidRDefault="00DA651F" w:rsidP="000878F6">
            <w:pPr>
              <w:pStyle w:val="Table"/>
              <w:jc w:val="center"/>
              <w:rPr>
                <w:szCs w:val="20"/>
              </w:rPr>
            </w:pPr>
            <w:r w:rsidRPr="00724F1C">
              <w:rPr>
                <w:rFonts w:ascii="Calibri" w:hAnsi="Calibri" w:cs="Calibri"/>
                <w:color w:val="000000"/>
                <w:szCs w:val="20"/>
              </w:rPr>
              <w:t>1,72</w:t>
            </w:r>
          </w:p>
        </w:tc>
        <w:tc>
          <w:tcPr>
            <w:tcW w:w="969" w:type="dxa"/>
            <w:vAlign w:val="center"/>
          </w:tcPr>
          <w:p w14:paraId="4AE39145" w14:textId="77777777" w:rsidR="00DA651F" w:rsidRPr="00724F1C" w:rsidRDefault="00DA651F" w:rsidP="000878F6">
            <w:pPr>
              <w:pStyle w:val="Table"/>
              <w:jc w:val="center"/>
              <w:rPr>
                <w:szCs w:val="20"/>
              </w:rPr>
            </w:pPr>
            <w:r w:rsidRPr="00724F1C">
              <w:rPr>
                <w:rFonts w:ascii="Calibri" w:hAnsi="Calibri" w:cs="Calibri"/>
                <w:color w:val="000000"/>
                <w:szCs w:val="20"/>
              </w:rPr>
              <w:t>7,13%</w:t>
            </w:r>
          </w:p>
        </w:tc>
        <w:tc>
          <w:tcPr>
            <w:tcW w:w="1283" w:type="dxa"/>
            <w:vAlign w:val="center"/>
          </w:tcPr>
          <w:p w14:paraId="1748F2BD" w14:textId="77777777" w:rsidR="00DA651F" w:rsidRPr="00724F1C" w:rsidRDefault="00DA651F" w:rsidP="000878F6">
            <w:pPr>
              <w:pStyle w:val="Table"/>
              <w:jc w:val="center"/>
              <w:rPr>
                <w:szCs w:val="20"/>
              </w:rPr>
            </w:pPr>
            <w:r w:rsidRPr="00724F1C">
              <w:rPr>
                <w:rFonts w:ascii="Calibri" w:hAnsi="Calibri" w:cs="Calibri"/>
                <w:color w:val="000000"/>
                <w:szCs w:val="20"/>
              </w:rPr>
              <w:t>7,15%</w:t>
            </w:r>
          </w:p>
        </w:tc>
      </w:tr>
      <w:tr w:rsidR="00DA651F" w:rsidRPr="00355514" w14:paraId="601C7B1F" w14:textId="77777777" w:rsidTr="00BA7936">
        <w:trPr>
          <w:trHeight w:val="238"/>
        </w:trPr>
        <w:tc>
          <w:tcPr>
            <w:tcW w:w="2252" w:type="dxa"/>
          </w:tcPr>
          <w:p w14:paraId="426E0DA2" w14:textId="77777777" w:rsidR="00DA651F" w:rsidRPr="00F501DA" w:rsidRDefault="00DA651F" w:rsidP="000878F6">
            <w:pPr>
              <w:pStyle w:val="Table"/>
            </w:pPr>
            <w:r w:rsidRPr="00F501DA">
              <w:t>Water Abstraction</w:t>
            </w:r>
          </w:p>
        </w:tc>
        <w:tc>
          <w:tcPr>
            <w:tcW w:w="1126" w:type="dxa"/>
            <w:vAlign w:val="center"/>
          </w:tcPr>
          <w:p w14:paraId="130DE981" w14:textId="77777777" w:rsidR="00DA651F" w:rsidRPr="00724F1C" w:rsidRDefault="00DA651F" w:rsidP="000878F6">
            <w:pPr>
              <w:pStyle w:val="Table"/>
              <w:jc w:val="center"/>
              <w:rPr>
                <w:szCs w:val="20"/>
              </w:rPr>
            </w:pPr>
            <w:r w:rsidRPr="00724F1C">
              <w:rPr>
                <w:rFonts w:ascii="Calibri" w:hAnsi="Calibri" w:cs="Calibri"/>
                <w:color w:val="000000"/>
                <w:szCs w:val="20"/>
              </w:rPr>
              <w:t>-14,60%</w:t>
            </w:r>
          </w:p>
        </w:tc>
        <w:tc>
          <w:tcPr>
            <w:tcW w:w="1126" w:type="dxa"/>
            <w:vAlign w:val="center"/>
          </w:tcPr>
          <w:p w14:paraId="17C3B1B0" w14:textId="77777777" w:rsidR="00DA651F" w:rsidRPr="00724F1C" w:rsidRDefault="00DA651F" w:rsidP="000878F6">
            <w:pPr>
              <w:pStyle w:val="Table"/>
              <w:jc w:val="center"/>
              <w:rPr>
                <w:szCs w:val="20"/>
              </w:rPr>
            </w:pPr>
            <w:r w:rsidRPr="00724F1C">
              <w:rPr>
                <w:rFonts w:ascii="Calibri" w:hAnsi="Calibri" w:cs="Calibri"/>
                <w:color w:val="000000"/>
                <w:szCs w:val="20"/>
              </w:rPr>
              <w:t>-14,60%</w:t>
            </w:r>
          </w:p>
        </w:tc>
        <w:tc>
          <w:tcPr>
            <w:tcW w:w="1032" w:type="dxa"/>
            <w:vAlign w:val="center"/>
          </w:tcPr>
          <w:p w14:paraId="49846CC7" w14:textId="77777777" w:rsidR="00DA651F" w:rsidRPr="00724F1C" w:rsidRDefault="00DA651F" w:rsidP="000878F6">
            <w:pPr>
              <w:pStyle w:val="Table"/>
              <w:jc w:val="center"/>
              <w:rPr>
                <w:szCs w:val="20"/>
              </w:rPr>
            </w:pPr>
            <w:r w:rsidRPr="00724F1C">
              <w:rPr>
                <w:rFonts w:ascii="Calibri" w:hAnsi="Calibri" w:cs="Calibri"/>
                <w:color w:val="000000"/>
                <w:szCs w:val="20"/>
              </w:rPr>
              <w:t>23,29</w:t>
            </w:r>
          </w:p>
        </w:tc>
        <w:tc>
          <w:tcPr>
            <w:tcW w:w="1220" w:type="dxa"/>
            <w:vAlign w:val="center"/>
          </w:tcPr>
          <w:p w14:paraId="784DDED6" w14:textId="77777777" w:rsidR="00DA651F" w:rsidRPr="00724F1C" w:rsidRDefault="00DA651F" w:rsidP="000878F6">
            <w:pPr>
              <w:pStyle w:val="Table"/>
              <w:jc w:val="center"/>
              <w:rPr>
                <w:szCs w:val="20"/>
              </w:rPr>
            </w:pPr>
            <w:r w:rsidRPr="00724F1C">
              <w:rPr>
                <w:rFonts w:ascii="Calibri" w:hAnsi="Calibri" w:cs="Calibri"/>
                <w:color w:val="000000"/>
                <w:szCs w:val="20"/>
              </w:rPr>
              <w:t>22,31</w:t>
            </w:r>
          </w:p>
        </w:tc>
        <w:tc>
          <w:tcPr>
            <w:tcW w:w="969" w:type="dxa"/>
            <w:vAlign w:val="center"/>
          </w:tcPr>
          <w:p w14:paraId="5E6AC20F" w14:textId="77777777" w:rsidR="00DA651F" w:rsidRPr="00724F1C" w:rsidRDefault="00DA651F" w:rsidP="000878F6">
            <w:pPr>
              <w:pStyle w:val="Table"/>
              <w:jc w:val="center"/>
              <w:rPr>
                <w:szCs w:val="20"/>
              </w:rPr>
            </w:pPr>
            <w:r w:rsidRPr="00724F1C">
              <w:rPr>
                <w:rFonts w:ascii="Calibri" w:hAnsi="Calibri" w:cs="Calibri"/>
                <w:color w:val="000000"/>
                <w:szCs w:val="20"/>
              </w:rPr>
              <w:t>42,64%</w:t>
            </w:r>
          </w:p>
        </w:tc>
        <w:tc>
          <w:tcPr>
            <w:tcW w:w="1283" w:type="dxa"/>
            <w:vAlign w:val="center"/>
          </w:tcPr>
          <w:p w14:paraId="40A39F21" w14:textId="77777777" w:rsidR="00DA651F" w:rsidRPr="00724F1C" w:rsidRDefault="00DA651F" w:rsidP="000878F6">
            <w:pPr>
              <w:pStyle w:val="Table"/>
              <w:jc w:val="center"/>
              <w:rPr>
                <w:szCs w:val="20"/>
              </w:rPr>
            </w:pPr>
            <w:r w:rsidRPr="00724F1C">
              <w:rPr>
                <w:rFonts w:ascii="Calibri" w:hAnsi="Calibri" w:cs="Calibri"/>
                <w:color w:val="000000"/>
                <w:szCs w:val="20"/>
              </w:rPr>
              <w:t>40,85%</w:t>
            </w:r>
          </w:p>
        </w:tc>
      </w:tr>
      <w:tr w:rsidR="00DA651F" w:rsidRPr="00355514" w14:paraId="44C76300" w14:textId="77777777" w:rsidTr="00BA7936">
        <w:trPr>
          <w:trHeight w:val="71"/>
        </w:trPr>
        <w:tc>
          <w:tcPr>
            <w:tcW w:w="2252" w:type="dxa"/>
          </w:tcPr>
          <w:p w14:paraId="3FAC2EB3" w14:textId="77777777" w:rsidR="00DA651F" w:rsidRPr="00F501DA" w:rsidRDefault="00DA651F" w:rsidP="000878F6">
            <w:pPr>
              <w:pStyle w:val="Table"/>
            </w:pPr>
            <w:r w:rsidRPr="00F501DA">
              <w:t>Fertilizers</w:t>
            </w:r>
          </w:p>
        </w:tc>
        <w:tc>
          <w:tcPr>
            <w:tcW w:w="1126" w:type="dxa"/>
            <w:vAlign w:val="center"/>
          </w:tcPr>
          <w:p w14:paraId="4B886C15" w14:textId="77777777" w:rsidR="00DA651F" w:rsidRPr="00724F1C" w:rsidRDefault="00DA651F" w:rsidP="000878F6">
            <w:pPr>
              <w:pStyle w:val="Table"/>
              <w:jc w:val="center"/>
              <w:rPr>
                <w:szCs w:val="20"/>
              </w:rPr>
            </w:pPr>
            <w:r w:rsidRPr="00724F1C">
              <w:rPr>
                <w:rFonts w:ascii="Calibri" w:hAnsi="Calibri" w:cs="Calibri"/>
                <w:color w:val="000000"/>
                <w:szCs w:val="20"/>
              </w:rPr>
              <w:t>-23,96%</w:t>
            </w:r>
          </w:p>
        </w:tc>
        <w:tc>
          <w:tcPr>
            <w:tcW w:w="1126" w:type="dxa"/>
            <w:vAlign w:val="center"/>
          </w:tcPr>
          <w:p w14:paraId="4BA7406A" w14:textId="77777777" w:rsidR="00DA651F" w:rsidRPr="00724F1C" w:rsidRDefault="00DA651F" w:rsidP="000878F6">
            <w:pPr>
              <w:pStyle w:val="Table"/>
              <w:jc w:val="center"/>
              <w:rPr>
                <w:szCs w:val="20"/>
              </w:rPr>
            </w:pPr>
            <w:r w:rsidRPr="00724F1C">
              <w:rPr>
                <w:rFonts w:ascii="Calibri" w:hAnsi="Calibri" w:cs="Calibri"/>
                <w:color w:val="000000"/>
                <w:szCs w:val="20"/>
              </w:rPr>
              <w:t>-23,96%</w:t>
            </w:r>
          </w:p>
        </w:tc>
        <w:tc>
          <w:tcPr>
            <w:tcW w:w="1032" w:type="dxa"/>
            <w:vAlign w:val="center"/>
          </w:tcPr>
          <w:p w14:paraId="6A5EF3BA" w14:textId="77777777" w:rsidR="00DA651F" w:rsidRPr="00724F1C" w:rsidRDefault="00DA651F" w:rsidP="000878F6">
            <w:pPr>
              <w:pStyle w:val="Table"/>
              <w:jc w:val="center"/>
              <w:rPr>
                <w:szCs w:val="20"/>
              </w:rPr>
            </w:pPr>
            <w:r w:rsidRPr="00724F1C">
              <w:rPr>
                <w:rFonts w:ascii="Calibri" w:hAnsi="Calibri" w:cs="Calibri"/>
                <w:color w:val="000000"/>
                <w:szCs w:val="20"/>
              </w:rPr>
              <w:t>1,73</w:t>
            </w:r>
          </w:p>
        </w:tc>
        <w:tc>
          <w:tcPr>
            <w:tcW w:w="1220" w:type="dxa"/>
            <w:vAlign w:val="center"/>
          </w:tcPr>
          <w:p w14:paraId="57B922E0" w14:textId="77777777" w:rsidR="00DA651F" w:rsidRPr="00724F1C" w:rsidRDefault="00DA651F" w:rsidP="000878F6">
            <w:pPr>
              <w:pStyle w:val="Table"/>
              <w:jc w:val="center"/>
              <w:rPr>
                <w:szCs w:val="20"/>
              </w:rPr>
            </w:pPr>
            <w:r w:rsidRPr="00724F1C">
              <w:rPr>
                <w:rFonts w:ascii="Calibri" w:hAnsi="Calibri" w:cs="Calibri"/>
                <w:color w:val="000000"/>
                <w:szCs w:val="20"/>
              </w:rPr>
              <w:t>1,65</w:t>
            </w:r>
          </w:p>
        </w:tc>
        <w:tc>
          <w:tcPr>
            <w:tcW w:w="969" w:type="dxa"/>
            <w:vAlign w:val="center"/>
          </w:tcPr>
          <w:p w14:paraId="747BD253" w14:textId="77777777" w:rsidR="00DA651F" w:rsidRPr="00724F1C" w:rsidRDefault="00DA651F" w:rsidP="000878F6">
            <w:pPr>
              <w:pStyle w:val="Table"/>
              <w:jc w:val="center"/>
              <w:rPr>
                <w:szCs w:val="20"/>
              </w:rPr>
            </w:pPr>
            <w:r w:rsidRPr="00724F1C">
              <w:rPr>
                <w:rFonts w:ascii="Calibri" w:hAnsi="Calibri" w:cs="Calibri"/>
                <w:color w:val="000000"/>
                <w:szCs w:val="20"/>
              </w:rPr>
              <w:t>7,21%</w:t>
            </w:r>
          </w:p>
        </w:tc>
        <w:tc>
          <w:tcPr>
            <w:tcW w:w="1283" w:type="dxa"/>
            <w:vAlign w:val="center"/>
          </w:tcPr>
          <w:p w14:paraId="4D40AA05" w14:textId="77777777" w:rsidR="00DA651F" w:rsidRPr="00724F1C" w:rsidRDefault="00DA651F" w:rsidP="000878F6">
            <w:pPr>
              <w:pStyle w:val="Table"/>
              <w:jc w:val="center"/>
              <w:rPr>
                <w:szCs w:val="20"/>
              </w:rPr>
            </w:pPr>
            <w:r w:rsidRPr="00724F1C">
              <w:rPr>
                <w:rFonts w:ascii="Calibri" w:hAnsi="Calibri" w:cs="Calibri"/>
                <w:color w:val="000000"/>
                <w:szCs w:val="20"/>
              </w:rPr>
              <w:t>6,89%</w:t>
            </w:r>
          </w:p>
        </w:tc>
      </w:tr>
      <w:tr w:rsidR="00DA651F" w:rsidRPr="00355514" w14:paraId="6DB92144" w14:textId="77777777" w:rsidTr="00BA7936">
        <w:trPr>
          <w:trHeight w:val="238"/>
        </w:trPr>
        <w:tc>
          <w:tcPr>
            <w:tcW w:w="2252" w:type="dxa"/>
          </w:tcPr>
          <w:p w14:paraId="302DC108" w14:textId="77777777" w:rsidR="00DA651F" w:rsidRPr="00F501DA" w:rsidRDefault="00DA651F" w:rsidP="000878F6">
            <w:pPr>
              <w:pStyle w:val="Table"/>
            </w:pPr>
            <w:r w:rsidRPr="00F501DA">
              <w:t>Pesticides</w:t>
            </w:r>
          </w:p>
        </w:tc>
        <w:tc>
          <w:tcPr>
            <w:tcW w:w="1126" w:type="dxa"/>
            <w:vAlign w:val="center"/>
          </w:tcPr>
          <w:p w14:paraId="66531510" w14:textId="77777777" w:rsidR="00DA651F" w:rsidRPr="00724F1C" w:rsidRDefault="00DA651F" w:rsidP="000878F6">
            <w:pPr>
              <w:pStyle w:val="Table"/>
              <w:jc w:val="center"/>
              <w:rPr>
                <w:szCs w:val="20"/>
              </w:rPr>
            </w:pPr>
            <w:r w:rsidRPr="00724F1C">
              <w:rPr>
                <w:rFonts w:ascii="Calibri" w:hAnsi="Calibri" w:cs="Calibri"/>
                <w:color w:val="000000"/>
                <w:szCs w:val="20"/>
              </w:rPr>
              <w:t>n/a</w:t>
            </w:r>
          </w:p>
        </w:tc>
        <w:tc>
          <w:tcPr>
            <w:tcW w:w="1126" w:type="dxa"/>
            <w:vAlign w:val="center"/>
          </w:tcPr>
          <w:p w14:paraId="1C5BF9C1" w14:textId="77777777" w:rsidR="00DA651F" w:rsidRPr="00724F1C" w:rsidRDefault="00DA651F" w:rsidP="000878F6">
            <w:pPr>
              <w:pStyle w:val="Table"/>
              <w:jc w:val="center"/>
              <w:rPr>
                <w:szCs w:val="20"/>
              </w:rPr>
            </w:pPr>
            <w:r w:rsidRPr="00724F1C">
              <w:rPr>
                <w:rFonts w:ascii="Calibri" w:hAnsi="Calibri" w:cs="Calibri"/>
                <w:color w:val="000000"/>
                <w:szCs w:val="20"/>
              </w:rPr>
              <w:t>n/a</w:t>
            </w:r>
          </w:p>
        </w:tc>
        <w:tc>
          <w:tcPr>
            <w:tcW w:w="1032" w:type="dxa"/>
            <w:vAlign w:val="center"/>
          </w:tcPr>
          <w:p w14:paraId="0F892D05" w14:textId="77777777" w:rsidR="00DA651F" w:rsidRPr="00724F1C" w:rsidRDefault="00DA651F" w:rsidP="000878F6">
            <w:pPr>
              <w:pStyle w:val="Table"/>
              <w:jc w:val="center"/>
              <w:rPr>
                <w:szCs w:val="20"/>
              </w:rPr>
            </w:pPr>
            <w:r w:rsidRPr="00724F1C">
              <w:rPr>
                <w:rFonts w:ascii="Calibri" w:hAnsi="Calibri" w:cs="Calibri"/>
                <w:color w:val="000000"/>
                <w:szCs w:val="20"/>
              </w:rPr>
              <w:t>4,16</w:t>
            </w:r>
          </w:p>
        </w:tc>
        <w:tc>
          <w:tcPr>
            <w:tcW w:w="1220" w:type="dxa"/>
            <w:vAlign w:val="center"/>
          </w:tcPr>
          <w:p w14:paraId="1C90CC5F" w14:textId="77777777" w:rsidR="00DA651F" w:rsidRPr="00724F1C" w:rsidRDefault="00DA651F" w:rsidP="000878F6">
            <w:pPr>
              <w:pStyle w:val="Table"/>
              <w:jc w:val="center"/>
              <w:rPr>
                <w:szCs w:val="20"/>
              </w:rPr>
            </w:pPr>
            <w:r w:rsidRPr="00724F1C">
              <w:rPr>
                <w:rFonts w:ascii="Calibri" w:hAnsi="Calibri" w:cs="Calibri"/>
                <w:color w:val="000000"/>
                <w:szCs w:val="20"/>
              </w:rPr>
              <w:t>4,11</w:t>
            </w:r>
          </w:p>
        </w:tc>
        <w:tc>
          <w:tcPr>
            <w:tcW w:w="969" w:type="dxa"/>
            <w:vAlign w:val="center"/>
          </w:tcPr>
          <w:p w14:paraId="79FD0AC9" w14:textId="77777777" w:rsidR="00DA651F" w:rsidRPr="00724F1C" w:rsidRDefault="00DA651F" w:rsidP="000878F6">
            <w:pPr>
              <w:pStyle w:val="Table"/>
              <w:jc w:val="center"/>
              <w:rPr>
                <w:szCs w:val="20"/>
              </w:rPr>
            </w:pPr>
            <w:r w:rsidRPr="00724F1C">
              <w:rPr>
                <w:rFonts w:ascii="Calibri" w:hAnsi="Calibri" w:cs="Calibri"/>
                <w:color w:val="000000"/>
                <w:szCs w:val="20"/>
              </w:rPr>
              <w:t>17,33%</w:t>
            </w:r>
          </w:p>
        </w:tc>
        <w:tc>
          <w:tcPr>
            <w:tcW w:w="1283" w:type="dxa"/>
            <w:vAlign w:val="center"/>
          </w:tcPr>
          <w:p w14:paraId="7B93BCA6" w14:textId="77777777" w:rsidR="00DA651F" w:rsidRPr="00724F1C" w:rsidRDefault="00DA651F" w:rsidP="000878F6">
            <w:pPr>
              <w:pStyle w:val="Table"/>
              <w:jc w:val="center"/>
              <w:rPr>
                <w:szCs w:val="20"/>
              </w:rPr>
            </w:pPr>
            <w:r w:rsidRPr="00724F1C">
              <w:rPr>
                <w:rFonts w:ascii="Calibri" w:hAnsi="Calibri" w:cs="Calibri"/>
                <w:color w:val="000000"/>
                <w:szCs w:val="20"/>
              </w:rPr>
              <w:t>17,16%</w:t>
            </w:r>
          </w:p>
        </w:tc>
      </w:tr>
      <w:tr w:rsidR="00DA651F" w:rsidRPr="00355514" w14:paraId="2C5B7C7E" w14:textId="77777777" w:rsidTr="00BA7936">
        <w:trPr>
          <w:trHeight w:val="238"/>
        </w:trPr>
        <w:tc>
          <w:tcPr>
            <w:tcW w:w="2252" w:type="dxa"/>
          </w:tcPr>
          <w:p w14:paraId="723E1C5F" w14:textId="77777777" w:rsidR="00DA651F" w:rsidRPr="00F501DA" w:rsidRDefault="00DA651F" w:rsidP="000878F6">
            <w:pPr>
              <w:pStyle w:val="Table"/>
            </w:pPr>
            <w:r w:rsidRPr="00F501DA">
              <w:t>Waste Incineration</w:t>
            </w:r>
          </w:p>
        </w:tc>
        <w:tc>
          <w:tcPr>
            <w:tcW w:w="1126" w:type="dxa"/>
            <w:vAlign w:val="center"/>
          </w:tcPr>
          <w:p w14:paraId="53D34D4A" w14:textId="77777777" w:rsidR="00DA651F" w:rsidRPr="00724F1C" w:rsidRDefault="00DA651F" w:rsidP="000878F6">
            <w:pPr>
              <w:pStyle w:val="Table"/>
              <w:jc w:val="center"/>
              <w:rPr>
                <w:szCs w:val="20"/>
              </w:rPr>
            </w:pPr>
            <w:r w:rsidRPr="00724F1C">
              <w:rPr>
                <w:rFonts w:ascii="Calibri" w:hAnsi="Calibri" w:cs="Calibri"/>
                <w:color w:val="000000"/>
                <w:szCs w:val="20"/>
              </w:rPr>
              <w:t>-20,00%</w:t>
            </w:r>
          </w:p>
        </w:tc>
        <w:tc>
          <w:tcPr>
            <w:tcW w:w="1126" w:type="dxa"/>
            <w:vAlign w:val="center"/>
          </w:tcPr>
          <w:p w14:paraId="6C48F58F" w14:textId="77777777" w:rsidR="00DA651F" w:rsidRPr="00724F1C" w:rsidRDefault="00DA651F" w:rsidP="000878F6">
            <w:pPr>
              <w:pStyle w:val="Table"/>
              <w:jc w:val="center"/>
              <w:rPr>
                <w:szCs w:val="20"/>
              </w:rPr>
            </w:pPr>
            <w:r w:rsidRPr="00724F1C">
              <w:rPr>
                <w:rFonts w:ascii="Calibri" w:hAnsi="Calibri" w:cs="Calibri"/>
                <w:color w:val="000000"/>
                <w:szCs w:val="20"/>
              </w:rPr>
              <w:t>-20,00%</w:t>
            </w:r>
          </w:p>
        </w:tc>
        <w:tc>
          <w:tcPr>
            <w:tcW w:w="1032" w:type="dxa"/>
            <w:vAlign w:val="center"/>
          </w:tcPr>
          <w:p w14:paraId="46015B72" w14:textId="77777777" w:rsidR="00DA651F" w:rsidRPr="00724F1C" w:rsidRDefault="00DA651F" w:rsidP="000878F6">
            <w:pPr>
              <w:pStyle w:val="Table"/>
              <w:jc w:val="center"/>
              <w:rPr>
                <w:szCs w:val="20"/>
              </w:rPr>
            </w:pPr>
            <w:r w:rsidRPr="00724F1C">
              <w:rPr>
                <w:rFonts w:ascii="Calibri" w:hAnsi="Calibri" w:cs="Calibri"/>
                <w:color w:val="000000"/>
                <w:szCs w:val="20"/>
              </w:rPr>
              <w:t>0,36</w:t>
            </w:r>
          </w:p>
        </w:tc>
        <w:tc>
          <w:tcPr>
            <w:tcW w:w="1220" w:type="dxa"/>
            <w:vAlign w:val="center"/>
          </w:tcPr>
          <w:p w14:paraId="3D1DFEDA" w14:textId="77777777" w:rsidR="00DA651F" w:rsidRPr="00724F1C" w:rsidRDefault="00DA651F" w:rsidP="000878F6">
            <w:pPr>
              <w:pStyle w:val="Table"/>
              <w:jc w:val="center"/>
              <w:rPr>
                <w:szCs w:val="20"/>
              </w:rPr>
            </w:pPr>
            <w:r w:rsidRPr="00724F1C">
              <w:rPr>
                <w:rFonts w:ascii="Calibri" w:hAnsi="Calibri" w:cs="Calibri"/>
                <w:color w:val="000000"/>
                <w:szCs w:val="20"/>
              </w:rPr>
              <w:t>0,26</w:t>
            </w:r>
          </w:p>
        </w:tc>
        <w:tc>
          <w:tcPr>
            <w:tcW w:w="969" w:type="dxa"/>
            <w:vAlign w:val="center"/>
          </w:tcPr>
          <w:p w14:paraId="42C6D440" w14:textId="77777777" w:rsidR="00DA651F" w:rsidRPr="00724F1C" w:rsidRDefault="00DA651F" w:rsidP="000878F6">
            <w:pPr>
              <w:pStyle w:val="Table"/>
              <w:jc w:val="center"/>
              <w:rPr>
                <w:szCs w:val="20"/>
              </w:rPr>
            </w:pPr>
            <w:r w:rsidRPr="00724F1C">
              <w:rPr>
                <w:rFonts w:ascii="Calibri" w:hAnsi="Calibri" w:cs="Calibri"/>
                <w:color w:val="000000"/>
                <w:szCs w:val="20"/>
              </w:rPr>
              <w:t>1,48%</w:t>
            </w:r>
          </w:p>
        </w:tc>
        <w:tc>
          <w:tcPr>
            <w:tcW w:w="1283" w:type="dxa"/>
            <w:vAlign w:val="center"/>
          </w:tcPr>
          <w:p w14:paraId="60C97A08" w14:textId="77777777" w:rsidR="00DA651F" w:rsidRPr="00724F1C" w:rsidRDefault="00DA651F" w:rsidP="000878F6">
            <w:pPr>
              <w:pStyle w:val="Table"/>
              <w:jc w:val="center"/>
              <w:rPr>
                <w:szCs w:val="20"/>
              </w:rPr>
            </w:pPr>
            <w:r w:rsidRPr="00724F1C">
              <w:rPr>
                <w:rFonts w:ascii="Calibri" w:hAnsi="Calibri" w:cs="Calibri"/>
                <w:color w:val="000000"/>
                <w:szCs w:val="20"/>
              </w:rPr>
              <w:t>1,10%</w:t>
            </w:r>
          </w:p>
        </w:tc>
      </w:tr>
      <w:tr w:rsidR="00DA651F" w:rsidRPr="00355514" w14:paraId="46A31C6F" w14:textId="77777777" w:rsidTr="00BA7936">
        <w:trPr>
          <w:trHeight w:val="238"/>
        </w:trPr>
        <w:tc>
          <w:tcPr>
            <w:tcW w:w="2252" w:type="dxa"/>
          </w:tcPr>
          <w:p w14:paraId="4CC3C3B7" w14:textId="77777777" w:rsidR="00DA651F" w:rsidRPr="00F501DA" w:rsidRDefault="00DA651F" w:rsidP="000878F6">
            <w:pPr>
              <w:pStyle w:val="Table"/>
            </w:pPr>
            <w:r w:rsidRPr="00F501DA">
              <w:t>Waste to Landfill</w:t>
            </w:r>
          </w:p>
        </w:tc>
        <w:tc>
          <w:tcPr>
            <w:tcW w:w="1126" w:type="dxa"/>
            <w:vAlign w:val="center"/>
          </w:tcPr>
          <w:p w14:paraId="0D382A6F" w14:textId="77777777" w:rsidR="00DA651F" w:rsidRPr="00724F1C" w:rsidRDefault="00DA651F" w:rsidP="000878F6">
            <w:pPr>
              <w:pStyle w:val="Table"/>
              <w:jc w:val="center"/>
              <w:rPr>
                <w:szCs w:val="20"/>
              </w:rPr>
            </w:pPr>
            <w:r w:rsidRPr="00724F1C">
              <w:rPr>
                <w:rFonts w:ascii="Calibri" w:hAnsi="Calibri" w:cs="Calibri"/>
                <w:color w:val="000000"/>
                <w:szCs w:val="20"/>
              </w:rPr>
              <w:t>-44,36%</w:t>
            </w:r>
          </w:p>
        </w:tc>
        <w:tc>
          <w:tcPr>
            <w:tcW w:w="1126" w:type="dxa"/>
            <w:vAlign w:val="center"/>
          </w:tcPr>
          <w:p w14:paraId="3EC0ADD4" w14:textId="77777777" w:rsidR="00DA651F" w:rsidRPr="00724F1C" w:rsidRDefault="00DA651F" w:rsidP="000878F6">
            <w:pPr>
              <w:pStyle w:val="Table"/>
              <w:jc w:val="center"/>
              <w:rPr>
                <w:szCs w:val="20"/>
              </w:rPr>
            </w:pPr>
            <w:r w:rsidRPr="00724F1C">
              <w:rPr>
                <w:rFonts w:ascii="Calibri" w:hAnsi="Calibri" w:cs="Calibri"/>
                <w:color w:val="000000"/>
                <w:szCs w:val="20"/>
              </w:rPr>
              <w:t>-44,36%</w:t>
            </w:r>
          </w:p>
        </w:tc>
        <w:tc>
          <w:tcPr>
            <w:tcW w:w="1032" w:type="dxa"/>
            <w:vAlign w:val="center"/>
          </w:tcPr>
          <w:p w14:paraId="00D97F20" w14:textId="77777777" w:rsidR="00DA651F" w:rsidRPr="00724F1C" w:rsidRDefault="00DA651F" w:rsidP="000878F6">
            <w:pPr>
              <w:pStyle w:val="Table"/>
              <w:jc w:val="center"/>
              <w:rPr>
                <w:szCs w:val="20"/>
              </w:rPr>
            </w:pPr>
            <w:r w:rsidRPr="00724F1C">
              <w:rPr>
                <w:rFonts w:ascii="Calibri" w:hAnsi="Calibri" w:cs="Calibri"/>
                <w:color w:val="000000"/>
                <w:szCs w:val="20"/>
              </w:rPr>
              <w:t>4,30</w:t>
            </w:r>
          </w:p>
        </w:tc>
        <w:tc>
          <w:tcPr>
            <w:tcW w:w="1220" w:type="dxa"/>
            <w:vAlign w:val="center"/>
          </w:tcPr>
          <w:p w14:paraId="32EEB1B0" w14:textId="77777777" w:rsidR="00DA651F" w:rsidRPr="00724F1C" w:rsidRDefault="00DA651F" w:rsidP="000878F6">
            <w:pPr>
              <w:pStyle w:val="Table"/>
              <w:jc w:val="center"/>
              <w:rPr>
                <w:szCs w:val="20"/>
              </w:rPr>
            </w:pPr>
            <w:r w:rsidRPr="00724F1C">
              <w:rPr>
                <w:rFonts w:ascii="Calibri" w:hAnsi="Calibri" w:cs="Calibri"/>
                <w:color w:val="000000"/>
                <w:szCs w:val="20"/>
              </w:rPr>
              <w:t>2,82</w:t>
            </w:r>
          </w:p>
        </w:tc>
        <w:tc>
          <w:tcPr>
            <w:tcW w:w="969" w:type="dxa"/>
            <w:vAlign w:val="center"/>
          </w:tcPr>
          <w:p w14:paraId="0A237639" w14:textId="77777777" w:rsidR="00DA651F" w:rsidRPr="00724F1C" w:rsidRDefault="00DA651F" w:rsidP="000878F6">
            <w:pPr>
              <w:pStyle w:val="Table"/>
              <w:jc w:val="center"/>
              <w:rPr>
                <w:szCs w:val="20"/>
              </w:rPr>
            </w:pPr>
            <w:r w:rsidRPr="00724F1C">
              <w:rPr>
                <w:rFonts w:ascii="Calibri" w:hAnsi="Calibri" w:cs="Calibri"/>
                <w:color w:val="000000"/>
                <w:szCs w:val="20"/>
              </w:rPr>
              <w:t>17,92%</w:t>
            </w:r>
          </w:p>
        </w:tc>
        <w:tc>
          <w:tcPr>
            <w:tcW w:w="1283" w:type="dxa"/>
            <w:vAlign w:val="center"/>
          </w:tcPr>
          <w:p w14:paraId="0D7B1A0D" w14:textId="77777777" w:rsidR="00DA651F" w:rsidRPr="00724F1C" w:rsidRDefault="00DA651F" w:rsidP="000878F6">
            <w:pPr>
              <w:pStyle w:val="Table"/>
              <w:jc w:val="center"/>
              <w:rPr>
                <w:szCs w:val="20"/>
              </w:rPr>
            </w:pPr>
            <w:r w:rsidRPr="00724F1C">
              <w:rPr>
                <w:rFonts w:ascii="Calibri" w:hAnsi="Calibri" w:cs="Calibri"/>
                <w:color w:val="000000"/>
                <w:szCs w:val="20"/>
              </w:rPr>
              <w:t>11,75%</w:t>
            </w:r>
          </w:p>
        </w:tc>
      </w:tr>
      <w:tr w:rsidR="00DA651F" w:rsidRPr="00355514" w14:paraId="1A14860C" w14:textId="77777777" w:rsidTr="00BA7936">
        <w:trPr>
          <w:trHeight w:val="238"/>
        </w:trPr>
        <w:tc>
          <w:tcPr>
            <w:tcW w:w="2252" w:type="dxa"/>
          </w:tcPr>
          <w:p w14:paraId="7A8696E4" w14:textId="77777777" w:rsidR="00DA651F" w:rsidRPr="00F501DA" w:rsidRDefault="00DA651F" w:rsidP="000878F6">
            <w:pPr>
              <w:pStyle w:val="Table"/>
            </w:pPr>
            <w:r w:rsidRPr="00F501DA">
              <w:t>Water Effluent</w:t>
            </w:r>
          </w:p>
        </w:tc>
        <w:tc>
          <w:tcPr>
            <w:tcW w:w="1126" w:type="dxa"/>
            <w:vAlign w:val="center"/>
          </w:tcPr>
          <w:p w14:paraId="185792C8" w14:textId="77777777" w:rsidR="00DA651F" w:rsidRPr="00724F1C" w:rsidRDefault="00DA651F" w:rsidP="000878F6">
            <w:pPr>
              <w:pStyle w:val="Table"/>
              <w:jc w:val="center"/>
              <w:rPr>
                <w:szCs w:val="20"/>
              </w:rPr>
            </w:pPr>
            <w:r w:rsidRPr="00724F1C">
              <w:rPr>
                <w:rFonts w:ascii="Calibri" w:hAnsi="Calibri" w:cs="Calibri"/>
                <w:color w:val="000000"/>
                <w:szCs w:val="20"/>
              </w:rPr>
              <w:t>-14,54%</w:t>
            </w:r>
          </w:p>
        </w:tc>
        <w:tc>
          <w:tcPr>
            <w:tcW w:w="1126" w:type="dxa"/>
            <w:vAlign w:val="center"/>
          </w:tcPr>
          <w:p w14:paraId="72A6AFFC" w14:textId="77777777" w:rsidR="00DA651F" w:rsidRPr="00724F1C" w:rsidRDefault="00DA651F" w:rsidP="000878F6">
            <w:pPr>
              <w:pStyle w:val="Table"/>
              <w:jc w:val="center"/>
              <w:rPr>
                <w:szCs w:val="20"/>
              </w:rPr>
            </w:pPr>
            <w:r w:rsidRPr="00724F1C">
              <w:rPr>
                <w:rFonts w:ascii="Calibri" w:hAnsi="Calibri" w:cs="Calibri"/>
                <w:color w:val="000000"/>
                <w:szCs w:val="20"/>
              </w:rPr>
              <w:t>-14,54%</w:t>
            </w:r>
          </w:p>
        </w:tc>
        <w:tc>
          <w:tcPr>
            <w:tcW w:w="1032" w:type="dxa"/>
            <w:vAlign w:val="center"/>
          </w:tcPr>
          <w:p w14:paraId="7FBA52A0" w14:textId="77777777" w:rsidR="00DA651F" w:rsidRPr="00724F1C" w:rsidRDefault="00DA651F" w:rsidP="000878F6">
            <w:pPr>
              <w:pStyle w:val="Table"/>
              <w:jc w:val="center"/>
              <w:rPr>
                <w:szCs w:val="20"/>
              </w:rPr>
            </w:pPr>
            <w:r w:rsidRPr="00724F1C">
              <w:rPr>
                <w:rFonts w:ascii="Calibri" w:hAnsi="Calibri" w:cs="Calibri"/>
                <w:color w:val="000000"/>
                <w:szCs w:val="20"/>
              </w:rPr>
              <w:t>67,42</w:t>
            </w:r>
          </w:p>
        </w:tc>
        <w:tc>
          <w:tcPr>
            <w:tcW w:w="1220" w:type="dxa"/>
            <w:vAlign w:val="center"/>
          </w:tcPr>
          <w:p w14:paraId="2A00BC89" w14:textId="77777777" w:rsidR="00DA651F" w:rsidRPr="00724F1C" w:rsidRDefault="00DA651F" w:rsidP="000878F6">
            <w:pPr>
              <w:pStyle w:val="Table"/>
              <w:jc w:val="center"/>
              <w:rPr>
                <w:szCs w:val="20"/>
              </w:rPr>
            </w:pPr>
            <w:r w:rsidRPr="00724F1C">
              <w:rPr>
                <w:rFonts w:ascii="Calibri" w:hAnsi="Calibri" w:cs="Calibri"/>
                <w:color w:val="000000"/>
                <w:szCs w:val="20"/>
              </w:rPr>
              <w:t>67,26</w:t>
            </w:r>
          </w:p>
        </w:tc>
        <w:tc>
          <w:tcPr>
            <w:tcW w:w="969" w:type="dxa"/>
            <w:vAlign w:val="center"/>
          </w:tcPr>
          <w:p w14:paraId="794DA9B6" w14:textId="77777777" w:rsidR="00DA651F" w:rsidRPr="00724F1C" w:rsidRDefault="00DA651F" w:rsidP="000878F6">
            <w:pPr>
              <w:pStyle w:val="Table"/>
              <w:jc w:val="center"/>
              <w:rPr>
                <w:szCs w:val="20"/>
              </w:rPr>
            </w:pPr>
            <w:r w:rsidRPr="00724F1C">
              <w:rPr>
                <w:rFonts w:ascii="Calibri" w:hAnsi="Calibri" w:cs="Calibri"/>
                <w:color w:val="000000"/>
                <w:szCs w:val="20"/>
              </w:rPr>
              <w:t>281,15%</w:t>
            </w:r>
          </w:p>
        </w:tc>
        <w:tc>
          <w:tcPr>
            <w:tcW w:w="1283" w:type="dxa"/>
            <w:vAlign w:val="center"/>
          </w:tcPr>
          <w:p w14:paraId="33749212" w14:textId="77777777" w:rsidR="00DA651F" w:rsidRPr="00724F1C" w:rsidRDefault="00DA651F" w:rsidP="000878F6">
            <w:pPr>
              <w:pStyle w:val="Table"/>
              <w:jc w:val="center"/>
              <w:rPr>
                <w:szCs w:val="20"/>
              </w:rPr>
            </w:pPr>
            <w:r w:rsidRPr="00724F1C">
              <w:rPr>
                <w:rFonts w:ascii="Calibri" w:hAnsi="Calibri" w:cs="Calibri"/>
                <w:color w:val="000000"/>
                <w:szCs w:val="20"/>
              </w:rPr>
              <w:t>280,47%</w:t>
            </w:r>
          </w:p>
        </w:tc>
      </w:tr>
      <w:tr w:rsidR="00DA651F" w:rsidRPr="00355514" w14:paraId="7B7C7F80" w14:textId="77777777" w:rsidTr="00BA7936">
        <w:trPr>
          <w:trHeight w:val="238"/>
        </w:trPr>
        <w:tc>
          <w:tcPr>
            <w:tcW w:w="2252" w:type="dxa"/>
          </w:tcPr>
          <w:p w14:paraId="2067351B" w14:textId="77777777" w:rsidR="00DA651F" w:rsidRPr="00355514" w:rsidRDefault="00DA651F" w:rsidP="000878F6">
            <w:pPr>
              <w:pStyle w:val="Table"/>
            </w:pPr>
            <w:r w:rsidRPr="00355514">
              <w:t>Minerals &amp; Aggregates</w:t>
            </w:r>
          </w:p>
        </w:tc>
        <w:tc>
          <w:tcPr>
            <w:tcW w:w="1126" w:type="dxa"/>
            <w:vAlign w:val="center"/>
          </w:tcPr>
          <w:p w14:paraId="326D0FDF" w14:textId="77777777" w:rsidR="00DA651F" w:rsidRPr="00724F1C" w:rsidRDefault="00DA651F" w:rsidP="000878F6">
            <w:pPr>
              <w:pStyle w:val="Table"/>
              <w:jc w:val="center"/>
              <w:rPr>
                <w:szCs w:val="20"/>
              </w:rPr>
            </w:pPr>
            <w:r w:rsidRPr="00724F1C">
              <w:rPr>
                <w:rFonts w:ascii="Calibri" w:hAnsi="Calibri" w:cs="Calibri"/>
                <w:color w:val="000000"/>
                <w:szCs w:val="20"/>
              </w:rPr>
              <w:t>-16,67%</w:t>
            </w:r>
          </w:p>
        </w:tc>
        <w:tc>
          <w:tcPr>
            <w:tcW w:w="1126" w:type="dxa"/>
            <w:vAlign w:val="center"/>
          </w:tcPr>
          <w:p w14:paraId="1D06A74B" w14:textId="77777777" w:rsidR="00DA651F" w:rsidRPr="00724F1C" w:rsidRDefault="00DA651F" w:rsidP="000878F6">
            <w:pPr>
              <w:pStyle w:val="Table"/>
              <w:jc w:val="center"/>
              <w:rPr>
                <w:szCs w:val="20"/>
              </w:rPr>
            </w:pPr>
            <w:r w:rsidRPr="00724F1C">
              <w:rPr>
                <w:rFonts w:ascii="Calibri" w:hAnsi="Calibri" w:cs="Calibri"/>
                <w:color w:val="000000"/>
                <w:szCs w:val="20"/>
              </w:rPr>
              <w:t>-16,67%</w:t>
            </w:r>
          </w:p>
        </w:tc>
        <w:tc>
          <w:tcPr>
            <w:tcW w:w="1032" w:type="dxa"/>
            <w:vAlign w:val="center"/>
          </w:tcPr>
          <w:p w14:paraId="234CB473" w14:textId="77777777" w:rsidR="00DA651F" w:rsidRPr="00724F1C" w:rsidRDefault="00DA651F" w:rsidP="000878F6">
            <w:pPr>
              <w:pStyle w:val="Table"/>
              <w:jc w:val="center"/>
              <w:rPr>
                <w:szCs w:val="20"/>
              </w:rPr>
            </w:pPr>
            <w:r w:rsidRPr="00724F1C">
              <w:rPr>
                <w:rFonts w:ascii="Calibri" w:hAnsi="Calibri" w:cs="Calibri"/>
                <w:color w:val="000000"/>
                <w:szCs w:val="20"/>
              </w:rPr>
              <w:t>41,75</w:t>
            </w:r>
          </w:p>
        </w:tc>
        <w:tc>
          <w:tcPr>
            <w:tcW w:w="1220" w:type="dxa"/>
            <w:vAlign w:val="center"/>
          </w:tcPr>
          <w:p w14:paraId="50B36F33" w14:textId="77777777" w:rsidR="00DA651F" w:rsidRPr="00724F1C" w:rsidRDefault="00DA651F" w:rsidP="000878F6">
            <w:pPr>
              <w:pStyle w:val="Table"/>
              <w:jc w:val="center"/>
              <w:rPr>
                <w:szCs w:val="20"/>
              </w:rPr>
            </w:pPr>
            <w:r w:rsidRPr="00724F1C">
              <w:rPr>
                <w:rFonts w:ascii="Calibri" w:hAnsi="Calibri" w:cs="Calibri"/>
                <w:color w:val="000000"/>
                <w:szCs w:val="20"/>
              </w:rPr>
              <w:t>40,48</w:t>
            </w:r>
          </w:p>
        </w:tc>
        <w:tc>
          <w:tcPr>
            <w:tcW w:w="969" w:type="dxa"/>
            <w:vAlign w:val="center"/>
          </w:tcPr>
          <w:p w14:paraId="0EBDE60D" w14:textId="77777777" w:rsidR="00DA651F" w:rsidRPr="00724F1C" w:rsidRDefault="00DA651F" w:rsidP="000878F6">
            <w:pPr>
              <w:pStyle w:val="Table"/>
              <w:jc w:val="center"/>
              <w:rPr>
                <w:szCs w:val="20"/>
              </w:rPr>
            </w:pPr>
            <w:r w:rsidRPr="00724F1C">
              <w:rPr>
                <w:rFonts w:ascii="Calibri" w:hAnsi="Calibri" w:cs="Calibri"/>
                <w:color w:val="000000"/>
                <w:szCs w:val="20"/>
              </w:rPr>
              <w:t>136,30%</w:t>
            </w:r>
          </w:p>
        </w:tc>
        <w:tc>
          <w:tcPr>
            <w:tcW w:w="1283" w:type="dxa"/>
            <w:vAlign w:val="center"/>
          </w:tcPr>
          <w:p w14:paraId="262F3121" w14:textId="77777777" w:rsidR="00DA651F" w:rsidRPr="00724F1C" w:rsidRDefault="00DA651F" w:rsidP="000878F6">
            <w:pPr>
              <w:pStyle w:val="Table"/>
              <w:jc w:val="center"/>
              <w:rPr>
                <w:szCs w:val="20"/>
              </w:rPr>
            </w:pPr>
            <w:r w:rsidRPr="00724F1C">
              <w:rPr>
                <w:rFonts w:ascii="Calibri" w:hAnsi="Calibri" w:cs="Calibri"/>
                <w:color w:val="000000"/>
                <w:szCs w:val="20"/>
              </w:rPr>
              <w:t>132,16%</w:t>
            </w:r>
          </w:p>
        </w:tc>
      </w:tr>
    </w:tbl>
    <w:p w14:paraId="72343A66" w14:textId="77777777" w:rsidR="00DA651F" w:rsidRDefault="00DA651F" w:rsidP="00DA651F">
      <w:pPr>
        <w:rPr>
          <w:lang w:eastAsia="en-GB"/>
        </w:rPr>
      </w:pP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26"/>
        <w:gridCol w:w="1126"/>
        <w:gridCol w:w="1032"/>
        <w:gridCol w:w="1220"/>
        <w:gridCol w:w="969"/>
        <w:gridCol w:w="1283"/>
      </w:tblGrid>
      <w:tr w:rsidR="00DA651F" w:rsidRPr="00B129CB" w14:paraId="22FBF348" w14:textId="77777777" w:rsidTr="00BA7936">
        <w:trPr>
          <w:trHeight w:val="259"/>
        </w:trPr>
        <w:tc>
          <w:tcPr>
            <w:tcW w:w="9008" w:type="dxa"/>
            <w:gridSpan w:val="7"/>
            <w:shd w:val="clear" w:color="auto" w:fill="003399"/>
          </w:tcPr>
          <w:p w14:paraId="58B14048" w14:textId="7076E2FA" w:rsidR="00DA651F" w:rsidRPr="00B129CB" w:rsidRDefault="00DA651F" w:rsidP="000878F6">
            <w:pPr>
              <w:pStyle w:val="Table"/>
              <w:rPr>
                <w:b/>
                <w:color w:val="FFFFFF" w:themeColor="background1"/>
                <w:szCs w:val="20"/>
                <w:lang w:eastAsia="en-GB"/>
              </w:rPr>
            </w:pPr>
            <w:r w:rsidRPr="00B129CB">
              <w:rPr>
                <w:b/>
                <w:color w:val="FFFFFF" w:themeColor="background1"/>
                <w:szCs w:val="20"/>
              </w:rPr>
              <w:t xml:space="preserve">Table </w:t>
            </w:r>
            <w:r w:rsidR="00490085">
              <w:rPr>
                <w:b/>
                <w:bCs/>
                <w:color w:val="FFFFFF" w:themeColor="background1"/>
                <w:szCs w:val="20"/>
              </w:rPr>
              <w:t>A6</w:t>
            </w:r>
            <w:r w:rsidRPr="00B129CB">
              <w:rPr>
                <w:b/>
                <w:bCs/>
                <w:color w:val="FFFFFF" w:themeColor="background1"/>
                <w:szCs w:val="20"/>
              </w:rPr>
              <w:t>-</w:t>
            </w:r>
            <w:r w:rsidRPr="00B129CB">
              <w:rPr>
                <w:b/>
                <w:bCs/>
                <w:color w:val="FFFFFF" w:themeColor="background1"/>
                <w:szCs w:val="20"/>
              </w:rPr>
              <w:fldChar w:fldCharType="begin"/>
            </w:r>
            <w:r w:rsidRPr="00B129CB">
              <w:rPr>
                <w:b/>
                <w:bCs/>
                <w:color w:val="FFFFFF" w:themeColor="background1"/>
                <w:szCs w:val="20"/>
              </w:rPr>
              <w:instrText xml:space="preserve"> SEQ Table_A5- \* ARABIC </w:instrText>
            </w:r>
            <w:r w:rsidRPr="00B129CB">
              <w:rPr>
                <w:b/>
                <w:bCs/>
                <w:color w:val="FFFFFF" w:themeColor="background1"/>
                <w:szCs w:val="20"/>
              </w:rPr>
              <w:fldChar w:fldCharType="separate"/>
            </w:r>
            <w:r>
              <w:rPr>
                <w:b/>
                <w:bCs/>
                <w:noProof/>
                <w:color w:val="FFFFFF" w:themeColor="background1"/>
                <w:szCs w:val="20"/>
              </w:rPr>
              <w:t>128</w:t>
            </w:r>
            <w:r w:rsidRPr="00B129CB">
              <w:rPr>
                <w:b/>
                <w:bCs/>
                <w:color w:val="FFFFFF" w:themeColor="background1"/>
                <w:szCs w:val="20"/>
              </w:rPr>
              <w:fldChar w:fldCharType="end"/>
            </w:r>
            <w:r w:rsidRPr="00B129CB">
              <w:rPr>
                <w:b/>
                <w:bCs/>
                <w:color w:val="FFFFFF" w:themeColor="background1"/>
                <w:szCs w:val="20"/>
              </w:rPr>
              <w:t>:</w:t>
            </w:r>
            <w:r w:rsidRPr="00B129CB">
              <w:rPr>
                <w:b/>
                <w:color w:val="FFFFFF" w:themeColor="background1"/>
                <w:szCs w:val="20"/>
              </w:rPr>
              <w:t xml:space="preserve"> </w:t>
            </w:r>
            <w:r w:rsidRPr="00B129CB">
              <w:rPr>
                <w:b/>
                <w:color w:val="FFFFFF" w:themeColor="background1"/>
                <w:szCs w:val="20"/>
                <w:lang w:eastAsia="en-GB"/>
              </w:rPr>
              <w:t>Environmental Impacts and Revenue Changes in Slovenia – Scenario B</w:t>
            </w:r>
          </w:p>
        </w:tc>
      </w:tr>
      <w:tr w:rsidR="00DA651F" w:rsidRPr="00B129CB" w14:paraId="23CC9CFF" w14:textId="77777777" w:rsidTr="00BA7936">
        <w:trPr>
          <w:trHeight w:val="495"/>
        </w:trPr>
        <w:tc>
          <w:tcPr>
            <w:tcW w:w="2252" w:type="dxa"/>
          </w:tcPr>
          <w:p w14:paraId="36B0E4ED" w14:textId="77777777" w:rsidR="00DA651F" w:rsidRPr="00B129CB" w:rsidRDefault="00DA651F" w:rsidP="000878F6">
            <w:pPr>
              <w:pStyle w:val="Table"/>
              <w:rPr>
                <w:b/>
                <w:szCs w:val="20"/>
              </w:rPr>
            </w:pPr>
            <w:r w:rsidRPr="00B129CB">
              <w:rPr>
                <w:b/>
                <w:szCs w:val="20"/>
              </w:rPr>
              <w:t>Tax Name</w:t>
            </w:r>
          </w:p>
        </w:tc>
        <w:tc>
          <w:tcPr>
            <w:tcW w:w="2252" w:type="dxa"/>
            <w:gridSpan w:val="2"/>
            <w:vAlign w:val="bottom"/>
          </w:tcPr>
          <w:p w14:paraId="3B4B34C9" w14:textId="77777777" w:rsidR="00DA651F" w:rsidRPr="00B129CB" w:rsidRDefault="00DA651F" w:rsidP="000878F6">
            <w:pPr>
              <w:pStyle w:val="Table"/>
              <w:jc w:val="center"/>
              <w:rPr>
                <w:b/>
                <w:szCs w:val="20"/>
              </w:rPr>
            </w:pPr>
            <w:r w:rsidRPr="00B129CB">
              <w:rPr>
                <w:rFonts w:ascii="Calibri" w:hAnsi="Calibri" w:cs="Calibri"/>
                <w:b/>
                <w:bCs/>
                <w:color w:val="000000"/>
                <w:szCs w:val="20"/>
              </w:rPr>
              <w:t>% Change in Quantities as % of taxed sector</w:t>
            </w:r>
          </w:p>
        </w:tc>
        <w:tc>
          <w:tcPr>
            <w:tcW w:w="2252" w:type="dxa"/>
            <w:gridSpan w:val="2"/>
            <w:vAlign w:val="bottom"/>
          </w:tcPr>
          <w:p w14:paraId="4F34D0F2" w14:textId="77777777" w:rsidR="00DA651F" w:rsidRPr="00B129CB" w:rsidRDefault="00DA651F" w:rsidP="000878F6">
            <w:pPr>
              <w:pStyle w:val="Table"/>
              <w:jc w:val="center"/>
              <w:rPr>
                <w:b/>
                <w:szCs w:val="20"/>
              </w:rPr>
            </w:pPr>
            <w:r w:rsidRPr="00B129CB">
              <w:rPr>
                <w:rFonts w:ascii="Calibri" w:hAnsi="Calibri" w:cs="Calibri"/>
                <w:b/>
                <w:bCs/>
                <w:color w:val="000000"/>
                <w:szCs w:val="20"/>
              </w:rPr>
              <w:t>Change in Revenues (€Mn)</w:t>
            </w:r>
          </w:p>
        </w:tc>
        <w:tc>
          <w:tcPr>
            <w:tcW w:w="2252" w:type="dxa"/>
            <w:gridSpan w:val="2"/>
            <w:vAlign w:val="bottom"/>
          </w:tcPr>
          <w:p w14:paraId="3840AA28" w14:textId="77777777" w:rsidR="00DA651F" w:rsidRPr="00B129CB" w:rsidRDefault="00DA651F" w:rsidP="000878F6">
            <w:pPr>
              <w:pStyle w:val="Table"/>
              <w:jc w:val="center"/>
              <w:rPr>
                <w:b/>
                <w:szCs w:val="20"/>
              </w:rPr>
            </w:pPr>
            <w:r w:rsidRPr="00B129CB">
              <w:rPr>
                <w:rFonts w:ascii="Calibri" w:hAnsi="Calibri" w:cs="Calibri"/>
                <w:b/>
                <w:bCs/>
                <w:color w:val="000000"/>
                <w:szCs w:val="20"/>
              </w:rPr>
              <w:t>As % of 2023 Resource Tax</w:t>
            </w:r>
          </w:p>
        </w:tc>
      </w:tr>
      <w:tr w:rsidR="00DA651F" w:rsidRPr="00B129CB" w14:paraId="02F8D6FD" w14:textId="77777777" w:rsidTr="00BA7936">
        <w:trPr>
          <w:trHeight w:val="238"/>
        </w:trPr>
        <w:tc>
          <w:tcPr>
            <w:tcW w:w="2252" w:type="dxa"/>
          </w:tcPr>
          <w:p w14:paraId="7BAF9BA7" w14:textId="77777777" w:rsidR="00DA651F" w:rsidRPr="00B129CB" w:rsidRDefault="00DA651F" w:rsidP="000878F6">
            <w:pPr>
              <w:pStyle w:val="Table"/>
              <w:jc w:val="left"/>
              <w:rPr>
                <w:b/>
                <w:szCs w:val="20"/>
              </w:rPr>
            </w:pPr>
            <w:r w:rsidRPr="00B129CB">
              <w:rPr>
                <w:b/>
                <w:szCs w:val="20"/>
              </w:rPr>
              <w:t>Year</w:t>
            </w:r>
          </w:p>
        </w:tc>
        <w:tc>
          <w:tcPr>
            <w:tcW w:w="1126" w:type="dxa"/>
          </w:tcPr>
          <w:p w14:paraId="1AF35EA4" w14:textId="77777777" w:rsidR="00DA651F" w:rsidRPr="00B129CB" w:rsidRDefault="00DA651F" w:rsidP="000878F6">
            <w:pPr>
              <w:pStyle w:val="Table"/>
              <w:jc w:val="center"/>
              <w:rPr>
                <w:b/>
                <w:szCs w:val="20"/>
              </w:rPr>
            </w:pPr>
            <w:r w:rsidRPr="00B129CB">
              <w:rPr>
                <w:b/>
                <w:szCs w:val="20"/>
              </w:rPr>
              <w:t>2030</w:t>
            </w:r>
          </w:p>
        </w:tc>
        <w:tc>
          <w:tcPr>
            <w:tcW w:w="1126" w:type="dxa"/>
          </w:tcPr>
          <w:p w14:paraId="05826E8E" w14:textId="77777777" w:rsidR="00DA651F" w:rsidRPr="00B129CB" w:rsidRDefault="00DA651F" w:rsidP="000878F6">
            <w:pPr>
              <w:pStyle w:val="Table"/>
              <w:jc w:val="center"/>
              <w:rPr>
                <w:b/>
                <w:szCs w:val="20"/>
              </w:rPr>
            </w:pPr>
            <w:r w:rsidRPr="00B129CB">
              <w:rPr>
                <w:b/>
                <w:szCs w:val="20"/>
              </w:rPr>
              <w:t>2035</w:t>
            </w:r>
          </w:p>
        </w:tc>
        <w:tc>
          <w:tcPr>
            <w:tcW w:w="1032" w:type="dxa"/>
          </w:tcPr>
          <w:p w14:paraId="77D8012B" w14:textId="77777777" w:rsidR="00DA651F" w:rsidRPr="00B129CB" w:rsidRDefault="00DA651F" w:rsidP="000878F6">
            <w:pPr>
              <w:pStyle w:val="Table"/>
              <w:jc w:val="center"/>
              <w:rPr>
                <w:b/>
                <w:szCs w:val="20"/>
              </w:rPr>
            </w:pPr>
            <w:r w:rsidRPr="00B129CB">
              <w:rPr>
                <w:b/>
                <w:szCs w:val="20"/>
              </w:rPr>
              <w:t>2030</w:t>
            </w:r>
          </w:p>
        </w:tc>
        <w:tc>
          <w:tcPr>
            <w:tcW w:w="1220" w:type="dxa"/>
          </w:tcPr>
          <w:p w14:paraId="34B1C8AE" w14:textId="77777777" w:rsidR="00DA651F" w:rsidRPr="00B129CB" w:rsidRDefault="00DA651F" w:rsidP="000878F6">
            <w:pPr>
              <w:pStyle w:val="Table"/>
              <w:jc w:val="center"/>
              <w:rPr>
                <w:b/>
                <w:szCs w:val="20"/>
              </w:rPr>
            </w:pPr>
            <w:r w:rsidRPr="00B129CB">
              <w:rPr>
                <w:b/>
                <w:szCs w:val="20"/>
              </w:rPr>
              <w:t>2035</w:t>
            </w:r>
          </w:p>
        </w:tc>
        <w:tc>
          <w:tcPr>
            <w:tcW w:w="969" w:type="dxa"/>
          </w:tcPr>
          <w:p w14:paraId="236C9102" w14:textId="77777777" w:rsidR="00DA651F" w:rsidRPr="00B129CB" w:rsidRDefault="00DA651F" w:rsidP="000878F6">
            <w:pPr>
              <w:pStyle w:val="Table"/>
              <w:jc w:val="center"/>
              <w:rPr>
                <w:b/>
                <w:szCs w:val="20"/>
              </w:rPr>
            </w:pPr>
            <w:r w:rsidRPr="00B129CB">
              <w:rPr>
                <w:b/>
                <w:szCs w:val="20"/>
              </w:rPr>
              <w:t>2030</w:t>
            </w:r>
          </w:p>
        </w:tc>
        <w:tc>
          <w:tcPr>
            <w:tcW w:w="1283" w:type="dxa"/>
          </w:tcPr>
          <w:p w14:paraId="1703AC62" w14:textId="77777777" w:rsidR="00DA651F" w:rsidRPr="00B129CB" w:rsidRDefault="00DA651F" w:rsidP="000878F6">
            <w:pPr>
              <w:pStyle w:val="Table"/>
              <w:jc w:val="center"/>
              <w:rPr>
                <w:b/>
                <w:szCs w:val="20"/>
              </w:rPr>
            </w:pPr>
            <w:r w:rsidRPr="00B129CB">
              <w:rPr>
                <w:b/>
                <w:szCs w:val="20"/>
              </w:rPr>
              <w:t>2035</w:t>
            </w:r>
          </w:p>
        </w:tc>
      </w:tr>
      <w:tr w:rsidR="00DA651F" w:rsidRPr="00B129CB" w14:paraId="4E2D3A1D" w14:textId="77777777" w:rsidTr="00BA7936">
        <w:trPr>
          <w:trHeight w:val="238"/>
        </w:trPr>
        <w:tc>
          <w:tcPr>
            <w:tcW w:w="2252" w:type="dxa"/>
          </w:tcPr>
          <w:p w14:paraId="1F5C61E8" w14:textId="77777777" w:rsidR="00DA651F" w:rsidRPr="00B129CB" w:rsidRDefault="00DA651F" w:rsidP="000878F6">
            <w:pPr>
              <w:pStyle w:val="Table"/>
              <w:rPr>
                <w:szCs w:val="20"/>
              </w:rPr>
            </w:pPr>
            <w:r w:rsidRPr="00B129CB">
              <w:rPr>
                <w:szCs w:val="20"/>
              </w:rPr>
              <w:t>NOx</w:t>
            </w:r>
          </w:p>
        </w:tc>
        <w:tc>
          <w:tcPr>
            <w:tcW w:w="1126" w:type="dxa"/>
            <w:vAlign w:val="center"/>
          </w:tcPr>
          <w:p w14:paraId="3624CB63" w14:textId="77777777" w:rsidR="00DA651F" w:rsidRPr="00B129CB" w:rsidRDefault="00DA651F" w:rsidP="000878F6">
            <w:pPr>
              <w:pStyle w:val="Table"/>
              <w:jc w:val="center"/>
              <w:rPr>
                <w:szCs w:val="20"/>
              </w:rPr>
            </w:pPr>
            <w:r w:rsidRPr="00B129CB">
              <w:rPr>
                <w:rFonts w:ascii="Calibri" w:hAnsi="Calibri" w:cs="Calibri"/>
                <w:color w:val="000000"/>
                <w:szCs w:val="20"/>
              </w:rPr>
              <w:t>-7,39%</w:t>
            </w:r>
          </w:p>
        </w:tc>
        <w:tc>
          <w:tcPr>
            <w:tcW w:w="1126" w:type="dxa"/>
            <w:vAlign w:val="center"/>
          </w:tcPr>
          <w:p w14:paraId="3C9B7818" w14:textId="77777777" w:rsidR="00DA651F" w:rsidRPr="00B129CB" w:rsidRDefault="00DA651F" w:rsidP="000878F6">
            <w:pPr>
              <w:pStyle w:val="Table"/>
              <w:jc w:val="center"/>
              <w:rPr>
                <w:szCs w:val="20"/>
              </w:rPr>
            </w:pPr>
            <w:r w:rsidRPr="00B129CB">
              <w:rPr>
                <w:rFonts w:ascii="Calibri" w:hAnsi="Calibri" w:cs="Calibri"/>
                <w:color w:val="000000"/>
                <w:szCs w:val="20"/>
              </w:rPr>
              <w:t>-7,39%</w:t>
            </w:r>
          </w:p>
        </w:tc>
        <w:tc>
          <w:tcPr>
            <w:tcW w:w="1032" w:type="dxa"/>
            <w:vAlign w:val="center"/>
          </w:tcPr>
          <w:p w14:paraId="335B1679" w14:textId="77777777" w:rsidR="00DA651F" w:rsidRPr="00B129CB" w:rsidRDefault="00DA651F" w:rsidP="000878F6">
            <w:pPr>
              <w:pStyle w:val="Table"/>
              <w:jc w:val="center"/>
              <w:rPr>
                <w:szCs w:val="20"/>
              </w:rPr>
            </w:pPr>
            <w:r w:rsidRPr="00B129CB">
              <w:rPr>
                <w:rFonts w:ascii="Calibri" w:hAnsi="Calibri" w:cs="Calibri"/>
                <w:color w:val="000000"/>
                <w:szCs w:val="20"/>
              </w:rPr>
              <w:t>0,08</w:t>
            </w:r>
          </w:p>
        </w:tc>
        <w:tc>
          <w:tcPr>
            <w:tcW w:w="1220" w:type="dxa"/>
            <w:vAlign w:val="center"/>
          </w:tcPr>
          <w:p w14:paraId="4879ED0F" w14:textId="77777777" w:rsidR="00DA651F" w:rsidRPr="00B129CB" w:rsidRDefault="00DA651F" w:rsidP="000878F6">
            <w:pPr>
              <w:pStyle w:val="Table"/>
              <w:jc w:val="center"/>
              <w:rPr>
                <w:szCs w:val="20"/>
              </w:rPr>
            </w:pPr>
            <w:r w:rsidRPr="00B129CB">
              <w:rPr>
                <w:rFonts w:ascii="Calibri" w:hAnsi="Calibri" w:cs="Calibri"/>
                <w:color w:val="000000"/>
                <w:szCs w:val="20"/>
              </w:rPr>
              <w:t>0,07</w:t>
            </w:r>
          </w:p>
        </w:tc>
        <w:tc>
          <w:tcPr>
            <w:tcW w:w="969" w:type="dxa"/>
            <w:vAlign w:val="center"/>
          </w:tcPr>
          <w:p w14:paraId="08882EC5" w14:textId="77777777" w:rsidR="00DA651F" w:rsidRPr="00B129CB" w:rsidRDefault="00DA651F" w:rsidP="000878F6">
            <w:pPr>
              <w:pStyle w:val="Table"/>
              <w:jc w:val="center"/>
              <w:rPr>
                <w:szCs w:val="20"/>
              </w:rPr>
            </w:pPr>
            <w:r w:rsidRPr="00B129CB">
              <w:rPr>
                <w:rFonts w:ascii="Calibri" w:hAnsi="Calibri" w:cs="Calibri"/>
                <w:color w:val="000000"/>
                <w:szCs w:val="20"/>
              </w:rPr>
              <w:t>0,3%</w:t>
            </w:r>
          </w:p>
        </w:tc>
        <w:tc>
          <w:tcPr>
            <w:tcW w:w="1283" w:type="dxa"/>
            <w:vAlign w:val="center"/>
          </w:tcPr>
          <w:p w14:paraId="6B76F8A1" w14:textId="77777777" w:rsidR="00DA651F" w:rsidRPr="00B129CB" w:rsidRDefault="00DA651F" w:rsidP="000878F6">
            <w:pPr>
              <w:pStyle w:val="Table"/>
              <w:jc w:val="center"/>
              <w:rPr>
                <w:szCs w:val="20"/>
              </w:rPr>
            </w:pPr>
            <w:r w:rsidRPr="00B129CB">
              <w:rPr>
                <w:rFonts w:ascii="Calibri" w:hAnsi="Calibri" w:cs="Calibri"/>
                <w:color w:val="000000"/>
                <w:szCs w:val="20"/>
              </w:rPr>
              <w:t>0,3%</w:t>
            </w:r>
          </w:p>
        </w:tc>
      </w:tr>
      <w:tr w:rsidR="00DA651F" w:rsidRPr="00B129CB" w14:paraId="33BED1E7" w14:textId="77777777" w:rsidTr="00BA7936">
        <w:trPr>
          <w:trHeight w:val="238"/>
        </w:trPr>
        <w:tc>
          <w:tcPr>
            <w:tcW w:w="2252" w:type="dxa"/>
          </w:tcPr>
          <w:p w14:paraId="381B4D84" w14:textId="77777777" w:rsidR="00DA651F" w:rsidRPr="00B129CB" w:rsidRDefault="00DA651F" w:rsidP="000878F6">
            <w:pPr>
              <w:pStyle w:val="Table"/>
              <w:rPr>
                <w:szCs w:val="20"/>
              </w:rPr>
            </w:pPr>
            <w:r w:rsidRPr="00B129CB">
              <w:rPr>
                <w:szCs w:val="20"/>
              </w:rPr>
              <w:t>SO2</w:t>
            </w:r>
          </w:p>
        </w:tc>
        <w:tc>
          <w:tcPr>
            <w:tcW w:w="1126" w:type="dxa"/>
            <w:vAlign w:val="center"/>
          </w:tcPr>
          <w:p w14:paraId="0A7998C6" w14:textId="77777777" w:rsidR="00DA651F" w:rsidRPr="00B129CB" w:rsidRDefault="00DA651F" w:rsidP="000878F6">
            <w:pPr>
              <w:pStyle w:val="Table"/>
              <w:jc w:val="center"/>
              <w:rPr>
                <w:szCs w:val="20"/>
              </w:rPr>
            </w:pPr>
            <w:r w:rsidRPr="00B129CB">
              <w:rPr>
                <w:rFonts w:ascii="Calibri" w:hAnsi="Calibri" w:cs="Calibri"/>
                <w:color w:val="000000"/>
                <w:szCs w:val="20"/>
              </w:rPr>
              <w:t>-8,11%</w:t>
            </w:r>
          </w:p>
        </w:tc>
        <w:tc>
          <w:tcPr>
            <w:tcW w:w="1126" w:type="dxa"/>
            <w:vAlign w:val="center"/>
          </w:tcPr>
          <w:p w14:paraId="75E692E8" w14:textId="77777777" w:rsidR="00DA651F" w:rsidRPr="00B129CB" w:rsidRDefault="00DA651F" w:rsidP="000878F6">
            <w:pPr>
              <w:pStyle w:val="Table"/>
              <w:jc w:val="center"/>
              <w:rPr>
                <w:szCs w:val="20"/>
              </w:rPr>
            </w:pPr>
            <w:r w:rsidRPr="00B129CB">
              <w:rPr>
                <w:rFonts w:ascii="Calibri" w:hAnsi="Calibri" w:cs="Calibri"/>
                <w:color w:val="000000"/>
                <w:szCs w:val="20"/>
              </w:rPr>
              <w:t>-8,11%</w:t>
            </w:r>
          </w:p>
        </w:tc>
        <w:tc>
          <w:tcPr>
            <w:tcW w:w="1032" w:type="dxa"/>
            <w:vAlign w:val="center"/>
          </w:tcPr>
          <w:p w14:paraId="299ECA37" w14:textId="77777777" w:rsidR="00DA651F" w:rsidRPr="00B129CB" w:rsidRDefault="00DA651F" w:rsidP="000878F6">
            <w:pPr>
              <w:pStyle w:val="Table"/>
              <w:jc w:val="center"/>
              <w:rPr>
                <w:szCs w:val="20"/>
              </w:rPr>
            </w:pPr>
            <w:r w:rsidRPr="00B129CB">
              <w:rPr>
                <w:rFonts w:ascii="Calibri" w:hAnsi="Calibri" w:cs="Calibri"/>
                <w:color w:val="000000"/>
                <w:szCs w:val="20"/>
              </w:rPr>
              <w:t>0,44</w:t>
            </w:r>
          </w:p>
        </w:tc>
        <w:tc>
          <w:tcPr>
            <w:tcW w:w="1220" w:type="dxa"/>
            <w:vAlign w:val="center"/>
          </w:tcPr>
          <w:p w14:paraId="4BC06417" w14:textId="77777777" w:rsidR="00DA651F" w:rsidRPr="00B129CB" w:rsidRDefault="00DA651F" w:rsidP="000878F6">
            <w:pPr>
              <w:pStyle w:val="Table"/>
              <w:jc w:val="center"/>
              <w:rPr>
                <w:szCs w:val="20"/>
              </w:rPr>
            </w:pPr>
            <w:r w:rsidRPr="00B129CB">
              <w:rPr>
                <w:rFonts w:ascii="Calibri" w:hAnsi="Calibri" w:cs="Calibri"/>
                <w:color w:val="000000"/>
                <w:szCs w:val="20"/>
              </w:rPr>
              <w:t>0,29</w:t>
            </w:r>
          </w:p>
        </w:tc>
        <w:tc>
          <w:tcPr>
            <w:tcW w:w="969" w:type="dxa"/>
            <w:vAlign w:val="center"/>
          </w:tcPr>
          <w:p w14:paraId="2ECCA477" w14:textId="77777777" w:rsidR="00DA651F" w:rsidRPr="00B129CB" w:rsidRDefault="00DA651F" w:rsidP="000878F6">
            <w:pPr>
              <w:pStyle w:val="Table"/>
              <w:jc w:val="center"/>
              <w:rPr>
                <w:szCs w:val="20"/>
              </w:rPr>
            </w:pPr>
            <w:r w:rsidRPr="00B129CB">
              <w:rPr>
                <w:rFonts w:ascii="Calibri" w:hAnsi="Calibri" w:cs="Calibri"/>
                <w:color w:val="000000"/>
                <w:szCs w:val="20"/>
              </w:rPr>
              <w:t>1,9%</w:t>
            </w:r>
          </w:p>
        </w:tc>
        <w:tc>
          <w:tcPr>
            <w:tcW w:w="1283" w:type="dxa"/>
            <w:vAlign w:val="center"/>
          </w:tcPr>
          <w:p w14:paraId="7BCE4876" w14:textId="77777777" w:rsidR="00DA651F" w:rsidRPr="00B129CB" w:rsidRDefault="00DA651F" w:rsidP="000878F6">
            <w:pPr>
              <w:pStyle w:val="Table"/>
              <w:jc w:val="center"/>
              <w:rPr>
                <w:szCs w:val="20"/>
              </w:rPr>
            </w:pPr>
            <w:r w:rsidRPr="00B129CB">
              <w:rPr>
                <w:rFonts w:ascii="Calibri" w:hAnsi="Calibri" w:cs="Calibri"/>
                <w:color w:val="000000"/>
                <w:szCs w:val="20"/>
              </w:rPr>
              <w:t>1,2%</w:t>
            </w:r>
          </w:p>
        </w:tc>
      </w:tr>
      <w:tr w:rsidR="00DA651F" w:rsidRPr="00B129CB" w14:paraId="67601E10" w14:textId="77777777" w:rsidTr="00BA7936">
        <w:trPr>
          <w:trHeight w:val="238"/>
        </w:trPr>
        <w:tc>
          <w:tcPr>
            <w:tcW w:w="2252" w:type="dxa"/>
          </w:tcPr>
          <w:p w14:paraId="3A874823" w14:textId="77777777" w:rsidR="00DA651F" w:rsidRPr="00B129CB" w:rsidRDefault="00DA651F" w:rsidP="000878F6">
            <w:pPr>
              <w:pStyle w:val="Table"/>
              <w:rPr>
                <w:szCs w:val="20"/>
              </w:rPr>
            </w:pPr>
            <w:r w:rsidRPr="00B129CB">
              <w:rPr>
                <w:szCs w:val="20"/>
              </w:rPr>
              <w:t>PM2.5</w:t>
            </w:r>
          </w:p>
        </w:tc>
        <w:tc>
          <w:tcPr>
            <w:tcW w:w="1126" w:type="dxa"/>
            <w:vAlign w:val="center"/>
          </w:tcPr>
          <w:p w14:paraId="72E7298C" w14:textId="77777777" w:rsidR="00DA651F" w:rsidRPr="00B129CB" w:rsidRDefault="00DA651F" w:rsidP="000878F6">
            <w:pPr>
              <w:pStyle w:val="Table"/>
              <w:jc w:val="center"/>
              <w:rPr>
                <w:szCs w:val="20"/>
              </w:rPr>
            </w:pPr>
            <w:r w:rsidRPr="00B129CB">
              <w:rPr>
                <w:rFonts w:ascii="Calibri" w:hAnsi="Calibri" w:cs="Calibri"/>
                <w:color w:val="000000"/>
                <w:szCs w:val="20"/>
              </w:rPr>
              <w:t>-7,39%</w:t>
            </w:r>
          </w:p>
        </w:tc>
        <w:tc>
          <w:tcPr>
            <w:tcW w:w="1126" w:type="dxa"/>
            <w:vAlign w:val="center"/>
          </w:tcPr>
          <w:p w14:paraId="2931E0F6" w14:textId="77777777" w:rsidR="00DA651F" w:rsidRPr="00B129CB" w:rsidRDefault="00DA651F" w:rsidP="000878F6">
            <w:pPr>
              <w:pStyle w:val="Table"/>
              <w:jc w:val="center"/>
              <w:rPr>
                <w:szCs w:val="20"/>
              </w:rPr>
            </w:pPr>
            <w:r w:rsidRPr="00B129CB">
              <w:rPr>
                <w:rFonts w:ascii="Calibri" w:hAnsi="Calibri" w:cs="Calibri"/>
                <w:color w:val="000000"/>
                <w:szCs w:val="20"/>
              </w:rPr>
              <w:t>-7,39%</w:t>
            </w:r>
          </w:p>
        </w:tc>
        <w:tc>
          <w:tcPr>
            <w:tcW w:w="1032" w:type="dxa"/>
            <w:vAlign w:val="center"/>
          </w:tcPr>
          <w:p w14:paraId="79901601" w14:textId="77777777" w:rsidR="00DA651F" w:rsidRPr="00B129CB" w:rsidRDefault="00DA651F" w:rsidP="000878F6">
            <w:pPr>
              <w:pStyle w:val="Table"/>
              <w:jc w:val="center"/>
              <w:rPr>
                <w:szCs w:val="20"/>
              </w:rPr>
            </w:pPr>
            <w:r w:rsidRPr="00B129CB">
              <w:rPr>
                <w:rFonts w:ascii="Calibri" w:hAnsi="Calibri" w:cs="Calibri"/>
                <w:color w:val="000000"/>
                <w:szCs w:val="20"/>
              </w:rPr>
              <w:t>0,56</w:t>
            </w:r>
          </w:p>
        </w:tc>
        <w:tc>
          <w:tcPr>
            <w:tcW w:w="1220" w:type="dxa"/>
            <w:vAlign w:val="center"/>
          </w:tcPr>
          <w:p w14:paraId="27A91FFF" w14:textId="77777777" w:rsidR="00DA651F" w:rsidRPr="00B129CB" w:rsidRDefault="00DA651F" w:rsidP="000878F6">
            <w:pPr>
              <w:pStyle w:val="Table"/>
              <w:jc w:val="center"/>
              <w:rPr>
                <w:szCs w:val="20"/>
              </w:rPr>
            </w:pPr>
            <w:r w:rsidRPr="00B129CB">
              <w:rPr>
                <w:rFonts w:ascii="Calibri" w:hAnsi="Calibri" w:cs="Calibri"/>
                <w:color w:val="000000"/>
                <w:szCs w:val="20"/>
              </w:rPr>
              <w:t>0,56</w:t>
            </w:r>
          </w:p>
        </w:tc>
        <w:tc>
          <w:tcPr>
            <w:tcW w:w="969" w:type="dxa"/>
            <w:vAlign w:val="center"/>
          </w:tcPr>
          <w:p w14:paraId="1E3D483D" w14:textId="77777777" w:rsidR="00DA651F" w:rsidRPr="00B129CB" w:rsidRDefault="00DA651F" w:rsidP="000878F6">
            <w:pPr>
              <w:pStyle w:val="Table"/>
              <w:jc w:val="center"/>
              <w:rPr>
                <w:szCs w:val="20"/>
              </w:rPr>
            </w:pPr>
            <w:r w:rsidRPr="00B129CB">
              <w:rPr>
                <w:rFonts w:ascii="Calibri" w:hAnsi="Calibri" w:cs="Calibri"/>
                <w:color w:val="000000"/>
                <w:szCs w:val="20"/>
              </w:rPr>
              <w:t>2,3%</w:t>
            </w:r>
          </w:p>
        </w:tc>
        <w:tc>
          <w:tcPr>
            <w:tcW w:w="1283" w:type="dxa"/>
            <w:vAlign w:val="center"/>
          </w:tcPr>
          <w:p w14:paraId="30091464" w14:textId="77777777" w:rsidR="00DA651F" w:rsidRPr="00B129CB" w:rsidRDefault="00DA651F" w:rsidP="000878F6">
            <w:pPr>
              <w:pStyle w:val="Table"/>
              <w:jc w:val="center"/>
              <w:rPr>
                <w:szCs w:val="20"/>
              </w:rPr>
            </w:pPr>
            <w:r w:rsidRPr="00B129CB">
              <w:rPr>
                <w:rFonts w:ascii="Calibri" w:hAnsi="Calibri" w:cs="Calibri"/>
                <w:color w:val="000000"/>
                <w:szCs w:val="20"/>
              </w:rPr>
              <w:t>2,4%</w:t>
            </w:r>
          </w:p>
        </w:tc>
      </w:tr>
      <w:tr w:rsidR="00DA651F" w:rsidRPr="00B129CB" w14:paraId="7F10BB9E" w14:textId="77777777" w:rsidTr="00BA7936">
        <w:trPr>
          <w:trHeight w:val="238"/>
        </w:trPr>
        <w:tc>
          <w:tcPr>
            <w:tcW w:w="2252" w:type="dxa"/>
          </w:tcPr>
          <w:p w14:paraId="6D6E2E91" w14:textId="77777777" w:rsidR="00DA651F" w:rsidRPr="00B129CB" w:rsidRDefault="00DA651F" w:rsidP="000878F6">
            <w:pPr>
              <w:pStyle w:val="Table"/>
              <w:rPr>
                <w:szCs w:val="20"/>
              </w:rPr>
            </w:pPr>
            <w:r w:rsidRPr="00B129CB">
              <w:rPr>
                <w:szCs w:val="20"/>
              </w:rPr>
              <w:t>Water Abstraction</w:t>
            </w:r>
          </w:p>
        </w:tc>
        <w:tc>
          <w:tcPr>
            <w:tcW w:w="1126" w:type="dxa"/>
            <w:vAlign w:val="center"/>
          </w:tcPr>
          <w:p w14:paraId="36FD59F3" w14:textId="77777777" w:rsidR="00DA651F" w:rsidRPr="00B129CB" w:rsidRDefault="00DA651F" w:rsidP="000878F6">
            <w:pPr>
              <w:pStyle w:val="Table"/>
              <w:jc w:val="center"/>
              <w:rPr>
                <w:szCs w:val="20"/>
              </w:rPr>
            </w:pPr>
            <w:r w:rsidRPr="00B129CB">
              <w:rPr>
                <w:rFonts w:ascii="Calibri" w:hAnsi="Calibri" w:cs="Calibri"/>
                <w:color w:val="000000"/>
                <w:szCs w:val="20"/>
              </w:rPr>
              <w:t>0,00%</w:t>
            </w:r>
          </w:p>
        </w:tc>
        <w:tc>
          <w:tcPr>
            <w:tcW w:w="1126" w:type="dxa"/>
            <w:vAlign w:val="center"/>
          </w:tcPr>
          <w:p w14:paraId="3070A10F" w14:textId="77777777" w:rsidR="00DA651F" w:rsidRPr="00B129CB" w:rsidRDefault="00DA651F" w:rsidP="000878F6">
            <w:pPr>
              <w:pStyle w:val="Table"/>
              <w:jc w:val="center"/>
              <w:rPr>
                <w:szCs w:val="20"/>
              </w:rPr>
            </w:pPr>
            <w:r w:rsidRPr="00B129CB">
              <w:rPr>
                <w:rFonts w:ascii="Calibri" w:hAnsi="Calibri" w:cs="Calibri"/>
                <w:color w:val="000000"/>
                <w:szCs w:val="20"/>
              </w:rPr>
              <w:t>0,00%</w:t>
            </w:r>
          </w:p>
        </w:tc>
        <w:tc>
          <w:tcPr>
            <w:tcW w:w="1032" w:type="dxa"/>
            <w:vAlign w:val="center"/>
          </w:tcPr>
          <w:p w14:paraId="6BDF97DC" w14:textId="77777777" w:rsidR="00DA651F" w:rsidRPr="00B129CB" w:rsidRDefault="00DA651F" w:rsidP="000878F6">
            <w:pPr>
              <w:pStyle w:val="Table"/>
              <w:jc w:val="center"/>
              <w:rPr>
                <w:szCs w:val="20"/>
              </w:rPr>
            </w:pPr>
            <w:r w:rsidRPr="00B129CB">
              <w:rPr>
                <w:rFonts w:ascii="Calibri" w:hAnsi="Calibri" w:cs="Calibri"/>
                <w:color w:val="000000"/>
                <w:szCs w:val="20"/>
              </w:rPr>
              <w:t>0,00</w:t>
            </w:r>
          </w:p>
        </w:tc>
        <w:tc>
          <w:tcPr>
            <w:tcW w:w="1220" w:type="dxa"/>
            <w:vAlign w:val="center"/>
          </w:tcPr>
          <w:p w14:paraId="7BD1C3D6" w14:textId="77777777" w:rsidR="00DA651F" w:rsidRPr="00B129CB" w:rsidRDefault="00DA651F" w:rsidP="000878F6">
            <w:pPr>
              <w:pStyle w:val="Table"/>
              <w:jc w:val="center"/>
              <w:rPr>
                <w:szCs w:val="20"/>
              </w:rPr>
            </w:pPr>
            <w:r w:rsidRPr="00B129CB">
              <w:rPr>
                <w:rFonts w:ascii="Calibri" w:hAnsi="Calibri" w:cs="Calibri"/>
                <w:color w:val="000000"/>
                <w:szCs w:val="20"/>
              </w:rPr>
              <w:t>0,00</w:t>
            </w:r>
          </w:p>
        </w:tc>
        <w:tc>
          <w:tcPr>
            <w:tcW w:w="969" w:type="dxa"/>
            <w:vAlign w:val="center"/>
          </w:tcPr>
          <w:p w14:paraId="3952DEC1" w14:textId="77777777" w:rsidR="00DA651F" w:rsidRPr="00B129CB" w:rsidRDefault="00DA651F" w:rsidP="000878F6">
            <w:pPr>
              <w:pStyle w:val="Table"/>
              <w:jc w:val="center"/>
              <w:rPr>
                <w:szCs w:val="20"/>
              </w:rPr>
            </w:pPr>
            <w:r w:rsidRPr="00B129CB">
              <w:rPr>
                <w:rFonts w:ascii="Calibri" w:hAnsi="Calibri" w:cs="Calibri"/>
                <w:color w:val="000000"/>
                <w:szCs w:val="20"/>
              </w:rPr>
              <w:t>0,0%</w:t>
            </w:r>
          </w:p>
        </w:tc>
        <w:tc>
          <w:tcPr>
            <w:tcW w:w="1283" w:type="dxa"/>
            <w:vAlign w:val="center"/>
          </w:tcPr>
          <w:p w14:paraId="3B386F40" w14:textId="77777777" w:rsidR="00DA651F" w:rsidRPr="00B129CB" w:rsidRDefault="00DA651F" w:rsidP="000878F6">
            <w:pPr>
              <w:pStyle w:val="Table"/>
              <w:jc w:val="center"/>
              <w:rPr>
                <w:szCs w:val="20"/>
              </w:rPr>
            </w:pPr>
            <w:r w:rsidRPr="00B129CB">
              <w:rPr>
                <w:rFonts w:ascii="Calibri" w:hAnsi="Calibri" w:cs="Calibri"/>
                <w:color w:val="000000"/>
                <w:szCs w:val="20"/>
              </w:rPr>
              <w:t>0,0%</w:t>
            </w:r>
          </w:p>
        </w:tc>
      </w:tr>
      <w:tr w:rsidR="00DA651F" w:rsidRPr="00B129CB" w14:paraId="2C1EAFC3" w14:textId="77777777" w:rsidTr="00BA7936">
        <w:trPr>
          <w:trHeight w:val="71"/>
        </w:trPr>
        <w:tc>
          <w:tcPr>
            <w:tcW w:w="2252" w:type="dxa"/>
          </w:tcPr>
          <w:p w14:paraId="3FFAA6A4" w14:textId="77777777" w:rsidR="00DA651F" w:rsidRPr="00B129CB" w:rsidRDefault="00DA651F" w:rsidP="000878F6">
            <w:pPr>
              <w:pStyle w:val="Table"/>
              <w:rPr>
                <w:szCs w:val="20"/>
              </w:rPr>
            </w:pPr>
            <w:r w:rsidRPr="00B129CB">
              <w:rPr>
                <w:szCs w:val="20"/>
              </w:rPr>
              <w:t>Fertilizers</w:t>
            </w:r>
          </w:p>
        </w:tc>
        <w:tc>
          <w:tcPr>
            <w:tcW w:w="1126" w:type="dxa"/>
            <w:vAlign w:val="center"/>
          </w:tcPr>
          <w:p w14:paraId="0DD7C05E" w14:textId="77777777" w:rsidR="00DA651F" w:rsidRPr="00B129CB" w:rsidRDefault="00DA651F" w:rsidP="000878F6">
            <w:pPr>
              <w:pStyle w:val="Table"/>
              <w:jc w:val="center"/>
              <w:rPr>
                <w:szCs w:val="20"/>
              </w:rPr>
            </w:pPr>
            <w:r w:rsidRPr="00B129CB">
              <w:rPr>
                <w:rFonts w:ascii="Calibri" w:hAnsi="Calibri" w:cs="Calibri"/>
                <w:color w:val="000000"/>
                <w:szCs w:val="20"/>
              </w:rPr>
              <w:t>-5,99%</w:t>
            </w:r>
          </w:p>
        </w:tc>
        <w:tc>
          <w:tcPr>
            <w:tcW w:w="1126" w:type="dxa"/>
            <w:vAlign w:val="center"/>
          </w:tcPr>
          <w:p w14:paraId="28FB8102" w14:textId="77777777" w:rsidR="00DA651F" w:rsidRPr="00B129CB" w:rsidRDefault="00DA651F" w:rsidP="000878F6">
            <w:pPr>
              <w:pStyle w:val="Table"/>
              <w:jc w:val="center"/>
              <w:rPr>
                <w:szCs w:val="20"/>
              </w:rPr>
            </w:pPr>
            <w:r w:rsidRPr="00B129CB">
              <w:rPr>
                <w:rFonts w:ascii="Calibri" w:hAnsi="Calibri" w:cs="Calibri"/>
                <w:color w:val="000000"/>
                <w:szCs w:val="20"/>
              </w:rPr>
              <w:t>-5,99%</w:t>
            </w:r>
          </w:p>
        </w:tc>
        <w:tc>
          <w:tcPr>
            <w:tcW w:w="1032" w:type="dxa"/>
            <w:vAlign w:val="center"/>
          </w:tcPr>
          <w:p w14:paraId="5390FFAB" w14:textId="77777777" w:rsidR="00DA651F" w:rsidRPr="00B129CB" w:rsidRDefault="00DA651F" w:rsidP="000878F6">
            <w:pPr>
              <w:pStyle w:val="Table"/>
              <w:jc w:val="center"/>
              <w:rPr>
                <w:szCs w:val="20"/>
              </w:rPr>
            </w:pPr>
            <w:r w:rsidRPr="00B129CB">
              <w:rPr>
                <w:rFonts w:ascii="Calibri" w:hAnsi="Calibri" w:cs="Calibri"/>
                <w:color w:val="000000"/>
                <w:szCs w:val="20"/>
              </w:rPr>
              <w:t>0,53</w:t>
            </w:r>
          </w:p>
        </w:tc>
        <w:tc>
          <w:tcPr>
            <w:tcW w:w="1220" w:type="dxa"/>
            <w:vAlign w:val="center"/>
          </w:tcPr>
          <w:p w14:paraId="7CAD2A12" w14:textId="77777777" w:rsidR="00DA651F" w:rsidRPr="00B129CB" w:rsidRDefault="00DA651F" w:rsidP="000878F6">
            <w:pPr>
              <w:pStyle w:val="Table"/>
              <w:jc w:val="center"/>
              <w:rPr>
                <w:szCs w:val="20"/>
              </w:rPr>
            </w:pPr>
            <w:r w:rsidRPr="00B129CB">
              <w:rPr>
                <w:rFonts w:ascii="Calibri" w:hAnsi="Calibri" w:cs="Calibri"/>
                <w:color w:val="000000"/>
                <w:szCs w:val="20"/>
              </w:rPr>
              <w:t>0,51</w:t>
            </w:r>
          </w:p>
        </w:tc>
        <w:tc>
          <w:tcPr>
            <w:tcW w:w="969" w:type="dxa"/>
            <w:vAlign w:val="center"/>
          </w:tcPr>
          <w:p w14:paraId="1A33E469" w14:textId="77777777" w:rsidR="00DA651F" w:rsidRPr="00B129CB" w:rsidRDefault="00DA651F" w:rsidP="000878F6">
            <w:pPr>
              <w:pStyle w:val="Table"/>
              <w:jc w:val="center"/>
              <w:rPr>
                <w:szCs w:val="20"/>
              </w:rPr>
            </w:pPr>
            <w:r w:rsidRPr="00B129CB">
              <w:rPr>
                <w:rFonts w:ascii="Calibri" w:hAnsi="Calibri" w:cs="Calibri"/>
                <w:color w:val="000000"/>
                <w:szCs w:val="20"/>
              </w:rPr>
              <w:t>2,2%</w:t>
            </w:r>
          </w:p>
        </w:tc>
        <w:tc>
          <w:tcPr>
            <w:tcW w:w="1283" w:type="dxa"/>
            <w:vAlign w:val="center"/>
          </w:tcPr>
          <w:p w14:paraId="53CE4AF6" w14:textId="77777777" w:rsidR="00DA651F" w:rsidRPr="00B129CB" w:rsidRDefault="00DA651F" w:rsidP="000878F6">
            <w:pPr>
              <w:pStyle w:val="Table"/>
              <w:jc w:val="center"/>
              <w:rPr>
                <w:szCs w:val="20"/>
              </w:rPr>
            </w:pPr>
            <w:r w:rsidRPr="00B129CB">
              <w:rPr>
                <w:rFonts w:ascii="Calibri" w:hAnsi="Calibri" w:cs="Calibri"/>
                <w:color w:val="000000"/>
                <w:szCs w:val="20"/>
              </w:rPr>
              <w:t>2,1%</w:t>
            </w:r>
          </w:p>
        </w:tc>
      </w:tr>
      <w:tr w:rsidR="00DA651F" w:rsidRPr="00B129CB" w14:paraId="407B71CB" w14:textId="77777777" w:rsidTr="00BA7936">
        <w:trPr>
          <w:trHeight w:val="238"/>
        </w:trPr>
        <w:tc>
          <w:tcPr>
            <w:tcW w:w="2252" w:type="dxa"/>
          </w:tcPr>
          <w:p w14:paraId="30499100" w14:textId="77777777" w:rsidR="00DA651F" w:rsidRPr="00B129CB" w:rsidRDefault="00DA651F" w:rsidP="000878F6">
            <w:pPr>
              <w:pStyle w:val="Table"/>
              <w:rPr>
                <w:szCs w:val="20"/>
              </w:rPr>
            </w:pPr>
            <w:r w:rsidRPr="00B129CB">
              <w:rPr>
                <w:szCs w:val="20"/>
              </w:rPr>
              <w:t>Pesticides</w:t>
            </w:r>
          </w:p>
        </w:tc>
        <w:tc>
          <w:tcPr>
            <w:tcW w:w="1126" w:type="dxa"/>
            <w:vAlign w:val="center"/>
          </w:tcPr>
          <w:p w14:paraId="114C7994" w14:textId="77777777" w:rsidR="00DA651F" w:rsidRPr="00B129CB" w:rsidRDefault="00DA651F" w:rsidP="000878F6">
            <w:pPr>
              <w:pStyle w:val="Table"/>
              <w:jc w:val="center"/>
              <w:rPr>
                <w:szCs w:val="20"/>
              </w:rPr>
            </w:pPr>
            <w:r w:rsidRPr="00B129CB">
              <w:rPr>
                <w:rFonts w:ascii="Calibri" w:hAnsi="Calibri" w:cs="Calibri"/>
                <w:color w:val="000000"/>
                <w:szCs w:val="20"/>
              </w:rPr>
              <w:t>n/a</w:t>
            </w:r>
          </w:p>
        </w:tc>
        <w:tc>
          <w:tcPr>
            <w:tcW w:w="1126" w:type="dxa"/>
            <w:vAlign w:val="center"/>
          </w:tcPr>
          <w:p w14:paraId="3DE0EEAB" w14:textId="77777777" w:rsidR="00DA651F" w:rsidRPr="00B129CB" w:rsidRDefault="00DA651F" w:rsidP="000878F6">
            <w:pPr>
              <w:pStyle w:val="Table"/>
              <w:jc w:val="center"/>
              <w:rPr>
                <w:szCs w:val="20"/>
              </w:rPr>
            </w:pPr>
            <w:r w:rsidRPr="00B129CB">
              <w:rPr>
                <w:rFonts w:ascii="Calibri" w:hAnsi="Calibri" w:cs="Calibri"/>
                <w:color w:val="000000"/>
                <w:szCs w:val="20"/>
              </w:rPr>
              <w:t>n/a</w:t>
            </w:r>
          </w:p>
        </w:tc>
        <w:tc>
          <w:tcPr>
            <w:tcW w:w="1032" w:type="dxa"/>
            <w:vAlign w:val="center"/>
          </w:tcPr>
          <w:p w14:paraId="7930F008" w14:textId="77777777" w:rsidR="00DA651F" w:rsidRPr="00B129CB" w:rsidRDefault="00DA651F" w:rsidP="000878F6">
            <w:pPr>
              <w:pStyle w:val="Table"/>
              <w:jc w:val="center"/>
              <w:rPr>
                <w:szCs w:val="20"/>
              </w:rPr>
            </w:pPr>
            <w:r w:rsidRPr="00B129CB">
              <w:rPr>
                <w:rFonts w:ascii="Calibri" w:hAnsi="Calibri" w:cs="Calibri"/>
                <w:color w:val="000000"/>
                <w:szCs w:val="20"/>
              </w:rPr>
              <w:t>2,25</w:t>
            </w:r>
          </w:p>
        </w:tc>
        <w:tc>
          <w:tcPr>
            <w:tcW w:w="1220" w:type="dxa"/>
            <w:vAlign w:val="center"/>
          </w:tcPr>
          <w:p w14:paraId="657561E8" w14:textId="77777777" w:rsidR="00DA651F" w:rsidRPr="00B129CB" w:rsidRDefault="00DA651F" w:rsidP="000878F6">
            <w:pPr>
              <w:pStyle w:val="Table"/>
              <w:jc w:val="center"/>
              <w:rPr>
                <w:szCs w:val="20"/>
              </w:rPr>
            </w:pPr>
            <w:r w:rsidRPr="00B129CB">
              <w:rPr>
                <w:rFonts w:ascii="Calibri" w:hAnsi="Calibri" w:cs="Calibri"/>
                <w:color w:val="000000"/>
                <w:szCs w:val="20"/>
              </w:rPr>
              <w:t>2,23</w:t>
            </w:r>
          </w:p>
        </w:tc>
        <w:tc>
          <w:tcPr>
            <w:tcW w:w="969" w:type="dxa"/>
            <w:vAlign w:val="center"/>
          </w:tcPr>
          <w:p w14:paraId="6339FCFC" w14:textId="77777777" w:rsidR="00DA651F" w:rsidRPr="00B129CB" w:rsidRDefault="00DA651F" w:rsidP="000878F6">
            <w:pPr>
              <w:pStyle w:val="Table"/>
              <w:jc w:val="center"/>
              <w:rPr>
                <w:szCs w:val="20"/>
              </w:rPr>
            </w:pPr>
            <w:r w:rsidRPr="00B129CB">
              <w:rPr>
                <w:rFonts w:ascii="Calibri" w:hAnsi="Calibri" w:cs="Calibri"/>
                <w:color w:val="000000"/>
                <w:szCs w:val="20"/>
              </w:rPr>
              <w:t>9,4%</w:t>
            </w:r>
          </w:p>
        </w:tc>
        <w:tc>
          <w:tcPr>
            <w:tcW w:w="1283" w:type="dxa"/>
            <w:vAlign w:val="center"/>
          </w:tcPr>
          <w:p w14:paraId="42AB4B7A" w14:textId="77777777" w:rsidR="00DA651F" w:rsidRPr="00B129CB" w:rsidRDefault="00DA651F" w:rsidP="000878F6">
            <w:pPr>
              <w:pStyle w:val="Table"/>
              <w:jc w:val="center"/>
              <w:rPr>
                <w:szCs w:val="20"/>
              </w:rPr>
            </w:pPr>
            <w:r w:rsidRPr="00B129CB">
              <w:rPr>
                <w:rFonts w:ascii="Calibri" w:hAnsi="Calibri" w:cs="Calibri"/>
                <w:color w:val="000000"/>
                <w:szCs w:val="20"/>
              </w:rPr>
              <w:t>9,3%</w:t>
            </w:r>
          </w:p>
        </w:tc>
      </w:tr>
      <w:tr w:rsidR="00DA651F" w:rsidRPr="00B129CB" w14:paraId="746DBE53" w14:textId="77777777" w:rsidTr="00BA7936">
        <w:trPr>
          <w:trHeight w:val="238"/>
        </w:trPr>
        <w:tc>
          <w:tcPr>
            <w:tcW w:w="2252" w:type="dxa"/>
          </w:tcPr>
          <w:p w14:paraId="5AC956DB" w14:textId="77777777" w:rsidR="00DA651F" w:rsidRPr="00B129CB" w:rsidRDefault="00DA651F" w:rsidP="000878F6">
            <w:pPr>
              <w:pStyle w:val="Table"/>
              <w:rPr>
                <w:szCs w:val="20"/>
              </w:rPr>
            </w:pPr>
            <w:r w:rsidRPr="00B129CB">
              <w:rPr>
                <w:szCs w:val="20"/>
              </w:rPr>
              <w:t>Waste Incineration</w:t>
            </w:r>
          </w:p>
        </w:tc>
        <w:tc>
          <w:tcPr>
            <w:tcW w:w="1126" w:type="dxa"/>
            <w:vAlign w:val="center"/>
          </w:tcPr>
          <w:p w14:paraId="7915EECA" w14:textId="77777777" w:rsidR="00DA651F" w:rsidRPr="00B129CB" w:rsidRDefault="00DA651F" w:rsidP="000878F6">
            <w:pPr>
              <w:pStyle w:val="Table"/>
              <w:jc w:val="center"/>
              <w:rPr>
                <w:szCs w:val="20"/>
              </w:rPr>
            </w:pPr>
            <w:r w:rsidRPr="00B129CB">
              <w:rPr>
                <w:rFonts w:ascii="Calibri" w:hAnsi="Calibri" w:cs="Calibri"/>
                <w:color w:val="000000"/>
                <w:szCs w:val="20"/>
              </w:rPr>
              <w:t>-8,31%</w:t>
            </w:r>
          </w:p>
        </w:tc>
        <w:tc>
          <w:tcPr>
            <w:tcW w:w="1126" w:type="dxa"/>
            <w:vAlign w:val="center"/>
          </w:tcPr>
          <w:p w14:paraId="5976B66A" w14:textId="77777777" w:rsidR="00DA651F" w:rsidRPr="00B129CB" w:rsidRDefault="00DA651F" w:rsidP="000878F6">
            <w:pPr>
              <w:pStyle w:val="Table"/>
              <w:jc w:val="center"/>
              <w:rPr>
                <w:szCs w:val="20"/>
              </w:rPr>
            </w:pPr>
            <w:r w:rsidRPr="00B129CB">
              <w:rPr>
                <w:rFonts w:ascii="Calibri" w:hAnsi="Calibri" w:cs="Calibri"/>
                <w:color w:val="000000"/>
                <w:szCs w:val="20"/>
              </w:rPr>
              <w:t>-8,31%</w:t>
            </w:r>
          </w:p>
        </w:tc>
        <w:tc>
          <w:tcPr>
            <w:tcW w:w="1032" w:type="dxa"/>
            <w:vAlign w:val="center"/>
          </w:tcPr>
          <w:p w14:paraId="3A40E417" w14:textId="77777777" w:rsidR="00DA651F" w:rsidRPr="00B129CB" w:rsidRDefault="00DA651F" w:rsidP="000878F6">
            <w:pPr>
              <w:pStyle w:val="Table"/>
              <w:jc w:val="center"/>
              <w:rPr>
                <w:szCs w:val="20"/>
              </w:rPr>
            </w:pPr>
            <w:r w:rsidRPr="00B129CB">
              <w:rPr>
                <w:rFonts w:ascii="Calibri" w:hAnsi="Calibri" w:cs="Calibri"/>
                <w:color w:val="000000"/>
                <w:szCs w:val="20"/>
              </w:rPr>
              <w:t>0,17</w:t>
            </w:r>
          </w:p>
        </w:tc>
        <w:tc>
          <w:tcPr>
            <w:tcW w:w="1220" w:type="dxa"/>
            <w:vAlign w:val="center"/>
          </w:tcPr>
          <w:p w14:paraId="667B0931" w14:textId="77777777" w:rsidR="00DA651F" w:rsidRPr="00B129CB" w:rsidRDefault="00DA651F" w:rsidP="000878F6">
            <w:pPr>
              <w:pStyle w:val="Table"/>
              <w:jc w:val="center"/>
              <w:rPr>
                <w:szCs w:val="20"/>
              </w:rPr>
            </w:pPr>
            <w:r w:rsidRPr="00B129CB">
              <w:rPr>
                <w:rFonts w:ascii="Calibri" w:hAnsi="Calibri" w:cs="Calibri"/>
                <w:color w:val="000000"/>
                <w:szCs w:val="20"/>
              </w:rPr>
              <w:t>0,13</w:t>
            </w:r>
          </w:p>
        </w:tc>
        <w:tc>
          <w:tcPr>
            <w:tcW w:w="969" w:type="dxa"/>
            <w:vAlign w:val="center"/>
          </w:tcPr>
          <w:p w14:paraId="191C778B" w14:textId="77777777" w:rsidR="00DA651F" w:rsidRPr="00B129CB" w:rsidRDefault="00DA651F" w:rsidP="000878F6">
            <w:pPr>
              <w:pStyle w:val="Table"/>
              <w:jc w:val="center"/>
              <w:rPr>
                <w:szCs w:val="20"/>
              </w:rPr>
            </w:pPr>
            <w:r w:rsidRPr="00B129CB">
              <w:rPr>
                <w:rFonts w:ascii="Calibri" w:hAnsi="Calibri" w:cs="Calibri"/>
                <w:color w:val="000000"/>
                <w:szCs w:val="20"/>
              </w:rPr>
              <w:t>0,7%</w:t>
            </w:r>
          </w:p>
        </w:tc>
        <w:tc>
          <w:tcPr>
            <w:tcW w:w="1283" w:type="dxa"/>
            <w:vAlign w:val="center"/>
          </w:tcPr>
          <w:p w14:paraId="7422C1B2" w14:textId="77777777" w:rsidR="00DA651F" w:rsidRPr="00B129CB" w:rsidRDefault="00DA651F" w:rsidP="000878F6">
            <w:pPr>
              <w:pStyle w:val="Table"/>
              <w:jc w:val="center"/>
              <w:rPr>
                <w:szCs w:val="20"/>
              </w:rPr>
            </w:pPr>
            <w:r w:rsidRPr="00B129CB">
              <w:rPr>
                <w:rFonts w:ascii="Calibri" w:hAnsi="Calibri" w:cs="Calibri"/>
                <w:color w:val="000000"/>
                <w:szCs w:val="20"/>
              </w:rPr>
              <w:t>0,5%</w:t>
            </w:r>
          </w:p>
        </w:tc>
      </w:tr>
      <w:tr w:rsidR="00DA651F" w:rsidRPr="00B129CB" w14:paraId="77DA3940" w14:textId="77777777" w:rsidTr="00BA7936">
        <w:trPr>
          <w:trHeight w:val="238"/>
        </w:trPr>
        <w:tc>
          <w:tcPr>
            <w:tcW w:w="2252" w:type="dxa"/>
          </w:tcPr>
          <w:p w14:paraId="312B6F50" w14:textId="77777777" w:rsidR="00DA651F" w:rsidRPr="00B129CB" w:rsidRDefault="00DA651F" w:rsidP="000878F6">
            <w:pPr>
              <w:pStyle w:val="Table"/>
              <w:rPr>
                <w:szCs w:val="20"/>
              </w:rPr>
            </w:pPr>
            <w:r w:rsidRPr="00B129CB">
              <w:rPr>
                <w:szCs w:val="20"/>
              </w:rPr>
              <w:t>Waste to Landfill</w:t>
            </w:r>
          </w:p>
        </w:tc>
        <w:tc>
          <w:tcPr>
            <w:tcW w:w="1126" w:type="dxa"/>
            <w:vAlign w:val="center"/>
          </w:tcPr>
          <w:p w14:paraId="6A5A1EF6" w14:textId="77777777" w:rsidR="00DA651F" w:rsidRPr="00B129CB" w:rsidRDefault="00DA651F" w:rsidP="000878F6">
            <w:pPr>
              <w:pStyle w:val="Table"/>
              <w:jc w:val="center"/>
              <w:rPr>
                <w:szCs w:val="20"/>
              </w:rPr>
            </w:pPr>
            <w:r w:rsidRPr="00B129CB">
              <w:rPr>
                <w:rFonts w:ascii="Calibri" w:hAnsi="Calibri" w:cs="Calibri"/>
                <w:color w:val="000000"/>
                <w:szCs w:val="20"/>
              </w:rPr>
              <w:t>-32,50%</w:t>
            </w:r>
          </w:p>
        </w:tc>
        <w:tc>
          <w:tcPr>
            <w:tcW w:w="1126" w:type="dxa"/>
            <w:vAlign w:val="center"/>
          </w:tcPr>
          <w:p w14:paraId="1E62A779" w14:textId="77777777" w:rsidR="00DA651F" w:rsidRPr="00B129CB" w:rsidRDefault="00DA651F" w:rsidP="000878F6">
            <w:pPr>
              <w:pStyle w:val="Table"/>
              <w:jc w:val="center"/>
              <w:rPr>
                <w:szCs w:val="20"/>
              </w:rPr>
            </w:pPr>
            <w:r w:rsidRPr="00B129CB">
              <w:rPr>
                <w:rFonts w:ascii="Calibri" w:hAnsi="Calibri" w:cs="Calibri"/>
                <w:color w:val="000000"/>
                <w:szCs w:val="20"/>
              </w:rPr>
              <w:t>-32,50%</w:t>
            </w:r>
          </w:p>
        </w:tc>
        <w:tc>
          <w:tcPr>
            <w:tcW w:w="1032" w:type="dxa"/>
            <w:vAlign w:val="center"/>
          </w:tcPr>
          <w:p w14:paraId="49BF9A35" w14:textId="77777777" w:rsidR="00DA651F" w:rsidRPr="00B129CB" w:rsidRDefault="00DA651F" w:rsidP="000878F6">
            <w:pPr>
              <w:pStyle w:val="Table"/>
              <w:jc w:val="center"/>
              <w:rPr>
                <w:szCs w:val="20"/>
              </w:rPr>
            </w:pPr>
            <w:r w:rsidRPr="00B129CB">
              <w:rPr>
                <w:rFonts w:ascii="Calibri" w:hAnsi="Calibri" w:cs="Calibri"/>
                <w:color w:val="000000"/>
                <w:szCs w:val="20"/>
              </w:rPr>
              <w:t>2,29</w:t>
            </w:r>
          </w:p>
        </w:tc>
        <w:tc>
          <w:tcPr>
            <w:tcW w:w="1220" w:type="dxa"/>
            <w:vAlign w:val="center"/>
          </w:tcPr>
          <w:p w14:paraId="568BC782" w14:textId="77777777" w:rsidR="00DA651F" w:rsidRPr="00B129CB" w:rsidRDefault="00DA651F" w:rsidP="000878F6">
            <w:pPr>
              <w:pStyle w:val="Table"/>
              <w:jc w:val="center"/>
              <w:rPr>
                <w:szCs w:val="20"/>
              </w:rPr>
            </w:pPr>
            <w:r w:rsidRPr="00B129CB">
              <w:rPr>
                <w:rFonts w:ascii="Calibri" w:hAnsi="Calibri" w:cs="Calibri"/>
                <w:color w:val="000000"/>
                <w:szCs w:val="20"/>
              </w:rPr>
              <w:t>1,50</w:t>
            </w:r>
          </w:p>
        </w:tc>
        <w:tc>
          <w:tcPr>
            <w:tcW w:w="969" w:type="dxa"/>
            <w:vAlign w:val="center"/>
          </w:tcPr>
          <w:p w14:paraId="4B71A16A" w14:textId="77777777" w:rsidR="00DA651F" w:rsidRPr="00B129CB" w:rsidRDefault="00DA651F" w:rsidP="000878F6">
            <w:pPr>
              <w:pStyle w:val="Table"/>
              <w:jc w:val="center"/>
              <w:rPr>
                <w:szCs w:val="20"/>
              </w:rPr>
            </w:pPr>
            <w:r w:rsidRPr="00B129CB">
              <w:rPr>
                <w:rFonts w:ascii="Calibri" w:hAnsi="Calibri" w:cs="Calibri"/>
                <w:color w:val="000000"/>
                <w:szCs w:val="20"/>
              </w:rPr>
              <w:t>9,6%</w:t>
            </w:r>
          </w:p>
        </w:tc>
        <w:tc>
          <w:tcPr>
            <w:tcW w:w="1283" w:type="dxa"/>
            <w:vAlign w:val="center"/>
          </w:tcPr>
          <w:p w14:paraId="614A3B85" w14:textId="77777777" w:rsidR="00DA651F" w:rsidRPr="00B129CB" w:rsidRDefault="00DA651F" w:rsidP="000878F6">
            <w:pPr>
              <w:pStyle w:val="Table"/>
              <w:jc w:val="center"/>
              <w:rPr>
                <w:szCs w:val="20"/>
              </w:rPr>
            </w:pPr>
            <w:r w:rsidRPr="00B129CB">
              <w:rPr>
                <w:rFonts w:ascii="Calibri" w:hAnsi="Calibri" w:cs="Calibri"/>
                <w:color w:val="000000"/>
                <w:szCs w:val="20"/>
              </w:rPr>
              <w:t>6,3%</w:t>
            </w:r>
          </w:p>
        </w:tc>
      </w:tr>
      <w:tr w:rsidR="00DA651F" w:rsidRPr="00B129CB" w14:paraId="1BE256EC" w14:textId="77777777" w:rsidTr="00BA7936">
        <w:trPr>
          <w:trHeight w:val="238"/>
        </w:trPr>
        <w:tc>
          <w:tcPr>
            <w:tcW w:w="2252" w:type="dxa"/>
          </w:tcPr>
          <w:p w14:paraId="09D34796" w14:textId="77777777" w:rsidR="00DA651F" w:rsidRPr="00B129CB" w:rsidRDefault="00DA651F" w:rsidP="000878F6">
            <w:pPr>
              <w:pStyle w:val="Table"/>
              <w:rPr>
                <w:szCs w:val="20"/>
              </w:rPr>
            </w:pPr>
            <w:r w:rsidRPr="00B129CB">
              <w:rPr>
                <w:szCs w:val="20"/>
              </w:rPr>
              <w:t>Water Effluent</w:t>
            </w:r>
          </w:p>
        </w:tc>
        <w:tc>
          <w:tcPr>
            <w:tcW w:w="1126" w:type="dxa"/>
            <w:vAlign w:val="center"/>
          </w:tcPr>
          <w:p w14:paraId="096DF839" w14:textId="77777777" w:rsidR="00DA651F" w:rsidRPr="00B129CB" w:rsidRDefault="00DA651F" w:rsidP="000878F6">
            <w:pPr>
              <w:pStyle w:val="Table"/>
              <w:jc w:val="center"/>
              <w:rPr>
                <w:szCs w:val="20"/>
              </w:rPr>
            </w:pPr>
            <w:r w:rsidRPr="00B129CB">
              <w:rPr>
                <w:rFonts w:ascii="Calibri" w:hAnsi="Calibri" w:cs="Calibri"/>
                <w:color w:val="000000"/>
                <w:szCs w:val="20"/>
              </w:rPr>
              <w:t>-10,41%</w:t>
            </w:r>
          </w:p>
        </w:tc>
        <w:tc>
          <w:tcPr>
            <w:tcW w:w="1126" w:type="dxa"/>
            <w:vAlign w:val="center"/>
          </w:tcPr>
          <w:p w14:paraId="5AD8550F" w14:textId="77777777" w:rsidR="00DA651F" w:rsidRPr="00B129CB" w:rsidRDefault="00DA651F" w:rsidP="000878F6">
            <w:pPr>
              <w:pStyle w:val="Table"/>
              <w:jc w:val="center"/>
              <w:rPr>
                <w:szCs w:val="20"/>
              </w:rPr>
            </w:pPr>
            <w:r w:rsidRPr="00B129CB">
              <w:rPr>
                <w:rFonts w:ascii="Calibri" w:hAnsi="Calibri" w:cs="Calibri"/>
                <w:color w:val="000000"/>
                <w:szCs w:val="20"/>
              </w:rPr>
              <w:t>-10,41%</w:t>
            </w:r>
          </w:p>
        </w:tc>
        <w:tc>
          <w:tcPr>
            <w:tcW w:w="1032" w:type="dxa"/>
            <w:vAlign w:val="center"/>
          </w:tcPr>
          <w:p w14:paraId="3843FCB0" w14:textId="77777777" w:rsidR="00DA651F" w:rsidRPr="00B129CB" w:rsidRDefault="00DA651F" w:rsidP="000878F6">
            <w:pPr>
              <w:pStyle w:val="Table"/>
              <w:jc w:val="center"/>
              <w:rPr>
                <w:szCs w:val="20"/>
              </w:rPr>
            </w:pPr>
            <w:r w:rsidRPr="00B129CB">
              <w:rPr>
                <w:rFonts w:ascii="Calibri" w:hAnsi="Calibri" w:cs="Calibri"/>
                <w:color w:val="000000"/>
                <w:szCs w:val="20"/>
              </w:rPr>
              <w:t>36,57</w:t>
            </w:r>
          </w:p>
        </w:tc>
        <w:tc>
          <w:tcPr>
            <w:tcW w:w="1220" w:type="dxa"/>
            <w:vAlign w:val="center"/>
          </w:tcPr>
          <w:p w14:paraId="2341B66B" w14:textId="77777777" w:rsidR="00DA651F" w:rsidRPr="00B129CB" w:rsidRDefault="00DA651F" w:rsidP="000878F6">
            <w:pPr>
              <w:pStyle w:val="Table"/>
              <w:jc w:val="center"/>
              <w:rPr>
                <w:szCs w:val="20"/>
              </w:rPr>
            </w:pPr>
            <w:r w:rsidRPr="00B129CB">
              <w:rPr>
                <w:rFonts w:ascii="Calibri" w:hAnsi="Calibri" w:cs="Calibri"/>
                <w:color w:val="000000"/>
                <w:szCs w:val="20"/>
              </w:rPr>
              <w:t>36,48</w:t>
            </w:r>
          </w:p>
        </w:tc>
        <w:tc>
          <w:tcPr>
            <w:tcW w:w="969" w:type="dxa"/>
            <w:vAlign w:val="center"/>
          </w:tcPr>
          <w:p w14:paraId="2AFFEF7A" w14:textId="77777777" w:rsidR="00DA651F" w:rsidRPr="00B129CB" w:rsidRDefault="00DA651F" w:rsidP="000878F6">
            <w:pPr>
              <w:pStyle w:val="Table"/>
              <w:jc w:val="center"/>
              <w:rPr>
                <w:szCs w:val="20"/>
              </w:rPr>
            </w:pPr>
            <w:r w:rsidRPr="00B129CB">
              <w:rPr>
                <w:rFonts w:ascii="Calibri" w:hAnsi="Calibri" w:cs="Calibri"/>
                <w:color w:val="000000"/>
                <w:szCs w:val="20"/>
              </w:rPr>
              <w:t>152,5%</w:t>
            </w:r>
          </w:p>
        </w:tc>
        <w:tc>
          <w:tcPr>
            <w:tcW w:w="1283" w:type="dxa"/>
            <w:vAlign w:val="center"/>
          </w:tcPr>
          <w:p w14:paraId="3792F589" w14:textId="77777777" w:rsidR="00DA651F" w:rsidRPr="00B129CB" w:rsidRDefault="00DA651F" w:rsidP="000878F6">
            <w:pPr>
              <w:pStyle w:val="Table"/>
              <w:jc w:val="center"/>
              <w:rPr>
                <w:szCs w:val="20"/>
              </w:rPr>
            </w:pPr>
            <w:r w:rsidRPr="00B129CB">
              <w:rPr>
                <w:rFonts w:ascii="Calibri" w:hAnsi="Calibri" w:cs="Calibri"/>
                <w:color w:val="000000"/>
                <w:szCs w:val="20"/>
              </w:rPr>
              <w:t>152,1%</w:t>
            </w:r>
          </w:p>
        </w:tc>
      </w:tr>
      <w:tr w:rsidR="00DA651F" w:rsidRPr="00B129CB" w14:paraId="4E413FF1" w14:textId="77777777" w:rsidTr="00BA7936">
        <w:trPr>
          <w:trHeight w:val="238"/>
        </w:trPr>
        <w:tc>
          <w:tcPr>
            <w:tcW w:w="2252" w:type="dxa"/>
          </w:tcPr>
          <w:p w14:paraId="552D6085" w14:textId="77777777" w:rsidR="00DA651F" w:rsidRPr="00B129CB" w:rsidRDefault="00DA651F" w:rsidP="000878F6">
            <w:pPr>
              <w:pStyle w:val="Table"/>
              <w:rPr>
                <w:szCs w:val="20"/>
              </w:rPr>
            </w:pPr>
            <w:r w:rsidRPr="00B129CB">
              <w:rPr>
                <w:szCs w:val="20"/>
              </w:rPr>
              <w:lastRenderedPageBreak/>
              <w:t>Minerals &amp; Aggregates</w:t>
            </w:r>
          </w:p>
        </w:tc>
        <w:tc>
          <w:tcPr>
            <w:tcW w:w="1126" w:type="dxa"/>
            <w:vAlign w:val="center"/>
          </w:tcPr>
          <w:p w14:paraId="48DC9E6A" w14:textId="77777777" w:rsidR="00DA651F" w:rsidRPr="00B129CB" w:rsidRDefault="00DA651F" w:rsidP="000878F6">
            <w:pPr>
              <w:pStyle w:val="Table"/>
              <w:jc w:val="center"/>
              <w:rPr>
                <w:szCs w:val="20"/>
              </w:rPr>
            </w:pPr>
            <w:r w:rsidRPr="00B129CB">
              <w:rPr>
                <w:rFonts w:ascii="Calibri" w:hAnsi="Calibri" w:cs="Calibri"/>
                <w:color w:val="000000"/>
                <w:szCs w:val="20"/>
              </w:rPr>
              <w:t>-5,02%</w:t>
            </w:r>
          </w:p>
        </w:tc>
        <w:tc>
          <w:tcPr>
            <w:tcW w:w="1126" w:type="dxa"/>
            <w:vAlign w:val="center"/>
          </w:tcPr>
          <w:p w14:paraId="52B62904" w14:textId="77777777" w:rsidR="00DA651F" w:rsidRPr="00B129CB" w:rsidRDefault="00DA651F" w:rsidP="000878F6">
            <w:pPr>
              <w:pStyle w:val="Table"/>
              <w:jc w:val="center"/>
              <w:rPr>
                <w:szCs w:val="20"/>
              </w:rPr>
            </w:pPr>
            <w:r w:rsidRPr="00B129CB">
              <w:rPr>
                <w:rFonts w:ascii="Calibri" w:hAnsi="Calibri" w:cs="Calibri"/>
                <w:color w:val="000000"/>
                <w:szCs w:val="20"/>
              </w:rPr>
              <w:t>-5,02%</w:t>
            </w:r>
          </w:p>
        </w:tc>
        <w:tc>
          <w:tcPr>
            <w:tcW w:w="1032" w:type="dxa"/>
            <w:vAlign w:val="center"/>
          </w:tcPr>
          <w:p w14:paraId="3150567F" w14:textId="77777777" w:rsidR="00DA651F" w:rsidRPr="00B129CB" w:rsidRDefault="00DA651F" w:rsidP="000878F6">
            <w:pPr>
              <w:pStyle w:val="Table"/>
              <w:jc w:val="center"/>
              <w:rPr>
                <w:szCs w:val="20"/>
              </w:rPr>
            </w:pPr>
            <w:r w:rsidRPr="00B129CB">
              <w:rPr>
                <w:rFonts w:ascii="Calibri" w:hAnsi="Calibri" w:cs="Calibri"/>
                <w:color w:val="000000"/>
                <w:szCs w:val="20"/>
              </w:rPr>
              <w:t>14,34</w:t>
            </w:r>
          </w:p>
        </w:tc>
        <w:tc>
          <w:tcPr>
            <w:tcW w:w="1220" w:type="dxa"/>
            <w:vAlign w:val="center"/>
          </w:tcPr>
          <w:p w14:paraId="72130A05" w14:textId="77777777" w:rsidR="00DA651F" w:rsidRPr="00B129CB" w:rsidRDefault="00DA651F" w:rsidP="000878F6">
            <w:pPr>
              <w:pStyle w:val="Table"/>
              <w:jc w:val="center"/>
              <w:rPr>
                <w:szCs w:val="20"/>
              </w:rPr>
            </w:pPr>
            <w:r w:rsidRPr="00B129CB">
              <w:rPr>
                <w:rFonts w:ascii="Calibri" w:hAnsi="Calibri" w:cs="Calibri"/>
                <w:color w:val="000000"/>
                <w:szCs w:val="20"/>
              </w:rPr>
              <w:t>13,90</w:t>
            </w:r>
          </w:p>
        </w:tc>
        <w:tc>
          <w:tcPr>
            <w:tcW w:w="969" w:type="dxa"/>
            <w:vAlign w:val="center"/>
          </w:tcPr>
          <w:p w14:paraId="5F745162" w14:textId="77777777" w:rsidR="00DA651F" w:rsidRPr="00B129CB" w:rsidRDefault="00DA651F" w:rsidP="000878F6">
            <w:pPr>
              <w:pStyle w:val="Table"/>
              <w:jc w:val="center"/>
              <w:rPr>
                <w:szCs w:val="20"/>
              </w:rPr>
            </w:pPr>
            <w:r w:rsidRPr="00B129CB">
              <w:rPr>
                <w:rFonts w:ascii="Calibri" w:hAnsi="Calibri" w:cs="Calibri"/>
                <w:color w:val="000000"/>
                <w:szCs w:val="20"/>
              </w:rPr>
              <w:t>46,8%</w:t>
            </w:r>
          </w:p>
        </w:tc>
        <w:tc>
          <w:tcPr>
            <w:tcW w:w="1283" w:type="dxa"/>
            <w:vAlign w:val="center"/>
          </w:tcPr>
          <w:p w14:paraId="0C630847" w14:textId="77777777" w:rsidR="00DA651F" w:rsidRPr="00B129CB" w:rsidRDefault="00DA651F" w:rsidP="000878F6">
            <w:pPr>
              <w:pStyle w:val="Table"/>
              <w:jc w:val="center"/>
              <w:rPr>
                <w:szCs w:val="20"/>
              </w:rPr>
            </w:pPr>
            <w:r w:rsidRPr="00B129CB">
              <w:rPr>
                <w:rFonts w:ascii="Calibri" w:hAnsi="Calibri" w:cs="Calibri"/>
                <w:color w:val="000000"/>
                <w:szCs w:val="20"/>
              </w:rPr>
              <w:t>45,4%</w:t>
            </w:r>
          </w:p>
        </w:tc>
      </w:tr>
    </w:tbl>
    <w:p w14:paraId="01960C4D" w14:textId="77777777" w:rsidR="00DA651F" w:rsidRPr="00DA651F" w:rsidRDefault="00DA651F" w:rsidP="00DA651F"/>
    <w:p w14:paraId="058BC39E" w14:textId="60B9E410" w:rsidR="00DA651F" w:rsidRPr="00DA651F" w:rsidRDefault="00DA651F" w:rsidP="00DA651F">
      <w:r w:rsidRPr="00DA651F">
        <w:t xml:space="preserve">The strongest environmental gains are projected in </w:t>
      </w:r>
      <w:r w:rsidRPr="00DA651F">
        <w:rPr>
          <w:b/>
          <w:bCs/>
        </w:rPr>
        <w:t>waste management</w:t>
      </w:r>
      <w:r w:rsidRPr="00DA651F">
        <w:t xml:space="preserve">, where a higher landfill tax could play a central role. Slovenia already applies one of the higher landfill tax rates in the region, yet further increases to the benchmark rate (€65 per tonne) could reduce disposal volumes by around 20 per cent and drive further improvements in recycling and recovery rates. The modelling indicates that even a moderate increase would strengthen incentives for municipalities and businesses to invest in separate collection and sorting facilities. Introducing a modest </w:t>
      </w:r>
      <w:r w:rsidRPr="00DA651F">
        <w:rPr>
          <w:b/>
          <w:bCs/>
        </w:rPr>
        <w:t>incineration tax</w:t>
      </w:r>
      <w:r w:rsidRPr="00DA651F">
        <w:t xml:space="preserve"> (€15 per tonne) could also help prevent substitution away from landfill towards incineration and ensure adherence to the waste hierarchy.</w:t>
      </w:r>
    </w:p>
    <w:p w14:paraId="65CE0D3C" w14:textId="2B6D7516" w:rsidR="00DA651F" w:rsidRPr="00DA651F" w:rsidRDefault="00DA651F" w:rsidP="00DA651F">
      <w:r w:rsidRPr="00DA651F">
        <w:t xml:space="preserve">In the </w:t>
      </w:r>
      <w:r w:rsidRPr="00DA651F">
        <w:rPr>
          <w:b/>
          <w:bCs/>
        </w:rPr>
        <w:t>water sector</w:t>
      </w:r>
      <w:r w:rsidRPr="00DA651F">
        <w:t xml:space="preserve">, Slovenia applies well-developed systems for wastewater and abstraction charges, but the rates remain below benchmark levels. Applying the recommended </w:t>
      </w:r>
      <w:r w:rsidRPr="00DA651F">
        <w:rPr>
          <w:b/>
          <w:bCs/>
        </w:rPr>
        <w:t>wastewater effluent tax</w:t>
      </w:r>
      <w:r>
        <w:t xml:space="preserve">, </w:t>
      </w:r>
      <w:r w:rsidRPr="00DA651F">
        <w:t>set at €2.70 per kilogram of BOD₅ and adjusted for local pollutant loads</w:t>
      </w:r>
      <w:r>
        <w:t xml:space="preserve">, </w:t>
      </w:r>
      <w:r w:rsidRPr="00DA651F">
        <w:t xml:space="preserve">would reduce organic pollution by approximately 10–12 per cent and raise additional revenues. This would improve cost recovery in wastewater management and strengthen compliance with the Water Framework Directive. Similarly, a </w:t>
      </w:r>
      <w:r w:rsidRPr="00DA651F">
        <w:rPr>
          <w:b/>
          <w:bCs/>
        </w:rPr>
        <w:t>water abstraction tax</w:t>
      </w:r>
      <w:r w:rsidRPr="00DA651F">
        <w:t>, differentiated by sector and catchment area, could promote water-use efficiency, particularly in regions where industrial and agricultural withdrawals put local water bodies under pressure.</w:t>
      </w:r>
    </w:p>
    <w:p w14:paraId="71820D55" w14:textId="213184D1" w:rsidR="00DA651F" w:rsidRPr="00DA651F" w:rsidRDefault="00DA651F" w:rsidP="00DA651F">
      <w:r w:rsidRPr="00DA651F">
        <w:t xml:space="preserve">In </w:t>
      </w:r>
      <w:r w:rsidRPr="00DA651F">
        <w:rPr>
          <w:b/>
          <w:bCs/>
        </w:rPr>
        <w:t>agriculture</w:t>
      </w:r>
      <w:r w:rsidRPr="00DA651F">
        <w:t xml:space="preserve">, diffuse pollution from nutrient and pesticide use continues to affect water quality, especially in the Drava and Mura basins. Introducing product-based taxes on </w:t>
      </w:r>
      <w:r w:rsidRPr="00DA651F">
        <w:rPr>
          <w:b/>
          <w:bCs/>
        </w:rPr>
        <w:t>fertilisers and pesticides</w:t>
      </w:r>
      <w:r w:rsidRPr="00DA651F">
        <w:t xml:space="preserve"> would help internalise the environmental costs of nutrient leaching and chemical runoff. The modelling suggests that a nitrogen-based fertiliser tax (€0.30 per kilogram of N) and a pesticide tax (€5 per kilogram of active ingredient, adjusted by toxicity) could reduce usage by around 8–10 per cent, lowering nitrate and pesticide concentrations in surface and groundwater. To maintain competitiveness and ensure smooth adoption, the taxes could be phased in gradually and complemented by advisory support and co-financing for precision agriculture and integrated pest management.</w:t>
      </w:r>
    </w:p>
    <w:p w14:paraId="1972294B" w14:textId="03C105C5" w:rsidR="00DA651F" w:rsidRPr="00DA651F" w:rsidRDefault="00DA651F" w:rsidP="00DA651F">
      <w:r w:rsidRPr="00DA651F">
        <w:t xml:space="preserve">A </w:t>
      </w:r>
      <w:r w:rsidRPr="00DA651F">
        <w:rPr>
          <w:b/>
          <w:bCs/>
        </w:rPr>
        <w:t>mineral extraction tax</w:t>
      </w:r>
      <w:r w:rsidRPr="00DA651F">
        <w:t xml:space="preserve"> could also provide fiscal and environmental benefits. Slovenia’s quarrying sector is relatively small but locally significant, with extraction concentrated in certain limestone and gravel sites. Introducing a tax at the benchmark level (€3.12 per tonne) could reduce primary extraction by around 10–12 per cent and encourage greater uptake of recycled aggregates. Revenues could be earmarked for regional environmental restoration projects and for investments supporting circular economy initiatives in construction.</w:t>
      </w:r>
    </w:p>
    <w:p w14:paraId="5E7B1CAC" w14:textId="1F0700C1" w:rsidR="00DA651F" w:rsidRPr="00DA651F" w:rsidRDefault="00DA651F" w:rsidP="00DA651F">
      <w:r w:rsidRPr="00DA651F">
        <w:t xml:space="preserve">From a </w:t>
      </w:r>
      <w:r w:rsidRPr="00DA651F">
        <w:rPr>
          <w:b/>
          <w:bCs/>
        </w:rPr>
        <w:t>fiscal perspective</w:t>
      </w:r>
      <w:r w:rsidRPr="00DA651F">
        <w:t>, the new and strengthened taxes would generate moderate but meaningful revenues. Water-related taxes (abstraction and wastewater) would account for roughly half of the total, followed by waste management and product-based instruments. The new revenues could be recycled into reducing labour taxes or used to co-finance investments in waste treatment, water infrastructure, and rural environmental programmes. Transparent earmarking and annual reporting of outcomes would be essential to maintain public and political support.</w:t>
      </w:r>
    </w:p>
    <w:p w14:paraId="2EB14A39" w14:textId="489B90D6" w:rsidR="00DA651F" w:rsidRPr="00DA651F" w:rsidRDefault="00DA651F" w:rsidP="00DA651F">
      <w:r>
        <w:t xml:space="preserve">The </w:t>
      </w:r>
      <w:r w:rsidRPr="606E24A0">
        <w:rPr>
          <w:b/>
          <w:bCs/>
        </w:rPr>
        <w:t>administrative feasibility</w:t>
      </w:r>
      <w:r>
        <w:t xml:space="preserve"> of these measures is high. Slovenia already possesses a mature institutional framework for environmental taxation, supported by strong data collection, monitoring and enforcement systems managed by the Slovenian Environment Agency (ARSO). Existing infrastructure for billing and compliance could be leveraged for most new instruments, while digitalisation efforts under the national environment initiative further reduce administrative burdens. The main challenges concern coordination between national and municipal authorities, particularly </w:t>
      </w:r>
      <w:r>
        <w:lastRenderedPageBreak/>
        <w:t>for waste-related charges, and ensuring that rate adjustments are accompanied by adequate investment in capacity and infrastructure.</w:t>
      </w:r>
    </w:p>
    <w:p w14:paraId="624F1220" w14:textId="2FDF4412" w:rsidR="00DA651F" w:rsidRPr="00DA651F" w:rsidRDefault="00DA651F" w:rsidP="00DA651F">
      <w:r w:rsidRPr="00DA651F">
        <w:rPr>
          <w:b/>
          <w:bCs/>
        </w:rPr>
        <w:t>Distributional and competitiveness effects</w:t>
      </w:r>
      <w:r w:rsidRPr="00DA651F">
        <w:t xml:space="preserve"> are expected to be limited overall but should be managed carefully. For households, higher landfill and wastewater charges could slightly increase utility bills, but phased implementation and targeted support for low-income groups would help maintain affordability. For agriculture, transitional measures—such as subsidies for efficient fertiliser application and pest management tools—would minimise cost impacts while reinforcing environmental outcomes. For industry, especially the construction and materials sector, incremental changes in extraction charges can be offset by promoting recycled materials and public procurement preferences for secondary aggregates.</w:t>
      </w:r>
    </w:p>
    <w:p w14:paraId="0D6D5985" w14:textId="4955E02B" w:rsidR="00DA651F" w:rsidRPr="00DA651F" w:rsidRDefault="00DA651F" w:rsidP="00DA651F">
      <w:r w:rsidRPr="00DA651F">
        <w:t>Politically, Slovenia’s track record of implementing environmental charges successfully suggests that further reforms are feasible if well communicated and framed as part of the country’s broader green transition strategy. Public acceptance would be strengthened by clear evidence of reinvestment in visible local improvements</w:t>
      </w:r>
      <w:r>
        <w:t xml:space="preserve">: </w:t>
      </w:r>
      <w:r w:rsidRPr="00DA651F">
        <w:t>cleaner rivers, modernised waste infrastructure, or improved environmental monitoring.</w:t>
      </w:r>
    </w:p>
    <w:p w14:paraId="58A18A29" w14:textId="4ADC46B4" w:rsidR="00724F1C" w:rsidRPr="00286E4F" w:rsidRDefault="00DA651F" w:rsidP="00286E4F">
      <w:r w:rsidRPr="00DA651F">
        <w:t>In summary, Slovenia has the administrative capacity and policy maturity to deepen its use of environmental taxation. Priority areas include raising landfill and wastewater rates to benchmark levels, introducing fertiliser and pesticide taxes, and calibrating water abstraction and mineral extraction charges. With gradual implementation, transparent revenue recycling, and targeted support for vulnerable groups and key sectors, Slovenia can achieve measurable environmental gains and reinforce its commitment to sustainable growth and circular economy objectives.</w:t>
      </w:r>
    </w:p>
    <w:p w14:paraId="6052BD6E" w14:textId="77777777" w:rsidR="00F83E65" w:rsidRPr="00EA4C9B" w:rsidRDefault="00F83E65" w:rsidP="00DA651F">
      <w:pPr>
        <w:pStyle w:val="AnnexHeading1"/>
        <w:ind w:hanging="1211"/>
      </w:pPr>
      <w:bookmarkStart w:id="313" w:name="_Toc214008953"/>
      <w:r w:rsidRPr="00EA4C9B">
        <w:t>Spain</w:t>
      </w:r>
      <w:bookmarkEnd w:id="313"/>
      <w:r w:rsidRPr="00EA4C9B">
        <w:t> </w:t>
      </w:r>
    </w:p>
    <w:p w14:paraId="57551D4A" w14:textId="77777777" w:rsidR="002435CD" w:rsidRPr="00E0423D" w:rsidRDefault="002435CD" w:rsidP="007C4EB7">
      <w:pPr>
        <w:pStyle w:val="AnnexHeading2"/>
      </w:pPr>
      <w:bookmarkStart w:id="314" w:name="_Toc214008954"/>
      <w:r w:rsidRPr="00EA4C9B">
        <w:t>Overview of existing environmental taxes</w:t>
      </w:r>
      <w:bookmarkEnd w:id="314"/>
      <w:r w:rsidRPr="00EA4C9B">
        <w:t> </w:t>
      </w:r>
    </w:p>
    <w:p w14:paraId="77518003" w14:textId="4BAF1F4F" w:rsidR="002435CD" w:rsidRPr="00EA4C9B" w:rsidRDefault="00364670" w:rsidP="002435CD">
      <w:r w:rsidRPr="00364670">
        <w:t>Environmental taxes in Spain amounted to 1.6% of GDP in 2023, below the EU average. While revenues have increased in absolute terms over the past 15 years, their relative weight in the economy has remained broadly stable. Total environmental tax revenue reached EUR 24.64 billion in real terms in 2023 (</w:t>
      </w:r>
      <w:r>
        <w:fldChar w:fldCharType="begin"/>
      </w:r>
      <w:r>
        <w:instrText xml:space="preserve"> REF _Ref201230775 \h  \* MERGEFORMAT </w:instrText>
      </w:r>
      <w:r>
        <w:fldChar w:fldCharType="separate"/>
      </w:r>
      <w:r>
        <w:t>Figure A6-</w:t>
      </w:r>
      <w:r w:rsidRPr="606E24A0">
        <w:rPr>
          <w:noProof/>
        </w:rPr>
        <w:t>72</w:t>
      </w:r>
      <w:r>
        <w:fldChar w:fldCharType="end"/>
      </w:r>
      <w:r w:rsidRPr="00364670">
        <w:t>), representing a 42.1% increase since 2009</w:t>
      </w:r>
      <w:r w:rsidR="00DC6A12">
        <w:rPr>
          <w:rStyle w:val="FootnoteReference"/>
        </w:rPr>
        <w:footnoteReference w:id="816"/>
      </w:r>
      <w:r w:rsidRPr="00364670">
        <w:t>. Over the same period, however, the ratio of environmental taxes to GDP rose only modestly, by 1.8% (</w:t>
      </w:r>
      <w:r>
        <w:fldChar w:fldCharType="begin"/>
      </w:r>
      <w:r>
        <w:instrText xml:space="preserve"> REF _Ref201230811 \h  \* MERGEFORMAT </w:instrText>
      </w:r>
      <w:r>
        <w:fldChar w:fldCharType="separate"/>
      </w:r>
      <w:r>
        <w:t>Figure A6-</w:t>
      </w:r>
      <w:r w:rsidRPr="606E24A0">
        <w:rPr>
          <w:noProof/>
        </w:rPr>
        <w:t>73</w:t>
      </w:r>
      <w:r>
        <w:fldChar w:fldCharType="end"/>
      </w:r>
      <w:r w:rsidRPr="00364670">
        <w:t>). In 2023, revenues were mainly derived from energy and transport taxes (around 78.6% and 12.7%, respectively), while resource and pollution taxes contributed 1.7% and 6.9%</w:t>
      </w:r>
      <w:r>
        <w:t xml:space="preserve"> respectively</w:t>
      </w:r>
      <w:r w:rsidRPr="00364670">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35CD" w:rsidRPr="00EA4C9B" w14:paraId="48CC72F1" w14:textId="77777777" w:rsidTr="00BA7936">
        <w:trPr>
          <w:trHeight w:val="1871"/>
        </w:trPr>
        <w:tc>
          <w:tcPr>
            <w:tcW w:w="9016" w:type="dxa"/>
          </w:tcPr>
          <w:p w14:paraId="0CA8F505" w14:textId="77777777" w:rsidR="002435CD" w:rsidRPr="00EA4C9B" w:rsidRDefault="002435CD">
            <w:pPr>
              <w:spacing w:after="0"/>
              <w:jc w:val="center"/>
              <w:rPr>
                <w:sz w:val="2"/>
                <w:szCs w:val="2"/>
              </w:rPr>
            </w:pPr>
            <w:r w:rsidRPr="00EA4C9B">
              <w:rPr>
                <w:noProof/>
                <w:sz w:val="2"/>
                <w:szCs w:val="2"/>
              </w:rPr>
              <w:drawing>
                <wp:anchor distT="0" distB="0" distL="114300" distR="114300" simplePos="0" relativeHeight="251658242" behindDoc="0" locked="0" layoutInCell="1" allowOverlap="1" wp14:anchorId="49E2333D" wp14:editId="3267D634">
                  <wp:simplePos x="0" y="0"/>
                  <wp:positionH relativeFrom="column">
                    <wp:posOffset>8255</wp:posOffset>
                  </wp:positionH>
                  <wp:positionV relativeFrom="line">
                    <wp:posOffset>66675</wp:posOffset>
                  </wp:positionV>
                  <wp:extent cx="5572800" cy="1080000"/>
                  <wp:effectExtent l="0" t="0" r="0" b="6350"/>
                  <wp:wrapSquare wrapText="bothSides"/>
                  <wp:docPr id="883378708" name="Picture 1" descr="A graph with numbers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78708" name="Picture 1" descr="A graph with numbers and a graph&#10;&#10;AI-generated content may be incorrect."/>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572800" cy="1080000"/>
                          </a:xfrm>
                          <a:prstGeom prst="rect">
                            <a:avLst/>
                          </a:prstGeom>
                          <a:noFill/>
                        </pic:spPr>
                      </pic:pic>
                    </a:graphicData>
                  </a:graphic>
                  <wp14:sizeRelH relativeFrom="page">
                    <wp14:pctWidth>0</wp14:pctWidth>
                  </wp14:sizeRelH>
                  <wp14:sizeRelV relativeFrom="page">
                    <wp14:pctHeight>0</wp14:pctHeight>
                  </wp14:sizeRelV>
                </wp:anchor>
              </w:drawing>
            </w:r>
          </w:p>
        </w:tc>
      </w:tr>
      <w:tr w:rsidR="002435CD" w:rsidRPr="00EA4C9B" w14:paraId="6A38C8BA" w14:textId="77777777" w:rsidTr="00BA7936">
        <w:tc>
          <w:tcPr>
            <w:tcW w:w="9016" w:type="dxa"/>
            <w:shd w:val="clear" w:color="auto" w:fill="003399"/>
          </w:tcPr>
          <w:p w14:paraId="6662753E" w14:textId="41CA8B28" w:rsidR="002435CD" w:rsidRPr="00EA4C9B" w:rsidRDefault="002435CD" w:rsidP="00FD05D6">
            <w:pPr>
              <w:pStyle w:val="FigTabCaption"/>
            </w:pPr>
            <w:bookmarkStart w:id="315" w:name="_Ref201230775"/>
            <w:r w:rsidRPr="00051732">
              <w:t xml:space="preserve">Figure </w:t>
            </w:r>
            <w:r w:rsidR="00490085">
              <w:t>A6</w:t>
            </w:r>
            <w:r w:rsidR="008417AF" w:rsidRPr="00051732">
              <w:t>-</w:t>
            </w:r>
            <w:r>
              <w:fldChar w:fldCharType="begin"/>
            </w:r>
            <w:r>
              <w:instrText>SEQ Figure_A5- \* ARABIC</w:instrText>
            </w:r>
            <w:r>
              <w:fldChar w:fldCharType="separate"/>
            </w:r>
            <w:r w:rsidR="00FD76B6">
              <w:rPr>
                <w:noProof/>
              </w:rPr>
              <w:t>72</w:t>
            </w:r>
            <w:r>
              <w:fldChar w:fldCharType="end"/>
            </w:r>
            <w:bookmarkEnd w:id="315"/>
            <w:r w:rsidRPr="00EA4C9B">
              <w:t>: Total environmental tax revenue in Spain (2009-2023) in billion euros</w:t>
            </w:r>
          </w:p>
        </w:tc>
      </w:tr>
    </w:tbl>
    <w:p w14:paraId="119A484A" w14:textId="68F1190F" w:rsidR="002435CD" w:rsidRPr="00EA4C9B" w:rsidRDefault="00EA482D" w:rsidP="005177D9">
      <w:pPr>
        <w:spacing w:before="240"/>
      </w:pPr>
      <w:r w:rsidRPr="00EA482D">
        <w:t>In 2023, total tax revenue (including net social contributions) accounted for 36.8% of Spain’s GDP, an increase of 6.4 percentage points compared with 30.4% in 2009. Environmental taxes represented 4.5% of total tax revenue in 2023, down from 5.3% in 2009</w:t>
      </w:r>
      <w:r>
        <w:t xml:space="preserve"> </w:t>
      </w:r>
      <w:r w:rsidRPr="00EA482D">
        <w:t>—</w:t>
      </w:r>
      <w:r>
        <w:t xml:space="preserve"> </w:t>
      </w:r>
      <w:r w:rsidRPr="00EA482D">
        <w:t xml:space="preserve">a decline of 0.8 percentage points over </w:t>
      </w:r>
      <w:r w:rsidRPr="00EA482D">
        <w:lastRenderedPageBreak/>
        <w:t>the period. In absolute terms, the strongest decrease occurred in transport tax revenues, which fell by 39.7%.</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35CD" w:rsidRPr="00EA4C9B" w14:paraId="6DC8D0C9" w14:textId="77777777" w:rsidTr="00BA7936">
        <w:tc>
          <w:tcPr>
            <w:tcW w:w="9016" w:type="dxa"/>
          </w:tcPr>
          <w:p w14:paraId="1CDFDE9A" w14:textId="77777777" w:rsidR="005177D9" w:rsidRDefault="005177D9">
            <w:pPr>
              <w:spacing w:after="0"/>
              <w:jc w:val="center"/>
              <w:rPr>
                <w:sz w:val="2"/>
                <w:szCs w:val="2"/>
              </w:rPr>
            </w:pPr>
          </w:p>
          <w:p w14:paraId="5F81C9AB" w14:textId="77777777" w:rsidR="002435CD" w:rsidRDefault="002435CD">
            <w:pPr>
              <w:spacing w:after="0"/>
              <w:jc w:val="center"/>
              <w:rPr>
                <w:sz w:val="2"/>
                <w:szCs w:val="2"/>
              </w:rPr>
            </w:pPr>
            <w:r w:rsidRPr="00EA4C9B">
              <w:rPr>
                <w:noProof/>
                <w:sz w:val="2"/>
                <w:szCs w:val="2"/>
              </w:rPr>
              <w:drawing>
                <wp:inline distT="0" distB="0" distL="0" distR="0" wp14:anchorId="46CDEDDA" wp14:editId="0EBE379A">
                  <wp:extent cx="5587200" cy="1691226"/>
                  <wp:effectExtent l="0" t="0" r="0" b="4445"/>
                  <wp:docPr id="1480090872" name="Picture 1" descr="A graph of energy and transport ta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90872" name="Picture 1" descr="A graph of energy and transport tax&#10;&#10;AI-generated content may be incorrec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587200" cy="1691226"/>
                          </a:xfrm>
                          <a:prstGeom prst="rect">
                            <a:avLst/>
                          </a:prstGeom>
                          <a:noFill/>
                        </pic:spPr>
                      </pic:pic>
                    </a:graphicData>
                  </a:graphic>
                </wp:inline>
              </w:drawing>
            </w:r>
          </w:p>
          <w:p w14:paraId="66D3FE1F" w14:textId="3388A99E" w:rsidR="005177D9" w:rsidRPr="00EA4C9B" w:rsidRDefault="005177D9">
            <w:pPr>
              <w:spacing w:after="0"/>
              <w:jc w:val="center"/>
              <w:rPr>
                <w:sz w:val="2"/>
                <w:szCs w:val="2"/>
              </w:rPr>
            </w:pPr>
          </w:p>
        </w:tc>
      </w:tr>
      <w:tr w:rsidR="002435CD" w:rsidRPr="00EA4C9B" w14:paraId="054A073C" w14:textId="77777777" w:rsidTr="00BA7936">
        <w:tc>
          <w:tcPr>
            <w:tcW w:w="9016" w:type="dxa"/>
            <w:shd w:val="clear" w:color="auto" w:fill="003399"/>
          </w:tcPr>
          <w:p w14:paraId="4BFEB3F1" w14:textId="47046FAD" w:rsidR="002435CD" w:rsidRPr="00EA4C9B" w:rsidRDefault="002435CD" w:rsidP="00FD05D6">
            <w:pPr>
              <w:pStyle w:val="FigTabCaption"/>
            </w:pPr>
            <w:bookmarkStart w:id="316" w:name="_Ref201230811"/>
            <w:r w:rsidRPr="00051732">
              <w:t xml:space="preserve">Figure </w:t>
            </w:r>
            <w:r w:rsidR="00490085">
              <w:t>A6</w:t>
            </w:r>
            <w:r w:rsidR="008417AF" w:rsidRPr="00051732">
              <w:t>-</w:t>
            </w:r>
            <w:r>
              <w:fldChar w:fldCharType="begin"/>
            </w:r>
            <w:r>
              <w:instrText>SEQ Figure_A5- \* ARABIC</w:instrText>
            </w:r>
            <w:r>
              <w:fldChar w:fldCharType="separate"/>
            </w:r>
            <w:r w:rsidR="0091411A">
              <w:rPr>
                <w:noProof/>
              </w:rPr>
              <w:t>73</w:t>
            </w:r>
            <w:r>
              <w:fldChar w:fldCharType="end"/>
            </w:r>
            <w:bookmarkEnd w:id="316"/>
            <w:r w:rsidRPr="00EA4C9B">
              <w:t>: Fifteen-year (2009-2023) change in absolute terms and change as GDP-ratio of the revenues of energy taxes, transport taxes, resource taxes, pollution taxes and total environmental taxes</w:t>
            </w:r>
            <w:r w:rsidR="00BA1510">
              <w:t xml:space="preserve"> </w:t>
            </w:r>
          </w:p>
        </w:tc>
      </w:tr>
    </w:tbl>
    <w:p w14:paraId="040444BE" w14:textId="77777777" w:rsidR="002435CD" w:rsidRPr="00EA4C9B" w:rsidRDefault="002435CD" w:rsidP="007C4EB7">
      <w:pPr>
        <w:pStyle w:val="AnnexHeading2"/>
      </w:pPr>
      <w:bookmarkStart w:id="317" w:name="_Toc214008955"/>
      <w:r w:rsidRPr="00EA4C9B">
        <w:t>Existing pollution and resource taxes</w:t>
      </w:r>
      <w:bookmarkEnd w:id="317"/>
    </w:p>
    <w:p w14:paraId="32CDEC7D" w14:textId="501666FC" w:rsidR="002435CD" w:rsidRPr="00EA4C9B" w:rsidRDefault="002435CD" w:rsidP="002435CD">
      <w:pPr>
        <w:spacing w:before="120" w:after="120"/>
      </w:pPr>
      <w:r w:rsidRPr="00EA4C9B">
        <w:t>In 2023, pollution and resource tax revenues reached respectively 1.71 and 0.43 billion euros (6.9% and 1.74%, respectively, of the total environmental tax revenues</w:t>
      </w:r>
      <w:r w:rsidRPr="00EA4C9B">
        <w:rPr>
          <w:lang w:eastAsia="en-GB"/>
        </w:rPr>
        <w:t>),</w:t>
      </w:r>
      <w:r w:rsidRPr="00EA4C9B">
        <w:t xml:space="preserve"> </w:t>
      </w:r>
      <w:r w:rsidRPr="00EA4C9B">
        <w:rPr>
          <w:lang w:eastAsia="en-GB"/>
        </w:rPr>
        <w:t xml:space="preserve">increasing in absolute terms by </w:t>
      </w:r>
      <w:r w:rsidRPr="00EA4C9B">
        <w:t xml:space="preserve">1,323.4% and 504.1%, respectively, over 15 years (2009-2023). In terms of GDP-ratios, pollution taxes increased by 919.3% while resource taxes increased by 332.6% </w:t>
      </w:r>
      <w:r w:rsidRPr="00866C2C">
        <w:t>(</w:t>
      </w:r>
      <w:r w:rsidR="00866C2C" w:rsidRPr="00866C2C">
        <w:fldChar w:fldCharType="begin"/>
      </w:r>
      <w:r w:rsidR="00866C2C" w:rsidRPr="00866C2C">
        <w:instrText xml:space="preserve"> REF _Ref201230811 \h  \* MERGEFORMAT </w:instrText>
      </w:r>
      <w:r w:rsidR="00866C2C" w:rsidRPr="00866C2C">
        <w:fldChar w:fldCharType="separate"/>
      </w:r>
      <w:r w:rsidR="00866C2C" w:rsidRPr="00866C2C">
        <w:t xml:space="preserve">Figure </w:t>
      </w:r>
      <w:r w:rsidR="00490085">
        <w:t>A6</w:t>
      </w:r>
      <w:r w:rsidR="00866C2C" w:rsidRPr="00866C2C">
        <w:t>-</w:t>
      </w:r>
      <w:r w:rsidR="00866C2C" w:rsidRPr="00866C2C">
        <w:rPr>
          <w:noProof/>
        </w:rPr>
        <w:t>73</w:t>
      </w:r>
      <w:r w:rsidR="00866C2C" w:rsidRPr="00866C2C">
        <w:fldChar w:fldCharType="end"/>
      </w:r>
      <w:r w:rsidRPr="00EA4C9B">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35CD" w:rsidRPr="00EA4C9B" w14:paraId="23BA7FE2" w14:textId="77777777" w:rsidTr="00BA7936">
        <w:tc>
          <w:tcPr>
            <w:tcW w:w="9016" w:type="dxa"/>
          </w:tcPr>
          <w:p w14:paraId="72F79A57" w14:textId="77777777" w:rsidR="005177D9" w:rsidRDefault="005177D9">
            <w:pPr>
              <w:spacing w:after="0"/>
              <w:jc w:val="center"/>
              <w:rPr>
                <w:sz w:val="10"/>
                <w:szCs w:val="10"/>
              </w:rPr>
            </w:pPr>
          </w:p>
          <w:p w14:paraId="44930E17" w14:textId="77777777" w:rsidR="002435CD" w:rsidRDefault="002435CD">
            <w:pPr>
              <w:spacing w:after="0"/>
              <w:jc w:val="center"/>
              <w:rPr>
                <w:sz w:val="10"/>
                <w:szCs w:val="10"/>
              </w:rPr>
            </w:pPr>
            <w:r w:rsidRPr="00EA4C9B">
              <w:rPr>
                <w:noProof/>
                <w:sz w:val="10"/>
                <w:szCs w:val="10"/>
              </w:rPr>
              <w:drawing>
                <wp:inline distT="0" distB="0" distL="0" distR="0" wp14:anchorId="2D3A453F" wp14:editId="604D40DD">
                  <wp:extent cx="5587200" cy="1237843"/>
                  <wp:effectExtent l="0" t="0" r="0" b="635"/>
                  <wp:docPr id="1317871920" name="Picture 2" descr="A graph of a graph showing the amount of tax and poll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71920" name="Picture 2" descr="A graph of a graph showing the amount of tax and pollution&#10;&#10;AI-generated content may be incorrect."/>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587200" cy="1237843"/>
                          </a:xfrm>
                          <a:prstGeom prst="rect">
                            <a:avLst/>
                          </a:prstGeom>
                          <a:noFill/>
                        </pic:spPr>
                      </pic:pic>
                    </a:graphicData>
                  </a:graphic>
                </wp:inline>
              </w:drawing>
            </w:r>
          </w:p>
          <w:p w14:paraId="20F64B7B" w14:textId="11227BE4" w:rsidR="005177D9" w:rsidRPr="00EA4C9B" w:rsidRDefault="005177D9">
            <w:pPr>
              <w:spacing w:after="0"/>
              <w:jc w:val="center"/>
              <w:rPr>
                <w:sz w:val="10"/>
                <w:szCs w:val="10"/>
              </w:rPr>
            </w:pPr>
          </w:p>
        </w:tc>
      </w:tr>
      <w:tr w:rsidR="002435CD" w:rsidRPr="00EA4C9B" w14:paraId="6442B23C" w14:textId="77777777" w:rsidTr="00BA7936">
        <w:tc>
          <w:tcPr>
            <w:tcW w:w="9016" w:type="dxa"/>
            <w:shd w:val="clear" w:color="auto" w:fill="003399"/>
          </w:tcPr>
          <w:p w14:paraId="44C8BE8B" w14:textId="0717EAF7" w:rsidR="002435CD" w:rsidRPr="00EA4C9B" w:rsidRDefault="002435CD" w:rsidP="00FD76B6">
            <w:pPr>
              <w:pStyle w:val="FigTabCaption"/>
            </w:pPr>
            <w:r w:rsidRPr="00051732">
              <w:t xml:space="preserve">Figure </w:t>
            </w:r>
            <w:r w:rsidR="00490085">
              <w:t>A6</w:t>
            </w:r>
            <w:r w:rsidR="008417AF" w:rsidRPr="00051732">
              <w:t>-</w:t>
            </w:r>
            <w:r>
              <w:fldChar w:fldCharType="begin"/>
            </w:r>
            <w:r>
              <w:instrText>SEQ Figure_A5- \* ARABIC</w:instrText>
            </w:r>
            <w:r>
              <w:fldChar w:fldCharType="separate"/>
            </w:r>
            <w:r w:rsidR="0091411A">
              <w:rPr>
                <w:noProof/>
              </w:rPr>
              <w:t>74</w:t>
            </w:r>
            <w:r>
              <w:fldChar w:fldCharType="end"/>
            </w:r>
            <w:r w:rsidRPr="00EA4C9B">
              <w:t>: Resource and pollution tax revenues in Spain (2009-2023) in million euros</w:t>
            </w:r>
            <w:r w:rsidR="00F26A70">
              <w:t xml:space="preserve">. </w:t>
            </w:r>
            <w:r w:rsidR="00F26A70" w:rsidRPr="00EA4C9B">
              <w:rPr>
                <w:rFonts w:ascii="Calibri" w:eastAsia="Calibri" w:hAnsi="Calibri" w:cs="Calibri"/>
                <w:i/>
                <w:iCs/>
              </w:rPr>
              <w:t>Note: the share between pollution and resource taxes in 2023 was estimated as the weighted average of past years</w:t>
            </w:r>
            <w:r w:rsidR="00F26A70" w:rsidRPr="00EA4C9B">
              <w:rPr>
                <w:rFonts w:ascii="Calibri" w:eastAsia="Calibri" w:hAnsi="Calibri" w:cs="Calibri"/>
              </w:rPr>
              <w:t> </w:t>
            </w:r>
          </w:p>
        </w:tc>
      </w:tr>
    </w:tbl>
    <w:p w14:paraId="5A70FFC5" w14:textId="77777777" w:rsidR="00A00DA3" w:rsidRPr="00A00DA3" w:rsidRDefault="00A00DA3" w:rsidP="00A00DA3">
      <w:pPr>
        <w:pStyle w:val="Heading4"/>
      </w:pPr>
      <w:r w:rsidRPr="00A00DA3">
        <w:t>List of pollution and resource taxes and revenue shares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2435CD" w:rsidRPr="00EA4C9B" w14:paraId="36E72BAE" w14:textId="77777777" w:rsidTr="004F0767">
        <w:trPr>
          <w:trHeight w:val="147"/>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77CE0D75" w14:textId="2CD6F7ED" w:rsidR="002435CD" w:rsidRPr="008B3A2E" w:rsidRDefault="008417AF" w:rsidP="008B3A2E">
            <w:pPr>
              <w:pStyle w:val="Table"/>
              <w:rPr>
                <w:rFonts w:ascii="Times New Roman" w:eastAsia="Times New Roman" w:hAnsi="Times New Roman" w:cs="Times New Roman"/>
                <w:b/>
                <w:sz w:val="24"/>
                <w:lang w:eastAsia="en-GB"/>
              </w:rPr>
            </w:pPr>
            <w:r w:rsidRPr="008B3A2E">
              <w:rPr>
                <w:b/>
                <w:color w:val="FFFFFF" w:themeColor="background1"/>
              </w:rPr>
              <w:t xml:space="preserve">Table </w:t>
            </w:r>
            <w:r w:rsidR="00490085">
              <w:rPr>
                <w:b/>
                <w:color w:val="FFFFFF" w:themeColor="background1"/>
              </w:rPr>
              <w:t>A6</w:t>
            </w:r>
            <w:r w:rsidR="008B3A2E" w:rsidRPr="008B3A2E">
              <w:rPr>
                <w:b/>
                <w:bCs/>
                <w:color w:val="FFFFFF" w:themeColor="background1"/>
              </w:rPr>
              <w:t>-</w:t>
            </w:r>
            <w:r w:rsidR="008B3A2E" w:rsidRPr="008B3A2E">
              <w:rPr>
                <w:b/>
                <w:bCs/>
                <w:color w:val="FFFFFF" w:themeColor="background1"/>
              </w:rPr>
              <w:fldChar w:fldCharType="begin"/>
            </w:r>
            <w:r w:rsidR="008B3A2E" w:rsidRPr="008B3A2E">
              <w:rPr>
                <w:b/>
                <w:bCs/>
                <w:color w:val="FFFFFF" w:themeColor="background1"/>
              </w:rPr>
              <w:instrText xml:space="preserve"> SEQ Table_A5- \* ARABIC </w:instrText>
            </w:r>
            <w:r w:rsidR="008B3A2E" w:rsidRPr="008B3A2E">
              <w:rPr>
                <w:b/>
                <w:bCs/>
                <w:color w:val="FFFFFF" w:themeColor="background1"/>
              </w:rPr>
              <w:fldChar w:fldCharType="separate"/>
            </w:r>
            <w:r w:rsidR="00EA31D0">
              <w:rPr>
                <w:b/>
                <w:bCs/>
                <w:noProof/>
                <w:color w:val="FFFFFF" w:themeColor="background1"/>
              </w:rPr>
              <w:t>129</w:t>
            </w:r>
            <w:r w:rsidR="008B3A2E" w:rsidRPr="008B3A2E">
              <w:rPr>
                <w:b/>
                <w:bCs/>
                <w:color w:val="FFFFFF" w:themeColor="background1"/>
              </w:rPr>
              <w:fldChar w:fldCharType="end"/>
            </w:r>
            <w:r w:rsidR="002435CD" w:rsidRPr="008B3A2E">
              <w:rPr>
                <w:rFonts w:ascii="Calibri" w:eastAsia="Times New Roman" w:hAnsi="Calibri" w:cs="Calibri"/>
                <w:b/>
                <w:color w:val="FFFFFF" w:themeColor="background1"/>
                <w:szCs w:val="20"/>
                <w:lang w:eastAsia="en-GB"/>
              </w:rPr>
              <w:t>:  Pollution taxes </w:t>
            </w:r>
          </w:p>
        </w:tc>
      </w:tr>
      <w:tr w:rsidR="002435CD" w:rsidRPr="00EA4C9B" w14:paraId="3B66187E" w14:textId="77777777" w:rsidTr="004F0767">
        <w:trPr>
          <w:trHeight w:val="76"/>
        </w:trPr>
        <w:tc>
          <w:tcPr>
            <w:tcW w:w="3497" w:type="dxa"/>
            <w:tcBorders>
              <w:top w:val="single" w:sz="6" w:space="0" w:color="auto"/>
              <w:left w:val="single" w:sz="6" w:space="0" w:color="auto"/>
              <w:bottom w:val="single" w:sz="6" w:space="0" w:color="auto"/>
              <w:right w:val="single" w:sz="6" w:space="0" w:color="auto"/>
            </w:tcBorders>
            <w:hideMark/>
          </w:tcPr>
          <w:p w14:paraId="5D837485" w14:textId="77777777" w:rsidR="002435CD" w:rsidRPr="00EA4C9B" w:rsidRDefault="002435CD" w:rsidP="008B3A2E">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8" w:type="dxa"/>
            <w:tcBorders>
              <w:top w:val="single" w:sz="6" w:space="0" w:color="auto"/>
              <w:left w:val="single" w:sz="6" w:space="0" w:color="auto"/>
              <w:bottom w:val="single" w:sz="6" w:space="0" w:color="auto"/>
              <w:right w:val="single" w:sz="6" w:space="0" w:color="auto"/>
            </w:tcBorders>
          </w:tcPr>
          <w:p w14:paraId="171A0901" w14:textId="77777777" w:rsidR="002435CD" w:rsidRPr="00EA4C9B" w:rsidRDefault="002435CD" w:rsidP="00EA31D0">
            <w:pPr>
              <w:pStyle w:val="Table"/>
              <w:jc w:val="center"/>
              <w:rPr>
                <w:rFonts w:ascii="Calibri" w:eastAsia="Times New Roman" w:hAnsi="Calibri" w:cs="Calibri"/>
                <w:b/>
                <w:bCs/>
                <w:szCs w:val="20"/>
                <w:lang w:eastAsia="en-GB"/>
              </w:rPr>
            </w:pPr>
            <w:r w:rsidRPr="00EA4C9B">
              <w:rPr>
                <w:rFonts w:ascii="Calibri" w:eastAsia="Times New Roman" w:hAnsi="Calibri" w:cs="Calibri"/>
                <w:b/>
                <w:szCs w:val="20"/>
                <w:lang w:eastAsia="en-GB"/>
              </w:rPr>
              <w:t>Revenue (€ million)</w:t>
            </w:r>
          </w:p>
          <w:p w14:paraId="5CD83A69" w14:textId="77777777" w:rsidR="002435CD" w:rsidRPr="00EA4C9B" w:rsidRDefault="002435CD" w:rsidP="00EA31D0">
            <w:pPr>
              <w:pStyle w:val="Table"/>
              <w:jc w:val="center"/>
              <w:rPr>
                <w:rFonts w:ascii="Calibri" w:eastAsia="Times New Roman" w:hAnsi="Calibri" w:cs="Calibri"/>
                <w:b/>
                <w:szCs w:val="20"/>
                <w:lang w:eastAsia="en-GB"/>
              </w:rPr>
            </w:pPr>
            <w:r w:rsidRPr="00EA4C9B">
              <w:rPr>
                <w:rFonts w:ascii="Calibri" w:eastAsia="Times New Roman" w:hAnsi="Calibri" w:cs="Calibri"/>
                <w:b/>
                <w:szCs w:val="20"/>
                <w:lang w:eastAsia="en-GB"/>
              </w:rPr>
              <w:t>2009-2023</w:t>
            </w:r>
          </w:p>
        </w:tc>
        <w:tc>
          <w:tcPr>
            <w:tcW w:w="1894" w:type="dxa"/>
            <w:tcBorders>
              <w:top w:val="single" w:sz="6" w:space="0" w:color="auto"/>
              <w:left w:val="single" w:sz="6" w:space="0" w:color="auto"/>
              <w:bottom w:val="single" w:sz="6" w:space="0" w:color="auto"/>
              <w:right w:val="single" w:sz="6" w:space="0" w:color="auto"/>
            </w:tcBorders>
            <w:hideMark/>
          </w:tcPr>
          <w:p w14:paraId="6E45C02F" w14:textId="77777777" w:rsidR="002435CD" w:rsidRPr="00EA4C9B" w:rsidRDefault="002435CD" w:rsidP="00EA31D0">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04EAB673" w14:textId="77777777" w:rsidR="002435CD" w:rsidRPr="00EA4C9B" w:rsidRDefault="002435CD" w:rsidP="00EA31D0">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pollution tax revenues</w:t>
            </w:r>
          </w:p>
        </w:tc>
      </w:tr>
      <w:tr w:rsidR="002435CD" w:rsidRPr="00EA4C9B" w14:paraId="3BAB2A26"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hideMark/>
          </w:tcPr>
          <w:p w14:paraId="56C674E3" w14:textId="77777777" w:rsidR="002435CD" w:rsidRPr="00EA4C9B" w:rsidRDefault="002435CD" w:rsidP="008B3A2E">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Tax on fluorinated greenhouse gases</w:t>
            </w:r>
          </w:p>
        </w:tc>
        <w:tc>
          <w:tcPr>
            <w:tcW w:w="1718" w:type="dxa"/>
            <w:tcBorders>
              <w:top w:val="single" w:sz="6" w:space="0" w:color="auto"/>
              <w:left w:val="single" w:sz="6" w:space="0" w:color="auto"/>
              <w:bottom w:val="single" w:sz="6" w:space="0" w:color="auto"/>
              <w:right w:val="single" w:sz="6" w:space="0" w:color="auto"/>
            </w:tcBorders>
            <w:vAlign w:val="center"/>
          </w:tcPr>
          <w:p w14:paraId="167EFD83"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€0 – €100.1</w:t>
            </w:r>
          </w:p>
        </w:tc>
        <w:tc>
          <w:tcPr>
            <w:tcW w:w="1894" w:type="dxa"/>
            <w:tcBorders>
              <w:top w:val="single" w:sz="6" w:space="0" w:color="auto"/>
              <w:left w:val="single" w:sz="6" w:space="0" w:color="auto"/>
              <w:bottom w:val="single" w:sz="6" w:space="0" w:color="auto"/>
              <w:right w:val="single" w:sz="6" w:space="0" w:color="auto"/>
            </w:tcBorders>
            <w:vAlign w:val="center"/>
            <w:hideMark/>
          </w:tcPr>
          <w:p w14:paraId="20D04449" w14:textId="77777777" w:rsidR="002435CD" w:rsidRPr="00EA4C9B" w:rsidRDefault="002435CD" w:rsidP="00EA31D0">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€57.4</w:t>
            </w:r>
          </w:p>
        </w:tc>
        <w:tc>
          <w:tcPr>
            <w:tcW w:w="1901" w:type="dxa"/>
            <w:tcBorders>
              <w:top w:val="single" w:sz="6" w:space="0" w:color="auto"/>
              <w:left w:val="single" w:sz="6" w:space="0" w:color="auto"/>
              <w:bottom w:val="single" w:sz="6" w:space="0" w:color="auto"/>
              <w:right w:val="single" w:sz="6" w:space="0" w:color="auto"/>
            </w:tcBorders>
            <w:vAlign w:val="center"/>
            <w:hideMark/>
          </w:tcPr>
          <w:p w14:paraId="70D8791C" w14:textId="77777777" w:rsidR="002435CD" w:rsidRPr="00EA4C9B" w:rsidRDefault="002435CD" w:rsidP="00EA31D0">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11%</w:t>
            </w:r>
          </w:p>
        </w:tc>
      </w:tr>
      <w:tr w:rsidR="002435CD" w:rsidRPr="00EA4C9B" w14:paraId="65C1946A"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307CBAC3" w14:textId="77777777" w:rsidR="002435CD" w:rsidRPr="00EA4C9B" w:rsidRDefault="002435CD" w:rsidP="008B3A2E">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Taxes and charges on environment and pollution</w:t>
            </w:r>
          </w:p>
        </w:tc>
        <w:tc>
          <w:tcPr>
            <w:tcW w:w="1718" w:type="dxa"/>
            <w:tcBorders>
              <w:top w:val="single" w:sz="6" w:space="0" w:color="auto"/>
              <w:left w:val="single" w:sz="6" w:space="0" w:color="auto"/>
              <w:bottom w:val="single" w:sz="6" w:space="0" w:color="auto"/>
              <w:right w:val="single" w:sz="6" w:space="0" w:color="auto"/>
            </w:tcBorders>
            <w:vAlign w:val="center"/>
          </w:tcPr>
          <w:p w14:paraId="3C15A534"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€10.9 – €51</w:t>
            </w:r>
          </w:p>
        </w:tc>
        <w:tc>
          <w:tcPr>
            <w:tcW w:w="1894" w:type="dxa"/>
            <w:tcBorders>
              <w:top w:val="single" w:sz="6" w:space="0" w:color="auto"/>
              <w:left w:val="single" w:sz="6" w:space="0" w:color="auto"/>
              <w:bottom w:val="single" w:sz="6" w:space="0" w:color="auto"/>
              <w:right w:val="single" w:sz="6" w:space="0" w:color="auto"/>
            </w:tcBorders>
            <w:vAlign w:val="center"/>
          </w:tcPr>
          <w:p w14:paraId="256F97FB"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€18.6</w:t>
            </w:r>
          </w:p>
        </w:tc>
        <w:tc>
          <w:tcPr>
            <w:tcW w:w="1901" w:type="dxa"/>
            <w:tcBorders>
              <w:top w:val="single" w:sz="6" w:space="0" w:color="auto"/>
              <w:left w:val="single" w:sz="6" w:space="0" w:color="auto"/>
              <w:bottom w:val="single" w:sz="6" w:space="0" w:color="auto"/>
              <w:right w:val="single" w:sz="6" w:space="0" w:color="auto"/>
            </w:tcBorders>
            <w:vAlign w:val="center"/>
          </w:tcPr>
          <w:p w14:paraId="452634BA"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6%</w:t>
            </w:r>
          </w:p>
        </w:tc>
      </w:tr>
      <w:tr w:rsidR="002435CD" w:rsidRPr="00EA4C9B" w14:paraId="77A26E70"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4E67A656" w14:textId="77777777" w:rsidR="002435CD" w:rsidRPr="00EA4C9B" w:rsidRDefault="002435CD" w:rsidP="008B3A2E">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Taxes on production and transportation of energy affecting the environment</w:t>
            </w:r>
          </w:p>
        </w:tc>
        <w:tc>
          <w:tcPr>
            <w:tcW w:w="1718" w:type="dxa"/>
            <w:tcBorders>
              <w:top w:val="single" w:sz="6" w:space="0" w:color="auto"/>
              <w:left w:val="single" w:sz="6" w:space="0" w:color="auto"/>
              <w:bottom w:val="single" w:sz="6" w:space="0" w:color="auto"/>
              <w:right w:val="single" w:sz="6" w:space="0" w:color="auto"/>
            </w:tcBorders>
            <w:vAlign w:val="center"/>
          </w:tcPr>
          <w:p w14:paraId="7965066F"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€2 – €89.7</w:t>
            </w:r>
          </w:p>
        </w:tc>
        <w:tc>
          <w:tcPr>
            <w:tcW w:w="1894" w:type="dxa"/>
            <w:tcBorders>
              <w:top w:val="single" w:sz="6" w:space="0" w:color="auto"/>
              <w:left w:val="single" w:sz="6" w:space="0" w:color="auto"/>
              <w:bottom w:val="single" w:sz="6" w:space="0" w:color="auto"/>
              <w:right w:val="single" w:sz="6" w:space="0" w:color="auto"/>
            </w:tcBorders>
            <w:vAlign w:val="center"/>
          </w:tcPr>
          <w:p w14:paraId="33B4BE52"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€90.2</w:t>
            </w:r>
          </w:p>
        </w:tc>
        <w:tc>
          <w:tcPr>
            <w:tcW w:w="1901" w:type="dxa"/>
            <w:tcBorders>
              <w:top w:val="single" w:sz="6" w:space="0" w:color="auto"/>
              <w:left w:val="single" w:sz="6" w:space="0" w:color="auto"/>
              <w:bottom w:val="single" w:sz="6" w:space="0" w:color="auto"/>
              <w:right w:val="single" w:sz="6" w:space="0" w:color="auto"/>
            </w:tcBorders>
            <w:vAlign w:val="center"/>
          </w:tcPr>
          <w:p w14:paraId="37F61C24"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10%</w:t>
            </w:r>
          </w:p>
        </w:tc>
      </w:tr>
      <w:tr w:rsidR="002435CD" w:rsidRPr="00EA4C9B" w14:paraId="0A0A1D5F"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2D73A4F7" w14:textId="77777777" w:rsidR="002435CD" w:rsidRPr="00EA4C9B" w:rsidRDefault="002435CD" w:rsidP="008B3A2E">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Tax on facilities that affect the environment</w:t>
            </w:r>
          </w:p>
        </w:tc>
        <w:tc>
          <w:tcPr>
            <w:tcW w:w="1718" w:type="dxa"/>
            <w:tcBorders>
              <w:top w:val="single" w:sz="6" w:space="0" w:color="auto"/>
              <w:left w:val="single" w:sz="6" w:space="0" w:color="auto"/>
              <w:bottom w:val="single" w:sz="6" w:space="0" w:color="auto"/>
              <w:right w:val="single" w:sz="6" w:space="0" w:color="auto"/>
            </w:tcBorders>
            <w:vAlign w:val="center"/>
          </w:tcPr>
          <w:p w14:paraId="488C6F52"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€33.7 – €305.9</w:t>
            </w:r>
          </w:p>
        </w:tc>
        <w:tc>
          <w:tcPr>
            <w:tcW w:w="1894" w:type="dxa"/>
            <w:tcBorders>
              <w:top w:val="single" w:sz="6" w:space="0" w:color="auto"/>
              <w:left w:val="single" w:sz="6" w:space="0" w:color="auto"/>
              <w:bottom w:val="single" w:sz="6" w:space="0" w:color="auto"/>
              <w:right w:val="single" w:sz="6" w:space="0" w:color="auto"/>
            </w:tcBorders>
            <w:vAlign w:val="center"/>
          </w:tcPr>
          <w:p w14:paraId="4E978397"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€147.9</w:t>
            </w:r>
          </w:p>
        </w:tc>
        <w:tc>
          <w:tcPr>
            <w:tcW w:w="1901" w:type="dxa"/>
            <w:tcBorders>
              <w:top w:val="single" w:sz="6" w:space="0" w:color="auto"/>
              <w:left w:val="single" w:sz="6" w:space="0" w:color="auto"/>
              <w:bottom w:val="single" w:sz="6" w:space="0" w:color="auto"/>
              <w:right w:val="single" w:sz="6" w:space="0" w:color="auto"/>
            </w:tcBorders>
            <w:vAlign w:val="center"/>
          </w:tcPr>
          <w:p w14:paraId="25A019CA"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35%</w:t>
            </w:r>
          </w:p>
        </w:tc>
      </w:tr>
      <w:tr w:rsidR="002435CD" w:rsidRPr="00EA4C9B" w14:paraId="5D13532E"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411587D3" w14:textId="77777777" w:rsidR="002435CD" w:rsidRPr="00EA4C9B" w:rsidRDefault="002435CD" w:rsidP="008B3A2E">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Tax on production and storage of nuclear combustible</w:t>
            </w:r>
          </w:p>
        </w:tc>
        <w:tc>
          <w:tcPr>
            <w:tcW w:w="1718" w:type="dxa"/>
            <w:tcBorders>
              <w:top w:val="single" w:sz="6" w:space="0" w:color="auto"/>
              <w:left w:val="single" w:sz="6" w:space="0" w:color="auto"/>
              <w:bottom w:val="single" w:sz="6" w:space="0" w:color="auto"/>
              <w:right w:val="single" w:sz="6" w:space="0" w:color="auto"/>
            </w:tcBorders>
            <w:vAlign w:val="center"/>
          </w:tcPr>
          <w:p w14:paraId="720879F9"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€0 – €256.8</w:t>
            </w:r>
          </w:p>
        </w:tc>
        <w:tc>
          <w:tcPr>
            <w:tcW w:w="1894" w:type="dxa"/>
            <w:tcBorders>
              <w:top w:val="single" w:sz="6" w:space="0" w:color="auto"/>
              <w:left w:val="single" w:sz="6" w:space="0" w:color="auto"/>
              <w:bottom w:val="single" w:sz="6" w:space="0" w:color="auto"/>
              <w:right w:val="single" w:sz="6" w:space="0" w:color="auto"/>
            </w:tcBorders>
            <w:vAlign w:val="center"/>
          </w:tcPr>
          <w:p w14:paraId="4A3C3ADF"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€192.2</w:t>
            </w:r>
          </w:p>
        </w:tc>
        <w:tc>
          <w:tcPr>
            <w:tcW w:w="1901" w:type="dxa"/>
            <w:tcBorders>
              <w:top w:val="single" w:sz="6" w:space="0" w:color="auto"/>
              <w:left w:val="single" w:sz="6" w:space="0" w:color="auto"/>
              <w:bottom w:val="single" w:sz="6" w:space="0" w:color="auto"/>
              <w:right w:val="single" w:sz="6" w:space="0" w:color="auto"/>
            </w:tcBorders>
            <w:vAlign w:val="center"/>
          </w:tcPr>
          <w:p w14:paraId="03AB48C5"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29%</w:t>
            </w:r>
          </w:p>
        </w:tc>
      </w:tr>
      <w:tr w:rsidR="002435CD" w:rsidRPr="00EA4C9B" w14:paraId="3224867F"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496AEC98" w14:textId="77777777" w:rsidR="002435CD" w:rsidRPr="00EA4C9B" w:rsidRDefault="002435CD" w:rsidP="008B3A2E">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Other environmental taxes</w:t>
            </w:r>
          </w:p>
        </w:tc>
        <w:tc>
          <w:tcPr>
            <w:tcW w:w="1718" w:type="dxa"/>
            <w:tcBorders>
              <w:top w:val="single" w:sz="6" w:space="0" w:color="auto"/>
              <w:left w:val="single" w:sz="6" w:space="0" w:color="auto"/>
              <w:bottom w:val="single" w:sz="6" w:space="0" w:color="auto"/>
              <w:right w:val="single" w:sz="6" w:space="0" w:color="auto"/>
            </w:tcBorders>
            <w:vAlign w:val="center"/>
          </w:tcPr>
          <w:p w14:paraId="260357BD"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€24.8 – €69.9</w:t>
            </w:r>
          </w:p>
        </w:tc>
        <w:tc>
          <w:tcPr>
            <w:tcW w:w="1894" w:type="dxa"/>
            <w:tcBorders>
              <w:top w:val="single" w:sz="6" w:space="0" w:color="auto"/>
              <w:left w:val="single" w:sz="6" w:space="0" w:color="auto"/>
              <w:bottom w:val="single" w:sz="6" w:space="0" w:color="auto"/>
              <w:right w:val="single" w:sz="6" w:space="0" w:color="auto"/>
            </w:tcBorders>
            <w:vAlign w:val="center"/>
          </w:tcPr>
          <w:p w14:paraId="6949C34D"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€89.7</w:t>
            </w:r>
          </w:p>
        </w:tc>
        <w:tc>
          <w:tcPr>
            <w:tcW w:w="1901" w:type="dxa"/>
            <w:tcBorders>
              <w:top w:val="single" w:sz="6" w:space="0" w:color="auto"/>
              <w:left w:val="single" w:sz="6" w:space="0" w:color="auto"/>
              <w:bottom w:val="single" w:sz="6" w:space="0" w:color="auto"/>
              <w:right w:val="single" w:sz="6" w:space="0" w:color="auto"/>
            </w:tcBorders>
            <w:vAlign w:val="center"/>
          </w:tcPr>
          <w:p w14:paraId="4DD6526A"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8%</w:t>
            </w:r>
          </w:p>
        </w:tc>
      </w:tr>
    </w:tbl>
    <w:p w14:paraId="5B5BD381" w14:textId="6CCDF04D" w:rsidR="002435CD" w:rsidRPr="00EA4C9B" w:rsidRDefault="002435CD" w:rsidP="00F26A70">
      <w:pPr>
        <w:spacing w:after="0"/>
        <w:rPr>
          <w:lang w:eastAsia="en-GB"/>
        </w:rPr>
      </w:pPr>
      <w:r w:rsidRPr="00EA4C9B">
        <w:rPr>
          <w:lang w:eastAsia="en-GB"/>
        </w:rPr>
        <w:t> </w:t>
      </w:r>
      <w:r w:rsidR="005177D9">
        <w:rPr>
          <w:lang w:eastAsia="en-GB"/>
        </w:rPr>
        <w:br w:type="page"/>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7"/>
        <w:gridCol w:w="1718"/>
        <w:gridCol w:w="1894"/>
        <w:gridCol w:w="1901"/>
      </w:tblGrid>
      <w:tr w:rsidR="002435CD" w:rsidRPr="00EA4C9B" w14:paraId="47CD03BE" w14:textId="77777777" w:rsidTr="004F0767">
        <w:trPr>
          <w:trHeight w:val="49"/>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01A5918A" w14:textId="5BA241A2" w:rsidR="002435CD" w:rsidRPr="00EA4C9B" w:rsidRDefault="008417AF" w:rsidP="008B3A2E">
            <w:pPr>
              <w:pStyle w:val="Caption"/>
              <w:jc w:val="both"/>
              <w:rPr>
                <w:rFonts w:ascii="Times New Roman" w:eastAsia="Times New Roman" w:hAnsi="Times New Roman" w:cs="Times New Roman"/>
                <w:sz w:val="24"/>
                <w:lang w:eastAsia="en-GB"/>
              </w:rPr>
            </w:pPr>
            <w:r w:rsidRPr="008B3A2E">
              <w:rPr>
                <w:rStyle w:val="TableChar"/>
                <w:color w:val="FFFFFF" w:themeColor="background1"/>
              </w:rPr>
              <w:lastRenderedPageBreak/>
              <w:t xml:space="preserve">Table </w:t>
            </w:r>
            <w:r w:rsidR="00490085">
              <w:rPr>
                <w:rStyle w:val="TableChar"/>
                <w:color w:val="FFFFFF" w:themeColor="background1"/>
              </w:rPr>
              <w:t>A6</w:t>
            </w:r>
            <w:r w:rsidR="008B3A2E" w:rsidRPr="008B3A2E">
              <w:rPr>
                <w:rStyle w:val="TableChar"/>
                <w:color w:val="FFFFFF" w:themeColor="background1"/>
              </w:rPr>
              <w:t>-</w:t>
            </w:r>
            <w:r w:rsidR="008B3A2E" w:rsidRPr="008B3A2E">
              <w:rPr>
                <w:rStyle w:val="TableChar"/>
                <w:color w:val="FFFFFF" w:themeColor="background1"/>
              </w:rPr>
              <w:fldChar w:fldCharType="begin"/>
            </w:r>
            <w:r w:rsidR="008B3A2E" w:rsidRPr="008B3A2E">
              <w:rPr>
                <w:rStyle w:val="TableChar"/>
                <w:color w:val="FFFFFF" w:themeColor="background1"/>
              </w:rPr>
              <w:instrText xml:space="preserve"> SEQ Table_A5- \* ARABIC </w:instrText>
            </w:r>
            <w:r w:rsidR="008B3A2E" w:rsidRPr="008B3A2E">
              <w:rPr>
                <w:rStyle w:val="TableChar"/>
                <w:color w:val="FFFFFF" w:themeColor="background1"/>
              </w:rPr>
              <w:fldChar w:fldCharType="separate"/>
            </w:r>
            <w:r w:rsidR="00EA31D0">
              <w:rPr>
                <w:rStyle w:val="TableChar"/>
                <w:noProof/>
                <w:color w:val="FFFFFF" w:themeColor="background1"/>
              </w:rPr>
              <w:t>130</w:t>
            </w:r>
            <w:r w:rsidR="008B3A2E" w:rsidRPr="008B3A2E">
              <w:rPr>
                <w:rStyle w:val="TableChar"/>
                <w:color w:val="FFFFFF" w:themeColor="background1"/>
              </w:rPr>
              <w:fldChar w:fldCharType="end"/>
            </w:r>
            <w:r w:rsidR="002435CD" w:rsidRPr="008B3A2E">
              <w:rPr>
                <w:rFonts w:ascii="Calibri" w:eastAsia="Times New Roman" w:hAnsi="Calibri" w:cs="Calibri"/>
                <w:color w:val="FFFFFF" w:themeColor="background1"/>
                <w:szCs w:val="20"/>
                <w:lang w:eastAsia="en-GB"/>
              </w:rPr>
              <w:t>:  Waste taxes </w:t>
            </w:r>
          </w:p>
        </w:tc>
      </w:tr>
      <w:tr w:rsidR="002435CD" w:rsidRPr="00EA4C9B" w14:paraId="7126F668" w14:textId="77777777" w:rsidTr="004F0767">
        <w:trPr>
          <w:trHeight w:val="76"/>
        </w:trPr>
        <w:tc>
          <w:tcPr>
            <w:tcW w:w="3497" w:type="dxa"/>
            <w:tcBorders>
              <w:top w:val="single" w:sz="6" w:space="0" w:color="auto"/>
              <w:left w:val="single" w:sz="6" w:space="0" w:color="auto"/>
              <w:bottom w:val="single" w:sz="6" w:space="0" w:color="auto"/>
              <w:right w:val="single" w:sz="6" w:space="0" w:color="auto"/>
            </w:tcBorders>
            <w:hideMark/>
          </w:tcPr>
          <w:p w14:paraId="1F157B19" w14:textId="77777777" w:rsidR="002435CD" w:rsidRPr="00EA4C9B" w:rsidRDefault="002435CD">
            <w:pPr>
              <w:spacing w:after="0"/>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b/>
                <w:bCs/>
                <w:sz w:val="20"/>
                <w:szCs w:val="20"/>
                <w:lang w:eastAsia="en-GB"/>
              </w:rPr>
              <w:t>Tax Name</w:t>
            </w:r>
            <w:r w:rsidRPr="00EA4C9B">
              <w:rPr>
                <w:rFonts w:ascii="Calibri" w:eastAsia="Times New Roman" w:hAnsi="Calibri" w:cs="Calibri"/>
                <w:sz w:val="20"/>
                <w:szCs w:val="20"/>
                <w:lang w:eastAsia="en-GB"/>
              </w:rPr>
              <w:t> </w:t>
            </w:r>
          </w:p>
        </w:tc>
        <w:tc>
          <w:tcPr>
            <w:tcW w:w="1718" w:type="dxa"/>
            <w:tcBorders>
              <w:top w:val="single" w:sz="6" w:space="0" w:color="auto"/>
              <w:left w:val="single" w:sz="6" w:space="0" w:color="auto"/>
              <w:bottom w:val="single" w:sz="6" w:space="0" w:color="auto"/>
              <w:right w:val="single" w:sz="6" w:space="0" w:color="auto"/>
            </w:tcBorders>
          </w:tcPr>
          <w:p w14:paraId="162042AE" w14:textId="77777777" w:rsidR="002435CD" w:rsidRPr="00EA4C9B" w:rsidRDefault="002435CD">
            <w:pPr>
              <w:spacing w:after="0"/>
              <w:jc w:val="center"/>
              <w:textAlignment w:val="baseline"/>
              <w:rPr>
                <w:rFonts w:ascii="Calibri" w:eastAsia="Times New Roman" w:hAnsi="Calibri" w:cs="Calibri"/>
                <w:b/>
                <w:bCs/>
                <w:sz w:val="20"/>
                <w:szCs w:val="20"/>
                <w:lang w:eastAsia="en-GB"/>
              </w:rPr>
            </w:pPr>
            <w:r w:rsidRPr="00EA4C9B">
              <w:rPr>
                <w:rFonts w:ascii="Calibri" w:eastAsia="Times New Roman" w:hAnsi="Calibri" w:cs="Calibri"/>
                <w:b/>
                <w:bCs/>
                <w:sz w:val="20"/>
                <w:szCs w:val="20"/>
                <w:lang w:eastAsia="en-GB"/>
              </w:rPr>
              <w:t>Revenue (€ million)</w:t>
            </w:r>
          </w:p>
          <w:p w14:paraId="6EAAC375" w14:textId="77777777" w:rsidR="002435CD" w:rsidRPr="00EA4C9B" w:rsidRDefault="002435CD">
            <w:pPr>
              <w:spacing w:after="0"/>
              <w:jc w:val="center"/>
              <w:textAlignment w:val="baseline"/>
              <w:rPr>
                <w:rFonts w:ascii="Calibri" w:eastAsia="Times New Roman" w:hAnsi="Calibri" w:cs="Calibri"/>
                <w:b/>
                <w:bCs/>
                <w:sz w:val="20"/>
                <w:szCs w:val="20"/>
                <w:lang w:eastAsia="en-GB"/>
              </w:rPr>
            </w:pPr>
            <w:r w:rsidRPr="00EA4C9B">
              <w:rPr>
                <w:rFonts w:ascii="Calibri" w:eastAsia="Times New Roman" w:hAnsi="Calibri" w:cs="Calibri"/>
                <w:b/>
                <w:bCs/>
                <w:sz w:val="20"/>
                <w:szCs w:val="20"/>
                <w:lang w:eastAsia="en-GB"/>
              </w:rPr>
              <w:t>2009-2023</w:t>
            </w:r>
          </w:p>
        </w:tc>
        <w:tc>
          <w:tcPr>
            <w:tcW w:w="1894" w:type="dxa"/>
            <w:tcBorders>
              <w:top w:val="single" w:sz="6" w:space="0" w:color="auto"/>
              <w:left w:val="single" w:sz="6" w:space="0" w:color="auto"/>
              <w:bottom w:val="single" w:sz="6" w:space="0" w:color="auto"/>
              <w:right w:val="single" w:sz="6" w:space="0" w:color="auto"/>
            </w:tcBorders>
            <w:hideMark/>
          </w:tcPr>
          <w:p w14:paraId="28194CD3" w14:textId="77777777" w:rsidR="002435CD" w:rsidRPr="00EA4C9B" w:rsidRDefault="002435CD">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b/>
                <w:bCs/>
                <w:sz w:val="20"/>
                <w:szCs w:val="20"/>
                <w:lang w:eastAsia="en-GB"/>
              </w:rPr>
              <w:t>Average annual revenue (€ million)</w:t>
            </w:r>
          </w:p>
        </w:tc>
        <w:tc>
          <w:tcPr>
            <w:tcW w:w="1901" w:type="dxa"/>
            <w:tcBorders>
              <w:top w:val="single" w:sz="6" w:space="0" w:color="auto"/>
              <w:left w:val="single" w:sz="6" w:space="0" w:color="auto"/>
              <w:bottom w:val="single" w:sz="6" w:space="0" w:color="auto"/>
              <w:right w:val="single" w:sz="6" w:space="0" w:color="auto"/>
            </w:tcBorders>
            <w:hideMark/>
          </w:tcPr>
          <w:p w14:paraId="6DA51517" w14:textId="77777777" w:rsidR="002435CD" w:rsidRPr="00EA4C9B" w:rsidRDefault="002435CD">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b/>
                <w:bCs/>
                <w:sz w:val="20"/>
                <w:szCs w:val="20"/>
                <w:lang w:eastAsia="en-GB"/>
              </w:rPr>
              <w:t>As share of all waste tax revenues</w:t>
            </w:r>
          </w:p>
        </w:tc>
      </w:tr>
      <w:tr w:rsidR="002435CD" w:rsidRPr="00EA4C9B" w14:paraId="594723E1"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hideMark/>
          </w:tcPr>
          <w:p w14:paraId="7EC7F8ED" w14:textId="77777777" w:rsidR="002435CD" w:rsidRPr="00C305AC" w:rsidRDefault="002435CD">
            <w:pPr>
              <w:spacing w:after="0"/>
              <w:textAlignment w:val="baseline"/>
              <w:rPr>
                <w:rFonts w:ascii="Times New Roman" w:eastAsia="Times New Roman" w:hAnsi="Times New Roman" w:cs="Times New Roman"/>
                <w:sz w:val="24"/>
                <w:szCs w:val="24"/>
                <w:lang w:val="fr-BE" w:eastAsia="en-GB"/>
              </w:rPr>
            </w:pPr>
            <w:r w:rsidRPr="00C305AC">
              <w:rPr>
                <w:rFonts w:ascii="Calibri" w:eastAsia="Times New Roman" w:hAnsi="Calibri" w:cs="Calibri"/>
                <w:sz w:val="20"/>
                <w:szCs w:val="20"/>
                <w:lang w:val="fr-BE" w:eastAsia="en-GB"/>
              </w:rPr>
              <w:t>Excise tax on non-reusable plastic containers (import)</w:t>
            </w:r>
          </w:p>
        </w:tc>
        <w:tc>
          <w:tcPr>
            <w:tcW w:w="1718" w:type="dxa"/>
            <w:tcBorders>
              <w:top w:val="single" w:sz="6" w:space="0" w:color="auto"/>
              <w:left w:val="single" w:sz="6" w:space="0" w:color="auto"/>
              <w:bottom w:val="single" w:sz="6" w:space="0" w:color="auto"/>
              <w:right w:val="single" w:sz="6" w:space="0" w:color="auto"/>
            </w:tcBorders>
            <w:vAlign w:val="center"/>
          </w:tcPr>
          <w:p w14:paraId="58A593C2" w14:textId="77777777" w:rsidR="002435CD" w:rsidRPr="00EA4C9B" w:rsidRDefault="002435CD">
            <w:pPr>
              <w:spacing w:after="0"/>
              <w:jc w:val="center"/>
              <w:textAlignment w:val="baseline"/>
              <w:rPr>
                <w:rFonts w:ascii="Calibri" w:eastAsia="Times New Roman" w:hAnsi="Calibri" w:cs="Calibri"/>
                <w:sz w:val="20"/>
                <w:szCs w:val="20"/>
                <w:lang w:eastAsia="en-GB"/>
              </w:rPr>
            </w:pPr>
            <w:r w:rsidRPr="00EA4C9B">
              <w:rPr>
                <w:rFonts w:ascii="Calibri" w:eastAsia="Times New Roman" w:hAnsi="Calibri" w:cs="Calibri"/>
                <w:sz w:val="20"/>
                <w:szCs w:val="20"/>
                <w:lang w:eastAsia="en-GB"/>
              </w:rPr>
              <w:t>€0 – €108.6</w:t>
            </w:r>
          </w:p>
        </w:tc>
        <w:tc>
          <w:tcPr>
            <w:tcW w:w="1894" w:type="dxa"/>
            <w:tcBorders>
              <w:top w:val="single" w:sz="6" w:space="0" w:color="auto"/>
              <w:left w:val="single" w:sz="6" w:space="0" w:color="auto"/>
              <w:bottom w:val="single" w:sz="6" w:space="0" w:color="auto"/>
              <w:right w:val="single" w:sz="6" w:space="0" w:color="auto"/>
            </w:tcBorders>
            <w:vAlign w:val="center"/>
            <w:hideMark/>
          </w:tcPr>
          <w:p w14:paraId="63225676" w14:textId="77777777" w:rsidR="002435CD" w:rsidRPr="00EA4C9B" w:rsidRDefault="002435CD">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20"/>
                <w:szCs w:val="20"/>
                <w:lang w:eastAsia="en-GB"/>
              </w:rPr>
              <w:t>€7.2</w:t>
            </w:r>
          </w:p>
        </w:tc>
        <w:tc>
          <w:tcPr>
            <w:tcW w:w="1901" w:type="dxa"/>
            <w:tcBorders>
              <w:top w:val="single" w:sz="6" w:space="0" w:color="auto"/>
              <w:left w:val="single" w:sz="6" w:space="0" w:color="auto"/>
              <w:bottom w:val="single" w:sz="6" w:space="0" w:color="auto"/>
              <w:right w:val="single" w:sz="6" w:space="0" w:color="auto"/>
            </w:tcBorders>
            <w:vAlign w:val="center"/>
            <w:hideMark/>
          </w:tcPr>
          <w:p w14:paraId="375BD6AB" w14:textId="77777777" w:rsidR="002435CD" w:rsidRPr="00EA4C9B" w:rsidRDefault="002435CD">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20"/>
                <w:szCs w:val="20"/>
                <w:lang w:eastAsia="en-GB"/>
              </w:rPr>
              <w:t>12%</w:t>
            </w:r>
          </w:p>
        </w:tc>
      </w:tr>
      <w:tr w:rsidR="002435CD" w:rsidRPr="00EA4C9B" w14:paraId="058960E6"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hideMark/>
          </w:tcPr>
          <w:p w14:paraId="19384CB3" w14:textId="77777777" w:rsidR="002435CD" w:rsidRPr="00C305AC" w:rsidRDefault="002435CD">
            <w:pPr>
              <w:spacing w:after="0"/>
              <w:textAlignment w:val="baseline"/>
              <w:rPr>
                <w:rFonts w:ascii="Times New Roman" w:eastAsia="Times New Roman" w:hAnsi="Times New Roman" w:cs="Times New Roman"/>
                <w:sz w:val="24"/>
                <w:szCs w:val="24"/>
                <w:lang w:val="fr-BE" w:eastAsia="en-GB"/>
              </w:rPr>
            </w:pPr>
            <w:r w:rsidRPr="00C305AC">
              <w:rPr>
                <w:rFonts w:ascii="Calibri" w:eastAsia="Times New Roman" w:hAnsi="Calibri" w:cs="Calibri"/>
                <w:sz w:val="20"/>
                <w:szCs w:val="20"/>
                <w:lang w:val="fr-BE" w:eastAsia="en-GB"/>
              </w:rPr>
              <w:t>Excise tax on non-reusable plastic containers</w:t>
            </w:r>
          </w:p>
        </w:tc>
        <w:tc>
          <w:tcPr>
            <w:tcW w:w="1718" w:type="dxa"/>
            <w:tcBorders>
              <w:top w:val="single" w:sz="6" w:space="0" w:color="auto"/>
              <w:left w:val="single" w:sz="6" w:space="0" w:color="auto"/>
              <w:bottom w:val="single" w:sz="6" w:space="0" w:color="auto"/>
              <w:right w:val="single" w:sz="6" w:space="0" w:color="auto"/>
            </w:tcBorders>
            <w:vAlign w:val="center"/>
          </w:tcPr>
          <w:p w14:paraId="1FE34054" w14:textId="77777777" w:rsidR="002435CD" w:rsidRPr="00EA4C9B" w:rsidRDefault="002435CD">
            <w:pPr>
              <w:spacing w:after="0"/>
              <w:jc w:val="center"/>
              <w:textAlignment w:val="baseline"/>
              <w:rPr>
                <w:rFonts w:ascii="Calibri" w:eastAsia="Times New Roman" w:hAnsi="Calibri" w:cs="Calibri"/>
                <w:sz w:val="20"/>
                <w:szCs w:val="20"/>
                <w:lang w:eastAsia="en-GB"/>
              </w:rPr>
            </w:pPr>
            <w:r w:rsidRPr="00EA4C9B">
              <w:rPr>
                <w:rFonts w:ascii="Calibri" w:eastAsia="Times New Roman" w:hAnsi="Calibri" w:cs="Calibri"/>
                <w:sz w:val="20"/>
                <w:szCs w:val="20"/>
                <w:lang w:eastAsia="en-GB"/>
              </w:rPr>
              <w:t>€0 – 459.9</w:t>
            </w:r>
          </w:p>
        </w:tc>
        <w:tc>
          <w:tcPr>
            <w:tcW w:w="1894" w:type="dxa"/>
            <w:tcBorders>
              <w:top w:val="single" w:sz="6" w:space="0" w:color="auto"/>
              <w:left w:val="single" w:sz="6" w:space="0" w:color="auto"/>
              <w:bottom w:val="single" w:sz="6" w:space="0" w:color="auto"/>
              <w:right w:val="single" w:sz="6" w:space="0" w:color="auto"/>
            </w:tcBorders>
            <w:vAlign w:val="center"/>
            <w:hideMark/>
          </w:tcPr>
          <w:p w14:paraId="6C278D10" w14:textId="77777777" w:rsidR="002435CD" w:rsidRPr="00EA4C9B" w:rsidRDefault="002435CD">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20"/>
                <w:szCs w:val="20"/>
                <w:lang w:eastAsia="en-GB"/>
              </w:rPr>
              <w:t>€30.7</w:t>
            </w:r>
          </w:p>
        </w:tc>
        <w:tc>
          <w:tcPr>
            <w:tcW w:w="1901" w:type="dxa"/>
            <w:tcBorders>
              <w:top w:val="single" w:sz="6" w:space="0" w:color="auto"/>
              <w:left w:val="single" w:sz="6" w:space="0" w:color="auto"/>
              <w:bottom w:val="single" w:sz="6" w:space="0" w:color="auto"/>
              <w:right w:val="single" w:sz="6" w:space="0" w:color="auto"/>
            </w:tcBorders>
            <w:vAlign w:val="center"/>
            <w:hideMark/>
          </w:tcPr>
          <w:p w14:paraId="445B81A5" w14:textId="77777777" w:rsidR="002435CD" w:rsidRPr="00EA4C9B" w:rsidRDefault="002435CD">
            <w:pPr>
              <w:spacing w:after="0"/>
              <w:jc w:val="center"/>
              <w:textAlignment w:val="baseline"/>
              <w:rPr>
                <w:rFonts w:ascii="Times New Roman" w:eastAsia="Times New Roman" w:hAnsi="Times New Roman" w:cs="Times New Roman"/>
                <w:sz w:val="24"/>
                <w:szCs w:val="24"/>
                <w:lang w:eastAsia="en-GB"/>
              </w:rPr>
            </w:pPr>
            <w:r w:rsidRPr="00EA4C9B">
              <w:rPr>
                <w:rFonts w:ascii="Calibri" w:eastAsia="Times New Roman" w:hAnsi="Calibri" w:cs="Calibri"/>
                <w:sz w:val="20"/>
                <w:szCs w:val="20"/>
                <w:lang w:eastAsia="en-GB"/>
              </w:rPr>
              <w:t>51%</w:t>
            </w:r>
          </w:p>
        </w:tc>
      </w:tr>
      <w:tr w:rsidR="002435CD" w:rsidRPr="00EA4C9B" w14:paraId="6B1F4E4A" w14:textId="77777777" w:rsidTr="004F0767">
        <w:trPr>
          <w:trHeight w:val="49"/>
        </w:trPr>
        <w:tc>
          <w:tcPr>
            <w:tcW w:w="3497" w:type="dxa"/>
            <w:tcBorders>
              <w:top w:val="single" w:sz="6" w:space="0" w:color="auto"/>
              <w:left w:val="single" w:sz="6" w:space="0" w:color="auto"/>
              <w:bottom w:val="single" w:sz="6" w:space="0" w:color="auto"/>
              <w:right w:val="single" w:sz="6" w:space="0" w:color="auto"/>
            </w:tcBorders>
          </w:tcPr>
          <w:p w14:paraId="025715C0" w14:textId="77777777" w:rsidR="002435CD" w:rsidRPr="00EA4C9B" w:rsidRDefault="002435CD">
            <w:pPr>
              <w:spacing w:after="0"/>
              <w:textAlignment w:val="baseline"/>
              <w:rPr>
                <w:rFonts w:ascii="Calibri" w:eastAsia="Times New Roman" w:hAnsi="Calibri" w:cs="Calibri"/>
                <w:sz w:val="20"/>
                <w:szCs w:val="20"/>
                <w:lang w:eastAsia="en-GB"/>
              </w:rPr>
            </w:pPr>
            <w:r w:rsidRPr="00EA4C9B">
              <w:rPr>
                <w:rFonts w:ascii="Calibri" w:eastAsia="Times New Roman" w:hAnsi="Calibri" w:cs="Calibri"/>
                <w:sz w:val="20"/>
                <w:szCs w:val="20"/>
                <w:lang w:eastAsia="en-GB"/>
              </w:rPr>
              <w:t>Tax on waste disposal in landfills, incineration and co-incineration of waste</w:t>
            </w:r>
          </w:p>
        </w:tc>
        <w:tc>
          <w:tcPr>
            <w:tcW w:w="1718" w:type="dxa"/>
            <w:tcBorders>
              <w:top w:val="single" w:sz="6" w:space="0" w:color="auto"/>
              <w:left w:val="single" w:sz="6" w:space="0" w:color="auto"/>
              <w:bottom w:val="single" w:sz="6" w:space="0" w:color="auto"/>
              <w:right w:val="single" w:sz="6" w:space="0" w:color="auto"/>
            </w:tcBorders>
            <w:vAlign w:val="center"/>
          </w:tcPr>
          <w:p w14:paraId="61EA1115" w14:textId="77777777" w:rsidR="002435CD" w:rsidRPr="00EA4C9B" w:rsidRDefault="002435CD">
            <w:pPr>
              <w:spacing w:after="0"/>
              <w:jc w:val="center"/>
              <w:textAlignment w:val="baseline"/>
              <w:rPr>
                <w:rFonts w:ascii="Calibri" w:eastAsia="Times New Roman" w:hAnsi="Calibri" w:cs="Calibri"/>
                <w:sz w:val="20"/>
                <w:szCs w:val="20"/>
                <w:lang w:eastAsia="en-GB"/>
              </w:rPr>
            </w:pPr>
            <w:r w:rsidRPr="00EA4C9B">
              <w:rPr>
                <w:rFonts w:ascii="Calibri" w:eastAsia="Times New Roman" w:hAnsi="Calibri" w:cs="Calibri"/>
                <w:sz w:val="20"/>
                <w:szCs w:val="20"/>
                <w:lang w:eastAsia="en-GB"/>
              </w:rPr>
              <w:t>€0 – €338.1</w:t>
            </w:r>
          </w:p>
        </w:tc>
        <w:tc>
          <w:tcPr>
            <w:tcW w:w="1894" w:type="dxa"/>
            <w:tcBorders>
              <w:top w:val="single" w:sz="6" w:space="0" w:color="auto"/>
              <w:left w:val="single" w:sz="6" w:space="0" w:color="auto"/>
              <w:bottom w:val="single" w:sz="6" w:space="0" w:color="auto"/>
              <w:right w:val="single" w:sz="6" w:space="0" w:color="auto"/>
            </w:tcBorders>
            <w:vAlign w:val="center"/>
          </w:tcPr>
          <w:p w14:paraId="6B9E4485" w14:textId="77777777" w:rsidR="002435CD" w:rsidRPr="00EA4C9B" w:rsidRDefault="002435CD">
            <w:pPr>
              <w:spacing w:after="0"/>
              <w:jc w:val="center"/>
              <w:textAlignment w:val="baseline"/>
              <w:rPr>
                <w:rFonts w:ascii="Calibri" w:eastAsia="Times New Roman" w:hAnsi="Calibri" w:cs="Calibri"/>
                <w:sz w:val="20"/>
                <w:szCs w:val="20"/>
                <w:lang w:eastAsia="en-GB"/>
              </w:rPr>
            </w:pPr>
            <w:r w:rsidRPr="00EA4C9B">
              <w:rPr>
                <w:rFonts w:ascii="Calibri" w:eastAsia="Times New Roman" w:hAnsi="Calibri" w:cs="Calibri"/>
                <w:sz w:val="20"/>
                <w:szCs w:val="20"/>
                <w:lang w:eastAsia="en-GB"/>
              </w:rPr>
              <w:t>€22.5</w:t>
            </w:r>
          </w:p>
        </w:tc>
        <w:tc>
          <w:tcPr>
            <w:tcW w:w="1901" w:type="dxa"/>
            <w:tcBorders>
              <w:top w:val="single" w:sz="6" w:space="0" w:color="auto"/>
              <w:left w:val="single" w:sz="6" w:space="0" w:color="auto"/>
              <w:bottom w:val="single" w:sz="6" w:space="0" w:color="auto"/>
              <w:right w:val="single" w:sz="6" w:space="0" w:color="auto"/>
            </w:tcBorders>
            <w:vAlign w:val="center"/>
          </w:tcPr>
          <w:p w14:paraId="31B796C2" w14:textId="77777777" w:rsidR="002435CD" w:rsidRPr="00EA4C9B" w:rsidRDefault="002435CD">
            <w:pPr>
              <w:spacing w:after="0"/>
              <w:jc w:val="center"/>
              <w:textAlignment w:val="baseline"/>
              <w:rPr>
                <w:rFonts w:ascii="Calibri" w:eastAsia="Times New Roman" w:hAnsi="Calibri" w:cs="Calibri"/>
                <w:sz w:val="20"/>
                <w:szCs w:val="20"/>
                <w:lang w:eastAsia="en-GB"/>
              </w:rPr>
            </w:pPr>
            <w:r w:rsidRPr="00EA4C9B">
              <w:rPr>
                <w:rFonts w:ascii="Calibri" w:eastAsia="Times New Roman" w:hAnsi="Calibri" w:cs="Calibri"/>
                <w:sz w:val="20"/>
                <w:szCs w:val="20"/>
                <w:lang w:eastAsia="en-GB"/>
              </w:rPr>
              <w:t>37%</w:t>
            </w:r>
          </w:p>
        </w:tc>
      </w:tr>
    </w:tbl>
    <w:p w14:paraId="2B0B6778" w14:textId="77777777" w:rsidR="002435CD" w:rsidRPr="00EA4C9B" w:rsidRDefault="002435CD" w:rsidP="002435CD">
      <w:pPr>
        <w:spacing w:before="120" w:after="120"/>
        <w:textAlignment w:val="baseline"/>
        <w:rPr>
          <w:rFonts w:ascii="Calibri" w:eastAsia="Times New Roman" w:hAnsi="Calibri" w:cs="Calibri"/>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00"/>
        <w:gridCol w:w="1717"/>
        <w:gridCol w:w="1893"/>
        <w:gridCol w:w="1900"/>
      </w:tblGrid>
      <w:tr w:rsidR="002435CD" w:rsidRPr="00EA4C9B" w14:paraId="141F6B5A" w14:textId="77777777" w:rsidTr="004F0767">
        <w:trPr>
          <w:trHeight w:val="133"/>
        </w:trPr>
        <w:tc>
          <w:tcPr>
            <w:tcW w:w="9010" w:type="dxa"/>
            <w:gridSpan w:val="4"/>
            <w:tcBorders>
              <w:top w:val="single" w:sz="6" w:space="0" w:color="auto"/>
              <w:left w:val="single" w:sz="6" w:space="0" w:color="auto"/>
              <w:bottom w:val="single" w:sz="6" w:space="0" w:color="auto"/>
              <w:right w:val="single" w:sz="6" w:space="0" w:color="auto"/>
            </w:tcBorders>
            <w:shd w:val="clear" w:color="auto" w:fill="003399"/>
          </w:tcPr>
          <w:p w14:paraId="6F8D205C" w14:textId="39695712" w:rsidR="002435CD" w:rsidRPr="008B3A2E" w:rsidRDefault="008417AF" w:rsidP="008B3A2E">
            <w:pPr>
              <w:pStyle w:val="Table"/>
              <w:rPr>
                <w:rFonts w:ascii="Times New Roman" w:eastAsia="Times New Roman" w:hAnsi="Times New Roman" w:cs="Times New Roman"/>
                <w:b/>
                <w:color w:val="FFFFFF" w:themeColor="background1"/>
                <w:sz w:val="24"/>
                <w:lang w:eastAsia="en-GB"/>
              </w:rPr>
            </w:pPr>
            <w:r w:rsidRPr="008B3A2E">
              <w:rPr>
                <w:b/>
                <w:color w:val="FFFFFF" w:themeColor="background1"/>
              </w:rPr>
              <w:t xml:space="preserve">Table </w:t>
            </w:r>
            <w:r w:rsidR="00490085">
              <w:rPr>
                <w:b/>
                <w:color w:val="FFFFFF" w:themeColor="background1"/>
              </w:rPr>
              <w:t>A6</w:t>
            </w:r>
            <w:r w:rsidR="008B3A2E" w:rsidRPr="008B3A2E">
              <w:rPr>
                <w:b/>
                <w:bCs/>
                <w:color w:val="FFFFFF" w:themeColor="background1"/>
              </w:rPr>
              <w:t>-</w:t>
            </w:r>
            <w:r w:rsidR="008B3A2E" w:rsidRPr="008B3A2E">
              <w:rPr>
                <w:b/>
                <w:bCs/>
                <w:color w:val="FFFFFF" w:themeColor="background1"/>
              </w:rPr>
              <w:fldChar w:fldCharType="begin"/>
            </w:r>
            <w:r w:rsidR="008B3A2E" w:rsidRPr="008B3A2E">
              <w:rPr>
                <w:b/>
                <w:bCs/>
                <w:color w:val="FFFFFF" w:themeColor="background1"/>
              </w:rPr>
              <w:instrText xml:space="preserve"> SEQ Table_A5- \* ARABIC </w:instrText>
            </w:r>
            <w:r w:rsidR="008B3A2E" w:rsidRPr="008B3A2E">
              <w:rPr>
                <w:b/>
                <w:bCs/>
                <w:color w:val="FFFFFF" w:themeColor="background1"/>
              </w:rPr>
              <w:fldChar w:fldCharType="separate"/>
            </w:r>
            <w:r w:rsidR="00EA31D0">
              <w:rPr>
                <w:b/>
                <w:bCs/>
                <w:noProof/>
                <w:color w:val="FFFFFF" w:themeColor="background1"/>
              </w:rPr>
              <w:t>131</w:t>
            </w:r>
            <w:r w:rsidR="008B3A2E" w:rsidRPr="008B3A2E">
              <w:rPr>
                <w:b/>
                <w:bCs/>
                <w:color w:val="FFFFFF" w:themeColor="background1"/>
              </w:rPr>
              <w:fldChar w:fldCharType="end"/>
            </w:r>
            <w:r w:rsidR="002435CD" w:rsidRPr="008B3A2E">
              <w:rPr>
                <w:rFonts w:ascii="Calibri" w:eastAsia="Times New Roman" w:hAnsi="Calibri" w:cs="Calibri"/>
                <w:b/>
                <w:color w:val="FFFFFF" w:themeColor="background1"/>
                <w:szCs w:val="20"/>
                <w:lang w:eastAsia="en-GB"/>
              </w:rPr>
              <w:t>:  Resource taxes </w:t>
            </w:r>
          </w:p>
        </w:tc>
      </w:tr>
      <w:tr w:rsidR="002435CD" w:rsidRPr="00EA4C9B" w14:paraId="17B39C6D" w14:textId="77777777" w:rsidTr="004F0767">
        <w:trPr>
          <w:trHeight w:val="49"/>
        </w:trPr>
        <w:tc>
          <w:tcPr>
            <w:tcW w:w="3500" w:type="dxa"/>
            <w:tcBorders>
              <w:top w:val="single" w:sz="6" w:space="0" w:color="auto"/>
              <w:left w:val="single" w:sz="6" w:space="0" w:color="auto"/>
              <w:bottom w:val="single" w:sz="6" w:space="0" w:color="auto"/>
              <w:right w:val="single" w:sz="6" w:space="0" w:color="auto"/>
            </w:tcBorders>
            <w:hideMark/>
          </w:tcPr>
          <w:p w14:paraId="14660DD3" w14:textId="77777777" w:rsidR="002435CD" w:rsidRPr="00EA4C9B" w:rsidRDefault="002435CD" w:rsidP="008B3A2E">
            <w:pPr>
              <w:pStyle w:val="Table"/>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Tax Name</w:t>
            </w:r>
            <w:r w:rsidRPr="00EA4C9B">
              <w:rPr>
                <w:rFonts w:ascii="Calibri" w:eastAsia="Times New Roman" w:hAnsi="Calibri" w:cs="Calibri"/>
                <w:szCs w:val="20"/>
                <w:lang w:eastAsia="en-GB"/>
              </w:rPr>
              <w:t> </w:t>
            </w:r>
          </w:p>
        </w:tc>
        <w:tc>
          <w:tcPr>
            <w:tcW w:w="1717" w:type="dxa"/>
            <w:tcBorders>
              <w:top w:val="single" w:sz="6" w:space="0" w:color="auto"/>
              <w:left w:val="single" w:sz="6" w:space="0" w:color="auto"/>
              <w:bottom w:val="single" w:sz="6" w:space="0" w:color="auto"/>
              <w:right w:val="single" w:sz="6" w:space="0" w:color="auto"/>
            </w:tcBorders>
          </w:tcPr>
          <w:p w14:paraId="2A2D1EFC" w14:textId="77777777" w:rsidR="002435CD" w:rsidRPr="00EA4C9B" w:rsidRDefault="002435CD" w:rsidP="00EA31D0">
            <w:pPr>
              <w:pStyle w:val="Table"/>
              <w:jc w:val="center"/>
              <w:rPr>
                <w:rFonts w:ascii="Calibri" w:eastAsia="Times New Roman" w:hAnsi="Calibri" w:cs="Calibri"/>
                <w:b/>
                <w:bCs/>
                <w:szCs w:val="20"/>
                <w:lang w:eastAsia="en-GB"/>
              </w:rPr>
            </w:pPr>
            <w:r w:rsidRPr="00EA4C9B">
              <w:rPr>
                <w:rFonts w:ascii="Calibri" w:eastAsia="Times New Roman" w:hAnsi="Calibri" w:cs="Calibri"/>
                <w:b/>
                <w:szCs w:val="20"/>
                <w:lang w:eastAsia="en-GB"/>
              </w:rPr>
              <w:t>Revenue (€ million)</w:t>
            </w:r>
          </w:p>
          <w:p w14:paraId="200A8064" w14:textId="77777777" w:rsidR="002435CD" w:rsidRPr="00EA4C9B" w:rsidRDefault="002435CD" w:rsidP="00EA31D0">
            <w:pPr>
              <w:pStyle w:val="Table"/>
              <w:jc w:val="center"/>
              <w:rPr>
                <w:rFonts w:ascii="Calibri" w:eastAsia="Times New Roman" w:hAnsi="Calibri" w:cs="Calibri"/>
                <w:b/>
                <w:szCs w:val="20"/>
                <w:lang w:eastAsia="en-GB"/>
              </w:rPr>
            </w:pPr>
            <w:r w:rsidRPr="00EA4C9B">
              <w:rPr>
                <w:rFonts w:ascii="Calibri" w:eastAsia="Times New Roman" w:hAnsi="Calibri" w:cs="Calibri"/>
                <w:b/>
                <w:szCs w:val="20"/>
                <w:lang w:eastAsia="en-GB"/>
              </w:rPr>
              <w:t>2009-2023</w:t>
            </w:r>
          </w:p>
        </w:tc>
        <w:tc>
          <w:tcPr>
            <w:tcW w:w="1893" w:type="dxa"/>
            <w:tcBorders>
              <w:top w:val="single" w:sz="6" w:space="0" w:color="auto"/>
              <w:left w:val="single" w:sz="6" w:space="0" w:color="auto"/>
              <w:bottom w:val="single" w:sz="6" w:space="0" w:color="auto"/>
              <w:right w:val="single" w:sz="6" w:space="0" w:color="auto"/>
            </w:tcBorders>
            <w:hideMark/>
          </w:tcPr>
          <w:p w14:paraId="4DEC43CF" w14:textId="77777777" w:rsidR="002435CD" w:rsidRPr="00EA4C9B" w:rsidRDefault="002435CD" w:rsidP="00EA31D0">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Average annual revenue (€ million)</w:t>
            </w:r>
          </w:p>
        </w:tc>
        <w:tc>
          <w:tcPr>
            <w:tcW w:w="1900" w:type="dxa"/>
            <w:tcBorders>
              <w:top w:val="single" w:sz="6" w:space="0" w:color="auto"/>
              <w:left w:val="single" w:sz="6" w:space="0" w:color="auto"/>
              <w:bottom w:val="single" w:sz="6" w:space="0" w:color="auto"/>
              <w:right w:val="single" w:sz="6" w:space="0" w:color="auto"/>
            </w:tcBorders>
            <w:hideMark/>
          </w:tcPr>
          <w:p w14:paraId="7BF240F9" w14:textId="77777777" w:rsidR="002435CD" w:rsidRPr="00EA4C9B" w:rsidRDefault="002435CD" w:rsidP="00EA31D0">
            <w:pPr>
              <w:pStyle w:val="Table"/>
              <w:jc w:val="center"/>
              <w:rPr>
                <w:rFonts w:ascii="Times New Roman" w:eastAsia="Times New Roman" w:hAnsi="Times New Roman" w:cs="Times New Roman"/>
                <w:sz w:val="24"/>
                <w:lang w:eastAsia="en-GB"/>
              </w:rPr>
            </w:pPr>
            <w:r w:rsidRPr="00EA4C9B">
              <w:rPr>
                <w:rFonts w:ascii="Calibri" w:eastAsia="Times New Roman" w:hAnsi="Calibri" w:cs="Calibri"/>
                <w:b/>
                <w:szCs w:val="20"/>
                <w:lang w:eastAsia="en-GB"/>
              </w:rPr>
              <w:t>As share of all resource tax revenues</w:t>
            </w:r>
          </w:p>
        </w:tc>
      </w:tr>
      <w:tr w:rsidR="002435CD" w:rsidRPr="00EA4C9B" w14:paraId="4F6A05C6" w14:textId="77777777" w:rsidTr="004F0767">
        <w:trPr>
          <w:trHeight w:val="104"/>
        </w:trPr>
        <w:tc>
          <w:tcPr>
            <w:tcW w:w="3500" w:type="dxa"/>
            <w:tcBorders>
              <w:top w:val="single" w:sz="6" w:space="0" w:color="auto"/>
              <w:left w:val="single" w:sz="6" w:space="0" w:color="auto"/>
              <w:bottom w:val="single" w:sz="6" w:space="0" w:color="auto"/>
              <w:right w:val="single" w:sz="6" w:space="0" w:color="auto"/>
            </w:tcBorders>
            <w:hideMark/>
          </w:tcPr>
          <w:p w14:paraId="6084C0C3" w14:textId="77777777" w:rsidR="002435CD" w:rsidRPr="00EA4C9B" w:rsidRDefault="002435CD" w:rsidP="008B3A2E">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Taxes and charges on effluent, exploitation of hydrocarbon and mines</w:t>
            </w:r>
          </w:p>
        </w:tc>
        <w:tc>
          <w:tcPr>
            <w:tcW w:w="1717" w:type="dxa"/>
            <w:tcBorders>
              <w:top w:val="single" w:sz="6" w:space="0" w:color="auto"/>
              <w:left w:val="single" w:sz="6" w:space="0" w:color="auto"/>
              <w:bottom w:val="single" w:sz="6" w:space="0" w:color="auto"/>
              <w:right w:val="single" w:sz="6" w:space="0" w:color="auto"/>
            </w:tcBorders>
            <w:vAlign w:val="center"/>
          </w:tcPr>
          <w:p w14:paraId="5FE3D766"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€82.3 – €209.6</w:t>
            </w:r>
          </w:p>
        </w:tc>
        <w:tc>
          <w:tcPr>
            <w:tcW w:w="1893" w:type="dxa"/>
            <w:tcBorders>
              <w:top w:val="single" w:sz="6" w:space="0" w:color="auto"/>
              <w:left w:val="single" w:sz="6" w:space="0" w:color="auto"/>
              <w:bottom w:val="single" w:sz="6" w:space="0" w:color="auto"/>
              <w:right w:val="single" w:sz="6" w:space="0" w:color="auto"/>
            </w:tcBorders>
            <w:vAlign w:val="center"/>
            <w:hideMark/>
          </w:tcPr>
          <w:p w14:paraId="42CB46BC" w14:textId="77777777" w:rsidR="002435CD" w:rsidRPr="00EA4C9B" w:rsidRDefault="002435CD" w:rsidP="00EA31D0">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€156.3</w:t>
            </w:r>
          </w:p>
        </w:tc>
        <w:tc>
          <w:tcPr>
            <w:tcW w:w="1900" w:type="dxa"/>
            <w:tcBorders>
              <w:top w:val="single" w:sz="6" w:space="0" w:color="auto"/>
              <w:left w:val="single" w:sz="6" w:space="0" w:color="auto"/>
              <w:bottom w:val="single" w:sz="6" w:space="0" w:color="auto"/>
              <w:right w:val="single" w:sz="6" w:space="0" w:color="auto"/>
            </w:tcBorders>
            <w:vAlign w:val="center"/>
            <w:hideMark/>
          </w:tcPr>
          <w:p w14:paraId="0B657C9B" w14:textId="77777777" w:rsidR="002435CD" w:rsidRPr="00EA4C9B" w:rsidRDefault="002435CD" w:rsidP="00EA31D0">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88%</w:t>
            </w:r>
          </w:p>
        </w:tc>
      </w:tr>
      <w:tr w:rsidR="002435CD" w:rsidRPr="00EA4C9B" w14:paraId="456FA11E" w14:textId="77777777" w:rsidTr="004F0767">
        <w:trPr>
          <w:trHeight w:val="104"/>
        </w:trPr>
        <w:tc>
          <w:tcPr>
            <w:tcW w:w="3500" w:type="dxa"/>
            <w:tcBorders>
              <w:top w:val="single" w:sz="6" w:space="0" w:color="auto"/>
              <w:left w:val="single" w:sz="6" w:space="0" w:color="auto"/>
              <w:bottom w:val="single" w:sz="6" w:space="0" w:color="auto"/>
              <w:right w:val="single" w:sz="6" w:space="0" w:color="auto"/>
            </w:tcBorders>
          </w:tcPr>
          <w:p w14:paraId="316C5100" w14:textId="77777777" w:rsidR="002435CD" w:rsidRPr="00EA4C9B" w:rsidRDefault="002435CD" w:rsidP="008B3A2E">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Other taxes on luxury expenses</w:t>
            </w:r>
          </w:p>
        </w:tc>
        <w:tc>
          <w:tcPr>
            <w:tcW w:w="1717" w:type="dxa"/>
            <w:tcBorders>
              <w:top w:val="single" w:sz="6" w:space="0" w:color="auto"/>
              <w:left w:val="single" w:sz="6" w:space="0" w:color="auto"/>
              <w:bottom w:val="single" w:sz="6" w:space="0" w:color="auto"/>
              <w:right w:val="single" w:sz="6" w:space="0" w:color="auto"/>
            </w:tcBorders>
            <w:vAlign w:val="center"/>
          </w:tcPr>
          <w:p w14:paraId="236C3F33"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€2 – €2.8</w:t>
            </w:r>
          </w:p>
        </w:tc>
        <w:tc>
          <w:tcPr>
            <w:tcW w:w="1893" w:type="dxa"/>
            <w:tcBorders>
              <w:top w:val="single" w:sz="6" w:space="0" w:color="auto"/>
              <w:left w:val="single" w:sz="6" w:space="0" w:color="auto"/>
              <w:bottom w:val="single" w:sz="6" w:space="0" w:color="auto"/>
              <w:right w:val="single" w:sz="6" w:space="0" w:color="auto"/>
            </w:tcBorders>
            <w:vAlign w:val="center"/>
          </w:tcPr>
          <w:p w14:paraId="0AC144F9"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€3.1</w:t>
            </w:r>
          </w:p>
        </w:tc>
        <w:tc>
          <w:tcPr>
            <w:tcW w:w="1900" w:type="dxa"/>
            <w:tcBorders>
              <w:top w:val="single" w:sz="6" w:space="0" w:color="auto"/>
              <w:left w:val="single" w:sz="6" w:space="0" w:color="auto"/>
              <w:bottom w:val="single" w:sz="6" w:space="0" w:color="auto"/>
              <w:right w:val="single" w:sz="6" w:space="0" w:color="auto"/>
            </w:tcBorders>
            <w:vAlign w:val="center"/>
          </w:tcPr>
          <w:p w14:paraId="337FB5D6"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1%</w:t>
            </w:r>
          </w:p>
        </w:tc>
      </w:tr>
      <w:tr w:rsidR="002435CD" w:rsidRPr="00EA4C9B" w14:paraId="05A42A44" w14:textId="77777777" w:rsidTr="004F0767">
        <w:trPr>
          <w:trHeight w:val="76"/>
        </w:trPr>
        <w:tc>
          <w:tcPr>
            <w:tcW w:w="3500" w:type="dxa"/>
            <w:tcBorders>
              <w:top w:val="single" w:sz="6" w:space="0" w:color="auto"/>
              <w:left w:val="single" w:sz="6" w:space="0" w:color="auto"/>
              <w:bottom w:val="single" w:sz="6" w:space="0" w:color="auto"/>
              <w:right w:val="single" w:sz="6" w:space="0" w:color="auto"/>
            </w:tcBorders>
            <w:hideMark/>
          </w:tcPr>
          <w:p w14:paraId="6684D596" w14:textId="77777777" w:rsidR="002435CD" w:rsidRPr="00EA4C9B" w:rsidRDefault="002435CD" w:rsidP="008B3A2E">
            <w:pPr>
              <w:pStyle w:val="Table"/>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Tax uses hunting</w:t>
            </w:r>
          </w:p>
        </w:tc>
        <w:tc>
          <w:tcPr>
            <w:tcW w:w="1717" w:type="dxa"/>
            <w:tcBorders>
              <w:top w:val="single" w:sz="6" w:space="0" w:color="auto"/>
              <w:left w:val="single" w:sz="6" w:space="0" w:color="auto"/>
              <w:bottom w:val="single" w:sz="6" w:space="0" w:color="auto"/>
              <w:right w:val="single" w:sz="6" w:space="0" w:color="auto"/>
            </w:tcBorders>
            <w:vAlign w:val="center"/>
          </w:tcPr>
          <w:p w14:paraId="1102C598"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€5 – €4.7</w:t>
            </w:r>
          </w:p>
        </w:tc>
        <w:tc>
          <w:tcPr>
            <w:tcW w:w="1893" w:type="dxa"/>
            <w:tcBorders>
              <w:top w:val="single" w:sz="6" w:space="0" w:color="auto"/>
              <w:left w:val="single" w:sz="6" w:space="0" w:color="auto"/>
              <w:bottom w:val="single" w:sz="6" w:space="0" w:color="auto"/>
              <w:right w:val="single" w:sz="6" w:space="0" w:color="auto"/>
            </w:tcBorders>
            <w:vAlign w:val="center"/>
            <w:hideMark/>
          </w:tcPr>
          <w:p w14:paraId="3263137D" w14:textId="77777777" w:rsidR="002435CD" w:rsidRPr="00EA4C9B" w:rsidRDefault="002435CD" w:rsidP="00EA31D0">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€4.9</w:t>
            </w:r>
          </w:p>
        </w:tc>
        <w:tc>
          <w:tcPr>
            <w:tcW w:w="1900" w:type="dxa"/>
            <w:tcBorders>
              <w:top w:val="single" w:sz="6" w:space="0" w:color="auto"/>
              <w:left w:val="single" w:sz="6" w:space="0" w:color="auto"/>
              <w:bottom w:val="single" w:sz="6" w:space="0" w:color="auto"/>
              <w:right w:val="single" w:sz="6" w:space="0" w:color="auto"/>
            </w:tcBorders>
            <w:vAlign w:val="center"/>
            <w:hideMark/>
          </w:tcPr>
          <w:p w14:paraId="1DEF6FE3" w14:textId="77777777" w:rsidR="002435CD" w:rsidRPr="00EA4C9B" w:rsidRDefault="002435CD" w:rsidP="00EA31D0">
            <w:pPr>
              <w:pStyle w:val="Table"/>
              <w:jc w:val="center"/>
              <w:rPr>
                <w:rFonts w:ascii="Times New Roman" w:eastAsia="Times New Roman" w:hAnsi="Times New Roman" w:cs="Times New Roman"/>
                <w:sz w:val="24"/>
                <w:lang w:eastAsia="en-GB"/>
              </w:rPr>
            </w:pPr>
            <w:r w:rsidRPr="00EA4C9B">
              <w:rPr>
                <w:rFonts w:ascii="Calibri" w:eastAsia="Times New Roman" w:hAnsi="Calibri" w:cs="Calibri"/>
                <w:szCs w:val="20"/>
                <w:lang w:eastAsia="en-GB"/>
              </w:rPr>
              <w:t>2%</w:t>
            </w:r>
          </w:p>
        </w:tc>
      </w:tr>
      <w:tr w:rsidR="002435CD" w:rsidRPr="00EA4C9B" w14:paraId="660A5102" w14:textId="77777777" w:rsidTr="004F0767">
        <w:trPr>
          <w:trHeight w:val="76"/>
        </w:trPr>
        <w:tc>
          <w:tcPr>
            <w:tcW w:w="3500" w:type="dxa"/>
            <w:tcBorders>
              <w:top w:val="single" w:sz="6" w:space="0" w:color="auto"/>
              <w:left w:val="single" w:sz="6" w:space="0" w:color="auto"/>
              <w:bottom w:val="single" w:sz="6" w:space="0" w:color="auto"/>
              <w:right w:val="single" w:sz="6" w:space="0" w:color="auto"/>
            </w:tcBorders>
          </w:tcPr>
          <w:p w14:paraId="05F61B2B" w14:textId="77777777" w:rsidR="002435CD" w:rsidRPr="00EA4C9B" w:rsidRDefault="002435CD" w:rsidP="008B3A2E">
            <w:pPr>
              <w:pStyle w:val="Table"/>
              <w:rPr>
                <w:rFonts w:ascii="Calibri" w:eastAsia="Times New Roman" w:hAnsi="Calibri" w:cs="Calibri"/>
                <w:szCs w:val="20"/>
                <w:lang w:eastAsia="en-GB"/>
              </w:rPr>
            </w:pPr>
            <w:r w:rsidRPr="00EA4C9B">
              <w:rPr>
                <w:rFonts w:ascii="Calibri" w:eastAsia="Times New Roman" w:hAnsi="Calibri" w:cs="Calibri"/>
                <w:szCs w:val="20"/>
                <w:lang w:eastAsia="en-GB"/>
              </w:rPr>
              <w:t>Hunting and fishing taxes</w:t>
            </w:r>
          </w:p>
        </w:tc>
        <w:tc>
          <w:tcPr>
            <w:tcW w:w="1717" w:type="dxa"/>
            <w:tcBorders>
              <w:top w:val="single" w:sz="6" w:space="0" w:color="auto"/>
              <w:left w:val="single" w:sz="6" w:space="0" w:color="auto"/>
              <w:bottom w:val="single" w:sz="6" w:space="0" w:color="auto"/>
              <w:right w:val="single" w:sz="6" w:space="0" w:color="auto"/>
            </w:tcBorders>
            <w:vAlign w:val="center"/>
          </w:tcPr>
          <w:p w14:paraId="4D7CF765"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€28.8 – €20.8</w:t>
            </w:r>
          </w:p>
        </w:tc>
        <w:tc>
          <w:tcPr>
            <w:tcW w:w="1893" w:type="dxa"/>
            <w:tcBorders>
              <w:top w:val="single" w:sz="6" w:space="0" w:color="auto"/>
              <w:left w:val="single" w:sz="6" w:space="0" w:color="auto"/>
              <w:bottom w:val="single" w:sz="6" w:space="0" w:color="auto"/>
              <w:right w:val="single" w:sz="6" w:space="0" w:color="auto"/>
            </w:tcBorders>
            <w:vAlign w:val="center"/>
          </w:tcPr>
          <w:p w14:paraId="4E2BAF10"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€28.9</w:t>
            </w:r>
          </w:p>
        </w:tc>
        <w:tc>
          <w:tcPr>
            <w:tcW w:w="1900" w:type="dxa"/>
            <w:tcBorders>
              <w:top w:val="single" w:sz="6" w:space="0" w:color="auto"/>
              <w:left w:val="single" w:sz="6" w:space="0" w:color="auto"/>
              <w:bottom w:val="single" w:sz="6" w:space="0" w:color="auto"/>
              <w:right w:val="single" w:sz="6" w:space="0" w:color="auto"/>
            </w:tcBorders>
            <w:vAlign w:val="center"/>
          </w:tcPr>
          <w:p w14:paraId="7CE7DCB0" w14:textId="77777777" w:rsidR="002435CD" w:rsidRPr="00EA4C9B" w:rsidRDefault="002435CD" w:rsidP="00EA31D0">
            <w:pPr>
              <w:pStyle w:val="Table"/>
              <w:jc w:val="center"/>
              <w:rPr>
                <w:rFonts w:ascii="Calibri" w:eastAsia="Times New Roman" w:hAnsi="Calibri" w:cs="Calibri"/>
                <w:szCs w:val="20"/>
                <w:lang w:eastAsia="en-GB"/>
              </w:rPr>
            </w:pPr>
            <w:r w:rsidRPr="00EA4C9B">
              <w:rPr>
                <w:rFonts w:ascii="Calibri" w:eastAsia="Times New Roman" w:hAnsi="Calibri" w:cs="Calibri"/>
                <w:szCs w:val="20"/>
                <w:lang w:eastAsia="en-GB"/>
              </w:rPr>
              <w:t>9%</w:t>
            </w:r>
          </w:p>
        </w:tc>
      </w:tr>
    </w:tbl>
    <w:p w14:paraId="34D2AA58" w14:textId="77777777" w:rsidR="002435CD" w:rsidRPr="00EA4C9B" w:rsidRDefault="002435CD" w:rsidP="002435CD">
      <w:pPr>
        <w:spacing w:before="120" w:after="120"/>
        <w:textAlignment w:val="baseline"/>
        <w:rPr>
          <w:rFonts w:ascii="Calibri" w:eastAsia="Times New Roman" w:hAnsi="Calibri" w:cs="Calibri"/>
          <w:lang w:eastAsia="en-GB"/>
        </w:rPr>
      </w:pPr>
      <w:r w:rsidRPr="00EA4C9B">
        <w:rPr>
          <w:rFonts w:ascii="Calibri" w:eastAsia="Times New Roman" w:hAnsi="Calibri" w:cs="Calibri"/>
          <w:lang w:eastAsia="en-GB"/>
        </w:rPr>
        <w:t>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933"/>
      </w:tblGrid>
      <w:tr w:rsidR="002435CD" w:rsidRPr="00EA4C9B" w14:paraId="27E9357C" w14:textId="77777777" w:rsidTr="00BA7936">
        <w:tc>
          <w:tcPr>
            <w:tcW w:w="9016" w:type="dxa"/>
            <w:gridSpan w:val="2"/>
            <w:shd w:val="clear" w:color="auto" w:fill="003399"/>
          </w:tcPr>
          <w:p w14:paraId="10DDCC09" w14:textId="0187B9C2" w:rsidR="002435CD" w:rsidRPr="008B3A2E" w:rsidRDefault="002435CD" w:rsidP="008B3A2E">
            <w:pPr>
              <w:pStyle w:val="Caption"/>
              <w:jc w:val="both"/>
              <w:rPr>
                <w:rFonts w:ascii="Calibri" w:eastAsia="Times New Roman" w:hAnsi="Calibri" w:cs="Calibri"/>
                <w:szCs w:val="20"/>
                <w:lang w:eastAsia="en-GB"/>
              </w:rPr>
            </w:pPr>
            <w:r w:rsidRPr="008B3A2E">
              <w:rPr>
                <w:color w:val="FFFFFF" w:themeColor="background1"/>
              </w:rPr>
              <w:t xml:space="preserve">Table </w:t>
            </w:r>
            <w:r w:rsidR="00490085">
              <w:rPr>
                <w:color w:val="FFFFFF" w:themeColor="background1"/>
              </w:rPr>
              <w:t>A6</w:t>
            </w:r>
            <w:r w:rsidR="008B3A2E" w:rsidRPr="008B3A2E">
              <w:rPr>
                <w:color w:val="FFFFFF" w:themeColor="background1"/>
              </w:rPr>
              <w:t xml:space="preserve">- </w:t>
            </w:r>
            <w:r w:rsidR="008B3A2E" w:rsidRPr="008B3A2E">
              <w:rPr>
                <w:color w:val="FFFFFF" w:themeColor="background1"/>
              </w:rPr>
              <w:fldChar w:fldCharType="begin"/>
            </w:r>
            <w:r w:rsidR="008B3A2E" w:rsidRPr="008B3A2E">
              <w:rPr>
                <w:color w:val="FFFFFF" w:themeColor="background1"/>
              </w:rPr>
              <w:instrText xml:space="preserve"> SEQ Table_A5- \* ARABIC </w:instrText>
            </w:r>
            <w:r w:rsidR="008B3A2E" w:rsidRPr="008B3A2E">
              <w:rPr>
                <w:color w:val="FFFFFF" w:themeColor="background1"/>
              </w:rPr>
              <w:fldChar w:fldCharType="separate"/>
            </w:r>
            <w:r w:rsidR="0068700D">
              <w:rPr>
                <w:noProof/>
                <w:color w:val="FFFFFF" w:themeColor="background1"/>
              </w:rPr>
              <w:t>107</w:t>
            </w:r>
            <w:r w:rsidR="008B3A2E" w:rsidRPr="008B3A2E">
              <w:rPr>
                <w:color w:val="FFFFFF" w:themeColor="background1"/>
              </w:rPr>
              <w:fldChar w:fldCharType="end"/>
            </w:r>
            <w:r w:rsidRPr="008B3A2E">
              <w:rPr>
                <w:rFonts w:ascii="Calibri" w:eastAsia="Times New Roman" w:hAnsi="Calibri" w:cs="Calibri"/>
                <w:color w:val="FFFFFF" w:themeColor="background1"/>
                <w:szCs w:val="20"/>
                <w:lang w:eastAsia="en-GB"/>
              </w:rPr>
              <w:t>: Other environmental taxes not reported in the National Tax Lists</w:t>
            </w:r>
          </w:p>
        </w:tc>
      </w:tr>
      <w:tr w:rsidR="00FD76B6" w:rsidRPr="00EA4C9B" w14:paraId="4B42705C" w14:textId="77777777" w:rsidTr="00BA7936">
        <w:tc>
          <w:tcPr>
            <w:tcW w:w="7083" w:type="dxa"/>
          </w:tcPr>
          <w:p w14:paraId="38B5A313" w14:textId="394B041F" w:rsidR="00FD76B6" w:rsidRPr="00EA4C9B" w:rsidRDefault="00FD76B6" w:rsidP="00FD76B6">
            <w:pPr>
              <w:spacing w:after="0"/>
              <w:textAlignment w:val="baseline"/>
              <w:rPr>
                <w:rFonts w:ascii="Calibri" w:eastAsia="Times New Roman" w:hAnsi="Calibri" w:cs="Calibri"/>
                <w:szCs w:val="20"/>
                <w:lang w:eastAsia="en-GB"/>
              </w:rPr>
            </w:pPr>
            <w:r w:rsidRPr="00EA4C9B">
              <w:rPr>
                <w:rFonts w:ascii="Calibri" w:eastAsia="Times New Roman" w:hAnsi="Calibri" w:cs="Calibri"/>
                <w:b/>
                <w:bCs/>
                <w:szCs w:val="20"/>
                <w:lang w:eastAsia="en-GB"/>
              </w:rPr>
              <w:t>Tax Name</w:t>
            </w:r>
            <w:r w:rsidRPr="00EA4C9B">
              <w:rPr>
                <w:rFonts w:ascii="Calibri" w:eastAsia="Times New Roman" w:hAnsi="Calibri" w:cs="Calibri"/>
                <w:szCs w:val="20"/>
                <w:lang w:eastAsia="en-GB"/>
              </w:rPr>
              <w:t> </w:t>
            </w:r>
          </w:p>
        </w:tc>
        <w:tc>
          <w:tcPr>
            <w:tcW w:w="1933" w:type="dxa"/>
          </w:tcPr>
          <w:p w14:paraId="2B3DDF41" w14:textId="77777777" w:rsidR="00FD76B6" w:rsidRPr="00EA4C9B" w:rsidRDefault="00FD76B6" w:rsidP="00FD76B6">
            <w:pPr>
              <w:spacing w:after="0"/>
              <w:jc w:val="center"/>
              <w:textAlignment w:val="baseline"/>
              <w:rPr>
                <w:rFonts w:ascii="Calibri" w:eastAsia="Times New Roman" w:hAnsi="Calibri" w:cs="Calibri"/>
                <w:b/>
                <w:bCs/>
                <w:szCs w:val="20"/>
                <w:lang w:eastAsia="en-GB"/>
              </w:rPr>
            </w:pPr>
            <w:r w:rsidRPr="00EA4C9B">
              <w:rPr>
                <w:rFonts w:ascii="Calibri" w:eastAsia="Times New Roman" w:hAnsi="Calibri" w:cs="Calibri"/>
                <w:b/>
                <w:bCs/>
                <w:szCs w:val="20"/>
                <w:lang w:eastAsia="en-GB"/>
              </w:rPr>
              <w:t xml:space="preserve">Annual revenue </w:t>
            </w:r>
          </w:p>
          <w:p w14:paraId="7FAA81CC" w14:textId="77777777" w:rsidR="00FD76B6" w:rsidRPr="00EA4C9B" w:rsidRDefault="00FD76B6" w:rsidP="00FD76B6">
            <w:pPr>
              <w:spacing w:after="0"/>
              <w:jc w:val="center"/>
              <w:textAlignment w:val="baseline"/>
              <w:rPr>
                <w:rFonts w:ascii="Calibri" w:eastAsia="Times New Roman" w:hAnsi="Calibri" w:cs="Calibri"/>
                <w:b/>
                <w:bCs/>
                <w:szCs w:val="20"/>
                <w:lang w:eastAsia="en-GB"/>
              </w:rPr>
            </w:pPr>
            <w:r w:rsidRPr="00EA4C9B">
              <w:rPr>
                <w:rFonts w:ascii="Calibri" w:eastAsia="Times New Roman" w:hAnsi="Calibri" w:cs="Calibri"/>
                <w:b/>
                <w:bCs/>
                <w:szCs w:val="20"/>
                <w:lang w:eastAsia="en-GB"/>
              </w:rPr>
              <w:t>(€ million) in 2023</w:t>
            </w:r>
          </w:p>
        </w:tc>
      </w:tr>
      <w:tr w:rsidR="00FD76B6" w:rsidRPr="00EA4C9B" w14:paraId="50D2B4E4" w14:textId="77777777" w:rsidTr="00BA7936">
        <w:tc>
          <w:tcPr>
            <w:tcW w:w="7083" w:type="dxa"/>
          </w:tcPr>
          <w:p w14:paraId="4EDD6000" w14:textId="77777777" w:rsidR="00FD76B6" w:rsidRPr="00EA4C9B" w:rsidRDefault="00FD76B6" w:rsidP="00FD76B6">
            <w:pPr>
              <w:spacing w:after="0"/>
              <w:textAlignment w:val="baseline"/>
              <w:rPr>
                <w:rFonts w:ascii="Calibri" w:eastAsia="Times New Roman" w:hAnsi="Calibri" w:cs="Calibri"/>
                <w:szCs w:val="20"/>
                <w:lang w:eastAsia="en-GB"/>
              </w:rPr>
            </w:pPr>
            <w:r w:rsidRPr="00EA4C9B">
              <w:rPr>
                <w:rFonts w:ascii="Calibri" w:eastAsia="Times New Roman" w:hAnsi="Calibri" w:cs="Calibri"/>
                <w:szCs w:val="20"/>
                <w:lang w:eastAsia="en-GB"/>
              </w:rPr>
              <w:t>Fee on the use of public hydraulic properties</w:t>
            </w:r>
          </w:p>
        </w:tc>
        <w:tc>
          <w:tcPr>
            <w:tcW w:w="1933" w:type="dxa"/>
          </w:tcPr>
          <w:p w14:paraId="1DB8AD07" w14:textId="77777777" w:rsidR="00FD76B6" w:rsidRPr="00EA4C9B" w:rsidRDefault="00FD76B6" w:rsidP="00FD76B6">
            <w:pPr>
              <w:spacing w:after="0"/>
              <w:jc w:val="center"/>
              <w:textAlignment w:val="baseline"/>
              <w:rPr>
                <w:rFonts w:ascii="Calibri" w:eastAsia="Times New Roman" w:hAnsi="Calibri" w:cs="Calibri"/>
                <w:szCs w:val="20"/>
                <w:lang w:eastAsia="en-GB"/>
              </w:rPr>
            </w:pPr>
            <w:r w:rsidRPr="00EA4C9B">
              <w:rPr>
                <w:rFonts w:ascii="Calibri" w:eastAsia="Times New Roman" w:hAnsi="Calibri" w:cs="Calibri"/>
                <w:szCs w:val="20"/>
                <w:lang w:eastAsia="en-GB"/>
              </w:rPr>
              <w:t>N.A.</w:t>
            </w:r>
          </w:p>
        </w:tc>
      </w:tr>
      <w:tr w:rsidR="00FD76B6" w:rsidRPr="00EA4C9B" w14:paraId="17D9AC21" w14:textId="77777777" w:rsidTr="00BA7936">
        <w:tc>
          <w:tcPr>
            <w:tcW w:w="7083" w:type="dxa"/>
          </w:tcPr>
          <w:p w14:paraId="3E727661" w14:textId="77777777" w:rsidR="00FD76B6" w:rsidRPr="00EA4C9B" w:rsidRDefault="00FD76B6" w:rsidP="00FD76B6">
            <w:pPr>
              <w:spacing w:after="0"/>
              <w:textAlignment w:val="baseline"/>
              <w:rPr>
                <w:rFonts w:ascii="Calibri" w:eastAsia="Times New Roman" w:hAnsi="Calibri" w:cs="Calibri"/>
                <w:szCs w:val="20"/>
                <w:lang w:eastAsia="en-GB"/>
              </w:rPr>
            </w:pPr>
            <w:r w:rsidRPr="00EA4C9B">
              <w:rPr>
                <w:rFonts w:ascii="Calibri" w:eastAsia="Times New Roman" w:hAnsi="Calibri" w:cs="Calibri"/>
                <w:szCs w:val="20"/>
                <w:lang w:eastAsia="en-GB"/>
              </w:rPr>
              <w:t>Tax on the Value of Extraction of Gas, Oil and Condensates</w:t>
            </w:r>
          </w:p>
        </w:tc>
        <w:tc>
          <w:tcPr>
            <w:tcW w:w="1933" w:type="dxa"/>
          </w:tcPr>
          <w:p w14:paraId="48344220" w14:textId="77777777" w:rsidR="00FD76B6" w:rsidRPr="00EA4C9B" w:rsidRDefault="00FD76B6" w:rsidP="00FD76B6">
            <w:pPr>
              <w:spacing w:after="0"/>
              <w:jc w:val="center"/>
              <w:textAlignment w:val="baseline"/>
              <w:rPr>
                <w:rFonts w:ascii="Calibri" w:eastAsia="Times New Roman" w:hAnsi="Calibri" w:cs="Calibri"/>
                <w:szCs w:val="20"/>
                <w:lang w:eastAsia="en-GB"/>
              </w:rPr>
            </w:pPr>
            <w:r w:rsidRPr="00EA4C9B">
              <w:rPr>
                <w:rFonts w:ascii="Calibri" w:eastAsia="Times New Roman" w:hAnsi="Calibri" w:cs="Calibri"/>
                <w:szCs w:val="20"/>
                <w:lang w:eastAsia="en-GB"/>
              </w:rPr>
              <w:t>N.A.</w:t>
            </w:r>
          </w:p>
        </w:tc>
      </w:tr>
      <w:tr w:rsidR="00DC6A12" w:rsidRPr="00EA4C9B" w14:paraId="01CBC54A" w14:textId="77777777">
        <w:tc>
          <w:tcPr>
            <w:tcW w:w="9016" w:type="dxa"/>
            <w:gridSpan w:val="2"/>
          </w:tcPr>
          <w:p w14:paraId="36EB73F1" w14:textId="6CF3BBF9" w:rsidR="00DC6A12" w:rsidRPr="00EA4C9B" w:rsidRDefault="00DC6A12" w:rsidP="00BA7936">
            <w:pPr>
              <w:spacing w:after="0"/>
              <w:jc w:val="left"/>
              <w:textAlignment w:val="baseline"/>
              <w:rPr>
                <w:rFonts w:ascii="Calibri" w:eastAsia="Times New Roman" w:hAnsi="Calibri" w:cs="Calibri"/>
                <w:szCs w:val="20"/>
                <w:lang w:eastAsia="en-GB"/>
              </w:rPr>
            </w:pPr>
            <w:r w:rsidRPr="00DC6A12">
              <w:rPr>
                <w:rFonts w:ascii="Calibri" w:eastAsia="Times New Roman" w:hAnsi="Calibri" w:cs="Calibri"/>
                <w:szCs w:val="20"/>
                <w:lang w:eastAsia="en-GB"/>
              </w:rPr>
              <w:t>Note: N.A. = Data not available</w:t>
            </w:r>
          </w:p>
        </w:tc>
      </w:tr>
    </w:tbl>
    <w:p w14:paraId="53B283D4" w14:textId="77777777" w:rsidR="002435CD" w:rsidRPr="00EA4C9B" w:rsidRDefault="002435CD" w:rsidP="002435CD">
      <w:pPr>
        <w:pStyle w:val="NormalWeb"/>
        <w:spacing w:before="120" w:beforeAutospacing="0" w:after="120" w:afterAutospacing="0"/>
        <w:jc w:val="both"/>
        <w:rPr>
          <w:rFonts w:asciiTheme="minorHAnsi" w:eastAsiaTheme="minorHAnsi" w:hAnsiTheme="minorHAnsi" w:cstheme="minorBidi"/>
          <w:sz w:val="22"/>
          <w:szCs w:val="22"/>
          <w:lang w:eastAsia="en-US"/>
        </w:rPr>
      </w:pPr>
      <w:r w:rsidRPr="00EA4C9B">
        <w:rPr>
          <w:rFonts w:asciiTheme="minorHAnsi" w:eastAsiaTheme="minorHAnsi" w:hAnsiTheme="minorHAnsi" w:cstheme="minorBidi"/>
          <w:sz w:val="22"/>
          <w:szCs w:val="22"/>
          <w:lang w:eastAsia="en-US"/>
        </w:rPr>
        <w:t>Over recent years, Spain has seen substantial growth in pollution and resource tax revenues, reflecting increased policy attention to environmental taxation (overall environmental tax revenues have grown in absolute terms, from 17.34 billion euros in 2009 to 24.64 billion euros in 2023). Significant policy developments include the implementation of the national tax on fluorinated greenhouse gases, aimed at reducing emissions contributing to climate change, and specific taxes targeting environmental impacts of industrial facilities and resource extraction activities, such as hydrocarbons and mining operations.</w:t>
      </w:r>
    </w:p>
    <w:p w14:paraId="02784332" w14:textId="77777777" w:rsidR="002435CD" w:rsidRPr="00EA4C9B" w:rsidRDefault="002435CD" w:rsidP="002435CD">
      <w:pPr>
        <w:pStyle w:val="NormalWeb"/>
        <w:spacing w:before="120" w:beforeAutospacing="0" w:after="120" w:afterAutospacing="0"/>
        <w:jc w:val="both"/>
        <w:rPr>
          <w:rFonts w:asciiTheme="minorHAnsi" w:eastAsiaTheme="minorHAnsi" w:hAnsiTheme="minorHAnsi" w:cstheme="minorBidi"/>
          <w:sz w:val="22"/>
          <w:szCs w:val="22"/>
          <w:lang w:eastAsia="en-US"/>
        </w:rPr>
      </w:pPr>
      <w:r w:rsidRPr="00EA4C9B">
        <w:rPr>
          <w:rFonts w:asciiTheme="minorHAnsi" w:eastAsiaTheme="minorHAnsi" w:hAnsiTheme="minorHAnsi" w:cstheme="minorBidi"/>
          <w:sz w:val="22"/>
          <w:szCs w:val="22"/>
          <w:lang w:eastAsia="en-US"/>
        </w:rPr>
        <w:t xml:space="preserve">The </w:t>
      </w:r>
      <w:r w:rsidRPr="00EA4C9B">
        <w:rPr>
          <w:rFonts w:asciiTheme="minorHAnsi" w:eastAsiaTheme="minorHAnsi" w:hAnsiTheme="minorHAnsi" w:cstheme="minorBidi"/>
          <w:b/>
          <w:bCs/>
          <w:sz w:val="22"/>
          <w:szCs w:val="22"/>
          <w:lang w:eastAsia="en-US"/>
        </w:rPr>
        <w:t>national tax on fluorinated greenhouse gases</w:t>
      </w:r>
      <w:r w:rsidRPr="00EA4C9B">
        <w:rPr>
          <w:rFonts w:asciiTheme="minorHAnsi" w:eastAsiaTheme="minorHAnsi" w:hAnsiTheme="minorHAnsi" w:cstheme="minorBidi"/>
          <w:sz w:val="22"/>
          <w:szCs w:val="22"/>
          <w:lang w:eastAsia="en-US"/>
        </w:rPr>
        <w:t xml:space="preserve"> (IGFEI, for its acronym in Spanish) is an indirect tax levied on the consumption, in Spanish territory, of the fluorinated greenhouse gases included in its objective scope and of the mixtures containing them. The manufacture, importation, intra-community acquisition or irregular possession of fluorinated greenhouse gases is also subject to tax whether the gases are contained in containers or incorporated in products, equipment or apparatus. </w:t>
      </w:r>
    </w:p>
    <w:p w14:paraId="5AB68D36" w14:textId="77777777" w:rsidR="002435CD" w:rsidRPr="00EA4C9B" w:rsidRDefault="002435CD" w:rsidP="002435CD">
      <w:pPr>
        <w:pStyle w:val="NormalWeb"/>
        <w:spacing w:before="120" w:beforeAutospacing="0" w:after="120" w:afterAutospacing="0"/>
        <w:jc w:val="both"/>
        <w:rPr>
          <w:rFonts w:asciiTheme="minorHAnsi" w:eastAsiaTheme="minorHAnsi" w:hAnsiTheme="minorHAnsi" w:cstheme="minorBidi"/>
          <w:sz w:val="22"/>
          <w:szCs w:val="22"/>
          <w:lang w:eastAsia="en-US"/>
        </w:rPr>
      </w:pPr>
      <w:r w:rsidRPr="00EA4C9B">
        <w:rPr>
          <w:rFonts w:asciiTheme="minorHAnsi" w:eastAsiaTheme="minorHAnsi" w:hAnsiTheme="minorHAnsi" w:cstheme="minorBidi"/>
          <w:sz w:val="22"/>
          <w:szCs w:val="22"/>
          <w:lang w:eastAsia="en-US"/>
        </w:rPr>
        <w:t xml:space="preserve">Hydrofluorocarbons (HFCs), perfluorocarbons (PFCs) and sulphur hexafluoride (SF6) listed in Annex I of Regulation (EU) 2024/573 of the European Parliament and of the Council of 7 February 2024 on fluorinated greenhouse gases, amending Directive (EU) 2019/1937, and repealing Regulation (EU) No. 517/2014 are included in the target scope. </w:t>
      </w:r>
    </w:p>
    <w:p w14:paraId="2854255D" w14:textId="77777777" w:rsidR="002435CD" w:rsidRPr="00EA4C9B" w:rsidRDefault="002435CD" w:rsidP="002435CD">
      <w:pPr>
        <w:pStyle w:val="NormalWeb"/>
        <w:spacing w:before="120" w:beforeAutospacing="0" w:after="120" w:afterAutospacing="0"/>
        <w:jc w:val="both"/>
      </w:pPr>
      <w:r w:rsidRPr="00EA4C9B">
        <w:rPr>
          <w:rFonts w:asciiTheme="minorHAnsi" w:eastAsiaTheme="minorHAnsi" w:hAnsiTheme="minorHAnsi" w:cstheme="minorBidi"/>
          <w:sz w:val="22"/>
          <w:szCs w:val="22"/>
          <w:lang w:eastAsia="en-US"/>
        </w:rPr>
        <w:t>The tax regulation was modified, effective September 1, 2022.</w:t>
      </w:r>
      <w:r w:rsidRPr="00EA4C9B">
        <w:t xml:space="preserve"> </w:t>
      </w:r>
      <w:r w:rsidRPr="00EA4C9B">
        <w:rPr>
          <w:rFonts w:asciiTheme="minorHAnsi" w:eastAsiaTheme="minorHAnsi" w:hAnsiTheme="minorHAnsi" w:cstheme="minorBidi"/>
          <w:sz w:val="22"/>
          <w:szCs w:val="22"/>
          <w:lang w:eastAsia="en-US"/>
        </w:rPr>
        <w:t>The tax base of the tax is constituted by the weight of the fluorinated greenhouse gases subject to the tax, expressed in kilograms. The tax rate results from applying the coefficient 0.015 to the global warming potential (or GWP) corresponding to each fluorinated greenhouse gas subject to the tax at the time of the taxable event, in accordance with the regulations in force at that time, with a maximum limit of 100 euros per kilogram.</w:t>
      </w:r>
      <w:r w:rsidRPr="00EA4C9B">
        <w:t xml:space="preserve"> </w:t>
      </w:r>
    </w:p>
    <w:p w14:paraId="3F2A3BF9" w14:textId="77777777" w:rsidR="002435CD" w:rsidRPr="00EA4C9B" w:rsidRDefault="002435CD" w:rsidP="002435CD">
      <w:pPr>
        <w:pStyle w:val="NormalWeb"/>
        <w:spacing w:before="120" w:beforeAutospacing="0" w:after="120" w:afterAutospacing="0"/>
        <w:jc w:val="both"/>
        <w:rPr>
          <w:rFonts w:asciiTheme="minorHAnsi" w:eastAsiaTheme="minorHAnsi" w:hAnsiTheme="minorHAnsi" w:cstheme="minorBidi"/>
          <w:sz w:val="22"/>
          <w:szCs w:val="22"/>
          <w:lang w:eastAsia="en-US"/>
        </w:rPr>
      </w:pPr>
      <w:r w:rsidRPr="00EA4C9B">
        <w:rPr>
          <w:rFonts w:asciiTheme="minorHAnsi" w:eastAsiaTheme="minorHAnsi" w:hAnsiTheme="minorHAnsi" w:cstheme="minorBidi"/>
          <w:sz w:val="22"/>
          <w:szCs w:val="22"/>
          <w:lang w:eastAsia="en-US"/>
        </w:rPr>
        <w:lastRenderedPageBreak/>
        <w:t>The following are not subject to the tax: (a) The manufacture, importation, intra-Community acquisition or irregular possession in Spanish territory of gases subject to the tax with a GWP equal to or less than 150, (b) The manufacture of gases subject to the tax which are intended to be sent directly by the manufacturer, or by a third party in his name or on his behalf, to a territory other than the Spanish territory, provided that the reality of the effective exit is accredited, and (c) The shipment outside the territorial scope of application of the Tax of the Fluorinated Gases of Greenhouse Effect to which the regime of the NINE 4 has been applied, provided that the reality of the effective exit is accredited.</w:t>
      </w:r>
    </w:p>
    <w:p w14:paraId="524B9B78" w14:textId="2F0F8033" w:rsidR="002435CD" w:rsidRPr="00EA4C9B" w:rsidRDefault="002435CD" w:rsidP="606E24A0">
      <w:pPr>
        <w:pStyle w:val="NormalWeb"/>
        <w:spacing w:before="120" w:beforeAutospacing="0" w:after="120" w:afterAutospacing="0"/>
        <w:jc w:val="both"/>
        <w:rPr>
          <w:rFonts w:asciiTheme="minorHAnsi" w:eastAsiaTheme="minorEastAsia" w:hAnsiTheme="minorHAnsi" w:cstheme="minorBidi"/>
          <w:sz w:val="22"/>
          <w:szCs w:val="22"/>
          <w:lang w:eastAsia="en-US"/>
        </w:rPr>
      </w:pPr>
      <w:r w:rsidRPr="606E24A0">
        <w:rPr>
          <w:rFonts w:asciiTheme="minorHAnsi" w:eastAsiaTheme="minorEastAsia" w:hAnsiTheme="minorHAnsi" w:cstheme="minorBidi"/>
          <w:sz w:val="22"/>
          <w:szCs w:val="22"/>
          <w:lang w:eastAsia="en-US"/>
        </w:rPr>
        <w:t xml:space="preserve">The </w:t>
      </w:r>
      <w:r w:rsidRPr="606E24A0">
        <w:rPr>
          <w:rFonts w:asciiTheme="minorHAnsi" w:eastAsiaTheme="minorEastAsia" w:hAnsiTheme="minorHAnsi" w:cstheme="minorBidi"/>
          <w:b/>
          <w:bCs/>
          <w:sz w:val="22"/>
          <w:szCs w:val="22"/>
          <w:lang w:eastAsia="en-US"/>
        </w:rPr>
        <w:t>tax on production and storage of nuclear combustible</w:t>
      </w:r>
      <w:r w:rsidRPr="606E24A0">
        <w:rPr>
          <w:rFonts w:asciiTheme="minorHAnsi" w:eastAsiaTheme="minorEastAsia" w:hAnsiTheme="minorHAnsi" w:cstheme="minorBidi"/>
          <w:sz w:val="22"/>
          <w:szCs w:val="22"/>
          <w:lang w:eastAsia="en-US"/>
        </w:rPr>
        <w:t xml:space="preserve"> material covers the tax on the production of spent nuclear fuel and radioactive waste from the generation of nuclear electric power and the tax on the storage of spent nuclear energy and radioactive waste in centralised facilities. Both are direct taxes of a real nature and are applicable throughout the Spanish territory. In the production of spent nuclear fuel, the taxable amount will be the kilograms of heavy metal (uranium and plutonium) contained in the spent nuclear fuel. The tax base will be determined separately for each nuclear reactor from which the spent nuclear fuel is extracted.</w:t>
      </w:r>
    </w:p>
    <w:p w14:paraId="39982688" w14:textId="77777777" w:rsidR="002435CD" w:rsidRPr="00EA4C9B" w:rsidRDefault="002435CD" w:rsidP="002435CD">
      <w:pPr>
        <w:pStyle w:val="NormalWeb"/>
        <w:spacing w:before="120" w:beforeAutospacing="0" w:after="120" w:afterAutospacing="0"/>
        <w:jc w:val="both"/>
        <w:rPr>
          <w:rFonts w:asciiTheme="minorHAnsi" w:eastAsiaTheme="minorHAnsi" w:hAnsiTheme="minorHAnsi" w:cstheme="minorBidi"/>
          <w:sz w:val="22"/>
          <w:szCs w:val="22"/>
          <w:lang w:eastAsia="en-US"/>
        </w:rPr>
      </w:pPr>
      <w:r w:rsidRPr="0DB99A64">
        <w:rPr>
          <w:rFonts w:asciiTheme="minorHAnsi" w:eastAsiaTheme="minorEastAsia" w:hAnsiTheme="minorHAnsi" w:cstheme="minorBidi"/>
          <w:sz w:val="22"/>
          <w:szCs w:val="22"/>
          <w:lang w:eastAsia="en-US"/>
        </w:rPr>
        <w:t xml:space="preserve">The </w:t>
      </w:r>
      <w:r w:rsidRPr="0DB99A64">
        <w:rPr>
          <w:rFonts w:asciiTheme="minorHAnsi" w:eastAsiaTheme="minorEastAsia" w:hAnsiTheme="minorHAnsi" w:cstheme="minorBidi"/>
          <w:b/>
          <w:sz w:val="22"/>
          <w:szCs w:val="22"/>
          <w:lang w:eastAsia="en-US"/>
        </w:rPr>
        <w:t xml:space="preserve">excise tax on non-reusable plastic containers </w:t>
      </w:r>
      <w:r w:rsidRPr="0DB99A64">
        <w:rPr>
          <w:rFonts w:asciiTheme="minorHAnsi" w:eastAsiaTheme="minorEastAsia" w:hAnsiTheme="minorHAnsi" w:cstheme="minorBidi"/>
          <w:sz w:val="22"/>
          <w:szCs w:val="22"/>
          <w:lang w:eastAsia="en-US"/>
        </w:rPr>
        <w:t>(IEPNPR, for its acronym in Spanish) came into force on January 1, 2023, with the approval of Law 7/2022, of April 8, on waste and contaminated soils for a circular economy. It is a tax of an indirect nature levied on the use of non-reusable packaging containing plastic, whether empty or containing, protecting, protecting, handling, distributing and presenting goods</w:t>
      </w:r>
      <w:r w:rsidRPr="0DB99A64">
        <w:rPr>
          <w:rStyle w:val="FootnoteReference"/>
          <w:rFonts w:asciiTheme="minorHAnsi" w:eastAsiaTheme="minorEastAsia" w:hAnsiTheme="minorHAnsi" w:cstheme="minorBidi"/>
          <w:sz w:val="22"/>
          <w:szCs w:val="22"/>
          <w:lang w:eastAsia="en-US"/>
        </w:rPr>
        <w:footnoteReference w:id="817"/>
      </w:r>
      <w:r w:rsidRPr="0DB99A64">
        <w:rPr>
          <w:rFonts w:asciiTheme="minorHAnsi" w:eastAsiaTheme="minorEastAsia" w:hAnsiTheme="minorHAnsi" w:cstheme="minorBidi"/>
          <w:sz w:val="22"/>
          <w:szCs w:val="22"/>
          <w:lang w:eastAsia="en-US"/>
        </w:rPr>
        <w:t>. It is also levied on the import of non-reusable plastic packaging into Spain. The tax rate is 0.45 euros per kilogram of non-recycled plastic.</w:t>
      </w:r>
      <w:r w:rsidRPr="00EA4C9B">
        <w:t xml:space="preserve"> </w:t>
      </w:r>
      <w:r w:rsidRPr="0DB99A64">
        <w:rPr>
          <w:rFonts w:asciiTheme="minorHAnsi" w:eastAsiaTheme="minorEastAsia" w:hAnsiTheme="minorHAnsi" w:cstheme="minorBidi"/>
          <w:sz w:val="22"/>
          <w:szCs w:val="22"/>
          <w:lang w:eastAsia="en-US"/>
        </w:rPr>
        <w:t>The tax applies to non-reusable plastic packaging, semi-finished plastic products and products containing plastic for the closure, marketing or presentation of non-reusable packaging. The tax is passed on to the final consumer in the price of the products, and is calculated on the amount of non-recycled plastic contained in the products. If a packaging is composed of more than one material, the tax is payable only on the proportional amount of plastic.</w:t>
      </w:r>
    </w:p>
    <w:p w14:paraId="1D0B0461" w14:textId="77777777" w:rsidR="002435CD" w:rsidRPr="00EA4C9B" w:rsidRDefault="002435CD" w:rsidP="002435CD">
      <w:pPr>
        <w:pStyle w:val="NormalWeb"/>
        <w:spacing w:before="120" w:beforeAutospacing="0" w:after="120" w:afterAutospacing="0"/>
        <w:jc w:val="both"/>
        <w:rPr>
          <w:rFonts w:asciiTheme="minorHAnsi" w:eastAsiaTheme="minorHAnsi" w:hAnsiTheme="minorHAnsi" w:cstheme="minorBidi"/>
          <w:sz w:val="22"/>
          <w:szCs w:val="22"/>
          <w:lang w:eastAsia="en-US"/>
        </w:rPr>
      </w:pPr>
      <w:r w:rsidRPr="00EA4C9B">
        <w:rPr>
          <w:rFonts w:asciiTheme="minorHAnsi" w:eastAsiaTheme="minorHAnsi" w:hAnsiTheme="minorHAnsi" w:cstheme="minorBidi"/>
          <w:sz w:val="22"/>
          <w:szCs w:val="22"/>
          <w:lang w:eastAsia="en-US"/>
        </w:rPr>
        <w:t xml:space="preserve">The </w:t>
      </w:r>
      <w:r w:rsidRPr="00EA4C9B">
        <w:rPr>
          <w:rFonts w:asciiTheme="minorHAnsi" w:eastAsiaTheme="minorHAnsi" w:hAnsiTheme="minorHAnsi" w:cstheme="minorBidi"/>
          <w:b/>
          <w:bCs/>
          <w:sz w:val="22"/>
          <w:szCs w:val="22"/>
          <w:lang w:eastAsia="en-US"/>
        </w:rPr>
        <w:t>tax on waste disposal in landfills, incineration and co-incineration of waste</w:t>
      </w:r>
      <w:r w:rsidRPr="00EA4C9B">
        <w:rPr>
          <w:rFonts w:asciiTheme="minorHAnsi" w:eastAsiaTheme="minorHAnsi" w:hAnsiTheme="minorHAnsi" w:cstheme="minorBidi"/>
          <w:sz w:val="22"/>
          <w:szCs w:val="22"/>
          <w:lang w:eastAsia="en-US"/>
        </w:rPr>
        <w:t xml:space="preserve"> is an indirect tax levied on the delivery of waste to landfills for disposal, the delivery of waste to incineration facilities for disposal or energy recovery or the delivery of waste-to-waste co-incineration facilities for disposal or energy recovery. The tax, effective January 1, 2023, is regulated by Law 7/2022, of April 8, on waste and contaminated soils for a circular economy. The base of the tax is constituted by the weight, in metric tons to three decimal places of the waste deposited in landfills, incinerated or co-incinerated and will be determined for each landfill or incineration or co-incineration facility. The Autonomous Communities (CC.AA.) may increase the tax rates set forth in the Tax Law with respect to waste deposited, incinerated or co-incinerated in their respective territories.</w:t>
      </w:r>
    </w:p>
    <w:p w14:paraId="4AB3AFF7" w14:textId="320E0B81" w:rsidR="002435CD" w:rsidRPr="00EA4C9B" w:rsidRDefault="002435CD" w:rsidP="002435CD">
      <w:pPr>
        <w:pStyle w:val="NormalWeb"/>
        <w:spacing w:before="120" w:beforeAutospacing="0" w:after="120" w:afterAutospacing="0"/>
        <w:jc w:val="both"/>
        <w:rPr>
          <w:rFonts w:asciiTheme="minorHAnsi" w:eastAsiaTheme="minorHAnsi" w:hAnsiTheme="minorHAnsi" w:cstheme="minorBidi"/>
          <w:sz w:val="22"/>
          <w:szCs w:val="22"/>
          <w:lang w:eastAsia="en-US"/>
        </w:rPr>
      </w:pPr>
      <w:r w:rsidRPr="00EA4C9B">
        <w:rPr>
          <w:rFonts w:asciiTheme="minorHAnsi" w:eastAsiaTheme="minorHAnsi" w:hAnsiTheme="minorHAnsi" w:cstheme="minorBidi"/>
          <w:sz w:val="22"/>
          <w:szCs w:val="22"/>
          <w:lang w:eastAsia="en-US"/>
        </w:rPr>
        <w:t xml:space="preserve">Although Spain has moved towards standardizing environmental taxation frameworks, regional variations persist. The Autonomous Communities (CC.AA.) retain the authority to establish supplementary environmental taxes tailored to local conditions, leading to differences in tax structures across regions (e.g., the tax uses hunting or hunting and fishing taxes). The table below highlights some examples of green taxes implemented by Spanish regions. Almost all CC.AA. have fees on water usage and sanitation, and taxes on controlled waste disposal, covering municipal, industrial, and construction waste. Furthermore, there are various taxes on pollution and the use of natural resources, with specific levies differing by region. Local governments also have the authority to establish their own municipal taxes. While there is an ongoing effort to unify environmental taxation </w:t>
      </w:r>
      <w:r w:rsidRPr="00EA4C9B">
        <w:rPr>
          <w:rFonts w:asciiTheme="minorHAnsi" w:eastAsiaTheme="minorHAnsi" w:hAnsiTheme="minorHAnsi" w:cstheme="minorBidi"/>
          <w:sz w:val="22"/>
          <w:szCs w:val="22"/>
          <w:lang w:eastAsia="en-US"/>
        </w:rPr>
        <w:lastRenderedPageBreak/>
        <w:t>across Spain, these regional tax variations continue to reflect the diverse economic, environmental, and policy priorities of each Autonomous Community.</w:t>
      </w:r>
    </w:p>
    <w:p w14:paraId="6A726F71" w14:textId="11DFE50D" w:rsidR="002435CD" w:rsidRPr="00EA4C9B" w:rsidRDefault="002435CD" w:rsidP="002435CD">
      <w:pPr>
        <w:pStyle w:val="NormalWeb"/>
        <w:spacing w:before="120" w:beforeAutospacing="0" w:after="120" w:afterAutospacing="0"/>
        <w:jc w:val="both"/>
        <w:rPr>
          <w:rFonts w:asciiTheme="minorHAnsi" w:eastAsiaTheme="minorHAnsi" w:hAnsiTheme="minorHAnsi" w:cstheme="minorBidi"/>
          <w:sz w:val="22"/>
          <w:szCs w:val="22"/>
          <w:lang w:eastAsia="en-US"/>
        </w:rPr>
      </w:pPr>
      <w:r w:rsidRPr="0DB99A64">
        <w:rPr>
          <w:rFonts w:asciiTheme="minorHAnsi" w:eastAsiaTheme="minorEastAsia" w:hAnsiTheme="minorHAnsi" w:cstheme="minorBidi"/>
          <w:sz w:val="22"/>
          <w:szCs w:val="22"/>
          <w:lang w:eastAsia="en-US"/>
        </w:rPr>
        <w:t>In the 2025 European Semester report</w:t>
      </w:r>
      <w:r w:rsidRPr="0DB99A64">
        <w:rPr>
          <w:rStyle w:val="FootnoteReference"/>
          <w:rFonts w:asciiTheme="minorHAnsi" w:eastAsiaTheme="minorEastAsia" w:hAnsiTheme="minorHAnsi" w:cstheme="minorBidi"/>
          <w:sz w:val="22"/>
          <w:szCs w:val="22"/>
          <w:lang w:eastAsia="en-US"/>
        </w:rPr>
        <w:footnoteReference w:id="818"/>
      </w:r>
      <w:r w:rsidRPr="0DB99A64">
        <w:rPr>
          <w:rFonts w:asciiTheme="minorHAnsi" w:eastAsiaTheme="minorEastAsia" w:hAnsiTheme="minorHAnsi" w:cstheme="minorBidi"/>
          <w:sz w:val="22"/>
          <w:szCs w:val="22"/>
          <w:lang w:eastAsia="en-US"/>
        </w:rPr>
        <w:t>, the Commission notes that while Spain has strengthened environmental taxes, there remains scope to improve fiscal instruments related to water use and industrial emissions, particularly regarding underpriced externalities in agriculture and transport.</w:t>
      </w:r>
    </w:p>
    <w:p w14:paraId="432A44A7" w14:textId="77777777" w:rsidR="002435CD" w:rsidRPr="00EA4C9B" w:rsidRDefault="002435CD" w:rsidP="002435CD">
      <w:pPr>
        <w:pStyle w:val="NormalWeb"/>
        <w:spacing w:before="120" w:beforeAutospacing="0" w:after="120" w:afterAutospacing="0"/>
        <w:jc w:val="both"/>
        <w:rPr>
          <w:rFonts w:asciiTheme="minorHAnsi" w:eastAsiaTheme="minorHAnsi" w:hAnsiTheme="minorHAnsi" w:cstheme="minorBidi"/>
          <w:sz w:val="22"/>
          <w:szCs w:val="22"/>
          <w:lang w:eastAsia="en-US"/>
        </w:rPr>
      </w:pPr>
    </w:p>
    <w:p w14:paraId="47988526" w14:textId="77777777" w:rsidR="002435CD" w:rsidRPr="00EA4C9B" w:rsidRDefault="002435CD" w:rsidP="009E1B64">
      <w:pPr>
        <w:pStyle w:val="Bulletlist"/>
        <w:sectPr w:rsidR="002435CD" w:rsidRPr="00EA4C9B" w:rsidSect="007C4EB7">
          <w:headerReference w:type="even" r:id="rId134"/>
          <w:headerReference w:type="default" r:id="rId135"/>
          <w:footerReference w:type="default" r:id="rId136"/>
          <w:headerReference w:type="first" r:id="rId137"/>
          <w:pgSz w:w="11906" w:h="16838"/>
          <w:pgMar w:top="1418" w:right="1440" w:bottom="851" w:left="1440" w:header="709" w:footer="709" w:gutter="0"/>
          <w:pgNumType w:start="1"/>
          <w:cols w:space="708"/>
          <w:docGrid w:linePitch="360"/>
        </w:sectPr>
      </w:pPr>
    </w:p>
    <w:p w14:paraId="4138CB69" w14:textId="0B577A3D" w:rsidR="002435CD" w:rsidRPr="00EA4C9B" w:rsidRDefault="002435CD" w:rsidP="002435CD">
      <w:pPr>
        <w:pStyle w:val="Caption"/>
        <w:jc w:val="both"/>
        <w:rPr>
          <w:bCs/>
          <w:color w:val="auto"/>
          <w:szCs w:val="20"/>
        </w:rPr>
      </w:pPr>
    </w:p>
    <w:tbl>
      <w:tblPr>
        <w:tblStyle w:val="TableGrid"/>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567"/>
        <w:gridCol w:w="567"/>
        <w:gridCol w:w="567"/>
        <w:gridCol w:w="567"/>
        <w:gridCol w:w="567"/>
        <w:gridCol w:w="567"/>
        <w:gridCol w:w="567"/>
        <w:gridCol w:w="567"/>
        <w:gridCol w:w="567"/>
        <w:gridCol w:w="567"/>
        <w:gridCol w:w="567"/>
        <w:gridCol w:w="567"/>
        <w:gridCol w:w="567"/>
        <w:gridCol w:w="567"/>
        <w:gridCol w:w="567"/>
        <w:gridCol w:w="567"/>
      </w:tblGrid>
      <w:tr w:rsidR="002435CD" w:rsidRPr="00EA4C9B" w14:paraId="4FC2B6AF" w14:textId="77777777" w:rsidTr="00BA7936">
        <w:trPr>
          <w:cantSplit/>
          <w:trHeight w:val="178"/>
        </w:trPr>
        <w:tc>
          <w:tcPr>
            <w:tcW w:w="14029" w:type="dxa"/>
            <w:gridSpan w:val="17"/>
            <w:shd w:val="clear" w:color="auto" w:fill="003399"/>
            <w:vAlign w:val="center"/>
          </w:tcPr>
          <w:p w14:paraId="1EA8E0BF" w14:textId="1A203B8F" w:rsidR="002435CD" w:rsidRPr="00E76080" w:rsidRDefault="002435CD" w:rsidP="008B3A2E">
            <w:pPr>
              <w:pStyle w:val="Table"/>
              <w:rPr>
                <w:b/>
                <w:color w:val="FFFFFF" w:themeColor="background1"/>
              </w:rPr>
            </w:pPr>
            <w:r w:rsidRPr="00E76080">
              <w:rPr>
                <w:b/>
                <w:color w:val="FFFFFF" w:themeColor="background1"/>
              </w:rPr>
              <w:t xml:space="preserve">Table </w:t>
            </w:r>
            <w:r w:rsidR="00490085">
              <w:rPr>
                <w:b/>
                <w:color w:val="FFFFFF" w:themeColor="background1"/>
              </w:rPr>
              <w:t>A6</w:t>
            </w:r>
            <w:r w:rsidR="008B3A2E" w:rsidRPr="00E76080">
              <w:rPr>
                <w:b/>
                <w:color w:val="FFFFFF" w:themeColor="background1"/>
              </w:rPr>
              <w:t>-</w:t>
            </w:r>
            <w:r w:rsidR="008B3A2E" w:rsidRPr="00E76080">
              <w:rPr>
                <w:b/>
                <w:color w:val="FFFFFF" w:themeColor="background1"/>
              </w:rPr>
              <w:fldChar w:fldCharType="begin"/>
            </w:r>
            <w:r w:rsidR="008B3A2E" w:rsidRPr="00E76080">
              <w:rPr>
                <w:b/>
                <w:color w:val="FFFFFF" w:themeColor="background1"/>
              </w:rPr>
              <w:instrText xml:space="preserve"> SEQ Table_A5- \* ARABIC </w:instrText>
            </w:r>
            <w:r w:rsidR="008B3A2E" w:rsidRPr="00E76080">
              <w:rPr>
                <w:b/>
                <w:color w:val="FFFFFF" w:themeColor="background1"/>
              </w:rPr>
              <w:fldChar w:fldCharType="separate"/>
            </w:r>
            <w:r w:rsidR="00EA31D0">
              <w:rPr>
                <w:b/>
                <w:noProof/>
                <w:color w:val="FFFFFF" w:themeColor="background1"/>
              </w:rPr>
              <w:t>133</w:t>
            </w:r>
            <w:r w:rsidR="008B3A2E" w:rsidRPr="00E76080">
              <w:rPr>
                <w:b/>
                <w:color w:val="FFFFFF" w:themeColor="background1"/>
              </w:rPr>
              <w:fldChar w:fldCharType="end"/>
            </w:r>
            <w:r w:rsidRPr="00E76080">
              <w:rPr>
                <w:b/>
                <w:color w:val="FFFFFF" w:themeColor="background1"/>
              </w:rPr>
              <w:t>: Regional environmental taxes in Spain (excluding energy and transport taxes)</w:t>
            </w:r>
          </w:p>
        </w:tc>
      </w:tr>
      <w:tr w:rsidR="002435CD" w:rsidRPr="008B3A2E" w14:paraId="64494CED" w14:textId="77777777" w:rsidTr="00BA7936">
        <w:trPr>
          <w:cantSplit/>
          <w:trHeight w:val="1458"/>
        </w:trPr>
        <w:tc>
          <w:tcPr>
            <w:tcW w:w="4957" w:type="dxa"/>
            <w:vAlign w:val="center"/>
          </w:tcPr>
          <w:p w14:paraId="3AE0555C" w14:textId="77777777" w:rsidR="002435CD" w:rsidRPr="00EA4C9B" w:rsidRDefault="002435CD" w:rsidP="008B3A2E">
            <w:pPr>
              <w:pStyle w:val="Table"/>
            </w:pPr>
          </w:p>
        </w:tc>
        <w:tc>
          <w:tcPr>
            <w:tcW w:w="567" w:type="dxa"/>
            <w:textDirection w:val="btLr"/>
            <w:vAlign w:val="center"/>
          </w:tcPr>
          <w:p w14:paraId="4B377892" w14:textId="77777777" w:rsidR="002435CD" w:rsidRPr="008B3A2E" w:rsidRDefault="002435CD" w:rsidP="008B3A2E">
            <w:pPr>
              <w:pStyle w:val="Table"/>
              <w:rPr>
                <w:b/>
              </w:rPr>
            </w:pPr>
            <w:r w:rsidRPr="008B3A2E">
              <w:rPr>
                <w:b/>
              </w:rPr>
              <w:t>Andalucía</w:t>
            </w:r>
          </w:p>
        </w:tc>
        <w:tc>
          <w:tcPr>
            <w:tcW w:w="567" w:type="dxa"/>
            <w:textDirection w:val="btLr"/>
            <w:vAlign w:val="center"/>
          </w:tcPr>
          <w:p w14:paraId="2A196430" w14:textId="77777777" w:rsidR="002435CD" w:rsidRPr="008B3A2E" w:rsidRDefault="002435CD" w:rsidP="008B3A2E">
            <w:pPr>
              <w:pStyle w:val="Table"/>
              <w:rPr>
                <w:b/>
              </w:rPr>
            </w:pPr>
            <w:r w:rsidRPr="008B3A2E">
              <w:rPr>
                <w:b/>
              </w:rPr>
              <w:t>Aragón</w:t>
            </w:r>
          </w:p>
        </w:tc>
        <w:tc>
          <w:tcPr>
            <w:tcW w:w="567" w:type="dxa"/>
            <w:textDirection w:val="btLr"/>
            <w:vAlign w:val="center"/>
          </w:tcPr>
          <w:p w14:paraId="2B25558A" w14:textId="77777777" w:rsidR="002435CD" w:rsidRPr="008B3A2E" w:rsidRDefault="002435CD" w:rsidP="008B3A2E">
            <w:pPr>
              <w:pStyle w:val="Table"/>
              <w:rPr>
                <w:b/>
              </w:rPr>
            </w:pPr>
            <w:r w:rsidRPr="008B3A2E">
              <w:rPr>
                <w:b/>
              </w:rPr>
              <w:t>Asturias</w:t>
            </w:r>
          </w:p>
        </w:tc>
        <w:tc>
          <w:tcPr>
            <w:tcW w:w="567" w:type="dxa"/>
            <w:textDirection w:val="btLr"/>
            <w:vAlign w:val="center"/>
          </w:tcPr>
          <w:p w14:paraId="524F4947" w14:textId="77777777" w:rsidR="002435CD" w:rsidRPr="008B3A2E" w:rsidRDefault="002435CD" w:rsidP="008B3A2E">
            <w:pPr>
              <w:pStyle w:val="Table"/>
              <w:rPr>
                <w:b/>
              </w:rPr>
            </w:pPr>
            <w:r w:rsidRPr="008B3A2E">
              <w:rPr>
                <w:b/>
              </w:rPr>
              <w:t>Canarias</w:t>
            </w:r>
          </w:p>
        </w:tc>
        <w:tc>
          <w:tcPr>
            <w:tcW w:w="567" w:type="dxa"/>
            <w:textDirection w:val="btLr"/>
            <w:vAlign w:val="center"/>
          </w:tcPr>
          <w:p w14:paraId="46BB00D5" w14:textId="77777777" w:rsidR="002435CD" w:rsidRPr="008B3A2E" w:rsidRDefault="002435CD" w:rsidP="008B3A2E">
            <w:pPr>
              <w:pStyle w:val="Table"/>
              <w:rPr>
                <w:b/>
              </w:rPr>
            </w:pPr>
            <w:r w:rsidRPr="008B3A2E">
              <w:rPr>
                <w:b/>
              </w:rPr>
              <w:t>Cantabria</w:t>
            </w:r>
          </w:p>
        </w:tc>
        <w:tc>
          <w:tcPr>
            <w:tcW w:w="567" w:type="dxa"/>
            <w:textDirection w:val="btLr"/>
            <w:vAlign w:val="center"/>
          </w:tcPr>
          <w:p w14:paraId="0F1BD5A1" w14:textId="77777777" w:rsidR="002435CD" w:rsidRPr="008B3A2E" w:rsidRDefault="002435CD" w:rsidP="008B3A2E">
            <w:pPr>
              <w:pStyle w:val="Table"/>
              <w:rPr>
                <w:b/>
              </w:rPr>
            </w:pPr>
            <w:r w:rsidRPr="008B3A2E">
              <w:rPr>
                <w:b/>
              </w:rPr>
              <w:t>Castilla y León</w:t>
            </w:r>
          </w:p>
        </w:tc>
        <w:tc>
          <w:tcPr>
            <w:tcW w:w="567" w:type="dxa"/>
            <w:textDirection w:val="btLr"/>
            <w:vAlign w:val="center"/>
          </w:tcPr>
          <w:p w14:paraId="29B8CA6E" w14:textId="77777777" w:rsidR="00447C45" w:rsidRDefault="002435CD" w:rsidP="008B3A2E">
            <w:pPr>
              <w:pStyle w:val="Table"/>
              <w:rPr>
                <w:b/>
                <w:bCs/>
              </w:rPr>
            </w:pPr>
            <w:r w:rsidRPr="008B3A2E">
              <w:rPr>
                <w:b/>
              </w:rPr>
              <w:t xml:space="preserve">Castilla </w:t>
            </w:r>
          </w:p>
          <w:p w14:paraId="39DF4AB2" w14:textId="515DCC5B" w:rsidR="002435CD" w:rsidRPr="008B3A2E" w:rsidRDefault="002435CD" w:rsidP="008B3A2E">
            <w:pPr>
              <w:pStyle w:val="Table"/>
              <w:rPr>
                <w:b/>
              </w:rPr>
            </w:pPr>
            <w:r w:rsidRPr="008B3A2E">
              <w:rPr>
                <w:b/>
              </w:rPr>
              <w:t>La Mancha</w:t>
            </w:r>
          </w:p>
        </w:tc>
        <w:tc>
          <w:tcPr>
            <w:tcW w:w="567" w:type="dxa"/>
            <w:textDirection w:val="btLr"/>
            <w:vAlign w:val="center"/>
          </w:tcPr>
          <w:p w14:paraId="464153E6" w14:textId="77777777" w:rsidR="002435CD" w:rsidRPr="008B3A2E" w:rsidRDefault="002435CD" w:rsidP="008B3A2E">
            <w:pPr>
              <w:pStyle w:val="Table"/>
              <w:rPr>
                <w:b/>
              </w:rPr>
            </w:pPr>
            <w:r w:rsidRPr="008B3A2E">
              <w:rPr>
                <w:b/>
              </w:rPr>
              <w:t>Cataluña</w:t>
            </w:r>
          </w:p>
        </w:tc>
        <w:tc>
          <w:tcPr>
            <w:tcW w:w="567" w:type="dxa"/>
            <w:textDirection w:val="btLr"/>
            <w:vAlign w:val="center"/>
          </w:tcPr>
          <w:p w14:paraId="533C7219" w14:textId="77777777" w:rsidR="002435CD" w:rsidRPr="008B3A2E" w:rsidRDefault="002435CD" w:rsidP="008B3A2E">
            <w:pPr>
              <w:pStyle w:val="Table"/>
              <w:rPr>
                <w:b/>
              </w:rPr>
            </w:pPr>
            <w:r w:rsidRPr="008B3A2E">
              <w:rPr>
                <w:b/>
              </w:rPr>
              <w:t>Comunidad Valenciana</w:t>
            </w:r>
          </w:p>
        </w:tc>
        <w:tc>
          <w:tcPr>
            <w:tcW w:w="567" w:type="dxa"/>
            <w:textDirection w:val="btLr"/>
            <w:vAlign w:val="center"/>
          </w:tcPr>
          <w:p w14:paraId="50F2173A" w14:textId="77777777" w:rsidR="002435CD" w:rsidRPr="008B3A2E" w:rsidRDefault="002435CD" w:rsidP="008B3A2E">
            <w:pPr>
              <w:pStyle w:val="Table"/>
              <w:rPr>
                <w:b/>
              </w:rPr>
            </w:pPr>
            <w:r w:rsidRPr="008B3A2E">
              <w:rPr>
                <w:b/>
              </w:rPr>
              <w:t>Extremadura</w:t>
            </w:r>
          </w:p>
        </w:tc>
        <w:tc>
          <w:tcPr>
            <w:tcW w:w="567" w:type="dxa"/>
            <w:textDirection w:val="btLr"/>
            <w:vAlign w:val="center"/>
          </w:tcPr>
          <w:p w14:paraId="7271E65B" w14:textId="77777777" w:rsidR="002435CD" w:rsidRPr="008B3A2E" w:rsidRDefault="002435CD" w:rsidP="008B3A2E">
            <w:pPr>
              <w:pStyle w:val="Table"/>
              <w:rPr>
                <w:b/>
              </w:rPr>
            </w:pPr>
            <w:r w:rsidRPr="008B3A2E">
              <w:rPr>
                <w:b/>
              </w:rPr>
              <w:t>Galicia</w:t>
            </w:r>
          </w:p>
        </w:tc>
        <w:tc>
          <w:tcPr>
            <w:tcW w:w="567" w:type="dxa"/>
            <w:textDirection w:val="btLr"/>
            <w:vAlign w:val="center"/>
          </w:tcPr>
          <w:p w14:paraId="169F2C8B" w14:textId="77777777" w:rsidR="002435CD" w:rsidRPr="008B3A2E" w:rsidRDefault="002435CD" w:rsidP="008B3A2E">
            <w:pPr>
              <w:pStyle w:val="Table"/>
              <w:rPr>
                <w:b/>
              </w:rPr>
            </w:pPr>
            <w:r w:rsidRPr="008B3A2E">
              <w:rPr>
                <w:b/>
              </w:rPr>
              <w:t>Islas Baleares</w:t>
            </w:r>
          </w:p>
        </w:tc>
        <w:tc>
          <w:tcPr>
            <w:tcW w:w="567" w:type="dxa"/>
            <w:textDirection w:val="btLr"/>
            <w:vAlign w:val="center"/>
          </w:tcPr>
          <w:p w14:paraId="737C9128" w14:textId="77777777" w:rsidR="002435CD" w:rsidRPr="008B3A2E" w:rsidRDefault="002435CD" w:rsidP="008B3A2E">
            <w:pPr>
              <w:pStyle w:val="Table"/>
              <w:rPr>
                <w:b/>
              </w:rPr>
            </w:pPr>
            <w:r w:rsidRPr="008B3A2E">
              <w:rPr>
                <w:b/>
              </w:rPr>
              <w:t>La Rioja</w:t>
            </w:r>
          </w:p>
        </w:tc>
        <w:tc>
          <w:tcPr>
            <w:tcW w:w="567" w:type="dxa"/>
            <w:textDirection w:val="btLr"/>
            <w:vAlign w:val="center"/>
          </w:tcPr>
          <w:p w14:paraId="0CD9A25F" w14:textId="77777777" w:rsidR="002435CD" w:rsidRPr="008B3A2E" w:rsidRDefault="002435CD" w:rsidP="008B3A2E">
            <w:pPr>
              <w:pStyle w:val="Table"/>
              <w:rPr>
                <w:b/>
              </w:rPr>
            </w:pPr>
            <w:r w:rsidRPr="008B3A2E">
              <w:rPr>
                <w:b/>
              </w:rPr>
              <w:t>Madrid</w:t>
            </w:r>
          </w:p>
        </w:tc>
        <w:tc>
          <w:tcPr>
            <w:tcW w:w="567" w:type="dxa"/>
            <w:textDirection w:val="btLr"/>
            <w:vAlign w:val="center"/>
          </w:tcPr>
          <w:p w14:paraId="1436CD23" w14:textId="77777777" w:rsidR="002435CD" w:rsidRPr="008B3A2E" w:rsidRDefault="002435CD" w:rsidP="008B3A2E">
            <w:pPr>
              <w:pStyle w:val="Table"/>
              <w:rPr>
                <w:b/>
              </w:rPr>
            </w:pPr>
            <w:r w:rsidRPr="008B3A2E">
              <w:rPr>
                <w:b/>
              </w:rPr>
              <w:t>Murcia</w:t>
            </w:r>
          </w:p>
        </w:tc>
        <w:tc>
          <w:tcPr>
            <w:tcW w:w="567" w:type="dxa"/>
            <w:textDirection w:val="btLr"/>
            <w:vAlign w:val="center"/>
          </w:tcPr>
          <w:p w14:paraId="15687B27" w14:textId="77777777" w:rsidR="002435CD" w:rsidRPr="008B3A2E" w:rsidRDefault="002435CD" w:rsidP="008B3A2E">
            <w:pPr>
              <w:pStyle w:val="Table"/>
              <w:rPr>
                <w:b/>
              </w:rPr>
            </w:pPr>
            <w:r w:rsidRPr="008B3A2E">
              <w:rPr>
                <w:b/>
              </w:rPr>
              <w:t>Navarra</w:t>
            </w:r>
          </w:p>
        </w:tc>
      </w:tr>
      <w:tr w:rsidR="002435CD" w:rsidRPr="00EA4C9B" w14:paraId="38D756BF" w14:textId="77777777" w:rsidTr="00BA7936">
        <w:tc>
          <w:tcPr>
            <w:tcW w:w="14029" w:type="dxa"/>
            <w:gridSpan w:val="17"/>
            <w:shd w:val="clear" w:color="auto" w:fill="C6D9F1" w:themeFill="text2" w:themeFillTint="33"/>
            <w:vAlign w:val="center"/>
          </w:tcPr>
          <w:p w14:paraId="6B18FE0E" w14:textId="77777777" w:rsidR="002435CD" w:rsidRPr="008B3A2E" w:rsidRDefault="002435CD" w:rsidP="008B3A2E">
            <w:pPr>
              <w:pStyle w:val="Table"/>
              <w:jc w:val="center"/>
              <w:rPr>
                <w:b/>
              </w:rPr>
            </w:pPr>
            <w:r w:rsidRPr="008B3A2E">
              <w:rPr>
                <w:b/>
              </w:rPr>
              <w:t>Waste</w:t>
            </w:r>
          </w:p>
        </w:tc>
      </w:tr>
      <w:tr w:rsidR="002435CD" w:rsidRPr="00EA4C9B" w14:paraId="73D2BD2C" w14:textId="77777777" w:rsidTr="00BA7936">
        <w:tc>
          <w:tcPr>
            <w:tcW w:w="4957" w:type="dxa"/>
            <w:vAlign w:val="center"/>
          </w:tcPr>
          <w:p w14:paraId="3827BA60" w14:textId="77777777" w:rsidR="002435CD" w:rsidRPr="00EA4C9B" w:rsidRDefault="002435CD" w:rsidP="008B3A2E">
            <w:pPr>
              <w:pStyle w:val="Table"/>
            </w:pPr>
            <w:r w:rsidRPr="00EA4C9B">
              <w:t>Plastic bags</w:t>
            </w:r>
          </w:p>
        </w:tc>
        <w:tc>
          <w:tcPr>
            <w:tcW w:w="567" w:type="dxa"/>
            <w:vAlign w:val="center"/>
          </w:tcPr>
          <w:p w14:paraId="6725B84F" w14:textId="77777777" w:rsidR="002435CD" w:rsidRPr="00EA4C9B" w:rsidRDefault="002435CD" w:rsidP="008B3A2E">
            <w:pPr>
              <w:pStyle w:val="Table"/>
            </w:pPr>
            <w:r w:rsidRPr="00EA4C9B">
              <w:t>X</w:t>
            </w:r>
          </w:p>
        </w:tc>
        <w:tc>
          <w:tcPr>
            <w:tcW w:w="567" w:type="dxa"/>
            <w:vAlign w:val="center"/>
          </w:tcPr>
          <w:p w14:paraId="2D1C9AD2" w14:textId="77777777" w:rsidR="002435CD" w:rsidRPr="00EA4C9B" w:rsidRDefault="002435CD" w:rsidP="008B3A2E">
            <w:pPr>
              <w:pStyle w:val="Table"/>
            </w:pPr>
          </w:p>
        </w:tc>
        <w:tc>
          <w:tcPr>
            <w:tcW w:w="567" w:type="dxa"/>
            <w:vAlign w:val="center"/>
          </w:tcPr>
          <w:p w14:paraId="3D6C4840" w14:textId="77777777" w:rsidR="002435CD" w:rsidRPr="00EA4C9B" w:rsidRDefault="002435CD" w:rsidP="008B3A2E">
            <w:pPr>
              <w:pStyle w:val="Table"/>
            </w:pPr>
          </w:p>
        </w:tc>
        <w:tc>
          <w:tcPr>
            <w:tcW w:w="567" w:type="dxa"/>
            <w:vAlign w:val="center"/>
          </w:tcPr>
          <w:p w14:paraId="7E1C908B" w14:textId="77777777" w:rsidR="002435CD" w:rsidRPr="00EA4C9B" w:rsidRDefault="002435CD" w:rsidP="008B3A2E">
            <w:pPr>
              <w:pStyle w:val="Table"/>
            </w:pPr>
          </w:p>
        </w:tc>
        <w:tc>
          <w:tcPr>
            <w:tcW w:w="567" w:type="dxa"/>
            <w:vAlign w:val="center"/>
          </w:tcPr>
          <w:p w14:paraId="28E227C6" w14:textId="77777777" w:rsidR="002435CD" w:rsidRPr="00EA4C9B" w:rsidRDefault="002435CD" w:rsidP="008B3A2E">
            <w:pPr>
              <w:pStyle w:val="Table"/>
            </w:pPr>
            <w:r w:rsidRPr="00EA4C9B">
              <w:t>X</w:t>
            </w:r>
          </w:p>
        </w:tc>
        <w:tc>
          <w:tcPr>
            <w:tcW w:w="567" w:type="dxa"/>
            <w:vAlign w:val="center"/>
          </w:tcPr>
          <w:p w14:paraId="071C9367" w14:textId="77777777" w:rsidR="002435CD" w:rsidRPr="00EA4C9B" w:rsidRDefault="002435CD" w:rsidP="008B3A2E">
            <w:pPr>
              <w:pStyle w:val="Table"/>
            </w:pPr>
          </w:p>
        </w:tc>
        <w:tc>
          <w:tcPr>
            <w:tcW w:w="567" w:type="dxa"/>
            <w:vAlign w:val="center"/>
          </w:tcPr>
          <w:p w14:paraId="6E4F79EE" w14:textId="77777777" w:rsidR="002435CD" w:rsidRPr="00EA4C9B" w:rsidRDefault="002435CD" w:rsidP="008B3A2E">
            <w:pPr>
              <w:pStyle w:val="Table"/>
            </w:pPr>
          </w:p>
        </w:tc>
        <w:tc>
          <w:tcPr>
            <w:tcW w:w="567" w:type="dxa"/>
            <w:vAlign w:val="center"/>
          </w:tcPr>
          <w:p w14:paraId="7A05A368" w14:textId="77777777" w:rsidR="002435CD" w:rsidRPr="00EA4C9B" w:rsidRDefault="002435CD" w:rsidP="008B3A2E">
            <w:pPr>
              <w:pStyle w:val="Table"/>
            </w:pPr>
          </w:p>
        </w:tc>
        <w:tc>
          <w:tcPr>
            <w:tcW w:w="567" w:type="dxa"/>
            <w:vAlign w:val="center"/>
          </w:tcPr>
          <w:p w14:paraId="455AC80A" w14:textId="77777777" w:rsidR="002435CD" w:rsidRPr="00EA4C9B" w:rsidRDefault="002435CD" w:rsidP="008B3A2E">
            <w:pPr>
              <w:pStyle w:val="Table"/>
            </w:pPr>
          </w:p>
        </w:tc>
        <w:tc>
          <w:tcPr>
            <w:tcW w:w="567" w:type="dxa"/>
            <w:vAlign w:val="center"/>
          </w:tcPr>
          <w:p w14:paraId="46B8F9D4" w14:textId="77777777" w:rsidR="002435CD" w:rsidRPr="00EA4C9B" w:rsidRDefault="002435CD" w:rsidP="008B3A2E">
            <w:pPr>
              <w:pStyle w:val="Table"/>
            </w:pPr>
          </w:p>
        </w:tc>
        <w:tc>
          <w:tcPr>
            <w:tcW w:w="567" w:type="dxa"/>
            <w:vAlign w:val="center"/>
          </w:tcPr>
          <w:p w14:paraId="41551DD2" w14:textId="77777777" w:rsidR="002435CD" w:rsidRPr="00EA4C9B" w:rsidRDefault="002435CD" w:rsidP="008B3A2E">
            <w:pPr>
              <w:pStyle w:val="Table"/>
            </w:pPr>
          </w:p>
        </w:tc>
        <w:tc>
          <w:tcPr>
            <w:tcW w:w="567" w:type="dxa"/>
            <w:vAlign w:val="center"/>
          </w:tcPr>
          <w:p w14:paraId="7965D907" w14:textId="77777777" w:rsidR="002435CD" w:rsidRPr="00EA4C9B" w:rsidRDefault="002435CD" w:rsidP="008B3A2E">
            <w:pPr>
              <w:pStyle w:val="Table"/>
            </w:pPr>
          </w:p>
        </w:tc>
        <w:tc>
          <w:tcPr>
            <w:tcW w:w="567" w:type="dxa"/>
            <w:vAlign w:val="center"/>
          </w:tcPr>
          <w:p w14:paraId="5343D648" w14:textId="77777777" w:rsidR="002435CD" w:rsidRPr="00EA4C9B" w:rsidRDefault="002435CD" w:rsidP="008B3A2E">
            <w:pPr>
              <w:pStyle w:val="Table"/>
            </w:pPr>
          </w:p>
        </w:tc>
        <w:tc>
          <w:tcPr>
            <w:tcW w:w="567" w:type="dxa"/>
            <w:vAlign w:val="center"/>
          </w:tcPr>
          <w:p w14:paraId="6C8061D8" w14:textId="77777777" w:rsidR="002435CD" w:rsidRPr="00EA4C9B" w:rsidRDefault="002435CD" w:rsidP="008B3A2E">
            <w:pPr>
              <w:pStyle w:val="Table"/>
            </w:pPr>
          </w:p>
        </w:tc>
        <w:tc>
          <w:tcPr>
            <w:tcW w:w="567" w:type="dxa"/>
            <w:vAlign w:val="center"/>
          </w:tcPr>
          <w:p w14:paraId="14368592" w14:textId="77777777" w:rsidR="002435CD" w:rsidRPr="00EA4C9B" w:rsidRDefault="002435CD" w:rsidP="008B3A2E">
            <w:pPr>
              <w:pStyle w:val="Table"/>
            </w:pPr>
          </w:p>
        </w:tc>
        <w:tc>
          <w:tcPr>
            <w:tcW w:w="567" w:type="dxa"/>
            <w:vAlign w:val="center"/>
          </w:tcPr>
          <w:p w14:paraId="0AAEED50" w14:textId="77777777" w:rsidR="002435CD" w:rsidRPr="00EA4C9B" w:rsidRDefault="002435CD" w:rsidP="008B3A2E">
            <w:pPr>
              <w:pStyle w:val="Table"/>
            </w:pPr>
          </w:p>
        </w:tc>
      </w:tr>
      <w:tr w:rsidR="002435CD" w:rsidRPr="00EA4C9B" w14:paraId="7FEBBFE1" w14:textId="77777777" w:rsidTr="00BA7936">
        <w:tc>
          <w:tcPr>
            <w:tcW w:w="4957" w:type="dxa"/>
            <w:vAlign w:val="center"/>
          </w:tcPr>
          <w:p w14:paraId="76B03A24" w14:textId="77777777" w:rsidR="002435CD" w:rsidRPr="00EA4C9B" w:rsidRDefault="002435CD" w:rsidP="008B3A2E">
            <w:pPr>
              <w:pStyle w:val="Table"/>
            </w:pPr>
            <w:r w:rsidRPr="00EA4C9B">
              <w:t>Energy and radioactive waste</w:t>
            </w:r>
          </w:p>
        </w:tc>
        <w:tc>
          <w:tcPr>
            <w:tcW w:w="567" w:type="dxa"/>
            <w:vAlign w:val="center"/>
          </w:tcPr>
          <w:p w14:paraId="61B36C57" w14:textId="77777777" w:rsidR="002435CD" w:rsidRPr="00EA4C9B" w:rsidRDefault="002435CD" w:rsidP="008B3A2E">
            <w:pPr>
              <w:pStyle w:val="Table"/>
            </w:pPr>
            <w:r w:rsidRPr="00EA4C9B">
              <w:t>X</w:t>
            </w:r>
          </w:p>
        </w:tc>
        <w:tc>
          <w:tcPr>
            <w:tcW w:w="567" w:type="dxa"/>
            <w:vAlign w:val="center"/>
          </w:tcPr>
          <w:p w14:paraId="3B5029C9" w14:textId="77777777" w:rsidR="002435CD" w:rsidRPr="00EA4C9B" w:rsidRDefault="002435CD" w:rsidP="008B3A2E">
            <w:pPr>
              <w:pStyle w:val="Table"/>
            </w:pPr>
          </w:p>
        </w:tc>
        <w:tc>
          <w:tcPr>
            <w:tcW w:w="567" w:type="dxa"/>
            <w:vAlign w:val="center"/>
          </w:tcPr>
          <w:p w14:paraId="0D5FD83E" w14:textId="77777777" w:rsidR="002435CD" w:rsidRPr="00EA4C9B" w:rsidRDefault="002435CD" w:rsidP="008B3A2E">
            <w:pPr>
              <w:pStyle w:val="Table"/>
            </w:pPr>
          </w:p>
        </w:tc>
        <w:tc>
          <w:tcPr>
            <w:tcW w:w="567" w:type="dxa"/>
            <w:vAlign w:val="center"/>
          </w:tcPr>
          <w:p w14:paraId="30F77C4B" w14:textId="77777777" w:rsidR="002435CD" w:rsidRPr="00EA4C9B" w:rsidRDefault="002435CD" w:rsidP="008B3A2E">
            <w:pPr>
              <w:pStyle w:val="Table"/>
            </w:pPr>
          </w:p>
        </w:tc>
        <w:tc>
          <w:tcPr>
            <w:tcW w:w="567" w:type="dxa"/>
            <w:vAlign w:val="center"/>
          </w:tcPr>
          <w:p w14:paraId="216824D0" w14:textId="77777777" w:rsidR="002435CD" w:rsidRPr="00EA4C9B" w:rsidRDefault="002435CD" w:rsidP="008B3A2E">
            <w:pPr>
              <w:pStyle w:val="Table"/>
            </w:pPr>
          </w:p>
        </w:tc>
        <w:tc>
          <w:tcPr>
            <w:tcW w:w="567" w:type="dxa"/>
            <w:vAlign w:val="center"/>
          </w:tcPr>
          <w:p w14:paraId="3358F1B1" w14:textId="77777777" w:rsidR="002435CD" w:rsidRPr="00EA4C9B" w:rsidRDefault="002435CD" w:rsidP="008B3A2E">
            <w:pPr>
              <w:pStyle w:val="Table"/>
            </w:pPr>
          </w:p>
        </w:tc>
        <w:tc>
          <w:tcPr>
            <w:tcW w:w="567" w:type="dxa"/>
            <w:vAlign w:val="center"/>
          </w:tcPr>
          <w:p w14:paraId="763CDAA1" w14:textId="77777777" w:rsidR="002435CD" w:rsidRPr="00EA4C9B" w:rsidRDefault="002435CD" w:rsidP="008B3A2E">
            <w:pPr>
              <w:pStyle w:val="Table"/>
            </w:pPr>
            <w:r w:rsidRPr="00EA4C9B">
              <w:t>X</w:t>
            </w:r>
          </w:p>
        </w:tc>
        <w:tc>
          <w:tcPr>
            <w:tcW w:w="567" w:type="dxa"/>
            <w:vAlign w:val="center"/>
          </w:tcPr>
          <w:p w14:paraId="179C4FB2" w14:textId="77777777" w:rsidR="002435CD" w:rsidRPr="00EA4C9B" w:rsidRDefault="002435CD" w:rsidP="008B3A2E">
            <w:pPr>
              <w:pStyle w:val="Table"/>
            </w:pPr>
          </w:p>
        </w:tc>
        <w:tc>
          <w:tcPr>
            <w:tcW w:w="567" w:type="dxa"/>
            <w:vAlign w:val="center"/>
          </w:tcPr>
          <w:p w14:paraId="62AA2738" w14:textId="77777777" w:rsidR="002435CD" w:rsidRPr="00EA4C9B" w:rsidRDefault="002435CD" w:rsidP="008B3A2E">
            <w:pPr>
              <w:pStyle w:val="Table"/>
            </w:pPr>
          </w:p>
        </w:tc>
        <w:tc>
          <w:tcPr>
            <w:tcW w:w="567" w:type="dxa"/>
            <w:vAlign w:val="center"/>
          </w:tcPr>
          <w:p w14:paraId="34AF7B17" w14:textId="77777777" w:rsidR="002435CD" w:rsidRPr="00EA4C9B" w:rsidRDefault="002435CD" w:rsidP="008B3A2E">
            <w:pPr>
              <w:pStyle w:val="Table"/>
            </w:pPr>
          </w:p>
        </w:tc>
        <w:tc>
          <w:tcPr>
            <w:tcW w:w="567" w:type="dxa"/>
            <w:vAlign w:val="center"/>
          </w:tcPr>
          <w:p w14:paraId="4B1202D6" w14:textId="77777777" w:rsidR="002435CD" w:rsidRPr="00EA4C9B" w:rsidRDefault="002435CD" w:rsidP="008B3A2E">
            <w:pPr>
              <w:pStyle w:val="Table"/>
            </w:pPr>
          </w:p>
        </w:tc>
        <w:tc>
          <w:tcPr>
            <w:tcW w:w="567" w:type="dxa"/>
            <w:vAlign w:val="center"/>
          </w:tcPr>
          <w:p w14:paraId="0D03B1A6" w14:textId="77777777" w:rsidR="002435CD" w:rsidRPr="00EA4C9B" w:rsidRDefault="002435CD" w:rsidP="008B3A2E">
            <w:pPr>
              <w:pStyle w:val="Table"/>
            </w:pPr>
          </w:p>
        </w:tc>
        <w:tc>
          <w:tcPr>
            <w:tcW w:w="567" w:type="dxa"/>
            <w:vAlign w:val="center"/>
          </w:tcPr>
          <w:p w14:paraId="61C2E1FA" w14:textId="77777777" w:rsidR="002435CD" w:rsidRPr="00EA4C9B" w:rsidRDefault="002435CD" w:rsidP="008B3A2E">
            <w:pPr>
              <w:pStyle w:val="Table"/>
            </w:pPr>
          </w:p>
        </w:tc>
        <w:tc>
          <w:tcPr>
            <w:tcW w:w="567" w:type="dxa"/>
            <w:vAlign w:val="center"/>
          </w:tcPr>
          <w:p w14:paraId="0C642843" w14:textId="77777777" w:rsidR="002435CD" w:rsidRPr="00EA4C9B" w:rsidRDefault="002435CD" w:rsidP="008B3A2E">
            <w:pPr>
              <w:pStyle w:val="Table"/>
            </w:pPr>
          </w:p>
        </w:tc>
        <w:tc>
          <w:tcPr>
            <w:tcW w:w="567" w:type="dxa"/>
            <w:vAlign w:val="center"/>
          </w:tcPr>
          <w:p w14:paraId="79695027" w14:textId="77777777" w:rsidR="002435CD" w:rsidRPr="00EA4C9B" w:rsidRDefault="002435CD" w:rsidP="008B3A2E">
            <w:pPr>
              <w:pStyle w:val="Table"/>
            </w:pPr>
          </w:p>
        </w:tc>
        <w:tc>
          <w:tcPr>
            <w:tcW w:w="567" w:type="dxa"/>
            <w:vAlign w:val="center"/>
          </w:tcPr>
          <w:p w14:paraId="5834E2C0" w14:textId="77777777" w:rsidR="002435CD" w:rsidRPr="00EA4C9B" w:rsidRDefault="002435CD" w:rsidP="008B3A2E">
            <w:pPr>
              <w:pStyle w:val="Table"/>
            </w:pPr>
            <w:r w:rsidRPr="00EA4C9B">
              <w:t>X</w:t>
            </w:r>
          </w:p>
        </w:tc>
      </w:tr>
      <w:tr w:rsidR="002435CD" w:rsidRPr="00EA4C9B" w14:paraId="3265953F" w14:textId="77777777" w:rsidTr="00BA7936">
        <w:tc>
          <w:tcPr>
            <w:tcW w:w="4957" w:type="dxa"/>
            <w:vAlign w:val="center"/>
          </w:tcPr>
          <w:p w14:paraId="122D1CAB" w14:textId="77777777" w:rsidR="002435CD" w:rsidRPr="00EA4C9B" w:rsidRDefault="002435CD" w:rsidP="008B3A2E">
            <w:pPr>
              <w:pStyle w:val="Table"/>
            </w:pPr>
            <w:r w:rsidRPr="00EA4C9B">
              <w:t>Construction waste disposal</w:t>
            </w:r>
          </w:p>
        </w:tc>
        <w:tc>
          <w:tcPr>
            <w:tcW w:w="567" w:type="dxa"/>
            <w:vAlign w:val="center"/>
          </w:tcPr>
          <w:p w14:paraId="67B17E3F" w14:textId="77777777" w:rsidR="002435CD" w:rsidRPr="00EA4C9B" w:rsidRDefault="002435CD" w:rsidP="008B3A2E">
            <w:pPr>
              <w:pStyle w:val="Table"/>
            </w:pPr>
          </w:p>
        </w:tc>
        <w:tc>
          <w:tcPr>
            <w:tcW w:w="567" w:type="dxa"/>
            <w:vAlign w:val="center"/>
          </w:tcPr>
          <w:p w14:paraId="1F452496" w14:textId="77777777" w:rsidR="002435CD" w:rsidRPr="00EA4C9B" w:rsidRDefault="002435CD" w:rsidP="008B3A2E">
            <w:pPr>
              <w:pStyle w:val="Table"/>
            </w:pPr>
          </w:p>
        </w:tc>
        <w:tc>
          <w:tcPr>
            <w:tcW w:w="567" w:type="dxa"/>
            <w:vAlign w:val="center"/>
          </w:tcPr>
          <w:p w14:paraId="3A993EF9" w14:textId="77777777" w:rsidR="002435CD" w:rsidRPr="00EA4C9B" w:rsidRDefault="002435CD" w:rsidP="008B3A2E">
            <w:pPr>
              <w:pStyle w:val="Table"/>
            </w:pPr>
          </w:p>
        </w:tc>
        <w:tc>
          <w:tcPr>
            <w:tcW w:w="567" w:type="dxa"/>
            <w:vAlign w:val="center"/>
          </w:tcPr>
          <w:p w14:paraId="24119DF1" w14:textId="77777777" w:rsidR="002435CD" w:rsidRPr="00EA4C9B" w:rsidRDefault="002435CD" w:rsidP="008B3A2E">
            <w:pPr>
              <w:pStyle w:val="Table"/>
            </w:pPr>
          </w:p>
        </w:tc>
        <w:tc>
          <w:tcPr>
            <w:tcW w:w="567" w:type="dxa"/>
            <w:vAlign w:val="center"/>
          </w:tcPr>
          <w:p w14:paraId="52E4E4F7" w14:textId="77777777" w:rsidR="002435CD" w:rsidRPr="00EA4C9B" w:rsidRDefault="002435CD" w:rsidP="008B3A2E">
            <w:pPr>
              <w:pStyle w:val="Table"/>
            </w:pPr>
          </w:p>
        </w:tc>
        <w:tc>
          <w:tcPr>
            <w:tcW w:w="567" w:type="dxa"/>
            <w:vAlign w:val="center"/>
          </w:tcPr>
          <w:p w14:paraId="3230BD56" w14:textId="77777777" w:rsidR="002435CD" w:rsidRPr="00EA4C9B" w:rsidRDefault="002435CD" w:rsidP="008B3A2E">
            <w:pPr>
              <w:pStyle w:val="Table"/>
            </w:pPr>
          </w:p>
        </w:tc>
        <w:tc>
          <w:tcPr>
            <w:tcW w:w="567" w:type="dxa"/>
            <w:vAlign w:val="center"/>
          </w:tcPr>
          <w:p w14:paraId="12DC4B69" w14:textId="77777777" w:rsidR="002435CD" w:rsidRPr="00EA4C9B" w:rsidRDefault="002435CD" w:rsidP="008B3A2E">
            <w:pPr>
              <w:pStyle w:val="Table"/>
            </w:pPr>
          </w:p>
        </w:tc>
        <w:tc>
          <w:tcPr>
            <w:tcW w:w="567" w:type="dxa"/>
            <w:vAlign w:val="center"/>
          </w:tcPr>
          <w:p w14:paraId="2845B358" w14:textId="77777777" w:rsidR="002435CD" w:rsidRPr="00EA4C9B" w:rsidRDefault="002435CD" w:rsidP="008B3A2E">
            <w:pPr>
              <w:pStyle w:val="Table"/>
            </w:pPr>
            <w:r w:rsidRPr="00EA4C9B">
              <w:t>X</w:t>
            </w:r>
          </w:p>
        </w:tc>
        <w:tc>
          <w:tcPr>
            <w:tcW w:w="567" w:type="dxa"/>
            <w:vAlign w:val="center"/>
          </w:tcPr>
          <w:p w14:paraId="14FDF34A" w14:textId="77777777" w:rsidR="002435CD" w:rsidRPr="00EA4C9B" w:rsidRDefault="002435CD" w:rsidP="008B3A2E">
            <w:pPr>
              <w:pStyle w:val="Table"/>
            </w:pPr>
          </w:p>
        </w:tc>
        <w:tc>
          <w:tcPr>
            <w:tcW w:w="567" w:type="dxa"/>
            <w:vAlign w:val="center"/>
          </w:tcPr>
          <w:p w14:paraId="6D6B19D3" w14:textId="77777777" w:rsidR="002435CD" w:rsidRPr="00EA4C9B" w:rsidRDefault="002435CD" w:rsidP="008B3A2E">
            <w:pPr>
              <w:pStyle w:val="Table"/>
            </w:pPr>
            <w:r w:rsidRPr="00EA4C9B">
              <w:t>X</w:t>
            </w:r>
          </w:p>
        </w:tc>
        <w:tc>
          <w:tcPr>
            <w:tcW w:w="567" w:type="dxa"/>
            <w:vAlign w:val="center"/>
          </w:tcPr>
          <w:p w14:paraId="40CA997B" w14:textId="77777777" w:rsidR="002435CD" w:rsidRPr="00EA4C9B" w:rsidRDefault="002435CD" w:rsidP="008B3A2E">
            <w:pPr>
              <w:pStyle w:val="Table"/>
            </w:pPr>
          </w:p>
        </w:tc>
        <w:tc>
          <w:tcPr>
            <w:tcW w:w="567" w:type="dxa"/>
            <w:vAlign w:val="center"/>
          </w:tcPr>
          <w:p w14:paraId="376ED7D4" w14:textId="77777777" w:rsidR="002435CD" w:rsidRPr="00EA4C9B" w:rsidRDefault="002435CD" w:rsidP="008B3A2E">
            <w:pPr>
              <w:pStyle w:val="Table"/>
            </w:pPr>
          </w:p>
        </w:tc>
        <w:tc>
          <w:tcPr>
            <w:tcW w:w="567" w:type="dxa"/>
            <w:vAlign w:val="center"/>
          </w:tcPr>
          <w:p w14:paraId="325AB92E" w14:textId="77777777" w:rsidR="002435CD" w:rsidRPr="00EA4C9B" w:rsidRDefault="002435CD" w:rsidP="008B3A2E">
            <w:pPr>
              <w:pStyle w:val="Table"/>
            </w:pPr>
          </w:p>
        </w:tc>
        <w:tc>
          <w:tcPr>
            <w:tcW w:w="567" w:type="dxa"/>
            <w:vAlign w:val="center"/>
          </w:tcPr>
          <w:p w14:paraId="5D7EF965" w14:textId="77777777" w:rsidR="002435CD" w:rsidRPr="00EA4C9B" w:rsidRDefault="002435CD" w:rsidP="008B3A2E">
            <w:pPr>
              <w:pStyle w:val="Table"/>
            </w:pPr>
            <w:r w:rsidRPr="00EA4C9B">
              <w:t>X</w:t>
            </w:r>
          </w:p>
        </w:tc>
        <w:tc>
          <w:tcPr>
            <w:tcW w:w="567" w:type="dxa"/>
            <w:vAlign w:val="center"/>
          </w:tcPr>
          <w:p w14:paraId="6B326FCE" w14:textId="77777777" w:rsidR="002435CD" w:rsidRPr="00EA4C9B" w:rsidRDefault="002435CD" w:rsidP="008B3A2E">
            <w:pPr>
              <w:pStyle w:val="Table"/>
            </w:pPr>
            <w:r w:rsidRPr="00EA4C9B">
              <w:t>X</w:t>
            </w:r>
          </w:p>
        </w:tc>
        <w:tc>
          <w:tcPr>
            <w:tcW w:w="567" w:type="dxa"/>
            <w:vAlign w:val="center"/>
          </w:tcPr>
          <w:p w14:paraId="08F8230E" w14:textId="77777777" w:rsidR="002435CD" w:rsidRPr="00EA4C9B" w:rsidRDefault="002435CD" w:rsidP="008B3A2E">
            <w:pPr>
              <w:pStyle w:val="Table"/>
            </w:pPr>
          </w:p>
        </w:tc>
      </w:tr>
      <w:tr w:rsidR="002435CD" w:rsidRPr="00EA4C9B" w14:paraId="65182D69" w14:textId="77777777" w:rsidTr="00BA7936">
        <w:tc>
          <w:tcPr>
            <w:tcW w:w="4957" w:type="dxa"/>
            <w:vAlign w:val="center"/>
          </w:tcPr>
          <w:p w14:paraId="7E1B5E76" w14:textId="77777777" w:rsidR="002435CD" w:rsidRPr="00EA4C9B" w:rsidRDefault="002435CD" w:rsidP="008B3A2E">
            <w:pPr>
              <w:pStyle w:val="Table"/>
            </w:pPr>
            <w:r w:rsidRPr="00EA4C9B">
              <w:t>Industrial waste disposal</w:t>
            </w:r>
          </w:p>
        </w:tc>
        <w:tc>
          <w:tcPr>
            <w:tcW w:w="567" w:type="dxa"/>
            <w:vAlign w:val="center"/>
          </w:tcPr>
          <w:p w14:paraId="7B03C721" w14:textId="77777777" w:rsidR="002435CD" w:rsidRPr="00EA4C9B" w:rsidRDefault="002435CD" w:rsidP="008B3A2E">
            <w:pPr>
              <w:pStyle w:val="Table"/>
            </w:pPr>
            <w:r w:rsidRPr="00EA4C9B">
              <w:t>X</w:t>
            </w:r>
          </w:p>
        </w:tc>
        <w:tc>
          <w:tcPr>
            <w:tcW w:w="567" w:type="dxa"/>
            <w:vAlign w:val="center"/>
          </w:tcPr>
          <w:p w14:paraId="5AFB3D57" w14:textId="77777777" w:rsidR="002435CD" w:rsidRPr="00EA4C9B" w:rsidRDefault="002435CD" w:rsidP="008B3A2E">
            <w:pPr>
              <w:pStyle w:val="Table"/>
            </w:pPr>
          </w:p>
        </w:tc>
        <w:tc>
          <w:tcPr>
            <w:tcW w:w="567" w:type="dxa"/>
            <w:vAlign w:val="center"/>
          </w:tcPr>
          <w:p w14:paraId="736D1249" w14:textId="77777777" w:rsidR="002435CD" w:rsidRPr="00EA4C9B" w:rsidRDefault="002435CD" w:rsidP="008B3A2E">
            <w:pPr>
              <w:pStyle w:val="Table"/>
            </w:pPr>
          </w:p>
        </w:tc>
        <w:tc>
          <w:tcPr>
            <w:tcW w:w="567" w:type="dxa"/>
            <w:vAlign w:val="center"/>
          </w:tcPr>
          <w:p w14:paraId="3A637900" w14:textId="77777777" w:rsidR="002435CD" w:rsidRPr="00EA4C9B" w:rsidRDefault="002435CD" w:rsidP="008B3A2E">
            <w:pPr>
              <w:pStyle w:val="Table"/>
            </w:pPr>
          </w:p>
        </w:tc>
        <w:tc>
          <w:tcPr>
            <w:tcW w:w="567" w:type="dxa"/>
            <w:vAlign w:val="center"/>
          </w:tcPr>
          <w:p w14:paraId="1525BFDB" w14:textId="77777777" w:rsidR="002435CD" w:rsidRPr="00EA4C9B" w:rsidRDefault="002435CD" w:rsidP="008B3A2E">
            <w:pPr>
              <w:pStyle w:val="Table"/>
            </w:pPr>
            <w:r w:rsidRPr="00EA4C9B">
              <w:t>X</w:t>
            </w:r>
          </w:p>
        </w:tc>
        <w:tc>
          <w:tcPr>
            <w:tcW w:w="567" w:type="dxa"/>
            <w:vAlign w:val="center"/>
          </w:tcPr>
          <w:p w14:paraId="643DF9A4" w14:textId="77777777" w:rsidR="002435CD" w:rsidRPr="00EA4C9B" w:rsidRDefault="002435CD" w:rsidP="008B3A2E">
            <w:pPr>
              <w:pStyle w:val="Table"/>
            </w:pPr>
            <w:r w:rsidRPr="00EA4C9B">
              <w:t>X</w:t>
            </w:r>
          </w:p>
        </w:tc>
        <w:tc>
          <w:tcPr>
            <w:tcW w:w="567" w:type="dxa"/>
            <w:vAlign w:val="center"/>
          </w:tcPr>
          <w:p w14:paraId="389EF48D" w14:textId="77777777" w:rsidR="002435CD" w:rsidRPr="00EA4C9B" w:rsidRDefault="002435CD" w:rsidP="008B3A2E">
            <w:pPr>
              <w:pStyle w:val="Table"/>
            </w:pPr>
          </w:p>
        </w:tc>
        <w:tc>
          <w:tcPr>
            <w:tcW w:w="567" w:type="dxa"/>
            <w:vAlign w:val="center"/>
          </w:tcPr>
          <w:p w14:paraId="4518953F" w14:textId="77777777" w:rsidR="002435CD" w:rsidRPr="00EA4C9B" w:rsidRDefault="002435CD" w:rsidP="008B3A2E">
            <w:pPr>
              <w:pStyle w:val="Table"/>
            </w:pPr>
            <w:r w:rsidRPr="00EA4C9B">
              <w:t>X</w:t>
            </w:r>
          </w:p>
        </w:tc>
        <w:tc>
          <w:tcPr>
            <w:tcW w:w="567" w:type="dxa"/>
            <w:vAlign w:val="center"/>
          </w:tcPr>
          <w:p w14:paraId="5B226B6D" w14:textId="77777777" w:rsidR="002435CD" w:rsidRPr="00EA4C9B" w:rsidRDefault="002435CD" w:rsidP="008B3A2E">
            <w:pPr>
              <w:pStyle w:val="Table"/>
            </w:pPr>
          </w:p>
        </w:tc>
        <w:tc>
          <w:tcPr>
            <w:tcW w:w="567" w:type="dxa"/>
            <w:vAlign w:val="center"/>
          </w:tcPr>
          <w:p w14:paraId="528010C2" w14:textId="77777777" w:rsidR="002435CD" w:rsidRPr="00EA4C9B" w:rsidRDefault="002435CD" w:rsidP="008B3A2E">
            <w:pPr>
              <w:pStyle w:val="Table"/>
            </w:pPr>
            <w:r w:rsidRPr="00EA4C9B">
              <w:t>X</w:t>
            </w:r>
          </w:p>
        </w:tc>
        <w:tc>
          <w:tcPr>
            <w:tcW w:w="567" w:type="dxa"/>
            <w:vAlign w:val="center"/>
          </w:tcPr>
          <w:p w14:paraId="160FCC5A" w14:textId="77777777" w:rsidR="002435CD" w:rsidRPr="00EA4C9B" w:rsidRDefault="002435CD" w:rsidP="008B3A2E">
            <w:pPr>
              <w:pStyle w:val="Table"/>
            </w:pPr>
          </w:p>
        </w:tc>
        <w:tc>
          <w:tcPr>
            <w:tcW w:w="567" w:type="dxa"/>
            <w:vAlign w:val="center"/>
          </w:tcPr>
          <w:p w14:paraId="771F656B" w14:textId="77777777" w:rsidR="002435CD" w:rsidRPr="00EA4C9B" w:rsidRDefault="002435CD" w:rsidP="008B3A2E">
            <w:pPr>
              <w:pStyle w:val="Table"/>
            </w:pPr>
          </w:p>
        </w:tc>
        <w:tc>
          <w:tcPr>
            <w:tcW w:w="567" w:type="dxa"/>
            <w:vAlign w:val="center"/>
          </w:tcPr>
          <w:p w14:paraId="0A82BA14" w14:textId="77777777" w:rsidR="002435CD" w:rsidRPr="00EA4C9B" w:rsidRDefault="002435CD" w:rsidP="008B3A2E">
            <w:pPr>
              <w:pStyle w:val="Table"/>
            </w:pPr>
          </w:p>
        </w:tc>
        <w:tc>
          <w:tcPr>
            <w:tcW w:w="567" w:type="dxa"/>
            <w:vAlign w:val="center"/>
          </w:tcPr>
          <w:p w14:paraId="54293CA6" w14:textId="77777777" w:rsidR="002435CD" w:rsidRPr="00EA4C9B" w:rsidRDefault="002435CD" w:rsidP="008B3A2E">
            <w:pPr>
              <w:pStyle w:val="Table"/>
            </w:pPr>
            <w:r w:rsidRPr="00EA4C9B">
              <w:t>X</w:t>
            </w:r>
          </w:p>
        </w:tc>
        <w:tc>
          <w:tcPr>
            <w:tcW w:w="567" w:type="dxa"/>
            <w:vAlign w:val="center"/>
          </w:tcPr>
          <w:p w14:paraId="4D088CA9" w14:textId="77777777" w:rsidR="002435CD" w:rsidRPr="00EA4C9B" w:rsidRDefault="002435CD" w:rsidP="008B3A2E">
            <w:pPr>
              <w:pStyle w:val="Table"/>
            </w:pPr>
            <w:r w:rsidRPr="00EA4C9B">
              <w:t>X</w:t>
            </w:r>
          </w:p>
        </w:tc>
        <w:tc>
          <w:tcPr>
            <w:tcW w:w="567" w:type="dxa"/>
            <w:vAlign w:val="center"/>
          </w:tcPr>
          <w:p w14:paraId="5C091FDC" w14:textId="77777777" w:rsidR="002435CD" w:rsidRPr="00EA4C9B" w:rsidRDefault="002435CD" w:rsidP="008B3A2E">
            <w:pPr>
              <w:pStyle w:val="Table"/>
            </w:pPr>
          </w:p>
        </w:tc>
      </w:tr>
      <w:tr w:rsidR="002435CD" w:rsidRPr="00EA4C9B" w14:paraId="74D3D12D" w14:textId="77777777" w:rsidTr="00BA7936">
        <w:tc>
          <w:tcPr>
            <w:tcW w:w="4957" w:type="dxa"/>
            <w:vAlign w:val="center"/>
          </w:tcPr>
          <w:p w14:paraId="6B9303F6" w14:textId="77777777" w:rsidR="002435CD" w:rsidRPr="00EA4C9B" w:rsidRDefault="002435CD" w:rsidP="008B3A2E">
            <w:pPr>
              <w:pStyle w:val="Table"/>
            </w:pPr>
            <w:r w:rsidRPr="00EA4C9B">
              <w:t>Municipal waste incineration</w:t>
            </w:r>
          </w:p>
        </w:tc>
        <w:tc>
          <w:tcPr>
            <w:tcW w:w="567" w:type="dxa"/>
            <w:vAlign w:val="center"/>
          </w:tcPr>
          <w:p w14:paraId="020BE703" w14:textId="77777777" w:rsidR="002435CD" w:rsidRPr="00EA4C9B" w:rsidRDefault="002435CD" w:rsidP="008B3A2E">
            <w:pPr>
              <w:pStyle w:val="Table"/>
            </w:pPr>
          </w:p>
        </w:tc>
        <w:tc>
          <w:tcPr>
            <w:tcW w:w="567" w:type="dxa"/>
            <w:vAlign w:val="center"/>
          </w:tcPr>
          <w:p w14:paraId="1DAA0E1F" w14:textId="77777777" w:rsidR="002435CD" w:rsidRPr="00EA4C9B" w:rsidRDefault="002435CD" w:rsidP="008B3A2E">
            <w:pPr>
              <w:pStyle w:val="Table"/>
            </w:pPr>
          </w:p>
        </w:tc>
        <w:tc>
          <w:tcPr>
            <w:tcW w:w="567" w:type="dxa"/>
            <w:vAlign w:val="center"/>
          </w:tcPr>
          <w:p w14:paraId="1FEC7F4D" w14:textId="77777777" w:rsidR="002435CD" w:rsidRPr="00EA4C9B" w:rsidRDefault="002435CD" w:rsidP="008B3A2E">
            <w:pPr>
              <w:pStyle w:val="Table"/>
            </w:pPr>
          </w:p>
        </w:tc>
        <w:tc>
          <w:tcPr>
            <w:tcW w:w="567" w:type="dxa"/>
            <w:vAlign w:val="center"/>
          </w:tcPr>
          <w:p w14:paraId="4EDC74C1" w14:textId="77777777" w:rsidR="002435CD" w:rsidRPr="00EA4C9B" w:rsidRDefault="002435CD" w:rsidP="008B3A2E">
            <w:pPr>
              <w:pStyle w:val="Table"/>
            </w:pPr>
          </w:p>
        </w:tc>
        <w:tc>
          <w:tcPr>
            <w:tcW w:w="567" w:type="dxa"/>
            <w:vAlign w:val="center"/>
          </w:tcPr>
          <w:p w14:paraId="7A77EA66" w14:textId="77777777" w:rsidR="002435CD" w:rsidRPr="00EA4C9B" w:rsidRDefault="002435CD" w:rsidP="008B3A2E">
            <w:pPr>
              <w:pStyle w:val="Table"/>
            </w:pPr>
          </w:p>
        </w:tc>
        <w:tc>
          <w:tcPr>
            <w:tcW w:w="567" w:type="dxa"/>
            <w:vAlign w:val="center"/>
          </w:tcPr>
          <w:p w14:paraId="65684689" w14:textId="77777777" w:rsidR="002435CD" w:rsidRPr="00EA4C9B" w:rsidRDefault="002435CD" w:rsidP="008B3A2E">
            <w:pPr>
              <w:pStyle w:val="Table"/>
            </w:pPr>
          </w:p>
        </w:tc>
        <w:tc>
          <w:tcPr>
            <w:tcW w:w="567" w:type="dxa"/>
            <w:vAlign w:val="center"/>
          </w:tcPr>
          <w:p w14:paraId="6C66DCCB" w14:textId="77777777" w:rsidR="002435CD" w:rsidRPr="00EA4C9B" w:rsidRDefault="002435CD" w:rsidP="008B3A2E">
            <w:pPr>
              <w:pStyle w:val="Table"/>
            </w:pPr>
          </w:p>
        </w:tc>
        <w:tc>
          <w:tcPr>
            <w:tcW w:w="567" w:type="dxa"/>
            <w:vAlign w:val="center"/>
          </w:tcPr>
          <w:p w14:paraId="41314E95" w14:textId="77777777" w:rsidR="002435CD" w:rsidRPr="00EA4C9B" w:rsidRDefault="002435CD" w:rsidP="008B3A2E">
            <w:pPr>
              <w:pStyle w:val="Table"/>
            </w:pPr>
            <w:r w:rsidRPr="00EA4C9B">
              <w:t>X</w:t>
            </w:r>
          </w:p>
        </w:tc>
        <w:tc>
          <w:tcPr>
            <w:tcW w:w="567" w:type="dxa"/>
            <w:vAlign w:val="center"/>
          </w:tcPr>
          <w:p w14:paraId="1BA0871E" w14:textId="77777777" w:rsidR="002435CD" w:rsidRPr="00EA4C9B" w:rsidRDefault="002435CD" w:rsidP="008B3A2E">
            <w:pPr>
              <w:pStyle w:val="Table"/>
            </w:pPr>
          </w:p>
        </w:tc>
        <w:tc>
          <w:tcPr>
            <w:tcW w:w="567" w:type="dxa"/>
            <w:vAlign w:val="center"/>
          </w:tcPr>
          <w:p w14:paraId="786C4D55" w14:textId="77777777" w:rsidR="002435CD" w:rsidRPr="00EA4C9B" w:rsidRDefault="002435CD" w:rsidP="008B3A2E">
            <w:pPr>
              <w:pStyle w:val="Table"/>
            </w:pPr>
          </w:p>
        </w:tc>
        <w:tc>
          <w:tcPr>
            <w:tcW w:w="567" w:type="dxa"/>
            <w:vAlign w:val="center"/>
          </w:tcPr>
          <w:p w14:paraId="6DDFA1FF" w14:textId="77777777" w:rsidR="002435CD" w:rsidRPr="00EA4C9B" w:rsidRDefault="002435CD" w:rsidP="008B3A2E">
            <w:pPr>
              <w:pStyle w:val="Table"/>
            </w:pPr>
          </w:p>
        </w:tc>
        <w:tc>
          <w:tcPr>
            <w:tcW w:w="567" w:type="dxa"/>
            <w:vAlign w:val="center"/>
          </w:tcPr>
          <w:p w14:paraId="3756B809" w14:textId="77777777" w:rsidR="002435CD" w:rsidRPr="00EA4C9B" w:rsidRDefault="002435CD" w:rsidP="008B3A2E">
            <w:pPr>
              <w:pStyle w:val="Table"/>
            </w:pPr>
          </w:p>
        </w:tc>
        <w:tc>
          <w:tcPr>
            <w:tcW w:w="567" w:type="dxa"/>
            <w:vAlign w:val="center"/>
          </w:tcPr>
          <w:p w14:paraId="14DF099D" w14:textId="77777777" w:rsidR="002435CD" w:rsidRPr="00EA4C9B" w:rsidRDefault="002435CD" w:rsidP="008B3A2E">
            <w:pPr>
              <w:pStyle w:val="Table"/>
            </w:pPr>
          </w:p>
        </w:tc>
        <w:tc>
          <w:tcPr>
            <w:tcW w:w="567" w:type="dxa"/>
            <w:vAlign w:val="center"/>
          </w:tcPr>
          <w:p w14:paraId="4B80856E" w14:textId="77777777" w:rsidR="002435CD" w:rsidRPr="00EA4C9B" w:rsidRDefault="002435CD" w:rsidP="008B3A2E">
            <w:pPr>
              <w:pStyle w:val="Table"/>
            </w:pPr>
          </w:p>
        </w:tc>
        <w:tc>
          <w:tcPr>
            <w:tcW w:w="567" w:type="dxa"/>
            <w:vAlign w:val="center"/>
          </w:tcPr>
          <w:p w14:paraId="1C8BAC0C" w14:textId="77777777" w:rsidR="002435CD" w:rsidRPr="00EA4C9B" w:rsidRDefault="002435CD" w:rsidP="008B3A2E">
            <w:pPr>
              <w:pStyle w:val="Table"/>
            </w:pPr>
          </w:p>
        </w:tc>
        <w:tc>
          <w:tcPr>
            <w:tcW w:w="567" w:type="dxa"/>
            <w:vAlign w:val="center"/>
          </w:tcPr>
          <w:p w14:paraId="35540F18" w14:textId="77777777" w:rsidR="002435CD" w:rsidRPr="00EA4C9B" w:rsidRDefault="002435CD" w:rsidP="008B3A2E">
            <w:pPr>
              <w:pStyle w:val="Table"/>
            </w:pPr>
          </w:p>
        </w:tc>
      </w:tr>
      <w:tr w:rsidR="002435CD" w:rsidRPr="00EA4C9B" w14:paraId="11A6EDF7" w14:textId="77777777" w:rsidTr="00BA7936">
        <w:tc>
          <w:tcPr>
            <w:tcW w:w="4957" w:type="dxa"/>
            <w:vAlign w:val="center"/>
          </w:tcPr>
          <w:p w14:paraId="7D0C93CB" w14:textId="77777777" w:rsidR="002435CD" w:rsidRPr="00EA4C9B" w:rsidRDefault="002435CD" w:rsidP="008B3A2E">
            <w:pPr>
              <w:pStyle w:val="Table"/>
            </w:pPr>
            <w:r w:rsidRPr="00EA4C9B">
              <w:t>Waste disposal in landfills</w:t>
            </w:r>
          </w:p>
        </w:tc>
        <w:tc>
          <w:tcPr>
            <w:tcW w:w="567" w:type="dxa"/>
            <w:vAlign w:val="center"/>
          </w:tcPr>
          <w:p w14:paraId="668EDAE4" w14:textId="77777777" w:rsidR="002435CD" w:rsidRPr="00EA4C9B" w:rsidRDefault="002435CD" w:rsidP="008B3A2E">
            <w:pPr>
              <w:pStyle w:val="Table"/>
            </w:pPr>
          </w:p>
        </w:tc>
        <w:tc>
          <w:tcPr>
            <w:tcW w:w="567" w:type="dxa"/>
            <w:vAlign w:val="center"/>
          </w:tcPr>
          <w:p w14:paraId="11703852" w14:textId="77777777" w:rsidR="002435CD" w:rsidRPr="00EA4C9B" w:rsidRDefault="002435CD" w:rsidP="008B3A2E">
            <w:pPr>
              <w:pStyle w:val="Table"/>
            </w:pPr>
          </w:p>
        </w:tc>
        <w:tc>
          <w:tcPr>
            <w:tcW w:w="567" w:type="dxa"/>
            <w:vAlign w:val="center"/>
          </w:tcPr>
          <w:p w14:paraId="192D4CF3" w14:textId="77777777" w:rsidR="002435CD" w:rsidRPr="00EA4C9B" w:rsidRDefault="002435CD" w:rsidP="008B3A2E">
            <w:pPr>
              <w:pStyle w:val="Table"/>
            </w:pPr>
          </w:p>
        </w:tc>
        <w:tc>
          <w:tcPr>
            <w:tcW w:w="567" w:type="dxa"/>
            <w:vAlign w:val="center"/>
          </w:tcPr>
          <w:p w14:paraId="79EDD1BA" w14:textId="77777777" w:rsidR="002435CD" w:rsidRPr="00EA4C9B" w:rsidRDefault="002435CD" w:rsidP="008B3A2E">
            <w:pPr>
              <w:pStyle w:val="Table"/>
            </w:pPr>
          </w:p>
        </w:tc>
        <w:tc>
          <w:tcPr>
            <w:tcW w:w="567" w:type="dxa"/>
            <w:vAlign w:val="center"/>
          </w:tcPr>
          <w:p w14:paraId="3393C967" w14:textId="77777777" w:rsidR="002435CD" w:rsidRPr="00EA4C9B" w:rsidRDefault="002435CD" w:rsidP="008B3A2E">
            <w:pPr>
              <w:pStyle w:val="Table"/>
            </w:pPr>
          </w:p>
        </w:tc>
        <w:tc>
          <w:tcPr>
            <w:tcW w:w="567" w:type="dxa"/>
            <w:vAlign w:val="center"/>
          </w:tcPr>
          <w:p w14:paraId="47A23F6C" w14:textId="77777777" w:rsidR="002435CD" w:rsidRPr="00EA4C9B" w:rsidRDefault="002435CD" w:rsidP="008B3A2E">
            <w:pPr>
              <w:pStyle w:val="Table"/>
            </w:pPr>
          </w:p>
        </w:tc>
        <w:tc>
          <w:tcPr>
            <w:tcW w:w="567" w:type="dxa"/>
            <w:vAlign w:val="center"/>
          </w:tcPr>
          <w:p w14:paraId="3667E541" w14:textId="77777777" w:rsidR="002435CD" w:rsidRPr="00EA4C9B" w:rsidRDefault="002435CD" w:rsidP="008B3A2E">
            <w:pPr>
              <w:pStyle w:val="Table"/>
            </w:pPr>
          </w:p>
        </w:tc>
        <w:tc>
          <w:tcPr>
            <w:tcW w:w="567" w:type="dxa"/>
            <w:vAlign w:val="center"/>
          </w:tcPr>
          <w:p w14:paraId="4AD2D258" w14:textId="77777777" w:rsidR="002435CD" w:rsidRPr="00EA4C9B" w:rsidRDefault="002435CD" w:rsidP="008B3A2E">
            <w:pPr>
              <w:pStyle w:val="Table"/>
            </w:pPr>
          </w:p>
        </w:tc>
        <w:tc>
          <w:tcPr>
            <w:tcW w:w="567" w:type="dxa"/>
            <w:vAlign w:val="center"/>
          </w:tcPr>
          <w:p w14:paraId="14DC4ABF" w14:textId="77777777" w:rsidR="002435CD" w:rsidRPr="00EA4C9B" w:rsidRDefault="002435CD" w:rsidP="008B3A2E">
            <w:pPr>
              <w:pStyle w:val="Table"/>
            </w:pPr>
            <w:r w:rsidRPr="00EA4C9B">
              <w:t>X</w:t>
            </w:r>
          </w:p>
        </w:tc>
        <w:tc>
          <w:tcPr>
            <w:tcW w:w="567" w:type="dxa"/>
            <w:vAlign w:val="center"/>
          </w:tcPr>
          <w:p w14:paraId="622C2D85" w14:textId="77777777" w:rsidR="002435CD" w:rsidRPr="00EA4C9B" w:rsidRDefault="002435CD" w:rsidP="008B3A2E">
            <w:pPr>
              <w:pStyle w:val="Table"/>
            </w:pPr>
            <w:r w:rsidRPr="00EA4C9B">
              <w:t>X</w:t>
            </w:r>
          </w:p>
        </w:tc>
        <w:tc>
          <w:tcPr>
            <w:tcW w:w="567" w:type="dxa"/>
            <w:vAlign w:val="center"/>
          </w:tcPr>
          <w:p w14:paraId="53DB20A1" w14:textId="77777777" w:rsidR="002435CD" w:rsidRPr="00EA4C9B" w:rsidRDefault="002435CD" w:rsidP="008B3A2E">
            <w:pPr>
              <w:pStyle w:val="Table"/>
            </w:pPr>
          </w:p>
        </w:tc>
        <w:tc>
          <w:tcPr>
            <w:tcW w:w="567" w:type="dxa"/>
            <w:vAlign w:val="center"/>
          </w:tcPr>
          <w:p w14:paraId="187FAE1C" w14:textId="77777777" w:rsidR="002435CD" w:rsidRPr="00EA4C9B" w:rsidRDefault="002435CD" w:rsidP="008B3A2E">
            <w:pPr>
              <w:pStyle w:val="Table"/>
            </w:pPr>
          </w:p>
        </w:tc>
        <w:tc>
          <w:tcPr>
            <w:tcW w:w="567" w:type="dxa"/>
            <w:vAlign w:val="center"/>
          </w:tcPr>
          <w:p w14:paraId="7547380B" w14:textId="77777777" w:rsidR="002435CD" w:rsidRPr="00EA4C9B" w:rsidRDefault="002435CD" w:rsidP="008B3A2E">
            <w:pPr>
              <w:pStyle w:val="Table"/>
            </w:pPr>
          </w:p>
        </w:tc>
        <w:tc>
          <w:tcPr>
            <w:tcW w:w="567" w:type="dxa"/>
            <w:vAlign w:val="center"/>
          </w:tcPr>
          <w:p w14:paraId="483DEFF6" w14:textId="77777777" w:rsidR="002435CD" w:rsidRPr="00EA4C9B" w:rsidRDefault="002435CD" w:rsidP="008B3A2E">
            <w:pPr>
              <w:pStyle w:val="Table"/>
            </w:pPr>
          </w:p>
        </w:tc>
        <w:tc>
          <w:tcPr>
            <w:tcW w:w="567" w:type="dxa"/>
            <w:vAlign w:val="center"/>
          </w:tcPr>
          <w:p w14:paraId="0B2B94D9" w14:textId="77777777" w:rsidR="002435CD" w:rsidRPr="00EA4C9B" w:rsidRDefault="002435CD" w:rsidP="008B3A2E">
            <w:pPr>
              <w:pStyle w:val="Table"/>
            </w:pPr>
          </w:p>
        </w:tc>
        <w:tc>
          <w:tcPr>
            <w:tcW w:w="567" w:type="dxa"/>
            <w:vAlign w:val="center"/>
          </w:tcPr>
          <w:p w14:paraId="21FA1290" w14:textId="77777777" w:rsidR="002435CD" w:rsidRPr="00EA4C9B" w:rsidRDefault="002435CD" w:rsidP="008B3A2E">
            <w:pPr>
              <w:pStyle w:val="Table"/>
            </w:pPr>
          </w:p>
        </w:tc>
      </w:tr>
      <w:tr w:rsidR="002435CD" w:rsidRPr="00EA4C9B" w14:paraId="34EB86B6" w14:textId="77777777" w:rsidTr="00BA7936">
        <w:tc>
          <w:tcPr>
            <w:tcW w:w="4957" w:type="dxa"/>
            <w:vAlign w:val="center"/>
          </w:tcPr>
          <w:p w14:paraId="4C03D36D" w14:textId="77777777" w:rsidR="002435CD" w:rsidRPr="00EA4C9B" w:rsidRDefault="002435CD" w:rsidP="008B3A2E">
            <w:pPr>
              <w:pStyle w:val="Table"/>
            </w:pPr>
            <w:r w:rsidRPr="00EA4C9B">
              <w:t>Municipal waste disposal</w:t>
            </w:r>
          </w:p>
        </w:tc>
        <w:tc>
          <w:tcPr>
            <w:tcW w:w="567" w:type="dxa"/>
            <w:vAlign w:val="center"/>
          </w:tcPr>
          <w:p w14:paraId="49D2ED5D" w14:textId="77777777" w:rsidR="002435CD" w:rsidRPr="00EA4C9B" w:rsidRDefault="002435CD" w:rsidP="008B3A2E">
            <w:pPr>
              <w:pStyle w:val="Table"/>
            </w:pPr>
          </w:p>
        </w:tc>
        <w:tc>
          <w:tcPr>
            <w:tcW w:w="567" w:type="dxa"/>
            <w:vAlign w:val="center"/>
          </w:tcPr>
          <w:p w14:paraId="3BE8F0C9" w14:textId="77777777" w:rsidR="002435CD" w:rsidRPr="00EA4C9B" w:rsidRDefault="002435CD" w:rsidP="008B3A2E">
            <w:pPr>
              <w:pStyle w:val="Table"/>
            </w:pPr>
          </w:p>
        </w:tc>
        <w:tc>
          <w:tcPr>
            <w:tcW w:w="567" w:type="dxa"/>
            <w:vAlign w:val="center"/>
          </w:tcPr>
          <w:p w14:paraId="726A2D5A" w14:textId="77777777" w:rsidR="002435CD" w:rsidRPr="00EA4C9B" w:rsidRDefault="002435CD" w:rsidP="008B3A2E">
            <w:pPr>
              <w:pStyle w:val="Table"/>
            </w:pPr>
          </w:p>
        </w:tc>
        <w:tc>
          <w:tcPr>
            <w:tcW w:w="567" w:type="dxa"/>
            <w:vAlign w:val="center"/>
          </w:tcPr>
          <w:p w14:paraId="6E5AC9D5" w14:textId="77777777" w:rsidR="002435CD" w:rsidRPr="00EA4C9B" w:rsidRDefault="002435CD" w:rsidP="008B3A2E">
            <w:pPr>
              <w:pStyle w:val="Table"/>
            </w:pPr>
          </w:p>
        </w:tc>
        <w:tc>
          <w:tcPr>
            <w:tcW w:w="567" w:type="dxa"/>
            <w:vAlign w:val="center"/>
          </w:tcPr>
          <w:p w14:paraId="2BFDDF0D" w14:textId="77777777" w:rsidR="002435CD" w:rsidRPr="00EA4C9B" w:rsidRDefault="002435CD" w:rsidP="008B3A2E">
            <w:pPr>
              <w:pStyle w:val="Table"/>
            </w:pPr>
          </w:p>
        </w:tc>
        <w:tc>
          <w:tcPr>
            <w:tcW w:w="567" w:type="dxa"/>
            <w:vAlign w:val="center"/>
          </w:tcPr>
          <w:p w14:paraId="4562B423" w14:textId="77777777" w:rsidR="002435CD" w:rsidRPr="00EA4C9B" w:rsidRDefault="002435CD" w:rsidP="008B3A2E">
            <w:pPr>
              <w:pStyle w:val="Table"/>
            </w:pPr>
            <w:r w:rsidRPr="00EA4C9B">
              <w:t>X</w:t>
            </w:r>
          </w:p>
        </w:tc>
        <w:tc>
          <w:tcPr>
            <w:tcW w:w="567" w:type="dxa"/>
            <w:vAlign w:val="center"/>
          </w:tcPr>
          <w:p w14:paraId="76A58851" w14:textId="77777777" w:rsidR="002435CD" w:rsidRPr="00EA4C9B" w:rsidRDefault="002435CD" w:rsidP="008B3A2E">
            <w:pPr>
              <w:pStyle w:val="Table"/>
            </w:pPr>
          </w:p>
        </w:tc>
        <w:tc>
          <w:tcPr>
            <w:tcW w:w="567" w:type="dxa"/>
            <w:vAlign w:val="center"/>
          </w:tcPr>
          <w:p w14:paraId="476B70F4" w14:textId="77777777" w:rsidR="002435CD" w:rsidRPr="00EA4C9B" w:rsidRDefault="002435CD" w:rsidP="008B3A2E">
            <w:pPr>
              <w:pStyle w:val="Table"/>
            </w:pPr>
            <w:r w:rsidRPr="00EA4C9B">
              <w:t>X</w:t>
            </w:r>
          </w:p>
        </w:tc>
        <w:tc>
          <w:tcPr>
            <w:tcW w:w="567" w:type="dxa"/>
            <w:vAlign w:val="center"/>
          </w:tcPr>
          <w:p w14:paraId="7FD91F46" w14:textId="77777777" w:rsidR="002435CD" w:rsidRPr="00EA4C9B" w:rsidRDefault="002435CD" w:rsidP="008B3A2E">
            <w:pPr>
              <w:pStyle w:val="Table"/>
            </w:pPr>
          </w:p>
        </w:tc>
        <w:tc>
          <w:tcPr>
            <w:tcW w:w="567" w:type="dxa"/>
            <w:vAlign w:val="center"/>
          </w:tcPr>
          <w:p w14:paraId="4791AA14" w14:textId="77777777" w:rsidR="002435CD" w:rsidRPr="00EA4C9B" w:rsidRDefault="002435CD" w:rsidP="008B3A2E">
            <w:pPr>
              <w:pStyle w:val="Table"/>
            </w:pPr>
          </w:p>
        </w:tc>
        <w:tc>
          <w:tcPr>
            <w:tcW w:w="567" w:type="dxa"/>
            <w:vAlign w:val="center"/>
          </w:tcPr>
          <w:p w14:paraId="3A369F73" w14:textId="77777777" w:rsidR="002435CD" w:rsidRPr="00EA4C9B" w:rsidRDefault="002435CD" w:rsidP="008B3A2E">
            <w:pPr>
              <w:pStyle w:val="Table"/>
            </w:pPr>
          </w:p>
        </w:tc>
        <w:tc>
          <w:tcPr>
            <w:tcW w:w="567" w:type="dxa"/>
            <w:vAlign w:val="center"/>
          </w:tcPr>
          <w:p w14:paraId="5C8FE4FA" w14:textId="77777777" w:rsidR="002435CD" w:rsidRPr="00EA4C9B" w:rsidRDefault="002435CD" w:rsidP="008B3A2E">
            <w:pPr>
              <w:pStyle w:val="Table"/>
            </w:pPr>
          </w:p>
        </w:tc>
        <w:tc>
          <w:tcPr>
            <w:tcW w:w="567" w:type="dxa"/>
            <w:vAlign w:val="center"/>
          </w:tcPr>
          <w:p w14:paraId="175041BC" w14:textId="77777777" w:rsidR="002435CD" w:rsidRPr="00EA4C9B" w:rsidRDefault="002435CD" w:rsidP="008B3A2E">
            <w:pPr>
              <w:pStyle w:val="Table"/>
            </w:pPr>
          </w:p>
        </w:tc>
        <w:tc>
          <w:tcPr>
            <w:tcW w:w="567" w:type="dxa"/>
            <w:vAlign w:val="center"/>
          </w:tcPr>
          <w:p w14:paraId="7CF686E2" w14:textId="77777777" w:rsidR="002435CD" w:rsidRPr="00EA4C9B" w:rsidRDefault="002435CD" w:rsidP="008B3A2E">
            <w:pPr>
              <w:pStyle w:val="Table"/>
            </w:pPr>
          </w:p>
        </w:tc>
        <w:tc>
          <w:tcPr>
            <w:tcW w:w="567" w:type="dxa"/>
            <w:vAlign w:val="center"/>
          </w:tcPr>
          <w:p w14:paraId="18A19825" w14:textId="77777777" w:rsidR="002435CD" w:rsidRPr="00EA4C9B" w:rsidRDefault="002435CD" w:rsidP="008B3A2E">
            <w:pPr>
              <w:pStyle w:val="Table"/>
            </w:pPr>
          </w:p>
        </w:tc>
        <w:tc>
          <w:tcPr>
            <w:tcW w:w="567" w:type="dxa"/>
            <w:vAlign w:val="center"/>
          </w:tcPr>
          <w:p w14:paraId="0A5689A7" w14:textId="77777777" w:rsidR="002435CD" w:rsidRPr="00EA4C9B" w:rsidRDefault="002435CD" w:rsidP="008B3A2E">
            <w:pPr>
              <w:pStyle w:val="Table"/>
            </w:pPr>
          </w:p>
        </w:tc>
      </w:tr>
      <w:tr w:rsidR="002435CD" w:rsidRPr="00EA4C9B" w14:paraId="56FC78E1" w14:textId="77777777" w:rsidTr="00BA7936">
        <w:tc>
          <w:tcPr>
            <w:tcW w:w="14029" w:type="dxa"/>
            <w:gridSpan w:val="17"/>
            <w:shd w:val="clear" w:color="auto" w:fill="C6D9F1" w:themeFill="text2" w:themeFillTint="33"/>
            <w:vAlign w:val="center"/>
          </w:tcPr>
          <w:p w14:paraId="4A9BD30D" w14:textId="77777777" w:rsidR="002435CD" w:rsidRPr="008B3A2E" w:rsidRDefault="002435CD" w:rsidP="008B3A2E">
            <w:pPr>
              <w:pStyle w:val="Table"/>
              <w:jc w:val="center"/>
              <w:rPr>
                <w:b/>
              </w:rPr>
            </w:pPr>
            <w:r w:rsidRPr="008B3A2E">
              <w:rPr>
                <w:b/>
              </w:rPr>
              <w:t>Air</w:t>
            </w:r>
          </w:p>
        </w:tc>
      </w:tr>
      <w:tr w:rsidR="002435CD" w:rsidRPr="00EA4C9B" w14:paraId="7813B1B6" w14:textId="77777777" w:rsidTr="00BA7936">
        <w:tc>
          <w:tcPr>
            <w:tcW w:w="4957" w:type="dxa"/>
            <w:vAlign w:val="center"/>
          </w:tcPr>
          <w:p w14:paraId="2EB643CE" w14:textId="77777777" w:rsidR="002435CD" w:rsidRPr="00EA4C9B" w:rsidRDefault="002435CD" w:rsidP="008B3A2E">
            <w:pPr>
              <w:pStyle w:val="Table"/>
            </w:pPr>
            <w:r w:rsidRPr="00EA4C9B">
              <w:t>Air pollution</w:t>
            </w:r>
          </w:p>
        </w:tc>
        <w:tc>
          <w:tcPr>
            <w:tcW w:w="567" w:type="dxa"/>
            <w:vAlign w:val="center"/>
          </w:tcPr>
          <w:p w14:paraId="2153F72D" w14:textId="77777777" w:rsidR="002435CD" w:rsidRPr="00EA4C9B" w:rsidRDefault="002435CD" w:rsidP="008B3A2E">
            <w:pPr>
              <w:pStyle w:val="Table"/>
            </w:pPr>
            <w:r w:rsidRPr="00EA4C9B">
              <w:t>X</w:t>
            </w:r>
          </w:p>
        </w:tc>
        <w:tc>
          <w:tcPr>
            <w:tcW w:w="567" w:type="dxa"/>
            <w:vAlign w:val="center"/>
          </w:tcPr>
          <w:p w14:paraId="2D3E3BCF" w14:textId="77777777" w:rsidR="002435CD" w:rsidRPr="00EA4C9B" w:rsidRDefault="002435CD" w:rsidP="008B3A2E">
            <w:pPr>
              <w:pStyle w:val="Table"/>
            </w:pPr>
            <w:r w:rsidRPr="00EA4C9B">
              <w:t>X</w:t>
            </w:r>
          </w:p>
        </w:tc>
        <w:tc>
          <w:tcPr>
            <w:tcW w:w="567" w:type="dxa"/>
            <w:vAlign w:val="center"/>
          </w:tcPr>
          <w:p w14:paraId="47895275" w14:textId="77777777" w:rsidR="002435CD" w:rsidRPr="00EA4C9B" w:rsidRDefault="002435CD" w:rsidP="008B3A2E">
            <w:pPr>
              <w:pStyle w:val="Table"/>
            </w:pPr>
          </w:p>
        </w:tc>
        <w:tc>
          <w:tcPr>
            <w:tcW w:w="567" w:type="dxa"/>
            <w:vAlign w:val="center"/>
          </w:tcPr>
          <w:p w14:paraId="7A2D3FAC" w14:textId="77777777" w:rsidR="002435CD" w:rsidRPr="00EA4C9B" w:rsidRDefault="002435CD" w:rsidP="008B3A2E">
            <w:pPr>
              <w:pStyle w:val="Table"/>
            </w:pPr>
          </w:p>
        </w:tc>
        <w:tc>
          <w:tcPr>
            <w:tcW w:w="567" w:type="dxa"/>
            <w:vAlign w:val="center"/>
          </w:tcPr>
          <w:p w14:paraId="34F09C47" w14:textId="77777777" w:rsidR="002435CD" w:rsidRPr="00EA4C9B" w:rsidRDefault="002435CD" w:rsidP="008B3A2E">
            <w:pPr>
              <w:pStyle w:val="Table"/>
            </w:pPr>
          </w:p>
        </w:tc>
        <w:tc>
          <w:tcPr>
            <w:tcW w:w="567" w:type="dxa"/>
            <w:vAlign w:val="center"/>
          </w:tcPr>
          <w:p w14:paraId="0DA80DC3" w14:textId="77777777" w:rsidR="002435CD" w:rsidRPr="00EA4C9B" w:rsidRDefault="002435CD" w:rsidP="008B3A2E">
            <w:pPr>
              <w:pStyle w:val="Table"/>
            </w:pPr>
          </w:p>
        </w:tc>
        <w:tc>
          <w:tcPr>
            <w:tcW w:w="567" w:type="dxa"/>
            <w:vAlign w:val="center"/>
          </w:tcPr>
          <w:p w14:paraId="0324ADA3" w14:textId="77777777" w:rsidR="002435CD" w:rsidRPr="00EA4C9B" w:rsidRDefault="002435CD" w:rsidP="008B3A2E">
            <w:pPr>
              <w:pStyle w:val="Table"/>
            </w:pPr>
            <w:r w:rsidRPr="00EA4C9B">
              <w:t>X</w:t>
            </w:r>
          </w:p>
        </w:tc>
        <w:tc>
          <w:tcPr>
            <w:tcW w:w="567" w:type="dxa"/>
            <w:vAlign w:val="center"/>
          </w:tcPr>
          <w:p w14:paraId="3125F7BE" w14:textId="77777777" w:rsidR="002435CD" w:rsidRPr="00EA4C9B" w:rsidRDefault="002435CD" w:rsidP="008B3A2E">
            <w:pPr>
              <w:pStyle w:val="Table"/>
            </w:pPr>
            <w:r w:rsidRPr="00EA4C9B">
              <w:t>X</w:t>
            </w:r>
          </w:p>
        </w:tc>
        <w:tc>
          <w:tcPr>
            <w:tcW w:w="567" w:type="dxa"/>
            <w:vAlign w:val="center"/>
          </w:tcPr>
          <w:p w14:paraId="189E1057" w14:textId="77777777" w:rsidR="002435CD" w:rsidRPr="00EA4C9B" w:rsidRDefault="002435CD" w:rsidP="008B3A2E">
            <w:pPr>
              <w:pStyle w:val="Table"/>
            </w:pPr>
          </w:p>
        </w:tc>
        <w:tc>
          <w:tcPr>
            <w:tcW w:w="567" w:type="dxa"/>
            <w:vAlign w:val="center"/>
          </w:tcPr>
          <w:p w14:paraId="02E59BB2" w14:textId="77777777" w:rsidR="002435CD" w:rsidRPr="00EA4C9B" w:rsidRDefault="002435CD" w:rsidP="008B3A2E">
            <w:pPr>
              <w:pStyle w:val="Table"/>
            </w:pPr>
          </w:p>
        </w:tc>
        <w:tc>
          <w:tcPr>
            <w:tcW w:w="567" w:type="dxa"/>
            <w:vAlign w:val="center"/>
          </w:tcPr>
          <w:p w14:paraId="3D92B715" w14:textId="77777777" w:rsidR="002435CD" w:rsidRPr="00EA4C9B" w:rsidRDefault="002435CD" w:rsidP="008B3A2E">
            <w:pPr>
              <w:pStyle w:val="Table"/>
            </w:pPr>
            <w:r w:rsidRPr="00EA4C9B">
              <w:t>X</w:t>
            </w:r>
          </w:p>
        </w:tc>
        <w:tc>
          <w:tcPr>
            <w:tcW w:w="567" w:type="dxa"/>
            <w:vAlign w:val="center"/>
          </w:tcPr>
          <w:p w14:paraId="40867C0B" w14:textId="77777777" w:rsidR="002435CD" w:rsidRPr="00EA4C9B" w:rsidRDefault="002435CD" w:rsidP="008B3A2E">
            <w:pPr>
              <w:pStyle w:val="Table"/>
            </w:pPr>
          </w:p>
        </w:tc>
        <w:tc>
          <w:tcPr>
            <w:tcW w:w="567" w:type="dxa"/>
            <w:vAlign w:val="center"/>
          </w:tcPr>
          <w:p w14:paraId="0251938F" w14:textId="77777777" w:rsidR="002435CD" w:rsidRPr="00EA4C9B" w:rsidRDefault="002435CD" w:rsidP="008B3A2E">
            <w:pPr>
              <w:pStyle w:val="Table"/>
            </w:pPr>
          </w:p>
        </w:tc>
        <w:tc>
          <w:tcPr>
            <w:tcW w:w="567" w:type="dxa"/>
            <w:vAlign w:val="center"/>
          </w:tcPr>
          <w:p w14:paraId="0E967519" w14:textId="77777777" w:rsidR="002435CD" w:rsidRPr="00EA4C9B" w:rsidRDefault="002435CD" w:rsidP="008B3A2E">
            <w:pPr>
              <w:pStyle w:val="Table"/>
            </w:pPr>
          </w:p>
        </w:tc>
        <w:tc>
          <w:tcPr>
            <w:tcW w:w="567" w:type="dxa"/>
            <w:vAlign w:val="center"/>
          </w:tcPr>
          <w:p w14:paraId="3D16F0A3" w14:textId="77777777" w:rsidR="002435CD" w:rsidRPr="00EA4C9B" w:rsidRDefault="002435CD" w:rsidP="008B3A2E">
            <w:pPr>
              <w:pStyle w:val="Table"/>
            </w:pPr>
            <w:r w:rsidRPr="00EA4C9B">
              <w:t>X</w:t>
            </w:r>
          </w:p>
        </w:tc>
        <w:tc>
          <w:tcPr>
            <w:tcW w:w="567" w:type="dxa"/>
            <w:vAlign w:val="center"/>
          </w:tcPr>
          <w:p w14:paraId="341A82AB" w14:textId="77777777" w:rsidR="002435CD" w:rsidRPr="00EA4C9B" w:rsidRDefault="002435CD" w:rsidP="008B3A2E">
            <w:pPr>
              <w:pStyle w:val="Table"/>
            </w:pPr>
            <w:r w:rsidRPr="00EA4C9B">
              <w:t>X</w:t>
            </w:r>
          </w:p>
        </w:tc>
      </w:tr>
      <w:tr w:rsidR="002435CD" w:rsidRPr="00EA4C9B" w14:paraId="4F730E4D" w14:textId="77777777" w:rsidTr="00BA7936">
        <w:tc>
          <w:tcPr>
            <w:tcW w:w="14029" w:type="dxa"/>
            <w:gridSpan w:val="17"/>
            <w:shd w:val="clear" w:color="auto" w:fill="C6D9F1" w:themeFill="text2" w:themeFillTint="33"/>
            <w:vAlign w:val="center"/>
          </w:tcPr>
          <w:p w14:paraId="269579EC" w14:textId="77777777" w:rsidR="002435CD" w:rsidRPr="008B3A2E" w:rsidRDefault="002435CD" w:rsidP="008B3A2E">
            <w:pPr>
              <w:pStyle w:val="Table"/>
              <w:jc w:val="center"/>
              <w:rPr>
                <w:b/>
              </w:rPr>
            </w:pPr>
            <w:r w:rsidRPr="008B3A2E">
              <w:rPr>
                <w:b/>
              </w:rPr>
              <w:t>Land</w:t>
            </w:r>
          </w:p>
        </w:tc>
      </w:tr>
      <w:tr w:rsidR="002435CD" w:rsidRPr="00EA4C9B" w14:paraId="5B124368" w14:textId="77777777" w:rsidTr="00BA7936">
        <w:tc>
          <w:tcPr>
            <w:tcW w:w="4957" w:type="dxa"/>
            <w:vAlign w:val="center"/>
          </w:tcPr>
          <w:p w14:paraId="0BF88953" w14:textId="77777777" w:rsidR="002435CD" w:rsidRPr="00EA4C9B" w:rsidRDefault="002435CD" w:rsidP="008B3A2E">
            <w:pPr>
              <w:pStyle w:val="Table"/>
            </w:pPr>
            <w:r w:rsidRPr="00EA4C9B">
              <w:t>Facilities and activities affecting the environment</w:t>
            </w:r>
          </w:p>
        </w:tc>
        <w:tc>
          <w:tcPr>
            <w:tcW w:w="567" w:type="dxa"/>
            <w:vAlign w:val="center"/>
          </w:tcPr>
          <w:p w14:paraId="58B8F776" w14:textId="77777777" w:rsidR="002435CD" w:rsidRPr="00EA4C9B" w:rsidRDefault="002435CD" w:rsidP="008B3A2E">
            <w:pPr>
              <w:pStyle w:val="Table"/>
            </w:pPr>
          </w:p>
        </w:tc>
        <w:tc>
          <w:tcPr>
            <w:tcW w:w="567" w:type="dxa"/>
            <w:vAlign w:val="center"/>
          </w:tcPr>
          <w:p w14:paraId="4AFA608E" w14:textId="77777777" w:rsidR="002435CD" w:rsidRPr="00EA4C9B" w:rsidRDefault="002435CD" w:rsidP="008B3A2E">
            <w:pPr>
              <w:pStyle w:val="Table"/>
            </w:pPr>
          </w:p>
        </w:tc>
        <w:tc>
          <w:tcPr>
            <w:tcW w:w="567" w:type="dxa"/>
            <w:vAlign w:val="center"/>
          </w:tcPr>
          <w:p w14:paraId="0256F6A4" w14:textId="77777777" w:rsidR="002435CD" w:rsidRPr="00EA4C9B" w:rsidRDefault="002435CD" w:rsidP="008B3A2E">
            <w:pPr>
              <w:pStyle w:val="Table"/>
            </w:pPr>
            <w:r w:rsidRPr="00EA4C9B">
              <w:t>X</w:t>
            </w:r>
          </w:p>
        </w:tc>
        <w:tc>
          <w:tcPr>
            <w:tcW w:w="567" w:type="dxa"/>
            <w:vAlign w:val="center"/>
          </w:tcPr>
          <w:p w14:paraId="5D4096E4" w14:textId="77777777" w:rsidR="002435CD" w:rsidRPr="00EA4C9B" w:rsidRDefault="002435CD" w:rsidP="008B3A2E">
            <w:pPr>
              <w:pStyle w:val="Table"/>
            </w:pPr>
            <w:r w:rsidRPr="00EA4C9B">
              <w:t>X</w:t>
            </w:r>
          </w:p>
        </w:tc>
        <w:tc>
          <w:tcPr>
            <w:tcW w:w="567" w:type="dxa"/>
            <w:vAlign w:val="center"/>
          </w:tcPr>
          <w:p w14:paraId="11E99435" w14:textId="77777777" w:rsidR="002435CD" w:rsidRPr="00EA4C9B" w:rsidRDefault="002435CD" w:rsidP="008B3A2E">
            <w:pPr>
              <w:pStyle w:val="Table"/>
            </w:pPr>
            <w:r w:rsidRPr="00EA4C9B">
              <w:t>X</w:t>
            </w:r>
          </w:p>
        </w:tc>
        <w:tc>
          <w:tcPr>
            <w:tcW w:w="567" w:type="dxa"/>
            <w:vAlign w:val="center"/>
          </w:tcPr>
          <w:p w14:paraId="48E76489" w14:textId="77777777" w:rsidR="002435CD" w:rsidRPr="00EA4C9B" w:rsidRDefault="002435CD" w:rsidP="008B3A2E">
            <w:pPr>
              <w:pStyle w:val="Table"/>
            </w:pPr>
            <w:r w:rsidRPr="00EA4C9B">
              <w:t>X</w:t>
            </w:r>
          </w:p>
        </w:tc>
        <w:tc>
          <w:tcPr>
            <w:tcW w:w="567" w:type="dxa"/>
            <w:vAlign w:val="center"/>
          </w:tcPr>
          <w:p w14:paraId="7008A6D8" w14:textId="77777777" w:rsidR="002435CD" w:rsidRPr="00EA4C9B" w:rsidRDefault="002435CD" w:rsidP="008B3A2E">
            <w:pPr>
              <w:pStyle w:val="Table"/>
            </w:pPr>
            <w:r w:rsidRPr="00EA4C9B">
              <w:t>X</w:t>
            </w:r>
          </w:p>
        </w:tc>
        <w:tc>
          <w:tcPr>
            <w:tcW w:w="567" w:type="dxa"/>
            <w:vAlign w:val="center"/>
          </w:tcPr>
          <w:p w14:paraId="16F5ACD3" w14:textId="77777777" w:rsidR="002435CD" w:rsidRPr="00EA4C9B" w:rsidRDefault="002435CD" w:rsidP="008B3A2E">
            <w:pPr>
              <w:pStyle w:val="Table"/>
            </w:pPr>
            <w:r w:rsidRPr="00EA4C9B">
              <w:t>X</w:t>
            </w:r>
          </w:p>
        </w:tc>
        <w:tc>
          <w:tcPr>
            <w:tcW w:w="567" w:type="dxa"/>
            <w:vAlign w:val="center"/>
          </w:tcPr>
          <w:p w14:paraId="69F3D3F8" w14:textId="77777777" w:rsidR="002435CD" w:rsidRPr="00EA4C9B" w:rsidRDefault="002435CD" w:rsidP="008B3A2E">
            <w:pPr>
              <w:pStyle w:val="Table"/>
            </w:pPr>
            <w:r w:rsidRPr="00EA4C9B">
              <w:t>X</w:t>
            </w:r>
          </w:p>
        </w:tc>
        <w:tc>
          <w:tcPr>
            <w:tcW w:w="567" w:type="dxa"/>
            <w:vAlign w:val="center"/>
          </w:tcPr>
          <w:p w14:paraId="4A17CF93" w14:textId="77777777" w:rsidR="002435CD" w:rsidRPr="00EA4C9B" w:rsidRDefault="002435CD" w:rsidP="008B3A2E">
            <w:pPr>
              <w:pStyle w:val="Table"/>
            </w:pPr>
            <w:r w:rsidRPr="00EA4C9B">
              <w:t>X</w:t>
            </w:r>
          </w:p>
        </w:tc>
        <w:tc>
          <w:tcPr>
            <w:tcW w:w="567" w:type="dxa"/>
            <w:vAlign w:val="center"/>
          </w:tcPr>
          <w:p w14:paraId="0E830542" w14:textId="77777777" w:rsidR="002435CD" w:rsidRPr="00EA4C9B" w:rsidRDefault="002435CD" w:rsidP="008B3A2E">
            <w:pPr>
              <w:pStyle w:val="Table"/>
            </w:pPr>
          </w:p>
        </w:tc>
        <w:tc>
          <w:tcPr>
            <w:tcW w:w="567" w:type="dxa"/>
            <w:vAlign w:val="center"/>
          </w:tcPr>
          <w:p w14:paraId="536D7A0F" w14:textId="77777777" w:rsidR="002435CD" w:rsidRPr="00EA4C9B" w:rsidRDefault="002435CD" w:rsidP="008B3A2E">
            <w:pPr>
              <w:pStyle w:val="Table"/>
            </w:pPr>
          </w:p>
        </w:tc>
        <w:tc>
          <w:tcPr>
            <w:tcW w:w="567" w:type="dxa"/>
            <w:vAlign w:val="center"/>
          </w:tcPr>
          <w:p w14:paraId="29F07D6C" w14:textId="77777777" w:rsidR="002435CD" w:rsidRPr="00EA4C9B" w:rsidRDefault="002435CD" w:rsidP="008B3A2E">
            <w:pPr>
              <w:pStyle w:val="Table"/>
            </w:pPr>
            <w:r w:rsidRPr="00EA4C9B">
              <w:t>X</w:t>
            </w:r>
          </w:p>
        </w:tc>
        <w:tc>
          <w:tcPr>
            <w:tcW w:w="567" w:type="dxa"/>
            <w:vAlign w:val="center"/>
          </w:tcPr>
          <w:p w14:paraId="0A086843" w14:textId="77777777" w:rsidR="002435CD" w:rsidRPr="00EA4C9B" w:rsidRDefault="002435CD" w:rsidP="008B3A2E">
            <w:pPr>
              <w:pStyle w:val="Table"/>
            </w:pPr>
          </w:p>
        </w:tc>
        <w:tc>
          <w:tcPr>
            <w:tcW w:w="567" w:type="dxa"/>
            <w:vAlign w:val="center"/>
          </w:tcPr>
          <w:p w14:paraId="7F948583" w14:textId="77777777" w:rsidR="002435CD" w:rsidRPr="00EA4C9B" w:rsidRDefault="002435CD" w:rsidP="008B3A2E">
            <w:pPr>
              <w:pStyle w:val="Table"/>
            </w:pPr>
          </w:p>
        </w:tc>
        <w:tc>
          <w:tcPr>
            <w:tcW w:w="567" w:type="dxa"/>
            <w:vAlign w:val="center"/>
          </w:tcPr>
          <w:p w14:paraId="7FD2F51D" w14:textId="77777777" w:rsidR="002435CD" w:rsidRPr="00EA4C9B" w:rsidRDefault="002435CD" w:rsidP="008B3A2E">
            <w:pPr>
              <w:pStyle w:val="Table"/>
            </w:pPr>
            <w:r w:rsidRPr="00EA4C9B">
              <w:t>X</w:t>
            </w:r>
          </w:p>
        </w:tc>
      </w:tr>
      <w:tr w:rsidR="002435CD" w:rsidRPr="00EA4C9B" w14:paraId="1B4BA688" w14:textId="77777777" w:rsidTr="00BA7936">
        <w:tc>
          <w:tcPr>
            <w:tcW w:w="4957" w:type="dxa"/>
            <w:vAlign w:val="center"/>
          </w:tcPr>
          <w:p w14:paraId="66B0DFF2" w14:textId="77777777" w:rsidR="002435CD" w:rsidRPr="00EA4C9B" w:rsidRDefault="002435CD" w:rsidP="008B3A2E">
            <w:pPr>
              <w:pStyle w:val="Table"/>
            </w:pPr>
            <w:r w:rsidRPr="00EA4C9B">
              <w:t>Water in reservoirs</w:t>
            </w:r>
          </w:p>
        </w:tc>
        <w:tc>
          <w:tcPr>
            <w:tcW w:w="567" w:type="dxa"/>
            <w:vAlign w:val="center"/>
          </w:tcPr>
          <w:p w14:paraId="2A8C27B9" w14:textId="77777777" w:rsidR="002435CD" w:rsidRPr="00EA4C9B" w:rsidRDefault="002435CD" w:rsidP="008B3A2E">
            <w:pPr>
              <w:pStyle w:val="Table"/>
            </w:pPr>
          </w:p>
        </w:tc>
        <w:tc>
          <w:tcPr>
            <w:tcW w:w="567" w:type="dxa"/>
            <w:vAlign w:val="center"/>
          </w:tcPr>
          <w:p w14:paraId="5DDCB1C2" w14:textId="77777777" w:rsidR="002435CD" w:rsidRPr="00EA4C9B" w:rsidRDefault="002435CD" w:rsidP="008B3A2E">
            <w:pPr>
              <w:pStyle w:val="Table"/>
            </w:pPr>
          </w:p>
        </w:tc>
        <w:tc>
          <w:tcPr>
            <w:tcW w:w="567" w:type="dxa"/>
            <w:vAlign w:val="center"/>
          </w:tcPr>
          <w:p w14:paraId="769C393D" w14:textId="77777777" w:rsidR="002435CD" w:rsidRPr="00EA4C9B" w:rsidRDefault="002435CD" w:rsidP="008B3A2E">
            <w:pPr>
              <w:pStyle w:val="Table"/>
            </w:pPr>
          </w:p>
        </w:tc>
        <w:tc>
          <w:tcPr>
            <w:tcW w:w="567" w:type="dxa"/>
            <w:vAlign w:val="center"/>
          </w:tcPr>
          <w:p w14:paraId="624CCA3A" w14:textId="77777777" w:rsidR="002435CD" w:rsidRPr="00EA4C9B" w:rsidRDefault="002435CD" w:rsidP="008B3A2E">
            <w:pPr>
              <w:pStyle w:val="Table"/>
            </w:pPr>
          </w:p>
        </w:tc>
        <w:tc>
          <w:tcPr>
            <w:tcW w:w="567" w:type="dxa"/>
            <w:vAlign w:val="center"/>
          </w:tcPr>
          <w:p w14:paraId="36F6F0A8" w14:textId="77777777" w:rsidR="002435CD" w:rsidRPr="00EA4C9B" w:rsidRDefault="002435CD" w:rsidP="008B3A2E">
            <w:pPr>
              <w:pStyle w:val="Table"/>
            </w:pPr>
            <w:r w:rsidRPr="00EA4C9B">
              <w:t>X</w:t>
            </w:r>
          </w:p>
        </w:tc>
        <w:tc>
          <w:tcPr>
            <w:tcW w:w="567" w:type="dxa"/>
            <w:vAlign w:val="center"/>
          </w:tcPr>
          <w:p w14:paraId="3A7B31DA" w14:textId="77777777" w:rsidR="002435CD" w:rsidRPr="00EA4C9B" w:rsidRDefault="002435CD" w:rsidP="008B3A2E">
            <w:pPr>
              <w:pStyle w:val="Table"/>
            </w:pPr>
          </w:p>
        </w:tc>
        <w:tc>
          <w:tcPr>
            <w:tcW w:w="567" w:type="dxa"/>
            <w:vAlign w:val="center"/>
          </w:tcPr>
          <w:p w14:paraId="2334435A" w14:textId="77777777" w:rsidR="002435CD" w:rsidRPr="00EA4C9B" w:rsidRDefault="002435CD" w:rsidP="008B3A2E">
            <w:pPr>
              <w:pStyle w:val="Table"/>
            </w:pPr>
          </w:p>
        </w:tc>
        <w:tc>
          <w:tcPr>
            <w:tcW w:w="567" w:type="dxa"/>
            <w:vAlign w:val="center"/>
          </w:tcPr>
          <w:p w14:paraId="27088E4B" w14:textId="77777777" w:rsidR="002435CD" w:rsidRPr="00EA4C9B" w:rsidRDefault="002435CD" w:rsidP="008B3A2E">
            <w:pPr>
              <w:pStyle w:val="Table"/>
            </w:pPr>
          </w:p>
        </w:tc>
        <w:tc>
          <w:tcPr>
            <w:tcW w:w="567" w:type="dxa"/>
            <w:vAlign w:val="center"/>
          </w:tcPr>
          <w:p w14:paraId="0E478860" w14:textId="77777777" w:rsidR="002435CD" w:rsidRPr="00EA4C9B" w:rsidRDefault="002435CD" w:rsidP="008B3A2E">
            <w:pPr>
              <w:pStyle w:val="Table"/>
            </w:pPr>
          </w:p>
        </w:tc>
        <w:tc>
          <w:tcPr>
            <w:tcW w:w="567" w:type="dxa"/>
            <w:vAlign w:val="center"/>
          </w:tcPr>
          <w:p w14:paraId="69477608" w14:textId="77777777" w:rsidR="002435CD" w:rsidRPr="00EA4C9B" w:rsidRDefault="002435CD" w:rsidP="008B3A2E">
            <w:pPr>
              <w:pStyle w:val="Table"/>
            </w:pPr>
          </w:p>
        </w:tc>
        <w:tc>
          <w:tcPr>
            <w:tcW w:w="567" w:type="dxa"/>
            <w:vAlign w:val="center"/>
          </w:tcPr>
          <w:p w14:paraId="758802B8" w14:textId="77777777" w:rsidR="002435CD" w:rsidRPr="00EA4C9B" w:rsidRDefault="002435CD" w:rsidP="008B3A2E">
            <w:pPr>
              <w:pStyle w:val="Table"/>
            </w:pPr>
            <w:r w:rsidRPr="00EA4C9B">
              <w:t>X</w:t>
            </w:r>
          </w:p>
        </w:tc>
        <w:tc>
          <w:tcPr>
            <w:tcW w:w="567" w:type="dxa"/>
            <w:vAlign w:val="center"/>
          </w:tcPr>
          <w:p w14:paraId="7DDD49AC" w14:textId="77777777" w:rsidR="002435CD" w:rsidRPr="00EA4C9B" w:rsidRDefault="002435CD" w:rsidP="008B3A2E">
            <w:pPr>
              <w:pStyle w:val="Table"/>
            </w:pPr>
          </w:p>
        </w:tc>
        <w:tc>
          <w:tcPr>
            <w:tcW w:w="567" w:type="dxa"/>
            <w:vAlign w:val="center"/>
          </w:tcPr>
          <w:p w14:paraId="2D603CDA" w14:textId="77777777" w:rsidR="002435CD" w:rsidRPr="00EA4C9B" w:rsidRDefault="002435CD" w:rsidP="008B3A2E">
            <w:pPr>
              <w:pStyle w:val="Table"/>
            </w:pPr>
          </w:p>
        </w:tc>
        <w:tc>
          <w:tcPr>
            <w:tcW w:w="567" w:type="dxa"/>
            <w:vAlign w:val="center"/>
          </w:tcPr>
          <w:p w14:paraId="600B4A4A" w14:textId="77777777" w:rsidR="002435CD" w:rsidRPr="00EA4C9B" w:rsidRDefault="002435CD" w:rsidP="008B3A2E">
            <w:pPr>
              <w:pStyle w:val="Table"/>
            </w:pPr>
          </w:p>
        </w:tc>
        <w:tc>
          <w:tcPr>
            <w:tcW w:w="567" w:type="dxa"/>
            <w:vAlign w:val="center"/>
          </w:tcPr>
          <w:p w14:paraId="2C2DE395" w14:textId="77777777" w:rsidR="002435CD" w:rsidRPr="00EA4C9B" w:rsidRDefault="002435CD" w:rsidP="008B3A2E">
            <w:pPr>
              <w:pStyle w:val="Table"/>
            </w:pPr>
          </w:p>
        </w:tc>
        <w:tc>
          <w:tcPr>
            <w:tcW w:w="567" w:type="dxa"/>
            <w:vAlign w:val="center"/>
          </w:tcPr>
          <w:p w14:paraId="778097C7" w14:textId="77777777" w:rsidR="002435CD" w:rsidRPr="00EA4C9B" w:rsidRDefault="002435CD" w:rsidP="008B3A2E">
            <w:pPr>
              <w:pStyle w:val="Table"/>
            </w:pPr>
          </w:p>
        </w:tc>
      </w:tr>
      <w:tr w:rsidR="002435CD" w:rsidRPr="00EA4C9B" w14:paraId="540BFC91" w14:textId="77777777" w:rsidTr="00BA7936">
        <w:tc>
          <w:tcPr>
            <w:tcW w:w="4957" w:type="dxa"/>
            <w:vAlign w:val="center"/>
          </w:tcPr>
          <w:p w14:paraId="40405ED6" w14:textId="77777777" w:rsidR="002435CD" w:rsidRPr="00EA4C9B" w:rsidRDefault="002435CD" w:rsidP="008B3A2E">
            <w:pPr>
              <w:pStyle w:val="Table"/>
            </w:pPr>
            <w:r w:rsidRPr="00EA4C9B">
              <w:t>Hunting and game use</w:t>
            </w:r>
          </w:p>
        </w:tc>
        <w:tc>
          <w:tcPr>
            <w:tcW w:w="567" w:type="dxa"/>
            <w:vAlign w:val="center"/>
          </w:tcPr>
          <w:p w14:paraId="008310C3" w14:textId="77777777" w:rsidR="002435CD" w:rsidRPr="00EA4C9B" w:rsidRDefault="002435CD" w:rsidP="008B3A2E">
            <w:pPr>
              <w:pStyle w:val="Table"/>
            </w:pPr>
          </w:p>
        </w:tc>
        <w:tc>
          <w:tcPr>
            <w:tcW w:w="567" w:type="dxa"/>
            <w:vAlign w:val="center"/>
          </w:tcPr>
          <w:p w14:paraId="3F26B439" w14:textId="77777777" w:rsidR="002435CD" w:rsidRPr="00EA4C9B" w:rsidRDefault="002435CD" w:rsidP="008B3A2E">
            <w:pPr>
              <w:pStyle w:val="Table"/>
            </w:pPr>
          </w:p>
        </w:tc>
        <w:tc>
          <w:tcPr>
            <w:tcW w:w="567" w:type="dxa"/>
            <w:vAlign w:val="center"/>
          </w:tcPr>
          <w:p w14:paraId="4ADCCF11" w14:textId="77777777" w:rsidR="002435CD" w:rsidRPr="00EA4C9B" w:rsidRDefault="002435CD" w:rsidP="008B3A2E">
            <w:pPr>
              <w:pStyle w:val="Table"/>
            </w:pPr>
          </w:p>
        </w:tc>
        <w:tc>
          <w:tcPr>
            <w:tcW w:w="567" w:type="dxa"/>
            <w:vAlign w:val="center"/>
          </w:tcPr>
          <w:p w14:paraId="140094BF" w14:textId="77777777" w:rsidR="002435CD" w:rsidRPr="00EA4C9B" w:rsidRDefault="002435CD" w:rsidP="008B3A2E">
            <w:pPr>
              <w:pStyle w:val="Table"/>
            </w:pPr>
          </w:p>
        </w:tc>
        <w:tc>
          <w:tcPr>
            <w:tcW w:w="567" w:type="dxa"/>
            <w:vAlign w:val="center"/>
          </w:tcPr>
          <w:p w14:paraId="7557277E" w14:textId="77777777" w:rsidR="002435CD" w:rsidRPr="00EA4C9B" w:rsidRDefault="002435CD" w:rsidP="008B3A2E">
            <w:pPr>
              <w:pStyle w:val="Table"/>
            </w:pPr>
          </w:p>
        </w:tc>
        <w:tc>
          <w:tcPr>
            <w:tcW w:w="567" w:type="dxa"/>
            <w:vAlign w:val="center"/>
          </w:tcPr>
          <w:p w14:paraId="2B931140" w14:textId="77777777" w:rsidR="002435CD" w:rsidRPr="00EA4C9B" w:rsidRDefault="002435CD" w:rsidP="008B3A2E">
            <w:pPr>
              <w:pStyle w:val="Table"/>
            </w:pPr>
          </w:p>
        </w:tc>
        <w:tc>
          <w:tcPr>
            <w:tcW w:w="567" w:type="dxa"/>
            <w:vAlign w:val="center"/>
          </w:tcPr>
          <w:p w14:paraId="44097D1F" w14:textId="77777777" w:rsidR="002435CD" w:rsidRPr="00EA4C9B" w:rsidRDefault="002435CD" w:rsidP="008B3A2E">
            <w:pPr>
              <w:pStyle w:val="Table"/>
            </w:pPr>
          </w:p>
        </w:tc>
        <w:tc>
          <w:tcPr>
            <w:tcW w:w="567" w:type="dxa"/>
            <w:vAlign w:val="center"/>
          </w:tcPr>
          <w:p w14:paraId="3B11E2EE" w14:textId="77777777" w:rsidR="002435CD" w:rsidRPr="00EA4C9B" w:rsidRDefault="002435CD" w:rsidP="008B3A2E">
            <w:pPr>
              <w:pStyle w:val="Table"/>
            </w:pPr>
          </w:p>
        </w:tc>
        <w:tc>
          <w:tcPr>
            <w:tcW w:w="567" w:type="dxa"/>
            <w:vAlign w:val="center"/>
          </w:tcPr>
          <w:p w14:paraId="383BA80B" w14:textId="77777777" w:rsidR="002435CD" w:rsidRPr="00EA4C9B" w:rsidRDefault="002435CD" w:rsidP="008B3A2E">
            <w:pPr>
              <w:pStyle w:val="Table"/>
            </w:pPr>
          </w:p>
        </w:tc>
        <w:tc>
          <w:tcPr>
            <w:tcW w:w="567" w:type="dxa"/>
            <w:vAlign w:val="center"/>
          </w:tcPr>
          <w:p w14:paraId="63AA70D5" w14:textId="77777777" w:rsidR="002435CD" w:rsidRPr="00EA4C9B" w:rsidRDefault="002435CD" w:rsidP="008B3A2E">
            <w:pPr>
              <w:pStyle w:val="Table"/>
            </w:pPr>
            <w:r w:rsidRPr="00EA4C9B">
              <w:t>X</w:t>
            </w:r>
          </w:p>
        </w:tc>
        <w:tc>
          <w:tcPr>
            <w:tcW w:w="567" w:type="dxa"/>
            <w:vAlign w:val="center"/>
          </w:tcPr>
          <w:p w14:paraId="1CB7761F" w14:textId="77777777" w:rsidR="002435CD" w:rsidRPr="00EA4C9B" w:rsidRDefault="002435CD" w:rsidP="008B3A2E">
            <w:pPr>
              <w:pStyle w:val="Table"/>
            </w:pPr>
          </w:p>
        </w:tc>
        <w:tc>
          <w:tcPr>
            <w:tcW w:w="567" w:type="dxa"/>
            <w:vAlign w:val="center"/>
          </w:tcPr>
          <w:p w14:paraId="453B3577" w14:textId="77777777" w:rsidR="002435CD" w:rsidRPr="00EA4C9B" w:rsidRDefault="002435CD" w:rsidP="008B3A2E">
            <w:pPr>
              <w:pStyle w:val="Table"/>
            </w:pPr>
          </w:p>
        </w:tc>
        <w:tc>
          <w:tcPr>
            <w:tcW w:w="567" w:type="dxa"/>
            <w:vAlign w:val="center"/>
          </w:tcPr>
          <w:p w14:paraId="0B7EE489" w14:textId="77777777" w:rsidR="002435CD" w:rsidRPr="00EA4C9B" w:rsidRDefault="002435CD" w:rsidP="008B3A2E">
            <w:pPr>
              <w:pStyle w:val="Table"/>
            </w:pPr>
          </w:p>
        </w:tc>
        <w:tc>
          <w:tcPr>
            <w:tcW w:w="567" w:type="dxa"/>
            <w:vAlign w:val="center"/>
          </w:tcPr>
          <w:p w14:paraId="1E120821" w14:textId="77777777" w:rsidR="002435CD" w:rsidRPr="00EA4C9B" w:rsidRDefault="002435CD" w:rsidP="008B3A2E">
            <w:pPr>
              <w:pStyle w:val="Table"/>
            </w:pPr>
          </w:p>
        </w:tc>
        <w:tc>
          <w:tcPr>
            <w:tcW w:w="567" w:type="dxa"/>
            <w:vAlign w:val="center"/>
          </w:tcPr>
          <w:p w14:paraId="34CEA1D8" w14:textId="77777777" w:rsidR="002435CD" w:rsidRPr="00EA4C9B" w:rsidRDefault="002435CD" w:rsidP="008B3A2E">
            <w:pPr>
              <w:pStyle w:val="Table"/>
            </w:pPr>
          </w:p>
        </w:tc>
        <w:tc>
          <w:tcPr>
            <w:tcW w:w="567" w:type="dxa"/>
            <w:vAlign w:val="center"/>
          </w:tcPr>
          <w:p w14:paraId="7623BCB9" w14:textId="77777777" w:rsidR="002435CD" w:rsidRPr="00EA4C9B" w:rsidRDefault="002435CD" w:rsidP="008B3A2E">
            <w:pPr>
              <w:pStyle w:val="Table"/>
            </w:pPr>
          </w:p>
        </w:tc>
      </w:tr>
      <w:tr w:rsidR="002435CD" w:rsidRPr="00EA4C9B" w14:paraId="038A71B3" w14:textId="77777777" w:rsidTr="00BA7936">
        <w:tc>
          <w:tcPr>
            <w:tcW w:w="4957" w:type="dxa"/>
            <w:vAlign w:val="center"/>
          </w:tcPr>
          <w:p w14:paraId="6AE52E26" w14:textId="77777777" w:rsidR="002435CD" w:rsidRPr="00EA4C9B" w:rsidRDefault="002435CD" w:rsidP="008B3A2E">
            <w:pPr>
              <w:pStyle w:val="Table"/>
            </w:pPr>
            <w:r w:rsidRPr="00EA4C9B">
              <w:t>Underutilized pastures</w:t>
            </w:r>
          </w:p>
        </w:tc>
        <w:tc>
          <w:tcPr>
            <w:tcW w:w="567" w:type="dxa"/>
            <w:vAlign w:val="center"/>
          </w:tcPr>
          <w:p w14:paraId="75286216" w14:textId="77777777" w:rsidR="002435CD" w:rsidRPr="00EA4C9B" w:rsidRDefault="002435CD" w:rsidP="008B3A2E">
            <w:pPr>
              <w:pStyle w:val="Table"/>
            </w:pPr>
          </w:p>
        </w:tc>
        <w:tc>
          <w:tcPr>
            <w:tcW w:w="567" w:type="dxa"/>
            <w:vAlign w:val="center"/>
          </w:tcPr>
          <w:p w14:paraId="2947D09E" w14:textId="77777777" w:rsidR="002435CD" w:rsidRPr="00EA4C9B" w:rsidRDefault="002435CD" w:rsidP="008B3A2E">
            <w:pPr>
              <w:pStyle w:val="Table"/>
            </w:pPr>
          </w:p>
        </w:tc>
        <w:tc>
          <w:tcPr>
            <w:tcW w:w="567" w:type="dxa"/>
            <w:vAlign w:val="center"/>
          </w:tcPr>
          <w:p w14:paraId="431B0328" w14:textId="77777777" w:rsidR="002435CD" w:rsidRPr="00EA4C9B" w:rsidRDefault="002435CD" w:rsidP="008B3A2E">
            <w:pPr>
              <w:pStyle w:val="Table"/>
            </w:pPr>
          </w:p>
        </w:tc>
        <w:tc>
          <w:tcPr>
            <w:tcW w:w="567" w:type="dxa"/>
            <w:vAlign w:val="center"/>
          </w:tcPr>
          <w:p w14:paraId="7E54F37D" w14:textId="77777777" w:rsidR="002435CD" w:rsidRPr="00EA4C9B" w:rsidRDefault="002435CD" w:rsidP="008B3A2E">
            <w:pPr>
              <w:pStyle w:val="Table"/>
            </w:pPr>
          </w:p>
        </w:tc>
        <w:tc>
          <w:tcPr>
            <w:tcW w:w="567" w:type="dxa"/>
            <w:vAlign w:val="center"/>
          </w:tcPr>
          <w:p w14:paraId="1C0DFA13" w14:textId="77777777" w:rsidR="002435CD" w:rsidRPr="00EA4C9B" w:rsidRDefault="002435CD" w:rsidP="008B3A2E">
            <w:pPr>
              <w:pStyle w:val="Table"/>
            </w:pPr>
          </w:p>
        </w:tc>
        <w:tc>
          <w:tcPr>
            <w:tcW w:w="567" w:type="dxa"/>
            <w:vAlign w:val="center"/>
          </w:tcPr>
          <w:p w14:paraId="5F3F6186" w14:textId="77777777" w:rsidR="002435CD" w:rsidRPr="00EA4C9B" w:rsidRDefault="002435CD" w:rsidP="008B3A2E">
            <w:pPr>
              <w:pStyle w:val="Table"/>
            </w:pPr>
          </w:p>
        </w:tc>
        <w:tc>
          <w:tcPr>
            <w:tcW w:w="567" w:type="dxa"/>
            <w:vAlign w:val="center"/>
          </w:tcPr>
          <w:p w14:paraId="1D8D3B7B" w14:textId="77777777" w:rsidR="002435CD" w:rsidRPr="00EA4C9B" w:rsidRDefault="002435CD" w:rsidP="008B3A2E">
            <w:pPr>
              <w:pStyle w:val="Table"/>
            </w:pPr>
          </w:p>
        </w:tc>
        <w:tc>
          <w:tcPr>
            <w:tcW w:w="567" w:type="dxa"/>
            <w:vAlign w:val="center"/>
          </w:tcPr>
          <w:p w14:paraId="4E2FA371" w14:textId="77777777" w:rsidR="002435CD" w:rsidRPr="00EA4C9B" w:rsidRDefault="002435CD" w:rsidP="008B3A2E">
            <w:pPr>
              <w:pStyle w:val="Table"/>
            </w:pPr>
          </w:p>
        </w:tc>
        <w:tc>
          <w:tcPr>
            <w:tcW w:w="567" w:type="dxa"/>
            <w:vAlign w:val="center"/>
          </w:tcPr>
          <w:p w14:paraId="149E0404" w14:textId="77777777" w:rsidR="002435CD" w:rsidRPr="00EA4C9B" w:rsidRDefault="002435CD" w:rsidP="008B3A2E">
            <w:pPr>
              <w:pStyle w:val="Table"/>
            </w:pPr>
          </w:p>
        </w:tc>
        <w:tc>
          <w:tcPr>
            <w:tcW w:w="567" w:type="dxa"/>
            <w:vAlign w:val="center"/>
          </w:tcPr>
          <w:p w14:paraId="0D0CB864" w14:textId="77777777" w:rsidR="002435CD" w:rsidRPr="00EA4C9B" w:rsidRDefault="002435CD" w:rsidP="008B3A2E">
            <w:pPr>
              <w:pStyle w:val="Table"/>
            </w:pPr>
            <w:r w:rsidRPr="00EA4C9B">
              <w:t>X</w:t>
            </w:r>
          </w:p>
        </w:tc>
        <w:tc>
          <w:tcPr>
            <w:tcW w:w="567" w:type="dxa"/>
            <w:vAlign w:val="center"/>
          </w:tcPr>
          <w:p w14:paraId="3C0A8AE0" w14:textId="77777777" w:rsidR="002435CD" w:rsidRPr="00EA4C9B" w:rsidRDefault="002435CD" w:rsidP="008B3A2E">
            <w:pPr>
              <w:pStyle w:val="Table"/>
            </w:pPr>
          </w:p>
        </w:tc>
        <w:tc>
          <w:tcPr>
            <w:tcW w:w="567" w:type="dxa"/>
            <w:vAlign w:val="center"/>
          </w:tcPr>
          <w:p w14:paraId="7B7E9634" w14:textId="77777777" w:rsidR="002435CD" w:rsidRPr="00EA4C9B" w:rsidRDefault="002435CD" w:rsidP="008B3A2E">
            <w:pPr>
              <w:pStyle w:val="Table"/>
            </w:pPr>
          </w:p>
        </w:tc>
        <w:tc>
          <w:tcPr>
            <w:tcW w:w="567" w:type="dxa"/>
            <w:vAlign w:val="center"/>
          </w:tcPr>
          <w:p w14:paraId="42553922" w14:textId="77777777" w:rsidR="002435CD" w:rsidRPr="00EA4C9B" w:rsidRDefault="002435CD" w:rsidP="008B3A2E">
            <w:pPr>
              <w:pStyle w:val="Table"/>
            </w:pPr>
          </w:p>
        </w:tc>
        <w:tc>
          <w:tcPr>
            <w:tcW w:w="567" w:type="dxa"/>
            <w:vAlign w:val="center"/>
          </w:tcPr>
          <w:p w14:paraId="5A7DAAF0" w14:textId="77777777" w:rsidR="002435CD" w:rsidRPr="00EA4C9B" w:rsidRDefault="002435CD" w:rsidP="008B3A2E">
            <w:pPr>
              <w:pStyle w:val="Table"/>
            </w:pPr>
          </w:p>
        </w:tc>
        <w:tc>
          <w:tcPr>
            <w:tcW w:w="567" w:type="dxa"/>
            <w:vAlign w:val="center"/>
          </w:tcPr>
          <w:p w14:paraId="22138E02" w14:textId="77777777" w:rsidR="002435CD" w:rsidRPr="00EA4C9B" w:rsidRDefault="002435CD" w:rsidP="008B3A2E">
            <w:pPr>
              <w:pStyle w:val="Table"/>
            </w:pPr>
          </w:p>
        </w:tc>
        <w:tc>
          <w:tcPr>
            <w:tcW w:w="567" w:type="dxa"/>
            <w:vAlign w:val="center"/>
          </w:tcPr>
          <w:p w14:paraId="633BADE1" w14:textId="77777777" w:rsidR="002435CD" w:rsidRPr="00EA4C9B" w:rsidRDefault="002435CD" w:rsidP="008B3A2E">
            <w:pPr>
              <w:pStyle w:val="Table"/>
            </w:pPr>
          </w:p>
        </w:tc>
      </w:tr>
      <w:tr w:rsidR="002435CD" w:rsidRPr="00EA4C9B" w14:paraId="48A2F23F" w14:textId="77777777" w:rsidTr="00BA7936">
        <w:tc>
          <w:tcPr>
            <w:tcW w:w="4957" w:type="dxa"/>
            <w:vAlign w:val="center"/>
          </w:tcPr>
          <w:p w14:paraId="71389526" w14:textId="77777777" w:rsidR="002435CD" w:rsidRPr="00EA4C9B" w:rsidRDefault="002435CD" w:rsidP="008B3A2E">
            <w:pPr>
              <w:pStyle w:val="Table"/>
            </w:pPr>
            <w:r w:rsidRPr="00EA4C9B">
              <w:t>Underutilized irrigation</w:t>
            </w:r>
          </w:p>
        </w:tc>
        <w:tc>
          <w:tcPr>
            <w:tcW w:w="567" w:type="dxa"/>
            <w:vAlign w:val="center"/>
          </w:tcPr>
          <w:p w14:paraId="22BECAB1" w14:textId="77777777" w:rsidR="002435CD" w:rsidRPr="00EA4C9B" w:rsidRDefault="002435CD" w:rsidP="008B3A2E">
            <w:pPr>
              <w:pStyle w:val="Table"/>
            </w:pPr>
          </w:p>
        </w:tc>
        <w:tc>
          <w:tcPr>
            <w:tcW w:w="567" w:type="dxa"/>
            <w:vAlign w:val="center"/>
          </w:tcPr>
          <w:p w14:paraId="0C72B3C2" w14:textId="77777777" w:rsidR="002435CD" w:rsidRPr="00EA4C9B" w:rsidRDefault="002435CD" w:rsidP="008B3A2E">
            <w:pPr>
              <w:pStyle w:val="Table"/>
            </w:pPr>
          </w:p>
        </w:tc>
        <w:tc>
          <w:tcPr>
            <w:tcW w:w="567" w:type="dxa"/>
            <w:vAlign w:val="center"/>
          </w:tcPr>
          <w:p w14:paraId="2766C995" w14:textId="77777777" w:rsidR="002435CD" w:rsidRPr="00EA4C9B" w:rsidRDefault="002435CD" w:rsidP="008B3A2E">
            <w:pPr>
              <w:pStyle w:val="Table"/>
            </w:pPr>
          </w:p>
        </w:tc>
        <w:tc>
          <w:tcPr>
            <w:tcW w:w="567" w:type="dxa"/>
            <w:vAlign w:val="center"/>
          </w:tcPr>
          <w:p w14:paraId="2D502422" w14:textId="77777777" w:rsidR="002435CD" w:rsidRPr="00EA4C9B" w:rsidRDefault="002435CD" w:rsidP="008B3A2E">
            <w:pPr>
              <w:pStyle w:val="Table"/>
            </w:pPr>
          </w:p>
        </w:tc>
        <w:tc>
          <w:tcPr>
            <w:tcW w:w="567" w:type="dxa"/>
            <w:vAlign w:val="center"/>
          </w:tcPr>
          <w:p w14:paraId="7686FF5E" w14:textId="77777777" w:rsidR="002435CD" w:rsidRPr="00EA4C9B" w:rsidRDefault="002435CD" w:rsidP="008B3A2E">
            <w:pPr>
              <w:pStyle w:val="Table"/>
            </w:pPr>
          </w:p>
        </w:tc>
        <w:tc>
          <w:tcPr>
            <w:tcW w:w="567" w:type="dxa"/>
            <w:vAlign w:val="center"/>
          </w:tcPr>
          <w:p w14:paraId="33FFC33E" w14:textId="77777777" w:rsidR="002435CD" w:rsidRPr="00EA4C9B" w:rsidRDefault="002435CD" w:rsidP="008B3A2E">
            <w:pPr>
              <w:pStyle w:val="Table"/>
            </w:pPr>
          </w:p>
        </w:tc>
        <w:tc>
          <w:tcPr>
            <w:tcW w:w="567" w:type="dxa"/>
            <w:vAlign w:val="center"/>
          </w:tcPr>
          <w:p w14:paraId="75F1F25E" w14:textId="77777777" w:rsidR="002435CD" w:rsidRPr="00EA4C9B" w:rsidRDefault="002435CD" w:rsidP="008B3A2E">
            <w:pPr>
              <w:pStyle w:val="Table"/>
            </w:pPr>
          </w:p>
        </w:tc>
        <w:tc>
          <w:tcPr>
            <w:tcW w:w="567" w:type="dxa"/>
            <w:vAlign w:val="center"/>
          </w:tcPr>
          <w:p w14:paraId="5DEBFFF9" w14:textId="77777777" w:rsidR="002435CD" w:rsidRPr="00EA4C9B" w:rsidRDefault="002435CD" w:rsidP="008B3A2E">
            <w:pPr>
              <w:pStyle w:val="Table"/>
            </w:pPr>
          </w:p>
        </w:tc>
        <w:tc>
          <w:tcPr>
            <w:tcW w:w="567" w:type="dxa"/>
            <w:vAlign w:val="center"/>
          </w:tcPr>
          <w:p w14:paraId="41C7EF04" w14:textId="77777777" w:rsidR="002435CD" w:rsidRPr="00EA4C9B" w:rsidRDefault="002435CD" w:rsidP="008B3A2E">
            <w:pPr>
              <w:pStyle w:val="Table"/>
            </w:pPr>
          </w:p>
        </w:tc>
        <w:tc>
          <w:tcPr>
            <w:tcW w:w="567" w:type="dxa"/>
            <w:vAlign w:val="center"/>
          </w:tcPr>
          <w:p w14:paraId="2E293416" w14:textId="77777777" w:rsidR="002435CD" w:rsidRPr="00EA4C9B" w:rsidRDefault="002435CD" w:rsidP="008B3A2E">
            <w:pPr>
              <w:pStyle w:val="Table"/>
            </w:pPr>
            <w:r w:rsidRPr="00EA4C9B">
              <w:t>X</w:t>
            </w:r>
          </w:p>
        </w:tc>
        <w:tc>
          <w:tcPr>
            <w:tcW w:w="567" w:type="dxa"/>
            <w:vAlign w:val="center"/>
          </w:tcPr>
          <w:p w14:paraId="7DBFFC57" w14:textId="77777777" w:rsidR="002435CD" w:rsidRPr="00EA4C9B" w:rsidRDefault="002435CD" w:rsidP="008B3A2E">
            <w:pPr>
              <w:pStyle w:val="Table"/>
            </w:pPr>
          </w:p>
        </w:tc>
        <w:tc>
          <w:tcPr>
            <w:tcW w:w="567" w:type="dxa"/>
            <w:vAlign w:val="center"/>
          </w:tcPr>
          <w:p w14:paraId="49409954" w14:textId="77777777" w:rsidR="002435CD" w:rsidRPr="00EA4C9B" w:rsidRDefault="002435CD" w:rsidP="008B3A2E">
            <w:pPr>
              <w:pStyle w:val="Table"/>
            </w:pPr>
          </w:p>
        </w:tc>
        <w:tc>
          <w:tcPr>
            <w:tcW w:w="567" w:type="dxa"/>
            <w:vAlign w:val="center"/>
          </w:tcPr>
          <w:p w14:paraId="4E4711CB" w14:textId="77777777" w:rsidR="002435CD" w:rsidRPr="00EA4C9B" w:rsidRDefault="002435CD" w:rsidP="008B3A2E">
            <w:pPr>
              <w:pStyle w:val="Table"/>
            </w:pPr>
          </w:p>
        </w:tc>
        <w:tc>
          <w:tcPr>
            <w:tcW w:w="567" w:type="dxa"/>
            <w:vAlign w:val="center"/>
          </w:tcPr>
          <w:p w14:paraId="17827044" w14:textId="77777777" w:rsidR="002435CD" w:rsidRPr="00EA4C9B" w:rsidRDefault="002435CD" w:rsidP="008B3A2E">
            <w:pPr>
              <w:pStyle w:val="Table"/>
            </w:pPr>
          </w:p>
        </w:tc>
        <w:tc>
          <w:tcPr>
            <w:tcW w:w="567" w:type="dxa"/>
            <w:vAlign w:val="center"/>
          </w:tcPr>
          <w:p w14:paraId="02199A2D" w14:textId="77777777" w:rsidR="002435CD" w:rsidRPr="00EA4C9B" w:rsidRDefault="002435CD" w:rsidP="008B3A2E">
            <w:pPr>
              <w:pStyle w:val="Table"/>
            </w:pPr>
          </w:p>
        </w:tc>
        <w:tc>
          <w:tcPr>
            <w:tcW w:w="567" w:type="dxa"/>
            <w:vAlign w:val="center"/>
          </w:tcPr>
          <w:p w14:paraId="2B3C700A" w14:textId="77777777" w:rsidR="002435CD" w:rsidRPr="00EA4C9B" w:rsidRDefault="002435CD" w:rsidP="008B3A2E">
            <w:pPr>
              <w:pStyle w:val="Table"/>
            </w:pPr>
          </w:p>
        </w:tc>
      </w:tr>
      <w:tr w:rsidR="002435CD" w:rsidRPr="00EA4C9B" w14:paraId="244A9012" w14:textId="77777777" w:rsidTr="00BA7936">
        <w:tc>
          <w:tcPr>
            <w:tcW w:w="14029" w:type="dxa"/>
            <w:gridSpan w:val="17"/>
            <w:shd w:val="clear" w:color="auto" w:fill="C6D9F1" w:themeFill="text2" w:themeFillTint="33"/>
            <w:vAlign w:val="center"/>
          </w:tcPr>
          <w:p w14:paraId="2E3437B9" w14:textId="77777777" w:rsidR="002435CD" w:rsidRPr="008B3A2E" w:rsidRDefault="002435CD" w:rsidP="008B3A2E">
            <w:pPr>
              <w:pStyle w:val="Table"/>
              <w:jc w:val="center"/>
              <w:rPr>
                <w:b/>
              </w:rPr>
            </w:pPr>
            <w:r w:rsidRPr="008B3A2E">
              <w:rPr>
                <w:b/>
              </w:rPr>
              <w:t>Water</w:t>
            </w:r>
          </w:p>
        </w:tc>
      </w:tr>
      <w:tr w:rsidR="002435CD" w:rsidRPr="00EA4C9B" w14:paraId="7AB963AB" w14:textId="77777777" w:rsidTr="00BA7936">
        <w:tc>
          <w:tcPr>
            <w:tcW w:w="4957" w:type="dxa"/>
            <w:vAlign w:val="center"/>
          </w:tcPr>
          <w:p w14:paraId="5B85D08A" w14:textId="77777777" w:rsidR="002435CD" w:rsidRPr="00EA4C9B" w:rsidRDefault="002435CD" w:rsidP="008B3A2E">
            <w:pPr>
              <w:pStyle w:val="Table"/>
            </w:pPr>
            <w:r w:rsidRPr="00EA4C9B">
              <w:t>Sanitation or purification fee</w:t>
            </w:r>
          </w:p>
        </w:tc>
        <w:tc>
          <w:tcPr>
            <w:tcW w:w="567" w:type="dxa"/>
            <w:vAlign w:val="center"/>
          </w:tcPr>
          <w:p w14:paraId="379E1B58" w14:textId="77777777" w:rsidR="002435CD" w:rsidRPr="00EA4C9B" w:rsidRDefault="002435CD" w:rsidP="008B3A2E">
            <w:pPr>
              <w:pStyle w:val="Table"/>
            </w:pPr>
            <w:r w:rsidRPr="00EA4C9B">
              <w:t>X</w:t>
            </w:r>
          </w:p>
        </w:tc>
        <w:tc>
          <w:tcPr>
            <w:tcW w:w="567" w:type="dxa"/>
            <w:vAlign w:val="center"/>
          </w:tcPr>
          <w:p w14:paraId="478BD74F" w14:textId="77777777" w:rsidR="002435CD" w:rsidRPr="00EA4C9B" w:rsidRDefault="002435CD" w:rsidP="008B3A2E">
            <w:pPr>
              <w:pStyle w:val="Table"/>
            </w:pPr>
            <w:r w:rsidRPr="00EA4C9B">
              <w:t>X</w:t>
            </w:r>
          </w:p>
        </w:tc>
        <w:tc>
          <w:tcPr>
            <w:tcW w:w="567" w:type="dxa"/>
            <w:vAlign w:val="center"/>
          </w:tcPr>
          <w:p w14:paraId="5ACFD175" w14:textId="77777777" w:rsidR="002435CD" w:rsidRPr="00EA4C9B" w:rsidRDefault="002435CD" w:rsidP="008B3A2E">
            <w:pPr>
              <w:pStyle w:val="Table"/>
            </w:pPr>
            <w:r w:rsidRPr="00EA4C9B">
              <w:t>X</w:t>
            </w:r>
          </w:p>
        </w:tc>
        <w:tc>
          <w:tcPr>
            <w:tcW w:w="567" w:type="dxa"/>
            <w:vAlign w:val="center"/>
          </w:tcPr>
          <w:p w14:paraId="71A35496" w14:textId="77777777" w:rsidR="002435CD" w:rsidRPr="00EA4C9B" w:rsidRDefault="002435CD" w:rsidP="008B3A2E">
            <w:pPr>
              <w:pStyle w:val="Table"/>
            </w:pPr>
            <w:r w:rsidRPr="00EA4C9B">
              <w:t>X</w:t>
            </w:r>
          </w:p>
        </w:tc>
        <w:tc>
          <w:tcPr>
            <w:tcW w:w="567" w:type="dxa"/>
            <w:vAlign w:val="center"/>
          </w:tcPr>
          <w:p w14:paraId="21F0EB97" w14:textId="77777777" w:rsidR="002435CD" w:rsidRPr="00EA4C9B" w:rsidRDefault="002435CD" w:rsidP="008B3A2E">
            <w:pPr>
              <w:pStyle w:val="Table"/>
            </w:pPr>
            <w:r w:rsidRPr="00EA4C9B">
              <w:t>X</w:t>
            </w:r>
          </w:p>
        </w:tc>
        <w:tc>
          <w:tcPr>
            <w:tcW w:w="567" w:type="dxa"/>
            <w:vAlign w:val="center"/>
          </w:tcPr>
          <w:p w14:paraId="328AC551" w14:textId="77777777" w:rsidR="002435CD" w:rsidRPr="00EA4C9B" w:rsidRDefault="002435CD" w:rsidP="008B3A2E">
            <w:pPr>
              <w:pStyle w:val="Table"/>
            </w:pPr>
            <w:r w:rsidRPr="00EA4C9B">
              <w:t>X</w:t>
            </w:r>
          </w:p>
        </w:tc>
        <w:tc>
          <w:tcPr>
            <w:tcW w:w="567" w:type="dxa"/>
            <w:vAlign w:val="center"/>
          </w:tcPr>
          <w:p w14:paraId="10C07684" w14:textId="77777777" w:rsidR="002435CD" w:rsidRPr="00EA4C9B" w:rsidRDefault="002435CD" w:rsidP="008B3A2E">
            <w:pPr>
              <w:pStyle w:val="Table"/>
            </w:pPr>
          </w:p>
        </w:tc>
        <w:tc>
          <w:tcPr>
            <w:tcW w:w="567" w:type="dxa"/>
            <w:vAlign w:val="center"/>
          </w:tcPr>
          <w:p w14:paraId="428F615F" w14:textId="77777777" w:rsidR="002435CD" w:rsidRPr="00EA4C9B" w:rsidRDefault="002435CD" w:rsidP="008B3A2E">
            <w:pPr>
              <w:pStyle w:val="Table"/>
            </w:pPr>
            <w:r w:rsidRPr="00EA4C9B">
              <w:t>X</w:t>
            </w:r>
          </w:p>
        </w:tc>
        <w:tc>
          <w:tcPr>
            <w:tcW w:w="567" w:type="dxa"/>
            <w:vAlign w:val="center"/>
          </w:tcPr>
          <w:p w14:paraId="119754ED" w14:textId="77777777" w:rsidR="002435CD" w:rsidRPr="00EA4C9B" w:rsidRDefault="002435CD" w:rsidP="008B3A2E">
            <w:pPr>
              <w:pStyle w:val="Table"/>
            </w:pPr>
            <w:r w:rsidRPr="00EA4C9B">
              <w:t>X</w:t>
            </w:r>
          </w:p>
        </w:tc>
        <w:tc>
          <w:tcPr>
            <w:tcW w:w="567" w:type="dxa"/>
            <w:vAlign w:val="center"/>
          </w:tcPr>
          <w:p w14:paraId="75A1D2A6" w14:textId="77777777" w:rsidR="002435CD" w:rsidRPr="00EA4C9B" w:rsidRDefault="002435CD" w:rsidP="008B3A2E">
            <w:pPr>
              <w:pStyle w:val="Table"/>
            </w:pPr>
            <w:r w:rsidRPr="00EA4C9B">
              <w:t>X</w:t>
            </w:r>
          </w:p>
        </w:tc>
        <w:tc>
          <w:tcPr>
            <w:tcW w:w="567" w:type="dxa"/>
            <w:vAlign w:val="center"/>
          </w:tcPr>
          <w:p w14:paraId="5C1B203E" w14:textId="77777777" w:rsidR="002435CD" w:rsidRPr="00EA4C9B" w:rsidRDefault="002435CD" w:rsidP="008B3A2E">
            <w:pPr>
              <w:pStyle w:val="Table"/>
            </w:pPr>
            <w:r w:rsidRPr="00EA4C9B">
              <w:t>X</w:t>
            </w:r>
          </w:p>
        </w:tc>
        <w:tc>
          <w:tcPr>
            <w:tcW w:w="567" w:type="dxa"/>
            <w:vAlign w:val="center"/>
          </w:tcPr>
          <w:p w14:paraId="17B0C09E" w14:textId="77777777" w:rsidR="002435CD" w:rsidRPr="00EA4C9B" w:rsidRDefault="002435CD" w:rsidP="008B3A2E">
            <w:pPr>
              <w:pStyle w:val="Table"/>
            </w:pPr>
            <w:r w:rsidRPr="00EA4C9B">
              <w:t>X</w:t>
            </w:r>
          </w:p>
        </w:tc>
        <w:tc>
          <w:tcPr>
            <w:tcW w:w="567" w:type="dxa"/>
            <w:vAlign w:val="center"/>
          </w:tcPr>
          <w:p w14:paraId="72DA3BEC" w14:textId="77777777" w:rsidR="002435CD" w:rsidRPr="00EA4C9B" w:rsidRDefault="002435CD" w:rsidP="008B3A2E">
            <w:pPr>
              <w:pStyle w:val="Table"/>
            </w:pPr>
            <w:r w:rsidRPr="00EA4C9B">
              <w:t>X</w:t>
            </w:r>
          </w:p>
        </w:tc>
        <w:tc>
          <w:tcPr>
            <w:tcW w:w="567" w:type="dxa"/>
            <w:vAlign w:val="center"/>
          </w:tcPr>
          <w:p w14:paraId="3939B45C" w14:textId="77777777" w:rsidR="002435CD" w:rsidRPr="00EA4C9B" w:rsidRDefault="002435CD" w:rsidP="008B3A2E">
            <w:pPr>
              <w:pStyle w:val="Table"/>
            </w:pPr>
            <w:r w:rsidRPr="00EA4C9B">
              <w:t>X</w:t>
            </w:r>
          </w:p>
        </w:tc>
        <w:tc>
          <w:tcPr>
            <w:tcW w:w="567" w:type="dxa"/>
            <w:vAlign w:val="center"/>
          </w:tcPr>
          <w:p w14:paraId="75C90F5A" w14:textId="77777777" w:rsidR="002435CD" w:rsidRPr="00EA4C9B" w:rsidRDefault="002435CD" w:rsidP="008B3A2E">
            <w:pPr>
              <w:pStyle w:val="Table"/>
            </w:pPr>
            <w:r w:rsidRPr="00EA4C9B">
              <w:t>X</w:t>
            </w:r>
          </w:p>
        </w:tc>
        <w:tc>
          <w:tcPr>
            <w:tcW w:w="567" w:type="dxa"/>
            <w:vAlign w:val="center"/>
          </w:tcPr>
          <w:p w14:paraId="3D5ED90C" w14:textId="77777777" w:rsidR="002435CD" w:rsidRPr="00EA4C9B" w:rsidRDefault="002435CD" w:rsidP="008B3A2E">
            <w:pPr>
              <w:pStyle w:val="Table"/>
            </w:pPr>
            <w:r w:rsidRPr="00EA4C9B">
              <w:t>X</w:t>
            </w:r>
          </w:p>
        </w:tc>
      </w:tr>
      <w:tr w:rsidR="002435CD" w:rsidRPr="00EA4C9B" w14:paraId="4EF637F3" w14:textId="77777777" w:rsidTr="00BA7936">
        <w:tc>
          <w:tcPr>
            <w:tcW w:w="4957" w:type="dxa"/>
            <w:vAlign w:val="center"/>
          </w:tcPr>
          <w:p w14:paraId="35318DCF" w14:textId="77777777" w:rsidR="002435CD" w:rsidRPr="00EA4C9B" w:rsidRDefault="002435CD" w:rsidP="008B3A2E">
            <w:pPr>
              <w:pStyle w:val="Table"/>
            </w:pPr>
            <w:r w:rsidRPr="00EA4C9B">
              <w:t>Coastal discharges</w:t>
            </w:r>
          </w:p>
        </w:tc>
        <w:tc>
          <w:tcPr>
            <w:tcW w:w="567" w:type="dxa"/>
            <w:vAlign w:val="center"/>
          </w:tcPr>
          <w:p w14:paraId="491A0D40" w14:textId="77777777" w:rsidR="002435CD" w:rsidRPr="00EA4C9B" w:rsidRDefault="002435CD" w:rsidP="008B3A2E">
            <w:pPr>
              <w:pStyle w:val="Table"/>
            </w:pPr>
            <w:r w:rsidRPr="00EA4C9B">
              <w:t>X</w:t>
            </w:r>
          </w:p>
        </w:tc>
        <w:tc>
          <w:tcPr>
            <w:tcW w:w="567" w:type="dxa"/>
            <w:vAlign w:val="center"/>
          </w:tcPr>
          <w:p w14:paraId="077B1BEE" w14:textId="77777777" w:rsidR="002435CD" w:rsidRPr="00EA4C9B" w:rsidRDefault="002435CD" w:rsidP="008B3A2E">
            <w:pPr>
              <w:pStyle w:val="Table"/>
            </w:pPr>
          </w:p>
        </w:tc>
        <w:tc>
          <w:tcPr>
            <w:tcW w:w="567" w:type="dxa"/>
            <w:vAlign w:val="center"/>
          </w:tcPr>
          <w:p w14:paraId="18EB3E79" w14:textId="77777777" w:rsidR="002435CD" w:rsidRPr="00EA4C9B" w:rsidRDefault="002435CD" w:rsidP="008B3A2E">
            <w:pPr>
              <w:pStyle w:val="Table"/>
            </w:pPr>
          </w:p>
        </w:tc>
        <w:tc>
          <w:tcPr>
            <w:tcW w:w="567" w:type="dxa"/>
            <w:vAlign w:val="center"/>
          </w:tcPr>
          <w:p w14:paraId="13C8669A" w14:textId="77777777" w:rsidR="002435CD" w:rsidRPr="00EA4C9B" w:rsidRDefault="002435CD" w:rsidP="008B3A2E">
            <w:pPr>
              <w:pStyle w:val="Table"/>
            </w:pPr>
          </w:p>
        </w:tc>
        <w:tc>
          <w:tcPr>
            <w:tcW w:w="567" w:type="dxa"/>
            <w:vAlign w:val="center"/>
          </w:tcPr>
          <w:p w14:paraId="0A14CFBB" w14:textId="77777777" w:rsidR="002435CD" w:rsidRPr="00EA4C9B" w:rsidRDefault="002435CD" w:rsidP="008B3A2E">
            <w:pPr>
              <w:pStyle w:val="Table"/>
            </w:pPr>
          </w:p>
        </w:tc>
        <w:tc>
          <w:tcPr>
            <w:tcW w:w="567" w:type="dxa"/>
            <w:vAlign w:val="center"/>
          </w:tcPr>
          <w:p w14:paraId="5B71EBBC" w14:textId="77777777" w:rsidR="002435CD" w:rsidRPr="00EA4C9B" w:rsidRDefault="002435CD" w:rsidP="008B3A2E">
            <w:pPr>
              <w:pStyle w:val="Table"/>
            </w:pPr>
          </w:p>
        </w:tc>
        <w:tc>
          <w:tcPr>
            <w:tcW w:w="567" w:type="dxa"/>
            <w:vAlign w:val="center"/>
          </w:tcPr>
          <w:p w14:paraId="3C6D6AFB" w14:textId="77777777" w:rsidR="002435CD" w:rsidRPr="00EA4C9B" w:rsidRDefault="002435CD" w:rsidP="008B3A2E">
            <w:pPr>
              <w:pStyle w:val="Table"/>
            </w:pPr>
          </w:p>
        </w:tc>
        <w:tc>
          <w:tcPr>
            <w:tcW w:w="567" w:type="dxa"/>
            <w:vAlign w:val="center"/>
          </w:tcPr>
          <w:p w14:paraId="4CADF74C" w14:textId="77777777" w:rsidR="002435CD" w:rsidRPr="00EA4C9B" w:rsidRDefault="002435CD" w:rsidP="008B3A2E">
            <w:pPr>
              <w:pStyle w:val="Table"/>
            </w:pPr>
          </w:p>
        </w:tc>
        <w:tc>
          <w:tcPr>
            <w:tcW w:w="567" w:type="dxa"/>
            <w:vAlign w:val="center"/>
          </w:tcPr>
          <w:p w14:paraId="48F50FD3" w14:textId="77777777" w:rsidR="002435CD" w:rsidRPr="00EA4C9B" w:rsidRDefault="002435CD" w:rsidP="008B3A2E">
            <w:pPr>
              <w:pStyle w:val="Table"/>
            </w:pPr>
          </w:p>
        </w:tc>
        <w:tc>
          <w:tcPr>
            <w:tcW w:w="567" w:type="dxa"/>
            <w:vAlign w:val="center"/>
          </w:tcPr>
          <w:p w14:paraId="7C6CFD19" w14:textId="77777777" w:rsidR="002435CD" w:rsidRPr="00EA4C9B" w:rsidRDefault="002435CD" w:rsidP="008B3A2E">
            <w:pPr>
              <w:pStyle w:val="Table"/>
            </w:pPr>
          </w:p>
        </w:tc>
        <w:tc>
          <w:tcPr>
            <w:tcW w:w="567" w:type="dxa"/>
            <w:vAlign w:val="center"/>
          </w:tcPr>
          <w:p w14:paraId="7C36940D" w14:textId="77777777" w:rsidR="002435CD" w:rsidRPr="00EA4C9B" w:rsidRDefault="002435CD" w:rsidP="008B3A2E">
            <w:pPr>
              <w:pStyle w:val="Table"/>
            </w:pPr>
          </w:p>
        </w:tc>
        <w:tc>
          <w:tcPr>
            <w:tcW w:w="567" w:type="dxa"/>
            <w:vAlign w:val="center"/>
          </w:tcPr>
          <w:p w14:paraId="54DAAD2F" w14:textId="77777777" w:rsidR="002435CD" w:rsidRPr="00EA4C9B" w:rsidRDefault="002435CD" w:rsidP="008B3A2E">
            <w:pPr>
              <w:pStyle w:val="Table"/>
            </w:pPr>
          </w:p>
        </w:tc>
        <w:tc>
          <w:tcPr>
            <w:tcW w:w="567" w:type="dxa"/>
            <w:vAlign w:val="center"/>
          </w:tcPr>
          <w:p w14:paraId="6432C4A8" w14:textId="77777777" w:rsidR="002435CD" w:rsidRPr="00EA4C9B" w:rsidRDefault="002435CD" w:rsidP="008B3A2E">
            <w:pPr>
              <w:pStyle w:val="Table"/>
            </w:pPr>
          </w:p>
        </w:tc>
        <w:tc>
          <w:tcPr>
            <w:tcW w:w="567" w:type="dxa"/>
            <w:vAlign w:val="center"/>
          </w:tcPr>
          <w:p w14:paraId="0AAF400B" w14:textId="77777777" w:rsidR="002435CD" w:rsidRPr="00EA4C9B" w:rsidRDefault="002435CD" w:rsidP="008B3A2E">
            <w:pPr>
              <w:pStyle w:val="Table"/>
            </w:pPr>
          </w:p>
        </w:tc>
        <w:tc>
          <w:tcPr>
            <w:tcW w:w="567" w:type="dxa"/>
            <w:vAlign w:val="center"/>
          </w:tcPr>
          <w:p w14:paraId="0038A5C4" w14:textId="77777777" w:rsidR="002435CD" w:rsidRPr="00EA4C9B" w:rsidRDefault="002435CD" w:rsidP="008B3A2E">
            <w:pPr>
              <w:pStyle w:val="Table"/>
            </w:pPr>
            <w:r w:rsidRPr="00EA4C9B">
              <w:t>X</w:t>
            </w:r>
          </w:p>
        </w:tc>
        <w:tc>
          <w:tcPr>
            <w:tcW w:w="567" w:type="dxa"/>
            <w:vAlign w:val="center"/>
          </w:tcPr>
          <w:p w14:paraId="183BF36C" w14:textId="77777777" w:rsidR="002435CD" w:rsidRPr="00EA4C9B" w:rsidRDefault="002435CD" w:rsidP="008B3A2E">
            <w:pPr>
              <w:pStyle w:val="Table"/>
            </w:pPr>
          </w:p>
        </w:tc>
      </w:tr>
      <w:tr w:rsidR="002435CD" w:rsidRPr="00EA4C9B" w14:paraId="236B2661" w14:textId="77777777" w:rsidTr="00BA7936">
        <w:tc>
          <w:tcPr>
            <w:tcW w:w="4957" w:type="dxa"/>
            <w:vAlign w:val="center"/>
          </w:tcPr>
          <w:p w14:paraId="56CD3295" w14:textId="77777777" w:rsidR="002435CD" w:rsidRPr="00EA4C9B" w:rsidRDefault="002435CD" w:rsidP="008B3A2E">
            <w:pPr>
              <w:pStyle w:val="Table"/>
            </w:pPr>
            <w:r w:rsidRPr="00EA4C9B">
              <w:t>Hydraulic infrastructure improvements</w:t>
            </w:r>
          </w:p>
        </w:tc>
        <w:tc>
          <w:tcPr>
            <w:tcW w:w="567" w:type="dxa"/>
            <w:vAlign w:val="center"/>
          </w:tcPr>
          <w:p w14:paraId="191A7139" w14:textId="77777777" w:rsidR="002435CD" w:rsidRPr="00EA4C9B" w:rsidRDefault="002435CD" w:rsidP="008B3A2E">
            <w:pPr>
              <w:pStyle w:val="Table"/>
            </w:pPr>
            <w:r w:rsidRPr="00EA4C9B">
              <w:t>X</w:t>
            </w:r>
          </w:p>
        </w:tc>
        <w:tc>
          <w:tcPr>
            <w:tcW w:w="567" w:type="dxa"/>
            <w:vAlign w:val="center"/>
          </w:tcPr>
          <w:p w14:paraId="26764B2F" w14:textId="77777777" w:rsidR="002435CD" w:rsidRPr="00EA4C9B" w:rsidRDefault="002435CD" w:rsidP="008B3A2E">
            <w:pPr>
              <w:pStyle w:val="Table"/>
            </w:pPr>
          </w:p>
        </w:tc>
        <w:tc>
          <w:tcPr>
            <w:tcW w:w="567" w:type="dxa"/>
            <w:vAlign w:val="center"/>
          </w:tcPr>
          <w:p w14:paraId="232F1BC0" w14:textId="77777777" w:rsidR="002435CD" w:rsidRPr="00EA4C9B" w:rsidRDefault="002435CD" w:rsidP="008B3A2E">
            <w:pPr>
              <w:pStyle w:val="Table"/>
            </w:pPr>
          </w:p>
        </w:tc>
        <w:tc>
          <w:tcPr>
            <w:tcW w:w="567" w:type="dxa"/>
            <w:vAlign w:val="center"/>
          </w:tcPr>
          <w:p w14:paraId="614847C6" w14:textId="77777777" w:rsidR="002435CD" w:rsidRPr="00EA4C9B" w:rsidRDefault="002435CD" w:rsidP="008B3A2E">
            <w:pPr>
              <w:pStyle w:val="Table"/>
            </w:pPr>
          </w:p>
        </w:tc>
        <w:tc>
          <w:tcPr>
            <w:tcW w:w="567" w:type="dxa"/>
            <w:vAlign w:val="center"/>
          </w:tcPr>
          <w:p w14:paraId="2CF66B85" w14:textId="77777777" w:rsidR="002435CD" w:rsidRPr="00EA4C9B" w:rsidRDefault="002435CD" w:rsidP="008B3A2E">
            <w:pPr>
              <w:pStyle w:val="Table"/>
            </w:pPr>
          </w:p>
        </w:tc>
        <w:tc>
          <w:tcPr>
            <w:tcW w:w="567" w:type="dxa"/>
            <w:vAlign w:val="center"/>
          </w:tcPr>
          <w:p w14:paraId="04879913" w14:textId="77777777" w:rsidR="002435CD" w:rsidRPr="00EA4C9B" w:rsidRDefault="002435CD" w:rsidP="008B3A2E">
            <w:pPr>
              <w:pStyle w:val="Table"/>
            </w:pPr>
          </w:p>
        </w:tc>
        <w:tc>
          <w:tcPr>
            <w:tcW w:w="567" w:type="dxa"/>
            <w:vAlign w:val="center"/>
          </w:tcPr>
          <w:p w14:paraId="61081384" w14:textId="77777777" w:rsidR="002435CD" w:rsidRPr="00EA4C9B" w:rsidRDefault="002435CD" w:rsidP="008B3A2E">
            <w:pPr>
              <w:pStyle w:val="Table"/>
            </w:pPr>
          </w:p>
        </w:tc>
        <w:tc>
          <w:tcPr>
            <w:tcW w:w="567" w:type="dxa"/>
            <w:vAlign w:val="center"/>
          </w:tcPr>
          <w:p w14:paraId="0DE18FD7" w14:textId="77777777" w:rsidR="002435CD" w:rsidRPr="00EA4C9B" w:rsidRDefault="002435CD" w:rsidP="008B3A2E">
            <w:pPr>
              <w:pStyle w:val="Table"/>
            </w:pPr>
          </w:p>
        </w:tc>
        <w:tc>
          <w:tcPr>
            <w:tcW w:w="567" w:type="dxa"/>
            <w:vAlign w:val="center"/>
          </w:tcPr>
          <w:p w14:paraId="2157D943" w14:textId="77777777" w:rsidR="002435CD" w:rsidRPr="00EA4C9B" w:rsidRDefault="002435CD" w:rsidP="008B3A2E">
            <w:pPr>
              <w:pStyle w:val="Table"/>
            </w:pPr>
          </w:p>
        </w:tc>
        <w:tc>
          <w:tcPr>
            <w:tcW w:w="567" w:type="dxa"/>
            <w:vAlign w:val="center"/>
          </w:tcPr>
          <w:p w14:paraId="4236B4FC" w14:textId="77777777" w:rsidR="002435CD" w:rsidRPr="00EA4C9B" w:rsidRDefault="002435CD" w:rsidP="008B3A2E">
            <w:pPr>
              <w:pStyle w:val="Table"/>
            </w:pPr>
          </w:p>
        </w:tc>
        <w:tc>
          <w:tcPr>
            <w:tcW w:w="567" w:type="dxa"/>
            <w:vAlign w:val="center"/>
          </w:tcPr>
          <w:p w14:paraId="47C9F2A0" w14:textId="77777777" w:rsidR="002435CD" w:rsidRPr="00EA4C9B" w:rsidRDefault="002435CD" w:rsidP="008B3A2E">
            <w:pPr>
              <w:pStyle w:val="Table"/>
            </w:pPr>
          </w:p>
        </w:tc>
        <w:tc>
          <w:tcPr>
            <w:tcW w:w="567" w:type="dxa"/>
            <w:vAlign w:val="center"/>
          </w:tcPr>
          <w:p w14:paraId="296DBE1E" w14:textId="77777777" w:rsidR="002435CD" w:rsidRPr="00EA4C9B" w:rsidRDefault="002435CD" w:rsidP="008B3A2E">
            <w:pPr>
              <w:pStyle w:val="Table"/>
            </w:pPr>
          </w:p>
        </w:tc>
        <w:tc>
          <w:tcPr>
            <w:tcW w:w="567" w:type="dxa"/>
            <w:vAlign w:val="center"/>
          </w:tcPr>
          <w:p w14:paraId="72233E24" w14:textId="77777777" w:rsidR="002435CD" w:rsidRPr="00EA4C9B" w:rsidRDefault="002435CD" w:rsidP="008B3A2E">
            <w:pPr>
              <w:pStyle w:val="Table"/>
            </w:pPr>
          </w:p>
        </w:tc>
        <w:tc>
          <w:tcPr>
            <w:tcW w:w="567" w:type="dxa"/>
            <w:vAlign w:val="center"/>
          </w:tcPr>
          <w:p w14:paraId="4D13E297" w14:textId="77777777" w:rsidR="002435CD" w:rsidRPr="00EA4C9B" w:rsidRDefault="002435CD" w:rsidP="008B3A2E">
            <w:pPr>
              <w:pStyle w:val="Table"/>
            </w:pPr>
          </w:p>
        </w:tc>
        <w:tc>
          <w:tcPr>
            <w:tcW w:w="567" w:type="dxa"/>
            <w:vAlign w:val="center"/>
          </w:tcPr>
          <w:p w14:paraId="0EE889E8" w14:textId="77777777" w:rsidR="002435CD" w:rsidRPr="00EA4C9B" w:rsidRDefault="002435CD" w:rsidP="008B3A2E">
            <w:pPr>
              <w:pStyle w:val="Table"/>
            </w:pPr>
          </w:p>
        </w:tc>
        <w:tc>
          <w:tcPr>
            <w:tcW w:w="567" w:type="dxa"/>
            <w:vAlign w:val="center"/>
          </w:tcPr>
          <w:p w14:paraId="09FF54F6" w14:textId="77777777" w:rsidR="002435CD" w:rsidRPr="00EA4C9B" w:rsidRDefault="002435CD" w:rsidP="008B3A2E">
            <w:pPr>
              <w:pStyle w:val="Table"/>
            </w:pPr>
          </w:p>
        </w:tc>
      </w:tr>
      <w:tr w:rsidR="002435CD" w:rsidRPr="00EA4C9B" w14:paraId="2DE8B611" w14:textId="77777777" w:rsidTr="00BA7936">
        <w:tc>
          <w:tcPr>
            <w:tcW w:w="4957" w:type="dxa"/>
            <w:vAlign w:val="center"/>
          </w:tcPr>
          <w:p w14:paraId="60AC15E0" w14:textId="77777777" w:rsidR="002435CD" w:rsidRPr="00EA4C9B" w:rsidRDefault="002435CD" w:rsidP="008B3A2E">
            <w:pPr>
              <w:pStyle w:val="Table"/>
            </w:pPr>
            <w:r w:rsidRPr="00EA4C9B">
              <w:t>Stored water</w:t>
            </w:r>
          </w:p>
        </w:tc>
        <w:tc>
          <w:tcPr>
            <w:tcW w:w="567" w:type="dxa"/>
            <w:vAlign w:val="center"/>
          </w:tcPr>
          <w:p w14:paraId="44D02CE2" w14:textId="77777777" w:rsidR="002435CD" w:rsidRPr="00EA4C9B" w:rsidRDefault="002435CD" w:rsidP="008B3A2E">
            <w:pPr>
              <w:pStyle w:val="Table"/>
            </w:pPr>
          </w:p>
        </w:tc>
        <w:tc>
          <w:tcPr>
            <w:tcW w:w="567" w:type="dxa"/>
            <w:vAlign w:val="center"/>
          </w:tcPr>
          <w:p w14:paraId="0156B345" w14:textId="77777777" w:rsidR="002435CD" w:rsidRPr="00EA4C9B" w:rsidRDefault="002435CD" w:rsidP="008B3A2E">
            <w:pPr>
              <w:pStyle w:val="Table"/>
            </w:pPr>
          </w:p>
        </w:tc>
        <w:tc>
          <w:tcPr>
            <w:tcW w:w="567" w:type="dxa"/>
            <w:vAlign w:val="center"/>
          </w:tcPr>
          <w:p w14:paraId="76281762" w14:textId="77777777" w:rsidR="002435CD" w:rsidRPr="00EA4C9B" w:rsidRDefault="002435CD" w:rsidP="008B3A2E">
            <w:pPr>
              <w:pStyle w:val="Table"/>
            </w:pPr>
          </w:p>
        </w:tc>
        <w:tc>
          <w:tcPr>
            <w:tcW w:w="567" w:type="dxa"/>
            <w:vAlign w:val="center"/>
          </w:tcPr>
          <w:p w14:paraId="7B160914" w14:textId="77777777" w:rsidR="002435CD" w:rsidRPr="00EA4C9B" w:rsidRDefault="002435CD" w:rsidP="008B3A2E">
            <w:pPr>
              <w:pStyle w:val="Table"/>
            </w:pPr>
          </w:p>
        </w:tc>
        <w:tc>
          <w:tcPr>
            <w:tcW w:w="567" w:type="dxa"/>
            <w:vAlign w:val="center"/>
          </w:tcPr>
          <w:p w14:paraId="17674106" w14:textId="77777777" w:rsidR="002435CD" w:rsidRPr="00EA4C9B" w:rsidRDefault="002435CD" w:rsidP="008B3A2E">
            <w:pPr>
              <w:pStyle w:val="Table"/>
            </w:pPr>
          </w:p>
        </w:tc>
        <w:tc>
          <w:tcPr>
            <w:tcW w:w="567" w:type="dxa"/>
            <w:vAlign w:val="center"/>
          </w:tcPr>
          <w:p w14:paraId="6F364749" w14:textId="77777777" w:rsidR="002435CD" w:rsidRPr="00EA4C9B" w:rsidRDefault="002435CD" w:rsidP="008B3A2E">
            <w:pPr>
              <w:pStyle w:val="Table"/>
            </w:pPr>
            <w:r w:rsidRPr="00EA4C9B">
              <w:t>X</w:t>
            </w:r>
          </w:p>
        </w:tc>
        <w:tc>
          <w:tcPr>
            <w:tcW w:w="567" w:type="dxa"/>
            <w:vAlign w:val="center"/>
          </w:tcPr>
          <w:p w14:paraId="1059BFFF" w14:textId="77777777" w:rsidR="002435CD" w:rsidRPr="00EA4C9B" w:rsidRDefault="002435CD" w:rsidP="008B3A2E">
            <w:pPr>
              <w:pStyle w:val="Table"/>
            </w:pPr>
          </w:p>
        </w:tc>
        <w:tc>
          <w:tcPr>
            <w:tcW w:w="567" w:type="dxa"/>
            <w:vAlign w:val="center"/>
          </w:tcPr>
          <w:p w14:paraId="5E275281" w14:textId="77777777" w:rsidR="002435CD" w:rsidRPr="00EA4C9B" w:rsidRDefault="002435CD" w:rsidP="008B3A2E">
            <w:pPr>
              <w:pStyle w:val="Table"/>
            </w:pPr>
          </w:p>
        </w:tc>
        <w:tc>
          <w:tcPr>
            <w:tcW w:w="567" w:type="dxa"/>
            <w:vAlign w:val="center"/>
          </w:tcPr>
          <w:p w14:paraId="259519E6" w14:textId="77777777" w:rsidR="002435CD" w:rsidRPr="00EA4C9B" w:rsidRDefault="002435CD" w:rsidP="008B3A2E">
            <w:pPr>
              <w:pStyle w:val="Table"/>
            </w:pPr>
          </w:p>
        </w:tc>
        <w:tc>
          <w:tcPr>
            <w:tcW w:w="567" w:type="dxa"/>
            <w:vAlign w:val="center"/>
          </w:tcPr>
          <w:p w14:paraId="640F49C5" w14:textId="77777777" w:rsidR="002435CD" w:rsidRPr="00EA4C9B" w:rsidRDefault="002435CD" w:rsidP="008B3A2E">
            <w:pPr>
              <w:pStyle w:val="Table"/>
            </w:pPr>
          </w:p>
        </w:tc>
        <w:tc>
          <w:tcPr>
            <w:tcW w:w="567" w:type="dxa"/>
            <w:vAlign w:val="center"/>
          </w:tcPr>
          <w:p w14:paraId="398DF3C4" w14:textId="77777777" w:rsidR="002435CD" w:rsidRPr="00EA4C9B" w:rsidRDefault="002435CD" w:rsidP="008B3A2E">
            <w:pPr>
              <w:pStyle w:val="Table"/>
            </w:pPr>
            <w:r w:rsidRPr="00EA4C9B">
              <w:t>X</w:t>
            </w:r>
          </w:p>
        </w:tc>
        <w:tc>
          <w:tcPr>
            <w:tcW w:w="567" w:type="dxa"/>
            <w:vAlign w:val="center"/>
          </w:tcPr>
          <w:p w14:paraId="15CD80F2" w14:textId="77777777" w:rsidR="002435CD" w:rsidRPr="00EA4C9B" w:rsidRDefault="002435CD" w:rsidP="008B3A2E">
            <w:pPr>
              <w:pStyle w:val="Table"/>
            </w:pPr>
          </w:p>
        </w:tc>
        <w:tc>
          <w:tcPr>
            <w:tcW w:w="567" w:type="dxa"/>
            <w:vAlign w:val="center"/>
          </w:tcPr>
          <w:p w14:paraId="07D8761F" w14:textId="77777777" w:rsidR="002435CD" w:rsidRPr="00EA4C9B" w:rsidRDefault="002435CD" w:rsidP="008B3A2E">
            <w:pPr>
              <w:pStyle w:val="Table"/>
            </w:pPr>
          </w:p>
        </w:tc>
        <w:tc>
          <w:tcPr>
            <w:tcW w:w="567" w:type="dxa"/>
            <w:vAlign w:val="center"/>
          </w:tcPr>
          <w:p w14:paraId="16382B34" w14:textId="77777777" w:rsidR="002435CD" w:rsidRPr="00EA4C9B" w:rsidRDefault="002435CD" w:rsidP="008B3A2E">
            <w:pPr>
              <w:pStyle w:val="Table"/>
            </w:pPr>
          </w:p>
        </w:tc>
        <w:tc>
          <w:tcPr>
            <w:tcW w:w="567" w:type="dxa"/>
            <w:vAlign w:val="center"/>
          </w:tcPr>
          <w:p w14:paraId="03DE1641" w14:textId="77777777" w:rsidR="002435CD" w:rsidRPr="00EA4C9B" w:rsidRDefault="002435CD" w:rsidP="008B3A2E">
            <w:pPr>
              <w:pStyle w:val="Table"/>
            </w:pPr>
          </w:p>
        </w:tc>
        <w:tc>
          <w:tcPr>
            <w:tcW w:w="567" w:type="dxa"/>
            <w:vAlign w:val="center"/>
          </w:tcPr>
          <w:p w14:paraId="7A085D1A" w14:textId="77777777" w:rsidR="002435CD" w:rsidRPr="00EA4C9B" w:rsidRDefault="002435CD" w:rsidP="008B3A2E">
            <w:pPr>
              <w:pStyle w:val="Table"/>
            </w:pPr>
          </w:p>
        </w:tc>
      </w:tr>
      <w:tr w:rsidR="002435CD" w:rsidRPr="00EA4C9B" w14:paraId="5B8B2E62" w14:textId="77777777" w:rsidTr="00BA7936">
        <w:tc>
          <w:tcPr>
            <w:tcW w:w="14029" w:type="dxa"/>
            <w:gridSpan w:val="17"/>
            <w:shd w:val="clear" w:color="auto" w:fill="C6D9F1" w:themeFill="text2" w:themeFillTint="33"/>
            <w:vAlign w:val="center"/>
          </w:tcPr>
          <w:p w14:paraId="539D7B2C" w14:textId="77777777" w:rsidR="002435CD" w:rsidRPr="008B3A2E" w:rsidRDefault="002435CD" w:rsidP="008B3A2E">
            <w:pPr>
              <w:pStyle w:val="Table"/>
              <w:jc w:val="center"/>
              <w:rPr>
                <w:b/>
              </w:rPr>
            </w:pPr>
            <w:r w:rsidRPr="008B3A2E">
              <w:rPr>
                <w:b/>
              </w:rPr>
              <w:t>Tourism</w:t>
            </w:r>
          </w:p>
        </w:tc>
      </w:tr>
      <w:tr w:rsidR="002435CD" w:rsidRPr="00EA4C9B" w14:paraId="4A28A984" w14:textId="77777777" w:rsidTr="00BA7936">
        <w:tc>
          <w:tcPr>
            <w:tcW w:w="4957" w:type="dxa"/>
            <w:vAlign w:val="center"/>
          </w:tcPr>
          <w:p w14:paraId="057F58EC" w14:textId="77777777" w:rsidR="002435CD" w:rsidRPr="00EA4C9B" w:rsidRDefault="002435CD" w:rsidP="008B3A2E">
            <w:pPr>
              <w:pStyle w:val="Table"/>
            </w:pPr>
            <w:r w:rsidRPr="00EA4C9B">
              <w:t>Eco-tax</w:t>
            </w:r>
          </w:p>
        </w:tc>
        <w:tc>
          <w:tcPr>
            <w:tcW w:w="567" w:type="dxa"/>
            <w:vAlign w:val="center"/>
          </w:tcPr>
          <w:p w14:paraId="0182F7C2" w14:textId="77777777" w:rsidR="002435CD" w:rsidRPr="00EA4C9B" w:rsidRDefault="002435CD" w:rsidP="008B3A2E">
            <w:pPr>
              <w:pStyle w:val="Table"/>
            </w:pPr>
          </w:p>
        </w:tc>
        <w:tc>
          <w:tcPr>
            <w:tcW w:w="567" w:type="dxa"/>
            <w:vAlign w:val="center"/>
          </w:tcPr>
          <w:p w14:paraId="18676C6D" w14:textId="77777777" w:rsidR="002435CD" w:rsidRPr="00EA4C9B" w:rsidRDefault="002435CD" w:rsidP="008B3A2E">
            <w:pPr>
              <w:pStyle w:val="Table"/>
            </w:pPr>
          </w:p>
        </w:tc>
        <w:tc>
          <w:tcPr>
            <w:tcW w:w="567" w:type="dxa"/>
            <w:vAlign w:val="center"/>
          </w:tcPr>
          <w:p w14:paraId="52B745C0" w14:textId="77777777" w:rsidR="002435CD" w:rsidRPr="00EA4C9B" w:rsidRDefault="002435CD" w:rsidP="008B3A2E">
            <w:pPr>
              <w:pStyle w:val="Table"/>
            </w:pPr>
          </w:p>
        </w:tc>
        <w:tc>
          <w:tcPr>
            <w:tcW w:w="567" w:type="dxa"/>
            <w:vAlign w:val="center"/>
          </w:tcPr>
          <w:p w14:paraId="5BFBA5E9" w14:textId="77777777" w:rsidR="002435CD" w:rsidRPr="00EA4C9B" w:rsidRDefault="002435CD" w:rsidP="008B3A2E">
            <w:pPr>
              <w:pStyle w:val="Table"/>
            </w:pPr>
            <w:r w:rsidRPr="00EA4C9B">
              <w:t>X</w:t>
            </w:r>
          </w:p>
        </w:tc>
        <w:tc>
          <w:tcPr>
            <w:tcW w:w="567" w:type="dxa"/>
            <w:vAlign w:val="center"/>
          </w:tcPr>
          <w:p w14:paraId="6018C4FE" w14:textId="77777777" w:rsidR="002435CD" w:rsidRPr="00EA4C9B" w:rsidRDefault="002435CD" w:rsidP="008B3A2E">
            <w:pPr>
              <w:pStyle w:val="Table"/>
            </w:pPr>
          </w:p>
        </w:tc>
        <w:tc>
          <w:tcPr>
            <w:tcW w:w="567" w:type="dxa"/>
            <w:vAlign w:val="center"/>
          </w:tcPr>
          <w:p w14:paraId="314A2CF3" w14:textId="77777777" w:rsidR="002435CD" w:rsidRPr="00EA4C9B" w:rsidRDefault="002435CD" w:rsidP="008B3A2E">
            <w:pPr>
              <w:pStyle w:val="Table"/>
            </w:pPr>
          </w:p>
        </w:tc>
        <w:tc>
          <w:tcPr>
            <w:tcW w:w="567" w:type="dxa"/>
            <w:vAlign w:val="center"/>
          </w:tcPr>
          <w:p w14:paraId="05AB369B" w14:textId="77777777" w:rsidR="002435CD" w:rsidRPr="00EA4C9B" w:rsidRDefault="002435CD" w:rsidP="008B3A2E">
            <w:pPr>
              <w:pStyle w:val="Table"/>
            </w:pPr>
          </w:p>
        </w:tc>
        <w:tc>
          <w:tcPr>
            <w:tcW w:w="567" w:type="dxa"/>
            <w:vAlign w:val="center"/>
          </w:tcPr>
          <w:p w14:paraId="145A80FF" w14:textId="77777777" w:rsidR="002435CD" w:rsidRPr="00EA4C9B" w:rsidRDefault="002435CD" w:rsidP="008B3A2E">
            <w:pPr>
              <w:pStyle w:val="Table"/>
            </w:pPr>
          </w:p>
        </w:tc>
        <w:tc>
          <w:tcPr>
            <w:tcW w:w="567" w:type="dxa"/>
            <w:vAlign w:val="center"/>
          </w:tcPr>
          <w:p w14:paraId="6F138250" w14:textId="77777777" w:rsidR="002435CD" w:rsidRPr="00EA4C9B" w:rsidRDefault="002435CD" w:rsidP="008B3A2E">
            <w:pPr>
              <w:pStyle w:val="Table"/>
            </w:pPr>
          </w:p>
        </w:tc>
        <w:tc>
          <w:tcPr>
            <w:tcW w:w="567" w:type="dxa"/>
            <w:vAlign w:val="center"/>
          </w:tcPr>
          <w:p w14:paraId="5A7B226F" w14:textId="77777777" w:rsidR="002435CD" w:rsidRPr="00EA4C9B" w:rsidRDefault="002435CD" w:rsidP="008B3A2E">
            <w:pPr>
              <w:pStyle w:val="Table"/>
            </w:pPr>
          </w:p>
        </w:tc>
        <w:tc>
          <w:tcPr>
            <w:tcW w:w="567" w:type="dxa"/>
            <w:vAlign w:val="center"/>
          </w:tcPr>
          <w:p w14:paraId="40E4E167" w14:textId="77777777" w:rsidR="002435CD" w:rsidRPr="00EA4C9B" w:rsidRDefault="002435CD" w:rsidP="008B3A2E">
            <w:pPr>
              <w:pStyle w:val="Table"/>
            </w:pPr>
          </w:p>
        </w:tc>
        <w:tc>
          <w:tcPr>
            <w:tcW w:w="567" w:type="dxa"/>
            <w:vAlign w:val="center"/>
          </w:tcPr>
          <w:p w14:paraId="27A80788" w14:textId="77777777" w:rsidR="002435CD" w:rsidRPr="00EA4C9B" w:rsidRDefault="002435CD" w:rsidP="008B3A2E">
            <w:pPr>
              <w:pStyle w:val="Table"/>
            </w:pPr>
            <w:r w:rsidRPr="00EA4C9B">
              <w:t>X</w:t>
            </w:r>
          </w:p>
        </w:tc>
        <w:tc>
          <w:tcPr>
            <w:tcW w:w="567" w:type="dxa"/>
            <w:vAlign w:val="center"/>
          </w:tcPr>
          <w:p w14:paraId="7435C172" w14:textId="77777777" w:rsidR="002435CD" w:rsidRPr="00EA4C9B" w:rsidRDefault="002435CD" w:rsidP="008B3A2E">
            <w:pPr>
              <w:pStyle w:val="Table"/>
            </w:pPr>
          </w:p>
        </w:tc>
        <w:tc>
          <w:tcPr>
            <w:tcW w:w="567" w:type="dxa"/>
            <w:vAlign w:val="center"/>
          </w:tcPr>
          <w:p w14:paraId="4D4B38D6" w14:textId="77777777" w:rsidR="002435CD" w:rsidRPr="00EA4C9B" w:rsidRDefault="002435CD" w:rsidP="008B3A2E">
            <w:pPr>
              <w:pStyle w:val="Table"/>
            </w:pPr>
          </w:p>
        </w:tc>
        <w:tc>
          <w:tcPr>
            <w:tcW w:w="567" w:type="dxa"/>
            <w:vAlign w:val="center"/>
          </w:tcPr>
          <w:p w14:paraId="59D03E56" w14:textId="77777777" w:rsidR="002435CD" w:rsidRPr="00EA4C9B" w:rsidRDefault="002435CD" w:rsidP="008B3A2E">
            <w:pPr>
              <w:pStyle w:val="Table"/>
            </w:pPr>
          </w:p>
        </w:tc>
        <w:tc>
          <w:tcPr>
            <w:tcW w:w="567" w:type="dxa"/>
            <w:vAlign w:val="center"/>
          </w:tcPr>
          <w:p w14:paraId="24F445DB" w14:textId="77777777" w:rsidR="002435CD" w:rsidRPr="00EA4C9B" w:rsidRDefault="002435CD" w:rsidP="008B3A2E">
            <w:pPr>
              <w:pStyle w:val="Table"/>
            </w:pPr>
          </w:p>
        </w:tc>
      </w:tr>
    </w:tbl>
    <w:p w14:paraId="14FC0752" w14:textId="77777777" w:rsidR="002435CD" w:rsidRPr="004F0767" w:rsidRDefault="002435CD" w:rsidP="002435CD">
      <w:pPr>
        <w:pStyle w:val="NormalWeb"/>
        <w:spacing w:before="0" w:beforeAutospacing="0" w:after="120" w:afterAutospacing="0"/>
        <w:jc w:val="center"/>
        <w:rPr>
          <w:rFonts w:asciiTheme="minorHAnsi" w:eastAsiaTheme="minorHAnsi" w:hAnsiTheme="minorHAnsi" w:cstheme="minorBidi"/>
          <w:i/>
          <w:sz w:val="20"/>
          <w:szCs w:val="20"/>
          <w:lang w:val="es-ES" w:eastAsia="en-US"/>
        </w:rPr>
        <w:sectPr w:rsidR="002435CD" w:rsidRPr="004F0767" w:rsidSect="002435CD">
          <w:pgSz w:w="16838" w:h="11906" w:orient="landscape"/>
          <w:pgMar w:top="1440" w:right="1418" w:bottom="1440" w:left="851" w:header="709" w:footer="709" w:gutter="0"/>
          <w:cols w:space="708"/>
          <w:docGrid w:linePitch="360"/>
        </w:sectPr>
      </w:pPr>
      <w:r w:rsidRPr="004F0767">
        <w:rPr>
          <w:rFonts w:asciiTheme="minorHAnsi" w:eastAsiaTheme="minorHAnsi" w:hAnsiTheme="minorHAnsi" w:cstheme="minorBidi"/>
          <w:i/>
          <w:sz w:val="20"/>
          <w:szCs w:val="20"/>
          <w:lang w:val="es-ES" w:eastAsia="en-US"/>
        </w:rPr>
        <w:t xml:space="preserve">Source: Ihobe (2003); </w:t>
      </w:r>
      <w:bookmarkStart w:id="318" w:name="_Hlk1900297"/>
      <w:r w:rsidRPr="004F0767">
        <w:rPr>
          <w:rFonts w:asciiTheme="minorHAnsi" w:eastAsiaTheme="minorHAnsi" w:hAnsiTheme="minorHAnsi" w:cstheme="minorBidi"/>
          <w:i/>
          <w:sz w:val="20"/>
          <w:szCs w:val="20"/>
          <w:lang w:val="es-ES" w:eastAsia="en-US"/>
        </w:rPr>
        <w:t>Puig Ventosa (2008): Gago, Labandeira, López-Otero (2013); Jofra Sora M. y Puig Ventosa I. (2014)</w:t>
      </w:r>
      <w:bookmarkEnd w:id="318"/>
      <w:r w:rsidRPr="004F0767">
        <w:rPr>
          <w:rFonts w:asciiTheme="minorHAnsi" w:eastAsiaTheme="minorHAnsi" w:hAnsiTheme="minorHAnsi" w:cstheme="minorBidi"/>
          <w:i/>
          <w:sz w:val="20"/>
          <w:szCs w:val="20"/>
          <w:lang w:val="es-ES" w:eastAsia="en-US"/>
        </w:rPr>
        <w:t>; González (2016); Hacienda Foral de Navarra</w:t>
      </w:r>
    </w:p>
    <w:p w14:paraId="23B18A84" w14:textId="77777777" w:rsidR="002435CD" w:rsidRPr="00EA4C9B" w:rsidRDefault="002435CD" w:rsidP="007C4EB7">
      <w:pPr>
        <w:pStyle w:val="AnnexHeading2"/>
      </w:pPr>
      <w:bookmarkStart w:id="319" w:name="_Toc214008956"/>
      <w:r w:rsidRPr="00EA4C9B">
        <w:lastRenderedPageBreak/>
        <w:t>Potential for implementing additional environmental taxes</w:t>
      </w:r>
      <w:bookmarkEnd w:id="319"/>
    </w:p>
    <w:p w14:paraId="6D1BA67E" w14:textId="77777777" w:rsidR="002435CD" w:rsidRPr="00EA4C9B" w:rsidRDefault="002435CD" w:rsidP="002435CD">
      <w:pPr>
        <w:pStyle w:val="NormalWeb"/>
        <w:spacing w:before="120" w:beforeAutospacing="0" w:after="120" w:afterAutospacing="0"/>
        <w:jc w:val="both"/>
        <w:rPr>
          <w:rFonts w:asciiTheme="minorHAnsi" w:eastAsiaTheme="minorHAnsi" w:hAnsiTheme="minorHAnsi" w:cstheme="minorBidi"/>
          <w:sz w:val="22"/>
          <w:szCs w:val="22"/>
          <w:lang w:eastAsia="en-US"/>
        </w:rPr>
      </w:pPr>
      <w:r w:rsidRPr="00EA4C9B">
        <w:rPr>
          <w:rFonts w:asciiTheme="minorHAnsi" w:eastAsiaTheme="minorHAnsi" w:hAnsiTheme="minorHAnsi" w:cstheme="minorBidi"/>
          <w:sz w:val="22"/>
          <w:szCs w:val="22"/>
          <w:lang w:eastAsia="en-US"/>
        </w:rPr>
        <w:t>Although Spain has taken steps forward in recent years, there is scope to improve the composition of government revenues in a way that better supports both growth and fiscal sustainability. In 2023, pollution taxes accounted for only 6.9% of total environmental tax revenues, despite being crucial for applying the ‘polluter pays’ principle. Furthermore, the system is complex due to the country's own administrative structure (central state, CC.AA., local entities, etc.).</w:t>
      </w:r>
    </w:p>
    <w:p w14:paraId="58CF26FC" w14:textId="77777777" w:rsidR="002435CD" w:rsidRPr="00EA4C9B" w:rsidRDefault="002435CD" w:rsidP="002435CD">
      <w:pPr>
        <w:pStyle w:val="NormalWeb"/>
        <w:spacing w:before="120" w:beforeAutospacing="0" w:after="120" w:afterAutospacing="0"/>
        <w:jc w:val="both"/>
        <w:rPr>
          <w:rFonts w:asciiTheme="minorHAnsi" w:eastAsiaTheme="minorHAnsi" w:hAnsiTheme="minorHAnsi" w:cstheme="minorBidi"/>
          <w:sz w:val="22"/>
          <w:szCs w:val="22"/>
          <w:lang w:eastAsia="en-US"/>
        </w:rPr>
      </w:pPr>
      <w:r w:rsidRPr="0DB99A64">
        <w:rPr>
          <w:rFonts w:asciiTheme="minorHAnsi" w:eastAsiaTheme="minorEastAsia" w:hAnsiTheme="minorHAnsi" w:cstheme="minorBidi"/>
          <w:sz w:val="22"/>
          <w:szCs w:val="22"/>
          <w:lang w:eastAsia="en-US"/>
        </w:rPr>
        <w:t>Several studies</w:t>
      </w:r>
      <w:r w:rsidRPr="0DB99A64">
        <w:rPr>
          <w:rStyle w:val="FootnoteReference"/>
          <w:rFonts w:asciiTheme="minorHAnsi" w:eastAsiaTheme="minorEastAsia" w:hAnsiTheme="minorHAnsi" w:cstheme="minorBidi"/>
          <w:sz w:val="22"/>
          <w:szCs w:val="22"/>
          <w:lang w:eastAsia="en-US"/>
        </w:rPr>
        <w:footnoteReference w:id="819"/>
      </w:r>
      <w:r w:rsidRPr="0DB99A64">
        <w:rPr>
          <w:rFonts w:asciiTheme="minorHAnsi" w:eastAsiaTheme="minorEastAsia" w:hAnsiTheme="minorHAnsi" w:cstheme="minorBidi"/>
          <w:sz w:val="22"/>
          <w:szCs w:val="22"/>
          <w:lang w:eastAsia="en-US"/>
        </w:rPr>
        <w:t xml:space="preserve"> point to the need for tax reform. Reform attempts include:</w:t>
      </w:r>
    </w:p>
    <w:p w14:paraId="1E176B17" w14:textId="77777777" w:rsidR="002435CD" w:rsidRPr="00EA4C9B" w:rsidRDefault="002435CD" w:rsidP="009B400E">
      <w:pPr>
        <w:pStyle w:val="Bulletlist"/>
        <w:numPr>
          <w:ilvl w:val="0"/>
          <w:numId w:val="24"/>
        </w:numPr>
      </w:pPr>
      <w:r w:rsidRPr="00EA4C9B">
        <w:rPr>
          <w:i/>
          <w:iCs/>
        </w:rPr>
        <w:t>Sustainable electrification</w:t>
      </w:r>
      <w:r w:rsidRPr="00EA4C9B">
        <w:t>: currently, state taxation on electricity generation consists of the tax on the value of electricity production (IVPEE), introduced in 2013 but suspended in its application on several occasions since 2018, in addition to two taxes also introduced in 2013 on the production of radioactive waste and its storage. The levy for the use of inland waters for electricity production was also created in 2013.  At the Autonomous Community level, there are specific taxes with effects on the generation and distribution of electricity which, so far, are applied by eleven CC.AA., in the form of taxes on atmospheric emissions, on facilities, electricity generation, dammed water and wind energy. Harmonized indirect taxation on electricity consumption includes Value Added Tax (VAT) at the general rate and the special tax on electricity (IEE). The Committee that prepared this report proposes to abolish the tax on the value of electricity production (proposal 1), introduce measures to improve the design and effectiveness of regional taxes with effects on the electricity sector (proposal 2), and modify (reduce) the IEE to promote electrification and energy efficiency (proposal 3).</w:t>
      </w:r>
    </w:p>
    <w:p w14:paraId="03740728" w14:textId="77777777" w:rsidR="002435CD" w:rsidRPr="00EA4C9B" w:rsidRDefault="002435CD" w:rsidP="009B400E">
      <w:pPr>
        <w:pStyle w:val="Bulletlist"/>
        <w:numPr>
          <w:ilvl w:val="0"/>
          <w:numId w:val="24"/>
        </w:numPr>
      </w:pPr>
      <w:r w:rsidRPr="00EA4C9B">
        <w:rPr>
          <w:i/>
          <w:iCs/>
        </w:rPr>
        <w:t>Mobility compatible with the transition</w:t>
      </w:r>
      <w:r w:rsidRPr="00EA4C9B">
        <w:t xml:space="preserve">: it considers scenarios of significant increases in the environmental taxation of fossil fuels and transportation. Existing environmental taxes in Spain include the excise tax on hydrocarbons (IEH), which is levied on motor fuels, LPG, natural gas, diesel and fuel oil. The special tax on coal and the special tax on certain means of transport (IEDMT) - which is assigned to the CC.AA. - should also be mentioned here -. Environmental taxation on transport is completed with the municipal tax on mechanical traction vehicles (IVTM). The Committee proposes to introduce taxation of aviation (kerosene), marine and agricultural fuels – diesel – (proposal 4), the equalization of taxation of diesel and gasoline for automotive vehicles (proposal 5), a general increase in hydrocarbons taxation (proposal 6), a modification of the IEDMT to promote a sustainable vehicle fleet (proposal 7), a new configuration of the IVTM to penalize the most polluting technologies (proposal 8), the creation of a municipal congestion tax in certain cities (proposal 9), the consideration of tax mechanisms for payment for the use of certain road infrastructures (proposal 10), and the creation of a tax on airline tickets (proposal 11). </w:t>
      </w:r>
    </w:p>
    <w:p w14:paraId="15434D0B" w14:textId="3091885F" w:rsidR="002435CD" w:rsidRPr="00EA4C9B" w:rsidRDefault="002435CD" w:rsidP="009B400E">
      <w:pPr>
        <w:pStyle w:val="Bulletlist"/>
        <w:numPr>
          <w:ilvl w:val="0"/>
          <w:numId w:val="24"/>
        </w:numPr>
      </w:pPr>
      <w:r w:rsidRPr="00EA4C9B">
        <w:rPr>
          <w:i/>
          <w:iCs/>
        </w:rPr>
        <w:t>Increased circularity</w:t>
      </w:r>
      <w:r w:rsidRPr="00EA4C9B">
        <w:t xml:space="preserve">: there is a set of commitments in the field of circular economy that is far from being fulfilled in many cases. In this regard, the European Commission indicated in 2019 that, although municipal waste has decreased in recent years and is below the EU average in per capita terms, its treatment has not improved significantly, with a level of recycling far behind European figures since the beginning of the century. The Committee focuses its proposals on three forms of taxation: pay-as-you-throw systems, taxes on waste delivery and taxes on the extraction of certain materials. Specifically, they propose to intensify and extend the taxes of the Law on Waste and Contaminated Soil (proposal 12), the reformulation of municipal waste taxation to link it to pay-as-you-throw systems (proposal 13), the creation of a tax on aggregate extraction (proposal 14), the creation of a tax on nitrogen fertilizers (proposal 15), and to extend and harmonize taxation on certain emissions from large industrial and livestock facilities (proposal 16). </w:t>
      </w:r>
      <w:r w:rsidR="00BC57AE" w:rsidRPr="00BC57AE">
        <w:t xml:space="preserve">As an illustration of good practice, the 2025 EU waste </w:t>
      </w:r>
      <w:r w:rsidR="00BC57AE" w:rsidRPr="00BC57AE">
        <w:lastRenderedPageBreak/>
        <w:t>recycling targets report</w:t>
      </w:r>
      <w:r w:rsidR="008E1183">
        <w:rPr>
          <w:rStyle w:val="FootnoteReference"/>
        </w:rPr>
        <w:footnoteReference w:id="820"/>
      </w:r>
      <w:r w:rsidR="00BC57AE" w:rsidRPr="00BC57AE">
        <w:t xml:space="preserve"> highlights the implementation of </w:t>
      </w:r>
      <w:r w:rsidR="00BC57AE">
        <w:t>pay-as-you-throw</w:t>
      </w:r>
      <w:r w:rsidR="00BC57AE" w:rsidRPr="00BC57AE">
        <w:t xml:space="preserve"> systems in several Spanish municipalities. These include initiatives with differentiated waste fees directly linked to the amount of waste generated. </w:t>
      </w:r>
      <w:r w:rsidR="00163D6E">
        <w:t>Pay-as-you-throw</w:t>
      </w:r>
      <w:r w:rsidR="00BC57AE" w:rsidRPr="00BC57AE">
        <w:t xml:space="preserve"> systems are already applied in municipalities such as Zaldibia, Esporles and Argentona</w:t>
      </w:r>
      <w:r w:rsidR="00163D6E">
        <w:t>.</w:t>
      </w:r>
    </w:p>
    <w:p w14:paraId="51EF6BB9" w14:textId="77777777" w:rsidR="002435CD" w:rsidRPr="00EA4C9B" w:rsidRDefault="002435CD" w:rsidP="009B400E">
      <w:pPr>
        <w:pStyle w:val="Bulletlist"/>
        <w:numPr>
          <w:ilvl w:val="0"/>
          <w:numId w:val="24"/>
        </w:numPr>
      </w:pPr>
      <w:r w:rsidRPr="00EA4C9B">
        <w:rPr>
          <w:i/>
          <w:iCs/>
        </w:rPr>
        <w:t>Incorporation of environmental costs associated with water use</w:t>
      </w:r>
      <w:r w:rsidRPr="00EA4C9B">
        <w:t xml:space="preserve">: the European Commission recommended in 2019 to the Spanish State an adequate cost recovery, with the 'polluter pays' principle as a fundamental element, to ensure sustainable water management. In particular, water pricing policy is required to provide incentives for users to make efficient use of water resources and contribute to the achievement of environmental targets. In this context, the basis of the Spanish water tax regime has not been modified since the 1985 Water Law. State taxes and the Public Hydraulic Domain Regulation (RD 849/1986)) currently existing in Spain can be systematized into the following categories: (i) taxes levied on the use of the public domain (fee for occupation, use and exploitation of public hydraulic domain assets and the fee for occupation of the maritime-terrestrial public domain), (ii) taxes to recover the cost of hydraulic infrastructure and (iii) the fee for the control of discharges. There is also a fee for the use of inland waters for electricity production. Most of the CC.AA. have established their own taxes on taxable events associated with the different stages of the water cycle, mainly in the sanitation and wastewater treatment phases. The Committee proposes the introduction of coordination and cooperation measures to improve the design and effectiveness of regional taxes on environmental damage to water (proposal 17), the reform of taxes associated with the coverage of water infrastructure costs (proposal 18), and the creation of a tax on the extraction of water resources (proposal 19). </w:t>
      </w:r>
    </w:p>
    <w:p w14:paraId="6904720B" w14:textId="77777777" w:rsidR="002435CD" w:rsidRPr="00EA4C9B" w:rsidRDefault="002435CD" w:rsidP="002435CD">
      <w:r w:rsidRPr="00EA4C9B">
        <w:t>Furthermore, the European Commission recommendations reinforce these points, urging Spain to shift the tax burden from labour to green taxes, improve water pricing frameworks, and introduce better-targeted environmental levies in sectors like agriculture and transport</w:t>
      </w:r>
      <w:r w:rsidRPr="00EA4C9B">
        <w:rPr>
          <w:rStyle w:val="FootnoteReference"/>
        </w:rPr>
        <w:footnoteReference w:id="821"/>
      </w:r>
      <w:r w:rsidRPr="00EA4C9B">
        <w:t>.</w:t>
      </w:r>
    </w:p>
    <w:p w14:paraId="6A980807" w14:textId="77777777" w:rsidR="002435CD" w:rsidRPr="00EA4C9B" w:rsidRDefault="002435CD" w:rsidP="007C4EB7">
      <w:pPr>
        <w:pStyle w:val="AnnexHeading2"/>
      </w:pPr>
      <w:bookmarkStart w:id="320" w:name="_Toc214008957"/>
      <w:r w:rsidRPr="00EA4C9B">
        <w:t>Impacts and feasibility of implementing new environmental taxes</w:t>
      </w:r>
      <w:bookmarkEnd w:id="320"/>
    </w:p>
    <w:p w14:paraId="714F112F" w14:textId="471B54F7" w:rsidR="004A4F82" w:rsidRDefault="004A4F82" w:rsidP="004A4F82">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38B647E7" w14:textId="77777777" w:rsidR="002D122C" w:rsidRPr="002D122C" w:rsidRDefault="002D122C" w:rsidP="002D122C">
      <w:pPr>
        <w:rPr>
          <w:lang w:eastAsia="en-GB"/>
        </w:rPr>
      </w:pPr>
      <w:r w:rsidRPr="002D122C">
        <w:rPr>
          <w:lang w:eastAsia="en-GB"/>
        </w:rPr>
        <w:t>Spain’s environmental tax architecture has broadened in recent years, particularly through regional instruments on waste and water, and reforms to energy taxation. Nonetheless, non-energy environmental taxes remain fragmented across Autonomous Communities and are often set at levels that deliver weak behavioural signals. The modelling indicates that Spain could achieve sizeable environmental gains and meaningful fiscal uplifts from a package focused on wastewater and water abstraction, landfill, and minerals, with additional but smaller effects from product-based instruments and air-pollutant charges. Under Scenario A, Spain records among the higher absolute reductions in water abstraction and effluent loads and notable diversion from landfill; Scenario B follows the same pattern at reduced magnitude.</w:t>
      </w:r>
    </w:p>
    <w:p w14:paraId="56D6ED0C" w14:textId="4965A8B0" w:rsidR="002D122C" w:rsidRPr="003B6101" w:rsidRDefault="002D122C" w:rsidP="002D122C">
      <w:pPr>
        <w:rPr>
          <w:lang w:eastAsia="en-GB"/>
        </w:rPr>
      </w:pPr>
      <w:r>
        <w:rPr>
          <w:lang w:eastAsia="en-GB"/>
        </w:rPr>
        <w:lastRenderedPageBreak/>
        <w:t xml:space="preserve">Total revenues from the </w:t>
      </w:r>
      <w:r w:rsidR="00185A09">
        <w:t>investigated</w:t>
      </w:r>
      <w:r>
        <w:rPr>
          <w:lang w:eastAsia="en-GB"/>
        </w:rPr>
        <w:t xml:space="preserve"> taxes could rise by €8.8 billion in 2030 and €8.4 billion in 2035, respectively 4.1 and 3.9 times the revenues for pollution and resource taxes in 2023. Results are dependent on applying average rates of existing taxes for regions, which will have affected the results. More detailed regional analysis was not possible at this stage. The main contributors to the gains are water abstraction (59%) and water effluent (27%). Together they make up 86% of all revenue increases. Other taxes making important contributions are waste to landfill and pesticides. Reduction in emissions or use of materials is greatest for pesticides (41%), waste to landfill (35%), water abstraction (32%), SO2 (23%) and water effluent (22%). </w:t>
      </w: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110"/>
        <w:gridCol w:w="1111"/>
        <w:gridCol w:w="1022"/>
        <w:gridCol w:w="1203"/>
        <w:gridCol w:w="1098"/>
        <w:gridCol w:w="1269"/>
      </w:tblGrid>
      <w:tr w:rsidR="002D122C" w:rsidRPr="00F501DA" w14:paraId="4DDD3581" w14:textId="77777777" w:rsidTr="00BA7936">
        <w:trPr>
          <w:trHeight w:val="269"/>
          <w:tblHeader/>
        </w:trPr>
        <w:tc>
          <w:tcPr>
            <w:tcW w:w="9016" w:type="dxa"/>
            <w:gridSpan w:val="7"/>
            <w:shd w:val="clear" w:color="auto" w:fill="003399"/>
          </w:tcPr>
          <w:p w14:paraId="0E50D3E2" w14:textId="5D040339" w:rsidR="002D122C" w:rsidRPr="00447C45" w:rsidRDefault="002D122C" w:rsidP="000878F6">
            <w:pPr>
              <w:pStyle w:val="Table"/>
              <w:rPr>
                <w:b/>
                <w:lang w:eastAsia="en-GB"/>
              </w:rPr>
            </w:pPr>
            <w:r w:rsidRPr="00447C45">
              <w:rPr>
                <w:b/>
                <w:color w:val="FFFFFF" w:themeColor="background1"/>
              </w:rPr>
              <w:t xml:space="preserve">Table </w:t>
            </w:r>
            <w:r w:rsidR="00490085">
              <w:rPr>
                <w:b/>
                <w:bCs/>
                <w:color w:val="FFFFFF" w:themeColor="background1"/>
              </w:rPr>
              <w:t>A6</w:t>
            </w:r>
            <w:r w:rsidRPr="00447C45">
              <w:rPr>
                <w:b/>
                <w:bCs/>
                <w:color w:val="FFFFFF" w:themeColor="background1"/>
              </w:rPr>
              <w:t>-</w:t>
            </w:r>
            <w:r w:rsidRPr="00447C45">
              <w:rPr>
                <w:b/>
                <w:bCs/>
                <w:color w:val="FFFFFF" w:themeColor="background1"/>
              </w:rPr>
              <w:fldChar w:fldCharType="begin"/>
            </w:r>
            <w:r w:rsidRPr="00447C45">
              <w:rPr>
                <w:b/>
                <w:bCs/>
                <w:color w:val="FFFFFF" w:themeColor="background1"/>
              </w:rPr>
              <w:instrText xml:space="preserve"> SEQ Table_A5- \* ARABIC </w:instrText>
            </w:r>
            <w:r w:rsidRPr="00447C45">
              <w:rPr>
                <w:b/>
                <w:bCs/>
                <w:color w:val="FFFFFF" w:themeColor="background1"/>
              </w:rPr>
              <w:fldChar w:fldCharType="separate"/>
            </w:r>
            <w:r>
              <w:rPr>
                <w:b/>
                <w:bCs/>
                <w:noProof/>
                <w:color w:val="FFFFFF" w:themeColor="background1"/>
              </w:rPr>
              <w:t>134</w:t>
            </w:r>
            <w:r w:rsidRPr="00447C45">
              <w:rPr>
                <w:b/>
                <w:bCs/>
                <w:color w:val="FFFFFF" w:themeColor="background1"/>
              </w:rPr>
              <w:fldChar w:fldCharType="end"/>
            </w:r>
            <w:r w:rsidRPr="00447C45">
              <w:rPr>
                <w:b/>
                <w:bCs/>
                <w:color w:val="FFFFFF" w:themeColor="background1"/>
                <w:lang w:eastAsia="en-GB"/>
              </w:rPr>
              <w:t>:</w:t>
            </w:r>
            <w:r w:rsidRPr="00447C45">
              <w:rPr>
                <w:b/>
                <w:color w:val="FFFFFF" w:themeColor="background1"/>
                <w:lang w:eastAsia="en-GB"/>
              </w:rPr>
              <w:t xml:space="preserve"> Environmental Impacts and Revenue Changes in Spain</w:t>
            </w:r>
            <w:r>
              <w:rPr>
                <w:b/>
                <w:color w:val="FFFFFF" w:themeColor="background1"/>
                <w:lang w:eastAsia="en-GB"/>
              </w:rPr>
              <w:t xml:space="preserve"> – Scenario A</w:t>
            </w:r>
          </w:p>
        </w:tc>
      </w:tr>
      <w:tr w:rsidR="002D122C" w:rsidRPr="00F501DA" w14:paraId="58ED4EDB" w14:textId="77777777" w:rsidTr="00BA7936">
        <w:trPr>
          <w:trHeight w:val="513"/>
          <w:tblHeader/>
        </w:trPr>
        <w:tc>
          <w:tcPr>
            <w:tcW w:w="2203" w:type="dxa"/>
          </w:tcPr>
          <w:p w14:paraId="3A5A7CBE" w14:textId="77777777" w:rsidR="002D122C" w:rsidRPr="00447C45" w:rsidRDefault="002D122C" w:rsidP="000878F6">
            <w:pPr>
              <w:pStyle w:val="Table"/>
              <w:rPr>
                <w:b/>
              </w:rPr>
            </w:pPr>
            <w:r w:rsidRPr="00447C45">
              <w:rPr>
                <w:b/>
              </w:rPr>
              <w:t>Tax Name</w:t>
            </w:r>
          </w:p>
        </w:tc>
        <w:tc>
          <w:tcPr>
            <w:tcW w:w="2221" w:type="dxa"/>
            <w:gridSpan w:val="2"/>
            <w:vAlign w:val="bottom"/>
          </w:tcPr>
          <w:p w14:paraId="3C70478F" w14:textId="77777777" w:rsidR="002D122C" w:rsidRPr="0086420C" w:rsidRDefault="002D122C" w:rsidP="000878F6">
            <w:pPr>
              <w:pStyle w:val="Table"/>
              <w:jc w:val="center"/>
              <w:rPr>
                <w:b/>
                <w:szCs w:val="20"/>
              </w:rPr>
            </w:pPr>
            <w:r w:rsidRPr="0086420C">
              <w:rPr>
                <w:rFonts w:ascii="Calibri" w:hAnsi="Calibri" w:cs="Calibri"/>
                <w:b/>
                <w:bCs/>
                <w:color w:val="000000"/>
                <w:szCs w:val="20"/>
              </w:rPr>
              <w:t>% Change in Quantities as % of taxed sector</w:t>
            </w:r>
          </w:p>
        </w:tc>
        <w:tc>
          <w:tcPr>
            <w:tcW w:w="2225" w:type="dxa"/>
            <w:gridSpan w:val="2"/>
            <w:vAlign w:val="bottom"/>
          </w:tcPr>
          <w:p w14:paraId="3A761E2E" w14:textId="77777777" w:rsidR="002D122C" w:rsidRPr="0086420C" w:rsidRDefault="002D122C" w:rsidP="000878F6">
            <w:pPr>
              <w:pStyle w:val="Table"/>
              <w:jc w:val="center"/>
              <w:rPr>
                <w:b/>
                <w:szCs w:val="20"/>
              </w:rPr>
            </w:pPr>
            <w:r w:rsidRPr="0086420C">
              <w:rPr>
                <w:rFonts w:ascii="Calibri" w:hAnsi="Calibri" w:cs="Calibri"/>
                <w:b/>
                <w:bCs/>
                <w:color w:val="000000"/>
                <w:szCs w:val="20"/>
              </w:rPr>
              <w:t>Change in Revenues (€Mn)</w:t>
            </w:r>
          </w:p>
        </w:tc>
        <w:tc>
          <w:tcPr>
            <w:tcW w:w="2367" w:type="dxa"/>
            <w:gridSpan w:val="2"/>
            <w:vAlign w:val="bottom"/>
          </w:tcPr>
          <w:p w14:paraId="60708D65" w14:textId="77777777" w:rsidR="002D122C" w:rsidRPr="0086420C" w:rsidRDefault="002D122C" w:rsidP="000878F6">
            <w:pPr>
              <w:pStyle w:val="Table"/>
              <w:jc w:val="center"/>
              <w:rPr>
                <w:b/>
                <w:szCs w:val="20"/>
              </w:rPr>
            </w:pPr>
            <w:r w:rsidRPr="0086420C">
              <w:rPr>
                <w:rFonts w:ascii="Calibri" w:hAnsi="Calibri" w:cs="Calibri"/>
                <w:b/>
                <w:bCs/>
                <w:color w:val="000000"/>
                <w:szCs w:val="20"/>
              </w:rPr>
              <w:t>As % of 2023 Resource Tax</w:t>
            </w:r>
          </w:p>
        </w:tc>
      </w:tr>
      <w:tr w:rsidR="002D122C" w:rsidRPr="00355514" w14:paraId="3F53969F" w14:textId="77777777" w:rsidTr="00BA7936">
        <w:trPr>
          <w:trHeight w:val="247"/>
          <w:tblHeader/>
        </w:trPr>
        <w:tc>
          <w:tcPr>
            <w:tcW w:w="2203" w:type="dxa"/>
          </w:tcPr>
          <w:p w14:paraId="22F7085E" w14:textId="77777777" w:rsidR="002D122C" w:rsidRPr="00FC13A5" w:rsidRDefault="002D122C" w:rsidP="000878F6">
            <w:pPr>
              <w:pStyle w:val="Table"/>
              <w:rPr>
                <w:b/>
              </w:rPr>
            </w:pPr>
            <w:r w:rsidRPr="00FC13A5">
              <w:rPr>
                <w:b/>
              </w:rPr>
              <w:t>Year</w:t>
            </w:r>
          </w:p>
        </w:tc>
        <w:tc>
          <w:tcPr>
            <w:tcW w:w="1110" w:type="dxa"/>
          </w:tcPr>
          <w:p w14:paraId="7A08CBB2" w14:textId="77777777" w:rsidR="002D122C" w:rsidRPr="0086420C" w:rsidRDefault="002D122C" w:rsidP="000878F6">
            <w:pPr>
              <w:pStyle w:val="Table"/>
              <w:jc w:val="center"/>
              <w:rPr>
                <w:b/>
                <w:szCs w:val="20"/>
              </w:rPr>
            </w:pPr>
            <w:r w:rsidRPr="0086420C">
              <w:rPr>
                <w:b/>
                <w:szCs w:val="20"/>
              </w:rPr>
              <w:t>2030</w:t>
            </w:r>
          </w:p>
        </w:tc>
        <w:tc>
          <w:tcPr>
            <w:tcW w:w="1111" w:type="dxa"/>
          </w:tcPr>
          <w:p w14:paraId="3E7B6BCB" w14:textId="77777777" w:rsidR="002D122C" w:rsidRPr="0086420C" w:rsidRDefault="002D122C" w:rsidP="000878F6">
            <w:pPr>
              <w:pStyle w:val="Table"/>
              <w:jc w:val="center"/>
              <w:rPr>
                <w:b/>
                <w:szCs w:val="20"/>
              </w:rPr>
            </w:pPr>
            <w:r w:rsidRPr="0086420C">
              <w:rPr>
                <w:b/>
                <w:szCs w:val="20"/>
              </w:rPr>
              <w:t>2035</w:t>
            </w:r>
          </w:p>
        </w:tc>
        <w:tc>
          <w:tcPr>
            <w:tcW w:w="1022" w:type="dxa"/>
          </w:tcPr>
          <w:p w14:paraId="1FE31574" w14:textId="77777777" w:rsidR="002D122C" w:rsidRPr="0086420C" w:rsidRDefault="002D122C" w:rsidP="000878F6">
            <w:pPr>
              <w:pStyle w:val="Table"/>
              <w:jc w:val="center"/>
              <w:rPr>
                <w:b/>
                <w:szCs w:val="20"/>
              </w:rPr>
            </w:pPr>
            <w:r w:rsidRPr="0086420C">
              <w:rPr>
                <w:b/>
                <w:szCs w:val="20"/>
              </w:rPr>
              <w:t>2030</w:t>
            </w:r>
          </w:p>
        </w:tc>
        <w:tc>
          <w:tcPr>
            <w:tcW w:w="1203" w:type="dxa"/>
          </w:tcPr>
          <w:p w14:paraId="65BABA49" w14:textId="77777777" w:rsidR="002D122C" w:rsidRPr="0086420C" w:rsidRDefault="002D122C" w:rsidP="000878F6">
            <w:pPr>
              <w:pStyle w:val="Table"/>
              <w:jc w:val="center"/>
              <w:rPr>
                <w:b/>
                <w:szCs w:val="20"/>
              </w:rPr>
            </w:pPr>
            <w:r w:rsidRPr="0086420C">
              <w:rPr>
                <w:b/>
                <w:szCs w:val="20"/>
              </w:rPr>
              <w:t>2035</w:t>
            </w:r>
          </w:p>
        </w:tc>
        <w:tc>
          <w:tcPr>
            <w:tcW w:w="1098" w:type="dxa"/>
          </w:tcPr>
          <w:p w14:paraId="478976BC" w14:textId="77777777" w:rsidR="002D122C" w:rsidRPr="0086420C" w:rsidRDefault="002D122C" w:rsidP="000878F6">
            <w:pPr>
              <w:pStyle w:val="Table"/>
              <w:jc w:val="center"/>
              <w:rPr>
                <w:b/>
                <w:szCs w:val="20"/>
              </w:rPr>
            </w:pPr>
            <w:r w:rsidRPr="0086420C">
              <w:rPr>
                <w:b/>
                <w:szCs w:val="20"/>
              </w:rPr>
              <w:t>2030</w:t>
            </w:r>
          </w:p>
        </w:tc>
        <w:tc>
          <w:tcPr>
            <w:tcW w:w="1269" w:type="dxa"/>
          </w:tcPr>
          <w:p w14:paraId="7F9CD991" w14:textId="77777777" w:rsidR="002D122C" w:rsidRPr="0086420C" w:rsidRDefault="002D122C" w:rsidP="000878F6">
            <w:pPr>
              <w:pStyle w:val="Table"/>
              <w:jc w:val="center"/>
              <w:rPr>
                <w:b/>
                <w:szCs w:val="20"/>
              </w:rPr>
            </w:pPr>
            <w:r w:rsidRPr="0086420C">
              <w:rPr>
                <w:b/>
                <w:szCs w:val="20"/>
              </w:rPr>
              <w:t>2035</w:t>
            </w:r>
          </w:p>
        </w:tc>
      </w:tr>
      <w:tr w:rsidR="002D122C" w:rsidRPr="00355514" w14:paraId="62EF8FA7" w14:textId="77777777" w:rsidTr="00BA7936">
        <w:trPr>
          <w:trHeight w:val="247"/>
        </w:trPr>
        <w:tc>
          <w:tcPr>
            <w:tcW w:w="2203" w:type="dxa"/>
          </w:tcPr>
          <w:p w14:paraId="04C630DA" w14:textId="77777777" w:rsidR="002D122C" w:rsidRPr="00F501DA" w:rsidRDefault="002D122C" w:rsidP="000878F6">
            <w:pPr>
              <w:pStyle w:val="Table"/>
            </w:pPr>
            <w:r w:rsidRPr="00F501DA">
              <w:t>NOx</w:t>
            </w:r>
          </w:p>
        </w:tc>
        <w:tc>
          <w:tcPr>
            <w:tcW w:w="1110" w:type="dxa"/>
            <w:vAlign w:val="center"/>
          </w:tcPr>
          <w:p w14:paraId="424CBB91" w14:textId="77777777" w:rsidR="002D122C" w:rsidRPr="0086420C" w:rsidRDefault="002D122C" w:rsidP="000878F6">
            <w:pPr>
              <w:pStyle w:val="Table"/>
              <w:jc w:val="center"/>
              <w:rPr>
                <w:szCs w:val="20"/>
              </w:rPr>
            </w:pPr>
            <w:r w:rsidRPr="0086420C">
              <w:rPr>
                <w:rFonts w:ascii="Calibri" w:hAnsi="Calibri" w:cs="Calibri"/>
                <w:color w:val="000000"/>
                <w:szCs w:val="20"/>
              </w:rPr>
              <w:t>-28,57%</w:t>
            </w:r>
          </w:p>
        </w:tc>
        <w:tc>
          <w:tcPr>
            <w:tcW w:w="1111" w:type="dxa"/>
            <w:vAlign w:val="center"/>
          </w:tcPr>
          <w:p w14:paraId="14C46F23" w14:textId="77777777" w:rsidR="002D122C" w:rsidRPr="0086420C" w:rsidRDefault="002D122C" w:rsidP="000878F6">
            <w:pPr>
              <w:pStyle w:val="Table"/>
              <w:jc w:val="center"/>
              <w:rPr>
                <w:szCs w:val="20"/>
              </w:rPr>
            </w:pPr>
            <w:r w:rsidRPr="0086420C">
              <w:rPr>
                <w:rFonts w:ascii="Calibri" w:hAnsi="Calibri" w:cs="Calibri"/>
                <w:color w:val="000000"/>
                <w:szCs w:val="20"/>
              </w:rPr>
              <w:t>-28,57%</w:t>
            </w:r>
          </w:p>
        </w:tc>
        <w:tc>
          <w:tcPr>
            <w:tcW w:w="1022" w:type="dxa"/>
            <w:vAlign w:val="center"/>
          </w:tcPr>
          <w:p w14:paraId="4EE853CD" w14:textId="77777777" w:rsidR="002D122C" w:rsidRPr="0086420C" w:rsidRDefault="002D122C" w:rsidP="000878F6">
            <w:pPr>
              <w:pStyle w:val="Table"/>
              <w:jc w:val="center"/>
              <w:rPr>
                <w:szCs w:val="20"/>
              </w:rPr>
            </w:pPr>
            <w:r w:rsidRPr="0086420C">
              <w:rPr>
                <w:rFonts w:ascii="Calibri" w:hAnsi="Calibri" w:cs="Calibri"/>
                <w:color w:val="000000"/>
                <w:szCs w:val="20"/>
              </w:rPr>
              <w:t>5,05</w:t>
            </w:r>
          </w:p>
        </w:tc>
        <w:tc>
          <w:tcPr>
            <w:tcW w:w="1203" w:type="dxa"/>
            <w:vAlign w:val="center"/>
          </w:tcPr>
          <w:p w14:paraId="41E3C141" w14:textId="77777777" w:rsidR="002D122C" w:rsidRPr="0086420C" w:rsidRDefault="002D122C" w:rsidP="000878F6">
            <w:pPr>
              <w:pStyle w:val="Table"/>
              <w:jc w:val="center"/>
              <w:rPr>
                <w:szCs w:val="20"/>
              </w:rPr>
            </w:pPr>
            <w:r w:rsidRPr="0086420C">
              <w:rPr>
                <w:rFonts w:ascii="Calibri" w:hAnsi="Calibri" w:cs="Calibri"/>
                <w:color w:val="000000"/>
                <w:szCs w:val="20"/>
              </w:rPr>
              <w:t>4,20</w:t>
            </w:r>
          </w:p>
        </w:tc>
        <w:tc>
          <w:tcPr>
            <w:tcW w:w="1098" w:type="dxa"/>
            <w:vAlign w:val="center"/>
          </w:tcPr>
          <w:p w14:paraId="5979B606" w14:textId="77777777" w:rsidR="002D122C" w:rsidRPr="0086420C" w:rsidRDefault="002D122C" w:rsidP="000878F6">
            <w:pPr>
              <w:pStyle w:val="Table"/>
              <w:jc w:val="center"/>
              <w:rPr>
                <w:szCs w:val="20"/>
              </w:rPr>
            </w:pPr>
            <w:r w:rsidRPr="0086420C">
              <w:rPr>
                <w:rFonts w:ascii="Calibri" w:hAnsi="Calibri" w:cs="Calibri"/>
                <w:color w:val="000000"/>
                <w:szCs w:val="20"/>
              </w:rPr>
              <w:t>0,26%</w:t>
            </w:r>
          </w:p>
        </w:tc>
        <w:tc>
          <w:tcPr>
            <w:tcW w:w="1269" w:type="dxa"/>
            <w:vAlign w:val="center"/>
          </w:tcPr>
          <w:p w14:paraId="2D48F519" w14:textId="77777777" w:rsidR="002D122C" w:rsidRPr="0086420C" w:rsidRDefault="002D122C" w:rsidP="000878F6">
            <w:pPr>
              <w:pStyle w:val="Table"/>
              <w:jc w:val="center"/>
              <w:rPr>
                <w:szCs w:val="20"/>
              </w:rPr>
            </w:pPr>
            <w:r w:rsidRPr="0086420C">
              <w:rPr>
                <w:rFonts w:ascii="Calibri" w:hAnsi="Calibri" w:cs="Calibri"/>
                <w:color w:val="000000"/>
                <w:szCs w:val="20"/>
              </w:rPr>
              <w:t>0,22%</w:t>
            </w:r>
          </w:p>
        </w:tc>
      </w:tr>
      <w:tr w:rsidR="002D122C" w:rsidRPr="00355514" w14:paraId="5DEEB78B" w14:textId="77777777" w:rsidTr="00BA7936">
        <w:trPr>
          <w:trHeight w:val="247"/>
        </w:trPr>
        <w:tc>
          <w:tcPr>
            <w:tcW w:w="2203" w:type="dxa"/>
          </w:tcPr>
          <w:p w14:paraId="1B66F620" w14:textId="77777777" w:rsidR="002D122C" w:rsidRPr="00F501DA" w:rsidRDefault="002D122C" w:rsidP="000878F6">
            <w:pPr>
              <w:pStyle w:val="Table"/>
            </w:pPr>
            <w:r w:rsidRPr="00F501DA">
              <w:t>SO2</w:t>
            </w:r>
          </w:p>
        </w:tc>
        <w:tc>
          <w:tcPr>
            <w:tcW w:w="1110" w:type="dxa"/>
            <w:vAlign w:val="center"/>
          </w:tcPr>
          <w:p w14:paraId="57FCF826" w14:textId="77777777" w:rsidR="002D122C" w:rsidRPr="0086420C" w:rsidRDefault="002D122C" w:rsidP="000878F6">
            <w:pPr>
              <w:pStyle w:val="Table"/>
              <w:jc w:val="center"/>
              <w:rPr>
                <w:szCs w:val="20"/>
              </w:rPr>
            </w:pPr>
            <w:r w:rsidRPr="0086420C">
              <w:rPr>
                <w:rFonts w:ascii="Calibri" w:hAnsi="Calibri" w:cs="Calibri"/>
                <w:color w:val="000000"/>
                <w:szCs w:val="20"/>
              </w:rPr>
              <w:t>-32,43%</w:t>
            </w:r>
          </w:p>
        </w:tc>
        <w:tc>
          <w:tcPr>
            <w:tcW w:w="1111" w:type="dxa"/>
            <w:vAlign w:val="center"/>
          </w:tcPr>
          <w:p w14:paraId="1EC8B16F" w14:textId="77777777" w:rsidR="002D122C" w:rsidRPr="0086420C" w:rsidRDefault="002D122C" w:rsidP="000878F6">
            <w:pPr>
              <w:pStyle w:val="Table"/>
              <w:jc w:val="center"/>
              <w:rPr>
                <w:szCs w:val="20"/>
              </w:rPr>
            </w:pPr>
            <w:r w:rsidRPr="0086420C">
              <w:rPr>
                <w:rFonts w:ascii="Calibri" w:hAnsi="Calibri" w:cs="Calibri"/>
                <w:color w:val="000000"/>
                <w:szCs w:val="20"/>
              </w:rPr>
              <w:t>-32,43%</w:t>
            </w:r>
          </w:p>
        </w:tc>
        <w:tc>
          <w:tcPr>
            <w:tcW w:w="1022" w:type="dxa"/>
            <w:vAlign w:val="center"/>
          </w:tcPr>
          <w:p w14:paraId="144BAAD2" w14:textId="77777777" w:rsidR="002D122C" w:rsidRPr="0086420C" w:rsidRDefault="002D122C" w:rsidP="000878F6">
            <w:pPr>
              <w:pStyle w:val="Table"/>
              <w:jc w:val="center"/>
              <w:rPr>
                <w:szCs w:val="20"/>
              </w:rPr>
            </w:pPr>
            <w:r w:rsidRPr="0086420C">
              <w:rPr>
                <w:rFonts w:ascii="Calibri" w:hAnsi="Calibri" w:cs="Calibri"/>
                <w:color w:val="000000"/>
                <w:szCs w:val="20"/>
              </w:rPr>
              <w:t>40,94</w:t>
            </w:r>
          </w:p>
        </w:tc>
        <w:tc>
          <w:tcPr>
            <w:tcW w:w="1203" w:type="dxa"/>
            <w:vAlign w:val="center"/>
          </w:tcPr>
          <w:p w14:paraId="35E4F64F" w14:textId="77777777" w:rsidR="002D122C" w:rsidRPr="0086420C" w:rsidRDefault="002D122C" w:rsidP="000878F6">
            <w:pPr>
              <w:pStyle w:val="Table"/>
              <w:jc w:val="center"/>
              <w:rPr>
                <w:szCs w:val="20"/>
              </w:rPr>
            </w:pPr>
            <w:r w:rsidRPr="0086420C">
              <w:rPr>
                <w:rFonts w:ascii="Calibri" w:hAnsi="Calibri" w:cs="Calibri"/>
                <w:color w:val="000000"/>
                <w:szCs w:val="20"/>
              </w:rPr>
              <w:t>27,06</w:t>
            </w:r>
          </w:p>
        </w:tc>
        <w:tc>
          <w:tcPr>
            <w:tcW w:w="1098" w:type="dxa"/>
            <w:vAlign w:val="center"/>
          </w:tcPr>
          <w:p w14:paraId="2BC9FB22" w14:textId="77777777" w:rsidR="002D122C" w:rsidRPr="0086420C" w:rsidRDefault="002D122C" w:rsidP="000878F6">
            <w:pPr>
              <w:pStyle w:val="Table"/>
              <w:jc w:val="center"/>
              <w:rPr>
                <w:szCs w:val="20"/>
              </w:rPr>
            </w:pPr>
            <w:r w:rsidRPr="0086420C">
              <w:rPr>
                <w:rFonts w:ascii="Calibri" w:hAnsi="Calibri" w:cs="Calibri"/>
                <w:color w:val="000000"/>
                <w:szCs w:val="20"/>
              </w:rPr>
              <w:t>2,13%</w:t>
            </w:r>
          </w:p>
        </w:tc>
        <w:tc>
          <w:tcPr>
            <w:tcW w:w="1269" w:type="dxa"/>
            <w:vAlign w:val="center"/>
          </w:tcPr>
          <w:p w14:paraId="7EB4174C" w14:textId="77777777" w:rsidR="002D122C" w:rsidRPr="0086420C" w:rsidRDefault="002D122C" w:rsidP="000878F6">
            <w:pPr>
              <w:pStyle w:val="Table"/>
              <w:jc w:val="center"/>
              <w:rPr>
                <w:szCs w:val="20"/>
              </w:rPr>
            </w:pPr>
            <w:r w:rsidRPr="0086420C">
              <w:rPr>
                <w:rFonts w:ascii="Calibri" w:hAnsi="Calibri" w:cs="Calibri"/>
                <w:color w:val="000000"/>
                <w:szCs w:val="20"/>
              </w:rPr>
              <w:t>1,41%</w:t>
            </w:r>
          </w:p>
        </w:tc>
      </w:tr>
      <w:tr w:rsidR="002D122C" w:rsidRPr="00355514" w14:paraId="473A5A6C" w14:textId="77777777" w:rsidTr="00BA7936">
        <w:trPr>
          <w:trHeight w:val="247"/>
        </w:trPr>
        <w:tc>
          <w:tcPr>
            <w:tcW w:w="2203" w:type="dxa"/>
          </w:tcPr>
          <w:p w14:paraId="2A042FC8" w14:textId="77777777" w:rsidR="002D122C" w:rsidRPr="00F501DA" w:rsidRDefault="002D122C" w:rsidP="000878F6">
            <w:pPr>
              <w:pStyle w:val="Table"/>
            </w:pPr>
            <w:r w:rsidRPr="00F501DA">
              <w:t>PM2.5</w:t>
            </w:r>
          </w:p>
        </w:tc>
        <w:tc>
          <w:tcPr>
            <w:tcW w:w="1110" w:type="dxa"/>
            <w:vAlign w:val="center"/>
          </w:tcPr>
          <w:p w14:paraId="7DA9CECA" w14:textId="77777777" w:rsidR="002D122C" w:rsidRPr="0086420C" w:rsidRDefault="002D122C" w:rsidP="000878F6">
            <w:pPr>
              <w:pStyle w:val="Table"/>
              <w:jc w:val="center"/>
              <w:rPr>
                <w:szCs w:val="20"/>
              </w:rPr>
            </w:pPr>
            <w:r w:rsidRPr="0086420C">
              <w:rPr>
                <w:rFonts w:ascii="Calibri" w:hAnsi="Calibri" w:cs="Calibri"/>
                <w:color w:val="000000"/>
                <w:szCs w:val="20"/>
              </w:rPr>
              <w:t>-29,58%</w:t>
            </w:r>
          </w:p>
        </w:tc>
        <w:tc>
          <w:tcPr>
            <w:tcW w:w="1111" w:type="dxa"/>
            <w:vAlign w:val="center"/>
          </w:tcPr>
          <w:p w14:paraId="766F11FE" w14:textId="77777777" w:rsidR="002D122C" w:rsidRPr="0086420C" w:rsidRDefault="002D122C" w:rsidP="000878F6">
            <w:pPr>
              <w:pStyle w:val="Table"/>
              <w:jc w:val="center"/>
              <w:rPr>
                <w:szCs w:val="20"/>
              </w:rPr>
            </w:pPr>
            <w:r w:rsidRPr="0086420C">
              <w:rPr>
                <w:rFonts w:ascii="Calibri" w:hAnsi="Calibri" w:cs="Calibri"/>
                <w:color w:val="000000"/>
                <w:szCs w:val="20"/>
              </w:rPr>
              <w:t>-29,58%</w:t>
            </w:r>
          </w:p>
        </w:tc>
        <w:tc>
          <w:tcPr>
            <w:tcW w:w="1022" w:type="dxa"/>
            <w:vAlign w:val="center"/>
          </w:tcPr>
          <w:p w14:paraId="1E122BCC" w14:textId="77777777" w:rsidR="002D122C" w:rsidRPr="0086420C" w:rsidRDefault="002D122C" w:rsidP="000878F6">
            <w:pPr>
              <w:pStyle w:val="Table"/>
              <w:jc w:val="center"/>
              <w:rPr>
                <w:szCs w:val="20"/>
              </w:rPr>
            </w:pPr>
            <w:r w:rsidRPr="0086420C">
              <w:rPr>
                <w:rFonts w:ascii="Calibri" w:hAnsi="Calibri" w:cs="Calibri"/>
                <w:color w:val="000000"/>
                <w:szCs w:val="20"/>
              </w:rPr>
              <w:t>14,91</w:t>
            </w:r>
          </w:p>
        </w:tc>
        <w:tc>
          <w:tcPr>
            <w:tcW w:w="1203" w:type="dxa"/>
            <w:vAlign w:val="center"/>
          </w:tcPr>
          <w:p w14:paraId="3A26E197" w14:textId="77777777" w:rsidR="002D122C" w:rsidRPr="0086420C" w:rsidRDefault="002D122C" w:rsidP="000878F6">
            <w:pPr>
              <w:pStyle w:val="Table"/>
              <w:jc w:val="center"/>
              <w:rPr>
                <w:szCs w:val="20"/>
              </w:rPr>
            </w:pPr>
            <w:r w:rsidRPr="0086420C">
              <w:rPr>
                <w:rFonts w:ascii="Calibri" w:hAnsi="Calibri" w:cs="Calibri"/>
                <w:color w:val="000000"/>
                <w:szCs w:val="20"/>
              </w:rPr>
              <w:t>13,42</w:t>
            </w:r>
          </w:p>
        </w:tc>
        <w:tc>
          <w:tcPr>
            <w:tcW w:w="1098" w:type="dxa"/>
            <w:vAlign w:val="center"/>
          </w:tcPr>
          <w:p w14:paraId="00A92557" w14:textId="77777777" w:rsidR="002D122C" w:rsidRPr="0086420C" w:rsidRDefault="002D122C" w:rsidP="000878F6">
            <w:pPr>
              <w:pStyle w:val="Table"/>
              <w:jc w:val="center"/>
              <w:rPr>
                <w:szCs w:val="20"/>
              </w:rPr>
            </w:pPr>
            <w:r w:rsidRPr="0086420C">
              <w:rPr>
                <w:rFonts w:ascii="Calibri" w:hAnsi="Calibri" w:cs="Calibri"/>
                <w:color w:val="000000"/>
                <w:szCs w:val="20"/>
              </w:rPr>
              <w:t>0,78%</w:t>
            </w:r>
          </w:p>
        </w:tc>
        <w:tc>
          <w:tcPr>
            <w:tcW w:w="1269" w:type="dxa"/>
            <w:vAlign w:val="center"/>
          </w:tcPr>
          <w:p w14:paraId="740A3905" w14:textId="77777777" w:rsidR="002D122C" w:rsidRPr="0086420C" w:rsidRDefault="002D122C" w:rsidP="000878F6">
            <w:pPr>
              <w:pStyle w:val="Table"/>
              <w:jc w:val="center"/>
              <w:rPr>
                <w:szCs w:val="20"/>
              </w:rPr>
            </w:pPr>
            <w:r w:rsidRPr="0086420C">
              <w:rPr>
                <w:rFonts w:ascii="Calibri" w:hAnsi="Calibri" w:cs="Calibri"/>
                <w:color w:val="000000"/>
                <w:szCs w:val="20"/>
              </w:rPr>
              <w:t>0,70%</w:t>
            </w:r>
          </w:p>
        </w:tc>
      </w:tr>
      <w:tr w:rsidR="002D122C" w:rsidRPr="00355514" w14:paraId="34E2F080" w14:textId="77777777" w:rsidTr="00BA7936">
        <w:trPr>
          <w:trHeight w:val="247"/>
        </w:trPr>
        <w:tc>
          <w:tcPr>
            <w:tcW w:w="2203" w:type="dxa"/>
          </w:tcPr>
          <w:p w14:paraId="24ABABF1" w14:textId="77777777" w:rsidR="002D122C" w:rsidRPr="00F501DA" w:rsidRDefault="002D122C" w:rsidP="000878F6">
            <w:pPr>
              <w:pStyle w:val="Table"/>
            </w:pPr>
            <w:r w:rsidRPr="00F501DA">
              <w:t>Water Abstraction</w:t>
            </w:r>
          </w:p>
        </w:tc>
        <w:tc>
          <w:tcPr>
            <w:tcW w:w="1110" w:type="dxa"/>
            <w:vAlign w:val="center"/>
          </w:tcPr>
          <w:p w14:paraId="68EFF3B2" w14:textId="77777777" w:rsidR="002D122C" w:rsidRPr="0086420C" w:rsidRDefault="002D122C" w:rsidP="000878F6">
            <w:pPr>
              <w:pStyle w:val="Table"/>
              <w:jc w:val="center"/>
              <w:rPr>
                <w:szCs w:val="20"/>
              </w:rPr>
            </w:pPr>
            <w:r w:rsidRPr="0086420C">
              <w:rPr>
                <w:rFonts w:ascii="Calibri" w:hAnsi="Calibri" w:cs="Calibri"/>
                <w:color w:val="000000"/>
                <w:szCs w:val="20"/>
              </w:rPr>
              <w:t>-32,05%</w:t>
            </w:r>
          </w:p>
        </w:tc>
        <w:tc>
          <w:tcPr>
            <w:tcW w:w="1111" w:type="dxa"/>
            <w:vAlign w:val="center"/>
          </w:tcPr>
          <w:p w14:paraId="5864E7E0" w14:textId="77777777" w:rsidR="002D122C" w:rsidRPr="0086420C" w:rsidRDefault="002D122C" w:rsidP="000878F6">
            <w:pPr>
              <w:pStyle w:val="Table"/>
              <w:jc w:val="center"/>
              <w:rPr>
                <w:szCs w:val="20"/>
              </w:rPr>
            </w:pPr>
            <w:r w:rsidRPr="0086420C">
              <w:rPr>
                <w:rFonts w:ascii="Calibri" w:hAnsi="Calibri" w:cs="Calibri"/>
                <w:color w:val="000000"/>
                <w:szCs w:val="20"/>
              </w:rPr>
              <w:t>-32,05%</w:t>
            </w:r>
          </w:p>
        </w:tc>
        <w:tc>
          <w:tcPr>
            <w:tcW w:w="1022" w:type="dxa"/>
            <w:vAlign w:val="center"/>
          </w:tcPr>
          <w:p w14:paraId="32207203" w14:textId="77777777" w:rsidR="002D122C" w:rsidRPr="0086420C" w:rsidRDefault="002D122C" w:rsidP="000878F6">
            <w:pPr>
              <w:pStyle w:val="Table"/>
              <w:jc w:val="center"/>
              <w:rPr>
                <w:szCs w:val="20"/>
              </w:rPr>
            </w:pPr>
            <w:r w:rsidRPr="0086420C">
              <w:rPr>
                <w:rFonts w:ascii="Calibri" w:hAnsi="Calibri" w:cs="Calibri"/>
                <w:color w:val="000000"/>
                <w:szCs w:val="20"/>
              </w:rPr>
              <w:t>5190,87</w:t>
            </w:r>
          </w:p>
        </w:tc>
        <w:tc>
          <w:tcPr>
            <w:tcW w:w="1203" w:type="dxa"/>
            <w:vAlign w:val="center"/>
          </w:tcPr>
          <w:p w14:paraId="21C2BDAD" w14:textId="77777777" w:rsidR="002D122C" w:rsidRPr="0086420C" w:rsidRDefault="002D122C" w:rsidP="000878F6">
            <w:pPr>
              <w:pStyle w:val="Table"/>
              <w:jc w:val="center"/>
              <w:rPr>
                <w:szCs w:val="20"/>
              </w:rPr>
            </w:pPr>
            <w:r w:rsidRPr="0086420C">
              <w:rPr>
                <w:rFonts w:ascii="Calibri" w:hAnsi="Calibri" w:cs="Calibri"/>
                <w:color w:val="000000"/>
                <w:szCs w:val="20"/>
              </w:rPr>
              <w:t>4853,98</w:t>
            </w:r>
          </w:p>
        </w:tc>
        <w:tc>
          <w:tcPr>
            <w:tcW w:w="1098" w:type="dxa"/>
            <w:vAlign w:val="center"/>
          </w:tcPr>
          <w:p w14:paraId="46F34E7E" w14:textId="77777777" w:rsidR="002D122C" w:rsidRPr="0086420C" w:rsidRDefault="002D122C" w:rsidP="000878F6">
            <w:pPr>
              <w:pStyle w:val="Table"/>
              <w:jc w:val="center"/>
              <w:rPr>
                <w:szCs w:val="20"/>
              </w:rPr>
            </w:pPr>
            <w:r w:rsidRPr="0086420C">
              <w:rPr>
                <w:rFonts w:ascii="Calibri" w:hAnsi="Calibri" w:cs="Calibri"/>
                <w:color w:val="000000"/>
                <w:szCs w:val="20"/>
              </w:rPr>
              <w:t>5190,87%</w:t>
            </w:r>
          </w:p>
        </w:tc>
        <w:tc>
          <w:tcPr>
            <w:tcW w:w="1269" w:type="dxa"/>
            <w:vAlign w:val="center"/>
          </w:tcPr>
          <w:p w14:paraId="7F171DE6" w14:textId="77777777" w:rsidR="002D122C" w:rsidRPr="0086420C" w:rsidRDefault="002D122C" w:rsidP="000878F6">
            <w:pPr>
              <w:pStyle w:val="Table"/>
              <w:jc w:val="center"/>
              <w:rPr>
                <w:szCs w:val="20"/>
              </w:rPr>
            </w:pPr>
            <w:r w:rsidRPr="0086420C">
              <w:rPr>
                <w:rFonts w:ascii="Calibri" w:hAnsi="Calibri" w:cs="Calibri"/>
                <w:color w:val="000000"/>
                <w:szCs w:val="20"/>
              </w:rPr>
              <w:t>4853,98%</w:t>
            </w:r>
          </w:p>
        </w:tc>
      </w:tr>
      <w:tr w:rsidR="002D122C" w:rsidRPr="00355514" w14:paraId="4A48BBA1" w14:textId="77777777" w:rsidTr="00BA7936">
        <w:trPr>
          <w:trHeight w:val="73"/>
        </w:trPr>
        <w:tc>
          <w:tcPr>
            <w:tcW w:w="2203" w:type="dxa"/>
          </w:tcPr>
          <w:p w14:paraId="01312037" w14:textId="77777777" w:rsidR="002D122C" w:rsidRPr="00F501DA" w:rsidRDefault="002D122C" w:rsidP="000878F6">
            <w:pPr>
              <w:pStyle w:val="Table"/>
            </w:pPr>
            <w:r w:rsidRPr="00F501DA">
              <w:t>Fertilizers</w:t>
            </w:r>
          </w:p>
        </w:tc>
        <w:tc>
          <w:tcPr>
            <w:tcW w:w="1110" w:type="dxa"/>
            <w:vAlign w:val="center"/>
          </w:tcPr>
          <w:p w14:paraId="54AD9CEB" w14:textId="77777777" w:rsidR="002D122C" w:rsidRPr="0086420C" w:rsidRDefault="002D122C" w:rsidP="000878F6">
            <w:pPr>
              <w:pStyle w:val="Table"/>
              <w:jc w:val="center"/>
              <w:rPr>
                <w:szCs w:val="20"/>
              </w:rPr>
            </w:pPr>
            <w:r w:rsidRPr="0086420C">
              <w:rPr>
                <w:rFonts w:ascii="Calibri" w:hAnsi="Calibri" w:cs="Calibri"/>
                <w:color w:val="000000"/>
                <w:szCs w:val="20"/>
              </w:rPr>
              <w:t>-17,97%</w:t>
            </w:r>
          </w:p>
        </w:tc>
        <w:tc>
          <w:tcPr>
            <w:tcW w:w="1111" w:type="dxa"/>
            <w:vAlign w:val="center"/>
          </w:tcPr>
          <w:p w14:paraId="2369D364" w14:textId="77777777" w:rsidR="002D122C" w:rsidRPr="0086420C" w:rsidRDefault="002D122C" w:rsidP="000878F6">
            <w:pPr>
              <w:pStyle w:val="Table"/>
              <w:jc w:val="center"/>
              <w:rPr>
                <w:szCs w:val="20"/>
              </w:rPr>
            </w:pPr>
            <w:r w:rsidRPr="0086420C">
              <w:rPr>
                <w:rFonts w:ascii="Calibri" w:hAnsi="Calibri" w:cs="Calibri"/>
                <w:color w:val="000000"/>
                <w:szCs w:val="20"/>
              </w:rPr>
              <w:t>-17,97%</w:t>
            </w:r>
          </w:p>
        </w:tc>
        <w:tc>
          <w:tcPr>
            <w:tcW w:w="1022" w:type="dxa"/>
            <w:vAlign w:val="center"/>
          </w:tcPr>
          <w:p w14:paraId="2DDF7779" w14:textId="77777777" w:rsidR="002D122C" w:rsidRPr="0086420C" w:rsidRDefault="002D122C" w:rsidP="000878F6">
            <w:pPr>
              <w:pStyle w:val="Table"/>
              <w:jc w:val="center"/>
              <w:rPr>
                <w:szCs w:val="20"/>
              </w:rPr>
            </w:pPr>
            <w:r w:rsidRPr="0086420C">
              <w:rPr>
                <w:rFonts w:ascii="Calibri" w:hAnsi="Calibri" w:cs="Calibri"/>
                <w:color w:val="000000"/>
                <w:szCs w:val="20"/>
              </w:rPr>
              <w:t>45,92</w:t>
            </w:r>
          </w:p>
        </w:tc>
        <w:tc>
          <w:tcPr>
            <w:tcW w:w="1203" w:type="dxa"/>
            <w:vAlign w:val="center"/>
          </w:tcPr>
          <w:p w14:paraId="70F7361E" w14:textId="77777777" w:rsidR="002D122C" w:rsidRPr="0086420C" w:rsidRDefault="002D122C" w:rsidP="000878F6">
            <w:pPr>
              <w:pStyle w:val="Table"/>
              <w:jc w:val="center"/>
              <w:rPr>
                <w:szCs w:val="20"/>
              </w:rPr>
            </w:pPr>
            <w:r w:rsidRPr="0086420C">
              <w:rPr>
                <w:rFonts w:ascii="Calibri" w:hAnsi="Calibri" w:cs="Calibri"/>
                <w:color w:val="000000"/>
                <w:szCs w:val="20"/>
              </w:rPr>
              <w:t>45,75</w:t>
            </w:r>
          </w:p>
        </w:tc>
        <w:tc>
          <w:tcPr>
            <w:tcW w:w="1098" w:type="dxa"/>
            <w:vAlign w:val="center"/>
          </w:tcPr>
          <w:p w14:paraId="56E422F2" w14:textId="77777777" w:rsidR="002D122C" w:rsidRPr="0086420C" w:rsidRDefault="002D122C" w:rsidP="000878F6">
            <w:pPr>
              <w:pStyle w:val="Table"/>
              <w:jc w:val="center"/>
              <w:rPr>
                <w:szCs w:val="20"/>
              </w:rPr>
            </w:pPr>
            <w:r w:rsidRPr="0086420C">
              <w:rPr>
                <w:rFonts w:ascii="Calibri" w:hAnsi="Calibri" w:cs="Calibri"/>
                <w:color w:val="000000"/>
                <w:szCs w:val="20"/>
              </w:rPr>
              <w:t>2,39%</w:t>
            </w:r>
          </w:p>
        </w:tc>
        <w:tc>
          <w:tcPr>
            <w:tcW w:w="1269" w:type="dxa"/>
            <w:vAlign w:val="center"/>
          </w:tcPr>
          <w:p w14:paraId="091D761C" w14:textId="77777777" w:rsidR="002D122C" w:rsidRPr="0086420C" w:rsidRDefault="002D122C" w:rsidP="000878F6">
            <w:pPr>
              <w:pStyle w:val="Table"/>
              <w:jc w:val="center"/>
              <w:rPr>
                <w:szCs w:val="20"/>
              </w:rPr>
            </w:pPr>
            <w:r w:rsidRPr="0086420C">
              <w:rPr>
                <w:rFonts w:ascii="Calibri" w:hAnsi="Calibri" w:cs="Calibri"/>
                <w:color w:val="000000"/>
                <w:szCs w:val="20"/>
              </w:rPr>
              <w:t>2,38%</w:t>
            </w:r>
          </w:p>
        </w:tc>
      </w:tr>
      <w:tr w:rsidR="002D122C" w:rsidRPr="00355514" w14:paraId="7362A259" w14:textId="77777777" w:rsidTr="00BA7936">
        <w:trPr>
          <w:trHeight w:val="247"/>
        </w:trPr>
        <w:tc>
          <w:tcPr>
            <w:tcW w:w="2203" w:type="dxa"/>
          </w:tcPr>
          <w:p w14:paraId="6352F6D0" w14:textId="77777777" w:rsidR="002D122C" w:rsidRPr="00F501DA" w:rsidRDefault="002D122C" w:rsidP="000878F6">
            <w:pPr>
              <w:pStyle w:val="Table"/>
            </w:pPr>
            <w:r w:rsidRPr="00F501DA">
              <w:t>Pesticides</w:t>
            </w:r>
          </w:p>
        </w:tc>
        <w:tc>
          <w:tcPr>
            <w:tcW w:w="1110" w:type="dxa"/>
            <w:vAlign w:val="center"/>
          </w:tcPr>
          <w:p w14:paraId="00D375EA" w14:textId="77777777" w:rsidR="002D122C" w:rsidRPr="0086420C" w:rsidRDefault="002D122C" w:rsidP="000878F6">
            <w:pPr>
              <w:pStyle w:val="Table"/>
              <w:jc w:val="center"/>
              <w:rPr>
                <w:szCs w:val="20"/>
              </w:rPr>
            </w:pPr>
            <w:r w:rsidRPr="0086420C">
              <w:rPr>
                <w:rFonts w:ascii="Calibri" w:hAnsi="Calibri" w:cs="Calibri"/>
                <w:color w:val="000000"/>
                <w:szCs w:val="20"/>
              </w:rPr>
              <w:t>n/a</w:t>
            </w:r>
          </w:p>
        </w:tc>
        <w:tc>
          <w:tcPr>
            <w:tcW w:w="1111" w:type="dxa"/>
            <w:vAlign w:val="center"/>
          </w:tcPr>
          <w:p w14:paraId="4B5F3825" w14:textId="77777777" w:rsidR="002D122C" w:rsidRPr="0086420C" w:rsidRDefault="002D122C" w:rsidP="000878F6">
            <w:pPr>
              <w:pStyle w:val="Table"/>
              <w:jc w:val="center"/>
              <w:rPr>
                <w:szCs w:val="20"/>
              </w:rPr>
            </w:pPr>
            <w:r w:rsidRPr="0086420C">
              <w:rPr>
                <w:rFonts w:ascii="Calibri" w:hAnsi="Calibri" w:cs="Calibri"/>
                <w:color w:val="000000"/>
                <w:szCs w:val="20"/>
              </w:rPr>
              <w:t>n/a</w:t>
            </w:r>
          </w:p>
        </w:tc>
        <w:tc>
          <w:tcPr>
            <w:tcW w:w="1022" w:type="dxa"/>
            <w:vAlign w:val="center"/>
          </w:tcPr>
          <w:p w14:paraId="1EF9CEBE" w14:textId="77777777" w:rsidR="002D122C" w:rsidRPr="0086420C" w:rsidRDefault="002D122C" w:rsidP="000878F6">
            <w:pPr>
              <w:pStyle w:val="Table"/>
              <w:jc w:val="center"/>
              <w:rPr>
                <w:szCs w:val="20"/>
              </w:rPr>
            </w:pPr>
            <w:r w:rsidRPr="0086420C">
              <w:rPr>
                <w:rFonts w:ascii="Calibri" w:hAnsi="Calibri" w:cs="Calibri"/>
                <w:color w:val="000000"/>
                <w:szCs w:val="20"/>
              </w:rPr>
              <w:t>274,48</w:t>
            </w:r>
          </w:p>
        </w:tc>
        <w:tc>
          <w:tcPr>
            <w:tcW w:w="1203" w:type="dxa"/>
            <w:vAlign w:val="center"/>
          </w:tcPr>
          <w:p w14:paraId="707D1228" w14:textId="77777777" w:rsidR="002D122C" w:rsidRPr="0086420C" w:rsidRDefault="002D122C" w:rsidP="000878F6">
            <w:pPr>
              <w:pStyle w:val="Table"/>
              <w:jc w:val="center"/>
              <w:rPr>
                <w:szCs w:val="20"/>
              </w:rPr>
            </w:pPr>
            <w:r w:rsidRPr="0086420C">
              <w:rPr>
                <w:rFonts w:ascii="Calibri" w:hAnsi="Calibri" w:cs="Calibri"/>
                <w:color w:val="000000"/>
                <w:szCs w:val="20"/>
              </w:rPr>
              <w:t>271,45</w:t>
            </w:r>
          </w:p>
        </w:tc>
        <w:tc>
          <w:tcPr>
            <w:tcW w:w="1098" w:type="dxa"/>
            <w:vAlign w:val="center"/>
          </w:tcPr>
          <w:p w14:paraId="092E7F25" w14:textId="77777777" w:rsidR="002D122C" w:rsidRPr="0086420C" w:rsidRDefault="002D122C" w:rsidP="000878F6">
            <w:pPr>
              <w:pStyle w:val="Table"/>
              <w:jc w:val="center"/>
              <w:rPr>
                <w:szCs w:val="20"/>
              </w:rPr>
            </w:pPr>
            <w:r w:rsidRPr="0086420C">
              <w:rPr>
                <w:rFonts w:ascii="Calibri" w:hAnsi="Calibri" w:cs="Calibri"/>
                <w:color w:val="000000"/>
                <w:szCs w:val="20"/>
              </w:rPr>
              <w:t>14,28%</w:t>
            </w:r>
          </w:p>
        </w:tc>
        <w:tc>
          <w:tcPr>
            <w:tcW w:w="1269" w:type="dxa"/>
            <w:vAlign w:val="center"/>
          </w:tcPr>
          <w:p w14:paraId="57D07699" w14:textId="77777777" w:rsidR="002D122C" w:rsidRPr="0086420C" w:rsidRDefault="002D122C" w:rsidP="000878F6">
            <w:pPr>
              <w:pStyle w:val="Table"/>
              <w:jc w:val="center"/>
              <w:rPr>
                <w:szCs w:val="20"/>
              </w:rPr>
            </w:pPr>
            <w:r w:rsidRPr="0086420C">
              <w:rPr>
                <w:rFonts w:ascii="Calibri" w:hAnsi="Calibri" w:cs="Calibri"/>
                <w:color w:val="000000"/>
                <w:szCs w:val="20"/>
              </w:rPr>
              <w:t>14,12%</w:t>
            </w:r>
          </w:p>
        </w:tc>
      </w:tr>
      <w:tr w:rsidR="002D122C" w:rsidRPr="00355514" w14:paraId="6567DFCA" w14:textId="77777777" w:rsidTr="00BA7936">
        <w:trPr>
          <w:trHeight w:val="247"/>
        </w:trPr>
        <w:tc>
          <w:tcPr>
            <w:tcW w:w="2203" w:type="dxa"/>
          </w:tcPr>
          <w:p w14:paraId="29FB1736" w14:textId="77777777" w:rsidR="002D122C" w:rsidRPr="00F501DA" w:rsidRDefault="002D122C" w:rsidP="000878F6">
            <w:pPr>
              <w:pStyle w:val="Table"/>
            </w:pPr>
            <w:r w:rsidRPr="00F501DA">
              <w:t>Waste Incineration</w:t>
            </w:r>
          </w:p>
        </w:tc>
        <w:tc>
          <w:tcPr>
            <w:tcW w:w="1110" w:type="dxa"/>
            <w:vAlign w:val="center"/>
          </w:tcPr>
          <w:p w14:paraId="20B6353B" w14:textId="77777777" w:rsidR="002D122C" w:rsidRPr="0086420C" w:rsidRDefault="002D122C" w:rsidP="000878F6">
            <w:pPr>
              <w:pStyle w:val="Table"/>
              <w:jc w:val="center"/>
              <w:rPr>
                <w:szCs w:val="20"/>
              </w:rPr>
            </w:pPr>
            <w:r w:rsidRPr="0086420C">
              <w:rPr>
                <w:rFonts w:ascii="Calibri" w:hAnsi="Calibri" w:cs="Calibri"/>
                <w:color w:val="000000"/>
                <w:szCs w:val="20"/>
              </w:rPr>
              <w:t>-6,35%</w:t>
            </w:r>
          </w:p>
        </w:tc>
        <w:tc>
          <w:tcPr>
            <w:tcW w:w="1111" w:type="dxa"/>
            <w:vAlign w:val="center"/>
          </w:tcPr>
          <w:p w14:paraId="0924DE45" w14:textId="77777777" w:rsidR="002D122C" w:rsidRPr="0086420C" w:rsidRDefault="002D122C" w:rsidP="000878F6">
            <w:pPr>
              <w:pStyle w:val="Table"/>
              <w:jc w:val="center"/>
              <w:rPr>
                <w:szCs w:val="20"/>
              </w:rPr>
            </w:pPr>
            <w:r w:rsidRPr="0086420C">
              <w:rPr>
                <w:rFonts w:ascii="Calibri" w:hAnsi="Calibri" w:cs="Calibri"/>
                <w:color w:val="000000"/>
                <w:szCs w:val="20"/>
              </w:rPr>
              <w:t>-6,35%</w:t>
            </w:r>
          </w:p>
        </w:tc>
        <w:tc>
          <w:tcPr>
            <w:tcW w:w="1022" w:type="dxa"/>
            <w:vAlign w:val="center"/>
          </w:tcPr>
          <w:p w14:paraId="666FBBA1" w14:textId="77777777" w:rsidR="002D122C" w:rsidRPr="0086420C" w:rsidRDefault="002D122C" w:rsidP="000878F6">
            <w:pPr>
              <w:pStyle w:val="Table"/>
              <w:jc w:val="center"/>
              <w:rPr>
                <w:szCs w:val="20"/>
              </w:rPr>
            </w:pPr>
            <w:r w:rsidRPr="0086420C">
              <w:rPr>
                <w:rFonts w:ascii="Calibri" w:hAnsi="Calibri" w:cs="Calibri"/>
                <w:color w:val="000000"/>
                <w:szCs w:val="20"/>
              </w:rPr>
              <w:t>0,28</w:t>
            </w:r>
          </w:p>
        </w:tc>
        <w:tc>
          <w:tcPr>
            <w:tcW w:w="1203" w:type="dxa"/>
            <w:vAlign w:val="center"/>
          </w:tcPr>
          <w:p w14:paraId="677E0307" w14:textId="77777777" w:rsidR="002D122C" w:rsidRPr="0086420C" w:rsidRDefault="002D122C" w:rsidP="000878F6">
            <w:pPr>
              <w:pStyle w:val="Table"/>
              <w:jc w:val="center"/>
              <w:rPr>
                <w:szCs w:val="20"/>
              </w:rPr>
            </w:pPr>
            <w:r w:rsidRPr="0086420C">
              <w:rPr>
                <w:rFonts w:ascii="Calibri" w:hAnsi="Calibri" w:cs="Calibri"/>
                <w:color w:val="000000"/>
                <w:szCs w:val="20"/>
              </w:rPr>
              <w:t>0,24</w:t>
            </w:r>
          </w:p>
        </w:tc>
        <w:tc>
          <w:tcPr>
            <w:tcW w:w="1098" w:type="dxa"/>
            <w:vAlign w:val="center"/>
          </w:tcPr>
          <w:p w14:paraId="684700D4" w14:textId="77777777" w:rsidR="002D122C" w:rsidRPr="0086420C" w:rsidRDefault="002D122C" w:rsidP="000878F6">
            <w:pPr>
              <w:pStyle w:val="Table"/>
              <w:jc w:val="center"/>
              <w:rPr>
                <w:szCs w:val="20"/>
              </w:rPr>
            </w:pPr>
            <w:r w:rsidRPr="0086420C">
              <w:rPr>
                <w:rFonts w:ascii="Calibri" w:hAnsi="Calibri" w:cs="Calibri"/>
                <w:color w:val="000000"/>
                <w:szCs w:val="20"/>
              </w:rPr>
              <w:t>0,01%</w:t>
            </w:r>
          </w:p>
        </w:tc>
        <w:tc>
          <w:tcPr>
            <w:tcW w:w="1269" w:type="dxa"/>
            <w:vAlign w:val="center"/>
          </w:tcPr>
          <w:p w14:paraId="06F7A454" w14:textId="77777777" w:rsidR="002D122C" w:rsidRPr="0086420C" w:rsidRDefault="002D122C" w:rsidP="000878F6">
            <w:pPr>
              <w:pStyle w:val="Table"/>
              <w:jc w:val="center"/>
              <w:rPr>
                <w:szCs w:val="20"/>
              </w:rPr>
            </w:pPr>
            <w:r w:rsidRPr="0086420C">
              <w:rPr>
                <w:rFonts w:ascii="Calibri" w:hAnsi="Calibri" w:cs="Calibri"/>
                <w:color w:val="000000"/>
                <w:szCs w:val="20"/>
              </w:rPr>
              <w:t>0,01%</w:t>
            </w:r>
          </w:p>
        </w:tc>
      </w:tr>
      <w:tr w:rsidR="002D122C" w:rsidRPr="00355514" w14:paraId="0FAF3C51" w14:textId="77777777" w:rsidTr="00BA7936">
        <w:trPr>
          <w:trHeight w:val="247"/>
        </w:trPr>
        <w:tc>
          <w:tcPr>
            <w:tcW w:w="2203" w:type="dxa"/>
          </w:tcPr>
          <w:p w14:paraId="5D0127D7" w14:textId="77777777" w:rsidR="002D122C" w:rsidRPr="00F501DA" w:rsidRDefault="002D122C" w:rsidP="000878F6">
            <w:pPr>
              <w:pStyle w:val="Table"/>
            </w:pPr>
            <w:r w:rsidRPr="00F501DA">
              <w:t>Waste to Landfill</w:t>
            </w:r>
          </w:p>
        </w:tc>
        <w:tc>
          <w:tcPr>
            <w:tcW w:w="1110" w:type="dxa"/>
            <w:vAlign w:val="center"/>
          </w:tcPr>
          <w:p w14:paraId="10624CAF" w14:textId="77777777" w:rsidR="002D122C" w:rsidRPr="0086420C" w:rsidRDefault="002D122C" w:rsidP="000878F6">
            <w:pPr>
              <w:pStyle w:val="Table"/>
              <w:jc w:val="center"/>
              <w:rPr>
                <w:szCs w:val="20"/>
              </w:rPr>
            </w:pPr>
            <w:r w:rsidRPr="0086420C">
              <w:rPr>
                <w:rFonts w:ascii="Calibri" w:hAnsi="Calibri" w:cs="Calibri"/>
                <w:color w:val="000000"/>
                <w:szCs w:val="20"/>
              </w:rPr>
              <w:t>-34,51%</w:t>
            </w:r>
          </w:p>
        </w:tc>
        <w:tc>
          <w:tcPr>
            <w:tcW w:w="1111" w:type="dxa"/>
            <w:vAlign w:val="center"/>
          </w:tcPr>
          <w:p w14:paraId="2624866E" w14:textId="77777777" w:rsidR="002D122C" w:rsidRPr="0086420C" w:rsidRDefault="002D122C" w:rsidP="000878F6">
            <w:pPr>
              <w:pStyle w:val="Table"/>
              <w:jc w:val="center"/>
              <w:rPr>
                <w:szCs w:val="20"/>
              </w:rPr>
            </w:pPr>
            <w:r w:rsidRPr="0086420C">
              <w:rPr>
                <w:rFonts w:ascii="Calibri" w:hAnsi="Calibri" w:cs="Calibri"/>
                <w:color w:val="000000"/>
                <w:szCs w:val="20"/>
              </w:rPr>
              <w:t>-34,51%</w:t>
            </w:r>
          </w:p>
        </w:tc>
        <w:tc>
          <w:tcPr>
            <w:tcW w:w="1022" w:type="dxa"/>
            <w:vAlign w:val="center"/>
          </w:tcPr>
          <w:p w14:paraId="6245EDEB" w14:textId="77777777" w:rsidR="002D122C" w:rsidRPr="0086420C" w:rsidRDefault="002D122C" w:rsidP="000878F6">
            <w:pPr>
              <w:pStyle w:val="Table"/>
              <w:jc w:val="center"/>
              <w:rPr>
                <w:szCs w:val="20"/>
              </w:rPr>
            </w:pPr>
            <w:r w:rsidRPr="0086420C">
              <w:rPr>
                <w:rFonts w:ascii="Calibri" w:hAnsi="Calibri" w:cs="Calibri"/>
                <w:color w:val="000000"/>
                <w:szCs w:val="20"/>
              </w:rPr>
              <w:t>443,11</w:t>
            </w:r>
          </w:p>
        </w:tc>
        <w:tc>
          <w:tcPr>
            <w:tcW w:w="1203" w:type="dxa"/>
            <w:vAlign w:val="center"/>
          </w:tcPr>
          <w:p w14:paraId="2FC546E9" w14:textId="77777777" w:rsidR="002D122C" w:rsidRPr="0086420C" w:rsidRDefault="002D122C" w:rsidP="000878F6">
            <w:pPr>
              <w:pStyle w:val="Table"/>
              <w:jc w:val="center"/>
              <w:rPr>
                <w:szCs w:val="20"/>
              </w:rPr>
            </w:pPr>
            <w:r w:rsidRPr="0086420C">
              <w:rPr>
                <w:rFonts w:ascii="Calibri" w:hAnsi="Calibri" w:cs="Calibri"/>
                <w:color w:val="000000"/>
                <w:szCs w:val="20"/>
              </w:rPr>
              <w:t>320,09</w:t>
            </w:r>
          </w:p>
        </w:tc>
        <w:tc>
          <w:tcPr>
            <w:tcW w:w="1098" w:type="dxa"/>
            <w:vAlign w:val="center"/>
          </w:tcPr>
          <w:p w14:paraId="3E3E19C2" w14:textId="77777777" w:rsidR="002D122C" w:rsidRPr="0086420C" w:rsidRDefault="002D122C" w:rsidP="000878F6">
            <w:pPr>
              <w:pStyle w:val="Table"/>
              <w:jc w:val="center"/>
              <w:rPr>
                <w:szCs w:val="20"/>
              </w:rPr>
            </w:pPr>
            <w:r w:rsidRPr="0086420C">
              <w:rPr>
                <w:rFonts w:ascii="Calibri" w:hAnsi="Calibri" w:cs="Calibri"/>
                <w:color w:val="000000"/>
                <w:szCs w:val="20"/>
              </w:rPr>
              <w:t>23,05%</w:t>
            </w:r>
          </w:p>
        </w:tc>
        <w:tc>
          <w:tcPr>
            <w:tcW w:w="1269" w:type="dxa"/>
            <w:vAlign w:val="center"/>
          </w:tcPr>
          <w:p w14:paraId="6F6EFB65" w14:textId="77777777" w:rsidR="002D122C" w:rsidRPr="0086420C" w:rsidRDefault="002D122C" w:rsidP="000878F6">
            <w:pPr>
              <w:pStyle w:val="Table"/>
              <w:jc w:val="center"/>
              <w:rPr>
                <w:szCs w:val="20"/>
              </w:rPr>
            </w:pPr>
            <w:r w:rsidRPr="0086420C">
              <w:rPr>
                <w:rFonts w:ascii="Calibri" w:hAnsi="Calibri" w:cs="Calibri"/>
                <w:color w:val="000000"/>
                <w:szCs w:val="20"/>
              </w:rPr>
              <w:t>16,65%</w:t>
            </w:r>
          </w:p>
        </w:tc>
      </w:tr>
      <w:tr w:rsidR="002D122C" w:rsidRPr="00355514" w14:paraId="4E90A4AB" w14:textId="77777777" w:rsidTr="00BA7936">
        <w:trPr>
          <w:trHeight w:val="247"/>
        </w:trPr>
        <w:tc>
          <w:tcPr>
            <w:tcW w:w="2203" w:type="dxa"/>
          </w:tcPr>
          <w:p w14:paraId="50A9B52F" w14:textId="77777777" w:rsidR="002D122C" w:rsidRPr="00F501DA" w:rsidRDefault="002D122C" w:rsidP="000878F6">
            <w:pPr>
              <w:pStyle w:val="Table"/>
            </w:pPr>
            <w:r w:rsidRPr="00F501DA">
              <w:t>Water Effluent</w:t>
            </w:r>
          </w:p>
        </w:tc>
        <w:tc>
          <w:tcPr>
            <w:tcW w:w="1110" w:type="dxa"/>
            <w:vAlign w:val="center"/>
          </w:tcPr>
          <w:p w14:paraId="1998AA09" w14:textId="77777777" w:rsidR="002D122C" w:rsidRPr="0086420C" w:rsidRDefault="002D122C" w:rsidP="000878F6">
            <w:pPr>
              <w:pStyle w:val="Table"/>
              <w:jc w:val="center"/>
              <w:rPr>
                <w:szCs w:val="20"/>
              </w:rPr>
            </w:pPr>
            <w:r w:rsidRPr="0086420C">
              <w:rPr>
                <w:rFonts w:ascii="Calibri" w:hAnsi="Calibri" w:cs="Calibri"/>
                <w:color w:val="000000"/>
                <w:szCs w:val="20"/>
              </w:rPr>
              <w:t>-11,90%</w:t>
            </w:r>
          </w:p>
        </w:tc>
        <w:tc>
          <w:tcPr>
            <w:tcW w:w="1111" w:type="dxa"/>
            <w:vAlign w:val="center"/>
          </w:tcPr>
          <w:p w14:paraId="10BFEC92" w14:textId="77777777" w:rsidR="002D122C" w:rsidRPr="0086420C" w:rsidRDefault="002D122C" w:rsidP="000878F6">
            <w:pPr>
              <w:pStyle w:val="Table"/>
              <w:jc w:val="center"/>
              <w:rPr>
                <w:szCs w:val="20"/>
              </w:rPr>
            </w:pPr>
            <w:r w:rsidRPr="0086420C">
              <w:rPr>
                <w:rFonts w:ascii="Calibri" w:hAnsi="Calibri" w:cs="Calibri"/>
                <w:color w:val="000000"/>
                <w:szCs w:val="20"/>
              </w:rPr>
              <w:t>-11,90%</w:t>
            </w:r>
          </w:p>
        </w:tc>
        <w:tc>
          <w:tcPr>
            <w:tcW w:w="1022" w:type="dxa"/>
            <w:vAlign w:val="center"/>
          </w:tcPr>
          <w:p w14:paraId="2DE35397" w14:textId="77777777" w:rsidR="002D122C" w:rsidRPr="0086420C" w:rsidRDefault="002D122C" w:rsidP="000878F6">
            <w:pPr>
              <w:pStyle w:val="Table"/>
              <w:jc w:val="center"/>
              <w:rPr>
                <w:szCs w:val="20"/>
              </w:rPr>
            </w:pPr>
            <w:r w:rsidRPr="0086420C">
              <w:rPr>
                <w:rFonts w:ascii="Calibri" w:hAnsi="Calibri" w:cs="Calibri"/>
                <w:color w:val="000000"/>
                <w:szCs w:val="20"/>
              </w:rPr>
              <w:t>2900,66</w:t>
            </w:r>
          </w:p>
        </w:tc>
        <w:tc>
          <w:tcPr>
            <w:tcW w:w="1203" w:type="dxa"/>
            <w:vAlign w:val="center"/>
          </w:tcPr>
          <w:p w14:paraId="050A8454" w14:textId="77777777" w:rsidR="002D122C" w:rsidRPr="0086420C" w:rsidRDefault="002D122C" w:rsidP="000878F6">
            <w:pPr>
              <w:pStyle w:val="Table"/>
              <w:jc w:val="center"/>
              <w:rPr>
                <w:szCs w:val="20"/>
              </w:rPr>
            </w:pPr>
            <w:r w:rsidRPr="0086420C">
              <w:rPr>
                <w:rFonts w:ascii="Calibri" w:hAnsi="Calibri" w:cs="Calibri"/>
                <w:color w:val="000000"/>
                <w:szCs w:val="20"/>
              </w:rPr>
              <w:t>2929,74</w:t>
            </w:r>
          </w:p>
        </w:tc>
        <w:tc>
          <w:tcPr>
            <w:tcW w:w="1098" w:type="dxa"/>
            <w:vAlign w:val="center"/>
          </w:tcPr>
          <w:p w14:paraId="7F832E07" w14:textId="77777777" w:rsidR="002D122C" w:rsidRPr="0086420C" w:rsidRDefault="002D122C" w:rsidP="000878F6">
            <w:pPr>
              <w:pStyle w:val="Table"/>
              <w:jc w:val="center"/>
              <w:rPr>
                <w:szCs w:val="20"/>
              </w:rPr>
            </w:pPr>
            <w:r w:rsidRPr="0086420C">
              <w:rPr>
                <w:rFonts w:ascii="Calibri" w:hAnsi="Calibri" w:cs="Calibri"/>
                <w:color w:val="000000"/>
                <w:szCs w:val="20"/>
              </w:rPr>
              <w:t>150,92%</w:t>
            </w:r>
          </w:p>
        </w:tc>
        <w:tc>
          <w:tcPr>
            <w:tcW w:w="1269" w:type="dxa"/>
            <w:vAlign w:val="center"/>
          </w:tcPr>
          <w:p w14:paraId="6689C67D" w14:textId="77777777" w:rsidR="002D122C" w:rsidRPr="0086420C" w:rsidRDefault="002D122C" w:rsidP="000878F6">
            <w:pPr>
              <w:pStyle w:val="Table"/>
              <w:jc w:val="center"/>
              <w:rPr>
                <w:szCs w:val="20"/>
              </w:rPr>
            </w:pPr>
            <w:r w:rsidRPr="0086420C">
              <w:rPr>
                <w:rFonts w:ascii="Calibri" w:hAnsi="Calibri" w:cs="Calibri"/>
                <w:color w:val="000000"/>
                <w:szCs w:val="20"/>
              </w:rPr>
              <w:t>152,43%</w:t>
            </w:r>
          </w:p>
        </w:tc>
      </w:tr>
      <w:tr w:rsidR="002D122C" w:rsidRPr="00355514" w14:paraId="0A28F594" w14:textId="77777777" w:rsidTr="00BA7936">
        <w:trPr>
          <w:trHeight w:val="247"/>
        </w:trPr>
        <w:tc>
          <w:tcPr>
            <w:tcW w:w="2203" w:type="dxa"/>
          </w:tcPr>
          <w:p w14:paraId="1E0A063F" w14:textId="77777777" w:rsidR="002D122C" w:rsidRPr="00355514" w:rsidRDefault="002D122C" w:rsidP="000878F6">
            <w:pPr>
              <w:pStyle w:val="Table"/>
            </w:pPr>
            <w:r w:rsidRPr="00355514">
              <w:t>Minerals &amp; Aggregates</w:t>
            </w:r>
          </w:p>
        </w:tc>
        <w:tc>
          <w:tcPr>
            <w:tcW w:w="1110" w:type="dxa"/>
            <w:vAlign w:val="center"/>
          </w:tcPr>
          <w:p w14:paraId="019E555D" w14:textId="77777777" w:rsidR="002D122C" w:rsidRPr="0086420C" w:rsidRDefault="002D122C" w:rsidP="000878F6">
            <w:pPr>
              <w:pStyle w:val="Table"/>
              <w:jc w:val="center"/>
              <w:rPr>
                <w:szCs w:val="20"/>
              </w:rPr>
            </w:pPr>
            <w:r w:rsidRPr="0086420C">
              <w:rPr>
                <w:rFonts w:ascii="Calibri" w:hAnsi="Calibri" w:cs="Calibri"/>
                <w:color w:val="000000"/>
                <w:szCs w:val="20"/>
              </w:rPr>
              <w:t>-16,67%</w:t>
            </w:r>
          </w:p>
        </w:tc>
        <w:tc>
          <w:tcPr>
            <w:tcW w:w="1111" w:type="dxa"/>
            <w:vAlign w:val="center"/>
          </w:tcPr>
          <w:p w14:paraId="323D8649" w14:textId="77777777" w:rsidR="002D122C" w:rsidRPr="0086420C" w:rsidRDefault="002D122C" w:rsidP="000878F6">
            <w:pPr>
              <w:pStyle w:val="Table"/>
              <w:jc w:val="center"/>
              <w:rPr>
                <w:szCs w:val="20"/>
              </w:rPr>
            </w:pPr>
            <w:r w:rsidRPr="0086420C">
              <w:rPr>
                <w:rFonts w:ascii="Calibri" w:hAnsi="Calibri" w:cs="Calibri"/>
                <w:color w:val="000000"/>
                <w:szCs w:val="20"/>
              </w:rPr>
              <w:t>-16,67%</w:t>
            </w:r>
          </w:p>
        </w:tc>
        <w:tc>
          <w:tcPr>
            <w:tcW w:w="1022" w:type="dxa"/>
            <w:vAlign w:val="center"/>
          </w:tcPr>
          <w:p w14:paraId="7D556C85" w14:textId="77777777" w:rsidR="002D122C" w:rsidRPr="0086420C" w:rsidRDefault="002D122C" w:rsidP="000878F6">
            <w:pPr>
              <w:pStyle w:val="Table"/>
              <w:jc w:val="center"/>
              <w:rPr>
                <w:szCs w:val="20"/>
              </w:rPr>
            </w:pPr>
            <w:r w:rsidRPr="0086420C">
              <w:rPr>
                <w:rFonts w:ascii="Calibri" w:hAnsi="Calibri" w:cs="Calibri"/>
                <w:color w:val="000000"/>
                <w:szCs w:val="20"/>
              </w:rPr>
              <w:t>323,24</w:t>
            </w:r>
          </w:p>
        </w:tc>
        <w:tc>
          <w:tcPr>
            <w:tcW w:w="1203" w:type="dxa"/>
            <w:vAlign w:val="center"/>
          </w:tcPr>
          <w:p w14:paraId="51311307" w14:textId="77777777" w:rsidR="002D122C" w:rsidRPr="0086420C" w:rsidRDefault="002D122C" w:rsidP="000878F6">
            <w:pPr>
              <w:pStyle w:val="Table"/>
              <w:jc w:val="center"/>
              <w:rPr>
                <w:szCs w:val="20"/>
              </w:rPr>
            </w:pPr>
            <w:r w:rsidRPr="0086420C">
              <w:rPr>
                <w:rFonts w:ascii="Calibri" w:hAnsi="Calibri" w:cs="Calibri"/>
                <w:color w:val="000000"/>
                <w:szCs w:val="20"/>
              </w:rPr>
              <w:t>275,41</w:t>
            </w:r>
          </w:p>
        </w:tc>
        <w:tc>
          <w:tcPr>
            <w:tcW w:w="1098" w:type="dxa"/>
            <w:vAlign w:val="center"/>
          </w:tcPr>
          <w:p w14:paraId="62B3DA91" w14:textId="77777777" w:rsidR="002D122C" w:rsidRPr="0086420C" w:rsidRDefault="002D122C" w:rsidP="000878F6">
            <w:pPr>
              <w:pStyle w:val="Table"/>
              <w:jc w:val="center"/>
              <w:rPr>
                <w:szCs w:val="20"/>
              </w:rPr>
            </w:pPr>
            <w:r w:rsidRPr="0086420C">
              <w:rPr>
                <w:rFonts w:ascii="Calibri" w:hAnsi="Calibri" w:cs="Calibri"/>
                <w:color w:val="000000"/>
                <w:szCs w:val="20"/>
              </w:rPr>
              <w:t>323,24%</w:t>
            </w:r>
          </w:p>
        </w:tc>
        <w:tc>
          <w:tcPr>
            <w:tcW w:w="1269" w:type="dxa"/>
            <w:vAlign w:val="center"/>
          </w:tcPr>
          <w:p w14:paraId="28D4E384" w14:textId="77777777" w:rsidR="002D122C" w:rsidRPr="0086420C" w:rsidRDefault="002D122C" w:rsidP="000878F6">
            <w:pPr>
              <w:pStyle w:val="Table"/>
              <w:jc w:val="center"/>
              <w:rPr>
                <w:szCs w:val="20"/>
              </w:rPr>
            </w:pPr>
            <w:r w:rsidRPr="0086420C">
              <w:rPr>
                <w:rFonts w:ascii="Calibri" w:hAnsi="Calibri" w:cs="Calibri"/>
                <w:color w:val="000000"/>
                <w:szCs w:val="20"/>
              </w:rPr>
              <w:t>275,41%</w:t>
            </w:r>
          </w:p>
        </w:tc>
      </w:tr>
    </w:tbl>
    <w:p w14:paraId="6061F233" w14:textId="77777777" w:rsidR="002D122C" w:rsidRDefault="002D122C" w:rsidP="002D122C">
      <w:pPr>
        <w:rPr>
          <w:b/>
          <w:bCs/>
          <w:lang w:eastAsia="en-GB"/>
        </w:rPr>
      </w:pPr>
    </w:p>
    <w:tbl>
      <w:tblPr>
        <w:tblStyle w:val="Lentelstinklel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110"/>
        <w:gridCol w:w="1111"/>
        <w:gridCol w:w="1022"/>
        <w:gridCol w:w="1203"/>
        <w:gridCol w:w="1098"/>
        <w:gridCol w:w="1269"/>
      </w:tblGrid>
      <w:tr w:rsidR="002D122C" w:rsidRPr="00526B49" w14:paraId="098F1045" w14:textId="77777777" w:rsidTr="00BA7936">
        <w:trPr>
          <w:trHeight w:val="269"/>
        </w:trPr>
        <w:tc>
          <w:tcPr>
            <w:tcW w:w="9016" w:type="dxa"/>
            <w:gridSpan w:val="7"/>
            <w:shd w:val="clear" w:color="auto" w:fill="003399"/>
          </w:tcPr>
          <w:p w14:paraId="28957AA7" w14:textId="5C0DC528" w:rsidR="002D122C" w:rsidRPr="00526B49" w:rsidRDefault="002D122C" w:rsidP="000878F6">
            <w:pPr>
              <w:pStyle w:val="Table"/>
              <w:rPr>
                <w:b/>
                <w:szCs w:val="20"/>
                <w:lang w:eastAsia="en-GB"/>
              </w:rPr>
            </w:pPr>
            <w:r w:rsidRPr="00526B49">
              <w:rPr>
                <w:b/>
                <w:color w:val="FFFFFF" w:themeColor="background1"/>
                <w:szCs w:val="20"/>
              </w:rPr>
              <w:t xml:space="preserve">Table </w:t>
            </w:r>
            <w:r w:rsidR="00490085">
              <w:rPr>
                <w:b/>
                <w:bCs/>
                <w:color w:val="FFFFFF" w:themeColor="background1"/>
                <w:szCs w:val="20"/>
              </w:rPr>
              <w:t>A6</w:t>
            </w:r>
            <w:r w:rsidRPr="00526B49">
              <w:rPr>
                <w:b/>
                <w:bCs/>
                <w:color w:val="FFFFFF" w:themeColor="background1"/>
                <w:szCs w:val="20"/>
              </w:rPr>
              <w:t>-</w:t>
            </w:r>
            <w:r w:rsidRPr="00526B49">
              <w:rPr>
                <w:b/>
                <w:bCs/>
                <w:color w:val="FFFFFF" w:themeColor="background1"/>
                <w:szCs w:val="20"/>
              </w:rPr>
              <w:fldChar w:fldCharType="begin"/>
            </w:r>
            <w:r w:rsidRPr="00526B49">
              <w:rPr>
                <w:b/>
                <w:bCs/>
                <w:color w:val="FFFFFF" w:themeColor="background1"/>
                <w:szCs w:val="20"/>
              </w:rPr>
              <w:instrText xml:space="preserve"> SEQ Table_A5- \* ARABIC </w:instrText>
            </w:r>
            <w:r w:rsidRPr="00526B49">
              <w:rPr>
                <w:b/>
                <w:bCs/>
                <w:color w:val="FFFFFF" w:themeColor="background1"/>
                <w:szCs w:val="20"/>
              </w:rPr>
              <w:fldChar w:fldCharType="separate"/>
            </w:r>
            <w:r>
              <w:rPr>
                <w:b/>
                <w:bCs/>
                <w:noProof/>
                <w:color w:val="FFFFFF" w:themeColor="background1"/>
                <w:szCs w:val="20"/>
              </w:rPr>
              <w:t>135</w:t>
            </w:r>
            <w:r w:rsidRPr="00526B49">
              <w:rPr>
                <w:b/>
                <w:bCs/>
                <w:color w:val="FFFFFF" w:themeColor="background1"/>
                <w:szCs w:val="20"/>
              </w:rPr>
              <w:fldChar w:fldCharType="end"/>
            </w:r>
            <w:r w:rsidRPr="00526B49">
              <w:rPr>
                <w:b/>
                <w:bCs/>
                <w:color w:val="FFFFFF" w:themeColor="background1"/>
                <w:szCs w:val="20"/>
                <w:lang w:eastAsia="en-GB"/>
              </w:rPr>
              <w:t>:</w:t>
            </w:r>
            <w:r w:rsidRPr="00526B49">
              <w:rPr>
                <w:b/>
                <w:color w:val="FFFFFF" w:themeColor="background1"/>
                <w:szCs w:val="20"/>
                <w:lang w:eastAsia="en-GB"/>
              </w:rPr>
              <w:t xml:space="preserve"> Environmental Impacts and Revenue Changes in Spain – Scenario B</w:t>
            </w:r>
          </w:p>
        </w:tc>
      </w:tr>
      <w:tr w:rsidR="002D122C" w:rsidRPr="00526B49" w14:paraId="77D69EFB" w14:textId="77777777" w:rsidTr="00BA7936">
        <w:trPr>
          <w:trHeight w:val="513"/>
        </w:trPr>
        <w:tc>
          <w:tcPr>
            <w:tcW w:w="2203" w:type="dxa"/>
          </w:tcPr>
          <w:p w14:paraId="506FD200" w14:textId="77777777" w:rsidR="002D122C" w:rsidRPr="00526B49" w:rsidRDefault="002D122C" w:rsidP="000878F6">
            <w:pPr>
              <w:pStyle w:val="Table"/>
              <w:rPr>
                <w:b/>
                <w:szCs w:val="20"/>
              </w:rPr>
            </w:pPr>
            <w:r w:rsidRPr="00526B49">
              <w:rPr>
                <w:b/>
                <w:szCs w:val="20"/>
              </w:rPr>
              <w:t>Tax Name</w:t>
            </w:r>
          </w:p>
        </w:tc>
        <w:tc>
          <w:tcPr>
            <w:tcW w:w="2221" w:type="dxa"/>
            <w:gridSpan w:val="2"/>
            <w:vAlign w:val="bottom"/>
          </w:tcPr>
          <w:p w14:paraId="6CD826E9" w14:textId="77777777" w:rsidR="002D122C" w:rsidRPr="00526B49" w:rsidRDefault="002D122C" w:rsidP="000878F6">
            <w:pPr>
              <w:pStyle w:val="Table"/>
              <w:jc w:val="center"/>
              <w:rPr>
                <w:b/>
                <w:szCs w:val="20"/>
              </w:rPr>
            </w:pPr>
            <w:r w:rsidRPr="00526B49">
              <w:rPr>
                <w:rFonts w:ascii="Calibri" w:hAnsi="Calibri" w:cs="Calibri"/>
                <w:b/>
                <w:bCs/>
                <w:color w:val="000000"/>
                <w:szCs w:val="20"/>
              </w:rPr>
              <w:t>% Change in Quantities as % of taxed sector</w:t>
            </w:r>
          </w:p>
        </w:tc>
        <w:tc>
          <w:tcPr>
            <w:tcW w:w="2225" w:type="dxa"/>
            <w:gridSpan w:val="2"/>
            <w:vAlign w:val="bottom"/>
          </w:tcPr>
          <w:p w14:paraId="3B599B7A" w14:textId="77777777" w:rsidR="002D122C" w:rsidRPr="00526B49" w:rsidRDefault="002D122C" w:rsidP="000878F6">
            <w:pPr>
              <w:pStyle w:val="Table"/>
              <w:jc w:val="center"/>
              <w:rPr>
                <w:b/>
                <w:szCs w:val="20"/>
              </w:rPr>
            </w:pPr>
            <w:r w:rsidRPr="00526B49">
              <w:rPr>
                <w:rFonts w:ascii="Calibri" w:hAnsi="Calibri" w:cs="Calibri"/>
                <w:b/>
                <w:bCs/>
                <w:color w:val="000000"/>
                <w:szCs w:val="20"/>
              </w:rPr>
              <w:t>Change in Revenues (€Mn)</w:t>
            </w:r>
          </w:p>
        </w:tc>
        <w:tc>
          <w:tcPr>
            <w:tcW w:w="2367" w:type="dxa"/>
            <w:gridSpan w:val="2"/>
            <w:vAlign w:val="bottom"/>
          </w:tcPr>
          <w:p w14:paraId="77AE6145" w14:textId="77777777" w:rsidR="002D122C" w:rsidRPr="00526B49" w:rsidRDefault="002D122C" w:rsidP="000878F6">
            <w:pPr>
              <w:pStyle w:val="Table"/>
              <w:jc w:val="center"/>
              <w:rPr>
                <w:b/>
                <w:szCs w:val="20"/>
              </w:rPr>
            </w:pPr>
            <w:r w:rsidRPr="00526B49">
              <w:rPr>
                <w:rFonts w:ascii="Calibri" w:hAnsi="Calibri" w:cs="Calibri"/>
                <w:b/>
                <w:bCs/>
                <w:color w:val="000000"/>
                <w:szCs w:val="20"/>
              </w:rPr>
              <w:t>As % of 2023 Resource Tax</w:t>
            </w:r>
          </w:p>
        </w:tc>
      </w:tr>
      <w:tr w:rsidR="002D122C" w:rsidRPr="00526B49" w14:paraId="1F749BF9" w14:textId="77777777" w:rsidTr="00BA7936">
        <w:trPr>
          <w:trHeight w:val="247"/>
        </w:trPr>
        <w:tc>
          <w:tcPr>
            <w:tcW w:w="2203" w:type="dxa"/>
          </w:tcPr>
          <w:p w14:paraId="7F9DFA3E" w14:textId="77777777" w:rsidR="002D122C" w:rsidRPr="00526B49" w:rsidRDefault="002D122C" w:rsidP="000878F6">
            <w:pPr>
              <w:pStyle w:val="Table"/>
              <w:rPr>
                <w:b/>
                <w:szCs w:val="20"/>
              </w:rPr>
            </w:pPr>
            <w:r w:rsidRPr="00526B49">
              <w:rPr>
                <w:b/>
                <w:szCs w:val="20"/>
              </w:rPr>
              <w:t>Year</w:t>
            </w:r>
          </w:p>
        </w:tc>
        <w:tc>
          <w:tcPr>
            <w:tcW w:w="1110" w:type="dxa"/>
          </w:tcPr>
          <w:p w14:paraId="6A960E7D" w14:textId="77777777" w:rsidR="002D122C" w:rsidRPr="00526B49" w:rsidRDefault="002D122C" w:rsidP="000878F6">
            <w:pPr>
              <w:pStyle w:val="Table"/>
              <w:jc w:val="center"/>
              <w:rPr>
                <w:b/>
                <w:szCs w:val="20"/>
              </w:rPr>
            </w:pPr>
            <w:r w:rsidRPr="00526B49">
              <w:rPr>
                <w:b/>
                <w:szCs w:val="20"/>
              </w:rPr>
              <w:t>2030</w:t>
            </w:r>
          </w:p>
        </w:tc>
        <w:tc>
          <w:tcPr>
            <w:tcW w:w="1111" w:type="dxa"/>
          </w:tcPr>
          <w:p w14:paraId="19B6B5E4" w14:textId="77777777" w:rsidR="002D122C" w:rsidRPr="00526B49" w:rsidRDefault="002D122C" w:rsidP="000878F6">
            <w:pPr>
              <w:pStyle w:val="Table"/>
              <w:jc w:val="center"/>
              <w:rPr>
                <w:b/>
                <w:szCs w:val="20"/>
              </w:rPr>
            </w:pPr>
            <w:r w:rsidRPr="00526B49">
              <w:rPr>
                <w:b/>
                <w:szCs w:val="20"/>
              </w:rPr>
              <w:t>2035</w:t>
            </w:r>
          </w:p>
        </w:tc>
        <w:tc>
          <w:tcPr>
            <w:tcW w:w="1022" w:type="dxa"/>
          </w:tcPr>
          <w:p w14:paraId="116CB590" w14:textId="77777777" w:rsidR="002D122C" w:rsidRPr="00526B49" w:rsidRDefault="002D122C" w:rsidP="000878F6">
            <w:pPr>
              <w:pStyle w:val="Table"/>
              <w:jc w:val="center"/>
              <w:rPr>
                <w:b/>
                <w:szCs w:val="20"/>
              </w:rPr>
            </w:pPr>
            <w:r w:rsidRPr="00526B49">
              <w:rPr>
                <w:b/>
                <w:szCs w:val="20"/>
              </w:rPr>
              <w:t>2030</w:t>
            </w:r>
          </w:p>
        </w:tc>
        <w:tc>
          <w:tcPr>
            <w:tcW w:w="1203" w:type="dxa"/>
          </w:tcPr>
          <w:p w14:paraId="127DFE9A" w14:textId="77777777" w:rsidR="002D122C" w:rsidRPr="00526B49" w:rsidRDefault="002D122C" w:rsidP="000878F6">
            <w:pPr>
              <w:pStyle w:val="Table"/>
              <w:jc w:val="center"/>
              <w:rPr>
                <w:b/>
                <w:szCs w:val="20"/>
              </w:rPr>
            </w:pPr>
            <w:r w:rsidRPr="00526B49">
              <w:rPr>
                <w:b/>
                <w:szCs w:val="20"/>
              </w:rPr>
              <w:t>2035</w:t>
            </w:r>
          </w:p>
        </w:tc>
        <w:tc>
          <w:tcPr>
            <w:tcW w:w="1098" w:type="dxa"/>
          </w:tcPr>
          <w:p w14:paraId="069D10A6" w14:textId="77777777" w:rsidR="002D122C" w:rsidRPr="00526B49" w:rsidRDefault="002D122C" w:rsidP="000878F6">
            <w:pPr>
              <w:pStyle w:val="Table"/>
              <w:jc w:val="center"/>
              <w:rPr>
                <w:b/>
                <w:szCs w:val="20"/>
              </w:rPr>
            </w:pPr>
            <w:r w:rsidRPr="00526B49">
              <w:rPr>
                <w:b/>
                <w:szCs w:val="20"/>
              </w:rPr>
              <w:t>2030</w:t>
            </w:r>
          </w:p>
        </w:tc>
        <w:tc>
          <w:tcPr>
            <w:tcW w:w="1269" w:type="dxa"/>
          </w:tcPr>
          <w:p w14:paraId="52945458" w14:textId="77777777" w:rsidR="002D122C" w:rsidRPr="00526B49" w:rsidRDefault="002D122C" w:rsidP="000878F6">
            <w:pPr>
              <w:pStyle w:val="Table"/>
              <w:jc w:val="center"/>
              <w:rPr>
                <w:b/>
                <w:szCs w:val="20"/>
              </w:rPr>
            </w:pPr>
            <w:r w:rsidRPr="00526B49">
              <w:rPr>
                <w:b/>
                <w:szCs w:val="20"/>
              </w:rPr>
              <w:t>2035</w:t>
            </w:r>
          </w:p>
        </w:tc>
      </w:tr>
      <w:tr w:rsidR="002D122C" w:rsidRPr="00526B49" w14:paraId="688B4378" w14:textId="77777777" w:rsidTr="00BA7936">
        <w:trPr>
          <w:trHeight w:val="247"/>
        </w:trPr>
        <w:tc>
          <w:tcPr>
            <w:tcW w:w="2203" w:type="dxa"/>
          </w:tcPr>
          <w:p w14:paraId="5790576D" w14:textId="77777777" w:rsidR="002D122C" w:rsidRPr="00526B49" w:rsidRDefault="002D122C" w:rsidP="000878F6">
            <w:pPr>
              <w:pStyle w:val="Table"/>
              <w:rPr>
                <w:szCs w:val="20"/>
              </w:rPr>
            </w:pPr>
            <w:r w:rsidRPr="00526B49">
              <w:rPr>
                <w:szCs w:val="20"/>
              </w:rPr>
              <w:t>NOx</w:t>
            </w:r>
          </w:p>
        </w:tc>
        <w:tc>
          <w:tcPr>
            <w:tcW w:w="1110" w:type="dxa"/>
            <w:vAlign w:val="center"/>
          </w:tcPr>
          <w:p w14:paraId="5776E4BC" w14:textId="77777777" w:rsidR="002D122C" w:rsidRPr="00526B49" w:rsidRDefault="002D122C" w:rsidP="000878F6">
            <w:pPr>
              <w:pStyle w:val="Table"/>
              <w:jc w:val="center"/>
              <w:rPr>
                <w:szCs w:val="20"/>
              </w:rPr>
            </w:pPr>
            <w:r w:rsidRPr="00526B49">
              <w:rPr>
                <w:rFonts w:ascii="Calibri" w:hAnsi="Calibri" w:cs="Calibri"/>
                <w:color w:val="000000"/>
                <w:szCs w:val="20"/>
              </w:rPr>
              <w:t>-7,39%</w:t>
            </w:r>
          </w:p>
        </w:tc>
        <w:tc>
          <w:tcPr>
            <w:tcW w:w="1111" w:type="dxa"/>
            <w:vAlign w:val="center"/>
          </w:tcPr>
          <w:p w14:paraId="0731EEF8" w14:textId="77777777" w:rsidR="002D122C" w:rsidRPr="00526B49" w:rsidRDefault="002D122C" w:rsidP="000878F6">
            <w:pPr>
              <w:pStyle w:val="Table"/>
              <w:jc w:val="center"/>
              <w:rPr>
                <w:szCs w:val="20"/>
              </w:rPr>
            </w:pPr>
            <w:r w:rsidRPr="00526B49">
              <w:rPr>
                <w:rFonts w:ascii="Calibri" w:hAnsi="Calibri" w:cs="Calibri"/>
                <w:color w:val="000000"/>
                <w:szCs w:val="20"/>
              </w:rPr>
              <w:t>-7,39%</w:t>
            </w:r>
          </w:p>
        </w:tc>
        <w:tc>
          <w:tcPr>
            <w:tcW w:w="1022" w:type="dxa"/>
            <w:vAlign w:val="center"/>
          </w:tcPr>
          <w:p w14:paraId="21A95E70" w14:textId="77777777" w:rsidR="002D122C" w:rsidRPr="00526B49" w:rsidRDefault="002D122C" w:rsidP="000878F6">
            <w:pPr>
              <w:pStyle w:val="Table"/>
              <w:jc w:val="center"/>
              <w:rPr>
                <w:szCs w:val="20"/>
              </w:rPr>
            </w:pPr>
            <w:r w:rsidRPr="00526B49">
              <w:rPr>
                <w:rFonts w:ascii="Calibri" w:hAnsi="Calibri" w:cs="Calibri"/>
                <w:color w:val="000000"/>
                <w:szCs w:val="20"/>
              </w:rPr>
              <w:t>1,64</w:t>
            </w:r>
          </w:p>
        </w:tc>
        <w:tc>
          <w:tcPr>
            <w:tcW w:w="1203" w:type="dxa"/>
            <w:vAlign w:val="center"/>
          </w:tcPr>
          <w:p w14:paraId="7998A6F5" w14:textId="77777777" w:rsidR="002D122C" w:rsidRPr="00526B49" w:rsidRDefault="002D122C" w:rsidP="000878F6">
            <w:pPr>
              <w:pStyle w:val="Table"/>
              <w:jc w:val="center"/>
              <w:rPr>
                <w:szCs w:val="20"/>
              </w:rPr>
            </w:pPr>
            <w:r w:rsidRPr="00526B49">
              <w:rPr>
                <w:rFonts w:ascii="Calibri" w:hAnsi="Calibri" w:cs="Calibri"/>
                <w:color w:val="000000"/>
                <w:szCs w:val="20"/>
              </w:rPr>
              <w:t>1,37</w:t>
            </w:r>
          </w:p>
        </w:tc>
        <w:tc>
          <w:tcPr>
            <w:tcW w:w="1098" w:type="dxa"/>
            <w:vAlign w:val="center"/>
          </w:tcPr>
          <w:p w14:paraId="7049EEA6" w14:textId="77777777" w:rsidR="002D122C" w:rsidRPr="00526B49" w:rsidRDefault="002D122C" w:rsidP="000878F6">
            <w:pPr>
              <w:pStyle w:val="Table"/>
              <w:jc w:val="center"/>
              <w:rPr>
                <w:szCs w:val="20"/>
              </w:rPr>
            </w:pPr>
            <w:r w:rsidRPr="00526B49">
              <w:rPr>
                <w:rFonts w:ascii="Calibri" w:hAnsi="Calibri" w:cs="Calibri"/>
                <w:color w:val="000000"/>
                <w:szCs w:val="20"/>
              </w:rPr>
              <w:t>0,1%</w:t>
            </w:r>
          </w:p>
        </w:tc>
        <w:tc>
          <w:tcPr>
            <w:tcW w:w="1269" w:type="dxa"/>
            <w:vAlign w:val="center"/>
          </w:tcPr>
          <w:p w14:paraId="5F555ADA" w14:textId="77777777" w:rsidR="002D122C" w:rsidRPr="00526B49" w:rsidRDefault="002D122C" w:rsidP="000878F6">
            <w:pPr>
              <w:pStyle w:val="Table"/>
              <w:jc w:val="center"/>
              <w:rPr>
                <w:szCs w:val="20"/>
              </w:rPr>
            </w:pPr>
            <w:r w:rsidRPr="00526B49">
              <w:rPr>
                <w:rFonts w:ascii="Calibri" w:hAnsi="Calibri" w:cs="Calibri"/>
                <w:color w:val="000000"/>
                <w:szCs w:val="20"/>
              </w:rPr>
              <w:t>0,1%</w:t>
            </w:r>
          </w:p>
        </w:tc>
      </w:tr>
      <w:tr w:rsidR="002D122C" w:rsidRPr="00526B49" w14:paraId="2965FB87" w14:textId="77777777" w:rsidTr="00BA7936">
        <w:trPr>
          <w:trHeight w:val="247"/>
        </w:trPr>
        <w:tc>
          <w:tcPr>
            <w:tcW w:w="2203" w:type="dxa"/>
          </w:tcPr>
          <w:p w14:paraId="41A85079" w14:textId="77777777" w:rsidR="002D122C" w:rsidRPr="00526B49" w:rsidRDefault="002D122C" w:rsidP="000878F6">
            <w:pPr>
              <w:pStyle w:val="Table"/>
              <w:rPr>
                <w:szCs w:val="20"/>
              </w:rPr>
            </w:pPr>
            <w:r w:rsidRPr="00526B49">
              <w:rPr>
                <w:szCs w:val="20"/>
              </w:rPr>
              <w:t>SO2</w:t>
            </w:r>
          </w:p>
        </w:tc>
        <w:tc>
          <w:tcPr>
            <w:tcW w:w="1110" w:type="dxa"/>
            <w:vAlign w:val="center"/>
          </w:tcPr>
          <w:p w14:paraId="712411CA" w14:textId="77777777" w:rsidR="002D122C" w:rsidRPr="00526B49" w:rsidRDefault="002D122C" w:rsidP="000878F6">
            <w:pPr>
              <w:pStyle w:val="Table"/>
              <w:jc w:val="center"/>
              <w:rPr>
                <w:szCs w:val="20"/>
              </w:rPr>
            </w:pPr>
            <w:r w:rsidRPr="00526B49">
              <w:rPr>
                <w:rFonts w:ascii="Calibri" w:hAnsi="Calibri" w:cs="Calibri"/>
                <w:color w:val="000000"/>
                <w:szCs w:val="20"/>
              </w:rPr>
              <w:t>-8,11%</w:t>
            </w:r>
          </w:p>
        </w:tc>
        <w:tc>
          <w:tcPr>
            <w:tcW w:w="1111" w:type="dxa"/>
            <w:vAlign w:val="center"/>
          </w:tcPr>
          <w:p w14:paraId="0FCB5870" w14:textId="77777777" w:rsidR="002D122C" w:rsidRPr="00526B49" w:rsidRDefault="002D122C" w:rsidP="000878F6">
            <w:pPr>
              <w:pStyle w:val="Table"/>
              <w:jc w:val="center"/>
              <w:rPr>
                <w:szCs w:val="20"/>
              </w:rPr>
            </w:pPr>
            <w:r w:rsidRPr="00526B49">
              <w:rPr>
                <w:rFonts w:ascii="Calibri" w:hAnsi="Calibri" w:cs="Calibri"/>
                <w:color w:val="000000"/>
                <w:szCs w:val="20"/>
              </w:rPr>
              <w:t>-8,11%</w:t>
            </w:r>
          </w:p>
        </w:tc>
        <w:tc>
          <w:tcPr>
            <w:tcW w:w="1022" w:type="dxa"/>
            <w:vAlign w:val="center"/>
          </w:tcPr>
          <w:p w14:paraId="070C834D" w14:textId="77777777" w:rsidR="002D122C" w:rsidRPr="00526B49" w:rsidRDefault="002D122C" w:rsidP="000878F6">
            <w:pPr>
              <w:pStyle w:val="Table"/>
              <w:jc w:val="center"/>
              <w:rPr>
                <w:szCs w:val="20"/>
              </w:rPr>
            </w:pPr>
            <w:r w:rsidRPr="00526B49">
              <w:rPr>
                <w:rFonts w:ascii="Calibri" w:hAnsi="Calibri" w:cs="Calibri"/>
                <w:color w:val="000000"/>
                <w:szCs w:val="20"/>
              </w:rPr>
              <w:t>13,92</w:t>
            </w:r>
          </w:p>
        </w:tc>
        <w:tc>
          <w:tcPr>
            <w:tcW w:w="1203" w:type="dxa"/>
            <w:vAlign w:val="center"/>
          </w:tcPr>
          <w:p w14:paraId="0615E6CF" w14:textId="77777777" w:rsidR="002D122C" w:rsidRPr="00526B49" w:rsidRDefault="002D122C" w:rsidP="000878F6">
            <w:pPr>
              <w:pStyle w:val="Table"/>
              <w:jc w:val="center"/>
              <w:rPr>
                <w:szCs w:val="20"/>
              </w:rPr>
            </w:pPr>
            <w:r w:rsidRPr="00526B49">
              <w:rPr>
                <w:rFonts w:ascii="Calibri" w:hAnsi="Calibri" w:cs="Calibri"/>
                <w:color w:val="000000"/>
                <w:szCs w:val="20"/>
              </w:rPr>
              <w:t>9,20</w:t>
            </w:r>
          </w:p>
        </w:tc>
        <w:tc>
          <w:tcPr>
            <w:tcW w:w="1098" w:type="dxa"/>
            <w:vAlign w:val="center"/>
          </w:tcPr>
          <w:p w14:paraId="114451C4" w14:textId="77777777" w:rsidR="002D122C" w:rsidRPr="00526B49" w:rsidRDefault="002D122C" w:rsidP="000878F6">
            <w:pPr>
              <w:pStyle w:val="Table"/>
              <w:jc w:val="center"/>
              <w:rPr>
                <w:szCs w:val="20"/>
              </w:rPr>
            </w:pPr>
            <w:r w:rsidRPr="00526B49">
              <w:rPr>
                <w:rFonts w:ascii="Calibri" w:hAnsi="Calibri" w:cs="Calibri"/>
                <w:color w:val="000000"/>
                <w:szCs w:val="20"/>
              </w:rPr>
              <w:t>0,7%</w:t>
            </w:r>
          </w:p>
        </w:tc>
        <w:tc>
          <w:tcPr>
            <w:tcW w:w="1269" w:type="dxa"/>
            <w:vAlign w:val="center"/>
          </w:tcPr>
          <w:p w14:paraId="05019962" w14:textId="77777777" w:rsidR="002D122C" w:rsidRPr="00526B49" w:rsidRDefault="002D122C" w:rsidP="000878F6">
            <w:pPr>
              <w:pStyle w:val="Table"/>
              <w:jc w:val="center"/>
              <w:rPr>
                <w:szCs w:val="20"/>
              </w:rPr>
            </w:pPr>
            <w:r w:rsidRPr="00526B49">
              <w:rPr>
                <w:rFonts w:ascii="Calibri" w:hAnsi="Calibri" w:cs="Calibri"/>
                <w:color w:val="000000"/>
                <w:szCs w:val="20"/>
              </w:rPr>
              <w:t>0,5%</w:t>
            </w:r>
          </w:p>
        </w:tc>
      </w:tr>
      <w:tr w:rsidR="002D122C" w:rsidRPr="00526B49" w14:paraId="0C21F3B5" w14:textId="77777777" w:rsidTr="00BA7936">
        <w:trPr>
          <w:trHeight w:val="247"/>
        </w:trPr>
        <w:tc>
          <w:tcPr>
            <w:tcW w:w="2203" w:type="dxa"/>
          </w:tcPr>
          <w:p w14:paraId="486F22FD" w14:textId="77777777" w:rsidR="002D122C" w:rsidRPr="00526B49" w:rsidRDefault="002D122C" w:rsidP="000878F6">
            <w:pPr>
              <w:pStyle w:val="Table"/>
              <w:rPr>
                <w:szCs w:val="20"/>
              </w:rPr>
            </w:pPr>
            <w:r w:rsidRPr="00526B49">
              <w:rPr>
                <w:szCs w:val="20"/>
              </w:rPr>
              <w:t>PM2.5</w:t>
            </w:r>
          </w:p>
        </w:tc>
        <w:tc>
          <w:tcPr>
            <w:tcW w:w="1110" w:type="dxa"/>
            <w:vAlign w:val="center"/>
          </w:tcPr>
          <w:p w14:paraId="6A9E1F8C" w14:textId="77777777" w:rsidR="002D122C" w:rsidRPr="00526B49" w:rsidRDefault="002D122C" w:rsidP="000878F6">
            <w:pPr>
              <w:pStyle w:val="Table"/>
              <w:jc w:val="center"/>
              <w:rPr>
                <w:szCs w:val="20"/>
              </w:rPr>
            </w:pPr>
            <w:r w:rsidRPr="00526B49">
              <w:rPr>
                <w:rFonts w:ascii="Calibri" w:hAnsi="Calibri" w:cs="Calibri"/>
                <w:color w:val="000000"/>
                <w:szCs w:val="20"/>
              </w:rPr>
              <w:t>-7,39%</w:t>
            </w:r>
          </w:p>
        </w:tc>
        <w:tc>
          <w:tcPr>
            <w:tcW w:w="1111" w:type="dxa"/>
            <w:vAlign w:val="center"/>
          </w:tcPr>
          <w:p w14:paraId="4F2D1D51" w14:textId="77777777" w:rsidR="002D122C" w:rsidRPr="00526B49" w:rsidRDefault="002D122C" w:rsidP="000878F6">
            <w:pPr>
              <w:pStyle w:val="Table"/>
              <w:jc w:val="center"/>
              <w:rPr>
                <w:szCs w:val="20"/>
              </w:rPr>
            </w:pPr>
            <w:r w:rsidRPr="00526B49">
              <w:rPr>
                <w:rFonts w:ascii="Calibri" w:hAnsi="Calibri" w:cs="Calibri"/>
                <w:color w:val="000000"/>
                <w:szCs w:val="20"/>
              </w:rPr>
              <w:t>-7,39%</w:t>
            </w:r>
          </w:p>
        </w:tc>
        <w:tc>
          <w:tcPr>
            <w:tcW w:w="1022" w:type="dxa"/>
            <w:vAlign w:val="center"/>
          </w:tcPr>
          <w:p w14:paraId="10CA9601" w14:textId="77777777" w:rsidR="002D122C" w:rsidRPr="00526B49" w:rsidRDefault="002D122C" w:rsidP="000878F6">
            <w:pPr>
              <w:pStyle w:val="Table"/>
              <w:jc w:val="center"/>
              <w:rPr>
                <w:szCs w:val="20"/>
              </w:rPr>
            </w:pPr>
            <w:r w:rsidRPr="00526B49">
              <w:rPr>
                <w:rFonts w:ascii="Calibri" w:hAnsi="Calibri" w:cs="Calibri"/>
                <w:color w:val="000000"/>
                <w:szCs w:val="20"/>
              </w:rPr>
              <w:t>4,90</w:t>
            </w:r>
          </w:p>
        </w:tc>
        <w:tc>
          <w:tcPr>
            <w:tcW w:w="1203" w:type="dxa"/>
            <w:vAlign w:val="center"/>
          </w:tcPr>
          <w:p w14:paraId="46E95537" w14:textId="77777777" w:rsidR="002D122C" w:rsidRPr="00526B49" w:rsidRDefault="002D122C" w:rsidP="000878F6">
            <w:pPr>
              <w:pStyle w:val="Table"/>
              <w:jc w:val="center"/>
              <w:rPr>
                <w:szCs w:val="20"/>
              </w:rPr>
            </w:pPr>
            <w:r w:rsidRPr="00526B49">
              <w:rPr>
                <w:rFonts w:ascii="Calibri" w:hAnsi="Calibri" w:cs="Calibri"/>
                <w:color w:val="000000"/>
                <w:szCs w:val="20"/>
              </w:rPr>
              <w:t>4,41</w:t>
            </w:r>
          </w:p>
        </w:tc>
        <w:tc>
          <w:tcPr>
            <w:tcW w:w="1098" w:type="dxa"/>
            <w:vAlign w:val="center"/>
          </w:tcPr>
          <w:p w14:paraId="0077094F" w14:textId="77777777" w:rsidR="002D122C" w:rsidRPr="00526B49" w:rsidRDefault="002D122C" w:rsidP="000878F6">
            <w:pPr>
              <w:pStyle w:val="Table"/>
              <w:jc w:val="center"/>
              <w:rPr>
                <w:szCs w:val="20"/>
              </w:rPr>
            </w:pPr>
            <w:r w:rsidRPr="00526B49">
              <w:rPr>
                <w:rFonts w:ascii="Calibri" w:hAnsi="Calibri" w:cs="Calibri"/>
                <w:color w:val="000000"/>
                <w:szCs w:val="20"/>
              </w:rPr>
              <w:t>0,3%</w:t>
            </w:r>
          </w:p>
        </w:tc>
        <w:tc>
          <w:tcPr>
            <w:tcW w:w="1269" w:type="dxa"/>
            <w:vAlign w:val="center"/>
          </w:tcPr>
          <w:p w14:paraId="71ACC582" w14:textId="77777777" w:rsidR="002D122C" w:rsidRPr="00526B49" w:rsidRDefault="002D122C" w:rsidP="000878F6">
            <w:pPr>
              <w:pStyle w:val="Table"/>
              <w:jc w:val="center"/>
              <w:rPr>
                <w:szCs w:val="20"/>
              </w:rPr>
            </w:pPr>
            <w:r w:rsidRPr="00526B49">
              <w:rPr>
                <w:rFonts w:ascii="Calibri" w:hAnsi="Calibri" w:cs="Calibri"/>
                <w:color w:val="000000"/>
                <w:szCs w:val="20"/>
              </w:rPr>
              <w:t>0,2%</w:t>
            </w:r>
          </w:p>
        </w:tc>
      </w:tr>
      <w:tr w:rsidR="002D122C" w:rsidRPr="00526B49" w14:paraId="62CD858E" w14:textId="77777777" w:rsidTr="00BA7936">
        <w:trPr>
          <w:trHeight w:val="247"/>
        </w:trPr>
        <w:tc>
          <w:tcPr>
            <w:tcW w:w="2203" w:type="dxa"/>
          </w:tcPr>
          <w:p w14:paraId="0D8F1FC7" w14:textId="77777777" w:rsidR="002D122C" w:rsidRPr="00526B49" w:rsidRDefault="002D122C" w:rsidP="000878F6">
            <w:pPr>
              <w:pStyle w:val="Table"/>
              <w:rPr>
                <w:szCs w:val="20"/>
              </w:rPr>
            </w:pPr>
            <w:r w:rsidRPr="00526B49">
              <w:rPr>
                <w:szCs w:val="20"/>
              </w:rPr>
              <w:t>Water Abstraction</w:t>
            </w:r>
          </w:p>
        </w:tc>
        <w:tc>
          <w:tcPr>
            <w:tcW w:w="1110" w:type="dxa"/>
            <w:vAlign w:val="center"/>
          </w:tcPr>
          <w:p w14:paraId="46C2D189" w14:textId="77777777" w:rsidR="002D122C" w:rsidRPr="00526B49" w:rsidRDefault="002D122C" w:rsidP="000878F6">
            <w:pPr>
              <w:pStyle w:val="Table"/>
              <w:jc w:val="center"/>
              <w:rPr>
                <w:szCs w:val="20"/>
              </w:rPr>
            </w:pPr>
            <w:r w:rsidRPr="00526B49">
              <w:rPr>
                <w:rFonts w:ascii="Calibri" w:hAnsi="Calibri" w:cs="Calibri"/>
                <w:color w:val="000000"/>
                <w:szCs w:val="20"/>
              </w:rPr>
              <w:t>-6,27%</w:t>
            </w:r>
          </w:p>
        </w:tc>
        <w:tc>
          <w:tcPr>
            <w:tcW w:w="1111" w:type="dxa"/>
            <w:vAlign w:val="center"/>
          </w:tcPr>
          <w:p w14:paraId="3AED501C" w14:textId="77777777" w:rsidR="002D122C" w:rsidRPr="00526B49" w:rsidRDefault="002D122C" w:rsidP="000878F6">
            <w:pPr>
              <w:pStyle w:val="Table"/>
              <w:jc w:val="center"/>
              <w:rPr>
                <w:szCs w:val="20"/>
              </w:rPr>
            </w:pPr>
            <w:r w:rsidRPr="00526B49">
              <w:rPr>
                <w:rFonts w:ascii="Calibri" w:hAnsi="Calibri" w:cs="Calibri"/>
                <w:color w:val="000000"/>
                <w:szCs w:val="20"/>
              </w:rPr>
              <w:t>-6,27%</w:t>
            </w:r>
          </w:p>
        </w:tc>
        <w:tc>
          <w:tcPr>
            <w:tcW w:w="1022" w:type="dxa"/>
            <w:vAlign w:val="center"/>
          </w:tcPr>
          <w:p w14:paraId="3D2705C2" w14:textId="77777777" w:rsidR="002D122C" w:rsidRPr="00526B49" w:rsidRDefault="002D122C" w:rsidP="000878F6">
            <w:pPr>
              <w:pStyle w:val="Table"/>
              <w:jc w:val="center"/>
              <w:rPr>
                <w:szCs w:val="20"/>
              </w:rPr>
            </w:pPr>
            <w:r w:rsidRPr="00526B49">
              <w:rPr>
                <w:rFonts w:ascii="Calibri" w:hAnsi="Calibri" w:cs="Calibri"/>
                <w:color w:val="000000"/>
                <w:szCs w:val="20"/>
              </w:rPr>
              <w:t>1401,04</w:t>
            </w:r>
          </w:p>
        </w:tc>
        <w:tc>
          <w:tcPr>
            <w:tcW w:w="1203" w:type="dxa"/>
            <w:vAlign w:val="center"/>
          </w:tcPr>
          <w:p w14:paraId="1D14B72D" w14:textId="77777777" w:rsidR="002D122C" w:rsidRPr="00526B49" w:rsidRDefault="002D122C" w:rsidP="000878F6">
            <w:pPr>
              <w:pStyle w:val="Table"/>
              <w:jc w:val="center"/>
              <w:rPr>
                <w:szCs w:val="20"/>
              </w:rPr>
            </w:pPr>
            <w:r w:rsidRPr="00526B49">
              <w:rPr>
                <w:rFonts w:ascii="Calibri" w:hAnsi="Calibri" w:cs="Calibri"/>
                <w:color w:val="000000"/>
                <w:szCs w:val="20"/>
              </w:rPr>
              <w:t>1310,11</w:t>
            </w:r>
          </w:p>
        </w:tc>
        <w:tc>
          <w:tcPr>
            <w:tcW w:w="1098" w:type="dxa"/>
            <w:vAlign w:val="center"/>
          </w:tcPr>
          <w:p w14:paraId="3EC3E8B4" w14:textId="77777777" w:rsidR="002D122C" w:rsidRPr="00526B49" w:rsidRDefault="002D122C" w:rsidP="000878F6">
            <w:pPr>
              <w:pStyle w:val="Table"/>
              <w:jc w:val="center"/>
              <w:rPr>
                <w:szCs w:val="20"/>
              </w:rPr>
            </w:pPr>
            <w:r w:rsidRPr="00526B49">
              <w:rPr>
                <w:rFonts w:ascii="Calibri" w:hAnsi="Calibri" w:cs="Calibri"/>
                <w:color w:val="000000"/>
                <w:szCs w:val="20"/>
              </w:rPr>
              <w:t>1401,0%</w:t>
            </w:r>
          </w:p>
        </w:tc>
        <w:tc>
          <w:tcPr>
            <w:tcW w:w="1269" w:type="dxa"/>
            <w:vAlign w:val="center"/>
          </w:tcPr>
          <w:p w14:paraId="7CC3136F" w14:textId="77777777" w:rsidR="002D122C" w:rsidRPr="00526B49" w:rsidRDefault="002D122C" w:rsidP="000878F6">
            <w:pPr>
              <w:pStyle w:val="Table"/>
              <w:jc w:val="center"/>
              <w:rPr>
                <w:szCs w:val="20"/>
              </w:rPr>
            </w:pPr>
            <w:r w:rsidRPr="00526B49">
              <w:rPr>
                <w:rFonts w:ascii="Calibri" w:hAnsi="Calibri" w:cs="Calibri"/>
                <w:color w:val="000000"/>
                <w:szCs w:val="20"/>
              </w:rPr>
              <w:t>1310,1%</w:t>
            </w:r>
          </w:p>
        </w:tc>
      </w:tr>
      <w:tr w:rsidR="002D122C" w:rsidRPr="00526B49" w14:paraId="5622E25C" w14:textId="77777777" w:rsidTr="00BA7936">
        <w:trPr>
          <w:trHeight w:val="73"/>
        </w:trPr>
        <w:tc>
          <w:tcPr>
            <w:tcW w:w="2203" w:type="dxa"/>
          </w:tcPr>
          <w:p w14:paraId="01897893" w14:textId="77777777" w:rsidR="002D122C" w:rsidRPr="00526B49" w:rsidRDefault="002D122C" w:rsidP="000878F6">
            <w:pPr>
              <w:pStyle w:val="Table"/>
              <w:rPr>
                <w:szCs w:val="20"/>
              </w:rPr>
            </w:pPr>
            <w:r w:rsidRPr="00526B49">
              <w:rPr>
                <w:szCs w:val="20"/>
              </w:rPr>
              <w:t>Fertilizers</w:t>
            </w:r>
          </w:p>
        </w:tc>
        <w:tc>
          <w:tcPr>
            <w:tcW w:w="1110" w:type="dxa"/>
            <w:vAlign w:val="center"/>
          </w:tcPr>
          <w:p w14:paraId="11E346AB" w14:textId="77777777" w:rsidR="002D122C" w:rsidRPr="00526B49" w:rsidRDefault="002D122C" w:rsidP="000878F6">
            <w:pPr>
              <w:pStyle w:val="Table"/>
              <w:jc w:val="center"/>
              <w:rPr>
                <w:szCs w:val="20"/>
              </w:rPr>
            </w:pPr>
            <w:r w:rsidRPr="00526B49">
              <w:rPr>
                <w:rFonts w:ascii="Calibri" w:hAnsi="Calibri" w:cs="Calibri"/>
                <w:color w:val="000000"/>
                <w:szCs w:val="20"/>
              </w:rPr>
              <w:t>-4,49%</w:t>
            </w:r>
          </w:p>
        </w:tc>
        <w:tc>
          <w:tcPr>
            <w:tcW w:w="1111" w:type="dxa"/>
            <w:vAlign w:val="center"/>
          </w:tcPr>
          <w:p w14:paraId="571AC87E" w14:textId="77777777" w:rsidR="002D122C" w:rsidRPr="00526B49" w:rsidRDefault="002D122C" w:rsidP="000878F6">
            <w:pPr>
              <w:pStyle w:val="Table"/>
              <w:jc w:val="center"/>
              <w:rPr>
                <w:szCs w:val="20"/>
              </w:rPr>
            </w:pPr>
            <w:r w:rsidRPr="00526B49">
              <w:rPr>
                <w:rFonts w:ascii="Calibri" w:hAnsi="Calibri" w:cs="Calibri"/>
                <w:color w:val="000000"/>
                <w:szCs w:val="20"/>
              </w:rPr>
              <w:t>-4,49%</w:t>
            </w:r>
          </w:p>
        </w:tc>
        <w:tc>
          <w:tcPr>
            <w:tcW w:w="1022" w:type="dxa"/>
            <w:vAlign w:val="center"/>
          </w:tcPr>
          <w:p w14:paraId="398A5BDC" w14:textId="77777777" w:rsidR="002D122C" w:rsidRPr="00526B49" w:rsidRDefault="002D122C" w:rsidP="000878F6">
            <w:pPr>
              <w:pStyle w:val="Table"/>
              <w:jc w:val="center"/>
              <w:rPr>
                <w:szCs w:val="20"/>
              </w:rPr>
            </w:pPr>
            <w:r w:rsidRPr="00526B49">
              <w:rPr>
                <w:rFonts w:ascii="Calibri" w:hAnsi="Calibri" w:cs="Calibri"/>
                <w:color w:val="000000"/>
                <w:szCs w:val="20"/>
              </w:rPr>
              <w:t>13,37</w:t>
            </w:r>
          </w:p>
        </w:tc>
        <w:tc>
          <w:tcPr>
            <w:tcW w:w="1203" w:type="dxa"/>
            <w:vAlign w:val="center"/>
          </w:tcPr>
          <w:p w14:paraId="0BF2CD22" w14:textId="77777777" w:rsidR="002D122C" w:rsidRPr="00526B49" w:rsidRDefault="002D122C" w:rsidP="000878F6">
            <w:pPr>
              <w:pStyle w:val="Table"/>
              <w:jc w:val="center"/>
              <w:rPr>
                <w:szCs w:val="20"/>
              </w:rPr>
            </w:pPr>
            <w:r w:rsidRPr="00526B49">
              <w:rPr>
                <w:rFonts w:ascii="Calibri" w:hAnsi="Calibri" w:cs="Calibri"/>
                <w:color w:val="000000"/>
                <w:szCs w:val="20"/>
              </w:rPr>
              <w:t>13,32</w:t>
            </w:r>
          </w:p>
        </w:tc>
        <w:tc>
          <w:tcPr>
            <w:tcW w:w="1098" w:type="dxa"/>
            <w:vAlign w:val="center"/>
          </w:tcPr>
          <w:p w14:paraId="7CB44C64" w14:textId="77777777" w:rsidR="002D122C" w:rsidRPr="00526B49" w:rsidRDefault="002D122C" w:rsidP="000878F6">
            <w:pPr>
              <w:pStyle w:val="Table"/>
              <w:jc w:val="center"/>
              <w:rPr>
                <w:szCs w:val="20"/>
              </w:rPr>
            </w:pPr>
            <w:r w:rsidRPr="00526B49">
              <w:rPr>
                <w:rFonts w:ascii="Calibri" w:hAnsi="Calibri" w:cs="Calibri"/>
                <w:color w:val="000000"/>
                <w:szCs w:val="20"/>
              </w:rPr>
              <w:t>0,7%</w:t>
            </w:r>
          </w:p>
        </w:tc>
        <w:tc>
          <w:tcPr>
            <w:tcW w:w="1269" w:type="dxa"/>
            <w:vAlign w:val="center"/>
          </w:tcPr>
          <w:p w14:paraId="2BE39DA1" w14:textId="77777777" w:rsidR="002D122C" w:rsidRPr="00526B49" w:rsidRDefault="002D122C" w:rsidP="000878F6">
            <w:pPr>
              <w:pStyle w:val="Table"/>
              <w:jc w:val="center"/>
              <w:rPr>
                <w:szCs w:val="20"/>
              </w:rPr>
            </w:pPr>
            <w:r w:rsidRPr="00526B49">
              <w:rPr>
                <w:rFonts w:ascii="Calibri" w:hAnsi="Calibri" w:cs="Calibri"/>
                <w:color w:val="000000"/>
                <w:szCs w:val="20"/>
              </w:rPr>
              <w:t>0,7%</w:t>
            </w:r>
          </w:p>
        </w:tc>
      </w:tr>
      <w:tr w:rsidR="002D122C" w:rsidRPr="00526B49" w14:paraId="196AA515" w14:textId="77777777" w:rsidTr="00BA7936">
        <w:trPr>
          <w:trHeight w:val="247"/>
        </w:trPr>
        <w:tc>
          <w:tcPr>
            <w:tcW w:w="2203" w:type="dxa"/>
          </w:tcPr>
          <w:p w14:paraId="1352B818" w14:textId="77777777" w:rsidR="002D122C" w:rsidRPr="00526B49" w:rsidRDefault="002D122C" w:rsidP="000878F6">
            <w:pPr>
              <w:pStyle w:val="Table"/>
              <w:rPr>
                <w:szCs w:val="20"/>
              </w:rPr>
            </w:pPr>
            <w:r w:rsidRPr="00526B49">
              <w:rPr>
                <w:szCs w:val="20"/>
              </w:rPr>
              <w:t>Pesticides</w:t>
            </w:r>
          </w:p>
        </w:tc>
        <w:tc>
          <w:tcPr>
            <w:tcW w:w="1110" w:type="dxa"/>
            <w:vAlign w:val="center"/>
          </w:tcPr>
          <w:p w14:paraId="676D2DEF" w14:textId="77777777" w:rsidR="002D122C" w:rsidRPr="00526B49" w:rsidRDefault="002D122C" w:rsidP="000878F6">
            <w:pPr>
              <w:pStyle w:val="Table"/>
              <w:jc w:val="center"/>
              <w:rPr>
                <w:szCs w:val="20"/>
              </w:rPr>
            </w:pPr>
            <w:r w:rsidRPr="00526B49">
              <w:rPr>
                <w:rFonts w:ascii="Calibri" w:hAnsi="Calibri" w:cs="Calibri"/>
                <w:color w:val="000000"/>
                <w:szCs w:val="20"/>
              </w:rPr>
              <w:t>n/a</w:t>
            </w:r>
          </w:p>
        </w:tc>
        <w:tc>
          <w:tcPr>
            <w:tcW w:w="1111" w:type="dxa"/>
            <w:vAlign w:val="center"/>
          </w:tcPr>
          <w:p w14:paraId="62881306" w14:textId="77777777" w:rsidR="002D122C" w:rsidRPr="00526B49" w:rsidRDefault="002D122C" w:rsidP="000878F6">
            <w:pPr>
              <w:pStyle w:val="Table"/>
              <w:jc w:val="center"/>
              <w:rPr>
                <w:szCs w:val="20"/>
              </w:rPr>
            </w:pPr>
            <w:r w:rsidRPr="00526B49">
              <w:rPr>
                <w:rFonts w:ascii="Calibri" w:hAnsi="Calibri" w:cs="Calibri"/>
                <w:color w:val="000000"/>
                <w:szCs w:val="20"/>
              </w:rPr>
              <w:t>n/a</w:t>
            </w:r>
          </w:p>
        </w:tc>
        <w:tc>
          <w:tcPr>
            <w:tcW w:w="1022" w:type="dxa"/>
            <w:vAlign w:val="center"/>
          </w:tcPr>
          <w:p w14:paraId="194EA7EC" w14:textId="77777777" w:rsidR="002D122C" w:rsidRPr="00526B49" w:rsidRDefault="002D122C" w:rsidP="000878F6">
            <w:pPr>
              <w:pStyle w:val="Table"/>
              <w:jc w:val="center"/>
              <w:rPr>
                <w:szCs w:val="20"/>
              </w:rPr>
            </w:pPr>
            <w:r w:rsidRPr="00526B49">
              <w:rPr>
                <w:rFonts w:ascii="Calibri" w:hAnsi="Calibri" w:cs="Calibri"/>
                <w:color w:val="000000"/>
                <w:szCs w:val="20"/>
              </w:rPr>
              <w:t>150,07</w:t>
            </w:r>
          </w:p>
        </w:tc>
        <w:tc>
          <w:tcPr>
            <w:tcW w:w="1203" w:type="dxa"/>
            <w:vAlign w:val="center"/>
          </w:tcPr>
          <w:p w14:paraId="798CBAEF" w14:textId="77777777" w:rsidR="002D122C" w:rsidRPr="00526B49" w:rsidRDefault="002D122C" w:rsidP="000878F6">
            <w:pPr>
              <w:pStyle w:val="Table"/>
              <w:jc w:val="center"/>
              <w:rPr>
                <w:szCs w:val="20"/>
              </w:rPr>
            </w:pPr>
            <w:r w:rsidRPr="00526B49">
              <w:rPr>
                <w:rFonts w:ascii="Calibri" w:hAnsi="Calibri" w:cs="Calibri"/>
                <w:color w:val="000000"/>
                <w:szCs w:val="20"/>
              </w:rPr>
              <w:t>148,43</w:t>
            </w:r>
          </w:p>
        </w:tc>
        <w:tc>
          <w:tcPr>
            <w:tcW w:w="1098" w:type="dxa"/>
            <w:vAlign w:val="center"/>
          </w:tcPr>
          <w:p w14:paraId="26EC577D" w14:textId="77777777" w:rsidR="002D122C" w:rsidRPr="00526B49" w:rsidRDefault="002D122C" w:rsidP="000878F6">
            <w:pPr>
              <w:pStyle w:val="Table"/>
              <w:jc w:val="center"/>
              <w:rPr>
                <w:szCs w:val="20"/>
              </w:rPr>
            </w:pPr>
            <w:r w:rsidRPr="00526B49">
              <w:rPr>
                <w:rFonts w:ascii="Calibri" w:hAnsi="Calibri" w:cs="Calibri"/>
                <w:color w:val="000000"/>
                <w:szCs w:val="20"/>
              </w:rPr>
              <w:t>7,8%</w:t>
            </w:r>
          </w:p>
        </w:tc>
        <w:tc>
          <w:tcPr>
            <w:tcW w:w="1269" w:type="dxa"/>
            <w:vAlign w:val="center"/>
          </w:tcPr>
          <w:p w14:paraId="53E52934" w14:textId="77777777" w:rsidR="002D122C" w:rsidRPr="00526B49" w:rsidRDefault="002D122C" w:rsidP="000878F6">
            <w:pPr>
              <w:pStyle w:val="Table"/>
              <w:jc w:val="center"/>
              <w:rPr>
                <w:szCs w:val="20"/>
              </w:rPr>
            </w:pPr>
            <w:r w:rsidRPr="00526B49">
              <w:rPr>
                <w:rFonts w:ascii="Calibri" w:hAnsi="Calibri" w:cs="Calibri"/>
                <w:color w:val="000000"/>
                <w:szCs w:val="20"/>
              </w:rPr>
              <w:t>7,7%</w:t>
            </w:r>
          </w:p>
        </w:tc>
      </w:tr>
      <w:tr w:rsidR="002D122C" w:rsidRPr="00526B49" w14:paraId="11B7CF3E" w14:textId="77777777" w:rsidTr="00BA7936">
        <w:trPr>
          <w:trHeight w:val="247"/>
        </w:trPr>
        <w:tc>
          <w:tcPr>
            <w:tcW w:w="2203" w:type="dxa"/>
          </w:tcPr>
          <w:p w14:paraId="2B4BCD67" w14:textId="77777777" w:rsidR="002D122C" w:rsidRPr="00526B49" w:rsidRDefault="002D122C" w:rsidP="000878F6">
            <w:pPr>
              <w:pStyle w:val="Table"/>
              <w:rPr>
                <w:szCs w:val="20"/>
              </w:rPr>
            </w:pPr>
            <w:r w:rsidRPr="00526B49">
              <w:rPr>
                <w:szCs w:val="20"/>
              </w:rPr>
              <w:t>Waste Incineration</w:t>
            </w:r>
          </w:p>
        </w:tc>
        <w:tc>
          <w:tcPr>
            <w:tcW w:w="1110" w:type="dxa"/>
            <w:vAlign w:val="center"/>
          </w:tcPr>
          <w:p w14:paraId="1613B9CB" w14:textId="77777777" w:rsidR="002D122C" w:rsidRPr="00526B49" w:rsidRDefault="002D122C" w:rsidP="000878F6">
            <w:pPr>
              <w:pStyle w:val="Table"/>
              <w:jc w:val="center"/>
              <w:rPr>
                <w:szCs w:val="20"/>
              </w:rPr>
            </w:pPr>
            <w:r w:rsidRPr="00526B49">
              <w:rPr>
                <w:rFonts w:ascii="Calibri" w:hAnsi="Calibri" w:cs="Calibri"/>
                <w:color w:val="000000"/>
                <w:szCs w:val="20"/>
              </w:rPr>
              <w:t>0,00%</w:t>
            </w:r>
          </w:p>
        </w:tc>
        <w:tc>
          <w:tcPr>
            <w:tcW w:w="1111" w:type="dxa"/>
            <w:vAlign w:val="center"/>
          </w:tcPr>
          <w:p w14:paraId="0DCB5E44" w14:textId="77777777" w:rsidR="002D122C" w:rsidRPr="00526B49" w:rsidRDefault="002D122C" w:rsidP="000878F6">
            <w:pPr>
              <w:pStyle w:val="Table"/>
              <w:jc w:val="center"/>
              <w:rPr>
                <w:szCs w:val="20"/>
              </w:rPr>
            </w:pPr>
            <w:r w:rsidRPr="00526B49">
              <w:rPr>
                <w:rFonts w:ascii="Calibri" w:hAnsi="Calibri" w:cs="Calibri"/>
                <w:color w:val="000000"/>
                <w:szCs w:val="20"/>
              </w:rPr>
              <w:t>0,00%</w:t>
            </w:r>
          </w:p>
        </w:tc>
        <w:tc>
          <w:tcPr>
            <w:tcW w:w="1022" w:type="dxa"/>
            <w:vAlign w:val="center"/>
          </w:tcPr>
          <w:p w14:paraId="4DEC0F0C" w14:textId="77777777" w:rsidR="002D122C" w:rsidRPr="00526B49" w:rsidRDefault="002D122C" w:rsidP="000878F6">
            <w:pPr>
              <w:pStyle w:val="Table"/>
              <w:jc w:val="center"/>
              <w:rPr>
                <w:szCs w:val="20"/>
              </w:rPr>
            </w:pPr>
            <w:r w:rsidRPr="00526B49">
              <w:rPr>
                <w:rFonts w:ascii="Calibri" w:hAnsi="Calibri" w:cs="Calibri"/>
                <w:color w:val="000000"/>
                <w:szCs w:val="20"/>
              </w:rPr>
              <w:t>0,00</w:t>
            </w:r>
          </w:p>
        </w:tc>
        <w:tc>
          <w:tcPr>
            <w:tcW w:w="1203" w:type="dxa"/>
            <w:vAlign w:val="center"/>
          </w:tcPr>
          <w:p w14:paraId="740A2FF9" w14:textId="77777777" w:rsidR="002D122C" w:rsidRPr="00526B49" w:rsidRDefault="002D122C" w:rsidP="000878F6">
            <w:pPr>
              <w:pStyle w:val="Table"/>
              <w:jc w:val="center"/>
              <w:rPr>
                <w:szCs w:val="20"/>
              </w:rPr>
            </w:pPr>
            <w:r w:rsidRPr="00526B49">
              <w:rPr>
                <w:rFonts w:ascii="Calibri" w:hAnsi="Calibri" w:cs="Calibri"/>
                <w:color w:val="000000"/>
                <w:szCs w:val="20"/>
              </w:rPr>
              <w:t>0,00</w:t>
            </w:r>
          </w:p>
        </w:tc>
        <w:tc>
          <w:tcPr>
            <w:tcW w:w="1098" w:type="dxa"/>
            <w:vAlign w:val="center"/>
          </w:tcPr>
          <w:p w14:paraId="45DF63E2" w14:textId="77777777" w:rsidR="002D122C" w:rsidRPr="00526B49" w:rsidRDefault="002D122C" w:rsidP="000878F6">
            <w:pPr>
              <w:pStyle w:val="Table"/>
              <w:jc w:val="center"/>
              <w:rPr>
                <w:szCs w:val="20"/>
              </w:rPr>
            </w:pPr>
            <w:r w:rsidRPr="00526B49">
              <w:rPr>
                <w:rFonts w:ascii="Calibri" w:hAnsi="Calibri" w:cs="Calibri"/>
                <w:color w:val="000000"/>
                <w:szCs w:val="20"/>
              </w:rPr>
              <w:t>0,0%</w:t>
            </w:r>
          </w:p>
        </w:tc>
        <w:tc>
          <w:tcPr>
            <w:tcW w:w="1269" w:type="dxa"/>
            <w:vAlign w:val="center"/>
          </w:tcPr>
          <w:p w14:paraId="2607BBAE" w14:textId="77777777" w:rsidR="002D122C" w:rsidRPr="00526B49" w:rsidRDefault="002D122C" w:rsidP="000878F6">
            <w:pPr>
              <w:pStyle w:val="Table"/>
              <w:jc w:val="center"/>
              <w:rPr>
                <w:szCs w:val="20"/>
              </w:rPr>
            </w:pPr>
            <w:r w:rsidRPr="00526B49">
              <w:rPr>
                <w:rFonts w:ascii="Calibri" w:hAnsi="Calibri" w:cs="Calibri"/>
                <w:color w:val="000000"/>
                <w:szCs w:val="20"/>
              </w:rPr>
              <w:t>0,0%</w:t>
            </w:r>
          </w:p>
        </w:tc>
      </w:tr>
      <w:tr w:rsidR="002D122C" w:rsidRPr="00526B49" w14:paraId="01CEA12D" w14:textId="77777777" w:rsidTr="00BA7936">
        <w:trPr>
          <w:trHeight w:val="247"/>
        </w:trPr>
        <w:tc>
          <w:tcPr>
            <w:tcW w:w="2203" w:type="dxa"/>
          </w:tcPr>
          <w:p w14:paraId="53962682" w14:textId="77777777" w:rsidR="002D122C" w:rsidRPr="00526B49" w:rsidRDefault="002D122C" w:rsidP="000878F6">
            <w:pPr>
              <w:pStyle w:val="Table"/>
              <w:rPr>
                <w:szCs w:val="20"/>
              </w:rPr>
            </w:pPr>
            <w:r w:rsidRPr="00526B49">
              <w:rPr>
                <w:szCs w:val="20"/>
              </w:rPr>
              <w:t>Waste to Landfill</w:t>
            </w:r>
          </w:p>
        </w:tc>
        <w:tc>
          <w:tcPr>
            <w:tcW w:w="1110" w:type="dxa"/>
            <w:vAlign w:val="center"/>
          </w:tcPr>
          <w:p w14:paraId="425030C7" w14:textId="77777777" w:rsidR="002D122C" w:rsidRPr="00526B49" w:rsidRDefault="002D122C" w:rsidP="000878F6">
            <w:pPr>
              <w:pStyle w:val="Table"/>
              <w:jc w:val="center"/>
              <w:rPr>
                <w:szCs w:val="20"/>
              </w:rPr>
            </w:pPr>
            <w:r w:rsidRPr="00526B49">
              <w:rPr>
                <w:rFonts w:ascii="Calibri" w:hAnsi="Calibri" w:cs="Calibri"/>
                <w:color w:val="000000"/>
                <w:szCs w:val="20"/>
              </w:rPr>
              <w:t>-20,55%</w:t>
            </w:r>
          </w:p>
        </w:tc>
        <w:tc>
          <w:tcPr>
            <w:tcW w:w="1111" w:type="dxa"/>
            <w:vAlign w:val="center"/>
          </w:tcPr>
          <w:p w14:paraId="196C1D2F" w14:textId="77777777" w:rsidR="002D122C" w:rsidRPr="00526B49" w:rsidRDefault="002D122C" w:rsidP="000878F6">
            <w:pPr>
              <w:pStyle w:val="Table"/>
              <w:jc w:val="center"/>
              <w:rPr>
                <w:szCs w:val="20"/>
              </w:rPr>
            </w:pPr>
            <w:r w:rsidRPr="00526B49">
              <w:rPr>
                <w:rFonts w:ascii="Calibri" w:hAnsi="Calibri" w:cs="Calibri"/>
                <w:color w:val="000000"/>
                <w:szCs w:val="20"/>
              </w:rPr>
              <w:t>-20,55%</w:t>
            </w:r>
          </w:p>
        </w:tc>
        <w:tc>
          <w:tcPr>
            <w:tcW w:w="1022" w:type="dxa"/>
            <w:vAlign w:val="center"/>
          </w:tcPr>
          <w:p w14:paraId="63A85436" w14:textId="77777777" w:rsidR="002D122C" w:rsidRPr="00526B49" w:rsidRDefault="002D122C" w:rsidP="000878F6">
            <w:pPr>
              <w:pStyle w:val="Table"/>
              <w:jc w:val="center"/>
              <w:rPr>
                <w:szCs w:val="20"/>
              </w:rPr>
            </w:pPr>
            <w:r w:rsidRPr="00526B49">
              <w:rPr>
                <w:rFonts w:ascii="Calibri" w:hAnsi="Calibri" w:cs="Calibri"/>
                <w:color w:val="000000"/>
                <w:szCs w:val="20"/>
              </w:rPr>
              <w:t>193,78</w:t>
            </w:r>
          </w:p>
        </w:tc>
        <w:tc>
          <w:tcPr>
            <w:tcW w:w="1203" w:type="dxa"/>
            <w:vAlign w:val="center"/>
          </w:tcPr>
          <w:p w14:paraId="4BB3880A" w14:textId="77777777" w:rsidR="002D122C" w:rsidRPr="00526B49" w:rsidRDefault="002D122C" w:rsidP="000878F6">
            <w:pPr>
              <w:pStyle w:val="Table"/>
              <w:jc w:val="center"/>
              <w:rPr>
                <w:szCs w:val="20"/>
              </w:rPr>
            </w:pPr>
            <w:r w:rsidRPr="00526B49">
              <w:rPr>
                <w:rFonts w:ascii="Calibri" w:hAnsi="Calibri" w:cs="Calibri"/>
                <w:color w:val="000000"/>
                <w:szCs w:val="20"/>
              </w:rPr>
              <w:t>139,98</w:t>
            </w:r>
          </w:p>
        </w:tc>
        <w:tc>
          <w:tcPr>
            <w:tcW w:w="1098" w:type="dxa"/>
            <w:vAlign w:val="center"/>
          </w:tcPr>
          <w:p w14:paraId="4176BB1A" w14:textId="77777777" w:rsidR="002D122C" w:rsidRPr="00526B49" w:rsidRDefault="002D122C" w:rsidP="000878F6">
            <w:pPr>
              <w:pStyle w:val="Table"/>
              <w:jc w:val="center"/>
              <w:rPr>
                <w:szCs w:val="20"/>
              </w:rPr>
            </w:pPr>
            <w:r w:rsidRPr="00526B49">
              <w:rPr>
                <w:rFonts w:ascii="Calibri" w:hAnsi="Calibri" w:cs="Calibri"/>
                <w:color w:val="000000"/>
                <w:szCs w:val="20"/>
              </w:rPr>
              <w:t>10,1%</w:t>
            </w:r>
          </w:p>
        </w:tc>
        <w:tc>
          <w:tcPr>
            <w:tcW w:w="1269" w:type="dxa"/>
            <w:vAlign w:val="center"/>
          </w:tcPr>
          <w:p w14:paraId="02F4BBA0" w14:textId="77777777" w:rsidR="002D122C" w:rsidRPr="00526B49" w:rsidRDefault="002D122C" w:rsidP="000878F6">
            <w:pPr>
              <w:pStyle w:val="Table"/>
              <w:jc w:val="center"/>
              <w:rPr>
                <w:szCs w:val="20"/>
              </w:rPr>
            </w:pPr>
            <w:r w:rsidRPr="00526B49">
              <w:rPr>
                <w:rFonts w:ascii="Calibri" w:hAnsi="Calibri" w:cs="Calibri"/>
                <w:color w:val="000000"/>
                <w:szCs w:val="20"/>
              </w:rPr>
              <w:t>7,3%</w:t>
            </w:r>
          </w:p>
        </w:tc>
      </w:tr>
      <w:tr w:rsidR="002D122C" w:rsidRPr="00526B49" w14:paraId="07CE2CB8" w14:textId="77777777" w:rsidTr="00BA7936">
        <w:trPr>
          <w:trHeight w:val="247"/>
        </w:trPr>
        <w:tc>
          <w:tcPr>
            <w:tcW w:w="2203" w:type="dxa"/>
          </w:tcPr>
          <w:p w14:paraId="6F09E9BA" w14:textId="77777777" w:rsidR="002D122C" w:rsidRPr="00526B49" w:rsidRDefault="002D122C" w:rsidP="000878F6">
            <w:pPr>
              <w:pStyle w:val="Table"/>
              <w:rPr>
                <w:szCs w:val="20"/>
              </w:rPr>
            </w:pPr>
            <w:r w:rsidRPr="00526B49">
              <w:rPr>
                <w:szCs w:val="20"/>
              </w:rPr>
              <w:t>Water Effluent</w:t>
            </w:r>
          </w:p>
        </w:tc>
        <w:tc>
          <w:tcPr>
            <w:tcW w:w="1110" w:type="dxa"/>
            <w:vAlign w:val="center"/>
          </w:tcPr>
          <w:p w14:paraId="6A58861D" w14:textId="77777777" w:rsidR="002D122C" w:rsidRPr="00526B49" w:rsidRDefault="002D122C" w:rsidP="000878F6">
            <w:pPr>
              <w:pStyle w:val="Table"/>
              <w:jc w:val="center"/>
              <w:rPr>
                <w:szCs w:val="20"/>
              </w:rPr>
            </w:pPr>
            <w:r w:rsidRPr="00526B49">
              <w:rPr>
                <w:rFonts w:ascii="Calibri" w:hAnsi="Calibri" w:cs="Calibri"/>
                <w:color w:val="000000"/>
                <w:szCs w:val="20"/>
              </w:rPr>
              <w:t>-7,64%</w:t>
            </w:r>
          </w:p>
        </w:tc>
        <w:tc>
          <w:tcPr>
            <w:tcW w:w="1111" w:type="dxa"/>
            <w:vAlign w:val="center"/>
          </w:tcPr>
          <w:p w14:paraId="611E0157" w14:textId="77777777" w:rsidR="002D122C" w:rsidRPr="00526B49" w:rsidRDefault="002D122C" w:rsidP="000878F6">
            <w:pPr>
              <w:pStyle w:val="Table"/>
              <w:jc w:val="center"/>
              <w:rPr>
                <w:szCs w:val="20"/>
              </w:rPr>
            </w:pPr>
            <w:r w:rsidRPr="00526B49">
              <w:rPr>
                <w:rFonts w:ascii="Calibri" w:hAnsi="Calibri" w:cs="Calibri"/>
                <w:color w:val="000000"/>
                <w:szCs w:val="20"/>
              </w:rPr>
              <w:t>-7,64%</w:t>
            </w:r>
          </w:p>
        </w:tc>
        <w:tc>
          <w:tcPr>
            <w:tcW w:w="1022" w:type="dxa"/>
            <w:vAlign w:val="center"/>
          </w:tcPr>
          <w:p w14:paraId="57265BA4" w14:textId="77777777" w:rsidR="002D122C" w:rsidRPr="00526B49" w:rsidRDefault="002D122C" w:rsidP="000878F6">
            <w:pPr>
              <w:pStyle w:val="Table"/>
              <w:jc w:val="center"/>
              <w:rPr>
                <w:szCs w:val="20"/>
              </w:rPr>
            </w:pPr>
            <w:r w:rsidRPr="00526B49">
              <w:rPr>
                <w:rFonts w:ascii="Calibri" w:hAnsi="Calibri" w:cs="Calibri"/>
                <w:color w:val="000000"/>
                <w:szCs w:val="20"/>
              </w:rPr>
              <w:t>1424,10</w:t>
            </w:r>
          </w:p>
        </w:tc>
        <w:tc>
          <w:tcPr>
            <w:tcW w:w="1203" w:type="dxa"/>
            <w:vAlign w:val="center"/>
          </w:tcPr>
          <w:p w14:paraId="75969823" w14:textId="77777777" w:rsidR="002D122C" w:rsidRPr="00526B49" w:rsidRDefault="002D122C" w:rsidP="000878F6">
            <w:pPr>
              <w:pStyle w:val="Table"/>
              <w:jc w:val="center"/>
              <w:rPr>
                <w:szCs w:val="20"/>
              </w:rPr>
            </w:pPr>
            <w:r w:rsidRPr="00526B49">
              <w:rPr>
                <w:rFonts w:ascii="Calibri" w:hAnsi="Calibri" w:cs="Calibri"/>
                <w:color w:val="000000"/>
                <w:szCs w:val="20"/>
              </w:rPr>
              <w:t>1438,38</w:t>
            </w:r>
          </w:p>
        </w:tc>
        <w:tc>
          <w:tcPr>
            <w:tcW w:w="1098" w:type="dxa"/>
            <w:vAlign w:val="center"/>
          </w:tcPr>
          <w:p w14:paraId="2D5776B2" w14:textId="77777777" w:rsidR="002D122C" w:rsidRPr="00526B49" w:rsidRDefault="002D122C" w:rsidP="000878F6">
            <w:pPr>
              <w:pStyle w:val="Table"/>
              <w:jc w:val="center"/>
              <w:rPr>
                <w:szCs w:val="20"/>
              </w:rPr>
            </w:pPr>
            <w:r w:rsidRPr="00526B49">
              <w:rPr>
                <w:rFonts w:ascii="Calibri" w:hAnsi="Calibri" w:cs="Calibri"/>
                <w:color w:val="000000"/>
                <w:szCs w:val="20"/>
              </w:rPr>
              <w:t>74,1%</w:t>
            </w:r>
          </w:p>
        </w:tc>
        <w:tc>
          <w:tcPr>
            <w:tcW w:w="1269" w:type="dxa"/>
            <w:vAlign w:val="center"/>
          </w:tcPr>
          <w:p w14:paraId="0F71476F" w14:textId="77777777" w:rsidR="002D122C" w:rsidRPr="00526B49" w:rsidRDefault="002D122C" w:rsidP="000878F6">
            <w:pPr>
              <w:pStyle w:val="Table"/>
              <w:jc w:val="center"/>
              <w:rPr>
                <w:szCs w:val="20"/>
              </w:rPr>
            </w:pPr>
            <w:r w:rsidRPr="00526B49">
              <w:rPr>
                <w:rFonts w:ascii="Calibri" w:hAnsi="Calibri" w:cs="Calibri"/>
                <w:color w:val="000000"/>
                <w:szCs w:val="20"/>
              </w:rPr>
              <w:t>74,8%</w:t>
            </w:r>
          </w:p>
        </w:tc>
      </w:tr>
      <w:tr w:rsidR="002D122C" w:rsidRPr="00526B49" w14:paraId="1E521735" w14:textId="77777777" w:rsidTr="00BA7936">
        <w:trPr>
          <w:trHeight w:val="247"/>
        </w:trPr>
        <w:tc>
          <w:tcPr>
            <w:tcW w:w="2203" w:type="dxa"/>
          </w:tcPr>
          <w:p w14:paraId="0B963596" w14:textId="77777777" w:rsidR="002D122C" w:rsidRPr="00526B49" w:rsidRDefault="002D122C" w:rsidP="000878F6">
            <w:pPr>
              <w:pStyle w:val="Table"/>
              <w:rPr>
                <w:szCs w:val="20"/>
              </w:rPr>
            </w:pPr>
            <w:r w:rsidRPr="00526B49">
              <w:rPr>
                <w:szCs w:val="20"/>
              </w:rPr>
              <w:t>Minerals &amp; Aggregates</w:t>
            </w:r>
          </w:p>
        </w:tc>
        <w:tc>
          <w:tcPr>
            <w:tcW w:w="1110" w:type="dxa"/>
            <w:vAlign w:val="center"/>
          </w:tcPr>
          <w:p w14:paraId="1C926B73" w14:textId="77777777" w:rsidR="002D122C" w:rsidRPr="00526B49" w:rsidRDefault="002D122C" w:rsidP="000878F6">
            <w:pPr>
              <w:pStyle w:val="Table"/>
              <w:jc w:val="center"/>
              <w:rPr>
                <w:szCs w:val="20"/>
              </w:rPr>
            </w:pPr>
            <w:r w:rsidRPr="00526B49">
              <w:rPr>
                <w:rFonts w:ascii="Calibri" w:hAnsi="Calibri" w:cs="Calibri"/>
                <w:color w:val="000000"/>
                <w:szCs w:val="20"/>
              </w:rPr>
              <w:t>-5,02%</w:t>
            </w:r>
          </w:p>
        </w:tc>
        <w:tc>
          <w:tcPr>
            <w:tcW w:w="1111" w:type="dxa"/>
            <w:vAlign w:val="center"/>
          </w:tcPr>
          <w:p w14:paraId="3830D7D8" w14:textId="77777777" w:rsidR="002D122C" w:rsidRPr="00526B49" w:rsidRDefault="002D122C" w:rsidP="000878F6">
            <w:pPr>
              <w:pStyle w:val="Table"/>
              <w:jc w:val="center"/>
              <w:rPr>
                <w:szCs w:val="20"/>
              </w:rPr>
            </w:pPr>
            <w:r w:rsidRPr="00526B49">
              <w:rPr>
                <w:rFonts w:ascii="Calibri" w:hAnsi="Calibri" w:cs="Calibri"/>
                <w:color w:val="000000"/>
                <w:szCs w:val="20"/>
              </w:rPr>
              <w:t>-5,02%</w:t>
            </w:r>
          </w:p>
        </w:tc>
        <w:tc>
          <w:tcPr>
            <w:tcW w:w="1022" w:type="dxa"/>
            <w:vAlign w:val="center"/>
          </w:tcPr>
          <w:p w14:paraId="44D554BB" w14:textId="77777777" w:rsidR="002D122C" w:rsidRPr="00526B49" w:rsidRDefault="002D122C" w:rsidP="000878F6">
            <w:pPr>
              <w:pStyle w:val="Table"/>
              <w:jc w:val="center"/>
              <w:rPr>
                <w:szCs w:val="20"/>
              </w:rPr>
            </w:pPr>
            <w:r w:rsidRPr="00526B49">
              <w:rPr>
                <w:rFonts w:ascii="Calibri" w:hAnsi="Calibri" w:cs="Calibri"/>
                <w:color w:val="000000"/>
                <w:szCs w:val="20"/>
              </w:rPr>
              <w:t>110,99</w:t>
            </w:r>
          </w:p>
        </w:tc>
        <w:tc>
          <w:tcPr>
            <w:tcW w:w="1203" w:type="dxa"/>
            <w:vAlign w:val="center"/>
          </w:tcPr>
          <w:p w14:paraId="47206CEA" w14:textId="77777777" w:rsidR="002D122C" w:rsidRPr="00526B49" w:rsidRDefault="002D122C" w:rsidP="000878F6">
            <w:pPr>
              <w:pStyle w:val="Table"/>
              <w:jc w:val="center"/>
              <w:rPr>
                <w:szCs w:val="20"/>
              </w:rPr>
            </w:pPr>
            <w:r w:rsidRPr="00526B49">
              <w:rPr>
                <w:rFonts w:ascii="Calibri" w:hAnsi="Calibri" w:cs="Calibri"/>
                <w:color w:val="000000"/>
                <w:szCs w:val="20"/>
              </w:rPr>
              <w:t>94,57</w:t>
            </w:r>
          </w:p>
        </w:tc>
        <w:tc>
          <w:tcPr>
            <w:tcW w:w="1098" w:type="dxa"/>
            <w:vAlign w:val="center"/>
          </w:tcPr>
          <w:p w14:paraId="41FF24D3" w14:textId="77777777" w:rsidR="002D122C" w:rsidRPr="00526B49" w:rsidRDefault="002D122C" w:rsidP="000878F6">
            <w:pPr>
              <w:pStyle w:val="Table"/>
              <w:jc w:val="center"/>
              <w:rPr>
                <w:szCs w:val="20"/>
              </w:rPr>
            </w:pPr>
            <w:r w:rsidRPr="00526B49">
              <w:rPr>
                <w:rFonts w:ascii="Calibri" w:hAnsi="Calibri" w:cs="Calibri"/>
                <w:color w:val="000000"/>
                <w:szCs w:val="20"/>
              </w:rPr>
              <w:t>111,0%</w:t>
            </w:r>
          </w:p>
        </w:tc>
        <w:tc>
          <w:tcPr>
            <w:tcW w:w="1269" w:type="dxa"/>
            <w:vAlign w:val="center"/>
          </w:tcPr>
          <w:p w14:paraId="743487FE" w14:textId="77777777" w:rsidR="002D122C" w:rsidRPr="00526B49" w:rsidRDefault="002D122C" w:rsidP="000878F6">
            <w:pPr>
              <w:pStyle w:val="Table"/>
              <w:jc w:val="center"/>
              <w:rPr>
                <w:szCs w:val="20"/>
              </w:rPr>
            </w:pPr>
            <w:r w:rsidRPr="00526B49">
              <w:rPr>
                <w:rFonts w:ascii="Calibri" w:hAnsi="Calibri" w:cs="Calibri"/>
                <w:color w:val="000000"/>
                <w:szCs w:val="20"/>
              </w:rPr>
              <w:t>94,6%</w:t>
            </w:r>
          </w:p>
        </w:tc>
      </w:tr>
    </w:tbl>
    <w:p w14:paraId="43F13785" w14:textId="77777777" w:rsidR="002D122C" w:rsidRPr="002D122C" w:rsidRDefault="002D122C" w:rsidP="002D122C">
      <w:pPr>
        <w:rPr>
          <w:lang w:eastAsia="en-GB"/>
        </w:rPr>
      </w:pPr>
    </w:p>
    <w:p w14:paraId="48072598" w14:textId="43B41748" w:rsidR="002D122C" w:rsidRPr="002D122C" w:rsidRDefault="002D122C" w:rsidP="002D122C">
      <w:pPr>
        <w:rPr>
          <w:lang w:eastAsia="en-GB"/>
        </w:rPr>
      </w:pPr>
      <w:r w:rsidRPr="002D122C">
        <w:rPr>
          <w:lang w:eastAsia="en-GB"/>
        </w:rPr>
        <w:t>The strongest environmental benefits arise in the water domain. Spain’s hydrology is marked by recurrent scarcity, regional imbalances and rising pressure from agriculture, tourism and industry. A basin-differentiated abstraction signal and an updated effluent charge tied to pollutant loads would improve allocation, reduce discharge pressures and support compliance with the Water Framework Directive. The modelling suggests double-digit percentage reductions in abstraction and around mid-teens declines in BOD₅ under benchmark rates, with revenues large enough to co-finance leak reduction, smart metering, tertiary treatment and water reuse</w:t>
      </w:r>
      <w:r>
        <w:rPr>
          <w:lang w:eastAsia="en-GB"/>
        </w:rPr>
        <w:t xml:space="preserve">, </w:t>
      </w:r>
      <w:r w:rsidRPr="002D122C">
        <w:rPr>
          <w:lang w:eastAsia="en-GB"/>
        </w:rPr>
        <w:t>particularly important in the Segura, Júcar, Guadiana and parts of the Guadalquivir districts.</w:t>
      </w:r>
    </w:p>
    <w:p w14:paraId="3129ABBC" w14:textId="6EEE0E5A" w:rsidR="002D122C" w:rsidRPr="002D122C" w:rsidRDefault="002D122C" w:rsidP="002D122C">
      <w:pPr>
        <w:rPr>
          <w:lang w:eastAsia="en-GB"/>
        </w:rPr>
      </w:pPr>
      <w:r w:rsidRPr="002D122C">
        <w:rPr>
          <w:lang w:eastAsia="en-GB"/>
        </w:rPr>
        <w:t xml:space="preserve">Waste remains a second area of high potential. Spain has accelerated separate collection and treatment, yet landfilling persists in several regions. Aligning landfill charges with the benchmark rate, coupled with a modest incineration levy to avoid displacement, would lift diversion and stabilise financing for sorting, composting, anaerobic digestion and high-quality recycling. Where regional </w:t>
      </w:r>
      <w:r w:rsidRPr="002D122C">
        <w:rPr>
          <w:lang w:eastAsia="en-GB"/>
        </w:rPr>
        <w:lastRenderedPageBreak/>
        <w:t>landfill taxes already exist, harmonising floors and trajectories would reduce cross-border leakage and level the playing field for municipalities and operators.</w:t>
      </w:r>
    </w:p>
    <w:p w14:paraId="7D419605" w14:textId="3DA993CC" w:rsidR="002D122C" w:rsidRPr="002D122C" w:rsidRDefault="002D122C" w:rsidP="002D122C">
      <w:pPr>
        <w:rPr>
          <w:lang w:eastAsia="en-GB"/>
        </w:rPr>
      </w:pPr>
      <w:r w:rsidRPr="002D122C">
        <w:rPr>
          <w:lang w:eastAsia="en-GB"/>
        </w:rPr>
        <w:t>On resources, a calibrated minerals extraction charge on sand, gravel and limestone would internalise local externalities from quarrying and encourage uptake of recycled aggregates in construction. Administrative feasibility is strong given the maturity of regional permitting and royalty systems, but coordination on base definition, rates and exemptions is needed to avoid distortions across Autonomous Communities and with imported materials. Public procurement standards that recognise certified secondary aggregates would anchor demand and contain cost pass-through to public works.</w:t>
      </w:r>
    </w:p>
    <w:p w14:paraId="261CCAC2" w14:textId="05FF0F82" w:rsidR="002D122C" w:rsidRPr="002D122C" w:rsidRDefault="002D122C" w:rsidP="002D122C">
      <w:pPr>
        <w:rPr>
          <w:lang w:eastAsia="en-GB"/>
        </w:rPr>
      </w:pPr>
      <w:r w:rsidRPr="002D122C">
        <w:rPr>
          <w:lang w:eastAsia="en-GB"/>
        </w:rPr>
        <w:t>Agriculture remains central to Spain’s environmental performance. Product-based levies on fertilisers and pesticides</w:t>
      </w:r>
      <w:r>
        <w:rPr>
          <w:lang w:eastAsia="en-GB"/>
        </w:rPr>
        <w:t xml:space="preserve">, </w:t>
      </w:r>
      <w:r w:rsidRPr="002D122C">
        <w:rPr>
          <w:lang w:eastAsia="en-GB"/>
        </w:rPr>
        <w:t>nitrogen-content for fertilisers and toxicity-banded for pesticides</w:t>
      </w:r>
      <w:r>
        <w:rPr>
          <w:lang w:eastAsia="en-GB"/>
        </w:rPr>
        <w:t xml:space="preserve">, </w:t>
      </w:r>
      <w:r w:rsidRPr="002D122C">
        <w:rPr>
          <w:lang w:eastAsia="en-GB"/>
        </w:rPr>
        <w:t>would reduce diffuse pollution in vulnerable aquifers and river basins and complement conditionality under the CAP. To preserve farm viability, these instruments should be phased in with advisory support, soil testing, and co-financing for precision application, drip irrigation and integrated pest management, prioritising nitrate-vulnerable zones and high-value irrigated crops.</w:t>
      </w:r>
    </w:p>
    <w:p w14:paraId="160FAB7D" w14:textId="5A7DE30A" w:rsidR="002D122C" w:rsidRPr="002D122C" w:rsidRDefault="002D122C" w:rsidP="002D122C">
      <w:pPr>
        <w:rPr>
          <w:lang w:eastAsia="en-GB"/>
        </w:rPr>
      </w:pPr>
      <w:r w:rsidRPr="002D122C">
        <w:rPr>
          <w:lang w:eastAsia="en-GB"/>
        </w:rPr>
        <w:t>Targeted air-pollutant charges on NOx, SO₂ and PM₂.₅ for large stationary sources would deliver incremental abatement at modest fiscal yield, working alongside industrial permits, the EU ETS and national air-quality plans. A performance-linked design</w:t>
      </w:r>
      <w:r>
        <w:rPr>
          <w:lang w:eastAsia="en-GB"/>
        </w:rPr>
        <w:t xml:space="preserve">, </w:t>
      </w:r>
      <w:r w:rsidRPr="002D122C">
        <w:rPr>
          <w:lang w:eastAsia="en-GB"/>
        </w:rPr>
        <w:t>rebates for verified adoption of best available techniques</w:t>
      </w:r>
      <w:r>
        <w:rPr>
          <w:lang w:eastAsia="en-GB"/>
        </w:rPr>
        <w:t xml:space="preserve">, </w:t>
      </w:r>
      <w:r w:rsidRPr="002D122C">
        <w:rPr>
          <w:lang w:eastAsia="en-GB"/>
        </w:rPr>
        <w:t>would focus the signal on cost-effective reductions without eroding competitiveness.</w:t>
      </w:r>
    </w:p>
    <w:p w14:paraId="1A431A94" w14:textId="172EB918" w:rsidR="002D122C" w:rsidRPr="002D122C" w:rsidRDefault="002D122C" w:rsidP="002D122C">
      <w:pPr>
        <w:rPr>
          <w:lang w:eastAsia="en-GB"/>
        </w:rPr>
      </w:pPr>
      <w:r w:rsidRPr="002D122C">
        <w:rPr>
          <w:lang w:eastAsia="en-GB"/>
        </w:rPr>
        <w:t>From a fiscal perspective, the bulk of additional receipts would come from water effluents and abstraction, followed by landfill and minerals. These revenues can be recycled transparently to reinforce social fairness and investment: bill credits or social tariffs for low-income households to manage water and waste affordability; reductions in labour taxation for low and middle earners; and co-financing of municipal infrastructure where gaps are largest. Publishing an annual green-dividend report that links euros raised to outcomes</w:t>
      </w:r>
      <w:r>
        <w:rPr>
          <w:lang w:eastAsia="en-GB"/>
        </w:rPr>
        <w:t xml:space="preserve">, </w:t>
      </w:r>
      <w:r w:rsidRPr="002D122C">
        <w:rPr>
          <w:lang w:eastAsia="en-GB"/>
        </w:rPr>
        <w:t>kilometres of mains rehabilitated, cubic metres reused, percentage of biowaste separately collected, river bodies upgraded in status</w:t>
      </w:r>
      <w:r>
        <w:rPr>
          <w:lang w:eastAsia="en-GB"/>
        </w:rPr>
        <w:t xml:space="preserve">, </w:t>
      </w:r>
      <w:r w:rsidRPr="002D122C">
        <w:rPr>
          <w:lang w:eastAsia="en-GB"/>
        </w:rPr>
        <w:t>will be essential for legitimacy.</w:t>
      </w:r>
    </w:p>
    <w:p w14:paraId="32850925" w14:textId="767F7966" w:rsidR="002D122C" w:rsidRPr="002D122C" w:rsidRDefault="002D122C" w:rsidP="002D122C">
      <w:pPr>
        <w:rPr>
          <w:lang w:eastAsia="en-GB"/>
        </w:rPr>
      </w:pPr>
      <w:r w:rsidRPr="002D122C">
        <w:rPr>
          <w:lang w:eastAsia="en-GB"/>
        </w:rPr>
        <w:t>Administrative feasibility is high, but coordination is crucial. Spain’s multilevel governance distributes competences across the State, Autonomous Communities, river basin authorities and municipalities. To avoid duplication and loopholes, new taxes should rely on shared definitions of the tax base, common reporting templates and interoperable registries for emissions, discharges, abstractions and waste flows. Digitalisation of declarations, metering and tracking is advanced in many regions and can be extended cost-effectively to smaller operators using standard coefficients and periodic audits.</w:t>
      </w:r>
    </w:p>
    <w:p w14:paraId="4475E27C" w14:textId="13613A4A" w:rsidR="002D122C" w:rsidRPr="002D122C" w:rsidRDefault="002D122C" w:rsidP="002D122C">
      <w:pPr>
        <w:rPr>
          <w:lang w:eastAsia="en-GB"/>
        </w:rPr>
      </w:pPr>
      <w:r w:rsidRPr="002D122C">
        <w:rPr>
          <w:lang w:eastAsia="en-GB"/>
        </w:rPr>
        <w:t>Distributional and competitiveness impacts are manageable with careful sequencing and targeted safeguards. Household exposure concentrates in water and waste bills; phased trajectories, lifeline blocks for essential water use and limits on annual bill increases financed from environmental receipts protect vulnerable users while retaining marginal incentives above the lifeline. In agriculture, time-limited rebates conditional on precision practices, together with access to low-interest finance for efficient irrigation, mitigate transition risks. For construction materials and energy-intensive sites, technology-neutral investment support and public procurement pull for secondary materials reduce cost pressure and preserve trade competitiveness.</w:t>
      </w:r>
    </w:p>
    <w:p w14:paraId="058187B6" w14:textId="6B5270FD" w:rsidR="002D122C" w:rsidRPr="002D122C" w:rsidRDefault="002D122C" w:rsidP="002D122C">
      <w:pPr>
        <w:rPr>
          <w:lang w:eastAsia="en-GB"/>
        </w:rPr>
      </w:pPr>
      <w:r w:rsidRPr="606E24A0">
        <w:rPr>
          <w:lang w:eastAsia="en-GB"/>
        </w:rPr>
        <w:t xml:space="preserve">Politically, Spain’s experience shows that environmental charges gain acceptance when linked to visible improvements and when regional disparities are addressed. A national framework law establishing minimum benchmarks and principles, rate floors, indexation to inflation, common bases and transparent revenue use, </w:t>
      </w:r>
      <w:r w:rsidR="00490B2E">
        <w:rPr>
          <w:lang w:eastAsia="en-GB"/>
        </w:rPr>
        <w:t xml:space="preserve">to be </w:t>
      </w:r>
      <w:r w:rsidRPr="606E24A0">
        <w:rPr>
          <w:lang w:eastAsia="en-GB"/>
        </w:rPr>
        <w:t>implemented by Autonomous Communities would respect subsidiarity while closing gaps that weaken effectiveness.</w:t>
      </w:r>
    </w:p>
    <w:p w14:paraId="544B15F0" w14:textId="1DA17A20" w:rsidR="0086420C" w:rsidRPr="002D122C" w:rsidRDefault="002D122C" w:rsidP="007716C4">
      <w:pPr>
        <w:rPr>
          <w:lang w:eastAsia="en-GB"/>
        </w:rPr>
      </w:pPr>
      <w:r w:rsidRPr="002D122C">
        <w:rPr>
          <w:lang w:eastAsia="en-GB"/>
        </w:rPr>
        <w:lastRenderedPageBreak/>
        <w:t>In sum, Spain can advance a coherent package that prioritises water effluents and abstraction, strengthens landfill signals with the necessary sorting and treatment investments, introduces a measured minerals charge with circular-procurement pull, adds targeted agricultural product instruments in vulnerable areas, and modest air-pollutant charges for large sources. With predictable phasing, transparent recycling and robust inter-administrative coordination, these reforms would deliver substantial environmental benefits and durable fiscal capacity while safeguarding competitiveness and social fairness.</w:t>
      </w:r>
    </w:p>
    <w:p w14:paraId="439D1079" w14:textId="77777777" w:rsidR="002435CD" w:rsidRPr="00EA4C9B" w:rsidRDefault="002435CD" w:rsidP="00EA31D0">
      <w:pPr>
        <w:pStyle w:val="AnnexHeading1"/>
        <w:ind w:hanging="1211"/>
      </w:pPr>
      <w:bookmarkStart w:id="321" w:name="_Toc214008958"/>
      <w:r w:rsidRPr="00EA4C9B">
        <w:t>Sweden</w:t>
      </w:r>
      <w:bookmarkEnd w:id="321"/>
    </w:p>
    <w:p w14:paraId="7B8DDC94" w14:textId="77777777" w:rsidR="002435CD" w:rsidRPr="00EA4C9B" w:rsidRDefault="002435CD" w:rsidP="007C4EB7">
      <w:pPr>
        <w:pStyle w:val="AnnexHeading2"/>
      </w:pPr>
      <w:bookmarkStart w:id="322" w:name="_Toc214008959"/>
      <w:r w:rsidRPr="00EA4C9B">
        <w:t>Overview of existing environmental taxes in Sweden</w:t>
      </w:r>
      <w:bookmarkEnd w:id="322"/>
    </w:p>
    <w:p w14:paraId="0C5405D1" w14:textId="2321CD14" w:rsidR="002435CD" w:rsidRPr="00EA4C9B" w:rsidRDefault="006F4A1B" w:rsidP="009E1B64">
      <w:pPr>
        <w:pStyle w:val="Bulletlist"/>
        <w:numPr>
          <w:ilvl w:val="0"/>
          <w:numId w:val="0"/>
        </w:numPr>
      </w:pPr>
      <w:r w:rsidRPr="006F4A1B">
        <w:t>Environmental taxes in Sweden amounted to 2.0% of GDP in 2023, slightly below the EU average. While revenues have increased in absolute terms over the past 15 years, their relative importance in the economy has declined. Total environmental tax revenue reached EUR 9.9 billion in real terms in 2023 (</w:t>
      </w:r>
      <w:r w:rsidRPr="00715362">
        <w:fldChar w:fldCharType="begin"/>
      </w:r>
      <w:r w:rsidRPr="00715362">
        <w:rPr>
          <w:szCs w:val="22"/>
        </w:rPr>
        <w:instrText xml:space="preserve"> REF _Ref201230126 \h  \* MERGEFORMAT </w:instrText>
      </w:r>
      <w:r w:rsidRPr="00715362">
        <w:fldChar w:fldCharType="separate"/>
      </w:r>
      <w:r w:rsidRPr="0DB99A64">
        <w:t xml:space="preserve">Figure </w:t>
      </w:r>
      <w:r>
        <w:t>A6</w:t>
      </w:r>
      <w:r w:rsidRPr="0DB99A64">
        <w:t>-75</w:t>
      </w:r>
      <w:r w:rsidRPr="00715362">
        <w:fldChar w:fldCharType="end"/>
      </w:r>
      <w:r w:rsidRPr="006F4A1B">
        <w:t>), representing a 22.6% increase since 2009 (</w:t>
      </w:r>
      <w:r w:rsidRPr="004D300F">
        <w:fldChar w:fldCharType="begin"/>
      </w:r>
      <w:r w:rsidRPr="004D300F">
        <w:rPr>
          <w:szCs w:val="22"/>
        </w:rPr>
        <w:instrText xml:space="preserve"> REF _Ref201230283 \h  \* MERGEFORMAT </w:instrText>
      </w:r>
      <w:r w:rsidRPr="004D300F">
        <w:fldChar w:fldCharType="separate"/>
      </w:r>
      <w:r w:rsidRPr="0DB99A64">
        <w:t xml:space="preserve">Figure </w:t>
      </w:r>
      <w:r>
        <w:t>A6</w:t>
      </w:r>
      <w:r w:rsidRPr="0DB99A64">
        <w:t>-76</w:t>
      </w:r>
      <w:r w:rsidRPr="004D300F">
        <w:fldChar w:fldCharType="end"/>
      </w:r>
      <w:r w:rsidRPr="006F4A1B">
        <w:t>). Over the same period, however, the ratio of environmental taxes to GDP fell from 2.6% to 2.0%. According to the 2025 European Semester country report</w:t>
      </w:r>
      <w:r w:rsidR="005A1371" w:rsidRPr="00EA4C9B">
        <w:rPr>
          <w:rStyle w:val="FootnoteReference"/>
        </w:rPr>
        <w:footnoteReference w:id="822"/>
      </w:r>
      <w:r w:rsidRPr="006F4A1B">
        <w:t xml:space="preserve">, Sweden operates a relatively stringent carbon-taxation framework, and its environmental taxes are low in absolute terms partly due to low emissions levels. </w:t>
      </w:r>
      <w:r w:rsidR="00120322" w:rsidRPr="00EA4C9B">
        <w:t>However, in terms of carbon taxes</w:t>
      </w:r>
      <w:r w:rsidRPr="006F4A1B">
        <w:t>, Sweden has the fourth</w:t>
      </w:r>
      <w:r w:rsidR="00120322" w:rsidRPr="00EA4C9B">
        <w:t xml:space="preserve"> </w:t>
      </w:r>
      <w:r w:rsidRPr="006F4A1B">
        <w:t xml:space="preserve">highest effective average carbon tax rate (adjusted for free allocation under the EU </w:t>
      </w:r>
      <w:r w:rsidR="00120322" w:rsidRPr="00EA4C9B">
        <w:t>Emissions Trading System (</w:t>
      </w:r>
      <w:r w:rsidRPr="006F4A1B">
        <w:t>ETS</w:t>
      </w:r>
      <w:r w:rsidR="00120322" w:rsidRPr="00EA4C9B">
        <w:t>)) out of</w:t>
      </w:r>
      <w:r w:rsidRPr="006F4A1B">
        <w:t xml:space="preserve"> the 71 countries </w:t>
      </w:r>
      <w:r w:rsidR="00120322" w:rsidRPr="00EA4C9B">
        <w:t>that report</w:t>
      </w:r>
      <w:r w:rsidRPr="006F4A1B">
        <w:t xml:space="preserve"> to the OECD</w:t>
      </w:r>
      <w:r w:rsidR="005A1371" w:rsidRPr="00EA4C9B">
        <w:rPr>
          <w:rStyle w:val="FootnoteReference"/>
        </w:rPr>
        <w:footnoteReference w:id="823"/>
      </w:r>
      <w:r w:rsidR="00120322" w:rsidRPr="00EA4C9B">
        <w:t>. This is partially explained by the</w:t>
      </w:r>
      <w:r w:rsidRPr="006F4A1B">
        <w:t xml:space="preserve"> relatively </w:t>
      </w:r>
      <w:r w:rsidR="00120322" w:rsidRPr="00EA4C9B">
        <w:t>low</w:t>
      </w:r>
      <w:r w:rsidRPr="006F4A1B">
        <w:t xml:space="preserve"> tax base</w:t>
      </w:r>
      <w:r w:rsidR="00120322" w:rsidRPr="00EA4C9B">
        <w:t xml:space="preserve"> on which the tax is levied</w:t>
      </w:r>
      <w:r w:rsidRPr="006F4A1B">
        <w:t>.</w:t>
      </w:r>
    </w:p>
    <w:tbl>
      <w:tblPr>
        <w:tblStyle w:val="TableGrid"/>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1"/>
      </w:tblGrid>
      <w:tr w:rsidR="002435CD" w:rsidRPr="00EA4C9B" w14:paraId="0B6DFBFC" w14:textId="77777777" w:rsidTr="00BA7936">
        <w:trPr>
          <w:trHeight w:val="1501"/>
        </w:trPr>
        <w:tc>
          <w:tcPr>
            <w:tcW w:w="9091" w:type="dxa"/>
          </w:tcPr>
          <w:p w14:paraId="0E6FD38F" w14:textId="77777777" w:rsidR="002435CD" w:rsidRPr="00EA4C9B" w:rsidRDefault="002435CD">
            <w:pPr>
              <w:spacing w:after="0"/>
              <w:jc w:val="center"/>
              <w:rPr>
                <w:sz w:val="10"/>
                <w:szCs w:val="10"/>
              </w:rPr>
            </w:pPr>
          </w:p>
          <w:p w14:paraId="7313C400" w14:textId="77777777" w:rsidR="002435CD" w:rsidRPr="00EA4C9B" w:rsidRDefault="002435CD">
            <w:pPr>
              <w:spacing w:after="0"/>
              <w:jc w:val="center"/>
              <w:rPr>
                <w:sz w:val="10"/>
                <w:szCs w:val="10"/>
              </w:rPr>
            </w:pPr>
            <w:r w:rsidRPr="00EA4C9B">
              <w:rPr>
                <w:noProof/>
              </w:rPr>
              <w:drawing>
                <wp:inline distT="0" distB="0" distL="0" distR="0" wp14:anchorId="14E0A1A4" wp14:editId="08A5DFC8">
                  <wp:extent cx="5535295" cy="1070429"/>
                  <wp:effectExtent l="0" t="0" r="0" b="0"/>
                  <wp:docPr id="352310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10023" name="Picture 2"/>
                          <pic:cNvPicPr/>
                        </pic:nvPicPr>
                        <pic:blipFill>
                          <a:blip r:embed="rId138">
                            <a:extLst>
                              <a:ext uri="{96DAC541-7B7A-43D3-8B79-37D633B846F1}">
                                <asvg:svgBlip xmlns:asvg="http://schemas.microsoft.com/office/drawing/2016/SVG/main" r:embed="rId139"/>
                              </a:ext>
                            </a:extLst>
                          </a:blip>
                          <a:stretch>
                            <a:fillRect/>
                          </a:stretch>
                        </pic:blipFill>
                        <pic:spPr>
                          <a:xfrm>
                            <a:off x="0" y="0"/>
                            <a:ext cx="5564736" cy="1076122"/>
                          </a:xfrm>
                          <a:prstGeom prst="rect">
                            <a:avLst/>
                          </a:prstGeom>
                        </pic:spPr>
                      </pic:pic>
                    </a:graphicData>
                  </a:graphic>
                </wp:inline>
              </w:drawing>
            </w:r>
          </w:p>
          <w:p w14:paraId="585336E6" w14:textId="77777777" w:rsidR="002435CD" w:rsidRPr="00EA4C9B" w:rsidRDefault="002435CD" w:rsidP="002D122C">
            <w:pPr>
              <w:spacing w:after="0"/>
              <w:jc w:val="center"/>
              <w:rPr>
                <w:sz w:val="10"/>
                <w:szCs w:val="10"/>
              </w:rPr>
            </w:pPr>
          </w:p>
        </w:tc>
      </w:tr>
      <w:tr w:rsidR="002435CD" w:rsidRPr="00EA4C9B" w14:paraId="6C7391CE" w14:textId="77777777" w:rsidTr="00BA7936">
        <w:trPr>
          <w:trHeight w:val="253"/>
        </w:trPr>
        <w:tc>
          <w:tcPr>
            <w:tcW w:w="9091" w:type="dxa"/>
            <w:shd w:val="clear" w:color="auto" w:fill="003399"/>
          </w:tcPr>
          <w:p w14:paraId="1568B1A4" w14:textId="6E435E1C" w:rsidR="002435CD" w:rsidRPr="00EA4C9B" w:rsidRDefault="002435CD" w:rsidP="00F77265">
            <w:pPr>
              <w:pStyle w:val="FigTabCaption"/>
            </w:pPr>
            <w:bookmarkStart w:id="323" w:name="_Ref201230126"/>
            <w:r w:rsidRPr="00051732">
              <w:t xml:space="preserve">Figure </w:t>
            </w:r>
            <w:r w:rsidR="00490085">
              <w:t>A6</w:t>
            </w:r>
            <w:r w:rsidR="008417AF" w:rsidRPr="00051732">
              <w:t>-</w:t>
            </w:r>
            <w:r>
              <w:fldChar w:fldCharType="begin"/>
            </w:r>
            <w:r>
              <w:instrText>SEQ Figure_A5- \* ARABIC</w:instrText>
            </w:r>
            <w:r>
              <w:fldChar w:fldCharType="separate"/>
            </w:r>
            <w:r w:rsidR="0091411A">
              <w:rPr>
                <w:noProof/>
              </w:rPr>
              <w:t>75</w:t>
            </w:r>
            <w:r>
              <w:fldChar w:fldCharType="end"/>
            </w:r>
            <w:bookmarkEnd w:id="323"/>
            <w:r w:rsidRPr="00EA4C9B">
              <w:t>: Total environmental tax revenue in Sweden in million euros</w:t>
            </w:r>
            <w:r w:rsidR="00DA354D">
              <w:t xml:space="preserve"> - </w:t>
            </w:r>
            <w:r w:rsidR="00DA354D" w:rsidRPr="00DA354D">
              <w:rPr>
                <w:i/>
                <w:iCs/>
              </w:rPr>
              <w:t>Note: pollution and resource taxes in 2023 w</w:t>
            </w:r>
            <w:r w:rsidR="00DA354D">
              <w:rPr>
                <w:i/>
                <w:iCs/>
              </w:rPr>
              <w:t>ere</w:t>
            </w:r>
            <w:r w:rsidR="00DA354D" w:rsidRPr="00DA354D">
              <w:rPr>
                <w:i/>
                <w:iCs/>
              </w:rPr>
              <w:t xml:space="preserve"> estimated as the weighted average of past years</w:t>
            </w:r>
            <w:r w:rsidR="00DA354D" w:rsidRPr="00DA354D">
              <w:t> </w:t>
            </w:r>
          </w:p>
        </w:tc>
      </w:tr>
    </w:tbl>
    <w:p w14:paraId="28AD72A4" w14:textId="77777777" w:rsidR="002435CD" w:rsidRPr="00EA4C9B" w:rsidRDefault="002435CD" w:rsidP="009E1B64">
      <w:pPr>
        <w:pStyle w:val="Bulletlist"/>
        <w:numPr>
          <w:ilvl w:val="0"/>
          <w:numId w:val="0"/>
        </w:numPr>
      </w:pPr>
    </w:p>
    <w:p w14:paraId="747C2815" w14:textId="40ABC62F" w:rsidR="008410F1" w:rsidRDefault="002435CD" w:rsidP="009E1B64">
      <w:pPr>
        <w:pStyle w:val="Bulletlist"/>
        <w:numPr>
          <w:ilvl w:val="0"/>
          <w:numId w:val="0"/>
        </w:numPr>
      </w:pPr>
      <w:r w:rsidRPr="00EA4C9B">
        <w:t>In 2023, total tax revenue (including net social contributions) accounted for 41.9% of Sweden’s GDP</w:t>
      </w:r>
      <w:r w:rsidR="008410F1" w:rsidRPr="008410F1">
        <w:t xml:space="preserve">, a decrease of 2.5 percentage points from </w:t>
      </w:r>
      <w:r w:rsidRPr="00EA4C9B">
        <w:t>44.4% in 2009</w:t>
      </w:r>
      <w:r w:rsidR="008410F1">
        <w:rPr>
          <w:rStyle w:val="FootnoteReference"/>
        </w:rPr>
        <w:footnoteReference w:id="824"/>
      </w:r>
      <w:r w:rsidR="008410F1" w:rsidRPr="008410F1">
        <w:t>. Environmental taxes represented 4.8% of total tax revenue in 2023.</w:t>
      </w:r>
    </w:p>
    <w:p w14:paraId="48E2FF68" w14:textId="13C878AB" w:rsidR="002435CD" w:rsidRPr="00EA4C9B" w:rsidRDefault="007F5BA5" w:rsidP="00867E07">
      <w:r w:rsidRPr="007F5BA5">
        <w:fldChar w:fldCharType="begin"/>
      </w:r>
      <w:r w:rsidRPr="007F5BA5">
        <w:instrText xml:space="preserve"> REF _Ref201230283 \h  \* MERGEFORMAT </w:instrText>
      </w:r>
      <w:r w:rsidRPr="007F5BA5">
        <w:fldChar w:fldCharType="separate"/>
      </w:r>
      <w:r w:rsidRPr="007F5BA5">
        <w:t xml:space="preserve">Figure </w:t>
      </w:r>
      <w:r w:rsidR="00490085">
        <w:t>A6</w:t>
      </w:r>
      <w:r w:rsidRPr="007F5BA5">
        <w:t>-76</w:t>
      </w:r>
      <w:r w:rsidRPr="007F5BA5">
        <w:fldChar w:fldCharType="end"/>
      </w:r>
      <w:r w:rsidR="002435CD" w:rsidRPr="00EA4C9B">
        <w:t xml:space="preserve"> shows the percentage change in absolute terms for GDP and environmental taxes in terms of revenue (blue column) as well as the percentage change in the GDP-ratio between the years 2009-2023 (yellow column). Between the years 2009-2023, revenue for pollution taxes more than doubled. With revenue for pollution taxes increasing from </w:t>
      </w:r>
      <w:r w:rsidR="002435CD" w:rsidRPr="00EA4C9B">
        <w:rPr>
          <w:rFonts w:cstheme="minorHAnsi"/>
        </w:rPr>
        <w:t>€</w:t>
      </w:r>
      <w:r w:rsidR="002435CD" w:rsidRPr="00EA4C9B">
        <w:t xml:space="preserve">110 m in 2009 to over </w:t>
      </w:r>
      <w:r w:rsidR="002435CD" w:rsidRPr="00EA4C9B">
        <w:rPr>
          <w:rFonts w:cstheme="minorHAnsi"/>
        </w:rPr>
        <w:t>€</w:t>
      </w:r>
      <w:r w:rsidR="002435CD" w:rsidRPr="00EA4C9B">
        <w:t xml:space="preserve">240 m in 2023. Meanwhile, the other remaining tax revenue increased between 20-30% between the years 2009-2023. In terms of the percentage change in the GDP-ratio, all environmental taxes registered a decline, with the exception of pollution taxes which observed an increase.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35CD" w:rsidRPr="00EA4C9B" w14:paraId="5D0BA1C6" w14:textId="77777777" w:rsidTr="00BA7936">
        <w:tc>
          <w:tcPr>
            <w:tcW w:w="9016" w:type="dxa"/>
          </w:tcPr>
          <w:p w14:paraId="476D24C1" w14:textId="77777777" w:rsidR="002435CD" w:rsidRPr="00EA4C9B" w:rsidRDefault="002435CD">
            <w:pPr>
              <w:spacing w:after="0"/>
              <w:jc w:val="center"/>
              <w:rPr>
                <w:sz w:val="10"/>
                <w:szCs w:val="10"/>
              </w:rPr>
            </w:pPr>
          </w:p>
          <w:p w14:paraId="4127D023" w14:textId="77777777" w:rsidR="002435CD" w:rsidRPr="00EA4C9B" w:rsidRDefault="002435CD">
            <w:pPr>
              <w:spacing w:after="0"/>
              <w:jc w:val="center"/>
              <w:rPr>
                <w:sz w:val="10"/>
                <w:szCs w:val="10"/>
              </w:rPr>
            </w:pPr>
            <w:r w:rsidRPr="00EA4C9B">
              <w:rPr>
                <w:noProof/>
              </w:rPr>
              <w:lastRenderedPageBreak/>
              <w:drawing>
                <wp:inline distT="0" distB="0" distL="0" distR="0" wp14:anchorId="5E86AEE8" wp14:editId="2E320362">
                  <wp:extent cx="5410200" cy="1890632"/>
                  <wp:effectExtent l="0" t="0" r="0" b="1905"/>
                  <wp:docPr id="1114116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0">
                            <a:extLst>
                              <a:ext uri="{96DAC541-7B7A-43D3-8B79-37D633B846F1}">
                                <asvg:svgBlip xmlns:asvg="http://schemas.microsoft.com/office/drawing/2016/SVG/main" r:embed="rId141"/>
                              </a:ext>
                            </a:extLst>
                          </a:blip>
                          <a:stretch>
                            <a:fillRect/>
                          </a:stretch>
                        </pic:blipFill>
                        <pic:spPr>
                          <a:xfrm>
                            <a:off x="0" y="0"/>
                            <a:ext cx="5416121" cy="1892701"/>
                          </a:xfrm>
                          <a:prstGeom prst="rect">
                            <a:avLst/>
                          </a:prstGeom>
                        </pic:spPr>
                      </pic:pic>
                    </a:graphicData>
                  </a:graphic>
                </wp:inline>
              </w:drawing>
            </w:r>
          </w:p>
          <w:p w14:paraId="2F68A841" w14:textId="77777777" w:rsidR="002435CD" w:rsidRPr="00EA4C9B" w:rsidRDefault="002435CD">
            <w:pPr>
              <w:spacing w:after="0"/>
              <w:jc w:val="center"/>
              <w:rPr>
                <w:sz w:val="10"/>
                <w:szCs w:val="10"/>
              </w:rPr>
            </w:pPr>
          </w:p>
        </w:tc>
      </w:tr>
      <w:tr w:rsidR="002435CD" w:rsidRPr="00EA4C9B" w14:paraId="0EC03591" w14:textId="77777777" w:rsidTr="00BA7936">
        <w:tc>
          <w:tcPr>
            <w:tcW w:w="9016" w:type="dxa"/>
            <w:shd w:val="clear" w:color="auto" w:fill="003399"/>
          </w:tcPr>
          <w:p w14:paraId="224A12CE" w14:textId="747DC18A" w:rsidR="002435CD" w:rsidRPr="00EA4C9B" w:rsidRDefault="002435CD" w:rsidP="00F77265">
            <w:pPr>
              <w:pStyle w:val="FigTabCaption"/>
            </w:pPr>
            <w:bookmarkStart w:id="324" w:name="_Ref201230283"/>
            <w:r w:rsidRPr="00051732">
              <w:lastRenderedPageBreak/>
              <w:t xml:space="preserve">Figure </w:t>
            </w:r>
            <w:r w:rsidR="00490085">
              <w:t>A6</w:t>
            </w:r>
            <w:r w:rsidR="008417AF" w:rsidRPr="00051732">
              <w:t>-</w:t>
            </w:r>
            <w:r>
              <w:fldChar w:fldCharType="begin"/>
            </w:r>
            <w:r>
              <w:instrText>SEQ Figure_A5- \* ARABIC</w:instrText>
            </w:r>
            <w:r>
              <w:fldChar w:fldCharType="separate"/>
            </w:r>
            <w:r w:rsidR="0091411A">
              <w:rPr>
                <w:noProof/>
              </w:rPr>
              <w:t>76</w:t>
            </w:r>
            <w:r>
              <w:fldChar w:fldCharType="end"/>
            </w:r>
            <w:bookmarkEnd w:id="324"/>
            <w:r>
              <w:t xml:space="preserve">: </w:t>
            </w:r>
            <w:r w:rsidRPr="00EA4C9B">
              <w:t>Fifteen-year (2009-2023) change in absolute terms and change as GDP-ratio of the revenues of energy taxes, transport taxes, resource taxes, pollution taxes and total environmental taxes</w:t>
            </w:r>
            <w:r w:rsidR="00E83FD0">
              <w:t xml:space="preserve"> </w:t>
            </w:r>
          </w:p>
        </w:tc>
      </w:tr>
    </w:tbl>
    <w:p w14:paraId="7ED3AF26" w14:textId="77777777" w:rsidR="002435CD" w:rsidRPr="00EA4C9B" w:rsidRDefault="002435CD" w:rsidP="009E1B64">
      <w:pPr>
        <w:pStyle w:val="Bulletlist"/>
        <w:numPr>
          <w:ilvl w:val="0"/>
          <w:numId w:val="0"/>
        </w:numPr>
      </w:pPr>
    </w:p>
    <w:p w14:paraId="19F33CD8" w14:textId="77777777" w:rsidR="002435CD" w:rsidRPr="00EA4C9B" w:rsidRDefault="002435CD" w:rsidP="007C4EB7">
      <w:pPr>
        <w:pStyle w:val="AnnexHeading2"/>
      </w:pPr>
      <w:bookmarkStart w:id="325" w:name="_Ref201230735"/>
      <w:bookmarkStart w:id="326" w:name="_Toc214008960"/>
      <w:r w:rsidRPr="00EA4C9B">
        <w:t>Existing pollution and resource taxes</w:t>
      </w:r>
      <w:bookmarkEnd w:id="325"/>
      <w:bookmarkEnd w:id="326"/>
    </w:p>
    <w:p w14:paraId="2371DD7F" w14:textId="6560E49D" w:rsidR="002435CD" w:rsidRPr="00EA4C9B" w:rsidRDefault="002435CD" w:rsidP="002435CD">
      <w:r w:rsidRPr="00EA4C9B">
        <w:t>In 2022, pollution and resource tax revenues reached respectively 296.2 and 10.6 million euros.</w:t>
      </w:r>
      <w:r w:rsidRPr="00EA4C9B">
        <w:rPr>
          <w:rFonts w:ascii="Calibri" w:hAnsi="Calibri" w:cs="Calibri"/>
          <w:color w:val="000000"/>
          <w:bdr w:val="none" w:sz="0" w:space="0" w:color="auto" w:frame="1"/>
        </w:rPr>
        <w:t xml:space="preserve"> </w:t>
      </w:r>
      <w:r w:rsidRPr="00EA4C9B">
        <w:t>The projected values for 2023 are 243.9 and 19.9 million euros respectively. These amount to increases in absolute terms of — respectively — 118.2% and 30.4% over 15 years (2009-2023). Moreover, in terms of GDP-ratios, pollution taxes increased by 37.7% while resource taxes decreased by 19% (</w:t>
      </w:r>
      <w:r w:rsidR="00160A99" w:rsidRPr="00160A99">
        <w:fldChar w:fldCharType="begin"/>
      </w:r>
      <w:r w:rsidR="00160A99" w:rsidRPr="00160A99">
        <w:instrText xml:space="preserve"> REF _Ref201230283 \h  \* MERGEFORMAT </w:instrText>
      </w:r>
      <w:r w:rsidR="00160A99" w:rsidRPr="00160A99">
        <w:fldChar w:fldCharType="separate"/>
      </w:r>
      <w:r w:rsidR="00160A99" w:rsidRPr="00160A99">
        <w:t xml:space="preserve">Figure </w:t>
      </w:r>
      <w:r w:rsidR="00490085">
        <w:t>A6</w:t>
      </w:r>
      <w:r w:rsidR="00160A99" w:rsidRPr="00160A99">
        <w:t>-</w:t>
      </w:r>
      <w:r w:rsidR="00160A99" w:rsidRPr="00160A99">
        <w:rPr>
          <w:noProof/>
        </w:rPr>
        <w:t>76</w:t>
      </w:r>
      <w:r w:rsidR="00160A99" w:rsidRPr="00160A99">
        <w:fldChar w:fldCharType="end"/>
      </w:r>
      <w:r w:rsidRPr="00EA4C9B">
        <w:t>). In 2023, pollution and resource tax revenues accounted for — respectively — 2.4% and 0.2% of the total environmental tax revenues. In 2022, 54% of pollution tax revenues were paid by households and 46% by economic activities</w:t>
      </w:r>
      <w:r w:rsidRPr="00EA4C9B">
        <w:rPr>
          <w:rStyle w:val="FootnoteReference"/>
        </w:rPr>
        <w:footnoteReference w:id="825"/>
      </w:r>
      <w:r w:rsidRPr="00EA4C9B">
        <w:t>. Meanwhile, economic activities made up 100% of resource tax revenue</w:t>
      </w:r>
      <w:r w:rsidRPr="00EA4C9B">
        <w:rPr>
          <w:rStyle w:val="FootnoteReference"/>
        </w:rPr>
        <w:footnoteReference w:id="826"/>
      </w:r>
      <w:r w:rsidRPr="00EA4C9B">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435CD" w:rsidRPr="00EA4C9B" w14:paraId="2F77C01D" w14:textId="77777777" w:rsidTr="00BA7936">
        <w:tc>
          <w:tcPr>
            <w:tcW w:w="9016" w:type="dxa"/>
          </w:tcPr>
          <w:p w14:paraId="624B1F5C" w14:textId="77777777" w:rsidR="002435CD" w:rsidRPr="00EA4C9B" w:rsidRDefault="002435CD">
            <w:pPr>
              <w:spacing w:after="0"/>
              <w:jc w:val="center"/>
              <w:rPr>
                <w:sz w:val="10"/>
                <w:szCs w:val="10"/>
              </w:rPr>
            </w:pPr>
          </w:p>
          <w:p w14:paraId="76FEFE89" w14:textId="77777777" w:rsidR="002435CD" w:rsidRPr="00EA4C9B" w:rsidRDefault="002435CD">
            <w:pPr>
              <w:spacing w:after="0"/>
              <w:jc w:val="center"/>
            </w:pPr>
            <w:r w:rsidRPr="00EA4C9B">
              <w:rPr>
                <w:noProof/>
              </w:rPr>
              <w:drawing>
                <wp:inline distT="0" distB="0" distL="0" distR="0" wp14:anchorId="066AEAE7" wp14:editId="608EC5F5">
                  <wp:extent cx="5530181" cy="1236269"/>
                  <wp:effectExtent l="0" t="0" r="0" b="2540"/>
                  <wp:docPr id="1195926304" name="Picture 1195926304" descr="A graph with gree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26304" name="Picture 1195926304" descr="A graph with green and blue bars&#10;&#10;AI-generated content may be incorrect."/>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553658" cy="1241517"/>
                          </a:xfrm>
                          <a:prstGeom prst="rect">
                            <a:avLst/>
                          </a:prstGeom>
                        </pic:spPr>
                      </pic:pic>
                    </a:graphicData>
                  </a:graphic>
                </wp:inline>
              </w:drawing>
            </w:r>
          </w:p>
        </w:tc>
      </w:tr>
      <w:tr w:rsidR="002435CD" w:rsidRPr="00EA4C9B" w14:paraId="66DA949A" w14:textId="77777777" w:rsidTr="00BA7936">
        <w:tc>
          <w:tcPr>
            <w:tcW w:w="9016" w:type="dxa"/>
            <w:shd w:val="clear" w:color="auto" w:fill="003399"/>
          </w:tcPr>
          <w:p w14:paraId="2011D30E" w14:textId="1FFD0E25" w:rsidR="002435CD" w:rsidRPr="00EA4C9B" w:rsidRDefault="002435CD" w:rsidP="00F77265">
            <w:pPr>
              <w:pStyle w:val="FigTabCaption"/>
            </w:pPr>
            <w:r w:rsidRPr="00051732">
              <w:t xml:space="preserve">Figure </w:t>
            </w:r>
            <w:r w:rsidR="00490085">
              <w:t>A6</w:t>
            </w:r>
            <w:r w:rsidR="008417AF" w:rsidRPr="00051732">
              <w:t>-</w:t>
            </w:r>
            <w:r>
              <w:fldChar w:fldCharType="begin"/>
            </w:r>
            <w:r>
              <w:instrText>SEQ Figure_A5- \* ARABIC</w:instrText>
            </w:r>
            <w:r>
              <w:fldChar w:fldCharType="separate"/>
            </w:r>
            <w:r w:rsidR="0091411A">
              <w:rPr>
                <w:noProof/>
              </w:rPr>
              <w:t>77</w:t>
            </w:r>
            <w:r>
              <w:fldChar w:fldCharType="end"/>
            </w:r>
            <w:r w:rsidRPr="00EA4C9B">
              <w:t>: Resource and pollution tax revenues in Sweden (2009-2023) in million euros</w:t>
            </w:r>
            <w:r w:rsidR="003B540D">
              <w:t xml:space="preserve">. </w:t>
            </w:r>
            <w:r w:rsidR="003B540D" w:rsidRPr="00EA4C9B">
              <w:rPr>
                <w:rFonts w:ascii="Calibri" w:eastAsia="Calibri" w:hAnsi="Calibri" w:cs="Calibri"/>
                <w:i/>
                <w:iCs/>
              </w:rPr>
              <w:t>Note: the share between pollution and resource taxes in 2023 was estimated as the weighted average of past years</w:t>
            </w:r>
            <w:r w:rsidR="003B540D" w:rsidRPr="00EA4C9B">
              <w:rPr>
                <w:rFonts w:ascii="Calibri" w:eastAsia="Calibri" w:hAnsi="Calibri" w:cs="Calibri"/>
              </w:rPr>
              <w:t> </w:t>
            </w:r>
          </w:p>
        </w:tc>
      </w:tr>
    </w:tbl>
    <w:p w14:paraId="6A83D3F3" w14:textId="77777777" w:rsidR="002435CD" w:rsidRPr="00EA4C9B" w:rsidRDefault="002435CD" w:rsidP="009E1B64">
      <w:pPr>
        <w:pStyle w:val="Bulletlist"/>
        <w:numPr>
          <w:ilvl w:val="0"/>
          <w:numId w:val="0"/>
        </w:numPr>
      </w:pPr>
    </w:p>
    <w:p w14:paraId="6FFFA9CB" w14:textId="77777777" w:rsidR="00A00DA3" w:rsidRPr="00A00DA3" w:rsidRDefault="00A00DA3" w:rsidP="00A00DA3">
      <w:pPr>
        <w:pStyle w:val="Heading4"/>
      </w:pPr>
      <w:r w:rsidRPr="00A00DA3">
        <w:t>List of pollution and resource taxes and revenue shares</w:t>
      </w:r>
    </w:p>
    <w:p w14:paraId="5E6702B8" w14:textId="7FC140FE" w:rsidR="002435CD" w:rsidRPr="00EA4C9B" w:rsidRDefault="006E7FF4" w:rsidP="009E1B64">
      <w:pPr>
        <w:pStyle w:val="Bulletlist"/>
        <w:numPr>
          <w:ilvl w:val="0"/>
          <w:numId w:val="0"/>
        </w:numPr>
      </w:pPr>
      <w:r>
        <w:t>Tables A6-136 to A6-138 report</w:t>
      </w:r>
      <w:r w:rsidR="00D15284" w:rsidRPr="00657412">
        <w:fldChar w:fldCharType="begin"/>
      </w:r>
      <w:r w:rsidR="00D15284" w:rsidRPr="00657412">
        <w:instrText xml:space="preserve"> REF part_edae565ec6424f6a8d0f795316d4749d \h </w:instrText>
      </w:r>
      <w:r w:rsidR="00657412" w:rsidRPr="00657412">
        <w:instrText xml:space="preserve"> \* MERGEFORMAT </w:instrText>
      </w:r>
      <w:r w:rsidR="00D15284" w:rsidRPr="00657412">
        <w:fldChar w:fldCharType="end"/>
      </w:r>
      <w:r w:rsidR="007B6490" w:rsidRPr="00657412">
        <w:t xml:space="preserve"> </w:t>
      </w:r>
      <w:r w:rsidR="002435CD" w:rsidRPr="00657412">
        <w:t xml:space="preserve">the taxes </w:t>
      </w:r>
      <w:r>
        <w:t>included in</w:t>
      </w:r>
      <w:r w:rsidR="002435CD" w:rsidRPr="00657412">
        <w:t xml:space="preserve"> the National Tax List</w:t>
      </w:r>
      <w:r w:rsidR="002435CD" w:rsidRPr="00657412">
        <w:rPr>
          <w:rStyle w:val="FootnoteReference"/>
          <w:color w:val="000000" w:themeColor="text1"/>
        </w:rPr>
        <w:footnoteReference w:id="827"/>
      </w:r>
      <w:r w:rsidR="002435CD" w:rsidRPr="00657412">
        <w:t xml:space="preserve"> </w:t>
      </w:r>
      <w:r>
        <w:t xml:space="preserve">as </w:t>
      </w:r>
      <w:r w:rsidR="002435CD" w:rsidRPr="00657412">
        <w:t>reported by Eurostat</w:t>
      </w:r>
      <w:r w:rsidR="002435CD" w:rsidRPr="00EA4C9B">
        <w:t xml:space="preserve"> </w:t>
      </w:r>
      <w:r>
        <w:t xml:space="preserve">Table A6-139 reports </w:t>
      </w:r>
      <w:r w:rsidR="002435CD" w:rsidRPr="00EA4C9B">
        <w:t>those taxes that were</w:t>
      </w:r>
      <w:r>
        <w:t xml:space="preserve"> </w:t>
      </w:r>
      <w:r w:rsidR="002435CD" w:rsidRPr="00EA4C9B">
        <w:t>n</w:t>
      </w:r>
      <w:r>
        <w:t>o</w:t>
      </w:r>
      <w:r w:rsidR="002435CD" w:rsidRPr="00EA4C9B">
        <w:t>t in</w:t>
      </w:r>
      <w:r>
        <w:t>cluded in</w:t>
      </w:r>
      <w:r w:rsidR="002435CD" w:rsidRPr="00EA4C9B">
        <w:t xml:space="preserve"> the National Tax List but </w:t>
      </w:r>
      <w:r>
        <w:t xml:space="preserve">were found </w:t>
      </w:r>
      <w:r w:rsidR="002435CD" w:rsidRPr="00EA4C9B">
        <w:t>in other sources</w:t>
      </w:r>
      <w:r>
        <w:t>,</w:t>
      </w:r>
      <w:r w:rsidR="002435CD" w:rsidRPr="00EA4C9B">
        <w:t xml:space="preserve"> including the PINE database</w:t>
      </w:r>
      <w:r w:rsidR="002435CD" w:rsidRPr="00EA4C9B">
        <w:rPr>
          <w:rStyle w:val="FootnoteReference"/>
          <w:color w:val="000000" w:themeColor="text1"/>
        </w:rPr>
        <w:footnoteReference w:id="828"/>
      </w:r>
      <w:r w:rsidR="002435CD" w:rsidRPr="00EA4C9B">
        <w:t>.</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69"/>
        <w:gridCol w:w="1843"/>
        <w:gridCol w:w="1984"/>
        <w:gridCol w:w="2168"/>
      </w:tblGrid>
      <w:tr w:rsidR="002435CD" w:rsidRPr="00EA4C9B" w14:paraId="223E98FD" w14:textId="77777777" w:rsidTr="00BA7936">
        <w:trPr>
          <w:trHeight w:val="300"/>
          <w:tblHeader/>
        </w:trPr>
        <w:tc>
          <w:tcPr>
            <w:tcW w:w="8964" w:type="dxa"/>
            <w:gridSpan w:val="4"/>
            <w:tcBorders>
              <w:top w:val="single" w:sz="6" w:space="0" w:color="auto"/>
              <w:left w:val="single" w:sz="6" w:space="0" w:color="auto"/>
              <w:bottom w:val="single" w:sz="6" w:space="0" w:color="auto"/>
              <w:right w:val="single" w:sz="6" w:space="0" w:color="auto"/>
            </w:tcBorders>
            <w:shd w:val="clear" w:color="auto" w:fill="003399"/>
            <w:tcMar>
              <w:left w:w="105" w:type="dxa"/>
              <w:right w:w="105" w:type="dxa"/>
            </w:tcMar>
          </w:tcPr>
          <w:p w14:paraId="30E026D5" w14:textId="0D321D32" w:rsidR="002435CD" w:rsidRPr="00E74F8E" w:rsidRDefault="002435CD" w:rsidP="00447C45">
            <w:pPr>
              <w:pStyle w:val="Table"/>
              <w:rPr>
                <w:rFonts w:eastAsia="Calibri" w:cstheme="minorHAnsi"/>
                <w:b/>
                <w:szCs w:val="20"/>
              </w:rPr>
            </w:pPr>
            <w:r w:rsidRPr="00447C45">
              <w:rPr>
                <w:b/>
                <w:color w:val="FFFFFF" w:themeColor="background1"/>
              </w:rPr>
              <w:t xml:space="preserve">Table </w:t>
            </w:r>
            <w:r w:rsidR="00490085">
              <w:rPr>
                <w:b/>
                <w:color w:val="FFFFFF" w:themeColor="background1"/>
              </w:rPr>
              <w:t>A6</w:t>
            </w:r>
            <w:r w:rsidR="00447C45" w:rsidRPr="00447C45">
              <w:rPr>
                <w:b/>
                <w:bCs/>
                <w:color w:val="FFFFFF" w:themeColor="background1"/>
              </w:rPr>
              <w:t>-</w:t>
            </w:r>
            <w:r w:rsidR="00447C45" w:rsidRPr="00447C45">
              <w:rPr>
                <w:b/>
                <w:bCs/>
                <w:color w:val="FFFFFF" w:themeColor="background1"/>
              </w:rPr>
              <w:fldChar w:fldCharType="begin"/>
            </w:r>
            <w:r w:rsidR="00447C45" w:rsidRPr="00447C45">
              <w:rPr>
                <w:b/>
                <w:bCs/>
                <w:color w:val="FFFFFF" w:themeColor="background1"/>
              </w:rPr>
              <w:instrText xml:space="preserve"> SEQ Table_A5- \* ARABIC </w:instrText>
            </w:r>
            <w:r w:rsidR="00447C45" w:rsidRPr="00447C45">
              <w:rPr>
                <w:b/>
                <w:bCs/>
                <w:color w:val="FFFFFF" w:themeColor="background1"/>
              </w:rPr>
              <w:fldChar w:fldCharType="separate"/>
            </w:r>
            <w:r w:rsidR="00EA31D0">
              <w:rPr>
                <w:b/>
                <w:bCs/>
                <w:noProof/>
                <w:color w:val="FFFFFF" w:themeColor="background1"/>
              </w:rPr>
              <w:t>136</w:t>
            </w:r>
            <w:r w:rsidR="00447C45" w:rsidRPr="00447C45">
              <w:rPr>
                <w:b/>
                <w:bCs/>
                <w:color w:val="FFFFFF" w:themeColor="background1"/>
              </w:rPr>
              <w:fldChar w:fldCharType="end"/>
            </w:r>
            <w:r w:rsidRPr="00447C45">
              <w:rPr>
                <w:rFonts w:eastAsia="Calibri" w:cstheme="minorHAnsi"/>
                <w:b/>
                <w:color w:val="FFFFFF" w:themeColor="background1"/>
                <w:szCs w:val="20"/>
              </w:rPr>
              <w:t>:  Pollution taxes </w:t>
            </w:r>
          </w:p>
        </w:tc>
      </w:tr>
      <w:tr w:rsidR="002435CD" w:rsidRPr="00EA4C9B" w14:paraId="7CE2B49B" w14:textId="77777777" w:rsidTr="00BA7936">
        <w:trPr>
          <w:trHeight w:val="300"/>
          <w:tblHeader/>
        </w:trPr>
        <w:tc>
          <w:tcPr>
            <w:tcW w:w="2969" w:type="dxa"/>
            <w:tcBorders>
              <w:top w:val="single" w:sz="6" w:space="0" w:color="auto"/>
              <w:left w:val="single" w:sz="6" w:space="0" w:color="auto"/>
              <w:bottom w:val="single" w:sz="6" w:space="0" w:color="auto"/>
              <w:right w:val="single" w:sz="6" w:space="0" w:color="auto"/>
            </w:tcBorders>
            <w:tcMar>
              <w:left w:w="105" w:type="dxa"/>
              <w:right w:w="105" w:type="dxa"/>
            </w:tcMar>
          </w:tcPr>
          <w:p w14:paraId="567FF30E" w14:textId="77777777" w:rsidR="002435CD" w:rsidRPr="00E74F8E" w:rsidRDefault="002435CD" w:rsidP="00447C45">
            <w:pPr>
              <w:pStyle w:val="Table"/>
              <w:rPr>
                <w:rFonts w:eastAsia="Calibri" w:cstheme="minorHAnsi"/>
                <w:b/>
                <w:szCs w:val="20"/>
              </w:rPr>
            </w:pPr>
            <w:r w:rsidRPr="00EA4C9B">
              <w:rPr>
                <w:rFonts w:eastAsia="Calibri" w:cstheme="minorHAnsi"/>
                <w:b/>
                <w:szCs w:val="20"/>
              </w:rPr>
              <w:t>Tax Name</w:t>
            </w:r>
            <w:r w:rsidRPr="00E74F8E">
              <w:rPr>
                <w:rFonts w:eastAsia="Calibri" w:cstheme="minorHAnsi"/>
                <w:b/>
                <w:szCs w:val="20"/>
              </w:rPr>
              <w:t> </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tcPr>
          <w:p w14:paraId="059C556D" w14:textId="77777777" w:rsidR="002435CD" w:rsidRPr="00E74F8E" w:rsidRDefault="002435CD" w:rsidP="00A13DF5">
            <w:pPr>
              <w:pStyle w:val="Table"/>
              <w:jc w:val="center"/>
              <w:rPr>
                <w:rFonts w:eastAsia="Calibri" w:cstheme="minorHAnsi"/>
                <w:b/>
                <w:szCs w:val="20"/>
              </w:rPr>
            </w:pPr>
            <w:r w:rsidRPr="00EA4C9B">
              <w:rPr>
                <w:rFonts w:eastAsia="Calibri" w:cstheme="minorHAnsi"/>
                <w:b/>
                <w:szCs w:val="20"/>
              </w:rPr>
              <w:t>Revenue (€ million)</w:t>
            </w:r>
          </w:p>
          <w:p w14:paraId="5985FB4E" w14:textId="77777777" w:rsidR="002435CD" w:rsidRPr="00E74F8E" w:rsidRDefault="002435CD" w:rsidP="00A13DF5">
            <w:pPr>
              <w:pStyle w:val="Table"/>
              <w:jc w:val="center"/>
              <w:rPr>
                <w:rFonts w:eastAsia="Calibri" w:cstheme="minorHAnsi"/>
                <w:b/>
                <w:szCs w:val="20"/>
              </w:rPr>
            </w:pPr>
            <w:r w:rsidRPr="00EA4C9B">
              <w:rPr>
                <w:rFonts w:eastAsia="Calibri" w:cstheme="minorHAnsi"/>
                <w:b/>
                <w:szCs w:val="20"/>
              </w:rPr>
              <w:t>2009-2023</w:t>
            </w:r>
          </w:p>
        </w:tc>
        <w:tc>
          <w:tcPr>
            <w:tcW w:w="1984" w:type="dxa"/>
            <w:tcBorders>
              <w:top w:val="single" w:sz="6" w:space="0" w:color="auto"/>
              <w:left w:val="single" w:sz="6" w:space="0" w:color="auto"/>
              <w:bottom w:val="single" w:sz="6" w:space="0" w:color="auto"/>
              <w:right w:val="single" w:sz="6" w:space="0" w:color="auto"/>
            </w:tcBorders>
            <w:tcMar>
              <w:left w:w="105" w:type="dxa"/>
              <w:right w:w="105" w:type="dxa"/>
            </w:tcMar>
          </w:tcPr>
          <w:p w14:paraId="0406CED5" w14:textId="77777777" w:rsidR="002435CD" w:rsidRPr="00E74F8E" w:rsidRDefault="002435CD" w:rsidP="00A13DF5">
            <w:pPr>
              <w:pStyle w:val="Table"/>
              <w:jc w:val="center"/>
              <w:rPr>
                <w:rFonts w:eastAsia="Calibri" w:cstheme="minorHAnsi"/>
                <w:b/>
                <w:szCs w:val="20"/>
              </w:rPr>
            </w:pPr>
            <w:r w:rsidRPr="00EA4C9B">
              <w:rPr>
                <w:rFonts w:eastAsia="Calibri" w:cstheme="minorHAnsi"/>
                <w:b/>
                <w:szCs w:val="20"/>
              </w:rPr>
              <w:t>Average annual revenue (€ million)</w:t>
            </w:r>
          </w:p>
        </w:tc>
        <w:tc>
          <w:tcPr>
            <w:tcW w:w="2168" w:type="dxa"/>
            <w:tcBorders>
              <w:top w:val="single" w:sz="6" w:space="0" w:color="auto"/>
              <w:left w:val="single" w:sz="6" w:space="0" w:color="auto"/>
              <w:bottom w:val="single" w:sz="6" w:space="0" w:color="auto"/>
              <w:right w:val="single" w:sz="6" w:space="0" w:color="auto"/>
            </w:tcBorders>
            <w:tcMar>
              <w:left w:w="105" w:type="dxa"/>
              <w:right w:w="105" w:type="dxa"/>
            </w:tcMar>
          </w:tcPr>
          <w:p w14:paraId="14397FA6" w14:textId="77777777" w:rsidR="002435CD" w:rsidRPr="00E74F8E" w:rsidRDefault="002435CD" w:rsidP="00A13DF5">
            <w:pPr>
              <w:pStyle w:val="Table"/>
              <w:jc w:val="center"/>
              <w:rPr>
                <w:rFonts w:eastAsia="Calibri" w:cstheme="minorHAnsi"/>
                <w:b/>
                <w:szCs w:val="20"/>
              </w:rPr>
            </w:pPr>
            <w:r w:rsidRPr="00EA4C9B">
              <w:rPr>
                <w:rFonts w:eastAsia="Calibri" w:cstheme="minorHAnsi"/>
                <w:b/>
                <w:szCs w:val="20"/>
              </w:rPr>
              <w:t>As share of all pollution tax revenues</w:t>
            </w:r>
          </w:p>
        </w:tc>
      </w:tr>
      <w:tr w:rsidR="002435CD" w:rsidRPr="00EA4C9B" w14:paraId="4D20C814" w14:textId="77777777" w:rsidTr="002D122C">
        <w:trPr>
          <w:trHeight w:val="300"/>
        </w:trPr>
        <w:tc>
          <w:tcPr>
            <w:tcW w:w="2969"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0378C15" w14:textId="77777777" w:rsidR="002435CD" w:rsidRPr="00EA4C9B" w:rsidRDefault="002435CD" w:rsidP="00447C45">
            <w:pPr>
              <w:pStyle w:val="Table"/>
              <w:rPr>
                <w:rFonts w:eastAsia="Calibri" w:cstheme="minorHAnsi"/>
                <w:szCs w:val="20"/>
              </w:rPr>
            </w:pPr>
            <w:r w:rsidRPr="00EA4C9B">
              <w:rPr>
                <w:rFonts w:cstheme="minorHAnsi"/>
                <w:szCs w:val="20"/>
              </w:rPr>
              <w:t>Tax on pesticides</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E05B927"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170.3</w:t>
            </w:r>
          </w:p>
        </w:tc>
        <w:tc>
          <w:tcPr>
            <w:tcW w:w="1984"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C9CD780"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11.8</w:t>
            </w:r>
          </w:p>
        </w:tc>
        <w:tc>
          <w:tcPr>
            <w:tcW w:w="2168"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804042A"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4.5%</w:t>
            </w:r>
          </w:p>
        </w:tc>
      </w:tr>
      <w:tr w:rsidR="002435CD" w:rsidRPr="00EA4C9B" w14:paraId="6F6BEB7C" w14:textId="77777777" w:rsidTr="002D122C">
        <w:trPr>
          <w:trHeight w:val="300"/>
        </w:trPr>
        <w:tc>
          <w:tcPr>
            <w:tcW w:w="2969"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DA874AA" w14:textId="77777777" w:rsidR="002435CD" w:rsidRPr="00EA4C9B" w:rsidRDefault="002435CD" w:rsidP="00447C45">
            <w:pPr>
              <w:pStyle w:val="Table"/>
              <w:rPr>
                <w:rFonts w:eastAsia="Calibri" w:cstheme="minorHAnsi"/>
                <w:szCs w:val="20"/>
              </w:rPr>
            </w:pPr>
            <w:r w:rsidRPr="0DB99A64">
              <w:rPr>
                <w:szCs w:val="20"/>
              </w:rPr>
              <w:lastRenderedPageBreak/>
              <w:t>Tax on fertilisers</w:t>
            </w:r>
            <w:r w:rsidRPr="0DB99A64">
              <w:rPr>
                <w:rStyle w:val="FootnoteReference"/>
                <w:szCs w:val="20"/>
              </w:rPr>
              <w:footnoteReference w:id="829"/>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2908FF3"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15.9</w:t>
            </w:r>
          </w:p>
        </w:tc>
        <w:tc>
          <w:tcPr>
            <w:tcW w:w="1984"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EEF3039"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15.9</w:t>
            </w:r>
          </w:p>
        </w:tc>
        <w:tc>
          <w:tcPr>
            <w:tcW w:w="2168"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919D777"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6.0%</w:t>
            </w:r>
          </w:p>
        </w:tc>
      </w:tr>
      <w:tr w:rsidR="002435CD" w:rsidRPr="00EA4C9B" w14:paraId="42DCF783" w14:textId="77777777" w:rsidTr="002D122C">
        <w:trPr>
          <w:trHeight w:val="300"/>
        </w:trPr>
        <w:tc>
          <w:tcPr>
            <w:tcW w:w="2969"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A35EC9C" w14:textId="77777777" w:rsidR="002435CD" w:rsidRPr="00EA4C9B" w:rsidRDefault="002435CD" w:rsidP="00447C45">
            <w:pPr>
              <w:pStyle w:val="Table"/>
              <w:rPr>
                <w:rFonts w:eastAsia="Calibri" w:cstheme="minorHAnsi"/>
                <w:szCs w:val="20"/>
              </w:rPr>
            </w:pPr>
            <w:r w:rsidRPr="00EA4C9B">
              <w:rPr>
                <w:rFonts w:cstheme="minorHAnsi"/>
                <w:szCs w:val="20"/>
              </w:rPr>
              <w:t>Fee on chemical products</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1C2DA31"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66.5</w:t>
            </w:r>
          </w:p>
        </w:tc>
        <w:tc>
          <w:tcPr>
            <w:tcW w:w="1984"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B394226"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4.1</w:t>
            </w:r>
          </w:p>
        </w:tc>
        <w:tc>
          <w:tcPr>
            <w:tcW w:w="2168"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EAB760E"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1.6%</w:t>
            </w:r>
          </w:p>
        </w:tc>
      </w:tr>
      <w:tr w:rsidR="002435CD" w:rsidRPr="00EA4C9B" w14:paraId="4106053B" w14:textId="77777777" w:rsidTr="002D122C">
        <w:trPr>
          <w:trHeight w:val="300"/>
        </w:trPr>
        <w:tc>
          <w:tcPr>
            <w:tcW w:w="2969"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210432B" w14:textId="77777777" w:rsidR="002435CD" w:rsidRPr="00EA4C9B" w:rsidRDefault="002435CD" w:rsidP="00447C45">
            <w:pPr>
              <w:pStyle w:val="Table"/>
              <w:rPr>
                <w:rFonts w:eastAsia="Calibri" w:cstheme="minorHAnsi"/>
                <w:szCs w:val="20"/>
              </w:rPr>
            </w:pPr>
            <w:r w:rsidRPr="00EA4C9B">
              <w:rPr>
                <w:rFonts w:cstheme="minorHAnsi"/>
                <w:szCs w:val="20"/>
              </w:rPr>
              <w:t>Tax on chemicals in certain electronics</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4ED95A6"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996.7</w:t>
            </w:r>
          </w:p>
        </w:tc>
        <w:tc>
          <w:tcPr>
            <w:tcW w:w="1984"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992D0A8"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167.0</w:t>
            </w:r>
          </w:p>
        </w:tc>
        <w:tc>
          <w:tcPr>
            <w:tcW w:w="2168"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05B7E38"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63.3%</w:t>
            </w:r>
          </w:p>
        </w:tc>
      </w:tr>
      <w:tr w:rsidR="002435CD" w:rsidRPr="00EA4C9B" w14:paraId="378A0135" w14:textId="77777777" w:rsidTr="002D122C">
        <w:trPr>
          <w:trHeight w:val="300"/>
        </w:trPr>
        <w:tc>
          <w:tcPr>
            <w:tcW w:w="2969"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F038EF0" w14:textId="77777777" w:rsidR="002435CD" w:rsidRPr="00EA4C9B" w:rsidRDefault="002435CD" w:rsidP="00447C45">
            <w:pPr>
              <w:pStyle w:val="Table"/>
              <w:rPr>
                <w:rFonts w:eastAsia="Calibri" w:cstheme="minorHAnsi"/>
                <w:szCs w:val="20"/>
              </w:rPr>
            </w:pPr>
            <w:r w:rsidRPr="00EA4C9B">
              <w:rPr>
                <w:rFonts w:cstheme="minorHAnsi"/>
                <w:szCs w:val="20"/>
              </w:rPr>
              <w:t>Fee for discharge of NOx</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68F533E"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965.3</w:t>
            </w:r>
          </w:p>
        </w:tc>
        <w:tc>
          <w:tcPr>
            <w:tcW w:w="1984"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3796B5C"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64.4</w:t>
            </w:r>
          </w:p>
        </w:tc>
        <w:tc>
          <w:tcPr>
            <w:tcW w:w="2168"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418693D"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24.4%</w:t>
            </w:r>
          </w:p>
        </w:tc>
      </w:tr>
      <w:tr w:rsidR="002435CD" w:rsidRPr="00EA4C9B" w14:paraId="77CA7D32" w14:textId="77777777" w:rsidTr="002D122C">
        <w:trPr>
          <w:trHeight w:val="300"/>
        </w:trPr>
        <w:tc>
          <w:tcPr>
            <w:tcW w:w="2969"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45D22FF" w14:textId="77777777" w:rsidR="002435CD" w:rsidRPr="00EA4C9B" w:rsidRDefault="002435CD" w:rsidP="00447C45">
            <w:pPr>
              <w:pStyle w:val="Table"/>
              <w:rPr>
                <w:rFonts w:cstheme="minorHAnsi"/>
                <w:szCs w:val="20"/>
              </w:rPr>
            </w:pPr>
            <w:r w:rsidRPr="00EA4C9B">
              <w:rPr>
                <w:rFonts w:cstheme="minorHAnsi"/>
                <w:szCs w:val="20"/>
              </w:rPr>
              <w:t>Fee to the battery fund</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4147B2F" w14:textId="77777777" w:rsidR="002435CD" w:rsidRPr="00EA4C9B" w:rsidRDefault="002435CD" w:rsidP="00A13DF5">
            <w:pPr>
              <w:pStyle w:val="Table"/>
              <w:jc w:val="center"/>
              <w:rPr>
                <w:rFonts w:cstheme="minorHAnsi"/>
                <w:color w:val="000000"/>
                <w:szCs w:val="20"/>
              </w:rPr>
            </w:pPr>
            <w:r w:rsidRPr="00EA4C9B">
              <w:rPr>
                <w:rFonts w:cstheme="minorHAnsi"/>
                <w:color w:val="000000"/>
                <w:szCs w:val="20"/>
              </w:rPr>
              <w:t>7.8</w:t>
            </w:r>
          </w:p>
        </w:tc>
        <w:tc>
          <w:tcPr>
            <w:tcW w:w="1984"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0C69F27" w14:textId="77777777" w:rsidR="002435CD" w:rsidRPr="00EA4C9B" w:rsidRDefault="002435CD" w:rsidP="00A13DF5">
            <w:pPr>
              <w:pStyle w:val="Table"/>
              <w:jc w:val="center"/>
              <w:rPr>
                <w:rFonts w:cstheme="minorHAnsi"/>
                <w:color w:val="000000"/>
                <w:szCs w:val="20"/>
              </w:rPr>
            </w:pPr>
            <w:r w:rsidRPr="00EA4C9B">
              <w:rPr>
                <w:rFonts w:cstheme="minorHAnsi"/>
                <w:color w:val="000000"/>
                <w:szCs w:val="20"/>
              </w:rPr>
              <w:t>0.5</w:t>
            </w:r>
          </w:p>
        </w:tc>
        <w:tc>
          <w:tcPr>
            <w:tcW w:w="2168"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ED47648" w14:textId="77777777" w:rsidR="002435CD" w:rsidRPr="00EA4C9B" w:rsidRDefault="002435CD" w:rsidP="00A13DF5">
            <w:pPr>
              <w:pStyle w:val="Table"/>
              <w:jc w:val="center"/>
              <w:rPr>
                <w:rFonts w:cstheme="minorHAnsi"/>
                <w:color w:val="000000"/>
                <w:szCs w:val="20"/>
              </w:rPr>
            </w:pPr>
            <w:r w:rsidRPr="00EA4C9B">
              <w:rPr>
                <w:rFonts w:cstheme="minorHAnsi"/>
                <w:color w:val="000000"/>
                <w:szCs w:val="20"/>
              </w:rPr>
              <w:t>0.2%</w:t>
            </w:r>
          </w:p>
        </w:tc>
      </w:tr>
    </w:tbl>
    <w:p w14:paraId="2E31ED96" w14:textId="77777777" w:rsidR="002435CD" w:rsidRPr="00E74F8E" w:rsidRDefault="002435CD" w:rsidP="009E1B64">
      <w:pPr>
        <w:pStyle w:val="Bulletlist"/>
        <w:numPr>
          <w:ilvl w:val="0"/>
          <w:numId w:val="0"/>
        </w:num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41"/>
        <w:gridCol w:w="2241"/>
        <w:gridCol w:w="2241"/>
        <w:gridCol w:w="2241"/>
      </w:tblGrid>
      <w:tr w:rsidR="002435CD" w:rsidRPr="00E74F8E" w14:paraId="28C9F09B" w14:textId="77777777">
        <w:trPr>
          <w:trHeight w:val="300"/>
        </w:trPr>
        <w:tc>
          <w:tcPr>
            <w:tcW w:w="8964" w:type="dxa"/>
            <w:gridSpan w:val="4"/>
            <w:tcBorders>
              <w:top w:val="single" w:sz="6" w:space="0" w:color="auto"/>
              <w:left w:val="single" w:sz="6" w:space="0" w:color="auto"/>
              <w:bottom w:val="single" w:sz="6" w:space="0" w:color="auto"/>
              <w:right w:val="single" w:sz="6" w:space="0" w:color="auto"/>
            </w:tcBorders>
            <w:shd w:val="clear" w:color="auto" w:fill="003399"/>
            <w:tcMar>
              <w:left w:w="105" w:type="dxa"/>
              <w:right w:w="105" w:type="dxa"/>
            </w:tcMar>
          </w:tcPr>
          <w:p w14:paraId="4C746816" w14:textId="70E76736" w:rsidR="002435CD" w:rsidRPr="00E74F8E" w:rsidRDefault="008417AF" w:rsidP="00E74F8E">
            <w:pPr>
              <w:pStyle w:val="Table"/>
              <w:rPr>
                <w:rFonts w:eastAsia="Calibri" w:cstheme="minorHAnsi"/>
                <w:b/>
                <w:color w:val="FFFFFF" w:themeColor="background1"/>
                <w:szCs w:val="20"/>
              </w:rPr>
            </w:pPr>
            <w:r w:rsidRPr="00E74F8E">
              <w:rPr>
                <w:b/>
                <w:color w:val="FFFFFF" w:themeColor="background1"/>
              </w:rPr>
              <w:t xml:space="preserve">Table </w:t>
            </w:r>
            <w:r w:rsidR="00490085">
              <w:rPr>
                <w:b/>
                <w:color w:val="FFFFFF" w:themeColor="background1"/>
              </w:rPr>
              <w:t>A6</w:t>
            </w:r>
            <w:r w:rsidR="00E74F8E" w:rsidRPr="00E74F8E">
              <w:rPr>
                <w:b/>
                <w:bCs/>
                <w:color w:val="FFFFFF" w:themeColor="background1"/>
              </w:rPr>
              <w:t>-</w:t>
            </w:r>
            <w:r w:rsidR="00E74F8E" w:rsidRPr="00E74F8E">
              <w:rPr>
                <w:b/>
                <w:bCs/>
                <w:color w:val="FFFFFF" w:themeColor="background1"/>
              </w:rPr>
              <w:fldChar w:fldCharType="begin"/>
            </w:r>
            <w:r w:rsidR="00E74F8E" w:rsidRPr="00E74F8E">
              <w:rPr>
                <w:b/>
                <w:bCs/>
                <w:color w:val="FFFFFF" w:themeColor="background1"/>
              </w:rPr>
              <w:instrText xml:space="preserve"> SEQ Table_A5- \* ARABIC </w:instrText>
            </w:r>
            <w:r w:rsidR="00E74F8E" w:rsidRPr="00E74F8E">
              <w:rPr>
                <w:b/>
                <w:bCs/>
                <w:color w:val="FFFFFF" w:themeColor="background1"/>
              </w:rPr>
              <w:fldChar w:fldCharType="separate"/>
            </w:r>
            <w:r w:rsidR="00EA31D0">
              <w:rPr>
                <w:b/>
                <w:bCs/>
                <w:noProof/>
                <w:color w:val="FFFFFF" w:themeColor="background1"/>
              </w:rPr>
              <w:t>137</w:t>
            </w:r>
            <w:r w:rsidR="00E74F8E" w:rsidRPr="00E74F8E">
              <w:rPr>
                <w:b/>
                <w:bCs/>
                <w:color w:val="FFFFFF" w:themeColor="background1"/>
              </w:rPr>
              <w:fldChar w:fldCharType="end"/>
            </w:r>
            <w:r w:rsidR="002435CD" w:rsidRPr="00E74F8E">
              <w:rPr>
                <w:rFonts w:eastAsia="Calibri" w:cstheme="minorHAnsi"/>
                <w:b/>
                <w:color w:val="FFFFFF" w:themeColor="background1"/>
                <w:szCs w:val="20"/>
              </w:rPr>
              <w:t>:  Waste taxes </w:t>
            </w:r>
          </w:p>
        </w:tc>
      </w:tr>
      <w:tr w:rsidR="002435CD" w:rsidRPr="00EA4C9B" w14:paraId="3CB781A7" w14:textId="77777777">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66203144" w14:textId="77777777" w:rsidR="002435CD" w:rsidRPr="00EA4C9B" w:rsidRDefault="002435CD" w:rsidP="00E74F8E">
            <w:pPr>
              <w:pStyle w:val="Table"/>
              <w:rPr>
                <w:rFonts w:eastAsia="Calibri" w:cstheme="minorHAnsi"/>
                <w:szCs w:val="20"/>
              </w:rPr>
            </w:pPr>
            <w:r w:rsidRPr="00EA4C9B">
              <w:rPr>
                <w:rFonts w:eastAsia="Calibri" w:cstheme="minorHAnsi"/>
                <w:b/>
                <w:szCs w:val="20"/>
              </w:rPr>
              <w:t>Tax Name</w:t>
            </w:r>
            <w:r w:rsidRPr="00EA4C9B">
              <w:rPr>
                <w:rFonts w:eastAsia="Calibri" w:cstheme="minorHAnsi"/>
                <w:szCs w:val="20"/>
              </w:rPr>
              <w:t> </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7C0ED810" w14:textId="77777777" w:rsidR="002435CD" w:rsidRPr="00EA4C9B" w:rsidRDefault="002435CD" w:rsidP="00A13DF5">
            <w:pPr>
              <w:pStyle w:val="Table"/>
              <w:jc w:val="center"/>
              <w:rPr>
                <w:rFonts w:eastAsia="Calibri" w:cstheme="minorHAnsi"/>
                <w:szCs w:val="20"/>
              </w:rPr>
            </w:pPr>
            <w:r w:rsidRPr="00EA4C9B">
              <w:rPr>
                <w:rFonts w:eastAsia="Calibri" w:cstheme="minorHAnsi"/>
                <w:b/>
                <w:szCs w:val="20"/>
              </w:rPr>
              <w:t>Revenue (€ million)</w:t>
            </w:r>
          </w:p>
          <w:p w14:paraId="6083E043" w14:textId="77777777" w:rsidR="002435CD" w:rsidRPr="00EA4C9B" w:rsidRDefault="002435CD" w:rsidP="00A13DF5">
            <w:pPr>
              <w:pStyle w:val="Table"/>
              <w:jc w:val="center"/>
              <w:rPr>
                <w:rFonts w:eastAsia="Calibri" w:cstheme="minorHAnsi"/>
                <w:szCs w:val="20"/>
              </w:rPr>
            </w:pPr>
            <w:r w:rsidRPr="00EA4C9B">
              <w:rPr>
                <w:rFonts w:eastAsia="Calibri" w:cstheme="minorHAnsi"/>
                <w:b/>
                <w:szCs w:val="20"/>
              </w:rPr>
              <w:t>2009-2023</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3E3F4D52" w14:textId="77777777" w:rsidR="002435CD" w:rsidRPr="00EA4C9B" w:rsidRDefault="002435CD" w:rsidP="00A13DF5">
            <w:pPr>
              <w:pStyle w:val="Table"/>
              <w:jc w:val="center"/>
              <w:rPr>
                <w:rFonts w:eastAsia="Calibri" w:cstheme="minorHAnsi"/>
                <w:szCs w:val="20"/>
              </w:rPr>
            </w:pPr>
            <w:r w:rsidRPr="00EA4C9B">
              <w:rPr>
                <w:rFonts w:eastAsia="Calibri" w:cstheme="minorHAnsi"/>
                <w:b/>
                <w:szCs w:val="20"/>
              </w:rPr>
              <w:t>Average annual revenue (€ million)</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1D861A9C" w14:textId="77777777" w:rsidR="002435CD" w:rsidRPr="00EA4C9B" w:rsidRDefault="002435CD" w:rsidP="00A13DF5">
            <w:pPr>
              <w:pStyle w:val="Table"/>
              <w:jc w:val="center"/>
              <w:rPr>
                <w:rFonts w:eastAsia="Calibri" w:cstheme="minorHAnsi"/>
                <w:szCs w:val="20"/>
              </w:rPr>
            </w:pPr>
            <w:r w:rsidRPr="00EA4C9B">
              <w:rPr>
                <w:rFonts w:eastAsia="Calibri" w:cstheme="minorHAnsi"/>
                <w:b/>
                <w:szCs w:val="20"/>
              </w:rPr>
              <w:t>As share of all waste tax revenues</w:t>
            </w:r>
          </w:p>
        </w:tc>
      </w:tr>
      <w:tr w:rsidR="002435CD" w:rsidRPr="00EA4C9B" w14:paraId="35A35FE0" w14:textId="77777777">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6F5B93C" w14:textId="77777777" w:rsidR="002435CD" w:rsidRPr="00EA4C9B" w:rsidRDefault="002435CD" w:rsidP="00E74F8E">
            <w:pPr>
              <w:pStyle w:val="Table"/>
              <w:rPr>
                <w:rFonts w:eastAsia="Calibri" w:cstheme="minorHAnsi"/>
                <w:szCs w:val="20"/>
              </w:rPr>
            </w:pPr>
            <w:r w:rsidRPr="00EA4C9B">
              <w:rPr>
                <w:rFonts w:cstheme="minorHAnsi"/>
                <w:szCs w:val="20"/>
              </w:rPr>
              <w:t>Tax on waste</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BD01D44"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354.8</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9FFBE2C"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23.7</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632FA394" w14:textId="77777777" w:rsidR="002435CD" w:rsidRPr="00EA4C9B" w:rsidRDefault="002435CD" w:rsidP="00A13DF5">
            <w:pPr>
              <w:pStyle w:val="Table"/>
              <w:jc w:val="center"/>
              <w:rPr>
                <w:rFonts w:eastAsia="Calibri" w:cstheme="minorHAnsi"/>
                <w:szCs w:val="20"/>
              </w:rPr>
            </w:pPr>
            <w:r w:rsidRPr="00EA4C9B">
              <w:rPr>
                <w:rFonts w:eastAsia="Calibri" w:cstheme="minorHAnsi"/>
                <w:szCs w:val="20"/>
              </w:rPr>
              <w:t>42.6%</w:t>
            </w:r>
          </w:p>
        </w:tc>
      </w:tr>
      <w:tr w:rsidR="002435CD" w:rsidRPr="00EA4C9B" w14:paraId="612CC8F6" w14:textId="77777777">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7A1D88F" w14:textId="77777777" w:rsidR="002435CD" w:rsidRPr="00EA4C9B" w:rsidRDefault="002435CD" w:rsidP="00E74F8E">
            <w:pPr>
              <w:pStyle w:val="Table"/>
              <w:rPr>
                <w:rFonts w:eastAsia="Calibri" w:cstheme="minorHAnsi"/>
                <w:szCs w:val="20"/>
              </w:rPr>
            </w:pPr>
            <w:r w:rsidRPr="0DB99A64">
              <w:rPr>
                <w:szCs w:val="20"/>
              </w:rPr>
              <w:t>Waste incineration</w:t>
            </w:r>
            <w:r w:rsidRPr="0DB99A64">
              <w:rPr>
                <w:rStyle w:val="FootnoteReference"/>
                <w:szCs w:val="20"/>
              </w:rPr>
              <w:footnoteReference w:id="830"/>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6FDCB06"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127.2</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162A6A9"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31.8</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40A05013" w14:textId="77777777" w:rsidR="002435CD" w:rsidRPr="00EA4C9B" w:rsidRDefault="002435CD" w:rsidP="00A13DF5">
            <w:pPr>
              <w:pStyle w:val="Table"/>
              <w:jc w:val="center"/>
              <w:rPr>
                <w:rFonts w:eastAsia="Calibri" w:cstheme="minorHAnsi"/>
                <w:szCs w:val="20"/>
              </w:rPr>
            </w:pPr>
            <w:r w:rsidRPr="00EA4C9B">
              <w:rPr>
                <w:rFonts w:eastAsia="Calibri" w:cstheme="minorHAnsi"/>
                <w:szCs w:val="20"/>
              </w:rPr>
              <w:t>57.3%</w:t>
            </w:r>
          </w:p>
        </w:tc>
      </w:tr>
    </w:tbl>
    <w:p w14:paraId="0E26656E" w14:textId="77777777" w:rsidR="002435CD" w:rsidRPr="00EA4C9B" w:rsidRDefault="002435CD" w:rsidP="009E1B64">
      <w:pPr>
        <w:pStyle w:val="Bulletlist"/>
        <w:numPr>
          <w:ilvl w:val="0"/>
          <w:numId w:val="0"/>
        </w:num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41"/>
        <w:gridCol w:w="2241"/>
        <w:gridCol w:w="2241"/>
        <w:gridCol w:w="2241"/>
      </w:tblGrid>
      <w:tr w:rsidR="002435CD" w:rsidRPr="00EA4C9B" w14:paraId="189EC36A" w14:textId="77777777">
        <w:trPr>
          <w:trHeight w:val="300"/>
        </w:trPr>
        <w:tc>
          <w:tcPr>
            <w:tcW w:w="8964" w:type="dxa"/>
            <w:gridSpan w:val="4"/>
            <w:tcBorders>
              <w:top w:val="single" w:sz="6" w:space="0" w:color="auto"/>
              <w:left w:val="single" w:sz="6" w:space="0" w:color="auto"/>
              <w:bottom w:val="single" w:sz="6" w:space="0" w:color="auto"/>
              <w:right w:val="single" w:sz="6" w:space="0" w:color="auto"/>
            </w:tcBorders>
            <w:shd w:val="clear" w:color="auto" w:fill="003399"/>
            <w:tcMar>
              <w:left w:w="105" w:type="dxa"/>
              <w:right w:w="105" w:type="dxa"/>
            </w:tcMar>
          </w:tcPr>
          <w:p w14:paraId="720DDB30" w14:textId="6711DA05" w:rsidR="002435CD" w:rsidRPr="00E74F8E" w:rsidRDefault="002435CD" w:rsidP="00E74F8E">
            <w:pPr>
              <w:pStyle w:val="Table"/>
              <w:rPr>
                <w:rFonts w:eastAsia="Calibri" w:cstheme="minorHAnsi"/>
                <w:b/>
                <w:color w:val="FFFFFF" w:themeColor="background1"/>
                <w:szCs w:val="20"/>
              </w:rPr>
            </w:pPr>
            <w:bookmarkStart w:id="327" w:name="_Hlk199424504"/>
            <w:r w:rsidRPr="00E74F8E">
              <w:rPr>
                <w:b/>
                <w:color w:val="FFFFFF" w:themeColor="background1"/>
              </w:rPr>
              <w:t xml:space="preserve">Table </w:t>
            </w:r>
            <w:r w:rsidR="00490085">
              <w:rPr>
                <w:b/>
                <w:color w:val="FFFFFF" w:themeColor="background1"/>
              </w:rPr>
              <w:t>A6</w:t>
            </w:r>
            <w:r w:rsidR="00E74F8E" w:rsidRPr="00E74F8E">
              <w:rPr>
                <w:b/>
                <w:bCs/>
                <w:color w:val="FFFFFF" w:themeColor="background1"/>
              </w:rPr>
              <w:t>-</w:t>
            </w:r>
            <w:r w:rsidR="00E74F8E" w:rsidRPr="00E74F8E">
              <w:rPr>
                <w:b/>
                <w:bCs/>
                <w:color w:val="FFFFFF" w:themeColor="background1"/>
              </w:rPr>
              <w:fldChar w:fldCharType="begin"/>
            </w:r>
            <w:r w:rsidR="00E74F8E" w:rsidRPr="00E74F8E">
              <w:rPr>
                <w:b/>
                <w:bCs/>
                <w:color w:val="FFFFFF" w:themeColor="background1"/>
              </w:rPr>
              <w:instrText xml:space="preserve"> SEQ Table_A5- \* ARABIC </w:instrText>
            </w:r>
            <w:r w:rsidR="00E74F8E" w:rsidRPr="00E74F8E">
              <w:rPr>
                <w:b/>
                <w:bCs/>
                <w:color w:val="FFFFFF" w:themeColor="background1"/>
              </w:rPr>
              <w:fldChar w:fldCharType="separate"/>
            </w:r>
            <w:r w:rsidR="00EA31D0">
              <w:rPr>
                <w:b/>
                <w:bCs/>
                <w:noProof/>
                <w:color w:val="FFFFFF" w:themeColor="background1"/>
              </w:rPr>
              <w:t>138</w:t>
            </w:r>
            <w:r w:rsidR="00E74F8E" w:rsidRPr="00E74F8E">
              <w:rPr>
                <w:b/>
                <w:bCs/>
                <w:color w:val="FFFFFF" w:themeColor="background1"/>
              </w:rPr>
              <w:fldChar w:fldCharType="end"/>
            </w:r>
            <w:r w:rsidRPr="00E74F8E">
              <w:rPr>
                <w:rFonts w:eastAsia="Calibri" w:cstheme="minorHAnsi"/>
                <w:b/>
                <w:color w:val="FFFFFF" w:themeColor="background1"/>
                <w:szCs w:val="20"/>
              </w:rPr>
              <w:t>:  Resource taxes </w:t>
            </w:r>
          </w:p>
        </w:tc>
      </w:tr>
      <w:tr w:rsidR="002435CD" w:rsidRPr="00EA4C9B" w14:paraId="1F0CDDFA" w14:textId="77777777">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1DBB8078" w14:textId="77777777" w:rsidR="002435CD" w:rsidRPr="00EA4C9B" w:rsidRDefault="002435CD" w:rsidP="00E74F8E">
            <w:pPr>
              <w:pStyle w:val="Table"/>
              <w:rPr>
                <w:rFonts w:eastAsia="Calibri" w:cstheme="minorHAnsi"/>
                <w:szCs w:val="20"/>
              </w:rPr>
            </w:pPr>
            <w:r w:rsidRPr="00EA4C9B">
              <w:rPr>
                <w:rFonts w:eastAsia="Calibri" w:cstheme="minorHAnsi"/>
                <w:b/>
                <w:szCs w:val="20"/>
              </w:rPr>
              <w:t>Tax Name</w:t>
            </w:r>
            <w:r w:rsidRPr="00EA4C9B">
              <w:rPr>
                <w:rFonts w:eastAsia="Calibri" w:cstheme="minorHAnsi"/>
                <w:szCs w:val="20"/>
              </w:rPr>
              <w:t> </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3D3C2F98" w14:textId="77777777" w:rsidR="002435CD" w:rsidRPr="00EA4C9B" w:rsidRDefault="002435CD" w:rsidP="00A13DF5">
            <w:pPr>
              <w:pStyle w:val="Table"/>
              <w:jc w:val="center"/>
              <w:rPr>
                <w:rFonts w:eastAsia="Calibri" w:cstheme="minorHAnsi"/>
                <w:szCs w:val="20"/>
              </w:rPr>
            </w:pPr>
            <w:r w:rsidRPr="00EA4C9B">
              <w:rPr>
                <w:rFonts w:eastAsia="Calibri" w:cstheme="minorHAnsi"/>
                <w:b/>
                <w:szCs w:val="20"/>
              </w:rPr>
              <w:t>Revenue (€ million)</w:t>
            </w:r>
          </w:p>
          <w:p w14:paraId="48FAB64E" w14:textId="77777777" w:rsidR="002435CD" w:rsidRPr="00EA4C9B" w:rsidRDefault="002435CD" w:rsidP="00A13DF5">
            <w:pPr>
              <w:pStyle w:val="Table"/>
              <w:jc w:val="center"/>
              <w:rPr>
                <w:rFonts w:eastAsia="Calibri" w:cstheme="minorHAnsi"/>
                <w:szCs w:val="20"/>
              </w:rPr>
            </w:pPr>
            <w:r w:rsidRPr="00EA4C9B">
              <w:rPr>
                <w:rFonts w:eastAsia="Calibri" w:cstheme="minorHAnsi"/>
                <w:b/>
                <w:szCs w:val="20"/>
              </w:rPr>
              <w:t>2009-2023</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5530B13E" w14:textId="77777777" w:rsidR="002435CD" w:rsidRPr="00EA4C9B" w:rsidRDefault="002435CD" w:rsidP="00A13DF5">
            <w:pPr>
              <w:pStyle w:val="Table"/>
              <w:jc w:val="center"/>
              <w:rPr>
                <w:rFonts w:eastAsia="Calibri" w:cstheme="minorHAnsi"/>
                <w:szCs w:val="20"/>
              </w:rPr>
            </w:pPr>
            <w:r w:rsidRPr="00EA4C9B">
              <w:rPr>
                <w:rFonts w:eastAsia="Calibri" w:cstheme="minorHAnsi"/>
                <w:b/>
                <w:szCs w:val="20"/>
              </w:rPr>
              <w:t>Average annual revenue (€ million)</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480C685F" w14:textId="77777777" w:rsidR="002435CD" w:rsidRPr="00EA4C9B" w:rsidRDefault="002435CD" w:rsidP="00A13DF5">
            <w:pPr>
              <w:pStyle w:val="Table"/>
              <w:jc w:val="center"/>
              <w:rPr>
                <w:rFonts w:eastAsia="Calibri" w:cstheme="minorHAnsi"/>
                <w:szCs w:val="20"/>
              </w:rPr>
            </w:pPr>
            <w:r w:rsidRPr="00EA4C9B">
              <w:rPr>
                <w:rFonts w:eastAsia="Calibri" w:cstheme="minorHAnsi"/>
                <w:b/>
                <w:szCs w:val="20"/>
              </w:rPr>
              <w:t>As share of all resource tax revenues</w:t>
            </w:r>
          </w:p>
        </w:tc>
      </w:tr>
      <w:tr w:rsidR="002435CD" w:rsidRPr="00EA4C9B" w14:paraId="20BC97CC" w14:textId="77777777">
        <w:trPr>
          <w:trHeight w:val="300"/>
        </w:trPr>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BAC9503" w14:textId="77777777" w:rsidR="002435CD" w:rsidRPr="00EA4C9B" w:rsidRDefault="002435CD" w:rsidP="00E74F8E">
            <w:pPr>
              <w:pStyle w:val="Table"/>
              <w:rPr>
                <w:rFonts w:eastAsia="Calibri" w:cstheme="minorHAnsi"/>
                <w:szCs w:val="20"/>
              </w:rPr>
            </w:pPr>
            <w:r w:rsidRPr="00EA4C9B">
              <w:rPr>
                <w:rFonts w:cstheme="minorHAnsi"/>
                <w:szCs w:val="20"/>
              </w:rPr>
              <w:t>Tax on gravel</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6DD8216"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219.0</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AD45258" w14:textId="77777777" w:rsidR="002435CD" w:rsidRPr="00EA4C9B" w:rsidRDefault="002435CD" w:rsidP="00A13DF5">
            <w:pPr>
              <w:pStyle w:val="Table"/>
              <w:jc w:val="center"/>
              <w:rPr>
                <w:rFonts w:eastAsia="Calibri" w:cstheme="minorHAnsi"/>
                <w:szCs w:val="20"/>
              </w:rPr>
            </w:pPr>
            <w:r w:rsidRPr="00EA4C9B">
              <w:rPr>
                <w:rFonts w:cstheme="minorHAnsi"/>
                <w:color w:val="000000"/>
                <w:szCs w:val="20"/>
              </w:rPr>
              <w:t>14.6</w:t>
            </w:r>
          </w:p>
        </w:tc>
        <w:tc>
          <w:tcPr>
            <w:tcW w:w="2241" w:type="dxa"/>
            <w:tcBorders>
              <w:top w:val="single" w:sz="6" w:space="0" w:color="auto"/>
              <w:left w:val="single" w:sz="6" w:space="0" w:color="auto"/>
              <w:bottom w:val="single" w:sz="6" w:space="0" w:color="auto"/>
              <w:right w:val="single" w:sz="6" w:space="0" w:color="auto"/>
            </w:tcBorders>
            <w:tcMar>
              <w:left w:w="105" w:type="dxa"/>
              <w:right w:w="105" w:type="dxa"/>
            </w:tcMar>
          </w:tcPr>
          <w:p w14:paraId="6E67D754" w14:textId="77777777" w:rsidR="002435CD" w:rsidRPr="00EA4C9B" w:rsidRDefault="002435CD" w:rsidP="00A13DF5">
            <w:pPr>
              <w:pStyle w:val="Table"/>
              <w:jc w:val="center"/>
              <w:rPr>
                <w:rFonts w:eastAsia="Calibri" w:cstheme="minorHAnsi"/>
                <w:szCs w:val="20"/>
              </w:rPr>
            </w:pPr>
            <w:r w:rsidRPr="00EA4C9B">
              <w:rPr>
                <w:rFonts w:eastAsia="Calibri" w:cstheme="minorHAnsi"/>
                <w:szCs w:val="20"/>
              </w:rPr>
              <w:t>100%</w:t>
            </w:r>
          </w:p>
        </w:tc>
      </w:tr>
      <w:bookmarkEnd w:id="327"/>
    </w:tbl>
    <w:p w14:paraId="7E181E55" w14:textId="77777777" w:rsidR="002435CD" w:rsidRPr="00EA4C9B" w:rsidRDefault="002435CD" w:rsidP="009E1B64">
      <w:pPr>
        <w:pStyle w:val="Bulletlist"/>
        <w:numPr>
          <w:ilvl w:val="0"/>
          <w:numId w:val="0"/>
        </w:numPr>
      </w:pP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797"/>
        <w:gridCol w:w="2865"/>
        <w:gridCol w:w="3348"/>
      </w:tblGrid>
      <w:tr w:rsidR="002435CD" w:rsidRPr="00EA4C9B" w14:paraId="787E77ED" w14:textId="77777777" w:rsidTr="00AF1B60">
        <w:trPr>
          <w:trHeight w:val="300"/>
        </w:trPr>
        <w:tc>
          <w:tcPr>
            <w:tcW w:w="5000" w:type="pct"/>
            <w:gridSpan w:val="3"/>
            <w:tcBorders>
              <w:top w:val="single" w:sz="6" w:space="0" w:color="auto"/>
              <w:left w:val="single" w:sz="6" w:space="0" w:color="auto"/>
              <w:bottom w:val="single" w:sz="6" w:space="0" w:color="auto"/>
              <w:right w:val="single" w:sz="6" w:space="0" w:color="auto"/>
            </w:tcBorders>
            <w:shd w:val="clear" w:color="auto" w:fill="003399"/>
            <w:tcMar>
              <w:left w:w="105" w:type="dxa"/>
              <w:right w:w="105" w:type="dxa"/>
            </w:tcMar>
          </w:tcPr>
          <w:p w14:paraId="7E50B00A" w14:textId="79254405" w:rsidR="002435CD" w:rsidRPr="00E74F8E" w:rsidRDefault="002435CD" w:rsidP="00E74F8E">
            <w:pPr>
              <w:pStyle w:val="Table"/>
              <w:rPr>
                <w:b/>
              </w:rPr>
            </w:pPr>
            <w:r w:rsidRPr="00E74F8E">
              <w:rPr>
                <w:b/>
                <w:color w:val="FFFFFF" w:themeColor="background1"/>
              </w:rPr>
              <w:t xml:space="preserve">Table </w:t>
            </w:r>
            <w:r w:rsidR="00490085">
              <w:rPr>
                <w:b/>
                <w:color w:val="FFFFFF" w:themeColor="background1"/>
              </w:rPr>
              <w:t>A6</w:t>
            </w:r>
            <w:r w:rsidR="00E74F8E" w:rsidRPr="00E74F8E">
              <w:rPr>
                <w:b/>
                <w:bCs/>
                <w:color w:val="FFFFFF" w:themeColor="background1"/>
              </w:rPr>
              <w:t>-</w:t>
            </w:r>
            <w:r w:rsidR="00E74F8E" w:rsidRPr="00E74F8E">
              <w:rPr>
                <w:b/>
                <w:bCs/>
                <w:color w:val="FFFFFF" w:themeColor="background1"/>
              </w:rPr>
              <w:fldChar w:fldCharType="begin"/>
            </w:r>
            <w:r w:rsidR="00E74F8E" w:rsidRPr="00E74F8E">
              <w:rPr>
                <w:b/>
                <w:bCs/>
                <w:color w:val="FFFFFF" w:themeColor="background1"/>
              </w:rPr>
              <w:instrText xml:space="preserve"> SEQ Table_A5- \* ARABIC </w:instrText>
            </w:r>
            <w:r w:rsidR="00E74F8E" w:rsidRPr="00E74F8E">
              <w:rPr>
                <w:b/>
                <w:bCs/>
                <w:color w:val="FFFFFF" w:themeColor="background1"/>
              </w:rPr>
              <w:fldChar w:fldCharType="separate"/>
            </w:r>
            <w:r w:rsidR="00EA31D0">
              <w:rPr>
                <w:b/>
                <w:bCs/>
                <w:noProof/>
                <w:color w:val="FFFFFF" w:themeColor="background1"/>
              </w:rPr>
              <w:t>139</w:t>
            </w:r>
            <w:r w:rsidR="00E74F8E" w:rsidRPr="00E74F8E">
              <w:rPr>
                <w:b/>
                <w:bCs/>
                <w:color w:val="FFFFFF" w:themeColor="background1"/>
              </w:rPr>
              <w:fldChar w:fldCharType="end"/>
            </w:r>
            <w:r w:rsidRPr="00E74F8E">
              <w:rPr>
                <w:b/>
                <w:color w:val="FFFFFF" w:themeColor="background1"/>
              </w:rPr>
              <w:t>:  Other environmental taxes not reported in the National Tax Lists  </w:t>
            </w:r>
          </w:p>
        </w:tc>
      </w:tr>
      <w:tr w:rsidR="002435CD" w:rsidRPr="00EA4C9B" w14:paraId="331007AA" w14:textId="77777777" w:rsidTr="002D122C">
        <w:trPr>
          <w:trHeight w:val="108"/>
        </w:trPr>
        <w:tc>
          <w:tcPr>
            <w:tcW w:w="1552" w:type="pct"/>
            <w:tcBorders>
              <w:top w:val="single" w:sz="6" w:space="0" w:color="auto"/>
              <w:left w:val="single" w:sz="6" w:space="0" w:color="auto"/>
              <w:bottom w:val="single" w:sz="6" w:space="0" w:color="auto"/>
              <w:right w:val="single" w:sz="6" w:space="0" w:color="auto"/>
            </w:tcBorders>
            <w:tcMar>
              <w:left w:w="105" w:type="dxa"/>
              <w:right w:w="105" w:type="dxa"/>
            </w:tcMar>
          </w:tcPr>
          <w:p w14:paraId="26CBA886" w14:textId="77777777" w:rsidR="002435CD" w:rsidRPr="00E74F8E" w:rsidRDefault="002435CD" w:rsidP="00E74F8E">
            <w:pPr>
              <w:pStyle w:val="Table"/>
              <w:rPr>
                <w:b/>
              </w:rPr>
            </w:pPr>
            <w:r w:rsidRPr="00E74F8E">
              <w:rPr>
                <w:b/>
              </w:rPr>
              <w:t>Tax Name </w:t>
            </w:r>
          </w:p>
        </w:tc>
        <w:tc>
          <w:tcPr>
            <w:tcW w:w="1590" w:type="pct"/>
            <w:tcBorders>
              <w:top w:val="single" w:sz="6" w:space="0" w:color="auto"/>
              <w:left w:val="single" w:sz="6" w:space="0" w:color="auto"/>
              <w:bottom w:val="single" w:sz="6" w:space="0" w:color="auto"/>
              <w:right w:val="single" w:sz="6" w:space="0" w:color="auto"/>
            </w:tcBorders>
            <w:tcMar>
              <w:left w:w="105" w:type="dxa"/>
              <w:right w:w="105" w:type="dxa"/>
            </w:tcMar>
          </w:tcPr>
          <w:p w14:paraId="7FE1BA70" w14:textId="32EE7A5A" w:rsidR="002435CD" w:rsidRPr="002D122C" w:rsidRDefault="002435CD" w:rsidP="002D122C">
            <w:pPr>
              <w:pStyle w:val="Table"/>
              <w:jc w:val="center"/>
              <w:rPr>
                <w:rFonts w:eastAsia="Calibri" w:cstheme="minorHAnsi"/>
                <w:szCs w:val="20"/>
              </w:rPr>
            </w:pPr>
            <w:r w:rsidRPr="00E74F8E">
              <w:rPr>
                <w:b/>
              </w:rPr>
              <w:t>Revenue (€ million)</w:t>
            </w:r>
            <w:r w:rsidR="002D122C">
              <w:rPr>
                <w:b/>
              </w:rPr>
              <w:t xml:space="preserve"> </w:t>
            </w:r>
            <w:r w:rsidRPr="00E74F8E">
              <w:rPr>
                <w:b/>
              </w:rPr>
              <w:t>2009-2023</w:t>
            </w:r>
          </w:p>
        </w:tc>
        <w:tc>
          <w:tcPr>
            <w:tcW w:w="1858" w:type="pct"/>
            <w:tcBorders>
              <w:top w:val="single" w:sz="6" w:space="0" w:color="auto"/>
              <w:left w:val="single" w:sz="6" w:space="0" w:color="auto"/>
              <w:bottom w:val="single" w:sz="6" w:space="0" w:color="auto"/>
              <w:right w:val="single" w:sz="6" w:space="0" w:color="auto"/>
            </w:tcBorders>
            <w:tcMar>
              <w:left w:w="105" w:type="dxa"/>
              <w:right w:w="105" w:type="dxa"/>
            </w:tcMar>
          </w:tcPr>
          <w:p w14:paraId="11BA4C5B" w14:textId="77777777" w:rsidR="002435CD" w:rsidRPr="00E74F8E" w:rsidRDefault="002435CD" w:rsidP="00AF1B60">
            <w:pPr>
              <w:pStyle w:val="Table"/>
              <w:jc w:val="center"/>
              <w:rPr>
                <w:b/>
              </w:rPr>
            </w:pPr>
            <w:r w:rsidRPr="00E74F8E">
              <w:rPr>
                <w:b/>
              </w:rPr>
              <w:t>Average annual revenue (€ million)</w:t>
            </w:r>
          </w:p>
        </w:tc>
      </w:tr>
      <w:tr w:rsidR="002435CD" w:rsidRPr="00EA4C9B" w14:paraId="75BBAD99" w14:textId="77777777" w:rsidTr="002D122C">
        <w:trPr>
          <w:trHeight w:val="300"/>
        </w:trPr>
        <w:tc>
          <w:tcPr>
            <w:tcW w:w="1552"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902DEFA" w14:textId="77777777" w:rsidR="002435CD" w:rsidRPr="00EA4C9B" w:rsidRDefault="002435CD" w:rsidP="00E74F8E">
            <w:pPr>
              <w:pStyle w:val="Table"/>
            </w:pPr>
            <w:r w:rsidRPr="00EA4C9B">
              <w:t xml:space="preserve">Excise duty – Sulphur tax </w:t>
            </w:r>
          </w:p>
        </w:tc>
        <w:tc>
          <w:tcPr>
            <w:tcW w:w="1590"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E30C49B" w14:textId="77777777" w:rsidR="002435CD" w:rsidRPr="00EA4C9B" w:rsidRDefault="002435CD" w:rsidP="00AF1B60">
            <w:pPr>
              <w:pStyle w:val="Table"/>
              <w:jc w:val="center"/>
            </w:pPr>
            <w:r w:rsidRPr="00EA4C9B">
              <w:rPr>
                <w:color w:val="000000"/>
              </w:rPr>
              <w:t>25.6</w:t>
            </w:r>
          </w:p>
        </w:tc>
        <w:tc>
          <w:tcPr>
            <w:tcW w:w="1858" w:type="pct"/>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FF35975" w14:textId="77777777" w:rsidR="002435CD" w:rsidRPr="00EA4C9B" w:rsidRDefault="002435CD" w:rsidP="00AF1B60">
            <w:pPr>
              <w:pStyle w:val="Table"/>
              <w:jc w:val="center"/>
            </w:pPr>
            <w:r w:rsidRPr="00EA4C9B">
              <w:rPr>
                <w:color w:val="000000"/>
              </w:rPr>
              <w:t>1.7</w:t>
            </w:r>
          </w:p>
        </w:tc>
      </w:tr>
    </w:tbl>
    <w:p w14:paraId="3BFFCD74" w14:textId="77777777" w:rsidR="002435CD" w:rsidRPr="00EA4C9B" w:rsidRDefault="002435CD" w:rsidP="009E1B64">
      <w:pPr>
        <w:pStyle w:val="Bulletlist"/>
        <w:numPr>
          <w:ilvl w:val="0"/>
          <w:numId w:val="0"/>
        </w:numPr>
      </w:pPr>
    </w:p>
    <w:p w14:paraId="5F79B32E" w14:textId="332C8A5D" w:rsidR="002435CD" w:rsidRPr="00EA4C9B" w:rsidRDefault="002435CD" w:rsidP="002435CD">
      <w:r w:rsidRPr="00EA4C9B">
        <w:rPr>
          <w:b/>
          <w:bCs/>
        </w:rPr>
        <w:t>A tax on</w:t>
      </w:r>
      <w:r w:rsidRPr="00EA4C9B">
        <w:t xml:space="preserve"> </w:t>
      </w:r>
      <w:r w:rsidRPr="00EA4C9B">
        <w:rPr>
          <w:b/>
          <w:bCs/>
        </w:rPr>
        <w:t>pesticides</w:t>
      </w:r>
      <w:r w:rsidRPr="00EA4C9B">
        <w:t xml:space="preserve"> (“Skatt på bekämpningsmedel”) currently applies in Sweden and has been in place since 1995. </w:t>
      </w:r>
      <w:r w:rsidRPr="00EA4C9B">
        <w:rPr>
          <w:rFonts w:ascii="Calibri" w:hAnsi="Calibri" w:cs="Calibri"/>
        </w:rPr>
        <w:t>Sweden was one of the first countries to introduce such as tax, which was first imposed as a fee, and in 1995 changed to a tax</w:t>
      </w:r>
      <w:r w:rsidRPr="00EA4C9B">
        <w:rPr>
          <w:rFonts w:ascii="Calibri" w:hAnsi="Calibri" w:cs="Calibri"/>
          <w:vertAlign w:val="superscript"/>
        </w:rPr>
        <w:footnoteReference w:id="831"/>
      </w:r>
      <w:r w:rsidR="00AF1B60">
        <w:rPr>
          <w:rFonts w:ascii="Calibri" w:hAnsi="Calibri" w:cs="Calibri"/>
          <w:vertAlign w:val="superscript"/>
        </w:rPr>
        <w:t>,</w:t>
      </w:r>
      <w:r w:rsidRPr="00EA4C9B">
        <w:rPr>
          <w:rStyle w:val="FootnoteReference"/>
          <w:rFonts w:ascii="Calibri" w:hAnsi="Calibri" w:cs="Calibri"/>
        </w:rPr>
        <w:footnoteReference w:id="832"/>
      </w:r>
      <w:r w:rsidRPr="00EA4C9B">
        <w:rPr>
          <w:rFonts w:ascii="Calibri" w:hAnsi="Calibri" w:cs="Calibri"/>
        </w:rPr>
        <w:t>. Until 1995, the financial means of the fee were used for agri-environmental programs aiming to reduce pesticide application and to promote integrated pest management. After, 1995 the revenue has been directly allocated to the general budget</w:t>
      </w:r>
      <w:r w:rsidRPr="00EA4C9B">
        <w:rPr>
          <w:rStyle w:val="FootnoteReference"/>
          <w:rFonts w:ascii="Calibri" w:hAnsi="Calibri" w:cs="Calibri"/>
        </w:rPr>
        <w:footnoteReference w:id="833"/>
      </w:r>
      <w:r w:rsidRPr="00EA4C9B">
        <w:rPr>
          <w:rFonts w:ascii="Calibri" w:hAnsi="Calibri" w:cs="Calibri"/>
        </w:rPr>
        <w:t xml:space="preserve">. </w:t>
      </w:r>
      <w:r w:rsidRPr="00EA4C9B">
        <w:t>The tax is payable by all manufacturers and importers of pesticides and is paid on an annual basis. Pesticides according to the Pesticide Tax Act are defined as substances or preparations intended to be used for protection against property damage or harm to human health caused by plants, animals, bacteria or viruses. Excluded are goods intended for use in the preparation of food, medicines, or other comparable products, as well as paints, varnishes, tars, and other goods primarily used for different purposes - unless these goods are labelled by a special name or otherwise indicated as intended for use as pesticides. Wood preservatives and vinegar are also exempt. Biological plant protection products are also currently not covered</w:t>
      </w:r>
      <w:r w:rsidRPr="00EA4C9B">
        <w:rPr>
          <w:rStyle w:val="FootnoteReference"/>
        </w:rPr>
        <w:footnoteReference w:id="834"/>
      </w:r>
      <w:r w:rsidRPr="00EA4C9B">
        <w:t>. A tax rate of SEK 34 (€3)</w:t>
      </w:r>
      <w:r w:rsidR="0028411C">
        <w:rPr>
          <w:rStyle w:val="FootnoteReference"/>
        </w:rPr>
        <w:footnoteReference w:id="835"/>
      </w:r>
      <w:r w:rsidRPr="00EA4C9B">
        <w:t xml:space="preserve"> per kilogram of active ingredient </w:t>
      </w:r>
      <w:r w:rsidRPr="00EA4C9B">
        <w:lastRenderedPageBreak/>
        <w:t xml:space="preserve">of the pesticide applies, set by the Central Authority. Between the years 2009-2023, average revenue from the tax was EUR 11.8 million. </w:t>
      </w:r>
    </w:p>
    <w:p w14:paraId="5ADBD5F5" w14:textId="77777777" w:rsidR="002435CD" w:rsidRPr="00EA4C9B" w:rsidRDefault="002435CD" w:rsidP="002435CD">
      <w:r w:rsidRPr="00EA4C9B">
        <w:t>The liability to pay the tax arises when:</w:t>
      </w:r>
    </w:p>
    <w:p w14:paraId="3EAC0793" w14:textId="77777777" w:rsidR="002435CD" w:rsidRPr="00EA4C9B" w:rsidRDefault="002435CD" w:rsidP="009E1B64">
      <w:pPr>
        <w:pStyle w:val="Bulletlist"/>
      </w:pPr>
      <w:r w:rsidRPr="00EA4C9B">
        <w:t xml:space="preserve">a pesticide is delivered to a buyer, </w:t>
      </w:r>
    </w:p>
    <w:p w14:paraId="68AB57A2" w14:textId="77777777" w:rsidR="002435CD" w:rsidRPr="00EA4C9B" w:rsidRDefault="002435CD" w:rsidP="009E1B64">
      <w:pPr>
        <w:pStyle w:val="Bulletlist"/>
      </w:pPr>
      <w:r w:rsidRPr="00EA4C9B">
        <w:t xml:space="preserve">a pesticide is used for other purposes than sale, </w:t>
      </w:r>
    </w:p>
    <w:p w14:paraId="104DDBC3" w14:textId="77777777" w:rsidR="002435CD" w:rsidRPr="00EA4C9B" w:rsidRDefault="002435CD" w:rsidP="009E1B64">
      <w:pPr>
        <w:pStyle w:val="Bulletlist"/>
      </w:pPr>
      <w:r w:rsidRPr="00EA4C9B">
        <w:t>the entity liable to pay tax is de-registered and the liability is not thereby transferred to another entity,</w:t>
      </w:r>
    </w:p>
    <w:p w14:paraId="15F48FA0" w14:textId="77777777" w:rsidR="002435CD" w:rsidRPr="00EA4C9B" w:rsidRDefault="002435CD" w:rsidP="009E1B64">
      <w:pPr>
        <w:pStyle w:val="Bulletlist"/>
      </w:pPr>
      <w:r w:rsidRPr="00EA4C9B">
        <w:t>the business imports a pesticide</w:t>
      </w:r>
      <w:r w:rsidRPr="00EA4C9B">
        <w:rPr>
          <w:rStyle w:val="FootnoteReference"/>
        </w:rPr>
        <w:footnoteReference w:id="836"/>
      </w:r>
      <w:r w:rsidRPr="00EA4C9B">
        <w:t xml:space="preserve">. </w:t>
      </w:r>
    </w:p>
    <w:p w14:paraId="6236A10C" w14:textId="77777777" w:rsidR="002435CD" w:rsidRPr="00EA4C9B" w:rsidRDefault="002435CD" w:rsidP="002435CD">
      <w:r w:rsidRPr="00EA4C9B">
        <w:t>A 2017 paper</w:t>
      </w:r>
      <w:r w:rsidRPr="00EA4C9B">
        <w:rPr>
          <w:rStyle w:val="FootnoteReference"/>
        </w:rPr>
        <w:footnoteReference w:id="837"/>
      </w:r>
      <w:r w:rsidRPr="00EA4C9B">
        <w:t xml:space="preserve"> investigated whether the pesticide tax was effective on plant protection products. They state that the evidence suggests the tax had a limited effect on the use of such products and since the mid-1990s the amount of active ingredient sold has remained stable. Furthermore, according to the latest publication on ‘statistics on quantities of pesticides sold’ provided by the Swedish Chemicals Agency</w:t>
      </w:r>
      <w:r w:rsidRPr="00EA4C9B">
        <w:rPr>
          <w:rStyle w:val="FootnoteReference"/>
        </w:rPr>
        <w:footnoteReference w:id="838"/>
      </w:r>
      <w:r w:rsidRPr="00EA4C9B">
        <w:t xml:space="preserve"> a total of 10,018 tonnes of chemical pesticides (calculated as active substance) were sold in Sweden in 2021. This is an increase of 636 tonnes, which corresponds to an increase of 7% compared to 2020. The majority of pesticides (78%) were sold to industry, primarily for wood treatment using pressure and vacuum technology</w:t>
      </w:r>
      <w:r w:rsidRPr="00EA4C9B">
        <w:rPr>
          <w:rStyle w:val="FootnoteReference"/>
        </w:rPr>
        <w:footnoteReference w:id="839"/>
      </w:r>
      <w:r w:rsidRPr="00EA4C9B">
        <w:t xml:space="preserve">. </w:t>
      </w:r>
    </w:p>
    <w:p w14:paraId="64CD44D7" w14:textId="77777777" w:rsidR="002435CD" w:rsidRPr="00EA4C9B" w:rsidRDefault="002435CD" w:rsidP="002435CD">
      <w:r w:rsidRPr="00EA4C9B">
        <w:t xml:space="preserve">As well as sales of active substances, Statistics Sweden annually calculates the number of hectare doses that are sufficient for the quantities of various plant protection products sold to the agricultural sector. Calculating number of hectare doses reduces the effects of changes in concentration of different products and changes in the effectiveness of active substances. The data showed that the total number of hectare doses sold in 2021 was 5.6 million. This is an increase of 10% compared to 2020 and an increase in the number of hectare doses of 17% compared to the average for the immediately preceding years 2016-2020 (five-year average). </w:t>
      </w:r>
    </w:p>
    <w:p w14:paraId="31D6D322" w14:textId="77777777" w:rsidR="002435CD" w:rsidRPr="00EA4C9B" w:rsidRDefault="002435CD" w:rsidP="002435CD">
      <w:r w:rsidRPr="00EA4C9B">
        <w:t xml:space="preserve">Therefore, the information above suggests that the tax on pesticides isn’t reducing the reliance of pesticide across different sectors. </w:t>
      </w:r>
    </w:p>
    <w:p w14:paraId="196E8FD4" w14:textId="77777777" w:rsidR="002435CD" w:rsidRPr="00EA4C9B" w:rsidRDefault="002435CD" w:rsidP="002435CD">
      <w:r w:rsidRPr="00EA4C9B">
        <w:rPr>
          <w:rFonts w:ascii="Calibri,Bold" w:hAnsi="Calibri,Bold" w:cs="Calibri,Bold"/>
          <w:b/>
          <w:bCs/>
        </w:rPr>
        <w:t>A tax on fertilisers</w:t>
      </w:r>
      <w:r w:rsidRPr="00EA4C9B">
        <w:t xml:space="preserve"> (Handelsgödsel) was introduced in 1984 and remained in place until it was repealed at the end of 2009. Initially, the levy focused on the nitrogen (N) and phosphorus (P) content of mineral fertilisers. However, in 1994, phosphorus was replaced by cadmium (Cd) as a target of the tax. Cadmium is naturally present in phosphate rock in varying amounts, making phosphate-based fertilizers a common source of cadmium contamination in soil. The mineral fertiliser tax was implemented primarily to address health and environmental concerns, particularly to reduce nitrogen runoff into groundwater and the Baltic Sea. </w:t>
      </w:r>
    </w:p>
    <w:p w14:paraId="41906EA3" w14:textId="77777777" w:rsidR="002435CD" w:rsidRPr="00EA4C9B" w:rsidRDefault="002435CD" w:rsidP="002435CD">
      <w:r w:rsidRPr="00EA4C9B">
        <w:t>When the tax was first implemented, nitrogen was taxed at SEK 0.30 per kilogram. This rate was gradually increased, reaching SEK 1.80 per kilogram by 1994, where it remained until the tax was discontinued in 2009. For phosphorus, the tax reached SEK 1.20 per kilogram in 1993. Cadmium was taxed at SEK 30 (EUR 3) per gram, but only when its concentration exceeded 5 grams per ton of phosphorus. Additionally, between 1982 and 1992, a separate price regulation levy was also in effect, which was based on the contents of nitrogen, phosphorus, and potassium (NPK). This charge further raised the overall cost of fertilisers. At its peak in 1991, the combined cost of the price regulation charge and the fertiliser tax resulted in rates of SEK 2.35 (€0.21) per kg of nitrogen and SEK 4.99 (€0.45) per kg of phosphorus.</w:t>
      </w:r>
    </w:p>
    <w:p w14:paraId="5CF14D03" w14:textId="77777777" w:rsidR="002435CD" w:rsidRPr="00EA4C9B" w:rsidRDefault="002435CD" w:rsidP="002435CD">
      <w:r w:rsidRPr="00EA4C9B">
        <w:lastRenderedPageBreak/>
        <w:t>The tax applied to both importers and producers of mineral fertilisers, who were required to register, submit monthly declarations, and pay taxes based on the quantities of fertilisers they distributed. There were no exemptions or options for tax reductions.</w:t>
      </w:r>
    </w:p>
    <w:p w14:paraId="30245836" w14:textId="77777777" w:rsidR="002435CD" w:rsidRPr="00EA4C9B" w:rsidRDefault="002435CD" w:rsidP="002435CD">
      <w:r w:rsidRPr="00EA4C9B">
        <w:t>Between 1984 and 1994, the fertiliser tax was overseen and managed by the National Board of Agriculture. During this period, most of the revenue collected was allocated to research and environmental initiatives administered by the Board. These included investments in fertiliser management infrastructure, advisory services, and targeted information and research programs for the agriculture and forestry sectors.</w:t>
      </w:r>
    </w:p>
    <w:p w14:paraId="7D58ED93" w14:textId="77777777" w:rsidR="002435CD" w:rsidRPr="00EA4C9B" w:rsidRDefault="002435CD" w:rsidP="002435CD">
      <w:r w:rsidRPr="00EA4C9B">
        <w:t>In 1995, the practice of earmarking the tax revenues came to an end. With the removal of the price regulation charge, the fertiliser tax rate was raised, and responsibility for its administration was transferred to the national tax authority. From then on, revenues were directed to the central government budget. Nevertheless, a portion of the funds continued to support environmental improvements in the agricultural sector. The cost of administering and collecting the tax was estimated at around SEK 0.5 million (EUR 50,000) per year.</w:t>
      </w:r>
    </w:p>
    <w:p w14:paraId="579F1810" w14:textId="77777777" w:rsidR="002435CD" w:rsidRPr="00EA4C9B" w:rsidRDefault="002435CD" w:rsidP="002435CD">
      <w:r w:rsidRPr="00EA4C9B">
        <w:t>In the wake of rising global fertiliser prices and the financial crisis of 2008–2009, pressure mounted from the farming sector to eliminate the tax. By 2008, the cost of mineral fertilisers had increased by roughly 15–20%, and the fertiliser tax itself accounted for approximately one-fifth of the overall fertiliser cost.</w:t>
      </w:r>
    </w:p>
    <w:p w14:paraId="0D6AFACD" w14:textId="77777777" w:rsidR="002435CD" w:rsidRPr="00EA4C9B" w:rsidRDefault="002435CD" w:rsidP="002435CD">
      <w:r w:rsidRPr="00EA4C9B">
        <w:t>Proponents of removing the tax argued that its environmental benefits were limited, estimating it prevented around 1,500 tonnes of nitrogen from leaching into the environment each year</w:t>
      </w:r>
      <w:r w:rsidRPr="00EA4C9B">
        <w:rPr>
          <w:rStyle w:val="FootnoteReference"/>
        </w:rPr>
        <w:footnoteReference w:id="840"/>
      </w:r>
      <w:r w:rsidRPr="00EA4C9B">
        <w:t>. However, Sweden’s Environmental Protection Agency (Naturvårdsverket) criticised the proposal to repeal the tax, highlighting the absence of a thorough environmental impact assessment</w:t>
      </w:r>
      <w:r w:rsidRPr="00EA4C9B">
        <w:rPr>
          <w:rStyle w:val="FootnoteReference"/>
        </w:rPr>
        <w:footnoteReference w:id="841"/>
      </w:r>
      <w:r w:rsidRPr="00EA4C9B">
        <w:t>. According to estimates from the National Broad of Agriculture, the tax lowered the optimal fertiliser dose – for instance for wheat from 145 to 135 kgN/ha</w:t>
      </w:r>
      <w:r w:rsidRPr="00EA4C9B">
        <w:rPr>
          <w:rStyle w:val="FootnoteReference"/>
        </w:rPr>
        <w:footnoteReference w:id="842"/>
      </w:r>
      <w:r w:rsidRPr="00EA4C9B">
        <w:t xml:space="preserve">. </w:t>
      </w:r>
    </w:p>
    <w:p w14:paraId="5C244DE8" w14:textId="77777777" w:rsidR="002435CD" w:rsidRPr="00EA4C9B" w:rsidRDefault="002435CD" w:rsidP="002435CD">
      <w:r w:rsidRPr="00EA4C9B">
        <w:t>Ultimately, the fertiliser tax was scrapped in exchange for a rise in the discounted diesel tax rate available to farmers</w:t>
      </w:r>
      <w:r w:rsidRPr="00EA4C9B">
        <w:rPr>
          <w:rStyle w:val="FootnoteReference"/>
        </w:rPr>
        <w:footnoteReference w:id="843"/>
      </w:r>
      <w:r w:rsidRPr="00EA4C9B">
        <w:t>. This shift signalled a change in policy priorities—from focusing on water quality to placing greater emphasis on climate change issues.</w:t>
      </w:r>
    </w:p>
    <w:p w14:paraId="77CDA966" w14:textId="77777777" w:rsidR="002435CD" w:rsidRPr="00EA4C9B" w:rsidRDefault="002435CD" w:rsidP="002435CD">
      <w:r w:rsidRPr="00EA4C9B">
        <w:t>Research published by Sweden’s National Institute of Economic Research in 2014 (NIER)</w:t>
      </w:r>
      <w:r w:rsidRPr="00EA4C9B">
        <w:rPr>
          <w:rStyle w:val="FootnoteReference"/>
        </w:rPr>
        <w:footnoteReference w:id="844"/>
      </w:r>
      <w:r w:rsidRPr="00EA4C9B">
        <w:t xml:space="preserve"> found that a re-introduction of the tax would only lead to an annual reduction in nitrogen use of 10,042 tonnes (6% less then total use) which is mainly due to demand elasticity of fertiliser being relatively inelastic, in other words the demand of fertiliser doesn’t change when the price of the fertiliser changes</w:t>
      </w:r>
      <w:r w:rsidRPr="00EA4C9B">
        <w:rPr>
          <w:rStyle w:val="FootnoteReference"/>
        </w:rPr>
        <w:footnoteReference w:id="845"/>
      </w:r>
      <w:r w:rsidRPr="00EA4C9B">
        <w:t>.  Furthermore, another study found the same, in that, the tax would need to be increased significantly in order to achieve the national reduction targets. However, despite this – a comprehensive inquiry into taxes on fertiliser and pesticides in Sweden published by a government committee in 2003</w:t>
      </w:r>
      <w:r w:rsidRPr="00EA4C9B">
        <w:rPr>
          <w:rStyle w:val="FootnoteReference"/>
        </w:rPr>
        <w:footnoteReference w:id="846"/>
      </w:r>
      <w:r w:rsidRPr="00EA4C9B">
        <w:t xml:space="preserve"> recommended retaining the tax. </w:t>
      </w:r>
    </w:p>
    <w:p w14:paraId="27E8B261" w14:textId="77777777" w:rsidR="002435CD" w:rsidRPr="00EA4C9B" w:rsidRDefault="002435CD" w:rsidP="002435CD">
      <w:r w:rsidRPr="00EA4C9B">
        <w:t xml:space="preserve">During stakeholder consultation, a Swedish tax expert stated that the fertiliser tax should be brought back as there are environmental damages from fertiliser use. Without the tax, no one pays for these </w:t>
      </w:r>
      <w:r w:rsidRPr="00EA4C9B">
        <w:lastRenderedPageBreak/>
        <w:t>damages and therefore there is no incentive to act. However, NIER research cited above suggests that the re-introduction of the tax would not have an impact on quantity of fertiliser used.</w:t>
      </w:r>
    </w:p>
    <w:p w14:paraId="2510048A" w14:textId="77777777" w:rsidR="002435CD" w:rsidRPr="00EA4C9B" w:rsidRDefault="002435CD" w:rsidP="002435CD">
      <w:pPr>
        <w:rPr>
          <w:color w:val="000000" w:themeColor="text1"/>
        </w:rPr>
      </w:pPr>
      <w:r w:rsidRPr="00EA4C9B">
        <w:rPr>
          <w:b/>
          <w:bCs/>
          <w:color w:val="000000" w:themeColor="text1"/>
        </w:rPr>
        <w:t xml:space="preserve">The chemical fee on products </w:t>
      </w:r>
      <w:r w:rsidRPr="00EA4C9B">
        <w:t>(Kemiska produkter) is a fee paid by companies that notify chemical products to the product register and has been in force since 2017</w:t>
      </w:r>
      <w:r w:rsidRPr="00EA4C9B">
        <w:rPr>
          <w:color w:val="000000" w:themeColor="text1"/>
        </w:rPr>
        <w:t>. If the total volume of all your notifiable products is at least 1,000 kg per year, you must pay the chemical fee. The fee is coordinated with the annual fees for pesticides. According to the PINE database</w:t>
      </w:r>
      <w:r w:rsidRPr="00EA4C9B">
        <w:rPr>
          <w:rStyle w:val="FootnoteReference"/>
          <w:color w:val="000000" w:themeColor="text1"/>
        </w:rPr>
        <w:footnoteReference w:id="847"/>
      </w:r>
      <w:r w:rsidRPr="00EA4C9B">
        <w:rPr>
          <w:color w:val="000000" w:themeColor="text1"/>
        </w:rPr>
        <w:t>, the chemical fee is defined as a tax. The chemical fee is compulsory and ‘unrequited’ charges to the government. The chemical fee is used to fund government expenditure by financing general chemical fee operations run by the Swedish Chemical Agency</w:t>
      </w:r>
      <w:r w:rsidRPr="00EA4C9B">
        <w:rPr>
          <w:rStyle w:val="FootnoteReference"/>
          <w:color w:val="000000" w:themeColor="text1"/>
        </w:rPr>
        <w:footnoteReference w:id="848"/>
      </w:r>
      <w:r w:rsidRPr="00EA4C9B">
        <w:rPr>
          <w:color w:val="000000" w:themeColor="text1"/>
        </w:rPr>
        <w:t xml:space="preserve"> (which is a supervisory authority under the Swedish Government). </w:t>
      </w:r>
    </w:p>
    <w:p w14:paraId="728AD8AE" w14:textId="77777777" w:rsidR="002435CD" w:rsidRPr="00EA4C9B" w:rsidRDefault="002435CD" w:rsidP="002435CD">
      <w:pPr>
        <w:rPr>
          <w:color w:val="000000" w:themeColor="text1"/>
        </w:rPr>
      </w:pPr>
      <w:r w:rsidRPr="00EA4C9B">
        <w:rPr>
          <w:color w:val="000000" w:themeColor="text1"/>
        </w:rPr>
        <w:t>The chemical fee consists of two parts: a register fee and a chemical fee based on quantity. The total fee is based on the following:</w:t>
      </w:r>
    </w:p>
    <w:p w14:paraId="53A76E0A" w14:textId="77777777" w:rsidR="002435CD" w:rsidRPr="00EA4C9B" w:rsidRDefault="002435CD" w:rsidP="009B400E">
      <w:pPr>
        <w:pStyle w:val="ListParagraph"/>
        <w:numPr>
          <w:ilvl w:val="0"/>
          <w:numId w:val="25"/>
        </w:numPr>
        <w:rPr>
          <w:color w:val="000000" w:themeColor="text1"/>
        </w:rPr>
      </w:pPr>
      <w:r w:rsidRPr="00EA4C9B">
        <w:rPr>
          <w:color w:val="000000" w:themeColor="text1"/>
        </w:rPr>
        <w:t>an annual register fee of SEK 600 (</w:t>
      </w:r>
      <w:r w:rsidRPr="00EA4C9B">
        <w:t>€</w:t>
      </w:r>
      <w:r w:rsidRPr="00EA4C9B">
        <w:rPr>
          <w:color w:val="000000" w:themeColor="text1"/>
        </w:rPr>
        <w:t>54) for each product or organism, although not exceeding SEK 70,000 (</w:t>
      </w:r>
      <w:r w:rsidRPr="00EA4C9B">
        <w:t>€</w:t>
      </w:r>
      <w:r w:rsidRPr="00EA4C9B">
        <w:rPr>
          <w:color w:val="000000" w:themeColor="text1"/>
        </w:rPr>
        <w:t>6,273) a year,</w:t>
      </w:r>
    </w:p>
    <w:p w14:paraId="593565F3" w14:textId="77777777" w:rsidR="002435CD" w:rsidRPr="00EA4C9B" w:rsidRDefault="002435CD" w:rsidP="009B400E">
      <w:pPr>
        <w:pStyle w:val="ListParagraph"/>
        <w:numPr>
          <w:ilvl w:val="0"/>
          <w:numId w:val="25"/>
        </w:numPr>
        <w:rPr>
          <w:color w:val="000000" w:themeColor="text1"/>
        </w:rPr>
      </w:pPr>
      <w:r w:rsidRPr="00EA4C9B">
        <w:rPr>
          <w:color w:val="000000" w:themeColor="text1"/>
        </w:rPr>
        <w:t>an annual quantity fee of SEK 12 (</w:t>
      </w:r>
      <w:r w:rsidRPr="00EA4C9B">
        <w:t>€</w:t>
      </w:r>
      <w:r w:rsidRPr="00EA4C9B">
        <w:rPr>
          <w:color w:val="000000" w:themeColor="text1"/>
        </w:rPr>
        <w:t>1) per tonne of products or organisms, although not exceeding SEK 70,000 (</w:t>
      </w:r>
      <w:r w:rsidRPr="00EA4C9B">
        <w:t>€</w:t>
      </w:r>
      <w:r w:rsidRPr="00EA4C9B">
        <w:rPr>
          <w:color w:val="000000" w:themeColor="text1"/>
        </w:rPr>
        <w:t xml:space="preserve">6273) per year. </w:t>
      </w:r>
    </w:p>
    <w:p w14:paraId="7094FFD4" w14:textId="03E0CA70" w:rsidR="002435CD" w:rsidRPr="00EA4C9B" w:rsidRDefault="002435CD" w:rsidP="002435CD">
      <w:pPr>
        <w:rPr>
          <w:color w:val="000000" w:themeColor="text1"/>
        </w:rPr>
      </w:pPr>
      <w:r w:rsidRPr="00EA4C9B">
        <w:rPr>
          <w:color w:val="000000" w:themeColor="text1"/>
        </w:rPr>
        <w:t>The above information is taken from the Swedish Chemicals Agency</w:t>
      </w:r>
      <w:r w:rsidRPr="00EA4C9B">
        <w:rPr>
          <w:rStyle w:val="FootnoteReference"/>
          <w:color w:val="000000" w:themeColor="text1"/>
        </w:rPr>
        <w:footnoteReference w:id="849"/>
      </w:r>
      <w:r w:rsidRPr="00EA4C9B">
        <w:rPr>
          <w:color w:val="000000" w:themeColor="text1"/>
        </w:rPr>
        <w:t xml:space="preserve"> so it</w:t>
      </w:r>
      <w:r w:rsidR="008F375D">
        <w:rPr>
          <w:color w:val="000000" w:themeColor="text1"/>
        </w:rPr>
        <w:t xml:space="preserve"> i</w:t>
      </w:r>
      <w:r w:rsidRPr="00EA4C9B">
        <w:rPr>
          <w:color w:val="000000" w:themeColor="text1"/>
        </w:rPr>
        <w:t xml:space="preserve">s unclear whether the annual fee is based on the weight of the product or the weight of the chemical in it. We have contacted the Swedish Chemicals Agency for more information [awaiting response]. </w:t>
      </w:r>
    </w:p>
    <w:p w14:paraId="1F275F14" w14:textId="6C1A57FE" w:rsidR="002435CD" w:rsidRPr="00EA4C9B" w:rsidRDefault="002435CD" w:rsidP="002435CD">
      <w:pPr>
        <w:rPr>
          <w:color w:val="000000" w:themeColor="text1"/>
        </w:rPr>
      </w:pPr>
      <w:r w:rsidRPr="00EA4C9B">
        <w:rPr>
          <w:color w:val="000000" w:themeColor="text1"/>
        </w:rPr>
        <w:t xml:space="preserve">According to the Swedish Chemicals Agency, a company should not pay both an annual fee for pesticides and a chemical fee to the Products Register for the same product. It’s unclear from the Swedish Chemicals Agency website whether this includes both the register fee and the annual quantity fee mentioned in the bullets above. </w:t>
      </w:r>
      <w:r w:rsidR="000967FE" w:rsidRPr="00EA4C9B">
        <w:rPr>
          <w:color w:val="000000" w:themeColor="text1"/>
        </w:rPr>
        <w:t>Again,</w:t>
      </w:r>
      <w:r w:rsidRPr="00EA4C9B">
        <w:rPr>
          <w:color w:val="000000" w:themeColor="text1"/>
        </w:rPr>
        <w:t xml:space="preserve"> we have contacted the agency for more information [awaiting response]. The pesticide fee is paid annually and is set at 5.5% of the sales value for each authorised product. The minimum fee is set at SEK 2000 (</w:t>
      </w:r>
      <w:r w:rsidRPr="00EA4C9B">
        <w:t>€</w:t>
      </w:r>
      <w:r w:rsidRPr="00EA4C9B">
        <w:rPr>
          <w:color w:val="000000" w:themeColor="text1"/>
        </w:rPr>
        <w:t>179) and the maximum fee is set at SEK 400,000</w:t>
      </w:r>
      <w:r w:rsidRPr="00EA4C9B">
        <w:rPr>
          <w:rStyle w:val="FootnoteReference"/>
          <w:color w:val="000000" w:themeColor="text1"/>
        </w:rPr>
        <w:footnoteReference w:id="850"/>
      </w:r>
      <w:r w:rsidRPr="00EA4C9B">
        <w:rPr>
          <w:color w:val="000000" w:themeColor="text1"/>
        </w:rPr>
        <w:t xml:space="preserve"> (</w:t>
      </w:r>
      <w:r w:rsidRPr="00EA4C9B">
        <w:t>€35,848)</w:t>
      </w:r>
      <w:r w:rsidRPr="00EA4C9B">
        <w:rPr>
          <w:color w:val="000000" w:themeColor="text1"/>
        </w:rPr>
        <w:t xml:space="preserve">. </w:t>
      </w:r>
      <w:r w:rsidRPr="00EA4C9B">
        <w:t xml:space="preserve">Between the years 2017-2023, average revenue from a tax on chemical products was EUR 66.5 million. </w:t>
      </w:r>
    </w:p>
    <w:p w14:paraId="44774DDE" w14:textId="77777777" w:rsidR="002435CD" w:rsidRPr="00EA4C9B" w:rsidRDefault="002435CD" w:rsidP="002435CD">
      <w:r w:rsidRPr="00EA4C9B">
        <w:rPr>
          <w:b/>
          <w:bCs/>
          <w:color w:val="000000" w:themeColor="text1"/>
        </w:rPr>
        <w:t>Tax on chemicals in certain electronics</w:t>
      </w:r>
      <w:r w:rsidRPr="00EA4C9B">
        <w:rPr>
          <w:rStyle w:val="FootnoteReference"/>
          <w:b/>
          <w:bCs/>
          <w:color w:val="000000" w:themeColor="text1"/>
        </w:rPr>
        <w:footnoteReference w:id="851"/>
      </w:r>
      <w:r w:rsidRPr="00EA4C9B">
        <w:rPr>
          <w:color w:val="000000" w:themeColor="text1"/>
        </w:rPr>
        <w:t xml:space="preserve"> (Skatt på kemikalier i viss elektronik) has been levied on chemicals in certain electronic goods since 1 July 2017. The aim is to reduce the use of exposure to, dangerous chemicals in people’s homes. The tax is primarily related to the proportion of chlorine, bromine and phosphorus compounds existent in electronical products</w:t>
      </w:r>
      <w:r w:rsidRPr="00EA4C9B">
        <w:rPr>
          <w:rStyle w:val="FootnoteReference"/>
          <w:color w:val="000000" w:themeColor="text1"/>
        </w:rPr>
        <w:footnoteReference w:id="852"/>
      </w:r>
      <w:r w:rsidRPr="00EA4C9B">
        <w:rPr>
          <w:color w:val="000000" w:themeColor="text1"/>
        </w:rPr>
        <w:t xml:space="preserve">. Companies in Sweden that manufacture, receive or import duty-liable electronic goods for business purposes must pay an excise duty </w:t>
      </w:r>
    </w:p>
    <w:p w14:paraId="2FF3220E" w14:textId="77777777" w:rsidR="002435CD" w:rsidRPr="00EA4C9B" w:rsidRDefault="002435CD" w:rsidP="002435CD">
      <w:pPr>
        <w:rPr>
          <w:color w:val="000000" w:themeColor="text1"/>
        </w:rPr>
      </w:pPr>
      <w:r w:rsidRPr="00EA4C9B">
        <w:rPr>
          <w:color w:val="000000" w:themeColor="text1"/>
        </w:rPr>
        <w:t>The</w:t>
      </w:r>
      <w:r w:rsidRPr="00EA4C9B">
        <w:t xml:space="preserve"> </w:t>
      </w:r>
      <w:r w:rsidRPr="00EA4C9B">
        <w:rPr>
          <w:color w:val="000000" w:themeColor="text1"/>
        </w:rPr>
        <w:t>base rate (before deductions) is 12.33 SEK (</w:t>
      </w:r>
      <w:r w:rsidRPr="00EA4C9B">
        <w:t>€</w:t>
      </w:r>
      <w:r w:rsidRPr="00EA4C9B">
        <w:rPr>
          <w:color w:val="000000" w:themeColor="text1"/>
        </w:rPr>
        <w:t>1.1) per kilogram for household appliances and 179.38 SEK (</w:t>
      </w:r>
      <w:r w:rsidRPr="00EA4C9B">
        <w:t>€</w:t>
      </w:r>
      <w:r w:rsidRPr="00EA4C9B">
        <w:rPr>
          <w:color w:val="000000" w:themeColor="text1"/>
        </w:rPr>
        <w:t>16.1) per kilogram for other electronics. The maximum tax (before deductions) is 548.21 SEK (</w:t>
      </w:r>
      <w:r w:rsidRPr="00EA4C9B">
        <w:t>€</w:t>
      </w:r>
      <w:r w:rsidRPr="00EA4C9B">
        <w:rPr>
          <w:color w:val="000000" w:themeColor="text1"/>
        </w:rPr>
        <w:t>49.1) per product</w:t>
      </w:r>
      <w:r w:rsidRPr="00EA4C9B">
        <w:rPr>
          <w:rStyle w:val="FootnoteReference"/>
          <w:color w:val="000000" w:themeColor="text1"/>
        </w:rPr>
        <w:footnoteReference w:id="853"/>
      </w:r>
      <w:r w:rsidRPr="00EA4C9B">
        <w:rPr>
          <w:color w:val="000000" w:themeColor="text1"/>
        </w:rPr>
        <w:t xml:space="preserve">. </w:t>
      </w:r>
    </w:p>
    <w:p w14:paraId="1D6E35D9" w14:textId="04F3B56A" w:rsidR="002435CD" w:rsidRPr="00EA4C9B" w:rsidRDefault="002435CD" w:rsidP="002435CD">
      <w:pPr>
        <w:rPr>
          <w:color w:val="000000" w:themeColor="text1"/>
        </w:rPr>
      </w:pPr>
      <w:r w:rsidRPr="00EA4C9B">
        <w:rPr>
          <w:color w:val="000000" w:themeColor="text1"/>
        </w:rPr>
        <w:t>From 1 October 2021</w:t>
      </w:r>
      <w:r w:rsidRPr="00EA4C9B">
        <w:rPr>
          <w:rStyle w:val="FootnoteReference"/>
          <w:color w:val="000000" w:themeColor="text1"/>
        </w:rPr>
        <w:footnoteReference w:id="854"/>
      </w:r>
      <w:r w:rsidRPr="00EA4C9B">
        <w:rPr>
          <w:color w:val="000000" w:themeColor="text1"/>
        </w:rPr>
        <w:t xml:space="preserve">, they must also pay excise duty on duty-liable goods transported to Sweden from another EU country - even if they have not been purchased for the buyer’s own business </w:t>
      </w:r>
      <w:r w:rsidRPr="00EA4C9B">
        <w:rPr>
          <w:color w:val="000000" w:themeColor="text1"/>
        </w:rPr>
        <w:lastRenderedPageBreak/>
        <w:t>purposes. This is known as distance selling, and it applies when annual duty-liable goods yearly sales (current or previous year) of taxable goods to Sweden exceeds 100,000 SEK (</w:t>
      </w:r>
      <w:r w:rsidR="006E7FF4">
        <w:rPr>
          <w:color w:val="000000" w:themeColor="text1"/>
        </w:rPr>
        <w:t>around €9,000</w:t>
      </w:r>
      <w:r w:rsidRPr="00EA4C9B">
        <w:rPr>
          <w:color w:val="000000" w:themeColor="text1"/>
        </w:rPr>
        <w:t>). If an EU trader is not taxable, an intermediary is taxable if the total yearly mediated sales (current or previous year) of taxable goods to Sweden exceeds 100,000 SEK.</w:t>
      </w:r>
    </w:p>
    <w:p w14:paraId="2814999B" w14:textId="77777777" w:rsidR="002435CD" w:rsidRPr="00EA4C9B" w:rsidRDefault="002435CD" w:rsidP="002435CD">
      <w:pPr>
        <w:rPr>
          <w:color w:val="000000" w:themeColor="text1"/>
        </w:rPr>
      </w:pPr>
      <w:r w:rsidRPr="00EA4C9B">
        <w:rPr>
          <w:color w:val="000000" w:themeColor="text1"/>
        </w:rPr>
        <w:t xml:space="preserve">The same rules apply regardless of whether goods are transported to Sweden by the seller, or by someone else on behalf of the seller. An exempt seller is a seller who is not an approved stocklist, registered consignee, or registered EU trader, whose annual sales of duty-liable goods to Sweden during the present or past calendar year do not amount to more than SEK 100,000. Such sellers also have to pay excise duty on duty-liable goods transferred for business purposes through distance selling, if total annual sales of duty-liable goods to Sweden during the present or past calendar year amount to more than SEK 100,000. </w:t>
      </w:r>
    </w:p>
    <w:p w14:paraId="395585A2" w14:textId="77777777" w:rsidR="002435CD" w:rsidRPr="00EA4C9B" w:rsidRDefault="002435CD" w:rsidP="002435CD">
      <w:pPr>
        <w:rPr>
          <w:color w:val="000000" w:themeColor="text1"/>
        </w:rPr>
      </w:pPr>
      <w:r w:rsidRPr="00EA4C9B">
        <w:rPr>
          <w:color w:val="000000" w:themeColor="text1"/>
        </w:rPr>
        <w:t>If the business is not an approved stocklist, registered consignee, or registered EU trader working with electronic goods, they must use the specific excise duty return form, “Särskild skattedeklaration”. The business must declare and pay excise duty every time they:</w:t>
      </w:r>
    </w:p>
    <w:p w14:paraId="20F465C7" w14:textId="77777777" w:rsidR="002435CD" w:rsidRPr="00EA4C9B" w:rsidRDefault="002435CD" w:rsidP="009B400E">
      <w:pPr>
        <w:pStyle w:val="ListParagraph"/>
        <w:numPr>
          <w:ilvl w:val="0"/>
          <w:numId w:val="31"/>
        </w:numPr>
        <w:rPr>
          <w:color w:val="000000" w:themeColor="text1"/>
        </w:rPr>
      </w:pPr>
      <w:r w:rsidRPr="00EA4C9B">
        <w:rPr>
          <w:color w:val="000000" w:themeColor="text1"/>
        </w:rPr>
        <w:t>manufacture excise-duty-liable electronic goods for business purposes</w:t>
      </w:r>
    </w:p>
    <w:p w14:paraId="5AF15989" w14:textId="77777777" w:rsidR="002435CD" w:rsidRPr="00EA4C9B" w:rsidRDefault="002435CD" w:rsidP="009B400E">
      <w:pPr>
        <w:pStyle w:val="ListParagraph"/>
        <w:numPr>
          <w:ilvl w:val="0"/>
          <w:numId w:val="31"/>
        </w:numPr>
        <w:rPr>
          <w:color w:val="000000" w:themeColor="text1"/>
        </w:rPr>
      </w:pPr>
      <w:r w:rsidRPr="00EA4C9B">
        <w:rPr>
          <w:color w:val="000000" w:themeColor="text1"/>
        </w:rPr>
        <w:t xml:space="preserve">sell duty-liable electronic goods through distance selling for business purposes, if annual sales of duty-liable goods to Sweden amount to more than SEK 100,000 during the current or previous calendar year </w:t>
      </w:r>
    </w:p>
    <w:p w14:paraId="7804B93A" w14:textId="77777777" w:rsidR="002435CD" w:rsidRPr="00EA4C9B" w:rsidRDefault="002435CD" w:rsidP="009B400E">
      <w:pPr>
        <w:pStyle w:val="ListParagraph"/>
        <w:numPr>
          <w:ilvl w:val="0"/>
          <w:numId w:val="31"/>
        </w:numPr>
        <w:rPr>
          <w:color w:val="000000" w:themeColor="text1"/>
        </w:rPr>
      </w:pPr>
      <w:r w:rsidRPr="00EA4C9B">
        <w:rPr>
          <w:color w:val="000000" w:themeColor="text1"/>
        </w:rPr>
        <w:t xml:space="preserve">carry out distance selling of excise-duty-liable electronic goods from exempt sellers for business purposes, if total sales to Sweden during the current or previous calendar year amount to more than SEK 100,000 or </w:t>
      </w:r>
    </w:p>
    <w:p w14:paraId="6842EBD1" w14:textId="77777777" w:rsidR="002435CD" w:rsidRPr="00EA4C9B" w:rsidRDefault="002435CD" w:rsidP="009B400E">
      <w:pPr>
        <w:pStyle w:val="ListParagraph"/>
        <w:numPr>
          <w:ilvl w:val="0"/>
          <w:numId w:val="31"/>
        </w:numPr>
        <w:rPr>
          <w:color w:val="000000" w:themeColor="text1"/>
        </w:rPr>
      </w:pPr>
      <w:r w:rsidRPr="00EA4C9B">
        <w:rPr>
          <w:color w:val="000000" w:themeColor="text1"/>
        </w:rPr>
        <w:t>import or receive duty-liable electronic goods from another EU country</w:t>
      </w:r>
      <w:r w:rsidRPr="00EA4C9B">
        <w:rPr>
          <w:rStyle w:val="FootnoteReference"/>
          <w:color w:val="000000" w:themeColor="text1"/>
        </w:rPr>
        <w:footnoteReference w:id="855"/>
      </w:r>
      <w:r w:rsidRPr="00EA4C9B">
        <w:rPr>
          <w:color w:val="000000" w:themeColor="text1"/>
        </w:rPr>
        <w:t>.</w:t>
      </w:r>
    </w:p>
    <w:p w14:paraId="6A5D939B" w14:textId="77777777" w:rsidR="002435CD" w:rsidRPr="00EA4C9B" w:rsidRDefault="002435CD" w:rsidP="002435CD">
      <w:pPr>
        <w:rPr>
          <w:color w:val="000000" w:themeColor="text1"/>
        </w:rPr>
      </w:pPr>
      <w:r w:rsidRPr="00EA4C9B">
        <w:rPr>
          <w:color w:val="000000" w:themeColor="text1"/>
        </w:rPr>
        <w:t xml:space="preserve">From 1 October 2020, excise duty must always be paid by the party that sells duty-liable electronic goods through distance selling for business purposes or facilitates distance selling of such goods. </w:t>
      </w:r>
    </w:p>
    <w:p w14:paraId="22F4839E" w14:textId="77777777" w:rsidR="002435CD" w:rsidRPr="00EA4C9B" w:rsidRDefault="002435CD" w:rsidP="002435CD">
      <w:pPr>
        <w:rPr>
          <w:color w:val="000000" w:themeColor="text1"/>
        </w:rPr>
      </w:pPr>
      <w:r w:rsidRPr="00EA4C9B">
        <w:rPr>
          <w:color w:val="000000" w:themeColor="text1"/>
        </w:rPr>
        <w:t>The liability to pay tax comes in when the product is produced or enters Sweden, although tax subjects can register with the tax agency to postpone this. Payment respites are granted by the Swedish Tax Agency</w:t>
      </w:r>
      <w:r w:rsidRPr="00EA4C9B">
        <w:rPr>
          <w:rStyle w:val="FootnoteReference"/>
          <w:color w:val="000000" w:themeColor="text1"/>
        </w:rPr>
        <w:footnoteReference w:id="856"/>
      </w:r>
      <w:r w:rsidRPr="00EA4C9B">
        <w:rPr>
          <w:color w:val="000000" w:themeColor="text1"/>
        </w:rPr>
        <w:t xml:space="preserve">, especially to businesses or those applying for respite for large tax payments. Typically, a private individual and business are only granted a respite of up to two months. It is expected a normal part of business operations to be able to cope with temporary </w:t>
      </w:r>
      <w:bookmarkStart w:id="328" w:name="_Hlk196730353"/>
      <w:r w:rsidRPr="00EA4C9B">
        <w:rPr>
          <w:color w:val="000000" w:themeColor="text1"/>
        </w:rPr>
        <w:t xml:space="preserve">cash flow issues. </w:t>
      </w:r>
    </w:p>
    <w:bookmarkEnd w:id="328"/>
    <w:p w14:paraId="196A03DE" w14:textId="77777777" w:rsidR="002435CD" w:rsidRPr="00EA4C9B" w:rsidRDefault="002435CD" w:rsidP="002435CD">
      <w:pPr>
        <w:rPr>
          <w:color w:val="000000" w:themeColor="text1"/>
        </w:rPr>
      </w:pPr>
      <w:r w:rsidRPr="00EA4C9B">
        <w:rPr>
          <w:color w:val="000000" w:themeColor="text1"/>
        </w:rPr>
        <w:t>Deductions can be made if the product does not contain chemical components of chlorine, bromine or phosphorus</w:t>
      </w:r>
      <w:r w:rsidRPr="00EA4C9B">
        <w:rPr>
          <w:rStyle w:val="FootnoteReference"/>
          <w:color w:val="000000" w:themeColor="text1"/>
        </w:rPr>
        <w:footnoteReference w:id="857"/>
      </w:r>
      <w:r w:rsidRPr="00EA4C9B">
        <w:rPr>
          <w:color w:val="000000" w:themeColor="text1"/>
        </w:rPr>
        <w:t>. A deduction of 50% or 95% of the total excise duty payable can be made, depending on which chemical compounds are present. For a 50% deduction this is applied when the electronic goods contain less than 0.1% of bromine or chlorine by weight of the material in:</w:t>
      </w:r>
    </w:p>
    <w:p w14:paraId="1323095C" w14:textId="77777777" w:rsidR="002435CD" w:rsidRPr="00EA4C9B" w:rsidRDefault="002435CD" w:rsidP="009B400E">
      <w:pPr>
        <w:pStyle w:val="ListParagraph"/>
        <w:numPr>
          <w:ilvl w:val="0"/>
          <w:numId w:val="28"/>
        </w:numPr>
        <w:rPr>
          <w:color w:val="000000" w:themeColor="text1"/>
        </w:rPr>
      </w:pPr>
      <w:r w:rsidRPr="00EA4C9B">
        <w:rPr>
          <w:color w:val="000000" w:themeColor="text1"/>
        </w:rPr>
        <w:t>a circuit board, with the exception of the components of the board</w:t>
      </w:r>
    </w:p>
    <w:p w14:paraId="422ABA41" w14:textId="77777777" w:rsidR="002435CD" w:rsidRPr="00EA4C9B" w:rsidRDefault="002435CD" w:rsidP="009B400E">
      <w:pPr>
        <w:pStyle w:val="ListParagraph"/>
        <w:numPr>
          <w:ilvl w:val="0"/>
          <w:numId w:val="28"/>
        </w:numPr>
        <w:rPr>
          <w:color w:val="000000" w:themeColor="text1"/>
        </w:rPr>
      </w:pPr>
      <w:r w:rsidRPr="00EA4C9B">
        <w:rPr>
          <w:color w:val="000000" w:themeColor="text1"/>
        </w:rPr>
        <w:t xml:space="preserve">a plastic part weighing more than 25g. </w:t>
      </w:r>
    </w:p>
    <w:p w14:paraId="7C38336A" w14:textId="77777777" w:rsidR="002435CD" w:rsidRPr="00EA4C9B" w:rsidRDefault="002435CD" w:rsidP="002435CD">
      <w:pPr>
        <w:rPr>
          <w:color w:val="000000" w:themeColor="text1"/>
        </w:rPr>
      </w:pPr>
      <w:r w:rsidRPr="00EA4C9B">
        <w:rPr>
          <w:color w:val="000000" w:themeColor="text1"/>
        </w:rPr>
        <w:t xml:space="preserve">For a 95% reduction, the electronic goods need to contain less than 0.1% of bromine, chlorine or phosphorus by weight for the same products in the bullets above. </w:t>
      </w:r>
    </w:p>
    <w:p w14:paraId="1319679D" w14:textId="77777777" w:rsidR="002435CD" w:rsidRPr="00EA4C9B" w:rsidRDefault="002435CD" w:rsidP="002435CD">
      <w:pPr>
        <w:rPr>
          <w:color w:val="000000" w:themeColor="text1"/>
        </w:rPr>
      </w:pPr>
      <w:r w:rsidRPr="00EA4C9B">
        <w:rPr>
          <w:color w:val="000000" w:themeColor="text1"/>
        </w:rPr>
        <w:t xml:space="preserve">For tax subjects who have registered with the Tax agency, some situations (such as products being sold to another country or being destroyed by force majeure) are exempted. Between the years 2009-2023, average revenue from a tax on chemicals in certain electronics was EUR 996.7 million. </w:t>
      </w:r>
    </w:p>
    <w:p w14:paraId="50A8C07C" w14:textId="77777777" w:rsidR="002435CD" w:rsidRPr="00EA4C9B" w:rsidRDefault="002435CD" w:rsidP="002435CD">
      <w:pPr>
        <w:rPr>
          <w:color w:val="000000" w:themeColor="text1"/>
        </w:rPr>
      </w:pPr>
      <w:r w:rsidRPr="00EA4C9B">
        <w:rPr>
          <w:color w:val="000000" w:themeColor="text1"/>
        </w:rPr>
        <w:lastRenderedPageBreak/>
        <w:t>A 2020 evaluation of the tax has not been able to establish that the tax led to a decrease in chlorine, bromine, and phosphorus from flame retardants in home environments during the study period</w:t>
      </w:r>
      <w:r w:rsidRPr="00EA4C9B">
        <w:rPr>
          <w:rStyle w:val="FootnoteReference"/>
          <w:color w:val="000000" w:themeColor="text1"/>
        </w:rPr>
        <w:footnoteReference w:id="858"/>
      </w:r>
      <w:r w:rsidRPr="00EA4C9B">
        <w:rPr>
          <w:color w:val="000000" w:themeColor="text1"/>
        </w:rPr>
        <w:t>. Although it may have the desired effect in the future, as new products will enter the market. In some cases, it has already resulted in a substitution of chemicals although several taxpayers stated that they have not changed their behaviour with regard to the products they buy and retail. The evaluation concluded that the tax is not considered to be cost-effective and a more cost-effective approach would be to tax the chemical substances contain in, rather than the weight of, the product, applied more stringently to products used in the home environment. Another study concluded the same providing the example between a washing machine and a laptop; the washing machine doesn’t necessarily include more chemicals but the rate of tax charged for the washing machine would be SEK 320 (</w:t>
      </w:r>
      <w:r w:rsidRPr="00EA4C9B">
        <w:t>€</w:t>
      </w:r>
      <w:r w:rsidRPr="00EA4C9B">
        <w:rPr>
          <w:color w:val="000000" w:themeColor="text1"/>
        </w:rPr>
        <w:t>28.7) whereas a 1.5 kilo laptop would be taxed at SEK 30 (</w:t>
      </w:r>
      <w:r w:rsidRPr="00EA4C9B">
        <w:t>€</w:t>
      </w:r>
      <w:r w:rsidRPr="00EA4C9B">
        <w:rPr>
          <w:color w:val="000000" w:themeColor="text1"/>
        </w:rPr>
        <w:t>2.7)</w:t>
      </w:r>
      <w:r w:rsidRPr="00EA4C9B">
        <w:rPr>
          <w:rStyle w:val="FootnoteReference"/>
          <w:color w:val="000000" w:themeColor="text1"/>
        </w:rPr>
        <w:footnoteReference w:id="859"/>
      </w:r>
      <w:r w:rsidRPr="00EA4C9B">
        <w:rPr>
          <w:color w:val="000000" w:themeColor="text1"/>
        </w:rPr>
        <w:t xml:space="preserve">. </w:t>
      </w:r>
    </w:p>
    <w:p w14:paraId="74ED35B4" w14:textId="77777777" w:rsidR="002435CD" w:rsidRPr="00EA4C9B" w:rsidRDefault="002435CD" w:rsidP="002435CD">
      <w:pPr>
        <w:rPr>
          <w:color w:val="000000" w:themeColor="text1"/>
        </w:rPr>
      </w:pPr>
      <w:r w:rsidRPr="00EA4C9B">
        <w:rPr>
          <w:color w:val="000000" w:themeColor="text1"/>
        </w:rPr>
        <w:t xml:space="preserve">The evaluation noted neither corporate profits nor employment rates among companies subjected to the tax have been affected, implying the cost of the tax is borne by consumers in the form of higher prices of the electronic articles they buy. Furthermore, consumption of electronic goods has not decreased since the tax has been introduced and since 2018, demand has increased. However, the evaluation could not determine whether the increase in demand would have been greater if the tax hadn’t been introduced. </w:t>
      </w:r>
    </w:p>
    <w:p w14:paraId="4B32205E" w14:textId="77777777" w:rsidR="002435CD" w:rsidRPr="00EA4C9B" w:rsidRDefault="002435CD" w:rsidP="002435CD">
      <w:pPr>
        <w:rPr>
          <w:color w:val="000000" w:themeColor="text1"/>
        </w:rPr>
      </w:pPr>
      <w:r w:rsidRPr="00EA4C9B">
        <w:rPr>
          <w:b/>
          <w:bCs/>
          <w:color w:val="000000" w:themeColor="text1"/>
        </w:rPr>
        <w:t xml:space="preserve">The nitrogen oxides (NOx) charge </w:t>
      </w:r>
      <w:r w:rsidRPr="00EA4C9B">
        <w:rPr>
          <w:color w:val="000000" w:themeColor="text1"/>
        </w:rPr>
        <w:t>(Nox-avgift) in Sweden was introduced in 1992. The charge is based on measured NOx emissions by electricity and heat-producing boilers, stationary combustion engines and gas turbines with at least 25 GWh of useful energy per year. The charge is paid by the producer of the electrical power or heat. Originally, the requirement only covered boilers with a yearly production of energy of at least 50 GWh. In 1996, the charge included all boilers producing at least 40 GWh of useful energy per year, and in 1997 the limit was again lowered to 25 GWh</w:t>
      </w:r>
      <w:r w:rsidRPr="00EA4C9B">
        <w:rPr>
          <w:rStyle w:val="FootnoteReference"/>
          <w:color w:val="000000" w:themeColor="text1"/>
        </w:rPr>
        <w:footnoteReference w:id="860"/>
      </w:r>
      <w:r w:rsidRPr="00EA4C9B">
        <w:rPr>
          <w:color w:val="000000" w:themeColor="text1"/>
        </w:rPr>
        <w:t>.</w:t>
      </w:r>
    </w:p>
    <w:p w14:paraId="5D10983A" w14:textId="77777777" w:rsidR="002435CD" w:rsidRPr="00EA4C9B" w:rsidRDefault="002435CD" w:rsidP="002435CD">
      <w:pPr>
        <w:rPr>
          <w:color w:val="000000" w:themeColor="text1"/>
        </w:rPr>
      </w:pPr>
      <w:r w:rsidRPr="00EA4C9B">
        <w:rPr>
          <w:color w:val="000000" w:themeColor="text1"/>
        </w:rPr>
        <w:t>An operator is subject to charge when the production unit emits nitrogen oxides. From 1992 to 2007, the tax was 40 SEK/kg NOx (</w:t>
      </w:r>
      <w:r w:rsidRPr="00EA4C9B">
        <w:t>€</w:t>
      </w:r>
      <w:r w:rsidRPr="00EA4C9B">
        <w:rPr>
          <w:color w:val="000000" w:themeColor="text1"/>
        </w:rPr>
        <w:t>3.6), but in 2008 the tax increased to 50 SEK/kg NOx (</w:t>
      </w:r>
      <w:r w:rsidRPr="00EA4C9B">
        <w:t>€</w:t>
      </w:r>
      <w:r w:rsidRPr="00EA4C9B">
        <w:rPr>
          <w:color w:val="000000" w:themeColor="text1"/>
        </w:rPr>
        <w:t>4.5) after the Swedish EPA noted that the impact on the tax system had diminished over the years. If the operator subject to the charge has paid more than the amount calculated by the Swedish Environmental Protection Agency or a court, the excess amount will be refunded to the operator</w:t>
      </w:r>
      <w:r w:rsidRPr="00EA4C9B">
        <w:rPr>
          <w:rStyle w:val="FootnoteReference"/>
          <w:color w:val="000000" w:themeColor="text1"/>
        </w:rPr>
        <w:footnoteReference w:id="861"/>
      </w:r>
      <w:r w:rsidRPr="00EA4C9B">
        <w:rPr>
          <w:color w:val="000000" w:themeColor="text1"/>
        </w:rPr>
        <w:t xml:space="preserve">. </w:t>
      </w:r>
    </w:p>
    <w:p w14:paraId="60ACE05B" w14:textId="77777777" w:rsidR="002435CD" w:rsidRPr="00EA4C9B" w:rsidRDefault="002435CD" w:rsidP="002435CD">
      <w:pPr>
        <w:rPr>
          <w:color w:val="000000" w:themeColor="text1"/>
        </w:rPr>
      </w:pPr>
      <w:r w:rsidRPr="00EA4C9B">
        <w:rPr>
          <w:color w:val="000000" w:themeColor="text1"/>
        </w:rPr>
        <w:t>According to a study that looked at the effectiveness of NOx and SO</w:t>
      </w:r>
      <w:r w:rsidRPr="00EA4C9B">
        <w:rPr>
          <w:color w:val="000000" w:themeColor="text1"/>
          <w:vertAlign w:val="subscript"/>
        </w:rPr>
        <w:t>2</w:t>
      </w:r>
      <w:r w:rsidRPr="00EA4C9B">
        <w:rPr>
          <w:rStyle w:val="FootnoteReference"/>
          <w:color w:val="000000" w:themeColor="text1"/>
        </w:rPr>
        <w:footnoteReference w:id="862"/>
      </w:r>
      <w:r w:rsidRPr="00EA4C9B">
        <w:rPr>
          <w:color w:val="000000" w:themeColor="text1"/>
        </w:rPr>
        <w:t xml:space="preserve"> taxes in Sweden, NOx emissions declined gradually between the years 1991 to 2014. One of the papers mentioned in the study</w:t>
      </w:r>
      <w:r w:rsidRPr="00EA4C9B">
        <w:rPr>
          <w:rStyle w:val="FootnoteReference"/>
          <w:color w:val="000000" w:themeColor="text1"/>
        </w:rPr>
        <w:footnoteReference w:id="863"/>
      </w:r>
      <w:r w:rsidRPr="00EA4C9B">
        <w:rPr>
          <w:color w:val="000000" w:themeColor="text1"/>
        </w:rPr>
        <w:t xml:space="preserve"> conclude that NOx emissions per unit of useful energy produced by the regulated plant had declined by 50% since the introduction the tax in 1992. Two factors contributed to the success: i) mandatory continuous monitoring of emissions from the regulated plants, and ii) a high tax level.</w:t>
      </w:r>
    </w:p>
    <w:p w14:paraId="6327E37D" w14:textId="77777777" w:rsidR="002435CD" w:rsidRPr="00EA4C9B" w:rsidRDefault="002435CD" w:rsidP="002435CD">
      <w:pPr>
        <w:rPr>
          <w:color w:val="000000" w:themeColor="text1"/>
        </w:rPr>
      </w:pPr>
      <w:r w:rsidRPr="00EA4C9B">
        <w:rPr>
          <w:color w:val="000000" w:themeColor="text1"/>
        </w:rPr>
        <w:t>Between the years 2009-2023, average revenue from a tax on fertilisers was EUR 965.3 million.</w:t>
      </w:r>
    </w:p>
    <w:p w14:paraId="0C4F29D9" w14:textId="77777777" w:rsidR="002435CD" w:rsidRPr="00EA4C9B" w:rsidRDefault="002435CD" w:rsidP="002435CD">
      <w:r w:rsidRPr="00EA4C9B">
        <w:rPr>
          <w:b/>
          <w:bCs/>
        </w:rPr>
        <w:t>Tax on waste</w:t>
      </w:r>
      <w:r w:rsidRPr="00EA4C9B">
        <w:t xml:space="preserve"> (Avfallsskatt) in Sweden is charged by the Swedish Tax agency to businesses who conduct business at a waste facility or industrial facility and is applied on the waste that is imported or generated at the facility. In other words, those managing a waste collection point where hazardous and other waste amounting to more than 50 metric tonnes per year is collected for final deposition or for a period longer than three years. The tax on waste came into force in 2000. The tax rate is SEK 744 </w:t>
      </w:r>
      <w:r w:rsidRPr="00EA4C9B">
        <w:lastRenderedPageBreak/>
        <w:t>(€66.7) per metric tonne of waste and set by the Central Authority. The tax liability applies when waste arrives to a waste collection point. No tax is to be paid for materials intended for the operation of the waste collection point. Deductions are allowed for waste that has been brought out from a waste collection point or waste that has been used for certain processes within the waste collection point</w:t>
      </w:r>
      <w:r w:rsidRPr="00EA4C9B">
        <w:rPr>
          <w:rStyle w:val="FootnoteReference"/>
        </w:rPr>
        <w:footnoteReference w:id="864"/>
      </w:r>
      <w:r w:rsidRPr="00EA4C9B">
        <w:t>. Between the years 2009-2023, average revenue from a tax on waste was EUR 354.8 million.</w:t>
      </w:r>
    </w:p>
    <w:p w14:paraId="540531D6" w14:textId="77777777" w:rsidR="002435CD" w:rsidRPr="00EA4C9B" w:rsidRDefault="002435CD" w:rsidP="002435CD">
      <w:r w:rsidRPr="00EA4C9B">
        <w:rPr>
          <w:b/>
          <w:bCs/>
        </w:rPr>
        <w:t>Tax on waste incineration</w:t>
      </w:r>
      <w:r w:rsidRPr="00EA4C9B">
        <w:t xml:space="preserve"> (Skatt på avfallsförbränning) was levied on all waste entering a waste incineration plant and came into force in 2020. In 2023, Sweden abolished its tax on waste incineration</w:t>
      </w:r>
      <w:r w:rsidRPr="00EA4C9B">
        <w:rPr>
          <w:rStyle w:val="FootnoteReference"/>
        </w:rPr>
        <w:footnoteReference w:id="865"/>
      </w:r>
      <w:r w:rsidRPr="00EA4C9B">
        <w:t>. The main reason was the Russian invasion of Ukraine and the resulting changes in electricity markets</w:t>
      </w:r>
      <w:r w:rsidRPr="00EA4C9B">
        <w:rPr>
          <w:rStyle w:val="FootnoteReference"/>
        </w:rPr>
        <w:footnoteReference w:id="866"/>
      </w:r>
      <w:r w:rsidRPr="00EA4C9B">
        <w:t xml:space="preserve">. This reasoning was further emphasised by stakeholder engagement as Sweden uses the heat from waste incineration in its district heating systems and that this is a preferred method of processing waste. Therefore, due to the hike in prices in energy from the war in Ukraine, the energy from waste incineration has become more prominent. Furthermore, the interviewee mentions that landfills have been banned in Sweden since the early 2000s, so the waste is either burned or recycled. </w:t>
      </w:r>
    </w:p>
    <w:p w14:paraId="6655CDEF" w14:textId="1483605A" w:rsidR="002435CD" w:rsidRPr="00EA4C9B" w:rsidRDefault="002435CD" w:rsidP="002435CD">
      <w:r w:rsidRPr="00EA4C9B">
        <w:t xml:space="preserve">When the tax was in force it was applicable to waste incineration plants with a tax rate of 125 SEK (€11.2) per metric tonne. There were exceptions to the tax which included hazardous waste, biofuel, animal by-products and in some cases waste that is used in production of material where the waste is part of the produce’s material. Deductions included waste that leaves the plant. It was set by the Central Authority. Between the years 2020-2023 (when it was in force), average revenue from waste incineration was EUR 127.2 million. </w:t>
      </w:r>
    </w:p>
    <w:p w14:paraId="04CA38F2" w14:textId="77777777" w:rsidR="002435CD" w:rsidRPr="00EA4C9B" w:rsidRDefault="002435CD" w:rsidP="009E1B64">
      <w:pPr>
        <w:pStyle w:val="Bulletlist"/>
        <w:numPr>
          <w:ilvl w:val="0"/>
          <w:numId w:val="0"/>
        </w:numPr>
      </w:pPr>
      <w:r w:rsidRPr="00EA4C9B">
        <w:t xml:space="preserve">A </w:t>
      </w:r>
      <w:r w:rsidRPr="00EA4C9B">
        <w:rPr>
          <w:b/>
          <w:bCs/>
        </w:rPr>
        <w:t>tax on gravel</w:t>
      </w:r>
      <w:r w:rsidRPr="00EA4C9B">
        <w:t xml:space="preserve"> (Skatt på naturgrus) is applied when natural gravel is extracted</w:t>
      </w:r>
      <w:r w:rsidRPr="00EA4C9B">
        <w:rPr>
          <w:rStyle w:val="FootnoteReference"/>
          <w:color w:val="000000" w:themeColor="text1"/>
        </w:rPr>
        <w:footnoteReference w:id="867"/>
      </w:r>
      <w:r w:rsidRPr="00EA4C9B">
        <w:t>. The tax came into force in 1999 with a tax base on SEK 23 (€2.1) per metric tonne of gravel, set by the Central Authority. According to Section 6 of the LSN</w:t>
      </w:r>
      <w:r w:rsidRPr="00EA4C9B">
        <w:rPr>
          <w:rStyle w:val="FootnoteReference"/>
          <w:color w:val="000000" w:themeColor="text1"/>
        </w:rPr>
        <w:footnoteReference w:id="868"/>
      </w:r>
      <w:r w:rsidRPr="00EA4C9B">
        <w:t>, the tax liability arises on the following occasions:</w:t>
      </w:r>
    </w:p>
    <w:p w14:paraId="5CF75DB3" w14:textId="77777777" w:rsidR="002435CD" w:rsidRPr="00EA4C9B" w:rsidRDefault="002435CD" w:rsidP="009B400E">
      <w:pPr>
        <w:pStyle w:val="Bulletlist"/>
        <w:numPr>
          <w:ilvl w:val="0"/>
          <w:numId w:val="29"/>
        </w:numPr>
      </w:pPr>
      <w:r w:rsidRPr="00EA4C9B">
        <w:t>When natural gravel is delivered to a buyer</w:t>
      </w:r>
    </w:p>
    <w:p w14:paraId="18D2884D" w14:textId="77777777" w:rsidR="002435CD" w:rsidRPr="00EA4C9B" w:rsidRDefault="002435CD" w:rsidP="009B400E">
      <w:pPr>
        <w:pStyle w:val="Bulletlist"/>
        <w:numPr>
          <w:ilvl w:val="0"/>
          <w:numId w:val="29"/>
        </w:numPr>
      </w:pPr>
      <w:r w:rsidRPr="00EA4C9B">
        <w:t>When natural gravel is used for any purpose other than sale</w:t>
      </w:r>
    </w:p>
    <w:p w14:paraId="5FC3B781" w14:textId="77777777" w:rsidR="002435CD" w:rsidRPr="00EA4C9B" w:rsidRDefault="002435CD" w:rsidP="009B400E">
      <w:pPr>
        <w:pStyle w:val="Bulletlist"/>
        <w:numPr>
          <w:ilvl w:val="0"/>
          <w:numId w:val="29"/>
        </w:numPr>
      </w:pPr>
      <w:r w:rsidRPr="00EA4C9B">
        <w:t>When the taxable activity ceases, and then the tax liability includes the natural gravel that is then included in the taxpayer’s stock.</w:t>
      </w:r>
    </w:p>
    <w:p w14:paraId="7263BF47" w14:textId="77777777" w:rsidR="002435CD" w:rsidRPr="00EA4C9B" w:rsidRDefault="002435CD" w:rsidP="009E1B64">
      <w:pPr>
        <w:pStyle w:val="Bulletlist"/>
        <w:numPr>
          <w:ilvl w:val="0"/>
          <w:numId w:val="0"/>
        </w:numPr>
      </w:pPr>
      <w:r w:rsidRPr="00EA4C9B">
        <w:t>According to Section 7 of the LSN</w:t>
      </w:r>
      <w:r w:rsidRPr="00EA4C9B">
        <w:rPr>
          <w:rStyle w:val="FootnoteReference"/>
          <w:color w:val="000000" w:themeColor="text1"/>
        </w:rPr>
        <w:footnoteReference w:id="869"/>
      </w:r>
      <w:r w:rsidRPr="00EA4C9B">
        <w:t>, tax liability does not arise for:</w:t>
      </w:r>
    </w:p>
    <w:p w14:paraId="77AE0AD0" w14:textId="77777777" w:rsidR="002435CD" w:rsidRPr="00EA4C9B" w:rsidRDefault="002435CD" w:rsidP="009B400E">
      <w:pPr>
        <w:pStyle w:val="Bulletlist"/>
        <w:numPr>
          <w:ilvl w:val="0"/>
          <w:numId w:val="30"/>
        </w:numPr>
      </w:pPr>
      <w:r w:rsidRPr="00EA4C9B">
        <w:t>Natural gravel used only for purposes necessary for the operation of the quarry operations</w:t>
      </w:r>
    </w:p>
    <w:p w14:paraId="6AE1CFB6" w14:textId="77777777" w:rsidR="002435CD" w:rsidRPr="00EA4C9B" w:rsidRDefault="002435CD" w:rsidP="009B400E">
      <w:pPr>
        <w:pStyle w:val="Bulletlist"/>
        <w:numPr>
          <w:ilvl w:val="0"/>
          <w:numId w:val="30"/>
        </w:numPr>
      </w:pPr>
      <w:r w:rsidRPr="00EA4C9B">
        <w:t>Natural gravel used for finishing the quarry.</w:t>
      </w:r>
    </w:p>
    <w:p w14:paraId="73EA6696" w14:textId="77777777" w:rsidR="002435CD" w:rsidRPr="00EA4C9B" w:rsidRDefault="002435CD" w:rsidP="009E1B64">
      <w:pPr>
        <w:pStyle w:val="Bulletlist"/>
        <w:numPr>
          <w:ilvl w:val="0"/>
          <w:numId w:val="0"/>
        </w:numPr>
        <w:ind w:left="360"/>
      </w:pPr>
    </w:p>
    <w:p w14:paraId="026E70DF" w14:textId="77777777" w:rsidR="002435CD" w:rsidRPr="00EA4C9B" w:rsidRDefault="002435CD" w:rsidP="009E1B64">
      <w:pPr>
        <w:pStyle w:val="Bulletlist"/>
        <w:numPr>
          <w:ilvl w:val="0"/>
          <w:numId w:val="0"/>
        </w:numPr>
      </w:pPr>
      <w:r w:rsidRPr="00EA4C9B">
        <w:t xml:space="preserve">An example of “purposes that are necessary for the operation of the quarry” include, temporary roads in the quarry that are built with natural gravel. </w:t>
      </w:r>
    </w:p>
    <w:p w14:paraId="61ECCF89" w14:textId="77777777" w:rsidR="002435CD" w:rsidRPr="00EA4C9B" w:rsidRDefault="002435CD" w:rsidP="009E1B64">
      <w:pPr>
        <w:pStyle w:val="Bulletlist"/>
        <w:numPr>
          <w:ilvl w:val="0"/>
          <w:numId w:val="0"/>
        </w:numPr>
      </w:pPr>
    </w:p>
    <w:p w14:paraId="54E2A146" w14:textId="77777777" w:rsidR="002435CD" w:rsidRPr="00EA4C9B" w:rsidRDefault="002435CD" w:rsidP="009E1B64">
      <w:pPr>
        <w:pStyle w:val="Bulletlist"/>
        <w:numPr>
          <w:ilvl w:val="0"/>
          <w:numId w:val="0"/>
        </w:numPr>
      </w:pPr>
      <w:r w:rsidRPr="00EA4C9B">
        <w:t>Between the years 2009-2023, average revenue from a tax on gravel was EUR 219.0 million.</w:t>
      </w:r>
    </w:p>
    <w:p w14:paraId="1551D77E" w14:textId="77777777" w:rsidR="002435CD" w:rsidRPr="00EA4C9B" w:rsidRDefault="002435CD" w:rsidP="009E1B64">
      <w:pPr>
        <w:pStyle w:val="Bulletlist"/>
        <w:numPr>
          <w:ilvl w:val="0"/>
          <w:numId w:val="0"/>
        </w:numPr>
      </w:pPr>
    </w:p>
    <w:p w14:paraId="7FC4C72C" w14:textId="77777777" w:rsidR="002435CD" w:rsidRPr="00EA4C9B" w:rsidRDefault="002435CD" w:rsidP="009E1B64">
      <w:pPr>
        <w:pStyle w:val="Bulletlist"/>
        <w:numPr>
          <w:ilvl w:val="0"/>
          <w:numId w:val="0"/>
        </w:numPr>
      </w:pPr>
      <w:r w:rsidRPr="00EA4C9B">
        <w:rPr>
          <w:b/>
          <w:bCs/>
        </w:rPr>
        <w:t>A fee is charged on batteries (</w:t>
      </w:r>
      <w:r w:rsidRPr="00EA4C9B">
        <w:t>Batteriskatt</w:t>
      </w:r>
      <w:r w:rsidRPr="00EA4C9B">
        <w:rPr>
          <w:b/>
          <w:bCs/>
        </w:rPr>
        <w:t xml:space="preserve">) </w:t>
      </w:r>
      <w:r w:rsidRPr="00EA4C9B">
        <w:t>to cover society's costs for collecting and handling used batteries</w:t>
      </w:r>
      <w:r w:rsidRPr="00EA4C9B">
        <w:rPr>
          <w:rStyle w:val="FootnoteReference"/>
          <w:color w:val="000000" w:themeColor="text1"/>
        </w:rPr>
        <w:footnoteReference w:id="870"/>
      </w:r>
      <w:r w:rsidRPr="00EA4C9B">
        <w:t>. This came into force in 1987. According to the Environmental Protection Agency (EPA) Sweden</w:t>
      </w:r>
      <w:r w:rsidRPr="00EA4C9B">
        <w:rPr>
          <w:rStyle w:val="FootnoteReference"/>
          <w:color w:val="000000" w:themeColor="text1"/>
        </w:rPr>
        <w:footnoteReference w:id="871"/>
      </w:r>
      <w:r w:rsidRPr="00EA4C9B">
        <w:t xml:space="preserve">, all producers of batteries shall report to the Swedish EPA on the quantity of batteries placed on the Swedish market for the previous year as well as collected and treated quantities of waste batteries. The EPA charge an annual fee for enforcement of electrical and electronic equipment and batteries. The enforcement ensures that producers are compliant with the producer responsibility </w:t>
      </w:r>
      <w:r w:rsidRPr="00EA4C9B">
        <w:lastRenderedPageBreak/>
        <w:t>provisions</w:t>
      </w:r>
      <w:r w:rsidRPr="00EA4C9B">
        <w:rPr>
          <w:rStyle w:val="FootnoteReference"/>
          <w:color w:val="000000" w:themeColor="text1"/>
        </w:rPr>
        <w:footnoteReference w:id="872"/>
      </w:r>
      <w:r w:rsidRPr="00EA4C9B">
        <w:t>. Producer responsibility provisions include the responsibility for the collection and treatment of waster batteries – a full list of provisions can be found on the Swedish Environmental Protection Agency website</w:t>
      </w:r>
      <w:r w:rsidRPr="00EA4C9B">
        <w:rPr>
          <w:rStyle w:val="FootnoteReference"/>
          <w:color w:val="000000" w:themeColor="text1"/>
        </w:rPr>
        <w:footnoteReference w:id="873"/>
      </w:r>
      <w:r w:rsidRPr="00EA4C9B">
        <w:t xml:space="preserve">. The fee covers administrative expenses, managing of the EEB-register and other expenses in order to enforce compliance. The annual fee has been set to 1000 SEK (€89.6) for each producer responsibility. For producers of both EEE and batteries the total fee is 2000 SEK (€179.2). The producer responsibility system covers all batteries, except for the ones: </w:t>
      </w:r>
    </w:p>
    <w:p w14:paraId="3B19F159" w14:textId="77777777" w:rsidR="002435CD" w:rsidRPr="00EA4C9B" w:rsidRDefault="002435CD" w:rsidP="009B400E">
      <w:pPr>
        <w:pStyle w:val="Bulletlist"/>
        <w:numPr>
          <w:ilvl w:val="0"/>
          <w:numId w:val="26"/>
        </w:numPr>
      </w:pPr>
      <w:r w:rsidRPr="00EA4C9B">
        <w:t xml:space="preserve">used in protection of important security interests for a member state of the European Union, weapons, ammunition or war equipment, </w:t>
      </w:r>
    </w:p>
    <w:p w14:paraId="6D4CC1AA" w14:textId="77777777" w:rsidR="002435CD" w:rsidRPr="00EA4C9B" w:rsidRDefault="002435CD" w:rsidP="009B400E">
      <w:pPr>
        <w:pStyle w:val="Bulletlist"/>
        <w:numPr>
          <w:ilvl w:val="0"/>
          <w:numId w:val="26"/>
        </w:numPr>
      </w:pPr>
      <w:r w:rsidRPr="00EA4C9B">
        <w:t xml:space="preserve">where the material has been manufactured for a specific military purpose, or </w:t>
      </w:r>
    </w:p>
    <w:p w14:paraId="34AE8AE6" w14:textId="77777777" w:rsidR="002435CD" w:rsidRPr="00EA4C9B" w:rsidRDefault="002435CD" w:rsidP="009B400E">
      <w:pPr>
        <w:pStyle w:val="Bulletlist"/>
        <w:numPr>
          <w:ilvl w:val="0"/>
          <w:numId w:val="26"/>
        </w:numPr>
      </w:pPr>
      <w:r w:rsidRPr="00EA4C9B">
        <w:t xml:space="preserve">intended to be sent into space. </w:t>
      </w:r>
    </w:p>
    <w:p w14:paraId="271361DD" w14:textId="77777777" w:rsidR="002435CD" w:rsidRPr="00EA4C9B" w:rsidRDefault="002435CD" w:rsidP="002435CD">
      <w:r w:rsidRPr="00EA4C9B">
        <w:t xml:space="preserve">In 1995, a </w:t>
      </w:r>
      <w:r w:rsidRPr="00EA4C9B">
        <w:rPr>
          <w:b/>
          <w:bCs/>
        </w:rPr>
        <w:t>sulphur tax</w:t>
      </w:r>
      <w:r w:rsidRPr="00EA4C9B">
        <w:t xml:space="preserve"> (Svavelskattin) Sweden was introduced to reduce the amount of sulphur dioxide emissions from burning solid fuels and gaseous products. The tax was intended to reduce the environmental impact of combustion. The main taxpayers include authorised warehouse keepers and registered traders. For solid and gaseous products, the rate is set at SEK 30 per kg of sulphur in the fuel. The sulphur tax on liquid fuels is SEK 27 per m</w:t>
      </w:r>
      <w:r w:rsidRPr="00EA4C9B">
        <w:rPr>
          <w:vertAlign w:val="superscript"/>
        </w:rPr>
        <w:t>3</w:t>
      </w:r>
      <w:r w:rsidRPr="00EA4C9B">
        <w:t xml:space="preserve"> of oil for each tenth of a per cent by weight of the sulphur content</w:t>
      </w:r>
      <w:r w:rsidRPr="00EA4C9B">
        <w:rPr>
          <w:rStyle w:val="FootnoteReference"/>
        </w:rPr>
        <w:footnoteReference w:id="874"/>
      </w:r>
      <w:r w:rsidRPr="00EA4C9B">
        <w:t xml:space="preserve">. The liability to pay tax arises when the fuel is delivered from a tax suspension arrangement. Tax is due at the same time as the declaration is to be submitted, which is monthly. The sulphur tax is not levied if the fuel is used: for purposes other than motor fuel or heating fuel, in rail bound means of transportation, for commercial navigation, in commercial air navigation, in connection with the production of mineral oils, coal fuels, petroleum coke or other taxable products, in metallurgical or mineralogical processes, in certain processes in the pulp industry. Liquid or gaseous products with a sulphur content of a maximum of 0.05 per cent by weight is exempted from the sulphur tax. When measures are taken to reduce sulphur emissions the tax is repaid by SEK 30 per kg of reduced emissions. </w:t>
      </w:r>
    </w:p>
    <w:p w14:paraId="2D9E19A0" w14:textId="77777777" w:rsidR="002435CD" w:rsidRPr="00EA4C9B" w:rsidRDefault="002435CD" w:rsidP="002435CD">
      <w:r w:rsidRPr="00EA4C9B">
        <w:t>According to a study that looked at the effectiveness of NOx and SO</w:t>
      </w:r>
      <w:r w:rsidRPr="00EA4C9B">
        <w:rPr>
          <w:vertAlign w:val="subscript"/>
        </w:rPr>
        <w:t>2</w:t>
      </w:r>
      <w:r w:rsidRPr="00EA4C9B">
        <w:t xml:space="preserve"> taxes in Sweden</w:t>
      </w:r>
      <w:r w:rsidRPr="00EA4C9B">
        <w:rPr>
          <w:rStyle w:val="FootnoteReference"/>
        </w:rPr>
        <w:footnoteReference w:id="875"/>
      </w:r>
      <w:r w:rsidRPr="00EA4C9B">
        <w:t>, SO</w:t>
      </w:r>
      <w:r w:rsidRPr="00EA4C9B">
        <w:rPr>
          <w:vertAlign w:val="subscript"/>
        </w:rPr>
        <w:t>2</w:t>
      </w:r>
      <w:r w:rsidRPr="00EA4C9B">
        <w:t xml:space="preserve"> emissions declined between the years 1990 to 2014. The decline before the implementation of the tax in 1991 was due to the anticipation of the tax being introduced in 1991. Additionally, the tax has led to more cleaning of emissions from coal and peat</w:t>
      </w:r>
      <w:r w:rsidRPr="00EA4C9B">
        <w:rPr>
          <w:rStyle w:val="FootnoteReference"/>
        </w:rPr>
        <w:footnoteReference w:id="876"/>
      </w:r>
      <w:r w:rsidRPr="00EA4C9B">
        <w:t>.</w:t>
      </w:r>
    </w:p>
    <w:p w14:paraId="2549EDC3" w14:textId="77777777" w:rsidR="002435CD" w:rsidRPr="00EA4C9B" w:rsidRDefault="002435CD" w:rsidP="002435CD">
      <w:r w:rsidRPr="00EA4C9B">
        <w:t xml:space="preserve">Between the years 2009 – 2023, average revenue from a tax on sulphur was EUR 1.7 million. </w:t>
      </w:r>
    </w:p>
    <w:p w14:paraId="20331521" w14:textId="0F14230E" w:rsidR="002435CD" w:rsidRPr="00EA4C9B" w:rsidRDefault="002435CD" w:rsidP="002435CD">
      <w:r w:rsidRPr="00EA4C9B">
        <w:t xml:space="preserve">In 2023, a </w:t>
      </w:r>
      <w:r w:rsidRPr="00EA4C9B">
        <w:rPr>
          <w:b/>
          <w:bCs/>
        </w:rPr>
        <w:t>tax on plastic bags</w:t>
      </w:r>
      <w:r w:rsidRPr="00EA4C9B">
        <w:t xml:space="preserve"> was cancelled</w:t>
      </w:r>
      <w:r w:rsidRPr="00EA4C9B">
        <w:rPr>
          <w:vertAlign w:val="superscript"/>
        </w:rPr>
        <w:footnoteReference w:id="877"/>
      </w:r>
      <w:r w:rsidRPr="00EA4C9B">
        <w:t>. The tax was successful in reducing plastic bags usage from 74 in 2019 to 17 bags per person in 2023</w:t>
      </w:r>
      <w:r w:rsidRPr="00EA4C9B">
        <w:rPr>
          <w:vertAlign w:val="superscript"/>
        </w:rPr>
        <w:footnoteReference w:id="878"/>
      </w:r>
      <w:r w:rsidRPr="00EA4C9B">
        <w:t>. However, the government stated it was far lower than the EU consumption target of 40, and that the EU target would be achievable in the absence of tax. Another reason was administrative costs and possible negative effects such as increased consumption of alternatives.   </w:t>
      </w:r>
    </w:p>
    <w:p w14:paraId="62BE4ACF" w14:textId="77777777" w:rsidR="002435CD" w:rsidRPr="00EA4C9B" w:rsidRDefault="002435CD" w:rsidP="009E1B64">
      <w:pPr>
        <w:pStyle w:val="Bulletlist"/>
        <w:numPr>
          <w:ilvl w:val="0"/>
          <w:numId w:val="0"/>
        </w:numPr>
      </w:pPr>
      <w:r w:rsidRPr="00EA4C9B">
        <w:t xml:space="preserve">Fees and other related instruments </w:t>
      </w:r>
    </w:p>
    <w:p w14:paraId="3948CD67" w14:textId="77777777" w:rsidR="002435CD" w:rsidRPr="00EA4C9B" w:rsidRDefault="002435CD" w:rsidP="009E1B64">
      <w:pPr>
        <w:pStyle w:val="Bulletlist"/>
        <w:numPr>
          <w:ilvl w:val="0"/>
          <w:numId w:val="0"/>
        </w:numPr>
      </w:pPr>
    </w:p>
    <w:p w14:paraId="38FCB8F7" w14:textId="77777777" w:rsidR="002435CD" w:rsidRPr="00EA4C9B" w:rsidRDefault="002435CD" w:rsidP="009E1B64">
      <w:pPr>
        <w:pStyle w:val="Bulletlist"/>
        <w:numPr>
          <w:ilvl w:val="0"/>
          <w:numId w:val="0"/>
        </w:numPr>
      </w:pPr>
      <w:r w:rsidRPr="00EA4C9B">
        <w:t>In Sweden there are several fees or charges that aren’t classed as taxes according to the PINE database</w:t>
      </w:r>
      <w:r w:rsidRPr="00EA4C9B">
        <w:rPr>
          <w:rStyle w:val="FootnoteReference"/>
          <w:color w:val="000000" w:themeColor="text1"/>
        </w:rPr>
        <w:footnoteReference w:id="879"/>
      </w:r>
      <w:r w:rsidRPr="00EA4C9B">
        <w:t xml:space="preserve">. Note, PINE define fees as compulsory requited payments to the government that are levied more-or-less in proportion to the services provided. In this database, the terms “fees” and “charges” are used interchangeably. The main difference between taxes and fees/charges is the type </w:t>
      </w:r>
      <w:r w:rsidRPr="00EA4C9B">
        <w:lastRenderedPageBreak/>
        <w:t xml:space="preserve">of beneficiary: fees are paid for government services directed at a specific beneficiary, while taxes are used to raise revenue to fund government expenditure. </w:t>
      </w:r>
    </w:p>
    <w:p w14:paraId="5250BFAF" w14:textId="77777777" w:rsidR="002435CD" w:rsidRPr="00EA4C9B" w:rsidRDefault="002435CD" w:rsidP="009E1B64">
      <w:pPr>
        <w:pStyle w:val="Bulletlist"/>
        <w:numPr>
          <w:ilvl w:val="0"/>
          <w:numId w:val="0"/>
        </w:numPr>
      </w:pPr>
    </w:p>
    <w:p w14:paraId="7ED68240" w14:textId="77777777" w:rsidR="002435CD" w:rsidRPr="00EA4C9B" w:rsidRDefault="002435CD" w:rsidP="009E1B64">
      <w:pPr>
        <w:pStyle w:val="Bulletlist"/>
        <w:numPr>
          <w:ilvl w:val="0"/>
          <w:numId w:val="0"/>
        </w:numPr>
      </w:pPr>
      <w:r w:rsidRPr="00EA4C9B">
        <w:t>These include:</w:t>
      </w:r>
    </w:p>
    <w:p w14:paraId="064FBDC0" w14:textId="77777777" w:rsidR="002435CD" w:rsidRPr="00EA4C9B" w:rsidRDefault="002435CD" w:rsidP="009B400E">
      <w:pPr>
        <w:pStyle w:val="Bulletlist"/>
        <w:numPr>
          <w:ilvl w:val="0"/>
          <w:numId w:val="27"/>
        </w:numPr>
      </w:pPr>
      <w:r w:rsidRPr="00EA4C9B">
        <w:rPr>
          <w:b/>
          <w:bCs/>
        </w:rPr>
        <w:t>Mineral act charge</w:t>
      </w:r>
      <w:r w:rsidRPr="00EA4C9B">
        <w:t xml:space="preserve"> which was implemented in 1992</w:t>
      </w:r>
    </w:p>
    <w:p w14:paraId="3C2F22D3" w14:textId="77777777" w:rsidR="002435CD" w:rsidRPr="00EA4C9B" w:rsidRDefault="002435CD" w:rsidP="009B400E">
      <w:pPr>
        <w:pStyle w:val="Bulletlist"/>
        <w:numPr>
          <w:ilvl w:val="0"/>
          <w:numId w:val="27"/>
        </w:numPr>
      </w:pPr>
      <w:r w:rsidRPr="00EA4C9B">
        <w:rPr>
          <w:b/>
          <w:bCs/>
        </w:rPr>
        <w:t>Excavation charge</w:t>
      </w:r>
      <w:r w:rsidRPr="00EA4C9B">
        <w:t xml:space="preserve"> which was implemented in 1999</w:t>
      </w:r>
    </w:p>
    <w:p w14:paraId="7757DBB4" w14:textId="77777777" w:rsidR="002435CD" w:rsidRPr="00EA4C9B" w:rsidRDefault="002435CD" w:rsidP="009B400E">
      <w:pPr>
        <w:pStyle w:val="Bulletlist"/>
        <w:numPr>
          <w:ilvl w:val="0"/>
          <w:numId w:val="27"/>
        </w:numPr>
      </w:pPr>
      <w:r w:rsidRPr="00EA4C9B">
        <w:t>Environmental differentiated fairway dues implemented in 1998</w:t>
      </w:r>
    </w:p>
    <w:p w14:paraId="00948D8B" w14:textId="77777777" w:rsidR="002435CD" w:rsidRPr="00EA4C9B" w:rsidRDefault="002435CD" w:rsidP="009B400E">
      <w:pPr>
        <w:pStyle w:val="Bulletlist"/>
        <w:numPr>
          <w:ilvl w:val="0"/>
          <w:numId w:val="27"/>
        </w:numPr>
      </w:pPr>
      <w:r w:rsidRPr="00EA4C9B">
        <w:rPr>
          <w:b/>
          <w:bCs/>
        </w:rPr>
        <w:t>Noise related landing charges</w:t>
      </w:r>
      <w:r w:rsidRPr="00EA4C9B">
        <w:t xml:space="preserve"> for airplanes implemented in 1994</w:t>
      </w:r>
    </w:p>
    <w:p w14:paraId="5E06B86E" w14:textId="77777777" w:rsidR="002435CD" w:rsidRPr="00EA4C9B" w:rsidRDefault="002435CD" w:rsidP="009B400E">
      <w:pPr>
        <w:pStyle w:val="Bulletlist"/>
        <w:numPr>
          <w:ilvl w:val="0"/>
          <w:numId w:val="27"/>
        </w:numPr>
      </w:pPr>
      <w:r w:rsidRPr="00EA4C9B">
        <w:t>Regulation on Environmental sanction fees implemented in 1999</w:t>
      </w:r>
    </w:p>
    <w:p w14:paraId="42DE30E0" w14:textId="77777777" w:rsidR="002435CD" w:rsidRPr="00EA4C9B" w:rsidRDefault="002435CD" w:rsidP="009B400E">
      <w:pPr>
        <w:pStyle w:val="Bulletlist"/>
        <w:numPr>
          <w:ilvl w:val="0"/>
          <w:numId w:val="27"/>
        </w:numPr>
      </w:pPr>
      <w:r w:rsidRPr="00EA4C9B">
        <w:t>Fee on imported aluminium cans implemented in 1984</w:t>
      </w:r>
    </w:p>
    <w:p w14:paraId="6105C94E" w14:textId="77777777" w:rsidR="002435CD" w:rsidRPr="00EA4C9B" w:rsidRDefault="002435CD" w:rsidP="009B400E">
      <w:pPr>
        <w:pStyle w:val="Bulletlist"/>
        <w:numPr>
          <w:ilvl w:val="0"/>
          <w:numId w:val="27"/>
        </w:numPr>
      </w:pPr>
      <w:r w:rsidRPr="00EA4C9B">
        <w:rPr>
          <w:b/>
          <w:bCs/>
        </w:rPr>
        <w:t xml:space="preserve">Hunting fee </w:t>
      </w:r>
      <w:r w:rsidRPr="00EA4C9B">
        <w:t>implemented in 1995</w:t>
      </w:r>
    </w:p>
    <w:p w14:paraId="36089D90" w14:textId="77777777" w:rsidR="002435CD" w:rsidRPr="00EA4C9B" w:rsidRDefault="002435CD" w:rsidP="009B400E">
      <w:pPr>
        <w:pStyle w:val="Bulletlist"/>
        <w:numPr>
          <w:ilvl w:val="0"/>
          <w:numId w:val="27"/>
        </w:numPr>
      </w:pPr>
      <w:r w:rsidRPr="00EA4C9B">
        <w:t>License fee for exploitation of peat implemented in 1985</w:t>
      </w:r>
    </w:p>
    <w:p w14:paraId="03916A31" w14:textId="77777777" w:rsidR="002435CD" w:rsidRPr="00EA4C9B" w:rsidRDefault="002435CD" w:rsidP="009B400E">
      <w:pPr>
        <w:pStyle w:val="Bulletlist"/>
        <w:numPr>
          <w:ilvl w:val="0"/>
          <w:numId w:val="27"/>
        </w:numPr>
      </w:pPr>
      <w:r w:rsidRPr="00EA4C9B">
        <w:rPr>
          <w:b/>
          <w:bCs/>
        </w:rPr>
        <w:t>Tax on plastic bags</w:t>
      </w:r>
      <w:r w:rsidRPr="00EA4C9B">
        <w:t xml:space="preserve"> which was implemented in 2020 but was abolished in 2023</w:t>
      </w:r>
    </w:p>
    <w:p w14:paraId="7CA39B36" w14:textId="77777777" w:rsidR="002435CD" w:rsidRPr="00EA4C9B" w:rsidRDefault="002435CD" w:rsidP="009B400E">
      <w:pPr>
        <w:pStyle w:val="Bulletlist"/>
        <w:numPr>
          <w:ilvl w:val="0"/>
          <w:numId w:val="27"/>
        </w:numPr>
      </w:pPr>
      <w:r w:rsidRPr="00EA4C9B">
        <w:rPr>
          <w:b/>
          <w:bCs/>
        </w:rPr>
        <w:t>Fee for pesticides</w:t>
      </w:r>
      <w:r w:rsidRPr="00EA4C9B">
        <w:t xml:space="preserve"> which was implemented in 2013 </w:t>
      </w:r>
    </w:p>
    <w:p w14:paraId="2B865669" w14:textId="77777777" w:rsidR="002435CD" w:rsidRPr="00EA4C9B" w:rsidRDefault="002435CD" w:rsidP="009E1B64">
      <w:pPr>
        <w:pStyle w:val="Bulletlist"/>
        <w:numPr>
          <w:ilvl w:val="0"/>
          <w:numId w:val="0"/>
        </w:numPr>
        <w:ind w:left="360"/>
      </w:pPr>
    </w:p>
    <w:p w14:paraId="5BADD448" w14:textId="77777777" w:rsidR="002435CD" w:rsidRPr="00EA4C9B" w:rsidRDefault="002435CD" w:rsidP="002435CD">
      <w:pPr>
        <w:rPr>
          <w:b/>
          <w:bCs/>
          <w:i/>
          <w:iCs/>
          <w:color w:val="000000" w:themeColor="text1"/>
          <w:szCs w:val="24"/>
        </w:rPr>
      </w:pPr>
      <w:r w:rsidRPr="00EA4C9B">
        <w:rPr>
          <w:b/>
          <w:bCs/>
          <w:i/>
          <w:iCs/>
          <w:color w:val="000000" w:themeColor="text1"/>
          <w:szCs w:val="24"/>
        </w:rPr>
        <w:t xml:space="preserve">Conclusions, country-specific recommendations and reform progress </w:t>
      </w:r>
    </w:p>
    <w:p w14:paraId="36B5BBB4" w14:textId="77777777" w:rsidR="002435CD" w:rsidRPr="00EA4C9B" w:rsidRDefault="002435CD" w:rsidP="002435CD">
      <w:r w:rsidRPr="0DB99A64">
        <w:rPr>
          <w:color w:val="000000" w:themeColor="text1"/>
        </w:rPr>
        <w:t xml:space="preserve">The </w:t>
      </w:r>
      <w:r w:rsidRPr="00EA4C9B">
        <w:t xml:space="preserve">Swedish tax system is </w:t>
      </w:r>
      <w:r w:rsidRPr="00EA4C9B">
        <w:rPr>
          <w:b/>
          <w:bCs/>
        </w:rPr>
        <w:t>centralised</w:t>
      </w:r>
      <w:r w:rsidRPr="00EA4C9B">
        <w:t>. National government sets environmental taxes, while local governments play a role in levying local taxes</w:t>
      </w:r>
      <w:r w:rsidRPr="00EA4C9B">
        <w:rPr>
          <w:vertAlign w:val="superscript"/>
        </w:rPr>
        <w:footnoteReference w:id="880"/>
      </w:r>
      <w:r w:rsidRPr="00EA4C9B">
        <w:t>, such as personal income taxes and municipal or regional taxes</w:t>
      </w:r>
      <w:r w:rsidRPr="00EA4C9B">
        <w:rPr>
          <w:vertAlign w:val="superscript"/>
        </w:rPr>
        <w:footnoteReference w:id="881"/>
      </w:r>
      <w:r w:rsidRPr="00EA4C9B">
        <w:t>.  </w:t>
      </w:r>
    </w:p>
    <w:p w14:paraId="74EEB14B" w14:textId="77777777" w:rsidR="002435CD" w:rsidRPr="00EA4C9B" w:rsidRDefault="002435CD" w:rsidP="002435CD">
      <w:pPr>
        <w:rPr>
          <w:color w:val="000000" w:themeColor="text1"/>
        </w:rPr>
      </w:pPr>
      <w:r w:rsidRPr="00EA4C9B">
        <w:rPr>
          <w:color w:val="000000" w:themeColor="text1"/>
        </w:rPr>
        <w:t>In 1990, Sweden became the first country to implement a tax “shift”, seeking to reduce labour taxes and replace them with environmentally related taxes</w:t>
      </w:r>
      <w:r w:rsidRPr="00EA4C9B">
        <w:rPr>
          <w:rStyle w:val="FootnoteReference"/>
          <w:color w:val="000000" w:themeColor="text1"/>
        </w:rPr>
        <w:footnoteReference w:id="882"/>
      </w:r>
      <w:r w:rsidRPr="00EA4C9B">
        <w:rPr>
          <w:color w:val="000000" w:themeColor="text1"/>
        </w:rPr>
        <w:t>. A renewed reform program was launched in 2001 which sought to further shift the tax burden from labour to environmentally harmful activities</w:t>
      </w:r>
      <w:r w:rsidRPr="00EA4C9B">
        <w:rPr>
          <w:rStyle w:val="FootnoteReference"/>
          <w:color w:val="000000" w:themeColor="text1"/>
        </w:rPr>
        <w:footnoteReference w:id="883"/>
      </w:r>
      <w:r w:rsidRPr="00EA4C9B">
        <w:rPr>
          <w:color w:val="000000" w:themeColor="text1"/>
        </w:rPr>
        <w:t>. Despite this, revenues from environmentally related taxes as a percentage of GDP have been declining (</w:t>
      </w:r>
      <w:r w:rsidRPr="00EA4C9B">
        <w:t>as a percentage of GDP, environmental taxes declined from 2.6% in 2009 to 2.0% in 2023)</w:t>
      </w:r>
      <w:r w:rsidRPr="00EA4C9B">
        <w:rPr>
          <w:color w:val="000000" w:themeColor="text1"/>
        </w:rPr>
        <w:t>. According to the recently published country-specific recommendations report</w:t>
      </w:r>
      <w:r w:rsidRPr="00EA4C9B">
        <w:rPr>
          <w:rStyle w:val="FootnoteReference"/>
          <w:color w:val="000000" w:themeColor="text1"/>
        </w:rPr>
        <w:footnoteReference w:id="884"/>
      </w:r>
      <w:r w:rsidRPr="00EA4C9B">
        <w:rPr>
          <w:color w:val="000000" w:themeColor="text1"/>
        </w:rPr>
        <w:t xml:space="preserve">, recent changes to environmental taxes has reduced incentives for the green transition due to the reduction in taxes and excises on fuel. Furthermore, Sweden is planning to eliminate the aviation tax at Swedish airports from 1 July 2025. With pollution and resource taxes accounting for only 3.2% of environmental taxes, the country-specific recommendation report mentions that Sweden could strengthen the use of the ‘polluter pays’ principle. </w:t>
      </w:r>
    </w:p>
    <w:p w14:paraId="04148056" w14:textId="77777777" w:rsidR="002435CD" w:rsidRPr="00EA4C9B" w:rsidRDefault="002435CD" w:rsidP="002435CD">
      <w:pPr>
        <w:rPr>
          <w:color w:val="000000" w:themeColor="text1"/>
          <w:szCs w:val="24"/>
        </w:rPr>
      </w:pPr>
      <w:r w:rsidRPr="0DB99A64">
        <w:rPr>
          <w:color w:val="000000" w:themeColor="text1"/>
        </w:rPr>
        <w:t>Since the study on assessing the environmental fiscal reform potential for the EU28</w:t>
      </w:r>
      <w:r w:rsidRPr="0DB99A64">
        <w:rPr>
          <w:rStyle w:val="FootnoteReference"/>
          <w:color w:val="000000" w:themeColor="text1"/>
        </w:rPr>
        <w:footnoteReference w:id="885"/>
      </w:r>
      <w:r w:rsidRPr="0DB99A64">
        <w:rPr>
          <w:color w:val="000000" w:themeColor="text1"/>
        </w:rPr>
        <w:t xml:space="preserve"> published in 2016 two new taxes have been implemented including the </w:t>
      </w:r>
      <w:r w:rsidRPr="0DB99A64">
        <w:rPr>
          <w:b/>
          <w:color w:val="000000" w:themeColor="text1"/>
        </w:rPr>
        <w:t>chemical fee on products</w:t>
      </w:r>
      <w:r w:rsidRPr="0DB99A64">
        <w:rPr>
          <w:color w:val="000000" w:themeColor="text1"/>
        </w:rPr>
        <w:t xml:space="preserve"> and the </w:t>
      </w:r>
      <w:r w:rsidRPr="00EA4C9B">
        <w:rPr>
          <w:b/>
          <w:bCs/>
          <w:color w:val="000000" w:themeColor="text1"/>
        </w:rPr>
        <w:t xml:space="preserve">tax on chemicals in certain electronics </w:t>
      </w:r>
      <w:r w:rsidRPr="00EA4C9B">
        <w:rPr>
          <w:color w:val="000000" w:themeColor="text1"/>
        </w:rPr>
        <w:t xml:space="preserve">which were both implemented in 2017. Two taxes have been abolished including the tax on </w:t>
      </w:r>
      <w:r w:rsidRPr="00EA4C9B">
        <w:rPr>
          <w:b/>
          <w:bCs/>
          <w:color w:val="000000" w:themeColor="text1"/>
        </w:rPr>
        <w:t>waste incineration</w:t>
      </w:r>
      <w:r w:rsidRPr="00EA4C9B">
        <w:rPr>
          <w:color w:val="000000" w:themeColor="text1"/>
        </w:rPr>
        <w:t xml:space="preserve"> and the </w:t>
      </w:r>
      <w:r w:rsidRPr="00EA4C9B">
        <w:rPr>
          <w:b/>
          <w:bCs/>
          <w:color w:val="000000" w:themeColor="text1"/>
        </w:rPr>
        <w:t>tax on plastic bags</w:t>
      </w:r>
      <w:r w:rsidRPr="00EA4C9B">
        <w:rPr>
          <w:color w:val="000000" w:themeColor="text1"/>
        </w:rPr>
        <w:t xml:space="preserve">. </w:t>
      </w:r>
    </w:p>
    <w:p w14:paraId="218C20E9" w14:textId="77777777" w:rsidR="002435CD" w:rsidRPr="00EA4C9B" w:rsidRDefault="002435CD" w:rsidP="007C4EB7">
      <w:pPr>
        <w:pStyle w:val="AnnexHeading2"/>
      </w:pPr>
      <w:bookmarkStart w:id="329" w:name="_Toc214008961"/>
      <w:r w:rsidRPr="00EA4C9B">
        <w:t>Potential for implementing additional environmental taxes</w:t>
      </w:r>
      <w:bookmarkEnd w:id="329"/>
    </w:p>
    <w:p w14:paraId="1BF09F2B" w14:textId="3E0D9120" w:rsidR="00E81F49" w:rsidRPr="00E81F49" w:rsidRDefault="00E81F49" w:rsidP="00E81F49">
      <w:pPr>
        <w:spacing w:before="100" w:beforeAutospacing="1" w:after="100" w:afterAutospacing="1"/>
        <w:rPr>
          <w:color w:val="000000" w:themeColor="text1"/>
        </w:rPr>
      </w:pPr>
      <w:r w:rsidRPr="00E81F49">
        <w:rPr>
          <w:color w:val="000000" w:themeColor="text1"/>
        </w:rPr>
        <w:t xml:space="preserve">Sweden has one of the most extensive and mature environmental tax systems in the EU, covering energy, transport, air pollution, waste, and chemical products. Nonetheless, there remains some </w:t>
      </w:r>
      <w:r w:rsidRPr="00E81F49">
        <w:rPr>
          <w:color w:val="000000" w:themeColor="text1"/>
        </w:rPr>
        <w:lastRenderedPageBreak/>
        <w:t>potential to refine existing instruments and explore targeted areas where fiscal policy could further support environmental and climate objectives.</w:t>
      </w:r>
    </w:p>
    <w:p w14:paraId="0E63D5EA" w14:textId="12919912" w:rsidR="606E24A0" w:rsidRDefault="00E81F49" w:rsidP="00BA7936">
      <w:pPr>
        <w:spacing w:before="100" w:beforeAutospacing="1" w:after="100" w:afterAutospacing="1"/>
        <w:rPr>
          <w:color w:val="000000" w:themeColor="text1"/>
        </w:rPr>
      </w:pPr>
      <w:r w:rsidRPr="606E24A0">
        <w:rPr>
          <w:color w:val="000000" w:themeColor="text1"/>
        </w:rPr>
        <w:t xml:space="preserve">One area of discussion concerns the </w:t>
      </w:r>
      <w:r w:rsidRPr="606E24A0">
        <w:rPr>
          <w:b/>
          <w:bCs/>
          <w:color w:val="000000" w:themeColor="text1"/>
        </w:rPr>
        <w:t>chemical tax on electronic goods</w:t>
      </w:r>
      <w:r w:rsidRPr="606E24A0">
        <w:rPr>
          <w:color w:val="000000" w:themeColor="text1"/>
        </w:rPr>
        <w:t xml:space="preserve">, introduced to reduce exposure to hazardous substances. A 2018 analysis of the effectiveness of Swedish environmental taxes found that this instrument functions as a relatively blunt tool. The study highlighted several weaknesses. First, the risks posed by individual chemicals, and by their combinations, vary considerably and are often difficult to quantify, making it hard to calibrate an appropriate tax rate or assess the environmental impact of the measure. Second, the current design of the tax provides limited incentives to substitute hazardous substances for safer alternatives, since the rate is based on the total weight of the product rather than the quantity or toxicity of the chemicals it contains. As a result, heavier products may be taxed more heavily even if they contain fewer or less harmful substances. Third, the study pointed to a risk of </w:t>
      </w:r>
      <w:r w:rsidRPr="606E24A0">
        <w:rPr>
          <w:b/>
          <w:bCs/>
          <w:color w:val="000000" w:themeColor="text1"/>
        </w:rPr>
        <w:t>tax leakage</w:t>
      </w:r>
      <w:r w:rsidRPr="606E24A0">
        <w:rPr>
          <w:color w:val="000000" w:themeColor="text1"/>
        </w:rPr>
        <w:t>, as companies might shift to importing goods to avoid domestic taxation. However, since 2021, companies must also pay excise duty on taxable goods brought into Sweden from another EU country, closing this loophole.</w:t>
      </w:r>
    </w:p>
    <w:p w14:paraId="55F1A8BF" w14:textId="76A9F7DD" w:rsidR="606E24A0" w:rsidRDefault="00E81F49" w:rsidP="00BA7936">
      <w:pPr>
        <w:spacing w:before="100" w:beforeAutospacing="1" w:after="100" w:afterAutospacing="1"/>
        <w:rPr>
          <w:color w:val="000000" w:themeColor="text1"/>
        </w:rPr>
      </w:pPr>
      <w:r w:rsidRPr="606E24A0">
        <w:rPr>
          <w:color w:val="000000" w:themeColor="text1"/>
        </w:rPr>
        <w:t xml:space="preserve">Despite these challenges, the Swedish experience shows that </w:t>
      </w:r>
      <w:r w:rsidRPr="606E24A0">
        <w:rPr>
          <w:b/>
          <w:bCs/>
          <w:color w:val="000000" w:themeColor="text1"/>
        </w:rPr>
        <w:t>targeted regulation of specific substances</w:t>
      </w:r>
      <w:r w:rsidRPr="606E24A0">
        <w:rPr>
          <w:color w:val="000000" w:themeColor="text1"/>
        </w:rPr>
        <w:t>, building on frameworks such as REACH, remains a more effective approach for addressing chemical risks. A possible path forward would involve redesigning the tax to align more closely with chemical content or toxicity levels, thereby strengthening incentives for substitution while maintaining administrative feasibility.</w:t>
      </w:r>
    </w:p>
    <w:p w14:paraId="23F08E12" w14:textId="490E4432" w:rsidR="606E24A0" w:rsidRDefault="00000000" w:rsidP="00BA7936">
      <w:pPr>
        <w:spacing w:before="100" w:beforeAutospacing="1" w:after="100" w:afterAutospacing="1"/>
        <w:rPr>
          <w:color w:val="000000" w:themeColor="text1"/>
        </w:rPr>
      </w:pPr>
      <w:sdt>
        <w:sdtPr>
          <w:rPr>
            <w:color w:val="000000" w:themeColor="text1"/>
          </w:rPr>
          <w:tag w:val="MENDELEY_CITATION_v3_eyJjaXRhdGlvbklEIjoiTUVOREVMRVlfQ0lUQVRJT05fNzFiZDExNDgtNjVmMC00ZTk4LWEzNTgtZTE4NTliYTVmNDdj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1705329007"/>
          <w:placeholder>
            <w:docPart w:val="DefaultPlaceholder_-1854013440"/>
          </w:placeholder>
        </w:sdtPr>
        <w:sdtContent>
          <w:r w:rsidR="00720804" w:rsidRPr="606E24A0">
            <w:rPr>
              <w:color w:val="000000" w:themeColor="text1"/>
            </w:rPr>
            <w:t>Hogg et al. (2016)</w:t>
          </w:r>
        </w:sdtContent>
      </w:sdt>
      <w:r w:rsidR="643F8234" w:rsidRPr="606E24A0">
        <w:rPr>
          <w:color w:val="000000" w:themeColor="text1"/>
        </w:rPr>
        <w:t xml:space="preserve"> </w:t>
      </w:r>
      <w:r w:rsidR="00E81F49" w:rsidRPr="606E24A0">
        <w:rPr>
          <w:color w:val="000000" w:themeColor="text1"/>
        </w:rPr>
        <w:t xml:space="preserve">also outlined a number of options that have since been partially implemented or reconsidered. For instance, a </w:t>
      </w:r>
      <w:r w:rsidR="00E81F49" w:rsidRPr="606E24A0">
        <w:rPr>
          <w:b/>
          <w:bCs/>
          <w:color w:val="000000" w:themeColor="text1"/>
        </w:rPr>
        <w:t>plastic bag tax</w:t>
      </w:r>
      <w:r w:rsidR="00E81F49" w:rsidRPr="606E24A0">
        <w:rPr>
          <w:color w:val="000000" w:themeColor="text1"/>
        </w:rPr>
        <w:t xml:space="preserve"> was introduced in 2020 but later abolished in 2023, largely due to overlapping EU legislation and limited incremental benefits. Similarly, an </w:t>
      </w:r>
      <w:r w:rsidR="00E81F49" w:rsidRPr="606E24A0">
        <w:rPr>
          <w:b/>
          <w:bCs/>
          <w:color w:val="000000" w:themeColor="text1"/>
        </w:rPr>
        <w:t>incineration tax</w:t>
      </w:r>
      <w:r w:rsidR="00E81F49" w:rsidRPr="606E24A0">
        <w:rPr>
          <w:color w:val="000000" w:themeColor="text1"/>
        </w:rPr>
        <w:t xml:space="preserve"> was reintroduced in 2020 at a rate close to the benchmark (€15 per tonne) but also abolished in 2023 following political debate and industry opposition. Both cases illustrate the difficulties of sustaining environmental taxes in the face of administrative complexity, competitiveness concerns, and limited public acceptance when clear environmental benefits are not evident.</w:t>
      </w:r>
    </w:p>
    <w:p w14:paraId="6B59660B" w14:textId="5066C1C5" w:rsidR="606E24A0" w:rsidRDefault="00E81F49" w:rsidP="00BA7936">
      <w:pPr>
        <w:spacing w:before="100" w:beforeAutospacing="1" w:after="100" w:afterAutospacing="1"/>
        <w:rPr>
          <w:color w:val="000000" w:themeColor="text1"/>
        </w:rPr>
      </w:pPr>
      <w:r w:rsidRPr="606E24A0">
        <w:rPr>
          <w:color w:val="000000" w:themeColor="text1"/>
        </w:rPr>
        <w:t xml:space="preserve">Other recommendations from </w:t>
      </w:r>
      <w:sdt>
        <w:sdtPr>
          <w:rPr>
            <w:color w:val="000000" w:themeColor="text1"/>
          </w:rPr>
          <w:tag w:val="MENDELEY_CITATION_v3_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"/>
          <w:id w:val="724564795"/>
          <w:placeholder>
            <w:docPart w:val="DefaultPlaceholder_-1854013440"/>
          </w:placeholder>
        </w:sdtPr>
        <w:sdtContent>
          <w:r w:rsidR="00720804" w:rsidRPr="606E24A0">
            <w:rPr>
              <w:color w:val="000000" w:themeColor="text1"/>
            </w:rPr>
            <w:t>Hogg et al. (2016)</w:t>
          </w:r>
        </w:sdtContent>
      </w:sdt>
      <w:r w:rsidRPr="606E24A0">
        <w:rPr>
          <w:color w:val="000000" w:themeColor="text1"/>
        </w:rPr>
        <w:t xml:space="preserve"> included introducing a </w:t>
      </w:r>
      <w:r w:rsidRPr="606E24A0">
        <w:rPr>
          <w:b/>
          <w:bCs/>
          <w:color w:val="000000" w:themeColor="text1"/>
        </w:rPr>
        <w:t>wastewater tax</w:t>
      </w:r>
      <w:r w:rsidRPr="606E24A0">
        <w:rPr>
          <w:color w:val="000000" w:themeColor="text1"/>
        </w:rPr>
        <w:t xml:space="preserve">, a </w:t>
      </w:r>
      <w:r w:rsidRPr="606E24A0">
        <w:rPr>
          <w:b/>
          <w:bCs/>
          <w:color w:val="000000" w:themeColor="text1"/>
        </w:rPr>
        <w:t>water abstraction charge for public supply</w:t>
      </w:r>
      <w:r w:rsidRPr="606E24A0">
        <w:rPr>
          <w:color w:val="000000" w:themeColor="text1"/>
        </w:rPr>
        <w:t xml:space="preserve">, and the </w:t>
      </w:r>
      <w:r w:rsidRPr="606E24A0">
        <w:rPr>
          <w:b/>
          <w:bCs/>
          <w:color w:val="000000" w:themeColor="text1"/>
        </w:rPr>
        <w:t>reintroduction of a fertiliser tax</w:t>
      </w:r>
      <w:r w:rsidRPr="606E24A0">
        <w:rPr>
          <w:color w:val="000000" w:themeColor="text1"/>
        </w:rPr>
        <w:t>. Stakeholder consultations for this study confirmed that water use in Sweden is already subject to municipal fees, which include costs for wastewater treatment. As such, the potential for additional fiscal measures in the water sector is limited, except for local adjustments in areas facing water-quality or nutrient-discharge challenges.</w:t>
      </w:r>
    </w:p>
    <w:p w14:paraId="019DD116" w14:textId="40571653" w:rsidR="606E24A0" w:rsidRDefault="006E7FF4" w:rsidP="00BA7936">
      <w:pPr>
        <w:spacing w:before="100" w:beforeAutospacing="1" w:after="100" w:afterAutospacing="1"/>
        <w:rPr>
          <w:color w:val="000000" w:themeColor="text1"/>
        </w:rPr>
      </w:pPr>
      <w:r>
        <w:rPr>
          <w:color w:val="000000" w:themeColor="text1"/>
        </w:rPr>
        <w:t xml:space="preserve">Stakeholder </w:t>
      </w:r>
      <w:r w:rsidRPr="006E7FF4">
        <w:rPr>
          <w:color w:val="000000" w:themeColor="text1"/>
        </w:rPr>
        <w:t xml:space="preserve">feedback </w:t>
      </w:r>
      <w:r>
        <w:rPr>
          <w:color w:val="000000" w:themeColor="text1"/>
        </w:rPr>
        <w:t>gathered</w:t>
      </w:r>
      <w:r w:rsidRPr="006E7FF4">
        <w:rPr>
          <w:color w:val="000000" w:themeColor="text1"/>
        </w:rPr>
        <w:t xml:space="preserve"> in the context of this study</w:t>
      </w:r>
      <w:r>
        <w:rPr>
          <w:color w:val="000000" w:themeColor="text1"/>
        </w:rPr>
        <w:t xml:space="preserve"> </w:t>
      </w:r>
      <w:r w:rsidR="00E81F49" w:rsidRPr="606E24A0">
        <w:rPr>
          <w:color w:val="000000" w:themeColor="text1"/>
        </w:rPr>
        <w:t>identified two pressing environmental issues where fiscal measures could, in theory, contribute but where political and structural barriers make progress unlikely in the near term.</w:t>
      </w:r>
    </w:p>
    <w:p w14:paraId="78D95934" w14:textId="68004EE2" w:rsidR="606E24A0" w:rsidRDefault="00E81F49" w:rsidP="00BA7936">
      <w:pPr>
        <w:spacing w:before="100" w:beforeAutospacing="1" w:after="100" w:afterAutospacing="1"/>
        <w:rPr>
          <w:color w:val="000000" w:themeColor="text1"/>
        </w:rPr>
      </w:pPr>
      <w:r w:rsidRPr="606E24A0">
        <w:rPr>
          <w:color w:val="000000" w:themeColor="text1"/>
        </w:rPr>
        <w:t xml:space="preserve">The first concerns the </w:t>
      </w:r>
      <w:r w:rsidRPr="606E24A0">
        <w:rPr>
          <w:b/>
          <w:bCs/>
          <w:color w:val="000000" w:themeColor="text1"/>
        </w:rPr>
        <w:t>environmental status of the Baltic Sea</w:t>
      </w:r>
      <w:r w:rsidRPr="606E24A0">
        <w:rPr>
          <w:color w:val="000000" w:themeColor="text1"/>
        </w:rPr>
        <w:t xml:space="preserve">, which continues to suffer from nutrient pollution, partly due to agricultural fertiliser runoff. While a fertiliser tax could contribute to mitigation, any effective measure would require </w:t>
      </w:r>
      <w:r w:rsidRPr="606E24A0">
        <w:rPr>
          <w:b/>
          <w:bCs/>
          <w:color w:val="000000" w:themeColor="text1"/>
        </w:rPr>
        <w:t>regional coordination among Baltic Sea countries</w:t>
      </w:r>
      <w:r w:rsidRPr="606E24A0">
        <w:rPr>
          <w:color w:val="000000" w:themeColor="text1"/>
        </w:rPr>
        <w:t xml:space="preserve"> to avoid competitiveness distortions and ensure shared responsibility. Sweden alone could not resolve this transboundary issue through unilateral taxation.</w:t>
      </w:r>
    </w:p>
    <w:p w14:paraId="6547CB99" w14:textId="6EDF210B" w:rsidR="606E24A0" w:rsidRDefault="00E81F49" w:rsidP="00BA7936">
      <w:pPr>
        <w:spacing w:before="100" w:beforeAutospacing="1" w:after="100" w:afterAutospacing="1"/>
        <w:rPr>
          <w:color w:val="000000" w:themeColor="text1"/>
        </w:rPr>
      </w:pPr>
      <w:r w:rsidRPr="606E24A0">
        <w:rPr>
          <w:color w:val="000000" w:themeColor="text1"/>
        </w:rPr>
        <w:t xml:space="preserve">The second challenge relates to </w:t>
      </w:r>
      <w:r w:rsidRPr="606E24A0">
        <w:rPr>
          <w:b/>
          <w:bCs/>
          <w:color w:val="000000" w:themeColor="text1"/>
        </w:rPr>
        <w:t>biodiversity loss linked to intensive forestry</w:t>
      </w:r>
      <w:r w:rsidRPr="606E24A0">
        <w:rPr>
          <w:color w:val="000000" w:themeColor="text1"/>
        </w:rPr>
        <w:t>. A potential tax on timber extraction could incentivise more sustainable forest management, delivering climate and biodiversity co-benefits. However, this remains politically infeasible. The forestry sector is a cornerstone of Sweden’s export economy, which has expanded further since the Russia</w:t>
      </w:r>
      <w:r w:rsidR="00E1148E" w:rsidRPr="606E24A0">
        <w:rPr>
          <w:color w:val="000000" w:themeColor="text1"/>
        </w:rPr>
        <w:t>-</w:t>
      </w:r>
      <w:r w:rsidRPr="606E24A0">
        <w:rPr>
          <w:color w:val="000000" w:themeColor="text1"/>
        </w:rPr>
        <w:t>Ukraine conflict curtailed Russian timber exports and boosted Swedish supply. In addition, wood is increasingly seen as a low-</w:t>
      </w:r>
      <w:r w:rsidRPr="606E24A0">
        <w:rPr>
          <w:color w:val="000000" w:themeColor="text1"/>
        </w:rPr>
        <w:lastRenderedPageBreak/>
        <w:t>carbon substitute for concrete and steel in construction, which reinforces political reluctance to impose new costs on timber producers.</w:t>
      </w:r>
    </w:p>
    <w:p w14:paraId="7D9C2384" w14:textId="0103A740" w:rsidR="00E81F49" w:rsidRDefault="00E81F49" w:rsidP="606E24A0">
      <w:pPr>
        <w:spacing w:before="100" w:beforeAutospacing="1" w:after="100" w:afterAutospacing="1"/>
        <w:rPr>
          <w:color w:val="000000" w:themeColor="text1"/>
        </w:rPr>
      </w:pPr>
      <w:r w:rsidRPr="606E24A0">
        <w:rPr>
          <w:color w:val="000000" w:themeColor="text1"/>
        </w:rPr>
        <w:t xml:space="preserve">Overall, Sweden’s </w:t>
      </w:r>
      <w:r w:rsidRPr="606E24A0">
        <w:rPr>
          <w:b/>
          <w:bCs/>
          <w:color w:val="000000" w:themeColor="text1"/>
        </w:rPr>
        <w:t>potential for new environmental taxes is limited</w:t>
      </w:r>
      <w:r w:rsidRPr="606E24A0">
        <w:rPr>
          <w:color w:val="000000" w:themeColor="text1"/>
        </w:rPr>
        <w:t xml:space="preserve">. The most viable approach lies in </w:t>
      </w:r>
      <w:r w:rsidRPr="606E24A0">
        <w:rPr>
          <w:b/>
          <w:bCs/>
          <w:color w:val="000000" w:themeColor="text1"/>
        </w:rPr>
        <w:t>refining existing instruments</w:t>
      </w:r>
      <w:r w:rsidR="00720804" w:rsidRPr="606E24A0">
        <w:rPr>
          <w:color w:val="000000" w:themeColor="text1"/>
        </w:rPr>
        <w:t xml:space="preserve">, </w:t>
      </w:r>
      <w:r w:rsidRPr="606E24A0">
        <w:rPr>
          <w:color w:val="000000" w:themeColor="text1"/>
        </w:rPr>
        <w:t>such as improving the design of the chemical tax, re-examining water-related charges in specific catchments, and exploring cooperative mechanisms for regional nutrient taxation</w:t>
      </w:r>
      <w:r w:rsidR="00720804" w:rsidRPr="606E24A0">
        <w:rPr>
          <w:color w:val="000000" w:themeColor="text1"/>
        </w:rPr>
        <w:t xml:space="preserve">, </w:t>
      </w:r>
      <w:r w:rsidRPr="606E24A0">
        <w:rPr>
          <w:color w:val="000000" w:themeColor="text1"/>
        </w:rPr>
        <w:t>rather than introducing new broad-based levies. Complex issues such as nutrient runoff and biodiversity loss will require a combination of fiscal, regulatory, and voluntary measures rather than a single tax-based solution.</w:t>
      </w:r>
    </w:p>
    <w:p w14:paraId="5882E872" w14:textId="77777777" w:rsidR="002435CD" w:rsidRPr="00EA4C9B" w:rsidRDefault="002435CD" w:rsidP="007C4EB7">
      <w:pPr>
        <w:pStyle w:val="AnnexHeading2"/>
      </w:pPr>
      <w:bookmarkStart w:id="330" w:name="_Toc214008962"/>
      <w:r w:rsidRPr="00EA4C9B">
        <w:t>Impacts and feasibility of implementing new environmental taxes</w:t>
      </w:r>
      <w:bookmarkEnd w:id="330"/>
    </w:p>
    <w:p w14:paraId="257562DA" w14:textId="05AE2BF3" w:rsidR="008B0F57" w:rsidRPr="008B0F57" w:rsidRDefault="008B0F57" w:rsidP="008B0F57">
      <w:r w:rsidRPr="00FA6252">
        <w:t>The following findings draw on the modelling undertaken for the study, which assesses how introducing or increasing a set of pollution and resource taxes would affect revenues, environmental pressures and key economic indicators in each Member State. Scenario A represents the application of minimum benchmark tax rates across the EU, providing a consistent basis for comparing moderate-ambition reforms. Scenario B applies higher benchmark rates, illustrating the impacts of a more ambitious approach to environmental taxation and the additional environmental and fiscal benefits that could be achieved.</w:t>
      </w:r>
    </w:p>
    <w:p w14:paraId="670B6B2E" w14:textId="77777777" w:rsidR="002D122C" w:rsidRPr="002D122C" w:rsidRDefault="002D122C" w:rsidP="002D122C">
      <w:pPr>
        <w:rPr>
          <w:color w:val="000000" w:themeColor="text1"/>
          <w:szCs w:val="24"/>
        </w:rPr>
      </w:pPr>
      <w:r w:rsidRPr="002D122C">
        <w:rPr>
          <w:color w:val="000000" w:themeColor="text1"/>
          <w:szCs w:val="24"/>
        </w:rPr>
        <w:t xml:space="preserve">Sweden is among the EU frontrunners in environmental taxation. A mature suite of energy and transport taxes, a long-standing and effective NOx fee, a pesticides tax, and comparatively high landfill charges already shape behaviour and raise revenue. Against this high baseline, the modelling points to </w:t>
      </w:r>
      <w:r w:rsidRPr="002D122C">
        <w:rPr>
          <w:b/>
          <w:bCs/>
          <w:color w:val="000000" w:themeColor="text1"/>
          <w:szCs w:val="24"/>
        </w:rPr>
        <w:t>moderate</w:t>
      </w:r>
      <w:r w:rsidRPr="002D122C">
        <w:rPr>
          <w:color w:val="000000" w:themeColor="text1"/>
          <w:szCs w:val="24"/>
        </w:rPr>
        <w:t xml:space="preserve"> additional fiscal potential and </w:t>
      </w:r>
      <w:r w:rsidRPr="002D122C">
        <w:rPr>
          <w:b/>
          <w:bCs/>
          <w:color w:val="000000" w:themeColor="text1"/>
          <w:szCs w:val="24"/>
        </w:rPr>
        <w:t>targeted</w:t>
      </w:r>
      <w:r w:rsidRPr="002D122C">
        <w:rPr>
          <w:color w:val="000000" w:themeColor="text1"/>
          <w:szCs w:val="24"/>
        </w:rPr>
        <w:t xml:space="preserve"> environmental gains from extending pollution and resource taxation beyond current practice. The most promising areas are wastewater effluents, landfill–incineration price alignment, and minerals/aggregates, with more selective scope in agriculture. Scenario A yields measurable reductions in pollutant loads and material extraction with modest but meaningful revenues; Scenario B delivers smaller effects while preserving the same pattern.</w:t>
      </w:r>
    </w:p>
    <w:p w14:paraId="234D1D50" w14:textId="7AC8E76F" w:rsidR="002D122C" w:rsidRDefault="002D122C" w:rsidP="002D122C">
      <w:r>
        <w:t xml:space="preserve">Total revenues from the </w:t>
      </w:r>
      <w:r w:rsidR="00185A09">
        <w:t>investigated</w:t>
      </w:r>
      <w:r>
        <w:t xml:space="preserve"> taxes could rise by around €1.3 billion in 2030 and 2035, which is 4.5 times the revenues for pollution and resource taxes in 2023.  There are no gains from NOx or SO2 as these are already taxed at above the </w:t>
      </w:r>
      <w:r w:rsidR="00185A09">
        <w:t>investigated</w:t>
      </w:r>
      <w:r>
        <w:t xml:space="preserve"> minimum. The gains in revenue come most from higher taxes waste to landfill (39%), water effluent (35%), water abstraction (14%) and mineral aggregates (11%). Reductions in emissions or materials are notable for pesticides and fertilizers, water effluent discharge and emissions of PM2.5.  Water abstraction also declines by 9% and waste to landfill by 8%. Mineral extraction falls by 9%.</w:t>
      </w:r>
    </w:p>
    <w:tbl>
      <w:tblPr>
        <w:tblStyle w:val="Lentelstinklelis1"/>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35"/>
        <w:gridCol w:w="1136"/>
        <w:gridCol w:w="1043"/>
        <w:gridCol w:w="1231"/>
        <w:gridCol w:w="1018"/>
        <w:gridCol w:w="1296"/>
      </w:tblGrid>
      <w:tr w:rsidR="002D122C" w:rsidRPr="00F501DA" w14:paraId="68B7D793" w14:textId="77777777" w:rsidTr="00BA7936">
        <w:trPr>
          <w:trHeight w:val="276"/>
        </w:trPr>
        <w:tc>
          <w:tcPr>
            <w:tcW w:w="9125" w:type="dxa"/>
            <w:gridSpan w:val="7"/>
            <w:shd w:val="clear" w:color="auto" w:fill="003399"/>
          </w:tcPr>
          <w:p w14:paraId="606A4A78" w14:textId="5810E968" w:rsidR="002D122C" w:rsidRPr="00E74F8E" w:rsidRDefault="002D122C" w:rsidP="000878F6">
            <w:pPr>
              <w:pStyle w:val="Table"/>
              <w:rPr>
                <w:b/>
                <w:color w:val="FFFFFF" w:themeColor="background1"/>
                <w:lang w:eastAsia="en-GB"/>
              </w:rPr>
            </w:pPr>
            <w:r w:rsidRPr="00E74F8E">
              <w:rPr>
                <w:b/>
                <w:color w:val="FFFFFF" w:themeColor="background1"/>
              </w:rPr>
              <w:t xml:space="preserve">Table </w:t>
            </w:r>
            <w:r w:rsidR="00490085">
              <w:rPr>
                <w:b/>
                <w:bCs/>
                <w:color w:val="FFFFFF" w:themeColor="background1"/>
              </w:rPr>
              <w:t>A6</w:t>
            </w:r>
            <w:r w:rsidRPr="00E74F8E">
              <w:rPr>
                <w:b/>
                <w:bCs/>
                <w:color w:val="FFFFFF" w:themeColor="background1"/>
              </w:rPr>
              <w:t>-</w:t>
            </w:r>
            <w:r w:rsidRPr="00E74F8E">
              <w:rPr>
                <w:b/>
                <w:bCs/>
                <w:color w:val="FFFFFF" w:themeColor="background1"/>
              </w:rPr>
              <w:fldChar w:fldCharType="begin"/>
            </w:r>
            <w:r w:rsidRPr="00E74F8E">
              <w:rPr>
                <w:b/>
                <w:bCs/>
                <w:color w:val="FFFFFF" w:themeColor="background1"/>
              </w:rPr>
              <w:instrText xml:space="preserve"> SEQ Table_A5- \* ARABIC </w:instrText>
            </w:r>
            <w:r w:rsidRPr="00E74F8E">
              <w:rPr>
                <w:b/>
                <w:bCs/>
                <w:color w:val="FFFFFF" w:themeColor="background1"/>
              </w:rPr>
              <w:fldChar w:fldCharType="separate"/>
            </w:r>
            <w:r>
              <w:rPr>
                <w:b/>
                <w:bCs/>
                <w:noProof/>
                <w:color w:val="FFFFFF" w:themeColor="background1"/>
              </w:rPr>
              <w:t>140</w:t>
            </w:r>
            <w:r w:rsidRPr="00E74F8E">
              <w:rPr>
                <w:b/>
                <w:bCs/>
                <w:color w:val="FFFFFF" w:themeColor="background1"/>
              </w:rPr>
              <w:fldChar w:fldCharType="end"/>
            </w:r>
            <w:r w:rsidRPr="00E74F8E">
              <w:rPr>
                <w:b/>
                <w:bCs/>
                <w:color w:val="FFFFFF" w:themeColor="background1"/>
                <w:lang w:eastAsia="en-GB"/>
              </w:rPr>
              <w:t>:</w:t>
            </w:r>
            <w:r w:rsidRPr="00E74F8E">
              <w:rPr>
                <w:b/>
                <w:color w:val="FFFFFF" w:themeColor="background1"/>
                <w:lang w:eastAsia="en-GB"/>
              </w:rPr>
              <w:t xml:space="preserve"> Environmental Impacts and Revenue Changes in Sweden</w:t>
            </w:r>
            <w:r>
              <w:rPr>
                <w:b/>
                <w:color w:val="FFFFFF" w:themeColor="background1"/>
                <w:lang w:eastAsia="en-GB"/>
              </w:rPr>
              <w:t xml:space="preserve"> – Scenario A</w:t>
            </w:r>
          </w:p>
        </w:tc>
      </w:tr>
      <w:tr w:rsidR="002D122C" w:rsidRPr="00F501DA" w14:paraId="69F680A1" w14:textId="77777777" w:rsidTr="00BA7936">
        <w:trPr>
          <w:trHeight w:val="418"/>
        </w:trPr>
        <w:tc>
          <w:tcPr>
            <w:tcW w:w="2281" w:type="dxa"/>
          </w:tcPr>
          <w:p w14:paraId="6FD61783" w14:textId="77777777" w:rsidR="002D122C" w:rsidRPr="00E74F8E" w:rsidRDefault="002D122C" w:rsidP="000878F6">
            <w:pPr>
              <w:pStyle w:val="Table"/>
              <w:rPr>
                <w:b/>
              </w:rPr>
            </w:pPr>
            <w:r w:rsidRPr="00E74F8E">
              <w:rPr>
                <w:b/>
              </w:rPr>
              <w:t>Tax Name</w:t>
            </w:r>
          </w:p>
        </w:tc>
        <w:tc>
          <w:tcPr>
            <w:tcW w:w="2281" w:type="dxa"/>
            <w:gridSpan w:val="2"/>
            <w:vAlign w:val="bottom"/>
          </w:tcPr>
          <w:p w14:paraId="0350F920" w14:textId="77777777" w:rsidR="002D122C" w:rsidRPr="000C79DC" w:rsidRDefault="002D122C" w:rsidP="000878F6">
            <w:pPr>
              <w:pStyle w:val="Table"/>
              <w:jc w:val="center"/>
              <w:rPr>
                <w:b/>
                <w:szCs w:val="20"/>
              </w:rPr>
            </w:pPr>
            <w:r w:rsidRPr="000C79DC">
              <w:rPr>
                <w:rFonts w:ascii="Calibri" w:hAnsi="Calibri" w:cs="Calibri"/>
                <w:b/>
                <w:bCs/>
                <w:color w:val="000000"/>
                <w:szCs w:val="20"/>
              </w:rPr>
              <w:t>% Change in Quantities as % of taxed sector</w:t>
            </w:r>
          </w:p>
        </w:tc>
        <w:tc>
          <w:tcPr>
            <w:tcW w:w="2281" w:type="dxa"/>
            <w:gridSpan w:val="2"/>
            <w:vAlign w:val="bottom"/>
          </w:tcPr>
          <w:p w14:paraId="5471EFC1" w14:textId="77777777" w:rsidR="002D122C" w:rsidRPr="000C79DC" w:rsidRDefault="002D122C" w:rsidP="000878F6">
            <w:pPr>
              <w:pStyle w:val="Table"/>
              <w:jc w:val="center"/>
              <w:rPr>
                <w:b/>
                <w:szCs w:val="20"/>
              </w:rPr>
            </w:pPr>
            <w:r w:rsidRPr="000C79DC">
              <w:rPr>
                <w:rFonts w:ascii="Calibri" w:hAnsi="Calibri" w:cs="Calibri"/>
                <w:b/>
                <w:bCs/>
                <w:color w:val="000000"/>
                <w:szCs w:val="20"/>
              </w:rPr>
              <w:t>Change in Revenues (€Mn)</w:t>
            </w:r>
          </w:p>
        </w:tc>
        <w:tc>
          <w:tcPr>
            <w:tcW w:w="2282" w:type="dxa"/>
            <w:gridSpan w:val="2"/>
            <w:vAlign w:val="bottom"/>
          </w:tcPr>
          <w:p w14:paraId="3207A29F" w14:textId="77777777" w:rsidR="002D122C" w:rsidRPr="000C79DC" w:rsidRDefault="002D122C" w:rsidP="000878F6">
            <w:pPr>
              <w:pStyle w:val="Table"/>
              <w:jc w:val="center"/>
              <w:rPr>
                <w:b/>
                <w:szCs w:val="20"/>
              </w:rPr>
            </w:pPr>
            <w:r w:rsidRPr="000C79DC">
              <w:rPr>
                <w:rFonts w:ascii="Calibri" w:hAnsi="Calibri" w:cs="Calibri"/>
                <w:b/>
                <w:bCs/>
                <w:color w:val="000000"/>
                <w:szCs w:val="20"/>
              </w:rPr>
              <w:t>As % of 2023 Resource Tax</w:t>
            </w:r>
          </w:p>
        </w:tc>
      </w:tr>
      <w:tr w:rsidR="002D122C" w:rsidRPr="00355514" w14:paraId="054A8115" w14:textId="77777777" w:rsidTr="00BA7936">
        <w:trPr>
          <w:trHeight w:val="216"/>
        </w:trPr>
        <w:tc>
          <w:tcPr>
            <w:tcW w:w="2281" w:type="dxa"/>
          </w:tcPr>
          <w:p w14:paraId="30B19CA5" w14:textId="77777777" w:rsidR="002D122C" w:rsidRPr="0083158F" w:rsidRDefault="002D122C" w:rsidP="000878F6">
            <w:pPr>
              <w:pStyle w:val="Table"/>
              <w:jc w:val="left"/>
              <w:rPr>
                <w:b/>
              </w:rPr>
            </w:pPr>
            <w:r w:rsidRPr="0083158F">
              <w:rPr>
                <w:b/>
              </w:rPr>
              <w:t>Year</w:t>
            </w:r>
          </w:p>
        </w:tc>
        <w:tc>
          <w:tcPr>
            <w:tcW w:w="1140" w:type="dxa"/>
          </w:tcPr>
          <w:p w14:paraId="28D33EF5" w14:textId="77777777" w:rsidR="002D122C" w:rsidRPr="000C79DC" w:rsidRDefault="002D122C" w:rsidP="000878F6">
            <w:pPr>
              <w:pStyle w:val="Table"/>
              <w:jc w:val="center"/>
              <w:rPr>
                <w:b/>
                <w:szCs w:val="20"/>
              </w:rPr>
            </w:pPr>
            <w:r w:rsidRPr="000C79DC">
              <w:rPr>
                <w:b/>
                <w:szCs w:val="20"/>
              </w:rPr>
              <w:t>2030</w:t>
            </w:r>
          </w:p>
        </w:tc>
        <w:tc>
          <w:tcPr>
            <w:tcW w:w="1141" w:type="dxa"/>
          </w:tcPr>
          <w:p w14:paraId="4B230EC0" w14:textId="77777777" w:rsidR="002D122C" w:rsidRPr="000C79DC" w:rsidRDefault="002D122C" w:rsidP="000878F6">
            <w:pPr>
              <w:pStyle w:val="Table"/>
              <w:jc w:val="center"/>
              <w:rPr>
                <w:b/>
                <w:szCs w:val="20"/>
              </w:rPr>
            </w:pPr>
            <w:r w:rsidRPr="000C79DC">
              <w:rPr>
                <w:b/>
                <w:szCs w:val="20"/>
              </w:rPr>
              <w:t>2035</w:t>
            </w:r>
          </w:p>
        </w:tc>
        <w:tc>
          <w:tcPr>
            <w:tcW w:w="1045" w:type="dxa"/>
          </w:tcPr>
          <w:p w14:paraId="1AF9BC1C" w14:textId="77777777" w:rsidR="002D122C" w:rsidRPr="000C79DC" w:rsidRDefault="002D122C" w:rsidP="000878F6">
            <w:pPr>
              <w:pStyle w:val="Table"/>
              <w:jc w:val="center"/>
              <w:rPr>
                <w:b/>
                <w:szCs w:val="20"/>
              </w:rPr>
            </w:pPr>
            <w:r w:rsidRPr="000C79DC">
              <w:rPr>
                <w:b/>
                <w:szCs w:val="20"/>
              </w:rPr>
              <w:t>2030</w:t>
            </w:r>
          </w:p>
        </w:tc>
        <w:tc>
          <w:tcPr>
            <w:tcW w:w="1236" w:type="dxa"/>
          </w:tcPr>
          <w:p w14:paraId="79B24846" w14:textId="77777777" w:rsidR="002D122C" w:rsidRPr="000C79DC" w:rsidRDefault="002D122C" w:rsidP="000878F6">
            <w:pPr>
              <w:pStyle w:val="Table"/>
              <w:jc w:val="center"/>
              <w:rPr>
                <w:b/>
                <w:szCs w:val="20"/>
              </w:rPr>
            </w:pPr>
            <w:r w:rsidRPr="000C79DC">
              <w:rPr>
                <w:b/>
                <w:szCs w:val="20"/>
              </w:rPr>
              <w:t>2035</w:t>
            </w:r>
          </w:p>
        </w:tc>
        <w:tc>
          <w:tcPr>
            <w:tcW w:w="982" w:type="dxa"/>
          </w:tcPr>
          <w:p w14:paraId="478B97EC" w14:textId="77777777" w:rsidR="002D122C" w:rsidRPr="000C79DC" w:rsidRDefault="002D122C" w:rsidP="000878F6">
            <w:pPr>
              <w:pStyle w:val="Table"/>
              <w:jc w:val="center"/>
              <w:rPr>
                <w:b/>
                <w:szCs w:val="20"/>
              </w:rPr>
            </w:pPr>
            <w:r w:rsidRPr="000C79DC">
              <w:rPr>
                <w:b/>
                <w:szCs w:val="20"/>
              </w:rPr>
              <w:t>2030</w:t>
            </w:r>
          </w:p>
        </w:tc>
        <w:tc>
          <w:tcPr>
            <w:tcW w:w="1300" w:type="dxa"/>
          </w:tcPr>
          <w:p w14:paraId="51500130" w14:textId="77777777" w:rsidR="002D122C" w:rsidRPr="000C79DC" w:rsidRDefault="002D122C" w:rsidP="000878F6">
            <w:pPr>
              <w:pStyle w:val="Table"/>
              <w:jc w:val="center"/>
              <w:rPr>
                <w:b/>
                <w:szCs w:val="20"/>
              </w:rPr>
            </w:pPr>
            <w:r w:rsidRPr="000C79DC">
              <w:rPr>
                <w:b/>
                <w:szCs w:val="20"/>
              </w:rPr>
              <w:t>2035</w:t>
            </w:r>
          </w:p>
        </w:tc>
      </w:tr>
      <w:tr w:rsidR="002D122C" w:rsidRPr="00355514" w14:paraId="639E6028" w14:textId="77777777" w:rsidTr="00BA7936">
        <w:trPr>
          <w:trHeight w:val="91"/>
        </w:trPr>
        <w:tc>
          <w:tcPr>
            <w:tcW w:w="2281" w:type="dxa"/>
          </w:tcPr>
          <w:p w14:paraId="1646B2A9" w14:textId="77777777" w:rsidR="002D122C" w:rsidRPr="00F501DA" w:rsidRDefault="002D122C" w:rsidP="000878F6">
            <w:pPr>
              <w:pStyle w:val="Table"/>
            </w:pPr>
            <w:r w:rsidRPr="00F501DA">
              <w:t>Nox</w:t>
            </w:r>
            <w:r>
              <w:t xml:space="preserve"> (Elec)</w:t>
            </w:r>
          </w:p>
        </w:tc>
        <w:tc>
          <w:tcPr>
            <w:tcW w:w="1140" w:type="dxa"/>
            <w:vAlign w:val="center"/>
          </w:tcPr>
          <w:p w14:paraId="3140C16E" w14:textId="77777777" w:rsidR="002D122C" w:rsidRPr="000C79DC" w:rsidRDefault="002D122C" w:rsidP="000878F6">
            <w:pPr>
              <w:pStyle w:val="Table"/>
              <w:jc w:val="center"/>
              <w:rPr>
                <w:szCs w:val="20"/>
              </w:rPr>
            </w:pPr>
            <w:r w:rsidRPr="000C79DC">
              <w:rPr>
                <w:rFonts w:ascii="Calibri" w:hAnsi="Calibri" w:cs="Calibri"/>
                <w:color w:val="000000"/>
                <w:szCs w:val="20"/>
              </w:rPr>
              <w:t>0,00%</w:t>
            </w:r>
          </w:p>
        </w:tc>
        <w:tc>
          <w:tcPr>
            <w:tcW w:w="1141" w:type="dxa"/>
            <w:vAlign w:val="center"/>
          </w:tcPr>
          <w:p w14:paraId="1C49701B" w14:textId="77777777" w:rsidR="002D122C" w:rsidRPr="000C79DC" w:rsidRDefault="002D122C" w:rsidP="000878F6">
            <w:pPr>
              <w:pStyle w:val="Table"/>
              <w:jc w:val="center"/>
              <w:rPr>
                <w:szCs w:val="20"/>
              </w:rPr>
            </w:pPr>
            <w:r w:rsidRPr="000C79DC">
              <w:rPr>
                <w:rFonts w:ascii="Calibri" w:hAnsi="Calibri" w:cs="Calibri"/>
                <w:color w:val="000000"/>
                <w:szCs w:val="20"/>
              </w:rPr>
              <w:t>0,00%</w:t>
            </w:r>
          </w:p>
        </w:tc>
        <w:tc>
          <w:tcPr>
            <w:tcW w:w="1045" w:type="dxa"/>
            <w:vAlign w:val="center"/>
          </w:tcPr>
          <w:p w14:paraId="485E78CD" w14:textId="77777777" w:rsidR="002D122C" w:rsidRPr="000C79DC" w:rsidRDefault="002D122C" w:rsidP="000878F6">
            <w:pPr>
              <w:pStyle w:val="Table"/>
              <w:jc w:val="center"/>
              <w:rPr>
                <w:szCs w:val="20"/>
              </w:rPr>
            </w:pPr>
            <w:r w:rsidRPr="000C79DC">
              <w:rPr>
                <w:rFonts w:ascii="Calibri" w:hAnsi="Calibri" w:cs="Calibri"/>
                <w:color w:val="000000"/>
                <w:szCs w:val="20"/>
              </w:rPr>
              <w:t>0,00</w:t>
            </w:r>
          </w:p>
        </w:tc>
        <w:tc>
          <w:tcPr>
            <w:tcW w:w="1236" w:type="dxa"/>
            <w:vAlign w:val="center"/>
          </w:tcPr>
          <w:p w14:paraId="6B4D24C4" w14:textId="77777777" w:rsidR="002D122C" w:rsidRPr="000C79DC" w:rsidRDefault="002D122C" w:rsidP="000878F6">
            <w:pPr>
              <w:pStyle w:val="Table"/>
              <w:jc w:val="center"/>
              <w:rPr>
                <w:szCs w:val="20"/>
              </w:rPr>
            </w:pPr>
            <w:r w:rsidRPr="000C79DC">
              <w:rPr>
                <w:rFonts w:ascii="Calibri" w:hAnsi="Calibri" w:cs="Calibri"/>
                <w:color w:val="000000"/>
                <w:szCs w:val="20"/>
              </w:rPr>
              <w:t>0,00</w:t>
            </w:r>
          </w:p>
        </w:tc>
        <w:tc>
          <w:tcPr>
            <w:tcW w:w="982" w:type="dxa"/>
            <w:vAlign w:val="center"/>
          </w:tcPr>
          <w:p w14:paraId="09885A4F" w14:textId="77777777" w:rsidR="002D122C" w:rsidRPr="000C79DC" w:rsidRDefault="002D122C" w:rsidP="000878F6">
            <w:pPr>
              <w:pStyle w:val="Table"/>
              <w:jc w:val="center"/>
              <w:rPr>
                <w:szCs w:val="20"/>
              </w:rPr>
            </w:pPr>
            <w:r w:rsidRPr="000C79DC">
              <w:rPr>
                <w:rFonts w:ascii="Calibri" w:hAnsi="Calibri" w:cs="Calibri"/>
                <w:color w:val="000000"/>
                <w:szCs w:val="20"/>
              </w:rPr>
              <w:t>0,00%</w:t>
            </w:r>
          </w:p>
        </w:tc>
        <w:tc>
          <w:tcPr>
            <w:tcW w:w="1300" w:type="dxa"/>
            <w:vAlign w:val="center"/>
          </w:tcPr>
          <w:p w14:paraId="4EFD39C7" w14:textId="77777777" w:rsidR="002D122C" w:rsidRPr="000C79DC" w:rsidRDefault="002D122C" w:rsidP="000878F6">
            <w:pPr>
              <w:pStyle w:val="Table"/>
              <w:jc w:val="center"/>
              <w:rPr>
                <w:szCs w:val="20"/>
              </w:rPr>
            </w:pPr>
            <w:r w:rsidRPr="000C79DC">
              <w:rPr>
                <w:rFonts w:ascii="Calibri" w:hAnsi="Calibri" w:cs="Calibri"/>
                <w:color w:val="000000"/>
                <w:szCs w:val="20"/>
              </w:rPr>
              <w:t>0,00%</w:t>
            </w:r>
          </w:p>
        </w:tc>
      </w:tr>
      <w:tr w:rsidR="002D122C" w:rsidRPr="00355514" w14:paraId="11844A72" w14:textId="77777777" w:rsidTr="00BA7936">
        <w:trPr>
          <w:trHeight w:val="91"/>
        </w:trPr>
        <w:tc>
          <w:tcPr>
            <w:tcW w:w="2281" w:type="dxa"/>
          </w:tcPr>
          <w:p w14:paraId="4DDBC8B4" w14:textId="77777777" w:rsidR="002D122C" w:rsidRPr="00F501DA" w:rsidRDefault="002D122C" w:rsidP="000878F6">
            <w:pPr>
              <w:pStyle w:val="Table"/>
            </w:pPr>
            <w:r>
              <w:t>Nox (</w:t>
            </w:r>
            <w:r w:rsidRPr="00F5300D">
              <w:t>W/out Elec</w:t>
            </w:r>
            <w:r>
              <w:t>)</w:t>
            </w:r>
          </w:p>
        </w:tc>
        <w:tc>
          <w:tcPr>
            <w:tcW w:w="1140" w:type="dxa"/>
            <w:vAlign w:val="center"/>
          </w:tcPr>
          <w:p w14:paraId="03AF89FF" w14:textId="77777777" w:rsidR="002D122C" w:rsidRPr="000C79DC" w:rsidRDefault="002D122C" w:rsidP="000878F6">
            <w:pPr>
              <w:pStyle w:val="Table"/>
              <w:jc w:val="center"/>
              <w:rPr>
                <w:szCs w:val="20"/>
              </w:rPr>
            </w:pPr>
            <w:r w:rsidRPr="000C79DC">
              <w:rPr>
                <w:rFonts w:ascii="Calibri" w:hAnsi="Calibri" w:cs="Calibri"/>
                <w:color w:val="000000"/>
                <w:szCs w:val="20"/>
              </w:rPr>
              <w:t>-28,57%</w:t>
            </w:r>
          </w:p>
        </w:tc>
        <w:tc>
          <w:tcPr>
            <w:tcW w:w="1141" w:type="dxa"/>
            <w:vAlign w:val="center"/>
          </w:tcPr>
          <w:p w14:paraId="004D9EA2" w14:textId="77777777" w:rsidR="002D122C" w:rsidRPr="000C79DC" w:rsidRDefault="002D122C" w:rsidP="000878F6">
            <w:pPr>
              <w:pStyle w:val="Table"/>
              <w:jc w:val="center"/>
              <w:rPr>
                <w:szCs w:val="20"/>
              </w:rPr>
            </w:pPr>
            <w:r w:rsidRPr="000C79DC">
              <w:rPr>
                <w:rFonts w:ascii="Calibri" w:hAnsi="Calibri" w:cs="Calibri"/>
                <w:color w:val="000000"/>
                <w:szCs w:val="20"/>
              </w:rPr>
              <w:t>-28,57%</w:t>
            </w:r>
          </w:p>
        </w:tc>
        <w:tc>
          <w:tcPr>
            <w:tcW w:w="1045" w:type="dxa"/>
            <w:vAlign w:val="center"/>
          </w:tcPr>
          <w:p w14:paraId="3CCB59A9" w14:textId="77777777" w:rsidR="002D122C" w:rsidRPr="000C79DC" w:rsidRDefault="002D122C" w:rsidP="000878F6">
            <w:pPr>
              <w:pStyle w:val="Table"/>
              <w:jc w:val="center"/>
              <w:rPr>
                <w:szCs w:val="20"/>
              </w:rPr>
            </w:pPr>
            <w:r w:rsidRPr="000C79DC">
              <w:rPr>
                <w:rFonts w:ascii="Calibri" w:hAnsi="Calibri" w:cs="Calibri"/>
                <w:color w:val="000000"/>
                <w:szCs w:val="20"/>
              </w:rPr>
              <w:t>1,12</w:t>
            </w:r>
          </w:p>
        </w:tc>
        <w:tc>
          <w:tcPr>
            <w:tcW w:w="1236" w:type="dxa"/>
            <w:vAlign w:val="center"/>
          </w:tcPr>
          <w:p w14:paraId="603B73B3" w14:textId="77777777" w:rsidR="002D122C" w:rsidRPr="000C79DC" w:rsidRDefault="002D122C" w:rsidP="000878F6">
            <w:pPr>
              <w:pStyle w:val="Table"/>
              <w:jc w:val="center"/>
              <w:rPr>
                <w:szCs w:val="20"/>
              </w:rPr>
            </w:pPr>
            <w:r w:rsidRPr="000C79DC">
              <w:rPr>
                <w:rFonts w:ascii="Calibri" w:hAnsi="Calibri" w:cs="Calibri"/>
                <w:color w:val="000000"/>
                <w:szCs w:val="20"/>
              </w:rPr>
              <w:t>0,94</w:t>
            </w:r>
          </w:p>
        </w:tc>
        <w:tc>
          <w:tcPr>
            <w:tcW w:w="982" w:type="dxa"/>
            <w:vAlign w:val="center"/>
          </w:tcPr>
          <w:p w14:paraId="63D270F1" w14:textId="77777777" w:rsidR="002D122C" w:rsidRPr="000C79DC" w:rsidRDefault="002D122C" w:rsidP="000878F6">
            <w:pPr>
              <w:pStyle w:val="Table"/>
              <w:jc w:val="center"/>
              <w:rPr>
                <w:szCs w:val="20"/>
              </w:rPr>
            </w:pPr>
            <w:r w:rsidRPr="000C79DC">
              <w:rPr>
                <w:rFonts w:ascii="Calibri" w:hAnsi="Calibri" w:cs="Calibri"/>
                <w:color w:val="000000"/>
                <w:szCs w:val="20"/>
              </w:rPr>
              <w:t>0,35%</w:t>
            </w:r>
          </w:p>
        </w:tc>
        <w:tc>
          <w:tcPr>
            <w:tcW w:w="1300" w:type="dxa"/>
            <w:vAlign w:val="center"/>
          </w:tcPr>
          <w:p w14:paraId="1B43C25E" w14:textId="77777777" w:rsidR="002D122C" w:rsidRPr="000C79DC" w:rsidRDefault="002D122C" w:rsidP="000878F6">
            <w:pPr>
              <w:pStyle w:val="Table"/>
              <w:jc w:val="center"/>
              <w:rPr>
                <w:szCs w:val="20"/>
              </w:rPr>
            </w:pPr>
            <w:r w:rsidRPr="000C79DC">
              <w:rPr>
                <w:rFonts w:ascii="Calibri" w:hAnsi="Calibri" w:cs="Calibri"/>
                <w:color w:val="000000"/>
                <w:szCs w:val="20"/>
              </w:rPr>
              <w:t>0,29%</w:t>
            </w:r>
          </w:p>
        </w:tc>
      </w:tr>
      <w:tr w:rsidR="002D122C" w:rsidRPr="00355514" w14:paraId="16EDFBA8" w14:textId="77777777" w:rsidTr="00BA7936">
        <w:trPr>
          <w:trHeight w:val="268"/>
        </w:trPr>
        <w:tc>
          <w:tcPr>
            <w:tcW w:w="2281" w:type="dxa"/>
          </w:tcPr>
          <w:p w14:paraId="1B28B708" w14:textId="77777777" w:rsidR="002D122C" w:rsidRPr="00F501DA" w:rsidRDefault="002D122C" w:rsidP="000878F6">
            <w:pPr>
              <w:pStyle w:val="Table"/>
            </w:pPr>
            <w:r w:rsidRPr="00F501DA">
              <w:t>SO2</w:t>
            </w:r>
          </w:p>
        </w:tc>
        <w:tc>
          <w:tcPr>
            <w:tcW w:w="1140" w:type="dxa"/>
            <w:vAlign w:val="center"/>
          </w:tcPr>
          <w:p w14:paraId="0402698E" w14:textId="77777777" w:rsidR="002D122C" w:rsidRPr="000C79DC" w:rsidRDefault="002D122C" w:rsidP="000878F6">
            <w:pPr>
              <w:pStyle w:val="Table"/>
              <w:jc w:val="center"/>
              <w:rPr>
                <w:szCs w:val="20"/>
              </w:rPr>
            </w:pPr>
            <w:r w:rsidRPr="000C79DC">
              <w:rPr>
                <w:rFonts w:ascii="Calibri" w:hAnsi="Calibri" w:cs="Calibri"/>
                <w:color w:val="000000"/>
                <w:szCs w:val="20"/>
              </w:rPr>
              <w:t>0,00%</w:t>
            </w:r>
          </w:p>
        </w:tc>
        <w:tc>
          <w:tcPr>
            <w:tcW w:w="1141" w:type="dxa"/>
            <w:vAlign w:val="center"/>
          </w:tcPr>
          <w:p w14:paraId="6B98102D" w14:textId="77777777" w:rsidR="002D122C" w:rsidRPr="000C79DC" w:rsidRDefault="002D122C" w:rsidP="000878F6">
            <w:pPr>
              <w:pStyle w:val="Table"/>
              <w:jc w:val="center"/>
              <w:rPr>
                <w:szCs w:val="20"/>
              </w:rPr>
            </w:pPr>
            <w:r w:rsidRPr="000C79DC">
              <w:rPr>
                <w:rFonts w:ascii="Calibri" w:hAnsi="Calibri" w:cs="Calibri"/>
                <w:color w:val="000000"/>
                <w:szCs w:val="20"/>
              </w:rPr>
              <w:t>0,00%</w:t>
            </w:r>
          </w:p>
        </w:tc>
        <w:tc>
          <w:tcPr>
            <w:tcW w:w="1045" w:type="dxa"/>
            <w:vAlign w:val="center"/>
          </w:tcPr>
          <w:p w14:paraId="43B172E7" w14:textId="77777777" w:rsidR="002D122C" w:rsidRPr="000C79DC" w:rsidRDefault="002D122C" w:rsidP="000878F6">
            <w:pPr>
              <w:pStyle w:val="Table"/>
              <w:jc w:val="center"/>
              <w:rPr>
                <w:szCs w:val="20"/>
              </w:rPr>
            </w:pPr>
            <w:r w:rsidRPr="000C79DC">
              <w:rPr>
                <w:rFonts w:ascii="Calibri" w:hAnsi="Calibri" w:cs="Calibri"/>
                <w:color w:val="000000"/>
                <w:szCs w:val="20"/>
              </w:rPr>
              <w:t>0,00</w:t>
            </w:r>
          </w:p>
        </w:tc>
        <w:tc>
          <w:tcPr>
            <w:tcW w:w="1236" w:type="dxa"/>
            <w:vAlign w:val="center"/>
          </w:tcPr>
          <w:p w14:paraId="0991D89F" w14:textId="77777777" w:rsidR="002D122C" w:rsidRPr="000C79DC" w:rsidRDefault="002D122C" w:rsidP="000878F6">
            <w:pPr>
              <w:pStyle w:val="Table"/>
              <w:jc w:val="center"/>
              <w:rPr>
                <w:szCs w:val="20"/>
              </w:rPr>
            </w:pPr>
            <w:r w:rsidRPr="000C79DC">
              <w:rPr>
                <w:rFonts w:ascii="Calibri" w:hAnsi="Calibri" w:cs="Calibri"/>
                <w:color w:val="000000"/>
                <w:szCs w:val="20"/>
              </w:rPr>
              <w:t>0,00</w:t>
            </w:r>
          </w:p>
        </w:tc>
        <w:tc>
          <w:tcPr>
            <w:tcW w:w="982" w:type="dxa"/>
            <w:vAlign w:val="center"/>
          </w:tcPr>
          <w:p w14:paraId="3B2FF0ED" w14:textId="77777777" w:rsidR="002D122C" w:rsidRPr="000C79DC" w:rsidRDefault="002D122C" w:rsidP="000878F6">
            <w:pPr>
              <w:pStyle w:val="Table"/>
              <w:jc w:val="center"/>
              <w:rPr>
                <w:szCs w:val="20"/>
              </w:rPr>
            </w:pPr>
            <w:r w:rsidRPr="000C79DC">
              <w:rPr>
                <w:rFonts w:ascii="Calibri" w:hAnsi="Calibri" w:cs="Calibri"/>
                <w:color w:val="000000"/>
                <w:szCs w:val="20"/>
              </w:rPr>
              <w:t>0,00%</w:t>
            </w:r>
          </w:p>
        </w:tc>
        <w:tc>
          <w:tcPr>
            <w:tcW w:w="1300" w:type="dxa"/>
            <w:vAlign w:val="center"/>
          </w:tcPr>
          <w:p w14:paraId="393A9189" w14:textId="77777777" w:rsidR="002D122C" w:rsidRPr="000C79DC" w:rsidRDefault="002D122C" w:rsidP="000878F6">
            <w:pPr>
              <w:pStyle w:val="Table"/>
              <w:jc w:val="center"/>
              <w:rPr>
                <w:szCs w:val="20"/>
              </w:rPr>
            </w:pPr>
            <w:r w:rsidRPr="000C79DC">
              <w:rPr>
                <w:rFonts w:ascii="Calibri" w:hAnsi="Calibri" w:cs="Calibri"/>
                <w:color w:val="000000"/>
                <w:szCs w:val="20"/>
              </w:rPr>
              <w:t>0,00%</w:t>
            </w:r>
          </w:p>
        </w:tc>
      </w:tr>
      <w:tr w:rsidR="002D122C" w:rsidRPr="00355514" w14:paraId="1A8279B0" w14:textId="77777777" w:rsidTr="00BA7936">
        <w:trPr>
          <w:trHeight w:val="268"/>
        </w:trPr>
        <w:tc>
          <w:tcPr>
            <w:tcW w:w="2281" w:type="dxa"/>
          </w:tcPr>
          <w:p w14:paraId="42DC0910" w14:textId="77777777" w:rsidR="002D122C" w:rsidRPr="00F501DA" w:rsidRDefault="002D122C" w:rsidP="000878F6">
            <w:pPr>
              <w:pStyle w:val="Table"/>
            </w:pPr>
            <w:r w:rsidRPr="00F501DA">
              <w:t>PM2.5</w:t>
            </w:r>
          </w:p>
        </w:tc>
        <w:tc>
          <w:tcPr>
            <w:tcW w:w="1140" w:type="dxa"/>
            <w:vAlign w:val="center"/>
          </w:tcPr>
          <w:p w14:paraId="0E548B06" w14:textId="77777777" w:rsidR="002D122C" w:rsidRPr="000C79DC" w:rsidRDefault="002D122C" w:rsidP="000878F6">
            <w:pPr>
              <w:pStyle w:val="Table"/>
              <w:jc w:val="center"/>
              <w:rPr>
                <w:szCs w:val="20"/>
              </w:rPr>
            </w:pPr>
            <w:r w:rsidRPr="000C79DC">
              <w:rPr>
                <w:rFonts w:ascii="Calibri" w:hAnsi="Calibri" w:cs="Calibri"/>
                <w:color w:val="000000"/>
                <w:szCs w:val="20"/>
              </w:rPr>
              <w:t>-29,58%</w:t>
            </w:r>
          </w:p>
        </w:tc>
        <w:tc>
          <w:tcPr>
            <w:tcW w:w="1141" w:type="dxa"/>
            <w:vAlign w:val="center"/>
          </w:tcPr>
          <w:p w14:paraId="5C662158" w14:textId="77777777" w:rsidR="002D122C" w:rsidRPr="000C79DC" w:rsidRDefault="002D122C" w:rsidP="000878F6">
            <w:pPr>
              <w:pStyle w:val="Table"/>
              <w:jc w:val="center"/>
              <w:rPr>
                <w:szCs w:val="20"/>
              </w:rPr>
            </w:pPr>
            <w:r w:rsidRPr="000C79DC">
              <w:rPr>
                <w:rFonts w:ascii="Calibri" w:hAnsi="Calibri" w:cs="Calibri"/>
                <w:color w:val="000000"/>
                <w:szCs w:val="20"/>
              </w:rPr>
              <w:t>-29,58%</w:t>
            </w:r>
          </w:p>
        </w:tc>
        <w:tc>
          <w:tcPr>
            <w:tcW w:w="1045" w:type="dxa"/>
            <w:vAlign w:val="center"/>
          </w:tcPr>
          <w:p w14:paraId="551A27B3" w14:textId="77777777" w:rsidR="002D122C" w:rsidRPr="000C79DC" w:rsidRDefault="002D122C" w:rsidP="000878F6">
            <w:pPr>
              <w:pStyle w:val="Table"/>
              <w:jc w:val="center"/>
              <w:rPr>
                <w:szCs w:val="20"/>
              </w:rPr>
            </w:pPr>
            <w:r w:rsidRPr="000C79DC">
              <w:rPr>
                <w:rFonts w:ascii="Calibri" w:hAnsi="Calibri" w:cs="Calibri"/>
                <w:color w:val="000000"/>
                <w:szCs w:val="20"/>
              </w:rPr>
              <w:t>3,12</w:t>
            </w:r>
          </w:p>
        </w:tc>
        <w:tc>
          <w:tcPr>
            <w:tcW w:w="1236" w:type="dxa"/>
            <w:vAlign w:val="center"/>
          </w:tcPr>
          <w:p w14:paraId="6771EC18" w14:textId="77777777" w:rsidR="002D122C" w:rsidRPr="000C79DC" w:rsidRDefault="002D122C" w:rsidP="000878F6">
            <w:pPr>
              <w:pStyle w:val="Table"/>
              <w:jc w:val="center"/>
              <w:rPr>
                <w:szCs w:val="20"/>
              </w:rPr>
            </w:pPr>
            <w:r w:rsidRPr="000C79DC">
              <w:rPr>
                <w:rFonts w:ascii="Calibri" w:hAnsi="Calibri" w:cs="Calibri"/>
                <w:color w:val="000000"/>
                <w:szCs w:val="20"/>
              </w:rPr>
              <w:t>2,33</w:t>
            </w:r>
          </w:p>
        </w:tc>
        <w:tc>
          <w:tcPr>
            <w:tcW w:w="982" w:type="dxa"/>
            <w:vAlign w:val="center"/>
          </w:tcPr>
          <w:p w14:paraId="187B4E68" w14:textId="77777777" w:rsidR="002D122C" w:rsidRPr="000C79DC" w:rsidRDefault="002D122C" w:rsidP="000878F6">
            <w:pPr>
              <w:pStyle w:val="Table"/>
              <w:jc w:val="center"/>
              <w:rPr>
                <w:szCs w:val="20"/>
              </w:rPr>
            </w:pPr>
            <w:r w:rsidRPr="000C79DC">
              <w:rPr>
                <w:rFonts w:ascii="Calibri" w:hAnsi="Calibri" w:cs="Calibri"/>
                <w:color w:val="000000"/>
                <w:szCs w:val="20"/>
              </w:rPr>
              <w:t>0,97%</w:t>
            </w:r>
          </w:p>
        </w:tc>
        <w:tc>
          <w:tcPr>
            <w:tcW w:w="1300" w:type="dxa"/>
            <w:vAlign w:val="center"/>
          </w:tcPr>
          <w:p w14:paraId="4D7B9EA8" w14:textId="77777777" w:rsidR="002D122C" w:rsidRPr="000C79DC" w:rsidRDefault="002D122C" w:rsidP="000878F6">
            <w:pPr>
              <w:pStyle w:val="Table"/>
              <w:jc w:val="center"/>
              <w:rPr>
                <w:szCs w:val="20"/>
              </w:rPr>
            </w:pPr>
            <w:r w:rsidRPr="000C79DC">
              <w:rPr>
                <w:rFonts w:ascii="Calibri" w:hAnsi="Calibri" w:cs="Calibri"/>
                <w:color w:val="000000"/>
                <w:szCs w:val="20"/>
              </w:rPr>
              <w:t>0,72%</w:t>
            </w:r>
          </w:p>
        </w:tc>
      </w:tr>
      <w:tr w:rsidR="002D122C" w:rsidRPr="00355514" w14:paraId="4681E419" w14:textId="77777777" w:rsidTr="00BA7936">
        <w:trPr>
          <w:trHeight w:val="268"/>
        </w:trPr>
        <w:tc>
          <w:tcPr>
            <w:tcW w:w="2281" w:type="dxa"/>
          </w:tcPr>
          <w:p w14:paraId="1A830292" w14:textId="77777777" w:rsidR="002D122C" w:rsidRPr="00F501DA" w:rsidRDefault="002D122C" w:rsidP="000878F6">
            <w:pPr>
              <w:pStyle w:val="Table"/>
            </w:pPr>
            <w:r w:rsidRPr="00F501DA">
              <w:t>Water Abstraction</w:t>
            </w:r>
          </w:p>
        </w:tc>
        <w:tc>
          <w:tcPr>
            <w:tcW w:w="1140" w:type="dxa"/>
            <w:vAlign w:val="center"/>
          </w:tcPr>
          <w:p w14:paraId="2F066645" w14:textId="77777777" w:rsidR="002D122C" w:rsidRPr="000C79DC" w:rsidRDefault="002D122C" w:rsidP="000878F6">
            <w:pPr>
              <w:pStyle w:val="Table"/>
              <w:jc w:val="center"/>
              <w:rPr>
                <w:szCs w:val="20"/>
              </w:rPr>
            </w:pPr>
            <w:r w:rsidRPr="000C79DC">
              <w:rPr>
                <w:rFonts w:ascii="Calibri" w:hAnsi="Calibri" w:cs="Calibri"/>
                <w:color w:val="000000"/>
                <w:szCs w:val="20"/>
              </w:rPr>
              <w:t>-9,32%</w:t>
            </w:r>
          </w:p>
        </w:tc>
        <w:tc>
          <w:tcPr>
            <w:tcW w:w="1141" w:type="dxa"/>
            <w:vAlign w:val="center"/>
          </w:tcPr>
          <w:p w14:paraId="238E26A1" w14:textId="77777777" w:rsidR="002D122C" w:rsidRPr="000C79DC" w:rsidRDefault="002D122C" w:rsidP="000878F6">
            <w:pPr>
              <w:pStyle w:val="Table"/>
              <w:jc w:val="center"/>
              <w:rPr>
                <w:szCs w:val="20"/>
              </w:rPr>
            </w:pPr>
            <w:r w:rsidRPr="000C79DC">
              <w:rPr>
                <w:rFonts w:ascii="Calibri" w:hAnsi="Calibri" w:cs="Calibri"/>
                <w:color w:val="000000"/>
                <w:szCs w:val="20"/>
              </w:rPr>
              <w:t>-9,32%</w:t>
            </w:r>
          </w:p>
        </w:tc>
        <w:tc>
          <w:tcPr>
            <w:tcW w:w="1045" w:type="dxa"/>
            <w:vAlign w:val="center"/>
          </w:tcPr>
          <w:p w14:paraId="1F6CC5DB" w14:textId="77777777" w:rsidR="002D122C" w:rsidRPr="000C79DC" w:rsidRDefault="002D122C" w:rsidP="000878F6">
            <w:pPr>
              <w:pStyle w:val="Table"/>
              <w:jc w:val="center"/>
              <w:rPr>
                <w:szCs w:val="20"/>
              </w:rPr>
            </w:pPr>
            <w:r w:rsidRPr="000C79DC">
              <w:rPr>
                <w:rFonts w:ascii="Calibri" w:hAnsi="Calibri" w:cs="Calibri"/>
                <w:color w:val="000000"/>
                <w:szCs w:val="20"/>
              </w:rPr>
              <w:t>187,34</w:t>
            </w:r>
          </w:p>
        </w:tc>
        <w:tc>
          <w:tcPr>
            <w:tcW w:w="1236" w:type="dxa"/>
            <w:vAlign w:val="center"/>
          </w:tcPr>
          <w:p w14:paraId="2AEF3475" w14:textId="77777777" w:rsidR="002D122C" w:rsidRPr="000C79DC" w:rsidRDefault="002D122C" w:rsidP="000878F6">
            <w:pPr>
              <w:pStyle w:val="Table"/>
              <w:jc w:val="center"/>
              <w:rPr>
                <w:szCs w:val="20"/>
              </w:rPr>
            </w:pPr>
            <w:r w:rsidRPr="000C79DC">
              <w:rPr>
                <w:rFonts w:ascii="Calibri" w:hAnsi="Calibri" w:cs="Calibri"/>
                <w:color w:val="000000"/>
                <w:szCs w:val="20"/>
              </w:rPr>
              <w:t>183,89</w:t>
            </w:r>
          </w:p>
        </w:tc>
        <w:tc>
          <w:tcPr>
            <w:tcW w:w="982" w:type="dxa"/>
            <w:vAlign w:val="center"/>
          </w:tcPr>
          <w:p w14:paraId="35BC3470" w14:textId="77777777" w:rsidR="002D122C" w:rsidRPr="000C79DC" w:rsidRDefault="002D122C" w:rsidP="000878F6">
            <w:pPr>
              <w:pStyle w:val="Table"/>
              <w:jc w:val="center"/>
              <w:rPr>
                <w:szCs w:val="20"/>
              </w:rPr>
            </w:pPr>
            <w:r w:rsidRPr="000C79DC">
              <w:rPr>
                <w:rFonts w:ascii="Calibri" w:hAnsi="Calibri" w:cs="Calibri"/>
                <w:color w:val="000000"/>
                <w:szCs w:val="20"/>
              </w:rPr>
              <w:t>64,77%</w:t>
            </w:r>
          </w:p>
        </w:tc>
        <w:tc>
          <w:tcPr>
            <w:tcW w:w="1300" w:type="dxa"/>
            <w:vAlign w:val="center"/>
          </w:tcPr>
          <w:p w14:paraId="10346E8D" w14:textId="77777777" w:rsidR="002D122C" w:rsidRPr="000C79DC" w:rsidRDefault="002D122C" w:rsidP="000878F6">
            <w:pPr>
              <w:pStyle w:val="Table"/>
              <w:jc w:val="center"/>
              <w:rPr>
                <w:szCs w:val="20"/>
              </w:rPr>
            </w:pPr>
            <w:r w:rsidRPr="000C79DC">
              <w:rPr>
                <w:rFonts w:ascii="Calibri" w:hAnsi="Calibri" w:cs="Calibri"/>
                <w:color w:val="000000"/>
                <w:szCs w:val="20"/>
              </w:rPr>
              <w:t>63,58%</w:t>
            </w:r>
          </w:p>
        </w:tc>
      </w:tr>
      <w:tr w:rsidR="002D122C" w:rsidRPr="00355514" w14:paraId="674AB19E" w14:textId="77777777" w:rsidTr="00BA7936">
        <w:trPr>
          <w:trHeight w:val="130"/>
        </w:trPr>
        <w:tc>
          <w:tcPr>
            <w:tcW w:w="2281" w:type="dxa"/>
          </w:tcPr>
          <w:p w14:paraId="00187ADD" w14:textId="77777777" w:rsidR="002D122C" w:rsidRPr="00F501DA" w:rsidRDefault="002D122C" w:rsidP="000878F6">
            <w:pPr>
              <w:pStyle w:val="Table"/>
            </w:pPr>
            <w:r w:rsidRPr="00F501DA">
              <w:t>Fertilizers</w:t>
            </w:r>
          </w:p>
        </w:tc>
        <w:tc>
          <w:tcPr>
            <w:tcW w:w="1140" w:type="dxa"/>
            <w:vAlign w:val="center"/>
          </w:tcPr>
          <w:p w14:paraId="462E135A" w14:textId="77777777" w:rsidR="002D122C" w:rsidRPr="000C79DC" w:rsidRDefault="002D122C" w:rsidP="000878F6">
            <w:pPr>
              <w:pStyle w:val="Table"/>
              <w:jc w:val="center"/>
              <w:rPr>
                <w:szCs w:val="20"/>
              </w:rPr>
            </w:pPr>
            <w:r w:rsidRPr="000C79DC">
              <w:rPr>
                <w:rFonts w:ascii="Calibri" w:hAnsi="Calibri" w:cs="Calibri"/>
                <w:color w:val="000000"/>
                <w:szCs w:val="20"/>
              </w:rPr>
              <w:t>-23,96%</w:t>
            </w:r>
          </w:p>
        </w:tc>
        <w:tc>
          <w:tcPr>
            <w:tcW w:w="1141" w:type="dxa"/>
            <w:vAlign w:val="center"/>
          </w:tcPr>
          <w:p w14:paraId="70A93DD5" w14:textId="77777777" w:rsidR="002D122C" w:rsidRPr="000C79DC" w:rsidRDefault="002D122C" w:rsidP="000878F6">
            <w:pPr>
              <w:pStyle w:val="Table"/>
              <w:jc w:val="center"/>
              <w:rPr>
                <w:szCs w:val="20"/>
              </w:rPr>
            </w:pPr>
            <w:r w:rsidRPr="000C79DC">
              <w:rPr>
                <w:rFonts w:ascii="Calibri" w:hAnsi="Calibri" w:cs="Calibri"/>
                <w:color w:val="000000"/>
                <w:szCs w:val="20"/>
              </w:rPr>
              <w:t>-23,96%</w:t>
            </w:r>
          </w:p>
        </w:tc>
        <w:tc>
          <w:tcPr>
            <w:tcW w:w="1045" w:type="dxa"/>
            <w:vAlign w:val="center"/>
          </w:tcPr>
          <w:p w14:paraId="27B60F90" w14:textId="77777777" w:rsidR="002D122C" w:rsidRPr="000C79DC" w:rsidRDefault="002D122C" w:rsidP="000878F6">
            <w:pPr>
              <w:pStyle w:val="Table"/>
              <w:jc w:val="center"/>
              <w:rPr>
                <w:szCs w:val="20"/>
              </w:rPr>
            </w:pPr>
            <w:r w:rsidRPr="000C79DC">
              <w:rPr>
                <w:rFonts w:ascii="Calibri" w:hAnsi="Calibri" w:cs="Calibri"/>
                <w:color w:val="000000"/>
                <w:szCs w:val="20"/>
              </w:rPr>
              <w:t>15,44</w:t>
            </w:r>
          </w:p>
        </w:tc>
        <w:tc>
          <w:tcPr>
            <w:tcW w:w="1236" w:type="dxa"/>
            <w:vAlign w:val="center"/>
          </w:tcPr>
          <w:p w14:paraId="0E7FD278" w14:textId="77777777" w:rsidR="002D122C" w:rsidRPr="000C79DC" w:rsidRDefault="002D122C" w:rsidP="000878F6">
            <w:pPr>
              <w:pStyle w:val="Table"/>
              <w:jc w:val="center"/>
              <w:rPr>
                <w:szCs w:val="20"/>
              </w:rPr>
            </w:pPr>
            <w:r w:rsidRPr="000C79DC">
              <w:rPr>
                <w:rFonts w:ascii="Calibri" w:hAnsi="Calibri" w:cs="Calibri"/>
                <w:color w:val="000000"/>
                <w:szCs w:val="20"/>
              </w:rPr>
              <w:t>16,92</w:t>
            </w:r>
          </w:p>
        </w:tc>
        <w:tc>
          <w:tcPr>
            <w:tcW w:w="982" w:type="dxa"/>
            <w:vAlign w:val="center"/>
          </w:tcPr>
          <w:p w14:paraId="58BA0030" w14:textId="77777777" w:rsidR="002D122C" w:rsidRPr="000C79DC" w:rsidRDefault="002D122C" w:rsidP="000878F6">
            <w:pPr>
              <w:pStyle w:val="Table"/>
              <w:jc w:val="center"/>
              <w:rPr>
                <w:szCs w:val="20"/>
              </w:rPr>
            </w:pPr>
            <w:r w:rsidRPr="000C79DC">
              <w:rPr>
                <w:rFonts w:ascii="Calibri" w:hAnsi="Calibri" w:cs="Calibri"/>
                <w:color w:val="000000"/>
                <w:szCs w:val="20"/>
              </w:rPr>
              <w:t>4,79%</w:t>
            </w:r>
          </w:p>
        </w:tc>
        <w:tc>
          <w:tcPr>
            <w:tcW w:w="1300" w:type="dxa"/>
            <w:vAlign w:val="center"/>
          </w:tcPr>
          <w:p w14:paraId="72A60CEC" w14:textId="77777777" w:rsidR="002D122C" w:rsidRPr="000C79DC" w:rsidRDefault="002D122C" w:rsidP="000878F6">
            <w:pPr>
              <w:pStyle w:val="Table"/>
              <w:jc w:val="center"/>
              <w:rPr>
                <w:szCs w:val="20"/>
              </w:rPr>
            </w:pPr>
            <w:r w:rsidRPr="000C79DC">
              <w:rPr>
                <w:rFonts w:ascii="Calibri" w:hAnsi="Calibri" w:cs="Calibri"/>
                <w:color w:val="000000"/>
                <w:szCs w:val="20"/>
              </w:rPr>
              <w:t>5,25%</w:t>
            </w:r>
          </w:p>
        </w:tc>
      </w:tr>
      <w:tr w:rsidR="002D122C" w:rsidRPr="00355514" w14:paraId="151490E1" w14:textId="77777777" w:rsidTr="00BA7936">
        <w:trPr>
          <w:trHeight w:val="268"/>
        </w:trPr>
        <w:tc>
          <w:tcPr>
            <w:tcW w:w="2281" w:type="dxa"/>
          </w:tcPr>
          <w:p w14:paraId="378CEC37" w14:textId="77777777" w:rsidR="002D122C" w:rsidRPr="00F501DA" w:rsidRDefault="002D122C" w:rsidP="000878F6">
            <w:pPr>
              <w:pStyle w:val="Table"/>
            </w:pPr>
            <w:r w:rsidRPr="00F501DA">
              <w:t>Pesticides</w:t>
            </w:r>
          </w:p>
        </w:tc>
        <w:tc>
          <w:tcPr>
            <w:tcW w:w="1140" w:type="dxa"/>
            <w:vAlign w:val="center"/>
          </w:tcPr>
          <w:p w14:paraId="344ED073" w14:textId="77777777" w:rsidR="002D122C" w:rsidRPr="000C79DC" w:rsidRDefault="002D122C" w:rsidP="000878F6">
            <w:pPr>
              <w:pStyle w:val="Table"/>
              <w:jc w:val="center"/>
              <w:rPr>
                <w:szCs w:val="20"/>
              </w:rPr>
            </w:pPr>
            <w:r w:rsidRPr="000C79DC">
              <w:rPr>
                <w:rFonts w:ascii="Calibri" w:hAnsi="Calibri" w:cs="Calibri"/>
                <w:color w:val="000000"/>
                <w:szCs w:val="20"/>
              </w:rPr>
              <w:t>n/a</w:t>
            </w:r>
          </w:p>
        </w:tc>
        <w:tc>
          <w:tcPr>
            <w:tcW w:w="1141" w:type="dxa"/>
            <w:vAlign w:val="center"/>
          </w:tcPr>
          <w:p w14:paraId="4E9F96C8" w14:textId="77777777" w:rsidR="002D122C" w:rsidRPr="000C79DC" w:rsidRDefault="002D122C" w:rsidP="000878F6">
            <w:pPr>
              <w:pStyle w:val="Table"/>
              <w:jc w:val="center"/>
              <w:rPr>
                <w:szCs w:val="20"/>
              </w:rPr>
            </w:pPr>
            <w:r w:rsidRPr="000C79DC">
              <w:rPr>
                <w:rFonts w:ascii="Calibri" w:hAnsi="Calibri" w:cs="Calibri"/>
                <w:color w:val="000000"/>
                <w:szCs w:val="20"/>
              </w:rPr>
              <w:t>n/a</w:t>
            </w:r>
          </w:p>
        </w:tc>
        <w:tc>
          <w:tcPr>
            <w:tcW w:w="1045" w:type="dxa"/>
            <w:vAlign w:val="center"/>
          </w:tcPr>
          <w:p w14:paraId="5B6849AD" w14:textId="77777777" w:rsidR="002D122C" w:rsidRPr="000C79DC" w:rsidRDefault="002D122C" w:rsidP="000878F6">
            <w:pPr>
              <w:pStyle w:val="Table"/>
              <w:jc w:val="center"/>
              <w:rPr>
                <w:szCs w:val="20"/>
              </w:rPr>
            </w:pPr>
            <w:r w:rsidRPr="000C79DC">
              <w:rPr>
                <w:rFonts w:ascii="Calibri" w:hAnsi="Calibri" w:cs="Calibri"/>
                <w:color w:val="000000"/>
                <w:szCs w:val="20"/>
              </w:rPr>
              <w:t>11,63</w:t>
            </w:r>
          </w:p>
        </w:tc>
        <w:tc>
          <w:tcPr>
            <w:tcW w:w="1236" w:type="dxa"/>
            <w:vAlign w:val="center"/>
          </w:tcPr>
          <w:p w14:paraId="4ADF5594" w14:textId="77777777" w:rsidR="002D122C" w:rsidRPr="000C79DC" w:rsidRDefault="002D122C" w:rsidP="000878F6">
            <w:pPr>
              <w:pStyle w:val="Table"/>
              <w:jc w:val="center"/>
              <w:rPr>
                <w:szCs w:val="20"/>
              </w:rPr>
            </w:pPr>
            <w:r w:rsidRPr="000C79DC">
              <w:rPr>
                <w:rFonts w:ascii="Calibri" w:hAnsi="Calibri" w:cs="Calibri"/>
                <w:color w:val="000000"/>
                <w:szCs w:val="20"/>
              </w:rPr>
              <w:t>11,63</w:t>
            </w:r>
          </w:p>
        </w:tc>
        <w:tc>
          <w:tcPr>
            <w:tcW w:w="982" w:type="dxa"/>
            <w:vAlign w:val="center"/>
          </w:tcPr>
          <w:p w14:paraId="74E2DF89" w14:textId="77777777" w:rsidR="002D122C" w:rsidRPr="000C79DC" w:rsidRDefault="002D122C" w:rsidP="000878F6">
            <w:pPr>
              <w:pStyle w:val="Table"/>
              <w:jc w:val="center"/>
              <w:rPr>
                <w:szCs w:val="20"/>
              </w:rPr>
            </w:pPr>
            <w:r w:rsidRPr="000C79DC">
              <w:rPr>
                <w:rFonts w:ascii="Calibri" w:hAnsi="Calibri" w:cs="Calibri"/>
                <w:color w:val="000000"/>
                <w:szCs w:val="20"/>
              </w:rPr>
              <w:t>3,61%</w:t>
            </w:r>
          </w:p>
        </w:tc>
        <w:tc>
          <w:tcPr>
            <w:tcW w:w="1300" w:type="dxa"/>
            <w:vAlign w:val="center"/>
          </w:tcPr>
          <w:p w14:paraId="3EA683A1" w14:textId="77777777" w:rsidR="002D122C" w:rsidRPr="000C79DC" w:rsidRDefault="002D122C" w:rsidP="000878F6">
            <w:pPr>
              <w:pStyle w:val="Table"/>
              <w:jc w:val="center"/>
              <w:rPr>
                <w:szCs w:val="20"/>
              </w:rPr>
            </w:pPr>
            <w:r w:rsidRPr="000C79DC">
              <w:rPr>
                <w:rFonts w:ascii="Calibri" w:hAnsi="Calibri" w:cs="Calibri"/>
                <w:color w:val="000000"/>
                <w:szCs w:val="20"/>
              </w:rPr>
              <w:t>3,61%</w:t>
            </w:r>
          </w:p>
        </w:tc>
      </w:tr>
      <w:tr w:rsidR="002D122C" w:rsidRPr="00355514" w14:paraId="2DEBF7BF" w14:textId="77777777" w:rsidTr="00BA7936">
        <w:trPr>
          <w:trHeight w:val="268"/>
        </w:trPr>
        <w:tc>
          <w:tcPr>
            <w:tcW w:w="2281" w:type="dxa"/>
          </w:tcPr>
          <w:p w14:paraId="5106D5F6" w14:textId="77777777" w:rsidR="002D122C" w:rsidRPr="00F501DA" w:rsidRDefault="002D122C" w:rsidP="000878F6">
            <w:pPr>
              <w:pStyle w:val="Table"/>
            </w:pPr>
            <w:r w:rsidRPr="00F501DA">
              <w:t>Waste Incineration</w:t>
            </w:r>
          </w:p>
        </w:tc>
        <w:tc>
          <w:tcPr>
            <w:tcW w:w="1140" w:type="dxa"/>
            <w:vAlign w:val="center"/>
          </w:tcPr>
          <w:p w14:paraId="0E4B307D" w14:textId="77777777" w:rsidR="002D122C" w:rsidRPr="000C79DC" w:rsidRDefault="002D122C" w:rsidP="000878F6">
            <w:pPr>
              <w:pStyle w:val="Table"/>
              <w:jc w:val="center"/>
              <w:rPr>
                <w:szCs w:val="20"/>
              </w:rPr>
            </w:pPr>
            <w:r w:rsidRPr="000C79DC">
              <w:rPr>
                <w:rFonts w:ascii="Calibri" w:hAnsi="Calibri" w:cs="Calibri"/>
                <w:color w:val="000000"/>
                <w:szCs w:val="20"/>
              </w:rPr>
              <w:t>-20,00%</w:t>
            </w:r>
          </w:p>
        </w:tc>
        <w:tc>
          <w:tcPr>
            <w:tcW w:w="1141" w:type="dxa"/>
            <w:vAlign w:val="center"/>
          </w:tcPr>
          <w:p w14:paraId="758FD105" w14:textId="77777777" w:rsidR="002D122C" w:rsidRPr="000C79DC" w:rsidRDefault="002D122C" w:rsidP="000878F6">
            <w:pPr>
              <w:pStyle w:val="Table"/>
              <w:jc w:val="center"/>
              <w:rPr>
                <w:szCs w:val="20"/>
              </w:rPr>
            </w:pPr>
            <w:r w:rsidRPr="000C79DC">
              <w:rPr>
                <w:rFonts w:ascii="Calibri" w:hAnsi="Calibri" w:cs="Calibri"/>
                <w:color w:val="000000"/>
                <w:szCs w:val="20"/>
              </w:rPr>
              <w:t>-20,00%</w:t>
            </w:r>
          </w:p>
        </w:tc>
        <w:tc>
          <w:tcPr>
            <w:tcW w:w="1045" w:type="dxa"/>
            <w:vAlign w:val="center"/>
          </w:tcPr>
          <w:p w14:paraId="2952B410" w14:textId="77777777" w:rsidR="002D122C" w:rsidRPr="000C79DC" w:rsidRDefault="002D122C" w:rsidP="000878F6">
            <w:pPr>
              <w:pStyle w:val="Table"/>
              <w:jc w:val="center"/>
              <w:rPr>
                <w:szCs w:val="20"/>
              </w:rPr>
            </w:pPr>
            <w:r w:rsidRPr="000C79DC">
              <w:rPr>
                <w:rFonts w:ascii="Calibri" w:hAnsi="Calibri" w:cs="Calibri"/>
                <w:color w:val="000000"/>
                <w:szCs w:val="20"/>
              </w:rPr>
              <w:t>0,81</w:t>
            </w:r>
          </w:p>
        </w:tc>
        <w:tc>
          <w:tcPr>
            <w:tcW w:w="1236" w:type="dxa"/>
            <w:vAlign w:val="center"/>
          </w:tcPr>
          <w:p w14:paraId="64D29E68" w14:textId="77777777" w:rsidR="002D122C" w:rsidRPr="000C79DC" w:rsidRDefault="002D122C" w:rsidP="000878F6">
            <w:pPr>
              <w:pStyle w:val="Table"/>
              <w:jc w:val="center"/>
              <w:rPr>
                <w:szCs w:val="20"/>
              </w:rPr>
            </w:pPr>
            <w:r w:rsidRPr="000C79DC">
              <w:rPr>
                <w:rFonts w:ascii="Calibri" w:hAnsi="Calibri" w:cs="Calibri"/>
                <w:color w:val="000000"/>
                <w:szCs w:val="20"/>
              </w:rPr>
              <w:t>0,81</w:t>
            </w:r>
          </w:p>
        </w:tc>
        <w:tc>
          <w:tcPr>
            <w:tcW w:w="982" w:type="dxa"/>
            <w:vAlign w:val="center"/>
          </w:tcPr>
          <w:p w14:paraId="7F13D864" w14:textId="77777777" w:rsidR="002D122C" w:rsidRPr="000C79DC" w:rsidRDefault="002D122C" w:rsidP="000878F6">
            <w:pPr>
              <w:pStyle w:val="Table"/>
              <w:jc w:val="center"/>
              <w:rPr>
                <w:szCs w:val="20"/>
              </w:rPr>
            </w:pPr>
            <w:r w:rsidRPr="000C79DC">
              <w:rPr>
                <w:rFonts w:ascii="Calibri" w:hAnsi="Calibri" w:cs="Calibri"/>
                <w:color w:val="000000"/>
                <w:szCs w:val="20"/>
              </w:rPr>
              <w:t>0,25%</w:t>
            </w:r>
          </w:p>
        </w:tc>
        <w:tc>
          <w:tcPr>
            <w:tcW w:w="1300" w:type="dxa"/>
            <w:vAlign w:val="center"/>
          </w:tcPr>
          <w:p w14:paraId="376161A6" w14:textId="77777777" w:rsidR="002D122C" w:rsidRPr="000C79DC" w:rsidRDefault="002D122C" w:rsidP="000878F6">
            <w:pPr>
              <w:pStyle w:val="Table"/>
              <w:jc w:val="center"/>
              <w:rPr>
                <w:szCs w:val="20"/>
              </w:rPr>
            </w:pPr>
            <w:r w:rsidRPr="000C79DC">
              <w:rPr>
                <w:rFonts w:ascii="Calibri" w:hAnsi="Calibri" w:cs="Calibri"/>
                <w:color w:val="000000"/>
                <w:szCs w:val="20"/>
              </w:rPr>
              <w:t>0,25%</w:t>
            </w:r>
          </w:p>
        </w:tc>
      </w:tr>
      <w:tr w:rsidR="002D122C" w:rsidRPr="00355514" w14:paraId="11BC9914" w14:textId="77777777" w:rsidTr="00BA7936">
        <w:trPr>
          <w:trHeight w:val="268"/>
        </w:trPr>
        <w:tc>
          <w:tcPr>
            <w:tcW w:w="2281" w:type="dxa"/>
          </w:tcPr>
          <w:p w14:paraId="508C1714" w14:textId="77777777" w:rsidR="002D122C" w:rsidRPr="00F501DA" w:rsidRDefault="002D122C" w:rsidP="000878F6">
            <w:pPr>
              <w:pStyle w:val="Table"/>
            </w:pPr>
            <w:r w:rsidRPr="00F501DA">
              <w:t>Waste to Landfill</w:t>
            </w:r>
          </w:p>
        </w:tc>
        <w:tc>
          <w:tcPr>
            <w:tcW w:w="1140" w:type="dxa"/>
            <w:vAlign w:val="center"/>
          </w:tcPr>
          <w:p w14:paraId="295E390D" w14:textId="77777777" w:rsidR="002D122C" w:rsidRPr="000C79DC" w:rsidRDefault="002D122C" w:rsidP="000878F6">
            <w:pPr>
              <w:pStyle w:val="Table"/>
              <w:jc w:val="center"/>
              <w:rPr>
                <w:szCs w:val="20"/>
              </w:rPr>
            </w:pPr>
            <w:r w:rsidRPr="000C79DC">
              <w:rPr>
                <w:rFonts w:ascii="Calibri" w:hAnsi="Calibri" w:cs="Calibri"/>
                <w:color w:val="000000"/>
                <w:szCs w:val="20"/>
              </w:rPr>
              <w:t>-7,69%</w:t>
            </w:r>
          </w:p>
        </w:tc>
        <w:tc>
          <w:tcPr>
            <w:tcW w:w="1141" w:type="dxa"/>
            <w:vAlign w:val="center"/>
          </w:tcPr>
          <w:p w14:paraId="1EBF78F3" w14:textId="77777777" w:rsidR="002D122C" w:rsidRPr="000C79DC" w:rsidRDefault="002D122C" w:rsidP="000878F6">
            <w:pPr>
              <w:pStyle w:val="Table"/>
              <w:jc w:val="center"/>
              <w:rPr>
                <w:szCs w:val="20"/>
              </w:rPr>
            </w:pPr>
            <w:r w:rsidRPr="000C79DC">
              <w:rPr>
                <w:rFonts w:ascii="Calibri" w:hAnsi="Calibri" w:cs="Calibri"/>
                <w:color w:val="000000"/>
                <w:szCs w:val="20"/>
              </w:rPr>
              <w:t>-7,69%</w:t>
            </w:r>
          </w:p>
        </w:tc>
        <w:tc>
          <w:tcPr>
            <w:tcW w:w="1045" w:type="dxa"/>
            <w:vAlign w:val="center"/>
          </w:tcPr>
          <w:p w14:paraId="328FB1DC" w14:textId="77777777" w:rsidR="002D122C" w:rsidRPr="000C79DC" w:rsidRDefault="002D122C" w:rsidP="000878F6">
            <w:pPr>
              <w:pStyle w:val="Table"/>
              <w:jc w:val="center"/>
              <w:rPr>
                <w:szCs w:val="20"/>
              </w:rPr>
            </w:pPr>
            <w:r w:rsidRPr="000C79DC">
              <w:rPr>
                <w:rFonts w:ascii="Calibri" w:hAnsi="Calibri" w:cs="Calibri"/>
                <w:color w:val="000000"/>
                <w:szCs w:val="20"/>
              </w:rPr>
              <w:t>501,41</w:t>
            </w:r>
          </w:p>
        </w:tc>
        <w:tc>
          <w:tcPr>
            <w:tcW w:w="1236" w:type="dxa"/>
            <w:vAlign w:val="center"/>
          </w:tcPr>
          <w:p w14:paraId="4DA70582" w14:textId="77777777" w:rsidR="002D122C" w:rsidRPr="000C79DC" w:rsidRDefault="002D122C" w:rsidP="000878F6">
            <w:pPr>
              <w:pStyle w:val="Table"/>
              <w:jc w:val="center"/>
              <w:rPr>
                <w:szCs w:val="20"/>
              </w:rPr>
            </w:pPr>
            <w:r w:rsidRPr="000C79DC">
              <w:rPr>
                <w:rFonts w:ascii="Calibri" w:hAnsi="Calibri" w:cs="Calibri"/>
                <w:color w:val="000000"/>
                <w:szCs w:val="20"/>
              </w:rPr>
              <w:t>491,07</w:t>
            </w:r>
          </w:p>
        </w:tc>
        <w:tc>
          <w:tcPr>
            <w:tcW w:w="982" w:type="dxa"/>
            <w:vAlign w:val="center"/>
          </w:tcPr>
          <w:p w14:paraId="1B8B3C19" w14:textId="77777777" w:rsidR="002D122C" w:rsidRPr="000C79DC" w:rsidRDefault="002D122C" w:rsidP="000878F6">
            <w:pPr>
              <w:pStyle w:val="Table"/>
              <w:jc w:val="center"/>
              <w:rPr>
                <w:szCs w:val="20"/>
              </w:rPr>
            </w:pPr>
            <w:r w:rsidRPr="000C79DC">
              <w:rPr>
                <w:rFonts w:ascii="Calibri" w:hAnsi="Calibri" w:cs="Calibri"/>
                <w:color w:val="000000"/>
                <w:szCs w:val="20"/>
              </w:rPr>
              <w:t>155,73%</w:t>
            </w:r>
          </w:p>
        </w:tc>
        <w:tc>
          <w:tcPr>
            <w:tcW w:w="1300" w:type="dxa"/>
            <w:vAlign w:val="center"/>
          </w:tcPr>
          <w:p w14:paraId="478D45D3" w14:textId="77777777" w:rsidR="002D122C" w:rsidRPr="000C79DC" w:rsidRDefault="002D122C" w:rsidP="000878F6">
            <w:pPr>
              <w:pStyle w:val="Table"/>
              <w:jc w:val="center"/>
              <w:rPr>
                <w:szCs w:val="20"/>
              </w:rPr>
            </w:pPr>
            <w:r w:rsidRPr="000C79DC">
              <w:rPr>
                <w:rFonts w:ascii="Calibri" w:hAnsi="Calibri" w:cs="Calibri"/>
                <w:color w:val="000000"/>
                <w:szCs w:val="20"/>
              </w:rPr>
              <w:t>152,52%</w:t>
            </w:r>
          </w:p>
        </w:tc>
      </w:tr>
      <w:tr w:rsidR="002D122C" w:rsidRPr="00355514" w14:paraId="03E8598C" w14:textId="77777777" w:rsidTr="00BA7936">
        <w:trPr>
          <w:trHeight w:val="268"/>
        </w:trPr>
        <w:tc>
          <w:tcPr>
            <w:tcW w:w="2281" w:type="dxa"/>
          </w:tcPr>
          <w:p w14:paraId="0B495D8D" w14:textId="77777777" w:rsidR="002D122C" w:rsidRPr="00F501DA" w:rsidRDefault="002D122C" w:rsidP="000878F6">
            <w:pPr>
              <w:pStyle w:val="Table"/>
            </w:pPr>
            <w:r w:rsidRPr="00F501DA">
              <w:t>Water Effluent</w:t>
            </w:r>
          </w:p>
        </w:tc>
        <w:tc>
          <w:tcPr>
            <w:tcW w:w="1140" w:type="dxa"/>
            <w:vAlign w:val="center"/>
          </w:tcPr>
          <w:p w14:paraId="18969010" w14:textId="77777777" w:rsidR="002D122C" w:rsidRPr="000C79DC" w:rsidRDefault="002D122C" w:rsidP="000878F6">
            <w:pPr>
              <w:pStyle w:val="Table"/>
              <w:jc w:val="center"/>
              <w:rPr>
                <w:szCs w:val="20"/>
              </w:rPr>
            </w:pPr>
            <w:r w:rsidRPr="000C79DC">
              <w:rPr>
                <w:rFonts w:ascii="Calibri" w:hAnsi="Calibri" w:cs="Calibri"/>
                <w:color w:val="000000"/>
                <w:szCs w:val="20"/>
              </w:rPr>
              <w:t>-9,09%</w:t>
            </w:r>
          </w:p>
        </w:tc>
        <w:tc>
          <w:tcPr>
            <w:tcW w:w="1141" w:type="dxa"/>
            <w:vAlign w:val="center"/>
          </w:tcPr>
          <w:p w14:paraId="6321853C" w14:textId="77777777" w:rsidR="002D122C" w:rsidRPr="000C79DC" w:rsidRDefault="002D122C" w:rsidP="000878F6">
            <w:pPr>
              <w:pStyle w:val="Table"/>
              <w:jc w:val="center"/>
              <w:rPr>
                <w:szCs w:val="20"/>
              </w:rPr>
            </w:pPr>
            <w:r w:rsidRPr="000C79DC">
              <w:rPr>
                <w:rFonts w:ascii="Calibri" w:hAnsi="Calibri" w:cs="Calibri"/>
                <w:color w:val="000000"/>
                <w:szCs w:val="20"/>
              </w:rPr>
              <w:t>-9,09%</w:t>
            </w:r>
          </w:p>
        </w:tc>
        <w:tc>
          <w:tcPr>
            <w:tcW w:w="1045" w:type="dxa"/>
            <w:vAlign w:val="center"/>
          </w:tcPr>
          <w:p w14:paraId="18013D52" w14:textId="77777777" w:rsidR="002D122C" w:rsidRPr="000C79DC" w:rsidRDefault="002D122C" w:rsidP="000878F6">
            <w:pPr>
              <w:pStyle w:val="Table"/>
              <w:jc w:val="center"/>
              <w:rPr>
                <w:szCs w:val="20"/>
              </w:rPr>
            </w:pPr>
            <w:r w:rsidRPr="000C79DC">
              <w:rPr>
                <w:rFonts w:ascii="Calibri" w:hAnsi="Calibri" w:cs="Calibri"/>
                <w:color w:val="000000"/>
                <w:szCs w:val="20"/>
              </w:rPr>
              <w:t>1330,09</w:t>
            </w:r>
          </w:p>
        </w:tc>
        <w:tc>
          <w:tcPr>
            <w:tcW w:w="1236" w:type="dxa"/>
            <w:vAlign w:val="center"/>
          </w:tcPr>
          <w:p w14:paraId="029A2332" w14:textId="77777777" w:rsidR="002D122C" w:rsidRPr="000C79DC" w:rsidRDefault="002D122C" w:rsidP="000878F6">
            <w:pPr>
              <w:pStyle w:val="Table"/>
              <w:jc w:val="center"/>
              <w:rPr>
                <w:szCs w:val="20"/>
              </w:rPr>
            </w:pPr>
            <w:r w:rsidRPr="000C79DC">
              <w:rPr>
                <w:rFonts w:ascii="Calibri" w:hAnsi="Calibri" w:cs="Calibri"/>
                <w:color w:val="000000"/>
                <w:szCs w:val="20"/>
              </w:rPr>
              <w:t>1364,14</w:t>
            </w:r>
          </w:p>
        </w:tc>
        <w:tc>
          <w:tcPr>
            <w:tcW w:w="982" w:type="dxa"/>
            <w:vAlign w:val="center"/>
          </w:tcPr>
          <w:p w14:paraId="6E44F5AD" w14:textId="77777777" w:rsidR="002D122C" w:rsidRPr="000C79DC" w:rsidRDefault="002D122C" w:rsidP="000878F6">
            <w:pPr>
              <w:pStyle w:val="Table"/>
              <w:jc w:val="center"/>
              <w:rPr>
                <w:szCs w:val="20"/>
              </w:rPr>
            </w:pPr>
            <w:r w:rsidRPr="000C79DC">
              <w:rPr>
                <w:rFonts w:ascii="Calibri" w:hAnsi="Calibri" w:cs="Calibri"/>
                <w:color w:val="000000"/>
                <w:szCs w:val="20"/>
              </w:rPr>
              <w:t>413,10%</w:t>
            </w:r>
          </w:p>
        </w:tc>
        <w:tc>
          <w:tcPr>
            <w:tcW w:w="1300" w:type="dxa"/>
            <w:vAlign w:val="center"/>
          </w:tcPr>
          <w:p w14:paraId="6691D6BF" w14:textId="77777777" w:rsidR="002D122C" w:rsidRPr="000C79DC" w:rsidRDefault="002D122C" w:rsidP="000878F6">
            <w:pPr>
              <w:pStyle w:val="Table"/>
              <w:jc w:val="center"/>
              <w:rPr>
                <w:szCs w:val="20"/>
              </w:rPr>
            </w:pPr>
            <w:r w:rsidRPr="000C79DC">
              <w:rPr>
                <w:rFonts w:ascii="Calibri" w:hAnsi="Calibri" w:cs="Calibri"/>
                <w:color w:val="000000"/>
                <w:szCs w:val="20"/>
              </w:rPr>
              <w:t>423,67%</w:t>
            </w:r>
          </w:p>
        </w:tc>
      </w:tr>
      <w:tr w:rsidR="002D122C" w:rsidRPr="00355514" w14:paraId="2457DF83" w14:textId="77777777" w:rsidTr="00BA7936">
        <w:trPr>
          <w:trHeight w:val="271"/>
        </w:trPr>
        <w:tc>
          <w:tcPr>
            <w:tcW w:w="2281" w:type="dxa"/>
          </w:tcPr>
          <w:p w14:paraId="03C00284" w14:textId="77777777" w:rsidR="002D122C" w:rsidRPr="00FA50BB" w:rsidRDefault="002D122C" w:rsidP="000878F6">
            <w:pPr>
              <w:pStyle w:val="Table"/>
            </w:pPr>
            <w:r w:rsidRPr="00FA50BB">
              <w:t>Minerals &amp; Aggregates</w:t>
            </w:r>
          </w:p>
        </w:tc>
        <w:tc>
          <w:tcPr>
            <w:tcW w:w="1140" w:type="dxa"/>
            <w:vAlign w:val="center"/>
          </w:tcPr>
          <w:p w14:paraId="782D2D55" w14:textId="77777777" w:rsidR="002D122C" w:rsidRPr="000C79DC" w:rsidRDefault="002D122C" w:rsidP="000878F6">
            <w:pPr>
              <w:pStyle w:val="Table"/>
              <w:jc w:val="center"/>
              <w:rPr>
                <w:szCs w:val="20"/>
              </w:rPr>
            </w:pPr>
            <w:r w:rsidRPr="000C79DC">
              <w:rPr>
                <w:rFonts w:ascii="Calibri" w:hAnsi="Calibri" w:cs="Calibri"/>
                <w:color w:val="000000"/>
                <w:szCs w:val="20"/>
              </w:rPr>
              <w:t>-8,81%</w:t>
            </w:r>
          </w:p>
        </w:tc>
        <w:tc>
          <w:tcPr>
            <w:tcW w:w="1141" w:type="dxa"/>
            <w:vAlign w:val="center"/>
          </w:tcPr>
          <w:p w14:paraId="78311C99" w14:textId="77777777" w:rsidR="002D122C" w:rsidRPr="000C79DC" w:rsidRDefault="002D122C" w:rsidP="000878F6">
            <w:pPr>
              <w:pStyle w:val="Table"/>
              <w:jc w:val="center"/>
              <w:rPr>
                <w:szCs w:val="20"/>
              </w:rPr>
            </w:pPr>
            <w:r w:rsidRPr="000C79DC">
              <w:rPr>
                <w:rFonts w:ascii="Calibri" w:hAnsi="Calibri" w:cs="Calibri"/>
                <w:color w:val="000000"/>
                <w:szCs w:val="20"/>
              </w:rPr>
              <w:t>-8,81%</w:t>
            </w:r>
          </w:p>
        </w:tc>
        <w:tc>
          <w:tcPr>
            <w:tcW w:w="1045" w:type="dxa"/>
            <w:vAlign w:val="center"/>
          </w:tcPr>
          <w:p w14:paraId="0F230A0D" w14:textId="77777777" w:rsidR="002D122C" w:rsidRPr="000C79DC" w:rsidRDefault="002D122C" w:rsidP="000878F6">
            <w:pPr>
              <w:pStyle w:val="Table"/>
              <w:jc w:val="center"/>
              <w:rPr>
                <w:szCs w:val="20"/>
              </w:rPr>
            </w:pPr>
            <w:r w:rsidRPr="000C79DC">
              <w:rPr>
                <w:rFonts w:ascii="Calibri" w:hAnsi="Calibri" w:cs="Calibri"/>
                <w:color w:val="000000"/>
                <w:szCs w:val="20"/>
              </w:rPr>
              <w:t>125,94</w:t>
            </w:r>
          </w:p>
        </w:tc>
        <w:tc>
          <w:tcPr>
            <w:tcW w:w="1236" w:type="dxa"/>
            <w:vAlign w:val="center"/>
          </w:tcPr>
          <w:p w14:paraId="4E4560ED" w14:textId="77777777" w:rsidR="002D122C" w:rsidRPr="000C79DC" w:rsidRDefault="002D122C" w:rsidP="000878F6">
            <w:pPr>
              <w:pStyle w:val="Table"/>
              <w:jc w:val="center"/>
              <w:rPr>
                <w:szCs w:val="20"/>
              </w:rPr>
            </w:pPr>
            <w:r w:rsidRPr="000C79DC">
              <w:rPr>
                <w:rFonts w:ascii="Calibri" w:hAnsi="Calibri" w:cs="Calibri"/>
                <w:color w:val="000000"/>
                <w:szCs w:val="20"/>
              </w:rPr>
              <w:t>132,84</w:t>
            </w:r>
          </w:p>
        </w:tc>
        <w:tc>
          <w:tcPr>
            <w:tcW w:w="982" w:type="dxa"/>
            <w:vAlign w:val="center"/>
          </w:tcPr>
          <w:p w14:paraId="56A43385" w14:textId="77777777" w:rsidR="002D122C" w:rsidRPr="000C79DC" w:rsidRDefault="002D122C" w:rsidP="000878F6">
            <w:pPr>
              <w:pStyle w:val="Table"/>
              <w:jc w:val="center"/>
              <w:rPr>
                <w:szCs w:val="20"/>
              </w:rPr>
            </w:pPr>
            <w:r w:rsidRPr="000C79DC">
              <w:rPr>
                <w:rFonts w:ascii="Calibri" w:hAnsi="Calibri" w:cs="Calibri"/>
                <w:color w:val="000000"/>
                <w:szCs w:val="20"/>
              </w:rPr>
              <w:t>1416,67%</w:t>
            </w:r>
          </w:p>
        </w:tc>
        <w:tc>
          <w:tcPr>
            <w:tcW w:w="1300" w:type="dxa"/>
            <w:vAlign w:val="center"/>
          </w:tcPr>
          <w:p w14:paraId="745963D5" w14:textId="77777777" w:rsidR="002D122C" w:rsidRPr="000C79DC" w:rsidRDefault="002D122C" w:rsidP="000878F6">
            <w:pPr>
              <w:pStyle w:val="Table"/>
              <w:jc w:val="center"/>
              <w:rPr>
                <w:szCs w:val="20"/>
              </w:rPr>
            </w:pPr>
            <w:r w:rsidRPr="000C79DC">
              <w:rPr>
                <w:rFonts w:ascii="Calibri" w:hAnsi="Calibri" w:cs="Calibri"/>
                <w:color w:val="000000"/>
                <w:szCs w:val="20"/>
              </w:rPr>
              <w:t>1494,31%</w:t>
            </w:r>
          </w:p>
        </w:tc>
      </w:tr>
    </w:tbl>
    <w:p w14:paraId="5A26651A" w14:textId="77777777" w:rsidR="002D122C" w:rsidRDefault="002D122C" w:rsidP="002D122C"/>
    <w:tbl>
      <w:tblPr>
        <w:tblStyle w:val="Lentelstinklelis1"/>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1140"/>
        <w:gridCol w:w="1141"/>
        <w:gridCol w:w="1045"/>
        <w:gridCol w:w="1236"/>
        <w:gridCol w:w="982"/>
        <w:gridCol w:w="1300"/>
      </w:tblGrid>
      <w:tr w:rsidR="002D122C" w:rsidRPr="009E4473" w14:paraId="6A7F3832" w14:textId="77777777" w:rsidTr="00BA7936">
        <w:trPr>
          <w:trHeight w:val="276"/>
        </w:trPr>
        <w:tc>
          <w:tcPr>
            <w:tcW w:w="9125" w:type="dxa"/>
            <w:gridSpan w:val="7"/>
            <w:shd w:val="clear" w:color="auto" w:fill="003399"/>
          </w:tcPr>
          <w:p w14:paraId="0E017F59" w14:textId="25A944A7" w:rsidR="002D122C" w:rsidRPr="009E4473" w:rsidRDefault="002D122C" w:rsidP="000878F6">
            <w:pPr>
              <w:pStyle w:val="Table"/>
              <w:rPr>
                <w:b/>
                <w:color w:val="FFFFFF" w:themeColor="background1"/>
                <w:szCs w:val="20"/>
                <w:lang w:eastAsia="en-GB"/>
              </w:rPr>
            </w:pPr>
            <w:r w:rsidRPr="009E4473">
              <w:rPr>
                <w:b/>
                <w:color w:val="FFFFFF" w:themeColor="background1"/>
                <w:szCs w:val="20"/>
              </w:rPr>
              <w:t xml:space="preserve">Table </w:t>
            </w:r>
            <w:r w:rsidR="00490085">
              <w:rPr>
                <w:b/>
                <w:bCs/>
                <w:color w:val="FFFFFF" w:themeColor="background1"/>
                <w:szCs w:val="20"/>
              </w:rPr>
              <w:t>A6</w:t>
            </w:r>
            <w:r w:rsidRPr="009E4473">
              <w:rPr>
                <w:b/>
                <w:bCs/>
                <w:color w:val="FFFFFF" w:themeColor="background1"/>
                <w:szCs w:val="20"/>
              </w:rPr>
              <w:t>-</w:t>
            </w:r>
            <w:r w:rsidRPr="009E4473">
              <w:rPr>
                <w:b/>
                <w:bCs/>
                <w:color w:val="FFFFFF" w:themeColor="background1"/>
                <w:szCs w:val="20"/>
              </w:rPr>
              <w:fldChar w:fldCharType="begin"/>
            </w:r>
            <w:r w:rsidRPr="009E4473">
              <w:rPr>
                <w:b/>
                <w:bCs/>
                <w:color w:val="FFFFFF" w:themeColor="background1"/>
                <w:szCs w:val="20"/>
              </w:rPr>
              <w:instrText xml:space="preserve"> SEQ Table_A5- \* ARABIC </w:instrText>
            </w:r>
            <w:r w:rsidRPr="009E4473">
              <w:rPr>
                <w:b/>
                <w:bCs/>
                <w:color w:val="FFFFFF" w:themeColor="background1"/>
                <w:szCs w:val="20"/>
              </w:rPr>
              <w:fldChar w:fldCharType="separate"/>
            </w:r>
            <w:r>
              <w:rPr>
                <w:b/>
                <w:bCs/>
                <w:noProof/>
                <w:color w:val="FFFFFF" w:themeColor="background1"/>
                <w:szCs w:val="20"/>
              </w:rPr>
              <w:t>141</w:t>
            </w:r>
            <w:r w:rsidRPr="009E4473">
              <w:rPr>
                <w:b/>
                <w:bCs/>
                <w:color w:val="FFFFFF" w:themeColor="background1"/>
                <w:szCs w:val="20"/>
              </w:rPr>
              <w:fldChar w:fldCharType="end"/>
            </w:r>
            <w:r w:rsidRPr="009E4473">
              <w:rPr>
                <w:b/>
                <w:bCs/>
                <w:color w:val="FFFFFF" w:themeColor="background1"/>
                <w:szCs w:val="20"/>
                <w:lang w:eastAsia="en-GB"/>
              </w:rPr>
              <w:t>:</w:t>
            </w:r>
            <w:r w:rsidRPr="009E4473">
              <w:rPr>
                <w:b/>
                <w:color w:val="FFFFFF" w:themeColor="background1"/>
                <w:szCs w:val="20"/>
                <w:lang w:eastAsia="en-GB"/>
              </w:rPr>
              <w:t xml:space="preserve"> Environmental Impacts and Revenue Changes in Sweden – Scenario B</w:t>
            </w:r>
          </w:p>
        </w:tc>
      </w:tr>
      <w:tr w:rsidR="002D122C" w:rsidRPr="009E4473" w14:paraId="5A6A2E6B" w14:textId="77777777" w:rsidTr="00BA7936">
        <w:trPr>
          <w:trHeight w:val="418"/>
        </w:trPr>
        <w:tc>
          <w:tcPr>
            <w:tcW w:w="2281" w:type="dxa"/>
          </w:tcPr>
          <w:p w14:paraId="2D9BBF37" w14:textId="77777777" w:rsidR="002D122C" w:rsidRPr="009E4473" w:rsidRDefault="002D122C" w:rsidP="000878F6">
            <w:pPr>
              <w:pStyle w:val="Table"/>
              <w:rPr>
                <w:b/>
                <w:szCs w:val="20"/>
              </w:rPr>
            </w:pPr>
            <w:r w:rsidRPr="009E4473">
              <w:rPr>
                <w:b/>
                <w:szCs w:val="20"/>
              </w:rPr>
              <w:t>Tax Name</w:t>
            </w:r>
          </w:p>
        </w:tc>
        <w:tc>
          <w:tcPr>
            <w:tcW w:w="2281" w:type="dxa"/>
            <w:gridSpan w:val="2"/>
            <w:vAlign w:val="bottom"/>
          </w:tcPr>
          <w:p w14:paraId="4B036DC8" w14:textId="77777777" w:rsidR="002D122C" w:rsidRPr="009E4473" w:rsidRDefault="002D122C" w:rsidP="000878F6">
            <w:pPr>
              <w:pStyle w:val="Table"/>
              <w:jc w:val="center"/>
              <w:rPr>
                <w:b/>
                <w:szCs w:val="20"/>
              </w:rPr>
            </w:pPr>
            <w:r w:rsidRPr="009E4473">
              <w:rPr>
                <w:rFonts w:ascii="Calibri" w:hAnsi="Calibri" w:cs="Calibri"/>
                <w:b/>
                <w:bCs/>
                <w:color w:val="000000"/>
                <w:szCs w:val="20"/>
              </w:rPr>
              <w:t>% Change in Quantities as % of taxed sector</w:t>
            </w:r>
          </w:p>
        </w:tc>
        <w:tc>
          <w:tcPr>
            <w:tcW w:w="2281" w:type="dxa"/>
            <w:gridSpan w:val="2"/>
            <w:vAlign w:val="bottom"/>
          </w:tcPr>
          <w:p w14:paraId="5D977276" w14:textId="77777777" w:rsidR="002D122C" w:rsidRPr="009E4473" w:rsidRDefault="002D122C" w:rsidP="000878F6">
            <w:pPr>
              <w:pStyle w:val="Table"/>
              <w:jc w:val="center"/>
              <w:rPr>
                <w:b/>
                <w:szCs w:val="20"/>
              </w:rPr>
            </w:pPr>
            <w:r w:rsidRPr="009E4473">
              <w:rPr>
                <w:rFonts w:ascii="Calibri" w:hAnsi="Calibri" w:cs="Calibri"/>
                <w:b/>
                <w:bCs/>
                <w:color w:val="000000"/>
                <w:szCs w:val="20"/>
              </w:rPr>
              <w:t>Change in Revenues (€Mn)</w:t>
            </w:r>
          </w:p>
        </w:tc>
        <w:tc>
          <w:tcPr>
            <w:tcW w:w="2282" w:type="dxa"/>
            <w:gridSpan w:val="2"/>
            <w:vAlign w:val="bottom"/>
          </w:tcPr>
          <w:p w14:paraId="160F0CC9" w14:textId="77777777" w:rsidR="002D122C" w:rsidRPr="009E4473" w:rsidRDefault="002D122C" w:rsidP="000878F6">
            <w:pPr>
              <w:pStyle w:val="Table"/>
              <w:jc w:val="center"/>
              <w:rPr>
                <w:b/>
                <w:szCs w:val="20"/>
              </w:rPr>
            </w:pPr>
            <w:r w:rsidRPr="009E4473">
              <w:rPr>
                <w:rFonts w:ascii="Calibri" w:hAnsi="Calibri" w:cs="Calibri"/>
                <w:b/>
                <w:bCs/>
                <w:color w:val="000000"/>
                <w:szCs w:val="20"/>
              </w:rPr>
              <w:t>As % of 2023 Resource Tax</w:t>
            </w:r>
          </w:p>
        </w:tc>
      </w:tr>
      <w:tr w:rsidR="002D122C" w:rsidRPr="009E4473" w14:paraId="5B781BDD" w14:textId="77777777" w:rsidTr="00BA7936">
        <w:trPr>
          <w:trHeight w:val="216"/>
        </w:trPr>
        <w:tc>
          <w:tcPr>
            <w:tcW w:w="2281" w:type="dxa"/>
          </w:tcPr>
          <w:p w14:paraId="3683AFF0" w14:textId="77777777" w:rsidR="002D122C" w:rsidRPr="009E4473" w:rsidRDefault="002D122C" w:rsidP="000878F6">
            <w:pPr>
              <w:pStyle w:val="Table"/>
              <w:jc w:val="left"/>
              <w:rPr>
                <w:b/>
                <w:szCs w:val="20"/>
              </w:rPr>
            </w:pPr>
            <w:r w:rsidRPr="009E4473">
              <w:rPr>
                <w:b/>
                <w:szCs w:val="20"/>
              </w:rPr>
              <w:t>Year</w:t>
            </w:r>
          </w:p>
        </w:tc>
        <w:tc>
          <w:tcPr>
            <w:tcW w:w="1140" w:type="dxa"/>
          </w:tcPr>
          <w:p w14:paraId="750167B2" w14:textId="77777777" w:rsidR="002D122C" w:rsidRPr="009E4473" w:rsidRDefault="002D122C" w:rsidP="000878F6">
            <w:pPr>
              <w:pStyle w:val="Table"/>
              <w:jc w:val="center"/>
              <w:rPr>
                <w:b/>
                <w:szCs w:val="20"/>
              </w:rPr>
            </w:pPr>
            <w:r w:rsidRPr="009E4473">
              <w:rPr>
                <w:b/>
                <w:szCs w:val="20"/>
              </w:rPr>
              <w:t>2030</w:t>
            </w:r>
          </w:p>
        </w:tc>
        <w:tc>
          <w:tcPr>
            <w:tcW w:w="1141" w:type="dxa"/>
          </w:tcPr>
          <w:p w14:paraId="51F40BE1" w14:textId="77777777" w:rsidR="002D122C" w:rsidRPr="009E4473" w:rsidRDefault="002D122C" w:rsidP="000878F6">
            <w:pPr>
              <w:pStyle w:val="Table"/>
              <w:jc w:val="center"/>
              <w:rPr>
                <w:b/>
                <w:szCs w:val="20"/>
              </w:rPr>
            </w:pPr>
            <w:r w:rsidRPr="009E4473">
              <w:rPr>
                <w:b/>
                <w:szCs w:val="20"/>
              </w:rPr>
              <w:t>2035</w:t>
            </w:r>
          </w:p>
        </w:tc>
        <w:tc>
          <w:tcPr>
            <w:tcW w:w="1045" w:type="dxa"/>
          </w:tcPr>
          <w:p w14:paraId="1A788617" w14:textId="77777777" w:rsidR="002D122C" w:rsidRPr="009E4473" w:rsidRDefault="002D122C" w:rsidP="000878F6">
            <w:pPr>
              <w:pStyle w:val="Table"/>
              <w:jc w:val="center"/>
              <w:rPr>
                <w:b/>
                <w:szCs w:val="20"/>
              </w:rPr>
            </w:pPr>
            <w:r w:rsidRPr="009E4473">
              <w:rPr>
                <w:b/>
                <w:szCs w:val="20"/>
              </w:rPr>
              <w:t>2030</w:t>
            </w:r>
          </w:p>
        </w:tc>
        <w:tc>
          <w:tcPr>
            <w:tcW w:w="1236" w:type="dxa"/>
          </w:tcPr>
          <w:p w14:paraId="1CBCE18C" w14:textId="77777777" w:rsidR="002D122C" w:rsidRPr="009E4473" w:rsidRDefault="002D122C" w:rsidP="000878F6">
            <w:pPr>
              <w:pStyle w:val="Table"/>
              <w:jc w:val="center"/>
              <w:rPr>
                <w:b/>
                <w:szCs w:val="20"/>
              </w:rPr>
            </w:pPr>
            <w:r w:rsidRPr="009E4473">
              <w:rPr>
                <w:b/>
                <w:szCs w:val="20"/>
              </w:rPr>
              <w:t>2035</w:t>
            </w:r>
          </w:p>
        </w:tc>
        <w:tc>
          <w:tcPr>
            <w:tcW w:w="982" w:type="dxa"/>
          </w:tcPr>
          <w:p w14:paraId="15256C63" w14:textId="77777777" w:rsidR="002D122C" w:rsidRPr="009E4473" w:rsidRDefault="002D122C" w:rsidP="000878F6">
            <w:pPr>
              <w:pStyle w:val="Table"/>
              <w:jc w:val="center"/>
              <w:rPr>
                <w:b/>
                <w:szCs w:val="20"/>
              </w:rPr>
            </w:pPr>
            <w:r w:rsidRPr="009E4473">
              <w:rPr>
                <w:b/>
                <w:szCs w:val="20"/>
              </w:rPr>
              <w:t>2030</w:t>
            </w:r>
          </w:p>
        </w:tc>
        <w:tc>
          <w:tcPr>
            <w:tcW w:w="1300" w:type="dxa"/>
          </w:tcPr>
          <w:p w14:paraId="57BBD21A" w14:textId="77777777" w:rsidR="002D122C" w:rsidRPr="009E4473" w:rsidRDefault="002D122C" w:rsidP="000878F6">
            <w:pPr>
              <w:pStyle w:val="Table"/>
              <w:jc w:val="center"/>
              <w:rPr>
                <w:b/>
                <w:szCs w:val="20"/>
              </w:rPr>
            </w:pPr>
            <w:r w:rsidRPr="009E4473">
              <w:rPr>
                <w:b/>
                <w:szCs w:val="20"/>
              </w:rPr>
              <w:t>2035</w:t>
            </w:r>
          </w:p>
        </w:tc>
      </w:tr>
      <w:tr w:rsidR="002D122C" w:rsidRPr="009E4473" w14:paraId="67BDD132" w14:textId="77777777" w:rsidTr="00BA7936">
        <w:trPr>
          <w:trHeight w:val="91"/>
        </w:trPr>
        <w:tc>
          <w:tcPr>
            <w:tcW w:w="2281" w:type="dxa"/>
          </w:tcPr>
          <w:p w14:paraId="29D1E71F" w14:textId="77777777" w:rsidR="002D122C" w:rsidRPr="009E4473" w:rsidRDefault="002D122C" w:rsidP="000878F6">
            <w:pPr>
              <w:pStyle w:val="Table"/>
              <w:rPr>
                <w:szCs w:val="20"/>
              </w:rPr>
            </w:pPr>
            <w:r w:rsidRPr="009E4473">
              <w:rPr>
                <w:szCs w:val="20"/>
              </w:rPr>
              <w:t xml:space="preserve">Nox </w:t>
            </w:r>
          </w:p>
        </w:tc>
        <w:tc>
          <w:tcPr>
            <w:tcW w:w="1140" w:type="dxa"/>
            <w:vAlign w:val="center"/>
          </w:tcPr>
          <w:p w14:paraId="749C5112" w14:textId="77777777" w:rsidR="002D122C" w:rsidRPr="009E4473" w:rsidRDefault="002D122C" w:rsidP="000878F6">
            <w:pPr>
              <w:pStyle w:val="Table"/>
              <w:jc w:val="center"/>
              <w:rPr>
                <w:szCs w:val="20"/>
              </w:rPr>
            </w:pPr>
            <w:r w:rsidRPr="009E4473">
              <w:rPr>
                <w:rFonts w:ascii="Calibri" w:hAnsi="Calibri" w:cs="Calibri"/>
                <w:color w:val="000000"/>
                <w:szCs w:val="20"/>
              </w:rPr>
              <w:t>-7,39%</w:t>
            </w:r>
          </w:p>
        </w:tc>
        <w:tc>
          <w:tcPr>
            <w:tcW w:w="1141" w:type="dxa"/>
            <w:vAlign w:val="center"/>
          </w:tcPr>
          <w:p w14:paraId="2BDF2450" w14:textId="77777777" w:rsidR="002D122C" w:rsidRPr="009E4473" w:rsidRDefault="002D122C" w:rsidP="000878F6">
            <w:pPr>
              <w:pStyle w:val="Table"/>
              <w:jc w:val="center"/>
              <w:rPr>
                <w:szCs w:val="20"/>
              </w:rPr>
            </w:pPr>
            <w:r w:rsidRPr="009E4473">
              <w:rPr>
                <w:rFonts w:ascii="Calibri" w:hAnsi="Calibri" w:cs="Calibri"/>
                <w:color w:val="000000"/>
                <w:szCs w:val="20"/>
              </w:rPr>
              <w:t>-7,39%</w:t>
            </w:r>
          </w:p>
        </w:tc>
        <w:tc>
          <w:tcPr>
            <w:tcW w:w="1045" w:type="dxa"/>
            <w:vAlign w:val="center"/>
          </w:tcPr>
          <w:p w14:paraId="2A80E5CF" w14:textId="77777777" w:rsidR="002D122C" w:rsidRPr="009E4473" w:rsidRDefault="002D122C" w:rsidP="000878F6">
            <w:pPr>
              <w:pStyle w:val="Table"/>
              <w:jc w:val="center"/>
              <w:rPr>
                <w:szCs w:val="20"/>
              </w:rPr>
            </w:pPr>
            <w:r w:rsidRPr="009E4473">
              <w:rPr>
                <w:rFonts w:ascii="Calibri" w:hAnsi="Calibri" w:cs="Calibri"/>
                <w:color w:val="000000"/>
                <w:szCs w:val="20"/>
              </w:rPr>
              <w:t>0,00</w:t>
            </w:r>
          </w:p>
        </w:tc>
        <w:tc>
          <w:tcPr>
            <w:tcW w:w="1236" w:type="dxa"/>
            <w:vAlign w:val="center"/>
          </w:tcPr>
          <w:p w14:paraId="2DFCFA63" w14:textId="77777777" w:rsidR="002D122C" w:rsidRPr="009E4473" w:rsidRDefault="002D122C" w:rsidP="000878F6">
            <w:pPr>
              <w:pStyle w:val="Table"/>
              <w:jc w:val="center"/>
              <w:rPr>
                <w:szCs w:val="20"/>
              </w:rPr>
            </w:pPr>
            <w:r w:rsidRPr="009E4473">
              <w:rPr>
                <w:rFonts w:ascii="Calibri" w:hAnsi="Calibri" w:cs="Calibri"/>
                <w:color w:val="000000"/>
                <w:szCs w:val="20"/>
              </w:rPr>
              <w:t>0,00</w:t>
            </w:r>
          </w:p>
        </w:tc>
        <w:tc>
          <w:tcPr>
            <w:tcW w:w="982" w:type="dxa"/>
            <w:vAlign w:val="center"/>
          </w:tcPr>
          <w:p w14:paraId="5D1E66AE" w14:textId="77777777" w:rsidR="002D122C" w:rsidRPr="009E4473" w:rsidRDefault="002D122C" w:rsidP="000878F6">
            <w:pPr>
              <w:pStyle w:val="Table"/>
              <w:jc w:val="center"/>
              <w:rPr>
                <w:szCs w:val="20"/>
              </w:rPr>
            </w:pPr>
            <w:r w:rsidRPr="009E4473">
              <w:rPr>
                <w:rFonts w:ascii="Calibri" w:hAnsi="Calibri" w:cs="Calibri"/>
                <w:color w:val="000000"/>
                <w:szCs w:val="20"/>
              </w:rPr>
              <w:t>0,0%</w:t>
            </w:r>
          </w:p>
        </w:tc>
        <w:tc>
          <w:tcPr>
            <w:tcW w:w="1300" w:type="dxa"/>
            <w:vAlign w:val="center"/>
          </w:tcPr>
          <w:p w14:paraId="7255FC52" w14:textId="77777777" w:rsidR="002D122C" w:rsidRPr="009E4473" w:rsidRDefault="002D122C" w:rsidP="000878F6">
            <w:pPr>
              <w:pStyle w:val="Table"/>
              <w:jc w:val="center"/>
              <w:rPr>
                <w:szCs w:val="20"/>
              </w:rPr>
            </w:pPr>
            <w:r w:rsidRPr="009E4473">
              <w:rPr>
                <w:rFonts w:ascii="Calibri" w:hAnsi="Calibri" w:cs="Calibri"/>
                <w:color w:val="000000"/>
                <w:szCs w:val="20"/>
              </w:rPr>
              <w:t>0,0%</w:t>
            </w:r>
          </w:p>
        </w:tc>
      </w:tr>
      <w:tr w:rsidR="002D122C" w:rsidRPr="009E4473" w14:paraId="3AC1BA66" w14:textId="77777777" w:rsidTr="00BA7936">
        <w:trPr>
          <w:trHeight w:val="268"/>
        </w:trPr>
        <w:tc>
          <w:tcPr>
            <w:tcW w:w="2281" w:type="dxa"/>
          </w:tcPr>
          <w:p w14:paraId="780F4B4B" w14:textId="77777777" w:rsidR="002D122C" w:rsidRPr="009E4473" w:rsidRDefault="002D122C" w:rsidP="000878F6">
            <w:pPr>
              <w:pStyle w:val="Table"/>
              <w:rPr>
                <w:szCs w:val="20"/>
              </w:rPr>
            </w:pPr>
            <w:r w:rsidRPr="009E4473">
              <w:rPr>
                <w:szCs w:val="20"/>
              </w:rPr>
              <w:t>SO2</w:t>
            </w:r>
          </w:p>
        </w:tc>
        <w:tc>
          <w:tcPr>
            <w:tcW w:w="1140" w:type="dxa"/>
            <w:vAlign w:val="center"/>
          </w:tcPr>
          <w:p w14:paraId="7DC87E2B" w14:textId="77777777" w:rsidR="002D122C" w:rsidRPr="009E4473" w:rsidRDefault="002D122C" w:rsidP="000878F6">
            <w:pPr>
              <w:pStyle w:val="Table"/>
              <w:jc w:val="center"/>
              <w:rPr>
                <w:szCs w:val="20"/>
              </w:rPr>
            </w:pPr>
            <w:r w:rsidRPr="009E4473">
              <w:rPr>
                <w:rFonts w:ascii="Calibri" w:hAnsi="Calibri" w:cs="Calibri"/>
                <w:color w:val="000000"/>
                <w:szCs w:val="20"/>
              </w:rPr>
              <w:t>-7,40%</w:t>
            </w:r>
          </w:p>
        </w:tc>
        <w:tc>
          <w:tcPr>
            <w:tcW w:w="1141" w:type="dxa"/>
            <w:vAlign w:val="center"/>
          </w:tcPr>
          <w:p w14:paraId="0F9D367A" w14:textId="77777777" w:rsidR="002D122C" w:rsidRPr="009E4473" w:rsidRDefault="002D122C" w:rsidP="000878F6">
            <w:pPr>
              <w:pStyle w:val="Table"/>
              <w:jc w:val="center"/>
              <w:rPr>
                <w:szCs w:val="20"/>
              </w:rPr>
            </w:pPr>
            <w:r w:rsidRPr="009E4473">
              <w:rPr>
                <w:rFonts w:ascii="Calibri" w:hAnsi="Calibri" w:cs="Calibri"/>
                <w:color w:val="000000"/>
                <w:szCs w:val="20"/>
              </w:rPr>
              <w:t>-7,40%</w:t>
            </w:r>
          </w:p>
        </w:tc>
        <w:tc>
          <w:tcPr>
            <w:tcW w:w="1045" w:type="dxa"/>
            <w:vAlign w:val="center"/>
          </w:tcPr>
          <w:p w14:paraId="1D3FADBB" w14:textId="77777777" w:rsidR="002D122C" w:rsidRPr="009E4473" w:rsidRDefault="002D122C" w:rsidP="000878F6">
            <w:pPr>
              <w:pStyle w:val="Table"/>
              <w:jc w:val="center"/>
              <w:rPr>
                <w:szCs w:val="20"/>
              </w:rPr>
            </w:pPr>
            <w:r w:rsidRPr="009E4473">
              <w:rPr>
                <w:rFonts w:ascii="Calibri" w:hAnsi="Calibri" w:cs="Calibri"/>
                <w:color w:val="000000"/>
                <w:szCs w:val="20"/>
              </w:rPr>
              <w:t>0,37</w:t>
            </w:r>
          </w:p>
        </w:tc>
        <w:tc>
          <w:tcPr>
            <w:tcW w:w="1236" w:type="dxa"/>
            <w:vAlign w:val="center"/>
          </w:tcPr>
          <w:p w14:paraId="2EF89662" w14:textId="77777777" w:rsidR="002D122C" w:rsidRPr="009E4473" w:rsidRDefault="002D122C" w:rsidP="000878F6">
            <w:pPr>
              <w:pStyle w:val="Table"/>
              <w:jc w:val="center"/>
              <w:rPr>
                <w:szCs w:val="20"/>
              </w:rPr>
            </w:pPr>
            <w:r w:rsidRPr="009E4473">
              <w:rPr>
                <w:rFonts w:ascii="Calibri" w:hAnsi="Calibri" w:cs="Calibri"/>
                <w:color w:val="000000"/>
                <w:szCs w:val="20"/>
              </w:rPr>
              <w:t>0,30</w:t>
            </w:r>
          </w:p>
        </w:tc>
        <w:tc>
          <w:tcPr>
            <w:tcW w:w="982" w:type="dxa"/>
            <w:vAlign w:val="center"/>
          </w:tcPr>
          <w:p w14:paraId="11ADF0F7" w14:textId="77777777" w:rsidR="002D122C" w:rsidRPr="009E4473" w:rsidRDefault="002D122C" w:rsidP="000878F6">
            <w:pPr>
              <w:pStyle w:val="Table"/>
              <w:jc w:val="center"/>
              <w:rPr>
                <w:szCs w:val="20"/>
              </w:rPr>
            </w:pPr>
            <w:r w:rsidRPr="009E4473">
              <w:rPr>
                <w:rFonts w:ascii="Calibri" w:hAnsi="Calibri" w:cs="Calibri"/>
                <w:color w:val="000000"/>
                <w:szCs w:val="20"/>
              </w:rPr>
              <w:t>0,1%</w:t>
            </w:r>
          </w:p>
        </w:tc>
        <w:tc>
          <w:tcPr>
            <w:tcW w:w="1300" w:type="dxa"/>
            <w:vAlign w:val="center"/>
          </w:tcPr>
          <w:p w14:paraId="5901F285" w14:textId="77777777" w:rsidR="002D122C" w:rsidRPr="009E4473" w:rsidRDefault="002D122C" w:rsidP="000878F6">
            <w:pPr>
              <w:pStyle w:val="Table"/>
              <w:jc w:val="center"/>
              <w:rPr>
                <w:szCs w:val="20"/>
              </w:rPr>
            </w:pPr>
            <w:r w:rsidRPr="009E4473">
              <w:rPr>
                <w:rFonts w:ascii="Calibri" w:hAnsi="Calibri" w:cs="Calibri"/>
                <w:color w:val="000000"/>
                <w:szCs w:val="20"/>
              </w:rPr>
              <w:t>0,1%</w:t>
            </w:r>
          </w:p>
        </w:tc>
      </w:tr>
      <w:tr w:rsidR="002D122C" w:rsidRPr="009E4473" w14:paraId="01930770" w14:textId="77777777" w:rsidTr="00BA7936">
        <w:trPr>
          <w:trHeight w:val="268"/>
        </w:trPr>
        <w:tc>
          <w:tcPr>
            <w:tcW w:w="2281" w:type="dxa"/>
          </w:tcPr>
          <w:p w14:paraId="3518ABFA" w14:textId="77777777" w:rsidR="002D122C" w:rsidRPr="009E4473" w:rsidRDefault="002D122C" w:rsidP="000878F6">
            <w:pPr>
              <w:pStyle w:val="Table"/>
              <w:rPr>
                <w:szCs w:val="20"/>
              </w:rPr>
            </w:pPr>
            <w:r w:rsidRPr="009E4473">
              <w:rPr>
                <w:szCs w:val="20"/>
              </w:rPr>
              <w:t>PM2.5</w:t>
            </w:r>
          </w:p>
        </w:tc>
        <w:tc>
          <w:tcPr>
            <w:tcW w:w="1140" w:type="dxa"/>
            <w:vAlign w:val="center"/>
          </w:tcPr>
          <w:p w14:paraId="0E8A7642" w14:textId="77777777" w:rsidR="002D122C" w:rsidRPr="009E4473" w:rsidRDefault="002D122C" w:rsidP="000878F6">
            <w:pPr>
              <w:pStyle w:val="Table"/>
              <w:jc w:val="center"/>
              <w:rPr>
                <w:szCs w:val="20"/>
              </w:rPr>
            </w:pPr>
            <w:r w:rsidRPr="009E4473">
              <w:rPr>
                <w:rFonts w:ascii="Calibri" w:hAnsi="Calibri" w:cs="Calibri"/>
                <w:color w:val="000000"/>
                <w:szCs w:val="20"/>
              </w:rPr>
              <w:t>0,00%</w:t>
            </w:r>
          </w:p>
        </w:tc>
        <w:tc>
          <w:tcPr>
            <w:tcW w:w="1141" w:type="dxa"/>
            <w:vAlign w:val="center"/>
          </w:tcPr>
          <w:p w14:paraId="70E76CAF" w14:textId="77777777" w:rsidR="002D122C" w:rsidRPr="009E4473" w:rsidRDefault="002D122C" w:rsidP="000878F6">
            <w:pPr>
              <w:pStyle w:val="Table"/>
              <w:jc w:val="center"/>
              <w:rPr>
                <w:szCs w:val="20"/>
              </w:rPr>
            </w:pPr>
            <w:r w:rsidRPr="009E4473">
              <w:rPr>
                <w:rFonts w:ascii="Calibri" w:hAnsi="Calibri" w:cs="Calibri"/>
                <w:color w:val="000000"/>
                <w:szCs w:val="20"/>
              </w:rPr>
              <w:t>0,00%</w:t>
            </w:r>
          </w:p>
        </w:tc>
        <w:tc>
          <w:tcPr>
            <w:tcW w:w="1045" w:type="dxa"/>
            <w:vAlign w:val="center"/>
          </w:tcPr>
          <w:p w14:paraId="794163F1" w14:textId="77777777" w:rsidR="002D122C" w:rsidRPr="009E4473" w:rsidRDefault="002D122C" w:rsidP="000878F6">
            <w:pPr>
              <w:pStyle w:val="Table"/>
              <w:jc w:val="center"/>
              <w:rPr>
                <w:szCs w:val="20"/>
              </w:rPr>
            </w:pPr>
            <w:r w:rsidRPr="009E4473">
              <w:rPr>
                <w:rFonts w:ascii="Calibri" w:hAnsi="Calibri" w:cs="Calibri"/>
                <w:color w:val="000000"/>
                <w:szCs w:val="20"/>
              </w:rPr>
              <w:t>0,00</w:t>
            </w:r>
          </w:p>
        </w:tc>
        <w:tc>
          <w:tcPr>
            <w:tcW w:w="1236" w:type="dxa"/>
            <w:vAlign w:val="center"/>
          </w:tcPr>
          <w:p w14:paraId="5CA403D1" w14:textId="77777777" w:rsidR="002D122C" w:rsidRPr="009E4473" w:rsidRDefault="002D122C" w:rsidP="000878F6">
            <w:pPr>
              <w:pStyle w:val="Table"/>
              <w:jc w:val="center"/>
              <w:rPr>
                <w:szCs w:val="20"/>
              </w:rPr>
            </w:pPr>
            <w:r w:rsidRPr="009E4473">
              <w:rPr>
                <w:rFonts w:ascii="Calibri" w:hAnsi="Calibri" w:cs="Calibri"/>
                <w:color w:val="000000"/>
                <w:szCs w:val="20"/>
              </w:rPr>
              <w:t>0,00</w:t>
            </w:r>
          </w:p>
        </w:tc>
        <w:tc>
          <w:tcPr>
            <w:tcW w:w="982" w:type="dxa"/>
            <w:vAlign w:val="center"/>
          </w:tcPr>
          <w:p w14:paraId="1B335F17" w14:textId="77777777" w:rsidR="002D122C" w:rsidRPr="009E4473" w:rsidRDefault="002D122C" w:rsidP="000878F6">
            <w:pPr>
              <w:pStyle w:val="Table"/>
              <w:jc w:val="center"/>
              <w:rPr>
                <w:szCs w:val="20"/>
              </w:rPr>
            </w:pPr>
            <w:r w:rsidRPr="009E4473">
              <w:rPr>
                <w:rFonts w:ascii="Calibri" w:hAnsi="Calibri" w:cs="Calibri"/>
                <w:color w:val="000000"/>
                <w:szCs w:val="20"/>
              </w:rPr>
              <w:t>0,0%</w:t>
            </w:r>
          </w:p>
        </w:tc>
        <w:tc>
          <w:tcPr>
            <w:tcW w:w="1300" w:type="dxa"/>
            <w:vAlign w:val="center"/>
          </w:tcPr>
          <w:p w14:paraId="1CD3B9FE" w14:textId="77777777" w:rsidR="002D122C" w:rsidRPr="009E4473" w:rsidRDefault="002D122C" w:rsidP="000878F6">
            <w:pPr>
              <w:pStyle w:val="Table"/>
              <w:jc w:val="center"/>
              <w:rPr>
                <w:szCs w:val="20"/>
              </w:rPr>
            </w:pPr>
            <w:r w:rsidRPr="009E4473">
              <w:rPr>
                <w:rFonts w:ascii="Calibri" w:hAnsi="Calibri" w:cs="Calibri"/>
                <w:color w:val="000000"/>
                <w:szCs w:val="20"/>
              </w:rPr>
              <w:t>0,0%</w:t>
            </w:r>
          </w:p>
        </w:tc>
      </w:tr>
      <w:tr w:rsidR="002D122C" w:rsidRPr="009E4473" w14:paraId="48FA6917" w14:textId="77777777" w:rsidTr="00BA7936">
        <w:trPr>
          <w:trHeight w:val="268"/>
        </w:trPr>
        <w:tc>
          <w:tcPr>
            <w:tcW w:w="2281" w:type="dxa"/>
          </w:tcPr>
          <w:p w14:paraId="00911614" w14:textId="77777777" w:rsidR="002D122C" w:rsidRPr="009E4473" w:rsidRDefault="002D122C" w:rsidP="000878F6">
            <w:pPr>
              <w:pStyle w:val="Table"/>
              <w:rPr>
                <w:szCs w:val="20"/>
              </w:rPr>
            </w:pPr>
            <w:r w:rsidRPr="009E4473">
              <w:rPr>
                <w:szCs w:val="20"/>
              </w:rPr>
              <w:t>Water Abstraction</w:t>
            </w:r>
          </w:p>
        </w:tc>
        <w:tc>
          <w:tcPr>
            <w:tcW w:w="1140" w:type="dxa"/>
            <w:vAlign w:val="center"/>
          </w:tcPr>
          <w:p w14:paraId="5908AE32" w14:textId="77777777" w:rsidR="002D122C" w:rsidRPr="009E4473" w:rsidRDefault="002D122C" w:rsidP="000878F6">
            <w:pPr>
              <w:pStyle w:val="Table"/>
              <w:jc w:val="center"/>
              <w:rPr>
                <w:szCs w:val="20"/>
              </w:rPr>
            </w:pPr>
            <w:r w:rsidRPr="009E4473">
              <w:rPr>
                <w:rFonts w:ascii="Calibri" w:hAnsi="Calibri" w:cs="Calibri"/>
                <w:color w:val="000000"/>
                <w:szCs w:val="20"/>
              </w:rPr>
              <w:t>-7,39%</w:t>
            </w:r>
          </w:p>
        </w:tc>
        <w:tc>
          <w:tcPr>
            <w:tcW w:w="1141" w:type="dxa"/>
            <w:vAlign w:val="center"/>
          </w:tcPr>
          <w:p w14:paraId="3D0F8A98" w14:textId="77777777" w:rsidR="002D122C" w:rsidRPr="009E4473" w:rsidRDefault="002D122C" w:rsidP="000878F6">
            <w:pPr>
              <w:pStyle w:val="Table"/>
              <w:jc w:val="center"/>
              <w:rPr>
                <w:szCs w:val="20"/>
              </w:rPr>
            </w:pPr>
            <w:r w:rsidRPr="009E4473">
              <w:rPr>
                <w:rFonts w:ascii="Calibri" w:hAnsi="Calibri" w:cs="Calibri"/>
                <w:color w:val="000000"/>
                <w:szCs w:val="20"/>
              </w:rPr>
              <w:t>-7,39%</w:t>
            </w:r>
          </w:p>
        </w:tc>
        <w:tc>
          <w:tcPr>
            <w:tcW w:w="1045" w:type="dxa"/>
            <w:vAlign w:val="center"/>
          </w:tcPr>
          <w:p w14:paraId="1844ACF5" w14:textId="77777777" w:rsidR="002D122C" w:rsidRPr="009E4473" w:rsidRDefault="002D122C" w:rsidP="000878F6">
            <w:pPr>
              <w:pStyle w:val="Table"/>
              <w:jc w:val="center"/>
              <w:rPr>
                <w:szCs w:val="20"/>
              </w:rPr>
            </w:pPr>
            <w:r w:rsidRPr="009E4473">
              <w:rPr>
                <w:rFonts w:ascii="Calibri" w:hAnsi="Calibri" w:cs="Calibri"/>
                <w:color w:val="000000"/>
                <w:szCs w:val="20"/>
              </w:rPr>
              <w:t>1,03</w:t>
            </w:r>
          </w:p>
        </w:tc>
        <w:tc>
          <w:tcPr>
            <w:tcW w:w="1236" w:type="dxa"/>
            <w:vAlign w:val="center"/>
          </w:tcPr>
          <w:p w14:paraId="1DABEE46" w14:textId="77777777" w:rsidR="002D122C" w:rsidRPr="009E4473" w:rsidRDefault="002D122C" w:rsidP="000878F6">
            <w:pPr>
              <w:pStyle w:val="Table"/>
              <w:jc w:val="center"/>
              <w:rPr>
                <w:szCs w:val="20"/>
              </w:rPr>
            </w:pPr>
            <w:r w:rsidRPr="009E4473">
              <w:rPr>
                <w:rFonts w:ascii="Calibri" w:hAnsi="Calibri" w:cs="Calibri"/>
                <w:color w:val="000000"/>
                <w:szCs w:val="20"/>
              </w:rPr>
              <w:t>0,77</w:t>
            </w:r>
          </w:p>
        </w:tc>
        <w:tc>
          <w:tcPr>
            <w:tcW w:w="982" w:type="dxa"/>
            <w:vAlign w:val="center"/>
          </w:tcPr>
          <w:p w14:paraId="67E0C0E7" w14:textId="77777777" w:rsidR="002D122C" w:rsidRPr="009E4473" w:rsidRDefault="002D122C" w:rsidP="000878F6">
            <w:pPr>
              <w:pStyle w:val="Table"/>
              <w:jc w:val="center"/>
              <w:rPr>
                <w:szCs w:val="20"/>
              </w:rPr>
            </w:pPr>
            <w:r w:rsidRPr="009E4473">
              <w:rPr>
                <w:rFonts w:ascii="Calibri" w:hAnsi="Calibri" w:cs="Calibri"/>
                <w:color w:val="000000"/>
                <w:szCs w:val="20"/>
              </w:rPr>
              <w:t>0,3%</w:t>
            </w:r>
          </w:p>
        </w:tc>
        <w:tc>
          <w:tcPr>
            <w:tcW w:w="1300" w:type="dxa"/>
            <w:vAlign w:val="center"/>
          </w:tcPr>
          <w:p w14:paraId="34555714" w14:textId="77777777" w:rsidR="002D122C" w:rsidRPr="009E4473" w:rsidRDefault="002D122C" w:rsidP="000878F6">
            <w:pPr>
              <w:pStyle w:val="Table"/>
              <w:jc w:val="center"/>
              <w:rPr>
                <w:szCs w:val="20"/>
              </w:rPr>
            </w:pPr>
            <w:r w:rsidRPr="009E4473">
              <w:rPr>
                <w:rFonts w:ascii="Calibri" w:hAnsi="Calibri" w:cs="Calibri"/>
                <w:color w:val="000000"/>
                <w:szCs w:val="20"/>
              </w:rPr>
              <w:t>0,2%</w:t>
            </w:r>
          </w:p>
        </w:tc>
      </w:tr>
      <w:tr w:rsidR="002D122C" w:rsidRPr="009E4473" w14:paraId="4A8F9D33" w14:textId="77777777" w:rsidTr="00BA7936">
        <w:trPr>
          <w:trHeight w:val="130"/>
        </w:trPr>
        <w:tc>
          <w:tcPr>
            <w:tcW w:w="2281" w:type="dxa"/>
          </w:tcPr>
          <w:p w14:paraId="499E747E" w14:textId="77777777" w:rsidR="002D122C" w:rsidRPr="009E4473" w:rsidRDefault="002D122C" w:rsidP="000878F6">
            <w:pPr>
              <w:pStyle w:val="Table"/>
              <w:rPr>
                <w:szCs w:val="20"/>
              </w:rPr>
            </w:pPr>
            <w:r w:rsidRPr="009E4473">
              <w:rPr>
                <w:szCs w:val="20"/>
              </w:rPr>
              <w:t>Fertilizers</w:t>
            </w:r>
          </w:p>
        </w:tc>
        <w:tc>
          <w:tcPr>
            <w:tcW w:w="1140" w:type="dxa"/>
            <w:vAlign w:val="center"/>
          </w:tcPr>
          <w:p w14:paraId="5EE7D725" w14:textId="77777777" w:rsidR="002D122C" w:rsidRPr="009E4473" w:rsidRDefault="002D122C" w:rsidP="000878F6">
            <w:pPr>
              <w:pStyle w:val="Table"/>
              <w:jc w:val="center"/>
              <w:rPr>
                <w:szCs w:val="20"/>
              </w:rPr>
            </w:pPr>
            <w:r w:rsidRPr="009E4473">
              <w:rPr>
                <w:rFonts w:ascii="Calibri" w:hAnsi="Calibri" w:cs="Calibri"/>
                <w:color w:val="000000"/>
                <w:szCs w:val="20"/>
              </w:rPr>
              <w:t>-1,82%</w:t>
            </w:r>
          </w:p>
        </w:tc>
        <w:tc>
          <w:tcPr>
            <w:tcW w:w="1141" w:type="dxa"/>
            <w:vAlign w:val="center"/>
          </w:tcPr>
          <w:p w14:paraId="7F358A51" w14:textId="77777777" w:rsidR="002D122C" w:rsidRPr="009E4473" w:rsidRDefault="002D122C" w:rsidP="000878F6">
            <w:pPr>
              <w:pStyle w:val="Table"/>
              <w:jc w:val="center"/>
              <w:rPr>
                <w:szCs w:val="20"/>
              </w:rPr>
            </w:pPr>
            <w:r w:rsidRPr="009E4473">
              <w:rPr>
                <w:rFonts w:ascii="Calibri" w:hAnsi="Calibri" w:cs="Calibri"/>
                <w:color w:val="000000"/>
                <w:szCs w:val="20"/>
              </w:rPr>
              <w:t>-1,82%</w:t>
            </w:r>
          </w:p>
        </w:tc>
        <w:tc>
          <w:tcPr>
            <w:tcW w:w="1045" w:type="dxa"/>
            <w:vAlign w:val="center"/>
          </w:tcPr>
          <w:p w14:paraId="44084A80" w14:textId="77777777" w:rsidR="002D122C" w:rsidRPr="009E4473" w:rsidRDefault="002D122C" w:rsidP="000878F6">
            <w:pPr>
              <w:pStyle w:val="Table"/>
              <w:jc w:val="center"/>
              <w:rPr>
                <w:szCs w:val="20"/>
              </w:rPr>
            </w:pPr>
            <w:r w:rsidRPr="009E4473">
              <w:rPr>
                <w:rFonts w:ascii="Calibri" w:hAnsi="Calibri" w:cs="Calibri"/>
                <w:color w:val="000000"/>
                <w:szCs w:val="20"/>
              </w:rPr>
              <w:t>39,69</w:t>
            </w:r>
          </w:p>
        </w:tc>
        <w:tc>
          <w:tcPr>
            <w:tcW w:w="1236" w:type="dxa"/>
            <w:vAlign w:val="center"/>
          </w:tcPr>
          <w:p w14:paraId="0D1EDAC2" w14:textId="77777777" w:rsidR="002D122C" w:rsidRPr="009E4473" w:rsidRDefault="002D122C" w:rsidP="000878F6">
            <w:pPr>
              <w:pStyle w:val="Table"/>
              <w:jc w:val="center"/>
              <w:rPr>
                <w:szCs w:val="20"/>
              </w:rPr>
            </w:pPr>
            <w:r w:rsidRPr="009E4473">
              <w:rPr>
                <w:rFonts w:ascii="Calibri" w:hAnsi="Calibri" w:cs="Calibri"/>
                <w:color w:val="000000"/>
                <w:szCs w:val="20"/>
              </w:rPr>
              <w:t>38,96</w:t>
            </w:r>
          </w:p>
        </w:tc>
        <w:tc>
          <w:tcPr>
            <w:tcW w:w="982" w:type="dxa"/>
            <w:vAlign w:val="center"/>
          </w:tcPr>
          <w:p w14:paraId="73BAF82D" w14:textId="77777777" w:rsidR="002D122C" w:rsidRPr="009E4473" w:rsidRDefault="002D122C" w:rsidP="000878F6">
            <w:pPr>
              <w:pStyle w:val="Table"/>
              <w:jc w:val="center"/>
              <w:rPr>
                <w:szCs w:val="20"/>
              </w:rPr>
            </w:pPr>
            <w:r w:rsidRPr="009E4473">
              <w:rPr>
                <w:rFonts w:ascii="Calibri" w:hAnsi="Calibri" w:cs="Calibri"/>
                <w:color w:val="000000"/>
                <w:szCs w:val="20"/>
              </w:rPr>
              <w:t>13,7%</w:t>
            </w:r>
          </w:p>
        </w:tc>
        <w:tc>
          <w:tcPr>
            <w:tcW w:w="1300" w:type="dxa"/>
            <w:vAlign w:val="center"/>
          </w:tcPr>
          <w:p w14:paraId="66CFBCEC" w14:textId="77777777" w:rsidR="002D122C" w:rsidRPr="009E4473" w:rsidRDefault="002D122C" w:rsidP="000878F6">
            <w:pPr>
              <w:pStyle w:val="Table"/>
              <w:jc w:val="center"/>
              <w:rPr>
                <w:szCs w:val="20"/>
              </w:rPr>
            </w:pPr>
            <w:r w:rsidRPr="009E4473">
              <w:rPr>
                <w:rFonts w:ascii="Calibri" w:hAnsi="Calibri" w:cs="Calibri"/>
                <w:color w:val="000000"/>
                <w:szCs w:val="20"/>
              </w:rPr>
              <w:t>13,5%</w:t>
            </w:r>
          </w:p>
        </w:tc>
      </w:tr>
      <w:tr w:rsidR="002D122C" w:rsidRPr="009E4473" w14:paraId="7368D103" w14:textId="77777777" w:rsidTr="00BA7936">
        <w:trPr>
          <w:trHeight w:val="268"/>
        </w:trPr>
        <w:tc>
          <w:tcPr>
            <w:tcW w:w="2281" w:type="dxa"/>
          </w:tcPr>
          <w:p w14:paraId="028E83D9" w14:textId="77777777" w:rsidR="002D122C" w:rsidRPr="009E4473" w:rsidRDefault="002D122C" w:rsidP="000878F6">
            <w:pPr>
              <w:pStyle w:val="Table"/>
              <w:rPr>
                <w:szCs w:val="20"/>
              </w:rPr>
            </w:pPr>
            <w:r w:rsidRPr="009E4473">
              <w:rPr>
                <w:szCs w:val="20"/>
              </w:rPr>
              <w:t>Pesticides</w:t>
            </w:r>
          </w:p>
        </w:tc>
        <w:tc>
          <w:tcPr>
            <w:tcW w:w="1140" w:type="dxa"/>
            <w:vAlign w:val="center"/>
          </w:tcPr>
          <w:p w14:paraId="3064D8E6" w14:textId="77777777" w:rsidR="002D122C" w:rsidRPr="009E4473" w:rsidRDefault="002D122C" w:rsidP="000878F6">
            <w:pPr>
              <w:pStyle w:val="Table"/>
              <w:jc w:val="center"/>
              <w:rPr>
                <w:szCs w:val="20"/>
              </w:rPr>
            </w:pPr>
            <w:r w:rsidRPr="009E4473">
              <w:rPr>
                <w:rFonts w:ascii="Calibri" w:hAnsi="Calibri" w:cs="Calibri"/>
                <w:color w:val="000000"/>
                <w:szCs w:val="20"/>
              </w:rPr>
              <w:t>-5,99%</w:t>
            </w:r>
          </w:p>
        </w:tc>
        <w:tc>
          <w:tcPr>
            <w:tcW w:w="1141" w:type="dxa"/>
            <w:vAlign w:val="center"/>
          </w:tcPr>
          <w:p w14:paraId="27E1CAD2" w14:textId="77777777" w:rsidR="002D122C" w:rsidRPr="009E4473" w:rsidRDefault="002D122C" w:rsidP="000878F6">
            <w:pPr>
              <w:pStyle w:val="Table"/>
              <w:jc w:val="center"/>
              <w:rPr>
                <w:szCs w:val="20"/>
              </w:rPr>
            </w:pPr>
            <w:r w:rsidRPr="009E4473">
              <w:rPr>
                <w:rFonts w:ascii="Calibri" w:hAnsi="Calibri" w:cs="Calibri"/>
                <w:color w:val="000000"/>
                <w:szCs w:val="20"/>
              </w:rPr>
              <w:t>-5,99%</w:t>
            </w:r>
          </w:p>
        </w:tc>
        <w:tc>
          <w:tcPr>
            <w:tcW w:w="1045" w:type="dxa"/>
            <w:vAlign w:val="center"/>
          </w:tcPr>
          <w:p w14:paraId="1C2EADE9" w14:textId="77777777" w:rsidR="002D122C" w:rsidRPr="009E4473" w:rsidRDefault="002D122C" w:rsidP="000878F6">
            <w:pPr>
              <w:pStyle w:val="Table"/>
              <w:jc w:val="center"/>
              <w:rPr>
                <w:szCs w:val="20"/>
              </w:rPr>
            </w:pPr>
            <w:r w:rsidRPr="009E4473">
              <w:rPr>
                <w:rFonts w:ascii="Calibri" w:hAnsi="Calibri" w:cs="Calibri"/>
                <w:color w:val="000000"/>
                <w:szCs w:val="20"/>
              </w:rPr>
              <w:t>4,77</w:t>
            </w:r>
          </w:p>
        </w:tc>
        <w:tc>
          <w:tcPr>
            <w:tcW w:w="1236" w:type="dxa"/>
            <w:vAlign w:val="center"/>
          </w:tcPr>
          <w:p w14:paraId="45D29265" w14:textId="77777777" w:rsidR="002D122C" w:rsidRPr="009E4473" w:rsidRDefault="002D122C" w:rsidP="000878F6">
            <w:pPr>
              <w:pStyle w:val="Table"/>
              <w:jc w:val="center"/>
              <w:rPr>
                <w:szCs w:val="20"/>
              </w:rPr>
            </w:pPr>
            <w:r w:rsidRPr="009E4473">
              <w:rPr>
                <w:rFonts w:ascii="Calibri" w:hAnsi="Calibri" w:cs="Calibri"/>
                <w:color w:val="000000"/>
                <w:szCs w:val="20"/>
              </w:rPr>
              <w:t>5,23</w:t>
            </w:r>
          </w:p>
        </w:tc>
        <w:tc>
          <w:tcPr>
            <w:tcW w:w="982" w:type="dxa"/>
            <w:vAlign w:val="center"/>
          </w:tcPr>
          <w:p w14:paraId="3A4702DC" w14:textId="77777777" w:rsidR="002D122C" w:rsidRPr="009E4473" w:rsidRDefault="002D122C" w:rsidP="000878F6">
            <w:pPr>
              <w:pStyle w:val="Table"/>
              <w:jc w:val="center"/>
              <w:rPr>
                <w:szCs w:val="20"/>
              </w:rPr>
            </w:pPr>
            <w:r w:rsidRPr="009E4473">
              <w:rPr>
                <w:rFonts w:ascii="Calibri" w:hAnsi="Calibri" w:cs="Calibri"/>
                <w:color w:val="000000"/>
                <w:szCs w:val="20"/>
              </w:rPr>
              <w:t>1,5%</w:t>
            </w:r>
          </w:p>
        </w:tc>
        <w:tc>
          <w:tcPr>
            <w:tcW w:w="1300" w:type="dxa"/>
            <w:vAlign w:val="center"/>
          </w:tcPr>
          <w:p w14:paraId="5145876A" w14:textId="77777777" w:rsidR="002D122C" w:rsidRPr="009E4473" w:rsidRDefault="002D122C" w:rsidP="000878F6">
            <w:pPr>
              <w:pStyle w:val="Table"/>
              <w:jc w:val="center"/>
              <w:rPr>
                <w:szCs w:val="20"/>
              </w:rPr>
            </w:pPr>
            <w:r w:rsidRPr="009E4473">
              <w:rPr>
                <w:rFonts w:ascii="Calibri" w:hAnsi="Calibri" w:cs="Calibri"/>
                <w:color w:val="000000"/>
                <w:szCs w:val="20"/>
              </w:rPr>
              <w:t>1,6%</w:t>
            </w:r>
          </w:p>
        </w:tc>
      </w:tr>
      <w:tr w:rsidR="002D122C" w:rsidRPr="009E4473" w14:paraId="41F8C779" w14:textId="77777777" w:rsidTr="00BA7936">
        <w:trPr>
          <w:trHeight w:val="268"/>
        </w:trPr>
        <w:tc>
          <w:tcPr>
            <w:tcW w:w="2281" w:type="dxa"/>
          </w:tcPr>
          <w:p w14:paraId="17274253" w14:textId="77777777" w:rsidR="002D122C" w:rsidRPr="009E4473" w:rsidRDefault="002D122C" w:rsidP="000878F6">
            <w:pPr>
              <w:pStyle w:val="Table"/>
              <w:rPr>
                <w:szCs w:val="20"/>
              </w:rPr>
            </w:pPr>
            <w:r w:rsidRPr="009E4473">
              <w:rPr>
                <w:szCs w:val="20"/>
              </w:rPr>
              <w:t>Waste Incineration</w:t>
            </w:r>
          </w:p>
        </w:tc>
        <w:tc>
          <w:tcPr>
            <w:tcW w:w="1140" w:type="dxa"/>
            <w:vAlign w:val="center"/>
          </w:tcPr>
          <w:p w14:paraId="582822B9" w14:textId="77777777" w:rsidR="002D122C" w:rsidRPr="009E4473" w:rsidRDefault="002D122C" w:rsidP="000878F6">
            <w:pPr>
              <w:pStyle w:val="Table"/>
              <w:jc w:val="center"/>
              <w:rPr>
                <w:szCs w:val="20"/>
              </w:rPr>
            </w:pPr>
            <w:r w:rsidRPr="009E4473">
              <w:rPr>
                <w:rFonts w:ascii="Calibri" w:hAnsi="Calibri" w:cs="Calibri"/>
                <w:color w:val="000000"/>
                <w:szCs w:val="20"/>
              </w:rPr>
              <w:t>n/a</w:t>
            </w:r>
          </w:p>
        </w:tc>
        <w:tc>
          <w:tcPr>
            <w:tcW w:w="1141" w:type="dxa"/>
            <w:vAlign w:val="center"/>
          </w:tcPr>
          <w:p w14:paraId="16C8F25E" w14:textId="77777777" w:rsidR="002D122C" w:rsidRPr="009E4473" w:rsidRDefault="002D122C" w:rsidP="000878F6">
            <w:pPr>
              <w:pStyle w:val="Table"/>
              <w:jc w:val="center"/>
              <w:rPr>
                <w:szCs w:val="20"/>
              </w:rPr>
            </w:pPr>
            <w:r w:rsidRPr="009E4473">
              <w:rPr>
                <w:rFonts w:ascii="Calibri" w:hAnsi="Calibri" w:cs="Calibri"/>
                <w:color w:val="000000"/>
                <w:szCs w:val="20"/>
              </w:rPr>
              <w:t>n/a</w:t>
            </w:r>
          </w:p>
        </w:tc>
        <w:tc>
          <w:tcPr>
            <w:tcW w:w="1045" w:type="dxa"/>
            <w:vAlign w:val="center"/>
          </w:tcPr>
          <w:p w14:paraId="3606CDDA" w14:textId="77777777" w:rsidR="002D122C" w:rsidRPr="009E4473" w:rsidRDefault="002D122C" w:rsidP="000878F6">
            <w:pPr>
              <w:pStyle w:val="Table"/>
              <w:jc w:val="center"/>
              <w:rPr>
                <w:szCs w:val="20"/>
              </w:rPr>
            </w:pPr>
            <w:r w:rsidRPr="009E4473">
              <w:rPr>
                <w:rFonts w:ascii="Calibri" w:hAnsi="Calibri" w:cs="Calibri"/>
                <w:color w:val="000000"/>
                <w:szCs w:val="20"/>
              </w:rPr>
              <w:t>4,55</w:t>
            </w:r>
          </w:p>
        </w:tc>
        <w:tc>
          <w:tcPr>
            <w:tcW w:w="1236" w:type="dxa"/>
            <w:vAlign w:val="center"/>
          </w:tcPr>
          <w:p w14:paraId="3E13E589" w14:textId="77777777" w:rsidR="002D122C" w:rsidRPr="009E4473" w:rsidRDefault="002D122C" w:rsidP="000878F6">
            <w:pPr>
              <w:pStyle w:val="Table"/>
              <w:jc w:val="center"/>
              <w:rPr>
                <w:szCs w:val="20"/>
              </w:rPr>
            </w:pPr>
            <w:r w:rsidRPr="009E4473">
              <w:rPr>
                <w:rFonts w:ascii="Calibri" w:hAnsi="Calibri" w:cs="Calibri"/>
                <w:color w:val="000000"/>
                <w:szCs w:val="20"/>
              </w:rPr>
              <w:t>4,56</w:t>
            </w:r>
          </w:p>
        </w:tc>
        <w:tc>
          <w:tcPr>
            <w:tcW w:w="982" w:type="dxa"/>
            <w:vAlign w:val="center"/>
          </w:tcPr>
          <w:p w14:paraId="1C597B3C" w14:textId="77777777" w:rsidR="002D122C" w:rsidRPr="009E4473" w:rsidRDefault="002D122C" w:rsidP="000878F6">
            <w:pPr>
              <w:pStyle w:val="Table"/>
              <w:jc w:val="center"/>
              <w:rPr>
                <w:szCs w:val="20"/>
              </w:rPr>
            </w:pPr>
            <w:r w:rsidRPr="009E4473">
              <w:rPr>
                <w:rFonts w:ascii="Calibri" w:hAnsi="Calibri" w:cs="Calibri"/>
                <w:color w:val="000000"/>
                <w:szCs w:val="20"/>
              </w:rPr>
              <w:t>1,4%</w:t>
            </w:r>
          </w:p>
        </w:tc>
        <w:tc>
          <w:tcPr>
            <w:tcW w:w="1300" w:type="dxa"/>
            <w:vAlign w:val="center"/>
          </w:tcPr>
          <w:p w14:paraId="2FD964B2" w14:textId="77777777" w:rsidR="002D122C" w:rsidRPr="009E4473" w:rsidRDefault="002D122C" w:rsidP="000878F6">
            <w:pPr>
              <w:pStyle w:val="Table"/>
              <w:jc w:val="center"/>
              <w:rPr>
                <w:szCs w:val="20"/>
              </w:rPr>
            </w:pPr>
            <w:r w:rsidRPr="009E4473">
              <w:rPr>
                <w:rFonts w:ascii="Calibri" w:hAnsi="Calibri" w:cs="Calibri"/>
                <w:color w:val="000000"/>
                <w:szCs w:val="20"/>
              </w:rPr>
              <w:t>1,4%</w:t>
            </w:r>
          </w:p>
        </w:tc>
      </w:tr>
      <w:tr w:rsidR="002D122C" w:rsidRPr="009E4473" w14:paraId="03EF2411" w14:textId="77777777" w:rsidTr="00BA7936">
        <w:trPr>
          <w:trHeight w:val="268"/>
        </w:trPr>
        <w:tc>
          <w:tcPr>
            <w:tcW w:w="2281" w:type="dxa"/>
          </w:tcPr>
          <w:p w14:paraId="00093963" w14:textId="77777777" w:rsidR="002D122C" w:rsidRPr="009E4473" w:rsidRDefault="002D122C" w:rsidP="000878F6">
            <w:pPr>
              <w:pStyle w:val="Table"/>
              <w:rPr>
                <w:szCs w:val="20"/>
              </w:rPr>
            </w:pPr>
            <w:r w:rsidRPr="009E4473">
              <w:rPr>
                <w:szCs w:val="20"/>
              </w:rPr>
              <w:t>Waste to Landfill</w:t>
            </w:r>
          </w:p>
        </w:tc>
        <w:tc>
          <w:tcPr>
            <w:tcW w:w="1140" w:type="dxa"/>
            <w:vAlign w:val="center"/>
          </w:tcPr>
          <w:p w14:paraId="7CEB48ED" w14:textId="77777777" w:rsidR="002D122C" w:rsidRPr="009E4473" w:rsidRDefault="002D122C" w:rsidP="000878F6">
            <w:pPr>
              <w:pStyle w:val="Table"/>
              <w:jc w:val="center"/>
              <w:rPr>
                <w:szCs w:val="20"/>
              </w:rPr>
            </w:pPr>
            <w:r w:rsidRPr="009E4473">
              <w:rPr>
                <w:rFonts w:ascii="Calibri" w:hAnsi="Calibri" w:cs="Calibri"/>
                <w:color w:val="000000"/>
                <w:szCs w:val="20"/>
              </w:rPr>
              <w:t>-8,31%</w:t>
            </w:r>
          </w:p>
        </w:tc>
        <w:tc>
          <w:tcPr>
            <w:tcW w:w="1141" w:type="dxa"/>
            <w:vAlign w:val="center"/>
          </w:tcPr>
          <w:p w14:paraId="6959B49E" w14:textId="77777777" w:rsidR="002D122C" w:rsidRPr="009E4473" w:rsidRDefault="002D122C" w:rsidP="000878F6">
            <w:pPr>
              <w:pStyle w:val="Table"/>
              <w:jc w:val="center"/>
              <w:rPr>
                <w:szCs w:val="20"/>
              </w:rPr>
            </w:pPr>
            <w:r w:rsidRPr="009E4473">
              <w:rPr>
                <w:rFonts w:ascii="Calibri" w:hAnsi="Calibri" w:cs="Calibri"/>
                <w:color w:val="000000"/>
                <w:szCs w:val="20"/>
              </w:rPr>
              <w:t>-8,31%</w:t>
            </w:r>
          </w:p>
        </w:tc>
        <w:tc>
          <w:tcPr>
            <w:tcW w:w="1045" w:type="dxa"/>
            <w:vAlign w:val="center"/>
          </w:tcPr>
          <w:p w14:paraId="3172F6ED" w14:textId="77777777" w:rsidR="002D122C" w:rsidRPr="009E4473" w:rsidRDefault="002D122C" w:rsidP="000878F6">
            <w:pPr>
              <w:pStyle w:val="Table"/>
              <w:jc w:val="center"/>
              <w:rPr>
                <w:szCs w:val="20"/>
              </w:rPr>
            </w:pPr>
            <w:r w:rsidRPr="009E4473">
              <w:rPr>
                <w:rFonts w:ascii="Calibri" w:hAnsi="Calibri" w:cs="Calibri"/>
                <w:color w:val="000000"/>
                <w:szCs w:val="20"/>
              </w:rPr>
              <w:t>0,39</w:t>
            </w:r>
          </w:p>
        </w:tc>
        <w:tc>
          <w:tcPr>
            <w:tcW w:w="1236" w:type="dxa"/>
            <w:vAlign w:val="center"/>
          </w:tcPr>
          <w:p w14:paraId="2277C0A9" w14:textId="77777777" w:rsidR="002D122C" w:rsidRPr="009E4473" w:rsidRDefault="002D122C" w:rsidP="000878F6">
            <w:pPr>
              <w:pStyle w:val="Table"/>
              <w:jc w:val="center"/>
              <w:rPr>
                <w:szCs w:val="20"/>
              </w:rPr>
            </w:pPr>
            <w:r w:rsidRPr="009E4473">
              <w:rPr>
                <w:rFonts w:ascii="Calibri" w:hAnsi="Calibri" w:cs="Calibri"/>
                <w:color w:val="000000"/>
                <w:szCs w:val="20"/>
              </w:rPr>
              <w:t>0,38</w:t>
            </w:r>
          </w:p>
        </w:tc>
        <w:tc>
          <w:tcPr>
            <w:tcW w:w="982" w:type="dxa"/>
            <w:vAlign w:val="center"/>
          </w:tcPr>
          <w:p w14:paraId="6726CFB6" w14:textId="77777777" w:rsidR="002D122C" w:rsidRPr="009E4473" w:rsidRDefault="002D122C" w:rsidP="000878F6">
            <w:pPr>
              <w:pStyle w:val="Table"/>
              <w:jc w:val="center"/>
              <w:rPr>
                <w:szCs w:val="20"/>
              </w:rPr>
            </w:pPr>
            <w:r w:rsidRPr="009E4473">
              <w:rPr>
                <w:rFonts w:ascii="Calibri" w:hAnsi="Calibri" w:cs="Calibri"/>
                <w:color w:val="000000"/>
                <w:szCs w:val="20"/>
              </w:rPr>
              <w:t>0,1%</w:t>
            </w:r>
          </w:p>
        </w:tc>
        <w:tc>
          <w:tcPr>
            <w:tcW w:w="1300" w:type="dxa"/>
            <w:vAlign w:val="center"/>
          </w:tcPr>
          <w:p w14:paraId="56FB5B6C" w14:textId="77777777" w:rsidR="002D122C" w:rsidRPr="009E4473" w:rsidRDefault="002D122C" w:rsidP="000878F6">
            <w:pPr>
              <w:pStyle w:val="Table"/>
              <w:jc w:val="center"/>
              <w:rPr>
                <w:szCs w:val="20"/>
              </w:rPr>
            </w:pPr>
            <w:r w:rsidRPr="009E4473">
              <w:rPr>
                <w:rFonts w:ascii="Calibri" w:hAnsi="Calibri" w:cs="Calibri"/>
                <w:color w:val="000000"/>
                <w:szCs w:val="20"/>
              </w:rPr>
              <w:t>0,1%</w:t>
            </w:r>
          </w:p>
        </w:tc>
      </w:tr>
      <w:tr w:rsidR="002D122C" w:rsidRPr="009E4473" w14:paraId="12A4EA3B" w14:textId="77777777" w:rsidTr="00BA7936">
        <w:trPr>
          <w:trHeight w:val="268"/>
        </w:trPr>
        <w:tc>
          <w:tcPr>
            <w:tcW w:w="2281" w:type="dxa"/>
          </w:tcPr>
          <w:p w14:paraId="08474DE3" w14:textId="77777777" w:rsidR="002D122C" w:rsidRPr="009E4473" w:rsidRDefault="002D122C" w:rsidP="000878F6">
            <w:pPr>
              <w:pStyle w:val="Table"/>
              <w:rPr>
                <w:szCs w:val="20"/>
              </w:rPr>
            </w:pPr>
            <w:r w:rsidRPr="009E4473">
              <w:rPr>
                <w:szCs w:val="20"/>
              </w:rPr>
              <w:t>Water Effluent</w:t>
            </w:r>
          </w:p>
        </w:tc>
        <w:tc>
          <w:tcPr>
            <w:tcW w:w="1140" w:type="dxa"/>
            <w:vAlign w:val="center"/>
          </w:tcPr>
          <w:p w14:paraId="3283A94D" w14:textId="77777777" w:rsidR="002D122C" w:rsidRPr="009E4473" w:rsidRDefault="002D122C" w:rsidP="000878F6">
            <w:pPr>
              <w:pStyle w:val="Table"/>
              <w:jc w:val="center"/>
              <w:rPr>
                <w:szCs w:val="20"/>
              </w:rPr>
            </w:pPr>
            <w:r w:rsidRPr="009E4473">
              <w:rPr>
                <w:rFonts w:ascii="Calibri" w:hAnsi="Calibri" w:cs="Calibri"/>
                <w:color w:val="000000"/>
                <w:szCs w:val="20"/>
              </w:rPr>
              <w:t>0,00%</w:t>
            </w:r>
          </w:p>
        </w:tc>
        <w:tc>
          <w:tcPr>
            <w:tcW w:w="1141" w:type="dxa"/>
            <w:vAlign w:val="center"/>
          </w:tcPr>
          <w:p w14:paraId="0002AC6B" w14:textId="77777777" w:rsidR="002D122C" w:rsidRPr="009E4473" w:rsidRDefault="002D122C" w:rsidP="000878F6">
            <w:pPr>
              <w:pStyle w:val="Table"/>
              <w:jc w:val="center"/>
              <w:rPr>
                <w:szCs w:val="20"/>
              </w:rPr>
            </w:pPr>
            <w:r w:rsidRPr="009E4473">
              <w:rPr>
                <w:rFonts w:ascii="Calibri" w:hAnsi="Calibri" w:cs="Calibri"/>
                <w:color w:val="000000"/>
                <w:szCs w:val="20"/>
              </w:rPr>
              <w:t>0,00%</w:t>
            </w:r>
          </w:p>
        </w:tc>
        <w:tc>
          <w:tcPr>
            <w:tcW w:w="1045" w:type="dxa"/>
            <w:vAlign w:val="center"/>
          </w:tcPr>
          <w:p w14:paraId="019D3641" w14:textId="77777777" w:rsidR="002D122C" w:rsidRPr="009E4473" w:rsidRDefault="002D122C" w:rsidP="000878F6">
            <w:pPr>
              <w:pStyle w:val="Table"/>
              <w:jc w:val="center"/>
              <w:rPr>
                <w:szCs w:val="20"/>
              </w:rPr>
            </w:pPr>
            <w:r w:rsidRPr="009E4473">
              <w:rPr>
                <w:rFonts w:ascii="Calibri" w:hAnsi="Calibri" w:cs="Calibri"/>
                <w:color w:val="000000"/>
                <w:szCs w:val="20"/>
              </w:rPr>
              <w:t>0,00</w:t>
            </w:r>
          </w:p>
        </w:tc>
        <w:tc>
          <w:tcPr>
            <w:tcW w:w="1236" w:type="dxa"/>
            <w:vAlign w:val="center"/>
          </w:tcPr>
          <w:p w14:paraId="073703A1" w14:textId="77777777" w:rsidR="002D122C" w:rsidRPr="009E4473" w:rsidRDefault="002D122C" w:rsidP="000878F6">
            <w:pPr>
              <w:pStyle w:val="Table"/>
              <w:jc w:val="center"/>
              <w:rPr>
                <w:szCs w:val="20"/>
              </w:rPr>
            </w:pPr>
            <w:r w:rsidRPr="009E4473">
              <w:rPr>
                <w:rFonts w:ascii="Calibri" w:hAnsi="Calibri" w:cs="Calibri"/>
                <w:color w:val="000000"/>
                <w:szCs w:val="20"/>
              </w:rPr>
              <w:t>0,00</w:t>
            </w:r>
          </w:p>
        </w:tc>
        <w:tc>
          <w:tcPr>
            <w:tcW w:w="982" w:type="dxa"/>
            <w:vAlign w:val="center"/>
          </w:tcPr>
          <w:p w14:paraId="6492F8A6" w14:textId="77777777" w:rsidR="002D122C" w:rsidRPr="009E4473" w:rsidRDefault="002D122C" w:rsidP="000878F6">
            <w:pPr>
              <w:pStyle w:val="Table"/>
              <w:jc w:val="center"/>
              <w:rPr>
                <w:szCs w:val="20"/>
              </w:rPr>
            </w:pPr>
            <w:r w:rsidRPr="009E4473">
              <w:rPr>
                <w:rFonts w:ascii="Calibri" w:hAnsi="Calibri" w:cs="Calibri"/>
                <w:color w:val="000000"/>
                <w:szCs w:val="20"/>
              </w:rPr>
              <w:t>0,0%</w:t>
            </w:r>
          </w:p>
        </w:tc>
        <w:tc>
          <w:tcPr>
            <w:tcW w:w="1300" w:type="dxa"/>
            <w:vAlign w:val="center"/>
          </w:tcPr>
          <w:p w14:paraId="7559D748" w14:textId="77777777" w:rsidR="002D122C" w:rsidRPr="009E4473" w:rsidRDefault="002D122C" w:rsidP="000878F6">
            <w:pPr>
              <w:pStyle w:val="Table"/>
              <w:jc w:val="center"/>
              <w:rPr>
                <w:szCs w:val="20"/>
              </w:rPr>
            </w:pPr>
            <w:r w:rsidRPr="009E4473">
              <w:rPr>
                <w:rFonts w:ascii="Calibri" w:hAnsi="Calibri" w:cs="Calibri"/>
                <w:color w:val="000000"/>
                <w:szCs w:val="20"/>
              </w:rPr>
              <w:t>0,0%</w:t>
            </w:r>
          </w:p>
        </w:tc>
      </w:tr>
      <w:tr w:rsidR="002D122C" w:rsidRPr="009E4473" w14:paraId="59D6FC24" w14:textId="77777777" w:rsidTr="00BA7936">
        <w:trPr>
          <w:trHeight w:val="271"/>
        </w:trPr>
        <w:tc>
          <w:tcPr>
            <w:tcW w:w="2281" w:type="dxa"/>
          </w:tcPr>
          <w:p w14:paraId="5BBAA3B0" w14:textId="77777777" w:rsidR="002D122C" w:rsidRPr="009E4473" w:rsidRDefault="002D122C" w:rsidP="000878F6">
            <w:pPr>
              <w:pStyle w:val="Table"/>
              <w:rPr>
                <w:szCs w:val="20"/>
              </w:rPr>
            </w:pPr>
            <w:r w:rsidRPr="009E4473">
              <w:rPr>
                <w:szCs w:val="20"/>
              </w:rPr>
              <w:t>Minerals &amp; Aggregates</w:t>
            </w:r>
          </w:p>
        </w:tc>
        <w:tc>
          <w:tcPr>
            <w:tcW w:w="1140" w:type="dxa"/>
            <w:vAlign w:val="center"/>
          </w:tcPr>
          <w:p w14:paraId="22267101" w14:textId="77777777" w:rsidR="002D122C" w:rsidRPr="009E4473" w:rsidRDefault="002D122C" w:rsidP="000878F6">
            <w:pPr>
              <w:pStyle w:val="Table"/>
              <w:jc w:val="center"/>
              <w:rPr>
                <w:szCs w:val="20"/>
              </w:rPr>
            </w:pPr>
            <w:r w:rsidRPr="009E4473">
              <w:rPr>
                <w:rFonts w:ascii="Calibri" w:hAnsi="Calibri" w:cs="Calibri"/>
                <w:color w:val="000000"/>
                <w:szCs w:val="20"/>
              </w:rPr>
              <w:t>-5,67%</w:t>
            </w:r>
          </w:p>
        </w:tc>
        <w:tc>
          <w:tcPr>
            <w:tcW w:w="1141" w:type="dxa"/>
            <w:vAlign w:val="center"/>
          </w:tcPr>
          <w:p w14:paraId="37C9F394" w14:textId="77777777" w:rsidR="002D122C" w:rsidRPr="009E4473" w:rsidRDefault="002D122C" w:rsidP="000878F6">
            <w:pPr>
              <w:pStyle w:val="Table"/>
              <w:jc w:val="center"/>
              <w:rPr>
                <w:szCs w:val="20"/>
              </w:rPr>
            </w:pPr>
            <w:r w:rsidRPr="009E4473">
              <w:rPr>
                <w:rFonts w:ascii="Calibri" w:hAnsi="Calibri" w:cs="Calibri"/>
                <w:color w:val="000000"/>
                <w:szCs w:val="20"/>
              </w:rPr>
              <w:t>-5,67%</w:t>
            </w:r>
          </w:p>
        </w:tc>
        <w:tc>
          <w:tcPr>
            <w:tcW w:w="1045" w:type="dxa"/>
            <w:vAlign w:val="center"/>
          </w:tcPr>
          <w:p w14:paraId="599241CA" w14:textId="77777777" w:rsidR="002D122C" w:rsidRPr="009E4473" w:rsidRDefault="002D122C" w:rsidP="000878F6">
            <w:pPr>
              <w:pStyle w:val="Table"/>
              <w:jc w:val="center"/>
              <w:rPr>
                <w:szCs w:val="20"/>
              </w:rPr>
            </w:pPr>
            <w:r w:rsidRPr="009E4473">
              <w:rPr>
                <w:rFonts w:ascii="Calibri" w:hAnsi="Calibri" w:cs="Calibri"/>
                <w:color w:val="000000"/>
                <w:szCs w:val="20"/>
              </w:rPr>
              <w:t>860,51</w:t>
            </w:r>
          </w:p>
        </w:tc>
        <w:tc>
          <w:tcPr>
            <w:tcW w:w="1236" w:type="dxa"/>
            <w:vAlign w:val="center"/>
          </w:tcPr>
          <w:p w14:paraId="5AF2D818" w14:textId="77777777" w:rsidR="002D122C" w:rsidRPr="009E4473" w:rsidRDefault="002D122C" w:rsidP="000878F6">
            <w:pPr>
              <w:pStyle w:val="Table"/>
              <w:jc w:val="center"/>
              <w:rPr>
                <w:szCs w:val="20"/>
              </w:rPr>
            </w:pPr>
            <w:r w:rsidRPr="009E4473">
              <w:rPr>
                <w:rFonts w:ascii="Calibri" w:hAnsi="Calibri" w:cs="Calibri"/>
                <w:color w:val="000000"/>
                <w:szCs w:val="20"/>
              </w:rPr>
              <w:t>882,54</w:t>
            </w:r>
          </w:p>
        </w:tc>
        <w:tc>
          <w:tcPr>
            <w:tcW w:w="982" w:type="dxa"/>
            <w:vAlign w:val="center"/>
          </w:tcPr>
          <w:p w14:paraId="3158F845" w14:textId="77777777" w:rsidR="002D122C" w:rsidRPr="009E4473" w:rsidRDefault="002D122C" w:rsidP="000878F6">
            <w:pPr>
              <w:pStyle w:val="Table"/>
              <w:jc w:val="center"/>
              <w:rPr>
                <w:szCs w:val="20"/>
              </w:rPr>
            </w:pPr>
            <w:r w:rsidRPr="009E4473">
              <w:rPr>
                <w:rFonts w:ascii="Calibri" w:hAnsi="Calibri" w:cs="Calibri"/>
                <w:color w:val="000000"/>
                <w:szCs w:val="20"/>
              </w:rPr>
              <w:t>267,3%</w:t>
            </w:r>
          </w:p>
        </w:tc>
        <w:tc>
          <w:tcPr>
            <w:tcW w:w="1300" w:type="dxa"/>
            <w:vAlign w:val="center"/>
          </w:tcPr>
          <w:p w14:paraId="3D3949F4" w14:textId="77777777" w:rsidR="002D122C" w:rsidRPr="009E4473" w:rsidRDefault="002D122C" w:rsidP="000878F6">
            <w:pPr>
              <w:pStyle w:val="Table"/>
              <w:jc w:val="center"/>
              <w:rPr>
                <w:szCs w:val="20"/>
              </w:rPr>
            </w:pPr>
            <w:r w:rsidRPr="009E4473">
              <w:rPr>
                <w:rFonts w:ascii="Calibri" w:hAnsi="Calibri" w:cs="Calibri"/>
                <w:color w:val="000000"/>
                <w:szCs w:val="20"/>
              </w:rPr>
              <w:t>274,1%</w:t>
            </w:r>
          </w:p>
        </w:tc>
      </w:tr>
    </w:tbl>
    <w:p w14:paraId="3C1BA771" w14:textId="77777777" w:rsidR="002D122C" w:rsidRPr="002D122C" w:rsidRDefault="002D122C" w:rsidP="002D122C">
      <w:pPr>
        <w:rPr>
          <w:color w:val="000000" w:themeColor="text1"/>
          <w:szCs w:val="24"/>
        </w:rPr>
      </w:pPr>
    </w:p>
    <w:p w14:paraId="1455F327" w14:textId="6EA54AF8" w:rsidR="002D122C" w:rsidRPr="002D122C" w:rsidRDefault="002D122C" w:rsidP="002D122C">
      <w:pPr>
        <w:rPr>
          <w:color w:val="000000" w:themeColor="text1"/>
          <w:szCs w:val="24"/>
        </w:rPr>
      </w:pPr>
      <w:r w:rsidRPr="002D122C">
        <w:rPr>
          <w:color w:val="000000" w:themeColor="text1"/>
          <w:szCs w:val="24"/>
        </w:rPr>
        <w:t xml:space="preserve">The strongest incremental benefits are expected in the </w:t>
      </w:r>
      <w:r w:rsidRPr="002D122C">
        <w:rPr>
          <w:b/>
          <w:bCs/>
          <w:color w:val="000000" w:themeColor="text1"/>
          <w:szCs w:val="24"/>
        </w:rPr>
        <w:t>water domain</w:t>
      </w:r>
      <w:r w:rsidRPr="002D122C">
        <w:rPr>
          <w:color w:val="000000" w:themeColor="text1"/>
          <w:szCs w:val="24"/>
        </w:rPr>
        <w:t xml:space="preserve">, where Sweden faces persistent eutrophication pressures in parts of the Baltic and in nutrient-sensitive inland waters. Introducing a </w:t>
      </w:r>
      <w:r w:rsidRPr="002D122C">
        <w:rPr>
          <w:b/>
          <w:bCs/>
          <w:color w:val="000000" w:themeColor="text1"/>
          <w:szCs w:val="24"/>
        </w:rPr>
        <w:t>wastewater effluent charge</w:t>
      </w:r>
      <w:r w:rsidRPr="002D122C">
        <w:rPr>
          <w:color w:val="000000" w:themeColor="text1"/>
          <w:szCs w:val="24"/>
        </w:rPr>
        <w:t xml:space="preserve"> linked to pollutant load (starting with BOD₅ and, where monitoring is robust, nitrogen and phosphorus) would sharpen incentives for tertiary treatment, process optimisation and water reuse. Fiscal impacts are moderate at national level but material for utility investment cycles. A </w:t>
      </w:r>
      <w:r w:rsidRPr="002D122C">
        <w:rPr>
          <w:b/>
          <w:bCs/>
          <w:color w:val="000000" w:themeColor="text1"/>
          <w:szCs w:val="24"/>
        </w:rPr>
        <w:t>water abstraction tax</w:t>
      </w:r>
      <w:r w:rsidRPr="002D122C">
        <w:rPr>
          <w:color w:val="000000" w:themeColor="text1"/>
          <w:szCs w:val="24"/>
        </w:rPr>
        <w:t xml:space="preserve"> offers limited nationwide value given Sweden’s overall low scarcity; however, a </w:t>
      </w:r>
      <w:r w:rsidRPr="002D122C">
        <w:rPr>
          <w:b/>
          <w:bCs/>
          <w:color w:val="000000" w:themeColor="text1"/>
          <w:szCs w:val="24"/>
        </w:rPr>
        <w:t>catchment-specific signal</w:t>
      </w:r>
      <w:r w:rsidRPr="002D122C">
        <w:rPr>
          <w:color w:val="000000" w:themeColor="text1"/>
          <w:szCs w:val="24"/>
        </w:rPr>
        <w:t xml:space="preserve"> could be considered where seasonal stress occurs or ecological flows are at risk, with low rates and narrow scope to avoid undue burden on essential use.</w:t>
      </w:r>
    </w:p>
    <w:p w14:paraId="6A52B684" w14:textId="5639F345" w:rsidR="002D122C" w:rsidRPr="002D122C" w:rsidRDefault="002D122C" w:rsidP="002D122C">
      <w:pPr>
        <w:rPr>
          <w:color w:val="000000" w:themeColor="text1"/>
          <w:szCs w:val="24"/>
        </w:rPr>
      </w:pPr>
      <w:r w:rsidRPr="002D122C">
        <w:rPr>
          <w:color w:val="000000" w:themeColor="text1"/>
          <w:szCs w:val="24"/>
        </w:rPr>
        <w:t xml:space="preserve">In </w:t>
      </w:r>
      <w:r w:rsidRPr="002D122C">
        <w:rPr>
          <w:b/>
          <w:bCs/>
          <w:color w:val="000000" w:themeColor="text1"/>
          <w:szCs w:val="24"/>
        </w:rPr>
        <w:t>waste management</w:t>
      </w:r>
      <w:r w:rsidRPr="002D122C">
        <w:rPr>
          <w:color w:val="000000" w:themeColor="text1"/>
          <w:szCs w:val="24"/>
        </w:rPr>
        <w:t xml:space="preserve">, Sweden’s high landfill tax underpins diversion, yet recent experience with the incineration levy shows that instrument design matters for effectiveness and acceptability. The modelling suggests that keeping the relative price of disposal options aligned with the waste hierarchy will deliver further environmental gain. The practical route is a </w:t>
      </w:r>
      <w:r w:rsidRPr="002D122C">
        <w:rPr>
          <w:b/>
          <w:bCs/>
          <w:color w:val="000000" w:themeColor="text1"/>
          <w:szCs w:val="24"/>
        </w:rPr>
        <w:t>stable landfill signal</w:t>
      </w:r>
      <w:r w:rsidRPr="002D122C">
        <w:rPr>
          <w:color w:val="000000" w:themeColor="text1"/>
          <w:szCs w:val="24"/>
        </w:rPr>
        <w:t xml:space="preserve"> combined with a </w:t>
      </w:r>
      <w:r w:rsidRPr="002D122C">
        <w:rPr>
          <w:b/>
          <w:bCs/>
          <w:color w:val="000000" w:themeColor="text1"/>
          <w:szCs w:val="24"/>
        </w:rPr>
        <w:t>light, predictable incineration charge</w:t>
      </w:r>
      <w:r w:rsidRPr="002D122C">
        <w:rPr>
          <w:color w:val="000000" w:themeColor="text1"/>
          <w:szCs w:val="24"/>
        </w:rPr>
        <w:t xml:space="preserve"> calibrated to avoid perverse shifts, introduced only alongside expanded separate collection, high-quality sorting and anaerobic digestion/composting for biowaste. Where regional capacity is tight, phasing should track infrastructure roll-out to prevent cost spikes.</w:t>
      </w:r>
    </w:p>
    <w:p w14:paraId="277C0F68" w14:textId="2D5508F0" w:rsidR="002D122C" w:rsidRPr="002D122C" w:rsidRDefault="002D122C" w:rsidP="002D122C">
      <w:pPr>
        <w:rPr>
          <w:color w:val="000000" w:themeColor="text1"/>
          <w:szCs w:val="24"/>
        </w:rPr>
      </w:pPr>
      <w:r w:rsidRPr="002D122C">
        <w:rPr>
          <w:color w:val="000000" w:themeColor="text1"/>
          <w:szCs w:val="24"/>
        </w:rPr>
        <w:t xml:space="preserve">On </w:t>
      </w:r>
      <w:r w:rsidRPr="002D122C">
        <w:rPr>
          <w:b/>
          <w:bCs/>
          <w:color w:val="000000" w:themeColor="text1"/>
          <w:szCs w:val="24"/>
        </w:rPr>
        <w:t>resources</w:t>
      </w:r>
      <w:r w:rsidRPr="002D122C">
        <w:rPr>
          <w:color w:val="000000" w:themeColor="text1"/>
          <w:szCs w:val="24"/>
        </w:rPr>
        <w:t xml:space="preserve">, a </w:t>
      </w:r>
      <w:r w:rsidRPr="002D122C">
        <w:rPr>
          <w:b/>
          <w:bCs/>
          <w:color w:val="000000" w:themeColor="text1"/>
          <w:szCs w:val="24"/>
        </w:rPr>
        <w:t>minerals/aggregates charge</w:t>
      </w:r>
      <w:r w:rsidRPr="002D122C">
        <w:rPr>
          <w:color w:val="000000" w:themeColor="text1"/>
          <w:szCs w:val="24"/>
        </w:rPr>
        <w:t xml:space="preserve"> applied to sand, gravel and crushed rock at benchmark levels would modestly reduce primary extraction and reinforce markets for recycled aggregates. Public procurement standards that recognise certified secondary materials in road and civil works are important to anchor demand and contain cost pass-through. Revenues are modest in macro terms but help internalise local externalities and fund restoration.</w:t>
      </w:r>
    </w:p>
    <w:p w14:paraId="7143666A" w14:textId="08367C8E" w:rsidR="002D122C" w:rsidRPr="002D122C" w:rsidRDefault="002D122C" w:rsidP="002D122C">
      <w:pPr>
        <w:rPr>
          <w:color w:val="000000" w:themeColor="text1"/>
          <w:szCs w:val="24"/>
        </w:rPr>
      </w:pPr>
      <w:r w:rsidRPr="002D122C">
        <w:rPr>
          <w:color w:val="000000" w:themeColor="text1"/>
          <w:szCs w:val="24"/>
        </w:rPr>
        <w:t xml:space="preserve">For </w:t>
      </w:r>
      <w:r w:rsidRPr="002D122C">
        <w:rPr>
          <w:b/>
          <w:bCs/>
          <w:color w:val="000000" w:themeColor="text1"/>
          <w:szCs w:val="24"/>
        </w:rPr>
        <w:t>air pollution</w:t>
      </w:r>
      <w:r w:rsidRPr="002D122C">
        <w:rPr>
          <w:color w:val="000000" w:themeColor="text1"/>
          <w:szCs w:val="24"/>
        </w:rPr>
        <w:t xml:space="preserve">, Sweden’s NOx fee has already delivered substantial abatement at low administrative cost. Additionality from broad new air-pollutant taxes is therefore limited. A more proportionate option is to </w:t>
      </w:r>
      <w:r w:rsidRPr="002D122C">
        <w:rPr>
          <w:b/>
          <w:bCs/>
          <w:color w:val="000000" w:themeColor="text1"/>
          <w:szCs w:val="24"/>
        </w:rPr>
        <w:t>extend performance-based charges or rebates</w:t>
      </w:r>
      <w:r w:rsidRPr="002D122C">
        <w:rPr>
          <w:color w:val="000000" w:themeColor="text1"/>
          <w:szCs w:val="24"/>
        </w:rPr>
        <w:t xml:space="preserve"> to remaining large point sources for PM₂.₅ and SO₂ within the integrated permit framework, focusing on hotspots and aligning rates with best available techniques to keep compliance costs efficient.</w:t>
      </w:r>
    </w:p>
    <w:p w14:paraId="0626A1FE" w14:textId="32449F41" w:rsidR="002D122C" w:rsidRPr="002D122C" w:rsidRDefault="002D122C" w:rsidP="002D122C">
      <w:pPr>
        <w:rPr>
          <w:color w:val="000000" w:themeColor="text1"/>
          <w:szCs w:val="24"/>
        </w:rPr>
      </w:pPr>
      <w:r w:rsidRPr="002D122C">
        <w:rPr>
          <w:color w:val="000000" w:themeColor="text1"/>
          <w:szCs w:val="24"/>
        </w:rPr>
        <w:t xml:space="preserve">In </w:t>
      </w:r>
      <w:r w:rsidRPr="002D122C">
        <w:rPr>
          <w:b/>
          <w:bCs/>
          <w:color w:val="000000" w:themeColor="text1"/>
          <w:szCs w:val="24"/>
        </w:rPr>
        <w:t>agriculture</w:t>
      </w:r>
      <w:r w:rsidRPr="002D122C">
        <w:rPr>
          <w:color w:val="000000" w:themeColor="text1"/>
          <w:szCs w:val="24"/>
        </w:rPr>
        <w:t xml:space="preserve">, Sweden already levies a pesticides tax; scope for incremental gains lies in </w:t>
      </w:r>
      <w:r w:rsidRPr="002D122C">
        <w:rPr>
          <w:b/>
          <w:bCs/>
          <w:color w:val="000000" w:themeColor="text1"/>
          <w:szCs w:val="24"/>
        </w:rPr>
        <w:t>refining differentiation by toxicity</w:t>
      </w:r>
      <w:r w:rsidRPr="002D122C">
        <w:rPr>
          <w:color w:val="000000" w:themeColor="text1"/>
          <w:szCs w:val="24"/>
        </w:rPr>
        <w:t xml:space="preserve">, tightening exemptions, and earmarking receipts for integrated pest management. Re-introducing a broad fertiliser levy would yield smaller environmental gains than in more input-intensive Member States, but a </w:t>
      </w:r>
      <w:r w:rsidRPr="002D122C">
        <w:rPr>
          <w:b/>
          <w:bCs/>
          <w:color w:val="000000" w:themeColor="text1"/>
          <w:szCs w:val="24"/>
        </w:rPr>
        <w:t>targeted nitrogen instrument</w:t>
      </w:r>
      <w:r w:rsidRPr="002D122C">
        <w:rPr>
          <w:color w:val="000000" w:themeColor="text1"/>
          <w:szCs w:val="24"/>
        </w:rPr>
        <w:t xml:space="preserve"> could be considered in nitrate-vulnerable zones, paired with advisory support, soil testing and precision application grants to protect yields and farm incomes.</w:t>
      </w:r>
    </w:p>
    <w:p w14:paraId="7CFD4015" w14:textId="0D9E3FB5" w:rsidR="002D122C" w:rsidRPr="002D122C" w:rsidRDefault="002D122C" w:rsidP="002D122C">
      <w:pPr>
        <w:rPr>
          <w:color w:val="000000" w:themeColor="text1"/>
          <w:szCs w:val="24"/>
        </w:rPr>
      </w:pPr>
      <w:r w:rsidRPr="002D122C">
        <w:rPr>
          <w:b/>
          <w:bCs/>
          <w:color w:val="000000" w:themeColor="text1"/>
          <w:szCs w:val="24"/>
        </w:rPr>
        <w:lastRenderedPageBreak/>
        <w:t>Administrative feasibility</w:t>
      </w:r>
      <w:r w:rsidRPr="002D122C">
        <w:rPr>
          <w:color w:val="000000" w:themeColor="text1"/>
          <w:szCs w:val="24"/>
        </w:rPr>
        <w:t xml:space="preserve"> is high. Sweden’s monitoring, reporting and billing systems are sophisticated, and institutional capacity in environmental agencies and utilities is strong. Effluent charging can build on existing discharge permits and laboratory regimes; minerals charges on existing licensing and royalty processes; and any incineration signal on established waste statistics and gate-fee reporting. Digital compliance tools already in use keep administrative burdens low for operators and authorities.</w:t>
      </w:r>
    </w:p>
    <w:p w14:paraId="31B081C4" w14:textId="76FB3F5F" w:rsidR="002D122C" w:rsidRPr="002D122C" w:rsidRDefault="002D122C" w:rsidP="002D122C">
      <w:pPr>
        <w:rPr>
          <w:color w:val="000000" w:themeColor="text1"/>
          <w:szCs w:val="24"/>
        </w:rPr>
      </w:pPr>
      <w:r w:rsidRPr="002D122C">
        <w:rPr>
          <w:b/>
          <w:bCs/>
          <w:color w:val="000000" w:themeColor="text1"/>
          <w:szCs w:val="24"/>
        </w:rPr>
        <w:t>Distributional and competitiveness effects</w:t>
      </w:r>
      <w:r w:rsidRPr="002D122C">
        <w:rPr>
          <w:color w:val="000000" w:themeColor="text1"/>
          <w:szCs w:val="24"/>
        </w:rPr>
        <w:t xml:space="preserve"> are manageable with careful design. Household exposure arises mainly through water and waste bills; phased trajectories, lifeline blocks for essential water use, and targeted bill credits can preserve affordability without diluting the marginal incentive. For trade-exposed industries</w:t>
      </w:r>
      <w:r>
        <w:rPr>
          <w:color w:val="000000" w:themeColor="text1"/>
          <w:szCs w:val="24"/>
        </w:rPr>
        <w:t xml:space="preserve">, </w:t>
      </w:r>
      <w:r w:rsidRPr="002D122C">
        <w:rPr>
          <w:color w:val="000000" w:themeColor="text1"/>
          <w:szCs w:val="24"/>
        </w:rPr>
        <w:t>pulp and paper, mining and metals, chemicals</w:t>
      </w:r>
      <w:r>
        <w:rPr>
          <w:color w:val="000000" w:themeColor="text1"/>
          <w:szCs w:val="24"/>
        </w:rPr>
        <w:t xml:space="preserve">, </w:t>
      </w:r>
      <w:r w:rsidRPr="002D122C">
        <w:rPr>
          <w:color w:val="000000" w:themeColor="text1"/>
          <w:szCs w:val="24"/>
        </w:rPr>
        <w:t>predictable phase-ins and technology-neutral investment support (accelerated depreciation or grants for tertiary treatment, filtration, process heat recovery and material circulation) help maintain competitiveness while preserving the price signal. In construction, procurement pull for recycled aggregates offsets extraction-charge cost push.</w:t>
      </w:r>
    </w:p>
    <w:p w14:paraId="4E6E6406" w14:textId="1417882E" w:rsidR="002D122C" w:rsidRPr="002D122C" w:rsidRDefault="002D122C" w:rsidP="002D122C">
      <w:pPr>
        <w:rPr>
          <w:color w:val="000000" w:themeColor="text1"/>
          <w:szCs w:val="24"/>
        </w:rPr>
      </w:pPr>
      <w:r w:rsidRPr="002D122C">
        <w:rPr>
          <w:b/>
          <w:bCs/>
          <w:color w:val="000000" w:themeColor="text1"/>
          <w:szCs w:val="24"/>
        </w:rPr>
        <w:t>Political feasibility</w:t>
      </w:r>
      <w:r w:rsidRPr="002D122C">
        <w:rPr>
          <w:color w:val="000000" w:themeColor="text1"/>
          <w:szCs w:val="24"/>
        </w:rPr>
        <w:t xml:space="preserve"> </w:t>
      </w:r>
      <w:r>
        <w:rPr>
          <w:color w:val="000000" w:themeColor="text1"/>
          <w:szCs w:val="24"/>
        </w:rPr>
        <w:t xml:space="preserve">of pollution taxes </w:t>
      </w:r>
      <w:r w:rsidRPr="002D122C">
        <w:rPr>
          <w:color w:val="000000" w:themeColor="text1"/>
          <w:szCs w:val="24"/>
        </w:rPr>
        <w:t>is favourable if reforms are framed as incremental upgrades to a well-performing system and if revenues are transparently recycled. Publishing an annual green-dividend report that links receipts to outcomes</w:t>
      </w:r>
      <w:r>
        <w:rPr>
          <w:color w:val="000000" w:themeColor="text1"/>
          <w:szCs w:val="24"/>
        </w:rPr>
        <w:t xml:space="preserve">, </w:t>
      </w:r>
      <w:r w:rsidRPr="002D122C">
        <w:rPr>
          <w:color w:val="000000" w:themeColor="text1"/>
          <w:szCs w:val="24"/>
        </w:rPr>
        <w:t>kilometres of sewer mains rehabilitated, tertiary treatment added, percentage of biowaste separately collected, hectares restored at extraction sites</w:t>
      </w:r>
      <w:r>
        <w:rPr>
          <w:color w:val="000000" w:themeColor="text1"/>
          <w:szCs w:val="24"/>
        </w:rPr>
        <w:t xml:space="preserve">, </w:t>
      </w:r>
      <w:r w:rsidRPr="002D122C">
        <w:rPr>
          <w:color w:val="000000" w:themeColor="text1"/>
          <w:szCs w:val="24"/>
        </w:rPr>
        <w:t>will sustain public trust.</w:t>
      </w:r>
    </w:p>
    <w:p w14:paraId="7C0010A5" w14:textId="149A6EFB" w:rsidR="002D122C" w:rsidRPr="002D122C" w:rsidRDefault="002D122C" w:rsidP="002D122C">
      <w:pPr>
        <w:rPr>
          <w:color w:val="000000" w:themeColor="text1"/>
          <w:szCs w:val="24"/>
        </w:rPr>
      </w:pPr>
      <w:r w:rsidRPr="002D122C">
        <w:rPr>
          <w:color w:val="000000" w:themeColor="text1"/>
          <w:szCs w:val="24"/>
        </w:rPr>
        <w:t xml:space="preserve">In sum, Sweden’s scope for additional environmental taxation is </w:t>
      </w:r>
      <w:r w:rsidRPr="002D122C">
        <w:rPr>
          <w:b/>
          <w:bCs/>
          <w:color w:val="000000" w:themeColor="text1"/>
          <w:szCs w:val="24"/>
        </w:rPr>
        <w:t>targeted rather than transformational</w:t>
      </w:r>
      <w:r w:rsidRPr="002D122C">
        <w:rPr>
          <w:color w:val="000000" w:themeColor="text1"/>
          <w:szCs w:val="24"/>
        </w:rPr>
        <w:t>. A focused package</w:t>
      </w:r>
      <w:r>
        <w:rPr>
          <w:color w:val="000000" w:themeColor="text1"/>
          <w:szCs w:val="24"/>
        </w:rPr>
        <w:t xml:space="preserve"> </w:t>
      </w:r>
      <w:r w:rsidRPr="002D122C">
        <w:rPr>
          <w:color w:val="000000" w:themeColor="text1"/>
          <w:szCs w:val="24"/>
        </w:rPr>
        <w:t>—</w:t>
      </w:r>
      <w:r>
        <w:rPr>
          <w:color w:val="000000" w:themeColor="text1"/>
          <w:szCs w:val="24"/>
        </w:rPr>
        <w:t xml:space="preserve"> </w:t>
      </w:r>
      <w:r w:rsidRPr="002D122C">
        <w:rPr>
          <w:color w:val="000000" w:themeColor="text1"/>
          <w:szCs w:val="24"/>
        </w:rPr>
        <w:t>effluent charging with nutrient coverage where robust, calibrated disposal price signals that reinforce the waste hierarchy, a modest aggregates charge with circular procurement pull, selective refinement of pesticides taxation, and highly local abstraction pricing where warranted</w:t>
      </w:r>
      <w:r>
        <w:rPr>
          <w:color w:val="000000" w:themeColor="text1"/>
          <w:szCs w:val="24"/>
        </w:rPr>
        <w:t xml:space="preserve"> </w:t>
      </w:r>
      <w:r w:rsidRPr="002D122C">
        <w:rPr>
          <w:color w:val="000000" w:themeColor="text1"/>
          <w:szCs w:val="24"/>
        </w:rPr>
        <w:t>—</w:t>
      </w:r>
      <w:r>
        <w:rPr>
          <w:color w:val="000000" w:themeColor="text1"/>
          <w:szCs w:val="24"/>
        </w:rPr>
        <w:t xml:space="preserve"> </w:t>
      </w:r>
      <w:r w:rsidRPr="002D122C">
        <w:rPr>
          <w:color w:val="000000" w:themeColor="text1"/>
          <w:szCs w:val="24"/>
        </w:rPr>
        <w:t>would deliver measurable environmental improvements and stable, investable revenues, while safeguarding competitiveness and social fairness.</w:t>
      </w:r>
    </w:p>
    <w:p w14:paraId="49C697F2" w14:textId="342CE990" w:rsidR="002D122C" w:rsidRPr="002D122C" w:rsidRDefault="002D122C" w:rsidP="002D122C">
      <w:pPr>
        <w:rPr>
          <w:color w:val="000000" w:themeColor="text1"/>
          <w:szCs w:val="24"/>
        </w:rPr>
      </w:pPr>
      <w:r w:rsidRPr="002D122C">
        <w:rPr>
          <w:color w:val="000000" w:themeColor="text1"/>
          <w:szCs w:val="24"/>
        </w:rPr>
        <w:t xml:space="preserve">Introducing new resource taxes in Sweden presents both environmental opportunities and political challenges. A </w:t>
      </w:r>
      <w:r w:rsidRPr="002D122C">
        <w:rPr>
          <w:b/>
          <w:bCs/>
          <w:color w:val="000000" w:themeColor="text1"/>
          <w:szCs w:val="24"/>
        </w:rPr>
        <w:t>tax on timber</w:t>
      </w:r>
      <w:r w:rsidRPr="002D122C">
        <w:rPr>
          <w:color w:val="000000" w:themeColor="text1"/>
          <w:szCs w:val="24"/>
        </w:rPr>
        <w:t xml:space="preserve"> could, in principle, generate positive climate and biodiversity outcomes by discouraging overharvesting and incentivising sustainable forest management. However, its implementation would be politically difficult. Since the onset of Russia’s invasion of Ukraine, Russian timber exports have fallen sharply, while Swedish exports have increased, boosting domestic revenues and reinforcing the economic importance of the forestry sector. At the same time, growing substitution of wood for concrete and steel in construction has further increased demand for timber. Against this backdrop, any new fiscal burden on the sector would be contentious. The forestry industry remains largely unregulated by market-based instruments, and despite recognition of the environmental need for stronger governance, there is currently little political momentum to introduce such measures.</w:t>
      </w:r>
    </w:p>
    <w:p w14:paraId="7C2F3955" w14:textId="250B0E36" w:rsidR="002D122C" w:rsidRPr="002D122C" w:rsidRDefault="002D122C" w:rsidP="002D122C">
      <w:pPr>
        <w:rPr>
          <w:color w:val="000000" w:themeColor="text1"/>
          <w:szCs w:val="24"/>
        </w:rPr>
      </w:pPr>
      <w:r w:rsidRPr="002D122C">
        <w:rPr>
          <w:color w:val="000000" w:themeColor="text1"/>
          <w:szCs w:val="24"/>
        </w:rPr>
        <w:t xml:space="preserve">Similarly, there is </w:t>
      </w:r>
      <w:r w:rsidRPr="002D122C">
        <w:rPr>
          <w:b/>
          <w:bCs/>
          <w:color w:val="000000" w:themeColor="text1"/>
          <w:szCs w:val="24"/>
        </w:rPr>
        <w:t>no active discussion of reintroducing the fertiliser tax</w:t>
      </w:r>
      <w:r w:rsidRPr="002D122C">
        <w:rPr>
          <w:color w:val="000000" w:themeColor="text1"/>
          <w:szCs w:val="24"/>
        </w:rPr>
        <w:t>, which was abolished in 2009. Policymakers view it as politically sensitive due to its potential impact on farmers’ production costs and Sweden’s agricultural self-sufficiency. With national elections scheduled for September 2026, the government is unlikely to reopen the issue before then, and even after the elections, strong opposition from the farming sector can be expected. The main counterargument centres on competitiveness: farmers warn that the tax would raise domestic prices, making imported produce more competitive and potentially undermining local production. The current government’s priority is to safeguard economic competitiveness and protect vulnerable sectors, particularly agriculture.</w:t>
      </w:r>
    </w:p>
    <w:p w14:paraId="3AB7595B" w14:textId="44D0C46A" w:rsidR="002D122C" w:rsidRPr="002D122C" w:rsidRDefault="002D122C" w:rsidP="002D122C">
      <w:pPr>
        <w:rPr>
          <w:color w:val="000000" w:themeColor="text1"/>
          <w:szCs w:val="24"/>
        </w:rPr>
      </w:pPr>
      <w:r w:rsidRPr="002D122C">
        <w:rPr>
          <w:color w:val="000000" w:themeColor="text1"/>
          <w:szCs w:val="24"/>
        </w:rPr>
        <w:t xml:space="preserve">Overall, the </w:t>
      </w:r>
      <w:r w:rsidRPr="002D122C">
        <w:rPr>
          <w:b/>
          <w:bCs/>
          <w:color w:val="000000" w:themeColor="text1"/>
          <w:szCs w:val="24"/>
        </w:rPr>
        <w:t>public and political appetite for new environmental taxes is limited</w:t>
      </w:r>
      <w:r w:rsidRPr="002D122C">
        <w:rPr>
          <w:color w:val="000000" w:themeColor="text1"/>
          <w:szCs w:val="24"/>
        </w:rPr>
        <w:t xml:space="preserve"> in the current context. Policymakers are cautious about introducing measures that could be perceived as burdensome during a period of economic uncertainty and inflationary pressure. There is, however, an emerging policy debate on ways to </w:t>
      </w:r>
      <w:r w:rsidRPr="002D122C">
        <w:rPr>
          <w:b/>
          <w:bCs/>
          <w:color w:val="000000" w:themeColor="text1"/>
          <w:szCs w:val="24"/>
        </w:rPr>
        <w:t>enhance the acceptability of environmental taxation</w:t>
      </w:r>
      <w:r w:rsidRPr="002D122C">
        <w:rPr>
          <w:color w:val="000000" w:themeColor="text1"/>
          <w:szCs w:val="24"/>
        </w:rPr>
        <w:t xml:space="preserve">, notably </w:t>
      </w:r>
      <w:r w:rsidRPr="002D122C">
        <w:rPr>
          <w:color w:val="000000" w:themeColor="text1"/>
          <w:szCs w:val="24"/>
        </w:rPr>
        <w:lastRenderedPageBreak/>
        <w:t>through mechanisms that return part of the revenues to households and firms affected by higher costs</w:t>
      </w:r>
      <w:r>
        <w:rPr>
          <w:color w:val="000000" w:themeColor="text1"/>
          <w:szCs w:val="24"/>
        </w:rPr>
        <w:t xml:space="preserve">, </w:t>
      </w:r>
      <w:r w:rsidRPr="002D122C">
        <w:rPr>
          <w:color w:val="000000" w:themeColor="text1"/>
          <w:szCs w:val="24"/>
        </w:rPr>
        <w:t>such as rebates or tax credits linked to CO₂ taxation. Such approaches, by making revenue recycling more visible and equitable, could help rebuild public trust and lay the groundwork for broader acceptance of environmental fiscal reform in the medium term.</w:t>
      </w:r>
    </w:p>
    <w:p w14:paraId="04738D86" w14:textId="2BC08EF6" w:rsidR="0084521B" w:rsidRPr="0084521B" w:rsidRDefault="0084521B" w:rsidP="0084521B">
      <w:pPr>
        <w:sectPr w:rsidR="0084521B" w:rsidRPr="0084521B" w:rsidSect="00FD2B9A">
          <w:pgSz w:w="11906" w:h="16838"/>
          <w:pgMar w:top="851" w:right="1440" w:bottom="1418" w:left="1440" w:header="709" w:footer="709" w:gutter="0"/>
          <w:cols w:space="708"/>
          <w:docGrid w:linePitch="360"/>
        </w:sectPr>
      </w:pPr>
    </w:p>
    <w:p w14:paraId="69F6A497" w14:textId="57A74356" w:rsidR="009160EA" w:rsidRPr="00EA4C9B" w:rsidRDefault="009160EA" w:rsidP="009160EA">
      <w:pPr>
        <w:jc w:val="right"/>
      </w:pPr>
    </w:p>
    <w:p w14:paraId="46CF1C40" w14:textId="2C5DCB83" w:rsidR="00641E47" w:rsidRPr="00EA4C9B" w:rsidRDefault="00641E47" w:rsidP="009160EA">
      <w:pPr>
        <w:jc w:val="right"/>
      </w:pPr>
    </w:p>
    <w:p w14:paraId="255528F9" w14:textId="31C73F9A" w:rsidR="00641E47" w:rsidRPr="00EA4C9B" w:rsidRDefault="00641E47" w:rsidP="009160EA">
      <w:pPr>
        <w:jc w:val="right"/>
      </w:pPr>
    </w:p>
    <w:p w14:paraId="43DFCF96" w14:textId="518F545B" w:rsidR="00641E47" w:rsidRPr="00EA4C9B" w:rsidRDefault="00641E47" w:rsidP="009160EA">
      <w:pPr>
        <w:jc w:val="right"/>
      </w:pPr>
    </w:p>
    <w:p w14:paraId="02A40BC4" w14:textId="22C2AFD0" w:rsidR="00641E47" w:rsidRPr="00EA4C9B" w:rsidRDefault="00641E47" w:rsidP="009160EA">
      <w:pPr>
        <w:jc w:val="right"/>
      </w:pPr>
    </w:p>
    <w:p w14:paraId="21DF8D77" w14:textId="5ED657EA" w:rsidR="00641E47" w:rsidRPr="00EA4C9B" w:rsidRDefault="00641E47" w:rsidP="009160EA">
      <w:pPr>
        <w:jc w:val="right"/>
      </w:pPr>
    </w:p>
    <w:p w14:paraId="5FF78805" w14:textId="40928933" w:rsidR="00641E47" w:rsidRPr="00EA4C9B" w:rsidRDefault="00641E47" w:rsidP="009160EA">
      <w:pPr>
        <w:jc w:val="right"/>
      </w:pPr>
    </w:p>
    <w:p w14:paraId="50A63FD8" w14:textId="1064961A" w:rsidR="00641E47" w:rsidRPr="00EA4C9B" w:rsidRDefault="00641E47" w:rsidP="009160EA">
      <w:pPr>
        <w:jc w:val="right"/>
      </w:pPr>
    </w:p>
    <w:p w14:paraId="7DDF126C" w14:textId="6C0910A0" w:rsidR="00641E47" w:rsidRPr="00EA4C9B" w:rsidRDefault="00641E47" w:rsidP="009160EA">
      <w:pPr>
        <w:jc w:val="right"/>
      </w:pPr>
    </w:p>
    <w:p w14:paraId="32CFC888" w14:textId="6F18689F" w:rsidR="00641E47" w:rsidRPr="00EA4C9B" w:rsidRDefault="00641E47" w:rsidP="009160EA">
      <w:pPr>
        <w:jc w:val="right"/>
      </w:pPr>
    </w:p>
    <w:p w14:paraId="16728663" w14:textId="2AEB723C" w:rsidR="00641E47" w:rsidRPr="00EA4C9B" w:rsidRDefault="00641E47" w:rsidP="009160EA">
      <w:pPr>
        <w:jc w:val="right"/>
      </w:pPr>
    </w:p>
    <w:p w14:paraId="258A410A" w14:textId="0A904C31" w:rsidR="00641E47" w:rsidRPr="00EA4C9B" w:rsidRDefault="00641E47" w:rsidP="009160EA">
      <w:pPr>
        <w:jc w:val="right"/>
      </w:pPr>
    </w:p>
    <w:p w14:paraId="5CC7997D" w14:textId="246984A4" w:rsidR="00641E47" w:rsidRPr="00EA4C9B" w:rsidRDefault="00641E47" w:rsidP="009160EA">
      <w:pPr>
        <w:jc w:val="right"/>
      </w:pPr>
    </w:p>
    <w:p w14:paraId="7F1248D6" w14:textId="49B9500B" w:rsidR="00641E47" w:rsidRPr="00EA4C9B" w:rsidRDefault="00641E47" w:rsidP="009160EA">
      <w:pPr>
        <w:jc w:val="right"/>
      </w:pPr>
    </w:p>
    <w:p w14:paraId="65409D78" w14:textId="7004D36F" w:rsidR="00641E47" w:rsidRPr="00EA4C9B" w:rsidRDefault="00641E47" w:rsidP="009160EA">
      <w:pPr>
        <w:jc w:val="right"/>
      </w:pPr>
    </w:p>
    <w:p w14:paraId="2913424D" w14:textId="61B8ABB3" w:rsidR="00641E47" w:rsidRPr="00EA4C9B" w:rsidRDefault="00641E47" w:rsidP="003547F8"/>
    <w:p w14:paraId="624013FF" w14:textId="23DD9942" w:rsidR="00641E47" w:rsidRPr="00EA4C9B" w:rsidRDefault="00641E47" w:rsidP="003547F8"/>
    <w:p w14:paraId="074D3CB7" w14:textId="391EF3C0" w:rsidR="003547F8" w:rsidRPr="00EA4C9B" w:rsidRDefault="003547F8" w:rsidP="009160EA">
      <w:pPr>
        <w:jc w:val="right"/>
      </w:pPr>
    </w:p>
    <w:p w14:paraId="7379DA39" w14:textId="77777777" w:rsidR="003547F8" w:rsidRPr="00EA4C9B" w:rsidRDefault="003547F8" w:rsidP="009160EA">
      <w:pPr>
        <w:jc w:val="right"/>
      </w:pPr>
    </w:p>
    <w:p w14:paraId="6D632851" w14:textId="336FD0FF" w:rsidR="00641E47" w:rsidRPr="00EA4C9B" w:rsidRDefault="00641E47" w:rsidP="009160EA">
      <w:pPr>
        <w:jc w:val="right"/>
      </w:pPr>
    </w:p>
    <w:p w14:paraId="63B19562" w14:textId="372B4146" w:rsidR="00641E47" w:rsidRPr="00EA4C9B" w:rsidRDefault="00641E47" w:rsidP="009160EA">
      <w:pPr>
        <w:jc w:val="right"/>
      </w:pPr>
    </w:p>
    <w:p w14:paraId="29D5C7DF" w14:textId="77777777" w:rsidR="00641E47" w:rsidRPr="00EA4C9B" w:rsidRDefault="00641E47" w:rsidP="009160EA">
      <w:pPr>
        <w:jc w:val="right"/>
      </w:pPr>
    </w:p>
    <w:p w14:paraId="5ABD692F" w14:textId="298D4EE5" w:rsidR="009160EA" w:rsidRPr="00EA4C9B" w:rsidRDefault="009160EA" w:rsidP="009160EA">
      <w:pPr>
        <w:jc w:val="right"/>
      </w:pPr>
      <w:r w:rsidRPr="00EA4C9B">
        <w:rPr>
          <w:b/>
          <w:noProof/>
          <w:sz w:val="44"/>
          <w:szCs w:val="44"/>
          <w:lang w:eastAsia="fr-BE"/>
        </w:rPr>
        <w:drawing>
          <wp:inline distT="0" distB="0" distL="0" distR="0" wp14:anchorId="4BB659D9" wp14:editId="2DA1AF7A">
            <wp:extent cx="990600" cy="800100"/>
            <wp:effectExtent l="0" t="0" r="0" b="0"/>
            <wp:docPr id="1" name="Picture 6" descr="file:///var/folders/4z/_vny43gn76382d7rzphkx8j80000gn/T/com.microsoft.Word/screenshot.png">
              <a:extLst xmlns:a="http://schemas.openxmlformats.org/drawingml/2006/main">
                <a:ext uri="{FF2B5EF4-FFF2-40B4-BE49-F238E27FC236}">
                  <a16:creationId xmlns:a16="http://schemas.microsoft.com/office/drawing/2014/main" id="{199A73E3-DD53-DD48-B5B2-6ADD2F0A2D4A}"/>
                </a:ext>
              </a:extLst>
            </wp:docPr>
            <wp:cNvGraphicFramePr/>
            <a:graphic xmlns:a="http://schemas.openxmlformats.org/drawingml/2006/main">
              <a:graphicData uri="http://schemas.openxmlformats.org/drawingml/2006/picture">
                <pic:pic xmlns:pic="http://schemas.openxmlformats.org/drawingml/2006/picture">
                  <pic:nvPicPr>
                    <pic:cNvPr id="7" name="Picture 6" descr="file:///var/folders/4z/_vny43gn76382d7rzphkx8j80000gn/T/com.microsoft.Word/screenshot.png">
                      <a:extLst>
                        <a:ext uri="{FF2B5EF4-FFF2-40B4-BE49-F238E27FC236}">
                          <a16:creationId xmlns:a16="http://schemas.microsoft.com/office/drawing/2014/main" id="{199A73E3-DD53-DD48-B5B2-6ADD2F0A2D4A}"/>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990600" cy="800100"/>
                    </a:xfrm>
                    <a:prstGeom prst="rect">
                      <a:avLst/>
                    </a:prstGeom>
                  </pic:spPr>
                </pic:pic>
              </a:graphicData>
            </a:graphic>
          </wp:inline>
        </w:drawing>
      </w:r>
    </w:p>
    <w:p w14:paraId="2F79226B" w14:textId="77777777" w:rsidR="009160EA" w:rsidRPr="000004C0" w:rsidRDefault="009160EA" w:rsidP="009160EA">
      <w:pPr>
        <w:spacing w:after="0"/>
        <w:jc w:val="right"/>
        <w:rPr>
          <w:lang w:val="es-ES"/>
        </w:rPr>
      </w:pPr>
      <w:r w:rsidRPr="000004C0">
        <w:rPr>
          <w:lang w:val="es-ES"/>
        </w:rPr>
        <w:t>RPA Europe</w:t>
      </w:r>
    </w:p>
    <w:p w14:paraId="1DBEA9E6" w14:textId="6BCBBB4B" w:rsidR="003547F8" w:rsidRPr="000004C0" w:rsidRDefault="009160EA" w:rsidP="003547F8">
      <w:pPr>
        <w:spacing w:after="0"/>
        <w:jc w:val="right"/>
        <w:rPr>
          <w:lang w:val="es-ES"/>
        </w:rPr>
      </w:pPr>
      <w:r w:rsidRPr="000004C0">
        <w:rPr>
          <w:lang w:val="es-ES"/>
        </w:rPr>
        <w:t xml:space="preserve">Via </w:t>
      </w:r>
      <w:r w:rsidR="00EE762D" w:rsidRPr="000004C0">
        <w:rPr>
          <w:lang w:val="es-ES"/>
        </w:rPr>
        <w:t xml:space="preserve">F. </w:t>
      </w:r>
      <w:r w:rsidRPr="000004C0">
        <w:rPr>
          <w:lang w:val="es-ES"/>
        </w:rPr>
        <w:t>Turati 8, 20121 Milan (Italy)</w:t>
      </w:r>
    </w:p>
    <w:p w14:paraId="2670A192" w14:textId="7D1374E7" w:rsidR="00EE762D" w:rsidRPr="002D122C" w:rsidRDefault="00EE762D" w:rsidP="003547F8">
      <w:pPr>
        <w:spacing w:after="0"/>
        <w:jc w:val="right"/>
      </w:pPr>
      <w:hyperlink r:id="rId143" w:history="1">
        <w:r w:rsidRPr="002D122C">
          <w:rPr>
            <w:rStyle w:val="Hyperlink"/>
          </w:rPr>
          <w:t>www.rpa-europe.eu</w:t>
        </w:r>
      </w:hyperlink>
    </w:p>
    <w:sectPr w:rsidR="00EE762D" w:rsidRPr="002D122C" w:rsidSect="00C965EB">
      <w:headerReference w:type="even" r:id="rId144"/>
      <w:headerReference w:type="default" r:id="rId145"/>
      <w:footerReference w:type="default" r:id="rId146"/>
      <w:headerReference w:type="first" r:id="rId147"/>
      <w:pgSz w:w="11906" w:h="16838"/>
      <w:pgMar w:top="851"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5496C" w14:textId="77777777" w:rsidR="00703CB0" w:rsidRPr="00EA4C9B" w:rsidRDefault="00703CB0" w:rsidP="00D40E67">
      <w:pPr>
        <w:spacing w:after="0"/>
      </w:pPr>
      <w:r w:rsidRPr="00EA4C9B">
        <w:separator/>
      </w:r>
    </w:p>
    <w:p w14:paraId="1D0E889B" w14:textId="77777777" w:rsidR="00703CB0" w:rsidRPr="00EA4C9B" w:rsidRDefault="00703CB0"/>
  </w:endnote>
  <w:endnote w:type="continuationSeparator" w:id="0">
    <w:p w14:paraId="523EEEC6" w14:textId="77777777" w:rsidR="00703CB0" w:rsidRPr="00EA4C9B" w:rsidRDefault="00703CB0" w:rsidP="00D40E67">
      <w:pPr>
        <w:spacing w:after="0"/>
      </w:pPr>
      <w:r w:rsidRPr="00EA4C9B">
        <w:continuationSeparator/>
      </w:r>
    </w:p>
    <w:p w14:paraId="535AFB2B" w14:textId="77777777" w:rsidR="00703CB0" w:rsidRPr="00EA4C9B" w:rsidRDefault="00703CB0"/>
  </w:endnote>
  <w:endnote w:type="continuationNotice" w:id="1">
    <w:p w14:paraId="32EC5C6D" w14:textId="77777777" w:rsidR="00703CB0" w:rsidRPr="00EA4C9B" w:rsidRDefault="00703CB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Open Sans">
    <w:panose1 w:val="020B0604020202020204"/>
    <w:charset w:val="00"/>
    <w:family w:val="swiss"/>
    <w:pitch w:val="variable"/>
    <w:sig w:usb0="E00002EF" w:usb1="4000205B" w:usb2="00000028" w:usb3="00000000" w:csb0="0000019F" w:csb1="00000000"/>
  </w:font>
  <w:font w:name="Aptos">
    <w:panose1 w:val="020B0604020202020204"/>
    <w:charset w:val="00"/>
    <w:family w:val="swiss"/>
    <w:pitch w:val="variable"/>
    <w:sig w:usb0="20000287" w:usb1="00000003" w:usb2="00000000" w:usb3="00000000" w:csb0="0000019F" w:csb1="00000000"/>
  </w:font>
  <w:font w:name="Roboto">
    <w:panose1 w:val="020B0604020202020204"/>
    <w:charset w:val="00"/>
    <w:family w:val="auto"/>
    <w:pitch w:val="variable"/>
    <w:sig w:usb0="E0000AFF" w:usb1="5000217F" w:usb2="00000021" w:usb3="00000000" w:csb0="0000019F" w:csb1="00000000"/>
  </w:font>
  <w:font w:name="Calibri,Bold">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4B9D2" w14:textId="77777777" w:rsidR="00722973" w:rsidRDefault="007229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91261" w14:textId="5A8E6E65" w:rsidR="0094328B" w:rsidRPr="00EA4C9B" w:rsidRDefault="0094328B" w:rsidP="00B16DB2">
    <w:pPr>
      <w:spacing w:after="0"/>
      <w:jc w:val="center"/>
      <w:rPr>
        <w:rFonts w:ascii="Calibri" w:hAnsi="Calibri"/>
        <w:color w:val="FF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3F0F5" w14:textId="77777777" w:rsidR="00722973" w:rsidRDefault="007229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4B58A" w14:textId="37A54680" w:rsidR="0094328B" w:rsidRPr="00EA4C9B" w:rsidRDefault="0094328B" w:rsidP="00B16DB2">
    <w:pPr>
      <w:spacing w:after="0"/>
      <w:jc w:val="center"/>
      <w:rPr>
        <w:rFonts w:ascii="Calibri" w:hAnsi="Calibri"/>
        <w:color w:val="FF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66E48" w14:textId="77777777" w:rsidR="0094328B" w:rsidRPr="00EA4C9B" w:rsidRDefault="0094328B" w:rsidP="00E01A75">
    <w:pPr>
      <w:spacing w:after="0"/>
      <w:jc w:val="center"/>
    </w:pPr>
  </w:p>
  <w:p w14:paraId="24C78A33" w14:textId="77777777" w:rsidR="00872831" w:rsidRPr="00EA4C9B" w:rsidRDefault="00872831" w:rsidP="00872831">
    <w:pPr>
      <w:pStyle w:val="Footer"/>
      <w:pBdr>
        <w:top w:val="single" w:sz="4" w:space="1" w:color="003399"/>
      </w:pBdr>
      <w:jc w:val="center"/>
    </w:pPr>
    <w:r w:rsidRPr="00EA4C9B">
      <w:t>DG ENV - In-depth assessments on environmental priorities to support the greening of the European Semester</w:t>
    </w:r>
  </w:p>
  <w:p w14:paraId="664F01F7" w14:textId="6503845F" w:rsidR="0094328B" w:rsidRPr="00EA4C9B" w:rsidRDefault="0094328B" w:rsidP="00E01A75">
    <w:pPr>
      <w:pBdr>
        <w:top w:val="single" w:sz="4" w:space="1" w:color="003399"/>
      </w:pBdr>
      <w:spacing w:after="0"/>
      <w:jc w:val="center"/>
      <w:rPr>
        <w:rFonts w:ascii="Calibri" w:hAnsi="Calibri"/>
        <w:color w:val="FF0000"/>
        <w:sz w:val="20"/>
        <w:szCs w:val="20"/>
      </w:rPr>
    </w:pPr>
    <w:r w:rsidRPr="00EA4C9B">
      <w:rPr>
        <w:rFonts w:ascii="Calibri" w:hAnsi="Calibri"/>
        <w:color w:val="FF0000"/>
        <w:sz w:val="20"/>
        <w:szCs w:val="20"/>
      </w:rPr>
      <w:t>RPA EUROPE</w:t>
    </w:r>
    <w:r w:rsidRPr="00EA4C9B">
      <w:rPr>
        <w:rFonts w:ascii="Calibri" w:hAnsi="Calibri"/>
        <w:sz w:val="20"/>
        <w:szCs w:val="20"/>
      </w:rPr>
      <w:t xml:space="preserve"> | </w:t>
    </w:r>
    <w:r w:rsidRPr="00EA4C9B">
      <w:rPr>
        <w:rFonts w:ascii="Calibri" w:hAnsi="Calibri"/>
        <w:sz w:val="20"/>
        <w:szCs w:val="20"/>
      </w:rPr>
      <w:fldChar w:fldCharType="begin"/>
    </w:r>
    <w:r w:rsidRPr="00EA4C9B">
      <w:rPr>
        <w:rFonts w:ascii="Calibri" w:hAnsi="Calibri"/>
        <w:sz w:val="20"/>
        <w:szCs w:val="20"/>
      </w:rPr>
      <w:instrText xml:space="preserve"> PAGE   \* MERGEFORMAT </w:instrText>
    </w:r>
    <w:r w:rsidRPr="00EA4C9B">
      <w:rPr>
        <w:rFonts w:ascii="Calibri" w:hAnsi="Calibri"/>
        <w:sz w:val="20"/>
        <w:szCs w:val="20"/>
      </w:rPr>
      <w:fldChar w:fldCharType="separate"/>
    </w:r>
    <w:r w:rsidR="003B0853" w:rsidRPr="00EA4C9B">
      <w:rPr>
        <w:rFonts w:ascii="Calibri" w:hAnsi="Calibri"/>
        <w:sz w:val="20"/>
        <w:szCs w:val="20"/>
      </w:rPr>
      <w:t>25</w:t>
    </w:r>
    <w:r w:rsidRPr="00EA4C9B">
      <w:rPr>
        <w:rFonts w:ascii="Calibri" w:hAnsi="Calibri"/>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2CBCF" w14:textId="77777777" w:rsidR="00AC5CC9" w:rsidRPr="00EA4C9B" w:rsidRDefault="00AC5CC9" w:rsidP="00E01A75">
    <w:pPr>
      <w:spacing w:after="0"/>
      <w:jc w:val="center"/>
    </w:pPr>
  </w:p>
  <w:p w14:paraId="26F19845" w14:textId="77777777" w:rsidR="00AC5CC9" w:rsidRPr="00EA4C9B" w:rsidRDefault="00AC5CC9" w:rsidP="00872831">
    <w:pPr>
      <w:pStyle w:val="Footer"/>
      <w:pBdr>
        <w:top w:val="single" w:sz="4" w:space="1" w:color="003399"/>
      </w:pBdr>
      <w:jc w:val="center"/>
    </w:pPr>
    <w:r w:rsidRPr="00EA4C9B">
      <w:t>DG ENV - In-depth assessments on environmental priorities to support the greening of the European Semester</w:t>
    </w:r>
  </w:p>
  <w:p w14:paraId="1D6B6144" w14:textId="77777777" w:rsidR="00AC5CC9" w:rsidRPr="00EA4C9B" w:rsidRDefault="00AC5CC9" w:rsidP="00E01A75">
    <w:pPr>
      <w:pBdr>
        <w:top w:val="single" w:sz="4" w:space="1" w:color="003399"/>
      </w:pBdr>
      <w:spacing w:after="0"/>
      <w:jc w:val="center"/>
      <w:rPr>
        <w:rFonts w:ascii="Calibri" w:hAnsi="Calibri"/>
        <w:color w:val="FF0000"/>
        <w:sz w:val="20"/>
        <w:szCs w:val="20"/>
      </w:rPr>
    </w:pPr>
    <w:r w:rsidRPr="00EA4C9B">
      <w:rPr>
        <w:rFonts w:ascii="Calibri" w:hAnsi="Calibri"/>
        <w:color w:val="FF0000"/>
        <w:sz w:val="20"/>
        <w:szCs w:val="20"/>
      </w:rPr>
      <w:t>RPA EUROPE</w:t>
    </w:r>
    <w:r w:rsidRPr="00EA4C9B">
      <w:rPr>
        <w:rFonts w:ascii="Calibri" w:hAnsi="Calibri"/>
        <w:sz w:val="20"/>
        <w:szCs w:val="20"/>
      </w:rPr>
      <w:t xml:space="preserve"> | </w:t>
    </w:r>
    <w:r w:rsidRPr="00EA4C9B">
      <w:rPr>
        <w:rFonts w:ascii="Calibri" w:hAnsi="Calibri"/>
        <w:sz w:val="20"/>
        <w:szCs w:val="20"/>
      </w:rPr>
      <w:fldChar w:fldCharType="begin"/>
    </w:r>
    <w:r w:rsidRPr="00EA4C9B">
      <w:rPr>
        <w:rFonts w:ascii="Calibri" w:hAnsi="Calibri"/>
        <w:sz w:val="20"/>
        <w:szCs w:val="20"/>
      </w:rPr>
      <w:instrText xml:space="preserve"> PAGE   \* MERGEFORMAT </w:instrText>
    </w:r>
    <w:r w:rsidRPr="00EA4C9B">
      <w:rPr>
        <w:rFonts w:ascii="Calibri" w:hAnsi="Calibri"/>
        <w:sz w:val="20"/>
        <w:szCs w:val="20"/>
      </w:rPr>
      <w:fldChar w:fldCharType="separate"/>
    </w:r>
    <w:r w:rsidRPr="00EA4C9B">
      <w:rPr>
        <w:rFonts w:ascii="Calibri" w:hAnsi="Calibri"/>
        <w:sz w:val="20"/>
        <w:szCs w:val="20"/>
      </w:rPr>
      <w:t>25</w:t>
    </w:r>
    <w:r w:rsidRPr="00EA4C9B">
      <w:rPr>
        <w:rFonts w:ascii="Calibri" w:hAnsi="Calibri"/>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A039B" w14:textId="588920E2" w:rsidR="005177D9" w:rsidRPr="00EA4C9B" w:rsidRDefault="005177D9" w:rsidP="005177D9">
    <w:pPr>
      <w:spacing w:after="0"/>
      <w:jc w:val="center"/>
      <w:rPr>
        <w:rFonts w:ascii="Calibri" w:hAnsi="Calibri"/>
        <w:color w:val="FF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427D1" w14:textId="77777777" w:rsidR="00703CB0" w:rsidRPr="00EA4C9B" w:rsidRDefault="00703CB0" w:rsidP="00D40E67">
      <w:pPr>
        <w:spacing w:after="0"/>
      </w:pPr>
      <w:r w:rsidRPr="00EA4C9B">
        <w:separator/>
      </w:r>
    </w:p>
  </w:footnote>
  <w:footnote w:type="continuationSeparator" w:id="0">
    <w:p w14:paraId="0D0D4844" w14:textId="77777777" w:rsidR="00703CB0" w:rsidRPr="00EA4C9B" w:rsidRDefault="00703CB0" w:rsidP="00D40E67">
      <w:pPr>
        <w:spacing w:after="0"/>
      </w:pPr>
      <w:r w:rsidRPr="00EA4C9B">
        <w:continuationSeparator/>
      </w:r>
    </w:p>
    <w:p w14:paraId="519A1F49" w14:textId="77777777" w:rsidR="00703CB0" w:rsidRPr="00EA4C9B" w:rsidRDefault="00703CB0" w:rsidP="00896437">
      <w:pPr>
        <w:spacing w:after="0"/>
      </w:pPr>
    </w:p>
  </w:footnote>
  <w:footnote w:type="continuationNotice" w:id="1">
    <w:p w14:paraId="773B8D1B" w14:textId="77777777" w:rsidR="00703CB0" w:rsidRPr="00EA4C9B" w:rsidRDefault="00703CB0">
      <w:pPr>
        <w:spacing w:after="0"/>
      </w:pPr>
    </w:p>
  </w:footnote>
  <w:footnote w:id="2">
    <w:p w14:paraId="4934F894" w14:textId="77777777" w:rsidR="00C97CBB" w:rsidRDefault="00C97CBB" w:rsidP="00C97CBB">
      <w:pPr>
        <w:pStyle w:val="FootnoteText"/>
      </w:pPr>
      <w:r>
        <w:rPr>
          <w:rStyle w:val="FootnoteReference"/>
        </w:rPr>
        <w:footnoteRef/>
      </w:r>
      <w:r>
        <w:t xml:space="preserve"> </w:t>
      </w:r>
      <w:r>
        <w:tab/>
      </w:r>
      <w:r w:rsidRPr="00C97CBB">
        <w:t>The comparison is expressed in real terms, meaning that figures are adjusted for inflation. The 27.5% increase refers to growth in constant prices over 2009–2023</w:t>
      </w:r>
      <w:r>
        <w:t>.</w:t>
      </w:r>
    </w:p>
  </w:footnote>
  <w:footnote w:id="3">
    <w:p w14:paraId="64336A73" w14:textId="77777777" w:rsidR="00C97CBB" w:rsidRPr="00EA4C9B" w:rsidRDefault="00C97CBB" w:rsidP="00C97CBB">
      <w:pPr>
        <w:pStyle w:val="Footnotes"/>
      </w:pPr>
      <w:r w:rsidRPr="00EA4C9B">
        <w:rPr>
          <w:rStyle w:val="FootnoteReference"/>
        </w:rPr>
        <w:footnoteRef/>
      </w:r>
      <w:r w:rsidRPr="00EA4C9B">
        <w:t xml:space="preserve"> </w:t>
      </w:r>
      <w:r w:rsidRPr="00EA4C9B">
        <w:tab/>
      </w:r>
      <w:r w:rsidRPr="00476EC5">
        <w:t>It is important to note here that these numbers are not in line with what Statistik Austria, the national statistical institute, reports. According to their numbers, resource taxes have a share of 8% of environmental taxes, and pollution taxes are negligible (only targeting waste), amounting to 0.6% of environmental taxes. This is the result of differing definitions of environmental taxes, like the inclusion of certain charges and fees. While no data from Statistik Austria could be used to complement this factsheet for lack of comparability, contextual information was used for the analysis. In addition, the environmental taxes reported in the National Tax List differ from both Eurostat and Statistik Austria data.</w:t>
      </w:r>
      <w:r w:rsidRPr="00EA4C9B">
        <w:t xml:space="preserve"> </w:t>
      </w:r>
    </w:p>
  </w:footnote>
  <w:footnote w:id="4">
    <w:p w14:paraId="3B0A6D2D" w14:textId="77777777" w:rsidR="00E908F5" w:rsidRPr="00EA4C9B" w:rsidRDefault="00E908F5" w:rsidP="00E908F5">
      <w:pPr>
        <w:pStyle w:val="FootnoteText"/>
      </w:pPr>
      <w:r w:rsidRPr="00EA4C9B">
        <w:rPr>
          <w:rStyle w:val="FootnoteReference"/>
        </w:rPr>
        <w:footnoteRef/>
      </w:r>
      <w:r w:rsidRPr="00EA4C9B">
        <w:t xml:space="preserve"> </w:t>
      </w:r>
      <w:r w:rsidRPr="00EA4C9B">
        <w:tab/>
      </w:r>
      <w:hyperlink r:id="rId1" w:history="1">
        <w:r w:rsidRPr="00EA4C9B">
          <w:rPr>
            <w:rStyle w:val="Hyperlink"/>
          </w:rPr>
          <w:t>https://www.altlasten.gv.at/finanzierung/altlastenbeitrag.html</w:t>
        </w:r>
      </w:hyperlink>
      <w:r w:rsidRPr="00EA4C9B">
        <w:t xml:space="preserve"> </w:t>
      </w:r>
    </w:p>
  </w:footnote>
  <w:footnote w:id="5">
    <w:p w14:paraId="1A0B2726" w14:textId="77777777" w:rsidR="00E908F5" w:rsidRPr="00EA4C9B" w:rsidRDefault="00E908F5" w:rsidP="00E908F5">
      <w:pPr>
        <w:pStyle w:val="FootnoteText"/>
      </w:pPr>
      <w:r w:rsidRPr="00EA4C9B">
        <w:rPr>
          <w:rStyle w:val="FootnoteReference"/>
        </w:rPr>
        <w:footnoteRef/>
      </w:r>
      <w:r w:rsidRPr="00EA4C9B">
        <w:t xml:space="preserve"> </w:t>
      </w:r>
      <w:r w:rsidRPr="00EA4C9B">
        <w:tab/>
      </w:r>
      <w:hyperlink r:id="rId2" w:history="1">
        <w:r w:rsidRPr="00EA4C9B">
          <w:rPr>
            <w:rStyle w:val="Hyperlink"/>
          </w:rPr>
          <w:t>https://www.bmf.gv.at/themen/zoll/fuer-unternehmen/altlastenbeitrag.html</w:t>
        </w:r>
      </w:hyperlink>
      <w:r w:rsidRPr="00EA4C9B">
        <w:t xml:space="preserve"> </w:t>
      </w:r>
    </w:p>
  </w:footnote>
  <w:footnote w:id="6">
    <w:p w14:paraId="38E9A171" w14:textId="77777777" w:rsidR="00E908F5" w:rsidRPr="00EA4C9B" w:rsidRDefault="00E908F5" w:rsidP="00E908F5">
      <w:pPr>
        <w:pStyle w:val="FootnoteText"/>
      </w:pPr>
      <w:r w:rsidRPr="00EA4C9B">
        <w:rPr>
          <w:rStyle w:val="FootnoteReference"/>
        </w:rPr>
        <w:footnoteRef/>
      </w:r>
      <w:r w:rsidRPr="00EA4C9B">
        <w:t xml:space="preserve"> </w:t>
      </w:r>
      <w:r w:rsidRPr="00EA4C9B">
        <w:tab/>
      </w:r>
      <w:hyperlink r:id="rId3" w:history="1">
        <w:r w:rsidRPr="00EA4C9B">
          <w:rPr>
            <w:rStyle w:val="Hyperlink"/>
          </w:rPr>
          <w:t>https://www.altlasten.gv.at/finanzierung/altlastenbeitrag.html</w:t>
        </w:r>
      </w:hyperlink>
      <w:r w:rsidRPr="00EA4C9B">
        <w:t xml:space="preserve"> </w:t>
      </w:r>
    </w:p>
  </w:footnote>
  <w:footnote w:id="7">
    <w:p w14:paraId="1CB821B7" w14:textId="6FA86BF0" w:rsidR="0098065E" w:rsidRPr="00EA4C9B" w:rsidRDefault="0098065E" w:rsidP="0098065E">
      <w:pPr>
        <w:pStyle w:val="FootnoteText"/>
      </w:pPr>
      <w:r w:rsidRPr="00EA4C9B">
        <w:rPr>
          <w:rStyle w:val="FootnoteReference"/>
        </w:rPr>
        <w:footnoteRef/>
      </w:r>
      <w:r w:rsidRPr="00EA4C9B">
        <w:t xml:space="preserve"> </w:t>
      </w:r>
      <w:r w:rsidR="000234B6" w:rsidRPr="00EA4C9B">
        <w:tab/>
      </w:r>
      <w:hyperlink r:id="rId4" w:history="1">
        <w:r w:rsidR="000234B6" w:rsidRPr="00EA4C9B">
          <w:rPr>
            <w:rStyle w:val="Hyperlink"/>
          </w:rPr>
          <w:t>https://www.wko.at/wien/verkehr-betriebsstandort/baumschutzgesetz</w:t>
        </w:r>
      </w:hyperlink>
      <w:r w:rsidRPr="00EA4C9B">
        <w:t xml:space="preserve"> </w:t>
      </w:r>
    </w:p>
  </w:footnote>
  <w:footnote w:id="8">
    <w:p w14:paraId="031E98E3" w14:textId="43A7FFF5" w:rsidR="0098065E" w:rsidRPr="00EA4C9B" w:rsidRDefault="0098065E" w:rsidP="0098065E">
      <w:pPr>
        <w:pStyle w:val="FootnoteText"/>
      </w:pPr>
      <w:r w:rsidRPr="00EA4C9B">
        <w:rPr>
          <w:rStyle w:val="FootnoteReference"/>
        </w:rPr>
        <w:footnoteRef/>
      </w:r>
      <w:r w:rsidRPr="00EA4C9B">
        <w:t xml:space="preserve"> </w:t>
      </w:r>
      <w:r w:rsidR="000234B6" w:rsidRPr="00EA4C9B">
        <w:tab/>
      </w:r>
      <w:r w:rsidRPr="00EA4C9B">
        <w:t xml:space="preserve">Salzburger hunting law (Jagdrecht) 2022, accessed 04/06/2025 at </w:t>
      </w:r>
      <w:hyperlink r:id="rId5" w:history="1">
        <w:r w:rsidRPr="00EA4C9B">
          <w:rPr>
            <w:rStyle w:val="Hyperlink"/>
          </w:rPr>
          <w:t>https://www.sbg-jaegerschaft.at/fileadmin/user_upload/Buch_Sbg_Jagdgesetz_Stand_September_2022.pdf</w:t>
        </w:r>
      </w:hyperlink>
      <w:r w:rsidRPr="00EA4C9B">
        <w:t xml:space="preserve"> </w:t>
      </w:r>
    </w:p>
  </w:footnote>
  <w:footnote w:id="9">
    <w:p w14:paraId="6D89C5A3" w14:textId="77777777" w:rsidR="00275DAA" w:rsidRPr="004D72B1" w:rsidRDefault="00275DAA" w:rsidP="00275DAA">
      <w:pPr>
        <w:pStyle w:val="FootnoteText"/>
        <w:jc w:val="left"/>
        <w:rPr>
          <w:lang w:val="de-DE"/>
        </w:rPr>
      </w:pPr>
      <w:r w:rsidRPr="00EA4C9B">
        <w:rPr>
          <w:rStyle w:val="FootnoteReference"/>
        </w:rPr>
        <w:footnoteRef/>
      </w:r>
      <w:r w:rsidRPr="004D72B1">
        <w:rPr>
          <w:lang w:val="de-DE"/>
        </w:rPr>
        <w:t xml:space="preserve"> </w:t>
      </w:r>
      <w:r w:rsidRPr="004D72B1">
        <w:rPr>
          <w:lang w:val="de-DE"/>
        </w:rPr>
        <w:tab/>
        <w:t xml:space="preserve">Landesrecht konsolidiert Wien: Gesamte Rechtsvorschrift für Wiener Abfallwirtschaftsgesetz, Fassung vom 04.06.2025, accessed 04/06/2025 at </w:t>
      </w:r>
      <w:hyperlink r:id="rId6" w:history="1">
        <w:r w:rsidRPr="004D72B1">
          <w:rPr>
            <w:rStyle w:val="Hyperlink"/>
            <w:lang w:val="de-DE"/>
          </w:rPr>
          <w:t>https://www.ris.bka.gv.at/GeltendeFassung.wxe?Abfrage=LrW&amp;Gesetzesnummer=20000141</w:t>
        </w:r>
      </w:hyperlink>
      <w:r w:rsidRPr="004D72B1">
        <w:rPr>
          <w:lang w:val="de-DE"/>
        </w:rPr>
        <w:t xml:space="preserve"> </w:t>
      </w:r>
    </w:p>
  </w:footnote>
  <w:footnote w:id="10">
    <w:p w14:paraId="596FEBE9" w14:textId="77777777" w:rsidR="00275DAA" w:rsidRPr="004D72B1" w:rsidRDefault="00275DAA" w:rsidP="00275DAA">
      <w:pPr>
        <w:pStyle w:val="FootnoteText"/>
        <w:rPr>
          <w:lang w:val="de-DE"/>
        </w:rPr>
      </w:pPr>
      <w:r w:rsidRPr="00EA4C9B">
        <w:rPr>
          <w:rStyle w:val="FootnoteReference"/>
        </w:rPr>
        <w:footnoteRef/>
      </w:r>
      <w:r w:rsidRPr="004D72B1">
        <w:rPr>
          <w:lang w:val="de-DE"/>
        </w:rPr>
        <w:t xml:space="preserve"> </w:t>
      </w:r>
      <w:r w:rsidRPr="004D72B1">
        <w:rPr>
          <w:lang w:val="de-DE"/>
        </w:rPr>
        <w:tab/>
      </w:r>
      <w:hyperlink r:id="rId7" w:history="1">
        <w:r w:rsidRPr="004D72B1">
          <w:rPr>
            <w:rStyle w:val="Hyperlink"/>
            <w:lang w:val="de-DE"/>
          </w:rPr>
          <w:t>https://www.stadt-salzburg.at/fileadmin/user_upload/04013/abfallwirtschaftsgebuehr_2025.pdf</w:t>
        </w:r>
      </w:hyperlink>
      <w:r w:rsidRPr="004D72B1">
        <w:rPr>
          <w:lang w:val="de-DE"/>
        </w:rPr>
        <w:t xml:space="preserve"> </w:t>
      </w:r>
    </w:p>
  </w:footnote>
  <w:footnote w:id="11">
    <w:p w14:paraId="35BA207D" w14:textId="77777777" w:rsidR="00275DAA" w:rsidRPr="00FF544C" w:rsidRDefault="00275DAA" w:rsidP="00275DAA">
      <w:pPr>
        <w:pStyle w:val="FootnoteText"/>
        <w:rPr>
          <w:lang w:val="it-IT"/>
        </w:rPr>
      </w:pPr>
      <w:r>
        <w:rPr>
          <w:rStyle w:val="FootnoteReference"/>
        </w:rPr>
        <w:footnoteRef/>
      </w:r>
      <w:r w:rsidRPr="00FF544C">
        <w:rPr>
          <w:lang w:val="de-DE"/>
        </w:rPr>
        <w:t xml:space="preserve"> </w:t>
      </w:r>
      <w:r w:rsidRPr="00CD3929">
        <w:rPr>
          <w:i/>
          <w:iCs/>
        </w:rPr>
        <w:t>Austria, 2025 EU waste recycling targets – State of play</w:t>
      </w:r>
      <w:r w:rsidRPr="00CD3929">
        <w:t>, Publications Office of the European Union, 2023, </w:t>
      </w:r>
      <w:hyperlink r:id="rId8" w:tgtFrame="_blank" w:history="1">
        <w:r w:rsidRPr="00FF544C">
          <w:rPr>
            <w:rStyle w:val="Hyperlink"/>
          </w:rPr>
          <w:t>https://data.europa.eu/doi/10.2779/249540</w:t>
        </w:r>
      </w:hyperlink>
    </w:p>
  </w:footnote>
  <w:footnote w:id="12">
    <w:p w14:paraId="5F265291" w14:textId="77777777" w:rsidR="00275DAA" w:rsidRPr="00C305AC" w:rsidRDefault="00275DAA" w:rsidP="00275DAA">
      <w:pPr>
        <w:pStyle w:val="FootnoteText"/>
        <w:rPr>
          <w:lang w:val="fr-BE"/>
        </w:rPr>
      </w:pPr>
      <w:r w:rsidRPr="00EA4C9B">
        <w:rPr>
          <w:rStyle w:val="FootnoteReference"/>
        </w:rPr>
        <w:footnoteRef/>
      </w:r>
      <w:r w:rsidRPr="00C305AC">
        <w:rPr>
          <w:lang w:val="fr-BE"/>
        </w:rPr>
        <w:t xml:space="preserve"> </w:t>
      </w:r>
      <w:r w:rsidRPr="00C305AC">
        <w:rPr>
          <w:lang w:val="fr-BE"/>
        </w:rPr>
        <w:tab/>
      </w:r>
      <w:hyperlink r:id="rId9" w:history="1">
        <w:r w:rsidRPr="00C305AC">
          <w:rPr>
            <w:rStyle w:val="Hyperlink"/>
            <w:lang w:val="fr-BE"/>
          </w:rPr>
          <w:t>https://www.wasserwirtschaft.steiermark.at/cms/beitrag/12799991/160281757</w:t>
        </w:r>
      </w:hyperlink>
      <w:r w:rsidRPr="00C305AC">
        <w:rPr>
          <w:lang w:val="fr-BE"/>
        </w:rPr>
        <w:t xml:space="preserve"> </w:t>
      </w:r>
    </w:p>
  </w:footnote>
  <w:footnote w:id="13">
    <w:p w14:paraId="5C3A5DB0" w14:textId="77777777" w:rsidR="00275DAA" w:rsidRPr="00C305AC" w:rsidRDefault="00275DAA" w:rsidP="00275DAA">
      <w:pPr>
        <w:pStyle w:val="FootnoteText"/>
        <w:rPr>
          <w:lang w:val="fr-BE"/>
        </w:rPr>
      </w:pPr>
      <w:r w:rsidRPr="00EA4C9B">
        <w:rPr>
          <w:rStyle w:val="FootnoteReference"/>
        </w:rPr>
        <w:footnoteRef/>
      </w:r>
      <w:r w:rsidRPr="00C305AC">
        <w:rPr>
          <w:lang w:val="fr-BE"/>
        </w:rPr>
        <w:t xml:space="preserve"> </w:t>
      </w:r>
      <w:r w:rsidRPr="00C305AC">
        <w:rPr>
          <w:lang w:val="fr-BE"/>
        </w:rPr>
        <w:tab/>
      </w:r>
      <w:hyperlink r:id="rId10" w:history="1">
        <w:r w:rsidRPr="00C305AC">
          <w:rPr>
            <w:rStyle w:val="Hyperlink"/>
            <w:lang w:val="fr-BE"/>
          </w:rPr>
          <w:t>https://www.wien.gv.at/amtshelfer/umwelt/wasser/wasseranschluss/abwassergebuehr.html</w:t>
        </w:r>
      </w:hyperlink>
      <w:r w:rsidRPr="00C305AC">
        <w:rPr>
          <w:lang w:val="fr-BE"/>
        </w:rPr>
        <w:t xml:space="preserve"> </w:t>
      </w:r>
    </w:p>
  </w:footnote>
  <w:footnote w:id="14">
    <w:p w14:paraId="3172E351" w14:textId="77777777" w:rsidR="00275DAA" w:rsidRPr="004D72B1" w:rsidRDefault="00275DAA" w:rsidP="00275DAA">
      <w:pPr>
        <w:pStyle w:val="FootnoteText"/>
        <w:rPr>
          <w:lang w:val="de-DE"/>
        </w:rPr>
      </w:pPr>
      <w:r w:rsidRPr="00EA4C9B">
        <w:rPr>
          <w:rStyle w:val="FootnoteReference"/>
        </w:rPr>
        <w:footnoteRef/>
      </w:r>
      <w:r w:rsidRPr="004D72B1">
        <w:rPr>
          <w:lang w:val="de-DE"/>
        </w:rPr>
        <w:t xml:space="preserve"> </w:t>
      </w:r>
      <w:r w:rsidRPr="004D72B1">
        <w:rPr>
          <w:lang w:val="de-DE"/>
        </w:rPr>
        <w:tab/>
        <w:t>STATISTIK AUSTRIA (2025): Umweltgesamtrechnungen: Modul - Öko-Steuern 2023. Zeitreihe 1995 – 2023. Endgültige Ergebnisse. Bundesanstalt Statistik Österreich (STATISTIK AUSTRIA) and Bundesministerium für Klimaschutz, Umwelt, Energie, Mobilität, Innovation und Technologie (BMK).</w:t>
      </w:r>
    </w:p>
  </w:footnote>
  <w:footnote w:id="15">
    <w:p w14:paraId="1F8779BD" w14:textId="77777777" w:rsidR="00275DAA" w:rsidRPr="004D72B1" w:rsidRDefault="00275DAA" w:rsidP="00275DAA">
      <w:pPr>
        <w:pStyle w:val="FootnoteText"/>
        <w:jc w:val="left"/>
        <w:rPr>
          <w:lang w:val="de-DE"/>
        </w:rPr>
      </w:pPr>
      <w:r w:rsidRPr="00EA4C9B">
        <w:rPr>
          <w:rStyle w:val="FootnoteReference"/>
        </w:rPr>
        <w:footnoteRef/>
      </w:r>
      <w:r w:rsidRPr="004D72B1">
        <w:rPr>
          <w:lang w:val="de-DE"/>
        </w:rPr>
        <w:t xml:space="preserve"> </w:t>
      </w:r>
      <w:r w:rsidRPr="004D72B1">
        <w:rPr>
          <w:lang w:val="de-DE"/>
        </w:rPr>
        <w:tab/>
        <w:t xml:space="preserve">Bundesrecht konsolidiert: Gesamte Rechtsvorschrift für Grundsteuergesetz 1955, Fassung vom 04.06.2025, accessed 04/06/2025 at </w:t>
      </w:r>
      <w:hyperlink r:id="rId11" w:history="1">
        <w:r w:rsidRPr="004D72B1">
          <w:rPr>
            <w:rStyle w:val="Hyperlink"/>
            <w:lang w:val="de-DE"/>
          </w:rPr>
          <w:t>https://www.ris.bka.gv.at/GeltendeFassung.wxe?Abfrage=Bundesnormen&amp;Gesetzesnummer=10003845</w:t>
        </w:r>
      </w:hyperlink>
      <w:r w:rsidRPr="004D72B1">
        <w:rPr>
          <w:lang w:val="de-DE"/>
        </w:rPr>
        <w:t xml:space="preserve"> </w:t>
      </w:r>
    </w:p>
  </w:footnote>
  <w:footnote w:id="16">
    <w:p w14:paraId="2B55FCF0" w14:textId="77777777" w:rsidR="00275DAA" w:rsidRPr="004D72B1" w:rsidRDefault="00275DAA" w:rsidP="00275DAA">
      <w:pPr>
        <w:pStyle w:val="FootnoteText"/>
        <w:rPr>
          <w:lang w:val="de-DE"/>
        </w:rPr>
      </w:pPr>
      <w:r w:rsidRPr="00EA4C9B">
        <w:rPr>
          <w:rStyle w:val="FootnoteReference"/>
        </w:rPr>
        <w:footnoteRef/>
      </w:r>
      <w:r w:rsidRPr="004D72B1">
        <w:rPr>
          <w:lang w:val="de-DE"/>
        </w:rPr>
        <w:t xml:space="preserve"> </w:t>
      </w:r>
      <w:r w:rsidRPr="004D72B1">
        <w:rPr>
          <w:lang w:val="de-DE"/>
        </w:rPr>
        <w:tab/>
      </w:r>
      <w:hyperlink r:id="rId12" w:history="1">
        <w:r w:rsidRPr="004D72B1">
          <w:rPr>
            <w:rStyle w:val="Hyperlink"/>
            <w:lang w:val="de-DE"/>
          </w:rPr>
          <w:t>https://www.bmf.gv.at/themen/steuern/immobilien-grundstuecke/grundbesitzabgaben-einheitsbewertung/grundsteuer.html</w:t>
        </w:r>
      </w:hyperlink>
      <w:r w:rsidRPr="004D72B1">
        <w:rPr>
          <w:lang w:val="de-DE"/>
        </w:rPr>
        <w:t xml:space="preserve"> </w:t>
      </w:r>
    </w:p>
  </w:footnote>
  <w:footnote w:id="17">
    <w:p w14:paraId="7ADF1EF9" w14:textId="04CF6582" w:rsidR="0098065E" w:rsidRPr="004D72B1" w:rsidRDefault="0098065E" w:rsidP="0098065E">
      <w:pPr>
        <w:pStyle w:val="FootnoteText"/>
        <w:rPr>
          <w:lang w:val="de-DE"/>
        </w:rPr>
      </w:pPr>
      <w:r w:rsidRPr="00EA4C9B">
        <w:rPr>
          <w:rStyle w:val="FootnoteReference"/>
        </w:rPr>
        <w:footnoteRef/>
      </w:r>
      <w:r w:rsidRPr="004D72B1">
        <w:rPr>
          <w:lang w:val="de-DE"/>
        </w:rPr>
        <w:t xml:space="preserve"> </w:t>
      </w:r>
      <w:r w:rsidR="008D3693" w:rsidRPr="004D72B1">
        <w:rPr>
          <w:lang w:val="de-DE"/>
        </w:rPr>
        <w:tab/>
      </w:r>
      <w:r w:rsidRPr="004D72B1">
        <w:rPr>
          <w:lang w:val="de-DE"/>
        </w:rPr>
        <w:t xml:space="preserve">See Landesrecht konsolidiert Tirol: Gesamte Rechtsvorschrift für Naturschutzgesetz 2005 - TNSchG 2005, Tiroler, Fassung vom 07.05.2023, accessed 04/06/2025 at </w:t>
      </w:r>
      <w:hyperlink r:id="rId13" w:history="1">
        <w:r w:rsidRPr="004D72B1">
          <w:rPr>
            <w:rStyle w:val="Hyperlink"/>
            <w:lang w:val="de-DE"/>
          </w:rPr>
          <w:t>https://ris.bka.gv.at/GeltendeFassung.wxe?Abfrage=LrT&amp;Gesetzesnummer=20000252&amp;FassungVom=2023-05-07</w:t>
        </w:r>
      </w:hyperlink>
      <w:r w:rsidRPr="004D72B1">
        <w:rPr>
          <w:lang w:val="de-DE"/>
        </w:rPr>
        <w:t xml:space="preserve"> </w:t>
      </w:r>
    </w:p>
  </w:footnote>
  <w:footnote w:id="18">
    <w:p w14:paraId="08AD42A1" w14:textId="7E0237D1" w:rsidR="0098065E" w:rsidRPr="004D72B1" w:rsidRDefault="0098065E" w:rsidP="008D3693">
      <w:pPr>
        <w:pStyle w:val="FootnoteText"/>
        <w:rPr>
          <w:lang w:val="de-DE"/>
        </w:rPr>
      </w:pPr>
      <w:r w:rsidRPr="00EA4C9B">
        <w:rPr>
          <w:rStyle w:val="FootnoteReference"/>
        </w:rPr>
        <w:footnoteRef/>
      </w:r>
      <w:r w:rsidRPr="004D72B1">
        <w:rPr>
          <w:lang w:val="de-DE"/>
        </w:rPr>
        <w:t xml:space="preserve"> </w:t>
      </w:r>
      <w:r w:rsidR="008D3693" w:rsidRPr="004D72B1">
        <w:rPr>
          <w:lang w:val="de-DE"/>
        </w:rPr>
        <w:tab/>
      </w:r>
      <w:r w:rsidRPr="004D72B1">
        <w:rPr>
          <w:lang w:val="de-DE"/>
        </w:rPr>
        <w:t xml:space="preserve">See Landesrecht konsolidiert Vorarlberg: Gesamte Rechtsvorschrift für Gesetz über Naturschutz und Landschaftsentwicklung, Fassung vom 04.06.2025, accessed 04/06/2025 at </w:t>
      </w:r>
      <w:hyperlink r:id="rId14" w:history="1">
        <w:r w:rsidRPr="004D72B1">
          <w:rPr>
            <w:rStyle w:val="Hyperlink"/>
            <w:lang w:val="de-DE"/>
          </w:rPr>
          <w:t>https://www.ris.bka.gv.at/GeltendeFassung.wxe?Abfrage=LrVbg&amp;Gesetzesnummer=20000466</w:t>
        </w:r>
      </w:hyperlink>
      <w:r w:rsidRPr="004D72B1">
        <w:rPr>
          <w:lang w:val="de-DE"/>
        </w:rPr>
        <w:t xml:space="preserve"> </w:t>
      </w:r>
    </w:p>
  </w:footnote>
  <w:footnote w:id="19">
    <w:p w14:paraId="79E1C3FF" w14:textId="36243A66" w:rsidR="0098065E" w:rsidRPr="00C305AC" w:rsidRDefault="0098065E" w:rsidP="0098065E">
      <w:pPr>
        <w:pStyle w:val="FootnoteText"/>
        <w:rPr>
          <w:lang w:val="fr-BE"/>
        </w:rPr>
      </w:pPr>
      <w:r w:rsidRPr="00EA4C9B">
        <w:rPr>
          <w:rStyle w:val="FootnoteReference"/>
        </w:rPr>
        <w:footnoteRef/>
      </w:r>
      <w:r w:rsidRPr="00C305AC">
        <w:rPr>
          <w:lang w:val="fr-BE"/>
        </w:rPr>
        <w:t xml:space="preserve"> </w:t>
      </w:r>
      <w:r w:rsidR="008D3693" w:rsidRPr="00C305AC">
        <w:rPr>
          <w:lang w:val="fr-BE"/>
        </w:rPr>
        <w:tab/>
      </w:r>
      <w:r w:rsidRPr="00C305AC">
        <w:rPr>
          <w:lang w:val="fr-BE"/>
        </w:rPr>
        <w:t xml:space="preserve">Source: </w:t>
      </w:r>
      <w:hyperlink r:id="rId15" w:history="1">
        <w:r w:rsidRPr="00C305AC">
          <w:rPr>
            <w:rStyle w:val="Hyperlink"/>
            <w:lang w:val="fr-BE"/>
          </w:rPr>
          <w:t>https://www.wien.gv.at/amtshelfer/umwelt/wasser/wasseranschluss/wassergebuehr.html</w:t>
        </w:r>
      </w:hyperlink>
      <w:r w:rsidRPr="00C305AC">
        <w:rPr>
          <w:lang w:val="fr-BE"/>
        </w:rPr>
        <w:t xml:space="preserve"> </w:t>
      </w:r>
    </w:p>
  </w:footnote>
  <w:footnote w:id="20">
    <w:p w14:paraId="718611CE" w14:textId="6E8D7452" w:rsidR="0098065E" w:rsidRPr="004D72B1" w:rsidRDefault="0098065E" w:rsidP="0098065E">
      <w:pPr>
        <w:pStyle w:val="FootnoteText"/>
        <w:rPr>
          <w:lang w:val="de-DE"/>
        </w:rPr>
      </w:pPr>
      <w:r w:rsidRPr="00EA4C9B">
        <w:rPr>
          <w:rStyle w:val="FootnoteReference"/>
        </w:rPr>
        <w:footnoteRef/>
      </w:r>
      <w:r w:rsidRPr="004D72B1">
        <w:rPr>
          <w:lang w:val="de-DE"/>
        </w:rPr>
        <w:t xml:space="preserve"> </w:t>
      </w:r>
      <w:r w:rsidR="0066658D" w:rsidRPr="004D72B1">
        <w:rPr>
          <w:lang w:val="de-DE"/>
        </w:rPr>
        <w:tab/>
      </w:r>
      <w:hyperlink r:id="rId16" w:history="1">
        <w:r w:rsidRPr="004D72B1">
          <w:rPr>
            <w:rStyle w:val="Hyperlink"/>
            <w:lang w:val="de-DE"/>
          </w:rPr>
          <w:t>https://wts.com/wts.com/publications/climate-protection-green-tax-energy/2023/wtsglobal-plastic-taxation-in-europe-2023.pdf</w:t>
        </w:r>
      </w:hyperlink>
      <w:r w:rsidRPr="004D72B1">
        <w:rPr>
          <w:lang w:val="de-DE"/>
        </w:rPr>
        <w:t xml:space="preserve"> </w:t>
      </w:r>
    </w:p>
  </w:footnote>
  <w:footnote w:id="21">
    <w:p w14:paraId="7235A8FC" w14:textId="3262D1C2" w:rsidR="007441EF" w:rsidRDefault="007441EF">
      <w:pPr>
        <w:pStyle w:val="FootnoteText"/>
      </w:pPr>
      <w:r>
        <w:rPr>
          <w:rStyle w:val="FootnoteReference"/>
        </w:rPr>
        <w:footnoteRef/>
      </w:r>
      <w:r>
        <w:t xml:space="preserve"> </w:t>
      </w:r>
      <w:r>
        <w:tab/>
      </w:r>
      <w:r w:rsidR="004764DB" w:rsidRPr="004764DB">
        <w:t>Austria, 2025 EU waste recycling targets – State of play, Publications Office of the European Union, 2023, https://data.europa.eu/doi/10.2779/249540</w:t>
      </w:r>
    </w:p>
  </w:footnote>
  <w:footnote w:id="22">
    <w:p w14:paraId="63803627" w14:textId="2059B2E1" w:rsidR="007C26F0" w:rsidRPr="00BA7936" w:rsidRDefault="007C26F0">
      <w:pPr>
        <w:pStyle w:val="FootnoteText"/>
        <w:rPr>
          <w:lang w:val="it-IT"/>
        </w:rPr>
      </w:pPr>
      <w:r>
        <w:rPr>
          <w:rStyle w:val="FootnoteReference"/>
        </w:rPr>
        <w:footnoteRef/>
      </w:r>
      <w:r w:rsidR="0026528C" w:rsidRPr="00BA7936">
        <w:rPr>
          <w:lang w:val="de-DE"/>
        </w:rPr>
        <w:t xml:space="preserve"> </w:t>
      </w:r>
      <w:r w:rsidR="00CD3929" w:rsidRPr="00CD3929">
        <w:rPr>
          <w:i/>
          <w:iCs/>
        </w:rPr>
        <w:t>Austria, 2025 EU waste recycling targets – State of play</w:t>
      </w:r>
      <w:r w:rsidR="00CD3929" w:rsidRPr="00CD3929">
        <w:t>, Publications Office of the European Union, 2023, </w:t>
      </w:r>
      <w:hyperlink r:id="rId17" w:tgtFrame="_blank" w:history="1">
        <w:r w:rsidR="00CD3929" w:rsidRPr="00BA7936">
          <w:rPr>
            <w:rStyle w:val="Hyperlink"/>
          </w:rPr>
          <w:t>https://data.europa.eu/doi/10.2779/249540</w:t>
        </w:r>
      </w:hyperlink>
    </w:p>
  </w:footnote>
  <w:footnote w:id="23">
    <w:p w14:paraId="01E3B8DB" w14:textId="69DC4CBD" w:rsidR="009C2B43" w:rsidRDefault="009C2B43">
      <w:pPr>
        <w:pStyle w:val="FootnoteText"/>
      </w:pPr>
      <w:r>
        <w:rPr>
          <w:rStyle w:val="FootnoteReference"/>
        </w:rPr>
        <w:footnoteRef/>
      </w:r>
      <w:r>
        <w:t xml:space="preserve"> </w:t>
      </w:r>
      <w:r>
        <w:tab/>
      </w:r>
      <w:r w:rsidR="00692C72" w:rsidRPr="00C97CBB">
        <w:t xml:space="preserve">The comparison is expressed in real terms, meaning that figures are adjusted for inflation. The </w:t>
      </w:r>
      <w:r w:rsidR="00692C72">
        <w:t>69</w:t>
      </w:r>
      <w:r w:rsidR="00692C72" w:rsidRPr="00C97CBB">
        <w:t>% increase refers to growth in constant prices over 2009–2023</w:t>
      </w:r>
      <w:r w:rsidR="00692C72">
        <w:t>.</w:t>
      </w:r>
    </w:p>
  </w:footnote>
  <w:footnote w:id="24">
    <w:p w14:paraId="715D3482" w14:textId="35A6369D" w:rsidR="00392FDA" w:rsidRPr="00C305AC" w:rsidRDefault="00392FDA" w:rsidP="00392FDA">
      <w:pPr>
        <w:pStyle w:val="FootnoteText"/>
        <w:rPr>
          <w:lang w:val="de-DE"/>
        </w:rPr>
      </w:pPr>
      <w:r w:rsidRPr="00EA4C9B">
        <w:rPr>
          <w:rStyle w:val="FootnoteReference"/>
        </w:rPr>
        <w:footnoteRef/>
      </w:r>
      <w:r w:rsidR="004F47DB" w:rsidRPr="00C305AC">
        <w:rPr>
          <w:lang w:val="de-DE"/>
        </w:rPr>
        <w:t xml:space="preserve"> </w:t>
      </w:r>
      <w:r w:rsidR="004F47DB" w:rsidRPr="00C305AC">
        <w:rPr>
          <w:lang w:val="de-DE"/>
        </w:rPr>
        <w:tab/>
      </w:r>
      <w:r w:rsidRPr="005C2931">
        <w:rPr>
          <w:lang w:val="de-DE"/>
        </w:rPr>
        <w:t xml:space="preserve">European Commission. 2025. 2025 European Semester: Country Specific Recommendation / Commission Recommendation – Belgium. </w:t>
      </w:r>
      <w:hyperlink r:id="rId18" w:history="1">
        <w:r w:rsidRPr="005C2931">
          <w:rPr>
            <w:lang w:val="de-DE"/>
          </w:rPr>
          <w:t>db66340f-3711-4f6e-aadd-81528e029de8_en</w:t>
        </w:r>
      </w:hyperlink>
    </w:p>
  </w:footnote>
  <w:footnote w:id="25">
    <w:p w14:paraId="1FB45DC8" w14:textId="5F06A6D7" w:rsidR="00392FDA" w:rsidRPr="004F0767" w:rsidRDefault="00392FDA" w:rsidP="00392FDA">
      <w:pPr>
        <w:pStyle w:val="FootnoteText"/>
      </w:pPr>
      <w:r w:rsidRPr="00EA4C9B">
        <w:rPr>
          <w:rStyle w:val="FootnoteReference"/>
        </w:rPr>
        <w:footnoteRef/>
      </w:r>
      <w:r w:rsidRPr="00C305AC">
        <w:rPr>
          <w:lang w:val="de-DE"/>
        </w:rPr>
        <w:t xml:space="preserve"> </w:t>
      </w:r>
      <w:r w:rsidR="004E085F" w:rsidRPr="005C2931">
        <w:rPr>
          <w:lang w:val="de-DE"/>
        </w:rPr>
        <w:tab/>
      </w:r>
      <w:r w:rsidRPr="005C2931">
        <w:rPr>
          <w:lang w:val="de-DE"/>
        </w:rPr>
        <w:t xml:space="preserve">European Commission. 2025. 2025 European Semester: Country Specific Recommendation / Commission Recommendation – Belgium. </w:t>
      </w:r>
      <w:hyperlink r:id="rId19" w:history="1">
        <w:r w:rsidRPr="00363AFF">
          <w:rPr>
            <w:rStyle w:val="Hyperlink"/>
          </w:rPr>
          <w:t>db66340f-3711-4f6e-aadd-81528e029de8_en</w:t>
        </w:r>
      </w:hyperlink>
    </w:p>
  </w:footnote>
  <w:footnote w:id="26">
    <w:p w14:paraId="657E938D" w14:textId="4E5DFB62" w:rsidR="00392FDA" w:rsidRPr="004F0767" w:rsidRDefault="00392FDA" w:rsidP="00392FDA">
      <w:pPr>
        <w:pStyle w:val="FootnoteText"/>
        <w:rPr>
          <w:lang w:val="nl-NL"/>
        </w:rPr>
      </w:pPr>
      <w:r w:rsidRPr="00EA4C9B">
        <w:rPr>
          <w:rStyle w:val="FootnoteReference"/>
        </w:rPr>
        <w:footnoteRef/>
      </w:r>
      <w:r w:rsidRPr="004F0767">
        <w:t xml:space="preserve"> </w:t>
      </w:r>
      <w:r w:rsidR="004E085F" w:rsidRPr="004F0767">
        <w:tab/>
      </w:r>
      <w:r w:rsidRPr="004F0767">
        <w:t xml:space="preserve">European Commission. 2025. 2025 European Semester: Country Specific Recommendation / Commission Recommendation – Belgium. </w:t>
      </w:r>
      <w:hyperlink r:id="rId20" w:history="1">
        <w:r w:rsidRPr="004F0767">
          <w:rPr>
            <w:rStyle w:val="Hyperlink"/>
            <w:lang w:val="nl-NL"/>
          </w:rPr>
          <w:t>db66340f-3711-4f6e-aadd-81528e029de8_en</w:t>
        </w:r>
      </w:hyperlink>
    </w:p>
  </w:footnote>
  <w:footnote w:id="27">
    <w:p w14:paraId="43EF7684" w14:textId="68CF0FB9" w:rsidR="00392FDA" w:rsidRPr="004F0767" w:rsidRDefault="00392FDA" w:rsidP="00392FDA">
      <w:pPr>
        <w:pStyle w:val="FootnoteText"/>
        <w:rPr>
          <w:sz w:val="16"/>
          <w:szCs w:val="16"/>
          <w:lang w:val="nl-NL"/>
        </w:rPr>
      </w:pPr>
      <w:r w:rsidRPr="00EA4C9B">
        <w:rPr>
          <w:rStyle w:val="FootnoteReference"/>
        </w:rPr>
        <w:footnoteRef/>
      </w:r>
      <w:r w:rsidRPr="004F0767">
        <w:rPr>
          <w:sz w:val="16"/>
          <w:szCs w:val="16"/>
          <w:lang w:val="nl-NL"/>
        </w:rPr>
        <w:t xml:space="preserve"> </w:t>
      </w:r>
      <w:r w:rsidR="004F47DB" w:rsidRPr="004F0767">
        <w:rPr>
          <w:sz w:val="16"/>
          <w:szCs w:val="16"/>
          <w:lang w:val="nl-NL"/>
        </w:rPr>
        <w:tab/>
      </w:r>
      <w:r w:rsidRPr="004F0767">
        <w:rPr>
          <w:lang w:val="nl-NL"/>
        </w:rPr>
        <w:t>https://www.eea.europa.eu/publications/many-eu-member-states/belgium</w:t>
      </w:r>
    </w:p>
  </w:footnote>
  <w:footnote w:id="28">
    <w:p w14:paraId="54A28E2D" w14:textId="6A9B25D0" w:rsidR="00392FDA" w:rsidRPr="004F0767" w:rsidRDefault="00392FDA" w:rsidP="00392FDA">
      <w:pPr>
        <w:pStyle w:val="FootnoteText"/>
        <w:rPr>
          <w:sz w:val="16"/>
          <w:szCs w:val="16"/>
          <w:lang w:val="nl-NL"/>
        </w:rPr>
      </w:pPr>
      <w:r w:rsidRPr="00EA4C9B">
        <w:rPr>
          <w:rStyle w:val="FootnoteReference"/>
        </w:rPr>
        <w:footnoteRef/>
      </w:r>
      <w:r w:rsidRPr="004F0767">
        <w:rPr>
          <w:rStyle w:val="FootnoteReference"/>
          <w:lang w:val="nl-NL"/>
        </w:rPr>
        <w:t xml:space="preserve"> </w:t>
      </w:r>
      <w:r w:rsidR="004F47DB" w:rsidRPr="004F0767">
        <w:rPr>
          <w:rStyle w:val="FootnoteReference"/>
          <w:lang w:val="nl-NL"/>
        </w:rPr>
        <w:tab/>
      </w:r>
      <w:r w:rsidRPr="004F0767">
        <w:rPr>
          <w:lang w:val="nl-NL"/>
        </w:rPr>
        <w:t>https://www.imf.org/-/media/Files/Publications/Selected-Issues-Papers/2023/English/SIPEA2023017.ashx</w:t>
      </w:r>
    </w:p>
  </w:footnote>
  <w:footnote w:id="29">
    <w:p w14:paraId="7B354796" w14:textId="5D069532" w:rsidR="00392FDA" w:rsidRPr="004F0767" w:rsidRDefault="00392FDA" w:rsidP="00392FDA">
      <w:pPr>
        <w:pStyle w:val="FootnoteText"/>
        <w:rPr>
          <w:lang w:val="nl-NL"/>
        </w:rPr>
      </w:pPr>
      <w:r w:rsidRPr="00EA4C9B">
        <w:rPr>
          <w:rStyle w:val="FootnoteReference"/>
        </w:rPr>
        <w:footnoteRef/>
      </w:r>
      <w:r w:rsidRPr="004F0767">
        <w:rPr>
          <w:sz w:val="16"/>
          <w:szCs w:val="16"/>
          <w:lang w:val="nl-NL"/>
        </w:rPr>
        <w:t xml:space="preserve"> </w:t>
      </w:r>
      <w:r w:rsidR="004F47DB" w:rsidRPr="004F0767">
        <w:rPr>
          <w:sz w:val="16"/>
          <w:szCs w:val="16"/>
          <w:lang w:val="nl-NL"/>
        </w:rPr>
        <w:tab/>
      </w:r>
      <w:r w:rsidRPr="004F0767">
        <w:rPr>
          <w:lang w:val="nl-NL"/>
        </w:rPr>
        <w:t>https://ecojurisprudence.org/wp-content/uploads/2023/10/Belgium-Ecocide-law.pdf</w:t>
      </w:r>
    </w:p>
  </w:footnote>
  <w:footnote w:id="30">
    <w:p w14:paraId="46082D45" w14:textId="409C1085" w:rsidR="00392FDA" w:rsidRPr="004F0767" w:rsidRDefault="00392FDA" w:rsidP="00392FDA">
      <w:pPr>
        <w:pStyle w:val="FootnoteText"/>
        <w:rPr>
          <w:sz w:val="16"/>
          <w:szCs w:val="16"/>
          <w:lang w:val="nl-NL"/>
        </w:rPr>
      </w:pPr>
      <w:r w:rsidRPr="00EA4C9B">
        <w:rPr>
          <w:rStyle w:val="FootnoteReference"/>
        </w:rPr>
        <w:footnoteRef/>
      </w:r>
      <w:r w:rsidRPr="004F0767">
        <w:rPr>
          <w:sz w:val="16"/>
          <w:szCs w:val="16"/>
          <w:lang w:val="nl-NL"/>
        </w:rPr>
        <w:t xml:space="preserve"> </w:t>
      </w:r>
      <w:r w:rsidR="004F47DB" w:rsidRPr="004F0767">
        <w:rPr>
          <w:sz w:val="16"/>
          <w:szCs w:val="16"/>
          <w:lang w:val="nl-NL"/>
        </w:rPr>
        <w:t xml:space="preserve"> </w:t>
      </w:r>
      <w:r w:rsidR="001035EB">
        <w:rPr>
          <w:sz w:val="16"/>
          <w:szCs w:val="16"/>
          <w:lang w:val="nl-NL"/>
        </w:rPr>
        <w:tab/>
      </w:r>
      <w:r w:rsidRPr="004F0767">
        <w:rPr>
          <w:lang w:val="nl-NL"/>
        </w:rPr>
        <w:t>https://finances.belgium.be/sites/default/files/beoess/20220630%20Final%20report%20ecofiscality%20.pdf</w:t>
      </w:r>
    </w:p>
  </w:footnote>
  <w:footnote w:id="31">
    <w:p w14:paraId="42BD7992" w14:textId="78D82E71" w:rsidR="00392FDA" w:rsidRPr="004F0767" w:rsidRDefault="00392FDA" w:rsidP="00392FDA">
      <w:pPr>
        <w:pStyle w:val="FootnoteText"/>
        <w:rPr>
          <w:lang w:val="nl-NL"/>
        </w:rPr>
      </w:pPr>
      <w:r w:rsidRPr="00EA4C9B">
        <w:rPr>
          <w:rStyle w:val="FootnoteReference"/>
        </w:rPr>
        <w:footnoteRef/>
      </w:r>
      <w:r w:rsidRPr="005C2931">
        <w:rPr>
          <w:lang w:val="nl-NL"/>
        </w:rPr>
        <w:t xml:space="preserve"> </w:t>
      </w:r>
      <w:r w:rsidR="004F47DB" w:rsidRPr="005C2931">
        <w:rPr>
          <w:lang w:val="nl-NL"/>
        </w:rPr>
        <w:tab/>
      </w:r>
      <w:r w:rsidRPr="005C2931">
        <w:rPr>
          <w:lang w:val="nl-NL"/>
        </w:rPr>
        <w:t xml:space="preserve">European Commission. 2025. 2025 European Semester: Country Specific Recommendation / Commission Recommendation – Belgium. </w:t>
      </w:r>
      <w:hyperlink r:id="rId21" w:history="1">
        <w:r w:rsidRPr="004F0767">
          <w:rPr>
            <w:lang w:val="nl-NL"/>
          </w:rPr>
          <w:t>db66340f-3711-4f6e-aadd-81528e029de8_en</w:t>
        </w:r>
      </w:hyperlink>
    </w:p>
  </w:footnote>
  <w:footnote w:id="32">
    <w:p w14:paraId="599661A2" w14:textId="6F86A29E" w:rsidR="00363AFF" w:rsidRPr="005C2931" w:rsidRDefault="00363AFF">
      <w:pPr>
        <w:pStyle w:val="FootnoteText"/>
        <w:rPr>
          <w:lang w:val="nl-NL"/>
        </w:rPr>
      </w:pPr>
      <w:r>
        <w:rPr>
          <w:rStyle w:val="FootnoteReference"/>
        </w:rPr>
        <w:footnoteRef/>
      </w:r>
      <w:r w:rsidRPr="005C2931">
        <w:rPr>
          <w:lang w:val="nl-NL"/>
        </w:rPr>
        <w:t xml:space="preserve"> </w:t>
      </w:r>
      <w:r w:rsidRPr="005C2931">
        <w:rPr>
          <w:lang w:val="nl-NL"/>
        </w:rPr>
        <w:tab/>
      </w:r>
      <w:hyperlink r:id="rId22" w:history="1">
        <w:r w:rsidRPr="005C2931">
          <w:rPr>
            <w:lang w:val="nl-NL"/>
          </w:rPr>
          <w:t>https://www.consilium.europa.eu/en/press/press-releases/2025/07/08/european-semester-2025-council-adopts-country-specific-recommendations/</w:t>
        </w:r>
      </w:hyperlink>
      <w:r w:rsidRPr="005C2931">
        <w:rPr>
          <w:rFonts w:ascii="Helvetica" w:hAnsi="Helvetica"/>
          <w:sz w:val="24"/>
          <w:szCs w:val="24"/>
          <w:lang w:val="nl-NL"/>
        </w:rPr>
        <w:t xml:space="preserve"> </w:t>
      </w:r>
    </w:p>
  </w:footnote>
  <w:footnote w:id="33">
    <w:p w14:paraId="79EDB725" w14:textId="187AA0E9" w:rsidR="00392FDA" w:rsidRPr="004F0767" w:rsidRDefault="00392FDA" w:rsidP="00392FDA">
      <w:pPr>
        <w:pStyle w:val="FootnoteText"/>
        <w:jc w:val="left"/>
        <w:rPr>
          <w:lang w:val="nl-NL"/>
        </w:rPr>
      </w:pPr>
      <w:r w:rsidRPr="00EA4C9B">
        <w:rPr>
          <w:rStyle w:val="FootnoteReference"/>
        </w:rPr>
        <w:footnoteRef/>
      </w:r>
      <w:r w:rsidRPr="004F0767">
        <w:rPr>
          <w:sz w:val="16"/>
          <w:szCs w:val="16"/>
          <w:lang w:val="nl-NL"/>
        </w:rPr>
        <w:t xml:space="preserve"> </w:t>
      </w:r>
      <w:r w:rsidR="004F47DB" w:rsidRPr="004F0767">
        <w:rPr>
          <w:sz w:val="16"/>
          <w:szCs w:val="16"/>
          <w:lang w:val="nl-NL"/>
        </w:rPr>
        <w:tab/>
      </w:r>
      <w:r w:rsidRPr="004F0767">
        <w:rPr>
          <w:lang w:val="nl-NL"/>
        </w:rPr>
        <w:t>https://www.oecd.org/content/dam/oecd/en/publications/reports/2021/03/oecd-environmental-performance-reviews-belgium-2021_1877a11d/738553c5-en.pdf</w:t>
      </w:r>
    </w:p>
  </w:footnote>
  <w:footnote w:id="34">
    <w:p w14:paraId="2F97EFDE" w14:textId="15BDC175" w:rsidR="00392FDA" w:rsidRPr="004F0767" w:rsidRDefault="00392FDA" w:rsidP="00392FDA">
      <w:pPr>
        <w:pStyle w:val="FootnoteText"/>
        <w:jc w:val="left"/>
        <w:rPr>
          <w:lang w:val="nl-NL"/>
        </w:rPr>
      </w:pPr>
      <w:r w:rsidRPr="00EA4C9B">
        <w:rPr>
          <w:rStyle w:val="FootnoteReference"/>
        </w:rPr>
        <w:footnoteRef/>
      </w:r>
      <w:r w:rsidRPr="004F0767">
        <w:rPr>
          <w:rStyle w:val="FootnoteReference"/>
          <w:lang w:val="nl-NL"/>
        </w:rPr>
        <w:t xml:space="preserve"> </w:t>
      </w:r>
      <w:r w:rsidR="00BD1963" w:rsidRPr="004F0767">
        <w:rPr>
          <w:lang w:val="nl-NL"/>
        </w:rPr>
        <w:tab/>
      </w:r>
      <w:r w:rsidRPr="004F0767">
        <w:rPr>
          <w:lang w:val="nl-NL"/>
        </w:rPr>
        <w:t>https://www.imf.org/en/Publications/selected-issues-papers/Issues/2023/03/03/Fiscal-Policy-Options-to-Accelerate-Emissions-Reductions-in-Belgium-Belgium-Belgium-530525</w:t>
      </w:r>
    </w:p>
  </w:footnote>
  <w:footnote w:id="35">
    <w:p w14:paraId="41AECCC0" w14:textId="379C4420" w:rsidR="00DC0982" w:rsidRDefault="00DC0982">
      <w:pPr>
        <w:pStyle w:val="FootnoteText"/>
      </w:pPr>
      <w:r>
        <w:rPr>
          <w:rStyle w:val="FootnoteReference"/>
        </w:rPr>
        <w:footnoteRef/>
      </w:r>
      <w:r>
        <w:t xml:space="preserve"> </w:t>
      </w:r>
      <w:r>
        <w:tab/>
        <w:t>It should be noted that at European Union level, there is the EU ETS, the CBAM (entering into force in 2026) and the ETS II (entering into force in 2027).</w:t>
      </w:r>
    </w:p>
  </w:footnote>
  <w:footnote w:id="36">
    <w:p w14:paraId="6C66FEF7" w14:textId="7F01484D" w:rsidR="00DC0982" w:rsidRDefault="00DC0982">
      <w:pPr>
        <w:pStyle w:val="FootnoteText"/>
      </w:pPr>
      <w:r>
        <w:rPr>
          <w:rStyle w:val="FootnoteReference"/>
        </w:rPr>
        <w:footnoteRef/>
      </w:r>
      <w:r>
        <w:t xml:space="preserve"> </w:t>
      </w:r>
      <w:r>
        <w:tab/>
      </w:r>
      <w:hyperlink r:id="rId23" w:history="1">
        <w:r w:rsidRPr="00E807B3">
          <w:rPr>
            <w:rStyle w:val="Hyperlink"/>
          </w:rPr>
          <w:t>https://www.plan.be/fr/publications/depenses-fiscales-liees-aux-voitures-de-societe</w:t>
        </w:r>
      </w:hyperlink>
      <w:r>
        <w:t xml:space="preserve"> </w:t>
      </w:r>
    </w:p>
  </w:footnote>
  <w:footnote w:id="37">
    <w:p w14:paraId="45D77969" w14:textId="6651AD3E" w:rsidR="00B15227" w:rsidRDefault="00B15227">
      <w:pPr>
        <w:pStyle w:val="FootnoteText"/>
      </w:pPr>
      <w:r>
        <w:rPr>
          <w:rStyle w:val="FootnoteReference"/>
        </w:rPr>
        <w:footnoteRef/>
      </w:r>
      <w:r>
        <w:t xml:space="preserve"> </w:t>
      </w:r>
      <w:r>
        <w:tab/>
      </w:r>
      <w:r w:rsidRPr="00C97CBB">
        <w:t xml:space="preserve">The comparison is expressed in real terms, meaning that figures are adjusted for inflation. The </w:t>
      </w:r>
      <w:r>
        <w:t>177</w:t>
      </w:r>
      <w:r w:rsidR="00F328B3">
        <w:t>.</w:t>
      </w:r>
      <w:r w:rsidR="00F328B3">
        <w:rPr>
          <w:lang w:val="en-US"/>
        </w:rPr>
        <w:t>1</w:t>
      </w:r>
      <w:r w:rsidRPr="00C97CBB">
        <w:t>% increase refers to growth in constant prices over 2009–2023</w:t>
      </w:r>
      <w:r>
        <w:t>.</w:t>
      </w:r>
    </w:p>
    <w:p w14:paraId="3E262BD5" w14:textId="77777777" w:rsidR="00B15227" w:rsidRDefault="00B15227">
      <w:pPr>
        <w:pStyle w:val="FootnoteText"/>
      </w:pPr>
    </w:p>
  </w:footnote>
  <w:footnote w:id="38">
    <w:p w14:paraId="616D2436" w14:textId="2A86AD44" w:rsidR="00E83FD0" w:rsidRPr="00E83FD0" w:rsidRDefault="00E83FD0">
      <w:pPr>
        <w:pStyle w:val="FootnoteText"/>
        <w:rPr>
          <w:lang w:val="en-US"/>
        </w:rPr>
      </w:pPr>
      <w:r>
        <w:rPr>
          <w:rStyle w:val="FootnoteReference"/>
        </w:rPr>
        <w:footnoteRef/>
      </w:r>
      <w:r>
        <w:t xml:space="preserve"> </w:t>
      </w:r>
      <w:r w:rsidRPr="00E83FD0">
        <w:t xml:space="preserve">The comparison is expressed in real terms, meaning that figures are adjusted for inflation. The </w:t>
      </w:r>
      <w:r>
        <w:t>1</w:t>
      </w:r>
      <w:r w:rsidRPr="00E83FD0">
        <w:t>77.</w:t>
      </w:r>
      <w:r>
        <w:t>1</w:t>
      </w:r>
      <w:r w:rsidRPr="00E83FD0">
        <w:t>%    increase refers to growth in constant prices over 2009–2023.</w:t>
      </w:r>
    </w:p>
  </w:footnote>
  <w:footnote w:id="39">
    <w:p w14:paraId="157CA6A0" w14:textId="52874519" w:rsidR="00E82D8B" w:rsidRPr="00BA7936" w:rsidRDefault="00E82D8B">
      <w:pPr>
        <w:pStyle w:val="FootnoteText"/>
        <w:rPr>
          <w:lang w:val="it-IT"/>
        </w:rPr>
      </w:pPr>
      <w:r>
        <w:rPr>
          <w:rStyle w:val="FootnoteReference"/>
        </w:rPr>
        <w:footnoteRef/>
      </w:r>
      <w:r>
        <w:t xml:space="preserve"> </w:t>
      </w:r>
      <w:r w:rsidR="00CD3929" w:rsidRPr="00CD3929">
        <w:rPr>
          <w:i/>
          <w:iCs/>
        </w:rPr>
        <w:t>Bulgaria, 2025 EU waste recycling targets – State of play</w:t>
      </w:r>
      <w:r w:rsidR="00CD3929" w:rsidRPr="00CD3929">
        <w:t>, Publications Office of the European Union, 2023, </w:t>
      </w:r>
      <w:hyperlink r:id="rId24" w:tgtFrame="_blank" w:history="1">
        <w:r w:rsidR="00CD3929" w:rsidRPr="00BA7936">
          <w:rPr>
            <w:rStyle w:val="Hyperlink"/>
          </w:rPr>
          <w:t>https://data.europa.eu/doi/10.2779/187999</w:t>
        </w:r>
      </w:hyperlink>
    </w:p>
  </w:footnote>
  <w:footnote w:id="40">
    <w:p w14:paraId="46B8CFDF" w14:textId="4AA01791" w:rsidR="00392FDA" w:rsidRPr="00EA4C9B" w:rsidRDefault="00392FDA" w:rsidP="00392FDA">
      <w:pPr>
        <w:pStyle w:val="FootnoteText"/>
        <w:rPr>
          <w:sz w:val="16"/>
          <w:szCs w:val="16"/>
        </w:rPr>
      </w:pPr>
      <w:r w:rsidRPr="00EA4C9B">
        <w:rPr>
          <w:rStyle w:val="FootnoteReference"/>
          <w:sz w:val="16"/>
          <w:szCs w:val="16"/>
        </w:rPr>
        <w:footnoteRef/>
      </w:r>
      <w:r w:rsidRPr="00EA4C9B">
        <w:rPr>
          <w:sz w:val="16"/>
          <w:szCs w:val="16"/>
        </w:rPr>
        <w:t xml:space="preserve"> </w:t>
      </w:r>
      <w:r w:rsidR="00BA3828">
        <w:rPr>
          <w:sz w:val="16"/>
          <w:szCs w:val="16"/>
        </w:rPr>
        <w:tab/>
      </w:r>
      <w:r w:rsidRPr="00BA3828">
        <w:t>Sea fishing does not require a permit.</w:t>
      </w:r>
    </w:p>
  </w:footnote>
  <w:footnote w:id="41">
    <w:p w14:paraId="3B0B7082" w14:textId="7B7174F0" w:rsidR="00392FDA" w:rsidRPr="00EA4C9B" w:rsidRDefault="00392FDA" w:rsidP="00392FDA">
      <w:pPr>
        <w:pStyle w:val="FootnoteText"/>
        <w:rPr>
          <w:sz w:val="16"/>
          <w:szCs w:val="16"/>
        </w:rPr>
      </w:pPr>
      <w:r w:rsidRPr="00EA4C9B">
        <w:rPr>
          <w:rStyle w:val="FootnoteReference"/>
          <w:sz w:val="16"/>
          <w:szCs w:val="16"/>
        </w:rPr>
        <w:footnoteRef/>
      </w:r>
      <w:r w:rsidRPr="00EA4C9B">
        <w:rPr>
          <w:sz w:val="16"/>
          <w:szCs w:val="16"/>
        </w:rPr>
        <w:t xml:space="preserve"> </w:t>
      </w:r>
      <w:r w:rsidR="00BA3828">
        <w:rPr>
          <w:sz w:val="16"/>
          <w:szCs w:val="16"/>
        </w:rPr>
        <w:tab/>
      </w:r>
      <w:r w:rsidRPr="00BA3828">
        <w:t>Sharkov, A. (2020). Water abstraction charges in Bulgaria. Institute for European Environmental Policy and Denkstatt. https://ieep.eu/wp-content/uploads/2022/12/BG-Water-Abstraction-final.pdf</w:t>
      </w:r>
    </w:p>
  </w:footnote>
  <w:footnote w:id="42">
    <w:p w14:paraId="40E8048B" w14:textId="248ABF43" w:rsidR="00392FDA" w:rsidRPr="004F0767" w:rsidRDefault="00392FDA" w:rsidP="00392FDA">
      <w:pPr>
        <w:pStyle w:val="FootnoteText"/>
      </w:pPr>
      <w:r w:rsidRPr="00EA4C9B">
        <w:rPr>
          <w:rStyle w:val="FootnoteReference"/>
          <w:sz w:val="16"/>
          <w:szCs w:val="16"/>
        </w:rPr>
        <w:footnoteRef/>
      </w:r>
      <w:r w:rsidRPr="00EA4C9B">
        <w:rPr>
          <w:rStyle w:val="FootnoteReference"/>
          <w:sz w:val="16"/>
          <w:szCs w:val="16"/>
        </w:rPr>
        <w:t xml:space="preserve"> </w:t>
      </w:r>
      <w:r w:rsidR="00BA3828">
        <w:rPr>
          <w:sz w:val="16"/>
          <w:szCs w:val="16"/>
        </w:rPr>
        <w:tab/>
      </w:r>
      <w:r w:rsidRPr="00BA3828">
        <w:t xml:space="preserve">European Commission. 2025. 2025 European Semester: Country Specific Recommendation / Commission Recommendation – Bulgaria. </w:t>
      </w:r>
      <w:hyperlink r:id="rId25" w:history="1">
        <w:r w:rsidRPr="004F0767">
          <w:rPr>
            <w:rStyle w:val="Hyperlink"/>
          </w:rPr>
          <w:t>7c4a6dd6-e086-41fa-aab0-7b6be0cd5b40_en</w:t>
        </w:r>
      </w:hyperlink>
    </w:p>
  </w:footnote>
  <w:footnote w:id="43">
    <w:p w14:paraId="20030FC1" w14:textId="79D84048" w:rsidR="00392FDA" w:rsidRPr="004F0767" w:rsidRDefault="00392FDA" w:rsidP="00392FDA">
      <w:pPr>
        <w:pStyle w:val="FootnoteText"/>
        <w:rPr>
          <w:sz w:val="16"/>
          <w:szCs w:val="16"/>
        </w:rPr>
      </w:pPr>
      <w:r w:rsidRPr="00EA4C9B">
        <w:rPr>
          <w:rStyle w:val="FootnoteReference"/>
          <w:sz w:val="16"/>
          <w:szCs w:val="16"/>
        </w:rPr>
        <w:footnoteRef/>
      </w:r>
      <w:r w:rsidRPr="004F0767">
        <w:rPr>
          <w:sz w:val="16"/>
          <w:szCs w:val="16"/>
        </w:rPr>
        <w:t xml:space="preserve"> </w:t>
      </w:r>
      <w:r w:rsidR="00BA3828" w:rsidRPr="004F0767">
        <w:rPr>
          <w:sz w:val="16"/>
          <w:szCs w:val="16"/>
        </w:rPr>
        <w:tab/>
      </w:r>
      <w:r w:rsidRPr="004F0767">
        <w:t>https://rm.coe.int/technical-report-on-developing-fiscal-decentralisation-and-improving-l/1680ac3302</w:t>
      </w:r>
    </w:p>
  </w:footnote>
  <w:footnote w:id="44">
    <w:p w14:paraId="30802EFD" w14:textId="7D1E2B8A" w:rsidR="00392FDA" w:rsidRPr="004F0767" w:rsidRDefault="00392FDA" w:rsidP="00392FDA">
      <w:pPr>
        <w:pStyle w:val="FootnoteText"/>
      </w:pPr>
      <w:r w:rsidRPr="00EA4C9B">
        <w:rPr>
          <w:rStyle w:val="FootnoteReference"/>
          <w:sz w:val="16"/>
          <w:szCs w:val="16"/>
        </w:rPr>
        <w:footnoteRef/>
      </w:r>
      <w:r w:rsidRPr="004F0767">
        <w:rPr>
          <w:sz w:val="16"/>
          <w:szCs w:val="16"/>
        </w:rPr>
        <w:t xml:space="preserve"> </w:t>
      </w:r>
      <w:r w:rsidR="008B0BC6" w:rsidRPr="004F0767">
        <w:rPr>
          <w:sz w:val="16"/>
          <w:szCs w:val="16"/>
        </w:rPr>
        <w:tab/>
      </w:r>
      <w:r w:rsidRPr="004F0767">
        <w:t>https://unfccc.int/sites/default/files/resource/BG_BR4_resubmission.pdf</w:t>
      </w:r>
    </w:p>
  </w:footnote>
  <w:footnote w:id="45">
    <w:p w14:paraId="40976B83" w14:textId="09793FDA" w:rsidR="00392FDA" w:rsidRPr="00597AE6" w:rsidRDefault="00392FDA" w:rsidP="00392FDA">
      <w:pPr>
        <w:pStyle w:val="FootnoteText"/>
      </w:pPr>
      <w:r w:rsidRPr="00EA4C9B">
        <w:rPr>
          <w:rStyle w:val="FootnoteReference"/>
        </w:rPr>
        <w:footnoteRef/>
      </w:r>
      <w:r w:rsidRPr="00597AE6">
        <w:t xml:space="preserve"> </w:t>
      </w:r>
      <w:r w:rsidR="008B0BC6" w:rsidRPr="00597AE6">
        <w:tab/>
      </w:r>
      <w:r w:rsidRPr="00597AE6">
        <w:t xml:space="preserve">European Commission. 2025. 2025 European Semester: Country Specific Recommendation / Commission Recommendation – Bulgaria. </w:t>
      </w:r>
      <w:hyperlink r:id="rId26" w:history="1">
        <w:r w:rsidRPr="00597AE6">
          <w:rPr>
            <w:rStyle w:val="Hyperlink"/>
          </w:rPr>
          <w:t>7c4a6dd6-e086-41fa-aab0-7b6be0cd5b40_en</w:t>
        </w:r>
      </w:hyperlink>
    </w:p>
  </w:footnote>
  <w:footnote w:id="46">
    <w:p w14:paraId="0C0464FF" w14:textId="0B934545" w:rsidR="00392FDA" w:rsidRPr="004F0767" w:rsidRDefault="00392FDA" w:rsidP="00392FDA">
      <w:pPr>
        <w:pStyle w:val="FootnoteText"/>
        <w:rPr>
          <w:sz w:val="16"/>
          <w:szCs w:val="16"/>
          <w:lang w:val="es-ES"/>
        </w:rPr>
      </w:pPr>
      <w:r w:rsidRPr="00EA4C9B">
        <w:rPr>
          <w:rStyle w:val="FootnoteReference"/>
          <w:sz w:val="16"/>
          <w:szCs w:val="16"/>
        </w:rPr>
        <w:footnoteRef/>
      </w:r>
      <w:r w:rsidRPr="004F0767">
        <w:rPr>
          <w:sz w:val="16"/>
          <w:szCs w:val="16"/>
          <w:lang w:val="es-ES"/>
        </w:rPr>
        <w:t xml:space="preserve"> </w:t>
      </w:r>
      <w:r w:rsidR="008B0BC6" w:rsidRPr="004F0767">
        <w:rPr>
          <w:sz w:val="16"/>
          <w:szCs w:val="16"/>
          <w:lang w:val="es-ES"/>
        </w:rPr>
        <w:tab/>
      </w:r>
      <w:r w:rsidRPr="004F0767">
        <w:rPr>
          <w:lang w:val="es-ES"/>
        </w:rPr>
        <w:t>OECD (2023). OECD Economic Surveys: Bulgaria 2023. https://www.oecd.org/en/publications/oecd-economic-surveys-bulgaria-2023_5ca812a4-en.html</w:t>
      </w:r>
    </w:p>
  </w:footnote>
  <w:footnote w:id="47">
    <w:p w14:paraId="1FA34D66" w14:textId="6F239BEA" w:rsidR="00392FDA" w:rsidRPr="00EA4C9B" w:rsidRDefault="00392FDA" w:rsidP="00392FDA">
      <w:pPr>
        <w:pStyle w:val="FootnoteText"/>
      </w:pPr>
      <w:r w:rsidRPr="00EA4C9B">
        <w:rPr>
          <w:rStyle w:val="FootnoteReference"/>
        </w:rPr>
        <w:footnoteRef/>
      </w:r>
      <w:r w:rsidRPr="004F0767">
        <w:rPr>
          <w:lang w:val="es-ES"/>
        </w:rPr>
        <w:t xml:space="preserve"> </w:t>
      </w:r>
      <w:r w:rsidR="008B0BC6" w:rsidRPr="004F0767">
        <w:rPr>
          <w:lang w:val="es-ES"/>
        </w:rPr>
        <w:tab/>
      </w:r>
      <w:r w:rsidRPr="004F0767">
        <w:rPr>
          <w:lang w:val="es-ES"/>
        </w:rPr>
        <w:t>Ex</w:t>
      </w:r>
      <w:r w:rsidR="00466EF5">
        <w:rPr>
          <w:lang w:val="es-ES"/>
        </w:rPr>
        <w:t>’</w:t>
      </w:r>
      <w:r w:rsidRPr="004F0767">
        <w:rPr>
          <w:lang w:val="es-ES"/>
        </w:rPr>
        <w:t xml:space="preserve"> Tax (2023). </w:t>
      </w:r>
      <w:r w:rsidRPr="008B0BC6">
        <w:t>The Taxshift: An EU fiscal strategy to support the inclusive circular economy - Country case study results: Bulgaria. https://ex-tax.com/wp-content/uploads/2023/02/BULGARIA-case-study-EU-Taxshift-report-2022.pdf</w:t>
      </w:r>
    </w:p>
  </w:footnote>
  <w:footnote w:id="48">
    <w:p w14:paraId="56DD15D3" w14:textId="3CA181D5" w:rsidR="00392FDA" w:rsidRPr="00EA4C9B" w:rsidRDefault="00392FDA" w:rsidP="00392FDA">
      <w:pPr>
        <w:pStyle w:val="FootnoteText"/>
        <w:rPr>
          <w:sz w:val="16"/>
          <w:szCs w:val="16"/>
        </w:rPr>
      </w:pPr>
      <w:r w:rsidRPr="00EA4C9B">
        <w:rPr>
          <w:rStyle w:val="FootnoteReference"/>
          <w:sz w:val="16"/>
          <w:szCs w:val="16"/>
        </w:rPr>
        <w:footnoteRef/>
      </w:r>
      <w:r w:rsidRPr="00EA4C9B">
        <w:rPr>
          <w:sz w:val="16"/>
          <w:szCs w:val="16"/>
        </w:rPr>
        <w:t xml:space="preserve"> </w:t>
      </w:r>
      <w:r w:rsidR="008B0BC6">
        <w:rPr>
          <w:sz w:val="16"/>
          <w:szCs w:val="16"/>
        </w:rPr>
        <w:tab/>
      </w:r>
      <w:r w:rsidRPr="00BA3828">
        <w:t>Ivanova, V. &amp; Slavova, I. (2018). Ecological Transformation in Bulgaria – New Challenges to the Businesses and the Government. European Journal of Economics and Business Studies 4(2). DOI: 10.2478/ejes-2018-0035</w:t>
      </w:r>
    </w:p>
  </w:footnote>
  <w:footnote w:id="49">
    <w:p w14:paraId="27786D8E" w14:textId="599BB0C4" w:rsidR="00FC16E4" w:rsidRPr="00BA7936" w:rsidRDefault="00FC16E4">
      <w:pPr>
        <w:pStyle w:val="FootnoteText"/>
        <w:rPr>
          <w:lang w:val="it-IT"/>
        </w:rPr>
      </w:pPr>
      <w:r>
        <w:rPr>
          <w:rStyle w:val="FootnoteReference"/>
        </w:rPr>
        <w:footnoteRef/>
      </w:r>
      <w:r>
        <w:t xml:space="preserve"> </w:t>
      </w:r>
      <w:r w:rsidR="00CD3929" w:rsidRPr="00CD3929">
        <w:rPr>
          <w:i/>
          <w:iCs/>
        </w:rPr>
        <w:t>Bulgaria, 2025 EU waste recycling targets – State of play</w:t>
      </w:r>
      <w:r w:rsidR="00CD3929" w:rsidRPr="00CD3929">
        <w:t>, Publications Office of the European Union, 2023, </w:t>
      </w:r>
      <w:hyperlink r:id="rId27" w:tgtFrame="_blank" w:history="1">
        <w:r w:rsidR="00CD3929" w:rsidRPr="00BA7936">
          <w:rPr>
            <w:rStyle w:val="Hyperlink"/>
          </w:rPr>
          <w:t>https://data.europa.eu/doi/10.2779/187999</w:t>
        </w:r>
      </w:hyperlink>
    </w:p>
  </w:footnote>
  <w:footnote w:id="50">
    <w:p w14:paraId="01CC0C46" w14:textId="3FA4A5A5" w:rsidR="00E83FD0" w:rsidRPr="008229B4" w:rsidRDefault="00E83FD0" w:rsidP="00E83FD0">
      <w:pPr>
        <w:pStyle w:val="FootnoteText"/>
        <w:rPr>
          <w:lang w:val="en-US"/>
        </w:rPr>
      </w:pPr>
      <w:r>
        <w:rPr>
          <w:rStyle w:val="FootnoteReference"/>
        </w:rPr>
        <w:footnoteRef/>
      </w:r>
      <w:r>
        <w:t xml:space="preserve"> </w:t>
      </w:r>
      <w:r w:rsidR="00610C75">
        <w:tab/>
      </w:r>
      <w:r w:rsidRPr="008229B4">
        <w:t xml:space="preserve">The comparison is expressed in real terms, meaning that figures are adjusted for inflation. The </w:t>
      </w:r>
      <w:r>
        <w:t>39</w:t>
      </w:r>
      <w:r>
        <w:rPr>
          <w:lang w:val="lt-LT"/>
        </w:rPr>
        <w:t>.</w:t>
      </w:r>
      <w:r>
        <w:rPr>
          <w:lang w:val="en-US"/>
        </w:rPr>
        <w:t>6</w:t>
      </w:r>
      <w:r w:rsidRPr="008229B4">
        <w:t>% increase</w:t>
      </w:r>
      <w:r>
        <w:t xml:space="preserve"> </w:t>
      </w:r>
      <w:r w:rsidRPr="008229B4">
        <w:t>refers to growth in constant prices over 2009–2023.</w:t>
      </w:r>
    </w:p>
  </w:footnote>
  <w:footnote w:id="51">
    <w:p w14:paraId="718B2B56" w14:textId="08BC7724" w:rsidR="00392FDA" w:rsidRPr="00EA4C9B" w:rsidRDefault="00392FDA" w:rsidP="00392FDA">
      <w:pPr>
        <w:pStyle w:val="FootnoteText"/>
      </w:pPr>
      <w:r w:rsidRPr="00EA4C9B">
        <w:rPr>
          <w:rStyle w:val="FootnoteReference"/>
        </w:rPr>
        <w:footnoteRef/>
      </w:r>
      <w:r w:rsidRPr="00EA4C9B">
        <w:t xml:space="preserve"> </w:t>
      </w:r>
      <w:r w:rsidR="008B0BC6">
        <w:tab/>
      </w:r>
      <w:r w:rsidRPr="00EA4C9B">
        <w:t xml:space="preserve">Several of the below taxes are reported in the National Tax List, however, were classified as </w:t>
      </w:r>
      <w:r w:rsidRPr="00EA4C9B">
        <w:rPr>
          <w:i/>
          <w:iCs/>
        </w:rPr>
        <w:t>‘E – Energy’</w:t>
      </w:r>
      <w:r w:rsidRPr="00EA4C9B">
        <w:t xml:space="preserve"> instead of P/RS. They are included here, as other sources, such as PINE, classed them as environmental taxes. Entries that appear in the NTL as ‘E’ are indicated with the corresponding letter.</w:t>
      </w:r>
    </w:p>
  </w:footnote>
  <w:footnote w:id="52">
    <w:p w14:paraId="030A806D" w14:textId="41335C78" w:rsidR="00392FDA" w:rsidRPr="00EA4C9B" w:rsidRDefault="00392FDA" w:rsidP="00392FDA">
      <w:pPr>
        <w:pStyle w:val="FootnoteText"/>
      </w:pPr>
      <w:r w:rsidRPr="00EA4C9B">
        <w:rPr>
          <w:rStyle w:val="FootnoteReference"/>
        </w:rPr>
        <w:footnoteRef/>
      </w:r>
      <w:r w:rsidRPr="00EA4C9B">
        <w:t xml:space="preserve"> </w:t>
      </w:r>
      <w:r w:rsidR="008B0BC6">
        <w:tab/>
      </w:r>
      <w:r w:rsidRPr="00EA4C9B">
        <w:t>https://narodne-novine.nn.hr/clanci/sluzbeni/2004_07_95_1808.html</w:t>
      </w:r>
    </w:p>
  </w:footnote>
  <w:footnote w:id="53">
    <w:p w14:paraId="44ED8494" w14:textId="6A6F50DE" w:rsidR="00392FDA" w:rsidRPr="00EA4C9B" w:rsidRDefault="00392FDA" w:rsidP="00392FDA">
      <w:pPr>
        <w:pStyle w:val="FootnoteText"/>
      </w:pPr>
      <w:r w:rsidRPr="00EA4C9B">
        <w:rPr>
          <w:rStyle w:val="FootnoteReference"/>
        </w:rPr>
        <w:footnoteRef/>
      </w:r>
      <w:r w:rsidRPr="00EA4C9B">
        <w:t xml:space="preserve"> </w:t>
      </w:r>
      <w:r w:rsidR="008B0BC6">
        <w:tab/>
      </w:r>
      <w:r w:rsidRPr="00EA4C9B">
        <w:t>https://narodne-novine.nn.hr/clanci/sluzbeni/2013_11_142_3054.html</w:t>
      </w:r>
    </w:p>
  </w:footnote>
  <w:footnote w:id="54">
    <w:p w14:paraId="6703F756" w14:textId="050F0F91" w:rsidR="00392FDA" w:rsidRPr="00EA4C9B" w:rsidRDefault="00392FDA" w:rsidP="00392FDA">
      <w:pPr>
        <w:pStyle w:val="FootnoteText"/>
      </w:pPr>
      <w:r w:rsidRPr="00EA4C9B">
        <w:rPr>
          <w:rStyle w:val="FootnoteReference"/>
        </w:rPr>
        <w:footnoteRef/>
      </w:r>
      <w:r w:rsidRPr="00EA4C9B">
        <w:t xml:space="preserve"> </w:t>
      </w:r>
      <w:r w:rsidR="008B0BC6">
        <w:tab/>
      </w:r>
      <w:hyperlink r:id="rId28" w:history="1">
        <w:r w:rsidR="008B0BC6" w:rsidRPr="00EC31B9">
          <w:rPr>
            <w:rStyle w:val="Hyperlink"/>
          </w:rPr>
          <w:t>https://narodne-novine.nn.hr/clanci/sluzbeni/2004_05_71_1467.html</w:t>
        </w:r>
      </w:hyperlink>
      <w:r w:rsidRPr="00EA4C9B">
        <w:t xml:space="preserve"> </w:t>
      </w:r>
    </w:p>
  </w:footnote>
  <w:footnote w:id="55">
    <w:p w14:paraId="1E34795B" w14:textId="256C8758" w:rsidR="00392FDA" w:rsidRPr="00EA4C9B" w:rsidRDefault="00392FDA" w:rsidP="00392FDA">
      <w:pPr>
        <w:pStyle w:val="FootnoteText"/>
      </w:pPr>
      <w:r w:rsidRPr="00EA4C9B">
        <w:rPr>
          <w:rStyle w:val="FootnoteReference"/>
        </w:rPr>
        <w:footnoteRef/>
      </w:r>
      <w:r w:rsidRPr="00EA4C9B">
        <w:t xml:space="preserve"> </w:t>
      </w:r>
      <w:r w:rsidR="008B0BC6">
        <w:tab/>
      </w:r>
      <w:hyperlink r:id="rId29" w:history="1">
        <w:r w:rsidR="008B0BC6" w:rsidRPr="00EC31B9">
          <w:rPr>
            <w:rStyle w:val="Hyperlink"/>
          </w:rPr>
          <w:t>https://narodne-novine.nn.hr/clanci/sluzbeni/2015_10_115_2193.html</w:t>
        </w:r>
      </w:hyperlink>
      <w:r w:rsidRPr="00EA4C9B">
        <w:t xml:space="preserve"> </w:t>
      </w:r>
    </w:p>
  </w:footnote>
  <w:footnote w:id="56">
    <w:p w14:paraId="5E206D1A" w14:textId="1A6F1EA6" w:rsidR="00392FDA" w:rsidRPr="00EA4C9B" w:rsidRDefault="00392FDA" w:rsidP="00392FDA">
      <w:pPr>
        <w:pStyle w:val="FootnoteText"/>
      </w:pPr>
      <w:r w:rsidRPr="00EA4C9B">
        <w:rPr>
          <w:rStyle w:val="FootnoteReference"/>
        </w:rPr>
        <w:footnoteRef/>
      </w:r>
      <w:r w:rsidRPr="00EA4C9B">
        <w:t xml:space="preserve"> </w:t>
      </w:r>
      <w:r w:rsidR="008B0BC6">
        <w:tab/>
      </w:r>
      <w:r w:rsidRPr="00EA4C9B">
        <w:t>71/2004</w:t>
      </w:r>
    </w:p>
  </w:footnote>
  <w:footnote w:id="57">
    <w:p w14:paraId="1D065E81" w14:textId="33F782B3" w:rsidR="00392FDA" w:rsidRPr="00EA4C9B" w:rsidRDefault="00392FDA" w:rsidP="00392FDA">
      <w:pPr>
        <w:pStyle w:val="FootnoteText"/>
      </w:pPr>
      <w:r w:rsidRPr="00EA4C9B">
        <w:rPr>
          <w:rStyle w:val="FootnoteReference"/>
        </w:rPr>
        <w:footnoteRef/>
      </w:r>
      <w:r w:rsidRPr="00EA4C9B">
        <w:t xml:space="preserve"> </w:t>
      </w:r>
      <w:r w:rsidR="008B0BC6">
        <w:tab/>
      </w:r>
      <w:r w:rsidRPr="00EA4C9B">
        <w:t>115/2015</w:t>
      </w:r>
    </w:p>
  </w:footnote>
  <w:footnote w:id="58">
    <w:p w14:paraId="18644F76" w14:textId="0C0463BC" w:rsidR="00392FDA" w:rsidRPr="00EA4C9B" w:rsidRDefault="00392FDA" w:rsidP="00392FDA">
      <w:pPr>
        <w:pStyle w:val="FootnoteText"/>
      </w:pPr>
      <w:r w:rsidRPr="00EA4C9B">
        <w:rPr>
          <w:rStyle w:val="FootnoteReference"/>
        </w:rPr>
        <w:footnoteRef/>
      </w:r>
      <w:r w:rsidRPr="00EA4C9B">
        <w:t xml:space="preserve"> </w:t>
      </w:r>
      <w:r w:rsidR="008B0BC6">
        <w:tab/>
      </w:r>
      <w:hyperlink r:id="rId30" w:history="1">
        <w:r w:rsidR="008B0BC6" w:rsidRPr="00EC31B9">
          <w:rPr>
            <w:rStyle w:val="Hyperlink"/>
          </w:rPr>
          <w:t>https://narodne-novine.nn.hr/clanci/sluzbeni/2015_10_115_2193.html</w:t>
        </w:r>
      </w:hyperlink>
      <w:r w:rsidRPr="00EA4C9B">
        <w:t xml:space="preserve"> </w:t>
      </w:r>
    </w:p>
  </w:footnote>
  <w:footnote w:id="59">
    <w:p w14:paraId="5B49181D" w14:textId="75997CEB" w:rsidR="00392FDA" w:rsidRPr="00EA4C9B" w:rsidRDefault="00392FDA" w:rsidP="00392FDA">
      <w:pPr>
        <w:pStyle w:val="FootnoteText"/>
      </w:pPr>
      <w:r w:rsidRPr="00EA4C9B">
        <w:rPr>
          <w:rStyle w:val="FootnoteReference"/>
        </w:rPr>
        <w:footnoteRef/>
      </w:r>
      <w:r w:rsidRPr="00EA4C9B">
        <w:t xml:space="preserve"> </w:t>
      </w:r>
      <w:r w:rsidR="008B0BC6">
        <w:tab/>
      </w:r>
      <w:r w:rsidRPr="00EA4C9B">
        <w:t>For the previous tax rates and their calculations, see 71/2004.</w:t>
      </w:r>
    </w:p>
  </w:footnote>
  <w:footnote w:id="60">
    <w:p w14:paraId="1E2EFDDC" w14:textId="1C5A4A78" w:rsidR="00392FDA" w:rsidRPr="00EA4C9B" w:rsidRDefault="00392FDA" w:rsidP="00392FDA">
      <w:pPr>
        <w:pStyle w:val="FootnoteText"/>
      </w:pPr>
      <w:r w:rsidRPr="00EA4C9B">
        <w:rPr>
          <w:rStyle w:val="FootnoteReference"/>
        </w:rPr>
        <w:footnoteRef/>
      </w:r>
      <w:r w:rsidRPr="00EA4C9B">
        <w:t xml:space="preserve"> </w:t>
      </w:r>
      <w:r w:rsidR="008B0BC6">
        <w:tab/>
      </w:r>
      <w:r w:rsidRPr="00EA4C9B">
        <w:t>https://narodne-novine.nn.hr/clanci/sluzbeni/2004_07_95_1808.html</w:t>
      </w:r>
    </w:p>
  </w:footnote>
  <w:footnote w:id="61">
    <w:p w14:paraId="0BCD94ED" w14:textId="4EE7A440" w:rsidR="00392FDA" w:rsidRPr="00EA4C9B" w:rsidRDefault="00392FDA" w:rsidP="00392FDA">
      <w:pPr>
        <w:pStyle w:val="FootnoteText"/>
      </w:pPr>
      <w:r w:rsidRPr="00EA4C9B">
        <w:rPr>
          <w:rStyle w:val="FootnoteReference"/>
        </w:rPr>
        <w:footnoteRef/>
      </w:r>
      <w:r w:rsidRPr="00EA4C9B">
        <w:t xml:space="preserve"> </w:t>
      </w:r>
      <w:r w:rsidR="008B0BC6">
        <w:tab/>
      </w:r>
      <w:r w:rsidRPr="00EA4C9B">
        <w:t>https://narodne-novine.nn.hr/clanci/sluzbeni/2013_11_142_3054.html</w:t>
      </w:r>
    </w:p>
  </w:footnote>
  <w:footnote w:id="62">
    <w:p w14:paraId="68D6FDD2" w14:textId="1AF3FE75" w:rsidR="00392FDA" w:rsidRPr="00EA4C9B" w:rsidRDefault="00392FDA" w:rsidP="00392FDA">
      <w:pPr>
        <w:pStyle w:val="FootnoteText"/>
      </w:pPr>
      <w:r w:rsidRPr="00EA4C9B">
        <w:rPr>
          <w:rStyle w:val="FootnoteReference"/>
        </w:rPr>
        <w:footnoteRef/>
      </w:r>
      <w:r w:rsidRPr="00EA4C9B">
        <w:t xml:space="preserve"> </w:t>
      </w:r>
      <w:r w:rsidR="008B0BC6">
        <w:tab/>
      </w:r>
      <w:hyperlink r:id="rId31" w:history="1">
        <w:r w:rsidR="008B0BC6" w:rsidRPr="00EC31B9">
          <w:rPr>
            <w:rStyle w:val="Hyperlink"/>
          </w:rPr>
          <w:t>https://narodne-novine.nn.hr/clanci/sluzbeni/2004_05_71_1467.html</w:t>
        </w:r>
      </w:hyperlink>
      <w:r w:rsidRPr="00EA4C9B">
        <w:t xml:space="preserve"> </w:t>
      </w:r>
    </w:p>
  </w:footnote>
  <w:footnote w:id="63">
    <w:p w14:paraId="1AD44432" w14:textId="340E6A9C" w:rsidR="00392FDA" w:rsidRPr="00EA4C9B" w:rsidRDefault="00392FDA" w:rsidP="00392FDA">
      <w:pPr>
        <w:pStyle w:val="FootnoteText"/>
      </w:pPr>
      <w:r w:rsidRPr="00EA4C9B">
        <w:rPr>
          <w:rStyle w:val="FootnoteReference"/>
        </w:rPr>
        <w:footnoteRef/>
      </w:r>
      <w:r w:rsidRPr="00EA4C9B">
        <w:t xml:space="preserve"> </w:t>
      </w:r>
      <w:r w:rsidR="008B0BC6">
        <w:tab/>
      </w:r>
      <w:hyperlink r:id="rId32" w:history="1">
        <w:r w:rsidR="008B0BC6" w:rsidRPr="00EC31B9">
          <w:rPr>
            <w:rStyle w:val="Hyperlink"/>
          </w:rPr>
          <w:t>https://narodne-novine.nn.hr/clanci/sluzbeni/2015_10_115_2193.html</w:t>
        </w:r>
      </w:hyperlink>
      <w:r w:rsidRPr="00EA4C9B">
        <w:t xml:space="preserve"> </w:t>
      </w:r>
    </w:p>
  </w:footnote>
  <w:footnote w:id="64">
    <w:p w14:paraId="5C490303" w14:textId="7C1F421F" w:rsidR="00392FDA" w:rsidRPr="00EA4C9B" w:rsidRDefault="00392FDA" w:rsidP="00392FDA">
      <w:pPr>
        <w:pStyle w:val="FootnoteText"/>
      </w:pPr>
      <w:r w:rsidRPr="00EA4C9B">
        <w:rPr>
          <w:rStyle w:val="FootnoteReference"/>
        </w:rPr>
        <w:footnoteRef/>
      </w:r>
      <w:r w:rsidRPr="00EA4C9B">
        <w:t xml:space="preserve"> </w:t>
      </w:r>
      <w:r w:rsidR="008B0BC6">
        <w:tab/>
      </w:r>
      <w:r w:rsidRPr="00EA4C9B">
        <w:t>71/2004</w:t>
      </w:r>
    </w:p>
  </w:footnote>
  <w:footnote w:id="65">
    <w:p w14:paraId="7805638D" w14:textId="56389905" w:rsidR="00392FDA" w:rsidRPr="00EA4C9B" w:rsidRDefault="00392FDA" w:rsidP="00392FDA">
      <w:pPr>
        <w:pStyle w:val="FootnoteText"/>
      </w:pPr>
      <w:r w:rsidRPr="00EA4C9B">
        <w:rPr>
          <w:rStyle w:val="FootnoteReference"/>
        </w:rPr>
        <w:footnoteRef/>
      </w:r>
      <w:r w:rsidRPr="00EA4C9B">
        <w:t xml:space="preserve"> </w:t>
      </w:r>
      <w:r w:rsidR="008B0BC6">
        <w:tab/>
      </w:r>
      <w:r w:rsidRPr="00EA4C9B">
        <w:t>115/2015</w:t>
      </w:r>
    </w:p>
  </w:footnote>
  <w:footnote w:id="66">
    <w:p w14:paraId="01C913C9" w14:textId="3F2D6882" w:rsidR="00392FDA" w:rsidRPr="00EA4C9B" w:rsidRDefault="00392FDA" w:rsidP="002E4F7F">
      <w:pPr>
        <w:pStyle w:val="FootnoteText"/>
      </w:pPr>
      <w:r w:rsidRPr="00EA4C9B">
        <w:rPr>
          <w:rStyle w:val="FootnoteReference"/>
        </w:rPr>
        <w:footnoteRef/>
      </w:r>
      <w:r w:rsidRPr="00EA4C9B">
        <w:t xml:space="preserve"> </w:t>
      </w:r>
      <w:r w:rsidR="008B0BC6">
        <w:tab/>
      </w:r>
      <w:hyperlink r:id="rId33" w:history="1">
        <w:r w:rsidR="008B0BC6" w:rsidRPr="00EC31B9">
          <w:rPr>
            <w:rStyle w:val="Hyperlink"/>
          </w:rPr>
          <w:t>https://narodne-novine.nn.hr/clanci/sluzbeni/2015_10_115_2193.html</w:t>
        </w:r>
      </w:hyperlink>
      <w:r w:rsidRPr="00EA4C9B">
        <w:t xml:space="preserve"> </w:t>
      </w:r>
    </w:p>
  </w:footnote>
  <w:footnote w:id="67">
    <w:p w14:paraId="1A08A75E" w14:textId="65890B9C" w:rsidR="00392FDA" w:rsidRPr="00EA4C9B" w:rsidRDefault="00392FDA" w:rsidP="002E4F7F">
      <w:pPr>
        <w:pStyle w:val="FootnoteText"/>
      </w:pPr>
      <w:r w:rsidRPr="00EA4C9B">
        <w:rPr>
          <w:rStyle w:val="FootnoteReference"/>
        </w:rPr>
        <w:footnoteRef/>
      </w:r>
      <w:r w:rsidRPr="00EA4C9B">
        <w:t xml:space="preserve"> </w:t>
      </w:r>
      <w:r w:rsidR="008B0BC6">
        <w:tab/>
      </w:r>
      <w:r w:rsidRPr="00EA4C9B">
        <w:t>For the previous tax rates and their calculations, see 71/2004.</w:t>
      </w:r>
    </w:p>
  </w:footnote>
  <w:footnote w:id="68">
    <w:p w14:paraId="59096E1B" w14:textId="558F3BD5" w:rsidR="00392FDA" w:rsidRPr="00EA4C9B" w:rsidRDefault="00392FDA" w:rsidP="002E4F7F">
      <w:pPr>
        <w:pStyle w:val="FootnoteText"/>
      </w:pPr>
      <w:r w:rsidRPr="00EA4C9B">
        <w:rPr>
          <w:rStyle w:val="FootnoteReference"/>
        </w:rPr>
        <w:footnoteRef/>
      </w:r>
      <w:r w:rsidRPr="00EA4C9B">
        <w:t xml:space="preserve"> </w:t>
      </w:r>
      <w:r w:rsidR="008B0BC6">
        <w:tab/>
      </w:r>
      <w:r w:rsidRPr="00EA4C9B">
        <w:t>The Environmental Protection and Energy Efficiency Fund (EPEEF)  is Croatia’s central public body for financing environmental and climate-related programmes. It provides funding and support for projects related to waste, water, air, nature protection, energy efficiency, and the transition to a circular economy.</w:t>
      </w:r>
    </w:p>
  </w:footnote>
  <w:footnote w:id="69">
    <w:p w14:paraId="59D1F20D" w14:textId="72F74440" w:rsidR="00392FDA" w:rsidRPr="00EA4C9B" w:rsidRDefault="00392FDA" w:rsidP="002E4F7F">
      <w:pPr>
        <w:pStyle w:val="FootnoteText"/>
      </w:pPr>
      <w:r w:rsidRPr="00EA4C9B">
        <w:rPr>
          <w:rStyle w:val="FootnoteReference"/>
        </w:rPr>
        <w:footnoteRef/>
      </w:r>
      <w:r w:rsidRPr="00EA4C9B">
        <w:t xml:space="preserve"> </w:t>
      </w:r>
      <w:r w:rsidR="008B0BC6">
        <w:tab/>
      </w:r>
      <w:r w:rsidRPr="00EA4C9B">
        <w:t>While included with other environmental taxes in the IEEP report, more recent studies by the EEA classify it as an EPR scheme.</w:t>
      </w:r>
    </w:p>
  </w:footnote>
  <w:footnote w:id="70">
    <w:p w14:paraId="663FBA4E" w14:textId="42A9B097" w:rsidR="00392FDA" w:rsidRPr="00EA4C9B" w:rsidRDefault="00392FDA" w:rsidP="002E4F7F">
      <w:pPr>
        <w:pStyle w:val="FootnoteText"/>
      </w:pPr>
      <w:r w:rsidRPr="00EA4C9B">
        <w:rPr>
          <w:rStyle w:val="FootnoteReference"/>
        </w:rPr>
        <w:footnoteRef/>
      </w:r>
      <w:r w:rsidRPr="00EA4C9B">
        <w:t xml:space="preserve"> </w:t>
      </w:r>
      <w:r w:rsidR="008B0BC6">
        <w:tab/>
      </w:r>
      <w:hyperlink r:id="rId34" w:history="1">
        <w:r w:rsidR="008B0BC6" w:rsidRPr="00EC31B9">
          <w:rPr>
            <w:rStyle w:val="Hyperlink"/>
          </w:rPr>
          <w:t>https://narodne-novine.nn.hr/clanci/sluzbeni/2023_10_124_1717.html</w:t>
        </w:r>
      </w:hyperlink>
      <w:r w:rsidRPr="00EA4C9B">
        <w:t xml:space="preserve"> </w:t>
      </w:r>
    </w:p>
  </w:footnote>
  <w:footnote w:id="71">
    <w:p w14:paraId="35DB3D85" w14:textId="445238F2" w:rsidR="00392FDA" w:rsidRPr="00EA4C9B" w:rsidRDefault="00392FDA" w:rsidP="002E4F7F">
      <w:pPr>
        <w:pStyle w:val="FootnoteText"/>
      </w:pPr>
      <w:r w:rsidRPr="00EA4C9B">
        <w:rPr>
          <w:rStyle w:val="FootnoteReference"/>
        </w:rPr>
        <w:footnoteRef/>
      </w:r>
      <w:r w:rsidRPr="00EA4C9B">
        <w:t xml:space="preserve"> </w:t>
      </w:r>
      <w:r w:rsidR="008B0BC6">
        <w:tab/>
      </w:r>
      <w:hyperlink r:id="rId35" w:history="1">
        <w:r w:rsidR="008B0BC6" w:rsidRPr="00EC31B9">
          <w:rPr>
            <w:rStyle w:val="Hyperlink"/>
          </w:rPr>
          <w:t>https://www.fzoeu.hr/naknada-gospodarenja-ee-otpadom-1419</w:t>
        </w:r>
      </w:hyperlink>
      <w:r w:rsidRPr="00EA4C9B">
        <w:t xml:space="preserve"> </w:t>
      </w:r>
    </w:p>
  </w:footnote>
  <w:footnote w:id="72">
    <w:p w14:paraId="36D3E278" w14:textId="5A7072ED" w:rsidR="00392FDA" w:rsidRPr="00F21A1A" w:rsidRDefault="00392FDA" w:rsidP="002E4F7F">
      <w:pPr>
        <w:pStyle w:val="FootnoteText"/>
        <w:rPr>
          <w:vertAlign w:val="superscript"/>
        </w:rPr>
      </w:pPr>
      <w:r w:rsidRPr="00EA4C9B">
        <w:rPr>
          <w:rStyle w:val="FootnoteReference"/>
        </w:rPr>
        <w:footnoteRef/>
      </w:r>
      <w:r w:rsidRPr="00EA4C9B">
        <w:t xml:space="preserve"> </w:t>
      </w:r>
      <w:r w:rsidR="00466EF5">
        <w:tab/>
      </w:r>
      <w:hyperlink r:id="rId36" w:history="1">
        <w:r w:rsidR="00466EF5" w:rsidRPr="00E807B3">
          <w:rPr>
            <w:rStyle w:val="Hyperlink"/>
          </w:rPr>
          <w:t>https://kruzna-ekonomija.com/2021/04/22/naknada-gospodarenja-ee-otpadom/</w:t>
        </w:r>
      </w:hyperlink>
    </w:p>
  </w:footnote>
  <w:footnote w:id="73">
    <w:p w14:paraId="79A3F68C" w14:textId="4A89C4E2" w:rsidR="00392FDA" w:rsidRPr="00EA4C9B" w:rsidRDefault="00392FDA" w:rsidP="002E4F7F">
      <w:pPr>
        <w:pStyle w:val="FootnoteText"/>
      </w:pPr>
      <w:r w:rsidRPr="00EA4C9B">
        <w:rPr>
          <w:rStyle w:val="FootnoteReference"/>
        </w:rPr>
        <w:footnoteRef/>
      </w:r>
      <w:r w:rsidRPr="00EA4C9B">
        <w:t xml:space="preserve"> </w:t>
      </w:r>
      <w:r w:rsidR="00F21A1A">
        <w:tab/>
      </w:r>
      <w:r w:rsidRPr="00EA4C9B">
        <w:t xml:space="preserve">See </w:t>
      </w:r>
      <w:hyperlink r:id="rId37" w:history="1">
        <w:r w:rsidRPr="00EA4C9B">
          <w:rPr>
            <w:rStyle w:val="Hyperlink"/>
          </w:rPr>
          <w:t>https://www.fzoeu.hr/naknada-gospodarenja-ee-otpadom-1419</w:t>
        </w:r>
      </w:hyperlink>
      <w:r w:rsidRPr="00EA4C9B">
        <w:t xml:space="preserve"> for the forms. </w:t>
      </w:r>
    </w:p>
  </w:footnote>
  <w:footnote w:id="74">
    <w:p w14:paraId="22365AB6" w14:textId="4ED801EA" w:rsidR="00392FDA" w:rsidRPr="00EA4C9B" w:rsidRDefault="00392FDA" w:rsidP="002E4F7F">
      <w:pPr>
        <w:pStyle w:val="FootnoteText"/>
      </w:pPr>
      <w:r w:rsidRPr="00EA4C9B">
        <w:rPr>
          <w:rStyle w:val="FootnoteReference"/>
        </w:rPr>
        <w:footnoteRef/>
      </w:r>
      <w:r w:rsidRPr="00EA4C9B">
        <w:t xml:space="preserve"> </w:t>
      </w:r>
      <w:r w:rsidR="00F21A1A">
        <w:tab/>
      </w:r>
      <w:hyperlink r:id="rId38" w:history="1">
        <w:r w:rsidR="00F21A1A" w:rsidRPr="00EC31B9">
          <w:rPr>
            <w:rStyle w:val="Hyperlink"/>
          </w:rPr>
          <w:t>https://narodne-novine.nn.hr/clanci/sluzbeni/2023_10_124_1717.html</w:t>
        </w:r>
      </w:hyperlink>
      <w:r w:rsidRPr="00EA4C9B">
        <w:t xml:space="preserve"> </w:t>
      </w:r>
    </w:p>
  </w:footnote>
  <w:footnote w:id="75">
    <w:p w14:paraId="1A42C9B7" w14:textId="0C55FFA7" w:rsidR="00392FDA" w:rsidRPr="00EA4C9B" w:rsidRDefault="00392FDA" w:rsidP="002E4F7F">
      <w:pPr>
        <w:pStyle w:val="FootnoteText"/>
      </w:pPr>
      <w:r w:rsidRPr="00EA4C9B">
        <w:rPr>
          <w:rStyle w:val="FootnoteReference"/>
        </w:rPr>
        <w:footnoteRef/>
      </w:r>
      <w:r w:rsidRPr="00EA4C9B">
        <w:t xml:space="preserve"> </w:t>
      </w:r>
      <w:r w:rsidR="00F21A1A">
        <w:tab/>
      </w:r>
      <w:r w:rsidRPr="00EA4C9B">
        <w:t>On the following categories: M1 category - motor vehicles for the transport of persons with a maximum of eight seats in addition to the driver's seat, N1 category - motor vehicles for the transport of goods with a maximum permissible weight not exceeding 3.5 tons and three-wheeled vehicles excluding motor tricycles.</w:t>
      </w:r>
    </w:p>
  </w:footnote>
  <w:footnote w:id="76">
    <w:p w14:paraId="0F4143E8" w14:textId="2B57B343" w:rsidR="00392FDA" w:rsidRPr="00EA4C9B" w:rsidRDefault="00392FDA" w:rsidP="002E4F7F">
      <w:pPr>
        <w:pStyle w:val="FootnoteText"/>
      </w:pPr>
      <w:r w:rsidRPr="00EA4C9B">
        <w:rPr>
          <w:rStyle w:val="FootnoteReference"/>
        </w:rPr>
        <w:footnoteRef/>
      </w:r>
      <w:r w:rsidR="004202B9">
        <w:t xml:space="preserve"> </w:t>
      </w:r>
      <w:r w:rsidR="004202B9">
        <w:tab/>
      </w:r>
      <w:hyperlink r:id="rId39" w:history="1">
        <w:r w:rsidR="00F21A1A" w:rsidRPr="00EC31B9">
          <w:rPr>
            <w:rStyle w:val="Hyperlink"/>
          </w:rPr>
          <w:t>https://www.fzoeu.hr/naknada-za-gospodarenje-otpadnim-vozilima-1417</w:t>
        </w:r>
      </w:hyperlink>
      <w:r w:rsidRPr="00EA4C9B">
        <w:t xml:space="preserve"> and </w:t>
      </w:r>
      <w:hyperlink r:id="rId40" w:history="1">
        <w:r w:rsidRPr="00EA4C9B">
          <w:rPr>
            <w:rStyle w:val="Hyperlink"/>
          </w:rPr>
          <w:t>https://www.fzoeu.hr/naknade-8405-8405</w:t>
        </w:r>
      </w:hyperlink>
      <w:r w:rsidRPr="00EA4C9B">
        <w:t xml:space="preserve"> </w:t>
      </w:r>
    </w:p>
  </w:footnote>
  <w:footnote w:id="77">
    <w:p w14:paraId="55D6C743" w14:textId="08132C1D" w:rsidR="00392FDA" w:rsidRPr="00EA4C9B" w:rsidRDefault="00392FDA" w:rsidP="002E4F7F">
      <w:pPr>
        <w:pStyle w:val="FootnoteText"/>
      </w:pPr>
      <w:r w:rsidRPr="00EA4C9B">
        <w:rPr>
          <w:rStyle w:val="FootnoteReference"/>
        </w:rPr>
        <w:footnoteRef/>
      </w:r>
      <w:r w:rsidRPr="00EA4C9B">
        <w:t xml:space="preserve"> </w:t>
      </w:r>
      <w:r w:rsidR="001044AF">
        <w:tab/>
      </w:r>
      <w:hyperlink r:id="rId41" w:history="1">
        <w:r w:rsidR="001044AF" w:rsidRPr="00EC31B9">
          <w:rPr>
            <w:rStyle w:val="Hyperlink"/>
          </w:rPr>
          <w:t>https://narodne-novine.nn.hr/clanci/sluzbeni/2023_10_124_1717.html</w:t>
        </w:r>
      </w:hyperlink>
      <w:r w:rsidRPr="00EA4C9B">
        <w:t xml:space="preserve"> </w:t>
      </w:r>
    </w:p>
  </w:footnote>
  <w:footnote w:id="78">
    <w:p w14:paraId="2BA74715" w14:textId="2726014B" w:rsidR="00392FDA" w:rsidRPr="00EA4C9B" w:rsidRDefault="00392FDA" w:rsidP="00B02676">
      <w:pPr>
        <w:pStyle w:val="FootnoteText"/>
        <w:jc w:val="left"/>
      </w:pPr>
      <w:r w:rsidRPr="00EA4C9B">
        <w:rPr>
          <w:rStyle w:val="FootnoteReference"/>
        </w:rPr>
        <w:footnoteRef/>
      </w:r>
      <w:r w:rsidR="00CF6A50">
        <w:t xml:space="preserve"> </w:t>
      </w:r>
      <w:r w:rsidR="00B02676">
        <w:tab/>
      </w:r>
      <w:hyperlink r:id="rId42" w:history="1">
        <w:r w:rsidR="00393E50" w:rsidRPr="00EC31B9">
          <w:rPr>
            <w:rStyle w:val="Hyperlink"/>
          </w:rPr>
          <w:t>https://www.fzoeu.hr/naknada-za-gospodarenje-s-otpadnim-gumama-1411</w:t>
        </w:r>
      </w:hyperlink>
      <w:r w:rsidRPr="00EA4C9B">
        <w:t xml:space="preserve">, </w:t>
      </w:r>
      <w:hyperlink r:id="rId43" w:history="1">
        <w:r w:rsidRPr="00EA4C9B">
          <w:rPr>
            <w:rStyle w:val="Hyperlink"/>
          </w:rPr>
          <w:t>https://www.fzoeu.hr/naknade-8387-8387</w:t>
        </w:r>
      </w:hyperlink>
      <w:r w:rsidRPr="00EA4C9B">
        <w:t xml:space="preserve"> and </w:t>
      </w:r>
      <w:r w:rsidRPr="00EA4C9B">
        <w:tab/>
      </w:r>
      <w:hyperlink r:id="rId44" w:history="1">
        <w:r w:rsidRPr="00EA4C9B">
          <w:rPr>
            <w:rStyle w:val="Hyperlink"/>
          </w:rPr>
          <w:t>https://narodne-novine.nn.hr/clanci/sluzbeni/2020_05_57_1150.html</w:t>
        </w:r>
      </w:hyperlink>
      <w:r w:rsidRPr="00EA4C9B">
        <w:t xml:space="preserve"> </w:t>
      </w:r>
    </w:p>
  </w:footnote>
  <w:footnote w:id="79">
    <w:p w14:paraId="4B5EC021" w14:textId="768986EC" w:rsidR="00392FDA" w:rsidRPr="00EA4C9B" w:rsidRDefault="00392FDA" w:rsidP="004202B9">
      <w:pPr>
        <w:pStyle w:val="FootnoteText"/>
        <w:jc w:val="left"/>
      </w:pPr>
      <w:r w:rsidRPr="00EA4C9B">
        <w:rPr>
          <w:rStyle w:val="FootnoteReference"/>
        </w:rPr>
        <w:footnoteRef/>
      </w:r>
      <w:r w:rsidRPr="00EA4C9B">
        <w:t xml:space="preserve"> </w:t>
      </w:r>
      <w:r w:rsidR="00393E50">
        <w:tab/>
      </w:r>
      <w:hyperlink r:id="rId45" w:history="1">
        <w:r w:rsidR="00393E50" w:rsidRPr="00EC31B9">
          <w:rPr>
            <w:rStyle w:val="Hyperlink"/>
          </w:rPr>
          <w:t>https://narodne-novine.nn.hr/clanci/sluzbeni/2023_10_124_1717.html</w:t>
        </w:r>
      </w:hyperlink>
      <w:r w:rsidRPr="00EA4C9B">
        <w:t xml:space="preserve"> </w:t>
      </w:r>
    </w:p>
  </w:footnote>
  <w:footnote w:id="80">
    <w:p w14:paraId="0CFD811E" w14:textId="77777777" w:rsidR="00392FDA" w:rsidRPr="00EA4C9B" w:rsidRDefault="00392FDA" w:rsidP="00392FDA">
      <w:pPr>
        <w:pStyle w:val="FootnoteText"/>
      </w:pPr>
      <w:r w:rsidRPr="00EA4C9B">
        <w:rPr>
          <w:rStyle w:val="FootnoteReference"/>
        </w:rPr>
        <w:footnoteRef/>
      </w:r>
      <w:r w:rsidRPr="00EA4C9B">
        <w:t xml:space="preserve"> </w:t>
      </w:r>
      <w:hyperlink r:id="rId46" w:history="1">
        <w:r w:rsidRPr="00EA4C9B">
          <w:rPr>
            <w:rStyle w:val="Hyperlink"/>
          </w:rPr>
          <w:t>https://www.fzoeu.hr/naknada-zbrinjavanja-otpadnih-mazivih-ulja-1413</w:t>
        </w:r>
      </w:hyperlink>
      <w:r w:rsidRPr="00EA4C9B">
        <w:t xml:space="preserve">, </w:t>
      </w:r>
      <w:hyperlink r:id="rId47" w:history="1">
        <w:r w:rsidRPr="00EA4C9B">
          <w:rPr>
            <w:rStyle w:val="Hyperlink"/>
          </w:rPr>
          <w:t>https://www.fzoeu.hr/naknade-8395-8395</w:t>
        </w:r>
      </w:hyperlink>
      <w:r w:rsidRPr="00EA4C9B">
        <w:t xml:space="preserve"> </w:t>
      </w:r>
    </w:p>
  </w:footnote>
  <w:footnote w:id="81">
    <w:p w14:paraId="744F082E" w14:textId="4E18CD41" w:rsidR="00392FDA" w:rsidRPr="00EA4C9B" w:rsidRDefault="00392FDA" w:rsidP="00392FDA">
      <w:pPr>
        <w:pStyle w:val="FootnoteText"/>
      </w:pPr>
      <w:r w:rsidRPr="00EA4C9B">
        <w:rPr>
          <w:rStyle w:val="FootnoteReference"/>
        </w:rPr>
        <w:footnoteRef/>
      </w:r>
      <w:r w:rsidRPr="00EA4C9B">
        <w:t xml:space="preserve"> </w:t>
      </w:r>
      <w:r w:rsidR="00393E50">
        <w:tab/>
      </w:r>
      <w:hyperlink r:id="rId48" w:history="1">
        <w:r w:rsidR="00393E50" w:rsidRPr="00EC31B9">
          <w:rPr>
            <w:rStyle w:val="Hyperlink"/>
          </w:rPr>
          <w:t>https://narodne-novine.nn.hr/clanci/sluzbeni/2004_07_95_1809.html</w:t>
        </w:r>
      </w:hyperlink>
      <w:r w:rsidRPr="00EA4C9B">
        <w:t xml:space="preserve"> The ‘Ordinance on the manner and deadlines for calculating and paying fees for burdening the environment with waste (Official Gazette of the Republic of Croatia, 95/04) also governs the above taxes on NO2 and SO2. </w:t>
      </w:r>
    </w:p>
  </w:footnote>
  <w:footnote w:id="82">
    <w:p w14:paraId="16F9B3F7" w14:textId="765D8FE2" w:rsidR="00392FDA" w:rsidRPr="00EA4C9B" w:rsidRDefault="00392FDA" w:rsidP="00392FDA">
      <w:pPr>
        <w:pStyle w:val="FootnoteText"/>
      </w:pPr>
      <w:r w:rsidRPr="00EA4C9B">
        <w:rPr>
          <w:rStyle w:val="FootnoteReference"/>
        </w:rPr>
        <w:footnoteRef/>
      </w:r>
      <w:r w:rsidRPr="00EA4C9B">
        <w:t xml:space="preserve"> </w:t>
      </w:r>
      <w:hyperlink r:id="rId49" w:history="1">
        <w:r w:rsidR="00393E50" w:rsidRPr="00EC31B9">
          <w:rPr>
            <w:rStyle w:val="Hyperlink"/>
          </w:rPr>
          <w:t>https://narodne-novine.nn.hr/clanci/sluzbeni/2004_05_71_1468.html</w:t>
        </w:r>
      </w:hyperlink>
      <w:r w:rsidRPr="00EA4C9B">
        <w:t xml:space="preserve"> The ‘Regulation on Unit Fees, Correction Coefficients and Detailed Criteria and Benchmarks for Determining Fees for Environmental Pollution of Waste (Official Gazette OG 71/04) also governs the above taxes on NO2 and SO2.</w:t>
      </w:r>
    </w:p>
  </w:footnote>
  <w:footnote w:id="83">
    <w:p w14:paraId="7AD369C1" w14:textId="52C83347" w:rsidR="00392FDA" w:rsidRPr="00EA4C9B" w:rsidRDefault="00392FDA" w:rsidP="00392FDA">
      <w:pPr>
        <w:pStyle w:val="FootnoteText"/>
      </w:pPr>
      <w:r w:rsidRPr="00EA4C9B">
        <w:rPr>
          <w:rStyle w:val="FootnoteReference"/>
        </w:rPr>
        <w:footnoteRef/>
      </w:r>
      <w:r w:rsidR="00566376">
        <w:t xml:space="preserve"> </w:t>
      </w:r>
      <w:r w:rsidR="00566376">
        <w:tab/>
      </w:r>
      <w:r w:rsidR="00566376" w:rsidRPr="00EA4C9B">
        <w:t xml:space="preserve">The amount of the fee for municipal and/or non-hazardous technological waste is calculated according to the expression: N=N1 x O. N - the amount of the fee for non-hazardous industrial waste in HRK, N1 - the fee for one tonne of disposed non-hazardous industrial waste (hereinafter: the unit fee), O - the amount of disposed non-hazardous industrial waste in a calendar year. The fee for the disposal of non-hazardous industrial waste is determined and calculated by multiplying the unit fee by the amount of waste deposited in landfills in a calendar year. </w:t>
      </w:r>
      <w:r w:rsidR="000A1003" w:rsidRPr="00EA4C9B">
        <w:t xml:space="preserve">See: </w:t>
      </w:r>
      <w:hyperlink r:id="rId50" w:history="1">
        <w:r w:rsidR="000A1003" w:rsidRPr="00EA4C9B">
          <w:rPr>
            <w:rStyle w:val="Hyperlink"/>
          </w:rPr>
          <w:t>https://vlada.gov.hr/UserDocsImages//2016/Sjednice/Arhiva//24-11a.pdf</w:t>
        </w:r>
      </w:hyperlink>
      <w:r w:rsidR="000A1003" w:rsidRPr="00EA4C9B">
        <w:t xml:space="preserve">, </w:t>
      </w:r>
      <w:hyperlink r:id="rId51" w:history="1">
        <w:r w:rsidR="000A1003" w:rsidRPr="00C24260">
          <w:rPr>
            <w:rStyle w:val="Hyperlink"/>
          </w:rPr>
          <w:t>https://www.fzoeu.hr/naknada-na-opterecivanje-okolisa-otpadom-1401</w:t>
        </w:r>
      </w:hyperlink>
    </w:p>
  </w:footnote>
  <w:footnote w:id="84">
    <w:p w14:paraId="4F3D7502" w14:textId="6E2CF877" w:rsidR="00392FDA" w:rsidRPr="00EA4C9B" w:rsidRDefault="00392FDA" w:rsidP="00566376">
      <w:pPr>
        <w:pStyle w:val="FootnoteText"/>
        <w:ind w:left="0" w:firstLine="0"/>
      </w:pPr>
    </w:p>
  </w:footnote>
  <w:footnote w:id="85">
    <w:p w14:paraId="03BEB8A7" w14:textId="415296B3" w:rsidR="00392FDA" w:rsidRPr="00EA4C9B" w:rsidRDefault="00392FDA" w:rsidP="00B02676">
      <w:pPr>
        <w:pStyle w:val="FootnoteText"/>
        <w:ind w:left="0" w:firstLine="0"/>
        <w:jc w:val="left"/>
      </w:pPr>
      <w:r w:rsidRPr="00EA4C9B">
        <w:rPr>
          <w:rStyle w:val="FootnoteReference"/>
        </w:rPr>
        <w:footnoteRef/>
      </w:r>
      <w:r w:rsidRPr="00EA4C9B">
        <w:t xml:space="preserve">  </w:t>
      </w:r>
      <w:hyperlink r:id="rId52" w:history="1">
        <w:r w:rsidR="00B02676" w:rsidRPr="00EC31B9">
          <w:rPr>
            <w:rStyle w:val="Hyperlink"/>
          </w:rPr>
          <w:t>https://narodne-novine.nn.hr/clanci/sluzbeni/2004_07_95_1809.html</w:t>
        </w:r>
      </w:hyperlink>
      <w:r w:rsidRPr="00EA4C9B">
        <w:t xml:space="preserve"> </w:t>
      </w:r>
    </w:p>
  </w:footnote>
  <w:footnote w:id="86">
    <w:p w14:paraId="46BE99DC" w14:textId="15E12FC5" w:rsidR="00392FDA" w:rsidRPr="00EA4C9B" w:rsidRDefault="00392FDA" w:rsidP="00B02676">
      <w:pPr>
        <w:pStyle w:val="FootnoteText"/>
        <w:jc w:val="left"/>
      </w:pPr>
      <w:r w:rsidRPr="00EA4C9B">
        <w:rPr>
          <w:rStyle w:val="FootnoteReference"/>
        </w:rPr>
        <w:footnoteRef/>
      </w:r>
      <w:r w:rsidRPr="00EA4C9B">
        <w:t xml:space="preserve"> </w:t>
      </w:r>
      <w:r w:rsidR="004202B9">
        <w:tab/>
      </w:r>
      <w:hyperlink r:id="rId53" w:history="1">
        <w:r w:rsidR="004202B9" w:rsidRPr="00EC31B9">
          <w:rPr>
            <w:rStyle w:val="Hyperlink"/>
          </w:rPr>
          <w:t>https://narodne-novine.nn.hr/clanci/sluzbeni/2004_05_71_1468.html</w:t>
        </w:r>
      </w:hyperlink>
      <w:r w:rsidRPr="00EA4C9B">
        <w:t xml:space="preserve"> </w:t>
      </w:r>
    </w:p>
  </w:footnote>
  <w:footnote w:id="87">
    <w:p w14:paraId="192179CC" w14:textId="73D763F1" w:rsidR="00392FDA" w:rsidRPr="00EA4C9B" w:rsidRDefault="00392FDA" w:rsidP="00392FDA">
      <w:pPr>
        <w:pStyle w:val="FootnoteText"/>
      </w:pPr>
      <w:r w:rsidRPr="00EA4C9B">
        <w:rPr>
          <w:rStyle w:val="FootnoteReference"/>
        </w:rPr>
        <w:footnoteRef/>
      </w:r>
      <w:r w:rsidRPr="00EA4C9B">
        <w:t xml:space="preserve"> </w:t>
      </w:r>
      <w:r w:rsidR="004202B9">
        <w:tab/>
      </w:r>
      <w:hyperlink r:id="rId54" w:history="1">
        <w:r w:rsidR="004202B9" w:rsidRPr="00EC31B9">
          <w:rPr>
            <w:rStyle w:val="Hyperlink"/>
          </w:rPr>
          <w:t>https://www.fzoeu.hr/naknada-na-opterecivanje-okolisa-otpadom-1401</w:t>
        </w:r>
      </w:hyperlink>
      <w:r w:rsidRPr="00EA4C9B">
        <w:t xml:space="preserve"> </w:t>
      </w:r>
    </w:p>
  </w:footnote>
  <w:footnote w:id="88">
    <w:p w14:paraId="344A37AA" w14:textId="0C0447AA" w:rsidR="00392FDA" w:rsidRPr="00EA4C9B" w:rsidRDefault="00392FDA" w:rsidP="00B02676">
      <w:pPr>
        <w:pStyle w:val="FootnoteText"/>
      </w:pPr>
      <w:r w:rsidRPr="00EA4C9B">
        <w:rPr>
          <w:rStyle w:val="FootnoteReference"/>
        </w:rPr>
        <w:footnoteRef/>
      </w:r>
      <w:r w:rsidRPr="00EA4C9B">
        <w:t xml:space="preserve"> </w:t>
      </w:r>
      <w:r w:rsidR="00CF6A50">
        <w:tab/>
      </w:r>
      <w:r w:rsidRPr="00EA4C9B">
        <w:t xml:space="preserve">The fee for hazardous waste is calculated according to the expression N = N1 x P x Kk. N- the amount of the fee for hazardous waste in kuna, N1 - the fee for one tonne of produced and untreated or unexported hazardous waste (hereinafter: the unit fee), P - the amount of produced and untreated or unexported hazardous waste in a calendar year, Kk - the correction coefficient depending on the characteristics of the hazardous waste. The amount of the fee shall be determined and calculated by multiplying the unit fee by the amount of hazardous waste produced and not treated or exported in a calendar year, and by the correction coefficient referred to in the relevant Article. See: </w:t>
      </w:r>
      <w:hyperlink r:id="rId55" w:history="1">
        <w:r w:rsidRPr="00EA4C9B">
          <w:rPr>
            <w:rStyle w:val="Hyperlink"/>
          </w:rPr>
          <w:t>https://vlada.gov.hr/UserDocsImages//2016/Sjednice/Arhiva//24-11a.pdf</w:t>
        </w:r>
      </w:hyperlink>
      <w:r w:rsidRPr="00EA4C9B">
        <w:t xml:space="preserve">, </w:t>
      </w:r>
      <w:hyperlink r:id="rId56" w:history="1">
        <w:r w:rsidR="00B02676" w:rsidRPr="00EC31B9">
          <w:rPr>
            <w:rStyle w:val="Hyperlink"/>
          </w:rPr>
          <w:t>https://www.fzoeu.hr/naknada-na-opterecivanje-okolisa-otpadom-1401</w:t>
        </w:r>
      </w:hyperlink>
    </w:p>
  </w:footnote>
  <w:footnote w:id="89">
    <w:p w14:paraId="1261000E" w14:textId="77777777" w:rsidR="002A2F68" w:rsidRDefault="002A2F68"/>
    <w:p w14:paraId="088D28EA" w14:textId="77777777" w:rsidR="00392FDA" w:rsidRPr="00EA4C9B" w:rsidRDefault="00392FDA" w:rsidP="002E4F7F">
      <w:pPr>
        <w:pStyle w:val="FootnoteText"/>
        <w:tabs>
          <w:tab w:val="left" w:pos="3645"/>
        </w:tabs>
        <w:ind w:left="0" w:firstLine="0"/>
      </w:pPr>
    </w:p>
  </w:footnote>
  <w:footnote w:id="90">
    <w:p w14:paraId="2A6758A0" w14:textId="4DD3A5B3" w:rsidR="00392FDA" w:rsidRPr="00EA4C9B" w:rsidRDefault="00392FDA" w:rsidP="00392FDA">
      <w:pPr>
        <w:pStyle w:val="FootnoteText"/>
      </w:pPr>
      <w:r w:rsidRPr="00EA4C9B">
        <w:rPr>
          <w:rStyle w:val="FootnoteReference"/>
        </w:rPr>
        <w:footnoteRef/>
      </w:r>
      <w:r w:rsidRPr="00EA4C9B">
        <w:t xml:space="preserve"> </w:t>
      </w:r>
      <w:r w:rsidR="00CF6A50">
        <w:tab/>
      </w:r>
      <w:hyperlink r:id="rId57" w:history="1">
        <w:r w:rsidR="00CF6A50" w:rsidRPr="00EC31B9">
          <w:rPr>
            <w:rStyle w:val="Hyperlink"/>
          </w:rPr>
          <w:t>https://narodne-novine.nn.hr/clanci/sluzbeni/2024_11_128_2133.html</w:t>
        </w:r>
      </w:hyperlink>
      <w:r w:rsidRPr="00EA4C9B">
        <w:t xml:space="preserve"> </w:t>
      </w:r>
    </w:p>
  </w:footnote>
  <w:footnote w:id="91">
    <w:p w14:paraId="59BFADC4" w14:textId="434707C8" w:rsidR="00392FDA" w:rsidRPr="00EA4C9B" w:rsidRDefault="00392FDA" w:rsidP="00B02676">
      <w:pPr>
        <w:pStyle w:val="FootnoteText"/>
      </w:pPr>
      <w:r w:rsidRPr="00EA4C9B">
        <w:rPr>
          <w:rStyle w:val="FootnoteReference"/>
        </w:rPr>
        <w:footnoteRef/>
      </w:r>
      <w:r w:rsidRPr="00EA4C9B">
        <w:t xml:space="preserve"> </w:t>
      </w:r>
      <w:r w:rsidR="00E9679E">
        <w:tab/>
      </w:r>
      <w:hyperlink r:id="rId58" w:history="1">
        <w:r w:rsidR="00E9679E" w:rsidRPr="00EC31B9">
          <w:rPr>
            <w:rStyle w:val="Hyperlink"/>
          </w:rPr>
          <w:t>https://narodne-novine.nn.hr/clanci/sluzbeni/2024_11_128_2133.html</w:t>
        </w:r>
      </w:hyperlink>
      <w:r w:rsidRPr="00EA4C9B">
        <w:t>,</w:t>
      </w:r>
      <w:r w:rsidR="002E4F7F">
        <w:t xml:space="preserve"> </w:t>
      </w:r>
      <w:hyperlink r:id="rId59" w:history="1">
        <w:r w:rsidR="006F6ED0" w:rsidRPr="00C24260">
          <w:rPr>
            <w:rStyle w:val="Hyperlink"/>
          </w:rPr>
          <w:t>https://faolex.fao.org/docs/pdf/cro145591.pdf</w:t>
        </w:r>
      </w:hyperlink>
      <w:r w:rsidRPr="00EA4C9B">
        <w:t>,</w:t>
      </w:r>
      <w:r w:rsidR="006F6ED0">
        <w:t xml:space="preserve"> </w:t>
      </w:r>
      <w:hyperlink r:id="rId60" w:history="1">
        <w:r w:rsidR="002E4F7F" w:rsidRPr="00C24260">
          <w:rPr>
            <w:rStyle w:val="Hyperlink"/>
          </w:rPr>
          <w:t>https://zapresic.hr/wp-content/uploads/2022/11/7.2.-Program-utroska-sumski-doprinos-2023.pdf</w:t>
        </w:r>
      </w:hyperlink>
      <w:r w:rsidRPr="00EA4C9B">
        <w:t xml:space="preserve"> </w:t>
      </w:r>
    </w:p>
  </w:footnote>
  <w:footnote w:id="92">
    <w:p w14:paraId="297A2886" w14:textId="202915DC" w:rsidR="00392FDA" w:rsidRPr="00EA4C9B" w:rsidRDefault="00392FDA" w:rsidP="00392FDA">
      <w:pPr>
        <w:pStyle w:val="FootnoteText"/>
      </w:pPr>
      <w:r w:rsidRPr="00EA4C9B">
        <w:rPr>
          <w:rStyle w:val="FootnoteReference"/>
        </w:rPr>
        <w:footnoteRef/>
      </w:r>
      <w:r w:rsidRPr="00EA4C9B">
        <w:t xml:space="preserve"> </w:t>
      </w:r>
      <w:bookmarkStart w:id="130" w:name="_Hlk192067467"/>
      <w:r w:rsidR="00466EF5">
        <w:tab/>
      </w:r>
      <w:r w:rsidRPr="00EA4C9B">
        <w:t xml:space="preserve">Ministry of Agriculture, Forestry and Fisheries (2024) Ordinance on the method of calculation and the procedure for the payment of the forest contribution. </w:t>
      </w:r>
      <w:bookmarkEnd w:id="130"/>
      <w:r w:rsidRPr="00EA4C9B">
        <w:t xml:space="preserve">Available at: </w:t>
      </w:r>
      <w:hyperlink r:id="rId61" w:history="1">
        <w:r w:rsidR="00FE1908" w:rsidRPr="00C24260">
          <w:rPr>
            <w:rStyle w:val="Hyperlink"/>
          </w:rPr>
          <w:t>https://narodne-novine.nn.hr/clanci/sluzbeni/2024_11_128_2133.html</w:t>
        </w:r>
      </w:hyperlink>
      <w:r w:rsidRPr="00EA4C9B">
        <w:t xml:space="preserve"> </w:t>
      </w:r>
    </w:p>
  </w:footnote>
  <w:footnote w:id="93">
    <w:p w14:paraId="4E715ADF" w14:textId="391FA1AF" w:rsidR="00392FDA" w:rsidRPr="00EA4C9B" w:rsidRDefault="00392FDA" w:rsidP="00F04714">
      <w:pPr>
        <w:pStyle w:val="FootnoteText"/>
      </w:pPr>
      <w:r w:rsidRPr="00EA4C9B">
        <w:rPr>
          <w:rStyle w:val="FootnoteReference"/>
        </w:rPr>
        <w:footnoteRef/>
      </w:r>
      <w:r w:rsidRPr="00EA4C9B">
        <w:t xml:space="preserve"> </w:t>
      </w:r>
      <w:r w:rsidR="00F04714">
        <w:tab/>
      </w:r>
      <w:hyperlink r:id="rId62" w:history="1">
        <w:r w:rsidR="00F04714" w:rsidRPr="00CB2CCD">
          <w:rPr>
            <w:rStyle w:val="Hyperlink"/>
          </w:rPr>
          <w:t>https://poljoprivreda.gov.hr/istaknute-teme/sume-112/sumarstvo/obavijest-uplate-naknade-za-koristenje-okfs-a/248</w:t>
        </w:r>
      </w:hyperlink>
      <w:r w:rsidRPr="00EA4C9B">
        <w:t xml:space="preserve"> </w:t>
      </w:r>
    </w:p>
  </w:footnote>
  <w:footnote w:id="94">
    <w:p w14:paraId="6DB7EDB5" w14:textId="5337BF7C" w:rsidR="00392FDA" w:rsidRPr="00EA4C9B" w:rsidRDefault="00392FDA" w:rsidP="00F04714">
      <w:pPr>
        <w:pStyle w:val="FootnoteText"/>
      </w:pPr>
      <w:r w:rsidRPr="00EA4C9B">
        <w:rPr>
          <w:rStyle w:val="FootnoteReference"/>
        </w:rPr>
        <w:footnoteRef/>
      </w:r>
      <w:r w:rsidRPr="00EA4C9B">
        <w:t xml:space="preserve"> </w:t>
      </w:r>
      <w:r w:rsidR="00B02676">
        <w:tab/>
      </w:r>
      <w:hyperlink r:id="rId63" w:history="1">
        <w:r w:rsidR="00B02676" w:rsidRPr="00EC31B9">
          <w:rPr>
            <w:rStyle w:val="Hyperlink"/>
          </w:rPr>
          <w:t>https://www.fzoeu.hr/naknada-na-opterecivanje-okolisa-otpadom-1401</w:t>
        </w:r>
      </w:hyperlink>
      <w:r w:rsidRPr="00EA4C9B">
        <w:t xml:space="preserve"> </w:t>
      </w:r>
    </w:p>
  </w:footnote>
  <w:footnote w:id="95">
    <w:p w14:paraId="44272AA5" w14:textId="2716F772" w:rsidR="00392FDA" w:rsidRPr="00EA4C9B" w:rsidRDefault="00392FDA" w:rsidP="00F04714">
      <w:pPr>
        <w:pStyle w:val="FootnoteText"/>
        <w:jc w:val="left"/>
      </w:pPr>
      <w:r w:rsidRPr="00EA4C9B">
        <w:rPr>
          <w:rStyle w:val="FootnoteReference"/>
        </w:rPr>
        <w:footnoteRef/>
      </w:r>
      <w:r w:rsidRPr="00EA4C9B">
        <w:t xml:space="preserve"> </w:t>
      </w:r>
      <w:r w:rsidR="00B02676">
        <w:tab/>
      </w:r>
      <w:hyperlink r:id="rId64" w:history="1">
        <w:r w:rsidR="00B02676" w:rsidRPr="00EC31B9">
          <w:rPr>
            <w:rStyle w:val="Hyperlink"/>
          </w:rPr>
          <w:t>https://www.zakon.hr/z/560/Zakon-o-Fondu-za-za%C5%A1titu-okoli%C5%A1a-i-energetsku-u%C4%8Dinkovitost</w:t>
        </w:r>
      </w:hyperlink>
      <w:r w:rsidRPr="00EA4C9B">
        <w:t xml:space="preserve"> </w:t>
      </w:r>
    </w:p>
  </w:footnote>
  <w:footnote w:id="96">
    <w:p w14:paraId="2D9BD961" w14:textId="0A1313E4" w:rsidR="00392FDA" w:rsidRPr="00EA4C9B" w:rsidRDefault="00392FDA" w:rsidP="00F04714">
      <w:pPr>
        <w:pStyle w:val="FootnoteText"/>
      </w:pPr>
      <w:r w:rsidRPr="00EA4C9B">
        <w:rPr>
          <w:rStyle w:val="FootnoteReference"/>
        </w:rPr>
        <w:footnoteRef/>
      </w:r>
      <w:r w:rsidRPr="00EA4C9B">
        <w:t xml:space="preserve"> </w:t>
      </w:r>
      <w:r w:rsidR="00F5725D">
        <w:tab/>
      </w:r>
      <w:r w:rsidRPr="00EA4C9B">
        <w:t xml:space="preserve">For other water related laws, see </w:t>
      </w:r>
      <w:hyperlink r:id="rId65" w:history="1">
        <w:r w:rsidRPr="00EA4C9B">
          <w:rPr>
            <w:rStyle w:val="Hyperlink"/>
          </w:rPr>
          <w:t>https://www.voda.hr/hr/hrvatsko-vodno-zakonodavstvo</w:t>
        </w:r>
      </w:hyperlink>
      <w:r w:rsidRPr="00EA4C9B">
        <w:t xml:space="preserve"> </w:t>
      </w:r>
    </w:p>
  </w:footnote>
  <w:footnote w:id="97">
    <w:p w14:paraId="4EEF251F" w14:textId="1F6CD6CE" w:rsidR="00392FDA" w:rsidRPr="00EA4C9B" w:rsidRDefault="00392FDA" w:rsidP="00F04714">
      <w:pPr>
        <w:pStyle w:val="FootnoteText"/>
      </w:pPr>
      <w:r w:rsidRPr="00EA4C9B">
        <w:rPr>
          <w:rStyle w:val="FootnoteReference"/>
        </w:rPr>
        <w:footnoteRef/>
      </w:r>
      <w:r w:rsidRPr="00EA4C9B">
        <w:t xml:space="preserve"> </w:t>
      </w:r>
      <w:r w:rsidR="00F04714">
        <w:tab/>
      </w:r>
      <w:r w:rsidRPr="00EA4C9B">
        <w:t>The Water Management Financing Act determines the sources of funds for the financing of water management, and in particular water fees, including the obligation to pay, the taxpayer, the base, the method of calculation, the determination of the amount, the purpose of spending these funds, enforcement, statute of limitations and other issues related to the realization and use of these funds.</w:t>
      </w:r>
    </w:p>
    <w:p w14:paraId="476FE9A8" w14:textId="77777777" w:rsidR="00392FDA" w:rsidRPr="009E42AC" w:rsidRDefault="00392FDA" w:rsidP="009E42AC">
      <w:pPr>
        <w:pStyle w:val="FootnoteText"/>
        <w:ind w:firstLine="0"/>
      </w:pPr>
      <w:r w:rsidRPr="009E42AC">
        <w:t>The Water Management Financing Act (Official Gazette, no. </w:t>
      </w:r>
      <w:hyperlink r:id="rId66" w:tgtFrame="_blank" w:tooltip="(opens in a new window)" w:history="1">
        <w:r w:rsidRPr="009E42AC">
          <w:rPr>
            <w:rStyle w:val="Hyperlink"/>
            <w:color w:val="auto"/>
            <w:u w:val="none"/>
          </w:rPr>
          <w:t>153/2009</w:t>
        </w:r>
      </w:hyperlink>
      <w:r w:rsidRPr="009E42AC">
        <w:t>, </w:t>
      </w:r>
      <w:hyperlink r:id="rId67" w:tgtFrame="_blank" w:tooltip="(opens in a new window)" w:history="1">
        <w:r w:rsidRPr="009E42AC">
          <w:rPr>
            <w:rStyle w:val="Hyperlink"/>
            <w:color w:val="auto"/>
            <w:u w:val="none"/>
          </w:rPr>
          <w:t>90/2011</w:t>
        </w:r>
      </w:hyperlink>
      <w:r w:rsidRPr="009E42AC">
        <w:t>, </w:t>
      </w:r>
      <w:hyperlink r:id="rId68" w:tgtFrame="_blank" w:tooltip="(opens in a new window)" w:history="1">
        <w:r w:rsidRPr="009E42AC">
          <w:rPr>
            <w:rStyle w:val="Hyperlink"/>
            <w:color w:val="auto"/>
            <w:u w:val="none"/>
          </w:rPr>
          <w:t>56/2013</w:t>
        </w:r>
      </w:hyperlink>
      <w:r w:rsidRPr="009E42AC">
        <w:t>, </w:t>
      </w:r>
      <w:hyperlink r:id="rId69" w:tgtFrame="_blank" w:tooltip="(opens in a new window)" w:history="1">
        <w:r w:rsidRPr="009E42AC">
          <w:rPr>
            <w:rStyle w:val="Hyperlink"/>
            <w:color w:val="auto"/>
            <w:u w:val="none"/>
          </w:rPr>
          <w:t>120/2016</w:t>
        </w:r>
      </w:hyperlink>
      <w:r w:rsidRPr="009E42AC">
        <w:t>, </w:t>
      </w:r>
      <w:hyperlink r:id="rId70" w:tgtFrame="_blank" w:tooltip="(opens in a new window)" w:history="1">
        <w:r w:rsidRPr="009E42AC">
          <w:rPr>
            <w:rStyle w:val="Hyperlink"/>
            <w:color w:val="auto"/>
            <w:u w:val="none"/>
          </w:rPr>
          <w:t>127/2017</w:t>
        </w:r>
      </w:hyperlink>
      <w:r w:rsidRPr="009E42AC">
        <w:t>, </w:t>
      </w:r>
      <w:hyperlink r:id="rId71" w:tgtFrame="_blank" w:tooltip="(opens in a new window)" w:history="1">
        <w:r w:rsidRPr="009E42AC">
          <w:rPr>
            <w:rStyle w:val="Hyperlink"/>
            <w:color w:val="auto"/>
            <w:u w:val="none"/>
          </w:rPr>
          <w:t>66/2019</w:t>
        </w:r>
      </w:hyperlink>
      <w:r w:rsidRPr="009E42AC">
        <w:t> and </w:t>
      </w:r>
      <w:hyperlink r:id="rId72" w:tgtFrame="_blank" w:tooltip="(opens in a new window)" w:history="1">
        <w:r w:rsidRPr="009E42AC">
          <w:rPr>
            <w:rStyle w:val="Hyperlink"/>
            <w:color w:val="auto"/>
            <w:u w:val="none"/>
          </w:rPr>
          <w:t>36/2024</w:t>
        </w:r>
      </w:hyperlink>
      <w:r w:rsidRPr="009E42AC">
        <w:t>)</w:t>
      </w:r>
    </w:p>
    <w:p w14:paraId="2B63B23E" w14:textId="77777777" w:rsidR="00392FDA" w:rsidRPr="009E42AC" w:rsidRDefault="00392FDA" w:rsidP="009E42AC">
      <w:pPr>
        <w:pStyle w:val="FootnoteText"/>
        <w:ind w:firstLine="0"/>
      </w:pPr>
      <w:r w:rsidRPr="009E42AC">
        <w:t>The Act on Amendments to the Physical Planning and Construction Act (Official Gazette, no. </w:t>
      </w:r>
      <w:hyperlink r:id="rId73" w:tgtFrame="_blank" w:tooltip="(opens in a new window)" w:history="1">
        <w:r w:rsidRPr="009E42AC">
          <w:rPr>
            <w:rStyle w:val="Hyperlink"/>
            <w:color w:val="auto"/>
            <w:u w:val="none"/>
          </w:rPr>
          <w:t>90/2011</w:t>
        </w:r>
      </w:hyperlink>
      <w:r w:rsidRPr="009E42AC">
        <w:t>) partially repealed certain provisions of the Water Management Financing Act</w:t>
      </w:r>
    </w:p>
    <w:p w14:paraId="2AB9B0B1" w14:textId="77777777" w:rsidR="00392FDA" w:rsidRPr="009E42AC" w:rsidRDefault="00392FDA" w:rsidP="00F87338">
      <w:pPr>
        <w:pStyle w:val="FootnoteText"/>
        <w:ind w:firstLine="0"/>
      </w:pPr>
      <w:r w:rsidRPr="009E42AC">
        <w:t>Decree amending the Water Management Financing Act (Official Gazette, no. </w:t>
      </w:r>
      <w:hyperlink r:id="rId74" w:tgtFrame="_blank" w:tooltip="(opens in a new window)" w:history="1">
        <w:r w:rsidRPr="009E42AC">
          <w:rPr>
            <w:rStyle w:val="Hyperlink"/>
            <w:color w:val="auto"/>
            <w:u w:val="none"/>
          </w:rPr>
          <w:t>154/2014</w:t>
        </w:r>
      </w:hyperlink>
      <w:r w:rsidRPr="009E42AC">
        <w:t>)</w:t>
      </w:r>
    </w:p>
    <w:p w14:paraId="42897031" w14:textId="45FD2EA5" w:rsidR="00392FDA" w:rsidRPr="004202B9" w:rsidRDefault="00392FDA" w:rsidP="00F87338">
      <w:pPr>
        <w:pStyle w:val="FootnoteText"/>
        <w:ind w:firstLine="0"/>
        <w:rPr>
          <w:sz w:val="18"/>
          <w:szCs w:val="18"/>
        </w:rPr>
      </w:pPr>
      <w:r w:rsidRPr="009E42AC">
        <w:t>Decree amending the Water Management Financing Act (Official Gazette, no. </w:t>
      </w:r>
      <w:hyperlink r:id="rId75" w:tgtFrame="_blank" w:tooltip="(opens in a new window)" w:history="1">
        <w:r w:rsidRPr="009E42AC">
          <w:rPr>
            <w:rStyle w:val="Hyperlink"/>
            <w:color w:val="auto"/>
            <w:u w:val="none"/>
          </w:rPr>
          <w:t>119/2015</w:t>
        </w:r>
      </w:hyperlink>
      <w:r w:rsidRPr="009E42AC">
        <w:t>)</w:t>
      </w:r>
    </w:p>
  </w:footnote>
  <w:footnote w:id="98">
    <w:p w14:paraId="2DA1DB1F" w14:textId="77505FB9" w:rsidR="00392FDA" w:rsidRPr="00EA4C9B" w:rsidRDefault="00392FDA" w:rsidP="00F04714">
      <w:pPr>
        <w:pStyle w:val="FootnoteText"/>
      </w:pPr>
      <w:r w:rsidRPr="00EA4C9B">
        <w:rPr>
          <w:rStyle w:val="FootnoteReference"/>
        </w:rPr>
        <w:footnoteRef/>
      </w:r>
      <w:r w:rsidRPr="00EA4C9B">
        <w:t xml:space="preserve"> </w:t>
      </w:r>
      <w:r w:rsidR="004202B9">
        <w:tab/>
      </w:r>
      <w:r w:rsidRPr="00EA4C9B">
        <w:t>Physical Planning Act - Official Gazette 153/2013</w:t>
      </w:r>
    </w:p>
  </w:footnote>
  <w:footnote w:id="99">
    <w:p w14:paraId="35600D81" w14:textId="61753A16" w:rsidR="00392FDA" w:rsidRPr="00EA4C9B" w:rsidRDefault="00392FDA" w:rsidP="00F04714">
      <w:pPr>
        <w:pStyle w:val="FootnoteText"/>
      </w:pPr>
      <w:r w:rsidRPr="00EA4C9B">
        <w:rPr>
          <w:rStyle w:val="FootnoteReference"/>
        </w:rPr>
        <w:footnoteRef/>
      </w:r>
      <w:r w:rsidRPr="00EA4C9B">
        <w:t xml:space="preserve"> </w:t>
      </w:r>
      <w:r w:rsidR="004202B9">
        <w:tab/>
      </w:r>
      <w:r w:rsidRPr="00EA4C9B">
        <w:t>Act on Areas of Special State Concern - OG 86/2008, 57/2011, 51A/2013, 148/2013, 76/2014, 147/2014 and 18/2015. See: https://www.voda.hr/hr/vodne-naknade</w:t>
      </w:r>
    </w:p>
  </w:footnote>
  <w:footnote w:id="100">
    <w:p w14:paraId="40F2CE27" w14:textId="69423DD3" w:rsidR="00392FDA" w:rsidRPr="00EA4C9B" w:rsidRDefault="00392FDA" w:rsidP="00392FDA">
      <w:pPr>
        <w:pStyle w:val="FootnoteText"/>
      </w:pPr>
      <w:r w:rsidRPr="00EA4C9B">
        <w:rPr>
          <w:rStyle w:val="FootnoteReference"/>
        </w:rPr>
        <w:footnoteRef/>
      </w:r>
      <w:r w:rsidRPr="00EA4C9B">
        <w:t xml:space="preserve"> </w:t>
      </w:r>
      <w:r w:rsidR="004202B9">
        <w:tab/>
      </w:r>
      <w:r w:rsidRPr="00EA4C9B">
        <w:t xml:space="preserve">The income from the water contribution (natural persons) tax is used is used ‘according to the principles of solidarity and priority in needs in the territory of the Republic of Croatia’. For more examples of what the water contribution (natural persons) tax finances, see: </w:t>
      </w:r>
      <w:bookmarkStart w:id="132" w:name="_Hlk192067550"/>
      <w:r w:rsidRPr="00EA4C9B">
        <w:t xml:space="preserve">Hrvatske Vode (Accessed 2025a) </w:t>
      </w:r>
      <w:r w:rsidRPr="00EA4C9B">
        <w:rPr>
          <w:i/>
          <w:iCs/>
        </w:rPr>
        <w:t>Water fees – Water contribution.</w:t>
      </w:r>
      <w:r w:rsidRPr="00EA4C9B">
        <w:t xml:space="preserve"> </w:t>
      </w:r>
      <w:bookmarkEnd w:id="132"/>
      <w:r w:rsidRPr="00EA4C9B">
        <w:t xml:space="preserve">Available at: </w:t>
      </w:r>
      <w:hyperlink r:id="rId76" w:history="1">
        <w:r w:rsidRPr="00EA4C9B">
          <w:rPr>
            <w:rStyle w:val="Hyperlink"/>
          </w:rPr>
          <w:t>https://www.voda.hr/hr/vodne-naknade</w:t>
        </w:r>
      </w:hyperlink>
      <w:r w:rsidRPr="00EA4C9B">
        <w:t xml:space="preserve">   </w:t>
      </w:r>
    </w:p>
  </w:footnote>
  <w:footnote w:id="101">
    <w:p w14:paraId="3DDB822A" w14:textId="2D4AADB5" w:rsidR="00392FDA" w:rsidRPr="00EA4C9B" w:rsidRDefault="00392FDA" w:rsidP="00392FDA">
      <w:pPr>
        <w:pStyle w:val="FootnoteText"/>
      </w:pPr>
      <w:r w:rsidRPr="00EA4C9B">
        <w:rPr>
          <w:rStyle w:val="FootnoteReference"/>
        </w:rPr>
        <w:footnoteRef/>
      </w:r>
      <w:r w:rsidRPr="00EA4C9B">
        <w:t xml:space="preserve"> </w:t>
      </w:r>
      <w:r w:rsidR="004202B9">
        <w:tab/>
      </w:r>
      <w:r w:rsidRPr="00EA4C9B">
        <w:t xml:space="preserve">For other water related laws, see </w:t>
      </w:r>
      <w:hyperlink r:id="rId77" w:history="1">
        <w:r w:rsidRPr="00EA4C9B">
          <w:rPr>
            <w:rStyle w:val="Hyperlink"/>
          </w:rPr>
          <w:t>https://www.voda.hr/hr/hrvatsko-vodno-zakonodavstvo</w:t>
        </w:r>
      </w:hyperlink>
      <w:r w:rsidRPr="00EA4C9B">
        <w:t xml:space="preserve"> </w:t>
      </w:r>
    </w:p>
  </w:footnote>
  <w:footnote w:id="102">
    <w:p w14:paraId="291D507D" w14:textId="77777777" w:rsidR="00392FDA" w:rsidRPr="00EA4C9B" w:rsidRDefault="00392FDA" w:rsidP="00392FDA">
      <w:pPr>
        <w:pStyle w:val="FootnoteText"/>
      </w:pPr>
      <w:r w:rsidRPr="00EA4C9B">
        <w:rPr>
          <w:rStyle w:val="FootnoteReference"/>
        </w:rPr>
        <w:footnoteRef/>
      </w:r>
      <w:r w:rsidRPr="00EA4C9B">
        <w:t xml:space="preserve"> The Water Management Financing Act determines the sources of funds for the financing of water management, and in particular water fees, including the obligation to pay, the taxpayer, the base, the method of calculation, the determination of the amount, the purpose of spending these funds, enforcement, statute of limitations and other issues related to the realization and use of these funds.</w:t>
      </w:r>
    </w:p>
    <w:p w14:paraId="64A58CF8" w14:textId="77777777" w:rsidR="00392FDA" w:rsidRPr="00A74A02" w:rsidRDefault="00392FDA" w:rsidP="009B400E">
      <w:pPr>
        <w:pStyle w:val="FootnoteText"/>
        <w:numPr>
          <w:ilvl w:val="0"/>
          <w:numId w:val="32"/>
        </w:numPr>
        <w:rPr>
          <w:sz w:val="18"/>
          <w:szCs w:val="18"/>
        </w:rPr>
      </w:pPr>
      <w:r w:rsidRPr="00A74A02">
        <w:rPr>
          <w:sz w:val="18"/>
          <w:szCs w:val="18"/>
        </w:rPr>
        <w:t>The Water Management Financing Act (Official Gazette, no. </w:t>
      </w:r>
      <w:hyperlink r:id="rId78" w:tgtFrame="_blank" w:tooltip="(opens in a new window)" w:history="1">
        <w:r w:rsidRPr="00A74A02">
          <w:rPr>
            <w:sz w:val="18"/>
            <w:szCs w:val="18"/>
          </w:rPr>
          <w:t>153/2009</w:t>
        </w:r>
      </w:hyperlink>
      <w:r w:rsidRPr="00A74A02">
        <w:rPr>
          <w:sz w:val="18"/>
          <w:szCs w:val="18"/>
        </w:rPr>
        <w:t>, </w:t>
      </w:r>
      <w:hyperlink r:id="rId79" w:tgtFrame="_blank" w:tooltip="(opens in a new window)" w:history="1">
        <w:r w:rsidRPr="00A74A02">
          <w:rPr>
            <w:sz w:val="18"/>
            <w:szCs w:val="18"/>
          </w:rPr>
          <w:t>90/2011</w:t>
        </w:r>
      </w:hyperlink>
      <w:r w:rsidRPr="00A74A02">
        <w:rPr>
          <w:sz w:val="18"/>
          <w:szCs w:val="18"/>
        </w:rPr>
        <w:t>, </w:t>
      </w:r>
      <w:hyperlink r:id="rId80" w:tgtFrame="_blank" w:tooltip="(opens in a new window)" w:history="1">
        <w:r w:rsidRPr="00A74A02">
          <w:rPr>
            <w:sz w:val="18"/>
            <w:szCs w:val="18"/>
          </w:rPr>
          <w:t>56/2013</w:t>
        </w:r>
      </w:hyperlink>
      <w:r w:rsidRPr="00A74A02">
        <w:rPr>
          <w:sz w:val="18"/>
          <w:szCs w:val="18"/>
        </w:rPr>
        <w:t>, </w:t>
      </w:r>
      <w:hyperlink r:id="rId81" w:tgtFrame="_blank" w:tooltip="(opens in a new window)" w:history="1">
        <w:r w:rsidRPr="00A74A02">
          <w:rPr>
            <w:sz w:val="18"/>
            <w:szCs w:val="18"/>
          </w:rPr>
          <w:t>120/2016</w:t>
        </w:r>
      </w:hyperlink>
      <w:r w:rsidRPr="00A74A02">
        <w:rPr>
          <w:sz w:val="18"/>
          <w:szCs w:val="18"/>
        </w:rPr>
        <w:t>, </w:t>
      </w:r>
      <w:hyperlink r:id="rId82" w:tgtFrame="_blank" w:tooltip="(opens in a new window)" w:history="1">
        <w:r w:rsidRPr="00A74A02">
          <w:rPr>
            <w:sz w:val="18"/>
            <w:szCs w:val="18"/>
          </w:rPr>
          <w:t>127/2017</w:t>
        </w:r>
      </w:hyperlink>
      <w:r w:rsidRPr="00A74A02">
        <w:rPr>
          <w:sz w:val="18"/>
          <w:szCs w:val="18"/>
        </w:rPr>
        <w:t>, </w:t>
      </w:r>
      <w:hyperlink r:id="rId83" w:tgtFrame="_blank" w:tooltip="(opens in a new window)" w:history="1">
        <w:r w:rsidRPr="00A74A02">
          <w:rPr>
            <w:sz w:val="18"/>
            <w:szCs w:val="18"/>
          </w:rPr>
          <w:t>66/2019</w:t>
        </w:r>
      </w:hyperlink>
      <w:r w:rsidRPr="00A74A02">
        <w:rPr>
          <w:sz w:val="18"/>
          <w:szCs w:val="18"/>
        </w:rPr>
        <w:t> and </w:t>
      </w:r>
      <w:hyperlink r:id="rId84" w:tgtFrame="_blank" w:tooltip="(opens in a new window)" w:history="1">
        <w:r w:rsidRPr="00A74A02">
          <w:rPr>
            <w:sz w:val="18"/>
            <w:szCs w:val="18"/>
          </w:rPr>
          <w:t>36/2024</w:t>
        </w:r>
      </w:hyperlink>
      <w:r w:rsidRPr="00A74A02">
        <w:rPr>
          <w:sz w:val="18"/>
          <w:szCs w:val="18"/>
        </w:rPr>
        <w:t>)</w:t>
      </w:r>
    </w:p>
    <w:p w14:paraId="3E1E03D3" w14:textId="77777777" w:rsidR="00392FDA" w:rsidRPr="00EA4C9B" w:rsidRDefault="00392FDA" w:rsidP="009B400E">
      <w:pPr>
        <w:pStyle w:val="FootnoteText"/>
        <w:numPr>
          <w:ilvl w:val="0"/>
          <w:numId w:val="32"/>
        </w:numPr>
        <w:rPr>
          <w:sz w:val="18"/>
          <w:szCs w:val="18"/>
        </w:rPr>
      </w:pPr>
      <w:r w:rsidRPr="00EA4C9B">
        <w:rPr>
          <w:sz w:val="18"/>
          <w:szCs w:val="18"/>
        </w:rPr>
        <w:t>The Act on Amendments to the Physical Planning and Construction Act (Official Gazette, no. </w:t>
      </w:r>
      <w:hyperlink r:id="rId85" w:tgtFrame="_blank" w:tooltip="(opens in a new window)" w:history="1">
        <w:r w:rsidRPr="00EA4C9B">
          <w:rPr>
            <w:rStyle w:val="Hyperlink"/>
            <w:sz w:val="18"/>
            <w:szCs w:val="18"/>
          </w:rPr>
          <w:t>90/2011</w:t>
        </w:r>
      </w:hyperlink>
      <w:r w:rsidRPr="00EA4C9B">
        <w:rPr>
          <w:sz w:val="18"/>
          <w:szCs w:val="18"/>
        </w:rPr>
        <w:t>) partially repealed certain provisions of the Water Management Financing Act</w:t>
      </w:r>
    </w:p>
    <w:p w14:paraId="2085878D" w14:textId="77777777" w:rsidR="00392FDA" w:rsidRPr="00EA4C9B" w:rsidRDefault="00392FDA" w:rsidP="009B400E">
      <w:pPr>
        <w:pStyle w:val="FootnoteText"/>
        <w:numPr>
          <w:ilvl w:val="0"/>
          <w:numId w:val="32"/>
        </w:numPr>
        <w:rPr>
          <w:sz w:val="18"/>
          <w:szCs w:val="18"/>
        </w:rPr>
      </w:pPr>
      <w:r w:rsidRPr="00EA4C9B">
        <w:rPr>
          <w:sz w:val="18"/>
          <w:szCs w:val="18"/>
        </w:rPr>
        <w:t>Decree amending the Water Management Financing Act (Official Gazette, no. </w:t>
      </w:r>
      <w:hyperlink r:id="rId86" w:tgtFrame="_blank" w:tooltip="(opens in a new window)" w:history="1">
        <w:r w:rsidRPr="00EA4C9B">
          <w:rPr>
            <w:rStyle w:val="Hyperlink"/>
            <w:sz w:val="18"/>
            <w:szCs w:val="18"/>
          </w:rPr>
          <w:t>154/2014</w:t>
        </w:r>
      </w:hyperlink>
      <w:r w:rsidRPr="00EA4C9B">
        <w:rPr>
          <w:sz w:val="18"/>
          <w:szCs w:val="18"/>
        </w:rPr>
        <w:t>)</w:t>
      </w:r>
    </w:p>
    <w:p w14:paraId="557C6464" w14:textId="2A213039" w:rsidR="00392FDA" w:rsidRPr="00F5725D" w:rsidRDefault="00392FDA" w:rsidP="009B400E">
      <w:pPr>
        <w:pStyle w:val="FootnoteText"/>
        <w:numPr>
          <w:ilvl w:val="0"/>
          <w:numId w:val="32"/>
        </w:numPr>
        <w:rPr>
          <w:sz w:val="18"/>
          <w:szCs w:val="18"/>
        </w:rPr>
      </w:pPr>
      <w:r w:rsidRPr="00EA4C9B">
        <w:rPr>
          <w:sz w:val="18"/>
          <w:szCs w:val="18"/>
        </w:rPr>
        <w:t>Decree amending the Water Management Financing Act (Official Gazette, no. </w:t>
      </w:r>
      <w:hyperlink r:id="rId87" w:tgtFrame="_blank" w:tooltip="(opens in a new window)" w:history="1">
        <w:r w:rsidRPr="00EA4C9B">
          <w:rPr>
            <w:rStyle w:val="Hyperlink"/>
            <w:sz w:val="18"/>
            <w:szCs w:val="18"/>
          </w:rPr>
          <w:t>119/2015</w:t>
        </w:r>
      </w:hyperlink>
      <w:r w:rsidRPr="00EA4C9B">
        <w:rPr>
          <w:sz w:val="18"/>
          <w:szCs w:val="18"/>
        </w:rPr>
        <w:t>)</w:t>
      </w:r>
    </w:p>
  </w:footnote>
  <w:footnote w:id="103">
    <w:p w14:paraId="20244392" w14:textId="5643D43F" w:rsidR="00392FDA" w:rsidRPr="00EA4C9B" w:rsidRDefault="00392FDA" w:rsidP="00392FDA">
      <w:pPr>
        <w:pStyle w:val="FootnoteText"/>
      </w:pPr>
      <w:r w:rsidRPr="00EA4C9B">
        <w:rPr>
          <w:rStyle w:val="FootnoteReference"/>
        </w:rPr>
        <w:footnoteRef/>
      </w:r>
      <w:r w:rsidRPr="00EA4C9B">
        <w:t xml:space="preserve"> </w:t>
      </w:r>
      <w:r w:rsidR="00F5725D">
        <w:tab/>
      </w:r>
      <w:r w:rsidRPr="00EA4C9B">
        <w:t>https://www.voda.hr/hr/vodne-naknade</w:t>
      </w:r>
    </w:p>
  </w:footnote>
  <w:footnote w:id="104">
    <w:p w14:paraId="2A40F974" w14:textId="0332510D" w:rsidR="00392FDA" w:rsidRPr="00EA4C9B" w:rsidRDefault="00392FDA" w:rsidP="00392FDA">
      <w:pPr>
        <w:pStyle w:val="FootnoteText"/>
      </w:pPr>
      <w:r w:rsidRPr="00EA4C9B">
        <w:rPr>
          <w:rStyle w:val="FootnoteReference"/>
        </w:rPr>
        <w:footnoteRef/>
      </w:r>
      <w:r w:rsidRPr="00EA4C9B">
        <w:t xml:space="preserve"> </w:t>
      </w:r>
      <w:r w:rsidR="00F5725D">
        <w:tab/>
      </w:r>
      <w:r w:rsidRPr="00EA4C9B">
        <w:t>(Official Gazette No. 58/07, 72/07).</w:t>
      </w:r>
    </w:p>
  </w:footnote>
  <w:footnote w:id="105">
    <w:p w14:paraId="19AEA093" w14:textId="2C6EC046" w:rsidR="00392FDA" w:rsidRPr="00EA4C9B" w:rsidRDefault="00392FDA" w:rsidP="00392FDA">
      <w:pPr>
        <w:pStyle w:val="FootnoteText"/>
      </w:pPr>
      <w:r w:rsidRPr="00EA4C9B">
        <w:rPr>
          <w:rStyle w:val="FootnoteReference"/>
        </w:rPr>
        <w:footnoteRef/>
      </w:r>
      <w:r w:rsidRPr="00EA4C9B">
        <w:t xml:space="preserve"> </w:t>
      </w:r>
      <w:r w:rsidR="00F5725D">
        <w:tab/>
      </w:r>
      <w:hyperlink r:id="rId88" w:history="1">
        <w:r w:rsidR="00F5725D" w:rsidRPr="00EC31B9">
          <w:rPr>
            <w:rStyle w:val="Hyperlink"/>
          </w:rPr>
          <w:t>https://www.voda.hr/hr/vodne-naknade</w:t>
        </w:r>
      </w:hyperlink>
      <w:r w:rsidRPr="00EA4C9B">
        <w:t xml:space="preserve"> </w:t>
      </w:r>
    </w:p>
  </w:footnote>
  <w:footnote w:id="106">
    <w:p w14:paraId="5B52DB2D" w14:textId="462DB421" w:rsidR="00392FDA" w:rsidRPr="00EA4C9B" w:rsidRDefault="00392FDA" w:rsidP="00392FDA">
      <w:pPr>
        <w:pStyle w:val="FootnoteText"/>
      </w:pPr>
      <w:r w:rsidRPr="00EA4C9B">
        <w:rPr>
          <w:rStyle w:val="FootnoteReference"/>
        </w:rPr>
        <w:footnoteRef/>
      </w:r>
      <w:r w:rsidRPr="00EA4C9B">
        <w:t xml:space="preserve"> </w:t>
      </w:r>
      <w:r w:rsidR="00F5725D">
        <w:tab/>
      </w:r>
      <w:r w:rsidRPr="00EA4C9B">
        <w:t xml:space="preserve">The income from the water management fee (water regulation fee) tax is used is used ‘according to the principles of solidarity and priority in needs in the territory of the Republic of Croatia’. For more examples of what the water contribution (natural persons) tax finances, see: </w:t>
      </w:r>
      <w:bookmarkStart w:id="133" w:name="_Hlk192067758"/>
      <w:r w:rsidRPr="00EA4C9B">
        <w:t xml:space="preserve">Hrvatske Vode (Accessed 2025b) </w:t>
      </w:r>
      <w:r w:rsidRPr="00EA4C9B">
        <w:rPr>
          <w:i/>
          <w:iCs/>
        </w:rPr>
        <w:t>Water fees – Fee for Water regulation.</w:t>
      </w:r>
      <w:r w:rsidRPr="00EA4C9B">
        <w:t xml:space="preserve"> </w:t>
      </w:r>
      <w:bookmarkEnd w:id="133"/>
      <w:r w:rsidRPr="00EA4C9B">
        <w:t xml:space="preserve">Available at: </w:t>
      </w:r>
      <w:hyperlink r:id="rId89" w:history="1">
        <w:r w:rsidRPr="00EA4C9B">
          <w:rPr>
            <w:rStyle w:val="Hyperlink"/>
          </w:rPr>
          <w:t>https://www.voda.hr/hr/vodne-naknade</w:t>
        </w:r>
      </w:hyperlink>
    </w:p>
  </w:footnote>
  <w:footnote w:id="107">
    <w:p w14:paraId="14AF3AE5" w14:textId="6C43FB0A" w:rsidR="00392FDA" w:rsidRPr="00EA4C9B" w:rsidRDefault="00392FDA" w:rsidP="00392FDA">
      <w:pPr>
        <w:pStyle w:val="FootnoteText"/>
      </w:pPr>
      <w:r w:rsidRPr="00EA4C9B">
        <w:rPr>
          <w:rStyle w:val="FootnoteReference"/>
        </w:rPr>
        <w:footnoteRef/>
      </w:r>
      <w:r w:rsidRPr="00EA4C9B">
        <w:t xml:space="preserve"> </w:t>
      </w:r>
      <w:r w:rsidR="00A74A02">
        <w:tab/>
      </w:r>
      <w:r w:rsidRPr="00EA4C9B">
        <w:t xml:space="preserve">It is unclear what ‘type of water refers to’ (i.e. quality or use).  See: </w:t>
      </w:r>
      <w:hyperlink r:id="rId90" w:history="1">
        <w:r w:rsidR="00FE1908" w:rsidRPr="00C24260">
          <w:rPr>
            <w:rStyle w:val="Hyperlink"/>
          </w:rPr>
          <w:t>https://www.voda.hr/sites/default/files/2022-04/naknada_za_koristenje_voda.pdf</w:t>
        </w:r>
      </w:hyperlink>
      <w:r w:rsidR="00FE1908">
        <w:t xml:space="preserve"> </w:t>
      </w:r>
      <w:r w:rsidRPr="00EA4C9B">
        <w:t xml:space="preserve"> "Water of the first type: 0.80 HRK per m³ / Water of the second type: 0.72 HRK per m³ / Water of the third type: 0.56 HRK per m³ / Water of the fourth and fifth types: 0.32 HRK per m³ / Mineral and thermal water: 1.60 HRK per m³. </w:t>
      </w:r>
    </w:p>
  </w:footnote>
  <w:footnote w:id="108">
    <w:p w14:paraId="21732C19" w14:textId="72CE0EFE" w:rsidR="00392FDA" w:rsidRPr="00EA4C9B" w:rsidRDefault="00392FDA" w:rsidP="00A74A02">
      <w:pPr>
        <w:pStyle w:val="FootnoteText"/>
        <w:jc w:val="left"/>
      </w:pPr>
      <w:r w:rsidRPr="00EA4C9B">
        <w:rPr>
          <w:rStyle w:val="FootnoteReference"/>
        </w:rPr>
        <w:footnoteRef/>
      </w:r>
      <w:r w:rsidRPr="00EA4C9B">
        <w:t xml:space="preserve"> </w:t>
      </w:r>
      <w:r w:rsidR="00A74A02">
        <w:tab/>
      </w:r>
      <w:r w:rsidRPr="00EA4C9B">
        <w:t xml:space="preserve">Hrvatske Vode (Accessed 2025c) Water fees – Fee for the use of water. Available at: </w:t>
      </w:r>
      <w:hyperlink r:id="rId91" w:history="1">
        <w:r w:rsidRPr="00EA4C9B">
          <w:rPr>
            <w:rStyle w:val="Hyperlink"/>
          </w:rPr>
          <w:t>https://www.voda.hr/hr/vodne-naknade</w:t>
        </w:r>
      </w:hyperlink>
      <w:r w:rsidRPr="00EA4C9B">
        <w:t xml:space="preserve"> </w:t>
      </w:r>
    </w:p>
  </w:footnote>
  <w:footnote w:id="109">
    <w:p w14:paraId="5A6F8ACE" w14:textId="01CF1F89" w:rsidR="00392FDA" w:rsidRPr="00EA4C9B" w:rsidRDefault="00392FDA" w:rsidP="00392FDA">
      <w:pPr>
        <w:pStyle w:val="FootnoteText"/>
      </w:pPr>
      <w:r w:rsidRPr="00EA4C9B">
        <w:rPr>
          <w:rStyle w:val="FootnoteReference"/>
        </w:rPr>
        <w:footnoteRef/>
      </w:r>
      <w:r w:rsidRPr="00EA4C9B">
        <w:t xml:space="preserve"> </w:t>
      </w:r>
      <w:r w:rsidR="00A74A02">
        <w:tab/>
      </w:r>
      <w:hyperlink r:id="rId92" w:history="1">
        <w:r w:rsidR="00A74A02" w:rsidRPr="00EC31B9">
          <w:rPr>
            <w:rStyle w:val="Hyperlink"/>
          </w:rPr>
          <w:t>https://www.voda.hr/hr/vodne-naknade</w:t>
        </w:r>
      </w:hyperlink>
      <w:r w:rsidRPr="00EA4C9B">
        <w:t xml:space="preserve"> </w:t>
      </w:r>
    </w:p>
  </w:footnote>
  <w:footnote w:id="110">
    <w:p w14:paraId="042CE4DF" w14:textId="244B6EE1" w:rsidR="00392FDA" w:rsidRPr="00EA4C9B" w:rsidRDefault="00392FDA" w:rsidP="00392FDA">
      <w:pPr>
        <w:pStyle w:val="FootnoteText"/>
      </w:pPr>
      <w:r w:rsidRPr="00EA4C9B">
        <w:rPr>
          <w:rStyle w:val="FootnoteReference"/>
        </w:rPr>
        <w:footnoteRef/>
      </w:r>
      <w:r w:rsidRPr="00EA4C9B">
        <w:t xml:space="preserve"> </w:t>
      </w:r>
      <w:r w:rsidR="00A74A02">
        <w:tab/>
      </w:r>
      <w:r w:rsidRPr="00EA4C9B">
        <w:t>IEEP report, p. 140: ‘It is not always completely clear whether some of the charges described should be considered as taxes or as user fees, but it is clear that the air pollution ‘charges’ are taxes.’</w:t>
      </w:r>
    </w:p>
  </w:footnote>
  <w:footnote w:id="111">
    <w:p w14:paraId="4954DEEE" w14:textId="47B3D492" w:rsidR="00392FDA" w:rsidRPr="00EA4C9B" w:rsidRDefault="00392FDA" w:rsidP="00A74A02">
      <w:pPr>
        <w:pStyle w:val="FootnoteText"/>
        <w:jc w:val="left"/>
      </w:pPr>
      <w:r w:rsidRPr="00EA4C9B">
        <w:rPr>
          <w:rStyle w:val="FootnoteReference"/>
        </w:rPr>
        <w:footnoteRef/>
      </w:r>
      <w:r w:rsidR="00466EF5">
        <w:t xml:space="preserve"> </w:t>
      </w:r>
      <w:hyperlink r:id="rId93" w:history="1">
        <w:r w:rsidR="00466EF5" w:rsidRPr="00E807B3">
          <w:rPr>
            <w:rStyle w:val="Hyperlink"/>
          </w:rPr>
          <w:t>https://www.szp.hr/UserDocsImages/dokumenti/publikacije/naknada_gospodarenja_ambalaznim_otpadom_info_letak_v1.pdf</w:t>
        </w:r>
      </w:hyperlink>
      <w:r w:rsidRPr="00EA4C9B">
        <w:t xml:space="preserve"> </w:t>
      </w:r>
    </w:p>
  </w:footnote>
  <w:footnote w:id="112">
    <w:p w14:paraId="57F938D6" w14:textId="4AD3601F" w:rsidR="00392FDA" w:rsidRPr="00EA4C9B" w:rsidRDefault="00392FDA" w:rsidP="00392FDA">
      <w:pPr>
        <w:pStyle w:val="FootnoteText"/>
      </w:pPr>
      <w:r w:rsidRPr="00EA4C9B">
        <w:rPr>
          <w:rStyle w:val="FootnoteReference"/>
        </w:rPr>
        <w:footnoteRef/>
      </w:r>
      <w:r w:rsidRPr="00EA4C9B">
        <w:t xml:space="preserve"> </w:t>
      </w:r>
      <w:r w:rsidR="00A74A02">
        <w:tab/>
      </w:r>
      <w:hyperlink r:id="rId94" w:history="1">
        <w:r w:rsidR="00A74A02" w:rsidRPr="00EC31B9">
          <w:rPr>
            <w:rStyle w:val="Hyperlink"/>
          </w:rPr>
          <w:t>https://narodne-novine.nn.hr/clanci/sluzbeni/2023_11_137_1864.html</w:t>
        </w:r>
      </w:hyperlink>
      <w:r w:rsidRPr="00EA4C9B">
        <w:t xml:space="preserve"> </w:t>
      </w:r>
    </w:p>
  </w:footnote>
  <w:footnote w:id="113">
    <w:p w14:paraId="10D817AD" w14:textId="2EA2936A" w:rsidR="00DC27BA" w:rsidRDefault="00DC27BA">
      <w:pPr>
        <w:pStyle w:val="FootnoteText"/>
      </w:pPr>
      <w:r>
        <w:rPr>
          <w:rStyle w:val="FootnoteReference"/>
        </w:rPr>
        <w:footnoteRef/>
      </w:r>
      <w:r>
        <w:t xml:space="preserve"> </w:t>
      </w:r>
      <w:r w:rsidR="00466EF5">
        <w:tab/>
      </w:r>
      <w:r w:rsidRPr="00DC27BA">
        <w:t>https://narodne-novine.nn.hr/clanci/sluzbeni/2024_11_137_2258.html</w:t>
      </w:r>
    </w:p>
  </w:footnote>
  <w:footnote w:id="114">
    <w:p w14:paraId="0F06448F" w14:textId="28FF4DF4" w:rsidR="00392FDA" w:rsidRPr="00EA4C9B" w:rsidRDefault="00392FDA" w:rsidP="00392FDA">
      <w:pPr>
        <w:pStyle w:val="FootnoteText"/>
      </w:pPr>
      <w:r w:rsidRPr="00EA4C9B">
        <w:rPr>
          <w:rStyle w:val="FootnoteReference"/>
        </w:rPr>
        <w:footnoteRef/>
      </w:r>
      <w:r w:rsidRPr="00EA4C9B">
        <w:t xml:space="preserve"> </w:t>
      </w:r>
      <w:r w:rsidR="00A74A02">
        <w:tab/>
      </w:r>
      <w:r w:rsidRPr="00EA4C9B">
        <w:t>See the Early Warning Country Profile, pages 20-21 for further detail.</w:t>
      </w:r>
    </w:p>
  </w:footnote>
  <w:footnote w:id="115">
    <w:p w14:paraId="7E80DB1E" w14:textId="70014796" w:rsidR="00392FDA" w:rsidRPr="00EA4C9B" w:rsidRDefault="00392FDA" w:rsidP="00392FDA">
      <w:pPr>
        <w:pStyle w:val="FootnoteText"/>
      </w:pPr>
      <w:r w:rsidRPr="00EA4C9B">
        <w:rPr>
          <w:rStyle w:val="FootnoteReference"/>
        </w:rPr>
        <w:footnoteRef/>
      </w:r>
      <w:r w:rsidRPr="00EA4C9B">
        <w:t xml:space="preserve"> </w:t>
      </w:r>
      <w:r w:rsidR="00A74A02">
        <w:tab/>
      </w:r>
      <w:hyperlink r:id="rId95" w:history="1">
        <w:r w:rsidR="00A74A02" w:rsidRPr="00EC31B9">
          <w:rPr>
            <w:rStyle w:val="Hyperlink"/>
          </w:rPr>
          <w:t>https://www.fzoeu.hr/naknada-za-ambalazu-i-ambalazni-otpad-1407</w:t>
        </w:r>
      </w:hyperlink>
      <w:r w:rsidRPr="00EA4C9B">
        <w:t xml:space="preserve"> </w:t>
      </w:r>
    </w:p>
  </w:footnote>
  <w:footnote w:id="116">
    <w:p w14:paraId="3062FE71" w14:textId="32279B3A" w:rsidR="00392FDA" w:rsidRPr="00EA4C9B" w:rsidRDefault="00392FDA" w:rsidP="00392FDA">
      <w:pPr>
        <w:pStyle w:val="FootnoteText"/>
      </w:pPr>
      <w:r w:rsidRPr="00EA4C9B">
        <w:rPr>
          <w:rStyle w:val="FootnoteReference"/>
        </w:rPr>
        <w:footnoteRef/>
      </w:r>
      <w:r w:rsidRPr="00EA4C9B">
        <w:t xml:space="preserve"> </w:t>
      </w:r>
      <w:r w:rsidR="00A74A02">
        <w:tab/>
      </w:r>
      <w:r w:rsidRPr="00EA4C9B">
        <w:t>Early Warning Country Profile.</w:t>
      </w:r>
    </w:p>
  </w:footnote>
  <w:footnote w:id="117">
    <w:p w14:paraId="74ED5E23" w14:textId="325DF5AA" w:rsidR="00392FDA" w:rsidRPr="00EA4C9B" w:rsidRDefault="00392FDA" w:rsidP="00392FDA">
      <w:pPr>
        <w:pStyle w:val="FootnoteText"/>
      </w:pPr>
      <w:r w:rsidRPr="00EA4C9B">
        <w:rPr>
          <w:rStyle w:val="FootnoteReference"/>
        </w:rPr>
        <w:footnoteRef/>
      </w:r>
      <w:r w:rsidRPr="00EA4C9B">
        <w:t xml:space="preserve"> </w:t>
      </w:r>
      <w:r w:rsidR="00A74A02">
        <w:tab/>
      </w:r>
      <w:r w:rsidRPr="00EA4C9B">
        <w:t>Early warning report, p. 14, p. 31</w:t>
      </w:r>
    </w:p>
  </w:footnote>
  <w:footnote w:id="118">
    <w:p w14:paraId="514157BB" w14:textId="1F42A7F7" w:rsidR="00392FDA" w:rsidRPr="00EA4C9B" w:rsidRDefault="00392FDA" w:rsidP="00392FDA">
      <w:pPr>
        <w:pStyle w:val="FootnoteText"/>
      </w:pPr>
      <w:r w:rsidRPr="00EA4C9B">
        <w:rPr>
          <w:rStyle w:val="FootnoteReference"/>
        </w:rPr>
        <w:footnoteRef/>
      </w:r>
      <w:r w:rsidRPr="00EA4C9B">
        <w:t xml:space="preserve"> </w:t>
      </w:r>
      <w:r w:rsidR="00A74A02">
        <w:tab/>
      </w:r>
      <w:r w:rsidRPr="00EA4C9B">
        <w:t>Early warning report</w:t>
      </w:r>
    </w:p>
  </w:footnote>
  <w:footnote w:id="119">
    <w:p w14:paraId="52CF73E1" w14:textId="652377D5" w:rsidR="00392FDA" w:rsidRPr="00EA4C9B" w:rsidRDefault="00392FDA" w:rsidP="00392FDA">
      <w:pPr>
        <w:pStyle w:val="FootnoteText"/>
      </w:pPr>
      <w:r w:rsidRPr="00EA4C9B">
        <w:rPr>
          <w:rStyle w:val="FootnoteReference"/>
        </w:rPr>
        <w:footnoteRef/>
      </w:r>
      <w:r w:rsidRPr="00EA4C9B">
        <w:t xml:space="preserve"> </w:t>
      </w:r>
      <w:r w:rsidR="00A74A02">
        <w:tab/>
      </w:r>
      <w:hyperlink r:id="rId96" w:history="1">
        <w:r w:rsidR="00A74A02" w:rsidRPr="00EC31B9">
          <w:rPr>
            <w:rStyle w:val="Hyperlink"/>
          </w:rPr>
          <w:t>https://psc.hr/en/game-hunting/</w:t>
        </w:r>
      </w:hyperlink>
      <w:r w:rsidRPr="00EA4C9B">
        <w:t xml:space="preserve"> </w:t>
      </w:r>
    </w:p>
  </w:footnote>
  <w:footnote w:id="120">
    <w:p w14:paraId="7B9D5B7F" w14:textId="4F9D8067" w:rsidR="00392FDA" w:rsidRPr="00EA4C9B" w:rsidRDefault="00392FDA" w:rsidP="00392FDA">
      <w:pPr>
        <w:pStyle w:val="FootnoteText"/>
      </w:pPr>
      <w:r w:rsidRPr="00EA4C9B">
        <w:rPr>
          <w:rStyle w:val="FootnoteReference"/>
        </w:rPr>
        <w:footnoteRef/>
      </w:r>
      <w:r w:rsidRPr="00EA4C9B">
        <w:t xml:space="preserve"> </w:t>
      </w:r>
      <w:r w:rsidR="00A74A02">
        <w:tab/>
      </w:r>
      <w:hyperlink r:id="rId97" w:history="1">
        <w:r w:rsidR="00A74A02" w:rsidRPr="00EC31B9">
          <w:rPr>
            <w:rStyle w:val="Hyperlink"/>
          </w:rPr>
          <w:t>https://gov.hr/en/marine-recreational-and-sport-fisheries/1542</w:t>
        </w:r>
      </w:hyperlink>
      <w:r w:rsidRPr="00EA4C9B">
        <w:t xml:space="preserve"> </w:t>
      </w:r>
    </w:p>
  </w:footnote>
  <w:footnote w:id="121">
    <w:p w14:paraId="5ECC1264" w14:textId="4DEF77A4" w:rsidR="00392FDA" w:rsidRPr="00EA4C9B" w:rsidRDefault="00392FDA" w:rsidP="00392FDA">
      <w:pPr>
        <w:pStyle w:val="FootnoteText"/>
      </w:pPr>
      <w:r w:rsidRPr="00EA4C9B">
        <w:rPr>
          <w:rStyle w:val="FootnoteReference"/>
        </w:rPr>
        <w:footnoteRef/>
      </w:r>
      <w:r w:rsidRPr="00EA4C9B">
        <w:t xml:space="preserve"> </w:t>
      </w:r>
      <w:r w:rsidR="00A74A02">
        <w:tab/>
      </w:r>
      <w:hyperlink r:id="rId98" w:history="1">
        <w:r w:rsidR="00A74A02" w:rsidRPr="00EC31B9">
          <w:rPr>
            <w:rStyle w:val="Hyperlink"/>
          </w:rPr>
          <w:t>https://www.expatincroatia.com/fishing-license/</w:t>
        </w:r>
      </w:hyperlink>
      <w:r w:rsidRPr="00EA4C9B">
        <w:t xml:space="preserve"> </w:t>
      </w:r>
    </w:p>
  </w:footnote>
  <w:footnote w:id="122">
    <w:p w14:paraId="55EA7EE3" w14:textId="6F21697D" w:rsidR="00392FDA" w:rsidRPr="00EA4C9B" w:rsidRDefault="00392FDA" w:rsidP="00392FDA">
      <w:pPr>
        <w:pStyle w:val="FootnoteText"/>
      </w:pPr>
      <w:r w:rsidRPr="00EA4C9B">
        <w:rPr>
          <w:rStyle w:val="FootnoteReference"/>
        </w:rPr>
        <w:footnoteRef/>
      </w:r>
      <w:r w:rsidRPr="00EA4C9B">
        <w:t xml:space="preserve"> </w:t>
      </w:r>
      <w:r w:rsidR="00A74A02">
        <w:tab/>
      </w:r>
      <w:r w:rsidRPr="00EA4C9B">
        <w:t xml:space="preserve">For the license types and prices, see: </w:t>
      </w:r>
      <w:hyperlink r:id="rId99" w:history="1">
        <w:r w:rsidRPr="00EA4C9B">
          <w:rPr>
            <w:rStyle w:val="Hyperlink"/>
          </w:rPr>
          <w:t>https://ribarstvo.mps.hr/default.aspx?id=5010</w:t>
        </w:r>
      </w:hyperlink>
      <w:r w:rsidRPr="00EA4C9B">
        <w:t xml:space="preserve"> </w:t>
      </w:r>
    </w:p>
  </w:footnote>
  <w:footnote w:id="123">
    <w:p w14:paraId="2012AE46" w14:textId="0E16B003" w:rsidR="00392FDA" w:rsidRPr="00EA4C9B" w:rsidRDefault="00392FDA" w:rsidP="00392FDA">
      <w:pPr>
        <w:pStyle w:val="FootnoteText"/>
      </w:pPr>
      <w:r w:rsidRPr="00EA4C9B">
        <w:rPr>
          <w:rStyle w:val="FootnoteReference"/>
        </w:rPr>
        <w:footnoteRef/>
      </w:r>
      <w:r w:rsidRPr="00EA4C9B">
        <w:t xml:space="preserve"> </w:t>
      </w:r>
      <w:r w:rsidR="00A74A02">
        <w:tab/>
      </w:r>
      <w:hyperlink r:id="rId100" w:history="1">
        <w:r w:rsidR="00A74A02" w:rsidRPr="00EC31B9">
          <w:rPr>
            <w:rStyle w:val="Hyperlink"/>
          </w:rPr>
          <w:t>https://ribarstvo.mps.hr/default.aspx?id=2802</w:t>
        </w:r>
      </w:hyperlink>
      <w:r w:rsidRPr="00EA4C9B">
        <w:t xml:space="preserve"> </w:t>
      </w:r>
    </w:p>
  </w:footnote>
  <w:footnote w:id="124">
    <w:p w14:paraId="07B464D0" w14:textId="614CC2BB" w:rsidR="00392FDA" w:rsidRPr="00EA4C9B" w:rsidRDefault="00392FDA" w:rsidP="00392FDA">
      <w:pPr>
        <w:pStyle w:val="FootnoteText"/>
      </w:pPr>
      <w:r w:rsidRPr="00EA4C9B">
        <w:rPr>
          <w:rStyle w:val="FootnoteReference"/>
        </w:rPr>
        <w:footnoteRef/>
      </w:r>
      <w:r w:rsidRPr="00EA4C9B">
        <w:t xml:space="preserve"> </w:t>
      </w:r>
      <w:r w:rsidR="00A74A02">
        <w:tab/>
      </w:r>
      <w:hyperlink r:id="rId101" w:history="1">
        <w:r w:rsidR="00A74A02" w:rsidRPr="00EC31B9">
          <w:rPr>
            <w:rStyle w:val="Hyperlink"/>
          </w:rPr>
          <w:t>https://www.expatincroatia.com/fishing-license/</w:t>
        </w:r>
      </w:hyperlink>
      <w:r w:rsidRPr="00EA4C9B">
        <w:t xml:space="preserve"> </w:t>
      </w:r>
    </w:p>
  </w:footnote>
  <w:footnote w:id="125">
    <w:p w14:paraId="2E8C2793" w14:textId="4F019872" w:rsidR="00392FDA" w:rsidRPr="00EA4C9B" w:rsidRDefault="00392FDA" w:rsidP="00392FDA">
      <w:pPr>
        <w:pStyle w:val="FootnoteText"/>
      </w:pPr>
      <w:r w:rsidRPr="00EA4C9B">
        <w:rPr>
          <w:rStyle w:val="FootnoteReference"/>
        </w:rPr>
        <w:footnoteRef/>
      </w:r>
      <w:r w:rsidRPr="00EA4C9B">
        <w:t xml:space="preserve"> </w:t>
      </w:r>
      <w:r w:rsidR="00A74A02">
        <w:tab/>
      </w:r>
      <w:hyperlink r:id="rId102" w:history="1">
        <w:r w:rsidR="00A74A02" w:rsidRPr="00EC31B9">
          <w:rPr>
            <w:rStyle w:val="Hyperlink"/>
          </w:rPr>
          <w:t>https://total-croatia-news.com/lifestyle/croatian-forests-2/</w:t>
        </w:r>
      </w:hyperlink>
      <w:r w:rsidRPr="00EA4C9B">
        <w:t xml:space="preserve"> </w:t>
      </w:r>
    </w:p>
  </w:footnote>
  <w:footnote w:id="126">
    <w:p w14:paraId="51D70C17" w14:textId="78DD1D44" w:rsidR="00392FDA" w:rsidRPr="00EA4C9B" w:rsidRDefault="00392FDA" w:rsidP="00392FDA">
      <w:pPr>
        <w:pStyle w:val="FootnoteText"/>
      </w:pPr>
      <w:r w:rsidRPr="00EA4C9B">
        <w:rPr>
          <w:rStyle w:val="FootnoteReference"/>
        </w:rPr>
        <w:footnoteRef/>
      </w:r>
      <w:r w:rsidRPr="00EA4C9B">
        <w:t xml:space="preserve"> </w:t>
      </w:r>
      <w:r w:rsidR="00A74A02">
        <w:tab/>
      </w:r>
      <w:hyperlink r:id="rId103" w:history="1">
        <w:r w:rsidR="00A74A02" w:rsidRPr="00EC31B9">
          <w:rPr>
            <w:rStyle w:val="Hyperlink"/>
          </w:rPr>
          <w:t>https://www.hrsume.hr/gradjani/dozvola-nsp/</w:t>
        </w:r>
      </w:hyperlink>
      <w:r w:rsidRPr="00EA4C9B">
        <w:t xml:space="preserve"> </w:t>
      </w:r>
    </w:p>
  </w:footnote>
  <w:footnote w:id="127">
    <w:p w14:paraId="41F7B874" w14:textId="6D899183" w:rsidR="00392FDA" w:rsidRPr="00EA4C9B" w:rsidRDefault="00392FDA" w:rsidP="00392FDA">
      <w:pPr>
        <w:pStyle w:val="FootnoteText"/>
      </w:pPr>
      <w:r w:rsidRPr="00EA4C9B">
        <w:rPr>
          <w:rStyle w:val="FootnoteReference"/>
        </w:rPr>
        <w:footnoteRef/>
      </w:r>
      <w:r w:rsidRPr="00EA4C9B">
        <w:t xml:space="preserve"> </w:t>
      </w:r>
      <w:r w:rsidR="00A74A02">
        <w:tab/>
      </w:r>
      <w:r w:rsidRPr="00EA4C9B">
        <w:t xml:space="preserve">For the full list of produce and the conditions such as maximum quantities, see: </w:t>
      </w:r>
      <w:hyperlink r:id="rId104" w:history="1">
        <w:r w:rsidRPr="00EA4C9B">
          <w:rPr>
            <w:rStyle w:val="Hyperlink"/>
          </w:rPr>
          <w:t>https://www.hrsume.hr/wp-content/uploads/2023/04/pravilnik_o_sakupljanju_nedrvnih_sumskih_proizvoda_i_koristenju_sume_i_sumskog_zemljista..pdf</w:t>
        </w:r>
      </w:hyperlink>
      <w:r w:rsidRPr="00EA4C9B">
        <w:t xml:space="preserve"> </w:t>
      </w:r>
    </w:p>
  </w:footnote>
  <w:footnote w:id="128">
    <w:p w14:paraId="576C1BC5" w14:textId="4F0AA71D" w:rsidR="00392FDA" w:rsidRPr="00EA4C9B" w:rsidRDefault="00392FDA" w:rsidP="00392FDA">
      <w:pPr>
        <w:pStyle w:val="FootnoteText"/>
      </w:pPr>
      <w:r w:rsidRPr="00EA4C9B">
        <w:rPr>
          <w:rStyle w:val="FootnoteReference"/>
        </w:rPr>
        <w:footnoteRef/>
      </w:r>
      <w:r w:rsidRPr="00EA4C9B">
        <w:t xml:space="preserve"> </w:t>
      </w:r>
      <w:r w:rsidR="00A74A02">
        <w:tab/>
      </w:r>
      <w:r w:rsidRPr="00EA4C9B">
        <w:t>https://www.expatincroatia.com/mushroom-harvest-croatia/#permit</w:t>
      </w:r>
    </w:p>
  </w:footnote>
  <w:footnote w:id="129">
    <w:p w14:paraId="69724867" w14:textId="66B9F5A6" w:rsidR="00392FDA" w:rsidRPr="00EA4C9B" w:rsidRDefault="00392FDA" w:rsidP="00392FDA">
      <w:pPr>
        <w:pStyle w:val="FootnoteText"/>
      </w:pPr>
      <w:r w:rsidRPr="00EA4C9B">
        <w:rPr>
          <w:rStyle w:val="FootnoteReference"/>
        </w:rPr>
        <w:footnoteRef/>
      </w:r>
      <w:r w:rsidRPr="00EA4C9B">
        <w:t xml:space="preserve"> </w:t>
      </w:r>
      <w:r w:rsidR="00A74A02">
        <w:tab/>
      </w:r>
      <w:r w:rsidRPr="00EA4C9B">
        <w:t>Relevant legislation: Forest Act (National Newsletter, no. 140/2005, …, 68/2012), Nature Protection Act (NN, no. 81/2005, …, 80/2013) and Establishment act of enterprise Hrvatske Šume are all basis for the core act, Regulation on secondary forest products from Hrvatske Šume.</w:t>
      </w:r>
    </w:p>
  </w:footnote>
  <w:footnote w:id="130">
    <w:p w14:paraId="60509093" w14:textId="51F141D3" w:rsidR="00392FDA" w:rsidRPr="00EA4C9B" w:rsidRDefault="00392FDA" w:rsidP="00392FDA">
      <w:pPr>
        <w:pStyle w:val="FootnoteText"/>
      </w:pPr>
      <w:r w:rsidRPr="00EA4C9B">
        <w:rPr>
          <w:rStyle w:val="FootnoteReference"/>
        </w:rPr>
        <w:footnoteRef/>
      </w:r>
      <w:r w:rsidRPr="00EA4C9B">
        <w:t xml:space="preserve"> </w:t>
      </w:r>
      <w:r w:rsidR="00A74A02">
        <w:tab/>
      </w:r>
      <w:r w:rsidRPr="00EA4C9B">
        <w:t>Hrvatske Šume is a public enterprise responsible for managing state owned forest lands (app. 75% of all forest lands)</w:t>
      </w:r>
    </w:p>
  </w:footnote>
  <w:footnote w:id="131">
    <w:p w14:paraId="0DC74C98" w14:textId="654C7EEC" w:rsidR="00392FDA" w:rsidRPr="00EA4C9B" w:rsidRDefault="00392FDA" w:rsidP="00A74A02">
      <w:pPr>
        <w:pStyle w:val="FootnoteText"/>
        <w:jc w:val="left"/>
      </w:pPr>
      <w:r w:rsidRPr="00EA4C9B">
        <w:rPr>
          <w:rStyle w:val="FootnoteReference"/>
        </w:rPr>
        <w:footnoteRef/>
      </w:r>
      <w:r w:rsidR="00A74A02">
        <w:t xml:space="preserve"> </w:t>
      </w:r>
      <w:r w:rsidR="00A74A02">
        <w:tab/>
      </w:r>
      <w:hyperlink r:id="rId105" w:history="1">
        <w:r w:rsidR="00A74A02" w:rsidRPr="00EC31B9">
          <w:rPr>
            <w:rStyle w:val="Hyperlink"/>
          </w:rPr>
          <w:t>http://nwfp-policies.efi.int/wiki/Collection_permits_for_harvesting_asparagus_in_Croatia%E2%80%99s_state_forests</w:t>
        </w:r>
      </w:hyperlink>
      <w:r w:rsidRPr="00EA4C9B">
        <w:t xml:space="preserve"> </w:t>
      </w:r>
    </w:p>
  </w:footnote>
  <w:footnote w:id="132">
    <w:p w14:paraId="31D219FE" w14:textId="3A0AC450" w:rsidR="00392FDA" w:rsidRPr="00EA4C9B" w:rsidRDefault="00392FDA" w:rsidP="00392FDA">
      <w:pPr>
        <w:pStyle w:val="FootnoteText"/>
      </w:pPr>
      <w:r w:rsidRPr="00EA4C9B">
        <w:rPr>
          <w:rStyle w:val="FootnoteReference"/>
        </w:rPr>
        <w:footnoteRef/>
      </w:r>
      <w:r w:rsidRPr="00EA4C9B">
        <w:t xml:space="preserve"> </w:t>
      </w:r>
      <w:r w:rsidR="00A74A02">
        <w:tab/>
      </w:r>
      <w:hyperlink r:id="rId106" w:history="1">
        <w:r w:rsidR="00A74A02" w:rsidRPr="00EC31B9">
          <w:rPr>
            <w:rStyle w:val="Hyperlink"/>
          </w:rPr>
          <w:t>https://www.iusinfo.hr/aktualno/u-sredistu/turisticka-pristojba-38091</w:t>
        </w:r>
      </w:hyperlink>
      <w:r w:rsidRPr="00EA4C9B">
        <w:t xml:space="preserve"> </w:t>
      </w:r>
    </w:p>
  </w:footnote>
  <w:footnote w:id="133">
    <w:p w14:paraId="643BF6A5" w14:textId="6037ED44" w:rsidR="00392FDA" w:rsidRPr="00EA4C9B" w:rsidRDefault="00392FDA" w:rsidP="00A74A02">
      <w:pPr>
        <w:pStyle w:val="FootnoteText"/>
        <w:jc w:val="left"/>
      </w:pPr>
      <w:r w:rsidRPr="00EA4C9B">
        <w:rPr>
          <w:rStyle w:val="FootnoteReference"/>
        </w:rPr>
        <w:footnoteRef/>
      </w:r>
      <w:r w:rsidR="00A74A02">
        <w:t xml:space="preserve"> </w:t>
      </w:r>
      <w:r w:rsidR="00A74A02">
        <w:tab/>
      </w:r>
      <w:hyperlink r:id="rId107" w:anchor=":~:text=Croatian%20government%20aims%20to%20make,however%2C%20and%20not%20before%202025" w:history="1">
        <w:r w:rsidR="00A74A02" w:rsidRPr="00EC31B9">
          <w:rPr>
            <w:rStyle w:val="Hyperlink"/>
          </w:rPr>
          <w:t>https://www.dw.com/en/in-croatia-tourism-boom-has-environmentalists-worried/a-66696830#:~:text=Croatian%20government%20aims%20to%20make,however%2C%20and%20not%20before%202025</w:t>
        </w:r>
      </w:hyperlink>
      <w:r w:rsidRPr="00EA4C9B">
        <w:t xml:space="preserve">. </w:t>
      </w:r>
    </w:p>
  </w:footnote>
  <w:footnote w:id="134">
    <w:p w14:paraId="6B71FBD2" w14:textId="44AA61B0" w:rsidR="00392FDA" w:rsidRPr="00EA4C9B" w:rsidRDefault="00392FDA" w:rsidP="00392FDA">
      <w:pPr>
        <w:pStyle w:val="FootnoteText"/>
      </w:pPr>
      <w:r w:rsidRPr="00EA4C9B">
        <w:rPr>
          <w:rStyle w:val="FootnoteReference"/>
        </w:rPr>
        <w:footnoteRef/>
      </w:r>
      <w:r w:rsidRPr="00EA4C9B">
        <w:t xml:space="preserve"> </w:t>
      </w:r>
      <w:r w:rsidR="00A74A02">
        <w:tab/>
      </w:r>
      <w:r w:rsidR="00900E03">
        <w:t xml:space="preserve">World Bank (2021). </w:t>
      </w:r>
      <w:r w:rsidRPr="00EA4C9B">
        <w:t>Croatia: Cost of Environmental Degradation</w:t>
      </w:r>
      <w:r w:rsidR="006E35DE">
        <w:t xml:space="preserve">. Available at: </w:t>
      </w:r>
      <w:hyperlink r:id="rId108" w:history="1">
        <w:r w:rsidR="006E35DE" w:rsidRPr="009E695E">
          <w:rPr>
            <w:rStyle w:val="Hyperlink"/>
          </w:rPr>
          <w:t>https://documents1.worldbank.org/curated/en/929211613036393029/pdf/Croatia-Cost-of-Environmental-Degradation.pdf</w:t>
        </w:r>
      </w:hyperlink>
      <w:r w:rsidR="006E35DE">
        <w:t xml:space="preserve"> </w:t>
      </w:r>
    </w:p>
  </w:footnote>
  <w:footnote w:id="135">
    <w:p w14:paraId="0ED68600" w14:textId="77158F0F" w:rsidR="00392FDA" w:rsidRPr="00EA4C9B" w:rsidRDefault="00392FDA" w:rsidP="00392FDA">
      <w:pPr>
        <w:pStyle w:val="FootnoteText"/>
      </w:pPr>
      <w:r w:rsidRPr="00EA4C9B">
        <w:rPr>
          <w:rStyle w:val="FootnoteReference"/>
        </w:rPr>
        <w:footnoteRef/>
      </w:r>
      <w:r w:rsidRPr="00EA4C9B">
        <w:t xml:space="preserve"> </w:t>
      </w:r>
      <w:r w:rsidR="00A74A02">
        <w:tab/>
      </w:r>
      <w:r w:rsidRPr="00EA4C9B">
        <w:t>The loss of ecosystem services covers services like carbon sequestration, water supply for hydropower, timber, and pollination, is estimated to cost around EUR 90 million per year.</w:t>
      </w:r>
    </w:p>
  </w:footnote>
  <w:footnote w:id="136">
    <w:p w14:paraId="56DF7841" w14:textId="701A6537" w:rsidR="00392FDA" w:rsidRPr="00EA4C9B" w:rsidRDefault="00392FDA" w:rsidP="00392FDA">
      <w:pPr>
        <w:pStyle w:val="FootnoteText"/>
      </w:pPr>
      <w:r w:rsidRPr="00EA4C9B">
        <w:rPr>
          <w:rStyle w:val="FootnoteReference"/>
        </w:rPr>
        <w:footnoteRef/>
      </w:r>
      <w:r w:rsidRPr="00EA4C9B">
        <w:t xml:space="preserve"> </w:t>
      </w:r>
      <w:r w:rsidR="00A74A02">
        <w:tab/>
      </w:r>
      <w:hyperlink r:id="rId109" w:history="1">
        <w:r w:rsidR="00A74A02" w:rsidRPr="00EC31B9">
          <w:rPr>
            <w:rStyle w:val="Hyperlink"/>
          </w:rPr>
          <w:t>https://www.elibrary.imf.org/view/journals/002/2023/234/article-A002-en.xml</w:t>
        </w:r>
      </w:hyperlink>
      <w:r w:rsidRPr="00EA4C9B">
        <w:t xml:space="preserve"> </w:t>
      </w:r>
    </w:p>
  </w:footnote>
  <w:footnote w:id="137">
    <w:p w14:paraId="56152FAD" w14:textId="3F7C1A3D" w:rsidR="00392FDA" w:rsidRPr="00EA4C9B" w:rsidRDefault="00392FDA" w:rsidP="00392FDA">
      <w:pPr>
        <w:pStyle w:val="FootnoteText"/>
      </w:pPr>
      <w:r w:rsidRPr="00EA4C9B">
        <w:rPr>
          <w:rStyle w:val="FootnoteReference"/>
        </w:rPr>
        <w:footnoteRef/>
      </w:r>
      <w:r w:rsidR="00A74A02">
        <w:t xml:space="preserve"> </w:t>
      </w:r>
      <w:r w:rsidR="00A74A02">
        <w:tab/>
      </w:r>
      <w:hyperlink r:id="rId110" w:history="1">
        <w:r w:rsidR="00A74A02" w:rsidRPr="00EC31B9">
          <w:rPr>
            <w:rStyle w:val="Hyperlink"/>
          </w:rPr>
          <w:t>https://www.elibrary.imf.org/view/journals/002/2023/234/article-A002-en.xml</w:t>
        </w:r>
      </w:hyperlink>
      <w:r w:rsidRPr="00EA4C9B">
        <w:t xml:space="preserve"> </w:t>
      </w:r>
    </w:p>
  </w:footnote>
  <w:footnote w:id="138">
    <w:p w14:paraId="05D2E66E" w14:textId="184595EF" w:rsidR="00392FDA" w:rsidRPr="00EA4C9B" w:rsidRDefault="00392FDA" w:rsidP="00A74A02">
      <w:pPr>
        <w:pStyle w:val="FootnoteText"/>
        <w:jc w:val="left"/>
      </w:pPr>
      <w:r w:rsidRPr="00EA4C9B">
        <w:rPr>
          <w:rStyle w:val="FootnoteReference"/>
        </w:rPr>
        <w:footnoteRef/>
      </w:r>
      <w:r w:rsidRPr="00EA4C9B">
        <w:t xml:space="preserve"> </w:t>
      </w:r>
      <w:r w:rsidR="00A74A02">
        <w:tab/>
      </w:r>
      <w:r w:rsidRPr="00EA4C9B">
        <w:t>https://environment.ec.europa.eu/economy-and-finance/phasing-out-environmentally-harmful-subsidies/croatia-ehs-candidate-reform_en</w:t>
      </w:r>
    </w:p>
  </w:footnote>
  <w:footnote w:id="139">
    <w:p w14:paraId="06DEB0A1" w14:textId="706D6246" w:rsidR="00392FDA" w:rsidRPr="00EA4C9B" w:rsidRDefault="00392FDA" w:rsidP="00A74A02">
      <w:pPr>
        <w:pStyle w:val="FootnoteText"/>
        <w:jc w:val="left"/>
      </w:pPr>
      <w:r w:rsidRPr="00EA4C9B">
        <w:rPr>
          <w:rStyle w:val="FootnoteReference"/>
        </w:rPr>
        <w:footnoteRef/>
      </w:r>
      <w:r w:rsidR="00A74A02">
        <w:t xml:space="preserve"> </w:t>
      </w:r>
      <w:r w:rsidR="00A74A02">
        <w:tab/>
      </w:r>
      <w:hyperlink r:id="rId111" w:history="1">
        <w:r w:rsidR="00A74A02" w:rsidRPr="00EC31B9">
          <w:rPr>
            <w:rStyle w:val="Hyperlink"/>
          </w:rPr>
          <w:t>https://environment.ec.europa.eu/economy-and-finance/phasing-out-environmentally-harmful-subsidies/croatia-ehs-candidate-reform_en</w:t>
        </w:r>
      </w:hyperlink>
      <w:r w:rsidRPr="00EA4C9B">
        <w:t xml:space="preserve"> </w:t>
      </w:r>
    </w:p>
  </w:footnote>
  <w:footnote w:id="140">
    <w:p w14:paraId="282AB97A" w14:textId="79B6A09C" w:rsidR="00392FDA" w:rsidRPr="00EA4C9B" w:rsidRDefault="00392FDA" w:rsidP="00392FDA">
      <w:pPr>
        <w:pStyle w:val="FootnoteText"/>
      </w:pPr>
      <w:r w:rsidRPr="00EA4C9B">
        <w:rPr>
          <w:rStyle w:val="FootnoteReference"/>
        </w:rPr>
        <w:footnoteRef/>
      </w:r>
      <w:r w:rsidRPr="00EA4C9B">
        <w:t xml:space="preserve"> </w:t>
      </w:r>
      <w:r w:rsidR="00A74A02">
        <w:tab/>
      </w:r>
      <w:hyperlink r:id="rId112" w:history="1">
        <w:r w:rsidR="00A74A02" w:rsidRPr="00EC31B9">
          <w:rPr>
            <w:rStyle w:val="Hyperlink"/>
          </w:rPr>
          <w:t>https://environment.ec.europa.eu/system/files/2021-10/Croatia.pdf</w:t>
        </w:r>
      </w:hyperlink>
      <w:r w:rsidRPr="00EA4C9B">
        <w:t xml:space="preserve"> </w:t>
      </w:r>
    </w:p>
  </w:footnote>
  <w:footnote w:id="141">
    <w:p w14:paraId="0A1A3E83" w14:textId="20F9EBEA" w:rsidR="00392FDA" w:rsidRPr="00EA4C9B" w:rsidRDefault="00392FDA" w:rsidP="00A74A02">
      <w:pPr>
        <w:pStyle w:val="FootnoteText"/>
        <w:jc w:val="left"/>
      </w:pPr>
      <w:r w:rsidRPr="00EA4C9B">
        <w:rPr>
          <w:rStyle w:val="FootnoteReference"/>
        </w:rPr>
        <w:footnoteRef/>
      </w:r>
      <w:r w:rsidR="00A74A02">
        <w:t xml:space="preserve"> </w:t>
      </w:r>
      <w:r w:rsidR="00A74A02">
        <w:tab/>
      </w:r>
      <w:hyperlink r:id="rId113" w:history="1">
        <w:r w:rsidR="00A74A02" w:rsidRPr="00EC31B9">
          <w:rPr>
            <w:rStyle w:val="Hyperlink"/>
          </w:rPr>
          <w:t>https://environment.ec.europa.eu/economy-and-finance/phasing-out-environmentally-harmful-subsidies/croatia-ehs-candidate-reform_en</w:t>
        </w:r>
      </w:hyperlink>
      <w:r w:rsidRPr="00EA4C9B">
        <w:t xml:space="preserve"> </w:t>
      </w:r>
    </w:p>
  </w:footnote>
  <w:footnote w:id="142">
    <w:p w14:paraId="2BDCDC1E" w14:textId="1903DFBA" w:rsidR="00392FDA" w:rsidRPr="00EA4C9B" w:rsidRDefault="00392FDA" w:rsidP="00392FDA">
      <w:pPr>
        <w:pStyle w:val="FootnoteText"/>
      </w:pPr>
      <w:r w:rsidRPr="00EA4C9B">
        <w:rPr>
          <w:rStyle w:val="FootnoteReference"/>
        </w:rPr>
        <w:footnoteRef/>
      </w:r>
      <w:r w:rsidRPr="00EA4C9B">
        <w:t xml:space="preserve"> </w:t>
      </w:r>
      <w:r w:rsidR="00A74A02">
        <w:tab/>
      </w:r>
      <w:r w:rsidRPr="00EA4C9B">
        <w:t>https://www.elibrary.imf.org/view/journals/002/2023/234/article-A002-en.xml</w:t>
      </w:r>
    </w:p>
  </w:footnote>
  <w:footnote w:id="143">
    <w:p w14:paraId="52F52B09" w14:textId="44AA91A0" w:rsidR="00392FDA" w:rsidRPr="004F0767" w:rsidRDefault="00392FDA" w:rsidP="00392FDA">
      <w:pPr>
        <w:pStyle w:val="FootnoteText"/>
        <w:rPr>
          <w:lang w:val="es-ES"/>
        </w:rPr>
      </w:pPr>
      <w:r w:rsidRPr="00EA4C9B">
        <w:rPr>
          <w:rStyle w:val="FootnoteReference"/>
        </w:rPr>
        <w:footnoteRef/>
      </w:r>
      <w:r w:rsidRPr="004F0767">
        <w:rPr>
          <w:lang w:val="es-ES"/>
        </w:rPr>
        <w:t xml:space="preserve"> </w:t>
      </w:r>
      <w:r w:rsidR="00A74A02" w:rsidRPr="004F0767">
        <w:rPr>
          <w:lang w:val="es-ES"/>
        </w:rPr>
        <w:tab/>
      </w:r>
      <w:r w:rsidRPr="004F0767">
        <w:rPr>
          <w:lang w:val="es-ES"/>
        </w:rPr>
        <w:t>Ibid.</w:t>
      </w:r>
    </w:p>
  </w:footnote>
  <w:footnote w:id="144">
    <w:p w14:paraId="2280E4B1" w14:textId="03218E9A" w:rsidR="00392FDA" w:rsidRPr="004F0767" w:rsidRDefault="00392FDA" w:rsidP="00392FDA">
      <w:pPr>
        <w:pStyle w:val="FootnoteText"/>
        <w:rPr>
          <w:lang w:val="es-ES"/>
        </w:rPr>
      </w:pPr>
      <w:r w:rsidRPr="00EA4C9B">
        <w:rPr>
          <w:rStyle w:val="FootnoteReference"/>
        </w:rPr>
        <w:footnoteRef/>
      </w:r>
      <w:r w:rsidRPr="004F0767">
        <w:rPr>
          <w:lang w:val="es-ES"/>
        </w:rPr>
        <w:t xml:space="preserve"> </w:t>
      </w:r>
      <w:r w:rsidR="00A74A02" w:rsidRPr="004F0767">
        <w:rPr>
          <w:lang w:val="es-ES"/>
        </w:rPr>
        <w:tab/>
      </w:r>
      <w:hyperlink r:id="rId114" w:history="1">
        <w:r w:rsidR="00A74A02" w:rsidRPr="004F0767">
          <w:rPr>
            <w:rStyle w:val="Hyperlink"/>
            <w:lang w:val="es-ES"/>
          </w:rPr>
          <w:t>https://narodne-novine.nn.hr/clanci/sluzbeni/2015_10_115_2193.html</w:t>
        </w:r>
      </w:hyperlink>
      <w:r w:rsidRPr="004F0767">
        <w:rPr>
          <w:lang w:val="es-ES"/>
        </w:rPr>
        <w:t xml:space="preserve"> </w:t>
      </w:r>
    </w:p>
  </w:footnote>
  <w:footnote w:id="145">
    <w:p w14:paraId="45D22DC5" w14:textId="1927CA23" w:rsidR="00392FDA" w:rsidRPr="00EA4C9B" w:rsidRDefault="00392FDA" w:rsidP="00392FDA">
      <w:pPr>
        <w:pStyle w:val="FootnoteText"/>
      </w:pPr>
      <w:r w:rsidRPr="00EA4C9B">
        <w:rPr>
          <w:rStyle w:val="FootnoteReference"/>
        </w:rPr>
        <w:footnoteRef/>
      </w:r>
      <w:r w:rsidRPr="00EA4C9B">
        <w:t xml:space="preserve"> </w:t>
      </w:r>
      <w:r w:rsidR="00A74A02">
        <w:tab/>
      </w:r>
      <w:r w:rsidRPr="00EA4C9B">
        <w:t>For the previous tax rates and their calculations, see 71/2004.</w:t>
      </w:r>
    </w:p>
  </w:footnote>
  <w:footnote w:id="146">
    <w:p w14:paraId="2B32C5BF" w14:textId="0A2830F1" w:rsidR="00392FDA" w:rsidRPr="00EA4C9B" w:rsidRDefault="00392FDA" w:rsidP="00392FDA">
      <w:pPr>
        <w:pStyle w:val="FootnoteText"/>
      </w:pPr>
      <w:r w:rsidRPr="00EA4C9B">
        <w:rPr>
          <w:rStyle w:val="FootnoteReference"/>
        </w:rPr>
        <w:footnoteRef/>
      </w:r>
      <w:r w:rsidRPr="00EA4C9B">
        <w:t xml:space="preserve"> </w:t>
      </w:r>
      <w:r w:rsidR="00A74A02">
        <w:tab/>
      </w:r>
      <w:hyperlink r:id="rId115" w:history="1">
        <w:r w:rsidR="00A74A02" w:rsidRPr="00EC31B9">
          <w:rPr>
            <w:rStyle w:val="Hyperlink"/>
          </w:rPr>
          <w:t>https://esavjetovanja.gov.hr/ECon/EconReport?entityId=1912</w:t>
        </w:r>
      </w:hyperlink>
      <w:r w:rsidRPr="00EA4C9B">
        <w:t xml:space="preserve"> </w:t>
      </w:r>
    </w:p>
  </w:footnote>
  <w:footnote w:id="147">
    <w:p w14:paraId="5C1405C4" w14:textId="2C9B92DD" w:rsidR="00392FDA" w:rsidRPr="00EA4C9B" w:rsidRDefault="00392FDA" w:rsidP="00392FDA">
      <w:pPr>
        <w:pStyle w:val="FootnoteText"/>
      </w:pPr>
      <w:r w:rsidRPr="00EA4C9B">
        <w:rPr>
          <w:rStyle w:val="FootnoteReference"/>
        </w:rPr>
        <w:footnoteRef/>
      </w:r>
      <w:r w:rsidRPr="00EA4C9B">
        <w:t xml:space="preserve"> </w:t>
      </w:r>
      <w:r w:rsidR="00A74A02">
        <w:tab/>
      </w:r>
      <w:r w:rsidRPr="00EA4C9B">
        <w:t>Based on a key word search for ‘tax’ and ‘environment’ in the database and a review of the results. Some results on the green transition, however unrelated to taxation.</w:t>
      </w:r>
    </w:p>
  </w:footnote>
  <w:footnote w:id="148">
    <w:p w14:paraId="072E0C25" w14:textId="07315B72" w:rsidR="00392FDA" w:rsidRPr="00EA4C9B" w:rsidRDefault="00392FDA" w:rsidP="00A74A02">
      <w:pPr>
        <w:pStyle w:val="FootnoteText"/>
        <w:jc w:val="left"/>
      </w:pPr>
      <w:r w:rsidRPr="00EA4C9B">
        <w:rPr>
          <w:rStyle w:val="FootnoteReference"/>
        </w:rPr>
        <w:footnoteRef/>
      </w:r>
      <w:r w:rsidRPr="00EA4C9B">
        <w:t xml:space="preserve"> </w:t>
      </w:r>
      <w:r w:rsidR="00A74A02">
        <w:tab/>
      </w:r>
      <w:r w:rsidRPr="00EA4C9B">
        <w:t>European Commission (2014) Annual Growth Survey 2015, COM(2014) 902 Final, http://ec.europa.eu/europe2020/pdf/2015/ags2015_en.pdf, p. 15</w:t>
      </w:r>
    </w:p>
  </w:footnote>
  <w:footnote w:id="149">
    <w:p w14:paraId="0C94960D" w14:textId="5A7AE4B1" w:rsidR="00392FDA" w:rsidRPr="00EA4C9B" w:rsidRDefault="00392FDA" w:rsidP="00392FDA">
      <w:pPr>
        <w:pStyle w:val="FootnoteText"/>
      </w:pPr>
      <w:r w:rsidRPr="00EA4C9B">
        <w:rPr>
          <w:rStyle w:val="FootnoteReference"/>
        </w:rPr>
        <w:footnoteRef/>
      </w:r>
      <w:r w:rsidRPr="00EA4C9B">
        <w:t xml:space="preserve"> </w:t>
      </w:r>
      <w:r w:rsidR="00A74A02">
        <w:tab/>
      </w:r>
      <w:r w:rsidRPr="00EA4C9B">
        <w:t>(IEEP report).</w:t>
      </w:r>
    </w:p>
  </w:footnote>
  <w:footnote w:id="150">
    <w:p w14:paraId="3B4D2373" w14:textId="02719AA1" w:rsidR="00392FDA" w:rsidRPr="00EA4C9B" w:rsidRDefault="00392FDA" w:rsidP="00392FDA">
      <w:pPr>
        <w:pStyle w:val="FootnoteText"/>
      </w:pPr>
      <w:r w:rsidRPr="00EA4C9B">
        <w:rPr>
          <w:rStyle w:val="FootnoteReference"/>
        </w:rPr>
        <w:footnoteRef/>
      </w:r>
      <w:r w:rsidRPr="00EA4C9B">
        <w:t xml:space="preserve"> </w:t>
      </w:r>
      <w:r w:rsidR="00A74A02">
        <w:tab/>
      </w:r>
      <w:r w:rsidRPr="00EA4C9B">
        <w:t>Commission Staff Working Document 2024 Country Report – Croatia. Accompanying the document Recommendation for a COUNCIL RECOMMENDATION on the economic, social, employment, structural and budgetary policies of Croatia.</w:t>
      </w:r>
    </w:p>
  </w:footnote>
  <w:footnote w:id="151">
    <w:p w14:paraId="1955CB7F" w14:textId="4635E87C" w:rsidR="00392FDA" w:rsidRPr="00EA4C9B" w:rsidRDefault="00392FDA" w:rsidP="00392FDA">
      <w:pPr>
        <w:pStyle w:val="FootnoteText"/>
      </w:pPr>
      <w:r w:rsidRPr="00EA4C9B">
        <w:rPr>
          <w:rStyle w:val="FootnoteReference"/>
        </w:rPr>
        <w:footnoteRef/>
      </w:r>
      <w:r w:rsidRPr="00EA4C9B">
        <w:t xml:space="preserve"> </w:t>
      </w:r>
      <w:r w:rsidR="00A74A02">
        <w:tab/>
      </w:r>
      <w:hyperlink r:id="rId116" w:history="1">
        <w:r w:rsidR="00A74A02" w:rsidRPr="00EC31B9">
          <w:rPr>
            <w:rStyle w:val="Hyperlink"/>
          </w:rPr>
          <w:t>https://repozitorij.ijf.hr/en/islandora/object/ijf:969/datastream/FILE0/view</w:t>
        </w:r>
      </w:hyperlink>
      <w:r w:rsidRPr="00EA4C9B">
        <w:t xml:space="preserve"> </w:t>
      </w:r>
    </w:p>
  </w:footnote>
  <w:footnote w:id="152">
    <w:p w14:paraId="0B6C7D04" w14:textId="513C570F" w:rsidR="00392FDA" w:rsidRPr="00EA4C9B" w:rsidRDefault="00392FDA" w:rsidP="00392FDA">
      <w:pPr>
        <w:pStyle w:val="FootnoteText"/>
      </w:pPr>
      <w:r w:rsidRPr="00EA4C9B">
        <w:rPr>
          <w:rStyle w:val="FootnoteReference"/>
        </w:rPr>
        <w:footnoteRef/>
      </w:r>
      <w:r w:rsidRPr="00EA4C9B">
        <w:t xml:space="preserve"> </w:t>
      </w:r>
      <w:r w:rsidR="00A74A02">
        <w:tab/>
      </w:r>
      <w:r w:rsidRPr="00EA4C9B">
        <w:t>https://environment.ec.europa.eu/system/files/2021-10/Croatia.pdf</w:t>
      </w:r>
    </w:p>
  </w:footnote>
  <w:footnote w:id="153">
    <w:p w14:paraId="5C04A691" w14:textId="6ADA5B82" w:rsidR="00392FDA" w:rsidRPr="00EA4C9B" w:rsidRDefault="00392FDA" w:rsidP="00392FDA">
      <w:pPr>
        <w:pStyle w:val="FootnoteText"/>
      </w:pPr>
      <w:r w:rsidRPr="00EA4C9B">
        <w:rPr>
          <w:rStyle w:val="FootnoteReference"/>
        </w:rPr>
        <w:footnoteRef/>
      </w:r>
      <w:r w:rsidRPr="00EA4C9B">
        <w:t xml:space="preserve"> </w:t>
      </w:r>
      <w:r w:rsidR="00A74A02">
        <w:tab/>
      </w:r>
      <w:hyperlink r:id="rId117" w:history="1">
        <w:r w:rsidR="00A74A02" w:rsidRPr="00EC31B9">
          <w:rPr>
            <w:rStyle w:val="Hyperlink"/>
          </w:rPr>
          <w:t>https://repozitorij.ijf.hr/en/islandora/object/ijf:969/datastream/FILE0/view</w:t>
        </w:r>
      </w:hyperlink>
      <w:r w:rsidRPr="00EA4C9B">
        <w:t xml:space="preserve"> </w:t>
      </w:r>
    </w:p>
  </w:footnote>
  <w:footnote w:id="154">
    <w:p w14:paraId="3976F7A5" w14:textId="22CD4A3C" w:rsidR="00392FDA" w:rsidRPr="00EA4C9B" w:rsidRDefault="00392FDA" w:rsidP="00392FDA">
      <w:pPr>
        <w:pStyle w:val="FootnoteText"/>
      </w:pPr>
      <w:r w:rsidRPr="00EA4C9B">
        <w:rPr>
          <w:rStyle w:val="FootnoteReference"/>
        </w:rPr>
        <w:footnoteRef/>
      </w:r>
      <w:r w:rsidRPr="00EA4C9B">
        <w:t xml:space="preserve"> </w:t>
      </w:r>
      <w:r w:rsidR="00A74A02">
        <w:tab/>
      </w:r>
      <w:r w:rsidRPr="00EA4C9B">
        <w:t>https://environment.ec.europa.eu/system/files/2021-10/Croatia.pdf</w:t>
      </w:r>
    </w:p>
  </w:footnote>
  <w:footnote w:id="155">
    <w:p w14:paraId="24074F28" w14:textId="3C2C6CC3" w:rsidR="00392FDA" w:rsidRPr="00EA4C9B" w:rsidRDefault="00392FDA" w:rsidP="00392FDA">
      <w:pPr>
        <w:pStyle w:val="FootnoteText"/>
      </w:pPr>
      <w:r w:rsidRPr="00EA4C9B">
        <w:rPr>
          <w:rStyle w:val="FootnoteReference"/>
        </w:rPr>
        <w:footnoteRef/>
      </w:r>
      <w:r w:rsidRPr="00EA4C9B">
        <w:t xml:space="preserve"> </w:t>
      </w:r>
      <w:r w:rsidR="00A74A02">
        <w:tab/>
      </w:r>
      <w:hyperlink r:id="rId118" w:history="1">
        <w:r w:rsidR="00A74A02" w:rsidRPr="00EC31B9">
          <w:rPr>
            <w:rStyle w:val="Hyperlink"/>
          </w:rPr>
          <w:t>https://environment.ec.europa.eu/system/files/2021-10/Croatia.pdf</w:t>
        </w:r>
      </w:hyperlink>
      <w:r w:rsidRPr="00EA4C9B">
        <w:t xml:space="preserve"> </w:t>
      </w:r>
    </w:p>
  </w:footnote>
  <w:footnote w:id="156">
    <w:p w14:paraId="47747FAE" w14:textId="3C0719D5" w:rsidR="00392FDA" w:rsidRPr="00EA4C9B" w:rsidRDefault="00392FDA" w:rsidP="00392FDA">
      <w:pPr>
        <w:pStyle w:val="FootnoteText"/>
      </w:pPr>
      <w:r w:rsidRPr="00EA4C9B">
        <w:rPr>
          <w:rStyle w:val="FootnoteReference"/>
        </w:rPr>
        <w:footnoteRef/>
      </w:r>
      <w:r w:rsidRPr="00EA4C9B">
        <w:t xml:space="preserve"> </w:t>
      </w:r>
      <w:r w:rsidR="00A74A02">
        <w:tab/>
      </w:r>
      <w:r w:rsidRPr="00EA4C9B">
        <w:t xml:space="preserve">Ibid. </w:t>
      </w:r>
    </w:p>
  </w:footnote>
  <w:footnote w:id="157">
    <w:p w14:paraId="5B53215B" w14:textId="7776E501" w:rsidR="00392FDA" w:rsidRPr="00EA4C9B" w:rsidRDefault="00392FDA" w:rsidP="00392FDA">
      <w:pPr>
        <w:pStyle w:val="FootnoteText"/>
      </w:pPr>
      <w:r w:rsidRPr="00EA4C9B">
        <w:rPr>
          <w:rStyle w:val="FootnoteReference"/>
        </w:rPr>
        <w:footnoteRef/>
      </w:r>
      <w:r w:rsidRPr="00EA4C9B">
        <w:t xml:space="preserve"> </w:t>
      </w:r>
      <w:r w:rsidR="00A74A02">
        <w:tab/>
      </w:r>
      <w:r w:rsidRPr="00EA4C9B">
        <w:t>Ibid.</w:t>
      </w:r>
    </w:p>
  </w:footnote>
  <w:footnote w:id="158">
    <w:p w14:paraId="1F339686" w14:textId="273C5565" w:rsidR="00392FDA" w:rsidRPr="00EA4C9B" w:rsidRDefault="00392FDA" w:rsidP="00392FDA">
      <w:pPr>
        <w:pStyle w:val="FootnoteText"/>
      </w:pPr>
      <w:r w:rsidRPr="00EA4C9B">
        <w:rPr>
          <w:rStyle w:val="FootnoteReference"/>
        </w:rPr>
        <w:footnoteRef/>
      </w:r>
      <w:r w:rsidRPr="00EA4C9B">
        <w:t xml:space="preserve"> </w:t>
      </w:r>
      <w:r w:rsidR="00A74A02">
        <w:tab/>
      </w:r>
      <w:r w:rsidRPr="00EA4C9B">
        <w:t xml:space="preserve">Ibid. </w:t>
      </w:r>
    </w:p>
  </w:footnote>
  <w:footnote w:id="159">
    <w:p w14:paraId="19224CD4" w14:textId="47F6140F" w:rsidR="00392FDA" w:rsidRPr="00EA4C9B" w:rsidRDefault="00392FDA" w:rsidP="00392FDA">
      <w:pPr>
        <w:pStyle w:val="FootnoteText"/>
      </w:pPr>
      <w:r w:rsidRPr="00EA4C9B">
        <w:rPr>
          <w:rStyle w:val="FootnoteReference"/>
        </w:rPr>
        <w:footnoteRef/>
      </w:r>
      <w:r w:rsidRPr="00EA4C9B">
        <w:t xml:space="preserve"> </w:t>
      </w:r>
      <w:r w:rsidR="00A74A02">
        <w:tab/>
      </w:r>
      <w:hyperlink r:id="rId119" w:history="1">
        <w:r w:rsidR="00A74A02" w:rsidRPr="00EC31B9">
          <w:rPr>
            <w:rStyle w:val="Hyperlink"/>
          </w:rPr>
          <w:t>https://ieep.eu/wp-content/uploads/2022/12/HR-Forest-Public-Benefit-Fee-final.pdf</w:t>
        </w:r>
      </w:hyperlink>
      <w:r w:rsidRPr="00EA4C9B">
        <w:t xml:space="preserve"> </w:t>
      </w:r>
    </w:p>
  </w:footnote>
  <w:footnote w:id="160">
    <w:p w14:paraId="53EA12B1" w14:textId="47B1A3FB" w:rsidR="00392FDA" w:rsidRPr="00EA4C9B" w:rsidRDefault="00392FDA" w:rsidP="00392FDA">
      <w:pPr>
        <w:pStyle w:val="FootnoteText"/>
      </w:pPr>
      <w:r w:rsidRPr="00EA4C9B">
        <w:rPr>
          <w:rStyle w:val="FootnoteReference"/>
        </w:rPr>
        <w:footnoteRef/>
      </w:r>
      <w:r w:rsidRPr="00EA4C9B">
        <w:t xml:space="preserve"> </w:t>
      </w:r>
      <w:r w:rsidR="00A74A02">
        <w:tab/>
      </w:r>
      <w:hyperlink r:id="rId120" w:history="1">
        <w:r w:rsidR="00A74A02" w:rsidRPr="00EC31B9">
          <w:rPr>
            <w:rStyle w:val="Hyperlink"/>
          </w:rPr>
          <w:t>https://ieep.eu/wp-content/uploads/2022/12/HR-Forest-Public-Benefit-Fee-final.pdf</w:t>
        </w:r>
      </w:hyperlink>
      <w:r w:rsidRPr="00EA4C9B">
        <w:t xml:space="preserve"> </w:t>
      </w:r>
    </w:p>
  </w:footnote>
  <w:footnote w:id="161">
    <w:p w14:paraId="55DBFA8C" w14:textId="7E10EFD7" w:rsidR="00392FDA" w:rsidRPr="00EA4C9B" w:rsidRDefault="00392FDA" w:rsidP="00392FDA">
      <w:pPr>
        <w:pStyle w:val="FootnoteText"/>
      </w:pPr>
      <w:r w:rsidRPr="00EA4C9B">
        <w:rPr>
          <w:rStyle w:val="FootnoteReference"/>
        </w:rPr>
        <w:footnoteRef/>
      </w:r>
      <w:r w:rsidRPr="00EA4C9B">
        <w:t xml:space="preserve"> </w:t>
      </w:r>
      <w:r w:rsidR="00A74A02">
        <w:tab/>
      </w:r>
      <w:hyperlink r:id="rId121" w:history="1">
        <w:r w:rsidR="00A74A02" w:rsidRPr="00EC31B9">
          <w:rPr>
            <w:rStyle w:val="Hyperlink"/>
          </w:rPr>
          <w:t>https://environment.ec.europa.eu/system/files/2021-10/Croatia.pdf</w:t>
        </w:r>
      </w:hyperlink>
      <w:r w:rsidRPr="00EA4C9B">
        <w:t xml:space="preserve"> </w:t>
      </w:r>
    </w:p>
  </w:footnote>
  <w:footnote w:id="162">
    <w:p w14:paraId="770EEAA0" w14:textId="4660020A" w:rsidR="00D35661" w:rsidRDefault="00D35661">
      <w:pPr>
        <w:pStyle w:val="FootnoteText"/>
      </w:pPr>
      <w:r>
        <w:rPr>
          <w:rStyle w:val="FootnoteReference"/>
        </w:rPr>
        <w:footnoteRef/>
      </w:r>
      <w:r>
        <w:t xml:space="preserve"> </w:t>
      </w:r>
      <w:r w:rsidRPr="00D35661">
        <w:t>Early warning country profile</w:t>
      </w:r>
      <w:r>
        <w:t>.</w:t>
      </w:r>
    </w:p>
  </w:footnote>
  <w:footnote w:id="163">
    <w:p w14:paraId="6A17D9E6" w14:textId="3E17A273" w:rsidR="009639C7" w:rsidRDefault="009639C7">
      <w:pPr>
        <w:pStyle w:val="FootnoteText"/>
      </w:pPr>
      <w:r>
        <w:rPr>
          <w:rStyle w:val="FootnoteReference"/>
        </w:rPr>
        <w:footnoteRef/>
      </w:r>
      <w:r>
        <w:t xml:space="preserve"> </w:t>
      </w:r>
      <w:hyperlink r:id="rId122" w:history="1">
        <w:r w:rsidRPr="006A74EB">
          <w:rPr>
            <w:rStyle w:val="Hyperlink"/>
          </w:rPr>
          <w:t>https://www.eea.europa.eu/en/topics/in-depth/waste-and-recycling/municipal-and-packaging-waste-management-country-profiles/hr-municipal-waste-factsheet.pdf/@@download/file</w:t>
        </w:r>
      </w:hyperlink>
      <w:r>
        <w:t xml:space="preserve"> </w:t>
      </w:r>
    </w:p>
  </w:footnote>
  <w:footnote w:id="164">
    <w:p w14:paraId="140B71BE" w14:textId="70EBCCEE" w:rsidR="00841929" w:rsidRDefault="00841929">
      <w:pPr>
        <w:pStyle w:val="FootnoteText"/>
      </w:pPr>
      <w:r>
        <w:rPr>
          <w:rStyle w:val="FootnoteReference"/>
        </w:rPr>
        <w:footnoteRef/>
      </w:r>
      <w:r>
        <w:t xml:space="preserve"> </w:t>
      </w:r>
      <w:hyperlink r:id="rId123" w:history="1">
        <w:r w:rsidRPr="006A74EB">
          <w:rPr>
            <w:rStyle w:val="Hyperlink"/>
          </w:rPr>
          <w:t>https://www.zakon.hr/c/podzakonski-propis/540245/nn-137-2024-%2829.11.2024.%29%2C-uredba-o-jedinicnoj-naknadi-za-odlaganje-otpada</w:t>
        </w:r>
      </w:hyperlink>
      <w:r>
        <w:t xml:space="preserve"> </w:t>
      </w:r>
    </w:p>
  </w:footnote>
  <w:footnote w:id="165">
    <w:p w14:paraId="7327BC6D" w14:textId="5DABB662" w:rsidR="00392FDA" w:rsidRPr="00EA4C9B" w:rsidRDefault="00392FDA" w:rsidP="00392FDA">
      <w:pPr>
        <w:pStyle w:val="FootnoteText"/>
      </w:pPr>
      <w:r w:rsidRPr="00EA4C9B">
        <w:rPr>
          <w:rStyle w:val="FootnoteReference"/>
        </w:rPr>
        <w:footnoteRef/>
      </w:r>
      <w:r w:rsidR="00A74A02">
        <w:t xml:space="preserve"> </w:t>
      </w:r>
      <w:r w:rsidR="00A74A02">
        <w:tab/>
      </w:r>
      <w:r w:rsidRPr="00EA4C9B">
        <w:t xml:space="preserve">Developed for the World Bank’s Circular Economy approaches in Solid Waste Management Reimbursable Advisory Services in support of the Ministry of Economy and Sustainable Development of Croatia.  </w:t>
      </w:r>
      <w:hyperlink r:id="rId124" w:history="1">
        <w:r w:rsidRPr="00EA4C9B">
          <w:rPr>
            <w:rStyle w:val="Hyperlink"/>
          </w:rPr>
          <w:t>https://thedocs.worldbank.org/en/doc/c22f85216d0d23a3287250b550d05935-0080012022/original/Deliverable1bCroatiaProposedCEactionPlan.pdf</w:t>
        </w:r>
      </w:hyperlink>
      <w:r w:rsidRPr="00EA4C9B">
        <w:t xml:space="preserve"> </w:t>
      </w:r>
    </w:p>
  </w:footnote>
  <w:footnote w:id="166">
    <w:p w14:paraId="56748D32" w14:textId="1E8C6D65" w:rsidR="00392FDA" w:rsidRPr="00EA4C9B" w:rsidRDefault="00392FDA" w:rsidP="00392FDA">
      <w:pPr>
        <w:pStyle w:val="FootnoteText"/>
      </w:pPr>
      <w:r w:rsidRPr="00EA4C9B">
        <w:rPr>
          <w:rStyle w:val="FootnoteReference"/>
        </w:rPr>
        <w:footnoteRef/>
      </w:r>
      <w:r w:rsidRPr="00EA4C9B">
        <w:t xml:space="preserve"> </w:t>
      </w:r>
      <w:r w:rsidR="00A74A02">
        <w:tab/>
      </w:r>
      <w:hyperlink r:id="rId125" w:history="1">
        <w:r w:rsidR="00A74A02" w:rsidRPr="00EC31B9">
          <w:rPr>
            <w:rStyle w:val="Hyperlink"/>
          </w:rPr>
          <w:t>https://www</w:t>
        </w:r>
      </w:hyperlink>
      <w:r w:rsidRPr="00EA4C9B">
        <w:t>.elibrary.imf.org/view/journals/002/2023/234/article-A002-en.xml</w:t>
      </w:r>
    </w:p>
  </w:footnote>
  <w:footnote w:id="167">
    <w:p w14:paraId="50598AB5" w14:textId="29789FA0" w:rsidR="00392FDA" w:rsidRPr="00EA4C9B" w:rsidRDefault="00392FDA" w:rsidP="00A74A02">
      <w:pPr>
        <w:pStyle w:val="FootnoteText"/>
        <w:jc w:val="left"/>
      </w:pPr>
      <w:r w:rsidRPr="00EA4C9B">
        <w:rPr>
          <w:rStyle w:val="FootnoteReference"/>
        </w:rPr>
        <w:footnoteRef/>
      </w:r>
      <w:r w:rsidRPr="00EA4C9B">
        <w:t xml:space="preserve"> </w:t>
      </w:r>
      <w:r w:rsidR="00A74A02">
        <w:tab/>
      </w:r>
      <w:hyperlink r:id="rId126" w:history="1">
        <w:r w:rsidRPr="00EA4C9B">
          <w:rPr>
            <w:rStyle w:val="Hyperlink"/>
          </w:rPr>
          <w:t>https://vlada.gov.hr/news/croatia-remains-strongly-committed-to-decarbonizing-its-energy-system-and-intensifying-green-transition/43326</w:t>
        </w:r>
      </w:hyperlink>
      <w:r w:rsidRPr="00EA4C9B">
        <w:t xml:space="preserve"> </w:t>
      </w:r>
    </w:p>
  </w:footnote>
  <w:footnote w:id="168">
    <w:p w14:paraId="162B2FE7" w14:textId="0B43A25C" w:rsidR="00392FDA" w:rsidRPr="00EA4C9B" w:rsidRDefault="00392FDA" w:rsidP="00392FDA">
      <w:pPr>
        <w:pStyle w:val="FootnoteText"/>
      </w:pPr>
      <w:r w:rsidRPr="00EA4C9B">
        <w:rPr>
          <w:rStyle w:val="FootnoteReference"/>
        </w:rPr>
        <w:footnoteRef/>
      </w:r>
      <w:r w:rsidRPr="00EA4C9B">
        <w:t xml:space="preserve"> </w:t>
      </w:r>
      <w:r w:rsidR="00A74A02">
        <w:tab/>
      </w:r>
      <w:r w:rsidRPr="00EA4C9B">
        <w:t xml:space="preserve">IMF - Statement by Mr. Paul Hilbers and Mr. Darjan Milutinovic on Republic of Croatia, Executive Board Meeting July 26, 2024, available at </w:t>
      </w:r>
      <w:hyperlink r:id="rId127" w:history="1">
        <w:r w:rsidRPr="00EA4C9B">
          <w:rPr>
            <w:rStyle w:val="Hyperlink"/>
          </w:rPr>
          <w:t>https://www.elibrary.imf.org/view/journals/002/2024/246/article-A003-en.xml</w:t>
        </w:r>
      </w:hyperlink>
      <w:r w:rsidRPr="00EA4C9B">
        <w:t xml:space="preserve"> </w:t>
      </w:r>
    </w:p>
  </w:footnote>
  <w:footnote w:id="169">
    <w:p w14:paraId="11D964D9" w14:textId="3CB848A9" w:rsidR="00392FDA" w:rsidRPr="00EA4C9B" w:rsidRDefault="00392FDA" w:rsidP="00392FDA">
      <w:pPr>
        <w:pStyle w:val="FootnoteText"/>
      </w:pPr>
      <w:r w:rsidRPr="00EA4C9B">
        <w:rPr>
          <w:rStyle w:val="FootnoteReference"/>
        </w:rPr>
        <w:footnoteRef/>
      </w:r>
      <w:r w:rsidRPr="00EA4C9B">
        <w:t xml:space="preserve"> </w:t>
      </w:r>
      <w:r w:rsidR="00A74A02">
        <w:tab/>
      </w:r>
      <w:r w:rsidRPr="00EA4C9B">
        <w:t>https://repozitorij.ijf.hr/en/islandora/object/ijf:969/datastream/FILE0/view</w:t>
      </w:r>
    </w:p>
  </w:footnote>
  <w:footnote w:id="170">
    <w:p w14:paraId="4D5BC194" w14:textId="77777777" w:rsidR="00BB751A" w:rsidRPr="00EA4C9B" w:rsidRDefault="00BB751A" w:rsidP="00BB751A">
      <w:pPr>
        <w:pStyle w:val="FootnoteText"/>
      </w:pPr>
      <w:r w:rsidRPr="00EA4C9B">
        <w:rPr>
          <w:rStyle w:val="FootnoteReference"/>
        </w:rPr>
        <w:footnoteRef/>
      </w:r>
      <w:r w:rsidRPr="00EA4C9B">
        <w:t xml:space="preserve"> </w:t>
      </w:r>
      <w:r>
        <w:tab/>
      </w:r>
      <w:hyperlink r:id="rId128" w:history="1">
        <w:r w:rsidRPr="00647AA7">
          <w:rPr>
            <w:rStyle w:val="Hyperlink"/>
          </w:rPr>
          <w:t>https://repozitorij.ijf.hr/en/islandora/object/ijf:969/datastream/FILE0/view</w:t>
        </w:r>
      </w:hyperlink>
      <w:r>
        <w:t xml:space="preserve"> </w:t>
      </w:r>
    </w:p>
  </w:footnote>
  <w:footnote w:id="171">
    <w:p w14:paraId="2F7DFEE5" w14:textId="77777777" w:rsidR="00BB751A" w:rsidRPr="00EA4C9B" w:rsidRDefault="00BB751A" w:rsidP="00BB751A">
      <w:pPr>
        <w:pStyle w:val="FootnoteText"/>
      </w:pPr>
      <w:r w:rsidRPr="00EA4C9B">
        <w:rPr>
          <w:rStyle w:val="FootnoteReference"/>
        </w:rPr>
        <w:footnoteRef/>
      </w:r>
      <w:r w:rsidRPr="00EA4C9B">
        <w:t xml:space="preserve"> </w:t>
      </w:r>
      <w:r>
        <w:tab/>
      </w:r>
      <w:r w:rsidRPr="00EA4C9B">
        <w:t xml:space="preserve">Ibid. See also </w:t>
      </w:r>
      <w:hyperlink r:id="rId129" w:history="1">
        <w:r w:rsidRPr="00EA4C9B">
          <w:rPr>
            <w:rStyle w:val="Hyperlink"/>
          </w:rPr>
          <w:t>https://www.elibrary.imf.org/view/journals/002/2023/234/article-A002-en.xml</w:t>
        </w:r>
      </w:hyperlink>
      <w:r w:rsidRPr="00EA4C9B">
        <w:t xml:space="preserve"> </w:t>
      </w:r>
    </w:p>
  </w:footnote>
  <w:footnote w:id="172">
    <w:p w14:paraId="2C6AB66A" w14:textId="578D85B4" w:rsidR="00EA47CA" w:rsidRDefault="00EA47CA" w:rsidP="00EA47CA">
      <w:pPr>
        <w:pStyle w:val="FootnoteText"/>
      </w:pPr>
      <w:r>
        <w:rPr>
          <w:rStyle w:val="FootnoteReference"/>
        </w:rPr>
        <w:footnoteRef/>
      </w:r>
      <w:r>
        <w:t xml:space="preserve"> </w:t>
      </w:r>
      <w:r w:rsidR="00D12D7A">
        <w:tab/>
      </w:r>
      <w:r w:rsidRPr="00EA47CA">
        <w:t>https://repozitorij.ijf.hr/islandora/object/ijf:1156</w:t>
      </w:r>
    </w:p>
  </w:footnote>
  <w:footnote w:id="173">
    <w:p w14:paraId="06DFB1BA" w14:textId="6B4F29C6" w:rsidR="00AF4F79" w:rsidRDefault="00AF4F79">
      <w:pPr>
        <w:pStyle w:val="FootnoteText"/>
      </w:pPr>
      <w:r>
        <w:rPr>
          <w:rStyle w:val="FootnoteReference"/>
        </w:rPr>
        <w:footnoteRef/>
      </w:r>
      <w:r>
        <w:t xml:space="preserve"> </w:t>
      </w:r>
      <w:r w:rsidR="00D12D7A">
        <w:tab/>
      </w:r>
      <w:r w:rsidR="00EA47CA" w:rsidRPr="00EA47CA">
        <w:t>https://repozitorij.ijf.hr/islandora/object/ijf:1156</w:t>
      </w:r>
    </w:p>
  </w:footnote>
  <w:footnote w:id="174">
    <w:p w14:paraId="14E3FACB" w14:textId="7E991790" w:rsidR="00392FDA" w:rsidRPr="00EA4C9B" w:rsidRDefault="00392FDA" w:rsidP="00392FDA">
      <w:pPr>
        <w:pStyle w:val="FootnoteText"/>
      </w:pPr>
      <w:r w:rsidRPr="00EA4C9B">
        <w:rPr>
          <w:rStyle w:val="FootnoteReference"/>
        </w:rPr>
        <w:footnoteRef/>
      </w:r>
      <w:r w:rsidRPr="00EA4C9B">
        <w:t xml:space="preserve"> </w:t>
      </w:r>
      <w:r w:rsidR="00A74A02">
        <w:tab/>
      </w:r>
      <w:r w:rsidRPr="00EA4C9B">
        <w:t>https://www.eurocontrol.int/sites/default/files/2024-12/ld-2025-01.pdf</w:t>
      </w:r>
    </w:p>
  </w:footnote>
  <w:footnote w:id="175">
    <w:p w14:paraId="0918F45F" w14:textId="4CF9E416" w:rsidR="00392FDA" w:rsidRPr="00EA4C9B" w:rsidRDefault="00392FDA" w:rsidP="00A74A02">
      <w:pPr>
        <w:pStyle w:val="FootnoteText"/>
        <w:jc w:val="left"/>
      </w:pPr>
      <w:r w:rsidRPr="00EA4C9B">
        <w:rPr>
          <w:rStyle w:val="FootnoteReference"/>
        </w:rPr>
        <w:footnoteRef/>
      </w:r>
      <w:r w:rsidR="00A74A02">
        <w:t xml:space="preserve"> </w:t>
      </w:r>
      <w:r w:rsidR="00A74A02">
        <w:tab/>
      </w:r>
      <w:hyperlink r:id="rId130" w:history="1">
        <w:r w:rsidR="00A74A02" w:rsidRPr="00EC31B9">
          <w:rPr>
            <w:rStyle w:val="Hyperlink"/>
          </w:rPr>
          <w:t>https://www.eea.europa.eu/en/topics/in-depth/waste-and-recycling/municipal-and-packaging-waste-management-country-profiles/hr-municipal-waste-factsheet.pdf/@@download/file</w:t>
        </w:r>
      </w:hyperlink>
      <w:r w:rsidRPr="00EA4C9B">
        <w:t xml:space="preserve"> </w:t>
      </w:r>
    </w:p>
  </w:footnote>
  <w:footnote w:id="176">
    <w:p w14:paraId="1D63A3F3" w14:textId="73A0B3A7" w:rsidR="00392FDA" w:rsidRPr="00EA4C9B" w:rsidRDefault="00392FDA" w:rsidP="00392FDA">
      <w:pPr>
        <w:pStyle w:val="FootnoteText"/>
      </w:pPr>
      <w:r w:rsidRPr="00EA4C9B">
        <w:rPr>
          <w:rStyle w:val="FootnoteReference"/>
        </w:rPr>
        <w:footnoteRef/>
      </w:r>
      <w:r w:rsidRPr="00EA4C9B">
        <w:t xml:space="preserve"> </w:t>
      </w:r>
      <w:r w:rsidR="00A74A02">
        <w:tab/>
      </w:r>
      <w:hyperlink r:id="rId131" w:history="1">
        <w:r w:rsidR="00A74A02" w:rsidRPr="00EC31B9">
          <w:rPr>
            <w:rStyle w:val="Hyperlink"/>
          </w:rPr>
          <w:t>https://www.croatiaweek.com/lightweight-plastic-bags-wont-be-free-in-croatia-from-1-jan/?utm_</w:t>
        </w:r>
      </w:hyperlink>
      <w:r w:rsidRPr="00EA4C9B">
        <w:t xml:space="preserve"> </w:t>
      </w:r>
    </w:p>
  </w:footnote>
  <w:footnote w:id="177">
    <w:p w14:paraId="10EDFE6C" w14:textId="5D37CC54" w:rsidR="009408D1" w:rsidRDefault="009408D1" w:rsidP="00D541AE">
      <w:pPr>
        <w:pStyle w:val="FootnoteText"/>
        <w:jc w:val="left"/>
      </w:pPr>
      <w:r>
        <w:rPr>
          <w:rStyle w:val="FootnoteReference"/>
        </w:rPr>
        <w:footnoteRef/>
      </w:r>
      <w:r>
        <w:t xml:space="preserve"> </w:t>
      </w:r>
      <w:r w:rsidR="00D541AE">
        <w:tab/>
      </w:r>
      <w:r w:rsidRPr="00996719">
        <w:t xml:space="preserve">The comparison is expressed in real terms, meaning that figures are adjusted for inflation. The </w:t>
      </w:r>
      <w:r>
        <w:t>20</w:t>
      </w:r>
      <w:r w:rsidRPr="00996719">
        <w:t>.</w:t>
      </w:r>
      <w:r>
        <w:t>3</w:t>
      </w:r>
      <w:r w:rsidRPr="00996719">
        <w:t xml:space="preserve">% </w:t>
      </w:r>
      <w:r>
        <w:t xml:space="preserve">   </w:t>
      </w:r>
      <w:r w:rsidRPr="00996719">
        <w:t>increase refers to growth in constant prices over 2009–2023.</w:t>
      </w:r>
    </w:p>
    <w:p w14:paraId="15461EE6" w14:textId="766B997D" w:rsidR="009408D1" w:rsidRPr="00EA4C9B" w:rsidRDefault="009408D1" w:rsidP="00D541AE">
      <w:pPr>
        <w:pStyle w:val="FootnoteText"/>
        <w:jc w:val="left"/>
      </w:pPr>
      <w:r>
        <w:rPr>
          <w:rStyle w:val="FootnoteReference"/>
        </w:rPr>
        <w:footnoteRef/>
      </w:r>
      <w:r w:rsidR="00D541AE">
        <w:t xml:space="preserve"> </w:t>
      </w:r>
      <w:hyperlink r:id="rId132" w:anchor=":~:text=Sewerage%20tax,is%20connecting%20to%20mains%20sewerage" w:history="1">
        <w:r w:rsidR="001A6AFA" w:rsidRPr="009E695E">
          <w:rPr>
            <w:rStyle w:val="Hyperlink"/>
          </w:rPr>
          <w:t>https://www.propertyguides.com/cyprus/buying/taxes/#:~:text=Sewerage%20tax,is%20connecting%20to%20mains%20sewerage</w:t>
        </w:r>
      </w:hyperlink>
    </w:p>
  </w:footnote>
  <w:footnote w:id="178">
    <w:p w14:paraId="6D67E9A8" w14:textId="6F1C3323" w:rsidR="00392FDA" w:rsidRPr="00EA4C9B" w:rsidRDefault="00392FDA" w:rsidP="00392FDA">
      <w:pPr>
        <w:pStyle w:val="FootnoteText"/>
      </w:pPr>
      <w:r w:rsidRPr="00EA4C9B">
        <w:rPr>
          <w:rStyle w:val="FootnoteReference"/>
        </w:rPr>
        <w:footnoteRef/>
      </w:r>
      <w:r w:rsidRPr="00EA4C9B">
        <w:t xml:space="preserve"> </w:t>
      </w:r>
      <w:r w:rsidR="003A3A7C">
        <w:tab/>
      </w:r>
      <w:r w:rsidRPr="00EA4C9B">
        <w:t>https://www.moa.gov.cy/moa/wdd/Wdd.nsf/page29_en/page29_en?opendocument</w:t>
      </w:r>
    </w:p>
  </w:footnote>
  <w:footnote w:id="179">
    <w:p w14:paraId="467BD681" w14:textId="27E2A82C" w:rsidR="00392FDA" w:rsidRPr="00EA4C9B" w:rsidRDefault="00392FDA" w:rsidP="00392FDA">
      <w:pPr>
        <w:pStyle w:val="FootnoteText"/>
      </w:pPr>
      <w:r w:rsidRPr="00EA4C9B">
        <w:rPr>
          <w:rStyle w:val="FootnoteReference"/>
        </w:rPr>
        <w:footnoteRef/>
      </w:r>
      <w:r w:rsidRPr="00EA4C9B">
        <w:t xml:space="preserve"> </w:t>
      </w:r>
      <w:r w:rsidR="003A3A7C">
        <w:tab/>
      </w:r>
      <w:r w:rsidRPr="00EA4C9B">
        <w:t>https://op.europa.eu/publication-detail/-/publication/227d15fa-06ed-11ea-8c1f-01aa75ed71a1</w:t>
      </w:r>
    </w:p>
  </w:footnote>
  <w:footnote w:id="180">
    <w:p w14:paraId="17E0F21A" w14:textId="3D5A6D89" w:rsidR="00392FDA" w:rsidRPr="00EA4C9B" w:rsidRDefault="00392FDA" w:rsidP="00392FDA">
      <w:pPr>
        <w:pStyle w:val="FootnoteText"/>
      </w:pPr>
      <w:r w:rsidRPr="00EA4C9B">
        <w:rPr>
          <w:rStyle w:val="FootnoteReference"/>
        </w:rPr>
        <w:footnoteRef/>
      </w:r>
      <w:r w:rsidRPr="00EA4C9B">
        <w:t xml:space="preserve"> </w:t>
      </w:r>
      <w:r w:rsidR="003A3A7C">
        <w:tab/>
      </w:r>
      <w:r w:rsidRPr="00EA4C9B">
        <w:t>https://eur-lex.europa.eu/legal-content/EN/TXT/?uri=SWD:2023:186:FIN</w:t>
      </w:r>
    </w:p>
  </w:footnote>
  <w:footnote w:id="181">
    <w:p w14:paraId="2BB47DC1" w14:textId="5128FA88" w:rsidR="00392FDA" w:rsidRPr="00EA4C9B" w:rsidRDefault="00392FDA" w:rsidP="00392FDA">
      <w:pPr>
        <w:pStyle w:val="FootnoteText"/>
        <w:jc w:val="left"/>
      </w:pPr>
      <w:r w:rsidRPr="00EA4C9B">
        <w:rPr>
          <w:rStyle w:val="FootnoteReference"/>
        </w:rPr>
        <w:footnoteRef/>
      </w:r>
      <w:r w:rsidRPr="00EA4C9B">
        <w:t xml:space="preserve"> </w:t>
      </w:r>
      <w:r w:rsidR="003A3A7C">
        <w:tab/>
      </w:r>
      <w:r w:rsidRPr="00EA4C9B">
        <w:t>https://www.philenews.com/kipros/koinonia/article/1557649/erchete-foros-igionomikis-tafis-schedio-gia-miosi-ton-aporrimmaton/</w:t>
      </w:r>
    </w:p>
  </w:footnote>
  <w:footnote w:id="182">
    <w:p w14:paraId="46491254" w14:textId="2C202479" w:rsidR="00392FDA" w:rsidRPr="00EA4C9B" w:rsidRDefault="00392FDA" w:rsidP="00392FDA">
      <w:pPr>
        <w:pStyle w:val="FootnoteText"/>
      </w:pPr>
      <w:r w:rsidRPr="00EA4C9B">
        <w:rPr>
          <w:rStyle w:val="FootnoteReference"/>
        </w:rPr>
        <w:footnoteRef/>
      </w:r>
      <w:r w:rsidRPr="00EA4C9B">
        <w:t xml:space="preserve"> </w:t>
      </w:r>
      <w:r w:rsidR="003A3A7C">
        <w:tab/>
      </w:r>
      <w:r w:rsidRPr="00EA4C9B">
        <w:t>https://payasyouthrowcy.com/en/meletes/</w:t>
      </w:r>
    </w:p>
  </w:footnote>
  <w:footnote w:id="183">
    <w:p w14:paraId="0D71F646" w14:textId="3736AA4E" w:rsidR="001C5A81" w:rsidRDefault="001C5A81">
      <w:pPr>
        <w:pStyle w:val="FootnoteText"/>
      </w:pPr>
      <w:r>
        <w:rPr>
          <w:rStyle w:val="FootnoteReference"/>
        </w:rPr>
        <w:footnoteRef/>
      </w:r>
      <w:r>
        <w:t xml:space="preserve"> </w:t>
      </w:r>
      <w:r w:rsidR="00055F14">
        <w:tab/>
      </w:r>
      <w:r w:rsidR="00055F14" w:rsidRPr="00055F14">
        <w:t xml:space="preserve">As announced in the Cyprus Recovery and Resilience Plan (Component 3.2: “Green Tax Reform”), endorsed by Council Implementing Decision (CID) of 28 July 2021. </w:t>
      </w:r>
    </w:p>
  </w:footnote>
  <w:footnote w:id="184">
    <w:p w14:paraId="4BEE8C38" w14:textId="4B0BB072" w:rsidR="00392FDA" w:rsidRPr="00EA4C9B" w:rsidRDefault="00392FDA" w:rsidP="00392FDA">
      <w:pPr>
        <w:pStyle w:val="FootnoteText"/>
        <w:rPr>
          <w:rFonts w:cstheme="minorHAnsi"/>
        </w:rPr>
      </w:pPr>
      <w:r w:rsidRPr="00EA4C9B">
        <w:rPr>
          <w:rStyle w:val="FootnoteReference"/>
          <w:rFonts w:cstheme="minorHAnsi"/>
        </w:rPr>
        <w:footnoteRef/>
      </w:r>
      <w:r w:rsidRPr="00EA4C9B">
        <w:rPr>
          <w:rFonts w:cstheme="minorHAnsi"/>
        </w:rPr>
        <w:t xml:space="preserve"> </w:t>
      </w:r>
      <w:r w:rsidR="003A3A7C">
        <w:rPr>
          <w:rFonts w:cstheme="minorHAnsi"/>
        </w:rPr>
        <w:tab/>
      </w:r>
      <w:r w:rsidRPr="00EA4C9B">
        <w:rPr>
          <w:rFonts w:cstheme="minorHAnsi"/>
        </w:rPr>
        <w:t>https://in-cyprus.philenews.com/insider/fuel-prices-to-surge-as-tax-relief-ends-and-green-tax-kicks-in/</w:t>
      </w:r>
    </w:p>
  </w:footnote>
  <w:footnote w:id="185">
    <w:p w14:paraId="198618FD" w14:textId="1A7CD4B1" w:rsidR="00392FDA" w:rsidRPr="00EA4C9B" w:rsidRDefault="00392FDA" w:rsidP="00392FDA">
      <w:pPr>
        <w:pStyle w:val="FootnoteText"/>
        <w:rPr>
          <w:rFonts w:cstheme="minorHAnsi"/>
        </w:rPr>
      </w:pPr>
      <w:r w:rsidRPr="00EA4C9B">
        <w:rPr>
          <w:rStyle w:val="FootnoteReference"/>
          <w:rFonts w:cstheme="minorHAnsi"/>
        </w:rPr>
        <w:footnoteRef/>
      </w:r>
      <w:r w:rsidRPr="00EA4C9B">
        <w:rPr>
          <w:rFonts w:cstheme="minorHAnsi"/>
        </w:rPr>
        <w:t xml:space="preserve"> </w:t>
      </w:r>
      <w:r w:rsidR="003A3A7C">
        <w:rPr>
          <w:rFonts w:cstheme="minorHAnsi"/>
        </w:rPr>
        <w:tab/>
      </w:r>
      <w:r w:rsidRPr="00EA4C9B">
        <w:rPr>
          <w:rFonts w:cstheme="minorHAnsi"/>
        </w:rPr>
        <w:t>https://in-cyprus.philenews.com/insider/cyprus-green-tax-implementation-may-2025/</w:t>
      </w:r>
    </w:p>
  </w:footnote>
  <w:footnote w:id="186">
    <w:p w14:paraId="487950D1" w14:textId="41F84485" w:rsidR="00392FDA" w:rsidRPr="00EA4C9B" w:rsidRDefault="00392FDA" w:rsidP="00392FDA">
      <w:pPr>
        <w:pStyle w:val="FootnoteText"/>
        <w:rPr>
          <w:rFonts w:cstheme="minorHAnsi"/>
        </w:rPr>
      </w:pPr>
      <w:r w:rsidRPr="00EA4C9B">
        <w:rPr>
          <w:rStyle w:val="FootnoteReference"/>
          <w:rFonts w:cstheme="minorHAnsi"/>
        </w:rPr>
        <w:footnoteRef/>
      </w:r>
      <w:r w:rsidRPr="00EA4C9B">
        <w:rPr>
          <w:rFonts w:cstheme="minorHAnsi"/>
        </w:rPr>
        <w:t xml:space="preserve"> </w:t>
      </w:r>
      <w:r w:rsidR="003A3A7C">
        <w:rPr>
          <w:rFonts w:cstheme="minorHAnsi"/>
        </w:rPr>
        <w:tab/>
      </w:r>
      <w:r w:rsidRPr="00EA4C9B">
        <w:rPr>
          <w:rFonts w:cstheme="minorHAnsi"/>
        </w:rPr>
        <w:t>https://in-cyprus.philenews.com/local/green-tax-increases-to-be-marginal-finance-minister-states/</w:t>
      </w:r>
    </w:p>
  </w:footnote>
  <w:footnote w:id="187">
    <w:p w14:paraId="78860036" w14:textId="7F99BE51" w:rsidR="00D07989" w:rsidRDefault="00D07989">
      <w:pPr>
        <w:pStyle w:val="FootnoteText"/>
      </w:pPr>
      <w:r>
        <w:rPr>
          <w:rStyle w:val="FootnoteReference"/>
        </w:rPr>
        <w:footnoteRef/>
      </w:r>
      <w:r>
        <w:t xml:space="preserve"> </w:t>
      </w:r>
      <w:r>
        <w:tab/>
      </w:r>
      <w:hyperlink r:id="rId133" w:history="1">
        <w:r w:rsidRPr="009E695E">
          <w:rPr>
            <w:rStyle w:val="Hyperlink"/>
          </w:rPr>
          <w:t>https://commission.europa.eu/publications/2025-european-semester-country-specific-recommendations-commission-recommendations_en</w:t>
        </w:r>
      </w:hyperlink>
      <w:r>
        <w:t xml:space="preserve"> </w:t>
      </w:r>
    </w:p>
  </w:footnote>
  <w:footnote w:id="188">
    <w:p w14:paraId="711E3086" w14:textId="6790FDD4" w:rsidR="00392FDA" w:rsidRPr="00EA4C9B" w:rsidRDefault="00392FDA" w:rsidP="003A3A7C">
      <w:pPr>
        <w:pStyle w:val="FootnoteText"/>
        <w:jc w:val="left"/>
      </w:pPr>
      <w:r w:rsidRPr="00EA4C9B">
        <w:rPr>
          <w:rStyle w:val="FootnoteReference"/>
        </w:rPr>
        <w:footnoteRef/>
      </w:r>
      <w:r w:rsidRPr="00EA4C9B">
        <w:t xml:space="preserve"> </w:t>
      </w:r>
      <w:r w:rsidR="003A3A7C">
        <w:tab/>
      </w:r>
      <w:r w:rsidRPr="00EA4C9B">
        <w:t>https://commission.europa.eu/publications/2025-european-semester-country-specific-recommendations-commission-recommendations_en</w:t>
      </w:r>
    </w:p>
  </w:footnote>
  <w:footnote w:id="189">
    <w:p w14:paraId="2E387346" w14:textId="125D0825" w:rsidR="00392FDA" w:rsidRPr="00EA4C9B" w:rsidRDefault="00392FDA" w:rsidP="00BA7936">
      <w:pPr>
        <w:spacing w:after="0"/>
        <w:ind w:left="284" w:hanging="284"/>
        <w:jc w:val="left"/>
        <w:rPr>
          <w:rFonts w:cstheme="minorHAnsi"/>
          <w:sz w:val="20"/>
          <w:szCs w:val="20"/>
        </w:rPr>
      </w:pPr>
      <w:r w:rsidRPr="00EA4C9B">
        <w:rPr>
          <w:rStyle w:val="FootnoteReference"/>
          <w:rFonts w:cstheme="minorHAnsi"/>
          <w:sz w:val="20"/>
          <w:szCs w:val="20"/>
        </w:rPr>
        <w:footnoteRef/>
      </w:r>
      <w:r w:rsidRPr="00EA4C9B">
        <w:rPr>
          <w:rFonts w:cstheme="minorHAnsi"/>
          <w:sz w:val="20"/>
          <w:szCs w:val="20"/>
        </w:rPr>
        <w:t xml:space="preserve">  </w:t>
      </w:r>
      <w:r w:rsidRPr="00EA4C9B">
        <w:rPr>
          <w:rFonts w:eastAsia="Aptos Narrow" w:cstheme="minorHAnsi"/>
          <w:color w:val="000000" w:themeColor="text1"/>
          <w:sz w:val="20"/>
          <w:szCs w:val="20"/>
        </w:rPr>
        <w:t>https://watereurope.eu/wp-content/uploads/2024/10/Water-Europe_Final-Report_15102024-1.pdf</w:t>
      </w:r>
    </w:p>
  </w:footnote>
  <w:footnote w:id="190">
    <w:p w14:paraId="46AB222A" w14:textId="36FE9B14" w:rsidR="00392FDA" w:rsidRPr="00EA4C9B" w:rsidRDefault="00392FDA" w:rsidP="00BA7936">
      <w:pPr>
        <w:spacing w:after="0"/>
        <w:ind w:left="284" w:hanging="284"/>
        <w:jc w:val="left"/>
        <w:rPr>
          <w:rFonts w:cstheme="minorHAnsi"/>
          <w:sz w:val="20"/>
          <w:szCs w:val="20"/>
        </w:rPr>
      </w:pPr>
      <w:r w:rsidRPr="00EA4C9B">
        <w:rPr>
          <w:rStyle w:val="FootnoteReference"/>
          <w:rFonts w:cstheme="minorHAnsi"/>
          <w:sz w:val="20"/>
          <w:szCs w:val="20"/>
        </w:rPr>
        <w:footnoteRef/>
      </w:r>
      <w:r w:rsidRPr="00EA4C9B">
        <w:rPr>
          <w:rFonts w:cstheme="minorHAnsi"/>
          <w:sz w:val="20"/>
          <w:szCs w:val="20"/>
        </w:rPr>
        <w:t xml:space="preserve">  h</w:t>
      </w:r>
      <w:r w:rsidRPr="00EA4C9B">
        <w:rPr>
          <w:rFonts w:eastAsia="Calibri" w:cstheme="minorHAnsi"/>
          <w:sz w:val="20"/>
          <w:szCs w:val="20"/>
        </w:rPr>
        <w:t>ttps://www.gov.cy/media/sites/11/2024/07/finalkoetax_reformpresentation1mar24.pdf</w:t>
      </w:r>
    </w:p>
  </w:footnote>
  <w:footnote w:id="191">
    <w:p w14:paraId="2E4A8804" w14:textId="38D8B871" w:rsidR="00392FDA" w:rsidRPr="00EA4C9B" w:rsidRDefault="00392FDA" w:rsidP="003A3A7C">
      <w:pPr>
        <w:pStyle w:val="FootnoteText"/>
        <w:jc w:val="left"/>
      </w:pPr>
      <w:r w:rsidRPr="00EA4C9B">
        <w:rPr>
          <w:rStyle w:val="FootnoteReference"/>
        </w:rPr>
        <w:footnoteRef/>
      </w:r>
      <w:r w:rsidRPr="00EA4C9B">
        <w:t xml:space="preserve"> </w:t>
      </w:r>
      <w:r w:rsidR="003A3A7C">
        <w:tab/>
      </w:r>
      <w:r w:rsidRPr="00EA4C9B">
        <w:t xml:space="preserve">https://reform-support.ec.europa.eu/document/download/06c68777-9553-4371-a921-664b204d9e8b_en?filename=D2%20Best%20practices%20report%20-%20green%20taxation%20reform%20in%20Cyprus.pdf&amp;prefLang=lv </w:t>
      </w:r>
    </w:p>
  </w:footnote>
  <w:footnote w:id="192">
    <w:p w14:paraId="1A411289" w14:textId="28C3D08C" w:rsidR="008D745C" w:rsidRPr="00BA7936" w:rsidRDefault="008D745C" w:rsidP="008D745C">
      <w:pPr>
        <w:pStyle w:val="FootnoteText"/>
        <w:rPr>
          <w:lang w:val="it-IT"/>
        </w:rPr>
      </w:pPr>
      <w:r>
        <w:rPr>
          <w:rStyle w:val="FootnoteReference"/>
        </w:rPr>
        <w:footnoteRef/>
      </w:r>
      <w:r w:rsidR="0076482D" w:rsidRPr="0076482D">
        <w:rPr>
          <w:i/>
          <w:iCs/>
        </w:rPr>
        <w:t>Cyprus, 2025 EU waste recycling targets – State of play</w:t>
      </w:r>
      <w:r w:rsidR="0076482D" w:rsidRPr="0076482D">
        <w:t>, Publications Office of the European Union, 2023, </w:t>
      </w:r>
      <w:hyperlink r:id="rId134" w:tgtFrame="_blank" w:history="1">
        <w:r w:rsidR="0076482D" w:rsidRPr="00BA7936">
          <w:rPr>
            <w:rStyle w:val="Hyperlink"/>
          </w:rPr>
          <w:t>https://data.europa.eu/doi/10.2779/351886</w:t>
        </w:r>
      </w:hyperlink>
    </w:p>
  </w:footnote>
  <w:footnote w:id="193">
    <w:p w14:paraId="57FA1A50" w14:textId="77777777" w:rsidR="009A558A" w:rsidRPr="00D959A3" w:rsidRDefault="009A558A" w:rsidP="009A558A">
      <w:pPr>
        <w:pStyle w:val="FootnoteText"/>
        <w:rPr>
          <w:lang w:val="en-US"/>
        </w:rPr>
      </w:pPr>
      <w:r>
        <w:rPr>
          <w:rStyle w:val="FootnoteReference"/>
        </w:rPr>
        <w:footnoteRef/>
      </w:r>
      <w:r>
        <w:t xml:space="preserve"> </w:t>
      </w:r>
      <w:r w:rsidRPr="00D959A3">
        <w:t>The comparison is expressed in real terms, meaning that figures are adjusted for inflation. The 2</w:t>
      </w:r>
      <w:r>
        <w:t>3</w:t>
      </w:r>
      <w:r w:rsidRPr="00D959A3">
        <w:t>.</w:t>
      </w:r>
      <w:r>
        <w:t>1</w:t>
      </w:r>
      <w:r w:rsidRPr="00D959A3">
        <w:t>%    increase refers to growth in constant prices over 2009–2023.</w:t>
      </w:r>
    </w:p>
  </w:footnote>
  <w:footnote w:id="194">
    <w:p w14:paraId="33284E46" w14:textId="3ACAB97D" w:rsidR="00392FDA" w:rsidRPr="00EA4C9B" w:rsidRDefault="00392FDA" w:rsidP="00392FDA">
      <w:pPr>
        <w:pStyle w:val="FootnoteText"/>
      </w:pPr>
      <w:r w:rsidRPr="00EA4C9B">
        <w:rPr>
          <w:rStyle w:val="FootnoteReference"/>
        </w:rPr>
        <w:footnoteRef/>
      </w:r>
      <w:r w:rsidRPr="00EA4C9B">
        <w:t xml:space="preserve"> </w:t>
      </w:r>
      <w:r w:rsidR="003A3A7C">
        <w:tab/>
      </w:r>
      <w:r w:rsidRPr="00EA4C9B">
        <w:t>Eurostat metadata does not record resource taxes in Czechia.</w:t>
      </w:r>
    </w:p>
  </w:footnote>
  <w:footnote w:id="195">
    <w:p w14:paraId="2C4FAC26" w14:textId="160E1E61" w:rsidR="00392FDA" w:rsidRPr="00EA4C9B" w:rsidRDefault="00392FDA" w:rsidP="00392FDA">
      <w:pPr>
        <w:pStyle w:val="FootnoteText"/>
      </w:pPr>
      <w:r w:rsidRPr="00EA4C9B">
        <w:rPr>
          <w:rStyle w:val="FootnoteReference"/>
        </w:rPr>
        <w:footnoteRef/>
      </w:r>
      <w:r w:rsidRPr="00EA4C9B">
        <w:t xml:space="preserve"> </w:t>
      </w:r>
      <w:r w:rsidR="003A3A7C">
        <w:tab/>
      </w:r>
      <w:r w:rsidRPr="00EA4C9B">
        <w:t xml:space="preserve">While here it is classified as a resource tax, the Eurostat reference metadata do not record any resource taxes for Czechia. </w:t>
      </w:r>
    </w:p>
  </w:footnote>
  <w:footnote w:id="196">
    <w:p w14:paraId="078BFAAF" w14:textId="0E3AC54F" w:rsidR="00392FDA" w:rsidRPr="00EA4C9B" w:rsidRDefault="00392FDA" w:rsidP="00392FDA">
      <w:pPr>
        <w:pStyle w:val="FootnoteText"/>
        <w:rPr>
          <w:i/>
          <w:iCs/>
        </w:rPr>
      </w:pPr>
      <w:r w:rsidRPr="00EA4C9B">
        <w:rPr>
          <w:rStyle w:val="FootnoteReference"/>
        </w:rPr>
        <w:footnoteRef/>
      </w:r>
      <w:r w:rsidRPr="00EA4C9B">
        <w:t xml:space="preserve"> </w:t>
      </w:r>
      <w:r w:rsidR="003A3A7C">
        <w:tab/>
      </w:r>
      <w:r w:rsidRPr="00EA4C9B">
        <w:t xml:space="preserve">Several of the below taxes are reported in the National Tax List, however, these were classified as </w:t>
      </w:r>
      <w:r w:rsidRPr="00EA4C9B">
        <w:rPr>
          <w:i/>
          <w:iCs/>
        </w:rPr>
        <w:t>‘O - exist but value is zero or considered as zero'</w:t>
      </w:r>
      <w:r w:rsidRPr="00EA4C9B">
        <w:t xml:space="preserve">, </w:t>
      </w:r>
      <w:r w:rsidRPr="00EA4C9B">
        <w:rPr>
          <w:i/>
          <w:iCs/>
        </w:rPr>
        <w:t>‘Z - Not applicable'</w:t>
      </w:r>
      <w:r w:rsidRPr="00EA4C9B">
        <w:t xml:space="preserve"> and </w:t>
      </w:r>
      <w:r w:rsidRPr="00EA4C9B">
        <w:rPr>
          <w:i/>
          <w:iCs/>
        </w:rPr>
        <w:t>‘E – Energy’</w:t>
      </w:r>
      <w:r w:rsidRPr="00EA4C9B">
        <w:t xml:space="preserve"> instead of P/RS. They are included here, as other sources, such as PINE, classed them as environmental taxes. Entries that appear in the NTL as ‘O’ or ‘Z’ or ‘E’ are indicated with the corresponding letter.</w:t>
      </w:r>
    </w:p>
  </w:footnote>
  <w:footnote w:id="197">
    <w:p w14:paraId="201CCCFD" w14:textId="7FB01374" w:rsidR="00392FDA" w:rsidRPr="00EA4C9B" w:rsidRDefault="00392FDA" w:rsidP="00392FDA">
      <w:pPr>
        <w:pStyle w:val="FootnoteText"/>
      </w:pPr>
      <w:r w:rsidRPr="00EA4C9B">
        <w:rPr>
          <w:rStyle w:val="FootnoteReference"/>
        </w:rPr>
        <w:footnoteRef/>
      </w:r>
      <w:r w:rsidRPr="00EA4C9B">
        <w:t xml:space="preserve"> </w:t>
      </w:r>
      <w:r w:rsidR="003A3A7C">
        <w:tab/>
      </w:r>
      <w:hyperlink r:id="rId135" w:anchor="par_89" w:history="1">
        <w:r w:rsidRPr="00EA4C9B">
          <w:rPr>
            <w:rStyle w:val="Hyperlink"/>
          </w:rPr>
          <w:t>254/2001 Coll., 01/08/2024 - 31/03/2025, previous version, informative version of the e-Collection system</w:t>
        </w:r>
      </w:hyperlink>
    </w:p>
  </w:footnote>
  <w:footnote w:id="198">
    <w:p w14:paraId="0BF0CF58" w14:textId="20E74C58" w:rsidR="00392FDA" w:rsidRPr="00EA4C9B" w:rsidRDefault="00392FDA" w:rsidP="00392FDA">
      <w:pPr>
        <w:pStyle w:val="FootnoteText"/>
      </w:pPr>
      <w:r w:rsidRPr="00EA4C9B">
        <w:rPr>
          <w:rStyle w:val="FootnoteReference"/>
        </w:rPr>
        <w:footnoteRef/>
      </w:r>
      <w:r w:rsidRPr="00EA4C9B">
        <w:t xml:space="preserve"> </w:t>
      </w:r>
      <w:r w:rsidR="003A3A7C">
        <w:tab/>
      </w:r>
      <w:hyperlink r:id="rId136" w:anchor="par_1" w:history="1">
        <w:r w:rsidRPr="00EA4C9B">
          <w:rPr>
            <w:rStyle w:val="Hyperlink"/>
          </w:rPr>
          <w:t>280/2009 Sb., 1. 1. 2024, aktuální znění, informativní znění systému e-Sbírka</w:t>
        </w:r>
      </w:hyperlink>
    </w:p>
  </w:footnote>
  <w:footnote w:id="199">
    <w:p w14:paraId="304F16BF" w14:textId="6468818A" w:rsidR="00392FDA" w:rsidRPr="00EA4C9B" w:rsidRDefault="00392FDA" w:rsidP="00392FDA">
      <w:pPr>
        <w:pStyle w:val="FootnoteText"/>
      </w:pPr>
      <w:r w:rsidRPr="00EA4C9B">
        <w:rPr>
          <w:rStyle w:val="FootnoteReference"/>
        </w:rPr>
        <w:footnoteRef/>
      </w:r>
      <w:r w:rsidRPr="00EA4C9B">
        <w:t xml:space="preserve"> </w:t>
      </w:r>
      <w:r w:rsidR="003A3A7C">
        <w:tab/>
      </w:r>
      <w:r w:rsidRPr="00EA4C9B">
        <w:t>More specifically, absorbed, organically bounded halogens; cadmium; dissolved inorganic salts; mercury; organic substances (non-treated wastewater); organic substances (treated wastewater</w:t>
      </w:r>
      <w:r w:rsidRPr="00EA4C9B">
        <w:rPr>
          <w:b/>
          <w:bCs/>
        </w:rPr>
        <w:t xml:space="preserve">); </w:t>
      </w:r>
      <w:r w:rsidRPr="00EA4C9B">
        <w:t>organic substances (treated wastewater from pulp and textile production); phosphor; and undissolved substances.</w:t>
      </w:r>
    </w:p>
  </w:footnote>
  <w:footnote w:id="200">
    <w:p w14:paraId="65286491" w14:textId="183E8678" w:rsidR="00392FDA" w:rsidRPr="00EA4C9B" w:rsidRDefault="00392FDA" w:rsidP="00392FDA">
      <w:pPr>
        <w:pStyle w:val="FootnoteText"/>
      </w:pPr>
      <w:r w:rsidRPr="00EA4C9B">
        <w:rPr>
          <w:rStyle w:val="FootnoteReference"/>
        </w:rPr>
        <w:footnoteRef/>
      </w:r>
      <w:r w:rsidRPr="00EA4C9B">
        <w:t xml:space="preserve"> </w:t>
      </w:r>
      <w:r w:rsidR="003A3A7C">
        <w:tab/>
      </w:r>
      <w:r w:rsidRPr="00EA4C9B">
        <w:t>Specifically, exemptions include mineral waters certified for spa use (if not used in treatment), natural mineral waters not used in bottled production, water from remediation systems, wastewater from cooling of steam turbines, wastewater used to extract thermal energy, and overflow from unified sewer systems meeting technical requirements.</w:t>
      </w:r>
    </w:p>
  </w:footnote>
  <w:footnote w:id="201">
    <w:p w14:paraId="59A6FDF1" w14:textId="31B95C52" w:rsidR="00392FDA" w:rsidRPr="00EA4C9B" w:rsidRDefault="00392FDA" w:rsidP="00392FDA">
      <w:pPr>
        <w:pStyle w:val="FootnoteText"/>
      </w:pPr>
      <w:r w:rsidRPr="00EA4C9B">
        <w:rPr>
          <w:rStyle w:val="FootnoteReference"/>
        </w:rPr>
        <w:footnoteRef/>
      </w:r>
      <w:r w:rsidRPr="00EA4C9B">
        <w:t xml:space="preserve"> </w:t>
      </w:r>
      <w:r w:rsidR="003A3A7C">
        <w:tab/>
      </w:r>
      <w:r w:rsidRPr="00EA4C9B">
        <w:t xml:space="preserve">The State Environmental Fund administers financial resources to support environmental protection in Czechia, primarily by implementing government programs and EU-funded projects. It acts as an intermediary for distributing funds, especially from the EU’s Operational Programme Environment, to promote sustainable development and ecological improvements. See: </w:t>
      </w:r>
      <w:hyperlink r:id="rId137" w:history="1">
        <w:r w:rsidRPr="00EA4C9B">
          <w:rPr>
            <w:rStyle w:val="Hyperlink"/>
          </w:rPr>
          <w:t>https://www.sfzp.cz/en/about-us/what-we-do/</w:t>
        </w:r>
      </w:hyperlink>
      <w:r w:rsidRPr="00EA4C9B">
        <w:t xml:space="preserve"> </w:t>
      </w:r>
    </w:p>
  </w:footnote>
  <w:footnote w:id="202">
    <w:p w14:paraId="7668FCA3" w14:textId="2F178E81" w:rsidR="00392FDA" w:rsidRPr="00EA4C9B" w:rsidRDefault="00392FDA" w:rsidP="00392FDA">
      <w:pPr>
        <w:pStyle w:val="FootnoteText"/>
      </w:pPr>
      <w:r w:rsidRPr="00EA4C9B">
        <w:rPr>
          <w:rStyle w:val="FootnoteReference"/>
        </w:rPr>
        <w:footnoteRef/>
      </w:r>
      <w:r w:rsidRPr="00EA4C9B">
        <w:t xml:space="preserve"> </w:t>
      </w:r>
      <w:r w:rsidR="003A3A7C">
        <w:tab/>
      </w:r>
      <w:r w:rsidRPr="00EA4C9B">
        <w:t>https://www.sfzp.cz/wp-content/uploads/2019/07/190502_vn%C4%9Bj%C5%A1%C3%AD-metodika-OV.pdf</w:t>
      </w:r>
    </w:p>
  </w:footnote>
  <w:footnote w:id="203">
    <w:p w14:paraId="34B0DD3F" w14:textId="35C2C71A" w:rsidR="00392FDA" w:rsidRPr="00EA4C9B" w:rsidRDefault="00392FDA" w:rsidP="00392FDA">
      <w:pPr>
        <w:pStyle w:val="FootnoteText"/>
      </w:pPr>
      <w:r w:rsidRPr="00EA4C9B">
        <w:rPr>
          <w:rStyle w:val="FootnoteReference"/>
        </w:rPr>
        <w:footnoteRef/>
      </w:r>
      <w:r w:rsidRPr="00EA4C9B">
        <w:t xml:space="preserve"> </w:t>
      </w:r>
      <w:r w:rsidR="003A3A7C">
        <w:tab/>
      </w:r>
      <w:hyperlink r:id="rId138" w:history="1">
        <w:r w:rsidRPr="00EA4C9B">
          <w:rPr>
            <w:rStyle w:val="Hyperlink"/>
          </w:rPr>
          <w:t>201/2012 Sb., 1. 3. 2025, aktuální znění, informativní znění systému e-Sbírka</w:t>
        </w:r>
      </w:hyperlink>
    </w:p>
  </w:footnote>
  <w:footnote w:id="204">
    <w:p w14:paraId="00248040" w14:textId="0640D970" w:rsidR="00392FDA" w:rsidRPr="00EA4C9B" w:rsidRDefault="00392FDA" w:rsidP="00392FDA">
      <w:pPr>
        <w:pStyle w:val="FootnoteText"/>
      </w:pPr>
      <w:r w:rsidRPr="00EA4C9B">
        <w:rPr>
          <w:rStyle w:val="FootnoteReference"/>
        </w:rPr>
        <w:footnoteRef/>
      </w:r>
      <w:r w:rsidRPr="00EA4C9B">
        <w:t xml:space="preserve"> </w:t>
      </w:r>
      <w:r w:rsidR="003A3A7C">
        <w:tab/>
      </w:r>
      <w:hyperlink r:id="rId139" w:anchor="par_90" w:history="1">
        <w:r w:rsidR="003A3A7C" w:rsidRPr="00EC31B9">
          <w:rPr>
            <w:rStyle w:val="Hyperlink"/>
          </w:rPr>
          <w:t>https://www.e-sbirka.cz/sb/2001/254/2024-08-01?zalozka=text#par_90</w:t>
        </w:r>
      </w:hyperlink>
      <w:r w:rsidRPr="00EA4C9B">
        <w:t xml:space="preserve"> </w:t>
      </w:r>
    </w:p>
  </w:footnote>
  <w:footnote w:id="205">
    <w:p w14:paraId="1358B9DF" w14:textId="727195FE" w:rsidR="00392FDA" w:rsidRPr="00EA4C9B" w:rsidRDefault="00392FDA" w:rsidP="00392FDA">
      <w:pPr>
        <w:pStyle w:val="FootnoteText"/>
      </w:pPr>
      <w:r w:rsidRPr="00EA4C9B">
        <w:rPr>
          <w:rStyle w:val="FootnoteReference"/>
        </w:rPr>
        <w:footnoteRef/>
      </w:r>
      <w:r w:rsidRPr="00EA4C9B">
        <w:t xml:space="preserve"> </w:t>
      </w:r>
      <w:r w:rsidR="003A3A7C">
        <w:tab/>
      </w:r>
      <w:hyperlink r:id="rId140" w:history="1">
        <w:r w:rsidRPr="00EA4C9B">
          <w:rPr>
            <w:rStyle w:val="Hyperlink"/>
          </w:rPr>
          <w:t>185/2001 Sb., 1. 1. 2020 - 31. 12. 2020, minulé znění, zrušeno, informativní znění systému e-Sbírka</w:t>
        </w:r>
      </w:hyperlink>
    </w:p>
  </w:footnote>
  <w:footnote w:id="206">
    <w:p w14:paraId="4DDF5057" w14:textId="0A9416E1" w:rsidR="00392FDA" w:rsidRPr="00EA4C9B" w:rsidRDefault="00392FDA" w:rsidP="00392FDA">
      <w:pPr>
        <w:pStyle w:val="FootnoteText"/>
      </w:pPr>
      <w:r w:rsidRPr="00EA4C9B">
        <w:rPr>
          <w:rStyle w:val="FootnoteReference"/>
        </w:rPr>
        <w:footnoteRef/>
      </w:r>
      <w:r w:rsidRPr="00EA4C9B">
        <w:t xml:space="preserve"> </w:t>
      </w:r>
      <w:r w:rsidR="003A3A7C">
        <w:tab/>
      </w:r>
      <w:hyperlink r:id="rId141" w:history="1">
        <w:r w:rsidRPr="00EA4C9B">
          <w:rPr>
            <w:rStyle w:val="Hyperlink"/>
          </w:rPr>
          <w:t>383/2008 Sb., 1. 1. 2021, aktuální znění, informativní znění systému e-Sbírka</w:t>
        </w:r>
      </w:hyperlink>
    </w:p>
  </w:footnote>
  <w:footnote w:id="207">
    <w:p w14:paraId="0B1A07E2" w14:textId="6E3E74E6" w:rsidR="00392FDA" w:rsidRPr="00EA4C9B" w:rsidRDefault="00392FDA" w:rsidP="00392FDA">
      <w:pPr>
        <w:pStyle w:val="FootnoteText"/>
      </w:pPr>
      <w:r w:rsidRPr="00EA4C9B">
        <w:rPr>
          <w:rStyle w:val="FootnoteReference"/>
        </w:rPr>
        <w:footnoteRef/>
      </w:r>
      <w:r w:rsidRPr="00EA4C9B">
        <w:t xml:space="preserve"> </w:t>
      </w:r>
      <w:r w:rsidR="003A3A7C">
        <w:tab/>
      </w:r>
      <w:hyperlink r:id="rId142" w:anchor="par_128" w:history="1">
        <w:r w:rsidRPr="00EA4C9B">
          <w:rPr>
            <w:rStyle w:val="Hyperlink"/>
          </w:rPr>
          <w:t>263/2016 Sb., 1. 1. 2024, aktuální znění, informativní znění systému e-Sbírka</w:t>
        </w:r>
      </w:hyperlink>
    </w:p>
  </w:footnote>
  <w:footnote w:id="208">
    <w:p w14:paraId="00AD32D6" w14:textId="68A33539" w:rsidR="00392FDA" w:rsidRPr="00EA4C9B" w:rsidRDefault="00392FDA" w:rsidP="00392FDA">
      <w:pPr>
        <w:pStyle w:val="FootnoteText"/>
      </w:pPr>
      <w:r w:rsidRPr="00EA4C9B">
        <w:rPr>
          <w:rStyle w:val="FootnoteReference"/>
        </w:rPr>
        <w:footnoteRef/>
      </w:r>
      <w:r w:rsidRPr="00EA4C9B">
        <w:t xml:space="preserve"> </w:t>
      </w:r>
      <w:r w:rsidR="003A3A7C">
        <w:tab/>
      </w:r>
      <w:hyperlink r:id="rId143" w:history="1">
        <w:r w:rsidR="003A3A7C" w:rsidRPr="00EC31B9">
          <w:rPr>
            <w:rStyle w:val="Hyperlink"/>
          </w:rPr>
          <w:t>https://www.ensreg.eu/country-profile/Czech%20Republic</w:t>
        </w:r>
      </w:hyperlink>
      <w:r w:rsidRPr="00EA4C9B">
        <w:t xml:space="preserve"> </w:t>
      </w:r>
    </w:p>
  </w:footnote>
  <w:footnote w:id="209">
    <w:p w14:paraId="0F83E508" w14:textId="16AEEDEE" w:rsidR="00392FDA" w:rsidRPr="00EA4C9B" w:rsidRDefault="00392FDA" w:rsidP="00392FDA">
      <w:pPr>
        <w:pStyle w:val="FootnoteText"/>
      </w:pPr>
      <w:r w:rsidRPr="00EA4C9B">
        <w:rPr>
          <w:rStyle w:val="FootnoteReference"/>
        </w:rPr>
        <w:footnoteRef/>
      </w:r>
      <w:r w:rsidRPr="00EA4C9B">
        <w:t xml:space="preserve"> </w:t>
      </w:r>
      <w:r w:rsidR="003A3A7C">
        <w:tab/>
      </w:r>
      <w:r w:rsidRPr="00EA4C9B">
        <w:t>It is unclear what this fee amounts to.</w:t>
      </w:r>
    </w:p>
  </w:footnote>
  <w:footnote w:id="210">
    <w:p w14:paraId="51F61A9B" w14:textId="677980FB" w:rsidR="00392FDA" w:rsidRPr="00EA4C9B" w:rsidRDefault="00392FDA" w:rsidP="00392FDA">
      <w:pPr>
        <w:pStyle w:val="FootnoteText"/>
      </w:pPr>
      <w:r w:rsidRPr="00EA4C9B">
        <w:rPr>
          <w:rStyle w:val="FootnoteReference"/>
        </w:rPr>
        <w:footnoteRef/>
      </w:r>
      <w:r w:rsidRPr="00EA4C9B">
        <w:t xml:space="preserve"> </w:t>
      </w:r>
      <w:r w:rsidR="003A3A7C">
        <w:tab/>
      </w:r>
      <w:hyperlink r:id="rId144" w:history="1">
        <w:r w:rsidR="003A3A7C" w:rsidRPr="00EC31B9">
          <w:rPr>
            <w:rStyle w:val="Hyperlink"/>
          </w:rPr>
          <w:t>https://www.iaea.org/sites/default/files/22/10/czech_republic_nr_9th_cns.pdf</w:t>
        </w:r>
      </w:hyperlink>
      <w:r w:rsidRPr="00EA4C9B">
        <w:t xml:space="preserve"> </w:t>
      </w:r>
    </w:p>
  </w:footnote>
  <w:footnote w:id="211">
    <w:p w14:paraId="72FFECCF" w14:textId="77777777" w:rsidR="005F54AD" w:rsidRPr="00EA4C9B" w:rsidRDefault="005F54AD" w:rsidP="005F54AD">
      <w:pPr>
        <w:pStyle w:val="FootnoteText"/>
      </w:pPr>
      <w:r w:rsidRPr="00EA4C9B">
        <w:rPr>
          <w:rStyle w:val="FootnoteReference"/>
        </w:rPr>
        <w:footnoteRef/>
      </w:r>
      <w:r w:rsidRPr="005C2931">
        <w:t xml:space="preserve"> </w:t>
      </w:r>
      <w:r w:rsidRPr="005C2931">
        <w:tab/>
        <w:t xml:space="preserve">Nagy, Z. et al. </w:t>
      </w:r>
      <w:r w:rsidRPr="00EA4C9B">
        <w:t>(2023) The place and role of environmental taxes in the Hungarian, Slovak and Czech tax systems. Journal: Curentul Juridic. Issue year 95/2023. Issue no. 4. Page range 60-77</w:t>
      </w:r>
    </w:p>
  </w:footnote>
  <w:footnote w:id="212">
    <w:p w14:paraId="5F2CBE8D" w14:textId="77777777" w:rsidR="005F54AD" w:rsidRPr="00EA4C9B" w:rsidRDefault="005F54AD" w:rsidP="005F54AD">
      <w:pPr>
        <w:pStyle w:val="FootnoteText"/>
      </w:pPr>
      <w:r w:rsidRPr="00EA4C9B">
        <w:rPr>
          <w:rStyle w:val="FootnoteReference"/>
        </w:rPr>
        <w:footnoteRef/>
      </w:r>
      <w:r w:rsidRPr="00EA4C9B">
        <w:t xml:space="preserve"> </w:t>
      </w:r>
      <w:r>
        <w:tab/>
      </w:r>
      <w:r w:rsidRPr="00EA4C9B">
        <w:t>Michal Radvan, Energy Taxes, in: Rajko Knez, Naděžda Rozehnalová, Vladimír Týč, et al. Five Years of EU Membership Case of Czech Republic and Slovenian Law, University of Maribor, Maribor 2009</w:t>
      </w:r>
    </w:p>
  </w:footnote>
  <w:footnote w:id="213">
    <w:p w14:paraId="52972314" w14:textId="77777777" w:rsidR="005F54AD" w:rsidRPr="00EA4C9B" w:rsidRDefault="005F54AD" w:rsidP="005F54AD">
      <w:pPr>
        <w:pStyle w:val="FootnoteText"/>
        <w:jc w:val="left"/>
      </w:pPr>
      <w:r w:rsidRPr="00EA4C9B">
        <w:rPr>
          <w:rStyle w:val="FootnoteReference"/>
        </w:rPr>
        <w:footnoteRef/>
      </w:r>
      <w:r w:rsidRPr="00EA4C9B">
        <w:t xml:space="preserve"> </w:t>
      </w:r>
      <w:r>
        <w:tab/>
      </w:r>
      <w:r w:rsidRPr="00EA4C9B">
        <w:t xml:space="preserve">Patrik Przyhoda, Climate change taxation reforms and incentives in the Czech Republic, </w:t>
      </w:r>
      <w:hyperlink r:id="rId145" w:history="1">
        <w:r w:rsidRPr="00EA4C9B">
          <w:rPr>
            <w:rStyle w:val="Hyperlink"/>
          </w:rPr>
          <w:t>https://cms.law/en/int/expert-guides/cms-expert-guide-to-climate-change-tax-reforms-and-incentives/czech-republic</w:t>
        </w:r>
      </w:hyperlink>
      <w:r w:rsidRPr="00EA4C9B">
        <w:t xml:space="preserve"> </w:t>
      </w:r>
    </w:p>
  </w:footnote>
  <w:footnote w:id="214">
    <w:p w14:paraId="69678236" w14:textId="1F48524F" w:rsidR="00392FDA" w:rsidRPr="00EA4C9B" w:rsidRDefault="00392FDA" w:rsidP="00392FDA">
      <w:pPr>
        <w:pStyle w:val="FootnoteText"/>
      </w:pPr>
      <w:r w:rsidRPr="00EA4C9B">
        <w:rPr>
          <w:rStyle w:val="FootnoteReference"/>
        </w:rPr>
        <w:footnoteRef/>
      </w:r>
      <w:r w:rsidRPr="00EA4C9B">
        <w:t xml:space="preserve"> </w:t>
      </w:r>
      <w:r w:rsidR="003A3A7C">
        <w:tab/>
      </w:r>
      <w:hyperlink r:id="rId146" w:history="1">
        <w:r w:rsidRPr="00EA4C9B">
          <w:rPr>
            <w:rStyle w:val="Hyperlink"/>
          </w:rPr>
          <w:t>e-Collection</w:t>
        </w:r>
      </w:hyperlink>
    </w:p>
  </w:footnote>
  <w:footnote w:id="215">
    <w:p w14:paraId="42FB484E" w14:textId="348A51A1" w:rsidR="00392FDA" w:rsidRPr="00EA4C9B" w:rsidRDefault="00392FDA" w:rsidP="00392FDA">
      <w:pPr>
        <w:pStyle w:val="FootnoteText"/>
      </w:pPr>
      <w:r w:rsidRPr="00EA4C9B">
        <w:rPr>
          <w:rStyle w:val="FootnoteReference"/>
        </w:rPr>
        <w:footnoteRef/>
      </w:r>
      <w:r w:rsidRPr="00EA4C9B">
        <w:t xml:space="preserve"> </w:t>
      </w:r>
      <w:r w:rsidR="003A3A7C">
        <w:tab/>
      </w:r>
      <w:hyperlink r:id="rId147" w:history="1">
        <w:r w:rsidRPr="00EA4C9B">
          <w:rPr>
            <w:rStyle w:val="Hyperlink"/>
          </w:rPr>
          <w:t>334/1992 Sb., 1. 1. 2025, aktuální znění, informativní znění systému e-Sbírka</w:t>
        </w:r>
      </w:hyperlink>
    </w:p>
  </w:footnote>
  <w:footnote w:id="216">
    <w:p w14:paraId="3D11A763" w14:textId="396A586B" w:rsidR="00392FDA" w:rsidRPr="00EA4C9B" w:rsidRDefault="00392FDA" w:rsidP="00392FDA">
      <w:pPr>
        <w:pStyle w:val="FootnoteText"/>
      </w:pPr>
      <w:r w:rsidRPr="00EA4C9B">
        <w:rPr>
          <w:rStyle w:val="FootnoteReference"/>
        </w:rPr>
        <w:footnoteRef/>
      </w:r>
      <w:r w:rsidRPr="00EA4C9B">
        <w:t xml:space="preserve"> </w:t>
      </w:r>
      <w:r w:rsidR="003A3A7C">
        <w:tab/>
      </w:r>
      <w:r w:rsidRPr="00EA4C9B">
        <w:t>As specified in Section 11a of 334/1992</w:t>
      </w:r>
    </w:p>
  </w:footnote>
  <w:footnote w:id="217">
    <w:p w14:paraId="694F4CA4" w14:textId="3FCECCEC" w:rsidR="00392FDA" w:rsidRPr="00EA4C9B" w:rsidRDefault="00392FDA" w:rsidP="00392FDA">
      <w:pPr>
        <w:pStyle w:val="FootnoteText"/>
      </w:pPr>
      <w:r w:rsidRPr="00EA4C9B">
        <w:rPr>
          <w:rStyle w:val="FootnoteReference"/>
        </w:rPr>
        <w:footnoteRef/>
      </w:r>
      <w:r w:rsidRPr="00EA4C9B">
        <w:t xml:space="preserve"> </w:t>
      </w:r>
      <w:r w:rsidR="003A3A7C">
        <w:tab/>
      </w:r>
      <w:hyperlink r:id="rId148" w:history="1">
        <w:r w:rsidRPr="00EA4C9B">
          <w:rPr>
            <w:rStyle w:val="Hyperlink"/>
          </w:rPr>
          <w:t>44/1988 Coll. Mining Act</w:t>
        </w:r>
      </w:hyperlink>
    </w:p>
  </w:footnote>
  <w:footnote w:id="218">
    <w:p w14:paraId="223C1AF4" w14:textId="7B986195" w:rsidR="00392FDA" w:rsidRPr="00EA4C9B" w:rsidRDefault="00392FDA" w:rsidP="00392FDA">
      <w:pPr>
        <w:pStyle w:val="FootnoteText"/>
      </w:pPr>
      <w:r w:rsidRPr="00EA4C9B">
        <w:rPr>
          <w:rStyle w:val="FootnoteReference"/>
        </w:rPr>
        <w:footnoteRef/>
      </w:r>
      <w:r w:rsidRPr="00EA4C9B">
        <w:t xml:space="preserve"> </w:t>
      </w:r>
      <w:r w:rsidR="003A3A7C">
        <w:tab/>
      </w:r>
      <w:hyperlink r:id="rId149" w:anchor="f5779011" w:history="1">
        <w:r w:rsidRPr="00EA4C9B">
          <w:rPr>
            <w:rStyle w:val="Hyperlink"/>
          </w:rPr>
          <w:t>89/2016 Coll. Act amending Act No. 44/1988 Coll., on the Protection and Utilization of Mineral Resources (Mining Act), ...</w:t>
        </w:r>
      </w:hyperlink>
    </w:p>
  </w:footnote>
  <w:footnote w:id="219">
    <w:p w14:paraId="76E2C147" w14:textId="705C2B42" w:rsidR="00392FDA" w:rsidRPr="00EA4C9B" w:rsidRDefault="00392FDA" w:rsidP="00392FDA">
      <w:pPr>
        <w:pStyle w:val="FootnoteText"/>
      </w:pPr>
      <w:r w:rsidRPr="00EA4C9B">
        <w:rPr>
          <w:rStyle w:val="FootnoteReference"/>
        </w:rPr>
        <w:footnoteRef/>
      </w:r>
      <w:r w:rsidRPr="00EA4C9B">
        <w:t xml:space="preserve"> </w:t>
      </w:r>
      <w:r w:rsidR="003A3A7C">
        <w:tab/>
      </w:r>
      <w:hyperlink r:id="rId150" w:history="1">
        <w:r w:rsidRPr="00EA4C9B">
          <w:rPr>
            <w:rStyle w:val="Hyperlink"/>
          </w:rPr>
          <w:t>545/2020 Sb., 1. 1. 2021, aktuální znění, informativní znění systému e-Sbírka</w:t>
        </w:r>
      </w:hyperlink>
    </w:p>
  </w:footnote>
  <w:footnote w:id="220">
    <w:p w14:paraId="741DBB4C" w14:textId="1AF46A9B" w:rsidR="00392FDA" w:rsidRPr="00EA4C9B" w:rsidRDefault="00392FDA" w:rsidP="00392FDA">
      <w:pPr>
        <w:pStyle w:val="FootnoteText"/>
      </w:pPr>
      <w:r w:rsidRPr="00EA4C9B">
        <w:rPr>
          <w:rStyle w:val="FootnoteReference"/>
        </w:rPr>
        <w:footnoteRef/>
      </w:r>
      <w:r w:rsidRPr="00EA4C9B">
        <w:t xml:space="preserve"> </w:t>
      </w:r>
      <w:r w:rsidR="003A3A7C">
        <w:tab/>
      </w:r>
      <w:hyperlink r:id="rId151" w:history="1">
        <w:r w:rsidRPr="00EA4C9B">
          <w:rPr>
            <w:rStyle w:val="Hyperlink"/>
          </w:rPr>
          <w:t>541/2020 Sb., 1. 1. 2024, aktuální znění, informativní znění systému e-Sbírka</w:t>
        </w:r>
      </w:hyperlink>
    </w:p>
  </w:footnote>
  <w:footnote w:id="221">
    <w:p w14:paraId="33A75237" w14:textId="2DAA77E1" w:rsidR="00392FDA" w:rsidRPr="00EA4C9B" w:rsidRDefault="00392FDA" w:rsidP="00392FDA">
      <w:pPr>
        <w:pStyle w:val="FootnoteText"/>
      </w:pPr>
      <w:r w:rsidRPr="00EA4C9B">
        <w:rPr>
          <w:rStyle w:val="FootnoteReference"/>
        </w:rPr>
        <w:footnoteRef/>
      </w:r>
      <w:r w:rsidRPr="00EA4C9B">
        <w:t xml:space="preserve"> </w:t>
      </w:r>
      <w:r w:rsidR="003A3A7C">
        <w:tab/>
      </w:r>
      <w:hyperlink r:id="rId152" w:history="1">
        <w:r w:rsidRPr="00EA4C9B">
          <w:rPr>
            <w:rStyle w:val="Hyperlink"/>
          </w:rPr>
          <w:t>240/2000 Sb., 1. 1. 2024, aktuální znění, informativní znění systému e-Sbírka</w:t>
        </w:r>
      </w:hyperlink>
    </w:p>
  </w:footnote>
  <w:footnote w:id="222">
    <w:p w14:paraId="3509C858" w14:textId="7FC5B5B8" w:rsidR="00392FDA" w:rsidRPr="00EA4C9B" w:rsidRDefault="00392FDA" w:rsidP="00392FDA">
      <w:pPr>
        <w:pStyle w:val="FootnoteText"/>
      </w:pPr>
      <w:r w:rsidRPr="00EA4C9B">
        <w:rPr>
          <w:rStyle w:val="FootnoteReference"/>
        </w:rPr>
        <w:footnoteRef/>
      </w:r>
      <w:r w:rsidRPr="00EA4C9B">
        <w:t xml:space="preserve"> </w:t>
      </w:r>
      <w:r w:rsidR="003A3A7C">
        <w:tab/>
      </w:r>
      <w:hyperlink r:id="rId153" w:history="1">
        <w:r w:rsidRPr="00EA4C9B">
          <w:rPr>
            <w:rStyle w:val="Hyperlink"/>
          </w:rPr>
          <w:t>73/2012 Sb., 23. 3. 2023, aktuální znění, informativní znění systému e-Sbírka</w:t>
        </w:r>
      </w:hyperlink>
    </w:p>
  </w:footnote>
  <w:footnote w:id="223">
    <w:p w14:paraId="5357B2EE" w14:textId="5ED962E1" w:rsidR="00392FDA" w:rsidRPr="00EA4C9B" w:rsidRDefault="00392FDA" w:rsidP="00392FDA">
      <w:pPr>
        <w:pStyle w:val="FootnoteText"/>
      </w:pPr>
      <w:r w:rsidRPr="00EA4C9B">
        <w:rPr>
          <w:rStyle w:val="FootnoteReference"/>
        </w:rPr>
        <w:footnoteRef/>
      </w:r>
      <w:r w:rsidRPr="00EA4C9B">
        <w:t xml:space="preserve"> </w:t>
      </w:r>
      <w:r w:rsidR="003A3A7C">
        <w:tab/>
      </w:r>
      <w:r w:rsidRPr="00EA4C9B">
        <w:t>Tenaw G. et al (2024) Environmental taxation of plastic bags and substitutes: Balancing marine pollution and climate change. Journal of environnemental management.</w:t>
      </w:r>
    </w:p>
  </w:footnote>
  <w:footnote w:id="224">
    <w:p w14:paraId="667841EE" w14:textId="54B34880" w:rsidR="00392FDA" w:rsidRPr="00EA4C9B" w:rsidRDefault="00392FDA" w:rsidP="00392FDA">
      <w:pPr>
        <w:pStyle w:val="FootnoteText"/>
      </w:pPr>
      <w:r w:rsidRPr="00EA4C9B">
        <w:rPr>
          <w:rStyle w:val="FootnoteReference"/>
        </w:rPr>
        <w:footnoteRef/>
      </w:r>
      <w:r w:rsidRPr="00EA4C9B">
        <w:t xml:space="preserve"> </w:t>
      </w:r>
      <w:r w:rsidR="003A3A7C">
        <w:tab/>
      </w:r>
      <w:r w:rsidRPr="00EA4C9B">
        <w:t xml:space="preserve">Czechia does not appear to require foraging permits. See: </w:t>
      </w:r>
      <w:hyperlink r:id="rId154" w:history="1">
        <w:r w:rsidRPr="00EA4C9B">
          <w:rPr>
            <w:rStyle w:val="Hyperlink"/>
          </w:rPr>
          <w:t>https://english.radio.cz/authorities-will-not-curb-czechs-passion-mushroom-hunting-8790978</w:t>
        </w:r>
      </w:hyperlink>
      <w:r w:rsidRPr="00EA4C9B">
        <w:t xml:space="preserve"> </w:t>
      </w:r>
    </w:p>
  </w:footnote>
  <w:footnote w:id="225">
    <w:p w14:paraId="2E862FC3" w14:textId="7CF12C84" w:rsidR="00392FDA" w:rsidRPr="00EA4C9B" w:rsidRDefault="00392FDA" w:rsidP="00392FDA">
      <w:pPr>
        <w:pStyle w:val="FootnoteText"/>
      </w:pPr>
      <w:r w:rsidRPr="00EA4C9B">
        <w:rPr>
          <w:rStyle w:val="FootnoteReference"/>
        </w:rPr>
        <w:footnoteRef/>
      </w:r>
      <w:r w:rsidRPr="00EA4C9B">
        <w:t xml:space="preserve"> </w:t>
      </w:r>
      <w:r w:rsidR="003A3A7C">
        <w:tab/>
      </w:r>
      <w:hyperlink r:id="rId155" w:history="1">
        <w:r w:rsidRPr="00EA4C9B">
          <w:rPr>
            <w:rStyle w:val="Hyperlink"/>
          </w:rPr>
          <w:t>565/1990 Sb., 1. 1. 2025, aktuální znění, informativní znění systému e-Sbírka</w:t>
        </w:r>
      </w:hyperlink>
    </w:p>
  </w:footnote>
  <w:footnote w:id="226">
    <w:p w14:paraId="6CE31FAF" w14:textId="4B45B1DF" w:rsidR="00392FDA" w:rsidRPr="00EA4C9B" w:rsidRDefault="00392FDA" w:rsidP="00392FDA">
      <w:pPr>
        <w:pStyle w:val="FootnoteText"/>
      </w:pPr>
      <w:r w:rsidRPr="00EA4C9B">
        <w:rPr>
          <w:rStyle w:val="FootnoteReference"/>
        </w:rPr>
        <w:footnoteRef/>
      </w:r>
      <w:r w:rsidRPr="00EA4C9B">
        <w:t xml:space="preserve"> </w:t>
      </w:r>
      <w:r w:rsidR="003A3A7C">
        <w:tab/>
      </w:r>
      <w:r w:rsidRPr="00EA4C9B">
        <w:t>https://portalprazana.cz/pro-verejnost/sluzby/98</w:t>
      </w:r>
    </w:p>
  </w:footnote>
  <w:footnote w:id="227">
    <w:p w14:paraId="6043603A" w14:textId="56917235" w:rsidR="00392FDA" w:rsidRPr="00EA4C9B" w:rsidRDefault="00392FDA" w:rsidP="003A3A7C">
      <w:pPr>
        <w:pStyle w:val="FootnoteText"/>
        <w:jc w:val="left"/>
      </w:pPr>
      <w:r w:rsidRPr="00EA4C9B">
        <w:rPr>
          <w:rStyle w:val="FootnoteReference"/>
        </w:rPr>
        <w:footnoteRef/>
      </w:r>
      <w:r w:rsidRPr="00EA4C9B">
        <w:t xml:space="preserve"> </w:t>
      </w:r>
      <w:r w:rsidR="003A3A7C">
        <w:tab/>
      </w:r>
      <w:r w:rsidRPr="00EA4C9B">
        <w:t xml:space="preserve">See ‘A toolbox for reforming environmentally harmful subsidies in Europe’ at </w:t>
      </w:r>
      <w:hyperlink r:id="rId156" w:history="1">
        <w:r w:rsidRPr="00EA4C9B">
          <w:rPr>
            <w:rStyle w:val="Hyperlink"/>
          </w:rPr>
          <w:t>https://circabc.europa.eu/ui/group/c1</w:t>
        </w:r>
        <w:r w:rsidR="00490085">
          <w:rPr>
            <w:rStyle w:val="Hyperlink"/>
          </w:rPr>
          <w:t>A6</w:t>
        </w:r>
        <w:r w:rsidRPr="00EA4C9B">
          <w:rPr>
            <w:rStyle w:val="Hyperlink"/>
          </w:rPr>
          <w:t>a4e9-7563-4d0e-9697-68d9cd24ed34/library/7ff9e898-823f-4b06-985a-119d9e25e529/details</w:t>
        </w:r>
      </w:hyperlink>
      <w:r w:rsidRPr="00EA4C9B">
        <w:t xml:space="preserve"> and: </w:t>
      </w:r>
      <w:hyperlink r:id="rId157" w:anchor=":~:text=The%20excise%20tax%20refund%20for%20diesel%20reduces%20the%20cost%20of,and%20land%20and%20water%20use" w:history="1">
        <w:r w:rsidRPr="00EA4C9B">
          <w:rPr>
            <w:rStyle w:val="Hyperlink"/>
          </w:rPr>
          <w:t>https://environment.ec.europa.eu/economy-and-finance/phasing-out-environmentally-harmful-subsidies/czech-republic-ehs-candidate-reform_en#:~:text=The%20excise%20tax%20refund%20for%20diesel%20reduces%20the%20cost%20of,and%20land%20and%20water%20use</w:t>
        </w:r>
      </w:hyperlink>
      <w:r w:rsidRPr="00EA4C9B">
        <w:t xml:space="preserve">. </w:t>
      </w:r>
    </w:p>
  </w:footnote>
  <w:footnote w:id="228">
    <w:p w14:paraId="13CF813E" w14:textId="4A777FD2" w:rsidR="00392FDA" w:rsidRPr="00EA4C9B" w:rsidRDefault="00392FDA" w:rsidP="00392FDA">
      <w:pPr>
        <w:pStyle w:val="FootnoteText"/>
      </w:pPr>
      <w:r w:rsidRPr="00EA4C9B">
        <w:rPr>
          <w:rStyle w:val="FootnoteReference"/>
        </w:rPr>
        <w:footnoteRef/>
      </w:r>
      <w:r w:rsidRPr="00EA4C9B">
        <w:t xml:space="preserve"> </w:t>
      </w:r>
      <w:r w:rsidR="003A3A7C">
        <w:tab/>
      </w:r>
      <w:hyperlink r:id="rId158" w:history="1">
        <w:r w:rsidR="003A3A7C" w:rsidRPr="00EC31B9">
          <w:rPr>
            <w:rStyle w:val="Hyperlink"/>
          </w:rPr>
          <w:t>https://www.grantthornton.cz/en/news/tax-reliefs-of-czech-government-to-combat-the-crisis/</w:t>
        </w:r>
      </w:hyperlink>
      <w:r w:rsidRPr="00EA4C9B">
        <w:t xml:space="preserve"> </w:t>
      </w:r>
    </w:p>
  </w:footnote>
  <w:footnote w:id="229">
    <w:p w14:paraId="1A9DD7C8" w14:textId="7C7BD752" w:rsidR="00392FDA" w:rsidRPr="00C305AC" w:rsidRDefault="00392FDA" w:rsidP="003A3A7C">
      <w:pPr>
        <w:pStyle w:val="FootnoteText"/>
        <w:jc w:val="left"/>
        <w:rPr>
          <w:lang w:val="fr-BE"/>
        </w:rPr>
      </w:pPr>
      <w:r w:rsidRPr="00EA4C9B">
        <w:rPr>
          <w:rStyle w:val="FootnoteReference"/>
        </w:rPr>
        <w:footnoteRef/>
      </w:r>
      <w:r w:rsidRPr="00C305AC">
        <w:rPr>
          <w:lang w:val="fr-BE"/>
        </w:rPr>
        <w:t xml:space="preserve"> </w:t>
      </w:r>
      <w:r w:rsidR="003A3A7C" w:rsidRPr="00C305AC">
        <w:rPr>
          <w:lang w:val="fr-BE"/>
        </w:rPr>
        <w:tab/>
      </w:r>
      <w:hyperlink r:id="rId159" w:history="1">
        <w:r w:rsidR="003A3A7C" w:rsidRPr="00C305AC">
          <w:rPr>
            <w:rStyle w:val="Hyperlink"/>
            <w:lang w:val="fr-BE"/>
          </w:rPr>
          <w:t>https://www.oecd.org/content/dam/oecd/en/publications/reports/2018/07/oecd-environmental-performance-reviews-czech-republic-2018_g1g8e052/9789264300958-en.pdf</w:t>
        </w:r>
      </w:hyperlink>
      <w:r w:rsidRPr="00C305AC">
        <w:rPr>
          <w:lang w:val="fr-BE"/>
        </w:rPr>
        <w:t xml:space="preserve"> page 36</w:t>
      </w:r>
    </w:p>
  </w:footnote>
  <w:footnote w:id="230">
    <w:p w14:paraId="346BC63C" w14:textId="233C88F2" w:rsidR="00392FDA" w:rsidRPr="00C305AC" w:rsidRDefault="00392FDA" w:rsidP="003A3A7C">
      <w:pPr>
        <w:pStyle w:val="FootnoteText"/>
        <w:jc w:val="left"/>
        <w:rPr>
          <w:lang w:val="fr-BE"/>
        </w:rPr>
      </w:pPr>
      <w:r w:rsidRPr="00EA4C9B">
        <w:rPr>
          <w:rStyle w:val="FootnoteReference"/>
        </w:rPr>
        <w:footnoteRef/>
      </w:r>
      <w:r w:rsidRPr="00C305AC">
        <w:rPr>
          <w:lang w:val="fr-BE"/>
        </w:rPr>
        <w:t xml:space="preserve"> </w:t>
      </w:r>
      <w:r w:rsidR="00BC3E94" w:rsidRPr="00C305AC">
        <w:rPr>
          <w:lang w:val="fr-BE"/>
        </w:rPr>
        <w:tab/>
      </w:r>
      <w:r w:rsidRPr="00C305AC">
        <w:rPr>
          <w:lang w:val="fr-BE"/>
        </w:rPr>
        <w:t>https://www.oecd.org/content/dam/oecd/en/publications/reports/2018/07/oecd-environmental-performance-reviews-czech-republic-2018_g1g8e052/9789264300958-en.pdf</w:t>
      </w:r>
    </w:p>
  </w:footnote>
  <w:footnote w:id="231">
    <w:p w14:paraId="25A0B694" w14:textId="77777777" w:rsidR="00392FDA" w:rsidRPr="00EA4C9B" w:rsidRDefault="00392FDA" w:rsidP="00392FDA">
      <w:pPr>
        <w:pStyle w:val="FootnoteText"/>
      </w:pPr>
      <w:r w:rsidRPr="00EA4C9B">
        <w:rPr>
          <w:rStyle w:val="FootnoteReference"/>
        </w:rPr>
        <w:footnoteRef/>
      </w:r>
      <w:r w:rsidRPr="00EA4C9B">
        <w:t xml:space="preserve"> </w:t>
      </w:r>
      <w:r w:rsidRPr="00EA4C9B">
        <w:tab/>
        <w:t>Commission Staff Working Document 2024 Country Report – Czechia. Accompanying the document Recommendation for a COUNCIL RECOMMENDATION on the economic, social, employment, structural and budgetary policies of Italy.</w:t>
      </w:r>
    </w:p>
  </w:footnote>
  <w:footnote w:id="232">
    <w:p w14:paraId="218909E2" w14:textId="77777777" w:rsidR="00392FDA" w:rsidRPr="00EA4C9B" w:rsidRDefault="00392FDA" w:rsidP="00392FDA">
      <w:pPr>
        <w:pStyle w:val="FootnoteText"/>
      </w:pPr>
      <w:r w:rsidRPr="00EA4C9B">
        <w:rPr>
          <w:rStyle w:val="FootnoteReference"/>
        </w:rPr>
        <w:footnoteRef/>
      </w:r>
      <w:r w:rsidRPr="00EA4C9B">
        <w:t xml:space="preserve"> </w:t>
      </w:r>
      <w:r w:rsidRPr="00EA4C9B">
        <w:tab/>
        <w:t>Hogg et al. (2016). Study on assessing the environmental fiscal reform potential for the EU28. Report prepared for the European Commission DG Environment.</w:t>
      </w:r>
    </w:p>
  </w:footnote>
  <w:footnote w:id="233">
    <w:p w14:paraId="214CECD5" w14:textId="77777777" w:rsidR="00392FDA" w:rsidRPr="00EA4C9B" w:rsidRDefault="00392FDA" w:rsidP="00392FDA">
      <w:pPr>
        <w:pStyle w:val="FootnoteText"/>
      </w:pPr>
      <w:r w:rsidRPr="00EA4C9B">
        <w:rPr>
          <w:rStyle w:val="FootnoteReference"/>
        </w:rPr>
        <w:footnoteRef/>
      </w:r>
      <w:r w:rsidRPr="00EA4C9B">
        <w:t xml:space="preserve"> </w:t>
      </w:r>
      <w:r w:rsidRPr="00EA4C9B">
        <w:tab/>
        <w:t>Commission Staff Working Document 2024 Country Report – Czechia. Accompanying the document Recommendation for a COUNCIL RECOMMENDATION on the economic, social, employment, structural and budgetary policies of Italy.</w:t>
      </w:r>
    </w:p>
  </w:footnote>
  <w:footnote w:id="234">
    <w:p w14:paraId="1F267708" w14:textId="77777777" w:rsidR="00392FDA" w:rsidRPr="00EA4C9B" w:rsidRDefault="00392FDA" w:rsidP="00392FDA">
      <w:pPr>
        <w:pStyle w:val="FootnoteText"/>
      </w:pPr>
      <w:r w:rsidRPr="00EA4C9B">
        <w:rPr>
          <w:rStyle w:val="FootnoteReference"/>
        </w:rPr>
        <w:footnoteRef/>
      </w:r>
      <w:r w:rsidRPr="00EA4C9B">
        <w:t xml:space="preserve"> </w:t>
      </w:r>
      <w:r w:rsidRPr="00EA4C9B">
        <w:tab/>
        <w:t>Commission Staff Working Document 2024 Country Report – Czechia. Accompanying the document Recommendation for a COUNCIL RECOMMENDATION on the economic, social, employment, structural and budgetary policies of Italy.</w:t>
      </w:r>
    </w:p>
  </w:footnote>
  <w:footnote w:id="235">
    <w:p w14:paraId="21B1249B" w14:textId="63B8FD20" w:rsidR="00392FDA" w:rsidRPr="00EA4C9B" w:rsidRDefault="00392FDA" w:rsidP="00BC3E94">
      <w:pPr>
        <w:pStyle w:val="FootnoteText"/>
        <w:jc w:val="left"/>
      </w:pPr>
      <w:r w:rsidRPr="00EA4C9B">
        <w:rPr>
          <w:rStyle w:val="FootnoteReference"/>
        </w:rPr>
        <w:footnoteRef/>
      </w:r>
      <w:r w:rsidRPr="00EA4C9B">
        <w:t xml:space="preserve"> </w:t>
      </w:r>
      <w:r w:rsidR="00BC3E94">
        <w:t xml:space="preserve"> </w:t>
      </w:r>
      <w:hyperlink r:id="rId160" w:history="1">
        <w:r w:rsidR="00BC3E94" w:rsidRPr="00EC31B9">
          <w:rPr>
            <w:rStyle w:val="Hyperlink"/>
          </w:rPr>
          <w:t>https://www.oecd.org/content/dam/oecd/en/publications/reports/2018/07/oecd-environmental-performance-reviews-czech-republic-2018_g1g8e052/9789264300958-en.pdf</w:t>
        </w:r>
      </w:hyperlink>
      <w:r w:rsidRPr="00EA4C9B">
        <w:t xml:space="preserve"> </w:t>
      </w:r>
    </w:p>
  </w:footnote>
  <w:footnote w:id="236">
    <w:p w14:paraId="23D618B7" w14:textId="77777777" w:rsidR="00392FDA" w:rsidRPr="00EA4C9B" w:rsidRDefault="00392FDA" w:rsidP="00392FDA">
      <w:pPr>
        <w:pStyle w:val="FootnoteText"/>
      </w:pPr>
      <w:r w:rsidRPr="00EA4C9B">
        <w:rPr>
          <w:rStyle w:val="FootnoteReference"/>
        </w:rPr>
        <w:footnoteRef/>
      </w:r>
      <w:r w:rsidRPr="00EA4C9B">
        <w:t xml:space="preserve"> </w:t>
      </w:r>
      <w:r w:rsidRPr="00EA4C9B">
        <w:tab/>
        <w:t>Commission Staff Working Document 2024 Country Report – Czechia. Accompanying the document Recommendation for a COUNCIL RECOMMENDATION on the economic, social, employment, structural and budgetary policies of Czechia.</w:t>
      </w:r>
    </w:p>
  </w:footnote>
  <w:footnote w:id="237">
    <w:p w14:paraId="677EE61E" w14:textId="1E07089F" w:rsidR="00392FDA" w:rsidRPr="00EA4C9B" w:rsidRDefault="00392FDA" w:rsidP="00392FDA">
      <w:pPr>
        <w:pStyle w:val="FootnoteText"/>
      </w:pPr>
      <w:r w:rsidRPr="00EA4C9B">
        <w:rPr>
          <w:rStyle w:val="FootnoteReference"/>
        </w:rPr>
        <w:footnoteRef/>
      </w:r>
      <w:r w:rsidRPr="00EA4C9B">
        <w:t xml:space="preserve"> </w:t>
      </w:r>
      <w:r w:rsidR="00BC3E94">
        <w:tab/>
      </w:r>
      <w:hyperlink r:id="rId161" w:history="1">
        <w:r w:rsidR="00BC3E94" w:rsidRPr="00EC31B9">
          <w:rPr>
            <w:rStyle w:val="Hyperlink"/>
          </w:rPr>
          <w:t>https://eulacfoundation.org/system/files/digital_library/2023-07/5d33734d-en.pdf</w:t>
        </w:r>
      </w:hyperlink>
      <w:r w:rsidRPr="00EA4C9B">
        <w:t xml:space="preserve"> </w:t>
      </w:r>
    </w:p>
  </w:footnote>
  <w:footnote w:id="238">
    <w:p w14:paraId="0A4EEB3D" w14:textId="77777777" w:rsidR="00392FDA" w:rsidRPr="00EA4C9B" w:rsidRDefault="00392FDA" w:rsidP="00392FDA">
      <w:pPr>
        <w:pStyle w:val="FootnoteText"/>
      </w:pPr>
      <w:r w:rsidRPr="00EA4C9B">
        <w:rPr>
          <w:rStyle w:val="FootnoteReference"/>
        </w:rPr>
        <w:footnoteRef/>
      </w:r>
      <w:r w:rsidRPr="00EA4C9B">
        <w:t xml:space="preserve"> </w:t>
      </w:r>
      <w:r w:rsidRPr="00EA4C9B">
        <w:tab/>
        <w:t>Commission Staff Working Document 2024 Country Report – Czechia. Accompanying the document Recommendation for a COUNCIL RECOMMENDATION on the economic, social, employment, structural and budgetary policies of Czechia.</w:t>
      </w:r>
    </w:p>
  </w:footnote>
  <w:footnote w:id="239">
    <w:p w14:paraId="10A32A93" w14:textId="0D11C5BB" w:rsidR="00392FDA" w:rsidRPr="00EA4C9B" w:rsidRDefault="00392FDA" w:rsidP="00392FDA">
      <w:pPr>
        <w:pStyle w:val="FootnoteText"/>
      </w:pPr>
      <w:r w:rsidRPr="00EA4C9B">
        <w:rPr>
          <w:rStyle w:val="FootnoteReference"/>
        </w:rPr>
        <w:footnoteRef/>
      </w:r>
      <w:r w:rsidRPr="00EA4C9B">
        <w:t xml:space="preserve"> </w:t>
      </w:r>
      <w:r w:rsidR="00BC3E94">
        <w:tab/>
      </w:r>
      <w:hyperlink r:id="rId162" w:history="1">
        <w:r w:rsidR="00BC3E94" w:rsidRPr="00EC31B9">
          <w:rPr>
            <w:rStyle w:val="Hyperlink"/>
          </w:rPr>
          <w:t>https://environment.ec.europa.eu/system/files/2021-10/Czech%20Republic.pdf</w:t>
        </w:r>
      </w:hyperlink>
      <w:r w:rsidRPr="00EA4C9B">
        <w:t xml:space="preserve"> </w:t>
      </w:r>
    </w:p>
  </w:footnote>
  <w:footnote w:id="240">
    <w:p w14:paraId="5EA511B5" w14:textId="7562CB7C" w:rsidR="00392FDA" w:rsidRPr="00EA4C9B" w:rsidRDefault="00392FDA" w:rsidP="00392FDA">
      <w:pPr>
        <w:pStyle w:val="FootnoteText"/>
      </w:pPr>
      <w:r w:rsidRPr="00EA4C9B">
        <w:rPr>
          <w:rStyle w:val="FootnoteReference"/>
        </w:rPr>
        <w:footnoteRef/>
      </w:r>
      <w:r w:rsidRPr="00EA4C9B">
        <w:t xml:space="preserve"> </w:t>
      </w:r>
      <w:r w:rsidR="00BC3E94">
        <w:tab/>
      </w:r>
      <w:hyperlink r:id="rId163" w:history="1">
        <w:r w:rsidR="00BC3E94" w:rsidRPr="00EC31B9">
          <w:rPr>
            <w:rStyle w:val="Hyperlink"/>
          </w:rPr>
          <w:t>https://eulacfoundation.org/system/files/digital_library/2023-07/5d33734d-en.pdf</w:t>
        </w:r>
      </w:hyperlink>
      <w:r w:rsidRPr="00EA4C9B">
        <w:t xml:space="preserve"> p.48.</w:t>
      </w:r>
    </w:p>
  </w:footnote>
  <w:footnote w:id="241">
    <w:p w14:paraId="7DA53174" w14:textId="2DC6FF48" w:rsidR="00392FDA" w:rsidRPr="00EA4C9B" w:rsidRDefault="00392FDA" w:rsidP="00BC3E94">
      <w:pPr>
        <w:pStyle w:val="FootnoteText"/>
        <w:jc w:val="left"/>
      </w:pPr>
      <w:r w:rsidRPr="00EA4C9B">
        <w:rPr>
          <w:rStyle w:val="FootnoteReference"/>
        </w:rPr>
        <w:footnoteRef/>
      </w:r>
      <w:r w:rsidRPr="00EA4C9B">
        <w:t xml:space="preserve"> </w:t>
      </w:r>
      <w:r w:rsidR="00BC3E94">
        <w:tab/>
      </w:r>
      <w:hyperlink r:id="rId164" w:anchor=":~:text=Czechia%20adopted%20a%20dedicated%20national,and%20social%20benefits%20to%20Czechia" w:history="1">
        <w:r w:rsidR="00BC3E94" w:rsidRPr="00EC31B9">
          <w:rPr>
            <w:rStyle w:val="Hyperlink"/>
          </w:rPr>
          <w:t>https://www.eea.europa.eu/en/topics/in-depth/circular-economy/country-profiles-on-circular-economy/circular-economy-country-profiles-2024/czechia_2024-ce-country-profile_final.pdf/@@download/file#:~:text=Czechia%20adopted%20a%20dedicated%20national,and%20social%20benefits%20to%20Czechia</w:t>
        </w:r>
      </w:hyperlink>
      <w:r w:rsidRPr="00EA4C9B">
        <w:t xml:space="preserve">. </w:t>
      </w:r>
    </w:p>
  </w:footnote>
  <w:footnote w:id="242">
    <w:p w14:paraId="45673423" w14:textId="0AB46BD7" w:rsidR="00392FDA" w:rsidRPr="00EA4C9B" w:rsidRDefault="00392FDA" w:rsidP="00392FDA">
      <w:pPr>
        <w:pStyle w:val="FootnoteText"/>
      </w:pPr>
      <w:r w:rsidRPr="00EA4C9B">
        <w:rPr>
          <w:rStyle w:val="FootnoteReference"/>
        </w:rPr>
        <w:footnoteRef/>
      </w:r>
      <w:r w:rsidRPr="00EA4C9B">
        <w:t xml:space="preserve"> </w:t>
      </w:r>
      <w:r w:rsidR="00BC3E94">
        <w:tab/>
      </w:r>
      <w:hyperlink r:id="rId165" w:history="1">
        <w:r w:rsidR="00BC3E94" w:rsidRPr="00EC31B9">
          <w:rPr>
            <w:rStyle w:val="Hyperlink"/>
          </w:rPr>
          <w:t>https://mzp.gov.cz/sites/mzp.cz/files/tiskove-zpravy/AP_C%C4%8C_2040.pdf</w:t>
        </w:r>
      </w:hyperlink>
      <w:r w:rsidRPr="00EA4C9B">
        <w:t xml:space="preserve"> </w:t>
      </w:r>
    </w:p>
  </w:footnote>
  <w:footnote w:id="243">
    <w:p w14:paraId="23480C71" w14:textId="7F642441" w:rsidR="00392FDA" w:rsidRPr="00EA4C9B" w:rsidRDefault="00392FDA" w:rsidP="00392FDA">
      <w:pPr>
        <w:pStyle w:val="FootnoteText"/>
      </w:pPr>
      <w:r w:rsidRPr="00EA4C9B">
        <w:rPr>
          <w:rStyle w:val="FootnoteReference"/>
        </w:rPr>
        <w:footnoteRef/>
      </w:r>
      <w:r w:rsidRPr="00EA4C9B">
        <w:t xml:space="preserve"> </w:t>
      </w:r>
      <w:r w:rsidR="00BC3E94">
        <w:tab/>
      </w:r>
      <w:r w:rsidRPr="00EA4C9B">
        <w:t xml:space="preserve">Translated from Czech; document not available in English. </w:t>
      </w:r>
    </w:p>
  </w:footnote>
  <w:footnote w:id="244">
    <w:p w14:paraId="1E1209D8" w14:textId="77777777" w:rsidR="00392FDA" w:rsidRPr="00EA4C9B" w:rsidRDefault="00392FDA" w:rsidP="00392FDA">
      <w:pPr>
        <w:pStyle w:val="FootnoteText"/>
      </w:pPr>
      <w:r w:rsidRPr="00EA4C9B">
        <w:rPr>
          <w:rStyle w:val="FootnoteReference"/>
        </w:rPr>
        <w:footnoteRef/>
      </w:r>
      <w:r w:rsidRPr="00EA4C9B">
        <w:t xml:space="preserve"> </w:t>
      </w:r>
      <w:r w:rsidRPr="00EA4C9B">
        <w:tab/>
        <w:t>Commission Staff Working Document 2024 Country Report – Czechia. Accompanying the document Recommendation for a COUNCIL RECOMMENDATION on the economic, social, employment, structural and budgetary policies of Italy.</w:t>
      </w:r>
    </w:p>
  </w:footnote>
  <w:footnote w:id="245">
    <w:p w14:paraId="35105F30" w14:textId="3FCFBFE8" w:rsidR="00392FDA" w:rsidRPr="00EA4C9B" w:rsidRDefault="00392FDA" w:rsidP="00392FDA">
      <w:pPr>
        <w:pStyle w:val="FootnoteText"/>
      </w:pPr>
      <w:r w:rsidRPr="00EA4C9B">
        <w:rPr>
          <w:rStyle w:val="FootnoteReference"/>
        </w:rPr>
        <w:footnoteRef/>
      </w:r>
      <w:r w:rsidRPr="00EA4C9B">
        <w:t xml:space="preserve"> </w:t>
      </w:r>
      <w:r w:rsidR="00BC3E94">
        <w:tab/>
      </w:r>
      <w:r w:rsidRPr="00EA4C9B">
        <w:t>https://environment.ec.europa.eu/system/files/2021-10/Czech%20Republic.pdf</w:t>
      </w:r>
    </w:p>
  </w:footnote>
  <w:footnote w:id="246">
    <w:p w14:paraId="5020855C" w14:textId="39D58AFA" w:rsidR="00392FDA" w:rsidRPr="00EA4C9B" w:rsidRDefault="00392FDA" w:rsidP="00BC3E94">
      <w:pPr>
        <w:pStyle w:val="FootnoteText"/>
        <w:jc w:val="left"/>
      </w:pPr>
      <w:r w:rsidRPr="00EA4C9B">
        <w:rPr>
          <w:rStyle w:val="FootnoteReference"/>
        </w:rPr>
        <w:footnoteRef/>
      </w:r>
      <w:r w:rsidR="00BC3E94">
        <w:t xml:space="preserve"> </w:t>
      </w:r>
      <w:r w:rsidR="00BC3E94">
        <w:tab/>
      </w:r>
      <w:hyperlink r:id="rId166" w:history="1">
        <w:r w:rsidR="00BC3E94" w:rsidRPr="00EC31B9">
          <w:rPr>
            <w:rStyle w:val="Hyperlink"/>
          </w:rPr>
          <w:t>https://www.oecd.org/content/dam/oecd/en/publications/reports/2018/07/oecd-environmental-performance-reviews-czech-republic-2018_g1g8e052/9789264300958-en.pdf</w:t>
        </w:r>
      </w:hyperlink>
      <w:r w:rsidRPr="00EA4C9B">
        <w:t xml:space="preserve"> </w:t>
      </w:r>
    </w:p>
  </w:footnote>
  <w:footnote w:id="247">
    <w:p w14:paraId="0AA8FADC" w14:textId="6D8C56F3" w:rsidR="00392FDA" w:rsidRPr="00EA4C9B" w:rsidRDefault="00392FDA" w:rsidP="00BC3E94">
      <w:pPr>
        <w:pStyle w:val="FootnoteText"/>
        <w:jc w:val="left"/>
      </w:pPr>
      <w:r w:rsidRPr="00EA4C9B">
        <w:rPr>
          <w:rStyle w:val="FootnoteReference"/>
        </w:rPr>
        <w:footnoteRef/>
      </w:r>
      <w:r w:rsidRPr="00EA4C9B">
        <w:t xml:space="preserve"> </w:t>
      </w:r>
      <w:r w:rsidR="00BC3E94">
        <w:tab/>
      </w:r>
      <w:r w:rsidRPr="00EA4C9B">
        <w:t>https://wts.com/wts.com/publications/climate-protection-green-tax-energy/2024/wts-global-plastic-taxation-2024-updated.pdf#page=7</w:t>
      </w:r>
    </w:p>
  </w:footnote>
  <w:footnote w:id="248">
    <w:p w14:paraId="0FAC74A2" w14:textId="3BF0A256" w:rsidR="00392FDA" w:rsidRPr="00C305AC" w:rsidRDefault="00392FDA" w:rsidP="00392FDA">
      <w:pPr>
        <w:pStyle w:val="FootnoteText"/>
        <w:rPr>
          <w:lang w:val="fr-BE"/>
        </w:rPr>
      </w:pPr>
      <w:r w:rsidRPr="00EA4C9B">
        <w:rPr>
          <w:rStyle w:val="FootnoteReference"/>
        </w:rPr>
        <w:footnoteRef/>
      </w:r>
      <w:r w:rsidRPr="00EA4C9B">
        <w:t xml:space="preserve"> </w:t>
      </w:r>
      <w:r w:rsidR="00BC3E94">
        <w:tab/>
      </w:r>
      <w:r w:rsidRPr="00EA4C9B">
        <w:t xml:space="preserve">Early warning assessment related to the 2025 targets for municipal waste and packaging waste. </w:t>
      </w:r>
      <w:r w:rsidRPr="00C305AC">
        <w:rPr>
          <w:lang w:val="fr-BE"/>
        </w:rPr>
        <w:t>Page 4.</w:t>
      </w:r>
    </w:p>
  </w:footnote>
  <w:footnote w:id="249">
    <w:p w14:paraId="660332DB" w14:textId="1990930A" w:rsidR="00392FDA" w:rsidRPr="00C305AC" w:rsidRDefault="00392FDA" w:rsidP="00BC3E94">
      <w:pPr>
        <w:pStyle w:val="FootnoteText"/>
        <w:jc w:val="left"/>
        <w:rPr>
          <w:lang w:val="fr-BE"/>
        </w:rPr>
      </w:pPr>
      <w:r w:rsidRPr="00EA4C9B">
        <w:rPr>
          <w:rStyle w:val="FootnoteReference"/>
        </w:rPr>
        <w:footnoteRef/>
      </w:r>
      <w:r w:rsidRPr="00C305AC">
        <w:rPr>
          <w:lang w:val="fr-BE"/>
        </w:rPr>
        <w:t xml:space="preserve"> </w:t>
      </w:r>
      <w:r w:rsidR="00BC3E94" w:rsidRPr="00C305AC">
        <w:rPr>
          <w:lang w:val="fr-BE"/>
        </w:rPr>
        <w:tab/>
      </w:r>
      <w:r w:rsidRPr="00C305AC">
        <w:rPr>
          <w:lang w:val="fr-BE"/>
        </w:rPr>
        <w:t>https://l2baviation.com/tax-regulations/czech-republic/#:~:text=The%20Czech%20Republic%20does%20not%20levy%20any%20stamp%20duties%2C%20fees,be%20part%20of%20the%20transaction.</w:t>
      </w:r>
    </w:p>
  </w:footnote>
  <w:footnote w:id="250">
    <w:p w14:paraId="23C2EAC1" w14:textId="1C3EAC10" w:rsidR="00392FDA" w:rsidRPr="00C305AC" w:rsidRDefault="00392FDA" w:rsidP="00BC3E94">
      <w:pPr>
        <w:pStyle w:val="FootnoteText"/>
        <w:jc w:val="left"/>
        <w:rPr>
          <w:lang w:val="fr-BE"/>
        </w:rPr>
      </w:pPr>
      <w:r w:rsidRPr="00EA4C9B">
        <w:rPr>
          <w:rStyle w:val="FootnoteReference"/>
        </w:rPr>
        <w:footnoteRef/>
      </w:r>
      <w:r w:rsidRPr="00C305AC">
        <w:rPr>
          <w:lang w:val="fr-BE"/>
        </w:rPr>
        <w:t xml:space="preserve"> </w:t>
      </w:r>
      <w:r w:rsidR="00BC3E94" w:rsidRPr="00C305AC">
        <w:rPr>
          <w:lang w:val="fr-BE"/>
        </w:rPr>
        <w:tab/>
      </w:r>
      <w:r w:rsidRPr="00C305AC">
        <w:rPr>
          <w:lang w:val="fr-BE"/>
        </w:rPr>
        <w:t>https://www.oecd.org/content/dam/oecd/en/publications/reports/2018/07/oecd-environmental-performance-reviews-czech-republic-2018_g1g8e052/9789264300958-en.pdf</w:t>
      </w:r>
    </w:p>
  </w:footnote>
  <w:footnote w:id="251">
    <w:p w14:paraId="07B4B6DF" w14:textId="116718BA" w:rsidR="00392FDA" w:rsidRPr="00C305AC" w:rsidRDefault="00392FDA" w:rsidP="00392FDA">
      <w:pPr>
        <w:pStyle w:val="FootnoteText"/>
        <w:rPr>
          <w:lang w:val="fr-BE"/>
        </w:rPr>
      </w:pPr>
      <w:r w:rsidRPr="00EA4C9B">
        <w:rPr>
          <w:rStyle w:val="FootnoteReference"/>
        </w:rPr>
        <w:footnoteRef/>
      </w:r>
      <w:r w:rsidRPr="00C305AC">
        <w:rPr>
          <w:lang w:val="fr-BE"/>
        </w:rPr>
        <w:t xml:space="preserve"> </w:t>
      </w:r>
      <w:r w:rsidR="00BC3E94" w:rsidRPr="00C305AC">
        <w:rPr>
          <w:lang w:val="fr-BE"/>
        </w:rPr>
        <w:tab/>
      </w:r>
      <w:hyperlink r:id="rId167" w:history="1">
        <w:r w:rsidR="00BC3E94" w:rsidRPr="00C305AC">
          <w:rPr>
            <w:rStyle w:val="Hyperlink"/>
            <w:lang w:val="fr-BE"/>
          </w:rPr>
          <w:t>https://environment.ec.europa.eu/system/files/2021-10/Czech%20Republic.pdf</w:t>
        </w:r>
      </w:hyperlink>
      <w:r w:rsidRPr="00C305AC">
        <w:rPr>
          <w:lang w:val="fr-BE"/>
        </w:rPr>
        <w:t xml:space="preserve"> </w:t>
      </w:r>
    </w:p>
  </w:footnote>
  <w:footnote w:id="252">
    <w:p w14:paraId="3AD84ACD" w14:textId="1FF458B0" w:rsidR="00392FDA" w:rsidRPr="00EA4C9B" w:rsidRDefault="00392FDA" w:rsidP="00392FDA">
      <w:pPr>
        <w:pStyle w:val="FootnoteText"/>
      </w:pPr>
      <w:r w:rsidRPr="00EA4C9B">
        <w:rPr>
          <w:rStyle w:val="FootnoteReference"/>
        </w:rPr>
        <w:footnoteRef/>
      </w:r>
      <w:r w:rsidRPr="00EA4C9B">
        <w:t xml:space="preserve"> </w:t>
      </w:r>
      <w:r w:rsidR="00BC3E94">
        <w:tab/>
      </w:r>
      <w:r w:rsidRPr="00EA4C9B">
        <w:t>The types of materials that could be covered by the tax include Marble; Chalk; and dolomite Slate, Limestone and gypsum; Sand and gravel.</w:t>
      </w:r>
    </w:p>
  </w:footnote>
  <w:footnote w:id="253">
    <w:p w14:paraId="16BA6062" w14:textId="495DEC0E" w:rsidR="00392FDA" w:rsidRPr="00EA4C9B" w:rsidRDefault="00392FDA" w:rsidP="00392FDA">
      <w:pPr>
        <w:pStyle w:val="FootnoteText"/>
      </w:pPr>
      <w:r w:rsidRPr="00EA4C9B">
        <w:rPr>
          <w:rStyle w:val="FootnoteReference"/>
        </w:rPr>
        <w:footnoteRef/>
      </w:r>
      <w:r w:rsidRPr="00EA4C9B">
        <w:t xml:space="preserve"> </w:t>
      </w:r>
      <w:r w:rsidR="00BC3E94">
        <w:tab/>
      </w:r>
      <w:hyperlink r:id="rId168" w:history="1">
        <w:r w:rsidR="00BC3E94" w:rsidRPr="00EC31B9">
          <w:rPr>
            <w:rStyle w:val="Hyperlink"/>
          </w:rPr>
          <w:t>https://environment.ec.europa.eu/system/files/2021-10/Czech%20Republic.pdf</w:t>
        </w:r>
      </w:hyperlink>
      <w:r w:rsidRPr="00EA4C9B">
        <w:t xml:space="preserve"> </w:t>
      </w:r>
    </w:p>
  </w:footnote>
  <w:footnote w:id="254">
    <w:p w14:paraId="07105524" w14:textId="2094AA5B" w:rsidR="00392FDA" w:rsidRPr="00EA4C9B" w:rsidRDefault="00392FDA" w:rsidP="00BC3E94">
      <w:pPr>
        <w:pStyle w:val="FootnoteText"/>
        <w:jc w:val="left"/>
      </w:pPr>
      <w:r w:rsidRPr="00EA4C9B">
        <w:rPr>
          <w:rStyle w:val="FootnoteReference"/>
        </w:rPr>
        <w:footnoteRef/>
      </w:r>
      <w:r w:rsidRPr="00EA4C9B">
        <w:t xml:space="preserve"> </w:t>
      </w:r>
      <w:r w:rsidR="00BC3E94">
        <w:tab/>
      </w:r>
      <w:r w:rsidRPr="00EA4C9B">
        <w:t>https://www.oecd.org/content/dam/oecd/en/publications/reports/2018/07/oecd-environmental-performance-reviews-czech-republic-2018_g1g8e052/9789264300958-en.pdf</w:t>
      </w:r>
    </w:p>
  </w:footnote>
  <w:footnote w:id="255">
    <w:p w14:paraId="189EE8C6" w14:textId="57727F8B" w:rsidR="00392FDA" w:rsidRPr="00EA4C9B" w:rsidRDefault="00392FDA" w:rsidP="00BA7936">
      <w:pPr>
        <w:pStyle w:val="FootnoteText"/>
      </w:pPr>
      <w:r w:rsidRPr="00EA4C9B">
        <w:rPr>
          <w:rStyle w:val="FootnoteReference"/>
        </w:rPr>
        <w:footnoteRef/>
      </w:r>
      <w:r w:rsidRPr="00EA4C9B">
        <w:t xml:space="preserve"> https://www.oecd.org/content/dam/oecd/en/publications/reports/2018/07/oecd-environmental-performance-reviews-czech-republic-2018_g1g8e052/9789264300958-en.pdf</w:t>
      </w:r>
    </w:p>
  </w:footnote>
  <w:footnote w:id="256">
    <w:p w14:paraId="0A24EE77" w14:textId="40F94313" w:rsidR="00532787" w:rsidRPr="00BA7936" w:rsidRDefault="00532787" w:rsidP="00892A73">
      <w:pPr>
        <w:pStyle w:val="FootnoteText"/>
        <w:rPr>
          <w:lang w:val="it-IT"/>
        </w:rPr>
      </w:pPr>
      <w:r>
        <w:rPr>
          <w:rStyle w:val="FootnoteReference"/>
        </w:rPr>
        <w:footnoteRef/>
      </w:r>
      <w:r w:rsidR="00A52F76">
        <w:rPr>
          <w:i/>
          <w:iCs/>
        </w:rPr>
        <w:t xml:space="preserve"> </w:t>
      </w:r>
      <w:r w:rsidR="0076482D" w:rsidRPr="0076482D">
        <w:rPr>
          <w:i/>
          <w:iCs/>
        </w:rPr>
        <w:t>Czechia, 2025 EU waste recycling targets – State of play</w:t>
      </w:r>
      <w:r w:rsidR="0076482D" w:rsidRPr="0076482D">
        <w:t>, Publications Office of the European Union, 2023, </w:t>
      </w:r>
      <w:hyperlink r:id="rId169" w:tgtFrame="_blank" w:history="1">
        <w:r w:rsidR="0076482D" w:rsidRPr="00BA7936">
          <w:rPr>
            <w:rStyle w:val="Hyperlink"/>
          </w:rPr>
          <w:t>https://data.europa.eu/doi/10.2779/871144</w:t>
        </w:r>
      </w:hyperlink>
    </w:p>
  </w:footnote>
  <w:footnote w:id="257">
    <w:p w14:paraId="0270288D" w14:textId="565E1A2E" w:rsidR="000264F0" w:rsidRPr="00BA7936" w:rsidRDefault="000264F0">
      <w:pPr>
        <w:pStyle w:val="FootnoteText"/>
        <w:rPr>
          <w:lang w:val="it-IT"/>
        </w:rPr>
      </w:pPr>
      <w:r>
        <w:rPr>
          <w:rStyle w:val="FootnoteReference"/>
        </w:rPr>
        <w:footnoteRef/>
      </w:r>
      <w:r>
        <w:t xml:space="preserve"> </w:t>
      </w:r>
      <w:r>
        <w:rPr>
          <w:lang w:val="it-IT"/>
        </w:rPr>
        <w:t>Ibid.</w:t>
      </w:r>
    </w:p>
  </w:footnote>
  <w:footnote w:id="258">
    <w:p w14:paraId="2354AB3B" w14:textId="79817721" w:rsidR="00392FDA" w:rsidRPr="00EA4C9B" w:rsidRDefault="00392FDA" w:rsidP="00392FDA">
      <w:pPr>
        <w:pStyle w:val="FootnoteText"/>
      </w:pPr>
      <w:r w:rsidRPr="00EA4C9B">
        <w:rPr>
          <w:rStyle w:val="FootnoteReference"/>
        </w:rPr>
        <w:footnoteRef/>
      </w:r>
      <w:r w:rsidRPr="00EA4C9B">
        <w:t xml:space="preserve"> </w:t>
      </w:r>
      <w:r w:rsidR="00BC3E94">
        <w:tab/>
      </w:r>
      <w:hyperlink r:id="rId170" w:history="1">
        <w:r w:rsidR="00BC3E94" w:rsidRPr="00EC31B9">
          <w:rPr>
            <w:rStyle w:val="Hyperlink"/>
          </w:rPr>
          <w:t>https://mzp.gov.cz/sites/mzp.cz/files/tiskove-zpravy/AP_C%C4%8C_2040.pdf</w:t>
        </w:r>
      </w:hyperlink>
      <w:r w:rsidRPr="00EA4C9B">
        <w:t xml:space="preserve"> </w:t>
      </w:r>
    </w:p>
  </w:footnote>
  <w:footnote w:id="259">
    <w:p w14:paraId="3E0D9DDB" w14:textId="77777777" w:rsidR="005F54AD" w:rsidRPr="00EA4C9B" w:rsidRDefault="005F54AD" w:rsidP="005F54AD">
      <w:pPr>
        <w:pStyle w:val="FootnoteText"/>
      </w:pPr>
      <w:r w:rsidRPr="00EA4C9B">
        <w:rPr>
          <w:rStyle w:val="FootnoteReference"/>
        </w:rPr>
        <w:footnoteRef/>
      </w:r>
      <w:r w:rsidRPr="00EA4C9B">
        <w:t xml:space="preserve"> </w:t>
      </w:r>
      <w:r>
        <w:tab/>
      </w:r>
      <w:hyperlink r:id="rId171" w:history="1">
        <w:r w:rsidRPr="00EC31B9">
          <w:rPr>
            <w:rStyle w:val="Hyperlink"/>
          </w:rPr>
          <w:t>https://eulacfoundation.org/system/files/digital_library/2023-07/5d33734d-en.pdf</w:t>
        </w:r>
      </w:hyperlink>
      <w:r w:rsidRPr="00EA4C9B">
        <w:t xml:space="preserve"> </w:t>
      </w:r>
    </w:p>
  </w:footnote>
  <w:footnote w:id="260">
    <w:p w14:paraId="0CA96758" w14:textId="77777777" w:rsidR="005F54AD" w:rsidRPr="00EA4C9B" w:rsidRDefault="005F54AD" w:rsidP="005F54AD">
      <w:pPr>
        <w:pStyle w:val="FootnoteText"/>
      </w:pPr>
      <w:r w:rsidRPr="00EA4C9B">
        <w:rPr>
          <w:rStyle w:val="FootnoteReference"/>
        </w:rPr>
        <w:footnoteRef/>
      </w:r>
      <w:r w:rsidRPr="00EA4C9B">
        <w:t xml:space="preserve"> </w:t>
      </w:r>
      <w:r>
        <w:tab/>
      </w:r>
      <w:hyperlink r:id="rId172" w:history="1">
        <w:r w:rsidRPr="00EC31B9">
          <w:rPr>
            <w:rStyle w:val="Hyperlink"/>
          </w:rPr>
          <w:t>https://environment.ec.europa.eu/system/files/2021-10/Czech%20Republic.pdf</w:t>
        </w:r>
      </w:hyperlink>
      <w:r w:rsidRPr="00EA4C9B">
        <w:t xml:space="preserve"> </w:t>
      </w:r>
    </w:p>
  </w:footnote>
  <w:footnote w:id="261">
    <w:p w14:paraId="5E5C8D34" w14:textId="77777777" w:rsidR="005F54AD" w:rsidRPr="00EA4C9B" w:rsidRDefault="005F54AD" w:rsidP="005F54AD">
      <w:pPr>
        <w:pStyle w:val="FootnoteText"/>
      </w:pPr>
      <w:r w:rsidRPr="00EA4C9B">
        <w:rPr>
          <w:rStyle w:val="FootnoteReference"/>
        </w:rPr>
        <w:footnoteRef/>
      </w:r>
      <w:r w:rsidRPr="00EA4C9B">
        <w:t xml:space="preserve"> </w:t>
      </w:r>
      <w:r>
        <w:tab/>
      </w:r>
      <w:hyperlink r:id="rId173" w:history="1">
        <w:r w:rsidRPr="00EC31B9">
          <w:rPr>
            <w:rStyle w:val="Hyperlink"/>
          </w:rPr>
          <w:t>https://environment.ec.europa.eu/system/files/2021-10/Czech%20Republic.pdf</w:t>
        </w:r>
      </w:hyperlink>
      <w:r w:rsidRPr="00EA4C9B">
        <w:t xml:space="preserve"> </w:t>
      </w:r>
    </w:p>
  </w:footnote>
  <w:footnote w:id="262">
    <w:p w14:paraId="1FA1DA0F" w14:textId="77777777" w:rsidR="005F54AD" w:rsidRPr="00EA4C9B" w:rsidRDefault="005F54AD" w:rsidP="005F54AD">
      <w:pPr>
        <w:pStyle w:val="FootnoteText"/>
      </w:pPr>
      <w:r w:rsidRPr="00EA4C9B">
        <w:rPr>
          <w:rStyle w:val="FootnoteReference"/>
        </w:rPr>
        <w:footnoteRef/>
      </w:r>
      <w:r w:rsidRPr="00EA4C9B">
        <w:t xml:space="preserve"> </w:t>
      </w:r>
      <w:r>
        <w:tab/>
      </w:r>
      <w:hyperlink r:id="rId174" w:history="1">
        <w:r w:rsidRPr="00EC31B9">
          <w:rPr>
            <w:rStyle w:val="Hyperlink"/>
          </w:rPr>
          <w:t>https://environment.ec.europa.eu/system/files/2021-10/Czech%20Republic.pdf</w:t>
        </w:r>
      </w:hyperlink>
      <w:r w:rsidRPr="00EA4C9B">
        <w:t xml:space="preserve"> </w:t>
      </w:r>
    </w:p>
  </w:footnote>
  <w:footnote w:id="263">
    <w:p w14:paraId="4D164E51" w14:textId="77777777" w:rsidR="005F54AD" w:rsidRPr="00EA4C9B" w:rsidRDefault="005F54AD" w:rsidP="005F54AD">
      <w:pPr>
        <w:pStyle w:val="FootnoteText"/>
        <w:jc w:val="left"/>
      </w:pPr>
      <w:r w:rsidRPr="00EA4C9B">
        <w:rPr>
          <w:rStyle w:val="FootnoteReference"/>
        </w:rPr>
        <w:footnoteRef/>
      </w:r>
      <w:r w:rsidRPr="00EA4C9B">
        <w:t xml:space="preserve"> </w:t>
      </w:r>
      <w:r>
        <w:tab/>
      </w:r>
      <w:r w:rsidRPr="00EA4C9B">
        <w:t>https://wts.com/wts.com/publications/climate-protection-green-tax-energy/2024/wts-global-plastic-taxation-2024-updated.pdf#page=7</w:t>
      </w:r>
    </w:p>
  </w:footnote>
  <w:footnote w:id="264">
    <w:p w14:paraId="1E6CD344" w14:textId="2FFA2DD9" w:rsidR="008D21CA" w:rsidRPr="00FF544C" w:rsidRDefault="008D21CA" w:rsidP="008D21CA">
      <w:pPr>
        <w:pStyle w:val="FootnoteText"/>
        <w:rPr>
          <w:lang w:val="en-US"/>
        </w:rPr>
      </w:pPr>
      <w:r>
        <w:rPr>
          <w:rStyle w:val="FootnoteReference"/>
        </w:rPr>
        <w:footnoteRef/>
      </w:r>
      <w:r>
        <w:t xml:space="preserve"> </w:t>
      </w:r>
      <w:r w:rsidRPr="00BA0A05">
        <w:t>The comparison is expressed in real terms, meaning that figures are adjusted for inflation. The 2</w:t>
      </w:r>
      <w:r>
        <w:t>1</w:t>
      </w:r>
      <w:r w:rsidRPr="00BA0A05">
        <w:t>.</w:t>
      </w:r>
      <w:r>
        <w:t>6</w:t>
      </w:r>
      <w:r w:rsidRPr="00BA0A05">
        <w:t xml:space="preserve">%    </w:t>
      </w:r>
      <w:r>
        <w:t>decrease</w:t>
      </w:r>
      <w:r w:rsidRPr="00BA0A05">
        <w:t xml:space="preserve"> refers to </w:t>
      </w:r>
      <w:r w:rsidR="00C31B2C">
        <w:t>decline</w:t>
      </w:r>
      <w:r w:rsidRPr="00BA0A05">
        <w:t xml:space="preserve"> in constant prices over 2009–2023.</w:t>
      </w:r>
    </w:p>
  </w:footnote>
  <w:footnote w:id="265">
    <w:p w14:paraId="07FA418D" w14:textId="3D37F661" w:rsidR="00392FDA" w:rsidRPr="00EA4C9B" w:rsidRDefault="00392FDA" w:rsidP="00BC3E94">
      <w:pPr>
        <w:pStyle w:val="FootnoteText"/>
      </w:pPr>
      <w:r w:rsidRPr="00EA4C9B">
        <w:rPr>
          <w:rStyle w:val="FootnoteReference"/>
        </w:rPr>
        <w:footnoteRef/>
      </w:r>
      <w:r w:rsidR="00BC3E94">
        <w:t xml:space="preserve"> </w:t>
      </w:r>
      <w:r w:rsidRPr="00EA4C9B">
        <w:t xml:space="preserve">Many of the taxes listed here are named twice. Nonetheless, the total revenue from pollution, waste and </w:t>
      </w:r>
      <w:r w:rsidR="00BC3E94">
        <w:t xml:space="preserve">  </w:t>
      </w:r>
      <w:r w:rsidRPr="00EA4C9B">
        <w:t>resource s taxes detailed here, corresponds to the total revenue from RS/P taxes listed in Eurostat.</w:t>
      </w:r>
    </w:p>
  </w:footnote>
  <w:footnote w:id="266">
    <w:p w14:paraId="26B17080" w14:textId="55EF4BDD" w:rsidR="00392FDA" w:rsidRPr="00EA4C9B" w:rsidRDefault="00392FDA" w:rsidP="00392FDA">
      <w:pPr>
        <w:pStyle w:val="FootnoteText"/>
      </w:pPr>
      <w:r w:rsidRPr="00EA4C9B">
        <w:rPr>
          <w:rStyle w:val="FootnoteReference"/>
        </w:rPr>
        <w:footnoteRef/>
      </w:r>
      <w:r w:rsidRPr="00EA4C9B">
        <w:t xml:space="preserve"> </w:t>
      </w:r>
      <w:r w:rsidR="00BC3E94">
        <w:tab/>
      </w:r>
      <w:hyperlink r:id="rId175" w:history="1">
        <w:r w:rsidR="00BC3E94" w:rsidRPr="00EC31B9">
          <w:rPr>
            <w:rStyle w:val="Hyperlink"/>
          </w:rPr>
          <w:t>https://ieep.eu/publications/assessing-the-potential-for-environmental-fiscal-reform-in-the-eu-28/</w:t>
        </w:r>
      </w:hyperlink>
      <w:r w:rsidRPr="00EA4C9B">
        <w:t xml:space="preserve"> </w:t>
      </w:r>
    </w:p>
  </w:footnote>
  <w:footnote w:id="267">
    <w:p w14:paraId="0035B3C6" w14:textId="7A10E56C" w:rsidR="00392FDA" w:rsidRPr="00EA4C9B" w:rsidRDefault="00392FDA" w:rsidP="00BC3E94">
      <w:pPr>
        <w:pStyle w:val="FootnoteText"/>
        <w:jc w:val="left"/>
      </w:pPr>
      <w:r w:rsidRPr="00EA4C9B">
        <w:rPr>
          <w:rStyle w:val="FootnoteReference"/>
        </w:rPr>
        <w:footnoteRef/>
      </w:r>
      <w:r w:rsidRPr="00EA4C9B">
        <w:t xml:space="preserve"> </w:t>
      </w:r>
      <w:r w:rsidR="00BC3E94">
        <w:tab/>
      </w:r>
      <w:hyperlink r:id="rId176" w:history="1">
        <w:r w:rsidR="00BC3E94" w:rsidRPr="00EC31B9">
          <w:rPr>
            <w:rStyle w:val="Hyperlink"/>
          </w:rPr>
          <w:t>https://www.oecd.org/en/publications/oecd-environmental-performance-reviews-denmark-2019_1eeec492-en.html</w:t>
        </w:r>
      </w:hyperlink>
      <w:r w:rsidRPr="00EA4C9B">
        <w:t xml:space="preserve"> </w:t>
      </w:r>
    </w:p>
  </w:footnote>
  <w:footnote w:id="268">
    <w:p w14:paraId="273E5B2B" w14:textId="25A204FF" w:rsidR="00392FDA" w:rsidRPr="00EA4C9B" w:rsidRDefault="00392FDA" w:rsidP="00392FDA">
      <w:pPr>
        <w:pStyle w:val="FootnoteText"/>
      </w:pPr>
      <w:r w:rsidRPr="00EA4C9B">
        <w:rPr>
          <w:rStyle w:val="FootnoteReference"/>
        </w:rPr>
        <w:footnoteRef/>
      </w:r>
      <w:r w:rsidRPr="00EA4C9B">
        <w:t xml:space="preserve"> </w:t>
      </w:r>
      <w:r w:rsidR="00BC3E94">
        <w:tab/>
      </w:r>
      <w:hyperlink r:id="rId177" w:anchor="/tax-details?taxId=160&amp;versionDate=1735686000&amp;isEuro=true&amp;taxType=OTHER_INDIRECT" w:history="1">
        <w:r w:rsidRPr="00EA4C9B">
          <w:rPr>
            <w:rStyle w:val="Hyperlink"/>
          </w:rPr>
          <w:t>Taxes in Europe Database v4 - Indirect taxes - Other Indirect - 2025/01/01 - Rate(s) structure</w:t>
        </w:r>
      </w:hyperlink>
    </w:p>
  </w:footnote>
  <w:footnote w:id="269">
    <w:p w14:paraId="1E3C48DB" w14:textId="55F6B64B" w:rsidR="00392FDA" w:rsidRPr="00EA4C9B" w:rsidRDefault="00392FDA" w:rsidP="00392FDA">
      <w:pPr>
        <w:pStyle w:val="FootnoteText"/>
      </w:pPr>
      <w:r w:rsidRPr="00EA4C9B">
        <w:rPr>
          <w:rStyle w:val="FootnoteReference"/>
        </w:rPr>
        <w:footnoteRef/>
      </w:r>
      <w:r w:rsidRPr="00EA4C9B">
        <w:t xml:space="preserve"> </w:t>
      </w:r>
      <w:r w:rsidR="00BC3E94">
        <w:tab/>
      </w:r>
      <w:hyperlink r:id="rId178" w:history="1">
        <w:r w:rsidR="00BC3E94" w:rsidRPr="00EC31B9">
          <w:rPr>
            <w:rStyle w:val="Hyperlink"/>
          </w:rPr>
          <w:t>https://ieep.eu/publications/assessing-the-potential-for-environmental-fiscal-reform-in-the-eu-28/</w:t>
        </w:r>
      </w:hyperlink>
      <w:r w:rsidRPr="00EA4C9B">
        <w:t xml:space="preserve"> </w:t>
      </w:r>
    </w:p>
  </w:footnote>
  <w:footnote w:id="270">
    <w:p w14:paraId="09C3BF52" w14:textId="6E0ECC23" w:rsidR="00392FDA" w:rsidRPr="00EA4C9B" w:rsidRDefault="00392FDA" w:rsidP="00392FDA">
      <w:pPr>
        <w:pStyle w:val="FootnoteText"/>
      </w:pPr>
      <w:r w:rsidRPr="00EA4C9B">
        <w:rPr>
          <w:rStyle w:val="FootnoteReference"/>
        </w:rPr>
        <w:footnoteRef/>
      </w:r>
      <w:r w:rsidRPr="00EA4C9B">
        <w:t xml:space="preserve"> </w:t>
      </w:r>
      <w:r w:rsidR="00BC3E94">
        <w:tab/>
      </w:r>
      <w:hyperlink r:id="rId179" w:history="1">
        <w:r w:rsidR="00BC3E94" w:rsidRPr="00EC31B9">
          <w:rPr>
            <w:rStyle w:val="Hyperlink"/>
          </w:rPr>
          <w:t>https://ieep.eu/publications/assessing-the-potential-for-environmental-fiscal-reform-in-the-eu-28/</w:t>
        </w:r>
      </w:hyperlink>
      <w:r w:rsidRPr="00EA4C9B">
        <w:t xml:space="preserve"> </w:t>
      </w:r>
    </w:p>
  </w:footnote>
  <w:footnote w:id="271">
    <w:p w14:paraId="358F6463" w14:textId="78D3DF4D" w:rsidR="00392FDA" w:rsidRPr="00EA4C9B" w:rsidRDefault="00392FDA" w:rsidP="00392FDA">
      <w:pPr>
        <w:pStyle w:val="FootnoteText"/>
      </w:pPr>
      <w:r w:rsidRPr="00EA4C9B">
        <w:rPr>
          <w:rStyle w:val="FootnoteReference"/>
        </w:rPr>
        <w:footnoteRef/>
      </w:r>
      <w:r w:rsidRPr="00EA4C9B">
        <w:t xml:space="preserve"> </w:t>
      </w:r>
      <w:r w:rsidR="00BC3E94">
        <w:tab/>
      </w:r>
      <w:hyperlink r:id="rId180" w:history="1">
        <w:r w:rsidR="00BC3E94" w:rsidRPr="00EC31B9">
          <w:rPr>
            <w:rStyle w:val="Hyperlink"/>
          </w:rPr>
          <w:t>https://ieep.eu/publications/assessing-the-potential-for-environmental-fiscal-reform-in-the-eu-28/</w:t>
        </w:r>
      </w:hyperlink>
      <w:r w:rsidRPr="00EA4C9B">
        <w:t xml:space="preserve"> </w:t>
      </w:r>
    </w:p>
  </w:footnote>
  <w:footnote w:id="272">
    <w:p w14:paraId="590AFB43" w14:textId="5C42591C" w:rsidR="00392FDA" w:rsidRPr="00EA4C9B" w:rsidRDefault="00392FDA" w:rsidP="00BC3E94">
      <w:pPr>
        <w:pStyle w:val="FootnoteText"/>
        <w:jc w:val="left"/>
      </w:pPr>
      <w:r w:rsidRPr="00EA4C9B">
        <w:rPr>
          <w:rStyle w:val="FootnoteReference"/>
        </w:rPr>
        <w:footnoteRef/>
      </w:r>
      <w:r w:rsidRPr="00EA4C9B">
        <w:t xml:space="preserve"> </w:t>
      </w:r>
      <w:r w:rsidR="00BC3E94">
        <w:tab/>
      </w:r>
      <w:hyperlink r:id="rId181" w:history="1">
        <w:r w:rsidR="00BC3E94" w:rsidRPr="00EC31B9">
          <w:rPr>
            <w:rStyle w:val="Hyperlink"/>
          </w:rPr>
          <w:t>https://www.oecd.org/en/publications/oecd-environmental-performance-reviews-denmark-2019_1eeec492-en.html</w:t>
        </w:r>
      </w:hyperlink>
      <w:r w:rsidRPr="00EA4C9B">
        <w:t xml:space="preserve"> </w:t>
      </w:r>
    </w:p>
  </w:footnote>
  <w:footnote w:id="273">
    <w:p w14:paraId="22A07815" w14:textId="31396BCA" w:rsidR="00392FDA" w:rsidRPr="00EA4C9B" w:rsidRDefault="00392FDA" w:rsidP="00BC3E94">
      <w:pPr>
        <w:pStyle w:val="FootnoteText"/>
        <w:jc w:val="left"/>
      </w:pPr>
      <w:r w:rsidRPr="00EA4C9B">
        <w:rPr>
          <w:rStyle w:val="FootnoteReference"/>
        </w:rPr>
        <w:footnoteRef/>
      </w:r>
      <w:r w:rsidR="00BC3E94">
        <w:t xml:space="preserve"> </w:t>
      </w:r>
      <w:r w:rsidR="00BC3E94">
        <w:tab/>
      </w:r>
      <w:hyperlink r:id="rId182" w:history="1">
        <w:r w:rsidR="00BC3E94" w:rsidRPr="00EC31B9">
          <w:rPr>
            <w:rStyle w:val="Hyperlink"/>
          </w:rPr>
          <w:t>https://www.oecd.org/en/publications/oecd-environmental-performance-reviews-denmark-2019_1eeec492-en.html</w:t>
        </w:r>
      </w:hyperlink>
      <w:r w:rsidRPr="00EA4C9B">
        <w:t xml:space="preserve"> </w:t>
      </w:r>
    </w:p>
  </w:footnote>
  <w:footnote w:id="274">
    <w:p w14:paraId="012B8783" w14:textId="77786B7B" w:rsidR="00392FDA" w:rsidRPr="00EA4C9B" w:rsidRDefault="00392FDA" w:rsidP="00BC3E94">
      <w:pPr>
        <w:pStyle w:val="FootnoteText"/>
        <w:jc w:val="left"/>
      </w:pPr>
      <w:r w:rsidRPr="00EA4C9B">
        <w:rPr>
          <w:rStyle w:val="FootnoteReference"/>
        </w:rPr>
        <w:footnoteRef/>
      </w:r>
      <w:r w:rsidR="00BC3E94">
        <w:t xml:space="preserve"> </w:t>
      </w:r>
      <w:r w:rsidR="00BC3E94">
        <w:tab/>
      </w:r>
      <w:hyperlink r:id="rId183" w:history="1">
        <w:r w:rsidR="00DC28A0" w:rsidRPr="00EC31B9">
          <w:rPr>
            <w:rStyle w:val="Hyperlink"/>
          </w:rPr>
          <w:t>https://www.oecd.org/en/publications/oecd-environmental-performance-reviews-denmark-2019_1eeec492-en.html</w:t>
        </w:r>
      </w:hyperlink>
      <w:r w:rsidRPr="00EA4C9B">
        <w:t xml:space="preserve"> </w:t>
      </w:r>
    </w:p>
  </w:footnote>
  <w:footnote w:id="275">
    <w:p w14:paraId="275AFEE2" w14:textId="77777777" w:rsidR="00732707" w:rsidRPr="00EA4C9B" w:rsidRDefault="00732707" w:rsidP="00732707">
      <w:pPr>
        <w:pStyle w:val="FootnoteText"/>
        <w:jc w:val="left"/>
      </w:pPr>
      <w:r w:rsidRPr="00EA4C9B">
        <w:rPr>
          <w:rStyle w:val="FootnoteReference"/>
        </w:rPr>
        <w:footnoteRef/>
      </w:r>
      <w:r>
        <w:t xml:space="preserve"> </w:t>
      </w:r>
      <w:r>
        <w:tab/>
      </w:r>
      <w:hyperlink r:id="rId184" w:history="1">
        <w:r w:rsidRPr="00EC31B9">
          <w:rPr>
            <w:rStyle w:val="Hyperlink"/>
          </w:rPr>
          <w:t>https://www.oecd.org/en/publications/oecd-environmental-performance-reviews-denmark-2019_1eeec492-en.html</w:t>
        </w:r>
      </w:hyperlink>
    </w:p>
  </w:footnote>
  <w:footnote w:id="276">
    <w:p w14:paraId="68F0EC08" w14:textId="77777777" w:rsidR="00732707" w:rsidRPr="00EA4C9B" w:rsidRDefault="00732707" w:rsidP="00732707">
      <w:pPr>
        <w:pStyle w:val="FootnoteText"/>
        <w:jc w:val="left"/>
      </w:pPr>
      <w:r w:rsidRPr="00EA4C9B">
        <w:rPr>
          <w:rStyle w:val="FootnoteReference"/>
        </w:rPr>
        <w:footnoteRef/>
      </w:r>
      <w:r w:rsidRPr="00EA4C9B">
        <w:t xml:space="preserve"> </w:t>
      </w:r>
      <w:r>
        <w:tab/>
      </w:r>
      <w:hyperlink r:id="rId185" w:history="1">
        <w:r w:rsidRPr="00EC31B9">
          <w:rPr>
            <w:rStyle w:val="Hyperlink"/>
          </w:rPr>
          <w:t>https://ieep.eu/publications/assessing-the-potential-for-environmental-fiscal-reform-in-the-eu-28/</w:t>
        </w:r>
      </w:hyperlink>
      <w:r w:rsidRPr="00EA4C9B">
        <w:t xml:space="preserve"> </w:t>
      </w:r>
    </w:p>
  </w:footnote>
  <w:footnote w:id="277">
    <w:p w14:paraId="7D9BE2A1" w14:textId="77777777" w:rsidR="00732707" w:rsidRPr="00EA4C9B" w:rsidRDefault="00732707" w:rsidP="00732707">
      <w:pPr>
        <w:pStyle w:val="FootnoteText"/>
        <w:jc w:val="left"/>
      </w:pPr>
      <w:r w:rsidRPr="00EA4C9B">
        <w:rPr>
          <w:rStyle w:val="FootnoteReference"/>
        </w:rPr>
        <w:footnoteRef/>
      </w:r>
      <w:r w:rsidRPr="00EA4C9B">
        <w:t xml:space="preserve"> </w:t>
      </w:r>
      <w:r>
        <w:tab/>
      </w:r>
      <w:hyperlink r:id="rId186" w:history="1">
        <w:r w:rsidRPr="00EC31B9">
          <w:rPr>
            <w:rStyle w:val="Hyperlink"/>
          </w:rPr>
          <w:t>https://ieep.eu/publications/assessing-the-potential-for-environmental-fiscal-reform-in-the-eu-28/</w:t>
        </w:r>
      </w:hyperlink>
      <w:r w:rsidRPr="00EA4C9B">
        <w:t xml:space="preserve"> </w:t>
      </w:r>
    </w:p>
  </w:footnote>
  <w:footnote w:id="278">
    <w:p w14:paraId="60523C6A" w14:textId="77777777" w:rsidR="00732707" w:rsidRPr="00EA4C9B" w:rsidRDefault="00732707" w:rsidP="00732707">
      <w:pPr>
        <w:pStyle w:val="FootnoteText"/>
        <w:jc w:val="left"/>
      </w:pPr>
      <w:r w:rsidRPr="00EA4C9B">
        <w:rPr>
          <w:rStyle w:val="FootnoteReference"/>
        </w:rPr>
        <w:footnoteRef/>
      </w:r>
      <w:r>
        <w:t xml:space="preserve"> </w:t>
      </w:r>
      <w:r>
        <w:tab/>
      </w:r>
      <w:hyperlink r:id="rId187" w:history="1">
        <w:r w:rsidRPr="00EC31B9">
          <w:rPr>
            <w:rStyle w:val="Hyperlink"/>
          </w:rPr>
          <w:t>https://www.oecd.org/en/publications/oecd-environmental-performance-reviews-denmark-2019_1eeec492-en.html</w:t>
        </w:r>
      </w:hyperlink>
    </w:p>
  </w:footnote>
  <w:footnote w:id="279">
    <w:p w14:paraId="4DE486FF" w14:textId="77777777" w:rsidR="00732707" w:rsidRPr="00EA4C9B" w:rsidRDefault="00732707" w:rsidP="00732707">
      <w:pPr>
        <w:pStyle w:val="FootnoteText"/>
        <w:jc w:val="left"/>
      </w:pPr>
      <w:r w:rsidRPr="00EA4C9B">
        <w:rPr>
          <w:rStyle w:val="FootnoteReference"/>
        </w:rPr>
        <w:footnoteRef/>
      </w:r>
      <w:r w:rsidRPr="00EA4C9B">
        <w:t xml:space="preserve"> </w:t>
      </w:r>
      <w:r>
        <w:tab/>
      </w:r>
      <w:hyperlink r:id="rId188" w:history="1">
        <w:r w:rsidRPr="00EC31B9">
          <w:rPr>
            <w:rStyle w:val="Hyperlink"/>
          </w:rPr>
          <w:t>https://doi.org/10.1016/j.jenvman.2024.120868</w:t>
        </w:r>
      </w:hyperlink>
      <w:r w:rsidRPr="00EA4C9B">
        <w:t xml:space="preserve"> </w:t>
      </w:r>
    </w:p>
  </w:footnote>
  <w:footnote w:id="280">
    <w:p w14:paraId="531BD255" w14:textId="77777777" w:rsidR="00732707" w:rsidRPr="00EA4C9B" w:rsidRDefault="00732707" w:rsidP="00732707">
      <w:pPr>
        <w:pStyle w:val="FootnoteText"/>
        <w:ind w:left="0" w:firstLine="0"/>
        <w:jc w:val="left"/>
      </w:pPr>
      <w:r w:rsidRPr="00EA4C9B">
        <w:rPr>
          <w:rStyle w:val="FootnoteReference"/>
        </w:rPr>
        <w:footnoteRef/>
      </w:r>
      <w:r w:rsidRPr="00EA4C9B">
        <w:t xml:space="preserve"> </w:t>
      </w:r>
      <w:r>
        <w:t xml:space="preserve"> </w:t>
      </w:r>
      <w:hyperlink r:id="rId189" w:history="1">
        <w:r w:rsidRPr="00EC31B9">
          <w:rPr>
            <w:rStyle w:val="Hyperlink"/>
          </w:rPr>
          <w:t>https://ieep.eu/publications/assessing-the-potential-for-environmental-fiscal-reform-in-the-eu-28/</w:t>
        </w:r>
      </w:hyperlink>
      <w:r w:rsidRPr="00EA4C9B">
        <w:t xml:space="preserve"> </w:t>
      </w:r>
    </w:p>
  </w:footnote>
  <w:footnote w:id="281">
    <w:p w14:paraId="6D60DDB8" w14:textId="77777777" w:rsidR="00732707" w:rsidRPr="00EA4C9B" w:rsidRDefault="00732707" w:rsidP="00732707">
      <w:pPr>
        <w:pStyle w:val="FootnoteText"/>
        <w:jc w:val="left"/>
      </w:pPr>
      <w:r w:rsidRPr="00EA4C9B">
        <w:rPr>
          <w:rStyle w:val="FootnoteReference"/>
        </w:rPr>
        <w:footnoteRef/>
      </w:r>
      <w:r w:rsidRPr="00EA4C9B">
        <w:t xml:space="preserve"> </w:t>
      </w:r>
      <w:r>
        <w:tab/>
      </w:r>
      <w:hyperlink r:id="rId190" w:history="1">
        <w:r w:rsidRPr="00EC31B9">
          <w:rPr>
            <w:rStyle w:val="Hyperlink"/>
          </w:rPr>
          <w:t>https://www.oecd.org/en/publications/oecd-environmental-performance-reviews-denmark-2019_1eeec492-en.html</w:t>
        </w:r>
      </w:hyperlink>
    </w:p>
  </w:footnote>
  <w:footnote w:id="282">
    <w:p w14:paraId="7DFA63CF" w14:textId="2A0A4DDB" w:rsidR="00392FDA" w:rsidRPr="00EA4C9B" w:rsidRDefault="00392FDA" w:rsidP="00DC28A0">
      <w:pPr>
        <w:pStyle w:val="FootnoteText"/>
        <w:jc w:val="left"/>
      </w:pPr>
      <w:r w:rsidRPr="00EA4C9B">
        <w:rPr>
          <w:rStyle w:val="FootnoteReference"/>
        </w:rPr>
        <w:footnoteRef/>
      </w:r>
      <w:r w:rsidR="00DC28A0">
        <w:t xml:space="preserve"> </w:t>
      </w:r>
      <w:r w:rsidR="00DC28A0">
        <w:tab/>
      </w:r>
      <w:hyperlink r:id="rId191" w:history="1">
        <w:r w:rsidR="00DC28A0" w:rsidRPr="00EC31B9">
          <w:rPr>
            <w:rStyle w:val="Hyperlink"/>
          </w:rPr>
          <w:t>https://www.oecd.org/en/publications/oecd-environmental-performance-reviews-denmark-2019_1eeec492-en.html</w:t>
        </w:r>
      </w:hyperlink>
      <w:r w:rsidRPr="00EA4C9B">
        <w:t xml:space="preserve"> </w:t>
      </w:r>
    </w:p>
  </w:footnote>
  <w:footnote w:id="283">
    <w:p w14:paraId="09D3F763" w14:textId="467571BC" w:rsidR="00392FDA" w:rsidRPr="00EA4C9B" w:rsidRDefault="00392FDA" w:rsidP="00DC28A0">
      <w:pPr>
        <w:pStyle w:val="FootnoteText"/>
        <w:jc w:val="left"/>
      </w:pPr>
      <w:r w:rsidRPr="00EA4C9B">
        <w:rPr>
          <w:rStyle w:val="FootnoteReference"/>
        </w:rPr>
        <w:footnoteRef/>
      </w:r>
      <w:r w:rsidR="00DC28A0">
        <w:t xml:space="preserve"> </w:t>
      </w:r>
      <w:r w:rsidR="00DC28A0">
        <w:tab/>
      </w:r>
      <w:hyperlink r:id="rId192" w:history="1">
        <w:r w:rsidR="00DC28A0" w:rsidRPr="00EC31B9">
          <w:rPr>
            <w:rStyle w:val="Hyperlink"/>
          </w:rPr>
          <w:t>https://www.oecd.org/en/publications/oecd-environmental-performance-reviews-denmark-2019_1eeec492-en.html</w:t>
        </w:r>
      </w:hyperlink>
      <w:r w:rsidRPr="00EA4C9B">
        <w:t xml:space="preserve"> </w:t>
      </w:r>
    </w:p>
  </w:footnote>
  <w:footnote w:id="284">
    <w:p w14:paraId="23C6414C" w14:textId="12431D1D" w:rsidR="00392FDA" w:rsidRPr="00EA4C9B" w:rsidRDefault="00392FDA" w:rsidP="00392FDA">
      <w:pPr>
        <w:pStyle w:val="FootnoteText"/>
      </w:pPr>
      <w:r w:rsidRPr="00EA4C9B">
        <w:rPr>
          <w:rStyle w:val="FootnoteReference"/>
        </w:rPr>
        <w:footnoteRef/>
      </w:r>
      <w:r w:rsidRPr="00EA4C9B">
        <w:t xml:space="preserve"> </w:t>
      </w:r>
      <w:r w:rsidR="00DC28A0">
        <w:tab/>
      </w:r>
      <w:hyperlink r:id="rId193" w:history="1">
        <w:r w:rsidR="00DC28A0" w:rsidRPr="00EC31B9">
          <w:rPr>
            <w:rStyle w:val="Hyperlink"/>
          </w:rPr>
          <w:t>https://ieep.eu/publications/assessing-the-potential-for-environmental-fiscal-reform-in-the-eu-28/</w:t>
        </w:r>
      </w:hyperlink>
      <w:r w:rsidRPr="00EA4C9B">
        <w:t xml:space="preserve"> </w:t>
      </w:r>
    </w:p>
  </w:footnote>
  <w:footnote w:id="285">
    <w:p w14:paraId="5962B5C6" w14:textId="20379C1E" w:rsidR="00392FDA" w:rsidRPr="00EA4C9B" w:rsidRDefault="00392FDA" w:rsidP="00DC28A0">
      <w:pPr>
        <w:pStyle w:val="FootnoteText"/>
        <w:jc w:val="left"/>
      </w:pPr>
      <w:r w:rsidRPr="00EA4C9B">
        <w:rPr>
          <w:rStyle w:val="FootnoteReference"/>
        </w:rPr>
        <w:footnoteRef/>
      </w:r>
      <w:r w:rsidRPr="00EA4C9B">
        <w:t xml:space="preserve"> </w:t>
      </w:r>
      <w:r w:rsidR="006C44D1">
        <w:tab/>
      </w:r>
      <w:hyperlink r:id="rId194" w:history="1">
        <w:r w:rsidR="006C44D1" w:rsidRPr="00EC31B9">
          <w:rPr>
            <w:rStyle w:val="Hyperlink"/>
          </w:rPr>
          <w:t>https://skm.dk/media/tngh1b4r/green-tax-reform-final-report.pdf</w:t>
        </w:r>
      </w:hyperlink>
      <w:r w:rsidRPr="00EA4C9B">
        <w:t xml:space="preserve"> </w:t>
      </w:r>
    </w:p>
  </w:footnote>
  <w:footnote w:id="286">
    <w:p w14:paraId="64C90AB9" w14:textId="27AADC68" w:rsidR="00392FDA" w:rsidRPr="00EA4C9B" w:rsidRDefault="00392FDA" w:rsidP="006C44D1">
      <w:pPr>
        <w:pStyle w:val="FootnoteText"/>
        <w:jc w:val="left"/>
      </w:pPr>
      <w:r w:rsidRPr="00EA4C9B">
        <w:rPr>
          <w:rStyle w:val="FootnoteReference"/>
        </w:rPr>
        <w:footnoteRef/>
      </w:r>
      <w:r w:rsidR="006C44D1">
        <w:t xml:space="preserve"> </w:t>
      </w:r>
      <w:r w:rsidR="006C44D1">
        <w:tab/>
      </w:r>
      <w:hyperlink r:id="rId195" w:history="1">
        <w:r w:rsidR="006C44D1" w:rsidRPr="00EC31B9">
          <w:rPr>
            <w:rStyle w:val="Hyperlink"/>
          </w:rPr>
          <w:t>https://www.oecd.org/en/publications/oecd-environmental-performance-reviews-denmark-2019_1eeec492-en.html</w:t>
        </w:r>
      </w:hyperlink>
      <w:r w:rsidRPr="00EA4C9B">
        <w:t xml:space="preserve"> </w:t>
      </w:r>
    </w:p>
  </w:footnote>
  <w:footnote w:id="287">
    <w:p w14:paraId="0FAD5A24" w14:textId="77777777" w:rsidR="00392FDA" w:rsidRPr="00EA4C9B" w:rsidRDefault="00392FDA" w:rsidP="00392FDA">
      <w:pPr>
        <w:pStyle w:val="FootnoteText"/>
      </w:pPr>
      <w:r w:rsidRPr="00EA4C9B">
        <w:rPr>
          <w:rStyle w:val="FootnoteReference"/>
        </w:rPr>
        <w:footnoteRef/>
      </w:r>
      <w:r w:rsidRPr="00EA4C9B">
        <w:t xml:space="preserve"> </w:t>
      </w:r>
      <w:hyperlink r:id="rId196" w:history="1">
        <w:r w:rsidRPr="00EA4C9B">
          <w:rPr>
            <w:rStyle w:val="Hyperlink"/>
          </w:rPr>
          <w:t>COMMISSION STAFF WORKING DOCUMENT 2024 Country Report - Denmark Accompanying the document Recommendation for a COUNCIL RECOMMENDATION on the economic, social, employment, structural and budgetary policies of Denmark - Publications Office of the EU</w:t>
        </w:r>
      </w:hyperlink>
    </w:p>
  </w:footnote>
  <w:footnote w:id="288">
    <w:p w14:paraId="0867BF05" w14:textId="568C6A66" w:rsidR="00392FDA" w:rsidRPr="00EA4C9B" w:rsidRDefault="00392FDA" w:rsidP="006C44D1">
      <w:pPr>
        <w:pStyle w:val="FootnoteText"/>
        <w:jc w:val="left"/>
      </w:pPr>
      <w:r w:rsidRPr="00EA4C9B">
        <w:rPr>
          <w:rStyle w:val="FootnoteReference"/>
        </w:rPr>
        <w:footnoteRef/>
      </w:r>
      <w:r w:rsidRPr="00EA4C9B">
        <w:t xml:space="preserve"> </w:t>
      </w:r>
      <w:r w:rsidR="006C44D1">
        <w:tab/>
      </w:r>
      <w:hyperlink r:id="rId197" w:history="1">
        <w:r w:rsidR="006C44D1" w:rsidRPr="00EC31B9">
          <w:rPr>
            <w:rStyle w:val="Hyperlink"/>
          </w:rPr>
          <w:t>https://ieep.eu/publications/assessing-the-potential-for-environmental-fiscal-reform-in-the-eu-28/</w:t>
        </w:r>
      </w:hyperlink>
      <w:r w:rsidRPr="00EA4C9B">
        <w:t xml:space="preserve"> </w:t>
      </w:r>
    </w:p>
  </w:footnote>
  <w:footnote w:id="289">
    <w:p w14:paraId="0F17CF2D" w14:textId="579E4072" w:rsidR="00392FDA" w:rsidRPr="00EA4C9B" w:rsidRDefault="00392FDA" w:rsidP="006C44D1">
      <w:pPr>
        <w:pStyle w:val="FootnoteText"/>
        <w:jc w:val="left"/>
      </w:pPr>
      <w:r w:rsidRPr="00EA4C9B">
        <w:rPr>
          <w:rStyle w:val="FootnoteReference"/>
        </w:rPr>
        <w:footnoteRef/>
      </w:r>
      <w:r w:rsidRPr="00EA4C9B">
        <w:t xml:space="preserve"> </w:t>
      </w:r>
      <w:r w:rsidR="006C44D1">
        <w:tab/>
      </w:r>
      <w:hyperlink r:id="rId198" w:history="1">
        <w:r w:rsidR="006C44D1" w:rsidRPr="00EC31B9">
          <w:rPr>
            <w:rStyle w:val="Hyperlink"/>
          </w:rPr>
          <w:t>https://ieep.eu/publications/assessing-the-potential-for-environmental-fiscal-reform-in-the-eu-28/</w:t>
        </w:r>
      </w:hyperlink>
      <w:r w:rsidRPr="00EA4C9B">
        <w:t xml:space="preserve">  </w:t>
      </w:r>
    </w:p>
  </w:footnote>
  <w:footnote w:id="290">
    <w:p w14:paraId="1F73B935" w14:textId="3E796EC4" w:rsidR="00392FDA" w:rsidRPr="00EA4C9B" w:rsidRDefault="00392FDA" w:rsidP="006C44D1">
      <w:pPr>
        <w:pStyle w:val="FootnoteText"/>
        <w:jc w:val="left"/>
      </w:pPr>
      <w:r w:rsidRPr="00EA4C9B">
        <w:rPr>
          <w:rStyle w:val="FootnoteReference"/>
        </w:rPr>
        <w:footnoteRef/>
      </w:r>
      <w:r w:rsidR="000E794E">
        <w:t xml:space="preserve"> </w:t>
      </w:r>
      <w:r w:rsidR="000E794E">
        <w:tab/>
      </w:r>
      <w:hyperlink r:id="rId199" w:history="1">
        <w:r w:rsidR="000E794E" w:rsidRPr="00EC31B9">
          <w:rPr>
            <w:rStyle w:val="Hyperlink"/>
          </w:rPr>
          <w:t>https://op.europa.eu/en/publication-detail/-/publication/2ac39da4-2e57-11ef-a61b-01aa75ed71a1/language-en</w:t>
        </w:r>
      </w:hyperlink>
      <w:r w:rsidRPr="00EA4C9B">
        <w:t xml:space="preserve"> </w:t>
      </w:r>
    </w:p>
  </w:footnote>
  <w:footnote w:id="291">
    <w:p w14:paraId="3594E126" w14:textId="49015A52" w:rsidR="00392FDA" w:rsidRPr="00EA4C9B" w:rsidRDefault="00392FDA" w:rsidP="000E794E">
      <w:pPr>
        <w:pStyle w:val="FootnoteText"/>
        <w:jc w:val="left"/>
      </w:pPr>
      <w:r w:rsidRPr="00EA4C9B">
        <w:rPr>
          <w:rStyle w:val="FootnoteReference"/>
        </w:rPr>
        <w:footnoteRef/>
      </w:r>
      <w:r w:rsidR="000E794E">
        <w:t xml:space="preserve"> </w:t>
      </w:r>
      <w:r w:rsidR="000E794E">
        <w:tab/>
      </w:r>
      <w:hyperlink r:id="rId200" w:history="1">
        <w:r w:rsidR="000E794E" w:rsidRPr="00EC31B9">
          <w:rPr>
            <w:rStyle w:val="Hyperlink"/>
          </w:rPr>
          <w:t>https://www.oecd.org/en/publications/oecd-environmental-performance-reviews-denmark-2019_1eeec492-en.html</w:t>
        </w:r>
      </w:hyperlink>
      <w:r w:rsidRPr="00EA4C9B">
        <w:t xml:space="preserve"> </w:t>
      </w:r>
    </w:p>
  </w:footnote>
  <w:footnote w:id="292">
    <w:p w14:paraId="2B8E3FCE" w14:textId="2F655262" w:rsidR="00392FDA" w:rsidRPr="00EA4C9B" w:rsidRDefault="00392FDA" w:rsidP="000E794E">
      <w:pPr>
        <w:pStyle w:val="FootnoteText"/>
        <w:jc w:val="left"/>
      </w:pPr>
      <w:r w:rsidRPr="00EA4C9B">
        <w:rPr>
          <w:rStyle w:val="FootnoteReference"/>
        </w:rPr>
        <w:footnoteRef/>
      </w:r>
      <w:r w:rsidR="000E794E">
        <w:t xml:space="preserve"> </w:t>
      </w:r>
      <w:r w:rsidR="000E794E">
        <w:tab/>
      </w:r>
      <w:hyperlink r:id="rId201" w:history="1">
        <w:r w:rsidR="000E794E" w:rsidRPr="00EC31B9">
          <w:rPr>
            <w:rStyle w:val="Hyperlink"/>
          </w:rPr>
          <w:t>https://www.oecd.org/en/publications/oecd-environmental-performance-reviews-denmark-2019_1eeec492-en.html</w:t>
        </w:r>
      </w:hyperlink>
      <w:r w:rsidRPr="00EA4C9B">
        <w:t xml:space="preserve"> </w:t>
      </w:r>
    </w:p>
  </w:footnote>
  <w:footnote w:id="293">
    <w:p w14:paraId="0B3282E1" w14:textId="70787BBD" w:rsidR="00392FDA" w:rsidRPr="00EA4C9B" w:rsidRDefault="00392FDA" w:rsidP="000E794E">
      <w:pPr>
        <w:pStyle w:val="FootnoteText"/>
        <w:jc w:val="left"/>
      </w:pPr>
      <w:r w:rsidRPr="00EA4C9B">
        <w:rPr>
          <w:rStyle w:val="FootnoteReference"/>
        </w:rPr>
        <w:footnoteRef/>
      </w:r>
      <w:r w:rsidR="000E794E">
        <w:t xml:space="preserve"> </w:t>
      </w:r>
      <w:r w:rsidR="000E794E">
        <w:tab/>
      </w:r>
      <w:hyperlink r:id="rId202" w:history="1">
        <w:r w:rsidR="000E794E" w:rsidRPr="00EC31B9">
          <w:rPr>
            <w:rStyle w:val="Hyperlink"/>
          </w:rPr>
          <w:t>https://commission.europa.eu/document/download/76974591-</w:t>
        </w:r>
        <w:r w:rsidR="00490085">
          <w:rPr>
            <w:rStyle w:val="Hyperlink"/>
          </w:rPr>
          <w:t>A6</w:t>
        </w:r>
        <w:r w:rsidR="000E794E" w:rsidRPr="00EC31B9">
          <w:rPr>
            <w:rStyle w:val="Hyperlink"/>
          </w:rPr>
          <w:t>7c-4eaa-8d5d-20a011009c9b_en?filename=com_2024_605_1_en.pdf</w:t>
        </w:r>
      </w:hyperlink>
      <w:r w:rsidRPr="00EA4C9B">
        <w:t xml:space="preserve"> </w:t>
      </w:r>
    </w:p>
  </w:footnote>
  <w:footnote w:id="294">
    <w:p w14:paraId="2BD39854" w14:textId="1938EF78" w:rsidR="00392FDA" w:rsidRPr="00EA4C9B" w:rsidRDefault="00392FDA" w:rsidP="000E794E">
      <w:pPr>
        <w:pStyle w:val="FootnoteText"/>
        <w:jc w:val="left"/>
      </w:pPr>
      <w:r w:rsidRPr="00EA4C9B">
        <w:rPr>
          <w:rStyle w:val="FootnoteReference"/>
        </w:rPr>
        <w:footnoteRef/>
      </w:r>
      <w:r w:rsidR="000E794E">
        <w:t xml:space="preserve"> </w:t>
      </w:r>
      <w:r w:rsidR="000E794E">
        <w:tab/>
      </w:r>
      <w:hyperlink r:id="rId203" w:history="1">
        <w:r w:rsidR="000E794E" w:rsidRPr="00EC31B9">
          <w:rPr>
            <w:rStyle w:val="Hyperlink"/>
          </w:rPr>
          <w:t>https://op.europa.eu/en/publication-detail/-/publication/2ac39da4-2e57-11ef-a61b-01aa75ed71a1/language-en</w:t>
        </w:r>
      </w:hyperlink>
      <w:r w:rsidRPr="00EA4C9B">
        <w:t xml:space="preserve"> </w:t>
      </w:r>
    </w:p>
  </w:footnote>
  <w:footnote w:id="295">
    <w:p w14:paraId="6F8796E5" w14:textId="1366BD3A" w:rsidR="00392FDA" w:rsidRPr="00EA4C9B" w:rsidRDefault="00392FDA" w:rsidP="000E794E">
      <w:pPr>
        <w:pStyle w:val="FootnoteText"/>
        <w:jc w:val="left"/>
      </w:pPr>
      <w:r w:rsidRPr="00EA4C9B">
        <w:rPr>
          <w:rStyle w:val="FootnoteReference"/>
        </w:rPr>
        <w:footnoteRef/>
      </w:r>
      <w:r w:rsidRPr="00EA4C9B">
        <w:t xml:space="preserve"> </w:t>
      </w:r>
      <w:r w:rsidR="000E794E">
        <w:tab/>
      </w:r>
      <w:hyperlink r:id="rId204" w:history="1">
        <w:r w:rsidR="000E794E" w:rsidRPr="00EC31B9">
          <w:rPr>
            <w:rStyle w:val="Hyperlink"/>
          </w:rPr>
          <w:t>https://skm.dk/media/aupa0hkn/green-tax-reform-first-interim-report.pdf</w:t>
        </w:r>
      </w:hyperlink>
      <w:r w:rsidRPr="00EA4C9B">
        <w:t xml:space="preserve"> </w:t>
      </w:r>
    </w:p>
  </w:footnote>
  <w:footnote w:id="296">
    <w:p w14:paraId="3FB4BADD" w14:textId="52548ACF" w:rsidR="00392FDA" w:rsidRPr="001F61F7" w:rsidRDefault="001F61F7">
      <w:pPr>
        <w:pStyle w:val="FootnoteText"/>
        <w:rPr>
          <w:lang w:val="en-US"/>
        </w:rPr>
      </w:pPr>
      <w:r>
        <w:rPr>
          <w:rStyle w:val="FootnoteReference"/>
        </w:rPr>
        <w:footnoteRef/>
      </w:r>
      <w:r>
        <w:t xml:space="preserve"> </w:t>
      </w:r>
      <w:hyperlink r:id="rId205">
        <w:r w:rsidR="00392FDA" w:rsidRPr="00EA4C9B">
          <w:rPr>
            <w:rStyle w:val="Hyperlink"/>
          </w:rPr>
          <w:t>Recommendation for a COUNCIL RECOMMENDATION on the economic, social, employment, structural and budgetary policies of Denmark - Publications Office of the EU</w:t>
        </w:r>
      </w:hyperlink>
    </w:p>
  </w:footnote>
  <w:footnote w:id="297">
    <w:p w14:paraId="13718AE0" w14:textId="44C87555" w:rsidR="00392FDA" w:rsidRPr="004F0767" w:rsidRDefault="00392FDA" w:rsidP="000E794E">
      <w:pPr>
        <w:pStyle w:val="FootnoteText"/>
        <w:jc w:val="left"/>
        <w:rPr>
          <w:lang w:val="es-ES"/>
        </w:rPr>
      </w:pPr>
      <w:r w:rsidRPr="00EA4C9B">
        <w:rPr>
          <w:rStyle w:val="FootnoteReference"/>
        </w:rPr>
        <w:footnoteRef/>
      </w:r>
      <w:r w:rsidRPr="004F0767">
        <w:rPr>
          <w:lang w:val="es-ES"/>
        </w:rPr>
        <w:t xml:space="preserve"> </w:t>
      </w:r>
      <w:r w:rsidR="004461A2" w:rsidRPr="004F0767">
        <w:rPr>
          <w:lang w:val="es-ES"/>
        </w:rPr>
        <w:tab/>
      </w:r>
      <w:hyperlink r:id="rId206">
        <w:r w:rsidRPr="004F0767">
          <w:rPr>
            <w:rStyle w:val="Hyperlink"/>
            <w:lang w:val="es-ES"/>
          </w:rPr>
          <w:t>1273b8a0-2c62-40d3-a942-2775deb13fae_en</w:t>
        </w:r>
      </w:hyperlink>
    </w:p>
  </w:footnote>
  <w:footnote w:id="298">
    <w:p w14:paraId="05E97E02" w14:textId="05E52216" w:rsidR="00392FDA" w:rsidRPr="004F0767" w:rsidRDefault="00392FDA" w:rsidP="001F61F7">
      <w:pPr>
        <w:pStyle w:val="FootnoteText"/>
        <w:jc w:val="left"/>
        <w:rPr>
          <w:lang w:val="es-ES"/>
        </w:rPr>
      </w:pPr>
      <w:r w:rsidRPr="00EA4C9B">
        <w:rPr>
          <w:rStyle w:val="FootnoteReference"/>
        </w:rPr>
        <w:footnoteRef/>
      </w:r>
      <w:r w:rsidRPr="004F0767">
        <w:rPr>
          <w:lang w:val="es-ES"/>
        </w:rPr>
        <w:t xml:space="preserve"> </w:t>
      </w:r>
      <w:r w:rsidR="001F61F7" w:rsidRPr="004F0767">
        <w:rPr>
          <w:lang w:val="es-ES"/>
        </w:rPr>
        <w:tab/>
      </w:r>
      <w:hyperlink r:id="rId207" w:anchor=":~:text=Denmark%20will%20tax%20livestock%20farmers%20for%20the%20greenhouse,gas%20emissions%20and%20their%20contribution%20to%20global%20warming" w:history="1">
        <w:r w:rsidR="001F61F7" w:rsidRPr="004F0767">
          <w:rPr>
            <w:rStyle w:val="Hyperlink"/>
            <w:lang w:val="es-ES"/>
          </w:rPr>
          <w:t>https://www.mfat.govt.nz/en/trade/mfat-market-reports/a-green-denmark-first-country-to-tax-agricultural-emissions-november-2024#:~:text=Denmark%20will%20tax%20livestock%20farmers%20for%20the%20greenhouse,gas%20emissions%20and%20their%20contribution%20to%20global%20warming</w:t>
        </w:r>
      </w:hyperlink>
    </w:p>
  </w:footnote>
  <w:footnote w:id="299">
    <w:p w14:paraId="6993C2E7" w14:textId="03153BB5" w:rsidR="00392FDA" w:rsidRPr="004F0767" w:rsidRDefault="00392FDA" w:rsidP="001F61F7">
      <w:pPr>
        <w:pStyle w:val="FootnoteText"/>
        <w:jc w:val="left"/>
        <w:rPr>
          <w:lang w:val="es-ES"/>
        </w:rPr>
      </w:pPr>
      <w:r w:rsidRPr="00EA4C9B">
        <w:rPr>
          <w:rStyle w:val="FootnoteReference"/>
        </w:rPr>
        <w:footnoteRef/>
      </w:r>
      <w:r w:rsidR="001F61F7" w:rsidRPr="004F0767">
        <w:rPr>
          <w:lang w:val="es-ES"/>
        </w:rPr>
        <w:t xml:space="preserve"> </w:t>
      </w:r>
      <w:r w:rsidR="001F61F7" w:rsidRPr="004F0767">
        <w:rPr>
          <w:lang w:val="es-ES"/>
        </w:rPr>
        <w:tab/>
      </w:r>
      <w:hyperlink r:id="rId208" w:history="1">
        <w:r w:rsidR="001F61F7" w:rsidRPr="004F0767">
          <w:rPr>
            <w:rStyle w:val="Hyperlink"/>
            <w:lang w:val="es-ES"/>
          </w:rPr>
          <w:t>https://www.imf.org/en/Publications/WP/Issues/2020/11/12/Climate-Mitigation-Policy-in-Denmark-A-Prototype-for-Other-Countries-49882</w:t>
        </w:r>
      </w:hyperlink>
      <w:r w:rsidRPr="004F0767">
        <w:rPr>
          <w:lang w:val="es-ES"/>
        </w:rPr>
        <w:t xml:space="preserve"> </w:t>
      </w:r>
    </w:p>
  </w:footnote>
  <w:footnote w:id="300">
    <w:p w14:paraId="50945FD4" w14:textId="25D467CB" w:rsidR="008B613E" w:rsidRDefault="008B613E">
      <w:pPr>
        <w:pStyle w:val="FootnoteText"/>
      </w:pPr>
      <w:r>
        <w:rPr>
          <w:rStyle w:val="FootnoteReference"/>
        </w:rPr>
        <w:footnoteRef/>
      </w:r>
      <w:r>
        <w:t xml:space="preserve"> </w:t>
      </w:r>
      <w:r w:rsidR="00357B5A">
        <w:tab/>
        <w:t xml:space="preserve">Ekspertgruppen for en Grøn Skattereform (2024). Green Tax Reform. Available at: </w:t>
      </w:r>
      <w:hyperlink r:id="rId209" w:history="1">
        <w:r w:rsidR="00357B5A" w:rsidRPr="009E695E">
          <w:rPr>
            <w:rStyle w:val="Hyperlink"/>
          </w:rPr>
          <w:t>https://skm.dk/media/tngh1b4r/green-tax-reform-final-report.pdf</w:t>
        </w:r>
      </w:hyperlink>
      <w:r w:rsidR="00357B5A">
        <w:t xml:space="preserve"> </w:t>
      </w:r>
    </w:p>
  </w:footnote>
  <w:footnote w:id="301">
    <w:p w14:paraId="64A91040" w14:textId="0D38EBE8" w:rsidR="00392FDA" w:rsidRPr="004F0767" w:rsidRDefault="00392FDA" w:rsidP="00392FDA">
      <w:pPr>
        <w:pStyle w:val="FootnoteText"/>
        <w:rPr>
          <w:lang w:val="es-ES"/>
        </w:rPr>
      </w:pPr>
      <w:r w:rsidRPr="00EA4C9B">
        <w:rPr>
          <w:rStyle w:val="FootnoteReference"/>
        </w:rPr>
        <w:footnoteRef/>
      </w:r>
      <w:r w:rsidRPr="004F0767">
        <w:rPr>
          <w:lang w:val="es-ES"/>
        </w:rPr>
        <w:t xml:space="preserve"> </w:t>
      </w:r>
      <w:r w:rsidR="001F61F7" w:rsidRPr="004F0767">
        <w:rPr>
          <w:lang w:val="es-ES"/>
        </w:rPr>
        <w:tab/>
      </w:r>
      <w:hyperlink r:id="rId210" w:history="1">
        <w:r w:rsidR="001F61F7" w:rsidRPr="004F0767">
          <w:rPr>
            <w:rStyle w:val="Hyperlink"/>
            <w:lang w:val="es-ES"/>
          </w:rPr>
          <w:t>https://www.dmu.dk/Pub/COMETR_Summary_Report.pdf</w:t>
        </w:r>
      </w:hyperlink>
      <w:r w:rsidRPr="004F0767">
        <w:rPr>
          <w:lang w:val="es-ES"/>
        </w:rPr>
        <w:t xml:space="preserve"> </w:t>
      </w:r>
    </w:p>
  </w:footnote>
  <w:footnote w:id="302">
    <w:p w14:paraId="33B9BB80" w14:textId="62D8BE9E" w:rsidR="00E60D3D" w:rsidRDefault="00E60D3D">
      <w:pPr>
        <w:pStyle w:val="FootnoteText"/>
      </w:pPr>
      <w:r>
        <w:rPr>
          <w:rStyle w:val="FootnoteReference"/>
        </w:rPr>
        <w:footnoteRef/>
      </w:r>
      <w:r>
        <w:t xml:space="preserve"> </w:t>
      </w:r>
      <w:r>
        <w:tab/>
      </w:r>
      <w:r w:rsidRPr="00E60D3D">
        <w:t>See, for example, OECD (2019), Taxing Energy Use 2019, which highlights the role of transparency and earmarking in public acceptance of environmental taxes; and European Commission (2021), Public Support for Environmental Taxation, Eurobarometer 501, showing that citizens’ acceptance depends strongly on fairness perceptions and how revenues are used.</w:t>
      </w:r>
    </w:p>
  </w:footnote>
  <w:footnote w:id="303">
    <w:p w14:paraId="2A640F5F" w14:textId="77777777" w:rsidR="00753273" w:rsidRPr="00EC07DE" w:rsidRDefault="00753273" w:rsidP="00753273">
      <w:pPr>
        <w:pStyle w:val="FootnoteText"/>
        <w:ind w:left="0" w:firstLine="0"/>
        <w:rPr>
          <w:lang w:val="en-US"/>
        </w:rPr>
      </w:pPr>
    </w:p>
  </w:footnote>
  <w:footnote w:id="304">
    <w:p w14:paraId="26AEAA66" w14:textId="77777777" w:rsidR="00D65B08" w:rsidRPr="00EA4C9B" w:rsidRDefault="00D65B08" w:rsidP="00D65B08">
      <w:pPr>
        <w:pStyle w:val="FootnoteText"/>
      </w:pPr>
      <w:r w:rsidRPr="00EA4C9B">
        <w:rPr>
          <w:rStyle w:val="FootnoteReference"/>
        </w:rPr>
        <w:footnoteRef/>
      </w:r>
      <w:r w:rsidRPr="00EA4C9B">
        <w:t xml:space="preserve"> </w:t>
      </w:r>
      <w:r>
        <w:tab/>
      </w:r>
      <w:r w:rsidRPr="001F61F7">
        <w:t xml:space="preserve">European Commission. 2025. 2025 European Semester: Country Specific Recommendation / Commission Recommendation – Estonia. </w:t>
      </w:r>
      <w:hyperlink r:id="rId211" w:history="1">
        <w:r w:rsidRPr="001F61F7">
          <w:rPr>
            <w:rStyle w:val="Hyperlink"/>
          </w:rPr>
          <w:t>771b483b-1bd0-4b5c-8d6a-624a4fd11050_en</w:t>
        </w:r>
      </w:hyperlink>
    </w:p>
  </w:footnote>
  <w:footnote w:id="305">
    <w:p w14:paraId="7D184629" w14:textId="158236BC" w:rsidR="00B65785" w:rsidRPr="00B65785" w:rsidRDefault="00B65785">
      <w:pPr>
        <w:pStyle w:val="FootnoteText"/>
        <w:rPr>
          <w:lang w:val="lt-LT"/>
        </w:rPr>
      </w:pPr>
      <w:r>
        <w:rPr>
          <w:rStyle w:val="FootnoteReference"/>
        </w:rPr>
        <w:footnoteRef/>
      </w:r>
      <w:r>
        <w:t xml:space="preserve"> </w:t>
      </w:r>
      <w:r w:rsidR="00865AE9" w:rsidRPr="00865AE9">
        <w:t xml:space="preserve">The comparison is expressed in real terms, meaning that figures are adjusted for inflation. The </w:t>
      </w:r>
      <w:r w:rsidR="00865AE9">
        <w:rPr>
          <w:lang w:val="en-US"/>
        </w:rPr>
        <w:t>111</w:t>
      </w:r>
      <w:r w:rsidR="00865AE9">
        <w:rPr>
          <w:lang w:val="lt-LT"/>
        </w:rPr>
        <w:t>.</w:t>
      </w:r>
      <w:r w:rsidR="00865AE9">
        <w:rPr>
          <w:lang w:val="en-US"/>
        </w:rPr>
        <w:t>3</w:t>
      </w:r>
      <w:r w:rsidR="00865AE9" w:rsidRPr="00865AE9">
        <w:t>%    increase refers to growth in constant prices over 2009–2023.</w:t>
      </w:r>
    </w:p>
  </w:footnote>
  <w:footnote w:id="306">
    <w:p w14:paraId="2CDD55DE" w14:textId="14ED5488" w:rsidR="00392FDA" w:rsidRPr="00EA4C9B" w:rsidRDefault="00392FDA" w:rsidP="001F61F7">
      <w:pPr>
        <w:pStyle w:val="FootnoteText"/>
        <w:jc w:val="left"/>
      </w:pPr>
      <w:r w:rsidRPr="00EA4C9B">
        <w:rPr>
          <w:rStyle w:val="FootnoteReference"/>
          <w:sz w:val="18"/>
          <w:szCs w:val="18"/>
        </w:rPr>
        <w:footnoteRef/>
      </w:r>
      <w:r w:rsidRPr="00EA4C9B">
        <w:rPr>
          <w:sz w:val="18"/>
          <w:szCs w:val="18"/>
        </w:rPr>
        <w:t xml:space="preserve"> </w:t>
      </w:r>
      <w:r w:rsidR="001F61F7">
        <w:rPr>
          <w:sz w:val="18"/>
          <w:szCs w:val="18"/>
        </w:rPr>
        <w:tab/>
      </w:r>
      <w:r w:rsidRPr="001F61F7">
        <w:t>IEA. 2023. Estonia 2023 – Energy Policy Review. https://www.oecd.org/content/dam/oecd/en/publications/reports/2023/11/estonia-2023_60624cc7/9e91fe6a-en.pdf?</w:t>
      </w:r>
    </w:p>
  </w:footnote>
  <w:footnote w:id="307">
    <w:p w14:paraId="4233F479" w14:textId="29E0B91C" w:rsidR="00392FDA" w:rsidRPr="00EA4C9B" w:rsidRDefault="00392FDA" w:rsidP="00392FDA">
      <w:pPr>
        <w:pStyle w:val="FootnoteText"/>
      </w:pPr>
      <w:r w:rsidRPr="00EA4C9B">
        <w:rPr>
          <w:rStyle w:val="FootnoteReference"/>
        </w:rPr>
        <w:footnoteRef/>
      </w:r>
      <w:r w:rsidRPr="00EA4C9B">
        <w:t xml:space="preserve"> </w:t>
      </w:r>
      <w:r w:rsidR="001F61F7">
        <w:tab/>
      </w:r>
      <w:r w:rsidRPr="001F61F7">
        <w:t>European Commission. 2023. 2023 European Semester: Country Specific Recommendation / Commission Recommendation – Estonia. https://commission.europa.eu/document/download/c5b996c6-e313-4ed1-a0bf-48decc7cabfb_en?filename=COM_2023_606_1_EN.pdf</w:t>
      </w:r>
    </w:p>
  </w:footnote>
  <w:footnote w:id="308">
    <w:p w14:paraId="5E36A317" w14:textId="2D2A3C4B" w:rsidR="00392FDA" w:rsidRPr="00EA4C9B" w:rsidRDefault="00392FDA" w:rsidP="00392FDA">
      <w:pPr>
        <w:pStyle w:val="FootnoteText"/>
      </w:pPr>
      <w:r w:rsidRPr="00EA4C9B">
        <w:rPr>
          <w:rStyle w:val="FootnoteReference"/>
        </w:rPr>
        <w:footnoteRef/>
      </w:r>
      <w:r w:rsidRPr="00EA4C9B">
        <w:t xml:space="preserve"> </w:t>
      </w:r>
      <w:r w:rsidR="001F61F7">
        <w:tab/>
      </w:r>
      <w:r w:rsidRPr="001F61F7">
        <w:t>European Commission. 2024. 2024 European Semester: Country Specific Recommendation / Commission Recommendation – Estonia. https://commission.europa.eu/document/download/5ca0e522-0973-493f-aa99-e7c054d040d0_en?filename=com_2024_606_1_en.pdf</w:t>
      </w:r>
    </w:p>
  </w:footnote>
  <w:footnote w:id="309">
    <w:p w14:paraId="711BA117" w14:textId="4857C9E9" w:rsidR="00392FDA" w:rsidRPr="00EA4C9B" w:rsidRDefault="00392FDA" w:rsidP="00392FDA">
      <w:pPr>
        <w:pStyle w:val="FootnoteText"/>
      </w:pPr>
      <w:r w:rsidRPr="00EA4C9B">
        <w:rPr>
          <w:rStyle w:val="FootnoteReference"/>
        </w:rPr>
        <w:footnoteRef/>
      </w:r>
      <w:r w:rsidRPr="00EA4C9B">
        <w:t xml:space="preserve"> </w:t>
      </w:r>
      <w:r w:rsidR="001F61F7">
        <w:tab/>
      </w:r>
      <w:r w:rsidRPr="001F61F7">
        <w:t xml:space="preserve">European Commission. 2025. 2025 European Semester: Country Specific Recommendation / Commission Recommendation – Estonia. </w:t>
      </w:r>
      <w:hyperlink r:id="rId212" w:history="1">
        <w:r w:rsidRPr="001F61F7">
          <w:rPr>
            <w:rStyle w:val="Hyperlink"/>
          </w:rPr>
          <w:t>771b483b-1bd0-4b5c-8d6a-624a4fd11050_en</w:t>
        </w:r>
      </w:hyperlink>
    </w:p>
  </w:footnote>
  <w:footnote w:id="310">
    <w:p w14:paraId="569B821B" w14:textId="1FD9D2B4" w:rsidR="00B94BF2" w:rsidRPr="00BA7936" w:rsidRDefault="00B94BF2">
      <w:pPr>
        <w:pStyle w:val="FootnoteText"/>
        <w:rPr>
          <w:lang w:val="it-IT"/>
        </w:rPr>
      </w:pPr>
      <w:r>
        <w:rPr>
          <w:rStyle w:val="FootnoteReference"/>
        </w:rPr>
        <w:footnoteRef/>
      </w:r>
      <w:r w:rsidR="00733230" w:rsidRPr="00733230">
        <w:rPr>
          <w:i/>
          <w:iCs/>
        </w:rPr>
        <w:t>Estonia, 2025 EU waste recycling targets – State of play</w:t>
      </w:r>
      <w:r w:rsidR="00733230" w:rsidRPr="00733230">
        <w:t>, Publications Office of the European Union, 2023, </w:t>
      </w:r>
      <w:hyperlink r:id="rId213" w:tgtFrame="_blank" w:history="1">
        <w:r w:rsidR="00733230" w:rsidRPr="00BA7936">
          <w:rPr>
            <w:rStyle w:val="Hyperlink"/>
          </w:rPr>
          <w:t>https://data.europa.eu/doi/10.2779/3575</w:t>
        </w:r>
      </w:hyperlink>
    </w:p>
  </w:footnote>
  <w:footnote w:id="311">
    <w:p w14:paraId="5AD0C566" w14:textId="18828AEC" w:rsidR="00B94BF2" w:rsidRPr="00BA7936" w:rsidRDefault="00B94BF2">
      <w:pPr>
        <w:pStyle w:val="FootnoteText"/>
        <w:rPr>
          <w:lang w:val="it-IT"/>
        </w:rPr>
      </w:pPr>
      <w:r>
        <w:rPr>
          <w:rStyle w:val="FootnoteReference"/>
        </w:rPr>
        <w:footnoteRef/>
      </w:r>
      <w:r>
        <w:t xml:space="preserve"> </w:t>
      </w:r>
      <w:r>
        <w:rPr>
          <w:lang w:val="it-IT"/>
        </w:rPr>
        <w:t>Ibid.</w:t>
      </w:r>
    </w:p>
  </w:footnote>
  <w:footnote w:id="312">
    <w:p w14:paraId="761323EA" w14:textId="1EE7F5CA" w:rsidR="009D4D47" w:rsidRPr="00865AE9" w:rsidRDefault="009D4D47" w:rsidP="009D4D47">
      <w:pPr>
        <w:pStyle w:val="FootnoteText"/>
        <w:rPr>
          <w:lang w:val="en-US"/>
        </w:rPr>
      </w:pPr>
      <w:r>
        <w:rPr>
          <w:rStyle w:val="FootnoteReference"/>
        </w:rPr>
        <w:footnoteRef/>
      </w:r>
      <w:r>
        <w:t xml:space="preserve"> </w:t>
      </w:r>
      <w:r>
        <w:tab/>
      </w:r>
      <w:r w:rsidRPr="00FA28BC">
        <w:t xml:space="preserve">The comparison is expressed in real terms, meaning that figures are adjusted for inflation. The </w:t>
      </w:r>
      <w:r>
        <w:t>28</w:t>
      </w:r>
      <w:r w:rsidRPr="00FA28BC">
        <w:t>% increase refers to growth in constant prices over 2009–2023.</w:t>
      </w:r>
      <w:r>
        <w:t xml:space="preserve"> </w:t>
      </w:r>
    </w:p>
  </w:footnote>
  <w:footnote w:id="313">
    <w:p w14:paraId="3422C6E4" w14:textId="216027FB" w:rsidR="000A4E61" w:rsidRPr="004F0767" w:rsidRDefault="000A4E61" w:rsidP="000A4E61">
      <w:pPr>
        <w:pStyle w:val="FootnoteText"/>
      </w:pPr>
      <w:r w:rsidRPr="001F61F7">
        <w:rPr>
          <w:rStyle w:val="FootnoteReference"/>
        </w:rPr>
        <w:footnoteRef/>
      </w:r>
      <w:r w:rsidRPr="004F0767">
        <w:t xml:space="preserve"> </w:t>
      </w:r>
      <w:r w:rsidR="001F61F7" w:rsidRPr="004F0767">
        <w:tab/>
      </w:r>
      <w:hyperlink r:id="rId214" w:anchor="sec_6__subsec_1" w:history="1">
        <w:r w:rsidR="001F61F7" w:rsidRPr="004F0767">
          <w:rPr>
            <w:rStyle w:val="Hyperlink"/>
          </w:rPr>
          <w:t>https://finlex.fi/fi/lainsaadanto/1996/495#sec_6__subsec_1</w:t>
        </w:r>
      </w:hyperlink>
      <w:r w:rsidRPr="004F0767">
        <w:t xml:space="preserve"> </w:t>
      </w:r>
    </w:p>
  </w:footnote>
  <w:footnote w:id="314">
    <w:p w14:paraId="3534E9D4" w14:textId="24410DFE" w:rsidR="000A4E61" w:rsidRPr="004F0767" w:rsidRDefault="000A4E61" w:rsidP="000A4E61">
      <w:pPr>
        <w:pStyle w:val="FootnoteText"/>
      </w:pPr>
      <w:r w:rsidRPr="001F61F7">
        <w:rPr>
          <w:rStyle w:val="FootnoteReference"/>
        </w:rPr>
        <w:footnoteRef/>
      </w:r>
      <w:r w:rsidRPr="004F0767">
        <w:t xml:space="preserve"> </w:t>
      </w:r>
      <w:r w:rsidR="001F61F7" w:rsidRPr="004F0767">
        <w:tab/>
      </w:r>
      <w:hyperlink r:id="rId215" w:anchor="OT17" w:history="1">
        <w:r w:rsidR="001F61F7" w:rsidRPr="004F0767">
          <w:rPr>
            <w:rStyle w:val="Hyperlink"/>
          </w:rPr>
          <w:t>https://finlex.fi/fi/lainsaadanto/2010/1126#OT17</w:t>
        </w:r>
      </w:hyperlink>
      <w:r w:rsidRPr="004F0767">
        <w:t xml:space="preserve"> </w:t>
      </w:r>
    </w:p>
  </w:footnote>
  <w:footnote w:id="315">
    <w:p w14:paraId="49FB2B0E" w14:textId="4C9F3ADE" w:rsidR="000A4E61" w:rsidRPr="004F0767" w:rsidRDefault="000A4E61" w:rsidP="001F61F7">
      <w:pPr>
        <w:pStyle w:val="FootnoteText"/>
        <w:jc w:val="left"/>
      </w:pPr>
      <w:r w:rsidRPr="001F61F7">
        <w:rPr>
          <w:rStyle w:val="FootnoteReference"/>
        </w:rPr>
        <w:footnoteRef/>
      </w:r>
      <w:r w:rsidR="001F61F7" w:rsidRPr="004F0767">
        <w:t xml:space="preserve"> </w:t>
      </w:r>
      <w:r w:rsidR="001F61F7" w:rsidRPr="004F0767">
        <w:tab/>
      </w:r>
      <w:hyperlink r:id="rId216" w:anchor=":~:text=Kaatopaikoille%20toimitetuista%20j%C3%A4tteist%C3%A4%20on%20suoritettava,kantamisesta%20ja%20valvonnasta%20huolehtii%20Verohallinto" w:history="1">
        <w:r w:rsidR="001F61F7" w:rsidRPr="004F0767">
          <w:rPr>
            <w:rStyle w:val="Hyperlink"/>
          </w:rPr>
          <w:t>https://www.vero.fi/syventavat-vero-ohjeet/ohje-hakusivu/56196/jateverotu/#:~:text=Kaatopaikoille%20toimitetuista%20j%C3%A4tteist%C3%A4%20on%20suoritettava,kantamisesta%20ja%20valvonnasta%20huolehtii%20Verohallinto</w:t>
        </w:r>
      </w:hyperlink>
      <w:r w:rsidRPr="004F0767">
        <w:t xml:space="preserve">. </w:t>
      </w:r>
    </w:p>
  </w:footnote>
  <w:footnote w:id="316">
    <w:p w14:paraId="43AF850A" w14:textId="1130B192" w:rsidR="000A4E61" w:rsidRPr="00EA4C9B" w:rsidRDefault="000A4E61" w:rsidP="000A4E61">
      <w:pPr>
        <w:pStyle w:val="FootnoteText"/>
        <w:rPr>
          <w:sz w:val="16"/>
          <w:szCs w:val="16"/>
        </w:rPr>
      </w:pPr>
      <w:r w:rsidRPr="001F61F7">
        <w:rPr>
          <w:rStyle w:val="FootnoteReference"/>
        </w:rPr>
        <w:footnoteRef/>
      </w:r>
      <w:r w:rsidRPr="001F61F7">
        <w:t xml:space="preserve"> </w:t>
      </w:r>
      <w:r w:rsidR="001F61F7">
        <w:tab/>
      </w:r>
      <w:r w:rsidRPr="001F61F7">
        <w:t xml:space="preserve">“Early warning </w:t>
      </w:r>
      <w:hyperlink r:id="rId217" w:history="1">
        <w:r w:rsidRPr="001F61F7">
          <w:rPr>
            <w:rStyle w:val="Hyperlink"/>
          </w:rPr>
          <w:t>assessment</w:t>
        </w:r>
      </w:hyperlink>
      <w:r w:rsidRPr="001F61F7">
        <w:t xml:space="preserve"> related to the 2025 targets for municipal waste and packaging waste”, European Environment Agency, 2022</w:t>
      </w:r>
      <w:r w:rsidRPr="00EA4C9B">
        <w:rPr>
          <w:sz w:val="16"/>
          <w:szCs w:val="16"/>
        </w:rPr>
        <w:tab/>
      </w:r>
    </w:p>
  </w:footnote>
  <w:footnote w:id="317">
    <w:p w14:paraId="3F8F9904" w14:textId="58E30B25" w:rsidR="000A4E61" w:rsidRPr="001F61F7" w:rsidRDefault="000A4E61" w:rsidP="000A4E61">
      <w:pPr>
        <w:pStyle w:val="FootnoteText"/>
      </w:pPr>
      <w:r w:rsidRPr="001F61F7">
        <w:rPr>
          <w:rStyle w:val="FootnoteReference"/>
        </w:rPr>
        <w:footnoteRef/>
      </w:r>
      <w:bookmarkStart w:id="174" w:name="_Hlt201233933"/>
      <w:r w:rsidR="001F61F7">
        <w:fldChar w:fldCharType="begin"/>
      </w:r>
      <w:r w:rsidR="001F61F7">
        <w:instrText>HYPERLINK "</w:instrText>
      </w:r>
      <w:r w:rsidR="001F61F7" w:rsidRPr="001F61F7">
        <w:instrText>https://ym.fi/documents/1410903/38678498/Jäteveroselvitys+kaatopaikalle+sijoitettavista+jätteistä.+Taustamuistio+9.11.2020.pdf/ac6dd988-34cc-05f4-7221-8f9908f59a9a/Jäteveroselvitys+kaatopaikalle+sijoitettavista+jätteistä.+Taustamuistio+9.11.2020.pdf?t=1605094912038#:~:text=Jäteveroa%20maksetaan%20kaatopaikalle%20toimitettavasta%20jätteestä,lisääntyy%20ja%20kaatopaikalle%20sijoittaminen%20vähenee</w:instrText>
      </w:r>
      <w:r w:rsidR="001F61F7">
        <w:instrText>"</w:instrText>
      </w:r>
      <w:r w:rsidR="001F61F7">
        <w:fldChar w:fldCharType="separate"/>
      </w:r>
      <w:r w:rsidR="001F61F7" w:rsidRPr="00EC31B9">
        <w:rPr>
          <w:rStyle w:val="Hyperlink"/>
        </w:rPr>
        <w:t>https://ym.fi/documents/1410903/38678498/Jäteveroselvitys+kaatopaikalle+sijoitettavista+jätteistä.+Taustamuistio+9.11.2020.pdf/ac6dd988-34cc-05f4-7221-8f9908f59a9a/Jäteveroselvitys+kaatopaikalle+sijoitettavista+jätteistä.+Taustamuistio+9.11.2020.pdf?t=1605094912038#:~:text=Jäteveroa%20maksetaan%20kaatopaikalle%20toimitettavasta%20jätteestä,lisääntyy%20ja%20kaatopaikalle%20sijoittaminen%20vähenee</w:t>
      </w:r>
      <w:bookmarkEnd w:id="174"/>
      <w:r w:rsidR="001F61F7">
        <w:fldChar w:fldCharType="end"/>
      </w:r>
      <w:r w:rsidRPr="001F61F7">
        <w:t xml:space="preserve">. </w:t>
      </w:r>
    </w:p>
  </w:footnote>
  <w:footnote w:id="318">
    <w:p w14:paraId="02EDF3C4" w14:textId="258DB82D" w:rsidR="000A4E61" w:rsidRPr="001F61F7" w:rsidRDefault="000A4E61" w:rsidP="000A4E61">
      <w:pPr>
        <w:pStyle w:val="FootnoteText"/>
      </w:pPr>
      <w:r w:rsidRPr="001F61F7">
        <w:rPr>
          <w:rStyle w:val="FootnoteReference"/>
        </w:rPr>
        <w:footnoteRef/>
      </w:r>
      <w:r w:rsidRPr="001F61F7">
        <w:t xml:space="preserve"> </w:t>
      </w:r>
      <w:r w:rsidR="001F61F7">
        <w:tab/>
      </w:r>
      <w:hyperlink r:id="rId218" w:history="1">
        <w:r w:rsidR="001F61F7" w:rsidRPr="00EC31B9">
          <w:rPr>
            <w:rStyle w:val="Hyperlink"/>
          </w:rPr>
          <w:t>https://ym.fi/en/strategic-programme-to-promote-a-circular-economy/circular-economy-incentives?utm_</w:t>
        </w:r>
      </w:hyperlink>
      <w:r w:rsidRPr="001F61F7">
        <w:t xml:space="preserve"> </w:t>
      </w:r>
    </w:p>
  </w:footnote>
  <w:footnote w:id="319">
    <w:p w14:paraId="7DAD5A5A" w14:textId="7041DE15" w:rsidR="000A4E61" w:rsidRPr="00EA4C9B" w:rsidRDefault="000A4E61" w:rsidP="001F61F7">
      <w:pPr>
        <w:pStyle w:val="FootnoteText"/>
        <w:jc w:val="left"/>
      </w:pPr>
      <w:r w:rsidRPr="001F61F7">
        <w:rPr>
          <w:rStyle w:val="FootnoteReference"/>
        </w:rPr>
        <w:footnoteRef/>
      </w:r>
      <w:r w:rsidR="001F61F7">
        <w:t xml:space="preserve"> </w:t>
      </w:r>
      <w:r w:rsidR="001F61F7">
        <w:tab/>
      </w:r>
      <w:hyperlink r:id="rId219" w:history="1">
        <w:r w:rsidR="001F61F7" w:rsidRPr="00EC31B9">
          <w:rPr>
            <w:rStyle w:val="Hyperlink"/>
          </w:rPr>
          <w:t>https://economy-finance.ec.europa.eu/document/download/7d853774-4ed7-4496-9bb3-c54d78ac3ea0_en?filename=2025_dbp_fi_en.pdf</w:t>
        </w:r>
      </w:hyperlink>
      <w:r w:rsidRPr="001F61F7">
        <w:t xml:space="preserve"> </w:t>
      </w:r>
    </w:p>
  </w:footnote>
  <w:footnote w:id="320">
    <w:p w14:paraId="7E7018B8" w14:textId="6CA8BC34" w:rsidR="000A4E61" w:rsidRPr="001F61F7" w:rsidRDefault="000A4E61" w:rsidP="000A4E61">
      <w:pPr>
        <w:pStyle w:val="FootnoteText"/>
      </w:pPr>
      <w:r w:rsidRPr="001F61F7">
        <w:rPr>
          <w:rStyle w:val="FootnoteReference"/>
        </w:rPr>
        <w:footnoteRef/>
      </w:r>
      <w:r w:rsidRPr="001F61F7">
        <w:t xml:space="preserve"> </w:t>
      </w:r>
      <w:r w:rsidR="001F61F7">
        <w:tab/>
      </w:r>
      <w:hyperlink r:id="rId220" w:history="1">
        <w:r w:rsidR="001F61F7" w:rsidRPr="00EC31B9">
          <w:rPr>
            <w:rStyle w:val="Hyperlink"/>
          </w:rPr>
          <w:t>https://www.ymparisto.fi/en/state-environment/circular-economy/waste-and-recycling</w:t>
        </w:r>
      </w:hyperlink>
      <w:r w:rsidRPr="001F61F7">
        <w:t xml:space="preserve"> </w:t>
      </w:r>
    </w:p>
  </w:footnote>
  <w:footnote w:id="321">
    <w:p w14:paraId="2D713C83" w14:textId="649658A7" w:rsidR="000A4E61" w:rsidRPr="001F61F7" w:rsidRDefault="000A4E61" w:rsidP="000A4E61">
      <w:pPr>
        <w:pStyle w:val="FootnoteText"/>
      </w:pPr>
      <w:r w:rsidRPr="001F61F7">
        <w:rPr>
          <w:rStyle w:val="FootnoteReference"/>
        </w:rPr>
        <w:footnoteRef/>
      </w:r>
      <w:r w:rsidRPr="001F61F7">
        <w:t xml:space="preserve"> </w:t>
      </w:r>
      <w:r w:rsidR="001F61F7">
        <w:tab/>
      </w:r>
      <w:hyperlink r:id="rId221" w:history="1">
        <w:r w:rsidR="001F61F7" w:rsidRPr="00EC31B9">
          <w:rPr>
            <w:rStyle w:val="Hyperlink"/>
          </w:rPr>
          <w:t>https://ieep.eu/wp-content/uploads/2022/12/FI-Deposit-Refund-Scheme-final.pdf</w:t>
        </w:r>
      </w:hyperlink>
      <w:r w:rsidRPr="001F61F7">
        <w:t xml:space="preserve"> </w:t>
      </w:r>
    </w:p>
  </w:footnote>
  <w:footnote w:id="322">
    <w:p w14:paraId="6C2B3631" w14:textId="4331F0BA" w:rsidR="000A4E61" w:rsidRPr="001F61F7" w:rsidRDefault="000A4E61" w:rsidP="000A4E61">
      <w:pPr>
        <w:pStyle w:val="FootnoteText"/>
      </w:pPr>
      <w:r w:rsidRPr="001F61F7">
        <w:rPr>
          <w:rStyle w:val="FootnoteReference"/>
        </w:rPr>
        <w:footnoteRef/>
      </w:r>
      <w:r w:rsidRPr="001F61F7">
        <w:t xml:space="preserve"> </w:t>
      </w:r>
      <w:r w:rsidR="001F61F7">
        <w:tab/>
      </w:r>
      <w:r w:rsidRPr="001F61F7">
        <w:t>Study on assessing the environmental fiscal reform potential for the EU28, IEEP et al., 2016</w:t>
      </w:r>
    </w:p>
  </w:footnote>
  <w:footnote w:id="323">
    <w:p w14:paraId="27FD42BD" w14:textId="7587A170" w:rsidR="008718FE" w:rsidRPr="00BA7936" w:rsidRDefault="008718FE">
      <w:pPr>
        <w:pStyle w:val="FootnoteText"/>
        <w:rPr>
          <w:lang w:val="it-IT"/>
        </w:rPr>
      </w:pPr>
      <w:r>
        <w:rPr>
          <w:rStyle w:val="FootnoteReference"/>
        </w:rPr>
        <w:footnoteRef/>
      </w:r>
      <w:r>
        <w:t xml:space="preserve"> </w:t>
      </w:r>
      <w:r w:rsidR="00E20DCA" w:rsidRPr="00E20DCA">
        <w:rPr>
          <w:i/>
          <w:iCs/>
        </w:rPr>
        <w:t>Finland, 2025 EU waste recycling targets – State of play</w:t>
      </w:r>
      <w:r w:rsidR="00E20DCA" w:rsidRPr="00E20DCA">
        <w:t>, Publications Office of the European Union, 2023, </w:t>
      </w:r>
      <w:hyperlink r:id="rId222" w:tgtFrame="_blank" w:history="1">
        <w:r w:rsidR="00E20DCA" w:rsidRPr="00BA7936">
          <w:rPr>
            <w:rStyle w:val="Hyperlink"/>
          </w:rPr>
          <w:t>https://data.europa.eu/doi/10.2779/773</w:t>
        </w:r>
      </w:hyperlink>
    </w:p>
  </w:footnote>
  <w:footnote w:id="324">
    <w:p w14:paraId="50CAF661" w14:textId="7D10A830" w:rsidR="000A4E61" w:rsidRPr="00BA7936" w:rsidRDefault="000A4E61" w:rsidP="000A4E61">
      <w:pPr>
        <w:pStyle w:val="FootnoteText"/>
        <w:rPr>
          <w:lang w:val="it-IT"/>
        </w:rPr>
      </w:pPr>
      <w:r w:rsidRPr="001F61F7">
        <w:rPr>
          <w:rStyle w:val="FootnoteReference"/>
        </w:rPr>
        <w:footnoteRef/>
      </w:r>
      <w:r w:rsidRPr="00BA7936">
        <w:rPr>
          <w:lang w:val="it-IT"/>
        </w:rPr>
        <w:t xml:space="preserve"> </w:t>
      </w:r>
      <w:r w:rsidR="001F61F7" w:rsidRPr="00BA7936">
        <w:rPr>
          <w:lang w:val="it-IT"/>
        </w:rPr>
        <w:tab/>
      </w:r>
      <w:hyperlink r:id="rId223" w:history="1">
        <w:r w:rsidR="001F61F7" w:rsidRPr="00BA7936">
          <w:rPr>
            <w:rStyle w:val="Hyperlink"/>
            <w:lang w:val="it-IT"/>
          </w:rPr>
          <w:t>https://riista.fi/wp-content/uploads/2023/10/suomi_-riistamaana_2023_eng_03.pdf?utm_</w:t>
        </w:r>
      </w:hyperlink>
      <w:r w:rsidRPr="00BA7936">
        <w:rPr>
          <w:lang w:val="it-IT"/>
        </w:rPr>
        <w:t xml:space="preserve">  </w:t>
      </w:r>
    </w:p>
  </w:footnote>
  <w:footnote w:id="325">
    <w:p w14:paraId="155AB564" w14:textId="2FDC99CB" w:rsidR="000A4E61" w:rsidRPr="001F61F7" w:rsidRDefault="000A4E61" w:rsidP="000A4E61">
      <w:pPr>
        <w:pStyle w:val="FootnoteText"/>
      </w:pPr>
      <w:r w:rsidRPr="001F61F7">
        <w:rPr>
          <w:rStyle w:val="FootnoteReference"/>
        </w:rPr>
        <w:footnoteRef/>
      </w:r>
      <w:r w:rsidR="001F61F7">
        <w:t xml:space="preserve"> </w:t>
      </w:r>
      <w:r w:rsidR="001F61F7">
        <w:tab/>
      </w:r>
      <w:hyperlink r:id="rId224" w:history="1">
        <w:r w:rsidR="001F61F7" w:rsidRPr="00EC31B9">
          <w:rPr>
            <w:rStyle w:val="Hyperlink"/>
          </w:rPr>
          <w:t>https://www.finlex.fi/api/media/statute-foreign-language-translation/244798/mainPdf/main.pdf?timestamp=1993-06-28T00%3A00%3A00.000Z&amp;</w:t>
        </w:r>
      </w:hyperlink>
    </w:p>
  </w:footnote>
  <w:footnote w:id="326">
    <w:p w14:paraId="53ED821D" w14:textId="2308892B" w:rsidR="000A4E61" w:rsidRPr="001F61F7" w:rsidRDefault="000A4E61" w:rsidP="000A4E61">
      <w:pPr>
        <w:pStyle w:val="FootnoteText"/>
      </w:pPr>
      <w:r w:rsidRPr="001F61F7">
        <w:rPr>
          <w:rStyle w:val="FootnoteReference"/>
        </w:rPr>
        <w:footnoteRef/>
      </w:r>
      <w:r w:rsidRPr="001F61F7">
        <w:t xml:space="preserve"> </w:t>
      </w:r>
      <w:r w:rsidR="001F61F7">
        <w:tab/>
      </w:r>
      <w:hyperlink r:id="rId225" w:history="1">
        <w:r w:rsidR="001F61F7" w:rsidRPr="00EC31B9">
          <w:rPr>
            <w:rStyle w:val="Hyperlink"/>
          </w:rPr>
          <w:t>https://fishinginfinland.fi/fishing-permits/</w:t>
        </w:r>
      </w:hyperlink>
      <w:r w:rsidRPr="001F61F7">
        <w:t xml:space="preserve"> </w:t>
      </w:r>
    </w:p>
  </w:footnote>
  <w:footnote w:id="327">
    <w:p w14:paraId="59A562A2" w14:textId="43524AB6" w:rsidR="000A4E61" w:rsidRPr="00EA4C9B" w:rsidRDefault="000A4E61" w:rsidP="000A4E61">
      <w:pPr>
        <w:pStyle w:val="FootnoteText"/>
        <w:rPr>
          <w:sz w:val="16"/>
          <w:szCs w:val="16"/>
        </w:rPr>
      </w:pPr>
      <w:r w:rsidRPr="001F61F7">
        <w:rPr>
          <w:rStyle w:val="FootnoteReference"/>
        </w:rPr>
        <w:footnoteRef/>
      </w:r>
      <w:r w:rsidRPr="001F61F7">
        <w:t xml:space="preserve"> </w:t>
      </w:r>
      <w:r w:rsidR="001F61F7">
        <w:tab/>
      </w:r>
      <w:hyperlink r:id="rId226" w:history="1">
        <w:r w:rsidR="001F61F7" w:rsidRPr="00EC31B9">
          <w:rPr>
            <w:rStyle w:val="Hyperlink"/>
          </w:rPr>
          <w:t>https://faolex.fao.org/docs/pdf/fin169562.pdf</w:t>
        </w:r>
      </w:hyperlink>
      <w:r w:rsidRPr="00EA4C9B">
        <w:rPr>
          <w:sz w:val="16"/>
          <w:szCs w:val="16"/>
        </w:rPr>
        <w:t xml:space="preserve"> </w:t>
      </w:r>
    </w:p>
  </w:footnote>
  <w:footnote w:id="328">
    <w:p w14:paraId="4611EE62" w14:textId="5DB0BE42" w:rsidR="00FF1765" w:rsidRDefault="00FF1765">
      <w:pPr>
        <w:pStyle w:val="FootnoteText"/>
      </w:pPr>
      <w:r>
        <w:rPr>
          <w:rStyle w:val="FootnoteReference"/>
        </w:rPr>
        <w:footnoteRef/>
      </w:r>
      <w:r>
        <w:t xml:space="preserve"> </w:t>
      </w:r>
      <w:hyperlink r:id="rId227" w:history="1">
        <w:r w:rsidRPr="00C50B69">
          <w:rPr>
            <w:rStyle w:val="Hyperlink"/>
          </w:rPr>
          <w:t>https://www.luke.fi/en/news/number-of-active-hunters-decreased-in-2023</w:t>
        </w:r>
      </w:hyperlink>
      <w:r>
        <w:t xml:space="preserve"> </w:t>
      </w:r>
    </w:p>
  </w:footnote>
  <w:footnote w:id="329">
    <w:p w14:paraId="3131CC60" w14:textId="28275BD8" w:rsidR="00653100" w:rsidRDefault="00653100">
      <w:pPr>
        <w:pStyle w:val="FootnoteText"/>
      </w:pPr>
      <w:r>
        <w:rPr>
          <w:rStyle w:val="FootnoteReference"/>
        </w:rPr>
        <w:footnoteRef/>
      </w:r>
      <w:r>
        <w:t xml:space="preserve"> </w:t>
      </w:r>
      <w:r w:rsidRPr="00653100">
        <w:t>https://www.luke.fi/en/statistics/hunting/hunting-2022</w:t>
      </w:r>
    </w:p>
  </w:footnote>
  <w:footnote w:id="330">
    <w:p w14:paraId="38C5C15C" w14:textId="459B7BD9" w:rsidR="000A4E61" w:rsidRPr="001F61F7" w:rsidRDefault="000A4E61" w:rsidP="000A4E61">
      <w:pPr>
        <w:pStyle w:val="FootnoteText"/>
      </w:pPr>
      <w:r w:rsidRPr="001F61F7">
        <w:rPr>
          <w:rStyle w:val="FootnoteReference"/>
        </w:rPr>
        <w:footnoteRef/>
      </w:r>
      <w:r w:rsidR="001E4CE8">
        <w:t xml:space="preserve"> </w:t>
      </w:r>
      <w:hyperlink r:id="rId228" w:history="1">
        <w:r w:rsidR="001E4CE8" w:rsidRPr="001E4CE8">
          <w:rPr>
            <w:rStyle w:val="Hyperlink"/>
          </w:rPr>
          <w:t>https://julkaisut.valtioneuvosto.fi/bitstream/handle/10024/162104/YM_2020_06.pdf?sequence=1&amp;isAllowed=y</w:t>
        </w:r>
      </w:hyperlink>
      <w:r w:rsidRPr="001F61F7">
        <w:t xml:space="preserve"> </w:t>
      </w:r>
    </w:p>
  </w:footnote>
  <w:footnote w:id="331">
    <w:p w14:paraId="1597BE77" w14:textId="52A9EA28" w:rsidR="000A4E61" w:rsidRPr="001F61F7" w:rsidRDefault="000A4E61" w:rsidP="000A4E61">
      <w:pPr>
        <w:pStyle w:val="FootnoteText"/>
      </w:pPr>
      <w:r w:rsidRPr="001F61F7">
        <w:rPr>
          <w:rStyle w:val="FootnoteReference"/>
        </w:rPr>
        <w:footnoteRef/>
      </w:r>
      <w:r w:rsidRPr="001F61F7">
        <w:t xml:space="preserve"> </w:t>
      </w:r>
      <w:r w:rsidR="001F61F7">
        <w:tab/>
      </w:r>
      <w:hyperlink r:id="rId229" w:history="1">
        <w:r w:rsidR="001F61F7" w:rsidRPr="00EC31B9">
          <w:rPr>
            <w:rStyle w:val="Hyperlink"/>
          </w:rPr>
          <w:t>https://valtioneuvosto.fi/-/1410903/ymparistoalan-ja-valtion-valinen-sopimus-edistaa-oljyjatteen-keraysta-ja-kierratysta</w:t>
        </w:r>
      </w:hyperlink>
      <w:r w:rsidRPr="001F61F7">
        <w:t xml:space="preserve">  </w:t>
      </w:r>
    </w:p>
  </w:footnote>
  <w:footnote w:id="332">
    <w:p w14:paraId="79729F1D" w14:textId="48A601CF" w:rsidR="000A4E61" w:rsidRPr="001F61F7" w:rsidRDefault="000A4E61" w:rsidP="001F61F7">
      <w:pPr>
        <w:pStyle w:val="FootnoteText"/>
        <w:jc w:val="left"/>
      </w:pPr>
      <w:r w:rsidRPr="001F61F7">
        <w:rPr>
          <w:rStyle w:val="FootnoteReference"/>
        </w:rPr>
        <w:footnoteRef/>
      </w:r>
      <w:r w:rsidR="001F61F7">
        <w:t xml:space="preserve"> </w:t>
      </w:r>
      <w:r w:rsidR="001F61F7">
        <w:tab/>
      </w:r>
      <w:hyperlink r:id="rId230" w:history="1">
        <w:r w:rsidR="001F61F7" w:rsidRPr="00EC31B9">
          <w:rPr>
            <w:rStyle w:val="Hyperlink"/>
          </w:rPr>
          <w:t>https://leap.unep.org/en/countries/fi/national-legislation/act-oil-pollution-compensation-fund-no-379-1974</w:t>
        </w:r>
      </w:hyperlink>
      <w:r w:rsidRPr="001F61F7">
        <w:t xml:space="preserve">  </w:t>
      </w:r>
    </w:p>
  </w:footnote>
  <w:footnote w:id="333">
    <w:p w14:paraId="3D4F0B1B" w14:textId="1BEA0E57" w:rsidR="000A4E61" w:rsidRPr="001F61F7" w:rsidRDefault="000A4E61" w:rsidP="000A4E61">
      <w:pPr>
        <w:pStyle w:val="FootnoteText"/>
      </w:pPr>
      <w:r w:rsidRPr="001F61F7">
        <w:rPr>
          <w:rStyle w:val="FootnoteReference"/>
        </w:rPr>
        <w:footnoteRef/>
      </w:r>
      <w:r w:rsidRPr="001F61F7">
        <w:t xml:space="preserve"> </w:t>
      </w:r>
      <w:r w:rsidR="001F61F7">
        <w:tab/>
      </w:r>
      <w:hyperlink r:id="rId231" w:history="1">
        <w:r w:rsidR="001F61F7" w:rsidRPr="00EC31B9">
          <w:rPr>
            <w:rStyle w:val="Hyperlink"/>
          </w:rPr>
          <w:t>https://ym.fi/en/environmental-damage-fund</w:t>
        </w:r>
      </w:hyperlink>
      <w:r w:rsidRPr="001F61F7">
        <w:t xml:space="preserve"> </w:t>
      </w:r>
    </w:p>
  </w:footnote>
  <w:footnote w:id="334">
    <w:p w14:paraId="67E28FB7" w14:textId="21C668D4" w:rsidR="0038164F" w:rsidRDefault="0038164F">
      <w:pPr>
        <w:pStyle w:val="FootnoteText"/>
      </w:pPr>
      <w:r>
        <w:rPr>
          <w:rStyle w:val="FootnoteReference"/>
        </w:rPr>
        <w:footnoteRef/>
      </w:r>
      <w:r>
        <w:t xml:space="preserve"> </w:t>
      </w:r>
      <w:r w:rsidR="001E4CE8">
        <w:tab/>
      </w:r>
      <w:r>
        <w:t>Source – interview with the government of Finland</w:t>
      </w:r>
    </w:p>
  </w:footnote>
  <w:footnote w:id="335">
    <w:p w14:paraId="1C69D01F" w14:textId="0817F0EA" w:rsidR="000A4E61" w:rsidRPr="001F61F7" w:rsidRDefault="000A4E61" w:rsidP="000A4E61">
      <w:pPr>
        <w:pStyle w:val="FootnoteText"/>
      </w:pPr>
      <w:r w:rsidRPr="001F61F7">
        <w:rPr>
          <w:rStyle w:val="FootnoteReference"/>
        </w:rPr>
        <w:footnoteRef/>
      </w:r>
      <w:r w:rsidR="001F61F7">
        <w:t xml:space="preserve"> </w:t>
      </w:r>
      <w:r w:rsidR="001F61F7">
        <w:tab/>
      </w:r>
      <w:hyperlink r:id="rId232" w:history="1">
        <w:r w:rsidR="001F61F7" w:rsidRPr="00EC31B9">
          <w:rPr>
            <w:rStyle w:val="Hyperlink"/>
          </w:rPr>
          <w:t>https://www.oecd.org/content/dam/oecd/en/publications/reports/1998/02/the-environmental-effects-of-reforming-agricultural-policies_g1gh1770/9789264162440-en.pdf</w:t>
        </w:r>
      </w:hyperlink>
      <w:r w:rsidRPr="001F61F7">
        <w:t xml:space="preserve"> </w:t>
      </w:r>
    </w:p>
  </w:footnote>
  <w:footnote w:id="336">
    <w:p w14:paraId="2261E96A" w14:textId="50A37C56" w:rsidR="000A4E61" w:rsidRPr="001F61F7" w:rsidRDefault="000A4E61" w:rsidP="001F61F7">
      <w:pPr>
        <w:pStyle w:val="FootnoteText"/>
        <w:jc w:val="left"/>
      </w:pPr>
      <w:r w:rsidRPr="001F61F7">
        <w:rPr>
          <w:rStyle w:val="FootnoteReference"/>
        </w:rPr>
        <w:footnoteRef/>
      </w:r>
      <w:r w:rsidR="001F61F7">
        <w:t xml:space="preserve"> </w:t>
      </w:r>
      <w:r w:rsidR="001F61F7">
        <w:tab/>
      </w:r>
      <w:hyperlink r:id="rId233" w:anchor=":~:text=The%20new%20tax%20went%20into,exploitation%20of%20non%2Drenewable%20resources" w:history="1">
        <w:r w:rsidR="000C35A1" w:rsidRPr="00EC31B9">
          <w:rPr>
            <w:rStyle w:val="Hyperlink"/>
          </w:rPr>
          <w:t>https://www.vero.fi/en/businesses-and-corporations/taxes-and-charges/excise-taxation/tax-on-mined-minerals/#:~:text=The%20new%20tax%20went%20into,exploitation%20of%20non%2Drenewable%20resources</w:t>
        </w:r>
      </w:hyperlink>
      <w:r w:rsidRPr="001F61F7">
        <w:t xml:space="preserve">. </w:t>
      </w:r>
    </w:p>
  </w:footnote>
  <w:footnote w:id="337">
    <w:p w14:paraId="12E9D1C3" w14:textId="1EE65641" w:rsidR="006F2097" w:rsidRDefault="006F2097">
      <w:pPr>
        <w:pStyle w:val="FootnoteText"/>
      </w:pPr>
      <w:r>
        <w:rPr>
          <w:rStyle w:val="FootnoteReference"/>
        </w:rPr>
        <w:footnoteRef/>
      </w:r>
      <w:r>
        <w:t xml:space="preserve"> </w:t>
      </w:r>
      <w:r w:rsidR="003559BF">
        <w:t xml:space="preserve">Source </w:t>
      </w:r>
      <w:r w:rsidR="00473750">
        <w:t>–</w:t>
      </w:r>
      <w:r w:rsidR="003559BF">
        <w:t xml:space="preserve"> </w:t>
      </w:r>
      <w:r w:rsidR="00473750">
        <w:t>interview with the government of Finland</w:t>
      </w:r>
    </w:p>
  </w:footnote>
  <w:footnote w:id="338">
    <w:p w14:paraId="21444B2C" w14:textId="62AEF2DA" w:rsidR="000A4E61" w:rsidRPr="001F61F7" w:rsidRDefault="000A4E61" w:rsidP="000A4E61">
      <w:pPr>
        <w:pStyle w:val="FootnoteText"/>
      </w:pPr>
      <w:r w:rsidRPr="001F61F7">
        <w:rPr>
          <w:rStyle w:val="FootnoteReference"/>
        </w:rPr>
        <w:footnoteRef/>
      </w:r>
      <w:r w:rsidRPr="001F61F7">
        <w:t xml:space="preserve"> </w:t>
      </w:r>
      <w:r w:rsidR="000C35A1">
        <w:tab/>
      </w:r>
      <w:hyperlink r:id="rId234" w:history="1">
        <w:r w:rsidR="000C35A1" w:rsidRPr="00EC31B9">
          <w:rPr>
            <w:rStyle w:val="Hyperlink"/>
          </w:rPr>
          <w:t>https://www.ielrc.org/content/e0107.pdf</w:t>
        </w:r>
      </w:hyperlink>
      <w:r w:rsidRPr="001F61F7">
        <w:t xml:space="preserve">   </w:t>
      </w:r>
    </w:p>
  </w:footnote>
  <w:footnote w:id="339">
    <w:p w14:paraId="54048B49" w14:textId="5367FB17" w:rsidR="000A4E61" w:rsidRPr="00EA4C9B" w:rsidRDefault="000A4E61" w:rsidP="000A4E61">
      <w:pPr>
        <w:pStyle w:val="FootnoteText"/>
        <w:rPr>
          <w:sz w:val="16"/>
          <w:szCs w:val="16"/>
        </w:rPr>
      </w:pPr>
      <w:r w:rsidRPr="001F61F7">
        <w:rPr>
          <w:rStyle w:val="FootnoteReference"/>
        </w:rPr>
        <w:footnoteRef/>
      </w:r>
      <w:r w:rsidR="000C35A1">
        <w:t xml:space="preserve"> </w:t>
      </w:r>
      <w:r w:rsidR="000C35A1">
        <w:tab/>
      </w:r>
      <w:hyperlink r:id="rId235" w:history="1">
        <w:r w:rsidR="000C35A1" w:rsidRPr="00EC31B9">
          <w:rPr>
            <w:rStyle w:val="Hyperlink"/>
          </w:rPr>
          <w:t>https://avi.fi/en/services/businesses/guidance-and-advice/water-and-the-environment</w:t>
        </w:r>
      </w:hyperlink>
      <w:r w:rsidRPr="00EA4C9B">
        <w:rPr>
          <w:sz w:val="16"/>
          <w:szCs w:val="16"/>
        </w:rPr>
        <w:t xml:space="preserve"> </w:t>
      </w:r>
    </w:p>
  </w:footnote>
  <w:footnote w:id="340">
    <w:p w14:paraId="4D60411E" w14:textId="55D10D35" w:rsidR="000A4E61" w:rsidRPr="000C35A1" w:rsidRDefault="000A4E61" w:rsidP="000A4E61">
      <w:pPr>
        <w:pStyle w:val="FootnoteText"/>
      </w:pPr>
      <w:r w:rsidRPr="000C35A1">
        <w:rPr>
          <w:rStyle w:val="FootnoteReference"/>
        </w:rPr>
        <w:footnoteRef/>
      </w:r>
      <w:r w:rsidRPr="000C35A1">
        <w:t xml:space="preserve"> </w:t>
      </w:r>
      <w:r w:rsidR="000C35A1">
        <w:tab/>
      </w:r>
      <w:r w:rsidRPr="000C35A1">
        <w:t>OECD Environmental Performance Reviews, Finland, 2021</w:t>
      </w:r>
    </w:p>
  </w:footnote>
  <w:footnote w:id="341">
    <w:p w14:paraId="00AEEE53" w14:textId="34A17A4E" w:rsidR="000A4E61" w:rsidRPr="000C35A1" w:rsidRDefault="000A4E61" w:rsidP="000C35A1">
      <w:pPr>
        <w:pStyle w:val="FootnoteText"/>
        <w:jc w:val="left"/>
      </w:pPr>
      <w:r w:rsidRPr="000C35A1">
        <w:rPr>
          <w:rStyle w:val="FootnoteReference"/>
        </w:rPr>
        <w:footnoteRef/>
      </w:r>
      <w:r w:rsidR="000C35A1">
        <w:t xml:space="preserve"> </w:t>
      </w:r>
      <w:r w:rsidR="000C35A1">
        <w:tab/>
      </w:r>
      <w:hyperlink r:id="rId236" w:anchor=":~:text=Two%20types%20of%20rates%20are%20charged%20to,fees%20and%20those%20based%20on%20water%20consumption.&amp;text=The%20basic%20rate%20covers%20the%20maintenance%20of,water%20and%20supplying%20it%20to%20the%20consumer" w:history="1">
        <w:r w:rsidR="000C35A1" w:rsidRPr="00EC31B9">
          <w:rPr>
            <w:rStyle w:val="Hyperlink"/>
          </w:rPr>
          <w:t>https://www.vesi.fi/en/water-topics/why-do-we-pay-water-rates/#:~:text=Two%20types%20of%20rates%20are%20charged%20to,fees%20and%20those%20based%20on%20water%20consumption.&amp;text=The%20basic%20rate%20covers%20the%20maintenance%20of,water%20and%20supplying%20it%20to%20the%20consumer</w:t>
        </w:r>
      </w:hyperlink>
      <w:r w:rsidRPr="000C35A1">
        <w:t xml:space="preserve">. </w:t>
      </w:r>
    </w:p>
  </w:footnote>
  <w:footnote w:id="342">
    <w:p w14:paraId="51F99222" w14:textId="31DDE0D2" w:rsidR="000A4E61" w:rsidRPr="000C35A1" w:rsidRDefault="000A4E61" w:rsidP="000A4E61">
      <w:pPr>
        <w:pStyle w:val="FootnoteText"/>
      </w:pPr>
      <w:r w:rsidRPr="000C35A1">
        <w:rPr>
          <w:rStyle w:val="FootnoteReference"/>
        </w:rPr>
        <w:footnoteRef/>
      </w:r>
      <w:r w:rsidRPr="000C35A1">
        <w:t xml:space="preserve"> </w:t>
      </w:r>
      <w:r w:rsidR="000C35A1">
        <w:tab/>
      </w:r>
      <w:r w:rsidRPr="000C35A1">
        <w:t>PINE database</w:t>
      </w:r>
    </w:p>
  </w:footnote>
  <w:footnote w:id="343">
    <w:p w14:paraId="6E681417" w14:textId="52BC9919" w:rsidR="000A4E61" w:rsidRPr="000C35A1" w:rsidRDefault="000A4E61" w:rsidP="000A4E61">
      <w:pPr>
        <w:pStyle w:val="FootnoteText"/>
      </w:pPr>
      <w:r w:rsidRPr="000C35A1">
        <w:rPr>
          <w:rStyle w:val="FootnoteReference"/>
        </w:rPr>
        <w:footnoteRef/>
      </w:r>
      <w:r w:rsidRPr="000C35A1">
        <w:t xml:space="preserve"> </w:t>
      </w:r>
      <w:r w:rsidR="000C35A1">
        <w:tab/>
      </w:r>
      <w:hyperlink r:id="rId237" w:history="1">
        <w:r w:rsidR="000C35A1" w:rsidRPr="00EC31B9">
          <w:rPr>
            <w:rStyle w:val="Hyperlink"/>
          </w:rPr>
          <w:t>https://faolex.fao.org/docs/pdf/fin197264S.pdf</w:t>
        </w:r>
      </w:hyperlink>
      <w:r w:rsidRPr="000C35A1">
        <w:t>, section 23 of the Act</w:t>
      </w:r>
    </w:p>
  </w:footnote>
  <w:footnote w:id="344">
    <w:p w14:paraId="29D7B7AF" w14:textId="2385381C" w:rsidR="000A4E61" w:rsidRPr="000C35A1" w:rsidRDefault="000A4E61" w:rsidP="000C35A1">
      <w:pPr>
        <w:pStyle w:val="FootnoteText"/>
        <w:jc w:val="left"/>
      </w:pPr>
      <w:r w:rsidRPr="000C35A1">
        <w:rPr>
          <w:rStyle w:val="FootnoteReference"/>
        </w:rPr>
        <w:footnoteRef/>
      </w:r>
      <w:r w:rsidR="000C35A1">
        <w:t xml:space="preserve"> </w:t>
      </w:r>
      <w:r w:rsidR="000C35A1">
        <w:tab/>
      </w:r>
      <w:hyperlink r:id="rId238" w:history="1">
        <w:r w:rsidR="000C35A1" w:rsidRPr="00EC31B9">
          <w:rPr>
            <w:rStyle w:val="Hyperlink"/>
          </w:rPr>
          <w:t>https://finlex.fi/api/media/statute-foreign-language-translation/123999/mainPdf/main.pdf?timestamp=2011-06-17T00%3A00%3A00.000Z</w:t>
        </w:r>
      </w:hyperlink>
      <w:r w:rsidRPr="000C35A1">
        <w:t xml:space="preserve"> </w:t>
      </w:r>
    </w:p>
  </w:footnote>
  <w:footnote w:id="345">
    <w:p w14:paraId="53AE7BAE" w14:textId="15BFD689" w:rsidR="000A4E61" w:rsidRPr="000C35A1" w:rsidRDefault="000A4E61" w:rsidP="000A4E61">
      <w:pPr>
        <w:pStyle w:val="FootnoteText"/>
      </w:pPr>
      <w:r w:rsidRPr="000C35A1">
        <w:rPr>
          <w:rStyle w:val="FootnoteReference"/>
        </w:rPr>
        <w:footnoteRef/>
      </w:r>
      <w:r w:rsidRPr="000C35A1">
        <w:t xml:space="preserve"> </w:t>
      </w:r>
      <w:r w:rsidR="000C35A1">
        <w:tab/>
      </w:r>
      <w:hyperlink r:id="rId239" w:history="1">
        <w:r w:rsidR="000C35A1" w:rsidRPr="00EC31B9">
          <w:rPr>
            <w:rStyle w:val="Hyperlink"/>
          </w:rPr>
          <w:t>https://www.rengaskierratys.com/en/about_us?utm_</w:t>
        </w:r>
      </w:hyperlink>
      <w:r w:rsidRPr="000C35A1">
        <w:t xml:space="preserve"> </w:t>
      </w:r>
    </w:p>
  </w:footnote>
  <w:footnote w:id="346">
    <w:p w14:paraId="67CBAA82" w14:textId="530BE276" w:rsidR="000A4E61" w:rsidRPr="000C35A1" w:rsidRDefault="000A4E61" w:rsidP="000A4E61">
      <w:pPr>
        <w:pStyle w:val="FootnoteText"/>
      </w:pPr>
      <w:r w:rsidRPr="000C35A1">
        <w:rPr>
          <w:rStyle w:val="FootnoteReference"/>
        </w:rPr>
        <w:footnoteRef/>
      </w:r>
      <w:r w:rsidRPr="000C35A1">
        <w:t xml:space="preserve"> </w:t>
      </w:r>
      <w:r w:rsidR="000C35A1">
        <w:tab/>
      </w:r>
      <w:hyperlink r:id="rId240" w:history="1">
        <w:r w:rsidR="000C35A1" w:rsidRPr="00EC31B9">
          <w:rPr>
            <w:rStyle w:val="Hyperlink"/>
          </w:rPr>
          <w:t>https://onlinelibrary.wiley.com/doi/full/10.1155/2014/457372?utm_</w:t>
        </w:r>
      </w:hyperlink>
      <w:r w:rsidRPr="000C35A1">
        <w:t xml:space="preserve"> </w:t>
      </w:r>
    </w:p>
  </w:footnote>
  <w:footnote w:id="347">
    <w:p w14:paraId="0B593770" w14:textId="11CE93E1" w:rsidR="000A4E61" w:rsidRPr="000C35A1" w:rsidRDefault="000A4E61" w:rsidP="000C35A1">
      <w:pPr>
        <w:pStyle w:val="FootnoteText"/>
        <w:jc w:val="left"/>
      </w:pPr>
      <w:r w:rsidRPr="000C35A1">
        <w:rPr>
          <w:rStyle w:val="FootnoteReference"/>
        </w:rPr>
        <w:footnoteRef/>
      </w:r>
      <w:r w:rsidR="000C35A1">
        <w:t xml:space="preserve"> </w:t>
      </w:r>
      <w:r w:rsidR="000C35A1">
        <w:tab/>
      </w:r>
      <w:hyperlink r:id="rId241" w:history="1">
        <w:r w:rsidR="000C35A1" w:rsidRPr="00EC31B9">
          <w:rPr>
            <w:rStyle w:val="Hyperlink"/>
          </w:rPr>
          <w:t>https://leap.unep.org/en/countries/fi/national-legislation/act-environmental-protection-maritime-transport-no-1672-2009?utm_</w:t>
        </w:r>
      </w:hyperlink>
      <w:r w:rsidRPr="000C35A1">
        <w:t xml:space="preserve">  </w:t>
      </w:r>
    </w:p>
  </w:footnote>
  <w:footnote w:id="348">
    <w:p w14:paraId="78B080FA" w14:textId="2039029A" w:rsidR="000A4E61" w:rsidRPr="000C35A1" w:rsidRDefault="000A4E61" w:rsidP="000A4E61">
      <w:pPr>
        <w:pStyle w:val="FootnoteText"/>
      </w:pPr>
      <w:r w:rsidRPr="000C35A1">
        <w:rPr>
          <w:rStyle w:val="FootnoteReference"/>
        </w:rPr>
        <w:footnoteRef/>
      </w:r>
      <w:r w:rsidRPr="000C35A1">
        <w:t xml:space="preserve"> </w:t>
      </w:r>
      <w:r w:rsidR="000C35A1">
        <w:tab/>
      </w:r>
      <w:hyperlink r:id="rId242" w:history="1">
        <w:r w:rsidR="000C35A1" w:rsidRPr="00EC31B9">
          <w:rPr>
            <w:rStyle w:val="Hyperlink"/>
          </w:rPr>
          <w:t>https://faolex.fao.org/docs/pdf/fin180631.pdf</w:t>
        </w:r>
      </w:hyperlink>
      <w:r w:rsidRPr="000C35A1">
        <w:t xml:space="preserve"> </w:t>
      </w:r>
    </w:p>
  </w:footnote>
  <w:footnote w:id="349">
    <w:p w14:paraId="2650E6FD" w14:textId="555FCF68" w:rsidR="000A4E61" w:rsidRPr="00EA4C9B" w:rsidRDefault="000A4E61" w:rsidP="000A4E61">
      <w:pPr>
        <w:pStyle w:val="FootnoteText"/>
      </w:pPr>
      <w:r w:rsidRPr="000C35A1">
        <w:rPr>
          <w:rStyle w:val="FootnoteReference"/>
        </w:rPr>
        <w:footnoteRef/>
      </w:r>
      <w:r w:rsidRPr="000C35A1">
        <w:t xml:space="preserve"> </w:t>
      </w:r>
      <w:r w:rsidR="000C35A1">
        <w:tab/>
      </w:r>
      <w:hyperlink r:id="rId243" w:history="1">
        <w:r w:rsidR="000C35A1" w:rsidRPr="00EC31B9">
          <w:rPr>
            <w:rStyle w:val="Hyperlink"/>
          </w:rPr>
          <w:t>https://tukes.fi/en/chemicals/submitting-information-on-chemicals?utm_</w:t>
        </w:r>
      </w:hyperlink>
      <w:r w:rsidRPr="000C35A1">
        <w:t xml:space="preserve"> </w:t>
      </w:r>
    </w:p>
  </w:footnote>
  <w:footnote w:id="350">
    <w:p w14:paraId="08BA4E9B" w14:textId="57A4A132" w:rsidR="000A4E61" w:rsidRPr="000C35A1" w:rsidRDefault="000A4E61" w:rsidP="000A4E61">
      <w:pPr>
        <w:pStyle w:val="FootnoteText"/>
      </w:pPr>
      <w:r w:rsidRPr="000C35A1">
        <w:rPr>
          <w:rStyle w:val="FootnoteReference"/>
        </w:rPr>
        <w:footnoteRef/>
      </w:r>
      <w:r w:rsidRPr="000C35A1">
        <w:t xml:space="preserve"> </w:t>
      </w:r>
      <w:r w:rsidR="000C35A1">
        <w:tab/>
      </w:r>
      <w:r w:rsidRPr="000C35A1">
        <w:t>Additionally, for certain chemicals, Tukes charges fees for the evaluation of a substance, authorisation of a product, and other services related to risk assessment. These fees are for the submission of documents or information required under Biocidal Products Regulation (EU) No 528/2012. Such fees are not considered to be taxes, as there the government provides a service in return.</w:t>
      </w:r>
    </w:p>
  </w:footnote>
  <w:footnote w:id="351">
    <w:p w14:paraId="6E6649DA" w14:textId="1E5C159D" w:rsidR="000A4E61" w:rsidRPr="000C35A1" w:rsidRDefault="000A4E61" w:rsidP="000C35A1">
      <w:pPr>
        <w:pStyle w:val="FootnoteText"/>
        <w:jc w:val="left"/>
      </w:pPr>
      <w:r w:rsidRPr="000C35A1">
        <w:rPr>
          <w:rStyle w:val="FootnoteReference"/>
        </w:rPr>
        <w:footnoteRef/>
      </w:r>
      <w:r w:rsidR="000C35A1">
        <w:t xml:space="preserve"> </w:t>
      </w:r>
      <w:r w:rsidR="000C35A1">
        <w:tab/>
      </w:r>
      <w:hyperlink r:id="rId244" w:anchor=":~:text=The%20tax%20on%20pesticides%20in%20Finland%20is,pesticides%20was%20designed%20at%203.5%%2C%20with%20no" w:history="1">
        <w:r w:rsidR="000C35A1" w:rsidRPr="00EC31B9">
          <w:rPr>
            <w:rStyle w:val="Hyperlink"/>
          </w:rPr>
          <w:t>https://pub.norden.org/temanord2025-523/temanord2025-523.pdf#:~:text=The%20tax%20on%20pesticides%20in%20Finland%20is,pesticides%20was%20designed%20at%203.5%%2C%20with%20no</w:t>
        </w:r>
      </w:hyperlink>
      <w:r w:rsidRPr="000C35A1">
        <w:t xml:space="preserve"> </w:t>
      </w:r>
    </w:p>
  </w:footnote>
  <w:footnote w:id="352">
    <w:p w14:paraId="652C1D37" w14:textId="1EAA28D4" w:rsidR="000A4E61" w:rsidRPr="000C35A1" w:rsidRDefault="000A4E61" w:rsidP="000A4E61">
      <w:pPr>
        <w:pStyle w:val="FootnoteText"/>
      </w:pPr>
      <w:r w:rsidRPr="000C35A1">
        <w:rPr>
          <w:rStyle w:val="FootnoteReference"/>
        </w:rPr>
        <w:footnoteRef/>
      </w:r>
      <w:r w:rsidRPr="000C35A1">
        <w:t xml:space="preserve"> </w:t>
      </w:r>
      <w:r w:rsidR="000C35A1">
        <w:tab/>
      </w:r>
      <w:hyperlink r:id="rId245" w:history="1">
        <w:r w:rsidR="000C35A1" w:rsidRPr="00EC31B9">
          <w:rPr>
            <w:rStyle w:val="Hyperlink"/>
          </w:rPr>
          <w:t>http://files.foes.de/de/downloads/tagungvilm2005/scandinaviastudy.pdf</w:t>
        </w:r>
      </w:hyperlink>
      <w:r w:rsidRPr="000C35A1">
        <w:t xml:space="preserve"> </w:t>
      </w:r>
    </w:p>
  </w:footnote>
  <w:footnote w:id="353">
    <w:p w14:paraId="6869ABE8" w14:textId="00ED0D75" w:rsidR="000A4E61" w:rsidRPr="000C35A1" w:rsidRDefault="000A4E61" w:rsidP="000A4E61">
      <w:pPr>
        <w:pStyle w:val="FootnoteText"/>
      </w:pPr>
      <w:r w:rsidRPr="000C35A1">
        <w:rPr>
          <w:rStyle w:val="FootnoteReference"/>
        </w:rPr>
        <w:footnoteRef/>
      </w:r>
      <w:r w:rsidRPr="000C35A1">
        <w:t xml:space="preserve"> </w:t>
      </w:r>
      <w:r w:rsidR="000C35A1">
        <w:tab/>
      </w:r>
      <w:r w:rsidRPr="000C35A1">
        <w:t>Additionally, there is a registration fee of €840 for new pesticides. It is a national requirement that aligns with EU legislation, ensuring that products meet both EU-wide and country-specific safety and efficacy standards.</w:t>
      </w:r>
    </w:p>
  </w:footnote>
  <w:footnote w:id="354">
    <w:p w14:paraId="38F4D6D2" w14:textId="3FDE4580" w:rsidR="000A4E61" w:rsidRPr="000C35A1" w:rsidRDefault="000A4E61" w:rsidP="000A4E61">
      <w:pPr>
        <w:pStyle w:val="FootnoteText"/>
      </w:pPr>
      <w:r w:rsidRPr="000C35A1">
        <w:rPr>
          <w:rStyle w:val="FootnoteReference"/>
        </w:rPr>
        <w:footnoteRef/>
      </w:r>
      <w:r w:rsidRPr="000C35A1">
        <w:t xml:space="preserve"> </w:t>
      </w:r>
      <w:r w:rsidR="000C35A1">
        <w:tab/>
      </w:r>
      <w:hyperlink r:id="rId246" w:history="1">
        <w:r w:rsidR="000C35A1" w:rsidRPr="00EC31B9">
          <w:rPr>
            <w:rStyle w:val="Hyperlink"/>
          </w:rPr>
          <w:t>https://julkaisut.valtioneuvosto.fi/bitstream/handle/10024/161935/VN_2019_33.pdf</w:t>
        </w:r>
      </w:hyperlink>
      <w:r w:rsidRPr="000C35A1">
        <w:t xml:space="preserve"> </w:t>
      </w:r>
    </w:p>
  </w:footnote>
  <w:footnote w:id="355">
    <w:p w14:paraId="23E21394" w14:textId="52AB037A" w:rsidR="000A4E61" w:rsidRPr="00EA4C9B" w:rsidRDefault="000A4E61" w:rsidP="000A4E61">
      <w:pPr>
        <w:pStyle w:val="FootnoteText"/>
        <w:rPr>
          <w:sz w:val="16"/>
          <w:szCs w:val="16"/>
        </w:rPr>
      </w:pPr>
      <w:r w:rsidRPr="000C35A1">
        <w:rPr>
          <w:rStyle w:val="FootnoteReference"/>
        </w:rPr>
        <w:footnoteRef/>
      </w:r>
      <w:r w:rsidRPr="000C35A1">
        <w:t xml:space="preserve"> </w:t>
      </w:r>
      <w:r w:rsidR="000C35A1">
        <w:tab/>
      </w:r>
      <w:hyperlink r:id="rId247" w:anchor="/" w:history="1">
        <w:r w:rsidR="000C35A1" w:rsidRPr="00EC31B9">
          <w:rPr>
            <w:rStyle w:val="Hyperlink"/>
          </w:rPr>
          <w:t>https://valtioneuvosto.fi/en/governments/government-programme#/</w:t>
        </w:r>
      </w:hyperlink>
      <w:r w:rsidRPr="00EA4C9B">
        <w:rPr>
          <w:sz w:val="16"/>
          <w:szCs w:val="16"/>
        </w:rPr>
        <w:t xml:space="preserve"> </w:t>
      </w:r>
    </w:p>
  </w:footnote>
  <w:footnote w:id="356">
    <w:p w14:paraId="3315CDB6" w14:textId="77777777" w:rsidR="000A4E61" w:rsidRPr="00EA4C9B" w:rsidRDefault="000A4E61" w:rsidP="000A4E61">
      <w:pPr>
        <w:pStyle w:val="FootnoteText"/>
      </w:pPr>
      <w:r w:rsidRPr="000C35A1">
        <w:rPr>
          <w:rStyle w:val="FootnoteReference"/>
        </w:rPr>
        <w:footnoteRef/>
      </w:r>
      <w:r w:rsidRPr="000C35A1">
        <w:t xml:space="preserve"> Commission Staff Working Document 2024 Country Report – Finland. Accompanying the document Recommendation for a COUNCIL RECOMMENDATION on the economic, social, employment, structural and budgetary policies of Italy.</w:t>
      </w:r>
    </w:p>
  </w:footnote>
  <w:footnote w:id="357">
    <w:p w14:paraId="66819AC1" w14:textId="5C08233D" w:rsidR="000A4E61" w:rsidRPr="00EA4C9B" w:rsidRDefault="000A4E61" w:rsidP="000A4E61">
      <w:pPr>
        <w:pStyle w:val="FootnoteText"/>
        <w:rPr>
          <w:sz w:val="16"/>
          <w:szCs w:val="16"/>
        </w:rPr>
      </w:pPr>
      <w:r w:rsidRPr="000C35A1">
        <w:rPr>
          <w:rStyle w:val="FootnoteReference"/>
        </w:rPr>
        <w:footnoteRef/>
      </w:r>
      <w:r w:rsidR="000C35A1">
        <w:t xml:space="preserve"> </w:t>
      </w:r>
      <w:r w:rsidR="000C35A1">
        <w:tab/>
      </w:r>
      <w:hyperlink r:id="rId248" w:history="1">
        <w:r w:rsidR="000C35A1" w:rsidRPr="00EC31B9">
          <w:rPr>
            <w:rStyle w:val="Hyperlink"/>
          </w:rPr>
          <w:t>https://ex-tax.com/wp-content/uploads/2019/09/Aligning_Fiscal_Policy_with_the_Circular_Economy_Roadmap_in_Finland_Extax_Sitra_GBE_IEEP_Final_report_final-08-01-19.pdf</w:t>
        </w:r>
      </w:hyperlink>
      <w:r w:rsidRPr="00EA4C9B">
        <w:rPr>
          <w:sz w:val="16"/>
          <w:szCs w:val="16"/>
        </w:rPr>
        <w:t xml:space="preserve"> </w:t>
      </w:r>
    </w:p>
  </w:footnote>
  <w:footnote w:id="358">
    <w:p w14:paraId="151ABD93" w14:textId="443D7BE1" w:rsidR="000A4E61" w:rsidRPr="000C35A1" w:rsidRDefault="000A4E61" w:rsidP="000A4E61">
      <w:pPr>
        <w:pStyle w:val="FootnoteText"/>
      </w:pPr>
      <w:r w:rsidRPr="000C35A1">
        <w:rPr>
          <w:rStyle w:val="FootnoteReference"/>
        </w:rPr>
        <w:footnoteRef/>
      </w:r>
      <w:r w:rsidRPr="000C35A1">
        <w:t xml:space="preserve"> </w:t>
      </w:r>
      <w:r w:rsidR="000C35A1">
        <w:tab/>
      </w:r>
      <w:hyperlink r:id="rId249" w:history="1">
        <w:r w:rsidR="000C35A1" w:rsidRPr="00EC31B9">
          <w:rPr>
            <w:rStyle w:val="Hyperlink"/>
          </w:rPr>
          <w:t>https://pub.norden.org/temanord2024-524/2-legislative-frameworks-and-circular-economy-impacts.html</w:t>
        </w:r>
      </w:hyperlink>
      <w:r w:rsidRPr="000C35A1">
        <w:t xml:space="preserve"> </w:t>
      </w:r>
    </w:p>
  </w:footnote>
  <w:footnote w:id="359">
    <w:p w14:paraId="74DB8663" w14:textId="77777777" w:rsidR="00046DFF" w:rsidRPr="00532579" w:rsidRDefault="00046DFF" w:rsidP="00046DFF">
      <w:pPr>
        <w:pStyle w:val="FootnoteText"/>
        <w:rPr>
          <w:lang w:val="en-US"/>
        </w:rPr>
      </w:pPr>
      <w:r>
        <w:rPr>
          <w:rStyle w:val="FootnoteReference"/>
        </w:rPr>
        <w:footnoteRef/>
      </w:r>
      <w:r>
        <w:t xml:space="preserve"> T</w:t>
      </w:r>
      <w:r w:rsidRPr="00B70F1F">
        <w:t>he comparison is expressed in real terms, meaning that figures are adjusted for inflation. The 2</w:t>
      </w:r>
      <w:r>
        <w:t>9</w:t>
      </w:r>
      <w:r>
        <w:rPr>
          <w:lang w:val="lt-LT"/>
        </w:rPr>
        <w:t>.</w:t>
      </w:r>
      <w:r>
        <w:rPr>
          <w:lang w:val="en-US"/>
        </w:rPr>
        <w:t>5</w:t>
      </w:r>
      <w:r w:rsidRPr="00B70F1F">
        <w:t xml:space="preserve">%    </w:t>
      </w:r>
      <w:r>
        <w:t>increase</w:t>
      </w:r>
      <w:r w:rsidRPr="00B70F1F">
        <w:t xml:space="preserve"> refers to growth in constant prices over 2009–2023.</w:t>
      </w:r>
    </w:p>
  </w:footnote>
  <w:footnote w:id="360">
    <w:p w14:paraId="7E4A011D" w14:textId="4BE759F5" w:rsidR="000A4E61" w:rsidRPr="000C35A1" w:rsidRDefault="000A4E61" w:rsidP="000A4E61">
      <w:pPr>
        <w:pStyle w:val="FootnoteText"/>
      </w:pPr>
      <w:r w:rsidRPr="000C35A1">
        <w:rPr>
          <w:rStyle w:val="FootnoteReference"/>
        </w:rPr>
        <w:footnoteRef/>
      </w:r>
      <w:r w:rsidRPr="000C35A1">
        <w:t xml:space="preserve"> </w:t>
      </w:r>
      <w:r w:rsidR="000C35A1">
        <w:tab/>
      </w:r>
      <w:r w:rsidRPr="000C35A1">
        <w:t>It proved to be successful in reducing CO</w:t>
      </w:r>
      <w:r w:rsidRPr="000C35A1">
        <w:rPr>
          <w:vertAlign w:val="subscript"/>
        </w:rPr>
        <w:t>2</w:t>
      </w:r>
      <w:r w:rsidRPr="000C35A1">
        <w:t xml:space="preserve"> emissions from new vehicles but suffered from rebound effects (Dauteuil, Hanafi &amp; Jousseaume, 2020). </w:t>
      </w:r>
      <w:r w:rsidRPr="00C305AC">
        <w:rPr>
          <w:lang w:val="fr-BE"/>
        </w:rPr>
        <w:t xml:space="preserve">Dauteuil, M-L., Hanafi, O. &amp; Jousseaume, M. (2020). Environmental Taxation in France. </w:t>
      </w:r>
      <w:r w:rsidRPr="000C35A1">
        <w:t>Greening the French Culture of Taxation. CepInput No 12. https://www.cep.eu/fileadmin/user_upload/cep.eu/Studien/cepInput_Umweltsteuern_in_Frankreich/cepInput_Environmental_Taxation_France.pdf</w:t>
      </w:r>
    </w:p>
  </w:footnote>
  <w:footnote w:id="361">
    <w:p w14:paraId="78199FB5" w14:textId="406123D3" w:rsidR="000A4E61" w:rsidRPr="00BA7936" w:rsidRDefault="000A4E61" w:rsidP="005F2982">
      <w:pPr>
        <w:pStyle w:val="FootnoteText"/>
        <w:rPr>
          <w:lang w:val="fr-BE"/>
        </w:rPr>
      </w:pPr>
      <w:r w:rsidRPr="000C35A1">
        <w:rPr>
          <w:rStyle w:val="FootnoteReference"/>
        </w:rPr>
        <w:footnoteRef/>
      </w:r>
      <w:r w:rsidRPr="00C305AC">
        <w:rPr>
          <w:lang w:val="fr-BE"/>
        </w:rPr>
        <w:t xml:space="preserve"> </w:t>
      </w:r>
      <w:r w:rsidR="000C35A1" w:rsidRPr="00C305AC">
        <w:rPr>
          <w:lang w:val="fr-BE"/>
        </w:rPr>
        <w:tab/>
      </w:r>
      <w:r w:rsidRPr="00C305AC">
        <w:rPr>
          <w:lang w:val="fr-BE"/>
        </w:rPr>
        <w:t>Oosterhuis, F. (2022). Water abstraction charges (</w:t>
      </w:r>
      <w:r w:rsidR="005F2982" w:rsidRPr="005F2982">
        <w:rPr>
          <w:lang w:val="fr-BE"/>
        </w:rPr>
        <w:t>Redevances pour prélèvement sur la ressource en</w:t>
      </w:r>
      <w:r w:rsidR="005F2982">
        <w:rPr>
          <w:lang w:val="fr-BE"/>
        </w:rPr>
        <w:t xml:space="preserve"> </w:t>
      </w:r>
      <w:r w:rsidR="005F2982" w:rsidRPr="005F2982">
        <w:rPr>
          <w:lang w:val="fr-BE"/>
        </w:rPr>
        <w:t>eau</w:t>
      </w:r>
      <w:r w:rsidRPr="00C305AC">
        <w:rPr>
          <w:lang w:val="fr-BE"/>
        </w:rPr>
        <w:t xml:space="preserve">) in France). </w:t>
      </w:r>
      <w:r w:rsidRPr="000C35A1">
        <w:t xml:space="preserve">Institute for European Environmental Policy and Institute for Environmental Studies. </w:t>
      </w:r>
      <w:hyperlink r:id="rId250" w:history="1">
        <w:r w:rsidR="00C454F5" w:rsidRPr="00C24260">
          <w:rPr>
            <w:rStyle w:val="Hyperlink"/>
          </w:rPr>
          <w:t>https://ieep.eu/wp-content/uploads/2022/12/FR-Water-Abstraction-Charges-final.pdf</w:t>
        </w:r>
      </w:hyperlink>
      <w:r w:rsidR="00C454F5">
        <w:t xml:space="preserve"> </w:t>
      </w:r>
    </w:p>
  </w:footnote>
  <w:footnote w:id="362">
    <w:p w14:paraId="41590B5C" w14:textId="39E57401" w:rsidR="000A4E61" w:rsidRPr="00C305AC" w:rsidRDefault="000A4E61" w:rsidP="000C35A1">
      <w:pPr>
        <w:pStyle w:val="FootnoteText"/>
        <w:jc w:val="left"/>
        <w:rPr>
          <w:lang w:val="fr-BE"/>
        </w:rPr>
      </w:pPr>
      <w:r w:rsidRPr="000C35A1">
        <w:rPr>
          <w:rStyle w:val="FootnoteReference"/>
        </w:rPr>
        <w:footnoteRef/>
      </w:r>
      <w:r>
        <w:t xml:space="preserve"> </w:t>
      </w:r>
      <w:r w:rsidR="000C35A1">
        <w:tab/>
      </w:r>
      <w:r w:rsidRPr="000C35A1">
        <w:t xml:space="preserve">European Commission (2021). Ensuring that polluters pay. </w:t>
      </w:r>
      <w:r w:rsidRPr="00C305AC">
        <w:rPr>
          <w:lang w:val="fr-BE"/>
        </w:rPr>
        <w:t xml:space="preserve">France. </w:t>
      </w:r>
      <w:hyperlink r:id="rId251" w:history="1">
        <w:r w:rsidR="000C35A1" w:rsidRPr="00C305AC">
          <w:rPr>
            <w:rStyle w:val="Hyperlink"/>
            <w:lang w:val="fr-BE"/>
          </w:rPr>
          <w:t>https://environment</w:t>
        </w:r>
      </w:hyperlink>
      <w:r w:rsidRPr="00C305AC">
        <w:rPr>
          <w:lang w:val="fr-BE"/>
        </w:rPr>
        <w:t>.ec.europa.eu/system/files/2021-10/France.pdf</w:t>
      </w:r>
    </w:p>
  </w:footnote>
  <w:footnote w:id="363">
    <w:p w14:paraId="0EE14B7A" w14:textId="2556B0C3" w:rsidR="00670DB3" w:rsidRDefault="00670DB3">
      <w:pPr>
        <w:pStyle w:val="FootnoteText"/>
      </w:pPr>
      <w:r>
        <w:rPr>
          <w:rStyle w:val="FootnoteReference"/>
        </w:rPr>
        <w:footnoteRef/>
      </w:r>
      <w:r>
        <w:t xml:space="preserve"> </w:t>
      </w:r>
      <w:r w:rsidR="00A52432">
        <w:tab/>
      </w:r>
      <w:r w:rsidR="00A52432">
        <w:rPr>
          <w:rFonts w:ascii="Calibri" w:eastAsia="Times New Roman" w:hAnsi="Calibri" w:cs="Calibri"/>
          <w:lang w:eastAsia="en-GB"/>
        </w:rPr>
        <w:t>T</w:t>
      </w:r>
      <w:r w:rsidR="00A52432" w:rsidRPr="61B7A57B">
        <w:rPr>
          <w:rFonts w:ascii="Calibri" w:eastAsia="Times New Roman" w:hAnsi="Calibri" w:cs="Calibri"/>
          <w:lang w:eastAsia="en-GB"/>
        </w:rPr>
        <w:t>axe d’enlvèment des ordures ménagères (TEOM)</w:t>
      </w:r>
      <w:r w:rsidR="00A52432">
        <w:rPr>
          <w:rFonts w:ascii="Calibri" w:eastAsia="Times New Roman" w:hAnsi="Calibri" w:cs="Calibri"/>
          <w:lang w:eastAsia="en-GB"/>
        </w:rPr>
        <w:t>.</w:t>
      </w:r>
    </w:p>
  </w:footnote>
  <w:footnote w:id="364">
    <w:p w14:paraId="10159E71" w14:textId="19AD2A43" w:rsidR="000A4E61" w:rsidRPr="00C305AC" w:rsidRDefault="000A4E61" w:rsidP="000C35A1">
      <w:pPr>
        <w:pStyle w:val="FootnoteText"/>
        <w:jc w:val="left"/>
        <w:rPr>
          <w:sz w:val="16"/>
          <w:szCs w:val="16"/>
          <w:lang w:val="fr-BE"/>
        </w:rPr>
      </w:pPr>
      <w:r w:rsidRPr="000C35A1">
        <w:rPr>
          <w:rStyle w:val="FootnoteReference"/>
        </w:rPr>
        <w:footnoteRef/>
      </w:r>
      <w:r w:rsidRPr="00C305AC">
        <w:rPr>
          <w:lang w:val="fr-BE"/>
        </w:rPr>
        <w:t xml:space="preserve"> </w:t>
      </w:r>
      <w:r w:rsidR="000C35A1" w:rsidRPr="00C305AC">
        <w:rPr>
          <w:lang w:val="fr-BE"/>
        </w:rPr>
        <w:tab/>
      </w:r>
      <w:r w:rsidRPr="00C305AC">
        <w:rPr>
          <w:lang w:val="fr-BE"/>
        </w:rPr>
        <w:t>Finances Publiques (2024). French tax law. https://www.impots.gouv.fr/sites/default/files/media/3_Documentation/brochures/french_tax_law_brochure_2024.pdf</w:t>
      </w:r>
    </w:p>
  </w:footnote>
  <w:footnote w:id="365">
    <w:p w14:paraId="286C1C9C" w14:textId="22387A78" w:rsidR="000A4E61" w:rsidRPr="004F0767" w:rsidRDefault="000A4E61" w:rsidP="000A4E61">
      <w:pPr>
        <w:pStyle w:val="FootnoteText"/>
        <w:rPr>
          <w:lang w:val="fr-FR"/>
        </w:rPr>
      </w:pPr>
      <w:r w:rsidRPr="00EA4C9B">
        <w:rPr>
          <w:rStyle w:val="FootnoteReference"/>
        </w:rPr>
        <w:footnoteRef/>
      </w:r>
      <w:r w:rsidR="000C35A1" w:rsidRPr="00C305AC">
        <w:rPr>
          <w:lang w:val="fr-BE"/>
        </w:rPr>
        <w:t xml:space="preserve"> </w:t>
      </w:r>
      <w:r w:rsidR="000C35A1" w:rsidRPr="00C305AC">
        <w:rPr>
          <w:lang w:val="fr-BE"/>
        </w:rPr>
        <w:tab/>
      </w:r>
      <w:r w:rsidRPr="00C305AC">
        <w:rPr>
          <w:lang w:val="fr-BE"/>
        </w:rPr>
        <w:t xml:space="preserve">European Commission. 2025. 2025 European Semester: Country Specific Recommendation / Commission Recommendation – France. </w:t>
      </w:r>
      <w:hyperlink r:id="rId252" w:history="1">
        <w:r w:rsidRPr="004F0767">
          <w:rPr>
            <w:rStyle w:val="Hyperlink"/>
            <w:lang w:val="fr-FR"/>
          </w:rPr>
          <w:t>9f4d2810-f2df-4b16-8eb8-7189923a7622_en</w:t>
        </w:r>
      </w:hyperlink>
    </w:p>
  </w:footnote>
  <w:footnote w:id="366">
    <w:p w14:paraId="5692520E" w14:textId="6BBF0FE7" w:rsidR="000A4E61" w:rsidRPr="00C305AC" w:rsidRDefault="000A4E61" w:rsidP="000A4E61">
      <w:pPr>
        <w:pStyle w:val="FootnoteText"/>
        <w:rPr>
          <w:lang w:val="fr-BE"/>
        </w:rPr>
      </w:pPr>
      <w:r w:rsidRPr="000C35A1">
        <w:rPr>
          <w:rStyle w:val="FootnoteReference"/>
        </w:rPr>
        <w:footnoteRef/>
      </w:r>
      <w:r w:rsidRPr="004F0767">
        <w:rPr>
          <w:lang w:val="fr-FR"/>
        </w:rPr>
        <w:t xml:space="preserve"> </w:t>
      </w:r>
      <w:r w:rsidR="000C35A1" w:rsidRPr="004F0767">
        <w:rPr>
          <w:lang w:val="fr-FR"/>
        </w:rPr>
        <w:tab/>
      </w:r>
      <w:r w:rsidRPr="004F0767">
        <w:rPr>
          <w:lang w:val="fr-FR"/>
        </w:rPr>
        <w:t xml:space="preserve">Le Nouveau, N.  et al. </w:t>
      </w:r>
      <w:r w:rsidRPr="000C35A1">
        <w:t xml:space="preserve">(2013). Urban stormwater management fee revealing public action. </w:t>
      </w:r>
      <w:r w:rsidRPr="00C305AC">
        <w:rPr>
          <w:lang w:val="fr-BE"/>
        </w:rPr>
        <w:t xml:space="preserve">Analysis of the first French experiences [La taxe pour la gestion des eaux pluviales urbaines, un révélateur de l'action publique: Analyse des premières expériences en France]. LEESU - Laboratoire Eau, Environnement et Systèmes Urbains. https://hal.science/hal-00945498 </w:t>
      </w:r>
    </w:p>
  </w:footnote>
  <w:footnote w:id="367">
    <w:p w14:paraId="4662C491" w14:textId="1BD2079B" w:rsidR="000A4E61" w:rsidRPr="00C305AC" w:rsidRDefault="000A4E61" w:rsidP="000A4E61">
      <w:pPr>
        <w:pStyle w:val="FootnoteText"/>
        <w:rPr>
          <w:lang w:val="fr-BE"/>
        </w:rPr>
      </w:pPr>
      <w:r w:rsidRPr="000C35A1">
        <w:rPr>
          <w:rStyle w:val="FootnoteReference"/>
        </w:rPr>
        <w:footnoteRef/>
      </w:r>
      <w:r w:rsidRPr="00C305AC">
        <w:rPr>
          <w:lang w:val="fr-BE"/>
        </w:rPr>
        <w:t xml:space="preserve"> </w:t>
      </w:r>
      <w:r w:rsidR="000C35A1" w:rsidRPr="00C305AC">
        <w:rPr>
          <w:lang w:val="fr-BE"/>
        </w:rPr>
        <w:tab/>
      </w:r>
      <w:r w:rsidRPr="00C305AC">
        <w:rPr>
          <w:lang w:val="fr-BE"/>
        </w:rPr>
        <w:t>https://learnandconnect.pollutec.com/en/tgap-everything-you-need-to-know-about-this-environmental-tax/</w:t>
      </w:r>
    </w:p>
  </w:footnote>
  <w:footnote w:id="368">
    <w:p w14:paraId="561BD494" w14:textId="3D79221A" w:rsidR="000A4E61" w:rsidRPr="000C35A1" w:rsidRDefault="000A4E61" w:rsidP="000C35A1">
      <w:pPr>
        <w:pStyle w:val="FootnoteText"/>
        <w:jc w:val="left"/>
      </w:pPr>
      <w:r w:rsidRPr="000C35A1">
        <w:rPr>
          <w:rStyle w:val="FootnoteReference"/>
        </w:rPr>
        <w:footnoteRef/>
      </w:r>
      <w:r w:rsidR="00F33E5C">
        <w:t xml:space="preserve"> </w:t>
      </w:r>
      <w:r w:rsidR="00F33E5C">
        <w:tab/>
      </w:r>
      <w:hyperlink r:id="rId253" w:history="1">
        <w:r w:rsidR="00F33E5C" w:rsidRPr="00E807B3">
          <w:rPr>
            <w:rStyle w:val="Hyperlink"/>
          </w:rPr>
          <w:t>https://www.iges.or.jp/en/publication_documents/pub/workingpaper/en/5983/The_Rise_of_Carbon_</w:t>
        </w:r>
      </w:hyperlink>
      <w:r w:rsidR="00002698">
        <w:t xml:space="preserve"> </w:t>
      </w:r>
      <w:r w:rsidRPr="000C35A1">
        <w:t>Taxation_in_France_Rocamora_May_2017.pdf</w:t>
      </w:r>
    </w:p>
  </w:footnote>
  <w:footnote w:id="369">
    <w:p w14:paraId="04B70CCF" w14:textId="0958DA6C" w:rsidR="000A4E61" w:rsidRPr="000C35A1" w:rsidRDefault="000A4E61" w:rsidP="000A4E61">
      <w:pPr>
        <w:pStyle w:val="FootnoteText"/>
      </w:pPr>
      <w:r w:rsidRPr="000C35A1">
        <w:rPr>
          <w:rStyle w:val="FootnoteReference"/>
        </w:rPr>
        <w:footnoteRef/>
      </w:r>
      <w:r w:rsidRPr="000C35A1">
        <w:t xml:space="preserve"> </w:t>
      </w:r>
      <w:r w:rsidR="000C35A1">
        <w:tab/>
      </w:r>
      <w:r w:rsidRPr="000C35A1">
        <w:t>https://shs.cairn.info/revue-d-economie-politique-2017-3-page-353?lang=fr</w:t>
      </w:r>
    </w:p>
  </w:footnote>
  <w:footnote w:id="370">
    <w:p w14:paraId="7D7308E8" w14:textId="5437D82B" w:rsidR="000A4E61" w:rsidRPr="00EA4C9B" w:rsidRDefault="000A4E61" w:rsidP="000C35A1">
      <w:pPr>
        <w:pStyle w:val="FootnoteText"/>
        <w:jc w:val="left"/>
      </w:pPr>
      <w:r w:rsidRPr="000C35A1">
        <w:rPr>
          <w:rStyle w:val="FootnoteReference"/>
        </w:rPr>
        <w:footnoteRef/>
      </w:r>
      <w:r w:rsidR="000C35A1">
        <w:t xml:space="preserve"> </w:t>
      </w:r>
      <w:r w:rsidR="000C35A1">
        <w:tab/>
      </w:r>
      <w:r w:rsidRPr="000C35A1">
        <w:t>https://cms.law/en/int/expert-guides/cms-expert-guide-to-climate-change-tax-reforms-and-incentives/france</w:t>
      </w:r>
    </w:p>
  </w:footnote>
  <w:footnote w:id="371">
    <w:p w14:paraId="4129B6D3" w14:textId="507698D5" w:rsidR="000A4E61" w:rsidRPr="00C305AC" w:rsidRDefault="000A4E61" w:rsidP="000A4E61">
      <w:pPr>
        <w:pStyle w:val="FootnoteText"/>
        <w:rPr>
          <w:lang w:val="fr-BE"/>
        </w:rPr>
      </w:pPr>
      <w:r w:rsidRPr="00EA4C9B">
        <w:rPr>
          <w:rStyle w:val="FootnoteReference"/>
        </w:rPr>
        <w:footnoteRef/>
      </w:r>
      <w:r w:rsidR="000C35A1" w:rsidRPr="00C305AC">
        <w:rPr>
          <w:lang w:val="fr-BE"/>
        </w:rPr>
        <w:t xml:space="preserve"> </w:t>
      </w:r>
      <w:r w:rsidR="000C35A1" w:rsidRPr="00C305AC">
        <w:rPr>
          <w:lang w:val="fr-BE"/>
        </w:rPr>
        <w:tab/>
      </w:r>
      <w:r w:rsidRPr="00C305AC">
        <w:rPr>
          <w:lang w:val="fr-BE"/>
        </w:rPr>
        <w:t xml:space="preserve">European Commission. 2025. 2025 European Semester: Country Specific Recommendation / Commission Recommendation – France. </w:t>
      </w:r>
      <w:hyperlink r:id="rId254" w:history="1">
        <w:r w:rsidRPr="00C305AC">
          <w:rPr>
            <w:rStyle w:val="Hyperlink"/>
            <w:lang w:val="fr-BE"/>
          </w:rPr>
          <w:t>9f4d2810-f2df-4b16-8eb8-7189923a7622_en</w:t>
        </w:r>
      </w:hyperlink>
    </w:p>
  </w:footnote>
  <w:footnote w:id="372">
    <w:p w14:paraId="785790F2" w14:textId="49D6953F" w:rsidR="000A4E61" w:rsidRPr="004F0767" w:rsidRDefault="000A4E61" w:rsidP="000A4E61">
      <w:pPr>
        <w:pStyle w:val="FootnoteText"/>
        <w:rPr>
          <w:lang w:val="nl-NL"/>
        </w:rPr>
      </w:pPr>
      <w:r w:rsidRPr="00EA4C9B">
        <w:rPr>
          <w:rStyle w:val="FootnoteReference"/>
        </w:rPr>
        <w:footnoteRef/>
      </w:r>
      <w:r w:rsidRPr="00C305AC">
        <w:rPr>
          <w:lang w:val="fr-BE"/>
        </w:rPr>
        <w:t xml:space="preserve"> </w:t>
      </w:r>
      <w:r w:rsidR="000C35A1" w:rsidRPr="00C305AC">
        <w:rPr>
          <w:lang w:val="fr-BE"/>
        </w:rPr>
        <w:tab/>
      </w:r>
      <w:r w:rsidRPr="00C305AC">
        <w:rPr>
          <w:lang w:val="fr-BE"/>
        </w:rPr>
        <w:t xml:space="preserve">Oosterhuis, F. (2022). Water abstraction charges (Redevances pour prélèvement sur la ressource en eau) in France. </w:t>
      </w:r>
      <w:r w:rsidRPr="004F0767">
        <w:rPr>
          <w:lang w:val="nl-NL"/>
        </w:rPr>
        <w:t>IEEP. https://ieep.eu/wp-content/uploads/2022/12/FR-Water-Abstraction-Charges-final.pdf</w:t>
      </w:r>
    </w:p>
  </w:footnote>
  <w:footnote w:id="373">
    <w:p w14:paraId="52607B04" w14:textId="48286FFF" w:rsidR="000A4E61" w:rsidRPr="000C35A1" w:rsidRDefault="000A4E61" w:rsidP="000A4E61">
      <w:pPr>
        <w:pStyle w:val="FootnoteText"/>
      </w:pPr>
      <w:r w:rsidRPr="000C35A1">
        <w:rPr>
          <w:rStyle w:val="FootnoteReference"/>
        </w:rPr>
        <w:footnoteRef/>
      </w:r>
      <w:r w:rsidRPr="000C35A1">
        <w:t xml:space="preserve"> </w:t>
      </w:r>
      <w:r w:rsidR="000C35A1">
        <w:tab/>
      </w:r>
      <w:r w:rsidRPr="000C35A1">
        <w:t>Chiroleu-Assouline, M. (2015). Can French environmental taxes really turn into green taxes? Paris School of Economics. https://www.parisschoolofeconomics.eu/en/publications-hal/can-environmental-taxation-in-france-become-truly-ecological/</w:t>
      </w:r>
    </w:p>
  </w:footnote>
  <w:footnote w:id="374">
    <w:p w14:paraId="57628127" w14:textId="77777777" w:rsidR="00F51A09" w:rsidRPr="00F82517" w:rsidRDefault="00F51A09" w:rsidP="00F51A09">
      <w:pPr>
        <w:pStyle w:val="FootnoteText"/>
        <w:rPr>
          <w:lang w:val="it-IT"/>
        </w:rPr>
      </w:pPr>
      <w:r>
        <w:rPr>
          <w:rStyle w:val="FootnoteReference"/>
        </w:rPr>
        <w:footnoteRef/>
      </w:r>
      <w:r>
        <w:t xml:space="preserve"> </w:t>
      </w:r>
      <w:r w:rsidRPr="001A6658">
        <w:rPr>
          <w:i/>
          <w:iCs/>
        </w:rPr>
        <w:t>France, 2025 EU waste recycling targets – State of play</w:t>
      </w:r>
      <w:r w:rsidRPr="001A6658">
        <w:t>, Publications Office of the European Union, 2023, </w:t>
      </w:r>
      <w:hyperlink r:id="rId255" w:tgtFrame="_blank" w:history="1">
        <w:r w:rsidRPr="001A6658">
          <w:rPr>
            <w:rStyle w:val="Hyperlink"/>
            <w:b/>
            <w:bCs/>
          </w:rPr>
          <w:t>https://data.europa.eu/doi/10.2779/392014</w:t>
        </w:r>
      </w:hyperlink>
    </w:p>
  </w:footnote>
  <w:footnote w:id="375">
    <w:p w14:paraId="1B406D0F" w14:textId="116C81CB" w:rsidR="000A4E61" w:rsidRPr="004F0767" w:rsidRDefault="000A4E61" w:rsidP="000A4E61">
      <w:pPr>
        <w:pStyle w:val="FootnoteText"/>
      </w:pPr>
      <w:r w:rsidRPr="00EA4C9B">
        <w:rPr>
          <w:rStyle w:val="FootnoteReference"/>
        </w:rPr>
        <w:footnoteRef/>
      </w:r>
      <w:r w:rsidR="000C35A1">
        <w:t xml:space="preserve"> </w:t>
      </w:r>
      <w:r w:rsidR="000C35A1">
        <w:tab/>
      </w:r>
      <w:r w:rsidRPr="000C35A1">
        <w:t xml:space="preserve">European Commission. 2025. 2025 European Semester: Country Specific Recommendation / Commission Recommendation – France. </w:t>
      </w:r>
      <w:hyperlink r:id="rId256" w:history="1">
        <w:r w:rsidRPr="004F0767">
          <w:rPr>
            <w:rStyle w:val="Hyperlink"/>
          </w:rPr>
          <w:t>9f4d2810-f2df-4b16-8eb8-7189923a7622_en</w:t>
        </w:r>
      </w:hyperlink>
    </w:p>
  </w:footnote>
  <w:footnote w:id="376">
    <w:p w14:paraId="60BD9909" w14:textId="77777777" w:rsidR="0096644A" w:rsidRPr="00B70F1F" w:rsidRDefault="0096644A" w:rsidP="0096644A">
      <w:pPr>
        <w:pStyle w:val="FootnoteText"/>
        <w:rPr>
          <w:lang w:val="en-US"/>
        </w:rPr>
      </w:pPr>
      <w:r>
        <w:rPr>
          <w:rStyle w:val="FootnoteReference"/>
        </w:rPr>
        <w:footnoteRef/>
      </w:r>
      <w:r>
        <w:t xml:space="preserve"> </w:t>
      </w:r>
      <w:r w:rsidRPr="00EE1171">
        <w:t>The comparison is expressed in real terms, meaning that figures are adjusted for inflation. The 2</w:t>
      </w:r>
      <w:r>
        <w:t>0</w:t>
      </w:r>
      <w:r>
        <w:rPr>
          <w:lang w:val="lt-LT"/>
        </w:rPr>
        <w:t>.</w:t>
      </w:r>
      <w:r>
        <w:rPr>
          <w:lang w:val="en-US"/>
        </w:rPr>
        <w:t>0</w:t>
      </w:r>
      <w:r w:rsidRPr="00EE1171">
        <w:t xml:space="preserve">%    </w:t>
      </w:r>
      <w:r>
        <w:t>in</w:t>
      </w:r>
      <w:r w:rsidRPr="00EE1171">
        <w:t>crease refers to growth in constant prices over 2009–2023.</w:t>
      </w:r>
    </w:p>
  </w:footnote>
  <w:footnote w:id="377">
    <w:p w14:paraId="3860347C" w14:textId="3952DB6D" w:rsidR="000A4E61" w:rsidRPr="00FB1209" w:rsidRDefault="000A4E61" w:rsidP="000C35A1">
      <w:pPr>
        <w:spacing w:after="0"/>
        <w:ind w:left="284" w:hanging="284"/>
        <w:jc w:val="left"/>
        <w:rPr>
          <w:sz w:val="20"/>
          <w:szCs w:val="20"/>
        </w:rPr>
      </w:pPr>
      <w:r w:rsidRPr="00B547E8">
        <w:rPr>
          <w:rStyle w:val="FootnoteReference"/>
          <w:sz w:val="20"/>
          <w:szCs w:val="20"/>
        </w:rPr>
        <w:footnoteRef/>
      </w:r>
      <w:r w:rsidR="000C35A1" w:rsidRPr="00FB1209">
        <w:rPr>
          <w:sz w:val="20"/>
          <w:szCs w:val="20"/>
        </w:rPr>
        <w:t xml:space="preserve">  </w:t>
      </w:r>
      <w:hyperlink r:id="rId257" w:anchor="475172" w:history="1">
        <w:r w:rsidR="000C35A1" w:rsidRPr="00FB1209">
          <w:rPr>
            <w:rStyle w:val="Hyperlink"/>
            <w:rFonts w:ascii="Segoe UI" w:eastAsia="Segoe UI" w:hAnsi="Segoe UI" w:cs="Segoe UI"/>
            <w:sz w:val="20"/>
            <w:szCs w:val="20"/>
          </w:rPr>
          <w:t>https://www.destatis.de/EN/Themes/Society-Environment/Environment/Environmental-Economic-Accounting/taxes-other-duties/_node.html#475172</w:t>
        </w:r>
      </w:hyperlink>
      <w:r w:rsidRPr="00FB1209">
        <w:rPr>
          <w:rFonts w:ascii="Segoe UI" w:eastAsia="Segoe UI" w:hAnsi="Segoe UI" w:cs="Segoe UI"/>
          <w:color w:val="000000" w:themeColor="text1"/>
          <w:sz w:val="20"/>
          <w:szCs w:val="20"/>
        </w:rPr>
        <w:t xml:space="preserve"> </w:t>
      </w:r>
    </w:p>
  </w:footnote>
  <w:footnote w:id="378">
    <w:p w14:paraId="5DCA4AA4" w14:textId="7D846FFB" w:rsidR="000A4E61" w:rsidRPr="00C305AC" w:rsidRDefault="000A4E61" w:rsidP="000C35A1">
      <w:pPr>
        <w:pStyle w:val="FootnoteText"/>
        <w:jc w:val="left"/>
        <w:rPr>
          <w:lang w:val="fr-BE"/>
        </w:rPr>
      </w:pPr>
      <w:r w:rsidRPr="00EA4C9B">
        <w:rPr>
          <w:rStyle w:val="FootnoteReference"/>
        </w:rPr>
        <w:footnoteRef/>
      </w:r>
      <w:r w:rsidRPr="00C305AC">
        <w:rPr>
          <w:lang w:val="fr-BE"/>
        </w:rPr>
        <w:t xml:space="preserve"> </w:t>
      </w:r>
      <w:r w:rsidR="000C35A1" w:rsidRPr="00C305AC">
        <w:rPr>
          <w:lang w:val="fr-BE"/>
        </w:rPr>
        <w:tab/>
      </w:r>
      <w:r w:rsidRPr="00C305AC">
        <w:rPr>
          <w:lang w:val="fr-BE"/>
        </w:rPr>
        <w:t xml:space="preserve">Source: </w:t>
      </w:r>
      <w:hyperlink r:id="rId258" w:history="1">
        <w:r w:rsidRPr="00C305AC">
          <w:rPr>
            <w:rStyle w:val="Hyperlink"/>
            <w:lang w:val="fr-BE"/>
          </w:rPr>
          <w:t>https://www.destatis.de/EN/Themes/Society-Environment/Environment/Environmental-Economic-Accounting/taxes-other-duties/environment-related-tax-revenue.html</w:t>
        </w:r>
      </w:hyperlink>
      <w:r w:rsidRPr="00C305AC">
        <w:rPr>
          <w:lang w:val="fr-BE"/>
        </w:rPr>
        <w:t xml:space="preserve"> </w:t>
      </w:r>
    </w:p>
  </w:footnote>
  <w:footnote w:id="379">
    <w:p w14:paraId="349E6E5D" w14:textId="596E74D2" w:rsidR="000A4E61" w:rsidRPr="00C305AC" w:rsidRDefault="000A4E61" w:rsidP="000C35A1">
      <w:pPr>
        <w:pStyle w:val="FootnoteText"/>
        <w:jc w:val="left"/>
        <w:rPr>
          <w:lang w:val="fr-BE"/>
        </w:rPr>
      </w:pPr>
      <w:r w:rsidRPr="00EA4C9B">
        <w:rPr>
          <w:rStyle w:val="FootnoteReference"/>
        </w:rPr>
        <w:footnoteRef/>
      </w:r>
      <w:r w:rsidRPr="00C305AC">
        <w:rPr>
          <w:lang w:val="fr-BE"/>
        </w:rPr>
        <w:t xml:space="preserve"> </w:t>
      </w:r>
      <w:r w:rsidR="000C35A1" w:rsidRPr="00C305AC">
        <w:rPr>
          <w:lang w:val="fr-BE"/>
        </w:rPr>
        <w:tab/>
      </w:r>
      <w:r w:rsidRPr="00C305AC">
        <w:rPr>
          <w:lang w:val="fr-BE"/>
        </w:rPr>
        <w:t xml:space="preserve">Source: </w:t>
      </w:r>
      <w:hyperlink r:id="rId259" w:history="1">
        <w:r w:rsidRPr="00C305AC">
          <w:rPr>
            <w:rStyle w:val="Hyperlink"/>
            <w:lang w:val="fr-BE"/>
          </w:rPr>
          <w:t>https://www.bundesregierung.de/breg-de/aktuelles/co2-preis-kohle-abfallbrennstoffe-2061622</w:t>
        </w:r>
      </w:hyperlink>
      <w:r w:rsidRPr="00C305AC">
        <w:rPr>
          <w:lang w:val="fr-BE"/>
        </w:rPr>
        <w:t xml:space="preserve"> </w:t>
      </w:r>
    </w:p>
  </w:footnote>
  <w:footnote w:id="380">
    <w:p w14:paraId="3CFCB822" w14:textId="0014BD88" w:rsidR="000A4E61" w:rsidRPr="00C305AC" w:rsidRDefault="000A4E61" w:rsidP="000C35A1">
      <w:pPr>
        <w:pStyle w:val="FootnoteText"/>
        <w:jc w:val="left"/>
        <w:rPr>
          <w:lang w:val="fr-BE"/>
        </w:rPr>
      </w:pPr>
      <w:r w:rsidRPr="00EA4C9B">
        <w:rPr>
          <w:rStyle w:val="FootnoteReference"/>
        </w:rPr>
        <w:footnoteRef/>
      </w:r>
      <w:r w:rsidRPr="00C305AC">
        <w:rPr>
          <w:lang w:val="fr-BE"/>
        </w:rPr>
        <w:t xml:space="preserve"> </w:t>
      </w:r>
      <w:r w:rsidR="000C35A1" w:rsidRPr="00C305AC">
        <w:rPr>
          <w:lang w:val="fr-BE"/>
        </w:rPr>
        <w:tab/>
      </w:r>
      <w:r w:rsidR="00DD3CF5" w:rsidRPr="00C305AC">
        <w:rPr>
          <w:lang w:val="fr-BE"/>
        </w:rPr>
        <w:t>Source:</w:t>
      </w:r>
      <w:r w:rsidRPr="00C305AC">
        <w:rPr>
          <w:lang w:val="fr-BE"/>
        </w:rPr>
        <w:t xml:space="preserve"> </w:t>
      </w:r>
      <w:r w:rsidR="0024202B" w:rsidRPr="00C305AC">
        <w:rPr>
          <w:lang w:val="fr-BE"/>
        </w:rPr>
        <w:t>https://www.bmwk.de/Redaktion/EN/Pressemitteilungen/2022/07/20220713-national-fuel-emissions-trading-end-to-exceptions-for-burning-of-coal-and-waste.html?</w:t>
      </w:r>
    </w:p>
  </w:footnote>
  <w:footnote w:id="381">
    <w:p w14:paraId="4630BBBB" w14:textId="433B6A6B" w:rsidR="000A4E61" w:rsidRPr="00C305AC" w:rsidRDefault="000A4E61" w:rsidP="000C35A1">
      <w:pPr>
        <w:pStyle w:val="FootnoteText"/>
        <w:jc w:val="left"/>
        <w:rPr>
          <w:lang w:val="fr-BE"/>
        </w:rPr>
      </w:pPr>
      <w:r w:rsidRPr="00EA4C9B">
        <w:rPr>
          <w:rStyle w:val="FootnoteReference"/>
        </w:rPr>
        <w:footnoteRef/>
      </w:r>
      <w:r w:rsidRPr="00C305AC">
        <w:rPr>
          <w:lang w:val="fr-BE"/>
        </w:rPr>
        <w:t xml:space="preserve"> </w:t>
      </w:r>
      <w:r w:rsidR="000C35A1" w:rsidRPr="00C305AC">
        <w:rPr>
          <w:lang w:val="fr-BE"/>
        </w:rPr>
        <w:tab/>
      </w:r>
      <w:r w:rsidR="00DD3CF5" w:rsidRPr="00C305AC">
        <w:rPr>
          <w:lang w:val="fr-BE"/>
        </w:rPr>
        <w:t>Source:</w:t>
      </w:r>
      <w:r w:rsidRPr="00C305AC">
        <w:rPr>
          <w:lang w:val="fr-BE"/>
        </w:rPr>
        <w:t xml:space="preserve"> </w:t>
      </w:r>
      <w:hyperlink r:id="rId260" w:history="1">
        <w:r w:rsidRPr="00C305AC">
          <w:rPr>
            <w:rStyle w:val="Hyperlink"/>
            <w:lang w:val="fr-BE"/>
          </w:rPr>
          <w:t>https://icapcarbonaction.com/en/ets/german-national-emissions-trading-system</w:t>
        </w:r>
      </w:hyperlink>
      <w:r w:rsidRPr="00C305AC">
        <w:rPr>
          <w:lang w:val="fr-BE"/>
        </w:rPr>
        <w:t xml:space="preserve"> </w:t>
      </w:r>
    </w:p>
  </w:footnote>
  <w:footnote w:id="382">
    <w:p w14:paraId="569EC46E" w14:textId="52823685" w:rsidR="000A4E61" w:rsidRPr="00C305AC" w:rsidRDefault="000A4E61" w:rsidP="000C35A1">
      <w:pPr>
        <w:pStyle w:val="FootnoteText"/>
        <w:jc w:val="left"/>
        <w:rPr>
          <w:lang w:val="fr-BE"/>
        </w:rPr>
      </w:pPr>
      <w:r w:rsidRPr="00EA4C9B">
        <w:rPr>
          <w:rStyle w:val="FootnoteReference"/>
        </w:rPr>
        <w:footnoteRef/>
      </w:r>
      <w:r w:rsidRPr="00C305AC">
        <w:rPr>
          <w:lang w:val="fr-BE"/>
        </w:rPr>
        <w:t xml:space="preserve"> </w:t>
      </w:r>
      <w:r w:rsidR="000C35A1" w:rsidRPr="00C305AC">
        <w:rPr>
          <w:lang w:val="fr-BE"/>
        </w:rPr>
        <w:tab/>
      </w:r>
      <w:r w:rsidRPr="00C305AC">
        <w:rPr>
          <w:lang w:val="fr-BE"/>
        </w:rPr>
        <w:t xml:space="preserve">Source: </w:t>
      </w:r>
      <w:hyperlink r:id="rId261" w:history="1">
        <w:r w:rsidRPr="00C305AC">
          <w:rPr>
            <w:rStyle w:val="Hyperlink"/>
            <w:lang w:val="fr-BE"/>
          </w:rPr>
          <w:t>https://www.destatis.de/EN/Themes/Society-Environment/Environment/Water-Management/Tables/tw-08-charges-for-drinking-water-tariff-areas-2020-2022.html</w:t>
        </w:r>
      </w:hyperlink>
      <w:r w:rsidRPr="00C305AC">
        <w:rPr>
          <w:lang w:val="fr-BE"/>
        </w:rPr>
        <w:t xml:space="preserve"> </w:t>
      </w:r>
    </w:p>
  </w:footnote>
  <w:footnote w:id="383">
    <w:p w14:paraId="23E2A573" w14:textId="68726F85" w:rsidR="000A4E61" w:rsidRPr="00C305AC" w:rsidRDefault="000A4E61" w:rsidP="000C35A1">
      <w:pPr>
        <w:pStyle w:val="FootnoteText"/>
        <w:jc w:val="left"/>
        <w:rPr>
          <w:lang w:val="fr-BE"/>
        </w:rPr>
      </w:pPr>
      <w:r w:rsidRPr="00EA4C9B">
        <w:rPr>
          <w:rStyle w:val="FootnoteReference"/>
        </w:rPr>
        <w:footnoteRef/>
      </w:r>
      <w:r w:rsidRPr="00C305AC">
        <w:rPr>
          <w:lang w:val="fr-BE"/>
        </w:rPr>
        <w:t xml:space="preserve"> </w:t>
      </w:r>
      <w:r w:rsidR="000C35A1" w:rsidRPr="00C305AC">
        <w:rPr>
          <w:lang w:val="fr-BE"/>
        </w:rPr>
        <w:tab/>
      </w:r>
      <w:r w:rsidRPr="00C305AC">
        <w:rPr>
          <w:lang w:val="fr-BE"/>
        </w:rPr>
        <w:t xml:space="preserve">Source: </w:t>
      </w:r>
      <w:hyperlink r:id="rId262" w:history="1">
        <w:r w:rsidRPr="00C305AC">
          <w:rPr>
            <w:rStyle w:val="Hyperlink"/>
            <w:lang w:val="fr-BE"/>
          </w:rPr>
          <w:t>https://www.bwb.de/en/1720.php</w:t>
        </w:r>
      </w:hyperlink>
      <w:r w:rsidRPr="00C305AC">
        <w:rPr>
          <w:lang w:val="fr-BE"/>
        </w:rPr>
        <w:t xml:space="preserve"> </w:t>
      </w:r>
    </w:p>
  </w:footnote>
  <w:footnote w:id="384">
    <w:p w14:paraId="48F1FF6C" w14:textId="092D2E0B" w:rsidR="000A4E61" w:rsidRPr="00C305AC" w:rsidRDefault="000A4E61" w:rsidP="000C35A1">
      <w:pPr>
        <w:pStyle w:val="FootnoteText"/>
        <w:jc w:val="left"/>
        <w:rPr>
          <w:lang w:val="fr-BE"/>
        </w:rPr>
      </w:pPr>
      <w:r w:rsidRPr="00EA4C9B">
        <w:rPr>
          <w:rStyle w:val="FootnoteReference"/>
        </w:rPr>
        <w:footnoteRef/>
      </w:r>
      <w:r w:rsidRPr="00C305AC">
        <w:rPr>
          <w:lang w:val="fr-BE"/>
        </w:rPr>
        <w:t xml:space="preserve"> </w:t>
      </w:r>
      <w:r w:rsidR="000C35A1" w:rsidRPr="00C305AC">
        <w:rPr>
          <w:lang w:val="fr-BE"/>
        </w:rPr>
        <w:tab/>
      </w:r>
      <w:r w:rsidRPr="00C305AC">
        <w:rPr>
          <w:lang w:val="fr-BE"/>
        </w:rPr>
        <w:t xml:space="preserve">Source: </w:t>
      </w:r>
      <w:hyperlink r:id="rId263" w:anchor="fussnote-3-643118" w:history="1">
        <w:r w:rsidRPr="00C305AC">
          <w:rPr>
            <w:rStyle w:val="Hyperlink"/>
            <w:lang w:val="fr-BE"/>
          </w:rPr>
          <w:t>https://www.destatis.de/EN/Themes/Society-Environment/Environment/Water-Management/Tables/tw-08-charges-for-drinking-water-tariff-areas-2020-2022.html#fussnote-3-643118</w:t>
        </w:r>
      </w:hyperlink>
      <w:r w:rsidRPr="00C305AC">
        <w:rPr>
          <w:lang w:val="fr-BE"/>
        </w:rPr>
        <w:t xml:space="preserve"> </w:t>
      </w:r>
    </w:p>
  </w:footnote>
  <w:footnote w:id="385">
    <w:p w14:paraId="06E0B97D" w14:textId="0908310E" w:rsidR="000A4E61" w:rsidRPr="00C305AC" w:rsidRDefault="000A4E61" w:rsidP="000C35A1">
      <w:pPr>
        <w:pStyle w:val="FootnoteText"/>
        <w:jc w:val="left"/>
        <w:rPr>
          <w:lang w:val="fr-BE"/>
        </w:rPr>
      </w:pPr>
      <w:r w:rsidRPr="00EA4C9B">
        <w:rPr>
          <w:rStyle w:val="FootnoteReference"/>
        </w:rPr>
        <w:footnoteRef/>
      </w:r>
      <w:r w:rsidRPr="00C305AC">
        <w:rPr>
          <w:lang w:val="fr-BE"/>
        </w:rPr>
        <w:t xml:space="preserve"> </w:t>
      </w:r>
      <w:r w:rsidR="000C35A1" w:rsidRPr="00C305AC">
        <w:rPr>
          <w:lang w:val="fr-BE"/>
        </w:rPr>
        <w:tab/>
      </w:r>
      <w:r w:rsidRPr="00C305AC">
        <w:rPr>
          <w:lang w:val="fr-BE"/>
        </w:rPr>
        <w:t xml:space="preserve">Source: </w:t>
      </w:r>
      <w:r w:rsidR="00C74C8E" w:rsidRPr="00C305AC">
        <w:rPr>
          <w:lang w:val="fr-BE"/>
        </w:rPr>
        <w:t>https://www.landesjagdverband.de/detail/anpassung-der-jagdabgabe/?</w:t>
      </w:r>
      <w:r w:rsidRPr="00C305AC">
        <w:rPr>
          <w:lang w:val="fr-BE"/>
        </w:rPr>
        <w:t xml:space="preserve"> </w:t>
      </w:r>
    </w:p>
  </w:footnote>
  <w:footnote w:id="386">
    <w:p w14:paraId="7638AF6C" w14:textId="0ED7C83B" w:rsidR="000A4E61" w:rsidRPr="00C305AC" w:rsidRDefault="000A4E61" w:rsidP="000C35A1">
      <w:pPr>
        <w:pStyle w:val="FootnoteText"/>
        <w:jc w:val="left"/>
        <w:rPr>
          <w:lang w:val="fr-BE"/>
        </w:rPr>
      </w:pPr>
      <w:r w:rsidRPr="00EA4C9B">
        <w:rPr>
          <w:rStyle w:val="FootnoteReference"/>
        </w:rPr>
        <w:footnoteRef/>
      </w:r>
      <w:r w:rsidRPr="00C305AC">
        <w:rPr>
          <w:lang w:val="fr-BE"/>
        </w:rPr>
        <w:t xml:space="preserve"> </w:t>
      </w:r>
      <w:r w:rsidR="000C35A1" w:rsidRPr="00C305AC">
        <w:rPr>
          <w:lang w:val="fr-BE"/>
        </w:rPr>
        <w:tab/>
      </w:r>
      <w:hyperlink r:id="rId264" w:history="1">
        <w:r w:rsidR="000C35A1" w:rsidRPr="00C305AC">
          <w:rPr>
            <w:rStyle w:val="Hyperlink"/>
            <w:lang w:val="fr-BE"/>
          </w:rPr>
          <w:t>https://verwaltung.bund.de/leistungsverzeichnis/EN/leistung/99042010131000/herausgeber/BB-108986280/region/120600000000</w:t>
        </w:r>
      </w:hyperlink>
      <w:r w:rsidRPr="00C305AC">
        <w:rPr>
          <w:lang w:val="fr-BE"/>
        </w:rPr>
        <w:t xml:space="preserve"> </w:t>
      </w:r>
    </w:p>
  </w:footnote>
  <w:footnote w:id="387">
    <w:p w14:paraId="77AEB938" w14:textId="1584DAF1" w:rsidR="000A4E61" w:rsidRPr="00C305AC" w:rsidRDefault="000A4E61" w:rsidP="000C35A1">
      <w:pPr>
        <w:pStyle w:val="FootnoteText"/>
        <w:jc w:val="left"/>
        <w:rPr>
          <w:lang w:val="fr-BE"/>
        </w:rPr>
      </w:pPr>
      <w:r w:rsidRPr="00EA4C9B">
        <w:rPr>
          <w:rStyle w:val="FootnoteReference"/>
        </w:rPr>
        <w:footnoteRef/>
      </w:r>
      <w:r w:rsidRPr="00C305AC">
        <w:rPr>
          <w:lang w:val="fr-BE"/>
        </w:rPr>
        <w:t xml:space="preserve"> </w:t>
      </w:r>
      <w:r w:rsidR="000C35A1" w:rsidRPr="00C305AC">
        <w:rPr>
          <w:lang w:val="fr-BE"/>
        </w:rPr>
        <w:tab/>
      </w:r>
      <w:r w:rsidRPr="00C305AC">
        <w:rPr>
          <w:lang w:val="fr-BE"/>
        </w:rPr>
        <w:t>Sourc</w:t>
      </w:r>
      <w:r w:rsidR="00D1701C" w:rsidRPr="00C305AC">
        <w:rPr>
          <w:lang w:val="fr-BE"/>
        </w:rPr>
        <w:t>e</w:t>
      </w:r>
      <w:r w:rsidRPr="00C305AC">
        <w:rPr>
          <w:lang w:val="fr-BE"/>
        </w:rPr>
        <w:t xml:space="preserve">: </w:t>
      </w:r>
      <w:hyperlink r:id="rId265" w:history="1">
        <w:r w:rsidRPr="00C305AC">
          <w:rPr>
            <w:rStyle w:val="Hyperlink"/>
            <w:lang w:val="fr-BE"/>
          </w:rPr>
          <w:t>https://www.destatis.de/EN/Themes/Society-Environment/Environment/Environmental-Economic-Accounting/taxes-other-duties/environment-related-tax-revenue.html</w:t>
        </w:r>
      </w:hyperlink>
    </w:p>
  </w:footnote>
  <w:footnote w:id="388">
    <w:p w14:paraId="05048445" w14:textId="5468133A" w:rsidR="000A4E61" w:rsidRPr="00C305AC" w:rsidRDefault="000A4E61" w:rsidP="000A4E61">
      <w:pPr>
        <w:pStyle w:val="FootnoteText"/>
        <w:rPr>
          <w:lang w:val="fr-BE"/>
        </w:rPr>
      </w:pPr>
      <w:r w:rsidRPr="00EA4C9B">
        <w:rPr>
          <w:rStyle w:val="FootnoteReference"/>
        </w:rPr>
        <w:footnoteRef/>
      </w:r>
      <w:r w:rsidRPr="00C305AC">
        <w:rPr>
          <w:lang w:val="fr-BE"/>
        </w:rPr>
        <w:t xml:space="preserve"> </w:t>
      </w:r>
      <w:r w:rsidR="000C35A1" w:rsidRPr="00C305AC">
        <w:rPr>
          <w:lang w:val="fr-BE"/>
        </w:rPr>
        <w:tab/>
      </w:r>
      <w:r w:rsidR="00DB05F8" w:rsidRPr="00C305AC">
        <w:rPr>
          <w:lang w:val="fr-BE"/>
        </w:rPr>
        <w:t>Source:</w:t>
      </w:r>
      <w:r w:rsidRPr="00C305AC">
        <w:rPr>
          <w:lang w:val="fr-BE"/>
        </w:rPr>
        <w:t xml:space="preserve"> </w:t>
      </w:r>
      <w:hyperlink r:id="rId266" w:history="1">
        <w:r w:rsidRPr="00C305AC">
          <w:rPr>
            <w:rStyle w:val="Hyperlink"/>
            <w:lang w:val="fr-BE"/>
          </w:rPr>
          <w:t>https://www.eea.europa.eu/publications/many-eu-member-states/germany/view</w:t>
        </w:r>
      </w:hyperlink>
      <w:r w:rsidRPr="00C305AC">
        <w:rPr>
          <w:lang w:val="fr-BE"/>
        </w:rPr>
        <w:t xml:space="preserve"> </w:t>
      </w:r>
    </w:p>
  </w:footnote>
  <w:footnote w:id="389">
    <w:p w14:paraId="672F2D2A" w14:textId="783EA539" w:rsidR="003F2DAE" w:rsidRPr="00BA7936" w:rsidRDefault="003F2DAE">
      <w:pPr>
        <w:pStyle w:val="FootnoteText"/>
        <w:rPr>
          <w:lang w:val="it-IT"/>
        </w:rPr>
      </w:pPr>
      <w:r>
        <w:rPr>
          <w:rStyle w:val="FootnoteReference"/>
        </w:rPr>
        <w:footnoteRef/>
      </w:r>
      <w:r>
        <w:t xml:space="preserve"> </w:t>
      </w:r>
      <w:r w:rsidRPr="003F2DAE">
        <w:rPr>
          <w:i/>
          <w:iCs/>
        </w:rPr>
        <w:t>Germany, 2025 EU waste recycling targets – State of play</w:t>
      </w:r>
      <w:r w:rsidRPr="003F2DAE">
        <w:t>, Publications Office of the European Union, 2023, </w:t>
      </w:r>
      <w:hyperlink r:id="rId267" w:tgtFrame="_blank" w:history="1">
        <w:r w:rsidRPr="00BA7936">
          <w:rPr>
            <w:rStyle w:val="Hyperlink"/>
          </w:rPr>
          <w:t>https://data.europa.eu/doi/10.2779/209889</w:t>
        </w:r>
      </w:hyperlink>
    </w:p>
  </w:footnote>
  <w:footnote w:id="390">
    <w:p w14:paraId="19530656" w14:textId="1706F04C" w:rsidR="000A4E61" w:rsidRPr="00C305AC" w:rsidRDefault="000A4E61" w:rsidP="000A4E61">
      <w:pPr>
        <w:pStyle w:val="FootnoteText"/>
        <w:rPr>
          <w:lang w:val="fr-BE"/>
        </w:rPr>
      </w:pPr>
      <w:r w:rsidRPr="00EA4C9B">
        <w:rPr>
          <w:rStyle w:val="FootnoteReference"/>
        </w:rPr>
        <w:footnoteRef/>
      </w:r>
      <w:r w:rsidRPr="00C305AC">
        <w:rPr>
          <w:lang w:val="fr-BE"/>
        </w:rPr>
        <w:t xml:space="preserve"> </w:t>
      </w:r>
      <w:r w:rsidR="000C35A1" w:rsidRPr="00C305AC">
        <w:rPr>
          <w:lang w:val="fr-BE"/>
        </w:rPr>
        <w:tab/>
      </w:r>
      <w:r w:rsidRPr="00C305AC">
        <w:rPr>
          <w:lang w:val="fr-BE"/>
        </w:rPr>
        <w:t xml:space="preserve">Source: </w:t>
      </w:r>
      <w:hyperlink r:id="rId268" w:history="1">
        <w:r w:rsidRPr="00C305AC">
          <w:rPr>
            <w:rStyle w:val="Hyperlink"/>
            <w:lang w:val="fr-BE"/>
          </w:rPr>
          <w:t>https://www.bmuv.de/faq/welche-neuerung-bringt-das-einwegkunststofffondsgesetz</w:t>
        </w:r>
      </w:hyperlink>
      <w:r w:rsidRPr="00C305AC">
        <w:rPr>
          <w:lang w:val="fr-BE"/>
        </w:rPr>
        <w:t xml:space="preserve"> </w:t>
      </w:r>
    </w:p>
  </w:footnote>
  <w:footnote w:id="391">
    <w:p w14:paraId="2126DEB8" w14:textId="6C11D6C4" w:rsidR="000A4E61" w:rsidRPr="00EA4C9B" w:rsidRDefault="000A4E61" w:rsidP="000A4E61">
      <w:pPr>
        <w:pStyle w:val="FootnoteText"/>
      </w:pPr>
      <w:r w:rsidRPr="00EA4C9B">
        <w:rPr>
          <w:rStyle w:val="FootnoteReference"/>
        </w:rPr>
        <w:footnoteRef/>
      </w:r>
      <w:r w:rsidRPr="00EA4C9B">
        <w:t xml:space="preserve"> </w:t>
      </w:r>
      <w:r w:rsidR="000C35A1">
        <w:tab/>
      </w:r>
      <w:r w:rsidR="00DB05F8" w:rsidRPr="00EA4C9B">
        <w:t>See:</w:t>
      </w:r>
      <w:r w:rsidRPr="00EA4C9B">
        <w:t xml:space="preserve"> </w:t>
      </w:r>
      <w:hyperlink r:id="rId269" w:history="1">
        <w:r w:rsidRPr="00EA4C9B">
          <w:rPr>
            <w:rStyle w:val="Hyperlink"/>
          </w:rPr>
          <w:t>https://www.eea.europa.eu/publications/many-eu-member-states/germany/view</w:t>
        </w:r>
      </w:hyperlink>
      <w:r w:rsidRPr="00EA4C9B">
        <w:t xml:space="preserve"> </w:t>
      </w:r>
    </w:p>
  </w:footnote>
  <w:footnote w:id="392">
    <w:p w14:paraId="6B3B0BA3" w14:textId="34E482BA" w:rsidR="000A4E61" w:rsidRPr="00C305AC" w:rsidRDefault="000A4E61" w:rsidP="000C35A1">
      <w:pPr>
        <w:pStyle w:val="FootnoteText"/>
        <w:jc w:val="left"/>
        <w:rPr>
          <w:lang w:val="fr-BE"/>
        </w:rPr>
      </w:pPr>
      <w:r w:rsidRPr="00EA4C9B">
        <w:rPr>
          <w:rStyle w:val="FootnoteReference"/>
        </w:rPr>
        <w:footnoteRef/>
      </w:r>
      <w:r w:rsidRPr="00C305AC">
        <w:rPr>
          <w:lang w:val="fr-BE"/>
        </w:rPr>
        <w:t xml:space="preserve"> </w:t>
      </w:r>
      <w:r w:rsidR="000C35A1" w:rsidRPr="00C305AC">
        <w:rPr>
          <w:lang w:val="fr-BE"/>
        </w:rPr>
        <w:tab/>
      </w:r>
      <w:r w:rsidRPr="00C305AC">
        <w:rPr>
          <w:lang w:val="fr-BE"/>
        </w:rPr>
        <w:t xml:space="preserve">Source: </w:t>
      </w:r>
      <w:hyperlink r:id="rId270" w:history="1">
        <w:r w:rsidRPr="00C305AC">
          <w:rPr>
            <w:rStyle w:val="Hyperlink"/>
            <w:lang w:val="fr-BE"/>
          </w:rPr>
          <w:t>https://www.umweltbundesamt.de/sites/default/files/medien/5750/publikationen/2021-04-19_texte_60-2021_novelle_awag.pdf</w:t>
        </w:r>
      </w:hyperlink>
      <w:r w:rsidRPr="00C305AC">
        <w:rPr>
          <w:lang w:val="fr-BE"/>
        </w:rPr>
        <w:t xml:space="preserve"> </w:t>
      </w:r>
    </w:p>
  </w:footnote>
  <w:footnote w:id="393">
    <w:p w14:paraId="533A6167" w14:textId="62251CBE" w:rsidR="000A4E61" w:rsidRPr="00C305AC" w:rsidRDefault="000A4E61" w:rsidP="000C35A1">
      <w:pPr>
        <w:pStyle w:val="FootnoteText"/>
        <w:jc w:val="left"/>
        <w:rPr>
          <w:lang w:val="fr-BE"/>
        </w:rPr>
      </w:pPr>
      <w:r w:rsidRPr="00EA4C9B">
        <w:rPr>
          <w:rStyle w:val="FootnoteReference"/>
        </w:rPr>
        <w:footnoteRef/>
      </w:r>
      <w:r w:rsidRPr="00C305AC">
        <w:rPr>
          <w:lang w:val="fr-BE"/>
        </w:rPr>
        <w:t xml:space="preserve"> </w:t>
      </w:r>
      <w:r w:rsidR="000C35A1" w:rsidRPr="00C305AC">
        <w:rPr>
          <w:lang w:val="fr-BE"/>
        </w:rPr>
        <w:tab/>
      </w:r>
      <w:r w:rsidRPr="00C305AC">
        <w:rPr>
          <w:lang w:val="fr-BE"/>
        </w:rPr>
        <w:t xml:space="preserve">Source : </w:t>
      </w:r>
      <w:hyperlink r:id="rId271" w:history="1">
        <w:r w:rsidRPr="00C305AC">
          <w:rPr>
            <w:rStyle w:val="Hyperlink"/>
            <w:lang w:val="fr-BE"/>
          </w:rPr>
          <w:t>https://www.hausundgrund.de/sites/default/files/downloads/abwassergebuhrenranking-2023-haus-grund-deutschland.pdf</w:t>
        </w:r>
      </w:hyperlink>
      <w:r w:rsidRPr="00C305AC">
        <w:rPr>
          <w:lang w:val="fr-BE"/>
        </w:rPr>
        <w:t xml:space="preserve"> </w:t>
      </w:r>
    </w:p>
  </w:footnote>
  <w:footnote w:id="394">
    <w:p w14:paraId="01B7898F" w14:textId="270414E0" w:rsidR="000A4E61" w:rsidRPr="00C305AC" w:rsidRDefault="000A4E61" w:rsidP="000A4E61">
      <w:pPr>
        <w:pStyle w:val="FootnoteText"/>
        <w:rPr>
          <w:lang w:val="fr-BE"/>
        </w:rPr>
      </w:pPr>
      <w:r w:rsidRPr="00EA4C9B">
        <w:rPr>
          <w:rStyle w:val="FootnoteReference"/>
        </w:rPr>
        <w:footnoteRef/>
      </w:r>
      <w:r w:rsidRPr="00C305AC">
        <w:rPr>
          <w:lang w:val="fr-BE"/>
        </w:rPr>
        <w:t xml:space="preserve"> </w:t>
      </w:r>
      <w:r w:rsidR="000C35A1" w:rsidRPr="00C305AC">
        <w:rPr>
          <w:lang w:val="fr-BE"/>
        </w:rPr>
        <w:tab/>
      </w:r>
      <w:r w:rsidR="0086167E" w:rsidRPr="00C305AC">
        <w:rPr>
          <w:lang w:val="fr-BE"/>
        </w:rPr>
        <w:t>Source:</w:t>
      </w:r>
      <w:r w:rsidRPr="00C305AC">
        <w:rPr>
          <w:lang w:val="fr-BE"/>
        </w:rPr>
        <w:t xml:space="preserve"> </w:t>
      </w:r>
      <w:hyperlink r:id="rId272" w:history="1">
        <w:r w:rsidRPr="00C305AC">
          <w:rPr>
            <w:rStyle w:val="Hyperlink"/>
            <w:lang w:val="fr-BE"/>
          </w:rPr>
          <w:t>https://igsvtu.lanuv.nrw.de/vtu/doc.app?DATEI=7/dokus/70203.pdf</w:t>
        </w:r>
      </w:hyperlink>
      <w:r w:rsidRPr="00C305AC">
        <w:rPr>
          <w:lang w:val="fr-BE"/>
        </w:rPr>
        <w:t xml:space="preserve"> </w:t>
      </w:r>
    </w:p>
  </w:footnote>
  <w:footnote w:id="395">
    <w:p w14:paraId="1AAFA8DA" w14:textId="31C6976A" w:rsidR="00271218" w:rsidRPr="005C2931" w:rsidRDefault="00271218">
      <w:pPr>
        <w:pStyle w:val="FootnoteText"/>
        <w:rPr>
          <w:lang w:val="fr-BE"/>
        </w:rPr>
      </w:pPr>
      <w:r>
        <w:rPr>
          <w:rStyle w:val="FootnoteReference"/>
        </w:rPr>
        <w:footnoteRef/>
      </w:r>
      <w:r w:rsidRPr="005C2931">
        <w:rPr>
          <w:lang w:val="fr-BE"/>
        </w:rPr>
        <w:t xml:space="preserve"> </w:t>
      </w:r>
      <w:r w:rsidRPr="005C2931">
        <w:rPr>
          <w:lang w:val="fr-BE"/>
        </w:rPr>
        <w:tab/>
      </w:r>
      <w:hyperlink r:id="rId273" w:history="1">
        <w:r w:rsidRPr="00C305AC">
          <w:rPr>
            <w:rStyle w:val="Hyperlink"/>
            <w:lang w:val="fr-BE"/>
          </w:rPr>
          <w:t>https://www.umweltbundesamt.de/sites/default/files/medien/5750/publikationen/2021-04-19_texte_60-2021_novelle_awag.pdf</w:t>
        </w:r>
      </w:hyperlink>
      <w:r w:rsidRPr="005C2931">
        <w:rPr>
          <w:lang w:val="fr-BE"/>
        </w:rPr>
        <w:t xml:space="preserve"> </w:t>
      </w:r>
    </w:p>
  </w:footnote>
  <w:footnote w:id="396">
    <w:p w14:paraId="06D30909" w14:textId="77777777" w:rsidR="00271218" w:rsidRPr="00C305AC" w:rsidRDefault="00271218" w:rsidP="00271218">
      <w:pPr>
        <w:pStyle w:val="FootnoteText"/>
        <w:rPr>
          <w:lang w:val="fr-BE"/>
        </w:rPr>
      </w:pPr>
      <w:r w:rsidRPr="00EA4C9B">
        <w:rPr>
          <w:rStyle w:val="FootnoteReference"/>
        </w:rPr>
        <w:footnoteRef/>
      </w:r>
      <w:r w:rsidRPr="00C305AC">
        <w:rPr>
          <w:lang w:val="fr-BE"/>
        </w:rPr>
        <w:t xml:space="preserve"> </w:t>
      </w:r>
      <w:r w:rsidRPr="00C305AC">
        <w:rPr>
          <w:lang w:val="fr-BE"/>
        </w:rPr>
        <w:tab/>
        <w:t xml:space="preserve">Source: </w:t>
      </w:r>
      <w:hyperlink r:id="rId274" w:history="1">
        <w:r w:rsidRPr="00C305AC">
          <w:rPr>
            <w:rStyle w:val="Hyperlink"/>
            <w:lang w:val="fr-BE"/>
          </w:rPr>
          <w:t>https://www.clientearth.org/latest/news/we-are-taking-legal-action-over-pesticides-in-germany/</w:t>
        </w:r>
      </w:hyperlink>
      <w:r w:rsidRPr="00C305AC">
        <w:rPr>
          <w:lang w:val="fr-BE"/>
        </w:rPr>
        <w:t xml:space="preserve"> </w:t>
      </w:r>
    </w:p>
  </w:footnote>
  <w:footnote w:id="397">
    <w:p w14:paraId="41EE1CB0" w14:textId="77777777" w:rsidR="00B56DC0" w:rsidRPr="001018E2" w:rsidRDefault="00B56DC0" w:rsidP="00B56DC0">
      <w:pPr>
        <w:pStyle w:val="FootnoteText"/>
        <w:rPr>
          <w:lang w:val="lt-LT"/>
        </w:rPr>
      </w:pPr>
      <w:r>
        <w:rPr>
          <w:rStyle w:val="FootnoteReference"/>
        </w:rPr>
        <w:footnoteRef/>
      </w:r>
      <w:r>
        <w:t xml:space="preserve"> </w:t>
      </w:r>
      <w:r w:rsidRPr="00AE6F6A">
        <w:t xml:space="preserve">The comparison is expressed in real terms, meaning that figures are adjusted for inflation. The </w:t>
      </w:r>
      <w:r>
        <w:rPr>
          <w:lang w:val="en-US"/>
        </w:rPr>
        <w:t>77</w:t>
      </w:r>
      <w:r w:rsidRPr="00AE6F6A">
        <w:t>.</w:t>
      </w:r>
      <w:r>
        <w:t>9</w:t>
      </w:r>
      <w:r w:rsidRPr="00AE6F6A">
        <w:t>%    increase refers to growth in constant prices over 2009–2023.</w:t>
      </w:r>
    </w:p>
  </w:footnote>
  <w:footnote w:id="398">
    <w:p w14:paraId="7430F493" w14:textId="0E2F3550" w:rsidR="000A4E61" w:rsidRPr="005C2931" w:rsidRDefault="000A4E61" w:rsidP="000C35A1">
      <w:pPr>
        <w:pStyle w:val="FootnoteText"/>
        <w:jc w:val="left"/>
        <w:rPr>
          <w:lang w:val="fr-BE"/>
        </w:rPr>
      </w:pPr>
      <w:r w:rsidRPr="00EA4C9B">
        <w:rPr>
          <w:rStyle w:val="FootnoteReference"/>
        </w:rPr>
        <w:footnoteRef/>
      </w:r>
      <w:r w:rsidRPr="005C2931">
        <w:rPr>
          <w:lang w:val="fr-BE"/>
        </w:rPr>
        <w:t xml:space="preserve">  https://www.eoan.gr/wp-content/uploads/2021/01/</w:t>
      </w:r>
      <w:r w:rsidRPr="00EA4C9B">
        <w:t>Ε</w:t>
      </w:r>
      <w:r w:rsidRPr="005C2931">
        <w:rPr>
          <w:lang w:val="fr-BE"/>
        </w:rPr>
        <w:t>126087_4682_30.12.2020_</w:t>
      </w:r>
      <w:r w:rsidRPr="00EA4C9B">
        <w:t>Εγκυκλιος</w:t>
      </w:r>
      <w:r w:rsidRPr="005C2931">
        <w:rPr>
          <w:lang w:val="fr-BE"/>
        </w:rPr>
        <w:t>_</w:t>
      </w:r>
      <w:r w:rsidRPr="00EA4C9B">
        <w:t>για</w:t>
      </w:r>
      <w:r w:rsidRPr="005C2931">
        <w:rPr>
          <w:lang w:val="fr-BE"/>
        </w:rPr>
        <w:t>_</w:t>
      </w:r>
      <w:r w:rsidRPr="00EA4C9B">
        <w:t>πλαστικη</w:t>
      </w:r>
      <w:r w:rsidRPr="005C2931">
        <w:rPr>
          <w:lang w:val="fr-BE"/>
        </w:rPr>
        <w:t>_</w:t>
      </w:r>
      <w:r w:rsidRPr="00EA4C9B">
        <w:t>σακουλα</w:t>
      </w:r>
      <w:r w:rsidRPr="005C2931">
        <w:rPr>
          <w:lang w:val="fr-BE"/>
        </w:rPr>
        <w:t>_</w:t>
      </w:r>
      <w:r w:rsidRPr="00EA4C9B">
        <w:t>ΑΔΑ</w:t>
      </w:r>
      <w:r w:rsidRPr="005C2931">
        <w:rPr>
          <w:lang w:val="fr-BE"/>
        </w:rPr>
        <w:t>_</w:t>
      </w:r>
      <w:r w:rsidRPr="00EA4C9B">
        <w:t>ΩΙΘΒ</w:t>
      </w:r>
      <w:r w:rsidRPr="005C2931">
        <w:rPr>
          <w:lang w:val="fr-BE"/>
        </w:rPr>
        <w:t>4653</w:t>
      </w:r>
      <w:r w:rsidRPr="00EA4C9B">
        <w:t>Π</w:t>
      </w:r>
      <w:r w:rsidRPr="005C2931">
        <w:rPr>
          <w:lang w:val="fr-BE"/>
        </w:rPr>
        <w:t>8-126.pdf</w:t>
      </w:r>
    </w:p>
  </w:footnote>
  <w:footnote w:id="399">
    <w:p w14:paraId="1523AD1B" w14:textId="441CEA0C" w:rsidR="000A4E61" w:rsidRPr="005C2931" w:rsidRDefault="000A4E61" w:rsidP="000A4E61">
      <w:pPr>
        <w:pStyle w:val="FootnoteText"/>
        <w:rPr>
          <w:lang w:val="fr-BE"/>
        </w:rPr>
      </w:pPr>
      <w:r w:rsidRPr="00EA4C9B">
        <w:rPr>
          <w:rStyle w:val="FootnoteReference"/>
        </w:rPr>
        <w:footnoteRef/>
      </w:r>
      <w:r w:rsidRPr="005C2931">
        <w:rPr>
          <w:lang w:val="fr-BE"/>
        </w:rPr>
        <w:t xml:space="preserve"> </w:t>
      </w:r>
      <w:r w:rsidR="000C35A1" w:rsidRPr="005C2931">
        <w:rPr>
          <w:lang w:val="fr-BE"/>
        </w:rPr>
        <w:tab/>
      </w:r>
      <w:r w:rsidRPr="005C2931">
        <w:rPr>
          <w:lang w:val="fr-BE"/>
        </w:rPr>
        <w:t>https://www.taxheaven.gr/news/51076/h-eisfora-prostasias-toy-periballontos-gia-ta-plastika-proionta-kai-h-epibolh-ths-apo-112022-oi-ypoxrewseis-twn-epixeirhsewn-gia-epanaxrhsimopoihsima-enallaktika-proionta</w:t>
      </w:r>
    </w:p>
  </w:footnote>
  <w:footnote w:id="400">
    <w:p w14:paraId="14B4A879" w14:textId="772BD91A" w:rsidR="000A4E61" w:rsidRPr="005C2931" w:rsidRDefault="000A4E61" w:rsidP="000A4E61">
      <w:pPr>
        <w:pStyle w:val="FootnoteText"/>
        <w:rPr>
          <w:lang w:val="fr-BE"/>
        </w:rPr>
      </w:pPr>
      <w:r w:rsidRPr="00EA4C9B">
        <w:rPr>
          <w:rStyle w:val="FootnoteReference"/>
        </w:rPr>
        <w:footnoteRef/>
      </w:r>
      <w:r w:rsidRPr="005C2931">
        <w:rPr>
          <w:lang w:val="fr-BE"/>
        </w:rPr>
        <w:t xml:space="preserve"> </w:t>
      </w:r>
      <w:r w:rsidR="000C35A1" w:rsidRPr="005C2931">
        <w:rPr>
          <w:lang w:val="fr-BE"/>
        </w:rPr>
        <w:tab/>
      </w:r>
      <w:hyperlink r:id="rId275" w:history="1">
        <w:r w:rsidR="000C35A1" w:rsidRPr="005C2931">
          <w:rPr>
            <w:rStyle w:val="Hyperlink"/>
            <w:lang w:val="fr-BE"/>
          </w:rPr>
          <w:t>https://minfin.gov.gr/wp-content/uploads/2024/11/</w:t>
        </w:r>
        <w:r w:rsidR="000C35A1" w:rsidRPr="00EC31B9">
          <w:rPr>
            <w:rStyle w:val="Hyperlink"/>
          </w:rPr>
          <w:t>Έσοδα</w:t>
        </w:r>
        <w:r w:rsidR="000C35A1" w:rsidRPr="005C2931">
          <w:rPr>
            <w:rStyle w:val="Hyperlink"/>
            <w:lang w:val="fr-BE"/>
          </w:rPr>
          <w:t>-</w:t>
        </w:r>
        <w:r w:rsidR="000C35A1" w:rsidRPr="00EC31B9">
          <w:rPr>
            <w:rStyle w:val="Hyperlink"/>
          </w:rPr>
          <w:t>Κρατικού</w:t>
        </w:r>
        <w:r w:rsidR="000C35A1" w:rsidRPr="005C2931">
          <w:rPr>
            <w:rStyle w:val="Hyperlink"/>
            <w:lang w:val="fr-BE"/>
          </w:rPr>
          <w:t>-</w:t>
        </w:r>
        <w:r w:rsidR="000C35A1" w:rsidRPr="00EC31B9">
          <w:rPr>
            <w:rStyle w:val="Hyperlink"/>
          </w:rPr>
          <w:t>Προϋπολογισμού</w:t>
        </w:r>
        <w:r w:rsidR="000C35A1" w:rsidRPr="005C2931">
          <w:rPr>
            <w:rStyle w:val="Hyperlink"/>
            <w:lang w:val="fr-BE"/>
          </w:rPr>
          <w:t>-2023.pdf</w:t>
        </w:r>
      </w:hyperlink>
      <w:r w:rsidRPr="005C2931">
        <w:rPr>
          <w:lang w:val="fr-BE"/>
        </w:rPr>
        <w:t xml:space="preserve"> </w:t>
      </w:r>
    </w:p>
  </w:footnote>
  <w:footnote w:id="401">
    <w:p w14:paraId="71AFDE41" w14:textId="1CDB0B12" w:rsidR="000A4E61" w:rsidRPr="00BA7936" w:rsidRDefault="000A4E61" w:rsidP="001F48F4">
      <w:pPr>
        <w:pStyle w:val="FootnoteText"/>
      </w:pPr>
      <w:r w:rsidRPr="00EA4C9B">
        <w:rPr>
          <w:rStyle w:val="FootnoteReference"/>
        </w:rPr>
        <w:footnoteRef/>
      </w:r>
      <w:r w:rsidRPr="005C2931">
        <w:rPr>
          <w:lang w:val="fr-BE"/>
        </w:rPr>
        <w:t xml:space="preserve"> </w:t>
      </w:r>
      <w:r w:rsidR="000C35A1" w:rsidRPr="005C2931">
        <w:rPr>
          <w:lang w:val="fr-BE"/>
        </w:rPr>
        <w:tab/>
      </w:r>
      <w:r w:rsidR="001F48F4" w:rsidRPr="001F48F4">
        <w:t xml:space="preserve">European Commission (2022), </w:t>
      </w:r>
      <w:r w:rsidR="001F48F4" w:rsidRPr="001F48F4">
        <w:rPr>
          <w:i/>
          <w:iCs/>
        </w:rPr>
        <w:t>State aid: Commission concludes that support measures in favour of Larko were incompatible with EU rules and orders recovery of illegal aid</w:t>
      </w:r>
      <w:r w:rsidR="001F48F4" w:rsidRPr="001F48F4">
        <w:t>.</w:t>
      </w:r>
      <w:r w:rsidR="001F48F4">
        <w:t xml:space="preserve"> Available at: </w:t>
      </w:r>
      <w:hyperlink r:id="rId276" w:history="1">
        <w:r w:rsidR="001F48F4" w:rsidRPr="009E695E">
          <w:rPr>
            <w:rStyle w:val="Hyperlink"/>
            <w:lang w:val="fr-BE"/>
          </w:rPr>
          <w:t>https://eur-lex.europa.eu/legal-content/EN/TXT/PDF/?uri=CELEX:62014TJ0423(01)</w:t>
        </w:r>
      </w:hyperlink>
      <w:r w:rsidR="001F48F4">
        <w:rPr>
          <w:lang w:val="fr-BE"/>
        </w:rPr>
        <w:t xml:space="preserve"> </w:t>
      </w:r>
    </w:p>
  </w:footnote>
  <w:footnote w:id="402">
    <w:p w14:paraId="02EE5B94" w14:textId="51D4EF41" w:rsidR="000A4E61" w:rsidRPr="005C2931" w:rsidRDefault="000A4E61" w:rsidP="000A4E61">
      <w:pPr>
        <w:pStyle w:val="FootnoteText"/>
        <w:rPr>
          <w:lang w:val="fr-BE"/>
        </w:rPr>
      </w:pPr>
      <w:r w:rsidRPr="00EA4C9B">
        <w:rPr>
          <w:rStyle w:val="FootnoteReference"/>
        </w:rPr>
        <w:footnoteRef/>
      </w:r>
      <w:r w:rsidRPr="005C2931">
        <w:rPr>
          <w:lang w:val="fr-BE"/>
        </w:rPr>
        <w:t xml:space="preserve"> </w:t>
      </w:r>
      <w:r w:rsidR="000C35A1" w:rsidRPr="005C2931">
        <w:rPr>
          <w:lang w:val="fr-BE"/>
        </w:rPr>
        <w:tab/>
      </w:r>
      <w:hyperlink r:id="rId277" w:history="1">
        <w:r w:rsidR="000C35A1" w:rsidRPr="005C2931">
          <w:rPr>
            <w:rStyle w:val="Hyperlink"/>
            <w:lang w:val="fr-BE"/>
          </w:rPr>
          <w:t>https://www</w:t>
        </w:r>
      </w:hyperlink>
      <w:r w:rsidRPr="005C2931">
        <w:rPr>
          <w:lang w:val="fr-BE"/>
        </w:rPr>
        <w:t>.fao.org/faolex/results/details/en/c/LEX-FAOC211896/</w:t>
      </w:r>
    </w:p>
  </w:footnote>
  <w:footnote w:id="403">
    <w:p w14:paraId="0D3BE8E7" w14:textId="21B5ED9B" w:rsidR="000A4E61" w:rsidRPr="005C2931" w:rsidRDefault="000A4E61" w:rsidP="000C35A1">
      <w:pPr>
        <w:pStyle w:val="FootnoteText"/>
        <w:jc w:val="left"/>
        <w:rPr>
          <w:lang w:val="fr-BE"/>
        </w:rPr>
      </w:pPr>
      <w:r w:rsidRPr="00EA4C9B">
        <w:rPr>
          <w:rStyle w:val="FootnoteReference"/>
        </w:rPr>
        <w:footnoteRef/>
      </w:r>
      <w:r w:rsidRPr="005C2931">
        <w:rPr>
          <w:lang w:val="fr-BE"/>
        </w:rPr>
        <w:t xml:space="preserve"> </w:t>
      </w:r>
      <w:r w:rsidR="000C35A1" w:rsidRPr="005C2931">
        <w:rPr>
          <w:lang w:val="fr-BE"/>
        </w:rPr>
        <w:tab/>
      </w:r>
      <w:r w:rsidRPr="005C2931">
        <w:rPr>
          <w:rFonts w:ascii="Segoe UI" w:eastAsia="Segoe UI" w:hAnsi="Segoe UI" w:cs="Segoe UI"/>
          <w:color w:val="000000" w:themeColor="text1"/>
          <w:lang w:val="fr-BE"/>
        </w:rPr>
        <w:t>https://environment.ec.europa.eu/document/download/dfff60be-3c31-4fcb-93a6-fa6e2e</w:t>
      </w:r>
      <w:r w:rsidR="00490085" w:rsidRPr="005C2931">
        <w:rPr>
          <w:rFonts w:ascii="Segoe UI" w:eastAsia="Segoe UI" w:hAnsi="Segoe UI" w:cs="Segoe UI"/>
          <w:color w:val="000000" w:themeColor="text1"/>
          <w:lang w:val="fr-BE"/>
        </w:rPr>
        <w:t>A6</w:t>
      </w:r>
      <w:r w:rsidRPr="005C2931">
        <w:rPr>
          <w:rFonts w:ascii="Segoe UI" w:eastAsia="Segoe UI" w:hAnsi="Segoe UI" w:cs="Segoe UI"/>
          <w:color w:val="000000" w:themeColor="text1"/>
          <w:lang w:val="fr-BE"/>
        </w:rPr>
        <w:t>f219_en?filename=Taxes%2C%20charges%20and%20fees.pdf</w:t>
      </w:r>
    </w:p>
  </w:footnote>
  <w:footnote w:id="404">
    <w:p w14:paraId="4E6298DF" w14:textId="5EDED76F" w:rsidR="000A4E61" w:rsidRPr="005C2931" w:rsidRDefault="000A4E61" w:rsidP="000A4E61">
      <w:pPr>
        <w:pStyle w:val="FootnoteText"/>
        <w:rPr>
          <w:lang w:val="fr-BE"/>
        </w:rPr>
      </w:pPr>
      <w:r w:rsidRPr="00EA4C9B">
        <w:rPr>
          <w:rStyle w:val="FootnoteReference"/>
        </w:rPr>
        <w:footnoteRef/>
      </w:r>
      <w:r w:rsidRPr="005C2931">
        <w:rPr>
          <w:lang w:val="fr-BE"/>
        </w:rPr>
        <w:t xml:space="preserve"> </w:t>
      </w:r>
      <w:r w:rsidR="00425BDB" w:rsidRPr="005C2931">
        <w:rPr>
          <w:lang w:val="fr-BE"/>
        </w:rPr>
        <w:tab/>
      </w:r>
      <w:r w:rsidRPr="005C2931">
        <w:rPr>
          <w:lang w:val="fr-BE"/>
        </w:rPr>
        <w:t>https://www.eea.europa.eu/publications/economic-instruments-and-separate-collection/technical-note-accompanying-the-eea/view</w:t>
      </w:r>
    </w:p>
  </w:footnote>
  <w:footnote w:id="405">
    <w:p w14:paraId="378F8143" w14:textId="273D192E" w:rsidR="000A4E61" w:rsidRPr="004F0767" w:rsidRDefault="000A4E61" w:rsidP="000A4E61">
      <w:pPr>
        <w:pStyle w:val="FootnoteText"/>
        <w:rPr>
          <w:lang w:val="es-ES"/>
        </w:rPr>
      </w:pPr>
      <w:r w:rsidRPr="00EA4C9B">
        <w:rPr>
          <w:rStyle w:val="FootnoteReference"/>
        </w:rPr>
        <w:footnoteRef/>
      </w:r>
      <w:r w:rsidRPr="004F0767">
        <w:rPr>
          <w:lang w:val="es-ES"/>
        </w:rPr>
        <w:t xml:space="preserve"> </w:t>
      </w:r>
      <w:r w:rsidR="00425BDB" w:rsidRPr="004F0767">
        <w:rPr>
          <w:lang w:val="es-ES"/>
        </w:rPr>
        <w:tab/>
      </w:r>
      <w:r w:rsidRPr="004F0767">
        <w:rPr>
          <w:lang w:val="es-ES"/>
        </w:rPr>
        <w:t>Ibid.</w:t>
      </w:r>
    </w:p>
  </w:footnote>
  <w:footnote w:id="406">
    <w:p w14:paraId="175EC53A" w14:textId="25FBB762" w:rsidR="000A4E61" w:rsidRPr="004F0767" w:rsidRDefault="000A4E61" w:rsidP="000A4E61">
      <w:pPr>
        <w:pStyle w:val="FootnoteText"/>
        <w:rPr>
          <w:lang w:val="es-ES"/>
        </w:rPr>
      </w:pPr>
      <w:r w:rsidRPr="00EA4C9B">
        <w:rPr>
          <w:rStyle w:val="FootnoteReference"/>
        </w:rPr>
        <w:footnoteRef/>
      </w:r>
      <w:r w:rsidRPr="004F0767">
        <w:rPr>
          <w:lang w:val="es-ES"/>
        </w:rPr>
        <w:t xml:space="preserve"> </w:t>
      </w:r>
      <w:r w:rsidR="00425BDB" w:rsidRPr="004F0767">
        <w:rPr>
          <w:lang w:val="es-ES"/>
        </w:rPr>
        <w:tab/>
      </w:r>
      <w:r w:rsidRPr="004F0767">
        <w:rPr>
          <w:lang w:val="es-ES"/>
        </w:rPr>
        <w:t>https://www.karagilanis.gr/files/kya_ypen_grggfpy_103755_2994_2024.pdf</w:t>
      </w:r>
    </w:p>
  </w:footnote>
  <w:footnote w:id="407">
    <w:p w14:paraId="29C10C67" w14:textId="44B70052" w:rsidR="000A4E61" w:rsidRPr="004F0767" w:rsidRDefault="000A4E61" w:rsidP="000A4E61">
      <w:pPr>
        <w:pStyle w:val="FootnoteText"/>
        <w:rPr>
          <w:lang w:val="es-ES"/>
        </w:rPr>
      </w:pPr>
      <w:r w:rsidRPr="00EA4C9B">
        <w:rPr>
          <w:rStyle w:val="FootnoteReference"/>
        </w:rPr>
        <w:footnoteRef/>
      </w:r>
      <w:r w:rsidRPr="004F0767">
        <w:rPr>
          <w:lang w:val="es-ES"/>
        </w:rPr>
        <w:t xml:space="preserve"> </w:t>
      </w:r>
      <w:r w:rsidR="00425BDB" w:rsidRPr="004F0767">
        <w:rPr>
          <w:lang w:val="es-ES"/>
        </w:rPr>
        <w:tab/>
      </w:r>
      <w:r w:rsidRPr="004F0767">
        <w:rPr>
          <w:lang w:val="es-ES"/>
        </w:rPr>
        <w:t>https://www.ot.gr/2024/10/02/oikonomia/nero-erxontai-klimakotes-xreoseis-kai-pliri-anaktisi-tou-kostous-apo-tous-paroxous/</w:t>
      </w:r>
    </w:p>
  </w:footnote>
  <w:footnote w:id="408">
    <w:p w14:paraId="2E4BD09C" w14:textId="77777777" w:rsidR="002A2F68" w:rsidRDefault="002A2F68"/>
    <w:p w14:paraId="27AAA715" w14:textId="77777777" w:rsidR="007A0FF4" w:rsidRDefault="007A0FF4"/>
  </w:footnote>
  <w:footnote w:id="409">
    <w:p w14:paraId="64F5DC72" w14:textId="3BFCB69C" w:rsidR="000A4E61" w:rsidRPr="004F0767" w:rsidRDefault="000A4E61" w:rsidP="000A4E61">
      <w:pPr>
        <w:pStyle w:val="FootnoteText"/>
        <w:rPr>
          <w:lang w:val="es-ES"/>
        </w:rPr>
      </w:pPr>
      <w:r w:rsidRPr="00EA4C9B">
        <w:rPr>
          <w:rStyle w:val="FootnoteReference"/>
        </w:rPr>
        <w:footnoteRef/>
      </w:r>
      <w:r w:rsidRPr="004F0767">
        <w:rPr>
          <w:lang w:val="es-ES"/>
        </w:rPr>
        <w:t xml:space="preserve"> </w:t>
      </w:r>
      <w:r w:rsidR="00425BDB" w:rsidRPr="004F0767">
        <w:rPr>
          <w:lang w:val="es-ES"/>
        </w:rPr>
        <w:tab/>
      </w:r>
      <w:r w:rsidRPr="004F0767">
        <w:rPr>
          <w:lang w:val="es-ES"/>
        </w:rPr>
        <w:t>https://www.helleniccomserve.com/huntingfishing.html</w:t>
      </w:r>
    </w:p>
  </w:footnote>
  <w:footnote w:id="410">
    <w:p w14:paraId="4716F52E" w14:textId="68F65EA7" w:rsidR="000A4E61" w:rsidRPr="004F0767" w:rsidRDefault="000A4E61" w:rsidP="000A4E61">
      <w:pPr>
        <w:pStyle w:val="FootnoteText"/>
        <w:rPr>
          <w:lang w:val="es-ES"/>
        </w:rPr>
      </w:pPr>
      <w:r w:rsidRPr="00EA4C9B">
        <w:rPr>
          <w:rStyle w:val="FootnoteReference"/>
        </w:rPr>
        <w:footnoteRef/>
      </w:r>
      <w:r w:rsidRPr="004F0767">
        <w:rPr>
          <w:lang w:val="es-ES"/>
        </w:rPr>
        <w:t xml:space="preserve"> </w:t>
      </w:r>
      <w:r w:rsidR="00425BDB" w:rsidRPr="004F0767">
        <w:rPr>
          <w:lang w:val="es-ES"/>
        </w:rPr>
        <w:tab/>
      </w:r>
      <w:r w:rsidRPr="004F0767">
        <w:rPr>
          <w:lang w:val="es-ES"/>
        </w:rPr>
        <w:t>https://aade.gr/en/climate-crisis-resilience-fee-issuance-statement</w:t>
      </w:r>
    </w:p>
  </w:footnote>
  <w:footnote w:id="411">
    <w:p w14:paraId="56C8B18A" w14:textId="615412CA" w:rsidR="000A4E61" w:rsidRPr="004F0767" w:rsidRDefault="000A4E61" w:rsidP="000A4E61">
      <w:pPr>
        <w:pStyle w:val="FootnoteText"/>
        <w:rPr>
          <w:lang w:val="es-ES"/>
        </w:rPr>
      </w:pPr>
      <w:r w:rsidRPr="00EA4C9B">
        <w:rPr>
          <w:rStyle w:val="FootnoteReference"/>
        </w:rPr>
        <w:footnoteRef/>
      </w:r>
      <w:r w:rsidRPr="004F0767">
        <w:rPr>
          <w:lang w:val="es-ES"/>
        </w:rPr>
        <w:t xml:space="preserve"> </w:t>
      </w:r>
      <w:r w:rsidR="00425BDB" w:rsidRPr="004F0767">
        <w:rPr>
          <w:lang w:val="es-ES"/>
        </w:rPr>
        <w:tab/>
      </w:r>
      <w:hyperlink r:id="rId278" w:history="1">
        <w:r w:rsidR="00425BDB" w:rsidRPr="004F0767">
          <w:rPr>
            <w:rStyle w:val="Hyperlink"/>
            <w:lang w:val="es-ES"/>
          </w:rPr>
          <w:t>https://kglawfirm</w:t>
        </w:r>
      </w:hyperlink>
      <w:r w:rsidRPr="004F0767">
        <w:rPr>
          <w:lang w:val="es-ES"/>
        </w:rPr>
        <w:t>.gr/wp-content/uploads/2021/09/852.pdf?</w:t>
      </w:r>
    </w:p>
  </w:footnote>
  <w:footnote w:id="412">
    <w:p w14:paraId="6C4FCE13" w14:textId="09E3ADC4" w:rsidR="000A4E61" w:rsidRPr="004F0767" w:rsidRDefault="000A4E61" w:rsidP="00425BDB">
      <w:pPr>
        <w:pStyle w:val="FootnoteText"/>
        <w:jc w:val="left"/>
        <w:rPr>
          <w:lang w:val="es-ES"/>
        </w:rPr>
      </w:pPr>
      <w:r w:rsidRPr="00EA4C9B">
        <w:rPr>
          <w:rStyle w:val="FootnoteReference"/>
        </w:rPr>
        <w:footnoteRef/>
      </w:r>
      <w:r w:rsidRPr="004F0767">
        <w:rPr>
          <w:lang w:val="es-ES"/>
        </w:rPr>
        <w:t xml:space="preserve"> </w:t>
      </w:r>
      <w:r w:rsidR="00425BDB" w:rsidRPr="004F0767">
        <w:rPr>
          <w:lang w:val="es-ES"/>
        </w:rPr>
        <w:tab/>
      </w:r>
      <w:r w:rsidRPr="004F0767">
        <w:rPr>
          <w:lang w:val="es-ES"/>
        </w:rPr>
        <w:t>https://environment.ec.europa.eu/economy-and-finance/phasing-out-environmentally-harmful-subsidies/greece-ehs-candidate-reform_en</w:t>
      </w:r>
    </w:p>
  </w:footnote>
  <w:footnote w:id="413">
    <w:p w14:paraId="4CA1B207" w14:textId="770F26CC" w:rsidR="000A4E61" w:rsidRPr="004F0767" w:rsidRDefault="000A4E61" w:rsidP="000A4E61">
      <w:pPr>
        <w:pStyle w:val="FootnoteText"/>
        <w:rPr>
          <w:lang w:val="es-ES"/>
        </w:rPr>
      </w:pPr>
      <w:r w:rsidRPr="00EA4C9B">
        <w:rPr>
          <w:rStyle w:val="FootnoteReference"/>
        </w:rPr>
        <w:footnoteRef/>
      </w:r>
      <w:r w:rsidRPr="004F0767">
        <w:rPr>
          <w:lang w:val="es-ES"/>
        </w:rPr>
        <w:t xml:space="preserve"> </w:t>
      </w:r>
      <w:r w:rsidR="00425BDB" w:rsidRPr="004F0767">
        <w:rPr>
          <w:lang w:val="es-ES"/>
        </w:rPr>
        <w:tab/>
      </w:r>
      <w:r w:rsidRPr="004F0767">
        <w:rPr>
          <w:lang w:val="es-ES"/>
        </w:rPr>
        <w:t>https://www.iea.org/reports/greece-2023</w:t>
      </w:r>
    </w:p>
  </w:footnote>
  <w:footnote w:id="414">
    <w:p w14:paraId="72378B6F" w14:textId="1B505F7D" w:rsidR="000A4E61" w:rsidRPr="004F0767" w:rsidRDefault="000A4E61" w:rsidP="000A4E61">
      <w:pPr>
        <w:pStyle w:val="FootnoteText"/>
        <w:rPr>
          <w:lang w:val="es-ES"/>
        </w:rPr>
      </w:pPr>
      <w:r w:rsidRPr="00EA4C9B">
        <w:rPr>
          <w:rStyle w:val="FootnoteReference"/>
        </w:rPr>
        <w:footnoteRef/>
      </w:r>
      <w:r w:rsidRPr="004F0767">
        <w:rPr>
          <w:lang w:val="es-ES"/>
        </w:rPr>
        <w:t xml:space="preserve"> </w:t>
      </w:r>
      <w:r w:rsidR="00425BDB" w:rsidRPr="004F0767">
        <w:rPr>
          <w:lang w:val="es-ES"/>
        </w:rPr>
        <w:tab/>
      </w:r>
      <w:r w:rsidRPr="004F0767">
        <w:rPr>
          <w:lang w:val="es-ES"/>
        </w:rPr>
        <w:t>https://op.europa.eu/en/publication-detail/-/publication/fb3eccdc-1f68-11ed-8fa0-01aa75ed71a1</w:t>
      </w:r>
    </w:p>
  </w:footnote>
  <w:footnote w:id="415">
    <w:p w14:paraId="57ED19CF" w14:textId="756C1027" w:rsidR="000A4E61" w:rsidRPr="004F0767" w:rsidRDefault="000A4E61" w:rsidP="000A4E61">
      <w:pPr>
        <w:pStyle w:val="FootnoteText"/>
        <w:rPr>
          <w:lang w:val="es-ES"/>
        </w:rPr>
      </w:pPr>
      <w:r w:rsidRPr="00EA4C9B">
        <w:rPr>
          <w:rStyle w:val="FootnoteReference"/>
        </w:rPr>
        <w:footnoteRef/>
      </w:r>
      <w:r w:rsidRPr="004F0767">
        <w:rPr>
          <w:lang w:val="es-ES"/>
        </w:rPr>
        <w:t xml:space="preserve"> </w:t>
      </w:r>
      <w:r w:rsidR="00425BDB" w:rsidRPr="004F0767">
        <w:rPr>
          <w:lang w:val="es-ES"/>
        </w:rPr>
        <w:tab/>
      </w:r>
      <w:r w:rsidRPr="004F0767">
        <w:rPr>
          <w:lang w:val="es-ES"/>
        </w:rPr>
        <w:t>https://www.eea.europa.eu/publications/many-eu-member-states/greece/view</w:t>
      </w:r>
    </w:p>
  </w:footnote>
  <w:footnote w:id="416">
    <w:p w14:paraId="3E03F709" w14:textId="4DB4AEE3" w:rsidR="000A4E61" w:rsidRPr="004F0767" w:rsidRDefault="000A4E61" w:rsidP="000A4E61">
      <w:pPr>
        <w:pStyle w:val="FootnoteText"/>
        <w:rPr>
          <w:lang w:val="es-ES"/>
        </w:rPr>
      </w:pPr>
      <w:r w:rsidRPr="00EA4C9B">
        <w:rPr>
          <w:rStyle w:val="FootnoteReference"/>
        </w:rPr>
        <w:footnoteRef/>
      </w:r>
      <w:r w:rsidRPr="004F0767">
        <w:rPr>
          <w:lang w:val="es-ES"/>
        </w:rPr>
        <w:t xml:space="preserve"> </w:t>
      </w:r>
      <w:r w:rsidR="00425BDB" w:rsidRPr="004F0767">
        <w:rPr>
          <w:lang w:val="es-ES"/>
        </w:rPr>
        <w:tab/>
      </w:r>
      <w:r w:rsidRPr="004F0767">
        <w:rPr>
          <w:lang w:val="es-ES"/>
        </w:rPr>
        <w:t>https://www.statistics.gr/documents/20181/aebc803f-3e61-30c4-d9fc-0ae1dc29d745</w:t>
      </w:r>
    </w:p>
  </w:footnote>
  <w:footnote w:id="417">
    <w:p w14:paraId="3928F022" w14:textId="05557752" w:rsidR="000A4E61" w:rsidRPr="004F0767" w:rsidRDefault="000A4E61" w:rsidP="00425BDB">
      <w:pPr>
        <w:pStyle w:val="FootnoteText"/>
        <w:jc w:val="left"/>
        <w:rPr>
          <w:lang w:val="es-ES"/>
        </w:rPr>
      </w:pPr>
      <w:r w:rsidRPr="00EA4C9B">
        <w:rPr>
          <w:rStyle w:val="FootnoteReference"/>
        </w:rPr>
        <w:footnoteRef/>
      </w:r>
      <w:r w:rsidRPr="004F0767">
        <w:rPr>
          <w:lang w:val="es-ES"/>
        </w:rPr>
        <w:t xml:space="preserve"> </w:t>
      </w:r>
      <w:r w:rsidR="00321E06" w:rsidRPr="004F0767">
        <w:rPr>
          <w:lang w:val="es-ES"/>
        </w:rPr>
        <w:tab/>
      </w:r>
      <w:r w:rsidRPr="004F0767">
        <w:rPr>
          <w:lang w:val="es-ES"/>
        </w:rPr>
        <w:t>https://commission.europa.eu/business-economy-euro/european-semester/european-semester-your-country/european-semester-documents-greece_en</w:t>
      </w:r>
    </w:p>
  </w:footnote>
  <w:footnote w:id="418">
    <w:p w14:paraId="72911659" w14:textId="0FA7EF92" w:rsidR="000A4E61" w:rsidRPr="004F0767" w:rsidRDefault="000A4E61" w:rsidP="000A4E61">
      <w:pPr>
        <w:pStyle w:val="FootnoteText"/>
        <w:rPr>
          <w:lang w:val="es-ES"/>
        </w:rPr>
      </w:pPr>
      <w:r w:rsidRPr="00EA4C9B">
        <w:rPr>
          <w:rStyle w:val="FootnoteReference"/>
        </w:rPr>
        <w:footnoteRef/>
      </w:r>
      <w:r w:rsidRPr="004F0767">
        <w:rPr>
          <w:lang w:val="es-ES"/>
        </w:rPr>
        <w:t xml:space="preserve"> </w:t>
      </w:r>
      <w:r w:rsidR="00321E06" w:rsidRPr="004F0767">
        <w:rPr>
          <w:lang w:val="es-ES"/>
        </w:rPr>
        <w:tab/>
      </w:r>
      <w:r w:rsidRPr="004F0767">
        <w:rPr>
          <w:lang w:val="es-ES"/>
        </w:rPr>
        <w:t>https://www.eumonitor.eu/9353000/1/j9vvik7m1c3gyxp/vkxp6zf3l5qi</w:t>
      </w:r>
    </w:p>
  </w:footnote>
  <w:footnote w:id="419">
    <w:p w14:paraId="431357E8" w14:textId="5DC7581A" w:rsidR="000A4E61" w:rsidRPr="004F0767" w:rsidRDefault="000A4E61" w:rsidP="000A4E61">
      <w:pPr>
        <w:pStyle w:val="FootnoteText"/>
        <w:rPr>
          <w:lang w:val="es-ES"/>
        </w:rPr>
      </w:pPr>
      <w:r w:rsidRPr="00EA4C9B">
        <w:rPr>
          <w:rStyle w:val="FootnoteReference"/>
        </w:rPr>
        <w:footnoteRef/>
      </w:r>
      <w:r w:rsidRPr="004F0767">
        <w:rPr>
          <w:lang w:val="es-ES"/>
        </w:rPr>
        <w:t xml:space="preserve"> </w:t>
      </w:r>
      <w:r w:rsidR="00321E06" w:rsidRPr="004F0767">
        <w:rPr>
          <w:lang w:val="es-ES"/>
        </w:rPr>
        <w:tab/>
      </w:r>
      <w:r w:rsidRPr="004F0767">
        <w:rPr>
          <w:lang w:val="es-ES"/>
        </w:rPr>
        <w:t>https://eur-lex.europa.eu/legal-content/EN/TXT/?uri=comnat:SWD_2022_0254_FIN</w:t>
      </w:r>
    </w:p>
  </w:footnote>
  <w:footnote w:id="420">
    <w:p w14:paraId="5820379F" w14:textId="438BC5D2" w:rsidR="000A4E61" w:rsidRPr="004F0767" w:rsidRDefault="000A4E61" w:rsidP="000A4E61">
      <w:pPr>
        <w:pStyle w:val="FootnoteText"/>
        <w:rPr>
          <w:lang w:val="es-ES"/>
        </w:rPr>
      </w:pPr>
      <w:r w:rsidRPr="00EA4C9B">
        <w:rPr>
          <w:rStyle w:val="FootnoteReference"/>
        </w:rPr>
        <w:footnoteRef/>
      </w:r>
      <w:r w:rsidRPr="004F0767">
        <w:rPr>
          <w:lang w:val="es-ES"/>
        </w:rPr>
        <w:t xml:space="preserve"> </w:t>
      </w:r>
      <w:r w:rsidR="00321E06" w:rsidRPr="004F0767">
        <w:rPr>
          <w:lang w:val="es-ES"/>
        </w:rPr>
        <w:tab/>
      </w:r>
      <w:r w:rsidRPr="004F0767">
        <w:rPr>
          <w:lang w:val="es-ES"/>
        </w:rPr>
        <w:t>https://www.eea.europa.eu/en/analysis/maps-and-charts/overview-of-landfill-taxes-on</w:t>
      </w:r>
    </w:p>
  </w:footnote>
  <w:footnote w:id="421">
    <w:p w14:paraId="04C7B539" w14:textId="492BF52F" w:rsidR="002F5A41" w:rsidRPr="00BA7936" w:rsidRDefault="002F5A41">
      <w:pPr>
        <w:pStyle w:val="FootnoteText"/>
        <w:rPr>
          <w:lang w:val="it-IT"/>
        </w:rPr>
      </w:pPr>
      <w:r>
        <w:rPr>
          <w:rStyle w:val="FootnoteReference"/>
        </w:rPr>
        <w:footnoteRef/>
      </w:r>
      <w:r>
        <w:t xml:space="preserve"> </w:t>
      </w:r>
      <w:r w:rsidR="00C16862" w:rsidRPr="00C16862">
        <w:rPr>
          <w:i/>
          <w:iCs/>
        </w:rPr>
        <w:t>Greece, 2025 EU waste recycling targets – State of play</w:t>
      </w:r>
      <w:r w:rsidR="00C16862" w:rsidRPr="00C16862">
        <w:t>, Publications Office of the European Union, 2023, </w:t>
      </w:r>
      <w:hyperlink r:id="rId279" w:tgtFrame="_blank" w:history="1">
        <w:r w:rsidR="00C16862" w:rsidRPr="00BA7936">
          <w:rPr>
            <w:rStyle w:val="Hyperlink"/>
          </w:rPr>
          <w:t>https://data.europa.eu/doi/10.2779/688810</w:t>
        </w:r>
      </w:hyperlink>
    </w:p>
  </w:footnote>
  <w:footnote w:id="422">
    <w:p w14:paraId="37A8B01B" w14:textId="77777777" w:rsidR="00B56DC0" w:rsidRPr="004536E9" w:rsidRDefault="00B56DC0" w:rsidP="00B56DC0">
      <w:pPr>
        <w:pStyle w:val="FootnoteText"/>
        <w:rPr>
          <w:lang w:val="en-US"/>
        </w:rPr>
      </w:pPr>
      <w:r>
        <w:rPr>
          <w:rStyle w:val="FootnoteReference"/>
        </w:rPr>
        <w:footnoteRef/>
      </w:r>
      <w:r>
        <w:t xml:space="preserve"> </w:t>
      </w:r>
      <w:r w:rsidRPr="004536E9">
        <w:t xml:space="preserve">The comparison is expressed in real terms, meaning that figures are adjusted for inflation. The </w:t>
      </w:r>
      <w:r>
        <w:t>39</w:t>
      </w:r>
      <w:r w:rsidRPr="004536E9">
        <w:t>.</w:t>
      </w:r>
      <w:r>
        <w:t>3</w:t>
      </w:r>
      <w:r w:rsidRPr="004536E9">
        <w:t>%    increase refers to growth in constant prices over 2009–2023.</w:t>
      </w:r>
    </w:p>
  </w:footnote>
  <w:footnote w:id="423">
    <w:p w14:paraId="4CC69944" w14:textId="77777777" w:rsidR="00F54F85" w:rsidRPr="000D751B" w:rsidRDefault="00F54F85" w:rsidP="00F54F85">
      <w:pPr>
        <w:pStyle w:val="FootnoteText"/>
        <w:rPr>
          <w:lang w:val="en-US"/>
        </w:rPr>
      </w:pPr>
      <w:r>
        <w:rPr>
          <w:rStyle w:val="FootnoteReference"/>
        </w:rPr>
        <w:footnoteRef/>
      </w:r>
      <w:r>
        <w:t xml:space="preserve"> </w:t>
      </w:r>
      <w:r>
        <w:tab/>
      </w:r>
      <w:r>
        <w:rPr>
          <w:lang w:val="en-US"/>
        </w:rPr>
        <w:t>Sources include OECD PINE database, Eurostat, and government websites.</w:t>
      </w:r>
    </w:p>
  </w:footnote>
  <w:footnote w:id="424">
    <w:p w14:paraId="79F2A0F6" w14:textId="77777777" w:rsidR="00F54F85" w:rsidRPr="00B87F14" w:rsidRDefault="00F54F85" w:rsidP="00F54F85">
      <w:pPr>
        <w:pStyle w:val="FootnoteText"/>
      </w:pPr>
      <w:r>
        <w:rPr>
          <w:rStyle w:val="FootnoteReference"/>
        </w:rPr>
        <w:footnoteRef/>
      </w:r>
      <w:r>
        <w:t xml:space="preserve"> </w:t>
      </w:r>
      <w:r>
        <w:tab/>
      </w:r>
      <w:r w:rsidRPr="00B87F14">
        <w:t>https://net.jogtar.hu/jogszabaly?docid=a1200185.tv</w:t>
      </w:r>
    </w:p>
  </w:footnote>
  <w:footnote w:id="425">
    <w:p w14:paraId="6C1606B5" w14:textId="77777777" w:rsidR="00F54F85" w:rsidRPr="00007CE0" w:rsidRDefault="00F54F85" w:rsidP="00F54F85">
      <w:pPr>
        <w:pStyle w:val="FootnoteText"/>
      </w:pPr>
      <w:r>
        <w:rPr>
          <w:rStyle w:val="FootnoteReference"/>
        </w:rPr>
        <w:footnoteRef/>
      </w:r>
      <w:r>
        <w:t xml:space="preserve"> </w:t>
      </w:r>
      <w:r>
        <w:tab/>
      </w:r>
      <w:r w:rsidRPr="00007CE0">
        <w:t>https://www.eea.europa.eu/publications/many-eu-member-states/hungary/view</w:t>
      </w:r>
    </w:p>
  </w:footnote>
  <w:footnote w:id="426">
    <w:p w14:paraId="240C4C03" w14:textId="77777777" w:rsidR="00F54F85" w:rsidRPr="00233E9A" w:rsidRDefault="00F54F85" w:rsidP="00F54F85">
      <w:pPr>
        <w:pStyle w:val="FootnoteText"/>
      </w:pPr>
      <w:r>
        <w:rPr>
          <w:rStyle w:val="FootnoteReference"/>
        </w:rPr>
        <w:footnoteRef/>
      </w:r>
      <w:r>
        <w:t xml:space="preserve"> </w:t>
      </w:r>
      <w:r>
        <w:tab/>
      </w:r>
      <w:r>
        <w:rPr>
          <w:lang w:val="en-US"/>
        </w:rPr>
        <w:t>The tax includes some exemptions for non-</w:t>
      </w:r>
      <w:r w:rsidRPr="001C021E">
        <w:rPr>
          <w:lang w:val="en-US"/>
        </w:rPr>
        <w:t>hazardous waste residues resulting from incineration processes</w:t>
      </w:r>
      <w:r>
        <w:rPr>
          <w:lang w:val="en-US"/>
        </w:rPr>
        <w:t>, i</w:t>
      </w:r>
      <w:r w:rsidRPr="00BC40F3">
        <w:rPr>
          <w:lang w:val="en-US"/>
        </w:rPr>
        <w:t>nert waste</w:t>
      </w:r>
      <w:r>
        <w:rPr>
          <w:lang w:val="en-US"/>
        </w:rPr>
        <w:t>, and specific industrial by-products</w:t>
      </w:r>
    </w:p>
  </w:footnote>
  <w:footnote w:id="427">
    <w:p w14:paraId="06CCC51E" w14:textId="77777777" w:rsidR="00F54F85" w:rsidRPr="00151BBA" w:rsidRDefault="00F54F85" w:rsidP="00F54F85">
      <w:pPr>
        <w:pStyle w:val="FootnoteText"/>
      </w:pPr>
      <w:r>
        <w:rPr>
          <w:rStyle w:val="FootnoteReference"/>
        </w:rPr>
        <w:footnoteRef/>
      </w:r>
      <w:r>
        <w:t xml:space="preserve"> </w:t>
      </w:r>
      <w:r>
        <w:tab/>
      </w:r>
      <w:r w:rsidRPr="00151BBA">
        <w:t>https://www.ksh.hu/stadat_files/gdp/hu/gdp0025.html</w:t>
      </w:r>
      <w:r>
        <w:t>.</w:t>
      </w:r>
    </w:p>
  </w:footnote>
  <w:footnote w:id="428">
    <w:p w14:paraId="78B2C1F3" w14:textId="77777777" w:rsidR="00F54F85" w:rsidRPr="00F950D8" w:rsidRDefault="00F54F85" w:rsidP="00F54F85">
      <w:pPr>
        <w:pStyle w:val="FootnoteText"/>
      </w:pPr>
      <w:r>
        <w:rPr>
          <w:rStyle w:val="FootnoteReference"/>
        </w:rPr>
        <w:footnoteRef/>
      </w:r>
      <w:r>
        <w:t xml:space="preserve"> </w:t>
      </w:r>
      <w:r>
        <w:tab/>
      </w:r>
      <w:r w:rsidRPr="00F950D8">
        <w:t>https://net.jogtar.hu/jogszabaly?docid=99300048.tv</w:t>
      </w:r>
    </w:p>
  </w:footnote>
  <w:footnote w:id="429">
    <w:p w14:paraId="7CC76E00" w14:textId="77777777" w:rsidR="00F54F85" w:rsidRPr="00E91EAD" w:rsidRDefault="00F54F85" w:rsidP="00F54F85">
      <w:pPr>
        <w:pStyle w:val="FootnoteText"/>
      </w:pPr>
      <w:r>
        <w:rPr>
          <w:rStyle w:val="FootnoteReference"/>
        </w:rPr>
        <w:footnoteRef/>
      </w:r>
      <w:r>
        <w:t xml:space="preserve"> </w:t>
      </w:r>
      <w:r>
        <w:tab/>
      </w:r>
      <w:r w:rsidRPr="00E91EAD">
        <w:t>https://ieep.eu/wp-content/uploads/2022/12/HU-Air-Pollution-Charge-final-1-1.pdf</w:t>
      </w:r>
    </w:p>
  </w:footnote>
  <w:footnote w:id="430">
    <w:p w14:paraId="09D3F768" w14:textId="77777777" w:rsidR="00F54F85" w:rsidRPr="00E61CB5" w:rsidRDefault="00F54F85" w:rsidP="00F54F85">
      <w:pPr>
        <w:pStyle w:val="FootnoteText"/>
      </w:pPr>
      <w:r>
        <w:rPr>
          <w:rStyle w:val="FootnoteReference"/>
        </w:rPr>
        <w:footnoteRef/>
      </w:r>
      <w:r>
        <w:t xml:space="preserve"> </w:t>
      </w:r>
      <w:r>
        <w:tab/>
      </w:r>
      <w:r w:rsidRPr="00E61CB5">
        <w:t>https://net.jogtar.hu/jogszabaly?docid=A0300089.TV</w:t>
      </w:r>
    </w:p>
  </w:footnote>
  <w:footnote w:id="431">
    <w:p w14:paraId="233ABDD3" w14:textId="77777777" w:rsidR="00F54F85" w:rsidRPr="00DC5670" w:rsidRDefault="00F54F85" w:rsidP="00F54F85">
      <w:pPr>
        <w:pStyle w:val="FootnoteText"/>
      </w:pPr>
      <w:r>
        <w:rPr>
          <w:rStyle w:val="FootnoteReference"/>
        </w:rPr>
        <w:footnoteRef/>
      </w:r>
      <w:r>
        <w:t xml:space="preserve"> </w:t>
      </w:r>
      <w:r>
        <w:tab/>
      </w:r>
      <w:r w:rsidRPr="00DC5670">
        <w:t>https://www.fao.org/faolex/results/details/en/c/LEX-FAOC106203/</w:t>
      </w:r>
    </w:p>
  </w:footnote>
  <w:footnote w:id="432">
    <w:p w14:paraId="1F9117C1" w14:textId="77777777" w:rsidR="00F54F85" w:rsidRPr="00DC5670" w:rsidRDefault="00F54F85" w:rsidP="00F54F85">
      <w:pPr>
        <w:pStyle w:val="FootnoteText"/>
      </w:pPr>
      <w:r>
        <w:rPr>
          <w:rStyle w:val="FootnoteReference"/>
        </w:rPr>
        <w:footnoteRef/>
      </w:r>
      <w:r>
        <w:t xml:space="preserve"> </w:t>
      </w:r>
      <w:r>
        <w:tab/>
      </w:r>
      <w:r w:rsidRPr="00DC5670">
        <w:t>https://net.jogtar.hu/jogszabaly?docid=a1100085.tv</w:t>
      </w:r>
    </w:p>
  </w:footnote>
  <w:footnote w:id="433">
    <w:p w14:paraId="1C490143" w14:textId="77777777" w:rsidR="00F54F85" w:rsidRDefault="00F54F85" w:rsidP="00F54F85">
      <w:pPr>
        <w:pStyle w:val="FootnoteText"/>
      </w:pPr>
      <w:r w:rsidRPr="556756BF">
        <w:rPr>
          <w:rStyle w:val="FootnoteReference"/>
        </w:rPr>
        <w:footnoteRef/>
      </w:r>
      <w:r>
        <w:t xml:space="preserve"> </w:t>
      </w:r>
      <w:r>
        <w:tab/>
      </w:r>
      <w:r w:rsidRPr="556756BF">
        <w:rPr>
          <w:rFonts w:ascii="Segoe UI" w:eastAsia="Segoe UI" w:hAnsi="Segoe UI" w:cs="Segoe UI"/>
          <w:color w:val="000000" w:themeColor="text1"/>
          <w:sz w:val="18"/>
          <w:szCs w:val="18"/>
        </w:rPr>
        <w:t>https://www.rsm.hu/blog/epr-vagy-kvdt-termekdij</w:t>
      </w:r>
    </w:p>
  </w:footnote>
  <w:footnote w:id="434">
    <w:p w14:paraId="37C21905" w14:textId="77777777" w:rsidR="00F54F85" w:rsidRDefault="00F54F85" w:rsidP="00F54F85">
      <w:pPr>
        <w:pStyle w:val="FootnoteText"/>
      </w:pPr>
      <w:r w:rsidRPr="556756BF">
        <w:rPr>
          <w:rStyle w:val="FootnoteReference"/>
        </w:rPr>
        <w:footnoteRef/>
      </w:r>
      <w:r>
        <w:t xml:space="preserve"> </w:t>
      </w:r>
      <w:r>
        <w:tab/>
        <w:t>https://nav.gov.hu/ado/afa/20243.-Adozasi-kerdes---A-kiterjesztett-gyartoi-felelossegi-EPR-dij-es-az-onkormanyzatokat-az-EPR-dijbol-megilleto-osszeg-afa-megitelese</w:t>
      </w:r>
    </w:p>
  </w:footnote>
  <w:footnote w:id="435">
    <w:p w14:paraId="2C4698B4" w14:textId="77777777" w:rsidR="00F54F85" w:rsidRPr="00607B2C" w:rsidRDefault="00F54F85" w:rsidP="00F54F85">
      <w:pPr>
        <w:pStyle w:val="FootnoteText"/>
        <w:rPr>
          <w:b/>
          <w:bCs/>
        </w:rPr>
      </w:pPr>
      <w:r>
        <w:rPr>
          <w:rStyle w:val="FootnoteReference"/>
        </w:rPr>
        <w:footnoteRef/>
      </w:r>
      <w:r>
        <w:t xml:space="preserve"> </w:t>
      </w:r>
      <w:r>
        <w:tab/>
      </w:r>
      <w:r w:rsidRPr="00607B2C">
        <w:t>https://net.jogtar.hu/jogszabaly?docid=99900047.khv</w:t>
      </w:r>
    </w:p>
  </w:footnote>
  <w:footnote w:id="436">
    <w:p w14:paraId="2B5CFA99" w14:textId="77777777" w:rsidR="00F54F85" w:rsidRPr="00546F00" w:rsidRDefault="00F54F85" w:rsidP="00F54F85">
      <w:pPr>
        <w:pStyle w:val="FootnoteText"/>
      </w:pPr>
      <w:r>
        <w:rPr>
          <w:rStyle w:val="FootnoteReference"/>
        </w:rPr>
        <w:footnoteRef/>
      </w:r>
      <w:r>
        <w:t xml:space="preserve"> </w:t>
      </w:r>
      <w:r>
        <w:tab/>
      </w:r>
      <w:r w:rsidRPr="00546F00">
        <w:t>https://www.fcsm.hu/ugyfelszolgalat/budapest/dijkalkulator</w:t>
      </w:r>
    </w:p>
  </w:footnote>
  <w:footnote w:id="437">
    <w:p w14:paraId="290684D1" w14:textId="77777777" w:rsidR="00F54F85" w:rsidRPr="00961DAF" w:rsidRDefault="00F54F85" w:rsidP="00F54F85">
      <w:pPr>
        <w:pStyle w:val="FootnoteText"/>
      </w:pPr>
      <w:r>
        <w:rPr>
          <w:rStyle w:val="FootnoteReference"/>
        </w:rPr>
        <w:footnoteRef/>
      </w:r>
      <w:r>
        <w:t xml:space="preserve"> </w:t>
      </w:r>
      <w:r>
        <w:tab/>
      </w:r>
      <w:r w:rsidRPr="00961DAF">
        <w:t>https://www.fao.org/faolex/results/details/en/c/LEX-FAOC097377</w:t>
      </w:r>
    </w:p>
  </w:footnote>
  <w:footnote w:id="438">
    <w:p w14:paraId="7A221978" w14:textId="77777777" w:rsidR="00F54F85" w:rsidRPr="00214ABB" w:rsidRDefault="00F54F85" w:rsidP="00F54F85">
      <w:pPr>
        <w:pStyle w:val="FootnoteText"/>
      </w:pPr>
      <w:r>
        <w:rPr>
          <w:rStyle w:val="FootnoteReference"/>
        </w:rPr>
        <w:footnoteRef/>
      </w:r>
      <w:r>
        <w:t xml:space="preserve"> </w:t>
      </w:r>
      <w:r>
        <w:tab/>
      </w:r>
      <w:r w:rsidRPr="00214ABB">
        <w:t>https://net.jogtar.hu/jogszabaly?docid=a1300102.tv</w:t>
      </w:r>
    </w:p>
  </w:footnote>
  <w:footnote w:id="439">
    <w:p w14:paraId="0937FEBE" w14:textId="77777777" w:rsidR="00F54F85" w:rsidRPr="005E2249" w:rsidRDefault="00F54F85" w:rsidP="00F54F85">
      <w:pPr>
        <w:pStyle w:val="FootnoteText"/>
      </w:pPr>
      <w:r>
        <w:rPr>
          <w:rStyle w:val="FootnoteReference"/>
        </w:rPr>
        <w:footnoteRef/>
      </w:r>
      <w:r>
        <w:t xml:space="preserve"> </w:t>
      </w:r>
      <w:r>
        <w:tab/>
      </w:r>
      <w:r w:rsidRPr="005E2249">
        <w:t>https://rdhsz.hu/index.php/2-uncategorised/1083-angling-regulations-for-year-2025-in-english?</w:t>
      </w:r>
    </w:p>
  </w:footnote>
  <w:footnote w:id="440">
    <w:p w14:paraId="443472F3" w14:textId="77777777" w:rsidR="00F54F85" w:rsidRPr="00295BEC" w:rsidRDefault="00F54F85" w:rsidP="00F54F85">
      <w:pPr>
        <w:pStyle w:val="FootnoteText"/>
      </w:pPr>
      <w:r>
        <w:rPr>
          <w:rStyle w:val="FootnoteReference"/>
        </w:rPr>
        <w:footnoteRef/>
      </w:r>
      <w:r>
        <w:t xml:space="preserve"> </w:t>
      </w:r>
      <w:r>
        <w:tab/>
      </w:r>
      <w:r w:rsidRPr="00295BEC">
        <w:t>https://www.omvk.hu/hir/vadaszjegyervenyesites-2025-2026?</w:t>
      </w:r>
    </w:p>
  </w:footnote>
  <w:footnote w:id="441">
    <w:p w14:paraId="2B2AA966" w14:textId="77777777" w:rsidR="00F54F85" w:rsidRPr="00BF0F6C" w:rsidRDefault="00F54F85" w:rsidP="00F54F85">
      <w:pPr>
        <w:pStyle w:val="FootnoteText"/>
      </w:pPr>
      <w:r>
        <w:rPr>
          <w:rStyle w:val="FootnoteReference"/>
        </w:rPr>
        <w:footnoteRef/>
      </w:r>
      <w:r>
        <w:t xml:space="preserve"> </w:t>
      </w:r>
      <w:r>
        <w:tab/>
      </w:r>
      <w:r w:rsidRPr="00644111">
        <w:t>https://op.europa.eu/publication-detail/-/publication/fb3eccdc-1f68-11ed-8fa0-01aa75ed71a1</w:t>
      </w:r>
    </w:p>
  </w:footnote>
  <w:footnote w:id="442">
    <w:p w14:paraId="1EB16EB8" w14:textId="77777777" w:rsidR="00F54F85" w:rsidRPr="00B14E6F" w:rsidRDefault="00F54F85" w:rsidP="00F54F85">
      <w:pPr>
        <w:pStyle w:val="FootnoteText"/>
      </w:pPr>
      <w:r>
        <w:rPr>
          <w:rStyle w:val="FootnoteReference"/>
        </w:rPr>
        <w:footnoteRef/>
      </w:r>
      <w:r w:rsidRPr="00B14E6F">
        <w:t xml:space="preserve"> </w:t>
      </w:r>
      <w:r>
        <w:tab/>
      </w:r>
      <w:r w:rsidRPr="006D00DD">
        <w:t>https://www.e3g.org/wp-content/uploads/E3G-Briefing-NECP-gas-analysis-Hungary.pdf</w:t>
      </w:r>
    </w:p>
  </w:footnote>
  <w:footnote w:id="443">
    <w:p w14:paraId="17F15952" w14:textId="77777777" w:rsidR="00F54F85" w:rsidRPr="001D1191" w:rsidRDefault="00F54F85" w:rsidP="00F54F85">
      <w:pPr>
        <w:pStyle w:val="FootnoteText"/>
      </w:pPr>
      <w:r>
        <w:rPr>
          <w:rStyle w:val="FootnoteReference"/>
        </w:rPr>
        <w:footnoteRef/>
      </w:r>
      <w:r w:rsidRPr="001D1191">
        <w:t xml:space="preserve"> </w:t>
      </w:r>
      <w:r>
        <w:tab/>
      </w:r>
      <w:r w:rsidRPr="001D1191">
        <w:t>https://commission.europa.eu/publications/2024-european-semester-country-specific-recommendations-commission-recommendations_en</w:t>
      </w:r>
    </w:p>
  </w:footnote>
  <w:footnote w:id="444">
    <w:p w14:paraId="20FC556A" w14:textId="77777777" w:rsidR="00F54F85" w:rsidRPr="00CD3ED9" w:rsidRDefault="00F54F85" w:rsidP="00F54F85">
      <w:pPr>
        <w:pStyle w:val="FootnoteText"/>
      </w:pPr>
      <w:r>
        <w:rPr>
          <w:rStyle w:val="FootnoteReference"/>
        </w:rPr>
        <w:footnoteRef/>
      </w:r>
      <w:r>
        <w:t xml:space="preserve"> </w:t>
      </w:r>
      <w:r>
        <w:tab/>
      </w:r>
      <w:r w:rsidRPr="00CD3ED9">
        <w:t>https://commission.europa.eu/publications/2025-european-semester-country-specific-recommendations-commission-recommendations_en</w:t>
      </w:r>
    </w:p>
  </w:footnote>
  <w:footnote w:id="445">
    <w:p w14:paraId="1939DC20" w14:textId="0FD082D8" w:rsidR="0073684B" w:rsidRPr="0073684B" w:rsidRDefault="0073684B">
      <w:pPr>
        <w:pStyle w:val="FootnoteText"/>
      </w:pPr>
      <w:r>
        <w:rPr>
          <w:rStyle w:val="FootnoteReference"/>
        </w:rPr>
        <w:footnoteRef/>
      </w:r>
      <w:r>
        <w:t xml:space="preserve"> </w:t>
      </w:r>
      <w:r w:rsidRPr="0073684B">
        <w:t>https://www.eea.europa.eu/en/analysis/maps-and-charts/overview-of-landfill-taxes-on</w:t>
      </w:r>
    </w:p>
  </w:footnote>
  <w:footnote w:id="446">
    <w:p w14:paraId="53213907" w14:textId="4E288EBD" w:rsidR="00EE3157" w:rsidRPr="00BA7936" w:rsidRDefault="00EE3157">
      <w:pPr>
        <w:pStyle w:val="FootnoteText"/>
        <w:rPr>
          <w:lang w:val="it-IT"/>
        </w:rPr>
      </w:pPr>
      <w:r>
        <w:rPr>
          <w:rStyle w:val="FootnoteReference"/>
        </w:rPr>
        <w:footnoteRef/>
      </w:r>
      <w:r>
        <w:t xml:space="preserve"> </w:t>
      </w:r>
      <w:r w:rsidR="009F67F6" w:rsidRPr="009F67F6">
        <w:rPr>
          <w:i/>
          <w:iCs/>
        </w:rPr>
        <w:t>Hungary, 2025 EU waste recycling targets – State of play</w:t>
      </w:r>
      <w:r w:rsidR="009F67F6" w:rsidRPr="009F67F6">
        <w:t>, Publications Office of the European Union, 2023, </w:t>
      </w:r>
      <w:hyperlink r:id="rId280" w:tgtFrame="_blank" w:history="1">
        <w:r w:rsidR="009F67F6" w:rsidRPr="00BA7936">
          <w:rPr>
            <w:rStyle w:val="Hyperlink"/>
          </w:rPr>
          <w:t>https://data.europa.eu/doi/10.2779/51662</w:t>
        </w:r>
      </w:hyperlink>
    </w:p>
  </w:footnote>
  <w:footnote w:id="447">
    <w:p w14:paraId="1BF364FD" w14:textId="0652650F" w:rsidR="008C608F" w:rsidRPr="00F21C71" w:rsidRDefault="008C608F" w:rsidP="008C608F">
      <w:pPr>
        <w:pStyle w:val="FootnoteText"/>
        <w:rPr>
          <w:lang w:val="en-US"/>
        </w:rPr>
      </w:pPr>
      <w:r>
        <w:rPr>
          <w:rStyle w:val="FootnoteReference"/>
        </w:rPr>
        <w:footnoteRef/>
      </w:r>
      <w:r>
        <w:t xml:space="preserve"> </w:t>
      </w:r>
      <w:r>
        <w:tab/>
      </w:r>
      <w:r w:rsidRPr="00F21C71">
        <w:t xml:space="preserve">The comparison is expressed in real terms, meaning that figures are adjusted for inflation. The </w:t>
      </w:r>
      <w:r>
        <w:t>20</w:t>
      </w:r>
      <w:r w:rsidRPr="00F21C71">
        <w:t>.</w:t>
      </w:r>
      <w:r>
        <w:t>1</w:t>
      </w:r>
      <w:r w:rsidRPr="00F21C71">
        <w:t>%    increase refers to growth in constant prices over 2009–2023.</w:t>
      </w:r>
    </w:p>
  </w:footnote>
  <w:footnote w:id="448">
    <w:p w14:paraId="042A0128" w14:textId="77777777" w:rsidR="000A4E61" w:rsidRPr="00EA4C9B" w:rsidRDefault="000A4E61" w:rsidP="000A4E61">
      <w:pPr>
        <w:pStyle w:val="FootnoteText"/>
      </w:pPr>
      <w:r w:rsidRPr="00EA4C9B">
        <w:rPr>
          <w:rStyle w:val="FootnoteReference"/>
        </w:rPr>
        <w:footnoteRef/>
      </w:r>
      <w:r w:rsidRPr="00EA4C9B">
        <w:t xml:space="preserve">  </w:t>
      </w:r>
      <w:hyperlink r:id="rId281" w:tgtFrame="_blank" w:history="1">
        <w:r w:rsidRPr="00EA4C9B">
          <w:rPr>
            <w:rStyle w:val="Hyperlink"/>
          </w:rPr>
          <w:t>[env_ac_taxind2] Environmental taxes by economic activity (NACE Rev. 2)</w:t>
        </w:r>
      </w:hyperlink>
    </w:p>
  </w:footnote>
  <w:footnote w:id="449">
    <w:p w14:paraId="5A7B03C4" w14:textId="77777777" w:rsidR="000A4E61" w:rsidRPr="00EA4C9B" w:rsidRDefault="000A4E61" w:rsidP="000A4E61">
      <w:pPr>
        <w:pStyle w:val="FootnoteText"/>
      </w:pPr>
      <w:r w:rsidRPr="00EA4C9B">
        <w:rPr>
          <w:rStyle w:val="FootnoteReference"/>
        </w:rPr>
        <w:footnoteRef/>
      </w:r>
      <w:r w:rsidRPr="00EA4C9B">
        <w:t xml:space="preserve">  </w:t>
      </w:r>
      <w:hyperlink r:id="rId282" w:tgtFrame="_blank" w:history="1">
        <w:r w:rsidRPr="00EA4C9B">
          <w:rPr>
            <w:rStyle w:val="Hyperlink"/>
          </w:rPr>
          <w:t>[env_ac_taxind2] Environmental taxes by economic activity (NACE Rev. 2)</w:t>
        </w:r>
      </w:hyperlink>
    </w:p>
  </w:footnote>
  <w:footnote w:id="450">
    <w:p w14:paraId="3C4C64CC" w14:textId="77777777" w:rsidR="000A4E61" w:rsidRPr="00EA4C9B" w:rsidRDefault="000A4E61" w:rsidP="000A4E61">
      <w:pPr>
        <w:pStyle w:val="FootnoteText"/>
      </w:pPr>
      <w:r w:rsidRPr="00EA4C9B">
        <w:rPr>
          <w:rStyle w:val="FootnoteReference"/>
        </w:rPr>
        <w:footnoteRef/>
      </w:r>
      <w:r w:rsidRPr="00EA4C9B">
        <w:t xml:space="preserve">  </w:t>
      </w:r>
      <w:hyperlink r:id="rId283" w:tgtFrame="_blank" w:history="1">
        <w:r w:rsidRPr="00EA4C9B">
          <w:rPr>
            <w:rStyle w:val="Hyperlink"/>
          </w:rPr>
          <w:t>Policy Instruments for the Environment (PINE) Database | OECD</w:t>
        </w:r>
      </w:hyperlink>
    </w:p>
  </w:footnote>
  <w:footnote w:id="451">
    <w:p w14:paraId="59C3C3D8" w14:textId="77777777" w:rsidR="000A4E61" w:rsidRPr="00EA4C9B" w:rsidRDefault="000A4E61" w:rsidP="000A4E61">
      <w:pPr>
        <w:pStyle w:val="FootnoteText"/>
      </w:pPr>
      <w:r w:rsidRPr="00EA4C9B">
        <w:rPr>
          <w:rStyle w:val="FootnoteReference"/>
        </w:rPr>
        <w:footnoteRef/>
      </w:r>
      <w:r w:rsidRPr="00EA4C9B">
        <w:t xml:space="preserve">  </w:t>
      </w:r>
      <w:hyperlink r:id="rId284" w:anchor="/tax-details?taxId=861&amp;versionDate=1735686000&amp;isEuro=true&amp;taxType=OTHER_INDIRECT" w:history="1">
        <w:r w:rsidRPr="00EA4C9B">
          <w:rPr>
            <w:rStyle w:val="Hyperlink"/>
            <w:rFonts w:ascii="Calibri" w:eastAsia="Times New Roman" w:hAnsi="Calibri" w:cs="Calibri"/>
            <w:lang w:eastAsia="en-GB"/>
          </w:rPr>
          <w:t>Taxes in Europe Database v4 - Indirect taxes - Other Indirect</w:t>
        </w:r>
      </w:hyperlink>
    </w:p>
  </w:footnote>
  <w:footnote w:id="452">
    <w:p w14:paraId="463D1839" w14:textId="77777777" w:rsidR="000A4E61" w:rsidRPr="00EA4C9B" w:rsidRDefault="000A4E61" w:rsidP="000A4E61">
      <w:pPr>
        <w:pStyle w:val="FootnoteText"/>
      </w:pPr>
      <w:r w:rsidRPr="00EA4C9B">
        <w:rPr>
          <w:rStyle w:val="FootnoteReference"/>
        </w:rPr>
        <w:footnoteRef/>
      </w:r>
      <w:r w:rsidRPr="00EA4C9B">
        <w:t xml:space="preserve">  </w:t>
      </w:r>
      <w:hyperlink r:id="rId285" w:history="1">
        <w:r w:rsidRPr="00EA4C9B">
          <w:rPr>
            <w:rStyle w:val="Hyperlink"/>
          </w:rPr>
          <w:t>IEEP (2014) 'Environmental tax reform in Europe: Opportunities for the future'</w:t>
        </w:r>
      </w:hyperlink>
    </w:p>
  </w:footnote>
  <w:footnote w:id="453">
    <w:p w14:paraId="30D72BFC" w14:textId="7A6AF36F" w:rsidR="000A4E61" w:rsidRPr="00EA4C9B" w:rsidRDefault="000A4E61" w:rsidP="000A4E61">
      <w:pPr>
        <w:pStyle w:val="FootnoteText"/>
      </w:pPr>
      <w:r w:rsidRPr="00EA4C9B">
        <w:rPr>
          <w:rStyle w:val="FootnoteReference"/>
        </w:rPr>
        <w:footnoteRef/>
      </w:r>
      <w:r w:rsidRPr="00EA4C9B">
        <w:t xml:space="preserve"> </w:t>
      </w:r>
      <w:r w:rsidR="00321E06">
        <w:tab/>
      </w:r>
      <w:hyperlink r:id="rId286" w:history="1">
        <w:r w:rsidRPr="00EA4C9B">
          <w:rPr>
            <w:rStyle w:val="Hyperlink"/>
          </w:rPr>
          <w:t>IEEP (2014) 'Environmental tax reform in Europe: Opportunities for the future'</w:t>
        </w:r>
      </w:hyperlink>
    </w:p>
  </w:footnote>
  <w:footnote w:id="454">
    <w:p w14:paraId="49BF1DE4" w14:textId="7409DC56" w:rsidR="000A4E61" w:rsidRPr="00EA4C9B" w:rsidRDefault="000A4E61" w:rsidP="000A4E61">
      <w:pPr>
        <w:pStyle w:val="FootnoteText"/>
      </w:pPr>
      <w:r w:rsidRPr="00EA4C9B">
        <w:rPr>
          <w:rStyle w:val="FootnoteReference"/>
        </w:rPr>
        <w:footnoteRef/>
      </w:r>
      <w:r w:rsidRPr="00EA4C9B">
        <w:t xml:space="preserve"> </w:t>
      </w:r>
      <w:r w:rsidR="00321E06">
        <w:tab/>
      </w:r>
      <w:hyperlink r:id="rId287" w:history="1">
        <w:r w:rsidRPr="00EA4C9B">
          <w:rPr>
            <w:rStyle w:val="Hyperlink"/>
          </w:rPr>
          <w:t>IEEP (2014) 'Environmental tax reform in Europe: Opportunities for the future'</w:t>
        </w:r>
      </w:hyperlink>
    </w:p>
  </w:footnote>
  <w:footnote w:id="455">
    <w:p w14:paraId="43EA8846" w14:textId="3956C88D" w:rsidR="000A4E61" w:rsidRPr="00EA4C9B" w:rsidRDefault="000A4E61" w:rsidP="000A4E61">
      <w:pPr>
        <w:pStyle w:val="FootnoteText"/>
      </w:pPr>
      <w:r w:rsidRPr="00EA4C9B">
        <w:rPr>
          <w:rStyle w:val="FootnoteReference"/>
        </w:rPr>
        <w:footnoteRef/>
      </w:r>
      <w:r w:rsidRPr="00EA4C9B">
        <w:t xml:space="preserve"> </w:t>
      </w:r>
      <w:r w:rsidR="00321E06">
        <w:tab/>
      </w:r>
      <w:r w:rsidRPr="00EA4C9B">
        <w:t>https://data.cso.ie/table/ETA03</w:t>
      </w:r>
    </w:p>
  </w:footnote>
  <w:footnote w:id="456">
    <w:p w14:paraId="177AB41B" w14:textId="5158A60F" w:rsidR="000A4E61" w:rsidRPr="00EA4C9B" w:rsidRDefault="000A4E61" w:rsidP="000A4E61">
      <w:pPr>
        <w:pStyle w:val="FootnoteText"/>
      </w:pPr>
      <w:r w:rsidRPr="00EA4C9B">
        <w:rPr>
          <w:rStyle w:val="FootnoteReference"/>
        </w:rPr>
        <w:footnoteRef/>
      </w:r>
      <w:r w:rsidRPr="00EA4C9B">
        <w:t xml:space="preserve"> </w:t>
      </w:r>
      <w:r w:rsidR="00321E06">
        <w:tab/>
      </w:r>
      <w:hyperlink r:id="rId288" w:history="1">
        <w:r w:rsidRPr="00EA4C9B">
          <w:rPr>
            <w:rStyle w:val="Hyperlink"/>
          </w:rPr>
          <w:t>IEEP (2014) 'Environmental tax reform in Europe: Opportunities for the future'</w:t>
        </w:r>
      </w:hyperlink>
    </w:p>
  </w:footnote>
  <w:footnote w:id="457">
    <w:p w14:paraId="595C3F02" w14:textId="50E76950" w:rsidR="000A4E61" w:rsidRPr="00EA4C9B" w:rsidRDefault="000A4E61" w:rsidP="000A4E61">
      <w:pPr>
        <w:pStyle w:val="FootnoteText"/>
      </w:pPr>
      <w:r w:rsidRPr="00EA4C9B">
        <w:rPr>
          <w:rStyle w:val="FootnoteReference"/>
        </w:rPr>
        <w:footnoteRef/>
      </w:r>
      <w:r w:rsidRPr="00EA4C9B">
        <w:t xml:space="preserve"> </w:t>
      </w:r>
      <w:r w:rsidR="00321E06">
        <w:tab/>
      </w:r>
      <w:hyperlink r:id="rId289" w:anchor="/tax-details?taxId=857&amp;versionDate=1735686000&amp;isEuro=true&amp;taxType=OTHER_INDIRECT" w:history="1">
        <w:r w:rsidRPr="00EA4C9B">
          <w:rPr>
            <w:rStyle w:val="Hyperlink"/>
          </w:rPr>
          <w:t>Taxes in Europe Database v4 - Indirect taxes - Other Indirect - Generic part</w:t>
        </w:r>
      </w:hyperlink>
    </w:p>
  </w:footnote>
  <w:footnote w:id="458">
    <w:p w14:paraId="42EA0957" w14:textId="58BFF010" w:rsidR="000A4E61" w:rsidRPr="00EA4C9B" w:rsidRDefault="000A4E61" w:rsidP="000A4E61">
      <w:pPr>
        <w:pStyle w:val="FootnoteText"/>
      </w:pPr>
      <w:r w:rsidRPr="00EA4C9B">
        <w:rPr>
          <w:rStyle w:val="FootnoteReference"/>
        </w:rPr>
        <w:footnoteRef/>
      </w:r>
      <w:r w:rsidRPr="00EA4C9B">
        <w:t xml:space="preserve"> </w:t>
      </w:r>
      <w:r w:rsidR="00321E06">
        <w:tab/>
      </w:r>
      <w:hyperlink r:id="rId290" w:tgtFrame="_blank" w:history="1">
        <w:r w:rsidRPr="00EA4C9B">
          <w:rPr>
            <w:rStyle w:val="Hyperlink"/>
          </w:rPr>
          <w:t>Policy Instruments for the Environment (PINE) Database | OECD</w:t>
        </w:r>
      </w:hyperlink>
    </w:p>
  </w:footnote>
  <w:footnote w:id="459">
    <w:p w14:paraId="277531BD" w14:textId="56697306" w:rsidR="000A4E61" w:rsidRPr="00EA4C9B" w:rsidRDefault="000A4E61" w:rsidP="000A4E61">
      <w:pPr>
        <w:pStyle w:val="FootnoteText"/>
      </w:pPr>
      <w:r w:rsidRPr="00EA4C9B">
        <w:rPr>
          <w:rStyle w:val="FootnoteReference"/>
        </w:rPr>
        <w:footnoteRef/>
      </w:r>
      <w:r w:rsidRPr="00EA4C9B">
        <w:t xml:space="preserve"> </w:t>
      </w:r>
      <w:r w:rsidR="00321E06">
        <w:tab/>
      </w:r>
      <w:hyperlink r:id="rId291" w:history="1">
        <w:r w:rsidRPr="00EA4C9B">
          <w:rPr>
            <w:rStyle w:val="Hyperlink"/>
          </w:rPr>
          <w:t>Publications Office of the EU (2016) ‘Study on assessing the environmental fiscal reform potential for the EU28’</w:t>
        </w:r>
      </w:hyperlink>
    </w:p>
  </w:footnote>
  <w:footnote w:id="460">
    <w:p w14:paraId="5601DF0C" w14:textId="266E8586" w:rsidR="000A4E61" w:rsidRPr="00EA4C9B" w:rsidRDefault="000A4E61" w:rsidP="000A4E61">
      <w:pPr>
        <w:pStyle w:val="FootnoteText"/>
      </w:pPr>
      <w:r w:rsidRPr="00EA4C9B">
        <w:rPr>
          <w:rStyle w:val="FootnoteReference"/>
        </w:rPr>
        <w:footnoteRef/>
      </w:r>
      <w:r w:rsidRPr="00EA4C9B">
        <w:t xml:space="preserve"> </w:t>
      </w:r>
      <w:r w:rsidR="00321E06">
        <w:tab/>
      </w:r>
      <w:hyperlink r:id="rId292" w:tgtFrame="_blank" w:history="1">
        <w:r w:rsidRPr="00EA4C9B">
          <w:rPr>
            <w:rStyle w:val="Hyperlink"/>
          </w:rPr>
          <w:t>Information Note on Landfill Levy in Ireland</w:t>
        </w:r>
      </w:hyperlink>
    </w:p>
  </w:footnote>
  <w:footnote w:id="461">
    <w:p w14:paraId="20D6C2D3" w14:textId="79051F12" w:rsidR="000A4E61" w:rsidRPr="00EA4C9B" w:rsidRDefault="000A4E61" w:rsidP="000A4E61">
      <w:pPr>
        <w:pStyle w:val="FootnoteText"/>
      </w:pPr>
      <w:r w:rsidRPr="00EA4C9B">
        <w:rPr>
          <w:rStyle w:val="FootnoteReference"/>
        </w:rPr>
        <w:footnoteRef/>
      </w:r>
      <w:r w:rsidRPr="00EA4C9B">
        <w:t xml:space="preserve"> </w:t>
      </w:r>
      <w:r w:rsidR="00321E06">
        <w:tab/>
      </w:r>
      <w:r w:rsidRPr="00EA4C9B">
        <w:t>https://data.cso.ie/table/ETA03</w:t>
      </w:r>
    </w:p>
  </w:footnote>
  <w:footnote w:id="462">
    <w:p w14:paraId="69FCEEF8" w14:textId="5485FAFC" w:rsidR="000A4E61" w:rsidRPr="00EA4C9B" w:rsidRDefault="000A4E61" w:rsidP="000A4E61">
      <w:pPr>
        <w:pStyle w:val="FootnoteText"/>
      </w:pPr>
      <w:r w:rsidRPr="00EA4C9B">
        <w:rPr>
          <w:rStyle w:val="FootnoteReference"/>
        </w:rPr>
        <w:footnoteRef/>
      </w:r>
      <w:r w:rsidRPr="00EA4C9B">
        <w:t xml:space="preserve"> </w:t>
      </w:r>
      <w:r w:rsidR="00321E06">
        <w:tab/>
      </w:r>
      <w:hyperlink r:id="rId293" w:history="1">
        <w:r w:rsidRPr="00EA4C9B">
          <w:rPr>
            <w:rStyle w:val="Hyperlink"/>
          </w:rPr>
          <w:t>Introduction of new environment levies will incentivise recycling and help Ireland meet our EU waste targets</w:t>
        </w:r>
      </w:hyperlink>
    </w:p>
  </w:footnote>
  <w:footnote w:id="463">
    <w:p w14:paraId="27688387" w14:textId="32FA82B8" w:rsidR="000A4E61" w:rsidRPr="00EA4C9B" w:rsidRDefault="000A4E61" w:rsidP="000A4E61">
      <w:pPr>
        <w:pStyle w:val="FootnoteText"/>
      </w:pPr>
      <w:r w:rsidRPr="00EA4C9B">
        <w:rPr>
          <w:rStyle w:val="FootnoteReference"/>
        </w:rPr>
        <w:footnoteRef/>
      </w:r>
      <w:r w:rsidRPr="00EA4C9B">
        <w:t xml:space="preserve"> </w:t>
      </w:r>
      <w:r w:rsidR="00321E06">
        <w:tab/>
      </w:r>
      <w:hyperlink r:id="rId294" w:tgtFrame="_blank" w:history="1">
        <w:r w:rsidRPr="00EA4C9B">
          <w:rPr>
            <w:rStyle w:val="Hyperlink"/>
          </w:rPr>
          <w:t>Information Note on Landfill Levy in Ireland</w:t>
        </w:r>
      </w:hyperlink>
    </w:p>
  </w:footnote>
  <w:footnote w:id="464">
    <w:p w14:paraId="6F8A86F1" w14:textId="4F759945" w:rsidR="000A4E61" w:rsidRPr="00EA4C9B" w:rsidRDefault="000A4E61" w:rsidP="000A4E61">
      <w:pPr>
        <w:pStyle w:val="FootnoteText"/>
      </w:pPr>
      <w:r w:rsidRPr="00EA4C9B">
        <w:rPr>
          <w:rStyle w:val="FootnoteReference"/>
        </w:rPr>
        <w:footnoteRef/>
      </w:r>
      <w:r w:rsidRPr="00EA4C9B">
        <w:t xml:space="preserve"> </w:t>
      </w:r>
      <w:r w:rsidR="00321E06">
        <w:tab/>
      </w:r>
      <w:hyperlink r:id="rId295" w:tgtFrame="_blank" w:history="1">
        <w:r w:rsidRPr="00EA4C9B">
          <w:rPr>
            <w:rStyle w:val="Hyperlink"/>
          </w:rPr>
          <w:t>Policy Instruments for the Environment (PINE) Database | OECD</w:t>
        </w:r>
      </w:hyperlink>
    </w:p>
  </w:footnote>
  <w:footnote w:id="465">
    <w:p w14:paraId="3067AE88" w14:textId="6D85D065" w:rsidR="000A4E61" w:rsidRPr="00EA4C9B" w:rsidRDefault="000A4E61" w:rsidP="000A4E61">
      <w:pPr>
        <w:pStyle w:val="FootnoteText"/>
      </w:pPr>
      <w:r w:rsidRPr="00EA4C9B">
        <w:rPr>
          <w:rStyle w:val="FootnoteReference"/>
        </w:rPr>
        <w:footnoteRef/>
      </w:r>
      <w:r w:rsidRPr="00EA4C9B">
        <w:t xml:space="preserve"> </w:t>
      </w:r>
      <w:r w:rsidR="00321E06">
        <w:tab/>
      </w:r>
      <w:hyperlink r:id="rId296" w:anchor=":~:text=Annual%20composite%20harbour%20entry%20charge,5" w:history="1">
        <w:r w:rsidRPr="00EA4C9B">
          <w:rPr>
            <w:rStyle w:val="Hyperlink"/>
          </w:rPr>
          <w:t>S.I. No. 214/2012 - Fishery Harbour Centres (Rates and Charges) Order 2012.</w:t>
        </w:r>
      </w:hyperlink>
    </w:p>
  </w:footnote>
  <w:footnote w:id="466">
    <w:p w14:paraId="149F6F4D" w14:textId="419894D9" w:rsidR="000A4E61" w:rsidRPr="00EA4C9B" w:rsidRDefault="000A4E61" w:rsidP="000A4E61">
      <w:pPr>
        <w:pStyle w:val="FootnoteText"/>
      </w:pPr>
      <w:r w:rsidRPr="00EA4C9B">
        <w:rPr>
          <w:rStyle w:val="FootnoteReference"/>
        </w:rPr>
        <w:footnoteRef/>
      </w:r>
      <w:r w:rsidRPr="00EA4C9B">
        <w:t xml:space="preserve"> </w:t>
      </w:r>
      <w:r w:rsidR="00321E06">
        <w:tab/>
      </w:r>
      <w:hyperlink r:id="rId297" w:history="1">
        <w:r w:rsidRPr="00EA4C9B">
          <w:rPr>
            <w:rStyle w:val="Hyperlink"/>
          </w:rPr>
          <w:t>Introduction of new environment levies will incentivise recycling and help Ireland meet our EU waste targets</w:t>
        </w:r>
      </w:hyperlink>
    </w:p>
  </w:footnote>
  <w:footnote w:id="467">
    <w:p w14:paraId="437D92EC" w14:textId="159320E0" w:rsidR="000A4E61" w:rsidRPr="00EA4C9B" w:rsidRDefault="000A4E61" w:rsidP="000A4E61">
      <w:pPr>
        <w:pStyle w:val="FootnoteText"/>
      </w:pPr>
      <w:r w:rsidRPr="00EA4C9B">
        <w:rPr>
          <w:rStyle w:val="FootnoteReference"/>
        </w:rPr>
        <w:footnoteRef/>
      </w:r>
      <w:r w:rsidRPr="00EA4C9B">
        <w:t xml:space="preserve"> </w:t>
      </w:r>
      <w:r w:rsidR="00321E06">
        <w:tab/>
      </w:r>
      <w:hyperlink r:id="rId298" w:history="1">
        <w:r w:rsidRPr="00EA4C9B">
          <w:rPr>
            <w:rStyle w:val="Hyperlink"/>
          </w:rPr>
          <w:t>Waste Recovery Levy | Fingal County Council</w:t>
        </w:r>
      </w:hyperlink>
    </w:p>
  </w:footnote>
  <w:footnote w:id="468">
    <w:p w14:paraId="437A392E" w14:textId="4860F543" w:rsidR="000A4E61" w:rsidRPr="00EA4C9B" w:rsidRDefault="000A4E61" w:rsidP="000A4E61">
      <w:pPr>
        <w:pStyle w:val="FootnoteText"/>
      </w:pPr>
      <w:r w:rsidRPr="00EA4C9B">
        <w:rPr>
          <w:rStyle w:val="FootnoteReference"/>
        </w:rPr>
        <w:footnoteRef/>
      </w:r>
      <w:r w:rsidRPr="00EA4C9B">
        <w:t xml:space="preserve"> </w:t>
      </w:r>
      <w:r w:rsidR="00321E06">
        <w:tab/>
      </w:r>
      <w:hyperlink r:id="rId299" w:history="1">
        <w:r w:rsidRPr="00EA4C9B">
          <w:rPr>
            <w:rStyle w:val="Hyperlink"/>
          </w:rPr>
          <w:t>IEEP (2014) 'Environmental tax reform in Europe: Opportunities for the future'</w:t>
        </w:r>
      </w:hyperlink>
    </w:p>
  </w:footnote>
  <w:footnote w:id="469">
    <w:p w14:paraId="42F0848F" w14:textId="4AADD48B" w:rsidR="000A4E61" w:rsidRPr="00EA4C9B" w:rsidRDefault="000A4E61" w:rsidP="000A4E61">
      <w:pPr>
        <w:pStyle w:val="FootnoteText"/>
      </w:pPr>
      <w:r w:rsidRPr="00EA4C9B">
        <w:rPr>
          <w:rStyle w:val="FootnoteReference"/>
        </w:rPr>
        <w:footnoteRef/>
      </w:r>
      <w:r w:rsidRPr="00EA4C9B">
        <w:t xml:space="preserve"> </w:t>
      </w:r>
      <w:r w:rsidR="00321E06">
        <w:tab/>
      </w:r>
      <w:hyperlink r:id="rId300" w:history="1">
        <w:r w:rsidRPr="00EA4C9B">
          <w:rPr>
            <w:rStyle w:val="Hyperlink"/>
          </w:rPr>
          <w:t>Our Sustainable Future Irish framework.pdf</w:t>
        </w:r>
      </w:hyperlink>
    </w:p>
  </w:footnote>
  <w:footnote w:id="470">
    <w:p w14:paraId="201A3C8A" w14:textId="5CC72756" w:rsidR="000A4E61" w:rsidRPr="00EA4C9B" w:rsidRDefault="000A4E61" w:rsidP="000A4E61">
      <w:pPr>
        <w:pStyle w:val="FootnoteText"/>
      </w:pPr>
      <w:r w:rsidRPr="00EA4C9B">
        <w:rPr>
          <w:rStyle w:val="FootnoteReference"/>
        </w:rPr>
        <w:footnoteRef/>
      </w:r>
      <w:r w:rsidRPr="00EA4C9B">
        <w:t xml:space="preserve"> </w:t>
      </w:r>
      <w:r w:rsidR="00321E06">
        <w:tab/>
      </w:r>
      <w:hyperlink r:id="rId301" w:history="1">
        <w:r w:rsidRPr="00EA4C9B">
          <w:rPr>
            <w:rStyle w:val="Hyperlink"/>
          </w:rPr>
          <w:t>National Development Plan 2021-2030.pdf</w:t>
        </w:r>
      </w:hyperlink>
    </w:p>
  </w:footnote>
  <w:footnote w:id="471">
    <w:p w14:paraId="299144C3" w14:textId="46DB2BA1" w:rsidR="000A4E61" w:rsidRPr="00EA4C9B" w:rsidRDefault="000A4E61" w:rsidP="00321E06">
      <w:pPr>
        <w:pStyle w:val="FootnoteText"/>
        <w:jc w:val="left"/>
      </w:pPr>
      <w:r w:rsidRPr="00EA4C9B">
        <w:rPr>
          <w:rStyle w:val="FootnoteReference"/>
        </w:rPr>
        <w:footnoteRef/>
      </w:r>
      <w:r w:rsidRPr="00EA4C9B">
        <w:t xml:space="preserve"> </w:t>
      </w:r>
      <w:r w:rsidR="00321E06">
        <w:tab/>
      </w:r>
      <w:hyperlink r:id="rId302" w:history="1">
        <w:r w:rsidR="00321E06" w:rsidRPr="00EC31B9">
          <w:rPr>
            <w:rStyle w:val="Hyperlink"/>
          </w:rPr>
          <w:t>https://economy-finance.ec.europa.eu/document/download/7ec5fe18-b881-4140-b86a-7b22cb7a8580_en?filename=IE_CR_SWD_2025_207_1_EN_autre_document_travail_service_part1_v3.pdf</w:t>
        </w:r>
      </w:hyperlink>
    </w:p>
  </w:footnote>
  <w:footnote w:id="472">
    <w:p w14:paraId="4507C362" w14:textId="1C2F64EF" w:rsidR="000A4E61" w:rsidRPr="00EA4C9B" w:rsidRDefault="000A4E61" w:rsidP="00321E06">
      <w:pPr>
        <w:pStyle w:val="FootnoteText"/>
        <w:jc w:val="left"/>
      </w:pPr>
      <w:r w:rsidRPr="00EA4C9B">
        <w:rPr>
          <w:rStyle w:val="FootnoteReference"/>
        </w:rPr>
        <w:footnoteRef/>
      </w:r>
      <w:r w:rsidRPr="00EA4C9B">
        <w:t xml:space="preserve"> </w:t>
      </w:r>
      <w:r w:rsidR="00321E06">
        <w:tab/>
      </w:r>
      <w:hyperlink r:id="rId303" w:history="1">
        <w:r w:rsidR="00321E06" w:rsidRPr="00EC31B9">
          <w:rPr>
            <w:rStyle w:val="Hyperlink"/>
          </w:rPr>
          <w:t>https://economy-finance.ec.europa.eu/document/download/7ec5fe18-b881-4140-b86a-7b22cb7a8580_en?filename=IE_CR_SWD_2025_207_1_EN_autre_document_travail_service_part1_v3.pdf</w:t>
        </w:r>
      </w:hyperlink>
    </w:p>
  </w:footnote>
  <w:footnote w:id="473">
    <w:p w14:paraId="7AFBDDC1" w14:textId="2B6EFD77" w:rsidR="0034510A" w:rsidRPr="00BA7936" w:rsidRDefault="0034510A">
      <w:pPr>
        <w:pStyle w:val="FootnoteText"/>
        <w:rPr>
          <w:lang w:val="it-IT"/>
        </w:rPr>
      </w:pPr>
      <w:r>
        <w:rPr>
          <w:rStyle w:val="FootnoteReference"/>
        </w:rPr>
        <w:footnoteRef/>
      </w:r>
      <w:r>
        <w:t xml:space="preserve"> </w:t>
      </w:r>
      <w:r w:rsidR="00846BDD" w:rsidRPr="00846BDD">
        <w:rPr>
          <w:i/>
          <w:iCs/>
        </w:rPr>
        <w:t>Ireland, 2025 EU waste recycling targets – State of play</w:t>
      </w:r>
      <w:r w:rsidR="00846BDD" w:rsidRPr="00846BDD">
        <w:t>, Publications Office of the European Union, 2023, </w:t>
      </w:r>
      <w:hyperlink r:id="rId304" w:tgtFrame="_blank" w:history="1">
        <w:r w:rsidR="00846BDD" w:rsidRPr="00BA7936">
          <w:rPr>
            <w:rStyle w:val="Hyperlink"/>
          </w:rPr>
          <w:t>https://data.europa.eu/doi/10.2779/378751</w:t>
        </w:r>
      </w:hyperlink>
    </w:p>
  </w:footnote>
  <w:footnote w:id="474">
    <w:p w14:paraId="093EAA76" w14:textId="5A3C7C08" w:rsidR="001D6025" w:rsidRPr="00F21C71" w:rsidRDefault="001D6025" w:rsidP="001D6025">
      <w:pPr>
        <w:pStyle w:val="FootnoteText"/>
        <w:rPr>
          <w:lang w:val="en-US"/>
        </w:rPr>
      </w:pPr>
      <w:r>
        <w:rPr>
          <w:rStyle w:val="FootnoteReference"/>
        </w:rPr>
        <w:footnoteRef/>
      </w:r>
      <w:r>
        <w:t xml:space="preserve"> </w:t>
      </w:r>
      <w:r>
        <w:tab/>
      </w:r>
      <w:r w:rsidRPr="00F21C71">
        <w:t xml:space="preserve">The comparison is expressed in real terms, meaning that figures are adjusted for inflation. The </w:t>
      </w:r>
      <w:r>
        <w:t>13</w:t>
      </w:r>
      <w:r w:rsidRPr="00F21C71">
        <w:t>.</w:t>
      </w:r>
      <w:r>
        <w:t>2</w:t>
      </w:r>
      <w:r w:rsidRPr="00F21C71">
        <w:t>%    increase refers to growth in constant prices over 2009–2023.</w:t>
      </w:r>
    </w:p>
  </w:footnote>
  <w:footnote w:id="475">
    <w:p w14:paraId="368B9C15" w14:textId="0ED37D86" w:rsidR="004675E2" w:rsidRPr="00EA4C9B" w:rsidRDefault="004675E2" w:rsidP="004675E2">
      <w:pPr>
        <w:pStyle w:val="FootnoteText"/>
      </w:pPr>
      <w:r w:rsidRPr="00EA4C9B">
        <w:rPr>
          <w:rStyle w:val="FootnoteReference"/>
        </w:rPr>
        <w:footnoteRef/>
      </w:r>
      <w:r w:rsidRPr="00EA4C9B">
        <w:t xml:space="preserve"> </w:t>
      </w:r>
      <w:r w:rsidRPr="00EA4C9B">
        <w:tab/>
      </w:r>
      <w:hyperlink r:id="rId305" w:history="1">
        <w:r w:rsidR="00321E06" w:rsidRPr="00EC31B9">
          <w:rPr>
            <w:rStyle w:val="Hyperlink"/>
          </w:rPr>
          <w:t>https://indicatoriambientali.isprambiente.it/it/economia-e-ambiente/imposte-ambientali</w:t>
        </w:r>
      </w:hyperlink>
    </w:p>
  </w:footnote>
  <w:footnote w:id="476">
    <w:p w14:paraId="24EFB044" w14:textId="5E41E641" w:rsidR="004675E2" w:rsidRPr="00EA4C9B" w:rsidRDefault="004675E2" w:rsidP="004675E2">
      <w:pPr>
        <w:pStyle w:val="FootnoteText"/>
      </w:pPr>
      <w:r w:rsidRPr="00EA4C9B">
        <w:rPr>
          <w:rStyle w:val="FootnoteReference"/>
        </w:rPr>
        <w:footnoteRef/>
      </w:r>
      <w:r w:rsidRPr="00EA4C9B">
        <w:t xml:space="preserve"> </w:t>
      </w:r>
      <w:r w:rsidRPr="00EA4C9B">
        <w:tab/>
      </w:r>
      <w:hyperlink r:id="rId306" w:history="1">
        <w:r w:rsidR="00321E06" w:rsidRPr="00EC31B9">
          <w:rPr>
            <w:rStyle w:val="Hyperlink"/>
          </w:rPr>
          <w:t>https://indicatoriambientali.isprambiente.it/it/economia-e-ambiente/imposte-ambientali</w:t>
        </w:r>
      </w:hyperlink>
      <w:r w:rsidRPr="00EA4C9B">
        <w:t xml:space="preserve"> </w:t>
      </w:r>
    </w:p>
  </w:footnote>
  <w:footnote w:id="477">
    <w:p w14:paraId="1A49E3FE" w14:textId="77777777" w:rsidR="004675E2" w:rsidRPr="00C305AC" w:rsidRDefault="004675E2" w:rsidP="004675E2">
      <w:pPr>
        <w:pStyle w:val="FootnoteText"/>
        <w:rPr>
          <w:lang w:val="fr-BE"/>
        </w:rPr>
      </w:pPr>
      <w:r w:rsidRPr="00EA4C9B">
        <w:rPr>
          <w:rStyle w:val="FootnoteReference"/>
        </w:rPr>
        <w:footnoteRef/>
      </w:r>
      <w:r w:rsidRPr="00EA4C9B">
        <w:t xml:space="preserve"> </w:t>
      </w:r>
      <w:r w:rsidRPr="00EA4C9B">
        <w:tab/>
        <w:t xml:space="preserve">Art. 19 of the D. Lgs. 504/1992. The tax was abolished by the legislative decree 152/2006 (Environmental Code) and reestablished in February 2018 by legislative decree 4/2008. Many Municipalities kept collecting the tax, as the revenues were key to cover the costs for the provision of environmental services, but in 2009 the Court of Auditors established that in the years 2006 and 2007 the tax was not collectable because non-existent. </w:t>
      </w:r>
      <w:r w:rsidRPr="00C305AC">
        <w:rPr>
          <w:lang w:val="fr-BE"/>
        </w:rPr>
        <w:t xml:space="preserve">Source: </w:t>
      </w:r>
      <w:hyperlink r:id="rId307" w:history="1">
        <w:r w:rsidRPr="00C305AC">
          <w:rPr>
            <w:rStyle w:val="Hyperlink"/>
            <w:lang w:val="fr-BE"/>
          </w:rPr>
          <w:t>https://www.fiscoetasse.com/approfondimenti/10312-tributo-provinciale-tefa-per-la-tutela-protezione-ed-igiene-dell-ambiente.html</w:t>
        </w:r>
      </w:hyperlink>
      <w:r w:rsidRPr="00C305AC">
        <w:rPr>
          <w:lang w:val="fr-BE"/>
        </w:rPr>
        <w:t xml:space="preserve"> </w:t>
      </w:r>
    </w:p>
  </w:footnote>
  <w:footnote w:id="478">
    <w:p w14:paraId="1FBC3F19" w14:textId="77777777" w:rsidR="004675E2" w:rsidRPr="00EA4C9B" w:rsidRDefault="004675E2" w:rsidP="004675E2">
      <w:pPr>
        <w:pStyle w:val="FootnoteText"/>
      </w:pPr>
      <w:r w:rsidRPr="00EA4C9B">
        <w:rPr>
          <w:rStyle w:val="FootnoteReference"/>
        </w:rPr>
        <w:footnoteRef/>
      </w:r>
      <w:r w:rsidRPr="00EA4C9B">
        <w:t xml:space="preserve"> </w:t>
      </w:r>
      <w:r w:rsidRPr="00EA4C9B">
        <w:tab/>
        <w:t>Which acronyms were TARSU/TIA until 2012, TARES 2013 and TARI 2014.</w:t>
      </w:r>
    </w:p>
  </w:footnote>
  <w:footnote w:id="479">
    <w:p w14:paraId="13CD61ED" w14:textId="77777777" w:rsidR="004675E2" w:rsidRPr="00EA4C9B" w:rsidRDefault="004675E2" w:rsidP="004675E2">
      <w:pPr>
        <w:pStyle w:val="FootnoteText"/>
      </w:pPr>
      <w:r w:rsidRPr="00EA4C9B">
        <w:rPr>
          <w:rStyle w:val="FootnoteReference"/>
        </w:rPr>
        <w:footnoteRef/>
      </w:r>
      <w:r w:rsidRPr="00EA4C9B">
        <w:t xml:space="preserve"> </w:t>
      </w:r>
      <w:r w:rsidRPr="00EA4C9B">
        <w:tab/>
        <w:t>But the Provinces and the authorities of the Metropolitan Cities can set it at a lower percentage.</w:t>
      </w:r>
    </w:p>
  </w:footnote>
  <w:footnote w:id="480">
    <w:p w14:paraId="49326B48" w14:textId="77777777" w:rsidR="004675E2" w:rsidRPr="00EA4C9B" w:rsidRDefault="004675E2" w:rsidP="004675E2">
      <w:pPr>
        <w:pStyle w:val="FootnoteText"/>
      </w:pPr>
      <w:r w:rsidRPr="00EA4C9B">
        <w:rPr>
          <w:rStyle w:val="FootnoteReference"/>
        </w:rPr>
        <w:footnoteRef/>
      </w:r>
      <w:r w:rsidRPr="00EA4C9B">
        <w:t xml:space="preserve"> </w:t>
      </w:r>
      <w:r w:rsidRPr="00EA4C9B">
        <w:tab/>
      </w:r>
      <w:hyperlink r:id="rId308" w:history="1">
        <w:r w:rsidRPr="00EA4C9B">
          <w:rPr>
            <w:rStyle w:val="Hyperlink"/>
          </w:rPr>
          <w:t>http://portaleragioneria.provincia.roma.it/temi/tefa-tributo-lesercizio-delle-funzioni-ambientali</w:t>
        </w:r>
      </w:hyperlink>
      <w:r w:rsidRPr="00EA4C9B">
        <w:t xml:space="preserve"> </w:t>
      </w:r>
    </w:p>
  </w:footnote>
  <w:footnote w:id="481">
    <w:p w14:paraId="2E4A8D1D" w14:textId="77777777" w:rsidR="004675E2" w:rsidRPr="00EA4C9B" w:rsidRDefault="004675E2" w:rsidP="004675E2">
      <w:pPr>
        <w:pStyle w:val="FootnoteText"/>
      </w:pPr>
      <w:r w:rsidRPr="00EA4C9B">
        <w:rPr>
          <w:rStyle w:val="FootnoteReference"/>
        </w:rPr>
        <w:footnoteRef/>
      </w:r>
      <w:r w:rsidRPr="00EA4C9B">
        <w:t xml:space="preserve"> </w:t>
      </w:r>
      <w:r w:rsidRPr="00EA4C9B">
        <w:tab/>
        <w:t>The base of the TARI is the ownership of buildings or open areas that may produce urban waste, and is proportional to the owned surface areas.</w:t>
      </w:r>
    </w:p>
  </w:footnote>
  <w:footnote w:id="482">
    <w:p w14:paraId="7D1450D9" w14:textId="77777777" w:rsidR="004675E2" w:rsidRPr="00EA4C9B" w:rsidRDefault="004675E2" w:rsidP="004675E2">
      <w:pPr>
        <w:pStyle w:val="FootnoteText"/>
      </w:pPr>
      <w:r w:rsidRPr="00EA4C9B">
        <w:rPr>
          <w:rStyle w:val="FootnoteReference"/>
        </w:rPr>
        <w:footnoteRef/>
      </w:r>
      <w:r w:rsidRPr="00EA4C9B">
        <w:t xml:space="preserve"> </w:t>
      </w:r>
      <w:r w:rsidRPr="00EA4C9B">
        <w:tab/>
        <w:t>Art. 3(24-41) of Law no. 549 of 28 December 1995.</w:t>
      </w:r>
    </w:p>
  </w:footnote>
  <w:footnote w:id="483">
    <w:p w14:paraId="0F6E8155" w14:textId="77777777" w:rsidR="004675E2" w:rsidRPr="00EA4C9B" w:rsidRDefault="004675E2" w:rsidP="004675E2">
      <w:pPr>
        <w:pStyle w:val="FootnoteText"/>
      </w:pPr>
      <w:r w:rsidRPr="00EA4C9B">
        <w:rPr>
          <w:rStyle w:val="FootnoteReference"/>
        </w:rPr>
        <w:footnoteRef/>
      </w:r>
      <w:r w:rsidRPr="00EA4C9B">
        <w:t xml:space="preserve"> </w:t>
      </w:r>
      <w:r w:rsidRPr="00EA4C9B">
        <w:tab/>
      </w:r>
      <w:hyperlink r:id="rId309" w:history="1">
        <w:r w:rsidRPr="00EA4C9B">
          <w:rPr>
            <w:rStyle w:val="Hyperlink"/>
          </w:rPr>
          <w:t>https://www.diritto.it/ecotassa-tributo-speciale-per-il-deposito-dei-rifiuti-solidi-in-discarica/</w:t>
        </w:r>
      </w:hyperlink>
      <w:r w:rsidRPr="00EA4C9B">
        <w:t xml:space="preserve"> </w:t>
      </w:r>
    </w:p>
  </w:footnote>
  <w:footnote w:id="484">
    <w:p w14:paraId="1D644DF5" w14:textId="77777777" w:rsidR="004675E2" w:rsidRPr="00EA4C9B" w:rsidRDefault="004675E2" w:rsidP="004675E2">
      <w:pPr>
        <w:pStyle w:val="FootnoteText"/>
      </w:pPr>
      <w:r w:rsidRPr="00EA4C9B">
        <w:rPr>
          <w:rStyle w:val="FootnoteReference"/>
        </w:rPr>
        <w:footnoteRef/>
      </w:r>
      <w:r w:rsidRPr="00EA4C9B">
        <w:t xml:space="preserve"> </w:t>
      </w:r>
      <w:r w:rsidRPr="00EA4C9B">
        <w:tab/>
        <w:t>These coefficients are determined by the Ministry of the Environment in agreement with the Minister of Industry, Trade and Crafts and the Minister of Health.</w:t>
      </w:r>
    </w:p>
  </w:footnote>
  <w:footnote w:id="485">
    <w:p w14:paraId="2C0F6CB3" w14:textId="77777777" w:rsidR="004675E2" w:rsidRPr="00EA4C9B" w:rsidRDefault="004675E2" w:rsidP="004675E2">
      <w:pPr>
        <w:pStyle w:val="FootnoteText"/>
      </w:pPr>
      <w:r w:rsidRPr="00EA4C9B">
        <w:rPr>
          <w:rStyle w:val="FootnoteReference"/>
        </w:rPr>
        <w:footnoteRef/>
      </w:r>
      <w:r w:rsidRPr="00EA4C9B">
        <w:t xml:space="preserve"> </w:t>
      </w:r>
      <w:r w:rsidRPr="00EA4C9B">
        <w:tab/>
        <w:t>Law of 27 December 1997, No. 449.</w:t>
      </w:r>
    </w:p>
  </w:footnote>
  <w:footnote w:id="486">
    <w:p w14:paraId="66C9C772" w14:textId="77777777" w:rsidR="004675E2" w:rsidRPr="00EA4C9B" w:rsidRDefault="004675E2" w:rsidP="004675E2">
      <w:pPr>
        <w:pStyle w:val="FootnoteText"/>
      </w:pPr>
      <w:r w:rsidRPr="00EA4C9B">
        <w:rPr>
          <w:rStyle w:val="FootnoteReference"/>
        </w:rPr>
        <w:footnoteRef/>
      </w:r>
      <w:r w:rsidRPr="00EA4C9B">
        <w:t xml:space="preserve"> </w:t>
      </w:r>
      <w:r w:rsidRPr="00EA4C9B">
        <w:tab/>
        <w:t>A large combustion plant is defined as the group of combustion installations, as defined by Council Directive 88/609/EEC of 24 November 1988 on the limitation of emissions of certain pollutants into the air from large combustion plants, located on the same industrial site and operated by a single operator, provided that at least one of the installations has a rated thermal input of 50 MW or more. Council Directive 88/609/EEC was repealed by Directive 2001/80/EC of the European Parliament and of the Council of 23 October 2001 on the limitation of emissions of certain pollutants into the air from large combustion plants, in turn repealed by Directive 2010/75/EU of the European Parliament and of the Council of 24 November 2010 on industrial and livestock rearing emissions.</w:t>
      </w:r>
    </w:p>
  </w:footnote>
  <w:footnote w:id="487">
    <w:p w14:paraId="731B1C4A" w14:textId="7A01DA31" w:rsidR="004675E2" w:rsidRPr="004F0767" w:rsidRDefault="004675E2" w:rsidP="004675E2">
      <w:pPr>
        <w:pStyle w:val="FootnoteText"/>
        <w:rPr>
          <w:lang w:val="es-ES"/>
        </w:rPr>
      </w:pPr>
      <w:r w:rsidRPr="00EA4C9B">
        <w:rPr>
          <w:rStyle w:val="FootnoteReference"/>
        </w:rPr>
        <w:footnoteRef/>
      </w:r>
      <w:r w:rsidRPr="004F0767">
        <w:rPr>
          <w:lang w:val="es-ES"/>
        </w:rPr>
        <w:t xml:space="preserve"> </w:t>
      </w:r>
      <w:r w:rsidRPr="004F0767">
        <w:rPr>
          <w:lang w:val="es-ES"/>
        </w:rPr>
        <w:tab/>
        <w:t>Lombardia, Lazio, Emilia Romagna, Campania, Calabria e Marche.</w:t>
      </w:r>
    </w:p>
  </w:footnote>
  <w:footnote w:id="488">
    <w:p w14:paraId="103DCDF2" w14:textId="77777777" w:rsidR="004675E2" w:rsidRPr="004F0767" w:rsidRDefault="004675E2" w:rsidP="004675E2">
      <w:pPr>
        <w:pStyle w:val="FootnoteText"/>
        <w:rPr>
          <w:lang w:val="es-ES"/>
        </w:rPr>
      </w:pPr>
      <w:r w:rsidRPr="00EA4C9B">
        <w:rPr>
          <w:rStyle w:val="FootnoteReference"/>
        </w:rPr>
        <w:footnoteRef/>
      </w:r>
      <w:r w:rsidRPr="004F0767">
        <w:rPr>
          <w:lang w:val="es-ES"/>
        </w:rPr>
        <w:t xml:space="preserve"> </w:t>
      </w:r>
      <w:r w:rsidRPr="004F0767">
        <w:rPr>
          <w:lang w:val="es-ES"/>
        </w:rPr>
        <w:tab/>
      </w:r>
      <w:hyperlink r:id="rId310" w:history="1">
        <w:r w:rsidRPr="004F0767">
          <w:rPr>
            <w:rStyle w:val="Hyperlink"/>
            <w:lang w:val="es-ES"/>
          </w:rPr>
          <w:t>https://www.reteambiente.it/news/19096/antitrust-l-iresa-regionale-sta-fallendo/</w:t>
        </w:r>
      </w:hyperlink>
      <w:r w:rsidRPr="004F0767">
        <w:rPr>
          <w:lang w:val="es-ES"/>
        </w:rPr>
        <w:t xml:space="preserve"> </w:t>
      </w:r>
    </w:p>
  </w:footnote>
  <w:footnote w:id="489">
    <w:p w14:paraId="2E127D81" w14:textId="77777777" w:rsidR="004675E2" w:rsidRPr="004F0767" w:rsidRDefault="004675E2" w:rsidP="004675E2">
      <w:pPr>
        <w:pStyle w:val="FootnoteText"/>
        <w:rPr>
          <w:lang w:val="es-ES"/>
        </w:rPr>
      </w:pPr>
      <w:r w:rsidRPr="00EA4C9B">
        <w:rPr>
          <w:rStyle w:val="FootnoteReference"/>
        </w:rPr>
        <w:footnoteRef/>
      </w:r>
      <w:r w:rsidRPr="004F0767">
        <w:rPr>
          <w:lang w:val="es-ES"/>
        </w:rPr>
        <w:t xml:space="preserve"> </w:t>
      </w:r>
      <w:r w:rsidRPr="004F0767">
        <w:rPr>
          <w:lang w:val="es-ES"/>
        </w:rPr>
        <w:tab/>
      </w:r>
      <w:hyperlink r:id="rId311" w:history="1">
        <w:r w:rsidRPr="004F0767">
          <w:rPr>
            <w:rStyle w:val="Hyperlink"/>
            <w:lang w:val="es-ES"/>
          </w:rPr>
          <w:t>https://ntplusentilocaliedilizia.ilsole24ore.com/art/imposta-regionale-emissioni-sonore-aerei-tributo-non-va-necessariamente-costruito-come-prelievo-ambientale-AEpbKgMC?refresh_ce=1</w:t>
        </w:r>
      </w:hyperlink>
      <w:r w:rsidRPr="004F0767">
        <w:rPr>
          <w:lang w:val="es-ES"/>
        </w:rPr>
        <w:t xml:space="preserve"> </w:t>
      </w:r>
    </w:p>
  </w:footnote>
  <w:footnote w:id="490">
    <w:p w14:paraId="1665875F" w14:textId="77777777" w:rsidR="004675E2" w:rsidRPr="004F0767" w:rsidRDefault="004675E2" w:rsidP="004675E2">
      <w:pPr>
        <w:pStyle w:val="FootnoteText"/>
        <w:rPr>
          <w:lang w:val="es-ES"/>
        </w:rPr>
      </w:pPr>
      <w:r w:rsidRPr="00EA4C9B">
        <w:rPr>
          <w:rStyle w:val="FootnoteReference"/>
        </w:rPr>
        <w:footnoteRef/>
      </w:r>
      <w:r w:rsidRPr="004F0767">
        <w:rPr>
          <w:lang w:val="es-ES"/>
        </w:rPr>
        <w:t xml:space="preserve"> </w:t>
      </w:r>
      <w:r w:rsidRPr="004F0767">
        <w:rPr>
          <w:lang w:val="es-ES"/>
        </w:rPr>
        <w:tab/>
      </w:r>
      <w:hyperlink r:id="rId312" w:history="1">
        <w:r w:rsidRPr="004F0767">
          <w:rPr>
            <w:rStyle w:val="Hyperlink"/>
            <w:lang w:val="es-ES"/>
          </w:rPr>
          <w:t>https://consulenzaagricola.it/circolari/fiscale/16941-contributo-per-la-vendita-di-prodotti-fitosanitari-e-fertilizzanti-dal-7-aprile-sanzioni-per-chi-non-effettua-tempestivamente-il-versamento</w:t>
        </w:r>
      </w:hyperlink>
      <w:r w:rsidRPr="004F0767">
        <w:rPr>
          <w:lang w:val="es-ES"/>
        </w:rPr>
        <w:t xml:space="preserve"> </w:t>
      </w:r>
    </w:p>
  </w:footnote>
  <w:footnote w:id="491">
    <w:p w14:paraId="50070241" w14:textId="77777777" w:rsidR="004675E2" w:rsidRPr="00EA4C9B" w:rsidRDefault="004675E2" w:rsidP="004675E2">
      <w:pPr>
        <w:pStyle w:val="FootnoteText"/>
      </w:pPr>
      <w:r w:rsidRPr="00EA4C9B">
        <w:rPr>
          <w:rStyle w:val="FootnoteReference"/>
        </w:rPr>
        <w:footnoteRef/>
      </w:r>
      <w:r w:rsidRPr="00EA4C9B">
        <w:t xml:space="preserve"> </w:t>
      </w:r>
      <w:r w:rsidRPr="00EA4C9B">
        <w:tab/>
        <w:t>Risk-phrases R33: Danger of cumulative effects, R40: Limited evidence of a carcinogenic effect, R45: May cause cancer, R49: May cause cancer by inhalation, and R60: May impair fertility.</w:t>
      </w:r>
    </w:p>
  </w:footnote>
  <w:footnote w:id="492">
    <w:p w14:paraId="37EE610A" w14:textId="77777777" w:rsidR="004675E2" w:rsidRPr="00EA4C9B" w:rsidRDefault="004675E2" w:rsidP="004675E2">
      <w:pPr>
        <w:pStyle w:val="FootnoteText"/>
      </w:pPr>
      <w:r w:rsidRPr="00EA4C9B">
        <w:rPr>
          <w:rStyle w:val="FootnoteReference"/>
        </w:rPr>
        <w:footnoteRef/>
      </w:r>
      <w:r w:rsidRPr="00EA4C9B">
        <w:t xml:space="preserve"> </w:t>
      </w:r>
      <w:r w:rsidRPr="00EA4C9B">
        <w:tab/>
        <w:t>R23: Toxic by inhalation, R24: Toxic in contact with skin, R25: Toxic if swallowed, R26: Very toxic by inhalation, R27: Very toxic in contact with skin, R28: Very toxic if swallowed, R33: Danger of cumulative effects, R40: Limited evidence of a carcinogenic effect, R45: May cause cancer, R49: May cause cancer by inhalation, R50: Very toxic to aquatic organisms, R60: May impair fertility, R62: Possible risk of impaired fertility.</w:t>
      </w:r>
    </w:p>
  </w:footnote>
  <w:footnote w:id="493">
    <w:p w14:paraId="4F0D85E9" w14:textId="77777777" w:rsidR="004675E2" w:rsidRPr="00EA4C9B" w:rsidRDefault="004675E2" w:rsidP="004675E2">
      <w:pPr>
        <w:pStyle w:val="FootnoteText"/>
      </w:pPr>
      <w:r w:rsidRPr="00EA4C9B">
        <w:rPr>
          <w:rStyle w:val="FootnoteReference"/>
        </w:rPr>
        <w:footnoteRef/>
      </w:r>
      <w:r w:rsidRPr="00EA4C9B">
        <w:t xml:space="preserve"> </w:t>
      </w:r>
      <w:r w:rsidRPr="00EA4C9B">
        <w:tab/>
        <w:t>H400: Very toxic to aquatic life, H410: Very toxic to aquatic life with long lasting effects, H411: Toxic to aquatic life with long lasting effects, H412: Harmful to aquatic life with long lasting effects, H413: May cause long lasting harmful effects to aquatic life.</w:t>
      </w:r>
    </w:p>
  </w:footnote>
  <w:footnote w:id="494">
    <w:p w14:paraId="54D72E35" w14:textId="77777777" w:rsidR="004675E2" w:rsidRPr="00EA4C9B" w:rsidRDefault="004675E2" w:rsidP="004675E2">
      <w:pPr>
        <w:pStyle w:val="FootnoteText"/>
      </w:pPr>
      <w:r w:rsidRPr="00EA4C9B">
        <w:rPr>
          <w:rStyle w:val="FootnoteReference"/>
        </w:rPr>
        <w:footnoteRef/>
      </w:r>
      <w:r w:rsidRPr="00EA4C9B">
        <w:t xml:space="preserve"> </w:t>
      </w:r>
      <w:r w:rsidRPr="00EA4C9B">
        <w:tab/>
      </w:r>
      <w:hyperlink r:id="rId313" w:history="1">
        <w:r w:rsidRPr="00EA4C9B">
          <w:rPr>
            <w:rStyle w:val="Hyperlink"/>
          </w:rPr>
          <w:t>https://www.arera.it/atlante-per-il-consumatore/acqua/la-bolletta/tariffe-e-consumi/che-cosa-si-paga-con-la-bolletta</w:t>
        </w:r>
      </w:hyperlink>
      <w:r w:rsidRPr="00EA4C9B">
        <w:t xml:space="preserve"> </w:t>
      </w:r>
    </w:p>
  </w:footnote>
  <w:footnote w:id="495">
    <w:p w14:paraId="5E149D0A" w14:textId="77777777" w:rsidR="004675E2" w:rsidRPr="00EA4C9B" w:rsidRDefault="004675E2" w:rsidP="004675E2">
      <w:pPr>
        <w:pStyle w:val="FootnoteText"/>
      </w:pPr>
      <w:r w:rsidRPr="00EA4C9B">
        <w:rPr>
          <w:rStyle w:val="FootnoteReference"/>
        </w:rPr>
        <w:footnoteRef/>
      </w:r>
      <w:r w:rsidRPr="00EA4C9B">
        <w:t xml:space="preserve"> </w:t>
      </w:r>
      <w:r w:rsidRPr="00EA4C9B">
        <w:tab/>
        <w:t>Commission Staff Working Document 2024 Country Report – Italy. Accompanying the document Recommendation for a COUNCIL RECOMMENDATION on the economic, social, employment, structural and budgetary policies of Italy.</w:t>
      </w:r>
    </w:p>
  </w:footnote>
  <w:footnote w:id="496">
    <w:p w14:paraId="57D97727" w14:textId="77777777" w:rsidR="004675E2" w:rsidRPr="00EA4C9B" w:rsidRDefault="004675E2" w:rsidP="004675E2">
      <w:pPr>
        <w:pStyle w:val="FootnoteText"/>
      </w:pPr>
      <w:r w:rsidRPr="00EA4C9B">
        <w:rPr>
          <w:rStyle w:val="FootnoteReference"/>
        </w:rPr>
        <w:footnoteRef/>
      </w:r>
      <w:r w:rsidRPr="00EA4C9B">
        <w:t xml:space="preserve"> </w:t>
      </w:r>
      <w:r w:rsidRPr="00EA4C9B">
        <w:tab/>
        <w:t>Hogg et al. (2016). Study on assessing the environmental fiscal reform potential for the EU28. Report prepared for the European Commission DG Environment.</w:t>
      </w:r>
    </w:p>
  </w:footnote>
  <w:footnote w:id="497">
    <w:p w14:paraId="4CBCE9EF" w14:textId="3948B0EE" w:rsidR="004675E2" w:rsidRPr="00EA4C9B" w:rsidRDefault="004675E2" w:rsidP="004675E2">
      <w:pPr>
        <w:pStyle w:val="FootnoteText"/>
      </w:pPr>
      <w:r w:rsidRPr="00EA4C9B">
        <w:rPr>
          <w:rStyle w:val="FootnoteReference"/>
        </w:rPr>
        <w:footnoteRef/>
      </w:r>
      <w:r w:rsidRPr="00EA4C9B">
        <w:t xml:space="preserve"> </w:t>
      </w:r>
      <w:r w:rsidRPr="00EA4C9B">
        <w:tab/>
      </w:r>
      <w:hyperlink r:id="rId314" w:history="1">
        <w:r w:rsidRPr="00EA4C9B">
          <w:rPr>
            <w:rStyle w:val="Hyperlink"/>
          </w:rPr>
          <w:t>https://www.mase.gov.it/pagina/catalogo-dei-sussidi-ambientalmente-dannosi-e-dei-sussidi-ambientalmente-favorevoli</w:t>
        </w:r>
      </w:hyperlink>
      <w:r w:rsidRPr="00EA4C9B">
        <w:t xml:space="preserve"> </w:t>
      </w:r>
    </w:p>
  </w:footnote>
  <w:footnote w:id="498">
    <w:p w14:paraId="06675CB4" w14:textId="77777777" w:rsidR="004675E2" w:rsidRPr="00EA4C9B" w:rsidRDefault="004675E2" w:rsidP="004675E2">
      <w:pPr>
        <w:pStyle w:val="FootnoteText"/>
      </w:pPr>
      <w:r w:rsidRPr="00EA4C9B">
        <w:rPr>
          <w:rStyle w:val="FootnoteReference"/>
        </w:rPr>
        <w:footnoteRef/>
      </w:r>
      <w:r w:rsidRPr="00EA4C9B">
        <w:t xml:space="preserve"> </w:t>
      </w:r>
      <w:r w:rsidRPr="00EA4C9B">
        <w:tab/>
        <w:t xml:space="preserve">EEA, Early warning assessment related to the 2025 targets for municipal waste and packaging waste – Italy, Copenhagen, 2022, </w:t>
      </w:r>
      <w:hyperlink r:id="rId315" w:history="1">
        <w:r w:rsidRPr="00EA4C9B">
          <w:t>https://www.eea.europa.eu/publications/many-eu-member-states/italy/view</w:t>
        </w:r>
      </w:hyperlink>
      <w:r w:rsidRPr="00EA4C9B">
        <w:t xml:space="preserve"> </w:t>
      </w:r>
    </w:p>
  </w:footnote>
  <w:footnote w:id="499">
    <w:p w14:paraId="465C27ED" w14:textId="77777777" w:rsidR="004675E2" w:rsidRPr="00EA4C9B" w:rsidRDefault="004675E2" w:rsidP="004675E2">
      <w:pPr>
        <w:pStyle w:val="FootnoteText"/>
      </w:pPr>
      <w:r w:rsidRPr="00EA4C9B">
        <w:rPr>
          <w:rStyle w:val="FootnoteReference"/>
        </w:rPr>
        <w:footnoteRef/>
      </w:r>
      <w:r w:rsidRPr="00EA4C9B">
        <w:t xml:space="preserve"> </w:t>
      </w:r>
      <w:r w:rsidRPr="00EA4C9B">
        <w:tab/>
      </w:r>
      <w:hyperlink r:id="rId316" w:history="1">
        <w:r w:rsidRPr="00EA4C9B">
          <w:rPr>
            <w:rStyle w:val="Hyperlink"/>
          </w:rPr>
          <w:t>https://ec.europa.eu/economy_finance/country-specific-recommendations-database/</w:t>
        </w:r>
      </w:hyperlink>
      <w:r w:rsidRPr="00EA4C9B">
        <w:t xml:space="preserve"> </w:t>
      </w:r>
    </w:p>
  </w:footnote>
  <w:footnote w:id="500">
    <w:p w14:paraId="58749453" w14:textId="77777777" w:rsidR="004675E2" w:rsidRPr="004F0767" w:rsidRDefault="004675E2" w:rsidP="004675E2">
      <w:pPr>
        <w:pStyle w:val="FootnoteText"/>
        <w:rPr>
          <w:lang w:val="es-ES"/>
        </w:rPr>
      </w:pPr>
      <w:r w:rsidRPr="00EA4C9B">
        <w:rPr>
          <w:rStyle w:val="FootnoteReference"/>
        </w:rPr>
        <w:footnoteRef/>
      </w:r>
      <w:r w:rsidRPr="004F0767">
        <w:rPr>
          <w:lang w:val="it-IT"/>
        </w:rPr>
        <w:t xml:space="preserve"> </w:t>
      </w:r>
      <w:r w:rsidRPr="004F0767">
        <w:rPr>
          <w:lang w:val="it-IT"/>
        </w:rPr>
        <w:tab/>
        <w:t xml:space="preserve">Molocchi (2017). Chi inquina, paga? Tasse ambientali e sussidi dannosi per l’ambiente. Ipotesi di riforma alla luce dei costi esterni delle attività economiche in Italia. </w:t>
      </w:r>
      <w:r w:rsidRPr="004F0767">
        <w:rPr>
          <w:lang w:val="es-ES"/>
        </w:rPr>
        <w:t>Documento di valutazione n. 6. Ufficio Valutazione Impatto Senato della Repubblica.</w:t>
      </w:r>
    </w:p>
  </w:footnote>
  <w:footnote w:id="501">
    <w:p w14:paraId="6B04A8D4" w14:textId="1DEEA437" w:rsidR="00470B55" w:rsidRPr="00BA7936" w:rsidRDefault="00470B55">
      <w:pPr>
        <w:pStyle w:val="FootnoteText"/>
        <w:rPr>
          <w:lang w:val="it-IT"/>
        </w:rPr>
      </w:pPr>
      <w:r>
        <w:rPr>
          <w:rStyle w:val="FootnoteReference"/>
        </w:rPr>
        <w:footnoteRef/>
      </w:r>
      <w:r>
        <w:t xml:space="preserve"> </w:t>
      </w:r>
      <w:r w:rsidR="00BB25DC" w:rsidRPr="00BB25DC">
        <w:rPr>
          <w:i/>
          <w:iCs/>
        </w:rPr>
        <w:t>Italy, 2025 EU waste recycling targets – State of play</w:t>
      </w:r>
      <w:r w:rsidR="00BB25DC" w:rsidRPr="00BB25DC">
        <w:t>, Publications Office of the European Union, 2023, </w:t>
      </w:r>
      <w:hyperlink r:id="rId317" w:tgtFrame="_blank" w:history="1">
        <w:r w:rsidR="00BB25DC" w:rsidRPr="00BA7936">
          <w:rPr>
            <w:rStyle w:val="Hyperlink"/>
          </w:rPr>
          <w:t>https://data.europa.eu/doi/10.2779/61725</w:t>
        </w:r>
      </w:hyperlink>
    </w:p>
  </w:footnote>
  <w:footnote w:id="502">
    <w:p w14:paraId="7C5CD297" w14:textId="1084AD54" w:rsidR="001B06BD" w:rsidRPr="00BA7936" w:rsidRDefault="001B06BD">
      <w:pPr>
        <w:pStyle w:val="FootnoteText"/>
        <w:rPr>
          <w:lang w:val="it-IT"/>
        </w:rPr>
      </w:pPr>
      <w:r>
        <w:rPr>
          <w:rStyle w:val="FootnoteReference"/>
        </w:rPr>
        <w:footnoteRef/>
      </w:r>
      <w:r>
        <w:t xml:space="preserve"> </w:t>
      </w:r>
      <w:r>
        <w:rPr>
          <w:lang w:val="it-IT"/>
        </w:rPr>
        <w:t>Ibid.</w:t>
      </w:r>
    </w:p>
  </w:footnote>
  <w:footnote w:id="503">
    <w:p w14:paraId="6ABE4C2C" w14:textId="77777777" w:rsidR="00AE0176" w:rsidRPr="004F0767" w:rsidRDefault="00AE0176" w:rsidP="00AE0176">
      <w:pPr>
        <w:pStyle w:val="FootnoteText"/>
        <w:rPr>
          <w:lang w:val="es-ES"/>
        </w:rPr>
      </w:pPr>
      <w:r w:rsidRPr="00EA4C9B">
        <w:rPr>
          <w:rStyle w:val="FootnoteReference"/>
        </w:rPr>
        <w:footnoteRef/>
      </w:r>
      <w:r w:rsidRPr="004F0767">
        <w:rPr>
          <w:lang w:val="es-ES"/>
        </w:rPr>
        <w:t xml:space="preserve"> </w:t>
      </w:r>
      <w:r w:rsidRPr="004F0767">
        <w:rPr>
          <w:lang w:val="es-ES"/>
        </w:rPr>
        <w:tab/>
        <w:t>IstatData - Gettito delle imposte ambientali per categoria.</w:t>
      </w:r>
    </w:p>
  </w:footnote>
  <w:footnote w:id="504">
    <w:p w14:paraId="713A6861" w14:textId="52C5654D" w:rsidR="00B773C4" w:rsidRPr="00E3131A" w:rsidRDefault="00B773C4" w:rsidP="00B773C4">
      <w:pPr>
        <w:pStyle w:val="FootnoteText"/>
        <w:rPr>
          <w:lang w:val="en-US"/>
        </w:rPr>
      </w:pPr>
      <w:r>
        <w:rPr>
          <w:rStyle w:val="FootnoteReference"/>
        </w:rPr>
        <w:footnoteRef/>
      </w:r>
      <w:r>
        <w:t xml:space="preserve"> </w:t>
      </w:r>
      <w:r w:rsidR="00A53EAD">
        <w:tab/>
      </w:r>
      <w:r w:rsidRPr="00E3131A">
        <w:t>The comparison is expressed in real terms, meaning that figures are adjusted for inflation. The 7</w:t>
      </w:r>
      <w:r>
        <w:t>2</w:t>
      </w:r>
      <w:r w:rsidRPr="00E3131A">
        <w:t>.</w:t>
      </w:r>
      <w:r>
        <w:t>1</w:t>
      </w:r>
      <w:r w:rsidRPr="00E3131A">
        <w:t>%    increase refers to growth in constant prices over 2009–2023.</w:t>
      </w:r>
    </w:p>
  </w:footnote>
  <w:footnote w:id="505">
    <w:p w14:paraId="7C4235D0" w14:textId="18A9270B" w:rsidR="00664BE6" w:rsidRPr="004F0767" w:rsidRDefault="00664BE6" w:rsidP="00664BE6">
      <w:pPr>
        <w:pStyle w:val="FootnoteText"/>
        <w:rPr>
          <w:lang w:val="es-ES"/>
        </w:rPr>
      </w:pPr>
      <w:r w:rsidRPr="00EA4C9B">
        <w:rPr>
          <w:rStyle w:val="FootnoteReference"/>
        </w:rPr>
        <w:footnoteRef/>
      </w:r>
      <w:r w:rsidRPr="004F0767">
        <w:rPr>
          <w:lang w:val="es-ES"/>
        </w:rPr>
        <w:t xml:space="preserve"> </w:t>
      </w:r>
      <w:r w:rsidR="00321E06" w:rsidRPr="004F0767">
        <w:rPr>
          <w:lang w:val="es-ES"/>
        </w:rPr>
        <w:tab/>
      </w:r>
      <w:hyperlink r:id="rId318" w:history="1">
        <w:r w:rsidR="00321E06" w:rsidRPr="004F0767">
          <w:rPr>
            <w:rStyle w:val="Hyperlink"/>
            <w:lang w:val="es-ES"/>
          </w:rPr>
          <w:t>https://likumi.lv/ta/id/124707-dabas-resursu-nodokla-likums</w:t>
        </w:r>
      </w:hyperlink>
      <w:r w:rsidRPr="004F0767">
        <w:rPr>
          <w:lang w:val="es-ES"/>
        </w:rPr>
        <w:t xml:space="preserve"> </w:t>
      </w:r>
    </w:p>
  </w:footnote>
  <w:footnote w:id="506">
    <w:p w14:paraId="1317710A" w14:textId="2BF70F98" w:rsidR="00664BE6" w:rsidRPr="004F0767" w:rsidRDefault="00664BE6" w:rsidP="00664BE6">
      <w:pPr>
        <w:pStyle w:val="FootnoteText"/>
        <w:rPr>
          <w:lang w:val="es-ES"/>
        </w:rPr>
      </w:pPr>
      <w:r w:rsidRPr="00EA4C9B">
        <w:rPr>
          <w:rStyle w:val="FootnoteReference"/>
        </w:rPr>
        <w:footnoteRef/>
      </w:r>
      <w:r w:rsidRPr="004F0767">
        <w:rPr>
          <w:lang w:val="es-ES"/>
        </w:rPr>
        <w:t xml:space="preserve"> </w:t>
      </w:r>
      <w:r w:rsidR="00321E06" w:rsidRPr="004F0767">
        <w:rPr>
          <w:lang w:val="es-ES"/>
        </w:rPr>
        <w:tab/>
      </w:r>
      <w:hyperlink r:id="rId319" w:history="1">
        <w:r w:rsidR="00321E06" w:rsidRPr="004F0767">
          <w:rPr>
            <w:rStyle w:val="Hyperlink"/>
            <w:lang w:val="es-ES"/>
          </w:rPr>
          <w:t>https://ieep.eu/publications/environmental-tax-reform-in-europe-opportunities-for-the-future/</w:t>
        </w:r>
      </w:hyperlink>
      <w:r w:rsidRPr="004F0767">
        <w:rPr>
          <w:lang w:val="es-ES"/>
        </w:rPr>
        <w:t xml:space="preserve"> </w:t>
      </w:r>
    </w:p>
  </w:footnote>
  <w:footnote w:id="507">
    <w:p w14:paraId="05584582" w14:textId="5E8F9CF0" w:rsidR="00664BE6" w:rsidRPr="004F0767" w:rsidRDefault="00664BE6" w:rsidP="00664BE6">
      <w:pPr>
        <w:pStyle w:val="FootnoteText"/>
        <w:rPr>
          <w:lang w:val="es-ES"/>
        </w:rPr>
      </w:pPr>
      <w:r w:rsidRPr="00EA4C9B">
        <w:rPr>
          <w:rStyle w:val="FootnoteReference"/>
        </w:rPr>
        <w:footnoteRef/>
      </w:r>
      <w:r w:rsidRPr="004F0767">
        <w:rPr>
          <w:lang w:val="es-ES"/>
        </w:rPr>
        <w:t xml:space="preserve"> </w:t>
      </w:r>
      <w:r w:rsidR="00321E06" w:rsidRPr="004F0767">
        <w:rPr>
          <w:lang w:val="es-ES"/>
        </w:rPr>
        <w:tab/>
      </w:r>
      <w:hyperlink r:id="rId320" w:history="1">
        <w:r w:rsidR="00321E06" w:rsidRPr="004F0767">
          <w:rPr>
            <w:rStyle w:val="Hyperlink"/>
            <w:lang w:val="es-ES"/>
          </w:rPr>
          <w:t>https://eur-lex.europa.eu/legal-content/EN/TXT/?uri=comnat:SWD_2022_0276_FIN</w:t>
        </w:r>
      </w:hyperlink>
      <w:r w:rsidRPr="004F0767">
        <w:rPr>
          <w:lang w:val="es-ES"/>
        </w:rPr>
        <w:t xml:space="preserve"> </w:t>
      </w:r>
    </w:p>
  </w:footnote>
  <w:footnote w:id="508">
    <w:p w14:paraId="266F3A89" w14:textId="36910243" w:rsidR="00664BE6" w:rsidRPr="004D72B1" w:rsidRDefault="00664BE6" w:rsidP="00664BE6">
      <w:pPr>
        <w:pStyle w:val="FootnoteText"/>
        <w:rPr>
          <w:lang w:val="de-DE"/>
        </w:rPr>
      </w:pPr>
      <w:r w:rsidRPr="00EA4C9B">
        <w:rPr>
          <w:rStyle w:val="FootnoteReference"/>
        </w:rPr>
        <w:footnoteRef/>
      </w:r>
      <w:r w:rsidRPr="004D72B1">
        <w:rPr>
          <w:lang w:val="de-DE"/>
        </w:rPr>
        <w:t xml:space="preserve"> </w:t>
      </w:r>
      <w:r w:rsidR="00321E06">
        <w:rPr>
          <w:lang w:val="de-DE"/>
        </w:rPr>
        <w:tab/>
      </w:r>
      <w:r w:rsidRPr="004D72B1">
        <w:rPr>
          <w:lang w:val="de-DE"/>
        </w:rPr>
        <w:t>Idem.</w:t>
      </w:r>
    </w:p>
  </w:footnote>
  <w:footnote w:id="509">
    <w:p w14:paraId="142556FD" w14:textId="79F0ADA5" w:rsidR="00664BE6" w:rsidRPr="004D72B1" w:rsidRDefault="00664BE6" w:rsidP="00664BE6">
      <w:pPr>
        <w:pStyle w:val="FootnoteText"/>
        <w:rPr>
          <w:lang w:val="de-DE"/>
        </w:rPr>
      </w:pPr>
      <w:r w:rsidRPr="00EA4C9B">
        <w:rPr>
          <w:rStyle w:val="FootnoteReference"/>
        </w:rPr>
        <w:footnoteRef/>
      </w:r>
      <w:r w:rsidRPr="004D72B1">
        <w:rPr>
          <w:lang w:val="de-DE"/>
        </w:rPr>
        <w:t xml:space="preserve"> </w:t>
      </w:r>
      <w:r w:rsidR="00321E06">
        <w:rPr>
          <w:lang w:val="de-DE"/>
        </w:rPr>
        <w:tab/>
      </w:r>
      <w:hyperlink r:id="rId321" w:history="1">
        <w:r w:rsidR="00321E06" w:rsidRPr="00EC31B9">
          <w:rPr>
            <w:rStyle w:val="Hyperlink"/>
            <w:lang w:val="de-DE"/>
          </w:rPr>
          <w:t>https://sciendo.com/article/10.1515/nispa-2017-0015</w:t>
        </w:r>
      </w:hyperlink>
      <w:r w:rsidRPr="004D72B1">
        <w:rPr>
          <w:lang w:val="de-DE"/>
        </w:rPr>
        <w:t xml:space="preserve"> </w:t>
      </w:r>
    </w:p>
  </w:footnote>
  <w:footnote w:id="510">
    <w:p w14:paraId="7786EABE" w14:textId="3129FBF4" w:rsidR="00664BE6" w:rsidRPr="004D72B1" w:rsidRDefault="00664BE6" w:rsidP="00664BE6">
      <w:pPr>
        <w:pStyle w:val="FootnoteText"/>
        <w:rPr>
          <w:lang w:val="de-DE"/>
        </w:rPr>
      </w:pPr>
      <w:r w:rsidRPr="00EA4C9B">
        <w:rPr>
          <w:rStyle w:val="FootnoteReference"/>
        </w:rPr>
        <w:footnoteRef/>
      </w:r>
      <w:r w:rsidRPr="004D72B1">
        <w:rPr>
          <w:lang w:val="de-DE"/>
        </w:rPr>
        <w:t xml:space="preserve"> </w:t>
      </w:r>
      <w:r w:rsidR="00321E06">
        <w:rPr>
          <w:lang w:val="de-DE"/>
        </w:rPr>
        <w:tab/>
      </w:r>
      <w:r w:rsidRPr="004D72B1">
        <w:rPr>
          <w:lang w:val="de-DE"/>
        </w:rPr>
        <w:t xml:space="preserve">Idem. </w:t>
      </w:r>
    </w:p>
  </w:footnote>
  <w:footnote w:id="511">
    <w:p w14:paraId="0DE87C21" w14:textId="32B38CF8" w:rsidR="00664BE6" w:rsidRPr="004D72B1" w:rsidRDefault="00664BE6" w:rsidP="00664BE6">
      <w:pPr>
        <w:pStyle w:val="FootnoteText"/>
        <w:rPr>
          <w:lang w:val="de-DE"/>
        </w:rPr>
      </w:pPr>
      <w:r w:rsidRPr="00EA4C9B">
        <w:rPr>
          <w:rStyle w:val="FootnoteReference"/>
        </w:rPr>
        <w:footnoteRef/>
      </w:r>
      <w:r w:rsidRPr="004D72B1">
        <w:rPr>
          <w:lang w:val="de-DE"/>
        </w:rPr>
        <w:t xml:space="preserve"> </w:t>
      </w:r>
      <w:r w:rsidR="00321E06">
        <w:rPr>
          <w:lang w:val="de-DE"/>
        </w:rPr>
        <w:tab/>
      </w:r>
      <w:r w:rsidRPr="004D72B1">
        <w:rPr>
          <w:lang w:val="de-DE"/>
        </w:rPr>
        <w:t>https://likumi.lv/doc.php?id=196472</w:t>
      </w:r>
    </w:p>
  </w:footnote>
  <w:footnote w:id="512">
    <w:p w14:paraId="2AEEB044" w14:textId="73F53B4E" w:rsidR="00664BE6" w:rsidRPr="004D72B1" w:rsidRDefault="00664BE6" w:rsidP="00664BE6">
      <w:pPr>
        <w:pStyle w:val="FootnoteText"/>
        <w:rPr>
          <w:lang w:val="de-DE"/>
        </w:rPr>
      </w:pPr>
      <w:r w:rsidRPr="00EA4C9B">
        <w:rPr>
          <w:rStyle w:val="FootnoteReference"/>
        </w:rPr>
        <w:footnoteRef/>
      </w:r>
      <w:r w:rsidRPr="004D72B1">
        <w:rPr>
          <w:lang w:val="de-DE"/>
        </w:rPr>
        <w:t xml:space="preserve"> </w:t>
      </w:r>
      <w:r w:rsidR="00321E06">
        <w:rPr>
          <w:lang w:val="de-DE"/>
        </w:rPr>
        <w:tab/>
      </w:r>
      <w:hyperlink r:id="rId322" w:history="1">
        <w:r w:rsidR="00321E06" w:rsidRPr="00EC31B9">
          <w:rPr>
            <w:rStyle w:val="Hyperlink"/>
            <w:lang w:val="de-DE"/>
          </w:rPr>
          <w:t>https://pip</w:t>
        </w:r>
      </w:hyperlink>
      <w:r w:rsidRPr="004D72B1">
        <w:rPr>
          <w:lang w:val="de-DE"/>
        </w:rPr>
        <w:t>.riga.lv/turisma-nodeva-eng/</w:t>
      </w:r>
    </w:p>
  </w:footnote>
  <w:footnote w:id="513">
    <w:p w14:paraId="21ECF5F9" w14:textId="36FDC9B5" w:rsidR="00664BE6" w:rsidRPr="004D72B1" w:rsidRDefault="00664BE6" w:rsidP="00321E06">
      <w:pPr>
        <w:pStyle w:val="FootnoteText"/>
        <w:jc w:val="left"/>
        <w:rPr>
          <w:lang w:val="de-DE"/>
        </w:rPr>
      </w:pPr>
      <w:r w:rsidRPr="00EA4C9B">
        <w:rPr>
          <w:rStyle w:val="FootnoteReference"/>
        </w:rPr>
        <w:footnoteRef/>
      </w:r>
      <w:r w:rsidRPr="004D72B1">
        <w:rPr>
          <w:lang w:val="de-DE"/>
        </w:rPr>
        <w:t xml:space="preserve"> </w:t>
      </w:r>
      <w:r w:rsidR="00321E06">
        <w:rPr>
          <w:lang w:val="de-DE"/>
        </w:rPr>
        <w:tab/>
      </w:r>
      <w:r w:rsidRPr="004D72B1">
        <w:rPr>
          <w:lang w:val="de-DE"/>
        </w:rPr>
        <w:t>https://www.visitjurmala.lv/en/whats-on/season-news/starting-from-1-february-a-pass-will-be-required-to-enter-jurmala/</w:t>
      </w:r>
    </w:p>
  </w:footnote>
  <w:footnote w:id="514">
    <w:p w14:paraId="1AA5200F" w14:textId="60C75B14" w:rsidR="00664BE6" w:rsidRPr="004D72B1" w:rsidRDefault="00664BE6" w:rsidP="00664BE6">
      <w:pPr>
        <w:pStyle w:val="FootnoteText"/>
        <w:rPr>
          <w:lang w:val="de-DE"/>
        </w:rPr>
      </w:pPr>
      <w:r w:rsidRPr="00EA4C9B">
        <w:rPr>
          <w:rStyle w:val="FootnoteReference"/>
        </w:rPr>
        <w:footnoteRef/>
      </w:r>
      <w:r w:rsidRPr="004D72B1">
        <w:rPr>
          <w:lang w:val="de-DE"/>
        </w:rPr>
        <w:t xml:space="preserve"> </w:t>
      </w:r>
      <w:r w:rsidR="00321E06">
        <w:rPr>
          <w:lang w:val="de-DE"/>
        </w:rPr>
        <w:tab/>
      </w:r>
      <w:r w:rsidRPr="004D72B1">
        <w:rPr>
          <w:lang w:val="de-DE"/>
        </w:rPr>
        <w:t>https://www.fm.gov.lv/en/changes-taxation-2021</w:t>
      </w:r>
    </w:p>
  </w:footnote>
  <w:footnote w:id="515">
    <w:p w14:paraId="4BCBA7AE" w14:textId="6A3B5BE7" w:rsidR="00664BE6" w:rsidRPr="004D72B1" w:rsidRDefault="00664BE6" w:rsidP="00664BE6">
      <w:pPr>
        <w:pStyle w:val="FootnoteText"/>
        <w:jc w:val="left"/>
        <w:rPr>
          <w:lang w:val="de-DE"/>
        </w:rPr>
      </w:pPr>
      <w:r w:rsidRPr="00EA4C9B">
        <w:rPr>
          <w:rStyle w:val="FootnoteReference"/>
        </w:rPr>
        <w:footnoteRef/>
      </w:r>
      <w:r w:rsidRPr="004D72B1">
        <w:rPr>
          <w:lang w:val="de-DE"/>
        </w:rPr>
        <w:t xml:space="preserve"> </w:t>
      </w:r>
      <w:r w:rsidR="00321E06">
        <w:rPr>
          <w:lang w:val="de-DE"/>
        </w:rPr>
        <w:tab/>
      </w:r>
      <w:r w:rsidRPr="004D72B1">
        <w:rPr>
          <w:lang w:val="de-DE"/>
        </w:rPr>
        <w:t>https://circabc.europa.eu/ui/group/c1</w:t>
      </w:r>
      <w:r w:rsidR="00490085">
        <w:rPr>
          <w:lang w:val="de-DE"/>
        </w:rPr>
        <w:t>A6</w:t>
      </w:r>
      <w:r w:rsidRPr="004D72B1">
        <w:rPr>
          <w:lang w:val="de-DE"/>
        </w:rPr>
        <w:t>a4e9-7563-4d0e-9697-68d9cd24ed34/library/7ff9e898-823f-4b06-985a-119d9e25e529/details</w:t>
      </w:r>
    </w:p>
  </w:footnote>
  <w:footnote w:id="516">
    <w:p w14:paraId="5EEC9BF2" w14:textId="5EF9A937" w:rsidR="00664BE6" w:rsidRPr="004D72B1" w:rsidRDefault="00664BE6" w:rsidP="00664BE6">
      <w:pPr>
        <w:pStyle w:val="FootnoteText"/>
        <w:jc w:val="left"/>
        <w:rPr>
          <w:lang w:val="de-DE"/>
        </w:rPr>
      </w:pPr>
      <w:r w:rsidRPr="00EA4C9B">
        <w:rPr>
          <w:rStyle w:val="FootnoteReference"/>
        </w:rPr>
        <w:footnoteRef/>
      </w:r>
      <w:r w:rsidRPr="004D72B1">
        <w:rPr>
          <w:lang w:val="de-DE"/>
        </w:rPr>
        <w:t xml:space="preserve"> </w:t>
      </w:r>
      <w:r w:rsidR="00321E06">
        <w:rPr>
          <w:lang w:val="de-DE"/>
        </w:rPr>
        <w:tab/>
      </w:r>
      <w:r w:rsidRPr="004D72B1">
        <w:rPr>
          <w:lang w:val="de-DE"/>
        </w:rPr>
        <w:t>https://www.fm.gov.lv/en/changes-taxation-and-finances-2025</w:t>
      </w:r>
    </w:p>
  </w:footnote>
  <w:footnote w:id="517">
    <w:p w14:paraId="362775AC" w14:textId="2ADD7A20" w:rsidR="00664BE6" w:rsidRPr="004D72B1" w:rsidRDefault="00664BE6" w:rsidP="00664BE6">
      <w:pPr>
        <w:pStyle w:val="FootnoteText"/>
        <w:jc w:val="left"/>
        <w:rPr>
          <w:lang w:val="de-DE"/>
        </w:rPr>
      </w:pPr>
      <w:r w:rsidRPr="00EA4C9B">
        <w:rPr>
          <w:rStyle w:val="FootnoteReference"/>
        </w:rPr>
        <w:footnoteRef/>
      </w:r>
      <w:r w:rsidRPr="004D72B1">
        <w:rPr>
          <w:lang w:val="de-DE"/>
        </w:rPr>
        <w:t xml:space="preserve"> </w:t>
      </w:r>
      <w:r w:rsidR="00321E06">
        <w:rPr>
          <w:lang w:val="de-DE"/>
        </w:rPr>
        <w:tab/>
      </w:r>
      <w:r w:rsidRPr="004D72B1">
        <w:rPr>
          <w:lang w:val="de-DE"/>
        </w:rPr>
        <w:t>https://commission.europa.eu/document/download/99667fa7-b0ed-480c-88da-7d31c19cc285_en?filename=com_2024_614_1_en.pdf</w:t>
      </w:r>
    </w:p>
  </w:footnote>
  <w:footnote w:id="518">
    <w:p w14:paraId="22DA0A66" w14:textId="0DA2DA9F" w:rsidR="00664BE6" w:rsidRPr="004D72B1" w:rsidRDefault="00664BE6" w:rsidP="00664BE6">
      <w:pPr>
        <w:pStyle w:val="FootnoteText"/>
        <w:jc w:val="left"/>
        <w:rPr>
          <w:lang w:val="de-DE"/>
        </w:rPr>
      </w:pPr>
      <w:r w:rsidRPr="00EA4C9B">
        <w:rPr>
          <w:rStyle w:val="FootnoteReference"/>
        </w:rPr>
        <w:footnoteRef/>
      </w:r>
      <w:r w:rsidRPr="004D72B1">
        <w:rPr>
          <w:lang w:val="de-DE"/>
        </w:rPr>
        <w:t xml:space="preserve"> </w:t>
      </w:r>
      <w:r w:rsidR="00321E06">
        <w:rPr>
          <w:lang w:val="de-DE"/>
        </w:rPr>
        <w:tab/>
      </w:r>
      <w:r w:rsidRPr="004D72B1">
        <w:rPr>
          <w:lang w:val="de-DE"/>
        </w:rPr>
        <w:t>https://commission.europa.eu/document/download/77207bce-9f86-43b5-9c0e-e104aef27972_en?filename=COM_2023_614_1_EN.pdf</w:t>
      </w:r>
    </w:p>
  </w:footnote>
  <w:footnote w:id="519">
    <w:p w14:paraId="21CDA666" w14:textId="3BA9B3B1" w:rsidR="00664BE6" w:rsidRPr="004D72B1" w:rsidRDefault="00664BE6" w:rsidP="00664BE6">
      <w:pPr>
        <w:pStyle w:val="FootnoteText"/>
        <w:jc w:val="left"/>
        <w:rPr>
          <w:lang w:val="de-DE"/>
        </w:rPr>
      </w:pPr>
      <w:r w:rsidRPr="00EA4C9B">
        <w:rPr>
          <w:rStyle w:val="FootnoteReference"/>
        </w:rPr>
        <w:footnoteRef/>
      </w:r>
      <w:r w:rsidRPr="004D72B1">
        <w:rPr>
          <w:lang w:val="de-DE"/>
        </w:rPr>
        <w:t xml:space="preserve"> </w:t>
      </w:r>
      <w:r w:rsidR="00321E06">
        <w:rPr>
          <w:lang w:val="de-DE"/>
        </w:rPr>
        <w:tab/>
      </w:r>
      <w:r w:rsidRPr="004D72B1">
        <w:rPr>
          <w:lang w:val="de-DE"/>
        </w:rPr>
        <w:t>https://commission.europa.eu/publications/2025-european-semester-country-specific-recommendations-commission-recommendations_en</w:t>
      </w:r>
    </w:p>
  </w:footnote>
  <w:footnote w:id="520">
    <w:p w14:paraId="69756B7F" w14:textId="785F7466" w:rsidR="00664BE6" w:rsidRPr="004D72B1" w:rsidRDefault="00664BE6" w:rsidP="00664BE6">
      <w:pPr>
        <w:pStyle w:val="FootnoteText"/>
        <w:jc w:val="left"/>
        <w:rPr>
          <w:lang w:val="de-DE"/>
        </w:rPr>
      </w:pPr>
      <w:r w:rsidRPr="00EA4C9B">
        <w:rPr>
          <w:rStyle w:val="FootnoteReference"/>
        </w:rPr>
        <w:footnoteRef/>
      </w:r>
      <w:r w:rsidRPr="004D72B1">
        <w:rPr>
          <w:lang w:val="de-DE"/>
        </w:rPr>
        <w:t xml:space="preserve"> </w:t>
      </w:r>
      <w:r w:rsidR="00321E06">
        <w:rPr>
          <w:lang w:val="de-DE"/>
        </w:rPr>
        <w:tab/>
      </w:r>
      <w:r w:rsidRPr="004D72B1">
        <w:rPr>
          <w:lang w:val="de-DE"/>
        </w:rPr>
        <w:t>https://likumi.lv/ta/en/id/124707-natural-resources-tax-law</w:t>
      </w:r>
    </w:p>
  </w:footnote>
  <w:footnote w:id="521">
    <w:p w14:paraId="58A9DC2C" w14:textId="01016ADD" w:rsidR="00664BE6" w:rsidRPr="004D72B1" w:rsidRDefault="00664BE6" w:rsidP="00664BE6">
      <w:pPr>
        <w:pStyle w:val="FootnoteText"/>
        <w:jc w:val="left"/>
        <w:rPr>
          <w:lang w:val="de-DE"/>
        </w:rPr>
      </w:pPr>
      <w:r w:rsidRPr="00EA4C9B">
        <w:rPr>
          <w:rStyle w:val="FootnoteReference"/>
        </w:rPr>
        <w:footnoteRef/>
      </w:r>
      <w:r w:rsidRPr="004D72B1">
        <w:rPr>
          <w:lang w:val="de-DE"/>
        </w:rPr>
        <w:t xml:space="preserve"> </w:t>
      </w:r>
      <w:r w:rsidR="00321E06">
        <w:rPr>
          <w:lang w:val="de-DE"/>
        </w:rPr>
        <w:tab/>
      </w:r>
      <w:r w:rsidRPr="004D72B1">
        <w:rPr>
          <w:lang w:val="de-DE"/>
        </w:rPr>
        <w:t>https://agriculture.ec.europa.eu/cap-my-country/cap-strategic-plans/latvia_en#implementation</w:t>
      </w:r>
    </w:p>
  </w:footnote>
  <w:footnote w:id="522">
    <w:p w14:paraId="0770798D" w14:textId="2E6D52DD" w:rsidR="00664BE6" w:rsidRPr="004D72B1" w:rsidRDefault="00664BE6" w:rsidP="00664BE6">
      <w:pPr>
        <w:pStyle w:val="FootnoteText"/>
        <w:jc w:val="left"/>
        <w:rPr>
          <w:lang w:val="de-DE"/>
        </w:rPr>
      </w:pPr>
      <w:r w:rsidRPr="00EA4C9B">
        <w:rPr>
          <w:rStyle w:val="FootnoteReference"/>
        </w:rPr>
        <w:footnoteRef/>
      </w:r>
      <w:r w:rsidRPr="004D72B1">
        <w:rPr>
          <w:lang w:val="de-DE"/>
        </w:rPr>
        <w:t xml:space="preserve"> </w:t>
      </w:r>
      <w:r w:rsidR="00321E06">
        <w:rPr>
          <w:lang w:val="de-DE"/>
        </w:rPr>
        <w:tab/>
      </w:r>
      <w:r w:rsidRPr="004D72B1">
        <w:rPr>
          <w:lang w:val="de-DE"/>
        </w:rPr>
        <w:t>https://energy.ec.europa.eu/system/files/2020-04/lv_final_necp_main_en_0.pdf</w:t>
      </w:r>
    </w:p>
  </w:footnote>
  <w:footnote w:id="523">
    <w:p w14:paraId="6D5863B0" w14:textId="0BB94F62" w:rsidR="00344265" w:rsidRPr="00BA7936" w:rsidRDefault="00344265">
      <w:pPr>
        <w:pStyle w:val="FootnoteText"/>
        <w:rPr>
          <w:lang w:val="it-IT"/>
        </w:rPr>
      </w:pPr>
      <w:r>
        <w:rPr>
          <w:rStyle w:val="FootnoteReference"/>
        </w:rPr>
        <w:footnoteRef/>
      </w:r>
      <w:r>
        <w:t xml:space="preserve"> </w:t>
      </w:r>
      <w:r w:rsidR="00EB3316" w:rsidRPr="00EB3316">
        <w:rPr>
          <w:i/>
          <w:iCs/>
        </w:rPr>
        <w:t>Latvia, 2025 EU waste recycling targets – State of play</w:t>
      </w:r>
      <w:r w:rsidR="00EB3316" w:rsidRPr="00EB3316">
        <w:t>, Publications Office of the European Union, 2023, </w:t>
      </w:r>
      <w:hyperlink r:id="rId323" w:tgtFrame="_blank" w:history="1">
        <w:r w:rsidR="00EB3316" w:rsidRPr="00BA7936">
          <w:rPr>
            <w:rStyle w:val="Hyperlink"/>
          </w:rPr>
          <w:t>https://data.europa.eu/doi/10.2779/079620</w:t>
        </w:r>
      </w:hyperlink>
    </w:p>
  </w:footnote>
  <w:footnote w:id="524">
    <w:p w14:paraId="1C549F8D" w14:textId="3452476D" w:rsidR="00BB262A" w:rsidRPr="00996C35" w:rsidRDefault="00BB262A" w:rsidP="00BB262A">
      <w:pPr>
        <w:pStyle w:val="FootnoteText"/>
        <w:rPr>
          <w:lang w:val="en-US"/>
        </w:rPr>
      </w:pPr>
      <w:r>
        <w:rPr>
          <w:rStyle w:val="FootnoteReference"/>
        </w:rPr>
        <w:footnoteRef/>
      </w:r>
      <w:r>
        <w:t xml:space="preserve"> </w:t>
      </w:r>
      <w:r>
        <w:tab/>
      </w:r>
      <w:r w:rsidRPr="00996C35">
        <w:t xml:space="preserve">The comparison is expressed in real terms, meaning that figures are adjusted for inflation. The </w:t>
      </w:r>
      <w:r>
        <w:t>102</w:t>
      </w:r>
      <w:r w:rsidRPr="00996C35">
        <w:t>.</w:t>
      </w:r>
      <w:r>
        <w:t>4</w:t>
      </w:r>
      <w:r w:rsidRPr="00996C35">
        <w:t>%    increase refers to growth in constant prices over 2009–2023.</w:t>
      </w:r>
    </w:p>
  </w:footnote>
  <w:footnote w:id="525">
    <w:p w14:paraId="2C366860" w14:textId="3310B311" w:rsidR="00664BE6" w:rsidRPr="00A83EA6" w:rsidRDefault="00664BE6" w:rsidP="00664BE6">
      <w:pPr>
        <w:pStyle w:val="FootnoteText"/>
      </w:pPr>
      <w:r w:rsidRPr="00A83EA6">
        <w:rPr>
          <w:rStyle w:val="FootnoteReference"/>
        </w:rPr>
        <w:footnoteRef/>
      </w:r>
      <w:r w:rsidRPr="00A83EA6">
        <w:t xml:space="preserve"> </w:t>
      </w:r>
      <w:r w:rsidR="00321E06">
        <w:tab/>
      </w:r>
      <w:r w:rsidRPr="00A83EA6">
        <w:t xml:space="preserve">State Tax Inspectorate, </w:t>
      </w:r>
      <w:hyperlink r:id="rId324" w:history="1">
        <w:r w:rsidRPr="00A83EA6">
          <w:rPr>
            <w:rStyle w:val="Hyperlink"/>
            <w:i/>
          </w:rPr>
          <w:t>Overview of the collection of national budget revenues administered by the State Tax Inspectorate</w:t>
        </w:r>
      </w:hyperlink>
    </w:p>
  </w:footnote>
  <w:footnote w:id="526">
    <w:p w14:paraId="3E4EE8FE" w14:textId="22B25CCC" w:rsidR="00664BE6" w:rsidRPr="00EA4C9B" w:rsidRDefault="00664BE6" w:rsidP="00664BE6">
      <w:pPr>
        <w:pStyle w:val="FootnoteText"/>
      </w:pPr>
      <w:r w:rsidRPr="00EA4C9B">
        <w:rPr>
          <w:rStyle w:val="FootnoteReference"/>
        </w:rPr>
        <w:footnoteRef/>
      </w:r>
      <w:r w:rsidRPr="00EA4C9B">
        <w:t xml:space="preserve"> </w:t>
      </w:r>
      <w:r w:rsidR="00321E06">
        <w:tab/>
      </w:r>
      <w:r w:rsidRPr="00A83EA6">
        <w:t>Ibid</w:t>
      </w:r>
      <w:r w:rsidRPr="00EA4C9B">
        <w:t>.</w:t>
      </w:r>
    </w:p>
  </w:footnote>
  <w:footnote w:id="527">
    <w:p w14:paraId="744D2200" w14:textId="2F9EB020" w:rsidR="00664BE6" w:rsidRPr="00A83EA6" w:rsidRDefault="00664BE6" w:rsidP="00664BE6">
      <w:pPr>
        <w:pStyle w:val="FootnoteText"/>
      </w:pPr>
      <w:r w:rsidRPr="00A83EA6">
        <w:rPr>
          <w:rStyle w:val="FootnoteReference"/>
        </w:rPr>
        <w:footnoteRef/>
      </w:r>
      <w:r w:rsidRPr="00A83EA6">
        <w:t xml:space="preserve"> </w:t>
      </w:r>
      <w:r w:rsidR="00321E06">
        <w:tab/>
      </w:r>
      <w:r w:rsidRPr="00A83EA6">
        <w:t>Article 16 of the Law of the Republic of Lithuania on Tax Administration.</w:t>
      </w:r>
    </w:p>
  </w:footnote>
  <w:footnote w:id="528">
    <w:p w14:paraId="4E1E5003" w14:textId="75D78BAF" w:rsidR="00664BE6" w:rsidRPr="00EA4C9B" w:rsidRDefault="00664BE6" w:rsidP="00664BE6">
      <w:pPr>
        <w:pStyle w:val="FootnoteText"/>
      </w:pPr>
      <w:r w:rsidRPr="00A83EA6">
        <w:rPr>
          <w:rStyle w:val="FootnoteReference"/>
        </w:rPr>
        <w:footnoteRef/>
      </w:r>
      <w:r w:rsidRPr="00A83EA6">
        <w:t xml:space="preserve"> </w:t>
      </w:r>
      <w:r w:rsidR="00321E06">
        <w:tab/>
      </w:r>
      <w:r w:rsidRPr="00A83EA6">
        <w:t xml:space="preserve">Miceikienė Astrida, Verulidze Vazha, Kuklierius Mindaugas (2022), </w:t>
      </w:r>
      <w:hyperlink r:id="rId325" w:history="1">
        <w:r w:rsidRPr="00A83EA6">
          <w:rPr>
            <w:rStyle w:val="Hyperlink"/>
            <w:i/>
          </w:rPr>
          <w:t>The role of environmental taxes in bioeconomy development: cases of Lithuania and Georgia.</w:t>
        </w:r>
      </w:hyperlink>
    </w:p>
  </w:footnote>
  <w:footnote w:id="529">
    <w:p w14:paraId="7BF06039" w14:textId="6916A8C7" w:rsidR="00664BE6" w:rsidRPr="00EA4C9B" w:rsidRDefault="00664BE6" w:rsidP="00664BE6">
      <w:pPr>
        <w:pStyle w:val="FootnoteText"/>
      </w:pPr>
      <w:r w:rsidRPr="00EA4C9B">
        <w:rPr>
          <w:rStyle w:val="FootnoteReference"/>
        </w:rPr>
        <w:footnoteRef/>
      </w:r>
      <w:r w:rsidRPr="00EA4C9B">
        <w:t xml:space="preserve"> </w:t>
      </w:r>
      <w:r w:rsidR="00321E06">
        <w:tab/>
      </w:r>
      <w:r w:rsidRPr="00A83EA6">
        <w:t>Law of the Republic of Lithuania on Environmental Pollution Tax, State Gazette, 1999-05-28, No. 47-1469.</w:t>
      </w:r>
    </w:p>
  </w:footnote>
  <w:footnote w:id="530">
    <w:p w14:paraId="4FA86271" w14:textId="2555C79E" w:rsidR="00664BE6" w:rsidRPr="00A83EA6" w:rsidRDefault="00664BE6" w:rsidP="00664BE6">
      <w:pPr>
        <w:pStyle w:val="FootnoteText"/>
      </w:pPr>
      <w:r w:rsidRPr="00A83EA6">
        <w:rPr>
          <w:rStyle w:val="FootnoteReference"/>
        </w:rPr>
        <w:footnoteRef/>
      </w:r>
      <w:r w:rsidRPr="00A83EA6">
        <w:t xml:space="preserve"> </w:t>
      </w:r>
      <w:r w:rsidR="00321E06">
        <w:tab/>
      </w:r>
      <w:r w:rsidRPr="00A83EA6">
        <w:t xml:space="preserve">Resolution №711 on the approval of the </w:t>
      </w:r>
      <w:r w:rsidRPr="00A83EA6">
        <w:rPr>
          <w:i/>
        </w:rPr>
        <w:t>“</w:t>
      </w:r>
      <w:hyperlink r:id="rId326" w:history="1">
        <w:r w:rsidRPr="00A83EA6">
          <w:rPr>
            <w:rStyle w:val="Hyperlink"/>
            <w:rFonts w:ascii="Calibri" w:eastAsia="Times New Roman" w:hAnsi="Calibri" w:cs="Calibri"/>
            <w:i/>
            <w:lang w:eastAsia="en-GB"/>
          </w:rPr>
          <w:t>Rules on Local Fees or Other Payments for the Collection of Municipal Waste from Waste Holders and Waste Management</w:t>
        </w:r>
      </w:hyperlink>
      <w:r w:rsidRPr="00A83EA6">
        <w:rPr>
          <w:rFonts w:ascii="Calibri" w:eastAsia="Times New Roman" w:hAnsi="Calibri" w:cs="Calibri"/>
          <w:i/>
          <w:color w:val="000000"/>
          <w:lang w:eastAsia="en-GB"/>
        </w:rPr>
        <w:t>”.</w:t>
      </w:r>
    </w:p>
  </w:footnote>
  <w:footnote w:id="531">
    <w:p w14:paraId="09D56CEF" w14:textId="66D7AC66" w:rsidR="00664BE6" w:rsidRPr="00EA4C9B" w:rsidRDefault="00664BE6" w:rsidP="00664BE6">
      <w:pPr>
        <w:pStyle w:val="FootnoteText"/>
        <w:rPr>
          <w:i/>
          <w:iCs/>
          <w:sz w:val="18"/>
          <w:szCs w:val="18"/>
        </w:rPr>
      </w:pPr>
      <w:r w:rsidRPr="00EA4C9B">
        <w:rPr>
          <w:rStyle w:val="FootnoteReference"/>
        </w:rPr>
        <w:footnoteRef/>
      </w:r>
      <w:r w:rsidRPr="00EA4C9B">
        <w:t xml:space="preserve"> </w:t>
      </w:r>
      <w:r w:rsidR="00321E06">
        <w:tab/>
      </w:r>
      <w:r w:rsidRPr="00A83EA6">
        <w:t xml:space="preserve">OECD (2023), </w:t>
      </w:r>
      <w:hyperlink r:id="rId327" w:history="1">
        <w:r w:rsidRPr="00A83EA6">
          <w:rPr>
            <w:rStyle w:val="Hyperlink"/>
            <w:i/>
          </w:rPr>
          <w:t>Reform options for Lithuanian climate neutrality by 2050</w:t>
        </w:r>
      </w:hyperlink>
      <w:r w:rsidRPr="00A83EA6">
        <w:rPr>
          <w:i/>
        </w:rPr>
        <w:t>.</w:t>
      </w:r>
    </w:p>
  </w:footnote>
  <w:footnote w:id="532">
    <w:p w14:paraId="5BC0C52B" w14:textId="77777777" w:rsidR="00664BE6" w:rsidRPr="00A83EA6" w:rsidRDefault="00664BE6" w:rsidP="00664BE6">
      <w:pPr>
        <w:pStyle w:val="FootnoteText"/>
      </w:pPr>
      <w:r w:rsidRPr="00A83EA6">
        <w:rPr>
          <w:rStyle w:val="FootnoteReference"/>
        </w:rPr>
        <w:footnoteRef/>
      </w:r>
      <w:r w:rsidRPr="00A83EA6">
        <w:t xml:space="preserve">  Ibid.</w:t>
      </w:r>
    </w:p>
  </w:footnote>
  <w:footnote w:id="533">
    <w:p w14:paraId="0D58F33E" w14:textId="77777777" w:rsidR="00664BE6" w:rsidRPr="00EA4C9B" w:rsidRDefault="00664BE6" w:rsidP="00664BE6">
      <w:pPr>
        <w:pStyle w:val="FootnoteText"/>
      </w:pPr>
      <w:r w:rsidRPr="00EA4C9B">
        <w:rPr>
          <w:rStyle w:val="FootnoteReference"/>
        </w:rPr>
        <w:footnoteRef/>
      </w:r>
      <w:r w:rsidRPr="00EA4C9B">
        <w:t xml:space="preserve"> </w:t>
      </w:r>
      <w:r w:rsidRPr="00A83EA6">
        <w:t xml:space="preserve">European Commission (2025), </w:t>
      </w:r>
      <w:hyperlink r:id="rId328" w:history="1">
        <w:r w:rsidRPr="00A83EA6">
          <w:rPr>
            <w:rStyle w:val="Hyperlink"/>
            <w:i/>
          </w:rPr>
          <w:t>European Semester: Country Specific Recommendation / Commission Recommendation</w:t>
        </w:r>
      </w:hyperlink>
      <w:r w:rsidRPr="00A83EA6">
        <w:t>.</w:t>
      </w:r>
    </w:p>
  </w:footnote>
  <w:footnote w:id="534">
    <w:p w14:paraId="2878453A" w14:textId="77777777" w:rsidR="00664BE6" w:rsidRPr="00EA4C9B" w:rsidRDefault="00664BE6" w:rsidP="00664BE6">
      <w:pPr>
        <w:pStyle w:val="FootnoteText"/>
      </w:pPr>
      <w:r w:rsidRPr="00EA4C9B">
        <w:rPr>
          <w:rStyle w:val="FootnoteReference"/>
        </w:rPr>
        <w:footnoteRef/>
      </w:r>
      <w:r w:rsidRPr="00EA4C9B">
        <w:t xml:space="preserve"> </w:t>
      </w:r>
      <w:r w:rsidRPr="00A83EA6">
        <w:t xml:space="preserve">European Commission (2024), </w:t>
      </w:r>
      <w:hyperlink r:id="rId329" w:history="1">
        <w:r w:rsidRPr="00A83EA6">
          <w:rPr>
            <w:rStyle w:val="Hyperlink"/>
            <w:i/>
          </w:rPr>
          <w:t>European Semester: Country Specific Recommendations / Commission Recommendations</w:t>
        </w:r>
      </w:hyperlink>
      <w:r w:rsidRPr="00A83EA6">
        <w:rPr>
          <w:i/>
        </w:rPr>
        <w:t>.</w:t>
      </w:r>
    </w:p>
  </w:footnote>
  <w:footnote w:id="535">
    <w:p w14:paraId="29048249" w14:textId="77777777" w:rsidR="00664BE6" w:rsidRPr="00EA4C9B" w:rsidRDefault="00664BE6" w:rsidP="00664BE6">
      <w:pPr>
        <w:pStyle w:val="FootnoteText"/>
      </w:pPr>
      <w:r w:rsidRPr="00EA4C9B">
        <w:rPr>
          <w:rStyle w:val="FootnoteReference"/>
        </w:rPr>
        <w:footnoteRef/>
      </w:r>
      <w:r w:rsidRPr="00EA4C9B">
        <w:t xml:space="preserve"> </w:t>
      </w:r>
      <w:r w:rsidRPr="00A83EA6">
        <w:t xml:space="preserve">European Commission (2022), </w:t>
      </w:r>
      <w:hyperlink r:id="rId330" w:history="1">
        <w:r w:rsidRPr="00A83EA6">
          <w:rPr>
            <w:rStyle w:val="Hyperlink"/>
            <w:i/>
          </w:rPr>
          <w:t>European Semester: Country Specific Recommendations / Commission Recommendations</w:t>
        </w:r>
      </w:hyperlink>
      <w:r w:rsidRPr="00A83EA6">
        <w:rPr>
          <w:i/>
        </w:rPr>
        <w:t>.</w:t>
      </w:r>
    </w:p>
  </w:footnote>
  <w:footnote w:id="536">
    <w:p w14:paraId="2D06F78C" w14:textId="1760C866" w:rsidR="00664BE6" w:rsidRPr="00A83EA6" w:rsidRDefault="00664BE6" w:rsidP="00664BE6">
      <w:pPr>
        <w:pStyle w:val="FootnoteText"/>
      </w:pPr>
      <w:r w:rsidRPr="00A83EA6">
        <w:rPr>
          <w:rStyle w:val="FootnoteReference"/>
        </w:rPr>
        <w:footnoteRef/>
      </w:r>
      <w:r w:rsidRPr="00A83EA6">
        <w:t xml:space="preserve"> </w:t>
      </w:r>
      <w:r w:rsidR="00321E06">
        <w:tab/>
      </w:r>
      <w:r w:rsidRPr="00A83EA6">
        <w:t>European Commission (2021)</w:t>
      </w:r>
      <w:r w:rsidRPr="00A83EA6">
        <w:rPr>
          <w:i/>
        </w:rPr>
        <w:t xml:space="preserve">, </w:t>
      </w:r>
      <w:hyperlink r:id="rId331" w:tgtFrame="_blank" w:history="1">
        <w:r w:rsidRPr="00A83EA6">
          <w:rPr>
            <w:rStyle w:val="Hyperlink"/>
            <w:i/>
          </w:rPr>
          <w:t>Taxes, charges and fees</w:t>
        </w:r>
      </w:hyperlink>
      <w:r w:rsidRPr="00A83EA6">
        <w:rPr>
          <w:i/>
        </w:rPr>
        <w:t>. </w:t>
      </w:r>
      <w:r w:rsidRPr="00A83EA6">
        <w:t> </w:t>
      </w:r>
    </w:p>
  </w:footnote>
  <w:footnote w:id="537">
    <w:p w14:paraId="7F538534" w14:textId="76F4A43A" w:rsidR="00664BE6" w:rsidRPr="00A83EA6" w:rsidRDefault="00664BE6" w:rsidP="00664BE6">
      <w:pPr>
        <w:pStyle w:val="FootnoteText"/>
      </w:pPr>
      <w:r w:rsidRPr="00A83EA6">
        <w:rPr>
          <w:rStyle w:val="FootnoteReference"/>
        </w:rPr>
        <w:footnoteRef/>
      </w:r>
      <w:r w:rsidRPr="00A83EA6">
        <w:t xml:space="preserve"> </w:t>
      </w:r>
      <w:r w:rsidR="00321E06">
        <w:tab/>
      </w:r>
      <w:r w:rsidRPr="00A83EA6">
        <w:t xml:space="preserve">OECD (2021), </w:t>
      </w:r>
      <w:hyperlink r:id="rId332" w:history="1">
        <w:r w:rsidRPr="00A83EA6">
          <w:rPr>
            <w:rStyle w:val="Hyperlink"/>
            <w:i/>
          </w:rPr>
          <w:t>Environmental Performance Reviews: Lithuania 2021</w:t>
        </w:r>
      </w:hyperlink>
      <w:r w:rsidRPr="00A83EA6">
        <w:rPr>
          <w:i/>
        </w:rPr>
        <w:t>.</w:t>
      </w:r>
    </w:p>
  </w:footnote>
  <w:footnote w:id="538">
    <w:p w14:paraId="422A29CE" w14:textId="224D4799" w:rsidR="00664BE6" w:rsidRPr="00A83EA6" w:rsidRDefault="00664BE6" w:rsidP="00664BE6">
      <w:pPr>
        <w:pStyle w:val="FootnoteText"/>
        <w:rPr>
          <w:i/>
        </w:rPr>
      </w:pPr>
      <w:r w:rsidRPr="00A83EA6">
        <w:rPr>
          <w:rStyle w:val="FootnoteReference"/>
        </w:rPr>
        <w:footnoteRef/>
      </w:r>
      <w:r w:rsidRPr="00A83EA6">
        <w:t xml:space="preserve"> </w:t>
      </w:r>
      <w:r w:rsidR="00321E06">
        <w:tab/>
      </w:r>
      <w:r w:rsidRPr="00A83EA6">
        <w:t xml:space="preserve">OECD (2023), </w:t>
      </w:r>
      <w:hyperlink r:id="rId333" w:history="1">
        <w:r w:rsidRPr="00A83EA6">
          <w:rPr>
            <w:rStyle w:val="Hyperlink"/>
            <w:i/>
          </w:rPr>
          <w:t>Reform options for Lithuanian climate neutrality by 2050</w:t>
        </w:r>
      </w:hyperlink>
      <w:r w:rsidRPr="00A83EA6">
        <w:rPr>
          <w:i/>
        </w:rPr>
        <w:t>.</w:t>
      </w:r>
    </w:p>
    <w:p w14:paraId="66929EB9" w14:textId="77777777" w:rsidR="00664BE6" w:rsidRPr="00A83EA6" w:rsidRDefault="00664BE6" w:rsidP="00321E06">
      <w:pPr>
        <w:pStyle w:val="FootnoteText"/>
        <w:ind w:firstLine="0"/>
      </w:pPr>
      <w:r w:rsidRPr="00A83EA6">
        <w:t xml:space="preserve">IMF (2024), </w:t>
      </w:r>
      <w:hyperlink r:id="rId334" w:history="1">
        <w:r w:rsidRPr="00A83EA6">
          <w:rPr>
            <w:rStyle w:val="Hyperlink"/>
            <w:i/>
          </w:rPr>
          <w:t>Staff Report for the 2024 Article IV consultation</w:t>
        </w:r>
      </w:hyperlink>
      <w:r w:rsidRPr="00A83EA6">
        <w:t>.</w:t>
      </w:r>
    </w:p>
    <w:p w14:paraId="21E005B6" w14:textId="77777777" w:rsidR="00664BE6" w:rsidRPr="00A83EA6" w:rsidRDefault="00664BE6" w:rsidP="00321E06">
      <w:pPr>
        <w:pStyle w:val="FootnoteText"/>
        <w:ind w:firstLine="0"/>
      </w:pPr>
      <w:r w:rsidRPr="00A83EA6">
        <w:t xml:space="preserve">OECD (2025), </w:t>
      </w:r>
      <w:hyperlink r:id="rId335" w:history="1">
        <w:r w:rsidRPr="00A83EA6">
          <w:rPr>
            <w:rStyle w:val="Hyperlink"/>
            <w:i/>
          </w:rPr>
          <w:t>Economic Surveys: Lithuania 2025</w:t>
        </w:r>
      </w:hyperlink>
      <w:r w:rsidRPr="00A83EA6">
        <w:t>.</w:t>
      </w:r>
    </w:p>
  </w:footnote>
  <w:footnote w:id="539">
    <w:p w14:paraId="2A47DD2D" w14:textId="09C07C3F" w:rsidR="00664BE6" w:rsidRPr="00A83EA6" w:rsidRDefault="00664BE6" w:rsidP="00664BE6">
      <w:pPr>
        <w:pStyle w:val="FootnoteText"/>
      </w:pPr>
      <w:r w:rsidRPr="00EA4C9B">
        <w:rPr>
          <w:rStyle w:val="FootnoteReference"/>
        </w:rPr>
        <w:footnoteRef/>
      </w:r>
      <w:r w:rsidRPr="00EA4C9B">
        <w:t xml:space="preserve"> </w:t>
      </w:r>
      <w:r w:rsidR="00321E06">
        <w:tab/>
      </w:r>
      <w:r w:rsidRPr="00A83EA6">
        <w:t xml:space="preserve">OECD (2025), </w:t>
      </w:r>
      <w:hyperlink r:id="rId336" w:history="1">
        <w:r w:rsidRPr="00A83EA6">
          <w:rPr>
            <w:rStyle w:val="Hyperlink"/>
            <w:i/>
          </w:rPr>
          <w:t>Economic Surveys: Lithuania 2025</w:t>
        </w:r>
      </w:hyperlink>
      <w:r w:rsidRPr="00A83EA6">
        <w:t>.</w:t>
      </w:r>
    </w:p>
  </w:footnote>
  <w:footnote w:id="540">
    <w:p w14:paraId="21FCDAD2" w14:textId="386B3130" w:rsidR="00664BE6" w:rsidRPr="00A83EA6" w:rsidRDefault="00664BE6" w:rsidP="00664BE6">
      <w:pPr>
        <w:pStyle w:val="FootnoteText"/>
        <w:rPr>
          <w:i/>
        </w:rPr>
      </w:pPr>
      <w:r w:rsidRPr="00EA4C9B">
        <w:rPr>
          <w:rStyle w:val="FootnoteReference"/>
        </w:rPr>
        <w:footnoteRef/>
      </w:r>
      <w:r w:rsidRPr="00EA4C9B">
        <w:t xml:space="preserve"> </w:t>
      </w:r>
      <w:r w:rsidR="00321E06">
        <w:tab/>
      </w:r>
      <w:r w:rsidRPr="00A83EA6">
        <w:t xml:space="preserve">OECD (2023), </w:t>
      </w:r>
      <w:hyperlink r:id="rId337" w:history="1">
        <w:r w:rsidRPr="00A83EA6">
          <w:rPr>
            <w:rStyle w:val="Hyperlink"/>
            <w:i/>
          </w:rPr>
          <w:t>Reform options for Lithuanian climate neutrality by 2050</w:t>
        </w:r>
      </w:hyperlink>
      <w:r w:rsidRPr="00A83EA6">
        <w:rPr>
          <w:i/>
        </w:rPr>
        <w:t>.</w:t>
      </w:r>
    </w:p>
  </w:footnote>
  <w:footnote w:id="541">
    <w:p w14:paraId="7C636B19" w14:textId="034AD00A" w:rsidR="00664BE6" w:rsidRPr="00EA4C9B" w:rsidRDefault="00664BE6" w:rsidP="00664BE6">
      <w:pPr>
        <w:pStyle w:val="FootnoteText"/>
      </w:pPr>
      <w:r w:rsidRPr="00EA4C9B">
        <w:rPr>
          <w:rStyle w:val="FootnoteReference"/>
        </w:rPr>
        <w:footnoteRef/>
      </w:r>
      <w:r w:rsidRPr="00EA4C9B">
        <w:t xml:space="preserve"> </w:t>
      </w:r>
      <w:r w:rsidR="00321E06">
        <w:tab/>
      </w:r>
      <w:r w:rsidRPr="00A83EA6">
        <w:t xml:space="preserve">OECD (2025), </w:t>
      </w:r>
      <w:hyperlink r:id="rId338" w:history="1">
        <w:r w:rsidRPr="00A83EA6">
          <w:rPr>
            <w:rStyle w:val="Hyperlink"/>
            <w:i/>
          </w:rPr>
          <w:t>Economic Surveys: Lithuania 2025</w:t>
        </w:r>
      </w:hyperlink>
      <w:r w:rsidRPr="00A83EA6">
        <w:t>.</w:t>
      </w:r>
    </w:p>
  </w:footnote>
  <w:footnote w:id="542">
    <w:p w14:paraId="0D10A2DC" w14:textId="77777777" w:rsidR="00664BE6" w:rsidRPr="00EA4C9B" w:rsidRDefault="00664BE6" w:rsidP="00664BE6">
      <w:pPr>
        <w:pStyle w:val="FootnoteText"/>
      </w:pPr>
      <w:r w:rsidRPr="00EA4C9B">
        <w:rPr>
          <w:rStyle w:val="FootnoteReference"/>
        </w:rPr>
        <w:footnoteRef/>
      </w:r>
      <w:r w:rsidRPr="00EA4C9B">
        <w:t xml:space="preserve"> </w:t>
      </w:r>
      <w:r w:rsidRPr="00A83EA6">
        <w:t xml:space="preserve">Ministry of Environment of the Republic of Lithuania (2024), </w:t>
      </w:r>
      <w:hyperlink r:id="rId339" w:history="1">
        <w:r w:rsidRPr="00A83EA6">
          <w:rPr>
            <w:rStyle w:val="Hyperlink"/>
            <w:i/>
          </w:rPr>
          <w:t>Tax changes relevant to packaging manufacturers and importers will come into effect from January 1, 2025</w:t>
        </w:r>
      </w:hyperlink>
      <w:r w:rsidRPr="00A83EA6">
        <w:rPr>
          <w:i/>
        </w:rPr>
        <w:t>.</w:t>
      </w:r>
    </w:p>
  </w:footnote>
  <w:footnote w:id="543">
    <w:p w14:paraId="42D71C1C" w14:textId="77777777" w:rsidR="00630FC4" w:rsidRPr="00EA4C9B" w:rsidRDefault="00630FC4" w:rsidP="00630FC4">
      <w:pPr>
        <w:pStyle w:val="FootnoteText"/>
        <w:rPr>
          <w:sz w:val="18"/>
          <w:szCs w:val="18"/>
        </w:rPr>
      </w:pPr>
      <w:r w:rsidRPr="00D47C4A">
        <w:rPr>
          <w:rStyle w:val="FootnoteReference"/>
        </w:rPr>
        <w:footnoteRef/>
      </w:r>
      <w:r w:rsidRPr="00D47C4A">
        <w:t xml:space="preserve"> </w:t>
      </w:r>
      <w:r>
        <w:tab/>
      </w:r>
      <w:r w:rsidRPr="00D47C4A">
        <w:t xml:space="preserve">Ministry of Finance of the Republic of Lithuania (2025), </w:t>
      </w:r>
      <w:hyperlink r:id="rId340" w:history="1">
        <w:r w:rsidRPr="00D47C4A">
          <w:rPr>
            <w:rStyle w:val="Hyperlink"/>
            <w:i/>
          </w:rPr>
          <w:t>Tax proposal package</w:t>
        </w:r>
      </w:hyperlink>
      <w:r w:rsidRPr="00D47C4A">
        <w:t>.</w:t>
      </w:r>
    </w:p>
  </w:footnote>
  <w:footnote w:id="544">
    <w:p w14:paraId="5244804D" w14:textId="681BBBB0" w:rsidR="00664BE6" w:rsidRPr="00EA4C9B" w:rsidRDefault="00664BE6" w:rsidP="00664BE6">
      <w:pPr>
        <w:pStyle w:val="FootnoteText"/>
      </w:pPr>
      <w:r w:rsidRPr="00EA4C9B">
        <w:rPr>
          <w:rStyle w:val="FootnoteReference"/>
        </w:rPr>
        <w:footnoteRef/>
      </w:r>
      <w:r w:rsidRPr="00EA4C9B">
        <w:t xml:space="preserve"> </w:t>
      </w:r>
      <w:r w:rsidR="00321E06">
        <w:tab/>
      </w:r>
      <w:r w:rsidRPr="00A83EA6">
        <w:t xml:space="preserve">OECD (2023), </w:t>
      </w:r>
      <w:hyperlink r:id="rId341" w:history="1">
        <w:r w:rsidRPr="00A83EA6">
          <w:rPr>
            <w:rStyle w:val="Hyperlink"/>
            <w:i/>
          </w:rPr>
          <w:t>Reform options for Lithuanian climate neutrality by 2050</w:t>
        </w:r>
      </w:hyperlink>
      <w:r w:rsidRPr="00A83EA6">
        <w:rPr>
          <w:i/>
        </w:rPr>
        <w:t>.</w:t>
      </w:r>
    </w:p>
  </w:footnote>
  <w:footnote w:id="545">
    <w:p w14:paraId="28FAF486" w14:textId="77777777" w:rsidR="00664BE6" w:rsidRPr="00D47C4A" w:rsidRDefault="00664BE6" w:rsidP="00664BE6">
      <w:pPr>
        <w:pStyle w:val="FootnoteText"/>
      </w:pPr>
      <w:r w:rsidRPr="00D47C4A">
        <w:rPr>
          <w:rStyle w:val="FootnoteReference"/>
        </w:rPr>
        <w:footnoteRef/>
      </w:r>
      <w:r w:rsidRPr="00D47C4A">
        <w:t xml:space="preserve"> Besusparienė E. (2020), </w:t>
      </w:r>
      <w:hyperlink r:id="rId342" w:history="1">
        <w:r w:rsidRPr="00D47C4A">
          <w:rPr>
            <w:rStyle w:val="Hyperlink"/>
            <w:i/>
          </w:rPr>
          <w:t>Optimization of the tax system combining the interests of family farms and government in agriculture</w:t>
        </w:r>
      </w:hyperlink>
      <w:r w:rsidRPr="00D47C4A">
        <w:rPr>
          <w:i/>
        </w:rPr>
        <w:t>.</w:t>
      </w:r>
    </w:p>
  </w:footnote>
  <w:footnote w:id="546">
    <w:p w14:paraId="3E837765" w14:textId="0AFC47A7" w:rsidR="00664BE6" w:rsidRPr="00EA4C9B" w:rsidRDefault="00664BE6" w:rsidP="00664BE6">
      <w:pPr>
        <w:pStyle w:val="FootnoteText"/>
      </w:pPr>
      <w:r w:rsidRPr="00EA4C9B">
        <w:rPr>
          <w:rStyle w:val="FootnoteReference"/>
        </w:rPr>
        <w:footnoteRef/>
      </w:r>
      <w:r w:rsidRPr="00EA4C9B">
        <w:t xml:space="preserve"> </w:t>
      </w:r>
      <w:r w:rsidR="00321E06">
        <w:tab/>
      </w:r>
      <w:r w:rsidRPr="00D47C4A">
        <w:t xml:space="preserve">OECD (2023), </w:t>
      </w:r>
      <w:hyperlink r:id="rId343" w:history="1">
        <w:r w:rsidRPr="00D47C4A">
          <w:rPr>
            <w:rStyle w:val="Hyperlink"/>
            <w:i/>
          </w:rPr>
          <w:t>Reform options for Lithuanian climate neutrality by 2050</w:t>
        </w:r>
      </w:hyperlink>
      <w:r w:rsidRPr="00EA4C9B">
        <w:t>.</w:t>
      </w:r>
    </w:p>
  </w:footnote>
  <w:footnote w:id="547">
    <w:p w14:paraId="548838CE" w14:textId="0B558DB0" w:rsidR="00664BE6" w:rsidRPr="00D47C4A" w:rsidRDefault="00664BE6" w:rsidP="00664BE6">
      <w:pPr>
        <w:pStyle w:val="FootnoteText"/>
      </w:pPr>
      <w:r w:rsidRPr="00D47C4A">
        <w:rPr>
          <w:rStyle w:val="FootnoteReference"/>
        </w:rPr>
        <w:footnoteRef/>
      </w:r>
      <w:r w:rsidRPr="00D47C4A">
        <w:t xml:space="preserve"> </w:t>
      </w:r>
      <w:r w:rsidR="00321E06">
        <w:tab/>
      </w:r>
      <w:r w:rsidRPr="00D47C4A">
        <w:t>European Commission (2016), </w:t>
      </w:r>
      <w:hyperlink r:id="rId344" w:history="1">
        <w:r w:rsidRPr="00D47C4A">
          <w:rPr>
            <w:rStyle w:val="Hyperlink"/>
            <w:i/>
          </w:rPr>
          <w:t>Study on assessing the environmental fiscal reform potential for the EU28</w:t>
        </w:r>
      </w:hyperlink>
      <w:r w:rsidRPr="00D47C4A">
        <w:t>. </w:t>
      </w:r>
    </w:p>
  </w:footnote>
  <w:footnote w:id="548">
    <w:p w14:paraId="31D9D520" w14:textId="179CDE6C" w:rsidR="00B4652E" w:rsidRPr="00996C35" w:rsidRDefault="00B4652E" w:rsidP="00B4652E">
      <w:pPr>
        <w:pStyle w:val="FootnoteText"/>
        <w:rPr>
          <w:lang w:val="en-US"/>
        </w:rPr>
      </w:pPr>
      <w:r>
        <w:rPr>
          <w:rStyle w:val="FootnoteReference"/>
        </w:rPr>
        <w:footnoteRef/>
      </w:r>
      <w:r>
        <w:t xml:space="preserve"> </w:t>
      </w:r>
      <w:r>
        <w:tab/>
      </w:r>
      <w:r w:rsidRPr="00E81F1C">
        <w:t xml:space="preserve">The comparison is expressed in real terms, meaning that figures are adjusted for inflation. The </w:t>
      </w:r>
      <w:r>
        <w:t>3</w:t>
      </w:r>
      <w:r w:rsidRPr="00E81F1C">
        <w:t>.</w:t>
      </w:r>
      <w:r>
        <w:t>1</w:t>
      </w:r>
      <w:r w:rsidRPr="00E81F1C">
        <w:t>% increase refers to growth in constant prices over 2009–2023.</w:t>
      </w:r>
    </w:p>
  </w:footnote>
  <w:footnote w:id="549">
    <w:p w14:paraId="5D204F8B" w14:textId="42D573B4" w:rsidR="00664BE6" w:rsidRPr="00EA4C9B" w:rsidRDefault="00664BE6" w:rsidP="00664BE6">
      <w:pPr>
        <w:spacing w:after="0"/>
        <w:rPr>
          <w:rFonts w:ascii="Calibri" w:eastAsia="Calibri" w:hAnsi="Calibri" w:cs="Calibri"/>
        </w:rPr>
      </w:pPr>
      <w:r w:rsidRPr="00217CFC">
        <w:rPr>
          <w:rStyle w:val="FootnoteReference"/>
          <w:sz w:val="20"/>
          <w:szCs w:val="20"/>
        </w:rPr>
        <w:footnoteRef/>
      </w:r>
      <w:r w:rsidRPr="00EA4C9B">
        <w:rPr>
          <w:rStyle w:val="FootnoteReference"/>
          <w:sz w:val="20"/>
          <w:szCs w:val="20"/>
        </w:rPr>
        <w:t xml:space="preserve"> </w:t>
      </w:r>
      <w:r>
        <w:rPr>
          <w:sz w:val="20"/>
          <w:szCs w:val="20"/>
        </w:rPr>
        <w:t xml:space="preserve"> </w:t>
      </w:r>
      <w:hyperlink r:id="rId345" w:tgtFrame="_blank" w:history="1">
        <w:r w:rsidRPr="00EA4C9B">
          <w:rPr>
            <w:rStyle w:val="Hyperlink"/>
            <w:sz w:val="20"/>
            <w:szCs w:val="20"/>
          </w:rPr>
          <w:t>[env_ac_taxind2] Environmental taxes by economic activity (NACE Rev. 2)</w:t>
        </w:r>
      </w:hyperlink>
    </w:p>
  </w:footnote>
  <w:footnote w:id="550">
    <w:p w14:paraId="3B986395" w14:textId="11C4AA91" w:rsidR="00664BE6" w:rsidRPr="00EA4C9B" w:rsidRDefault="00664BE6" w:rsidP="00664BE6">
      <w:pPr>
        <w:pStyle w:val="FootnoteText"/>
      </w:pPr>
      <w:r w:rsidRPr="00EA4C9B">
        <w:rPr>
          <w:rStyle w:val="FootnoteReference"/>
        </w:rPr>
        <w:footnoteRef/>
      </w:r>
      <w:r w:rsidRPr="00C305AC">
        <w:rPr>
          <w:lang w:val="fr-BE"/>
        </w:rPr>
        <w:t xml:space="preserve"> </w:t>
      </w:r>
      <w:r w:rsidR="00321E06" w:rsidRPr="00C305AC">
        <w:rPr>
          <w:lang w:val="fr-BE"/>
        </w:rPr>
        <w:tab/>
      </w:r>
      <w:hyperlink r:id="rId346" w:history="1">
        <w:r w:rsidRPr="00C305AC">
          <w:rPr>
            <w:rStyle w:val="Hyperlink"/>
            <w:lang w:val="fr-BE"/>
          </w:rPr>
          <w:t xml:space="preserve">Version consolidée applicable au 01/01/2025 : L... </w:t>
        </w:r>
        <w:r w:rsidRPr="00EA4C9B">
          <w:rPr>
            <w:rStyle w:val="Hyperlink"/>
          </w:rPr>
          <w:t>- Legilux</w:t>
        </w:r>
      </w:hyperlink>
    </w:p>
  </w:footnote>
  <w:footnote w:id="551">
    <w:p w14:paraId="60312E08" w14:textId="40D03EEA" w:rsidR="00664BE6" w:rsidRPr="00EA4C9B" w:rsidRDefault="00664BE6" w:rsidP="00664BE6">
      <w:pPr>
        <w:pStyle w:val="FootnoteText"/>
      </w:pPr>
      <w:r w:rsidRPr="00EA4C9B">
        <w:rPr>
          <w:rStyle w:val="FootnoteReference"/>
        </w:rPr>
        <w:footnoteRef/>
      </w:r>
      <w:r w:rsidRPr="00EA4C9B">
        <w:t xml:space="preserve"> </w:t>
      </w:r>
      <w:r w:rsidR="00321E06">
        <w:tab/>
      </w:r>
      <w:hyperlink r:id="rId347">
        <w:r w:rsidRPr="00EA4C9B">
          <w:rPr>
            <w:rStyle w:val="Hyperlink"/>
          </w:rPr>
          <w:t>Study on assessing the environmental fiscal reform potential for the EU28 - Publications Office of the EU</w:t>
        </w:r>
      </w:hyperlink>
    </w:p>
  </w:footnote>
  <w:footnote w:id="552">
    <w:p w14:paraId="59BFE01E" w14:textId="100A605E" w:rsidR="00664BE6" w:rsidRPr="00EA4C9B" w:rsidRDefault="00664BE6" w:rsidP="00664BE6">
      <w:pPr>
        <w:pStyle w:val="FootnoteText"/>
      </w:pPr>
      <w:r w:rsidRPr="00EA4C9B">
        <w:rPr>
          <w:rStyle w:val="FootnoteReference"/>
        </w:rPr>
        <w:footnoteRef/>
      </w:r>
      <w:r w:rsidRPr="00EA4C9B">
        <w:t xml:space="preserve"> </w:t>
      </w:r>
      <w:r w:rsidR="00321E06">
        <w:tab/>
      </w:r>
      <w:hyperlink r:id="rId348">
        <w:r w:rsidRPr="00EA4C9B">
          <w:rPr>
            <w:rStyle w:val="Hyperlink"/>
          </w:rPr>
          <w:t>Study on assessing the environmental fiscal reform potential for the EU28 - Publications Office of the EU</w:t>
        </w:r>
      </w:hyperlink>
    </w:p>
  </w:footnote>
  <w:footnote w:id="553">
    <w:p w14:paraId="3105B85D" w14:textId="791FA2F4" w:rsidR="00664BE6" w:rsidRPr="00EA4C9B" w:rsidRDefault="00664BE6" w:rsidP="00664BE6">
      <w:pPr>
        <w:pStyle w:val="FootnoteText"/>
      </w:pPr>
      <w:r w:rsidRPr="00EA4C9B">
        <w:rPr>
          <w:rStyle w:val="FootnoteReference"/>
        </w:rPr>
        <w:footnoteRef/>
      </w:r>
      <w:r w:rsidRPr="00EA4C9B">
        <w:t xml:space="preserve"> </w:t>
      </w:r>
      <w:r w:rsidR="00321E06">
        <w:tab/>
      </w:r>
      <w:hyperlink r:id="rId349" w:anchor=":~:text=Revenues%20from%20environmental%20taxes%20also,%27%20(EC%2C%202019)." w:tgtFrame="_blank" w:history="1">
        <w:r w:rsidRPr="00EA4C9B">
          <w:rPr>
            <w:rStyle w:val="Hyperlink"/>
          </w:rPr>
          <w:t>The role of (environmental) taxation in supporting sustainability transitions — European Environment Agency</w:t>
        </w:r>
      </w:hyperlink>
    </w:p>
  </w:footnote>
  <w:footnote w:id="554">
    <w:p w14:paraId="437E9CFB" w14:textId="4DBB5C4E" w:rsidR="00664BE6" w:rsidRPr="00EA4C9B" w:rsidRDefault="00664BE6" w:rsidP="00664BE6">
      <w:pPr>
        <w:pStyle w:val="FootnoteText"/>
      </w:pPr>
      <w:r w:rsidRPr="00EA4C9B">
        <w:rPr>
          <w:rStyle w:val="FootnoteReference"/>
        </w:rPr>
        <w:footnoteRef/>
      </w:r>
      <w:r w:rsidRPr="00EA4C9B">
        <w:t xml:space="preserve"> </w:t>
      </w:r>
      <w:r w:rsidR="00321E06">
        <w:tab/>
      </w:r>
      <w:r w:rsidRPr="00EA4C9B">
        <w:t>These numbers are calculated using data on environmental taxes (</w:t>
      </w:r>
      <w:hyperlink r:id="rId350" w:tgtFrame="_blank" w:tooltip="https://ec.europa.eu/eurostat/databrowser/view/env_ac_taxind2/default/table?lang=en" w:history="1">
        <w:r w:rsidRPr="00EA4C9B">
          <w:rPr>
            <w:rStyle w:val="Hyperlink"/>
          </w:rPr>
          <w:t>[env_ac_taxind2] Environmental taxes by economic activity (NACE Rev. 2)</w:t>
        </w:r>
      </w:hyperlink>
      <w:r w:rsidRPr="00EA4C9B">
        <w:t>) and total tax revenue and social contributions (</w:t>
      </w:r>
      <w:hyperlink r:id="rId351" w:tgtFrame="_blank" w:tooltip="https://ec.europa.eu/eurostat/databrowser/view/gov_10a_taxag__custom_16484745/default/table?lang=en" w:history="1">
        <w:r w:rsidRPr="00EA4C9B">
          <w:rPr>
            <w:rStyle w:val="Hyperlink"/>
          </w:rPr>
          <w:t>[gov_10a_taxag] Main national accounts tax aggregates</w:t>
        </w:r>
      </w:hyperlink>
      <w:r w:rsidRPr="00EA4C9B">
        <w:t>)</w:t>
      </w:r>
    </w:p>
  </w:footnote>
  <w:footnote w:id="555">
    <w:p w14:paraId="6B5910D0" w14:textId="42A6AEA4" w:rsidR="00664BE6" w:rsidRPr="00EA4C9B" w:rsidRDefault="00664BE6" w:rsidP="00664BE6">
      <w:pPr>
        <w:pStyle w:val="FootnoteText"/>
      </w:pPr>
      <w:r w:rsidRPr="00EA4C9B">
        <w:rPr>
          <w:rStyle w:val="FootnoteReference"/>
        </w:rPr>
        <w:footnoteRef/>
      </w:r>
      <w:r w:rsidRPr="00EA4C9B">
        <w:t xml:space="preserve"> </w:t>
      </w:r>
      <w:r w:rsidRPr="00EA4C9B">
        <w:tab/>
      </w:r>
      <w:hyperlink r:id="rId352" w:history="1">
        <w:r w:rsidR="00321E06" w:rsidRPr="00EC31B9">
          <w:rPr>
            <w:rStyle w:val="Hyperlink"/>
          </w:rPr>
          <w:t>https://economy-finance.ec.europa.eu/document/download/4288d41f-8809-4418-b398-c01668fca3ba_en?filename=LU_CR_SWD_2025_216_1_EN_autre_document_travail_service_part1_v4.pdf</w:t>
        </w:r>
      </w:hyperlink>
    </w:p>
  </w:footnote>
  <w:footnote w:id="556">
    <w:p w14:paraId="52E6EE47" w14:textId="6CD1C7C7" w:rsidR="00664BE6" w:rsidRPr="00EA4C9B" w:rsidRDefault="00664BE6" w:rsidP="00664BE6">
      <w:pPr>
        <w:pStyle w:val="FootnoteText"/>
      </w:pPr>
      <w:r w:rsidRPr="00EA4C9B">
        <w:rPr>
          <w:rStyle w:val="FootnoteReference"/>
        </w:rPr>
        <w:footnoteRef/>
      </w:r>
      <w:r w:rsidRPr="00EA4C9B">
        <w:t xml:space="preserve"> </w:t>
      </w:r>
      <w:r w:rsidRPr="00EA4C9B">
        <w:tab/>
      </w:r>
      <w:hyperlink r:id="rId353" w:history="1">
        <w:r w:rsidRPr="00EA4C9B">
          <w:rPr>
            <w:rStyle w:val="Hyperlink"/>
          </w:rPr>
          <w:t>https://economy-finance.ec.europa.eu/document/download/4288d41f-8809-4418-b398-c01668fca3ba_en?filename=LU_CR_SWD_2025_216_1_EN_autre_document_travail_service_part1_v4.pdf</w:t>
        </w:r>
      </w:hyperlink>
    </w:p>
  </w:footnote>
  <w:footnote w:id="557">
    <w:p w14:paraId="41905B30" w14:textId="738E7A16" w:rsidR="007E509C" w:rsidRPr="00BA7936" w:rsidRDefault="007E509C">
      <w:pPr>
        <w:pStyle w:val="FootnoteText"/>
        <w:rPr>
          <w:lang w:val="it-IT"/>
        </w:rPr>
      </w:pPr>
      <w:r>
        <w:rPr>
          <w:rStyle w:val="FootnoteReference"/>
        </w:rPr>
        <w:footnoteRef/>
      </w:r>
      <w:r>
        <w:t xml:space="preserve"> </w:t>
      </w:r>
      <w:r w:rsidR="007B4747" w:rsidRPr="007B4747">
        <w:rPr>
          <w:i/>
          <w:iCs/>
        </w:rPr>
        <w:t>Luxembourg, 2025 EU waste recycling targets – State of play</w:t>
      </w:r>
      <w:r w:rsidR="007B4747" w:rsidRPr="007B4747">
        <w:t>, Publications Office of the European Union, 2023, </w:t>
      </w:r>
      <w:hyperlink r:id="rId354" w:tgtFrame="_blank" w:history="1">
        <w:r w:rsidR="007B4747" w:rsidRPr="00BA7936">
          <w:rPr>
            <w:rStyle w:val="Hyperlink"/>
          </w:rPr>
          <w:t>https://data.europa.eu/doi/10.2779/940903</w:t>
        </w:r>
      </w:hyperlink>
    </w:p>
  </w:footnote>
  <w:footnote w:id="558">
    <w:p w14:paraId="4B8050D8" w14:textId="77777777" w:rsidR="00930071" w:rsidRPr="00EA4C9B" w:rsidRDefault="00930071" w:rsidP="00930071">
      <w:pPr>
        <w:pStyle w:val="FootnoteText"/>
      </w:pPr>
      <w:r w:rsidRPr="00EA4C9B">
        <w:rPr>
          <w:rStyle w:val="FootnoteReference"/>
        </w:rPr>
        <w:footnoteRef/>
      </w:r>
      <w:r w:rsidRPr="00EA4C9B">
        <w:t xml:space="preserve"> </w:t>
      </w:r>
      <w:r>
        <w:tab/>
      </w:r>
      <w:hyperlink r:id="rId355">
        <w:r w:rsidRPr="00EA4C9B">
          <w:rPr>
            <w:rStyle w:val="Hyperlink"/>
          </w:rPr>
          <w:t>Study on assessing the environmental fiscal reform potential for the EU28 - Publications Office of the EU</w:t>
        </w:r>
      </w:hyperlink>
    </w:p>
  </w:footnote>
  <w:footnote w:id="559">
    <w:p w14:paraId="0C8F89D6" w14:textId="593BB69B" w:rsidR="00556259" w:rsidRPr="00E81F1C" w:rsidRDefault="00556259" w:rsidP="00556259">
      <w:pPr>
        <w:pStyle w:val="FootnoteText"/>
        <w:rPr>
          <w:lang w:val="en-US"/>
        </w:rPr>
      </w:pPr>
      <w:r>
        <w:rPr>
          <w:rStyle w:val="FootnoteReference"/>
        </w:rPr>
        <w:footnoteRef/>
      </w:r>
      <w:r>
        <w:t xml:space="preserve"> </w:t>
      </w:r>
      <w:r>
        <w:tab/>
      </w:r>
      <w:r w:rsidRPr="00D07296">
        <w:t xml:space="preserve">The comparison is expressed in real terms, meaning that figures are adjusted for inflation. The </w:t>
      </w:r>
      <w:r>
        <w:t>5</w:t>
      </w:r>
      <w:r w:rsidRPr="00D07296">
        <w:t>7.</w:t>
      </w:r>
      <w:r>
        <w:t>2</w:t>
      </w:r>
      <w:r w:rsidRPr="00D07296">
        <w:t>%    increase refers to growth in constant prices over 2009–2023.</w:t>
      </w:r>
    </w:p>
  </w:footnote>
  <w:footnote w:id="560">
    <w:p w14:paraId="6C5090F5" w14:textId="6997B772" w:rsidR="00664BE6" w:rsidRPr="00FA4E41" w:rsidRDefault="00664BE6" w:rsidP="00321E06">
      <w:pPr>
        <w:pStyle w:val="FootnoteText"/>
        <w:jc w:val="left"/>
      </w:pPr>
      <w:r w:rsidRPr="00FA4E41">
        <w:rPr>
          <w:rStyle w:val="FootnoteReference"/>
        </w:rPr>
        <w:footnoteRef/>
      </w:r>
      <w:r w:rsidRPr="00FA4E41">
        <w:t xml:space="preserve"> </w:t>
      </w:r>
      <w:r w:rsidR="00321E06">
        <w:tab/>
      </w:r>
      <w:hyperlink r:id="rId356" w:history="1">
        <w:r w:rsidR="00321E06" w:rsidRPr="00EC31B9">
          <w:rPr>
            <w:rStyle w:val="Hyperlink"/>
          </w:rPr>
          <w:t>https://www.centralbankmalta.org/site/Publications/Economic%20Research/2022/Fiscal-policy-role-climate-change.pdf?revcount=4984</w:t>
        </w:r>
      </w:hyperlink>
      <w:r w:rsidRPr="00FA4E41">
        <w:t xml:space="preserve"> and </w:t>
      </w:r>
      <w:hyperlink r:id="rId357" w:history="1">
        <w:r w:rsidRPr="00FA4E41">
          <w:rPr>
            <w:rStyle w:val="Hyperlink"/>
          </w:rPr>
          <w:t>https://nso.gov.mt/wp-content/uploads/NR-2023-193-Table-5.ods</w:t>
        </w:r>
      </w:hyperlink>
    </w:p>
  </w:footnote>
  <w:footnote w:id="561">
    <w:p w14:paraId="69D5FE83" w14:textId="5ECC98B2" w:rsidR="00664BE6" w:rsidRPr="00FA4E41" w:rsidRDefault="00664BE6" w:rsidP="00664BE6">
      <w:pPr>
        <w:pStyle w:val="FootnoteText"/>
      </w:pPr>
      <w:r w:rsidRPr="00FA4E41">
        <w:rPr>
          <w:rStyle w:val="FootnoteReference"/>
        </w:rPr>
        <w:footnoteRef/>
      </w:r>
      <w:r w:rsidRPr="00FA4E41">
        <w:t xml:space="preserve"> </w:t>
      </w:r>
      <w:r w:rsidR="00321E06">
        <w:tab/>
      </w:r>
      <w:hyperlink r:id="rId358" w:history="1">
        <w:r w:rsidR="00321E06" w:rsidRPr="00EC31B9">
          <w:rPr>
            <w:rStyle w:val="Hyperlink"/>
          </w:rPr>
          <w:t>https://cfr.gov.mt/en/vat/eco_information/Documents/02.%20ECO%20contributiion%20act.pdf</w:t>
        </w:r>
      </w:hyperlink>
      <w:r w:rsidRPr="00FA4E41">
        <w:t xml:space="preserve"> </w:t>
      </w:r>
    </w:p>
  </w:footnote>
  <w:footnote w:id="562">
    <w:p w14:paraId="5191DD00" w14:textId="74EC7A48" w:rsidR="00664BE6" w:rsidRPr="00FA4E41" w:rsidRDefault="00664BE6" w:rsidP="00321E06">
      <w:pPr>
        <w:pStyle w:val="FootnoteText"/>
        <w:jc w:val="left"/>
      </w:pPr>
      <w:r w:rsidRPr="00FA4E41">
        <w:rPr>
          <w:rStyle w:val="FootnoteReference"/>
        </w:rPr>
        <w:footnoteRef/>
      </w:r>
      <w:r w:rsidR="00321E06">
        <w:t xml:space="preserve"> </w:t>
      </w:r>
      <w:r w:rsidR="00321E06">
        <w:tab/>
      </w:r>
      <w:hyperlink r:id="rId359" w:history="1">
        <w:r w:rsidR="00321E06" w:rsidRPr="00EC31B9">
          <w:rPr>
            <w:rStyle w:val="Hyperlink"/>
          </w:rPr>
          <w:t>https://cfr.gov.mt/en/vat/eco_information/Documents/11.%20Eco%20Contribution%20Presentation%20-%20December%202009.pdf</w:t>
        </w:r>
      </w:hyperlink>
      <w:r w:rsidRPr="00FA4E41">
        <w:t xml:space="preserve"> </w:t>
      </w:r>
    </w:p>
  </w:footnote>
  <w:footnote w:id="563">
    <w:p w14:paraId="63D83B0A" w14:textId="3237BFA2" w:rsidR="00664BE6" w:rsidRPr="00FA4E41" w:rsidRDefault="00664BE6" w:rsidP="00664BE6">
      <w:pPr>
        <w:pStyle w:val="FootnoteText"/>
      </w:pPr>
      <w:r w:rsidRPr="00FA4E41">
        <w:rPr>
          <w:rStyle w:val="FootnoteReference"/>
        </w:rPr>
        <w:footnoteRef/>
      </w:r>
      <w:r w:rsidRPr="00FA4E41">
        <w:t xml:space="preserve"> </w:t>
      </w:r>
      <w:r w:rsidR="00321E06">
        <w:tab/>
      </w:r>
      <w:hyperlink r:id="rId360" w:history="1">
        <w:r w:rsidR="00321E06" w:rsidRPr="00EC31B9">
          <w:rPr>
            <w:rStyle w:val="Hyperlink"/>
          </w:rPr>
          <w:t>https://cfr.gov.mt/en/vat/eco_information/Pages/Legislation-and-General-Information.aspx</w:t>
        </w:r>
      </w:hyperlink>
      <w:r w:rsidRPr="00FA4E41">
        <w:t xml:space="preserve"> </w:t>
      </w:r>
    </w:p>
  </w:footnote>
  <w:footnote w:id="564">
    <w:p w14:paraId="795DDA00" w14:textId="67C48690" w:rsidR="00664BE6" w:rsidRPr="00FA4E41" w:rsidRDefault="00664BE6" w:rsidP="00664BE6">
      <w:pPr>
        <w:pStyle w:val="FootnoteText"/>
      </w:pPr>
      <w:r w:rsidRPr="00FA4E41">
        <w:rPr>
          <w:rStyle w:val="FootnoteReference"/>
        </w:rPr>
        <w:footnoteRef/>
      </w:r>
      <w:r w:rsidRPr="00FA4E41">
        <w:t xml:space="preserve"> </w:t>
      </w:r>
      <w:r w:rsidR="00321E06">
        <w:tab/>
      </w:r>
      <w:hyperlink r:id="rId361" w:history="1">
        <w:r w:rsidR="00321E06" w:rsidRPr="00EC31B9">
          <w:rPr>
            <w:rStyle w:val="Hyperlink"/>
          </w:rPr>
          <w:t>https://www.maltatoday.com.mt/environment/environment/27102/eco-contribution-should-be-abolished-malta-chamber-20130527</w:t>
        </w:r>
      </w:hyperlink>
      <w:r w:rsidRPr="00FA4E41">
        <w:t xml:space="preserve"> </w:t>
      </w:r>
    </w:p>
  </w:footnote>
  <w:footnote w:id="565">
    <w:p w14:paraId="20813D5E" w14:textId="521620D0" w:rsidR="00664BE6" w:rsidRPr="00FA4E41" w:rsidRDefault="00664BE6" w:rsidP="00664BE6">
      <w:pPr>
        <w:pStyle w:val="FootnoteText"/>
      </w:pPr>
      <w:r w:rsidRPr="00FA4E41">
        <w:rPr>
          <w:rStyle w:val="FootnoteReference"/>
        </w:rPr>
        <w:footnoteRef/>
      </w:r>
      <w:r w:rsidRPr="00FA4E41">
        <w:t xml:space="preserve"> </w:t>
      </w:r>
      <w:r w:rsidR="00321E06">
        <w:tab/>
      </w:r>
      <w:hyperlink r:id="rId362" w:history="1">
        <w:r w:rsidR="00321E06" w:rsidRPr="00EC31B9">
          <w:rPr>
            <w:rStyle w:val="Hyperlink"/>
          </w:rPr>
          <w:t>https://www.smechamber.mt/excise-duty-on-plastic-bags-sacks-cones-films-sheets-or-tubes/</w:t>
        </w:r>
      </w:hyperlink>
      <w:r w:rsidRPr="00FA4E41">
        <w:t xml:space="preserve"> </w:t>
      </w:r>
    </w:p>
  </w:footnote>
  <w:footnote w:id="566">
    <w:p w14:paraId="191C134C" w14:textId="66992906" w:rsidR="00664BE6" w:rsidRPr="00FA4E41" w:rsidRDefault="00664BE6" w:rsidP="00321E06">
      <w:pPr>
        <w:pStyle w:val="FootnoteText"/>
        <w:jc w:val="left"/>
      </w:pPr>
      <w:r w:rsidRPr="00FA4E41">
        <w:rPr>
          <w:rStyle w:val="FootnoteReference"/>
        </w:rPr>
        <w:footnoteRef/>
      </w:r>
      <w:r w:rsidRPr="00FA4E41">
        <w:t xml:space="preserve"> </w:t>
      </w:r>
      <w:r w:rsidR="00321E06">
        <w:t xml:space="preserve"> </w:t>
      </w:r>
      <w:hyperlink r:id="rId363" w:history="1">
        <w:r w:rsidR="00321E06" w:rsidRPr="00EC31B9">
          <w:rPr>
            <w:rStyle w:val="Hyperlink"/>
          </w:rPr>
          <w:t>https://era.org.mt/press-releases/waste-from-electrical-and-electronic-equipment-obligations-have-been-in-force-in-malta-since-2007/</w:t>
        </w:r>
      </w:hyperlink>
      <w:r w:rsidRPr="00FA4E41">
        <w:t xml:space="preserve"> </w:t>
      </w:r>
    </w:p>
  </w:footnote>
  <w:footnote w:id="567">
    <w:p w14:paraId="651CFD69" w14:textId="594036D1" w:rsidR="00664BE6" w:rsidRPr="00FA4E41" w:rsidRDefault="00664BE6" w:rsidP="00321E06">
      <w:pPr>
        <w:pStyle w:val="FootnoteText"/>
        <w:jc w:val="left"/>
      </w:pPr>
      <w:r w:rsidRPr="00FA4E41">
        <w:rPr>
          <w:rStyle w:val="FootnoteReference"/>
        </w:rPr>
        <w:footnoteRef/>
      </w:r>
      <w:r w:rsidR="00321E06">
        <w:t xml:space="preserve"> </w:t>
      </w:r>
      <w:r w:rsidR="00321E06">
        <w:tab/>
      </w:r>
      <w:hyperlink r:id="rId364" w:history="1">
        <w:r w:rsidR="00321E06" w:rsidRPr="00EC31B9">
          <w:rPr>
            <w:rStyle w:val="Hyperlink"/>
          </w:rPr>
          <w:t>https://tvmnews.mt/en/news/customs-explains-that-no-new-excise-duty-introduced-on-washing-up-products/</w:t>
        </w:r>
      </w:hyperlink>
      <w:r w:rsidRPr="00FA4E41">
        <w:t xml:space="preserve"> </w:t>
      </w:r>
    </w:p>
  </w:footnote>
  <w:footnote w:id="568">
    <w:p w14:paraId="243284D4" w14:textId="666E2393" w:rsidR="00664BE6" w:rsidRPr="00FA4E41" w:rsidRDefault="00664BE6" w:rsidP="00664BE6">
      <w:pPr>
        <w:pStyle w:val="FootnoteText"/>
      </w:pPr>
      <w:r w:rsidRPr="00FA4E41">
        <w:rPr>
          <w:rStyle w:val="FootnoteReference"/>
        </w:rPr>
        <w:footnoteRef/>
      </w:r>
      <w:r w:rsidRPr="00FA4E41">
        <w:t xml:space="preserve"> </w:t>
      </w:r>
      <w:r w:rsidR="00321E06">
        <w:tab/>
      </w:r>
      <w:hyperlink r:id="rId365" w:history="1">
        <w:r w:rsidR="00321E06" w:rsidRPr="00EC31B9">
          <w:rPr>
            <w:rStyle w:val="Hyperlink"/>
          </w:rPr>
          <w:t>https://www.mta.com.mt/en/environmental-contribution</w:t>
        </w:r>
      </w:hyperlink>
      <w:r w:rsidRPr="00FA4E41">
        <w:t xml:space="preserve"> </w:t>
      </w:r>
    </w:p>
  </w:footnote>
  <w:footnote w:id="569">
    <w:p w14:paraId="411E9122" w14:textId="0D8DD4D0" w:rsidR="00664BE6" w:rsidRPr="00FA4E41" w:rsidRDefault="00664BE6" w:rsidP="00321E06">
      <w:pPr>
        <w:pStyle w:val="FootnoteText"/>
        <w:jc w:val="left"/>
      </w:pPr>
      <w:r w:rsidRPr="00FA4E41">
        <w:rPr>
          <w:rStyle w:val="FootnoteReference"/>
        </w:rPr>
        <w:footnoteRef/>
      </w:r>
      <w:r w:rsidR="00321E06">
        <w:t xml:space="preserve"> </w:t>
      </w:r>
      <w:r w:rsidR="009B66E3">
        <w:tab/>
      </w:r>
      <w:hyperlink r:id="rId366" w:anchor="/tax-details?taxId=421&amp;versionDate=1577833200&amp;isEuro=true&amp;taxType=OTHER_INDIRECT" w:history="1">
        <w:r w:rsidR="009B66E3" w:rsidRPr="00EC31B9">
          <w:rPr>
            <w:rStyle w:val="Hyperlink"/>
          </w:rPr>
          <w:t>https://ec.europa.eu/taxation_customs/tedb/#/tax-details?taxId=421&amp;versionDate=1577833200&amp;isEuro=true&amp;taxType=OTHER_INDIRECT</w:t>
        </w:r>
      </w:hyperlink>
      <w:r w:rsidRPr="00FA4E41">
        <w:t xml:space="preserve"> </w:t>
      </w:r>
    </w:p>
  </w:footnote>
  <w:footnote w:id="570">
    <w:p w14:paraId="4CB29034" w14:textId="2F94C6DB" w:rsidR="00664BE6" w:rsidRPr="00FA4E41" w:rsidRDefault="00664BE6" w:rsidP="009B66E3">
      <w:pPr>
        <w:pStyle w:val="FootnoteText"/>
        <w:jc w:val="left"/>
      </w:pPr>
      <w:r w:rsidRPr="00FA4E41">
        <w:rPr>
          <w:rStyle w:val="FootnoteReference"/>
        </w:rPr>
        <w:footnoteRef/>
      </w:r>
      <w:r w:rsidR="009B66E3">
        <w:t xml:space="preserve"> </w:t>
      </w:r>
      <w:r w:rsidR="009B66E3">
        <w:tab/>
      </w:r>
      <w:hyperlink r:id="rId367" w:history="1">
        <w:r w:rsidR="009B66E3" w:rsidRPr="00EC31B9">
          <w:rPr>
            <w:rStyle w:val="Hyperlink"/>
          </w:rPr>
          <w:t>https://www.independent.com.mt/articles/2010-10-27/local-news/%E2%82%AC9-Excise-duty-on-cement-will-make-things-difficult-%E2%80%93-Developers%E2%80%99-Association-282313</w:t>
        </w:r>
      </w:hyperlink>
      <w:r w:rsidRPr="00FA4E41">
        <w:t xml:space="preserve"> </w:t>
      </w:r>
    </w:p>
  </w:footnote>
  <w:footnote w:id="571">
    <w:p w14:paraId="79530656" w14:textId="61BEE9C2" w:rsidR="00664BE6" w:rsidRPr="00FA4E41" w:rsidRDefault="00664BE6" w:rsidP="00664BE6">
      <w:pPr>
        <w:pStyle w:val="FootnoteText"/>
      </w:pPr>
      <w:r w:rsidRPr="00FA4E41">
        <w:rPr>
          <w:rStyle w:val="FootnoteReference"/>
        </w:rPr>
        <w:footnoteRef/>
      </w:r>
      <w:r w:rsidRPr="00FA4E41">
        <w:t xml:space="preserve"> </w:t>
      </w:r>
      <w:r w:rsidR="009B66E3">
        <w:tab/>
      </w:r>
      <w:hyperlink r:id="rId368" w:history="1">
        <w:r w:rsidR="009B66E3" w:rsidRPr="00EC31B9">
          <w:rPr>
            <w:rStyle w:val="Hyperlink"/>
          </w:rPr>
          <w:t>https://timesofmalta.com/article/new-tax-on-cement.333025</w:t>
        </w:r>
      </w:hyperlink>
      <w:r w:rsidRPr="00FA4E41">
        <w:t xml:space="preserve"> </w:t>
      </w:r>
    </w:p>
  </w:footnote>
  <w:footnote w:id="572">
    <w:p w14:paraId="0126FD38" w14:textId="14BCC6F5" w:rsidR="00664BE6" w:rsidRPr="00FA4E41" w:rsidRDefault="00664BE6" w:rsidP="00664BE6">
      <w:pPr>
        <w:pStyle w:val="FootnoteText"/>
      </w:pPr>
      <w:r w:rsidRPr="00FA4E41">
        <w:rPr>
          <w:rStyle w:val="FootnoteReference"/>
        </w:rPr>
        <w:footnoteRef/>
      </w:r>
      <w:r w:rsidRPr="00FA4E41">
        <w:t xml:space="preserve"> </w:t>
      </w:r>
      <w:r w:rsidR="009B66E3">
        <w:tab/>
      </w:r>
      <w:hyperlink r:id="rId369" w:history="1">
        <w:r w:rsidR="009B66E3" w:rsidRPr="00EC31B9">
          <w:rPr>
            <w:rStyle w:val="Hyperlink"/>
          </w:rPr>
          <w:t>https://legislation.mt/eli/cap/382/20240301/eng</w:t>
        </w:r>
      </w:hyperlink>
      <w:r w:rsidRPr="00FA4E41">
        <w:t xml:space="preserve"> </w:t>
      </w:r>
    </w:p>
  </w:footnote>
  <w:footnote w:id="573">
    <w:p w14:paraId="4FCCF714" w14:textId="2929625F" w:rsidR="00664BE6" w:rsidRPr="00FA4E41" w:rsidRDefault="00664BE6" w:rsidP="00664BE6">
      <w:pPr>
        <w:pStyle w:val="FootnoteText"/>
      </w:pPr>
      <w:r w:rsidRPr="00FA4E41">
        <w:rPr>
          <w:rStyle w:val="FootnoteReference"/>
        </w:rPr>
        <w:footnoteRef/>
      </w:r>
      <w:r w:rsidRPr="00FA4E41">
        <w:t xml:space="preserve"> </w:t>
      </w:r>
      <w:r w:rsidR="009B66E3">
        <w:tab/>
      </w:r>
      <w:r w:rsidRPr="00FA4E41">
        <w:t xml:space="preserve">Data from </w:t>
      </w:r>
      <w:hyperlink r:id="rId370" w:history="1">
        <w:r w:rsidRPr="00FA4E41">
          <w:rPr>
            <w:rStyle w:val="Hyperlink"/>
          </w:rPr>
          <w:t>https://comtradeplus.un.org/</w:t>
        </w:r>
      </w:hyperlink>
      <w:r w:rsidRPr="00FA4E41">
        <w:t xml:space="preserve"> </w:t>
      </w:r>
    </w:p>
  </w:footnote>
  <w:footnote w:id="574">
    <w:p w14:paraId="052F9AC7" w14:textId="76EC17A0" w:rsidR="00664BE6" w:rsidRPr="00EA4C9B" w:rsidRDefault="00664BE6" w:rsidP="009B66E3">
      <w:pPr>
        <w:pStyle w:val="FootnoteText"/>
        <w:jc w:val="left"/>
        <w:rPr>
          <w:sz w:val="16"/>
          <w:szCs w:val="16"/>
        </w:rPr>
      </w:pPr>
      <w:r w:rsidRPr="00FA4E41">
        <w:rPr>
          <w:rStyle w:val="FootnoteReference"/>
        </w:rPr>
        <w:footnoteRef/>
      </w:r>
      <w:r w:rsidR="009B66E3">
        <w:t xml:space="preserve"> </w:t>
      </w:r>
      <w:r w:rsidR="009B66E3">
        <w:tab/>
      </w:r>
      <w:hyperlink r:id="rId371" w:history="1">
        <w:r w:rsidR="009B66E3" w:rsidRPr="00EC31B9">
          <w:rPr>
            <w:rStyle w:val="Hyperlink"/>
          </w:rPr>
          <w:t>https://www.pressreader.com/malta/the-malta-business-weekly/20141211/282222304092486?srsltid=AfmBOop_8KT1cYcPJ8eeemCe8UO7J1gOBraHEGbtxs3iEJnKthH3Um7N</w:t>
        </w:r>
      </w:hyperlink>
      <w:r w:rsidRPr="00EA4C9B">
        <w:rPr>
          <w:sz w:val="16"/>
          <w:szCs w:val="16"/>
        </w:rPr>
        <w:t xml:space="preserve"> </w:t>
      </w:r>
    </w:p>
  </w:footnote>
  <w:footnote w:id="575">
    <w:p w14:paraId="0E518170" w14:textId="5230DC0C" w:rsidR="00664BE6" w:rsidRPr="00FA4E41" w:rsidRDefault="00664BE6" w:rsidP="009B66E3">
      <w:pPr>
        <w:pStyle w:val="FootnoteText"/>
        <w:jc w:val="left"/>
      </w:pPr>
      <w:r w:rsidRPr="00FA4E41">
        <w:rPr>
          <w:rStyle w:val="FootnoteReference"/>
        </w:rPr>
        <w:footnoteRef/>
      </w:r>
      <w:r w:rsidRPr="00FA4E41">
        <w:t xml:space="preserve"> </w:t>
      </w:r>
      <w:r w:rsidR="009B66E3">
        <w:tab/>
      </w:r>
      <w:hyperlink r:id="rId372" w:history="1">
        <w:r w:rsidR="009B66E3" w:rsidRPr="00EC31B9">
          <w:rPr>
            <w:rStyle w:val="Hyperlink"/>
          </w:rPr>
          <w:t>https://www.independent.com.mt/articles/2014-12-16/local-news/Importers-up-in-arms-over-ammunition-storage-fees-fees-affecting-sport-shooters-6736127413</w:t>
        </w:r>
      </w:hyperlink>
      <w:r w:rsidRPr="00FA4E41">
        <w:t xml:space="preserve"> </w:t>
      </w:r>
    </w:p>
  </w:footnote>
  <w:footnote w:id="576">
    <w:p w14:paraId="67DF618E" w14:textId="6950C017" w:rsidR="00664BE6" w:rsidRPr="00EA4C9B" w:rsidRDefault="00664BE6" w:rsidP="00664BE6">
      <w:pPr>
        <w:pStyle w:val="FootnoteText"/>
      </w:pPr>
      <w:r w:rsidRPr="00FA4E41">
        <w:rPr>
          <w:rStyle w:val="FootnoteReference"/>
        </w:rPr>
        <w:footnoteRef/>
      </w:r>
      <w:r w:rsidRPr="00FA4E41">
        <w:t xml:space="preserve"> </w:t>
      </w:r>
      <w:r w:rsidR="009B66E3">
        <w:tab/>
      </w:r>
      <w:hyperlink r:id="rId373" w:history="1">
        <w:r w:rsidR="009B66E3" w:rsidRPr="00EC31B9">
          <w:rPr>
            <w:rStyle w:val="Hyperlink"/>
          </w:rPr>
          <w:t>https://nso.gov.mt/wp-content/uploads/Maltas-National-Tax-List.xlsx</w:t>
        </w:r>
      </w:hyperlink>
      <w:r w:rsidRPr="00EA4C9B">
        <w:t xml:space="preserve"> </w:t>
      </w:r>
    </w:p>
  </w:footnote>
  <w:footnote w:id="577">
    <w:p w14:paraId="7FAE6371" w14:textId="0E6AF527" w:rsidR="00664BE6" w:rsidRPr="00FA4E41" w:rsidRDefault="00664BE6" w:rsidP="009B66E3">
      <w:pPr>
        <w:pStyle w:val="FootnoteText"/>
        <w:jc w:val="left"/>
      </w:pPr>
      <w:r w:rsidRPr="00FA4E41">
        <w:rPr>
          <w:rStyle w:val="FootnoteReference"/>
        </w:rPr>
        <w:footnoteRef/>
      </w:r>
      <w:r w:rsidR="009B66E3">
        <w:t xml:space="preserve"> </w:t>
      </w:r>
      <w:r w:rsidR="009B66E3">
        <w:tab/>
      </w:r>
      <w:hyperlink r:id="rId374" w:history="1">
        <w:r w:rsidR="009B66E3" w:rsidRPr="00EC31B9">
          <w:rPr>
            <w:rStyle w:val="Hyperlink"/>
          </w:rPr>
          <w:t>https://customs.gov.mt/docs/default-source/rates-of-exchange/annex-2---non-harmonised-goods.pdf?sfvrsn=25cb284b_1</w:t>
        </w:r>
      </w:hyperlink>
      <w:r w:rsidRPr="00FA4E41">
        <w:t xml:space="preserve"> </w:t>
      </w:r>
    </w:p>
  </w:footnote>
  <w:footnote w:id="578">
    <w:p w14:paraId="6029E49A" w14:textId="52F419E9" w:rsidR="00664BE6" w:rsidRPr="00FA4E41" w:rsidRDefault="00664BE6" w:rsidP="009B66E3">
      <w:pPr>
        <w:pStyle w:val="FootnoteText"/>
        <w:jc w:val="left"/>
      </w:pPr>
      <w:r w:rsidRPr="00FA4E41">
        <w:rPr>
          <w:rStyle w:val="FootnoteReference"/>
        </w:rPr>
        <w:footnoteRef/>
      </w:r>
      <w:r w:rsidR="009B66E3">
        <w:t xml:space="preserve"> </w:t>
      </w:r>
      <w:r w:rsidR="009B66E3">
        <w:tab/>
      </w:r>
      <w:hyperlink r:id="rId375" w:history="1">
        <w:r w:rsidR="009B66E3" w:rsidRPr="00EC31B9">
          <w:rPr>
            <w:rStyle w:val="Hyperlink"/>
          </w:rPr>
          <w:t>https://customs.gov.mt/mc/other-pages/new-newsresult/2015/10/14/notice-to-all-importers-and-producers-regarding-new-excise-commodities-as-from-today-the-13th-of-october-2015</w:t>
        </w:r>
      </w:hyperlink>
      <w:r w:rsidRPr="00FA4E41">
        <w:t xml:space="preserve"> </w:t>
      </w:r>
    </w:p>
  </w:footnote>
  <w:footnote w:id="579">
    <w:p w14:paraId="4233E035" w14:textId="00CE371F" w:rsidR="00664BE6" w:rsidRPr="00FA4E41" w:rsidRDefault="00664BE6" w:rsidP="009B66E3">
      <w:pPr>
        <w:pStyle w:val="FootnoteText"/>
        <w:jc w:val="left"/>
      </w:pPr>
      <w:r w:rsidRPr="00FA4E41">
        <w:rPr>
          <w:rStyle w:val="FootnoteReference"/>
        </w:rPr>
        <w:footnoteRef/>
      </w:r>
      <w:r w:rsidRPr="00FA4E41">
        <w:t xml:space="preserve"> </w:t>
      </w:r>
      <w:r w:rsidR="009B66E3">
        <w:tab/>
      </w:r>
      <w:hyperlink r:id="rId376" w:history="1">
        <w:r w:rsidR="009B66E3" w:rsidRPr="00EC31B9">
          <w:rPr>
            <w:rStyle w:val="Hyperlink"/>
          </w:rPr>
          <w:t>https://timesofmalta.com/article/higher-tax-on-cement-cigarettes-and-chewing-gum.587957</w:t>
        </w:r>
      </w:hyperlink>
      <w:r w:rsidRPr="00FA4E41">
        <w:t xml:space="preserve"> </w:t>
      </w:r>
    </w:p>
  </w:footnote>
  <w:footnote w:id="580">
    <w:p w14:paraId="5B2D192F" w14:textId="33A2A2D5" w:rsidR="00664BE6" w:rsidRPr="00EA4C9B" w:rsidRDefault="00664BE6" w:rsidP="009B66E3">
      <w:pPr>
        <w:pStyle w:val="FootnoteText"/>
        <w:jc w:val="left"/>
        <w:rPr>
          <w:sz w:val="16"/>
          <w:szCs w:val="16"/>
        </w:rPr>
      </w:pPr>
      <w:r w:rsidRPr="00FA4E41">
        <w:rPr>
          <w:rStyle w:val="FootnoteReference"/>
        </w:rPr>
        <w:footnoteRef/>
      </w:r>
      <w:r w:rsidR="009B66E3">
        <w:t xml:space="preserve"> </w:t>
      </w:r>
      <w:r w:rsidR="009B66E3">
        <w:tab/>
      </w:r>
      <w:hyperlink r:id="rId377" w:history="1">
        <w:r w:rsidR="009B66E3" w:rsidRPr="00EC31B9">
          <w:rPr>
            <w:rStyle w:val="Hyperlink"/>
          </w:rPr>
          <w:t>https://www.independent.com.mt/articles/2015-10-17/local-news/Beverage-companies-seeking-clarification-from-government-over-excise-tax-plans-6736143735</w:t>
        </w:r>
      </w:hyperlink>
      <w:r w:rsidRPr="00EA4C9B">
        <w:rPr>
          <w:sz w:val="16"/>
          <w:szCs w:val="16"/>
        </w:rPr>
        <w:t xml:space="preserve"> </w:t>
      </w:r>
    </w:p>
  </w:footnote>
  <w:footnote w:id="581">
    <w:p w14:paraId="6C2C084C" w14:textId="3B2F8C17" w:rsidR="00664BE6" w:rsidRPr="00FA4E41" w:rsidRDefault="00664BE6" w:rsidP="009B66E3">
      <w:pPr>
        <w:pStyle w:val="FootnoteText"/>
        <w:jc w:val="left"/>
      </w:pPr>
      <w:r w:rsidRPr="00FA4E41">
        <w:rPr>
          <w:rStyle w:val="FootnoteReference"/>
        </w:rPr>
        <w:footnoteRef/>
      </w:r>
      <w:r w:rsidR="009B66E3">
        <w:t xml:space="preserve"> </w:t>
      </w:r>
      <w:hyperlink r:id="rId378" w:anchor=":~:text=Maltese%20bottled%20water%20imports%20are,a%2012.4%25%20increase%20since%201999" w:history="1">
        <w:r w:rsidR="009B66E3" w:rsidRPr="00EC31B9">
          <w:rPr>
            <w:rStyle w:val="Hyperlink"/>
          </w:rPr>
          <w:t>https://www.reportlinker.com/clp/country/385/726375#:~:text=Maltese%20bottled%20water%20imports%20are,a%2012.4%25%20increase%20since%201999</w:t>
        </w:r>
      </w:hyperlink>
      <w:r w:rsidRPr="00FA4E41">
        <w:t xml:space="preserve">. </w:t>
      </w:r>
    </w:p>
  </w:footnote>
  <w:footnote w:id="582">
    <w:p w14:paraId="70473ED9" w14:textId="05DB8738" w:rsidR="00664BE6" w:rsidRPr="00FA4E41" w:rsidRDefault="00664BE6" w:rsidP="009B66E3">
      <w:pPr>
        <w:pStyle w:val="FootnoteText"/>
        <w:jc w:val="left"/>
      </w:pPr>
      <w:r w:rsidRPr="00FA4E41">
        <w:rPr>
          <w:rStyle w:val="FootnoteReference"/>
        </w:rPr>
        <w:footnoteRef/>
      </w:r>
      <w:r w:rsidR="009B66E3">
        <w:t xml:space="preserve"> </w:t>
      </w:r>
      <w:r w:rsidR="009B66E3">
        <w:tab/>
      </w:r>
      <w:hyperlink r:id="rId379" w:history="1">
        <w:r w:rsidR="009B66E3" w:rsidRPr="00EC31B9">
          <w:rPr>
            <w:rStyle w:val="Hyperlink"/>
          </w:rPr>
          <w:t>https://www.independent.com.mt/articles/2017-07-05/local-news/Lack-of-harmonisation-on-excise-duty-results-in-some-abuses-Customs-Dept-Head-6736176218</w:t>
        </w:r>
      </w:hyperlink>
      <w:r w:rsidRPr="00FA4E41">
        <w:t xml:space="preserve"> </w:t>
      </w:r>
    </w:p>
  </w:footnote>
  <w:footnote w:id="583">
    <w:p w14:paraId="7842F29B" w14:textId="66A7BF0B" w:rsidR="00664BE6" w:rsidRPr="00FA4E41" w:rsidRDefault="00664BE6" w:rsidP="00664BE6">
      <w:pPr>
        <w:pStyle w:val="FootnoteText"/>
      </w:pPr>
      <w:r w:rsidRPr="00FA4E41">
        <w:rPr>
          <w:rStyle w:val="FootnoteReference"/>
        </w:rPr>
        <w:footnoteRef/>
      </w:r>
      <w:r w:rsidRPr="00FA4E41">
        <w:t xml:space="preserve"> </w:t>
      </w:r>
      <w:r w:rsidR="009B66E3">
        <w:tab/>
      </w:r>
      <w:hyperlink r:id="rId380" w:history="1">
        <w:r w:rsidR="009B66E3" w:rsidRPr="00EC31B9">
          <w:rPr>
            <w:rStyle w:val="Hyperlink"/>
          </w:rPr>
          <w:t>https://cfr.gov.mt/en/vat/eco_information/Documents/04.%20ln28%202005.pdf</w:t>
        </w:r>
      </w:hyperlink>
      <w:r w:rsidRPr="00FA4E41">
        <w:t xml:space="preserve"> </w:t>
      </w:r>
    </w:p>
  </w:footnote>
  <w:footnote w:id="584">
    <w:p w14:paraId="3B62142D" w14:textId="42CAF147" w:rsidR="00664BE6" w:rsidRPr="00EA4C9B" w:rsidRDefault="00664BE6" w:rsidP="00664BE6">
      <w:pPr>
        <w:pStyle w:val="FootnoteText"/>
        <w:rPr>
          <w:sz w:val="16"/>
          <w:szCs w:val="16"/>
        </w:rPr>
      </w:pPr>
      <w:r w:rsidRPr="00FA4E41">
        <w:rPr>
          <w:rStyle w:val="FootnoteReference"/>
        </w:rPr>
        <w:footnoteRef/>
      </w:r>
      <w:r w:rsidRPr="00FA4E41">
        <w:t xml:space="preserve"> </w:t>
      </w:r>
      <w:r w:rsidR="009B66E3">
        <w:tab/>
      </w:r>
      <w:hyperlink r:id="rId381" w:history="1">
        <w:r w:rsidR="009B66E3" w:rsidRPr="00EC31B9">
          <w:rPr>
            <w:rStyle w:val="Hyperlink"/>
          </w:rPr>
          <w:t>https://timesofmalta.com/article/customs-department-clarifies-which-new-products-will-be-taxed.628364</w:t>
        </w:r>
      </w:hyperlink>
      <w:r w:rsidRPr="00EA4C9B">
        <w:rPr>
          <w:sz w:val="16"/>
          <w:szCs w:val="16"/>
        </w:rPr>
        <w:t xml:space="preserve"> </w:t>
      </w:r>
    </w:p>
  </w:footnote>
  <w:footnote w:id="585">
    <w:p w14:paraId="3CACE388" w14:textId="541B0BB3" w:rsidR="00664BE6" w:rsidRPr="00FA4E41" w:rsidRDefault="00664BE6" w:rsidP="00664BE6">
      <w:pPr>
        <w:pStyle w:val="FootnoteText"/>
      </w:pPr>
      <w:r w:rsidRPr="00FA4E41">
        <w:rPr>
          <w:rStyle w:val="FootnoteReference"/>
        </w:rPr>
        <w:footnoteRef/>
      </w:r>
      <w:r w:rsidRPr="00FA4E41">
        <w:t xml:space="preserve"> </w:t>
      </w:r>
      <w:r w:rsidR="009B66E3">
        <w:tab/>
      </w:r>
      <w:hyperlink r:id="rId382" w:history="1">
        <w:r w:rsidR="009B66E3" w:rsidRPr="00EC31B9">
          <w:rPr>
            <w:rStyle w:val="Hyperlink"/>
          </w:rPr>
          <w:t>https://legislation.mt/eli/sl/549.139/eng</w:t>
        </w:r>
      </w:hyperlink>
      <w:r w:rsidRPr="00FA4E41">
        <w:t xml:space="preserve"> </w:t>
      </w:r>
    </w:p>
  </w:footnote>
  <w:footnote w:id="586">
    <w:p w14:paraId="4FA1A26F" w14:textId="74952486" w:rsidR="00664BE6" w:rsidRPr="00FA4E41" w:rsidRDefault="00664BE6" w:rsidP="009B66E3">
      <w:pPr>
        <w:pStyle w:val="FootnoteText"/>
        <w:jc w:val="left"/>
      </w:pPr>
      <w:r w:rsidRPr="00FA4E41">
        <w:rPr>
          <w:rStyle w:val="FootnoteReference"/>
        </w:rPr>
        <w:footnoteRef/>
      </w:r>
      <w:r w:rsidR="009B66E3">
        <w:t xml:space="preserve"> </w:t>
      </w:r>
      <w:r w:rsidR="009B66E3">
        <w:tab/>
      </w:r>
      <w:hyperlink r:id="rId383" w:history="1">
        <w:r w:rsidR="009B66E3" w:rsidRPr="00EC31B9">
          <w:rPr>
            <w:rStyle w:val="Hyperlink"/>
          </w:rPr>
          <w:t>https://timesofmalta.com/article/thin-plastic-bags-wet-wipes-balloons-excluded-from-single-use-plastics.843066</w:t>
        </w:r>
      </w:hyperlink>
      <w:r w:rsidRPr="00FA4E41">
        <w:t xml:space="preserve"> </w:t>
      </w:r>
    </w:p>
  </w:footnote>
  <w:footnote w:id="587">
    <w:p w14:paraId="06E167DA" w14:textId="350539C3" w:rsidR="00664BE6" w:rsidRPr="00EA4C9B" w:rsidRDefault="00664BE6" w:rsidP="009B66E3">
      <w:pPr>
        <w:pStyle w:val="FootnoteText"/>
        <w:jc w:val="left"/>
      </w:pPr>
      <w:r w:rsidRPr="00FA4E41">
        <w:rPr>
          <w:rStyle w:val="FootnoteReference"/>
        </w:rPr>
        <w:footnoteRef/>
      </w:r>
      <w:r w:rsidR="009B66E3">
        <w:t xml:space="preserve"> </w:t>
      </w:r>
      <w:r w:rsidR="009B66E3">
        <w:tab/>
      </w:r>
      <w:hyperlink r:id="rId384" w:history="1">
        <w:r w:rsidR="009B66E3" w:rsidRPr="00EC31B9">
          <w:rPr>
            <w:rStyle w:val="Hyperlink"/>
          </w:rPr>
          <w:t>https://www.independent.com.mt/articles/2019-11-17/local-news/Most-construction-waste-cannot-be-dumped-at-sea-6736216300</w:t>
        </w:r>
      </w:hyperlink>
      <w:r w:rsidRPr="00EA4C9B">
        <w:t xml:space="preserve"> </w:t>
      </w:r>
    </w:p>
  </w:footnote>
  <w:footnote w:id="588">
    <w:p w14:paraId="1059BC69" w14:textId="28AD9D81" w:rsidR="00664BE6" w:rsidRPr="00FA4E41" w:rsidRDefault="00664BE6" w:rsidP="009B66E3">
      <w:pPr>
        <w:pStyle w:val="FootnoteText"/>
        <w:jc w:val="left"/>
      </w:pPr>
      <w:r w:rsidRPr="00FA4E41">
        <w:rPr>
          <w:rStyle w:val="FootnoteReference"/>
        </w:rPr>
        <w:footnoteRef/>
      </w:r>
      <w:r w:rsidR="009B66E3">
        <w:t xml:space="preserve"> </w:t>
      </w:r>
      <w:hyperlink r:id="rId385" w:anchor=":~:text=In%20these%20regulations%2C%20unless%20the,network%2C%20pipeline%20or%20atanker" w:history="1">
        <w:r w:rsidR="009B66E3" w:rsidRPr="00EC31B9">
          <w:rPr>
            <w:rStyle w:val="Hyperlink"/>
          </w:rPr>
          <w:t>https://legislation.mt/eli/sl/545.14/eng/pdf#:~:text=In%20these%20regulations%2C%20unless%20the,network%2C%20pipeline%20or%20atanker</w:t>
        </w:r>
      </w:hyperlink>
      <w:r w:rsidRPr="00FA4E41">
        <w:t xml:space="preserve">; </w:t>
      </w:r>
    </w:p>
  </w:footnote>
  <w:footnote w:id="589">
    <w:p w14:paraId="5D9DD40C" w14:textId="404F79FC" w:rsidR="00664BE6" w:rsidRPr="00EA4C9B" w:rsidRDefault="00664BE6" w:rsidP="009B66E3">
      <w:pPr>
        <w:pStyle w:val="FootnoteText"/>
        <w:jc w:val="left"/>
        <w:rPr>
          <w:sz w:val="16"/>
          <w:szCs w:val="16"/>
        </w:rPr>
      </w:pPr>
      <w:r w:rsidRPr="00FA4E41">
        <w:rPr>
          <w:rStyle w:val="FootnoteReference"/>
        </w:rPr>
        <w:footnoteRef/>
      </w:r>
      <w:r w:rsidR="009B66E3">
        <w:t xml:space="preserve"> </w:t>
      </w:r>
      <w:r w:rsidR="009B66E3">
        <w:tab/>
      </w:r>
      <w:hyperlink r:id="rId386" w:history="1">
        <w:r w:rsidR="009B66E3" w:rsidRPr="00EC31B9">
          <w:rPr>
            <w:rStyle w:val="Hyperlink"/>
          </w:rPr>
          <w:t>https://www.servizz.gov.mt/en/Pages/Environment_-Energy_-Agriculture-and-Fisheries/Environment/Industrial-Permits/WEB1887/default.aspx</w:t>
        </w:r>
      </w:hyperlink>
      <w:r w:rsidRPr="00EA4C9B">
        <w:rPr>
          <w:sz w:val="16"/>
          <w:szCs w:val="16"/>
        </w:rPr>
        <w:t xml:space="preserve"> </w:t>
      </w:r>
    </w:p>
  </w:footnote>
  <w:footnote w:id="590">
    <w:p w14:paraId="0ADCAA47" w14:textId="1101BB60" w:rsidR="00664BE6" w:rsidRPr="00FA4E41" w:rsidRDefault="00664BE6" w:rsidP="00664BE6">
      <w:pPr>
        <w:pStyle w:val="FootnoteText"/>
      </w:pPr>
      <w:r w:rsidRPr="00FA4E41">
        <w:rPr>
          <w:rStyle w:val="FootnoteReference"/>
        </w:rPr>
        <w:footnoteRef/>
      </w:r>
      <w:r w:rsidRPr="00FA4E41">
        <w:t xml:space="preserve"> </w:t>
      </w:r>
      <w:r w:rsidR="009B66E3">
        <w:tab/>
      </w:r>
      <w:hyperlink r:id="rId387" w:history="1">
        <w:r w:rsidR="009B66E3" w:rsidRPr="00EC31B9">
          <w:rPr>
            <w:rStyle w:val="Hyperlink"/>
          </w:rPr>
          <w:t>https://legislation.mt/eli/sl/409.5/eng</w:t>
        </w:r>
      </w:hyperlink>
      <w:r w:rsidRPr="00FA4E41">
        <w:t xml:space="preserve"> </w:t>
      </w:r>
    </w:p>
  </w:footnote>
  <w:footnote w:id="591">
    <w:p w14:paraId="4E7D1812" w14:textId="5CEAA6AC" w:rsidR="00664BE6" w:rsidRPr="00FA4E41" w:rsidRDefault="00664BE6" w:rsidP="00664BE6">
      <w:pPr>
        <w:pStyle w:val="FootnoteText"/>
      </w:pPr>
      <w:r w:rsidRPr="00FA4E41">
        <w:rPr>
          <w:rStyle w:val="FootnoteReference"/>
        </w:rPr>
        <w:footnoteRef/>
      </w:r>
      <w:r w:rsidRPr="00FA4E41">
        <w:t xml:space="preserve"> </w:t>
      </w:r>
      <w:r w:rsidR="009B66E3">
        <w:tab/>
      </w:r>
      <w:hyperlink r:id="rId388" w:history="1">
        <w:r w:rsidR="009B66E3" w:rsidRPr="00EC31B9">
          <w:rPr>
            <w:rStyle w:val="Hyperlink"/>
          </w:rPr>
          <w:t>https://www.wsc.com.mt/facilities/dpu/discharge-permit-unit-industrial/</w:t>
        </w:r>
      </w:hyperlink>
      <w:r w:rsidRPr="00FA4E41">
        <w:t xml:space="preserve"> </w:t>
      </w:r>
    </w:p>
  </w:footnote>
  <w:footnote w:id="592">
    <w:p w14:paraId="30113FCF" w14:textId="745DEBDD" w:rsidR="00664BE6" w:rsidRPr="00FA4E41" w:rsidRDefault="00664BE6" w:rsidP="00664BE6">
      <w:pPr>
        <w:pStyle w:val="FootnoteText"/>
      </w:pPr>
      <w:r w:rsidRPr="00FA4E41">
        <w:rPr>
          <w:rStyle w:val="FootnoteReference"/>
        </w:rPr>
        <w:footnoteRef/>
      </w:r>
      <w:r w:rsidRPr="00FA4E41">
        <w:t xml:space="preserve"> </w:t>
      </w:r>
      <w:r w:rsidR="009B66E3">
        <w:tab/>
      </w:r>
      <w:hyperlink r:id="rId389" w:history="1">
        <w:r w:rsidR="009B66E3" w:rsidRPr="00EC31B9">
          <w:rPr>
            <w:rStyle w:val="Hyperlink"/>
          </w:rPr>
          <w:t>https://faolex.fao.org/docs/pdf/mlt34030.pdf</w:t>
        </w:r>
      </w:hyperlink>
      <w:r w:rsidRPr="00FA4E41">
        <w:t xml:space="preserve"> </w:t>
      </w:r>
    </w:p>
  </w:footnote>
  <w:footnote w:id="593">
    <w:p w14:paraId="20C9B6CD" w14:textId="247DBDF1" w:rsidR="00664BE6" w:rsidRPr="00EA4C9B" w:rsidRDefault="00664BE6" w:rsidP="00664BE6">
      <w:pPr>
        <w:pStyle w:val="FootnoteText"/>
      </w:pPr>
      <w:r w:rsidRPr="00FA4E41">
        <w:rPr>
          <w:rStyle w:val="FootnoteReference"/>
        </w:rPr>
        <w:footnoteRef/>
      </w:r>
      <w:r w:rsidRPr="00FA4E41">
        <w:t xml:space="preserve"> </w:t>
      </w:r>
      <w:r w:rsidR="009B66E3">
        <w:tab/>
      </w:r>
      <w:hyperlink r:id="rId390" w:history="1">
        <w:r w:rsidR="009B66E3" w:rsidRPr="00EC31B9">
          <w:rPr>
            <w:rStyle w:val="Hyperlink"/>
          </w:rPr>
          <w:t>https://legislation.mt/eli/sl/425.12/eng/pdf</w:t>
        </w:r>
      </w:hyperlink>
      <w:r w:rsidRPr="00EA4C9B">
        <w:t xml:space="preserve"> </w:t>
      </w:r>
    </w:p>
  </w:footnote>
  <w:footnote w:id="594">
    <w:p w14:paraId="75769EB3" w14:textId="43BD2857" w:rsidR="00664BE6" w:rsidRPr="00FA4E41" w:rsidRDefault="00664BE6" w:rsidP="00664BE6">
      <w:pPr>
        <w:pStyle w:val="FootnoteText"/>
      </w:pPr>
      <w:r w:rsidRPr="00FA4E41">
        <w:rPr>
          <w:rStyle w:val="FootnoteReference"/>
        </w:rPr>
        <w:footnoteRef/>
      </w:r>
      <w:r w:rsidRPr="00FA4E41">
        <w:t xml:space="preserve"> </w:t>
      </w:r>
      <w:r w:rsidR="009B66E3">
        <w:tab/>
      </w:r>
      <w:hyperlink r:id="rId391" w:history="1">
        <w:r w:rsidR="009B66E3" w:rsidRPr="00EC31B9">
          <w:rPr>
            <w:rStyle w:val="Hyperlink"/>
          </w:rPr>
          <w:t>https://legislation.mt/eli/sl/10.39/eng/pdf</w:t>
        </w:r>
      </w:hyperlink>
      <w:r w:rsidRPr="00FA4E41">
        <w:t xml:space="preserve"> </w:t>
      </w:r>
    </w:p>
  </w:footnote>
  <w:footnote w:id="595">
    <w:p w14:paraId="62B33D20" w14:textId="6C75F02A" w:rsidR="00664BE6" w:rsidRPr="00FA4E41" w:rsidRDefault="00664BE6" w:rsidP="00664BE6">
      <w:pPr>
        <w:pStyle w:val="FootnoteText"/>
      </w:pPr>
      <w:r w:rsidRPr="00FA4E41">
        <w:rPr>
          <w:rStyle w:val="FootnoteReference"/>
        </w:rPr>
        <w:footnoteRef/>
      </w:r>
      <w:r w:rsidRPr="00FA4E41">
        <w:t xml:space="preserve"> </w:t>
      </w:r>
      <w:r w:rsidR="009B66E3">
        <w:tab/>
      </w:r>
      <w:hyperlink r:id="rId392" w:history="1">
        <w:r w:rsidR="009B66E3" w:rsidRPr="00EC31B9">
          <w:rPr>
            <w:rStyle w:val="Hyperlink"/>
          </w:rPr>
          <w:t>https://legislation.mt/eli/ln/2011/83/eng/pdf</w:t>
        </w:r>
      </w:hyperlink>
      <w:r w:rsidRPr="00FA4E41">
        <w:t xml:space="preserve"> </w:t>
      </w:r>
    </w:p>
  </w:footnote>
  <w:footnote w:id="596">
    <w:p w14:paraId="113CD775" w14:textId="7170D681" w:rsidR="00664BE6" w:rsidRPr="00FA4E41" w:rsidRDefault="00664BE6" w:rsidP="00664BE6">
      <w:pPr>
        <w:pStyle w:val="FootnoteText"/>
      </w:pPr>
      <w:r w:rsidRPr="00FA4E41">
        <w:rPr>
          <w:rStyle w:val="FootnoteReference"/>
        </w:rPr>
        <w:footnoteRef/>
      </w:r>
      <w:r w:rsidRPr="00FA4E41">
        <w:t xml:space="preserve"> </w:t>
      </w:r>
      <w:r w:rsidR="009B66E3">
        <w:tab/>
      </w:r>
      <w:hyperlink r:id="rId393" w:history="1">
        <w:r w:rsidR="009B66E3" w:rsidRPr="00EC31B9">
          <w:rPr>
            <w:rStyle w:val="Hyperlink"/>
          </w:rPr>
          <w:t>https://timesofmalta.com/article/hunters-licences-to-be-valid-for-five-years-cost-less.598617</w:t>
        </w:r>
      </w:hyperlink>
      <w:r w:rsidRPr="00FA4E41">
        <w:t xml:space="preserve"> </w:t>
      </w:r>
    </w:p>
  </w:footnote>
  <w:footnote w:id="597">
    <w:p w14:paraId="66226D62" w14:textId="6C5B7EA8" w:rsidR="00664BE6" w:rsidRPr="00EA4C9B" w:rsidRDefault="00664BE6" w:rsidP="00664BE6">
      <w:pPr>
        <w:pStyle w:val="FootnoteText"/>
      </w:pPr>
      <w:r w:rsidRPr="00FA4E41">
        <w:rPr>
          <w:rStyle w:val="FootnoteReference"/>
        </w:rPr>
        <w:footnoteRef/>
      </w:r>
      <w:r w:rsidRPr="00FA4E41">
        <w:t xml:space="preserve"> </w:t>
      </w:r>
      <w:r w:rsidR="009B66E3">
        <w:tab/>
      </w:r>
      <w:hyperlink r:id="rId394" w:history="1">
        <w:r w:rsidR="009B66E3" w:rsidRPr="00EC31B9">
          <w:rPr>
            <w:rStyle w:val="Hyperlink"/>
          </w:rPr>
          <w:t>https://timesofmalta.com/article/hunters-trappers-save-652500-in-licence-fees.599406</w:t>
        </w:r>
      </w:hyperlink>
      <w:r w:rsidRPr="00EA4C9B">
        <w:t xml:space="preserve"> </w:t>
      </w:r>
    </w:p>
  </w:footnote>
  <w:footnote w:id="598">
    <w:p w14:paraId="51CB2630" w14:textId="122EE728" w:rsidR="00664BE6" w:rsidRPr="00FA4E41" w:rsidRDefault="00664BE6" w:rsidP="00664BE6">
      <w:pPr>
        <w:pStyle w:val="FootnoteText"/>
      </w:pPr>
      <w:r w:rsidRPr="00FA4E41">
        <w:rPr>
          <w:rStyle w:val="FootnoteReference"/>
        </w:rPr>
        <w:footnoteRef/>
      </w:r>
      <w:r w:rsidRPr="00FA4E41">
        <w:t xml:space="preserve"> </w:t>
      </w:r>
      <w:r w:rsidR="009B66E3">
        <w:tab/>
      </w:r>
      <w:hyperlink r:id="rId395" w:history="1">
        <w:r w:rsidR="009B66E3" w:rsidRPr="00EC31B9">
          <w:rPr>
            <w:rStyle w:val="Hyperlink"/>
          </w:rPr>
          <w:t>https://legislation.mt/eli/sl/549.7/eng/pdf</w:t>
        </w:r>
      </w:hyperlink>
      <w:r w:rsidRPr="00FA4E41">
        <w:t xml:space="preserve"> </w:t>
      </w:r>
    </w:p>
  </w:footnote>
  <w:footnote w:id="599">
    <w:p w14:paraId="7984D441" w14:textId="2C66B6C9" w:rsidR="00664BE6" w:rsidRPr="00FA4E41" w:rsidRDefault="00664BE6" w:rsidP="00664BE6">
      <w:pPr>
        <w:pStyle w:val="FootnoteText"/>
      </w:pPr>
      <w:r w:rsidRPr="00FA4E41">
        <w:rPr>
          <w:rStyle w:val="FootnoteReference"/>
        </w:rPr>
        <w:footnoteRef/>
      </w:r>
      <w:r w:rsidRPr="00FA4E41">
        <w:t xml:space="preserve"> </w:t>
      </w:r>
      <w:r w:rsidR="009B66E3">
        <w:tab/>
      </w:r>
      <w:r w:rsidRPr="00FA4E41">
        <w:t xml:space="preserve">Early warning assessment related to the 2025 targets for municipal waste and packaging waste, Malta, 2020, European Environment Agency </w:t>
      </w:r>
    </w:p>
  </w:footnote>
  <w:footnote w:id="600">
    <w:p w14:paraId="77CFB320" w14:textId="36AB98EE" w:rsidR="00664BE6" w:rsidRPr="00FA4E41" w:rsidRDefault="00664BE6" w:rsidP="00664BE6">
      <w:pPr>
        <w:pStyle w:val="FootnoteText"/>
      </w:pPr>
      <w:r w:rsidRPr="00FA4E41">
        <w:rPr>
          <w:rStyle w:val="FootnoteReference"/>
        </w:rPr>
        <w:footnoteRef/>
      </w:r>
      <w:r w:rsidRPr="00FA4E41">
        <w:t xml:space="preserve"> </w:t>
      </w:r>
      <w:r w:rsidR="009B66E3">
        <w:tab/>
      </w:r>
      <w:hyperlink r:id="rId396" w:history="1">
        <w:r w:rsidR="009B66E3" w:rsidRPr="00EC31B9">
          <w:rPr>
            <w:rStyle w:val="Hyperlink"/>
          </w:rPr>
          <w:t>https://www.wsm.com.mt/en/gate-fees</w:t>
        </w:r>
      </w:hyperlink>
      <w:r w:rsidRPr="00FA4E41">
        <w:t xml:space="preserve"> </w:t>
      </w:r>
    </w:p>
  </w:footnote>
  <w:footnote w:id="601">
    <w:p w14:paraId="7617DA04" w14:textId="1E880856" w:rsidR="00664BE6" w:rsidRPr="00FA4E41" w:rsidRDefault="00664BE6" w:rsidP="00664BE6">
      <w:pPr>
        <w:pStyle w:val="FootnoteText"/>
      </w:pPr>
      <w:r w:rsidRPr="00FA4E41">
        <w:rPr>
          <w:rStyle w:val="FootnoteReference"/>
        </w:rPr>
        <w:footnoteRef/>
      </w:r>
      <w:r w:rsidRPr="00FA4E41">
        <w:t xml:space="preserve"> </w:t>
      </w:r>
      <w:r w:rsidR="009B66E3">
        <w:tab/>
      </w:r>
      <w:hyperlink r:id="rId397" w:history="1">
        <w:r w:rsidR="009B66E3" w:rsidRPr="00EC31B9">
          <w:rPr>
            <w:rStyle w:val="Hyperlink"/>
          </w:rPr>
          <w:t>https://www.eea.europa.eu/publications/economic-instruments-and-separate-collection</w:t>
        </w:r>
      </w:hyperlink>
      <w:r w:rsidRPr="00FA4E41">
        <w:t xml:space="preserve"> </w:t>
      </w:r>
    </w:p>
  </w:footnote>
  <w:footnote w:id="602">
    <w:p w14:paraId="0C13D45A" w14:textId="5D69A3FE" w:rsidR="00664BE6" w:rsidRPr="00FA4E41" w:rsidRDefault="00664BE6" w:rsidP="00664BE6">
      <w:pPr>
        <w:pStyle w:val="FootnoteText"/>
      </w:pPr>
      <w:r w:rsidRPr="00FA4E41">
        <w:rPr>
          <w:rStyle w:val="FootnoteReference"/>
        </w:rPr>
        <w:footnoteRef/>
      </w:r>
      <w:r w:rsidRPr="00FA4E41">
        <w:t xml:space="preserve"> </w:t>
      </w:r>
      <w:r w:rsidR="009B66E3">
        <w:tab/>
      </w:r>
      <w:hyperlink r:id="rId398" w:history="1">
        <w:r w:rsidR="009B66E3" w:rsidRPr="00EC31B9">
          <w:rPr>
            <w:rStyle w:val="Hyperlink"/>
          </w:rPr>
          <w:t>https://legislation.mt/eli/sl/123.197/eng</w:t>
        </w:r>
      </w:hyperlink>
      <w:r w:rsidRPr="00FA4E41">
        <w:t xml:space="preserve"> </w:t>
      </w:r>
    </w:p>
  </w:footnote>
  <w:footnote w:id="603">
    <w:p w14:paraId="6FC62EC6" w14:textId="18D51653" w:rsidR="00664BE6" w:rsidRPr="00FA4E41" w:rsidRDefault="00664BE6" w:rsidP="00664BE6">
      <w:pPr>
        <w:pStyle w:val="FootnoteText"/>
      </w:pPr>
      <w:r w:rsidRPr="00FA4E41">
        <w:rPr>
          <w:rStyle w:val="FootnoteReference"/>
        </w:rPr>
        <w:footnoteRef/>
      </w:r>
      <w:r w:rsidRPr="00FA4E41">
        <w:t xml:space="preserve"> </w:t>
      </w:r>
      <w:r w:rsidR="009B66E3">
        <w:tab/>
      </w:r>
      <w:hyperlink r:id="rId399" w:history="1">
        <w:r w:rsidR="009B66E3" w:rsidRPr="00EC31B9">
          <w:rPr>
            <w:rStyle w:val="Hyperlink"/>
          </w:rPr>
          <w:t>https://legislation.mt/eli/sl/128.1/eng/pdf</w:t>
        </w:r>
      </w:hyperlink>
      <w:r w:rsidRPr="00FA4E41">
        <w:t xml:space="preserve"> </w:t>
      </w:r>
    </w:p>
  </w:footnote>
  <w:footnote w:id="604">
    <w:p w14:paraId="20FD56F8" w14:textId="092BA82E" w:rsidR="00664BE6" w:rsidRPr="00FA4E41" w:rsidRDefault="00664BE6" w:rsidP="009B66E3">
      <w:pPr>
        <w:spacing w:after="0"/>
        <w:ind w:left="284" w:hanging="284"/>
        <w:rPr>
          <w:rFonts w:ascii="Calibri" w:hAnsi="Calibri" w:cs="Calibri"/>
          <w:sz w:val="20"/>
          <w:szCs w:val="20"/>
        </w:rPr>
      </w:pPr>
      <w:r w:rsidRPr="00FA4E41">
        <w:rPr>
          <w:rStyle w:val="FootnoteReference"/>
          <w:sz w:val="20"/>
          <w:szCs w:val="20"/>
        </w:rPr>
        <w:footnoteRef/>
      </w:r>
      <w:r w:rsidRPr="00FA4E41">
        <w:rPr>
          <w:sz w:val="20"/>
          <w:szCs w:val="20"/>
        </w:rPr>
        <w:t xml:space="preserve"> </w:t>
      </w:r>
      <w:r w:rsidR="009B66E3">
        <w:rPr>
          <w:sz w:val="20"/>
          <w:szCs w:val="20"/>
        </w:rPr>
        <w:tab/>
      </w:r>
      <w:r w:rsidRPr="00FA4E41">
        <w:rPr>
          <w:rFonts w:ascii="Calibri" w:hAnsi="Calibri" w:cs="Calibri"/>
          <w:sz w:val="20"/>
          <w:szCs w:val="20"/>
        </w:rPr>
        <w:t>‘Domestic’ rates are applied to one primary residence, one secondary residence and one small garage used only for private, non-commercial purposes. The reduced ‘residential’ rates apply when one or more people are registered on a domestic premises account. Any service not registered as domestic or residential is charged at the non-residential rate (including all companies), source – “Water pricing in Maltai”, by Emma Watkins and Mia Pantzar (IEEP).</w:t>
      </w:r>
    </w:p>
  </w:footnote>
  <w:footnote w:id="605">
    <w:p w14:paraId="31FE374B" w14:textId="0B41AE8E" w:rsidR="00664BE6" w:rsidRPr="00FA4E41" w:rsidRDefault="00664BE6" w:rsidP="00664BE6">
      <w:pPr>
        <w:pStyle w:val="FootnoteText"/>
      </w:pPr>
      <w:r w:rsidRPr="00FA4E41">
        <w:rPr>
          <w:rStyle w:val="FootnoteReference"/>
        </w:rPr>
        <w:footnoteRef/>
      </w:r>
      <w:r w:rsidRPr="00FA4E41">
        <w:t xml:space="preserve"> </w:t>
      </w:r>
      <w:r w:rsidR="009B66E3">
        <w:tab/>
      </w:r>
      <w:hyperlink r:id="rId400" w:anchor="/en/fa/35" w:history="1">
        <w:r w:rsidR="009B66E3" w:rsidRPr="00EC31B9">
          <w:rPr>
            <w:rStyle w:val="Hyperlink"/>
          </w:rPr>
          <w:t>https://www.rews.org.mt/#/en/fa/35</w:t>
        </w:r>
      </w:hyperlink>
      <w:r w:rsidRPr="00FA4E41">
        <w:t xml:space="preserve"> </w:t>
      </w:r>
    </w:p>
  </w:footnote>
  <w:footnote w:id="606">
    <w:p w14:paraId="009C11DD" w14:textId="71DE9BB1" w:rsidR="00664BE6" w:rsidRPr="00FA4E41" w:rsidRDefault="00664BE6" w:rsidP="00664BE6">
      <w:pPr>
        <w:pStyle w:val="FootnoteText"/>
      </w:pPr>
      <w:r w:rsidRPr="00FA4E41">
        <w:rPr>
          <w:rStyle w:val="FootnoteReference"/>
        </w:rPr>
        <w:footnoteRef/>
      </w:r>
      <w:r w:rsidRPr="00FA4E41">
        <w:t xml:space="preserve"> </w:t>
      </w:r>
      <w:r w:rsidR="009B66E3">
        <w:tab/>
      </w:r>
      <w:hyperlink r:id="rId401" w:history="1">
        <w:r w:rsidR="009B66E3" w:rsidRPr="00EC31B9">
          <w:rPr>
            <w:rStyle w:val="Hyperlink"/>
          </w:rPr>
          <w:t>https://landsauthority.org.mt/resources/policies/billboards-procedure/</w:t>
        </w:r>
      </w:hyperlink>
      <w:r w:rsidRPr="00FA4E41">
        <w:t xml:space="preserve"> </w:t>
      </w:r>
    </w:p>
  </w:footnote>
  <w:footnote w:id="607">
    <w:p w14:paraId="7E66080C" w14:textId="720A7AAC" w:rsidR="00664BE6" w:rsidRPr="00FA4E41" w:rsidRDefault="00664BE6" w:rsidP="009B66E3">
      <w:pPr>
        <w:pStyle w:val="FootnoteText"/>
        <w:jc w:val="left"/>
      </w:pPr>
      <w:r w:rsidRPr="00FA4E41">
        <w:rPr>
          <w:rStyle w:val="FootnoteReference"/>
        </w:rPr>
        <w:footnoteRef/>
      </w:r>
      <w:r w:rsidRPr="00FA4E41">
        <w:t xml:space="preserve"> </w:t>
      </w:r>
      <w:r w:rsidR="009B66E3">
        <w:tab/>
      </w:r>
      <w:hyperlink r:id="rId402" w:history="1">
        <w:r w:rsidR="009B66E3" w:rsidRPr="00EC31B9">
          <w:rPr>
            <w:rStyle w:val="Hyperlink"/>
          </w:rPr>
          <w:t>https://divizjonitalgvernlokali.gov.mt/wp-content/uploads/2024/04/Fees-applicable-for-applications-which-require-a-permit-by-a-Local-Council-Uploaded-1.pdf</w:t>
        </w:r>
      </w:hyperlink>
      <w:r w:rsidRPr="00FA4E41">
        <w:t xml:space="preserve"> </w:t>
      </w:r>
    </w:p>
  </w:footnote>
  <w:footnote w:id="608">
    <w:p w14:paraId="2B4FC07A" w14:textId="62CEE52C" w:rsidR="00664BE6" w:rsidRPr="00EA4C9B" w:rsidRDefault="00664BE6" w:rsidP="009B66E3">
      <w:pPr>
        <w:pStyle w:val="FootnoteText"/>
        <w:jc w:val="left"/>
      </w:pPr>
      <w:r w:rsidRPr="00FA4E41">
        <w:rPr>
          <w:rStyle w:val="FootnoteReference"/>
        </w:rPr>
        <w:footnoteRef/>
      </w:r>
      <w:r w:rsidRPr="00FA4E41">
        <w:t xml:space="preserve"> </w:t>
      </w:r>
      <w:r w:rsidR="009B66E3">
        <w:tab/>
      </w:r>
      <w:hyperlink r:id="rId403" w:anchor="/en/sdgr/241-authorisation-to-load-discharge-and-transfer-fuels-from-road-tanker-to-receiving-ship" w:history="1">
        <w:r w:rsidR="009B66E3" w:rsidRPr="00EC31B9">
          <w:rPr>
            <w:rStyle w:val="Hyperlink"/>
          </w:rPr>
          <w:t>https://www.rews.org.mt/#/en/sdgr/241-authorisation-to-load-discharge-and-transfer-fuels-from-road-tanker-to-receiving-ship</w:t>
        </w:r>
      </w:hyperlink>
      <w:r w:rsidRPr="00EA4C9B">
        <w:t xml:space="preserve"> </w:t>
      </w:r>
    </w:p>
  </w:footnote>
  <w:footnote w:id="609">
    <w:p w14:paraId="2D97E0F6" w14:textId="5BACC09D" w:rsidR="00664BE6" w:rsidRPr="00EA4C9B" w:rsidRDefault="00664BE6" w:rsidP="00664BE6">
      <w:pPr>
        <w:pStyle w:val="FootnoteText"/>
      </w:pPr>
      <w:r w:rsidRPr="00FA4E41">
        <w:rPr>
          <w:rStyle w:val="FootnoteReference"/>
        </w:rPr>
        <w:footnoteRef/>
      </w:r>
      <w:r w:rsidRPr="00FA4E41">
        <w:t xml:space="preserve"> </w:t>
      </w:r>
      <w:r w:rsidR="009B66E3">
        <w:tab/>
      </w:r>
      <w:hyperlink r:id="rId404" w:history="1">
        <w:r w:rsidR="009B66E3" w:rsidRPr="00EC31B9">
          <w:rPr>
            <w:rStyle w:val="Hyperlink"/>
          </w:rPr>
          <w:t>https://energywateragency.gov.mt/public-consultation-on-proposals-of-groundwater-abstraction/</w:t>
        </w:r>
      </w:hyperlink>
      <w:r w:rsidRPr="00EA4C9B">
        <w:t xml:space="preserve"> </w:t>
      </w:r>
    </w:p>
  </w:footnote>
  <w:footnote w:id="610">
    <w:p w14:paraId="369E12A3" w14:textId="665E01D2" w:rsidR="00664BE6" w:rsidRPr="00FA4E41" w:rsidRDefault="00664BE6" w:rsidP="009B66E3">
      <w:pPr>
        <w:pStyle w:val="FootnoteText"/>
        <w:jc w:val="left"/>
      </w:pPr>
      <w:r w:rsidRPr="00FA4E41">
        <w:rPr>
          <w:rStyle w:val="FootnoteReference"/>
        </w:rPr>
        <w:footnoteRef/>
      </w:r>
      <w:r w:rsidR="009B66E3">
        <w:t xml:space="preserve"> </w:t>
      </w:r>
      <w:r w:rsidR="009B66E3">
        <w:tab/>
      </w:r>
      <w:hyperlink r:id="rId405" w:history="1">
        <w:r w:rsidR="009B66E3" w:rsidRPr="00EC31B9">
          <w:rPr>
            <w:rStyle w:val="Hyperlink"/>
          </w:rPr>
          <w:t>https://era.org.mt/wp-content/uploads/2021/10/Construction-and-Demolition-Waste-Strategy-for-Malta-2021-2030-Managing-Construction-Demolition.pdf</w:t>
        </w:r>
      </w:hyperlink>
      <w:r w:rsidRPr="00FA4E41">
        <w:t xml:space="preserve"> </w:t>
      </w:r>
    </w:p>
  </w:footnote>
  <w:footnote w:id="611">
    <w:p w14:paraId="693DC5D0" w14:textId="2BF43CF1" w:rsidR="00664BE6" w:rsidRPr="00FA4E41" w:rsidRDefault="00664BE6" w:rsidP="00664BE6">
      <w:pPr>
        <w:pStyle w:val="FootnoteText"/>
      </w:pPr>
      <w:r w:rsidRPr="00FA4E41">
        <w:rPr>
          <w:rStyle w:val="FootnoteReference"/>
        </w:rPr>
        <w:footnoteRef/>
      </w:r>
      <w:r w:rsidRPr="00FA4E41">
        <w:t xml:space="preserve"> </w:t>
      </w:r>
      <w:r w:rsidR="009B66E3">
        <w:tab/>
      </w:r>
      <w:hyperlink r:id="rId406" w:history="1">
        <w:r w:rsidR="009B66E3" w:rsidRPr="00EC31B9">
          <w:rPr>
            <w:rStyle w:val="Hyperlink"/>
          </w:rPr>
          <w:t>https://greenbestpractice.jrc.ec.europa.eu/node/7</w:t>
        </w:r>
      </w:hyperlink>
      <w:r w:rsidRPr="00FA4E41">
        <w:t xml:space="preserve"> </w:t>
      </w:r>
    </w:p>
  </w:footnote>
  <w:footnote w:id="612">
    <w:p w14:paraId="01DAAB29" w14:textId="714EE761" w:rsidR="00664BE6" w:rsidRPr="00FA4E41" w:rsidRDefault="00664BE6" w:rsidP="009B66E3">
      <w:pPr>
        <w:pStyle w:val="FootnoteText"/>
        <w:jc w:val="left"/>
      </w:pPr>
      <w:r w:rsidRPr="00FA4E41">
        <w:rPr>
          <w:rStyle w:val="FootnoteReference"/>
        </w:rPr>
        <w:footnoteRef/>
      </w:r>
      <w:r w:rsidR="009B66E3">
        <w:t xml:space="preserve"> </w:t>
      </w:r>
      <w:r w:rsidR="009B66E3">
        <w:tab/>
      </w:r>
      <w:hyperlink r:id="rId407" w:history="1">
        <w:r w:rsidR="009B66E3" w:rsidRPr="00EC31B9">
          <w:rPr>
            <w:rStyle w:val="Hyperlink"/>
          </w:rPr>
          <w:t>https://era.org.mt/wp-content/uploads/2022/02/Long-Term-Waste-Management-Plan-v1.4.3-Spreads-Digital-Version.pdf</w:t>
        </w:r>
      </w:hyperlink>
      <w:r w:rsidRPr="00FA4E41">
        <w:t xml:space="preserve"> </w:t>
      </w:r>
    </w:p>
  </w:footnote>
  <w:footnote w:id="613">
    <w:p w14:paraId="3CE4FB44" w14:textId="445BA408" w:rsidR="00664BE6" w:rsidRPr="00EA4C9B" w:rsidRDefault="00664BE6" w:rsidP="00664BE6">
      <w:pPr>
        <w:pStyle w:val="FootnoteText"/>
      </w:pPr>
      <w:r w:rsidRPr="00FA4E41">
        <w:rPr>
          <w:rStyle w:val="FootnoteReference"/>
        </w:rPr>
        <w:footnoteRef/>
      </w:r>
      <w:r w:rsidRPr="00FA4E41">
        <w:t xml:space="preserve"> </w:t>
      </w:r>
      <w:r w:rsidR="009B66E3">
        <w:tab/>
      </w:r>
      <w:r w:rsidRPr="00FA4E41">
        <w:t>Commission Staff Working Document 2024 Country Report – Malta. Accompanying the document Recommendation for a COUNCIL RECOMMENDATION on the economic, social, employment, structural and budgetary policies of Italy.</w:t>
      </w:r>
    </w:p>
  </w:footnote>
  <w:footnote w:id="614">
    <w:p w14:paraId="650D2A34" w14:textId="2FCD14C7" w:rsidR="00B0012A" w:rsidRPr="00BA7936" w:rsidRDefault="00B0012A">
      <w:pPr>
        <w:pStyle w:val="FootnoteText"/>
        <w:rPr>
          <w:lang w:val="it-IT"/>
        </w:rPr>
      </w:pPr>
      <w:r>
        <w:rPr>
          <w:rStyle w:val="FootnoteReference"/>
        </w:rPr>
        <w:footnoteRef/>
      </w:r>
      <w:r>
        <w:t xml:space="preserve"> </w:t>
      </w:r>
      <w:r w:rsidR="00575A7B" w:rsidRPr="00575A7B">
        <w:rPr>
          <w:i/>
          <w:iCs/>
        </w:rPr>
        <w:t>Malta, 2025 EU waste recycling targets – State of play</w:t>
      </w:r>
      <w:r w:rsidR="00575A7B" w:rsidRPr="00575A7B">
        <w:t>, Publications Office of the European Union, 2023, </w:t>
      </w:r>
      <w:hyperlink r:id="rId408" w:tgtFrame="_blank" w:history="1">
        <w:r w:rsidR="00575A7B" w:rsidRPr="00BA7936">
          <w:rPr>
            <w:rStyle w:val="Hyperlink"/>
          </w:rPr>
          <w:t>https://data.europa.eu/doi/10.2779/132998</w:t>
        </w:r>
      </w:hyperlink>
    </w:p>
  </w:footnote>
  <w:footnote w:id="615">
    <w:p w14:paraId="7E2552B3" w14:textId="442FFDC1" w:rsidR="00391DBF" w:rsidRPr="004E7F5F" w:rsidRDefault="00391DBF" w:rsidP="00391DBF">
      <w:pPr>
        <w:pStyle w:val="FootnoteText"/>
        <w:rPr>
          <w:lang w:val="en-US"/>
        </w:rPr>
      </w:pPr>
      <w:r>
        <w:rPr>
          <w:rStyle w:val="FootnoteReference"/>
        </w:rPr>
        <w:footnoteRef/>
      </w:r>
      <w:r>
        <w:t xml:space="preserve"> </w:t>
      </w:r>
      <w:r>
        <w:tab/>
      </w:r>
      <w:r w:rsidRPr="004E7F5F">
        <w:t xml:space="preserve">The comparison is expressed in real terms, meaning that figures are adjusted for inflation. The </w:t>
      </w:r>
      <w:r>
        <w:t>30</w:t>
      </w:r>
      <w:r w:rsidRPr="004E7F5F">
        <w:t>%    increase refers to growth in constant prices over 2009–2023.</w:t>
      </w:r>
    </w:p>
  </w:footnote>
  <w:footnote w:id="616">
    <w:p w14:paraId="1B692B2C" w14:textId="0A2BBFD5" w:rsidR="00664BE6" w:rsidRPr="00EA4C9B" w:rsidRDefault="00664BE6" w:rsidP="00664BE6">
      <w:pPr>
        <w:pStyle w:val="FootnoteText"/>
      </w:pPr>
      <w:r w:rsidRPr="00EA4C9B">
        <w:rPr>
          <w:rStyle w:val="FootnoteReference"/>
        </w:rPr>
        <w:footnoteRef/>
      </w:r>
      <w:r w:rsidRPr="00EA4C9B">
        <w:t xml:space="preserve"> </w:t>
      </w:r>
      <w:r w:rsidR="009B66E3">
        <w:tab/>
      </w:r>
      <w:r w:rsidRPr="00EA4C9B">
        <w:t>https://www.cbs.nl/nl-nl/nieuws/2023/45/opbrengst-milieubelastingen-gedaald</w:t>
      </w:r>
    </w:p>
  </w:footnote>
  <w:footnote w:id="617">
    <w:p w14:paraId="2CA9EAB0" w14:textId="4B6B1509" w:rsidR="00664BE6" w:rsidRPr="0035164C" w:rsidRDefault="00664BE6" w:rsidP="0035164C">
      <w:pPr>
        <w:pStyle w:val="Footnotes"/>
      </w:pPr>
      <w:r w:rsidRPr="00586A9D">
        <w:rPr>
          <w:rStyle w:val="FootnoteReference"/>
        </w:rPr>
        <w:footnoteRef/>
      </w:r>
      <w:r w:rsidRPr="0035164C">
        <w:t xml:space="preserve"> </w:t>
      </w:r>
      <w:r w:rsidR="009B66E3">
        <w:tab/>
      </w:r>
      <w:r w:rsidRPr="0035164C">
        <w:t>https://wetten.overheid.nl/BWBR0007168/2025-01-01</w:t>
      </w:r>
    </w:p>
  </w:footnote>
  <w:footnote w:id="618">
    <w:p w14:paraId="0D9D2228" w14:textId="6612DF1F" w:rsidR="00664BE6" w:rsidRPr="0035164C" w:rsidRDefault="00664BE6" w:rsidP="0035164C">
      <w:pPr>
        <w:pStyle w:val="Footnotes"/>
      </w:pPr>
      <w:r w:rsidRPr="00586A9D">
        <w:rPr>
          <w:rStyle w:val="FootnoteReference"/>
        </w:rPr>
        <w:footnoteRef/>
      </w:r>
      <w:r w:rsidRPr="0035164C">
        <w:t xml:space="preserve"> </w:t>
      </w:r>
      <w:r w:rsidR="009B66E3">
        <w:tab/>
      </w:r>
      <w:r w:rsidRPr="0035164C">
        <w:t>https://ce.nl/publicaties/evaluatie-afvalstoffenbelasting/</w:t>
      </w:r>
    </w:p>
  </w:footnote>
  <w:footnote w:id="619">
    <w:p w14:paraId="6033FF31" w14:textId="7D0694D4" w:rsidR="00664BE6" w:rsidRPr="00EA4C9B" w:rsidRDefault="00664BE6" w:rsidP="0035164C">
      <w:pPr>
        <w:pStyle w:val="Footnotes"/>
      </w:pPr>
      <w:r w:rsidRPr="00586A9D">
        <w:rPr>
          <w:rStyle w:val="FootnoteReference"/>
        </w:rPr>
        <w:footnoteRef/>
      </w:r>
      <w:r w:rsidRPr="0035164C">
        <w:t xml:space="preserve"> </w:t>
      </w:r>
      <w:r w:rsidR="009B66E3">
        <w:tab/>
      </w:r>
      <w:r w:rsidRPr="0035164C">
        <w:t>https://wetten.overheid.nl/BWBR0007168/2025-01-01</w:t>
      </w:r>
    </w:p>
  </w:footnote>
  <w:footnote w:id="620">
    <w:p w14:paraId="45D1F083" w14:textId="5280E711" w:rsidR="00664BE6" w:rsidRPr="00EA4C9B" w:rsidRDefault="00664BE6" w:rsidP="009B66E3">
      <w:pPr>
        <w:pStyle w:val="Footnotes"/>
        <w:jc w:val="left"/>
      </w:pPr>
      <w:r w:rsidRPr="00EA4C9B">
        <w:rPr>
          <w:rStyle w:val="FootnoteReference"/>
        </w:rPr>
        <w:footnoteRef/>
      </w:r>
      <w:r w:rsidR="00391DBF">
        <w:t xml:space="preserve"> </w:t>
      </w:r>
      <w:r w:rsidRPr="00EA4C9B">
        <w:t>https://www.belastingdienst.nl/wps/wcm/connect/bldcontentnl/belastingdienst/zakelijk/overige_belastingen/belastingen_op_milieugrondslag/vliegbelasting/</w:t>
      </w:r>
    </w:p>
  </w:footnote>
  <w:footnote w:id="621">
    <w:p w14:paraId="2204B925" w14:textId="12274DF5" w:rsidR="00664BE6" w:rsidRPr="00EA4C9B" w:rsidRDefault="00664BE6" w:rsidP="00586A9D">
      <w:pPr>
        <w:pStyle w:val="Footnotes"/>
      </w:pPr>
      <w:r w:rsidRPr="00EA4C9B">
        <w:rPr>
          <w:rStyle w:val="FootnoteReference"/>
        </w:rPr>
        <w:footnoteRef/>
      </w:r>
      <w:r w:rsidRPr="00EA4C9B">
        <w:t xml:space="preserve"> </w:t>
      </w:r>
      <w:r w:rsidR="009B66E3">
        <w:tab/>
      </w:r>
      <w:r w:rsidRPr="00EA4C9B">
        <w:t>https://schengenvisainfo.com/news/netherlands-triples-air-passenger-tax-to-reduce-co2-emissions/</w:t>
      </w:r>
    </w:p>
  </w:footnote>
  <w:footnote w:id="622">
    <w:p w14:paraId="2A3F74F8" w14:textId="5C2FD570" w:rsidR="00664BE6" w:rsidRPr="00EA4C9B" w:rsidRDefault="00664BE6" w:rsidP="009B66E3">
      <w:pPr>
        <w:pStyle w:val="Footnotes"/>
        <w:jc w:val="left"/>
      </w:pPr>
      <w:r w:rsidRPr="00EA4C9B">
        <w:rPr>
          <w:rStyle w:val="FootnoteReference"/>
        </w:rPr>
        <w:footnoteRef/>
      </w:r>
      <w:r w:rsidR="009B66E3">
        <w:t xml:space="preserve"> </w:t>
      </w:r>
      <w:r w:rsidR="009B66E3">
        <w:tab/>
      </w:r>
      <w:r w:rsidRPr="00EA4C9B">
        <w:t>https://www.rijksoverheid.nl/actueel/nieuws/2025/01/15/kabinet-vraagt-mening-over-vliegbelasting-vanaf-2027</w:t>
      </w:r>
    </w:p>
  </w:footnote>
  <w:footnote w:id="623">
    <w:p w14:paraId="5F770E3B" w14:textId="5A0EB0CE" w:rsidR="00664BE6" w:rsidRPr="00EA4C9B" w:rsidRDefault="00664BE6" w:rsidP="00664BE6">
      <w:pPr>
        <w:pStyle w:val="FootnoteText"/>
      </w:pPr>
      <w:r w:rsidRPr="00EA4C9B">
        <w:rPr>
          <w:rStyle w:val="FootnoteReference"/>
        </w:rPr>
        <w:footnoteRef/>
      </w:r>
      <w:r w:rsidRPr="00EA4C9B">
        <w:t xml:space="preserve"> </w:t>
      </w:r>
      <w:r w:rsidR="009B66E3">
        <w:tab/>
      </w:r>
      <w:hyperlink r:id="rId409" w:history="1">
        <w:r w:rsidR="009B66E3" w:rsidRPr="00EC31B9">
          <w:rPr>
            <w:rStyle w:val="Hyperlink"/>
          </w:rPr>
          <w:t>https://www</w:t>
        </w:r>
      </w:hyperlink>
      <w:r w:rsidRPr="00EA4C9B">
        <w:t>.hhnk.nl/watersysteemheffing</w:t>
      </w:r>
    </w:p>
  </w:footnote>
  <w:footnote w:id="624">
    <w:p w14:paraId="7569D9DA" w14:textId="7A1EA86D" w:rsidR="00664BE6" w:rsidRPr="00EA4C9B" w:rsidRDefault="00664BE6" w:rsidP="009B66E3">
      <w:pPr>
        <w:pStyle w:val="Footnotes"/>
        <w:jc w:val="left"/>
      </w:pPr>
      <w:r w:rsidRPr="00EA4C9B">
        <w:rPr>
          <w:rStyle w:val="FootnoteReference"/>
        </w:rPr>
        <w:footnoteRef/>
      </w:r>
      <w:r w:rsidRPr="00EA4C9B">
        <w:t xml:space="preserve"> </w:t>
      </w:r>
      <w:r w:rsidR="009B66E3">
        <w:tab/>
      </w:r>
      <w:r w:rsidRPr="00EA4C9B">
        <w:t>https://www.waternet.nl/service-en-contact/rekening-betalen/alles-over-uw-rekening/uitleg-aanslag-waterschapsbelasting/</w:t>
      </w:r>
    </w:p>
  </w:footnote>
  <w:footnote w:id="625">
    <w:p w14:paraId="78D77A07" w14:textId="3EB5354A" w:rsidR="00664BE6" w:rsidRPr="00EA4C9B" w:rsidRDefault="00664BE6" w:rsidP="00883C01">
      <w:pPr>
        <w:pStyle w:val="Footnotes"/>
      </w:pPr>
      <w:r w:rsidRPr="00EA4C9B">
        <w:rPr>
          <w:rStyle w:val="FootnoteReference"/>
        </w:rPr>
        <w:footnoteRef/>
      </w:r>
      <w:r w:rsidRPr="00EA4C9B">
        <w:t xml:space="preserve"> </w:t>
      </w:r>
      <w:r w:rsidR="009B66E3">
        <w:tab/>
      </w:r>
      <w:r w:rsidRPr="00EA4C9B">
        <w:t>https://business.gov.nl/regulation/sewerage-tax/</w:t>
      </w:r>
    </w:p>
  </w:footnote>
  <w:footnote w:id="626">
    <w:p w14:paraId="7D7145B7" w14:textId="48CA22BC" w:rsidR="00664BE6" w:rsidRPr="00EA4C9B" w:rsidRDefault="00664BE6" w:rsidP="00883C01">
      <w:pPr>
        <w:pStyle w:val="Footnotes"/>
      </w:pPr>
      <w:r w:rsidRPr="00EA4C9B">
        <w:rPr>
          <w:rStyle w:val="FootnoteReference"/>
        </w:rPr>
        <w:footnoteRef/>
      </w:r>
      <w:r w:rsidRPr="00EA4C9B">
        <w:t xml:space="preserve"> </w:t>
      </w:r>
      <w:r w:rsidR="009B66E3">
        <w:tab/>
      </w:r>
      <w:r w:rsidRPr="00EA4C9B">
        <w:t>https://www.amsterdam.nl/en/municipal-taxes/sewer-charges/</w:t>
      </w:r>
    </w:p>
  </w:footnote>
  <w:footnote w:id="627">
    <w:p w14:paraId="7D8C8253" w14:textId="0DA371BF" w:rsidR="00664BE6" w:rsidRPr="00EA4C9B" w:rsidRDefault="00664BE6" w:rsidP="00883C01">
      <w:pPr>
        <w:pStyle w:val="Footnotes"/>
      </w:pPr>
      <w:r w:rsidRPr="00EA4C9B">
        <w:rPr>
          <w:rStyle w:val="FootnoteReference"/>
        </w:rPr>
        <w:footnoteRef/>
      </w:r>
      <w:r w:rsidRPr="00EA4C9B">
        <w:t xml:space="preserve"> </w:t>
      </w:r>
      <w:r w:rsidR="009B66E3">
        <w:tab/>
      </w:r>
      <w:r w:rsidRPr="00EA4C9B">
        <w:t>https://wetten.overheid.nl/BWBR0025458/2024-01-01/#Hoofdstuk7</w:t>
      </w:r>
    </w:p>
  </w:footnote>
  <w:footnote w:id="628">
    <w:p w14:paraId="1270AC4E" w14:textId="4CD513A9" w:rsidR="00664BE6" w:rsidRPr="00EA4C9B" w:rsidRDefault="00664BE6" w:rsidP="009B66E3">
      <w:pPr>
        <w:pStyle w:val="Footnotes"/>
        <w:jc w:val="left"/>
      </w:pPr>
      <w:r w:rsidRPr="00EA4C9B">
        <w:rPr>
          <w:rStyle w:val="FootnoteReference"/>
        </w:rPr>
        <w:footnoteRef/>
      </w:r>
      <w:r w:rsidR="009B66E3">
        <w:t xml:space="preserve"> </w:t>
      </w:r>
      <w:r w:rsidR="009B66E3">
        <w:tab/>
      </w:r>
      <w:r w:rsidRPr="00EA4C9B">
        <w:t>https://wetten.overheid.nl/BWBR0005555/2025-01-01/#Hoofdstuk8a_Titeldeel8A.3_Paragraaf8a.3.1_Artikel8a.38</w:t>
      </w:r>
    </w:p>
  </w:footnote>
  <w:footnote w:id="629">
    <w:p w14:paraId="078EF372" w14:textId="73E2C14A" w:rsidR="00664BE6" w:rsidRPr="00EA4C9B" w:rsidRDefault="00664BE6" w:rsidP="0035164C">
      <w:pPr>
        <w:pStyle w:val="Footnotes"/>
      </w:pPr>
      <w:r w:rsidRPr="00EA4C9B">
        <w:rPr>
          <w:rStyle w:val="FootnoteReference"/>
        </w:rPr>
        <w:footnoteRef/>
      </w:r>
      <w:r w:rsidR="00C4587F">
        <w:t xml:space="preserve"> </w:t>
      </w:r>
      <w:r w:rsidRPr="00EA4C9B">
        <w:t>https://www.belastingdienst.nl/wps/wcm/connect/bldcontentnl/belastingdienst/zakelijk/overige_belastingen/belastingen_op_milieugrondslag/co2-heffing/</w:t>
      </w:r>
    </w:p>
  </w:footnote>
  <w:footnote w:id="630">
    <w:p w14:paraId="121E1E5B" w14:textId="4CCB11C4" w:rsidR="00664BE6" w:rsidRPr="00EA4C9B" w:rsidRDefault="00664BE6" w:rsidP="0035164C">
      <w:pPr>
        <w:pStyle w:val="Footnotes"/>
      </w:pPr>
      <w:r w:rsidRPr="00EA4C9B">
        <w:rPr>
          <w:rStyle w:val="FootnoteReference"/>
        </w:rPr>
        <w:footnoteRef/>
      </w:r>
      <w:r w:rsidRPr="00EA4C9B">
        <w:t xml:space="preserve"> </w:t>
      </w:r>
      <w:r w:rsidR="009B66E3">
        <w:tab/>
      </w:r>
      <w:r w:rsidRPr="00EA4C9B">
        <w:t>https://www.cbs.nl/en-gb/figures/detail/82725ENG</w:t>
      </w:r>
    </w:p>
  </w:footnote>
  <w:footnote w:id="631">
    <w:p w14:paraId="287F368B" w14:textId="25755DE0" w:rsidR="00664BE6" w:rsidRPr="00EA4C9B" w:rsidRDefault="00664BE6" w:rsidP="0035164C">
      <w:pPr>
        <w:pStyle w:val="Footnotes"/>
      </w:pPr>
      <w:r w:rsidRPr="00EA4C9B">
        <w:rPr>
          <w:rStyle w:val="FootnoteReference"/>
        </w:rPr>
        <w:footnoteRef/>
      </w:r>
      <w:r w:rsidRPr="00EA4C9B">
        <w:t xml:space="preserve"> </w:t>
      </w:r>
      <w:r w:rsidR="009B66E3">
        <w:tab/>
      </w:r>
      <w:r w:rsidRPr="00EA4C9B">
        <w:t>https://wetten.overheid.nl/BWBR0004054/2025-01-01</w:t>
      </w:r>
    </w:p>
  </w:footnote>
  <w:footnote w:id="632">
    <w:p w14:paraId="335C2FCA" w14:textId="229F33C4" w:rsidR="00664BE6" w:rsidRPr="00EA4C9B" w:rsidRDefault="00664BE6" w:rsidP="0035164C">
      <w:pPr>
        <w:pStyle w:val="Footnotes"/>
      </w:pPr>
      <w:r w:rsidRPr="00EA4C9B">
        <w:rPr>
          <w:rStyle w:val="FootnoteReference"/>
        </w:rPr>
        <w:footnoteRef/>
      </w:r>
      <w:r w:rsidRPr="00EA4C9B">
        <w:t xml:space="preserve"> </w:t>
      </w:r>
      <w:r w:rsidR="009B66E3">
        <w:tab/>
      </w:r>
      <w:r w:rsidRPr="00EA4C9B">
        <w:t>https://business.gov.nl/regulation/environment-planning-permit-felling-trees/</w:t>
      </w:r>
    </w:p>
  </w:footnote>
  <w:footnote w:id="633">
    <w:p w14:paraId="72A2222F" w14:textId="5091B46D" w:rsidR="00664BE6" w:rsidRPr="00EA4C9B" w:rsidRDefault="00664BE6" w:rsidP="0035164C">
      <w:pPr>
        <w:pStyle w:val="Footnotes"/>
      </w:pPr>
      <w:r w:rsidRPr="00EA4C9B">
        <w:rPr>
          <w:rStyle w:val="FootnoteReference"/>
        </w:rPr>
        <w:footnoteRef/>
      </w:r>
      <w:r w:rsidRPr="00EA4C9B">
        <w:t xml:space="preserve"> </w:t>
      </w:r>
      <w:r w:rsidR="009B66E3">
        <w:tab/>
      </w:r>
      <w:r w:rsidRPr="00EA4C9B">
        <w:t>https://business.gov.nl/regulation/hunting-licence/</w:t>
      </w:r>
    </w:p>
  </w:footnote>
  <w:footnote w:id="634">
    <w:p w14:paraId="5106620E" w14:textId="00C3ABB8" w:rsidR="00664BE6" w:rsidRPr="00EA4C9B" w:rsidRDefault="00664BE6" w:rsidP="0035164C">
      <w:pPr>
        <w:pStyle w:val="Footnotes"/>
      </w:pPr>
      <w:r w:rsidRPr="00EA4C9B">
        <w:rPr>
          <w:rStyle w:val="FootnoteReference"/>
        </w:rPr>
        <w:footnoteRef/>
      </w:r>
      <w:r w:rsidRPr="00EA4C9B">
        <w:t xml:space="preserve"> </w:t>
      </w:r>
      <w:r w:rsidR="009B66E3">
        <w:tab/>
      </w:r>
      <w:r w:rsidRPr="00EA4C9B">
        <w:t>https://business.gov.nl/regulation/rules-catching-fish-marine-coastal-waters/</w:t>
      </w:r>
    </w:p>
  </w:footnote>
  <w:footnote w:id="635">
    <w:p w14:paraId="19C4B353" w14:textId="17142A1A" w:rsidR="00664BE6" w:rsidRPr="00EA4C9B" w:rsidRDefault="00664BE6" w:rsidP="009B66E3">
      <w:pPr>
        <w:pStyle w:val="Footnotes"/>
        <w:jc w:val="left"/>
      </w:pPr>
      <w:r w:rsidRPr="00EA4C9B">
        <w:rPr>
          <w:rStyle w:val="FootnoteReference"/>
        </w:rPr>
        <w:footnoteRef/>
      </w:r>
      <w:r w:rsidR="009B66E3">
        <w:t xml:space="preserve"> </w:t>
      </w:r>
      <w:r w:rsidR="009B66E3">
        <w:tab/>
      </w:r>
      <w:r w:rsidRPr="00EA4C9B">
        <w:t>https://www.government.nl/latest/news/2023/09/19/2024-tax-plan-essential-steps-for-society-and-for-the-tax-system?</w:t>
      </w:r>
    </w:p>
  </w:footnote>
  <w:footnote w:id="636">
    <w:p w14:paraId="2A203545" w14:textId="3EE07E6F" w:rsidR="00664BE6" w:rsidRPr="00EA4C9B" w:rsidRDefault="00664BE6" w:rsidP="009B66E3">
      <w:pPr>
        <w:pStyle w:val="Footnotes"/>
        <w:jc w:val="left"/>
      </w:pPr>
      <w:r w:rsidRPr="00EA4C9B">
        <w:rPr>
          <w:rStyle w:val="FootnoteReference"/>
        </w:rPr>
        <w:footnoteRef/>
      </w:r>
      <w:r w:rsidR="009B66E3">
        <w:t xml:space="preserve"> </w:t>
      </w:r>
      <w:r w:rsidR="009B66E3">
        <w:tab/>
      </w:r>
      <w:r w:rsidRPr="00EA4C9B">
        <w:t>https://www.government.nl/latest/news/2024/09/17/2025-tax-plan-more-balanced-income-distribution-and-healthy-public-finances</w:t>
      </w:r>
    </w:p>
  </w:footnote>
  <w:footnote w:id="637">
    <w:p w14:paraId="30A861CC" w14:textId="0498547A" w:rsidR="00664BE6" w:rsidRPr="00EA4C9B" w:rsidRDefault="00664BE6" w:rsidP="009B7B78">
      <w:pPr>
        <w:pStyle w:val="Footnotes"/>
        <w:jc w:val="left"/>
      </w:pPr>
      <w:r w:rsidRPr="00EA4C9B">
        <w:rPr>
          <w:rStyle w:val="FootnoteReference"/>
        </w:rPr>
        <w:footnoteRef/>
      </w:r>
      <w:r w:rsidR="009B7B78">
        <w:t xml:space="preserve"> </w:t>
      </w:r>
      <w:r w:rsidRPr="00EA4C9B">
        <w:t>https://commission.europa.eu/publications/2025-european-semester-country-specific-recommendations-commission-recommendations_en</w:t>
      </w:r>
    </w:p>
  </w:footnote>
  <w:footnote w:id="638">
    <w:p w14:paraId="093E32D8" w14:textId="383BA7E2" w:rsidR="00C4587F" w:rsidRDefault="00C4587F">
      <w:pPr>
        <w:pStyle w:val="FootnoteText"/>
      </w:pPr>
      <w:r>
        <w:rPr>
          <w:rStyle w:val="FootnoteReference"/>
        </w:rPr>
        <w:footnoteRef/>
      </w:r>
      <w:r>
        <w:t xml:space="preserve"> </w:t>
      </w:r>
      <w:r>
        <w:tab/>
      </w:r>
      <w:hyperlink r:id="rId410" w:history="1">
        <w:r w:rsidRPr="00C4587F">
          <w:rPr>
            <w:rStyle w:val="Hyperlink"/>
          </w:rPr>
          <w:t>https://www.consilium.europa.eu/en/press/press-releases/2025/07/08/european-semester-2025-council-adopts-country-specific-recommendations/</w:t>
        </w:r>
      </w:hyperlink>
      <w:r>
        <w:t xml:space="preserve"> </w:t>
      </w:r>
    </w:p>
  </w:footnote>
  <w:footnote w:id="639">
    <w:p w14:paraId="46BC9EC2" w14:textId="62ED6EEF" w:rsidR="00664BE6" w:rsidRPr="00EA4C9B" w:rsidRDefault="00664BE6" w:rsidP="0035164C">
      <w:pPr>
        <w:pStyle w:val="Footnotes"/>
      </w:pPr>
      <w:r w:rsidRPr="00EA4C9B">
        <w:rPr>
          <w:rStyle w:val="FootnoteReference"/>
        </w:rPr>
        <w:footnoteRef/>
      </w:r>
      <w:r w:rsidRPr="00EA4C9B">
        <w:t xml:space="preserve"> </w:t>
      </w:r>
      <w:r w:rsidR="009B7B78">
        <w:tab/>
      </w:r>
      <w:r w:rsidRPr="00EA4C9B">
        <w:t>https://ieep.eu/publications/evaluating-international-experiences-with-environmental-tax-reform/</w:t>
      </w:r>
    </w:p>
  </w:footnote>
  <w:footnote w:id="640">
    <w:p w14:paraId="4D235589" w14:textId="49C5C3E1" w:rsidR="00664BE6" w:rsidRPr="00EA4C9B" w:rsidRDefault="00664BE6" w:rsidP="0035164C">
      <w:pPr>
        <w:pStyle w:val="Footnotes"/>
      </w:pPr>
      <w:r w:rsidRPr="00EA4C9B">
        <w:rPr>
          <w:rStyle w:val="FootnoteReference"/>
        </w:rPr>
        <w:footnoteRef/>
      </w:r>
      <w:r w:rsidRPr="00EA4C9B">
        <w:t xml:space="preserve"> </w:t>
      </w:r>
      <w:r w:rsidR="009B7B78">
        <w:tab/>
      </w:r>
      <w:r w:rsidRPr="00EA4C9B">
        <w:t>https://ieep.eu/publications/evaluating-international-experiences-with-environmental-tax-reform/</w:t>
      </w:r>
    </w:p>
  </w:footnote>
  <w:footnote w:id="641">
    <w:p w14:paraId="5F955989" w14:textId="42F86EA6" w:rsidR="00664BE6" w:rsidRPr="00EA4C9B" w:rsidRDefault="00664BE6" w:rsidP="0035164C">
      <w:pPr>
        <w:pStyle w:val="Footnotes"/>
      </w:pPr>
      <w:r w:rsidRPr="00EA4C9B">
        <w:rPr>
          <w:rStyle w:val="FootnoteReference"/>
        </w:rPr>
        <w:footnoteRef/>
      </w:r>
      <w:r w:rsidRPr="00EA4C9B">
        <w:t xml:space="preserve"> </w:t>
      </w:r>
      <w:r w:rsidR="009B7B78">
        <w:tab/>
      </w:r>
      <w:r w:rsidRPr="00EA4C9B">
        <w:t>https://www.eea.europa.eu/en/analysis/publications/environmental-tax-reform-in-europe</w:t>
      </w:r>
    </w:p>
  </w:footnote>
  <w:footnote w:id="642">
    <w:p w14:paraId="7F98C4C4" w14:textId="42E1666F" w:rsidR="00664BE6" w:rsidRPr="00EA4C9B" w:rsidRDefault="00664BE6" w:rsidP="0035164C">
      <w:pPr>
        <w:pStyle w:val="Footnotes"/>
      </w:pPr>
      <w:r w:rsidRPr="00EA4C9B">
        <w:rPr>
          <w:rStyle w:val="FootnoteReference"/>
        </w:rPr>
        <w:footnoteRef/>
      </w:r>
      <w:r w:rsidRPr="00EA4C9B">
        <w:t>https://www.belastingdienst.nl/wps/wcm/connect/bldcontentnl/belastingdienst/zakelijk/overige_belastingen/belastingen_op_milieugrondslag/tarieven_milieubelastingen/tarieven_milieubelastingen</w:t>
      </w:r>
    </w:p>
  </w:footnote>
  <w:footnote w:id="643">
    <w:p w14:paraId="22C197E7" w14:textId="1EC76E39" w:rsidR="00664BE6" w:rsidRPr="00EA4C9B" w:rsidRDefault="00664BE6" w:rsidP="00664BE6">
      <w:pPr>
        <w:pStyle w:val="FootnoteText"/>
        <w:jc w:val="left"/>
      </w:pPr>
      <w:r w:rsidRPr="00EA4C9B">
        <w:rPr>
          <w:rStyle w:val="FootnoteReference"/>
        </w:rPr>
        <w:footnoteRef/>
      </w:r>
      <w:r w:rsidRPr="00EA4C9B">
        <w:t xml:space="preserve"> </w:t>
      </w:r>
      <w:r w:rsidR="009B7B78">
        <w:tab/>
      </w:r>
      <w:r w:rsidRPr="00EA4C9B">
        <w:t>https://www.clo.nl/indicatoren/nl036021-opbrengsten-van-milieubelastingen-2001-2022#:~:text=Het%20aandeel%20van%20de%20milieubelastingen,ge%C3%AFncasseerd%20aan%20belastingen%20en%20heffingen</w:t>
      </w:r>
    </w:p>
  </w:footnote>
  <w:footnote w:id="644">
    <w:p w14:paraId="2B77C27D" w14:textId="5FEFB99F" w:rsidR="00321884" w:rsidRPr="00BA7936" w:rsidRDefault="00321884">
      <w:pPr>
        <w:pStyle w:val="FootnoteText"/>
        <w:rPr>
          <w:lang w:val="it-IT"/>
        </w:rPr>
      </w:pPr>
      <w:r>
        <w:rPr>
          <w:rStyle w:val="FootnoteReference"/>
        </w:rPr>
        <w:footnoteRef/>
      </w:r>
      <w:r>
        <w:t xml:space="preserve"> </w:t>
      </w:r>
      <w:r w:rsidR="000C0C61" w:rsidRPr="000C0C61">
        <w:rPr>
          <w:i/>
          <w:iCs/>
        </w:rPr>
        <w:t>Netherlands, 2025 EU waste recycling targets – State of play</w:t>
      </w:r>
      <w:r w:rsidR="000C0C61" w:rsidRPr="000C0C61">
        <w:t>, Publications Office of the European Union, 2023, </w:t>
      </w:r>
      <w:hyperlink r:id="rId411" w:tgtFrame="_blank" w:history="1">
        <w:r w:rsidR="000C0C61" w:rsidRPr="00BA7936">
          <w:rPr>
            <w:rStyle w:val="Hyperlink"/>
          </w:rPr>
          <w:t>https://data.europa.eu/doi/10.2779/829239</w:t>
        </w:r>
      </w:hyperlink>
    </w:p>
  </w:footnote>
  <w:footnote w:id="645">
    <w:p w14:paraId="65C1D857" w14:textId="77777777" w:rsidR="00951A90" w:rsidRPr="00FF544C" w:rsidRDefault="00951A90" w:rsidP="00951A90">
      <w:pPr>
        <w:pStyle w:val="FootnoteText"/>
        <w:rPr>
          <w:lang w:val="lt-LT"/>
        </w:rPr>
      </w:pPr>
      <w:r>
        <w:rPr>
          <w:rStyle w:val="FootnoteReference"/>
        </w:rPr>
        <w:footnoteRef/>
      </w:r>
      <w:r>
        <w:t xml:space="preserve"> </w:t>
      </w:r>
      <w:r w:rsidRPr="00D85188">
        <w:t xml:space="preserve">The comparison is expressed in real terms, meaning that figures are adjusted for inflation. The </w:t>
      </w:r>
      <w:r>
        <w:rPr>
          <w:lang w:val="en-US"/>
        </w:rPr>
        <w:t>102</w:t>
      </w:r>
      <w:r w:rsidRPr="00D85188">
        <w:t>.</w:t>
      </w:r>
      <w:r>
        <w:t>1</w:t>
      </w:r>
      <w:r w:rsidRPr="00D85188">
        <w:t>%    increase refers to growth in constant prices over 2009–2023.</w:t>
      </w:r>
    </w:p>
  </w:footnote>
  <w:footnote w:id="646">
    <w:p w14:paraId="51EA5B2E" w14:textId="711D9408" w:rsidR="00664BE6" w:rsidRPr="00EA4C9B" w:rsidRDefault="00664BE6" w:rsidP="00664BE6">
      <w:pPr>
        <w:pStyle w:val="FootnoteText"/>
      </w:pPr>
      <w:r w:rsidRPr="00EA4C9B">
        <w:rPr>
          <w:rStyle w:val="FootnoteReference"/>
        </w:rPr>
        <w:footnoteRef/>
      </w:r>
      <w:r w:rsidRPr="00EA4C9B">
        <w:t xml:space="preserve"> </w:t>
      </w:r>
      <w:r w:rsidR="00DE1642">
        <w:tab/>
      </w:r>
      <w:r w:rsidRPr="00EA4C9B">
        <w:t>Hogg et al. (2016). Study on assessing the environmental fiscal reform potential for the EU28.</w:t>
      </w:r>
    </w:p>
  </w:footnote>
  <w:footnote w:id="647">
    <w:p w14:paraId="26B8E72D" w14:textId="1B68935D" w:rsidR="00664BE6" w:rsidRPr="00EA4C9B" w:rsidRDefault="00664BE6" w:rsidP="00664BE6">
      <w:pPr>
        <w:pStyle w:val="FootnoteText"/>
      </w:pPr>
      <w:r w:rsidRPr="00EA4C9B">
        <w:rPr>
          <w:rStyle w:val="FootnoteReference"/>
        </w:rPr>
        <w:footnoteRef/>
      </w:r>
      <w:r w:rsidRPr="00EA4C9B">
        <w:t xml:space="preserve"> </w:t>
      </w:r>
      <w:r w:rsidR="00C178B5">
        <w:tab/>
      </w:r>
      <w:r w:rsidRPr="00EA4C9B">
        <w:t>No reporting is required if their annual use of the environment does not exceed 100 PLN.</w:t>
      </w:r>
    </w:p>
  </w:footnote>
  <w:footnote w:id="648">
    <w:p w14:paraId="1E897FAB" w14:textId="15EA0552" w:rsidR="00664BE6" w:rsidRPr="00EA4C9B" w:rsidRDefault="00664BE6" w:rsidP="001239C5">
      <w:pPr>
        <w:pStyle w:val="Footnotes"/>
      </w:pPr>
      <w:r w:rsidRPr="00EA4C9B">
        <w:rPr>
          <w:rStyle w:val="FootnoteReference"/>
        </w:rPr>
        <w:footnoteRef/>
      </w:r>
      <w:r w:rsidRPr="00EA4C9B">
        <w:t xml:space="preserve"> </w:t>
      </w:r>
      <w:r w:rsidR="00C178B5">
        <w:tab/>
      </w:r>
      <w:r w:rsidRPr="00EA4C9B">
        <w:t xml:space="preserve">NOTICE OF THE MINISTER OF CLIMATE AND ENVIRONMENT of 7 October 2022 on the rates of fees for the use of the environment for 2023. Available at: </w:t>
      </w:r>
      <w:hyperlink r:id="rId412" w:history="1">
        <w:r w:rsidRPr="00EA4C9B">
          <w:rPr>
            <w:rStyle w:val="Hyperlink"/>
          </w:rPr>
          <w:t>Environmental fees for 2023. - M.P.2022.1009 - OpenLEX</w:t>
        </w:r>
      </w:hyperlink>
      <w:r w:rsidRPr="00EA4C9B">
        <w:t>.</w:t>
      </w:r>
    </w:p>
  </w:footnote>
  <w:footnote w:id="649">
    <w:p w14:paraId="1BF38031" w14:textId="4DDAC68C" w:rsidR="00664BE6" w:rsidRPr="00EA4C9B" w:rsidRDefault="00664BE6" w:rsidP="001239C5">
      <w:pPr>
        <w:pStyle w:val="Footnotes"/>
      </w:pPr>
      <w:r w:rsidRPr="00EA4C9B">
        <w:rPr>
          <w:rStyle w:val="FootnoteReference"/>
        </w:rPr>
        <w:footnoteRef/>
      </w:r>
      <w:r w:rsidRPr="00EA4C9B">
        <w:t xml:space="preserve"> </w:t>
      </w:r>
      <w:r w:rsidR="00C178B5">
        <w:tab/>
      </w:r>
      <w:r w:rsidRPr="00EA4C9B">
        <w:t>EEA (2022). Early warning assessment related to the 2025 targets for municipal waste and packaging waste: Poland Country Profile.</w:t>
      </w:r>
    </w:p>
  </w:footnote>
  <w:footnote w:id="650">
    <w:p w14:paraId="67898CB3" w14:textId="5CFFC5B2" w:rsidR="00664BE6" w:rsidRPr="001239C5" w:rsidRDefault="00664BE6" w:rsidP="001239C5">
      <w:pPr>
        <w:pStyle w:val="Footnotes"/>
      </w:pPr>
      <w:r w:rsidRPr="00EA4C9B">
        <w:rPr>
          <w:rStyle w:val="FootnoteReference"/>
        </w:rPr>
        <w:footnoteRef/>
      </w:r>
      <w:r w:rsidRPr="00EA4C9B">
        <w:t xml:space="preserve"> </w:t>
      </w:r>
      <w:r w:rsidR="00C178B5">
        <w:tab/>
      </w:r>
      <w:r w:rsidRPr="001239C5">
        <w:t xml:space="preserve">Polish Water Act (2017). Available at: </w:t>
      </w:r>
      <w:hyperlink r:id="rId413" w:history="1">
        <w:r w:rsidRPr="001239C5">
          <w:rPr>
            <w:rStyle w:val="Hyperlink"/>
          </w:rPr>
          <w:t>Water law. - Journal of Laws 2024.1087 i.e. - OpenLEX</w:t>
        </w:r>
      </w:hyperlink>
    </w:p>
  </w:footnote>
  <w:footnote w:id="651">
    <w:p w14:paraId="22E79202" w14:textId="5B501986" w:rsidR="00664BE6" w:rsidRPr="00EA4C9B" w:rsidRDefault="00664BE6" w:rsidP="001239C5">
      <w:pPr>
        <w:pStyle w:val="Footnotes"/>
      </w:pPr>
      <w:r w:rsidRPr="00EA4C9B">
        <w:rPr>
          <w:rStyle w:val="FootnoteReference"/>
        </w:rPr>
        <w:footnoteRef/>
      </w:r>
      <w:r w:rsidRPr="00EA4C9B">
        <w:t xml:space="preserve"> </w:t>
      </w:r>
      <w:r w:rsidR="00C178B5">
        <w:tab/>
      </w:r>
      <w:r w:rsidRPr="00EA4C9B">
        <w:t>In some cases, also the temperature.</w:t>
      </w:r>
    </w:p>
  </w:footnote>
  <w:footnote w:id="652">
    <w:p w14:paraId="28D92E8B" w14:textId="2AF01E0C" w:rsidR="00664BE6" w:rsidRPr="00EA4C9B" w:rsidRDefault="00664BE6" w:rsidP="001239C5">
      <w:pPr>
        <w:pStyle w:val="Footnotes"/>
      </w:pPr>
      <w:r w:rsidRPr="00EA4C9B">
        <w:rPr>
          <w:rStyle w:val="FootnoteReference"/>
        </w:rPr>
        <w:footnoteRef/>
      </w:r>
      <w:r w:rsidRPr="00EA4C9B">
        <w:t xml:space="preserve"> </w:t>
      </w:r>
      <w:r w:rsidR="00C178B5">
        <w:tab/>
      </w:r>
      <w:hyperlink r:id="rId414" w:history="1">
        <w:r w:rsidRPr="00EA4C9B">
          <w:rPr>
            <w:rStyle w:val="Hyperlink"/>
          </w:rPr>
          <w:t>Water service fees</w:t>
        </w:r>
      </w:hyperlink>
    </w:p>
  </w:footnote>
  <w:footnote w:id="653">
    <w:p w14:paraId="2EDB5FD7" w14:textId="58BD6935" w:rsidR="00664BE6" w:rsidRPr="00EA4C9B" w:rsidRDefault="00664BE6" w:rsidP="001239C5">
      <w:pPr>
        <w:pStyle w:val="Footnotes"/>
      </w:pPr>
      <w:r w:rsidRPr="00EA4C9B">
        <w:rPr>
          <w:rStyle w:val="FootnoteReference"/>
        </w:rPr>
        <w:footnoteRef/>
      </w:r>
      <w:r w:rsidRPr="00EA4C9B">
        <w:t xml:space="preserve"> </w:t>
      </w:r>
      <w:r w:rsidR="00C178B5">
        <w:tab/>
      </w:r>
      <w:r w:rsidRPr="00EA4C9B">
        <w:t xml:space="preserve">ORDINANCE OF THE COUNCIL OF MINISTERS of 22 December 2017 on unit rates of fees for water services. Available at: </w:t>
      </w:r>
      <w:hyperlink r:id="rId415" w:history="1">
        <w:r w:rsidRPr="00EA4C9B">
          <w:rPr>
            <w:rStyle w:val="Hyperlink"/>
          </w:rPr>
          <w:t>Unit rates of fees for water services. - Journal of Laws 2022.2438 i.e. - OpenLEX</w:t>
        </w:r>
      </w:hyperlink>
    </w:p>
  </w:footnote>
  <w:footnote w:id="654">
    <w:p w14:paraId="30F890AD" w14:textId="7579EE97" w:rsidR="00664BE6" w:rsidRPr="00EA4C9B" w:rsidRDefault="00664BE6" w:rsidP="00C65755">
      <w:pPr>
        <w:pStyle w:val="Footnotes"/>
      </w:pPr>
      <w:r w:rsidRPr="00EA4C9B">
        <w:rPr>
          <w:rStyle w:val="FootnoteReference"/>
        </w:rPr>
        <w:footnoteRef/>
      </w:r>
      <w:r w:rsidRPr="00EA4C9B">
        <w:t xml:space="preserve"> </w:t>
      </w:r>
      <w:r w:rsidR="00C178B5">
        <w:tab/>
      </w:r>
      <w:r w:rsidRPr="00EA4C9B">
        <w:t>Doński &amp; Paczosa (2022). Efficiency of the System of Environmental Fees in Poland. Environmental Protection and Natural Resources, 33 (91).</w:t>
      </w:r>
    </w:p>
  </w:footnote>
  <w:footnote w:id="655">
    <w:p w14:paraId="4AD300F5" w14:textId="61C31CFA" w:rsidR="00664BE6" w:rsidRPr="00EA4C9B" w:rsidRDefault="00664BE6" w:rsidP="00C65755">
      <w:pPr>
        <w:pStyle w:val="Footnotes"/>
      </w:pPr>
      <w:r w:rsidRPr="00EA4C9B">
        <w:rPr>
          <w:rStyle w:val="FootnoteReference"/>
        </w:rPr>
        <w:footnoteRef/>
      </w:r>
      <w:r w:rsidRPr="00EA4C9B">
        <w:t xml:space="preserve"> </w:t>
      </w:r>
      <w:r w:rsidR="00C178B5">
        <w:tab/>
      </w:r>
      <w:r w:rsidRPr="00EA4C9B">
        <w:t>Ministry of the Environment (2013). The system of financing environmental protection in Poland. COP 19 (Warsaw).</w:t>
      </w:r>
    </w:p>
  </w:footnote>
  <w:footnote w:id="656">
    <w:p w14:paraId="1BD8951E" w14:textId="77777777" w:rsidR="00664BE6" w:rsidRPr="00EA4C9B" w:rsidRDefault="00664BE6" w:rsidP="00C65755">
      <w:pPr>
        <w:pStyle w:val="Footnotes"/>
      </w:pPr>
      <w:r w:rsidRPr="00EA4C9B">
        <w:rPr>
          <w:rStyle w:val="FootnoteReference"/>
        </w:rPr>
        <w:footnoteRef/>
      </w:r>
      <w:r w:rsidRPr="00EA4C9B">
        <w:t xml:space="preserve"> Kopyściańska (2024). Carbon tax and plastic levy as examples of tributes that can have an impact on environmental protection. Acta Iuris Stetinensis, 4 (50).</w:t>
      </w:r>
    </w:p>
  </w:footnote>
  <w:footnote w:id="657">
    <w:p w14:paraId="5EDD58C4" w14:textId="153B820F" w:rsidR="00664BE6" w:rsidRPr="00EA4C9B" w:rsidRDefault="00664BE6" w:rsidP="00C65755">
      <w:pPr>
        <w:pStyle w:val="Footnotes"/>
      </w:pPr>
      <w:r w:rsidRPr="00EA4C9B">
        <w:rPr>
          <w:rStyle w:val="FootnoteReference"/>
        </w:rPr>
        <w:footnoteRef/>
      </w:r>
      <w:r w:rsidRPr="00EA4C9B">
        <w:t xml:space="preserve"> </w:t>
      </w:r>
      <w:r w:rsidR="00C178B5">
        <w:tab/>
      </w:r>
      <w:hyperlink r:id="rId416" w:anchor="elementor-toc__heading-anchor-0" w:history="1">
        <w:r w:rsidRPr="00EA4C9B">
          <w:rPr>
            <w:rStyle w:val="Hyperlink"/>
          </w:rPr>
          <w:t>Product levy for 2024 - all about the packaging levy</w:t>
        </w:r>
      </w:hyperlink>
    </w:p>
  </w:footnote>
  <w:footnote w:id="658">
    <w:p w14:paraId="6CA3523C" w14:textId="26F927C2" w:rsidR="00664BE6" w:rsidRPr="00EA4C9B" w:rsidRDefault="00664BE6" w:rsidP="00C65755">
      <w:pPr>
        <w:pStyle w:val="Footnotes"/>
      </w:pPr>
      <w:r w:rsidRPr="00EA4C9B">
        <w:rPr>
          <w:rStyle w:val="FootnoteReference"/>
        </w:rPr>
        <w:footnoteRef/>
      </w:r>
      <w:r w:rsidRPr="00EA4C9B">
        <w:t xml:space="preserve"> </w:t>
      </w:r>
      <w:r w:rsidR="00C178B5">
        <w:tab/>
      </w:r>
      <w:r w:rsidRPr="00EA4C9B">
        <w:t>Rogulski (2015) Penalties and fees in relation to the use, marketing, recovery, recycling and disposal of ozone-depleting substances and fluorinated greenhouse gases (the so-called F-gases).</w:t>
      </w:r>
    </w:p>
  </w:footnote>
  <w:footnote w:id="659">
    <w:p w14:paraId="5096AB60" w14:textId="3F76FAB1" w:rsidR="00664BE6" w:rsidRPr="006D487D" w:rsidRDefault="00664BE6" w:rsidP="00C65755">
      <w:pPr>
        <w:pStyle w:val="Footnotes"/>
        <w:rPr>
          <w:lang w:val="pl-PL"/>
        </w:rPr>
      </w:pPr>
      <w:r w:rsidRPr="00EA4C9B">
        <w:rPr>
          <w:rStyle w:val="FootnoteReference"/>
        </w:rPr>
        <w:footnoteRef/>
      </w:r>
      <w:r w:rsidRPr="00EA4C9B">
        <w:t xml:space="preserve"> </w:t>
      </w:r>
      <w:r w:rsidR="00C178B5">
        <w:tab/>
      </w:r>
      <w:r w:rsidRPr="00EA4C9B">
        <w:t xml:space="preserve">Act of 14 April 2023 amending the Act on the obligations of entrepreneurs with regard to the management of certain waste and the product fee and certain other acts, Dz. U. (Journal of Laws) 2023, item 877. </w:t>
      </w:r>
      <w:r w:rsidRPr="006D487D">
        <w:rPr>
          <w:lang w:val="pl-PL"/>
        </w:rPr>
        <w:t xml:space="preserve">Available at: </w:t>
      </w:r>
      <w:hyperlink r:id="rId417" w:history="1">
        <w:r w:rsidRPr="006D487D">
          <w:rPr>
            <w:rStyle w:val="Hyperlink"/>
            <w:lang w:val="pl-PL"/>
          </w:rPr>
          <w:t>Ustawa z dnia 14 kwietnia 2023 r. o zmianie ustawy o obowiązkach przedsiębiorców w zakresie gospodarowania niektórymi odpadami oraz o opłacie produktowej oraz niektórych innych ustaw</w:t>
        </w:r>
      </w:hyperlink>
    </w:p>
  </w:footnote>
  <w:footnote w:id="660">
    <w:p w14:paraId="3F396B26" w14:textId="527C4180" w:rsidR="00664BE6" w:rsidRPr="00EA4C9B" w:rsidRDefault="00664BE6" w:rsidP="00C65755">
      <w:pPr>
        <w:pStyle w:val="Footnotes"/>
      </w:pPr>
      <w:r w:rsidRPr="00EA4C9B">
        <w:rPr>
          <w:rStyle w:val="FootnoteReference"/>
        </w:rPr>
        <w:footnoteRef/>
      </w:r>
      <w:r w:rsidRPr="00EA4C9B">
        <w:t xml:space="preserve"> </w:t>
      </w:r>
      <w:r w:rsidR="00C178B5">
        <w:tab/>
      </w:r>
      <w:r w:rsidRPr="00EA4C9B">
        <w:t>Malecki (2015).  Ecological fees and taxes in Poland and their new Eurostat interpretation. Argumenta Oeconomica Cracoviensia (12).</w:t>
      </w:r>
    </w:p>
  </w:footnote>
  <w:footnote w:id="661">
    <w:p w14:paraId="18D07284" w14:textId="03E9A63E" w:rsidR="00664BE6" w:rsidRPr="00EA4C9B" w:rsidRDefault="00664BE6" w:rsidP="00C65755">
      <w:pPr>
        <w:pStyle w:val="Footnotes"/>
      </w:pPr>
      <w:r w:rsidRPr="00EA4C9B">
        <w:rPr>
          <w:rStyle w:val="FootnoteReference"/>
        </w:rPr>
        <w:footnoteRef/>
      </w:r>
      <w:r w:rsidRPr="00EA4C9B">
        <w:t xml:space="preserve"> </w:t>
      </w:r>
      <w:r w:rsidR="00C178B5">
        <w:tab/>
      </w:r>
      <w:r w:rsidRPr="00EA4C9B">
        <w:t>PROs can fulfil business obligations on agreement.</w:t>
      </w:r>
    </w:p>
  </w:footnote>
  <w:footnote w:id="662">
    <w:p w14:paraId="0FC5E00A" w14:textId="359B4ABA" w:rsidR="00664BE6" w:rsidRPr="00EA4C9B" w:rsidRDefault="00664BE6" w:rsidP="00C65755">
      <w:pPr>
        <w:pStyle w:val="Footnotes"/>
      </w:pPr>
      <w:r w:rsidRPr="00EA4C9B">
        <w:rPr>
          <w:rStyle w:val="FootnoteReference"/>
        </w:rPr>
        <w:footnoteRef/>
      </w:r>
      <w:r w:rsidRPr="00EA4C9B">
        <w:t xml:space="preserve"> </w:t>
      </w:r>
      <w:r w:rsidR="00C178B5">
        <w:tab/>
      </w:r>
      <w:r w:rsidRPr="00EA4C9B">
        <w:t>EEA (2022). Early warning assessment related to the 2025 targets for municipal waste and packaging waste: Poland Country Profile.</w:t>
      </w:r>
    </w:p>
  </w:footnote>
  <w:footnote w:id="663">
    <w:p w14:paraId="353087F2" w14:textId="218E8FDF" w:rsidR="00664BE6" w:rsidRPr="00EA4C9B" w:rsidRDefault="00664BE6" w:rsidP="00C65755">
      <w:pPr>
        <w:pStyle w:val="Footnotes"/>
      </w:pPr>
      <w:r w:rsidRPr="00EA4C9B">
        <w:rPr>
          <w:rStyle w:val="FootnoteReference"/>
        </w:rPr>
        <w:footnoteRef/>
      </w:r>
      <w:r w:rsidRPr="00EA4C9B">
        <w:t xml:space="preserve"> </w:t>
      </w:r>
      <w:r w:rsidR="00C178B5">
        <w:tab/>
      </w:r>
      <w:r w:rsidRPr="00EA4C9B">
        <w:t>Malecki (2015).  Ecological fees and taxes in Poland and their new Eurostat interpretation. Argumenta Oeconomica Cracoviensia (12).</w:t>
      </w:r>
    </w:p>
  </w:footnote>
  <w:footnote w:id="664">
    <w:p w14:paraId="21DC1E1E" w14:textId="753230BB" w:rsidR="00664BE6" w:rsidRPr="00EA4C9B" w:rsidRDefault="00664BE6" w:rsidP="00C65755">
      <w:pPr>
        <w:pStyle w:val="Footnotes"/>
      </w:pPr>
      <w:r w:rsidRPr="00EA4C9B">
        <w:rPr>
          <w:rStyle w:val="FootnoteReference"/>
        </w:rPr>
        <w:footnoteRef/>
      </w:r>
      <w:r w:rsidRPr="00EA4C9B">
        <w:t xml:space="preserve"> </w:t>
      </w:r>
      <w:r w:rsidR="00C178B5">
        <w:tab/>
      </w:r>
      <w:r w:rsidRPr="00EA4C9B">
        <w:t>Rogulski (2015). Environmental fees. Polish case study. Environment Protection Engineering, 41 (2).</w:t>
      </w:r>
    </w:p>
  </w:footnote>
  <w:footnote w:id="665">
    <w:p w14:paraId="147C1827" w14:textId="21846428" w:rsidR="00664BE6" w:rsidRPr="00EA4C9B" w:rsidRDefault="00664BE6" w:rsidP="00664BE6">
      <w:pPr>
        <w:pStyle w:val="FootnoteText"/>
      </w:pPr>
      <w:r w:rsidRPr="00EA4C9B">
        <w:rPr>
          <w:rStyle w:val="FootnoteReference"/>
        </w:rPr>
        <w:footnoteRef/>
      </w:r>
      <w:r w:rsidRPr="00EA4C9B">
        <w:t xml:space="preserve"> </w:t>
      </w:r>
      <w:r w:rsidR="00C178B5">
        <w:tab/>
      </w:r>
      <w:hyperlink r:id="rId418" w:history="1">
        <w:r w:rsidRPr="00EA4C9B">
          <w:rPr>
            <w:rStyle w:val="Hyperlink"/>
          </w:rPr>
          <w:t>Ozone-depleting substances and certain fluorinated greenhouse gases. - Journal of Laws 2020.2065 i.e. - OpenLEX</w:t>
        </w:r>
      </w:hyperlink>
    </w:p>
  </w:footnote>
  <w:footnote w:id="666">
    <w:p w14:paraId="77B74CEF" w14:textId="6F030D7F" w:rsidR="00664BE6" w:rsidRPr="00EA4C9B" w:rsidRDefault="00664BE6" w:rsidP="00664BE6">
      <w:pPr>
        <w:pStyle w:val="FootnoteText"/>
      </w:pPr>
      <w:r w:rsidRPr="00EA4C9B">
        <w:rPr>
          <w:rStyle w:val="FootnoteReference"/>
        </w:rPr>
        <w:footnoteRef/>
      </w:r>
      <w:r w:rsidRPr="00EA4C9B">
        <w:t xml:space="preserve"> </w:t>
      </w:r>
      <w:r w:rsidR="00C178B5">
        <w:tab/>
      </w:r>
      <w:r w:rsidRPr="00EA4C9B">
        <w:t>Malecki (2015).  Ecological fees and taxes in Poland and their new Eurostat interpretation. Argumenta Oeconomica Cracoviensia (12).</w:t>
      </w:r>
    </w:p>
  </w:footnote>
  <w:footnote w:id="667">
    <w:p w14:paraId="4E0F5294" w14:textId="6329BF77" w:rsidR="00664BE6" w:rsidRPr="00EA4C9B" w:rsidRDefault="00664BE6" w:rsidP="00664BE6">
      <w:pPr>
        <w:pStyle w:val="FootnoteText"/>
      </w:pPr>
      <w:r w:rsidRPr="00EA4C9B">
        <w:rPr>
          <w:rStyle w:val="FootnoteReference"/>
        </w:rPr>
        <w:footnoteRef/>
      </w:r>
      <w:r w:rsidRPr="00EA4C9B">
        <w:t xml:space="preserve"> </w:t>
      </w:r>
      <w:r w:rsidR="00C178B5">
        <w:tab/>
      </w:r>
      <w:r w:rsidRPr="00EA4C9B">
        <w:t xml:space="preserve">Environmental taxation in Poland is complex and covered by a large number of different legal regulations. Based on the available literature, there does not appear to be a consensus on the charges that constitute statutory payments to the National Fund. Cieslukowski et al (2024) indicate that these include water abstraction and extraction of minerals, whereas Ochot (2022) and Malecki (2015) suggest mineral exploitation fees are excluded. Donski and Paczosa (2022) also separate water and wastewater charges from environmental exploitation levies from 2018 in their analysis based on data from the Polish Statistical Office (GUS).  Cieslukowski et al (2024) further note differences in the environmental tax data used in the detailed classification and the main database. The main database is used for the analysis presented in this factsheet. Finally, it is noted that revenues from some energy taxes (e.g. emissions allowances, substitution charge) not considered in this factsheet also provide income for the National Fund. </w:t>
      </w:r>
    </w:p>
  </w:footnote>
  <w:footnote w:id="668">
    <w:p w14:paraId="3CDFC4DE" w14:textId="53A31BA9" w:rsidR="00664BE6" w:rsidRPr="00EA4C9B" w:rsidRDefault="00664BE6" w:rsidP="00664BE6">
      <w:pPr>
        <w:pStyle w:val="FootnoteText"/>
      </w:pPr>
      <w:r w:rsidRPr="00EA4C9B">
        <w:rPr>
          <w:rStyle w:val="FootnoteReference"/>
        </w:rPr>
        <w:footnoteRef/>
      </w:r>
      <w:r w:rsidRPr="00EA4C9B">
        <w:t xml:space="preserve"> </w:t>
      </w:r>
      <w:r w:rsidR="00C178B5">
        <w:tab/>
      </w:r>
      <w:r w:rsidRPr="00EA4C9B">
        <w:t>Doński &amp; Paczosa (2022). Efficiency of the System of Environmental Fees in Poland. Environmental Protection and Natural Resources, 33 (91).</w:t>
      </w:r>
    </w:p>
  </w:footnote>
  <w:footnote w:id="669">
    <w:p w14:paraId="6F904EF7" w14:textId="3368FDA9" w:rsidR="00664BE6" w:rsidRPr="00EA4C9B" w:rsidRDefault="00664BE6" w:rsidP="00664BE6">
      <w:pPr>
        <w:pStyle w:val="FootnoteText"/>
      </w:pPr>
      <w:r w:rsidRPr="00EA4C9B">
        <w:rPr>
          <w:rStyle w:val="FootnoteReference"/>
        </w:rPr>
        <w:footnoteRef/>
      </w:r>
      <w:r w:rsidRPr="00EA4C9B">
        <w:t xml:space="preserve"> </w:t>
      </w:r>
      <w:r w:rsidR="00C178B5">
        <w:tab/>
      </w:r>
      <w:hyperlink r:id="rId419" w:anchor=":~:text=Prowadz%C4%85c%20sklep%20lub%20hurtowni%C4%99%2C%20w%20kt%C3%B3rej%20klienci%20pakuj%C4%85,urz%C4%99du%20marsza%C5%82kowskiego%20w%C5%82a%C5%9Bciwego%20dla%20miejsca%20prowadzenia%20twojej%20dzia%C5%82alno%C5%9Bci" w:history="1">
        <w:r w:rsidRPr="00EA4C9B">
          <w:rPr>
            <w:rStyle w:val="Hyperlink"/>
          </w:rPr>
          <w:t>Recycling fee for plastic bags | Biznes.gov.pl - Information and service for entrepreneurs</w:t>
        </w:r>
      </w:hyperlink>
    </w:p>
  </w:footnote>
  <w:footnote w:id="670">
    <w:p w14:paraId="0E323D2A" w14:textId="5DD7F903" w:rsidR="00664BE6" w:rsidRPr="00EA4C9B" w:rsidRDefault="00664BE6" w:rsidP="00664BE6">
      <w:pPr>
        <w:pStyle w:val="FootnoteText"/>
      </w:pPr>
      <w:r w:rsidRPr="00EA4C9B">
        <w:rPr>
          <w:rStyle w:val="FootnoteReference"/>
        </w:rPr>
        <w:footnoteRef/>
      </w:r>
      <w:r w:rsidRPr="00EA4C9B">
        <w:t xml:space="preserve"> </w:t>
      </w:r>
      <w:r w:rsidR="00C178B5">
        <w:tab/>
      </w:r>
      <w:r w:rsidRPr="00EA4C9B">
        <w:t>EEA (2022). Early warning assessment related to the 2025 targets for municipal waste and packaging waste: Poland Country Profile</w:t>
      </w:r>
    </w:p>
  </w:footnote>
  <w:footnote w:id="671">
    <w:p w14:paraId="3861293C" w14:textId="4178BFE8" w:rsidR="00664BE6" w:rsidRPr="00EA4C9B" w:rsidRDefault="00664BE6" w:rsidP="00664BE6">
      <w:pPr>
        <w:pStyle w:val="FootnoteText"/>
      </w:pPr>
      <w:r w:rsidRPr="00EA4C9B">
        <w:rPr>
          <w:rStyle w:val="FootnoteReference"/>
        </w:rPr>
        <w:footnoteRef/>
      </w:r>
      <w:r w:rsidRPr="00EA4C9B">
        <w:t xml:space="preserve"> </w:t>
      </w:r>
      <w:r w:rsidR="00C178B5">
        <w:tab/>
      </w:r>
      <w:r w:rsidRPr="00EA4C9B">
        <w:t>OECD (2020). Tax Policy Reforms 2020: OECD and selected partner economies.</w:t>
      </w:r>
    </w:p>
  </w:footnote>
  <w:footnote w:id="672">
    <w:p w14:paraId="0277A663" w14:textId="5066FCA0" w:rsidR="00664BE6" w:rsidRPr="00EA4C9B" w:rsidRDefault="00664BE6" w:rsidP="00664BE6">
      <w:pPr>
        <w:pStyle w:val="FootnoteText"/>
      </w:pPr>
      <w:r w:rsidRPr="00EA4C9B">
        <w:rPr>
          <w:rStyle w:val="FootnoteReference"/>
        </w:rPr>
        <w:footnoteRef/>
      </w:r>
      <w:r w:rsidRPr="00EA4C9B">
        <w:t xml:space="preserve"> </w:t>
      </w:r>
      <w:r w:rsidR="00C178B5">
        <w:tab/>
      </w:r>
      <w:r w:rsidRPr="00EA4C9B">
        <w:t>Act of the 9</w:t>
      </w:r>
      <w:r w:rsidRPr="00EA4C9B">
        <w:rPr>
          <w:vertAlign w:val="superscript"/>
        </w:rPr>
        <w:t>th</w:t>
      </w:r>
      <w:r w:rsidRPr="00EA4C9B">
        <w:t xml:space="preserve"> June 2011 Geological and Mining Lawa. Available at: </w:t>
      </w:r>
      <w:hyperlink r:id="rId420" w:history="1">
        <w:r w:rsidRPr="00EA4C9B">
          <w:rPr>
            <w:rStyle w:val="Hyperlink"/>
          </w:rPr>
          <w:t>Geological and Mining Law with regulations in English - Archive website of the Ministry of the Environment - Portal Gov.pl</w:t>
        </w:r>
      </w:hyperlink>
    </w:p>
  </w:footnote>
  <w:footnote w:id="673">
    <w:p w14:paraId="4336D14C" w14:textId="19F65BB2" w:rsidR="00664BE6" w:rsidRPr="00EA4C9B" w:rsidRDefault="00664BE6" w:rsidP="00664BE6">
      <w:pPr>
        <w:pStyle w:val="FootnoteText"/>
      </w:pPr>
      <w:r w:rsidRPr="00EA4C9B">
        <w:rPr>
          <w:rStyle w:val="FootnoteReference"/>
        </w:rPr>
        <w:footnoteRef/>
      </w:r>
      <w:r w:rsidRPr="00EA4C9B">
        <w:t xml:space="preserve"> </w:t>
      </w:r>
      <w:r w:rsidR="00C178B5">
        <w:tab/>
      </w:r>
      <w:r w:rsidRPr="00EA4C9B">
        <w:t>Rogulski (2015). Environmental fees. Polish case study. Environment Protection Engineering, 41 (2).</w:t>
      </w:r>
    </w:p>
  </w:footnote>
  <w:footnote w:id="674">
    <w:p w14:paraId="29082655" w14:textId="66E4C7B9" w:rsidR="00664BE6" w:rsidRPr="00C65755" w:rsidRDefault="00664BE6" w:rsidP="005271EA">
      <w:pPr>
        <w:spacing w:after="0"/>
        <w:ind w:left="284" w:hanging="284"/>
        <w:rPr>
          <w:sz w:val="20"/>
          <w:szCs w:val="20"/>
        </w:rPr>
      </w:pPr>
      <w:r w:rsidRPr="00C65755">
        <w:rPr>
          <w:rStyle w:val="FootnoteReference"/>
          <w:sz w:val="20"/>
          <w:szCs w:val="20"/>
        </w:rPr>
        <w:footnoteRef/>
      </w:r>
      <w:r w:rsidRPr="00C65755">
        <w:rPr>
          <w:sz w:val="20"/>
          <w:szCs w:val="20"/>
        </w:rPr>
        <w:t xml:space="preserve"> </w:t>
      </w:r>
      <w:r w:rsidR="005271EA">
        <w:rPr>
          <w:sz w:val="20"/>
          <w:szCs w:val="20"/>
        </w:rPr>
        <w:tab/>
      </w:r>
      <w:r w:rsidRPr="00EA4C9B">
        <w:rPr>
          <w:rStyle w:val="FootnotesChar"/>
        </w:rPr>
        <w:t>Ochot, A (2022). Mineral Resource Taxation In Poland As Environmental Revenue, Journal of Finance and Financial Law, vol. 4(36): 55–70.</w:t>
      </w:r>
    </w:p>
  </w:footnote>
  <w:footnote w:id="675">
    <w:p w14:paraId="38B34D91" w14:textId="71CEF3D9" w:rsidR="00664BE6" w:rsidRPr="00EA4C9B" w:rsidRDefault="00664BE6" w:rsidP="00664BE6">
      <w:pPr>
        <w:pStyle w:val="FootnoteText"/>
      </w:pPr>
      <w:r w:rsidRPr="00EA4C9B">
        <w:rPr>
          <w:rStyle w:val="FootnoteReference"/>
        </w:rPr>
        <w:footnoteRef/>
      </w:r>
      <w:r w:rsidRPr="00EA4C9B">
        <w:t xml:space="preserve"> </w:t>
      </w:r>
      <w:r w:rsidR="005271EA">
        <w:tab/>
      </w:r>
      <w:r w:rsidRPr="00EA4C9B">
        <w:t xml:space="preserve">As noted earlier, it is not fully clear whether the exploitation fee is included in statutory payments to the National Fund. </w:t>
      </w:r>
    </w:p>
  </w:footnote>
  <w:footnote w:id="676">
    <w:p w14:paraId="51B3807A" w14:textId="2B6DBE66" w:rsidR="00664BE6" w:rsidRPr="00EA4C9B" w:rsidRDefault="00664BE6" w:rsidP="00664BE6">
      <w:pPr>
        <w:pStyle w:val="FootnoteText"/>
      </w:pPr>
      <w:r w:rsidRPr="00EA4C9B">
        <w:rPr>
          <w:rStyle w:val="FootnoteReference"/>
        </w:rPr>
        <w:footnoteRef/>
      </w:r>
      <w:r w:rsidRPr="00EA4C9B">
        <w:t xml:space="preserve"> </w:t>
      </w:r>
      <w:r w:rsidR="005271EA">
        <w:tab/>
      </w:r>
      <w:r w:rsidRPr="00EA4C9B">
        <w:t>Malecki (2015). Ecological fees and taxes in Poland and their new Eurostat interpretation. Argumenta Oeconomica Cracoviensia (12).</w:t>
      </w:r>
    </w:p>
  </w:footnote>
  <w:footnote w:id="677">
    <w:p w14:paraId="6E54A920" w14:textId="77777777" w:rsidR="00664BE6" w:rsidRPr="00EA4C9B" w:rsidRDefault="00664BE6" w:rsidP="00664BE6">
      <w:pPr>
        <w:pStyle w:val="FootnoteText"/>
      </w:pPr>
      <w:r w:rsidRPr="00EA4C9B">
        <w:rPr>
          <w:rStyle w:val="FootnoteReference"/>
        </w:rPr>
        <w:footnoteRef/>
      </w:r>
      <w:r w:rsidRPr="00EA4C9B">
        <w:t xml:space="preserve"> Malecki (2016). Environmental taxes in Poland compared to other European Union countries. Studies and dissertations, University of Economics, Warsaw.</w:t>
      </w:r>
    </w:p>
  </w:footnote>
  <w:footnote w:id="678">
    <w:p w14:paraId="40E9248A" w14:textId="2C2E1E8E" w:rsidR="00664BE6" w:rsidRPr="00EA4C9B" w:rsidRDefault="00664BE6" w:rsidP="00664BE6">
      <w:pPr>
        <w:pStyle w:val="FootnoteText"/>
      </w:pPr>
      <w:r w:rsidRPr="00EA4C9B">
        <w:rPr>
          <w:rStyle w:val="FootnoteReference"/>
        </w:rPr>
        <w:footnoteRef/>
      </w:r>
      <w:r w:rsidRPr="00EA4C9B">
        <w:t xml:space="preserve"> </w:t>
      </w:r>
      <w:r w:rsidR="005271EA">
        <w:tab/>
      </w:r>
      <w:r w:rsidRPr="00EA4C9B">
        <w:t>EEA (2022). Early warning assessment related to the 2025 targets for municipal waste and packaging waste: Poland Country Profile.</w:t>
      </w:r>
    </w:p>
  </w:footnote>
  <w:footnote w:id="679">
    <w:p w14:paraId="7A2EC440" w14:textId="7FDF4434" w:rsidR="00C20A7B" w:rsidRPr="00BA7936" w:rsidRDefault="00C20A7B">
      <w:pPr>
        <w:pStyle w:val="FootnoteText"/>
        <w:rPr>
          <w:lang w:val="it-IT"/>
        </w:rPr>
      </w:pPr>
      <w:r>
        <w:rPr>
          <w:rStyle w:val="FootnoteReference"/>
        </w:rPr>
        <w:footnoteRef/>
      </w:r>
      <w:r>
        <w:t xml:space="preserve"> </w:t>
      </w:r>
      <w:r w:rsidRPr="00C20A7B">
        <w:rPr>
          <w:i/>
          <w:iCs/>
        </w:rPr>
        <w:t>Poland, 2025 EU waste recycling targets – State of play</w:t>
      </w:r>
      <w:r w:rsidRPr="00C20A7B">
        <w:t>, Publications Office of the European Union, 2023, </w:t>
      </w:r>
      <w:hyperlink r:id="rId421" w:tgtFrame="_blank" w:history="1">
        <w:r w:rsidRPr="00BA7936">
          <w:rPr>
            <w:rStyle w:val="Hyperlink"/>
          </w:rPr>
          <w:t>https://data.europa.eu/doi/10.2779/348402</w:t>
        </w:r>
      </w:hyperlink>
    </w:p>
  </w:footnote>
  <w:footnote w:id="680">
    <w:p w14:paraId="4B2B9BF9" w14:textId="0056FCB7" w:rsidR="00664BE6" w:rsidRPr="00EA4C9B" w:rsidRDefault="00664BE6" w:rsidP="00664BE6">
      <w:pPr>
        <w:pStyle w:val="FootnoteText"/>
      </w:pPr>
      <w:r w:rsidRPr="00EA4C9B">
        <w:rPr>
          <w:rStyle w:val="FootnoteReference"/>
        </w:rPr>
        <w:footnoteRef/>
      </w:r>
      <w:r w:rsidRPr="00EA4C9B">
        <w:t xml:space="preserve"> </w:t>
      </w:r>
      <w:r w:rsidR="005271EA">
        <w:tab/>
      </w:r>
      <w:r w:rsidRPr="00EA4C9B">
        <w:t>Kopyściańska (2024). Carbon tax and plastic levy as examples of tributes that can have an impact on environmental protection. Acta Iuris Stetinensis, 4 (50).</w:t>
      </w:r>
    </w:p>
  </w:footnote>
  <w:footnote w:id="681">
    <w:p w14:paraId="630B7121" w14:textId="2429A4C4" w:rsidR="00664BE6" w:rsidRPr="00EA4C9B" w:rsidRDefault="00664BE6" w:rsidP="00664BE6">
      <w:pPr>
        <w:pStyle w:val="FootnoteText"/>
      </w:pPr>
      <w:r w:rsidRPr="00EA4C9B">
        <w:rPr>
          <w:rStyle w:val="FootnoteReference"/>
        </w:rPr>
        <w:footnoteRef/>
      </w:r>
      <w:r w:rsidRPr="00EA4C9B">
        <w:t xml:space="preserve"> </w:t>
      </w:r>
      <w:r w:rsidR="005271EA">
        <w:tab/>
      </w:r>
      <w:hyperlink r:id="rId422" w:anchor=":~:text=From%201%20January%202024%2C%20retail%20and%20food%20service,not%20be%20higher%20than%20PLN%201%20per%20piece." w:history="1">
        <w:r w:rsidRPr="00EA4C9B">
          <w:rPr>
            <w:rStyle w:val="Hyperlink"/>
          </w:rPr>
          <w:t>Poland: The Polish implementation of the "SUP Directive" enters into force</w:t>
        </w:r>
      </w:hyperlink>
    </w:p>
  </w:footnote>
  <w:footnote w:id="682">
    <w:p w14:paraId="48FFD861" w14:textId="6CA2B417" w:rsidR="00664BE6" w:rsidRPr="00EA4C9B" w:rsidRDefault="00664BE6" w:rsidP="00664BE6">
      <w:pPr>
        <w:pStyle w:val="FootnoteText"/>
      </w:pPr>
      <w:r w:rsidRPr="00EA4C9B">
        <w:rPr>
          <w:rStyle w:val="FootnoteReference"/>
        </w:rPr>
        <w:footnoteRef/>
      </w:r>
      <w:r w:rsidRPr="00EA4C9B">
        <w:t xml:space="preserve"> </w:t>
      </w:r>
      <w:r w:rsidR="005271EA">
        <w:tab/>
      </w:r>
      <w:hyperlink r:id="rId423" w:history="1">
        <w:r w:rsidRPr="00EA4C9B">
          <w:rPr>
            <w:rStyle w:val="Hyperlink"/>
          </w:rPr>
          <w:t>Local tax</w:t>
        </w:r>
      </w:hyperlink>
    </w:p>
  </w:footnote>
  <w:footnote w:id="683">
    <w:p w14:paraId="1A1CCF77" w14:textId="38E3CA1F" w:rsidR="00664BE6" w:rsidRPr="00EA4C9B" w:rsidRDefault="00664BE6" w:rsidP="00664BE6">
      <w:pPr>
        <w:pStyle w:val="FootnoteText"/>
      </w:pPr>
      <w:r w:rsidRPr="00EA4C9B">
        <w:rPr>
          <w:rStyle w:val="FootnoteReference"/>
        </w:rPr>
        <w:footnoteRef/>
      </w:r>
      <w:r w:rsidRPr="00EA4C9B">
        <w:t xml:space="preserve"> </w:t>
      </w:r>
      <w:r w:rsidR="005271EA">
        <w:tab/>
      </w:r>
      <w:r w:rsidRPr="00EA4C9B">
        <w:t>Podolchak (2022). Spa and local tourist fees as tributes of a consumption nature. Teka Komisji Prawniczej PAN Oddział w Lublinie, 15 (4).</w:t>
      </w:r>
    </w:p>
  </w:footnote>
  <w:footnote w:id="684">
    <w:p w14:paraId="5E4FD3FB" w14:textId="15CDD32B" w:rsidR="00664BE6" w:rsidRPr="00EA4C9B" w:rsidRDefault="00664BE6" w:rsidP="00664BE6">
      <w:pPr>
        <w:pStyle w:val="FootnoteText"/>
      </w:pPr>
      <w:r w:rsidRPr="00EA4C9B">
        <w:rPr>
          <w:rStyle w:val="FootnoteReference"/>
        </w:rPr>
        <w:footnoteRef/>
      </w:r>
      <w:r w:rsidRPr="00EA4C9B">
        <w:t xml:space="preserve"> </w:t>
      </w:r>
      <w:r w:rsidR="005271EA">
        <w:tab/>
      </w:r>
      <w:r w:rsidRPr="00EA4C9B">
        <w:t>EEA (2020)</w:t>
      </w:r>
    </w:p>
  </w:footnote>
  <w:footnote w:id="685">
    <w:p w14:paraId="37843686" w14:textId="3DA3D58D" w:rsidR="00664BE6" w:rsidRPr="00EA4C9B" w:rsidRDefault="00664BE6" w:rsidP="00664BE6">
      <w:pPr>
        <w:pStyle w:val="FootnoteText"/>
      </w:pPr>
      <w:r w:rsidRPr="00EA4C9B">
        <w:rPr>
          <w:rStyle w:val="FootnoteReference"/>
        </w:rPr>
        <w:footnoteRef/>
      </w:r>
      <w:r w:rsidRPr="00EA4C9B">
        <w:t xml:space="preserve"> </w:t>
      </w:r>
      <w:r w:rsidR="005271EA">
        <w:tab/>
      </w:r>
      <w:hyperlink r:id="rId424" w:history="1">
        <w:r w:rsidRPr="00EA4C9B">
          <w:rPr>
            <w:rStyle w:val="Hyperlink"/>
          </w:rPr>
          <w:t>Deposit-refund system in Poland - Ministry of Climate and Environment - Gov.pl website</w:t>
        </w:r>
      </w:hyperlink>
      <w:r w:rsidRPr="00EA4C9B">
        <w:t xml:space="preserve"> </w:t>
      </w:r>
    </w:p>
  </w:footnote>
  <w:footnote w:id="686">
    <w:p w14:paraId="662C938F" w14:textId="514466ED" w:rsidR="00664BE6" w:rsidRPr="00EA4C9B" w:rsidRDefault="00664BE6" w:rsidP="00664BE6">
      <w:pPr>
        <w:pStyle w:val="FootnoteText"/>
      </w:pPr>
      <w:r w:rsidRPr="00EA4C9B">
        <w:rPr>
          <w:rStyle w:val="FootnoteReference"/>
        </w:rPr>
        <w:footnoteRef/>
      </w:r>
      <w:r w:rsidRPr="00EA4C9B">
        <w:t xml:space="preserve"> </w:t>
      </w:r>
      <w:r w:rsidR="005271EA">
        <w:tab/>
      </w:r>
      <w:r w:rsidRPr="00EA4C9B">
        <w:t>Porsch et al. (2022) A toolbox for reforming environmentally harmful subsidies in Europe: detailed annexes.</w:t>
      </w:r>
    </w:p>
  </w:footnote>
  <w:footnote w:id="687">
    <w:p w14:paraId="5725CFD5" w14:textId="53D8F550" w:rsidR="00664BE6" w:rsidRPr="00EA4C9B" w:rsidRDefault="00664BE6" w:rsidP="00664BE6">
      <w:pPr>
        <w:pStyle w:val="FootnoteText"/>
      </w:pPr>
      <w:r w:rsidRPr="00EA4C9B">
        <w:rPr>
          <w:rStyle w:val="FootnoteReference"/>
        </w:rPr>
        <w:footnoteRef/>
      </w:r>
      <w:r w:rsidRPr="00EA4C9B">
        <w:t xml:space="preserve"> </w:t>
      </w:r>
      <w:r w:rsidR="005271EA">
        <w:tab/>
      </w:r>
      <w:r w:rsidRPr="00EA4C9B">
        <w:t>Hogg et al. (2016). Study on assessing the environmental fiscal reform potential for the EU28.</w:t>
      </w:r>
    </w:p>
  </w:footnote>
  <w:footnote w:id="688">
    <w:p w14:paraId="60A2F405" w14:textId="4547E444" w:rsidR="00664BE6" w:rsidRPr="00EA4C9B" w:rsidRDefault="00664BE6" w:rsidP="00664BE6">
      <w:pPr>
        <w:pStyle w:val="FootnoteText"/>
      </w:pPr>
      <w:r w:rsidRPr="00EA4C9B">
        <w:rPr>
          <w:rStyle w:val="FootnoteReference"/>
        </w:rPr>
        <w:footnoteRef/>
      </w:r>
      <w:r w:rsidRPr="00EA4C9B">
        <w:t xml:space="preserve"> </w:t>
      </w:r>
      <w:r w:rsidR="005271EA">
        <w:tab/>
      </w:r>
      <w:r w:rsidRPr="00EA4C9B">
        <w:t>Cieślukowski, M et al. (2024). Greening of the national tax system. Economics and Environment, 3(90).</w:t>
      </w:r>
    </w:p>
  </w:footnote>
  <w:footnote w:id="689">
    <w:p w14:paraId="66785541" w14:textId="77777777" w:rsidR="00664BE6" w:rsidRPr="00EA4C9B" w:rsidRDefault="00664BE6" w:rsidP="00664BE6">
      <w:pPr>
        <w:pStyle w:val="FootnoteText"/>
      </w:pPr>
      <w:r w:rsidRPr="00EA4C9B">
        <w:rPr>
          <w:rStyle w:val="FootnoteReference"/>
        </w:rPr>
        <w:footnoteRef/>
      </w:r>
      <w:r w:rsidRPr="00EA4C9B">
        <w:t xml:space="preserve"> Doński and Paczosa (2022). Efficiency of the System of Environmental Fees in Poland. Environmental Protection and Natural Resources, 33 (91).</w:t>
      </w:r>
    </w:p>
  </w:footnote>
  <w:footnote w:id="690">
    <w:p w14:paraId="316B9EF7" w14:textId="720CD540" w:rsidR="00664BE6" w:rsidRPr="00EA4C9B" w:rsidRDefault="00664BE6" w:rsidP="00664BE6">
      <w:pPr>
        <w:pStyle w:val="FootnoteText"/>
      </w:pPr>
      <w:r w:rsidRPr="00EA4C9B">
        <w:rPr>
          <w:rStyle w:val="FootnoteReference"/>
        </w:rPr>
        <w:footnoteRef/>
      </w:r>
      <w:r w:rsidRPr="00EA4C9B">
        <w:t xml:space="preserve"> </w:t>
      </w:r>
      <w:r w:rsidR="005271EA">
        <w:tab/>
      </w:r>
      <w:r w:rsidRPr="00EA4C9B">
        <w:t>Hogg et al. (2016). Study on assessing the environmental fiscal reform potential for the EU28.</w:t>
      </w:r>
    </w:p>
  </w:footnote>
  <w:footnote w:id="691">
    <w:p w14:paraId="08BE4958" w14:textId="715DDC34" w:rsidR="00664BE6" w:rsidRPr="00EA4C9B" w:rsidRDefault="00664BE6" w:rsidP="00664BE6">
      <w:pPr>
        <w:pStyle w:val="FootnoteText"/>
      </w:pPr>
      <w:r w:rsidRPr="00EA4C9B">
        <w:rPr>
          <w:rStyle w:val="FootnoteReference"/>
        </w:rPr>
        <w:footnoteRef/>
      </w:r>
      <w:r w:rsidRPr="00EA4C9B">
        <w:t xml:space="preserve"> </w:t>
      </w:r>
      <w:r w:rsidR="005271EA">
        <w:tab/>
      </w:r>
      <w:r w:rsidRPr="00EA4C9B">
        <w:t>European Commission (2024). Commission staff working document 2024 Country Report – Poland.</w:t>
      </w:r>
    </w:p>
  </w:footnote>
  <w:footnote w:id="692">
    <w:p w14:paraId="07105FC2" w14:textId="75EA12FC" w:rsidR="00664BE6" w:rsidRPr="00EA4C9B" w:rsidRDefault="00664BE6" w:rsidP="00664BE6">
      <w:pPr>
        <w:pStyle w:val="FootnoteText"/>
      </w:pPr>
      <w:r w:rsidRPr="00EA4C9B">
        <w:rPr>
          <w:rStyle w:val="FootnoteReference"/>
        </w:rPr>
        <w:footnoteRef/>
      </w:r>
      <w:r w:rsidRPr="00EA4C9B">
        <w:t xml:space="preserve"> </w:t>
      </w:r>
      <w:r w:rsidR="005271EA">
        <w:tab/>
      </w:r>
      <w:r w:rsidRPr="00EA4C9B">
        <w:t>Cieślukowski, M et al. (2024). Greening of the national tax system. Economics and Environment, 3(90).</w:t>
      </w:r>
    </w:p>
  </w:footnote>
  <w:footnote w:id="693">
    <w:p w14:paraId="1A363E17" w14:textId="38D59CB8" w:rsidR="00664BE6" w:rsidRPr="00EA4C9B" w:rsidRDefault="00664BE6" w:rsidP="00664BE6">
      <w:pPr>
        <w:pStyle w:val="FootnoteText"/>
      </w:pPr>
      <w:r w:rsidRPr="00EA4C9B">
        <w:rPr>
          <w:rStyle w:val="FootnoteReference"/>
        </w:rPr>
        <w:footnoteRef/>
      </w:r>
      <w:r w:rsidRPr="00EA4C9B">
        <w:t xml:space="preserve"> </w:t>
      </w:r>
      <w:r w:rsidR="005271EA">
        <w:tab/>
      </w:r>
      <w:r w:rsidRPr="00EA4C9B">
        <w:t>European Commission (2024). Commission staff working document 2024 Country Report – Poland.</w:t>
      </w:r>
    </w:p>
  </w:footnote>
  <w:footnote w:id="694">
    <w:p w14:paraId="2DF8BD11" w14:textId="77777777" w:rsidR="00664BE6" w:rsidRPr="00EA4C9B" w:rsidRDefault="00664BE6" w:rsidP="00664BE6">
      <w:pPr>
        <w:pStyle w:val="FootnoteText"/>
      </w:pPr>
      <w:r w:rsidRPr="00EA4C9B">
        <w:rPr>
          <w:rStyle w:val="FootnoteReference"/>
        </w:rPr>
        <w:footnoteRef/>
      </w:r>
      <w:r w:rsidRPr="00EA4C9B">
        <w:t xml:space="preserve"> Rosiek (2015), Doński &amp; Paczosa (2022). Efficiency of the System of Environmental Fees in Poland. Environmental Protection and Natural Resources, 33 (91).</w:t>
      </w:r>
    </w:p>
  </w:footnote>
  <w:footnote w:id="695">
    <w:p w14:paraId="3A79FE4E" w14:textId="2FE74D13" w:rsidR="00664BE6" w:rsidRPr="00EA4C9B" w:rsidRDefault="00664BE6" w:rsidP="00664BE6">
      <w:pPr>
        <w:pStyle w:val="FootnoteText"/>
      </w:pPr>
      <w:r w:rsidRPr="00EA4C9B">
        <w:rPr>
          <w:rStyle w:val="FootnoteReference"/>
        </w:rPr>
        <w:footnoteRef/>
      </w:r>
      <w:r w:rsidRPr="00EA4C9B">
        <w:t xml:space="preserve"> </w:t>
      </w:r>
      <w:r w:rsidR="005271EA">
        <w:tab/>
      </w:r>
      <w:r w:rsidRPr="00EA4C9B">
        <w:t>Some taxes related to GHG emissions trading in Poland are categorized as energy taxes rather than pollution taxes.</w:t>
      </w:r>
    </w:p>
  </w:footnote>
  <w:footnote w:id="696">
    <w:p w14:paraId="751DDAF6" w14:textId="5784B1BC" w:rsidR="00664BE6" w:rsidRPr="00EA4C9B" w:rsidRDefault="00664BE6" w:rsidP="00664BE6">
      <w:pPr>
        <w:pStyle w:val="FootnoteText"/>
      </w:pPr>
      <w:r w:rsidRPr="00EA4C9B">
        <w:rPr>
          <w:rStyle w:val="FootnoteReference"/>
        </w:rPr>
        <w:footnoteRef/>
      </w:r>
      <w:r w:rsidRPr="00EA4C9B">
        <w:t xml:space="preserve"> </w:t>
      </w:r>
      <w:r w:rsidR="005271EA">
        <w:tab/>
      </w:r>
      <w:r w:rsidRPr="00EA4C9B">
        <w:t>Doński &amp; Paczosa (2022). Efficiency of the System of Environmental Fees in Poland. Environmental Protection and Natural Resources, 33 (91).</w:t>
      </w:r>
    </w:p>
  </w:footnote>
  <w:footnote w:id="697">
    <w:p w14:paraId="15660D66" w14:textId="18A35F5A" w:rsidR="00664BE6" w:rsidRPr="00EA4C9B" w:rsidRDefault="00664BE6" w:rsidP="00664BE6">
      <w:pPr>
        <w:pStyle w:val="FootnoteText"/>
      </w:pPr>
      <w:r w:rsidRPr="00EA4C9B">
        <w:rPr>
          <w:rStyle w:val="FootnoteReference"/>
        </w:rPr>
        <w:footnoteRef/>
      </w:r>
      <w:r w:rsidRPr="00EA4C9B">
        <w:t xml:space="preserve"> </w:t>
      </w:r>
      <w:r w:rsidR="005271EA">
        <w:tab/>
      </w:r>
      <w:r w:rsidRPr="00EA4C9B">
        <w:t>European Commission (2024). Commission staff working document 2024 Country Report – Poland.</w:t>
      </w:r>
    </w:p>
  </w:footnote>
  <w:footnote w:id="698">
    <w:p w14:paraId="141F1CD1" w14:textId="032BC7D7" w:rsidR="00F70288" w:rsidRDefault="00F70288">
      <w:pPr>
        <w:pStyle w:val="FootnoteText"/>
      </w:pPr>
      <w:r>
        <w:rPr>
          <w:rStyle w:val="FootnoteReference"/>
        </w:rPr>
        <w:footnoteRef/>
      </w:r>
      <w:r>
        <w:t xml:space="preserve"> </w:t>
      </w:r>
      <w:hyperlink r:id="rId425" w:history="1">
        <w:r w:rsidR="008461E1" w:rsidRPr="008461E1">
          <w:rPr>
            <w:rStyle w:val="Hyperlink"/>
          </w:rPr>
          <w:t>Removal of illegal landfills – support for local governments [ACT] - Ministry of Climate and Environment - Portal Gov.pl</w:t>
        </w:r>
      </w:hyperlink>
      <w:r w:rsidR="0068187A">
        <w:t xml:space="preserve">; </w:t>
      </w:r>
      <w:hyperlink r:id="rId426" w:history="1">
        <w:r w:rsidR="005F0B3A" w:rsidRPr="005F0B3A">
          <w:rPr>
            <w:rStyle w:val="Hyperlink"/>
          </w:rPr>
          <w:t>The problem of landfilled waste – Sozosfera - environmental protection</w:t>
        </w:r>
      </w:hyperlink>
    </w:p>
  </w:footnote>
  <w:footnote w:id="699">
    <w:p w14:paraId="071CC977" w14:textId="4E8DC24E" w:rsidR="00664BE6" w:rsidRPr="00EA4C9B" w:rsidRDefault="00664BE6" w:rsidP="00664BE6">
      <w:pPr>
        <w:pStyle w:val="FootnoteText"/>
      </w:pPr>
      <w:r w:rsidRPr="00EA4C9B">
        <w:rPr>
          <w:rStyle w:val="FootnoteReference"/>
        </w:rPr>
        <w:footnoteRef/>
      </w:r>
      <w:r w:rsidRPr="00EA4C9B">
        <w:t xml:space="preserve"> </w:t>
      </w:r>
      <w:r w:rsidR="005271EA">
        <w:tab/>
      </w:r>
      <w:r w:rsidRPr="00EA4C9B">
        <w:t>Based on conversion of 2024 rates to euros and then using CPI to compare with 2017 rates proposed by Hogg et al. (2016). (Not PPP adjusted)</w:t>
      </w:r>
    </w:p>
  </w:footnote>
  <w:footnote w:id="700">
    <w:p w14:paraId="766991AD" w14:textId="2F641689" w:rsidR="00664BE6" w:rsidRPr="00EA4C9B" w:rsidRDefault="00664BE6" w:rsidP="00664BE6">
      <w:pPr>
        <w:pStyle w:val="FootnoteText"/>
      </w:pPr>
      <w:r w:rsidRPr="00EA4C9B">
        <w:rPr>
          <w:rStyle w:val="FootnoteReference"/>
        </w:rPr>
        <w:footnoteRef/>
      </w:r>
      <w:r w:rsidRPr="00EA4C9B">
        <w:t xml:space="preserve"> </w:t>
      </w:r>
      <w:r w:rsidR="005271EA">
        <w:tab/>
      </w:r>
      <w:r w:rsidRPr="00EA4C9B">
        <w:t>Abate, T., &amp; Elofsson, K. (2024). Environmental taxation of plastic bags and substitutes: Balancing marine pollution and climate change. Journal of Environmental Management, 359</w:t>
      </w:r>
    </w:p>
  </w:footnote>
  <w:footnote w:id="701">
    <w:p w14:paraId="4B068392" w14:textId="2DC14456" w:rsidR="00664BE6" w:rsidRPr="00EA4C9B" w:rsidRDefault="00664BE6" w:rsidP="00664BE6">
      <w:pPr>
        <w:pStyle w:val="FootnoteText"/>
      </w:pPr>
      <w:r w:rsidRPr="00EA4C9B">
        <w:rPr>
          <w:rStyle w:val="FootnoteReference"/>
        </w:rPr>
        <w:footnoteRef/>
      </w:r>
      <w:r w:rsidRPr="00EA4C9B">
        <w:t xml:space="preserve"> </w:t>
      </w:r>
      <w:r w:rsidR="005271EA">
        <w:tab/>
      </w:r>
      <w:r w:rsidRPr="00EA4C9B">
        <w:t>European Commission (2024). Commission staff working document 2024 Country Report – Poland.</w:t>
      </w:r>
    </w:p>
  </w:footnote>
  <w:footnote w:id="702">
    <w:p w14:paraId="53F25D44" w14:textId="3D78E6BE" w:rsidR="00664BE6" w:rsidRPr="00EA4C9B" w:rsidRDefault="00664BE6" w:rsidP="00664BE6">
      <w:pPr>
        <w:pStyle w:val="FootnoteText"/>
      </w:pPr>
      <w:r w:rsidRPr="00EA4C9B">
        <w:rPr>
          <w:rStyle w:val="FootnoteReference"/>
        </w:rPr>
        <w:footnoteRef/>
      </w:r>
      <w:r w:rsidRPr="00EA4C9B">
        <w:t xml:space="preserve"> </w:t>
      </w:r>
      <w:r w:rsidR="005271EA">
        <w:tab/>
      </w:r>
      <w:r w:rsidRPr="00EA4C9B">
        <w:t>EEA (2022). Early warning assessment related to the 2025 targets for municipal waste and packaging waste: Poland Country Profile.</w:t>
      </w:r>
    </w:p>
  </w:footnote>
  <w:footnote w:id="703">
    <w:p w14:paraId="13F0E2C1" w14:textId="6238E67B" w:rsidR="00664BE6" w:rsidRPr="00EA4C9B" w:rsidRDefault="00664BE6" w:rsidP="00664BE6">
      <w:pPr>
        <w:pStyle w:val="FootnoteText"/>
      </w:pPr>
      <w:r w:rsidRPr="00EA4C9B">
        <w:rPr>
          <w:rStyle w:val="FootnoteReference"/>
        </w:rPr>
        <w:footnoteRef/>
      </w:r>
      <w:r w:rsidRPr="00EA4C9B">
        <w:t xml:space="preserve"> </w:t>
      </w:r>
      <w:r w:rsidR="005271EA">
        <w:tab/>
      </w:r>
      <w:r w:rsidRPr="00EA4C9B">
        <w:t>European Commission (2024). Commission staff working document 2024 Country Report – Poland.</w:t>
      </w:r>
    </w:p>
  </w:footnote>
  <w:footnote w:id="704">
    <w:p w14:paraId="1B37D2EB" w14:textId="3BEEE642" w:rsidR="00664BE6" w:rsidRPr="00EA4C9B" w:rsidRDefault="00664BE6" w:rsidP="00664BE6">
      <w:pPr>
        <w:pStyle w:val="FootnoteText"/>
      </w:pPr>
      <w:r w:rsidRPr="00EA4C9B">
        <w:rPr>
          <w:rStyle w:val="FootnoteReference"/>
        </w:rPr>
        <w:footnoteRef/>
      </w:r>
      <w:r w:rsidRPr="00EA4C9B">
        <w:t xml:space="preserve"> </w:t>
      </w:r>
      <w:r w:rsidR="005271EA">
        <w:tab/>
      </w:r>
      <w:r w:rsidRPr="00EA4C9B">
        <w:t>EEA (2022). Early warning assessment related to the 2025 targets for municipal waste and packaging waste: Poland Country Profile.</w:t>
      </w:r>
    </w:p>
  </w:footnote>
  <w:footnote w:id="705">
    <w:p w14:paraId="47A33BD1" w14:textId="3A520796" w:rsidR="00664BE6" w:rsidRPr="00EA4C9B" w:rsidRDefault="00664BE6" w:rsidP="00664BE6">
      <w:pPr>
        <w:pStyle w:val="FootnoteText"/>
      </w:pPr>
      <w:r w:rsidRPr="00EA4C9B">
        <w:rPr>
          <w:rStyle w:val="FootnoteReference"/>
        </w:rPr>
        <w:footnoteRef/>
      </w:r>
      <w:r w:rsidRPr="00EA4C9B">
        <w:t xml:space="preserve"> </w:t>
      </w:r>
      <w:r w:rsidR="005271EA">
        <w:tab/>
      </w:r>
      <w:r w:rsidRPr="00EA4C9B">
        <w:t>Hogg et al. (2016). Study on assessing the environmental fiscal reform potential for the EU28.</w:t>
      </w:r>
    </w:p>
  </w:footnote>
  <w:footnote w:id="706">
    <w:p w14:paraId="5432503E" w14:textId="1CA38AC6" w:rsidR="005B2B89" w:rsidRPr="00BA7936" w:rsidRDefault="005B2B89">
      <w:pPr>
        <w:pStyle w:val="FootnoteText"/>
        <w:rPr>
          <w:lang w:val="it-IT"/>
        </w:rPr>
      </w:pPr>
      <w:r>
        <w:rPr>
          <w:rStyle w:val="FootnoteReference"/>
        </w:rPr>
        <w:footnoteRef/>
      </w:r>
      <w:r>
        <w:t xml:space="preserve"> </w:t>
      </w:r>
      <w:r w:rsidR="00B2400C" w:rsidRPr="00B2400C">
        <w:rPr>
          <w:i/>
          <w:iCs/>
        </w:rPr>
        <w:t>Poland, 2025 EU waste recycling targets – State of play</w:t>
      </w:r>
      <w:r w:rsidR="00B2400C" w:rsidRPr="00B2400C">
        <w:t>, Publications Office of the European Union, 2023, </w:t>
      </w:r>
      <w:hyperlink r:id="rId427" w:tgtFrame="_blank" w:history="1">
        <w:r w:rsidR="00B2400C" w:rsidRPr="00BA7936">
          <w:rPr>
            <w:rStyle w:val="Hyperlink"/>
          </w:rPr>
          <w:t>https://data.europa.eu/doi/10.2779/348402</w:t>
        </w:r>
      </w:hyperlink>
    </w:p>
  </w:footnote>
  <w:footnote w:id="707">
    <w:p w14:paraId="5C3A8E7A" w14:textId="4496FA53" w:rsidR="00664BE6" w:rsidRPr="00EA4C9B" w:rsidRDefault="00664BE6" w:rsidP="00664BE6">
      <w:pPr>
        <w:pStyle w:val="FootnoteText"/>
      </w:pPr>
      <w:r w:rsidRPr="00EA4C9B">
        <w:rPr>
          <w:rStyle w:val="FootnoteReference"/>
        </w:rPr>
        <w:footnoteRef/>
      </w:r>
      <w:r w:rsidRPr="00EA4C9B">
        <w:t xml:space="preserve"> </w:t>
      </w:r>
      <w:r w:rsidR="005271EA">
        <w:tab/>
      </w:r>
      <w:r w:rsidRPr="00EA4C9B">
        <w:t>In both cases the taxes should be kept constant in real terms.</w:t>
      </w:r>
    </w:p>
  </w:footnote>
  <w:footnote w:id="708">
    <w:p w14:paraId="4D78B815" w14:textId="0BF2C9D6" w:rsidR="00664BE6" w:rsidRPr="00EA4C9B" w:rsidRDefault="00664BE6" w:rsidP="00664BE6">
      <w:pPr>
        <w:pStyle w:val="FootnoteText"/>
      </w:pPr>
      <w:r w:rsidRPr="00EA4C9B">
        <w:rPr>
          <w:rStyle w:val="FootnoteReference"/>
        </w:rPr>
        <w:footnoteRef/>
      </w:r>
      <w:r w:rsidRPr="00EA4C9B">
        <w:t xml:space="preserve"> </w:t>
      </w:r>
      <w:r w:rsidR="005271EA">
        <w:tab/>
      </w:r>
      <w:r w:rsidRPr="00EA4C9B">
        <w:t>European Commission (2024). Commission staff working document 2024 Country Report – Poland.</w:t>
      </w:r>
    </w:p>
  </w:footnote>
  <w:footnote w:id="709">
    <w:p w14:paraId="0EE4002E" w14:textId="37145296" w:rsidR="00664BE6" w:rsidRPr="00EA4C9B" w:rsidRDefault="00664BE6" w:rsidP="00664BE6">
      <w:pPr>
        <w:pStyle w:val="FootnoteText"/>
      </w:pPr>
      <w:r w:rsidRPr="00EA4C9B">
        <w:rPr>
          <w:rStyle w:val="FootnoteReference"/>
        </w:rPr>
        <w:footnoteRef/>
      </w:r>
      <w:r w:rsidRPr="00EA4C9B">
        <w:t xml:space="preserve"> </w:t>
      </w:r>
      <w:r w:rsidR="005271EA">
        <w:tab/>
      </w:r>
      <w:r w:rsidRPr="00EA4C9B">
        <w:t>EEA (2022). Early warning assessment related to the 2025 targets for municipal waste and packaging waste: Poland Country Profile.</w:t>
      </w:r>
    </w:p>
  </w:footnote>
  <w:footnote w:id="710">
    <w:p w14:paraId="399FE094" w14:textId="23279113" w:rsidR="00D84112" w:rsidRPr="004E7F5F" w:rsidRDefault="00D84112" w:rsidP="00D84112">
      <w:pPr>
        <w:pStyle w:val="FootnoteText"/>
        <w:rPr>
          <w:lang w:val="en-US"/>
        </w:rPr>
      </w:pPr>
      <w:r>
        <w:rPr>
          <w:rStyle w:val="FootnoteReference"/>
        </w:rPr>
        <w:footnoteRef/>
      </w:r>
      <w:r>
        <w:t xml:space="preserve"> </w:t>
      </w:r>
      <w:r>
        <w:tab/>
      </w:r>
      <w:r w:rsidRPr="00032C7B">
        <w:t xml:space="preserve">The comparison is expressed in real terms, meaning that figures are adjusted for inflation. The </w:t>
      </w:r>
      <w:r>
        <w:t>15</w:t>
      </w:r>
      <w:r w:rsidRPr="00032C7B">
        <w:t>.9%    increase refers to growth in constant prices over 2009–2023.</w:t>
      </w:r>
    </w:p>
  </w:footnote>
  <w:footnote w:id="711">
    <w:p w14:paraId="247B82FF" w14:textId="5A3BE61C" w:rsidR="00664BE6" w:rsidRPr="00496605" w:rsidRDefault="00664BE6" w:rsidP="00664BE6">
      <w:pPr>
        <w:pStyle w:val="FootnoteText"/>
      </w:pPr>
      <w:r w:rsidRPr="00496605">
        <w:rPr>
          <w:rStyle w:val="FootnoteReference"/>
        </w:rPr>
        <w:footnoteRef/>
      </w:r>
      <w:r w:rsidRPr="00496605">
        <w:t xml:space="preserve"> </w:t>
      </w:r>
      <w:r w:rsidR="005271EA">
        <w:tab/>
      </w:r>
      <w:r w:rsidRPr="00496605">
        <w:t>Component A: water abstraction of public water for private use by sector, including for energy production (m3); Component E: discharge of effluents (kg of nitrogen or phosphorous); Component I: extracted aggregates (sand, gravel, etc.) from the public water domain (m3);</w:t>
      </w:r>
    </w:p>
    <w:p w14:paraId="315D495A" w14:textId="77777777" w:rsidR="00664BE6" w:rsidRPr="00496605" w:rsidRDefault="00664BE6" w:rsidP="005271EA">
      <w:pPr>
        <w:pStyle w:val="FootnoteText"/>
        <w:ind w:firstLine="0"/>
      </w:pPr>
      <w:r w:rsidRPr="00496605">
        <w:t xml:space="preserve">Component O: land occupation of the public water resources (m2); and Component U: private use (abstraction, deviation or use) of water under public management that may cause significant impact (m3). </w:t>
      </w:r>
    </w:p>
  </w:footnote>
  <w:footnote w:id="712">
    <w:p w14:paraId="62D3DDEE" w14:textId="41D024BE" w:rsidR="00664BE6" w:rsidRPr="00597AE6" w:rsidRDefault="00664BE6" w:rsidP="00664BE6">
      <w:pPr>
        <w:pStyle w:val="FootnoteText"/>
      </w:pPr>
      <w:r w:rsidRPr="00496605">
        <w:rPr>
          <w:rStyle w:val="FootnoteReference"/>
        </w:rPr>
        <w:footnoteRef/>
      </w:r>
      <w:r w:rsidRPr="00597AE6">
        <w:t xml:space="preserve"> </w:t>
      </w:r>
      <w:r w:rsidR="005271EA" w:rsidRPr="00597AE6">
        <w:tab/>
      </w:r>
      <w:r w:rsidRPr="00597AE6">
        <w:t xml:space="preserve">OECD (2023). OECD Environmental Performance Reviews. Portugal 2023. </w:t>
      </w:r>
    </w:p>
  </w:footnote>
  <w:footnote w:id="713">
    <w:p w14:paraId="74F5E44D" w14:textId="20E05C26" w:rsidR="00664BE6" w:rsidRPr="00496605" w:rsidRDefault="00664BE6" w:rsidP="00664BE6">
      <w:pPr>
        <w:pStyle w:val="FootnoteText"/>
      </w:pPr>
      <w:r w:rsidRPr="00496605">
        <w:rPr>
          <w:rStyle w:val="FootnoteReference"/>
        </w:rPr>
        <w:footnoteRef/>
      </w:r>
      <w:r w:rsidRPr="00496605">
        <w:rPr>
          <w:rStyle w:val="FootnoteReference"/>
        </w:rPr>
        <w:t xml:space="preserve"> </w:t>
      </w:r>
      <w:r w:rsidR="005271EA">
        <w:tab/>
      </w:r>
      <w:r w:rsidRPr="00496605">
        <w:t xml:space="preserve">European Commission. 2025. 2025 European Semester: Country Specific Recommendation / Commission Recommendation – Portugal. </w:t>
      </w:r>
      <w:hyperlink r:id="rId428" w:history="1">
        <w:r w:rsidRPr="00496605">
          <w:rPr>
            <w:rStyle w:val="Hyperlink"/>
          </w:rPr>
          <w:t>52166ac9-de1e-4009-8921-39eb6f9673fc_en</w:t>
        </w:r>
      </w:hyperlink>
    </w:p>
  </w:footnote>
  <w:footnote w:id="714">
    <w:p w14:paraId="18444CF2" w14:textId="46F7A4E0" w:rsidR="00664BE6" w:rsidRPr="00EA4C9B" w:rsidRDefault="00664BE6" w:rsidP="00664BE6">
      <w:pPr>
        <w:pStyle w:val="FootnoteText"/>
      </w:pPr>
      <w:r w:rsidRPr="00496605">
        <w:rPr>
          <w:vertAlign w:val="superscript"/>
        </w:rPr>
        <w:footnoteRef/>
      </w:r>
      <w:r w:rsidRPr="00496605">
        <w:t xml:space="preserve"> </w:t>
      </w:r>
      <w:r w:rsidR="005271EA">
        <w:tab/>
      </w:r>
      <w:r w:rsidRPr="00496605">
        <w:t>Producers or importers of lightweight plastic bags with a permanent establishment in Portugal are liable for the tax. However, the final consumer pays the tax, which is passed on in the price of the bag.</w:t>
      </w:r>
    </w:p>
  </w:footnote>
  <w:footnote w:id="715">
    <w:p w14:paraId="0F4893D8" w14:textId="257D0403" w:rsidR="00664BE6" w:rsidRPr="00D37755" w:rsidRDefault="00664BE6" w:rsidP="00664BE6">
      <w:pPr>
        <w:pStyle w:val="FootnoteText"/>
        <w:rPr>
          <w:sz w:val="18"/>
          <w:szCs w:val="18"/>
        </w:rPr>
      </w:pPr>
      <w:r w:rsidRPr="00496605">
        <w:rPr>
          <w:rStyle w:val="FootnoteReference"/>
        </w:rPr>
        <w:footnoteRef/>
      </w:r>
      <w:r w:rsidRPr="00496605">
        <w:t xml:space="preserve"> </w:t>
      </w:r>
      <w:r w:rsidR="005271EA">
        <w:tab/>
      </w:r>
      <w:r w:rsidRPr="00496605">
        <w:t>https://www.oecd.org/en/publications/decentralisation-and-regionalisation-in-portugal_fea62108-en.html</w:t>
      </w:r>
    </w:p>
  </w:footnote>
  <w:footnote w:id="716">
    <w:p w14:paraId="6E5C7439" w14:textId="1C080310" w:rsidR="00664BE6" w:rsidRPr="00496605" w:rsidRDefault="00664BE6" w:rsidP="005271EA">
      <w:pPr>
        <w:pStyle w:val="FootnoteText"/>
        <w:jc w:val="left"/>
      </w:pPr>
      <w:r w:rsidRPr="00496605">
        <w:rPr>
          <w:rStyle w:val="FootnoteReference"/>
        </w:rPr>
        <w:footnoteRef/>
      </w:r>
      <w:r w:rsidR="005271EA">
        <w:t xml:space="preserve"> </w:t>
      </w:r>
      <w:r w:rsidR="005271EA">
        <w:tab/>
      </w:r>
      <w:r w:rsidRPr="00496605">
        <w:t>https://www.oecd.org/en/publications/2023/03/oecd-environmental-performance-reviews-portugal-2023_13d6c540.html</w:t>
      </w:r>
    </w:p>
  </w:footnote>
  <w:footnote w:id="717">
    <w:p w14:paraId="6BE395BB" w14:textId="7A6A3CA6" w:rsidR="00664BE6" w:rsidRPr="00496605" w:rsidRDefault="00664BE6" w:rsidP="005271EA">
      <w:pPr>
        <w:pStyle w:val="FootnoteText"/>
        <w:jc w:val="left"/>
      </w:pPr>
      <w:r w:rsidRPr="00496605">
        <w:rPr>
          <w:rStyle w:val="FootnoteReference"/>
        </w:rPr>
        <w:footnoteRef/>
      </w:r>
      <w:r w:rsidR="005271EA">
        <w:t xml:space="preserve"> </w:t>
      </w:r>
      <w:r w:rsidRPr="00496605">
        <w:t>https://www.researchgate.net/publication/348428718_Environmental_Taxation_in_Portugal_A_Contribution_to_Sustainability</w:t>
      </w:r>
    </w:p>
  </w:footnote>
  <w:footnote w:id="718">
    <w:p w14:paraId="14F41DD9" w14:textId="58A5A337" w:rsidR="00664BE6" w:rsidRPr="004F0767" w:rsidRDefault="00664BE6" w:rsidP="00664BE6">
      <w:pPr>
        <w:pStyle w:val="FootnoteText"/>
      </w:pPr>
      <w:r w:rsidRPr="00496605">
        <w:rPr>
          <w:rStyle w:val="FootnoteReference"/>
        </w:rPr>
        <w:footnoteRef/>
      </w:r>
      <w:r w:rsidRPr="00496605">
        <w:t xml:space="preserve"> </w:t>
      </w:r>
      <w:r w:rsidR="005271EA">
        <w:tab/>
      </w:r>
      <w:r w:rsidRPr="00496605">
        <w:t xml:space="preserve">European Commission. 2025. 2025 European Semester: Country Specific Recommendation / Commission Recommendation – Portugal. </w:t>
      </w:r>
      <w:hyperlink r:id="rId429" w:history="1">
        <w:r w:rsidRPr="004F0767">
          <w:rPr>
            <w:rStyle w:val="Hyperlink"/>
          </w:rPr>
          <w:t>52166ac9-de1e-4009-8921-39eb6f9673fc_en</w:t>
        </w:r>
      </w:hyperlink>
    </w:p>
  </w:footnote>
  <w:footnote w:id="719">
    <w:p w14:paraId="7429CB7F" w14:textId="77777777" w:rsidR="00664BE6" w:rsidRPr="004F0767" w:rsidRDefault="00664BE6" w:rsidP="00664BE6">
      <w:pPr>
        <w:pStyle w:val="FootnoteText"/>
        <w:rPr>
          <w:lang w:val="es-ES"/>
        </w:rPr>
      </w:pPr>
      <w:r w:rsidRPr="00496605">
        <w:rPr>
          <w:rStyle w:val="FootnoteReference"/>
        </w:rPr>
        <w:footnoteRef/>
      </w:r>
      <w:r w:rsidRPr="004F0767">
        <w:t xml:space="preserve"> Mergulhão, A. 2023. A Fiscalidade em Portugal - Estudo Causa Pública. </w:t>
      </w:r>
      <w:hyperlink r:id="rId430" w:history="1">
        <w:r w:rsidRPr="004F0767">
          <w:rPr>
            <w:rStyle w:val="Hyperlink"/>
            <w:lang w:val="es-ES"/>
          </w:rPr>
          <w:t>A Fiscalidade em Portugal - Causa Pública</w:t>
        </w:r>
      </w:hyperlink>
    </w:p>
  </w:footnote>
  <w:footnote w:id="720">
    <w:p w14:paraId="0270B3C9" w14:textId="276571B0" w:rsidR="00664BE6" w:rsidRPr="004F0767" w:rsidRDefault="00664BE6" w:rsidP="00C85CE1">
      <w:pPr>
        <w:pStyle w:val="FootnoteText"/>
        <w:jc w:val="left"/>
        <w:rPr>
          <w:sz w:val="16"/>
          <w:szCs w:val="16"/>
          <w:lang w:val="es-ES"/>
        </w:rPr>
      </w:pPr>
      <w:r w:rsidRPr="00496605">
        <w:rPr>
          <w:rStyle w:val="FootnoteReference"/>
        </w:rPr>
        <w:footnoteRef/>
      </w:r>
      <w:r w:rsidR="00C85CE1" w:rsidRPr="004F0767">
        <w:rPr>
          <w:lang w:val="es-ES"/>
        </w:rPr>
        <w:t xml:space="preserve"> </w:t>
      </w:r>
      <w:r w:rsidRPr="004F0767">
        <w:rPr>
          <w:lang w:val="es-ES"/>
        </w:rPr>
        <w:t>https://www.ine.pt/ngt_server/attachfileu.jsp?att_display=n&amp;att_download=y&amp;look_parentBoui=630254777</w:t>
      </w:r>
    </w:p>
  </w:footnote>
  <w:footnote w:id="721">
    <w:p w14:paraId="38ADE808" w14:textId="724F14ED" w:rsidR="00664BE6" w:rsidRPr="004F0767" w:rsidRDefault="00664BE6" w:rsidP="00664BE6">
      <w:pPr>
        <w:pStyle w:val="FootnoteText"/>
        <w:rPr>
          <w:lang w:val="es-ES"/>
        </w:rPr>
      </w:pPr>
      <w:r w:rsidRPr="00496605">
        <w:rPr>
          <w:vertAlign w:val="superscript"/>
        </w:rPr>
        <w:footnoteRef/>
      </w:r>
      <w:r w:rsidRPr="004F0767">
        <w:rPr>
          <w:lang w:val="es-ES"/>
        </w:rPr>
        <w:t xml:space="preserve"> </w:t>
      </w:r>
      <w:r w:rsidR="00C85CE1" w:rsidRPr="004F0767">
        <w:rPr>
          <w:lang w:val="es-ES"/>
        </w:rPr>
        <w:tab/>
      </w:r>
      <w:r w:rsidRPr="004F0767">
        <w:rPr>
          <w:lang w:val="es-ES"/>
        </w:rPr>
        <w:t>Campos Rodrigues, L. (2022). Water resources fee in Portugal. Institute for European Environmental Policy and environment &amp; management. https://ieep.eu/wp-content/uploads/2022/12/PT-Water-Resources-Fee-final.pdf</w:t>
      </w:r>
    </w:p>
  </w:footnote>
  <w:footnote w:id="722">
    <w:p w14:paraId="4FAA8F6D" w14:textId="5AA5FD19" w:rsidR="004C0620" w:rsidRPr="00BA7936" w:rsidRDefault="004C0620">
      <w:pPr>
        <w:pStyle w:val="FootnoteText"/>
        <w:rPr>
          <w:lang w:val="it-IT"/>
        </w:rPr>
      </w:pPr>
      <w:r>
        <w:rPr>
          <w:rStyle w:val="FootnoteReference"/>
        </w:rPr>
        <w:footnoteRef/>
      </w:r>
      <w:r>
        <w:t xml:space="preserve"> </w:t>
      </w:r>
      <w:r w:rsidRPr="004C0620">
        <w:rPr>
          <w:i/>
          <w:iCs/>
        </w:rPr>
        <w:t>Portugal, 2025 EU waste recycling targets – State of play</w:t>
      </w:r>
      <w:r w:rsidRPr="004C0620">
        <w:t>, Publications Office of the European Union, 2023, </w:t>
      </w:r>
      <w:hyperlink r:id="rId431" w:tgtFrame="_blank" w:history="1">
        <w:r w:rsidRPr="00BA7936">
          <w:rPr>
            <w:rStyle w:val="Hyperlink"/>
          </w:rPr>
          <w:t>https://data.europa.eu/doi/10.2779/316155</w:t>
        </w:r>
      </w:hyperlink>
    </w:p>
  </w:footnote>
  <w:footnote w:id="723">
    <w:p w14:paraId="169F653D" w14:textId="244A512D" w:rsidR="00072325" w:rsidRPr="00032C7B" w:rsidRDefault="00072325" w:rsidP="00072325">
      <w:pPr>
        <w:pStyle w:val="FootnoteText"/>
        <w:rPr>
          <w:lang w:val="en-US"/>
        </w:rPr>
      </w:pPr>
      <w:r>
        <w:rPr>
          <w:rStyle w:val="FootnoteReference"/>
        </w:rPr>
        <w:footnoteRef/>
      </w:r>
      <w:r>
        <w:t xml:space="preserve"> </w:t>
      </w:r>
      <w:r>
        <w:tab/>
      </w:r>
      <w:r w:rsidRPr="00032C7B">
        <w:t xml:space="preserve">The comparison is expressed in real terms, meaning that figures are adjusted for inflation. The </w:t>
      </w:r>
      <w:r>
        <w:t>224</w:t>
      </w:r>
      <w:r w:rsidRPr="00032C7B">
        <w:t>.9%    increase refers to growth in constant prices over 2009–2023.</w:t>
      </w:r>
    </w:p>
  </w:footnote>
  <w:footnote w:id="724">
    <w:p w14:paraId="2D4F9727" w14:textId="72B55D08" w:rsidR="004F377E" w:rsidRDefault="004F377E">
      <w:pPr>
        <w:pStyle w:val="FootnoteText"/>
      </w:pPr>
      <w:r>
        <w:rPr>
          <w:rStyle w:val="FootnoteReference"/>
        </w:rPr>
        <w:footnoteRef/>
      </w:r>
      <w:r>
        <w:t xml:space="preserve"> </w:t>
      </w:r>
      <w:r>
        <w:tab/>
      </w:r>
      <w:r w:rsidR="00715F3C">
        <w:t>Dragomir, CMB, Marin, C, Garlea, C (2024). Green taxes and their impact on Romanian’s economy compared to investments for air and climate protection. Athens Journal of Science 2024, 11:1-15</w:t>
      </w:r>
      <w:r w:rsidR="00D25476">
        <w:t>.</w:t>
      </w:r>
    </w:p>
  </w:footnote>
  <w:footnote w:id="725">
    <w:p w14:paraId="494779A5" w14:textId="16E94BED" w:rsidR="002435CD" w:rsidRPr="00EC7B94" w:rsidRDefault="002435CD" w:rsidP="004108FF">
      <w:pPr>
        <w:pStyle w:val="Footnotes"/>
      </w:pPr>
      <w:r w:rsidRPr="00EC7B94">
        <w:rPr>
          <w:rStyle w:val="FootnoteReference"/>
        </w:rPr>
        <w:footnoteRef/>
      </w:r>
      <w:r w:rsidRPr="00EC7B94">
        <w:t xml:space="preserve"> </w:t>
      </w:r>
      <w:r w:rsidR="00C85CE1">
        <w:tab/>
      </w:r>
      <w:r w:rsidRPr="00EC7B94">
        <w:t xml:space="preserve">European Commission. 2025. 2025 European Semester: Country Specific Recommendation / Commission Recommendation – Romania. </w:t>
      </w:r>
      <w:hyperlink r:id="rId432" w:history="1">
        <w:r w:rsidRPr="00EC7B94">
          <w:rPr>
            <w:rStyle w:val="Hyperlink"/>
            <w:color w:val="auto"/>
            <w:u w:val="none"/>
          </w:rPr>
          <w:t>7cb47fb4-4517-431a-95c8-17cb161d5078_en</w:t>
        </w:r>
      </w:hyperlink>
    </w:p>
  </w:footnote>
  <w:footnote w:id="726">
    <w:p w14:paraId="56128A81" w14:textId="0F1285F0" w:rsidR="002435CD" w:rsidRPr="00EC7B94" w:rsidRDefault="002435CD" w:rsidP="004108FF">
      <w:pPr>
        <w:pStyle w:val="Footnotes"/>
      </w:pPr>
      <w:r w:rsidRPr="00EC7B94">
        <w:rPr>
          <w:rStyle w:val="FootnoteReference"/>
        </w:rPr>
        <w:footnoteRef/>
      </w:r>
      <w:r w:rsidRPr="00EC7B94">
        <w:t xml:space="preserve"> </w:t>
      </w:r>
      <w:r w:rsidR="00C85CE1">
        <w:tab/>
      </w:r>
      <w:r w:rsidRPr="00EC7B94">
        <w:t>EEA. 2023. Technical note accompanying the EEA briefing ‘Economic instruments and separate collection – key instruments to increase recycling’. https://www.eea.europa.eu/publications/economic-instruments-and-separate-collection/technical-note-accompanying-the-eea.</w:t>
      </w:r>
    </w:p>
  </w:footnote>
  <w:footnote w:id="727">
    <w:p w14:paraId="20584F5B" w14:textId="54A8FC90" w:rsidR="002435CD" w:rsidRPr="00EC7B94" w:rsidRDefault="002435CD" w:rsidP="004108FF">
      <w:pPr>
        <w:pStyle w:val="Footnotes"/>
      </w:pPr>
      <w:r w:rsidRPr="00EC7B94">
        <w:rPr>
          <w:rStyle w:val="FootnoteReference"/>
        </w:rPr>
        <w:footnoteRef/>
      </w:r>
      <w:r w:rsidRPr="00EC7B94">
        <w:t xml:space="preserve"> </w:t>
      </w:r>
      <w:r w:rsidR="00C85CE1">
        <w:tab/>
      </w:r>
      <w:r w:rsidRPr="00EC7B94">
        <w:t xml:space="preserve">European Commission. 2025. 2025 European Semester: Country Specific Recommendation / Commission Recommendation – Romania. </w:t>
      </w:r>
      <w:hyperlink r:id="rId433" w:history="1">
        <w:r w:rsidRPr="00EC7B94">
          <w:rPr>
            <w:rStyle w:val="Hyperlink"/>
          </w:rPr>
          <w:t>7cb47fb4-4517-431a-95c8-17cb161d5078_en</w:t>
        </w:r>
      </w:hyperlink>
    </w:p>
  </w:footnote>
  <w:footnote w:id="728">
    <w:p w14:paraId="68195C2B" w14:textId="69A83C9A" w:rsidR="002435CD" w:rsidRPr="00EC7B94" w:rsidRDefault="002435CD" w:rsidP="00C8783D">
      <w:pPr>
        <w:pStyle w:val="Footnotes"/>
      </w:pPr>
      <w:r w:rsidRPr="00EC7B94">
        <w:rPr>
          <w:rStyle w:val="FootnoteReference"/>
        </w:rPr>
        <w:footnoteRef/>
      </w:r>
      <w:r w:rsidRPr="00EC7B94">
        <w:t xml:space="preserve"> </w:t>
      </w:r>
      <w:r w:rsidR="00C85CE1">
        <w:tab/>
      </w:r>
      <w:r w:rsidRPr="00EC7B94">
        <w:t xml:space="preserve">European Commission </w:t>
      </w:r>
      <w:r w:rsidR="00052FC3">
        <w:t>(</w:t>
      </w:r>
      <w:r w:rsidRPr="00EC7B94">
        <w:t>2023</w:t>
      </w:r>
      <w:r w:rsidR="00052FC3">
        <w:t>)</w:t>
      </w:r>
      <w:r w:rsidRPr="00EC7B94">
        <w:t xml:space="preserve">. 2023 European Semester: Country Specific Recommendation / Commission Recommendation – Romania. </w:t>
      </w:r>
      <w:r w:rsidR="00052FC3">
        <w:t>Available at:</w:t>
      </w:r>
      <w:r w:rsidRPr="00EC7B94">
        <w:t xml:space="preserve"> https://commission.europa.eu/document/download/e7b51bcf-5376-46cc-9824-6438cc2c2f61_en?filename=COM_2023_623_1_EN.pdf</w:t>
      </w:r>
    </w:p>
  </w:footnote>
  <w:footnote w:id="729">
    <w:p w14:paraId="2FF1CB8B" w14:textId="7629CFCF" w:rsidR="002435CD" w:rsidRPr="00EC7B94" w:rsidRDefault="002435CD" w:rsidP="00C8783D">
      <w:pPr>
        <w:pStyle w:val="Footnotes"/>
      </w:pPr>
      <w:r w:rsidRPr="00EC7B94">
        <w:rPr>
          <w:rStyle w:val="FootnoteReference"/>
        </w:rPr>
        <w:footnoteRef/>
      </w:r>
      <w:r w:rsidRPr="00EC7B94">
        <w:t xml:space="preserve"> </w:t>
      </w:r>
      <w:r w:rsidR="00C85CE1">
        <w:tab/>
      </w:r>
      <w:r w:rsidRPr="00EC7B94">
        <w:t>European Commission</w:t>
      </w:r>
      <w:r w:rsidR="00052FC3">
        <w:t xml:space="preserve"> (</w:t>
      </w:r>
      <w:r w:rsidRPr="00EC7B94">
        <w:t>2024</w:t>
      </w:r>
      <w:r w:rsidR="00052FC3">
        <w:t>)</w:t>
      </w:r>
      <w:r w:rsidRPr="00EC7B94">
        <w:t xml:space="preserve">. 2024 European Semester: Country Specific Recommendation / Commission Recommendation – Romania. </w:t>
      </w:r>
      <w:r w:rsidR="00052FC3" w:rsidRPr="00052FC3">
        <w:t>Av</w:t>
      </w:r>
      <w:r w:rsidR="00052FC3" w:rsidRPr="00BA7936">
        <w:t>aila</w:t>
      </w:r>
      <w:r w:rsidR="00052FC3">
        <w:t>ble at:</w:t>
      </w:r>
      <w:r w:rsidRPr="00052FC3">
        <w:t xml:space="preserve"> </w:t>
      </w:r>
      <w:r w:rsidRPr="00EC7B94">
        <w:t>https://commission.europa.eu/document/download/553bcecc-b835-4396-8c22-8cc7e69b2ea6_en?filename=com_2024_623_1_en.pdf</w:t>
      </w:r>
    </w:p>
  </w:footnote>
  <w:footnote w:id="730">
    <w:p w14:paraId="6A1A58E1" w14:textId="3D163FAC" w:rsidR="002435CD" w:rsidRPr="00EC7B94" w:rsidRDefault="002435CD" w:rsidP="00C8783D">
      <w:pPr>
        <w:pStyle w:val="Footnotes"/>
      </w:pPr>
      <w:r w:rsidRPr="00EC7B94">
        <w:rPr>
          <w:rStyle w:val="FootnoteReference"/>
        </w:rPr>
        <w:footnoteRef/>
      </w:r>
      <w:r w:rsidRPr="00EC7B94">
        <w:t xml:space="preserve"> </w:t>
      </w:r>
      <w:r w:rsidR="00C85CE1">
        <w:tab/>
      </w:r>
      <w:r w:rsidRPr="00EC7B94">
        <w:t xml:space="preserve">European Commission </w:t>
      </w:r>
      <w:r w:rsidR="00052FC3">
        <w:t>(</w:t>
      </w:r>
      <w:r w:rsidRPr="00EC7B94">
        <w:t>2025</w:t>
      </w:r>
      <w:r w:rsidR="00052FC3">
        <w:t>)</w:t>
      </w:r>
      <w:r w:rsidRPr="00EC7B94">
        <w:t xml:space="preserve">. 2025 European Semester: Country Specific Recommendation / Commission Recommendation – Romania. </w:t>
      </w:r>
      <w:r w:rsidR="00052FC3">
        <w:t>Available at:</w:t>
      </w:r>
      <w:r w:rsidRPr="00EC7B94">
        <w:t xml:space="preserve"> </w:t>
      </w:r>
      <w:hyperlink r:id="rId434" w:history="1">
        <w:r w:rsidRPr="00EC7B94">
          <w:rPr>
            <w:rStyle w:val="Hyperlink"/>
            <w:color w:val="auto"/>
            <w:u w:val="none"/>
          </w:rPr>
          <w:t>7cb47fb4-4517-431a-95c8-17cb161d5078_en</w:t>
        </w:r>
      </w:hyperlink>
    </w:p>
  </w:footnote>
  <w:footnote w:id="731">
    <w:p w14:paraId="221928A4" w14:textId="6FDADC00" w:rsidR="006C6CD8" w:rsidRPr="00052FC3" w:rsidRDefault="006C6CD8">
      <w:pPr>
        <w:pStyle w:val="FootnoteText"/>
      </w:pPr>
      <w:r>
        <w:rPr>
          <w:rStyle w:val="FootnoteReference"/>
        </w:rPr>
        <w:footnoteRef/>
      </w:r>
      <w:r>
        <w:t xml:space="preserve"> </w:t>
      </w:r>
      <w:r w:rsidR="00052FC3">
        <w:t xml:space="preserve">European Commission (2025). </w:t>
      </w:r>
      <w:r w:rsidR="003244D2" w:rsidRPr="003244D2">
        <w:t>EU waste recycling targets</w:t>
      </w:r>
      <w:r w:rsidR="003244D2">
        <w:t xml:space="preserve">: Romania. Available at: </w:t>
      </w:r>
      <w:r w:rsidR="003244D2" w:rsidRPr="003244D2">
        <w:t>https://op.europa.eu/en/publication-detail/-/publication/edc95e42-0353-11ee-87ec-01aa75ed71a1/language-en</w:t>
      </w:r>
    </w:p>
  </w:footnote>
  <w:footnote w:id="732">
    <w:p w14:paraId="4F57B2C1" w14:textId="29E1C0B9" w:rsidR="00072325" w:rsidRPr="00032C7B" w:rsidRDefault="00072325" w:rsidP="00072325">
      <w:pPr>
        <w:pStyle w:val="FootnoteText"/>
        <w:rPr>
          <w:lang w:val="en-US"/>
        </w:rPr>
      </w:pPr>
      <w:r>
        <w:rPr>
          <w:rStyle w:val="FootnoteReference"/>
        </w:rPr>
        <w:footnoteRef/>
      </w:r>
      <w:r>
        <w:t xml:space="preserve"> </w:t>
      </w:r>
      <w:r>
        <w:tab/>
      </w:r>
      <w:r w:rsidRPr="00032C7B">
        <w:t>The comparison is expressed in real terms, meaning that figures are adjusted for inflation. The 7</w:t>
      </w:r>
      <w:r>
        <w:t>3</w:t>
      </w:r>
      <w:r w:rsidRPr="00032C7B">
        <w:t>.</w:t>
      </w:r>
      <w:r>
        <w:t>2</w:t>
      </w:r>
      <w:r w:rsidRPr="00032C7B">
        <w:t>%    increase refers to growth in constant prices over 2009–2023.</w:t>
      </w:r>
    </w:p>
  </w:footnote>
  <w:footnote w:id="733">
    <w:p w14:paraId="517E7273" w14:textId="77777777" w:rsidR="00987C62" w:rsidRPr="00EA4C9B" w:rsidRDefault="00987C62" w:rsidP="00987C62">
      <w:pPr>
        <w:pStyle w:val="Footnotes"/>
      </w:pPr>
      <w:r w:rsidRPr="00EA4C9B">
        <w:rPr>
          <w:rStyle w:val="FootnoteReference"/>
        </w:rPr>
        <w:footnoteRef/>
      </w:r>
      <w:r w:rsidRPr="00EA4C9B">
        <w:t xml:space="preserve"> </w:t>
      </w:r>
      <w:r w:rsidRPr="00EA4C9B">
        <w:tab/>
        <w:t xml:space="preserve">Slovakia does not have resource taxes. </w:t>
      </w:r>
    </w:p>
  </w:footnote>
  <w:footnote w:id="734">
    <w:p w14:paraId="08829ABC" w14:textId="2D7C36F1" w:rsidR="002435CD" w:rsidRPr="00EA4C9B" w:rsidRDefault="002435CD" w:rsidP="0030301D">
      <w:pPr>
        <w:pStyle w:val="Footnotes"/>
      </w:pPr>
      <w:r w:rsidRPr="00EA4C9B">
        <w:rPr>
          <w:rStyle w:val="FootnoteReference"/>
        </w:rPr>
        <w:footnoteRef/>
      </w:r>
      <w:r w:rsidRPr="00EA4C9B">
        <w:t xml:space="preserve"> </w:t>
      </w:r>
      <w:r w:rsidRPr="00EA4C9B">
        <w:tab/>
        <w:t>The tax on excavation areas is likely a resource tax. However, it is classed as ‘Pollution’ in Eurostat metadata and therefor</w:t>
      </w:r>
      <w:r w:rsidR="00760C20">
        <w:t>e</w:t>
      </w:r>
      <w:r w:rsidRPr="00EA4C9B">
        <w:t xml:space="preserve"> included in </w:t>
      </w:r>
      <w:r w:rsidR="00760C20" w:rsidRPr="00760C20">
        <w:fldChar w:fldCharType="begin"/>
      </w:r>
      <w:r w:rsidR="00760C20" w:rsidRPr="00760C20">
        <w:instrText xml:space="preserve"> REF part_edae565ec6424f6a8d0f795316d4749d \h  \* MERGEFORMAT </w:instrText>
      </w:r>
      <w:r w:rsidR="00760C20" w:rsidRPr="00760C20">
        <w:fldChar w:fldCharType="end"/>
      </w:r>
      <w:r w:rsidRPr="00760C20">
        <w:t>.</w:t>
      </w:r>
    </w:p>
  </w:footnote>
  <w:footnote w:id="735">
    <w:p w14:paraId="1576DC44" w14:textId="77777777" w:rsidR="002435CD" w:rsidRPr="00EA4C9B" w:rsidRDefault="002435CD" w:rsidP="0030301D">
      <w:pPr>
        <w:pStyle w:val="Footnotes"/>
      </w:pPr>
      <w:r w:rsidRPr="00EA4C9B">
        <w:rPr>
          <w:rStyle w:val="FootnoteReference"/>
        </w:rPr>
        <w:footnoteRef/>
      </w:r>
      <w:r w:rsidRPr="00EA4C9B">
        <w:t xml:space="preserve"> </w:t>
      </w:r>
      <w:r w:rsidRPr="00EA4C9B">
        <w:tab/>
        <w:t xml:space="preserve">The tax for waste disposal is included in the National Tax List, however has no revenue recorded against it. It is unclear why this is the case. </w:t>
      </w:r>
    </w:p>
  </w:footnote>
  <w:footnote w:id="736">
    <w:p w14:paraId="0BECD880" w14:textId="77777777" w:rsidR="002435CD" w:rsidRPr="00EA4C9B" w:rsidRDefault="002435CD" w:rsidP="0030301D">
      <w:pPr>
        <w:pStyle w:val="Footnotes"/>
      </w:pPr>
      <w:r w:rsidRPr="00EA4C9B">
        <w:rPr>
          <w:rStyle w:val="FootnoteReference"/>
        </w:rPr>
        <w:footnoteRef/>
      </w:r>
      <w:r w:rsidRPr="00EA4C9B">
        <w:t xml:space="preserve"> </w:t>
      </w:r>
      <w:r w:rsidRPr="00EA4C9B">
        <w:tab/>
        <w:t xml:space="preserve">Interreg Central Europe (2021): Comparative Transnational Report Of Ce Legislation And Policies On Mar. Available at: </w:t>
      </w:r>
      <w:hyperlink r:id="rId435" w:history="1">
        <w:r w:rsidRPr="00EA4C9B">
          <w:rPr>
            <w:rStyle w:val="Hyperlink"/>
          </w:rPr>
          <w:t>https://programme2014-20.interreg-central.eu/Content.Node/DEEPWATER-CE/D.T4.1.2-COMPARATIVE-CE-TRANSNATIONAL-REPORT-MAR-LEGISLATION.pdf</w:t>
        </w:r>
      </w:hyperlink>
      <w:r w:rsidRPr="00EA4C9B">
        <w:t xml:space="preserve">. </w:t>
      </w:r>
    </w:p>
  </w:footnote>
  <w:footnote w:id="737">
    <w:p w14:paraId="183A5808" w14:textId="77777777" w:rsidR="002435CD" w:rsidRPr="00EA4C9B" w:rsidRDefault="002435CD" w:rsidP="0030301D">
      <w:pPr>
        <w:pStyle w:val="Footnotes"/>
      </w:pPr>
      <w:r w:rsidRPr="00EA4C9B">
        <w:rPr>
          <w:rStyle w:val="FootnoteReference"/>
        </w:rPr>
        <w:footnoteRef/>
      </w:r>
      <w:r w:rsidRPr="00EA4C9B">
        <w:t xml:space="preserve"> </w:t>
      </w:r>
      <w:r w:rsidRPr="00EA4C9B">
        <w:tab/>
        <w:t xml:space="preserve">Government of the Slovak Republic (2004): Act 755/2004 Z. z. Available at </w:t>
      </w:r>
      <w:hyperlink r:id="rId436" w:history="1">
        <w:r w:rsidRPr="00EA4C9B">
          <w:rPr>
            <w:rStyle w:val="Hyperlink"/>
          </w:rPr>
          <w:t>https://www.slov-lex.sk/ezbierky/pravne-predpisy/SK/ZZ/2004/755/vyhlasene_znenie.html</w:t>
        </w:r>
      </w:hyperlink>
      <w:r w:rsidRPr="00EA4C9B">
        <w:t>.</w:t>
      </w:r>
    </w:p>
  </w:footnote>
  <w:footnote w:id="738">
    <w:p w14:paraId="114FE0DC" w14:textId="77777777" w:rsidR="002435CD" w:rsidRPr="00EA4C9B" w:rsidRDefault="002435CD" w:rsidP="0030301D">
      <w:pPr>
        <w:pStyle w:val="Footnotes"/>
      </w:pPr>
      <w:r w:rsidRPr="00EA4C9B">
        <w:rPr>
          <w:rStyle w:val="FootnoteReference"/>
        </w:rPr>
        <w:footnoteRef/>
      </w:r>
      <w:r w:rsidRPr="00EA4C9B">
        <w:t xml:space="preserve"> </w:t>
      </w:r>
      <w:r w:rsidRPr="00EA4C9B">
        <w:tab/>
        <w:t xml:space="preserve">Act No. 587/2004 Coll. of the Slovak Republic on the Environmental Fund. </w:t>
      </w:r>
    </w:p>
  </w:footnote>
  <w:footnote w:id="739">
    <w:p w14:paraId="40720302" w14:textId="77777777" w:rsidR="002435CD" w:rsidRPr="00EA4C9B" w:rsidRDefault="002435CD" w:rsidP="0030301D">
      <w:pPr>
        <w:pStyle w:val="Footnotes"/>
      </w:pPr>
      <w:r w:rsidRPr="00EA4C9B">
        <w:rPr>
          <w:rStyle w:val="FootnoteReference"/>
        </w:rPr>
        <w:footnoteRef/>
      </w:r>
      <w:r w:rsidRPr="00EA4C9B">
        <w:t xml:space="preserve"> </w:t>
      </w:r>
      <w:r w:rsidRPr="00EA4C9B">
        <w:tab/>
        <w:t xml:space="preserve">Government of the Slovak Republic (2023): Act 755/2004 Z. z. Available at </w:t>
      </w:r>
      <w:hyperlink r:id="rId437" w:history="1">
        <w:r w:rsidRPr="00EA4C9B">
          <w:rPr>
            <w:rStyle w:val="Hyperlink"/>
          </w:rPr>
          <w:t>https://www.slov-lex.sk/ezbierky/pravne-predpisy/SK/ZZ/2023/190/20240101</w:t>
        </w:r>
      </w:hyperlink>
      <w:r w:rsidRPr="00EA4C9B">
        <w:t>.</w:t>
      </w:r>
    </w:p>
  </w:footnote>
  <w:footnote w:id="740">
    <w:p w14:paraId="70EA2835" w14:textId="77777777" w:rsidR="002435CD" w:rsidRPr="00EA4C9B" w:rsidRDefault="002435CD" w:rsidP="00BB1A1A">
      <w:pPr>
        <w:pStyle w:val="Footnotes"/>
      </w:pPr>
      <w:r w:rsidRPr="00EA4C9B">
        <w:rPr>
          <w:rStyle w:val="FootnoteReference"/>
        </w:rPr>
        <w:footnoteRef/>
      </w:r>
      <w:r w:rsidRPr="00EA4C9B">
        <w:t xml:space="preserve"> </w:t>
      </w:r>
      <w:r w:rsidRPr="00EA4C9B">
        <w:tab/>
        <w:t xml:space="preserve">This is categorized as a pollution tax in Eurostat (Available at: </w:t>
      </w:r>
      <w:hyperlink r:id="rId438" w:history="1">
        <w:r w:rsidRPr="00EA4C9B">
          <w:rPr>
            <w:rStyle w:val="Hyperlink"/>
          </w:rPr>
          <w:t>https://ec.europa.eu/eurostat/cache/metadata/EN/env_ac_taxind2_simset_sk.htm</w:t>
        </w:r>
      </w:hyperlink>
      <w:r w:rsidRPr="00EA4C9B">
        <w:t xml:space="preserve">) </w:t>
      </w:r>
    </w:p>
  </w:footnote>
  <w:footnote w:id="741">
    <w:p w14:paraId="62157A34" w14:textId="77777777" w:rsidR="002435CD" w:rsidRPr="00EA4C9B" w:rsidRDefault="002435CD" w:rsidP="00BB1A1A">
      <w:pPr>
        <w:pStyle w:val="Footnotes"/>
      </w:pPr>
      <w:r w:rsidRPr="00EA4C9B">
        <w:rPr>
          <w:rStyle w:val="FootnoteReference"/>
        </w:rPr>
        <w:footnoteRef/>
      </w:r>
      <w:r w:rsidRPr="00EA4C9B">
        <w:t xml:space="preserve"> </w:t>
      </w:r>
      <w:r w:rsidRPr="00EA4C9B">
        <w:tab/>
        <w:t xml:space="preserve">Government of the Slovak Republic (2002): Government Regulation No. 50/2002 Coll. Regulation of the Government of the Slovak Republic on Payment for Mining Area, Payment for Extracted Minerals and Payment for Storage of Gases or Liquids. Available at </w:t>
      </w:r>
      <w:hyperlink r:id="rId439" w:anchor="p1" w:history="1">
        <w:r w:rsidRPr="00EA4C9B">
          <w:rPr>
            <w:rStyle w:val="Hyperlink"/>
          </w:rPr>
          <w:t>https://www.zakonypreludi.sk/zz/2002-50#p1</w:t>
        </w:r>
      </w:hyperlink>
      <w:r w:rsidRPr="00EA4C9B">
        <w:t xml:space="preserve">. </w:t>
      </w:r>
    </w:p>
  </w:footnote>
  <w:footnote w:id="742">
    <w:p w14:paraId="6CFE0DF4" w14:textId="77777777" w:rsidR="002435CD" w:rsidRPr="00EA4C9B" w:rsidRDefault="002435CD" w:rsidP="00BB1A1A">
      <w:pPr>
        <w:pStyle w:val="Footnotes"/>
      </w:pPr>
      <w:r w:rsidRPr="00EA4C9B">
        <w:rPr>
          <w:rStyle w:val="FootnoteReference"/>
        </w:rPr>
        <w:footnoteRef/>
      </w:r>
      <w:r w:rsidRPr="00EA4C9B">
        <w:t xml:space="preserve"> </w:t>
      </w:r>
      <w:r w:rsidRPr="00EA4C9B">
        <w:tab/>
        <w:t xml:space="preserve">Government of the Slovak Republic (2018): Act No. 329/2018 Coll. Act on Fees for the Disposal of Waste and on the Amendment of Act No. 587/2004 Coll. on the Environmental Fund and on the Amendment of Certain Acts, as amended.  Available at: </w:t>
      </w:r>
      <w:hyperlink r:id="rId440" w:history="1">
        <w:r w:rsidRPr="00EA4C9B">
          <w:rPr>
            <w:rStyle w:val="Hyperlink"/>
          </w:rPr>
          <w:t>https://www.zakonypreludi.sk/zz/2018-329</w:t>
        </w:r>
      </w:hyperlink>
      <w:r w:rsidRPr="00EA4C9B">
        <w:t>.</w:t>
      </w:r>
    </w:p>
  </w:footnote>
  <w:footnote w:id="743">
    <w:p w14:paraId="696A4D83" w14:textId="77777777" w:rsidR="002435CD" w:rsidRPr="00EA4C9B" w:rsidRDefault="002435CD" w:rsidP="00BB1A1A">
      <w:pPr>
        <w:pStyle w:val="Footnotes"/>
      </w:pPr>
      <w:r w:rsidRPr="00EA4C9B">
        <w:rPr>
          <w:rStyle w:val="FootnoteReference"/>
        </w:rPr>
        <w:footnoteRef/>
      </w:r>
      <w:r w:rsidRPr="00EA4C9B">
        <w:t xml:space="preserve"> </w:t>
      </w:r>
      <w:r w:rsidRPr="00EA4C9B">
        <w:tab/>
        <w:t xml:space="preserve">Barta, P (2022): Air Pollution Fees in Slovakia. Denkstatt. Institute for European Environmental Policy. Available at: </w:t>
      </w:r>
      <w:hyperlink r:id="rId441" w:history="1">
        <w:r w:rsidRPr="00EA4C9B">
          <w:rPr>
            <w:rStyle w:val="Hyperlink"/>
          </w:rPr>
          <w:t>https://ieep.eu/wp-content/uploads/2022/12/SK-Air-Pollution-Fee-final.pdf</w:t>
        </w:r>
      </w:hyperlink>
      <w:r w:rsidRPr="00EA4C9B">
        <w:t xml:space="preserve">. </w:t>
      </w:r>
    </w:p>
  </w:footnote>
  <w:footnote w:id="744">
    <w:p w14:paraId="2E2C8ECE" w14:textId="382106BE" w:rsidR="002435CD" w:rsidRPr="00EA4C9B" w:rsidRDefault="002435CD" w:rsidP="00C85CE1">
      <w:pPr>
        <w:pStyle w:val="Footnotes"/>
        <w:jc w:val="left"/>
      </w:pPr>
      <w:r w:rsidRPr="00EA4C9B">
        <w:rPr>
          <w:rStyle w:val="FootnoteReference"/>
        </w:rPr>
        <w:footnoteRef/>
      </w:r>
      <w:r w:rsidRPr="00EA4C9B">
        <w:t xml:space="preserve"> </w:t>
      </w:r>
      <w:r w:rsidR="00C85CE1">
        <w:tab/>
      </w:r>
      <w:r w:rsidRPr="00EA4C9B">
        <w:t xml:space="preserve">Správca zálohového systému n.o. (n.d): Deposit return system in Slovakia. Available at: </w:t>
      </w:r>
      <w:hyperlink r:id="rId442" w:history="1">
        <w:r w:rsidRPr="00EA4C9B">
          <w:rPr>
            <w:rStyle w:val="Hyperlink"/>
          </w:rPr>
          <w:t>https://www.spravcazaloh.sk/en/</w:t>
        </w:r>
      </w:hyperlink>
      <w:r w:rsidRPr="00EA4C9B">
        <w:t>.</w:t>
      </w:r>
    </w:p>
  </w:footnote>
  <w:footnote w:id="745">
    <w:p w14:paraId="7E6F441B" w14:textId="06B8C6FB" w:rsidR="002435CD" w:rsidRPr="00EA4C9B" w:rsidRDefault="002435CD" w:rsidP="00BB1A1A">
      <w:pPr>
        <w:pStyle w:val="Footnotes"/>
      </w:pPr>
      <w:r w:rsidRPr="00EA4C9B">
        <w:rPr>
          <w:rStyle w:val="FootnoteReference"/>
        </w:rPr>
        <w:footnoteRef/>
      </w:r>
      <w:r w:rsidRPr="00EA4C9B">
        <w:t xml:space="preserve"> </w:t>
      </w:r>
      <w:r w:rsidRPr="00EA4C9B">
        <w:tab/>
        <w:t>Ministry of the Environment of the Slovak Republic &amp; Slovak Environmental Agency, 2021</w:t>
      </w:r>
    </w:p>
  </w:footnote>
  <w:footnote w:id="746">
    <w:p w14:paraId="0D94C6C2" w14:textId="77777777" w:rsidR="002435CD" w:rsidRPr="00EA4C9B" w:rsidRDefault="002435CD" w:rsidP="00BB1A1A">
      <w:pPr>
        <w:pStyle w:val="Footnotes"/>
      </w:pPr>
      <w:r w:rsidRPr="00EA4C9B">
        <w:rPr>
          <w:rStyle w:val="FootnoteReference"/>
        </w:rPr>
        <w:footnoteRef/>
      </w:r>
      <w:r w:rsidRPr="00EA4C9B">
        <w:t xml:space="preserve"> </w:t>
      </w:r>
      <w:r w:rsidRPr="00EA4C9B">
        <w:tab/>
        <w:t xml:space="preserve">ExpastSK (2023): Hunting and Fishing in Slovakia. Webpage on the website of ExptsSK (Immigration services agency for Slovakia). Available at: </w:t>
      </w:r>
      <w:hyperlink r:id="rId443" w:history="1">
        <w:r w:rsidRPr="00EA4C9B">
          <w:rPr>
            <w:rStyle w:val="Hyperlink"/>
          </w:rPr>
          <w:t>https://expatsk.com/hunting-and-fishing-in-slovakia/</w:t>
        </w:r>
      </w:hyperlink>
      <w:r w:rsidRPr="00EA4C9B">
        <w:t xml:space="preserve">. </w:t>
      </w:r>
    </w:p>
  </w:footnote>
  <w:footnote w:id="747">
    <w:p w14:paraId="1F99B933" w14:textId="77777777" w:rsidR="002435CD" w:rsidRPr="00EA4C9B" w:rsidRDefault="002435CD" w:rsidP="004C02E7">
      <w:pPr>
        <w:pStyle w:val="Footnotes"/>
      </w:pPr>
      <w:r w:rsidRPr="00EA4C9B">
        <w:rPr>
          <w:rStyle w:val="FootnoteReference"/>
        </w:rPr>
        <w:footnoteRef/>
      </w:r>
      <w:r w:rsidRPr="00EA4C9B">
        <w:t xml:space="preserve"> </w:t>
      </w:r>
      <w:r w:rsidRPr="00EA4C9B">
        <w:tab/>
        <w:t xml:space="preserve">Ministry of Environment of the Slovak Republic (2019): Greener Slovakia: Strategy of the Environmental Policy of the Slovak Republic until 2030. Available at: </w:t>
      </w:r>
      <w:hyperlink r:id="rId444" w:history="1">
        <w:r w:rsidRPr="00EA4C9B">
          <w:rPr>
            <w:rStyle w:val="Hyperlink"/>
          </w:rPr>
          <w:t>https://www.minzp.sk/files/iep/greener_slovakia-strategy_of_the_environmental_policy_of_the_slovak_republic_until_2030.pdf</w:t>
        </w:r>
      </w:hyperlink>
      <w:r w:rsidRPr="00EA4C9B">
        <w:t xml:space="preserve"> </w:t>
      </w:r>
    </w:p>
  </w:footnote>
  <w:footnote w:id="748">
    <w:p w14:paraId="6762A042" w14:textId="77777777" w:rsidR="002435CD" w:rsidRPr="00EA4C9B" w:rsidRDefault="002435CD" w:rsidP="004C02E7">
      <w:pPr>
        <w:pStyle w:val="Footnotes"/>
      </w:pPr>
      <w:r w:rsidRPr="00EA4C9B">
        <w:rPr>
          <w:rStyle w:val="FootnoteReference"/>
        </w:rPr>
        <w:footnoteRef/>
      </w:r>
      <w:r w:rsidRPr="00EA4C9B">
        <w:t xml:space="preserve"> </w:t>
      </w:r>
      <w:r w:rsidRPr="00EA4C9B">
        <w:tab/>
        <w:t xml:space="preserve">OECD (2024): OECD Environmental Performance Reviews: Slovak Republic 2024. Available at: </w:t>
      </w:r>
      <w:hyperlink r:id="rId445" w:history="1">
        <w:r w:rsidRPr="00EA4C9B">
          <w:rPr>
            <w:rStyle w:val="Hyperlink"/>
          </w:rPr>
          <w:t>https://www.minzp.sk/files/iep/analyzy/epr-slovakia-2024-highlights-final-english-web.pdf</w:t>
        </w:r>
      </w:hyperlink>
      <w:r w:rsidRPr="00EA4C9B">
        <w:t xml:space="preserve">. </w:t>
      </w:r>
    </w:p>
  </w:footnote>
  <w:footnote w:id="749">
    <w:p w14:paraId="4DAAEFCC" w14:textId="2762AC12" w:rsidR="002435CD" w:rsidRPr="00EA4C9B" w:rsidRDefault="002435CD" w:rsidP="004C02E7">
      <w:pPr>
        <w:pStyle w:val="Footnotes"/>
      </w:pPr>
      <w:r w:rsidRPr="00EA4C9B">
        <w:rPr>
          <w:rStyle w:val="FootnoteReference"/>
        </w:rPr>
        <w:footnoteRef/>
      </w:r>
      <w:r w:rsidRPr="00EA4C9B">
        <w:t xml:space="preserve"> </w:t>
      </w:r>
      <w:r w:rsidRPr="00EA4C9B">
        <w:tab/>
        <w:t xml:space="preserve">European Commission (2024): Recommendation for a COUNCIL RECOMMENDATION on the economic, social, employment, structural and budgetary policies of Slovakia. Available at: </w:t>
      </w:r>
      <w:hyperlink r:id="rId446" w:history="1">
        <w:r w:rsidRPr="00EA4C9B">
          <w:rPr>
            <w:rStyle w:val="Hyperlink"/>
          </w:rPr>
          <w:t>https://commission.europa.eu/document/download/62d6f5ed-3509-4015-ad4e-415f</w:t>
        </w:r>
        <w:r w:rsidR="00490085">
          <w:rPr>
            <w:rStyle w:val="Hyperlink"/>
          </w:rPr>
          <w:t>A6</w:t>
        </w:r>
        <w:r w:rsidRPr="00EA4C9B">
          <w:rPr>
            <w:rStyle w:val="Hyperlink"/>
          </w:rPr>
          <w:t>467006_en?filename=com_2024_625_1_en.pdf</w:t>
        </w:r>
      </w:hyperlink>
      <w:r w:rsidRPr="00EA4C9B">
        <w:t xml:space="preserve"> </w:t>
      </w:r>
    </w:p>
  </w:footnote>
  <w:footnote w:id="750">
    <w:p w14:paraId="31BE4D90" w14:textId="22AF661E" w:rsidR="002435CD" w:rsidRPr="00EA4C9B" w:rsidRDefault="002435CD" w:rsidP="004C02E7">
      <w:pPr>
        <w:pStyle w:val="Footnotes"/>
      </w:pPr>
      <w:r w:rsidRPr="00EA4C9B">
        <w:rPr>
          <w:rStyle w:val="FootnoteReference"/>
        </w:rPr>
        <w:footnoteRef/>
      </w:r>
      <w:r w:rsidRPr="00EA4C9B">
        <w:t xml:space="preserve">  The six main types of taxes on pollution and resources, as generally recognised by the OECD and the European Environment Agency, typically include: Energy taxes, transport taxes, pollution taxes, resource taxes, landfill/waste taxes, and carbon taxes. </w:t>
      </w:r>
    </w:p>
  </w:footnote>
  <w:footnote w:id="751">
    <w:p w14:paraId="6CB248BA" w14:textId="77777777" w:rsidR="002435CD" w:rsidRPr="00EA4C9B" w:rsidRDefault="002435CD" w:rsidP="002435CD">
      <w:pPr>
        <w:pStyle w:val="FootnoteText"/>
      </w:pPr>
      <w:r w:rsidRPr="00EA4C9B">
        <w:rPr>
          <w:rStyle w:val="FootnoteReference"/>
        </w:rPr>
        <w:footnoteRef/>
      </w:r>
      <w:r w:rsidRPr="00EA4C9B">
        <w:t xml:space="preserve"> </w:t>
      </w:r>
      <w:r w:rsidRPr="00EA4C9B">
        <w:tab/>
        <w:t xml:space="preserve">European Commission (2024): Commission Staff Working Document 2024 Country Report – Slovakia. Accompanying the document Recommendation for a COUNCIL RECOMMENDATION on the economic, social, employment, structural and budgetary policies of Slovakia. </w:t>
      </w:r>
    </w:p>
  </w:footnote>
  <w:footnote w:id="752">
    <w:p w14:paraId="0E9D0959" w14:textId="77777777" w:rsidR="002435CD" w:rsidRPr="00EA4C9B" w:rsidRDefault="002435CD" w:rsidP="002435CD">
      <w:pPr>
        <w:pStyle w:val="FootnoteText"/>
      </w:pPr>
      <w:r w:rsidRPr="00EA4C9B">
        <w:rPr>
          <w:rStyle w:val="FootnoteReference"/>
        </w:rPr>
        <w:footnoteRef/>
      </w:r>
      <w:r w:rsidRPr="00EA4C9B">
        <w:t xml:space="preserve"> </w:t>
      </w:r>
      <w:r w:rsidRPr="00EA4C9B">
        <w:tab/>
        <w:t xml:space="preserve">European Environment Agency (2024): Early warning assessment related to the 2025 targets for municipal waste and packaging waste: Slovakia. Available at: </w:t>
      </w:r>
      <w:hyperlink r:id="rId447" w:history="1">
        <w:r w:rsidRPr="00EA4C9B">
          <w:rPr>
            <w:rStyle w:val="Hyperlink"/>
          </w:rPr>
          <w:t>https://www.eea.europa.eu/publications/many-eu-member-states/slovakia/view</w:t>
        </w:r>
      </w:hyperlink>
      <w:r w:rsidRPr="00EA4C9B">
        <w:t xml:space="preserve">. </w:t>
      </w:r>
    </w:p>
  </w:footnote>
  <w:footnote w:id="753">
    <w:p w14:paraId="397C65E3" w14:textId="77777777" w:rsidR="002435CD" w:rsidRPr="00EA4C9B" w:rsidRDefault="002435CD" w:rsidP="002435CD">
      <w:pPr>
        <w:pStyle w:val="FootnoteText"/>
      </w:pPr>
      <w:r w:rsidRPr="00EA4C9B">
        <w:rPr>
          <w:rStyle w:val="FootnoteReference"/>
        </w:rPr>
        <w:footnoteRef/>
      </w:r>
      <w:r w:rsidRPr="00EA4C9B">
        <w:t xml:space="preserve"> </w:t>
      </w:r>
      <w:r w:rsidRPr="00EA4C9B">
        <w:tab/>
        <w:t xml:space="preserve">OECD (2020). Towards a green fiscal reform in the Slovak Republic - Proposals for strengthening the role of market-based environmental policy instruments. OECD Environmental Policy Paper No. 19. Available at: </w:t>
      </w:r>
      <w:hyperlink r:id="rId448" w:history="1">
        <w:r w:rsidRPr="00EA4C9B">
          <w:rPr>
            <w:rStyle w:val="Hyperlink"/>
          </w:rPr>
          <w:t>https://www.oecd.org/en/publications/towards-a-green-fiscal-reform-in-the-slovak-republic_1aa92a49-en.html</w:t>
        </w:r>
      </w:hyperlink>
      <w:r w:rsidRPr="00EA4C9B">
        <w:t xml:space="preserve">. </w:t>
      </w:r>
    </w:p>
  </w:footnote>
  <w:footnote w:id="754">
    <w:p w14:paraId="745D8509" w14:textId="77777777" w:rsidR="002435CD" w:rsidRPr="00EA4C9B" w:rsidRDefault="002435CD" w:rsidP="002435CD">
      <w:pPr>
        <w:pStyle w:val="FootnoteText"/>
      </w:pPr>
      <w:r w:rsidRPr="00EA4C9B">
        <w:rPr>
          <w:rStyle w:val="FootnoteReference"/>
        </w:rPr>
        <w:footnoteRef/>
      </w:r>
      <w:r w:rsidRPr="00EA4C9B">
        <w:t xml:space="preserve"> </w:t>
      </w:r>
      <w:r w:rsidRPr="00EA4C9B">
        <w:tab/>
        <w:t xml:space="preserve">EEA (2022): Early warning assessment related to the 2025 targets for municipal waste and packaging waste. European Environment Agency report. Available at: </w:t>
      </w:r>
      <w:hyperlink r:id="rId449" w:history="1">
        <w:r w:rsidRPr="00EA4C9B">
          <w:rPr>
            <w:rStyle w:val="Hyperlink"/>
          </w:rPr>
          <w:t>https://www.eea.europa.eu/publications/many-eu-member-states/early-warning-assessment-related-to</w:t>
        </w:r>
      </w:hyperlink>
      <w:r w:rsidRPr="00EA4C9B">
        <w:t xml:space="preserve">. </w:t>
      </w:r>
    </w:p>
  </w:footnote>
  <w:footnote w:id="755">
    <w:p w14:paraId="42C5A6BA" w14:textId="77777777" w:rsidR="002435CD" w:rsidRPr="00EA4C9B" w:rsidRDefault="002435CD" w:rsidP="002435CD">
      <w:pPr>
        <w:pStyle w:val="FootnoteText"/>
      </w:pPr>
      <w:r w:rsidRPr="00EA4C9B">
        <w:rPr>
          <w:rStyle w:val="FootnoteReference"/>
        </w:rPr>
        <w:footnoteRef/>
      </w:r>
      <w:r w:rsidRPr="00EA4C9B">
        <w:t xml:space="preserve"> </w:t>
      </w:r>
      <w:r w:rsidRPr="00EA4C9B">
        <w:tab/>
        <w:t xml:space="preserve">EEA (2022): Circular economy country profile – Slovakia. ETC CE Report 2022/5 – Slovakia. European Environment Agency report. Available at: </w:t>
      </w:r>
      <w:hyperlink r:id="rId450" w:history="1">
        <w:r w:rsidRPr="00EA4C9B">
          <w:rPr>
            <w:rStyle w:val="Hyperlink"/>
          </w:rPr>
          <w:t>https://www.eionet.europa.eu/etcs/etc-ce/products/etc-ce-products/etc-ce-report-5-2022-country-profiles-on-circular-economy/slovakia-ce-country-profile-2022_for-publication.pdf</w:t>
        </w:r>
      </w:hyperlink>
      <w:r w:rsidRPr="00EA4C9B">
        <w:t xml:space="preserve">. </w:t>
      </w:r>
    </w:p>
  </w:footnote>
  <w:footnote w:id="756">
    <w:p w14:paraId="3399FC2C" w14:textId="77777777" w:rsidR="002435CD" w:rsidRPr="00EA4C9B" w:rsidRDefault="002435CD" w:rsidP="002435CD">
      <w:pPr>
        <w:pStyle w:val="FootnoteText"/>
      </w:pPr>
      <w:r w:rsidRPr="00EA4C9B">
        <w:rPr>
          <w:rStyle w:val="FootnoteReference"/>
        </w:rPr>
        <w:footnoteRef/>
      </w:r>
      <w:r w:rsidRPr="00EA4C9B">
        <w:t xml:space="preserve"> </w:t>
      </w:r>
      <w:r w:rsidRPr="00EA4C9B">
        <w:tab/>
        <w:t xml:space="preserve">OECD (2024): Pricing Greenhouse Gas Emissions. Carbon pricing in the Slovak Republic. Available at: </w:t>
      </w:r>
      <w:hyperlink r:id="rId451" w:history="1">
        <w:r w:rsidRPr="00EA4C9B">
          <w:rPr>
            <w:rStyle w:val="Hyperlink"/>
          </w:rPr>
          <w:t>https://www.oecd.org/content/dam/oecd/en/topics/policy-sub-issues/carbon-pricing-and-energy-taxes/carbon-pricing-slovak-republic.pdf</w:t>
        </w:r>
      </w:hyperlink>
      <w:r w:rsidRPr="00EA4C9B">
        <w:t xml:space="preserve">. </w:t>
      </w:r>
    </w:p>
  </w:footnote>
  <w:footnote w:id="757">
    <w:p w14:paraId="356BEC37" w14:textId="77777777" w:rsidR="002435CD" w:rsidRPr="00EA4C9B" w:rsidRDefault="002435CD" w:rsidP="002435CD">
      <w:pPr>
        <w:pStyle w:val="FootnoteText"/>
      </w:pPr>
      <w:r w:rsidRPr="00EA4C9B">
        <w:rPr>
          <w:rStyle w:val="FootnoteReference"/>
        </w:rPr>
        <w:footnoteRef/>
      </w:r>
      <w:r w:rsidRPr="00EA4C9B">
        <w:t xml:space="preserve"> </w:t>
      </w:r>
      <w:r w:rsidRPr="00EA4C9B">
        <w:tab/>
        <w:t xml:space="preserve">Štreimikienė &amp; Ališauskaitė-Šeškienė (2016): Comparative Assessment of External Costs and Pollution Taxes in Baltic States, Czech Republic and Slovakia. E &amp; M. Available at: </w:t>
      </w:r>
      <w:hyperlink r:id="rId452" w:history="1">
        <w:r w:rsidRPr="00EA4C9B">
          <w:rPr>
            <w:rStyle w:val="Hyperlink"/>
          </w:rPr>
          <w:t>http://dx.doi.org/10.15240/tul/001/2016-4-001</w:t>
        </w:r>
      </w:hyperlink>
      <w:r w:rsidRPr="00EA4C9B">
        <w:t xml:space="preserve">. </w:t>
      </w:r>
    </w:p>
  </w:footnote>
  <w:footnote w:id="758">
    <w:p w14:paraId="0851D7B8" w14:textId="77777777" w:rsidR="002435CD" w:rsidRPr="00EA4C9B" w:rsidRDefault="002435CD" w:rsidP="002435CD">
      <w:pPr>
        <w:pStyle w:val="FootnoteText"/>
      </w:pPr>
      <w:r w:rsidRPr="00EA4C9B">
        <w:rPr>
          <w:rStyle w:val="FootnoteReference"/>
        </w:rPr>
        <w:footnoteRef/>
      </w:r>
      <w:r w:rsidRPr="00EA4C9B">
        <w:t xml:space="preserve"> </w:t>
      </w:r>
      <w:r w:rsidRPr="00EA4C9B">
        <w:tab/>
        <w:t xml:space="preserve">Ministry of Finance of the Slovak Republic (2023): The state can use at least 370 million in subsidies more efficiently. Available at: </w:t>
      </w:r>
      <w:hyperlink r:id="rId453" w:history="1">
        <w:r w:rsidRPr="00EA4C9B">
          <w:rPr>
            <w:rStyle w:val="Hyperlink"/>
          </w:rPr>
          <w:t>https://www.mfsr.sk/en/press/the-state-can-use-least-370-million-subsidies-more-efficiently.html</w:t>
        </w:r>
      </w:hyperlink>
      <w:r w:rsidRPr="00EA4C9B">
        <w:t xml:space="preserve">. </w:t>
      </w:r>
    </w:p>
  </w:footnote>
  <w:footnote w:id="759">
    <w:p w14:paraId="46CD6A3C" w14:textId="77777777" w:rsidR="002435CD" w:rsidRPr="00EA4C9B" w:rsidRDefault="002435CD" w:rsidP="002435CD">
      <w:pPr>
        <w:pStyle w:val="FootnoteText"/>
      </w:pPr>
      <w:r w:rsidRPr="00EA4C9B">
        <w:rPr>
          <w:rStyle w:val="FootnoteReference"/>
        </w:rPr>
        <w:footnoteRef/>
      </w:r>
      <w:r w:rsidRPr="00EA4C9B">
        <w:t xml:space="preserve"> </w:t>
      </w:r>
      <w:r w:rsidRPr="00EA4C9B">
        <w:tab/>
        <w:t xml:space="preserve">Hogg et al (2016) : Study on assessing the environmental fiscal reform potential for the EU28. Report prepared for the European Commission DG Environment. </w:t>
      </w:r>
    </w:p>
  </w:footnote>
  <w:footnote w:id="760">
    <w:p w14:paraId="51716912" w14:textId="77777777" w:rsidR="002435CD" w:rsidRPr="00EA4C9B" w:rsidRDefault="002435CD" w:rsidP="002435CD">
      <w:pPr>
        <w:pStyle w:val="FootnoteText"/>
      </w:pPr>
      <w:r w:rsidRPr="00EA4C9B">
        <w:rPr>
          <w:rStyle w:val="FootnoteReference"/>
        </w:rPr>
        <w:footnoteRef/>
      </w:r>
      <w:r w:rsidRPr="00EA4C9B">
        <w:t xml:space="preserve"> </w:t>
      </w:r>
      <w:r w:rsidRPr="00EA4C9B">
        <w:tab/>
        <w:t xml:space="preserve">European Environment Agency (2024): Early warning assessment related to the 2025 targets for municipal waste and packaging waste: Slovakia. Available at: </w:t>
      </w:r>
      <w:hyperlink r:id="rId454" w:history="1">
        <w:r w:rsidRPr="00EA4C9B">
          <w:rPr>
            <w:rStyle w:val="Hyperlink"/>
          </w:rPr>
          <w:t>https://www.eea.europa.eu/publications/many-eu-member-states/slovakia/view</w:t>
        </w:r>
      </w:hyperlink>
      <w:r w:rsidRPr="00EA4C9B">
        <w:t>.</w:t>
      </w:r>
    </w:p>
  </w:footnote>
  <w:footnote w:id="761">
    <w:p w14:paraId="06D8B940" w14:textId="77777777" w:rsidR="002435CD" w:rsidRPr="00EA4C9B" w:rsidRDefault="002435CD" w:rsidP="002435CD">
      <w:pPr>
        <w:pStyle w:val="FootnoteText"/>
      </w:pPr>
      <w:r w:rsidRPr="00EA4C9B">
        <w:rPr>
          <w:rStyle w:val="FootnoteReference"/>
        </w:rPr>
        <w:footnoteRef/>
      </w:r>
      <w:r w:rsidRPr="00EA4C9B">
        <w:t xml:space="preserve"> </w:t>
      </w:r>
      <w:r w:rsidRPr="00EA4C9B">
        <w:tab/>
        <w:t xml:space="preserve">European Environment Agency (2024): Early warning assessment related to the 2025 targets for municipal waste and packaging waste: Slovakia. Available at: </w:t>
      </w:r>
      <w:hyperlink r:id="rId455" w:history="1">
        <w:r w:rsidRPr="00EA4C9B">
          <w:rPr>
            <w:rStyle w:val="Hyperlink"/>
          </w:rPr>
          <w:t>https://www.eea.europa.eu/publications/many-eu-member-states/slovakia/view</w:t>
        </w:r>
      </w:hyperlink>
      <w:r w:rsidRPr="00EA4C9B">
        <w:t>.</w:t>
      </w:r>
    </w:p>
  </w:footnote>
  <w:footnote w:id="762">
    <w:p w14:paraId="3F48372A" w14:textId="7D702492" w:rsidR="00C25234" w:rsidRDefault="00C25234">
      <w:pPr>
        <w:pStyle w:val="FootnoteText"/>
      </w:pPr>
      <w:r>
        <w:rPr>
          <w:rStyle w:val="FootnoteReference"/>
        </w:rPr>
        <w:footnoteRef/>
      </w:r>
      <w:r>
        <w:t xml:space="preserve"> </w:t>
      </w:r>
      <w:r>
        <w:tab/>
        <w:t xml:space="preserve">OECD (2019). Taxing Energy Use 2019. Available at: </w:t>
      </w:r>
      <w:hyperlink r:id="rId456" w:history="1">
        <w:r w:rsidRPr="009E695E">
          <w:rPr>
            <w:rStyle w:val="Hyperlink"/>
          </w:rPr>
          <w:t>https://www.oecd.org/en/publications/taxing-energy-use-2019_058ca239-en.html</w:t>
        </w:r>
      </w:hyperlink>
      <w:r>
        <w:t xml:space="preserve"> </w:t>
      </w:r>
    </w:p>
  </w:footnote>
  <w:footnote w:id="763">
    <w:p w14:paraId="5FDB6CA3" w14:textId="77777777" w:rsidR="00F72177" w:rsidRPr="00BA1510" w:rsidRDefault="00F72177" w:rsidP="00F72177">
      <w:pPr>
        <w:pStyle w:val="FootnoteText"/>
        <w:rPr>
          <w:lang w:val="en-US"/>
        </w:rPr>
      </w:pPr>
      <w:r>
        <w:rPr>
          <w:rStyle w:val="FootnoteReference"/>
        </w:rPr>
        <w:footnoteRef/>
      </w:r>
      <w:r>
        <w:t xml:space="preserve"> </w:t>
      </w:r>
      <w:r w:rsidRPr="00BA1510">
        <w:t xml:space="preserve">The comparison is expressed in real terms, meaning that figures are adjusted for inflation. The </w:t>
      </w:r>
      <w:r>
        <w:t>31</w:t>
      </w:r>
      <w:r w:rsidRPr="00BA1510">
        <w:t>.</w:t>
      </w:r>
      <w:r>
        <w:t>2</w:t>
      </w:r>
      <w:r w:rsidRPr="00BA1510">
        <w:t>%    increase refers to growth in constant prices over 2009–2023.</w:t>
      </w:r>
    </w:p>
  </w:footnote>
  <w:footnote w:id="764">
    <w:p w14:paraId="0CEC6F9A" w14:textId="2DA6A9F9" w:rsidR="002435CD" w:rsidRPr="00EA4C9B" w:rsidRDefault="002435CD" w:rsidP="00DE4E35">
      <w:pPr>
        <w:pStyle w:val="Footnotes"/>
      </w:pPr>
      <w:r w:rsidRPr="00EA4C9B">
        <w:rPr>
          <w:rStyle w:val="FootnoteReference"/>
        </w:rPr>
        <w:footnoteRef/>
      </w:r>
      <w:r w:rsidRPr="00EA4C9B">
        <w:t xml:space="preserve"> </w:t>
      </w:r>
      <w:r w:rsidR="00C85CE1">
        <w:tab/>
      </w:r>
      <w:hyperlink r:id="rId457" w:history="1">
        <w:r w:rsidRPr="00DE4E35">
          <w:rPr>
            <w:color w:val="0000FF"/>
            <w:u w:val="single"/>
          </w:rPr>
          <w:t>[env_ac_taxind2] Environmental taxes by economic activity (NACE Rev. 2)</w:t>
        </w:r>
      </w:hyperlink>
    </w:p>
  </w:footnote>
  <w:footnote w:id="765">
    <w:p w14:paraId="6582121A" w14:textId="6DD37DC3" w:rsidR="002435CD" w:rsidRPr="00EA4C9B" w:rsidRDefault="002435CD" w:rsidP="00DE4E35">
      <w:pPr>
        <w:pStyle w:val="Footnotes"/>
      </w:pPr>
      <w:r w:rsidRPr="00EA4C9B">
        <w:rPr>
          <w:rStyle w:val="FootnoteReference"/>
        </w:rPr>
        <w:footnoteRef/>
      </w:r>
      <w:r w:rsidRPr="00EA4C9B">
        <w:t xml:space="preserve"> </w:t>
      </w:r>
      <w:r w:rsidR="00C85CE1">
        <w:tab/>
      </w:r>
      <w:hyperlink r:id="rId458" w:history="1">
        <w:r w:rsidRPr="00DE4E35">
          <w:rPr>
            <w:color w:val="0000FF"/>
            <w:u w:val="single"/>
          </w:rPr>
          <w:t>[env_ac_taxind2] Environmental taxes by economic activity (NACE Rev. 2)</w:t>
        </w:r>
      </w:hyperlink>
    </w:p>
  </w:footnote>
  <w:footnote w:id="766">
    <w:p w14:paraId="49FD6143" w14:textId="658C868B" w:rsidR="002435CD" w:rsidRPr="00EA4C9B" w:rsidRDefault="002435CD" w:rsidP="00DE4E35">
      <w:pPr>
        <w:pStyle w:val="Footnotes"/>
      </w:pPr>
      <w:r w:rsidRPr="00EA4C9B">
        <w:rPr>
          <w:rStyle w:val="FootnoteReference"/>
        </w:rPr>
        <w:footnoteRef/>
      </w:r>
      <w:r w:rsidRPr="00EA4C9B">
        <w:t xml:space="preserve"> </w:t>
      </w:r>
      <w:r w:rsidR="00C85CE1">
        <w:tab/>
      </w:r>
      <w:hyperlink r:id="rId459" w:history="1">
        <w:r w:rsidRPr="00DE4E35">
          <w:rPr>
            <w:color w:val="0000FF"/>
            <w:u w:val="single"/>
          </w:rPr>
          <w:t>National_tax_lists_2023_2025-04-25.xlsx</w:t>
        </w:r>
      </w:hyperlink>
    </w:p>
  </w:footnote>
  <w:footnote w:id="767">
    <w:p w14:paraId="18891DCF" w14:textId="5B126121" w:rsidR="002435CD" w:rsidRPr="00EA4C9B" w:rsidRDefault="002435CD" w:rsidP="00DE4E35">
      <w:pPr>
        <w:pStyle w:val="Footnotes"/>
      </w:pPr>
      <w:r w:rsidRPr="00EA4C9B">
        <w:rPr>
          <w:rStyle w:val="FootnoteReference"/>
        </w:rPr>
        <w:footnoteRef/>
      </w:r>
      <w:r w:rsidRPr="00EA4C9B">
        <w:t xml:space="preserve"> </w:t>
      </w:r>
      <w:r w:rsidR="00C85CE1">
        <w:tab/>
      </w:r>
      <w:hyperlink r:id="rId460" w:history="1">
        <w:r w:rsidRPr="00DE4E35">
          <w:rPr>
            <w:color w:val="0000FF"/>
            <w:u w:val="single"/>
          </w:rPr>
          <w:t>Policy Instruments for the Environment (PINE) Database | OECD</w:t>
        </w:r>
      </w:hyperlink>
    </w:p>
  </w:footnote>
  <w:footnote w:id="768">
    <w:p w14:paraId="5F495933" w14:textId="5D22593F" w:rsidR="002435CD" w:rsidRPr="00FB1209" w:rsidRDefault="002435CD" w:rsidP="00DE4E35">
      <w:pPr>
        <w:pStyle w:val="Footnotes"/>
        <w:rPr>
          <w:lang w:val="it-IT"/>
        </w:rPr>
      </w:pPr>
      <w:r w:rsidRPr="00EA4C9B">
        <w:rPr>
          <w:rStyle w:val="FootnoteReference"/>
        </w:rPr>
        <w:footnoteRef/>
      </w:r>
      <w:r w:rsidRPr="00FB1209">
        <w:rPr>
          <w:lang w:val="it-IT"/>
        </w:rPr>
        <w:t xml:space="preserve"> </w:t>
      </w:r>
      <w:r w:rsidR="00C85CE1" w:rsidRPr="00FB1209">
        <w:rPr>
          <w:lang w:val="it-IT"/>
        </w:rPr>
        <w:tab/>
      </w:r>
      <w:hyperlink r:id="rId461" w:history="1">
        <w:r w:rsidRPr="00FB1209">
          <w:rPr>
            <w:color w:val="0000FF"/>
            <w:u w:val="single"/>
            <w:lang w:val="it-IT"/>
          </w:rPr>
          <w:t>data.europa.eu</w:t>
        </w:r>
      </w:hyperlink>
    </w:p>
  </w:footnote>
  <w:footnote w:id="769">
    <w:p w14:paraId="1BEFF2EA" w14:textId="09C6B96E" w:rsidR="002435CD" w:rsidRPr="00FB1209" w:rsidRDefault="002435CD" w:rsidP="00DE4E35">
      <w:pPr>
        <w:pStyle w:val="Footnotes"/>
        <w:rPr>
          <w:lang w:val="it-IT"/>
        </w:rPr>
      </w:pPr>
      <w:r w:rsidRPr="00EA4C9B">
        <w:rPr>
          <w:rStyle w:val="FootnoteReference"/>
        </w:rPr>
        <w:footnoteRef/>
      </w:r>
      <w:r w:rsidRPr="00FB1209">
        <w:rPr>
          <w:lang w:val="it-IT"/>
        </w:rPr>
        <w:t xml:space="preserve"> </w:t>
      </w:r>
      <w:r w:rsidR="00C85CE1" w:rsidRPr="00FB1209">
        <w:rPr>
          <w:lang w:val="it-IT"/>
        </w:rPr>
        <w:tab/>
      </w:r>
      <w:hyperlink r:id="rId462" w:history="1">
        <w:r w:rsidRPr="00FB1209">
          <w:rPr>
            <w:color w:val="0000FF"/>
            <w:u w:val="single"/>
            <w:lang w:val="it-IT"/>
          </w:rPr>
          <w:t>data.europa.eu</w:t>
        </w:r>
      </w:hyperlink>
    </w:p>
  </w:footnote>
  <w:footnote w:id="770">
    <w:p w14:paraId="77CF3372" w14:textId="5D72DF84" w:rsidR="00245941" w:rsidRDefault="00245941">
      <w:pPr>
        <w:pStyle w:val="FootnoteText"/>
      </w:pPr>
      <w:r>
        <w:rPr>
          <w:rStyle w:val="FootnoteReference"/>
        </w:rPr>
        <w:footnoteRef/>
      </w:r>
      <w:r>
        <w:t xml:space="preserve"> </w:t>
      </w:r>
      <w:r>
        <w:tab/>
      </w:r>
      <w:r w:rsidRPr="00EA4C9B">
        <w:t>Okoljska dajatev za onesnaževanje okolja zaradi odvajanja odpadnih voda</w:t>
      </w:r>
      <w:r>
        <w:t>.</w:t>
      </w:r>
    </w:p>
  </w:footnote>
  <w:footnote w:id="771">
    <w:p w14:paraId="5F46B85F" w14:textId="27C467E3" w:rsidR="002435CD" w:rsidRPr="00EA4C9B" w:rsidRDefault="002435CD" w:rsidP="00DE4E35">
      <w:pPr>
        <w:pStyle w:val="Footnotes"/>
      </w:pPr>
      <w:r w:rsidRPr="00EA4C9B">
        <w:rPr>
          <w:rStyle w:val="FootnoteReference"/>
        </w:rPr>
        <w:footnoteRef/>
      </w:r>
      <w:r w:rsidRPr="00EA4C9B">
        <w:t xml:space="preserve"> </w:t>
      </w:r>
      <w:r w:rsidR="00C85CE1">
        <w:tab/>
      </w:r>
      <w:hyperlink r:id="rId463" w:history="1">
        <w:r w:rsidRPr="00DE4E35">
          <w:rPr>
            <w:color w:val="0000FF"/>
            <w:u w:val="single"/>
          </w:rPr>
          <w:t>Environmental levy on pollution resulting from discharges of industrial wastewater | GOV.SI</w:t>
        </w:r>
      </w:hyperlink>
    </w:p>
  </w:footnote>
  <w:footnote w:id="772">
    <w:p w14:paraId="371C0BA6" w14:textId="34D22869" w:rsidR="002435CD" w:rsidRPr="00EA4C9B" w:rsidRDefault="002435CD" w:rsidP="00DE4E35">
      <w:pPr>
        <w:pStyle w:val="Footnotes"/>
      </w:pPr>
      <w:r w:rsidRPr="00EA4C9B">
        <w:rPr>
          <w:rStyle w:val="FootnoteReference"/>
        </w:rPr>
        <w:footnoteRef/>
      </w:r>
      <w:r w:rsidRPr="00EA4C9B">
        <w:t xml:space="preserve"> </w:t>
      </w:r>
      <w:r w:rsidR="00C85CE1">
        <w:tab/>
      </w:r>
      <w:hyperlink r:id="rId464" w:history="1">
        <w:r w:rsidRPr="00DE4E35">
          <w:rPr>
            <w:color w:val="0000FF"/>
            <w:u w:val="single"/>
          </w:rPr>
          <w:t>Regulation on the environmental levy on pollution from wastewater discharges (PISRS)</w:t>
        </w:r>
      </w:hyperlink>
    </w:p>
  </w:footnote>
  <w:footnote w:id="773">
    <w:p w14:paraId="49F7B1CD" w14:textId="7D651FC7" w:rsidR="002435CD" w:rsidRPr="00EA4C9B" w:rsidRDefault="002435CD" w:rsidP="00DE4E35">
      <w:pPr>
        <w:pStyle w:val="Footnotes"/>
      </w:pPr>
      <w:r w:rsidRPr="00EA4C9B">
        <w:rPr>
          <w:rStyle w:val="FootnoteReference"/>
        </w:rPr>
        <w:footnoteRef/>
      </w:r>
      <w:r w:rsidRPr="00EA4C9B">
        <w:t xml:space="preserve"> </w:t>
      </w:r>
      <w:r w:rsidR="00C85CE1">
        <w:tab/>
      </w:r>
      <w:hyperlink r:id="rId465" w:history="1">
        <w:r w:rsidRPr="00DE4E35">
          <w:rPr>
            <w:color w:val="0000FF"/>
            <w:u w:val="single"/>
          </w:rPr>
          <w:t>Ordinance on First Measurements and Operational Monitoring of Wastewater (PISRS)</w:t>
        </w:r>
      </w:hyperlink>
    </w:p>
  </w:footnote>
  <w:footnote w:id="774">
    <w:p w14:paraId="3E6CDECA" w14:textId="2B811B1E" w:rsidR="002435CD" w:rsidRPr="00EA4C9B" w:rsidRDefault="002435CD" w:rsidP="002435CD">
      <w:pPr>
        <w:pStyle w:val="FootnoteText"/>
      </w:pPr>
      <w:r w:rsidRPr="00EA4C9B">
        <w:rPr>
          <w:rStyle w:val="FootnoteReference"/>
        </w:rPr>
        <w:footnoteRef/>
      </w:r>
      <w:r w:rsidRPr="00EA4C9B">
        <w:t xml:space="preserve"> </w:t>
      </w:r>
      <w:r w:rsidR="00C85CE1">
        <w:tab/>
      </w:r>
      <w:hyperlink r:id="rId466" w:history="1">
        <w:r w:rsidRPr="00DE4E35">
          <w:rPr>
            <w:color w:val="0000FF"/>
            <w:u w:val="single"/>
          </w:rPr>
          <w:t>Regulation on the environmental levy on pollution from wastewater discharges (PISRS)</w:t>
        </w:r>
      </w:hyperlink>
    </w:p>
  </w:footnote>
  <w:footnote w:id="775">
    <w:p w14:paraId="71ABB2A3" w14:textId="12FA1143" w:rsidR="002435CD" w:rsidRPr="00EA4C9B" w:rsidRDefault="002435CD" w:rsidP="002435CD">
      <w:pPr>
        <w:pStyle w:val="FootnoteText"/>
      </w:pPr>
      <w:r w:rsidRPr="00EA4C9B">
        <w:rPr>
          <w:rStyle w:val="FootnoteReference"/>
        </w:rPr>
        <w:footnoteRef/>
      </w:r>
      <w:r w:rsidRPr="00EA4C9B">
        <w:t xml:space="preserve"> </w:t>
      </w:r>
      <w:r w:rsidR="00C85CE1">
        <w:tab/>
      </w:r>
      <w:hyperlink r:id="rId467" w:anchor="c5260" w:history="1">
        <w:r w:rsidRPr="00DE4E35">
          <w:rPr>
            <w:color w:val="0000FF"/>
            <w:u w:val="single"/>
          </w:rPr>
          <w:t>Contacts | FINANCIAL ADMINISTRATION OF THE REPUBLIC OF SLOVENIA</w:t>
        </w:r>
      </w:hyperlink>
    </w:p>
  </w:footnote>
  <w:footnote w:id="776">
    <w:p w14:paraId="62F10D73" w14:textId="1E74F622" w:rsidR="002435CD" w:rsidRPr="006D487D" w:rsidRDefault="002435CD" w:rsidP="002435CD">
      <w:pPr>
        <w:pStyle w:val="FootnoteText"/>
        <w:rPr>
          <w:lang w:val="pl-PL"/>
        </w:rPr>
      </w:pPr>
      <w:r w:rsidRPr="00EA4C9B">
        <w:rPr>
          <w:rStyle w:val="FootnoteReference"/>
        </w:rPr>
        <w:footnoteRef/>
      </w:r>
      <w:r w:rsidRPr="006D487D">
        <w:rPr>
          <w:lang w:val="pl-PL"/>
        </w:rPr>
        <w:t xml:space="preserve"> </w:t>
      </w:r>
      <w:r w:rsidR="00C85CE1" w:rsidRPr="006D487D">
        <w:rPr>
          <w:lang w:val="pl-PL"/>
        </w:rPr>
        <w:tab/>
      </w:r>
      <w:hyperlink r:id="rId468" w:history="1">
        <w:r w:rsidRPr="006D487D">
          <w:rPr>
            <w:color w:val="0000FF"/>
            <w:u w:val="single"/>
            <w:lang w:val="pl-PL"/>
          </w:rPr>
          <w:t>Okoljska_dajatev_za_onesnazevanje_okolja_zaradi_odvajanja_odpadnih_voda.doc</w:t>
        </w:r>
      </w:hyperlink>
    </w:p>
  </w:footnote>
  <w:footnote w:id="777">
    <w:p w14:paraId="549DE6BE" w14:textId="08133213" w:rsidR="002435CD" w:rsidRPr="00EA4C9B" w:rsidRDefault="002435CD" w:rsidP="002435CD">
      <w:pPr>
        <w:pStyle w:val="FootnoteText"/>
      </w:pPr>
      <w:r w:rsidRPr="00EA4C9B">
        <w:rPr>
          <w:rStyle w:val="FootnoteReference"/>
        </w:rPr>
        <w:footnoteRef/>
      </w:r>
      <w:r w:rsidRPr="00EA4C9B">
        <w:t xml:space="preserve"> </w:t>
      </w:r>
      <w:r w:rsidR="00C85CE1">
        <w:tab/>
      </w:r>
      <w:hyperlink r:id="rId469" w:history="1">
        <w:r w:rsidRPr="00DE4E35">
          <w:rPr>
            <w:color w:val="0000FF"/>
            <w:u w:val="single"/>
          </w:rPr>
          <w:t>Report on Operational Monitoring of Wastewater for Industrial Installations | GOV.SI</w:t>
        </w:r>
      </w:hyperlink>
    </w:p>
  </w:footnote>
  <w:footnote w:id="778">
    <w:p w14:paraId="3A2A49BC" w14:textId="57A53DEC" w:rsidR="009A0C85" w:rsidRDefault="00CF508E" w:rsidP="009A0C85">
      <w:pPr>
        <w:pStyle w:val="FootnoteText"/>
      </w:pPr>
      <w:r>
        <w:rPr>
          <w:rStyle w:val="FootnoteReference"/>
        </w:rPr>
        <w:footnoteRef/>
      </w:r>
      <w:r>
        <w:t xml:space="preserve"> </w:t>
      </w:r>
      <w:hyperlink r:id="rId470" w:history="1">
        <w:r w:rsidR="009A0C85" w:rsidRPr="00E02F6E">
          <w:rPr>
            <w:rStyle w:val="Hyperlink"/>
          </w:rPr>
          <w:t>https://circabc.europa.eu/ui/group/65764c73-4</w:t>
        </w:r>
        <w:r w:rsidR="00490085">
          <w:rPr>
            <w:rStyle w:val="Hyperlink"/>
          </w:rPr>
          <w:t>A6</w:t>
        </w:r>
        <w:r w:rsidR="009A0C85" w:rsidRPr="00E02F6E">
          <w:rPr>
            <w:rStyle w:val="Hyperlink"/>
          </w:rPr>
          <w:t>7-45dc-8199-473014cf65bf/library/afe3a4d6-ca49-4ac0-be15-688fb4fbf5a9/details</w:t>
        </w:r>
      </w:hyperlink>
    </w:p>
    <w:p w14:paraId="5CE01C0E" w14:textId="6FD8317A" w:rsidR="00F06F9C" w:rsidRDefault="00F06F9C">
      <w:pPr>
        <w:pStyle w:val="FootnoteText"/>
      </w:pPr>
    </w:p>
    <w:p w14:paraId="1629C3ED" w14:textId="0474B38D" w:rsidR="009A0C85" w:rsidRDefault="009A0C85" w:rsidP="009A0C85">
      <w:pPr>
        <w:pStyle w:val="FootnoteText"/>
      </w:pPr>
    </w:p>
  </w:footnote>
  <w:footnote w:id="779">
    <w:p w14:paraId="16492319" w14:textId="3661106D" w:rsidR="00245941" w:rsidRDefault="00245941">
      <w:pPr>
        <w:pStyle w:val="FootnoteText"/>
      </w:pPr>
      <w:r>
        <w:rPr>
          <w:rStyle w:val="FootnoteReference"/>
        </w:rPr>
        <w:footnoteRef/>
      </w:r>
      <w:r>
        <w:t xml:space="preserve"> </w:t>
      </w:r>
      <w:r>
        <w:tab/>
      </w:r>
      <w:r w:rsidRPr="00EA4C9B">
        <w:t>(Odlaganje odpadkov).</w:t>
      </w:r>
    </w:p>
  </w:footnote>
  <w:footnote w:id="780">
    <w:p w14:paraId="39B99DB9" w14:textId="0E2F684E" w:rsidR="002435CD" w:rsidRPr="00EA4C9B" w:rsidRDefault="002435CD" w:rsidP="002435CD">
      <w:pPr>
        <w:pStyle w:val="FootnoteText"/>
      </w:pPr>
      <w:r w:rsidRPr="00EA4C9B">
        <w:rPr>
          <w:rStyle w:val="FootnoteReference"/>
        </w:rPr>
        <w:footnoteRef/>
      </w:r>
      <w:r w:rsidRPr="00EA4C9B">
        <w:t xml:space="preserve"> </w:t>
      </w:r>
      <w:r w:rsidR="00C85CE1">
        <w:tab/>
      </w:r>
      <w:r w:rsidRPr="00EA4C9B">
        <w:t>https://pisrs.si/pregledPredpisa?id=URED6555</w:t>
      </w:r>
    </w:p>
  </w:footnote>
  <w:footnote w:id="781">
    <w:p w14:paraId="20E495FB" w14:textId="4BC1230B" w:rsidR="002435CD" w:rsidRPr="00EA4C9B" w:rsidRDefault="002435CD" w:rsidP="002435CD">
      <w:pPr>
        <w:pStyle w:val="FootnoteText"/>
      </w:pPr>
      <w:r w:rsidRPr="00EA4C9B">
        <w:rPr>
          <w:rStyle w:val="FootnoteReference"/>
        </w:rPr>
        <w:footnoteRef/>
      </w:r>
      <w:r w:rsidRPr="00EA4C9B">
        <w:t xml:space="preserve"> </w:t>
      </w:r>
      <w:r w:rsidR="00C85CE1">
        <w:tab/>
      </w:r>
      <w:hyperlink r:id="rId471" w:anchor="c4651" w:history="1">
        <w:r w:rsidRPr="00DE4E35">
          <w:rPr>
            <w:color w:val="0000FF"/>
            <w:u w:val="single"/>
          </w:rPr>
          <w:t>Environmental charges | FINANCIAL ADMINISTRATION OF THE REPUBLIC OF SLOVENIA</w:t>
        </w:r>
      </w:hyperlink>
    </w:p>
  </w:footnote>
  <w:footnote w:id="782">
    <w:p w14:paraId="7C5A7481" w14:textId="4B6A4B5D" w:rsidR="002435CD" w:rsidRPr="00EA4C9B" w:rsidRDefault="002435CD" w:rsidP="00DE4E35">
      <w:pPr>
        <w:pStyle w:val="Footnotes"/>
      </w:pPr>
      <w:r w:rsidRPr="00EA4C9B">
        <w:rPr>
          <w:rStyle w:val="FootnoteReference"/>
        </w:rPr>
        <w:footnoteRef/>
      </w:r>
      <w:r w:rsidRPr="00EA4C9B">
        <w:t xml:space="preserve"> </w:t>
      </w:r>
      <w:r w:rsidR="00C85CE1">
        <w:tab/>
      </w:r>
      <w:hyperlink r:id="rId472" w:history="1">
        <w:r w:rsidRPr="00DE4E35">
          <w:rPr>
            <w:color w:val="0000FF"/>
            <w:u w:val="single"/>
          </w:rPr>
          <w:t>Environmental_taxes.docx</w:t>
        </w:r>
      </w:hyperlink>
    </w:p>
  </w:footnote>
  <w:footnote w:id="783">
    <w:p w14:paraId="35346D27" w14:textId="47DA1DFB" w:rsidR="002435CD" w:rsidRPr="00EA4C9B" w:rsidRDefault="002435CD" w:rsidP="00DE4E35">
      <w:pPr>
        <w:pStyle w:val="Footnotes"/>
      </w:pPr>
      <w:r w:rsidRPr="00EA4C9B">
        <w:rPr>
          <w:rStyle w:val="FootnoteReference"/>
        </w:rPr>
        <w:footnoteRef/>
      </w:r>
      <w:r w:rsidRPr="00EA4C9B">
        <w:t xml:space="preserve"> </w:t>
      </w:r>
      <w:r w:rsidR="00C85CE1">
        <w:tab/>
      </w:r>
      <w:hyperlink r:id="rId473" w:anchor="c4651" w:history="1">
        <w:r w:rsidRPr="00DE4E35">
          <w:rPr>
            <w:color w:val="0000FF"/>
            <w:u w:val="single"/>
          </w:rPr>
          <w:t>Environmental charges | FINANCIAL ADMINISTRATION OF THE REPUBLIC OF SLOVENIA</w:t>
        </w:r>
      </w:hyperlink>
    </w:p>
  </w:footnote>
  <w:footnote w:id="784">
    <w:p w14:paraId="12E43B61" w14:textId="0D05EEEF" w:rsidR="00245941" w:rsidRDefault="00245941">
      <w:pPr>
        <w:pStyle w:val="FootnoteText"/>
      </w:pPr>
      <w:r>
        <w:rPr>
          <w:rStyle w:val="FootnoteReference"/>
        </w:rPr>
        <w:footnoteRef/>
      </w:r>
      <w:r>
        <w:t xml:space="preserve"> </w:t>
      </w:r>
      <w:r>
        <w:tab/>
      </w:r>
      <w:r w:rsidRPr="00EA4C9B">
        <w:t>Odpadna električna in elektronska oprema iz gospodinjstev</w:t>
      </w:r>
      <w:r>
        <w:t>.</w:t>
      </w:r>
    </w:p>
  </w:footnote>
  <w:footnote w:id="785">
    <w:p w14:paraId="374C4769" w14:textId="15BCEEF1" w:rsidR="002435CD" w:rsidRPr="00EA4C9B" w:rsidRDefault="002435CD" w:rsidP="00DE4E35">
      <w:pPr>
        <w:pStyle w:val="Footnotes"/>
      </w:pPr>
      <w:r w:rsidRPr="00EA4C9B">
        <w:rPr>
          <w:rStyle w:val="FootnoteReference"/>
        </w:rPr>
        <w:footnoteRef/>
      </w:r>
      <w:r w:rsidRPr="00EA4C9B">
        <w:t xml:space="preserve"> </w:t>
      </w:r>
      <w:r w:rsidR="00C85CE1">
        <w:tab/>
      </w:r>
      <w:hyperlink r:id="rId474" w:history="1">
        <w:r w:rsidRPr="00DE4E35">
          <w:rPr>
            <w:color w:val="0000FF"/>
            <w:u w:val="single"/>
          </w:rPr>
          <w:t>Regulation on an environmental levy on pollution from waste electrical and electronic equipment and waste portable batteries and accumulators (PISRS)</w:t>
        </w:r>
      </w:hyperlink>
    </w:p>
  </w:footnote>
  <w:footnote w:id="786">
    <w:p w14:paraId="045C639C" w14:textId="0C275557" w:rsidR="002435CD" w:rsidRPr="00EA4C9B" w:rsidRDefault="002435CD" w:rsidP="00DE4E35">
      <w:pPr>
        <w:pStyle w:val="Footnotes"/>
      </w:pPr>
      <w:r w:rsidRPr="00EA4C9B">
        <w:rPr>
          <w:rStyle w:val="FootnoteReference"/>
        </w:rPr>
        <w:footnoteRef/>
      </w:r>
      <w:r w:rsidRPr="00DE4E35">
        <w:t xml:space="preserve"> </w:t>
      </w:r>
      <w:r w:rsidR="00C85CE1">
        <w:tab/>
      </w:r>
      <w:r w:rsidR="00DE4E35">
        <w:t>I</w:t>
      </w:r>
      <w:r w:rsidRPr="00DE4E35">
        <w:t>bid</w:t>
      </w:r>
    </w:p>
  </w:footnote>
  <w:footnote w:id="787">
    <w:p w14:paraId="676610B1" w14:textId="5C01B083" w:rsidR="002435CD" w:rsidRPr="00EA4C9B" w:rsidRDefault="002435CD" w:rsidP="006453CA">
      <w:pPr>
        <w:pStyle w:val="Footnotes"/>
      </w:pPr>
      <w:r w:rsidRPr="00EA4C9B">
        <w:rPr>
          <w:rStyle w:val="FootnoteReference"/>
        </w:rPr>
        <w:footnoteRef/>
      </w:r>
      <w:r w:rsidRPr="00EA4C9B">
        <w:t xml:space="preserve"> </w:t>
      </w:r>
      <w:r w:rsidR="00C85CE1">
        <w:tab/>
      </w:r>
      <w:hyperlink r:id="rId475" w:history="1">
        <w:r w:rsidRPr="006453CA">
          <w:rPr>
            <w:color w:val="0000FF"/>
            <w:u w:val="single"/>
          </w:rPr>
          <w:t>Environmental_taxes.docx</w:t>
        </w:r>
      </w:hyperlink>
    </w:p>
  </w:footnote>
  <w:footnote w:id="788">
    <w:p w14:paraId="198A4B4A" w14:textId="4A92670E" w:rsidR="00245941" w:rsidRDefault="00245941">
      <w:pPr>
        <w:pStyle w:val="FootnoteText"/>
      </w:pPr>
      <w:r>
        <w:rPr>
          <w:rStyle w:val="FootnoteReference"/>
        </w:rPr>
        <w:footnoteRef/>
      </w:r>
      <w:r>
        <w:t xml:space="preserve"> </w:t>
      </w:r>
      <w:r w:rsidRPr="00245941">
        <w:tab/>
        <w:t>Izrabljene gume.</w:t>
      </w:r>
    </w:p>
  </w:footnote>
  <w:footnote w:id="789">
    <w:p w14:paraId="519B38E8" w14:textId="47DD7D7D" w:rsidR="002435CD" w:rsidRPr="00EA4C9B" w:rsidRDefault="002435CD" w:rsidP="006453CA">
      <w:pPr>
        <w:pStyle w:val="Footnotes"/>
      </w:pPr>
      <w:r w:rsidRPr="00EA4C9B">
        <w:rPr>
          <w:rStyle w:val="FootnoteReference"/>
        </w:rPr>
        <w:footnoteRef/>
      </w:r>
      <w:r w:rsidRPr="00EA4C9B">
        <w:t xml:space="preserve"> </w:t>
      </w:r>
      <w:r w:rsidR="00C85CE1">
        <w:tab/>
      </w:r>
      <w:hyperlink r:id="rId476" w:history="1">
        <w:r w:rsidRPr="006453CA">
          <w:rPr>
            <w:color w:val="0000FF"/>
            <w:u w:val="single"/>
          </w:rPr>
          <w:t>Uredba o okoljski dajatvi zaradi onesnaževanja okolja zaradi nastajanja izrabljenih gum (PISRS)</w:t>
        </w:r>
      </w:hyperlink>
    </w:p>
  </w:footnote>
  <w:footnote w:id="790">
    <w:p w14:paraId="4AE2F79E" w14:textId="07EFC59E" w:rsidR="002435CD" w:rsidRPr="00EA4C9B" w:rsidRDefault="002435CD" w:rsidP="006453CA">
      <w:pPr>
        <w:pStyle w:val="Footnotes"/>
      </w:pPr>
      <w:r w:rsidRPr="00EA4C9B">
        <w:rPr>
          <w:rStyle w:val="FootnoteReference"/>
        </w:rPr>
        <w:footnoteRef/>
      </w:r>
      <w:r w:rsidRPr="00EA4C9B">
        <w:t xml:space="preserve"> </w:t>
      </w:r>
      <w:r w:rsidR="00C85CE1">
        <w:tab/>
      </w:r>
      <w:hyperlink r:id="rId477" w:history="1">
        <w:r w:rsidRPr="006453CA">
          <w:rPr>
            <w:color w:val="0000FF"/>
            <w:u w:val="single"/>
          </w:rPr>
          <w:t>IG_priloga_1.doc</w:t>
        </w:r>
      </w:hyperlink>
    </w:p>
  </w:footnote>
  <w:footnote w:id="791">
    <w:p w14:paraId="0042525A" w14:textId="147D056F" w:rsidR="002435CD" w:rsidRPr="00EA4C9B" w:rsidRDefault="002435CD" w:rsidP="006453CA">
      <w:pPr>
        <w:pStyle w:val="Footnotes"/>
      </w:pPr>
      <w:r w:rsidRPr="00EA4C9B">
        <w:rPr>
          <w:rStyle w:val="FootnoteReference"/>
        </w:rPr>
        <w:footnoteRef/>
      </w:r>
      <w:r w:rsidRPr="00EA4C9B">
        <w:t xml:space="preserve"> </w:t>
      </w:r>
      <w:r w:rsidR="00C85CE1">
        <w:tab/>
      </w:r>
      <w:hyperlink r:id="rId478" w:anchor="c4651" w:history="1">
        <w:r w:rsidRPr="006453CA">
          <w:rPr>
            <w:color w:val="0000FF"/>
            <w:u w:val="single"/>
          </w:rPr>
          <w:t>Environmental charges | FINANCIAL ADMINISTRATION OF THE REPUBLIC OF SLOVENIA</w:t>
        </w:r>
      </w:hyperlink>
    </w:p>
  </w:footnote>
  <w:footnote w:id="792">
    <w:p w14:paraId="0B5DF408" w14:textId="3DED56A1" w:rsidR="002435CD" w:rsidRPr="00EA4C9B" w:rsidRDefault="002435CD" w:rsidP="006453CA">
      <w:pPr>
        <w:pStyle w:val="Footnotes"/>
      </w:pPr>
      <w:r w:rsidRPr="00EA4C9B">
        <w:rPr>
          <w:rStyle w:val="FootnoteReference"/>
        </w:rPr>
        <w:footnoteRef/>
      </w:r>
      <w:r w:rsidRPr="006453CA">
        <w:t xml:space="preserve"> </w:t>
      </w:r>
      <w:r w:rsidR="00C85CE1">
        <w:tab/>
      </w:r>
      <w:r w:rsidR="006453CA">
        <w:t>I</w:t>
      </w:r>
      <w:r w:rsidRPr="006453CA">
        <w:t>bid</w:t>
      </w:r>
    </w:p>
  </w:footnote>
  <w:footnote w:id="793">
    <w:p w14:paraId="02195B3A" w14:textId="201D3676" w:rsidR="00245941" w:rsidRPr="00245941" w:rsidRDefault="00245941">
      <w:pPr>
        <w:pStyle w:val="FootnoteText"/>
      </w:pPr>
      <w:r>
        <w:rPr>
          <w:rStyle w:val="FootnoteReference"/>
        </w:rPr>
        <w:footnoteRef/>
      </w:r>
      <w:r>
        <w:t xml:space="preserve"> </w:t>
      </w:r>
      <w:r>
        <w:tab/>
      </w:r>
      <w:r w:rsidRPr="00245941">
        <w:t>Odpadna embalaža.</w:t>
      </w:r>
    </w:p>
  </w:footnote>
  <w:footnote w:id="794">
    <w:p w14:paraId="2E678644" w14:textId="55212E23" w:rsidR="002435CD" w:rsidRPr="00EA4C9B" w:rsidRDefault="002435CD" w:rsidP="006453CA">
      <w:pPr>
        <w:pStyle w:val="Footnotes"/>
      </w:pPr>
      <w:r w:rsidRPr="00EA4C9B">
        <w:rPr>
          <w:rStyle w:val="FootnoteReference"/>
        </w:rPr>
        <w:footnoteRef/>
      </w:r>
      <w:r w:rsidRPr="00EA4C9B">
        <w:t xml:space="preserve"> </w:t>
      </w:r>
      <w:r w:rsidR="00C85CE1">
        <w:tab/>
      </w:r>
      <w:hyperlink r:id="rId479" w:history="1">
        <w:r w:rsidRPr="006453CA">
          <w:rPr>
            <w:color w:val="0000FF"/>
            <w:u w:val="single"/>
          </w:rPr>
          <w:t>Directive - 94/62 - EN - EUR-Lex</w:t>
        </w:r>
      </w:hyperlink>
    </w:p>
  </w:footnote>
  <w:footnote w:id="795">
    <w:p w14:paraId="549698C3" w14:textId="74F3D1C6" w:rsidR="002435CD" w:rsidRPr="00EA4C9B" w:rsidRDefault="002435CD" w:rsidP="006453CA">
      <w:pPr>
        <w:pStyle w:val="Footnotes"/>
      </w:pPr>
      <w:r w:rsidRPr="00EA4C9B">
        <w:rPr>
          <w:rStyle w:val="FootnoteReference"/>
        </w:rPr>
        <w:footnoteRef/>
      </w:r>
      <w:r w:rsidRPr="00EA4C9B">
        <w:t xml:space="preserve"> </w:t>
      </w:r>
      <w:r w:rsidR="00C85CE1">
        <w:tab/>
      </w:r>
      <w:hyperlink r:id="rId480" w:anchor="c4651" w:history="1">
        <w:r w:rsidRPr="006453CA">
          <w:rPr>
            <w:color w:val="0000FF"/>
            <w:u w:val="single"/>
          </w:rPr>
          <w:t>Environmental charges | FINANCIAL ADMINISTRATION OF THE REPUBLIC OF SLOVENIA</w:t>
        </w:r>
      </w:hyperlink>
    </w:p>
  </w:footnote>
  <w:footnote w:id="796">
    <w:p w14:paraId="306F5907" w14:textId="48C389B2" w:rsidR="002435CD" w:rsidRPr="00EA4C9B" w:rsidRDefault="002435CD" w:rsidP="006453CA">
      <w:pPr>
        <w:pStyle w:val="Footnotes"/>
      </w:pPr>
      <w:r w:rsidRPr="00EA4C9B">
        <w:rPr>
          <w:rStyle w:val="FootnoteReference"/>
        </w:rPr>
        <w:footnoteRef/>
      </w:r>
      <w:r w:rsidRPr="00EA4C9B">
        <w:t xml:space="preserve"> </w:t>
      </w:r>
      <w:r w:rsidR="00C85CE1">
        <w:tab/>
      </w:r>
      <w:hyperlink r:id="rId481" w:history="1">
        <w:r w:rsidRPr="006453CA">
          <w:rPr>
            <w:color w:val="0000FF"/>
            <w:u w:val="single"/>
          </w:rPr>
          <w:t>Policy Instruments for the Environment (PINE) Database | OECD</w:t>
        </w:r>
      </w:hyperlink>
    </w:p>
  </w:footnote>
  <w:footnote w:id="797">
    <w:p w14:paraId="3AB73E28" w14:textId="2FE1EEC2" w:rsidR="002435CD" w:rsidRPr="00EA4C9B" w:rsidRDefault="002435CD" w:rsidP="00C85CE1">
      <w:pPr>
        <w:pStyle w:val="Footnotes"/>
        <w:jc w:val="left"/>
      </w:pPr>
      <w:r w:rsidRPr="00EA4C9B">
        <w:rPr>
          <w:rStyle w:val="FootnoteReference"/>
        </w:rPr>
        <w:footnoteRef/>
      </w:r>
      <w:r w:rsidR="00C85CE1">
        <w:t xml:space="preserve"> </w:t>
      </w:r>
      <w:r w:rsidR="00C85CE1">
        <w:tab/>
      </w:r>
      <w:hyperlink r:id="rId482" w:history="1">
        <w:r w:rsidR="00C85CE1" w:rsidRPr="00EC31B9">
          <w:rPr>
            <w:rStyle w:val="Hyperlink"/>
          </w:rPr>
          <w:t>https://www.eea.europa.eu/en/topics/in-depth/waste-and-recycling/municipal-and-packaging-waste-management-country-profiles-2025/si-municipal-waste-factsheet.pdf/@@download/file</w:t>
        </w:r>
      </w:hyperlink>
    </w:p>
  </w:footnote>
  <w:footnote w:id="798">
    <w:p w14:paraId="64F0B32F" w14:textId="00A2C43D" w:rsidR="005177D9" w:rsidRDefault="005177D9">
      <w:pPr>
        <w:pStyle w:val="FootnoteText"/>
      </w:pPr>
      <w:r>
        <w:rPr>
          <w:rStyle w:val="FootnoteReference"/>
        </w:rPr>
        <w:footnoteRef/>
      </w:r>
      <w:r>
        <w:t xml:space="preserve"> </w:t>
      </w:r>
      <w:r>
        <w:tab/>
      </w:r>
      <w:r w:rsidRPr="00EA4C9B">
        <w:t>Vodna povračila</w:t>
      </w:r>
      <w:r>
        <w:t>.</w:t>
      </w:r>
    </w:p>
  </w:footnote>
  <w:footnote w:id="799">
    <w:p w14:paraId="22D84B7E" w14:textId="099151C3" w:rsidR="002435CD" w:rsidRPr="00EA4C9B" w:rsidRDefault="002435CD" w:rsidP="006453CA">
      <w:pPr>
        <w:pStyle w:val="Footnotes"/>
      </w:pPr>
      <w:r w:rsidRPr="00EA4C9B">
        <w:rPr>
          <w:rStyle w:val="FootnoteReference"/>
        </w:rPr>
        <w:footnoteRef/>
      </w:r>
      <w:r w:rsidRPr="00EA4C9B">
        <w:t xml:space="preserve"> </w:t>
      </w:r>
      <w:r w:rsidR="00C85CE1">
        <w:tab/>
      </w:r>
      <w:hyperlink r:id="rId483" w:history="1">
        <w:r w:rsidRPr="006453CA">
          <w:rPr>
            <w:color w:val="0000FF"/>
            <w:u w:val="single"/>
          </w:rPr>
          <w:t>Policy Instruments for the Environment (PINE) Database | OECD</w:t>
        </w:r>
      </w:hyperlink>
    </w:p>
  </w:footnote>
  <w:footnote w:id="800">
    <w:p w14:paraId="5ED4D4C6" w14:textId="50A53BEB" w:rsidR="002435CD" w:rsidRPr="00EA4C9B" w:rsidRDefault="002435CD" w:rsidP="006453CA">
      <w:pPr>
        <w:pStyle w:val="Footnotes"/>
      </w:pPr>
      <w:r w:rsidRPr="00EA4C9B">
        <w:rPr>
          <w:rStyle w:val="FootnoteReference"/>
        </w:rPr>
        <w:footnoteRef/>
      </w:r>
      <w:r w:rsidRPr="006453CA">
        <w:t xml:space="preserve"> </w:t>
      </w:r>
      <w:r w:rsidR="00C85CE1">
        <w:tab/>
      </w:r>
      <w:r w:rsidR="006453CA">
        <w:t>I</w:t>
      </w:r>
      <w:r w:rsidRPr="006453CA">
        <w:t>bid</w:t>
      </w:r>
    </w:p>
  </w:footnote>
  <w:footnote w:id="801">
    <w:p w14:paraId="25F38C05" w14:textId="5A374C62" w:rsidR="002435CD" w:rsidRPr="00EA4C9B" w:rsidRDefault="002435CD" w:rsidP="006453CA">
      <w:pPr>
        <w:pStyle w:val="Footnotes"/>
      </w:pPr>
      <w:r w:rsidRPr="00EA4C9B">
        <w:rPr>
          <w:rStyle w:val="FootnoteReference"/>
        </w:rPr>
        <w:footnoteRef/>
      </w:r>
      <w:r w:rsidRPr="00EA4C9B">
        <w:t xml:space="preserve"> </w:t>
      </w:r>
      <w:r w:rsidR="00C85CE1">
        <w:tab/>
      </w:r>
      <w:hyperlink r:id="rId484" w:history="1">
        <w:r w:rsidRPr="006453CA">
          <w:rPr>
            <w:color w:val="0000FF"/>
            <w:u w:val="single"/>
          </w:rPr>
          <w:t>Water levies | GOV.SI</w:t>
        </w:r>
      </w:hyperlink>
    </w:p>
  </w:footnote>
  <w:footnote w:id="802">
    <w:p w14:paraId="34FD8AC8" w14:textId="257CE55F" w:rsidR="005177D9" w:rsidRDefault="005177D9">
      <w:pPr>
        <w:pStyle w:val="FootnoteText"/>
      </w:pPr>
      <w:r>
        <w:rPr>
          <w:rStyle w:val="FootnoteReference"/>
        </w:rPr>
        <w:footnoteRef/>
      </w:r>
      <w:r>
        <w:t xml:space="preserve"> </w:t>
      </w:r>
      <w:r>
        <w:tab/>
      </w:r>
      <w:r w:rsidRPr="00EA4C9B">
        <w:t>Okoljska dajatev za hlapne organske spojine</w:t>
      </w:r>
      <w:r>
        <w:t>.</w:t>
      </w:r>
    </w:p>
  </w:footnote>
  <w:footnote w:id="803">
    <w:p w14:paraId="0B4F585D" w14:textId="167A3FAB" w:rsidR="002435CD" w:rsidRPr="00EA4C9B" w:rsidRDefault="002435CD" w:rsidP="006453CA">
      <w:pPr>
        <w:pStyle w:val="Footnotes"/>
      </w:pPr>
      <w:r w:rsidRPr="00EA4C9B">
        <w:rPr>
          <w:rStyle w:val="FootnoteReference"/>
        </w:rPr>
        <w:footnoteRef/>
      </w:r>
      <w:r w:rsidRPr="00EA4C9B">
        <w:t xml:space="preserve"> </w:t>
      </w:r>
      <w:r w:rsidR="00C85CE1">
        <w:tab/>
      </w:r>
      <w:hyperlink r:id="rId485" w:history="1">
        <w:r w:rsidRPr="006453CA">
          <w:rPr>
            <w:color w:val="0000FF"/>
            <w:u w:val="single"/>
          </w:rPr>
          <w:t>RS_-2007-122-06166-OB~P001-0000.PDF</w:t>
        </w:r>
      </w:hyperlink>
    </w:p>
  </w:footnote>
  <w:footnote w:id="804">
    <w:p w14:paraId="7DFD9244" w14:textId="1B462E4C" w:rsidR="002435CD" w:rsidRPr="00EA4C9B" w:rsidRDefault="002435CD" w:rsidP="00D65CE8">
      <w:pPr>
        <w:pStyle w:val="Footnotes"/>
      </w:pPr>
      <w:r w:rsidRPr="00EA4C9B">
        <w:rPr>
          <w:rStyle w:val="FootnoteReference"/>
        </w:rPr>
        <w:footnoteRef/>
      </w:r>
      <w:r w:rsidRPr="00D65CE8">
        <w:t xml:space="preserve"> </w:t>
      </w:r>
      <w:r w:rsidR="00C85CE1">
        <w:tab/>
      </w:r>
      <w:r w:rsidR="001E1C5B">
        <w:t>I</w:t>
      </w:r>
      <w:r w:rsidRPr="00D65CE8">
        <w:t>bid</w:t>
      </w:r>
    </w:p>
  </w:footnote>
  <w:footnote w:id="805">
    <w:p w14:paraId="03E13A89" w14:textId="6E6ACB36" w:rsidR="002435CD" w:rsidRPr="00EA4C9B" w:rsidRDefault="002435CD" w:rsidP="00D65CE8">
      <w:pPr>
        <w:pStyle w:val="Footnotes"/>
      </w:pPr>
      <w:r w:rsidRPr="00EA4C9B">
        <w:rPr>
          <w:rStyle w:val="FootnoteReference"/>
        </w:rPr>
        <w:footnoteRef/>
      </w:r>
      <w:r w:rsidRPr="00EA4C9B">
        <w:t xml:space="preserve"> </w:t>
      </w:r>
      <w:r w:rsidR="00C85CE1">
        <w:tab/>
      </w:r>
      <w:hyperlink r:id="rId486" w:history="1">
        <w:r w:rsidRPr="00D65CE8">
          <w:rPr>
            <w:color w:val="0000FF"/>
            <w:u w:val="single"/>
          </w:rPr>
          <w:t>Environmental_taxes.docx</w:t>
        </w:r>
      </w:hyperlink>
    </w:p>
  </w:footnote>
  <w:footnote w:id="806">
    <w:p w14:paraId="728F4899" w14:textId="1202B9E6" w:rsidR="002435CD" w:rsidRPr="00EA4C9B" w:rsidRDefault="002435CD" w:rsidP="00D65CE8">
      <w:pPr>
        <w:pStyle w:val="Footnotes"/>
      </w:pPr>
      <w:r w:rsidRPr="00EA4C9B">
        <w:rPr>
          <w:rStyle w:val="FootnoteReference"/>
        </w:rPr>
        <w:footnoteRef/>
      </w:r>
      <w:r w:rsidRPr="00EA4C9B">
        <w:t xml:space="preserve"> </w:t>
      </w:r>
      <w:r w:rsidR="00C85CE1">
        <w:tab/>
      </w:r>
      <w:hyperlink r:id="rId487" w:history="1">
        <w:r w:rsidRPr="00D65CE8">
          <w:rPr>
            <w:color w:val="0000FF"/>
            <w:u w:val="single"/>
          </w:rPr>
          <w:t>Policy Instruments for the Environment (PINE) Database | OECD</w:t>
        </w:r>
      </w:hyperlink>
    </w:p>
  </w:footnote>
  <w:footnote w:id="807">
    <w:p w14:paraId="7DE10393" w14:textId="0DA279F6" w:rsidR="002435CD" w:rsidRPr="00EA4C9B" w:rsidRDefault="002435CD" w:rsidP="00D65CE8">
      <w:pPr>
        <w:pStyle w:val="Footnotes"/>
      </w:pPr>
      <w:r w:rsidRPr="00EA4C9B">
        <w:rPr>
          <w:rStyle w:val="FootnoteReference"/>
        </w:rPr>
        <w:footnoteRef/>
      </w:r>
      <w:r w:rsidRPr="00EA4C9B">
        <w:t xml:space="preserve"> </w:t>
      </w:r>
      <w:r w:rsidR="00C85CE1">
        <w:tab/>
      </w:r>
      <w:hyperlink r:id="rId488" w:history="1">
        <w:r w:rsidRPr="00D65CE8">
          <w:rPr>
            <w:color w:val="0000FF"/>
            <w:u w:val="single"/>
          </w:rPr>
          <w:t>Paint, Coatings &amp; Printing Ink Manufacturing in Slovenia - Market Research Report (2014-2029)</w:t>
        </w:r>
      </w:hyperlink>
    </w:p>
  </w:footnote>
  <w:footnote w:id="808">
    <w:p w14:paraId="3C53111E" w14:textId="2D2D77D5" w:rsidR="002435CD" w:rsidRPr="00EA4C9B" w:rsidRDefault="002435CD" w:rsidP="00D65CE8">
      <w:pPr>
        <w:pStyle w:val="Footnotes"/>
      </w:pPr>
      <w:r w:rsidRPr="00EA4C9B">
        <w:rPr>
          <w:rStyle w:val="FootnoteReference"/>
        </w:rPr>
        <w:footnoteRef/>
      </w:r>
      <w:r w:rsidRPr="00EA4C9B">
        <w:t xml:space="preserve"> </w:t>
      </w:r>
      <w:r w:rsidR="00C85CE1">
        <w:tab/>
      </w:r>
      <w:hyperlink r:id="rId489" w:history="1">
        <w:r w:rsidRPr="00EA4C9B">
          <w:rPr>
            <w:rStyle w:val="Hyperlink"/>
          </w:rPr>
          <w:t>Policy Instruments for the Environment (PINE) Database | OECD</w:t>
        </w:r>
      </w:hyperlink>
    </w:p>
  </w:footnote>
  <w:footnote w:id="809">
    <w:p w14:paraId="59C48955" w14:textId="445AF953" w:rsidR="002435CD" w:rsidRPr="00FB1209" w:rsidRDefault="002435CD" w:rsidP="006044D2">
      <w:pPr>
        <w:pStyle w:val="Footnotes"/>
        <w:rPr>
          <w:lang w:val="fr-BE"/>
        </w:rPr>
      </w:pPr>
      <w:r w:rsidRPr="00EA4C9B">
        <w:rPr>
          <w:rStyle w:val="FootnoteReference"/>
        </w:rPr>
        <w:footnoteRef/>
      </w:r>
      <w:r w:rsidRPr="00FB1209">
        <w:rPr>
          <w:lang w:val="fr-BE"/>
        </w:rPr>
        <w:t xml:space="preserve"> </w:t>
      </w:r>
      <w:r w:rsidR="00C85CE1" w:rsidRPr="00FB1209">
        <w:rPr>
          <w:lang w:val="fr-BE"/>
        </w:rPr>
        <w:tab/>
      </w:r>
      <w:hyperlink r:id="rId490" w:history="1">
        <w:r w:rsidRPr="00FB1209">
          <w:rPr>
            <w:color w:val="0000FF"/>
            <w:u w:val="single"/>
            <w:lang w:val="fr-BE"/>
          </w:rPr>
          <w:t>Environmental_taxes.docx</w:t>
        </w:r>
      </w:hyperlink>
    </w:p>
  </w:footnote>
  <w:footnote w:id="810">
    <w:p w14:paraId="63D56F1F" w14:textId="3F5A641B" w:rsidR="002435CD" w:rsidRPr="00FB1209" w:rsidRDefault="002435CD" w:rsidP="006044D2">
      <w:pPr>
        <w:pStyle w:val="Footnotes"/>
        <w:jc w:val="left"/>
        <w:rPr>
          <w:lang w:val="fr-BE"/>
        </w:rPr>
      </w:pPr>
      <w:r w:rsidRPr="00EA4C9B">
        <w:rPr>
          <w:rStyle w:val="FootnoteReference"/>
        </w:rPr>
        <w:footnoteRef/>
      </w:r>
      <w:r w:rsidR="00C85CE1" w:rsidRPr="00FB1209">
        <w:rPr>
          <w:lang w:val="fr-BE"/>
        </w:rPr>
        <w:t xml:space="preserve"> </w:t>
      </w:r>
      <w:r w:rsidR="00C85CE1" w:rsidRPr="00FB1209">
        <w:rPr>
          <w:lang w:val="fr-BE"/>
        </w:rPr>
        <w:tab/>
      </w:r>
      <w:hyperlink r:id="rId491" w:history="1">
        <w:r w:rsidR="00C85CE1" w:rsidRPr="00FB1209">
          <w:rPr>
            <w:rStyle w:val="Hyperlink"/>
            <w:lang w:val="fr-BE"/>
          </w:rPr>
          <w:t>https://www.eea.europa.eu/en/topics/in-depth/waste-and-recycling/municipal-and-packaging-waste-management-country-profiles-2025/si-municipal-waste-factsheet.pdf/@@download/file</w:t>
        </w:r>
      </w:hyperlink>
    </w:p>
  </w:footnote>
  <w:footnote w:id="811">
    <w:p w14:paraId="0E14F206" w14:textId="58D4F6A5" w:rsidR="002435CD" w:rsidRPr="00C305AC" w:rsidRDefault="002435CD" w:rsidP="00BA7936">
      <w:pPr>
        <w:pStyle w:val="FootnoteText"/>
        <w:jc w:val="left"/>
        <w:rPr>
          <w:lang w:val="fr-BE"/>
        </w:rPr>
      </w:pPr>
      <w:r w:rsidRPr="00EA4C9B">
        <w:rPr>
          <w:rStyle w:val="FootnoteReference"/>
        </w:rPr>
        <w:footnoteRef/>
      </w:r>
      <w:r w:rsidRPr="00C305AC">
        <w:rPr>
          <w:lang w:val="fr-BE"/>
        </w:rPr>
        <w:t xml:space="preserve"> </w:t>
      </w:r>
      <w:r w:rsidR="006044D2">
        <w:rPr>
          <w:lang w:val="fr-BE"/>
        </w:rPr>
        <w:tab/>
      </w:r>
      <w:r w:rsidR="001E1C5B" w:rsidRPr="00C305AC">
        <w:rPr>
          <w:lang w:val="fr-BE"/>
        </w:rPr>
        <w:t>I</w:t>
      </w:r>
      <w:r w:rsidRPr="00C305AC">
        <w:rPr>
          <w:lang w:val="fr-BE"/>
        </w:rPr>
        <w:t>bid</w:t>
      </w:r>
    </w:p>
  </w:footnote>
  <w:footnote w:id="812">
    <w:p w14:paraId="54958A06" w14:textId="1A235C4F" w:rsidR="002435CD" w:rsidRPr="00C305AC" w:rsidRDefault="002435CD" w:rsidP="006044D2">
      <w:pPr>
        <w:pStyle w:val="Footnotes"/>
        <w:rPr>
          <w:lang w:val="fr-BE"/>
        </w:rPr>
      </w:pPr>
      <w:r w:rsidRPr="00EA4C9B">
        <w:rPr>
          <w:rStyle w:val="FootnoteReference"/>
        </w:rPr>
        <w:footnoteRef/>
      </w:r>
      <w:r w:rsidRPr="00C305AC">
        <w:rPr>
          <w:lang w:val="fr-BE"/>
        </w:rPr>
        <w:t xml:space="preserve"> </w:t>
      </w:r>
      <w:r w:rsidR="00C85CE1" w:rsidRPr="00C305AC">
        <w:rPr>
          <w:lang w:val="fr-BE"/>
        </w:rPr>
        <w:tab/>
      </w:r>
      <w:hyperlink r:id="rId492" w:history="1">
        <w:r w:rsidRPr="00C305AC">
          <w:rPr>
            <w:color w:val="0000FF"/>
            <w:u w:val="single"/>
            <w:lang w:val="fr-BE"/>
          </w:rPr>
          <w:t>EUR-Lex - 52022SC0273 - EN - EUR-Lex</w:t>
        </w:r>
      </w:hyperlink>
    </w:p>
  </w:footnote>
  <w:footnote w:id="813">
    <w:p w14:paraId="30E02403" w14:textId="17EAB3B8" w:rsidR="00F06F9C" w:rsidRPr="004F0767" w:rsidRDefault="00B64B92" w:rsidP="006044D2">
      <w:pPr>
        <w:pStyle w:val="FootnoteText"/>
        <w:rPr>
          <w:lang w:val="fr-BE"/>
        </w:rPr>
      </w:pPr>
      <w:r>
        <w:rPr>
          <w:rStyle w:val="FootnoteReference"/>
        </w:rPr>
        <w:footnoteRef/>
      </w:r>
      <w:r w:rsidR="006044D2">
        <w:rPr>
          <w:lang w:val="fr-BE"/>
        </w:rPr>
        <w:t xml:space="preserve"> </w:t>
      </w:r>
      <w:hyperlink r:id="rId493" w:history="1">
        <w:r w:rsidR="00FA18EC" w:rsidRPr="009E695E">
          <w:rPr>
            <w:rStyle w:val="Hyperlink"/>
            <w:lang w:val="fr-BE"/>
          </w:rPr>
          <w:t>https://curia.europa.eu/juris/document/document.jsf?text=&amp;docid=299095&amp;pageIndex=0&amp;doclang=fr&amp;mode=lst&amp;dir=&amp;occ=first&amp;part=1&amp;cid=241359</w:t>
        </w:r>
      </w:hyperlink>
      <w:r w:rsidR="00FA18EC">
        <w:rPr>
          <w:lang w:val="fr-BE"/>
        </w:rPr>
        <w:t xml:space="preserve"> </w:t>
      </w:r>
    </w:p>
  </w:footnote>
  <w:footnote w:id="814">
    <w:p w14:paraId="47C2AF1E" w14:textId="71510914" w:rsidR="002435CD" w:rsidRPr="00EA4C9B" w:rsidRDefault="002435CD" w:rsidP="006044D2">
      <w:pPr>
        <w:pStyle w:val="Footnotes"/>
      </w:pPr>
      <w:r w:rsidRPr="00EA4C9B">
        <w:rPr>
          <w:rStyle w:val="FootnoteReference"/>
        </w:rPr>
        <w:footnoteRef/>
      </w:r>
      <w:r w:rsidR="00C85CE1">
        <w:t xml:space="preserve"> </w:t>
      </w:r>
      <w:r w:rsidR="00C85CE1">
        <w:tab/>
      </w:r>
      <w:hyperlink r:id="rId494" w:history="1">
        <w:r w:rsidRPr="00B36987">
          <w:rPr>
            <w:color w:val="0000FF"/>
            <w:u w:val="single"/>
          </w:rPr>
          <w:t>2025 European Semester: Country Reports - European Commission</w:t>
        </w:r>
      </w:hyperlink>
      <w:r w:rsidRPr="00EA4C9B">
        <w:t xml:space="preserve"> </w:t>
      </w:r>
    </w:p>
  </w:footnote>
  <w:footnote w:id="815">
    <w:p w14:paraId="1401E9F9" w14:textId="1B3F5D75" w:rsidR="00E4769C" w:rsidRPr="00957005" w:rsidRDefault="00E4769C">
      <w:pPr>
        <w:pStyle w:val="FootnoteText"/>
      </w:pPr>
      <w:r>
        <w:rPr>
          <w:rStyle w:val="FootnoteReference"/>
        </w:rPr>
        <w:footnoteRef/>
      </w:r>
      <w:r>
        <w:t xml:space="preserve"> </w:t>
      </w:r>
      <w:r w:rsidR="005177D9">
        <w:tab/>
      </w:r>
      <w:r w:rsidR="00957005">
        <w:t xml:space="preserve">European Commission (2025). EU waste recycling targets: Slovenia. </w:t>
      </w:r>
      <w:r w:rsidR="00957005" w:rsidRPr="00163D6E">
        <w:t>Av</w:t>
      </w:r>
      <w:r w:rsidR="00957005" w:rsidRPr="00C00215">
        <w:t>ailable at:</w:t>
      </w:r>
      <w:r w:rsidR="00957005">
        <w:t xml:space="preserve"> </w:t>
      </w:r>
      <w:r w:rsidR="00957005" w:rsidRPr="00957005">
        <w:t>https://op.europa.eu/en/publication-detail/-/publication/6fb6025f-0350-11ee-87ec-01aa75ed71a1/language-en</w:t>
      </w:r>
    </w:p>
  </w:footnote>
  <w:footnote w:id="816">
    <w:p w14:paraId="0FE53A7C" w14:textId="77777777" w:rsidR="00DC6A12" w:rsidRPr="00BA1510" w:rsidRDefault="00DC6A12" w:rsidP="00DC6A12">
      <w:pPr>
        <w:pStyle w:val="FootnoteText"/>
        <w:rPr>
          <w:lang w:val="en-US"/>
        </w:rPr>
      </w:pPr>
      <w:r>
        <w:rPr>
          <w:rStyle w:val="FootnoteReference"/>
        </w:rPr>
        <w:footnoteRef/>
      </w:r>
      <w:r>
        <w:t xml:space="preserve"> </w:t>
      </w:r>
      <w:r w:rsidRPr="00E83FD0">
        <w:t xml:space="preserve">The comparison is expressed in real terms, meaning that figures are adjusted for inflation. The </w:t>
      </w:r>
      <w:r>
        <w:t>42</w:t>
      </w:r>
      <w:r w:rsidRPr="00E83FD0">
        <w:t>.</w:t>
      </w:r>
      <w:r>
        <w:t>1</w:t>
      </w:r>
      <w:r w:rsidRPr="00E83FD0">
        <w:t>%    increase refers to growth in constant prices over 2009–2023.</w:t>
      </w:r>
    </w:p>
  </w:footnote>
  <w:footnote w:id="817">
    <w:p w14:paraId="361C504D" w14:textId="634F4587" w:rsidR="002435CD" w:rsidRPr="008370AF" w:rsidRDefault="002435CD" w:rsidP="008370AF">
      <w:pPr>
        <w:pStyle w:val="Footnotes"/>
      </w:pPr>
      <w:r w:rsidRPr="008370AF">
        <w:rPr>
          <w:rStyle w:val="FootnoteReference"/>
        </w:rPr>
        <w:footnoteRef/>
      </w:r>
      <w:r w:rsidRPr="008370AF">
        <w:t xml:space="preserve"> </w:t>
      </w:r>
      <w:r w:rsidR="00C85CE1">
        <w:tab/>
      </w:r>
      <w:r w:rsidRPr="008370AF">
        <w:t>For tax purposes, packaging that forms an integral part of the goods and is necessary to contain, support or preserve them throughout their life cycle and is intended to be used, consumed or disposed of together with the goods is not considered packaging.</w:t>
      </w:r>
    </w:p>
  </w:footnote>
  <w:footnote w:id="818">
    <w:p w14:paraId="77417B74" w14:textId="30FD5209" w:rsidR="002435CD" w:rsidRPr="004F0767" w:rsidRDefault="002435CD" w:rsidP="002435CD">
      <w:pPr>
        <w:pStyle w:val="FootnoteText"/>
      </w:pPr>
      <w:r w:rsidRPr="00EA4C9B">
        <w:rPr>
          <w:rStyle w:val="FootnoteReference"/>
        </w:rPr>
        <w:footnoteRef/>
      </w:r>
      <w:r w:rsidRPr="00EA4C9B">
        <w:t xml:space="preserve"> </w:t>
      </w:r>
      <w:r w:rsidR="00C85CE1">
        <w:tab/>
      </w:r>
      <w:r w:rsidRPr="00C85CE1">
        <w:t xml:space="preserve">European Commission. 2025. 2025 European Semester: Country Specific Recommendation / Commission Recommendation – Spain. </w:t>
      </w:r>
      <w:hyperlink r:id="rId495" w:history="1">
        <w:r w:rsidRPr="004F0767">
          <w:rPr>
            <w:rStyle w:val="Hyperlink"/>
          </w:rPr>
          <w:t>a712afe4-d94e-4333-8333-e8bc1ab63f1e_en</w:t>
        </w:r>
      </w:hyperlink>
    </w:p>
  </w:footnote>
  <w:footnote w:id="819">
    <w:p w14:paraId="2629F70C" w14:textId="0141007C" w:rsidR="002435CD" w:rsidRPr="00EA4C9B" w:rsidRDefault="002435CD" w:rsidP="006B0B6C">
      <w:pPr>
        <w:pStyle w:val="Footnotes"/>
      </w:pPr>
      <w:r w:rsidRPr="006B0B6C">
        <w:rPr>
          <w:rStyle w:val="FootnoteReference"/>
        </w:rPr>
        <w:footnoteRef/>
      </w:r>
      <w:r w:rsidRPr="004F0767">
        <w:t xml:space="preserve"> </w:t>
      </w:r>
      <w:r w:rsidR="00C85CE1" w:rsidRPr="004F0767">
        <w:tab/>
      </w:r>
      <w:r w:rsidRPr="004F0767">
        <w:t xml:space="preserve">Instituto de Estudios Fiscales (2022). Spanish White Book on tax reform; Labandeira, X. (2002). </w:t>
      </w:r>
      <w:r w:rsidRPr="006B0B6C">
        <w:t xml:space="preserve">Taxation and Ecological transition during climate and energy crises: the main conclusions of the 2022 Spanish White Book on tax reform. </w:t>
      </w:r>
    </w:p>
  </w:footnote>
  <w:footnote w:id="820">
    <w:p w14:paraId="2516B4EF" w14:textId="1F8BBCE7" w:rsidR="008E1183" w:rsidRPr="008E1183" w:rsidRDefault="008E1183">
      <w:pPr>
        <w:pStyle w:val="FootnoteText"/>
      </w:pPr>
      <w:r>
        <w:rPr>
          <w:rStyle w:val="FootnoteReference"/>
        </w:rPr>
        <w:footnoteRef/>
      </w:r>
      <w:r>
        <w:t xml:space="preserve"> European Commission (2025). </w:t>
      </w:r>
      <w:r w:rsidR="00163D6E">
        <w:t xml:space="preserve">EU waste recycling targets: Spain. </w:t>
      </w:r>
      <w:r w:rsidR="00163D6E" w:rsidRPr="00163D6E">
        <w:t>Av</w:t>
      </w:r>
      <w:r w:rsidR="00163D6E" w:rsidRPr="00BA7936">
        <w:t>ailable at:</w:t>
      </w:r>
      <w:r>
        <w:t xml:space="preserve"> </w:t>
      </w:r>
      <w:hyperlink r:id="rId496" w:history="1">
        <w:r w:rsidRPr="008E1183">
          <w:rPr>
            <w:rStyle w:val="Hyperlink"/>
          </w:rPr>
          <w:t>https://op.europa.eu/en/publication-detail/-/publication/a5002885-034d-11ee-87ec-01aa75ed71a1/language-en</w:t>
        </w:r>
      </w:hyperlink>
      <w:r>
        <w:t xml:space="preserve"> </w:t>
      </w:r>
    </w:p>
  </w:footnote>
  <w:footnote w:id="821">
    <w:p w14:paraId="32F73C09" w14:textId="77777777" w:rsidR="002435CD" w:rsidRPr="008370AF" w:rsidRDefault="002435CD" w:rsidP="008370AF">
      <w:pPr>
        <w:pStyle w:val="Footnotes"/>
      </w:pPr>
      <w:r w:rsidRPr="008370AF">
        <w:rPr>
          <w:rStyle w:val="FootnoteReference"/>
        </w:rPr>
        <w:footnoteRef/>
      </w:r>
      <w:r w:rsidRPr="008370AF">
        <w:t xml:space="preserve"> European Commission. 2025. 2025 European Semester: Country Specific Recommendation / Commission Recommendation – Spain. </w:t>
      </w:r>
      <w:hyperlink r:id="rId497" w:history="1">
        <w:r w:rsidRPr="008370AF">
          <w:rPr>
            <w:rStyle w:val="Hyperlink"/>
          </w:rPr>
          <w:t>a712afe4-d94e-4333-8333-e8bc1ab63f1e_en</w:t>
        </w:r>
      </w:hyperlink>
    </w:p>
  </w:footnote>
  <w:footnote w:id="822">
    <w:p w14:paraId="60064BF2" w14:textId="77777777" w:rsidR="005A1371" w:rsidRPr="00EA4C9B" w:rsidRDefault="005A1371" w:rsidP="005A1371">
      <w:pPr>
        <w:pStyle w:val="Footnotes"/>
      </w:pPr>
      <w:r w:rsidRPr="00EA4C9B">
        <w:rPr>
          <w:rStyle w:val="FootnoteReference"/>
        </w:rPr>
        <w:footnoteRef/>
      </w:r>
      <w:r w:rsidRPr="00EA4C9B">
        <w:t xml:space="preserve"> </w:t>
      </w:r>
      <w:r>
        <w:tab/>
      </w:r>
      <w:hyperlink r:id="rId498" w:history="1">
        <w:r w:rsidRPr="001B70E6">
          <w:rPr>
            <w:color w:val="0000FF"/>
            <w:u w:val="single"/>
          </w:rPr>
          <w:t>2025 European Semester: Country Reports - European Commission</w:t>
        </w:r>
      </w:hyperlink>
    </w:p>
  </w:footnote>
  <w:footnote w:id="823">
    <w:p w14:paraId="05C5CE15" w14:textId="77777777" w:rsidR="005A1371" w:rsidRPr="00EA4C9B" w:rsidRDefault="005A1371" w:rsidP="005A1371">
      <w:pPr>
        <w:pStyle w:val="Footnotes"/>
      </w:pPr>
      <w:r w:rsidRPr="00EA4C9B">
        <w:rPr>
          <w:rStyle w:val="FootnoteReference"/>
        </w:rPr>
        <w:footnoteRef/>
      </w:r>
      <w:r w:rsidRPr="00EA4C9B">
        <w:t xml:space="preserve"> </w:t>
      </w:r>
      <w:r>
        <w:tab/>
      </w:r>
      <w:r w:rsidRPr="00EA4C9B">
        <w:t>78.58 Rate Unit: Real 2021 EUR/tCO2e (source: OECD Series on Carbon Pricing and Energy Taxation)</w:t>
      </w:r>
    </w:p>
  </w:footnote>
  <w:footnote w:id="824">
    <w:p w14:paraId="18DEE01A" w14:textId="77777777" w:rsidR="008410F1" w:rsidRPr="00E83FD0" w:rsidRDefault="008410F1" w:rsidP="008410F1">
      <w:pPr>
        <w:pStyle w:val="FootnoteText"/>
        <w:rPr>
          <w:lang w:val="en-US"/>
        </w:rPr>
      </w:pPr>
      <w:r>
        <w:rPr>
          <w:rStyle w:val="FootnoteReference"/>
        </w:rPr>
        <w:footnoteRef/>
      </w:r>
      <w:r>
        <w:t xml:space="preserve"> </w:t>
      </w:r>
      <w:r>
        <w:tab/>
      </w:r>
      <w:r w:rsidRPr="00E83FD0">
        <w:t xml:space="preserve">The comparison is expressed in real terms, meaning that figures are adjusted for inflation. The </w:t>
      </w:r>
      <w:r>
        <w:t>22</w:t>
      </w:r>
      <w:r w:rsidRPr="00E83FD0">
        <w:t>.</w:t>
      </w:r>
      <w:r>
        <w:t>6</w:t>
      </w:r>
      <w:r w:rsidRPr="00E83FD0">
        <w:t>%    increase refers to growth in constant prices over 2009–2023.</w:t>
      </w:r>
    </w:p>
  </w:footnote>
  <w:footnote w:id="825">
    <w:p w14:paraId="3C3EE77D" w14:textId="0C7D0126" w:rsidR="002435CD" w:rsidRPr="00EA4C9B" w:rsidRDefault="002435CD" w:rsidP="001B70E6">
      <w:pPr>
        <w:pStyle w:val="Footnotes"/>
      </w:pPr>
      <w:r w:rsidRPr="00EA4C9B">
        <w:rPr>
          <w:rStyle w:val="FootnoteReference"/>
        </w:rPr>
        <w:footnoteRef/>
      </w:r>
      <w:r w:rsidRPr="00EA4C9B">
        <w:t xml:space="preserve"> </w:t>
      </w:r>
      <w:r w:rsidR="00C85CE1">
        <w:tab/>
      </w:r>
      <w:hyperlink r:id="rId499" w:history="1">
        <w:r w:rsidRPr="001B70E6">
          <w:rPr>
            <w:color w:val="0000FF"/>
            <w:u w:val="single"/>
          </w:rPr>
          <w:t>[env_ac_taxind2] Environmental taxes by economic activity (NACE Rev. 2)</w:t>
        </w:r>
      </w:hyperlink>
    </w:p>
  </w:footnote>
  <w:footnote w:id="826">
    <w:p w14:paraId="544382B9" w14:textId="32A1D3F7" w:rsidR="002435CD" w:rsidRPr="00EA4C9B" w:rsidRDefault="002435CD" w:rsidP="001B70E6">
      <w:pPr>
        <w:pStyle w:val="Footnotes"/>
      </w:pPr>
      <w:r w:rsidRPr="00EA4C9B">
        <w:rPr>
          <w:rStyle w:val="FootnoteReference"/>
        </w:rPr>
        <w:footnoteRef/>
      </w:r>
      <w:r w:rsidRPr="00EA4C9B">
        <w:t xml:space="preserve"> </w:t>
      </w:r>
      <w:r w:rsidR="00C85CE1">
        <w:tab/>
      </w:r>
      <w:hyperlink r:id="rId500" w:history="1">
        <w:r w:rsidRPr="001B70E6">
          <w:rPr>
            <w:color w:val="0000FF"/>
            <w:u w:val="single"/>
          </w:rPr>
          <w:t>[env_ac_taxind2] Environmental taxes by economic activity (NACE Rev. 2)</w:t>
        </w:r>
      </w:hyperlink>
    </w:p>
  </w:footnote>
  <w:footnote w:id="827">
    <w:p w14:paraId="3CFAC4A8" w14:textId="5D9F9FC3" w:rsidR="002435CD" w:rsidRPr="00EA4C9B" w:rsidRDefault="002435CD" w:rsidP="001B70E6">
      <w:pPr>
        <w:pStyle w:val="Footnotes"/>
      </w:pPr>
      <w:r w:rsidRPr="00EA4C9B">
        <w:rPr>
          <w:rStyle w:val="FootnoteReference"/>
        </w:rPr>
        <w:footnoteRef/>
      </w:r>
      <w:r w:rsidRPr="00EA4C9B">
        <w:t xml:space="preserve"> </w:t>
      </w:r>
      <w:r w:rsidR="00C85CE1">
        <w:tab/>
      </w:r>
      <w:hyperlink r:id="rId501" w:history="1">
        <w:r w:rsidRPr="001B70E6">
          <w:rPr>
            <w:color w:val="0000FF"/>
            <w:u w:val="single"/>
          </w:rPr>
          <w:t>National_tax_lists_2023_2025-04-25.xlsx</w:t>
        </w:r>
      </w:hyperlink>
    </w:p>
  </w:footnote>
  <w:footnote w:id="828">
    <w:p w14:paraId="7B572583" w14:textId="6B9F197E" w:rsidR="002435CD" w:rsidRPr="00EA4C9B" w:rsidRDefault="002435CD" w:rsidP="001B70E6">
      <w:pPr>
        <w:pStyle w:val="Footnotes"/>
      </w:pPr>
      <w:r w:rsidRPr="00EA4C9B">
        <w:rPr>
          <w:rStyle w:val="FootnoteReference"/>
        </w:rPr>
        <w:footnoteRef/>
      </w:r>
      <w:r w:rsidRPr="00EA4C9B">
        <w:t xml:space="preserve"> </w:t>
      </w:r>
      <w:r w:rsidR="00EA31D0">
        <w:tab/>
      </w:r>
      <w:hyperlink r:id="rId502" w:history="1">
        <w:r w:rsidRPr="001B70E6">
          <w:rPr>
            <w:color w:val="0000FF"/>
            <w:u w:val="single"/>
          </w:rPr>
          <w:t>Policy Instruments for the Environment (PINE) Database | OECD</w:t>
        </w:r>
      </w:hyperlink>
    </w:p>
  </w:footnote>
  <w:footnote w:id="829">
    <w:p w14:paraId="5947138A" w14:textId="51A1E5D1" w:rsidR="002435CD" w:rsidRPr="00EA4C9B" w:rsidRDefault="002435CD" w:rsidP="001B70E6">
      <w:pPr>
        <w:pStyle w:val="Footnotes"/>
      </w:pPr>
      <w:r w:rsidRPr="00EA4C9B">
        <w:rPr>
          <w:rStyle w:val="FootnoteReference"/>
        </w:rPr>
        <w:footnoteRef/>
      </w:r>
      <w:r w:rsidRPr="00EA4C9B">
        <w:t xml:space="preserve"> </w:t>
      </w:r>
      <w:r w:rsidR="00EA31D0">
        <w:tab/>
      </w:r>
      <w:r w:rsidRPr="00EA4C9B">
        <w:t>Tax on fertilisers were revoked in 2009 – there is only one year of data included</w:t>
      </w:r>
    </w:p>
  </w:footnote>
  <w:footnote w:id="830">
    <w:p w14:paraId="16C58634" w14:textId="4AFA641C" w:rsidR="002435CD" w:rsidRPr="00EA4C9B" w:rsidRDefault="002435CD" w:rsidP="001B70E6">
      <w:pPr>
        <w:pStyle w:val="Footnotes"/>
      </w:pPr>
      <w:r w:rsidRPr="00EA4C9B">
        <w:rPr>
          <w:rStyle w:val="FootnoteReference"/>
        </w:rPr>
        <w:footnoteRef/>
      </w:r>
      <w:r w:rsidRPr="00EA4C9B">
        <w:t xml:space="preserve"> </w:t>
      </w:r>
      <w:r w:rsidR="00EA31D0">
        <w:tab/>
      </w:r>
      <w:r w:rsidRPr="00EA4C9B">
        <w:t xml:space="preserve">Tax on waste incineration were revoked in 2023. They were implemented between the years 2020-2023. </w:t>
      </w:r>
    </w:p>
  </w:footnote>
  <w:footnote w:id="831">
    <w:p w14:paraId="32BA300A" w14:textId="15625AB0" w:rsidR="002435CD" w:rsidRPr="00EA4C9B" w:rsidRDefault="002435CD" w:rsidP="001B70E6">
      <w:pPr>
        <w:pStyle w:val="Footnotes"/>
      </w:pPr>
      <w:r w:rsidRPr="00EA4C9B">
        <w:rPr>
          <w:rStyle w:val="FootnoteReference"/>
        </w:rPr>
        <w:footnoteRef/>
      </w:r>
      <w:r w:rsidRPr="00EA4C9B">
        <w:t xml:space="preserve"> </w:t>
      </w:r>
      <w:r w:rsidR="00EA31D0">
        <w:tab/>
      </w:r>
      <w:hyperlink r:id="rId503" w:history="1">
        <w:r w:rsidR="00EA31D0" w:rsidRPr="00E807B3">
          <w:rPr>
            <w:rStyle w:val="Hyperlink"/>
          </w:rPr>
          <w:t>https://www.agrojournal.org/29/01-01.pdf</w:t>
        </w:r>
      </w:hyperlink>
      <w:r w:rsidRPr="00EA4C9B">
        <w:t xml:space="preserve"> </w:t>
      </w:r>
    </w:p>
  </w:footnote>
  <w:footnote w:id="832">
    <w:p w14:paraId="2BD1BD7C" w14:textId="35A3D945" w:rsidR="002435CD" w:rsidRPr="00EA4C9B" w:rsidRDefault="002435CD" w:rsidP="001B70E6">
      <w:pPr>
        <w:pStyle w:val="Footnotes"/>
      </w:pPr>
      <w:r w:rsidRPr="00EA4C9B">
        <w:rPr>
          <w:rStyle w:val="FootnoteReference"/>
        </w:rPr>
        <w:footnoteRef/>
      </w:r>
      <w:r w:rsidRPr="00EA4C9B">
        <w:t xml:space="preserve"> According to the PINE database, the main difference between taxes and fees/charges is the type of beneficiary: fees are paid for government services directed at a specific beneficiary, while taxes are used to raise revenue to fund government expenditure.</w:t>
      </w:r>
    </w:p>
  </w:footnote>
  <w:footnote w:id="833">
    <w:p w14:paraId="285F0D53" w14:textId="4F347667" w:rsidR="002435CD" w:rsidRPr="008945E2" w:rsidRDefault="002435CD" w:rsidP="001B70E6">
      <w:pPr>
        <w:pStyle w:val="Footnotes"/>
        <w:rPr>
          <w:lang w:val="sv-SE"/>
        </w:rPr>
      </w:pPr>
      <w:r w:rsidRPr="00EA4C9B">
        <w:rPr>
          <w:rStyle w:val="FootnoteReference"/>
        </w:rPr>
        <w:footnoteRef/>
      </w:r>
      <w:r w:rsidRPr="008945E2">
        <w:rPr>
          <w:lang w:val="sv-SE"/>
        </w:rPr>
        <w:t xml:space="preserve"> </w:t>
      </w:r>
      <w:r w:rsidR="00EA31D0">
        <w:rPr>
          <w:lang w:val="sv-SE"/>
        </w:rPr>
        <w:tab/>
      </w:r>
      <w:hyperlink r:id="rId504" w:history="1">
        <w:r w:rsidRPr="008945E2">
          <w:rPr>
            <w:color w:val="0000FF"/>
            <w:u w:val="single"/>
            <w:lang w:val="sv-SE"/>
          </w:rPr>
          <w:t>Pesticide Taxation | PAN Europe</w:t>
        </w:r>
      </w:hyperlink>
    </w:p>
  </w:footnote>
  <w:footnote w:id="834">
    <w:p w14:paraId="618EE35F" w14:textId="64B47434" w:rsidR="002435CD" w:rsidRPr="008945E2" w:rsidRDefault="002435CD" w:rsidP="001B70E6">
      <w:pPr>
        <w:pStyle w:val="Footnotes"/>
        <w:rPr>
          <w:lang w:val="sv-SE"/>
        </w:rPr>
      </w:pPr>
      <w:r w:rsidRPr="00EA4C9B">
        <w:rPr>
          <w:rStyle w:val="FootnoteReference"/>
        </w:rPr>
        <w:footnoteRef/>
      </w:r>
      <w:r w:rsidRPr="008945E2">
        <w:rPr>
          <w:lang w:val="sv-SE"/>
        </w:rPr>
        <w:t xml:space="preserve"> </w:t>
      </w:r>
      <w:hyperlink r:id="rId505" w:history="1">
        <w:r w:rsidRPr="008945E2">
          <w:rPr>
            <w:color w:val="0000FF"/>
            <w:u w:val="single"/>
            <w:lang w:val="sv-SE"/>
          </w:rPr>
          <w:t>Skatt på kadmium i vissa produkter och kemiska växtskyddsmedel SOU 2017:102</w:t>
        </w:r>
      </w:hyperlink>
    </w:p>
  </w:footnote>
  <w:footnote w:id="835">
    <w:p w14:paraId="4EC4EB2D" w14:textId="7200F0D6" w:rsidR="0028411C" w:rsidRDefault="0028411C">
      <w:pPr>
        <w:pStyle w:val="FootnoteText"/>
      </w:pPr>
      <w:r>
        <w:rPr>
          <w:rStyle w:val="FootnoteReference"/>
        </w:rPr>
        <w:footnoteRef/>
      </w:r>
      <w:r>
        <w:t xml:space="preserve"> </w:t>
      </w:r>
      <w:r w:rsidR="004D0C40">
        <w:t xml:space="preserve">Mean 2024 exchange rate: 1 EUR equal 11.43217 Source: </w:t>
      </w:r>
      <w:hyperlink r:id="rId506" w:history="1">
        <w:r w:rsidR="006B7538" w:rsidRPr="00EA3393">
          <w:rPr>
            <w:rStyle w:val="Hyperlink"/>
          </w:rPr>
          <w:t>https://www.riksbank.se/en-gb/statistics/interest-rates-and-exchange-rates/search-annual-and-monthly-average-exchange-rates/</w:t>
        </w:r>
      </w:hyperlink>
      <w:r w:rsidR="006B7538">
        <w:t xml:space="preserve"> </w:t>
      </w:r>
    </w:p>
  </w:footnote>
  <w:footnote w:id="836">
    <w:p w14:paraId="41B59285" w14:textId="2A8A1FE9" w:rsidR="002435CD" w:rsidRPr="00EA4C9B" w:rsidRDefault="002435CD" w:rsidP="001B70E6">
      <w:pPr>
        <w:pStyle w:val="Footnotes"/>
      </w:pPr>
      <w:r w:rsidRPr="00EA4C9B">
        <w:rPr>
          <w:rStyle w:val="FootnoteReference"/>
        </w:rPr>
        <w:footnoteRef/>
      </w:r>
      <w:r w:rsidRPr="00EA4C9B">
        <w:t xml:space="preserve"> </w:t>
      </w:r>
      <w:hyperlink r:id="rId507" w:anchor="/tax-details?taxId=528&amp;versionDate=1735686000&amp;isEuro=false&amp;taxType=OTHER_INDIRECT" w:history="1">
        <w:r w:rsidRPr="001B70E6">
          <w:rPr>
            <w:color w:val="0000FF"/>
            <w:u w:val="single"/>
          </w:rPr>
          <w:t>Taxes in Europe Database v4 - Indirect taxes - Other Indirect -</w:t>
        </w:r>
      </w:hyperlink>
    </w:p>
  </w:footnote>
  <w:footnote w:id="837">
    <w:p w14:paraId="6DC2DE71" w14:textId="0FF70072" w:rsidR="002435CD" w:rsidRPr="004F0767" w:rsidRDefault="002435CD" w:rsidP="001B70E6">
      <w:pPr>
        <w:pStyle w:val="Footnotes"/>
        <w:rPr>
          <w:lang w:val="sv-SE"/>
        </w:rPr>
      </w:pPr>
      <w:r w:rsidRPr="00EA4C9B">
        <w:rPr>
          <w:rStyle w:val="FootnoteReference"/>
        </w:rPr>
        <w:footnoteRef/>
      </w:r>
      <w:r w:rsidRPr="004F0767">
        <w:rPr>
          <w:lang w:val="sv-SE"/>
        </w:rPr>
        <w:t xml:space="preserve"> </w:t>
      </w:r>
      <w:hyperlink r:id="rId508" w:history="1">
        <w:r w:rsidRPr="004F0767">
          <w:rPr>
            <w:color w:val="0000FF"/>
            <w:u w:val="single"/>
            <w:lang w:val="sv-SE"/>
          </w:rPr>
          <w:t>Skatt på kadmium i vissa produkter och kemiska växtskyddsmedel SOU 2017:102</w:t>
        </w:r>
      </w:hyperlink>
    </w:p>
  </w:footnote>
  <w:footnote w:id="838">
    <w:p w14:paraId="67DC84FE" w14:textId="11D8BDE1" w:rsidR="002435CD" w:rsidRPr="004F0767" w:rsidRDefault="002435CD" w:rsidP="001B70E6">
      <w:pPr>
        <w:pStyle w:val="Footnotes"/>
        <w:rPr>
          <w:lang w:val="sv-SE"/>
        </w:rPr>
      </w:pPr>
      <w:r w:rsidRPr="00EA4C9B">
        <w:rPr>
          <w:rStyle w:val="FootnoteReference"/>
        </w:rPr>
        <w:footnoteRef/>
      </w:r>
      <w:r w:rsidRPr="004F0767">
        <w:rPr>
          <w:lang w:val="sv-SE"/>
        </w:rPr>
        <w:t xml:space="preserve"> </w:t>
      </w:r>
      <w:hyperlink r:id="rId509" w:history="1">
        <w:r w:rsidRPr="004F0767">
          <w:rPr>
            <w:color w:val="0000FF"/>
            <w:u w:val="single"/>
            <w:lang w:val="sv-SE"/>
          </w:rPr>
          <w:t>Statistics on pesticides - Kemikalieinspektionen</w:t>
        </w:r>
      </w:hyperlink>
    </w:p>
  </w:footnote>
  <w:footnote w:id="839">
    <w:p w14:paraId="11E6EC5A" w14:textId="42F91783" w:rsidR="002435CD" w:rsidRPr="004F0767" w:rsidRDefault="002435CD" w:rsidP="001B70E6">
      <w:pPr>
        <w:pStyle w:val="Footnotes"/>
        <w:rPr>
          <w:lang w:val="sv-SE"/>
        </w:rPr>
      </w:pPr>
      <w:r w:rsidRPr="00EA4C9B">
        <w:rPr>
          <w:rStyle w:val="FootnoteReference"/>
        </w:rPr>
        <w:footnoteRef/>
      </w:r>
      <w:r w:rsidRPr="004F0767">
        <w:rPr>
          <w:lang w:val="sv-SE"/>
        </w:rPr>
        <w:t xml:space="preserve"> </w:t>
      </w:r>
      <w:hyperlink r:id="rId510" w:history="1">
        <w:r w:rsidRPr="004F0767">
          <w:rPr>
            <w:color w:val="0000FF"/>
            <w:u w:val="single"/>
            <w:lang w:val="sv-SE"/>
          </w:rPr>
          <w:t>Försålda kvantiteter av bekämpningsmedel 2021</w:t>
        </w:r>
      </w:hyperlink>
    </w:p>
  </w:footnote>
  <w:footnote w:id="840">
    <w:p w14:paraId="6305F7A2" w14:textId="77777777" w:rsidR="002435CD" w:rsidRPr="004F0767" w:rsidRDefault="002435CD" w:rsidP="001B70E6">
      <w:pPr>
        <w:pStyle w:val="Footnotes"/>
        <w:rPr>
          <w:lang w:val="sv-SE"/>
        </w:rPr>
      </w:pPr>
      <w:r w:rsidRPr="00EA4C9B">
        <w:rPr>
          <w:rStyle w:val="FootnoteReference"/>
        </w:rPr>
        <w:footnoteRef/>
      </w:r>
      <w:r w:rsidRPr="004F0767">
        <w:rPr>
          <w:lang w:val="sv-SE"/>
        </w:rPr>
        <w:t xml:space="preserve"> </w:t>
      </w:r>
      <w:hyperlink r:id="rId511" w:history="1">
        <w:r w:rsidRPr="004F0767">
          <w:rPr>
            <w:color w:val="0000FF"/>
            <w:u w:val="single"/>
            <w:lang w:val="sv-SE"/>
          </w:rPr>
          <w:t>Regeringens proposition</w:t>
        </w:r>
      </w:hyperlink>
    </w:p>
  </w:footnote>
  <w:footnote w:id="841">
    <w:p w14:paraId="76F9F1DE" w14:textId="04D56F8A" w:rsidR="002435CD" w:rsidRPr="004F0767" w:rsidRDefault="002435CD" w:rsidP="001B70E6">
      <w:pPr>
        <w:pStyle w:val="Footnotes"/>
        <w:rPr>
          <w:lang w:val="sv-SE"/>
        </w:rPr>
      </w:pPr>
      <w:r w:rsidRPr="00EA4C9B">
        <w:rPr>
          <w:rStyle w:val="FootnoteReference"/>
        </w:rPr>
        <w:footnoteRef/>
      </w:r>
      <w:r w:rsidRPr="004F0767">
        <w:rPr>
          <w:lang w:val="sv-SE"/>
        </w:rPr>
        <w:t xml:space="preserve"> </w:t>
      </w:r>
      <w:r w:rsidR="00054FE2" w:rsidRPr="004F0767">
        <w:rPr>
          <w:lang w:val="sv-SE"/>
        </w:rPr>
        <w:tab/>
      </w:r>
      <w:hyperlink r:id="rId512" w:history="1">
        <w:r w:rsidRPr="004F0767">
          <w:rPr>
            <w:color w:val="0000FF"/>
            <w:u w:val="single"/>
            <w:lang w:val="sv-SE"/>
          </w:rPr>
          <w:t>"Slopad gödselskatt ökar utsläppen" - Nyheter (Ekot) | Sveriges Radio</w:t>
        </w:r>
      </w:hyperlink>
    </w:p>
  </w:footnote>
  <w:footnote w:id="842">
    <w:p w14:paraId="6DC0C0B1" w14:textId="0B24B031" w:rsidR="002435CD" w:rsidRPr="00EA4C9B" w:rsidRDefault="002435CD" w:rsidP="001B70E6">
      <w:pPr>
        <w:pStyle w:val="Footnotes"/>
      </w:pPr>
      <w:r w:rsidRPr="00EA4C9B">
        <w:rPr>
          <w:rStyle w:val="FootnoteReference"/>
        </w:rPr>
        <w:footnoteRef/>
      </w:r>
      <w:r w:rsidRPr="004F0767">
        <w:t xml:space="preserve"> </w:t>
      </w:r>
      <w:r w:rsidR="00054FE2" w:rsidRPr="004F0767">
        <w:tab/>
      </w:r>
      <w:r w:rsidRPr="004F0767">
        <w:t xml:space="preserve">Naturvårdsverket, 1997. </w:t>
      </w:r>
      <w:r w:rsidRPr="00EA4C9B">
        <w:t>Environmental Taxes in Sweden—Economic Instruments of Environmental Policy (Stockholm, Swedish Environmental Protection Agency).</w:t>
      </w:r>
    </w:p>
  </w:footnote>
  <w:footnote w:id="843">
    <w:p w14:paraId="16AD277C" w14:textId="1987FDFA" w:rsidR="002435CD" w:rsidRPr="00EA4C9B" w:rsidRDefault="002435CD" w:rsidP="001B70E6">
      <w:pPr>
        <w:pStyle w:val="Footnotes"/>
      </w:pPr>
      <w:r w:rsidRPr="00EA4C9B">
        <w:rPr>
          <w:rStyle w:val="FootnoteReference"/>
        </w:rPr>
        <w:footnoteRef/>
      </w:r>
      <w:r w:rsidRPr="00EA4C9B">
        <w:t xml:space="preserve"> </w:t>
      </w:r>
      <w:r w:rsidR="00054FE2">
        <w:tab/>
      </w:r>
      <w:hyperlink r:id="rId513" w:history="1">
        <w:r w:rsidRPr="001B70E6">
          <w:rPr>
            <w:color w:val="0000FF"/>
            <w:u w:val="single"/>
          </w:rPr>
          <w:t>Borg defends the abolition of the fertilizer tax - News (Ekot) | Swedish Radio</w:t>
        </w:r>
      </w:hyperlink>
    </w:p>
  </w:footnote>
  <w:footnote w:id="844">
    <w:p w14:paraId="0BD08A28" w14:textId="11271FD0" w:rsidR="002435CD" w:rsidRPr="00EA4C9B" w:rsidRDefault="002435CD" w:rsidP="001B70E6">
      <w:pPr>
        <w:pStyle w:val="Footnotes"/>
      </w:pPr>
      <w:r w:rsidRPr="00EA4C9B">
        <w:rPr>
          <w:rStyle w:val="FootnoteReference"/>
        </w:rPr>
        <w:footnoteRef/>
      </w:r>
      <w:r w:rsidRPr="00EA4C9B">
        <w:t xml:space="preserve"> </w:t>
      </w:r>
      <w:r w:rsidR="00054FE2">
        <w:tab/>
      </w:r>
      <w:hyperlink r:id="rId514" w:history="1">
        <w:r>
          <w:rPr>
            <w:rStyle w:val="Hyperlink"/>
          </w:rPr>
          <w:t>https://www.konj.se/download/18.42684e214e71a39d0722ed0/1436516834703/Miljö+ekonomi+och+politik+2014.pdf</w:t>
        </w:r>
      </w:hyperlink>
      <w:hyperlink r:id="rId515" w:history="1">
        <w:r w:rsidRPr="001B70E6">
          <w:rPr>
            <w:color w:val="0000FF"/>
            <w:u w:val="single"/>
          </w:rPr>
          <w:t>SE-Fertilizer-tax-final_REV.pdf</w:t>
        </w:r>
      </w:hyperlink>
    </w:p>
  </w:footnote>
  <w:footnote w:id="845">
    <w:p w14:paraId="5A50C64B" w14:textId="24FC26B0" w:rsidR="002435CD" w:rsidRPr="004F0767" w:rsidRDefault="002435CD" w:rsidP="001B70E6">
      <w:pPr>
        <w:pStyle w:val="Footnotes"/>
        <w:rPr>
          <w:lang w:val="es-ES"/>
        </w:rPr>
      </w:pPr>
      <w:r w:rsidRPr="00EA4C9B">
        <w:rPr>
          <w:rStyle w:val="FootnoteReference"/>
        </w:rPr>
        <w:footnoteRef/>
      </w:r>
      <w:r w:rsidRPr="004F0767">
        <w:rPr>
          <w:lang w:val="es-ES"/>
        </w:rPr>
        <w:t xml:space="preserve"> </w:t>
      </w:r>
      <w:r w:rsidR="00054FE2" w:rsidRPr="004F0767">
        <w:rPr>
          <w:lang w:val="es-ES"/>
        </w:rPr>
        <w:tab/>
      </w:r>
      <w:hyperlink r:id="rId516" w:history="1">
        <w:r w:rsidRPr="004F0767">
          <w:rPr>
            <w:color w:val="0000FF"/>
            <w:u w:val="single"/>
            <w:lang w:val="es-ES"/>
          </w:rPr>
          <w:t>SE-Fertilizer-tax-final_REV.pdf</w:t>
        </w:r>
      </w:hyperlink>
    </w:p>
  </w:footnote>
  <w:footnote w:id="846">
    <w:p w14:paraId="67D41A10" w14:textId="7864E349" w:rsidR="002435CD" w:rsidRPr="00EA4C9B" w:rsidRDefault="002435CD" w:rsidP="001B70E6">
      <w:pPr>
        <w:pStyle w:val="Footnotes"/>
      </w:pPr>
      <w:r w:rsidRPr="00EA4C9B">
        <w:rPr>
          <w:rStyle w:val="FootnoteReference"/>
        </w:rPr>
        <w:footnoteRef/>
      </w:r>
      <w:r w:rsidRPr="00EA4C9B">
        <w:t xml:space="preserve"> </w:t>
      </w:r>
      <w:r w:rsidR="00054FE2">
        <w:tab/>
      </w:r>
      <w:hyperlink r:id="rId517" w:history="1">
        <w:r w:rsidRPr="001B70E6">
          <w:rPr>
            <w:color w:val="0000FF"/>
            <w:u w:val="single"/>
          </w:rPr>
          <w:t>Tax on fertilizers and pesticides? - Regeringen.se</w:t>
        </w:r>
      </w:hyperlink>
    </w:p>
  </w:footnote>
  <w:footnote w:id="847">
    <w:p w14:paraId="4EF8CA74" w14:textId="51704DF2" w:rsidR="002435CD" w:rsidRPr="00EA4C9B" w:rsidRDefault="002435CD" w:rsidP="001B70E6">
      <w:pPr>
        <w:pStyle w:val="Footnotes"/>
      </w:pPr>
      <w:r w:rsidRPr="00EA4C9B">
        <w:rPr>
          <w:rStyle w:val="FootnoteReference"/>
        </w:rPr>
        <w:footnoteRef/>
      </w:r>
      <w:r w:rsidRPr="00EA4C9B">
        <w:t xml:space="preserve"> </w:t>
      </w:r>
      <w:r w:rsidR="00054FE2">
        <w:tab/>
      </w:r>
      <w:hyperlink r:id="rId518" w:history="1">
        <w:r w:rsidRPr="001B70E6">
          <w:rPr>
            <w:color w:val="0000FF"/>
            <w:u w:val="single"/>
          </w:rPr>
          <w:t>Policy Instruments for the Environment (PINE) Database | OECD</w:t>
        </w:r>
      </w:hyperlink>
    </w:p>
  </w:footnote>
  <w:footnote w:id="848">
    <w:p w14:paraId="397B9A89" w14:textId="5C6B2271" w:rsidR="002435CD" w:rsidRPr="004D72B1" w:rsidRDefault="002435CD" w:rsidP="001B70E6">
      <w:pPr>
        <w:pStyle w:val="Footnotes"/>
        <w:rPr>
          <w:lang w:val="de-DE"/>
        </w:rPr>
      </w:pPr>
      <w:r w:rsidRPr="00EA4C9B">
        <w:rPr>
          <w:rStyle w:val="FootnoteReference"/>
        </w:rPr>
        <w:footnoteRef/>
      </w:r>
      <w:r w:rsidRPr="004D72B1">
        <w:rPr>
          <w:lang w:val="de-DE"/>
        </w:rPr>
        <w:t xml:space="preserve"> </w:t>
      </w:r>
      <w:r w:rsidR="00054FE2">
        <w:rPr>
          <w:lang w:val="de-DE"/>
        </w:rPr>
        <w:tab/>
      </w:r>
      <w:hyperlink r:id="rId519" w:history="1">
        <w:r w:rsidRPr="001B70E6">
          <w:rPr>
            <w:color w:val="0000FF"/>
            <w:u w:val="single"/>
            <w:lang w:val="de-DE"/>
          </w:rPr>
          <w:t>Chemical fee - Kemikalieinspektionen</w:t>
        </w:r>
      </w:hyperlink>
    </w:p>
  </w:footnote>
  <w:footnote w:id="849">
    <w:p w14:paraId="55E43DCE" w14:textId="1515279D" w:rsidR="002435CD" w:rsidRPr="004D72B1" w:rsidRDefault="002435CD" w:rsidP="001B70E6">
      <w:pPr>
        <w:pStyle w:val="Footnotes"/>
        <w:rPr>
          <w:lang w:val="de-DE"/>
        </w:rPr>
      </w:pPr>
      <w:r w:rsidRPr="00EA4C9B">
        <w:rPr>
          <w:rStyle w:val="FootnoteReference"/>
        </w:rPr>
        <w:footnoteRef/>
      </w:r>
      <w:r w:rsidRPr="004D72B1">
        <w:rPr>
          <w:lang w:val="de-DE"/>
        </w:rPr>
        <w:t xml:space="preserve"> </w:t>
      </w:r>
      <w:r w:rsidR="00054FE2">
        <w:rPr>
          <w:lang w:val="de-DE"/>
        </w:rPr>
        <w:tab/>
      </w:r>
      <w:hyperlink r:id="rId520" w:history="1">
        <w:r w:rsidRPr="001B70E6">
          <w:rPr>
            <w:color w:val="0000FF"/>
            <w:u w:val="single"/>
            <w:lang w:val="de-DE"/>
          </w:rPr>
          <w:t>Fees for plant protection products - Kemikalieinspektionen</w:t>
        </w:r>
      </w:hyperlink>
    </w:p>
  </w:footnote>
  <w:footnote w:id="850">
    <w:p w14:paraId="3023DEFB" w14:textId="679D6E5A" w:rsidR="002435CD" w:rsidRPr="004D72B1" w:rsidRDefault="002435CD" w:rsidP="007F7FE6">
      <w:pPr>
        <w:pStyle w:val="Footnotes"/>
        <w:rPr>
          <w:lang w:val="de-DE"/>
        </w:rPr>
      </w:pPr>
      <w:r w:rsidRPr="00EA4C9B">
        <w:rPr>
          <w:rStyle w:val="FootnoteReference"/>
        </w:rPr>
        <w:footnoteRef/>
      </w:r>
      <w:r w:rsidRPr="004D72B1">
        <w:rPr>
          <w:lang w:val="de-DE"/>
        </w:rPr>
        <w:t xml:space="preserve"> </w:t>
      </w:r>
      <w:r w:rsidR="00054FE2">
        <w:rPr>
          <w:lang w:val="de-DE"/>
        </w:rPr>
        <w:tab/>
      </w:r>
      <w:hyperlink r:id="rId521" w:history="1">
        <w:r w:rsidRPr="007F7FE6">
          <w:rPr>
            <w:color w:val="0000FF"/>
            <w:u w:val="single"/>
            <w:lang w:val="de-DE"/>
          </w:rPr>
          <w:t>Chemical fee - Kemikalieinspektionen</w:t>
        </w:r>
      </w:hyperlink>
    </w:p>
  </w:footnote>
  <w:footnote w:id="851">
    <w:p w14:paraId="6B2E002C" w14:textId="1D9F5501" w:rsidR="002435CD" w:rsidRPr="00EA4C9B" w:rsidRDefault="002435CD" w:rsidP="007F7FE6">
      <w:pPr>
        <w:pStyle w:val="Footnotes"/>
      </w:pPr>
      <w:r w:rsidRPr="00EA4C9B">
        <w:rPr>
          <w:rStyle w:val="FootnoteReference"/>
        </w:rPr>
        <w:footnoteRef/>
      </w:r>
      <w:r w:rsidRPr="00EA4C9B">
        <w:t xml:space="preserve"> </w:t>
      </w:r>
      <w:r w:rsidR="00054FE2">
        <w:tab/>
      </w:r>
      <w:r w:rsidRPr="00EA4C9B">
        <w:rPr>
          <w:rStyle w:val="Hyperlink"/>
        </w:rPr>
        <w:t xml:space="preserve">Taxes in Europe Database v4 - Indirect taxes - Other Indirect </w:t>
      </w:r>
    </w:p>
  </w:footnote>
  <w:footnote w:id="852">
    <w:p w14:paraId="5EC992A4" w14:textId="048CC6D5" w:rsidR="002435CD" w:rsidRPr="00EA4C9B" w:rsidRDefault="002435CD" w:rsidP="007F7FE6">
      <w:pPr>
        <w:pStyle w:val="Footnotes"/>
      </w:pPr>
      <w:r w:rsidRPr="00EA4C9B">
        <w:rPr>
          <w:rStyle w:val="FootnoteReference"/>
        </w:rPr>
        <w:footnoteRef/>
      </w:r>
      <w:r w:rsidRPr="00EA4C9B">
        <w:t xml:space="preserve"> </w:t>
      </w:r>
      <w:r w:rsidR="00054FE2">
        <w:tab/>
      </w:r>
      <w:hyperlink r:id="rId522" w:history="1">
        <w:r w:rsidRPr="007F7FE6">
          <w:rPr>
            <w:color w:val="0000FF"/>
            <w:u w:val="single"/>
          </w:rPr>
          <w:t>Swedish tax on chemicals in certain electronics - Pincvision</w:t>
        </w:r>
      </w:hyperlink>
    </w:p>
  </w:footnote>
  <w:footnote w:id="853">
    <w:p w14:paraId="760B84C0" w14:textId="27B48716" w:rsidR="002435CD" w:rsidRPr="00EA4C9B" w:rsidRDefault="002435CD" w:rsidP="007F7FE6">
      <w:pPr>
        <w:pStyle w:val="Footnotes"/>
      </w:pPr>
      <w:r w:rsidRPr="00EA4C9B">
        <w:rPr>
          <w:rStyle w:val="FootnoteReference"/>
        </w:rPr>
        <w:footnoteRef/>
      </w:r>
      <w:r w:rsidRPr="00EA4C9B">
        <w:t xml:space="preserve"> </w:t>
      </w:r>
      <w:r w:rsidR="00054FE2">
        <w:tab/>
      </w:r>
      <w:hyperlink r:id="rId523" w:anchor="/home" w:history="1">
        <w:r w:rsidRPr="007F7FE6">
          <w:rPr>
            <w:color w:val="0000FF"/>
            <w:u w:val="single"/>
          </w:rPr>
          <w:t>Taxes in Europe Database v4 - Homepage</w:t>
        </w:r>
      </w:hyperlink>
    </w:p>
  </w:footnote>
  <w:footnote w:id="854">
    <w:p w14:paraId="32F0BE86" w14:textId="4930545A" w:rsidR="002435CD" w:rsidRPr="00EA4C9B" w:rsidRDefault="002435CD" w:rsidP="007F7FE6">
      <w:pPr>
        <w:pStyle w:val="Footnotes"/>
      </w:pPr>
      <w:r w:rsidRPr="00EA4C9B">
        <w:rPr>
          <w:rStyle w:val="FootnoteReference"/>
        </w:rPr>
        <w:footnoteRef/>
      </w:r>
      <w:r w:rsidRPr="00EA4C9B">
        <w:t xml:space="preserve"> </w:t>
      </w:r>
      <w:r w:rsidR="00A27207">
        <w:tab/>
      </w:r>
      <w:hyperlink r:id="rId524" w:history="1">
        <w:r w:rsidRPr="007F7FE6">
          <w:rPr>
            <w:color w:val="0000FF"/>
            <w:u w:val="single"/>
          </w:rPr>
          <w:t>Tax on chemicals in certain electronics | Skatteverket</w:t>
        </w:r>
      </w:hyperlink>
    </w:p>
  </w:footnote>
  <w:footnote w:id="855">
    <w:p w14:paraId="58C9EF6C" w14:textId="44DC4E35" w:rsidR="002435CD" w:rsidRPr="00EA4C9B" w:rsidRDefault="002435CD" w:rsidP="007F7FE6">
      <w:pPr>
        <w:pStyle w:val="Footnotes"/>
      </w:pPr>
      <w:r w:rsidRPr="00EA4C9B">
        <w:rPr>
          <w:rStyle w:val="FootnoteReference"/>
        </w:rPr>
        <w:footnoteRef/>
      </w:r>
      <w:r w:rsidRPr="00EA4C9B">
        <w:t xml:space="preserve"> </w:t>
      </w:r>
      <w:r w:rsidR="00A27207">
        <w:tab/>
      </w:r>
      <w:hyperlink r:id="rId525" w:history="1">
        <w:r w:rsidRPr="007F7FE6">
          <w:rPr>
            <w:color w:val="0000FF"/>
            <w:u w:val="single"/>
          </w:rPr>
          <w:t>Tax on chemicals in certain electronics | Skatteverket</w:t>
        </w:r>
      </w:hyperlink>
    </w:p>
  </w:footnote>
  <w:footnote w:id="856">
    <w:p w14:paraId="55F2ECC8" w14:textId="7EEE510E" w:rsidR="002435CD" w:rsidRPr="00EA4C9B" w:rsidRDefault="002435CD" w:rsidP="007F7FE6">
      <w:pPr>
        <w:pStyle w:val="Footnotes"/>
      </w:pPr>
      <w:r w:rsidRPr="00EA4C9B">
        <w:rPr>
          <w:rStyle w:val="FootnoteReference"/>
        </w:rPr>
        <w:footnoteRef/>
      </w:r>
      <w:r w:rsidRPr="00EA4C9B">
        <w:t xml:space="preserve"> </w:t>
      </w:r>
      <w:r w:rsidR="00A27207">
        <w:tab/>
      </w:r>
      <w:hyperlink r:id="rId526" w:history="1">
        <w:r w:rsidRPr="007F7FE6">
          <w:rPr>
            <w:color w:val="0000FF"/>
            <w:u w:val="single"/>
          </w:rPr>
          <w:t>Payment respite | Skatteverket</w:t>
        </w:r>
      </w:hyperlink>
    </w:p>
  </w:footnote>
  <w:footnote w:id="857">
    <w:p w14:paraId="637299BC" w14:textId="17A892E1" w:rsidR="002435CD" w:rsidRPr="00EA4C9B" w:rsidRDefault="002435CD" w:rsidP="007F7FE6">
      <w:pPr>
        <w:pStyle w:val="Footnotes"/>
      </w:pPr>
      <w:r w:rsidRPr="00EA4C9B">
        <w:rPr>
          <w:rStyle w:val="FootnoteReference"/>
        </w:rPr>
        <w:footnoteRef/>
      </w:r>
      <w:r w:rsidRPr="007F7FE6">
        <w:t xml:space="preserve"> </w:t>
      </w:r>
      <w:r w:rsidR="00A27207">
        <w:tab/>
      </w:r>
      <w:r w:rsidR="007F7FE6">
        <w:t>I</w:t>
      </w:r>
      <w:r w:rsidRPr="007F7FE6">
        <w:t>bid</w:t>
      </w:r>
    </w:p>
  </w:footnote>
  <w:footnote w:id="858">
    <w:p w14:paraId="3E809C69" w14:textId="391780E7" w:rsidR="002435CD" w:rsidRPr="00EA4C9B" w:rsidRDefault="002435CD" w:rsidP="007F7FE6">
      <w:pPr>
        <w:pStyle w:val="Footnotes"/>
      </w:pPr>
      <w:r w:rsidRPr="00EA4C9B">
        <w:rPr>
          <w:rStyle w:val="FootnoteReference"/>
        </w:rPr>
        <w:footnoteRef/>
      </w:r>
      <w:r w:rsidRPr="00EA4C9B">
        <w:t xml:space="preserve"> </w:t>
      </w:r>
      <w:r w:rsidR="00A27207">
        <w:tab/>
      </w:r>
      <w:hyperlink r:id="rId527" w:history="1">
        <w:r w:rsidRPr="007F7FE6">
          <w:rPr>
            <w:color w:val="0000FF"/>
            <w:u w:val="single"/>
          </w:rPr>
          <w:t>Evaluation of the Tax on Chemicals in Certain Electronics - English Summary</w:t>
        </w:r>
      </w:hyperlink>
    </w:p>
  </w:footnote>
  <w:footnote w:id="859">
    <w:p w14:paraId="66FD3D30" w14:textId="55B8FC7A" w:rsidR="002435CD" w:rsidRPr="00EA4C9B" w:rsidRDefault="002435CD" w:rsidP="007F7FE6">
      <w:pPr>
        <w:pStyle w:val="Footnotes"/>
      </w:pPr>
      <w:r w:rsidRPr="00EA4C9B">
        <w:rPr>
          <w:rStyle w:val="FootnoteReference"/>
        </w:rPr>
        <w:footnoteRef/>
      </w:r>
      <w:r w:rsidRPr="00EA4C9B">
        <w:t xml:space="preserve"> </w:t>
      </w:r>
      <w:r w:rsidR="00A27207">
        <w:tab/>
      </w:r>
      <w:hyperlink r:id="rId528" w:history="1">
        <w:r w:rsidRPr="007F7FE6">
          <w:rPr>
            <w:color w:val="0000FF"/>
            <w:u w:val="single"/>
          </w:rPr>
          <w:t>Greenwash? – An analysis of the efficiency of Swedish environmental taxes</w:t>
        </w:r>
      </w:hyperlink>
    </w:p>
  </w:footnote>
  <w:footnote w:id="860">
    <w:p w14:paraId="1C213A80" w14:textId="34BAB700" w:rsidR="002435CD" w:rsidRPr="00EA4C9B" w:rsidRDefault="002435CD" w:rsidP="007F7FE6">
      <w:pPr>
        <w:pStyle w:val="Footnotes"/>
      </w:pPr>
      <w:r w:rsidRPr="00EA4C9B">
        <w:rPr>
          <w:rStyle w:val="FootnoteReference"/>
        </w:rPr>
        <w:footnoteRef/>
      </w:r>
      <w:r w:rsidRPr="00EA4C9B">
        <w:t xml:space="preserve"> </w:t>
      </w:r>
      <w:r w:rsidR="00A27207">
        <w:tab/>
      </w:r>
      <w:hyperlink r:id="rId529" w:history="1">
        <w:r w:rsidRPr="007F7FE6">
          <w:rPr>
            <w:color w:val="0000FF"/>
            <w:u w:val="single"/>
          </w:rPr>
          <w:t>Interjurisdictional externalities, overlapping policies and NOx pollution control in Sweden</w:t>
        </w:r>
      </w:hyperlink>
    </w:p>
  </w:footnote>
  <w:footnote w:id="861">
    <w:p w14:paraId="41CDEEBB" w14:textId="6D194248" w:rsidR="002435CD" w:rsidRPr="00EA4C9B" w:rsidRDefault="002435CD" w:rsidP="00A27207">
      <w:pPr>
        <w:pStyle w:val="Footnotes"/>
        <w:jc w:val="left"/>
      </w:pPr>
      <w:r w:rsidRPr="00EA4C9B">
        <w:rPr>
          <w:rStyle w:val="FootnoteReference"/>
        </w:rPr>
        <w:footnoteRef/>
      </w:r>
      <w:r w:rsidRPr="00EA4C9B">
        <w:t xml:space="preserve"> </w:t>
      </w:r>
      <w:hyperlink r:id="rId530" w:history="1">
        <w:r w:rsidR="00A27207" w:rsidRPr="00EC31B9">
          <w:rPr>
            <w:rStyle w:val="Hyperlink"/>
          </w:rPr>
          <w:t>https://www.naturvardsverket.se/4acece/contentassets/abe4e02774be45e996efda856a820969/emissions-of-nitrogen-oxides-from-energy-production-act-1990-630-1990-613.pdf</w:t>
        </w:r>
      </w:hyperlink>
    </w:p>
  </w:footnote>
  <w:footnote w:id="862">
    <w:p w14:paraId="144C588C" w14:textId="7D10C448" w:rsidR="002435CD" w:rsidRPr="004F0767" w:rsidRDefault="002435CD" w:rsidP="007F7FE6">
      <w:pPr>
        <w:pStyle w:val="Footnotes"/>
        <w:rPr>
          <w:lang w:val="it-IT"/>
        </w:rPr>
      </w:pPr>
      <w:r w:rsidRPr="00EA4C9B">
        <w:rPr>
          <w:rStyle w:val="FootnoteReference"/>
        </w:rPr>
        <w:footnoteRef/>
      </w:r>
      <w:r w:rsidRPr="004F0767">
        <w:rPr>
          <w:lang w:val="it-IT"/>
        </w:rPr>
        <w:t xml:space="preserve"> </w:t>
      </w:r>
      <w:r w:rsidR="00A27207" w:rsidRPr="004F0767">
        <w:rPr>
          <w:lang w:val="it-IT"/>
        </w:rPr>
        <w:tab/>
      </w:r>
      <w:hyperlink r:id="rId531" w:history="1">
        <w:r w:rsidRPr="004F0767">
          <w:rPr>
            <w:color w:val="0000FF"/>
            <w:u w:val="single"/>
            <w:lang w:val="it-IT"/>
          </w:rPr>
          <w:t>SE-NOx-SO2-Tax-final.pdf</w:t>
        </w:r>
      </w:hyperlink>
    </w:p>
  </w:footnote>
  <w:footnote w:id="863">
    <w:p w14:paraId="4FEDB9D1" w14:textId="075DB851" w:rsidR="002435CD" w:rsidRPr="004F0767" w:rsidRDefault="002435CD" w:rsidP="007F7FE6">
      <w:pPr>
        <w:pStyle w:val="Footnotes"/>
        <w:rPr>
          <w:lang w:val="it-IT"/>
        </w:rPr>
      </w:pPr>
      <w:r w:rsidRPr="00EA4C9B">
        <w:rPr>
          <w:rStyle w:val="FootnoteReference"/>
        </w:rPr>
        <w:footnoteRef/>
      </w:r>
      <w:r w:rsidRPr="004F0767">
        <w:rPr>
          <w:lang w:val="it-IT"/>
        </w:rPr>
        <w:t xml:space="preserve"> </w:t>
      </w:r>
      <w:r w:rsidR="00A27207" w:rsidRPr="004F0767">
        <w:rPr>
          <w:lang w:val="it-IT"/>
        </w:rPr>
        <w:tab/>
      </w:r>
      <w:hyperlink r:id="rId532" w:history="1">
        <w:r w:rsidRPr="004F0767">
          <w:rPr>
            <w:color w:val="0000FF"/>
            <w:u w:val="single"/>
            <w:lang w:val="it-IT"/>
          </w:rPr>
          <w:t>SE-NOx-SO2-Tax-final.pdf</w:t>
        </w:r>
      </w:hyperlink>
    </w:p>
  </w:footnote>
  <w:footnote w:id="864">
    <w:p w14:paraId="6DFE6149" w14:textId="0746EF60" w:rsidR="002435CD" w:rsidRPr="00EA4C9B" w:rsidRDefault="002435CD" w:rsidP="007F7FE6">
      <w:pPr>
        <w:pStyle w:val="Footnotes"/>
      </w:pPr>
      <w:r w:rsidRPr="00EA4C9B">
        <w:rPr>
          <w:rStyle w:val="FootnoteReference"/>
        </w:rPr>
        <w:footnoteRef/>
      </w:r>
      <w:r w:rsidRPr="00EA4C9B">
        <w:t xml:space="preserve"> </w:t>
      </w:r>
      <w:r w:rsidR="00A27207">
        <w:tab/>
      </w:r>
      <w:hyperlink r:id="rId533" w:history="1">
        <w:r w:rsidRPr="007F7FE6">
          <w:rPr>
            <w:color w:val="0000FF"/>
            <w:u w:val="single"/>
          </w:rPr>
          <w:t>Waste tax | Tax</w:t>
        </w:r>
      </w:hyperlink>
    </w:p>
  </w:footnote>
  <w:footnote w:id="865">
    <w:p w14:paraId="52E72FF8" w14:textId="068B205B" w:rsidR="002435CD" w:rsidRPr="00EA4C9B" w:rsidRDefault="002435CD" w:rsidP="007F7FE6">
      <w:pPr>
        <w:pStyle w:val="Footnotes"/>
      </w:pPr>
      <w:r w:rsidRPr="00EA4C9B">
        <w:rPr>
          <w:rStyle w:val="FootnoteReference"/>
        </w:rPr>
        <w:footnoteRef/>
      </w:r>
      <w:r w:rsidRPr="00EA4C9B">
        <w:t xml:space="preserve"> </w:t>
      </w:r>
      <w:r w:rsidR="00A27207">
        <w:tab/>
      </w:r>
      <w:hyperlink r:id="rId534" w:history="1">
        <w:r w:rsidR="00A27207" w:rsidRPr="00EC31B9">
          <w:rPr>
            <w:rStyle w:val="Hyperlink"/>
          </w:rPr>
          <w:t>https://task36.ieabioenergy.com/news/swedish-waste-incineration-tax-abolished/</w:t>
        </w:r>
      </w:hyperlink>
      <w:r w:rsidRPr="00EA4C9B">
        <w:t xml:space="preserve"> </w:t>
      </w:r>
    </w:p>
  </w:footnote>
  <w:footnote w:id="866">
    <w:p w14:paraId="0A282014" w14:textId="22650A2B" w:rsidR="002435CD" w:rsidRPr="00EA4C9B" w:rsidRDefault="002435CD" w:rsidP="007F7FE6">
      <w:pPr>
        <w:pStyle w:val="Footnotes"/>
      </w:pPr>
      <w:r w:rsidRPr="00EA4C9B">
        <w:rPr>
          <w:rStyle w:val="FootnoteReference"/>
        </w:rPr>
        <w:footnoteRef/>
      </w:r>
      <w:r w:rsidRPr="00EA4C9B">
        <w:t xml:space="preserve"> </w:t>
      </w:r>
      <w:r w:rsidR="00A27207">
        <w:tab/>
      </w:r>
      <w:hyperlink r:id="rId535" w:history="1">
        <w:r w:rsidRPr="007F7FE6">
          <w:rPr>
            <w:color w:val="0000FF"/>
            <w:u w:val="single"/>
          </w:rPr>
          <w:t>Swedish Waste Incineration Tax Abolished | Task 36</w:t>
        </w:r>
      </w:hyperlink>
    </w:p>
  </w:footnote>
  <w:footnote w:id="867">
    <w:p w14:paraId="406350B8" w14:textId="2F5586CA" w:rsidR="002435CD" w:rsidRPr="00EA4C9B" w:rsidRDefault="002435CD" w:rsidP="007F7FE6">
      <w:pPr>
        <w:pStyle w:val="Footnotes"/>
      </w:pPr>
      <w:r w:rsidRPr="00EA4C9B">
        <w:rPr>
          <w:rStyle w:val="FootnoteReference"/>
        </w:rPr>
        <w:footnoteRef/>
      </w:r>
      <w:r w:rsidRPr="00EA4C9B">
        <w:t xml:space="preserve"> </w:t>
      </w:r>
      <w:r w:rsidR="00C06DAD">
        <w:tab/>
      </w:r>
      <w:hyperlink r:id="rId536" w:anchor="/tax-details?taxId=513&amp;versionDate=1735686000&amp;isEuro=false&amp;taxType=OTHER_INDIRECT" w:history="1">
        <w:r w:rsidRPr="007F7FE6">
          <w:rPr>
            <w:color w:val="0000FF"/>
            <w:u w:val="single"/>
          </w:rPr>
          <w:t>Taxes in Europe Database v4 - Indirect taxes - Other Indirect -</w:t>
        </w:r>
      </w:hyperlink>
    </w:p>
  </w:footnote>
  <w:footnote w:id="868">
    <w:p w14:paraId="3D1C7830" w14:textId="7F20CF3E" w:rsidR="002435CD" w:rsidRPr="008945E2" w:rsidRDefault="002435CD" w:rsidP="007F7FE6">
      <w:pPr>
        <w:pStyle w:val="Footnotes"/>
        <w:rPr>
          <w:lang w:val="sv-SE"/>
        </w:rPr>
      </w:pPr>
      <w:r w:rsidRPr="00EA4C9B">
        <w:rPr>
          <w:rStyle w:val="FootnoteReference"/>
        </w:rPr>
        <w:footnoteRef/>
      </w:r>
      <w:r w:rsidRPr="008945E2">
        <w:rPr>
          <w:lang w:val="sv-SE"/>
        </w:rPr>
        <w:t xml:space="preserve"> </w:t>
      </w:r>
      <w:r w:rsidR="00C06DAD" w:rsidRPr="008945E2">
        <w:rPr>
          <w:lang w:val="sv-SE"/>
        </w:rPr>
        <w:tab/>
      </w:r>
      <w:hyperlink r:id="rId537" w:anchor="section1-6" w:history="1">
        <w:r w:rsidRPr="008945E2">
          <w:rPr>
            <w:color w:val="0000FF"/>
            <w:u w:val="single"/>
            <w:lang w:val="sv-SE"/>
          </w:rPr>
          <w:t>Lag (1995:1667) om skatt på naturgrus | Rättslig vägledning | Skatteverket</w:t>
        </w:r>
      </w:hyperlink>
    </w:p>
  </w:footnote>
  <w:footnote w:id="869">
    <w:p w14:paraId="083B9F02" w14:textId="28BB71E4" w:rsidR="002435CD" w:rsidRPr="00EA4C9B" w:rsidRDefault="002435CD" w:rsidP="006F0F97">
      <w:pPr>
        <w:pStyle w:val="Footnotes"/>
      </w:pPr>
      <w:r w:rsidRPr="00EA4C9B">
        <w:rPr>
          <w:rStyle w:val="FootnoteReference"/>
        </w:rPr>
        <w:footnoteRef/>
      </w:r>
      <w:r w:rsidRPr="00EA4C9B">
        <w:t xml:space="preserve"> </w:t>
      </w:r>
      <w:r w:rsidR="00C06DAD">
        <w:tab/>
      </w:r>
      <w:hyperlink r:id="rId538" w:anchor="section1-7" w:history="1">
        <w:r w:rsidRPr="006F0F97">
          <w:rPr>
            <w:color w:val="0000FF"/>
            <w:u w:val="single"/>
          </w:rPr>
          <w:t>Act (1995:1667) on tax on natural gravel | Legal guidance | Tax</w:t>
        </w:r>
      </w:hyperlink>
    </w:p>
  </w:footnote>
  <w:footnote w:id="870">
    <w:p w14:paraId="724FD3D5" w14:textId="3A0CEEC0" w:rsidR="002435CD" w:rsidRPr="00EA4C9B" w:rsidRDefault="002435CD" w:rsidP="006F0F97">
      <w:pPr>
        <w:pStyle w:val="Footnotes"/>
      </w:pPr>
      <w:r w:rsidRPr="00EA4C9B">
        <w:rPr>
          <w:rStyle w:val="FootnoteReference"/>
        </w:rPr>
        <w:footnoteRef/>
      </w:r>
      <w:r w:rsidRPr="00EA4C9B">
        <w:t xml:space="preserve"> </w:t>
      </w:r>
      <w:r w:rsidR="00C06DAD">
        <w:tab/>
      </w:r>
      <w:r w:rsidRPr="00EA4C9B">
        <w:t xml:space="preserve">OECD 2024, Policy Instruments for the Environment (PINE) Database, </w:t>
      </w:r>
      <w:r w:rsidRPr="00EA4C9B">
        <w:rPr>
          <w:rStyle w:val="Hyperlink"/>
        </w:rPr>
        <w:t>http://oe.cd/pinedatabase</w:t>
      </w:r>
      <w:r w:rsidRPr="00EA4C9B">
        <w:t>, July 2024 version</w:t>
      </w:r>
    </w:p>
  </w:footnote>
  <w:footnote w:id="871">
    <w:p w14:paraId="7B7E96D9" w14:textId="1D301B10" w:rsidR="002435CD" w:rsidRPr="00EA4C9B" w:rsidRDefault="002435CD" w:rsidP="006F0F97">
      <w:pPr>
        <w:pStyle w:val="Footnotes"/>
      </w:pPr>
      <w:r w:rsidRPr="00EA4C9B">
        <w:rPr>
          <w:rStyle w:val="FootnoteReference"/>
        </w:rPr>
        <w:footnoteRef/>
      </w:r>
      <w:r w:rsidRPr="00EA4C9B">
        <w:t xml:space="preserve"> </w:t>
      </w:r>
      <w:r w:rsidR="00C06DAD">
        <w:tab/>
      </w:r>
      <w:hyperlink r:id="rId539" w:history="1">
        <w:r w:rsidRPr="00EA4C9B">
          <w:rPr>
            <w:rStyle w:val="Hyperlink"/>
          </w:rPr>
          <w:t>Producers responsibility for batteries</w:t>
        </w:r>
      </w:hyperlink>
    </w:p>
  </w:footnote>
  <w:footnote w:id="872">
    <w:p w14:paraId="426E086E" w14:textId="598AEA16" w:rsidR="002435CD" w:rsidRPr="00EA4C9B" w:rsidRDefault="002435CD" w:rsidP="006F0F97">
      <w:pPr>
        <w:pStyle w:val="Footnotes"/>
      </w:pPr>
      <w:r w:rsidRPr="00EA4C9B">
        <w:rPr>
          <w:rStyle w:val="FootnoteReference"/>
        </w:rPr>
        <w:footnoteRef/>
      </w:r>
      <w:r w:rsidRPr="00EA4C9B">
        <w:t xml:space="preserve"> </w:t>
      </w:r>
      <w:r w:rsidR="00C06DAD">
        <w:tab/>
      </w:r>
      <w:hyperlink r:id="rId540" w:anchor="E-1890501243" w:history="1">
        <w:r w:rsidRPr="006F0F97">
          <w:rPr>
            <w:color w:val="0000FF"/>
            <w:u w:val="single"/>
          </w:rPr>
          <w:t>Producers responsibility for batteries</w:t>
        </w:r>
      </w:hyperlink>
    </w:p>
  </w:footnote>
  <w:footnote w:id="873">
    <w:p w14:paraId="124638B5" w14:textId="41432D73" w:rsidR="002435CD" w:rsidRPr="00EA4C9B" w:rsidRDefault="002435CD" w:rsidP="006F0F97">
      <w:pPr>
        <w:pStyle w:val="Footnotes"/>
      </w:pPr>
      <w:r w:rsidRPr="00EA4C9B">
        <w:rPr>
          <w:rStyle w:val="FootnoteReference"/>
        </w:rPr>
        <w:footnoteRef/>
      </w:r>
      <w:r w:rsidRPr="00EA4C9B">
        <w:t xml:space="preserve"> </w:t>
      </w:r>
      <w:r w:rsidR="00C06DAD">
        <w:tab/>
      </w:r>
      <w:hyperlink r:id="rId541" w:anchor="E-1890501243" w:history="1">
        <w:r w:rsidRPr="006F0F97">
          <w:rPr>
            <w:color w:val="0000FF"/>
            <w:u w:val="single"/>
          </w:rPr>
          <w:t>Producers responsibility for batteries</w:t>
        </w:r>
      </w:hyperlink>
    </w:p>
  </w:footnote>
  <w:footnote w:id="874">
    <w:p w14:paraId="2AFA3BF1" w14:textId="49337E5A" w:rsidR="002435CD" w:rsidRPr="00EA4C9B" w:rsidRDefault="002435CD" w:rsidP="006F0F97">
      <w:pPr>
        <w:pStyle w:val="Footnotes"/>
      </w:pPr>
      <w:r w:rsidRPr="00EA4C9B">
        <w:rPr>
          <w:rStyle w:val="FootnoteReference"/>
        </w:rPr>
        <w:footnoteRef/>
      </w:r>
      <w:r w:rsidRPr="00EA4C9B">
        <w:t xml:space="preserve"> </w:t>
      </w:r>
      <w:r w:rsidR="00C06DAD">
        <w:tab/>
      </w:r>
      <w:hyperlink r:id="rId542" w:anchor="/tax-details?taxId=512&amp;versionDate=1735686000&amp;isEuro=false&amp;taxType=OTHER_INDIRECT" w:history="1">
        <w:r w:rsidRPr="006F0F97">
          <w:rPr>
            <w:color w:val="0000FF"/>
            <w:u w:val="single"/>
          </w:rPr>
          <w:t>Taxes in Europe Database v4 - Indirect taxes - Other Indirect -</w:t>
        </w:r>
      </w:hyperlink>
    </w:p>
  </w:footnote>
  <w:footnote w:id="875">
    <w:p w14:paraId="5CDA4B44" w14:textId="578319E9" w:rsidR="002435CD" w:rsidRPr="004F0767" w:rsidRDefault="002435CD" w:rsidP="006F0F97">
      <w:pPr>
        <w:pStyle w:val="Footnotes"/>
        <w:rPr>
          <w:lang w:val="it-IT"/>
        </w:rPr>
      </w:pPr>
      <w:r w:rsidRPr="00EA4C9B">
        <w:rPr>
          <w:rStyle w:val="FootnoteReference"/>
        </w:rPr>
        <w:footnoteRef/>
      </w:r>
      <w:r w:rsidRPr="004F0767">
        <w:rPr>
          <w:lang w:val="it-IT"/>
        </w:rPr>
        <w:t xml:space="preserve"> </w:t>
      </w:r>
      <w:r w:rsidR="00C06DAD" w:rsidRPr="004F0767">
        <w:rPr>
          <w:lang w:val="it-IT"/>
        </w:rPr>
        <w:tab/>
      </w:r>
      <w:hyperlink r:id="rId543" w:history="1">
        <w:r w:rsidRPr="004F0767">
          <w:rPr>
            <w:color w:val="0000FF"/>
            <w:u w:val="single"/>
            <w:lang w:val="it-IT"/>
          </w:rPr>
          <w:t>SE-NOx-SO2-Tax-final.pdf</w:t>
        </w:r>
      </w:hyperlink>
    </w:p>
  </w:footnote>
  <w:footnote w:id="876">
    <w:p w14:paraId="3D864AD1" w14:textId="5B85E9F7" w:rsidR="002435CD" w:rsidRPr="00EA4C9B" w:rsidRDefault="002435CD" w:rsidP="006F0F97">
      <w:pPr>
        <w:pStyle w:val="Footnotes"/>
      </w:pPr>
      <w:r w:rsidRPr="00EA4C9B">
        <w:rPr>
          <w:rStyle w:val="FootnoteReference"/>
        </w:rPr>
        <w:footnoteRef/>
      </w:r>
      <w:r w:rsidRPr="006F0F97">
        <w:t xml:space="preserve"> </w:t>
      </w:r>
      <w:r w:rsidR="00C06DAD">
        <w:tab/>
      </w:r>
      <w:r w:rsidR="007F1F7C">
        <w:t>I</w:t>
      </w:r>
      <w:r w:rsidRPr="006F0F97">
        <w:t>bid</w:t>
      </w:r>
    </w:p>
  </w:footnote>
  <w:footnote w:id="877">
    <w:p w14:paraId="63F108F8" w14:textId="4C4CF6BF" w:rsidR="002435CD" w:rsidRPr="00EA4C9B" w:rsidRDefault="002435CD" w:rsidP="00C06DAD">
      <w:pPr>
        <w:pStyle w:val="Footnotes"/>
        <w:jc w:val="left"/>
      </w:pPr>
      <w:r w:rsidRPr="00EA4C9B">
        <w:rPr>
          <w:rStyle w:val="FootnoteReference"/>
        </w:rPr>
        <w:footnoteRef/>
      </w:r>
      <w:r w:rsidR="00C06DAD">
        <w:t xml:space="preserve"> </w:t>
      </w:r>
      <w:r w:rsidR="00C06DAD">
        <w:tab/>
      </w:r>
      <w:r w:rsidR="00A000BA" w:rsidRPr="00A000BA">
        <w:t>https://www.regeringen.se/pressmeddelanden/2023/09/plastpaseskatten-ska-avskaffas/?</w:t>
      </w:r>
    </w:p>
  </w:footnote>
  <w:footnote w:id="878">
    <w:p w14:paraId="30F1F227" w14:textId="69C3BEFA" w:rsidR="002435CD" w:rsidRPr="00EA4C9B" w:rsidRDefault="002435CD" w:rsidP="006F0F97">
      <w:pPr>
        <w:pStyle w:val="Footnotes"/>
      </w:pPr>
      <w:r w:rsidRPr="00EA4C9B">
        <w:rPr>
          <w:rStyle w:val="FootnoteReference"/>
        </w:rPr>
        <w:footnoteRef/>
      </w:r>
      <w:r w:rsidRPr="00EA4C9B">
        <w:t xml:space="preserve"> </w:t>
      </w:r>
      <w:r w:rsidR="00C06DAD">
        <w:tab/>
      </w:r>
      <w:r w:rsidR="00A000BA" w:rsidRPr="00A000BA">
        <w:t>https://www.naturvardsverket.se/data-och-statistik/plast/plastbarkassar/?</w:t>
      </w:r>
    </w:p>
  </w:footnote>
  <w:footnote w:id="879">
    <w:p w14:paraId="4CE396C3" w14:textId="28AEBD7B" w:rsidR="002435CD" w:rsidRPr="00EA4C9B" w:rsidRDefault="002435CD" w:rsidP="006F0F97">
      <w:pPr>
        <w:pStyle w:val="Footnotes"/>
      </w:pPr>
      <w:r w:rsidRPr="00EA4C9B">
        <w:rPr>
          <w:rStyle w:val="FootnoteReference"/>
        </w:rPr>
        <w:footnoteRef/>
      </w:r>
      <w:r w:rsidRPr="00EA4C9B">
        <w:t xml:space="preserve"> </w:t>
      </w:r>
      <w:r w:rsidR="00C06DAD">
        <w:tab/>
      </w:r>
      <w:hyperlink r:id="rId544" w:history="1">
        <w:r w:rsidRPr="00EA4C9B">
          <w:rPr>
            <w:rStyle w:val="Hyperlink"/>
          </w:rPr>
          <w:t>Policy Instruments for the Environment (PINE) Database | OECD</w:t>
        </w:r>
      </w:hyperlink>
    </w:p>
  </w:footnote>
  <w:footnote w:id="880">
    <w:p w14:paraId="521B9373" w14:textId="0B658A6E" w:rsidR="002435CD" w:rsidRPr="00EA4C9B" w:rsidRDefault="002435CD" w:rsidP="00C06DAD">
      <w:pPr>
        <w:pStyle w:val="Footnotes"/>
        <w:jc w:val="left"/>
      </w:pPr>
      <w:r w:rsidRPr="00EA4C9B">
        <w:rPr>
          <w:rStyle w:val="FootnoteReference"/>
        </w:rPr>
        <w:footnoteRef/>
      </w:r>
      <w:r w:rsidR="00C06DAD">
        <w:t xml:space="preserve"> </w:t>
      </w:r>
      <w:r w:rsidR="00C06DAD">
        <w:tab/>
      </w:r>
      <w:hyperlink r:id="rId545" w:anchor=":~:text=Technically%2C%20taxes%20are%20collected%20by,the%20basis%20of%20each%20tax" w:history="1">
        <w:r w:rsidR="007F1F7C" w:rsidRPr="00EB5FC0">
          <w:rPr>
            <w:rStyle w:val="Hyperlink"/>
          </w:rPr>
          <w:t>https://portal.cor.europa.eu/divisionpowers/Pages/Sweden-Fiscal-Powers.aspx#:~:text=Technically%2C%20taxes%20are%20collected%20by,the%20basis%20of%20each%20tax</w:t>
        </w:r>
      </w:hyperlink>
    </w:p>
  </w:footnote>
  <w:footnote w:id="881">
    <w:p w14:paraId="06F4901A" w14:textId="57B78B06" w:rsidR="002435CD" w:rsidRPr="00EA4C9B" w:rsidRDefault="002435CD" w:rsidP="006F0F97">
      <w:pPr>
        <w:pStyle w:val="Footnotes"/>
      </w:pPr>
      <w:r w:rsidRPr="00EA4C9B">
        <w:rPr>
          <w:rStyle w:val="FootnoteReference"/>
        </w:rPr>
        <w:footnoteRef/>
      </w:r>
      <w:r w:rsidRPr="00EA4C9B">
        <w:t xml:space="preserve"> </w:t>
      </w:r>
      <w:r w:rsidR="00C06DAD">
        <w:tab/>
      </w:r>
      <w:hyperlink r:id="rId546" w:history="1">
        <w:r w:rsidR="00C06DAD" w:rsidRPr="00EC31B9">
          <w:rPr>
            <w:rStyle w:val="Hyperlink"/>
          </w:rPr>
          <w:t>https://start.stockholm/en/about-the-city-of-stockholm/how-the-tax-money-is-used/municipal-tax/</w:t>
        </w:r>
      </w:hyperlink>
      <w:r w:rsidRPr="00EA4C9B">
        <w:t xml:space="preserve"> </w:t>
      </w:r>
    </w:p>
  </w:footnote>
  <w:footnote w:id="882">
    <w:p w14:paraId="6F48E971" w14:textId="375D4B75" w:rsidR="002435CD" w:rsidRPr="00EA4C9B" w:rsidRDefault="002435CD" w:rsidP="006F0F97">
      <w:pPr>
        <w:pStyle w:val="Footnotes"/>
      </w:pPr>
      <w:r w:rsidRPr="00EA4C9B">
        <w:rPr>
          <w:rStyle w:val="FootnoteReference"/>
        </w:rPr>
        <w:footnoteRef/>
      </w:r>
      <w:r w:rsidRPr="00EA4C9B">
        <w:t xml:space="preserve"> </w:t>
      </w:r>
      <w:r w:rsidR="00C06DAD">
        <w:tab/>
      </w:r>
      <w:hyperlink r:id="rId547" w:history="1">
        <w:r w:rsidRPr="006F0F97">
          <w:rPr>
            <w:color w:val="0000FF"/>
            <w:u w:val="single"/>
          </w:rPr>
          <w:t>Study on assessing the environmental fiscal reform potential for the EU28 - Publications Office of the EU</w:t>
        </w:r>
      </w:hyperlink>
    </w:p>
  </w:footnote>
  <w:footnote w:id="883">
    <w:p w14:paraId="5B309680" w14:textId="11249F06" w:rsidR="002435CD" w:rsidRPr="00EA4C9B" w:rsidRDefault="002435CD" w:rsidP="00736CF0">
      <w:pPr>
        <w:pStyle w:val="Footnotes"/>
      </w:pPr>
      <w:r w:rsidRPr="00EA4C9B">
        <w:rPr>
          <w:rStyle w:val="FootnoteReference"/>
        </w:rPr>
        <w:footnoteRef/>
      </w:r>
      <w:r w:rsidRPr="00EA4C9B">
        <w:t xml:space="preserve"> </w:t>
      </w:r>
      <w:r w:rsidR="00C06DAD">
        <w:tab/>
      </w:r>
      <w:hyperlink r:id="rId548" w:history="1">
        <w:r w:rsidRPr="00736CF0">
          <w:rPr>
            <w:color w:val="0000FF"/>
            <w:u w:val="single"/>
          </w:rPr>
          <w:t>Statement of Government Policy 2019</w:t>
        </w:r>
      </w:hyperlink>
    </w:p>
  </w:footnote>
  <w:footnote w:id="884">
    <w:p w14:paraId="720A8F7A" w14:textId="280F4E77" w:rsidR="002435CD" w:rsidRPr="00EA4C9B" w:rsidRDefault="002435CD" w:rsidP="007F1F7C">
      <w:pPr>
        <w:pStyle w:val="Footnotes"/>
      </w:pPr>
      <w:r w:rsidRPr="00EA4C9B">
        <w:rPr>
          <w:rStyle w:val="FootnoteReference"/>
        </w:rPr>
        <w:footnoteRef/>
      </w:r>
      <w:r w:rsidRPr="00EA4C9B">
        <w:t xml:space="preserve"> </w:t>
      </w:r>
      <w:r w:rsidR="00C06DAD">
        <w:tab/>
      </w:r>
      <w:hyperlink r:id="rId549" w:history="1">
        <w:r w:rsidRPr="007F1F7C">
          <w:rPr>
            <w:color w:val="0000FF"/>
            <w:u w:val="single"/>
          </w:rPr>
          <w:t>2025 European Semester: Country Reports - European Commission</w:t>
        </w:r>
      </w:hyperlink>
    </w:p>
  </w:footnote>
  <w:footnote w:id="885">
    <w:p w14:paraId="1A2F3981" w14:textId="6E41E992" w:rsidR="002435CD" w:rsidRPr="00EA4C9B" w:rsidRDefault="002435CD" w:rsidP="007F1F7C">
      <w:pPr>
        <w:pStyle w:val="Footnotes"/>
      </w:pPr>
      <w:r w:rsidRPr="00EA4C9B">
        <w:rPr>
          <w:rStyle w:val="FootnoteReference"/>
        </w:rPr>
        <w:footnoteRef/>
      </w:r>
      <w:r w:rsidRPr="007F1F7C">
        <w:t xml:space="preserve"> </w:t>
      </w:r>
      <w:r w:rsidR="00C06DAD">
        <w:tab/>
      </w:r>
      <w:r w:rsidR="007F1F7C">
        <w:t>I</w:t>
      </w:r>
      <w:r w:rsidRPr="007F1F7C">
        <w:t>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2A102" w14:textId="7550A629" w:rsidR="00722973" w:rsidRDefault="00703CB0">
    <w:pPr>
      <w:pStyle w:val="Header"/>
    </w:pPr>
    <w:r>
      <w:rPr>
        <w:noProof/>
      </w:rPr>
      <w:pict w14:anchorId="320378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431967" o:spid="_x0000_s1039" type="#_x0000_t136" alt="" style="position:absolute;left:0;text-align:left;margin-left:0;margin-top:0;width:442.55pt;height:193.6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160E" w14:textId="2400D92A" w:rsidR="00722973" w:rsidRDefault="00703CB0">
    <w:pPr>
      <w:pStyle w:val="Header"/>
    </w:pPr>
    <w:r>
      <w:rPr>
        <w:noProof/>
      </w:rPr>
      <w:pict w14:anchorId="4F97E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431976" o:spid="_x0000_s1030" type="#_x0000_t136" alt="" style="position:absolute;left:0;text-align:left;margin-left:0;margin-top:0;width:442.55pt;height:193.6pt;rotation:315;z-index:-2516142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1D75" w14:textId="1C463499" w:rsidR="00722973" w:rsidRDefault="00703CB0">
    <w:pPr>
      <w:pStyle w:val="Header"/>
    </w:pPr>
    <w:r>
      <w:rPr>
        <w:noProof/>
      </w:rPr>
      <w:pict w14:anchorId="4C5C81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431977" o:spid="_x0000_s1029" type="#_x0000_t136" alt="" style="position:absolute;left:0;text-align:left;margin-left:0;margin-top:0;width:442.55pt;height:193.6pt;rotation:315;z-index:-25161011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37AC0" w14:textId="1344FB39" w:rsidR="00722973" w:rsidRDefault="00703CB0">
    <w:pPr>
      <w:pStyle w:val="Header"/>
    </w:pPr>
    <w:r>
      <w:rPr>
        <w:noProof/>
      </w:rPr>
      <w:pict w14:anchorId="586679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431975" o:spid="_x0000_s1028" type="#_x0000_t136" alt="" style="position:absolute;left:0;text-align:left;margin-left:0;margin-top:0;width:442.55pt;height:193.6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EA503" w14:textId="4C4C0E31" w:rsidR="00722973" w:rsidRDefault="00703CB0">
    <w:pPr>
      <w:pStyle w:val="Header"/>
    </w:pPr>
    <w:r>
      <w:rPr>
        <w:noProof/>
      </w:rPr>
      <w:pict w14:anchorId="1CC958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431979" o:spid="_x0000_s1027" type="#_x0000_t136" alt="" style="position:absolute;left:0;text-align:left;margin-left:0;margin-top:0;width:442.55pt;height:193.6pt;rotation:315;z-index:-2516019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7FB22" w14:textId="18CBD6C7" w:rsidR="00722973" w:rsidRDefault="00703CB0">
    <w:pPr>
      <w:pStyle w:val="Header"/>
    </w:pPr>
    <w:r>
      <w:rPr>
        <w:noProof/>
      </w:rPr>
      <w:pict w14:anchorId="5EFB61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431980" o:spid="_x0000_s1026" type="#_x0000_t136" alt="" style="position:absolute;left:0;text-align:left;margin-left:0;margin-top:0;width:442.55pt;height:193.6pt;rotation:315;z-index:-2515978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76E86" w14:textId="72E51F6D" w:rsidR="00722973" w:rsidRDefault="00703CB0">
    <w:pPr>
      <w:pStyle w:val="Header"/>
    </w:pPr>
    <w:r>
      <w:rPr>
        <w:noProof/>
      </w:rPr>
      <w:pict w14:anchorId="5AF39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431978" o:spid="_x0000_s1025" type="#_x0000_t136" alt="" style="position:absolute;left:0;text-align:left;margin-left:0;margin-top:0;width:442.55pt;height:193.6pt;rotation:315;z-index:-2516060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6EAB7" w14:textId="3851CAF5" w:rsidR="00722973" w:rsidRDefault="00703CB0">
    <w:pPr>
      <w:pStyle w:val="Header"/>
    </w:pPr>
    <w:r>
      <w:rPr>
        <w:noProof/>
      </w:rPr>
      <w:pict w14:anchorId="34E3D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431968" o:spid="_x0000_s1038" type="#_x0000_t136" alt="" style="position:absolute;left:0;text-align:left;margin-left:0;margin-top:0;width:442.55pt;height:193.6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8B2AB" w14:textId="0B2994C4" w:rsidR="00722973" w:rsidRDefault="00703CB0">
    <w:pPr>
      <w:pStyle w:val="Header"/>
    </w:pPr>
    <w:r>
      <w:rPr>
        <w:noProof/>
      </w:rPr>
      <w:pict w14:anchorId="553CC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431966" o:spid="_x0000_s1037" type="#_x0000_t136" alt="" style="position:absolute;left:0;text-align:left;margin-left:0;margin-top:0;width:442.55pt;height:193.6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2F64F" w14:textId="60376FF6" w:rsidR="00722973" w:rsidRDefault="00703CB0">
    <w:pPr>
      <w:pStyle w:val="Header"/>
    </w:pPr>
    <w:r>
      <w:rPr>
        <w:noProof/>
      </w:rPr>
      <w:pict w14:anchorId="49CF0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431970" o:spid="_x0000_s1036" type="#_x0000_t136" alt="" style="position:absolute;left:0;text-align:left;margin-left:0;margin-top:0;width:442.55pt;height:193.6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19995" w14:textId="5995253F" w:rsidR="00722973" w:rsidRDefault="00703CB0">
    <w:pPr>
      <w:pStyle w:val="Header"/>
    </w:pPr>
    <w:r>
      <w:rPr>
        <w:noProof/>
      </w:rPr>
      <w:pict w14:anchorId="49C2D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431971" o:spid="_x0000_s1035" type="#_x0000_t136" alt="" style="position:absolute;left:0;text-align:left;margin-left:0;margin-top:0;width:442.55pt;height:193.6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750DA" w14:textId="7C5915DA" w:rsidR="00722973" w:rsidRDefault="00703CB0">
    <w:pPr>
      <w:pStyle w:val="Header"/>
    </w:pPr>
    <w:r>
      <w:rPr>
        <w:noProof/>
      </w:rPr>
      <w:pict w14:anchorId="00A84C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431969" o:spid="_x0000_s1034" type="#_x0000_t136" alt="" style="position:absolute;left:0;text-align:left;margin-left:0;margin-top:0;width:442.55pt;height:193.6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C8D83" w14:textId="72F8BAB5" w:rsidR="00722973" w:rsidRDefault="00703CB0">
    <w:pPr>
      <w:pStyle w:val="Header"/>
    </w:pPr>
    <w:r>
      <w:rPr>
        <w:noProof/>
      </w:rPr>
      <w:pict w14:anchorId="4B1FA6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431973" o:spid="_x0000_s1033" type="#_x0000_t136" alt="" style="position:absolute;left:0;text-align:left;margin-left:0;margin-top:0;width:442.55pt;height:193.6pt;rotation:315;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C8E2F" w14:textId="1AB5A8D8" w:rsidR="00722973" w:rsidRDefault="00703CB0">
    <w:pPr>
      <w:pStyle w:val="Header"/>
    </w:pPr>
    <w:r>
      <w:rPr>
        <w:noProof/>
      </w:rPr>
      <w:pict w14:anchorId="461B13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431974" o:spid="_x0000_s1032" type="#_x0000_t136" alt="" style="position:absolute;left:0;text-align:left;margin-left:0;margin-top:0;width:442.55pt;height:193.6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EB8B6" w14:textId="7BA13733" w:rsidR="00722973" w:rsidRDefault="00703CB0">
    <w:pPr>
      <w:pStyle w:val="Header"/>
    </w:pPr>
    <w:r>
      <w:rPr>
        <w:noProof/>
      </w:rPr>
      <w:pict w14:anchorId="72CF91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431972" o:spid="_x0000_s1031" type="#_x0000_t136" alt="" style="position:absolute;left:0;text-align:left;margin-left:0;margin-top:0;width:442.55pt;height:193.6pt;rotation:315;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intelligence2.xml><?xml version="1.0" encoding="utf-8"?>
<int2:intelligence xmlns:int2="http://schemas.microsoft.com/office/intelligence/2020/intelligence" xmlns:oel="http://schemas.microsoft.com/office/2019/extlst">
  <int2:observations>
    <int2:bookmark int2:bookmarkName="_Int_zke6sqDv" int2:invalidationBookmarkName="" int2:hashCode="e0dMsLOcF3PXGS" int2:id="58sX5UpL">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C6225EC"/>
    <w:lvl w:ilvl="0">
      <w:start w:val="1"/>
      <w:numFmt w:val="decimal"/>
      <w:lvlText w:val="%1."/>
      <w:lvlJc w:val="left"/>
      <w:pPr>
        <w:tabs>
          <w:tab w:val="num" w:pos="360"/>
        </w:tabs>
        <w:ind w:left="360" w:hanging="360"/>
      </w:pPr>
    </w:lvl>
  </w:abstractNum>
  <w:abstractNum w:abstractNumId="1" w15:restartNumberingAfterBreak="0">
    <w:nsid w:val="02676AA0"/>
    <w:multiLevelType w:val="hybridMultilevel"/>
    <w:tmpl w:val="34EA47C0"/>
    <w:lvl w:ilvl="0" w:tplc="F70C4F96">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E2E62"/>
    <w:multiLevelType w:val="multilevel"/>
    <w:tmpl w:val="4D96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101350"/>
    <w:multiLevelType w:val="multilevel"/>
    <w:tmpl w:val="79148FE6"/>
    <w:lvl w:ilvl="0">
      <w:start w:val="1"/>
      <w:numFmt w:val="bullet"/>
      <w:pStyle w:val="Bulletlist"/>
      <w:lvlText w:val=""/>
      <w:lvlJc w:val="left"/>
      <w:pPr>
        <w:ind w:left="360" w:hanging="360"/>
      </w:pPr>
      <w:rPr>
        <w:rFonts w:ascii="Symbol" w:hAnsi="Symbol" w:hint="default"/>
        <w:sz w:val="20"/>
      </w:rPr>
    </w:lvl>
    <w:lvl w:ilvl="1">
      <w:start w:val="1"/>
      <w:numFmt w:val="bullet"/>
      <w:pStyle w:val="Bulletlist2"/>
      <w:lvlText w:val=""/>
      <w:lvlJc w:val="left"/>
      <w:pPr>
        <w:ind w:left="720" w:hanging="360"/>
      </w:pPr>
      <w:rPr>
        <w:rFonts w:ascii="Symbol" w:hAnsi="Symbol" w:hint="default"/>
        <w:color w:val="auto"/>
      </w:rPr>
    </w:lvl>
    <w:lvl w:ilvl="2">
      <w:start w:val="1"/>
      <w:numFmt w:val="none"/>
      <w:lvlText w:val=""/>
      <w:lvlJc w:val="left"/>
      <w:pPr>
        <w:ind w:left="1080" w:hanging="108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16B37566"/>
    <w:multiLevelType w:val="hybridMultilevel"/>
    <w:tmpl w:val="23E8C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C60FCE"/>
    <w:multiLevelType w:val="hybridMultilevel"/>
    <w:tmpl w:val="204EB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1B25E4"/>
    <w:multiLevelType w:val="hybridMultilevel"/>
    <w:tmpl w:val="9842A756"/>
    <w:lvl w:ilvl="0" w:tplc="3BACA88E">
      <w:start w:val="1"/>
      <w:numFmt w:val="decimal"/>
      <w:pStyle w:val="ListNumb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5349F8"/>
    <w:multiLevelType w:val="hybridMultilevel"/>
    <w:tmpl w:val="F030E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157354"/>
    <w:multiLevelType w:val="hybridMultilevel"/>
    <w:tmpl w:val="3A5A1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8284F"/>
    <w:multiLevelType w:val="multilevel"/>
    <w:tmpl w:val="EC28650E"/>
    <w:lvl w:ilvl="0">
      <w:start w:val="6"/>
      <w:numFmt w:val="decimal"/>
      <w:lvlText w:val="Annex %1"/>
      <w:lvlJc w:val="left"/>
      <w:pPr>
        <w:ind w:left="2487" w:hanging="360"/>
      </w:pPr>
      <w:rPr>
        <w:rFonts w:hint="default"/>
      </w:rPr>
    </w:lvl>
    <w:lvl w:ilvl="1">
      <w:start w:val="1"/>
      <w:numFmt w:val="decimal"/>
      <w:pStyle w:val="AnnexHeading1"/>
      <w:lvlText w:val="A%1.%2"/>
      <w:lvlJc w:val="left"/>
      <w:pPr>
        <w:ind w:left="1211" w:hanging="360"/>
      </w:pPr>
      <w:rPr>
        <w:rFonts w:hint="default"/>
      </w:rPr>
    </w:lvl>
    <w:lvl w:ilvl="2">
      <w:start w:val="1"/>
      <w:numFmt w:val="decimal"/>
      <w:pStyle w:val="AnnexHeading2"/>
      <w:lvlText w:val="A%1.%2.%3"/>
      <w:lvlJc w:val="right"/>
      <w:pPr>
        <w:ind w:left="103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10" w15:restartNumberingAfterBreak="0">
    <w:nsid w:val="26CD38E3"/>
    <w:multiLevelType w:val="multilevel"/>
    <w:tmpl w:val="2F2E7A3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713" w:hanging="720"/>
      </w:pPr>
      <w:rPr>
        <w:vertAlign w:val="base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28906149"/>
    <w:multiLevelType w:val="hybridMultilevel"/>
    <w:tmpl w:val="F9EA3D80"/>
    <w:lvl w:ilvl="0" w:tplc="08090001">
      <w:start w:val="1"/>
      <w:numFmt w:val="bullet"/>
      <w:lvlText w:val=""/>
      <w:lvlJc w:val="left"/>
      <w:pPr>
        <w:ind w:left="770" w:hanging="360"/>
      </w:pPr>
      <w:rPr>
        <w:rFonts w:ascii="Symbol" w:hAnsi="Symbol"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2" w15:restartNumberingAfterBreak="0">
    <w:nsid w:val="29B65679"/>
    <w:multiLevelType w:val="hybridMultilevel"/>
    <w:tmpl w:val="3EAEE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217AB5"/>
    <w:multiLevelType w:val="multilevel"/>
    <w:tmpl w:val="6652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7D6146"/>
    <w:multiLevelType w:val="multilevel"/>
    <w:tmpl w:val="10200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0B52A7"/>
    <w:multiLevelType w:val="hybridMultilevel"/>
    <w:tmpl w:val="4CE087F8"/>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6" w15:restartNumberingAfterBreak="0">
    <w:nsid w:val="372723E6"/>
    <w:multiLevelType w:val="hybridMultilevel"/>
    <w:tmpl w:val="DCB81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847F91"/>
    <w:multiLevelType w:val="multilevel"/>
    <w:tmpl w:val="5DEC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7021F3"/>
    <w:multiLevelType w:val="hybridMultilevel"/>
    <w:tmpl w:val="8236E3B6"/>
    <w:lvl w:ilvl="0" w:tplc="4178EC0C">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FC3FBC"/>
    <w:multiLevelType w:val="multilevel"/>
    <w:tmpl w:val="D5583368"/>
    <w:styleLink w:val="CurrentList1"/>
    <w:lvl w:ilvl="0">
      <w:start w:val="6"/>
      <w:numFmt w:val="decimal"/>
      <w:lvlText w:val="Annex %1"/>
      <w:lvlJc w:val="left"/>
      <w:pPr>
        <w:ind w:left="1636" w:hanging="360"/>
      </w:pPr>
      <w:rPr>
        <w:rFonts w:hint="default"/>
      </w:rPr>
    </w:lvl>
    <w:lvl w:ilvl="1">
      <w:start w:val="1"/>
      <w:numFmt w:val="decimal"/>
      <w:lvlText w:val="A%1.%2"/>
      <w:lvlJc w:val="left"/>
      <w:pPr>
        <w:ind w:left="360" w:hanging="360"/>
      </w:pPr>
    </w:lvl>
    <w:lvl w:ilvl="2">
      <w:start w:val="1"/>
      <w:numFmt w:val="decimal"/>
      <w:lvlText w:val="A%1.%2.%3"/>
      <w:lvlJc w:val="right"/>
      <w:pPr>
        <w:ind w:left="180" w:hanging="180"/>
      </w:p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3F3B0C1D"/>
    <w:multiLevelType w:val="hybridMultilevel"/>
    <w:tmpl w:val="DDCA30A2"/>
    <w:lvl w:ilvl="0" w:tplc="A852F5EC">
      <w:numFmt w:val="bullet"/>
      <w:lvlText w:val=""/>
      <w:lvlJc w:val="left"/>
      <w:pPr>
        <w:ind w:left="720" w:hanging="360"/>
      </w:pPr>
      <w:rPr>
        <w:rFonts w:ascii="Symbol" w:eastAsia="Symbol" w:hAnsi="Symbol" w:cs="Symbol" w:hint="default"/>
        <w:b w:val="0"/>
        <w:bCs w:val="0"/>
        <w:i w:val="0"/>
        <w:iCs w:val="0"/>
        <w:spacing w:val="0"/>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0F332A"/>
    <w:multiLevelType w:val="hybridMultilevel"/>
    <w:tmpl w:val="27486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143DDD"/>
    <w:multiLevelType w:val="hybridMultilevel"/>
    <w:tmpl w:val="503C7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7C4C3D"/>
    <w:multiLevelType w:val="multilevel"/>
    <w:tmpl w:val="0B12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D0750C"/>
    <w:multiLevelType w:val="multilevel"/>
    <w:tmpl w:val="52D8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1C0B9A"/>
    <w:multiLevelType w:val="hybridMultilevel"/>
    <w:tmpl w:val="9E605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4D58B5"/>
    <w:multiLevelType w:val="hybridMultilevel"/>
    <w:tmpl w:val="9B7A3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76451B"/>
    <w:multiLevelType w:val="hybridMultilevel"/>
    <w:tmpl w:val="9E222E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22F0DFE"/>
    <w:multiLevelType w:val="hybridMultilevel"/>
    <w:tmpl w:val="621E797E"/>
    <w:lvl w:ilvl="0" w:tplc="08090001">
      <w:start w:val="1"/>
      <w:numFmt w:val="bullet"/>
      <w:lvlText w:val=""/>
      <w:lvlJc w:val="left"/>
      <w:pPr>
        <w:ind w:left="720" w:hanging="360"/>
      </w:pPr>
      <w:rPr>
        <w:rFonts w:ascii="Symbol" w:hAnsi="Symbol" w:hint="default"/>
      </w:rPr>
    </w:lvl>
    <w:lvl w:ilvl="1" w:tplc="49FCA8CE">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1F257B"/>
    <w:multiLevelType w:val="hybridMultilevel"/>
    <w:tmpl w:val="3B26A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132DFA"/>
    <w:multiLevelType w:val="hybridMultilevel"/>
    <w:tmpl w:val="221CF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9C540A"/>
    <w:multiLevelType w:val="hybridMultilevel"/>
    <w:tmpl w:val="B84A8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7B12B3"/>
    <w:multiLevelType w:val="multilevel"/>
    <w:tmpl w:val="AE34AB84"/>
    <w:styleLink w:val="CurrentList2"/>
    <w:lvl w:ilvl="0">
      <w:start w:val="6"/>
      <w:numFmt w:val="decimal"/>
      <w:lvlText w:val="Annex %1"/>
      <w:lvlJc w:val="left"/>
      <w:pPr>
        <w:ind w:left="2487" w:hanging="360"/>
      </w:pPr>
      <w:rPr>
        <w:rFonts w:hint="default"/>
      </w:rPr>
    </w:lvl>
    <w:lvl w:ilvl="1">
      <w:start w:val="1"/>
      <w:numFmt w:val="decimal"/>
      <w:lvlText w:val="A%1.%2"/>
      <w:lvlJc w:val="left"/>
      <w:pPr>
        <w:ind w:left="1211" w:hanging="360"/>
      </w:pPr>
      <w:rPr>
        <w:rFonts w:hint="default"/>
      </w:rPr>
    </w:lvl>
    <w:lvl w:ilvl="2">
      <w:start w:val="3"/>
      <w:numFmt w:val="decimal"/>
      <w:lvlText w:val="A%1.%2.%3"/>
      <w:lvlJc w:val="right"/>
      <w:pPr>
        <w:ind w:left="103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33" w15:restartNumberingAfterBreak="0">
    <w:nsid w:val="5DFD0B88"/>
    <w:multiLevelType w:val="multilevel"/>
    <w:tmpl w:val="3152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9B6D31"/>
    <w:multiLevelType w:val="multilevel"/>
    <w:tmpl w:val="5FB6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9B54E2"/>
    <w:multiLevelType w:val="hybridMultilevel"/>
    <w:tmpl w:val="53EC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1F212F"/>
    <w:multiLevelType w:val="multilevel"/>
    <w:tmpl w:val="9490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1C22E9"/>
    <w:multiLevelType w:val="hybridMultilevel"/>
    <w:tmpl w:val="0CCE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3422EC"/>
    <w:multiLevelType w:val="multilevel"/>
    <w:tmpl w:val="C5B8E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8100F0"/>
    <w:multiLevelType w:val="hybridMultilevel"/>
    <w:tmpl w:val="4B20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3792181">
    <w:abstractNumId w:val="3"/>
  </w:num>
  <w:num w:numId="2" w16cid:durableId="1650936424">
    <w:abstractNumId w:val="18"/>
  </w:num>
  <w:num w:numId="3" w16cid:durableId="1117913428">
    <w:abstractNumId w:val="1"/>
  </w:num>
  <w:num w:numId="4" w16cid:durableId="1350991325">
    <w:abstractNumId w:val="28"/>
  </w:num>
  <w:num w:numId="5" w16cid:durableId="103620048">
    <w:abstractNumId w:val="11"/>
  </w:num>
  <w:num w:numId="6" w16cid:durableId="800150174">
    <w:abstractNumId w:val="22"/>
  </w:num>
  <w:num w:numId="7" w16cid:durableId="366872754">
    <w:abstractNumId w:val="26"/>
  </w:num>
  <w:num w:numId="8" w16cid:durableId="971326082">
    <w:abstractNumId w:val="20"/>
  </w:num>
  <w:num w:numId="9" w16cid:durableId="1996030646">
    <w:abstractNumId w:val="25"/>
  </w:num>
  <w:num w:numId="10" w16cid:durableId="387073323">
    <w:abstractNumId w:val="30"/>
  </w:num>
  <w:num w:numId="11" w16cid:durableId="1698504625">
    <w:abstractNumId w:val="39"/>
  </w:num>
  <w:num w:numId="12" w16cid:durableId="298148097">
    <w:abstractNumId w:val="12"/>
  </w:num>
  <w:num w:numId="13" w16cid:durableId="413361391">
    <w:abstractNumId w:val="34"/>
  </w:num>
  <w:num w:numId="14" w16cid:durableId="1726681695">
    <w:abstractNumId w:val="36"/>
  </w:num>
  <w:num w:numId="15" w16cid:durableId="1857814638">
    <w:abstractNumId w:val="16"/>
  </w:num>
  <w:num w:numId="16" w16cid:durableId="1872299196">
    <w:abstractNumId w:val="29"/>
  </w:num>
  <w:num w:numId="17" w16cid:durableId="80568688">
    <w:abstractNumId w:val="31"/>
  </w:num>
  <w:num w:numId="18" w16cid:durableId="1190605371">
    <w:abstractNumId w:val="17"/>
  </w:num>
  <w:num w:numId="19" w16cid:durableId="542593426">
    <w:abstractNumId w:val="24"/>
  </w:num>
  <w:num w:numId="20" w16cid:durableId="1364742689">
    <w:abstractNumId w:val="2"/>
  </w:num>
  <w:num w:numId="21" w16cid:durableId="2088989982">
    <w:abstractNumId w:val="33"/>
  </w:num>
  <w:num w:numId="22" w16cid:durableId="140969372">
    <w:abstractNumId w:val="14"/>
  </w:num>
  <w:num w:numId="23" w16cid:durableId="1278633653">
    <w:abstractNumId w:val="13"/>
  </w:num>
  <w:num w:numId="24" w16cid:durableId="581598790">
    <w:abstractNumId w:val="4"/>
  </w:num>
  <w:num w:numId="25" w16cid:durableId="1213617561">
    <w:abstractNumId w:val="5"/>
  </w:num>
  <w:num w:numId="26" w16cid:durableId="1391998907">
    <w:abstractNumId w:val="15"/>
  </w:num>
  <w:num w:numId="27" w16cid:durableId="1095053942">
    <w:abstractNumId w:val="7"/>
  </w:num>
  <w:num w:numId="28" w16cid:durableId="867722920">
    <w:abstractNumId w:val="27"/>
  </w:num>
  <w:num w:numId="29" w16cid:durableId="1685860211">
    <w:abstractNumId w:val="8"/>
  </w:num>
  <w:num w:numId="30" w16cid:durableId="823084421">
    <w:abstractNumId w:val="21"/>
  </w:num>
  <w:num w:numId="31" w16cid:durableId="2033341364">
    <w:abstractNumId w:val="35"/>
  </w:num>
  <w:num w:numId="32" w16cid:durableId="350305099">
    <w:abstractNumId w:val="37"/>
  </w:num>
  <w:num w:numId="33" w16cid:durableId="1457942621">
    <w:abstractNumId w:val="9"/>
  </w:num>
  <w:num w:numId="34" w16cid:durableId="281150300">
    <w:abstractNumId w:val="10"/>
  </w:num>
  <w:num w:numId="35" w16cid:durableId="341587262">
    <w:abstractNumId w:val="38"/>
  </w:num>
  <w:num w:numId="36" w16cid:durableId="582758411">
    <w:abstractNumId w:val="23"/>
  </w:num>
  <w:num w:numId="37" w16cid:durableId="1906988942">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18126508">
    <w:abstractNumId w:val="19"/>
  </w:num>
  <w:num w:numId="39" w16cid:durableId="362488480">
    <w:abstractNumId w:val="32"/>
  </w:num>
  <w:num w:numId="40" w16cid:durableId="1806778931">
    <w:abstractNumId w:val="0"/>
  </w:num>
  <w:num w:numId="41" w16cid:durableId="2087216565">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Kit_DocumentHasBeenSaved" w:val="true"/>
    <w:docVar w:name="LW_DocType" w:val="NORMAL"/>
  </w:docVars>
  <w:rsids>
    <w:rsidRoot w:val="005F6A91"/>
    <w:rsid w:val="0000011F"/>
    <w:rsid w:val="0000016C"/>
    <w:rsid w:val="0000028F"/>
    <w:rsid w:val="000002CC"/>
    <w:rsid w:val="000002E5"/>
    <w:rsid w:val="000004C0"/>
    <w:rsid w:val="00000559"/>
    <w:rsid w:val="000005A0"/>
    <w:rsid w:val="00000675"/>
    <w:rsid w:val="000009E4"/>
    <w:rsid w:val="00000C1A"/>
    <w:rsid w:val="00000C70"/>
    <w:rsid w:val="00000D8C"/>
    <w:rsid w:val="00000FC1"/>
    <w:rsid w:val="00001011"/>
    <w:rsid w:val="000013C7"/>
    <w:rsid w:val="00001591"/>
    <w:rsid w:val="000018B9"/>
    <w:rsid w:val="00001BF7"/>
    <w:rsid w:val="00001C5A"/>
    <w:rsid w:val="00001E66"/>
    <w:rsid w:val="00002244"/>
    <w:rsid w:val="000022C2"/>
    <w:rsid w:val="00002319"/>
    <w:rsid w:val="000024B3"/>
    <w:rsid w:val="00002698"/>
    <w:rsid w:val="000026B9"/>
    <w:rsid w:val="00002D81"/>
    <w:rsid w:val="00003059"/>
    <w:rsid w:val="000033F3"/>
    <w:rsid w:val="0000343B"/>
    <w:rsid w:val="00003513"/>
    <w:rsid w:val="00003594"/>
    <w:rsid w:val="000037EA"/>
    <w:rsid w:val="00003840"/>
    <w:rsid w:val="00003863"/>
    <w:rsid w:val="00003BD9"/>
    <w:rsid w:val="00003E2A"/>
    <w:rsid w:val="00003EE4"/>
    <w:rsid w:val="00003EEC"/>
    <w:rsid w:val="000041BC"/>
    <w:rsid w:val="000046DC"/>
    <w:rsid w:val="000048EB"/>
    <w:rsid w:val="000049E3"/>
    <w:rsid w:val="00004AD3"/>
    <w:rsid w:val="00004D88"/>
    <w:rsid w:val="00004E4F"/>
    <w:rsid w:val="00004EF9"/>
    <w:rsid w:val="00004F22"/>
    <w:rsid w:val="0000505F"/>
    <w:rsid w:val="00005523"/>
    <w:rsid w:val="0000571B"/>
    <w:rsid w:val="0000580A"/>
    <w:rsid w:val="00005AC4"/>
    <w:rsid w:val="00005D23"/>
    <w:rsid w:val="00005EAB"/>
    <w:rsid w:val="00005F60"/>
    <w:rsid w:val="00006068"/>
    <w:rsid w:val="0000624B"/>
    <w:rsid w:val="00006312"/>
    <w:rsid w:val="00006490"/>
    <w:rsid w:val="000067CD"/>
    <w:rsid w:val="00006CC8"/>
    <w:rsid w:val="00006D36"/>
    <w:rsid w:val="00006E08"/>
    <w:rsid w:val="00006E0E"/>
    <w:rsid w:val="00007063"/>
    <w:rsid w:val="00007143"/>
    <w:rsid w:val="000071AD"/>
    <w:rsid w:val="000071D4"/>
    <w:rsid w:val="000072FB"/>
    <w:rsid w:val="00007464"/>
    <w:rsid w:val="0000762C"/>
    <w:rsid w:val="000076F1"/>
    <w:rsid w:val="00007745"/>
    <w:rsid w:val="00007A7F"/>
    <w:rsid w:val="00007F02"/>
    <w:rsid w:val="0001011B"/>
    <w:rsid w:val="000102D0"/>
    <w:rsid w:val="00010324"/>
    <w:rsid w:val="000107A7"/>
    <w:rsid w:val="00010A08"/>
    <w:rsid w:val="00010ACD"/>
    <w:rsid w:val="00010B63"/>
    <w:rsid w:val="00010E17"/>
    <w:rsid w:val="00010F6F"/>
    <w:rsid w:val="000116F4"/>
    <w:rsid w:val="000116F8"/>
    <w:rsid w:val="00011C59"/>
    <w:rsid w:val="00011C5A"/>
    <w:rsid w:val="00011D29"/>
    <w:rsid w:val="00011DC8"/>
    <w:rsid w:val="00011EE8"/>
    <w:rsid w:val="00011FD2"/>
    <w:rsid w:val="000121C3"/>
    <w:rsid w:val="000122DB"/>
    <w:rsid w:val="0001244B"/>
    <w:rsid w:val="0001253A"/>
    <w:rsid w:val="00012597"/>
    <w:rsid w:val="0001280E"/>
    <w:rsid w:val="00012837"/>
    <w:rsid w:val="00012854"/>
    <w:rsid w:val="00012BF3"/>
    <w:rsid w:val="00012C6C"/>
    <w:rsid w:val="0001333A"/>
    <w:rsid w:val="000134BA"/>
    <w:rsid w:val="000134D3"/>
    <w:rsid w:val="0001399F"/>
    <w:rsid w:val="00013B27"/>
    <w:rsid w:val="00013BF9"/>
    <w:rsid w:val="00013FEE"/>
    <w:rsid w:val="00014128"/>
    <w:rsid w:val="00014325"/>
    <w:rsid w:val="00014466"/>
    <w:rsid w:val="000144BB"/>
    <w:rsid w:val="00014572"/>
    <w:rsid w:val="000145CB"/>
    <w:rsid w:val="00014EB3"/>
    <w:rsid w:val="00014F3C"/>
    <w:rsid w:val="00014F4C"/>
    <w:rsid w:val="00015086"/>
    <w:rsid w:val="000152D9"/>
    <w:rsid w:val="000154B7"/>
    <w:rsid w:val="000158FB"/>
    <w:rsid w:val="00015AE2"/>
    <w:rsid w:val="00015BDA"/>
    <w:rsid w:val="00015D95"/>
    <w:rsid w:val="000161B5"/>
    <w:rsid w:val="00016759"/>
    <w:rsid w:val="0001677C"/>
    <w:rsid w:val="00016866"/>
    <w:rsid w:val="00016943"/>
    <w:rsid w:val="000169CF"/>
    <w:rsid w:val="00016A4B"/>
    <w:rsid w:val="00016BB6"/>
    <w:rsid w:val="00016E0D"/>
    <w:rsid w:val="00017130"/>
    <w:rsid w:val="000172B0"/>
    <w:rsid w:val="000173C5"/>
    <w:rsid w:val="000177D8"/>
    <w:rsid w:val="000177FC"/>
    <w:rsid w:val="000179EF"/>
    <w:rsid w:val="00017A18"/>
    <w:rsid w:val="00017F58"/>
    <w:rsid w:val="0002001B"/>
    <w:rsid w:val="000202A9"/>
    <w:rsid w:val="0002035E"/>
    <w:rsid w:val="00020444"/>
    <w:rsid w:val="0002044A"/>
    <w:rsid w:val="000204BD"/>
    <w:rsid w:val="00020920"/>
    <w:rsid w:val="00020C0C"/>
    <w:rsid w:val="00020DF5"/>
    <w:rsid w:val="00020E62"/>
    <w:rsid w:val="00020EA5"/>
    <w:rsid w:val="00020F38"/>
    <w:rsid w:val="00021591"/>
    <w:rsid w:val="00021617"/>
    <w:rsid w:val="00021776"/>
    <w:rsid w:val="00021898"/>
    <w:rsid w:val="00021A00"/>
    <w:rsid w:val="00021BBC"/>
    <w:rsid w:val="00022038"/>
    <w:rsid w:val="000222DE"/>
    <w:rsid w:val="000224E0"/>
    <w:rsid w:val="000226B1"/>
    <w:rsid w:val="00022873"/>
    <w:rsid w:val="00022C08"/>
    <w:rsid w:val="00022C38"/>
    <w:rsid w:val="00022D8F"/>
    <w:rsid w:val="00022DD7"/>
    <w:rsid w:val="00022E30"/>
    <w:rsid w:val="00022E7C"/>
    <w:rsid w:val="000230D9"/>
    <w:rsid w:val="00023203"/>
    <w:rsid w:val="00023257"/>
    <w:rsid w:val="00023488"/>
    <w:rsid w:val="000234B6"/>
    <w:rsid w:val="00023614"/>
    <w:rsid w:val="0002374B"/>
    <w:rsid w:val="000237BE"/>
    <w:rsid w:val="00023836"/>
    <w:rsid w:val="00023839"/>
    <w:rsid w:val="000238AA"/>
    <w:rsid w:val="00023BE3"/>
    <w:rsid w:val="00023C4D"/>
    <w:rsid w:val="00023F5F"/>
    <w:rsid w:val="000240CC"/>
    <w:rsid w:val="0002413D"/>
    <w:rsid w:val="00024336"/>
    <w:rsid w:val="000244EF"/>
    <w:rsid w:val="000246A5"/>
    <w:rsid w:val="0002475D"/>
    <w:rsid w:val="00024851"/>
    <w:rsid w:val="00024AA9"/>
    <w:rsid w:val="00024B4D"/>
    <w:rsid w:val="00024DB4"/>
    <w:rsid w:val="000251CA"/>
    <w:rsid w:val="00025402"/>
    <w:rsid w:val="000257C4"/>
    <w:rsid w:val="00025855"/>
    <w:rsid w:val="0002599E"/>
    <w:rsid w:val="00025AFF"/>
    <w:rsid w:val="00025BAF"/>
    <w:rsid w:val="00025F57"/>
    <w:rsid w:val="00025F64"/>
    <w:rsid w:val="000260CD"/>
    <w:rsid w:val="00026144"/>
    <w:rsid w:val="0002633E"/>
    <w:rsid w:val="0002648E"/>
    <w:rsid w:val="000264F0"/>
    <w:rsid w:val="000265B0"/>
    <w:rsid w:val="00026760"/>
    <w:rsid w:val="000269B8"/>
    <w:rsid w:val="00026A54"/>
    <w:rsid w:val="00026BE5"/>
    <w:rsid w:val="00026DB9"/>
    <w:rsid w:val="00026DED"/>
    <w:rsid w:val="00026EBB"/>
    <w:rsid w:val="0002715B"/>
    <w:rsid w:val="000274ED"/>
    <w:rsid w:val="0002767C"/>
    <w:rsid w:val="00027766"/>
    <w:rsid w:val="00027913"/>
    <w:rsid w:val="00027BFE"/>
    <w:rsid w:val="00027DDB"/>
    <w:rsid w:val="00030828"/>
    <w:rsid w:val="00030839"/>
    <w:rsid w:val="00030A4F"/>
    <w:rsid w:val="00030C02"/>
    <w:rsid w:val="00030C87"/>
    <w:rsid w:val="00030F69"/>
    <w:rsid w:val="00030F72"/>
    <w:rsid w:val="00031993"/>
    <w:rsid w:val="00031BF7"/>
    <w:rsid w:val="00031D26"/>
    <w:rsid w:val="00031DBB"/>
    <w:rsid w:val="00031F5C"/>
    <w:rsid w:val="00031F89"/>
    <w:rsid w:val="00032032"/>
    <w:rsid w:val="0003225D"/>
    <w:rsid w:val="000322ED"/>
    <w:rsid w:val="0003239B"/>
    <w:rsid w:val="00032494"/>
    <w:rsid w:val="000327BE"/>
    <w:rsid w:val="000327EA"/>
    <w:rsid w:val="00032868"/>
    <w:rsid w:val="000329CF"/>
    <w:rsid w:val="00032AD3"/>
    <w:rsid w:val="00032C7B"/>
    <w:rsid w:val="00032FD5"/>
    <w:rsid w:val="00033044"/>
    <w:rsid w:val="000333CC"/>
    <w:rsid w:val="000335DE"/>
    <w:rsid w:val="0003363C"/>
    <w:rsid w:val="00033643"/>
    <w:rsid w:val="0003383A"/>
    <w:rsid w:val="00033933"/>
    <w:rsid w:val="00033BE0"/>
    <w:rsid w:val="00033CD6"/>
    <w:rsid w:val="0003418E"/>
    <w:rsid w:val="000341C6"/>
    <w:rsid w:val="00034411"/>
    <w:rsid w:val="00034855"/>
    <w:rsid w:val="000348C1"/>
    <w:rsid w:val="0003493C"/>
    <w:rsid w:val="00034F64"/>
    <w:rsid w:val="000350C3"/>
    <w:rsid w:val="0003516F"/>
    <w:rsid w:val="000353D8"/>
    <w:rsid w:val="00035759"/>
    <w:rsid w:val="0003585E"/>
    <w:rsid w:val="00035B6D"/>
    <w:rsid w:val="00035BAA"/>
    <w:rsid w:val="00035C5F"/>
    <w:rsid w:val="00035C78"/>
    <w:rsid w:val="00035D79"/>
    <w:rsid w:val="00035E9B"/>
    <w:rsid w:val="00036042"/>
    <w:rsid w:val="000360E8"/>
    <w:rsid w:val="00036219"/>
    <w:rsid w:val="0003624F"/>
    <w:rsid w:val="00036A14"/>
    <w:rsid w:val="00036B4D"/>
    <w:rsid w:val="00036E3E"/>
    <w:rsid w:val="0003750E"/>
    <w:rsid w:val="00037617"/>
    <w:rsid w:val="00037691"/>
    <w:rsid w:val="000376E1"/>
    <w:rsid w:val="00037773"/>
    <w:rsid w:val="000377E4"/>
    <w:rsid w:val="00037874"/>
    <w:rsid w:val="00037A1A"/>
    <w:rsid w:val="00037A26"/>
    <w:rsid w:val="00037A67"/>
    <w:rsid w:val="00037BFD"/>
    <w:rsid w:val="00037C6E"/>
    <w:rsid w:val="00037CBA"/>
    <w:rsid w:val="00037D8E"/>
    <w:rsid w:val="00037F3F"/>
    <w:rsid w:val="00037FF1"/>
    <w:rsid w:val="000400C9"/>
    <w:rsid w:val="00040133"/>
    <w:rsid w:val="0004064B"/>
    <w:rsid w:val="000408DC"/>
    <w:rsid w:val="00040E08"/>
    <w:rsid w:val="00040F98"/>
    <w:rsid w:val="0004117A"/>
    <w:rsid w:val="000411FC"/>
    <w:rsid w:val="00041310"/>
    <w:rsid w:val="00041473"/>
    <w:rsid w:val="000414DE"/>
    <w:rsid w:val="000415AE"/>
    <w:rsid w:val="000416B7"/>
    <w:rsid w:val="000416F3"/>
    <w:rsid w:val="00041716"/>
    <w:rsid w:val="0004176A"/>
    <w:rsid w:val="00041848"/>
    <w:rsid w:val="00041885"/>
    <w:rsid w:val="0004198B"/>
    <w:rsid w:val="00041B54"/>
    <w:rsid w:val="00041C9F"/>
    <w:rsid w:val="00041D42"/>
    <w:rsid w:val="00041DE3"/>
    <w:rsid w:val="000420A2"/>
    <w:rsid w:val="0004297E"/>
    <w:rsid w:val="000429D9"/>
    <w:rsid w:val="00042C30"/>
    <w:rsid w:val="00042E97"/>
    <w:rsid w:val="000433DE"/>
    <w:rsid w:val="0004352F"/>
    <w:rsid w:val="00043592"/>
    <w:rsid w:val="000435D4"/>
    <w:rsid w:val="00043B98"/>
    <w:rsid w:val="00043C6E"/>
    <w:rsid w:val="0004400B"/>
    <w:rsid w:val="000440AB"/>
    <w:rsid w:val="0004416A"/>
    <w:rsid w:val="00044378"/>
    <w:rsid w:val="0004470B"/>
    <w:rsid w:val="00044726"/>
    <w:rsid w:val="00044985"/>
    <w:rsid w:val="00044C97"/>
    <w:rsid w:val="00044DFF"/>
    <w:rsid w:val="00045036"/>
    <w:rsid w:val="00045057"/>
    <w:rsid w:val="0004518D"/>
    <w:rsid w:val="00045362"/>
    <w:rsid w:val="000454E3"/>
    <w:rsid w:val="0004568B"/>
    <w:rsid w:val="000458B8"/>
    <w:rsid w:val="00045CEC"/>
    <w:rsid w:val="00045D54"/>
    <w:rsid w:val="00045E53"/>
    <w:rsid w:val="000461D0"/>
    <w:rsid w:val="00046384"/>
    <w:rsid w:val="0004650E"/>
    <w:rsid w:val="00046550"/>
    <w:rsid w:val="00046BA5"/>
    <w:rsid w:val="00046C00"/>
    <w:rsid w:val="00046CB7"/>
    <w:rsid w:val="00046D25"/>
    <w:rsid w:val="00046DFF"/>
    <w:rsid w:val="000472DE"/>
    <w:rsid w:val="0004741C"/>
    <w:rsid w:val="0004747B"/>
    <w:rsid w:val="00047649"/>
    <w:rsid w:val="00047BA4"/>
    <w:rsid w:val="00047D30"/>
    <w:rsid w:val="00047E8A"/>
    <w:rsid w:val="00047F35"/>
    <w:rsid w:val="00050016"/>
    <w:rsid w:val="0005046D"/>
    <w:rsid w:val="000505A6"/>
    <w:rsid w:val="000506D8"/>
    <w:rsid w:val="000508BD"/>
    <w:rsid w:val="0005099E"/>
    <w:rsid w:val="000509A9"/>
    <w:rsid w:val="000509C5"/>
    <w:rsid w:val="00050B22"/>
    <w:rsid w:val="00050C7B"/>
    <w:rsid w:val="00050D64"/>
    <w:rsid w:val="00050F00"/>
    <w:rsid w:val="00050FF1"/>
    <w:rsid w:val="000512A8"/>
    <w:rsid w:val="00051732"/>
    <w:rsid w:val="00051772"/>
    <w:rsid w:val="000518FE"/>
    <w:rsid w:val="00051BDA"/>
    <w:rsid w:val="00051CE2"/>
    <w:rsid w:val="00051E7B"/>
    <w:rsid w:val="00051E83"/>
    <w:rsid w:val="00051EC2"/>
    <w:rsid w:val="00051FE8"/>
    <w:rsid w:val="0005265C"/>
    <w:rsid w:val="00052976"/>
    <w:rsid w:val="00052A05"/>
    <w:rsid w:val="00052B08"/>
    <w:rsid w:val="00052E64"/>
    <w:rsid w:val="00052EB5"/>
    <w:rsid w:val="00052FC3"/>
    <w:rsid w:val="00053448"/>
    <w:rsid w:val="000534CA"/>
    <w:rsid w:val="00053540"/>
    <w:rsid w:val="0005354A"/>
    <w:rsid w:val="0005384E"/>
    <w:rsid w:val="00053CB2"/>
    <w:rsid w:val="0005420A"/>
    <w:rsid w:val="00054366"/>
    <w:rsid w:val="0005477C"/>
    <w:rsid w:val="00054866"/>
    <w:rsid w:val="00054B66"/>
    <w:rsid w:val="00054B88"/>
    <w:rsid w:val="00054B92"/>
    <w:rsid w:val="00054C04"/>
    <w:rsid w:val="00054E0E"/>
    <w:rsid w:val="00054FE2"/>
    <w:rsid w:val="00054FF3"/>
    <w:rsid w:val="000550F8"/>
    <w:rsid w:val="000551AE"/>
    <w:rsid w:val="0005533F"/>
    <w:rsid w:val="000557D0"/>
    <w:rsid w:val="00055A3D"/>
    <w:rsid w:val="00055A5A"/>
    <w:rsid w:val="00055B06"/>
    <w:rsid w:val="00055F14"/>
    <w:rsid w:val="00055F7B"/>
    <w:rsid w:val="00055FD2"/>
    <w:rsid w:val="0005608F"/>
    <w:rsid w:val="0005627D"/>
    <w:rsid w:val="0005658B"/>
    <w:rsid w:val="000567DF"/>
    <w:rsid w:val="000568AF"/>
    <w:rsid w:val="00056AA5"/>
    <w:rsid w:val="00056B6A"/>
    <w:rsid w:val="00056BB4"/>
    <w:rsid w:val="00056BDC"/>
    <w:rsid w:val="00056C0E"/>
    <w:rsid w:val="00056E75"/>
    <w:rsid w:val="00057125"/>
    <w:rsid w:val="000571E5"/>
    <w:rsid w:val="000572EA"/>
    <w:rsid w:val="000573D5"/>
    <w:rsid w:val="000575F1"/>
    <w:rsid w:val="0005773D"/>
    <w:rsid w:val="000579D3"/>
    <w:rsid w:val="00057A33"/>
    <w:rsid w:val="00057C7E"/>
    <w:rsid w:val="00057FEA"/>
    <w:rsid w:val="0006017F"/>
    <w:rsid w:val="00060307"/>
    <w:rsid w:val="000603E2"/>
    <w:rsid w:val="00060598"/>
    <w:rsid w:val="00060714"/>
    <w:rsid w:val="00060A69"/>
    <w:rsid w:val="00060CA4"/>
    <w:rsid w:val="00060DC0"/>
    <w:rsid w:val="00060DE6"/>
    <w:rsid w:val="0006108E"/>
    <w:rsid w:val="00061163"/>
    <w:rsid w:val="0006188A"/>
    <w:rsid w:val="000618D6"/>
    <w:rsid w:val="000619E0"/>
    <w:rsid w:val="00061B5D"/>
    <w:rsid w:val="00061E74"/>
    <w:rsid w:val="000623A9"/>
    <w:rsid w:val="00062686"/>
    <w:rsid w:val="00062C23"/>
    <w:rsid w:val="00062C2F"/>
    <w:rsid w:val="000630FD"/>
    <w:rsid w:val="000635CC"/>
    <w:rsid w:val="0006371C"/>
    <w:rsid w:val="000639F8"/>
    <w:rsid w:val="00063A9F"/>
    <w:rsid w:val="00063BD5"/>
    <w:rsid w:val="00063D22"/>
    <w:rsid w:val="00063ED9"/>
    <w:rsid w:val="00064202"/>
    <w:rsid w:val="000645BC"/>
    <w:rsid w:val="00064693"/>
    <w:rsid w:val="000647D4"/>
    <w:rsid w:val="0006484D"/>
    <w:rsid w:val="00064A79"/>
    <w:rsid w:val="00064BB0"/>
    <w:rsid w:val="00064CD3"/>
    <w:rsid w:val="00064F86"/>
    <w:rsid w:val="0006509C"/>
    <w:rsid w:val="00065393"/>
    <w:rsid w:val="000653A7"/>
    <w:rsid w:val="00065610"/>
    <w:rsid w:val="00065B20"/>
    <w:rsid w:val="00065BCD"/>
    <w:rsid w:val="00065D3D"/>
    <w:rsid w:val="00065F1E"/>
    <w:rsid w:val="0006615B"/>
    <w:rsid w:val="00066214"/>
    <w:rsid w:val="000662E6"/>
    <w:rsid w:val="000663D7"/>
    <w:rsid w:val="00066971"/>
    <w:rsid w:val="00066993"/>
    <w:rsid w:val="00066A38"/>
    <w:rsid w:val="00066AD4"/>
    <w:rsid w:val="00066B79"/>
    <w:rsid w:val="00066B9B"/>
    <w:rsid w:val="00066BC7"/>
    <w:rsid w:val="00066ECB"/>
    <w:rsid w:val="00066EF3"/>
    <w:rsid w:val="00066F7C"/>
    <w:rsid w:val="00066FDA"/>
    <w:rsid w:val="00067240"/>
    <w:rsid w:val="0006726A"/>
    <w:rsid w:val="0006730F"/>
    <w:rsid w:val="000673E8"/>
    <w:rsid w:val="0006770C"/>
    <w:rsid w:val="0006771E"/>
    <w:rsid w:val="00067758"/>
    <w:rsid w:val="00067788"/>
    <w:rsid w:val="000679B3"/>
    <w:rsid w:val="00067A1B"/>
    <w:rsid w:val="00067C18"/>
    <w:rsid w:val="00067F34"/>
    <w:rsid w:val="000700E7"/>
    <w:rsid w:val="000702FA"/>
    <w:rsid w:val="00070654"/>
    <w:rsid w:val="000708B3"/>
    <w:rsid w:val="000712C5"/>
    <w:rsid w:val="000712DF"/>
    <w:rsid w:val="00071317"/>
    <w:rsid w:val="00071374"/>
    <w:rsid w:val="00071513"/>
    <w:rsid w:val="000715A8"/>
    <w:rsid w:val="00071731"/>
    <w:rsid w:val="000717E7"/>
    <w:rsid w:val="00071861"/>
    <w:rsid w:val="00071A53"/>
    <w:rsid w:val="00071B32"/>
    <w:rsid w:val="00071C10"/>
    <w:rsid w:val="0007201D"/>
    <w:rsid w:val="00072325"/>
    <w:rsid w:val="000723F7"/>
    <w:rsid w:val="00072459"/>
    <w:rsid w:val="000727CE"/>
    <w:rsid w:val="000727F1"/>
    <w:rsid w:val="0007282F"/>
    <w:rsid w:val="00072916"/>
    <w:rsid w:val="00072A6F"/>
    <w:rsid w:val="00072A7B"/>
    <w:rsid w:val="00072AC0"/>
    <w:rsid w:val="00072B53"/>
    <w:rsid w:val="00072CEA"/>
    <w:rsid w:val="00072D7F"/>
    <w:rsid w:val="00072E1D"/>
    <w:rsid w:val="0007337B"/>
    <w:rsid w:val="00073401"/>
    <w:rsid w:val="0007393F"/>
    <w:rsid w:val="00073981"/>
    <w:rsid w:val="00073A5D"/>
    <w:rsid w:val="00073B13"/>
    <w:rsid w:val="00073B41"/>
    <w:rsid w:val="00073CBE"/>
    <w:rsid w:val="00073D51"/>
    <w:rsid w:val="00073ECE"/>
    <w:rsid w:val="00073FCC"/>
    <w:rsid w:val="00074011"/>
    <w:rsid w:val="000740CD"/>
    <w:rsid w:val="0007453F"/>
    <w:rsid w:val="00074593"/>
    <w:rsid w:val="0007492A"/>
    <w:rsid w:val="00074A0C"/>
    <w:rsid w:val="00074BD4"/>
    <w:rsid w:val="00074C4C"/>
    <w:rsid w:val="00074E78"/>
    <w:rsid w:val="000751E6"/>
    <w:rsid w:val="000752CE"/>
    <w:rsid w:val="000752F8"/>
    <w:rsid w:val="000755E5"/>
    <w:rsid w:val="00075655"/>
    <w:rsid w:val="00075926"/>
    <w:rsid w:val="00075A00"/>
    <w:rsid w:val="00075B40"/>
    <w:rsid w:val="00075C92"/>
    <w:rsid w:val="00076045"/>
    <w:rsid w:val="00076158"/>
    <w:rsid w:val="000762BC"/>
    <w:rsid w:val="000763F8"/>
    <w:rsid w:val="0007674B"/>
    <w:rsid w:val="000767BA"/>
    <w:rsid w:val="000767F2"/>
    <w:rsid w:val="00076C13"/>
    <w:rsid w:val="00076E52"/>
    <w:rsid w:val="00077041"/>
    <w:rsid w:val="0007720B"/>
    <w:rsid w:val="0007749E"/>
    <w:rsid w:val="000775F2"/>
    <w:rsid w:val="000776C0"/>
    <w:rsid w:val="000776FA"/>
    <w:rsid w:val="00077970"/>
    <w:rsid w:val="0007799F"/>
    <w:rsid w:val="00077A1E"/>
    <w:rsid w:val="00077A37"/>
    <w:rsid w:val="00077C46"/>
    <w:rsid w:val="00077C4E"/>
    <w:rsid w:val="000806E6"/>
    <w:rsid w:val="00080972"/>
    <w:rsid w:val="0008098C"/>
    <w:rsid w:val="00080A73"/>
    <w:rsid w:val="00080C05"/>
    <w:rsid w:val="00080CE1"/>
    <w:rsid w:val="00080EC4"/>
    <w:rsid w:val="00080EDC"/>
    <w:rsid w:val="000810C7"/>
    <w:rsid w:val="00081148"/>
    <w:rsid w:val="000813BE"/>
    <w:rsid w:val="000813D2"/>
    <w:rsid w:val="00081ED5"/>
    <w:rsid w:val="00081F99"/>
    <w:rsid w:val="00082111"/>
    <w:rsid w:val="000822B4"/>
    <w:rsid w:val="0008231A"/>
    <w:rsid w:val="00082424"/>
    <w:rsid w:val="000824A1"/>
    <w:rsid w:val="000824F3"/>
    <w:rsid w:val="00082FF5"/>
    <w:rsid w:val="000830AF"/>
    <w:rsid w:val="0008332D"/>
    <w:rsid w:val="000833A4"/>
    <w:rsid w:val="00083471"/>
    <w:rsid w:val="00083564"/>
    <w:rsid w:val="0008389A"/>
    <w:rsid w:val="00083975"/>
    <w:rsid w:val="00083CA2"/>
    <w:rsid w:val="00084062"/>
    <w:rsid w:val="000843A0"/>
    <w:rsid w:val="00084561"/>
    <w:rsid w:val="00084689"/>
    <w:rsid w:val="000847FC"/>
    <w:rsid w:val="00084EEC"/>
    <w:rsid w:val="00085075"/>
    <w:rsid w:val="00085095"/>
    <w:rsid w:val="000854EF"/>
    <w:rsid w:val="00085754"/>
    <w:rsid w:val="00085AA8"/>
    <w:rsid w:val="00085D81"/>
    <w:rsid w:val="0008604D"/>
    <w:rsid w:val="000861F5"/>
    <w:rsid w:val="00086295"/>
    <w:rsid w:val="0008654F"/>
    <w:rsid w:val="000865CA"/>
    <w:rsid w:val="000868E0"/>
    <w:rsid w:val="00086ABE"/>
    <w:rsid w:val="00086B20"/>
    <w:rsid w:val="00087377"/>
    <w:rsid w:val="00087428"/>
    <w:rsid w:val="000874DE"/>
    <w:rsid w:val="000878F6"/>
    <w:rsid w:val="00087E77"/>
    <w:rsid w:val="0009004E"/>
    <w:rsid w:val="0009005E"/>
    <w:rsid w:val="00090241"/>
    <w:rsid w:val="00090506"/>
    <w:rsid w:val="00090673"/>
    <w:rsid w:val="000906BE"/>
    <w:rsid w:val="00090861"/>
    <w:rsid w:val="00090886"/>
    <w:rsid w:val="00090992"/>
    <w:rsid w:val="00090B80"/>
    <w:rsid w:val="00090D86"/>
    <w:rsid w:val="00090F53"/>
    <w:rsid w:val="00091018"/>
    <w:rsid w:val="00091280"/>
    <w:rsid w:val="000913A9"/>
    <w:rsid w:val="0009141E"/>
    <w:rsid w:val="00091713"/>
    <w:rsid w:val="00091772"/>
    <w:rsid w:val="00091851"/>
    <w:rsid w:val="00091A8F"/>
    <w:rsid w:val="00091BDB"/>
    <w:rsid w:val="00091BEC"/>
    <w:rsid w:val="00091C20"/>
    <w:rsid w:val="00091D05"/>
    <w:rsid w:val="00091D56"/>
    <w:rsid w:val="00091F12"/>
    <w:rsid w:val="00092145"/>
    <w:rsid w:val="0009215D"/>
    <w:rsid w:val="0009243A"/>
    <w:rsid w:val="00092536"/>
    <w:rsid w:val="000926B3"/>
    <w:rsid w:val="0009276B"/>
    <w:rsid w:val="000928AE"/>
    <w:rsid w:val="00092979"/>
    <w:rsid w:val="00092A49"/>
    <w:rsid w:val="00092AE2"/>
    <w:rsid w:val="00092BC2"/>
    <w:rsid w:val="00092BC7"/>
    <w:rsid w:val="00092BCE"/>
    <w:rsid w:val="00092C51"/>
    <w:rsid w:val="00092FBA"/>
    <w:rsid w:val="000937CB"/>
    <w:rsid w:val="000938E2"/>
    <w:rsid w:val="00093C52"/>
    <w:rsid w:val="00093CD0"/>
    <w:rsid w:val="00093E87"/>
    <w:rsid w:val="00093F40"/>
    <w:rsid w:val="00094230"/>
    <w:rsid w:val="0009441F"/>
    <w:rsid w:val="00094420"/>
    <w:rsid w:val="000944B0"/>
    <w:rsid w:val="00094698"/>
    <w:rsid w:val="000947EC"/>
    <w:rsid w:val="00094816"/>
    <w:rsid w:val="000949E2"/>
    <w:rsid w:val="00094B9C"/>
    <w:rsid w:val="00094BDF"/>
    <w:rsid w:val="00094CBB"/>
    <w:rsid w:val="00094D10"/>
    <w:rsid w:val="00094F37"/>
    <w:rsid w:val="00095381"/>
    <w:rsid w:val="00095531"/>
    <w:rsid w:val="000955A9"/>
    <w:rsid w:val="00095622"/>
    <w:rsid w:val="00095876"/>
    <w:rsid w:val="00095A9F"/>
    <w:rsid w:val="00095B65"/>
    <w:rsid w:val="00095D74"/>
    <w:rsid w:val="00095E5E"/>
    <w:rsid w:val="00096048"/>
    <w:rsid w:val="00096293"/>
    <w:rsid w:val="000964C6"/>
    <w:rsid w:val="000964D9"/>
    <w:rsid w:val="000967FE"/>
    <w:rsid w:val="0009681A"/>
    <w:rsid w:val="00096B16"/>
    <w:rsid w:val="00096C26"/>
    <w:rsid w:val="00096C37"/>
    <w:rsid w:val="00096C39"/>
    <w:rsid w:val="00096C40"/>
    <w:rsid w:val="00096C7D"/>
    <w:rsid w:val="0009704D"/>
    <w:rsid w:val="000970EA"/>
    <w:rsid w:val="0009715B"/>
    <w:rsid w:val="000972A3"/>
    <w:rsid w:val="00097505"/>
    <w:rsid w:val="00097A4F"/>
    <w:rsid w:val="000A006E"/>
    <w:rsid w:val="000A00BB"/>
    <w:rsid w:val="000A01A7"/>
    <w:rsid w:val="000A04CC"/>
    <w:rsid w:val="000A0721"/>
    <w:rsid w:val="000A0880"/>
    <w:rsid w:val="000A0AE0"/>
    <w:rsid w:val="000A0EA8"/>
    <w:rsid w:val="000A1003"/>
    <w:rsid w:val="000A11DB"/>
    <w:rsid w:val="000A1296"/>
    <w:rsid w:val="000A16F9"/>
    <w:rsid w:val="000A19C1"/>
    <w:rsid w:val="000A19D0"/>
    <w:rsid w:val="000A1BC6"/>
    <w:rsid w:val="000A1C27"/>
    <w:rsid w:val="000A22FA"/>
    <w:rsid w:val="000A2328"/>
    <w:rsid w:val="000A2362"/>
    <w:rsid w:val="000A2780"/>
    <w:rsid w:val="000A2960"/>
    <w:rsid w:val="000A2995"/>
    <w:rsid w:val="000A29B8"/>
    <w:rsid w:val="000A2E74"/>
    <w:rsid w:val="000A2F5C"/>
    <w:rsid w:val="000A34EC"/>
    <w:rsid w:val="000A38D8"/>
    <w:rsid w:val="000A39CA"/>
    <w:rsid w:val="000A3A25"/>
    <w:rsid w:val="000A3A78"/>
    <w:rsid w:val="000A3AF8"/>
    <w:rsid w:val="000A3E41"/>
    <w:rsid w:val="000A3F73"/>
    <w:rsid w:val="000A40C5"/>
    <w:rsid w:val="000A4571"/>
    <w:rsid w:val="000A4A70"/>
    <w:rsid w:val="000A4DB7"/>
    <w:rsid w:val="000A4E61"/>
    <w:rsid w:val="000A4F34"/>
    <w:rsid w:val="000A536E"/>
    <w:rsid w:val="000A5411"/>
    <w:rsid w:val="000A5454"/>
    <w:rsid w:val="000A546A"/>
    <w:rsid w:val="000A59A0"/>
    <w:rsid w:val="000A5C20"/>
    <w:rsid w:val="000A5F51"/>
    <w:rsid w:val="000A6139"/>
    <w:rsid w:val="000A637C"/>
    <w:rsid w:val="000A6689"/>
    <w:rsid w:val="000A66C3"/>
    <w:rsid w:val="000A6881"/>
    <w:rsid w:val="000A6B81"/>
    <w:rsid w:val="000A6CAE"/>
    <w:rsid w:val="000A6E33"/>
    <w:rsid w:val="000A6F7E"/>
    <w:rsid w:val="000A70CB"/>
    <w:rsid w:val="000A70D4"/>
    <w:rsid w:val="000A7165"/>
    <w:rsid w:val="000A71DC"/>
    <w:rsid w:val="000A74E0"/>
    <w:rsid w:val="000A7795"/>
    <w:rsid w:val="000A7AED"/>
    <w:rsid w:val="000B02B3"/>
    <w:rsid w:val="000B04EC"/>
    <w:rsid w:val="000B09A7"/>
    <w:rsid w:val="000B0A7E"/>
    <w:rsid w:val="000B0AB3"/>
    <w:rsid w:val="000B0AE4"/>
    <w:rsid w:val="000B0B5C"/>
    <w:rsid w:val="000B0B7B"/>
    <w:rsid w:val="000B0CB0"/>
    <w:rsid w:val="000B0E32"/>
    <w:rsid w:val="000B0F3F"/>
    <w:rsid w:val="000B14CC"/>
    <w:rsid w:val="000B1610"/>
    <w:rsid w:val="000B1A51"/>
    <w:rsid w:val="000B1B2B"/>
    <w:rsid w:val="000B1C8A"/>
    <w:rsid w:val="000B1FCD"/>
    <w:rsid w:val="000B202A"/>
    <w:rsid w:val="000B2154"/>
    <w:rsid w:val="000B21A6"/>
    <w:rsid w:val="000B22F6"/>
    <w:rsid w:val="000B24D1"/>
    <w:rsid w:val="000B262D"/>
    <w:rsid w:val="000B2795"/>
    <w:rsid w:val="000B27A9"/>
    <w:rsid w:val="000B28B9"/>
    <w:rsid w:val="000B2DFF"/>
    <w:rsid w:val="000B2E3F"/>
    <w:rsid w:val="000B3151"/>
    <w:rsid w:val="000B322D"/>
    <w:rsid w:val="000B341C"/>
    <w:rsid w:val="000B3600"/>
    <w:rsid w:val="000B3A83"/>
    <w:rsid w:val="000B3AAE"/>
    <w:rsid w:val="000B3C2A"/>
    <w:rsid w:val="000B3D68"/>
    <w:rsid w:val="000B4312"/>
    <w:rsid w:val="000B43D0"/>
    <w:rsid w:val="000B44EB"/>
    <w:rsid w:val="000B4501"/>
    <w:rsid w:val="000B4521"/>
    <w:rsid w:val="000B469F"/>
    <w:rsid w:val="000B4808"/>
    <w:rsid w:val="000B4895"/>
    <w:rsid w:val="000B4B4D"/>
    <w:rsid w:val="000B4BE0"/>
    <w:rsid w:val="000B4CC1"/>
    <w:rsid w:val="000B4E9C"/>
    <w:rsid w:val="000B4EF1"/>
    <w:rsid w:val="000B5045"/>
    <w:rsid w:val="000B50D6"/>
    <w:rsid w:val="000B5394"/>
    <w:rsid w:val="000B5488"/>
    <w:rsid w:val="000B5979"/>
    <w:rsid w:val="000B5A69"/>
    <w:rsid w:val="000B5C6E"/>
    <w:rsid w:val="000B609C"/>
    <w:rsid w:val="000B63B8"/>
    <w:rsid w:val="000B6421"/>
    <w:rsid w:val="000B644A"/>
    <w:rsid w:val="000B649D"/>
    <w:rsid w:val="000B6505"/>
    <w:rsid w:val="000B6524"/>
    <w:rsid w:val="000B65D9"/>
    <w:rsid w:val="000B65FA"/>
    <w:rsid w:val="000B6663"/>
    <w:rsid w:val="000B66D9"/>
    <w:rsid w:val="000B66E3"/>
    <w:rsid w:val="000B6786"/>
    <w:rsid w:val="000B6D7F"/>
    <w:rsid w:val="000B710C"/>
    <w:rsid w:val="000B73BC"/>
    <w:rsid w:val="000B7437"/>
    <w:rsid w:val="000B7490"/>
    <w:rsid w:val="000B7E3D"/>
    <w:rsid w:val="000C008B"/>
    <w:rsid w:val="000C02A0"/>
    <w:rsid w:val="000C0454"/>
    <w:rsid w:val="000C0591"/>
    <w:rsid w:val="000C07E2"/>
    <w:rsid w:val="000C0C61"/>
    <w:rsid w:val="000C0C7B"/>
    <w:rsid w:val="000C0E76"/>
    <w:rsid w:val="000C1114"/>
    <w:rsid w:val="000C1155"/>
    <w:rsid w:val="000C1232"/>
    <w:rsid w:val="000C18A8"/>
    <w:rsid w:val="000C190D"/>
    <w:rsid w:val="000C2078"/>
    <w:rsid w:val="000C2396"/>
    <w:rsid w:val="000C26D7"/>
    <w:rsid w:val="000C27FF"/>
    <w:rsid w:val="000C2C2D"/>
    <w:rsid w:val="000C3113"/>
    <w:rsid w:val="000C35A1"/>
    <w:rsid w:val="000C367F"/>
    <w:rsid w:val="000C386B"/>
    <w:rsid w:val="000C3C25"/>
    <w:rsid w:val="000C3DFB"/>
    <w:rsid w:val="000C3E8E"/>
    <w:rsid w:val="000C445F"/>
    <w:rsid w:val="000C449C"/>
    <w:rsid w:val="000C4A32"/>
    <w:rsid w:val="000C4B3A"/>
    <w:rsid w:val="000C4BD1"/>
    <w:rsid w:val="000C4CEB"/>
    <w:rsid w:val="000C5214"/>
    <w:rsid w:val="000C53AA"/>
    <w:rsid w:val="000C56BD"/>
    <w:rsid w:val="000C57EA"/>
    <w:rsid w:val="000C5B28"/>
    <w:rsid w:val="000C669A"/>
    <w:rsid w:val="000C6A23"/>
    <w:rsid w:val="000C6C4D"/>
    <w:rsid w:val="000C6C8F"/>
    <w:rsid w:val="000C6DB2"/>
    <w:rsid w:val="000C6DC9"/>
    <w:rsid w:val="000C6F5F"/>
    <w:rsid w:val="000C700A"/>
    <w:rsid w:val="000C7418"/>
    <w:rsid w:val="000C79C9"/>
    <w:rsid w:val="000C79DC"/>
    <w:rsid w:val="000C7D90"/>
    <w:rsid w:val="000C7DA2"/>
    <w:rsid w:val="000C7E3A"/>
    <w:rsid w:val="000C7EA4"/>
    <w:rsid w:val="000C7FFD"/>
    <w:rsid w:val="000D0218"/>
    <w:rsid w:val="000D0276"/>
    <w:rsid w:val="000D0341"/>
    <w:rsid w:val="000D0580"/>
    <w:rsid w:val="000D0617"/>
    <w:rsid w:val="000D066C"/>
    <w:rsid w:val="000D07C1"/>
    <w:rsid w:val="000D08C4"/>
    <w:rsid w:val="000D090F"/>
    <w:rsid w:val="000D0959"/>
    <w:rsid w:val="000D0973"/>
    <w:rsid w:val="000D0ADD"/>
    <w:rsid w:val="000D0ECF"/>
    <w:rsid w:val="000D0FCD"/>
    <w:rsid w:val="000D1246"/>
    <w:rsid w:val="000D124B"/>
    <w:rsid w:val="000D1321"/>
    <w:rsid w:val="000D1395"/>
    <w:rsid w:val="000D1527"/>
    <w:rsid w:val="000D18AD"/>
    <w:rsid w:val="000D1B5D"/>
    <w:rsid w:val="000D1D3C"/>
    <w:rsid w:val="000D1F7E"/>
    <w:rsid w:val="000D2241"/>
    <w:rsid w:val="000D27DD"/>
    <w:rsid w:val="000D27EC"/>
    <w:rsid w:val="000D286A"/>
    <w:rsid w:val="000D28C6"/>
    <w:rsid w:val="000D297D"/>
    <w:rsid w:val="000D2A51"/>
    <w:rsid w:val="000D2C0C"/>
    <w:rsid w:val="000D2ED8"/>
    <w:rsid w:val="000D2F16"/>
    <w:rsid w:val="000D305F"/>
    <w:rsid w:val="000D3102"/>
    <w:rsid w:val="000D35C3"/>
    <w:rsid w:val="000D382D"/>
    <w:rsid w:val="000D3AF4"/>
    <w:rsid w:val="000D3FB5"/>
    <w:rsid w:val="000D3FEB"/>
    <w:rsid w:val="000D41AA"/>
    <w:rsid w:val="000D42DF"/>
    <w:rsid w:val="000D4B28"/>
    <w:rsid w:val="000D4EA0"/>
    <w:rsid w:val="000D4FAC"/>
    <w:rsid w:val="000D5565"/>
    <w:rsid w:val="000D556D"/>
    <w:rsid w:val="000D56F7"/>
    <w:rsid w:val="000D5B36"/>
    <w:rsid w:val="000D5B6C"/>
    <w:rsid w:val="000D5C70"/>
    <w:rsid w:val="000D5F4C"/>
    <w:rsid w:val="000D5FB8"/>
    <w:rsid w:val="000D61AC"/>
    <w:rsid w:val="000D678E"/>
    <w:rsid w:val="000D69BD"/>
    <w:rsid w:val="000D69C7"/>
    <w:rsid w:val="000D6B9E"/>
    <w:rsid w:val="000D6D0E"/>
    <w:rsid w:val="000D6E3A"/>
    <w:rsid w:val="000D6E8B"/>
    <w:rsid w:val="000D6EF2"/>
    <w:rsid w:val="000D6F12"/>
    <w:rsid w:val="000D6F73"/>
    <w:rsid w:val="000D7092"/>
    <w:rsid w:val="000D711D"/>
    <w:rsid w:val="000D7244"/>
    <w:rsid w:val="000D76C8"/>
    <w:rsid w:val="000D7796"/>
    <w:rsid w:val="000D78E4"/>
    <w:rsid w:val="000D7AD8"/>
    <w:rsid w:val="000D7C64"/>
    <w:rsid w:val="000D7CC8"/>
    <w:rsid w:val="000E02A1"/>
    <w:rsid w:val="000E0776"/>
    <w:rsid w:val="000E082E"/>
    <w:rsid w:val="000E094C"/>
    <w:rsid w:val="000E0AB7"/>
    <w:rsid w:val="000E0CED"/>
    <w:rsid w:val="000E0D66"/>
    <w:rsid w:val="000E0D82"/>
    <w:rsid w:val="000E0DF2"/>
    <w:rsid w:val="000E0FB9"/>
    <w:rsid w:val="000E1245"/>
    <w:rsid w:val="000E1370"/>
    <w:rsid w:val="000E14D0"/>
    <w:rsid w:val="000E1AE0"/>
    <w:rsid w:val="000E1B61"/>
    <w:rsid w:val="000E1CAA"/>
    <w:rsid w:val="000E1D1D"/>
    <w:rsid w:val="000E1D22"/>
    <w:rsid w:val="000E1D8E"/>
    <w:rsid w:val="000E1D91"/>
    <w:rsid w:val="000E1DE5"/>
    <w:rsid w:val="000E218B"/>
    <w:rsid w:val="000E229C"/>
    <w:rsid w:val="000E25CD"/>
    <w:rsid w:val="000E2962"/>
    <w:rsid w:val="000E2AC6"/>
    <w:rsid w:val="000E2BB5"/>
    <w:rsid w:val="000E3112"/>
    <w:rsid w:val="000E3136"/>
    <w:rsid w:val="000E3233"/>
    <w:rsid w:val="000E32EC"/>
    <w:rsid w:val="000E33C4"/>
    <w:rsid w:val="000E3565"/>
    <w:rsid w:val="000E35A7"/>
    <w:rsid w:val="000E3622"/>
    <w:rsid w:val="000E3CA4"/>
    <w:rsid w:val="000E3CE9"/>
    <w:rsid w:val="000E3DB9"/>
    <w:rsid w:val="000E3EC4"/>
    <w:rsid w:val="000E409B"/>
    <w:rsid w:val="000E40A6"/>
    <w:rsid w:val="000E40EC"/>
    <w:rsid w:val="000E4351"/>
    <w:rsid w:val="000E452B"/>
    <w:rsid w:val="000E4D3A"/>
    <w:rsid w:val="000E4F62"/>
    <w:rsid w:val="000E4F92"/>
    <w:rsid w:val="000E4FFF"/>
    <w:rsid w:val="000E528B"/>
    <w:rsid w:val="000E54DA"/>
    <w:rsid w:val="000E5567"/>
    <w:rsid w:val="000E5626"/>
    <w:rsid w:val="000E57C1"/>
    <w:rsid w:val="000E5A7F"/>
    <w:rsid w:val="000E5AC8"/>
    <w:rsid w:val="000E5BCD"/>
    <w:rsid w:val="000E5BEE"/>
    <w:rsid w:val="000E5FF7"/>
    <w:rsid w:val="000E6246"/>
    <w:rsid w:val="000E681E"/>
    <w:rsid w:val="000E6973"/>
    <w:rsid w:val="000E6ADA"/>
    <w:rsid w:val="000E6D0E"/>
    <w:rsid w:val="000E6FBA"/>
    <w:rsid w:val="000E6FF1"/>
    <w:rsid w:val="000E70B4"/>
    <w:rsid w:val="000E7339"/>
    <w:rsid w:val="000E73B7"/>
    <w:rsid w:val="000E769E"/>
    <w:rsid w:val="000E76F0"/>
    <w:rsid w:val="000E78F2"/>
    <w:rsid w:val="000E792D"/>
    <w:rsid w:val="000E794E"/>
    <w:rsid w:val="000E7B92"/>
    <w:rsid w:val="000E7BA5"/>
    <w:rsid w:val="000E7BFB"/>
    <w:rsid w:val="000E7C4D"/>
    <w:rsid w:val="000E7CC6"/>
    <w:rsid w:val="000E7CE7"/>
    <w:rsid w:val="000E7E66"/>
    <w:rsid w:val="000E7E7C"/>
    <w:rsid w:val="000E7F6E"/>
    <w:rsid w:val="000F00B0"/>
    <w:rsid w:val="000F014A"/>
    <w:rsid w:val="000F03E3"/>
    <w:rsid w:val="000F0902"/>
    <w:rsid w:val="000F0910"/>
    <w:rsid w:val="000F092B"/>
    <w:rsid w:val="000F12AE"/>
    <w:rsid w:val="000F12B7"/>
    <w:rsid w:val="000F13A5"/>
    <w:rsid w:val="000F14FF"/>
    <w:rsid w:val="000F170B"/>
    <w:rsid w:val="000F19A3"/>
    <w:rsid w:val="000F1A59"/>
    <w:rsid w:val="000F1AB2"/>
    <w:rsid w:val="000F1AC4"/>
    <w:rsid w:val="000F1B9E"/>
    <w:rsid w:val="000F1E77"/>
    <w:rsid w:val="000F1FC5"/>
    <w:rsid w:val="000F20EF"/>
    <w:rsid w:val="000F20F5"/>
    <w:rsid w:val="000F214B"/>
    <w:rsid w:val="000F22A2"/>
    <w:rsid w:val="000F2342"/>
    <w:rsid w:val="000F2418"/>
    <w:rsid w:val="000F2689"/>
    <w:rsid w:val="000F2779"/>
    <w:rsid w:val="000F2876"/>
    <w:rsid w:val="000F2955"/>
    <w:rsid w:val="000F297E"/>
    <w:rsid w:val="000F29AF"/>
    <w:rsid w:val="000F2B4E"/>
    <w:rsid w:val="000F2B9B"/>
    <w:rsid w:val="000F2D10"/>
    <w:rsid w:val="000F2DE3"/>
    <w:rsid w:val="000F2E98"/>
    <w:rsid w:val="000F30DC"/>
    <w:rsid w:val="000F31A4"/>
    <w:rsid w:val="000F34DA"/>
    <w:rsid w:val="000F3610"/>
    <w:rsid w:val="000F3840"/>
    <w:rsid w:val="000F3898"/>
    <w:rsid w:val="000F399B"/>
    <w:rsid w:val="000F3AA0"/>
    <w:rsid w:val="000F3BD2"/>
    <w:rsid w:val="000F405A"/>
    <w:rsid w:val="000F405E"/>
    <w:rsid w:val="000F4129"/>
    <w:rsid w:val="000F42F6"/>
    <w:rsid w:val="000F441C"/>
    <w:rsid w:val="000F4456"/>
    <w:rsid w:val="000F4609"/>
    <w:rsid w:val="000F469F"/>
    <w:rsid w:val="000F4A2F"/>
    <w:rsid w:val="000F4C23"/>
    <w:rsid w:val="000F4CA2"/>
    <w:rsid w:val="000F4CFF"/>
    <w:rsid w:val="000F4F9D"/>
    <w:rsid w:val="000F51A0"/>
    <w:rsid w:val="000F528B"/>
    <w:rsid w:val="000F551D"/>
    <w:rsid w:val="000F57A1"/>
    <w:rsid w:val="000F5834"/>
    <w:rsid w:val="000F607D"/>
    <w:rsid w:val="000F60D2"/>
    <w:rsid w:val="000F60E6"/>
    <w:rsid w:val="000F6425"/>
    <w:rsid w:val="000F6598"/>
    <w:rsid w:val="000F65A7"/>
    <w:rsid w:val="000F6708"/>
    <w:rsid w:val="000F675A"/>
    <w:rsid w:val="000F6955"/>
    <w:rsid w:val="000F69C9"/>
    <w:rsid w:val="000F6CF7"/>
    <w:rsid w:val="000F6EDE"/>
    <w:rsid w:val="000F7091"/>
    <w:rsid w:val="000F70DF"/>
    <w:rsid w:val="000F7106"/>
    <w:rsid w:val="000F7764"/>
    <w:rsid w:val="000F7B0B"/>
    <w:rsid w:val="000F7F90"/>
    <w:rsid w:val="00100174"/>
    <w:rsid w:val="001002E9"/>
    <w:rsid w:val="001003F5"/>
    <w:rsid w:val="0010047E"/>
    <w:rsid w:val="001007B5"/>
    <w:rsid w:val="001009F7"/>
    <w:rsid w:val="00100BB9"/>
    <w:rsid w:val="00100C71"/>
    <w:rsid w:val="00101442"/>
    <w:rsid w:val="001016A1"/>
    <w:rsid w:val="001018E2"/>
    <w:rsid w:val="0010197D"/>
    <w:rsid w:val="001019F0"/>
    <w:rsid w:val="001019FD"/>
    <w:rsid w:val="00101C49"/>
    <w:rsid w:val="00101D75"/>
    <w:rsid w:val="00101D94"/>
    <w:rsid w:val="00102172"/>
    <w:rsid w:val="001022CB"/>
    <w:rsid w:val="001025AA"/>
    <w:rsid w:val="001025AD"/>
    <w:rsid w:val="001026E4"/>
    <w:rsid w:val="001028E7"/>
    <w:rsid w:val="00102A91"/>
    <w:rsid w:val="001032E6"/>
    <w:rsid w:val="001034E3"/>
    <w:rsid w:val="001035EB"/>
    <w:rsid w:val="00103A78"/>
    <w:rsid w:val="00103DCE"/>
    <w:rsid w:val="00103F9C"/>
    <w:rsid w:val="00104029"/>
    <w:rsid w:val="0010430F"/>
    <w:rsid w:val="001044AF"/>
    <w:rsid w:val="00104B3A"/>
    <w:rsid w:val="0010519F"/>
    <w:rsid w:val="0010523C"/>
    <w:rsid w:val="001055AA"/>
    <w:rsid w:val="001056A6"/>
    <w:rsid w:val="001056F7"/>
    <w:rsid w:val="0010599F"/>
    <w:rsid w:val="00105B34"/>
    <w:rsid w:val="00105E4C"/>
    <w:rsid w:val="001064F0"/>
    <w:rsid w:val="00106632"/>
    <w:rsid w:val="001066DF"/>
    <w:rsid w:val="001066EC"/>
    <w:rsid w:val="00106725"/>
    <w:rsid w:val="00106795"/>
    <w:rsid w:val="001068AB"/>
    <w:rsid w:val="001068B3"/>
    <w:rsid w:val="00106D4E"/>
    <w:rsid w:val="00106EB4"/>
    <w:rsid w:val="00106F09"/>
    <w:rsid w:val="001072DC"/>
    <w:rsid w:val="0010740C"/>
    <w:rsid w:val="00107482"/>
    <w:rsid w:val="00107594"/>
    <w:rsid w:val="00107899"/>
    <w:rsid w:val="001078E2"/>
    <w:rsid w:val="00107A93"/>
    <w:rsid w:val="00107BAF"/>
    <w:rsid w:val="00107CC5"/>
    <w:rsid w:val="00107F0C"/>
    <w:rsid w:val="00110086"/>
    <w:rsid w:val="00110306"/>
    <w:rsid w:val="0011039F"/>
    <w:rsid w:val="001103BA"/>
    <w:rsid w:val="0011053E"/>
    <w:rsid w:val="00110836"/>
    <w:rsid w:val="00110A05"/>
    <w:rsid w:val="00110A25"/>
    <w:rsid w:val="00110CD7"/>
    <w:rsid w:val="00110D6C"/>
    <w:rsid w:val="001113EC"/>
    <w:rsid w:val="00111639"/>
    <w:rsid w:val="0011171A"/>
    <w:rsid w:val="001119E8"/>
    <w:rsid w:val="00111A8A"/>
    <w:rsid w:val="00111E28"/>
    <w:rsid w:val="00111EE9"/>
    <w:rsid w:val="00112050"/>
    <w:rsid w:val="001120DC"/>
    <w:rsid w:val="0011215C"/>
    <w:rsid w:val="001123DC"/>
    <w:rsid w:val="00112407"/>
    <w:rsid w:val="001126F9"/>
    <w:rsid w:val="00112DF6"/>
    <w:rsid w:val="00113546"/>
    <w:rsid w:val="00113558"/>
    <w:rsid w:val="00113820"/>
    <w:rsid w:val="001138E3"/>
    <w:rsid w:val="00113FE0"/>
    <w:rsid w:val="00113FE1"/>
    <w:rsid w:val="00114694"/>
    <w:rsid w:val="001146B6"/>
    <w:rsid w:val="00114A83"/>
    <w:rsid w:val="00114B7C"/>
    <w:rsid w:val="00114B9A"/>
    <w:rsid w:val="00114CB8"/>
    <w:rsid w:val="00114E25"/>
    <w:rsid w:val="00115293"/>
    <w:rsid w:val="001153C5"/>
    <w:rsid w:val="001153FF"/>
    <w:rsid w:val="0011582F"/>
    <w:rsid w:val="001158DD"/>
    <w:rsid w:val="00115A9C"/>
    <w:rsid w:val="00115AAA"/>
    <w:rsid w:val="00115AC5"/>
    <w:rsid w:val="00115AE6"/>
    <w:rsid w:val="00115F6B"/>
    <w:rsid w:val="0011606F"/>
    <w:rsid w:val="001161BE"/>
    <w:rsid w:val="0011633F"/>
    <w:rsid w:val="001163DD"/>
    <w:rsid w:val="00116493"/>
    <w:rsid w:val="0011671F"/>
    <w:rsid w:val="0011699F"/>
    <w:rsid w:val="00116A89"/>
    <w:rsid w:val="00116B78"/>
    <w:rsid w:val="00116E8B"/>
    <w:rsid w:val="0011712A"/>
    <w:rsid w:val="00117272"/>
    <w:rsid w:val="001173B8"/>
    <w:rsid w:val="001176C0"/>
    <w:rsid w:val="00117BF9"/>
    <w:rsid w:val="00117C8B"/>
    <w:rsid w:val="00117DD1"/>
    <w:rsid w:val="0012007C"/>
    <w:rsid w:val="00120219"/>
    <w:rsid w:val="00120322"/>
    <w:rsid w:val="00120720"/>
    <w:rsid w:val="001207A3"/>
    <w:rsid w:val="00120825"/>
    <w:rsid w:val="001209BB"/>
    <w:rsid w:val="00120B99"/>
    <w:rsid w:val="00120C06"/>
    <w:rsid w:val="0012100F"/>
    <w:rsid w:val="001210F0"/>
    <w:rsid w:val="00121358"/>
    <w:rsid w:val="00121381"/>
    <w:rsid w:val="00121537"/>
    <w:rsid w:val="0012189A"/>
    <w:rsid w:val="001218FF"/>
    <w:rsid w:val="00121992"/>
    <w:rsid w:val="00121A3A"/>
    <w:rsid w:val="00121B76"/>
    <w:rsid w:val="00121C59"/>
    <w:rsid w:val="00121CF9"/>
    <w:rsid w:val="00121E6E"/>
    <w:rsid w:val="00121F14"/>
    <w:rsid w:val="001220A5"/>
    <w:rsid w:val="001220F8"/>
    <w:rsid w:val="00122290"/>
    <w:rsid w:val="0012231B"/>
    <w:rsid w:val="001223CE"/>
    <w:rsid w:val="001226BE"/>
    <w:rsid w:val="001226E4"/>
    <w:rsid w:val="0012271C"/>
    <w:rsid w:val="001229EE"/>
    <w:rsid w:val="00122AD1"/>
    <w:rsid w:val="00122B30"/>
    <w:rsid w:val="00122C6D"/>
    <w:rsid w:val="00122D11"/>
    <w:rsid w:val="00122DA3"/>
    <w:rsid w:val="00123014"/>
    <w:rsid w:val="00123189"/>
    <w:rsid w:val="0012318A"/>
    <w:rsid w:val="001232D5"/>
    <w:rsid w:val="0012342B"/>
    <w:rsid w:val="0012365F"/>
    <w:rsid w:val="001237B5"/>
    <w:rsid w:val="00123999"/>
    <w:rsid w:val="001239C5"/>
    <w:rsid w:val="00123AC7"/>
    <w:rsid w:val="00123C76"/>
    <w:rsid w:val="00123E4C"/>
    <w:rsid w:val="00123F18"/>
    <w:rsid w:val="001243CF"/>
    <w:rsid w:val="001243E8"/>
    <w:rsid w:val="001244D7"/>
    <w:rsid w:val="00124652"/>
    <w:rsid w:val="0012495E"/>
    <w:rsid w:val="00124A29"/>
    <w:rsid w:val="00124CBB"/>
    <w:rsid w:val="00124DE0"/>
    <w:rsid w:val="00124DFE"/>
    <w:rsid w:val="0012518C"/>
    <w:rsid w:val="0012519F"/>
    <w:rsid w:val="00125568"/>
    <w:rsid w:val="00125655"/>
    <w:rsid w:val="00125656"/>
    <w:rsid w:val="00125A2F"/>
    <w:rsid w:val="00125B2D"/>
    <w:rsid w:val="00125CCD"/>
    <w:rsid w:val="00125FE1"/>
    <w:rsid w:val="0012600E"/>
    <w:rsid w:val="00126332"/>
    <w:rsid w:val="00126393"/>
    <w:rsid w:val="00126514"/>
    <w:rsid w:val="00126796"/>
    <w:rsid w:val="001269B4"/>
    <w:rsid w:val="00126A3E"/>
    <w:rsid w:val="00126B58"/>
    <w:rsid w:val="00126CBB"/>
    <w:rsid w:val="0012734D"/>
    <w:rsid w:val="00127397"/>
    <w:rsid w:val="00127417"/>
    <w:rsid w:val="0012741A"/>
    <w:rsid w:val="00127465"/>
    <w:rsid w:val="00127662"/>
    <w:rsid w:val="0012782D"/>
    <w:rsid w:val="0013030E"/>
    <w:rsid w:val="0013033B"/>
    <w:rsid w:val="00130919"/>
    <w:rsid w:val="00130B5F"/>
    <w:rsid w:val="00130BDD"/>
    <w:rsid w:val="00130BE9"/>
    <w:rsid w:val="00130C6C"/>
    <w:rsid w:val="00130D2D"/>
    <w:rsid w:val="00130DB3"/>
    <w:rsid w:val="00130F2C"/>
    <w:rsid w:val="00131110"/>
    <w:rsid w:val="00131407"/>
    <w:rsid w:val="001314E0"/>
    <w:rsid w:val="001316F5"/>
    <w:rsid w:val="001319B8"/>
    <w:rsid w:val="00131A58"/>
    <w:rsid w:val="00131D46"/>
    <w:rsid w:val="00132081"/>
    <w:rsid w:val="001321AA"/>
    <w:rsid w:val="0013261E"/>
    <w:rsid w:val="001329DB"/>
    <w:rsid w:val="00132B25"/>
    <w:rsid w:val="00132B5F"/>
    <w:rsid w:val="00132BA1"/>
    <w:rsid w:val="00132C01"/>
    <w:rsid w:val="001331C5"/>
    <w:rsid w:val="0013329C"/>
    <w:rsid w:val="0013368A"/>
    <w:rsid w:val="001338F3"/>
    <w:rsid w:val="00133B79"/>
    <w:rsid w:val="00133B86"/>
    <w:rsid w:val="001340A6"/>
    <w:rsid w:val="001344FF"/>
    <w:rsid w:val="001345C2"/>
    <w:rsid w:val="0013471C"/>
    <w:rsid w:val="001347DD"/>
    <w:rsid w:val="001347FD"/>
    <w:rsid w:val="00134E6A"/>
    <w:rsid w:val="00135006"/>
    <w:rsid w:val="001350B8"/>
    <w:rsid w:val="0013531B"/>
    <w:rsid w:val="001353EB"/>
    <w:rsid w:val="00135544"/>
    <w:rsid w:val="0013554E"/>
    <w:rsid w:val="00135C0A"/>
    <w:rsid w:val="00136013"/>
    <w:rsid w:val="001360E7"/>
    <w:rsid w:val="0013637C"/>
    <w:rsid w:val="001364FD"/>
    <w:rsid w:val="0013668E"/>
    <w:rsid w:val="001367AD"/>
    <w:rsid w:val="0013691E"/>
    <w:rsid w:val="00136A16"/>
    <w:rsid w:val="00136B9D"/>
    <w:rsid w:val="00136EA7"/>
    <w:rsid w:val="001370FD"/>
    <w:rsid w:val="0013714A"/>
    <w:rsid w:val="001372B3"/>
    <w:rsid w:val="00137574"/>
    <w:rsid w:val="00137664"/>
    <w:rsid w:val="00137D57"/>
    <w:rsid w:val="00137DFE"/>
    <w:rsid w:val="00140890"/>
    <w:rsid w:val="0014090A"/>
    <w:rsid w:val="00140BE2"/>
    <w:rsid w:val="00140F59"/>
    <w:rsid w:val="0014101D"/>
    <w:rsid w:val="00141335"/>
    <w:rsid w:val="001413A2"/>
    <w:rsid w:val="00141606"/>
    <w:rsid w:val="001417B7"/>
    <w:rsid w:val="0014189E"/>
    <w:rsid w:val="00141A06"/>
    <w:rsid w:val="00141B2F"/>
    <w:rsid w:val="00141E1B"/>
    <w:rsid w:val="00141F50"/>
    <w:rsid w:val="00142697"/>
    <w:rsid w:val="001427E1"/>
    <w:rsid w:val="00142B30"/>
    <w:rsid w:val="00143091"/>
    <w:rsid w:val="001433C4"/>
    <w:rsid w:val="00143629"/>
    <w:rsid w:val="001436ED"/>
    <w:rsid w:val="001438B7"/>
    <w:rsid w:val="00143BE0"/>
    <w:rsid w:val="00143CD1"/>
    <w:rsid w:val="00143F98"/>
    <w:rsid w:val="001440A5"/>
    <w:rsid w:val="001440B2"/>
    <w:rsid w:val="00144180"/>
    <w:rsid w:val="00144721"/>
    <w:rsid w:val="0014496E"/>
    <w:rsid w:val="00144F94"/>
    <w:rsid w:val="001454F9"/>
    <w:rsid w:val="00145669"/>
    <w:rsid w:val="00145675"/>
    <w:rsid w:val="001456D1"/>
    <w:rsid w:val="0014588B"/>
    <w:rsid w:val="00145966"/>
    <w:rsid w:val="0014596D"/>
    <w:rsid w:val="00145CBC"/>
    <w:rsid w:val="00145D5D"/>
    <w:rsid w:val="00145F14"/>
    <w:rsid w:val="00145F3D"/>
    <w:rsid w:val="00146312"/>
    <w:rsid w:val="0014631D"/>
    <w:rsid w:val="00146955"/>
    <w:rsid w:val="00146F2B"/>
    <w:rsid w:val="001470C8"/>
    <w:rsid w:val="00147306"/>
    <w:rsid w:val="001476C1"/>
    <w:rsid w:val="00147711"/>
    <w:rsid w:val="00147BAA"/>
    <w:rsid w:val="001500C6"/>
    <w:rsid w:val="001502C6"/>
    <w:rsid w:val="00150406"/>
    <w:rsid w:val="001506DB"/>
    <w:rsid w:val="001506EE"/>
    <w:rsid w:val="00150861"/>
    <w:rsid w:val="00150B52"/>
    <w:rsid w:val="00150C32"/>
    <w:rsid w:val="00150C65"/>
    <w:rsid w:val="00150DD9"/>
    <w:rsid w:val="00150E4D"/>
    <w:rsid w:val="00150F0F"/>
    <w:rsid w:val="00150FAE"/>
    <w:rsid w:val="00150FFC"/>
    <w:rsid w:val="00151549"/>
    <w:rsid w:val="00151775"/>
    <w:rsid w:val="00151880"/>
    <w:rsid w:val="00151B49"/>
    <w:rsid w:val="00151E04"/>
    <w:rsid w:val="00151FC9"/>
    <w:rsid w:val="001520EF"/>
    <w:rsid w:val="00152340"/>
    <w:rsid w:val="001523D3"/>
    <w:rsid w:val="00152557"/>
    <w:rsid w:val="0015266B"/>
    <w:rsid w:val="00152687"/>
    <w:rsid w:val="001526A2"/>
    <w:rsid w:val="001526CF"/>
    <w:rsid w:val="00152EB9"/>
    <w:rsid w:val="00152F22"/>
    <w:rsid w:val="00153045"/>
    <w:rsid w:val="001532D4"/>
    <w:rsid w:val="001533AA"/>
    <w:rsid w:val="00153473"/>
    <w:rsid w:val="00153795"/>
    <w:rsid w:val="001537EB"/>
    <w:rsid w:val="001540E1"/>
    <w:rsid w:val="0015414E"/>
    <w:rsid w:val="0015446C"/>
    <w:rsid w:val="001544C6"/>
    <w:rsid w:val="001544C9"/>
    <w:rsid w:val="00154530"/>
    <w:rsid w:val="001545E6"/>
    <w:rsid w:val="001546EA"/>
    <w:rsid w:val="0015471F"/>
    <w:rsid w:val="00154C6E"/>
    <w:rsid w:val="00154D34"/>
    <w:rsid w:val="00154D84"/>
    <w:rsid w:val="00154E4F"/>
    <w:rsid w:val="00155157"/>
    <w:rsid w:val="001556A0"/>
    <w:rsid w:val="00155735"/>
    <w:rsid w:val="00155A3A"/>
    <w:rsid w:val="00155C3E"/>
    <w:rsid w:val="0015607B"/>
    <w:rsid w:val="0015651D"/>
    <w:rsid w:val="00156601"/>
    <w:rsid w:val="00156678"/>
    <w:rsid w:val="00156786"/>
    <w:rsid w:val="001568BA"/>
    <w:rsid w:val="00156BA3"/>
    <w:rsid w:val="00156C81"/>
    <w:rsid w:val="00156CA9"/>
    <w:rsid w:val="00157186"/>
    <w:rsid w:val="0015718F"/>
    <w:rsid w:val="00157705"/>
    <w:rsid w:val="00157930"/>
    <w:rsid w:val="00157A4A"/>
    <w:rsid w:val="00157BED"/>
    <w:rsid w:val="00157C72"/>
    <w:rsid w:val="00157E16"/>
    <w:rsid w:val="00157EC7"/>
    <w:rsid w:val="0016007B"/>
    <w:rsid w:val="00160209"/>
    <w:rsid w:val="001602AA"/>
    <w:rsid w:val="00160450"/>
    <w:rsid w:val="00160509"/>
    <w:rsid w:val="001605DB"/>
    <w:rsid w:val="001608D5"/>
    <w:rsid w:val="00160A04"/>
    <w:rsid w:val="00160A99"/>
    <w:rsid w:val="00160A9C"/>
    <w:rsid w:val="00160E6B"/>
    <w:rsid w:val="00160E8F"/>
    <w:rsid w:val="00160EC7"/>
    <w:rsid w:val="0016129F"/>
    <w:rsid w:val="00161304"/>
    <w:rsid w:val="0016153C"/>
    <w:rsid w:val="0016158A"/>
    <w:rsid w:val="00161633"/>
    <w:rsid w:val="0016195E"/>
    <w:rsid w:val="00161AFD"/>
    <w:rsid w:val="00161B0E"/>
    <w:rsid w:val="00162398"/>
    <w:rsid w:val="001624AC"/>
    <w:rsid w:val="001624C3"/>
    <w:rsid w:val="0016254B"/>
    <w:rsid w:val="00162576"/>
    <w:rsid w:val="0016257D"/>
    <w:rsid w:val="001625C0"/>
    <w:rsid w:val="00162608"/>
    <w:rsid w:val="00162932"/>
    <w:rsid w:val="00162C82"/>
    <w:rsid w:val="00162E6E"/>
    <w:rsid w:val="00162F07"/>
    <w:rsid w:val="00163135"/>
    <w:rsid w:val="0016360D"/>
    <w:rsid w:val="0016391F"/>
    <w:rsid w:val="00163D24"/>
    <w:rsid w:val="00163D41"/>
    <w:rsid w:val="00163D6E"/>
    <w:rsid w:val="00163FAE"/>
    <w:rsid w:val="0016438D"/>
    <w:rsid w:val="00164451"/>
    <w:rsid w:val="00164BE0"/>
    <w:rsid w:val="00164E33"/>
    <w:rsid w:val="00164FA0"/>
    <w:rsid w:val="0016510F"/>
    <w:rsid w:val="001651E5"/>
    <w:rsid w:val="001654C0"/>
    <w:rsid w:val="00165A54"/>
    <w:rsid w:val="00165C6A"/>
    <w:rsid w:val="0016606C"/>
    <w:rsid w:val="00166342"/>
    <w:rsid w:val="00166564"/>
    <w:rsid w:val="001666D8"/>
    <w:rsid w:val="001667CB"/>
    <w:rsid w:val="001667D5"/>
    <w:rsid w:val="00166902"/>
    <w:rsid w:val="00166A29"/>
    <w:rsid w:val="00167198"/>
    <w:rsid w:val="0016719D"/>
    <w:rsid w:val="00167231"/>
    <w:rsid w:val="001672EF"/>
    <w:rsid w:val="001674B8"/>
    <w:rsid w:val="001674BF"/>
    <w:rsid w:val="001675F6"/>
    <w:rsid w:val="00167735"/>
    <w:rsid w:val="00167832"/>
    <w:rsid w:val="00167873"/>
    <w:rsid w:val="00167A56"/>
    <w:rsid w:val="00167C96"/>
    <w:rsid w:val="00167DCD"/>
    <w:rsid w:val="00167E14"/>
    <w:rsid w:val="00167F2B"/>
    <w:rsid w:val="00170084"/>
    <w:rsid w:val="0017010F"/>
    <w:rsid w:val="00170177"/>
    <w:rsid w:val="0017030D"/>
    <w:rsid w:val="001705E9"/>
    <w:rsid w:val="001705EE"/>
    <w:rsid w:val="00170712"/>
    <w:rsid w:val="00170768"/>
    <w:rsid w:val="00170867"/>
    <w:rsid w:val="001708F5"/>
    <w:rsid w:val="00170EBA"/>
    <w:rsid w:val="00170FA7"/>
    <w:rsid w:val="0017106C"/>
    <w:rsid w:val="001712AB"/>
    <w:rsid w:val="00171875"/>
    <w:rsid w:val="00171C2F"/>
    <w:rsid w:val="00171D74"/>
    <w:rsid w:val="00172049"/>
    <w:rsid w:val="00172064"/>
    <w:rsid w:val="0017237D"/>
    <w:rsid w:val="00172742"/>
    <w:rsid w:val="001727C1"/>
    <w:rsid w:val="0017280F"/>
    <w:rsid w:val="001728AF"/>
    <w:rsid w:val="001728DF"/>
    <w:rsid w:val="001729F4"/>
    <w:rsid w:val="00172D0E"/>
    <w:rsid w:val="00172D19"/>
    <w:rsid w:val="00172E48"/>
    <w:rsid w:val="00172FEA"/>
    <w:rsid w:val="001731EF"/>
    <w:rsid w:val="001732A0"/>
    <w:rsid w:val="0017353D"/>
    <w:rsid w:val="00173818"/>
    <w:rsid w:val="0017391E"/>
    <w:rsid w:val="001739D5"/>
    <w:rsid w:val="00173C15"/>
    <w:rsid w:val="00173C43"/>
    <w:rsid w:val="00173DB2"/>
    <w:rsid w:val="00173DF3"/>
    <w:rsid w:val="00173E42"/>
    <w:rsid w:val="00173ECF"/>
    <w:rsid w:val="0017412C"/>
    <w:rsid w:val="00174431"/>
    <w:rsid w:val="001745DF"/>
    <w:rsid w:val="0017484F"/>
    <w:rsid w:val="0017498F"/>
    <w:rsid w:val="00174B0F"/>
    <w:rsid w:val="00174C60"/>
    <w:rsid w:val="00174D61"/>
    <w:rsid w:val="00174F2D"/>
    <w:rsid w:val="0017507C"/>
    <w:rsid w:val="00175198"/>
    <w:rsid w:val="001753DB"/>
    <w:rsid w:val="001754D7"/>
    <w:rsid w:val="0017571E"/>
    <w:rsid w:val="00175B4F"/>
    <w:rsid w:val="00175D3F"/>
    <w:rsid w:val="00175EBC"/>
    <w:rsid w:val="0017602D"/>
    <w:rsid w:val="001761EC"/>
    <w:rsid w:val="00176346"/>
    <w:rsid w:val="0017654F"/>
    <w:rsid w:val="0017659B"/>
    <w:rsid w:val="001765E6"/>
    <w:rsid w:val="0017665C"/>
    <w:rsid w:val="001766DE"/>
    <w:rsid w:val="00176933"/>
    <w:rsid w:val="00176A05"/>
    <w:rsid w:val="00176AF4"/>
    <w:rsid w:val="00176C75"/>
    <w:rsid w:val="0017738D"/>
    <w:rsid w:val="0017790C"/>
    <w:rsid w:val="00177A2D"/>
    <w:rsid w:val="00177FE3"/>
    <w:rsid w:val="001800BB"/>
    <w:rsid w:val="00180B3D"/>
    <w:rsid w:val="00180C08"/>
    <w:rsid w:val="00180C0A"/>
    <w:rsid w:val="00180D1A"/>
    <w:rsid w:val="00180EBB"/>
    <w:rsid w:val="001817D0"/>
    <w:rsid w:val="00181EEC"/>
    <w:rsid w:val="00182410"/>
    <w:rsid w:val="0018257A"/>
    <w:rsid w:val="00182821"/>
    <w:rsid w:val="001829C0"/>
    <w:rsid w:val="00182BD9"/>
    <w:rsid w:val="00182D61"/>
    <w:rsid w:val="00182FE3"/>
    <w:rsid w:val="00183123"/>
    <w:rsid w:val="0018380F"/>
    <w:rsid w:val="00183A45"/>
    <w:rsid w:val="00183BB4"/>
    <w:rsid w:val="00183C45"/>
    <w:rsid w:val="00183C74"/>
    <w:rsid w:val="001840EB"/>
    <w:rsid w:val="001844BC"/>
    <w:rsid w:val="00184765"/>
    <w:rsid w:val="00184BF9"/>
    <w:rsid w:val="00184D30"/>
    <w:rsid w:val="00184E68"/>
    <w:rsid w:val="00185183"/>
    <w:rsid w:val="00185363"/>
    <w:rsid w:val="0018575C"/>
    <w:rsid w:val="00185A09"/>
    <w:rsid w:val="00185AC0"/>
    <w:rsid w:val="00185CB0"/>
    <w:rsid w:val="00185D30"/>
    <w:rsid w:val="00186031"/>
    <w:rsid w:val="0018661F"/>
    <w:rsid w:val="00186659"/>
    <w:rsid w:val="00186871"/>
    <w:rsid w:val="00186906"/>
    <w:rsid w:val="00186D5F"/>
    <w:rsid w:val="001870C4"/>
    <w:rsid w:val="00187685"/>
    <w:rsid w:val="0018788E"/>
    <w:rsid w:val="00187B11"/>
    <w:rsid w:val="00187B4B"/>
    <w:rsid w:val="00187E32"/>
    <w:rsid w:val="001900C4"/>
    <w:rsid w:val="001908D0"/>
    <w:rsid w:val="00190D76"/>
    <w:rsid w:val="0019101A"/>
    <w:rsid w:val="001911F2"/>
    <w:rsid w:val="00191396"/>
    <w:rsid w:val="00191506"/>
    <w:rsid w:val="001917D4"/>
    <w:rsid w:val="0019181A"/>
    <w:rsid w:val="0019193E"/>
    <w:rsid w:val="00191C52"/>
    <w:rsid w:val="00191D54"/>
    <w:rsid w:val="0019222E"/>
    <w:rsid w:val="0019267C"/>
    <w:rsid w:val="00192B00"/>
    <w:rsid w:val="00192B2A"/>
    <w:rsid w:val="00192CBE"/>
    <w:rsid w:val="00192D26"/>
    <w:rsid w:val="00192DB2"/>
    <w:rsid w:val="00192DC8"/>
    <w:rsid w:val="0019335A"/>
    <w:rsid w:val="001936E5"/>
    <w:rsid w:val="001937F7"/>
    <w:rsid w:val="001942C2"/>
    <w:rsid w:val="001943E0"/>
    <w:rsid w:val="00194855"/>
    <w:rsid w:val="001948CB"/>
    <w:rsid w:val="001949BB"/>
    <w:rsid w:val="00194CF0"/>
    <w:rsid w:val="00194E67"/>
    <w:rsid w:val="00194E88"/>
    <w:rsid w:val="00194F22"/>
    <w:rsid w:val="0019510B"/>
    <w:rsid w:val="00195271"/>
    <w:rsid w:val="00195F76"/>
    <w:rsid w:val="0019608F"/>
    <w:rsid w:val="001960A1"/>
    <w:rsid w:val="00196272"/>
    <w:rsid w:val="00196316"/>
    <w:rsid w:val="00196586"/>
    <w:rsid w:val="0019678B"/>
    <w:rsid w:val="00196C70"/>
    <w:rsid w:val="00197391"/>
    <w:rsid w:val="0019749E"/>
    <w:rsid w:val="00197557"/>
    <w:rsid w:val="001975DA"/>
    <w:rsid w:val="0019779A"/>
    <w:rsid w:val="001977A7"/>
    <w:rsid w:val="001977E3"/>
    <w:rsid w:val="001978E4"/>
    <w:rsid w:val="00197CB9"/>
    <w:rsid w:val="00197E2D"/>
    <w:rsid w:val="001A03B9"/>
    <w:rsid w:val="001A0449"/>
    <w:rsid w:val="001A045D"/>
    <w:rsid w:val="001A052C"/>
    <w:rsid w:val="001A05D3"/>
    <w:rsid w:val="001A07BC"/>
    <w:rsid w:val="001A0A16"/>
    <w:rsid w:val="001A0BAE"/>
    <w:rsid w:val="001A1141"/>
    <w:rsid w:val="001A1233"/>
    <w:rsid w:val="001A1406"/>
    <w:rsid w:val="001A1599"/>
    <w:rsid w:val="001A160B"/>
    <w:rsid w:val="001A16CF"/>
    <w:rsid w:val="001A16FF"/>
    <w:rsid w:val="001A171B"/>
    <w:rsid w:val="001A1892"/>
    <w:rsid w:val="001A1C38"/>
    <w:rsid w:val="001A1D60"/>
    <w:rsid w:val="001A1EF1"/>
    <w:rsid w:val="001A2077"/>
    <w:rsid w:val="001A208F"/>
    <w:rsid w:val="001A2289"/>
    <w:rsid w:val="001A22A9"/>
    <w:rsid w:val="001A23A0"/>
    <w:rsid w:val="001A2553"/>
    <w:rsid w:val="001A2788"/>
    <w:rsid w:val="001A2844"/>
    <w:rsid w:val="001A2942"/>
    <w:rsid w:val="001A29D2"/>
    <w:rsid w:val="001A2C4F"/>
    <w:rsid w:val="001A2D72"/>
    <w:rsid w:val="001A2FAB"/>
    <w:rsid w:val="001A313D"/>
    <w:rsid w:val="001A31F1"/>
    <w:rsid w:val="001A32A8"/>
    <w:rsid w:val="001A36B1"/>
    <w:rsid w:val="001A3CC6"/>
    <w:rsid w:val="001A3FF3"/>
    <w:rsid w:val="001A422E"/>
    <w:rsid w:val="001A45F7"/>
    <w:rsid w:val="001A4639"/>
    <w:rsid w:val="001A46A5"/>
    <w:rsid w:val="001A46C2"/>
    <w:rsid w:val="001A475B"/>
    <w:rsid w:val="001A4898"/>
    <w:rsid w:val="001A4E9F"/>
    <w:rsid w:val="001A506D"/>
    <w:rsid w:val="001A53B2"/>
    <w:rsid w:val="001A5460"/>
    <w:rsid w:val="001A54B0"/>
    <w:rsid w:val="001A54F4"/>
    <w:rsid w:val="001A5540"/>
    <w:rsid w:val="001A5794"/>
    <w:rsid w:val="001A5806"/>
    <w:rsid w:val="001A596C"/>
    <w:rsid w:val="001A5CB7"/>
    <w:rsid w:val="001A5CC0"/>
    <w:rsid w:val="001A645A"/>
    <w:rsid w:val="001A6658"/>
    <w:rsid w:val="001A6719"/>
    <w:rsid w:val="001A6748"/>
    <w:rsid w:val="001A677B"/>
    <w:rsid w:val="001A68F2"/>
    <w:rsid w:val="001A6AFA"/>
    <w:rsid w:val="001A6BBA"/>
    <w:rsid w:val="001A6C78"/>
    <w:rsid w:val="001A6D8D"/>
    <w:rsid w:val="001A7551"/>
    <w:rsid w:val="001A75D4"/>
    <w:rsid w:val="001A760E"/>
    <w:rsid w:val="001A762A"/>
    <w:rsid w:val="001A7785"/>
    <w:rsid w:val="001A7894"/>
    <w:rsid w:val="001A79BF"/>
    <w:rsid w:val="001A7B4A"/>
    <w:rsid w:val="001A7E9A"/>
    <w:rsid w:val="001A7ED3"/>
    <w:rsid w:val="001A7EF5"/>
    <w:rsid w:val="001B05A3"/>
    <w:rsid w:val="001B067D"/>
    <w:rsid w:val="001B06BD"/>
    <w:rsid w:val="001B0720"/>
    <w:rsid w:val="001B08DF"/>
    <w:rsid w:val="001B0911"/>
    <w:rsid w:val="001B0C45"/>
    <w:rsid w:val="001B0E42"/>
    <w:rsid w:val="001B0FC7"/>
    <w:rsid w:val="001B11E1"/>
    <w:rsid w:val="001B1270"/>
    <w:rsid w:val="001B1567"/>
    <w:rsid w:val="001B18BE"/>
    <w:rsid w:val="001B1A0B"/>
    <w:rsid w:val="001B1AC6"/>
    <w:rsid w:val="001B1B2D"/>
    <w:rsid w:val="001B1B88"/>
    <w:rsid w:val="001B1F6E"/>
    <w:rsid w:val="001B2083"/>
    <w:rsid w:val="001B2392"/>
    <w:rsid w:val="001B23DC"/>
    <w:rsid w:val="001B251E"/>
    <w:rsid w:val="001B2590"/>
    <w:rsid w:val="001B25E1"/>
    <w:rsid w:val="001B2623"/>
    <w:rsid w:val="001B262A"/>
    <w:rsid w:val="001B2630"/>
    <w:rsid w:val="001B283E"/>
    <w:rsid w:val="001B2A2A"/>
    <w:rsid w:val="001B2E46"/>
    <w:rsid w:val="001B2E9F"/>
    <w:rsid w:val="001B301B"/>
    <w:rsid w:val="001B31B4"/>
    <w:rsid w:val="001B3325"/>
    <w:rsid w:val="001B3374"/>
    <w:rsid w:val="001B353E"/>
    <w:rsid w:val="001B3709"/>
    <w:rsid w:val="001B3950"/>
    <w:rsid w:val="001B3EC6"/>
    <w:rsid w:val="001B3EF2"/>
    <w:rsid w:val="001B41C1"/>
    <w:rsid w:val="001B4430"/>
    <w:rsid w:val="001B44C4"/>
    <w:rsid w:val="001B4745"/>
    <w:rsid w:val="001B4FC1"/>
    <w:rsid w:val="001B4FEB"/>
    <w:rsid w:val="001B511F"/>
    <w:rsid w:val="001B5188"/>
    <w:rsid w:val="001B52C9"/>
    <w:rsid w:val="001B5465"/>
    <w:rsid w:val="001B58B9"/>
    <w:rsid w:val="001B5955"/>
    <w:rsid w:val="001B59E5"/>
    <w:rsid w:val="001B5A90"/>
    <w:rsid w:val="001B5AD7"/>
    <w:rsid w:val="001B5DEF"/>
    <w:rsid w:val="001B5EA2"/>
    <w:rsid w:val="001B6351"/>
    <w:rsid w:val="001B65A4"/>
    <w:rsid w:val="001B66FE"/>
    <w:rsid w:val="001B6A5A"/>
    <w:rsid w:val="001B6E23"/>
    <w:rsid w:val="001B6E63"/>
    <w:rsid w:val="001B6F9A"/>
    <w:rsid w:val="001B6FC2"/>
    <w:rsid w:val="001B7021"/>
    <w:rsid w:val="001B70E6"/>
    <w:rsid w:val="001B721D"/>
    <w:rsid w:val="001B7C66"/>
    <w:rsid w:val="001B7CAD"/>
    <w:rsid w:val="001B7D37"/>
    <w:rsid w:val="001B7DEB"/>
    <w:rsid w:val="001B7EDF"/>
    <w:rsid w:val="001C003B"/>
    <w:rsid w:val="001C003C"/>
    <w:rsid w:val="001C0202"/>
    <w:rsid w:val="001C03D8"/>
    <w:rsid w:val="001C05CF"/>
    <w:rsid w:val="001C06A2"/>
    <w:rsid w:val="001C0701"/>
    <w:rsid w:val="001C0A27"/>
    <w:rsid w:val="001C0A2D"/>
    <w:rsid w:val="001C0AC6"/>
    <w:rsid w:val="001C0AD5"/>
    <w:rsid w:val="001C0BDC"/>
    <w:rsid w:val="001C0DC3"/>
    <w:rsid w:val="001C1447"/>
    <w:rsid w:val="001C1874"/>
    <w:rsid w:val="001C1A82"/>
    <w:rsid w:val="001C1B50"/>
    <w:rsid w:val="001C1D29"/>
    <w:rsid w:val="001C1EA9"/>
    <w:rsid w:val="001C1ED9"/>
    <w:rsid w:val="001C2523"/>
    <w:rsid w:val="001C28DE"/>
    <w:rsid w:val="001C2931"/>
    <w:rsid w:val="001C2B53"/>
    <w:rsid w:val="001C2CCF"/>
    <w:rsid w:val="001C2F25"/>
    <w:rsid w:val="001C2F8C"/>
    <w:rsid w:val="001C3480"/>
    <w:rsid w:val="001C3776"/>
    <w:rsid w:val="001C37F8"/>
    <w:rsid w:val="001C401E"/>
    <w:rsid w:val="001C440E"/>
    <w:rsid w:val="001C462E"/>
    <w:rsid w:val="001C465D"/>
    <w:rsid w:val="001C4BBB"/>
    <w:rsid w:val="001C4C6C"/>
    <w:rsid w:val="001C53F1"/>
    <w:rsid w:val="001C54FE"/>
    <w:rsid w:val="001C55BC"/>
    <w:rsid w:val="001C55F1"/>
    <w:rsid w:val="001C56C6"/>
    <w:rsid w:val="001C56ED"/>
    <w:rsid w:val="001C58CB"/>
    <w:rsid w:val="001C5A09"/>
    <w:rsid w:val="001C5A81"/>
    <w:rsid w:val="001C5C0A"/>
    <w:rsid w:val="001C5D25"/>
    <w:rsid w:val="001C5EAE"/>
    <w:rsid w:val="001C6086"/>
    <w:rsid w:val="001C6357"/>
    <w:rsid w:val="001C63E2"/>
    <w:rsid w:val="001C64AD"/>
    <w:rsid w:val="001C6618"/>
    <w:rsid w:val="001C67A4"/>
    <w:rsid w:val="001C67AC"/>
    <w:rsid w:val="001C6AF1"/>
    <w:rsid w:val="001C6C71"/>
    <w:rsid w:val="001C6F12"/>
    <w:rsid w:val="001C7046"/>
    <w:rsid w:val="001C7144"/>
    <w:rsid w:val="001C718D"/>
    <w:rsid w:val="001C71E9"/>
    <w:rsid w:val="001C73FB"/>
    <w:rsid w:val="001C759F"/>
    <w:rsid w:val="001C7854"/>
    <w:rsid w:val="001C78A7"/>
    <w:rsid w:val="001C7963"/>
    <w:rsid w:val="001C7C6C"/>
    <w:rsid w:val="001C7E76"/>
    <w:rsid w:val="001D00DE"/>
    <w:rsid w:val="001D01F2"/>
    <w:rsid w:val="001D022A"/>
    <w:rsid w:val="001D0259"/>
    <w:rsid w:val="001D027B"/>
    <w:rsid w:val="001D0C12"/>
    <w:rsid w:val="001D0D05"/>
    <w:rsid w:val="001D0D86"/>
    <w:rsid w:val="001D0EBB"/>
    <w:rsid w:val="001D1022"/>
    <w:rsid w:val="001D10C3"/>
    <w:rsid w:val="001D11B4"/>
    <w:rsid w:val="001D138B"/>
    <w:rsid w:val="001D1565"/>
    <w:rsid w:val="001D15B4"/>
    <w:rsid w:val="001D18F8"/>
    <w:rsid w:val="001D19B4"/>
    <w:rsid w:val="001D1A3A"/>
    <w:rsid w:val="001D1B05"/>
    <w:rsid w:val="001D1B06"/>
    <w:rsid w:val="001D1C12"/>
    <w:rsid w:val="001D1C21"/>
    <w:rsid w:val="001D1CE1"/>
    <w:rsid w:val="001D2149"/>
    <w:rsid w:val="001D21F0"/>
    <w:rsid w:val="001D2629"/>
    <w:rsid w:val="001D28FC"/>
    <w:rsid w:val="001D2985"/>
    <w:rsid w:val="001D2A1C"/>
    <w:rsid w:val="001D2A30"/>
    <w:rsid w:val="001D2A59"/>
    <w:rsid w:val="001D2CAF"/>
    <w:rsid w:val="001D2D3C"/>
    <w:rsid w:val="001D2FFA"/>
    <w:rsid w:val="001D306D"/>
    <w:rsid w:val="001D306E"/>
    <w:rsid w:val="001D3228"/>
    <w:rsid w:val="001D32FD"/>
    <w:rsid w:val="001D3306"/>
    <w:rsid w:val="001D34F7"/>
    <w:rsid w:val="001D37A9"/>
    <w:rsid w:val="001D3830"/>
    <w:rsid w:val="001D3975"/>
    <w:rsid w:val="001D3AAE"/>
    <w:rsid w:val="001D3B13"/>
    <w:rsid w:val="001D3B32"/>
    <w:rsid w:val="001D3BC3"/>
    <w:rsid w:val="001D3EF6"/>
    <w:rsid w:val="001D406E"/>
    <w:rsid w:val="001D4130"/>
    <w:rsid w:val="001D439F"/>
    <w:rsid w:val="001D4428"/>
    <w:rsid w:val="001D4469"/>
    <w:rsid w:val="001D452B"/>
    <w:rsid w:val="001D45A6"/>
    <w:rsid w:val="001D470C"/>
    <w:rsid w:val="001D4BED"/>
    <w:rsid w:val="001D4C5C"/>
    <w:rsid w:val="001D4C78"/>
    <w:rsid w:val="001D52B1"/>
    <w:rsid w:val="001D52D8"/>
    <w:rsid w:val="001D52E1"/>
    <w:rsid w:val="001D5550"/>
    <w:rsid w:val="001D59A4"/>
    <w:rsid w:val="001D5B69"/>
    <w:rsid w:val="001D5E6E"/>
    <w:rsid w:val="001D6025"/>
    <w:rsid w:val="001D60A3"/>
    <w:rsid w:val="001D60CE"/>
    <w:rsid w:val="001D6125"/>
    <w:rsid w:val="001D6132"/>
    <w:rsid w:val="001D6134"/>
    <w:rsid w:val="001D61B9"/>
    <w:rsid w:val="001D6425"/>
    <w:rsid w:val="001D6630"/>
    <w:rsid w:val="001D6784"/>
    <w:rsid w:val="001D69DB"/>
    <w:rsid w:val="001D703D"/>
    <w:rsid w:val="001D7174"/>
    <w:rsid w:val="001D72D9"/>
    <w:rsid w:val="001D75CB"/>
    <w:rsid w:val="001D7636"/>
    <w:rsid w:val="001D7663"/>
    <w:rsid w:val="001D772C"/>
    <w:rsid w:val="001D7808"/>
    <w:rsid w:val="001D7952"/>
    <w:rsid w:val="001D7A00"/>
    <w:rsid w:val="001D7B04"/>
    <w:rsid w:val="001D7C14"/>
    <w:rsid w:val="001D7C88"/>
    <w:rsid w:val="001D7E0A"/>
    <w:rsid w:val="001D7FF4"/>
    <w:rsid w:val="001E018F"/>
    <w:rsid w:val="001E02F5"/>
    <w:rsid w:val="001E05FA"/>
    <w:rsid w:val="001E0966"/>
    <w:rsid w:val="001E0A51"/>
    <w:rsid w:val="001E0B0B"/>
    <w:rsid w:val="001E0B10"/>
    <w:rsid w:val="001E0C38"/>
    <w:rsid w:val="001E0D59"/>
    <w:rsid w:val="001E122F"/>
    <w:rsid w:val="001E158F"/>
    <w:rsid w:val="001E15D6"/>
    <w:rsid w:val="001E1956"/>
    <w:rsid w:val="001E1C5B"/>
    <w:rsid w:val="001E1E54"/>
    <w:rsid w:val="001E1EED"/>
    <w:rsid w:val="001E21A3"/>
    <w:rsid w:val="001E2232"/>
    <w:rsid w:val="001E22B5"/>
    <w:rsid w:val="001E22C5"/>
    <w:rsid w:val="001E234F"/>
    <w:rsid w:val="001E2571"/>
    <w:rsid w:val="001E258E"/>
    <w:rsid w:val="001E2599"/>
    <w:rsid w:val="001E27C0"/>
    <w:rsid w:val="001E2801"/>
    <w:rsid w:val="001E290E"/>
    <w:rsid w:val="001E2927"/>
    <w:rsid w:val="001E2BC8"/>
    <w:rsid w:val="001E33FA"/>
    <w:rsid w:val="001E35DF"/>
    <w:rsid w:val="001E3E19"/>
    <w:rsid w:val="001E400E"/>
    <w:rsid w:val="001E4245"/>
    <w:rsid w:val="001E4669"/>
    <w:rsid w:val="001E4724"/>
    <w:rsid w:val="001E4775"/>
    <w:rsid w:val="001E4962"/>
    <w:rsid w:val="001E4B41"/>
    <w:rsid w:val="001E4B5E"/>
    <w:rsid w:val="001E4CD3"/>
    <w:rsid w:val="001E4CE8"/>
    <w:rsid w:val="001E4E80"/>
    <w:rsid w:val="001E5216"/>
    <w:rsid w:val="001E53CD"/>
    <w:rsid w:val="001E5807"/>
    <w:rsid w:val="001E5828"/>
    <w:rsid w:val="001E589D"/>
    <w:rsid w:val="001E5BBF"/>
    <w:rsid w:val="001E65C6"/>
    <w:rsid w:val="001E673F"/>
    <w:rsid w:val="001E6796"/>
    <w:rsid w:val="001E68C0"/>
    <w:rsid w:val="001E6E59"/>
    <w:rsid w:val="001E6EEA"/>
    <w:rsid w:val="001E6F70"/>
    <w:rsid w:val="001E6F72"/>
    <w:rsid w:val="001E72D2"/>
    <w:rsid w:val="001E7403"/>
    <w:rsid w:val="001E7702"/>
    <w:rsid w:val="001E7917"/>
    <w:rsid w:val="001E7932"/>
    <w:rsid w:val="001E7A33"/>
    <w:rsid w:val="001E7A74"/>
    <w:rsid w:val="001E7AB3"/>
    <w:rsid w:val="001E7C52"/>
    <w:rsid w:val="001E7EC5"/>
    <w:rsid w:val="001F0050"/>
    <w:rsid w:val="001F044C"/>
    <w:rsid w:val="001F05C6"/>
    <w:rsid w:val="001F0685"/>
    <w:rsid w:val="001F0693"/>
    <w:rsid w:val="001F092D"/>
    <w:rsid w:val="001F09FE"/>
    <w:rsid w:val="001F0A1F"/>
    <w:rsid w:val="001F0A29"/>
    <w:rsid w:val="001F0AF5"/>
    <w:rsid w:val="001F0B60"/>
    <w:rsid w:val="001F0B95"/>
    <w:rsid w:val="001F0D66"/>
    <w:rsid w:val="001F0E6B"/>
    <w:rsid w:val="001F0E95"/>
    <w:rsid w:val="001F0EED"/>
    <w:rsid w:val="001F0EF3"/>
    <w:rsid w:val="001F0F39"/>
    <w:rsid w:val="001F0FC0"/>
    <w:rsid w:val="001F100C"/>
    <w:rsid w:val="001F113D"/>
    <w:rsid w:val="001F11AE"/>
    <w:rsid w:val="001F16F4"/>
    <w:rsid w:val="001F17C1"/>
    <w:rsid w:val="001F1C13"/>
    <w:rsid w:val="001F229F"/>
    <w:rsid w:val="001F249C"/>
    <w:rsid w:val="001F250E"/>
    <w:rsid w:val="001F265E"/>
    <w:rsid w:val="001F287B"/>
    <w:rsid w:val="001F28DE"/>
    <w:rsid w:val="001F2C21"/>
    <w:rsid w:val="001F2D9C"/>
    <w:rsid w:val="001F2F59"/>
    <w:rsid w:val="001F2FD4"/>
    <w:rsid w:val="001F307F"/>
    <w:rsid w:val="001F30A7"/>
    <w:rsid w:val="001F3597"/>
    <w:rsid w:val="001F3897"/>
    <w:rsid w:val="001F3A63"/>
    <w:rsid w:val="001F3DD8"/>
    <w:rsid w:val="001F3E53"/>
    <w:rsid w:val="001F4252"/>
    <w:rsid w:val="001F4325"/>
    <w:rsid w:val="001F4370"/>
    <w:rsid w:val="001F43CB"/>
    <w:rsid w:val="001F44D1"/>
    <w:rsid w:val="001F46BE"/>
    <w:rsid w:val="001F47D3"/>
    <w:rsid w:val="001F48F4"/>
    <w:rsid w:val="001F4A8C"/>
    <w:rsid w:val="001F51DC"/>
    <w:rsid w:val="001F524A"/>
    <w:rsid w:val="001F5298"/>
    <w:rsid w:val="001F52B0"/>
    <w:rsid w:val="001F52FD"/>
    <w:rsid w:val="001F53BC"/>
    <w:rsid w:val="001F5677"/>
    <w:rsid w:val="001F5798"/>
    <w:rsid w:val="001F5A98"/>
    <w:rsid w:val="001F5B68"/>
    <w:rsid w:val="001F5F01"/>
    <w:rsid w:val="001F5F21"/>
    <w:rsid w:val="001F6085"/>
    <w:rsid w:val="001F61CB"/>
    <w:rsid w:val="001F61F7"/>
    <w:rsid w:val="001F6214"/>
    <w:rsid w:val="001F638A"/>
    <w:rsid w:val="001F63C2"/>
    <w:rsid w:val="001F640C"/>
    <w:rsid w:val="001F66C7"/>
    <w:rsid w:val="001F6738"/>
    <w:rsid w:val="001F68F5"/>
    <w:rsid w:val="001F6A86"/>
    <w:rsid w:val="001F6DD5"/>
    <w:rsid w:val="001F6DE8"/>
    <w:rsid w:val="001F6E5B"/>
    <w:rsid w:val="001F6F9F"/>
    <w:rsid w:val="001F71CC"/>
    <w:rsid w:val="001F73BC"/>
    <w:rsid w:val="001F7444"/>
    <w:rsid w:val="001F751A"/>
    <w:rsid w:val="001F7610"/>
    <w:rsid w:val="001F76B0"/>
    <w:rsid w:val="001F7B07"/>
    <w:rsid w:val="00200009"/>
    <w:rsid w:val="00200232"/>
    <w:rsid w:val="0020040C"/>
    <w:rsid w:val="002005E6"/>
    <w:rsid w:val="00200A2B"/>
    <w:rsid w:val="00201063"/>
    <w:rsid w:val="0020120E"/>
    <w:rsid w:val="00201328"/>
    <w:rsid w:val="002014C0"/>
    <w:rsid w:val="002019CA"/>
    <w:rsid w:val="00202030"/>
    <w:rsid w:val="002021AC"/>
    <w:rsid w:val="00202366"/>
    <w:rsid w:val="00202430"/>
    <w:rsid w:val="0020249D"/>
    <w:rsid w:val="002024C2"/>
    <w:rsid w:val="0020251A"/>
    <w:rsid w:val="0020279C"/>
    <w:rsid w:val="002027A1"/>
    <w:rsid w:val="0020282B"/>
    <w:rsid w:val="00202943"/>
    <w:rsid w:val="00202B10"/>
    <w:rsid w:val="00202BC4"/>
    <w:rsid w:val="00202EBE"/>
    <w:rsid w:val="00203157"/>
    <w:rsid w:val="00203383"/>
    <w:rsid w:val="00203702"/>
    <w:rsid w:val="0020385E"/>
    <w:rsid w:val="00203D18"/>
    <w:rsid w:val="00203F21"/>
    <w:rsid w:val="002043CC"/>
    <w:rsid w:val="002045E8"/>
    <w:rsid w:val="00204903"/>
    <w:rsid w:val="00204B48"/>
    <w:rsid w:val="00204C26"/>
    <w:rsid w:val="00204D3E"/>
    <w:rsid w:val="0020502A"/>
    <w:rsid w:val="00205219"/>
    <w:rsid w:val="0020546D"/>
    <w:rsid w:val="00205C33"/>
    <w:rsid w:val="00205D8C"/>
    <w:rsid w:val="002062FB"/>
    <w:rsid w:val="002064A6"/>
    <w:rsid w:val="00206627"/>
    <w:rsid w:val="00206865"/>
    <w:rsid w:val="00206C2A"/>
    <w:rsid w:val="00206D41"/>
    <w:rsid w:val="00206E15"/>
    <w:rsid w:val="00206EE8"/>
    <w:rsid w:val="0020720B"/>
    <w:rsid w:val="00207368"/>
    <w:rsid w:val="00207653"/>
    <w:rsid w:val="002077BD"/>
    <w:rsid w:val="0020787D"/>
    <w:rsid w:val="00207BC5"/>
    <w:rsid w:val="00207CED"/>
    <w:rsid w:val="00207DAC"/>
    <w:rsid w:val="00207DB9"/>
    <w:rsid w:val="00207FC9"/>
    <w:rsid w:val="00207FF4"/>
    <w:rsid w:val="002104C1"/>
    <w:rsid w:val="0021075B"/>
    <w:rsid w:val="0021076F"/>
    <w:rsid w:val="002108CA"/>
    <w:rsid w:val="00210B00"/>
    <w:rsid w:val="00210B83"/>
    <w:rsid w:val="00210CD5"/>
    <w:rsid w:val="00210D59"/>
    <w:rsid w:val="00210D9B"/>
    <w:rsid w:val="0021164C"/>
    <w:rsid w:val="002117A2"/>
    <w:rsid w:val="002118A3"/>
    <w:rsid w:val="002118F2"/>
    <w:rsid w:val="002119F6"/>
    <w:rsid w:val="00211C92"/>
    <w:rsid w:val="00211CC0"/>
    <w:rsid w:val="00211CDF"/>
    <w:rsid w:val="00211D36"/>
    <w:rsid w:val="00211EC4"/>
    <w:rsid w:val="00212166"/>
    <w:rsid w:val="0021229C"/>
    <w:rsid w:val="00212451"/>
    <w:rsid w:val="002126A4"/>
    <w:rsid w:val="00212B2A"/>
    <w:rsid w:val="00212B61"/>
    <w:rsid w:val="00212BF7"/>
    <w:rsid w:val="00212D5C"/>
    <w:rsid w:val="00212D7A"/>
    <w:rsid w:val="00212E0A"/>
    <w:rsid w:val="002134CF"/>
    <w:rsid w:val="0021351C"/>
    <w:rsid w:val="00213541"/>
    <w:rsid w:val="002137C9"/>
    <w:rsid w:val="00213908"/>
    <w:rsid w:val="00213A0F"/>
    <w:rsid w:val="00213B29"/>
    <w:rsid w:val="002140B2"/>
    <w:rsid w:val="0021427D"/>
    <w:rsid w:val="002145C4"/>
    <w:rsid w:val="00214711"/>
    <w:rsid w:val="00214804"/>
    <w:rsid w:val="002148F3"/>
    <w:rsid w:val="00214F6A"/>
    <w:rsid w:val="0021546C"/>
    <w:rsid w:val="00215696"/>
    <w:rsid w:val="0021578F"/>
    <w:rsid w:val="002158DF"/>
    <w:rsid w:val="00215A98"/>
    <w:rsid w:val="00215B48"/>
    <w:rsid w:val="00215E0B"/>
    <w:rsid w:val="00215F29"/>
    <w:rsid w:val="00215F54"/>
    <w:rsid w:val="0021601F"/>
    <w:rsid w:val="00216067"/>
    <w:rsid w:val="00216168"/>
    <w:rsid w:val="0021624F"/>
    <w:rsid w:val="00216313"/>
    <w:rsid w:val="00216398"/>
    <w:rsid w:val="002165B8"/>
    <w:rsid w:val="002169B7"/>
    <w:rsid w:val="002169F8"/>
    <w:rsid w:val="00216DEC"/>
    <w:rsid w:val="002170DE"/>
    <w:rsid w:val="00217263"/>
    <w:rsid w:val="0021795E"/>
    <w:rsid w:val="00217BFD"/>
    <w:rsid w:val="00217CEF"/>
    <w:rsid w:val="00217CFC"/>
    <w:rsid w:val="00217D14"/>
    <w:rsid w:val="00217EB9"/>
    <w:rsid w:val="00217EC3"/>
    <w:rsid w:val="00217EDC"/>
    <w:rsid w:val="00217F19"/>
    <w:rsid w:val="002201DC"/>
    <w:rsid w:val="002201DF"/>
    <w:rsid w:val="0022031B"/>
    <w:rsid w:val="00220476"/>
    <w:rsid w:val="002205F6"/>
    <w:rsid w:val="00220810"/>
    <w:rsid w:val="00220AFE"/>
    <w:rsid w:val="00220C12"/>
    <w:rsid w:val="00220E5F"/>
    <w:rsid w:val="00221228"/>
    <w:rsid w:val="0022133A"/>
    <w:rsid w:val="002214C6"/>
    <w:rsid w:val="002215A8"/>
    <w:rsid w:val="0022162D"/>
    <w:rsid w:val="002216D0"/>
    <w:rsid w:val="00221874"/>
    <w:rsid w:val="00221C99"/>
    <w:rsid w:val="00221E2C"/>
    <w:rsid w:val="00222021"/>
    <w:rsid w:val="0022224A"/>
    <w:rsid w:val="00222483"/>
    <w:rsid w:val="00222630"/>
    <w:rsid w:val="00222808"/>
    <w:rsid w:val="00222864"/>
    <w:rsid w:val="00222957"/>
    <w:rsid w:val="002229FA"/>
    <w:rsid w:val="00222B4F"/>
    <w:rsid w:val="00222BA1"/>
    <w:rsid w:val="00222E0A"/>
    <w:rsid w:val="00222EBD"/>
    <w:rsid w:val="002233AF"/>
    <w:rsid w:val="00223481"/>
    <w:rsid w:val="00223651"/>
    <w:rsid w:val="00223732"/>
    <w:rsid w:val="0022381A"/>
    <w:rsid w:val="00223844"/>
    <w:rsid w:val="00223E4D"/>
    <w:rsid w:val="00224391"/>
    <w:rsid w:val="0022445C"/>
    <w:rsid w:val="002246A6"/>
    <w:rsid w:val="00224802"/>
    <w:rsid w:val="0022488A"/>
    <w:rsid w:val="00224A0C"/>
    <w:rsid w:val="00224A11"/>
    <w:rsid w:val="00224C30"/>
    <w:rsid w:val="00224DC3"/>
    <w:rsid w:val="00224EBC"/>
    <w:rsid w:val="00224ED5"/>
    <w:rsid w:val="00224F4B"/>
    <w:rsid w:val="002252EC"/>
    <w:rsid w:val="002253F3"/>
    <w:rsid w:val="00225694"/>
    <w:rsid w:val="002258EF"/>
    <w:rsid w:val="00225BBE"/>
    <w:rsid w:val="00225EA0"/>
    <w:rsid w:val="00225F99"/>
    <w:rsid w:val="00226375"/>
    <w:rsid w:val="0022649A"/>
    <w:rsid w:val="002264FF"/>
    <w:rsid w:val="00226799"/>
    <w:rsid w:val="00226B43"/>
    <w:rsid w:val="002270A6"/>
    <w:rsid w:val="00227273"/>
    <w:rsid w:val="002272CC"/>
    <w:rsid w:val="0022731B"/>
    <w:rsid w:val="002273AA"/>
    <w:rsid w:val="00227415"/>
    <w:rsid w:val="0022743A"/>
    <w:rsid w:val="00227554"/>
    <w:rsid w:val="002275AF"/>
    <w:rsid w:val="002276DF"/>
    <w:rsid w:val="00227D5E"/>
    <w:rsid w:val="002308DE"/>
    <w:rsid w:val="0023090A"/>
    <w:rsid w:val="00230937"/>
    <w:rsid w:val="00230B5C"/>
    <w:rsid w:val="00230C40"/>
    <w:rsid w:val="00230CF9"/>
    <w:rsid w:val="00230DCB"/>
    <w:rsid w:val="00231048"/>
    <w:rsid w:val="0023142B"/>
    <w:rsid w:val="0023147E"/>
    <w:rsid w:val="002315CB"/>
    <w:rsid w:val="00231735"/>
    <w:rsid w:val="00231744"/>
    <w:rsid w:val="00231CC2"/>
    <w:rsid w:val="00231E74"/>
    <w:rsid w:val="00232009"/>
    <w:rsid w:val="00232148"/>
    <w:rsid w:val="00232357"/>
    <w:rsid w:val="0023244F"/>
    <w:rsid w:val="0023251A"/>
    <w:rsid w:val="00232818"/>
    <w:rsid w:val="002328AE"/>
    <w:rsid w:val="002328F7"/>
    <w:rsid w:val="0023295F"/>
    <w:rsid w:val="00232BD0"/>
    <w:rsid w:val="00232C3E"/>
    <w:rsid w:val="00232DDA"/>
    <w:rsid w:val="00232FBB"/>
    <w:rsid w:val="0023305C"/>
    <w:rsid w:val="002330FD"/>
    <w:rsid w:val="00233106"/>
    <w:rsid w:val="00233288"/>
    <w:rsid w:val="00233A0C"/>
    <w:rsid w:val="00233ADB"/>
    <w:rsid w:val="00233C1A"/>
    <w:rsid w:val="00233CF5"/>
    <w:rsid w:val="00234226"/>
    <w:rsid w:val="002342AE"/>
    <w:rsid w:val="00234336"/>
    <w:rsid w:val="002345F8"/>
    <w:rsid w:val="002347A1"/>
    <w:rsid w:val="0023484E"/>
    <w:rsid w:val="00234B63"/>
    <w:rsid w:val="00234BC9"/>
    <w:rsid w:val="00234C82"/>
    <w:rsid w:val="00234E5F"/>
    <w:rsid w:val="002356BF"/>
    <w:rsid w:val="002359B6"/>
    <w:rsid w:val="00235B4E"/>
    <w:rsid w:val="00235BFD"/>
    <w:rsid w:val="00236109"/>
    <w:rsid w:val="0023618E"/>
    <w:rsid w:val="00236232"/>
    <w:rsid w:val="0023643D"/>
    <w:rsid w:val="002365B2"/>
    <w:rsid w:val="002368A9"/>
    <w:rsid w:val="00236B7E"/>
    <w:rsid w:val="00236D0D"/>
    <w:rsid w:val="00236E44"/>
    <w:rsid w:val="0023704C"/>
    <w:rsid w:val="0023708D"/>
    <w:rsid w:val="00237193"/>
    <w:rsid w:val="00237424"/>
    <w:rsid w:val="0023788C"/>
    <w:rsid w:val="00237CB3"/>
    <w:rsid w:val="00237DE2"/>
    <w:rsid w:val="002401CA"/>
    <w:rsid w:val="002402DF"/>
    <w:rsid w:val="002403A4"/>
    <w:rsid w:val="0024059F"/>
    <w:rsid w:val="00240798"/>
    <w:rsid w:val="0024092A"/>
    <w:rsid w:val="00240AFA"/>
    <w:rsid w:val="00240B0F"/>
    <w:rsid w:val="00240B32"/>
    <w:rsid w:val="00240E7E"/>
    <w:rsid w:val="00240EEC"/>
    <w:rsid w:val="00241085"/>
    <w:rsid w:val="002413E9"/>
    <w:rsid w:val="00241466"/>
    <w:rsid w:val="00241776"/>
    <w:rsid w:val="0024194B"/>
    <w:rsid w:val="00241973"/>
    <w:rsid w:val="00241ABE"/>
    <w:rsid w:val="00241AF9"/>
    <w:rsid w:val="00241D5C"/>
    <w:rsid w:val="00241F10"/>
    <w:rsid w:val="0024202B"/>
    <w:rsid w:val="002420AC"/>
    <w:rsid w:val="002420BB"/>
    <w:rsid w:val="00242115"/>
    <w:rsid w:val="002423D9"/>
    <w:rsid w:val="0024250E"/>
    <w:rsid w:val="00242762"/>
    <w:rsid w:val="002428EF"/>
    <w:rsid w:val="0024290F"/>
    <w:rsid w:val="00242B8A"/>
    <w:rsid w:val="00242DE1"/>
    <w:rsid w:val="00242E0B"/>
    <w:rsid w:val="00242E13"/>
    <w:rsid w:val="00242FAA"/>
    <w:rsid w:val="00242FDF"/>
    <w:rsid w:val="002430C0"/>
    <w:rsid w:val="00243171"/>
    <w:rsid w:val="00243241"/>
    <w:rsid w:val="00243318"/>
    <w:rsid w:val="002433B8"/>
    <w:rsid w:val="002435CD"/>
    <w:rsid w:val="00243708"/>
    <w:rsid w:val="002437CE"/>
    <w:rsid w:val="0024392B"/>
    <w:rsid w:val="0024395B"/>
    <w:rsid w:val="00243C31"/>
    <w:rsid w:val="00243EC2"/>
    <w:rsid w:val="0024410D"/>
    <w:rsid w:val="00244372"/>
    <w:rsid w:val="00244476"/>
    <w:rsid w:val="00244526"/>
    <w:rsid w:val="002445B7"/>
    <w:rsid w:val="002445C2"/>
    <w:rsid w:val="002446CE"/>
    <w:rsid w:val="002447F9"/>
    <w:rsid w:val="0024497D"/>
    <w:rsid w:val="002449E2"/>
    <w:rsid w:val="00244A19"/>
    <w:rsid w:val="00244D43"/>
    <w:rsid w:val="00244E1F"/>
    <w:rsid w:val="002450CF"/>
    <w:rsid w:val="002452E5"/>
    <w:rsid w:val="00245326"/>
    <w:rsid w:val="00245347"/>
    <w:rsid w:val="002453F8"/>
    <w:rsid w:val="00245631"/>
    <w:rsid w:val="00245667"/>
    <w:rsid w:val="0024579F"/>
    <w:rsid w:val="002457D8"/>
    <w:rsid w:val="00245941"/>
    <w:rsid w:val="00245A30"/>
    <w:rsid w:val="00245ADA"/>
    <w:rsid w:val="00245C77"/>
    <w:rsid w:val="00245D7C"/>
    <w:rsid w:val="00245E3C"/>
    <w:rsid w:val="00245EE2"/>
    <w:rsid w:val="00246073"/>
    <w:rsid w:val="002461F1"/>
    <w:rsid w:val="002467AD"/>
    <w:rsid w:val="002467B8"/>
    <w:rsid w:val="00246868"/>
    <w:rsid w:val="002468FE"/>
    <w:rsid w:val="0024697C"/>
    <w:rsid w:val="00246A42"/>
    <w:rsid w:val="00246BE6"/>
    <w:rsid w:val="00246E5D"/>
    <w:rsid w:val="00246FBC"/>
    <w:rsid w:val="00247020"/>
    <w:rsid w:val="002471FC"/>
    <w:rsid w:val="0024721E"/>
    <w:rsid w:val="00247272"/>
    <w:rsid w:val="002473A1"/>
    <w:rsid w:val="002473EE"/>
    <w:rsid w:val="002474D7"/>
    <w:rsid w:val="00247538"/>
    <w:rsid w:val="00247A8C"/>
    <w:rsid w:val="00247EC2"/>
    <w:rsid w:val="00247F7A"/>
    <w:rsid w:val="00247FFE"/>
    <w:rsid w:val="0025058D"/>
    <w:rsid w:val="002507E7"/>
    <w:rsid w:val="00250986"/>
    <w:rsid w:val="00250B0C"/>
    <w:rsid w:val="00250B64"/>
    <w:rsid w:val="00250BA8"/>
    <w:rsid w:val="00250C9D"/>
    <w:rsid w:val="00250E31"/>
    <w:rsid w:val="00251000"/>
    <w:rsid w:val="00251294"/>
    <w:rsid w:val="002513D5"/>
    <w:rsid w:val="002516E2"/>
    <w:rsid w:val="002516F4"/>
    <w:rsid w:val="00251946"/>
    <w:rsid w:val="00251978"/>
    <w:rsid w:val="002519DF"/>
    <w:rsid w:val="00251A49"/>
    <w:rsid w:val="00251AD4"/>
    <w:rsid w:val="00251D1B"/>
    <w:rsid w:val="00251F44"/>
    <w:rsid w:val="00251FCC"/>
    <w:rsid w:val="00252212"/>
    <w:rsid w:val="002525E8"/>
    <w:rsid w:val="002525F4"/>
    <w:rsid w:val="00252766"/>
    <w:rsid w:val="00252960"/>
    <w:rsid w:val="0025298C"/>
    <w:rsid w:val="0025299C"/>
    <w:rsid w:val="00252C3F"/>
    <w:rsid w:val="0025313F"/>
    <w:rsid w:val="00253298"/>
    <w:rsid w:val="002532DD"/>
    <w:rsid w:val="002534FF"/>
    <w:rsid w:val="00253ADF"/>
    <w:rsid w:val="00253C90"/>
    <w:rsid w:val="00253F8D"/>
    <w:rsid w:val="00253FB0"/>
    <w:rsid w:val="00254592"/>
    <w:rsid w:val="002545BE"/>
    <w:rsid w:val="002545C4"/>
    <w:rsid w:val="002545CC"/>
    <w:rsid w:val="002545D7"/>
    <w:rsid w:val="00254B38"/>
    <w:rsid w:val="00254B77"/>
    <w:rsid w:val="00254BBC"/>
    <w:rsid w:val="00254C22"/>
    <w:rsid w:val="00254E2C"/>
    <w:rsid w:val="00254F28"/>
    <w:rsid w:val="0025506E"/>
    <w:rsid w:val="00255175"/>
    <w:rsid w:val="00255426"/>
    <w:rsid w:val="002554C2"/>
    <w:rsid w:val="0025559E"/>
    <w:rsid w:val="002556AA"/>
    <w:rsid w:val="00255D86"/>
    <w:rsid w:val="00255F12"/>
    <w:rsid w:val="002566D6"/>
    <w:rsid w:val="00256815"/>
    <w:rsid w:val="00256920"/>
    <w:rsid w:val="00257589"/>
    <w:rsid w:val="00257985"/>
    <w:rsid w:val="00257C37"/>
    <w:rsid w:val="00257D7D"/>
    <w:rsid w:val="00257DA6"/>
    <w:rsid w:val="00257ED6"/>
    <w:rsid w:val="00260186"/>
    <w:rsid w:val="002602B7"/>
    <w:rsid w:val="00260313"/>
    <w:rsid w:val="002606E1"/>
    <w:rsid w:val="0026077E"/>
    <w:rsid w:val="002608D3"/>
    <w:rsid w:val="00260F16"/>
    <w:rsid w:val="00260F38"/>
    <w:rsid w:val="00260F50"/>
    <w:rsid w:val="00260F68"/>
    <w:rsid w:val="00260FA4"/>
    <w:rsid w:val="0026198E"/>
    <w:rsid w:val="00261BC0"/>
    <w:rsid w:val="00261BF5"/>
    <w:rsid w:val="00261F54"/>
    <w:rsid w:val="0026229F"/>
    <w:rsid w:val="002622C3"/>
    <w:rsid w:val="00262394"/>
    <w:rsid w:val="00262530"/>
    <w:rsid w:val="0026255A"/>
    <w:rsid w:val="00262740"/>
    <w:rsid w:val="00262A02"/>
    <w:rsid w:val="00262C7E"/>
    <w:rsid w:val="00262E2B"/>
    <w:rsid w:val="002630A7"/>
    <w:rsid w:val="00263178"/>
    <w:rsid w:val="00263308"/>
    <w:rsid w:val="0026355A"/>
    <w:rsid w:val="002635EC"/>
    <w:rsid w:val="00263900"/>
    <w:rsid w:val="002639A0"/>
    <w:rsid w:val="00263CC2"/>
    <w:rsid w:val="00263EBE"/>
    <w:rsid w:val="00263ED6"/>
    <w:rsid w:val="002642F3"/>
    <w:rsid w:val="002644F8"/>
    <w:rsid w:val="00264838"/>
    <w:rsid w:val="00264B71"/>
    <w:rsid w:val="00264DFF"/>
    <w:rsid w:val="00264E20"/>
    <w:rsid w:val="00264EA4"/>
    <w:rsid w:val="00264ECD"/>
    <w:rsid w:val="00265248"/>
    <w:rsid w:val="0026528C"/>
    <w:rsid w:val="002652F2"/>
    <w:rsid w:val="002653ED"/>
    <w:rsid w:val="002654AF"/>
    <w:rsid w:val="00265519"/>
    <w:rsid w:val="00265635"/>
    <w:rsid w:val="00265B2B"/>
    <w:rsid w:val="00265F0B"/>
    <w:rsid w:val="00266234"/>
    <w:rsid w:val="00266332"/>
    <w:rsid w:val="0026644C"/>
    <w:rsid w:val="002666D9"/>
    <w:rsid w:val="0026693D"/>
    <w:rsid w:val="00266AF4"/>
    <w:rsid w:val="00266CF6"/>
    <w:rsid w:val="00266F5C"/>
    <w:rsid w:val="002676A2"/>
    <w:rsid w:val="00267758"/>
    <w:rsid w:val="00267B86"/>
    <w:rsid w:val="00267C53"/>
    <w:rsid w:val="00267F7A"/>
    <w:rsid w:val="00270620"/>
    <w:rsid w:val="00270717"/>
    <w:rsid w:val="00270961"/>
    <w:rsid w:val="00270B95"/>
    <w:rsid w:val="00270CB2"/>
    <w:rsid w:val="00270D58"/>
    <w:rsid w:val="00271218"/>
    <w:rsid w:val="00271644"/>
    <w:rsid w:val="002717FB"/>
    <w:rsid w:val="00271A1C"/>
    <w:rsid w:val="00271A75"/>
    <w:rsid w:val="00271B69"/>
    <w:rsid w:val="00271D1A"/>
    <w:rsid w:val="00271DA5"/>
    <w:rsid w:val="00272041"/>
    <w:rsid w:val="00272263"/>
    <w:rsid w:val="00272305"/>
    <w:rsid w:val="002723A7"/>
    <w:rsid w:val="002724BD"/>
    <w:rsid w:val="00272A40"/>
    <w:rsid w:val="00272B7A"/>
    <w:rsid w:val="00272BC2"/>
    <w:rsid w:val="00272BC9"/>
    <w:rsid w:val="00273073"/>
    <w:rsid w:val="002730AD"/>
    <w:rsid w:val="00273372"/>
    <w:rsid w:val="002734FF"/>
    <w:rsid w:val="002737BD"/>
    <w:rsid w:val="00273A98"/>
    <w:rsid w:val="00273BA5"/>
    <w:rsid w:val="00274104"/>
    <w:rsid w:val="0027413B"/>
    <w:rsid w:val="002741AA"/>
    <w:rsid w:val="00274248"/>
    <w:rsid w:val="002743C8"/>
    <w:rsid w:val="00274518"/>
    <w:rsid w:val="00274675"/>
    <w:rsid w:val="00274973"/>
    <w:rsid w:val="00274AAC"/>
    <w:rsid w:val="00274D0E"/>
    <w:rsid w:val="00274DF9"/>
    <w:rsid w:val="00274E79"/>
    <w:rsid w:val="00274EB3"/>
    <w:rsid w:val="00274EB8"/>
    <w:rsid w:val="00274ECB"/>
    <w:rsid w:val="00274F16"/>
    <w:rsid w:val="00275227"/>
    <w:rsid w:val="002752DC"/>
    <w:rsid w:val="0027558A"/>
    <w:rsid w:val="00275696"/>
    <w:rsid w:val="00275741"/>
    <w:rsid w:val="00275817"/>
    <w:rsid w:val="002759D1"/>
    <w:rsid w:val="00275B6F"/>
    <w:rsid w:val="00275D79"/>
    <w:rsid w:val="00275DAA"/>
    <w:rsid w:val="00275FC8"/>
    <w:rsid w:val="002760BF"/>
    <w:rsid w:val="00276172"/>
    <w:rsid w:val="002764F6"/>
    <w:rsid w:val="002767A0"/>
    <w:rsid w:val="00276AAF"/>
    <w:rsid w:val="00276EA5"/>
    <w:rsid w:val="002770A8"/>
    <w:rsid w:val="00277332"/>
    <w:rsid w:val="00277525"/>
    <w:rsid w:val="0027757B"/>
    <w:rsid w:val="00277609"/>
    <w:rsid w:val="002777DE"/>
    <w:rsid w:val="00277825"/>
    <w:rsid w:val="00277AF3"/>
    <w:rsid w:val="00277BD2"/>
    <w:rsid w:val="00277E8E"/>
    <w:rsid w:val="002803BD"/>
    <w:rsid w:val="00280808"/>
    <w:rsid w:val="00280837"/>
    <w:rsid w:val="002809FC"/>
    <w:rsid w:val="00280AEB"/>
    <w:rsid w:val="00280C06"/>
    <w:rsid w:val="00280E69"/>
    <w:rsid w:val="00280FDC"/>
    <w:rsid w:val="00281042"/>
    <w:rsid w:val="002814C0"/>
    <w:rsid w:val="0028156D"/>
    <w:rsid w:val="0028158A"/>
    <w:rsid w:val="002815A8"/>
    <w:rsid w:val="00281630"/>
    <w:rsid w:val="002816AF"/>
    <w:rsid w:val="00281709"/>
    <w:rsid w:val="00281715"/>
    <w:rsid w:val="00281902"/>
    <w:rsid w:val="00281AE7"/>
    <w:rsid w:val="00281AFE"/>
    <w:rsid w:val="00281BA3"/>
    <w:rsid w:val="00281D08"/>
    <w:rsid w:val="00281D31"/>
    <w:rsid w:val="00281D47"/>
    <w:rsid w:val="00281EE4"/>
    <w:rsid w:val="00281FA7"/>
    <w:rsid w:val="0028206B"/>
    <w:rsid w:val="00282311"/>
    <w:rsid w:val="00282330"/>
    <w:rsid w:val="00282335"/>
    <w:rsid w:val="00282355"/>
    <w:rsid w:val="002824B5"/>
    <w:rsid w:val="00282645"/>
    <w:rsid w:val="00282744"/>
    <w:rsid w:val="00282899"/>
    <w:rsid w:val="00282A44"/>
    <w:rsid w:val="00282D8E"/>
    <w:rsid w:val="002830C8"/>
    <w:rsid w:val="0028311F"/>
    <w:rsid w:val="002835F0"/>
    <w:rsid w:val="00283694"/>
    <w:rsid w:val="0028374C"/>
    <w:rsid w:val="002837C7"/>
    <w:rsid w:val="00283A70"/>
    <w:rsid w:val="00283DDE"/>
    <w:rsid w:val="00283E03"/>
    <w:rsid w:val="00283F84"/>
    <w:rsid w:val="002840CB"/>
    <w:rsid w:val="0028411C"/>
    <w:rsid w:val="002841A6"/>
    <w:rsid w:val="0028420C"/>
    <w:rsid w:val="00284306"/>
    <w:rsid w:val="0028439E"/>
    <w:rsid w:val="002845D7"/>
    <w:rsid w:val="0028470A"/>
    <w:rsid w:val="002847B0"/>
    <w:rsid w:val="002847DA"/>
    <w:rsid w:val="0028491A"/>
    <w:rsid w:val="002849D3"/>
    <w:rsid w:val="00285005"/>
    <w:rsid w:val="0028511D"/>
    <w:rsid w:val="00285141"/>
    <w:rsid w:val="002851B9"/>
    <w:rsid w:val="0028534B"/>
    <w:rsid w:val="00285533"/>
    <w:rsid w:val="00285742"/>
    <w:rsid w:val="002857EF"/>
    <w:rsid w:val="0028580F"/>
    <w:rsid w:val="0028605A"/>
    <w:rsid w:val="00286150"/>
    <w:rsid w:val="00286151"/>
    <w:rsid w:val="0028647F"/>
    <w:rsid w:val="002864FB"/>
    <w:rsid w:val="00286625"/>
    <w:rsid w:val="00286ACF"/>
    <w:rsid w:val="00286BC6"/>
    <w:rsid w:val="00286C13"/>
    <w:rsid w:val="00286D71"/>
    <w:rsid w:val="00286E4F"/>
    <w:rsid w:val="002872B5"/>
    <w:rsid w:val="0028731A"/>
    <w:rsid w:val="00287904"/>
    <w:rsid w:val="0028790C"/>
    <w:rsid w:val="00287D38"/>
    <w:rsid w:val="00287D87"/>
    <w:rsid w:val="00287DB5"/>
    <w:rsid w:val="00287E6D"/>
    <w:rsid w:val="002903F9"/>
    <w:rsid w:val="002905A0"/>
    <w:rsid w:val="002906B5"/>
    <w:rsid w:val="00290AC2"/>
    <w:rsid w:val="00290C8B"/>
    <w:rsid w:val="0029108B"/>
    <w:rsid w:val="00291102"/>
    <w:rsid w:val="00291156"/>
    <w:rsid w:val="00291400"/>
    <w:rsid w:val="00291494"/>
    <w:rsid w:val="002915CD"/>
    <w:rsid w:val="00291834"/>
    <w:rsid w:val="00291910"/>
    <w:rsid w:val="0029191B"/>
    <w:rsid w:val="00291CE5"/>
    <w:rsid w:val="00291D38"/>
    <w:rsid w:val="00291F53"/>
    <w:rsid w:val="00292053"/>
    <w:rsid w:val="00292338"/>
    <w:rsid w:val="002924FC"/>
    <w:rsid w:val="00292664"/>
    <w:rsid w:val="002926EB"/>
    <w:rsid w:val="00292908"/>
    <w:rsid w:val="00292BF6"/>
    <w:rsid w:val="0029303B"/>
    <w:rsid w:val="002930AA"/>
    <w:rsid w:val="002930F8"/>
    <w:rsid w:val="002933E9"/>
    <w:rsid w:val="00293A9E"/>
    <w:rsid w:val="00293B4A"/>
    <w:rsid w:val="00293C33"/>
    <w:rsid w:val="00293DAF"/>
    <w:rsid w:val="00293E31"/>
    <w:rsid w:val="00293EB9"/>
    <w:rsid w:val="00293EDA"/>
    <w:rsid w:val="00293EF1"/>
    <w:rsid w:val="00293EF3"/>
    <w:rsid w:val="002941C9"/>
    <w:rsid w:val="00294248"/>
    <w:rsid w:val="00294278"/>
    <w:rsid w:val="002944CE"/>
    <w:rsid w:val="0029497D"/>
    <w:rsid w:val="00294AA1"/>
    <w:rsid w:val="00294EAD"/>
    <w:rsid w:val="00294FE8"/>
    <w:rsid w:val="00294FF3"/>
    <w:rsid w:val="00295056"/>
    <w:rsid w:val="00295178"/>
    <w:rsid w:val="002951EA"/>
    <w:rsid w:val="00295318"/>
    <w:rsid w:val="0029541F"/>
    <w:rsid w:val="00295586"/>
    <w:rsid w:val="002955D4"/>
    <w:rsid w:val="002955FA"/>
    <w:rsid w:val="002957A7"/>
    <w:rsid w:val="002959C4"/>
    <w:rsid w:val="00295FF5"/>
    <w:rsid w:val="002960D4"/>
    <w:rsid w:val="00296453"/>
    <w:rsid w:val="00296709"/>
    <w:rsid w:val="002967EE"/>
    <w:rsid w:val="00296870"/>
    <w:rsid w:val="00296A5A"/>
    <w:rsid w:val="00296D79"/>
    <w:rsid w:val="00296E83"/>
    <w:rsid w:val="00296EB4"/>
    <w:rsid w:val="00296EB8"/>
    <w:rsid w:val="00296FC6"/>
    <w:rsid w:val="0029717B"/>
    <w:rsid w:val="002973DB"/>
    <w:rsid w:val="002974E1"/>
    <w:rsid w:val="00297574"/>
    <w:rsid w:val="00297716"/>
    <w:rsid w:val="002977F2"/>
    <w:rsid w:val="00297A5E"/>
    <w:rsid w:val="00297C5C"/>
    <w:rsid w:val="00297CA0"/>
    <w:rsid w:val="00297E05"/>
    <w:rsid w:val="00297E7B"/>
    <w:rsid w:val="002A0037"/>
    <w:rsid w:val="002A009E"/>
    <w:rsid w:val="002A00BB"/>
    <w:rsid w:val="002A0153"/>
    <w:rsid w:val="002A0171"/>
    <w:rsid w:val="002A01E8"/>
    <w:rsid w:val="002A05C4"/>
    <w:rsid w:val="002A072E"/>
    <w:rsid w:val="002A0770"/>
    <w:rsid w:val="002A0791"/>
    <w:rsid w:val="002A095E"/>
    <w:rsid w:val="002A0D59"/>
    <w:rsid w:val="002A0F22"/>
    <w:rsid w:val="002A1360"/>
    <w:rsid w:val="002A13D4"/>
    <w:rsid w:val="002A156B"/>
    <w:rsid w:val="002A19F1"/>
    <w:rsid w:val="002A1E0B"/>
    <w:rsid w:val="002A1E11"/>
    <w:rsid w:val="002A1E40"/>
    <w:rsid w:val="002A216A"/>
    <w:rsid w:val="002A21E1"/>
    <w:rsid w:val="002A2211"/>
    <w:rsid w:val="002A245C"/>
    <w:rsid w:val="002A26B8"/>
    <w:rsid w:val="002A2711"/>
    <w:rsid w:val="002A27DE"/>
    <w:rsid w:val="002A2A40"/>
    <w:rsid w:val="002A2DD7"/>
    <w:rsid w:val="002A2E4C"/>
    <w:rsid w:val="002A2E9F"/>
    <w:rsid w:val="002A2F68"/>
    <w:rsid w:val="002A304F"/>
    <w:rsid w:val="002A332E"/>
    <w:rsid w:val="002A3451"/>
    <w:rsid w:val="002A3879"/>
    <w:rsid w:val="002A38C3"/>
    <w:rsid w:val="002A3922"/>
    <w:rsid w:val="002A398F"/>
    <w:rsid w:val="002A39A9"/>
    <w:rsid w:val="002A39EA"/>
    <w:rsid w:val="002A3A0A"/>
    <w:rsid w:val="002A3EE6"/>
    <w:rsid w:val="002A3F1E"/>
    <w:rsid w:val="002A3F82"/>
    <w:rsid w:val="002A44F1"/>
    <w:rsid w:val="002A45B5"/>
    <w:rsid w:val="002A46A2"/>
    <w:rsid w:val="002A46E6"/>
    <w:rsid w:val="002A48A0"/>
    <w:rsid w:val="002A492A"/>
    <w:rsid w:val="002A4C76"/>
    <w:rsid w:val="002A4E78"/>
    <w:rsid w:val="002A5144"/>
    <w:rsid w:val="002A52E9"/>
    <w:rsid w:val="002A52FE"/>
    <w:rsid w:val="002A5305"/>
    <w:rsid w:val="002A535F"/>
    <w:rsid w:val="002A56D4"/>
    <w:rsid w:val="002A570A"/>
    <w:rsid w:val="002A575F"/>
    <w:rsid w:val="002A58ED"/>
    <w:rsid w:val="002A5A52"/>
    <w:rsid w:val="002A5ACC"/>
    <w:rsid w:val="002A5F5F"/>
    <w:rsid w:val="002A5FE3"/>
    <w:rsid w:val="002A6152"/>
    <w:rsid w:val="002A616B"/>
    <w:rsid w:val="002A61AD"/>
    <w:rsid w:val="002A6212"/>
    <w:rsid w:val="002A6689"/>
    <w:rsid w:val="002A6C12"/>
    <w:rsid w:val="002A7054"/>
    <w:rsid w:val="002A707F"/>
    <w:rsid w:val="002A725C"/>
    <w:rsid w:val="002A72EC"/>
    <w:rsid w:val="002A7303"/>
    <w:rsid w:val="002A77EB"/>
    <w:rsid w:val="002A78FF"/>
    <w:rsid w:val="002A79C8"/>
    <w:rsid w:val="002A7C56"/>
    <w:rsid w:val="002A7E5B"/>
    <w:rsid w:val="002B0232"/>
    <w:rsid w:val="002B0474"/>
    <w:rsid w:val="002B052D"/>
    <w:rsid w:val="002B06AD"/>
    <w:rsid w:val="002B07BE"/>
    <w:rsid w:val="002B080B"/>
    <w:rsid w:val="002B0CE0"/>
    <w:rsid w:val="002B0D86"/>
    <w:rsid w:val="002B112C"/>
    <w:rsid w:val="002B1291"/>
    <w:rsid w:val="002B1EEF"/>
    <w:rsid w:val="002B2141"/>
    <w:rsid w:val="002B2432"/>
    <w:rsid w:val="002B247C"/>
    <w:rsid w:val="002B2A1C"/>
    <w:rsid w:val="002B2DC8"/>
    <w:rsid w:val="002B2FBC"/>
    <w:rsid w:val="002B3072"/>
    <w:rsid w:val="002B3165"/>
    <w:rsid w:val="002B3802"/>
    <w:rsid w:val="002B38AF"/>
    <w:rsid w:val="002B3AC8"/>
    <w:rsid w:val="002B3D10"/>
    <w:rsid w:val="002B41D7"/>
    <w:rsid w:val="002B432D"/>
    <w:rsid w:val="002B4844"/>
    <w:rsid w:val="002B48D1"/>
    <w:rsid w:val="002B4970"/>
    <w:rsid w:val="002B49D1"/>
    <w:rsid w:val="002B4AD7"/>
    <w:rsid w:val="002B4BE7"/>
    <w:rsid w:val="002B4CA7"/>
    <w:rsid w:val="002B4CBF"/>
    <w:rsid w:val="002B4D71"/>
    <w:rsid w:val="002B5020"/>
    <w:rsid w:val="002B5158"/>
    <w:rsid w:val="002B5162"/>
    <w:rsid w:val="002B517D"/>
    <w:rsid w:val="002B5376"/>
    <w:rsid w:val="002B6234"/>
    <w:rsid w:val="002B623B"/>
    <w:rsid w:val="002B6345"/>
    <w:rsid w:val="002B6508"/>
    <w:rsid w:val="002B66BD"/>
    <w:rsid w:val="002B69F2"/>
    <w:rsid w:val="002B6B7D"/>
    <w:rsid w:val="002B6C8A"/>
    <w:rsid w:val="002B6CBF"/>
    <w:rsid w:val="002B6EF4"/>
    <w:rsid w:val="002B6F05"/>
    <w:rsid w:val="002B7321"/>
    <w:rsid w:val="002B74F8"/>
    <w:rsid w:val="002B7551"/>
    <w:rsid w:val="002B797C"/>
    <w:rsid w:val="002B7C7F"/>
    <w:rsid w:val="002B7E92"/>
    <w:rsid w:val="002B7E9F"/>
    <w:rsid w:val="002B7F2F"/>
    <w:rsid w:val="002B7F45"/>
    <w:rsid w:val="002C011A"/>
    <w:rsid w:val="002C04C0"/>
    <w:rsid w:val="002C05F3"/>
    <w:rsid w:val="002C06BF"/>
    <w:rsid w:val="002C07E3"/>
    <w:rsid w:val="002C0AE8"/>
    <w:rsid w:val="002C0E24"/>
    <w:rsid w:val="002C0E85"/>
    <w:rsid w:val="002C0EF8"/>
    <w:rsid w:val="002C0FD3"/>
    <w:rsid w:val="002C1076"/>
    <w:rsid w:val="002C115F"/>
    <w:rsid w:val="002C14CE"/>
    <w:rsid w:val="002C16C7"/>
    <w:rsid w:val="002C1754"/>
    <w:rsid w:val="002C186E"/>
    <w:rsid w:val="002C18DD"/>
    <w:rsid w:val="002C1A7A"/>
    <w:rsid w:val="002C1B10"/>
    <w:rsid w:val="002C1CBD"/>
    <w:rsid w:val="002C2D08"/>
    <w:rsid w:val="002C2D34"/>
    <w:rsid w:val="002C2E19"/>
    <w:rsid w:val="002C2F1C"/>
    <w:rsid w:val="002C303F"/>
    <w:rsid w:val="002C320C"/>
    <w:rsid w:val="002C354D"/>
    <w:rsid w:val="002C35C6"/>
    <w:rsid w:val="002C3662"/>
    <w:rsid w:val="002C370E"/>
    <w:rsid w:val="002C3748"/>
    <w:rsid w:val="002C37E3"/>
    <w:rsid w:val="002C387A"/>
    <w:rsid w:val="002C3963"/>
    <w:rsid w:val="002C3DEC"/>
    <w:rsid w:val="002C4015"/>
    <w:rsid w:val="002C4152"/>
    <w:rsid w:val="002C48CC"/>
    <w:rsid w:val="002C48E2"/>
    <w:rsid w:val="002C4ABF"/>
    <w:rsid w:val="002C4AF5"/>
    <w:rsid w:val="002C4DA3"/>
    <w:rsid w:val="002C5076"/>
    <w:rsid w:val="002C524C"/>
    <w:rsid w:val="002C52C4"/>
    <w:rsid w:val="002C5302"/>
    <w:rsid w:val="002C5402"/>
    <w:rsid w:val="002C5445"/>
    <w:rsid w:val="002C569E"/>
    <w:rsid w:val="002C5B0F"/>
    <w:rsid w:val="002C5B72"/>
    <w:rsid w:val="002C5D4A"/>
    <w:rsid w:val="002C63AC"/>
    <w:rsid w:val="002C64E8"/>
    <w:rsid w:val="002C66BE"/>
    <w:rsid w:val="002C6734"/>
    <w:rsid w:val="002C67D8"/>
    <w:rsid w:val="002C67ED"/>
    <w:rsid w:val="002C686C"/>
    <w:rsid w:val="002C6B02"/>
    <w:rsid w:val="002C6B25"/>
    <w:rsid w:val="002C6BCE"/>
    <w:rsid w:val="002C6FD1"/>
    <w:rsid w:val="002C72FF"/>
    <w:rsid w:val="002C743F"/>
    <w:rsid w:val="002C77F0"/>
    <w:rsid w:val="002C78A9"/>
    <w:rsid w:val="002C7B57"/>
    <w:rsid w:val="002C7C9F"/>
    <w:rsid w:val="002C7D02"/>
    <w:rsid w:val="002C7D8A"/>
    <w:rsid w:val="002C7DB6"/>
    <w:rsid w:val="002C7DDE"/>
    <w:rsid w:val="002C7ECA"/>
    <w:rsid w:val="002D013B"/>
    <w:rsid w:val="002D01B9"/>
    <w:rsid w:val="002D02B5"/>
    <w:rsid w:val="002D05B5"/>
    <w:rsid w:val="002D0C6B"/>
    <w:rsid w:val="002D0E15"/>
    <w:rsid w:val="002D0F86"/>
    <w:rsid w:val="002D10F3"/>
    <w:rsid w:val="002D1220"/>
    <w:rsid w:val="002D122C"/>
    <w:rsid w:val="002D145A"/>
    <w:rsid w:val="002D180A"/>
    <w:rsid w:val="002D1863"/>
    <w:rsid w:val="002D1892"/>
    <w:rsid w:val="002D18D9"/>
    <w:rsid w:val="002D2174"/>
    <w:rsid w:val="002D234F"/>
    <w:rsid w:val="002D24F0"/>
    <w:rsid w:val="002D25B7"/>
    <w:rsid w:val="002D26CB"/>
    <w:rsid w:val="002D2A92"/>
    <w:rsid w:val="002D2FFF"/>
    <w:rsid w:val="002D30D2"/>
    <w:rsid w:val="002D31F5"/>
    <w:rsid w:val="002D37B4"/>
    <w:rsid w:val="002D3916"/>
    <w:rsid w:val="002D395A"/>
    <w:rsid w:val="002D3ABA"/>
    <w:rsid w:val="002D3C8B"/>
    <w:rsid w:val="002D3D2E"/>
    <w:rsid w:val="002D3E5E"/>
    <w:rsid w:val="002D3EF5"/>
    <w:rsid w:val="002D3FEE"/>
    <w:rsid w:val="002D409A"/>
    <w:rsid w:val="002D44C1"/>
    <w:rsid w:val="002D44FA"/>
    <w:rsid w:val="002D49C7"/>
    <w:rsid w:val="002D4B05"/>
    <w:rsid w:val="002D4D4D"/>
    <w:rsid w:val="002D4EEF"/>
    <w:rsid w:val="002D4F5E"/>
    <w:rsid w:val="002D517D"/>
    <w:rsid w:val="002D5403"/>
    <w:rsid w:val="002D5412"/>
    <w:rsid w:val="002D5958"/>
    <w:rsid w:val="002D596C"/>
    <w:rsid w:val="002D5DCD"/>
    <w:rsid w:val="002D5E82"/>
    <w:rsid w:val="002D5F93"/>
    <w:rsid w:val="002D6028"/>
    <w:rsid w:val="002D619C"/>
    <w:rsid w:val="002D665D"/>
    <w:rsid w:val="002D66C4"/>
    <w:rsid w:val="002D66F7"/>
    <w:rsid w:val="002D6896"/>
    <w:rsid w:val="002D6B18"/>
    <w:rsid w:val="002D6EC7"/>
    <w:rsid w:val="002D729B"/>
    <w:rsid w:val="002D7360"/>
    <w:rsid w:val="002D7906"/>
    <w:rsid w:val="002D791F"/>
    <w:rsid w:val="002D7A3E"/>
    <w:rsid w:val="002D7CA7"/>
    <w:rsid w:val="002D7CF0"/>
    <w:rsid w:val="002D7E92"/>
    <w:rsid w:val="002D7F68"/>
    <w:rsid w:val="002E0098"/>
    <w:rsid w:val="002E00DE"/>
    <w:rsid w:val="002E012C"/>
    <w:rsid w:val="002E0218"/>
    <w:rsid w:val="002E02F0"/>
    <w:rsid w:val="002E0481"/>
    <w:rsid w:val="002E0838"/>
    <w:rsid w:val="002E09DC"/>
    <w:rsid w:val="002E0C4D"/>
    <w:rsid w:val="002E0C53"/>
    <w:rsid w:val="002E0CC7"/>
    <w:rsid w:val="002E0EE2"/>
    <w:rsid w:val="002E13B2"/>
    <w:rsid w:val="002E16C7"/>
    <w:rsid w:val="002E1AEB"/>
    <w:rsid w:val="002E1BA1"/>
    <w:rsid w:val="002E1D7E"/>
    <w:rsid w:val="002E1F62"/>
    <w:rsid w:val="002E2486"/>
    <w:rsid w:val="002E25C0"/>
    <w:rsid w:val="002E263E"/>
    <w:rsid w:val="002E28BE"/>
    <w:rsid w:val="002E29EC"/>
    <w:rsid w:val="002E2A0B"/>
    <w:rsid w:val="002E2CB2"/>
    <w:rsid w:val="002E2E3C"/>
    <w:rsid w:val="002E3164"/>
    <w:rsid w:val="002E3230"/>
    <w:rsid w:val="002E36F5"/>
    <w:rsid w:val="002E3703"/>
    <w:rsid w:val="002E3764"/>
    <w:rsid w:val="002E3969"/>
    <w:rsid w:val="002E3A21"/>
    <w:rsid w:val="002E3D24"/>
    <w:rsid w:val="002E3D80"/>
    <w:rsid w:val="002E3F47"/>
    <w:rsid w:val="002E4041"/>
    <w:rsid w:val="002E4163"/>
    <w:rsid w:val="002E41D9"/>
    <w:rsid w:val="002E4366"/>
    <w:rsid w:val="002E43CB"/>
    <w:rsid w:val="002E4621"/>
    <w:rsid w:val="002E4829"/>
    <w:rsid w:val="002E4886"/>
    <w:rsid w:val="002E4B53"/>
    <w:rsid w:val="002E4C77"/>
    <w:rsid w:val="002E4E08"/>
    <w:rsid w:val="002E4F7F"/>
    <w:rsid w:val="002E502D"/>
    <w:rsid w:val="002E520A"/>
    <w:rsid w:val="002E5266"/>
    <w:rsid w:val="002E55BA"/>
    <w:rsid w:val="002E5717"/>
    <w:rsid w:val="002E5A12"/>
    <w:rsid w:val="002E5C14"/>
    <w:rsid w:val="002E5D93"/>
    <w:rsid w:val="002E614C"/>
    <w:rsid w:val="002E6291"/>
    <w:rsid w:val="002E631A"/>
    <w:rsid w:val="002E64CD"/>
    <w:rsid w:val="002E6A59"/>
    <w:rsid w:val="002E6AEB"/>
    <w:rsid w:val="002E6C46"/>
    <w:rsid w:val="002E6DD6"/>
    <w:rsid w:val="002E6FF6"/>
    <w:rsid w:val="002E70A5"/>
    <w:rsid w:val="002E7269"/>
    <w:rsid w:val="002E745F"/>
    <w:rsid w:val="002E75FC"/>
    <w:rsid w:val="002E769E"/>
    <w:rsid w:val="002E7834"/>
    <w:rsid w:val="002E78BF"/>
    <w:rsid w:val="002E7DB0"/>
    <w:rsid w:val="002F0079"/>
    <w:rsid w:val="002F02CC"/>
    <w:rsid w:val="002F035C"/>
    <w:rsid w:val="002F03CC"/>
    <w:rsid w:val="002F078E"/>
    <w:rsid w:val="002F095C"/>
    <w:rsid w:val="002F097C"/>
    <w:rsid w:val="002F0B5B"/>
    <w:rsid w:val="002F0C90"/>
    <w:rsid w:val="002F0D9B"/>
    <w:rsid w:val="002F0EBA"/>
    <w:rsid w:val="002F114F"/>
    <w:rsid w:val="002F1411"/>
    <w:rsid w:val="002F1510"/>
    <w:rsid w:val="002F18DB"/>
    <w:rsid w:val="002F1A75"/>
    <w:rsid w:val="002F1A86"/>
    <w:rsid w:val="002F1CE7"/>
    <w:rsid w:val="002F1E96"/>
    <w:rsid w:val="002F1EF9"/>
    <w:rsid w:val="002F20E5"/>
    <w:rsid w:val="002F2221"/>
    <w:rsid w:val="002F25FB"/>
    <w:rsid w:val="002F2CBF"/>
    <w:rsid w:val="002F2D17"/>
    <w:rsid w:val="002F2FE6"/>
    <w:rsid w:val="002F3039"/>
    <w:rsid w:val="002F30BB"/>
    <w:rsid w:val="002F316B"/>
    <w:rsid w:val="002F3CFB"/>
    <w:rsid w:val="002F3D7B"/>
    <w:rsid w:val="002F3E12"/>
    <w:rsid w:val="002F3E22"/>
    <w:rsid w:val="002F4373"/>
    <w:rsid w:val="002F4A4C"/>
    <w:rsid w:val="002F4B7D"/>
    <w:rsid w:val="002F4CEB"/>
    <w:rsid w:val="002F4E51"/>
    <w:rsid w:val="002F4E86"/>
    <w:rsid w:val="002F53A9"/>
    <w:rsid w:val="002F542D"/>
    <w:rsid w:val="002F560F"/>
    <w:rsid w:val="002F5792"/>
    <w:rsid w:val="002F592F"/>
    <w:rsid w:val="002F59E9"/>
    <w:rsid w:val="002F5A16"/>
    <w:rsid w:val="002F5A41"/>
    <w:rsid w:val="002F5AFF"/>
    <w:rsid w:val="002F5D0A"/>
    <w:rsid w:val="002F607A"/>
    <w:rsid w:val="002F650B"/>
    <w:rsid w:val="002F6610"/>
    <w:rsid w:val="002F7171"/>
    <w:rsid w:val="002F7375"/>
    <w:rsid w:val="002F7973"/>
    <w:rsid w:val="002F7B89"/>
    <w:rsid w:val="002F7E3B"/>
    <w:rsid w:val="00300636"/>
    <w:rsid w:val="003007C6"/>
    <w:rsid w:val="0030082C"/>
    <w:rsid w:val="0030090E"/>
    <w:rsid w:val="00300B11"/>
    <w:rsid w:val="0030124C"/>
    <w:rsid w:val="0030127D"/>
    <w:rsid w:val="0030133D"/>
    <w:rsid w:val="0030158B"/>
    <w:rsid w:val="003018AB"/>
    <w:rsid w:val="00301975"/>
    <w:rsid w:val="00301C26"/>
    <w:rsid w:val="00301CEE"/>
    <w:rsid w:val="00301DA4"/>
    <w:rsid w:val="00301E1C"/>
    <w:rsid w:val="0030202C"/>
    <w:rsid w:val="00302191"/>
    <w:rsid w:val="00302199"/>
    <w:rsid w:val="00302276"/>
    <w:rsid w:val="00302410"/>
    <w:rsid w:val="00302825"/>
    <w:rsid w:val="003028E3"/>
    <w:rsid w:val="00302947"/>
    <w:rsid w:val="00302BE8"/>
    <w:rsid w:val="00302DF5"/>
    <w:rsid w:val="0030301D"/>
    <w:rsid w:val="00303238"/>
    <w:rsid w:val="00303320"/>
    <w:rsid w:val="00303799"/>
    <w:rsid w:val="00303882"/>
    <w:rsid w:val="00303B99"/>
    <w:rsid w:val="00303C1C"/>
    <w:rsid w:val="00303DF2"/>
    <w:rsid w:val="0030466D"/>
    <w:rsid w:val="003047B7"/>
    <w:rsid w:val="003047CE"/>
    <w:rsid w:val="00304B4F"/>
    <w:rsid w:val="00304B9A"/>
    <w:rsid w:val="00304BEE"/>
    <w:rsid w:val="003051BA"/>
    <w:rsid w:val="003054B6"/>
    <w:rsid w:val="003054E0"/>
    <w:rsid w:val="00305B21"/>
    <w:rsid w:val="00305C19"/>
    <w:rsid w:val="00305DA3"/>
    <w:rsid w:val="00306011"/>
    <w:rsid w:val="0030610E"/>
    <w:rsid w:val="00306128"/>
    <w:rsid w:val="003062EA"/>
    <w:rsid w:val="003063CE"/>
    <w:rsid w:val="00306412"/>
    <w:rsid w:val="003067D4"/>
    <w:rsid w:val="00306835"/>
    <w:rsid w:val="00306934"/>
    <w:rsid w:val="00306967"/>
    <w:rsid w:val="00306B0B"/>
    <w:rsid w:val="00306B0C"/>
    <w:rsid w:val="00306C49"/>
    <w:rsid w:val="00306E54"/>
    <w:rsid w:val="00307464"/>
    <w:rsid w:val="00307683"/>
    <w:rsid w:val="0030771C"/>
    <w:rsid w:val="003077AB"/>
    <w:rsid w:val="003078EB"/>
    <w:rsid w:val="00307973"/>
    <w:rsid w:val="00307A96"/>
    <w:rsid w:val="00307AF3"/>
    <w:rsid w:val="00307EE4"/>
    <w:rsid w:val="00310211"/>
    <w:rsid w:val="00310249"/>
    <w:rsid w:val="00310388"/>
    <w:rsid w:val="00310AF2"/>
    <w:rsid w:val="00310E83"/>
    <w:rsid w:val="003112B8"/>
    <w:rsid w:val="0031132F"/>
    <w:rsid w:val="00311581"/>
    <w:rsid w:val="00311612"/>
    <w:rsid w:val="00311668"/>
    <w:rsid w:val="0031183A"/>
    <w:rsid w:val="003118C2"/>
    <w:rsid w:val="00311BCE"/>
    <w:rsid w:val="00311D5B"/>
    <w:rsid w:val="003120F0"/>
    <w:rsid w:val="003121D7"/>
    <w:rsid w:val="00312301"/>
    <w:rsid w:val="00312508"/>
    <w:rsid w:val="0031258E"/>
    <w:rsid w:val="00312590"/>
    <w:rsid w:val="0031291F"/>
    <w:rsid w:val="00312CA4"/>
    <w:rsid w:val="00312D5B"/>
    <w:rsid w:val="00312E40"/>
    <w:rsid w:val="00312E48"/>
    <w:rsid w:val="0031315F"/>
    <w:rsid w:val="00313509"/>
    <w:rsid w:val="00313B79"/>
    <w:rsid w:val="00313BA2"/>
    <w:rsid w:val="00313D5B"/>
    <w:rsid w:val="00313F43"/>
    <w:rsid w:val="00313F5A"/>
    <w:rsid w:val="003140CE"/>
    <w:rsid w:val="00314186"/>
    <w:rsid w:val="003143B4"/>
    <w:rsid w:val="00314499"/>
    <w:rsid w:val="0031474A"/>
    <w:rsid w:val="00314794"/>
    <w:rsid w:val="00314875"/>
    <w:rsid w:val="003149B1"/>
    <w:rsid w:val="00314C0C"/>
    <w:rsid w:val="0031551D"/>
    <w:rsid w:val="0031581D"/>
    <w:rsid w:val="003158A2"/>
    <w:rsid w:val="003158F2"/>
    <w:rsid w:val="00315938"/>
    <w:rsid w:val="00315A29"/>
    <w:rsid w:val="00315A56"/>
    <w:rsid w:val="00315C15"/>
    <w:rsid w:val="00315D78"/>
    <w:rsid w:val="00315D81"/>
    <w:rsid w:val="00315DB3"/>
    <w:rsid w:val="00315F96"/>
    <w:rsid w:val="00316297"/>
    <w:rsid w:val="00316527"/>
    <w:rsid w:val="00316688"/>
    <w:rsid w:val="00316BAC"/>
    <w:rsid w:val="00316C0C"/>
    <w:rsid w:val="00316CB4"/>
    <w:rsid w:val="00316E3D"/>
    <w:rsid w:val="00317005"/>
    <w:rsid w:val="003173D0"/>
    <w:rsid w:val="00317607"/>
    <w:rsid w:val="003177DD"/>
    <w:rsid w:val="003177EA"/>
    <w:rsid w:val="00317827"/>
    <w:rsid w:val="00317C2F"/>
    <w:rsid w:val="00317C73"/>
    <w:rsid w:val="00317FDF"/>
    <w:rsid w:val="00320055"/>
    <w:rsid w:val="00320247"/>
    <w:rsid w:val="0032034A"/>
    <w:rsid w:val="003206E3"/>
    <w:rsid w:val="003206EC"/>
    <w:rsid w:val="00320E6C"/>
    <w:rsid w:val="00320FD0"/>
    <w:rsid w:val="003210F4"/>
    <w:rsid w:val="003211BE"/>
    <w:rsid w:val="003211C1"/>
    <w:rsid w:val="00321410"/>
    <w:rsid w:val="0032161B"/>
    <w:rsid w:val="00321884"/>
    <w:rsid w:val="003219D6"/>
    <w:rsid w:val="00321AE8"/>
    <w:rsid w:val="00321B06"/>
    <w:rsid w:val="00321DE0"/>
    <w:rsid w:val="00321E06"/>
    <w:rsid w:val="00321FC5"/>
    <w:rsid w:val="003221CA"/>
    <w:rsid w:val="0032245F"/>
    <w:rsid w:val="003225BD"/>
    <w:rsid w:val="0032266C"/>
    <w:rsid w:val="003229AE"/>
    <w:rsid w:val="003229BF"/>
    <w:rsid w:val="00322A86"/>
    <w:rsid w:val="00322AF2"/>
    <w:rsid w:val="00322C33"/>
    <w:rsid w:val="00322F14"/>
    <w:rsid w:val="00323183"/>
    <w:rsid w:val="0032362C"/>
    <w:rsid w:val="0032376B"/>
    <w:rsid w:val="0032380A"/>
    <w:rsid w:val="00323856"/>
    <w:rsid w:val="00323A23"/>
    <w:rsid w:val="00323A79"/>
    <w:rsid w:val="00323EED"/>
    <w:rsid w:val="003240FB"/>
    <w:rsid w:val="003243C7"/>
    <w:rsid w:val="003244D2"/>
    <w:rsid w:val="00324AD1"/>
    <w:rsid w:val="00324BA1"/>
    <w:rsid w:val="00324C5E"/>
    <w:rsid w:val="00324D97"/>
    <w:rsid w:val="00324DD0"/>
    <w:rsid w:val="00324E65"/>
    <w:rsid w:val="00325167"/>
    <w:rsid w:val="00325386"/>
    <w:rsid w:val="00325735"/>
    <w:rsid w:val="003257AA"/>
    <w:rsid w:val="00325A34"/>
    <w:rsid w:val="00325A75"/>
    <w:rsid w:val="00325AA3"/>
    <w:rsid w:val="00325D58"/>
    <w:rsid w:val="00325F67"/>
    <w:rsid w:val="003260C3"/>
    <w:rsid w:val="00326152"/>
    <w:rsid w:val="00326273"/>
    <w:rsid w:val="0032678D"/>
    <w:rsid w:val="00326881"/>
    <w:rsid w:val="00326C27"/>
    <w:rsid w:val="00326C71"/>
    <w:rsid w:val="00326D97"/>
    <w:rsid w:val="00326FE3"/>
    <w:rsid w:val="003270AB"/>
    <w:rsid w:val="003270B6"/>
    <w:rsid w:val="00327257"/>
    <w:rsid w:val="00327829"/>
    <w:rsid w:val="00327990"/>
    <w:rsid w:val="003279A1"/>
    <w:rsid w:val="00327B3D"/>
    <w:rsid w:val="00327B5B"/>
    <w:rsid w:val="00327B5C"/>
    <w:rsid w:val="00327CE2"/>
    <w:rsid w:val="00327EC7"/>
    <w:rsid w:val="00327F15"/>
    <w:rsid w:val="00327FA4"/>
    <w:rsid w:val="00330332"/>
    <w:rsid w:val="003303BE"/>
    <w:rsid w:val="003303E3"/>
    <w:rsid w:val="0033095D"/>
    <w:rsid w:val="00330A2D"/>
    <w:rsid w:val="00330A55"/>
    <w:rsid w:val="00330E52"/>
    <w:rsid w:val="00331111"/>
    <w:rsid w:val="003311FB"/>
    <w:rsid w:val="00331241"/>
    <w:rsid w:val="00331421"/>
    <w:rsid w:val="00331481"/>
    <w:rsid w:val="003316CC"/>
    <w:rsid w:val="00331741"/>
    <w:rsid w:val="00331BAC"/>
    <w:rsid w:val="00331C6D"/>
    <w:rsid w:val="00331CE3"/>
    <w:rsid w:val="00331D01"/>
    <w:rsid w:val="0033279D"/>
    <w:rsid w:val="003327E7"/>
    <w:rsid w:val="00332808"/>
    <w:rsid w:val="0033283E"/>
    <w:rsid w:val="00332937"/>
    <w:rsid w:val="003329A2"/>
    <w:rsid w:val="00332C18"/>
    <w:rsid w:val="00333004"/>
    <w:rsid w:val="00333081"/>
    <w:rsid w:val="003338C4"/>
    <w:rsid w:val="00333A2A"/>
    <w:rsid w:val="00333F10"/>
    <w:rsid w:val="00334500"/>
    <w:rsid w:val="003346ED"/>
    <w:rsid w:val="00334749"/>
    <w:rsid w:val="00334897"/>
    <w:rsid w:val="00334A7F"/>
    <w:rsid w:val="00334C28"/>
    <w:rsid w:val="00334E1F"/>
    <w:rsid w:val="00334FAC"/>
    <w:rsid w:val="00334FAE"/>
    <w:rsid w:val="003350C6"/>
    <w:rsid w:val="003354EE"/>
    <w:rsid w:val="00335661"/>
    <w:rsid w:val="003358C4"/>
    <w:rsid w:val="003358E6"/>
    <w:rsid w:val="00335B47"/>
    <w:rsid w:val="00335E6C"/>
    <w:rsid w:val="00335EA8"/>
    <w:rsid w:val="00335FB5"/>
    <w:rsid w:val="0033615A"/>
    <w:rsid w:val="0033618C"/>
    <w:rsid w:val="00336529"/>
    <w:rsid w:val="00336624"/>
    <w:rsid w:val="0033670E"/>
    <w:rsid w:val="0033676D"/>
    <w:rsid w:val="00336897"/>
    <w:rsid w:val="003369B3"/>
    <w:rsid w:val="00336E33"/>
    <w:rsid w:val="00336F15"/>
    <w:rsid w:val="00337406"/>
    <w:rsid w:val="0033744F"/>
    <w:rsid w:val="00337450"/>
    <w:rsid w:val="003374CF"/>
    <w:rsid w:val="003375A2"/>
    <w:rsid w:val="003375FE"/>
    <w:rsid w:val="0033764D"/>
    <w:rsid w:val="00337842"/>
    <w:rsid w:val="00337923"/>
    <w:rsid w:val="00337984"/>
    <w:rsid w:val="003379EB"/>
    <w:rsid w:val="00337AA3"/>
    <w:rsid w:val="00337AEA"/>
    <w:rsid w:val="00340691"/>
    <w:rsid w:val="0034095B"/>
    <w:rsid w:val="00340ABD"/>
    <w:rsid w:val="00340C41"/>
    <w:rsid w:val="00340DFB"/>
    <w:rsid w:val="00340F8D"/>
    <w:rsid w:val="00340FFD"/>
    <w:rsid w:val="00341275"/>
    <w:rsid w:val="00341459"/>
    <w:rsid w:val="00341560"/>
    <w:rsid w:val="00341583"/>
    <w:rsid w:val="0034162A"/>
    <w:rsid w:val="00341A1B"/>
    <w:rsid w:val="00341B4D"/>
    <w:rsid w:val="00341C90"/>
    <w:rsid w:val="00341E0B"/>
    <w:rsid w:val="00342521"/>
    <w:rsid w:val="00342789"/>
    <w:rsid w:val="003427CF"/>
    <w:rsid w:val="0034288D"/>
    <w:rsid w:val="00342A19"/>
    <w:rsid w:val="00342CAA"/>
    <w:rsid w:val="00342D05"/>
    <w:rsid w:val="00342DB0"/>
    <w:rsid w:val="00342E98"/>
    <w:rsid w:val="00342EFA"/>
    <w:rsid w:val="00342FF2"/>
    <w:rsid w:val="00343C8C"/>
    <w:rsid w:val="00344052"/>
    <w:rsid w:val="00344074"/>
    <w:rsid w:val="0034414C"/>
    <w:rsid w:val="0034424A"/>
    <w:rsid w:val="00344252"/>
    <w:rsid w:val="00344265"/>
    <w:rsid w:val="00344328"/>
    <w:rsid w:val="00344412"/>
    <w:rsid w:val="003444B3"/>
    <w:rsid w:val="00344564"/>
    <w:rsid w:val="003446F9"/>
    <w:rsid w:val="003449CF"/>
    <w:rsid w:val="00344AEE"/>
    <w:rsid w:val="00344CC9"/>
    <w:rsid w:val="00344D3E"/>
    <w:rsid w:val="00344DEE"/>
    <w:rsid w:val="00344E62"/>
    <w:rsid w:val="00344F8A"/>
    <w:rsid w:val="0034510A"/>
    <w:rsid w:val="003451C2"/>
    <w:rsid w:val="003453D6"/>
    <w:rsid w:val="003454E6"/>
    <w:rsid w:val="00345668"/>
    <w:rsid w:val="003456E8"/>
    <w:rsid w:val="00345A2A"/>
    <w:rsid w:val="00345AA0"/>
    <w:rsid w:val="00345C35"/>
    <w:rsid w:val="00345C51"/>
    <w:rsid w:val="00345D03"/>
    <w:rsid w:val="00345DDD"/>
    <w:rsid w:val="00345E19"/>
    <w:rsid w:val="00346126"/>
    <w:rsid w:val="003466DF"/>
    <w:rsid w:val="00346A58"/>
    <w:rsid w:val="00346D9F"/>
    <w:rsid w:val="00347286"/>
    <w:rsid w:val="0034736E"/>
    <w:rsid w:val="003474C8"/>
    <w:rsid w:val="003474D7"/>
    <w:rsid w:val="003474FA"/>
    <w:rsid w:val="00347638"/>
    <w:rsid w:val="00347655"/>
    <w:rsid w:val="0034793A"/>
    <w:rsid w:val="00347B6C"/>
    <w:rsid w:val="00347C1E"/>
    <w:rsid w:val="00347FF7"/>
    <w:rsid w:val="0035001E"/>
    <w:rsid w:val="0035034D"/>
    <w:rsid w:val="0035047C"/>
    <w:rsid w:val="00350656"/>
    <w:rsid w:val="00350A2E"/>
    <w:rsid w:val="00350C30"/>
    <w:rsid w:val="00350D07"/>
    <w:rsid w:val="00350DB2"/>
    <w:rsid w:val="00350EE9"/>
    <w:rsid w:val="00350FD9"/>
    <w:rsid w:val="003510F4"/>
    <w:rsid w:val="003514E8"/>
    <w:rsid w:val="0035164C"/>
    <w:rsid w:val="0035198E"/>
    <w:rsid w:val="00351AFA"/>
    <w:rsid w:val="00351BE3"/>
    <w:rsid w:val="00351D4B"/>
    <w:rsid w:val="003520F4"/>
    <w:rsid w:val="00352200"/>
    <w:rsid w:val="00352483"/>
    <w:rsid w:val="0035252E"/>
    <w:rsid w:val="0035281F"/>
    <w:rsid w:val="00352BC0"/>
    <w:rsid w:val="00352BE7"/>
    <w:rsid w:val="0035300A"/>
    <w:rsid w:val="003530D5"/>
    <w:rsid w:val="003530E3"/>
    <w:rsid w:val="003532F0"/>
    <w:rsid w:val="003534A9"/>
    <w:rsid w:val="0035356F"/>
    <w:rsid w:val="0035374E"/>
    <w:rsid w:val="0035380E"/>
    <w:rsid w:val="003539E8"/>
    <w:rsid w:val="00353EF5"/>
    <w:rsid w:val="00354362"/>
    <w:rsid w:val="00354693"/>
    <w:rsid w:val="003546ED"/>
    <w:rsid w:val="003547EB"/>
    <w:rsid w:val="003547F8"/>
    <w:rsid w:val="00354875"/>
    <w:rsid w:val="00354A6D"/>
    <w:rsid w:val="00354B9E"/>
    <w:rsid w:val="00354FEA"/>
    <w:rsid w:val="0035505D"/>
    <w:rsid w:val="0035519A"/>
    <w:rsid w:val="00355514"/>
    <w:rsid w:val="003559BF"/>
    <w:rsid w:val="003559E0"/>
    <w:rsid w:val="00355D39"/>
    <w:rsid w:val="00355D8A"/>
    <w:rsid w:val="0035600B"/>
    <w:rsid w:val="0035642A"/>
    <w:rsid w:val="0035649D"/>
    <w:rsid w:val="0035656A"/>
    <w:rsid w:val="00356685"/>
    <w:rsid w:val="00356747"/>
    <w:rsid w:val="003567D7"/>
    <w:rsid w:val="00356AB3"/>
    <w:rsid w:val="00356CB2"/>
    <w:rsid w:val="00356D6C"/>
    <w:rsid w:val="00356DFA"/>
    <w:rsid w:val="00356E81"/>
    <w:rsid w:val="00357039"/>
    <w:rsid w:val="00357104"/>
    <w:rsid w:val="00357120"/>
    <w:rsid w:val="003575F2"/>
    <w:rsid w:val="003579D6"/>
    <w:rsid w:val="00357A5C"/>
    <w:rsid w:val="00357B5A"/>
    <w:rsid w:val="00357B69"/>
    <w:rsid w:val="0036026F"/>
    <w:rsid w:val="003602DB"/>
    <w:rsid w:val="003602EB"/>
    <w:rsid w:val="003609B0"/>
    <w:rsid w:val="00360A60"/>
    <w:rsid w:val="00360BBB"/>
    <w:rsid w:val="00360C48"/>
    <w:rsid w:val="00360DC5"/>
    <w:rsid w:val="00361003"/>
    <w:rsid w:val="003610FC"/>
    <w:rsid w:val="00361175"/>
    <w:rsid w:val="00361189"/>
    <w:rsid w:val="0036130C"/>
    <w:rsid w:val="003615C9"/>
    <w:rsid w:val="003618A2"/>
    <w:rsid w:val="00361C86"/>
    <w:rsid w:val="00361CBE"/>
    <w:rsid w:val="00361D15"/>
    <w:rsid w:val="00361E99"/>
    <w:rsid w:val="00361FF3"/>
    <w:rsid w:val="003620DC"/>
    <w:rsid w:val="00362113"/>
    <w:rsid w:val="00362256"/>
    <w:rsid w:val="0036242E"/>
    <w:rsid w:val="00362776"/>
    <w:rsid w:val="00362F1A"/>
    <w:rsid w:val="00363111"/>
    <w:rsid w:val="00363262"/>
    <w:rsid w:val="0036333C"/>
    <w:rsid w:val="00363607"/>
    <w:rsid w:val="0036377A"/>
    <w:rsid w:val="00363981"/>
    <w:rsid w:val="00363AFF"/>
    <w:rsid w:val="00363B2D"/>
    <w:rsid w:val="00363B84"/>
    <w:rsid w:val="00363B89"/>
    <w:rsid w:val="00363D2E"/>
    <w:rsid w:val="00363DFD"/>
    <w:rsid w:val="00363E11"/>
    <w:rsid w:val="00363E35"/>
    <w:rsid w:val="00363F5A"/>
    <w:rsid w:val="00364104"/>
    <w:rsid w:val="00364205"/>
    <w:rsid w:val="0036458D"/>
    <w:rsid w:val="00364670"/>
    <w:rsid w:val="00364796"/>
    <w:rsid w:val="00364891"/>
    <w:rsid w:val="00364AA1"/>
    <w:rsid w:val="00364B74"/>
    <w:rsid w:val="00364C74"/>
    <w:rsid w:val="00364E1D"/>
    <w:rsid w:val="00364E22"/>
    <w:rsid w:val="0036531C"/>
    <w:rsid w:val="0036535A"/>
    <w:rsid w:val="00365477"/>
    <w:rsid w:val="003657FD"/>
    <w:rsid w:val="0036595C"/>
    <w:rsid w:val="00365F9E"/>
    <w:rsid w:val="0036611F"/>
    <w:rsid w:val="003662A4"/>
    <w:rsid w:val="0036632D"/>
    <w:rsid w:val="00366DA0"/>
    <w:rsid w:val="00366E56"/>
    <w:rsid w:val="00366F30"/>
    <w:rsid w:val="00367270"/>
    <w:rsid w:val="003672FE"/>
    <w:rsid w:val="003676FD"/>
    <w:rsid w:val="0036786B"/>
    <w:rsid w:val="00367A08"/>
    <w:rsid w:val="00367A5E"/>
    <w:rsid w:val="00367DB3"/>
    <w:rsid w:val="00367E8C"/>
    <w:rsid w:val="003704D1"/>
    <w:rsid w:val="00370763"/>
    <w:rsid w:val="00370848"/>
    <w:rsid w:val="00370A2B"/>
    <w:rsid w:val="00370B34"/>
    <w:rsid w:val="00370DD5"/>
    <w:rsid w:val="00370E30"/>
    <w:rsid w:val="00371177"/>
    <w:rsid w:val="003711DA"/>
    <w:rsid w:val="00371381"/>
    <w:rsid w:val="00371536"/>
    <w:rsid w:val="003715E1"/>
    <w:rsid w:val="00371630"/>
    <w:rsid w:val="00371666"/>
    <w:rsid w:val="003716C2"/>
    <w:rsid w:val="003717C4"/>
    <w:rsid w:val="00371BD1"/>
    <w:rsid w:val="0037234B"/>
    <w:rsid w:val="0037262D"/>
    <w:rsid w:val="00372648"/>
    <w:rsid w:val="00372868"/>
    <w:rsid w:val="00372A08"/>
    <w:rsid w:val="00372ACB"/>
    <w:rsid w:val="00372C7C"/>
    <w:rsid w:val="00372D4C"/>
    <w:rsid w:val="003732B8"/>
    <w:rsid w:val="003734A3"/>
    <w:rsid w:val="0037354F"/>
    <w:rsid w:val="0037355E"/>
    <w:rsid w:val="0037356D"/>
    <w:rsid w:val="00373687"/>
    <w:rsid w:val="00373950"/>
    <w:rsid w:val="00373A2A"/>
    <w:rsid w:val="00373F76"/>
    <w:rsid w:val="00374195"/>
    <w:rsid w:val="0037422A"/>
    <w:rsid w:val="00374689"/>
    <w:rsid w:val="003746D5"/>
    <w:rsid w:val="0037496F"/>
    <w:rsid w:val="00374CE0"/>
    <w:rsid w:val="00374E9A"/>
    <w:rsid w:val="00374EA9"/>
    <w:rsid w:val="00374FA9"/>
    <w:rsid w:val="003750CC"/>
    <w:rsid w:val="0037519E"/>
    <w:rsid w:val="00375449"/>
    <w:rsid w:val="003754B4"/>
    <w:rsid w:val="003754D3"/>
    <w:rsid w:val="003754E1"/>
    <w:rsid w:val="0037574D"/>
    <w:rsid w:val="00375923"/>
    <w:rsid w:val="00375A4F"/>
    <w:rsid w:val="00375E8A"/>
    <w:rsid w:val="00375F68"/>
    <w:rsid w:val="003762C6"/>
    <w:rsid w:val="00376521"/>
    <w:rsid w:val="00376671"/>
    <w:rsid w:val="00376745"/>
    <w:rsid w:val="003768B4"/>
    <w:rsid w:val="00376AE5"/>
    <w:rsid w:val="00376D04"/>
    <w:rsid w:val="00376E23"/>
    <w:rsid w:val="00376E96"/>
    <w:rsid w:val="00376F3D"/>
    <w:rsid w:val="003770FE"/>
    <w:rsid w:val="003772BA"/>
    <w:rsid w:val="003772C9"/>
    <w:rsid w:val="00377368"/>
    <w:rsid w:val="0037736C"/>
    <w:rsid w:val="00377457"/>
    <w:rsid w:val="0037762E"/>
    <w:rsid w:val="00377723"/>
    <w:rsid w:val="00377A32"/>
    <w:rsid w:val="00377AD4"/>
    <w:rsid w:val="00377C03"/>
    <w:rsid w:val="00377D87"/>
    <w:rsid w:val="00377E98"/>
    <w:rsid w:val="00377FA7"/>
    <w:rsid w:val="003800A3"/>
    <w:rsid w:val="003803E4"/>
    <w:rsid w:val="0038044A"/>
    <w:rsid w:val="0038064C"/>
    <w:rsid w:val="00380664"/>
    <w:rsid w:val="003807C4"/>
    <w:rsid w:val="00380910"/>
    <w:rsid w:val="00380A04"/>
    <w:rsid w:val="00380DC3"/>
    <w:rsid w:val="0038115C"/>
    <w:rsid w:val="0038116C"/>
    <w:rsid w:val="00381203"/>
    <w:rsid w:val="00381285"/>
    <w:rsid w:val="0038131A"/>
    <w:rsid w:val="00381320"/>
    <w:rsid w:val="0038164F"/>
    <w:rsid w:val="0038171A"/>
    <w:rsid w:val="00381888"/>
    <w:rsid w:val="0038191A"/>
    <w:rsid w:val="003820AF"/>
    <w:rsid w:val="00382145"/>
    <w:rsid w:val="0038218C"/>
    <w:rsid w:val="0038248C"/>
    <w:rsid w:val="0038250C"/>
    <w:rsid w:val="00382651"/>
    <w:rsid w:val="00382934"/>
    <w:rsid w:val="00382A35"/>
    <w:rsid w:val="00382B16"/>
    <w:rsid w:val="00382BA5"/>
    <w:rsid w:val="00382BEA"/>
    <w:rsid w:val="00382F31"/>
    <w:rsid w:val="003830ED"/>
    <w:rsid w:val="00383323"/>
    <w:rsid w:val="00383391"/>
    <w:rsid w:val="0038345F"/>
    <w:rsid w:val="00383670"/>
    <w:rsid w:val="003836C6"/>
    <w:rsid w:val="00383791"/>
    <w:rsid w:val="003837A9"/>
    <w:rsid w:val="00383857"/>
    <w:rsid w:val="00383C43"/>
    <w:rsid w:val="00383D50"/>
    <w:rsid w:val="00384030"/>
    <w:rsid w:val="003840B9"/>
    <w:rsid w:val="00384189"/>
    <w:rsid w:val="0038421F"/>
    <w:rsid w:val="003843C7"/>
    <w:rsid w:val="003845FA"/>
    <w:rsid w:val="00384BFF"/>
    <w:rsid w:val="003850EA"/>
    <w:rsid w:val="003859AC"/>
    <w:rsid w:val="00385AE0"/>
    <w:rsid w:val="00385BAF"/>
    <w:rsid w:val="00385F94"/>
    <w:rsid w:val="00386468"/>
    <w:rsid w:val="003864EF"/>
    <w:rsid w:val="00386536"/>
    <w:rsid w:val="003865C3"/>
    <w:rsid w:val="0038661C"/>
    <w:rsid w:val="00386647"/>
    <w:rsid w:val="0038671C"/>
    <w:rsid w:val="00386841"/>
    <w:rsid w:val="003869CD"/>
    <w:rsid w:val="00386A9F"/>
    <w:rsid w:val="00386BB8"/>
    <w:rsid w:val="00386CA9"/>
    <w:rsid w:val="00386EB3"/>
    <w:rsid w:val="00386F96"/>
    <w:rsid w:val="00387054"/>
    <w:rsid w:val="003870C4"/>
    <w:rsid w:val="003872CC"/>
    <w:rsid w:val="00387308"/>
    <w:rsid w:val="003873EE"/>
    <w:rsid w:val="0038758A"/>
    <w:rsid w:val="00387953"/>
    <w:rsid w:val="00387A82"/>
    <w:rsid w:val="00387BF1"/>
    <w:rsid w:val="00390060"/>
    <w:rsid w:val="0039008E"/>
    <w:rsid w:val="003900AB"/>
    <w:rsid w:val="003901B4"/>
    <w:rsid w:val="00390377"/>
    <w:rsid w:val="0039068C"/>
    <w:rsid w:val="00390724"/>
    <w:rsid w:val="003909AB"/>
    <w:rsid w:val="00390D44"/>
    <w:rsid w:val="00390DA2"/>
    <w:rsid w:val="00390E22"/>
    <w:rsid w:val="00390E5D"/>
    <w:rsid w:val="00390F22"/>
    <w:rsid w:val="00391097"/>
    <w:rsid w:val="003910D7"/>
    <w:rsid w:val="00391139"/>
    <w:rsid w:val="00391249"/>
    <w:rsid w:val="0039140B"/>
    <w:rsid w:val="003914AA"/>
    <w:rsid w:val="0039153E"/>
    <w:rsid w:val="0039162A"/>
    <w:rsid w:val="0039167F"/>
    <w:rsid w:val="00391704"/>
    <w:rsid w:val="00391759"/>
    <w:rsid w:val="003918F5"/>
    <w:rsid w:val="00391C59"/>
    <w:rsid w:val="00391DBF"/>
    <w:rsid w:val="00391E2B"/>
    <w:rsid w:val="00391F3F"/>
    <w:rsid w:val="00391FA8"/>
    <w:rsid w:val="0039207F"/>
    <w:rsid w:val="003920EF"/>
    <w:rsid w:val="003923B6"/>
    <w:rsid w:val="00392592"/>
    <w:rsid w:val="0039289D"/>
    <w:rsid w:val="00392A46"/>
    <w:rsid w:val="00392AB1"/>
    <w:rsid w:val="00392FDA"/>
    <w:rsid w:val="00393085"/>
    <w:rsid w:val="003930AF"/>
    <w:rsid w:val="00393150"/>
    <w:rsid w:val="00393163"/>
    <w:rsid w:val="003931A2"/>
    <w:rsid w:val="0039321D"/>
    <w:rsid w:val="0039329B"/>
    <w:rsid w:val="0039336B"/>
    <w:rsid w:val="00393613"/>
    <w:rsid w:val="00393656"/>
    <w:rsid w:val="00393900"/>
    <w:rsid w:val="00393A00"/>
    <w:rsid w:val="00393A4E"/>
    <w:rsid w:val="00393C26"/>
    <w:rsid w:val="00393D3E"/>
    <w:rsid w:val="00393E50"/>
    <w:rsid w:val="00393EB2"/>
    <w:rsid w:val="00393F39"/>
    <w:rsid w:val="00394002"/>
    <w:rsid w:val="003941CE"/>
    <w:rsid w:val="00394348"/>
    <w:rsid w:val="0039487C"/>
    <w:rsid w:val="00394973"/>
    <w:rsid w:val="00394AFD"/>
    <w:rsid w:val="00394B99"/>
    <w:rsid w:val="00394BF9"/>
    <w:rsid w:val="00394F8E"/>
    <w:rsid w:val="0039527B"/>
    <w:rsid w:val="0039544C"/>
    <w:rsid w:val="003957B6"/>
    <w:rsid w:val="00395B0A"/>
    <w:rsid w:val="00395B1E"/>
    <w:rsid w:val="00395D62"/>
    <w:rsid w:val="00395E37"/>
    <w:rsid w:val="00395E44"/>
    <w:rsid w:val="003960B9"/>
    <w:rsid w:val="00396176"/>
    <w:rsid w:val="00396377"/>
    <w:rsid w:val="003963FB"/>
    <w:rsid w:val="0039666F"/>
    <w:rsid w:val="0039669E"/>
    <w:rsid w:val="00396897"/>
    <w:rsid w:val="00396B2B"/>
    <w:rsid w:val="00396DFC"/>
    <w:rsid w:val="00396E24"/>
    <w:rsid w:val="00397092"/>
    <w:rsid w:val="00397252"/>
    <w:rsid w:val="0039728A"/>
    <w:rsid w:val="003972F9"/>
    <w:rsid w:val="003973D7"/>
    <w:rsid w:val="00397434"/>
    <w:rsid w:val="0039778C"/>
    <w:rsid w:val="00397CDB"/>
    <w:rsid w:val="00397EA9"/>
    <w:rsid w:val="00397F09"/>
    <w:rsid w:val="00397F10"/>
    <w:rsid w:val="00397F59"/>
    <w:rsid w:val="003A00F2"/>
    <w:rsid w:val="003A03BC"/>
    <w:rsid w:val="003A0560"/>
    <w:rsid w:val="003A11EB"/>
    <w:rsid w:val="003A1303"/>
    <w:rsid w:val="003A141C"/>
    <w:rsid w:val="003A168B"/>
    <w:rsid w:val="003A1710"/>
    <w:rsid w:val="003A176B"/>
    <w:rsid w:val="003A18EA"/>
    <w:rsid w:val="003A1AF4"/>
    <w:rsid w:val="003A1B59"/>
    <w:rsid w:val="003A1BA3"/>
    <w:rsid w:val="003A1C1B"/>
    <w:rsid w:val="003A1DD7"/>
    <w:rsid w:val="003A1E83"/>
    <w:rsid w:val="003A1F5B"/>
    <w:rsid w:val="003A2020"/>
    <w:rsid w:val="003A20DB"/>
    <w:rsid w:val="003A2306"/>
    <w:rsid w:val="003A234B"/>
    <w:rsid w:val="003A2606"/>
    <w:rsid w:val="003A26B1"/>
    <w:rsid w:val="003A274D"/>
    <w:rsid w:val="003A2798"/>
    <w:rsid w:val="003A2874"/>
    <w:rsid w:val="003A2A28"/>
    <w:rsid w:val="003A2C16"/>
    <w:rsid w:val="003A2CF0"/>
    <w:rsid w:val="003A2D76"/>
    <w:rsid w:val="003A2DE5"/>
    <w:rsid w:val="003A3108"/>
    <w:rsid w:val="003A3367"/>
    <w:rsid w:val="003A3638"/>
    <w:rsid w:val="003A381F"/>
    <w:rsid w:val="003A3A47"/>
    <w:rsid w:val="003A3A7C"/>
    <w:rsid w:val="003A3F72"/>
    <w:rsid w:val="003A4399"/>
    <w:rsid w:val="003A463E"/>
    <w:rsid w:val="003A4955"/>
    <w:rsid w:val="003A497E"/>
    <w:rsid w:val="003A4C0A"/>
    <w:rsid w:val="003A4D71"/>
    <w:rsid w:val="003A4F53"/>
    <w:rsid w:val="003A50E3"/>
    <w:rsid w:val="003A525D"/>
    <w:rsid w:val="003A5276"/>
    <w:rsid w:val="003A5552"/>
    <w:rsid w:val="003A55FE"/>
    <w:rsid w:val="003A5620"/>
    <w:rsid w:val="003A5621"/>
    <w:rsid w:val="003A5A80"/>
    <w:rsid w:val="003A5B39"/>
    <w:rsid w:val="003A5C05"/>
    <w:rsid w:val="003A5D4E"/>
    <w:rsid w:val="003A65EE"/>
    <w:rsid w:val="003A6670"/>
    <w:rsid w:val="003A687C"/>
    <w:rsid w:val="003A6A73"/>
    <w:rsid w:val="003A6A7E"/>
    <w:rsid w:val="003A6A8A"/>
    <w:rsid w:val="003A6B36"/>
    <w:rsid w:val="003A6B47"/>
    <w:rsid w:val="003A6F74"/>
    <w:rsid w:val="003A7183"/>
    <w:rsid w:val="003A71E9"/>
    <w:rsid w:val="003A740C"/>
    <w:rsid w:val="003A75BD"/>
    <w:rsid w:val="003A79BD"/>
    <w:rsid w:val="003A79D6"/>
    <w:rsid w:val="003A7ED7"/>
    <w:rsid w:val="003A7EDB"/>
    <w:rsid w:val="003B00A3"/>
    <w:rsid w:val="003B028D"/>
    <w:rsid w:val="003B05A7"/>
    <w:rsid w:val="003B0630"/>
    <w:rsid w:val="003B0853"/>
    <w:rsid w:val="003B091F"/>
    <w:rsid w:val="003B0A29"/>
    <w:rsid w:val="003B0C66"/>
    <w:rsid w:val="003B0CB6"/>
    <w:rsid w:val="003B0E61"/>
    <w:rsid w:val="003B1004"/>
    <w:rsid w:val="003B110E"/>
    <w:rsid w:val="003B1514"/>
    <w:rsid w:val="003B15C5"/>
    <w:rsid w:val="003B192D"/>
    <w:rsid w:val="003B192F"/>
    <w:rsid w:val="003B1B6A"/>
    <w:rsid w:val="003B1F0C"/>
    <w:rsid w:val="003B2114"/>
    <w:rsid w:val="003B249D"/>
    <w:rsid w:val="003B27B8"/>
    <w:rsid w:val="003B28F2"/>
    <w:rsid w:val="003B2917"/>
    <w:rsid w:val="003B2A8A"/>
    <w:rsid w:val="003B2D8E"/>
    <w:rsid w:val="003B2F74"/>
    <w:rsid w:val="003B31BB"/>
    <w:rsid w:val="003B33B6"/>
    <w:rsid w:val="003B33CB"/>
    <w:rsid w:val="003B3446"/>
    <w:rsid w:val="003B3498"/>
    <w:rsid w:val="003B3514"/>
    <w:rsid w:val="003B36EC"/>
    <w:rsid w:val="003B38C3"/>
    <w:rsid w:val="003B3B9C"/>
    <w:rsid w:val="003B3D2D"/>
    <w:rsid w:val="003B3DE5"/>
    <w:rsid w:val="003B3E22"/>
    <w:rsid w:val="003B3E78"/>
    <w:rsid w:val="003B3F8A"/>
    <w:rsid w:val="003B3FE7"/>
    <w:rsid w:val="003B4194"/>
    <w:rsid w:val="003B41DD"/>
    <w:rsid w:val="003B4227"/>
    <w:rsid w:val="003B45EE"/>
    <w:rsid w:val="003B466A"/>
    <w:rsid w:val="003B469E"/>
    <w:rsid w:val="003B47F8"/>
    <w:rsid w:val="003B4D43"/>
    <w:rsid w:val="003B4ED2"/>
    <w:rsid w:val="003B53B4"/>
    <w:rsid w:val="003B53E5"/>
    <w:rsid w:val="003B540D"/>
    <w:rsid w:val="003B58D3"/>
    <w:rsid w:val="003B5D58"/>
    <w:rsid w:val="003B5F15"/>
    <w:rsid w:val="003B60AD"/>
    <w:rsid w:val="003B6101"/>
    <w:rsid w:val="003B6B65"/>
    <w:rsid w:val="003B6CC4"/>
    <w:rsid w:val="003B6EB9"/>
    <w:rsid w:val="003B6F07"/>
    <w:rsid w:val="003B6F40"/>
    <w:rsid w:val="003B6F91"/>
    <w:rsid w:val="003B6F9F"/>
    <w:rsid w:val="003B70E4"/>
    <w:rsid w:val="003B73F4"/>
    <w:rsid w:val="003B742E"/>
    <w:rsid w:val="003B75BE"/>
    <w:rsid w:val="003B76C1"/>
    <w:rsid w:val="003B77C1"/>
    <w:rsid w:val="003B7829"/>
    <w:rsid w:val="003B78B5"/>
    <w:rsid w:val="003B7ACB"/>
    <w:rsid w:val="003B7B4C"/>
    <w:rsid w:val="003B7C0B"/>
    <w:rsid w:val="003B7C18"/>
    <w:rsid w:val="003B7FC3"/>
    <w:rsid w:val="003C00FC"/>
    <w:rsid w:val="003C0437"/>
    <w:rsid w:val="003C043E"/>
    <w:rsid w:val="003C0487"/>
    <w:rsid w:val="003C0496"/>
    <w:rsid w:val="003C04D7"/>
    <w:rsid w:val="003C0697"/>
    <w:rsid w:val="003C085A"/>
    <w:rsid w:val="003C0ABC"/>
    <w:rsid w:val="003C0D21"/>
    <w:rsid w:val="003C1069"/>
    <w:rsid w:val="003C1621"/>
    <w:rsid w:val="003C1676"/>
    <w:rsid w:val="003C1889"/>
    <w:rsid w:val="003C18C4"/>
    <w:rsid w:val="003C1FD8"/>
    <w:rsid w:val="003C2270"/>
    <w:rsid w:val="003C236D"/>
    <w:rsid w:val="003C283F"/>
    <w:rsid w:val="003C28EB"/>
    <w:rsid w:val="003C2B02"/>
    <w:rsid w:val="003C2BC2"/>
    <w:rsid w:val="003C2C42"/>
    <w:rsid w:val="003C30B7"/>
    <w:rsid w:val="003C325D"/>
    <w:rsid w:val="003C325E"/>
    <w:rsid w:val="003C32D0"/>
    <w:rsid w:val="003C3301"/>
    <w:rsid w:val="003C3336"/>
    <w:rsid w:val="003C33E6"/>
    <w:rsid w:val="003C35EA"/>
    <w:rsid w:val="003C3675"/>
    <w:rsid w:val="003C38B4"/>
    <w:rsid w:val="003C3A02"/>
    <w:rsid w:val="003C3AFD"/>
    <w:rsid w:val="003C3F25"/>
    <w:rsid w:val="003C4263"/>
    <w:rsid w:val="003C427C"/>
    <w:rsid w:val="003C450E"/>
    <w:rsid w:val="003C45E7"/>
    <w:rsid w:val="003C4787"/>
    <w:rsid w:val="003C4ADF"/>
    <w:rsid w:val="003C4BA0"/>
    <w:rsid w:val="003C5030"/>
    <w:rsid w:val="003C51B0"/>
    <w:rsid w:val="003C5353"/>
    <w:rsid w:val="003C5440"/>
    <w:rsid w:val="003C5583"/>
    <w:rsid w:val="003C57FE"/>
    <w:rsid w:val="003C590B"/>
    <w:rsid w:val="003C5FA4"/>
    <w:rsid w:val="003C6220"/>
    <w:rsid w:val="003C627D"/>
    <w:rsid w:val="003C62F6"/>
    <w:rsid w:val="003C6313"/>
    <w:rsid w:val="003C6416"/>
    <w:rsid w:val="003C643F"/>
    <w:rsid w:val="003C64BB"/>
    <w:rsid w:val="003C6555"/>
    <w:rsid w:val="003C67A1"/>
    <w:rsid w:val="003C6855"/>
    <w:rsid w:val="003C6CDB"/>
    <w:rsid w:val="003C6E5F"/>
    <w:rsid w:val="003C6E73"/>
    <w:rsid w:val="003C6FF7"/>
    <w:rsid w:val="003C724B"/>
    <w:rsid w:val="003C72D0"/>
    <w:rsid w:val="003C72E7"/>
    <w:rsid w:val="003C7336"/>
    <w:rsid w:val="003C73A6"/>
    <w:rsid w:val="003C7810"/>
    <w:rsid w:val="003C79AB"/>
    <w:rsid w:val="003C7C27"/>
    <w:rsid w:val="003D00C3"/>
    <w:rsid w:val="003D040E"/>
    <w:rsid w:val="003D0649"/>
    <w:rsid w:val="003D0951"/>
    <w:rsid w:val="003D0C11"/>
    <w:rsid w:val="003D1179"/>
    <w:rsid w:val="003D12C8"/>
    <w:rsid w:val="003D12E3"/>
    <w:rsid w:val="003D1368"/>
    <w:rsid w:val="003D1474"/>
    <w:rsid w:val="003D1A30"/>
    <w:rsid w:val="003D1EB3"/>
    <w:rsid w:val="003D2493"/>
    <w:rsid w:val="003D24F4"/>
    <w:rsid w:val="003D2612"/>
    <w:rsid w:val="003D26BA"/>
    <w:rsid w:val="003D2758"/>
    <w:rsid w:val="003D27AF"/>
    <w:rsid w:val="003D2A99"/>
    <w:rsid w:val="003D2F85"/>
    <w:rsid w:val="003D3193"/>
    <w:rsid w:val="003D3407"/>
    <w:rsid w:val="003D3563"/>
    <w:rsid w:val="003D3781"/>
    <w:rsid w:val="003D37EC"/>
    <w:rsid w:val="003D38EE"/>
    <w:rsid w:val="003D3B03"/>
    <w:rsid w:val="003D3DC8"/>
    <w:rsid w:val="003D3FAC"/>
    <w:rsid w:val="003D3FCA"/>
    <w:rsid w:val="003D4170"/>
    <w:rsid w:val="003D4335"/>
    <w:rsid w:val="003D4536"/>
    <w:rsid w:val="003D4631"/>
    <w:rsid w:val="003D466C"/>
    <w:rsid w:val="003D46CA"/>
    <w:rsid w:val="003D49CF"/>
    <w:rsid w:val="003D4F71"/>
    <w:rsid w:val="003D5478"/>
    <w:rsid w:val="003D553C"/>
    <w:rsid w:val="003D55B3"/>
    <w:rsid w:val="003D5752"/>
    <w:rsid w:val="003D585C"/>
    <w:rsid w:val="003D5934"/>
    <w:rsid w:val="003D595A"/>
    <w:rsid w:val="003D59BD"/>
    <w:rsid w:val="003D5E13"/>
    <w:rsid w:val="003D5F5A"/>
    <w:rsid w:val="003D6303"/>
    <w:rsid w:val="003D643C"/>
    <w:rsid w:val="003D6F3A"/>
    <w:rsid w:val="003D7030"/>
    <w:rsid w:val="003D73D6"/>
    <w:rsid w:val="003D73E4"/>
    <w:rsid w:val="003D73F5"/>
    <w:rsid w:val="003D742A"/>
    <w:rsid w:val="003D7497"/>
    <w:rsid w:val="003D74BA"/>
    <w:rsid w:val="003D7588"/>
    <w:rsid w:val="003D75F4"/>
    <w:rsid w:val="003D780F"/>
    <w:rsid w:val="003D78EC"/>
    <w:rsid w:val="003D7F14"/>
    <w:rsid w:val="003E011C"/>
    <w:rsid w:val="003E013A"/>
    <w:rsid w:val="003E037D"/>
    <w:rsid w:val="003E04DF"/>
    <w:rsid w:val="003E05DB"/>
    <w:rsid w:val="003E067C"/>
    <w:rsid w:val="003E089F"/>
    <w:rsid w:val="003E0B36"/>
    <w:rsid w:val="003E0D26"/>
    <w:rsid w:val="003E0D9B"/>
    <w:rsid w:val="003E0DC3"/>
    <w:rsid w:val="003E122A"/>
    <w:rsid w:val="003E1783"/>
    <w:rsid w:val="003E1941"/>
    <w:rsid w:val="003E1987"/>
    <w:rsid w:val="003E1B2A"/>
    <w:rsid w:val="003E1B41"/>
    <w:rsid w:val="003E1C63"/>
    <w:rsid w:val="003E1CFC"/>
    <w:rsid w:val="003E1DAF"/>
    <w:rsid w:val="003E1E30"/>
    <w:rsid w:val="003E200C"/>
    <w:rsid w:val="003E2572"/>
    <w:rsid w:val="003E26E8"/>
    <w:rsid w:val="003E2726"/>
    <w:rsid w:val="003E28D3"/>
    <w:rsid w:val="003E2901"/>
    <w:rsid w:val="003E2ABC"/>
    <w:rsid w:val="003E2BA9"/>
    <w:rsid w:val="003E2EC6"/>
    <w:rsid w:val="003E2F7A"/>
    <w:rsid w:val="003E33E2"/>
    <w:rsid w:val="003E33F7"/>
    <w:rsid w:val="003E3429"/>
    <w:rsid w:val="003E3669"/>
    <w:rsid w:val="003E3A39"/>
    <w:rsid w:val="003E3AD9"/>
    <w:rsid w:val="003E3B5F"/>
    <w:rsid w:val="003E3E85"/>
    <w:rsid w:val="003E406D"/>
    <w:rsid w:val="003E41A6"/>
    <w:rsid w:val="003E431C"/>
    <w:rsid w:val="003E43E9"/>
    <w:rsid w:val="003E4402"/>
    <w:rsid w:val="003E445F"/>
    <w:rsid w:val="003E44F8"/>
    <w:rsid w:val="003E4938"/>
    <w:rsid w:val="003E49B4"/>
    <w:rsid w:val="003E4C6C"/>
    <w:rsid w:val="003E4EFA"/>
    <w:rsid w:val="003E513C"/>
    <w:rsid w:val="003E5563"/>
    <w:rsid w:val="003E5C15"/>
    <w:rsid w:val="003E5DBC"/>
    <w:rsid w:val="003E5F7C"/>
    <w:rsid w:val="003E6087"/>
    <w:rsid w:val="003E62CF"/>
    <w:rsid w:val="003E65CA"/>
    <w:rsid w:val="003E66F1"/>
    <w:rsid w:val="003E6701"/>
    <w:rsid w:val="003E68AE"/>
    <w:rsid w:val="003E6A59"/>
    <w:rsid w:val="003E6D25"/>
    <w:rsid w:val="003E6EB3"/>
    <w:rsid w:val="003E6EBE"/>
    <w:rsid w:val="003E6F25"/>
    <w:rsid w:val="003E733D"/>
    <w:rsid w:val="003E7570"/>
    <w:rsid w:val="003E7953"/>
    <w:rsid w:val="003E7A78"/>
    <w:rsid w:val="003E7A88"/>
    <w:rsid w:val="003F00AA"/>
    <w:rsid w:val="003F0120"/>
    <w:rsid w:val="003F0283"/>
    <w:rsid w:val="003F046C"/>
    <w:rsid w:val="003F052C"/>
    <w:rsid w:val="003F0637"/>
    <w:rsid w:val="003F0786"/>
    <w:rsid w:val="003F0B36"/>
    <w:rsid w:val="003F0FCF"/>
    <w:rsid w:val="003F127E"/>
    <w:rsid w:val="003F12C1"/>
    <w:rsid w:val="003F1466"/>
    <w:rsid w:val="003F151A"/>
    <w:rsid w:val="003F15A6"/>
    <w:rsid w:val="003F1746"/>
    <w:rsid w:val="003F212B"/>
    <w:rsid w:val="003F2559"/>
    <w:rsid w:val="003F2660"/>
    <w:rsid w:val="003F2849"/>
    <w:rsid w:val="003F2862"/>
    <w:rsid w:val="003F2DAE"/>
    <w:rsid w:val="003F2DFE"/>
    <w:rsid w:val="003F3085"/>
    <w:rsid w:val="003F3127"/>
    <w:rsid w:val="003F34A1"/>
    <w:rsid w:val="003F3698"/>
    <w:rsid w:val="003F36E1"/>
    <w:rsid w:val="003F3DE8"/>
    <w:rsid w:val="003F3E05"/>
    <w:rsid w:val="003F3EB3"/>
    <w:rsid w:val="003F3F97"/>
    <w:rsid w:val="003F40D2"/>
    <w:rsid w:val="003F411E"/>
    <w:rsid w:val="003F41FC"/>
    <w:rsid w:val="003F4318"/>
    <w:rsid w:val="003F47D8"/>
    <w:rsid w:val="003F4924"/>
    <w:rsid w:val="003F4A34"/>
    <w:rsid w:val="003F4A81"/>
    <w:rsid w:val="003F5107"/>
    <w:rsid w:val="003F5204"/>
    <w:rsid w:val="003F52EE"/>
    <w:rsid w:val="003F55F8"/>
    <w:rsid w:val="003F5633"/>
    <w:rsid w:val="003F5669"/>
    <w:rsid w:val="003F5845"/>
    <w:rsid w:val="003F598B"/>
    <w:rsid w:val="003F5E19"/>
    <w:rsid w:val="003F613F"/>
    <w:rsid w:val="003F61F9"/>
    <w:rsid w:val="003F6209"/>
    <w:rsid w:val="003F6A36"/>
    <w:rsid w:val="003F6B05"/>
    <w:rsid w:val="003F6BA1"/>
    <w:rsid w:val="003F71E9"/>
    <w:rsid w:val="003F729D"/>
    <w:rsid w:val="003F76BB"/>
    <w:rsid w:val="003F792F"/>
    <w:rsid w:val="003F7B75"/>
    <w:rsid w:val="003F7BA0"/>
    <w:rsid w:val="003F7E71"/>
    <w:rsid w:val="0040004C"/>
    <w:rsid w:val="004003BC"/>
    <w:rsid w:val="00400446"/>
    <w:rsid w:val="00400711"/>
    <w:rsid w:val="00400CD1"/>
    <w:rsid w:val="00400CD7"/>
    <w:rsid w:val="00400D17"/>
    <w:rsid w:val="00400EA1"/>
    <w:rsid w:val="00400FEE"/>
    <w:rsid w:val="004010A1"/>
    <w:rsid w:val="00401693"/>
    <w:rsid w:val="004016DA"/>
    <w:rsid w:val="0040176A"/>
    <w:rsid w:val="00401878"/>
    <w:rsid w:val="004018C2"/>
    <w:rsid w:val="00401AF6"/>
    <w:rsid w:val="00401BAD"/>
    <w:rsid w:val="00401D31"/>
    <w:rsid w:val="00401E39"/>
    <w:rsid w:val="00402081"/>
    <w:rsid w:val="00402083"/>
    <w:rsid w:val="004020A5"/>
    <w:rsid w:val="00402949"/>
    <w:rsid w:val="00402A7D"/>
    <w:rsid w:val="00402DB9"/>
    <w:rsid w:val="00402F7F"/>
    <w:rsid w:val="0040305B"/>
    <w:rsid w:val="0040312E"/>
    <w:rsid w:val="00403269"/>
    <w:rsid w:val="00403D53"/>
    <w:rsid w:val="00403E39"/>
    <w:rsid w:val="00404196"/>
    <w:rsid w:val="00404850"/>
    <w:rsid w:val="00404B30"/>
    <w:rsid w:val="00404DE0"/>
    <w:rsid w:val="00405122"/>
    <w:rsid w:val="0040512C"/>
    <w:rsid w:val="00405177"/>
    <w:rsid w:val="0040526A"/>
    <w:rsid w:val="004056BE"/>
    <w:rsid w:val="004057B0"/>
    <w:rsid w:val="00405BD4"/>
    <w:rsid w:val="00405C04"/>
    <w:rsid w:val="004061A5"/>
    <w:rsid w:val="004063C9"/>
    <w:rsid w:val="00406611"/>
    <w:rsid w:val="004067C5"/>
    <w:rsid w:val="004067D2"/>
    <w:rsid w:val="00406896"/>
    <w:rsid w:val="00406965"/>
    <w:rsid w:val="0040698C"/>
    <w:rsid w:val="00406B0A"/>
    <w:rsid w:val="00406BE2"/>
    <w:rsid w:val="00406DAE"/>
    <w:rsid w:val="00406E24"/>
    <w:rsid w:val="00406E44"/>
    <w:rsid w:val="00406EA2"/>
    <w:rsid w:val="00406F20"/>
    <w:rsid w:val="00407287"/>
    <w:rsid w:val="004072F9"/>
    <w:rsid w:val="00407507"/>
    <w:rsid w:val="004076E8"/>
    <w:rsid w:val="004077EB"/>
    <w:rsid w:val="00407995"/>
    <w:rsid w:val="004079A4"/>
    <w:rsid w:val="00407B00"/>
    <w:rsid w:val="00407D51"/>
    <w:rsid w:val="00407F43"/>
    <w:rsid w:val="00410423"/>
    <w:rsid w:val="00410621"/>
    <w:rsid w:val="00410630"/>
    <w:rsid w:val="00410746"/>
    <w:rsid w:val="0041080D"/>
    <w:rsid w:val="004108FF"/>
    <w:rsid w:val="00410979"/>
    <w:rsid w:val="00410B6C"/>
    <w:rsid w:val="00410E15"/>
    <w:rsid w:val="004110FA"/>
    <w:rsid w:val="004111AA"/>
    <w:rsid w:val="0041169D"/>
    <w:rsid w:val="004116B5"/>
    <w:rsid w:val="0041176F"/>
    <w:rsid w:val="0041189E"/>
    <w:rsid w:val="00411A2F"/>
    <w:rsid w:val="00411A8E"/>
    <w:rsid w:val="00411F50"/>
    <w:rsid w:val="00411F72"/>
    <w:rsid w:val="004123D1"/>
    <w:rsid w:val="00412520"/>
    <w:rsid w:val="00412658"/>
    <w:rsid w:val="00412AC8"/>
    <w:rsid w:val="00413088"/>
    <w:rsid w:val="004130B7"/>
    <w:rsid w:val="00413209"/>
    <w:rsid w:val="00413222"/>
    <w:rsid w:val="00413248"/>
    <w:rsid w:val="0041332F"/>
    <w:rsid w:val="004133A0"/>
    <w:rsid w:val="00413AFB"/>
    <w:rsid w:val="00413F29"/>
    <w:rsid w:val="00414070"/>
    <w:rsid w:val="00414258"/>
    <w:rsid w:val="00414548"/>
    <w:rsid w:val="00414A9F"/>
    <w:rsid w:val="00414D71"/>
    <w:rsid w:val="00414E17"/>
    <w:rsid w:val="004150DF"/>
    <w:rsid w:val="004156D3"/>
    <w:rsid w:val="004158D7"/>
    <w:rsid w:val="00415AC4"/>
    <w:rsid w:val="00415B52"/>
    <w:rsid w:val="00415C01"/>
    <w:rsid w:val="00415EAA"/>
    <w:rsid w:val="00415ED6"/>
    <w:rsid w:val="0041601E"/>
    <w:rsid w:val="004160BC"/>
    <w:rsid w:val="0041628F"/>
    <w:rsid w:val="00416464"/>
    <w:rsid w:val="00416502"/>
    <w:rsid w:val="00416999"/>
    <w:rsid w:val="004169CF"/>
    <w:rsid w:val="00416AB4"/>
    <w:rsid w:val="00416B06"/>
    <w:rsid w:val="00416BF1"/>
    <w:rsid w:val="00416BFE"/>
    <w:rsid w:val="00416D16"/>
    <w:rsid w:val="00416E0F"/>
    <w:rsid w:val="00416FED"/>
    <w:rsid w:val="00417273"/>
    <w:rsid w:val="004179FD"/>
    <w:rsid w:val="00417BE5"/>
    <w:rsid w:val="00417C7C"/>
    <w:rsid w:val="00420020"/>
    <w:rsid w:val="004202B9"/>
    <w:rsid w:val="00420616"/>
    <w:rsid w:val="00420734"/>
    <w:rsid w:val="004207BF"/>
    <w:rsid w:val="0042083C"/>
    <w:rsid w:val="00420EF8"/>
    <w:rsid w:val="0042125A"/>
    <w:rsid w:val="0042134B"/>
    <w:rsid w:val="00421407"/>
    <w:rsid w:val="00421413"/>
    <w:rsid w:val="004214A4"/>
    <w:rsid w:val="0042152C"/>
    <w:rsid w:val="004215A5"/>
    <w:rsid w:val="004215B1"/>
    <w:rsid w:val="00421625"/>
    <w:rsid w:val="00421DCA"/>
    <w:rsid w:val="00422009"/>
    <w:rsid w:val="00422292"/>
    <w:rsid w:val="0042229D"/>
    <w:rsid w:val="00422381"/>
    <w:rsid w:val="004223A7"/>
    <w:rsid w:val="00422558"/>
    <w:rsid w:val="0042287F"/>
    <w:rsid w:val="00422984"/>
    <w:rsid w:val="00422C3F"/>
    <w:rsid w:val="00422CFE"/>
    <w:rsid w:val="004232A8"/>
    <w:rsid w:val="00423679"/>
    <w:rsid w:val="00423711"/>
    <w:rsid w:val="00423839"/>
    <w:rsid w:val="00423988"/>
    <w:rsid w:val="004239A1"/>
    <w:rsid w:val="00423A68"/>
    <w:rsid w:val="00423AAD"/>
    <w:rsid w:val="00423B3D"/>
    <w:rsid w:val="00423CD3"/>
    <w:rsid w:val="00423D42"/>
    <w:rsid w:val="00423D8D"/>
    <w:rsid w:val="00423EBE"/>
    <w:rsid w:val="004240A9"/>
    <w:rsid w:val="004242B0"/>
    <w:rsid w:val="0042466E"/>
    <w:rsid w:val="00424687"/>
    <w:rsid w:val="00424744"/>
    <w:rsid w:val="0042474F"/>
    <w:rsid w:val="00424908"/>
    <w:rsid w:val="00424BA1"/>
    <w:rsid w:val="00424C62"/>
    <w:rsid w:val="00424D6C"/>
    <w:rsid w:val="00425479"/>
    <w:rsid w:val="00425485"/>
    <w:rsid w:val="00425705"/>
    <w:rsid w:val="0042570B"/>
    <w:rsid w:val="00425739"/>
    <w:rsid w:val="0042575C"/>
    <w:rsid w:val="00425813"/>
    <w:rsid w:val="00425BDB"/>
    <w:rsid w:val="00426001"/>
    <w:rsid w:val="004263B4"/>
    <w:rsid w:val="00426A51"/>
    <w:rsid w:val="00426C4D"/>
    <w:rsid w:val="00426DAD"/>
    <w:rsid w:val="00427072"/>
    <w:rsid w:val="00427156"/>
    <w:rsid w:val="00427515"/>
    <w:rsid w:val="00427B0B"/>
    <w:rsid w:val="004302BE"/>
    <w:rsid w:val="004306C6"/>
    <w:rsid w:val="004307A1"/>
    <w:rsid w:val="004307C4"/>
    <w:rsid w:val="004307E1"/>
    <w:rsid w:val="00430947"/>
    <w:rsid w:val="00430954"/>
    <w:rsid w:val="004309A4"/>
    <w:rsid w:val="00430B93"/>
    <w:rsid w:val="00430CAF"/>
    <w:rsid w:val="00430DBE"/>
    <w:rsid w:val="00430F53"/>
    <w:rsid w:val="00430FF4"/>
    <w:rsid w:val="00431256"/>
    <w:rsid w:val="004313C8"/>
    <w:rsid w:val="00431541"/>
    <w:rsid w:val="0043158C"/>
    <w:rsid w:val="004315E2"/>
    <w:rsid w:val="004316F9"/>
    <w:rsid w:val="0043173C"/>
    <w:rsid w:val="004317A0"/>
    <w:rsid w:val="004319F4"/>
    <w:rsid w:val="00431CD1"/>
    <w:rsid w:val="00431DD5"/>
    <w:rsid w:val="00431E48"/>
    <w:rsid w:val="004323D1"/>
    <w:rsid w:val="00432528"/>
    <w:rsid w:val="0043278E"/>
    <w:rsid w:val="00432A58"/>
    <w:rsid w:val="00432BCB"/>
    <w:rsid w:val="00432CC7"/>
    <w:rsid w:val="00432F66"/>
    <w:rsid w:val="004330D7"/>
    <w:rsid w:val="00433292"/>
    <w:rsid w:val="004332E0"/>
    <w:rsid w:val="00433399"/>
    <w:rsid w:val="00433406"/>
    <w:rsid w:val="00433588"/>
    <w:rsid w:val="0043359B"/>
    <w:rsid w:val="00433852"/>
    <w:rsid w:val="00433957"/>
    <w:rsid w:val="00433A5D"/>
    <w:rsid w:val="00433AD0"/>
    <w:rsid w:val="00433B82"/>
    <w:rsid w:val="00433C7D"/>
    <w:rsid w:val="00433DA1"/>
    <w:rsid w:val="00433E81"/>
    <w:rsid w:val="00433ECF"/>
    <w:rsid w:val="00433F99"/>
    <w:rsid w:val="00433FDE"/>
    <w:rsid w:val="00434145"/>
    <w:rsid w:val="0043414D"/>
    <w:rsid w:val="00434495"/>
    <w:rsid w:val="00434598"/>
    <w:rsid w:val="0043474B"/>
    <w:rsid w:val="00434872"/>
    <w:rsid w:val="004348D9"/>
    <w:rsid w:val="00434CB1"/>
    <w:rsid w:val="00434CDF"/>
    <w:rsid w:val="00434DB5"/>
    <w:rsid w:val="00434E52"/>
    <w:rsid w:val="00435733"/>
    <w:rsid w:val="00435BB3"/>
    <w:rsid w:val="00435DB3"/>
    <w:rsid w:val="00435E70"/>
    <w:rsid w:val="00435F19"/>
    <w:rsid w:val="00436087"/>
    <w:rsid w:val="00436144"/>
    <w:rsid w:val="00436161"/>
    <w:rsid w:val="0043620C"/>
    <w:rsid w:val="004362CB"/>
    <w:rsid w:val="00436304"/>
    <w:rsid w:val="004363C7"/>
    <w:rsid w:val="0043668B"/>
    <w:rsid w:val="00436787"/>
    <w:rsid w:val="004367F0"/>
    <w:rsid w:val="00436AB5"/>
    <w:rsid w:val="00436CBD"/>
    <w:rsid w:val="00436CE2"/>
    <w:rsid w:val="00436FEB"/>
    <w:rsid w:val="004374B5"/>
    <w:rsid w:val="004377FC"/>
    <w:rsid w:val="00437A20"/>
    <w:rsid w:val="00437D90"/>
    <w:rsid w:val="00437EC2"/>
    <w:rsid w:val="00437EDD"/>
    <w:rsid w:val="004404A4"/>
    <w:rsid w:val="0044064B"/>
    <w:rsid w:val="00440C3C"/>
    <w:rsid w:val="00440D15"/>
    <w:rsid w:val="00440D65"/>
    <w:rsid w:val="00440DE2"/>
    <w:rsid w:val="00440F3A"/>
    <w:rsid w:val="00441824"/>
    <w:rsid w:val="0044199C"/>
    <w:rsid w:val="004419D9"/>
    <w:rsid w:val="0044209F"/>
    <w:rsid w:val="004420CC"/>
    <w:rsid w:val="004421EA"/>
    <w:rsid w:val="004423BA"/>
    <w:rsid w:val="00442402"/>
    <w:rsid w:val="0044260D"/>
    <w:rsid w:val="0044273D"/>
    <w:rsid w:val="00442A21"/>
    <w:rsid w:val="00442BBD"/>
    <w:rsid w:val="00442FB8"/>
    <w:rsid w:val="00443202"/>
    <w:rsid w:val="0044357F"/>
    <w:rsid w:val="0044365F"/>
    <w:rsid w:val="0044390E"/>
    <w:rsid w:val="00443CF5"/>
    <w:rsid w:val="00443DB7"/>
    <w:rsid w:val="00443F60"/>
    <w:rsid w:val="00444025"/>
    <w:rsid w:val="00444088"/>
    <w:rsid w:val="0044439D"/>
    <w:rsid w:val="004443E4"/>
    <w:rsid w:val="0044440E"/>
    <w:rsid w:val="004444B1"/>
    <w:rsid w:val="004444D5"/>
    <w:rsid w:val="00444AAE"/>
    <w:rsid w:val="00444EE6"/>
    <w:rsid w:val="004454E2"/>
    <w:rsid w:val="0044560D"/>
    <w:rsid w:val="00445688"/>
    <w:rsid w:val="004457B2"/>
    <w:rsid w:val="004459A5"/>
    <w:rsid w:val="00445AB2"/>
    <w:rsid w:val="00445B46"/>
    <w:rsid w:val="00445BA0"/>
    <w:rsid w:val="00445EF0"/>
    <w:rsid w:val="00445F23"/>
    <w:rsid w:val="00445FFF"/>
    <w:rsid w:val="00446048"/>
    <w:rsid w:val="00446163"/>
    <w:rsid w:val="004461A2"/>
    <w:rsid w:val="004465C2"/>
    <w:rsid w:val="004468FB"/>
    <w:rsid w:val="00446A63"/>
    <w:rsid w:val="00446A69"/>
    <w:rsid w:val="00446D1E"/>
    <w:rsid w:val="00446D23"/>
    <w:rsid w:val="00446D6F"/>
    <w:rsid w:val="00446E29"/>
    <w:rsid w:val="00446F60"/>
    <w:rsid w:val="00446FF5"/>
    <w:rsid w:val="00447725"/>
    <w:rsid w:val="004477C8"/>
    <w:rsid w:val="00447A4A"/>
    <w:rsid w:val="00447BF8"/>
    <w:rsid w:val="00447C45"/>
    <w:rsid w:val="00447D36"/>
    <w:rsid w:val="00447E79"/>
    <w:rsid w:val="00450250"/>
    <w:rsid w:val="004505A1"/>
    <w:rsid w:val="00450998"/>
    <w:rsid w:val="00450BB1"/>
    <w:rsid w:val="00450BFF"/>
    <w:rsid w:val="00450C0A"/>
    <w:rsid w:val="00450E32"/>
    <w:rsid w:val="00450EFC"/>
    <w:rsid w:val="00450F0B"/>
    <w:rsid w:val="00451150"/>
    <w:rsid w:val="00451218"/>
    <w:rsid w:val="0045135D"/>
    <w:rsid w:val="0045138C"/>
    <w:rsid w:val="004513C0"/>
    <w:rsid w:val="0045163D"/>
    <w:rsid w:val="004517BF"/>
    <w:rsid w:val="00451800"/>
    <w:rsid w:val="004518FC"/>
    <w:rsid w:val="00451C6C"/>
    <w:rsid w:val="00451D26"/>
    <w:rsid w:val="00451E83"/>
    <w:rsid w:val="0045209F"/>
    <w:rsid w:val="00452145"/>
    <w:rsid w:val="0045218B"/>
    <w:rsid w:val="00452360"/>
    <w:rsid w:val="004523A1"/>
    <w:rsid w:val="0045240A"/>
    <w:rsid w:val="0045242E"/>
    <w:rsid w:val="0045249B"/>
    <w:rsid w:val="0045270A"/>
    <w:rsid w:val="004528A0"/>
    <w:rsid w:val="00452BB3"/>
    <w:rsid w:val="00452E09"/>
    <w:rsid w:val="00452EC0"/>
    <w:rsid w:val="00452FF5"/>
    <w:rsid w:val="0045324D"/>
    <w:rsid w:val="0045339D"/>
    <w:rsid w:val="004533A0"/>
    <w:rsid w:val="004536E9"/>
    <w:rsid w:val="00453A28"/>
    <w:rsid w:val="00453AD1"/>
    <w:rsid w:val="00453DC9"/>
    <w:rsid w:val="00453F2F"/>
    <w:rsid w:val="0045402A"/>
    <w:rsid w:val="0045419F"/>
    <w:rsid w:val="004541D2"/>
    <w:rsid w:val="0045425F"/>
    <w:rsid w:val="00454272"/>
    <w:rsid w:val="00454316"/>
    <w:rsid w:val="00454333"/>
    <w:rsid w:val="00454435"/>
    <w:rsid w:val="004544B8"/>
    <w:rsid w:val="00454614"/>
    <w:rsid w:val="00454633"/>
    <w:rsid w:val="00454750"/>
    <w:rsid w:val="00454768"/>
    <w:rsid w:val="0045483D"/>
    <w:rsid w:val="0045489F"/>
    <w:rsid w:val="00454B66"/>
    <w:rsid w:val="00454B83"/>
    <w:rsid w:val="00454DB0"/>
    <w:rsid w:val="00454E75"/>
    <w:rsid w:val="00454FC3"/>
    <w:rsid w:val="00455109"/>
    <w:rsid w:val="0045513C"/>
    <w:rsid w:val="0045516C"/>
    <w:rsid w:val="004553A9"/>
    <w:rsid w:val="004555C6"/>
    <w:rsid w:val="004558F3"/>
    <w:rsid w:val="00455BF7"/>
    <w:rsid w:val="00455C4B"/>
    <w:rsid w:val="00455D5B"/>
    <w:rsid w:val="00455E96"/>
    <w:rsid w:val="00455F5B"/>
    <w:rsid w:val="004561BF"/>
    <w:rsid w:val="004562C6"/>
    <w:rsid w:val="0045679B"/>
    <w:rsid w:val="004568CE"/>
    <w:rsid w:val="004568E6"/>
    <w:rsid w:val="00456943"/>
    <w:rsid w:val="00456CF4"/>
    <w:rsid w:val="00456D23"/>
    <w:rsid w:val="004570E8"/>
    <w:rsid w:val="00457475"/>
    <w:rsid w:val="0045747A"/>
    <w:rsid w:val="0045752A"/>
    <w:rsid w:val="004576BF"/>
    <w:rsid w:val="004579D1"/>
    <w:rsid w:val="00457A19"/>
    <w:rsid w:val="00457BE5"/>
    <w:rsid w:val="00457D82"/>
    <w:rsid w:val="00460126"/>
    <w:rsid w:val="00460127"/>
    <w:rsid w:val="0046025F"/>
    <w:rsid w:val="00460372"/>
    <w:rsid w:val="0046048D"/>
    <w:rsid w:val="004607C3"/>
    <w:rsid w:val="00460AF7"/>
    <w:rsid w:val="00460C7B"/>
    <w:rsid w:val="00460D49"/>
    <w:rsid w:val="00460D57"/>
    <w:rsid w:val="00460E51"/>
    <w:rsid w:val="004610B4"/>
    <w:rsid w:val="004611CC"/>
    <w:rsid w:val="004613A6"/>
    <w:rsid w:val="00461442"/>
    <w:rsid w:val="004614AC"/>
    <w:rsid w:val="004617DB"/>
    <w:rsid w:val="00461B8A"/>
    <w:rsid w:val="00461C9D"/>
    <w:rsid w:val="00461CAE"/>
    <w:rsid w:val="00461D66"/>
    <w:rsid w:val="0046202F"/>
    <w:rsid w:val="00462226"/>
    <w:rsid w:val="004623D4"/>
    <w:rsid w:val="00462C1F"/>
    <w:rsid w:val="00462F63"/>
    <w:rsid w:val="004630EB"/>
    <w:rsid w:val="004630EE"/>
    <w:rsid w:val="004632D6"/>
    <w:rsid w:val="004633AE"/>
    <w:rsid w:val="00463676"/>
    <w:rsid w:val="0046384E"/>
    <w:rsid w:val="004639A3"/>
    <w:rsid w:val="004639D3"/>
    <w:rsid w:val="00463C89"/>
    <w:rsid w:val="00463CF5"/>
    <w:rsid w:val="00463E6B"/>
    <w:rsid w:val="00463F1D"/>
    <w:rsid w:val="00463F30"/>
    <w:rsid w:val="00464339"/>
    <w:rsid w:val="004643BC"/>
    <w:rsid w:val="004646E2"/>
    <w:rsid w:val="00464873"/>
    <w:rsid w:val="00464951"/>
    <w:rsid w:val="00464A55"/>
    <w:rsid w:val="00464BF8"/>
    <w:rsid w:val="00464D5B"/>
    <w:rsid w:val="00464D5E"/>
    <w:rsid w:val="0046507F"/>
    <w:rsid w:val="004651CE"/>
    <w:rsid w:val="004654F2"/>
    <w:rsid w:val="0046558A"/>
    <w:rsid w:val="004656D5"/>
    <w:rsid w:val="00465763"/>
    <w:rsid w:val="00465C90"/>
    <w:rsid w:val="00465EF8"/>
    <w:rsid w:val="00465FAA"/>
    <w:rsid w:val="00466066"/>
    <w:rsid w:val="004660BF"/>
    <w:rsid w:val="004663A0"/>
    <w:rsid w:val="0046663F"/>
    <w:rsid w:val="004667EE"/>
    <w:rsid w:val="004667F8"/>
    <w:rsid w:val="00466C78"/>
    <w:rsid w:val="00466D82"/>
    <w:rsid w:val="00466EF5"/>
    <w:rsid w:val="00466F94"/>
    <w:rsid w:val="00466FE3"/>
    <w:rsid w:val="00467041"/>
    <w:rsid w:val="004671BC"/>
    <w:rsid w:val="00467367"/>
    <w:rsid w:val="004675E2"/>
    <w:rsid w:val="004675ED"/>
    <w:rsid w:val="004676CF"/>
    <w:rsid w:val="00467797"/>
    <w:rsid w:val="0046791B"/>
    <w:rsid w:val="004705B6"/>
    <w:rsid w:val="004706BE"/>
    <w:rsid w:val="00470878"/>
    <w:rsid w:val="004709D2"/>
    <w:rsid w:val="00470AC8"/>
    <w:rsid w:val="00470B55"/>
    <w:rsid w:val="00470E01"/>
    <w:rsid w:val="004710F0"/>
    <w:rsid w:val="004711D5"/>
    <w:rsid w:val="004713EA"/>
    <w:rsid w:val="00471598"/>
    <w:rsid w:val="00471782"/>
    <w:rsid w:val="00471804"/>
    <w:rsid w:val="00471F7D"/>
    <w:rsid w:val="00472488"/>
    <w:rsid w:val="004725C1"/>
    <w:rsid w:val="00472602"/>
    <w:rsid w:val="004726C3"/>
    <w:rsid w:val="004726FF"/>
    <w:rsid w:val="00472985"/>
    <w:rsid w:val="00472F9A"/>
    <w:rsid w:val="004730DF"/>
    <w:rsid w:val="004732E6"/>
    <w:rsid w:val="004732E9"/>
    <w:rsid w:val="004733DA"/>
    <w:rsid w:val="0047351E"/>
    <w:rsid w:val="0047355C"/>
    <w:rsid w:val="004735AB"/>
    <w:rsid w:val="004736CF"/>
    <w:rsid w:val="00473750"/>
    <w:rsid w:val="004739FD"/>
    <w:rsid w:val="00473A29"/>
    <w:rsid w:val="00473D13"/>
    <w:rsid w:val="00473E51"/>
    <w:rsid w:val="00473F7F"/>
    <w:rsid w:val="004741CD"/>
    <w:rsid w:val="00474450"/>
    <w:rsid w:val="004744CB"/>
    <w:rsid w:val="0047456F"/>
    <w:rsid w:val="004746A5"/>
    <w:rsid w:val="004746C7"/>
    <w:rsid w:val="00474EA2"/>
    <w:rsid w:val="004753FE"/>
    <w:rsid w:val="00475455"/>
    <w:rsid w:val="004754A0"/>
    <w:rsid w:val="004754C9"/>
    <w:rsid w:val="0047553E"/>
    <w:rsid w:val="004755D6"/>
    <w:rsid w:val="00475AD8"/>
    <w:rsid w:val="00475CBA"/>
    <w:rsid w:val="00475D38"/>
    <w:rsid w:val="00475DC3"/>
    <w:rsid w:val="00475F0B"/>
    <w:rsid w:val="00475F95"/>
    <w:rsid w:val="0047627B"/>
    <w:rsid w:val="004764DB"/>
    <w:rsid w:val="004765CD"/>
    <w:rsid w:val="0047685E"/>
    <w:rsid w:val="00476DB7"/>
    <w:rsid w:val="00476E07"/>
    <w:rsid w:val="00476EC5"/>
    <w:rsid w:val="00477059"/>
    <w:rsid w:val="004770AC"/>
    <w:rsid w:val="00477615"/>
    <w:rsid w:val="00477695"/>
    <w:rsid w:val="00477788"/>
    <w:rsid w:val="00477884"/>
    <w:rsid w:val="00477885"/>
    <w:rsid w:val="004779FD"/>
    <w:rsid w:val="00477D4C"/>
    <w:rsid w:val="00480032"/>
    <w:rsid w:val="00480258"/>
    <w:rsid w:val="004802FA"/>
    <w:rsid w:val="00480315"/>
    <w:rsid w:val="00480443"/>
    <w:rsid w:val="00480712"/>
    <w:rsid w:val="00480842"/>
    <w:rsid w:val="00480B50"/>
    <w:rsid w:val="00480BD1"/>
    <w:rsid w:val="00480D23"/>
    <w:rsid w:val="00480D6C"/>
    <w:rsid w:val="00481076"/>
    <w:rsid w:val="0048114D"/>
    <w:rsid w:val="00481156"/>
    <w:rsid w:val="00481288"/>
    <w:rsid w:val="0048161B"/>
    <w:rsid w:val="004816A0"/>
    <w:rsid w:val="004816E4"/>
    <w:rsid w:val="004819C1"/>
    <w:rsid w:val="00481D2A"/>
    <w:rsid w:val="00481F4A"/>
    <w:rsid w:val="004822A6"/>
    <w:rsid w:val="004822FA"/>
    <w:rsid w:val="00482616"/>
    <w:rsid w:val="00482617"/>
    <w:rsid w:val="00482688"/>
    <w:rsid w:val="00482743"/>
    <w:rsid w:val="004827E1"/>
    <w:rsid w:val="00482BB4"/>
    <w:rsid w:val="00482BF2"/>
    <w:rsid w:val="00482C7D"/>
    <w:rsid w:val="00482F94"/>
    <w:rsid w:val="00482FF0"/>
    <w:rsid w:val="004830BA"/>
    <w:rsid w:val="00483381"/>
    <w:rsid w:val="0048346F"/>
    <w:rsid w:val="00483808"/>
    <w:rsid w:val="004838E3"/>
    <w:rsid w:val="00483E00"/>
    <w:rsid w:val="00483E9E"/>
    <w:rsid w:val="00483FBF"/>
    <w:rsid w:val="00484031"/>
    <w:rsid w:val="004841CC"/>
    <w:rsid w:val="00484358"/>
    <w:rsid w:val="004843DD"/>
    <w:rsid w:val="00484566"/>
    <w:rsid w:val="00484576"/>
    <w:rsid w:val="004849DD"/>
    <w:rsid w:val="00485069"/>
    <w:rsid w:val="004850C5"/>
    <w:rsid w:val="00485171"/>
    <w:rsid w:val="004854D3"/>
    <w:rsid w:val="004854D8"/>
    <w:rsid w:val="0048590A"/>
    <w:rsid w:val="00485B33"/>
    <w:rsid w:val="00485BAE"/>
    <w:rsid w:val="00485E56"/>
    <w:rsid w:val="00485E96"/>
    <w:rsid w:val="00485EF0"/>
    <w:rsid w:val="0048600B"/>
    <w:rsid w:val="004861DD"/>
    <w:rsid w:val="004861E7"/>
    <w:rsid w:val="004862CD"/>
    <w:rsid w:val="004862F4"/>
    <w:rsid w:val="00486351"/>
    <w:rsid w:val="00486726"/>
    <w:rsid w:val="00486906"/>
    <w:rsid w:val="00486996"/>
    <w:rsid w:val="004869E2"/>
    <w:rsid w:val="00486ABC"/>
    <w:rsid w:val="00486B04"/>
    <w:rsid w:val="0048704D"/>
    <w:rsid w:val="0048725B"/>
    <w:rsid w:val="0048736B"/>
    <w:rsid w:val="0048764E"/>
    <w:rsid w:val="00487652"/>
    <w:rsid w:val="00487749"/>
    <w:rsid w:val="004877E3"/>
    <w:rsid w:val="00487B03"/>
    <w:rsid w:val="00487D70"/>
    <w:rsid w:val="00487DE3"/>
    <w:rsid w:val="00487EC7"/>
    <w:rsid w:val="00487F94"/>
    <w:rsid w:val="00490085"/>
    <w:rsid w:val="00490211"/>
    <w:rsid w:val="0049067F"/>
    <w:rsid w:val="004906E5"/>
    <w:rsid w:val="004909B2"/>
    <w:rsid w:val="00490AEA"/>
    <w:rsid w:val="00490B2E"/>
    <w:rsid w:val="00490C1E"/>
    <w:rsid w:val="00490C40"/>
    <w:rsid w:val="00490D05"/>
    <w:rsid w:val="00490D6E"/>
    <w:rsid w:val="00490DAE"/>
    <w:rsid w:val="00490E11"/>
    <w:rsid w:val="00490E19"/>
    <w:rsid w:val="00490E2E"/>
    <w:rsid w:val="00490ED5"/>
    <w:rsid w:val="00490EDE"/>
    <w:rsid w:val="00490F33"/>
    <w:rsid w:val="004910CC"/>
    <w:rsid w:val="0049151F"/>
    <w:rsid w:val="004916F0"/>
    <w:rsid w:val="0049173F"/>
    <w:rsid w:val="0049177B"/>
    <w:rsid w:val="00491C3A"/>
    <w:rsid w:val="00491E01"/>
    <w:rsid w:val="00491F39"/>
    <w:rsid w:val="00491FD3"/>
    <w:rsid w:val="0049219B"/>
    <w:rsid w:val="00492235"/>
    <w:rsid w:val="0049224C"/>
    <w:rsid w:val="00492294"/>
    <w:rsid w:val="004924FA"/>
    <w:rsid w:val="004927B1"/>
    <w:rsid w:val="00492851"/>
    <w:rsid w:val="00492CD6"/>
    <w:rsid w:val="00492DB0"/>
    <w:rsid w:val="00492E62"/>
    <w:rsid w:val="00492F27"/>
    <w:rsid w:val="004932D4"/>
    <w:rsid w:val="004936EE"/>
    <w:rsid w:val="004936FA"/>
    <w:rsid w:val="004937C8"/>
    <w:rsid w:val="00493828"/>
    <w:rsid w:val="00493D14"/>
    <w:rsid w:val="00493D5E"/>
    <w:rsid w:val="00493E1F"/>
    <w:rsid w:val="00493E2F"/>
    <w:rsid w:val="0049476D"/>
    <w:rsid w:val="00494797"/>
    <w:rsid w:val="00494847"/>
    <w:rsid w:val="00494A8A"/>
    <w:rsid w:val="00494C35"/>
    <w:rsid w:val="00494C73"/>
    <w:rsid w:val="00494DAA"/>
    <w:rsid w:val="004950E7"/>
    <w:rsid w:val="004950F4"/>
    <w:rsid w:val="00495198"/>
    <w:rsid w:val="0049523E"/>
    <w:rsid w:val="00495295"/>
    <w:rsid w:val="00495548"/>
    <w:rsid w:val="0049563A"/>
    <w:rsid w:val="004956E6"/>
    <w:rsid w:val="00495CF9"/>
    <w:rsid w:val="0049605A"/>
    <w:rsid w:val="004963C2"/>
    <w:rsid w:val="00496605"/>
    <w:rsid w:val="004966F8"/>
    <w:rsid w:val="00496708"/>
    <w:rsid w:val="00496ADA"/>
    <w:rsid w:val="00496B1C"/>
    <w:rsid w:val="00496CCF"/>
    <w:rsid w:val="00496D64"/>
    <w:rsid w:val="00496D83"/>
    <w:rsid w:val="00496F91"/>
    <w:rsid w:val="004974D0"/>
    <w:rsid w:val="00497518"/>
    <w:rsid w:val="004975D3"/>
    <w:rsid w:val="004977F4"/>
    <w:rsid w:val="00497910"/>
    <w:rsid w:val="00497CE2"/>
    <w:rsid w:val="00497FCF"/>
    <w:rsid w:val="004A0084"/>
    <w:rsid w:val="004A05A5"/>
    <w:rsid w:val="004A083A"/>
    <w:rsid w:val="004A0B83"/>
    <w:rsid w:val="004A0FEF"/>
    <w:rsid w:val="004A1182"/>
    <w:rsid w:val="004A1486"/>
    <w:rsid w:val="004A15C4"/>
    <w:rsid w:val="004A1655"/>
    <w:rsid w:val="004A191B"/>
    <w:rsid w:val="004A1A69"/>
    <w:rsid w:val="004A1B8D"/>
    <w:rsid w:val="004A1C0C"/>
    <w:rsid w:val="004A1C53"/>
    <w:rsid w:val="004A1DA6"/>
    <w:rsid w:val="004A1E5C"/>
    <w:rsid w:val="004A2389"/>
    <w:rsid w:val="004A2434"/>
    <w:rsid w:val="004A2777"/>
    <w:rsid w:val="004A27A1"/>
    <w:rsid w:val="004A27D6"/>
    <w:rsid w:val="004A28AF"/>
    <w:rsid w:val="004A2910"/>
    <w:rsid w:val="004A2AEC"/>
    <w:rsid w:val="004A2B7A"/>
    <w:rsid w:val="004A2BB6"/>
    <w:rsid w:val="004A2F6C"/>
    <w:rsid w:val="004A3004"/>
    <w:rsid w:val="004A3065"/>
    <w:rsid w:val="004A35BD"/>
    <w:rsid w:val="004A377B"/>
    <w:rsid w:val="004A3874"/>
    <w:rsid w:val="004A3C56"/>
    <w:rsid w:val="004A3CE2"/>
    <w:rsid w:val="004A3F6D"/>
    <w:rsid w:val="004A41C9"/>
    <w:rsid w:val="004A4A6F"/>
    <w:rsid w:val="004A4BC8"/>
    <w:rsid w:val="004A4BE4"/>
    <w:rsid w:val="004A4D4A"/>
    <w:rsid w:val="004A4F82"/>
    <w:rsid w:val="004A4F98"/>
    <w:rsid w:val="004A52F3"/>
    <w:rsid w:val="004A5319"/>
    <w:rsid w:val="004A5A42"/>
    <w:rsid w:val="004A5A85"/>
    <w:rsid w:val="004A5FB7"/>
    <w:rsid w:val="004A6154"/>
    <w:rsid w:val="004A635E"/>
    <w:rsid w:val="004A63F5"/>
    <w:rsid w:val="004A65CF"/>
    <w:rsid w:val="004A681B"/>
    <w:rsid w:val="004A6A31"/>
    <w:rsid w:val="004A6AED"/>
    <w:rsid w:val="004A6FE2"/>
    <w:rsid w:val="004A709A"/>
    <w:rsid w:val="004A7157"/>
    <w:rsid w:val="004A71B6"/>
    <w:rsid w:val="004A728E"/>
    <w:rsid w:val="004A72FA"/>
    <w:rsid w:val="004A7434"/>
    <w:rsid w:val="004A7478"/>
    <w:rsid w:val="004A7546"/>
    <w:rsid w:val="004A7739"/>
    <w:rsid w:val="004A78D0"/>
    <w:rsid w:val="004A794C"/>
    <w:rsid w:val="004A7ADD"/>
    <w:rsid w:val="004A7B18"/>
    <w:rsid w:val="004A7D0B"/>
    <w:rsid w:val="004A7D4B"/>
    <w:rsid w:val="004A7FFC"/>
    <w:rsid w:val="004B0026"/>
    <w:rsid w:val="004B0140"/>
    <w:rsid w:val="004B0159"/>
    <w:rsid w:val="004B0241"/>
    <w:rsid w:val="004B0373"/>
    <w:rsid w:val="004B052D"/>
    <w:rsid w:val="004B05C2"/>
    <w:rsid w:val="004B05DE"/>
    <w:rsid w:val="004B06B2"/>
    <w:rsid w:val="004B0A02"/>
    <w:rsid w:val="004B0B0F"/>
    <w:rsid w:val="004B11B8"/>
    <w:rsid w:val="004B146A"/>
    <w:rsid w:val="004B1690"/>
    <w:rsid w:val="004B19FA"/>
    <w:rsid w:val="004B1D30"/>
    <w:rsid w:val="004B1E93"/>
    <w:rsid w:val="004B1EEC"/>
    <w:rsid w:val="004B210F"/>
    <w:rsid w:val="004B2419"/>
    <w:rsid w:val="004B297E"/>
    <w:rsid w:val="004B29A7"/>
    <w:rsid w:val="004B2DD1"/>
    <w:rsid w:val="004B2E33"/>
    <w:rsid w:val="004B2E6A"/>
    <w:rsid w:val="004B3065"/>
    <w:rsid w:val="004B3584"/>
    <w:rsid w:val="004B39D0"/>
    <w:rsid w:val="004B39E7"/>
    <w:rsid w:val="004B3D18"/>
    <w:rsid w:val="004B3DB0"/>
    <w:rsid w:val="004B3E89"/>
    <w:rsid w:val="004B3ED7"/>
    <w:rsid w:val="004B40A1"/>
    <w:rsid w:val="004B418F"/>
    <w:rsid w:val="004B4191"/>
    <w:rsid w:val="004B42DA"/>
    <w:rsid w:val="004B456A"/>
    <w:rsid w:val="004B4732"/>
    <w:rsid w:val="004B4A84"/>
    <w:rsid w:val="004B4AE0"/>
    <w:rsid w:val="004B4B41"/>
    <w:rsid w:val="004B4F29"/>
    <w:rsid w:val="004B4F6D"/>
    <w:rsid w:val="004B5393"/>
    <w:rsid w:val="004B5415"/>
    <w:rsid w:val="004B559F"/>
    <w:rsid w:val="004B588B"/>
    <w:rsid w:val="004B58A5"/>
    <w:rsid w:val="004B5955"/>
    <w:rsid w:val="004B59D1"/>
    <w:rsid w:val="004B5DA7"/>
    <w:rsid w:val="004B5DDB"/>
    <w:rsid w:val="004B5E6E"/>
    <w:rsid w:val="004B602F"/>
    <w:rsid w:val="004B616D"/>
    <w:rsid w:val="004B62EA"/>
    <w:rsid w:val="004B636C"/>
    <w:rsid w:val="004B638F"/>
    <w:rsid w:val="004B6620"/>
    <w:rsid w:val="004B667D"/>
    <w:rsid w:val="004B67BB"/>
    <w:rsid w:val="004B68EC"/>
    <w:rsid w:val="004B68F2"/>
    <w:rsid w:val="004B6BFB"/>
    <w:rsid w:val="004B6D29"/>
    <w:rsid w:val="004B702D"/>
    <w:rsid w:val="004B7473"/>
    <w:rsid w:val="004B75DB"/>
    <w:rsid w:val="004B76B3"/>
    <w:rsid w:val="004B7774"/>
    <w:rsid w:val="004B7A30"/>
    <w:rsid w:val="004B7C30"/>
    <w:rsid w:val="004B7C5A"/>
    <w:rsid w:val="004B7EFF"/>
    <w:rsid w:val="004B7F8D"/>
    <w:rsid w:val="004C0013"/>
    <w:rsid w:val="004C02E7"/>
    <w:rsid w:val="004C0376"/>
    <w:rsid w:val="004C0501"/>
    <w:rsid w:val="004C05C1"/>
    <w:rsid w:val="004C0620"/>
    <w:rsid w:val="004C0B1C"/>
    <w:rsid w:val="004C0B9E"/>
    <w:rsid w:val="004C0C36"/>
    <w:rsid w:val="004C0CE0"/>
    <w:rsid w:val="004C0D12"/>
    <w:rsid w:val="004C0F52"/>
    <w:rsid w:val="004C1012"/>
    <w:rsid w:val="004C11CA"/>
    <w:rsid w:val="004C15A2"/>
    <w:rsid w:val="004C19F3"/>
    <w:rsid w:val="004C1A31"/>
    <w:rsid w:val="004C1BA0"/>
    <w:rsid w:val="004C1C44"/>
    <w:rsid w:val="004C206B"/>
    <w:rsid w:val="004C20BF"/>
    <w:rsid w:val="004C2350"/>
    <w:rsid w:val="004C26D5"/>
    <w:rsid w:val="004C2894"/>
    <w:rsid w:val="004C2910"/>
    <w:rsid w:val="004C2A50"/>
    <w:rsid w:val="004C2B88"/>
    <w:rsid w:val="004C2C94"/>
    <w:rsid w:val="004C2CB9"/>
    <w:rsid w:val="004C2CF8"/>
    <w:rsid w:val="004C30D8"/>
    <w:rsid w:val="004C3184"/>
    <w:rsid w:val="004C3268"/>
    <w:rsid w:val="004C34B1"/>
    <w:rsid w:val="004C3853"/>
    <w:rsid w:val="004C3A30"/>
    <w:rsid w:val="004C3ADF"/>
    <w:rsid w:val="004C3C7B"/>
    <w:rsid w:val="004C3CB3"/>
    <w:rsid w:val="004C413B"/>
    <w:rsid w:val="004C4295"/>
    <w:rsid w:val="004C467B"/>
    <w:rsid w:val="004C4935"/>
    <w:rsid w:val="004C494A"/>
    <w:rsid w:val="004C49D4"/>
    <w:rsid w:val="004C4C15"/>
    <w:rsid w:val="004C4DF7"/>
    <w:rsid w:val="004C4EC7"/>
    <w:rsid w:val="004C4FC5"/>
    <w:rsid w:val="004C503D"/>
    <w:rsid w:val="004C5201"/>
    <w:rsid w:val="004C5237"/>
    <w:rsid w:val="004C52DF"/>
    <w:rsid w:val="004C5378"/>
    <w:rsid w:val="004C5639"/>
    <w:rsid w:val="004C5778"/>
    <w:rsid w:val="004C5858"/>
    <w:rsid w:val="004C595E"/>
    <w:rsid w:val="004C5C37"/>
    <w:rsid w:val="004C5F16"/>
    <w:rsid w:val="004C6344"/>
    <w:rsid w:val="004C6671"/>
    <w:rsid w:val="004C6743"/>
    <w:rsid w:val="004C6919"/>
    <w:rsid w:val="004C698C"/>
    <w:rsid w:val="004C6E0A"/>
    <w:rsid w:val="004C6EF6"/>
    <w:rsid w:val="004C702B"/>
    <w:rsid w:val="004C71EC"/>
    <w:rsid w:val="004C7281"/>
    <w:rsid w:val="004C7404"/>
    <w:rsid w:val="004C7496"/>
    <w:rsid w:val="004C75C9"/>
    <w:rsid w:val="004C76FE"/>
    <w:rsid w:val="004C7A6C"/>
    <w:rsid w:val="004C7BB9"/>
    <w:rsid w:val="004C7BC9"/>
    <w:rsid w:val="004C7E43"/>
    <w:rsid w:val="004C7E76"/>
    <w:rsid w:val="004C7ECB"/>
    <w:rsid w:val="004D005F"/>
    <w:rsid w:val="004D01D5"/>
    <w:rsid w:val="004D0386"/>
    <w:rsid w:val="004D04FC"/>
    <w:rsid w:val="004D051B"/>
    <w:rsid w:val="004D068E"/>
    <w:rsid w:val="004D0857"/>
    <w:rsid w:val="004D0911"/>
    <w:rsid w:val="004D0980"/>
    <w:rsid w:val="004D0AB7"/>
    <w:rsid w:val="004D0C40"/>
    <w:rsid w:val="004D0CB3"/>
    <w:rsid w:val="004D1010"/>
    <w:rsid w:val="004D12C3"/>
    <w:rsid w:val="004D15C2"/>
    <w:rsid w:val="004D1605"/>
    <w:rsid w:val="004D17B4"/>
    <w:rsid w:val="004D19DF"/>
    <w:rsid w:val="004D1E8D"/>
    <w:rsid w:val="004D1EFF"/>
    <w:rsid w:val="004D2160"/>
    <w:rsid w:val="004D228B"/>
    <w:rsid w:val="004D249F"/>
    <w:rsid w:val="004D2564"/>
    <w:rsid w:val="004D273E"/>
    <w:rsid w:val="004D28BB"/>
    <w:rsid w:val="004D2B03"/>
    <w:rsid w:val="004D2CFF"/>
    <w:rsid w:val="004D300F"/>
    <w:rsid w:val="004D339F"/>
    <w:rsid w:val="004D35FF"/>
    <w:rsid w:val="004D3944"/>
    <w:rsid w:val="004D3EA9"/>
    <w:rsid w:val="004D3F97"/>
    <w:rsid w:val="004D4162"/>
    <w:rsid w:val="004D42C5"/>
    <w:rsid w:val="004D4453"/>
    <w:rsid w:val="004D4585"/>
    <w:rsid w:val="004D46DC"/>
    <w:rsid w:val="004D47BA"/>
    <w:rsid w:val="004D47C4"/>
    <w:rsid w:val="004D491B"/>
    <w:rsid w:val="004D4E93"/>
    <w:rsid w:val="004D50FA"/>
    <w:rsid w:val="004D536C"/>
    <w:rsid w:val="004D538E"/>
    <w:rsid w:val="004D571F"/>
    <w:rsid w:val="004D5872"/>
    <w:rsid w:val="004D58BF"/>
    <w:rsid w:val="004D5A34"/>
    <w:rsid w:val="004D5C3E"/>
    <w:rsid w:val="004D5CD7"/>
    <w:rsid w:val="004D5F32"/>
    <w:rsid w:val="004D5FD0"/>
    <w:rsid w:val="004D648B"/>
    <w:rsid w:val="004D6847"/>
    <w:rsid w:val="004D6F03"/>
    <w:rsid w:val="004D6F1A"/>
    <w:rsid w:val="004D6FBC"/>
    <w:rsid w:val="004D70A1"/>
    <w:rsid w:val="004D72B1"/>
    <w:rsid w:val="004D72E6"/>
    <w:rsid w:val="004D73A1"/>
    <w:rsid w:val="004D78B0"/>
    <w:rsid w:val="004D79A5"/>
    <w:rsid w:val="004D7AAE"/>
    <w:rsid w:val="004D7B86"/>
    <w:rsid w:val="004D7DA0"/>
    <w:rsid w:val="004D7E71"/>
    <w:rsid w:val="004E01F9"/>
    <w:rsid w:val="004E05A9"/>
    <w:rsid w:val="004E071E"/>
    <w:rsid w:val="004E085F"/>
    <w:rsid w:val="004E0B4B"/>
    <w:rsid w:val="004E0C9F"/>
    <w:rsid w:val="004E0F2E"/>
    <w:rsid w:val="004E0F89"/>
    <w:rsid w:val="004E1166"/>
    <w:rsid w:val="004E1399"/>
    <w:rsid w:val="004E144E"/>
    <w:rsid w:val="004E14A5"/>
    <w:rsid w:val="004E15BB"/>
    <w:rsid w:val="004E1901"/>
    <w:rsid w:val="004E1C22"/>
    <w:rsid w:val="004E1D96"/>
    <w:rsid w:val="004E1DD8"/>
    <w:rsid w:val="004E1EB9"/>
    <w:rsid w:val="004E1EE0"/>
    <w:rsid w:val="004E2043"/>
    <w:rsid w:val="004E2266"/>
    <w:rsid w:val="004E2278"/>
    <w:rsid w:val="004E2486"/>
    <w:rsid w:val="004E2A34"/>
    <w:rsid w:val="004E2C9C"/>
    <w:rsid w:val="004E2D40"/>
    <w:rsid w:val="004E2DA6"/>
    <w:rsid w:val="004E3121"/>
    <w:rsid w:val="004E324E"/>
    <w:rsid w:val="004E333E"/>
    <w:rsid w:val="004E365B"/>
    <w:rsid w:val="004E3AD8"/>
    <w:rsid w:val="004E3C09"/>
    <w:rsid w:val="004E3E8B"/>
    <w:rsid w:val="004E4013"/>
    <w:rsid w:val="004E40F8"/>
    <w:rsid w:val="004E42CE"/>
    <w:rsid w:val="004E438D"/>
    <w:rsid w:val="004E44C9"/>
    <w:rsid w:val="004E4522"/>
    <w:rsid w:val="004E4931"/>
    <w:rsid w:val="004E4979"/>
    <w:rsid w:val="004E4A71"/>
    <w:rsid w:val="004E4C0F"/>
    <w:rsid w:val="004E4D41"/>
    <w:rsid w:val="004E4D4C"/>
    <w:rsid w:val="004E4D6A"/>
    <w:rsid w:val="004E4D75"/>
    <w:rsid w:val="004E51B8"/>
    <w:rsid w:val="004E5311"/>
    <w:rsid w:val="004E531D"/>
    <w:rsid w:val="004E53CE"/>
    <w:rsid w:val="004E5466"/>
    <w:rsid w:val="004E5486"/>
    <w:rsid w:val="004E555A"/>
    <w:rsid w:val="004E5687"/>
    <w:rsid w:val="004E57E6"/>
    <w:rsid w:val="004E5959"/>
    <w:rsid w:val="004E5B60"/>
    <w:rsid w:val="004E5C8A"/>
    <w:rsid w:val="004E62C9"/>
    <w:rsid w:val="004E639F"/>
    <w:rsid w:val="004E6443"/>
    <w:rsid w:val="004E6474"/>
    <w:rsid w:val="004E650C"/>
    <w:rsid w:val="004E653D"/>
    <w:rsid w:val="004E6554"/>
    <w:rsid w:val="004E663D"/>
    <w:rsid w:val="004E6991"/>
    <w:rsid w:val="004E6A9F"/>
    <w:rsid w:val="004E6AF5"/>
    <w:rsid w:val="004E6BB4"/>
    <w:rsid w:val="004E6D15"/>
    <w:rsid w:val="004E6D2A"/>
    <w:rsid w:val="004E6E51"/>
    <w:rsid w:val="004E701B"/>
    <w:rsid w:val="004E702C"/>
    <w:rsid w:val="004E7190"/>
    <w:rsid w:val="004E71B9"/>
    <w:rsid w:val="004E7291"/>
    <w:rsid w:val="004E74F5"/>
    <w:rsid w:val="004E754B"/>
    <w:rsid w:val="004E760A"/>
    <w:rsid w:val="004E781E"/>
    <w:rsid w:val="004E792A"/>
    <w:rsid w:val="004E7B55"/>
    <w:rsid w:val="004E7E1D"/>
    <w:rsid w:val="004E7E9D"/>
    <w:rsid w:val="004E7F5F"/>
    <w:rsid w:val="004F0277"/>
    <w:rsid w:val="004F032F"/>
    <w:rsid w:val="004F0767"/>
    <w:rsid w:val="004F079B"/>
    <w:rsid w:val="004F07E6"/>
    <w:rsid w:val="004F086B"/>
    <w:rsid w:val="004F08B5"/>
    <w:rsid w:val="004F0C7F"/>
    <w:rsid w:val="004F0DEF"/>
    <w:rsid w:val="004F0E9F"/>
    <w:rsid w:val="004F1190"/>
    <w:rsid w:val="004F16F3"/>
    <w:rsid w:val="004F176A"/>
    <w:rsid w:val="004F1770"/>
    <w:rsid w:val="004F1782"/>
    <w:rsid w:val="004F1794"/>
    <w:rsid w:val="004F1BAB"/>
    <w:rsid w:val="004F1E50"/>
    <w:rsid w:val="004F1F98"/>
    <w:rsid w:val="004F20D3"/>
    <w:rsid w:val="004F21C3"/>
    <w:rsid w:val="004F22D1"/>
    <w:rsid w:val="004F246D"/>
    <w:rsid w:val="004F2506"/>
    <w:rsid w:val="004F298B"/>
    <w:rsid w:val="004F2C78"/>
    <w:rsid w:val="004F2E23"/>
    <w:rsid w:val="004F2E41"/>
    <w:rsid w:val="004F3235"/>
    <w:rsid w:val="004F344C"/>
    <w:rsid w:val="004F353B"/>
    <w:rsid w:val="004F374D"/>
    <w:rsid w:val="004F377E"/>
    <w:rsid w:val="004F3A5A"/>
    <w:rsid w:val="004F3AC7"/>
    <w:rsid w:val="004F3B06"/>
    <w:rsid w:val="004F3B65"/>
    <w:rsid w:val="004F3BDB"/>
    <w:rsid w:val="004F3CEB"/>
    <w:rsid w:val="004F3EE7"/>
    <w:rsid w:val="004F3F1E"/>
    <w:rsid w:val="004F4178"/>
    <w:rsid w:val="004F41A2"/>
    <w:rsid w:val="004F4274"/>
    <w:rsid w:val="004F43C0"/>
    <w:rsid w:val="004F4468"/>
    <w:rsid w:val="004F460D"/>
    <w:rsid w:val="004F478D"/>
    <w:rsid w:val="004F47DB"/>
    <w:rsid w:val="004F4981"/>
    <w:rsid w:val="004F499E"/>
    <w:rsid w:val="004F4C0E"/>
    <w:rsid w:val="004F4CAA"/>
    <w:rsid w:val="004F4FA0"/>
    <w:rsid w:val="004F4FA2"/>
    <w:rsid w:val="004F52A2"/>
    <w:rsid w:val="004F5915"/>
    <w:rsid w:val="004F5956"/>
    <w:rsid w:val="004F5C7E"/>
    <w:rsid w:val="004F5E11"/>
    <w:rsid w:val="004F6325"/>
    <w:rsid w:val="004F671D"/>
    <w:rsid w:val="004F69BB"/>
    <w:rsid w:val="004F6A78"/>
    <w:rsid w:val="004F6B14"/>
    <w:rsid w:val="004F6E92"/>
    <w:rsid w:val="004F6FFB"/>
    <w:rsid w:val="004F73FC"/>
    <w:rsid w:val="004F74D9"/>
    <w:rsid w:val="004F74FE"/>
    <w:rsid w:val="004F7526"/>
    <w:rsid w:val="004F7584"/>
    <w:rsid w:val="004F7765"/>
    <w:rsid w:val="004F7BE3"/>
    <w:rsid w:val="004F7C96"/>
    <w:rsid w:val="004F7D1C"/>
    <w:rsid w:val="004F7E4F"/>
    <w:rsid w:val="004F7E50"/>
    <w:rsid w:val="004F7F73"/>
    <w:rsid w:val="004F7FD9"/>
    <w:rsid w:val="004F7FDC"/>
    <w:rsid w:val="0050009B"/>
    <w:rsid w:val="005006CD"/>
    <w:rsid w:val="00500820"/>
    <w:rsid w:val="005008E3"/>
    <w:rsid w:val="00500A48"/>
    <w:rsid w:val="00500AA6"/>
    <w:rsid w:val="00500CCE"/>
    <w:rsid w:val="00500DAA"/>
    <w:rsid w:val="00500EE1"/>
    <w:rsid w:val="005010B1"/>
    <w:rsid w:val="005011F1"/>
    <w:rsid w:val="005011F6"/>
    <w:rsid w:val="005012FD"/>
    <w:rsid w:val="005015E3"/>
    <w:rsid w:val="005018DE"/>
    <w:rsid w:val="005019A5"/>
    <w:rsid w:val="00501A7C"/>
    <w:rsid w:val="00501FD4"/>
    <w:rsid w:val="0050211B"/>
    <w:rsid w:val="00502C3A"/>
    <w:rsid w:val="00502D0D"/>
    <w:rsid w:val="00502EA3"/>
    <w:rsid w:val="00502F49"/>
    <w:rsid w:val="00502FC5"/>
    <w:rsid w:val="00503097"/>
    <w:rsid w:val="005030D5"/>
    <w:rsid w:val="005030D7"/>
    <w:rsid w:val="0050319F"/>
    <w:rsid w:val="005031A3"/>
    <w:rsid w:val="005033A4"/>
    <w:rsid w:val="0050386D"/>
    <w:rsid w:val="00503AED"/>
    <w:rsid w:val="0050423B"/>
    <w:rsid w:val="00504559"/>
    <w:rsid w:val="0050455D"/>
    <w:rsid w:val="00504819"/>
    <w:rsid w:val="00504823"/>
    <w:rsid w:val="005048EC"/>
    <w:rsid w:val="00504A3C"/>
    <w:rsid w:val="00504A8C"/>
    <w:rsid w:val="00504DBB"/>
    <w:rsid w:val="0050512C"/>
    <w:rsid w:val="005051B4"/>
    <w:rsid w:val="0050520C"/>
    <w:rsid w:val="00505260"/>
    <w:rsid w:val="00505337"/>
    <w:rsid w:val="00505350"/>
    <w:rsid w:val="005054F6"/>
    <w:rsid w:val="00505687"/>
    <w:rsid w:val="005058E2"/>
    <w:rsid w:val="00505B77"/>
    <w:rsid w:val="00505F05"/>
    <w:rsid w:val="0050605D"/>
    <w:rsid w:val="00506253"/>
    <w:rsid w:val="00506532"/>
    <w:rsid w:val="005065B0"/>
    <w:rsid w:val="005065C4"/>
    <w:rsid w:val="005065E4"/>
    <w:rsid w:val="005068AE"/>
    <w:rsid w:val="00506A34"/>
    <w:rsid w:val="00506A7C"/>
    <w:rsid w:val="00506C0F"/>
    <w:rsid w:val="00507053"/>
    <w:rsid w:val="005070BF"/>
    <w:rsid w:val="00507258"/>
    <w:rsid w:val="00507466"/>
    <w:rsid w:val="0050791A"/>
    <w:rsid w:val="0050793C"/>
    <w:rsid w:val="00507B9D"/>
    <w:rsid w:val="00507CFB"/>
    <w:rsid w:val="00507F19"/>
    <w:rsid w:val="0051003C"/>
    <w:rsid w:val="00510267"/>
    <w:rsid w:val="00510AFC"/>
    <w:rsid w:val="00510D85"/>
    <w:rsid w:val="00510FD3"/>
    <w:rsid w:val="005111E9"/>
    <w:rsid w:val="0051146E"/>
    <w:rsid w:val="005119BE"/>
    <w:rsid w:val="005119C5"/>
    <w:rsid w:val="00511D27"/>
    <w:rsid w:val="00511E99"/>
    <w:rsid w:val="00511ECA"/>
    <w:rsid w:val="005121CB"/>
    <w:rsid w:val="00512393"/>
    <w:rsid w:val="005123A5"/>
    <w:rsid w:val="00512556"/>
    <w:rsid w:val="0051268E"/>
    <w:rsid w:val="00512747"/>
    <w:rsid w:val="00512ADE"/>
    <w:rsid w:val="00512B10"/>
    <w:rsid w:val="00512EE8"/>
    <w:rsid w:val="0051304A"/>
    <w:rsid w:val="005130B9"/>
    <w:rsid w:val="005131D8"/>
    <w:rsid w:val="0051384F"/>
    <w:rsid w:val="00513A86"/>
    <w:rsid w:val="00513B14"/>
    <w:rsid w:val="00513E85"/>
    <w:rsid w:val="00513F03"/>
    <w:rsid w:val="0051407D"/>
    <w:rsid w:val="00514145"/>
    <w:rsid w:val="005144EA"/>
    <w:rsid w:val="005145C2"/>
    <w:rsid w:val="00514871"/>
    <w:rsid w:val="0051494B"/>
    <w:rsid w:val="00514E07"/>
    <w:rsid w:val="00514E9B"/>
    <w:rsid w:val="00515036"/>
    <w:rsid w:val="00515723"/>
    <w:rsid w:val="0051589B"/>
    <w:rsid w:val="00515A23"/>
    <w:rsid w:val="00515D1D"/>
    <w:rsid w:val="00515DBA"/>
    <w:rsid w:val="00516688"/>
    <w:rsid w:val="00516A08"/>
    <w:rsid w:val="0051711C"/>
    <w:rsid w:val="00517265"/>
    <w:rsid w:val="00517520"/>
    <w:rsid w:val="005177D9"/>
    <w:rsid w:val="005178FD"/>
    <w:rsid w:val="00517C3A"/>
    <w:rsid w:val="00517C5F"/>
    <w:rsid w:val="00517CAF"/>
    <w:rsid w:val="00517CC1"/>
    <w:rsid w:val="00520298"/>
    <w:rsid w:val="0052029B"/>
    <w:rsid w:val="00520413"/>
    <w:rsid w:val="00520540"/>
    <w:rsid w:val="00520543"/>
    <w:rsid w:val="00520B7A"/>
    <w:rsid w:val="005211C1"/>
    <w:rsid w:val="0052136D"/>
    <w:rsid w:val="00521514"/>
    <w:rsid w:val="0052177C"/>
    <w:rsid w:val="005217B0"/>
    <w:rsid w:val="005218F4"/>
    <w:rsid w:val="00521940"/>
    <w:rsid w:val="00521A45"/>
    <w:rsid w:val="00521BCA"/>
    <w:rsid w:val="00521E7D"/>
    <w:rsid w:val="0052202F"/>
    <w:rsid w:val="005220F1"/>
    <w:rsid w:val="005221DE"/>
    <w:rsid w:val="00522529"/>
    <w:rsid w:val="0052254A"/>
    <w:rsid w:val="005226BE"/>
    <w:rsid w:val="00522786"/>
    <w:rsid w:val="005229E3"/>
    <w:rsid w:val="00522A6D"/>
    <w:rsid w:val="00522B2F"/>
    <w:rsid w:val="00522B6D"/>
    <w:rsid w:val="00522C69"/>
    <w:rsid w:val="00522F68"/>
    <w:rsid w:val="0052316A"/>
    <w:rsid w:val="005232AA"/>
    <w:rsid w:val="005233B4"/>
    <w:rsid w:val="005234C6"/>
    <w:rsid w:val="00523695"/>
    <w:rsid w:val="005236ED"/>
    <w:rsid w:val="00523703"/>
    <w:rsid w:val="00523718"/>
    <w:rsid w:val="00523761"/>
    <w:rsid w:val="0052384C"/>
    <w:rsid w:val="00523981"/>
    <w:rsid w:val="00523C3D"/>
    <w:rsid w:val="00523EA8"/>
    <w:rsid w:val="00523F9F"/>
    <w:rsid w:val="00523FA6"/>
    <w:rsid w:val="00524195"/>
    <w:rsid w:val="0052425A"/>
    <w:rsid w:val="00524316"/>
    <w:rsid w:val="0052455C"/>
    <w:rsid w:val="00524650"/>
    <w:rsid w:val="005249BE"/>
    <w:rsid w:val="00524E4C"/>
    <w:rsid w:val="00524E97"/>
    <w:rsid w:val="00524EDF"/>
    <w:rsid w:val="00524FBB"/>
    <w:rsid w:val="00525037"/>
    <w:rsid w:val="005256E9"/>
    <w:rsid w:val="0052576E"/>
    <w:rsid w:val="005258BC"/>
    <w:rsid w:val="005259A3"/>
    <w:rsid w:val="005259B2"/>
    <w:rsid w:val="00525C38"/>
    <w:rsid w:val="00525D07"/>
    <w:rsid w:val="00525E31"/>
    <w:rsid w:val="00525E32"/>
    <w:rsid w:val="005262F2"/>
    <w:rsid w:val="00526339"/>
    <w:rsid w:val="005263AC"/>
    <w:rsid w:val="005265D4"/>
    <w:rsid w:val="00526878"/>
    <w:rsid w:val="005268D2"/>
    <w:rsid w:val="00526B49"/>
    <w:rsid w:val="00526DA3"/>
    <w:rsid w:val="00526DB1"/>
    <w:rsid w:val="00526FFE"/>
    <w:rsid w:val="0052710A"/>
    <w:rsid w:val="005271EA"/>
    <w:rsid w:val="0052754F"/>
    <w:rsid w:val="00527777"/>
    <w:rsid w:val="005278A0"/>
    <w:rsid w:val="005278F0"/>
    <w:rsid w:val="00527A26"/>
    <w:rsid w:val="00527C36"/>
    <w:rsid w:val="00527C3E"/>
    <w:rsid w:val="0053038A"/>
    <w:rsid w:val="005305A7"/>
    <w:rsid w:val="0053077C"/>
    <w:rsid w:val="00530935"/>
    <w:rsid w:val="00530A10"/>
    <w:rsid w:val="00530A8B"/>
    <w:rsid w:val="00530AE9"/>
    <w:rsid w:val="00530C66"/>
    <w:rsid w:val="00530E34"/>
    <w:rsid w:val="00530EA9"/>
    <w:rsid w:val="00531083"/>
    <w:rsid w:val="005310C8"/>
    <w:rsid w:val="0053161E"/>
    <w:rsid w:val="005317E5"/>
    <w:rsid w:val="00531C18"/>
    <w:rsid w:val="00531C5F"/>
    <w:rsid w:val="00531F49"/>
    <w:rsid w:val="005320E9"/>
    <w:rsid w:val="0053219E"/>
    <w:rsid w:val="00532257"/>
    <w:rsid w:val="00532293"/>
    <w:rsid w:val="00532356"/>
    <w:rsid w:val="00532579"/>
    <w:rsid w:val="00532787"/>
    <w:rsid w:val="005327B5"/>
    <w:rsid w:val="005327F5"/>
    <w:rsid w:val="005328C8"/>
    <w:rsid w:val="005328EB"/>
    <w:rsid w:val="005329A3"/>
    <w:rsid w:val="00532A7E"/>
    <w:rsid w:val="00532D59"/>
    <w:rsid w:val="00532E53"/>
    <w:rsid w:val="00532E67"/>
    <w:rsid w:val="005330BF"/>
    <w:rsid w:val="005332AF"/>
    <w:rsid w:val="005332D4"/>
    <w:rsid w:val="005333FB"/>
    <w:rsid w:val="00533540"/>
    <w:rsid w:val="00533578"/>
    <w:rsid w:val="005335CC"/>
    <w:rsid w:val="0053360C"/>
    <w:rsid w:val="00533665"/>
    <w:rsid w:val="00533767"/>
    <w:rsid w:val="005337A1"/>
    <w:rsid w:val="005339AC"/>
    <w:rsid w:val="00533A05"/>
    <w:rsid w:val="00533A1B"/>
    <w:rsid w:val="00533A9E"/>
    <w:rsid w:val="00533B0A"/>
    <w:rsid w:val="00533B5F"/>
    <w:rsid w:val="00533E06"/>
    <w:rsid w:val="00533F90"/>
    <w:rsid w:val="00533FAB"/>
    <w:rsid w:val="00533FE5"/>
    <w:rsid w:val="0053400B"/>
    <w:rsid w:val="0053404B"/>
    <w:rsid w:val="0053406A"/>
    <w:rsid w:val="0053428F"/>
    <w:rsid w:val="005344C2"/>
    <w:rsid w:val="0053461D"/>
    <w:rsid w:val="005346A1"/>
    <w:rsid w:val="00534A5C"/>
    <w:rsid w:val="00534CC3"/>
    <w:rsid w:val="0053518D"/>
    <w:rsid w:val="0053557D"/>
    <w:rsid w:val="0053561B"/>
    <w:rsid w:val="005357D0"/>
    <w:rsid w:val="00535C6C"/>
    <w:rsid w:val="00535F47"/>
    <w:rsid w:val="0053606E"/>
    <w:rsid w:val="00536260"/>
    <w:rsid w:val="005362AF"/>
    <w:rsid w:val="005364FC"/>
    <w:rsid w:val="00536678"/>
    <w:rsid w:val="0053667B"/>
    <w:rsid w:val="00536698"/>
    <w:rsid w:val="005366A7"/>
    <w:rsid w:val="005369BF"/>
    <w:rsid w:val="005369C1"/>
    <w:rsid w:val="00536AFE"/>
    <w:rsid w:val="00536B24"/>
    <w:rsid w:val="00536DC6"/>
    <w:rsid w:val="00536F70"/>
    <w:rsid w:val="00537596"/>
    <w:rsid w:val="00537726"/>
    <w:rsid w:val="00537AB7"/>
    <w:rsid w:val="00537B99"/>
    <w:rsid w:val="00537C1C"/>
    <w:rsid w:val="00537EC7"/>
    <w:rsid w:val="00537F95"/>
    <w:rsid w:val="0054014F"/>
    <w:rsid w:val="005402BE"/>
    <w:rsid w:val="0054066E"/>
    <w:rsid w:val="005406CF"/>
    <w:rsid w:val="005406EC"/>
    <w:rsid w:val="00540930"/>
    <w:rsid w:val="005409FC"/>
    <w:rsid w:val="00540A39"/>
    <w:rsid w:val="00540A41"/>
    <w:rsid w:val="00540B2A"/>
    <w:rsid w:val="00540D4C"/>
    <w:rsid w:val="00540F8A"/>
    <w:rsid w:val="00540FB1"/>
    <w:rsid w:val="00541138"/>
    <w:rsid w:val="00541191"/>
    <w:rsid w:val="00541A22"/>
    <w:rsid w:val="00541B72"/>
    <w:rsid w:val="00541C0C"/>
    <w:rsid w:val="00541DD2"/>
    <w:rsid w:val="00542215"/>
    <w:rsid w:val="00542265"/>
    <w:rsid w:val="00542304"/>
    <w:rsid w:val="005423AC"/>
    <w:rsid w:val="005427DB"/>
    <w:rsid w:val="00542937"/>
    <w:rsid w:val="00542B4D"/>
    <w:rsid w:val="00542EF7"/>
    <w:rsid w:val="00543287"/>
    <w:rsid w:val="00543419"/>
    <w:rsid w:val="0054356F"/>
    <w:rsid w:val="005435D5"/>
    <w:rsid w:val="005438FE"/>
    <w:rsid w:val="00543981"/>
    <w:rsid w:val="005439A1"/>
    <w:rsid w:val="00543A70"/>
    <w:rsid w:val="00543E20"/>
    <w:rsid w:val="00543F1D"/>
    <w:rsid w:val="00544080"/>
    <w:rsid w:val="00544326"/>
    <w:rsid w:val="0054459F"/>
    <w:rsid w:val="005445CA"/>
    <w:rsid w:val="005445EA"/>
    <w:rsid w:val="005446A5"/>
    <w:rsid w:val="00544A14"/>
    <w:rsid w:val="00544B4B"/>
    <w:rsid w:val="00544C12"/>
    <w:rsid w:val="00544CB3"/>
    <w:rsid w:val="00544F94"/>
    <w:rsid w:val="0054529A"/>
    <w:rsid w:val="00545C1E"/>
    <w:rsid w:val="00546143"/>
    <w:rsid w:val="005462F9"/>
    <w:rsid w:val="0054636E"/>
    <w:rsid w:val="005463A2"/>
    <w:rsid w:val="00546451"/>
    <w:rsid w:val="00546680"/>
    <w:rsid w:val="0054668F"/>
    <w:rsid w:val="005466A9"/>
    <w:rsid w:val="00546999"/>
    <w:rsid w:val="00546BC7"/>
    <w:rsid w:val="00546C45"/>
    <w:rsid w:val="00546EF6"/>
    <w:rsid w:val="00546F05"/>
    <w:rsid w:val="00547022"/>
    <w:rsid w:val="005470A5"/>
    <w:rsid w:val="005475F1"/>
    <w:rsid w:val="005476B1"/>
    <w:rsid w:val="00547828"/>
    <w:rsid w:val="0054798D"/>
    <w:rsid w:val="00547A65"/>
    <w:rsid w:val="00547D0C"/>
    <w:rsid w:val="00550058"/>
    <w:rsid w:val="00550197"/>
    <w:rsid w:val="005503D4"/>
    <w:rsid w:val="005504B7"/>
    <w:rsid w:val="00550611"/>
    <w:rsid w:val="00550895"/>
    <w:rsid w:val="0055092D"/>
    <w:rsid w:val="00550A19"/>
    <w:rsid w:val="00550A29"/>
    <w:rsid w:val="00550BC9"/>
    <w:rsid w:val="00550CC0"/>
    <w:rsid w:val="00550E13"/>
    <w:rsid w:val="00550F01"/>
    <w:rsid w:val="0055104E"/>
    <w:rsid w:val="005510B0"/>
    <w:rsid w:val="005512C5"/>
    <w:rsid w:val="00551A09"/>
    <w:rsid w:val="00551A2C"/>
    <w:rsid w:val="00551B52"/>
    <w:rsid w:val="00551C31"/>
    <w:rsid w:val="00551C83"/>
    <w:rsid w:val="00551D0A"/>
    <w:rsid w:val="00551F38"/>
    <w:rsid w:val="00551FB6"/>
    <w:rsid w:val="00551FC8"/>
    <w:rsid w:val="0055207F"/>
    <w:rsid w:val="00552083"/>
    <w:rsid w:val="00552B61"/>
    <w:rsid w:val="00552C72"/>
    <w:rsid w:val="00552C7A"/>
    <w:rsid w:val="00552DE8"/>
    <w:rsid w:val="00552FF9"/>
    <w:rsid w:val="00553282"/>
    <w:rsid w:val="0055350E"/>
    <w:rsid w:val="0055391C"/>
    <w:rsid w:val="00553C3F"/>
    <w:rsid w:val="00553D10"/>
    <w:rsid w:val="0055477A"/>
    <w:rsid w:val="00554842"/>
    <w:rsid w:val="00554852"/>
    <w:rsid w:val="00554C8A"/>
    <w:rsid w:val="00554EC5"/>
    <w:rsid w:val="00554ECF"/>
    <w:rsid w:val="00555060"/>
    <w:rsid w:val="00555235"/>
    <w:rsid w:val="005554E6"/>
    <w:rsid w:val="00555575"/>
    <w:rsid w:val="00555709"/>
    <w:rsid w:val="0055578F"/>
    <w:rsid w:val="00555DCB"/>
    <w:rsid w:val="00555F37"/>
    <w:rsid w:val="00555FBA"/>
    <w:rsid w:val="005561C5"/>
    <w:rsid w:val="00556259"/>
    <w:rsid w:val="00556593"/>
    <w:rsid w:val="005565BD"/>
    <w:rsid w:val="0055669B"/>
    <w:rsid w:val="005567B3"/>
    <w:rsid w:val="00556B2B"/>
    <w:rsid w:val="00556D4C"/>
    <w:rsid w:val="00556EBA"/>
    <w:rsid w:val="00557161"/>
    <w:rsid w:val="0055730C"/>
    <w:rsid w:val="0055755F"/>
    <w:rsid w:val="00557705"/>
    <w:rsid w:val="00557933"/>
    <w:rsid w:val="005579F1"/>
    <w:rsid w:val="00557BA4"/>
    <w:rsid w:val="00557E32"/>
    <w:rsid w:val="005602C4"/>
    <w:rsid w:val="005606F2"/>
    <w:rsid w:val="0056097F"/>
    <w:rsid w:val="00560C2F"/>
    <w:rsid w:val="00560C84"/>
    <w:rsid w:val="00560D4B"/>
    <w:rsid w:val="00560F10"/>
    <w:rsid w:val="0056112D"/>
    <w:rsid w:val="00561197"/>
    <w:rsid w:val="0056128D"/>
    <w:rsid w:val="0056135D"/>
    <w:rsid w:val="005615F5"/>
    <w:rsid w:val="005616AA"/>
    <w:rsid w:val="005617C6"/>
    <w:rsid w:val="00561821"/>
    <w:rsid w:val="0056186E"/>
    <w:rsid w:val="00561B5E"/>
    <w:rsid w:val="00561BB1"/>
    <w:rsid w:val="0056221A"/>
    <w:rsid w:val="0056249C"/>
    <w:rsid w:val="005625D1"/>
    <w:rsid w:val="0056265C"/>
    <w:rsid w:val="005626EE"/>
    <w:rsid w:val="005627D1"/>
    <w:rsid w:val="0056297B"/>
    <w:rsid w:val="00562B2D"/>
    <w:rsid w:val="005631FA"/>
    <w:rsid w:val="0056321B"/>
    <w:rsid w:val="005634DC"/>
    <w:rsid w:val="005635BE"/>
    <w:rsid w:val="0056379F"/>
    <w:rsid w:val="005638AF"/>
    <w:rsid w:val="00563A75"/>
    <w:rsid w:val="00563A82"/>
    <w:rsid w:val="00563BC7"/>
    <w:rsid w:val="005640C8"/>
    <w:rsid w:val="005641A9"/>
    <w:rsid w:val="0056442F"/>
    <w:rsid w:val="0056449A"/>
    <w:rsid w:val="0056459C"/>
    <w:rsid w:val="005647C4"/>
    <w:rsid w:val="00564871"/>
    <w:rsid w:val="005648B0"/>
    <w:rsid w:val="00564CE4"/>
    <w:rsid w:val="00565100"/>
    <w:rsid w:val="00565305"/>
    <w:rsid w:val="00565394"/>
    <w:rsid w:val="005655E8"/>
    <w:rsid w:val="00565893"/>
    <w:rsid w:val="00565A5F"/>
    <w:rsid w:val="00565FCD"/>
    <w:rsid w:val="00566075"/>
    <w:rsid w:val="00566077"/>
    <w:rsid w:val="0056611D"/>
    <w:rsid w:val="0056612F"/>
    <w:rsid w:val="00566179"/>
    <w:rsid w:val="00566376"/>
    <w:rsid w:val="005664C2"/>
    <w:rsid w:val="0056654D"/>
    <w:rsid w:val="005665DB"/>
    <w:rsid w:val="00566946"/>
    <w:rsid w:val="00566991"/>
    <w:rsid w:val="00566A7E"/>
    <w:rsid w:val="00566E77"/>
    <w:rsid w:val="00566F72"/>
    <w:rsid w:val="005674D6"/>
    <w:rsid w:val="005677C4"/>
    <w:rsid w:val="00567C6B"/>
    <w:rsid w:val="0057006F"/>
    <w:rsid w:val="0057015B"/>
    <w:rsid w:val="00570D30"/>
    <w:rsid w:val="00570D9A"/>
    <w:rsid w:val="00571051"/>
    <w:rsid w:val="0057128C"/>
    <w:rsid w:val="005714B0"/>
    <w:rsid w:val="005718BD"/>
    <w:rsid w:val="00571ACC"/>
    <w:rsid w:val="00571E74"/>
    <w:rsid w:val="00572511"/>
    <w:rsid w:val="00572854"/>
    <w:rsid w:val="005728AD"/>
    <w:rsid w:val="005729E8"/>
    <w:rsid w:val="00572A83"/>
    <w:rsid w:val="00572B33"/>
    <w:rsid w:val="00572B43"/>
    <w:rsid w:val="00572CAC"/>
    <w:rsid w:val="00572DC7"/>
    <w:rsid w:val="00572F55"/>
    <w:rsid w:val="005732CA"/>
    <w:rsid w:val="00573423"/>
    <w:rsid w:val="00573500"/>
    <w:rsid w:val="00573746"/>
    <w:rsid w:val="005738C2"/>
    <w:rsid w:val="005739B4"/>
    <w:rsid w:val="005739FB"/>
    <w:rsid w:val="00573ADA"/>
    <w:rsid w:val="00573CDF"/>
    <w:rsid w:val="005740AD"/>
    <w:rsid w:val="005741A1"/>
    <w:rsid w:val="00574478"/>
    <w:rsid w:val="005744F4"/>
    <w:rsid w:val="005745F9"/>
    <w:rsid w:val="00574C43"/>
    <w:rsid w:val="00574DD5"/>
    <w:rsid w:val="00574E03"/>
    <w:rsid w:val="0057514F"/>
    <w:rsid w:val="00575156"/>
    <w:rsid w:val="0057524F"/>
    <w:rsid w:val="005753A0"/>
    <w:rsid w:val="005753A2"/>
    <w:rsid w:val="00575469"/>
    <w:rsid w:val="00575586"/>
    <w:rsid w:val="00575A7B"/>
    <w:rsid w:val="00575A7F"/>
    <w:rsid w:val="00575BC6"/>
    <w:rsid w:val="00575C94"/>
    <w:rsid w:val="00575CD5"/>
    <w:rsid w:val="00575DF9"/>
    <w:rsid w:val="00576233"/>
    <w:rsid w:val="00576607"/>
    <w:rsid w:val="005766BD"/>
    <w:rsid w:val="005768DC"/>
    <w:rsid w:val="005769AA"/>
    <w:rsid w:val="00576A96"/>
    <w:rsid w:val="00576C26"/>
    <w:rsid w:val="00576F9F"/>
    <w:rsid w:val="00577361"/>
    <w:rsid w:val="00577772"/>
    <w:rsid w:val="005777E7"/>
    <w:rsid w:val="0057786D"/>
    <w:rsid w:val="005778EA"/>
    <w:rsid w:val="00577EA8"/>
    <w:rsid w:val="00577F02"/>
    <w:rsid w:val="00580048"/>
    <w:rsid w:val="00580215"/>
    <w:rsid w:val="0058031C"/>
    <w:rsid w:val="0058031F"/>
    <w:rsid w:val="005809BB"/>
    <w:rsid w:val="005812C5"/>
    <w:rsid w:val="00581875"/>
    <w:rsid w:val="00581C8B"/>
    <w:rsid w:val="00582016"/>
    <w:rsid w:val="005821A0"/>
    <w:rsid w:val="005821B7"/>
    <w:rsid w:val="00582271"/>
    <w:rsid w:val="0058227E"/>
    <w:rsid w:val="00582593"/>
    <w:rsid w:val="005826D8"/>
    <w:rsid w:val="0058274A"/>
    <w:rsid w:val="00582856"/>
    <w:rsid w:val="00582A75"/>
    <w:rsid w:val="00582ACF"/>
    <w:rsid w:val="00582CA4"/>
    <w:rsid w:val="00582DEE"/>
    <w:rsid w:val="00582F23"/>
    <w:rsid w:val="00582FF2"/>
    <w:rsid w:val="005830A5"/>
    <w:rsid w:val="005831F6"/>
    <w:rsid w:val="005833C9"/>
    <w:rsid w:val="0058357C"/>
    <w:rsid w:val="005836C4"/>
    <w:rsid w:val="005837B6"/>
    <w:rsid w:val="005837EF"/>
    <w:rsid w:val="00583806"/>
    <w:rsid w:val="00583823"/>
    <w:rsid w:val="00583A0C"/>
    <w:rsid w:val="00583CBA"/>
    <w:rsid w:val="005842F3"/>
    <w:rsid w:val="0058438D"/>
    <w:rsid w:val="005843D3"/>
    <w:rsid w:val="00584429"/>
    <w:rsid w:val="005844E9"/>
    <w:rsid w:val="0058451C"/>
    <w:rsid w:val="005848F5"/>
    <w:rsid w:val="00584BED"/>
    <w:rsid w:val="00584CCC"/>
    <w:rsid w:val="00584E32"/>
    <w:rsid w:val="0058507B"/>
    <w:rsid w:val="0058509C"/>
    <w:rsid w:val="00585136"/>
    <w:rsid w:val="00585177"/>
    <w:rsid w:val="00585491"/>
    <w:rsid w:val="00585616"/>
    <w:rsid w:val="00585692"/>
    <w:rsid w:val="005857FB"/>
    <w:rsid w:val="00585A64"/>
    <w:rsid w:val="00585B3A"/>
    <w:rsid w:val="00585B9F"/>
    <w:rsid w:val="0058616E"/>
    <w:rsid w:val="005863B5"/>
    <w:rsid w:val="005865DC"/>
    <w:rsid w:val="00586A3A"/>
    <w:rsid w:val="00586A9D"/>
    <w:rsid w:val="00586AED"/>
    <w:rsid w:val="00586BDF"/>
    <w:rsid w:val="00586C89"/>
    <w:rsid w:val="005872F9"/>
    <w:rsid w:val="00587424"/>
    <w:rsid w:val="0058744A"/>
    <w:rsid w:val="005875A9"/>
    <w:rsid w:val="0058777F"/>
    <w:rsid w:val="005877E0"/>
    <w:rsid w:val="0058781E"/>
    <w:rsid w:val="005878D2"/>
    <w:rsid w:val="005878DF"/>
    <w:rsid w:val="00587C69"/>
    <w:rsid w:val="00587DFF"/>
    <w:rsid w:val="00590005"/>
    <w:rsid w:val="00590078"/>
    <w:rsid w:val="005902C6"/>
    <w:rsid w:val="0059038F"/>
    <w:rsid w:val="00590590"/>
    <w:rsid w:val="00590594"/>
    <w:rsid w:val="00590A21"/>
    <w:rsid w:val="00590CFF"/>
    <w:rsid w:val="00590F83"/>
    <w:rsid w:val="005910C1"/>
    <w:rsid w:val="005911DC"/>
    <w:rsid w:val="005914EC"/>
    <w:rsid w:val="005918A1"/>
    <w:rsid w:val="005919A7"/>
    <w:rsid w:val="005919E4"/>
    <w:rsid w:val="00591B0D"/>
    <w:rsid w:val="00591CE3"/>
    <w:rsid w:val="00591D33"/>
    <w:rsid w:val="005922AA"/>
    <w:rsid w:val="005924E8"/>
    <w:rsid w:val="005926CC"/>
    <w:rsid w:val="005929E3"/>
    <w:rsid w:val="00592AAD"/>
    <w:rsid w:val="00592ADD"/>
    <w:rsid w:val="0059302F"/>
    <w:rsid w:val="00593103"/>
    <w:rsid w:val="00593536"/>
    <w:rsid w:val="0059366D"/>
    <w:rsid w:val="0059380B"/>
    <w:rsid w:val="00593A6A"/>
    <w:rsid w:val="00593AE2"/>
    <w:rsid w:val="00593DD2"/>
    <w:rsid w:val="00593DEE"/>
    <w:rsid w:val="00594069"/>
    <w:rsid w:val="005940AE"/>
    <w:rsid w:val="00594265"/>
    <w:rsid w:val="005943C3"/>
    <w:rsid w:val="005945E2"/>
    <w:rsid w:val="00594975"/>
    <w:rsid w:val="00594C0E"/>
    <w:rsid w:val="00594D33"/>
    <w:rsid w:val="00594D3A"/>
    <w:rsid w:val="00595002"/>
    <w:rsid w:val="0059506D"/>
    <w:rsid w:val="005950A5"/>
    <w:rsid w:val="005950DC"/>
    <w:rsid w:val="005952AD"/>
    <w:rsid w:val="005953D2"/>
    <w:rsid w:val="00595936"/>
    <w:rsid w:val="00595F76"/>
    <w:rsid w:val="0059604D"/>
    <w:rsid w:val="005961E9"/>
    <w:rsid w:val="00596481"/>
    <w:rsid w:val="005965CC"/>
    <w:rsid w:val="005969A0"/>
    <w:rsid w:val="00596DBB"/>
    <w:rsid w:val="005970BF"/>
    <w:rsid w:val="005973FD"/>
    <w:rsid w:val="0059740C"/>
    <w:rsid w:val="00597573"/>
    <w:rsid w:val="0059766C"/>
    <w:rsid w:val="005976F3"/>
    <w:rsid w:val="00597821"/>
    <w:rsid w:val="0059785D"/>
    <w:rsid w:val="0059787B"/>
    <w:rsid w:val="00597AE6"/>
    <w:rsid w:val="00597B3E"/>
    <w:rsid w:val="00597F42"/>
    <w:rsid w:val="00597F5E"/>
    <w:rsid w:val="005A0130"/>
    <w:rsid w:val="005A0363"/>
    <w:rsid w:val="005A03C6"/>
    <w:rsid w:val="005A0526"/>
    <w:rsid w:val="005A06B9"/>
    <w:rsid w:val="005A078D"/>
    <w:rsid w:val="005A0CEE"/>
    <w:rsid w:val="005A0E99"/>
    <w:rsid w:val="005A0EED"/>
    <w:rsid w:val="005A1371"/>
    <w:rsid w:val="005A140E"/>
    <w:rsid w:val="005A172A"/>
    <w:rsid w:val="005A1BE5"/>
    <w:rsid w:val="005A1DD8"/>
    <w:rsid w:val="005A1EDC"/>
    <w:rsid w:val="005A224B"/>
    <w:rsid w:val="005A2382"/>
    <w:rsid w:val="005A2461"/>
    <w:rsid w:val="005A255D"/>
    <w:rsid w:val="005A25D2"/>
    <w:rsid w:val="005A289A"/>
    <w:rsid w:val="005A2938"/>
    <w:rsid w:val="005A29F9"/>
    <w:rsid w:val="005A2B81"/>
    <w:rsid w:val="005A2CA9"/>
    <w:rsid w:val="005A2D2B"/>
    <w:rsid w:val="005A2D8D"/>
    <w:rsid w:val="005A2EE3"/>
    <w:rsid w:val="005A2FCE"/>
    <w:rsid w:val="005A3199"/>
    <w:rsid w:val="005A32C6"/>
    <w:rsid w:val="005A34FA"/>
    <w:rsid w:val="005A3646"/>
    <w:rsid w:val="005A37ED"/>
    <w:rsid w:val="005A3838"/>
    <w:rsid w:val="005A3C01"/>
    <w:rsid w:val="005A3E3B"/>
    <w:rsid w:val="005A4065"/>
    <w:rsid w:val="005A4162"/>
    <w:rsid w:val="005A4180"/>
    <w:rsid w:val="005A43EB"/>
    <w:rsid w:val="005A4A17"/>
    <w:rsid w:val="005A4A82"/>
    <w:rsid w:val="005A4B2F"/>
    <w:rsid w:val="005A4F4B"/>
    <w:rsid w:val="005A5484"/>
    <w:rsid w:val="005A54B0"/>
    <w:rsid w:val="005A5671"/>
    <w:rsid w:val="005A5A1A"/>
    <w:rsid w:val="005A5C06"/>
    <w:rsid w:val="005A5CC6"/>
    <w:rsid w:val="005A5E99"/>
    <w:rsid w:val="005A61AB"/>
    <w:rsid w:val="005A61B0"/>
    <w:rsid w:val="005A628B"/>
    <w:rsid w:val="005A62E5"/>
    <w:rsid w:val="005A6405"/>
    <w:rsid w:val="005A646E"/>
    <w:rsid w:val="005A64D4"/>
    <w:rsid w:val="005A6594"/>
    <w:rsid w:val="005A6644"/>
    <w:rsid w:val="005A6B8D"/>
    <w:rsid w:val="005A6E42"/>
    <w:rsid w:val="005A6FBB"/>
    <w:rsid w:val="005A730E"/>
    <w:rsid w:val="005A737B"/>
    <w:rsid w:val="005A7393"/>
    <w:rsid w:val="005A742A"/>
    <w:rsid w:val="005A745B"/>
    <w:rsid w:val="005A75A7"/>
    <w:rsid w:val="005A765C"/>
    <w:rsid w:val="005A76D2"/>
    <w:rsid w:val="005A77B4"/>
    <w:rsid w:val="005A78C4"/>
    <w:rsid w:val="005A7962"/>
    <w:rsid w:val="005A7B1F"/>
    <w:rsid w:val="005A7B43"/>
    <w:rsid w:val="005A7DA9"/>
    <w:rsid w:val="005B0094"/>
    <w:rsid w:val="005B0234"/>
    <w:rsid w:val="005B03C8"/>
    <w:rsid w:val="005B050A"/>
    <w:rsid w:val="005B06CA"/>
    <w:rsid w:val="005B0D80"/>
    <w:rsid w:val="005B0DA4"/>
    <w:rsid w:val="005B10D4"/>
    <w:rsid w:val="005B121E"/>
    <w:rsid w:val="005B141F"/>
    <w:rsid w:val="005B1436"/>
    <w:rsid w:val="005B1442"/>
    <w:rsid w:val="005B1577"/>
    <w:rsid w:val="005B1813"/>
    <w:rsid w:val="005B1A4E"/>
    <w:rsid w:val="005B1C0C"/>
    <w:rsid w:val="005B2066"/>
    <w:rsid w:val="005B2192"/>
    <w:rsid w:val="005B2326"/>
    <w:rsid w:val="005B251D"/>
    <w:rsid w:val="005B256D"/>
    <w:rsid w:val="005B2599"/>
    <w:rsid w:val="005B25CC"/>
    <w:rsid w:val="005B2604"/>
    <w:rsid w:val="005B2B89"/>
    <w:rsid w:val="005B2F1C"/>
    <w:rsid w:val="005B3268"/>
    <w:rsid w:val="005B3444"/>
    <w:rsid w:val="005B369E"/>
    <w:rsid w:val="005B3880"/>
    <w:rsid w:val="005B38A2"/>
    <w:rsid w:val="005B3B5C"/>
    <w:rsid w:val="005B3E5A"/>
    <w:rsid w:val="005B4143"/>
    <w:rsid w:val="005B416D"/>
    <w:rsid w:val="005B42AF"/>
    <w:rsid w:val="005B436F"/>
    <w:rsid w:val="005B43A7"/>
    <w:rsid w:val="005B4445"/>
    <w:rsid w:val="005B454A"/>
    <w:rsid w:val="005B4711"/>
    <w:rsid w:val="005B4AC7"/>
    <w:rsid w:val="005B4B22"/>
    <w:rsid w:val="005B4BF4"/>
    <w:rsid w:val="005B4CCD"/>
    <w:rsid w:val="005B4EA7"/>
    <w:rsid w:val="005B4FB8"/>
    <w:rsid w:val="005B53CC"/>
    <w:rsid w:val="005B5614"/>
    <w:rsid w:val="005B5C98"/>
    <w:rsid w:val="005B5E44"/>
    <w:rsid w:val="005B6010"/>
    <w:rsid w:val="005B6522"/>
    <w:rsid w:val="005B6603"/>
    <w:rsid w:val="005B6636"/>
    <w:rsid w:val="005B6740"/>
    <w:rsid w:val="005B686C"/>
    <w:rsid w:val="005B68B1"/>
    <w:rsid w:val="005B68F9"/>
    <w:rsid w:val="005B69EC"/>
    <w:rsid w:val="005B69F3"/>
    <w:rsid w:val="005B6AA2"/>
    <w:rsid w:val="005B6B63"/>
    <w:rsid w:val="005B6BCF"/>
    <w:rsid w:val="005B6DF1"/>
    <w:rsid w:val="005B6F77"/>
    <w:rsid w:val="005B7152"/>
    <w:rsid w:val="005B7487"/>
    <w:rsid w:val="005B76AD"/>
    <w:rsid w:val="005B78F4"/>
    <w:rsid w:val="005B7A1B"/>
    <w:rsid w:val="005B7A7C"/>
    <w:rsid w:val="005B7AAA"/>
    <w:rsid w:val="005B7D1A"/>
    <w:rsid w:val="005B7D7D"/>
    <w:rsid w:val="005B7ED3"/>
    <w:rsid w:val="005B7F4D"/>
    <w:rsid w:val="005C00AD"/>
    <w:rsid w:val="005C0116"/>
    <w:rsid w:val="005C050F"/>
    <w:rsid w:val="005C0551"/>
    <w:rsid w:val="005C0559"/>
    <w:rsid w:val="005C06C1"/>
    <w:rsid w:val="005C0773"/>
    <w:rsid w:val="005C0A50"/>
    <w:rsid w:val="005C1263"/>
    <w:rsid w:val="005C1AE2"/>
    <w:rsid w:val="005C1B67"/>
    <w:rsid w:val="005C1E04"/>
    <w:rsid w:val="005C1FCC"/>
    <w:rsid w:val="005C2188"/>
    <w:rsid w:val="005C243F"/>
    <w:rsid w:val="005C2519"/>
    <w:rsid w:val="005C256B"/>
    <w:rsid w:val="005C28F8"/>
    <w:rsid w:val="005C2931"/>
    <w:rsid w:val="005C2A84"/>
    <w:rsid w:val="005C30AF"/>
    <w:rsid w:val="005C326A"/>
    <w:rsid w:val="005C36E6"/>
    <w:rsid w:val="005C38EB"/>
    <w:rsid w:val="005C3DBE"/>
    <w:rsid w:val="005C3E48"/>
    <w:rsid w:val="005C3FB2"/>
    <w:rsid w:val="005C4200"/>
    <w:rsid w:val="005C4478"/>
    <w:rsid w:val="005C47FE"/>
    <w:rsid w:val="005C482D"/>
    <w:rsid w:val="005C4C4B"/>
    <w:rsid w:val="005C4F38"/>
    <w:rsid w:val="005C504C"/>
    <w:rsid w:val="005C5140"/>
    <w:rsid w:val="005C5218"/>
    <w:rsid w:val="005C53B1"/>
    <w:rsid w:val="005C5660"/>
    <w:rsid w:val="005C5714"/>
    <w:rsid w:val="005C59F1"/>
    <w:rsid w:val="005C5B52"/>
    <w:rsid w:val="005C5BD2"/>
    <w:rsid w:val="005C6506"/>
    <w:rsid w:val="005C6706"/>
    <w:rsid w:val="005C683B"/>
    <w:rsid w:val="005C6909"/>
    <w:rsid w:val="005C6C28"/>
    <w:rsid w:val="005C6CC6"/>
    <w:rsid w:val="005C6E74"/>
    <w:rsid w:val="005C7209"/>
    <w:rsid w:val="005C721D"/>
    <w:rsid w:val="005C73A9"/>
    <w:rsid w:val="005C791F"/>
    <w:rsid w:val="005C7A1D"/>
    <w:rsid w:val="005C7B81"/>
    <w:rsid w:val="005C7C57"/>
    <w:rsid w:val="005C7CC1"/>
    <w:rsid w:val="005C7CDB"/>
    <w:rsid w:val="005C7DD8"/>
    <w:rsid w:val="005D035B"/>
    <w:rsid w:val="005D03AF"/>
    <w:rsid w:val="005D05EA"/>
    <w:rsid w:val="005D0687"/>
    <w:rsid w:val="005D07C3"/>
    <w:rsid w:val="005D08E4"/>
    <w:rsid w:val="005D0A75"/>
    <w:rsid w:val="005D0AF3"/>
    <w:rsid w:val="005D0FCB"/>
    <w:rsid w:val="005D0FCF"/>
    <w:rsid w:val="005D10BE"/>
    <w:rsid w:val="005D119D"/>
    <w:rsid w:val="005D1438"/>
    <w:rsid w:val="005D1523"/>
    <w:rsid w:val="005D1652"/>
    <w:rsid w:val="005D1BBB"/>
    <w:rsid w:val="005D1D95"/>
    <w:rsid w:val="005D1DCC"/>
    <w:rsid w:val="005D1E23"/>
    <w:rsid w:val="005D208A"/>
    <w:rsid w:val="005D25F3"/>
    <w:rsid w:val="005D2619"/>
    <w:rsid w:val="005D26A7"/>
    <w:rsid w:val="005D2817"/>
    <w:rsid w:val="005D2B28"/>
    <w:rsid w:val="005D2C83"/>
    <w:rsid w:val="005D2CF7"/>
    <w:rsid w:val="005D2D44"/>
    <w:rsid w:val="005D2D77"/>
    <w:rsid w:val="005D2DEB"/>
    <w:rsid w:val="005D2E0B"/>
    <w:rsid w:val="005D2E4D"/>
    <w:rsid w:val="005D2ECF"/>
    <w:rsid w:val="005D2F26"/>
    <w:rsid w:val="005D2F3E"/>
    <w:rsid w:val="005D2FD6"/>
    <w:rsid w:val="005D31F0"/>
    <w:rsid w:val="005D31F8"/>
    <w:rsid w:val="005D327D"/>
    <w:rsid w:val="005D3326"/>
    <w:rsid w:val="005D33AB"/>
    <w:rsid w:val="005D36BA"/>
    <w:rsid w:val="005D36CA"/>
    <w:rsid w:val="005D3791"/>
    <w:rsid w:val="005D37DD"/>
    <w:rsid w:val="005D39BD"/>
    <w:rsid w:val="005D3A57"/>
    <w:rsid w:val="005D3A59"/>
    <w:rsid w:val="005D3A7B"/>
    <w:rsid w:val="005D3B64"/>
    <w:rsid w:val="005D3C18"/>
    <w:rsid w:val="005D3C5E"/>
    <w:rsid w:val="005D3D6B"/>
    <w:rsid w:val="005D3EE8"/>
    <w:rsid w:val="005D45A1"/>
    <w:rsid w:val="005D46B9"/>
    <w:rsid w:val="005D4978"/>
    <w:rsid w:val="005D4FCC"/>
    <w:rsid w:val="005D5077"/>
    <w:rsid w:val="005D512E"/>
    <w:rsid w:val="005D516B"/>
    <w:rsid w:val="005D52E1"/>
    <w:rsid w:val="005D5362"/>
    <w:rsid w:val="005D5478"/>
    <w:rsid w:val="005D54AB"/>
    <w:rsid w:val="005D54B3"/>
    <w:rsid w:val="005D55B0"/>
    <w:rsid w:val="005D5619"/>
    <w:rsid w:val="005D5676"/>
    <w:rsid w:val="005D596D"/>
    <w:rsid w:val="005D5A76"/>
    <w:rsid w:val="005D5BEB"/>
    <w:rsid w:val="005D5D17"/>
    <w:rsid w:val="005D5D7B"/>
    <w:rsid w:val="005D5F29"/>
    <w:rsid w:val="005D5F60"/>
    <w:rsid w:val="005D6837"/>
    <w:rsid w:val="005D687F"/>
    <w:rsid w:val="005D68A6"/>
    <w:rsid w:val="005D68FF"/>
    <w:rsid w:val="005D6A28"/>
    <w:rsid w:val="005D6F67"/>
    <w:rsid w:val="005D7130"/>
    <w:rsid w:val="005D7394"/>
    <w:rsid w:val="005D7424"/>
    <w:rsid w:val="005D7647"/>
    <w:rsid w:val="005D783B"/>
    <w:rsid w:val="005D794B"/>
    <w:rsid w:val="005D7A3D"/>
    <w:rsid w:val="005D7A68"/>
    <w:rsid w:val="005D7DE6"/>
    <w:rsid w:val="005D7E94"/>
    <w:rsid w:val="005E007D"/>
    <w:rsid w:val="005E053D"/>
    <w:rsid w:val="005E05E0"/>
    <w:rsid w:val="005E0B57"/>
    <w:rsid w:val="005E0BF0"/>
    <w:rsid w:val="005E0E44"/>
    <w:rsid w:val="005E108C"/>
    <w:rsid w:val="005E1156"/>
    <w:rsid w:val="005E135C"/>
    <w:rsid w:val="005E15E0"/>
    <w:rsid w:val="005E1876"/>
    <w:rsid w:val="005E1B18"/>
    <w:rsid w:val="005E1CD2"/>
    <w:rsid w:val="005E1E55"/>
    <w:rsid w:val="005E1FFE"/>
    <w:rsid w:val="005E2082"/>
    <w:rsid w:val="005E21AF"/>
    <w:rsid w:val="005E22CD"/>
    <w:rsid w:val="005E230A"/>
    <w:rsid w:val="005E233B"/>
    <w:rsid w:val="005E23CC"/>
    <w:rsid w:val="005E2432"/>
    <w:rsid w:val="005E2598"/>
    <w:rsid w:val="005E26B3"/>
    <w:rsid w:val="005E27E4"/>
    <w:rsid w:val="005E2972"/>
    <w:rsid w:val="005E2E01"/>
    <w:rsid w:val="005E3135"/>
    <w:rsid w:val="005E3180"/>
    <w:rsid w:val="005E3421"/>
    <w:rsid w:val="005E350C"/>
    <w:rsid w:val="005E3566"/>
    <w:rsid w:val="005E35F4"/>
    <w:rsid w:val="005E36CB"/>
    <w:rsid w:val="005E3819"/>
    <w:rsid w:val="005E38D7"/>
    <w:rsid w:val="005E3BDD"/>
    <w:rsid w:val="005E3E01"/>
    <w:rsid w:val="005E3E4B"/>
    <w:rsid w:val="005E402A"/>
    <w:rsid w:val="005E4105"/>
    <w:rsid w:val="005E48D5"/>
    <w:rsid w:val="005E493D"/>
    <w:rsid w:val="005E4F51"/>
    <w:rsid w:val="005E52F8"/>
    <w:rsid w:val="005E5651"/>
    <w:rsid w:val="005E5696"/>
    <w:rsid w:val="005E5A25"/>
    <w:rsid w:val="005E5B03"/>
    <w:rsid w:val="005E5BCC"/>
    <w:rsid w:val="005E5F5D"/>
    <w:rsid w:val="005E6416"/>
    <w:rsid w:val="005E665A"/>
    <w:rsid w:val="005E67F6"/>
    <w:rsid w:val="005E69D3"/>
    <w:rsid w:val="005E6A5C"/>
    <w:rsid w:val="005E6E02"/>
    <w:rsid w:val="005E7039"/>
    <w:rsid w:val="005E7087"/>
    <w:rsid w:val="005E712C"/>
    <w:rsid w:val="005E72C2"/>
    <w:rsid w:val="005E74F1"/>
    <w:rsid w:val="005E7E38"/>
    <w:rsid w:val="005E7F0C"/>
    <w:rsid w:val="005E7FDA"/>
    <w:rsid w:val="005F0021"/>
    <w:rsid w:val="005F0063"/>
    <w:rsid w:val="005F0265"/>
    <w:rsid w:val="005F04AF"/>
    <w:rsid w:val="005F0678"/>
    <w:rsid w:val="005F0B3A"/>
    <w:rsid w:val="005F0C49"/>
    <w:rsid w:val="005F0CB8"/>
    <w:rsid w:val="005F0CD6"/>
    <w:rsid w:val="005F0E04"/>
    <w:rsid w:val="005F1185"/>
    <w:rsid w:val="005F1211"/>
    <w:rsid w:val="005F19AF"/>
    <w:rsid w:val="005F1A07"/>
    <w:rsid w:val="005F1B04"/>
    <w:rsid w:val="005F1B7C"/>
    <w:rsid w:val="005F1E99"/>
    <w:rsid w:val="005F1F7F"/>
    <w:rsid w:val="005F22C3"/>
    <w:rsid w:val="005F27D4"/>
    <w:rsid w:val="005F2827"/>
    <w:rsid w:val="005F2982"/>
    <w:rsid w:val="005F2C47"/>
    <w:rsid w:val="005F2DAF"/>
    <w:rsid w:val="005F2EFF"/>
    <w:rsid w:val="005F303C"/>
    <w:rsid w:val="005F31F8"/>
    <w:rsid w:val="005F32D4"/>
    <w:rsid w:val="005F3773"/>
    <w:rsid w:val="005F37FB"/>
    <w:rsid w:val="005F3906"/>
    <w:rsid w:val="005F3D39"/>
    <w:rsid w:val="005F3E08"/>
    <w:rsid w:val="005F3F07"/>
    <w:rsid w:val="005F4281"/>
    <w:rsid w:val="005F498B"/>
    <w:rsid w:val="005F4A25"/>
    <w:rsid w:val="005F4CA6"/>
    <w:rsid w:val="005F4ED8"/>
    <w:rsid w:val="005F4F47"/>
    <w:rsid w:val="005F504E"/>
    <w:rsid w:val="005F5128"/>
    <w:rsid w:val="005F528B"/>
    <w:rsid w:val="005F5365"/>
    <w:rsid w:val="005F54AD"/>
    <w:rsid w:val="005F55E8"/>
    <w:rsid w:val="005F5641"/>
    <w:rsid w:val="005F5940"/>
    <w:rsid w:val="005F5A48"/>
    <w:rsid w:val="005F5FC5"/>
    <w:rsid w:val="005F5FFE"/>
    <w:rsid w:val="005F633A"/>
    <w:rsid w:val="005F63DC"/>
    <w:rsid w:val="005F65EE"/>
    <w:rsid w:val="005F6634"/>
    <w:rsid w:val="005F6654"/>
    <w:rsid w:val="005F6665"/>
    <w:rsid w:val="005F68BD"/>
    <w:rsid w:val="005F6954"/>
    <w:rsid w:val="005F6956"/>
    <w:rsid w:val="005F69B8"/>
    <w:rsid w:val="005F6A91"/>
    <w:rsid w:val="005F70E6"/>
    <w:rsid w:val="005F74AB"/>
    <w:rsid w:val="005F77CC"/>
    <w:rsid w:val="005F7853"/>
    <w:rsid w:val="005F79A7"/>
    <w:rsid w:val="005F7B58"/>
    <w:rsid w:val="005F7B5B"/>
    <w:rsid w:val="005F7C32"/>
    <w:rsid w:val="005F7C53"/>
    <w:rsid w:val="005F7C92"/>
    <w:rsid w:val="005F7E55"/>
    <w:rsid w:val="005F7EA6"/>
    <w:rsid w:val="005F7EB8"/>
    <w:rsid w:val="0060004C"/>
    <w:rsid w:val="0060076A"/>
    <w:rsid w:val="00600776"/>
    <w:rsid w:val="006007BF"/>
    <w:rsid w:val="0060084E"/>
    <w:rsid w:val="00600998"/>
    <w:rsid w:val="00600BC1"/>
    <w:rsid w:val="00601150"/>
    <w:rsid w:val="006011F3"/>
    <w:rsid w:val="00601379"/>
    <w:rsid w:val="00601452"/>
    <w:rsid w:val="006014BC"/>
    <w:rsid w:val="00601617"/>
    <w:rsid w:val="00601737"/>
    <w:rsid w:val="006019C3"/>
    <w:rsid w:val="00601A41"/>
    <w:rsid w:val="00601D15"/>
    <w:rsid w:val="00602097"/>
    <w:rsid w:val="006022F5"/>
    <w:rsid w:val="006023A1"/>
    <w:rsid w:val="00602469"/>
    <w:rsid w:val="00602857"/>
    <w:rsid w:val="00603123"/>
    <w:rsid w:val="00603451"/>
    <w:rsid w:val="00603B57"/>
    <w:rsid w:val="00603D4A"/>
    <w:rsid w:val="006041E7"/>
    <w:rsid w:val="006042C6"/>
    <w:rsid w:val="006043D3"/>
    <w:rsid w:val="00604448"/>
    <w:rsid w:val="006044D2"/>
    <w:rsid w:val="006044E9"/>
    <w:rsid w:val="00604623"/>
    <w:rsid w:val="006047CD"/>
    <w:rsid w:val="00604803"/>
    <w:rsid w:val="00604845"/>
    <w:rsid w:val="00604A58"/>
    <w:rsid w:val="00604E24"/>
    <w:rsid w:val="00604E5E"/>
    <w:rsid w:val="0060537C"/>
    <w:rsid w:val="006054AF"/>
    <w:rsid w:val="00605912"/>
    <w:rsid w:val="0060597F"/>
    <w:rsid w:val="00605A44"/>
    <w:rsid w:val="00605B93"/>
    <w:rsid w:val="00605D07"/>
    <w:rsid w:val="00605D35"/>
    <w:rsid w:val="006060FA"/>
    <w:rsid w:val="00606593"/>
    <w:rsid w:val="006067B9"/>
    <w:rsid w:val="006067DA"/>
    <w:rsid w:val="00606BC8"/>
    <w:rsid w:val="00606CA0"/>
    <w:rsid w:val="00606CE6"/>
    <w:rsid w:val="00606D9E"/>
    <w:rsid w:val="00606E17"/>
    <w:rsid w:val="00606FEA"/>
    <w:rsid w:val="0060713C"/>
    <w:rsid w:val="006071D8"/>
    <w:rsid w:val="00607413"/>
    <w:rsid w:val="006075CA"/>
    <w:rsid w:val="00607757"/>
    <w:rsid w:val="006078D0"/>
    <w:rsid w:val="00607934"/>
    <w:rsid w:val="00607B3A"/>
    <w:rsid w:val="00607E6F"/>
    <w:rsid w:val="00610523"/>
    <w:rsid w:val="0061062E"/>
    <w:rsid w:val="0061072D"/>
    <w:rsid w:val="0061091F"/>
    <w:rsid w:val="006109D5"/>
    <w:rsid w:val="006109EA"/>
    <w:rsid w:val="006109F6"/>
    <w:rsid w:val="00610C75"/>
    <w:rsid w:val="00610CA2"/>
    <w:rsid w:val="00610D89"/>
    <w:rsid w:val="00610D92"/>
    <w:rsid w:val="00610E0D"/>
    <w:rsid w:val="00610F72"/>
    <w:rsid w:val="00610FDD"/>
    <w:rsid w:val="0061103A"/>
    <w:rsid w:val="00611088"/>
    <w:rsid w:val="006113EE"/>
    <w:rsid w:val="00611707"/>
    <w:rsid w:val="00611926"/>
    <w:rsid w:val="00611B63"/>
    <w:rsid w:val="00611D58"/>
    <w:rsid w:val="00611F66"/>
    <w:rsid w:val="006120D0"/>
    <w:rsid w:val="0061213D"/>
    <w:rsid w:val="006121CA"/>
    <w:rsid w:val="0061230C"/>
    <w:rsid w:val="0061277B"/>
    <w:rsid w:val="006127D5"/>
    <w:rsid w:val="00612885"/>
    <w:rsid w:val="00612A68"/>
    <w:rsid w:val="00612BF2"/>
    <w:rsid w:val="00612C03"/>
    <w:rsid w:val="00613285"/>
    <w:rsid w:val="0061368B"/>
    <w:rsid w:val="00613A41"/>
    <w:rsid w:val="00613B76"/>
    <w:rsid w:val="00613C98"/>
    <w:rsid w:val="00614228"/>
    <w:rsid w:val="00614241"/>
    <w:rsid w:val="00614329"/>
    <w:rsid w:val="006148F5"/>
    <w:rsid w:val="0061490D"/>
    <w:rsid w:val="00614A57"/>
    <w:rsid w:val="00614AB2"/>
    <w:rsid w:val="00614B99"/>
    <w:rsid w:val="00614DFF"/>
    <w:rsid w:val="00614EE1"/>
    <w:rsid w:val="00614EE8"/>
    <w:rsid w:val="00615193"/>
    <w:rsid w:val="006153C1"/>
    <w:rsid w:val="006153D4"/>
    <w:rsid w:val="00615501"/>
    <w:rsid w:val="006156B6"/>
    <w:rsid w:val="0061589D"/>
    <w:rsid w:val="0061591D"/>
    <w:rsid w:val="0061626F"/>
    <w:rsid w:val="006163D8"/>
    <w:rsid w:val="00616547"/>
    <w:rsid w:val="0061659F"/>
    <w:rsid w:val="0061688C"/>
    <w:rsid w:val="006168CE"/>
    <w:rsid w:val="00616928"/>
    <w:rsid w:val="006169AB"/>
    <w:rsid w:val="00616B6B"/>
    <w:rsid w:val="00616BD8"/>
    <w:rsid w:val="00616CB7"/>
    <w:rsid w:val="00616D5A"/>
    <w:rsid w:val="006172C7"/>
    <w:rsid w:val="00617415"/>
    <w:rsid w:val="0061765D"/>
    <w:rsid w:val="00617675"/>
    <w:rsid w:val="006176CA"/>
    <w:rsid w:val="0061783F"/>
    <w:rsid w:val="00617F0C"/>
    <w:rsid w:val="00617F65"/>
    <w:rsid w:val="00617FC1"/>
    <w:rsid w:val="00620055"/>
    <w:rsid w:val="006200EE"/>
    <w:rsid w:val="00620225"/>
    <w:rsid w:val="00620236"/>
    <w:rsid w:val="00620295"/>
    <w:rsid w:val="00620411"/>
    <w:rsid w:val="00620885"/>
    <w:rsid w:val="0062097D"/>
    <w:rsid w:val="00620A8A"/>
    <w:rsid w:val="00620B1A"/>
    <w:rsid w:val="00620C31"/>
    <w:rsid w:val="00620E91"/>
    <w:rsid w:val="00620EA5"/>
    <w:rsid w:val="00620F20"/>
    <w:rsid w:val="00620F70"/>
    <w:rsid w:val="006210F8"/>
    <w:rsid w:val="00621378"/>
    <w:rsid w:val="006213B8"/>
    <w:rsid w:val="006214E4"/>
    <w:rsid w:val="006217E0"/>
    <w:rsid w:val="0062182D"/>
    <w:rsid w:val="00621B5F"/>
    <w:rsid w:val="00621C96"/>
    <w:rsid w:val="00621CA9"/>
    <w:rsid w:val="00621E68"/>
    <w:rsid w:val="00621EEB"/>
    <w:rsid w:val="00621F5D"/>
    <w:rsid w:val="006221A4"/>
    <w:rsid w:val="006221AF"/>
    <w:rsid w:val="00622479"/>
    <w:rsid w:val="0062275D"/>
    <w:rsid w:val="006227A8"/>
    <w:rsid w:val="00622895"/>
    <w:rsid w:val="00622897"/>
    <w:rsid w:val="00622975"/>
    <w:rsid w:val="00622999"/>
    <w:rsid w:val="00622F69"/>
    <w:rsid w:val="00623224"/>
    <w:rsid w:val="00623389"/>
    <w:rsid w:val="0062342A"/>
    <w:rsid w:val="00623610"/>
    <w:rsid w:val="00623744"/>
    <w:rsid w:val="006239A4"/>
    <w:rsid w:val="006239F4"/>
    <w:rsid w:val="00624010"/>
    <w:rsid w:val="006240C3"/>
    <w:rsid w:val="006240C8"/>
    <w:rsid w:val="00624171"/>
    <w:rsid w:val="00624553"/>
    <w:rsid w:val="006245C7"/>
    <w:rsid w:val="00624656"/>
    <w:rsid w:val="00624844"/>
    <w:rsid w:val="006248F2"/>
    <w:rsid w:val="00624B16"/>
    <w:rsid w:val="00624D71"/>
    <w:rsid w:val="00624F3E"/>
    <w:rsid w:val="006250AD"/>
    <w:rsid w:val="0062524A"/>
    <w:rsid w:val="0062533D"/>
    <w:rsid w:val="00625362"/>
    <w:rsid w:val="006255B8"/>
    <w:rsid w:val="006256B5"/>
    <w:rsid w:val="00625704"/>
    <w:rsid w:val="00625819"/>
    <w:rsid w:val="006259BF"/>
    <w:rsid w:val="00625C4E"/>
    <w:rsid w:val="00625E42"/>
    <w:rsid w:val="0062613C"/>
    <w:rsid w:val="006263EF"/>
    <w:rsid w:val="00626B75"/>
    <w:rsid w:val="00626D57"/>
    <w:rsid w:val="00626E21"/>
    <w:rsid w:val="00627315"/>
    <w:rsid w:val="0062745E"/>
    <w:rsid w:val="00627B1D"/>
    <w:rsid w:val="00627D89"/>
    <w:rsid w:val="00630528"/>
    <w:rsid w:val="006306BD"/>
    <w:rsid w:val="006309B7"/>
    <w:rsid w:val="00630A9B"/>
    <w:rsid w:val="00630AB9"/>
    <w:rsid w:val="00630D2D"/>
    <w:rsid w:val="00630E9F"/>
    <w:rsid w:val="00630FC4"/>
    <w:rsid w:val="0063111E"/>
    <w:rsid w:val="00631296"/>
    <w:rsid w:val="00631402"/>
    <w:rsid w:val="00631663"/>
    <w:rsid w:val="006316C6"/>
    <w:rsid w:val="0063171B"/>
    <w:rsid w:val="0063176D"/>
    <w:rsid w:val="006319E4"/>
    <w:rsid w:val="00631C2B"/>
    <w:rsid w:val="00631DC4"/>
    <w:rsid w:val="006322A9"/>
    <w:rsid w:val="0063233D"/>
    <w:rsid w:val="0063252E"/>
    <w:rsid w:val="00632574"/>
    <w:rsid w:val="006326C9"/>
    <w:rsid w:val="00632B35"/>
    <w:rsid w:val="00632D4D"/>
    <w:rsid w:val="00632DE0"/>
    <w:rsid w:val="00632E80"/>
    <w:rsid w:val="00633093"/>
    <w:rsid w:val="006330B1"/>
    <w:rsid w:val="006330BF"/>
    <w:rsid w:val="00633184"/>
    <w:rsid w:val="00633343"/>
    <w:rsid w:val="00633557"/>
    <w:rsid w:val="006336C6"/>
    <w:rsid w:val="00633A96"/>
    <w:rsid w:val="00633CF5"/>
    <w:rsid w:val="0063408A"/>
    <w:rsid w:val="006340D1"/>
    <w:rsid w:val="006340F5"/>
    <w:rsid w:val="00634414"/>
    <w:rsid w:val="00634793"/>
    <w:rsid w:val="006347D2"/>
    <w:rsid w:val="0063480D"/>
    <w:rsid w:val="00634811"/>
    <w:rsid w:val="0063498F"/>
    <w:rsid w:val="006349A6"/>
    <w:rsid w:val="00634A3C"/>
    <w:rsid w:val="00634ABF"/>
    <w:rsid w:val="00634B1E"/>
    <w:rsid w:val="00634C26"/>
    <w:rsid w:val="00634D91"/>
    <w:rsid w:val="00634E31"/>
    <w:rsid w:val="00634F6F"/>
    <w:rsid w:val="00635167"/>
    <w:rsid w:val="006351EC"/>
    <w:rsid w:val="006357D7"/>
    <w:rsid w:val="0063590C"/>
    <w:rsid w:val="00635B6A"/>
    <w:rsid w:val="00635BC7"/>
    <w:rsid w:val="00635DAF"/>
    <w:rsid w:val="00635E66"/>
    <w:rsid w:val="0063624C"/>
    <w:rsid w:val="00636509"/>
    <w:rsid w:val="006365D0"/>
    <w:rsid w:val="006365F8"/>
    <w:rsid w:val="00636618"/>
    <w:rsid w:val="00636662"/>
    <w:rsid w:val="00636C73"/>
    <w:rsid w:val="00636D8D"/>
    <w:rsid w:val="00636F38"/>
    <w:rsid w:val="00636F62"/>
    <w:rsid w:val="0063731C"/>
    <w:rsid w:val="00637374"/>
    <w:rsid w:val="00637407"/>
    <w:rsid w:val="0063768F"/>
    <w:rsid w:val="00637918"/>
    <w:rsid w:val="00637AE6"/>
    <w:rsid w:val="00637C5E"/>
    <w:rsid w:val="00637CEC"/>
    <w:rsid w:val="00637F49"/>
    <w:rsid w:val="006402EE"/>
    <w:rsid w:val="0064040B"/>
    <w:rsid w:val="0064092D"/>
    <w:rsid w:val="00640E76"/>
    <w:rsid w:val="00640F4C"/>
    <w:rsid w:val="006412B1"/>
    <w:rsid w:val="006412E1"/>
    <w:rsid w:val="006412F7"/>
    <w:rsid w:val="006413A6"/>
    <w:rsid w:val="00641422"/>
    <w:rsid w:val="0064147D"/>
    <w:rsid w:val="00641503"/>
    <w:rsid w:val="006416E4"/>
    <w:rsid w:val="00641B33"/>
    <w:rsid w:val="00641BAE"/>
    <w:rsid w:val="00641CEB"/>
    <w:rsid w:val="00641D50"/>
    <w:rsid w:val="00641E1C"/>
    <w:rsid w:val="00641E47"/>
    <w:rsid w:val="00642035"/>
    <w:rsid w:val="0064208F"/>
    <w:rsid w:val="006420CD"/>
    <w:rsid w:val="006421E8"/>
    <w:rsid w:val="00642600"/>
    <w:rsid w:val="00642648"/>
    <w:rsid w:val="0064264B"/>
    <w:rsid w:val="006426F9"/>
    <w:rsid w:val="0064285C"/>
    <w:rsid w:val="0064292A"/>
    <w:rsid w:val="00642B07"/>
    <w:rsid w:val="00642FC2"/>
    <w:rsid w:val="006431BF"/>
    <w:rsid w:val="006434ED"/>
    <w:rsid w:val="00643511"/>
    <w:rsid w:val="00643750"/>
    <w:rsid w:val="0064398F"/>
    <w:rsid w:val="006439D0"/>
    <w:rsid w:val="00643A69"/>
    <w:rsid w:val="00643B6B"/>
    <w:rsid w:val="0064400F"/>
    <w:rsid w:val="0064417A"/>
    <w:rsid w:val="00644722"/>
    <w:rsid w:val="0064483A"/>
    <w:rsid w:val="00644DDA"/>
    <w:rsid w:val="00644E99"/>
    <w:rsid w:val="00645281"/>
    <w:rsid w:val="00645292"/>
    <w:rsid w:val="00645341"/>
    <w:rsid w:val="006453CA"/>
    <w:rsid w:val="0064589B"/>
    <w:rsid w:val="006458D5"/>
    <w:rsid w:val="006459BE"/>
    <w:rsid w:val="00645B23"/>
    <w:rsid w:val="00645BA4"/>
    <w:rsid w:val="00645D55"/>
    <w:rsid w:val="00645E4D"/>
    <w:rsid w:val="00645FD1"/>
    <w:rsid w:val="00646098"/>
    <w:rsid w:val="006461E9"/>
    <w:rsid w:val="006462E1"/>
    <w:rsid w:val="00646350"/>
    <w:rsid w:val="00646494"/>
    <w:rsid w:val="00646551"/>
    <w:rsid w:val="00646690"/>
    <w:rsid w:val="0064681A"/>
    <w:rsid w:val="0064681E"/>
    <w:rsid w:val="00646886"/>
    <w:rsid w:val="006468FE"/>
    <w:rsid w:val="00646D6A"/>
    <w:rsid w:val="00646DA6"/>
    <w:rsid w:val="006471D1"/>
    <w:rsid w:val="0064753F"/>
    <w:rsid w:val="006479EF"/>
    <w:rsid w:val="00647DB0"/>
    <w:rsid w:val="00650281"/>
    <w:rsid w:val="006503C9"/>
    <w:rsid w:val="00650449"/>
    <w:rsid w:val="006507A4"/>
    <w:rsid w:val="006507B1"/>
    <w:rsid w:val="00650840"/>
    <w:rsid w:val="00650AB4"/>
    <w:rsid w:val="00650B0E"/>
    <w:rsid w:val="00651078"/>
    <w:rsid w:val="00651816"/>
    <w:rsid w:val="00651847"/>
    <w:rsid w:val="0065192E"/>
    <w:rsid w:val="00651936"/>
    <w:rsid w:val="00651C7A"/>
    <w:rsid w:val="00651F6C"/>
    <w:rsid w:val="0065228D"/>
    <w:rsid w:val="0065232A"/>
    <w:rsid w:val="006527BC"/>
    <w:rsid w:val="00652A88"/>
    <w:rsid w:val="00652D4A"/>
    <w:rsid w:val="00652E09"/>
    <w:rsid w:val="00652EF8"/>
    <w:rsid w:val="00652F3C"/>
    <w:rsid w:val="00652FB5"/>
    <w:rsid w:val="00652FDD"/>
    <w:rsid w:val="00653100"/>
    <w:rsid w:val="0065317A"/>
    <w:rsid w:val="00653288"/>
    <w:rsid w:val="00653369"/>
    <w:rsid w:val="006533BF"/>
    <w:rsid w:val="00653430"/>
    <w:rsid w:val="006537EC"/>
    <w:rsid w:val="006537F0"/>
    <w:rsid w:val="00653932"/>
    <w:rsid w:val="00653A89"/>
    <w:rsid w:val="00653D00"/>
    <w:rsid w:val="0065413C"/>
    <w:rsid w:val="0065431B"/>
    <w:rsid w:val="00654698"/>
    <w:rsid w:val="006548C2"/>
    <w:rsid w:val="00654A6A"/>
    <w:rsid w:val="00654BDA"/>
    <w:rsid w:val="00654EB5"/>
    <w:rsid w:val="006550AF"/>
    <w:rsid w:val="006550D4"/>
    <w:rsid w:val="00655149"/>
    <w:rsid w:val="00655268"/>
    <w:rsid w:val="00655332"/>
    <w:rsid w:val="0065540B"/>
    <w:rsid w:val="00655457"/>
    <w:rsid w:val="006554A3"/>
    <w:rsid w:val="006554BC"/>
    <w:rsid w:val="006554F1"/>
    <w:rsid w:val="00655608"/>
    <w:rsid w:val="0065564B"/>
    <w:rsid w:val="0065576A"/>
    <w:rsid w:val="00655820"/>
    <w:rsid w:val="00655B29"/>
    <w:rsid w:val="00655C62"/>
    <w:rsid w:val="00655D7C"/>
    <w:rsid w:val="00655F44"/>
    <w:rsid w:val="00656058"/>
    <w:rsid w:val="00656063"/>
    <w:rsid w:val="006563BF"/>
    <w:rsid w:val="0065658C"/>
    <w:rsid w:val="006566AE"/>
    <w:rsid w:val="00656874"/>
    <w:rsid w:val="006569A5"/>
    <w:rsid w:val="00656A6D"/>
    <w:rsid w:val="00656AD4"/>
    <w:rsid w:val="006570C0"/>
    <w:rsid w:val="006570E6"/>
    <w:rsid w:val="00657141"/>
    <w:rsid w:val="0065724B"/>
    <w:rsid w:val="00657412"/>
    <w:rsid w:val="00657455"/>
    <w:rsid w:val="00657573"/>
    <w:rsid w:val="00657625"/>
    <w:rsid w:val="006576E2"/>
    <w:rsid w:val="006577AB"/>
    <w:rsid w:val="00657A70"/>
    <w:rsid w:val="00657B8D"/>
    <w:rsid w:val="00657BE5"/>
    <w:rsid w:val="006600A4"/>
    <w:rsid w:val="006602B5"/>
    <w:rsid w:val="006602B7"/>
    <w:rsid w:val="00660367"/>
    <w:rsid w:val="00660535"/>
    <w:rsid w:val="0066078B"/>
    <w:rsid w:val="00660AF6"/>
    <w:rsid w:val="00660B38"/>
    <w:rsid w:val="00660BC5"/>
    <w:rsid w:val="00660DD7"/>
    <w:rsid w:val="006610AE"/>
    <w:rsid w:val="006611CC"/>
    <w:rsid w:val="00661244"/>
    <w:rsid w:val="00661731"/>
    <w:rsid w:val="006617FA"/>
    <w:rsid w:val="00661A26"/>
    <w:rsid w:val="00661A46"/>
    <w:rsid w:val="00661B03"/>
    <w:rsid w:val="006622E4"/>
    <w:rsid w:val="006623C5"/>
    <w:rsid w:val="0066245A"/>
    <w:rsid w:val="0066257B"/>
    <w:rsid w:val="006628FE"/>
    <w:rsid w:val="00662C22"/>
    <w:rsid w:val="0066303D"/>
    <w:rsid w:val="006631DF"/>
    <w:rsid w:val="00663485"/>
    <w:rsid w:val="00663539"/>
    <w:rsid w:val="00663561"/>
    <w:rsid w:val="0066358B"/>
    <w:rsid w:val="006636F9"/>
    <w:rsid w:val="0066392C"/>
    <w:rsid w:val="00663B46"/>
    <w:rsid w:val="00663BC5"/>
    <w:rsid w:val="00663CB4"/>
    <w:rsid w:val="00664074"/>
    <w:rsid w:val="0066408B"/>
    <w:rsid w:val="00664244"/>
    <w:rsid w:val="006642EA"/>
    <w:rsid w:val="00664344"/>
    <w:rsid w:val="0066465B"/>
    <w:rsid w:val="00664B86"/>
    <w:rsid w:val="00664BE6"/>
    <w:rsid w:val="00665089"/>
    <w:rsid w:val="00665503"/>
    <w:rsid w:val="006658A9"/>
    <w:rsid w:val="00665BB0"/>
    <w:rsid w:val="00665D70"/>
    <w:rsid w:val="00665EB2"/>
    <w:rsid w:val="006660F6"/>
    <w:rsid w:val="00666100"/>
    <w:rsid w:val="006662C5"/>
    <w:rsid w:val="006662F8"/>
    <w:rsid w:val="0066639B"/>
    <w:rsid w:val="006664E1"/>
    <w:rsid w:val="0066658D"/>
    <w:rsid w:val="006665D9"/>
    <w:rsid w:val="00666877"/>
    <w:rsid w:val="00666C37"/>
    <w:rsid w:val="00666CD9"/>
    <w:rsid w:val="00666DF5"/>
    <w:rsid w:val="00666F77"/>
    <w:rsid w:val="00666FDB"/>
    <w:rsid w:val="00666FEE"/>
    <w:rsid w:val="0066705C"/>
    <w:rsid w:val="006673B3"/>
    <w:rsid w:val="006673D0"/>
    <w:rsid w:val="00667469"/>
    <w:rsid w:val="00667717"/>
    <w:rsid w:val="00667B42"/>
    <w:rsid w:val="00667C31"/>
    <w:rsid w:val="00667D8E"/>
    <w:rsid w:val="00667F72"/>
    <w:rsid w:val="00667FE6"/>
    <w:rsid w:val="00670173"/>
    <w:rsid w:val="006702EF"/>
    <w:rsid w:val="00670780"/>
    <w:rsid w:val="00670783"/>
    <w:rsid w:val="00670DB3"/>
    <w:rsid w:val="00670E43"/>
    <w:rsid w:val="00670FE8"/>
    <w:rsid w:val="006711D2"/>
    <w:rsid w:val="00671505"/>
    <w:rsid w:val="00671805"/>
    <w:rsid w:val="006718B2"/>
    <w:rsid w:val="00671AA5"/>
    <w:rsid w:val="00671E4C"/>
    <w:rsid w:val="0067266F"/>
    <w:rsid w:val="00672770"/>
    <w:rsid w:val="00672848"/>
    <w:rsid w:val="00672AA6"/>
    <w:rsid w:val="00672ABF"/>
    <w:rsid w:val="00672B56"/>
    <w:rsid w:val="00672F19"/>
    <w:rsid w:val="00672F1D"/>
    <w:rsid w:val="00673013"/>
    <w:rsid w:val="006731E4"/>
    <w:rsid w:val="00673220"/>
    <w:rsid w:val="00673254"/>
    <w:rsid w:val="00673586"/>
    <w:rsid w:val="00673978"/>
    <w:rsid w:val="00673CE6"/>
    <w:rsid w:val="00673ECE"/>
    <w:rsid w:val="0067406C"/>
    <w:rsid w:val="00674275"/>
    <w:rsid w:val="00674340"/>
    <w:rsid w:val="006745CF"/>
    <w:rsid w:val="00674697"/>
    <w:rsid w:val="006746F1"/>
    <w:rsid w:val="00674AC3"/>
    <w:rsid w:val="00674ADA"/>
    <w:rsid w:val="00674D1F"/>
    <w:rsid w:val="00674F1C"/>
    <w:rsid w:val="00674F64"/>
    <w:rsid w:val="006750C6"/>
    <w:rsid w:val="00675225"/>
    <w:rsid w:val="006752A3"/>
    <w:rsid w:val="00675639"/>
    <w:rsid w:val="0067565E"/>
    <w:rsid w:val="00675703"/>
    <w:rsid w:val="006757F8"/>
    <w:rsid w:val="00675802"/>
    <w:rsid w:val="00675A36"/>
    <w:rsid w:val="00675AC3"/>
    <w:rsid w:val="00675C4A"/>
    <w:rsid w:val="00675CA0"/>
    <w:rsid w:val="00675D18"/>
    <w:rsid w:val="00675E73"/>
    <w:rsid w:val="00675F4A"/>
    <w:rsid w:val="00675FA8"/>
    <w:rsid w:val="00676052"/>
    <w:rsid w:val="0067626E"/>
    <w:rsid w:val="00676604"/>
    <w:rsid w:val="00676806"/>
    <w:rsid w:val="00676A38"/>
    <w:rsid w:val="00676AEB"/>
    <w:rsid w:val="00676C1C"/>
    <w:rsid w:val="00676CBF"/>
    <w:rsid w:val="00676CF9"/>
    <w:rsid w:val="00676E78"/>
    <w:rsid w:val="0067700A"/>
    <w:rsid w:val="006774F9"/>
    <w:rsid w:val="0067788B"/>
    <w:rsid w:val="006778E3"/>
    <w:rsid w:val="00677942"/>
    <w:rsid w:val="00677A25"/>
    <w:rsid w:val="00677A3C"/>
    <w:rsid w:val="00677B0F"/>
    <w:rsid w:val="00677CF6"/>
    <w:rsid w:val="00677FB3"/>
    <w:rsid w:val="00680106"/>
    <w:rsid w:val="0068040A"/>
    <w:rsid w:val="006805DC"/>
    <w:rsid w:val="00680697"/>
    <w:rsid w:val="00680723"/>
    <w:rsid w:val="0068098B"/>
    <w:rsid w:val="00680A93"/>
    <w:rsid w:val="00680BAA"/>
    <w:rsid w:val="00680C48"/>
    <w:rsid w:val="00680E0D"/>
    <w:rsid w:val="00680E0E"/>
    <w:rsid w:val="0068134F"/>
    <w:rsid w:val="006814B2"/>
    <w:rsid w:val="00681819"/>
    <w:rsid w:val="0068187A"/>
    <w:rsid w:val="0068192B"/>
    <w:rsid w:val="00681988"/>
    <w:rsid w:val="006819D7"/>
    <w:rsid w:val="00681C4A"/>
    <w:rsid w:val="00681DCF"/>
    <w:rsid w:val="00681FCF"/>
    <w:rsid w:val="00682280"/>
    <w:rsid w:val="006822EA"/>
    <w:rsid w:val="00682338"/>
    <w:rsid w:val="00682921"/>
    <w:rsid w:val="00682F1D"/>
    <w:rsid w:val="00682F59"/>
    <w:rsid w:val="00682F5A"/>
    <w:rsid w:val="00683032"/>
    <w:rsid w:val="00683162"/>
    <w:rsid w:val="00683194"/>
    <w:rsid w:val="00683490"/>
    <w:rsid w:val="006835A4"/>
    <w:rsid w:val="006837E3"/>
    <w:rsid w:val="00683F7E"/>
    <w:rsid w:val="00683FB0"/>
    <w:rsid w:val="00683FB2"/>
    <w:rsid w:val="00684011"/>
    <w:rsid w:val="006840D1"/>
    <w:rsid w:val="00684196"/>
    <w:rsid w:val="006842C2"/>
    <w:rsid w:val="00684610"/>
    <w:rsid w:val="006847C2"/>
    <w:rsid w:val="006847FD"/>
    <w:rsid w:val="00684946"/>
    <w:rsid w:val="00684AE5"/>
    <w:rsid w:val="00684B0D"/>
    <w:rsid w:val="006850C8"/>
    <w:rsid w:val="006852A9"/>
    <w:rsid w:val="006853BA"/>
    <w:rsid w:val="0068590C"/>
    <w:rsid w:val="0068594C"/>
    <w:rsid w:val="00685E8C"/>
    <w:rsid w:val="00686074"/>
    <w:rsid w:val="00686272"/>
    <w:rsid w:val="00686338"/>
    <w:rsid w:val="00686403"/>
    <w:rsid w:val="00686697"/>
    <w:rsid w:val="00686AF9"/>
    <w:rsid w:val="00686B54"/>
    <w:rsid w:val="00686C6E"/>
    <w:rsid w:val="00686C9E"/>
    <w:rsid w:val="00686CEE"/>
    <w:rsid w:val="00686F81"/>
    <w:rsid w:val="0068700D"/>
    <w:rsid w:val="006871D3"/>
    <w:rsid w:val="00687601"/>
    <w:rsid w:val="0068765F"/>
    <w:rsid w:val="00687808"/>
    <w:rsid w:val="006878C7"/>
    <w:rsid w:val="00687A04"/>
    <w:rsid w:val="00687BFE"/>
    <w:rsid w:val="00687CBA"/>
    <w:rsid w:val="00687E1E"/>
    <w:rsid w:val="0069066F"/>
    <w:rsid w:val="00690AE5"/>
    <w:rsid w:val="00690C0B"/>
    <w:rsid w:val="00691112"/>
    <w:rsid w:val="00691451"/>
    <w:rsid w:val="00691689"/>
    <w:rsid w:val="0069170D"/>
    <w:rsid w:val="0069172D"/>
    <w:rsid w:val="00691796"/>
    <w:rsid w:val="006917D1"/>
    <w:rsid w:val="006918EB"/>
    <w:rsid w:val="00691C47"/>
    <w:rsid w:val="00691CC9"/>
    <w:rsid w:val="00691CD2"/>
    <w:rsid w:val="00691DB4"/>
    <w:rsid w:val="0069248A"/>
    <w:rsid w:val="006925FA"/>
    <w:rsid w:val="006926D6"/>
    <w:rsid w:val="00692A46"/>
    <w:rsid w:val="00692C72"/>
    <w:rsid w:val="00692C76"/>
    <w:rsid w:val="00692D24"/>
    <w:rsid w:val="00692E77"/>
    <w:rsid w:val="00692FC3"/>
    <w:rsid w:val="00693067"/>
    <w:rsid w:val="006932A0"/>
    <w:rsid w:val="00693509"/>
    <w:rsid w:val="00693562"/>
    <w:rsid w:val="0069365E"/>
    <w:rsid w:val="00693663"/>
    <w:rsid w:val="006937B7"/>
    <w:rsid w:val="006939E2"/>
    <w:rsid w:val="00693A44"/>
    <w:rsid w:val="00693C5A"/>
    <w:rsid w:val="00693CEB"/>
    <w:rsid w:val="006945C4"/>
    <w:rsid w:val="006945C7"/>
    <w:rsid w:val="0069473F"/>
    <w:rsid w:val="0069480A"/>
    <w:rsid w:val="00694A54"/>
    <w:rsid w:val="00694C43"/>
    <w:rsid w:val="00694E78"/>
    <w:rsid w:val="00694FAA"/>
    <w:rsid w:val="00695095"/>
    <w:rsid w:val="006953A6"/>
    <w:rsid w:val="00695690"/>
    <w:rsid w:val="00695797"/>
    <w:rsid w:val="006959E1"/>
    <w:rsid w:val="00695DBC"/>
    <w:rsid w:val="00696460"/>
    <w:rsid w:val="0069690C"/>
    <w:rsid w:val="00696929"/>
    <w:rsid w:val="00696990"/>
    <w:rsid w:val="006969FC"/>
    <w:rsid w:val="00696C45"/>
    <w:rsid w:val="00696CD7"/>
    <w:rsid w:val="00697060"/>
    <w:rsid w:val="0069730F"/>
    <w:rsid w:val="0069738A"/>
    <w:rsid w:val="006974B8"/>
    <w:rsid w:val="006974ED"/>
    <w:rsid w:val="00697515"/>
    <w:rsid w:val="0069758E"/>
    <w:rsid w:val="00697667"/>
    <w:rsid w:val="006977A8"/>
    <w:rsid w:val="006977C2"/>
    <w:rsid w:val="00697881"/>
    <w:rsid w:val="006979A7"/>
    <w:rsid w:val="00697A49"/>
    <w:rsid w:val="00697F84"/>
    <w:rsid w:val="006A0110"/>
    <w:rsid w:val="006A0352"/>
    <w:rsid w:val="006A03C2"/>
    <w:rsid w:val="006A05C5"/>
    <w:rsid w:val="006A0775"/>
    <w:rsid w:val="006A081C"/>
    <w:rsid w:val="006A0843"/>
    <w:rsid w:val="006A0B86"/>
    <w:rsid w:val="006A0C72"/>
    <w:rsid w:val="006A0D44"/>
    <w:rsid w:val="006A0E1B"/>
    <w:rsid w:val="006A103C"/>
    <w:rsid w:val="006A1043"/>
    <w:rsid w:val="006A10E5"/>
    <w:rsid w:val="006A1178"/>
    <w:rsid w:val="006A129D"/>
    <w:rsid w:val="006A130B"/>
    <w:rsid w:val="006A13CB"/>
    <w:rsid w:val="006A1772"/>
    <w:rsid w:val="006A17C2"/>
    <w:rsid w:val="006A1878"/>
    <w:rsid w:val="006A1AB2"/>
    <w:rsid w:val="006A1C8A"/>
    <w:rsid w:val="006A1D07"/>
    <w:rsid w:val="006A1E21"/>
    <w:rsid w:val="006A2279"/>
    <w:rsid w:val="006A22A8"/>
    <w:rsid w:val="006A230D"/>
    <w:rsid w:val="006A2569"/>
    <w:rsid w:val="006A25DD"/>
    <w:rsid w:val="006A273E"/>
    <w:rsid w:val="006A2AA3"/>
    <w:rsid w:val="006A2BD3"/>
    <w:rsid w:val="006A2E65"/>
    <w:rsid w:val="006A3381"/>
    <w:rsid w:val="006A3483"/>
    <w:rsid w:val="006A35B4"/>
    <w:rsid w:val="006A37A0"/>
    <w:rsid w:val="006A38BA"/>
    <w:rsid w:val="006A3A6F"/>
    <w:rsid w:val="006A3F66"/>
    <w:rsid w:val="006A40D7"/>
    <w:rsid w:val="006A412B"/>
    <w:rsid w:val="006A419D"/>
    <w:rsid w:val="006A42BD"/>
    <w:rsid w:val="006A43BE"/>
    <w:rsid w:val="006A4427"/>
    <w:rsid w:val="006A448B"/>
    <w:rsid w:val="006A473A"/>
    <w:rsid w:val="006A47F8"/>
    <w:rsid w:val="006A4A73"/>
    <w:rsid w:val="006A4A7E"/>
    <w:rsid w:val="006A4BDB"/>
    <w:rsid w:val="006A4C12"/>
    <w:rsid w:val="006A4C21"/>
    <w:rsid w:val="006A4D99"/>
    <w:rsid w:val="006A4E8A"/>
    <w:rsid w:val="006A5733"/>
    <w:rsid w:val="006A5761"/>
    <w:rsid w:val="006A5763"/>
    <w:rsid w:val="006A5D45"/>
    <w:rsid w:val="006A5FF3"/>
    <w:rsid w:val="006A60D4"/>
    <w:rsid w:val="006A6259"/>
    <w:rsid w:val="006A6789"/>
    <w:rsid w:val="006A6803"/>
    <w:rsid w:val="006A6988"/>
    <w:rsid w:val="006A69C2"/>
    <w:rsid w:val="006A6B00"/>
    <w:rsid w:val="006A6D53"/>
    <w:rsid w:val="006A6F6C"/>
    <w:rsid w:val="006A6FDB"/>
    <w:rsid w:val="006A748D"/>
    <w:rsid w:val="006A74AB"/>
    <w:rsid w:val="006A79AC"/>
    <w:rsid w:val="006A7B1F"/>
    <w:rsid w:val="006A7B40"/>
    <w:rsid w:val="006A7E06"/>
    <w:rsid w:val="006A7F02"/>
    <w:rsid w:val="006A7F63"/>
    <w:rsid w:val="006B0037"/>
    <w:rsid w:val="006B0330"/>
    <w:rsid w:val="006B0408"/>
    <w:rsid w:val="006B08E3"/>
    <w:rsid w:val="006B09B8"/>
    <w:rsid w:val="006B09CC"/>
    <w:rsid w:val="006B0A02"/>
    <w:rsid w:val="006B0A5B"/>
    <w:rsid w:val="006B0B6C"/>
    <w:rsid w:val="006B0C04"/>
    <w:rsid w:val="006B103A"/>
    <w:rsid w:val="006B11B2"/>
    <w:rsid w:val="006B11D4"/>
    <w:rsid w:val="006B1203"/>
    <w:rsid w:val="006B14BD"/>
    <w:rsid w:val="006B15A9"/>
    <w:rsid w:val="006B1611"/>
    <w:rsid w:val="006B1BA1"/>
    <w:rsid w:val="006B1C15"/>
    <w:rsid w:val="006B1D5A"/>
    <w:rsid w:val="006B1E26"/>
    <w:rsid w:val="006B2227"/>
    <w:rsid w:val="006B2306"/>
    <w:rsid w:val="006B247B"/>
    <w:rsid w:val="006B25B4"/>
    <w:rsid w:val="006B2811"/>
    <w:rsid w:val="006B2EF1"/>
    <w:rsid w:val="006B3024"/>
    <w:rsid w:val="006B3102"/>
    <w:rsid w:val="006B3585"/>
    <w:rsid w:val="006B3986"/>
    <w:rsid w:val="006B3C00"/>
    <w:rsid w:val="006B3C0F"/>
    <w:rsid w:val="006B3C94"/>
    <w:rsid w:val="006B3E5C"/>
    <w:rsid w:val="006B412E"/>
    <w:rsid w:val="006B420A"/>
    <w:rsid w:val="006B42E3"/>
    <w:rsid w:val="006B4371"/>
    <w:rsid w:val="006B4566"/>
    <w:rsid w:val="006B45F1"/>
    <w:rsid w:val="006B4687"/>
    <w:rsid w:val="006B47ED"/>
    <w:rsid w:val="006B4838"/>
    <w:rsid w:val="006B4A1F"/>
    <w:rsid w:val="006B4AF7"/>
    <w:rsid w:val="006B4BD3"/>
    <w:rsid w:val="006B4EDB"/>
    <w:rsid w:val="006B558C"/>
    <w:rsid w:val="006B55A2"/>
    <w:rsid w:val="006B5692"/>
    <w:rsid w:val="006B56FA"/>
    <w:rsid w:val="006B5912"/>
    <w:rsid w:val="006B5AE2"/>
    <w:rsid w:val="006B5CB5"/>
    <w:rsid w:val="006B5E6B"/>
    <w:rsid w:val="006B65BE"/>
    <w:rsid w:val="006B6661"/>
    <w:rsid w:val="006B66B8"/>
    <w:rsid w:val="006B6721"/>
    <w:rsid w:val="006B69C5"/>
    <w:rsid w:val="006B6B61"/>
    <w:rsid w:val="006B6BFB"/>
    <w:rsid w:val="006B6D2A"/>
    <w:rsid w:val="006B6EAB"/>
    <w:rsid w:val="006B6F55"/>
    <w:rsid w:val="006B70BA"/>
    <w:rsid w:val="006B731B"/>
    <w:rsid w:val="006B7538"/>
    <w:rsid w:val="006B75EA"/>
    <w:rsid w:val="006B79E4"/>
    <w:rsid w:val="006B7B20"/>
    <w:rsid w:val="006C024E"/>
    <w:rsid w:val="006C054D"/>
    <w:rsid w:val="006C06D9"/>
    <w:rsid w:val="006C0820"/>
    <w:rsid w:val="006C0968"/>
    <w:rsid w:val="006C09F1"/>
    <w:rsid w:val="006C0BD9"/>
    <w:rsid w:val="006C0C45"/>
    <w:rsid w:val="006C0E0D"/>
    <w:rsid w:val="006C0F35"/>
    <w:rsid w:val="006C0FFD"/>
    <w:rsid w:val="006C10CB"/>
    <w:rsid w:val="006C12EE"/>
    <w:rsid w:val="006C143B"/>
    <w:rsid w:val="006C1771"/>
    <w:rsid w:val="006C1BBD"/>
    <w:rsid w:val="006C1DB1"/>
    <w:rsid w:val="006C1FC8"/>
    <w:rsid w:val="006C20C9"/>
    <w:rsid w:val="006C2161"/>
    <w:rsid w:val="006C22DA"/>
    <w:rsid w:val="006C245E"/>
    <w:rsid w:val="006C254A"/>
    <w:rsid w:val="006C2746"/>
    <w:rsid w:val="006C27EA"/>
    <w:rsid w:val="006C2B0C"/>
    <w:rsid w:val="006C2C04"/>
    <w:rsid w:val="006C2E70"/>
    <w:rsid w:val="006C32D2"/>
    <w:rsid w:val="006C34A8"/>
    <w:rsid w:val="006C34E4"/>
    <w:rsid w:val="006C3809"/>
    <w:rsid w:val="006C3813"/>
    <w:rsid w:val="006C3BEF"/>
    <w:rsid w:val="006C3DB3"/>
    <w:rsid w:val="006C429B"/>
    <w:rsid w:val="006C42B9"/>
    <w:rsid w:val="006C4356"/>
    <w:rsid w:val="006C43E0"/>
    <w:rsid w:val="006C440F"/>
    <w:rsid w:val="006C446D"/>
    <w:rsid w:val="006C44D1"/>
    <w:rsid w:val="006C476D"/>
    <w:rsid w:val="006C4A79"/>
    <w:rsid w:val="006C4B67"/>
    <w:rsid w:val="006C4D4F"/>
    <w:rsid w:val="006C4DAB"/>
    <w:rsid w:val="006C5153"/>
    <w:rsid w:val="006C52DE"/>
    <w:rsid w:val="006C5363"/>
    <w:rsid w:val="006C5504"/>
    <w:rsid w:val="006C555A"/>
    <w:rsid w:val="006C5624"/>
    <w:rsid w:val="006C593A"/>
    <w:rsid w:val="006C597A"/>
    <w:rsid w:val="006C5B1A"/>
    <w:rsid w:val="006C5BEC"/>
    <w:rsid w:val="006C5EA0"/>
    <w:rsid w:val="006C6031"/>
    <w:rsid w:val="006C6067"/>
    <w:rsid w:val="006C622B"/>
    <w:rsid w:val="006C6468"/>
    <w:rsid w:val="006C66D3"/>
    <w:rsid w:val="006C69C7"/>
    <w:rsid w:val="006C6A01"/>
    <w:rsid w:val="006C6BE0"/>
    <w:rsid w:val="006C6C6F"/>
    <w:rsid w:val="006C6CD8"/>
    <w:rsid w:val="006C6CEA"/>
    <w:rsid w:val="006C6FE0"/>
    <w:rsid w:val="006C73BF"/>
    <w:rsid w:val="006C74F9"/>
    <w:rsid w:val="006C7516"/>
    <w:rsid w:val="006C7609"/>
    <w:rsid w:val="006C77CF"/>
    <w:rsid w:val="006C7C0C"/>
    <w:rsid w:val="006C7C70"/>
    <w:rsid w:val="006C7F18"/>
    <w:rsid w:val="006C7FDB"/>
    <w:rsid w:val="006D00B8"/>
    <w:rsid w:val="006D01C3"/>
    <w:rsid w:val="006D02BB"/>
    <w:rsid w:val="006D0713"/>
    <w:rsid w:val="006D07DF"/>
    <w:rsid w:val="006D0826"/>
    <w:rsid w:val="006D0AEE"/>
    <w:rsid w:val="006D0E7D"/>
    <w:rsid w:val="006D10EC"/>
    <w:rsid w:val="006D1138"/>
    <w:rsid w:val="006D125E"/>
    <w:rsid w:val="006D12C2"/>
    <w:rsid w:val="006D131D"/>
    <w:rsid w:val="006D135B"/>
    <w:rsid w:val="006D1477"/>
    <w:rsid w:val="006D16F8"/>
    <w:rsid w:val="006D17B2"/>
    <w:rsid w:val="006D17E3"/>
    <w:rsid w:val="006D1AEA"/>
    <w:rsid w:val="006D1BD5"/>
    <w:rsid w:val="006D22DC"/>
    <w:rsid w:val="006D2347"/>
    <w:rsid w:val="006D236A"/>
    <w:rsid w:val="006D25CB"/>
    <w:rsid w:val="006D2824"/>
    <w:rsid w:val="006D2CB1"/>
    <w:rsid w:val="006D2D08"/>
    <w:rsid w:val="006D2D66"/>
    <w:rsid w:val="006D2EFF"/>
    <w:rsid w:val="006D304D"/>
    <w:rsid w:val="006D32B4"/>
    <w:rsid w:val="006D3594"/>
    <w:rsid w:val="006D368D"/>
    <w:rsid w:val="006D37CE"/>
    <w:rsid w:val="006D394C"/>
    <w:rsid w:val="006D399B"/>
    <w:rsid w:val="006D3A7E"/>
    <w:rsid w:val="006D3BB4"/>
    <w:rsid w:val="006D3CD3"/>
    <w:rsid w:val="006D3CD8"/>
    <w:rsid w:val="006D3D35"/>
    <w:rsid w:val="006D3DF0"/>
    <w:rsid w:val="006D3DFA"/>
    <w:rsid w:val="006D3E23"/>
    <w:rsid w:val="006D3E44"/>
    <w:rsid w:val="006D3F52"/>
    <w:rsid w:val="006D3F9C"/>
    <w:rsid w:val="006D3FD2"/>
    <w:rsid w:val="006D425C"/>
    <w:rsid w:val="006D431C"/>
    <w:rsid w:val="006D487D"/>
    <w:rsid w:val="006D49F3"/>
    <w:rsid w:val="006D4B4B"/>
    <w:rsid w:val="006D4C7D"/>
    <w:rsid w:val="006D4CC0"/>
    <w:rsid w:val="006D4EC9"/>
    <w:rsid w:val="006D51F6"/>
    <w:rsid w:val="006D555D"/>
    <w:rsid w:val="006D5AEC"/>
    <w:rsid w:val="006D5BD5"/>
    <w:rsid w:val="006D5BF0"/>
    <w:rsid w:val="006D5CE4"/>
    <w:rsid w:val="006D5D5F"/>
    <w:rsid w:val="006D62D0"/>
    <w:rsid w:val="006D64B2"/>
    <w:rsid w:val="006D6788"/>
    <w:rsid w:val="006D6898"/>
    <w:rsid w:val="006D6EEB"/>
    <w:rsid w:val="006D7411"/>
    <w:rsid w:val="006D76A7"/>
    <w:rsid w:val="006D7D64"/>
    <w:rsid w:val="006E0163"/>
    <w:rsid w:val="006E0208"/>
    <w:rsid w:val="006E0243"/>
    <w:rsid w:val="006E08F1"/>
    <w:rsid w:val="006E0A1B"/>
    <w:rsid w:val="006E0C9C"/>
    <w:rsid w:val="006E0D93"/>
    <w:rsid w:val="006E1264"/>
    <w:rsid w:val="006E141D"/>
    <w:rsid w:val="006E163F"/>
    <w:rsid w:val="006E1873"/>
    <w:rsid w:val="006E1874"/>
    <w:rsid w:val="006E197E"/>
    <w:rsid w:val="006E199F"/>
    <w:rsid w:val="006E1A11"/>
    <w:rsid w:val="006E1AE3"/>
    <w:rsid w:val="006E1B35"/>
    <w:rsid w:val="006E1B9E"/>
    <w:rsid w:val="006E1E49"/>
    <w:rsid w:val="006E238F"/>
    <w:rsid w:val="006E2741"/>
    <w:rsid w:val="006E28A2"/>
    <w:rsid w:val="006E2ED0"/>
    <w:rsid w:val="006E2FB5"/>
    <w:rsid w:val="006E311E"/>
    <w:rsid w:val="006E3293"/>
    <w:rsid w:val="006E32E9"/>
    <w:rsid w:val="006E34BD"/>
    <w:rsid w:val="006E3510"/>
    <w:rsid w:val="006E35DE"/>
    <w:rsid w:val="006E396F"/>
    <w:rsid w:val="006E3BE8"/>
    <w:rsid w:val="006E3E45"/>
    <w:rsid w:val="006E3F44"/>
    <w:rsid w:val="006E4154"/>
    <w:rsid w:val="006E425B"/>
    <w:rsid w:val="006E444D"/>
    <w:rsid w:val="006E4562"/>
    <w:rsid w:val="006E4D1E"/>
    <w:rsid w:val="006E4D4E"/>
    <w:rsid w:val="006E4D6D"/>
    <w:rsid w:val="006E4DF7"/>
    <w:rsid w:val="006E4E21"/>
    <w:rsid w:val="006E4F78"/>
    <w:rsid w:val="006E4FC2"/>
    <w:rsid w:val="006E50F5"/>
    <w:rsid w:val="006E5A87"/>
    <w:rsid w:val="006E62D6"/>
    <w:rsid w:val="006E660E"/>
    <w:rsid w:val="006E6965"/>
    <w:rsid w:val="006E6968"/>
    <w:rsid w:val="006E6C52"/>
    <w:rsid w:val="006E6DCE"/>
    <w:rsid w:val="006E6E0F"/>
    <w:rsid w:val="006E6F6F"/>
    <w:rsid w:val="006E745F"/>
    <w:rsid w:val="006E7471"/>
    <w:rsid w:val="006E75AE"/>
    <w:rsid w:val="006E761B"/>
    <w:rsid w:val="006E7635"/>
    <w:rsid w:val="006E76BD"/>
    <w:rsid w:val="006E7760"/>
    <w:rsid w:val="006E780D"/>
    <w:rsid w:val="006E7AC7"/>
    <w:rsid w:val="006E7B0D"/>
    <w:rsid w:val="006E7B78"/>
    <w:rsid w:val="006E7B80"/>
    <w:rsid w:val="006E7CF5"/>
    <w:rsid w:val="006E7FF4"/>
    <w:rsid w:val="006F00ED"/>
    <w:rsid w:val="006F011C"/>
    <w:rsid w:val="006F032D"/>
    <w:rsid w:val="006F03CF"/>
    <w:rsid w:val="006F0819"/>
    <w:rsid w:val="006F09E9"/>
    <w:rsid w:val="006F09EF"/>
    <w:rsid w:val="006F0C60"/>
    <w:rsid w:val="006F0D65"/>
    <w:rsid w:val="006F0EAC"/>
    <w:rsid w:val="006F0F97"/>
    <w:rsid w:val="006F10F3"/>
    <w:rsid w:val="006F1457"/>
    <w:rsid w:val="006F1519"/>
    <w:rsid w:val="006F157F"/>
    <w:rsid w:val="006F19A6"/>
    <w:rsid w:val="006F19DE"/>
    <w:rsid w:val="006F1B87"/>
    <w:rsid w:val="006F1BE3"/>
    <w:rsid w:val="006F1E8D"/>
    <w:rsid w:val="006F1E9B"/>
    <w:rsid w:val="006F1EC5"/>
    <w:rsid w:val="006F2091"/>
    <w:rsid w:val="006F2097"/>
    <w:rsid w:val="006F2699"/>
    <w:rsid w:val="006F28E1"/>
    <w:rsid w:val="006F299B"/>
    <w:rsid w:val="006F29B5"/>
    <w:rsid w:val="006F29C8"/>
    <w:rsid w:val="006F2A67"/>
    <w:rsid w:val="006F2B35"/>
    <w:rsid w:val="006F2C8E"/>
    <w:rsid w:val="006F2D8E"/>
    <w:rsid w:val="006F2E27"/>
    <w:rsid w:val="006F3060"/>
    <w:rsid w:val="006F314A"/>
    <w:rsid w:val="006F34B6"/>
    <w:rsid w:val="006F351C"/>
    <w:rsid w:val="006F3566"/>
    <w:rsid w:val="006F3667"/>
    <w:rsid w:val="006F37A1"/>
    <w:rsid w:val="006F3927"/>
    <w:rsid w:val="006F3F4B"/>
    <w:rsid w:val="006F4034"/>
    <w:rsid w:val="006F4066"/>
    <w:rsid w:val="006F43A9"/>
    <w:rsid w:val="006F45A1"/>
    <w:rsid w:val="006F491A"/>
    <w:rsid w:val="006F4A1B"/>
    <w:rsid w:val="006F4CF7"/>
    <w:rsid w:val="006F4DE9"/>
    <w:rsid w:val="006F51D7"/>
    <w:rsid w:val="006F5206"/>
    <w:rsid w:val="006F5519"/>
    <w:rsid w:val="006F5536"/>
    <w:rsid w:val="006F55EB"/>
    <w:rsid w:val="006F56C5"/>
    <w:rsid w:val="006F58CE"/>
    <w:rsid w:val="006F598E"/>
    <w:rsid w:val="006F5AD6"/>
    <w:rsid w:val="006F5B57"/>
    <w:rsid w:val="006F5BA8"/>
    <w:rsid w:val="006F5D63"/>
    <w:rsid w:val="006F5DA6"/>
    <w:rsid w:val="006F5E56"/>
    <w:rsid w:val="006F5EF8"/>
    <w:rsid w:val="006F6061"/>
    <w:rsid w:val="006F6131"/>
    <w:rsid w:val="006F6811"/>
    <w:rsid w:val="006F6C08"/>
    <w:rsid w:val="006F6D13"/>
    <w:rsid w:val="006F6ED0"/>
    <w:rsid w:val="006F6FF0"/>
    <w:rsid w:val="006F7009"/>
    <w:rsid w:val="006F73F4"/>
    <w:rsid w:val="006F76E2"/>
    <w:rsid w:val="006F77F0"/>
    <w:rsid w:val="006F7968"/>
    <w:rsid w:val="006F7A37"/>
    <w:rsid w:val="006F7B41"/>
    <w:rsid w:val="006F7C25"/>
    <w:rsid w:val="006F7D7A"/>
    <w:rsid w:val="0070000F"/>
    <w:rsid w:val="007000BD"/>
    <w:rsid w:val="007003F7"/>
    <w:rsid w:val="007007F1"/>
    <w:rsid w:val="007008A7"/>
    <w:rsid w:val="007009EB"/>
    <w:rsid w:val="00700A4C"/>
    <w:rsid w:val="00700C0B"/>
    <w:rsid w:val="00701313"/>
    <w:rsid w:val="00701652"/>
    <w:rsid w:val="00701746"/>
    <w:rsid w:val="007017C6"/>
    <w:rsid w:val="00702099"/>
    <w:rsid w:val="0070218B"/>
    <w:rsid w:val="007025A5"/>
    <w:rsid w:val="00702902"/>
    <w:rsid w:val="00702986"/>
    <w:rsid w:val="00702A5B"/>
    <w:rsid w:val="00702B6B"/>
    <w:rsid w:val="00702C7A"/>
    <w:rsid w:val="00702F83"/>
    <w:rsid w:val="0070305A"/>
    <w:rsid w:val="0070320B"/>
    <w:rsid w:val="00703258"/>
    <w:rsid w:val="00703696"/>
    <w:rsid w:val="00703815"/>
    <w:rsid w:val="00703945"/>
    <w:rsid w:val="00703BDD"/>
    <w:rsid w:val="00703CB0"/>
    <w:rsid w:val="0070476F"/>
    <w:rsid w:val="007047E3"/>
    <w:rsid w:val="00704937"/>
    <w:rsid w:val="00704CE3"/>
    <w:rsid w:val="00704DCB"/>
    <w:rsid w:val="00704EEE"/>
    <w:rsid w:val="007050C1"/>
    <w:rsid w:val="007051B4"/>
    <w:rsid w:val="00705266"/>
    <w:rsid w:val="00705286"/>
    <w:rsid w:val="007053BF"/>
    <w:rsid w:val="0070569F"/>
    <w:rsid w:val="007059C3"/>
    <w:rsid w:val="00705C30"/>
    <w:rsid w:val="00705C55"/>
    <w:rsid w:val="00705CAC"/>
    <w:rsid w:val="00705D03"/>
    <w:rsid w:val="00705D4F"/>
    <w:rsid w:val="00705F09"/>
    <w:rsid w:val="0070616F"/>
    <w:rsid w:val="007063D7"/>
    <w:rsid w:val="00706583"/>
    <w:rsid w:val="007067E6"/>
    <w:rsid w:val="00706893"/>
    <w:rsid w:val="0070694A"/>
    <w:rsid w:val="00706B59"/>
    <w:rsid w:val="00706D5A"/>
    <w:rsid w:val="00706E78"/>
    <w:rsid w:val="00706EF8"/>
    <w:rsid w:val="00706F13"/>
    <w:rsid w:val="00706F1E"/>
    <w:rsid w:val="00707074"/>
    <w:rsid w:val="0070708C"/>
    <w:rsid w:val="00707216"/>
    <w:rsid w:val="00707243"/>
    <w:rsid w:val="007073A4"/>
    <w:rsid w:val="007073B0"/>
    <w:rsid w:val="0070765A"/>
    <w:rsid w:val="00707718"/>
    <w:rsid w:val="00707D4A"/>
    <w:rsid w:val="00707DD4"/>
    <w:rsid w:val="00710461"/>
    <w:rsid w:val="00710632"/>
    <w:rsid w:val="007109B4"/>
    <w:rsid w:val="00710A91"/>
    <w:rsid w:val="00710BE8"/>
    <w:rsid w:val="00710C6F"/>
    <w:rsid w:val="00710F35"/>
    <w:rsid w:val="00711033"/>
    <w:rsid w:val="00711270"/>
    <w:rsid w:val="007112EF"/>
    <w:rsid w:val="007114F1"/>
    <w:rsid w:val="007116E6"/>
    <w:rsid w:val="00711847"/>
    <w:rsid w:val="00711928"/>
    <w:rsid w:val="00711C4C"/>
    <w:rsid w:val="00711CF0"/>
    <w:rsid w:val="00711D52"/>
    <w:rsid w:val="00711E9E"/>
    <w:rsid w:val="00711F00"/>
    <w:rsid w:val="00711F3D"/>
    <w:rsid w:val="00712157"/>
    <w:rsid w:val="007122A8"/>
    <w:rsid w:val="007122B6"/>
    <w:rsid w:val="007122C6"/>
    <w:rsid w:val="0071233D"/>
    <w:rsid w:val="007126BB"/>
    <w:rsid w:val="0071289B"/>
    <w:rsid w:val="00712908"/>
    <w:rsid w:val="00712A32"/>
    <w:rsid w:val="00712D16"/>
    <w:rsid w:val="00712E5D"/>
    <w:rsid w:val="00713475"/>
    <w:rsid w:val="00713FF7"/>
    <w:rsid w:val="00714137"/>
    <w:rsid w:val="00714169"/>
    <w:rsid w:val="00714684"/>
    <w:rsid w:val="007146CA"/>
    <w:rsid w:val="007147A1"/>
    <w:rsid w:val="007147D0"/>
    <w:rsid w:val="00714CE1"/>
    <w:rsid w:val="00714F68"/>
    <w:rsid w:val="0071504D"/>
    <w:rsid w:val="00715090"/>
    <w:rsid w:val="00715362"/>
    <w:rsid w:val="00715486"/>
    <w:rsid w:val="00715544"/>
    <w:rsid w:val="0071568D"/>
    <w:rsid w:val="007157AD"/>
    <w:rsid w:val="00715ADF"/>
    <w:rsid w:val="00715E10"/>
    <w:rsid w:val="00715E97"/>
    <w:rsid w:val="00715F3C"/>
    <w:rsid w:val="00715FF7"/>
    <w:rsid w:val="007160BC"/>
    <w:rsid w:val="007161A2"/>
    <w:rsid w:val="0071628E"/>
    <w:rsid w:val="007162D8"/>
    <w:rsid w:val="007163B3"/>
    <w:rsid w:val="00716481"/>
    <w:rsid w:val="007166CD"/>
    <w:rsid w:val="0071682D"/>
    <w:rsid w:val="00716888"/>
    <w:rsid w:val="007168BA"/>
    <w:rsid w:val="00716AFC"/>
    <w:rsid w:val="00716BC7"/>
    <w:rsid w:val="00716EC7"/>
    <w:rsid w:val="00716EF8"/>
    <w:rsid w:val="00716F03"/>
    <w:rsid w:val="00716F4B"/>
    <w:rsid w:val="0071700E"/>
    <w:rsid w:val="00717250"/>
    <w:rsid w:val="0071735F"/>
    <w:rsid w:val="0071736D"/>
    <w:rsid w:val="007175D5"/>
    <w:rsid w:val="00717840"/>
    <w:rsid w:val="00717896"/>
    <w:rsid w:val="00717899"/>
    <w:rsid w:val="00717C70"/>
    <w:rsid w:val="00717D43"/>
    <w:rsid w:val="00720072"/>
    <w:rsid w:val="00720804"/>
    <w:rsid w:val="0072089E"/>
    <w:rsid w:val="00720E74"/>
    <w:rsid w:val="00720E78"/>
    <w:rsid w:val="00720FB0"/>
    <w:rsid w:val="007212FA"/>
    <w:rsid w:val="007215A6"/>
    <w:rsid w:val="0072167B"/>
    <w:rsid w:val="00721AC8"/>
    <w:rsid w:val="00721BF0"/>
    <w:rsid w:val="00721D9D"/>
    <w:rsid w:val="00721E82"/>
    <w:rsid w:val="00721E8F"/>
    <w:rsid w:val="00721F7B"/>
    <w:rsid w:val="0072224F"/>
    <w:rsid w:val="00722455"/>
    <w:rsid w:val="00722463"/>
    <w:rsid w:val="007224A2"/>
    <w:rsid w:val="00722551"/>
    <w:rsid w:val="007228D9"/>
    <w:rsid w:val="00722973"/>
    <w:rsid w:val="007229F8"/>
    <w:rsid w:val="007234BD"/>
    <w:rsid w:val="00723567"/>
    <w:rsid w:val="00723806"/>
    <w:rsid w:val="0072395A"/>
    <w:rsid w:val="00723C56"/>
    <w:rsid w:val="00723DF8"/>
    <w:rsid w:val="00723F1F"/>
    <w:rsid w:val="00724070"/>
    <w:rsid w:val="0072420E"/>
    <w:rsid w:val="007246F5"/>
    <w:rsid w:val="007247A6"/>
    <w:rsid w:val="007249E1"/>
    <w:rsid w:val="00724A35"/>
    <w:rsid w:val="00724A40"/>
    <w:rsid w:val="00724A42"/>
    <w:rsid w:val="00724EDC"/>
    <w:rsid w:val="00724F03"/>
    <w:rsid w:val="00724F1C"/>
    <w:rsid w:val="00725158"/>
    <w:rsid w:val="00725219"/>
    <w:rsid w:val="0072524F"/>
    <w:rsid w:val="00725460"/>
    <w:rsid w:val="00725621"/>
    <w:rsid w:val="00725705"/>
    <w:rsid w:val="00725A2E"/>
    <w:rsid w:val="00725C9C"/>
    <w:rsid w:val="00725CAF"/>
    <w:rsid w:val="00725D6C"/>
    <w:rsid w:val="00725D73"/>
    <w:rsid w:val="00725E03"/>
    <w:rsid w:val="00725FA2"/>
    <w:rsid w:val="00725FDA"/>
    <w:rsid w:val="0072605A"/>
    <w:rsid w:val="0072631E"/>
    <w:rsid w:val="007264E5"/>
    <w:rsid w:val="007265B9"/>
    <w:rsid w:val="0072685B"/>
    <w:rsid w:val="00726977"/>
    <w:rsid w:val="00726A2B"/>
    <w:rsid w:val="00726B97"/>
    <w:rsid w:val="00726CB4"/>
    <w:rsid w:val="00726CBE"/>
    <w:rsid w:val="00727024"/>
    <w:rsid w:val="007271A9"/>
    <w:rsid w:val="00727206"/>
    <w:rsid w:val="00727568"/>
    <w:rsid w:val="00727812"/>
    <w:rsid w:val="00727A55"/>
    <w:rsid w:val="00727AD8"/>
    <w:rsid w:val="00727B40"/>
    <w:rsid w:val="007300EB"/>
    <w:rsid w:val="00730251"/>
    <w:rsid w:val="007304E0"/>
    <w:rsid w:val="00730512"/>
    <w:rsid w:val="00730632"/>
    <w:rsid w:val="0073066C"/>
    <w:rsid w:val="007306E6"/>
    <w:rsid w:val="0073072C"/>
    <w:rsid w:val="00730B93"/>
    <w:rsid w:val="00730C6C"/>
    <w:rsid w:val="00730EC3"/>
    <w:rsid w:val="00730EC5"/>
    <w:rsid w:val="00730F59"/>
    <w:rsid w:val="00730F7D"/>
    <w:rsid w:val="007310B6"/>
    <w:rsid w:val="00731277"/>
    <w:rsid w:val="00731337"/>
    <w:rsid w:val="0073155B"/>
    <w:rsid w:val="0073177A"/>
    <w:rsid w:val="007319C6"/>
    <w:rsid w:val="00731BCA"/>
    <w:rsid w:val="00731BEE"/>
    <w:rsid w:val="00731FE0"/>
    <w:rsid w:val="00732209"/>
    <w:rsid w:val="00732287"/>
    <w:rsid w:val="0073259F"/>
    <w:rsid w:val="00732707"/>
    <w:rsid w:val="00732780"/>
    <w:rsid w:val="00732792"/>
    <w:rsid w:val="00732D1C"/>
    <w:rsid w:val="00732DE5"/>
    <w:rsid w:val="00732E22"/>
    <w:rsid w:val="00732E67"/>
    <w:rsid w:val="0073314A"/>
    <w:rsid w:val="00733230"/>
    <w:rsid w:val="00733439"/>
    <w:rsid w:val="00733769"/>
    <w:rsid w:val="00733770"/>
    <w:rsid w:val="007337F3"/>
    <w:rsid w:val="00733837"/>
    <w:rsid w:val="00733A0E"/>
    <w:rsid w:val="00733A1F"/>
    <w:rsid w:val="00733B66"/>
    <w:rsid w:val="00733D6F"/>
    <w:rsid w:val="00733E39"/>
    <w:rsid w:val="00734047"/>
    <w:rsid w:val="007340A1"/>
    <w:rsid w:val="00734130"/>
    <w:rsid w:val="00734302"/>
    <w:rsid w:val="007344FA"/>
    <w:rsid w:val="00734540"/>
    <w:rsid w:val="00734558"/>
    <w:rsid w:val="0073475C"/>
    <w:rsid w:val="00734C89"/>
    <w:rsid w:val="00734DC1"/>
    <w:rsid w:val="00734E93"/>
    <w:rsid w:val="00734F88"/>
    <w:rsid w:val="007354C8"/>
    <w:rsid w:val="0073569C"/>
    <w:rsid w:val="007358A3"/>
    <w:rsid w:val="007358F4"/>
    <w:rsid w:val="00735A7E"/>
    <w:rsid w:val="00735B75"/>
    <w:rsid w:val="00735D00"/>
    <w:rsid w:val="007365AA"/>
    <w:rsid w:val="0073684B"/>
    <w:rsid w:val="007368BC"/>
    <w:rsid w:val="007368C5"/>
    <w:rsid w:val="007368E9"/>
    <w:rsid w:val="007369AD"/>
    <w:rsid w:val="00736C63"/>
    <w:rsid w:val="00736C6A"/>
    <w:rsid w:val="00736CF0"/>
    <w:rsid w:val="00737892"/>
    <w:rsid w:val="007379A4"/>
    <w:rsid w:val="00737E7D"/>
    <w:rsid w:val="00737EA3"/>
    <w:rsid w:val="00737EF0"/>
    <w:rsid w:val="0074028F"/>
    <w:rsid w:val="007403E4"/>
    <w:rsid w:val="0074081B"/>
    <w:rsid w:val="007408BE"/>
    <w:rsid w:val="0074090C"/>
    <w:rsid w:val="0074094E"/>
    <w:rsid w:val="0074099F"/>
    <w:rsid w:val="00740A3F"/>
    <w:rsid w:val="00740D75"/>
    <w:rsid w:val="00740E15"/>
    <w:rsid w:val="00740F55"/>
    <w:rsid w:val="0074101F"/>
    <w:rsid w:val="00741E80"/>
    <w:rsid w:val="007420DE"/>
    <w:rsid w:val="00742109"/>
    <w:rsid w:val="00742330"/>
    <w:rsid w:val="007424E8"/>
    <w:rsid w:val="007425D8"/>
    <w:rsid w:val="007427F5"/>
    <w:rsid w:val="00742CED"/>
    <w:rsid w:val="00742E67"/>
    <w:rsid w:val="00742F32"/>
    <w:rsid w:val="00743044"/>
    <w:rsid w:val="007430A0"/>
    <w:rsid w:val="007432A7"/>
    <w:rsid w:val="00743427"/>
    <w:rsid w:val="00743803"/>
    <w:rsid w:val="00743889"/>
    <w:rsid w:val="007438CB"/>
    <w:rsid w:val="007438E5"/>
    <w:rsid w:val="00743A21"/>
    <w:rsid w:val="00743BD2"/>
    <w:rsid w:val="00743E54"/>
    <w:rsid w:val="00743EFC"/>
    <w:rsid w:val="00743FBC"/>
    <w:rsid w:val="00744183"/>
    <w:rsid w:val="007441EF"/>
    <w:rsid w:val="007444AE"/>
    <w:rsid w:val="007444CB"/>
    <w:rsid w:val="00744523"/>
    <w:rsid w:val="007447C7"/>
    <w:rsid w:val="007448BB"/>
    <w:rsid w:val="007448C7"/>
    <w:rsid w:val="00744AAF"/>
    <w:rsid w:val="00744AC1"/>
    <w:rsid w:val="00744B09"/>
    <w:rsid w:val="00744BE2"/>
    <w:rsid w:val="00744CF6"/>
    <w:rsid w:val="00744D59"/>
    <w:rsid w:val="00745459"/>
    <w:rsid w:val="00745585"/>
    <w:rsid w:val="00745610"/>
    <w:rsid w:val="00745668"/>
    <w:rsid w:val="007457A4"/>
    <w:rsid w:val="00745828"/>
    <w:rsid w:val="00745B74"/>
    <w:rsid w:val="00745C41"/>
    <w:rsid w:val="00745C53"/>
    <w:rsid w:val="00745D16"/>
    <w:rsid w:val="00745EA9"/>
    <w:rsid w:val="00745F26"/>
    <w:rsid w:val="00746011"/>
    <w:rsid w:val="00746457"/>
    <w:rsid w:val="007465CD"/>
    <w:rsid w:val="00746669"/>
    <w:rsid w:val="0074668E"/>
    <w:rsid w:val="00746721"/>
    <w:rsid w:val="00746914"/>
    <w:rsid w:val="00746A3A"/>
    <w:rsid w:val="00746B61"/>
    <w:rsid w:val="00746D81"/>
    <w:rsid w:val="00746FAF"/>
    <w:rsid w:val="00747100"/>
    <w:rsid w:val="00747525"/>
    <w:rsid w:val="00747680"/>
    <w:rsid w:val="0074797B"/>
    <w:rsid w:val="007479B2"/>
    <w:rsid w:val="00747A8E"/>
    <w:rsid w:val="00747DCB"/>
    <w:rsid w:val="0075009A"/>
    <w:rsid w:val="00750205"/>
    <w:rsid w:val="007502A5"/>
    <w:rsid w:val="007505B2"/>
    <w:rsid w:val="007506D5"/>
    <w:rsid w:val="0075087E"/>
    <w:rsid w:val="00750923"/>
    <w:rsid w:val="00750D72"/>
    <w:rsid w:val="00751154"/>
    <w:rsid w:val="007512AE"/>
    <w:rsid w:val="00751360"/>
    <w:rsid w:val="00751443"/>
    <w:rsid w:val="0075148E"/>
    <w:rsid w:val="00751533"/>
    <w:rsid w:val="00751A86"/>
    <w:rsid w:val="00751BE4"/>
    <w:rsid w:val="00751C6F"/>
    <w:rsid w:val="0075248B"/>
    <w:rsid w:val="00752620"/>
    <w:rsid w:val="007527F0"/>
    <w:rsid w:val="00752917"/>
    <w:rsid w:val="00752948"/>
    <w:rsid w:val="00752BF2"/>
    <w:rsid w:val="00752DE5"/>
    <w:rsid w:val="00752FFB"/>
    <w:rsid w:val="007530A2"/>
    <w:rsid w:val="00753273"/>
    <w:rsid w:val="0075336B"/>
    <w:rsid w:val="0075340D"/>
    <w:rsid w:val="007534B2"/>
    <w:rsid w:val="0075391F"/>
    <w:rsid w:val="00753974"/>
    <w:rsid w:val="00753993"/>
    <w:rsid w:val="00753D37"/>
    <w:rsid w:val="00754425"/>
    <w:rsid w:val="0075442E"/>
    <w:rsid w:val="0075449A"/>
    <w:rsid w:val="007544CD"/>
    <w:rsid w:val="00754606"/>
    <w:rsid w:val="0075499A"/>
    <w:rsid w:val="00754AA4"/>
    <w:rsid w:val="00754E66"/>
    <w:rsid w:val="007550E5"/>
    <w:rsid w:val="0075522B"/>
    <w:rsid w:val="00755293"/>
    <w:rsid w:val="007552BC"/>
    <w:rsid w:val="0075542F"/>
    <w:rsid w:val="00755725"/>
    <w:rsid w:val="007557F5"/>
    <w:rsid w:val="00755C41"/>
    <w:rsid w:val="00755D82"/>
    <w:rsid w:val="00755DDF"/>
    <w:rsid w:val="007561F3"/>
    <w:rsid w:val="00756496"/>
    <w:rsid w:val="007568B7"/>
    <w:rsid w:val="007569B7"/>
    <w:rsid w:val="00756A6E"/>
    <w:rsid w:val="00756E16"/>
    <w:rsid w:val="00757490"/>
    <w:rsid w:val="00757572"/>
    <w:rsid w:val="00757DD6"/>
    <w:rsid w:val="00757E18"/>
    <w:rsid w:val="00757F03"/>
    <w:rsid w:val="00757F9F"/>
    <w:rsid w:val="00757FF5"/>
    <w:rsid w:val="0076001D"/>
    <w:rsid w:val="0076061F"/>
    <w:rsid w:val="0076078C"/>
    <w:rsid w:val="00760975"/>
    <w:rsid w:val="00760A1E"/>
    <w:rsid w:val="00760C20"/>
    <w:rsid w:val="00760C67"/>
    <w:rsid w:val="00760CA6"/>
    <w:rsid w:val="00760D6A"/>
    <w:rsid w:val="00760E0C"/>
    <w:rsid w:val="00760E6D"/>
    <w:rsid w:val="00760F15"/>
    <w:rsid w:val="00760F87"/>
    <w:rsid w:val="00760FF2"/>
    <w:rsid w:val="007611DA"/>
    <w:rsid w:val="0076128A"/>
    <w:rsid w:val="00761C86"/>
    <w:rsid w:val="00761CA6"/>
    <w:rsid w:val="007621CE"/>
    <w:rsid w:val="007625F7"/>
    <w:rsid w:val="007627C9"/>
    <w:rsid w:val="00762CC1"/>
    <w:rsid w:val="00762E10"/>
    <w:rsid w:val="00763587"/>
    <w:rsid w:val="0076358B"/>
    <w:rsid w:val="007636D9"/>
    <w:rsid w:val="00763D17"/>
    <w:rsid w:val="0076431A"/>
    <w:rsid w:val="007643CF"/>
    <w:rsid w:val="0076440D"/>
    <w:rsid w:val="0076482D"/>
    <w:rsid w:val="00764B9A"/>
    <w:rsid w:val="00764C7D"/>
    <w:rsid w:val="00764DF0"/>
    <w:rsid w:val="00764EFB"/>
    <w:rsid w:val="00764F6E"/>
    <w:rsid w:val="00765111"/>
    <w:rsid w:val="0076533C"/>
    <w:rsid w:val="007653A9"/>
    <w:rsid w:val="007655B2"/>
    <w:rsid w:val="007655D4"/>
    <w:rsid w:val="00765604"/>
    <w:rsid w:val="0076560C"/>
    <w:rsid w:val="0076578A"/>
    <w:rsid w:val="00765979"/>
    <w:rsid w:val="007659B0"/>
    <w:rsid w:val="00765A88"/>
    <w:rsid w:val="00765AC7"/>
    <w:rsid w:val="00766034"/>
    <w:rsid w:val="007661C5"/>
    <w:rsid w:val="007664B7"/>
    <w:rsid w:val="007664C1"/>
    <w:rsid w:val="0076653A"/>
    <w:rsid w:val="007667BF"/>
    <w:rsid w:val="0076688A"/>
    <w:rsid w:val="00766A13"/>
    <w:rsid w:val="00766BB3"/>
    <w:rsid w:val="00766D31"/>
    <w:rsid w:val="00766D70"/>
    <w:rsid w:val="00766DBD"/>
    <w:rsid w:val="00767190"/>
    <w:rsid w:val="007672C7"/>
    <w:rsid w:val="00767621"/>
    <w:rsid w:val="00767699"/>
    <w:rsid w:val="00767C51"/>
    <w:rsid w:val="00767E07"/>
    <w:rsid w:val="00767F77"/>
    <w:rsid w:val="00767FA1"/>
    <w:rsid w:val="00767FB4"/>
    <w:rsid w:val="00767FBF"/>
    <w:rsid w:val="00767FC6"/>
    <w:rsid w:val="007700E9"/>
    <w:rsid w:val="00770432"/>
    <w:rsid w:val="00770639"/>
    <w:rsid w:val="0077067D"/>
    <w:rsid w:val="007708CA"/>
    <w:rsid w:val="00770A4F"/>
    <w:rsid w:val="00770C95"/>
    <w:rsid w:val="00770E7A"/>
    <w:rsid w:val="0077150F"/>
    <w:rsid w:val="00771532"/>
    <w:rsid w:val="007715BA"/>
    <w:rsid w:val="007716C4"/>
    <w:rsid w:val="007718A7"/>
    <w:rsid w:val="00771A20"/>
    <w:rsid w:val="00771A64"/>
    <w:rsid w:val="00771B54"/>
    <w:rsid w:val="00771F19"/>
    <w:rsid w:val="00772091"/>
    <w:rsid w:val="007723C8"/>
    <w:rsid w:val="00772439"/>
    <w:rsid w:val="0077244B"/>
    <w:rsid w:val="007724B9"/>
    <w:rsid w:val="007724FA"/>
    <w:rsid w:val="00772500"/>
    <w:rsid w:val="00772673"/>
    <w:rsid w:val="00772873"/>
    <w:rsid w:val="00772947"/>
    <w:rsid w:val="00772B6F"/>
    <w:rsid w:val="00772BF1"/>
    <w:rsid w:val="00772C35"/>
    <w:rsid w:val="00773301"/>
    <w:rsid w:val="007735B9"/>
    <w:rsid w:val="00773666"/>
    <w:rsid w:val="0077381D"/>
    <w:rsid w:val="00773A36"/>
    <w:rsid w:val="00773A87"/>
    <w:rsid w:val="00773AD2"/>
    <w:rsid w:val="00773C19"/>
    <w:rsid w:val="00773C54"/>
    <w:rsid w:val="00773D6F"/>
    <w:rsid w:val="00773D94"/>
    <w:rsid w:val="00773FB7"/>
    <w:rsid w:val="00774258"/>
    <w:rsid w:val="007742CB"/>
    <w:rsid w:val="00774688"/>
    <w:rsid w:val="007746EC"/>
    <w:rsid w:val="00774802"/>
    <w:rsid w:val="0077499D"/>
    <w:rsid w:val="007749CA"/>
    <w:rsid w:val="007749D8"/>
    <w:rsid w:val="00774C55"/>
    <w:rsid w:val="00774DF3"/>
    <w:rsid w:val="00774ECE"/>
    <w:rsid w:val="00775134"/>
    <w:rsid w:val="00775450"/>
    <w:rsid w:val="007756A8"/>
    <w:rsid w:val="00775AA5"/>
    <w:rsid w:val="00775CA3"/>
    <w:rsid w:val="007760D2"/>
    <w:rsid w:val="007762B3"/>
    <w:rsid w:val="00776304"/>
    <w:rsid w:val="00776455"/>
    <w:rsid w:val="007764FA"/>
    <w:rsid w:val="00776502"/>
    <w:rsid w:val="00776795"/>
    <w:rsid w:val="0077689D"/>
    <w:rsid w:val="007768B5"/>
    <w:rsid w:val="00776A48"/>
    <w:rsid w:val="00776BDF"/>
    <w:rsid w:val="00776BE6"/>
    <w:rsid w:val="00776C52"/>
    <w:rsid w:val="00776C6B"/>
    <w:rsid w:val="00776D2F"/>
    <w:rsid w:val="00776ED2"/>
    <w:rsid w:val="00776FB6"/>
    <w:rsid w:val="007770E1"/>
    <w:rsid w:val="007773FA"/>
    <w:rsid w:val="0077745C"/>
    <w:rsid w:val="0077756C"/>
    <w:rsid w:val="00777B21"/>
    <w:rsid w:val="00777C92"/>
    <w:rsid w:val="00777E66"/>
    <w:rsid w:val="00777FB6"/>
    <w:rsid w:val="00780204"/>
    <w:rsid w:val="00780207"/>
    <w:rsid w:val="0078024B"/>
    <w:rsid w:val="00780263"/>
    <w:rsid w:val="007804BD"/>
    <w:rsid w:val="00780641"/>
    <w:rsid w:val="007808C3"/>
    <w:rsid w:val="00780CBA"/>
    <w:rsid w:val="00780DDB"/>
    <w:rsid w:val="00780F07"/>
    <w:rsid w:val="007810CE"/>
    <w:rsid w:val="007810F9"/>
    <w:rsid w:val="00781389"/>
    <w:rsid w:val="00781454"/>
    <w:rsid w:val="00781D15"/>
    <w:rsid w:val="00781D57"/>
    <w:rsid w:val="00781E5E"/>
    <w:rsid w:val="0078204B"/>
    <w:rsid w:val="00782124"/>
    <w:rsid w:val="007821D4"/>
    <w:rsid w:val="0078244B"/>
    <w:rsid w:val="0078249C"/>
    <w:rsid w:val="007827C3"/>
    <w:rsid w:val="007828CD"/>
    <w:rsid w:val="00782AA7"/>
    <w:rsid w:val="00782D4C"/>
    <w:rsid w:val="00782EF7"/>
    <w:rsid w:val="007830D3"/>
    <w:rsid w:val="007833AA"/>
    <w:rsid w:val="007833E6"/>
    <w:rsid w:val="00783A19"/>
    <w:rsid w:val="00783EEC"/>
    <w:rsid w:val="00783F88"/>
    <w:rsid w:val="007840D1"/>
    <w:rsid w:val="007841BF"/>
    <w:rsid w:val="00784245"/>
    <w:rsid w:val="007846A8"/>
    <w:rsid w:val="007849BF"/>
    <w:rsid w:val="007849F5"/>
    <w:rsid w:val="00784DCC"/>
    <w:rsid w:val="00784E27"/>
    <w:rsid w:val="00784FBB"/>
    <w:rsid w:val="00785014"/>
    <w:rsid w:val="00785289"/>
    <w:rsid w:val="0078547A"/>
    <w:rsid w:val="007854DE"/>
    <w:rsid w:val="0078559E"/>
    <w:rsid w:val="007855D8"/>
    <w:rsid w:val="007857F7"/>
    <w:rsid w:val="00785940"/>
    <w:rsid w:val="007859C0"/>
    <w:rsid w:val="007861BA"/>
    <w:rsid w:val="007864A1"/>
    <w:rsid w:val="00786573"/>
    <w:rsid w:val="0078658B"/>
    <w:rsid w:val="00786877"/>
    <w:rsid w:val="00786929"/>
    <w:rsid w:val="00786A2C"/>
    <w:rsid w:val="00786A69"/>
    <w:rsid w:val="00786CB0"/>
    <w:rsid w:val="00786D29"/>
    <w:rsid w:val="00786D8E"/>
    <w:rsid w:val="00786FBE"/>
    <w:rsid w:val="00786FD4"/>
    <w:rsid w:val="00787105"/>
    <w:rsid w:val="00787288"/>
    <w:rsid w:val="007874DA"/>
    <w:rsid w:val="007876BF"/>
    <w:rsid w:val="00787DED"/>
    <w:rsid w:val="00787E53"/>
    <w:rsid w:val="00787F52"/>
    <w:rsid w:val="00787FCB"/>
    <w:rsid w:val="00790021"/>
    <w:rsid w:val="007900B8"/>
    <w:rsid w:val="007900BF"/>
    <w:rsid w:val="00790387"/>
    <w:rsid w:val="007904E9"/>
    <w:rsid w:val="007905D2"/>
    <w:rsid w:val="007906A5"/>
    <w:rsid w:val="007906C1"/>
    <w:rsid w:val="007908A2"/>
    <w:rsid w:val="00790C0A"/>
    <w:rsid w:val="00790C1E"/>
    <w:rsid w:val="00790E45"/>
    <w:rsid w:val="007911C4"/>
    <w:rsid w:val="0079126D"/>
    <w:rsid w:val="007913DB"/>
    <w:rsid w:val="007914D6"/>
    <w:rsid w:val="0079159F"/>
    <w:rsid w:val="0079161A"/>
    <w:rsid w:val="00791965"/>
    <w:rsid w:val="007919AB"/>
    <w:rsid w:val="00791FC3"/>
    <w:rsid w:val="00792010"/>
    <w:rsid w:val="00792272"/>
    <w:rsid w:val="00792472"/>
    <w:rsid w:val="0079265A"/>
    <w:rsid w:val="00792C71"/>
    <w:rsid w:val="007931E7"/>
    <w:rsid w:val="007936B8"/>
    <w:rsid w:val="007936DC"/>
    <w:rsid w:val="00793791"/>
    <w:rsid w:val="007937A4"/>
    <w:rsid w:val="0079383C"/>
    <w:rsid w:val="00793B8A"/>
    <w:rsid w:val="00793C94"/>
    <w:rsid w:val="00793D0C"/>
    <w:rsid w:val="00793DBD"/>
    <w:rsid w:val="00793F51"/>
    <w:rsid w:val="0079400C"/>
    <w:rsid w:val="007940E1"/>
    <w:rsid w:val="00794139"/>
    <w:rsid w:val="0079414D"/>
    <w:rsid w:val="00794936"/>
    <w:rsid w:val="00794A90"/>
    <w:rsid w:val="007953BD"/>
    <w:rsid w:val="00795570"/>
    <w:rsid w:val="00795843"/>
    <w:rsid w:val="00795A0B"/>
    <w:rsid w:val="0079605C"/>
    <w:rsid w:val="00796226"/>
    <w:rsid w:val="007963A4"/>
    <w:rsid w:val="007963C4"/>
    <w:rsid w:val="00796707"/>
    <w:rsid w:val="007968AE"/>
    <w:rsid w:val="007969FE"/>
    <w:rsid w:val="00796A4A"/>
    <w:rsid w:val="00796D09"/>
    <w:rsid w:val="00797220"/>
    <w:rsid w:val="007972A8"/>
    <w:rsid w:val="00797350"/>
    <w:rsid w:val="007973EC"/>
    <w:rsid w:val="007974F7"/>
    <w:rsid w:val="007975B1"/>
    <w:rsid w:val="007977E8"/>
    <w:rsid w:val="00797BB9"/>
    <w:rsid w:val="00797BE6"/>
    <w:rsid w:val="00797D58"/>
    <w:rsid w:val="00797E2C"/>
    <w:rsid w:val="00797F12"/>
    <w:rsid w:val="00797F3C"/>
    <w:rsid w:val="00797F73"/>
    <w:rsid w:val="007A0307"/>
    <w:rsid w:val="007A0337"/>
    <w:rsid w:val="007A0693"/>
    <w:rsid w:val="007A0696"/>
    <w:rsid w:val="007A06A9"/>
    <w:rsid w:val="007A0783"/>
    <w:rsid w:val="007A082E"/>
    <w:rsid w:val="007A08B6"/>
    <w:rsid w:val="007A0C2E"/>
    <w:rsid w:val="007A0E20"/>
    <w:rsid w:val="007A0E44"/>
    <w:rsid w:val="007A0FF4"/>
    <w:rsid w:val="007A13A0"/>
    <w:rsid w:val="007A1572"/>
    <w:rsid w:val="007A1678"/>
    <w:rsid w:val="007A1741"/>
    <w:rsid w:val="007A1788"/>
    <w:rsid w:val="007A18F7"/>
    <w:rsid w:val="007A1B01"/>
    <w:rsid w:val="007A1C0F"/>
    <w:rsid w:val="007A1EA3"/>
    <w:rsid w:val="007A2262"/>
    <w:rsid w:val="007A2345"/>
    <w:rsid w:val="007A2415"/>
    <w:rsid w:val="007A26BE"/>
    <w:rsid w:val="007A27C4"/>
    <w:rsid w:val="007A27CA"/>
    <w:rsid w:val="007A3131"/>
    <w:rsid w:val="007A34A8"/>
    <w:rsid w:val="007A34DE"/>
    <w:rsid w:val="007A3653"/>
    <w:rsid w:val="007A36DE"/>
    <w:rsid w:val="007A3C7E"/>
    <w:rsid w:val="007A3DB8"/>
    <w:rsid w:val="007A3F3B"/>
    <w:rsid w:val="007A4066"/>
    <w:rsid w:val="007A410E"/>
    <w:rsid w:val="007A4172"/>
    <w:rsid w:val="007A42CB"/>
    <w:rsid w:val="007A456D"/>
    <w:rsid w:val="007A4DD6"/>
    <w:rsid w:val="007A52ED"/>
    <w:rsid w:val="007A5305"/>
    <w:rsid w:val="007A53F6"/>
    <w:rsid w:val="007A5409"/>
    <w:rsid w:val="007A5561"/>
    <w:rsid w:val="007A59C8"/>
    <w:rsid w:val="007A59CB"/>
    <w:rsid w:val="007A5B4A"/>
    <w:rsid w:val="007A5BE3"/>
    <w:rsid w:val="007A5F8B"/>
    <w:rsid w:val="007A63E4"/>
    <w:rsid w:val="007A674B"/>
    <w:rsid w:val="007A696A"/>
    <w:rsid w:val="007A698E"/>
    <w:rsid w:val="007A6A0E"/>
    <w:rsid w:val="007A6BA1"/>
    <w:rsid w:val="007A6D32"/>
    <w:rsid w:val="007A6E86"/>
    <w:rsid w:val="007A6EAC"/>
    <w:rsid w:val="007A7132"/>
    <w:rsid w:val="007A7454"/>
    <w:rsid w:val="007A75A8"/>
    <w:rsid w:val="007A76AF"/>
    <w:rsid w:val="007A771E"/>
    <w:rsid w:val="007A780E"/>
    <w:rsid w:val="007A789D"/>
    <w:rsid w:val="007A7926"/>
    <w:rsid w:val="007A7A3B"/>
    <w:rsid w:val="007A7D7C"/>
    <w:rsid w:val="007A7EB3"/>
    <w:rsid w:val="007A7FEC"/>
    <w:rsid w:val="007B0BE4"/>
    <w:rsid w:val="007B0C56"/>
    <w:rsid w:val="007B0C58"/>
    <w:rsid w:val="007B0DF3"/>
    <w:rsid w:val="007B0E12"/>
    <w:rsid w:val="007B0F4D"/>
    <w:rsid w:val="007B1054"/>
    <w:rsid w:val="007B1149"/>
    <w:rsid w:val="007B1262"/>
    <w:rsid w:val="007B15C7"/>
    <w:rsid w:val="007B16A0"/>
    <w:rsid w:val="007B17DC"/>
    <w:rsid w:val="007B1901"/>
    <w:rsid w:val="007B1CF9"/>
    <w:rsid w:val="007B1E49"/>
    <w:rsid w:val="007B2392"/>
    <w:rsid w:val="007B2482"/>
    <w:rsid w:val="007B24AB"/>
    <w:rsid w:val="007B25C2"/>
    <w:rsid w:val="007B2613"/>
    <w:rsid w:val="007B265A"/>
    <w:rsid w:val="007B26B5"/>
    <w:rsid w:val="007B2739"/>
    <w:rsid w:val="007B293E"/>
    <w:rsid w:val="007B295D"/>
    <w:rsid w:val="007B2D03"/>
    <w:rsid w:val="007B2DC1"/>
    <w:rsid w:val="007B3053"/>
    <w:rsid w:val="007B318E"/>
    <w:rsid w:val="007B33E8"/>
    <w:rsid w:val="007B38AC"/>
    <w:rsid w:val="007B3A04"/>
    <w:rsid w:val="007B3A46"/>
    <w:rsid w:val="007B3BF9"/>
    <w:rsid w:val="007B3D41"/>
    <w:rsid w:val="007B3E1D"/>
    <w:rsid w:val="007B3F56"/>
    <w:rsid w:val="007B3F95"/>
    <w:rsid w:val="007B400A"/>
    <w:rsid w:val="007B404C"/>
    <w:rsid w:val="007B40C7"/>
    <w:rsid w:val="007B410A"/>
    <w:rsid w:val="007B4235"/>
    <w:rsid w:val="007B462D"/>
    <w:rsid w:val="007B4705"/>
    <w:rsid w:val="007B473C"/>
    <w:rsid w:val="007B4747"/>
    <w:rsid w:val="007B4912"/>
    <w:rsid w:val="007B499C"/>
    <w:rsid w:val="007B4B55"/>
    <w:rsid w:val="007B4B98"/>
    <w:rsid w:val="007B4CF8"/>
    <w:rsid w:val="007B4D01"/>
    <w:rsid w:val="007B5156"/>
    <w:rsid w:val="007B5398"/>
    <w:rsid w:val="007B548A"/>
    <w:rsid w:val="007B5575"/>
    <w:rsid w:val="007B565B"/>
    <w:rsid w:val="007B5954"/>
    <w:rsid w:val="007B5A3A"/>
    <w:rsid w:val="007B5DA1"/>
    <w:rsid w:val="007B5FD0"/>
    <w:rsid w:val="007B6050"/>
    <w:rsid w:val="007B606C"/>
    <w:rsid w:val="007B6269"/>
    <w:rsid w:val="007B62BB"/>
    <w:rsid w:val="007B6391"/>
    <w:rsid w:val="007B63CC"/>
    <w:rsid w:val="007B63DF"/>
    <w:rsid w:val="007B63ED"/>
    <w:rsid w:val="007B6490"/>
    <w:rsid w:val="007B6509"/>
    <w:rsid w:val="007B65C0"/>
    <w:rsid w:val="007B68D2"/>
    <w:rsid w:val="007B6BE7"/>
    <w:rsid w:val="007B6DAF"/>
    <w:rsid w:val="007B6DEA"/>
    <w:rsid w:val="007B6F9D"/>
    <w:rsid w:val="007B7033"/>
    <w:rsid w:val="007B716D"/>
    <w:rsid w:val="007B7234"/>
    <w:rsid w:val="007B74F7"/>
    <w:rsid w:val="007B7637"/>
    <w:rsid w:val="007B7870"/>
    <w:rsid w:val="007B7917"/>
    <w:rsid w:val="007B797E"/>
    <w:rsid w:val="007C015F"/>
    <w:rsid w:val="007C03C4"/>
    <w:rsid w:val="007C051F"/>
    <w:rsid w:val="007C08F4"/>
    <w:rsid w:val="007C092E"/>
    <w:rsid w:val="007C09F1"/>
    <w:rsid w:val="007C0B8F"/>
    <w:rsid w:val="007C0BC6"/>
    <w:rsid w:val="007C0EEA"/>
    <w:rsid w:val="007C0F42"/>
    <w:rsid w:val="007C10B3"/>
    <w:rsid w:val="007C17F6"/>
    <w:rsid w:val="007C1EE2"/>
    <w:rsid w:val="007C1F0B"/>
    <w:rsid w:val="007C265C"/>
    <w:rsid w:val="007C266F"/>
    <w:rsid w:val="007C26F0"/>
    <w:rsid w:val="007C28C8"/>
    <w:rsid w:val="007C3132"/>
    <w:rsid w:val="007C3326"/>
    <w:rsid w:val="007C3330"/>
    <w:rsid w:val="007C384C"/>
    <w:rsid w:val="007C3A52"/>
    <w:rsid w:val="007C3B48"/>
    <w:rsid w:val="007C3CF0"/>
    <w:rsid w:val="007C3D44"/>
    <w:rsid w:val="007C3D5E"/>
    <w:rsid w:val="007C4233"/>
    <w:rsid w:val="007C44C5"/>
    <w:rsid w:val="007C4653"/>
    <w:rsid w:val="007C4795"/>
    <w:rsid w:val="007C49E3"/>
    <w:rsid w:val="007C4A2D"/>
    <w:rsid w:val="007C4A56"/>
    <w:rsid w:val="007C4AA6"/>
    <w:rsid w:val="007C4AAD"/>
    <w:rsid w:val="007C4D23"/>
    <w:rsid w:val="007C4EB7"/>
    <w:rsid w:val="007C51F2"/>
    <w:rsid w:val="007C5346"/>
    <w:rsid w:val="007C53A7"/>
    <w:rsid w:val="007C548A"/>
    <w:rsid w:val="007C5531"/>
    <w:rsid w:val="007C57EC"/>
    <w:rsid w:val="007C587D"/>
    <w:rsid w:val="007C59E4"/>
    <w:rsid w:val="007C5FB7"/>
    <w:rsid w:val="007C60DB"/>
    <w:rsid w:val="007C6194"/>
    <w:rsid w:val="007C64D2"/>
    <w:rsid w:val="007C66A5"/>
    <w:rsid w:val="007C684E"/>
    <w:rsid w:val="007C6938"/>
    <w:rsid w:val="007C69A4"/>
    <w:rsid w:val="007C6B0B"/>
    <w:rsid w:val="007C6BFB"/>
    <w:rsid w:val="007C6D9A"/>
    <w:rsid w:val="007C6D9E"/>
    <w:rsid w:val="007C6ECC"/>
    <w:rsid w:val="007C7019"/>
    <w:rsid w:val="007C7057"/>
    <w:rsid w:val="007C72A3"/>
    <w:rsid w:val="007C72A7"/>
    <w:rsid w:val="007C76CD"/>
    <w:rsid w:val="007C78B1"/>
    <w:rsid w:val="007C78E8"/>
    <w:rsid w:val="007C7BEE"/>
    <w:rsid w:val="007C7C01"/>
    <w:rsid w:val="007C7F78"/>
    <w:rsid w:val="007C7FC2"/>
    <w:rsid w:val="007D0172"/>
    <w:rsid w:val="007D07CE"/>
    <w:rsid w:val="007D0D86"/>
    <w:rsid w:val="007D0E1E"/>
    <w:rsid w:val="007D1083"/>
    <w:rsid w:val="007D1124"/>
    <w:rsid w:val="007D12A5"/>
    <w:rsid w:val="007D1772"/>
    <w:rsid w:val="007D179C"/>
    <w:rsid w:val="007D17B4"/>
    <w:rsid w:val="007D1A77"/>
    <w:rsid w:val="007D1DAC"/>
    <w:rsid w:val="007D202B"/>
    <w:rsid w:val="007D231C"/>
    <w:rsid w:val="007D2440"/>
    <w:rsid w:val="007D2557"/>
    <w:rsid w:val="007D29A9"/>
    <w:rsid w:val="007D2CB1"/>
    <w:rsid w:val="007D2CC5"/>
    <w:rsid w:val="007D2D41"/>
    <w:rsid w:val="007D2E00"/>
    <w:rsid w:val="007D2E44"/>
    <w:rsid w:val="007D37E3"/>
    <w:rsid w:val="007D382C"/>
    <w:rsid w:val="007D3C31"/>
    <w:rsid w:val="007D3C96"/>
    <w:rsid w:val="007D3EE9"/>
    <w:rsid w:val="007D42F7"/>
    <w:rsid w:val="007D4335"/>
    <w:rsid w:val="007D4340"/>
    <w:rsid w:val="007D4612"/>
    <w:rsid w:val="007D4662"/>
    <w:rsid w:val="007D47E5"/>
    <w:rsid w:val="007D4E21"/>
    <w:rsid w:val="007D5185"/>
    <w:rsid w:val="007D523F"/>
    <w:rsid w:val="007D5615"/>
    <w:rsid w:val="007D58E4"/>
    <w:rsid w:val="007D58E6"/>
    <w:rsid w:val="007D59E4"/>
    <w:rsid w:val="007D5C2D"/>
    <w:rsid w:val="007D601E"/>
    <w:rsid w:val="007D605D"/>
    <w:rsid w:val="007D6194"/>
    <w:rsid w:val="007D692D"/>
    <w:rsid w:val="007D6A85"/>
    <w:rsid w:val="007D6EC8"/>
    <w:rsid w:val="007D7013"/>
    <w:rsid w:val="007D746A"/>
    <w:rsid w:val="007D749E"/>
    <w:rsid w:val="007D755A"/>
    <w:rsid w:val="007D7A9B"/>
    <w:rsid w:val="007D7A9C"/>
    <w:rsid w:val="007D7ACA"/>
    <w:rsid w:val="007D7CB3"/>
    <w:rsid w:val="007E00AC"/>
    <w:rsid w:val="007E01F0"/>
    <w:rsid w:val="007E0239"/>
    <w:rsid w:val="007E0268"/>
    <w:rsid w:val="007E02EB"/>
    <w:rsid w:val="007E03D1"/>
    <w:rsid w:val="007E043D"/>
    <w:rsid w:val="007E0538"/>
    <w:rsid w:val="007E05E7"/>
    <w:rsid w:val="007E06C7"/>
    <w:rsid w:val="007E0771"/>
    <w:rsid w:val="007E093D"/>
    <w:rsid w:val="007E09C5"/>
    <w:rsid w:val="007E0A4A"/>
    <w:rsid w:val="007E0A71"/>
    <w:rsid w:val="007E0E09"/>
    <w:rsid w:val="007E1025"/>
    <w:rsid w:val="007E1121"/>
    <w:rsid w:val="007E1249"/>
    <w:rsid w:val="007E13F0"/>
    <w:rsid w:val="007E1A2C"/>
    <w:rsid w:val="007E1CEE"/>
    <w:rsid w:val="007E1DF1"/>
    <w:rsid w:val="007E1E29"/>
    <w:rsid w:val="007E1E51"/>
    <w:rsid w:val="007E2265"/>
    <w:rsid w:val="007E2444"/>
    <w:rsid w:val="007E283A"/>
    <w:rsid w:val="007E28A3"/>
    <w:rsid w:val="007E28D9"/>
    <w:rsid w:val="007E2ABE"/>
    <w:rsid w:val="007E2B76"/>
    <w:rsid w:val="007E2ED3"/>
    <w:rsid w:val="007E2EEF"/>
    <w:rsid w:val="007E2F55"/>
    <w:rsid w:val="007E326C"/>
    <w:rsid w:val="007E33C3"/>
    <w:rsid w:val="007E346E"/>
    <w:rsid w:val="007E3563"/>
    <w:rsid w:val="007E3631"/>
    <w:rsid w:val="007E37F9"/>
    <w:rsid w:val="007E3817"/>
    <w:rsid w:val="007E3F15"/>
    <w:rsid w:val="007E405B"/>
    <w:rsid w:val="007E452D"/>
    <w:rsid w:val="007E45EF"/>
    <w:rsid w:val="007E4A15"/>
    <w:rsid w:val="007E4D10"/>
    <w:rsid w:val="007E4F1A"/>
    <w:rsid w:val="007E509C"/>
    <w:rsid w:val="007E5151"/>
    <w:rsid w:val="007E5519"/>
    <w:rsid w:val="007E574E"/>
    <w:rsid w:val="007E5B99"/>
    <w:rsid w:val="007E5BA5"/>
    <w:rsid w:val="007E5D12"/>
    <w:rsid w:val="007E5EDC"/>
    <w:rsid w:val="007E604A"/>
    <w:rsid w:val="007E6064"/>
    <w:rsid w:val="007E626F"/>
    <w:rsid w:val="007E6287"/>
    <w:rsid w:val="007E64DD"/>
    <w:rsid w:val="007E64F7"/>
    <w:rsid w:val="007E66A3"/>
    <w:rsid w:val="007E6C16"/>
    <w:rsid w:val="007E6C39"/>
    <w:rsid w:val="007E6C52"/>
    <w:rsid w:val="007E6DF8"/>
    <w:rsid w:val="007E72D0"/>
    <w:rsid w:val="007E733B"/>
    <w:rsid w:val="007E747E"/>
    <w:rsid w:val="007E7539"/>
    <w:rsid w:val="007E75A2"/>
    <w:rsid w:val="007E763A"/>
    <w:rsid w:val="007E76AA"/>
    <w:rsid w:val="007E786F"/>
    <w:rsid w:val="007E7A51"/>
    <w:rsid w:val="007E7B99"/>
    <w:rsid w:val="007F00B5"/>
    <w:rsid w:val="007F0314"/>
    <w:rsid w:val="007F0316"/>
    <w:rsid w:val="007F0340"/>
    <w:rsid w:val="007F036A"/>
    <w:rsid w:val="007F0444"/>
    <w:rsid w:val="007F063B"/>
    <w:rsid w:val="007F069B"/>
    <w:rsid w:val="007F0740"/>
    <w:rsid w:val="007F0AC4"/>
    <w:rsid w:val="007F1026"/>
    <w:rsid w:val="007F10D6"/>
    <w:rsid w:val="007F13D7"/>
    <w:rsid w:val="007F177D"/>
    <w:rsid w:val="007F1AEF"/>
    <w:rsid w:val="007F1D3B"/>
    <w:rsid w:val="007F1F7C"/>
    <w:rsid w:val="007F1FBB"/>
    <w:rsid w:val="007F202E"/>
    <w:rsid w:val="007F2238"/>
    <w:rsid w:val="007F223A"/>
    <w:rsid w:val="007F242E"/>
    <w:rsid w:val="007F25DF"/>
    <w:rsid w:val="007F2648"/>
    <w:rsid w:val="007F2712"/>
    <w:rsid w:val="007F293D"/>
    <w:rsid w:val="007F2996"/>
    <w:rsid w:val="007F2BBB"/>
    <w:rsid w:val="007F2BF6"/>
    <w:rsid w:val="007F2C20"/>
    <w:rsid w:val="007F2CB7"/>
    <w:rsid w:val="007F2E74"/>
    <w:rsid w:val="007F2EBF"/>
    <w:rsid w:val="007F30D1"/>
    <w:rsid w:val="007F32F0"/>
    <w:rsid w:val="007F3779"/>
    <w:rsid w:val="007F37B8"/>
    <w:rsid w:val="007F3841"/>
    <w:rsid w:val="007F38B0"/>
    <w:rsid w:val="007F3B75"/>
    <w:rsid w:val="007F3C8A"/>
    <w:rsid w:val="007F3D4D"/>
    <w:rsid w:val="007F3E3C"/>
    <w:rsid w:val="007F47CB"/>
    <w:rsid w:val="007F4A1B"/>
    <w:rsid w:val="007F4EDA"/>
    <w:rsid w:val="007F50B9"/>
    <w:rsid w:val="007F5386"/>
    <w:rsid w:val="007F589D"/>
    <w:rsid w:val="007F5BA5"/>
    <w:rsid w:val="007F5C0B"/>
    <w:rsid w:val="007F5F78"/>
    <w:rsid w:val="007F5F84"/>
    <w:rsid w:val="007F60D4"/>
    <w:rsid w:val="007F6367"/>
    <w:rsid w:val="007F6560"/>
    <w:rsid w:val="007F66BF"/>
    <w:rsid w:val="007F6803"/>
    <w:rsid w:val="007F6A78"/>
    <w:rsid w:val="007F6AD6"/>
    <w:rsid w:val="007F6BCA"/>
    <w:rsid w:val="007F6D79"/>
    <w:rsid w:val="007F6D8B"/>
    <w:rsid w:val="007F6DD8"/>
    <w:rsid w:val="007F6F48"/>
    <w:rsid w:val="007F6F4C"/>
    <w:rsid w:val="007F70D3"/>
    <w:rsid w:val="007F715D"/>
    <w:rsid w:val="007F73D5"/>
    <w:rsid w:val="007F7522"/>
    <w:rsid w:val="007F7536"/>
    <w:rsid w:val="007F754C"/>
    <w:rsid w:val="007F7773"/>
    <w:rsid w:val="007F796C"/>
    <w:rsid w:val="007F7A44"/>
    <w:rsid w:val="007F7C6F"/>
    <w:rsid w:val="007F7CAE"/>
    <w:rsid w:val="007F7FE6"/>
    <w:rsid w:val="00800236"/>
    <w:rsid w:val="00800237"/>
    <w:rsid w:val="008008BD"/>
    <w:rsid w:val="00800A5D"/>
    <w:rsid w:val="00800AA7"/>
    <w:rsid w:val="0080143C"/>
    <w:rsid w:val="008016AC"/>
    <w:rsid w:val="00801708"/>
    <w:rsid w:val="00801825"/>
    <w:rsid w:val="00801BDB"/>
    <w:rsid w:val="00801E87"/>
    <w:rsid w:val="008027ED"/>
    <w:rsid w:val="00802CA3"/>
    <w:rsid w:val="00802EC6"/>
    <w:rsid w:val="0080315B"/>
    <w:rsid w:val="0080319B"/>
    <w:rsid w:val="00803395"/>
    <w:rsid w:val="008037E5"/>
    <w:rsid w:val="00803BAD"/>
    <w:rsid w:val="00803D39"/>
    <w:rsid w:val="0080410A"/>
    <w:rsid w:val="0080415A"/>
    <w:rsid w:val="00804260"/>
    <w:rsid w:val="008043F2"/>
    <w:rsid w:val="008045E1"/>
    <w:rsid w:val="00804881"/>
    <w:rsid w:val="00804B0E"/>
    <w:rsid w:val="00804B29"/>
    <w:rsid w:val="00804B3A"/>
    <w:rsid w:val="00804C95"/>
    <w:rsid w:val="00804CC1"/>
    <w:rsid w:val="00805A76"/>
    <w:rsid w:val="00805F08"/>
    <w:rsid w:val="00805FA1"/>
    <w:rsid w:val="008061B1"/>
    <w:rsid w:val="008067A5"/>
    <w:rsid w:val="008068F4"/>
    <w:rsid w:val="00806955"/>
    <w:rsid w:val="00806975"/>
    <w:rsid w:val="00806B43"/>
    <w:rsid w:val="0080704F"/>
    <w:rsid w:val="008072AA"/>
    <w:rsid w:val="00807380"/>
    <w:rsid w:val="008075C2"/>
    <w:rsid w:val="0080780A"/>
    <w:rsid w:val="00807943"/>
    <w:rsid w:val="008079D7"/>
    <w:rsid w:val="00807E42"/>
    <w:rsid w:val="00807F19"/>
    <w:rsid w:val="00807FAE"/>
    <w:rsid w:val="0081013E"/>
    <w:rsid w:val="008101BE"/>
    <w:rsid w:val="00810488"/>
    <w:rsid w:val="00810710"/>
    <w:rsid w:val="0081074A"/>
    <w:rsid w:val="008108A9"/>
    <w:rsid w:val="00810D5C"/>
    <w:rsid w:val="00810EF8"/>
    <w:rsid w:val="008110FA"/>
    <w:rsid w:val="008112BB"/>
    <w:rsid w:val="0081147B"/>
    <w:rsid w:val="0081173F"/>
    <w:rsid w:val="00811790"/>
    <w:rsid w:val="008119D0"/>
    <w:rsid w:val="00811A21"/>
    <w:rsid w:val="00811A51"/>
    <w:rsid w:val="00812398"/>
    <w:rsid w:val="00812430"/>
    <w:rsid w:val="0081257E"/>
    <w:rsid w:val="00812744"/>
    <w:rsid w:val="00812972"/>
    <w:rsid w:val="00812BEC"/>
    <w:rsid w:val="00812C12"/>
    <w:rsid w:val="00812C18"/>
    <w:rsid w:val="00812CF5"/>
    <w:rsid w:val="00812EF5"/>
    <w:rsid w:val="00812F9C"/>
    <w:rsid w:val="00812FB6"/>
    <w:rsid w:val="0081332F"/>
    <w:rsid w:val="00813345"/>
    <w:rsid w:val="00813346"/>
    <w:rsid w:val="00813427"/>
    <w:rsid w:val="00813605"/>
    <w:rsid w:val="008136BF"/>
    <w:rsid w:val="00813A8C"/>
    <w:rsid w:val="00813ABD"/>
    <w:rsid w:val="00813CCF"/>
    <w:rsid w:val="00813DDE"/>
    <w:rsid w:val="008141F7"/>
    <w:rsid w:val="008146E9"/>
    <w:rsid w:val="008147AA"/>
    <w:rsid w:val="00814B25"/>
    <w:rsid w:val="00814B90"/>
    <w:rsid w:val="00814C6F"/>
    <w:rsid w:val="00814CE6"/>
    <w:rsid w:val="00814E1E"/>
    <w:rsid w:val="00814E64"/>
    <w:rsid w:val="0081516E"/>
    <w:rsid w:val="008153D7"/>
    <w:rsid w:val="0081543D"/>
    <w:rsid w:val="008157E1"/>
    <w:rsid w:val="00815B0F"/>
    <w:rsid w:val="00815BD7"/>
    <w:rsid w:val="00815C5C"/>
    <w:rsid w:val="00815C6B"/>
    <w:rsid w:val="00815E34"/>
    <w:rsid w:val="00815EB8"/>
    <w:rsid w:val="008162D8"/>
    <w:rsid w:val="008162E7"/>
    <w:rsid w:val="008166E6"/>
    <w:rsid w:val="0081670F"/>
    <w:rsid w:val="008167AE"/>
    <w:rsid w:val="008167FF"/>
    <w:rsid w:val="008168F9"/>
    <w:rsid w:val="00816B03"/>
    <w:rsid w:val="0081729F"/>
    <w:rsid w:val="008175BA"/>
    <w:rsid w:val="008176CC"/>
    <w:rsid w:val="00817847"/>
    <w:rsid w:val="00817884"/>
    <w:rsid w:val="008178E4"/>
    <w:rsid w:val="00817992"/>
    <w:rsid w:val="00817A1B"/>
    <w:rsid w:val="00817F1C"/>
    <w:rsid w:val="00817FF0"/>
    <w:rsid w:val="008202E1"/>
    <w:rsid w:val="00820A19"/>
    <w:rsid w:val="00820B0E"/>
    <w:rsid w:val="00820C65"/>
    <w:rsid w:val="00820C6F"/>
    <w:rsid w:val="00820EA2"/>
    <w:rsid w:val="00820F1F"/>
    <w:rsid w:val="008210A8"/>
    <w:rsid w:val="0082112D"/>
    <w:rsid w:val="00821168"/>
    <w:rsid w:val="00821492"/>
    <w:rsid w:val="008214EA"/>
    <w:rsid w:val="00821691"/>
    <w:rsid w:val="008217E1"/>
    <w:rsid w:val="00821B4C"/>
    <w:rsid w:val="00821FBD"/>
    <w:rsid w:val="008221D7"/>
    <w:rsid w:val="008222A6"/>
    <w:rsid w:val="0082237E"/>
    <w:rsid w:val="008224EC"/>
    <w:rsid w:val="008226D8"/>
    <w:rsid w:val="0082271A"/>
    <w:rsid w:val="0082273A"/>
    <w:rsid w:val="0082274B"/>
    <w:rsid w:val="008228B1"/>
    <w:rsid w:val="008228BE"/>
    <w:rsid w:val="008229B4"/>
    <w:rsid w:val="008229C3"/>
    <w:rsid w:val="008229E0"/>
    <w:rsid w:val="00822AEB"/>
    <w:rsid w:val="00822DBB"/>
    <w:rsid w:val="00823069"/>
    <w:rsid w:val="0082341D"/>
    <w:rsid w:val="0082343F"/>
    <w:rsid w:val="008234AD"/>
    <w:rsid w:val="0082357B"/>
    <w:rsid w:val="00823704"/>
    <w:rsid w:val="0082379B"/>
    <w:rsid w:val="00823A1A"/>
    <w:rsid w:val="00823A6D"/>
    <w:rsid w:val="00823AA3"/>
    <w:rsid w:val="00823EEB"/>
    <w:rsid w:val="00823FDF"/>
    <w:rsid w:val="00823FF7"/>
    <w:rsid w:val="00824073"/>
    <w:rsid w:val="00824153"/>
    <w:rsid w:val="0082431E"/>
    <w:rsid w:val="008244D5"/>
    <w:rsid w:val="008248AB"/>
    <w:rsid w:val="008248C3"/>
    <w:rsid w:val="00824A1C"/>
    <w:rsid w:val="00824EEE"/>
    <w:rsid w:val="00824FC5"/>
    <w:rsid w:val="00825064"/>
    <w:rsid w:val="008250B8"/>
    <w:rsid w:val="00825267"/>
    <w:rsid w:val="00825348"/>
    <w:rsid w:val="0082541E"/>
    <w:rsid w:val="008255DD"/>
    <w:rsid w:val="00825645"/>
    <w:rsid w:val="0082589D"/>
    <w:rsid w:val="00825990"/>
    <w:rsid w:val="008259C9"/>
    <w:rsid w:val="00825CC6"/>
    <w:rsid w:val="00825D3D"/>
    <w:rsid w:val="00825E07"/>
    <w:rsid w:val="00825EF0"/>
    <w:rsid w:val="00825FC4"/>
    <w:rsid w:val="00826006"/>
    <w:rsid w:val="0082667F"/>
    <w:rsid w:val="00826CC6"/>
    <w:rsid w:val="00826D25"/>
    <w:rsid w:val="00826ED9"/>
    <w:rsid w:val="00826EE6"/>
    <w:rsid w:val="008270C8"/>
    <w:rsid w:val="00827238"/>
    <w:rsid w:val="0082728B"/>
    <w:rsid w:val="00827324"/>
    <w:rsid w:val="00827747"/>
    <w:rsid w:val="008277F0"/>
    <w:rsid w:val="00827984"/>
    <w:rsid w:val="008279E5"/>
    <w:rsid w:val="00827AED"/>
    <w:rsid w:val="00827BDC"/>
    <w:rsid w:val="00827FBF"/>
    <w:rsid w:val="0083002F"/>
    <w:rsid w:val="008302E0"/>
    <w:rsid w:val="008305D6"/>
    <w:rsid w:val="00830B8D"/>
    <w:rsid w:val="00830C82"/>
    <w:rsid w:val="00830CF5"/>
    <w:rsid w:val="00830D2F"/>
    <w:rsid w:val="00830E78"/>
    <w:rsid w:val="00831106"/>
    <w:rsid w:val="008312D5"/>
    <w:rsid w:val="00831317"/>
    <w:rsid w:val="00831385"/>
    <w:rsid w:val="00831573"/>
    <w:rsid w:val="0083158F"/>
    <w:rsid w:val="00831665"/>
    <w:rsid w:val="008316FA"/>
    <w:rsid w:val="00831A76"/>
    <w:rsid w:val="00831BB5"/>
    <w:rsid w:val="00831C1F"/>
    <w:rsid w:val="00831E9D"/>
    <w:rsid w:val="00831F19"/>
    <w:rsid w:val="0083260C"/>
    <w:rsid w:val="00832696"/>
    <w:rsid w:val="008326B2"/>
    <w:rsid w:val="00832794"/>
    <w:rsid w:val="0083282D"/>
    <w:rsid w:val="008329D9"/>
    <w:rsid w:val="008330BF"/>
    <w:rsid w:val="0083334E"/>
    <w:rsid w:val="00833579"/>
    <w:rsid w:val="008338F9"/>
    <w:rsid w:val="00833A3C"/>
    <w:rsid w:val="00833B4F"/>
    <w:rsid w:val="00833C75"/>
    <w:rsid w:val="00833D91"/>
    <w:rsid w:val="00833E1F"/>
    <w:rsid w:val="00833EC5"/>
    <w:rsid w:val="008341E6"/>
    <w:rsid w:val="00834484"/>
    <w:rsid w:val="00834599"/>
    <w:rsid w:val="008345D4"/>
    <w:rsid w:val="00834629"/>
    <w:rsid w:val="008346E9"/>
    <w:rsid w:val="008347B4"/>
    <w:rsid w:val="00834A08"/>
    <w:rsid w:val="00834AF7"/>
    <w:rsid w:val="00834C03"/>
    <w:rsid w:val="00834E2C"/>
    <w:rsid w:val="00834EE3"/>
    <w:rsid w:val="00834F30"/>
    <w:rsid w:val="00834F40"/>
    <w:rsid w:val="00835094"/>
    <w:rsid w:val="00835216"/>
    <w:rsid w:val="0083535F"/>
    <w:rsid w:val="00835497"/>
    <w:rsid w:val="0083598E"/>
    <w:rsid w:val="008359A2"/>
    <w:rsid w:val="00835AAC"/>
    <w:rsid w:val="00835B01"/>
    <w:rsid w:val="00835BBE"/>
    <w:rsid w:val="00835EDF"/>
    <w:rsid w:val="00835F18"/>
    <w:rsid w:val="00836060"/>
    <w:rsid w:val="00836230"/>
    <w:rsid w:val="008365A7"/>
    <w:rsid w:val="008365D8"/>
    <w:rsid w:val="00836A85"/>
    <w:rsid w:val="00836B88"/>
    <w:rsid w:val="00836C68"/>
    <w:rsid w:val="00836C87"/>
    <w:rsid w:val="00836DA0"/>
    <w:rsid w:val="00836F88"/>
    <w:rsid w:val="008370AF"/>
    <w:rsid w:val="00837220"/>
    <w:rsid w:val="00837622"/>
    <w:rsid w:val="008377D7"/>
    <w:rsid w:val="0083781F"/>
    <w:rsid w:val="00837921"/>
    <w:rsid w:val="00837B71"/>
    <w:rsid w:val="00840076"/>
    <w:rsid w:val="008400F1"/>
    <w:rsid w:val="008401A9"/>
    <w:rsid w:val="008401F4"/>
    <w:rsid w:val="0084040D"/>
    <w:rsid w:val="00840606"/>
    <w:rsid w:val="00840689"/>
    <w:rsid w:val="00840858"/>
    <w:rsid w:val="00840A10"/>
    <w:rsid w:val="00840A6D"/>
    <w:rsid w:val="00840B8F"/>
    <w:rsid w:val="00840C59"/>
    <w:rsid w:val="00841040"/>
    <w:rsid w:val="008410F1"/>
    <w:rsid w:val="0084120A"/>
    <w:rsid w:val="008414E6"/>
    <w:rsid w:val="00841504"/>
    <w:rsid w:val="00841554"/>
    <w:rsid w:val="008415C2"/>
    <w:rsid w:val="008417AF"/>
    <w:rsid w:val="00841832"/>
    <w:rsid w:val="0084183E"/>
    <w:rsid w:val="00841929"/>
    <w:rsid w:val="00841A5B"/>
    <w:rsid w:val="00841AEE"/>
    <w:rsid w:val="00841CC6"/>
    <w:rsid w:val="00841CFC"/>
    <w:rsid w:val="00841D4A"/>
    <w:rsid w:val="00841D9A"/>
    <w:rsid w:val="00841ECF"/>
    <w:rsid w:val="00841ED7"/>
    <w:rsid w:val="00841FC5"/>
    <w:rsid w:val="008420A2"/>
    <w:rsid w:val="008420F1"/>
    <w:rsid w:val="00842106"/>
    <w:rsid w:val="00842127"/>
    <w:rsid w:val="0084226E"/>
    <w:rsid w:val="008422A5"/>
    <w:rsid w:val="0084237A"/>
    <w:rsid w:val="008423AB"/>
    <w:rsid w:val="00842456"/>
    <w:rsid w:val="008425A1"/>
    <w:rsid w:val="00842DCD"/>
    <w:rsid w:val="00843114"/>
    <w:rsid w:val="008437A1"/>
    <w:rsid w:val="008438DC"/>
    <w:rsid w:val="00843C44"/>
    <w:rsid w:val="00843D79"/>
    <w:rsid w:val="008440B9"/>
    <w:rsid w:val="0084415F"/>
    <w:rsid w:val="0084426C"/>
    <w:rsid w:val="00844289"/>
    <w:rsid w:val="008445DC"/>
    <w:rsid w:val="00844722"/>
    <w:rsid w:val="008448B0"/>
    <w:rsid w:val="00844ADB"/>
    <w:rsid w:val="00844CB0"/>
    <w:rsid w:val="00844D5E"/>
    <w:rsid w:val="00844F25"/>
    <w:rsid w:val="0084510C"/>
    <w:rsid w:val="0084521B"/>
    <w:rsid w:val="00845449"/>
    <w:rsid w:val="008457DF"/>
    <w:rsid w:val="00845AD3"/>
    <w:rsid w:val="00845E5E"/>
    <w:rsid w:val="008460A1"/>
    <w:rsid w:val="008461E1"/>
    <w:rsid w:val="00846373"/>
    <w:rsid w:val="00846564"/>
    <w:rsid w:val="00846A56"/>
    <w:rsid w:val="00846B58"/>
    <w:rsid w:val="00846BDD"/>
    <w:rsid w:val="00846E73"/>
    <w:rsid w:val="00846EA1"/>
    <w:rsid w:val="00847012"/>
    <w:rsid w:val="008475EE"/>
    <w:rsid w:val="00847769"/>
    <w:rsid w:val="0084789E"/>
    <w:rsid w:val="008479D0"/>
    <w:rsid w:val="00847A58"/>
    <w:rsid w:val="00847CFB"/>
    <w:rsid w:val="0085009E"/>
    <w:rsid w:val="0085034B"/>
    <w:rsid w:val="00850376"/>
    <w:rsid w:val="00850569"/>
    <w:rsid w:val="008505DB"/>
    <w:rsid w:val="00850678"/>
    <w:rsid w:val="00850871"/>
    <w:rsid w:val="00850AE3"/>
    <w:rsid w:val="00850BA6"/>
    <w:rsid w:val="00850C8C"/>
    <w:rsid w:val="00850EA2"/>
    <w:rsid w:val="00850ECA"/>
    <w:rsid w:val="00850F67"/>
    <w:rsid w:val="008510C9"/>
    <w:rsid w:val="0085113F"/>
    <w:rsid w:val="008511C5"/>
    <w:rsid w:val="008512D9"/>
    <w:rsid w:val="00851422"/>
    <w:rsid w:val="008515E4"/>
    <w:rsid w:val="0085164E"/>
    <w:rsid w:val="0085190E"/>
    <w:rsid w:val="00851CC0"/>
    <w:rsid w:val="00851E1F"/>
    <w:rsid w:val="008520AB"/>
    <w:rsid w:val="008522FC"/>
    <w:rsid w:val="00852317"/>
    <w:rsid w:val="008523BC"/>
    <w:rsid w:val="0085254D"/>
    <w:rsid w:val="0085267E"/>
    <w:rsid w:val="00852A3B"/>
    <w:rsid w:val="00852CC2"/>
    <w:rsid w:val="00852F05"/>
    <w:rsid w:val="00853062"/>
    <w:rsid w:val="00853344"/>
    <w:rsid w:val="00853516"/>
    <w:rsid w:val="0085367C"/>
    <w:rsid w:val="008536E0"/>
    <w:rsid w:val="008539DB"/>
    <w:rsid w:val="00853A1A"/>
    <w:rsid w:val="00853BC6"/>
    <w:rsid w:val="00853C37"/>
    <w:rsid w:val="00853D54"/>
    <w:rsid w:val="00853FE4"/>
    <w:rsid w:val="008540CA"/>
    <w:rsid w:val="0085426B"/>
    <w:rsid w:val="00854338"/>
    <w:rsid w:val="00854377"/>
    <w:rsid w:val="00854441"/>
    <w:rsid w:val="0085449C"/>
    <w:rsid w:val="00854A1D"/>
    <w:rsid w:val="00854B30"/>
    <w:rsid w:val="00854BF0"/>
    <w:rsid w:val="00854D99"/>
    <w:rsid w:val="00854EE9"/>
    <w:rsid w:val="008555B3"/>
    <w:rsid w:val="008558F4"/>
    <w:rsid w:val="0085594F"/>
    <w:rsid w:val="00855BED"/>
    <w:rsid w:val="00855C51"/>
    <w:rsid w:val="00855CF9"/>
    <w:rsid w:val="00856223"/>
    <w:rsid w:val="0085665D"/>
    <w:rsid w:val="00856F07"/>
    <w:rsid w:val="00856F9F"/>
    <w:rsid w:val="008574F5"/>
    <w:rsid w:val="00857515"/>
    <w:rsid w:val="0085759F"/>
    <w:rsid w:val="0085783B"/>
    <w:rsid w:val="0085786B"/>
    <w:rsid w:val="00857929"/>
    <w:rsid w:val="00857CBA"/>
    <w:rsid w:val="00857D84"/>
    <w:rsid w:val="008604A8"/>
    <w:rsid w:val="00860610"/>
    <w:rsid w:val="00860642"/>
    <w:rsid w:val="00860673"/>
    <w:rsid w:val="00860824"/>
    <w:rsid w:val="00860877"/>
    <w:rsid w:val="008608AE"/>
    <w:rsid w:val="0086092F"/>
    <w:rsid w:val="00860B7B"/>
    <w:rsid w:val="00860CC0"/>
    <w:rsid w:val="00860E37"/>
    <w:rsid w:val="0086123E"/>
    <w:rsid w:val="00861321"/>
    <w:rsid w:val="00861324"/>
    <w:rsid w:val="008613A8"/>
    <w:rsid w:val="0086167E"/>
    <w:rsid w:val="008616C4"/>
    <w:rsid w:val="00861713"/>
    <w:rsid w:val="00861773"/>
    <w:rsid w:val="0086182A"/>
    <w:rsid w:val="00861981"/>
    <w:rsid w:val="00861BC8"/>
    <w:rsid w:val="00861F43"/>
    <w:rsid w:val="008621CB"/>
    <w:rsid w:val="008621E2"/>
    <w:rsid w:val="008622C0"/>
    <w:rsid w:val="008623A7"/>
    <w:rsid w:val="008625CE"/>
    <w:rsid w:val="00862961"/>
    <w:rsid w:val="008629B1"/>
    <w:rsid w:val="00862A42"/>
    <w:rsid w:val="00862D63"/>
    <w:rsid w:val="00862F0E"/>
    <w:rsid w:val="00863296"/>
    <w:rsid w:val="00863674"/>
    <w:rsid w:val="0086374D"/>
    <w:rsid w:val="00863BFF"/>
    <w:rsid w:val="00863C05"/>
    <w:rsid w:val="00863E05"/>
    <w:rsid w:val="00863E6C"/>
    <w:rsid w:val="0086420C"/>
    <w:rsid w:val="00864257"/>
    <w:rsid w:val="0086426E"/>
    <w:rsid w:val="008643E0"/>
    <w:rsid w:val="0086447E"/>
    <w:rsid w:val="00864576"/>
    <w:rsid w:val="0086457E"/>
    <w:rsid w:val="00864608"/>
    <w:rsid w:val="00864757"/>
    <w:rsid w:val="0086490E"/>
    <w:rsid w:val="00864940"/>
    <w:rsid w:val="00864FB0"/>
    <w:rsid w:val="0086502B"/>
    <w:rsid w:val="008651FF"/>
    <w:rsid w:val="0086553F"/>
    <w:rsid w:val="0086562B"/>
    <w:rsid w:val="008656AC"/>
    <w:rsid w:val="0086570E"/>
    <w:rsid w:val="008657D7"/>
    <w:rsid w:val="00865AE9"/>
    <w:rsid w:val="00865B35"/>
    <w:rsid w:val="00865B42"/>
    <w:rsid w:val="00865BA9"/>
    <w:rsid w:val="00865BC0"/>
    <w:rsid w:val="00865C36"/>
    <w:rsid w:val="00865C7B"/>
    <w:rsid w:val="00865F6A"/>
    <w:rsid w:val="00866280"/>
    <w:rsid w:val="0086647B"/>
    <w:rsid w:val="008664B9"/>
    <w:rsid w:val="008665B1"/>
    <w:rsid w:val="0086666B"/>
    <w:rsid w:val="00866C2C"/>
    <w:rsid w:val="00866F11"/>
    <w:rsid w:val="0086745B"/>
    <w:rsid w:val="008676DB"/>
    <w:rsid w:val="008677D6"/>
    <w:rsid w:val="0086797E"/>
    <w:rsid w:val="00867AC4"/>
    <w:rsid w:val="00867B0A"/>
    <w:rsid w:val="00867E07"/>
    <w:rsid w:val="00867E82"/>
    <w:rsid w:val="00867EE7"/>
    <w:rsid w:val="00867F58"/>
    <w:rsid w:val="00870219"/>
    <w:rsid w:val="00870349"/>
    <w:rsid w:val="00870555"/>
    <w:rsid w:val="008709EF"/>
    <w:rsid w:val="00870B3F"/>
    <w:rsid w:val="00870C24"/>
    <w:rsid w:val="00870E45"/>
    <w:rsid w:val="00871004"/>
    <w:rsid w:val="00871201"/>
    <w:rsid w:val="00871287"/>
    <w:rsid w:val="0087133B"/>
    <w:rsid w:val="008713AF"/>
    <w:rsid w:val="008715B2"/>
    <w:rsid w:val="00871877"/>
    <w:rsid w:val="008718FE"/>
    <w:rsid w:val="00871A12"/>
    <w:rsid w:val="00871A96"/>
    <w:rsid w:val="00871AB7"/>
    <w:rsid w:val="00871BEE"/>
    <w:rsid w:val="00871D4B"/>
    <w:rsid w:val="0087210B"/>
    <w:rsid w:val="00872185"/>
    <w:rsid w:val="00872240"/>
    <w:rsid w:val="008724A2"/>
    <w:rsid w:val="008725E6"/>
    <w:rsid w:val="00872638"/>
    <w:rsid w:val="00872831"/>
    <w:rsid w:val="008729E3"/>
    <w:rsid w:val="00872A1F"/>
    <w:rsid w:val="00872A9A"/>
    <w:rsid w:val="00872C73"/>
    <w:rsid w:val="00872E41"/>
    <w:rsid w:val="00872F06"/>
    <w:rsid w:val="00872FCB"/>
    <w:rsid w:val="00872FDF"/>
    <w:rsid w:val="0087325F"/>
    <w:rsid w:val="0087349E"/>
    <w:rsid w:val="008737FB"/>
    <w:rsid w:val="008739D7"/>
    <w:rsid w:val="00873B82"/>
    <w:rsid w:val="00873CBA"/>
    <w:rsid w:val="00873D0B"/>
    <w:rsid w:val="00873D22"/>
    <w:rsid w:val="00873D42"/>
    <w:rsid w:val="00873D74"/>
    <w:rsid w:val="00873F5A"/>
    <w:rsid w:val="00874008"/>
    <w:rsid w:val="00874317"/>
    <w:rsid w:val="00874413"/>
    <w:rsid w:val="00874744"/>
    <w:rsid w:val="00874AAF"/>
    <w:rsid w:val="00874BAB"/>
    <w:rsid w:val="008750BB"/>
    <w:rsid w:val="00875379"/>
    <w:rsid w:val="00875619"/>
    <w:rsid w:val="00875638"/>
    <w:rsid w:val="00875818"/>
    <w:rsid w:val="00875A2E"/>
    <w:rsid w:val="00875DA0"/>
    <w:rsid w:val="00875E6D"/>
    <w:rsid w:val="0087624F"/>
    <w:rsid w:val="008762F2"/>
    <w:rsid w:val="00876334"/>
    <w:rsid w:val="00876589"/>
    <w:rsid w:val="0087661F"/>
    <w:rsid w:val="008766EE"/>
    <w:rsid w:val="00876959"/>
    <w:rsid w:val="00876DF5"/>
    <w:rsid w:val="008778E5"/>
    <w:rsid w:val="00877F58"/>
    <w:rsid w:val="0088015E"/>
    <w:rsid w:val="0088020F"/>
    <w:rsid w:val="0088022C"/>
    <w:rsid w:val="00880848"/>
    <w:rsid w:val="0088085A"/>
    <w:rsid w:val="0088085E"/>
    <w:rsid w:val="00880A3C"/>
    <w:rsid w:val="00880A8C"/>
    <w:rsid w:val="00880A97"/>
    <w:rsid w:val="00880CBE"/>
    <w:rsid w:val="00880D7D"/>
    <w:rsid w:val="00880DEB"/>
    <w:rsid w:val="00880F07"/>
    <w:rsid w:val="00880F8F"/>
    <w:rsid w:val="00880FF6"/>
    <w:rsid w:val="008810FA"/>
    <w:rsid w:val="00881591"/>
    <w:rsid w:val="008817A6"/>
    <w:rsid w:val="00881A34"/>
    <w:rsid w:val="00882230"/>
    <w:rsid w:val="008827D5"/>
    <w:rsid w:val="00882976"/>
    <w:rsid w:val="00882A60"/>
    <w:rsid w:val="00882A63"/>
    <w:rsid w:val="00882B73"/>
    <w:rsid w:val="008832E2"/>
    <w:rsid w:val="00883325"/>
    <w:rsid w:val="008833B5"/>
    <w:rsid w:val="0088349B"/>
    <w:rsid w:val="0088384E"/>
    <w:rsid w:val="0088399C"/>
    <w:rsid w:val="00883C01"/>
    <w:rsid w:val="00883C57"/>
    <w:rsid w:val="00883DE0"/>
    <w:rsid w:val="008840BF"/>
    <w:rsid w:val="008842DF"/>
    <w:rsid w:val="00884362"/>
    <w:rsid w:val="00884399"/>
    <w:rsid w:val="008845C0"/>
    <w:rsid w:val="008847E1"/>
    <w:rsid w:val="0088483C"/>
    <w:rsid w:val="00884DA2"/>
    <w:rsid w:val="00884F72"/>
    <w:rsid w:val="00884F87"/>
    <w:rsid w:val="008851C7"/>
    <w:rsid w:val="0088528F"/>
    <w:rsid w:val="0088584D"/>
    <w:rsid w:val="008858A6"/>
    <w:rsid w:val="00885961"/>
    <w:rsid w:val="008859BB"/>
    <w:rsid w:val="00885AFC"/>
    <w:rsid w:val="00885C52"/>
    <w:rsid w:val="00885D5C"/>
    <w:rsid w:val="00885FB1"/>
    <w:rsid w:val="008860EA"/>
    <w:rsid w:val="0088632C"/>
    <w:rsid w:val="00886411"/>
    <w:rsid w:val="008864FE"/>
    <w:rsid w:val="008867C5"/>
    <w:rsid w:val="008867CF"/>
    <w:rsid w:val="00886B6C"/>
    <w:rsid w:val="00886C24"/>
    <w:rsid w:val="00886F42"/>
    <w:rsid w:val="00886F8F"/>
    <w:rsid w:val="00886FD3"/>
    <w:rsid w:val="00887040"/>
    <w:rsid w:val="008870A4"/>
    <w:rsid w:val="0088720B"/>
    <w:rsid w:val="00887242"/>
    <w:rsid w:val="008873B0"/>
    <w:rsid w:val="00887503"/>
    <w:rsid w:val="0088767B"/>
    <w:rsid w:val="008876D9"/>
    <w:rsid w:val="00887710"/>
    <w:rsid w:val="008879F6"/>
    <w:rsid w:val="00887B05"/>
    <w:rsid w:val="00887F34"/>
    <w:rsid w:val="00890236"/>
    <w:rsid w:val="00890265"/>
    <w:rsid w:val="0089043B"/>
    <w:rsid w:val="00890493"/>
    <w:rsid w:val="008905DE"/>
    <w:rsid w:val="0089063A"/>
    <w:rsid w:val="008906C3"/>
    <w:rsid w:val="00890ACB"/>
    <w:rsid w:val="008910F4"/>
    <w:rsid w:val="0089113B"/>
    <w:rsid w:val="0089118C"/>
    <w:rsid w:val="00891726"/>
    <w:rsid w:val="0089182D"/>
    <w:rsid w:val="008918BF"/>
    <w:rsid w:val="008919F5"/>
    <w:rsid w:val="00891E71"/>
    <w:rsid w:val="00892153"/>
    <w:rsid w:val="00892237"/>
    <w:rsid w:val="00892332"/>
    <w:rsid w:val="00892410"/>
    <w:rsid w:val="008926F7"/>
    <w:rsid w:val="0089299B"/>
    <w:rsid w:val="008929DD"/>
    <w:rsid w:val="00892A73"/>
    <w:rsid w:val="00892BF3"/>
    <w:rsid w:val="00892C2A"/>
    <w:rsid w:val="00892DB2"/>
    <w:rsid w:val="00892EF3"/>
    <w:rsid w:val="00892F74"/>
    <w:rsid w:val="008934BC"/>
    <w:rsid w:val="008935B2"/>
    <w:rsid w:val="008938F7"/>
    <w:rsid w:val="00893955"/>
    <w:rsid w:val="00893CA5"/>
    <w:rsid w:val="00893CE1"/>
    <w:rsid w:val="00893CFC"/>
    <w:rsid w:val="0089406A"/>
    <w:rsid w:val="00894171"/>
    <w:rsid w:val="008942E6"/>
    <w:rsid w:val="008943D3"/>
    <w:rsid w:val="008945C3"/>
    <w:rsid w:val="008945E2"/>
    <w:rsid w:val="00894686"/>
    <w:rsid w:val="0089470D"/>
    <w:rsid w:val="00894716"/>
    <w:rsid w:val="0089472D"/>
    <w:rsid w:val="008947F6"/>
    <w:rsid w:val="00894A9C"/>
    <w:rsid w:val="00894B5C"/>
    <w:rsid w:val="00894D61"/>
    <w:rsid w:val="00894DE6"/>
    <w:rsid w:val="00894F0A"/>
    <w:rsid w:val="008951F1"/>
    <w:rsid w:val="00895217"/>
    <w:rsid w:val="00895498"/>
    <w:rsid w:val="0089571C"/>
    <w:rsid w:val="008958A8"/>
    <w:rsid w:val="008958EC"/>
    <w:rsid w:val="00895949"/>
    <w:rsid w:val="00895ABC"/>
    <w:rsid w:val="00895ACA"/>
    <w:rsid w:val="00895F16"/>
    <w:rsid w:val="00895F72"/>
    <w:rsid w:val="00896346"/>
    <w:rsid w:val="00896437"/>
    <w:rsid w:val="0089653C"/>
    <w:rsid w:val="00896670"/>
    <w:rsid w:val="00896692"/>
    <w:rsid w:val="00896793"/>
    <w:rsid w:val="00896794"/>
    <w:rsid w:val="008969A8"/>
    <w:rsid w:val="00896A7D"/>
    <w:rsid w:val="00896D98"/>
    <w:rsid w:val="00896E70"/>
    <w:rsid w:val="00896F03"/>
    <w:rsid w:val="00896F92"/>
    <w:rsid w:val="00897020"/>
    <w:rsid w:val="008974EC"/>
    <w:rsid w:val="0089757E"/>
    <w:rsid w:val="00897BAC"/>
    <w:rsid w:val="00897D2E"/>
    <w:rsid w:val="00897D5E"/>
    <w:rsid w:val="00897DBF"/>
    <w:rsid w:val="00897F2D"/>
    <w:rsid w:val="00897FE1"/>
    <w:rsid w:val="008A015D"/>
    <w:rsid w:val="008A06F1"/>
    <w:rsid w:val="008A07B9"/>
    <w:rsid w:val="008A0AE9"/>
    <w:rsid w:val="008A0C0B"/>
    <w:rsid w:val="008A0C9A"/>
    <w:rsid w:val="008A0DF6"/>
    <w:rsid w:val="008A0FC3"/>
    <w:rsid w:val="008A1291"/>
    <w:rsid w:val="008A14E5"/>
    <w:rsid w:val="008A151C"/>
    <w:rsid w:val="008A1592"/>
    <w:rsid w:val="008A15A8"/>
    <w:rsid w:val="008A184E"/>
    <w:rsid w:val="008A1A5F"/>
    <w:rsid w:val="008A1BD9"/>
    <w:rsid w:val="008A230C"/>
    <w:rsid w:val="008A2312"/>
    <w:rsid w:val="008A23AF"/>
    <w:rsid w:val="008A2578"/>
    <w:rsid w:val="008A258E"/>
    <w:rsid w:val="008A282B"/>
    <w:rsid w:val="008A2904"/>
    <w:rsid w:val="008A2E34"/>
    <w:rsid w:val="008A2ED5"/>
    <w:rsid w:val="008A3007"/>
    <w:rsid w:val="008A3021"/>
    <w:rsid w:val="008A3113"/>
    <w:rsid w:val="008A32E2"/>
    <w:rsid w:val="008A330E"/>
    <w:rsid w:val="008A36DF"/>
    <w:rsid w:val="008A3780"/>
    <w:rsid w:val="008A38AD"/>
    <w:rsid w:val="008A38D0"/>
    <w:rsid w:val="008A3938"/>
    <w:rsid w:val="008A3A33"/>
    <w:rsid w:val="008A3C80"/>
    <w:rsid w:val="008A3E2F"/>
    <w:rsid w:val="008A3FC6"/>
    <w:rsid w:val="008A417F"/>
    <w:rsid w:val="008A4347"/>
    <w:rsid w:val="008A4419"/>
    <w:rsid w:val="008A475A"/>
    <w:rsid w:val="008A4770"/>
    <w:rsid w:val="008A49DE"/>
    <w:rsid w:val="008A4A24"/>
    <w:rsid w:val="008A4A90"/>
    <w:rsid w:val="008A5055"/>
    <w:rsid w:val="008A5149"/>
    <w:rsid w:val="008A55A6"/>
    <w:rsid w:val="008A5606"/>
    <w:rsid w:val="008A569E"/>
    <w:rsid w:val="008A59C7"/>
    <w:rsid w:val="008A5B5C"/>
    <w:rsid w:val="008A5CF0"/>
    <w:rsid w:val="008A5EA5"/>
    <w:rsid w:val="008A5EAE"/>
    <w:rsid w:val="008A6012"/>
    <w:rsid w:val="008A6085"/>
    <w:rsid w:val="008A60D3"/>
    <w:rsid w:val="008A64E0"/>
    <w:rsid w:val="008A6640"/>
    <w:rsid w:val="008A6889"/>
    <w:rsid w:val="008A69A5"/>
    <w:rsid w:val="008A6CE6"/>
    <w:rsid w:val="008A6D0F"/>
    <w:rsid w:val="008A6ECB"/>
    <w:rsid w:val="008A6EF1"/>
    <w:rsid w:val="008A70A0"/>
    <w:rsid w:val="008A728B"/>
    <w:rsid w:val="008A7372"/>
    <w:rsid w:val="008A7644"/>
    <w:rsid w:val="008A78F5"/>
    <w:rsid w:val="008A7986"/>
    <w:rsid w:val="008B02F8"/>
    <w:rsid w:val="008B030F"/>
    <w:rsid w:val="008B03DB"/>
    <w:rsid w:val="008B04B6"/>
    <w:rsid w:val="008B05BE"/>
    <w:rsid w:val="008B0748"/>
    <w:rsid w:val="008B0BC6"/>
    <w:rsid w:val="008B0C1C"/>
    <w:rsid w:val="008B0E6D"/>
    <w:rsid w:val="008B0F57"/>
    <w:rsid w:val="008B10C4"/>
    <w:rsid w:val="008B1599"/>
    <w:rsid w:val="008B16EF"/>
    <w:rsid w:val="008B1704"/>
    <w:rsid w:val="008B18C4"/>
    <w:rsid w:val="008B1A84"/>
    <w:rsid w:val="008B1BF7"/>
    <w:rsid w:val="008B1EA4"/>
    <w:rsid w:val="008B2030"/>
    <w:rsid w:val="008B2148"/>
    <w:rsid w:val="008B2292"/>
    <w:rsid w:val="008B2408"/>
    <w:rsid w:val="008B254C"/>
    <w:rsid w:val="008B267A"/>
    <w:rsid w:val="008B2939"/>
    <w:rsid w:val="008B2CCF"/>
    <w:rsid w:val="008B2E70"/>
    <w:rsid w:val="008B2FB8"/>
    <w:rsid w:val="008B318E"/>
    <w:rsid w:val="008B326C"/>
    <w:rsid w:val="008B340A"/>
    <w:rsid w:val="008B357C"/>
    <w:rsid w:val="008B39B4"/>
    <w:rsid w:val="008B3A2E"/>
    <w:rsid w:val="008B3B23"/>
    <w:rsid w:val="008B3B59"/>
    <w:rsid w:val="008B3F44"/>
    <w:rsid w:val="008B3F6A"/>
    <w:rsid w:val="008B405F"/>
    <w:rsid w:val="008B42A1"/>
    <w:rsid w:val="008B4357"/>
    <w:rsid w:val="008B46DC"/>
    <w:rsid w:val="008B5036"/>
    <w:rsid w:val="008B5053"/>
    <w:rsid w:val="008B529C"/>
    <w:rsid w:val="008B52C8"/>
    <w:rsid w:val="008B530A"/>
    <w:rsid w:val="008B55B5"/>
    <w:rsid w:val="008B55F9"/>
    <w:rsid w:val="008B565B"/>
    <w:rsid w:val="008B56BB"/>
    <w:rsid w:val="008B571B"/>
    <w:rsid w:val="008B5B21"/>
    <w:rsid w:val="008B5E2B"/>
    <w:rsid w:val="008B5FEA"/>
    <w:rsid w:val="008B613E"/>
    <w:rsid w:val="008B63B8"/>
    <w:rsid w:val="008B64A7"/>
    <w:rsid w:val="008B65B3"/>
    <w:rsid w:val="008B660F"/>
    <w:rsid w:val="008B6B02"/>
    <w:rsid w:val="008B6D2A"/>
    <w:rsid w:val="008B6E4F"/>
    <w:rsid w:val="008B6F70"/>
    <w:rsid w:val="008B727E"/>
    <w:rsid w:val="008B773B"/>
    <w:rsid w:val="008B7767"/>
    <w:rsid w:val="008B7AA3"/>
    <w:rsid w:val="008B7B0D"/>
    <w:rsid w:val="008B7FE7"/>
    <w:rsid w:val="008C00CC"/>
    <w:rsid w:val="008C07C9"/>
    <w:rsid w:val="008C07E2"/>
    <w:rsid w:val="008C0905"/>
    <w:rsid w:val="008C093A"/>
    <w:rsid w:val="008C0B8B"/>
    <w:rsid w:val="008C0C01"/>
    <w:rsid w:val="008C0E89"/>
    <w:rsid w:val="008C1062"/>
    <w:rsid w:val="008C11A7"/>
    <w:rsid w:val="008C129D"/>
    <w:rsid w:val="008C132B"/>
    <w:rsid w:val="008C1530"/>
    <w:rsid w:val="008C1909"/>
    <w:rsid w:val="008C1AEB"/>
    <w:rsid w:val="008C1E41"/>
    <w:rsid w:val="008C1F49"/>
    <w:rsid w:val="008C21BD"/>
    <w:rsid w:val="008C2343"/>
    <w:rsid w:val="008C237C"/>
    <w:rsid w:val="008C2441"/>
    <w:rsid w:val="008C2678"/>
    <w:rsid w:val="008C2B9E"/>
    <w:rsid w:val="008C2CA7"/>
    <w:rsid w:val="008C2F69"/>
    <w:rsid w:val="008C2F8C"/>
    <w:rsid w:val="008C3331"/>
    <w:rsid w:val="008C3543"/>
    <w:rsid w:val="008C3666"/>
    <w:rsid w:val="008C3711"/>
    <w:rsid w:val="008C385C"/>
    <w:rsid w:val="008C3B41"/>
    <w:rsid w:val="008C3C14"/>
    <w:rsid w:val="008C3D44"/>
    <w:rsid w:val="008C3E54"/>
    <w:rsid w:val="008C4013"/>
    <w:rsid w:val="008C4177"/>
    <w:rsid w:val="008C46A6"/>
    <w:rsid w:val="008C46B8"/>
    <w:rsid w:val="008C4818"/>
    <w:rsid w:val="008C4CF8"/>
    <w:rsid w:val="008C4E92"/>
    <w:rsid w:val="008C4F71"/>
    <w:rsid w:val="008C55CA"/>
    <w:rsid w:val="008C5674"/>
    <w:rsid w:val="008C5BDB"/>
    <w:rsid w:val="008C5FFB"/>
    <w:rsid w:val="008C608F"/>
    <w:rsid w:val="008C609D"/>
    <w:rsid w:val="008C6224"/>
    <w:rsid w:val="008C643D"/>
    <w:rsid w:val="008C6863"/>
    <w:rsid w:val="008C6B12"/>
    <w:rsid w:val="008C6B36"/>
    <w:rsid w:val="008C6C60"/>
    <w:rsid w:val="008C6E34"/>
    <w:rsid w:val="008C6F5A"/>
    <w:rsid w:val="008C7030"/>
    <w:rsid w:val="008C71CE"/>
    <w:rsid w:val="008C74C1"/>
    <w:rsid w:val="008C77EE"/>
    <w:rsid w:val="008C7952"/>
    <w:rsid w:val="008C7DFA"/>
    <w:rsid w:val="008C7EAC"/>
    <w:rsid w:val="008C7F54"/>
    <w:rsid w:val="008D0058"/>
    <w:rsid w:val="008D00E1"/>
    <w:rsid w:val="008D029E"/>
    <w:rsid w:val="008D0437"/>
    <w:rsid w:val="008D045A"/>
    <w:rsid w:val="008D0958"/>
    <w:rsid w:val="008D09F0"/>
    <w:rsid w:val="008D0ACA"/>
    <w:rsid w:val="008D0D01"/>
    <w:rsid w:val="008D0E66"/>
    <w:rsid w:val="008D0E6D"/>
    <w:rsid w:val="008D1165"/>
    <w:rsid w:val="008D11F1"/>
    <w:rsid w:val="008D1278"/>
    <w:rsid w:val="008D1745"/>
    <w:rsid w:val="008D17B7"/>
    <w:rsid w:val="008D17FA"/>
    <w:rsid w:val="008D1DAC"/>
    <w:rsid w:val="008D21CA"/>
    <w:rsid w:val="008D2256"/>
    <w:rsid w:val="008D25D0"/>
    <w:rsid w:val="008D2887"/>
    <w:rsid w:val="008D29BB"/>
    <w:rsid w:val="008D2EF5"/>
    <w:rsid w:val="008D3139"/>
    <w:rsid w:val="008D31E1"/>
    <w:rsid w:val="008D32D6"/>
    <w:rsid w:val="008D3300"/>
    <w:rsid w:val="008D339A"/>
    <w:rsid w:val="008D3693"/>
    <w:rsid w:val="008D3A00"/>
    <w:rsid w:val="008D3C3B"/>
    <w:rsid w:val="008D408D"/>
    <w:rsid w:val="008D4324"/>
    <w:rsid w:val="008D432F"/>
    <w:rsid w:val="008D446C"/>
    <w:rsid w:val="008D4B56"/>
    <w:rsid w:val="008D4CAA"/>
    <w:rsid w:val="008D4DDA"/>
    <w:rsid w:val="008D4F23"/>
    <w:rsid w:val="008D4F6D"/>
    <w:rsid w:val="008D5103"/>
    <w:rsid w:val="008D513A"/>
    <w:rsid w:val="008D51B6"/>
    <w:rsid w:val="008D533A"/>
    <w:rsid w:val="008D53D8"/>
    <w:rsid w:val="008D5825"/>
    <w:rsid w:val="008D596A"/>
    <w:rsid w:val="008D5A89"/>
    <w:rsid w:val="008D5C0C"/>
    <w:rsid w:val="008D5D8A"/>
    <w:rsid w:val="008D5F45"/>
    <w:rsid w:val="008D63DC"/>
    <w:rsid w:val="008D6413"/>
    <w:rsid w:val="008D6475"/>
    <w:rsid w:val="008D67B2"/>
    <w:rsid w:val="008D67C1"/>
    <w:rsid w:val="008D69CC"/>
    <w:rsid w:val="008D6E21"/>
    <w:rsid w:val="008D6E3C"/>
    <w:rsid w:val="008D6E61"/>
    <w:rsid w:val="008D6FAE"/>
    <w:rsid w:val="008D7007"/>
    <w:rsid w:val="008D7018"/>
    <w:rsid w:val="008D7039"/>
    <w:rsid w:val="008D71A6"/>
    <w:rsid w:val="008D723B"/>
    <w:rsid w:val="008D744C"/>
    <w:rsid w:val="008D745C"/>
    <w:rsid w:val="008D75DD"/>
    <w:rsid w:val="008D7615"/>
    <w:rsid w:val="008D770A"/>
    <w:rsid w:val="008D7792"/>
    <w:rsid w:val="008D784F"/>
    <w:rsid w:val="008D7966"/>
    <w:rsid w:val="008D79B1"/>
    <w:rsid w:val="008D7C70"/>
    <w:rsid w:val="008D7CF2"/>
    <w:rsid w:val="008D7DBD"/>
    <w:rsid w:val="008D7E02"/>
    <w:rsid w:val="008D7EB8"/>
    <w:rsid w:val="008E025D"/>
    <w:rsid w:val="008E02F3"/>
    <w:rsid w:val="008E0345"/>
    <w:rsid w:val="008E03FC"/>
    <w:rsid w:val="008E040B"/>
    <w:rsid w:val="008E045D"/>
    <w:rsid w:val="008E0506"/>
    <w:rsid w:val="008E070C"/>
    <w:rsid w:val="008E0755"/>
    <w:rsid w:val="008E07B1"/>
    <w:rsid w:val="008E0810"/>
    <w:rsid w:val="008E08FE"/>
    <w:rsid w:val="008E0A2A"/>
    <w:rsid w:val="008E0B0F"/>
    <w:rsid w:val="008E0C0E"/>
    <w:rsid w:val="008E0C4A"/>
    <w:rsid w:val="008E0CA5"/>
    <w:rsid w:val="008E0D96"/>
    <w:rsid w:val="008E0F11"/>
    <w:rsid w:val="008E1183"/>
    <w:rsid w:val="008E1248"/>
    <w:rsid w:val="008E1291"/>
    <w:rsid w:val="008E1540"/>
    <w:rsid w:val="008E1560"/>
    <w:rsid w:val="008E1815"/>
    <w:rsid w:val="008E1836"/>
    <w:rsid w:val="008E1A39"/>
    <w:rsid w:val="008E1A54"/>
    <w:rsid w:val="008E1B34"/>
    <w:rsid w:val="008E1D6C"/>
    <w:rsid w:val="008E2017"/>
    <w:rsid w:val="008E21F5"/>
    <w:rsid w:val="008E25F3"/>
    <w:rsid w:val="008E265E"/>
    <w:rsid w:val="008E26A7"/>
    <w:rsid w:val="008E2A2D"/>
    <w:rsid w:val="008E2CAF"/>
    <w:rsid w:val="008E2E51"/>
    <w:rsid w:val="008E30F9"/>
    <w:rsid w:val="008E3320"/>
    <w:rsid w:val="008E35A7"/>
    <w:rsid w:val="008E3886"/>
    <w:rsid w:val="008E398D"/>
    <w:rsid w:val="008E3A2A"/>
    <w:rsid w:val="008E3F2A"/>
    <w:rsid w:val="008E408E"/>
    <w:rsid w:val="008E42A1"/>
    <w:rsid w:val="008E4870"/>
    <w:rsid w:val="008E4879"/>
    <w:rsid w:val="008E49B6"/>
    <w:rsid w:val="008E4C15"/>
    <w:rsid w:val="008E4EB2"/>
    <w:rsid w:val="008E4F3A"/>
    <w:rsid w:val="008E5605"/>
    <w:rsid w:val="008E59EC"/>
    <w:rsid w:val="008E5A8A"/>
    <w:rsid w:val="008E5BBE"/>
    <w:rsid w:val="008E5BE8"/>
    <w:rsid w:val="008E5CE7"/>
    <w:rsid w:val="008E5DC4"/>
    <w:rsid w:val="008E5E20"/>
    <w:rsid w:val="008E602E"/>
    <w:rsid w:val="008E6391"/>
    <w:rsid w:val="008E6850"/>
    <w:rsid w:val="008E6C2E"/>
    <w:rsid w:val="008E6C31"/>
    <w:rsid w:val="008E6D9F"/>
    <w:rsid w:val="008E6EAF"/>
    <w:rsid w:val="008E727E"/>
    <w:rsid w:val="008E73C9"/>
    <w:rsid w:val="008E73F5"/>
    <w:rsid w:val="008E783E"/>
    <w:rsid w:val="008E7842"/>
    <w:rsid w:val="008E798E"/>
    <w:rsid w:val="008E7A10"/>
    <w:rsid w:val="008E7B2B"/>
    <w:rsid w:val="008E7CEC"/>
    <w:rsid w:val="008E7E30"/>
    <w:rsid w:val="008E7F98"/>
    <w:rsid w:val="008F0065"/>
    <w:rsid w:val="008F03E8"/>
    <w:rsid w:val="008F04DF"/>
    <w:rsid w:val="008F0A14"/>
    <w:rsid w:val="008F0C16"/>
    <w:rsid w:val="008F0D75"/>
    <w:rsid w:val="008F0DB9"/>
    <w:rsid w:val="008F0E91"/>
    <w:rsid w:val="008F0E9C"/>
    <w:rsid w:val="008F0EE4"/>
    <w:rsid w:val="008F1162"/>
    <w:rsid w:val="008F1563"/>
    <w:rsid w:val="008F17D5"/>
    <w:rsid w:val="008F18A1"/>
    <w:rsid w:val="008F1D9A"/>
    <w:rsid w:val="008F1DC9"/>
    <w:rsid w:val="008F2008"/>
    <w:rsid w:val="008F21B8"/>
    <w:rsid w:val="008F2416"/>
    <w:rsid w:val="008F243C"/>
    <w:rsid w:val="008F244B"/>
    <w:rsid w:val="008F2D54"/>
    <w:rsid w:val="008F2EF5"/>
    <w:rsid w:val="008F34C4"/>
    <w:rsid w:val="008F375D"/>
    <w:rsid w:val="008F38B7"/>
    <w:rsid w:val="008F39DD"/>
    <w:rsid w:val="008F3AAB"/>
    <w:rsid w:val="008F3C3C"/>
    <w:rsid w:val="008F3D8B"/>
    <w:rsid w:val="008F45BA"/>
    <w:rsid w:val="008F4916"/>
    <w:rsid w:val="008F49B3"/>
    <w:rsid w:val="008F4A5C"/>
    <w:rsid w:val="008F4AC0"/>
    <w:rsid w:val="008F4B24"/>
    <w:rsid w:val="008F4C29"/>
    <w:rsid w:val="008F4C4A"/>
    <w:rsid w:val="008F4C5E"/>
    <w:rsid w:val="008F4E67"/>
    <w:rsid w:val="008F4FFF"/>
    <w:rsid w:val="008F54CF"/>
    <w:rsid w:val="008F55B6"/>
    <w:rsid w:val="008F55E4"/>
    <w:rsid w:val="008F5766"/>
    <w:rsid w:val="008F5C83"/>
    <w:rsid w:val="008F5CF9"/>
    <w:rsid w:val="008F5FDE"/>
    <w:rsid w:val="008F60BA"/>
    <w:rsid w:val="008F6287"/>
    <w:rsid w:val="008F63F3"/>
    <w:rsid w:val="008F64D9"/>
    <w:rsid w:val="008F64DD"/>
    <w:rsid w:val="008F658E"/>
    <w:rsid w:val="008F65DE"/>
    <w:rsid w:val="008F6683"/>
    <w:rsid w:val="008F6872"/>
    <w:rsid w:val="008F6D78"/>
    <w:rsid w:val="008F7165"/>
    <w:rsid w:val="008F71F2"/>
    <w:rsid w:val="008F72A4"/>
    <w:rsid w:val="008F738F"/>
    <w:rsid w:val="008F73F6"/>
    <w:rsid w:val="008F7555"/>
    <w:rsid w:val="008F79C9"/>
    <w:rsid w:val="008F7B61"/>
    <w:rsid w:val="008F7C1F"/>
    <w:rsid w:val="008F7E7C"/>
    <w:rsid w:val="00900060"/>
    <w:rsid w:val="0090028B"/>
    <w:rsid w:val="00900431"/>
    <w:rsid w:val="00900526"/>
    <w:rsid w:val="00900541"/>
    <w:rsid w:val="0090066C"/>
    <w:rsid w:val="00900AC0"/>
    <w:rsid w:val="00900AF0"/>
    <w:rsid w:val="00900BB0"/>
    <w:rsid w:val="00900BF6"/>
    <w:rsid w:val="00900E03"/>
    <w:rsid w:val="009010A9"/>
    <w:rsid w:val="009010FE"/>
    <w:rsid w:val="0090112A"/>
    <w:rsid w:val="0090188E"/>
    <w:rsid w:val="0090195E"/>
    <w:rsid w:val="009019E9"/>
    <w:rsid w:val="00901A05"/>
    <w:rsid w:val="00901BE7"/>
    <w:rsid w:val="00901E97"/>
    <w:rsid w:val="009021C6"/>
    <w:rsid w:val="0090220F"/>
    <w:rsid w:val="00902411"/>
    <w:rsid w:val="009025B5"/>
    <w:rsid w:val="0090262F"/>
    <w:rsid w:val="00902715"/>
    <w:rsid w:val="00902722"/>
    <w:rsid w:val="00902A72"/>
    <w:rsid w:val="00902C6F"/>
    <w:rsid w:val="00902E56"/>
    <w:rsid w:val="00902F06"/>
    <w:rsid w:val="0090322F"/>
    <w:rsid w:val="0090356A"/>
    <w:rsid w:val="009036CC"/>
    <w:rsid w:val="009037D2"/>
    <w:rsid w:val="00903AAC"/>
    <w:rsid w:val="00903F29"/>
    <w:rsid w:val="00904060"/>
    <w:rsid w:val="00904403"/>
    <w:rsid w:val="00904665"/>
    <w:rsid w:val="009047AA"/>
    <w:rsid w:val="00904AAA"/>
    <w:rsid w:val="00904C43"/>
    <w:rsid w:val="0090500B"/>
    <w:rsid w:val="00905154"/>
    <w:rsid w:val="009052F9"/>
    <w:rsid w:val="00905AC8"/>
    <w:rsid w:val="00905CFB"/>
    <w:rsid w:val="00905D54"/>
    <w:rsid w:val="00905D93"/>
    <w:rsid w:val="00905ECD"/>
    <w:rsid w:val="00905F25"/>
    <w:rsid w:val="00906049"/>
    <w:rsid w:val="0090620C"/>
    <w:rsid w:val="00906241"/>
    <w:rsid w:val="0090663A"/>
    <w:rsid w:val="0090665F"/>
    <w:rsid w:val="009066A2"/>
    <w:rsid w:val="0090670F"/>
    <w:rsid w:val="00906726"/>
    <w:rsid w:val="00906951"/>
    <w:rsid w:val="00906B54"/>
    <w:rsid w:val="00906B92"/>
    <w:rsid w:val="00906DE1"/>
    <w:rsid w:val="00907139"/>
    <w:rsid w:val="00907441"/>
    <w:rsid w:val="00907928"/>
    <w:rsid w:val="00907D46"/>
    <w:rsid w:val="00907DE3"/>
    <w:rsid w:val="00907E02"/>
    <w:rsid w:val="00907E0C"/>
    <w:rsid w:val="00907E68"/>
    <w:rsid w:val="009100B6"/>
    <w:rsid w:val="009100F1"/>
    <w:rsid w:val="009101F7"/>
    <w:rsid w:val="00910406"/>
    <w:rsid w:val="00910646"/>
    <w:rsid w:val="009106E7"/>
    <w:rsid w:val="0091070C"/>
    <w:rsid w:val="009107F2"/>
    <w:rsid w:val="0091096B"/>
    <w:rsid w:val="00910C17"/>
    <w:rsid w:val="00910C8F"/>
    <w:rsid w:val="00910FBD"/>
    <w:rsid w:val="0091141E"/>
    <w:rsid w:val="0091143D"/>
    <w:rsid w:val="009115A0"/>
    <w:rsid w:val="00911A57"/>
    <w:rsid w:val="00911CC5"/>
    <w:rsid w:val="00911CDB"/>
    <w:rsid w:val="00911D81"/>
    <w:rsid w:val="00911E12"/>
    <w:rsid w:val="00911FDD"/>
    <w:rsid w:val="00912026"/>
    <w:rsid w:val="00912088"/>
    <w:rsid w:val="009121E9"/>
    <w:rsid w:val="00912221"/>
    <w:rsid w:val="009122C8"/>
    <w:rsid w:val="009123A5"/>
    <w:rsid w:val="009124C1"/>
    <w:rsid w:val="009127E4"/>
    <w:rsid w:val="009127E8"/>
    <w:rsid w:val="00912844"/>
    <w:rsid w:val="00912D21"/>
    <w:rsid w:val="00912EB5"/>
    <w:rsid w:val="00913125"/>
    <w:rsid w:val="00913463"/>
    <w:rsid w:val="009134AE"/>
    <w:rsid w:val="009136B6"/>
    <w:rsid w:val="009138A3"/>
    <w:rsid w:val="009139E0"/>
    <w:rsid w:val="00913AFA"/>
    <w:rsid w:val="00913D09"/>
    <w:rsid w:val="00913FB5"/>
    <w:rsid w:val="00913FC4"/>
    <w:rsid w:val="0091405D"/>
    <w:rsid w:val="0091411A"/>
    <w:rsid w:val="009141DB"/>
    <w:rsid w:val="00914234"/>
    <w:rsid w:val="0091438A"/>
    <w:rsid w:val="009143C2"/>
    <w:rsid w:val="00914873"/>
    <w:rsid w:val="00914AE8"/>
    <w:rsid w:val="00914D80"/>
    <w:rsid w:val="009151AB"/>
    <w:rsid w:val="0091539E"/>
    <w:rsid w:val="009155D7"/>
    <w:rsid w:val="00915622"/>
    <w:rsid w:val="00915A2F"/>
    <w:rsid w:val="00915AED"/>
    <w:rsid w:val="00915B9D"/>
    <w:rsid w:val="00915BB9"/>
    <w:rsid w:val="00915D29"/>
    <w:rsid w:val="00915F50"/>
    <w:rsid w:val="00915F78"/>
    <w:rsid w:val="0091608F"/>
    <w:rsid w:val="009160EA"/>
    <w:rsid w:val="009163AA"/>
    <w:rsid w:val="00916843"/>
    <w:rsid w:val="009168D1"/>
    <w:rsid w:val="00916A26"/>
    <w:rsid w:val="00916C64"/>
    <w:rsid w:val="0091703D"/>
    <w:rsid w:val="009174AA"/>
    <w:rsid w:val="00917586"/>
    <w:rsid w:val="00917950"/>
    <w:rsid w:val="009179D1"/>
    <w:rsid w:val="00917D7F"/>
    <w:rsid w:val="00917E25"/>
    <w:rsid w:val="00917E4A"/>
    <w:rsid w:val="00920518"/>
    <w:rsid w:val="009206BD"/>
    <w:rsid w:val="0092074B"/>
    <w:rsid w:val="00920AB2"/>
    <w:rsid w:val="00920B35"/>
    <w:rsid w:val="00920D2E"/>
    <w:rsid w:val="00920D80"/>
    <w:rsid w:val="00920DFF"/>
    <w:rsid w:val="00920ECF"/>
    <w:rsid w:val="00920EE7"/>
    <w:rsid w:val="00920FB4"/>
    <w:rsid w:val="009210BD"/>
    <w:rsid w:val="0092118F"/>
    <w:rsid w:val="0092133E"/>
    <w:rsid w:val="0092138E"/>
    <w:rsid w:val="009213D3"/>
    <w:rsid w:val="00921643"/>
    <w:rsid w:val="009216A7"/>
    <w:rsid w:val="00921744"/>
    <w:rsid w:val="00921780"/>
    <w:rsid w:val="009218E3"/>
    <w:rsid w:val="00921AB7"/>
    <w:rsid w:val="0092256B"/>
    <w:rsid w:val="00922592"/>
    <w:rsid w:val="0092294D"/>
    <w:rsid w:val="00922A13"/>
    <w:rsid w:val="00922A63"/>
    <w:rsid w:val="00922FE8"/>
    <w:rsid w:val="009230B1"/>
    <w:rsid w:val="009230EC"/>
    <w:rsid w:val="00923238"/>
    <w:rsid w:val="009233E2"/>
    <w:rsid w:val="0092351C"/>
    <w:rsid w:val="009238A3"/>
    <w:rsid w:val="009238A8"/>
    <w:rsid w:val="00923970"/>
    <w:rsid w:val="00923AA4"/>
    <w:rsid w:val="00923B12"/>
    <w:rsid w:val="00923D06"/>
    <w:rsid w:val="00923F87"/>
    <w:rsid w:val="00923FC7"/>
    <w:rsid w:val="00924274"/>
    <w:rsid w:val="009242C9"/>
    <w:rsid w:val="009245B5"/>
    <w:rsid w:val="009245D9"/>
    <w:rsid w:val="00924812"/>
    <w:rsid w:val="00924BA6"/>
    <w:rsid w:val="00924C54"/>
    <w:rsid w:val="00924E83"/>
    <w:rsid w:val="00924F56"/>
    <w:rsid w:val="00924FD9"/>
    <w:rsid w:val="0092546A"/>
    <w:rsid w:val="009254FB"/>
    <w:rsid w:val="00925605"/>
    <w:rsid w:val="0092580E"/>
    <w:rsid w:val="00925935"/>
    <w:rsid w:val="00925A0F"/>
    <w:rsid w:val="00925D0A"/>
    <w:rsid w:val="00925DA7"/>
    <w:rsid w:val="0092614D"/>
    <w:rsid w:val="009261C4"/>
    <w:rsid w:val="00926714"/>
    <w:rsid w:val="00926892"/>
    <w:rsid w:val="009269AF"/>
    <w:rsid w:val="009269D3"/>
    <w:rsid w:val="00926BB4"/>
    <w:rsid w:val="00926F4A"/>
    <w:rsid w:val="00926F75"/>
    <w:rsid w:val="00927299"/>
    <w:rsid w:val="009273C7"/>
    <w:rsid w:val="009274E4"/>
    <w:rsid w:val="0092753F"/>
    <w:rsid w:val="0092756D"/>
    <w:rsid w:val="00927977"/>
    <w:rsid w:val="009279AC"/>
    <w:rsid w:val="009279E6"/>
    <w:rsid w:val="00927A74"/>
    <w:rsid w:val="00927AB0"/>
    <w:rsid w:val="00927AFD"/>
    <w:rsid w:val="00927BC0"/>
    <w:rsid w:val="00927C46"/>
    <w:rsid w:val="00927E58"/>
    <w:rsid w:val="00930071"/>
    <w:rsid w:val="00930370"/>
    <w:rsid w:val="00930452"/>
    <w:rsid w:val="00930511"/>
    <w:rsid w:val="00930657"/>
    <w:rsid w:val="00930777"/>
    <w:rsid w:val="0093081F"/>
    <w:rsid w:val="0093088A"/>
    <w:rsid w:val="00930B93"/>
    <w:rsid w:val="00930D4B"/>
    <w:rsid w:val="009312BB"/>
    <w:rsid w:val="00931445"/>
    <w:rsid w:val="00931639"/>
    <w:rsid w:val="009317EC"/>
    <w:rsid w:val="009318EB"/>
    <w:rsid w:val="009318F3"/>
    <w:rsid w:val="00931B79"/>
    <w:rsid w:val="00931BD1"/>
    <w:rsid w:val="00931BE0"/>
    <w:rsid w:val="00931C75"/>
    <w:rsid w:val="00931DB0"/>
    <w:rsid w:val="009322CB"/>
    <w:rsid w:val="00932445"/>
    <w:rsid w:val="00932746"/>
    <w:rsid w:val="0093293A"/>
    <w:rsid w:val="0093297D"/>
    <w:rsid w:val="00932A47"/>
    <w:rsid w:val="00932BDD"/>
    <w:rsid w:val="00932DEE"/>
    <w:rsid w:val="00932EA0"/>
    <w:rsid w:val="00932F08"/>
    <w:rsid w:val="00932F46"/>
    <w:rsid w:val="0093314D"/>
    <w:rsid w:val="0093327A"/>
    <w:rsid w:val="009332AC"/>
    <w:rsid w:val="009332E2"/>
    <w:rsid w:val="009332F7"/>
    <w:rsid w:val="009334B6"/>
    <w:rsid w:val="009334CF"/>
    <w:rsid w:val="00933DBA"/>
    <w:rsid w:val="00933F77"/>
    <w:rsid w:val="00934345"/>
    <w:rsid w:val="00934424"/>
    <w:rsid w:val="0093447C"/>
    <w:rsid w:val="0093453C"/>
    <w:rsid w:val="00934650"/>
    <w:rsid w:val="009346AE"/>
    <w:rsid w:val="0093477A"/>
    <w:rsid w:val="00934C4F"/>
    <w:rsid w:val="00934E32"/>
    <w:rsid w:val="00934E41"/>
    <w:rsid w:val="009350F6"/>
    <w:rsid w:val="00935377"/>
    <w:rsid w:val="00935407"/>
    <w:rsid w:val="009356DA"/>
    <w:rsid w:val="009357AB"/>
    <w:rsid w:val="00935A35"/>
    <w:rsid w:val="00935BE1"/>
    <w:rsid w:val="00935BFB"/>
    <w:rsid w:val="00935D35"/>
    <w:rsid w:val="00935DFD"/>
    <w:rsid w:val="00935FDF"/>
    <w:rsid w:val="009360B8"/>
    <w:rsid w:val="00936229"/>
    <w:rsid w:val="00936469"/>
    <w:rsid w:val="0093658B"/>
    <w:rsid w:val="009365B5"/>
    <w:rsid w:val="009368EC"/>
    <w:rsid w:val="00936C40"/>
    <w:rsid w:val="0093711D"/>
    <w:rsid w:val="0093717F"/>
    <w:rsid w:val="00937238"/>
    <w:rsid w:val="009376FF"/>
    <w:rsid w:val="00937C08"/>
    <w:rsid w:val="00940262"/>
    <w:rsid w:val="0094029D"/>
    <w:rsid w:val="00940470"/>
    <w:rsid w:val="009404FE"/>
    <w:rsid w:val="0094078A"/>
    <w:rsid w:val="009408D1"/>
    <w:rsid w:val="00940D80"/>
    <w:rsid w:val="00940ED9"/>
    <w:rsid w:val="00940FA7"/>
    <w:rsid w:val="009410D0"/>
    <w:rsid w:val="00941145"/>
    <w:rsid w:val="00941169"/>
    <w:rsid w:val="009413E3"/>
    <w:rsid w:val="00941428"/>
    <w:rsid w:val="00941437"/>
    <w:rsid w:val="009416BB"/>
    <w:rsid w:val="009417CB"/>
    <w:rsid w:val="0094183E"/>
    <w:rsid w:val="00941842"/>
    <w:rsid w:val="009418C8"/>
    <w:rsid w:val="009419AD"/>
    <w:rsid w:val="00941C26"/>
    <w:rsid w:val="0094250F"/>
    <w:rsid w:val="00942586"/>
    <w:rsid w:val="00942783"/>
    <w:rsid w:val="00942831"/>
    <w:rsid w:val="0094291A"/>
    <w:rsid w:val="00942947"/>
    <w:rsid w:val="00942AEE"/>
    <w:rsid w:val="00942D5C"/>
    <w:rsid w:val="0094303A"/>
    <w:rsid w:val="0094328B"/>
    <w:rsid w:val="00943293"/>
    <w:rsid w:val="009433C4"/>
    <w:rsid w:val="0094389A"/>
    <w:rsid w:val="00943B24"/>
    <w:rsid w:val="00943B2D"/>
    <w:rsid w:val="00943B64"/>
    <w:rsid w:val="00943B69"/>
    <w:rsid w:val="00943DCE"/>
    <w:rsid w:val="0094400A"/>
    <w:rsid w:val="00944162"/>
    <w:rsid w:val="0094435C"/>
    <w:rsid w:val="00944ECD"/>
    <w:rsid w:val="00945016"/>
    <w:rsid w:val="009450F8"/>
    <w:rsid w:val="00945333"/>
    <w:rsid w:val="0094551F"/>
    <w:rsid w:val="009456E4"/>
    <w:rsid w:val="0094584E"/>
    <w:rsid w:val="00945C22"/>
    <w:rsid w:val="00945DB0"/>
    <w:rsid w:val="00946222"/>
    <w:rsid w:val="00946357"/>
    <w:rsid w:val="00946499"/>
    <w:rsid w:val="0094656D"/>
    <w:rsid w:val="00946798"/>
    <w:rsid w:val="00946804"/>
    <w:rsid w:val="00946862"/>
    <w:rsid w:val="0094689C"/>
    <w:rsid w:val="00946919"/>
    <w:rsid w:val="0094692F"/>
    <w:rsid w:val="00946931"/>
    <w:rsid w:val="00946968"/>
    <w:rsid w:val="00946CF1"/>
    <w:rsid w:val="00946F1E"/>
    <w:rsid w:val="009472F5"/>
    <w:rsid w:val="00947439"/>
    <w:rsid w:val="009475E3"/>
    <w:rsid w:val="00947866"/>
    <w:rsid w:val="00947908"/>
    <w:rsid w:val="009479AD"/>
    <w:rsid w:val="009479AF"/>
    <w:rsid w:val="009479B2"/>
    <w:rsid w:val="00947B36"/>
    <w:rsid w:val="00947ED2"/>
    <w:rsid w:val="00947F4C"/>
    <w:rsid w:val="00950028"/>
    <w:rsid w:val="00950037"/>
    <w:rsid w:val="009500D6"/>
    <w:rsid w:val="009501A4"/>
    <w:rsid w:val="009501B1"/>
    <w:rsid w:val="0095057A"/>
    <w:rsid w:val="00950601"/>
    <w:rsid w:val="0095060E"/>
    <w:rsid w:val="0095083E"/>
    <w:rsid w:val="00950AF5"/>
    <w:rsid w:val="00950CD3"/>
    <w:rsid w:val="00950FB5"/>
    <w:rsid w:val="0095147E"/>
    <w:rsid w:val="009514BF"/>
    <w:rsid w:val="009517B5"/>
    <w:rsid w:val="009518E1"/>
    <w:rsid w:val="00951A90"/>
    <w:rsid w:val="00951AAE"/>
    <w:rsid w:val="00951BF2"/>
    <w:rsid w:val="00951C4D"/>
    <w:rsid w:val="00951D53"/>
    <w:rsid w:val="00951F3D"/>
    <w:rsid w:val="009520B3"/>
    <w:rsid w:val="00952467"/>
    <w:rsid w:val="00952539"/>
    <w:rsid w:val="009525A2"/>
    <w:rsid w:val="00952703"/>
    <w:rsid w:val="009528B7"/>
    <w:rsid w:val="00952A5D"/>
    <w:rsid w:val="00952D0C"/>
    <w:rsid w:val="00952D5F"/>
    <w:rsid w:val="00952D93"/>
    <w:rsid w:val="00952DC3"/>
    <w:rsid w:val="0095307A"/>
    <w:rsid w:val="00953A4C"/>
    <w:rsid w:val="00953B8D"/>
    <w:rsid w:val="00953C39"/>
    <w:rsid w:val="00953C91"/>
    <w:rsid w:val="00953CD8"/>
    <w:rsid w:val="0095418A"/>
    <w:rsid w:val="0095441D"/>
    <w:rsid w:val="00954786"/>
    <w:rsid w:val="00954FD2"/>
    <w:rsid w:val="0095507B"/>
    <w:rsid w:val="009551A5"/>
    <w:rsid w:val="009552FA"/>
    <w:rsid w:val="009553D6"/>
    <w:rsid w:val="009553EA"/>
    <w:rsid w:val="0095547A"/>
    <w:rsid w:val="0095574C"/>
    <w:rsid w:val="009558E4"/>
    <w:rsid w:val="00955AFB"/>
    <w:rsid w:val="00955BA0"/>
    <w:rsid w:val="00955FE1"/>
    <w:rsid w:val="00956587"/>
    <w:rsid w:val="009566F2"/>
    <w:rsid w:val="00956D3C"/>
    <w:rsid w:val="00956E49"/>
    <w:rsid w:val="00957005"/>
    <w:rsid w:val="00957147"/>
    <w:rsid w:val="00957172"/>
    <w:rsid w:val="0095799D"/>
    <w:rsid w:val="00957D4A"/>
    <w:rsid w:val="00960408"/>
    <w:rsid w:val="00960563"/>
    <w:rsid w:val="00960589"/>
    <w:rsid w:val="009605CB"/>
    <w:rsid w:val="009608CE"/>
    <w:rsid w:val="009608F9"/>
    <w:rsid w:val="00960D0A"/>
    <w:rsid w:val="00960D1D"/>
    <w:rsid w:val="00960DC3"/>
    <w:rsid w:val="00960DEC"/>
    <w:rsid w:val="009615C2"/>
    <w:rsid w:val="00961883"/>
    <w:rsid w:val="00961922"/>
    <w:rsid w:val="00961928"/>
    <w:rsid w:val="00961A62"/>
    <w:rsid w:val="00961BA9"/>
    <w:rsid w:val="00961C4B"/>
    <w:rsid w:val="00961CF5"/>
    <w:rsid w:val="00961D53"/>
    <w:rsid w:val="00962023"/>
    <w:rsid w:val="0096223F"/>
    <w:rsid w:val="009624C2"/>
    <w:rsid w:val="009628C1"/>
    <w:rsid w:val="00962C0A"/>
    <w:rsid w:val="00962C3D"/>
    <w:rsid w:val="00962CDD"/>
    <w:rsid w:val="009630DB"/>
    <w:rsid w:val="0096315D"/>
    <w:rsid w:val="00963193"/>
    <w:rsid w:val="009632DB"/>
    <w:rsid w:val="0096360E"/>
    <w:rsid w:val="009639C7"/>
    <w:rsid w:val="00963C37"/>
    <w:rsid w:val="00963D76"/>
    <w:rsid w:val="009640A3"/>
    <w:rsid w:val="009641EA"/>
    <w:rsid w:val="0096433F"/>
    <w:rsid w:val="00964A1A"/>
    <w:rsid w:val="00964C05"/>
    <w:rsid w:val="00964CDF"/>
    <w:rsid w:val="00965385"/>
    <w:rsid w:val="00965399"/>
    <w:rsid w:val="009653B4"/>
    <w:rsid w:val="00965428"/>
    <w:rsid w:val="00965794"/>
    <w:rsid w:val="009658C9"/>
    <w:rsid w:val="009659B4"/>
    <w:rsid w:val="009659DA"/>
    <w:rsid w:val="0096622C"/>
    <w:rsid w:val="00966412"/>
    <w:rsid w:val="0096644A"/>
    <w:rsid w:val="0096652F"/>
    <w:rsid w:val="00966912"/>
    <w:rsid w:val="00966E3E"/>
    <w:rsid w:val="0096714E"/>
    <w:rsid w:val="00967262"/>
    <w:rsid w:val="0096732B"/>
    <w:rsid w:val="009674B5"/>
    <w:rsid w:val="00967A83"/>
    <w:rsid w:val="00967AD0"/>
    <w:rsid w:val="00967BC8"/>
    <w:rsid w:val="00967DFB"/>
    <w:rsid w:val="00970088"/>
    <w:rsid w:val="00970364"/>
    <w:rsid w:val="00970509"/>
    <w:rsid w:val="009705C5"/>
    <w:rsid w:val="00970686"/>
    <w:rsid w:val="00970855"/>
    <w:rsid w:val="00970B6F"/>
    <w:rsid w:val="00970BCB"/>
    <w:rsid w:val="00970FB0"/>
    <w:rsid w:val="0097108C"/>
    <w:rsid w:val="0097130F"/>
    <w:rsid w:val="00971442"/>
    <w:rsid w:val="009716C7"/>
    <w:rsid w:val="00971852"/>
    <w:rsid w:val="0097185D"/>
    <w:rsid w:val="0097186A"/>
    <w:rsid w:val="00971E39"/>
    <w:rsid w:val="0097213A"/>
    <w:rsid w:val="009721C0"/>
    <w:rsid w:val="009723FC"/>
    <w:rsid w:val="0097240B"/>
    <w:rsid w:val="00972482"/>
    <w:rsid w:val="00972491"/>
    <w:rsid w:val="00972AA3"/>
    <w:rsid w:val="00972BD9"/>
    <w:rsid w:val="00972EAA"/>
    <w:rsid w:val="00972F10"/>
    <w:rsid w:val="0097301B"/>
    <w:rsid w:val="00973721"/>
    <w:rsid w:val="00973A27"/>
    <w:rsid w:val="00974360"/>
    <w:rsid w:val="00974371"/>
    <w:rsid w:val="009746E2"/>
    <w:rsid w:val="0097474D"/>
    <w:rsid w:val="00974DC2"/>
    <w:rsid w:val="0097505F"/>
    <w:rsid w:val="00975132"/>
    <w:rsid w:val="00975318"/>
    <w:rsid w:val="009754DC"/>
    <w:rsid w:val="00975CBE"/>
    <w:rsid w:val="00975E47"/>
    <w:rsid w:val="009760D3"/>
    <w:rsid w:val="009764A6"/>
    <w:rsid w:val="009764E1"/>
    <w:rsid w:val="009766B5"/>
    <w:rsid w:val="009769EC"/>
    <w:rsid w:val="00976A5A"/>
    <w:rsid w:val="00976AB8"/>
    <w:rsid w:val="00976F7B"/>
    <w:rsid w:val="0097711A"/>
    <w:rsid w:val="009771A6"/>
    <w:rsid w:val="00977327"/>
    <w:rsid w:val="00977401"/>
    <w:rsid w:val="00977555"/>
    <w:rsid w:val="00977562"/>
    <w:rsid w:val="0097770D"/>
    <w:rsid w:val="00977A13"/>
    <w:rsid w:val="00980013"/>
    <w:rsid w:val="00980266"/>
    <w:rsid w:val="0098027A"/>
    <w:rsid w:val="00980370"/>
    <w:rsid w:val="00980562"/>
    <w:rsid w:val="00980608"/>
    <w:rsid w:val="0098065E"/>
    <w:rsid w:val="00980762"/>
    <w:rsid w:val="009808D9"/>
    <w:rsid w:val="00980C21"/>
    <w:rsid w:val="00980F37"/>
    <w:rsid w:val="00981310"/>
    <w:rsid w:val="00981408"/>
    <w:rsid w:val="00981501"/>
    <w:rsid w:val="00981551"/>
    <w:rsid w:val="009816DD"/>
    <w:rsid w:val="009817BD"/>
    <w:rsid w:val="0098181E"/>
    <w:rsid w:val="00981DEC"/>
    <w:rsid w:val="00981E16"/>
    <w:rsid w:val="0098256D"/>
    <w:rsid w:val="0098264B"/>
    <w:rsid w:val="0098288E"/>
    <w:rsid w:val="009829B6"/>
    <w:rsid w:val="009833CC"/>
    <w:rsid w:val="00983416"/>
    <w:rsid w:val="0098380F"/>
    <w:rsid w:val="0098384E"/>
    <w:rsid w:val="00983B58"/>
    <w:rsid w:val="00983BAB"/>
    <w:rsid w:val="00983CCB"/>
    <w:rsid w:val="009840C0"/>
    <w:rsid w:val="009842E4"/>
    <w:rsid w:val="00984A6C"/>
    <w:rsid w:val="00984CCD"/>
    <w:rsid w:val="00984DCA"/>
    <w:rsid w:val="00984DCC"/>
    <w:rsid w:val="00984ED4"/>
    <w:rsid w:val="00984F78"/>
    <w:rsid w:val="00984FA7"/>
    <w:rsid w:val="009850EE"/>
    <w:rsid w:val="009851B3"/>
    <w:rsid w:val="009855E3"/>
    <w:rsid w:val="0098569B"/>
    <w:rsid w:val="00985909"/>
    <w:rsid w:val="0098591C"/>
    <w:rsid w:val="009859D2"/>
    <w:rsid w:val="00985A9C"/>
    <w:rsid w:val="00985AE1"/>
    <w:rsid w:val="00985B31"/>
    <w:rsid w:val="00985D1C"/>
    <w:rsid w:val="00985E31"/>
    <w:rsid w:val="00985FBC"/>
    <w:rsid w:val="00986593"/>
    <w:rsid w:val="00986812"/>
    <w:rsid w:val="009868CA"/>
    <w:rsid w:val="00986944"/>
    <w:rsid w:val="00986F85"/>
    <w:rsid w:val="00986FA3"/>
    <w:rsid w:val="009874C4"/>
    <w:rsid w:val="009875BF"/>
    <w:rsid w:val="0098783E"/>
    <w:rsid w:val="0098793C"/>
    <w:rsid w:val="009879C0"/>
    <w:rsid w:val="00987B0A"/>
    <w:rsid w:val="00987C62"/>
    <w:rsid w:val="00987D93"/>
    <w:rsid w:val="00987DE1"/>
    <w:rsid w:val="00990075"/>
    <w:rsid w:val="009900A5"/>
    <w:rsid w:val="009900E2"/>
    <w:rsid w:val="009903A2"/>
    <w:rsid w:val="0099040F"/>
    <w:rsid w:val="0099051E"/>
    <w:rsid w:val="009905B4"/>
    <w:rsid w:val="0099062E"/>
    <w:rsid w:val="0099063B"/>
    <w:rsid w:val="009907FF"/>
    <w:rsid w:val="00990861"/>
    <w:rsid w:val="009908B2"/>
    <w:rsid w:val="00990926"/>
    <w:rsid w:val="00990952"/>
    <w:rsid w:val="00990D17"/>
    <w:rsid w:val="00990ECD"/>
    <w:rsid w:val="009912B2"/>
    <w:rsid w:val="0099134D"/>
    <w:rsid w:val="009918AA"/>
    <w:rsid w:val="00991A6B"/>
    <w:rsid w:val="00991FBA"/>
    <w:rsid w:val="009924C8"/>
    <w:rsid w:val="00992CD9"/>
    <w:rsid w:val="00992E9F"/>
    <w:rsid w:val="009933CF"/>
    <w:rsid w:val="00993655"/>
    <w:rsid w:val="009937A6"/>
    <w:rsid w:val="009937F9"/>
    <w:rsid w:val="00993A5C"/>
    <w:rsid w:val="00993D6A"/>
    <w:rsid w:val="00993F75"/>
    <w:rsid w:val="00993FA1"/>
    <w:rsid w:val="00994095"/>
    <w:rsid w:val="009945DC"/>
    <w:rsid w:val="009945DE"/>
    <w:rsid w:val="00994916"/>
    <w:rsid w:val="00994C5F"/>
    <w:rsid w:val="00994D1A"/>
    <w:rsid w:val="00994E21"/>
    <w:rsid w:val="00994FC8"/>
    <w:rsid w:val="00995231"/>
    <w:rsid w:val="00995366"/>
    <w:rsid w:val="00995528"/>
    <w:rsid w:val="009955BD"/>
    <w:rsid w:val="009957A2"/>
    <w:rsid w:val="009957D3"/>
    <w:rsid w:val="00995893"/>
    <w:rsid w:val="0099590A"/>
    <w:rsid w:val="00995928"/>
    <w:rsid w:val="00995E07"/>
    <w:rsid w:val="00996003"/>
    <w:rsid w:val="00996068"/>
    <w:rsid w:val="0099616B"/>
    <w:rsid w:val="009961C3"/>
    <w:rsid w:val="009962AE"/>
    <w:rsid w:val="00996333"/>
    <w:rsid w:val="00996357"/>
    <w:rsid w:val="00996378"/>
    <w:rsid w:val="00996582"/>
    <w:rsid w:val="009965CF"/>
    <w:rsid w:val="00996682"/>
    <w:rsid w:val="00996719"/>
    <w:rsid w:val="0099678F"/>
    <w:rsid w:val="00996949"/>
    <w:rsid w:val="00996ABB"/>
    <w:rsid w:val="00996ADA"/>
    <w:rsid w:val="00996C35"/>
    <w:rsid w:val="00996F96"/>
    <w:rsid w:val="0099703F"/>
    <w:rsid w:val="00997283"/>
    <w:rsid w:val="00997633"/>
    <w:rsid w:val="00997A77"/>
    <w:rsid w:val="00997BB0"/>
    <w:rsid w:val="00997D02"/>
    <w:rsid w:val="00997F28"/>
    <w:rsid w:val="00997F55"/>
    <w:rsid w:val="009A02C3"/>
    <w:rsid w:val="009A0442"/>
    <w:rsid w:val="009A065F"/>
    <w:rsid w:val="009A0C85"/>
    <w:rsid w:val="009A1056"/>
    <w:rsid w:val="009A114F"/>
    <w:rsid w:val="009A12A2"/>
    <w:rsid w:val="009A138C"/>
    <w:rsid w:val="009A13AE"/>
    <w:rsid w:val="009A148F"/>
    <w:rsid w:val="009A1586"/>
    <w:rsid w:val="009A16A3"/>
    <w:rsid w:val="009A16B3"/>
    <w:rsid w:val="009A1829"/>
    <w:rsid w:val="009A183D"/>
    <w:rsid w:val="009A1A1F"/>
    <w:rsid w:val="009A1AF0"/>
    <w:rsid w:val="009A1B42"/>
    <w:rsid w:val="009A1D31"/>
    <w:rsid w:val="009A1DF4"/>
    <w:rsid w:val="009A1E21"/>
    <w:rsid w:val="009A26CF"/>
    <w:rsid w:val="009A283B"/>
    <w:rsid w:val="009A289F"/>
    <w:rsid w:val="009A2AFE"/>
    <w:rsid w:val="009A2BC4"/>
    <w:rsid w:val="009A2D6C"/>
    <w:rsid w:val="009A33C7"/>
    <w:rsid w:val="009A35E0"/>
    <w:rsid w:val="009A383F"/>
    <w:rsid w:val="009A3B39"/>
    <w:rsid w:val="009A3E32"/>
    <w:rsid w:val="009A3F4E"/>
    <w:rsid w:val="009A3F6B"/>
    <w:rsid w:val="009A40DB"/>
    <w:rsid w:val="009A41CD"/>
    <w:rsid w:val="009A4207"/>
    <w:rsid w:val="009A4781"/>
    <w:rsid w:val="009A47DC"/>
    <w:rsid w:val="009A49B9"/>
    <w:rsid w:val="009A4DA1"/>
    <w:rsid w:val="009A4EF4"/>
    <w:rsid w:val="009A5237"/>
    <w:rsid w:val="009A5330"/>
    <w:rsid w:val="009A558A"/>
    <w:rsid w:val="009A5CBF"/>
    <w:rsid w:val="009A5CD3"/>
    <w:rsid w:val="009A5E62"/>
    <w:rsid w:val="009A600F"/>
    <w:rsid w:val="009A606F"/>
    <w:rsid w:val="009A6073"/>
    <w:rsid w:val="009A62F5"/>
    <w:rsid w:val="009A6406"/>
    <w:rsid w:val="009A6477"/>
    <w:rsid w:val="009A6661"/>
    <w:rsid w:val="009A6848"/>
    <w:rsid w:val="009A69EB"/>
    <w:rsid w:val="009A6CE1"/>
    <w:rsid w:val="009A6F65"/>
    <w:rsid w:val="009A6FC2"/>
    <w:rsid w:val="009A71CF"/>
    <w:rsid w:val="009A72EE"/>
    <w:rsid w:val="009A753C"/>
    <w:rsid w:val="009A7672"/>
    <w:rsid w:val="009A771E"/>
    <w:rsid w:val="009A779B"/>
    <w:rsid w:val="009A7863"/>
    <w:rsid w:val="009A78CE"/>
    <w:rsid w:val="009A7927"/>
    <w:rsid w:val="009A7C1E"/>
    <w:rsid w:val="009A7D7F"/>
    <w:rsid w:val="009A7DE8"/>
    <w:rsid w:val="009A7DF6"/>
    <w:rsid w:val="009A7EF2"/>
    <w:rsid w:val="009B01F8"/>
    <w:rsid w:val="009B0355"/>
    <w:rsid w:val="009B04C3"/>
    <w:rsid w:val="009B052F"/>
    <w:rsid w:val="009B056F"/>
    <w:rsid w:val="009B07C3"/>
    <w:rsid w:val="009B0A1B"/>
    <w:rsid w:val="009B0C4E"/>
    <w:rsid w:val="009B0FE3"/>
    <w:rsid w:val="009B102C"/>
    <w:rsid w:val="009B1255"/>
    <w:rsid w:val="009B1412"/>
    <w:rsid w:val="009B146D"/>
    <w:rsid w:val="009B1551"/>
    <w:rsid w:val="009B1999"/>
    <w:rsid w:val="009B1E98"/>
    <w:rsid w:val="009B2364"/>
    <w:rsid w:val="009B23B9"/>
    <w:rsid w:val="009B2472"/>
    <w:rsid w:val="009B24BD"/>
    <w:rsid w:val="009B24F5"/>
    <w:rsid w:val="009B25DE"/>
    <w:rsid w:val="009B29F9"/>
    <w:rsid w:val="009B29FA"/>
    <w:rsid w:val="009B2B2A"/>
    <w:rsid w:val="009B2C06"/>
    <w:rsid w:val="009B2CC6"/>
    <w:rsid w:val="009B2D4C"/>
    <w:rsid w:val="009B2E10"/>
    <w:rsid w:val="009B2E95"/>
    <w:rsid w:val="009B2F59"/>
    <w:rsid w:val="009B30B6"/>
    <w:rsid w:val="009B385F"/>
    <w:rsid w:val="009B3F26"/>
    <w:rsid w:val="009B400E"/>
    <w:rsid w:val="009B403A"/>
    <w:rsid w:val="009B4999"/>
    <w:rsid w:val="009B49A4"/>
    <w:rsid w:val="009B4A6A"/>
    <w:rsid w:val="009B4AB3"/>
    <w:rsid w:val="009B4B2D"/>
    <w:rsid w:val="009B4B39"/>
    <w:rsid w:val="009B4BD0"/>
    <w:rsid w:val="009B4C09"/>
    <w:rsid w:val="009B4E96"/>
    <w:rsid w:val="009B508E"/>
    <w:rsid w:val="009B54DA"/>
    <w:rsid w:val="009B59C0"/>
    <w:rsid w:val="009B5AAB"/>
    <w:rsid w:val="009B5C86"/>
    <w:rsid w:val="009B609E"/>
    <w:rsid w:val="009B6572"/>
    <w:rsid w:val="009B6604"/>
    <w:rsid w:val="009B66CE"/>
    <w:rsid w:val="009B66E3"/>
    <w:rsid w:val="009B6CD0"/>
    <w:rsid w:val="009B70AF"/>
    <w:rsid w:val="009B72C0"/>
    <w:rsid w:val="009B7315"/>
    <w:rsid w:val="009B73A6"/>
    <w:rsid w:val="009B742D"/>
    <w:rsid w:val="009B77C4"/>
    <w:rsid w:val="009B79F6"/>
    <w:rsid w:val="009B7B78"/>
    <w:rsid w:val="009B7BFE"/>
    <w:rsid w:val="009B7C2F"/>
    <w:rsid w:val="009C0154"/>
    <w:rsid w:val="009C02A2"/>
    <w:rsid w:val="009C05F2"/>
    <w:rsid w:val="009C0712"/>
    <w:rsid w:val="009C07E3"/>
    <w:rsid w:val="009C0817"/>
    <w:rsid w:val="009C0930"/>
    <w:rsid w:val="009C0952"/>
    <w:rsid w:val="009C096A"/>
    <w:rsid w:val="009C0ACA"/>
    <w:rsid w:val="009C0AD1"/>
    <w:rsid w:val="009C0AFC"/>
    <w:rsid w:val="009C0D2F"/>
    <w:rsid w:val="009C0E07"/>
    <w:rsid w:val="009C0E9F"/>
    <w:rsid w:val="009C121C"/>
    <w:rsid w:val="009C16C5"/>
    <w:rsid w:val="009C1966"/>
    <w:rsid w:val="009C1AF6"/>
    <w:rsid w:val="009C1C86"/>
    <w:rsid w:val="009C1E45"/>
    <w:rsid w:val="009C1EB0"/>
    <w:rsid w:val="009C1FB7"/>
    <w:rsid w:val="009C2608"/>
    <w:rsid w:val="009C2609"/>
    <w:rsid w:val="009C270D"/>
    <w:rsid w:val="009C2967"/>
    <w:rsid w:val="009C2A0E"/>
    <w:rsid w:val="009C2B43"/>
    <w:rsid w:val="009C2D65"/>
    <w:rsid w:val="009C2E4A"/>
    <w:rsid w:val="009C3371"/>
    <w:rsid w:val="009C3409"/>
    <w:rsid w:val="009C3479"/>
    <w:rsid w:val="009C34BA"/>
    <w:rsid w:val="009C35A5"/>
    <w:rsid w:val="009C37DF"/>
    <w:rsid w:val="009C383A"/>
    <w:rsid w:val="009C3861"/>
    <w:rsid w:val="009C3BE4"/>
    <w:rsid w:val="009C41D4"/>
    <w:rsid w:val="009C4224"/>
    <w:rsid w:val="009C42D7"/>
    <w:rsid w:val="009C441A"/>
    <w:rsid w:val="009C4591"/>
    <w:rsid w:val="009C4AAB"/>
    <w:rsid w:val="009C4BA1"/>
    <w:rsid w:val="009C4FE3"/>
    <w:rsid w:val="009C520C"/>
    <w:rsid w:val="009C547D"/>
    <w:rsid w:val="009C5556"/>
    <w:rsid w:val="009C5956"/>
    <w:rsid w:val="009C5B65"/>
    <w:rsid w:val="009C5B68"/>
    <w:rsid w:val="009C5B86"/>
    <w:rsid w:val="009C5ED4"/>
    <w:rsid w:val="009C6306"/>
    <w:rsid w:val="009C63E5"/>
    <w:rsid w:val="009C6746"/>
    <w:rsid w:val="009C6853"/>
    <w:rsid w:val="009C68FB"/>
    <w:rsid w:val="009C6AB8"/>
    <w:rsid w:val="009C6ACD"/>
    <w:rsid w:val="009C6B8D"/>
    <w:rsid w:val="009C6D97"/>
    <w:rsid w:val="009C6FB4"/>
    <w:rsid w:val="009C6FC2"/>
    <w:rsid w:val="009C7111"/>
    <w:rsid w:val="009C71C1"/>
    <w:rsid w:val="009C7371"/>
    <w:rsid w:val="009C75AE"/>
    <w:rsid w:val="009C7957"/>
    <w:rsid w:val="009C7D98"/>
    <w:rsid w:val="009D02AA"/>
    <w:rsid w:val="009D036D"/>
    <w:rsid w:val="009D0549"/>
    <w:rsid w:val="009D0775"/>
    <w:rsid w:val="009D07E2"/>
    <w:rsid w:val="009D0AD4"/>
    <w:rsid w:val="009D0CE9"/>
    <w:rsid w:val="009D0E85"/>
    <w:rsid w:val="009D0F34"/>
    <w:rsid w:val="009D1073"/>
    <w:rsid w:val="009D1086"/>
    <w:rsid w:val="009D1182"/>
    <w:rsid w:val="009D1616"/>
    <w:rsid w:val="009D16E9"/>
    <w:rsid w:val="009D1834"/>
    <w:rsid w:val="009D1984"/>
    <w:rsid w:val="009D1A0C"/>
    <w:rsid w:val="009D1A80"/>
    <w:rsid w:val="009D1AA0"/>
    <w:rsid w:val="009D1B47"/>
    <w:rsid w:val="009D1DC4"/>
    <w:rsid w:val="009D1EDF"/>
    <w:rsid w:val="009D22EE"/>
    <w:rsid w:val="009D2319"/>
    <w:rsid w:val="009D2475"/>
    <w:rsid w:val="009D247A"/>
    <w:rsid w:val="009D24AA"/>
    <w:rsid w:val="009D290B"/>
    <w:rsid w:val="009D295E"/>
    <w:rsid w:val="009D2969"/>
    <w:rsid w:val="009D2C9C"/>
    <w:rsid w:val="009D2DC6"/>
    <w:rsid w:val="009D3146"/>
    <w:rsid w:val="009D3157"/>
    <w:rsid w:val="009D3181"/>
    <w:rsid w:val="009D31E8"/>
    <w:rsid w:val="009D3297"/>
    <w:rsid w:val="009D32FC"/>
    <w:rsid w:val="009D3B9B"/>
    <w:rsid w:val="009D3C49"/>
    <w:rsid w:val="009D3F2A"/>
    <w:rsid w:val="009D40FD"/>
    <w:rsid w:val="009D46BF"/>
    <w:rsid w:val="009D47BE"/>
    <w:rsid w:val="009D4B5D"/>
    <w:rsid w:val="009D4BB4"/>
    <w:rsid w:val="009D4D47"/>
    <w:rsid w:val="009D4EB3"/>
    <w:rsid w:val="009D50E0"/>
    <w:rsid w:val="009D5230"/>
    <w:rsid w:val="009D526D"/>
    <w:rsid w:val="009D5756"/>
    <w:rsid w:val="009D5D5D"/>
    <w:rsid w:val="009D5E2F"/>
    <w:rsid w:val="009D5E4D"/>
    <w:rsid w:val="009D5E6F"/>
    <w:rsid w:val="009D61E9"/>
    <w:rsid w:val="009D638F"/>
    <w:rsid w:val="009D662E"/>
    <w:rsid w:val="009D66CB"/>
    <w:rsid w:val="009D69A3"/>
    <w:rsid w:val="009D6A46"/>
    <w:rsid w:val="009D6A80"/>
    <w:rsid w:val="009D71E5"/>
    <w:rsid w:val="009D72D0"/>
    <w:rsid w:val="009D72DB"/>
    <w:rsid w:val="009D7304"/>
    <w:rsid w:val="009D7478"/>
    <w:rsid w:val="009D756B"/>
    <w:rsid w:val="009D773A"/>
    <w:rsid w:val="009D79C9"/>
    <w:rsid w:val="009D7C39"/>
    <w:rsid w:val="009D7E12"/>
    <w:rsid w:val="009E0033"/>
    <w:rsid w:val="009E0066"/>
    <w:rsid w:val="009E0077"/>
    <w:rsid w:val="009E0267"/>
    <w:rsid w:val="009E0361"/>
    <w:rsid w:val="009E0377"/>
    <w:rsid w:val="009E04E8"/>
    <w:rsid w:val="009E05D4"/>
    <w:rsid w:val="009E0710"/>
    <w:rsid w:val="009E07E3"/>
    <w:rsid w:val="009E0852"/>
    <w:rsid w:val="009E09C5"/>
    <w:rsid w:val="009E0B2C"/>
    <w:rsid w:val="009E0ECD"/>
    <w:rsid w:val="009E10A2"/>
    <w:rsid w:val="009E1111"/>
    <w:rsid w:val="009E1183"/>
    <w:rsid w:val="009E1410"/>
    <w:rsid w:val="009E150F"/>
    <w:rsid w:val="009E16C3"/>
    <w:rsid w:val="009E183F"/>
    <w:rsid w:val="009E18EA"/>
    <w:rsid w:val="009E1983"/>
    <w:rsid w:val="009E1B64"/>
    <w:rsid w:val="009E1C78"/>
    <w:rsid w:val="009E1E32"/>
    <w:rsid w:val="009E1EFD"/>
    <w:rsid w:val="009E2141"/>
    <w:rsid w:val="009E2CC7"/>
    <w:rsid w:val="009E312F"/>
    <w:rsid w:val="009E39BA"/>
    <w:rsid w:val="009E3B1C"/>
    <w:rsid w:val="009E3EDD"/>
    <w:rsid w:val="009E4046"/>
    <w:rsid w:val="009E4183"/>
    <w:rsid w:val="009E41D3"/>
    <w:rsid w:val="009E42AC"/>
    <w:rsid w:val="009E42B2"/>
    <w:rsid w:val="009E4473"/>
    <w:rsid w:val="009E47FB"/>
    <w:rsid w:val="009E48C9"/>
    <w:rsid w:val="009E4941"/>
    <w:rsid w:val="009E499E"/>
    <w:rsid w:val="009E4A6D"/>
    <w:rsid w:val="009E4C51"/>
    <w:rsid w:val="009E4C7F"/>
    <w:rsid w:val="009E4D10"/>
    <w:rsid w:val="009E4D27"/>
    <w:rsid w:val="009E4E16"/>
    <w:rsid w:val="009E4F56"/>
    <w:rsid w:val="009E5164"/>
    <w:rsid w:val="009E51BB"/>
    <w:rsid w:val="009E5343"/>
    <w:rsid w:val="009E55B6"/>
    <w:rsid w:val="009E5871"/>
    <w:rsid w:val="009E5A17"/>
    <w:rsid w:val="009E5B35"/>
    <w:rsid w:val="009E5E77"/>
    <w:rsid w:val="009E5EAB"/>
    <w:rsid w:val="009E607F"/>
    <w:rsid w:val="009E645C"/>
    <w:rsid w:val="009E6686"/>
    <w:rsid w:val="009E6709"/>
    <w:rsid w:val="009E676C"/>
    <w:rsid w:val="009E6802"/>
    <w:rsid w:val="009E68ED"/>
    <w:rsid w:val="009E6B25"/>
    <w:rsid w:val="009E6B3C"/>
    <w:rsid w:val="009E6D44"/>
    <w:rsid w:val="009E6E25"/>
    <w:rsid w:val="009E7162"/>
    <w:rsid w:val="009E7254"/>
    <w:rsid w:val="009E7316"/>
    <w:rsid w:val="009E7399"/>
    <w:rsid w:val="009E7FA1"/>
    <w:rsid w:val="009E7FAB"/>
    <w:rsid w:val="009F011E"/>
    <w:rsid w:val="009F0147"/>
    <w:rsid w:val="009F0466"/>
    <w:rsid w:val="009F06C3"/>
    <w:rsid w:val="009F07EA"/>
    <w:rsid w:val="009F08E3"/>
    <w:rsid w:val="009F0F7D"/>
    <w:rsid w:val="009F102F"/>
    <w:rsid w:val="009F1125"/>
    <w:rsid w:val="009F117A"/>
    <w:rsid w:val="009F12B2"/>
    <w:rsid w:val="009F12DD"/>
    <w:rsid w:val="009F14E9"/>
    <w:rsid w:val="009F170C"/>
    <w:rsid w:val="009F1BA8"/>
    <w:rsid w:val="009F1E67"/>
    <w:rsid w:val="009F22A7"/>
    <w:rsid w:val="009F236F"/>
    <w:rsid w:val="009F2517"/>
    <w:rsid w:val="009F261E"/>
    <w:rsid w:val="009F26AE"/>
    <w:rsid w:val="009F2800"/>
    <w:rsid w:val="009F2854"/>
    <w:rsid w:val="009F2936"/>
    <w:rsid w:val="009F29AD"/>
    <w:rsid w:val="009F2DD6"/>
    <w:rsid w:val="009F2E34"/>
    <w:rsid w:val="009F2F18"/>
    <w:rsid w:val="009F3183"/>
    <w:rsid w:val="009F353D"/>
    <w:rsid w:val="009F373B"/>
    <w:rsid w:val="009F38E0"/>
    <w:rsid w:val="009F392F"/>
    <w:rsid w:val="009F3B0C"/>
    <w:rsid w:val="009F3BB9"/>
    <w:rsid w:val="009F3C5C"/>
    <w:rsid w:val="009F3CFF"/>
    <w:rsid w:val="009F3D31"/>
    <w:rsid w:val="009F3E46"/>
    <w:rsid w:val="009F4045"/>
    <w:rsid w:val="009F4054"/>
    <w:rsid w:val="009F4092"/>
    <w:rsid w:val="009F41DE"/>
    <w:rsid w:val="009F4427"/>
    <w:rsid w:val="009F4631"/>
    <w:rsid w:val="009F48E1"/>
    <w:rsid w:val="009F49C9"/>
    <w:rsid w:val="009F4AF9"/>
    <w:rsid w:val="009F4DE3"/>
    <w:rsid w:val="009F4E0D"/>
    <w:rsid w:val="009F51D7"/>
    <w:rsid w:val="009F535D"/>
    <w:rsid w:val="009F58C7"/>
    <w:rsid w:val="009F5A22"/>
    <w:rsid w:val="009F5BB0"/>
    <w:rsid w:val="009F5FFC"/>
    <w:rsid w:val="009F6057"/>
    <w:rsid w:val="009F6060"/>
    <w:rsid w:val="009F618D"/>
    <w:rsid w:val="009F6581"/>
    <w:rsid w:val="009F67D0"/>
    <w:rsid w:val="009F67F6"/>
    <w:rsid w:val="009F6800"/>
    <w:rsid w:val="009F6AA4"/>
    <w:rsid w:val="009F6C81"/>
    <w:rsid w:val="009F6CF1"/>
    <w:rsid w:val="009F6F18"/>
    <w:rsid w:val="009F70EF"/>
    <w:rsid w:val="009F7140"/>
    <w:rsid w:val="009F7439"/>
    <w:rsid w:val="009F7589"/>
    <w:rsid w:val="009F769A"/>
    <w:rsid w:val="009F78CB"/>
    <w:rsid w:val="009F7CAC"/>
    <w:rsid w:val="00A00014"/>
    <w:rsid w:val="00A000BA"/>
    <w:rsid w:val="00A0013F"/>
    <w:rsid w:val="00A00141"/>
    <w:rsid w:val="00A00201"/>
    <w:rsid w:val="00A006C1"/>
    <w:rsid w:val="00A00A58"/>
    <w:rsid w:val="00A00C30"/>
    <w:rsid w:val="00A00DA3"/>
    <w:rsid w:val="00A01003"/>
    <w:rsid w:val="00A01042"/>
    <w:rsid w:val="00A01099"/>
    <w:rsid w:val="00A012ED"/>
    <w:rsid w:val="00A014F0"/>
    <w:rsid w:val="00A017B7"/>
    <w:rsid w:val="00A01895"/>
    <w:rsid w:val="00A01AF7"/>
    <w:rsid w:val="00A01CB9"/>
    <w:rsid w:val="00A01F12"/>
    <w:rsid w:val="00A020A5"/>
    <w:rsid w:val="00A0217F"/>
    <w:rsid w:val="00A025BD"/>
    <w:rsid w:val="00A02658"/>
    <w:rsid w:val="00A0278D"/>
    <w:rsid w:val="00A0282D"/>
    <w:rsid w:val="00A028DC"/>
    <w:rsid w:val="00A0292E"/>
    <w:rsid w:val="00A02B1D"/>
    <w:rsid w:val="00A02C05"/>
    <w:rsid w:val="00A02D51"/>
    <w:rsid w:val="00A02E1A"/>
    <w:rsid w:val="00A02EC6"/>
    <w:rsid w:val="00A02EDD"/>
    <w:rsid w:val="00A02F55"/>
    <w:rsid w:val="00A02F7F"/>
    <w:rsid w:val="00A02FEF"/>
    <w:rsid w:val="00A03233"/>
    <w:rsid w:val="00A03254"/>
    <w:rsid w:val="00A0326A"/>
    <w:rsid w:val="00A0330D"/>
    <w:rsid w:val="00A034A3"/>
    <w:rsid w:val="00A03834"/>
    <w:rsid w:val="00A03CF9"/>
    <w:rsid w:val="00A03F39"/>
    <w:rsid w:val="00A040E7"/>
    <w:rsid w:val="00A041A1"/>
    <w:rsid w:val="00A04219"/>
    <w:rsid w:val="00A043AD"/>
    <w:rsid w:val="00A043C2"/>
    <w:rsid w:val="00A04461"/>
    <w:rsid w:val="00A05016"/>
    <w:rsid w:val="00A05045"/>
    <w:rsid w:val="00A05118"/>
    <w:rsid w:val="00A0525F"/>
    <w:rsid w:val="00A052E2"/>
    <w:rsid w:val="00A05630"/>
    <w:rsid w:val="00A056D7"/>
    <w:rsid w:val="00A05764"/>
    <w:rsid w:val="00A059C7"/>
    <w:rsid w:val="00A05B16"/>
    <w:rsid w:val="00A05B85"/>
    <w:rsid w:val="00A05BCF"/>
    <w:rsid w:val="00A05E0D"/>
    <w:rsid w:val="00A061D2"/>
    <w:rsid w:val="00A06378"/>
    <w:rsid w:val="00A06579"/>
    <w:rsid w:val="00A0673D"/>
    <w:rsid w:val="00A06EDB"/>
    <w:rsid w:val="00A06F9B"/>
    <w:rsid w:val="00A071FF"/>
    <w:rsid w:val="00A07263"/>
    <w:rsid w:val="00A07520"/>
    <w:rsid w:val="00A07589"/>
    <w:rsid w:val="00A07637"/>
    <w:rsid w:val="00A076D9"/>
    <w:rsid w:val="00A0774D"/>
    <w:rsid w:val="00A07929"/>
    <w:rsid w:val="00A07B61"/>
    <w:rsid w:val="00A07B71"/>
    <w:rsid w:val="00A07B74"/>
    <w:rsid w:val="00A07DC1"/>
    <w:rsid w:val="00A1013B"/>
    <w:rsid w:val="00A10263"/>
    <w:rsid w:val="00A103C6"/>
    <w:rsid w:val="00A10968"/>
    <w:rsid w:val="00A10991"/>
    <w:rsid w:val="00A10A55"/>
    <w:rsid w:val="00A10D71"/>
    <w:rsid w:val="00A11066"/>
    <w:rsid w:val="00A11565"/>
    <w:rsid w:val="00A118DA"/>
    <w:rsid w:val="00A11B2D"/>
    <w:rsid w:val="00A11CEA"/>
    <w:rsid w:val="00A11E03"/>
    <w:rsid w:val="00A120CA"/>
    <w:rsid w:val="00A1242C"/>
    <w:rsid w:val="00A124A4"/>
    <w:rsid w:val="00A12693"/>
    <w:rsid w:val="00A1274E"/>
    <w:rsid w:val="00A1294C"/>
    <w:rsid w:val="00A129DD"/>
    <w:rsid w:val="00A12C1F"/>
    <w:rsid w:val="00A12ED9"/>
    <w:rsid w:val="00A12EF7"/>
    <w:rsid w:val="00A12FDE"/>
    <w:rsid w:val="00A1322B"/>
    <w:rsid w:val="00A13388"/>
    <w:rsid w:val="00A133FD"/>
    <w:rsid w:val="00A138A0"/>
    <w:rsid w:val="00A138CA"/>
    <w:rsid w:val="00A13A27"/>
    <w:rsid w:val="00A13DF5"/>
    <w:rsid w:val="00A13E0A"/>
    <w:rsid w:val="00A1421C"/>
    <w:rsid w:val="00A14858"/>
    <w:rsid w:val="00A14894"/>
    <w:rsid w:val="00A14C3B"/>
    <w:rsid w:val="00A14D95"/>
    <w:rsid w:val="00A14F31"/>
    <w:rsid w:val="00A1502E"/>
    <w:rsid w:val="00A15331"/>
    <w:rsid w:val="00A1533D"/>
    <w:rsid w:val="00A1536C"/>
    <w:rsid w:val="00A15499"/>
    <w:rsid w:val="00A15810"/>
    <w:rsid w:val="00A158BD"/>
    <w:rsid w:val="00A158D9"/>
    <w:rsid w:val="00A159F6"/>
    <w:rsid w:val="00A16026"/>
    <w:rsid w:val="00A16087"/>
    <w:rsid w:val="00A16385"/>
    <w:rsid w:val="00A16388"/>
    <w:rsid w:val="00A1652C"/>
    <w:rsid w:val="00A166F7"/>
    <w:rsid w:val="00A167CF"/>
    <w:rsid w:val="00A168BB"/>
    <w:rsid w:val="00A16C13"/>
    <w:rsid w:val="00A16E5F"/>
    <w:rsid w:val="00A16FAE"/>
    <w:rsid w:val="00A17037"/>
    <w:rsid w:val="00A17655"/>
    <w:rsid w:val="00A177B8"/>
    <w:rsid w:val="00A17BD9"/>
    <w:rsid w:val="00A17C26"/>
    <w:rsid w:val="00A17E7F"/>
    <w:rsid w:val="00A17F4A"/>
    <w:rsid w:val="00A17FB8"/>
    <w:rsid w:val="00A20230"/>
    <w:rsid w:val="00A202B1"/>
    <w:rsid w:val="00A2066C"/>
    <w:rsid w:val="00A2079E"/>
    <w:rsid w:val="00A208AC"/>
    <w:rsid w:val="00A209C5"/>
    <w:rsid w:val="00A20ABF"/>
    <w:rsid w:val="00A20C1D"/>
    <w:rsid w:val="00A20E4A"/>
    <w:rsid w:val="00A20EED"/>
    <w:rsid w:val="00A20F11"/>
    <w:rsid w:val="00A211C1"/>
    <w:rsid w:val="00A212E5"/>
    <w:rsid w:val="00A2176C"/>
    <w:rsid w:val="00A21A69"/>
    <w:rsid w:val="00A21BC4"/>
    <w:rsid w:val="00A21D76"/>
    <w:rsid w:val="00A21DBA"/>
    <w:rsid w:val="00A2200B"/>
    <w:rsid w:val="00A2201F"/>
    <w:rsid w:val="00A2214A"/>
    <w:rsid w:val="00A22232"/>
    <w:rsid w:val="00A223EB"/>
    <w:rsid w:val="00A224D2"/>
    <w:rsid w:val="00A224F0"/>
    <w:rsid w:val="00A225A8"/>
    <w:rsid w:val="00A22746"/>
    <w:rsid w:val="00A2283A"/>
    <w:rsid w:val="00A22A2D"/>
    <w:rsid w:val="00A22BC0"/>
    <w:rsid w:val="00A22BC2"/>
    <w:rsid w:val="00A22C25"/>
    <w:rsid w:val="00A22E9A"/>
    <w:rsid w:val="00A23269"/>
    <w:rsid w:val="00A2326F"/>
    <w:rsid w:val="00A23347"/>
    <w:rsid w:val="00A23449"/>
    <w:rsid w:val="00A23481"/>
    <w:rsid w:val="00A23482"/>
    <w:rsid w:val="00A23635"/>
    <w:rsid w:val="00A236D5"/>
    <w:rsid w:val="00A238B8"/>
    <w:rsid w:val="00A23CEB"/>
    <w:rsid w:val="00A23CFD"/>
    <w:rsid w:val="00A24787"/>
    <w:rsid w:val="00A2484B"/>
    <w:rsid w:val="00A24C4B"/>
    <w:rsid w:val="00A24FD0"/>
    <w:rsid w:val="00A2502A"/>
    <w:rsid w:val="00A251A6"/>
    <w:rsid w:val="00A25246"/>
    <w:rsid w:val="00A25428"/>
    <w:rsid w:val="00A258F6"/>
    <w:rsid w:val="00A25916"/>
    <w:rsid w:val="00A25AFC"/>
    <w:rsid w:val="00A25D29"/>
    <w:rsid w:val="00A25D8B"/>
    <w:rsid w:val="00A25E28"/>
    <w:rsid w:val="00A25EDF"/>
    <w:rsid w:val="00A25F5D"/>
    <w:rsid w:val="00A26067"/>
    <w:rsid w:val="00A2660E"/>
    <w:rsid w:val="00A267F5"/>
    <w:rsid w:val="00A26DC4"/>
    <w:rsid w:val="00A26E3B"/>
    <w:rsid w:val="00A26EB4"/>
    <w:rsid w:val="00A27207"/>
    <w:rsid w:val="00A272C0"/>
    <w:rsid w:val="00A27637"/>
    <w:rsid w:val="00A27654"/>
    <w:rsid w:val="00A2777F"/>
    <w:rsid w:val="00A277F8"/>
    <w:rsid w:val="00A27CB7"/>
    <w:rsid w:val="00A27EC2"/>
    <w:rsid w:val="00A27EEC"/>
    <w:rsid w:val="00A27F0D"/>
    <w:rsid w:val="00A302D7"/>
    <w:rsid w:val="00A304FC"/>
    <w:rsid w:val="00A30637"/>
    <w:rsid w:val="00A306D1"/>
    <w:rsid w:val="00A30722"/>
    <w:rsid w:val="00A3074B"/>
    <w:rsid w:val="00A307DC"/>
    <w:rsid w:val="00A3086C"/>
    <w:rsid w:val="00A30CED"/>
    <w:rsid w:val="00A31A1A"/>
    <w:rsid w:val="00A31B9F"/>
    <w:rsid w:val="00A31BDD"/>
    <w:rsid w:val="00A31C1F"/>
    <w:rsid w:val="00A31C9E"/>
    <w:rsid w:val="00A31D27"/>
    <w:rsid w:val="00A31E40"/>
    <w:rsid w:val="00A31E9B"/>
    <w:rsid w:val="00A31F77"/>
    <w:rsid w:val="00A3211D"/>
    <w:rsid w:val="00A32178"/>
    <w:rsid w:val="00A3226E"/>
    <w:rsid w:val="00A322F9"/>
    <w:rsid w:val="00A3261E"/>
    <w:rsid w:val="00A32859"/>
    <w:rsid w:val="00A32891"/>
    <w:rsid w:val="00A32926"/>
    <w:rsid w:val="00A32A5E"/>
    <w:rsid w:val="00A32A63"/>
    <w:rsid w:val="00A32CE9"/>
    <w:rsid w:val="00A32D25"/>
    <w:rsid w:val="00A32E10"/>
    <w:rsid w:val="00A33368"/>
    <w:rsid w:val="00A333C2"/>
    <w:rsid w:val="00A33AB7"/>
    <w:rsid w:val="00A33C5B"/>
    <w:rsid w:val="00A33D81"/>
    <w:rsid w:val="00A33DC6"/>
    <w:rsid w:val="00A33EDF"/>
    <w:rsid w:val="00A33F03"/>
    <w:rsid w:val="00A341C1"/>
    <w:rsid w:val="00A3444D"/>
    <w:rsid w:val="00A34749"/>
    <w:rsid w:val="00A3488B"/>
    <w:rsid w:val="00A34908"/>
    <w:rsid w:val="00A34948"/>
    <w:rsid w:val="00A34C6E"/>
    <w:rsid w:val="00A34D7B"/>
    <w:rsid w:val="00A34E86"/>
    <w:rsid w:val="00A35064"/>
    <w:rsid w:val="00A35584"/>
    <w:rsid w:val="00A355E4"/>
    <w:rsid w:val="00A35721"/>
    <w:rsid w:val="00A35AA7"/>
    <w:rsid w:val="00A35B7A"/>
    <w:rsid w:val="00A35CA8"/>
    <w:rsid w:val="00A35FA4"/>
    <w:rsid w:val="00A360BE"/>
    <w:rsid w:val="00A36254"/>
    <w:rsid w:val="00A364DF"/>
    <w:rsid w:val="00A36551"/>
    <w:rsid w:val="00A36580"/>
    <w:rsid w:val="00A3673A"/>
    <w:rsid w:val="00A36888"/>
    <w:rsid w:val="00A36C70"/>
    <w:rsid w:val="00A36F3E"/>
    <w:rsid w:val="00A370EC"/>
    <w:rsid w:val="00A371E8"/>
    <w:rsid w:val="00A372C0"/>
    <w:rsid w:val="00A373DC"/>
    <w:rsid w:val="00A374CE"/>
    <w:rsid w:val="00A374E2"/>
    <w:rsid w:val="00A376A9"/>
    <w:rsid w:val="00A3771B"/>
    <w:rsid w:val="00A37844"/>
    <w:rsid w:val="00A3787D"/>
    <w:rsid w:val="00A37A5B"/>
    <w:rsid w:val="00A37D30"/>
    <w:rsid w:val="00A37E72"/>
    <w:rsid w:val="00A37E81"/>
    <w:rsid w:val="00A405A3"/>
    <w:rsid w:val="00A408B5"/>
    <w:rsid w:val="00A40F3F"/>
    <w:rsid w:val="00A412CD"/>
    <w:rsid w:val="00A413D6"/>
    <w:rsid w:val="00A41418"/>
    <w:rsid w:val="00A41438"/>
    <w:rsid w:val="00A415F8"/>
    <w:rsid w:val="00A4163D"/>
    <w:rsid w:val="00A416C4"/>
    <w:rsid w:val="00A41A33"/>
    <w:rsid w:val="00A41C1F"/>
    <w:rsid w:val="00A41C69"/>
    <w:rsid w:val="00A41DCB"/>
    <w:rsid w:val="00A41EC9"/>
    <w:rsid w:val="00A42372"/>
    <w:rsid w:val="00A425A4"/>
    <w:rsid w:val="00A425A8"/>
    <w:rsid w:val="00A4280F"/>
    <w:rsid w:val="00A42889"/>
    <w:rsid w:val="00A429E2"/>
    <w:rsid w:val="00A42B3B"/>
    <w:rsid w:val="00A42BFD"/>
    <w:rsid w:val="00A42D56"/>
    <w:rsid w:val="00A42FC6"/>
    <w:rsid w:val="00A43052"/>
    <w:rsid w:val="00A432DF"/>
    <w:rsid w:val="00A4351A"/>
    <w:rsid w:val="00A43583"/>
    <w:rsid w:val="00A43640"/>
    <w:rsid w:val="00A4369D"/>
    <w:rsid w:val="00A436CD"/>
    <w:rsid w:val="00A436D8"/>
    <w:rsid w:val="00A436E4"/>
    <w:rsid w:val="00A4396E"/>
    <w:rsid w:val="00A43A06"/>
    <w:rsid w:val="00A43C96"/>
    <w:rsid w:val="00A43D81"/>
    <w:rsid w:val="00A442FF"/>
    <w:rsid w:val="00A4463A"/>
    <w:rsid w:val="00A4467E"/>
    <w:rsid w:val="00A44686"/>
    <w:rsid w:val="00A44710"/>
    <w:rsid w:val="00A44953"/>
    <w:rsid w:val="00A449C9"/>
    <w:rsid w:val="00A449EC"/>
    <w:rsid w:val="00A44BB4"/>
    <w:rsid w:val="00A44C85"/>
    <w:rsid w:val="00A450EF"/>
    <w:rsid w:val="00A4513A"/>
    <w:rsid w:val="00A45428"/>
    <w:rsid w:val="00A454E5"/>
    <w:rsid w:val="00A458EE"/>
    <w:rsid w:val="00A45A06"/>
    <w:rsid w:val="00A45A6D"/>
    <w:rsid w:val="00A45B54"/>
    <w:rsid w:val="00A4606E"/>
    <w:rsid w:val="00A4666F"/>
    <w:rsid w:val="00A46754"/>
    <w:rsid w:val="00A46C61"/>
    <w:rsid w:val="00A46F60"/>
    <w:rsid w:val="00A471AD"/>
    <w:rsid w:val="00A472FD"/>
    <w:rsid w:val="00A47466"/>
    <w:rsid w:val="00A474FD"/>
    <w:rsid w:val="00A4768B"/>
    <w:rsid w:val="00A47746"/>
    <w:rsid w:val="00A47826"/>
    <w:rsid w:val="00A47858"/>
    <w:rsid w:val="00A47980"/>
    <w:rsid w:val="00A47AB6"/>
    <w:rsid w:val="00A47ACE"/>
    <w:rsid w:val="00A47BC4"/>
    <w:rsid w:val="00A500CC"/>
    <w:rsid w:val="00A50225"/>
    <w:rsid w:val="00A502D1"/>
    <w:rsid w:val="00A50305"/>
    <w:rsid w:val="00A5050B"/>
    <w:rsid w:val="00A50A21"/>
    <w:rsid w:val="00A50A52"/>
    <w:rsid w:val="00A50B12"/>
    <w:rsid w:val="00A50D68"/>
    <w:rsid w:val="00A51162"/>
    <w:rsid w:val="00A5172A"/>
    <w:rsid w:val="00A51819"/>
    <w:rsid w:val="00A51A1B"/>
    <w:rsid w:val="00A51D1A"/>
    <w:rsid w:val="00A51D4C"/>
    <w:rsid w:val="00A5205A"/>
    <w:rsid w:val="00A5212D"/>
    <w:rsid w:val="00A52328"/>
    <w:rsid w:val="00A52371"/>
    <w:rsid w:val="00A52432"/>
    <w:rsid w:val="00A524CF"/>
    <w:rsid w:val="00A5259F"/>
    <w:rsid w:val="00A525EF"/>
    <w:rsid w:val="00A527E7"/>
    <w:rsid w:val="00A52C7F"/>
    <w:rsid w:val="00A52CAD"/>
    <w:rsid w:val="00A52F76"/>
    <w:rsid w:val="00A53068"/>
    <w:rsid w:val="00A532AB"/>
    <w:rsid w:val="00A53541"/>
    <w:rsid w:val="00A53582"/>
    <w:rsid w:val="00A53605"/>
    <w:rsid w:val="00A5388A"/>
    <w:rsid w:val="00A538BB"/>
    <w:rsid w:val="00A53EAD"/>
    <w:rsid w:val="00A53F50"/>
    <w:rsid w:val="00A54508"/>
    <w:rsid w:val="00A54625"/>
    <w:rsid w:val="00A546BC"/>
    <w:rsid w:val="00A5491C"/>
    <w:rsid w:val="00A54A2F"/>
    <w:rsid w:val="00A551ED"/>
    <w:rsid w:val="00A55448"/>
    <w:rsid w:val="00A5549E"/>
    <w:rsid w:val="00A55572"/>
    <w:rsid w:val="00A5558D"/>
    <w:rsid w:val="00A55946"/>
    <w:rsid w:val="00A559E5"/>
    <w:rsid w:val="00A55C97"/>
    <w:rsid w:val="00A55D22"/>
    <w:rsid w:val="00A55DDC"/>
    <w:rsid w:val="00A55F90"/>
    <w:rsid w:val="00A56225"/>
    <w:rsid w:val="00A562D9"/>
    <w:rsid w:val="00A56327"/>
    <w:rsid w:val="00A56455"/>
    <w:rsid w:val="00A564FA"/>
    <w:rsid w:val="00A56788"/>
    <w:rsid w:val="00A567FF"/>
    <w:rsid w:val="00A56805"/>
    <w:rsid w:val="00A568DC"/>
    <w:rsid w:val="00A56C4A"/>
    <w:rsid w:val="00A56D0A"/>
    <w:rsid w:val="00A5701B"/>
    <w:rsid w:val="00A571BE"/>
    <w:rsid w:val="00A57579"/>
    <w:rsid w:val="00A57723"/>
    <w:rsid w:val="00A57985"/>
    <w:rsid w:val="00A579FB"/>
    <w:rsid w:val="00A57A80"/>
    <w:rsid w:val="00A57C66"/>
    <w:rsid w:val="00A60111"/>
    <w:rsid w:val="00A60549"/>
    <w:rsid w:val="00A6055A"/>
    <w:rsid w:val="00A60853"/>
    <w:rsid w:val="00A608E6"/>
    <w:rsid w:val="00A6090D"/>
    <w:rsid w:val="00A6093C"/>
    <w:rsid w:val="00A60A51"/>
    <w:rsid w:val="00A60B1B"/>
    <w:rsid w:val="00A60C37"/>
    <w:rsid w:val="00A60CDB"/>
    <w:rsid w:val="00A60EEE"/>
    <w:rsid w:val="00A612A0"/>
    <w:rsid w:val="00A612CA"/>
    <w:rsid w:val="00A614E5"/>
    <w:rsid w:val="00A6151F"/>
    <w:rsid w:val="00A6167F"/>
    <w:rsid w:val="00A61792"/>
    <w:rsid w:val="00A61AE1"/>
    <w:rsid w:val="00A61E91"/>
    <w:rsid w:val="00A61F1B"/>
    <w:rsid w:val="00A62070"/>
    <w:rsid w:val="00A626BB"/>
    <w:rsid w:val="00A6287C"/>
    <w:rsid w:val="00A62938"/>
    <w:rsid w:val="00A629B4"/>
    <w:rsid w:val="00A62B24"/>
    <w:rsid w:val="00A62D24"/>
    <w:rsid w:val="00A62E61"/>
    <w:rsid w:val="00A63162"/>
    <w:rsid w:val="00A6317F"/>
    <w:rsid w:val="00A632FE"/>
    <w:rsid w:val="00A633BB"/>
    <w:rsid w:val="00A633EE"/>
    <w:rsid w:val="00A6345C"/>
    <w:rsid w:val="00A63506"/>
    <w:rsid w:val="00A6353D"/>
    <w:rsid w:val="00A635EC"/>
    <w:rsid w:val="00A63680"/>
    <w:rsid w:val="00A636BA"/>
    <w:rsid w:val="00A63A23"/>
    <w:rsid w:val="00A63D59"/>
    <w:rsid w:val="00A63DA9"/>
    <w:rsid w:val="00A63E7A"/>
    <w:rsid w:val="00A6417D"/>
    <w:rsid w:val="00A6425E"/>
    <w:rsid w:val="00A646B5"/>
    <w:rsid w:val="00A649E9"/>
    <w:rsid w:val="00A64AC3"/>
    <w:rsid w:val="00A64BEA"/>
    <w:rsid w:val="00A64C27"/>
    <w:rsid w:val="00A64CBA"/>
    <w:rsid w:val="00A650D6"/>
    <w:rsid w:val="00A6519A"/>
    <w:rsid w:val="00A6521B"/>
    <w:rsid w:val="00A65315"/>
    <w:rsid w:val="00A65330"/>
    <w:rsid w:val="00A65621"/>
    <w:rsid w:val="00A65654"/>
    <w:rsid w:val="00A656A0"/>
    <w:rsid w:val="00A656DC"/>
    <w:rsid w:val="00A65710"/>
    <w:rsid w:val="00A6575A"/>
    <w:rsid w:val="00A657D1"/>
    <w:rsid w:val="00A659AA"/>
    <w:rsid w:val="00A65EEE"/>
    <w:rsid w:val="00A65FF3"/>
    <w:rsid w:val="00A662DE"/>
    <w:rsid w:val="00A6633F"/>
    <w:rsid w:val="00A663AE"/>
    <w:rsid w:val="00A6644F"/>
    <w:rsid w:val="00A66515"/>
    <w:rsid w:val="00A6679A"/>
    <w:rsid w:val="00A66A9D"/>
    <w:rsid w:val="00A66EB3"/>
    <w:rsid w:val="00A670A5"/>
    <w:rsid w:val="00A670CC"/>
    <w:rsid w:val="00A6711B"/>
    <w:rsid w:val="00A67237"/>
    <w:rsid w:val="00A672A3"/>
    <w:rsid w:val="00A6730A"/>
    <w:rsid w:val="00A67845"/>
    <w:rsid w:val="00A678E7"/>
    <w:rsid w:val="00A67ABA"/>
    <w:rsid w:val="00A67B7B"/>
    <w:rsid w:val="00A67EDF"/>
    <w:rsid w:val="00A70278"/>
    <w:rsid w:val="00A7041D"/>
    <w:rsid w:val="00A70420"/>
    <w:rsid w:val="00A70443"/>
    <w:rsid w:val="00A704C0"/>
    <w:rsid w:val="00A70538"/>
    <w:rsid w:val="00A70663"/>
    <w:rsid w:val="00A706E6"/>
    <w:rsid w:val="00A70BA8"/>
    <w:rsid w:val="00A70C3E"/>
    <w:rsid w:val="00A70DBF"/>
    <w:rsid w:val="00A70F71"/>
    <w:rsid w:val="00A71395"/>
    <w:rsid w:val="00A7142B"/>
    <w:rsid w:val="00A714F7"/>
    <w:rsid w:val="00A71511"/>
    <w:rsid w:val="00A718AC"/>
    <w:rsid w:val="00A71952"/>
    <w:rsid w:val="00A71BD9"/>
    <w:rsid w:val="00A71DCE"/>
    <w:rsid w:val="00A71EF2"/>
    <w:rsid w:val="00A71F0D"/>
    <w:rsid w:val="00A72091"/>
    <w:rsid w:val="00A72282"/>
    <w:rsid w:val="00A727B9"/>
    <w:rsid w:val="00A72929"/>
    <w:rsid w:val="00A72AEC"/>
    <w:rsid w:val="00A72C2F"/>
    <w:rsid w:val="00A72CBC"/>
    <w:rsid w:val="00A72DF7"/>
    <w:rsid w:val="00A72FDA"/>
    <w:rsid w:val="00A73044"/>
    <w:rsid w:val="00A730A3"/>
    <w:rsid w:val="00A735EC"/>
    <w:rsid w:val="00A737BE"/>
    <w:rsid w:val="00A738AC"/>
    <w:rsid w:val="00A7392D"/>
    <w:rsid w:val="00A73961"/>
    <w:rsid w:val="00A73B75"/>
    <w:rsid w:val="00A73D17"/>
    <w:rsid w:val="00A73D23"/>
    <w:rsid w:val="00A73E12"/>
    <w:rsid w:val="00A73ED9"/>
    <w:rsid w:val="00A73F00"/>
    <w:rsid w:val="00A74494"/>
    <w:rsid w:val="00A744A2"/>
    <w:rsid w:val="00A745FD"/>
    <w:rsid w:val="00A746D8"/>
    <w:rsid w:val="00A747B5"/>
    <w:rsid w:val="00A7483E"/>
    <w:rsid w:val="00A749BE"/>
    <w:rsid w:val="00A74A02"/>
    <w:rsid w:val="00A74AB3"/>
    <w:rsid w:val="00A74D2A"/>
    <w:rsid w:val="00A74F0E"/>
    <w:rsid w:val="00A751B7"/>
    <w:rsid w:val="00A751E2"/>
    <w:rsid w:val="00A75246"/>
    <w:rsid w:val="00A7525C"/>
    <w:rsid w:val="00A75472"/>
    <w:rsid w:val="00A754B7"/>
    <w:rsid w:val="00A754BF"/>
    <w:rsid w:val="00A75557"/>
    <w:rsid w:val="00A7579C"/>
    <w:rsid w:val="00A75AA4"/>
    <w:rsid w:val="00A75C28"/>
    <w:rsid w:val="00A75C35"/>
    <w:rsid w:val="00A75CA3"/>
    <w:rsid w:val="00A75E46"/>
    <w:rsid w:val="00A76585"/>
    <w:rsid w:val="00A76653"/>
    <w:rsid w:val="00A76AAB"/>
    <w:rsid w:val="00A76F34"/>
    <w:rsid w:val="00A76F5B"/>
    <w:rsid w:val="00A76FC3"/>
    <w:rsid w:val="00A77744"/>
    <w:rsid w:val="00A777D8"/>
    <w:rsid w:val="00A77B63"/>
    <w:rsid w:val="00A77F95"/>
    <w:rsid w:val="00A800DF"/>
    <w:rsid w:val="00A803B6"/>
    <w:rsid w:val="00A803ED"/>
    <w:rsid w:val="00A8042A"/>
    <w:rsid w:val="00A8058D"/>
    <w:rsid w:val="00A80C1B"/>
    <w:rsid w:val="00A80F42"/>
    <w:rsid w:val="00A80FB7"/>
    <w:rsid w:val="00A8135D"/>
    <w:rsid w:val="00A81579"/>
    <w:rsid w:val="00A81580"/>
    <w:rsid w:val="00A815E3"/>
    <w:rsid w:val="00A8161A"/>
    <w:rsid w:val="00A8185B"/>
    <w:rsid w:val="00A8197E"/>
    <w:rsid w:val="00A819A1"/>
    <w:rsid w:val="00A81A51"/>
    <w:rsid w:val="00A81A6D"/>
    <w:rsid w:val="00A81C92"/>
    <w:rsid w:val="00A81D5B"/>
    <w:rsid w:val="00A81DA7"/>
    <w:rsid w:val="00A81E88"/>
    <w:rsid w:val="00A81F79"/>
    <w:rsid w:val="00A81FA6"/>
    <w:rsid w:val="00A81FAF"/>
    <w:rsid w:val="00A82037"/>
    <w:rsid w:val="00A82127"/>
    <w:rsid w:val="00A823EA"/>
    <w:rsid w:val="00A825E3"/>
    <w:rsid w:val="00A826A2"/>
    <w:rsid w:val="00A826F8"/>
    <w:rsid w:val="00A828B3"/>
    <w:rsid w:val="00A828B4"/>
    <w:rsid w:val="00A828DF"/>
    <w:rsid w:val="00A828ED"/>
    <w:rsid w:val="00A82D87"/>
    <w:rsid w:val="00A8334A"/>
    <w:rsid w:val="00A8378B"/>
    <w:rsid w:val="00A83820"/>
    <w:rsid w:val="00A83AEA"/>
    <w:rsid w:val="00A83BA8"/>
    <w:rsid w:val="00A83C3E"/>
    <w:rsid w:val="00A83DC6"/>
    <w:rsid w:val="00A83EA6"/>
    <w:rsid w:val="00A83F95"/>
    <w:rsid w:val="00A84111"/>
    <w:rsid w:val="00A84259"/>
    <w:rsid w:val="00A84288"/>
    <w:rsid w:val="00A842BC"/>
    <w:rsid w:val="00A84369"/>
    <w:rsid w:val="00A84543"/>
    <w:rsid w:val="00A84617"/>
    <w:rsid w:val="00A849A4"/>
    <w:rsid w:val="00A84AFC"/>
    <w:rsid w:val="00A84BD4"/>
    <w:rsid w:val="00A84CE0"/>
    <w:rsid w:val="00A84F75"/>
    <w:rsid w:val="00A852F8"/>
    <w:rsid w:val="00A85357"/>
    <w:rsid w:val="00A85432"/>
    <w:rsid w:val="00A856A8"/>
    <w:rsid w:val="00A85832"/>
    <w:rsid w:val="00A858D6"/>
    <w:rsid w:val="00A859FE"/>
    <w:rsid w:val="00A85B3F"/>
    <w:rsid w:val="00A85F59"/>
    <w:rsid w:val="00A863DF"/>
    <w:rsid w:val="00A865C1"/>
    <w:rsid w:val="00A8665D"/>
    <w:rsid w:val="00A8681C"/>
    <w:rsid w:val="00A86974"/>
    <w:rsid w:val="00A86C41"/>
    <w:rsid w:val="00A86C7A"/>
    <w:rsid w:val="00A86DAB"/>
    <w:rsid w:val="00A87298"/>
    <w:rsid w:val="00A872E1"/>
    <w:rsid w:val="00A87314"/>
    <w:rsid w:val="00A87629"/>
    <w:rsid w:val="00A8771C"/>
    <w:rsid w:val="00A87A8A"/>
    <w:rsid w:val="00A87ACB"/>
    <w:rsid w:val="00A87B74"/>
    <w:rsid w:val="00A87C09"/>
    <w:rsid w:val="00A87CE5"/>
    <w:rsid w:val="00A87DAE"/>
    <w:rsid w:val="00A87EDA"/>
    <w:rsid w:val="00A900FF"/>
    <w:rsid w:val="00A90120"/>
    <w:rsid w:val="00A901E8"/>
    <w:rsid w:val="00A90266"/>
    <w:rsid w:val="00A902A4"/>
    <w:rsid w:val="00A90462"/>
    <w:rsid w:val="00A904F3"/>
    <w:rsid w:val="00A90552"/>
    <w:rsid w:val="00A90675"/>
    <w:rsid w:val="00A9082B"/>
    <w:rsid w:val="00A9089B"/>
    <w:rsid w:val="00A90A46"/>
    <w:rsid w:val="00A90A89"/>
    <w:rsid w:val="00A90B56"/>
    <w:rsid w:val="00A90D9A"/>
    <w:rsid w:val="00A90F03"/>
    <w:rsid w:val="00A90FA3"/>
    <w:rsid w:val="00A9128B"/>
    <w:rsid w:val="00A91399"/>
    <w:rsid w:val="00A915E1"/>
    <w:rsid w:val="00A91609"/>
    <w:rsid w:val="00A9170A"/>
    <w:rsid w:val="00A91762"/>
    <w:rsid w:val="00A917B6"/>
    <w:rsid w:val="00A91813"/>
    <w:rsid w:val="00A91831"/>
    <w:rsid w:val="00A91A86"/>
    <w:rsid w:val="00A925C2"/>
    <w:rsid w:val="00A92714"/>
    <w:rsid w:val="00A9274C"/>
    <w:rsid w:val="00A927F1"/>
    <w:rsid w:val="00A92838"/>
    <w:rsid w:val="00A92918"/>
    <w:rsid w:val="00A92AAC"/>
    <w:rsid w:val="00A92B7C"/>
    <w:rsid w:val="00A92C71"/>
    <w:rsid w:val="00A92CD4"/>
    <w:rsid w:val="00A92E58"/>
    <w:rsid w:val="00A92F50"/>
    <w:rsid w:val="00A92F63"/>
    <w:rsid w:val="00A933BC"/>
    <w:rsid w:val="00A936C7"/>
    <w:rsid w:val="00A937F7"/>
    <w:rsid w:val="00A93878"/>
    <w:rsid w:val="00A939D5"/>
    <w:rsid w:val="00A93B2C"/>
    <w:rsid w:val="00A93C1A"/>
    <w:rsid w:val="00A93FD9"/>
    <w:rsid w:val="00A940D7"/>
    <w:rsid w:val="00A942D3"/>
    <w:rsid w:val="00A944DC"/>
    <w:rsid w:val="00A946B7"/>
    <w:rsid w:val="00A9471F"/>
    <w:rsid w:val="00A94759"/>
    <w:rsid w:val="00A947B1"/>
    <w:rsid w:val="00A9491A"/>
    <w:rsid w:val="00A94A8C"/>
    <w:rsid w:val="00A94B12"/>
    <w:rsid w:val="00A94B2E"/>
    <w:rsid w:val="00A94BF0"/>
    <w:rsid w:val="00A94E27"/>
    <w:rsid w:val="00A94E80"/>
    <w:rsid w:val="00A94EA5"/>
    <w:rsid w:val="00A950D7"/>
    <w:rsid w:val="00A953EF"/>
    <w:rsid w:val="00A956AD"/>
    <w:rsid w:val="00A95892"/>
    <w:rsid w:val="00A958B3"/>
    <w:rsid w:val="00A959D5"/>
    <w:rsid w:val="00A95A18"/>
    <w:rsid w:val="00A95A4D"/>
    <w:rsid w:val="00A95AFD"/>
    <w:rsid w:val="00A95D50"/>
    <w:rsid w:val="00A96155"/>
    <w:rsid w:val="00A96657"/>
    <w:rsid w:val="00A96A2A"/>
    <w:rsid w:val="00A96D77"/>
    <w:rsid w:val="00A96D8E"/>
    <w:rsid w:val="00A97011"/>
    <w:rsid w:val="00A97085"/>
    <w:rsid w:val="00A9708B"/>
    <w:rsid w:val="00A973BC"/>
    <w:rsid w:val="00A9748B"/>
    <w:rsid w:val="00A974A7"/>
    <w:rsid w:val="00A9763C"/>
    <w:rsid w:val="00A97754"/>
    <w:rsid w:val="00A97E93"/>
    <w:rsid w:val="00AA016E"/>
    <w:rsid w:val="00AA019D"/>
    <w:rsid w:val="00AA0290"/>
    <w:rsid w:val="00AA03AE"/>
    <w:rsid w:val="00AA03ED"/>
    <w:rsid w:val="00AA0528"/>
    <w:rsid w:val="00AA0550"/>
    <w:rsid w:val="00AA06D4"/>
    <w:rsid w:val="00AA0764"/>
    <w:rsid w:val="00AA085F"/>
    <w:rsid w:val="00AA0944"/>
    <w:rsid w:val="00AA0CB5"/>
    <w:rsid w:val="00AA0CD0"/>
    <w:rsid w:val="00AA0CE2"/>
    <w:rsid w:val="00AA0E3E"/>
    <w:rsid w:val="00AA10CC"/>
    <w:rsid w:val="00AA10E0"/>
    <w:rsid w:val="00AA17B3"/>
    <w:rsid w:val="00AA2208"/>
    <w:rsid w:val="00AA221B"/>
    <w:rsid w:val="00AA2765"/>
    <w:rsid w:val="00AA287C"/>
    <w:rsid w:val="00AA2963"/>
    <w:rsid w:val="00AA29B0"/>
    <w:rsid w:val="00AA29E2"/>
    <w:rsid w:val="00AA2CBA"/>
    <w:rsid w:val="00AA2F33"/>
    <w:rsid w:val="00AA3003"/>
    <w:rsid w:val="00AA32AE"/>
    <w:rsid w:val="00AA36CE"/>
    <w:rsid w:val="00AA3B8C"/>
    <w:rsid w:val="00AA3C07"/>
    <w:rsid w:val="00AA3EBE"/>
    <w:rsid w:val="00AA3EDB"/>
    <w:rsid w:val="00AA40C4"/>
    <w:rsid w:val="00AA4549"/>
    <w:rsid w:val="00AA476D"/>
    <w:rsid w:val="00AA4BED"/>
    <w:rsid w:val="00AA4EB5"/>
    <w:rsid w:val="00AA4F97"/>
    <w:rsid w:val="00AA4FE2"/>
    <w:rsid w:val="00AA52F7"/>
    <w:rsid w:val="00AA5455"/>
    <w:rsid w:val="00AA56AD"/>
    <w:rsid w:val="00AA56BC"/>
    <w:rsid w:val="00AA594F"/>
    <w:rsid w:val="00AA59F9"/>
    <w:rsid w:val="00AA5A9B"/>
    <w:rsid w:val="00AA5DC0"/>
    <w:rsid w:val="00AA5F0D"/>
    <w:rsid w:val="00AA5F34"/>
    <w:rsid w:val="00AA6534"/>
    <w:rsid w:val="00AA6799"/>
    <w:rsid w:val="00AA6995"/>
    <w:rsid w:val="00AA6CF4"/>
    <w:rsid w:val="00AA6F3E"/>
    <w:rsid w:val="00AA71AF"/>
    <w:rsid w:val="00AA7282"/>
    <w:rsid w:val="00AA74CA"/>
    <w:rsid w:val="00AA7728"/>
    <w:rsid w:val="00AA78EC"/>
    <w:rsid w:val="00AA796D"/>
    <w:rsid w:val="00AA7A14"/>
    <w:rsid w:val="00AA7B06"/>
    <w:rsid w:val="00AA7B79"/>
    <w:rsid w:val="00AA7E84"/>
    <w:rsid w:val="00AB034B"/>
    <w:rsid w:val="00AB04A3"/>
    <w:rsid w:val="00AB0668"/>
    <w:rsid w:val="00AB06D6"/>
    <w:rsid w:val="00AB070F"/>
    <w:rsid w:val="00AB0740"/>
    <w:rsid w:val="00AB0908"/>
    <w:rsid w:val="00AB0967"/>
    <w:rsid w:val="00AB09B4"/>
    <w:rsid w:val="00AB0DFA"/>
    <w:rsid w:val="00AB117E"/>
    <w:rsid w:val="00AB1480"/>
    <w:rsid w:val="00AB16C3"/>
    <w:rsid w:val="00AB18B1"/>
    <w:rsid w:val="00AB1994"/>
    <w:rsid w:val="00AB19F0"/>
    <w:rsid w:val="00AB1AF3"/>
    <w:rsid w:val="00AB1B74"/>
    <w:rsid w:val="00AB1E1E"/>
    <w:rsid w:val="00AB1E38"/>
    <w:rsid w:val="00AB1F4A"/>
    <w:rsid w:val="00AB2462"/>
    <w:rsid w:val="00AB24F8"/>
    <w:rsid w:val="00AB26DD"/>
    <w:rsid w:val="00AB279B"/>
    <w:rsid w:val="00AB2A88"/>
    <w:rsid w:val="00AB2C72"/>
    <w:rsid w:val="00AB3384"/>
    <w:rsid w:val="00AB3550"/>
    <w:rsid w:val="00AB39EF"/>
    <w:rsid w:val="00AB3AB2"/>
    <w:rsid w:val="00AB3B84"/>
    <w:rsid w:val="00AB3C4E"/>
    <w:rsid w:val="00AB3FA9"/>
    <w:rsid w:val="00AB4117"/>
    <w:rsid w:val="00AB42FB"/>
    <w:rsid w:val="00AB4490"/>
    <w:rsid w:val="00AB44DF"/>
    <w:rsid w:val="00AB4E3B"/>
    <w:rsid w:val="00AB4ED6"/>
    <w:rsid w:val="00AB524F"/>
    <w:rsid w:val="00AB52ED"/>
    <w:rsid w:val="00AB55B9"/>
    <w:rsid w:val="00AB5AAF"/>
    <w:rsid w:val="00AB5D73"/>
    <w:rsid w:val="00AB6034"/>
    <w:rsid w:val="00AB603F"/>
    <w:rsid w:val="00AB61BE"/>
    <w:rsid w:val="00AB6336"/>
    <w:rsid w:val="00AB63A1"/>
    <w:rsid w:val="00AB63F6"/>
    <w:rsid w:val="00AB682B"/>
    <w:rsid w:val="00AB69BA"/>
    <w:rsid w:val="00AB6AA4"/>
    <w:rsid w:val="00AB7158"/>
    <w:rsid w:val="00AB716F"/>
    <w:rsid w:val="00AB75F2"/>
    <w:rsid w:val="00AB75FA"/>
    <w:rsid w:val="00AB773F"/>
    <w:rsid w:val="00AB77F9"/>
    <w:rsid w:val="00AB781D"/>
    <w:rsid w:val="00AB7B2E"/>
    <w:rsid w:val="00AB7ED0"/>
    <w:rsid w:val="00AB7FEA"/>
    <w:rsid w:val="00AC0062"/>
    <w:rsid w:val="00AC011A"/>
    <w:rsid w:val="00AC0408"/>
    <w:rsid w:val="00AC044E"/>
    <w:rsid w:val="00AC0450"/>
    <w:rsid w:val="00AC04C6"/>
    <w:rsid w:val="00AC07C9"/>
    <w:rsid w:val="00AC0884"/>
    <w:rsid w:val="00AC097D"/>
    <w:rsid w:val="00AC0BB4"/>
    <w:rsid w:val="00AC0C3D"/>
    <w:rsid w:val="00AC0D9C"/>
    <w:rsid w:val="00AC0DFA"/>
    <w:rsid w:val="00AC0E90"/>
    <w:rsid w:val="00AC0F44"/>
    <w:rsid w:val="00AC0FC5"/>
    <w:rsid w:val="00AC1299"/>
    <w:rsid w:val="00AC141F"/>
    <w:rsid w:val="00AC143B"/>
    <w:rsid w:val="00AC14C8"/>
    <w:rsid w:val="00AC1621"/>
    <w:rsid w:val="00AC1A40"/>
    <w:rsid w:val="00AC1CD5"/>
    <w:rsid w:val="00AC1FAB"/>
    <w:rsid w:val="00AC2484"/>
    <w:rsid w:val="00AC24C6"/>
    <w:rsid w:val="00AC2763"/>
    <w:rsid w:val="00AC29E8"/>
    <w:rsid w:val="00AC2C3A"/>
    <w:rsid w:val="00AC2C99"/>
    <w:rsid w:val="00AC2EB9"/>
    <w:rsid w:val="00AC32D2"/>
    <w:rsid w:val="00AC32E3"/>
    <w:rsid w:val="00AC364B"/>
    <w:rsid w:val="00AC3662"/>
    <w:rsid w:val="00AC3B22"/>
    <w:rsid w:val="00AC3B3E"/>
    <w:rsid w:val="00AC3B59"/>
    <w:rsid w:val="00AC3C81"/>
    <w:rsid w:val="00AC3C97"/>
    <w:rsid w:val="00AC3CDC"/>
    <w:rsid w:val="00AC3E9B"/>
    <w:rsid w:val="00AC403E"/>
    <w:rsid w:val="00AC4452"/>
    <w:rsid w:val="00AC48CF"/>
    <w:rsid w:val="00AC4ACF"/>
    <w:rsid w:val="00AC4B83"/>
    <w:rsid w:val="00AC4CAE"/>
    <w:rsid w:val="00AC4D1D"/>
    <w:rsid w:val="00AC4E30"/>
    <w:rsid w:val="00AC5047"/>
    <w:rsid w:val="00AC5170"/>
    <w:rsid w:val="00AC51AE"/>
    <w:rsid w:val="00AC527C"/>
    <w:rsid w:val="00AC5378"/>
    <w:rsid w:val="00AC544A"/>
    <w:rsid w:val="00AC565B"/>
    <w:rsid w:val="00AC5664"/>
    <w:rsid w:val="00AC5907"/>
    <w:rsid w:val="00AC5B3A"/>
    <w:rsid w:val="00AC5B88"/>
    <w:rsid w:val="00AC5CC9"/>
    <w:rsid w:val="00AC5DA2"/>
    <w:rsid w:val="00AC6339"/>
    <w:rsid w:val="00AC6390"/>
    <w:rsid w:val="00AC65A4"/>
    <w:rsid w:val="00AC65CA"/>
    <w:rsid w:val="00AC6770"/>
    <w:rsid w:val="00AC694C"/>
    <w:rsid w:val="00AC6989"/>
    <w:rsid w:val="00AC6A9F"/>
    <w:rsid w:val="00AC6C12"/>
    <w:rsid w:val="00AC6D1D"/>
    <w:rsid w:val="00AC6D22"/>
    <w:rsid w:val="00AC6EF1"/>
    <w:rsid w:val="00AC6F28"/>
    <w:rsid w:val="00AC6F56"/>
    <w:rsid w:val="00AC6FEA"/>
    <w:rsid w:val="00AC7043"/>
    <w:rsid w:val="00AC72C2"/>
    <w:rsid w:val="00AC7689"/>
    <w:rsid w:val="00AC7712"/>
    <w:rsid w:val="00AC7848"/>
    <w:rsid w:val="00AC7A02"/>
    <w:rsid w:val="00AC7AF1"/>
    <w:rsid w:val="00AC7CC5"/>
    <w:rsid w:val="00AC7E8C"/>
    <w:rsid w:val="00AC7EB2"/>
    <w:rsid w:val="00AD00B5"/>
    <w:rsid w:val="00AD0210"/>
    <w:rsid w:val="00AD02B7"/>
    <w:rsid w:val="00AD04A1"/>
    <w:rsid w:val="00AD050D"/>
    <w:rsid w:val="00AD06AD"/>
    <w:rsid w:val="00AD0763"/>
    <w:rsid w:val="00AD07A3"/>
    <w:rsid w:val="00AD07C8"/>
    <w:rsid w:val="00AD0995"/>
    <w:rsid w:val="00AD0DA7"/>
    <w:rsid w:val="00AD1142"/>
    <w:rsid w:val="00AD1170"/>
    <w:rsid w:val="00AD12B6"/>
    <w:rsid w:val="00AD1371"/>
    <w:rsid w:val="00AD1637"/>
    <w:rsid w:val="00AD1819"/>
    <w:rsid w:val="00AD1959"/>
    <w:rsid w:val="00AD1AB6"/>
    <w:rsid w:val="00AD1B03"/>
    <w:rsid w:val="00AD1BF5"/>
    <w:rsid w:val="00AD1DA6"/>
    <w:rsid w:val="00AD1FD4"/>
    <w:rsid w:val="00AD21FB"/>
    <w:rsid w:val="00AD2300"/>
    <w:rsid w:val="00AD23B0"/>
    <w:rsid w:val="00AD2459"/>
    <w:rsid w:val="00AD2684"/>
    <w:rsid w:val="00AD2AED"/>
    <w:rsid w:val="00AD2DCA"/>
    <w:rsid w:val="00AD30FD"/>
    <w:rsid w:val="00AD31E4"/>
    <w:rsid w:val="00AD3244"/>
    <w:rsid w:val="00AD337B"/>
    <w:rsid w:val="00AD3508"/>
    <w:rsid w:val="00AD3B0D"/>
    <w:rsid w:val="00AD3D4D"/>
    <w:rsid w:val="00AD3E7E"/>
    <w:rsid w:val="00AD3FBE"/>
    <w:rsid w:val="00AD45BF"/>
    <w:rsid w:val="00AD463E"/>
    <w:rsid w:val="00AD467B"/>
    <w:rsid w:val="00AD4958"/>
    <w:rsid w:val="00AD4C24"/>
    <w:rsid w:val="00AD5177"/>
    <w:rsid w:val="00AD5381"/>
    <w:rsid w:val="00AD5479"/>
    <w:rsid w:val="00AD5514"/>
    <w:rsid w:val="00AD5525"/>
    <w:rsid w:val="00AD56DC"/>
    <w:rsid w:val="00AD579E"/>
    <w:rsid w:val="00AD5848"/>
    <w:rsid w:val="00AD593A"/>
    <w:rsid w:val="00AD5B97"/>
    <w:rsid w:val="00AD5D31"/>
    <w:rsid w:val="00AD604C"/>
    <w:rsid w:val="00AD6115"/>
    <w:rsid w:val="00AD62BC"/>
    <w:rsid w:val="00AD6469"/>
    <w:rsid w:val="00AD64B6"/>
    <w:rsid w:val="00AD64D1"/>
    <w:rsid w:val="00AD6512"/>
    <w:rsid w:val="00AD6548"/>
    <w:rsid w:val="00AD65A7"/>
    <w:rsid w:val="00AD661D"/>
    <w:rsid w:val="00AD6BC8"/>
    <w:rsid w:val="00AD6DC2"/>
    <w:rsid w:val="00AD7001"/>
    <w:rsid w:val="00AD70FE"/>
    <w:rsid w:val="00AD76D4"/>
    <w:rsid w:val="00AD79E9"/>
    <w:rsid w:val="00AD7C05"/>
    <w:rsid w:val="00AD7C65"/>
    <w:rsid w:val="00AD7D1C"/>
    <w:rsid w:val="00AD7E69"/>
    <w:rsid w:val="00AD7F4B"/>
    <w:rsid w:val="00AE0176"/>
    <w:rsid w:val="00AE01E4"/>
    <w:rsid w:val="00AE03F7"/>
    <w:rsid w:val="00AE04EB"/>
    <w:rsid w:val="00AE06D0"/>
    <w:rsid w:val="00AE092B"/>
    <w:rsid w:val="00AE09C8"/>
    <w:rsid w:val="00AE09D6"/>
    <w:rsid w:val="00AE09E1"/>
    <w:rsid w:val="00AE0B88"/>
    <w:rsid w:val="00AE0EDB"/>
    <w:rsid w:val="00AE1159"/>
    <w:rsid w:val="00AE117A"/>
    <w:rsid w:val="00AE1369"/>
    <w:rsid w:val="00AE1945"/>
    <w:rsid w:val="00AE19BE"/>
    <w:rsid w:val="00AE22D6"/>
    <w:rsid w:val="00AE24A1"/>
    <w:rsid w:val="00AE24F9"/>
    <w:rsid w:val="00AE25C9"/>
    <w:rsid w:val="00AE281E"/>
    <w:rsid w:val="00AE2951"/>
    <w:rsid w:val="00AE2BA5"/>
    <w:rsid w:val="00AE2CFF"/>
    <w:rsid w:val="00AE2F9D"/>
    <w:rsid w:val="00AE3014"/>
    <w:rsid w:val="00AE3041"/>
    <w:rsid w:val="00AE3413"/>
    <w:rsid w:val="00AE3825"/>
    <w:rsid w:val="00AE399C"/>
    <w:rsid w:val="00AE3AF9"/>
    <w:rsid w:val="00AE427F"/>
    <w:rsid w:val="00AE42C7"/>
    <w:rsid w:val="00AE469C"/>
    <w:rsid w:val="00AE492E"/>
    <w:rsid w:val="00AE4A61"/>
    <w:rsid w:val="00AE4BF5"/>
    <w:rsid w:val="00AE4C8C"/>
    <w:rsid w:val="00AE4CAE"/>
    <w:rsid w:val="00AE4E42"/>
    <w:rsid w:val="00AE4EB8"/>
    <w:rsid w:val="00AE5112"/>
    <w:rsid w:val="00AE51A8"/>
    <w:rsid w:val="00AE51AA"/>
    <w:rsid w:val="00AE523F"/>
    <w:rsid w:val="00AE5392"/>
    <w:rsid w:val="00AE53C0"/>
    <w:rsid w:val="00AE54D8"/>
    <w:rsid w:val="00AE554C"/>
    <w:rsid w:val="00AE5810"/>
    <w:rsid w:val="00AE583E"/>
    <w:rsid w:val="00AE5AA3"/>
    <w:rsid w:val="00AE5C22"/>
    <w:rsid w:val="00AE5FA4"/>
    <w:rsid w:val="00AE6243"/>
    <w:rsid w:val="00AE647D"/>
    <w:rsid w:val="00AE65AF"/>
    <w:rsid w:val="00AE671C"/>
    <w:rsid w:val="00AE6883"/>
    <w:rsid w:val="00AE6A0B"/>
    <w:rsid w:val="00AE6F6A"/>
    <w:rsid w:val="00AE7027"/>
    <w:rsid w:val="00AE74F6"/>
    <w:rsid w:val="00AE7600"/>
    <w:rsid w:val="00AE791F"/>
    <w:rsid w:val="00AE7A21"/>
    <w:rsid w:val="00AF0283"/>
    <w:rsid w:val="00AF041F"/>
    <w:rsid w:val="00AF060F"/>
    <w:rsid w:val="00AF066C"/>
    <w:rsid w:val="00AF0866"/>
    <w:rsid w:val="00AF0918"/>
    <w:rsid w:val="00AF0BDC"/>
    <w:rsid w:val="00AF0C14"/>
    <w:rsid w:val="00AF0D02"/>
    <w:rsid w:val="00AF0D38"/>
    <w:rsid w:val="00AF0DD4"/>
    <w:rsid w:val="00AF111E"/>
    <w:rsid w:val="00AF11A9"/>
    <w:rsid w:val="00AF11AC"/>
    <w:rsid w:val="00AF14B0"/>
    <w:rsid w:val="00AF14D5"/>
    <w:rsid w:val="00AF186E"/>
    <w:rsid w:val="00AF1B60"/>
    <w:rsid w:val="00AF1C12"/>
    <w:rsid w:val="00AF1DA7"/>
    <w:rsid w:val="00AF1E2D"/>
    <w:rsid w:val="00AF1F63"/>
    <w:rsid w:val="00AF1F92"/>
    <w:rsid w:val="00AF20C5"/>
    <w:rsid w:val="00AF20F5"/>
    <w:rsid w:val="00AF20FB"/>
    <w:rsid w:val="00AF2285"/>
    <w:rsid w:val="00AF230E"/>
    <w:rsid w:val="00AF24FE"/>
    <w:rsid w:val="00AF2678"/>
    <w:rsid w:val="00AF294F"/>
    <w:rsid w:val="00AF2989"/>
    <w:rsid w:val="00AF2ADA"/>
    <w:rsid w:val="00AF2B00"/>
    <w:rsid w:val="00AF2BD8"/>
    <w:rsid w:val="00AF2ED2"/>
    <w:rsid w:val="00AF30BC"/>
    <w:rsid w:val="00AF32B1"/>
    <w:rsid w:val="00AF3327"/>
    <w:rsid w:val="00AF3332"/>
    <w:rsid w:val="00AF3976"/>
    <w:rsid w:val="00AF3986"/>
    <w:rsid w:val="00AF39CA"/>
    <w:rsid w:val="00AF3B60"/>
    <w:rsid w:val="00AF3CB6"/>
    <w:rsid w:val="00AF402B"/>
    <w:rsid w:val="00AF42C1"/>
    <w:rsid w:val="00AF46B3"/>
    <w:rsid w:val="00AF4852"/>
    <w:rsid w:val="00AF4B80"/>
    <w:rsid w:val="00AF4CCB"/>
    <w:rsid w:val="00AF4E1F"/>
    <w:rsid w:val="00AF4F79"/>
    <w:rsid w:val="00AF5016"/>
    <w:rsid w:val="00AF522C"/>
    <w:rsid w:val="00AF52BF"/>
    <w:rsid w:val="00AF54F0"/>
    <w:rsid w:val="00AF5522"/>
    <w:rsid w:val="00AF56CE"/>
    <w:rsid w:val="00AF58DF"/>
    <w:rsid w:val="00AF5A48"/>
    <w:rsid w:val="00AF5C5B"/>
    <w:rsid w:val="00AF5DE4"/>
    <w:rsid w:val="00AF5E71"/>
    <w:rsid w:val="00AF6036"/>
    <w:rsid w:val="00AF60B4"/>
    <w:rsid w:val="00AF616A"/>
    <w:rsid w:val="00AF61E1"/>
    <w:rsid w:val="00AF6316"/>
    <w:rsid w:val="00AF66CF"/>
    <w:rsid w:val="00AF6819"/>
    <w:rsid w:val="00AF689D"/>
    <w:rsid w:val="00AF699F"/>
    <w:rsid w:val="00AF6BA0"/>
    <w:rsid w:val="00AF6CD2"/>
    <w:rsid w:val="00AF6D00"/>
    <w:rsid w:val="00AF6E28"/>
    <w:rsid w:val="00AF6ECB"/>
    <w:rsid w:val="00AF6EF8"/>
    <w:rsid w:val="00AF704B"/>
    <w:rsid w:val="00AF7142"/>
    <w:rsid w:val="00AF7280"/>
    <w:rsid w:val="00AF7395"/>
    <w:rsid w:val="00AF74B9"/>
    <w:rsid w:val="00AF7B42"/>
    <w:rsid w:val="00AF7BA7"/>
    <w:rsid w:val="00AF7C89"/>
    <w:rsid w:val="00AF7C97"/>
    <w:rsid w:val="00B00000"/>
    <w:rsid w:val="00B00037"/>
    <w:rsid w:val="00B0012A"/>
    <w:rsid w:val="00B0024A"/>
    <w:rsid w:val="00B00586"/>
    <w:rsid w:val="00B005FA"/>
    <w:rsid w:val="00B006AB"/>
    <w:rsid w:val="00B006E3"/>
    <w:rsid w:val="00B007EB"/>
    <w:rsid w:val="00B0083A"/>
    <w:rsid w:val="00B008F5"/>
    <w:rsid w:val="00B00A3C"/>
    <w:rsid w:val="00B00B46"/>
    <w:rsid w:val="00B00C3D"/>
    <w:rsid w:val="00B00C79"/>
    <w:rsid w:val="00B01179"/>
    <w:rsid w:val="00B0125F"/>
    <w:rsid w:val="00B01395"/>
    <w:rsid w:val="00B0195A"/>
    <w:rsid w:val="00B01974"/>
    <w:rsid w:val="00B01FC8"/>
    <w:rsid w:val="00B0213B"/>
    <w:rsid w:val="00B02319"/>
    <w:rsid w:val="00B025F2"/>
    <w:rsid w:val="00B02603"/>
    <w:rsid w:val="00B02676"/>
    <w:rsid w:val="00B026EA"/>
    <w:rsid w:val="00B02781"/>
    <w:rsid w:val="00B0299A"/>
    <w:rsid w:val="00B02CA1"/>
    <w:rsid w:val="00B02E2F"/>
    <w:rsid w:val="00B02E4E"/>
    <w:rsid w:val="00B02FC1"/>
    <w:rsid w:val="00B03070"/>
    <w:rsid w:val="00B030A5"/>
    <w:rsid w:val="00B031B1"/>
    <w:rsid w:val="00B0327E"/>
    <w:rsid w:val="00B03600"/>
    <w:rsid w:val="00B0365D"/>
    <w:rsid w:val="00B03992"/>
    <w:rsid w:val="00B03D28"/>
    <w:rsid w:val="00B03D78"/>
    <w:rsid w:val="00B03F34"/>
    <w:rsid w:val="00B042AB"/>
    <w:rsid w:val="00B04372"/>
    <w:rsid w:val="00B0439A"/>
    <w:rsid w:val="00B044D1"/>
    <w:rsid w:val="00B045C2"/>
    <w:rsid w:val="00B04656"/>
    <w:rsid w:val="00B049E8"/>
    <w:rsid w:val="00B04B62"/>
    <w:rsid w:val="00B04D52"/>
    <w:rsid w:val="00B04E92"/>
    <w:rsid w:val="00B05013"/>
    <w:rsid w:val="00B05081"/>
    <w:rsid w:val="00B05088"/>
    <w:rsid w:val="00B05110"/>
    <w:rsid w:val="00B051CA"/>
    <w:rsid w:val="00B052BC"/>
    <w:rsid w:val="00B05429"/>
    <w:rsid w:val="00B0543D"/>
    <w:rsid w:val="00B05542"/>
    <w:rsid w:val="00B05564"/>
    <w:rsid w:val="00B057A1"/>
    <w:rsid w:val="00B05A9D"/>
    <w:rsid w:val="00B05C12"/>
    <w:rsid w:val="00B05D71"/>
    <w:rsid w:val="00B06077"/>
    <w:rsid w:val="00B06105"/>
    <w:rsid w:val="00B0614C"/>
    <w:rsid w:val="00B063A7"/>
    <w:rsid w:val="00B06709"/>
    <w:rsid w:val="00B067A4"/>
    <w:rsid w:val="00B06951"/>
    <w:rsid w:val="00B06985"/>
    <w:rsid w:val="00B06A5A"/>
    <w:rsid w:val="00B06BE5"/>
    <w:rsid w:val="00B06D7B"/>
    <w:rsid w:val="00B06F55"/>
    <w:rsid w:val="00B0738D"/>
    <w:rsid w:val="00B074FE"/>
    <w:rsid w:val="00B07561"/>
    <w:rsid w:val="00B07650"/>
    <w:rsid w:val="00B076A5"/>
    <w:rsid w:val="00B07715"/>
    <w:rsid w:val="00B07A99"/>
    <w:rsid w:val="00B07AB5"/>
    <w:rsid w:val="00B07C71"/>
    <w:rsid w:val="00B10038"/>
    <w:rsid w:val="00B10091"/>
    <w:rsid w:val="00B100C6"/>
    <w:rsid w:val="00B1024C"/>
    <w:rsid w:val="00B104A1"/>
    <w:rsid w:val="00B107D7"/>
    <w:rsid w:val="00B107DF"/>
    <w:rsid w:val="00B10956"/>
    <w:rsid w:val="00B10AFD"/>
    <w:rsid w:val="00B10D9A"/>
    <w:rsid w:val="00B11321"/>
    <w:rsid w:val="00B11592"/>
    <w:rsid w:val="00B1166A"/>
    <w:rsid w:val="00B116EA"/>
    <w:rsid w:val="00B11939"/>
    <w:rsid w:val="00B11BF4"/>
    <w:rsid w:val="00B11F64"/>
    <w:rsid w:val="00B124F3"/>
    <w:rsid w:val="00B1265E"/>
    <w:rsid w:val="00B127AB"/>
    <w:rsid w:val="00B1286C"/>
    <w:rsid w:val="00B128C0"/>
    <w:rsid w:val="00B128F4"/>
    <w:rsid w:val="00B129CB"/>
    <w:rsid w:val="00B12A8E"/>
    <w:rsid w:val="00B12DAC"/>
    <w:rsid w:val="00B13180"/>
    <w:rsid w:val="00B132B6"/>
    <w:rsid w:val="00B13343"/>
    <w:rsid w:val="00B13C41"/>
    <w:rsid w:val="00B13D23"/>
    <w:rsid w:val="00B141CB"/>
    <w:rsid w:val="00B14378"/>
    <w:rsid w:val="00B147E6"/>
    <w:rsid w:val="00B14A7F"/>
    <w:rsid w:val="00B14B1E"/>
    <w:rsid w:val="00B14E29"/>
    <w:rsid w:val="00B14EEE"/>
    <w:rsid w:val="00B1506D"/>
    <w:rsid w:val="00B150D2"/>
    <w:rsid w:val="00B15227"/>
    <w:rsid w:val="00B15324"/>
    <w:rsid w:val="00B158F2"/>
    <w:rsid w:val="00B15A45"/>
    <w:rsid w:val="00B15D8E"/>
    <w:rsid w:val="00B15EE6"/>
    <w:rsid w:val="00B16025"/>
    <w:rsid w:val="00B1609E"/>
    <w:rsid w:val="00B16218"/>
    <w:rsid w:val="00B16280"/>
    <w:rsid w:val="00B162B7"/>
    <w:rsid w:val="00B16468"/>
    <w:rsid w:val="00B1650E"/>
    <w:rsid w:val="00B167BF"/>
    <w:rsid w:val="00B167CB"/>
    <w:rsid w:val="00B16828"/>
    <w:rsid w:val="00B16869"/>
    <w:rsid w:val="00B16ABE"/>
    <w:rsid w:val="00B16C3D"/>
    <w:rsid w:val="00B16CF6"/>
    <w:rsid w:val="00B16DB2"/>
    <w:rsid w:val="00B16F16"/>
    <w:rsid w:val="00B176FE"/>
    <w:rsid w:val="00B1785A"/>
    <w:rsid w:val="00B17C97"/>
    <w:rsid w:val="00B17D22"/>
    <w:rsid w:val="00B17E53"/>
    <w:rsid w:val="00B2013E"/>
    <w:rsid w:val="00B201C9"/>
    <w:rsid w:val="00B20369"/>
    <w:rsid w:val="00B20682"/>
    <w:rsid w:val="00B206BF"/>
    <w:rsid w:val="00B20BA7"/>
    <w:rsid w:val="00B20D2B"/>
    <w:rsid w:val="00B20D77"/>
    <w:rsid w:val="00B20E3B"/>
    <w:rsid w:val="00B20F30"/>
    <w:rsid w:val="00B211B0"/>
    <w:rsid w:val="00B212E5"/>
    <w:rsid w:val="00B214A5"/>
    <w:rsid w:val="00B215D9"/>
    <w:rsid w:val="00B219AF"/>
    <w:rsid w:val="00B21C3F"/>
    <w:rsid w:val="00B21C4D"/>
    <w:rsid w:val="00B21DAB"/>
    <w:rsid w:val="00B221A1"/>
    <w:rsid w:val="00B222FB"/>
    <w:rsid w:val="00B224D4"/>
    <w:rsid w:val="00B22606"/>
    <w:rsid w:val="00B227FC"/>
    <w:rsid w:val="00B228B0"/>
    <w:rsid w:val="00B2298C"/>
    <w:rsid w:val="00B22B58"/>
    <w:rsid w:val="00B22E7A"/>
    <w:rsid w:val="00B22F98"/>
    <w:rsid w:val="00B231FB"/>
    <w:rsid w:val="00B23252"/>
    <w:rsid w:val="00B234FD"/>
    <w:rsid w:val="00B23585"/>
    <w:rsid w:val="00B238D5"/>
    <w:rsid w:val="00B23C12"/>
    <w:rsid w:val="00B23DBC"/>
    <w:rsid w:val="00B23EE8"/>
    <w:rsid w:val="00B2400C"/>
    <w:rsid w:val="00B24171"/>
    <w:rsid w:val="00B241F2"/>
    <w:rsid w:val="00B24512"/>
    <w:rsid w:val="00B245CF"/>
    <w:rsid w:val="00B24755"/>
    <w:rsid w:val="00B247B2"/>
    <w:rsid w:val="00B24899"/>
    <w:rsid w:val="00B24CA2"/>
    <w:rsid w:val="00B24FD4"/>
    <w:rsid w:val="00B2522F"/>
    <w:rsid w:val="00B25457"/>
    <w:rsid w:val="00B2565C"/>
    <w:rsid w:val="00B2583E"/>
    <w:rsid w:val="00B25EE7"/>
    <w:rsid w:val="00B262C0"/>
    <w:rsid w:val="00B2639E"/>
    <w:rsid w:val="00B26421"/>
    <w:rsid w:val="00B2684B"/>
    <w:rsid w:val="00B26A5C"/>
    <w:rsid w:val="00B26AC0"/>
    <w:rsid w:val="00B26BAE"/>
    <w:rsid w:val="00B26D4A"/>
    <w:rsid w:val="00B26DBC"/>
    <w:rsid w:val="00B26F47"/>
    <w:rsid w:val="00B27179"/>
    <w:rsid w:val="00B271DD"/>
    <w:rsid w:val="00B272B4"/>
    <w:rsid w:val="00B272F3"/>
    <w:rsid w:val="00B274AD"/>
    <w:rsid w:val="00B27DC4"/>
    <w:rsid w:val="00B3024C"/>
    <w:rsid w:val="00B30295"/>
    <w:rsid w:val="00B30359"/>
    <w:rsid w:val="00B30451"/>
    <w:rsid w:val="00B3055F"/>
    <w:rsid w:val="00B3089D"/>
    <w:rsid w:val="00B308F5"/>
    <w:rsid w:val="00B3099E"/>
    <w:rsid w:val="00B309CE"/>
    <w:rsid w:val="00B31368"/>
    <w:rsid w:val="00B313B1"/>
    <w:rsid w:val="00B313EF"/>
    <w:rsid w:val="00B314BF"/>
    <w:rsid w:val="00B314F3"/>
    <w:rsid w:val="00B316AD"/>
    <w:rsid w:val="00B317CD"/>
    <w:rsid w:val="00B3198E"/>
    <w:rsid w:val="00B319A9"/>
    <w:rsid w:val="00B31A0D"/>
    <w:rsid w:val="00B31A1C"/>
    <w:rsid w:val="00B31C02"/>
    <w:rsid w:val="00B31D0C"/>
    <w:rsid w:val="00B31D17"/>
    <w:rsid w:val="00B31DA0"/>
    <w:rsid w:val="00B31E51"/>
    <w:rsid w:val="00B3207A"/>
    <w:rsid w:val="00B320BA"/>
    <w:rsid w:val="00B32134"/>
    <w:rsid w:val="00B32204"/>
    <w:rsid w:val="00B32295"/>
    <w:rsid w:val="00B32485"/>
    <w:rsid w:val="00B32911"/>
    <w:rsid w:val="00B3292F"/>
    <w:rsid w:val="00B329A7"/>
    <w:rsid w:val="00B32CEC"/>
    <w:rsid w:val="00B33099"/>
    <w:rsid w:val="00B331C4"/>
    <w:rsid w:val="00B33207"/>
    <w:rsid w:val="00B33341"/>
    <w:rsid w:val="00B3335E"/>
    <w:rsid w:val="00B334D6"/>
    <w:rsid w:val="00B3368B"/>
    <w:rsid w:val="00B336CB"/>
    <w:rsid w:val="00B33775"/>
    <w:rsid w:val="00B337E5"/>
    <w:rsid w:val="00B33AE9"/>
    <w:rsid w:val="00B33CC1"/>
    <w:rsid w:val="00B33D0B"/>
    <w:rsid w:val="00B34284"/>
    <w:rsid w:val="00B3444D"/>
    <w:rsid w:val="00B345A3"/>
    <w:rsid w:val="00B34655"/>
    <w:rsid w:val="00B34658"/>
    <w:rsid w:val="00B347B3"/>
    <w:rsid w:val="00B34A15"/>
    <w:rsid w:val="00B34E8A"/>
    <w:rsid w:val="00B350BD"/>
    <w:rsid w:val="00B351DF"/>
    <w:rsid w:val="00B3522F"/>
    <w:rsid w:val="00B355BB"/>
    <w:rsid w:val="00B35656"/>
    <w:rsid w:val="00B3576B"/>
    <w:rsid w:val="00B359C4"/>
    <w:rsid w:val="00B35B54"/>
    <w:rsid w:val="00B35D40"/>
    <w:rsid w:val="00B35E73"/>
    <w:rsid w:val="00B360A4"/>
    <w:rsid w:val="00B36102"/>
    <w:rsid w:val="00B3629D"/>
    <w:rsid w:val="00B36394"/>
    <w:rsid w:val="00B3651D"/>
    <w:rsid w:val="00B3656E"/>
    <w:rsid w:val="00B367E4"/>
    <w:rsid w:val="00B3693A"/>
    <w:rsid w:val="00B36987"/>
    <w:rsid w:val="00B36BF0"/>
    <w:rsid w:val="00B36DBA"/>
    <w:rsid w:val="00B36E54"/>
    <w:rsid w:val="00B36E75"/>
    <w:rsid w:val="00B36ED3"/>
    <w:rsid w:val="00B36F87"/>
    <w:rsid w:val="00B37211"/>
    <w:rsid w:val="00B37382"/>
    <w:rsid w:val="00B37827"/>
    <w:rsid w:val="00B37C35"/>
    <w:rsid w:val="00B37CB0"/>
    <w:rsid w:val="00B37D5F"/>
    <w:rsid w:val="00B40250"/>
    <w:rsid w:val="00B4025C"/>
    <w:rsid w:val="00B40413"/>
    <w:rsid w:val="00B40E11"/>
    <w:rsid w:val="00B41095"/>
    <w:rsid w:val="00B410FD"/>
    <w:rsid w:val="00B41BDA"/>
    <w:rsid w:val="00B41D95"/>
    <w:rsid w:val="00B42301"/>
    <w:rsid w:val="00B42581"/>
    <w:rsid w:val="00B4261D"/>
    <w:rsid w:val="00B42759"/>
    <w:rsid w:val="00B42960"/>
    <w:rsid w:val="00B429D9"/>
    <w:rsid w:val="00B42AF7"/>
    <w:rsid w:val="00B42DF3"/>
    <w:rsid w:val="00B42F16"/>
    <w:rsid w:val="00B433AB"/>
    <w:rsid w:val="00B43425"/>
    <w:rsid w:val="00B4355C"/>
    <w:rsid w:val="00B435A9"/>
    <w:rsid w:val="00B43888"/>
    <w:rsid w:val="00B43943"/>
    <w:rsid w:val="00B43D6D"/>
    <w:rsid w:val="00B43E27"/>
    <w:rsid w:val="00B43F7A"/>
    <w:rsid w:val="00B4424C"/>
    <w:rsid w:val="00B4424D"/>
    <w:rsid w:val="00B44333"/>
    <w:rsid w:val="00B443B4"/>
    <w:rsid w:val="00B446E6"/>
    <w:rsid w:val="00B447AE"/>
    <w:rsid w:val="00B4495F"/>
    <w:rsid w:val="00B44AE0"/>
    <w:rsid w:val="00B44D96"/>
    <w:rsid w:val="00B45104"/>
    <w:rsid w:val="00B45125"/>
    <w:rsid w:val="00B451CD"/>
    <w:rsid w:val="00B453D2"/>
    <w:rsid w:val="00B454B4"/>
    <w:rsid w:val="00B4559B"/>
    <w:rsid w:val="00B455B3"/>
    <w:rsid w:val="00B45609"/>
    <w:rsid w:val="00B45892"/>
    <w:rsid w:val="00B458C9"/>
    <w:rsid w:val="00B45B1C"/>
    <w:rsid w:val="00B45BC8"/>
    <w:rsid w:val="00B45C1D"/>
    <w:rsid w:val="00B45C6C"/>
    <w:rsid w:val="00B45CA6"/>
    <w:rsid w:val="00B45D72"/>
    <w:rsid w:val="00B46019"/>
    <w:rsid w:val="00B46303"/>
    <w:rsid w:val="00B46313"/>
    <w:rsid w:val="00B4648C"/>
    <w:rsid w:val="00B4652E"/>
    <w:rsid w:val="00B46804"/>
    <w:rsid w:val="00B468B8"/>
    <w:rsid w:val="00B468EF"/>
    <w:rsid w:val="00B4699E"/>
    <w:rsid w:val="00B46D35"/>
    <w:rsid w:val="00B46DEE"/>
    <w:rsid w:val="00B46E98"/>
    <w:rsid w:val="00B47356"/>
    <w:rsid w:val="00B47495"/>
    <w:rsid w:val="00B478AE"/>
    <w:rsid w:val="00B47915"/>
    <w:rsid w:val="00B47A46"/>
    <w:rsid w:val="00B47A92"/>
    <w:rsid w:val="00B47B8B"/>
    <w:rsid w:val="00B47C66"/>
    <w:rsid w:val="00B47DCA"/>
    <w:rsid w:val="00B5012C"/>
    <w:rsid w:val="00B503DE"/>
    <w:rsid w:val="00B503E5"/>
    <w:rsid w:val="00B50521"/>
    <w:rsid w:val="00B50566"/>
    <w:rsid w:val="00B50932"/>
    <w:rsid w:val="00B50D66"/>
    <w:rsid w:val="00B50E07"/>
    <w:rsid w:val="00B50ED3"/>
    <w:rsid w:val="00B51368"/>
    <w:rsid w:val="00B5169B"/>
    <w:rsid w:val="00B516E9"/>
    <w:rsid w:val="00B51BFF"/>
    <w:rsid w:val="00B520C9"/>
    <w:rsid w:val="00B522CF"/>
    <w:rsid w:val="00B522FF"/>
    <w:rsid w:val="00B523E8"/>
    <w:rsid w:val="00B52528"/>
    <w:rsid w:val="00B525BF"/>
    <w:rsid w:val="00B52743"/>
    <w:rsid w:val="00B529AF"/>
    <w:rsid w:val="00B529EF"/>
    <w:rsid w:val="00B52A32"/>
    <w:rsid w:val="00B52C79"/>
    <w:rsid w:val="00B52D96"/>
    <w:rsid w:val="00B52DF9"/>
    <w:rsid w:val="00B52E74"/>
    <w:rsid w:val="00B52EF2"/>
    <w:rsid w:val="00B52F65"/>
    <w:rsid w:val="00B5302A"/>
    <w:rsid w:val="00B5315C"/>
    <w:rsid w:val="00B531F8"/>
    <w:rsid w:val="00B53277"/>
    <w:rsid w:val="00B532CA"/>
    <w:rsid w:val="00B53365"/>
    <w:rsid w:val="00B533B0"/>
    <w:rsid w:val="00B533C7"/>
    <w:rsid w:val="00B5348D"/>
    <w:rsid w:val="00B53589"/>
    <w:rsid w:val="00B536AE"/>
    <w:rsid w:val="00B5377D"/>
    <w:rsid w:val="00B53D57"/>
    <w:rsid w:val="00B53DE0"/>
    <w:rsid w:val="00B53E21"/>
    <w:rsid w:val="00B53E66"/>
    <w:rsid w:val="00B53F09"/>
    <w:rsid w:val="00B53F25"/>
    <w:rsid w:val="00B540E5"/>
    <w:rsid w:val="00B5410C"/>
    <w:rsid w:val="00B5438A"/>
    <w:rsid w:val="00B54448"/>
    <w:rsid w:val="00B5448E"/>
    <w:rsid w:val="00B544FD"/>
    <w:rsid w:val="00B546D8"/>
    <w:rsid w:val="00B547E8"/>
    <w:rsid w:val="00B54AE1"/>
    <w:rsid w:val="00B54C09"/>
    <w:rsid w:val="00B54E0F"/>
    <w:rsid w:val="00B55154"/>
    <w:rsid w:val="00B55257"/>
    <w:rsid w:val="00B5540A"/>
    <w:rsid w:val="00B555EE"/>
    <w:rsid w:val="00B55F68"/>
    <w:rsid w:val="00B5639B"/>
    <w:rsid w:val="00B56430"/>
    <w:rsid w:val="00B56451"/>
    <w:rsid w:val="00B5646D"/>
    <w:rsid w:val="00B56475"/>
    <w:rsid w:val="00B564A6"/>
    <w:rsid w:val="00B5652C"/>
    <w:rsid w:val="00B565BE"/>
    <w:rsid w:val="00B565D3"/>
    <w:rsid w:val="00B56864"/>
    <w:rsid w:val="00B5690A"/>
    <w:rsid w:val="00B5691E"/>
    <w:rsid w:val="00B569B4"/>
    <w:rsid w:val="00B56DC0"/>
    <w:rsid w:val="00B57382"/>
    <w:rsid w:val="00B57611"/>
    <w:rsid w:val="00B57686"/>
    <w:rsid w:val="00B57AB1"/>
    <w:rsid w:val="00B57BD7"/>
    <w:rsid w:val="00B57D7C"/>
    <w:rsid w:val="00B606CB"/>
    <w:rsid w:val="00B606EE"/>
    <w:rsid w:val="00B6095C"/>
    <w:rsid w:val="00B60B7F"/>
    <w:rsid w:val="00B60C23"/>
    <w:rsid w:val="00B60EC6"/>
    <w:rsid w:val="00B61295"/>
    <w:rsid w:val="00B61369"/>
    <w:rsid w:val="00B613C4"/>
    <w:rsid w:val="00B61434"/>
    <w:rsid w:val="00B619D2"/>
    <w:rsid w:val="00B61A5D"/>
    <w:rsid w:val="00B61AE9"/>
    <w:rsid w:val="00B61B36"/>
    <w:rsid w:val="00B61B78"/>
    <w:rsid w:val="00B61BB8"/>
    <w:rsid w:val="00B61C56"/>
    <w:rsid w:val="00B61C59"/>
    <w:rsid w:val="00B61CC8"/>
    <w:rsid w:val="00B61D40"/>
    <w:rsid w:val="00B61E14"/>
    <w:rsid w:val="00B61F07"/>
    <w:rsid w:val="00B61F8B"/>
    <w:rsid w:val="00B62026"/>
    <w:rsid w:val="00B62075"/>
    <w:rsid w:val="00B62117"/>
    <w:rsid w:val="00B627B9"/>
    <w:rsid w:val="00B628EA"/>
    <w:rsid w:val="00B62BF3"/>
    <w:rsid w:val="00B62D2C"/>
    <w:rsid w:val="00B6301E"/>
    <w:rsid w:val="00B6317E"/>
    <w:rsid w:val="00B63232"/>
    <w:rsid w:val="00B6336E"/>
    <w:rsid w:val="00B6352D"/>
    <w:rsid w:val="00B636A2"/>
    <w:rsid w:val="00B6374A"/>
    <w:rsid w:val="00B63BE7"/>
    <w:rsid w:val="00B63C28"/>
    <w:rsid w:val="00B6404B"/>
    <w:rsid w:val="00B64051"/>
    <w:rsid w:val="00B64064"/>
    <w:rsid w:val="00B64112"/>
    <w:rsid w:val="00B64271"/>
    <w:rsid w:val="00B6429E"/>
    <w:rsid w:val="00B642E1"/>
    <w:rsid w:val="00B64304"/>
    <w:rsid w:val="00B64910"/>
    <w:rsid w:val="00B64B92"/>
    <w:rsid w:val="00B64CC1"/>
    <w:rsid w:val="00B6505D"/>
    <w:rsid w:val="00B65433"/>
    <w:rsid w:val="00B65456"/>
    <w:rsid w:val="00B6575D"/>
    <w:rsid w:val="00B65785"/>
    <w:rsid w:val="00B657B1"/>
    <w:rsid w:val="00B65C7B"/>
    <w:rsid w:val="00B65D03"/>
    <w:rsid w:val="00B65E4A"/>
    <w:rsid w:val="00B6627C"/>
    <w:rsid w:val="00B6647C"/>
    <w:rsid w:val="00B66573"/>
    <w:rsid w:val="00B665B9"/>
    <w:rsid w:val="00B666AB"/>
    <w:rsid w:val="00B667B2"/>
    <w:rsid w:val="00B669AB"/>
    <w:rsid w:val="00B66A5E"/>
    <w:rsid w:val="00B66B20"/>
    <w:rsid w:val="00B66E87"/>
    <w:rsid w:val="00B671FA"/>
    <w:rsid w:val="00B67B41"/>
    <w:rsid w:val="00B67C21"/>
    <w:rsid w:val="00B67C2B"/>
    <w:rsid w:val="00B67F19"/>
    <w:rsid w:val="00B7014F"/>
    <w:rsid w:val="00B703B0"/>
    <w:rsid w:val="00B7046F"/>
    <w:rsid w:val="00B70714"/>
    <w:rsid w:val="00B707F6"/>
    <w:rsid w:val="00B70954"/>
    <w:rsid w:val="00B70987"/>
    <w:rsid w:val="00B70B47"/>
    <w:rsid w:val="00B70D15"/>
    <w:rsid w:val="00B70D5E"/>
    <w:rsid w:val="00B70F1F"/>
    <w:rsid w:val="00B710CE"/>
    <w:rsid w:val="00B71152"/>
    <w:rsid w:val="00B714B2"/>
    <w:rsid w:val="00B71643"/>
    <w:rsid w:val="00B71651"/>
    <w:rsid w:val="00B71B40"/>
    <w:rsid w:val="00B71B83"/>
    <w:rsid w:val="00B71F1F"/>
    <w:rsid w:val="00B71F68"/>
    <w:rsid w:val="00B720DF"/>
    <w:rsid w:val="00B720E4"/>
    <w:rsid w:val="00B72170"/>
    <w:rsid w:val="00B72202"/>
    <w:rsid w:val="00B72402"/>
    <w:rsid w:val="00B726F0"/>
    <w:rsid w:val="00B7270B"/>
    <w:rsid w:val="00B72716"/>
    <w:rsid w:val="00B727F7"/>
    <w:rsid w:val="00B72853"/>
    <w:rsid w:val="00B72B4F"/>
    <w:rsid w:val="00B72C27"/>
    <w:rsid w:val="00B72D15"/>
    <w:rsid w:val="00B72DEC"/>
    <w:rsid w:val="00B72E35"/>
    <w:rsid w:val="00B7307C"/>
    <w:rsid w:val="00B73952"/>
    <w:rsid w:val="00B73A51"/>
    <w:rsid w:val="00B73EA6"/>
    <w:rsid w:val="00B73EE5"/>
    <w:rsid w:val="00B74BC7"/>
    <w:rsid w:val="00B75060"/>
    <w:rsid w:val="00B750D0"/>
    <w:rsid w:val="00B75262"/>
    <w:rsid w:val="00B753A5"/>
    <w:rsid w:val="00B75557"/>
    <w:rsid w:val="00B7556D"/>
    <w:rsid w:val="00B756D5"/>
    <w:rsid w:val="00B75AF9"/>
    <w:rsid w:val="00B75CD8"/>
    <w:rsid w:val="00B75DFE"/>
    <w:rsid w:val="00B75E25"/>
    <w:rsid w:val="00B7620D"/>
    <w:rsid w:val="00B762CC"/>
    <w:rsid w:val="00B7633C"/>
    <w:rsid w:val="00B7645E"/>
    <w:rsid w:val="00B76497"/>
    <w:rsid w:val="00B766F3"/>
    <w:rsid w:val="00B76743"/>
    <w:rsid w:val="00B76747"/>
    <w:rsid w:val="00B76A14"/>
    <w:rsid w:val="00B76B3B"/>
    <w:rsid w:val="00B76C4D"/>
    <w:rsid w:val="00B76E59"/>
    <w:rsid w:val="00B76E7E"/>
    <w:rsid w:val="00B772E3"/>
    <w:rsid w:val="00B77341"/>
    <w:rsid w:val="00B773C4"/>
    <w:rsid w:val="00B77545"/>
    <w:rsid w:val="00B77607"/>
    <w:rsid w:val="00B777A8"/>
    <w:rsid w:val="00B779AB"/>
    <w:rsid w:val="00B779EE"/>
    <w:rsid w:val="00B77E87"/>
    <w:rsid w:val="00B80288"/>
    <w:rsid w:val="00B8052D"/>
    <w:rsid w:val="00B80564"/>
    <w:rsid w:val="00B807F9"/>
    <w:rsid w:val="00B80888"/>
    <w:rsid w:val="00B809BF"/>
    <w:rsid w:val="00B80B4F"/>
    <w:rsid w:val="00B80E40"/>
    <w:rsid w:val="00B80E59"/>
    <w:rsid w:val="00B80FF2"/>
    <w:rsid w:val="00B8107F"/>
    <w:rsid w:val="00B8145A"/>
    <w:rsid w:val="00B81678"/>
    <w:rsid w:val="00B8167E"/>
    <w:rsid w:val="00B81805"/>
    <w:rsid w:val="00B818E9"/>
    <w:rsid w:val="00B81952"/>
    <w:rsid w:val="00B8198C"/>
    <w:rsid w:val="00B81B0D"/>
    <w:rsid w:val="00B81BAB"/>
    <w:rsid w:val="00B81C0D"/>
    <w:rsid w:val="00B81C63"/>
    <w:rsid w:val="00B81C74"/>
    <w:rsid w:val="00B81F26"/>
    <w:rsid w:val="00B81F7D"/>
    <w:rsid w:val="00B81FE8"/>
    <w:rsid w:val="00B82067"/>
    <w:rsid w:val="00B82172"/>
    <w:rsid w:val="00B821FE"/>
    <w:rsid w:val="00B82387"/>
    <w:rsid w:val="00B82895"/>
    <w:rsid w:val="00B828E7"/>
    <w:rsid w:val="00B82B67"/>
    <w:rsid w:val="00B82D18"/>
    <w:rsid w:val="00B83173"/>
    <w:rsid w:val="00B83696"/>
    <w:rsid w:val="00B836C4"/>
    <w:rsid w:val="00B836D1"/>
    <w:rsid w:val="00B83796"/>
    <w:rsid w:val="00B83BA4"/>
    <w:rsid w:val="00B83D56"/>
    <w:rsid w:val="00B83E71"/>
    <w:rsid w:val="00B840FC"/>
    <w:rsid w:val="00B844DD"/>
    <w:rsid w:val="00B844FC"/>
    <w:rsid w:val="00B848ED"/>
    <w:rsid w:val="00B84BBF"/>
    <w:rsid w:val="00B84BEC"/>
    <w:rsid w:val="00B84C00"/>
    <w:rsid w:val="00B84D34"/>
    <w:rsid w:val="00B84F8C"/>
    <w:rsid w:val="00B8512A"/>
    <w:rsid w:val="00B85345"/>
    <w:rsid w:val="00B85489"/>
    <w:rsid w:val="00B8562D"/>
    <w:rsid w:val="00B85730"/>
    <w:rsid w:val="00B85930"/>
    <w:rsid w:val="00B85A1B"/>
    <w:rsid w:val="00B85CD1"/>
    <w:rsid w:val="00B85DE0"/>
    <w:rsid w:val="00B85EEB"/>
    <w:rsid w:val="00B85FA9"/>
    <w:rsid w:val="00B8611A"/>
    <w:rsid w:val="00B86371"/>
    <w:rsid w:val="00B863D3"/>
    <w:rsid w:val="00B86515"/>
    <w:rsid w:val="00B86952"/>
    <w:rsid w:val="00B8705C"/>
    <w:rsid w:val="00B8716B"/>
    <w:rsid w:val="00B87611"/>
    <w:rsid w:val="00B878D0"/>
    <w:rsid w:val="00B87AD5"/>
    <w:rsid w:val="00B87E16"/>
    <w:rsid w:val="00B87FF1"/>
    <w:rsid w:val="00B90326"/>
    <w:rsid w:val="00B90567"/>
    <w:rsid w:val="00B905EF"/>
    <w:rsid w:val="00B90D9D"/>
    <w:rsid w:val="00B90EBC"/>
    <w:rsid w:val="00B9103A"/>
    <w:rsid w:val="00B914F0"/>
    <w:rsid w:val="00B91879"/>
    <w:rsid w:val="00B91F13"/>
    <w:rsid w:val="00B91FF8"/>
    <w:rsid w:val="00B924E8"/>
    <w:rsid w:val="00B92CC7"/>
    <w:rsid w:val="00B92DF4"/>
    <w:rsid w:val="00B92FDC"/>
    <w:rsid w:val="00B930A8"/>
    <w:rsid w:val="00B930F5"/>
    <w:rsid w:val="00B93175"/>
    <w:rsid w:val="00B93498"/>
    <w:rsid w:val="00B9373F"/>
    <w:rsid w:val="00B93780"/>
    <w:rsid w:val="00B93865"/>
    <w:rsid w:val="00B93C6C"/>
    <w:rsid w:val="00B93E1D"/>
    <w:rsid w:val="00B940A4"/>
    <w:rsid w:val="00B94306"/>
    <w:rsid w:val="00B94BF2"/>
    <w:rsid w:val="00B94CB9"/>
    <w:rsid w:val="00B94E33"/>
    <w:rsid w:val="00B95004"/>
    <w:rsid w:val="00B954F2"/>
    <w:rsid w:val="00B95574"/>
    <w:rsid w:val="00B956D8"/>
    <w:rsid w:val="00B9571F"/>
    <w:rsid w:val="00B95758"/>
    <w:rsid w:val="00B95996"/>
    <w:rsid w:val="00B95C28"/>
    <w:rsid w:val="00B95DCE"/>
    <w:rsid w:val="00B95E5D"/>
    <w:rsid w:val="00B95EAA"/>
    <w:rsid w:val="00B95EE6"/>
    <w:rsid w:val="00B95EF6"/>
    <w:rsid w:val="00B96131"/>
    <w:rsid w:val="00B96320"/>
    <w:rsid w:val="00B963D0"/>
    <w:rsid w:val="00B963F2"/>
    <w:rsid w:val="00B965F0"/>
    <w:rsid w:val="00B9695A"/>
    <w:rsid w:val="00B96B51"/>
    <w:rsid w:val="00B96C03"/>
    <w:rsid w:val="00B970EB"/>
    <w:rsid w:val="00B974FF"/>
    <w:rsid w:val="00B977B5"/>
    <w:rsid w:val="00B977EF"/>
    <w:rsid w:val="00B979D1"/>
    <w:rsid w:val="00B97BC9"/>
    <w:rsid w:val="00B97F4C"/>
    <w:rsid w:val="00BA0267"/>
    <w:rsid w:val="00BA028B"/>
    <w:rsid w:val="00BA0329"/>
    <w:rsid w:val="00BA075E"/>
    <w:rsid w:val="00BA08EE"/>
    <w:rsid w:val="00BA08F0"/>
    <w:rsid w:val="00BA0A05"/>
    <w:rsid w:val="00BA0B7C"/>
    <w:rsid w:val="00BA0F02"/>
    <w:rsid w:val="00BA0F34"/>
    <w:rsid w:val="00BA0F8F"/>
    <w:rsid w:val="00BA131B"/>
    <w:rsid w:val="00BA146F"/>
    <w:rsid w:val="00BA1510"/>
    <w:rsid w:val="00BA1746"/>
    <w:rsid w:val="00BA1769"/>
    <w:rsid w:val="00BA19F2"/>
    <w:rsid w:val="00BA1C4B"/>
    <w:rsid w:val="00BA1CFB"/>
    <w:rsid w:val="00BA1D32"/>
    <w:rsid w:val="00BA1D71"/>
    <w:rsid w:val="00BA1DEF"/>
    <w:rsid w:val="00BA2016"/>
    <w:rsid w:val="00BA2203"/>
    <w:rsid w:val="00BA221D"/>
    <w:rsid w:val="00BA2516"/>
    <w:rsid w:val="00BA2522"/>
    <w:rsid w:val="00BA2624"/>
    <w:rsid w:val="00BA26F3"/>
    <w:rsid w:val="00BA29CA"/>
    <w:rsid w:val="00BA2AA8"/>
    <w:rsid w:val="00BA30B6"/>
    <w:rsid w:val="00BA3144"/>
    <w:rsid w:val="00BA32C9"/>
    <w:rsid w:val="00BA35D6"/>
    <w:rsid w:val="00BA3828"/>
    <w:rsid w:val="00BA39A3"/>
    <w:rsid w:val="00BA3A90"/>
    <w:rsid w:val="00BA3D70"/>
    <w:rsid w:val="00BA3EE5"/>
    <w:rsid w:val="00BA3F1F"/>
    <w:rsid w:val="00BA3FA4"/>
    <w:rsid w:val="00BA408F"/>
    <w:rsid w:val="00BA447D"/>
    <w:rsid w:val="00BA452C"/>
    <w:rsid w:val="00BA484B"/>
    <w:rsid w:val="00BA4903"/>
    <w:rsid w:val="00BA4912"/>
    <w:rsid w:val="00BA4AB8"/>
    <w:rsid w:val="00BA4F03"/>
    <w:rsid w:val="00BA5190"/>
    <w:rsid w:val="00BA52E9"/>
    <w:rsid w:val="00BA5399"/>
    <w:rsid w:val="00BA5838"/>
    <w:rsid w:val="00BA5941"/>
    <w:rsid w:val="00BA59A4"/>
    <w:rsid w:val="00BA5CB3"/>
    <w:rsid w:val="00BA5D95"/>
    <w:rsid w:val="00BA6104"/>
    <w:rsid w:val="00BA62FE"/>
    <w:rsid w:val="00BA6E3B"/>
    <w:rsid w:val="00BA6FAD"/>
    <w:rsid w:val="00BA7267"/>
    <w:rsid w:val="00BA734B"/>
    <w:rsid w:val="00BA7895"/>
    <w:rsid w:val="00BA78D9"/>
    <w:rsid w:val="00BA78E1"/>
    <w:rsid w:val="00BA7936"/>
    <w:rsid w:val="00BA7976"/>
    <w:rsid w:val="00BA7AA6"/>
    <w:rsid w:val="00BA7D44"/>
    <w:rsid w:val="00BA7EB4"/>
    <w:rsid w:val="00BA7FC2"/>
    <w:rsid w:val="00BB0230"/>
    <w:rsid w:val="00BB026C"/>
    <w:rsid w:val="00BB02E8"/>
    <w:rsid w:val="00BB03FD"/>
    <w:rsid w:val="00BB0652"/>
    <w:rsid w:val="00BB0682"/>
    <w:rsid w:val="00BB06F9"/>
    <w:rsid w:val="00BB082C"/>
    <w:rsid w:val="00BB08FA"/>
    <w:rsid w:val="00BB09EB"/>
    <w:rsid w:val="00BB09FB"/>
    <w:rsid w:val="00BB0DCF"/>
    <w:rsid w:val="00BB0F67"/>
    <w:rsid w:val="00BB100C"/>
    <w:rsid w:val="00BB1097"/>
    <w:rsid w:val="00BB12FF"/>
    <w:rsid w:val="00BB1406"/>
    <w:rsid w:val="00BB159E"/>
    <w:rsid w:val="00BB1739"/>
    <w:rsid w:val="00BB17A1"/>
    <w:rsid w:val="00BB188C"/>
    <w:rsid w:val="00BB196E"/>
    <w:rsid w:val="00BB19B2"/>
    <w:rsid w:val="00BB1A1A"/>
    <w:rsid w:val="00BB1B8B"/>
    <w:rsid w:val="00BB2310"/>
    <w:rsid w:val="00BB259F"/>
    <w:rsid w:val="00BB25B5"/>
    <w:rsid w:val="00BB25DC"/>
    <w:rsid w:val="00BB262A"/>
    <w:rsid w:val="00BB28B3"/>
    <w:rsid w:val="00BB28CB"/>
    <w:rsid w:val="00BB2C74"/>
    <w:rsid w:val="00BB2C80"/>
    <w:rsid w:val="00BB305E"/>
    <w:rsid w:val="00BB312F"/>
    <w:rsid w:val="00BB321D"/>
    <w:rsid w:val="00BB385D"/>
    <w:rsid w:val="00BB3985"/>
    <w:rsid w:val="00BB3D50"/>
    <w:rsid w:val="00BB3E4F"/>
    <w:rsid w:val="00BB40DF"/>
    <w:rsid w:val="00BB416A"/>
    <w:rsid w:val="00BB42F9"/>
    <w:rsid w:val="00BB437C"/>
    <w:rsid w:val="00BB4596"/>
    <w:rsid w:val="00BB4968"/>
    <w:rsid w:val="00BB49AB"/>
    <w:rsid w:val="00BB4A28"/>
    <w:rsid w:val="00BB4B31"/>
    <w:rsid w:val="00BB4D1C"/>
    <w:rsid w:val="00BB5000"/>
    <w:rsid w:val="00BB51FB"/>
    <w:rsid w:val="00BB5242"/>
    <w:rsid w:val="00BB5B0A"/>
    <w:rsid w:val="00BB5B25"/>
    <w:rsid w:val="00BB5B4C"/>
    <w:rsid w:val="00BB5DF0"/>
    <w:rsid w:val="00BB5EC9"/>
    <w:rsid w:val="00BB603C"/>
    <w:rsid w:val="00BB62D8"/>
    <w:rsid w:val="00BB6417"/>
    <w:rsid w:val="00BB6C16"/>
    <w:rsid w:val="00BB6D6C"/>
    <w:rsid w:val="00BB6EB7"/>
    <w:rsid w:val="00BB6F09"/>
    <w:rsid w:val="00BB6FFA"/>
    <w:rsid w:val="00BB72FA"/>
    <w:rsid w:val="00BB7465"/>
    <w:rsid w:val="00BB751A"/>
    <w:rsid w:val="00BB7AB6"/>
    <w:rsid w:val="00BB7B3C"/>
    <w:rsid w:val="00BB7C1E"/>
    <w:rsid w:val="00BB7D5C"/>
    <w:rsid w:val="00BB7E9E"/>
    <w:rsid w:val="00BB7F68"/>
    <w:rsid w:val="00BC0062"/>
    <w:rsid w:val="00BC0228"/>
    <w:rsid w:val="00BC0286"/>
    <w:rsid w:val="00BC03C8"/>
    <w:rsid w:val="00BC04B2"/>
    <w:rsid w:val="00BC0545"/>
    <w:rsid w:val="00BC06B5"/>
    <w:rsid w:val="00BC08B0"/>
    <w:rsid w:val="00BC08F3"/>
    <w:rsid w:val="00BC09C7"/>
    <w:rsid w:val="00BC09F4"/>
    <w:rsid w:val="00BC09FC"/>
    <w:rsid w:val="00BC0C27"/>
    <w:rsid w:val="00BC0E15"/>
    <w:rsid w:val="00BC10DB"/>
    <w:rsid w:val="00BC119C"/>
    <w:rsid w:val="00BC14E4"/>
    <w:rsid w:val="00BC176D"/>
    <w:rsid w:val="00BC1AA2"/>
    <w:rsid w:val="00BC1AF2"/>
    <w:rsid w:val="00BC1B0F"/>
    <w:rsid w:val="00BC1BF0"/>
    <w:rsid w:val="00BC1DE6"/>
    <w:rsid w:val="00BC2038"/>
    <w:rsid w:val="00BC20B8"/>
    <w:rsid w:val="00BC20F7"/>
    <w:rsid w:val="00BC218C"/>
    <w:rsid w:val="00BC218E"/>
    <w:rsid w:val="00BC2256"/>
    <w:rsid w:val="00BC22AE"/>
    <w:rsid w:val="00BC2377"/>
    <w:rsid w:val="00BC2624"/>
    <w:rsid w:val="00BC2864"/>
    <w:rsid w:val="00BC2BCF"/>
    <w:rsid w:val="00BC2E91"/>
    <w:rsid w:val="00BC2FFE"/>
    <w:rsid w:val="00BC3019"/>
    <w:rsid w:val="00BC3213"/>
    <w:rsid w:val="00BC33A3"/>
    <w:rsid w:val="00BC3594"/>
    <w:rsid w:val="00BC359F"/>
    <w:rsid w:val="00BC3673"/>
    <w:rsid w:val="00BC3994"/>
    <w:rsid w:val="00BC3AB8"/>
    <w:rsid w:val="00BC3B47"/>
    <w:rsid w:val="00BC3E94"/>
    <w:rsid w:val="00BC43AE"/>
    <w:rsid w:val="00BC43D5"/>
    <w:rsid w:val="00BC4450"/>
    <w:rsid w:val="00BC49A8"/>
    <w:rsid w:val="00BC4B47"/>
    <w:rsid w:val="00BC4B8C"/>
    <w:rsid w:val="00BC4C74"/>
    <w:rsid w:val="00BC4EF8"/>
    <w:rsid w:val="00BC4F9C"/>
    <w:rsid w:val="00BC5116"/>
    <w:rsid w:val="00BC53A3"/>
    <w:rsid w:val="00BC57AE"/>
    <w:rsid w:val="00BC5A8A"/>
    <w:rsid w:val="00BC5A92"/>
    <w:rsid w:val="00BC5D54"/>
    <w:rsid w:val="00BC5E12"/>
    <w:rsid w:val="00BC5E9D"/>
    <w:rsid w:val="00BC621C"/>
    <w:rsid w:val="00BC642C"/>
    <w:rsid w:val="00BC68E1"/>
    <w:rsid w:val="00BC6CF5"/>
    <w:rsid w:val="00BC7058"/>
    <w:rsid w:val="00BC727B"/>
    <w:rsid w:val="00BC72C2"/>
    <w:rsid w:val="00BC7378"/>
    <w:rsid w:val="00BC739E"/>
    <w:rsid w:val="00BC74CA"/>
    <w:rsid w:val="00BC74ED"/>
    <w:rsid w:val="00BC7536"/>
    <w:rsid w:val="00BC753C"/>
    <w:rsid w:val="00BC7555"/>
    <w:rsid w:val="00BC76C8"/>
    <w:rsid w:val="00BC7A01"/>
    <w:rsid w:val="00BC7A0B"/>
    <w:rsid w:val="00BC7A30"/>
    <w:rsid w:val="00BC7BEF"/>
    <w:rsid w:val="00BC7CAC"/>
    <w:rsid w:val="00BC7CE7"/>
    <w:rsid w:val="00BD0004"/>
    <w:rsid w:val="00BD0249"/>
    <w:rsid w:val="00BD02B6"/>
    <w:rsid w:val="00BD0C4C"/>
    <w:rsid w:val="00BD0D2A"/>
    <w:rsid w:val="00BD1110"/>
    <w:rsid w:val="00BD11EB"/>
    <w:rsid w:val="00BD1207"/>
    <w:rsid w:val="00BD12A5"/>
    <w:rsid w:val="00BD1316"/>
    <w:rsid w:val="00BD1323"/>
    <w:rsid w:val="00BD1376"/>
    <w:rsid w:val="00BD1590"/>
    <w:rsid w:val="00BD15C1"/>
    <w:rsid w:val="00BD187C"/>
    <w:rsid w:val="00BD188D"/>
    <w:rsid w:val="00BD189C"/>
    <w:rsid w:val="00BD1963"/>
    <w:rsid w:val="00BD1ADE"/>
    <w:rsid w:val="00BD1D34"/>
    <w:rsid w:val="00BD2043"/>
    <w:rsid w:val="00BD20B7"/>
    <w:rsid w:val="00BD233D"/>
    <w:rsid w:val="00BD25F9"/>
    <w:rsid w:val="00BD26FC"/>
    <w:rsid w:val="00BD271D"/>
    <w:rsid w:val="00BD2F0D"/>
    <w:rsid w:val="00BD2FF0"/>
    <w:rsid w:val="00BD32A0"/>
    <w:rsid w:val="00BD3624"/>
    <w:rsid w:val="00BD3912"/>
    <w:rsid w:val="00BD39EE"/>
    <w:rsid w:val="00BD3E0D"/>
    <w:rsid w:val="00BD4218"/>
    <w:rsid w:val="00BD44ED"/>
    <w:rsid w:val="00BD470D"/>
    <w:rsid w:val="00BD4C4B"/>
    <w:rsid w:val="00BD52A5"/>
    <w:rsid w:val="00BD5324"/>
    <w:rsid w:val="00BD5465"/>
    <w:rsid w:val="00BD551D"/>
    <w:rsid w:val="00BD5558"/>
    <w:rsid w:val="00BD5E43"/>
    <w:rsid w:val="00BD5E68"/>
    <w:rsid w:val="00BD625B"/>
    <w:rsid w:val="00BD62E2"/>
    <w:rsid w:val="00BD6419"/>
    <w:rsid w:val="00BD6525"/>
    <w:rsid w:val="00BD6544"/>
    <w:rsid w:val="00BD6553"/>
    <w:rsid w:val="00BD6645"/>
    <w:rsid w:val="00BD6650"/>
    <w:rsid w:val="00BD6795"/>
    <w:rsid w:val="00BD67E3"/>
    <w:rsid w:val="00BD6BC7"/>
    <w:rsid w:val="00BD6E96"/>
    <w:rsid w:val="00BD7184"/>
    <w:rsid w:val="00BD7706"/>
    <w:rsid w:val="00BD7C0B"/>
    <w:rsid w:val="00BD7EB2"/>
    <w:rsid w:val="00BD7FCB"/>
    <w:rsid w:val="00BD7FD3"/>
    <w:rsid w:val="00BE05A3"/>
    <w:rsid w:val="00BE05A8"/>
    <w:rsid w:val="00BE0610"/>
    <w:rsid w:val="00BE07E4"/>
    <w:rsid w:val="00BE082C"/>
    <w:rsid w:val="00BE08C5"/>
    <w:rsid w:val="00BE10CA"/>
    <w:rsid w:val="00BE120D"/>
    <w:rsid w:val="00BE135B"/>
    <w:rsid w:val="00BE14E6"/>
    <w:rsid w:val="00BE14F2"/>
    <w:rsid w:val="00BE1904"/>
    <w:rsid w:val="00BE1BFB"/>
    <w:rsid w:val="00BE2085"/>
    <w:rsid w:val="00BE20C8"/>
    <w:rsid w:val="00BE2180"/>
    <w:rsid w:val="00BE26B3"/>
    <w:rsid w:val="00BE29CE"/>
    <w:rsid w:val="00BE2ABF"/>
    <w:rsid w:val="00BE2C48"/>
    <w:rsid w:val="00BE2CA3"/>
    <w:rsid w:val="00BE2FFD"/>
    <w:rsid w:val="00BE3078"/>
    <w:rsid w:val="00BE30ED"/>
    <w:rsid w:val="00BE3107"/>
    <w:rsid w:val="00BE321F"/>
    <w:rsid w:val="00BE3452"/>
    <w:rsid w:val="00BE3467"/>
    <w:rsid w:val="00BE3547"/>
    <w:rsid w:val="00BE354C"/>
    <w:rsid w:val="00BE39EF"/>
    <w:rsid w:val="00BE3AF9"/>
    <w:rsid w:val="00BE3BF0"/>
    <w:rsid w:val="00BE3E03"/>
    <w:rsid w:val="00BE3EA3"/>
    <w:rsid w:val="00BE403B"/>
    <w:rsid w:val="00BE4096"/>
    <w:rsid w:val="00BE4164"/>
    <w:rsid w:val="00BE41F6"/>
    <w:rsid w:val="00BE4418"/>
    <w:rsid w:val="00BE44D1"/>
    <w:rsid w:val="00BE46C6"/>
    <w:rsid w:val="00BE4754"/>
    <w:rsid w:val="00BE47EB"/>
    <w:rsid w:val="00BE4A23"/>
    <w:rsid w:val="00BE5042"/>
    <w:rsid w:val="00BE50AC"/>
    <w:rsid w:val="00BE5476"/>
    <w:rsid w:val="00BE5AAE"/>
    <w:rsid w:val="00BE5C1B"/>
    <w:rsid w:val="00BE5F4E"/>
    <w:rsid w:val="00BE61A1"/>
    <w:rsid w:val="00BE634C"/>
    <w:rsid w:val="00BE6810"/>
    <w:rsid w:val="00BE6862"/>
    <w:rsid w:val="00BE69D5"/>
    <w:rsid w:val="00BE6CC9"/>
    <w:rsid w:val="00BE6D82"/>
    <w:rsid w:val="00BE7091"/>
    <w:rsid w:val="00BE711D"/>
    <w:rsid w:val="00BE7589"/>
    <w:rsid w:val="00BE7781"/>
    <w:rsid w:val="00BE7BBA"/>
    <w:rsid w:val="00BE7C5B"/>
    <w:rsid w:val="00BE7D96"/>
    <w:rsid w:val="00BE7E80"/>
    <w:rsid w:val="00BE7EBC"/>
    <w:rsid w:val="00BF004D"/>
    <w:rsid w:val="00BF027F"/>
    <w:rsid w:val="00BF058A"/>
    <w:rsid w:val="00BF07FA"/>
    <w:rsid w:val="00BF0E28"/>
    <w:rsid w:val="00BF0F09"/>
    <w:rsid w:val="00BF0F85"/>
    <w:rsid w:val="00BF126C"/>
    <w:rsid w:val="00BF12A1"/>
    <w:rsid w:val="00BF13F0"/>
    <w:rsid w:val="00BF18AB"/>
    <w:rsid w:val="00BF19D3"/>
    <w:rsid w:val="00BF1AAE"/>
    <w:rsid w:val="00BF1DE1"/>
    <w:rsid w:val="00BF1DE5"/>
    <w:rsid w:val="00BF1EF2"/>
    <w:rsid w:val="00BF1FE2"/>
    <w:rsid w:val="00BF2038"/>
    <w:rsid w:val="00BF2479"/>
    <w:rsid w:val="00BF2489"/>
    <w:rsid w:val="00BF27E2"/>
    <w:rsid w:val="00BF2A12"/>
    <w:rsid w:val="00BF2D74"/>
    <w:rsid w:val="00BF2E70"/>
    <w:rsid w:val="00BF2F9B"/>
    <w:rsid w:val="00BF3062"/>
    <w:rsid w:val="00BF3137"/>
    <w:rsid w:val="00BF3293"/>
    <w:rsid w:val="00BF343C"/>
    <w:rsid w:val="00BF36B9"/>
    <w:rsid w:val="00BF3DEC"/>
    <w:rsid w:val="00BF3F05"/>
    <w:rsid w:val="00BF40E5"/>
    <w:rsid w:val="00BF43A4"/>
    <w:rsid w:val="00BF49E1"/>
    <w:rsid w:val="00BF4B07"/>
    <w:rsid w:val="00BF4B95"/>
    <w:rsid w:val="00BF4CA0"/>
    <w:rsid w:val="00BF4D16"/>
    <w:rsid w:val="00BF4DA7"/>
    <w:rsid w:val="00BF502E"/>
    <w:rsid w:val="00BF5552"/>
    <w:rsid w:val="00BF5675"/>
    <w:rsid w:val="00BF577C"/>
    <w:rsid w:val="00BF5910"/>
    <w:rsid w:val="00BF5A24"/>
    <w:rsid w:val="00BF5E4E"/>
    <w:rsid w:val="00BF5FE4"/>
    <w:rsid w:val="00BF6002"/>
    <w:rsid w:val="00BF62DE"/>
    <w:rsid w:val="00BF63F5"/>
    <w:rsid w:val="00BF6557"/>
    <w:rsid w:val="00BF694B"/>
    <w:rsid w:val="00BF6A97"/>
    <w:rsid w:val="00BF6AE9"/>
    <w:rsid w:val="00BF6B00"/>
    <w:rsid w:val="00BF6B8C"/>
    <w:rsid w:val="00BF6BDB"/>
    <w:rsid w:val="00BF6CA8"/>
    <w:rsid w:val="00BF6D53"/>
    <w:rsid w:val="00BF6E01"/>
    <w:rsid w:val="00BF7092"/>
    <w:rsid w:val="00BF713C"/>
    <w:rsid w:val="00BF7363"/>
    <w:rsid w:val="00BF7418"/>
    <w:rsid w:val="00BF7673"/>
    <w:rsid w:val="00BF798B"/>
    <w:rsid w:val="00BF7B12"/>
    <w:rsid w:val="00BF7E5A"/>
    <w:rsid w:val="00BF7F5F"/>
    <w:rsid w:val="00C00391"/>
    <w:rsid w:val="00C00422"/>
    <w:rsid w:val="00C00962"/>
    <w:rsid w:val="00C00C14"/>
    <w:rsid w:val="00C00C85"/>
    <w:rsid w:val="00C00E64"/>
    <w:rsid w:val="00C00E78"/>
    <w:rsid w:val="00C00F36"/>
    <w:rsid w:val="00C010F0"/>
    <w:rsid w:val="00C0112E"/>
    <w:rsid w:val="00C017EB"/>
    <w:rsid w:val="00C01976"/>
    <w:rsid w:val="00C019E9"/>
    <w:rsid w:val="00C01DC6"/>
    <w:rsid w:val="00C0201D"/>
    <w:rsid w:val="00C02225"/>
    <w:rsid w:val="00C0250B"/>
    <w:rsid w:val="00C02877"/>
    <w:rsid w:val="00C028B9"/>
    <w:rsid w:val="00C029D3"/>
    <w:rsid w:val="00C02C84"/>
    <w:rsid w:val="00C02D2E"/>
    <w:rsid w:val="00C02D7D"/>
    <w:rsid w:val="00C02DC8"/>
    <w:rsid w:val="00C030F6"/>
    <w:rsid w:val="00C03582"/>
    <w:rsid w:val="00C03A58"/>
    <w:rsid w:val="00C03A75"/>
    <w:rsid w:val="00C03A95"/>
    <w:rsid w:val="00C03B26"/>
    <w:rsid w:val="00C03BFC"/>
    <w:rsid w:val="00C03EA0"/>
    <w:rsid w:val="00C040F4"/>
    <w:rsid w:val="00C04369"/>
    <w:rsid w:val="00C0471E"/>
    <w:rsid w:val="00C0478E"/>
    <w:rsid w:val="00C04986"/>
    <w:rsid w:val="00C04D00"/>
    <w:rsid w:val="00C04FEA"/>
    <w:rsid w:val="00C0515C"/>
    <w:rsid w:val="00C05739"/>
    <w:rsid w:val="00C05893"/>
    <w:rsid w:val="00C0589C"/>
    <w:rsid w:val="00C058B7"/>
    <w:rsid w:val="00C05AA2"/>
    <w:rsid w:val="00C05BBD"/>
    <w:rsid w:val="00C05C52"/>
    <w:rsid w:val="00C05C88"/>
    <w:rsid w:val="00C05C8C"/>
    <w:rsid w:val="00C05CD0"/>
    <w:rsid w:val="00C05D1E"/>
    <w:rsid w:val="00C05DA6"/>
    <w:rsid w:val="00C05EDA"/>
    <w:rsid w:val="00C06252"/>
    <w:rsid w:val="00C06344"/>
    <w:rsid w:val="00C06DAD"/>
    <w:rsid w:val="00C06E0A"/>
    <w:rsid w:val="00C06EFE"/>
    <w:rsid w:val="00C06FAE"/>
    <w:rsid w:val="00C07112"/>
    <w:rsid w:val="00C071E4"/>
    <w:rsid w:val="00C0724E"/>
    <w:rsid w:val="00C0728A"/>
    <w:rsid w:val="00C0745E"/>
    <w:rsid w:val="00C07713"/>
    <w:rsid w:val="00C07A83"/>
    <w:rsid w:val="00C07F5E"/>
    <w:rsid w:val="00C10052"/>
    <w:rsid w:val="00C1026A"/>
    <w:rsid w:val="00C102BA"/>
    <w:rsid w:val="00C10354"/>
    <w:rsid w:val="00C103E3"/>
    <w:rsid w:val="00C1070B"/>
    <w:rsid w:val="00C10820"/>
    <w:rsid w:val="00C10922"/>
    <w:rsid w:val="00C10C9B"/>
    <w:rsid w:val="00C10DC3"/>
    <w:rsid w:val="00C11012"/>
    <w:rsid w:val="00C11836"/>
    <w:rsid w:val="00C1188B"/>
    <w:rsid w:val="00C11B86"/>
    <w:rsid w:val="00C12312"/>
    <w:rsid w:val="00C1240B"/>
    <w:rsid w:val="00C124B5"/>
    <w:rsid w:val="00C124FB"/>
    <w:rsid w:val="00C125A2"/>
    <w:rsid w:val="00C127B8"/>
    <w:rsid w:val="00C12A0D"/>
    <w:rsid w:val="00C12FC5"/>
    <w:rsid w:val="00C12FFA"/>
    <w:rsid w:val="00C13239"/>
    <w:rsid w:val="00C133B1"/>
    <w:rsid w:val="00C13A60"/>
    <w:rsid w:val="00C14186"/>
    <w:rsid w:val="00C144A8"/>
    <w:rsid w:val="00C1456B"/>
    <w:rsid w:val="00C1459F"/>
    <w:rsid w:val="00C14811"/>
    <w:rsid w:val="00C14812"/>
    <w:rsid w:val="00C149B2"/>
    <w:rsid w:val="00C14CE6"/>
    <w:rsid w:val="00C15233"/>
    <w:rsid w:val="00C157F1"/>
    <w:rsid w:val="00C158EE"/>
    <w:rsid w:val="00C159AE"/>
    <w:rsid w:val="00C15E3F"/>
    <w:rsid w:val="00C15EB1"/>
    <w:rsid w:val="00C15F05"/>
    <w:rsid w:val="00C15F6A"/>
    <w:rsid w:val="00C1603E"/>
    <w:rsid w:val="00C16862"/>
    <w:rsid w:val="00C168FD"/>
    <w:rsid w:val="00C16B64"/>
    <w:rsid w:val="00C16BF2"/>
    <w:rsid w:val="00C16DB0"/>
    <w:rsid w:val="00C16E2A"/>
    <w:rsid w:val="00C17042"/>
    <w:rsid w:val="00C1725C"/>
    <w:rsid w:val="00C172BB"/>
    <w:rsid w:val="00C172D8"/>
    <w:rsid w:val="00C1735D"/>
    <w:rsid w:val="00C1736E"/>
    <w:rsid w:val="00C17404"/>
    <w:rsid w:val="00C178B5"/>
    <w:rsid w:val="00C17916"/>
    <w:rsid w:val="00C17ACC"/>
    <w:rsid w:val="00C17B6B"/>
    <w:rsid w:val="00C17EA6"/>
    <w:rsid w:val="00C17F45"/>
    <w:rsid w:val="00C17FD2"/>
    <w:rsid w:val="00C2001F"/>
    <w:rsid w:val="00C20498"/>
    <w:rsid w:val="00C205FF"/>
    <w:rsid w:val="00C20794"/>
    <w:rsid w:val="00C208CE"/>
    <w:rsid w:val="00C20A7B"/>
    <w:rsid w:val="00C20F3E"/>
    <w:rsid w:val="00C2111B"/>
    <w:rsid w:val="00C21241"/>
    <w:rsid w:val="00C2156C"/>
    <w:rsid w:val="00C21907"/>
    <w:rsid w:val="00C21B34"/>
    <w:rsid w:val="00C21B99"/>
    <w:rsid w:val="00C21C55"/>
    <w:rsid w:val="00C21D2B"/>
    <w:rsid w:val="00C21D63"/>
    <w:rsid w:val="00C221F2"/>
    <w:rsid w:val="00C222B4"/>
    <w:rsid w:val="00C22389"/>
    <w:rsid w:val="00C22474"/>
    <w:rsid w:val="00C22548"/>
    <w:rsid w:val="00C2270D"/>
    <w:rsid w:val="00C228BF"/>
    <w:rsid w:val="00C228C5"/>
    <w:rsid w:val="00C22ACF"/>
    <w:rsid w:val="00C22C98"/>
    <w:rsid w:val="00C231E3"/>
    <w:rsid w:val="00C23262"/>
    <w:rsid w:val="00C23268"/>
    <w:rsid w:val="00C23305"/>
    <w:rsid w:val="00C23362"/>
    <w:rsid w:val="00C2389C"/>
    <w:rsid w:val="00C238F2"/>
    <w:rsid w:val="00C23920"/>
    <w:rsid w:val="00C23D02"/>
    <w:rsid w:val="00C23E61"/>
    <w:rsid w:val="00C23FAC"/>
    <w:rsid w:val="00C240D7"/>
    <w:rsid w:val="00C240E5"/>
    <w:rsid w:val="00C242A7"/>
    <w:rsid w:val="00C2482C"/>
    <w:rsid w:val="00C24833"/>
    <w:rsid w:val="00C249EF"/>
    <w:rsid w:val="00C24BA8"/>
    <w:rsid w:val="00C2507D"/>
    <w:rsid w:val="00C25234"/>
    <w:rsid w:val="00C25788"/>
    <w:rsid w:val="00C25840"/>
    <w:rsid w:val="00C258A3"/>
    <w:rsid w:val="00C258D3"/>
    <w:rsid w:val="00C25AEC"/>
    <w:rsid w:val="00C25C28"/>
    <w:rsid w:val="00C260E1"/>
    <w:rsid w:val="00C263ED"/>
    <w:rsid w:val="00C2645A"/>
    <w:rsid w:val="00C265D5"/>
    <w:rsid w:val="00C265F6"/>
    <w:rsid w:val="00C26686"/>
    <w:rsid w:val="00C266BF"/>
    <w:rsid w:val="00C268FC"/>
    <w:rsid w:val="00C26D3F"/>
    <w:rsid w:val="00C2705B"/>
    <w:rsid w:val="00C27168"/>
    <w:rsid w:val="00C27560"/>
    <w:rsid w:val="00C279F6"/>
    <w:rsid w:val="00C27BE5"/>
    <w:rsid w:val="00C27C59"/>
    <w:rsid w:val="00C27F55"/>
    <w:rsid w:val="00C27F5D"/>
    <w:rsid w:val="00C30040"/>
    <w:rsid w:val="00C301F2"/>
    <w:rsid w:val="00C305AC"/>
    <w:rsid w:val="00C30E0D"/>
    <w:rsid w:val="00C30FDC"/>
    <w:rsid w:val="00C3148B"/>
    <w:rsid w:val="00C31681"/>
    <w:rsid w:val="00C318A8"/>
    <w:rsid w:val="00C318D7"/>
    <w:rsid w:val="00C318E7"/>
    <w:rsid w:val="00C31916"/>
    <w:rsid w:val="00C31AA2"/>
    <w:rsid w:val="00C31B2C"/>
    <w:rsid w:val="00C31CC9"/>
    <w:rsid w:val="00C31DB9"/>
    <w:rsid w:val="00C31F6E"/>
    <w:rsid w:val="00C320C6"/>
    <w:rsid w:val="00C3216C"/>
    <w:rsid w:val="00C321DB"/>
    <w:rsid w:val="00C3255C"/>
    <w:rsid w:val="00C32647"/>
    <w:rsid w:val="00C32661"/>
    <w:rsid w:val="00C327C7"/>
    <w:rsid w:val="00C32812"/>
    <w:rsid w:val="00C32869"/>
    <w:rsid w:val="00C32BF2"/>
    <w:rsid w:val="00C32C51"/>
    <w:rsid w:val="00C32D02"/>
    <w:rsid w:val="00C32ECE"/>
    <w:rsid w:val="00C33105"/>
    <w:rsid w:val="00C332F1"/>
    <w:rsid w:val="00C333FD"/>
    <w:rsid w:val="00C33458"/>
    <w:rsid w:val="00C33474"/>
    <w:rsid w:val="00C33C8A"/>
    <w:rsid w:val="00C33D01"/>
    <w:rsid w:val="00C34340"/>
    <w:rsid w:val="00C347F5"/>
    <w:rsid w:val="00C34D59"/>
    <w:rsid w:val="00C34D72"/>
    <w:rsid w:val="00C34DEB"/>
    <w:rsid w:val="00C34DFC"/>
    <w:rsid w:val="00C353E0"/>
    <w:rsid w:val="00C355E9"/>
    <w:rsid w:val="00C356D2"/>
    <w:rsid w:val="00C356E7"/>
    <w:rsid w:val="00C358EA"/>
    <w:rsid w:val="00C35AD6"/>
    <w:rsid w:val="00C36042"/>
    <w:rsid w:val="00C36203"/>
    <w:rsid w:val="00C36307"/>
    <w:rsid w:val="00C363E2"/>
    <w:rsid w:val="00C36589"/>
    <w:rsid w:val="00C3665D"/>
    <w:rsid w:val="00C368E0"/>
    <w:rsid w:val="00C36B05"/>
    <w:rsid w:val="00C36E8B"/>
    <w:rsid w:val="00C36F04"/>
    <w:rsid w:val="00C37055"/>
    <w:rsid w:val="00C3752A"/>
    <w:rsid w:val="00C377F3"/>
    <w:rsid w:val="00C37817"/>
    <w:rsid w:val="00C37894"/>
    <w:rsid w:val="00C3799E"/>
    <w:rsid w:val="00C37C37"/>
    <w:rsid w:val="00C4011F"/>
    <w:rsid w:val="00C4039D"/>
    <w:rsid w:val="00C40528"/>
    <w:rsid w:val="00C40899"/>
    <w:rsid w:val="00C40B06"/>
    <w:rsid w:val="00C40BCA"/>
    <w:rsid w:val="00C40C5D"/>
    <w:rsid w:val="00C40D18"/>
    <w:rsid w:val="00C41076"/>
    <w:rsid w:val="00C414C3"/>
    <w:rsid w:val="00C416AA"/>
    <w:rsid w:val="00C4176B"/>
    <w:rsid w:val="00C418EA"/>
    <w:rsid w:val="00C41A52"/>
    <w:rsid w:val="00C41A5B"/>
    <w:rsid w:val="00C41B72"/>
    <w:rsid w:val="00C41C93"/>
    <w:rsid w:val="00C41DD8"/>
    <w:rsid w:val="00C41E41"/>
    <w:rsid w:val="00C429B9"/>
    <w:rsid w:val="00C43087"/>
    <w:rsid w:val="00C43233"/>
    <w:rsid w:val="00C43459"/>
    <w:rsid w:val="00C43551"/>
    <w:rsid w:val="00C43962"/>
    <w:rsid w:val="00C4421C"/>
    <w:rsid w:val="00C443E2"/>
    <w:rsid w:val="00C44417"/>
    <w:rsid w:val="00C44853"/>
    <w:rsid w:val="00C44A0A"/>
    <w:rsid w:val="00C44A3F"/>
    <w:rsid w:val="00C44B38"/>
    <w:rsid w:val="00C44B9C"/>
    <w:rsid w:val="00C44E16"/>
    <w:rsid w:val="00C451B0"/>
    <w:rsid w:val="00C45340"/>
    <w:rsid w:val="00C45363"/>
    <w:rsid w:val="00C45439"/>
    <w:rsid w:val="00C454F5"/>
    <w:rsid w:val="00C45682"/>
    <w:rsid w:val="00C457E6"/>
    <w:rsid w:val="00C4587F"/>
    <w:rsid w:val="00C4588E"/>
    <w:rsid w:val="00C45975"/>
    <w:rsid w:val="00C45BAD"/>
    <w:rsid w:val="00C45C28"/>
    <w:rsid w:val="00C45C41"/>
    <w:rsid w:val="00C45CD8"/>
    <w:rsid w:val="00C45D8D"/>
    <w:rsid w:val="00C465F4"/>
    <w:rsid w:val="00C466BE"/>
    <w:rsid w:val="00C4672A"/>
    <w:rsid w:val="00C46A7F"/>
    <w:rsid w:val="00C46D80"/>
    <w:rsid w:val="00C46FC0"/>
    <w:rsid w:val="00C4774C"/>
    <w:rsid w:val="00C47817"/>
    <w:rsid w:val="00C479D5"/>
    <w:rsid w:val="00C47D0B"/>
    <w:rsid w:val="00C50049"/>
    <w:rsid w:val="00C50247"/>
    <w:rsid w:val="00C5025A"/>
    <w:rsid w:val="00C50B26"/>
    <w:rsid w:val="00C50B9C"/>
    <w:rsid w:val="00C50BCF"/>
    <w:rsid w:val="00C50DB8"/>
    <w:rsid w:val="00C50DF0"/>
    <w:rsid w:val="00C51131"/>
    <w:rsid w:val="00C511C2"/>
    <w:rsid w:val="00C51241"/>
    <w:rsid w:val="00C512EE"/>
    <w:rsid w:val="00C512F2"/>
    <w:rsid w:val="00C51329"/>
    <w:rsid w:val="00C513A0"/>
    <w:rsid w:val="00C5148B"/>
    <w:rsid w:val="00C51584"/>
    <w:rsid w:val="00C51599"/>
    <w:rsid w:val="00C51624"/>
    <w:rsid w:val="00C516A7"/>
    <w:rsid w:val="00C5175E"/>
    <w:rsid w:val="00C520A7"/>
    <w:rsid w:val="00C520D9"/>
    <w:rsid w:val="00C521D2"/>
    <w:rsid w:val="00C522E9"/>
    <w:rsid w:val="00C52544"/>
    <w:rsid w:val="00C525A7"/>
    <w:rsid w:val="00C5262E"/>
    <w:rsid w:val="00C52705"/>
    <w:rsid w:val="00C5275A"/>
    <w:rsid w:val="00C52772"/>
    <w:rsid w:val="00C52A2C"/>
    <w:rsid w:val="00C52A51"/>
    <w:rsid w:val="00C52D3F"/>
    <w:rsid w:val="00C53045"/>
    <w:rsid w:val="00C530F1"/>
    <w:rsid w:val="00C537D3"/>
    <w:rsid w:val="00C53D89"/>
    <w:rsid w:val="00C53EE1"/>
    <w:rsid w:val="00C53F0B"/>
    <w:rsid w:val="00C5407D"/>
    <w:rsid w:val="00C54176"/>
    <w:rsid w:val="00C54210"/>
    <w:rsid w:val="00C548BA"/>
    <w:rsid w:val="00C54AA4"/>
    <w:rsid w:val="00C54B00"/>
    <w:rsid w:val="00C54B46"/>
    <w:rsid w:val="00C54B98"/>
    <w:rsid w:val="00C54BB9"/>
    <w:rsid w:val="00C54BF8"/>
    <w:rsid w:val="00C54D57"/>
    <w:rsid w:val="00C553A0"/>
    <w:rsid w:val="00C55500"/>
    <w:rsid w:val="00C55692"/>
    <w:rsid w:val="00C55888"/>
    <w:rsid w:val="00C558D6"/>
    <w:rsid w:val="00C55A54"/>
    <w:rsid w:val="00C55A69"/>
    <w:rsid w:val="00C55B95"/>
    <w:rsid w:val="00C55CF4"/>
    <w:rsid w:val="00C55FEA"/>
    <w:rsid w:val="00C56076"/>
    <w:rsid w:val="00C56226"/>
    <w:rsid w:val="00C56594"/>
    <w:rsid w:val="00C56757"/>
    <w:rsid w:val="00C5696F"/>
    <w:rsid w:val="00C56A91"/>
    <w:rsid w:val="00C56ACC"/>
    <w:rsid w:val="00C56C36"/>
    <w:rsid w:val="00C56CEA"/>
    <w:rsid w:val="00C56D34"/>
    <w:rsid w:val="00C56D48"/>
    <w:rsid w:val="00C56E3E"/>
    <w:rsid w:val="00C56F45"/>
    <w:rsid w:val="00C5767D"/>
    <w:rsid w:val="00C578DD"/>
    <w:rsid w:val="00C579D3"/>
    <w:rsid w:val="00C57BFF"/>
    <w:rsid w:val="00C6003C"/>
    <w:rsid w:val="00C601A8"/>
    <w:rsid w:val="00C60329"/>
    <w:rsid w:val="00C604D8"/>
    <w:rsid w:val="00C608A5"/>
    <w:rsid w:val="00C60BF4"/>
    <w:rsid w:val="00C60D99"/>
    <w:rsid w:val="00C60DFA"/>
    <w:rsid w:val="00C60E3B"/>
    <w:rsid w:val="00C60ED7"/>
    <w:rsid w:val="00C60F3C"/>
    <w:rsid w:val="00C61072"/>
    <w:rsid w:val="00C61096"/>
    <w:rsid w:val="00C610CF"/>
    <w:rsid w:val="00C61188"/>
    <w:rsid w:val="00C61312"/>
    <w:rsid w:val="00C61803"/>
    <w:rsid w:val="00C618A9"/>
    <w:rsid w:val="00C61A5A"/>
    <w:rsid w:val="00C61AF8"/>
    <w:rsid w:val="00C61B4A"/>
    <w:rsid w:val="00C61CFF"/>
    <w:rsid w:val="00C620EA"/>
    <w:rsid w:val="00C6218B"/>
    <w:rsid w:val="00C622C7"/>
    <w:rsid w:val="00C62323"/>
    <w:rsid w:val="00C62988"/>
    <w:rsid w:val="00C62A56"/>
    <w:rsid w:val="00C62AD4"/>
    <w:rsid w:val="00C62B51"/>
    <w:rsid w:val="00C62C58"/>
    <w:rsid w:val="00C63070"/>
    <w:rsid w:val="00C6338C"/>
    <w:rsid w:val="00C633C6"/>
    <w:rsid w:val="00C6361F"/>
    <w:rsid w:val="00C636AC"/>
    <w:rsid w:val="00C637F1"/>
    <w:rsid w:val="00C63BB6"/>
    <w:rsid w:val="00C63C74"/>
    <w:rsid w:val="00C63D5F"/>
    <w:rsid w:val="00C64016"/>
    <w:rsid w:val="00C6437C"/>
    <w:rsid w:val="00C6437D"/>
    <w:rsid w:val="00C644E9"/>
    <w:rsid w:val="00C645F9"/>
    <w:rsid w:val="00C64719"/>
    <w:rsid w:val="00C64C21"/>
    <w:rsid w:val="00C64D21"/>
    <w:rsid w:val="00C64D82"/>
    <w:rsid w:val="00C64F4F"/>
    <w:rsid w:val="00C650DC"/>
    <w:rsid w:val="00C6556D"/>
    <w:rsid w:val="00C65671"/>
    <w:rsid w:val="00C656C2"/>
    <w:rsid w:val="00C65755"/>
    <w:rsid w:val="00C6582B"/>
    <w:rsid w:val="00C65989"/>
    <w:rsid w:val="00C65CD7"/>
    <w:rsid w:val="00C6610B"/>
    <w:rsid w:val="00C66246"/>
    <w:rsid w:val="00C66281"/>
    <w:rsid w:val="00C66585"/>
    <w:rsid w:val="00C66642"/>
    <w:rsid w:val="00C668BF"/>
    <w:rsid w:val="00C668DC"/>
    <w:rsid w:val="00C66B7A"/>
    <w:rsid w:val="00C66C42"/>
    <w:rsid w:val="00C66E37"/>
    <w:rsid w:val="00C670F8"/>
    <w:rsid w:val="00C67203"/>
    <w:rsid w:val="00C67430"/>
    <w:rsid w:val="00C67824"/>
    <w:rsid w:val="00C67844"/>
    <w:rsid w:val="00C67907"/>
    <w:rsid w:val="00C67C3C"/>
    <w:rsid w:val="00C67F64"/>
    <w:rsid w:val="00C67FEF"/>
    <w:rsid w:val="00C70098"/>
    <w:rsid w:val="00C70484"/>
    <w:rsid w:val="00C70A38"/>
    <w:rsid w:val="00C70A54"/>
    <w:rsid w:val="00C70B3B"/>
    <w:rsid w:val="00C70C7C"/>
    <w:rsid w:val="00C70CDD"/>
    <w:rsid w:val="00C70DC6"/>
    <w:rsid w:val="00C70E54"/>
    <w:rsid w:val="00C7110E"/>
    <w:rsid w:val="00C71280"/>
    <w:rsid w:val="00C71473"/>
    <w:rsid w:val="00C71A0F"/>
    <w:rsid w:val="00C71AD5"/>
    <w:rsid w:val="00C71BC7"/>
    <w:rsid w:val="00C71E45"/>
    <w:rsid w:val="00C71E67"/>
    <w:rsid w:val="00C71F3E"/>
    <w:rsid w:val="00C72094"/>
    <w:rsid w:val="00C7213F"/>
    <w:rsid w:val="00C722A5"/>
    <w:rsid w:val="00C72BAB"/>
    <w:rsid w:val="00C72DE7"/>
    <w:rsid w:val="00C72F6D"/>
    <w:rsid w:val="00C73086"/>
    <w:rsid w:val="00C73263"/>
    <w:rsid w:val="00C7326C"/>
    <w:rsid w:val="00C732D1"/>
    <w:rsid w:val="00C733E0"/>
    <w:rsid w:val="00C734AE"/>
    <w:rsid w:val="00C73638"/>
    <w:rsid w:val="00C73694"/>
    <w:rsid w:val="00C738B9"/>
    <w:rsid w:val="00C739FA"/>
    <w:rsid w:val="00C73DB4"/>
    <w:rsid w:val="00C73F0B"/>
    <w:rsid w:val="00C74082"/>
    <w:rsid w:val="00C740D5"/>
    <w:rsid w:val="00C74646"/>
    <w:rsid w:val="00C74858"/>
    <w:rsid w:val="00C74AF4"/>
    <w:rsid w:val="00C74B21"/>
    <w:rsid w:val="00C74C8E"/>
    <w:rsid w:val="00C74C92"/>
    <w:rsid w:val="00C74CDD"/>
    <w:rsid w:val="00C74DB4"/>
    <w:rsid w:val="00C75004"/>
    <w:rsid w:val="00C7501C"/>
    <w:rsid w:val="00C751C3"/>
    <w:rsid w:val="00C753BB"/>
    <w:rsid w:val="00C753C2"/>
    <w:rsid w:val="00C753CE"/>
    <w:rsid w:val="00C75ABE"/>
    <w:rsid w:val="00C75AFB"/>
    <w:rsid w:val="00C75B98"/>
    <w:rsid w:val="00C75C5B"/>
    <w:rsid w:val="00C75CFD"/>
    <w:rsid w:val="00C75EB4"/>
    <w:rsid w:val="00C76283"/>
    <w:rsid w:val="00C76345"/>
    <w:rsid w:val="00C7636E"/>
    <w:rsid w:val="00C7641F"/>
    <w:rsid w:val="00C7655D"/>
    <w:rsid w:val="00C76ABD"/>
    <w:rsid w:val="00C76BE9"/>
    <w:rsid w:val="00C76CD9"/>
    <w:rsid w:val="00C76DCF"/>
    <w:rsid w:val="00C771B1"/>
    <w:rsid w:val="00C77215"/>
    <w:rsid w:val="00C77564"/>
    <w:rsid w:val="00C77F6B"/>
    <w:rsid w:val="00C8027C"/>
    <w:rsid w:val="00C802D5"/>
    <w:rsid w:val="00C803F4"/>
    <w:rsid w:val="00C8043C"/>
    <w:rsid w:val="00C80586"/>
    <w:rsid w:val="00C808E2"/>
    <w:rsid w:val="00C808E9"/>
    <w:rsid w:val="00C80BD9"/>
    <w:rsid w:val="00C80D49"/>
    <w:rsid w:val="00C80DC6"/>
    <w:rsid w:val="00C81071"/>
    <w:rsid w:val="00C81126"/>
    <w:rsid w:val="00C811FF"/>
    <w:rsid w:val="00C8135E"/>
    <w:rsid w:val="00C8154C"/>
    <w:rsid w:val="00C81D94"/>
    <w:rsid w:val="00C81FC1"/>
    <w:rsid w:val="00C8220A"/>
    <w:rsid w:val="00C8249F"/>
    <w:rsid w:val="00C825B3"/>
    <w:rsid w:val="00C82611"/>
    <w:rsid w:val="00C826F1"/>
    <w:rsid w:val="00C827E6"/>
    <w:rsid w:val="00C828A6"/>
    <w:rsid w:val="00C8298D"/>
    <w:rsid w:val="00C82AEB"/>
    <w:rsid w:val="00C82B36"/>
    <w:rsid w:val="00C82CF1"/>
    <w:rsid w:val="00C82DFB"/>
    <w:rsid w:val="00C83136"/>
    <w:rsid w:val="00C8336C"/>
    <w:rsid w:val="00C834D6"/>
    <w:rsid w:val="00C83595"/>
    <w:rsid w:val="00C835B1"/>
    <w:rsid w:val="00C83658"/>
    <w:rsid w:val="00C83827"/>
    <w:rsid w:val="00C83ADC"/>
    <w:rsid w:val="00C83B72"/>
    <w:rsid w:val="00C83BD3"/>
    <w:rsid w:val="00C83C57"/>
    <w:rsid w:val="00C83FF9"/>
    <w:rsid w:val="00C844F1"/>
    <w:rsid w:val="00C844F7"/>
    <w:rsid w:val="00C847A4"/>
    <w:rsid w:val="00C84959"/>
    <w:rsid w:val="00C84BB9"/>
    <w:rsid w:val="00C84C26"/>
    <w:rsid w:val="00C85379"/>
    <w:rsid w:val="00C85481"/>
    <w:rsid w:val="00C854CB"/>
    <w:rsid w:val="00C85516"/>
    <w:rsid w:val="00C85751"/>
    <w:rsid w:val="00C857B8"/>
    <w:rsid w:val="00C85866"/>
    <w:rsid w:val="00C85CE1"/>
    <w:rsid w:val="00C85D7A"/>
    <w:rsid w:val="00C8606B"/>
    <w:rsid w:val="00C8621E"/>
    <w:rsid w:val="00C86633"/>
    <w:rsid w:val="00C86673"/>
    <w:rsid w:val="00C867A8"/>
    <w:rsid w:val="00C86943"/>
    <w:rsid w:val="00C86D19"/>
    <w:rsid w:val="00C87226"/>
    <w:rsid w:val="00C8726E"/>
    <w:rsid w:val="00C87303"/>
    <w:rsid w:val="00C8730B"/>
    <w:rsid w:val="00C873B4"/>
    <w:rsid w:val="00C874E7"/>
    <w:rsid w:val="00C87585"/>
    <w:rsid w:val="00C875F9"/>
    <w:rsid w:val="00C876F6"/>
    <w:rsid w:val="00C87730"/>
    <w:rsid w:val="00C8775B"/>
    <w:rsid w:val="00C8779E"/>
    <w:rsid w:val="00C8783D"/>
    <w:rsid w:val="00C8785F"/>
    <w:rsid w:val="00C878E7"/>
    <w:rsid w:val="00C87AE4"/>
    <w:rsid w:val="00C87B43"/>
    <w:rsid w:val="00C87DE6"/>
    <w:rsid w:val="00C87FF4"/>
    <w:rsid w:val="00C904EC"/>
    <w:rsid w:val="00C90538"/>
    <w:rsid w:val="00C90ACC"/>
    <w:rsid w:val="00C90C60"/>
    <w:rsid w:val="00C912AE"/>
    <w:rsid w:val="00C91601"/>
    <w:rsid w:val="00C9171F"/>
    <w:rsid w:val="00C91817"/>
    <w:rsid w:val="00C9187C"/>
    <w:rsid w:val="00C919AD"/>
    <w:rsid w:val="00C91A7A"/>
    <w:rsid w:val="00C91D7E"/>
    <w:rsid w:val="00C92267"/>
    <w:rsid w:val="00C92342"/>
    <w:rsid w:val="00C92347"/>
    <w:rsid w:val="00C9234F"/>
    <w:rsid w:val="00C926EA"/>
    <w:rsid w:val="00C92713"/>
    <w:rsid w:val="00C927EF"/>
    <w:rsid w:val="00C9288F"/>
    <w:rsid w:val="00C92EA0"/>
    <w:rsid w:val="00C930B2"/>
    <w:rsid w:val="00C93282"/>
    <w:rsid w:val="00C9367C"/>
    <w:rsid w:val="00C936D1"/>
    <w:rsid w:val="00C939E8"/>
    <w:rsid w:val="00C93C07"/>
    <w:rsid w:val="00C93D7B"/>
    <w:rsid w:val="00C9401D"/>
    <w:rsid w:val="00C94059"/>
    <w:rsid w:val="00C94846"/>
    <w:rsid w:val="00C94A4D"/>
    <w:rsid w:val="00C94BB2"/>
    <w:rsid w:val="00C94BD3"/>
    <w:rsid w:val="00C9505E"/>
    <w:rsid w:val="00C95310"/>
    <w:rsid w:val="00C95464"/>
    <w:rsid w:val="00C95557"/>
    <w:rsid w:val="00C955A0"/>
    <w:rsid w:val="00C95698"/>
    <w:rsid w:val="00C9580E"/>
    <w:rsid w:val="00C9596A"/>
    <w:rsid w:val="00C962B3"/>
    <w:rsid w:val="00C965EB"/>
    <w:rsid w:val="00C9677D"/>
    <w:rsid w:val="00C96B0E"/>
    <w:rsid w:val="00C96E52"/>
    <w:rsid w:val="00C97296"/>
    <w:rsid w:val="00C975D7"/>
    <w:rsid w:val="00C97718"/>
    <w:rsid w:val="00C97797"/>
    <w:rsid w:val="00C979A7"/>
    <w:rsid w:val="00C97A4A"/>
    <w:rsid w:val="00C97CBB"/>
    <w:rsid w:val="00C97E02"/>
    <w:rsid w:val="00C97E1E"/>
    <w:rsid w:val="00C97E77"/>
    <w:rsid w:val="00CA006B"/>
    <w:rsid w:val="00CA014C"/>
    <w:rsid w:val="00CA0526"/>
    <w:rsid w:val="00CA057C"/>
    <w:rsid w:val="00CA066A"/>
    <w:rsid w:val="00CA09F2"/>
    <w:rsid w:val="00CA0A0B"/>
    <w:rsid w:val="00CA0A7E"/>
    <w:rsid w:val="00CA0C24"/>
    <w:rsid w:val="00CA0C61"/>
    <w:rsid w:val="00CA0C77"/>
    <w:rsid w:val="00CA0E5F"/>
    <w:rsid w:val="00CA10B4"/>
    <w:rsid w:val="00CA1314"/>
    <w:rsid w:val="00CA14D9"/>
    <w:rsid w:val="00CA15BB"/>
    <w:rsid w:val="00CA168E"/>
    <w:rsid w:val="00CA16A1"/>
    <w:rsid w:val="00CA1775"/>
    <w:rsid w:val="00CA1850"/>
    <w:rsid w:val="00CA1898"/>
    <w:rsid w:val="00CA1AD9"/>
    <w:rsid w:val="00CA1D2E"/>
    <w:rsid w:val="00CA1E57"/>
    <w:rsid w:val="00CA21BF"/>
    <w:rsid w:val="00CA239F"/>
    <w:rsid w:val="00CA2424"/>
    <w:rsid w:val="00CA28F8"/>
    <w:rsid w:val="00CA2B5F"/>
    <w:rsid w:val="00CA2CC3"/>
    <w:rsid w:val="00CA2D6E"/>
    <w:rsid w:val="00CA2DD7"/>
    <w:rsid w:val="00CA2F64"/>
    <w:rsid w:val="00CA30EA"/>
    <w:rsid w:val="00CA30FD"/>
    <w:rsid w:val="00CA32F8"/>
    <w:rsid w:val="00CA337D"/>
    <w:rsid w:val="00CA33E4"/>
    <w:rsid w:val="00CA3465"/>
    <w:rsid w:val="00CA36D1"/>
    <w:rsid w:val="00CA37D9"/>
    <w:rsid w:val="00CA37F2"/>
    <w:rsid w:val="00CA3976"/>
    <w:rsid w:val="00CA3AD6"/>
    <w:rsid w:val="00CA3BF5"/>
    <w:rsid w:val="00CA3CF0"/>
    <w:rsid w:val="00CA4484"/>
    <w:rsid w:val="00CA4490"/>
    <w:rsid w:val="00CA44B5"/>
    <w:rsid w:val="00CA4675"/>
    <w:rsid w:val="00CA491A"/>
    <w:rsid w:val="00CA4AA8"/>
    <w:rsid w:val="00CA4AB5"/>
    <w:rsid w:val="00CA4CF6"/>
    <w:rsid w:val="00CA5177"/>
    <w:rsid w:val="00CA553A"/>
    <w:rsid w:val="00CA55E3"/>
    <w:rsid w:val="00CA58F2"/>
    <w:rsid w:val="00CA59D5"/>
    <w:rsid w:val="00CA5AE6"/>
    <w:rsid w:val="00CA5ECF"/>
    <w:rsid w:val="00CA615C"/>
    <w:rsid w:val="00CA63DD"/>
    <w:rsid w:val="00CA64FF"/>
    <w:rsid w:val="00CA65FB"/>
    <w:rsid w:val="00CA6621"/>
    <w:rsid w:val="00CA67AC"/>
    <w:rsid w:val="00CA67E6"/>
    <w:rsid w:val="00CA684B"/>
    <w:rsid w:val="00CA68CF"/>
    <w:rsid w:val="00CA7332"/>
    <w:rsid w:val="00CA7521"/>
    <w:rsid w:val="00CA7825"/>
    <w:rsid w:val="00CA7AA0"/>
    <w:rsid w:val="00CA7B67"/>
    <w:rsid w:val="00CA7F8C"/>
    <w:rsid w:val="00CB010A"/>
    <w:rsid w:val="00CB0190"/>
    <w:rsid w:val="00CB026C"/>
    <w:rsid w:val="00CB02D3"/>
    <w:rsid w:val="00CB055E"/>
    <w:rsid w:val="00CB0693"/>
    <w:rsid w:val="00CB06E7"/>
    <w:rsid w:val="00CB074E"/>
    <w:rsid w:val="00CB0A83"/>
    <w:rsid w:val="00CB0C35"/>
    <w:rsid w:val="00CB0CDF"/>
    <w:rsid w:val="00CB0D9C"/>
    <w:rsid w:val="00CB1035"/>
    <w:rsid w:val="00CB1550"/>
    <w:rsid w:val="00CB16C7"/>
    <w:rsid w:val="00CB17BE"/>
    <w:rsid w:val="00CB17ED"/>
    <w:rsid w:val="00CB1C33"/>
    <w:rsid w:val="00CB1D30"/>
    <w:rsid w:val="00CB1D8A"/>
    <w:rsid w:val="00CB1DD6"/>
    <w:rsid w:val="00CB1F81"/>
    <w:rsid w:val="00CB2165"/>
    <w:rsid w:val="00CB23F4"/>
    <w:rsid w:val="00CB288F"/>
    <w:rsid w:val="00CB2A04"/>
    <w:rsid w:val="00CB2B20"/>
    <w:rsid w:val="00CB2B90"/>
    <w:rsid w:val="00CB2BF1"/>
    <w:rsid w:val="00CB2D99"/>
    <w:rsid w:val="00CB2F6D"/>
    <w:rsid w:val="00CB2F84"/>
    <w:rsid w:val="00CB30C9"/>
    <w:rsid w:val="00CB30E2"/>
    <w:rsid w:val="00CB30EA"/>
    <w:rsid w:val="00CB352C"/>
    <w:rsid w:val="00CB3694"/>
    <w:rsid w:val="00CB3A69"/>
    <w:rsid w:val="00CB3ABC"/>
    <w:rsid w:val="00CB3B22"/>
    <w:rsid w:val="00CB3C2F"/>
    <w:rsid w:val="00CB3F8F"/>
    <w:rsid w:val="00CB4279"/>
    <w:rsid w:val="00CB441F"/>
    <w:rsid w:val="00CB449E"/>
    <w:rsid w:val="00CB4672"/>
    <w:rsid w:val="00CB471C"/>
    <w:rsid w:val="00CB49B9"/>
    <w:rsid w:val="00CB4B52"/>
    <w:rsid w:val="00CB4D2C"/>
    <w:rsid w:val="00CB4DC3"/>
    <w:rsid w:val="00CB4DFF"/>
    <w:rsid w:val="00CB56A2"/>
    <w:rsid w:val="00CB5AB3"/>
    <w:rsid w:val="00CB5FCC"/>
    <w:rsid w:val="00CB60C9"/>
    <w:rsid w:val="00CB60E3"/>
    <w:rsid w:val="00CB6427"/>
    <w:rsid w:val="00CB6AAC"/>
    <w:rsid w:val="00CB6B71"/>
    <w:rsid w:val="00CB6D27"/>
    <w:rsid w:val="00CB6EB0"/>
    <w:rsid w:val="00CB6FBE"/>
    <w:rsid w:val="00CB720E"/>
    <w:rsid w:val="00CB74FA"/>
    <w:rsid w:val="00CB76E2"/>
    <w:rsid w:val="00CB7714"/>
    <w:rsid w:val="00CB77FF"/>
    <w:rsid w:val="00CB7B22"/>
    <w:rsid w:val="00CB7B5D"/>
    <w:rsid w:val="00CC010E"/>
    <w:rsid w:val="00CC01B1"/>
    <w:rsid w:val="00CC0424"/>
    <w:rsid w:val="00CC0460"/>
    <w:rsid w:val="00CC0611"/>
    <w:rsid w:val="00CC065E"/>
    <w:rsid w:val="00CC0B07"/>
    <w:rsid w:val="00CC0D0A"/>
    <w:rsid w:val="00CC0EB5"/>
    <w:rsid w:val="00CC0EFC"/>
    <w:rsid w:val="00CC1229"/>
    <w:rsid w:val="00CC1888"/>
    <w:rsid w:val="00CC1ACD"/>
    <w:rsid w:val="00CC1ED2"/>
    <w:rsid w:val="00CC207F"/>
    <w:rsid w:val="00CC20DB"/>
    <w:rsid w:val="00CC2411"/>
    <w:rsid w:val="00CC25CD"/>
    <w:rsid w:val="00CC26C0"/>
    <w:rsid w:val="00CC27DD"/>
    <w:rsid w:val="00CC2866"/>
    <w:rsid w:val="00CC2CF8"/>
    <w:rsid w:val="00CC2D76"/>
    <w:rsid w:val="00CC2F4C"/>
    <w:rsid w:val="00CC32BD"/>
    <w:rsid w:val="00CC352B"/>
    <w:rsid w:val="00CC35A0"/>
    <w:rsid w:val="00CC36AB"/>
    <w:rsid w:val="00CC36B7"/>
    <w:rsid w:val="00CC3782"/>
    <w:rsid w:val="00CC37F7"/>
    <w:rsid w:val="00CC390C"/>
    <w:rsid w:val="00CC3959"/>
    <w:rsid w:val="00CC3AF4"/>
    <w:rsid w:val="00CC3F9F"/>
    <w:rsid w:val="00CC40A6"/>
    <w:rsid w:val="00CC40C3"/>
    <w:rsid w:val="00CC40F6"/>
    <w:rsid w:val="00CC446B"/>
    <w:rsid w:val="00CC47C8"/>
    <w:rsid w:val="00CC4832"/>
    <w:rsid w:val="00CC4BAE"/>
    <w:rsid w:val="00CC4BC5"/>
    <w:rsid w:val="00CC526A"/>
    <w:rsid w:val="00CC52CA"/>
    <w:rsid w:val="00CC5499"/>
    <w:rsid w:val="00CC557F"/>
    <w:rsid w:val="00CC55CE"/>
    <w:rsid w:val="00CC5667"/>
    <w:rsid w:val="00CC566C"/>
    <w:rsid w:val="00CC5B0A"/>
    <w:rsid w:val="00CC5BF3"/>
    <w:rsid w:val="00CC5C71"/>
    <w:rsid w:val="00CC627E"/>
    <w:rsid w:val="00CC62C9"/>
    <w:rsid w:val="00CC6328"/>
    <w:rsid w:val="00CC6347"/>
    <w:rsid w:val="00CC63BC"/>
    <w:rsid w:val="00CC64F5"/>
    <w:rsid w:val="00CC670D"/>
    <w:rsid w:val="00CC676E"/>
    <w:rsid w:val="00CC6839"/>
    <w:rsid w:val="00CC68E5"/>
    <w:rsid w:val="00CC6C55"/>
    <w:rsid w:val="00CC6EF5"/>
    <w:rsid w:val="00CC6F42"/>
    <w:rsid w:val="00CC70B5"/>
    <w:rsid w:val="00CC76F9"/>
    <w:rsid w:val="00CC7A1C"/>
    <w:rsid w:val="00CC7B7B"/>
    <w:rsid w:val="00CC7DA9"/>
    <w:rsid w:val="00CC7DF5"/>
    <w:rsid w:val="00CD009A"/>
    <w:rsid w:val="00CD00F6"/>
    <w:rsid w:val="00CD0102"/>
    <w:rsid w:val="00CD0155"/>
    <w:rsid w:val="00CD02CA"/>
    <w:rsid w:val="00CD02FF"/>
    <w:rsid w:val="00CD0337"/>
    <w:rsid w:val="00CD0378"/>
    <w:rsid w:val="00CD05C4"/>
    <w:rsid w:val="00CD06A7"/>
    <w:rsid w:val="00CD06B1"/>
    <w:rsid w:val="00CD0844"/>
    <w:rsid w:val="00CD0857"/>
    <w:rsid w:val="00CD0BEC"/>
    <w:rsid w:val="00CD0C1B"/>
    <w:rsid w:val="00CD0D73"/>
    <w:rsid w:val="00CD0EA1"/>
    <w:rsid w:val="00CD119F"/>
    <w:rsid w:val="00CD1254"/>
    <w:rsid w:val="00CD128D"/>
    <w:rsid w:val="00CD151F"/>
    <w:rsid w:val="00CD15ED"/>
    <w:rsid w:val="00CD16F1"/>
    <w:rsid w:val="00CD1773"/>
    <w:rsid w:val="00CD17ED"/>
    <w:rsid w:val="00CD1A89"/>
    <w:rsid w:val="00CD1B8C"/>
    <w:rsid w:val="00CD1DA3"/>
    <w:rsid w:val="00CD25A6"/>
    <w:rsid w:val="00CD27B1"/>
    <w:rsid w:val="00CD27D6"/>
    <w:rsid w:val="00CD28E1"/>
    <w:rsid w:val="00CD2A4D"/>
    <w:rsid w:val="00CD2B44"/>
    <w:rsid w:val="00CD2D67"/>
    <w:rsid w:val="00CD2EBF"/>
    <w:rsid w:val="00CD3234"/>
    <w:rsid w:val="00CD33D0"/>
    <w:rsid w:val="00CD37C3"/>
    <w:rsid w:val="00CD391F"/>
    <w:rsid w:val="00CD3929"/>
    <w:rsid w:val="00CD393E"/>
    <w:rsid w:val="00CD3AA6"/>
    <w:rsid w:val="00CD3EB4"/>
    <w:rsid w:val="00CD4186"/>
    <w:rsid w:val="00CD423A"/>
    <w:rsid w:val="00CD435D"/>
    <w:rsid w:val="00CD4520"/>
    <w:rsid w:val="00CD467A"/>
    <w:rsid w:val="00CD4A49"/>
    <w:rsid w:val="00CD5348"/>
    <w:rsid w:val="00CD5492"/>
    <w:rsid w:val="00CD5551"/>
    <w:rsid w:val="00CD55EC"/>
    <w:rsid w:val="00CD5747"/>
    <w:rsid w:val="00CD5937"/>
    <w:rsid w:val="00CD59F0"/>
    <w:rsid w:val="00CD5B1A"/>
    <w:rsid w:val="00CD5BCF"/>
    <w:rsid w:val="00CD61AF"/>
    <w:rsid w:val="00CD6330"/>
    <w:rsid w:val="00CD672E"/>
    <w:rsid w:val="00CD675E"/>
    <w:rsid w:val="00CD67CF"/>
    <w:rsid w:val="00CD6AB9"/>
    <w:rsid w:val="00CD6AD0"/>
    <w:rsid w:val="00CD6AE2"/>
    <w:rsid w:val="00CD6B1D"/>
    <w:rsid w:val="00CD6C5F"/>
    <w:rsid w:val="00CD704D"/>
    <w:rsid w:val="00CD70F1"/>
    <w:rsid w:val="00CD75A7"/>
    <w:rsid w:val="00CD760A"/>
    <w:rsid w:val="00CD78CC"/>
    <w:rsid w:val="00CD7A5E"/>
    <w:rsid w:val="00CD7F7C"/>
    <w:rsid w:val="00CD7FE3"/>
    <w:rsid w:val="00CE0051"/>
    <w:rsid w:val="00CE048E"/>
    <w:rsid w:val="00CE05EA"/>
    <w:rsid w:val="00CE0634"/>
    <w:rsid w:val="00CE074B"/>
    <w:rsid w:val="00CE0781"/>
    <w:rsid w:val="00CE0847"/>
    <w:rsid w:val="00CE0A3D"/>
    <w:rsid w:val="00CE0AA2"/>
    <w:rsid w:val="00CE0B2F"/>
    <w:rsid w:val="00CE0E0D"/>
    <w:rsid w:val="00CE18B4"/>
    <w:rsid w:val="00CE1DDB"/>
    <w:rsid w:val="00CE1F64"/>
    <w:rsid w:val="00CE200D"/>
    <w:rsid w:val="00CE206D"/>
    <w:rsid w:val="00CE2098"/>
    <w:rsid w:val="00CE20AF"/>
    <w:rsid w:val="00CE2ABB"/>
    <w:rsid w:val="00CE2BD8"/>
    <w:rsid w:val="00CE2F95"/>
    <w:rsid w:val="00CE3246"/>
    <w:rsid w:val="00CE3532"/>
    <w:rsid w:val="00CE3665"/>
    <w:rsid w:val="00CE3793"/>
    <w:rsid w:val="00CE3888"/>
    <w:rsid w:val="00CE3909"/>
    <w:rsid w:val="00CE39B3"/>
    <w:rsid w:val="00CE3A66"/>
    <w:rsid w:val="00CE3AA7"/>
    <w:rsid w:val="00CE3BCF"/>
    <w:rsid w:val="00CE3BE3"/>
    <w:rsid w:val="00CE410D"/>
    <w:rsid w:val="00CE41C4"/>
    <w:rsid w:val="00CE41F1"/>
    <w:rsid w:val="00CE4292"/>
    <w:rsid w:val="00CE46A5"/>
    <w:rsid w:val="00CE4989"/>
    <w:rsid w:val="00CE49DD"/>
    <w:rsid w:val="00CE4FA9"/>
    <w:rsid w:val="00CE4FE2"/>
    <w:rsid w:val="00CE506B"/>
    <w:rsid w:val="00CE52B7"/>
    <w:rsid w:val="00CE5597"/>
    <w:rsid w:val="00CE56DD"/>
    <w:rsid w:val="00CE56F3"/>
    <w:rsid w:val="00CE57A9"/>
    <w:rsid w:val="00CE589F"/>
    <w:rsid w:val="00CE5AE9"/>
    <w:rsid w:val="00CE5C14"/>
    <w:rsid w:val="00CE6099"/>
    <w:rsid w:val="00CE61F2"/>
    <w:rsid w:val="00CE6291"/>
    <w:rsid w:val="00CE6479"/>
    <w:rsid w:val="00CE6A07"/>
    <w:rsid w:val="00CE6BAE"/>
    <w:rsid w:val="00CE6BBD"/>
    <w:rsid w:val="00CE704A"/>
    <w:rsid w:val="00CE71DD"/>
    <w:rsid w:val="00CE7258"/>
    <w:rsid w:val="00CE72E6"/>
    <w:rsid w:val="00CE7376"/>
    <w:rsid w:val="00CE74D9"/>
    <w:rsid w:val="00CE74FA"/>
    <w:rsid w:val="00CE7814"/>
    <w:rsid w:val="00CE7B3B"/>
    <w:rsid w:val="00CE7DC8"/>
    <w:rsid w:val="00CE7FB7"/>
    <w:rsid w:val="00CE7FDD"/>
    <w:rsid w:val="00CF001E"/>
    <w:rsid w:val="00CF0200"/>
    <w:rsid w:val="00CF0501"/>
    <w:rsid w:val="00CF0934"/>
    <w:rsid w:val="00CF0DDB"/>
    <w:rsid w:val="00CF0E4C"/>
    <w:rsid w:val="00CF0F7B"/>
    <w:rsid w:val="00CF1033"/>
    <w:rsid w:val="00CF1067"/>
    <w:rsid w:val="00CF10D6"/>
    <w:rsid w:val="00CF12BB"/>
    <w:rsid w:val="00CF1461"/>
    <w:rsid w:val="00CF16A6"/>
    <w:rsid w:val="00CF16B0"/>
    <w:rsid w:val="00CF17F0"/>
    <w:rsid w:val="00CF1B67"/>
    <w:rsid w:val="00CF1C07"/>
    <w:rsid w:val="00CF1C5C"/>
    <w:rsid w:val="00CF1CC4"/>
    <w:rsid w:val="00CF20D1"/>
    <w:rsid w:val="00CF2268"/>
    <w:rsid w:val="00CF2361"/>
    <w:rsid w:val="00CF24D7"/>
    <w:rsid w:val="00CF256F"/>
    <w:rsid w:val="00CF2816"/>
    <w:rsid w:val="00CF2874"/>
    <w:rsid w:val="00CF2A1F"/>
    <w:rsid w:val="00CF2D42"/>
    <w:rsid w:val="00CF2E74"/>
    <w:rsid w:val="00CF2FE4"/>
    <w:rsid w:val="00CF30BF"/>
    <w:rsid w:val="00CF30E0"/>
    <w:rsid w:val="00CF33CE"/>
    <w:rsid w:val="00CF381F"/>
    <w:rsid w:val="00CF390C"/>
    <w:rsid w:val="00CF397D"/>
    <w:rsid w:val="00CF39C4"/>
    <w:rsid w:val="00CF3D7F"/>
    <w:rsid w:val="00CF3EEB"/>
    <w:rsid w:val="00CF3F31"/>
    <w:rsid w:val="00CF4139"/>
    <w:rsid w:val="00CF4417"/>
    <w:rsid w:val="00CF4A6D"/>
    <w:rsid w:val="00CF4B31"/>
    <w:rsid w:val="00CF4F57"/>
    <w:rsid w:val="00CF508E"/>
    <w:rsid w:val="00CF5141"/>
    <w:rsid w:val="00CF51DD"/>
    <w:rsid w:val="00CF5420"/>
    <w:rsid w:val="00CF5471"/>
    <w:rsid w:val="00CF5877"/>
    <w:rsid w:val="00CF5AC9"/>
    <w:rsid w:val="00CF5D23"/>
    <w:rsid w:val="00CF5DEF"/>
    <w:rsid w:val="00CF5EF5"/>
    <w:rsid w:val="00CF5FA2"/>
    <w:rsid w:val="00CF62A5"/>
    <w:rsid w:val="00CF652E"/>
    <w:rsid w:val="00CF6645"/>
    <w:rsid w:val="00CF6687"/>
    <w:rsid w:val="00CF687D"/>
    <w:rsid w:val="00CF691B"/>
    <w:rsid w:val="00CF69BE"/>
    <w:rsid w:val="00CF6A50"/>
    <w:rsid w:val="00CF6BEA"/>
    <w:rsid w:val="00CF6CFA"/>
    <w:rsid w:val="00CF6DF7"/>
    <w:rsid w:val="00CF6E49"/>
    <w:rsid w:val="00CF7118"/>
    <w:rsid w:val="00CF7397"/>
    <w:rsid w:val="00CF7445"/>
    <w:rsid w:val="00CF7592"/>
    <w:rsid w:val="00CF761F"/>
    <w:rsid w:val="00CF7625"/>
    <w:rsid w:val="00CF762E"/>
    <w:rsid w:val="00CF77DA"/>
    <w:rsid w:val="00CF7828"/>
    <w:rsid w:val="00CF79EB"/>
    <w:rsid w:val="00CF7ABE"/>
    <w:rsid w:val="00CF7AE6"/>
    <w:rsid w:val="00CF7C3B"/>
    <w:rsid w:val="00CF7C7D"/>
    <w:rsid w:val="00D00115"/>
    <w:rsid w:val="00D0034E"/>
    <w:rsid w:val="00D0089E"/>
    <w:rsid w:val="00D008F2"/>
    <w:rsid w:val="00D00949"/>
    <w:rsid w:val="00D00F5A"/>
    <w:rsid w:val="00D010C0"/>
    <w:rsid w:val="00D01139"/>
    <w:rsid w:val="00D014FD"/>
    <w:rsid w:val="00D01525"/>
    <w:rsid w:val="00D01622"/>
    <w:rsid w:val="00D0167B"/>
    <w:rsid w:val="00D01713"/>
    <w:rsid w:val="00D01783"/>
    <w:rsid w:val="00D01909"/>
    <w:rsid w:val="00D01925"/>
    <w:rsid w:val="00D019C7"/>
    <w:rsid w:val="00D01A20"/>
    <w:rsid w:val="00D01C3F"/>
    <w:rsid w:val="00D01E65"/>
    <w:rsid w:val="00D01EFD"/>
    <w:rsid w:val="00D01F9B"/>
    <w:rsid w:val="00D02286"/>
    <w:rsid w:val="00D02317"/>
    <w:rsid w:val="00D02365"/>
    <w:rsid w:val="00D02450"/>
    <w:rsid w:val="00D025A1"/>
    <w:rsid w:val="00D02751"/>
    <w:rsid w:val="00D028DD"/>
    <w:rsid w:val="00D02AD9"/>
    <w:rsid w:val="00D0311A"/>
    <w:rsid w:val="00D0325D"/>
    <w:rsid w:val="00D0369C"/>
    <w:rsid w:val="00D036A9"/>
    <w:rsid w:val="00D03717"/>
    <w:rsid w:val="00D037A3"/>
    <w:rsid w:val="00D03A26"/>
    <w:rsid w:val="00D03CE8"/>
    <w:rsid w:val="00D03CEC"/>
    <w:rsid w:val="00D03D21"/>
    <w:rsid w:val="00D041F0"/>
    <w:rsid w:val="00D0440C"/>
    <w:rsid w:val="00D047E8"/>
    <w:rsid w:val="00D04A03"/>
    <w:rsid w:val="00D04C70"/>
    <w:rsid w:val="00D04E19"/>
    <w:rsid w:val="00D051F6"/>
    <w:rsid w:val="00D05443"/>
    <w:rsid w:val="00D0586D"/>
    <w:rsid w:val="00D05971"/>
    <w:rsid w:val="00D0599F"/>
    <w:rsid w:val="00D059EA"/>
    <w:rsid w:val="00D05A77"/>
    <w:rsid w:val="00D05B74"/>
    <w:rsid w:val="00D05DA9"/>
    <w:rsid w:val="00D05E6B"/>
    <w:rsid w:val="00D0619F"/>
    <w:rsid w:val="00D0634D"/>
    <w:rsid w:val="00D0635B"/>
    <w:rsid w:val="00D06692"/>
    <w:rsid w:val="00D068F4"/>
    <w:rsid w:val="00D069E1"/>
    <w:rsid w:val="00D06D73"/>
    <w:rsid w:val="00D06F5A"/>
    <w:rsid w:val="00D0709A"/>
    <w:rsid w:val="00D0716D"/>
    <w:rsid w:val="00D07243"/>
    <w:rsid w:val="00D0725F"/>
    <w:rsid w:val="00D07296"/>
    <w:rsid w:val="00D072CF"/>
    <w:rsid w:val="00D073E4"/>
    <w:rsid w:val="00D07796"/>
    <w:rsid w:val="00D0781B"/>
    <w:rsid w:val="00D07989"/>
    <w:rsid w:val="00D07C0B"/>
    <w:rsid w:val="00D07E6F"/>
    <w:rsid w:val="00D10003"/>
    <w:rsid w:val="00D101BF"/>
    <w:rsid w:val="00D1032B"/>
    <w:rsid w:val="00D10360"/>
    <w:rsid w:val="00D10773"/>
    <w:rsid w:val="00D10783"/>
    <w:rsid w:val="00D108FA"/>
    <w:rsid w:val="00D10958"/>
    <w:rsid w:val="00D10AEB"/>
    <w:rsid w:val="00D10B45"/>
    <w:rsid w:val="00D10D03"/>
    <w:rsid w:val="00D10E46"/>
    <w:rsid w:val="00D10E4A"/>
    <w:rsid w:val="00D10E5E"/>
    <w:rsid w:val="00D110FE"/>
    <w:rsid w:val="00D11176"/>
    <w:rsid w:val="00D111A6"/>
    <w:rsid w:val="00D111C8"/>
    <w:rsid w:val="00D112F5"/>
    <w:rsid w:val="00D11415"/>
    <w:rsid w:val="00D116B1"/>
    <w:rsid w:val="00D11731"/>
    <w:rsid w:val="00D11B75"/>
    <w:rsid w:val="00D11E8E"/>
    <w:rsid w:val="00D1210C"/>
    <w:rsid w:val="00D12423"/>
    <w:rsid w:val="00D125E6"/>
    <w:rsid w:val="00D1261C"/>
    <w:rsid w:val="00D12827"/>
    <w:rsid w:val="00D12A66"/>
    <w:rsid w:val="00D12ACB"/>
    <w:rsid w:val="00D12D7A"/>
    <w:rsid w:val="00D12E10"/>
    <w:rsid w:val="00D12F36"/>
    <w:rsid w:val="00D13445"/>
    <w:rsid w:val="00D135C9"/>
    <w:rsid w:val="00D13670"/>
    <w:rsid w:val="00D136A0"/>
    <w:rsid w:val="00D136DA"/>
    <w:rsid w:val="00D137D8"/>
    <w:rsid w:val="00D13821"/>
    <w:rsid w:val="00D13B23"/>
    <w:rsid w:val="00D13D89"/>
    <w:rsid w:val="00D13E3E"/>
    <w:rsid w:val="00D13F43"/>
    <w:rsid w:val="00D141CD"/>
    <w:rsid w:val="00D1431A"/>
    <w:rsid w:val="00D148CC"/>
    <w:rsid w:val="00D149BC"/>
    <w:rsid w:val="00D14F32"/>
    <w:rsid w:val="00D151A3"/>
    <w:rsid w:val="00D15266"/>
    <w:rsid w:val="00D15284"/>
    <w:rsid w:val="00D1533C"/>
    <w:rsid w:val="00D153C0"/>
    <w:rsid w:val="00D15506"/>
    <w:rsid w:val="00D15715"/>
    <w:rsid w:val="00D15963"/>
    <w:rsid w:val="00D159E7"/>
    <w:rsid w:val="00D15D06"/>
    <w:rsid w:val="00D15D16"/>
    <w:rsid w:val="00D15DC1"/>
    <w:rsid w:val="00D1613A"/>
    <w:rsid w:val="00D16491"/>
    <w:rsid w:val="00D1650E"/>
    <w:rsid w:val="00D16566"/>
    <w:rsid w:val="00D166AD"/>
    <w:rsid w:val="00D1697E"/>
    <w:rsid w:val="00D169BD"/>
    <w:rsid w:val="00D1701C"/>
    <w:rsid w:val="00D170EA"/>
    <w:rsid w:val="00D17269"/>
    <w:rsid w:val="00D17281"/>
    <w:rsid w:val="00D17345"/>
    <w:rsid w:val="00D1740D"/>
    <w:rsid w:val="00D17783"/>
    <w:rsid w:val="00D17D2C"/>
    <w:rsid w:val="00D17F54"/>
    <w:rsid w:val="00D17F57"/>
    <w:rsid w:val="00D20204"/>
    <w:rsid w:val="00D202BA"/>
    <w:rsid w:val="00D20325"/>
    <w:rsid w:val="00D204AA"/>
    <w:rsid w:val="00D20784"/>
    <w:rsid w:val="00D207B4"/>
    <w:rsid w:val="00D2097B"/>
    <w:rsid w:val="00D20AA9"/>
    <w:rsid w:val="00D20D4D"/>
    <w:rsid w:val="00D210DD"/>
    <w:rsid w:val="00D21191"/>
    <w:rsid w:val="00D214C0"/>
    <w:rsid w:val="00D21B7F"/>
    <w:rsid w:val="00D21F20"/>
    <w:rsid w:val="00D21F2D"/>
    <w:rsid w:val="00D21F96"/>
    <w:rsid w:val="00D2221F"/>
    <w:rsid w:val="00D2240A"/>
    <w:rsid w:val="00D225C3"/>
    <w:rsid w:val="00D22620"/>
    <w:rsid w:val="00D22644"/>
    <w:rsid w:val="00D226F3"/>
    <w:rsid w:val="00D227E9"/>
    <w:rsid w:val="00D2282A"/>
    <w:rsid w:val="00D22CF6"/>
    <w:rsid w:val="00D22F90"/>
    <w:rsid w:val="00D22F96"/>
    <w:rsid w:val="00D231B2"/>
    <w:rsid w:val="00D23375"/>
    <w:rsid w:val="00D235B3"/>
    <w:rsid w:val="00D236BF"/>
    <w:rsid w:val="00D237E8"/>
    <w:rsid w:val="00D23AEA"/>
    <w:rsid w:val="00D23BC6"/>
    <w:rsid w:val="00D23D2C"/>
    <w:rsid w:val="00D23DBB"/>
    <w:rsid w:val="00D23F78"/>
    <w:rsid w:val="00D24000"/>
    <w:rsid w:val="00D240B5"/>
    <w:rsid w:val="00D245BD"/>
    <w:rsid w:val="00D2469A"/>
    <w:rsid w:val="00D247D7"/>
    <w:rsid w:val="00D2484F"/>
    <w:rsid w:val="00D24942"/>
    <w:rsid w:val="00D24AF3"/>
    <w:rsid w:val="00D24E4B"/>
    <w:rsid w:val="00D24FC3"/>
    <w:rsid w:val="00D25364"/>
    <w:rsid w:val="00D25476"/>
    <w:rsid w:val="00D254D4"/>
    <w:rsid w:val="00D255B8"/>
    <w:rsid w:val="00D259CE"/>
    <w:rsid w:val="00D25E11"/>
    <w:rsid w:val="00D265A4"/>
    <w:rsid w:val="00D26871"/>
    <w:rsid w:val="00D269B8"/>
    <w:rsid w:val="00D26AAA"/>
    <w:rsid w:val="00D26C81"/>
    <w:rsid w:val="00D26DA6"/>
    <w:rsid w:val="00D26DB1"/>
    <w:rsid w:val="00D26E59"/>
    <w:rsid w:val="00D26E9B"/>
    <w:rsid w:val="00D27051"/>
    <w:rsid w:val="00D2706C"/>
    <w:rsid w:val="00D27238"/>
    <w:rsid w:val="00D272E5"/>
    <w:rsid w:val="00D274A0"/>
    <w:rsid w:val="00D276A9"/>
    <w:rsid w:val="00D27793"/>
    <w:rsid w:val="00D2788D"/>
    <w:rsid w:val="00D278B5"/>
    <w:rsid w:val="00D2791E"/>
    <w:rsid w:val="00D2793E"/>
    <w:rsid w:val="00D27B54"/>
    <w:rsid w:val="00D27C57"/>
    <w:rsid w:val="00D27C7C"/>
    <w:rsid w:val="00D27CBB"/>
    <w:rsid w:val="00D27E42"/>
    <w:rsid w:val="00D302A2"/>
    <w:rsid w:val="00D304D0"/>
    <w:rsid w:val="00D3072C"/>
    <w:rsid w:val="00D308FE"/>
    <w:rsid w:val="00D30DC9"/>
    <w:rsid w:val="00D31008"/>
    <w:rsid w:val="00D31483"/>
    <w:rsid w:val="00D31AE2"/>
    <w:rsid w:val="00D32166"/>
    <w:rsid w:val="00D3217C"/>
    <w:rsid w:val="00D3241B"/>
    <w:rsid w:val="00D32486"/>
    <w:rsid w:val="00D32509"/>
    <w:rsid w:val="00D325B8"/>
    <w:rsid w:val="00D32A14"/>
    <w:rsid w:val="00D32A74"/>
    <w:rsid w:val="00D32CD4"/>
    <w:rsid w:val="00D32D7B"/>
    <w:rsid w:val="00D32DC3"/>
    <w:rsid w:val="00D32E0B"/>
    <w:rsid w:val="00D32E0C"/>
    <w:rsid w:val="00D33261"/>
    <w:rsid w:val="00D3335B"/>
    <w:rsid w:val="00D33610"/>
    <w:rsid w:val="00D337E0"/>
    <w:rsid w:val="00D339AD"/>
    <w:rsid w:val="00D33ACF"/>
    <w:rsid w:val="00D33E2A"/>
    <w:rsid w:val="00D33EFC"/>
    <w:rsid w:val="00D34076"/>
    <w:rsid w:val="00D3432F"/>
    <w:rsid w:val="00D34358"/>
    <w:rsid w:val="00D3496C"/>
    <w:rsid w:val="00D3498C"/>
    <w:rsid w:val="00D34A1D"/>
    <w:rsid w:val="00D34B6A"/>
    <w:rsid w:val="00D34FF4"/>
    <w:rsid w:val="00D3501C"/>
    <w:rsid w:val="00D3518D"/>
    <w:rsid w:val="00D351A2"/>
    <w:rsid w:val="00D3551C"/>
    <w:rsid w:val="00D35661"/>
    <w:rsid w:val="00D3585D"/>
    <w:rsid w:val="00D35BE8"/>
    <w:rsid w:val="00D35D64"/>
    <w:rsid w:val="00D35DB5"/>
    <w:rsid w:val="00D35DDF"/>
    <w:rsid w:val="00D36CA0"/>
    <w:rsid w:val="00D37323"/>
    <w:rsid w:val="00D374D8"/>
    <w:rsid w:val="00D376CE"/>
    <w:rsid w:val="00D37755"/>
    <w:rsid w:val="00D37DBD"/>
    <w:rsid w:val="00D40130"/>
    <w:rsid w:val="00D402F8"/>
    <w:rsid w:val="00D40378"/>
    <w:rsid w:val="00D405E8"/>
    <w:rsid w:val="00D4075C"/>
    <w:rsid w:val="00D40997"/>
    <w:rsid w:val="00D409E1"/>
    <w:rsid w:val="00D40CAB"/>
    <w:rsid w:val="00D40E67"/>
    <w:rsid w:val="00D41229"/>
    <w:rsid w:val="00D412A9"/>
    <w:rsid w:val="00D417E6"/>
    <w:rsid w:val="00D4185D"/>
    <w:rsid w:val="00D41AE3"/>
    <w:rsid w:val="00D42053"/>
    <w:rsid w:val="00D42060"/>
    <w:rsid w:val="00D4211C"/>
    <w:rsid w:val="00D42487"/>
    <w:rsid w:val="00D424C7"/>
    <w:rsid w:val="00D424CF"/>
    <w:rsid w:val="00D42723"/>
    <w:rsid w:val="00D42763"/>
    <w:rsid w:val="00D4282B"/>
    <w:rsid w:val="00D42917"/>
    <w:rsid w:val="00D42B08"/>
    <w:rsid w:val="00D42CD1"/>
    <w:rsid w:val="00D42CD4"/>
    <w:rsid w:val="00D43171"/>
    <w:rsid w:val="00D434FD"/>
    <w:rsid w:val="00D435AF"/>
    <w:rsid w:val="00D4360E"/>
    <w:rsid w:val="00D438A7"/>
    <w:rsid w:val="00D438B7"/>
    <w:rsid w:val="00D43D30"/>
    <w:rsid w:val="00D43D39"/>
    <w:rsid w:val="00D43D5B"/>
    <w:rsid w:val="00D44509"/>
    <w:rsid w:val="00D448D1"/>
    <w:rsid w:val="00D44A72"/>
    <w:rsid w:val="00D44DD8"/>
    <w:rsid w:val="00D452CA"/>
    <w:rsid w:val="00D454B1"/>
    <w:rsid w:val="00D4581D"/>
    <w:rsid w:val="00D45ADD"/>
    <w:rsid w:val="00D4601E"/>
    <w:rsid w:val="00D461FD"/>
    <w:rsid w:val="00D464DF"/>
    <w:rsid w:val="00D46738"/>
    <w:rsid w:val="00D46814"/>
    <w:rsid w:val="00D46B73"/>
    <w:rsid w:val="00D46D20"/>
    <w:rsid w:val="00D471B3"/>
    <w:rsid w:val="00D47458"/>
    <w:rsid w:val="00D47479"/>
    <w:rsid w:val="00D47713"/>
    <w:rsid w:val="00D477F9"/>
    <w:rsid w:val="00D47C4A"/>
    <w:rsid w:val="00D47C5B"/>
    <w:rsid w:val="00D47E0F"/>
    <w:rsid w:val="00D4D450"/>
    <w:rsid w:val="00D5005A"/>
    <w:rsid w:val="00D50385"/>
    <w:rsid w:val="00D50427"/>
    <w:rsid w:val="00D50649"/>
    <w:rsid w:val="00D509E2"/>
    <w:rsid w:val="00D50AA3"/>
    <w:rsid w:val="00D50AB6"/>
    <w:rsid w:val="00D50C89"/>
    <w:rsid w:val="00D50E59"/>
    <w:rsid w:val="00D50F2A"/>
    <w:rsid w:val="00D50FE4"/>
    <w:rsid w:val="00D51045"/>
    <w:rsid w:val="00D512F9"/>
    <w:rsid w:val="00D513F2"/>
    <w:rsid w:val="00D514C8"/>
    <w:rsid w:val="00D51537"/>
    <w:rsid w:val="00D51549"/>
    <w:rsid w:val="00D51876"/>
    <w:rsid w:val="00D518A7"/>
    <w:rsid w:val="00D51918"/>
    <w:rsid w:val="00D51992"/>
    <w:rsid w:val="00D51A06"/>
    <w:rsid w:val="00D51A11"/>
    <w:rsid w:val="00D51BC5"/>
    <w:rsid w:val="00D51DC6"/>
    <w:rsid w:val="00D51FDB"/>
    <w:rsid w:val="00D52415"/>
    <w:rsid w:val="00D52418"/>
    <w:rsid w:val="00D5251F"/>
    <w:rsid w:val="00D52635"/>
    <w:rsid w:val="00D526FE"/>
    <w:rsid w:val="00D52B72"/>
    <w:rsid w:val="00D52DA2"/>
    <w:rsid w:val="00D52E95"/>
    <w:rsid w:val="00D52EB3"/>
    <w:rsid w:val="00D52F0A"/>
    <w:rsid w:val="00D531CB"/>
    <w:rsid w:val="00D53417"/>
    <w:rsid w:val="00D534CB"/>
    <w:rsid w:val="00D53797"/>
    <w:rsid w:val="00D539AC"/>
    <w:rsid w:val="00D53FB9"/>
    <w:rsid w:val="00D540CC"/>
    <w:rsid w:val="00D54137"/>
    <w:rsid w:val="00D541AE"/>
    <w:rsid w:val="00D5423E"/>
    <w:rsid w:val="00D54CCE"/>
    <w:rsid w:val="00D54D7A"/>
    <w:rsid w:val="00D54E64"/>
    <w:rsid w:val="00D54F99"/>
    <w:rsid w:val="00D550EC"/>
    <w:rsid w:val="00D551CF"/>
    <w:rsid w:val="00D557A2"/>
    <w:rsid w:val="00D55AB4"/>
    <w:rsid w:val="00D55C6A"/>
    <w:rsid w:val="00D55FB0"/>
    <w:rsid w:val="00D56020"/>
    <w:rsid w:val="00D56256"/>
    <w:rsid w:val="00D5632B"/>
    <w:rsid w:val="00D56527"/>
    <w:rsid w:val="00D56585"/>
    <w:rsid w:val="00D565BA"/>
    <w:rsid w:val="00D565DB"/>
    <w:rsid w:val="00D567B7"/>
    <w:rsid w:val="00D56832"/>
    <w:rsid w:val="00D568F2"/>
    <w:rsid w:val="00D56D0C"/>
    <w:rsid w:val="00D56E68"/>
    <w:rsid w:val="00D57003"/>
    <w:rsid w:val="00D57100"/>
    <w:rsid w:val="00D5722D"/>
    <w:rsid w:val="00D57451"/>
    <w:rsid w:val="00D57539"/>
    <w:rsid w:val="00D5763B"/>
    <w:rsid w:val="00D577E1"/>
    <w:rsid w:val="00D578B4"/>
    <w:rsid w:val="00D579E5"/>
    <w:rsid w:val="00D6000A"/>
    <w:rsid w:val="00D602E7"/>
    <w:rsid w:val="00D60320"/>
    <w:rsid w:val="00D6055B"/>
    <w:rsid w:val="00D60806"/>
    <w:rsid w:val="00D6094D"/>
    <w:rsid w:val="00D60ABD"/>
    <w:rsid w:val="00D60AF9"/>
    <w:rsid w:val="00D60BB6"/>
    <w:rsid w:val="00D60D76"/>
    <w:rsid w:val="00D610EC"/>
    <w:rsid w:val="00D61710"/>
    <w:rsid w:val="00D61A63"/>
    <w:rsid w:val="00D61BB3"/>
    <w:rsid w:val="00D61C68"/>
    <w:rsid w:val="00D61E5B"/>
    <w:rsid w:val="00D61F0D"/>
    <w:rsid w:val="00D61F29"/>
    <w:rsid w:val="00D61FB9"/>
    <w:rsid w:val="00D6205F"/>
    <w:rsid w:val="00D62145"/>
    <w:rsid w:val="00D6226E"/>
    <w:rsid w:val="00D62422"/>
    <w:rsid w:val="00D6245C"/>
    <w:rsid w:val="00D628E8"/>
    <w:rsid w:val="00D62997"/>
    <w:rsid w:val="00D62D1B"/>
    <w:rsid w:val="00D62E0F"/>
    <w:rsid w:val="00D6309A"/>
    <w:rsid w:val="00D63197"/>
    <w:rsid w:val="00D632B0"/>
    <w:rsid w:val="00D63338"/>
    <w:rsid w:val="00D6355B"/>
    <w:rsid w:val="00D63721"/>
    <w:rsid w:val="00D638D9"/>
    <w:rsid w:val="00D63AD6"/>
    <w:rsid w:val="00D63B4B"/>
    <w:rsid w:val="00D63C61"/>
    <w:rsid w:val="00D63F3D"/>
    <w:rsid w:val="00D63FD9"/>
    <w:rsid w:val="00D6400E"/>
    <w:rsid w:val="00D6415D"/>
    <w:rsid w:val="00D644E1"/>
    <w:rsid w:val="00D646B5"/>
    <w:rsid w:val="00D6474B"/>
    <w:rsid w:val="00D64876"/>
    <w:rsid w:val="00D6487F"/>
    <w:rsid w:val="00D64B1C"/>
    <w:rsid w:val="00D64D9F"/>
    <w:rsid w:val="00D64EAF"/>
    <w:rsid w:val="00D64EEB"/>
    <w:rsid w:val="00D65181"/>
    <w:rsid w:val="00D656B3"/>
    <w:rsid w:val="00D657EE"/>
    <w:rsid w:val="00D65914"/>
    <w:rsid w:val="00D659FE"/>
    <w:rsid w:val="00D65B08"/>
    <w:rsid w:val="00D65BDC"/>
    <w:rsid w:val="00D65CE8"/>
    <w:rsid w:val="00D65D85"/>
    <w:rsid w:val="00D65E2F"/>
    <w:rsid w:val="00D660F5"/>
    <w:rsid w:val="00D66598"/>
    <w:rsid w:val="00D666C8"/>
    <w:rsid w:val="00D66A45"/>
    <w:rsid w:val="00D678C9"/>
    <w:rsid w:val="00D67C97"/>
    <w:rsid w:val="00D67F3F"/>
    <w:rsid w:val="00D70065"/>
    <w:rsid w:val="00D70347"/>
    <w:rsid w:val="00D7053B"/>
    <w:rsid w:val="00D706F2"/>
    <w:rsid w:val="00D70D45"/>
    <w:rsid w:val="00D70E27"/>
    <w:rsid w:val="00D70E88"/>
    <w:rsid w:val="00D70F56"/>
    <w:rsid w:val="00D70FCE"/>
    <w:rsid w:val="00D71022"/>
    <w:rsid w:val="00D710BF"/>
    <w:rsid w:val="00D7125B"/>
    <w:rsid w:val="00D71472"/>
    <w:rsid w:val="00D714D4"/>
    <w:rsid w:val="00D72009"/>
    <w:rsid w:val="00D72291"/>
    <w:rsid w:val="00D7246F"/>
    <w:rsid w:val="00D724C2"/>
    <w:rsid w:val="00D7255B"/>
    <w:rsid w:val="00D72754"/>
    <w:rsid w:val="00D72A01"/>
    <w:rsid w:val="00D72B3B"/>
    <w:rsid w:val="00D72C42"/>
    <w:rsid w:val="00D72C8B"/>
    <w:rsid w:val="00D72D01"/>
    <w:rsid w:val="00D72FA4"/>
    <w:rsid w:val="00D730A2"/>
    <w:rsid w:val="00D730F2"/>
    <w:rsid w:val="00D733B8"/>
    <w:rsid w:val="00D73418"/>
    <w:rsid w:val="00D734C9"/>
    <w:rsid w:val="00D7364E"/>
    <w:rsid w:val="00D73B13"/>
    <w:rsid w:val="00D73B7B"/>
    <w:rsid w:val="00D73BA6"/>
    <w:rsid w:val="00D73BE0"/>
    <w:rsid w:val="00D740C8"/>
    <w:rsid w:val="00D74173"/>
    <w:rsid w:val="00D74178"/>
    <w:rsid w:val="00D741C2"/>
    <w:rsid w:val="00D7423A"/>
    <w:rsid w:val="00D74353"/>
    <w:rsid w:val="00D74378"/>
    <w:rsid w:val="00D74468"/>
    <w:rsid w:val="00D744FD"/>
    <w:rsid w:val="00D745D7"/>
    <w:rsid w:val="00D74A0B"/>
    <w:rsid w:val="00D74C66"/>
    <w:rsid w:val="00D75578"/>
    <w:rsid w:val="00D7570E"/>
    <w:rsid w:val="00D757FC"/>
    <w:rsid w:val="00D75AFC"/>
    <w:rsid w:val="00D75C2F"/>
    <w:rsid w:val="00D75D19"/>
    <w:rsid w:val="00D75DC7"/>
    <w:rsid w:val="00D75FD9"/>
    <w:rsid w:val="00D763FC"/>
    <w:rsid w:val="00D76485"/>
    <w:rsid w:val="00D765A0"/>
    <w:rsid w:val="00D7694E"/>
    <w:rsid w:val="00D76A48"/>
    <w:rsid w:val="00D76A67"/>
    <w:rsid w:val="00D76B2B"/>
    <w:rsid w:val="00D76B47"/>
    <w:rsid w:val="00D76B78"/>
    <w:rsid w:val="00D76BD4"/>
    <w:rsid w:val="00D77052"/>
    <w:rsid w:val="00D7709E"/>
    <w:rsid w:val="00D775A5"/>
    <w:rsid w:val="00D776EF"/>
    <w:rsid w:val="00D77855"/>
    <w:rsid w:val="00D77CC2"/>
    <w:rsid w:val="00D77EDA"/>
    <w:rsid w:val="00D8006C"/>
    <w:rsid w:val="00D8026C"/>
    <w:rsid w:val="00D802E3"/>
    <w:rsid w:val="00D802E9"/>
    <w:rsid w:val="00D8038F"/>
    <w:rsid w:val="00D80855"/>
    <w:rsid w:val="00D80968"/>
    <w:rsid w:val="00D80B73"/>
    <w:rsid w:val="00D80C7B"/>
    <w:rsid w:val="00D80EBD"/>
    <w:rsid w:val="00D80EE2"/>
    <w:rsid w:val="00D80F29"/>
    <w:rsid w:val="00D81191"/>
    <w:rsid w:val="00D8146B"/>
    <w:rsid w:val="00D814C3"/>
    <w:rsid w:val="00D81649"/>
    <w:rsid w:val="00D81874"/>
    <w:rsid w:val="00D819AF"/>
    <w:rsid w:val="00D82196"/>
    <w:rsid w:val="00D824AB"/>
    <w:rsid w:val="00D82654"/>
    <w:rsid w:val="00D828D1"/>
    <w:rsid w:val="00D829F5"/>
    <w:rsid w:val="00D82A3A"/>
    <w:rsid w:val="00D82B5E"/>
    <w:rsid w:val="00D82B77"/>
    <w:rsid w:val="00D83108"/>
    <w:rsid w:val="00D83211"/>
    <w:rsid w:val="00D8377A"/>
    <w:rsid w:val="00D83791"/>
    <w:rsid w:val="00D839D1"/>
    <w:rsid w:val="00D83B06"/>
    <w:rsid w:val="00D83BB7"/>
    <w:rsid w:val="00D83D35"/>
    <w:rsid w:val="00D83E4E"/>
    <w:rsid w:val="00D83EB5"/>
    <w:rsid w:val="00D840B4"/>
    <w:rsid w:val="00D84112"/>
    <w:rsid w:val="00D8420A"/>
    <w:rsid w:val="00D84298"/>
    <w:rsid w:val="00D8465C"/>
    <w:rsid w:val="00D84770"/>
    <w:rsid w:val="00D8479A"/>
    <w:rsid w:val="00D84903"/>
    <w:rsid w:val="00D84AE4"/>
    <w:rsid w:val="00D84C14"/>
    <w:rsid w:val="00D8501C"/>
    <w:rsid w:val="00D8502D"/>
    <w:rsid w:val="00D85050"/>
    <w:rsid w:val="00D85188"/>
    <w:rsid w:val="00D852A0"/>
    <w:rsid w:val="00D854BC"/>
    <w:rsid w:val="00D856EC"/>
    <w:rsid w:val="00D85727"/>
    <w:rsid w:val="00D85987"/>
    <w:rsid w:val="00D85B1A"/>
    <w:rsid w:val="00D85C9E"/>
    <w:rsid w:val="00D86037"/>
    <w:rsid w:val="00D86122"/>
    <w:rsid w:val="00D8626D"/>
    <w:rsid w:val="00D864AB"/>
    <w:rsid w:val="00D865E3"/>
    <w:rsid w:val="00D8678B"/>
    <w:rsid w:val="00D86950"/>
    <w:rsid w:val="00D86A34"/>
    <w:rsid w:val="00D86C72"/>
    <w:rsid w:val="00D86DDA"/>
    <w:rsid w:val="00D86F1F"/>
    <w:rsid w:val="00D86F23"/>
    <w:rsid w:val="00D870B5"/>
    <w:rsid w:val="00D87121"/>
    <w:rsid w:val="00D874EE"/>
    <w:rsid w:val="00D8766D"/>
    <w:rsid w:val="00D878E2"/>
    <w:rsid w:val="00D87C1D"/>
    <w:rsid w:val="00D9041D"/>
    <w:rsid w:val="00D90468"/>
    <w:rsid w:val="00D90474"/>
    <w:rsid w:val="00D904AB"/>
    <w:rsid w:val="00D90547"/>
    <w:rsid w:val="00D906F7"/>
    <w:rsid w:val="00D9072A"/>
    <w:rsid w:val="00D90736"/>
    <w:rsid w:val="00D907B7"/>
    <w:rsid w:val="00D9095E"/>
    <w:rsid w:val="00D9098C"/>
    <w:rsid w:val="00D90DDA"/>
    <w:rsid w:val="00D9151B"/>
    <w:rsid w:val="00D9159F"/>
    <w:rsid w:val="00D91A6B"/>
    <w:rsid w:val="00D91BA5"/>
    <w:rsid w:val="00D91F93"/>
    <w:rsid w:val="00D9211A"/>
    <w:rsid w:val="00D921B2"/>
    <w:rsid w:val="00D92514"/>
    <w:rsid w:val="00D926B3"/>
    <w:rsid w:val="00D926EF"/>
    <w:rsid w:val="00D926FF"/>
    <w:rsid w:val="00D928F6"/>
    <w:rsid w:val="00D92B16"/>
    <w:rsid w:val="00D92D31"/>
    <w:rsid w:val="00D93308"/>
    <w:rsid w:val="00D93389"/>
    <w:rsid w:val="00D9338D"/>
    <w:rsid w:val="00D93605"/>
    <w:rsid w:val="00D9361F"/>
    <w:rsid w:val="00D93622"/>
    <w:rsid w:val="00D9377C"/>
    <w:rsid w:val="00D938B3"/>
    <w:rsid w:val="00D938C5"/>
    <w:rsid w:val="00D93FA1"/>
    <w:rsid w:val="00D940A7"/>
    <w:rsid w:val="00D942A8"/>
    <w:rsid w:val="00D9444D"/>
    <w:rsid w:val="00D94955"/>
    <w:rsid w:val="00D94A9E"/>
    <w:rsid w:val="00D94CAC"/>
    <w:rsid w:val="00D94DA1"/>
    <w:rsid w:val="00D94E1D"/>
    <w:rsid w:val="00D94EDB"/>
    <w:rsid w:val="00D951A2"/>
    <w:rsid w:val="00D9520C"/>
    <w:rsid w:val="00D95220"/>
    <w:rsid w:val="00D95348"/>
    <w:rsid w:val="00D95510"/>
    <w:rsid w:val="00D959A3"/>
    <w:rsid w:val="00D95B32"/>
    <w:rsid w:val="00D95C74"/>
    <w:rsid w:val="00D9606F"/>
    <w:rsid w:val="00D960EB"/>
    <w:rsid w:val="00D96213"/>
    <w:rsid w:val="00D962F2"/>
    <w:rsid w:val="00D963E8"/>
    <w:rsid w:val="00D96733"/>
    <w:rsid w:val="00D96B8F"/>
    <w:rsid w:val="00D96BA6"/>
    <w:rsid w:val="00D96E39"/>
    <w:rsid w:val="00D972A9"/>
    <w:rsid w:val="00D973D5"/>
    <w:rsid w:val="00D9750C"/>
    <w:rsid w:val="00D97538"/>
    <w:rsid w:val="00D97795"/>
    <w:rsid w:val="00D97C83"/>
    <w:rsid w:val="00DA030C"/>
    <w:rsid w:val="00DA0338"/>
    <w:rsid w:val="00DA09EF"/>
    <w:rsid w:val="00DA0E53"/>
    <w:rsid w:val="00DA0E9C"/>
    <w:rsid w:val="00DA106B"/>
    <w:rsid w:val="00DA10D3"/>
    <w:rsid w:val="00DA1114"/>
    <w:rsid w:val="00DA126B"/>
    <w:rsid w:val="00DA1630"/>
    <w:rsid w:val="00DA1686"/>
    <w:rsid w:val="00DA1B5D"/>
    <w:rsid w:val="00DA1C5B"/>
    <w:rsid w:val="00DA1DA3"/>
    <w:rsid w:val="00DA20F8"/>
    <w:rsid w:val="00DA2232"/>
    <w:rsid w:val="00DA2433"/>
    <w:rsid w:val="00DA2C79"/>
    <w:rsid w:val="00DA2E64"/>
    <w:rsid w:val="00DA2E70"/>
    <w:rsid w:val="00DA2F86"/>
    <w:rsid w:val="00DA30E3"/>
    <w:rsid w:val="00DA31C4"/>
    <w:rsid w:val="00DA320F"/>
    <w:rsid w:val="00DA354D"/>
    <w:rsid w:val="00DA3926"/>
    <w:rsid w:val="00DA3B52"/>
    <w:rsid w:val="00DA40FE"/>
    <w:rsid w:val="00DA4285"/>
    <w:rsid w:val="00DA436E"/>
    <w:rsid w:val="00DA4648"/>
    <w:rsid w:val="00DA4671"/>
    <w:rsid w:val="00DA4A2A"/>
    <w:rsid w:val="00DA4B3F"/>
    <w:rsid w:val="00DA4C52"/>
    <w:rsid w:val="00DA4C85"/>
    <w:rsid w:val="00DA4CD3"/>
    <w:rsid w:val="00DA4E45"/>
    <w:rsid w:val="00DA528F"/>
    <w:rsid w:val="00DA538F"/>
    <w:rsid w:val="00DA5422"/>
    <w:rsid w:val="00DA59F4"/>
    <w:rsid w:val="00DA5A73"/>
    <w:rsid w:val="00DA5B15"/>
    <w:rsid w:val="00DA5B88"/>
    <w:rsid w:val="00DA5BD8"/>
    <w:rsid w:val="00DA5F8A"/>
    <w:rsid w:val="00DA622D"/>
    <w:rsid w:val="00DA6246"/>
    <w:rsid w:val="00DA6296"/>
    <w:rsid w:val="00DA651F"/>
    <w:rsid w:val="00DA65AD"/>
    <w:rsid w:val="00DA68D4"/>
    <w:rsid w:val="00DA6B79"/>
    <w:rsid w:val="00DA6F19"/>
    <w:rsid w:val="00DA702B"/>
    <w:rsid w:val="00DA76A9"/>
    <w:rsid w:val="00DA7710"/>
    <w:rsid w:val="00DA79EF"/>
    <w:rsid w:val="00DA7A35"/>
    <w:rsid w:val="00DA7A64"/>
    <w:rsid w:val="00DA7C60"/>
    <w:rsid w:val="00DA7C98"/>
    <w:rsid w:val="00DA7CBB"/>
    <w:rsid w:val="00DA7F86"/>
    <w:rsid w:val="00DA7F9E"/>
    <w:rsid w:val="00DB0039"/>
    <w:rsid w:val="00DB0373"/>
    <w:rsid w:val="00DB03B0"/>
    <w:rsid w:val="00DB0484"/>
    <w:rsid w:val="00DB048B"/>
    <w:rsid w:val="00DB05BD"/>
    <w:rsid w:val="00DB05F8"/>
    <w:rsid w:val="00DB0846"/>
    <w:rsid w:val="00DB0B76"/>
    <w:rsid w:val="00DB0C49"/>
    <w:rsid w:val="00DB0F17"/>
    <w:rsid w:val="00DB0F3D"/>
    <w:rsid w:val="00DB0FEB"/>
    <w:rsid w:val="00DB1034"/>
    <w:rsid w:val="00DB1698"/>
    <w:rsid w:val="00DB16B1"/>
    <w:rsid w:val="00DB172E"/>
    <w:rsid w:val="00DB1846"/>
    <w:rsid w:val="00DB1F3A"/>
    <w:rsid w:val="00DB212C"/>
    <w:rsid w:val="00DB22E2"/>
    <w:rsid w:val="00DB23A3"/>
    <w:rsid w:val="00DB23E9"/>
    <w:rsid w:val="00DB253D"/>
    <w:rsid w:val="00DB253E"/>
    <w:rsid w:val="00DB29CD"/>
    <w:rsid w:val="00DB2B40"/>
    <w:rsid w:val="00DB2C03"/>
    <w:rsid w:val="00DB2C21"/>
    <w:rsid w:val="00DB2F8C"/>
    <w:rsid w:val="00DB2FD7"/>
    <w:rsid w:val="00DB2FE0"/>
    <w:rsid w:val="00DB305D"/>
    <w:rsid w:val="00DB3253"/>
    <w:rsid w:val="00DB33BD"/>
    <w:rsid w:val="00DB3478"/>
    <w:rsid w:val="00DB34B6"/>
    <w:rsid w:val="00DB3546"/>
    <w:rsid w:val="00DB37E3"/>
    <w:rsid w:val="00DB38B0"/>
    <w:rsid w:val="00DB3975"/>
    <w:rsid w:val="00DB3B7C"/>
    <w:rsid w:val="00DB4057"/>
    <w:rsid w:val="00DB44F7"/>
    <w:rsid w:val="00DB46F9"/>
    <w:rsid w:val="00DB4D27"/>
    <w:rsid w:val="00DB4F41"/>
    <w:rsid w:val="00DB5042"/>
    <w:rsid w:val="00DB5050"/>
    <w:rsid w:val="00DB513D"/>
    <w:rsid w:val="00DB5205"/>
    <w:rsid w:val="00DB52D0"/>
    <w:rsid w:val="00DB5738"/>
    <w:rsid w:val="00DB5960"/>
    <w:rsid w:val="00DB59FD"/>
    <w:rsid w:val="00DB5F35"/>
    <w:rsid w:val="00DB5F8D"/>
    <w:rsid w:val="00DB5F9A"/>
    <w:rsid w:val="00DB6034"/>
    <w:rsid w:val="00DB61B3"/>
    <w:rsid w:val="00DB62E3"/>
    <w:rsid w:val="00DB6772"/>
    <w:rsid w:val="00DB68DF"/>
    <w:rsid w:val="00DB699F"/>
    <w:rsid w:val="00DB69CC"/>
    <w:rsid w:val="00DB6A4C"/>
    <w:rsid w:val="00DB6A57"/>
    <w:rsid w:val="00DB6D1E"/>
    <w:rsid w:val="00DB6E84"/>
    <w:rsid w:val="00DB6E90"/>
    <w:rsid w:val="00DB6EA4"/>
    <w:rsid w:val="00DB6F7B"/>
    <w:rsid w:val="00DB6FF9"/>
    <w:rsid w:val="00DB713A"/>
    <w:rsid w:val="00DB716F"/>
    <w:rsid w:val="00DB7273"/>
    <w:rsid w:val="00DB73F4"/>
    <w:rsid w:val="00DB751D"/>
    <w:rsid w:val="00DB7642"/>
    <w:rsid w:val="00DB79AC"/>
    <w:rsid w:val="00DB7A71"/>
    <w:rsid w:val="00DB7CDF"/>
    <w:rsid w:val="00DB7EBB"/>
    <w:rsid w:val="00DB7EE9"/>
    <w:rsid w:val="00DC01C3"/>
    <w:rsid w:val="00DC082C"/>
    <w:rsid w:val="00DC0982"/>
    <w:rsid w:val="00DC0B59"/>
    <w:rsid w:val="00DC0C47"/>
    <w:rsid w:val="00DC0D9E"/>
    <w:rsid w:val="00DC12CC"/>
    <w:rsid w:val="00DC13C9"/>
    <w:rsid w:val="00DC1410"/>
    <w:rsid w:val="00DC1478"/>
    <w:rsid w:val="00DC1617"/>
    <w:rsid w:val="00DC1683"/>
    <w:rsid w:val="00DC197E"/>
    <w:rsid w:val="00DC1C24"/>
    <w:rsid w:val="00DC1EB0"/>
    <w:rsid w:val="00DC1F5B"/>
    <w:rsid w:val="00DC224F"/>
    <w:rsid w:val="00DC2419"/>
    <w:rsid w:val="00DC2424"/>
    <w:rsid w:val="00DC27BA"/>
    <w:rsid w:val="00DC28A0"/>
    <w:rsid w:val="00DC2957"/>
    <w:rsid w:val="00DC2A6C"/>
    <w:rsid w:val="00DC2B1E"/>
    <w:rsid w:val="00DC2F58"/>
    <w:rsid w:val="00DC30B0"/>
    <w:rsid w:val="00DC31DE"/>
    <w:rsid w:val="00DC33CB"/>
    <w:rsid w:val="00DC34F7"/>
    <w:rsid w:val="00DC35D8"/>
    <w:rsid w:val="00DC35FD"/>
    <w:rsid w:val="00DC3998"/>
    <w:rsid w:val="00DC3D9B"/>
    <w:rsid w:val="00DC3E40"/>
    <w:rsid w:val="00DC47A1"/>
    <w:rsid w:val="00DC49C6"/>
    <w:rsid w:val="00DC4A05"/>
    <w:rsid w:val="00DC4C82"/>
    <w:rsid w:val="00DC4E2D"/>
    <w:rsid w:val="00DC4E36"/>
    <w:rsid w:val="00DC4EE9"/>
    <w:rsid w:val="00DC4EF1"/>
    <w:rsid w:val="00DC4FD1"/>
    <w:rsid w:val="00DC529E"/>
    <w:rsid w:val="00DC5632"/>
    <w:rsid w:val="00DC56F1"/>
    <w:rsid w:val="00DC577D"/>
    <w:rsid w:val="00DC5867"/>
    <w:rsid w:val="00DC5B42"/>
    <w:rsid w:val="00DC5CE5"/>
    <w:rsid w:val="00DC5FF9"/>
    <w:rsid w:val="00DC63E9"/>
    <w:rsid w:val="00DC647A"/>
    <w:rsid w:val="00DC68C3"/>
    <w:rsid w:val="00DC6928"/>
    <w:rsid w:val="00DC6A12"/>
    <w:rsid w:val="00DC6BA8"/>
    <w:rsid w:val="00DC6C84"/>
    <w:rsid w:val="00DC6D70"/>
    <w:rsid w:val="00DC6E57"/>
    <w:rsid w:val="00DC6F05"/>
    <w:rsid w:val="00DC71AF"/>
    <w:rsid w:val="00DC71D3"/>
    <w:rsid w:val="00DC734F"/>
    <w:rsid w:val="00DC73BA"/>
    <w:rsid w:val="00DC7696"/>
    <w:rsid w:val="00DC78A1"/>
    <w:rsid w:val="00DC7A40"/>
    <w:rsid w:val="00DC7C30"/>
    <w:rsid w:val="00DC7C32"/>
    <w:rsid w:val="00DC7C60"/>
    <w:rsid w:val="00DC7F5D"/>
    <w:rsid w:val="00DD05F8"/>
    <w:rsid w:val="00DD06AB"/>
    <w:rsid w:val="00DD0717"/>
    <w:rsid w:val="00DD0B72"/>
    <w:rsid w:val="00DD0BD8"/>
    <w:rsid w:val="00DD0C39"/>
    <w:rsid w:val="00DD0E65"/>
    <w:rsid w:val="00DD0F68"/>
    <w:rsid w:val="00DD12F8"/>
    <w:rsid w:val="00DD1375"/>
    <w:rsid w:val="00DD13A5"/>
    <w:rsid w:val="00DD161A"/>
    <w:rsid w:val="00DD17C8"/>
    <w:rsid w:val="00DD197A"/>
    <w:rsid w:val="00DD1B07"/>
    <w:rsid w:val="00DD1B34"/>
    <w:rsid w:val="00DD1E99"/>
    <w:rsid w:val="00DD1F85"/>
    <w:rsid w:val="00DD1F95"/>
    <w:rsid w:val="00DD221F"/>
    <w:rsid w:val="00DD2282"/>
    <w:rsid w:val="00DD2341"/>
    <w:rsid w:val="00DD24FF"/>
    <w:rsid w:val="00DD27CE"/>
    <w:rsid w:val="00DD2904"/>
    <w:rsid w:val="00DD2A5F"/>
    <w:rsid w:val="00DD2B50"/>
    <w:rsid w:val="00DD2C38"/>
    <w:rsid w:val="00DD2F1F"/>
    <w:rsid w:val="00DD2F80"/>
    <w:rsid w:val="00DD30A3"/>
    <w:rsid w:val="00DD32AB"/>
    <w:rsid w:val="00DD3732"/>
    <w:rsid w:val="00DD3847"/>
    <w:rsid w:val="00DD393B"/>
    <w:rsid w:val="00DD3B88"/>
    <w:rsid w:val="00DD3CF5"/>
    <w:rsid w:val="00DD3DF4"/>
    <w:rsid w:val="00DD3F32"/>
    <w:rsid w:val="00DD43C4"/>
    <w:rsid w:val="00DD4606"/>
    <w:rsid w:val="00DD4679"/>
    <w:rsid w:val="00DD4A46"/>
    <w:rsid w:val="00DD4AF3"/>
    <w:rsid w:val="00DD4B82"/>
    <w:rsid w:val="00DD4B94"/>
    <w:rsid w:val="00DD4E9B"/>
    <w:rsid w:val="00DD4EB9"/>
    <w:rsid w:val="00DD4EDF"/>
    <w:rsid w:val="00DD4F04"/>
    <w:rsid w:val="00DD4F79"/>
    <w:rsid w:val="00DD5194"/>
    <w:rsid w:val="00DD55F5"/>
    <w:rsid w:val="00DD5771"/>
    <w:rsid w:val="00DD5ABF"/>
    <w:rsid w:val="00DD5B47"/>
    <w:rsid w:val="00DD5C54"/>
    <w:rsid w:val="00DD5C70"/>
    <w:rsid w:val="00DD60EB"/>
    <w:rsid w:val="00DD648A"/>
    <w:rsid w:val="00DD6615"/>
    <w:rsid w:val="00DD679F"/>
    <w:rsid w:val="00DD6804"/>
    <w:rsid w:val="00DD6BEE"/>
    <w:rsid w:val="00DD6C0C"/>
    <w:rsid w:val="00DD6E2E"/>
    <w:rsid w:val="00DD6F03"/>
    <w:rsid w:val="00DD6F9A"/>
    <w:rsid w:val="00DD732C"/>
    <w:rsid w:val="00DD7360"/>
    <w:rsid w:val="00DD750F"/>
    <w:rsid w:val="00DD76C3"/>
    <w:rsid w:val="00DD772F"/>
    <w:rsid w:val="00DD7843"/>
    <w:rsid w:val="00DD7A4C"/>
    <w:rsid w:val="00DD7A81"/>
    <w:rsid w:val="00DD7B33"/>
    <w:rsid w:val="00DD7FCC"/>
    <w:rsid w:val="00DD7FD9"/>
    <w:rsid w:val="00DE0229"/>
    <w:rsid w:val="00DE03C2"/>
    <w:rsid w:val="00DE074D"/>
    <w:rsid w:val="00DE0906"/>
    <w:rsid w:val="00DE09D0"/>
    <w:rsid w:val="00DE0A5F"/>
    <w:rsid w:val="00DE0B6F"/>
    <w:rsid w:val="00DE0DA6"/>
    <w:rsid w:val="00DE0E2E"/>
    <w:rsid w:val="00DE0E9D"/>
    <w:rsid w:val="00DE0FFC"/>
    <w:rsid w:val="00DE11D6"/>
    <w:rsid w:val="00DE1254"/>
    <w:rsid w:val="00DE126F"/>
    <w:rsid w:val="00DE12A5"/>
    <w:rsid w:val="00DE144D"/>
    <w:rsid w:val="00DE1545"/>
    <w:rsid w:val="00DE1642"/>
    <w:rsid w:val="00DE170B"/>
    <w:rsid w:val="00DE17E4"/>
    <w:rsid w:val="00DE18EF"/>
    <w:rsid w:val="00DE1997"/>
    <w:rsid w:val="00DE1AB5"/>
    <w:rsid w:val="00DE1C2A"/>
    <w:rsid w:val="00DE1D66"/>
    <w:rsid w:val="00DE2169"/>
    <w:rsid w:val="00DE216F"/>
    <w:rsid w:val="00DE236B"/>
    <w:rsid w:val="00DE24B3"/>
    <w:rsid w:val="00DE24C4"/>
    <w:rsid w:val="00DE2612"/>
    <w:rsid w:val="00DE2731"/>
    <w:rsid w:val="00DE2732"/>
    <w:rsid w:val="00DE27AD"/>
    <w:rsid w:val="00DE2A9E"/>
    <w:rsid w:val="00DE3165"/>
    <w:rsid w:val="00DE31AF"/>
    <w:rsid w:val="00DE31E3"/>
    <w:rsid w:val="00DE32E0"/>
    <w:rsid w:val="00DE330B"/>
    <w:rsid w:val="00DE35CB"/>
    <w:rsid w:val="00DE35E0"/>
    <w:rsid w:val="00DE372B"/>
    <w:rsid w:val="00DE3A7F"/>
    <w:rsid w:val="00DE3CAA"/>
    <w:rsid w:val="00DE3E4D"/>
    <w:rsid w:val="00DE4012"/>
    <w:rsid w:val="00DE40E6"/>
    <w:rsid w:val="00DE4193"/>
    <w:rsid w:val="00DE440E"/>
    <w:rsid w:val="00DE441F"/>
    <w:rsid w:val="00DE447D"/>
    <w:rsid w:val="00DE46DF"/>
    <w:rsid w:val="00DE4946"/>
    <w:rsid w:val="00DE4A2E"/>
    <w:rsid w:val="00DE4A87"/>
    <w:rsid w:val="00DE4B12"/>
    <w:rsid w:val="00DE4B94"/>
    <w:rsid w:val="00DE4B98"/>
    <w:rsid w:val="00DE4D24"/>
    <w:rsid w:val="00DE4D2C"/>
    <w:rsid w:val="00DE4D83"/>
    <w:rsid w:val="00DE4E35"/>
    <w:rsid w:val="00DE4EA7"/>
    <w:rsid w:val="00DE4F16"/>
    <w:rsid w:val="00DE5029"/>
    <w:rsid w:val="00DE50E9"/>
    <w:rsid w:val="00DE51C7"/>
    <w:rsid w:val="00DE569E"/>
    <w:rsid w:val="00DE5A6D"/>
    <w:rsid w:val="00DE5C39"/>
    <w:rsid w:val="00DE5C3B"/>
    <w:rsid w:val="00DE6171"/>
    <w:rsid w:val="00DE624E"/>
    <w:rsid w:val="00DE65D3"/>
    <w:rsid w:val="00DE6C62"/>
    <w:rsid w:val="00DE6FF5"/>
    <w:rsid w:val="00DE7256"/>
    <w:rsid w:val="00DE732F"/>
    <w:rsid w:val="00DE73E3"/>
    <w:rsid w:val="00DE7402"/>
    <w:rsid w:val="00DE77F8"/>
    <w:rsid w:val="00DE7BF8"/>
    <w:rsid w:val="00DE7CB8"/>
    <w:rsid w:val="00DE7CDE"/>
    <w:rsid w:val="00DE7F43"/>
    <w:rsid w:val="00DF01E1"/>
    <w:rsid w:val="00DF0778"/>
    <w:rsid w:val="00DF07CE"/>
    <w:rsid w:val="00DF0A1F"/>
    <w:rsid w:val="00DF0BD0"/>
    <w:rsid w:val="00DF180F"/>
    <w:rsid w:val="00DF198C"/>
    <w:rsid w:val="00DF19D3"/>
    <w:rsid w:val="00DF1A0F"/>
    <w:rsid w:val="00DF1C04"/>
    <w:rsid w:val="00DF1C9B"/>
    <w:rsid w:val="00DF1CDA"/>
    <w:rsid w:val="00DF1D51"/>
    <w:rsid w:val="00DF1F5A"/>
    <w:rsid w:val="00DF22A9"/>
    <w:rsid w:val="00DF2472"/>
    <w:rsid w:val="00DF2618"/>
    <w:rsid w:val="00DF2923"/>
    <w:rsid w:val="00DF29D4"/>
    <w:rsid w:val="00DF2AA5"/>
    <w:rsid w:val="00DF2BE2"/>
    <w:rsid w:val="00DF2F40"/>
    <w:rsid w:val="00DF2FEE"/>
    <w:rsid w:val="00DF3348"/>
    <w:rsid w:val="00DF335B"/>
    <w:rsid w:val="00DF337B"/>
    <w:rsid w:val="00DF34A4"/>
    <w:rsid w:val="00DF373E"/>
    <w:rsid w:val="00DF3826"/>
    <w:rsid w:val="00DF3CDE"/>
    <w:rsid w:val="00DF3DF9"/>
    <w:rsid w:val="00DF3E7C"/>
    <w:rsid w:val="00DF41C0"/>
    <w:rsid w:val="00DF429C"/>
    <w:rsid w:val="00DF42CA"/>
    <w:rsid w:val="00DF441D"/>
    <w:rsid w:val="00DF445C"/>
    <w:rsid w:val="00DF447A"/>
    <w:rsid w:val="00DF44B2"/>
    <w:rsid w:val="00DF462F"/>
    <w:rsid w:val="00DF46E9"/>
    <w:rsid w:val="00DF4BB3"/>
    <w:rsid w:val="00DF4D8D"/>
    <w:rsid w:val="00DF4DFA"/>
    <w:rsid w:val="00DF51AA"/>
    <w:rsid w:val="00DF5494"/>
    <w:rsid w:val="00DF59BB"/>
    <w:rsid w:val="00DF5A5E"/>
    <w:rsid w:val="00DF5B2C"/>
    <w:rsid w:val="00DF5F17"/>
    <w:rsid w:val="00DF67EC"/>
    <w:rsid w:val="00DF6C5E"/>
    <w:rsid w:val="00DF6CF6"/>
    <w:rsid w:val="00DF6F33"/>
    <w:rsid w:val="00DF7099"/>
    <w:rsid w:val="00DF70D2"/>
    <w:rsid w:val="00DF7324"/>
    <w:rsid w:val="00DF7871"/>
    <w:rsid w:val="00DF7E33"/>
    <w:rsid w:val="00E00113"/>
    <w:rsid w:val="00E0020D"/>
    <w:rsid w:val="00E0037E"/>
    <w:rsid w:val="00E00387"/>
    <w:rsid w:val="00E003D1"/>
    <w:rsid w:val="00E00448"/>
    <w:rsid w:val="00E00478"/>
    <w:rsid w:val="00E00510"/>
    <w:rsid w:val="00E00755"/>
    <w:rsid w:val="00E007C2"/>
    <w:rsid w:val="00E0082B"/>
    <w:rsid w:val="00E008CD"/>
    <w:rsid w:val="00E00976"/>
    <w:rsid w:val="00E00AB7"/>
    <w:rsid w:val="00E00BCB"/>
    <w:rsid w:val="00E00C7A"/>
    <w:rsid w:val="00E00CDA"/>
    <w:rsid w:val="00E00DC1"/>
    <w:rsid w:val="00E00DEF"/>
    <w:rsid w:val="00E00E14"/>
    <w:rsid w:val="00E00F30"/>
    <w:rsid w:val="00E00F83"/>
    <w:rsid w:val="00E0126F"/>
    <w:rsid w:val="00E0134D"/>
    <w:rsid w:val="00E017B0"/>
    <w:rsid w:val="00E017C1"/>
    <w:rsid w:val="00E0183C"/>
    <w:rsid w:val="00E01896"/>
    <w:rsid w:val="00E019CC"/>
    <w:rsid w:val="00E01A75"/>
    <w:rsid w:val="00E01AA8"/>
    <w:rsid w:val="00E01B76"/>
    <w:rsid w:val="00E01C17"/>
    <w:rsid w:val="00E01D87"/>
    <w:rsid w:val="00E0264C"/>
    <w:rsid w:val="00E026A7"/>
    <w:rsid w:val="00E03021"/>
    <w:rsid w:val="00E0302D"/>
    <w:rsid w:val="00E03045"/>
    <w:rsid w:val="00E033DE"/>
    <w:rsid w:val="00E03565"/>
    <w:rsid w:val="00E037F4"/>
    <w:rsid w:val="00E03905"/>
    <w:rsid w:val="00E039DB"/>
    <w:rsid w:val="00E03D66"/>
    <w:rsid w:val="00E03D8B"/>
    <w:rsid w:val="00E03F68"/>
    <w:rsid w:val="00E0416F"/>
    <w:rsid w:val="00E0423D"/>
    <w:rsid w:val="00E04361"/>
    <w:rsid w:val="00E044A9"/>
    <w:rsid w:val="00E044BA"/>
    <w:rsid w:val="00E047F3"/>
    <w:rsid w:val="00E04832"/>
    <w:rsid w:val="00E04A8A"/>
    <w:rsid w:val="00E04B84"/>
    <w:rsid w:val="00E04D19"/>
    <w:rsid w:val="00E050A0"/>
    <w:rsid w:val="00E050BA"/>
    <w:rsid w:val="00E050E4"/>
    <w:rsid w:val="00E05105"/>
    <w:rsid w:val="00E05DDF"/>
    <w:rsid w:val="00E05E46"/>
    <w:rsid w:val="00E06248"/>
    <w:rsid w:val="00E0634E"/>
    <w:rsid w:val="00E0655B"/>
    <w:rsid w:val="00E06721"/>
    <w:rsid w:val="00E068FB"/>
    <w:rsid w:val="00E06A53"/>
    <w:rsid w:val="00E06E08"/>
    <w:rsid w:val="00E06F70"/>
    <w:rsid w:val="00E06F73"/>
    <w:rsid w:val="00E06FE1"/>
    <w:rsid w:val="00E0720E"/>
    <w:rsid w:val="00E07434"/>
    <w:rsid w:val="00E074FB"/>
    <w:rsid w:val="00E07759"/>
    <w:rsid w:val="00E077DB"/>
    <w:rsid w:val="00E07859"/>
    <w:rsid w:val="00E078D9"/>
    <w:rsid w:val="00E07ACB"/>
    <w:rsid w:val="00E07C32"/>
    <w:rsid w:val="00E07E63"/>
    <w:rsid w:val="00E07F29"/>
    <w:rsid w:val="00E07F6A"/>
    <w:rsid w:val="00E10417"/>
    <w:rsid w:val="00E10BE7"/>
    <w:rsid w:val="00E111F6"/>
    <w:rsid w:val="00E1148E"/>
    <w:rsid w:val="00E1177F"/>
    <w:rsid w:val="00E11B2D"/>
    <w:rsid w:val="00E11E09"/>
    <w:rsid w:val="00E11E1A"/>
    <w:rsid w:val="00E11E42"/>
    <w:rsid w:val="00E12145"/>
    <w:rsid w:val="00E12341"/>
    <w:rsid w:val="00E12904"/>
    <w:rsid w:val="00E129B3"/>
    <w:rsid w:val="00E12A1A"/>
    <w:rsid w:val="00E12C08"/>
    <w:rsid w:val="00E12FA6"/>
    <w:rsid w:val="00E130C4"/>
    <w:rsid w:val="00E1317F"/>
    <w:rsid w:val="00E13476"/>
    <w:rsid w:val="00E135EA"/>
    <w:rsid w:val="00E138B3"/>
    <w:rsid w:val="00E13B09"/>
    <w:rsid w:val="00E13B83"/>
    <w:rsid w:val="00E13E63"/>
    <w:rsid w:val="00E14357"/>
    <w:rsid w:val="00E14440"/>
    <w:rsid w:val="00E14515"/>
    <w:rsid w:val="00E14661"/>
    <w:rsid w:val="00E14894"/>
    <w:rsid w:val="00E14A97"/>
    <w:rsid w:val="00E14AD3"/>
    <w:rsid w:val="00E14B8D"/>
    <w:rsid w:val="00E14BEE"/>
    <w:rsid w:val="00E14D03"/>
    <w:rsid w:val="00E1512C"/>
    <w:rsid w:val="00E1522A"/>
    <w:rsid w:val="00E152A8"/>
    <w:rsid w:val="00E152B7"/>
    <w:rsid w:val="00E15332"/>
    <w:rsid w:val="00E15863"/>
    <w:rsid w:val="00E15A62"/>
    <w:rsid w:val="00E15A84"/>
    <w:rsid w:val="00E15AAE"/>
    <w:rsid w:val="00E15AD3"/>
    <w:rsid w:val="00E16931"/>
    <w:rsid w:val="00E16B19"/>
    <w:rsid w:val="00E16CC5"/>
    <w:rsid w:val="00E16D0C"/>
    <w:rsid w:val="00E16ED0"/>
    <w:rsid w:val="00E16FCF"/>
    <w:rsid w:val="00E172D3"/>
    <w:rsid w:val="00E17730"/>
    <w:rsid w:val="00E178EA"/>
    <w:rsid w:val="00E17AFD"/>
    <w:rsid w:val="00E17B77"/>
    <w:rsid w:val="00E17C3D"/>
    <w:rsid w:val="00E17CEA"/>
    <w:rsid w:val="00E20079"/>
    <w:rsid w:val="00E2038E"/>
    <w:rsid w:val="00E204AE"/>
    <w:rsid w:val="00E206C2"/>
    <w:rsid w:val="00E20A0A"/>
    <w:rsid w:val="00E20B57"/>
    <w:rsid w:val="00E20DCA"/>
    <w:rsid w:val="00E20F3F"/>
    <w:rsid w:val="00E210E5"/>
    <w:rsid w:val="00E2154C"/>
    <w:rsid w:val="00E21606"/>
    <w:rsid w:val="00E21748"/>
    <w:rsid w:val="00E218B4"/>
    <w:rsid w:val="00E219BC"/>
    <w:rsid w:val="00E21A35"/>
    <w:rsid w:val="00E21A67"/>
    <w:rsid w:val="00E21C26"/>
    <w:rsid w:val="00E21DB5"/>
    <w:rsid w:val="00E222EF"/>
    <w:rsid w:val="00E2271C"/>
    <w:rsid w:val="00E2276D"/>
    <w:rsid w:val="00E2287F"/>
    <w:rsid w:val="00E22C77"/>
    <w:rsid w:val="00E23625"/>
    <w:rsid w:val="00E2368E"/>
    <w:rsid w:val="00E23910"/>
    <w:rsid w:val="00E23996"/>
    <w:rsid w:val="00E239CC"/>
    <w:rsid w:val="00E23CAE"/>
    <w:rsid w:val="00E24111"/>
    <w:rsid w:val="00E2426D"/>
    <w:rsid w:val="00E242B2"/>
    <w:rsid w:val="00E242E6"/>
    <w:rsid w:val="00E24551"/>
    <w:rsid w:val="00E245C3"/>
    <w:rsid w:val="00E246D8"/>
    <w:rsid w:val="00E247DF"/>
    <w:rsid w:val="00E24827"/>
    <w:rsid w:val="00E24B99"/>
    <w:rsid w:val="00E24E37"/>
    <w:rsid w:val="00E24F4A"/>
    <w:rsid w:val="00E25040"/>
    <w:rsid w:val="00E2510A"/>
    <w:rsid w:val="00E2513A"/>
    <w:rsid w:val="00E252F4"/>
    <w:rsid w:val="00E25398"/>
    <w:rsid w:val="00E25645"/>
    <w:rsid w:val="00E25810"/>
    <w:rsid w:val="00E25A52"/>
    <w:rsid w:val="00E25A7D"/>
    <w:rsid w:val="00E25B76"/>
    <w:rsid w:val="00E25B81"/>
    <w:rsid w:val="00E25D89"/>
    <w:rsid w:val="00E25DC4"/>
    <w:rsid w:val="00E25E77"/>
    <w:rsid w:val="00E26001"/>
    <w:rsid w:val="00E26216"/>
    <w:rsid w:val="00E263F5"/>
    <w:rsid w:val="00E2643C"/>
    <w:rsid w:val="00E264E8"/>
    <w:rsid w:val="00E265B5"/>
    <w:rsid w:val="00E268AA"/>
    <w:rsid w:val="00E268C1"/>
    <w:rsid w:val="00E26CBC"/>
    <w:rsid w:val="00E26DE2"/>
    <w:rsid w:val="00E26EC7"/>
    <w:rsid w:val="00E26FDB"/>
    <w:rsid w:val="00E2736C"/>
    <w:rsid w:val="00E273F0"/>
    <w:rsid w:val="00E27656"/>
    <w:rsid w:val="00E2767E"/>
    <w:rsid w:val="00E276C6"/>
    <w:rsid w:val="00E27964"/>
    <w:rsid w:val="00E279C6"/>
    <w:rsid w:val="00E27A3F"/>
    <w:rsid w:val="00E27D05"/>
    <w:rsid w:val="00E27F41"/>
    <w:rsid w:val="00E27FBE"/>
    <w:rsid w:val="00E303C9"/>
    <w:rsid w:val="00E306EB"/>
    <w:rsid w:val="00E3091F"/>
    <w:rsid w:val="00E30926"/>
    <w:rsid w:val="00E30CC7"/>
    <w:rsid w:val="00E30DDD"/>
    <w:rsid w:val="00E30E6D"/>
    <w:rsid w:val="00E3131A"/>
    <w:rsid w:val="00E3157C"/>
    <w:rsid w:val="00E316A8"/>
    <w:rsid w:val="00E31784"/>
    <w:rsid w:val="00E31D5C"/>
    <w:rsid w:val="00E31EFE"/>
    <w:rsid w:val="00E31FA5"/>
    <w:rsid w:val="00E3203A"/>
    <w:rsid w:val="00E322E2"/>
    <w:rsid w:val="00E32359"/>
    <w:rsid w:val="00E323AD"/>
    <w:rsid w:val="00E323DC"/>
    <w:rsid w:val="00E324D4"/>
    <w:rsid w:val="00E3257F"/>
    <w:rsid w:val="00E32595"/>
    <w:rsid w:val="00E325EC"/>
    <w:rsid w:val="00E328C3"/>
    <w:rsid w:val="00E32D7C"/>
    <w:rsid w:val="00E3315E"/>
    <w:rsid w:val="00E33350"/>
    <w:rsid w:val="00E33415"/>
    <w:rsid w:val="00E335CB"/>
    <w:rsid w:val="00E336C6"/>
    <w:rsid w:val="00E3396D"/>
    <w:rsid w:val="00E339E5"/>
    <w:rsid w:val="00E33A08"/>
    <w:rsid w:val="00E33A5C"/>
    <w:rsid w:val="00E33C7B"/>
    <w:rsid w:val="00E33D19"/>
    <w:rsid w:val="00E341A9"/>
    <w:rsid w:val="00E341AB"/>
    <w:rsid w:val="00E342E2"/>
    <w:rsid w:val="00E343DF"/>
    <w:rsid w:val="00E3472D"/>
    <w:rsid w:val="00E3483B"/>
    <w:rsid w:val="00E3497C"/>
    <w:rsid w:val="00E34A9D"/>
    <w:rsid w:val="00E34DDE"/>
    <w:rsid w:val="00E34E98"/>
    <w:rsid w:val="00E34EA9"/>
    <w:rsid w:val="00E34FC9"/>
    <w:rsid w:val="00E35022"/>
    <w:rsid w:val="00E3515B"/>
    <w:rsid w:val="00E35498"/>
    <w:rsid w:val="00E355A5"/>
    <w:rsid w:val="00E35712"/>
    <w:rsid w:val="00E35827"/>
    <w:rsid w:val="00E35863"/>
    <w:rsid w:val="00E35914"/>
    <w:rsid w:val="00E35A06"/>
    <w:rsid w:val="00E35D61"/>
    <w:rsid w:val="00E35F20"/>
    <w:rsid w:val="00E35F60"/>
    <w:rsid w:val="00E36110"/>
    <w:rsid w:val="00E361AF"/>
    <w:rsid w:val="00E36260"/>
    <w:rsid w:val="00E36279"/>
    <w:rsid w:val="00E364A8"/>
    <w:rsid w:val="00E36733"/>
    <w:rsid w:val="00E36CEB"/>
    <w:rsid w:val="00E36EAF"/>
    <w:rsid w:val="00E36F63"/>
    <w:rsid w:val="00E36F66"/>
    <w:rsid w:val="00E36FF7"/>
    <w:rsid w:val="00E372E6"/>
    <w:rsid w:val="00E3764E"/>
    <w:rsid w:val="00E3765A"/>
    <w:rsid w:val="00E37835"/>
    <w:rsid w:val="00E3796D"/>
    <w:rsid w:val="00E37971"/>
    <w:rsid w:val="00E37B58"/>
    <w:rsid w:val="00E37C0D"/>
    <w:rsid w:val="00E37D8D"/>
    <w:rsid w:val="00E37DD4"/>
    <w:rsid w:val="00E37F2F"/>
    <w:rsid w:val="00E37FDE"/>
    <w:rsid w:val="00E40220"/>
    <w:rsid w:val="00E4038A"/>
    <w:rsid w:val="00E40555"/>
    <w:rsid w:val="00E4074B"/>
    <w:rsid w:val="00E40862"/>
    <w:rsid w:val="00E40CE1"/>
    <w:rsid w:val="00E40DC8"/>
    <w:rsid w:val="00E4104F"/>
    <w:rsid w:val="00E411DD"/>
    <w:rsid w:val="00E41202"/>
    <w:rsid w:val="00E4124B"/>
    <w:rsid w:val="00E412E5"/>
    <w:rsid w:val="00E41321"/>
    <w:rsid w:val="00E417AE"/>
    <w:rsid w:val="00E417E1"/>
    <w:rsid w:val="00E4188A"/>
    <w:rsid w:val="00E41E54"/>
    <w:rsid w:val="00E41F30"/>
    <w:rsid w:val="00E41F3B"/>
    <w:rsid w:val="00E421C9"/>
    <w:rsid w:val="00E4230B"/>
    <w:rsid w:val="00E424AC"/>
    <w:rsid w:val="00E4265B"/>
    <w:rsid w:val="00E42695"/>
    <w:rsid w:val="00E4269F"/>
    <w:rsid w:val="00E427BE"/>
    <w:rsid w:val="00E42848"/>
    <w:rsid w:val="00E42CC7"/>
    <w:rsid w:val="00E430BB"/>
    <w:rsid w:val="00E430DE"/>
    <w:rsid w:val="00E431C4"/>
    <w:rsid w:val="00E43316"/>
    <w:rsid w:val="00E4337B"/>
    <w:rsid w:val="00E4340B"/>
    <w:rsid w:val="00E4341B"/>
    <w:rsid w:val="00E43642"/>
    <w:rsid w:val="00E43759"/>
    <w:rsid w:val="00E4394F"/>
    <w:rsid w:val="00E43A7A"/>
    <w:rsid w:val="00E43BFA"/>
    <w:rsid w:val="00E43CDB"/>
    <w:rsid w:val="00E43D4D"/>
    <w:rsid w:val="00E43FDF"/>
    <w:rsid w:val="00E44164"/>
    <w:rsid w:val="00E442D3"/>
    <w:rsid w:val="00E44385"/>
    <w:rsid w:val="00E445E7"/>
    <w:rsid w:val="00E4463C"/>
    <w:rsid w:val="00E446F3"/>
    <w:rsid w:val="00E44755"/>
    <w:rsid w:val="00E44A36"/>
    <w:rsid w:val="00E44D9D"/>
    <w:rsid w:val="00E4528C"/>
    <w:rsid w:val="00E45439"/>
    <w:rsid w:val="00E45641"/>
    <w:rsid w:val="00E45A30"/>
    <w:rsid w:val="00E45A9C"/>
    <w:rsid w:val="00E45AF7"/>
    <w:rsid w:val="00E45B57"/>
    <w:rsid w:val="00E45D3F"/>
    <w:rsid w:val="00E45DFE"/>
    <w:rsid w:val="00E45FB9"/>
    <w:rsid w:val="00E46081"/>
    <w:rsid w:val="00E4634B"/>
    <w:rsid w:val="00E4638B"/>
    <w:rsid w:val="00E46411"/>
    <w:rsid w:val="00E464F7"/>
    <w:rsid w:val="00E46B02"/>
    <w:rsid w:val="00E46B86"/>
    <w:rsid w:val="00E46C6F"/>
    <w:rsid w:val="00E46D12"/>
    <w:rsid w:val="00E46D64"/>
    <w:rsid w:val="00E46D84"/>
    <w:rsid w:val="00E46DE8"/>
    <w:rsid w:val="00E47091"/>
    <w:rsid w:val="00E4721E"/>
    <w:rsid w:val="00E474EF"/>
    <w:rsid w:val="00E4769C"/>
    <w:rsid w:val="00E47994"/>
    <w:rsid w:val="00E47C34"/>
    <w:rsid w:val="00E50113"/>
    <w:rsid w:val="00E5015B"/>
    <w:rsid w:val="00E50374"/>
    <w:rsid w:val="00E50431"/>
    <w:rsid w:val="00E50A4E"/>
    <w:rsid w:val="00E50AE4"/>
    <w:rsid w:val="00E50C5D"/>
    <w:rsid w:val="00E50C9F"/>
    <w:rsid w:val="00E50EE7"/>
    <w:rsid w:val="00E512B7"/>
    <w:rsid w:val="00E5182C"/>
    <w:rsid w:val="00E519A6"/>
    <w:rsid w:val="00E51E60"/>
    <w:rsid w:val="00E51E9A"/>
    <w:rsid w:val="00E51F52"/>
    <w:rsid w:val="00E52127"/>
    <w:rsid w:val="00E5218B"/>
    <w:rsid w:val="00E524C9"/>
    <w:rsid w:val="00E52648"/>
    <w:rsid w:val="00E528F2"/>
    <w:rsid w:val="00E52AD1"/>
    <w:rsid w:val="00E52C78"/>
    <w:rsid w:val="00E52D2C"/>
    <w:rsid w:val="00E52D33"/>
    <w:rsid w:val="00E52E29"/>
    <w:rsid w:val="00E52F06"/>
    <w:rsid w:val="00E52FDE"/>
    <w:rsid w:val="00E53162"/>
    <w:rsid w:val="00E535C6"/>
    <w:rsid w:val="00E537DA"/>
    <w:rsid w:val="00E53A72"/>
    <w:rsid w:val="00E53B9C"/>
    <w:rsid w:val="00E53CC3"/>
    <w:rsid w:val="00E53CD3"/>
    <w:rsid w:val="00E53CDF"/>
    <w:rsid w:val="00E54136"/>
    <w:rsid w:val="00E54258"/>
    <w:rsid w:val="00E545B0"/>
    <w:rsid w:val="00E54643"/>
    <w:rsid w:val="00E54724"/>
    <w:rsid w:val="00E54A69"/>
    <w:rsid w:val="00E54CEE"/>
    <w:rsid w:val="00E55539"/>
    <w:rsid w:val="00E55D1C"/>
    <w:rsid w:val="00E55F42"/>
    <w:rsid w:val="00E56140"/>
    <w:rsid w:val="00E564E7"/>
    <w:rsid w:val="00E56796"/>
    <w:rsid w:val="00E567E1"/>
    <w:rsid w:val="00E56876"/>
    <w:rsid w:val="00E57068"/>
    <w:rsid w:val="00E573D9"/>
    <w:rsid w:val="00E57468"/>
    <w:rsid w:val="00E57602"/>
    <w:rsid w:val="00E576B6"/>
    <w:rsid w:val="00E579B9"/>
    <w:rsid w:val="00E57A1D"/>
    <w:rsid w:val="00E57B1A"/>
    <w:rsid w:val="00E57E1F"/>
    <w:rsid w:val="00E57FF1"/>
    <w:rsid w:val="00E600A5"/>
    <w:rsid w:val="00E60205"/>
    <w:rsid w:val="00E6033C"/>
    <w:rsid w:val="00E60466"/>
    <w:rsid w:val="00E606C3"/>
    <w:rsid w:val="00E60A2B"/>
    <w:rsid w:val="00E60BCB"/>
    <w:rsid w:val="00E60D24"/>
    <w:rsid w:val="00E60D3D"/>
    <w:rsid w:val="00E60DA7"/>
    <w:rsid w:val="00E60E8B"/>
    <w:rsid w:val="00E60ED2"/>
    <w:rsid w:val="00E61277"/>
    <w:rsid w:val="00E61473"/>
    <w:rsid w:val="00E614D6"/>
    <w:rsid w:val="00E61526"/>
    <w:rsid w:val="00E6157C"/>
    <w:rsid w:val="00E61587"/>
    <w:rsid w:val="00E618BF"/>
    <w:rsid w:val="00E61D3A"/>
    <w:rsid w:val="00E61FC5"/>
    <w:rsid w:val="00E622EE"/>
    <w:rsid w:val="00E622F7"/>
    <w:rsid w:val="00E624E4"/>
    <w:rsid w:val="00E625FF"/>
    <w:rsid w:val="00E62916"/>
    <w:rsid w:val="00E62B8A"/>
    <w:rsid w:val="00E62BBC"/>
    <w:rsid w:val="00E62E8F"/>
    <w:rsid w:val="00E632A7"/>
    <w:rsid w:val="00E63702"/>
    <w:rsid w:val="00E63833"/>
    <w:rsid w:val="00E63846"/>
    <w:rsid w:val="00E63994"/>
    <w:rsid w:val="00E63D12"/>
    <w:rsid w:val="00E63D95"/>
    <w:rsid w:val="00E63E34"/>
    <w:rsid w:val="00E63FE4"/>
    <w:rsid w:val="00E642A4"/>
    <w:rsid w:val="00E64409"/>
    <w:rsid w:val="00E64489"/>
    <w:rsid w:val="00E644B4"/>
    <w:rsid w:val="00E646F4"/>
    <w:rsid w:val="00E64850"/>
    <w:rsid w:val="00E64AB9"/>
    <w:rsid w:val="00E64BC7"/>
    <w:rsid w:val="00E64C69"/>
    <w:rsid w:val="00E64D5C"/>
    <w:rsid w:val="00E64EA1"/>
    <w:rsid w:val="00E64F9F"/>
    <w:rsid w:val="00E651DC"/>
    <w:rsid w:val="00E652C1"/>
    <w:rsid w:val="00E653F8"/>
    <w:rsid w:val="00E65524"/>
    <w:rsid w:val="00E656AE"/>
    <w:rsid w:val="00E65706"/>
    <w:rsid w:val="00E65971"/>
    <w:rsid w:val="00E65F59"/>
    <w:rsid w:val="00E662C3"/>
    <w:rsid w:val="00E6630F"/>
    <w:rsid w:val="00E6649A"/>
    <w:rsid w:val="00E6652B"/>
    <w:rsid w:val="00E665CB"/>
    <w:rsid w:val="00E6663C"/>
    <w:rsid w:val="00E6666A"/>
    <w:rsid w:val="00E667A2"/>
    <w:rsid w:val="00E66B3E"/>
    <w:rsid w:val="00E66B94"/>
    <w:rsid w:val="00E66EBE"/>
    <w:rsid w:val="00E66F72"/>
    <w:rsid w:val="00E670D7"/>
    <w:rsid w:val="00E671AB"/>
    <w:rsid w:val="00E671F2"/>
    <w:rsid w:val="00E67227"/>
    <w:rsid w:val="00E67779"/>
    <w:rsid w:val="00E67A91"/>
    <w:rsid w:val="00E67BA4"/>
    <w:rsid w:val="00E67E19"/>
    <w:rsid w:val="00E67E2B"/>
    <w:rsid w:val="00E67F82"/>
    <w:rsid w:val="00E7004B"/>
    <w:rsid w:val="00E702F4"/>
    <w:rsid w:val="00E70593"/>
    <w:rsid w:val="00E7073F"/>
    <w:rsid w:val="00E70D41"/>
    <w:rsid w:val="00E70DBA"/>
    <w:rsid w:val="00E70DDB"/>
    <w:rsid w:val="00E70EE1"/>
    <w:rsid w:val="00E71020"/>
    <w:rsid w:val="00E711BB"/>
    <w:rsid w:val="00E71207"/>
    <w:rsid w:val="00E7133B"/>
    <w:rsid w:val="00E71499"/>
    <w:rsid w:val="00E7162C"/>
    <w:rsid w:val="00E7179E"/>
    <w:rsid w:val="00E71820"/>
    <w:rsid w:val="00E71A16"/>
    <w:rsid w:val="00E71D8A"/>
    <w:rsid w:val="00E7204E"/>
    <w:rsid w:val="00E7215F"/>
    <w:rsid w:val="00E726E9"/>
    <w:rsid w:val="00E72975"/>
    <w:rsid w:val="00E72C7E"/>
    <w:rsid w:val="00E72DC6"/>
    <w:rsid w:val="00E72E1A"/>
    <w:rsid w:val="00E72F58"/>
    <w:rsid w:val="00E73101"/>
    <w:rsid w:val="00E732CA"/>
    <w:rsid w:val="00E73810"/>
    <w:rsid w:val="00E738F5"/>
    <w:rsid w:val="00E73D60"/>
    <w:rsid w:val="00E73D80"/>
    <w:rsid w:val="00E73D90"/>
    <w:rsid w:val="00E740FC"/>
    <w:rsid w:val="00E74389"/>
    <w:rsid w:val="00E7447E"/>
    <w:rsid w:val="00E744F2"/>
    <w:rsid w:val="00E745C4"/>
    <w:rsid w:val="00E746BB"/>
    <w:rsid w:val="00E74827"/>
    <w:rsid w:val="00E74F8E"/>
    <w:rsid w:val="00E75478"/>
    <w:rsid w:val="00E7551D"/>
    <w:rsid w:val="00E7552D"/>
    <w:rsid w:val="00E756D0"/>
    <w:rsid w:val="00E75A6B"/>
    <w:rsid w:val="00E75CEE"/>
    <w:rsid w:val="00E75D95"/>
    <w:rsid w:val="00E75ED5"/>
    <w:rsid w:val="00E75FDD"/>
    <w:rsid w:val="00E76080"/>
    <w:rsid w:val="00E7662C"/>
    <w:rsid w:val="00E766CB"/>
    <w:rsid w:val="00E7673A"/>
    <w:rsid w:val="00E768C1"/>
    <w:rsid w:val="00E76969"/>
    <w:rsid w:val="00E76B67"/>
    <w:rsid w:val="00E76BA5"/>
    <w:rsid w:val="00E76F40"/>
    <w:rsid w:val="00E771A9"/>
    <w:rsid w:val="00E771FC"/>
    <w:rsid w:val="00E7747E"/>
    <w:rsid w:val="00E77655"/>
    <w:rsid w:val="00E776A8"/>
    <w:rsid w:val="00E77942"/>
    <w:rsid w:val="00E77B2A"/>
    <w:rsid w:val="00E80011"/>
    <w:rsid w:val="00E80235"/>
    <w:rsid w:val="00E80260"/>
    <w:rsid w:val="00E80340"/>
    <w:rsid w:val="00E80356"/>
    <w:rsid w:val="00E803A1"/>
    <w:rsid w:val="00E806A0"/>
    <w:rsid w:val="00E80870"/>
    <w:rsid w:val="00E80AE8"/>
    <w:rsid w:val="00E80BB8"/>
    <w:rsid w:val="00E80C03"/>
    <w:rsid w:val="00E80F77"/>
    <w:rsid w:val="00E810B4"/>
    <w:rsid w:val="00E811CF"/>
    <w:rsid w:val="00E814C4"/>
    <w:rsid w:val="00E81766"/>
    <w:rsid w:val="00E817B4"/>
    <w:rsid w:val="00E81922"/>
    <w:rsid w:val="00E81B9F"/>
    <w:rsid w:val="00E81C5C"/>
    <w:rsid w:val="00E81EDC"/>
    <w:rsid w:val="00E81F1C"/>
    <w:rsid w:val="00E81F24"/>
    <w:rsid w:val="00E81F49"/>
    <w:rsid w:val="00E820D1"/>
    <w:rsid w:val="00E82345"/>
    <w:rsid w:val="00E824BF"/>
    <w:rsid w:val="00E824E6"/>
    <w:rsid w:val="00E825D6"/>
    <w:rsid w:val="00E82697"/>
    <w:rsid w:val="00E82783"/>
    <w:rsid w:val="00E828DE"/>
    <w:rsid w:val="00E82B07"/>
    <w:rsid w:val="00E82CA8"/>
    <w:rsid w:val="00E82D8B"/>
    <w:rsid w:val="00E82E93"/>
    <w:rsid w:val="00E83033"/>
    <w:rsid w:val="00E83202"/>
    <w:rsid w:val="00E833DC"/>
    <w:rsid w:val="00E83426"/>
    <w:rsid w:val="00E83524"/>
    <w:rsid w:val="00E83720"/>
    <w:rsid w:val="00E83965"/>
    <w:rsid w:val="00E83CBB"/>
    <w:rsid w:val="00E83ECC"/>
    <w:rsid w:val="00E83FD0"/>
    <w:rsid w:val="00E849A1"/>
    <w:rsid w:val="00E849EC"/>
    <w:rsid w:val="00E84A43"/>
    <w:rsid w:val="00E84DB2"/>
    <w:rsid w:val="00E84EB9"/>
    <w:rsid w:val="00E84FD8"/>
    <w:rsid w:val="00E85038"/>
    <w:rsid w:val="00E8518E"/>
    <w:rsid w:val="00E8521C"/>
    <w:rsid w:val="00E85220"/>
    <w:rsid w:val="00E8526D"/>
    <w:rsid w:val="00E854AE"/>
    <w:rsid w:val="00E856F7"/>
    <w:rsid w:val="00E8577E"/>
    <w:rsid w:val="00E85C0B"/>
    <w:rsid w:val="00E85C2F"/>
    <w:rsid w:val="00E85CD3"/>
    <w:rsid w:val="00E8608D"/>
    <w:rsid w:val="00E86165"/>
    <w:rsid w:val="00E864D4"/>
    <w:rsid w:val="00E86507"/>
    <w:rsid w:val="00E869A6"/>
    <w:rsid w:val="00E86A22"/>
    <w:rsid w:val="00E86BF9"/>
    <w:rsid w:val="00E86C7F"/>
    <w:rsid w:val="00E86DA8"/>
    <w:rsid w:val="00E86E12"/>
    <w:rsid w:val="00E86E28"/>
    <w:rsid w:val="00E86F93"/>
    <w:rsid w:val="00E87527"/>
    <w:rsid w:val="00E875C8"/>
    <w:rsid w:val="00E87623"/>
    <w:rsid w:val="00E8780B"/>
    <w:rsid w:val="00E87899"/>
    <w:rsid w:val="00E879CE"/>
    <w:rsid w:val="00E87ABF"/>
    <w:rsid w:val="00E87DA9"/>
    <w:rsid w:val="00E9013F"/>
    <w:rsid w:val="00E903E8"/>
    <w:rsid w:val="00E907CF"/>
    <w:rsid w:val="00E907E2"/>
    <w:rsid w:val="00E90899"/>
    <w:rsid w:val="00E908F5"/>
    <w:rsid w:val="00E90A72"/>
    <w:rsid w:val="00E90ADF"/>
    <w:rsid w:val="00E90B51"/>
    <w:rsid w:val="00E90B6E"/>
    <w:rsid w:val="00E90C1F"/>
    <w:rsid w:val="00E90CFD"/>
    <w:rsid w:val="00E90EFC"/>
    <w:rsid w:val="00E90FE4"/>
    <w:rsid w:val="00E9105F"/>
    <w:rsid w:val="00E910DA"/>
    <w:rsid w:val="00E910E4"/>
    <w:rsid w:val="00E911FE"/>
    <w:rsid w:val="00E913AF"/>
    <w:rsid w:val="00E915E2"/>
    <w:rsid w:val="00E92167"/>
    <w:rsid w:val="00E9256C"/>
    <w:rsid w:val="00E9264E"/>
    <w:rsid w:val="00E92816"/>
    <w:rsid w:val="00E9289F"/>
    <w:rsid w:val="00E92A9C"/>
    <w:rsid w:val="00E92BBF"/>
    <w:rsid w:val="00E92BDD"/>
    <w:rsid w:val="00E92BE6"/>
    <w:rsid w:val="00E92C03"/>
    <w:rsid w:val="00E92C33"/>
    <w:rsid w:val="00E92DA5"/>
    <w:rsid w:val="00E93101"/>
    <w:rsid w:val="00E93104"/>
    <w:rsid w:val="00E931C9"/>
    <w:rsid w:val="00E9327E"/>
    <w:rsid w:val="00E93417"/>
    <w:rsid w:val="00E93587"/>
    <w:rsid w:val="00E93858"/>
    <w:rsid w:val="00E9396F"/>
    <w:rsid w:val="00E93A76"/>
    <w:rsid w:val="00E93BA2"/>
    <w:rsid w:val="00E93C7A"/>
    <w:rsid w:val="00E93CA8"/>
    <w:rsid w:val="00E93CB5"/>
    <w:rsid w:val="00E93CE3"/>
    <w:rsid w:val="00E93D00"/>
    <w:rsid w:val="00E93D6D"/>
    <w:rsid w:val="00E93E59"/>
    <w:rsid w:val="00E940D4"/>
    <w:rsid w:val="00E94252"/>
    <w:rsid w:val="00E94283"/>
    <w:rsid w:val="00E942A2"/>
    <w:rsid w:val="00E9436D"/>
    <w:rsid w:val="00E943C7"/>
    <w:rsid w:val="00E94658"/>
    <w:rsid w:val="00E94675"/>
    <w:rsid w:val="00E9481F"/>
    <w:rsid w:val="00E94C85"/>
    <w:rsid w:val="00E94EC1"/>
    <w:rsid w:val="00E951DE"/>
    <w:rsid w:val="00E952D6"/>
    <w:rsid w:val="00E953EA"/>
    <w:rsid w:val="00E9545D"/>
    <w:rsid w:val="00E95869"/>
    <w:rsid w:val="00E959E1"/>
    <w:rsid w:val="00E95CE5"/>
    <w:rsid w:val="00E95D53"/>
    <w:rsid w:val="00E9601D"/>
    <w:rsid w:val="00E96104"/>
    <w:rsid w:val="00E96272"/>
    <w:rsid w:val="00E96412"/>
    <w:rsid w:val="00E964C3"/>
    <w:rsid w:val="00E966AF"/>
    <w:rsid w:val="00E9671B"/>
    <w:rsid w:val="00E96781"/>
    <w:rsid w:val="00E9679E"/>
    <w:rsid w:val="00E967E6"/>
    <w:rsid w:val="00E96BA8"/>
    <w:rsid w:val="00E96C93"/>
    <w:rsid w:val="00E96FDD"/>
    <w:rsid w:val="00E97044"/>
    <w:rsid w:val="00E97399"/>
    <w:rsid w:val="00E973BF"/>
    <w:rsid w:val="00E9740F"/>
    <w:rsid w:val="00E97480"/>
    <w:rsid w:val="00E975A1"/>
    <w:rsid w:val="00E975EF"/>
    <w:rsid w:val="00E9777D"/>
    <w:rsid w:val="00E9781F"/>
    <w:rsid w:val="00E9791D"/>
    <w:rsid w:val="00E97BE9"/>
    <w:rsid w:val="00E97D12"/>
    <w:rsid w:val="00E97EC1"/>
    <w:rsid w:val="00EA018E"/>
    <w:rsid w:val="00EA01EE"/>
    <w:rsid w:val="00EA02FE"/>
    <w:rsid w:val="00EA04D4"/>
    <w:rsid w:val="00EA0662"/>
    <w:rsid w:val="00EA09F5"/>
    <w:rsid w:val="00EA0AEE"/>
    <w:rsid w:val="00EA1011"/>
    <w:rsid w:val="00EA1049"/>
    <w:rsid w:val="00EA129F"/>
    <w:rsid w:val="00EA13A5"/>
    <w:rsid w:val="00EA1960"/>
    <w:rsid w:val="00EA1C8F"/>
    <w:rsid w:val="00EA1DAC"/>
    <w:rsid w:val="00EA1E4D"/>
    <w:rsid w:val="00EA1E69"/>
    <w:rsid w:val="00EA1EC6"/>
    <w:rsid w:val="00EA1EE0"/>
    <w:rsid w:val="00EA1EE6"/>
    <w:rsid w:val="00EA1F34"/>
    <w:rsid w:val="00EA21CA"/>
    <w:rsid w:val="00EA21E5"/>
    <w:rsid w:val="00EA2626"/>
    <w:rsid w:val="00EA2D97"/>
    <w:rsid w:val="00EA31D0"/>
    <w:rsid w:val="00EA32CE"/>
    <w:rsid w:val="00EA344A"/>
    <w:rsid w:val="00EA38EF"/>
    <w:rsid w:val="00EA3B22"/>
    <w:rsid w:val="00EA40A7"/>
    <w:rsid w:val="00EA4283"/>
    <w:rsid w:val="00EA4565"/>
    <w:rsid w:val="00EA4610"/>
    <w:rsid w:val="00EA4742"/>
    <w:rsid w:val="00EA47CA"/>
    <w:rsid w:val="00EA47E8"/>
    <w:rsid w:val="00EA482D"/>
    <w:rsid w:val="00EA4872"/>
    <w:rsid w:val="00EA4A8C"/>
    <w:rsid w:val="00EA4BF6"/>
    <w:rsid w:val="00EA4C9B"/>
    <w:rsid w:val="00EA50D0"/>
    <w:rsid w:val="00EA525D"/>
    <w:rsid w:val="00EA52B9"/>
    <w:rsid w:val="00EA557A"/>
    <w:rsid w:val="00EA617D"/>
    <w:rsid w:val="00EA61AC"/>
    <w:rsid w:val="00EA61B4"/>
    <w:rsid w:val="00EA61F7"/>
    <w:rsid w:val="00EA6543"/>
    <w:rsid w:val="00EA659E"/>
    <w:rsid w:val="00EA69BD"/>
    <w:rsid w:val="00EA6C6F"/>
    <w:rsid w:val="00EA6D7B"/>
    <w:rsid w:val="00EA73FE"/>
    <w:rsid w:val="00EA7421"/>
    <w:rsid w:val="00EA751F"/>
    <w:rsid w:val="00EA76DE"/>
    <w:rsid w:val="00EA7844"/>
    <w:rsid w:val="00EA7967"/>
    <w:rsid w:val="00EA7A92"/>
    <w:rsid w:val="00EA7B33"/>
    <w:rsid w:val="00EA7C85"/>
    <w:rsid w:val="00EA7DF0"/>
    <w:rsid w:val="00EB0006"/>
    <w:rsid w:val="00EB0108"/>
    <w:rsid w:val="00EB010C"/>
    <w:rsid w:val="00EB0264"/>
    <w:rsid w:val="00EB028E"/>
    <w:rsid w:val="00EB0720"/>
    <w:rsid w:val="00EB09CA"/>
    <w:rsid w:val="00EB0ACB"/>
    <w:rsid w:val="00EB0AE5"/>
    <w:rsid w:val="00EB0BA0"/>
    <w:rsid w:val="00EB0F79"/>
    <w:rsid w:val="00EB11EB"/>
    <w:rsid w:val="00EB124D"/>
    <w:rsid w:val="00EB1544"/>
    <w:rsid w:val="00EB1DE6"/>
    <w:rsid w:val="00EB20A6"/>
    <w:rsid w:val="00EB217A"/>
    <w:rsid w:val="00EB21AC"/>
    <w:rsid w:val="00EB21C3"/>
    <w:rsid w:val="00EB2306"/>
    <w:rsid w:val="00EB2792"/>
    <w:rsid w:val="00EB29B8"/>
    <w:rsid w:val="00EB2BCF"/>
    <w:rsid w:val="00EB2DF2"/>
    <w:rsid w:val="00EB2F2A"/>
    <w:rsid w:val="00EB3064"/>
    <w:rsid w:val="00EB3082"/>
    <w:rsid w:val="00EB30E1"/>
    <w:rsid w:val="00EB31E6"/>
    <w:rsid w:val="00EB3221"/>
    <w:rsid w:val="00EB327F"/>
    <w:rsid w:val="00EB3284"/>
    <w:rsid w:val="00EB3316"/>
    <w:rsid w:val="00EB3457"/>
    <w:rsid w:val="00EB34B5"/>
    <w:rsid w:val="00EB384A"/>
    <w:rsid w:val="00EB3CC0"/>
    <w:rsid w:val="00EB3D4C"/>
    <w:rsid w:val="00EB3DB6"/>
    <w:rsid w:val="00EB3E14"/>
    <w:rsid w:val="00EB3F11"/>
    <w:rsid w:val="00EB3F3C"/>
    <w:rsid w:val="00EB427C"/>
    <w:rsid w:val="00EB42B2"/>
    <w:rsid w:val="00EB4452"/>
    <w:rsid w:val="00EB452D"/>
    <w:rsid w:val="00EB452F"/>
    <w:rsid w:val="00EB4873"/>
    <w:rsid w:val="00EB4923"/>
    <w:rsid w:val="00EB4BB0"/>
    <w:rsid w:val="00EB4BB9"/>
    <w:rsid w:val="00EB4D65"/>
    <w:rsid w:val="00EB5259"/>
    <w:rsid w:val="00EB52F8"/>
    <w:rsid w:val="00EB53AB"/>
    <w:rsid w:val="00EB5742"/>
    <w:rsid w:val="00EB5971"/>
    <w:rsid w:val="00EB59E3"/>
    <w:rsid w:val="00EB5A85"/>
    <w:rsid w:val="00EB5BE4"/>
    <w:rsid w:val="00EB5C30"/>
    <w:rsid w:val="00EB60EE"/>
    <w:rsid w:val="00EB6107"/>
    <w:rsid w:val="00EB6219"/>
    <w:rsid w:val="00EB62DE"/>
    <w:rsid w:val="00EB66F8"/>
    <w:rsid w:val="00EB6B97"/>
    <w:rsid w:val="00EB6BB1"/>
    <w:rsid w:val="00EB6C07"/>
    <w:rsid w:val="00EB6C80"/>
    <w:rsid w:val="00EB6DE3"/>
    <w:rsid w:val="00EB71EE"/>
    <w:rsid w:val="00EB7264"/>
    <w:rsid w:val="00EB7889"/>
    <w:rsid w:val="00EB797A"/>
    <w:rsid w:val="00EB7EBF"/>
    <w:rsid w:val="00EB7FD8"/>
    <w:rsid w:val="00EC02C2"/>
    <w:rsid w:val="00EC0575"/>
    <w:rsid w:val="00EC05B9"/>
    <w:rsid w:val="00EC066E"/>
    <w:rsid w:val="00EC06F9"/>
    <w:rsid w:val="00EC07D6"/>
    <w:rsid w:val="00EC07DE"/>
    <w:rsid w:val="00EC0A8C"/>
    <w:rsid w:val="00EC0AD0"/>
    <w:rsid w:val="00EC0C80"/>
    <w:rsid w:val="00EC10F9"/>
    <w:rsid w:val="00EC1153"/>
    <w:rsid w:val="00EC1258"/>
    <w:rsid w:val="00EC12BF"/>
    <w:rsid w:val="00EC134D"/>
    <w:rsid w:val="00EC142E"/>
    <w:rsid w:val="00EC1694"/>
    <w:rsid w:val="00EC196E"/>
    <w:rsid w:val="00EC19FB"/>
    <w:rsid w:val="00EC1A04"/>
    <w:rsid w:val="00EC1A4B"/>
    <w:rsid w:val="00EC1AE0"/>
    <w:rsid w:val="00EC1B56"/>
    <w:rsid w:val="00EC1ED7"/>
    <w:rsid w:val="00EC2200"/>
    <w:rsid w:val="00EC254E"/>
    <w:rsid w:val="00EC26CE"/>
    <w:rsid w:val="00EC2896"/>
    <w:rsid w:val="00EC28D5"/>
    <w:rsid w:val="00EC2C36"/>
    <w:rsid w:val="00EC2CE5"/>
    <w:rsid w:val="00EC2CE8"/>
    <w:rsid w:val="00EC2D98"/>
    <w:rsid w:val="00EC3351"/>
    <w:rsid w:val="00EC33D7"/>
    <w:rsid w:val="00EC34C7"/>
    <w:rsid w:val="00EC35A9"/>
    <w:rsid w:val="00EC35CD"/>
    <w:rsid w:val="00EC3CA5"/>
    <w:rsid w:val="00EC3D1B"/>
    <w:rsid w:val="00EC3D93"/>
    <w:rsid w:val="00EC3F58"/>
    <w:rsid w:val="00EC409E"/>
    <w:rsid w:val="00EC420B"/>
    <w:rsid w:val="00EC4288"/>
    <w:rsid w:val="00EC42F0"/>
    <w:rsid w:val="00EC47CC"/>
    <w:rsid w:val="00EC47CD"/>
    <w:rsid w:val="00EC51A0"/>
    <w:rsid w:val="00EC51B2"/>
    <w:rsid w:val="00EC5D2E"/>
    <w:rsid w:val="00EC5DE2"/>
    <w:rsid w:val="00EC5DF3"/>
    <w:rsid w:val="00EC5FFA"/>
    <w:rsid w:val="00EC61FB"/>
    <w:rsid w:val="00EC639D"/>
    <w:rsid w:val="00EC6560"/>
    <w:rsid w:val="00EC6BBF"/>
    <w:rsid w:val="00EC6C43"/>
    <w:rsid w:val="00EC6F62"/>
    <w:rsid w:val="00EC7206"/>
    <w:rsid w:val="00EC7314"/>
    <w:rsid w:val="00EC7432"/>
    <w:rsid w:val="00EC75A5"/>
    <w:rsid w:val="00EC75BC"/>
    <w:rsid w:val="00EC75E2"/>
    <w:rsid w:val="00EC76A1"/>
    <w:rsid w:val="00EC7849"/>
    <w:rsid w:val="00EC78B8"/>
    <w:rsid w:val="00EC7923"/>
    <w:rsid w:val="00EC7AD9"/>
    <w:rsid w:val="00EC7B40"/>
    <w:rsid w:val="00EC7B94"/>
    <w:rsid w:val="00EC7BF9"/>
    <w:rsid w:val="00EC7C46"/>
    <w:rsid w:val="00ED00E7"/>
    <w:rsid w:val="00ED0124"/>
    <w:rsid w:val="00ED02CD"/>
    <w:rsid w:val="00ED031E"/>
    <w:rsid w:val="00ED079B"/>
    <w:rsid w:val="00ED0879"/>
    <w:rsid w:val="00ED08BC"/>
    <w:rsid w:val="00ED09B5"/>
    <w:rsid w:val="00ED0BE4"/>
    <w:rsid w:val="00ED1383"/>
    <w:rsid w:val="00ED1472"/>
    <w:rsid w:val="00ED1521"/>
    <w:rsid w:val="00ED19AA"/>
    <w:rsid w:val="00ED19E8"/>
    <w:rsid w:val="00ED1A7C"/>
    <w:rsid w:val="00ED1AC2"/>
    <w:rsid w:val="00ED1B13"/>
    <w:rsid w:val="00ED1CA7"/>
    <w:rsid w:val="00ED1D5C"/>
    <w:rsid w:val="00ED1FCB"/>
    <w:rsid w:val="00ED22DF"/>
    <w:rsid w:val="00ED2593"/>
    <w:rsid w:val="00ED276F"/>
    <w:rsid w:val="00ED28B0"/>
    <w:rsid w:val="00ED2AA2"/>
    <w:rsid w:val="00ED2B4B"/>
    <w:rsid w:val="00ED2FDC"/>
    <w:rsid w:val="00ED3238"/>
    <w:rsid w:val="00ED32F6"/>
    <w:rsid w:val="00ED36D7"/>
    <w:rsid w:val="00ED3F4A"/>
    <w:rsid w:val="00ED421D"/>
    <w:rsid w:val="00ED42BD"/>
    <w:rsid w:val="00ED437F"/>
    <w:rsid w:val="00ED43F0"/>
    <w:rsid w:val="00ED4445"/>
    <w:rsid w:val="00ED449A"/>
    <w:rsid w:val="00ED45EA"/>
    <w:rsid w:val="00ED47EE"/>
    <w:rsid w:val="00ED4851"/>
    <w:rsid w:val="00ED4A19"/>
    <w:rsid w:val="00ED4A27"/>
    <w:rsid w:val="00ED4B87"/>
    <w:rsid w:val="00ED4F5A"/>
    <w:rsid w:val="00ED4F8B"/>
    <w:rsid w:val="00ED50AD"/>
    <w:rsid w:val="00ED53EA"/>
    <w:rsid w:val="00ED546E"/>
    <w:rsid w:val="00ED55EA"/>
    <w:rsid w:val="00ED55FE"/>
    <w:rsid w:val="00ED57A6"/>
    <w:rsid w:val="00ED57FD"/>
    <w:rsid w:val="00ED5B46"/>
    <w:rsid w:val="00ED5C4E"/>
    <w:rsid w:val="00ED5DAB"/>
    <w:rsid w:val="00ED5E8E"/>
    <w:rsid w:val="00ED5EF0"/>
    <w:rsid w:val="00ED6033"/>
    <w:rsid w:val="00ED60B7"/>
    <w:rsid w:val="00ED6293"/>
    <w:rsid w:val="00ED630E"/>
    <w:rsid w:val="00ED632D"/>
    <w:rsid w:val="00ED64B6"/>
    <w:rsid w:val="00ED6665"/>
    <w:rsid w:val="00ED66E8"/>
    <w:rsid w:val="00ED6725"/>
    <w:rsid w:val="00ED675E"/>
    <w:rsid w:val="00ED68D2"/>
    <w:rsid w:val="00ED69C3"/>
    <w:rsid w:val="00ED6AA3"/>
    <w:rsid w:val="00ED6BFD"/>
    <w:rsid w:val="00ED6E58"/>
    <w:rsid w:val="00ED6F9C"/>
    <w:rsid w:val="00ED7041"/>
    <w:rsid w:val="00ED7098"/>
    <w:rsid w:val="00ED71C4"/>
    <w:rsid w:val="00ED7407"/>
    <w:rsid w:val="00ED74D5"/>
    <w:rsid w:val="00ED7727"/>
    <w:rsid w:val="00ED7794"/>
    <w:rsid w:val="00ED79AB"/>
    <w:rsid w:val="00ED7DFD"/>
    <w:rsid w:val="00EE04AF"/>
    <w:rsid w:val="00EE04F4"/>
    <w:rsid w:val="00EE0687"/>
    <w:rsid w:val="00EE0859"/>
    <w:rsid w:val="00EE08FC"/>
    <w:rsid w:val="00EE0959"/>
    <w:rsid w:val="00EE0C48"/>
    <w:rsid w:val="00EE0CCB"/>
    <w:rsid w:val="00EE0F6C"/>
    <w:rsid w:val="00EE0FD6"/>
    <w:rsid w:val="00EE1009"/>
    <w:rsid w:val="00EE1123"/>
    <w:rsid w:val="00EE1171"/>
    <w:rsid w:val="00EE12AB"/>
    <w:rsid w:val="00EE141A"/>
    <w:rsid w:val="00EE1496"/>
    <w:rsid w:val="00EE15F9"/>
    <w:rsid w:val="00EE17C7"/>
    <w:rsid w:val="00EE19B9"/>
    <w:rsid w:val="00EE19C9"/>
    <w:rsid w:val="00EE1ABB"/>
    <w:rsid w:val="00EE1B0A"/>
    <w:rsid w:val="00EE1B38"/>
    <w:rsid w:val="00EE1D9B"/>
    <w:rsid w:val="00EE203B"/>
    <w:rsid w:val="00EE208A"/>
    <w:rsid w:val="00EE2154"/>
    <w:rsid w:val="00EE22D0"/>
    <w:rsid w:val="00EE25E4"/>
    <w:rsid w:val="00EE2625"/>
    <w:rsid w:val="00EE265A"/>
    <w:rsid w:val="00EE283F"/>
    <w:rsid w:val="00EE284F"/>
    <w:rsid w:val="00EE287B"/>
    <w:rsid w:val="00EE3157"/>
    <w:rsid w:val="00EE33AE"/>
    <w:rsid w:val="00EE360D"/>
    <w:rsid w:val="00EE3640"/>
    <w:rsid w:val="00EE384B"/>
    <w:rsid w:val="00EE3A98"/>
    <w:rsid w:val="00EE3AB3"/>
    <w:rsid w:val="00EE3B10"/>
    <w:rsid w:val="00EE3CB5"/>
    <w:rsid w:val="00EE3F11"/>
    <w:rsid w:val="00EE41B3"/>
    <w:rsid w:val="00EE46B1"/>
    <w:rsid w:val="00EE4773"/>
    <w:rsid w:val="00EE47EC"/>
    <w:rsid w:val="00EE4884"/>
    <w:rsid w:val="00EE4E47"/>
    <w:rsid w:val="00EE538D"/>
    <w:rsid w:val="00EE5606"/>
    <w:rsid w:val="00EE563B"/>
    <w:rsid w:val="00EE5650"/>
    <w:rsid w:val="00EE57C4"/>
    <w:rsid w:val="00EE58E6"/>
    <w:rsid w:val="00EE5A93"/>
    <w:rsid w:val="00EE5AB5"/>
    <w:rsid w:val="00EE5BAE"/>
    <w:rsid w:val="00EE5BE2"/>
    <w:rsid w:val="00EE5C5D"/>
    <w:rsid w:val="00EE5E52"/>
    <w:rsid w:val="00EE6342"/>
    <w:rsid w:val="00EE66B5"/>
    <w:rsid w:val="00EE68A6"/>
    <w:rsid w:val="00EE6D0A"/>
    <w:rsid w:val="00EE6E34"/>
    <w:rsid w:val="00EE6F1A"/>
    <w:rsid w:val="00EE7053"/>
    <w:rsid w:val="00EE7149"/>
    <w:rsid w:val="00EE71CF"/>
    <w:rsid w:val="00EE71FF"/>
    <w:rsid w:val="00EE72B6"/>
    <w:rsid w:val="00EE7341"/>
    <w:rsid w:val="00EE7371"/>
    <w:rsid w:val="00EE762D"/>
    <w:rsid w:val="00EE76DF"/>
    <w:rsid w:val="00EE77BC"/>
    <w:rsid w:val="00EE7829"/>
    <w:rsid w:val="00EE79DA"/>
    <w:rsid w:val="00EE7AF2"/>
    <w:rsid w:val="00EE7B42"/>
    <w:rsid w:val="00EE7CEA"/>
    <w:rsid w:val="00EE7D0A"/>
    <w:rsid w:val="00EE7EBF"/>
    <w:rsid w:val="00EF00A0"/>
    <w:rsid w:val="00EF0422"/>
    <w:rsid w:val="00EF0669"/>
    <w:rsid w:val="00EF0873"/>
    <w:rsid w:val="00EF0A21"/>
    <w:rsid w:val="00EF0A5F"/>
    <w:rsid w:val="00EF0B16"/>
    <w:rsid w:val="00EF0C05"/>
    <w:rsid w:val="00EF0C0C"/>
    <w:rsid w:val="00EF0DBC"/>
    <w:rsid w:val="00EF0F0E"/>
    <w:rsid w:val="00EF0F65"/>
    <w:rsid w:val="00EF10A6"/>
    <w:rsid w:val="00EF11AC"/>
    <w:rsid w:val="00EF1243"/>
    <w:rsid w:val="00EF1337"/>
    <w:rsid w:val="00EF14C2"/>
    <w:rsid w:val="00EF1853"/>
    <w:rsid w:val="00EF1B04"/>
    <w:rsid w:val="00EF1D79"/>
    <w:rsid w:val="00EF1EB9"/>
    <w:rsid w:val="00EF279C"/>
    <w:rsid w:val="00EF27BD"/>
    <w:rsid w:val="00EF2BB0"/>
    <w:rsid w:val="00EF2E1A"/>
    <w:rsid w:val="00EF2FF7"/>
    <w:rsid w:val="00EF3198"/>
    <w:rsid w:val="00EF33A0"/>
    <w:rsid w:val="00EF34E2"/>
    <w:rsid w:val="00EF358B"/>
    <w:rsid w:val="00EF36AE"/>
    <w:rsid w:val="00EF3706"/>
    <w:rsid w:val="00EF3866"/>
    <w:rsid w:val="00EF3963"/>
    <w:rsid w:val="00EF3A07"/>
    <w:rsid w:val="00EF3B4C"/>
    <w:rsid w:val="00EF3C11"/>
    <w:rsid w:val="00EF40F2"/>
    <w:rsid w:val="00EF42CC"/>
    <w:rsid w:val="00EF4386"/>
    <w:rsid w:val="00EF4615"/>
    <w:rsid w:val="00EF46BE"/>
    <w:rsid w:val="00EF47D6"/>
    <w:rsid w:val="00EF47F7"/>
    <w:rsid w:val="00EF47FB"/>
    <w:rsid w:val="00EF489C"/>
    <w:rsid w:val="00EF4A9D"/>
    <w:rsid w:val="00EF4BFA"/>
    <w:rsid w:val="00EF4D3B"/>
    <w:rsid w:val="00EF4F55"/>
    <w:rsid w:val="00EF522B"/>
    <w:rsid w:val="00EF52BC"/>
    <w:rsid w:val="00EF54CF"/>
    <w:rsid w:val="00EF55C0"/>
    <w:rsid w:val="00EF5744"/>
    <w:rsid w:val="00EF5884"/>
    <w:rsid w:val="00EF5C02"/>
    <w:rsid w:val="00EF5F15"/>
    <w:rsid w:val="00EF6063"/>
    <w:rsid w:val="00EF608E"/>
    <w:rsid w:val="00EF62B4"/>
    <w:rsid w:val="00EF656A"/>
    <w:rsid w:val="00EF6AB5"/>
    <w:rsid w:val="00EF6B79"/>
    <w:rsid w:val="00EF71A4"/>
    <w:rsid w:val="00EF7837"/>
    <w:rsid w:val="00EF7B80"/>
    <w:rsid w:val="00EF7DF0"/>
    <w:rsid w:val="00F001D0"/>
    <w:rsid w:val="00F003B5"/>
    <w:rsid w:val="00F0051B"/>
    <w:rsid w:val="00F006D9"/>
    <w:rsid w:val="00F00703"/>
    <w:rsid w:val="00F00730"/>
    <w:rsid w:val="00F00800"/>
    <w:rsid w:val="00F009BA"/>
    <w:rsid w:val="00F00C19"/>
    <w:rsid w:val="00F00EC1"/>
    <w:rsid w:val="00F00F42"/>
    <w:rsid w:val="00F0118F"/>
    <w:rsid w:val="00F01199"/>
    <w:rsid w:val="00F01323"/>
    <w:rsid w:val="00F013AD"/>
    <w:rsid w:val="00F0187C"/>
    <w:rsid w:val="00F01C5B"/>
    <w:rsid w:val="00F01C93"/>
    <w:rsid w:val="00F01F0F"/>
    <w:rsid w:val="00F01FF1"/>
    <w:rsid w:val="00F020B9"/>
    <w:rsid w:val="00F02203"/>
    <w:rsid w:val="00F022DE"/>
    <w:rsid w:val="00F0230D"/>
    <w:rsid w:val="00F023A9"/>
    <w:rsid w:val="00F02538"/>
    <w:rsid w:val="00F02617"/>
    <w:rsid w:val="00F027A4"/>
    <w:rsid w:val="00F02BFD"/>
    <w:rsid w:val="00F02C80"/>
    <w:rsid w:val="00F0320C"/>
    <w:rsid w:val="00F03322"/>
    <w:rsid w:val="00F034AF"/>
    <w:rsid w:val="00F03979"/>
    <w:rsid w:val="00F03A2A"/>
    <w:rsid w:val="00F04221"/>
    <w:rsid w:val="00F042F6"/>
    <w:rsid w:val="00F043FA"/>
    <w:rsid w:val="00F0440C"/>
    <w:rsid w:val="00F04582"/>
    <w:rsid w:val="00F04714"/>
    <w:rsid w:val="00F04DAE"/>
    <w:rsid w:val="00F04F7E"/>
    <w:rsid w:val="00F051CD"/>
    <w:rsid w:val="00F053C0"/>
    <w:rsid w:val="00F05554"/>
    <w:rsid w:val="00F0571F"/>
    <w:rsid w:val="00F0588F"/>
    <w:rsid w:val="00F05B17"/>
    <w:rsid w:val="00F05DE2"/>
    <w:rsid w:val="00F05E87"/>
    <w:rsid w:val="00F061A2"/>
    <w:rsid w:val="00F06214"/>
    <w:rsid w:val="00F0659B"/>
    <w:rsid w:val="00F06B62"/>
    <w:rsid w:val="00F06BE6"/>
    <w:rsid w:val="00F06CA0"/>
    <w:rsid w:val="00F06F9C"/>
    <w:rsid w:val="00F070CB"/>
    <w:rsid w:val="00F0751B"/>
    <w:rsid w:val="00F077B3"/>
    <w:rsid w:val="00F078AF"/>
    <w:rsid w:val="00F07A76"/>
    <w:rsid w:val="00F07B41"/>
    <w:rsid w:val="00F07CFF"/>
    <w:rsid w:val="00F07D1F"/>
    <w:rsid w:val="00F07F32"/>
    <w:rsid w:val="00F07F5D"/>
    <w:rsid w:val="00F07FC8"/>
    <w:rsid w:val="00F10073"/>
    <w:rsid w:val="00F10086"/>
    <w:rsid w:val="00F10445"/>
    <w:rsid w:val="00F10860"/>
    <w:rsid w:val="00F10949"/>
    <w:rsid w:val="00F10D85"/>
    <w:rsid w:val="00F11111"/>
    <w:rsid w:val="00F11386"/>
    <w:rsid w:val="00F1175B"/>
    <w:rsid w:val="00F1194F"/>
    <w:rsid w:val="00F11951"/>
    <w:rsid w:val="00F11C8F"/>
    <w:rsid w:val="00F11DA1"/>
    <w:rsid w:val="00F12775"/>
    <w:rsid w:val="00F12AAC"/>
    <w:rsid w:val="00F12AD0"/>
    <w:rsid w:val="00F12AED"/>
    <w:rsid w:val="00F13190"/>
    <w:rsid w:val="00F1319A"/>
    <w:rsid w:val="00F133F2"/>
    <w:rsid w:val="00F13401"/>
    <w:rsid w:val="00F13407"/>
    <w:rsid w:val="00F1359E"/>
    <w:rsid w:val="00F135FC"/>
    <w:rsid w:val="00F13646"/>
    <w:rsid w:val="00F13788"/>
    <w:rsid w:val="00F13B15"/>
    <w:rsid w:val="00F13CC8"/>
    <w:rsid w:val="00F13D47"/>
    <w:rsid w:val="00F13DE0"/>
    <w:rsid w:val="00F13FA8"/>
    <w:rsid w:val="00F142F8"/>
    <w:rsid w:val="00F145CB"/>
    <w:rsid w:val="00F1478B"/>
    <w:rsid w:val="00F148A2"/>
    <w:rsid w:val="00F14939"/>
    <w:rsid w:val="00F14B5B"/>
    <w:rsid w:val="00F15076"/>
    <w:rsid w:val="00F1522C"/>
    <w:rsid w:val="00F15842"/>
    <w:rsid w:val="00F15B22"/>
    <w:rsid w:val="00F15D2A"/>
    <w:rsid w:val="00F15DC7"/>
    <w:rsid w:val="00F1613C"/>
    <w:rsid w:val="00F16326"/>
    <w:rsid w:val="00F163EA"/>
    <w:rsid w:val="00F166A6"/>
    <w:rsid w:val="00F167CA"/>
    <w:rsid w:val="00F1685F"/>
    <w:rsid w:val="00F16B7E"/>
    <w:rsid w:val="00F16D7D"/>
    <w:rsid w:val="00F16DF5"/>
    <w:rsid w:val="00F16E2C"/>
    <w:rsid w:val="00F16E42"/>
    <w:rsid w:val="00F16FAB"/>
    <w:rsid w:val="00F17023"/>
    <w:rsid w:val="00F170A7"/>
    <w:rsid w:val="00F170E6"/>
    <w:rsid w:val="00F17209"/>
    <w:rsid w:val="00F174D4"/>
    <w:rsid w:val="00F174F7"/>
    <w:rsid w:val="00F17729"/>
    <w:rsid w:val="00F179C9"/>
    <w:rsid w:val="00F17A04"/>
    <w:rsid w:val="00F17A0D"/>
    <w:rsid w:val="00F17AFF"/>
    <w:rsid w:val="00F17B6A"/>
    <w:rsid w:val="00F17B97"/>
    <w:rsid w:val="00F17CCD"/>
    <w:rsid w:val="00F2033A"/>
    <w:rsid w:val="00F2054A"/>
    <w:rsid w:val="00F20AC8"/>
    <w:rsid w:val="00F20B2F"/>
    <w:rsid w:val="00F20E35"/>
    <w:rsid w:val="00F20E49"/>
    <w:rsid w:val="00F20EDF"/>
    <w:rsid w:val="00F21605"/>
    <w:rsid w:val="00F21889"/>
    <w:rsid w:val="00F2188D"/>
    <w:rsid w:val="00F218C4"/>
    <w:rsid w:val="00F2191A"/>
    <w:rsid w:val="00F219C3"/>
    <w:rsid w:val="00F21A1A"/>
    <w:rsid w:val="00F21B48"/>
    <w:rsid w:val="00F21C71"/>
    <w:rsid w:val="00F21EE8"/>
    <w:rsid w:val="00F22446"/>
    <w:rsid w:val="00F22546"/>
    <w:rsid w:val="00F226B7"/>
    <w:rsid w:val="00F22947"/>
    <w:rsid w:val="00F22F31"/>
    <w:rsid w:val="00F230D0"/>
    <w:rsid w:val="00F23210"/>
    <w:rsid w:val="00F2363B"/>
    <w:rsid w:val="00F23691"/>
    <w:rsid w:val="00F236BF"/>
    <w:rsid w:val="00F23896"/>
    <w:rsid w:val="00F239FB"/>
    <w:rsid w:val="00F23ABB"/>
    <w:rsid w:val="00F23B09"/>
    <w:rsid w:val="00F23C6A"/>
    <w:rsid w:val="00F23CBA"/>
    <w:rsid w:val="00F23D46"/>
    <w:rsid w:val="00F241CF"/>
    <w:rsid w:val="00F2421E"/>
    <w:rsid w:val="00F242EA"/>
    <w:rsid w:val="00F2433A"/>
    <w:rsid w:val="00F246C2"/>
    <w:rsid w:val="00F246D4"/>
    <w:rsid w:val="00F24736"/>
    <w:rsid w:val="00F249DA"/>
    <w:rsid w:val="00F24A18"/>
    <w:rsid w:val="00F24EAE"/>
    <w:rsid w:val="00F253E1"/>
    <w:rsid w:val="00F25431"/>
    <w:rsid w:val="00F259BD"/>
    <w:rsid w:val="00F25CAF"/>
    <w:rsid w:val="00F25CBA"/>
    <w:rsid w:val="00F25DB5"/>
    <w:rsid w:val="00F25E0F"/>
    <w:rsid w:val="00F25EAF"/>
    <w:rsid w:val="00F25FB7"/>
    <w:rsid w:val="00F25FF3"/>
    <w:rsid w:val="00F26065"/>
    <w:rsid w:val="00F26A70"/>
    <w:rsid w:val="00F26B99"/>
    <w:rsid w:val="00F26BCC"/>
    <w:rsid w:val="00F26BED"/>
    <w:rsid w:val="00F26C7A"/>
    <w:rsid w:val="00F26E9C"/>
    <w:rsid w:val="00F272EF"/>
    <w:rsid w:val="00F278D9"/>
    <w:rsid w:val="00F27938"/>
    <w:rsid w:val="00F27EDA"/>
    <w:rsid w:val="00F30097"/>
    <w:rsid w:val="00F304B2"/>
    <w:rsid w:val="00F307D2"/>
    <w:rsid w:val="00F3080C"/>
    <w:rsid w:val="00F3087D"/>
    <w:rsid w:val="00F30B3D"/>
    <w:rsid w:val="00F30D53"/>
    <w:rsid w:val="00F30F10"/>
    <w:rsid w:val="00F30F99"/>
    <w:rsid w:val="00F31211"/>
    <w:rsid w:val="00F314AD"/>
    <w:rsid w:val="00F3176E"/>
    <w:rsid w:val="00F319AC"/>
    <w:rsid w:val="00F31B51"/>
    <w:rsid w:val="00F31C24"/>
    <w:rsid w:val="00F31DF1"/>
    <w:rsid w:val="00F31E5F"/>
    <w:rsid w:val="00F32008"/>
    <w:rsid w:val="00F32019"/>
    <w:rsid w:val="00F3218B"/>
    <w:rsid w:val="00F322E8"/>
    <w:rsid w:val="00F3248A"/>
    <w:rsid w:val="00F326B6"/>
    <w:rsid w:val="00F327FD"/>
    <w:rsid w:val="00F32842"/>
    <w:rsid w:val="00F328B3"/>
    <w:rsid w:val="00F32A6B"/>
    <w:rsid w:val="00F32B36"/>
    <w:rsid w:val="00F32B74"/>
    <w:rsid w:val="00F32EB6"/>
    <w:rsid w:val="00F33142"/>
    <w:rsid w:val="00F334BF"/>
    <w:rsid w:val="00F33645"/>
    <w:rsid w:val="00F33650"/>
    <w:rsid w:val="00F33BD3"/>
    <w:rsid w:val="00F33C12"/>
    <w:rsid w:val="00F33E5C"/>
    <w:rsid w:val="00F33F9B"/>
    <w:rsid w:val="00F34055"/>
    <w:rsid w:val="00F34129"/>
    <w:rsid w:val="00F341DF"/>
    <w:rsid w:val="00F3433C"/>
    <w:rsid w:val="00F34357"/>
    <w:rsid w:val="00F34647"/>
    <w:rsid w:val="00F3472A"/>
    <w:rsid w:val="00F34B33"/>
    <w:rsid w:val="00F34CD1"/>
    <w:rsid w:val="00F34E6E"/>
    <w:rsid w:val="00F34F3A"/>
    <w:rsid w:val="00F34F4B"/>
    <w:rsid w:val="00F34F82"/>
    <w:rsid w:val="00F350AA"/>
    <w:rsid w:val="00F35370"/>
    <w:rsid w:val="00F35413"/>
    <w:rsid w:val="00F3541D"/>
    <w:rsid w:val="00F3548A"/>
    <w:rsid w:val="00F3559D"/>
    <w:rsid w:val="00F356FF"/>
    <w:rsid w:val="00F3578A"/>
    <w:rsid w:val="00F3580E"/>
    <w:rsid w:val="00F358E1"/>
    <w:rsid w:val="00F359E4"/>
    <w:rsid w:val="00F35A8A"/>
    <w:rsid w:val="00F35AE3"/>
    <w:rsid w:val="00F35C74"/>
    <w:rsid w:val="00F35C9C"/>
    <w:rsid w:val="00F36002"/>
    <w:rsid w:val="00F36163"/>
    <w:rsid w:val="00F362F7"/>
    <w:rsid w:val="00F36531"/>
    <w:rsid w:val="00F366BC"/>
    <w:rsid w:val="00F367D1"/>
    <w:rsid w:val="00F367F7"/>
    <w:rsid w:val="00F36855"/>
    <w:rsid w:val="00F36A7E"/>
    <w:rsid w:val="00F36AB7"/>
    <w:rsid w:val="00F36C0F"/>
    <w:rsid w:val="00F36F52"/>
    <w:rsid w:val="00F36FD1"/>
    <w:rsid w:val="00F36FDE"/>
    <w:rsid w:val="00F3730C"/>
    <w:rsid w:val="00F374C6"/>
    <w:rsid w:val="00F37658"/>
    <w:rsid w:val="00F37891"/>
    <w:rsid w:val="00F3795B"/>
    <w:rsid w:val="00F37ECC"/>
    <w:rsid w:val="00F40175"/>
    <w:rsid w:val="00F40C6E"/>
    <w:rsid w:val="00F40DEE"/>
    <w:rsid w:val="00F40E7A"/>
    <w:rsid w:val="00F40EB2"/>
    <w:rsid w:val="00F40F3C"/>
    <w:rsid w:val="00F4105D"/>
    <w:rsid w:val="00F410D6"/>
    <w:rsid w:val="00F4118D"/>
    <w:rsid w:val="00F412EA"/>
    <w:rsid w:val="00F41610"/>
    <w:rsid w:val="00F41711"/>
    <w:rsid w:val="00F4171E"/>
    <w:rsid w:val="00F41729"/>
    <w:rsid w:val="00F419A7"/>
    <w:rsid w:val="00F41B31"/>
    <w:rsid w:val="00F41E0D"/>
    <w:rsid w:val="00F41E67"/>
    <w:rsid w:val="00F41F22"/>
    <w:rsid w:val="00F42095"/>
    <w:rsid w:val="00F421F1"/>
    <w:rsid w:val="00F422E1"/>
    <w:rsid w:val="00F4241C"/>
    <w:rsid w:val="00F426BA"/>
    <w:rsid w:val="00F428BF"/>
    <w:rsid w:val="00F428DF"/>
    <w:rsid w:val="00F42B57"/>
    <w:rsid w:val="00F42EFB"/>
    <w:rsid w:val="00F42F76"/>
    <w:rsid w:val="00F4307D"/>
    <w:rsid w:val="00F432B3"/>
    <w:rsid w:val="00F434C5"/>
    <w:rsid w:val="00F438EC"/>
    <w:rsid w:val="00F439CE"/>
    <w:rsid w:val="00F43A34"/>
    <w:rsid w:val="00F43C1A"/>
    <w:rsid w:val="00F43FCA"/>
    <w:rsid w:val="00F44079"/>
    <w:rsid w:val="00F44370"/>
    <w:rsid w:val="00F446C5"/>
    <w:rsid w:val="00F44780"/>
    <w:rsid w:val="00F448F9"/>
    <w:rsid w:val="00F44DB8"/>
    <w:rsid w:val="00F44E8E"/>
    <w:rsid w:val="00F450BE"/>
    <w:rsid w:val="00F450E7"/>
    <w:rsid w:val="00F453E1"/>
    <w:rsid w:val="00F457F9"/>
    <w:rsid w:val="00F45ED6"/>
    <w:rsid w:val="00F4609C"/>
    <w:rsid w:val="00F461EF"/>
    <w:rsid w:val="00F46A53"/>
    <w:rsid w:val="00F46E00"/>
    <w:rsid w:val="00F473CD"/>
    <w:rsid w:val="00F474DF"/>
    <w:rsid w:val="00F4753B"/>
    <w:rsid w:val="00F47746"/>
    <w:rsid w:val="00F47802"/>
    <w:rsid w:val="00F4789F"/>
    <w:rsid w:val="00F4798A"/>
    <w:rsid w:val="00F47BCE"/>
    <w:rsid w:val="00F47C11"/>
    <w:rsid w:val="00F47CF3"/>
    <w:rsid w:val="00F47DB3"/>
    <w:rsid w:val="00F47DE6"/>
    <w:rsid w:val="00F47F37"/>
    <w:rsid w:val="00F50131"/>
    <w:rsid w:val="00F501A8"/>
    <w:rsid w:val="00F501DA"/>
    <w:rsid w:val="00F50344"/>
    <w:rsid w:val="00F50383"/>
    <w:rsid w:val="00F50454"/>
    <w:rsid w:val="00F504A9"/>
    <w:rsid w:val="00F50549"/>
    <w:rsid w:val="00F506A7"/>
    <w:rsid w:val="00F506A8"/>
    <w:rsid w:val="00F50895"/>
    <w:rsid w:val="00F50D7C"/>
    <w:rsid w:val="00F50E1A"/>
    <w:rsid w:val="00F51059"/>
    <w:rsid w:val="00F510C8"/>
    <w:rsid w:val="00F5131A"/>
    <w:rsid w:val="00F51350"/>
    <w:rsid w:val="00F513FC"/>
    <w:rsid w:val="00F5142E"/>
    <w:rsid w:val="00F51A09"/>
    <w:rsid w:val="00F51B76"/>
    <w:rsid w:val="00F51C0F"/>
    <w:rsid w:val="00F51C1F"/>
    <w:rsid w:val="00F51D84"/>
    <w:rsid w:val="00F51E89"/>
    <w:rsid w:val="00F51EE7"/>
    <w:rsid w:val="00F52733"/>
    <w:rsid w:val="00F5295A"/>
    <w:rsid w:val="00F52B3F"/>
    <w:rsid w:val="00F52B56"/>
    <w:rsid w:val="00F5300D"/>
    <w:rsid w:val="00F53234"/>
    <w:rsid w:val="00F53240"/>
    <w:rsid w:val="00F53301"/>
    <w:rsid w:val="00F533A5"/>
    <w:rsid w:val="00F53827"/>
    <w:rsid w:val="00F53836"/>
    <w:rsid w:val="00F538CC"/>
    <w:rsid w:val="00F53B74"/>
    <w:rsid w:val="00F53C81"/>
    <w:rsid w:val="00F53D1B"/>
    <w:rsid w:val="00F543A3"/>
    <w:rsid w:val="00F5442E"/>
    <w:rsid w:val="00F54453"/>
    <w:rsid w:val="00F54483"/>
    <w:rsid w:val="00F5461F"/>
    <w:rsid w:val="00F5467E"/>
    <w:rsid w:val="00F5475D"/>
    <w:rsid w:val="00F5498D"/>
    <w:rsid w:val="00F54E36"/>
    <w:rsid w:val="00F54F28"/>
    <w:rsid w:val="00F54F85"/>
    <w:rsid w:val="00F55141"/>
    <w:rsid w:val="00F55186"/>
    <w:rsid w:val="00F55584"/>
    <w:rsid w:val="00F55591"/>
    <w:rsid w:val="00F5561F"/>
    <w:rsid w:val="00F55756"/>
    <w:rsid w:val="00F557E3"/>
    <w:rsid w:val="00F55A60"/>
    <w:rsid w:val="00F55B57"/>
    <w:rsid w:val="00F55C46"/>
    <w:rsid w:val="00F55DEF"/>
    <w:rsid w:val="00F55F21"/>
    <w:rsid w:val="00F561F4"/>
    <w:rsid w:val="00F5650D"/>
    <w:rsid w:val="00F56B89"/>
    <w:rsid w:val="00F56D17"/>
    <w:rsid w:val="00F56FB4"/>
    <w:rsid w:val="00F571BD"/>
    <w:rsid w:val="00F571D0"/>
    <w:rsid w:val="00F5725D"/>
    <w:rsid w:val="00F57289"/>
    <w:rsid w:val="00F574E4"/>
    <w:rsid w:val="00F57510"/>
    <w:rsid w:val="00F576FE"/>
    <w:rsid w:val="00F578BD"/>
    <w:rsid w:val="00F57937"/>
    <w:rsid w:val="00F579DB"/>
    <w:rsid w:val="00F57BC8"/>
    <w:rsid w:val="00F57EAB"/>
    <w:rsid w:val="00F60006"/>
    <w:rsid w:val="00F602C4"/>
    <w:rsid w:val="00F602FA"/>
    <w:rsid w:val="00F6035D"/>
    <w:rsid w:val="00F60429"/>
    <w:rsid w:val="00F60758"/>
    <w:rsid w:val="00F608BE"/>
    <w:rsid w:val="00F6093A"/>
    <w:rsid w:val="00F60C57"/>
    <w:rsid w:val="00F60C6A"/>
    <w:rsid w:val="00F60C77"/>
    <w:rsid w:val="00F60D3B"/>
    <w:rsid w:val="00F6104A"/>
    <w:rsid w:val="00F610A6"/>
    <w:rsid w:val="00F612E7"/>
    <w:rsid w:val="00F617CE"/>
    <w:rsid w:val="00F61821"/>
    <w:rsid w:val="00F61A5F"/>
    <w:rsid w:val="00F61C75"/>
    <w:rsid w:val="00F625B4"/>
    <w:rsid w:val="00F62DE7"/>
    <w:rsid w:val="00F62ECD"/>
    <w:rsid w:val="00F62F40"/>
    <w:rsid w:val="00F62F7A"/>
    <w:rsid w:val="00F63129"/>
    <w:rsid w:val="00F63352"/>
    <w:rsid w:val="00F63547"/>
    <w:rsid w:val="00F6359A"/>
    <w:rsid w:val="00F635A9"/>
    <w:rsid w:val="00F63691"/>
    <w:rsid w:val="00F636D6"/>
    <w:rsid w:val="00F63808"/>
    <w:rsid w:val="00F63964"/>
    <w:rsid w:val="00F63B94"/>
    <w:rsid w:val="00F63BCB"/>
    <w:rsid w:val="00F63EEE"/>
    <w:rsid w:val="00F64669"/>
    <w:rsid w:val="00F648F0"/>
    <w:rsid w:val="00F64930"/>
    <w:rsid w:val="00F649E6"/>
    <w:rsid w:val="00F64A1A"/>
    <w:rsid w:val="00F64A74"/>
    <w:rsid w:val="00F64A7D"/>
    <w:rsid w:val="00F64B7D"/>
    <w:rsid w:val="00F64F8E"/>
    <w:rsid w:val="00F64F94"/>
    <w:rsid w:val="00F65299"/>
    <w:rsid w:val="00F65637"/>
    <w:rsid w:val="00F656D6"/>
    <w:rsid w:val="00F65790"/>
    <w:rsid w:val="00F65B75"/>
    <w:rsid w:val="00F65C56"/>
    <w:rsid w:val="00F65C8F"/>
    <w:rsid w:val="00F65D5E"/>
    <w:rsid w:val="00F65E72"/>
    <w:rsid w:val="00F6691B"/>
    <w:rsid w:val="00F66CA3"/>
    <w:rsid w:val="00F66D68"/>
    <w:rsid w:val="00F66E45"/>
    <w:rsid w:val="00F67006"/>
    <w:rsid w:val="00F67533"/>
    <w:rsid w:val="00F6794D"/>
    <w:rsid w:val="00F679F6"/>
    <w:rsid w:val="00F67A1A"/>
    <w:rsid w:val="00F67D76"/>
    <w:rsid w:val="00F70288"/>
    <w:rsid w:val="00F70331"/>
    <w:rsid w:val="00F7073E"/>
    <w:rsid w:val="00F707D8"/>
    <w:rsid w:val="00F70920"/>
    <w:rsid w:val="00F709D7"/>
    <w:rsid w:val="00F70E79"/>
    <w:rsid w:val="00F7100D"/>
    <w:rsid w:val="00F7150D"/>
    <w:rsid w:val="00F715E4"/>
    <w:rsid w:val="00F7190A"/>
    <w:rsid w:val="00F71BF3"/>
    <w:rsid w:val="00F71F2F"/>
    <w:rsid w:val="00F71F42"/>
    <w:rsid w:val="00F72177"/>
    <w:rsid w:val="00F72192"/>
    <w:rsid w:val="00F72257"/>
    <w:rsid w:val="00F722FD"/>
    <w:rsid w:val="00F72366"/>
    <w:rsid w:val="00F723D1"/>
    <w:rsid w:val="00F723F4"/>
    <w:rsid w:val="00F7251A"/>
    <w:rsid w:val="00F7255A"/>
    <w:rsid w:val="00F72668"/>
    <w:rsid w:val="00F727D7"/>
    <w:rsid w:val="00F7281D"/>
    <w:rsid w:val="00F72A13"/>
    <w:rsid w:val="00F72E48"/>
    <w:rsid w:val="00F7300E"/>
    <w:rsid w:val="00F7334D"/>
    <w:rsid w:val="00F735C3"/>
    <w:rsid w:val="00F736AE"/>
    <w:rsid w:val="00F739F2"/>
    <w:rsid w:val="00F73BAF"/>
    <w:rsid w:val="00F73C91"/>
    <w:rsid w:val="00F73E20"/>
    <w:rsid w:val="00F73FEC"/>
    <w:rsid w:val="00F74792"/>
    <w:rsid w:val="00F74B9E"/>
    <w:rsid w:val="00F74CF3"/>
    <w:rsid w:val="00F74D3F"/>
    <w:rsid w:val="00F751E1"/>
    <w:rsid w:val="00F75215"/>
    <w:rsid w:val="00F7524A"/>
    <w:rsid w:val="00F7525C"/>
    <w:rsid w:val="00F7527B"/>
    <w:rsid w:val="00F753FE"/>
    <w:rsid w:val="00F75772"/>
    <w:rsid w:val="00F75A7A"/>
    <w:rsid w:val="00F75BE5"/>
    <w:rsid w:val="00F761E2"/>
    <w:rsid w:val="00F763E2"/>
    <w:rsid w:val="00F76447"/>
    <w:rsid w:val="00F7659E"/>
    <w:rsid w:val="00F765B1"/>
    <w:rsid w:val="00F76C6A"/>
    <w:rsid w:val="00F76C71"/>
    <w:rsid w:val="00F76EBE"/>
    <w:rsid w:val="00F76ED9"/>
    <w:rsid w:val="00F76EF2"/>
    <w:rsid w:val="00F76F49"/>
    <w:rsid w:val="00F770C4"/>
    <w:rsid w:val="00F771D5"/>
    <w:rsid w:val="00F77265"/>
    <w:rsid w:val="00F77896"/>
    <w:rsid w:val="00F77A46"/>
    <w:rsid w:val="00F77B01"/>
    <w:rsid w:val="00F77B45"/>
    <w:rsid w:val="00F77B8C"/>
    <w:rsid w:val="00F77B9D"/>
    <w:rsid w:val="00F77DBE"/>
    <w:rsid w:val="00F77DC2"/>
    <w:rsid w:val="00F801F8"/>
    <w:rsid w:val="00F8029F"/>
    <w:rsid w:val="00F803CF"/>
    <w:rsid w:val="00F804C8"/>
    <w:rsid w:val="00F804E7"/>
    <w:rsid w:val="00F80D80"/>
    <w:rsid w:val="00F81052"/>
    <w:rsid w:val="00F81074"/>
    <w:rsid w:val="00F81196"/>
    <w:rsid w:val="00F811B3"/>
    <w:rsid w:val="00F81751"/>
    <w:rsid w:val="00F818C7"/>
    <w:rsid w:val="00F818E4"/>
    <w:rsid w:val="00F818F2"/>
    <w:rsid w:val="00F819AA"/>
    <w:rsid w:val="00F81A11"/>
    <w:rsid w:val="00F81ABA"/>
    <w:rsid w:val="00F81C56"/>
    <w:rsid w:val="00F81F01"/>
    <w:rsid w:val="00F81F3B"/>
    <w:rsid w:val="00F81FA0"/>
    <w:rsid w:val="00F821F5"/>
    <w:rsid w:val="00F82291"/>
    <w:rsid w:val="00F826EB"/>
    <w:rsid w:val="00F82817"/>
    <w:rsid w:val="00F82888"/>
    <w:rsid w:val="00F82A84"/>
    <w:rsid w:val="00F8342F"/>
    <w:rsid w:val="00F83435"/>
    <w:rsid w:val="00F834C7"/>
    <w:rsid w:val="00F836FC"/>
    <w:rsid w:val="00F8376B"/>
    <w:rsid w:val="00F837E0"/>
    <w:rsid w:val="00F83820"/>
    <w:rsid w:val="00F83A1E"/>
    <w:rsid w:val="00F83BEE"/>
    <w:rsid w:val="00F83D5B"/>
    <w:rsid w:val="00F83E65"/>
    <w:rsid w:val="00F840CE"/>
    <w:rsid w:val="00F84399"/>
    <w:rsid w:val="00F845C2"/>
    <w:rsid w:val="00F84A4E"/>
    <w:rsid w:val="00F8515B"/>
    <w:rsid w:val="00F851CB"/>
    <w:rsid w:val="00F857A9"/>
    <w:rsid w:val="00F85914"/>
    <w:rsid w:val="00F85A67"/>
    <w:rsid w:val="00F85C86"/>
    <w:rsid w:val="00F86005"/>
    <w:rsid w:val="00F86208"/>
    <w:rsid w:val="00F86500"/>
    <w:rsid w:val="00F8659F"/>
    <w:rsid w:val="00F86655"/>
    <w:rsid w:val="00F866CA"/>
    <w:rsid w:val="00F868CF"/>
    <w:rsid w:val="00F86945"/>
    <w:rsid w:val="00F869E1"/>
    <w:rsid w:val="00F86B1A"/>
    <w:rsid w:val="00F86D43"/>
    <w:rsid w:val="00F86E7E"/>
    <w:rsid w:val="00F86F19"/>
    <w:rsid w:val="00F870CE"/>
    <w:rsid w:val="00F87338"/>
    <w:rsid w:val="00F8746F"/>
    <w:rsid w:val="00F8773E"/>
    <w:rsid w:val="00F8780A"/>
    <w:rsid w:val="00F87C2C"/>
    <w:rsid w:val="00F87C56"/>
    <w:rsid w:val="00F87DE7"/>
    <w:rsid w:val="00F87E17"/>
    <w:rsid w:val="00F87E20"/>
    <w:rsid w:val="00F87E3C"/>
    <w:rsid w:val="00F87EC3"/>
    <w:rsid w:val="00F90172"/>
    <w:rsid w:val="00F90275"/>
    <w:rsid w:val="00F9050F"/>
    <w:rsid w:val="00F907F5"/>
    <w:rsid w:val="00F90867"/>
    <w:rsid w:val="00F90B55"/>
    <w:rsid w:val="00F90CBC"/>
    <w:rsid w:val="00F90E8A"/>
    <w:rsid w:val="00F91046"/>
    <w:rsid w:val="00F91095"/>
    <w:rsid w:val="00F9132E"/>
    <w:rsid w:val="00F913DB"/>
    <w:rsid w:val="00F916CE"/>
    <w:rsid w:val="00F91859"/>
    <w:rsid w:val="00F91973"/>
    <w:rsid w:val="00F9198F"/>
    <w:rsid w:val="00F91A2F"/>
    <w:rsid w:val="00F91B87"/>
    <w:rsid w:val="00F91B8D"/>
    <w:rsid w:val="00F91C5C"/>
    <w:rsid w:val="00F91D3D"/>
    <w:rsid w:val="00F91F9E"/>
    <w:rsid w:val="00F9201A"/>
    <w:rsid w:val="00F9231B"/>
    <w:rsid w:val="00F9232F"/>
    <w:rsid w:val="00F92481"/>
    <w:rsid w:val="00F92535"/>
    <w:rsid w:val="00F928DA"/>
    <w:rsid w:val="00F92B8D"/>
    <w:rsid w:val="00F92E52"/>
    <w:rsid w:val="00F92E72"/>
    <w:rsid w:val="00F93818"/>
    <w:rsid w:val="00F93940"/>
    <w:rsid w:val="00F939FA"/>
    <w:rsid w:val="00F93BB0"/>
    <w:rsid w:val="00F93FA5"/>
    <w:rsid w:val="00F93FBB"/>
    <w:rsid w:val="00F942A7"/>
    <w:rsid w:val="00F94388"/>
    <w:rsid w:val="00F9452C"/>
    <w:rsid w:val="00F948E2"/>
    <w:rsid w:val="00F94CF3"/>
    <w:rsid w:val="00F94D4C"/>
    <w:rsid w:val="00F94ED3"/>
    <w:rsid w:val="00F94F37"/>
    <w:rsid w:val="00F95012"/>
    <w:rsid w:val="00F950AB"/>
    <w:rsid w:val="00F953AC"/>
    <w:rsid w:val="00F9544C"/>
    <w:rsid w:val="00F9562C"/>
    <w:rsid w:val="00F956C2"/>
    <w:rsid w:val="00F957F2"/>
    <w:rsid w:val="00F959E5"/>
    <w:rsid w:val="00F95B30"/>
    <w:rsid w:val="00F95F08"/>
    <w:rsid w:val="00F96147"/>
    <w:rsid w:val="00F96561"/>
    <w:rsid w:val="00F9666B"/>
    <w:rsid w:val="00F96855"/>
    <w:rsid w:val="00F96A9D"/>
    <w:rsid w:val="00F96CD6"/>
    <w:rsid w:val="00F96EF7"/>
    <w:rsid w:val="00F973D7"/>
    <w:rsid w:val="00F9798F"/>
    <w:rsid w:val="00F97ABB"/>
    <w:rsid w:val="00F97FAE"/>
    <w:rsid w:val="00F97FB4"/>
    <w:rsid w:val="00F97FC6"/>
    <w:rsid w:val="00F97FF6"/>
    <w:rsid w:val="00FA0131"/>
    <w:rsid w:val="00FA020C"/>
    <w:rsid w:val="00FA0375"/>
    <w:rsid w:val="00FA06EC"/>
    <w:rsid w:val="00FA0A05"/>
    <w:rsid w:val="00FA0B61"/>
    <w:rsid w:val="00FA0E5F"/>
    <w:rsid w:val="00FA1069"/>
    <w:rsid w:val="00FA112E"/>
    <w:rsid w:val="00FA1226"/>
    <w:rsid w:val="00FA164E"/>
    <w:rsid w:val="00FA18DB"/>
    <w:rsid w:val="00FA18EC"/>
    <w:rsid w:val="00FA1C2E"/>
    <w:rsid w:val="00FA1FC1"/>
    <w:rsid w:val="00FA22A7"/>
    <w:rsid w:val="00FA2371"/>
    <w:rsid w:val="00FA239B"/>
    <w:rsid w:val="00FA2498"/>
    <w:rsid w:val="00FA2539"/>
    <w:rsid w:val="00FA25EF"/>
    <w:rsid w:val="00FA26DE"/>
    <w:rsid w:val="00FA26ED"/>
    <w:rsid w:val="00FA28BC"/>
    <w:rsid w:val="00FA29C7"/>
    <w:rsid w:val="00FA2C69"/>
    <w:rsid w:val="00FA2D50"/>
    <w:rsid w:val="00FA2EFE"/>
    <w:rsid w:val="00FA34B3"/>
    <w:rsid w:val="00FA3A09"/>
    <w:rsid w:val="00FA3C23"/>
    <w:rsid w:val="00FA3D5A"/>
    <w:rsid w:val="00FA4116"/>
    <w:rsid w:val="00FA4136"/>
    <w:rsid w:val="00FA4187"/>
    <w:rsid w:val="00FA49CB"/>
    <w:rsid w:val="00FA4C9D"/>
    <w:rsid w:val="00FA4DA3"/>
    <w:rsid w:val="00FA4E41"/>
    <w:rsid w:val="00FA4EA8"/>
    <w:rsid w:val="00FA4F16"/>
    <w:rsid w:val="00FA50BB"/>
    <w:rsid w:val="00FA5155"/>
    <w:rsid w:val="00FA5159"/>
    <w:rsid w:val="00FA517C"/>
    <w:rsid w:val="00FA5915"/>
    <w:rsid w:val="00FA59D2"/>
    <w:rsid w:val="00FA5EDD"/>
    <w:rsid w:val="00FA5F5D"/>
    <w:rsid w:val="00FA61C5"/>
    <w:rsid w:val="00FA6252"/>
    <w:rsid w:val="00FA626F"/>
    <w:rsid w:val="00FA6D6D"/>
    <w:rsid w:val="00FA6D93"/>
    <w:rsid w:val="00FA778E"/>
    <w:rsid w:val="00FA7A5C"/>
    <w:rsid w:val="00FA7B9E"/>
    <w:rsid w:val="00FB049B"/>
    <w:rsid w:val="00FB05E6"/>
    <w:rsid w:val="00FB07EB"/>
    <w:rsid w:val="00FB08D8"/>
    <w:rsid w:val="00FB0917"/>
    <w:rsid w:val="00FB099A"/>
    <w:rsid w:val="00FB0A5D"/>
    <w:rsid w:val="00FB0C87"/>
    <w:rsid w:val="00FB0CCE"/>
    <w:rsid w:val="00FB0D8F"/>
    <w:rsid w:val="00FB0E18"/>
    <w:rsid w:val="00FB0E36"/>
    <w:rsid w:val="00FB0EF3"/>
    <w:rsid w:val="00FB11F9"/>
    <w:rsid w:val="00FB1209"/>
    <w:rsid w:val="00FB1499"/>
    <w:rsid w:val="00FB1A25"/>
    <w:rsid w:val="00FB1B8E"/>
    <w:rsid w:val="00FB1BB8"/>
    <w:rsid w:val="00FB1BC1"/>
    <w:rsid w:val="00FB1FAC"/>
    <w:rsid w:val="00FB2052"/>
    <w:rsid w:val="00FB2286"/>
    <w:rsid w:val="00FB23B3"/>
    <w:rsid w:val="00FB2838"/>
    <w:rsid w:val="00FB2904"/>
    <w:rsid w:val="00FB2A3D"/>
    <w:rsid w:val="00FB2A87"/>
    <w:rsid w:val="00FB2AF4"/>
    <w:rsid w:val="00FB3162"/>
    <w:rsid w:val="00FB33B1"/>
    <w:rsid w:val="00FB3661"/>
    <w:rsid w:val="00FB37A8"/>
    <w:rsid w:val="00FB39EA"/>
    <w:rsid w:val="00FB3C0A"/>
    <w:rsid w:val="00FB3C32"/>
    <w:rsid w:val="00FB3EA8"/>
    <w:rsid w:val="00FB3F3D"/>
    <w:rsid w:val="00FB4682"/>
    <w:rsid w:val="00FB468B"/>
    <w:rsid w:val="00FB4831"/>
    <w:rsid w:val="00FB4B1E"/>
    <w:rsid w:val="00FB4CBF"/>
    <w:rsid w:val="00FB4D21"/>
    <w:rsid w:val="00FB4E40"/>
    <w:rsid w:val="00FB4F01"/>
    <w:rsid w:val="00FB4F54"/>
    <w:rsid w:val="00FB4F9F"/>
    <w:rsid w:val="00FB5328"/>
    <w:rsid w:val="00FB53FB"/>
    <w:rsid w:val="00FB5638"/>
    <w:rsid w:val="00FB5839"/>
    <w:rsid w:val="00FB595B"/>
    <w:rsid w:val="00FB5ADD"/>
    <w:rsid w:val="00FB5C71"/>
    <w:rsid w:val="00FB5D58"/>
    <w:rsid w:val="00FB5F88"/>
    <w:rsid w:val="00FB62A9"/>
    <w:rsid w:val="00FB6343"/>
    <w:rsid w:val="00FB6896"/>
    <w:rsid w:val="00FB7083"/>
    <w:rsid w:val="00FB720E"/>
    <w:rsid w:val="00FB72CA"/>
    <w:rsid w:val="00FB789D"/>
    <w:rsid w:val="00FB7934"/>
    <w:rsid w:val="00FB7DC0"/>
    <w:rsid w:val="00FB7E09"/>
    <w:rsid w:val="00FB7EA5"/>
    <w:rsid w:val="00FC00B0"/>
    <w:rsid w:val="00FC06F1"/>
    <w:rsid w:val="00FC0838"/>
    <w:rsid w:val="00FC08A1"/>
    <w:rsid w:val="00FC1019"/>
    <w:rsid w:val="00FC118D"/>
    <w:rsid w:val="00FC1233"/>
    <w:rsid w:val="00FC13A5"/>
    <w:rsid w:val="00FC152E"/>
    <w:rsid w:val="00FC15E3"/>
    <w:rsid w:val="00FC1657"/>
    <w:rsid w:val="00FC1665"/>
    <w:rsid w:val="00FC16B3"/>
    <w:rsid w:val="00FC16E4"/>
    <w:rsid w:val="00FC16EA"/>
    <w:rsid w:val="00FC18A6"/>
    <w:rsid w:val="00FC196B"/>
    <w:rsid w:val="00FC1A79"/>
    <w:rsid w:val="00FC1B8F"/>
    <w:rsid w:val="00FC1C83"/>
    <w:rsid w:val="00FC1E50"/>
    <w:rsid w:val="00FC20CE"/>
    <w:rsid w:val="00FC2117"/>
    <w:rsid w:val="00FC2224"/>
    <w:rsid w:val="00FC24A9"/>
    <w:rsid w:val="00FC2696"/>
    <w:rsid w:val="00FC2743"/>
    <w:rsid w:val="00FC2A1F"/>
    <w:rsid w:val="00FC2FB7"/>
    <w:rsid w:val="00FC3115"/>
    <w:rsid w:val="00FC31A8"/>
    <w:rsid w:val="00FC33DB"/>
    <w:rsid w:val="00FC35F1"/>
    <w:rsid w:val="00FC36B4"/>
    <w:rsid w:val="00FC36C7"/>
    <w:rsid w:val="00FC392D"/>
    <w:rsid w:val="00FC3A08"/>
    <w:rsid w:val="00FC3B30"/>
    <w:rsid w:val="00FC3CA0"/>
    <w:rsid w:val="00FC3ED8"/>
    <w:rsid w:val="00FC3F5E"/>
    <w:rsid w:val="00FC40ED"/>
    <w:rsid w:val="00FC4599"/>
    <w:rsid w:val="00FC4834"/>
    <w:rsid w:val="00FC4AF8"/>
    <w:rsid w:val="00FC4C86"/>
    <w:rsid w:val="00FC4CD7"/>
    <w:rsid w:val="00FC4CDC"/>
    <w:rsid w:val="00FC4D32"/>
    <w:rsid w:val="00FC4F51"/>
    <w:rsid w:val="00FC5549"/>
    <w:rsid w:val="00FC5701"/>
    <w:rsid w:val="00FC59AE"/>
    <w:rsid w:val="00FC5A73"/>
    <w:rsid w:val="00FC5F73"/>
    <w:rsid w:val="00FC60B4"/>
    <w:rsid w:val="00FC61C8"/>
    <w:rsid w:val="00FC6261"/>
    <w:rsid w:val="00FC652A"/>
    <w:rsid w:val="00FC68E5"/>
    <w:rsid w:val="00FC68E8"/>
    <w:rsid w:val="00FC6D5B"/>
    <w:rsid w:val="00FC6F28"/>
    <w:rsid w:val="00FC6F4F"/>
    <w:rsid w:val="00FC7172"/>
    <w:rsid w:val="00FC7185"/>
    <w:rsid w:val="00FC71C2"/>
    <w:rsid w:val="00FC722B"/>
    <w:rsid w:val="00FC75BB"/>
    <w:rsid w:val="00FC788F"/>
    <w:rsid w:val="00FC78DA"/>
    <w:rsid w:val="00FC7991"/>
    <w:rsid w:val="00FC7B97"/>
    <w:rsid w:val="00FC7D26"/>
    <w:rsid w:val="00FC7F3F"/>
    <w:rsid w:val="00FD0324"/>
    <w:rsid w:val="00FD044C"/>
    <w:rsid w:val="00FD05D6"/>
    <w:rsid w:val="00FD0815"/>
    <w:rsid w:val="00FD0AE4"/>
    <w:rsid w:val="00FD0B42"/>
    <w:rsid w:val="00FD0B56"/>
    <w:rsid w:val="00FD0FA6"/>
    <w:rsid w:val="00FD1147"/>
    <w:rsid w:val="00FD13C2"/>
    <w:rsid w:val="00FD18CA"/>
    <w:rsid w:val="00FD1951"/>
    <w:rsid w:val="00FD19B4"/>
    <w:rsid w:val="00FD1C37"/>
    <w:rsid w:val="00FD1DA4"/>
    <w:rsid w:val="00FD1E47"/>
    <w:rsid w:val="00FD1EDC"/>
    <w:rsid w:val="00FD1F67"/>
    <w:rsid w:val="00FD1F68"/>
    <w:rsid w:val="00FD1FD1"/>
    <w:rsid w:val="00FD206D"/>
    <w:rsid w:val="00FD20E3"/>
    <w:rsid w:val="00FD2327"/>
    <w:rsid w:val="00FD24DF"/>
    <w:rsid w:val="00FD252C"/>
    <w:rsid w:val="00FD25C4"/>
    <w:rsid w:val="00FD2772"/>
    <w:rsid w:val="00FD2A67"/>
    <w:rsid w:val="00FD2B64"/>
    <w:rsid w:val="00FD2B9A"/>
    <w:rsid w:val="00FD2C22"/>
    <w:rsid w:val="00FD2C88"/>
    <w:rsid w:val="00FD2DBE"/>
    <w:rsid w:val="00FD2EB9"/>
    <w:rsid w:val="00FD30DF"/>
    <w:rsid w:val="00FD347E"/>
    <w:rsid w:val="00FD39BC"/>
    <w:rsid w:val="00FD3B44"/>
    <w:rsid w:val="00FD3CE9"/>
    <w:rsid w:val="00FD3F0E"/>
    <w:rsid w:val="00FD43F1"/>
    <w:rsid w:val="00FD4977"/>
    <w:rsid w:val="00FD4BE0"/>
    <w:rsid w:val="00FD50D0"/>
    <w:rsid w:val="00FD50E2"/>
    <w:rsid w:val="00FD5523"/>
    <w:rsid w:val="00FD570B"/>
    <w:rsid w:val="00FD572C"/>
    <w:rsid w:val="00FD59E0"/>
    <w:rsid w:val="00FD59FD"/>
    <w:rsid w:val="00FD5CEA"/>
    <w:rsid w:val="00FD5E9F"/>
    <w:rsid w:val="00FD5EE7"/>
    <w:rsid w:val="00FD622F"/>
    <w:rsid w:val="00FD6230"/>
    <w:rsid w:val="00FD63F0"/>
    <w:rsid w:val="00FD6577"/>
    <w:rsid w:val="00FD66BC"/>
    <w:rsid w:val="00FD670E"/>
    <w:rsid w:val="00FD6866"/>
    <w:rsid w:val="00FD69C9"/>
    <w:rsid w:val="00FD69E9"/>
    <w:rsid w:val="00FD6A79"/>
    <w:rsid w:val="00FD6B21"/>
    <w:rsid w:val="00FD6BDD"/>
    <w:rsid w:val="00FD6EFA"/>
    <w:rsid w:val="00FD7192"/>
    <w:rsid w:val="00FD7230"/>
    <w:rsid w:val="00FD73A3"/>
    <w:rsid w:val="00FD75C2"/>
    <w:rsid w:val="00FD76B6"/>
    <w:rsid w:val="00FD76BE"/>
    <w:rsid w:val="00FD7A1B"/>
    <w:rsid w:val="00FD7A87"/>
    <w:rsid w:val="00FD7C09"/>
    <w:rsid w:val="00FD7C7B"/>
    <w:rsid w:val="00FD7E5D"/>
    <w:rsid w:val="00FD7F69"/>
    <w:rsid w:val="00FE0215"/>
    <w:rsid w:val="00FE042C"/>
    <w:rsid w:val="00FE05F3"/>
    <w:rsid w:val="00FE07F1"/>
    <w:rsid w:val="00FE090E"/>
    <w:rsid w:val="00FE0A57"/>
    <w:rsid w:val="00FE0AF5"/>
    <w:rsid w:val="00FE0D29"/>
    <w:rsid w:val="00FE0DF9"/>
    <w:rsid w:val="00FE0E9E"/>
    <w:rsid w:val="00FE1908"/>
    <w:rsid w:val="00FE1B1F"/>
    <w:rsid w:val="00FE1BC2"/>
    <w:rsid w:val="00FE1EF5"/>
    <w:rsid w:val="00FE1F36"/>
    <w:rsid w:val="00FE20A6"/>
    <w:rsid w:val="00FE2141"/>
    <w:rsid w:val="00FE22D0"/>
    <w:rsid w:val="00FE2413"/>
    <w:rsid w:val="00FE2517"/>
    <w:rsid w:val="00FE2633"/>
    <w:rsid w:val="00FE2789"/>
    <w:rsid w:val="00FE292B"/>
    <w:rsid w:val="00FE2BD2"/>
    <w:rsid w:val="00FE2C51"/>
    <w:rsid w:val="00FE30C3"/>
    <w:rsid w:val="00FE31FC"/>
    <w:rsid w:val="00FE34DC"/>
    <w:rsid w:val="00FE35A7"/>
    <w:rsid w:val="00FE36B0"/>
    <w:rsid w:val="00FE392C"/>
    <w:rsid w:val="00FE3EE8"/>
    <w:rsid w:val="00FE3FA1"/>
    <w:rsid w:val="00FE4036"/>
    <w:rsid w:val="00FE413E"/>
    <w:rsid w:val="00FE423E"/>
    <w:rsid w:val="00FE4281"/>
    <w:rsid w:val="00FE4294"/>
    <w:rsid w:val="00FE42C2"/>
    <w:rsid w:val="00FE43D3"/>
    <w:rsid w:val="00FE45A1"/>
    <w:rsid w:val="00FE4642"/>
    <w:rsid w:val="00FE4672"/>
    <w:rsid w:val="00FE46FC"/>
    <w:rsid w:val="00FE4988"/>
    <w:rsid w:val="00FE4AC4"/>
    <w:rsid w:val="00FE4B9D"/>
    <w:rsid w:val="00FE4C09"/>
    <w:rsid w:val="00FE4D32"/>
    <w:rsid w:val="00FE4E6D"/>
    <w:rsid w:val="00FE4F46"/>
    <w:rsid w:val="00FE50AB"/>
    <w:rsid w:val="00FE5559"/>
    <w:rsid w:val="00FE5580"/>
    <w:rsid w:val="00FE5710"/>
    <w:rsid w:val="00FE5800"/>
    <w:rsid w:val="00FE5CCC"/>
    <w:rsid w:val="00FE5DA4"/>
    <w:rsid w:val="00FE5E22"/>
    <w:rsid w:val="00FE5E47"/>
    <w:rsid w:val="00FE5F2F"/>
    <w:rsid w:val="00FE63DC"/>
    <w:rsid w:val="00FE673A"/>
    <w:rsid w:val="00FE685D"/>
    <w:rsid w:val="00FE6B4B"/>
    <w:rsid w:val="00FE6D00"/>
    <w:rsid w:val="00FE6F36"/>
    <w:rsid w:val="00FE7017"/>
    <w:rsid w:val="00FE7311"/>
    <w:rsid w:val="00FE764B"/>
    <w:rsid w:val="00FE76B0"/>
    <w:rsid w:val="00FE76B5"/>
    <w:rsid w:val="00FE7922"/>
    <w:rsid w:val="00FE7E3C"/>
    <w:rsid w:val="00FF001F"/>
    <w:rsid w:val="00FF012F"/>
    <w:rsid w:val="00FF02D2"/>
    <w:rsid w:val="00FF02EE"/>
    <w:rsid w:val="00FF0418"/>
    <w:rsid w:val="00FF098B"/>
    <w:rsid w:val="00FF0AF3"/>
    <w:rsid w:val="00FF13E7"/>
    <w:rsid w:val="00FF15E9"/>
    <w:rsid w:val="00FF167D"/>
    <w:rsid w:val="00FF1741"/>
    <w:rsid w:val="00FF1765"/>
    <w:rsid w:val="00FF1780"/>
    <w:rsid w:val="00FF1D79"/>
    <w:rsid w:val="00FF1EEE"/>
    <w:rsid w:val="00FF1F06"/>
    <w:rsid w:val="00FF2178"/>
    <w:rsid w:val="00FF224B"/>
    <w:rsid w:val="00FF28C1"/>
    <w:rsid w:val="00FF297F"/>
    <w:rsid w:val="00FF2A6A"/>
    <w:rsid w:val="00FF2BD4"/>
    <w:rsid w:val="00FF2E75"/>
    <w:rsid w:val="00FF32CA"/>
    <w:rsid w:val="00FF3B18"/>
    <w:rsid w:val="00FF3D73"/>
    <w:rsid w:val="00FF3E5F"/>
    <w:rsid w:val="00FF3E70"/>
    <w:rsid w:val="00FF3E91"/>
    <w:rsid w:val="00FF40B3"/>
    <w:rsid w:val="00FF4240"/>
    <w:rsid w:val="00FF427E"/>
    <w:rsid w:val="00FF4499"/>
    <w:rsid w:val="00FF44B2"/>
    <w:rsid w:val="00FF44C9"/>
    <w:rsid w:val="00FF4729"/>
    <w:rsid w:val="00FF50C8"/>
    <w:rsid w:val="00FF53A3"/>
    <w:rsid w:val="00FF577F"/>
    <w:rsid w:val="00FF594A"/>
    <w:rsid w:val="00FF5A01"/>
    <w:rsid w:val="00FF5C75"/>
    <w:rsid w:val="00FF5D2D"/>
    <w:rsid w:val="00FF5F17"/>
    <w:rsid w:val="00FF6690"/>
    <w:rsid w:val="00FF6A4C"/>
    <w:rsid w:val="00FF6D11"/>
    <w:rsid w:val="00FF6D6A"/>
    <w:rsid w:val="00FF6E1C"/>
    <w:rsid w:val="00FF6E6B"/>
    <w:rsid w:val="00FF6FCB"/>
    <w:rsid w:val="00FF702A"/>
    <w:rsid w:val="00FF715D"/>
    <w:rsid w:val="00FF7171"/>
    <w:rsid w:val="00FF71F1"/>
    <w:rsid w:val="00FF724D"/>
    <w:rsid w:val="00FF75EF"/>
    <w:rsid w:val="00FF772A"/>
    <w:rsid w:val="00FF794C"/>
    <w:rsid w:val="00FF7D11"/>
    <w:rsid w:val="00FF7D6C"/>
    <w:rsid w:val="010453BD"/>
    <w:rsid w:val="019A9593"/>
    <w:rsid w:val="01A6391B"/>
    <w:rsid w:val="01BDB0C1"/>
    <w:rsid w:val="020B3904"/>
    <w:rsid w:val="0241697D"/>
    <w:rsid w:val="024609AD"/>
    <w:rsid w:val="0253209D"/>
    <w:rsid w:val="027448F3"/>
    <w:rsid w:val="02D6A2CB"/>
    <w:rsid w:val="0308C463"/>
    <w:rsid w:val="03249D6D"/>
    <w:rsid w:val="03D37727"/>
    <w:rsid w:val="04073970"/>
    <w:rsid w:val="0409B373"/>
    <w:rsid w:val="049A64E9"/>
    <w:rsid w:val="04A2B592"/>
    <w:rsid w:val="04E1886A"/>
    <w:rsid w:val="0509234C"/>
    <w:rsid w:val="052DF9F7"/>
    <w:rsid w:val="05DFC6A4"/>
    <w:rsid w:val="06030565"/>
    <w:rsid w:val="060CCD6A"/>
    <w:rsid w:val="0623570B"/>
    <w:rsid w:val="06326285"/>
    <w:rsid w:val="0653C2A2"/>
    <w:rsid w:val="06573789"/>
    <w:rsid w:val="06C3D3A3"/>
    <w:rsid w:val="07131A88"/>
    <w:rsid w:val="072690ED"/>
    <w:rsid w:val="07310331"/>
    <w:rsid w:val="081278DC"/>
    <w:rsid w:val="0854C425"/>
    <w:rsid w:val="08A38167"/>
    <w:rsid w:val="095B8487"/>
    <w:rsid w:val="09824E83"/>
    <w:rsid w:val="09955441"/>
    <w:rsid w:val="09989B62"/>
    <w:rsid w:val="0A179370"/>
    <w:rsid w:val="0A6DB7C2"/>
    <w:rsid w:val="0BC0402C"/>
    <w:rsid w:val="0BD0E957"/>
    <w:rsid w:val="0BE9B6F5"/>
    <w:rsid w:val="0C6429B1"/>
    <w:rsid w:val="0C6C2178"/>
    <w:rsid w:val="0CA025F7"/>
    <w:rsid w:val="0CD420DA"/>
    <w:rsid w:val="0D305364"/>
    <w:rsid w:val="0DB99A64"/>
    <w:rsid w:val="0DC8893A"/>
    <w:rsid w:val="0DEA833B"/>
    <w:rsid w:val="0E452513"/>
    <w:rsid w:val="0E70FAF4"/>
    <w:rsid w:val="0EE94028"/>
    <w:rsid w:val="0F04ECE6"/>
    <w:rsid w:val="0F0624A8"/>
    <w:rsid w:val="0FA6B8AD"/>
    <w:rsid w:val="0FE69AA3"/>
    <w:rsid w:val="10051CD7"/>
    <w:rsid w:val="105740AB"/>
    <w:rsid w:val="10893B7D"/>
    <w:rsid w:val="10A4A174"/>
    <w:rsid w:val="10D8D60F"/>
    <w:rsid w:val="113AD6FC"/>
    <w:rsid w:val="114B30B6"/>
    <w:rsid w:val="1151DA67"/>
    <w:rsid w:val="11DDD58D"/>
    <w:rsid w:val="11E266A3"/>
    <w:rsid w:val="1254140A"/>
    <w:rsid w:val="129D4E88"/>
    <w:rsid w:val="12A02D41"/>
    <w:rsid w:val="12A83150"/>
    <w:rsid w:val="12BD60EB"/>
    <w:rsid w:val="12D14759"/>
    <w:rsid w:val="12E3B889"/>
    <w:rsid w:val="1370FEE0"/>
    <w:rsid w:val="13749C73"/>
    <w:rsid w:val="13C2FF40"/>
    <w:rsid w:val="13EA1F6A"/>
    <w:rsid w:val="13FAA238"/>
    <w:rsid w:val="14B464B5"/>
    <w:rsid w:val="15290816"/>
    <w:rsid w:val="1579F5A4"/>
    <w:rsid w:val="15D58FE2"/>
    <w:rsid w:val="15FAC6C2"/>
    <w:rsid w:val="16111F15"/>
    <w:rsid w:val="1622AB72"/>
    <w:rsid w:val="1642E6EA"/>
    <w:rsid w:val="16A36583"/>
    <w:rsid w:val="16AE2418"/>
    <w:rsid w:val="16D3A9F2"/>
    <w:rsid w:val="16E89532"/>
    <w:rsid w:val="1731B354"/>
    <w:rsid w:val="179038E1"/>
    <w:rsid w:val="17939AE6"/>
    <w:rsid w:val="17BDED45"/>
    <w:rsid w:val="17E1E05D"/>
    <w:rsid w:val="17FBCA56"/>
    <w:rsid w:val="1817EBCA"/>
    <w:rsid w:val="182234BC"/>
    <w:rsid w:val="18354602"/>
    <w:rsid w:val="18761943"/>
    <w:rsid w:val="1893C19C"/>
    <w:rsid w:val="192F4399"/>
    <w:rsid w:val="19301433"/>
    <w:rsid w:val="194AE5E1"/>
    <w:rsid w:val="19AEC888"/>
    <w:rsid w:val="19BFDBE3"/>
    <w:rsid w:val="19FE5653"/>
    <w:rsid w:val="1A222EF5"/>
    <w:rsid w:val="1A44A4E4"/>
    <w:rsid w:val="1A469044"/>
    <w:rsid w:val="1A730595"/>
    <w:rsid w:val="1A9F2F39"/>
    <w:rsid w:val="1AB19AFE"/>
    <w:rsid w:val="1B055D43"/>
    <w:rsid w:val="1B5FF717"/>
    <w:rsid w:val="1BB73EB1"/>
    <w:rsid w:val="1BBA3A3F"/>
    <w:rsid w:val="1BBB3616"/>
    <w:rsid w:val="1C0D60F6"/>
    <w:rsid w:val="1C131726"/>
    <w:rsid w:val="1C308816"/>
    <w:rsid w:val="1D637AD8"/>
    <w:rsid w:val="1D6613C3"/>
    <w:rsid w:val="1DAFC3F3"/>
    <w:rsid w:val="1E33FC63"/>
    <w:rsid w:val="1E61A626"/>
    <w:rsid w:val="1E7E47E2"/>
    <w:rsid w:val="1E8F8574"/>
    <w:rsid w:val="1EBAE69F"/>
    <w:rsid w:val="1F2508D9"/>
    <w:rsid w:val="1F26F5C8"/>
    <w:rsid w:val="1F6CAE05"/>
    <w:rsid w:val="1F74BEB8"/>
    <w:rsid w:val="1FA1E739"/>
    <w:rsid w:val="1FED9F27"/>
    <w:rsid w:val="205D4194"/>
    <w:rsid w:val="2089C9B1"/>
    <w:rsid w:val="20CA250F"/>
    <w:rsid w:val="20E3F73E"/>
    <w:rsid w:val="211CF0C7"/>
    <w:rsid w:val="21635A69"/>
    <w:rsid w:val="216E983F"/>
    <w:rsid w:val="2197C447"/>
    <w:rsid w:val="21F1EF64"/>
    <w:rsid w:val="220A5B84"/>
    <w:rsid w:val="2265604B"/>
    <w:rsid w:val="2284F993"/>
    <w:rsid w:val="2288BDF8"/>
    <w:rsid w:val="231A9C2B"/>
    <w:rsid w:val="2346CADC"/>
    <w:rsid w:val="23BDA927"/>
    <w:rsid w:val="23BE132C"/>
    <w:rsid w:val="23E53508"/>
    <w:rsid w:val="241B21EC"/>
    <w:rsid w:val="244FB8D8"/>
    <w:rsid w:val="24D0A826"/>
    <w:rsid w:val="25C1CBF6"/>
    <w:rsid w:val="262719B3"/>
    <w:rsid w:val="26C4D64B"/>
    <w:rsid w:val="2710F80A"/>
    <w:rsid w:val="276C4DFC"/>
    <w:rsid w:val="2798C4AC"/>
    <w:rsid w:val="27B5C48A"/>
    <w:rsid w:val="2841B6DE"/>
    <w:rsid w:val="285BF53E"/>
    <w:rsid w:val="293832D6"/>
    <w:rsid w:val="29663D27"/>
    <w:rsid w:val="29977B1E"/>
    <w:rsid w:val="29DF9902"/>
    <w:rsid w:val="2A0FD35C"/>
    <w:rsid w:val="2A20138B"/>
    <w:rsid w:val="2A3D3517"/>
    <w:rsid w:val="2A5660CA"/>
    <w:rsid w:val="2AB778CD"/>
    <w:rsid w:val="2ABE739B"/>
    <w:rsid w:val="2ACEA4AE"/>
    <w:rsid w:val="2B411357"/>
    <w:rsid w:val="2B44F670"/>
    <w:rsid w:val="2B710E1D"/>
    <w:rsid w:val="2B989525"/>
    <w:rsid w:val="2BA9FD17"/>
    <w:rsid w:val="2BDE76EE"/>
    <w:rsid w:val="2BE4CFA3"/>
    <w:rsid w:val="2C26608E"/>
    <w:rsid w:val="2C4CE360"/>
    <w:rsid w:val="2CCC0481"/>
    <w:rsid w:val="2CF79748"/>
    <w:rsid w:val="2D0B96A4"/>
    <w:rsid w:val="2D304F02"/>
    <w:rsid w:val="2D4EF378"/>
    <w:rsid w:val="2D7ADC25"/>
    <w:rsid w:val="2DFB8044"/>
    <w:rsid w:val="2E051CB8"/>
    <w:rsid w:val="2E467F75"/>
    <w:rsid w:val="2E82BC19"/>
    <w:rsid w:val="2E92277E"/>
    <w:rsid w:val="2EA45EE8"/>
    <w:rsid w:val="2EC21208"/>
    <w:rsid w:val="2EF0A2F4"/>
    <w:rsid w:val="2F14DF67"/>
    <w:rsid w:val="2F2E0FCC"/>
    <w:rsid w:val="2FD07FC5"/>
    <w:rsid w:val="3009ABC4"/>
    <w:rsid w:val="309D5563"/>
    <w:rsid w:val="30F76332"/>
    <w:rsid w:val="31063DB7"/>
    <w:rsid w:val="311404A1"/>
    <w:rsid w:val="318B5E2D"/>
    <w:rsid w:val="319150CF"/>
    <w:rsid w:val="32E16EEE"/>
    <w:rsid w:val="33184A21"/>
    <w:rsid w:val="3322DDF6"/>
    <w:rsid w:val="3328F96F"/>
    <w:rsid w:val="33399300"/>
    <w:rsid w:val="33799AE7"/>
    <w:rsid w:val="3380CC99"/>
    <w:rsid w:val="33D7B621"/>
    <w:rsid w:val="343C71E8"/>
    <w:rsid w:val="344505A6"/>
    <w:rsid w:val="348680E9"/>
    <w:rsid w:val="34EDA94C"/>
    <w:rsid w:val="34F61CA6"/>
    <w:rsid w:val="34FE41A2"/>
    <w:rsid w:val="3503BAF8"/>
    <w:rsid w:val="35098F54"/>
    <w:rsid w:val="350D6968"/>
    <w:rsid w:val="35864A83"/>
    <w:rsid w:val="35C52AD6"/>
    <w:rsid w:val="35F380DF"/>
    <w:rsid w:val="361873A6"/>
    <w:rsid w:val="36AA89DD"/>
    <w:rsid w:val="36C839AD"/>
    <w:rsid w:val="36DBCC11"/>
    <w:rsid w:val="36E6844E"/>
    <w:rsid w:val="3753F2BD"/>
    <w:rsid w:val="3789ABE6"/>
    <w:rsid w:val="3819145E"/>
    <w:rsid w:val="382AC39D"/>
    <w:rsid w:val="384F8A94"/>
    <w:rsid w:val="3858A13F"/>
    <w:rsid w:val="389E02B3"/>
    <w:rsid w:val="38F31063"/>
    <w:rsid w:val="395B3460"/>
    <w:rsid w:val="39C84B5B"/>
    <w:rsid w:val="39C952A7"/>
    <w:rsid w:val="3A02FAFA"/>
    <w:rsid w:val="3A2277BB"/>
    <w:rsid w:val="3A31111E"/>
    <w:rsid w:val="3A468DBD"/>
    <w:rsid w:val="3A76DBC6"/>
    <w:rsid w:val="3AA4D973"/>
    <w:rsid w:val="3AF31BFA"/>
    <w:rsid w:val="3B1E8A31"/>
    <w:rsid w:val="3B7ADB9B"/>
    <w:rsid w:val="3B852AB1"/>
    <w:rsid w:val="3BE50EB1"/>
    <w:rsid w:val="3C1085EC"/>
    <w:rsid w:val="3C1B0C78"/>
    <w:rsid w:val="3C38B336"/>
    <w:rsid w:val="3C3FC367"/>
    <w:rsid w:val="3CA08B3C"/>
    <w:rsid w:val="3CB9A11E"/>
    <w:rsid w:val="3CBD06E3"/>
    <w:rsid w:val="3CD3DC99"/>
    <w:rsid w:val="3CE97097"/>
    <w:rsid w:val="3CEE3851"/>
    <w:rsid w:val="3CF84244"/>
    <w:rsid w:val="3D10CA2E"/>
    <w:rsid w:val="3D2A2056"/>
    <w:rsid w:val="3D655B0F"/>
    <w:rsid w:val="3D74BB3C"/>
    <w:rsid w:val="3DA821C4"/>
    <w:rsid w:val="3DDB3B61"/>
    <w:rsid w:val="3E296665"/>
    <w:rsid w:val="3E709603"/>
    <w:rsid w:val="3E89270A"/>
    <w:rsid w:val="3EA311C8"/>
    <w:rsid w:val="3EC23A5A"/>
    <w:rsid w:val="3FC2203B"/>
    <w:rsid w:val="3FD92F46"/>
    <w:rsid w:val="40304220"/>
    <w:rsid w:val="40B527FC"/>
    <w:rsid w:val="40EBD649"/>
    <w:rsid w:val="41172DA8"/>
    <w:rsid w:val="4128EDC0"/>
    <w:rsid w:val="41BBB27A"/>
    <w:rsid w:val="41E25E22"/>
    <w:rsid w:val="4236A46E"/>
    <w:rsid w:val="4259EA19"/>
    <w:rsid w:val="42906F99"/>
    <w:rsid w:val="4338C6BF"/>
    <w:rsid w:val="4358EB4E"/>
    <w:rsid w:val="43A9E090"/>
    <w:rsid w:val="44718D9A"/>
    <w:rsid w:val="44A7F110"/>
    <w:rsid w:val="44C079DB"/>
    <w:rsid w:val="454912A9"/>
    <w:rsid w:val="4581463B"/>
    <w:rsid w:val="45EA5A38"/>
    <w:rsid w:val="45EE45FB"/>
    <w:rsid w:val="463F0ED7"/>
    <w:rsid w:val="46641886"/>
    <w:rsid w:val="4678C46B"/>
    <w:rsid w:val="471E8BFF"/>
    <w:rsid w:val="4747672D"/>
    <w:rsid w:val="4789EDB1"/>
    <w:rsid w:val="47AAC2DB"/>
    <w:rsid w:val="47B0F6E5"/>
    <w:rsid w:val="47C9C94B"/>
    <w:rsid w:val="486D354F"/>
    <w:rsid w:val="486DB5F3"/>
    <w:rsid w:val="48956F38"/>
    <w:rsid w:val="48DC9A7C"/>
    <w:rsid w:val="49240218"/>
    <w:rsid w:val="495E2A05"/>
    <w:rsid w:val="49932613"/>
    <w:rsid w:val="49C8AD81"/>
    <w:rsid w:val="49FEA358"/>
    <w:rsid w:val="4A1E8DD0"/>
    <w:rsid w:val="4A45B563"/>
    <w:rsid w:val="4A4614B8"/>
    <w:rsid w:val="4A4ABCF0"/>
    <w:rsid w:val="4ACC1229"/>
    <w:rsid w:val="4B54CE34"/>
    <w:rsid w:val="4B5D53D4"/>
    <w:rsid w:val="4B5F34FC"/>
    <w:rsid w:val="4B81F575"/>
    <w:rsid w:val="4B820FDD"/>
    <w:rsid w:val="4BBA34B2"/>
    <w:rsid w:val="4BE68354"/>
    <w:rsid w:val="4C72A3D9"/>
    <w:rsid w:val="4CAF8692"/>
    <w:rsid w:val="4CBBAE6F"/>
    <w:rsid w:val="4D03775A"/>
    <w:rsid w:val="4D09EE8E"/>
    <w:rsid w:val="4D2255D7"/>
    <w:rsid w:val="4D9241FF"/>
    <w:rsid w:val="4DBF89BF"/>
    <w:rsid w:val="4E2A7C44"/>
    <w:rsid w:val="4E3B0375"/>
    <w:rsid w:val="4E41BF98"/>
    <w:rsid w:val="4EA153DB"/>
    <w:rsid w:val="4EC565A9"/>
    <w:rsid w:val="4F1253A7"/>
    <w:rsid w:val="4F43BD54"/>
    <w:rsid w:val="4F5F00DA"/>
    <w:rsid w:val="4F76F5C3"/>
    <w:rsid w:val="4F9A054D"/>
    <w:rsid w:val="4FB25B1E"/>
    <w:rsid w:val="4FB28E65"/>
    <w:rsid w:val="4FDA4B35"/>
    <w:rsid w:val="5026E827"/>
    <w:rsid w:val="50575EB7"/>
    <w:rsid w:val="5094B7C7"/>
    <w:rsid w:val="50B600B1"/>
    <w:rsid w:val="50C39776"/>
    <w:rsid w:val="5107C696"/>
    <w:rsid w:val="514C24B4"/>
    <w:rsid w:val="5167833C"/>
    <w:rsid w:val="518AFB6F"/>
    <w:rsid w:val="518B9BBE"/>
    <w:rsid w:val="51ABDEEA"/>
    <w:rsid w:val="51B9ACDB"/>
    <w:rsid w:val="522B18CB"/>
    <w:rsid w:val="52335075"/>
    <w:rsid w:val="5296E096"/>
    <w:rsid w:val="52B54DA7"/>
    <w:rsid w:val="53EB1E62"/>
    <w:rsid w:val="5415FF53"/>
    <w:rsid w:val="5438987E"/>
    <w:rsid w:val="543CF57C"/>
    <w:rsid w:val="545F8DE6"/>
    <w:rsid w:val="547327DE"/>
    <w:rsid w:val="54861F18"/>
    <w:rsid w:val="54D47AE8"/>
    <w:rsid w:val="552FCEA4"/>
    <w:rsid w:val="55B90F33"/>
    <w:rsid w:val="55E7E7FB"/>
    <w:rsid w:val="56D1CEA4"/>
    <w:rsid w:val="57613766"/>
    <w:rsid w:val="57FCEC7E"/>
    <w:rsid w:val="581D5B9C"/>
    <w:rsid w:val="58AE2EE2"/>
    <w:rsid w:val="58F68C66"/>
    <w:rsid w:val="596318D4"/>
    <w:rsid w:val="59A3B216"/>
    <w:rsid w:val="59D03788"/>
    <w:rsid w:val="5A07DA3B"/>
    <w:rsid w:val="5A08BBC8"/>
    <w:rsid w:val="5A14044C"/>
    <w:rsid w:val="5A2A5C53"/>
    <w:rsid w:val="5A30D239"/>
    <w:rsid w:val="5A374B50"/>
    <w:rsid w:val="5A3DADFF"/>
    <w:rsid w:val="5AF362AD"/>
    <w:rsid w:val="5B24B92D"/>
    <w:rsid w:val="5B570427"/>
    <w:rsid w:val="5B5918D4"/>
    <w:rsid w:val="5C04EF61"/>
    <w:rsid w:val="5C242E62"/>
    <w:rsid w:val="5CBAAC6A"/>
    <w:rsid w:val="5CD66A77"/>
    <w:rsid w:val="5CFC9EA5"/>
    <w:rsid w:val="5CFEA656"/>
    <w:rsid w:val="5D199FC5"/>
    <w:rsid w:val="5D4A00A2"/>
    <w:rsid w:val="5DB52E27"/>
    <w:rsid w:val="5E1724AD"/>
    <w:rsid w:val="5E18C566"/>
    <w:rsid w:val="5E311D83"/>
    <w:rsid w:val="5E49921C"/>
    <w:rsid w:val="5E5A3B90"/>
    <w:rsid w:val="5E67A417"/>
    <w:rsid w:val="5E83329D"/>
    <w:rsid w:val="5E856236"/>
    <w:rsid w:val="5EC44281"/>
    <w:rsid w:val="5F042619"/>
    <w:rsid w:val="5F2604A5"/>
    <w:rsid w:val="5F79C653"/>
    <w:rsid w:val="5FEDA508"/>
    <w:rsid w:val="60395F4F"/>
    <w:rsid w:val="606E24A0"/>
    <w:rsid w:val="6129C660"/>
    <w:rsid w:val="612D43AE"/>
    <w:rsid w:val="612D8F59"/>
    <w:rsid w:val="616AF724"/>
    <w:rsid w:val="616E2D67"/>
    <w:rsid w:val="617994D4"/>
    <w:rsid w:val="61B7A57B"/>
    <w:rsid w:val="6247B5A1"/>
    <w:rsid w:val="62589F57"/>
    <w:rsid w:val="625C2E51"/>
    <w:rsid w:val="62659A4D"/>
    <w:rsid w:val="6298673B"/>
    <w:rsid w:val="638F19F0"/>
    <w:rsid w:val="6397D4C5"/>
    <w:rsid w:val="639A08B1"/>
    <w:rsid w:val="63C8B7D0"/>
    <w:rsid w:val="6402A6F7"/>
    <w:rsid w:val="643F8234"/>
    <w:rsid w:val="64457DB6"/>
    <w:rsid w:val="6446CD7E"/>
    <w:rsid w:val="64608167"/>
    <w:rsid w:val="648116A4"/>
    <w:rsid w:val="64DF5A5B"/>
    <w:rsid w:val="64F47566"/>
    <w:rsid w:val="64F78590"/>
    <w:rsid w:val="650FBA05"/>
    <w:rsid w:val="6554BD2C"/>
    <w:rsid w:val="657D9989"/>
    <w:rsid w:val="659918C6"/>
    <w:rsid w:val="6600C06E"/>
    <w:rsid w:val="661F71A6"/>
    <w:rsid w:val="661F9E0C"/>
    <w:rsid w:val="663C9B19"/>
    <w:rsid w:val="663F6939"/>
    <w:rsid w:val="66FE67C6"/>
    <w:rsid w:val="6718DF2C"/>
    <w:rsid w:val="679051BE"/>
    <w:rsid w:val="67A18C5F"/>
    <w:rsid w:val="67CAB026"/>
    <w:rsid w:val="67CE19E4"/>
    <w:rsid w:val="683CC674"/>
    <w:rsid w:val="68492D94"/>
    <w:rsid w:val="685175BC"/>
    <w:rsid w:val="68655C5D"/>
    <w:rsid w:val="6872D17E"/>
    <w:rsid w:val="687D318F"/>
    <w:rsid w:val="68ACAD2C"/>
    <w:rsid w:val="69005E5E"/>
    <w:rsid w:val="697702FE"/>
    <w:rsid w:val="69DCF0D8"/>
    <w:rsid w:val="69F6C57C"/>
    <w:rsid w:val="6A05DB23"/>
    <w:rsid w:val="6A1E81BA"/>
    <w:rsid w:val="6AA4A3DF"/>
    <w:rsid w:val="6AB3B609"/>
    <w:rsid w:val="6AC95A0E"/>
    <w:rsid w:val="6AD789AF"/>
    <w:rsid w:val="6AE62571"/>
    <w:rsid w:val="6AEC9B0A"/>
    <w:rsid w:val="6B16AF7C"/>
    <w:rsid w:val="6B30D1F3"/>
    <w:rsid w:val="6B367693"/>
    <w:rsid w:val="6B659AB7"/>
    <w:rsid w:val="6B802FE2"/>
    <w:rsid w:val="6B856705"/>
    <w:rsid w:val="6B9CF4C5"/>
    <w:rsid w:val="6BCF695E"/>
    <w:rsid w:val="6BD4239C"/>
    <w:rsid w:val="6BDB68E9"/>
    <w:rsid w:val="6C3C4A27"/>
    <w:rsid w:val="6C695CA1"/>
    <w:rsid w:val="6C8364CF"/>
    <w:rsid w:val="6DDAF032"/>
    <w:rsid w:val="6E34213B"/>
    <w:rsid w:val="6E53FA78"/>
    <w:rsid w:val="6E6E49B3"/>
    <w:rsid w:val="6EF1896F"/>
    <w:rsid w:val="6F192639"/>
    <w:rsid w:val="6F206B7D"/>
    <w:rsid w:val="6F77D3E0"/>
    <w:rsid w:val="6FA795BD"/>
    <w:rsid w:val="6FD30B02"/>
    <w:rsid w:val="6FFB019C"/>
    <w:rsid w:val="700EE13E"/>
    <w:rsid w:val="702F04D7"/>
    <w:rsid w:val="705C7801"/>
    <w:rsid w:val="706A161A"/>
    <w:rsid w:val="7094EEE8"/>
    <w:rsid w:val="7101267B"/>
    <w:rsid w:val="7137395D"/>
    <w:rsid w:val="716BA0B1"/>
    <w:rsid w:val="720220A6"/>
    <w:rsid w:val="7269FFFE"/>
    <w:rsid w:val="7297DBE5"/>
    <w:rsid w:val="7298FEC6"/>
    <w:rsid w:val="729EB395"/>
    <w:rsid w:val="72EDB6ED"/>
    <w:rsid w:val="73557C0F"/>
    <w:rsid w:val="739F92C0"/>
    <w:rsid w:val="73D14245"/>
    <w:rsid w:val="741F4259"/>
    <w:rsid w:val="744140D0"/>
    <w:rsid w:val="7445E991"/>
    <w:rsid w:val="74B8EA26"/>
    <w:rsid w:val="75002CBF"/>
    <w:rsid w:val="7540F6DC"/>
    <w:rsid w:val="75726948"/>
    <w:rsid w:val="758B81A7"/>
    <w:rsid w:val="75C72F4A"/>
    <w:rsid w:val="75D68732"/>
    <w:rsid w:val="75DC7A18"/>
    <w:rsid w:val="75EEB342"/>
    <w:rsid w:val="762A2237"/>
    <w:rsid w:val="76C1CADB"/>
    <w:rsid w:val="76FA6D6A"/>
    <w:rsid w:val="773AA8F4"/>
    <w:rsid w:val="773B228D"/>
    <w:rsid w:val="781AACFB"/>
    <w:rsid w:val="786BAF68"/>
    <w:rsid w:val="790C5483"/>
    <w:rsid w:val="79978BE1"/>
    <w:rsid w:val="79E0E0BD"/>
    <w:rsid w:val="7A3A7491"/>
    <w:rsid w:val="7A4A9F5E"/>
    <w:rsid w:val="7AAB68C9"/>
    <w:rsid w:val="7ABD72A4"/>
    <w:rsid w:val="7AFDEB23"/>
    <w:rsid w:val="7B1D3C96"/>
    <w:rsid w:val="7B737A12"/>
    <w:rsid w:val="7B885673"/>
    <w:rsid w:val="7B8D1975"/>
    <w:rsid w:val="7B918740"/>
    <w:rsid w:val="7BA063C6"/>
    <w:rsid w:val="7C7B645F"/>
    <w:rsid w:val="7C7E44C1"/>
    <w:rsid w:val="7CA9D151"/>
    <w:rsid w:val="7CCC2789"/>
    <w:rsid w:val="7CEF9101"/>
    <w:rsid w:val="7D20774A"/>
    <w:rsid w:val="7D4C1F72"/>
    <w:rsid w:val="7D5D085F"/>
    <w:rsid w:val="7D9AA3F3"/>
    <w:rsid w:val="7E16C10A"/>
    <w:rsid w:val="7E7D773D"/>
    <w:rsid w:val="7EAB3202"/>
    <w:rsid w:val="7ED56C49"/>
    <w:rsid w:val="7EFCBEC0"/>
    <w:rsid w:val="7F06216E"/>
    <w:rsid w:val="7F1ACA0C"/>
    <w:rsid w:val="7F403965"/>
    <w:rsid w:val="7F505FAC"/>
    <w:rsid w:val="7F5D9363"/>
    <w:rsid w:val="7F699DBA"/>
    <w:rsid w:val="7F889F67"/>
    <w:rsid w:val="7F9C4785"/>
    <w:rsid w:val="7FAD51E2"/>
    <w:rsid w:val="7FB5C032"/>
    <w:rsid w:val="7FE3689E"/>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E966D"/>
  <w15:docId w15:val="{505E21DD-56E4-4114-8950-BF6A44D66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5FE"/>
    <w:pPr>
      <w:spacing w:after="240" w:line="240" w:lineRule="auto"/>
      <w:jc w:val="both"/>
    </w:pPr>
  </w:style>
  <w:style w:type="paragraph" w:styleId="Heading1">
    <w:name w:val="heading 1"/>
    <w:aliases w:val="Chapter heading"/>
    <w:basedOn w:val="Normal"/>
    <w:next w:val="Heading2"/>
    <w:link w:val="Heading1Char"/>
    <w:uiPriority w:val="9"/>
    <w:qFormat/>
    <w:rsid w:val="005F6A91"/>
    <w:pPr>
      <w:keepNext/>
      <w:keepLines/>
      <w:pageBreakBefore/>
      <w:numPr>
        <w:numId w:val="34"/>
      </w:numPr>
      <w:pBdr>
        <w:bottom w:val="single" w:sz="18" w:space="1" w:color="003399"/>
      </w:pBdr>
      <w:outlineLvl w:val="0"/>
    </w:pPr>
    <w:rPr>
      <w:rFonts w:eastAsiaTheme="majorEastAsia" w:cstheme="majorBidi"/>
      <w:b/>
      <w:bCs/>
      <w:sz w:val="36"/>
      <w:szCs w:val="28"/>
    </w:rPr>
  </w:style>
  <w:style w:type="paragraph" w:styleId="Heading2">
    <w:name w:val="heading 2"/>
    <w:aliases w:val="Heading 1.1"/>
    <w:basedOn w:val="Normal"/>
    <w:next w:val="Heading3"/>
    <w:link w:val="Heading2Char"/>
    <w:uiPriority w:val="9"/>
    <w:unhideWhenUsed/>
    <w:qFormat/>
    <w:rsid w:val="00C92347"/>
    <w:pPr>
      <w:keepNext/>
      <w:keepLines/>
      <w:numPr>
        <w:ilvl w:val="1"/>
        <w:numId w:val="34"/>
      </w:numPr>
      <w:spacing w:before="240"/>
      <w:outlineLvl w:val="1"/>
    </w:pPr>
    <w:rPr>
      <w:rFonts w:ascii="Calibri" w:eastAsiaTheme="majorEastAsia" w:hAnsi="Calibri" w:cs="Times New Roman"/>
      <w:b/>
      <w:sz w:val="32"/>
      <w:szCs w:val="26"/>
    </w:rPr>
  </w:style>
  <w:style w:type="paragraph" w:styleId="Heading3">
    <w:name w:val="heading 3"/>
    <w:aliases w:val="Heading 1.1.1"/>
    <w:basedOn w:val="Normal"/>
    <w:next w:val="Normal"/>
    <w:link w:val="Heading3Char"/>
    <w:uiPriority w:val="9"/>
    <w:unhideWhenUsed/>
    <w:qFormat/>
    <w:rsid w:val="005B6F77"/>
    <w:pPr>
      <w:keepNext/>
      <w:keepLines/>
      <w:numPr>
        <w:ilvl w:val="2"/>
        <w:numId w:val="34"/>
      </w:numPr>
      <w:spacing w:before="240"/>
      <w:outlineLvl w:val="2"/>
    </w:pPr>
    <w:rPr>
      <w:rFonts w:ascii="Calibri" w:eastAsiaTheme="majorEastAsia" w:hAnsi="Calibri" w:cstheme="majorBidi"/>
      <w:b/>
      <w:bCs/>
      <w:sz w:val="28"/>
    </w:rPr>
  </w:style>
  <w:style w:type="paragraph" w:styleId="Heading4">
    <w:name w:val="heading 4"/>
    <w:basedOn w:val="Normal"/>
    <w:next w:val="Normal"/>
    <w:link w:val="Heading4Char"/>
    <w:uiPriority w:val="9"/>
    <w:unhideWhenUsed/>
    <w:qFormat/>
    <w:rsid w:val="00A33F03"/>
    <w:pPr>
      <w:keepNext/>
      <w:keepLines/>
      <w:spacing w:before="24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A33F03"/>
    <w:pPr>
      <w:keepNext/>
      <w:keepLines/>
      <w:spacing w:before="240"/>
      <w:outlineLvl w:val="4"/>
    </w:pPr>
    <w:rPr>
      <w:rFonts w:ascii="Calibri" w:eastAsiaTheme="majorEastAsia" w:hAnsi="Calibri" w:cstheme="majorBidi"/>
      <w:i/>
      <w:color w:val="000000" w:themeColor="text1"/>
    </w:rPr>
  </w:style>
  <w:style w:type="paragraph" w:styleId="Heading6">
    <w:name w:val="heading 6"/>
    <w:basedOn w:val="Normal"/>
    <w:next w:val="Normal"/>
    <w:link w:val="Heading6Char"/>
    <w:uiPriority w:val="9"/>
    <w:unhideWhenUsed/>
    <w:rsid w:val="007F2648"/>
    <w:pPr>
      <w:keepNext/>
      <w:keepLines/>
      <w:spacing w:before="360" w:after="60"/>
      <w:outlineLvl w:val="5"/>
    </w:pPr>
    <w:rPr>
      <w:rFonts w:ascii="Calibri" w:eastAsiaTheme="majorEastAsia" w:hAnsi="Calibri" w:cstheme="majorBidi"/>
      <w:i/>
      <w:iCs/>
      <w:color w:val="000000" w:themeColor="text1"/>
      <w:u w:val="single"/>
    </w:rPr>
  </w:style>
  <w:style w:type="paragraph" w:styleId="Heading7">
    <w:name w:val="heading 7"/>
    <w:basedOn w:val="Normal"/>
    <w:next w:val="Normal"/>
    <w:link w:val="Heading7Char"/>
    <w:uiPriority w:val="9"/>
    <w:semiHidden/>
    <w:unhideWhenUsed/>
    <w:qFormat/>
    <w:rsid w:val="00130D2D"/>
    <w:pPr>
      <w:keepNext/>
      <w:keepLines/>
      <w:numPr>
        <w:ilvl w:val="6"/>
        <w:numId w:val="3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30D2D"/>
    <w:pPr>
      <w:keepNext/>
      <w:keepLines/>
      <w:numPr>
        <w:ilvl w:val="7"/>
        <w:numId w:val="3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30D2D"/>
    <w:pPr>
      <w:keepNext/>
      <w:keepLines/>
      <w:numPr>
        <w:ilvl w:val="8"/>
        <w:numId w:val="3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49A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9A4"/>
    <w:rPr>
      <w:rFonts w:ascii="Tahoma" w:hAnsi="Tahoma" w:cs="Tahoma"/>
      <w:sz w:val="16"/>
      <w:szCs w:val="16"/>
    </w:rPr>
  </w:style>
  <w:style w:type="character" w:customStyle="1" w:styleId="Heading1Char">
    <w:name w:val="Heading 1 Char"/>
    <w:aliases w:val="Chapter heading Char"/>
    <w:basedOn w:val="DefaultParagraphFont"/>
    <w:link w:val="Heading1"/>
    <w:uiPriority w:val="9"/>
    <w:rsid w:val="005F6A91"/>
    <w:rPr>
      <w:rFonts w:eastAsiaTheme="majorEastAsia" w:cstheme="majorBidi"/>
      <w:b/>
      <w:bCs/>
      <w:sz w:val="36"/>
      <w:szCs w:val="28"/>
    </w:rPr>
  </w:style>
  <w:style w:type="paragraph" w:styleId="TOCHeading">
    <w:name w:val="TOC Heading"/>
    <w:basedOn w:val="Heading1"/>
    <w:next w:val="Normal"/>
    <w:uiPriority w:val="39"/>
    <w:semiHidden/>
    <w:unhideWhenUsed/>
    <w:qFormat/>
    <w:rsid w:val="00934650"/>
    <w:pPr>
      <w:outlineLvl w:val="9"/>
    </w:pPr>
    <w:rPr>
      <w:lang w:val="en-US" w:eastAsia="ja-JP"/>
    </w:rPr>
  </w:style>
  <w:style w:type="paragraph" w:styleId="TOC2">
    <w:name w:val="toc 2"/>
    <w:basedOn w:val="Normal"/>
    <w:next w:val="Normal"/>
    <w:autoRedefine/>
    <w:uiPriority w:val="39"/>
    <w:unhideWhenUsed/>
    <w:rsid w:val="00B87611"/>
    <w:pPr>
      <w:tabs>
        <w:tab w:val="left" w:pos="440"/>
        <w:tab w:val="right" w:leader="dot" w:pos="9016"/>
      </w:tabs>
      <w:spacing w:after="100"/>
    </w:pPr>
    <w:rPr>
      <w:rFonts w:eastAsiaTheme="minorEastAsia"/>
      <w:lang w:val="en-US" w:eastAsia="ja-JP"/>
    </w:rPr>
  </w:style>
  <w:style w:type="paragraph" w:styleId="TOC1">
    <w:name w:val="toc 1"/>
    <w:basedOn w:val="Normal"/>
    <w:next w:val="Normal"/>
    <w:autoRedefine/>
    <w:uiPriority w:val="39"/>
    <w:unhideWhenUsed/>
    <w:rsid w:val="00014325"/>
    <w:pPr>
      <w:tabs>
        <w:tab w:val="left" w:pos="440"/>
        <w:tab w:val="right" w:leader="dot" w:pos="9016"/>
      </w:tabs>
      <w:spacing w:before="360" w:after="100"/>
    </w:pPr>
    <w:rPr>
      <w:rFonts w:eastAsiaTheme="minorEastAsia"/>
      <w:b/>
      <w:noProof/>
      <w:lang w:val="en-US" w:eastAsia="ja-JP"/>
    </w:rPr>
  </w:style>
  <w:style w:type="paragraph" w:styleId="TOC3">
    <w:name w:val="toc 3"/>
    <w:basedOn w:val="Normal"/>
    <w:next w:val="Normal"/>
    <w:autoRedefine/>
    <w:uiPriority w:val="39"/>
    <w:unhideWhenUsed/>
    <w:qFormat/>
    <w:rsid w:val="00934650"/>
    <w:pPr>
      <w:spacing w:after="100"/>
      <w:ind w:left="440"/>
    </w:pPr>
    <w:rPr>
      <w:rFonts w:eastAsiaTheme="minorEastAsia"/>
      <w:lang w:val="en-US" w:eastAsia="ja-JP"/>
    </w:rPr>
  </w:style>
  <w:style w:type="character" w:customStyle="1" w:styleId="Heading2Char">
    <w:name w:val="Heading 2 Char"/>
    <w:aliases w:val="Heading 1.1 Char"/>
    <w:basedOn w:val="DefaultParagraphFont"/>
    <w:link w:val="Heading2"/>
    <w:uiPriority w:val="9"/>
    <w:rsid w:val="00C92347"/>
    <w:rPr>
      <w:rFonts w:ascii="Calibri" w:eastAsiaTheme="majorEastAsia" w:hAnsi="Calibri" w:cs="Times New Roman"/>
      <w:b/>
      <w:sz w:val="32"/>
      <w:szCs w:val="26"/>
    </w:rPr>
  </w:style>
  <w:style w:type="character" w:customStyle="1" w:styleId="Heading3Char">
    <w:name w:val="Heading 3 Char"/>
    <w:aliases w:val="Heading 1.1.1 Char"/>
    <w:basedOn w:val="DefaultParagraphFont"/>
    <w:link w:val="Heading3"/>
    <w:uiPriority w:val="9"/>
    <w:rsid w:val="005B6F77"/>
    <w:rPr>
      <w:rFonts w:ascii="Calibri" w:eastAsiaTheme="majorEastAsia" w:hAnsi="Calibri" w:cstheme="majorBidi"/>
      <w:b/>
      <w:bCs/>
      <w:sz w:val="28"/>
    </w:rPr>
  </w:style>
  <w:style w:type="paragraph" w:styleId="Header">
    <w:name w:val="header"/>
    <w:basedOn w:val="Normal"/>
    <w:link w:val="HeaderChar"/>
    <w:uiPriority w:val="99"/>
    <w:unhideWhenUsed/>
    <w:rsid w:val="00D40E67"/>
    <w:pPr>
      <w:tabs>
        <w:tab w:val="center" w:pos="4513"/>
        <w:tab w:val="right" w:pos="9026"/>
      </w:tabs>
      <w:spacing w:after="0"/>
    </w:pPr>
  </w:style>
  <w:style w:type="character" w:customStyle="1" w:styleId="Heading4Char">
    <w:name w:val="Heading 4 Char"/>
    <w:basedOn w:val="DefaultParagraphFont"/>
    <w:link w:val="Heading4"/>
    <w:uiPriority w:val="9"/>
    <w:rsid w:val="00A33F03"/>
    <w:rPr>
      <w:rFonts w:ascii="Calibri" w:eastAsiaTheme="majorEastAsia" w:hAnsi="Calibri" w:cstheme="majorBidi"/>
      <w:b/>
      <w:bCs/>
      <w:i/>
      <w:iCs/>
      <w:sz w:val="24"/>
    </w:rPr>
  </w:style>
  <w:style w:type="character" w:customStyle="1" w:styleId="Heading5Char">
    <w:name w:val="Heading 5 Char"/>
    <w:basedOn w:val="DefaultParagraphFont"/>
    <w:link w:val="Heading5"/>
    <w:uiPriority w:val="9"/>
    <w:rsid w:val="00A33F03"/>
    <w:rPr>
      <w:rFonts w:ascii="Calibri" w:eastAsiaTheme="majorEastAsia" w:hAnsi="Calibri" w:cstheme="majorBidi"/>
      <w:i/>
      <w:color w:val="000000" w:themeColor="text1"/>
      <w:sz w:val="24"/>
    </w:rPr>
  </w:style>
  <w:style w:type="character" w:customStyle="1" w:styleId="Heading6Char">
    <w:name w:val="Heading 6 Char"/>
    <w:basedOn w:val="DefaultParagraphFont"/>
    <w:link w:val="Heading6"/>
    <w:uiPriority w:val="9"/>
    <w:rsid w:val="007F2648"/>
    <w:rPr>
      <w:rFonts w:ascii="Calibri" w:eastAsiaTheme="majorEastAsia" w:hAnsi="Calibri" w:cstheme="majorBidi"/>
      <w:i/>
      <w:iCs/>
      <w:color w:val="000000" w:themeColor="text1"/>
      <w:sz w:val="24"/>
      <w:u w:val="single"/>
    </w:rPr>
  </w:style>
  <w:style w:type="character" w:customStyle="1" w:styleId="HeaderChar">
    <w:name w:val="Header Char"/>
    <w:basedOn w:val="DefaultParagraphFont"/>
    <w:link w:val="Header"/>
    <w:uiPriority w:val="99"/>
    <w:rsid w:val="00D40E67"/>
  </w:style>
  <w:style w:type="paragraph" w:styleId="Footer">
    <w:name w:val="footer"/>
    <w:basedOn w:val="Normal"/>
    <w:link w:val="FooterChar"/>
    <w:uiPriority w:val="99"/>
    <w:rsid w:val="00E35F20"/>
    <w:pPr>
      <w:pBdr>
        <w:top w:val="single" w:sz="4" w:space="5" w:color="auto"/>
      </w:pBdr>
      <w:tabs>
        <w:tab w:val="center" w:pos="4513"/>
        <w:tab w:val="left" w:pos="5846"/>
      </w:tabs>
      <w:spacing w:after="0"/>
      <w:jc w:val="left"/>
    </w:pPr>
    <w:rPr>
      <w:rFonts w:ascii="Calibri" w:hAnsi="Calibri"/>
      <w:sz w:val="20"/>
      <w:szCs w:val="20"/>
    </w:rPr>
  </w:style>
  <w:style w:type="character" w:customStyle="1" w:styleId="FooterChar">
    <w:name w:val="Footer Char"/>
    <w:basedOn w:val="DefaultParagraphFont"/>
    <w:link w:val="Footer"/>
    <w:uiPriority w:val="99"/>
    <w:rsid w:val="00E35F20"/>
    <w:rPr>
      <w:rFonts w:ascii="Calibri" w:hAnsi="Calibri"/>
      <w:sz w:val="20"/>
      <w:szCs w:val="20"/>
    </w:rPr>
  </w:style>
  <w:style w:type="character" w:customStyle="1" w:styleId="Heading7Char">
    <w:name w:val="Heading 7 Char"/>
    <w:basedOn w:val="DefaultParagraphFont"/>
    <w:link w:val="Heading7"/>
    <w:uiPriority w:val="9"/>
    <w:semiHidden/>
    <w:rsid w:val="00130D2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30D2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30D2D"/>
    <w:rPr>
      <w:rFonts w:asciiTheme="majorHAnsi" w:eastAsiaTheme="majorEastAsia" w:hAnsiTheme="majorHAnsi" w:cstheme="majorBidi"/>
      <w:i/>
      <w:iCs/>
      <w:color w:val="404040" w:themeColor="text1" w:themeTint="BF"/>
      <w:sz w:val="20"/>
      <w:szCs w:val="20"/>
    </w:rPr>
  </w:style>
  <w:style w:type="paragraph" w:styleId="ListParagraph">
    <w:name w:val="List Paragraph"/>
    <w:aliases w:val="Heading 2_sj,Dot pt,Numbered Para 1,No Spacing1,List Paragraph Char Char Char,Indicator Text,Bullet 1,List Paragraph1,Bullet Points,MAIN CONTENT,List Paragraph12,F5 List Paragraph,Report Para,1st level - Bullet List Paragraph,Style Bull"/>
    <w:basedOn w:val="Normal"/>
    <w:link w:val="ListParagraphChar"/>
    <w:uiPriority w:val="34"/>
    <w:qFormat/>
    <w:rsid w:val="005C7C57"/>
    <w:pPr>
      <w:ind w:left="720"/>
      <w:contextualSpacing/>
    </w:pPr>
  </w:style>
  <w:style w:type="table" w:styleId="TableGrid">
    <w:name w:val="Table Grid"/>
    <w:aliases w:val="TabelEcorys,HTG,Deloitte,Simple table,Table Grid IDEA,Document Table,TabelrasterTNO,Tabellengitternetz,Gena,Table Definitions Grid,tt,Table Definitions Grid1,Deloitte Table Grid,Table Definitions Grid2,Table Definitions Grid11"/>
    <w:basedOn w:val="TableNormal"/>
    <w:uiPriority w:val="39"/>
    <w:qFormat/>
    <w:rsid w:val="00691DB4"/>
    <w:pPr>
      <w:spacing w:after="0" w:line="240" w:lineRule="auto"/>
    </w:pPr>
    <w:rPr>
      <w:sz w:val="20"/>
    </w:rPr>
    <w:tblPr/>
  </w:style>
  <w:style w:type="paragraph" w:customStyle="1" w:styleId="Table">
    <w:name w:val="Table"/>
    <w:basedOn w:val="Normal"/>
    <w:link w:val="TableChar"/>
    <w:qFormat/>
    <w:rsid w:val="00AA3EDB"/>
    <w:pPr>
      <w:spacing w:after="0"/>
    </w:pPr>
    <w:rPr>
      <w:color w:val="000000" w:themeColor="text1"/>
      <w:sz w:val="20"/>
      <w:szCs w:val="24"/>
    </w:rPr>
  </w:style>
  <w:style w:type="paragraph" w:styleId="Caption">
    <w:name w:val="caption"/>
    <w:basedOn w:val="Table"/>
    <w:next w:val="Normal"/>
    <w:link w:val="CaptionChar"/>
    <w:uiPriority w:val="35"/>
    <w:unhideWhenUsed/>
    <w:qFormat/>
    <w:rsid w:val="002F53A9"/>
    <w:pPr>
      <w:keepNext/>
      <w:jc w:val="center"/>
    </w:pPr>
    <w:rPr>
      <w:b/>
    </w:rPr>
  </w:style>
  <w:style w:type="character" w:customStyle="1" w:styleId="TableChar">
    <w:name w:val="Table Char"/>
    <w:basedOn w:val="DefaultParagraphFont"/>
    <w:link w:val="Table"/>
    <w:rsid w:val="00AA3EDB"/>
    <w:rPr>
      <w:color w:val="000000" w:themeColor="text1"/>
      <w:sz w:val="20"/>
      <w:szCs w:val="24"/>
    </w:rPr>
  </w:style>
  <w:style w:type="table" w:customStyle="1" w:styleId="RPAtable">
    <w:name w:val="RPA table"/>
    <w:basedOn w:val="TableNormal"/>
    <w:uiPriority w:val="99"/>
    <w:rsid w:val="00B95004"/>
    <w:pPr>
      <w:spacing w:after="0" w:line="240" w:lineRule="auto"/>
    </w:pPr>
    <w:tblPr/>
  </w:style>
  <w:style w:type="paragraph" w:customStyle="1" w:styleId="Bulletlist">
    <w:name w:val="Bullet list"/>
    <w:basedOn w:val="ListParagraph"/>
    <w:link w:val="BulletlistChar"/>
    <w:uiPriority w:val="10"/>
    <w:qFormat/>
    <w:rsid w:val="009E1B64"/>
    <w:pPr>
      <w:numPr>
        <w:numId w:val="1"/>
      </w:numPr>
      <w:ind w:left="709"/>
    </w:pPr>
    <w:rPr>
      <w:szCs w:val="24"/>
    </w:rPr>
  </w:style>
  <w:style w:type="paragraph" w:customStyle="1" w:styleId="Bulletlist2">
    <w:name w:val="Bullet list 2"/>
    <w:basedOn w:val="Bulletlist"/>
    <w:link w:val="Bulletlist2Char"/>
    <w:uiPriority w:val="10"/>
    <w:qFormat/>
    <w:rsid w:val="009E1B64"/>
    <w:pPr>
      <w:numPr>
        <w:ilvl w:val="1"/>
      </w:numPr>
      <w:ind w:left="1134"/>
    </w:pPr>
  </w:style>
  <w:style w:type="character" w:customStyle="1" w:styleId="ListParagraphChar">
    <w:name w:val="List Paragraph Char"/>
    <w:aliases w:val="Heading 2_sj Char,Dot pt Char,Numbered Para 1 Char,No Spacing1 Char,List Paragraph Char Char Char Char,Indicator Text Char,Bullet 1 Char,List Paragraph1 Char,Bullet Points Char,MAIN CONTENT Char,List Paragraph12 Char,Report Para Char"/>
    <w:basedOn w:val="DefaultParagraphFont"/>
    <w:link w:val="ListParagraph"/>
    <w:uiPriority w:val="34"/>
    <w:qFormat/>
    <w:rsid w:val="004A7157"/>
  </w:style>
  <w:style w:type="character" w:customStyle="1" w:styleId="BulletlistChar">
    <w:name w:val="Bullet list Char"/>
    <w:basedOn w:val="ListParagraphChar"/>
    <w:link w:val="Bulletlist"/>
    <w:uiPriority w:val="10"/>
    <w:rsid w:val="009E1B64"/>
    <w:rPr>
      <w:szCs w:val="24"/>
    </w:rPr>
  </w:style>
  <w:style w:type="character" w:customStyle="1" w:styleId="Bulletlist2Char">
    <w:name w:val="Bullet list 2 Char"/>
    <w:basedOn w:val="BulletlistChar"/>
    <w:link w:val="Bulletlist2"/>
    <w:uiPriority w:val="10"/>
    <w:rsid w:val="009E1B64"/>
    <w:rPr>
      <w:szCs w:val="24"/>
    </w:rPr>
  </w:style>
  <w:style w:type="character" w:styleId="Hyperlink">
    <w:name w:val="Hyperlink"/>
    <w:aliases w:val=" Znak Znak Znak,Znak Znak Znak"/>
    <w:basedOn w:val="DefaultParagraphFont"/>
    <w:uiPriority w:val="99"/>
    <w:unhideWhenUsed/>
    <w:qFormat/>
    <w:rsid w:val="00781E5E"/>
    <w:rPr>
      <w:color w:val="0000FF" w:themeColor="hyperlink"/>
      <w:u w:val="single"/>
    </w:rPr>
  </w:style>
  <w:style w:type="paragraph" w:customStyle="1" w:styleId="Numbering">
    <w:name w:val="Numbering"/>
    <w:basedOn w:val="ListParagraph"/>
    <w:link w:val="NumberingChar"/>
    <w:uiPriority w:val="11"/>
    <w:qFormat/>
    <w:rsid w:val="00C15233"/>
    <w:pPr>
      <w:numPr>
        <w:numId w:val="2"/>
      </w:numPr>
      <w:spacing w:before="200" w:after="0"/>
      <w:contextualSpacing w:val="0"/>
    </w:pPr>
    <w:rPr>
      <w:szCs w:val="24"/>
    </w:rPr>
  </w:style>
  <w:style w:type="character" w:customStyle="1" w:styleId="NumberingChar">
    <w:name w:val="Numbering Char"/>
    <w:basedOn w:val="ListParagraphChar"/>
    <w:link w:val="Numbering"/>
    <w:uiPriority w:val="11"/>
    <w:rsid w:val="00230B5C"/>
    <w:rPr>
      <w:szCs w:val="24"/>
    </w:rPr>
  </w:style>
  <w:style w:type="paragraph" w:styleId="FootnoteText">
    <w:name w:val="footnote text"/>
    <w:aliases w:val="Footnote Text Char Char,Footnote text,Geneva 9,Font: Geneva 9,Boston 10,f,Footnote,Fußnote,Fußnote Char Char Char,Fußnote Char Char,Fußnote Char Char Char Char Char Char,Fußnote Char Char Char Char,DTE-Voetnoottekst,o,fn,fuß"/>
    <w:basedOn w:val="Normal"/>
    <w:link w:val="FootnoteTextChar"/>
    <w:uiPriority w:val="99"/>
    <w:qFormat/>
    <w:rsid w:val="00DA7F86"/>
    <w:pPr>
      <w:spacing w:after="0"/>
      <w:ind w:left="284" w:hanging="284"/>
    </w:pPr>
    <w:rPr>
      <w:sz w:val="20"/>
      <w:szCs w:val="20"/>
    </w:rPr>
  </w:style>
  <w:style w:type="character" w:customStyle="1" w:styleId="FootnoteTextChar">
    <w:name w:val="Footnote Text Char"/>
    <w:aliases w:val="Footnote Text Char Char Char,Footnote text Char,Geneva 9 Char,Font: Geneva 9 Char,Boston 10 Char,f Char,Footnote Char,Fußnote Char,Fußnote Char Char Char Char1,Fußnote Char Char Char1,Fußnote Char Char Char Char Char Char Char,o Char"/>
    <w:basedOn w:val="DefaultParagraphFont"/>
    <w:link w:val="FootnoteText"/>
    <w:uiPriority w:val="99"/>
    <w:qFormat/>
    <w:rsid w:val="00DA7F86"/>
    <w:rPr>
      <w:sz w:val="20"/>
      <w:szCs w:val="20"/>
    </w:rPr>
  </w:style>
  <w:style w:type="character" w:styleId="FootnoteReference">
    <w:name w:val="footnote reference"/>
    <w:aliases w:val="Footnote reference number,Footnote Reference/,Footnote Refernece,BVI fnr,callout,16 Point,Superscript 6 Point,Footnote symbol,Footnote Reference text,Times 10 Point,Exposant 3 Point,EN Footnote Reference,note TESI,R"/>
    <w:basedOn w:val="DefaultParagraphFont"/>
    <w:link w:val="SUPERSCharCharCharCharCharCharCharChar"/>
    <w:uiPriority w:val="99"/>
    <w:qFormat/>
    <w:rsid w:val="00E03D8B"/>
    <w:rPr>
      <w:vertAlign w:val="superscript"/>
    </w:rPr>
  </w:style>
  <w:style w:type="paragraph" w:customStyle="1" w:styleId="Annex">
    <w:name w:val="Annex"/>
    <w:basedOn w:val="Heading1"/>
    <w:next w:val="AnnexHeading1"/>
    <w:link w:val="AnnexChar"/>
    <w:uiPriority w:val="12"/>
    <w:qFormat/>
    <w:rsid w:val="00F02203"/>
    <w:pPr>
      <w:numPr>
        <w:numId w:val="0"/>
      </w:numPr>
      <w:ind w:left="426" w:hanging="426"/>
    </w:pPr>
  </w:style>
  <w:style w:type="character" w:customStyle="1" w:styleId="AnnexChar">
    <w:name w:val="Annex Char"/>
    <w:basedOn w:val="Heading1Char"/>
    <w:link w:val="Annex"/>
    <w:uiPriority w:val="12"/>
    <w:rsid w:val="00F02203"/>
    <w:rPr>
      <w:rFonts w:eastAsiaTheme="majorEastAsia" w:cstheme="majorBidi"/>
      <w:b/>
      <w:bCs/>
      <w:sz w:val="36"/>
      <w:szCs w:val="28"/>
    </w:rPr>
  </w:style>
  <w:style w:type="paragraph" w:customStyle="1" w:styleId="Referencing">
    <w:name w:val="Referencing"/>
    <w:basedOn w:val="Heading1"/>
    <w:uiPriority w:val="11"/>
    <w:qFormat/>
    <w:rsid w:val="001D2FFA"/>
    <w:pPr>
      <w:numPr>
        <w:numId w:val="0"/>
      </w:numPr>
    </w:pPr>
  </w:style>
  <w:style w:type="paragraph" w:customStyle="1" w:styleId="AnnexHeading1">
    <w:name w:val="Annex Heading 1"/>
    <w:basedOn w:val="Heading2"/>
    <w:next w:val="AnnexHeading2"/>
    <w:link w:val="AnnexHeading1Char"/>
    <w:uiPriority w:val="13"/>
    <w:qFormat/>
    <w:rsid w:val="00C4587F"/>
    <w:pPr>
      <w:numPr>
        <w:numId w:val="33"/>
      </w:numPr>
    </w:pPr>
    <w:rPr>
      <w:lang w:eastAsia="en-GB"/>
    </w:rPr>
  </w:style>
  <w:style w:type="paragraph" w:customStyle="1" w:styleId="AnnexHeading2">
    <w:name w:val="Annex Heading 2"/>
    <w:basedOn w:val="Heading2"/>
    <w:next w:val="Normal"/>
    <w:link w:val="AnnexHeading2Char"/>
    <w:uiPriority w:val="13"/>
    <w:qFormat/>
    <w:rsid w:val="00C4587F"/>
    <w:pPr>
      <w:numPr>
        <w:ilvl w:val="2"/>
        <w:numId w:val="33"/>
      </w:numPr>
      <w:outlineLvl w:val="2"/>
    </w:pPr>
    <w:rPr>
      <w:rFonts w:eastAsia="Times New Roman" w:cs="Calibri"/>
      <w:bCs/>
      <w:sz w:val="28"/>
      <w:szCs w:val="28"/>
      <w:lang w:eastAsia="en-GB"/>
    </w:rPr>
  </w:style>
  <w:style w:type="character" w:customStyle="1" w:styleId="AnnexHeading1Char">
    <w:name w:val="Annex Heading 1 Char"/>
    <w:basedOn w:val="Heading2Char"/>
    <w:link w:val="AnnexHeading1"/>
    <w:uiPriority w:val="13"/>
    <w:rsid w:val="00BC3B47"/>
    <w:rPr>
      <w:rFonts w:ascii="Calibri" w:eastAsiaTheme="majorEastAsia" w:hAnsi="Calibri" w:cs="Times New Roman"/>
      <w:b/>
      <w:sz w:val="32"/>
      <w:szCs w:val="26"/>
      <w:lang w:eastAsia="en-GB"/>
    </w:rPr>
  </w:style>
  <w:style w:type="character" w:customStyle="1" w:styleId="AnnexHeading2Char">
    <w:name w:val="Annex Heading 2 Char"/>
    <w:basedOn w:val="Heading3Char"/>
    <w:link w:val="AnnexHeading2"/>
    <w:uiPriority w:val="13"/>
    <w:rsid w:val="007C4EB7"/>
    <w:rPr>
      <w:rFonts w:ascii="Calibri" w:eastAsia="Times New Roman" w:hAnsi="Calibri" w:cs="Calibri"/>
      <w:b/>
      <w:bCs/>
      <w:sz w:val="28"/>
      <w:szCs w:val="28"/>
      <w:lang w:eastAsia="en-GB"/>
    </w:rPr>
  </w:style>
  <w:style w:type="paragraph" w:styleId="Quote">
    <w:name w:val="Quote"/>
    <w:basedOn w:val="Normal"/>
    <w:next w:val="Normal"/>
    <w:link w:val="QuoteChar"/>
    <w:uiPriority w:val="29"/>
    <w:qFormat/>
    <w:rsid w:val="004B42DA"/>
    <w:pPr>
      <w:ind w:left="567" w:right="567"/>
    </w:pPr>
    <w:rPr>
      <w:i/>
      <w:iCs/>
      <w:color w:val="000000" w:themeColor="text1"/>
    </w:rPr>
  </w:style>
  <w:style w:type="character" w:customStyle="1" w:styleId="QuoteChar">
    <w:name w:val="Quote Char"/>
    <w:basedOn w:val="DefaultParagraphFont"/>
    <w:link w:val="Quote"/>
    <w:uiPriority w:val="29"/>
    <w:rsid w:val="004B42DA"/>
    <w:rPr>
      <w:i/>
      <w:iCs/>
      <w:color w:val="000000" w:themeColor="text1"/>
    </w:rPr>
  </w:style>
  <w:style w:type="paragraph" w:customStyle="1" w:styleId="Footnotes">
    <w:name w:val="Footnotes"/>
    <w:basedOn w:val="FootnoteText"/>
    <w:link w:val="FootnotesChar"/>
    <w:qFormat/>
    <w:rsid w:val="00896437"/>
  </w:style>
  <w:style w:type="character" w:customStyle="1" w:styleId="FootnotesChar">
    <w:name w:val="Footnotes Char"/>
    <w:basedOn w:val="FootnoteTextChar"/>
    <w:link w:val="Footnotes"/>
    <w:rsid w:val="00896437"/>
    <w:rPr>
      <w:sz w:val="20"/>
      <w:szCs w:val="20"/>
    </w:rPr>
  </w:style>
  <w:style w:type="paragraph" w:customStyle="1" w:styleId="FigTabCaption">
    <w:name w:val="FigTab Caption"/>
    <w:basedOn w:val="Caption"/>
    <w:link w:val="FigTabCaptionChar"/>
    <w:qFormat/>
    <w:rsid w:val="009B04C3"/>
    <w:pPr>
      <w:jc w:val="left"/>
    </w:pPr>
    <w:rPr>
      <w:color w:val="FFFFFF" w:themeColor="background1"/>
    </w:rPr>
  </w:style>
  <w:style w:type="character" w:customStyle="1" w:styleId="CaptionChar">
    <w:name w:val="Caption Char"/>
    <w:basedOn w:val="TableChar"/>
    <w:link w:val="Caption"/>
    <w:uiPriority w:val="35"/>
    <w:rsid w:val="009B04C3"/>
    <w:rPr>
      <w:b/>
      <w:color w:val="000000" w:themeColor="text1"/>
      <w:sz w:val="20"/>
      <w:szCs w:val="24"/>
    </w:rPr>
  </w:style>
  <w:style w:type="character" w:customStyle="1" w:styleId="FigTabCaptionChar">
    <w:name w:val="FigTab Caption Char"/>
    <w:basedOn w:val="CaptionChar"/>
    <w:link w:val="FigTabCaption"/>
    <w:rsid w:val="009B04C3"/>
    <w:rPr>
      <w:b/>
      <w:color w:val="FFFFFF" w:themeColor="background1"/>
      <w:sz w:val="20"/>
      <w:szCs w:val="24"/>
    </w:rPr>
  </w:style>
  <w:style w:type="paragraph" w:customStyle="1" w:styleId="Style1">
    <w:name w:val="Style1"/>
    <w:basedOn w:val="FootnoteText"/>
    <w:link w:val="Style1Char"/>
    <w:rsid w:val="008A0DF6"/>
    <w:pPr>
      <w:ind w:left="0" w:firstLine="0"/>
    </w:pPr>
  </w:style>
  <w:style w:type="character" w:customStyle="1" w:styleId="Style1Char">
    <w:name w:val="Style1 Char"/>
    <w:basedOn w:val="FootnoteTextChar"/>
    <w:link w:val="Style1"/>
    <w:rsid w:val="008A0DF6"/>
    <w:rPr>
      <w:sz w:val="20"/>
      <w:szCs w:val="20"/>
    </w:rPr>
  </w:style>
  <w:style w:type="character" w:customStyle="1" w:styleId="UnresolvedMention1">
    <w:name w:val="Unresolved Mention1"/>
    <w:basedOn w:val="DefaultParagraphFont"/>
    <w:uiPriority w:val="99"/>
    <w:semiHidden/>
    <w:unhideWhenUsed/>
    <w:rsid w:val="00C04FEA"/>
    <w:rPr>
      <w:color w:val="605E5C"/>
      <w:shd w:val="clear" w:color="auto" w:fill="E1DFDD"/>
    </w:rPr>
  </w:style>
  <w:style w:type="character" w:styleId="FollowedHyperlink">
    <w:name w:val="FollowedHyperlink"/>
    <w:basedOn w:val="DefaultParagraphFont"/>
    <w:uiPriority w:val="99"/>
    <w:semiHidden/>
    <w:unhideWhenUsed/>
    <w:rsid w:val="00C04FEA"/>
    <w:rPr>
      <w:color w:val="800080" w:themeColor="followedHyperlink"/>
      <w:u w:val="single"/>
    </w:rPr>
  </w:style>
  <w:style w:type="paragraph" w:styleId="NoSpacing">
    <w:name w:val="No Spacing"/>
    <w:link w:val="NoSpacingChar"/>
    <w:uiPriority w:val="1"/>
    <w:qFormat/>
    <w:rsid w:val="00257E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57ED6"/>
    <w:rPr>
      <w:rFonts w:eastAsiaTheme="minorEastAsia"/>
      <w:lang w:val="en-US"/>
    </w:rPr>
  </w:style>
  <w:style w:type="paragraph" w:customStyle="1" w:styleId="Bullet">
    <w:name w:val="Bullet"/>
    <w:basedOn w:val="ListParagraph"/>
    <w:link w:val="BulletChar"/>
    <w:qFormat/>
    <w:rsid w:val="00B53277"/>
    <w:pPr>
      <w:numPr>
        <w:numId w:val="3"/>
      </w:numPr>
    </w:pPr>
  </w:style>
  <w:style w:type="character" w:customStyle="1" w:styleId="BulletChar">
    <w:name w:val="Bullet Char"/>
    <w:link w:val="Bullet"/>
    <w:locked/>
    <w:rsid w:val="00B53277"/>
  </w:style>
  <w:style w:type="character" w:customStyle="1" w:styleId="cli-no-wrap">
    <w:name w:val="cli-no-wrap"/>
    <w:basedOn w:val="DefaultParagraphFont"/>
    <w:rsid w:val="0046507F"/>
  </w:style>
  <w:style w:type="character" w:styleId="Strong">
    <w:name w:val="Strong"/>
    <w:basedOn w:val="DefaultParagraphFont"/>
    <w:uiPriority w:val="22"/>
    <w:qFormat/>
    <w:rsid w:val="00F0230D"/>
    <w:rPr>
      <w:b/>
      <w:bCs/>
    </w:rPr>
  </w:style>
  <w:style w:type="paragraph" w:styleId="Bibliography">
    <w:name w:val="Bibliography"/>
    <w:basedOn w:val="Normal"/>
    <w:next w:val="Normal"/>
    <w:uiPriority w:val="37"/>
    <w:unhideWhenUsed/>
    <w:rsid w:val="00F432B3"/>
  </w:style>
  <w:style w:type="character" w:styleId="CommentReference">
    <w:name w:val="annotation reference"/>
    <w:basedOn w:val="DefaultParagraphFont"/>
    <w:uiPriority w:val="99"/>
    <w:semiHidden/>
    <w:unhideWhenUsed/>
    <w:rsid w:val="00FE0A57"/>
    <w:rPr>
      <w:sz w:val="16"/>
      <w:szCs w:val="16"/>
    </w:rPr>
  </w:style>
  <w:style w:type="paragraph" w:styleId="CommentText">
    <w:name w:val="annotation text"/>
    <w:basedOn w:val="Normal"/>
    <w:link w:val="CommentTextChar"/>
    <w:uiPriority w:val="99"/>
    <w:unhideWhenUsed/>
    <w:rsid w:val="00FE0A57"/>
    <w:rPr>
      <w:sz w:val="20"/>
      <w:szCs w:val="20"/>
    </w:rPr>
  </w:style>
  <w:style w:type="character" w:customStyle="1" w:styleId="CommentTextChar">
    <w:name w:val="Comment Text Char"/>
    <w:basedOn w:val="DefaultParagraphFont"/>
    <w:link w:val="CommentText"/>
    <w:uiPriority w:val="99"/>
    <w:rsid w:val="00FE0A57"/>
    <w:rPr>
      <w:sz w:val="20"/>
      <w:szCs w:val="20"/>
    </w:rPr>
  </w:style>
  <w:style w:type="paragraph" w:styleId="CommentSubject">
    <w:name w:val="annotation subject"/>
    <w:basedOn w:val="CommentText"/>
    <w:next w:val="CommentText"/>
    <w:link w:val="CommentSubjectChar"/>
    <w:uiPriority w:val="99"/>
    <w:semiHidden/>
    <w:unhideWhenUsed/>
    <w:rsid w:val="00FE0A57"/>
    <w:rPr>
      <w:b/>
      <w:bCs/>
    </w:rPr>
  </w:style>
  <w:style w:type="character" w:customStyle="1" w:styleId="CommentSubjectChar">
    <w:name w:val="Comment Subject Char"/>
    <w:basedOn w:val="CommentTextChar"/>
    <w:link w:val="CommentSubject"/>
    <w:uiPriority w:val="99"/>
    <w:semiHidden/>
    <w:rsid w:val="00FE0A57"/>
    <w:rPr>
      <w:b/>
      <w:bCs/>
      <w:sz w:val="20"/>
      <w:szCs w:val="20"/>
    </w:rPr>
  </w:style>
  <w:style w:type="paragraph" w:styleId="Revision">
    <w:name w:val="Revision"/>
    <w:hidden/>
    <w:uiPriority w:val="99"/>
    <w:semiHidden/>
    <w:rsid w:val="00C52A51"/>
    <w:pPr>
      <w:spacing w:after="0" w:line="240" w:lineRule="auto"/>
    </w:pPr>
  </w:style>
  <w:style w:type="character" w:customStyle="1" w:styleId="UnresolvedMention2">
    <w:name w:val="Unresolved Mention2"/>
    <w:basedOn w:val="DefaultParagraphFont"/>
    <w:uiPriority w:val="99"/>
    <w:semiHidden/>
    <w:unhideWhenUsed/>
    <w:rsid w:val="00754AA4"/>
    <w:rPr>
      <w:color w:val="605E5C"/>
      <w:shd w:val="clear" w:color="auto" w:fill="E1DFDD"/>
    </w:rPr>
  </w:style>
  <w:style w:type="character" w:styleId="UnresolvedMention">
    <w:name w:val="Unresolved Mention"/>
    <w:basedOn w:val="DefaultParagraphFont"/>
    <w:uiPriority w:val="99"/>
    <w:semiHidden/>
    <w:unhideWhenUsed/>
    <w:rsid w:val="00EE762D"/>
    <w:rPr>
      <w:color w:val="605E5C"/>
      <w:shd w:val="clear" w:color="auto" w:fill="E1DFDD"/>
    </w:rPr>
  </w:style>
  <w:style w:type="character" w:customStyle="1" w:styleId="normaltextrun">
    <w:name w:val="normaltextrun"/>
    <w:basedOn w:val="DefaultParagraphFont"/>
    <w:rsid w:val="007067E6"/>
  </w:style>
  <w:style w:type="character" w:customStyle="1" w:styleId="eop">
    <w:name w:val="eop"/>
    <w:basedOn w:val="DefaultParagraphFont"/>
    <w:rsid w:val="007067E6"/>
  </w:style>
  <w:style w:type="character" w:styleId="PlaceholderText">
    <w:name w:val="Placeholder Text"/>
    <w:basedOn w:val="DefaultParagraphFont"/>
    <w:uiPriority w:val="99"/>
    <w:semiHidden/>
    <w:rsid w:val="00A4163D"/>
    <w:rPr>
      <w:color w:val="666666"/>
    </w:rPr>
  </w:style>
  <w:style w:type="character" w:customStyle="1" w:styleId="apple-converted-space">
    <w:name w:val="apple-converted-space"/>
    <w:basedOn w:val="DefaultParagraphFont"/>
    <w:rsid w:val="000822B4"/>
  </w:style>
  <w:style w:type="paragraph" w:customStyle="1" w:styleId="p1">
    <w:name w:val="p1"/>
    <w:basedOn w:val="Normal"/>
    <w:rsid w:val="00A90D9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paragraph">
    <w:name w:val="paragraph"/>
    <w:basedOn w:val="Normal"/>
    <w:rsid w:val="00717896"/>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rsid w:val="001E2801"/>
    <w:pPr>
      <w:spacing w:after="160" w:line="240" w:lineRule="exact"/>
      <w:ind w:right="-23"/>
    </w:pPr>
    <w:rPr>
      <w:vertAlign w:val="superscript"/>
    </w:rPr>
  </w:style>
  <w:style w:type="paragraph" w:customStyle="1" w:styleId="Default">
    <w:name w:val="Default"/>
    <w:rsid w:val="009F170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3F3127"/>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superscript">
    <w:name w:val="superscript"/>
    <w:basedOn w:val="DefaultParagraphFont"/>
    <w:rsid w:val="00F83E65"/>
  </w:style>
  <w:style w:type="character" w:customStyle="1" w:styleId="s1">
    <w:name w:val="s1"/>
    <w:basedOn w:val="DefaultParagraphFont"/>
    <w:rsid w:val="00B72716"/>
  </w:style>
  <w:style w:type="table" w:customStyle="1" w:styleId="TableNormal1">
    <w:name w:val="Table Normal1"/>
    <w:uiPriority w:val="2"/>
    <w:semiHidden/>
    <w:unhideWhenUsed/>
    <w:qFormat/>
    <w:rsid w:val="00392F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92FDA"/>
    <w:pPr>
      <w:widowControl w:val="0"/>
      <w:autoSpaceDE w:val="0"/>
      <w:autoSpaceDN w:val="0"/>
      <w:spacing w:after="0"/>
      <w:jc w:val="left"/>
    </w:pPr>
    <w:rPr>
      <w:rFonts w:ascii="Calibri" w:eastAsia="Calibri" w:hAnsi="Calibri" w:cs="Calibri"/>
      <w:lang w:val="en-US"/>
    </w:rPr>
  </w:style>
  <w:style w:type="table" w:styleId="GridTable1Light-Accent1">
    <w:name w:val="Grid Table 1 Light Accent 1"/>
    <w:basedOn w:val="TableNormal"/>
    <w:uiPriority w:val="46"/>
    <w:rsid w:val="00392FDA"/>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GridTable4-Accent1">
    <w:name w:val="Grid Table 4 Accent 1"/>
    <w:basedOn w:val="TableNormal"/>
    <w:uiPriority w:val="49"/>
    <w:rsid w:val="00392FDA"/>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customStyle="1" w:styleId="pf0">
    <w:name w:val="pf0"/>
    <w:basedOn w:val="Normal"/>
    <w:rsid w:val="00392FDA"/>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cf01">
    <w:name w:val="cf01"/>
    <w:basedOn w:val="DefaultParagraphFont"/>
    <w:rsid w:val="00392FDA"/>
    <w:rPr>
      <w:rFonts w:ascii="Segoe UI" w:hAnsi="Segoe UI" w:cs="Segoe UI" w:hint="default"/>
      <w:sz w:val="18"/>
      <w:szCs w:val="18"/>
    </w:rPr>
  </w:style>
  <w:style w:type="character" w:styleId="Mention">
    <w:name w:val="Mention"/>
    <w:basedOn w:val="DefaultParagraphFont"/>
    <w:uiPriority w:val="99"/>
    <w:unhideWhenUsed/>
    <w:rsid w:val="00392FDA"/>
    <w:rPr>
      <w:color w:val="2B579A"/>
      <w:shd w:val="clear" w:color="auto" w:fill="E1DFDD"/>
    </w:rPr>
  </w:style>
  <w:style w:type="character" w:styleId="Emphasis">
    <w:name w:val="Emphasis"/>
    <w:basedOn w:val="DefaultParagraphFont"/>
    <w:uiPriority w:val="20"/>
    <w:qFormat/>
    <w:rsid w:val="00392FDA"/>
    <w:rPr>
      <w:i/>
      <w:iCs/>
    </w:rPr>
  </w:style>
  <w:style w:type="paragraph" w:styleId="EndnoteText">
    <w:name w:val="endnote text"/>
    <w:basedOn w:val="Normal"/>
    <w:link w:val="EndnoteTextChar"/>
    <w:uiPriority w:val="99"/>
    <w:semiHidden/>
    <w:unhideWhenUsed/>
    <w:rsid w:val="00392FDA"/>
    <w:pPr>
      <w:spacing w:after="0"/>
    </w:pPr>
    <w:rPr>
      <w:sz w:val="20"/>
      <w:szCs w:val="20"/>
    </w:rPr>
  </w:style>
  <w:style w:type="character" w:customStyle="1" w:styleId="EndnoteTextChar">
    <w:name w:val="Endnote Text Char"/>
    <w:basedOn w:val="DefaultParagraphFont"/>
    <w:link w:val="EndnoteText"/>
    <w:uiPriority w:val="99"/>
    <w:semiHidden/>
    <w:rsid w:val="00392FDA"/>
    <w:rPr>
      <w:sz w:val="20"/>
      <w:szCs w:val="20"/>
    </w:rPr>
  </w:style>
  <w:style w:type="character" w:styleId="EndnoteReference">
    <w:name w:val="endnote reference"/>
    <w:basedOn w:val="DefaultParagraphFont"/>
    <w:uiPriority w:val="99"/>
    <w:semiHidden/>
    <w:unhideWhenUsed/>
    <w:rsid w:val="00392FDA"/>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664BE6"/>
    <w:pPr>
      <w:spacing w:after="160" w:line="240" w:lineRule="exact"/>
    </w:pPr>
    <w:rPr>
      <w:rFonts w:ascii="Calibri" w:eastAsia="Calibri" w:hAnsi="Calibri" w:cs="Calibri"/>
      <w:sz w:val="20"/>
      <w:szCs w:val="20"/>
      <w:vertAlign w:val="superscript"/>
    </w:rPr>
  </w:style>
  <w:style w:type="character" w:customStyle="1" w:styleId="overflow-hidden">
    <w:name w:val="overflow-hidden"/>
    <w:basedOn w:val="DefaultParagraphFont"/>
    <w:rsid w:val="00664BE6"/>
  </w:style>
  <w:style w:type="paragraph" w:styleId="TOC4">
    <w:name w:val="toc 4"/>
    <w:basedOn w:val="Normal"/>
    <w:next w:val="Normal"/>
    <w:autoRedefine/>
    <w:uiPriority w:val="39"/>
    <w:unhideWhenUsed/>
    <w:rsid w:val="00014325"/>
    <w:pPr>
      <w:spacing w:after="100" w:line="278" w:lineRule="auto"/>
      <w:ind w:left="720"/>
      <w:jc w:val="left"/>
    </w:pPr>
    <w:rPr>
      <w:rFonts w:eastAsiaTheme="minorEastAsia"/>
      <w:kern w:val="2"/>
      <w:sz w:val="24"/>
      <w:szCs w:val="24"/>
      <w:lang w:eastAsia="en-GB"/>
      <w14:ligatures w14:val="standardContextual"/>
    </w:rPr>
  </w:style>
  <w:style w:type="paragraph" w:styleId="TOC5">
    <w:name w:val="toc 5"/>
    <w:basedOn w:val="Normal"/>
    <w:next w:val="Normal"/>
    <w:autoRedefine/>
    <w:uiPriority w:val="39"/>
    <w:unhideWhenUsed/>
    <w:rsid w:val="00014325"/>
    <w:pPr>
      <w:spacing w:after="100" w:line="278" w:lineRule="auto"/>
      <w:ind w:left="960"/>
      <w:jc w:val="left"/>
    </w:pPr>
    <w:rPr>
      <w:rFonts w:eastAsiaTheme="minorEastAsia"/>
      <w:kern w:val="2"/>
      <w:sz w:val="24"/>
      <w:szCs w:val="24"/>
      <w:lang w:eastAsia="en-GB"/>
      <w14:ligatures w14:val="standardContextual"/>
    </w:rPr>
  </w:style>
  <w:style w:type="paragraph" w:styleId="TOC6">
    <w:name w:val="toc 6"/>
    <w:basedOn w:val="Normal"/>
    <w:next w:val="Normal"/>
    <w:autoRedefine/>
    <w:uiPriority w:val="39"/>
    <w:unhideWhenUsed/>
    <w:rsid w:val="00014325"/>
    <w:pPr>
      <w:spacing w:after="100" w:line="278" w:lineRule="auto"/>
      <w:ind w:left="1200"/>
      <w:jc w:val="left"/>
    </w:pPr>
    <w:rPr>
      <w:rFonts w:eastAsiaTheme="minorEastAsia"/>
      <w:kern w:val="2"/>
      <w:sz w:val="24"/>
      <w:szCs w:val="24"/>
      <w:lang w:eastAsia="en-GB"/>
      <w14:ligatures w14:val="standardContextual"/>
    </w:rPr>
  </w:style>
  <w:style w:type="paragraph" w:styleId="TOC7">
    <w:name w:val="toc 7"/>
    <w:basedOn w:val="Normal"/>
    <w:next w:val="Normal"/>
    <w:autoRedefine/>
    <w:uiPriority w:val="39"/>
    <w:unhideWhenUsed/>
    <w:rsid w:val="00014325"/>
    <w:pPr>
      <w:spacing w:after="100" w:line="278" w:lineRule="auto"/>
      <w:ind w:left="1440"/>
      <w:jc w:val="left"/>
    </w:pPr>
    <w:rPr>
      <w:rFonts w:eastAsiaTheme="minorEastAsia"/>
      <w:kern w:val="2"/>
      <w:sz w:val="24"/>
      <w:szCs w:val="24"/>
      <w:lang w:eastAsia="en-GB"/>
      <w14:ligatures w14:val="standardContextual"/>
    </w:rPr>
  </w:style>
  <w:style w:type="paragraph" w:styleId="TOC8">
    <w:name w:val="toc 8"/>
    <w:basedOn w:val="Normal"/>
    <w:next w:val="Normal"/>
    <w:autoRedefine/>
    <w:uiPriority w:val="39"/>
    <w:unhideWhenUsed/>
    <w:rsid w:val="00014325"/>
    <w:pPr>
      <w:spacing w:after="100" w:line="278" w:lineRule="auto"/>
      <w:ind w:left="1680"/>
      <w:jc w:val="left"/>
    </w:pPr>
    <w:rPr>
      <w:rFonts w:eastAsiaTheme="minorEastAsia"/>
      <w:kern w:val="2"/>
      <w:sz w:val="24"/>
      <w:szCs w:val="24"/>
      <w:lang w:eastAsia="en-GB"/>
      <w14:ligatures w14:val="standardContextual"/>
    </w:rPr>
  </w:style>
  <w:style w:type="paragraph" w:styleId="TOC9">
    <w:name w:val="toc 9"/>
    <w:basedOn w:val="Normal"/>
    <w:next w:val="Normal"/>
    <w:autoRedefine/>
    <w:uiPriority w:val="39"/>
    <w:unhideWhenUsed/>
    <w:rsid w:val="00014325"/>
    <w:pPr>
      <w:spacing w:after="100" w:line="278" w:lineRule="auto"/>
      <w:ind w:left="1920"/>
      <w:jc w:val="left"/>
    </w:pPr>
    <w:rPr>
      <w:rFonts w:eastAsiaTheme="minorEastAsia"/>
      <w:kern w:val="2"/>
      <w:sz w:val="24"/>
      <w:szCs w:val="24"/>
      <w:lang w:eastAsia="en-GB"/>
      <w14:ligatures w14:val="standardContextual"/>
    </w:rPr>
  </w:style>
  <w:style w:type="table" w:customStyle="1" w:styleId="Lentelstinklelis1">
    <w:name w:val="Lentelės tinklelis1"/>
    <w:basedOn w:val="TableNormal"/>
    <w:next w:val="TableGrid"/>
    <w:uiPriority w:val="59"/>
    <w:rsid w:val="00F501DA"/>
    <w:pPr>
      <w:spacing w:after="0" w:line="240" w:lineRule="auto"/>
    </w:pPr>
    <w:rPr>
      <w:rFonts w:eastAsia="MS Mincho"/>
      <w:lang w:val="en-US"/>
    </w:rPr>
    <w:tblPr/>
  </w:style>
  <w:style w:type="table" w:customStyle="1" w:styleId="Lentelstinklelis2">
    <w:name w:val="Lentelės tinklelis2"/>
    <w:basedOn w:val="TableNormal"/>
    <w:next w:val="TableGrid"/>
    <w:uiPriority w:val="59"/>
    <w:rsid w:val="00B06709"/>
    <w:pPr>
      <w:spacing w:after="0" w:line="240" w:lineRule="auto"/>
    </w:pPr>
    <w:rPr>
      <w:rFonts w:eastAsia="MS Mincho"/>
      <w:lang w:val="en-US"/>
    </w:rPr>
    <w:tblPr/>
  </w:style>
  <w:style w:type="paragraph" w:customStyle="1" w:styleId="EPEparagraph">
    <w:name w:val="EPE paragraph"/>
    <w:basedOn w:val="Normal"/>
    <w:qFormat/>
    <w:rsid w:val="00A90FA3"/>
    <w:pPr>
      <w:suppressAutoHyphens/>
      <w:autoSpaceDN w:val="0"/>
      <w:spacing w:after="120"/>
      <w:jc w:val="left"/>
    </w:pPr>
    <w:rPr>
      <w:rFonts w:ascii="Arial" w:eastAsia="Times New Roman" w:hAnsi="Arial" w:cs="Arial"/>
      <w:kern w:val="3"/>
      <w:szCs w:val="24"/>
    </w:rPr>
  </w:style>
  <w:style w:type="paragraph" w:customStyle="1" w:styleId="nova-legacy-e-listitem">
    <w:name w:val="nova-legacy-e-list__item"/>
    <w:basedOn w:val="Normal"/>
    <w:rsid w:val="00AD0210"/>
    <w:pPr>
      <w:spacing w:before="100" w:beforeAutospacing="1" w:after="100" w:afterAutospacing="1"/>
      <w:jc w:val="left"/>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8316FA"/>
    <w:pPr>
      <w:spacing w:after="0" w:line="240" w:lineRule="auto"/>
    </w:pPr>
    <w:rPr>
      <w:kern w:val="2"/>
      <w:sz w:val="24"/>
      <w:szCs w:val="24"/>
      <w14:ligatures w14:val="standardContextual"/>
    </w:rPr>
    <w:tblPr/>
  </w:style>
  <w:style w:type="paragraph" w:customStyle="1" w:styleId="msonormal0">
    <w:name w:val="msonormal"/>
    <w:basedOn w:val="Normal"/>
    <w:rsid w:val="00FD2DBE"/>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66">
    <w:name w:val="xl66"/>
    <w:basedOn w:val="Normal"/>
    <w:rsid w:val="00FD2DBE"/>
    <w:pPr>
      <w:spacing w:before="100" w:beforeAutospacing="1" w:after="100" w:afterAutospacing="1"/>
      <w:jc w:val="left"/>
    </w:pPr>
    <w:rPr>
      <w:rFonts w:ascii="Times New Roman" w:eastAsia="Times New Roman" w:hAnsi="Times New Roman" w:cs="Times New Roman"/>
      <w:b/>
      <w:bCs/>
      <w:sz w:val="24"/>
      <w:szCs w:val="24"/>
      <w:lang w:eastAsia="en-GB"/>
    </w:rPr>
  </w:style>
  <w:style w:type="paragraph" w:customStyle="1" w:styleId="xl69">
    <w:name w:val="xl69"/>
    <w:basedOn w:val="Normal"/>
    <w:rsid w:val="00FD2DBE"/>
    <w:pPr>
      <w:shd w:val="clear" w:color="000000" w:fill="FBE2D5"/>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72">
    <w:name w:val="xl72"/>
    <w:basedOn w:val="Normal"/>
    <w:rsid w:val="00FD2DB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73">
    <w:name w:val="xl73"/>
    <w:basedOn w:val="Normal"/>
    <w:rsid w:val="00FD2DBE"/>
    <w:pPr>
      <w:shd w:val="clear" w:color="000000" w:fill="FBE2D5"/>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74">
    <w:name w:val="xl74"/>
    <w:basedOn w:val="Normal"/>
    <w:rsid w:val="00FD2DBE"/>
    <w:pPr>
      <w:shd w:val="clear" w:color="000000" w:fill="808080"/>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75">
    <w:name w:val="xl75"/>
    <w:basedOn w:val="Normal"/>
    <w:rsid w:val="00FD2DBE"/>
    <w:pPr>
      <w:shd w:val="clear" w:color="000000" w:fill="808080"/>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76">
    <w:name w:val="xl76"/>
    <w:basedOn w:val="Normal"/>
    <w:rsid w:val="00FD2DB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77">
    <w:name w:val="xl77"/>
    <w:basedOn w:val="Normal"/>
    <w:rsid w:val="00FD2DBE"/>
    <w:pPr>
      <w:shd w:val="clear" w:color="000000" w:fill="FBE2D5"/>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78">
    <w:name w:val="xl78"/>
    <w:basedOn w:val="Normal"/>
    <w:rsid w:val="00FD2DBE"/>
    <w:pPr>
      <w:shd w:val="clear" w:color="000000" w:fill="DAF2D0"/>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79">
    <w:name w:val="xl79"/>
    <w:basedOn w:val="Normal"/>
    <w:rsid w:val="00FD2DBE"/>
    <w:pPr>
      <w:shd w:val="clear" w:color="000000" w:fill="DAF2D0"/>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80">
    <w:name w:val="xl80"/>
    <w:basedOn w:val="Normal"/>
    <w:rsid w:val="00FD2DBE"/>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81">
    <w:name w:val="xl81"/>
    <w:basedOn w:val="Normal"/>
    <w:rsid w:val="00FD2DBE"/>
    <w:pPr>
      <w:shd w:val="clear" w:color="000000" w:fill="DAF2D0"/>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82">
    <w:name w:val="xl82"/>
    <w:basedOn w:val="Normal"/>
    <w:rsid w:val="00FD2DBE"/>
    <w:pPr>
      <w:shd w:val="clear" w:color="000000" w:fill="DAF2D0"/>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83">
    <w:name w:val="xl83"/>
    <w:basedOn w:val="Normal"/>
    <w:rsid w:val="00FD2DBE"/>
    <w:pPr>
      <w:shd w:val="clear" w:color="000000" w:fill="DAF2D0"/>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84">
    <w:name w:val="xl84"/>
    <w:basedOn w:val="Normal"/>
    <w:rsid w:val="00FD2DBE"/>
    <w:pPr>
      <w:shd w:val="clear" w:color="000000" w:fill="FBE2D5"/>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85">
    <w:name w:val="xl85"/>
    <w:basedOn w:val="Normal"/>
    <w:rsid w:val="00FD2DBE"/>
    <w:pPr>
      <w:spacing w:before="100" w:beforeAutospacing="1" w:after="100" w:afterAutospacing="1"/>
      <w:jc w:val="right"/>
    </w:pPr>
    <w:rPr>
      <w:rFonts w:ascii="Times New Roman" w:eastAsia="Times New Roman" w:hAnsi="Times New Roman" w:cs="Times New Roman"/>
      <w:sz w:val="24"/>
      <w:szCs w:val="24"/>
      <w:lang w:eastAsia="en-GB"/>
    </w:rPr>
  </w:style>
  <w:style w:type="paragraph" w:customStyle="1" w:styleId="xl86">
    <w:name w:val="xl86"/>
    <w:basedOn w:val="Normal"/>
    <w:rsid w:val="00FD2DBE"/>
    <w:pPr>
      <w:shd w:val="clear" w:color="000000" w:fill="808080"/>
      <w:spacing w:before="100" w:beforeAutospacing="1" w:after="100" w:afterAutospacing="1"/>
      <w:jc w:val="right"/>
    </w:pPr>
    <w:rPr>
      <w:rFonts w:ascii="Times New Roman" w:eastAsia="Times New Roman" w:hAnsi="Times New Roman" w:cs="Times New Roman"/>
      <w:sz w:val="24"/>
      <w:szCs w:val="24"/>
      <w:lang w:eastAsia="en-GB"/>
    </w:rPr>
  </w:style>
  <w:style w:type="paragraph" w:customStyle="1" w:styleId="xl87">
    <w:name w:val="xl87"/>
    <w:basedOn w:val="Normal"/>
    <w:rsid w:val="00FD2DBE"/>
    <w:pPr>
      <w:shd w:val="clear" w:color="000000" w:fill="DAF2D0"/>
      <w:spacing w:before="100" w:beforeAutospacing="1" w:after="100" w:afterAutospacing="1"/>
      <w:jc w:val="right"/>
    </w:pPr>
    <w:rPr>
      <w:rFonts w:ascii="Times New Roman" w:eastAsia="Times New Roman" w:hAnsi="Times New Roman" w:cs="Times New Roman"/>
      <w:sz w:val="24"/>
      <w:szCs w:val="24"/>
      <w:lang w:eastAsia="en-GB"/>
    </w:rPr>
  </w:style>
  <w:style w:type="paragraph" w:customStyle="1" w:styleId="xl88">
    <w:name w:val="xl88"/>
    <w:basedOn w:val="Normal"/>
    <w:rsid w:val="00FD2DBE"/>
    <w:pPr>
      <w:shd w:val="clear" w:color="000000" w:fill="FBE2D5"/>
      <w:spacing w:before="100" w:beforeAutospacing="1" w:after="100" w:afterAutospacing="1"/>
      <w:jc w:val="right"/>
    </w:pPr>
    <w:rPr>
      <w:rFonts w:ascii="Times New Roman" w:eastAsia="Times New Roman" w:hAnsi="Times New Roman" w:cs="Times New Roman"/>
      <w:sz w:val="24"/>
      <w:szCs w:val="24"/>
      <w:lang w:eastAsia="en-GB"/>
    </w:rPr>
  </w:style>
  <w:style w:type="paragraph" w:customStyle="1" w:styleId="xl89">
    <w:name w:val="xl89"/>
    <w:basedOn w:val="Normal"/>
    <w:rsid w:val="00FD2DBE"/>
    <w:pPr>
      <w:shd w:val="clear" w:color="000000" w:fill="DAF2D0"/>
      <w:spacing w:before="100" w:beforeAutospacing="1" w:after="100" w:afterAutospacing="1"/>
      <w:jc w:val="right"/>
    </w:pPr>
    <w:rPr>
      <w:rFonts w:ascii="Times New Roman" w:eastAsia="Times New Roman" w:hAnsi="Times New Roman" w:cs="Times New Roman"/>
      <w:sz w:val="24"/>
      <w:szCs w:val="24"/>
      <w:lang w:eastAsia="en-GB"/>
    </w:rPr>
  </w:style>
  <w:style w:type="paragraph" w:customStyle="1" w:styleId="xl67">
    <w:name w:val="xl67"/>
    <w:basedOn w:val="Normal"/>
    <w:rsid w:val="00FD2DBE"/>
    <w:pPr>
      <w:shd w:val="clear" w:color="000000" w:fill="FBE2D5"/>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70">
    <w:name w:val="xl70"/>
    <w:basedOn w:val="Normal"/>
    <w:rsid w:val="00FD2DBE"/>
    <w:pPr>
      <w:spacing w:before="100" w:beforeAutospacing="1" w:after="100" w:afterAutospacing="1"/>
      <w:jc w:val="left"/>
    </w:pPr>
    <w:rPr>
      <w:rFonts w:ascii="Aptos Narrow" w:eastAsia="Times New Roman" w:hAnsi="Aptos Narrow" w:cs="Times New Roman"/>
      <w:b/>
      <w:bCs/>
      <w:sz w:val="24"/>
      <w:szCs w:val="24"/>
      <w:lang w:eastAsia="en-GB"/>
    </w:rPr>
  </w:style>
  <w:style w:type="paragraph" w:customStyle="1" w:styleId="xl71">
    <w:name w:val="xl71"/>
    <w:basedOn w:val="Normal"/>
    <w:rsid w:val="00FD2DB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GB"/>
    </w:rPr>
  </w:style>
  <w:style w:type="numbering" w:customStyle="1" w:styleId="CurrentList1">
    <w:name w:val="Current List1"/>
    <w:uiPriority w:val="99"/>
    <w:rsid w:val="00C4587F"/>
    <w:pPr>
      <w:numPr>
        <w:numId w:val="38"/>
      </w:numPr>
    </w:pPr>
  </w:style>
  <w:style w:type="numbering" w:customStyle="1" w:styleId="CurrentList2">
    <w:name w:val="Current List2"/>
    <w:uiPriority w:val="99"/>
    <w:rsid w:val="00C4587F"/>
    <w:pPr>
      <w:numPr>
        <w:numId w:val="39"/>
      </w:numPr>
    </w:pPr>
  </w:style>
  <w:style w:type="paragraph" w:styleId="ListNumber">
    <w:name w:val="List Number"/>
    <w:basedOn w:val="Normal"/>
    <w:uiPriority w:val="99"/>
    <w:semiHidden/>
    <w:unhideWhenUsed/>
    <w:rsid w:val="002D122C"/>
    <w:pPr>
      <w:numPr>
        <w:numId w:val="4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67">
      <w:marLeft w:val="480"/>
      <w:marRight w:val="0"/>
      <w:marTop w:val="0"/>
      <w:marBottom w:val="0"/>
      <w:divBdr>
        <w:top w:val="none" w:sz="0" w:space="0" w:color="auto"/>
        <w:left w:val="none" w:sz="0" w:space="0" w:color="auto"/>
        <w:bottom w:val="none" w:sz="0" w:space="0" w:color="auto"/>
        <w:right w:val="none" w:sz="0" w:space="0" w:color="auto"/>
      </w:divBdr>
    </w:div>
    <w:div w:id="2052197">
      <w:marLeft w:val="480"/>
      <w:marRight w:val="0"/>
      <w:marTop w:val="0"/>
      <w:marBottom w:val="0"/>
      <w:divBdr>
        <w:top w:val="none" w:sz="0" w:space="0" w:color="auto"/>
        <w:left w:val="none" w:sz="0" w:space="0" w:color="auto"/>
        <w:bottom w:val="none" w:sz="0" w:space="0" w:color="auto"/>
        <w:right w:val="none" w:sz="0" w:space="0" w:color="auto"/>
      </w:divBdr>
    </w:div>
    <w:div w:id="3440542">
      <w:marLeft w:val="480"/>
      <w:marRight w:val="0"/>
      <w:marTop w:val="0"/>
      <w:marBottom w:val="0"/>
      <w:divBdr>
        <w:top w:val="none" w:sz="0" w:space="0" w:color="auto"/>
        <w:left w:val="none" w:sz="0" w:space="0" w:color="auto"/>
        <w:bottom w:val="none" w:sz="0" w:space="0" w:color="auto"/>
        <w:right w:val="none" w:sz="0" w:space="0" w:color="auto"/>
      </w:divBdr>
    </w:div>
    <w:div w:id="7995843">
      <w:bodyDiv w:val="1"/>
      <w:marLeft w:val="0"/>
      <w:marRight w:val="0"/>
      <w:marTop w:val="0"/>
      <w:marBottom w:val="0"/>
      <w:divBdr>
        <w:top w:val="none" w:sz="0" w:space="0" w:color="auto"/>
        <w:left w:val="none" w:sz="0" w:space="0" w:color="auto"/>
        <w:bottom w:val="none" w:sz="0" w:space="0" w:color="auto"/>
        <w:right w:val="none" w:sz="0" w:space="0" w:color="auto"/>
      </w:divBdr>
    </w:div>
    <w:div w:id="8146947">
      <w:marLeft w:val="480"/>
      <w:marRight w:val="0"/>
      <w:marTop w:val="0"/>
      <w:marBottom w:val="0"/>
      <w:divBdr>
        <w:top w:val="none" w:sz="0" w:space="0" w:color="auto"/>
        <w:left w:val="none" w:sz="0" w:space="0" w:color="auto"/>
        <w:bottom w:val="none" w:sz="0" w:space="0" w:color="auto"/>
        <w:right w:val="none" w:sz="0" w:space="0" w:color="auto"/>
      </w:divBdr>
    </w:div>
    <w:div w:id="8723613">
      <w:bodyDiv w:val="1"/>
      <w:marLeft w:val="0"/>
      <w:marRight w:val="0"/>
      <w:marTop w:val="0"/>
      <w:marBottom w:val="0"/>
      <w:divBdr>
        <w:top w:val="none" w:sz="0" w:space="0" w:color="auto"/>
        <w:left w:val="none" w:sz="0" w:space="0" w:color="auto"/>
        <w:bottom w:val="none" w:sz="0" w:space="0" w:color="auto"/>
        <w:right w:val="none" w:sz="0" w:space="0" w:color="auto"/>
      </w:divBdr>
    </w:div>
    <w:div w:id="9719612">
      <w:marLeft w:val="480"/>
      <w:marRight w:val="0"/>
      <w:marTop w:val="0"/>
      <w:marBottom w:val="0"/>
      <w:divBdr>
        <w:top w:val="none" w:sz="0" w:space="0" w:color="auto"/>
        <w:left w:val="none" w:sz="0" w:space="0" w:color="auto"/>
        <w:bottom w:val="none" w:sz="0" w:space="0" w:color="auto"/>
        <w:right w:val="none" w:sz="0" w:space="0" w:color="auto"/>
      </w:divBdr>
    </w:div>
    <w:div w:id="10030862">
      <w:marLeft w:val="480"/>
      <w:marRight w:val="0"/>
      <w:marTop w:val="0"/>
      <w:marBottom w:val="0"/>
      <w:divBdr>
        <w:top w:val="none" w:sz="0" w:space="0" w:color="auto"/>
        <w:left w:val="none" w:sz="0" w:space="0" w:color="auto"/>
        <w:bottom w:val="none" w:sz="0" w:space="0" w:color="auto"/>
        <w:right w:val="none" w:sz="0" w:space="0" w:color="auto"/>
      </w:divBdr>
    </w:div>
    <w:div w:id="10836719">
      <w:marLeft w:val="480"/>
      <w:marRight w:val="0"/>
      <w:marTop w:val="0"/>
      <w:marBottom w:val="0"/>
      <w:divBdr>
        <w:top w:val="none" w:sz="0" w:space="0" w:color="auto"/>
        <w:left w:val="none" w:sz="0" w:space="0" w:color="auto"/>
        <w:bottom w:val="none" w:sz="0" w:space="0" w:color="auto"/>
        <w:right w:val="none" w:sz="0" w:space="0" w:color="auto"/>
      </w:divBdr>
    </w:div>
    <w:div w:id="11304756">
      <w:bodyDiv w:val="1"/>
      <w:marLeft w:val="0"/>
      <w:marRight w:val="0"/>
      <w:marTop w:val="0"/>
      <w:marBottom w:val="0"/>
      <w:divBdr>
        <w:top w:val="none" w:sz="0" w:space="0" w:color="auto"/>
        <w:left w:val="none" w:sz="0" w:space="0" w:color="auto"/>
        <w:bottom w:val="none" w:sz="0" w:space="0" w:color="auto"/>
        <w:right w:val="none" w:sz="0" w:space="0" w:color="auto"/>
      </w:divBdr>
      <w:divsChild>
        <w:div w:id="88813521">
          <w:marLeft w:val="0"/>
          <w:marRight w:val="0"/>
          <w:marTop w:val="0"/>
          <w:marBottom w:val="0"/>
          <w:divBdr>
            <w:top w:val="none" w:sz="0" w:space="0" w:color="auto"/>
            <w:left w:val="none" w:sz="0" w:space="0" w:color="auto"/>
            <w:bottom w:val="none" w:sz="0" w:space="0" w:color="auto"/>
            <w:right w:val="none" w:sz="0" w:space="0" w:color="auto"/>
          </w:divBdr>
          <w:divsChild>
            <w:div w:id="2000881097">
              <w:marLeft w:val="-75"/>
              <w:marRight w:val="0"/>
              <w:marTop w:val="30"/>
              <w:marBottom w:val="30"/>
              <w:divBdr>
                <w:top w:val="none" w:sz="0" w:space="0" w:color="auto"/>
                <w:left w:val="none" w:sz="0" w:space="0" w:color="auto"/>
                <w:bottom w:val="none" w:sz="0" w:space="0" w:color="auto"/>
                <w:right w:val="none" w:sz="0" w:space="0" w:color="auto"/>
              </w:divBdr>
              <w:divsChild>
                <w:div w:id="66388145">
                  <w:marLeft w:val="0"/>
                  <w:marRight w:val="0"/>
                  <w:marTop w:val="0"/>
                  <w:marBottom w:val="0"/>
                  <w:divBdr>
                    <w:top w:val="none" w:sz="0" w:space="0" w:color="auto"/>
                    <w:left w:val="none" w:sz="0" w:space="0" w:color="auto"/>
                    <w:bottom w:val="none" w:sz="0" w:space="0" w:color="auto"/>
                    <w:right w:val="none" w:sz="0" w:space="0" w:color="auto"/>
                  </w:divBdr>
                  <w:divsChild>
                    <w:div w:id="1969697782">
                      <w:marLeft w:val="0"/>
                      <w:marRight w:val="0"/>
                      <w:marTop w:val="0"/>
                      <w:marBottom w:val="0"/>
                      <w:divBdr>
                        <w:top w:val="none" w:sz="0" w:space="0" w:color="auto"/>
                        <w:left w:val="none" w:sz="0" w:space="0" w:color="auto"/>
                        <w:bottom w:val="none" w:sz="0" w:space="0" w:color="auto"/>
                        <w:right w:val="none" w:sz="0" w:space="0" w:color="auto"/>
                      </w:divBdr>
                    </w:div>
                  </w:divsChild>
                </w:div>
                <w:div w:id="238171490">
                  <w:marLeft w:val="0"/>
                  <w:marRight w:val="0"/>
                  <w:marTop w:val="0"/>
                  <w:marBottom w:val="0"/>
                  <w:divBdr>
                    <w:top w:val="none" w:sz="0" w:space="0" w:color="auto"/>
                    <w:left w:val="none" w:sz="0" w:space="0" w:color="auto"/>
                    <w:bottom w:val="none" w:sz="0" w:space="0" w:color="auto"/>
                    <w:right w:val="none" w:sz="0" w:space="0" w:color="auto"/>
                  </w:divBdr>
                  <w:divsChild>
                    <w:div w:id="1094087742">
                      <w:marLeft w:val="0"/>
                      <w:marRight w:val="0"/>
                      <w:marTop w:val="0"/>
                      <w:marBottom w:val="0"/>
                      <w:divBdr>
                        <w:top w:val="none" w:sz="0" w:space="0" w:color="auto"/>
                        <w:left w:val="none" w:sz="0" w:space="0" w:color="auto"/>
                        <w:bottom w:val="none" w:sz="0" w:space="0" w:color="auto"/>
                        <w:right w:val="none" w:sz="0" w:space="0" w:color="auto"/>
                      </w:divBdr>
                    </w:div>
                  </w:divsChild>
                </w:div>
                <w:div w:id="298149508">
                  <w:marLeft w:val="0"/>
                  <w:marRight w:val="0"/>
                  <w:marTop w:val="0"/>
                  <w:marBottom w:val="0"/>
                  <w:divBdr>
                    <w:top w:val="none" w:sz="0" w:space="0" w:color="auto"/>
                    <w:left w:val="none" w:sz="0" w:space="0" w:color="auto"/>
                    <w:bottom w:val="none" w:sz="0" w:space="0" w:color="auto"/>
                    <w:right w:val="none" w:sz="0" w:space="0" w:color="auto"/>
                  </w:divBdr>
                  <w:divsChild>
                    <w:div w:id="224532362">
                      <w:marLeft w:val="0"/>
                      <w:marRight w:val="0"/>
                      <w:marTop w:val="0"/>
                      <w:marBottom w:val="0"/>
                      <w:divBdr>
                        <w:top w:val="none" w:sz="0" w:space="0" w:color="auto"/>
                        <w:left w:val="none" w:sz="0" w:space="0" w:color="auto"/>
                        <w:bottom w:val="none" w:sz="0" w:space="0" w:color="auto"/>
                        <w:right w:val="none" w:sz="0" w:space="0" w:color="auto"/>
                      </w:divBdr>
                    </w:div>
                  </w:divsChild>
                </w:div>
                <w:div w:id="318920404">
                  <w:marLeft w:val="0"/>
                  <w:marRight w:val="0"/>
                  <w:marTop w:val="0"/>
                  <w:marBottom w:val="0"/>
                  <w:divBdr>
                    <w:top w:val="none" w:sz="0" w:space="0" w:color="auto"/>
                    <w:left w:val="none" w:sz="0" w:space="0" w:color="auto"/>
                    <w:bottom w:val="none" w:sz="0" w:space="0" w:color="auto"/>
                    <w:right w:val="none" w:sz="0" w:space="0" w:color="auto"/>
                  </w:divBdr>
                  <w:divsChild>
                    <w:div w:id="650402422">
                      <w:marLeft w:val="0"/>
                      <w:marRight w:val="0"/>
                      <w:marTop w:val="0"/>
                      <w:marBottom w:val="0"/>
                      <w:divBdr>
                        <w:top w:val="none" w:sz="0" w:space="0" w:color="auto"/>
                        <w:left w:val="none" w:sz="0" w:space="0" w:color="auto"/>
                        <w:bottom w:val="none" w:sz="0" w:space="0" w:color="auto"/>
                        <w:right w:val="none" w:sz="0" w:space="0" w:color="auto"/>
                      </w:divBdr>
                    </w:div>
                  </w:divsChild>
                </w:div>
                <w:div w:id="386489168">
                  <w:marLeft w:val="0"/>
                  <w:marRight w:val="0"/>
                  <w:marTop w:val="0"/>
                  <w:marBottom w:val="0"/>
                  <w:divBdr>
                    <w:top w:val="none" w:sz="0" w:space="0" w:color="auto"/>
                    <w:left w:val="none" w:sz="0" w:space="0" w:color="auto"/>
                    <w:bottom w:val="none" w:sz="0" w:space="0" w:color="auto"/>
                    <w:right w:val="none" w:sz="0" w:space="0" w:color="auto"/>
                  </w:divBdr>
                  <w:divsChild>
                    <w:div w:id="664629887">
                      <w:marLeft w:val="0"/>
                      <w:marRight w:val="0"/>
                      <w:marTop w:val="0"/>
                      <w:marBottom w:val="0"/>
                      <w:divBdr>
                        <w:top w:val="none" w:sz="0" w:space="0" w:color="auto"/>
                        <w:left w:val="none" w:sz="0" w:space="0" w:color="auto"/>
                        <w:bottom w:val="none" w:sz="0" w:space="0" w:color="auto"/>
                        <w:right w:val="none" w:sz="0" w:space="0" w:color="auto"/>
                      </w:divBdr>
                    </w:div>
                  </w:divsChild>
                </w:div>
                <w:div w:id="591207170">
                  <w:marLeft w:val="0"/>
                  <w:marRight w:val="0"/>
                  <w:marTop w:val="0"/>
                  <w:marBottom w:val="0"/>
                  <w:divBdr>
                    <w:top w:val="none" w:sz="0" w:space="0" w:color="auto"/>
                    <w:left w:val="none" w:sz="0" w:space="0" w:color="auto"/>
                    <w:bottom w:val="none" w:sz="0" w:space="0" w:color="auto"/>
                    <w:right w:val="none" w:sz="0" w:space="0" w:color="auto"/>
                  </w:divBdr>
                  <w:divsChild>
                    <w:div w:id="1687169024">
                      <w:marLeft w:val="0"/>
                      <w:marRight w:val="0"/>
                      <w:marTop w:val="0"/>
                      <w:marBottom w:val="0"/>
                      <w:divBdr>
                        <w:top w:val="none" w:sz="0" w:space="0" w:color="auto"/>
                        <w:left w:val="none" w:sz="0" w:space="0" w:color="auto"/>
                        <w:bottom w:val="none" w:sz="0" w:space="0" w:color="auto"/>
                        <w:right w:val="none" w:sz="0" w:space="0" w:color="auto"/>
                      </w:divBdr>
                    </w:div>
                  </w:divsChild>
                </w:div>
                <w:div w:id="771122724">
                  <w:marLeft w:val="0"/>
                  <w:marRight w:val="0"/>
                  <w:marTop w:val="0"/>
                  <w:marBottom w:val="0"/>
                  <w:divBdr>
                    <w:top w:val="none" w:sz="0" w:space="0" w:color="auto"/>
                    <w:left w:val="none" w:sz="0" w:space="0" w:color="auto"/>
                    <w:bottom w:val="none" w:sz="0" w:space="0" w:color="auto"/>
                    <w:right w:val="none" w:sz="0" w:space="0" w:color="auto"/>
                  </w:divBdr>
                  <w:divsChild>
                    <w:div w:id="522784753">
                      <w:marLeft w:val="0"/>
                      <w:marRight w:val="0"/>
                      <w:marTop w:val="0"/>
                      <w:marBottom w:val="0"/>
                      <w:divBdr>
                        <w:top w:val="none" w:sz="0" w:space="0" w:color="auto"/>
                        <w:left w:val="none" w:sz="0" w:space="0" w:color="auto"/>
                        <w:bottom w:val="none" w:sz="0" w:space="0" w:color="auto"/>
                        <w:right w:val="none" w:sz="0" w:space="0" w:color="auto"/>
                      </w:divBdr>
                    </w:div>
                  </w:divsChild>
                </w:div>
                <w:div w:id="779034357">
                  <w:marLeft w:val="0"/>
                  <w:marRight w:val="0"/>
                  <w:marTop w:val="0"/>
                  <w:marBottom w:val="0"/>
                  <w:divBdr>
                    <w:top w:val="none" w:sz="0" w:space="0" w:color="auto"/>
                    <w:left w:val="none" w:sz="0" w:space="0" w:color="auto"/>
                    <w:bottom w:val="none" w:sz="0" w:space="0" w:color="auto"/>
                    <w:right w:val="none" w:sz="0" w:space="0" w:color="auto"/>
                  </w:divBdr>
                  <w:divsChild>
                    <w:div w:id="515578966">
                      <w:marLeft w:val="0"/>
                      <w:marRight w:val="0"/>
                      <w:marTop w:val="0"/>
                      <w:marBottom w:val="0"/>
                      <w:divBdr>
                        <w:top w:val="none" w:sz="0" w:space="0" w:color="auto"/>
                        <w:left w:val="none" w:sz="0" w:space="0" w:color="auto"/>
                        <w:bottom w:val="none" w:sz="0" w:space="0" w:color="auto"/>
                        <w:right w:val="none" w:sz="0" w:space="0" w:color="auto"/>
                      </w:divBdr>
                    </w:div>
                  </w:divsChild>
                </w:div>
                <w:div w:id="860777157">
                  <w:marLeft w:val="0"/>
                  <w:marRight w:val="0"/>
                  <w:marTop w:val="0"/>
                  <w:marBottom w:val="0"/>
                  <w:divBdr>
                    <w:top w:val="none" w:sz="0" w:space="0" w:color="auto"/>
                    <w:left w:val="none" w:sz="0" w:space="0" w:color="auto"/>
                    <w:bottom w:val="none" w:sz="0" w:space="0" w:color="auto"/>
                    <w:right w:val="none" w:sz="0" w:space="0" w:color="auto"/>
                  </w:divBdr>
                  <w:divsChild>
                    <w:div w:id="761533286">
                      <w:marLeft w:val="0"/>
                      <w:marRight w:val="0"/>
                      <w:marTop w:val="0"/>
                      <w:marBottom w:val="0"/>
                      <w:divBdr>
                        <w:top w:val="none" w:sz="0" w:space="0" w:color="auto"/>
                        <w:left w:val="none" w:sz="0" w:space="0" w:color="auto"/>
                        <w:bottom w:val="none" w:sz="0" w:space="0" w:color="auto"/>
                        <w:right w:val="none" w:sz="0" w:space="0" w:color="auto"/>
                      </w:divBdr>
                    </w:div>
                  </w:divsChild>
                </w:div>
                <w:div w:id="906065505">
                  <w:marLeft w:val="0"/>
                  <w:marRight w:val="0"/>
                  <w:marTop w:val="0"/>
                  <w:marBottom w:val="0"/>
                  <w:divBdr>
                    <w:top w:val="none" w:sz="0" w:space="0" w:color="auto"/>
                    <w:left w:val="none" w:sz="0" w:space="0" w:color="auto"/>
                    <w:bottom w:val="none" w:sz="0" w:space="0" w:color="auto"/>
                    <w:right w:val="none" w:sz="0" w:space="0" w:color="auto"/>
                  </w:divBdr>
                  <w:divsChild>
                    <w:div w:id="629094260">
                      <w:marLeft w:val="0"/>
                      <w:marRight w:val="0"/>
                      <w:marTop w:val="0"/>
                      <w:marBottom w:val="0"/>
                      <w:divBdr>
                        <w:top w:val="none" w:sz="0" w:space="0" w:color="auto"/>
                        <w:left w:val="none" w:sz="0" w:space="0" w:color="auto"/>
                        <w:bottom w:val="none" w:sz="0" w:space="0" w:color="auto"/>
                        <w:right w:val="none" w:sz="0" w:space="0" w:color="auto"/>
                      </w:divBdr>
                    </w:div>
                    <w:div w:id="1976567863">
                      <w:marLeft w:val="0"/>
                      <w:marRight w:val="0"/>
                      <w:marTop w:val="0"/>
                      <w:marBottom w:val="0"/>
                      <w:divBdr>
                        <w:top w:val="none" w:sz="0" w:space="0" w:color="auto"/>
                        <w:left w:val="none" w:sz="0" w:space="0" w:color="auto"/>
                        <w:bottom w:val="none" w:sz="0" w:space="0" w:color="auto"/>
                        <w:right w:val="none" w:sz="0" w:space="0" w:color="auto"/>
                      </w:divBdr>
                    </w:div>
                  </w:divsChild>
                </w:div>
                <w:div w:id="932276177">
                  <w:marLeft w:val="0"/>
                  <w:marRight w:val="0"/>
                  <w:marTop w:val="0"/>
                  <w:marBottom w:val="0"/>
                  <w:divBdr>
                    <w:top w:val="none" w:sz="0" w:space="0" w:color="auto"/>
                    <w:left w:val="none" w:sz="0" w:space="0" w:color="auto"/>
                    <w:bottom w:val="none" w:sz="0" w:space="0" w:color="auto"/>
                    <w:right w:val="none" w:sz="0" w:space="0" w:color="auto"/>
                  </w:divBdr>
                  <w:divsChild>
                    <w:div w:id="2011175052">
                      <w:marLeft w:val="0"/>
                      <w:marRight w:val="0"/>
                      <w:marTop w:val="0"/>
                      <w:marBottom w:val="0"/>
                      <w:divBdr>
                        <w:top w:val="none" w:sz="0" w:space="0" w:color="auto"/>
                        <w:left w:val="none" w:sz="0" w:space="0" w:color="auto"/>
                        <w:bottom w:val="none" w:sz="0" w:space="0" w:color="auto"/>
                        <w:right w:val="none" w:sz="0" w:space="0" w:color="auto"/>
                      </w:divBdr>
                    </w:div>
                  </w:divsChild>
                </w:div>
                <w:div w:id="1254166163">
                  <w:marLeft w:val="0"/>
                  <w:marRight w:val="0"/>
                  <w:marTop w:val="0"/>
                  <w:marBottom w:val="0"/>
                  <w:divBdr>
                    <w:top w:val="none" w:sz="0" w:space="0" w:color="auto"/>
                    <w:left w:val="none" w:sz="0" w:space="0" w:color="auto"/>
                    <w:bottom w:val="none" w:sz="0" w:space="0" w:color="auto"/>
                    <w:right w:val="none" w:sz="0" w:space="0" w:color="auto"/>
                  </w:divBdr>
                </w:div>
                <w:div w:id="1254431418">
                  <w:marLeft w:val="0"/>
                  <w:marRight w:val="0"/>
                  <w:marTop w:val="0"/>
                  <w:marBottom w:val="0"/>
                  <w:divBdr>
                    <w:top w:val="none" w:sz="0" w:space="0" w:color="auto"/>
                    <w:left w:val="none" w:sz="0" w:space="0" w:color="auto"/>
                    <w:bottom w:val="none" w:sz="0" w:space="0" w:color="auto"/>
                    <w:right w:val="none" w:sz="0" w:space="0" w:color="auto"/>
                  </w:divBdr>
                  <w:divsChild>
                    <w:div w:id="231814573">
                      <w:marLeft w:val="0"/>
                      <w:marRight w:val="0"/>
                      <w:marTop w:val="0"/>
                      <w:marBottom w:val="0"/>
                      <w:divBdr>
                        <w:top w:val="none" w:sz="0" w:space="0" w:color="auto"/>
                        <w:left w:val="none" w:sz="0" w:space="0" w:color="auto"/>
                        <w:bottom w:val="none" w:sz="0" w:space="0" w:color="auto"/>
                        <w:right w:val="none" w:sz="0" w:space="0" w:color="auto"/>
                      </w:divBdr>
                    </w:div>
                  </w:divsChild>
                </w:div>
                <w:div w:id="1258250832">
                  <w:marLeft w:val="0"/>
                  <w:marRight w:val="0"/>
                  <w:marTop w:val="0"/>
                  <w:marBottom w:val="0"/>
                  <w:divBdr>
                    <w:top w:val="none" w:sz="0" w:space="0" w:color="auto"/>
                    <w:left w:val="none" w:sz="0" w:space="0" w:color="auto"/>
                    <w:bottom w:val="none" w:sz="0" w:space="0" w:color="auto"/>
                    <w:right w:val="none" w:sz="0" w:space="0" w:color="auto"/>
                  </w:divBdr>
                  <w:divsChild>
                    <w:div w:id="205028786">
                      <w:marLeft w:val="0"/>
                      <w:marRight w:val="0"/>
                      <w:marTop w:val="0"/>
                      <w:marBottom w:val="0"/>
                      <w:divBdr>
                        <w:top w:val="none" w:sz="0" w:space="0" w:color="auto"/>
                        <w:left w:val="none" w:sz="0" w:space="0" w:color="auto"/>
                        <w:bottom w:val="none" w:sz="0" w:space="0" w:color="auto"/>
                        <w:right w:val="none" w:sz="0" w:space="0" w:color="auto"/>
                      </w:divBdr>
                    </w:div>
                  </w:divsChild>
                </w:div>
                <w:div w:id="1363870159">
                  <w:marLeft w:val="0"/>
                  <w:marRight w:val="0"/>
                  <w:marTop w:val="0"/>
                  <w:marBottom w:val="0"/>
                  <w:divBdr>
                    <w:top w:val="none" w:sz="0" w:space="0" w:color="auto"/>
                    <w:left w:val="none" w:sz="0" w:space="0" w:color="auto"/>
                    <w:bottom w:val="none" w:sz="0" w:space="0" w:color="auto"/>
                    <w:right w:val="none" w:sz="0" w:space="0" w:color="auto"/>
                  </w:divBdr>
                  <w:divsChild>
                    <w:div w:id="1230072338">
                      <w:marLeft w:val="0"/>
                      <w:marRight w:val="0"/>
                      <w:marTop w:val="0"/>
                      <w:marBottom w:val="0"/>
                      <w:divBdr>
                        <w:top w:val="none" w:sz="0" w:space="0" w:color="auto"/>
                        <w:left w:val="none" w:sz="0" w:space="0" w:color="auto"/>
                        <w:bottom w:val="none" w:sz="0" w:space="0" w:color="auto"/>
                        <w:right w:val="none" w:sz="0" w:space="0" w:color="auto"/>
                      </w:divBdr>
                    </w:div>
                  </w:divsChild>
                </w:div>
                <w:div w:id="1466041878">
                  <w:marLeft w:val="0"/>
                  <w:marRight w:val="0"/>
                  <w:marTop w:val="0"/>
                  <w:marBottom w:val="0"/>
                  <w:divBdr>
                    <w:top w:val="none" w:sz="0" w:space="0" w:color="auto"/>
                    <w:left w:val="none" w:sz="0" w:space="0" w:color="auto"/>
                    <w:bottom w:val="none" w:sz="0" w:space="0" w:color="auto"/>
                    <w:right w:val="none" w:sz="0" w:space="0" w:color="auto"/>
                  </w:divBdr>
                  <w:divsChild>
                    <w:div w:id="401606065">
                      <w:marLeft w:val="0"/>
                      <w:marRight w:val="0"/>
                      <w:marTop w:val="0"/>
                      <w:marBottom w:val="0"/>
                      <w:divBdr>
                        <w:top w:val="none" w:sz="0" w:space="0" w:color="auto"/>
                        <w:left w:val="none" w:sz="0" w:space="0" w:color="auto"/>
                        <w:bottom w:val="none" w:sz="0" w:space="0" w:color="auto"/>
                        <w:right w:val="none" w:sz="0" w:space="0" w:color="auto"/>
                      </w:divBdr>
                    </w:div>
                  </w:divsChild>
                </w:div>
                <w:div w:id="1625381039">
                  <w:marLeft w:val="0"/>
                  <w:marRight w:val="0"/>
                  <w:marTop w:val="0"/>
                  <w:marBottom w:val="0"/>
                  <w:divBdr>
                    <w:top w:val="none" w:sz="0" w:space="0" w:color="auto"/>
                    <w:left w:val="none" w:sz="0" w:space="0" w:color="auto"/>
                    <w:bottom w:val="none" w:sz="0" w:space="0" w:color="auto"/>
                    <w:right w:val="none" w:sz="0" w:space="0" w:color="auto"/>
                  </w:divBdr>
                  <w:divsChild>
                    <w:div w:id="1678390014">
                      <w:marLeft w:val="0"/>
                      <w:marRight w:val="0"/>
                      <w:marTop w:val="0"/>
                      <w:marBottom w:val="0"/>
                      <w:divBdr>
                        <w:top w:val="none" w:sz="0" w:space="0" w:color="auto"/>
                        <w:left w:val="none" w:sz="0" w:space="0" w:color="auto"/>
                        <w:bottom w:val="none" w:sz="0" w:space="0" w:color="auto"/>
                        <w:right w:val="none" w:sz="0" w:space="0" w:color="auto"/>
                      </w:divBdr>
                    </w:div>
                  </w:divsChild>
                </w:div>
                <w:div w:id="1702125235">
                  <w:marLeft w:val="0"/>
                  <w:marRight w:val="0"/>
                  <w:marTop w:val="0"/>
                  <w:marBottom w:val="0"/>
                  <w:divBdr>
                    <w:top w:val="none" w:sz="0" w:space="0" w:color="auto"/>
                    <w:left w:val="none" w:sz="0" w:space="0" w:color="auto"/>
                    <w:bottom w:val="none" w:sz="0" w:space="0" w:color="auto"/>
                    <w:right w:val="none" w:sz="0" w:space="0" w:color="auto"/>
                  </w:divBdr>
                  <w:divsChild>
                    <w:div w:id="1300576840">
                      <w:marLeft w:val="0"/>
                      <w:marRight w:val="0"/>
                      <w:marTop w:val="0"/>
                      <w:marBottom w:val="0"/>
                      <w:divBdr>
                        <w:top w:val="none" w:sz="0" w:space="0" w:color="auto"/>
                        <w:left w:val="none" w:sz="0" w:space="0" w:color="auto"/>
                        <w:bottom w:val="none" w:sz="0" w:space="0" w:color="auto"/>
                        <w:right w:val="none" w:sz="0" w:space="0" w:color="auto"/>
                      </w:divBdr>
                    </w:div>
                  </w:divsChild>
                </w:div>
                <w:div w:id="1771580850">
                  <w:marLeft w:val="0"/>
                  <w:marRight w:val="0"/>
                  <w:marTop w:val="0"/>
                  <w:marBottom w:val="0"/>
                  <w:divBdr>
                    <w:top w:val="none" w:sz="0" w:space="0" w:color="auto"/>
                    <w:left w:val="none" w:sz="0" w:space="0" w:color="auto"/>
                    <w:bottom w:val="none" w:sz="0" w:space="0" w:color="auto"/>
                    <w:right w:val="none" w:sz="0" w:space="0" w:color="auto"/>
                  </w:divBdr>
                  <w:divsChild>
                    <w:div w:id="426460348">
                      <w:marLeft w:val="0"/>
                      <w:marRight w:val="0"/>
                      <w:marTop w:val="0"/>
                      <w:marBottom w:val="0"/>
                      <w:divBdr>
                        <w:top w:val="none" w:sz="0" w:space="0" w:color="auto"/>
                        <w:left w:val="none" w:sz="0" w:space="0" w:color="auto"/>
                        <w:bottom w:val="none" w:sz="0" w:space="0" w:color="auto"/>
                        <w:right w:val="none" w:sz="0" w:space="0" w:color="auto"/>
                      </w:divBdr>
                    </w:div>
                  </w:divsChild>
                </w:div>
                <w:div w:id="2055159629">
                  <w:marLeft w:val="0"/>
                  <w:marRight w:val="0"/>
                  <w:marTop w:val="0"/>
                  <w:marBottom w:val="0"/>
                  <w:divBdr>
                    <w:top w:val="none" w:sz="0" w:space="0" w:color="auto"/>
                    <w:left w:val="none" w:sz="0" w:space="0" w:color="auto"/>
                    <w:bottom w:val="none" w:sz="0" w:space="0" w:color="auto"/>
                    <w:right w:val="none" w:sz="0" w:space="0" w:color="auto"/>
                  </w:divBdr>
                  <w:divsChild>
                    <w:div w:id="824397259">
                      <w:marLeft w:val="0"/>
                      <w:marRight w:val="0"/>
                      <w:marTop w:val="0"/>
                      <w:marBottom w:val="0"/>
                      <w:divBdr>
                        <w:top w:val="none" w:sz="0" w:space="0" w:color="auto"/>
                        <w:left w:val="none" w:sz="0" w:space="0" w:color="auto"/>
                        <w:bottom w:val="none" w:sz="0" w:space="0" w:color="auto"/>
                        <w:right w:val="none" w:sz="0" w:space="0" w:color="auto"/>
                      </w:divBdr>
                    </w:div>
                  </w:divsChild>
                </w:div>
                <w:div w:id="2078898849">
                  <w:marLeft w:val="0"/>
                  <w:marRight w:val="0"/>
                  <w:marTop w:val="0"/>
                  <w:marBottom w:val="0"/>
                  <w:divBdr>
                    <w:top w:val="none" w:sz="0" w:space="0" w:color="auto"/>
                    <w:left w:val="none" w:sz="0" w:space="0" w:color="auto"/>
                    <w:bottom w:val="none" w:sz="0" w:space="0" w:color="auto"/>
                    <w:right w:val="none" w:sz="0" w:space="0" w:color="auto"/>
                  </w:divBdr>
                  <w:divsChild>
                    <w:div w:id="4258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6154">
          <w:marLeft w:val="0"/>
          <w:marRight w:val="0"/>
          <w:marTop w:val="0"/>
          <w:marBottom w:val="0"/>
          <w:divBdr>
            <w:top w:val="none" w:sz="0" w:space="0" w:color="auto"/>
            <w:left w:val="none" w:sz="0" w:space="0" w:color="auto"/>
            <w:bottom w:val="none" w:sz="0" w:space="0" w:color="auto"/>
            <w:right w:val="none" w:sz="0" w:space="0" w:color="auto"/>
          </w:divBdr>
          <w:divsChild>
            <w:div w:id="580145878">
              <w:marLeft w:val="0"/>
              <w:marRight w:val="0"/>
              <w:marTop w:val="0"/>
              <w:marBottom w:val="0"/>
              <w:divBdr>
                <w:top w:val="none" w:sz="0" w:space="0" w:color="auto"/>
                <w:left w:val="none" w:sz="0" w:space="0" w:color="auto"/>
                <w:bottom w:val="none" w:sz="0" w:space="0" w:color="auto"/>
                <w:right w:val="none" w:sz="0" w:space="0" w:color="auto"/>
              </w:divBdr>
            </w:div>
            <w:div w:id="1829007901">
              <w:marLeft w:val="0"/>
              <w:marRight w:val="0"/>
              <w:marTop w:val="0"/>
              <w:marBottom w:val="0"/>
              <w:divBdr>
                <w:top w:val="none" w:sz="0" w:space="0" w:color="auto"/>
                <w:left w:val="none" w:sz="0" w:space="0" w:color="auto"/>
                <w:bottom w:val="none" w:sz="0" w:space="0" w:color="auto"/>
                <w:right w:val="none" w:sz="0" w:space="0" w:color="auto"/>
              </w:divBdr>
            </w:div>
            <w:div w:id="1842550172">
              <w:marLeft w:val="0"/>
              <w:marRight w:val="0"/>
              <w:marTop w:val="0"/>
              <w:marBottom w:val="0"/>
              <w:divBdr>
                <w:top w:val="none" w:sz="0" w:space="0" w:color="auto"/>
                <w:left w:val="none" w:sz="0" w:space="0" w:color="auto"/>
                <w:bottom w:val="none" w:sz="0" w:space="0" w:color="auto"/>
                <w:right w:val="none" w:sz="0" w:space="0" w:color="auto"/>
              </w:divBdr>
            </w:div>
          </w:divsChild>
        </w:div>
        <w:div w:id="570628038">
          <w:marLeft w:val="0"/>
          <w:marRight w:val="0"/>
          <w:marTop w:val="0"/>
          <w:marBottom w:val="0"/>
          <w:divBdr>
            <w:top w:val="none" w:sz="0" w:space="0" w:color="auto"/>
            <w:left w:val="none" w:sz="0" w:space="0" w:color="auto"/>
            <w:bottom w:val="none" w:sz="0" w:space="0" w:color="auto"/>
            <w:right w:val="none" w:sz="0" w:space="0" w:color="auto"/>
          </w:divBdr>
          <w:divsChild>
            <w:div w:id="1007830352">
              <w:marLeft w:val="-75"/>
              <w:marRight w:val="0"/>
              <w:marTop w:val="30"/>
              <w:marBottom w:val="30"/>
              <w:divBdr>
                <w:top w:val="none" w:sz="0" w:space="0" w:color="auto"/>
                <w:left w:val="none" w:sz="0" w:space="0" w:color="auto"/>
                <w:bottom w:val="none" w:sz="0" w:space="0" w:color="auto"/>
                <w:right w:val="none" w:sz="0" w:space="0" w:color="auto"/>
              </w:divBdr>
              <w:divsChild>
                <w:div w:id="1325547333">
                  <w:marLeft w:val="0"/>
                  <w:marRight w:val="0"/>
                  <w:marTop w:val="0"/>
                  <w:marBottom w:val="0"/>
                  <w:divBdr>
                    <w:top w:val="none" w:sz="0" w:space="0" w:color="auto"/>
                    <w:left w:val="none" w:sz="0" w:space="0" w:color="auto"/>
                    <w:bottom w:val="none" w:sz="0" w:space="0" w:color="auto"/>
                    <w:right w:val="none" w:sz="0" w:space="0" w:color="auto"/>
                  </w:divBdr>
                  <w:divsChild>
                    <w:div w:id="130445276">
                      <w:marLeft w:val="0"/>
                      <w:marRight w:val="0"/>
                      <w:marTop w:val="0"/>
                      <w:marBottom w:val="0"/>
                      <w:divBdr>
                        <w:top w:val="none" w:sz="0" w:space="0" w:color="auto"/>
                        <w:left w:val="none" w:sz="0" w:space="0" w:color="auto"/>
                        <w:bottom w:val="none" w:sz="0" w:space="0" w:color="auto"/>
                        <w:right w:val="none" w:sz="0" w:space="0" w:color="auto"/>
                      </w:divBdr>
                    </w:div>
                    <w:div w:id="1204556503">
                      <w:marLeft w:val="0"/>
                      <w:marRight w:val="0"/>
                      <w:marTop w:val="0"/>
                      <w:marBottom w:val="0"/>
                      <w:divBdr>
                        <w:top w:val="none" w:sz="0" w:space="0" w:color="auto"/>
                        <w:left w:val="none" w:sz="0" w:space="0" w:color="auto"/>
                        <w:bottom w:val="none" w:sz="0" w:space="0" w:color="auto"/>
                        <w:right w:val="none" w:sz="0" w:space="0" w:color="auto"/>
                      </w:divBdr>
                    </w:div>
                    <w:div w:id="1698042870">
                      <w:marLeft w:val="0"/>
                      <w:marRight w:val="0"/>
                      <w:marTop w:val="0"/>
                      <w:marBottom w:val="0"/>
                      <w:divBdr>
                        <w:top w:val="none" w:sz="0" w:space="0" w:color="auto"/>
                        <w:left w:val="none" w:sz="0" w:space="0" w:color="auto"/>
                        <w:bottom w:val="none" w:sz="0" w:space="0" w:color="auto"/>
                        <w:right w:val="none" w:sz="0" w:space="0" w:color="auto"/>
                      </w:divBdr>
                    </w:div>
                  </w:divsChild>
                </w:div>
                <w:div w:id="1887569830">
                  <w:marLeft w:val="0"/>
                  <w:marRight w:val="0"/>
                  <w:marTop w:val="0"/>
                  <w:marBottom w:val="0"/>
                  <w:divBdr>
                    <w:top w:val="none" w:sz="0" w:space="0" w:color="auto"/>
                    <w:left w:val="none" w:sz="0" w:space="0" w:color="auto"/>
                    <w:bottom w:val="none" w:sz="0" w:space="0" w:color="auto"/>
                    <w:right w:val="none" w:sz="0" w:space="0" w:color="auto"/>
                  </w:divBdr>
                  <w:divsChild>
                    <w:div w:id="168605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84061">
          <w:marLeft w:val="0"/>
          <w:marRight w:val="0"/>
          <w:marTop w:val="0"/>
          <w:marBottom w:val="0"/>
          <w:divBdr>
            <w:top w:val="none" w:sz="0" w:space="0" w:color="auto"/>
            <w:left w:val="none" w:sz="0" w:space="0" w:color="auto"/>
            <w:bottom w:val="none" w:sz="0" w:space="0" w:color="auto"/>
            <w:right w:val="none" w:sz="0" w:space="0" w:color="auto"/>
          </w:divBdr>
          <w:divsChild>
            <w:div w:id="505174591">
              <w:marLeft w:val="0"/>
              <w:marRight w:val="0"/>
              <w:marTop w:val="0"/>
              <w:marBottom w:val="0"/>
              <w:divBdr>
                <w:top w:val="none" w:sz="0" w:space="0" w:color="auto"/>
                <w:left w:val="none" w:sz="0" w:space="0" w:color="auto"/>
                <w:bottom w:val="none" w:sz="0" w:space="0" w:color="auto"/>
                <w:right w:val="none" w:sz="0" w:space="0" w:color="auto"/>
              </w:divBdr>
            </w:div>
            <w:div w:id="568536707">
              <w:marLeft w:val="0"/>
              <w:marRight w:val="0"/>
              <w:marTop w:val="0"/>
              <w:marBottom w:val="0"/>
              <w:divBdr>
                <w:top w:val="none" w:sz="0" w:space="0" w:color="auto"/>
                <w:left w:val="none" w:sz="0" w:space="0" w:color="auto"/>
                <w:bottom w:val="none" w:sz="0" w:space="0" w:color="auto"/>
                <w:right w:val="none" w:sz="0" w:space="0" w:color="auto"/>
              </w:divBdr>
            </w:div>
            <w:div w:id="1061975523">
              <w:marLeft w:val="0"/>
              <w:marRight w:val="0"/>
              <w:marTop w:val="0"/>
              <w:marBottom w:val="0"/>
              <w:divBdr>
                <w:top w:val="none" w:sz="0" w:space="0" w:color="auto"/>
                <w:left w:val="none" w:sz="0" w:space="0" w:color="auto"/>
                <w:bottom w:val="none" w:sz="0" w:space="0" w:color="auto"/>
                <w:right w:val="none" w:sz="0" w:space="0" w:color="auto"/>
              </w:divBdr>
            </w:div>
            <w:div w:id="1627813824">
              <w:marLeft w:val="0"/>
              <w:marRight w:val="0"/>
              <w:marTop w:val="0"/>
              <w:marBottom w:val="0"/>
              <w:divBdr>
                <w:top w:val="none" w:sz="0" w:space="0" w:color="auto"/>
                <w:left w:val="none" w:sz="0" w:space="0" w:color="auto"/>
                <w:bottom w:val="none" w:sz="0" w:space="0" w:color="auto"/>
                <w:right w:val="none" w:sz="0" w:space="0" w:color="auto"/>
              </w:divBdr>
            </w:div>
            <w:div w:id="1852604230">
              <w:marLeft w:val="0"/>
              <w:marRight w:val="0"/>
              <w:marTop w:val="0"/>
              <w:marBottom w:val="0"/>
              <w:divBdr>
                <w:top w:val="none" w:sz="0" w:space="0" w:color="auto"/>
                <w:left w:val="none" w:sz="0" w:space="0" w:color="auto"/>
                <w:bottom w:val="none" w:sz="0" w:space="0" w:color="auto"/>
                <w:right w:val="none" w:sz="0" w:space="0" w:color="auto"/>
              </w:divBdr>
            </w:div>
          </w:divsChild>
        </w:div>
        <w:div w:id="687291114">
          <w:marLeft w:val="0"/>
          <w:marRight w:val="0"/>
          <w:marTop w:val="0"/>
          <w:marBottom w:val="0"/>
          <w:divBdr>
            <w:top w:val="none" w:sz="0" w:space="0" w:color="auto"/>
            <w:left w:val="none" w:sz="0" w:space="0" w:color="auto"/>
            <w:bottom w:val="none" w:sz="0" w:space="0" w:color="auto"/>
            <w:right w:val="none" w:sz="0" w:space="0" w:color="auto"/>
          </w:divBdr>
          <w:divsChild>
            <w:div w:id="1033918388">
              <w:marLeft w:val="-75"/>
              <w:marRight w:val="0"/>
              <w:marTop w:val="30"/>
              <w:marBottom w:val="30"/>
              <w:divBdr>
                <w:top w:val="none" w:sz="0" w:space="0" w:color="auto"/>
                <w:left w:val="none" w:sz="0" w:space="0" w:color="auto"/>
                <w:bottom w:val="none" w:sz="0" w:space="0" w:color="auto"/>
                <w:right w:val="none" w:sz="0" w:space="0" w:color="auto"/>
              </w:divBdr>
              <w:divsChild>
                <w:div w:id="211431266">
                  <w:marLeft w:val="0"/>
                  <w:marRight w:val="0"/>
                  <w:marTop w:val="0"/>
                  <w:marBottom w:val="0"/>
                  <w:divBdr>
                    <w:top w:val="none" w:sz="0" w:space="0" w:color="auto"/>
                    <w:left w:val="none" w:sz="0" w:space="0" w:color="auto"/>
                    <w:bottom w:val="none" w:sz="0" w:space="0" w:color="auto"/>
                    <w:right w:val="none" w:sz="0" w:space="0" w:color="auto"/>
                  </w:divBdr>
                  <w:divsChild>
                    <w:div w:id="852501301">
                      <w:marLeft w:val="0"/>
                      <w:marRight w:val="0"/>
                      <w:marTop w:val="0"/>
                      <w:marBottom w:val="0"/>
                      <w:divBdr>
                        <w:top w:val="none" w:sz="0" w:space="0" w:color="auto"/>
                        <w:left w:val="none" w:sz="0" w:space="0" w:color="auto"/>
                        <w:bottom w:val="none" w:sz="0" w:space="0" w:color="auto"/>
                        <w:right w:val="none" w:sz="0" w:space="0" w:color="auto"/>
                      </w:divBdr>
                    </w:div>
                    <w:div w:id="1030448714">
                      <w:marLeft w:val="0"/>
                      <w:marRight w:val="0"/>
                      <w:marTop w:val="0"/>
                      <w:marBottom w:val="0"/>
                      <w:divBdr>
                        <w:top w:val="none" w:sz="0" w:space="0" w:color="auto"/>
                        <w:left w:val="none" w:sz="0" w:space="0" w:color="auto"/>
                        <w:bottom w:val="none" w:sz="0" w:space="0" w:color="auto"/>
                        <w:right w:val="none" w:sz="0" w:space="0" w:color="auto"/>
                      </w:divBdr>
                    </w:div>
                    <w:div w:id="1424296544">
                      <w:marLeft w:val="0"/>
                      <w:marRight w:val="0"/>
                      <w:marTop w:val="0"/>
                      <w:marBottom w:val="0"/>
                      <w:divBdr>
                        <w:top w:val="none" w:sz="0" w:space="0" w:color="auto"/>
                        <w:left w:val="none" w:sz="0" w:space="0" w:color="auto"/>
                        <w:bottom w:val="none" w:sz="0" w:space="0" w:color="auto"/>
                        <w:right w:val="none" w:sz="0" w:space="0" w:color="auto"/>
                      </w:divBdr>
                    </w:div>
                  </w:divsChild>
                </w:div>
                <w:div w:id="692223436">
                  <w:marLeft w:val="0"/>
                  <w:marRight w:val="0"/>
                  <w:marTop w:val="0"/>
                  <w:marBottom w:val="0"/>
                  <w:divBdr>
                    <w:top w:val="none" w:sz="0" w:space="0" w:color="auto"/>
                    <w:left w:val="none" w:sz="0" w:space="0" w:color="auto"/>
                    <w:bottom w:val="none" w:sz="0" w:space="0" w:color="auto"/>
                    <w:right w:val="none" w:sz="0" w:space="0" w:color="auto"/>
                  </w:divBdr>
                  <w:divsChild>
                    <w:div w:id="15548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10517">
          <w:marLeft w:val="0"/>
          <w:marRight w:val="0"/>
          <w:marTop w:val="0"/>
          <w:marBottom w:val="0"/>
          <w:divBdr>
            <w:top w:val="none" w:sz="0" w:space="0" w:color="auto"/>
            <w:left w:val="none" w:sz="0" w:space="0" w:color="auto"/>
            <w:bottom w:val="none" w:sz="0" w:space="0" w:color="auto"/>
            <w:right w:val="none" w:sz="0" w:space="0" w:color="auto"/>
          </w:divBdr>
          <w:divsChild>
            <w:div w:id="106891834">
              <w:marLeft w:val="0"/>
              <w:marRight w:val="0"/>
              <w:marTop w:val="0"/>
              <w:marBottom w:val="0"/>
              <w:divBdr>
                <w:top w:val="none" w:sz="0" w:space="0" w:color="auto"/>
                <w:left w:val="none" w:sz="0" w:space="0" w:color="auto"/>
                <w:bottom w:val="none" w:sz="0" w:space="0" w:color="auto"/>
                <w:right w:val="none" w:sz="0" w:space="0" w:color="auto"/>
              </w:divBdr>
            </w:div>
            <w:div w:id="174000105">
              <w:marLeft w:val="0"/>
              <w:marRight w:val="0"/>
              <w:marTop w:val="0"/>
              <w:marBottom w:val="0"/>
              <w:divBdr>
                <w:top w:val="none" w:sz="0" w:space="0" w:color="auto"/>
                <w:left w:val="none" w:sz="0" w:space="0" w:color="auto"/>
                <w:bottom w:val="none" w:sz="0" w:space="0" w:color="auto"/>
                <w:right w:val="none" w:sz="0" w:space="0" w:color="auto"/>
              </w:divBdr>
            </w:div>
            <w:div w:id="234900472">
              <w:marLeft w:val="0"/>
              <w:marRight w:val="0"/>
              <w:marTop w:val="0"/>
              <w:marBottom w:val="0"/>
              <w:divBdr>
                <w:top w:val="none" w:sz="0" w:space="0" w:color="auto"/>
                <w:left w:val="none" w:sz="0" w:space="0" w:color="auto"/>
                <w:bottom w:val="none" w:sz="0" w:space="0" w:color="auto"/>
                <w:right w:val="none" w:sz="0" w:space="0" w:color="auto"/>
              </w:divBdr>
            </w:div>
            <w:div w:id="608971459">
              <w:marLeft w:val="0"/>
              <w:marRight w:val="0"/>
              <w:marTop w:val="0"/>
              <w:marBottom w:val="0"/>
              <w:divBdr>
                <w:top w:val="none" w:sz="0" w:space="0" w:color="auto"/>
                <w:left w:val="none" w:sz="0" w:space="0" w:color="auto"/>
                <w:bottom w:val="none" w:sz="0" w:space="0" w:color="auto"/>
                <w:right w:val="none" w:sz="0" w:space="0" w:color="auto"/>
              </w:divBdr>
            </w:div>
            <w:div w:id="690306407">
              <w:marLeft w:val="0"/>
              <w:marRight w:val="0"/>
              <w:marTop w:val="0"/>
              <w:marBottom w:val="0"/>
              <w:divBdr>
                <w:top w:val="none" w:sz="0" w:space="0" w:color="auto"/>
                <w:left w:val="none" w:sz="0" w:space="0" w:color="auto"/>
                <w:bottom w:val="none" w:sz="0" w:space="0" w:color="auto"/>
                <w:right w:val="none" w:sz="0" w:space="0" w:color="auto"/>
              </w:divBdr>
            </w:div>
            <w:div w:id="1820878666">
              <w:marLeft w:val="0"/>
              <w:marRight w:val="0"/>
              <w:marTop w:val="0"/>
              <w:marBottom w:val="0"/>
              <w:divBdr>
                <w:top w:val="none" w:sz="0" w:space="0" w:color="auto"/>
                <w:left w:val="none" w:sz="0" w:space="0" w:color="auto"/>
                <w:bottom w:val="none" w:sz="0" w:space="0" w:color="auto"/>
                <w:right w:val="none" w:sz="0" w:space="0" w:color="auto"/>
              </w:divBdr>
            </w:div>
          </w:divsChild>
        </w:div>
        <w:div w:id="916286530">
          <w:marLeft w:val="0"/>
          <w:marRight w:val="0"/>
          <w:marTop w:val="0"/>
          <w:marBottom w:val="0"/>
          <w:divBdr>
            <w:top w:val="none" w:sz="0" w:space="0" w:color="auto"/>
            <w:left w:val="none" w:sz="0" w:space="0" w:color="auto"/>
            <w:bottom w:val="none" w:sz="0" w:space="0" w:color="auto"/>
            <w:right w:val="none" w:sz="0" w:space="0" w:color="auto"/>
          </w:divBdr>
          <w:divsChild>
            <w:div w:id="460264908">
              <w:marLeft w:val="0"/>
              <w:marRight w:val="0"/>
              <w:marTop w:val="0"/>
              <w:marBottom w:val="0"/>
              <w:divBdr>
                <w:top w:val="none" w:sz="0" w:space="0" w:color="auto"/>
                <w:left w:val="none" w:sz="0" w:space="0" w:color="auto"/>
                <w:bottom w:val="none" w:sz="0" w:space="0" w:color="auto"/>
                <w:right w:val="none" w:sz="0" w:space="0" w:color="auto"/>
              </w:divBdr>
            </w:div>
            <w:div w:id="1054426305">
              <w:marLeft w:val="0"/>
              <w:marRight w:val="0"/>
              <w:marTop w:val="0"/>
              <w:marBottom w:val="0"/>
              <w:divBdr>
                <w:top w:val="none" w:sz="0" w:space="0" w:color="auto"/>
                <w:left w:val="none" w:sz="0" w:space="0" w:color="auto"/>
                <w:bottom w:val="none" w:sz="0" w:space="0" w:color="auto"/>
                <w:right w:val="none" w:sz="0" w:space="0" w:color="auto"/>
              </w:divBdr>
            </w:div>
          </w:divsChild>
        </w:div>
        <w:div w:id="1748847044">
          <w:marLeft w:val="0"/>
          <w:marRight w:val="0"/>
          <w:marTop w:val="0"/>
          <w:marBottom w:val="0"/>
          <w:divBdr>
            <w:top w:val="none" w:sz="0" w:space="0" w:color="auto"/>
            <w:left w:val="none" w:sz="0" w:space="0" w:color="auto"/>
            <w:bottom w:val="none" w:sz="0" w:space="0" w:color="auto"/>
            <w:right w:val="none" w:sz="0" w:space="0" w:color="auto"/>
          </w:divBdr>
          <w:divsChild>
            <w:div w:id="1540244814">
              <w:marLeft w:val="-75"/>
              <w:marRight w:val="0"/>
              <w:marTop w:val="30"/>
              <w:marBottom w:val="30"/>
              <w:divBdr>
                <w:top w:val="none" w:sz="0" w:space="0" w:color="auto"/>
                <w:left w:val="none" w:sz="0" w:space="0" w:color="auto"/>
                <w:bottom w:val="none" w:sz="0" w:space="0" w:color="auto"/>
                <w:right w:val="none" w:sz="0" w:space="0" w:color="auto"/>
              </w:divBdr>
              <w:divsChild>
                <w:div w:id="1226532308">
                  <w:marLeft w:val="0"/>
                  <w:marRight w:val="0"/>
                  <w:marTop w:val="0"/>
                  <w:marBottom w:val="0"/>
                  <w:divBdr>
                    <w:top w:val="none" w:sz="0" w:space="0" w:color="auto"/>
                    <w:left w:val="none" w:sz="0" w:space="0" w:color="auto"/>
                    <w:bottom w:val="none" w:sz="0" w:space="0" w:color="auto"/>
                    <w:right w:val="none" w:sz="0" w:space="0" w:color="auto"/>
                  </w:divBdr>
                  <w:divsChild>
                    <w:div w:id="252713524">
                      <w:marLeft w:val="0"/>
                      <w:marRight w:val="0"/>
                      <w:marTop w:val="0"/>
                      <w:marBottom w:val="0"/>
                      <w:divBdr>
                        <w:top w:val="none" w:sz="0" w:space="0" w:color="auto"/>
                        <w:left w:val="none" w:sz="0" w:space="0" w:color="auto"/>
                        <w:bottom w:val="none" w:sz="0" w:space="0" w:color="auto"/>
                        <w:right w:val="none" w:sz="0" w:space="0" w:color="auto"/>
                      </w:divBdr>
                    </w:div>
                    <w:div w:id="1381056325">
                      <w:marLeft w:val="0"/>
                      <w:marRight w:val="0"/>
                      <w:marTop w:val="0"/>
                      <w:marBottom w:val="0"/>
                      <w:divBdr>
                        <w:top w:val="none" w:sz="0" w:space="0" w:color="auto"/>
                        <w:left w:val="none" w:sz="0" w:space="0" w:color="auto"/>
                        <w:bottom w:val="none" w:sz="0" w:space="0" w:color="auto"/>
                        <w:right w:val="none" w:sz="0" w:space="0" w:color="auto"/>
                      </w:divBdr>
                    </w:div>
                    <w:div w:id="1440492127">
                      <w:marLeft w:val="0"/>
                      <w:marRight w:val="0"/>
                      <w:marTop w:val="0"/>
                      <w:marBottom w:val="0"/>
                      <w:divBdr>
                        <w:top w:val="none" w:sz="0" w:space="0" w:color="auto"/>
                        <w:left w:val="none" w:sz="0" w:space="0" w:color="auto"/>
                        <w:bottom w:val="none" w:sz="0" w:space="0" w:color="auto"/>
                        <w:right w:val="none" w:sz="0" w:space="0" w:color="auto"/>
                      </w:divBdr>
                    </w:div>
                  </w:divsChild>
                </w:div>
                <w:div w:id="1328167107">
                  <w:marLeft w:val="0"/>
                  <w:marRight w:val="0"/>
                  <w:marTop w:val="0"/>
                  <w:marBottom w:val="0"/>
                  <w:divBdr>
                    <w:top w:val="none" w:sz="0" w:space="0" w:color="auto"/>
                    <w:left w:val="none" w:sz="0" w:space="0" w:color="auto"/>
                    <w:bottom w:val="none" w:sz="0" w:space="0" w:color="auto"/>
                    <w:right w:val="none" w:sz="0" w:space="0" w:color="auto"/>
                  </w:divBdr>
                  <w:divsChild>
                    <w:div w:id="5018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070022">
          <w:marLeft w:val="0"/>
          <w:marRight w:val="0"/>
          <w:marTop w:val="0"/>
          <w:marBottom w:val="0"/>
          <w:divBdr>
            <w:top w:val="none" w:sz="0" w:space="0" w:color="auto"/>
            <w:left w:val="none" w:sz="0" w:space="0" w:color="auto"/>
            <w:bottom w:val="none" w:sz="0" w:space="0" w:color="auto"/>
            <w:right w:val="none" w:sz="0" w:space="0" w:color="auto"/>
          </w:divBdr>
          <w:divsChild>
            <w:div w:id="1347361536">
              <w:marLeft w:val="-75"/>
              <w:marRight w:val="0"/>
              <w:marTop w:val="30"/>
              <w:marBottom w:val="30"/>
              <w:divBdr>
                <w:top w:val="none" w:sz="0" w:space="0" w:color="auto"/>
                <w:left w:val="none" w:sz="0" w:space="0" w:color="auto"/>
                <w:bottom w:val="none" w:sz="0" w:space="0" w:color="auto"/>
                <w:right w:val="none" w:sz="0" w:space="0" w:color="auto"/>
              </w:divBdr>
              <w:divsChild>
                <w:div w:id="9915830">
                  <w:marLeft w:val="0"/>
                  <w:marRight w:val="0"/>
                  <w:marTop w:val="0"/>
                  <w:marBottom w:val="0"/>
                  <w:divBdr>
                    <w:top w:val="none" w:sz="0" w:space="0" w:color="auto"/>
                    <w:left w:val="none" w:sz="0" w:space="0" w:color="auto"/>
                    <w:bottom w:val="none" w:sz="0" w:space="0" w:color="auto"/>
                    <w:right w:val="none" w:sz="0" w:space="0" w:color="auto"/>
                  </w:divBdr>
                  <w:divsChild>
                    <w:div w:id="357320148">
                      <w:marLeft w:val="0"/>
                      <w:marRight w:val="0"/>
                      <w:marTop w:val="0"/>
                      <w:marBottom w:val="0"/>
                      <w:divBdr>
                        <w:top w:val="none" w:sz="0" w:space="0" w:color="auto"/>
                        <w:left w:val="none" w:sz="0" w:space="0" w:color="auto"/>
                        <w:bottom w:val="none" w:sz="0" w:space="0" w:color="auto"/>
                        <w:right w:val="none" w:sz="0" w:space="0" w:color="auto"/>
                      </w:divBdr>
                    </w:div>
                  </w:divsChild>
                </w:div>
                <w:div w:id="159736157">
                  <w:marLeft w:val="0"/>
                  <w:marRight w:val="0"/>
                  <w:marTop w:val="0"/>
                  <w:marBottom w:val="0"/>
                  <w:divBdr>
                    <w:top w:val="none" w:sz="0" w:space="0" w:color="auto"/>
                    <w:left w:val="none" w:sz="0" w:space="0" w:color="auto"/>
                    <w:bottom w:val="none" w:sz="0" w:space="0" w:color="auto"/>
                    <w:right w:val="none" w:sz="0" w:space="0" w:color="auto"/>
                  </w:divBdr>
                  <w:divsChild>
                    <w:div w:id="287783573">
                      <w:marLeft w:val="0"/>
                      <w:marRight w:val="0"/>
                      <w:marTop w:val="0"/>
                      <w:marBottom w:val="0"/>
                      <w:divBdr>
                        <w:top w:val="none" w:sz="0" w:space="0" w:color="auto"/>
                        <w:left w:val="none" w:sz="0" w:space="0" w:color="auto"/>
                        <w:bottom w:val="none" w:sz="0" w:space="0" w:color="auto"/>
                        <w:right w:val="none" w:sz="0" w:space="0" w:color="auto"/>
                      </w:divBdr>
                    </w:div>
                  </w:divsChild>
                </w:div>
                <w:div w:id="1128741359">
                  <w:marLeft w:val="0"/>
                  <w:marRight w:val="0"/>
                  <w:marTop w:val="0"/>
                  <w:marBottom w:val="0"/>
                  <w:divBdr>
                    <w:top w:val="none" w:sz="0" w:space="0" w:color="auto"/>
                    <w:left w:val="none" w:sz="0" w:space="0" w:color="auto"/>
                    <w:bottom w:val="none" w:sz="0" w:space="0" w:color="auto"/>
                    <w:right w:val="none" w:sz="0" w:space="0" w:color="auto"/>
                  </w:divBdr>
                  <w:divsChild>
                    <w:div w:id="971325583">
                      <w:marLeft w:val="0"/>
                      <w:marRight w:val="0"/>
                      <w:marTop w:val="0"/>
                      <w:marBottom w:val="0"/>
                      <w:divBdr>
                        <w:top w:val="none" w:sz="0" w:space="0" w:color="auto"/>
                        <w:left w:val="none" w:sz="0" w:space="0" w:color="auto"/>
                        <w:bottom w:val="none" w:sz="0" w:space="0" w:color="auto"/>
                        <w:right w:val="none" w:sz="0" w:space="0" w:color="auto"/>
                      </w:divBdr>
                    </w:div>
                    <w:div w:id="1886870195">
                      <w:marLeft w:val="0"/>
                      <w:marRight w:val="0"/>
                      <w:marTop w:val="0"/>
                      <w:marBottom w:val="0"/>
                      <w:divBdr>
                        <w:top w:val="none" w:sz="0" w:space="0" w:color="auto"/>
                        <w:left w:val="none" w:sz="0" w:space="0" w:color="auto"/>
                        <w:bottom w:val="none" w:sz="0" w:space="0" w:color="auto"/>
                        <w:right w:val="none" w:sz="0" w:space="0" w:color="auto"/>
                      </w:divBdr>
                    </w:div>
                  </w:divsChild>
                </w:div>
                <w:div w:id="1944682031">
                  <w:marLeft w:val="0"/>
                  <w:marRight w:val="0"/>
                  <w:marTop w:val="0"/>
                  <w:marBottom w:val="0"/>
                  <w:divBdr>
                    <w:top w:val="none" w:sz="0" w:space="0" w:color="auto"/>
                    <w:left w:val="none" w:sz="0" w:space="0" w:color="auto"/>
                    <w:bottom w:val="none" w:sz="0" w:space="0" w:color="auto"/>
                    <w:right w:val="none" w:sz="0" w:space="0" w:color="auto"/>
                  </w:divBdr>
                  <w:divsChild>
                    <w:div w:id="598030289">
                      <w:marLeft w:val="0"/>
                      <w:marRight w:val="0"/>
                      <w:marTop w:val="0"/>
                      <w:marBottom w:val="0"/>
                      <w:divBdr>
                        <w:top w:val="none" w:sz="0" w:space="0" w:color="auto"/>
                        <w:left w:val="none" w:sz="0" w:space="0" w:color="auto"/>
                        <w:bottom w:val="none" w:sz="0" w:space="0" w:color="auto"/>
                        <w:right w:val="none" w:sz="0" w:space="0" w:color="auto"/>
                      </w:divBdr>
                    </w:div>
                    <w:div w:id="1847669693">
                      <w:marLeft w:val="0"/>
                      <w:marRight w:val="0"/>
                      <w:marTop w:val="0"/>
                      <w:marBottom w:val="0"/>
                      <w:divBdr>
                        <w:top w:val="none" w:sz="0" w:space="0" w:color="auto"/>
                        <w:left w:val="none" w:sz="0" w:space="0" w:color="auto"/>
                        <w:bottom w:val="none" w:sz="0" w:space="0" w:color="auto"/>
                        <w:right w:val="none" w:sz="0" w:space="0" w:color="auto"/>
                      </w:divBdr>
                    </w:div>
                  </w:divsChild>
                </w:div>
                <w:div w:id="19752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58832">
          <w:marLeft w:val="0"/>
          <w:marRight w:val="0"/>
          <w:marTop w:val="0"/>
          <w:marBottom w:val="0"/>
          <w:divBdr>
            <w:top w:val="none" w:sz="0" w:space="0" w:color="auto"/>
            <w:left w:val="none" w:sz="0" w:space="0" w:color="auto"/>
            <w:bottom w:val="none" w:sz="0" w:space="0" w:color="auto"/>
            <w:right w:val="none" w:sz="0" w:space="0" w:color="auto"/>
          </w:divBdr>
        </w:div>
        <w:div w:id="2029021264">
          <w:marLeft w:val="0"/>
          <w:marRight w:val="0"/>
          <w:marTop w:val="0"/>
          <w:marBottom w:val="0"/>
          <w:divBdr>
            <w:top w:val="none" w:sz="0" w:space="0" w:color="auto"/>
            <w:left w:val="none" w:sz="0" w:space="0" w:color="auto"/>
            <w:bottom w:val="none" w:sz="0" w:space="0" w:color="auto"/>
            <w:right w:val="none" w:sz="0" w:space="0" w:color="auto"/>
          </w:divBdr>
        </w:div>
      </w:divsChild>
    </w:div>
    <w:div w:id="12346760">
      <w:marLeft w:val="480"/>
      <w:marRight w:val="0"/>
      <w:marTop w:val="0"/>
      <w:marBottom w:val="0"/>
      <w:divBdr>
        <w:top w:val="none" w:sz="0" w:space="0" w:color="auto"/>
        <w:left w:val="none" w:sz="0" w:space="0" w:color="auto"/>
        <w:bottom w:val="none" w:sz="0" w:space="0" w:color="auto"/>
        <w:right w:val="none" w:sz="0" w:space="0" w:color="auto"/>
      </w:divBdr>
    </w:div>
    <w:div w:id="14692069">
      <w:marLeft w:val="480"/>
      <w:marRight w:val="0"/>
      <w:marTop w:val="0"/>
      <w:marBottom w:val="0"/>
      <w:divBdr>
        <w:top w:val="none" w:sz="0" w:space="0" w:color="auto"/>
        <w:left w:val="none" w:sz="0" w:space="0" w:color="auto"/>
        <w:bottom w:val="none" w:sz="0" w:space="0" w:color="auto"/>
        <w:right w:val="none" w:sz="0" w:space="0" w:color="auto"/>
      </w:divBdr>
    </w:div>
    <w:div w:id="14967238">
      <w:marLeft w:val="480"/>
      <w:marRight w:val="0"/>
      <w:marTop w:val="0"/>
      <w:marBottom w:val="0"/>
      <w:divBdr>
        <w:top w:val="none" w:sz="0" w:space="0" w:color="auto"/>
        <w:left w:val="none" w:sz="0" w:space="0" w:color="auto"/>
        <w:bottom w:val="none" w:sz="0" w:space="0" w:color="auto"/>
        <w:right w:val="none" w:sz="0" w:space="0" w:color="auto"/>
      </w:divBdr>
    </w:div>
    <w:div w:id="16197698">
      <w:marLeft w:val="480"/>
      <w:marRight w:val="0"/>
      <w:marTop w:val="0"/>
      <w:marBottom w:val="0"/>
      <w:divBdr>
        <w:top w:val="none" w:sz="0" w:space="0" w:color="auto"/>
        <w:left w:val="none" w:sz="0" w:space="0" w:color="auto"/>
        <w:bottom w:val="none" w:sz="0" w:space="0" w:color="auto"/>
        <w:right w:val="none" w:sz="0" w:space="0" w:color="auto"/>
      </w:divBdr>
    </w:div>
    <w:div w:id="19742048">
      <w:marLeft w:val="480"/>
      <w:marRight w:val="0"/>
      <w:marTop w:val="0"/>
      <w:marBottom w:val="0"/>
      <w:divBdr>
        <w:top w:val="none" w:sz="0" w:space="0" w:color="auto"/>
        <w:left w:val="none" w:sz="0" w:space="0" w:color="auto"/>
        <w:bottom w:val="none" w:sz="0" w:space="0" w:color="auto"/>
        <w:right w:val="none" w:sz="0" w:space="0" w:color="auto"/>
      </w:divBdr>
    </w:div>
    <w:div w:id="19821807">
      <w:marLeft w:val="480"/>
      <w:marRight w:val="0"/>
      <w:marTop w:val="0"/>
      <w:marBottom w:val="0"/>
      <w:divBdr>
        <w:top w:val="none" w:sz="0" w:space="0" w:color="auto"/>
        <w:left w:val="none" w:sz="0" w:space="0" w:color="auto"/>
        <w:bottom w:val="none" w:sz="0" w:space="0" w:color="auto"/>
        <w:right w:val="none" w:sz="0" w:space="0" w:color="auto"/>
      </w:divBdr>
    </w:div>
    <w:div w:id="20280820">
      <w:marLeft w:val="480"/>
      <w:marRight w:val="0"/>
      <w:marTop w:val="0"/>
      <w:marBottom w:val="0"/>
      <w:divBdr>
        <w:top w:val="none" w:sz="0" w:space="0" w:color="auto"/>
        <w:left w:val="none" w:sz="0" w:space="0" w:color="auto"/>
        <w:bottom w:val="none" w:sz="0" w:space="0" w:color="auto"/>
        <w:right w:val="none" w:sz="0" w:space="0" w:color="auto"/>
      </w:divBdr>
    </w:div>
    <w:div w:id="20321368">
      <w:marLeft w:val="480"/>
      <w:marRight w:val="0"/>
      <w:marTop w:val="0"/>
      <w:marBottom w:val="0"/>
      <w:divBdr>
        <w:top w:val="none" w:sz="0" w:space="0" w:color="auto"/>
        <w:left w:val="none" w:sz="0" w:space="0" w:color="auto"/>
        <w:bottom w:val="none" w:sz="0" w:space="0" w:color="auto"/>
        <w:right w:val="none" w:sz="0" w:space="0" w:color="auto"/>
      </w:divBdr>
    </w:div>
    <w:div w:id="22052444">
      <w:marLeft w:val="480"/>
      <w:marRight w:val="0"/>
      <w:marTop w:val="0"/>
      <w:marBottom w:val="0"/>
      <w:divBdr>
        <w:top w:val="none" w:sz="0" w:space="0" w:color="auto"/>
        <w:left w:val="none" w:sz="0" w:space="0" w:color="auto"/>
        <w:bottom w:val="none" w:sz="0" w:space="0" w:color="auto"/>
        <w:right w:val="none" w:sz="0" w:space="0" w:color="auto"/>
      </w:divBdr>
    </w:div>
    <w:div w:id="22217631">
      <w:marLeft w:val="480"/>
      <w:marRight w:val="0"/>
      <w:marTop w:val="0"/>
      <w:marBottom w:val="0"/>
      <w:divBdr>
        <w:top w:val="none" w:sz="0" w:space="0" w:color="auto"/>
        <w:left w:val="none" w:sz="0" w:space="0" w:color="auto"/>
        <w:bottom w:val="none" w:sz="0" w:space="0" w:color="auto"/>
        <w:right w:val="none" w:sz="0" w:space="0" w:color="auto"/>
      </w:divBdr>
    </w:div>
    <w:div w:id="22751210">
      <w:marLeft w:val="480"/>
      <w:marRight w:val="0"/>
      <w:marTop w:val="0"/>
      <w:marBottom w:val="0"/>
      <w:divBdr>
        <w:top w:val="none" w:sz="0" w:space="0" w:color="auto"/>
        <w:left w:val="none" w:sz="0" w:space="0" w:color="auto"/>
        <w:bottom w:val="none" w:sz="0" w:space="0" w:color="auto"/>
        <w:right w:val="none" w:sz="0" w:space="0" w:color="auto"/>
      </w:divBdr>
    </w:div>
    <w:div w:id="24605272">
      <w:marLeft w:val="480"/>
      <w:marRight w:val="0"/>
      <w:marTop w:val="0"/>
      <w:marBottom w:val="0"/>
      <w:divBdr>
        <w:top w:val="none" w:sz="0" w:space="0" w:color="auto"/>
        <w:left w:val="none" w:sz="0" w:space="0" w:color="auto"/>
        <w:bottom w:val="none" w:sz="0" w:space="0" w:color="auto"/>
        <w:right w:val="none" w:sz="0" w:space="0" w:color="auto"/>
      </w:divBdr>
    </w:div>
    <w:div w:id="24869005">
      <w:marLeft w:val="480"/>
      <w:marRight w:val="0"/>
      <w:marTop w:val="0"/>
      <w:marBottom w:val="0"/>
      <w:divBdr>
        <w:top w:val="none" w:sz="0" w:space="0" w:color="auto"/>
        <w:left w:val="none" w:sz="0" w:space="0" w:color="auto"/>
        <w:bottom w:val="none" w:sz="0" w:space="0" w:color="auto"/>
        <w:right w:val="none" w:sz="0" w:space="0" w:color="auto"/>
      </w:divBdr>
    </w:div>
    <w:div w:id="25757682">
      <w:marLeft w:val="480"/>
      <w:marRight w:val="0"/>
      <w:marTop w:val="0"/>
      <w:marBottom w:val="0"/>
      <w:divBdr>
        <w:top w:val="none" w:sz="0" w:space="0" w:color="auto"/>
        <w:left w:val="none" w:sz="0" w:space="0" w:color="auto"/>
        <w:bottom w:val="none" w:sz="0" w:space="0" w:color="auto"/>
        <w:right w:val="none" w:sz="0" w:space="0" w:color="auto"/>
      </w:divBdr>
    </w:div>
    <w:div w:id="27535946">
      <w:bodyDiv w:val="1"/>
      <w:marLeft w:val="0"/>
      <w:marRight w:val="0"/>
      <w:marTop w:val="0"/>
      <w:marBottom w:val="0"/>
      <w:divBdr>
        <w:top w:val="none" w:sz="0" w:space="0" w:color="auto"/>
        <w:left w:val="none" w:sz="0" w:space="0" w:color="auto"/>
        <w:bottom w:val="none" w:sz="0" w:space="0" w:color="auto"/>
        <w:right w:val="none" w:sz="0" w:space="0" w:color="auto"/>
      </w:divBdr>
      <w:divsChild>
        <w:div w:id="500313511">
          <w:marLeft w:val="480"/>
          <w:marRight w:val="0"/>
          <w:marTop w:val="0"/>
          <w:marBottom w:val="0"/>
          <w:divBdr>
            <w:top w:val="none" w:sz="0" w:space="0" w:color="auto"/>
            <w:left w:val="none" w:sz="0" w:space="0" w:color="auto"/>
            <w:bottom w:val="none" w:sz="0" w:space="0" w:color="auto"/>
            <w:right w:val="none" w:sz="0" w:space="0" w:color="auto"/>
          </w:divBdr>
        </w:div>
        <w:div w:id="578833659">
          <w:marLeft w:val="480"/>
          <w:marRight w:val="0"/>
          <w:marTop w:val="0"/>
          <w:marBottom w:val="0"/>
          <w:divBdr>
            <w:top w:val="none" w:sz="0" w:space="0" w:color="auto"/>
            <w:left w:val="none" w:sz="0" w:space="0" w:color="auto"/>
            <w:bottom w:val="none" w:sz="0" w:space="0" w:color="auto"/>
            <w:right w:val="none" w:sz="0" w:space="0" w:color="auto"/>
          </w:divBdr>
        </w:div>
        <w:div w:id="793909491">
          <w:marLeft w:val="480"/>
          <w:marRight w:val="0"/>
          <w:marTop w:val="0"/>
          <w:marBottom w:val="0"/>
          <w:divBdr>
            <w:top w:val="none" w:sz="0" w:space="0" w:color="auto"/>
            <w:left w:val="none" w:sz="0" w:space="0" w:color="auto"/>
            <w:bottom w:val="none" w:sz="0" w:space="0" w:color="auto"/>
            <w:right w:val="none" w:sz="0" w:space="0" w:color="auto"/>
          </w:divBdr>
        </w:div>
        <w:div w:id="943925044">
          <w:marLeft w:val="480"/>
          <w:marRight w:val="0"/>
          <w:marTop w:val="0"/>
          <w:marBottom w:val="0"/>
          <w:divBdr>
            <w:top w:val="none" w:sz="0" w:space="0" w:color="auto"/>
            <w:left w:val="none" w:sz="0" w:space="0" w:color="auto"/>
            <w:bottom w:val="none" w:sz="0" w:space="0" w:color="auto"/>
            <w:right w:val="none" w:sz="0" w:space="0" w:color="auto"/>
          </w:divBdr>
        </w:div>
        <w:div w:id="1300306822">
          <w:marLeft w:val="480"/>
          <w:marRight w:val="0"/>
          <w:marTop w:val="0"/>
          <w:marBottom w:val="0"/>
          <w:divBdr>
            <w:top w:val="none" w:sz="0" w:space="0" w:color="auto"/>
            <w:left w:val="none" w:sz="0" w:space="0" w:color="auto"/>
            <w:bottom w:val="none" w:sz="0" w:space="0" w:color="auto"/>
            <w:right w:val="none" w:sz="0" w:space="0" w:color="auto"/>
          </w:divBdr>
        </w:div>
        <w:div w:id="1316302058">
          <w:marLeft w:val="480"/>
          <w:marRight w:val="0"/>
          <w:marTop w:val="0"/>
          <w:marBottom w:val="0"/>
          <w:divBdr>
            <w:top w:val="none" w:sz="0" w:space="0" w:color="auto"/>
            <w:left w:val="none" w:sz="0" w:space="0" w:color="auto"/>
            <w:bottom w:val="none" w:sz="0" w:space="0" w:color="auto"/>
            <w:right w:val="none" w:sz="0" w:space="0" w:color="auto"/>
          </w:divBdr>
        </w:div>
        <w:div w:id="1569462099">
          <w:marLeft w:val="480"/>
          <w:marRight w:val="0"/>
          <w:marTop w:val="0"/>
          <w:marBottom w:val="0"/>
          <w:divBdr>
            <w:top w:val="none" w:sz="0" w:space="0" w:color="auto"/>
            <w:left w:val="none" w:sz="0" w:space="0" w:color="auto"/>
            <w:bottom w:val="none" w:sz="0" w:space="0" w:color="auto"/>
            <w:right w:val="none" w:sz="0" w:space="0" w:color="auto"/>
          </w:divBdr>
        </w:div>
      </w:divsChild>
    </w:div>
    <w:div w:id="28528496">
      <w:marLeft w:val="480"/>
      <w:marRight w:val="0"/>
      <w:marTop w:val="0"/>
      <w:marBottom w:val="0"/>
      <w:divBdr>
        <w:top w:val="none" w:sz="0" w:space="0" w:color="auto"/>
        <w:left w:val="none" w:sz="0" w:space="0" w:color="auto"/>
        <w:bottom w:val="none" w:sz="0" w:space="0" w:color="auto"/>
        <w:right w:val="none" w:sz="0" w:space="0" w:color="auto"/>
      </w:divBdr>
    </w:div>
    <w:div w:id="28654786">
      <w:marLeft w:val="480"/>
      <w:marRight w:val="0"/>
      <w:marTop w:val="0"/>
      <w:marBottom w:val="0"/>
      <w:divBdr>
        <w:top w:val="none" w:sz="0" w:space="0" w:color="auto"/>
        <w:left w:val="none" w:sz="0" w:space="0" w:color="auto"/>
        <w:bottom w:val="none" w:sz="0" w:space="0" w:color="auto"/>
        <w:right w:val="none" w:sz="0" w:space="0" w:color="auto"/>
      </w:divBdr>
    </w:div>
    <w:div w:id="28990406">
      <w:marLeft w:val="480"/>
      <w:marRight w:val="0"/>
      <w:marTop w:val="0"/>
      <w:marBottom w:val="0"/>
      <w:divBdr>
        <w:top w:val="none" w:sz="0" w:space="0" w:color="auto"/>
        <w:left w:val="none" w:sz="0" w:space="0" w:color="auto"/>
        <w:bottom w:val="none" w:sz="0" w:space="0" w:color="auto"/>
        <w:right w:val="none" w:sz="0" w:space="0" w:color="auto"/>
      </w:divBdr>
    </w:div>
    <w:div w:id="31811250">
      <w:bodyDiv w:val="1"/>
      <w:marLeft w:val="0"/>
      <w:marRight w:val="0"/>
      <w:marTop w:val="0"/>
      <w:marBottom w:val="0"/>
      <w:divBdr>
        <w:top w:val="none" w:sz="0" w:space="0" w:color="auto"/>
        <w:left w:val="none" w:sz="0" w:space="0" w:color="auto"/>
        <w:bottom w:val="none" w:sz="0" w:space="0" w:color="auto"/>
        <w:right w:val="none" w:sz="0" w:space="0" w:color="auto"/>
      </w:divBdr>
    </w:div>
    <w:div w:id="32124683">
      <w:marLeft w:val="480"/>
      <w:marRight w:val="0"/>
      <w:marTop w:val="0"/>
      <w:marBottom w:val="0"/>
      <w:divBdr>
        <w:top w:val="none" w:sz="0" w:space="0" w:color="auto"/>
        <w:left w:val="none" w:sz="0" w:space="0" w:color="auto"/>
        <w:bottom w:val="none" w:sz="0" w:space="0" w:color="auto"/>
        <w:right w:val="none" w:sz="0" w:space="0" w:color="auto"/>
      </w:divBdr>
    </w:div>
    <w:div w:id="34231751">
      <w:marLeft w:val="480"/>
      <w:marRight w:val="0"/>
      <w:marTop w:val="0"/>
      <w:marBottom w:val="0"/>
      <w:divBdr>
        <w:top w:val="none" w:sz="0" w:space="0" w:color="auto"/>
        <w:left w:val="none" w:sz="0" w:space="0" w:color="auto"/>
        <w:bottom w:val="none" w:sz="0" w:space="0" w:color="auto"/>
        <w:right w:val="none" w:sz="0" w:space="0" w:color="auto"/>
      </w:divBdr>
    </w:div>
    <w:div w:id="34549597">
      <w:bodyDiv w:val="1"/>
      <w:marLeft w:val="0"/>
      <w:marRight w:val="0"/>
      <w:marTop w:val="0"/>
      <w:marBottom w:val="0"/>
      <w:divBdr>
        <w:top w:val="none" w:sz="0" w:space="0" w:color="auto"/>
        <w:left w:val="none" w:sz="0" w:space="0" w:color="auto"/>
        <w:bottom w:val="none" w:sz="0" w:space="0" w:color="auto"/>
        <w:right w:val="none" w:sz="0" w:space="0" w:color="auto"/>
      </w:divBdr>
    </w:div>
    <w:div w:id="37441093">
      <w:bodyDiv w:val="1"/>
      <w:marLeft w:val="0"/>
      <w:marRight w:val="0"/>
      <w:marTop w:val="0"/>
      <w:marBottom w:val="0"/>
      <w:divBdr>
        <w:top w:val="none" w:sz="0" w:space="0" w:color="auto"/>
        <w:left w:val="none" w:sz="0" w:space="0" w:color="auto"/>
        <w:bottom w:val="none" w:sz="0" w:space="0" w:color="auto"/>
        <w:right w:val="none" w:sz="0" w:space="0" w:color="auto"/>
      </w:divBdr>
    </w:div>
    <w:div w:id="41097553">
      <w:marLeft w:val="480"/>
      <w:marRight w:val="0"/>
      <w:marTop w:val="0"/>
      <w:marBottom w:val="0"/>
      <w:divBdr>
        <w:top w:val="none" w:sz="0" w:space="0" w:color="auto"/>
        <w:left w:val="none" w:sz="0" w:space="0" w:color="auto"/>
        <w:bottom w:val="none" w:sz="0" w:space="0" w:color="auto"/>
        <w:right w:val="none" w:sz="0" w:space="0" w:color="auto"/>
      </w:divBdr>
    </w:div>
    <w:div w:id="41634460">
      <w:marLeft w:val="480"/>
      <w:marRight w:val="0"/>
      <w:marTop w:val="0"/>
      <w:marBottom w:val="0"/>
      <w:divBdr>
        <w:top w:val="none" w:sz="0" w:space="0" w:color="auto"/>
        <w:left w:val="none" w:sz="0" w:space="0" w:color="auto"/>
        <w:bottom w:val="none" w:sz="0" w:space="0" w:color="auto"/>
        <w:right w:val="none" w:sz="0" w:space="0" w:color="auto"/>
      </w:divBdr>
    </w:div>
    <w:div w:id="42951955">
      <w:marLeft w:val="480"/>
      <w:marRight w:val="0"/>
      <w:marTop w:val="0"/>
      <w:marBottom w:val="0"/>
      <w:divBdr>
        <w:top w:val="none" w:sz="0" w:space="0" w:color="auto"/>
        <w:left w:val="none" w:sz="0" w:space="0" w:color="auto"/>
        <w:bottom w:val="none" w:sz="0" w:space="0" w:color="auto"/>
        <w:right w:val="none" w:sz="0" w:space="0" w:color="auto"/>
      </w:divBdr>
    </w:div>
    <w:div w:id="47145194">
      <w:marLeft w:val="480"/>
      <w:marRight w:val="0"/>
      <w:marTop w:val="0"/>
      <w:marBottom w:val="0"/>
      <w:divBdr>
        <w:top w:val="none" w:sz="0" w:space="0" w:color="auto"/>
        <w:left w:val="none" w:sz="0" w:space="0" w:color="auto"/>
        <w:bottom w:val="none" w:sz="0" w:space="0" w:color="auto"/>
        <w:right w:val="none" w:sz="0" w:space="0" w:color="auto"/>
      </w:divBdr>
    </w:div>
    <w:div w:id="47535455">
      <w:marLeft w:val="480"/>
      <w:marRight w:val="0"/>
      <w:marTop w:val="0"/>
      <w:marBottom w:val="0"/>
      <w:divBdr>
        <w:top w:val="none" w:sz="0" w:space="0" w:color="auto"/>
        <w:left w:val="none" w:sz="0" w:space="0" w:color="auto"/>
        <w:bottom w:val="none" w:sz="0" w:space="0" w:color="auto"/>
        <w:right w:val="none" w:sz="0" w:space="0" w:color="auto"/>
      </w:divBdr>
    </w:div>
    <w:div w:id="50665743">
      <w:marLeft w:val="480"/>
      <w:marRight w:val="0"/>
      <w:marTop w:val="0"/>
      <w:marBottom w:val="0"/>
      <w:divBdr>
        <w:top w:val="none" w:sz="0" w:space="0" w:color="auto"/>
        <w:left w:val="none" w:sz="0" w:space="0" w:color="auto"/>
        <w:bottom w:val="none" w:sz="0" w:space="0" w:color="auto"/>
        <w:right w:val="none" w:sz="0" w:space="0" w:color="auto"/>
      </w:divBdr>
    </w:div>
    <w:div w:id="51006901">
      <w:marLeft w:val="480"/>
      <w:marRight w:val="0"/>
      <w:marTop w:val="0"/>
      <w:marBottom w:val="0"/>
      <w:divBdr>
        <w:top w:val="none" w:sz="0" w:space="0" w:color="auto"/>
        <w:left w:val="none" w:sz="0" w:space="0" w:color="auto"/>
        <w:bottom w:val="none" w:sz="0" w:space="0" w:color="auto"/>
        <w:right w:val="none" w:sz="0" w:space="0" w:color="auto"/>
      </w:divBdr>
    </w:div>
    <w:div w:id="52319188">
      <w:marLeft w:val="480"/>
      <w:marRight w:val="0"/>
      <w:marTop w:val="0"/>
      <w:marBottom w:val="0"/>
      <w:divBdr>
        <w:top w:val="none" w:sz="0" w:space="0" w:color="auto"/>
        <w:left w:val="none" w:sz="0" w:space="0" w:color="auto"/>
        <w:bottom w:val="none" w:sz="0" w:space="0" w:color="auto"/>
        <w:right w:val="none" w:sz="0" w:space="0" w:color="auto"/>
      </w:divBdr>
    </w:div>
    <w:div w:id="55010563">
      <w:bodyDiv w:val="1"/>
      <w:marLeft w:val="0"/>
      <w:marRight w:val="0"/>
      <w:marTop w:val="0"/>
      <w:marBottom w:val="0"/>
      <w:divBdr>
        <w:top w:val="none" w:sz="0" w:space="0" w:color="auto"/>
        <w:left w:val="none" w:sz="0" w:space="0" w:color="auto"/>
        <w:bottom w:val="none" w:sz="0" w:space="0" w:color="auto"/>
        <w:right w:val="none" w:sz="0" w:space="0" w:color="auto"/>
      </w:divBdr>
    </w:div>
    <w:div w:id="58554029">
      <w:marLeft w:val="480"/>
      <w:marRight w:val="0"/>
      <w:marTop w:val="0"/>
      <w:marBottom w:val="0"/>
      <w:divBdr>
        <w:top w:val="none" w:sz="0" w:space="0" w:color="auto"/>
        <w:left w:val="none" w:sz="0" w:space="0" w:color="auto"/>
        <w:bottom w:val="none" w:sz="0" w:space="0" w:color="auto"/>
        <w:right w:val="none" w:sz="0" w:space="0" w:color="auto"/>
      </w:divBdr>
    </w:div>
    <w:div w:id="64845782">
      <w:marLeft w:val="480"/>
      <w:marRight w:val="0"/>
      <w:marTop w:val="0"/>
      <w:marBottom w:val="0"/>
      <w:divBdr>
        <w:top w:val="none" w:sz="0" w:space="0" w:color="auto"/>
        <w:left w:val="none" w:sz="0" w:space="0" w:color="auto"/>
        <w:bottom w:val="none" w:sz="0" w:space="0" w:color="auto"/>
        <w:right w:val="none" w:sz="0" w:space="0" w:color="auto"/>
      </w:divBdr>
    </w:div>
    <w:div w:id="66541575">
      <w:marLeft w:val="480"/>
      <w:marRight w:val="0"/>
      <w:marTop w:val="0"/>
      <w:marBottom w:val="0"/>
      <w:divBdr>
        <w:top w:val="none" w:sz="0" w:space="0" w:color="auto"/>
        <w:left w:val="none" w:sz="0" w:space="0" w:color="auto"/>
        <w:bottom w:val="none" w:sz="0" w:space="0" w:color="auto"/>
        <w:right w:val="none" w:sz="0" w:space="0" w:color="auto"/>
      </w:divBdr>
    </w:div>
    <w:div w:id="67045679">
      <w:bodyDiv w:val="1"/>
      <w:marLeft w:val="0"/>
      <w:marRight w:val="0"/>
      <w:marTop w:val="0"/>
      <w:marBottom w:val="0"/>
      <w:divBdr>
        <w:top w:val="none" w:sz="0" w:space="0" w:color="auto"/>
        <w:left w:val="none" w:sz="0" w:space="0" w:color="auto"/>
        <w:bottom w:val="none" w:sz="0" w:space="0" w:color="auto"/>
        <w:right w:val="none" w:sz="0" w:space="0" w:color="auto"/>
      </w:divBdr>
      <w:divsChild>
        <w:div w:id="274797040">
          <w:marLeft w:val="480"/>
          <w:marRight w:val="0"/>
          <w:marTop w:val="0"/>
          <w:marBottom w:val="0"/>
          <w:divBdr>
            <w:top w:val="none" w:sz="0" w:space="0" w:color="auto"/>
            <w:left w:val="none" w:sz="0" w:space="0" w:color="auto"/>
            <w:bottom w:val="none" w:sz="0" w:space="0" w:color="auto"/>
            <w:right w:val="none" w:sz="0" w:space="0" w:color="auto"/>
          </w:divBdr>
        </w:div>
        <w:div w:id="448858802">
          <w:marLeft w:val="480"/>
          <w:marRight w:val="0"/>
          <w:marTop w:val="0"/>
          <w:marBottom w:val="0"/>
          <w:divBdr>
            <w:top w:val="none" w:sz="0" w:space="0" w:color="auto"/>
            <w:left w:val="none" w:sz="0" w:space="0" w:color="auto"/>
            <w:bottom w:val="none" w:sz="0" w:space="0" w:color="auto"/>
            <w:right w:val="none" w:sz="0" w:space="0" w:color="auto"/>
          </w:divBdr>
        </w:div>
        <w:div w:id="568922486">
          <w:marLeft w:val="480"/>
          <w:marRight w:val="0"/>
          <w:marTop w:val="0"/>
          <w:marBottom w:val="0"/>
          <w:divBdr>
            <w:top w:val="none" w:sz="0" w:space="0" w:color="auto"/>
            <w:left w:val="none" w:sz="0" w:space="0" w:color="auto"/>
            <w:bottom w:val="none" w:sz="0" w:space="0" w:color="auto"/>
            <w:right w:val="none" w:sz="0" w:space="0" w:color="auto"/>
          </w:divBdr>
        </w:div>
        <w:div w:id="675501578">
          <w:marLeft w:val="480"/>
          <w:marRight w:val="0"/>
          <w:marTop w:val="0"/>
          <w:marBottom w:val="0"/>
          <w:divBdr>
            <w:top w:val="none" w:sz="0" w:space="0" w:color="auto"/>
            <w:left w:val="none" w:sz="0" w:space="0" w:color="auto"/>
            <w:bottom w:val="none" w:sz="0" w:space="0" w:color="auto"/>
            <w:right w:val="none" w:sz="0" w:space="0" w:color="auto"/>
          </w:divBdr>
        </w:div>
      </w:divsChild>
    </w:div>
    <w:div w:id="68962370">
      <w:marLeft w:val="480"/>
      <w:marRight w:val="0"/>
      <w:marTop w:val="0"/>
      <w:marBottom w:val="0"/>
      <w:divBdr>
        <w:top w:val="none" w:sz="0" w:space="0" w:color="auto"/>
        <w:left w:val="none" w:sz="0" w:space="0" w:color="auto"/>
        <w:bottom w:val="none" w:sz="0" w:space="0" w:color="auto"/>
        <w:right w:val="none" w:sz="0" w:space="0" w:color="auto"/>
      </w:divBdr>
    </w:div>
    <w:div w:id="70584144">
      <w:bodyDiv w:val="1"/>
      <w:marLeft w:val="0"/>
      <w:marRight w:val="0"/>
      <w:marTop w:val="0"/>
      <w:marBottom w:val="0"/>
      <w:divBdr>
        <w:top w:val="none" w:sz="0" w:space="0" w:color="auto"/>
        <w:left w:val="none" w:sz="0" w:space="0" w:color="auto"/>
        <w:bottom w:val="none" w:sz="0" w:space="0" w:color="auto"/>
        <w:right w:val="none" w:sz="0" w:space="0" w:color="auto"/>
      </w:divBdr>
    </w:div>
    <w:div w:id="72774673">
      <w:marLeft w:val="480"/>
      <w:marRight w:val="0"/>
      <w:marTop w:val="0"/>
      <w:marBottom w:val="0"/>
      <w:divBdr>
        <w:top w:val="none" w:sz="0" w:space="0" w:color="auto"/>
        <w:left w:val="none" w:sz="0" w:space="0" w:color="auto"/>
        <w:bottom w:val="none" w:sz="0" w:space="0" w:color="auto"/>
        <w:right w:val="none" w:sz="0" w:space="0" w:color="auto"/>
      </w:divBdr>
    </w:div>
    <w:div w:id="73548141">
      <w:marLeft w:val="480"/>
      <w:marRight w:val="0"/>
      <w:marTop w:val="0"/>
      <w:marBottom w:val="0"/>
      <w:divBdr>
        <w:top w:val="none" w:sz="0" w:space="0" w:color="auto"/>
        <w:left w:val="none" w:sz="0" w:space="0" w:color="auto"/>
        <w:bottom w:val="none" w:sz="0" w:space="0" w:color="auto"/>
        <w:right w:val="none" w:sz="0" w:space="0" w:color="auto"/>
      </w:divBdr>
    </w:div>
    <w:div w:id="73938673">
      <w:marLeft w:val="480"/>
      <w:marRight w:val="0"/>
      <w:marTop w:val="0"/>
      <w:marBottom w:val="0"/>
      <w:divBdr>
        <w:top w:val="none" w:sz="0" w:space="0" w:color="auto"/>
        <w:left w:val="none" w:sz="0" w:space="0" w:color="auto"/>
        <w:bottom w:val="none" w:sz="0" w:space="0" w:color="auto"/>
        <w:right w:val="none" w:sz="0" w:space="0" w:color="auto"/>
      </w:divBdr>
    </w:div>
    <w:div w:id="75517957">
      <w:bodyDiv w:val="1"/>
      <w:marLeft w:val="0"/>
      <w:marRight w:val="0"/>
      <w:marTop w:val="0"/>
      <w:marBottom w:val="0"/>
      <w:divBdr>
        <w:top w:val="none" w:sz="0" w:space="0" w:color="auto"/>
        <w:left w:val="none" w:sz="0" w:space="0" w:color="auto"/>
        <w:bottom w:val="none" w:sz="0" w:space="0" w:color="auto"/>
        <w:right w:val="none" w:sz="0" w:space="0" w:color="auto"/>
      </w:divBdr>
    </w:div>
    <w:div w:id="75715008">
      <w:marLeft w:val="480"/>
      <w:marRight w:val="0"/>
      <w:marTop w:val="0"/>
      <w:marBottom w:val="0"/>
      <w:divBdr>
        <w:top w:val="none" w:sz="0" w:space="0" w:color="auto"/>
        <w:left w:val="none" w:sz="0" w:space="0" w:color="auto"/>
        <w:bottom w:val="none" w:sz="0" w:space="0" w:color="auto"/>
        <w:right w:val="none" w:sz="0" w:space="0" w:color="auto"/>
      </w:divBdr>
    </w:div>
    <w:div w:id="75981123">
      <w:marLeft w:val="480"/>
      <w:marRight w:val="0"/>
      <w:marTop w:val="0"/>
      <w:marBottom w:val="0"/>
      <w:divBdr>
        <w:top w:val="none" w:sz="0" w:space="0" w:color="auto"/>
        <w:left w:val="none" w:sz="0" w:space="0" w:color="auto"/>
        <w:bottom w:val="none" w:sz="0" w:space="0" w:color="auto"/>
        <w:right w:val="none" w:sz="0" w:space="0" w:color="auto"/>
      </w:divBdr>
    </w:div>
    <w:div w:id="79299384">
      <w:marLeft w:val="480"/>
      <w:marRight w:val="0"/>
      <w:marTop w:val="0"/>
      <w:marBottom w:val="0"/>
      <w:divBdr>
        <w:top w:val="none" w:sz="0" w:space="0" w:color="auto"/>
        <w:left w:val="none" w:sz="0" w:space="0" w:color="auto"/>
        <w:bottom w:val="none" w:sz="0" w:space="0" w:color="auto"/>
        <w:right w:val="none" w:sz="0" w:space="0" w:color="auto"/>
      </w:divBdr>
    </w:div>
    <w:div w:id="81920345">
      <w:marLeft w:val="480"/>
      <w:marRight w:val="0"/>
      <w:marTop w:val="0"/>
      <w:marBottom w:val="0"/>
      <w:divBdr>
        <w:top w:val="none" w:sz="0" w:space="0" w:color="auto"/>
        <w:left w:val="none" w:sz="0" w:space="0" w:color="auto"/>
        <w:bottom w:val="none" w:sz="0" w:space="0" w:color="auto"/>
        <w:right w:val="none" w:sz="0" w:space="0" w:color="auto"/>
      </w:divBdr>
    </w:div>
    <w:div w:id="82189967">
      <w:marLeft w:val="480"/>
      <w:marRight w:val="0"/>
      <w:marTop w:val="0"/>
      <w:marBottom w:val="0"/>
      <w:divBdr>
        <w:top w:val="none" w:sz="0" w:space="0" w:color="auto"/>
        <w:left w:val="none" w:sz="0" w:space="0" w:color="auto"/>
        <w:bottom w:val="none" w:sz="0" w:space="0" w:color="auto"/>
        <w:right w:val="none" w:sz="0" w:space="0" w:color="auto"/>
      </w:divBdr>
    </w:div>
    <w:div w:id="83764869">
      <w:marLeft w:val="480"/>
      <w:marRight w:val="0"/>
      <w:marTop w:val="0"/>
      <w:marBottom w:val="0"/>
      <w:divBdr>
        <w:top w:val="none" w:sz="0" w:space="0" w:color="auto"/>
        <w:left w:val="none" w:sz="0" w:space="0" w:color="auto"/>
        <w:bottom w:val="none" w:sz="0" w:space="0" w:color="auto"/>
        <w:right w:val="none" w:sz="0" w:space="0" w:color="auto"/>
      </w:divBdr>
    </w:div>
    <w:div w:id="83915882">
      <w:marLeft w:val="480"/>
      <w:marRight w:val="0"/>
      <w:marTop w:val="0"/>
      <w:marBottom w:val="0"/>
      <w:divBdr>
        <w:top w:val="none" w:sz="0" w:space="0" w:color="auto"/>
        <w:left w:val="none" w:sz="0" w:space="0" w:color="auto"/>
        <w:bottom w:val="none" w:sz="0" w:space="0" w:color="auto"/>
        <w:right w:val="none" w:sz="0" w:space="0" w:color="auto"/>
      </w:divBdr>
    </w:div>
    <w:div w:id="84352674">
      <w:marLeft w:val="480"/>
      <w:marRight w:val="0"/>
      <w:marTop w:val="0"/>
      <w:marBottom w:val="0"/>
      <w:divBdr>
        <w:top w:val="none" w:sz="0" w:space="0" w:color="auto"/>
        <w:left w:val="none" w:sz="0" w:space="0" w:color="auto"/>
        <w:bottom w:val="none" w:sz="0" w:space="0" w:color="auto"/>
        <w:right w:val="none" w:sz="0" w:space="0" w:color="auto"/>
      </w:divBdr>
    </w:div>
    <w:div w:id="85008020">
      <w:marLeft w:val="480"/>
      <w:marRight w:val="0"/>
      <w:marTop w:val="0"/>
      <w:marBottom w:val="0"/>
      <w:divBdr>
        <w:top w:val="none" w:sz="0" w:space="0" w:color="auto"/>
        <w:left w:val="none" w:sz="0" w:space="0" w:color="auto"/>
        <w:bottom w:val="none" w:sz="0" w:space="0" w:color="auto"/>
        <w:right w:val="none" w:sz="0" w:space="0" w:color="auto"/>
      </w:divBdr>
    </w:div>
    <w:div w:id="89082117">
      <w:marLeft w:val="480"/>
      <w:marRight w:val="0"/>
      <w:marTop w:val="0"/>
      <w:marBottom w:val="0"/>
      <w:divBdr>
        <w:top w:val="none" w:sz="0" w:space="0" w:color="auto"/>
        <w:left w:val="none" w:sz="0" w:space="0" w:color="auto"/>
        <w:bottom w:val="none" w:sz="0" w:space="0" w:color="auto"/>
        <w:right w:val="none" w:sz="0" w:space="0" w:color="auto"/>
      </w:divBdr>
    </w:div>
    <w:div w:id="89084139">
      <w:marLeft w:val="480"/>
      <w:marRight w:val="0"/>
      <w:marTop w:val="0"/>
      <w:marBottom w:val="0"/>
      <w:divBdr>
        <w:top w:val="none" w:sz="0" w:space="0" w:color="auto"/>
        <w:left w:val="none" w:sz="0" w:space="0" w:color="auto"/>
        <w:bottom w:val="none" w:sz="0" w:space="0" w:color="auto"/>
        <w:right w:val="none" w:sz="0" w:space="0" w:color="auto"/>
      </w:divBdr>
    </w:div>
    <w:div w:id="89549353">
      <w:marLeft w:val="480"/>
      <w:marRight w:val="0"/>
      <w:marTop w:val="0"/>
      <w:marBottom w:val="0"/>
      <w:divBdr>
        <w:top w:val="none" w:sz="0" w:space="0" w:color="auto"/>
        <w:left w:val="none" w:sz="0" w:space="0" w:color="auto"/>
        <w:bottom w:val="none" w:sz="0" w:space="0" w:color="auto"/>
        <w:right w:val="none" w:sz="0" w:space="0" w:color="auto"/>
      </w:divBdr>
    </w:div>
    <w:div w:id="92359097">
      <w:bodyDiv w:val="1"/>
      <w:marLeft w:val="0"/>
      <w:marRight w:val="0"/>
      <w:marTop w:val="0"/>
      <w:marBottom w:val="0"/>
      <w:divBdr>
        <w:top w:val="none" w:sz="0" w:space="0" w:color="auto"/>
        <w:left w:val="none" w:sz="0" w:space="0" w:color="auto"/>
        <w:bottom w:val="none" w:sz="0" w:space="0" w:color="auto"/>
        <w:right w:val="none" w:sz="0" w:space="0" w:color="auto"/>
      </w:divBdr>
    </w:div>
    <w:div w:id="93089652">
      <w:marLeft w:val="480"/>
      <w:marRight w:val="0"/>
      <w:marTop w:val="0"/>
      <w:marBottom w:val="0"/>
      <w:divBdr>
        <w:top w:val="none" w:sz="0" w:space="0" w:color="auto"/>
        <w:left w:val="none" w:sz="0" w:space="0" w:color="auto"/>
        <w:bottom w:val="none" w:sz="0" w:space="0" w:color="auto"/>
        <w:right w:val="none" w:sz="0" w:space="0" w:color="auto"/>
      </w:divBdr>
    </w:div>
    <w:div w:id="93402401">
      <w:bodyDiv w:val="1"/>
      <w:marLeft w:val="0"/>
      <w:marRight w:val="0"/>
      <w:marTop w:val="0"/>
      <w:marBottom w:val="0"/>
      <w:divBdr>
        <w:top w:val="none" w:sz="0" w:space="0" w:color="auto"/>
        <w:left w:val="none" w:sz="0" w:space="0" w:color="auto"/>
        <w:bottom w:val="none" w:sz="0" w:space="0" w:color="auto"/>
        <w:right w:val="none" w:sz="0" w:space="0" w:color="auto"/>
      </w:divBdr>
      <w:divsChild>
        <w:div w:id="10468956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3716629">
      <w:bodyDiv w:val="1"/>
      <w:marLeft w:val="0"/>
      <w:marRight w:val="0"/>
      <w:marTop w:val="0"/>
      <w:marBottom w:val="0"/>
      <w:divBdr>
        <w:top w:val="none" w:sz="0" w:space="0" w:color="auto"/>
        <w:left w:val="none" w:sz="0" w:space="0" w:color="auto"/>
        <w:bottom w:val="none" w:sz="0" w:space="0" w:color="auto"/>
        <w:right w:val="none" w:sz="0" w:space="0" w:color="auto"/>
      </w:divBdr>
    </w:div>
    <w:div w:id="98263537">
      <w:marLeft w:val="480"/>
      <w:marRight w:val="0"/>
      <w:marTop w:val="0"/>
      <w:marBottom w:val="0"/>
      <w:divBdr>
        <w:top w:val="none" w:sz="0" w:space="0" w:color="auto"/>
        <w:left w:val="none" w:sz="0" w:space="0" w:color="auto"/>
        <w:bottom w:val="none" w:sz="0" w:space="0" w:color="auto"/>
        <w:right w:val="none" w:sz="0" w:space="0" w:color="auto"/>
      </w:divBdr>
    </w:div>
    <w:div w:id="100223412">
      <w:marLeft w:val="480"/>
      <w:marRight w:val="0"/>
      <w:marTop w:val="0"/>
      <w:marBottom w:val="0"/>
      <w:divBdr>
        <w:top w:val="none" w:sz="0" w:space="0" w:color="auto"/>
        <w:left w:val="none" w:sz="0" w:space="0" w:color="auto"/>
        <w:bottom w:val="none" w:sz="0" w:space="0" w:color="auto"/>
        <w:right w:val="none" w:sz="0" w:space="0" w:color="auto"/>
      </w:divBdr>
    </w:div>
    <w:div w:id="100302817">
      <w:marLeft w:val="480"/>
      <w:marRight w:val="0"/>
      <w:marTop w:val="0"/>
      <w:marBottom w:val="0"/>
      <w:divBdr>
        <w:top w:val="none" w:sz="0" w:space="0" w:color="auto"/>
        <w:left w:val="none" w:sz="0" w:space="0" w:color="auto"/>
        <w:bottom w:val="none" w:sz="0" w:space="0" w:color="auto"/>
        <w:right w:val="none" w:sz="0" w:space="0" w:color="auto"/>
      </w:divBdr>
    </w:div>
    <w:div w:id="103620961">
      <w:marLeft w:val="480"/>
      <w:marRight w:val="0"/>
      <w:marTop w:val="0"/>
      <w:marBottom w:val="0"/>
      <w:divBdr>
        <w:top w:val="none" w:sz="0" w:space="0" w:color="auto"/>
        <w:left w:val="none" w:sz="0" w:space="0" w:color="auto"/>
        <w:bottom w:val="none" w:sz="0" w:space="0" w:color="auto"/>
        <w:right w:val="none" w:sz="0" w:space="0" w:color="auto"/>
      </w:divBdr>
    </w:div>
    <w:div w:id="104472600">
      <w:bodyDiv w:val="1"/>
      <w:marLeft w:val="0"/>
      <w:marRight w:val="0"/>
      <w:marTop w:val="0"/>
      <w:marBottom w:val="0"/>
      <w:divBdr>
        <w:top w:val="none" w:sz="0" w:space="0" w:color="auto"/>
        <w:left w:val="none" w:sz="0" w:space="0" w:color="auto"/>
        <w:bottom w:val="none" w:sz="0" w:space="0" w:color="auto"/>
        <w:right w:val="none" w:sz="0" w:space="0" w:color="auto"/>
      </w:divBdr>
    </w:div>
    <w:div w:id="104621532">
      <w:marLeft w:val="480"/>
      <w:marRight w:val="0"/>
      <w:marTop w:val="0"/>
      <w:marBottom w:val="0"/>
      <w:divBdr>
        <w:top w:val="none" w:sz="0" w:space="0" w:color="auto"/>
        <w:left w:val="none" w:sz="0" w:space="0" w:color="auto"/>
        <w:bottom w:val="none" w:sz="0" w:space="0" w:color="auto"/>
        <w:right w:val="none" w:sz="0" w:space="0" w:color="auto"/>
      </w:divBdr>
    </w:div>
    <w:div w:id="106120657">
      <w:marLeft w:val="480"/>
      <w:marRight w:val="0"/>
      <w:marTop w:val="0"/>
      <w:marBottom w:val="0"/>
      <w:divBdr>
        <w:top w:val="none" w:sz="0" w:space="0" w:color="auto"/>
        <w:left w:val="none" w:sz="0" w:space="0" w:color="auto"/>
        <w:bottom w:val="none" w:sz="0" w:space="0" w:color="auto"/>
        <w:right w:val="none" w:sz="0" w:space="0" w:color="auto"/>
      </w:divBdr>
    </w:div>
    <w:div w:id="112556746">
      <w:marLeft w:val="480"/>
      <w:marRight w:val="0"/>
      <w:marTop w:val="0"/>
      <w:marBottom w:val="0"/>
      <w:divBdr>
        <w:top w:val="none" w:sz="0" w:space="0" w:color="auto"/>
        <w:left w:val="none" w:sz="0" w:space="0" w:color="auto"/>
        <w:bottom w:val="none" w:sz="0" w:space="0" w:color="auto"/>
        <w:right w:val="none" w:sz="0" w:space="0" w:color="auto"/>
      </w:divBdr>
    </w:div>
    <w:div w:id="112556774">
      <w:marLeft w:val="480"/>
      <w:marRight w:val="0"/>
      <w:marTop w:val="0"/>
      <w:marBottom w:val="0"/>
      <w:divBdr>
        <w:top w:val="none" w:sz="0" w:space="0" w:color="auto"/>
        <w:left w:val="none" w:sz="0" w:space="0" w:color="auto"/>
        <w:bottom w:val="none" w:sz="0" w:space="0" w:color="auto"/>
        <w:right w:val="none" w:sz="0" w:space="0" w:color="auto"/>
      </w:divBdr>
    </w:div>
    <w:div w:id="115149298">
      <w:marLeft w:val="480"/>
      <w:marRight w:val="0"/>
      <w:marTop w:val="0"/>
      <w:marBottom w:val="0"/>
      <w:divBdr>
        <w:top w:val="none" w:sz="0" w:space="0" w:color="auto"/>
        <w:left w:val="none" w:sz="0" w:space="0" w:color="auto"/>
        <w:bottom w:val="none" w:sz="0" w:space="0" w:color="auto"/>
        <w:right w:val="none" w:sz="0" w:space="0" w:color="auto"/>
      </w:divBdr>
    </w:div>
    <w:div w:id="115224823">
      <w:bodyDiv w:val="1"/>
      <w:marLeft w:val="0"/>
      <w:marRight w:val="0"/>
      <w:marTop w:val="0"/>
      <w:marBottom w:val="0"/>
      <w:divBdr>
        <w:top w:val="none" w:sz="0" w:space="0" w:color="auto"/>
        <w:left w:val="none" w:sz="0" w:space="0" w:color="auto"/>
        <w:bottom w:val="none" w:sz="0" w:space="0" w:color="auto"/>
        <w:right w:val="none" w:sz="0" w:space="0" w:color="auto"/>
      </w:divBdr>
    </w:div>
    <w:div w:id="115295662">
      <w:bodyDiv w:val="1"/>
      <w:marLeft w:val="0"/>
      <w:marRight w:val="0"/>
      <w:marTop w:val="0"/>
      <w:marBottom w:val="0"/>
      <w:divBdr>
        <w:top w:val="none" w:sz="0" w:space="0" w:color="auto"/>
        <w:left w:val="none" w:sz="0" w:space="0" w:color="auto"/>
        <w:bottom w:val="none" w:sz="0" w:space="0" w:color="auto"/>
        <w:right w:val="none" w:sz="0" w:space="0" w:color="auto"/>
      </w:divBdr>
    </w:div>
    <w:div w:id="117456972">
      <w:marLeft w:val="480"/>
      <w:marRight w:val="0"/>
      <w:marTop w:val="0"/>
      <w:marBottom w:val="0"/>
      <w:divBdr>
        <w:top w:val="none" w:sz="0" w:space="0" w:color="auto"/>
        <w:left w:val="none" w:sz="0" w:space="0" w:color="auto"/>
        <w:bottom w:val="none" w:sz="0" w:space="0" w:color="auto"/>
        <w:right w:val="none" w:sz="0" w:space="0" w:color="auto"/>
      </w:divBdr>
    </w:div>
    <w:div w:id="118692447">
      <w:bodyDiv w:val="1"/>
      <w:marLeft w:val="0"/>
      <w:marRight w:val="0"/>
      <w:marTop w:val="0"/>
      <w:marBottom w:val="0"/>
      <w:divBdr>
        <w:top w:val="none" w:sz="0" w:space="0" w:color="auto"/>
        <w:left w:val="none" w:sz="0" w:space="0" w:color="auto"/>
        <w:bottom w:val="none" w:sz="0" w:space="0" w:color="auto"/>
        <w:right w:val="none" w:sz="0" w:space="0" w:color="auto"/>
      </w:divBdr>
    </w:div>
    <w:div w:id="119149137">
      <w:bodyDiv w:val="1"/>
      <w:marLeft w:val="0"/>
      <w:marRight w:val="0"/>
      <w:marTop w:val="0"/>
      <w:marBottom w:val="0"/>
      <w:divBdr>
        <w:top w:val="none" w:sz="0" w:space="0" w:color="auto"/>
        <w:left w:val="none" w:sz="0" w:space="0" w:color="auto"/>
        <w:bottom w:val="none" w:sz="0" w:space="0" w:color="auto"/>
        <w:right w:val="none" w:sz="0" w:space="0" w:color="auto"/>
      </w:divBdr>
    </w:div>
    <w:div w:id="120000791">
      <w:marLeft w:val="480"/>
      <w:marRight w:val="0"/>
      <w:marTop w:val="0"/>
      <w:marBottom w:val="0"/>
      <w:divBdr>
        <w:top w:val="none" w:sz="0" w:space="0" w:color="auto"/>
        <w:left w:val="none" w:sz="0" w:space="0" w:color="auto"/>
        <w:bottom w:val="none" w:sz="0" w:space="0" w:color="auto"/>
        <w:right w:val="none" w:sz="0" w:space="0" w:color="auto"/>
      </w:divBdr>
    </w:div>
    <w:div w:id="120418380">
      <w:marLeft w:val="480"/>
      <w:marRight w:val="0"/>
      <w:marTop w:val="0"/>
      <w:marBottom w:val="0"/>
      <w:divBdr>
        <w:top w:val="none" w:sz="0" w:space="0" w:color="auto"/>
        <w:left w:val="none" w:sz="0" w:space="0" w:color="auto"/>
        <w:bottom w:val="none" w:sz="0" w:space="0" w:color="auto"/>
        <w:right w:val="none" w:sz="0" w:space="0" w:color="auto"/>
      </w:divBdr>
    </w:div>
    <w:div w:id="121047240">
      <w:marLeft w:val="480"/>
      <w:marRight w:val="0"/>
      <w:marTop w:val="0"/>
      <w:marBottom w:val="0"/>
      <w:divBdr>
        <w:top w:val="none" w:sz="0" w:space="0" w:color="auto"/>
        <w:left w:val="none" w:sz="0" w:space="0" w:color="auto"/>
        <w:bottom w:val="none" w:sz="0" w:space="0" w:color="auto"/>
        <w:right w:val="none" w:sz="0" w:space="0" w:color="auto"/>
      </w:divBdr>
    </w:div>
    <w:div w:id="122233585">
      <w:marLeft w:val="480"/>
      <w:marRight w:val="0"/>
      <w:marTop w:val="0"/>
      <w:marBottom w:val="0"/>
      <w:divBdr>
        <w:top w:val="none" w:sz="0" w:space="0" w:color="auto"/>
        <w:left w:val="none" w:sz="0" w:space="0" w:color="auto"/>
        <w:bottom w:val="none" w:sz="0" w:space="0" w:color="auto"/>
        <w:right w:val="none" w:sz="0" w:space="0" w:color="auto"/>
      </w:divBdr>
    </w:div>
    <w:div w:id="123164424">
      <w:marLeft w:val="480"/>
      <w:marRight w:val="0"/>
      <w:marTop w:val="0"/>
      <w:marBottom w:val="0"/>
      <w:divBdr>
        <w:top w:val="none" w:sz="0" w:space="0" w:color="auto"/>
        <w:left w:val="none" w:sz="0" w:space="0" w:color="auto"/>
        <w:bottom w:val="none" w:sz="0" w:space="0" w:color="auto"/>
        <w:right w:val="none" w:sz="0" w:space="0" w:color="auto"/>
      </w:divBdr>
    </w:div>
    <w:div w:id="133526325">
      <w:marLeft w:val="480"/>
      <w:marRight w:val="0"/>
      <w:marTop w:val="0"/>
      <w:marBottom w:val="0"/>
      <w:divBdr>
        <w:top w:val="none" w:sz="0" w:space="0" w:color="auto"/>
        <w:left w:val="none" w:sz="0" w:space="0" w:color="auto"/>
        <w:bottom w:val="none" w:sz="0" w:space="0" w:color="auto"/>
        <w:right w:val="none" w:sz="0" w:space="0" w:color="auto"/>
      </w:divBdr>
    </w:div>
    <w:div w:id="133573272">
      <w:marLeft w:val="480"/>
      <w:marRight w:val="0"/>
      <w:marTop w:val="0"/>
      <w:marBottom w:val="0"/>
      <w:divBdr>
        <w:top w:val="none" w:sz="0" w:space="0" w:color="auto"/>
        <w:left w:val="none" w:sz="0" w:space="0" w:color="auto"/>
        <w:bottom w:val="none" w:sz="0" w:space="0" w:color="auto"/>
        <w:right w:val="none" w:sz="0" w:space="0" w:color="auto"/>
      </w:divBdr>
    </w:div>
    <w:div w:id="142545355">
      <w:marLeft w:val="480"/>
      <w:marRight w:val="0"/>
      <w:marTop w:val="0"/>
      <w:marBottom w:val="0"/>
      <w:divBdr>
        <w:top w:val="none" w:sz="0" w:space="0" w:color="auto"/>
        <w:left w:val="none" w:sz="0" w:space="0" w:color="auto"/>
        <w:bottom w:val="none" w:sz="0" w:space="0" w:color="auto"/>
        <w:right w:val="none" w:sz="0" w:space="0" w:color="auto"/>
      </w:divBdr>
    </w:div>
    <w:div w:id="144199580">
      <w:marLeft w:val="480"/>
      <w:marRight w:val="0"/>
      <w:marTop w:val="0"/>
      <w:marBottom w:val="0"/>
      <w:divBdr>
        <w:top w:val="none" w:sz="0" w:space="0" w:color="auto"/>
        <w:left w:val="none" w:sz="0" w:space="0" w:color="auto"/>
        <w:bottom w:val="none" w:sz="0" w:space="0" w:color="auto"/>
        <w:right w:val="none" w:sz="0" w:space="0" w:color="auto"/>
      </w:divBdr>
    </w:div>
    <w:div w:id="146174481">
      <w:marLeft w:val="480"/>
      <w:marRight w:val="0"/>
      <w:marTop w:val="0"/>
      <w:marBottom w:val="0"/>
      <w:divBdr>
        <w:top w:val="none" w:sz="0" w:space="0" w:color="auto"/>
        <w:left w:val="none" w:sz="0" w:space="0" w:color="auto"/>
        <w:bottom w:val="none" w:sz="0" w:space="0" w:color="auto"/>
        <w:right w:val="none" w:sz="0" w:space="0" w:color="auto"/>
      </w:divBdr>
    </w:div>
    <w:div w:id="147403479">
      <w:marLeft w:val="480"/>
      <w:marRight w:val="0"/>
      <w:marTop w:val="0"/>
      <w:marBottom w:val="0"/>
      <w:divBdr>
        <w:top w:val="none" w:sz="0" w:space="0" w:color="auto"/>
        <w:left w:val="none" w:sz="0" w:space="0" w:color="auto"/>
        <w:bottom w:val="none" w:sz="0" w:space="0" w:color="auto"/>
        <w:right w:val="none" w:sz="0" w:space="0" w:color="auto"/>
      </w:divBdr>
    </w:div>
    <w:div w:id="147409272">
      <w:marLeft w:val="480"/>
      <w:marRight w:val="0"/>
      <w:marTop w:val="0"/>
      <w:marBottom w:val="0"/>
      <w:divBdr>
        <w:top w:val="none" w:sz="0" w:space="0" w:color="auto"/>
        <w:left w:val="none" w:sz="0" w:space="0" w:color="auto"/>
        <w:bottom w:val="none" w:sz="0" w:space="0" w:color="auto"/>
        <w:right w:val="none" w:sz="0" w:space="0" w:color="auto"/>
      </w:divBdr>
    </w:div>
    <w:div w:id="147787244">
      <w:marLeft w:val="480"/>
      <w:marRight w:val="0"/>
      <w:marTop w:val="0"/>
      <w:marBottom w:val="0"/>
      <w:divBdr>
        <w:top w:val="none" w:sz="0" w:space="0" w:color="auto"/>
        <w:left w:val="none" w:sz="0" w:space="0" w:color="auto"/>
        <w:bottom w:val="none" w:sz="0" w:space="0" w:color="auto"/>
        <w:right w:val="none" w:sz="0" w:space="0" w:color="auto"/>
      </w:divBdr>
    </w:div>
    <w:div w:id="152718516">
      <w:marLeft w:val="480"/>
      <w:marRight w:val="0"/>
      <w:marTop w:val="0"/>
      <w:marBottom w:val="0"/>
      <w:divBdr>
        <w:top w:val="none" w:sz="0" w:space="0" w:color="auto"/>
        <w:left w:val="none" w:sz="0" w:space="0" w:color="auto"/>
        <w:bottom w:val="none" w:sz="0" w:space="0" w:color="auto"/>
        <w:right w:val="none" w:sz="0" w:space="0" w:color="auto"/>
      </w:divBdr>
    </w:div>
    <w:div w:id="152722657">
      <w:marLeft w:val="480"/>
      <w:marRight w:val="0"/>
      <w:marTop w:val="0"/>
      <w:marBottom w:val="0"/>
      <w:divBdr>
        <w:top w:val="none" w:sz="0" w:space="0" w:color="auto"/>
        <w:left w:val="none" w:sz="0" w:space="0" w:color="auto"/>
        <w:bottom w:val="none" w:sz="0" w:space="0" w:color="auto"/>
        <w:right w:val="none" w:sz="0" w:space="0" w:color="auto"/>
      </w:divBdr>
    </w:div>
    <w:div w:id="153881694">
      <w:marLeft w:val="480"/>
      <w:marRight w:val="0"/>
      <w:marTop w:val="0"/>
      <w:marBottom w:val="0"/>
      <w:divBdr>
        <w:top w:val="none" w:sz="0" w:space="0" w:color="auto"/>
        <w:left w:val="none" w:sz="0" w:space="0" w:color="auto"/>
        <w:bottom w:val="none" w:sz="0" w:space="0" w:color="auto"/>
        <w:right w:val="none" w:sz="0" w:space="0" w:color="auto"/>
      </w:divBdr>
    </w:div>
    <w:div w:id="156388306">
      <w:marLeft w:val="480"/>
      <w:marRight w:val="0"/>
      <w:marTop w:val="0"/>
      <w:marBottom w:val="0"/>
      <w:divBdr>
        <w:top w:val="none" w:sz="0" w:space="0" w:color="auto"/>
        <w:left w:val="none" w:sz="0" w:space="0" w:color="auto"/>
        <w:bottom w:val="none" w:sz="0" w:space="0" w:color="auto"/>
        <w:right w:val="none" w:sz="0" w:space="0" w:color="auto"/>
      </w:divBdr>
    </w:div>
    <w:div w:id="161820834">
      <w:marLeft w:val="480"/>
      <w:marRight w:val="0"/>
      <w:marTop w:val="0"/>
      <w:marBottom w:val="0"/>
      <w:divBdr>
        <w:top w:val="none" w:sz="0" w:space="0" w:color="auto"/>
        <w:left w:val="none" w:sz="0" w:space="0" w:color="auto"/>
        <w:bottom w:val="none" w:sz="0" w:space="0" w:color="auto"/>
        <w:right w:val="none" w:sz="0" w:space="0" w:color="auto"/>
      </w:divBdr>
    </w:div>
    <w:div w:id="162596463">
      <w:marLeft w:val="480"/>
      <w:marRight w:val="0"/>
      <w:marTop w:val="0"/>
      <w:marBottom w:val="0"/>
      <w:divBdr>
        <w:top w:val="none" w:sz="0" w:space="0" w:color="auto"/>
        <w:left w:val="none" w:sz="0" w:space="0" w:color="auto"/>
        <w:bottom w:val="none" w:sz="0" w:space="0" w:color="auto"/>
        <w:right w:val="none" w:sz="0" w:space="0" w:color="auto"/>
      </w:divBdr>
    </w:div>
    <w:div w:id="162940770">
      <w:bodyDiv w:val="1"/>
      <w:marLeft w:val="0"/>
      <w:marRight w:val="0"/>
      <w:marTop w:val="0"/>
      <w:marBottom w:val="0"/>
      <w:divBdr>
        <w:top w:val="none" w:sz="0" w:space="0" w:color="auto"/>
        <w:left w:val="none" w:sz="0" w:space="0" w:color="auto"/>
        <w:bottom w:val="none" w:sz="0" w:space="0" w:color="auto"/>
        <w:right w:val="none" w:sz="0" w:space="0" w:color="auto"/>
      </w:divBdr>
    </w:div>
    <w:div w:id="164057886">
      <w:marLeft w:val="480"/>
      <w:marRight w:val="0"/>
      <w:marTop w:val="0"/>
      <w:marBottom w:val="0"/>
      <w:divBdr>
        <w:top w:val="none" w:sz="0" w:space="0" w:color="auto"/>
        <w:left w:val="none" w:sz="0" w:space="0" w:color="auto"/>
        <w:bottom w:val="none" w:sz="0" w:space="0" w:color="auto"/>
        <w:right w:val="none" w:sz="0" w:space="0" w:color="auto"/>
      </w:divBdr>
    </w:div>
    <w:div w:id="164320016">
      <w:marLeft w:val="480"/>
      <w:marRight w:val="0"/>
      <w:marTop w:val="0"/>
      <w:marBottom w:val="0"/>
      <w:divBdr>
        <w:top w:val="none" w:sz="0" w:space="0" w:color="auto"/>
        <w:left w:val="none" w:sz="0" w:space="0" w:color="auto"/>
        <w:bottom w:val="none" w:sz="0" w:space="0" w:color="auto"/>
        <w:right w:val="none" w:sz="0" w:space="0" w:color="auto"/>
      </w:divBdr>
    </w:div>
    <w:div w:id="165484391">
      <w:marLeft w:val="480"/>
      <w:marRight w:val="0"/>
      <w:marTop w:val="0"/>
      <w:marBottom w:val="0"/>
      <w:divBdr>
        <w:top w:val="none" w:sz="0" w:space="0" w:color="auto"/>
        <w:left w:val="none" w:sz="0" w:space="0" w:color="auto"/>
        <w:bottom w:val="none" w:sz="0" w:space="0" w:color="auto"/>
        <w:right w:val="none" w:sz="0" w:space="0" w:color="auto"/>
      </w:divBdr>
    </w:div>
    <w:div w:id="165943606">
      <w:bodyDiv w:val="1"/>
      <w:marLeft w:val="0"/>
      <w:marRight w:val="0"/>
      <w:marTop w:val="0"/>
      <w:marBottom w:val="0"/>
      <w:divBdr>
        <w:top w:val="none" w:sz="0" w:space="0" w:color="auto"/>
        <w:left w:val="none" w:sz="0" w:space="0" w:color="auto"/>
        <w:bottom w:val="none" w:sz="0" w:space="0" w:color="auto"/>
        <w:right w:val="none" w:sz="0" w:space="0" w:color="auto"/>
      </w:divBdr>
      <w:divsChild>
        <w:div w:id="224536537">
          <w:marLeft w:val="0"/>
          <w:marRight w:val="0"/>
          <w:marTop w:val="0"/>
          <w:marBottom w:val="0"/>
          <w:divBdr>
            <w:top w:val="none" w:sz="0" w:space="0" w:color="auto"/>
            <w:left w:val="none" w:sz="0" w:space="0" w:color="auto"/>
            <w:bottom w:val="none" w:sz="0" w:space="0" w:color="auto"/>
            <w:right w:val="none" w:sz="0" w:space="0" w:color="auto"/>
          </w:divBdr>
          <w:divsChild>
            <w:div w:id="1961835985">
              <w:marLeft w:val="-75"/>
              <w:marRight w:val="0"/>
              <w:marTop w:val="30"/>
              <w:marBottom w:val="30"/>
              <w:divBdr>
                <w:top w:val="none" w:sz="0" w:space="0" w:color="auto"/>
                <w:left w:val="none" w:sz="0" w:space="0" w:color="auto"/>
                <w:bottom w:val="none" w:sz="0" w:space="0" w:color="auto"/>
                <w:right w:val="none" w:sz="0" w:space="0" w:color="auto"/>
              </w:divBdr>
              <w:divsChild>
                <w:div w:id="201553054">
                  <w:marLeft w:val="0"/>
                  <w:marRight w:val="0"/>
                  <w:marTop w:val="0"/>
                  <w:marBottom w:val="0"/>
                  <w:divBdr>
                    <w:top w:val="none" w:sz="0" w:space="0" w:color="auto"/>
                    <w:left w:val="none" w:sz="0" w:space="0" w:color="auto"/>
                    <w:bottom w:val="none" w:sz="0" w:space="0" w:color="auto"/>
                    <w:right w:val="none" w:sz="0" w:space="0" w:color="auto"/>
                  </w:divBdr>
                  <w:divsChild>
                    <w:div w:id="955140819">
                      <w:marLeft w:val="0"/>
                      <w:marRight w:val="0"/>
                      <w:marTop w:val="0"/>
                      <w:marBottom w:val="0"/>
                      <w:divBdr>
                        <w:top w:val="none" w:sz="0" w:space="0" w:color="auto"/>
                        <w:left w:val="none" w:sz="0" w:space="0" w:color="auto"/>
                        <w:bottom w:val="none" w:sz="0" w:space="0" w:color="auto"/>
                        <w:right w:val="none" w:sz="0" w:space="0" w:color="auto"/>
                      </w:divBdr>
                    </w:div>
                  </w:divsChild>
                </w:div>
                <w:div w:id="1022129615">
                  <w:marLeft w:val="0"/>
                  <w:marRight w:val="0"/>
                  <w:marTop w:val="0"/>
                  <w:marBottom w:val="0"/>
                  <w:divBdr>
                    <w:top w:val="none" w:sz="0" w:space="0" w:color="auto"/>
                    <w:left w:val="none" w:sz="0" w:space="0" w:color="auto"/>
                    <w:bottom w:val="none" w:sz="0" w:space="0" w:color="auto"/>
                    <w:right w:val="none" w:sz="0" w:space="0" w:color="auto"/>
                  </w:divBdr>
                  <w:divsChild>
                    <w:div w:id="17849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34642">
          <w:marLeft w:val="0"/>
          <w:marRight w:val="0"/>
          <w:marTop w:val="0"/>
          <w:marBottom w:val="0"/>
          <w:divBdr>
            <w:top w:val="none" w:sz="0" w:space="0" w:color="auto"/>
            <w:left w:val="none" w:sz="0" w:space="0" w:color="auto"/>
            <w:bottom w:val="none" w:sz="0" w:space="0" w:color="auto"/>
            <w:right w:val="none" w:sz="0" w:space="0" w:color="auto"/>
          </w:divBdr>
          <w:divsChild>
            <w:div w:id="1272933257">
              <w:marLeft w:val="-75"/>
              <w:marRight w:val="0"/>
              <w:marTop w:val="30"/>
              <w:marBottom w:val="30"/>
              <w:divBdr>
                <w:top w:val="none" w:sz="0" w:space="0" w:color="auto"/>
                <w:left w:val="none" w:sz="0" w:space="0" w:color="auto"/>
                <w:bottom w:val="none" w:sz="0" w:space="0" w:color="auto"/>
                <w:right w:val="none" w:sz="0" w:space="0" w:color="auto"/>
              </w:divBdr>
              <w:divsChild>
                <w:div w:id="575675349">
                  <w:marLeft w:val="0"/>
                  <w:marRight w:val="0"/>
                  <w:marTop w:val="0"/>
                  <w:marBottom w:val="0"/>
                  <w:divBdr>
                    <w:top w:val="none" w:sz="0" w:space="0" w:color="auto"/>
                    <w:left w:val="none" w:sz="0" w:space="0" w:color="auto"/>
                    <w:bottom w:val="none" w:sz="0" w:space="0" w:color="auto"/>
                    <w:right w:val="none" w:sz="0" w:space="0" w:color="auto"/>
                  </w:divBdr>
                  <w:divsChild>
                    <w:div w:id="1285962393">
                      <w:marLeft w:val="0"/>
                      <w:marRight w:val="0"/>
                      <w:marTop w:val="0"/>
                      <w:marBottom w:val="0"/>
                      <w:divBdr>
                        <w:top w:val="none" w:sz="0" w:space="0" w:color="auto"/>
                        <w:left w:val="none" w:sz="0" w:space="0" w:color="auto"/>
                        <w:bottom w:val="none" w:sz="0" w:space="0" w:color="auto"/>
                        <w:right w:val="none" w:sz="0" w:space="0" w:color="auto"/>
                      </w:divBdr>
                    </w:div>
                  </w:divsChild>
                </w:div>
                <w:div w:id="861289024">
                  <w:marLeft w:val="0"/>
                  <w:marRight w:val="0"/>
                  <w:marTop w:val="0"/>
                  <w:marBottom w:val="0"/>
                  <w:divBdr>
                    <w:top w:val="none" w:sz="0" w:space="0" w:color="auto"/>
                    <w:left w:val="none" w:sz="0" w:space="0" w:color="auto"/>
                    <w:bottom w:val="none" w:sz="0" w:space="0" w:color="auto"/>
                    <w:right w:val="none" w:sz="0" w:space="0" w:color="auto"/>
                  </w:divBdr>
                  <w:divsChild>
                    <w:div w:id="1110667540">
                      <w:marLeft w:val="0"/>
                      <w:marRight w:val="0"/>
                      <w:marTop w:val="0"/>
                      <w:marBottom w:val="0"/>
                      <w:divBdr>
                        <w:top w:val="none" w:sz="0" w:space="0" w:color="auto"/>
                        <w:left w:val="none" w:sz="0" w:space="0" w:color="auto"/>
                        <w:bottom w:val="none" w:sz="0" w:space="0" w:color="auto"/>
                        <w:right w:val="none" w:sz="0" w:space="0" w:color="auto"/>
                      </w:divBdr>
                    </w:div>
                  </w:divsChild>
                </w:div>
                <w:div w:id="1111128714">
                  <w:marLeft w:val="0"/>
                  <w:marRight w:val="0"/>
                  <w:marTop w:val="0"/>
                  <w:marBottom w:val="0"/>
                  <w:divBdr>
                    <w:top w:val="none" w:sz="0" w:space="0" w:color="auto"/>
                    <w:left w:val="none" w:sz="0" w:space="0" w:color="auto"/>
                    <w:bottom w:val="none" w:sz="0" w:space="0" w:color="auto"/>
                    <w:right w:val="none" w:sz="0" w:space="0" w:color="auto"/>
                  </w:divBdr>
                  <w:divsChild>
                    <w:div w:id="264458688">
                      <w:marLeft w:val="0"/>
                      <w:marRight w:val="0"/>
                      <w:marTop w:val="0"/>
                      <w:marBottom w:val="0"/>
                      <w:divBdr>
                        <w:top w:val="none" w:sz="0" w:space="0" w:color="auto"/>
                        <w:left w:val="none" w:sz="0" w:space="0" w:color="auto"/>
                        <w:bottom w:val="none" w:sz="0" w:space="0" w:color="auto"/>
                        <w:right w:val="none" w:sz="0" w:space="0" w:color="auto"/>
                      </w:divBdr>
                    </w:div>
                  </w:divsChild>
                </w:div>
                <w:div w:id="1130830024">
                  <w:marLeft w:val="0"/>
                  <w:marRight w:val="0"/>
                  <w:marTop w:val="0"/>
                  <w:marBottom w:val="0"/>
                  <w:divBdr>
                    <w:top w:val="none" w:sz="0" w:space="0" w:color="auto"/>
                    <w:left w:val="none" w:sz="0" w:space="0" w:color="auto"/>
                    <w:bottom w:val="none" w:sz="0" w:space="0" w:color="auto"/>
                    <w:right w:val="none" w:sz="0" w:space="0" w:color="auto"/>
                  </w:divBdr>
                  <w:divsChild>
                    <w:div w:id="780148900">
                      <w:marLeft w:val="0"/>
                      <w:marRight w:val="0"/>
                      <w:marTop w:val="0"/>
                      <w:marBottom w:val="0"/>
                      <w:divBdr>
                        <w:top w:val="none" w:sz="0" w:space="0" w:color="auto"/>
                        <w:left w:val="none" w:sz="0" w:space="0" w:color="auto"/>
                        <w:bottom w:val="none" w:sz="0" w:space="0" w:color="auto"/>
                        <w:right w:val="none" w:sz="0" w:space="0" w:color="auto"/>
                      </w:divBdr>
                    </w:div>
                    <w:div w:id="1288464236">
                      <w:marLeft w:val="0"/>
                      <w:marRight w:val="0"/>
                      <w:marTop w:val="0"/>
                      <w:marBottom w:val="0"/>
                      <w:divBdr>
                        <w:top w:val="none" w:sz="0" w:space="0" w:color="auto"/>
                        <w:left w:val="none" w:sz="0" w:space="0" w:color="auto"/>
                        <w:bottom w:val="none" w:sz="0" w:space="0" w:color="auto"/>
                        <w:right w:val="none" w:sz="0" w:space="0" w:color="auto"/>
                      </w:divBdr>
                    </w:div>
                  </w:divsChild>
                </w:div>
                <w:div w:id="134358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29448">
          <w:marLeft w:val="0"/>
          <w:marRight w:val="0"/>
          <w:marTop w:val="0"/>
          <w:marBottom w:val="0"/>
          <w:divBdr>
            <w:top w:val="none" w:sz="0" w:space="0" w:color="auto"/>
            <w:left w:val="none" w:sz="0" w:space="0" w:color="auto"/>
            <w:bottom w:val="none" w:sz="0" w:space="0" w:color="auto"/>
            <w:right w:val="none" w:sz="0" w:space="0" w:color="auto"/>
          </w:divBdr>
          <w:divsChild>
            <w:div w:id="127361824">
              <w:marLeft w:val="0"/>
              <w:marRight w:val="0"/>
              <w:marTop w:val="0"/>
              <w:marBottom w:val="0"/>
              <w:divBdr>
                <w:top w:val="none" w:sz="0" w:space="0" w:color="auto"/>
                <w:left w:val="none" w:sz="0" w:space="0" w:color="auto"/>
                <w:bottom w:val="none" w:sz="0" w:space="0" w:color="auto"/>
                <w:right w:val="none" w:sz="0" w:space="0" w:color="auto"/>
              </w:divBdr>
            </w:div>
            <w:div w:id="971666697">
              <w:marLeft w:val="0"/>
              <w:marRight w:val="0"/>
              <w:marTop w:val="0"/>
              <w:marBottom w:val="0"/>
              <w:divBdr>
                <w:top w:val="none" w:sz="0" w:space="0" w:color="auto"/>
                <w:left w:val="none" w:sz="0" w:space="0" w:color="auto"/>
                <w:bottom w:val="none" w:sz="0" w:space="0" w:color="auto"/>
                <w:right w:val="none" w:sz="0" w:space="0" w:color="auto"/>
              </w:divBdr>
            </w:div>
            <w:div w:id="1824156566">
              <w:marLeft w:val="0"/>
              <w:marRight w:val="0"/>
              <w:marTop w:val="0"/>
              <w:marBottom w:val="0"/>
              <w:divBdr>
                <w:top w:val="none" w:sz="0" w:space="0" w:color="auto"/>
                <w:left w:val="none" w:sz="0" w:space="0" w:color="auto"/>
                <w:bottom w:val="none" w:sz="0" w:space="0" w:color="auto"/>
                <w:right w:val="none" w:sz="0" w:space="0" w:color="auto"/>
              </w:divBdr>
            </w:div>
            <w:div w:id="1983657682">
              <w:marLeft w:val="0"/>
              <w:marRight w:val="0"/>
              <w:marTop w:val="0"/>
              <w:marBottom w:val="0"/>
              <w:divBdr>
                <w:top w:val="none" w:sz="0" w:space="0" w:color="auto"/>
                <w:left w:val="none" w:sz="0" w:space="0" w:color="auto"/>
                <w:bottom w:val="none" w:sz="0" w:space="0" w:color="auto"/>
                <w:right w:val="none" w:sz="0" w:space="0" w:color="auto"/>
              </w:divBdr>
            </w:div>
          </w:divsChild>
        </w:div>
        <w:div w:id="1046567266">
          <w:marLeft w:val="0"/>
          <w:marRight w:val="0"/>
          <w:marTop w:val="0"/>
          <w:marBottom w:val="0"/>
          <w:divBdr>
            <w:top w:val="none" w:sz="0" w:space="0" w:color="auto"/>
            <w:left w:val="none" w:sz="0" w:space="0" w:color="auto"/>
            <w:bottom w:val="none" w:sz="0" w:space="0" w:color="auto"/>
            <w:right w:val="none" w:sz="0" w:space="0" w:color="auto"/>
          </w:divBdr>
        </w:div>
        <w:div w:id="1078479622">
          <w:marLeft w:val="0"/>
          <w:marRight w:val="0"/>
          <w:marTop w:val="0"/>
          <w:marBottom w:val="0"/>
          <w:divBdr>
            <w:top w:val="none" w:sz="0" w:space="0" w:color="auto"/>
            <w:left w:val="none" w:sz="0" w:space="0" w:color="auto"/>
            <w:bottom w:val="none" w:sz="0" w:space="0" w:color="auto"/>
            <w:right w:val="none" w:sz="0" w:space="0" w:color="auto"/>
          </w:divBdr>
          <w:divsChild>
            <w:div w:id="507714206">
              <w:marLeft w:val="0"/>
              <w:marRight w:val="0"/>
              <w:marTop w:val="0"/>
              <w:marBottom w:val="0"/>
              <w:divBdr>
                <w:top w:val="none" w:sz="0" w:space="0" w:color="auto"/>
                <w:left w:val="none" w:sz="0" w:space="0" w:color="auto"/>
                <w:bottom w:val="none" w:sz="0" w:space="0" w:color="auto"/>
                <w:right w:val="none" w:sz="0" w:space="0" w:color="auto"/>
              </w:divBdr>
            </w:div>
            <w:div w:id="593786146">
              <w:marLeft w:val="0"/>
              <w:marRight w:val="0"/>
              <w:marTop w:val="0"/>
              <w:marBottom w:val="0"/>
              <w:divBdr>
                <w:top w:val="none" w:sz="0" w:space="0" w:color="auto"/>
                <w:left w:val="none" w:sz="0" w:space="0" w:color="auto"/>
                <w:bottom w:val="none" w:sz="0" w:space="0" w:color="auto"/>
                <w:right w:val="none" w:sz="0" w:space="0" w:color="auto"/>
              </w:divBdr>
            </w:div>
            <w:div w:id="764770454">
              <w:marLeft w:val="0"/>
              <w:marRight w:val="0"/>
              <w:marTop w:val="0"/>
              <w:marBottom w:val="0"/>
              <w:divBdr>
                <w:top w:val="none" w:sz="0" w:space="0" w:color="auto"/>
                <w:left w:val="none" w:sz="0" w:space="0" w:color="auto"/>
                <w:bottom w:val="none" w:sz="0" w:space="0" w:color="auto"/>
                <w:right w:val="none" w:sz="0" w:space="0" w:color="auto"/>
              </w:divBdr>
            </w:div>
            <w:div w:id="1105271852">
              <w:marLeft w:val="0"/>
              <w:marRight w:val="0"/>
              <w:marTop w:val="0"/>
              <w:marBottom w:val="0"/>
              <w:divBdr>
                <w:top w:val="none" w:sz="0" w:space="0" w:color="auto"/>
                <w:left w:val="none" w:sz="0" w:space="0" w:color="auto"/>
                <w:bottom w:val="none" w:sz="0" w:space="0" w:color="auto"/>
                <w:right w:val="none" w:sz="0" w:space="0" w:color="auto"/>
              </w:divBdr>
            </w:div>
            <w:div w:id="1148588801">
              <w:marLeft w:val="0"/>
              <w:marRight w:val="0"/>
              <w:marTop w:val="0"/>
              <w:marBottom w:val="0"/>
              <w:divBdr>
                <w:top w:val="none" w:sz="0" w:space="0" w:color="auto"/>
                <w:left w:val="none" w:sz="0" w:space="0" w:color="auto"/>
                <w:bottom w:val="none" w:sz="0" w:space="0" w:color="auto"/>
                <w:right w:val="none" w:sz="0" w:space="0" w:color="auto"/>
              </w:divBdr>
            </w:div>
            <w:div w:id="1269698975">
              <w:marLeft w:val="0"/>
              <w:marRight w:val="0"/>
              <w:marTop w:val="0"/>
              <w:marBottom w:val="0"/>
              <w:divBdr>
                <w:top w:val="none" w:sz="0" w:space="0" w:color="auto"/>
                <w:left w:val="none" w:sz="0" w:space="0" w:color="auto"/>
                <w:bottom w:val="none" w:sz="0" w:space="0" w:color="auto"/>
                <w:right w:val="none" w:sz="0" w:space="0" w:color="auto"/>
              </w:divBdr>
            </w:div>
          </w:divsChild>
        </w:div>
        <w:div w:id="1337072104">
          <w:marLeft w:val="0"/>
          <w:marRight w:val="0"/>
          <w:marTop w:val="0"/>
          <w:marBottom w:val="0"/>
          <w:divBdr>
            <w:top w:val="none" w:sz="0" w:space="0" w:color="auto"/>
            <w:left w:val="none" w:sz="0" w:space="0" w:color="auto"/>
            <w:bottom w:val="none" w:sz="0" w:space="0" w:color="auto"/>
            <w:right w:val="none" w:sz="0" w:space="0" w:color="auto"/>
          </w:divBdr>
          <w:divsChild>
            <w:div w:id="1911230767">
              <w:marLeft w:val="-75"/>
              <w:marRight w:val="0"/>
              <w:marTop w:val="30"/>
              <w:marBottom w:val="30"/>
              <w:divBdr>
                <w:top w:val="none" w:sz="0" w:space="0" w:color="auto"/>
                <w:left w:val="none" w:sz="0" w:space="0" w:color="auto"/>
                <w:bottom w:val="none" w:sz="0" w:space="0" w:color="auto"/>
                <w:right w:val="none" w:sz="0" w:space="0" w:color="auto"/>
              </w:divBdr>
              <w:divsChild>
                <w:div w:id="163791055">
                  <w:marLeft w:val="0"/>
                  <w:marRight w:val="0"/>
                  <w:marTop w:val="0"/>
                  <w:marBottom w:val="0"/>
                  <w:divBdr>
                    <w:top w:val="none" w:sz="0" w:space="0" w:color="auto"/>
                    <w:left w:val="none" w:sz="0" w:space="0" w:color="auto"/>
                    <w:bottom w:val="none" w:sz="0" w:space="0" w:color="auto"/>
                    <w:right w:val="none" w:sz="0" w:space="0" w:color="auto"/>
                  </w:divBdr>
                  <w:divsChild>
                    <w:div w:id="401759649">
                      <w:marLeft w:val="0"/>
                      <w:marRight w:val="0"/>
                      <w:marTop w:val="0"/>
                      <w:marBottom w:val="0"/>
                      <w:divBdr>
                        <w:top w:val="none" w:sz="0" w:space="0" w:color="auto"/>
                        <w:left w:val="none" w:sz="0" w:space="0" w:color="auto"/>
                        <w:bottom w:val="none" w:sz="0" w:space="0" w:color="auto"/>
                        <w:right w:val="none" w:sz="0" w:space="0" w:color="auto"/>
                      </w:divBdr>
                    </w:div>
                  </w:divsChild>
                </w:div>
                <w:div w:id="282426152">
                  <w:marLeft w:val="0"/>
                  <w:marRight w:val="0"/>
                  <w:marTop w:val="0"/>
                  <w:marBottom w:val="0"/>
                  <w:divBdr>
                    <w:top w:val="none" w:sz="0" w:space="0" w:color="auto"/>
                    <w:left w:val="none" w:sz="0" w:space="0" w:color="auto"/>
                    <w:bottom w:val="none" w:sz="0" w:space="0" w:color="auto"/>
                    <w:right w:val="none" w:sz="0" w:space="0" w:color="auto"/>
                  </w:divBdr>
                  <w:divsChild>
                    <w:div w:id="1450854322">
                      <w:marLeft w:val="0"/>
                      <w:marRight w:val="0"/>
                      <w:marTop w:val="0"/>
                      <w:marBottom w:val="0"/>
                      <w:divBdr>
                        <w:top w:val="none" w:sz="0" w:space="0" w:color="auto"/>
                        <w:left w:val="none" w:sz="0" w:space="0" w:color="auto"/>
                        <w:bottom w:val="none" w:sz="0" w:space="0" w:color="auto"/>
                        <w:right w:val="none" w:sz="0" w:space="0" w:color="auto"/>
                      </w:divBdr>
                    </w:div>
                  </w:divsChild>
                </w:div>
                <w:div w:id="437795121">
                  <w:marLeft w:val="0"/>
                  <w:marRight w:val="0"/>
                  <w:marTop w:val="0"/>
                  <w:marBottom w:val="0"/>
                  <w:divBdr>
                    <w:top w:val="none" w:sz="0" w:space="0" w:color="auto"/>
                    <w:left w:val="none" w:sz="0" w:space="0" w:color="auto"/>
                    <w:bottom w:val="none" w:sz="0" w:space="0" w:color="auto"/>
                    <w:right w:val="none" w:sz="0" w:space="0" w:color="auto"/>
                  </w:divBdr>
                  <w:divsChild>
                    <w:div w:id="1549226127">
                      <w:marLeft w:val="0"/>
                      <w:marRight w:val="0"/>
                      <w:marTop w:val="0"/>
                      <w:marBottom w:val="0"/>
                      <w:divBdr>
                        <w:top w:val="none" w:sz="0" w:space="0" w:color="auto"/>
                        <w:left w:val="none" w:sz="0" w:space="0" w:color="auto"/>
                        <w:bottom w:val="none" w:sz="0" w:space="0" w:color="auto"/>
                        <w:right w:val="none" w:sz="0" w:space="0" w:color="auto"/>
                      </w:divBdr>
                    </w:div>
                  </w:divsChild>
                </w:div>
                <w:div w:id="768161667">
                  <w:marLeft w:val="0"/>
                  <w:marRight w:val="0"/>
                  <w:marTop w:val="0"/>
                  <w:marBottom w:val="0"/>
                  <w:divBdr>
                    <w:top w:val="none" w:sz="0" w:space="0" w:color="auto"/>
                    <w:left w:val="none" w:sz="0" w:space="0" w:color="auto"/>
                    <w:bottom w:val="none" w:sz="0" w:space="0" w:color="auto"/>
                    <w:right w:val="none" w:sz="0" w:space="0" w:color="auto"/>
                  </w:divBdr>
                  <w:divsChild>
                    <w:div w:id="1477213581">
                      <w:marLeft w:val="0"/>
                      <w:marRight w:val="0"/>
                      <w:marTop w:val="0"/>
                      <w:marBottom w:val="0"/>
                      <w:divBdr>
                        <w:top w:val="none" w:sz="0" w:space="0" w:color="auto"/>
                        <w:left w:val="none" w:sz="0" w:space="0" w:color="auto"/>
                        <w:bottom w:val="none" w:sz="0" w:space="0" w:color="auto"/>
                        <w:right w:val="none" w:sz="0" w:space="0" w:color="auto"/>
                      </w:divBdr>
                    </w:div>
                  </w:divsChild>
                </w:div>
                <w:div w:id="888225735">
                  <w:marLeft w:val="0"/>
                  <w:marRight w:val="0"/>
                  <w:marTop w:val="0"/>
                  <w:marBottom w:val="0"/>
                  <w:divBdr>
                    <w:top w:val="none" w:sz="0" w:space="0" w:color="auto"/>
                    <w:left w:val="none" w:sz="0" w:space="0" w:color="auto"/>
                    <w:bottom w:val="none" w:sz="0" w:space="0" w:color="auto"/>
                    <w:right w:val="none" w:sz="0" w:space="0" w:color="auto"/>
                  </w:divBdr>
                  <w:divsChild>
                    <w:div w:id="307905202">
                      <w:marLeft w:val="0"/>
                      <w:marRight w:val="0"/>
                      <w:marTop w:val="0"/>
                      <w:marBottom w:val="0"/>
                      <w:divBdr>
                        <w:top w:val="none" w:sz="0" w:space="0" w:color="auto"/>
                        <w:left w:val="none" w:sz="0" w:space="0" w:color="auto"/>
                        <w:bottom w:val="none" w:sz="0" w:space="0" w:color="auto"/>
                        <w:right w:val="none" w:sz="0" w:space="0" w:color="auto"/>
                      </w:divBdr>
                    </w:div>
                  </w:divsChild>
                </w:div>
                <w:div w:id="979310981">
                  <w:marLeft w:val="0"/>
                  <w:marRight w:val="0"/>
                  <w:marTop w:val="0"/>
                  <w:marBottom w:val="0"/>
                  <w:divBdr>
                    <w:top w:val="none" w:sz="0" w:space="0" w:color="auto"/>
                    <w:left w:val="none" w:sz="0" w:space="0" w:color="auto"/>
                    <w:bottom w:val="none" w:sz="0" w:space="0" w:color="auto"/>
                    <w:right w:val="none" w:sz="0" w:space="0" w:color="auto"/>
                  </w:divBdr>
                  <w:divsChild>
                    <w:div w:id="1597441509">
                      <w:marLeft w:val="0"/>
                      <w:marRight w:val="0"/>
                      <w:marTop w:val="0"/>
                      <w:marBottom w:val="0"/>
                      <w:divBdr>
                        <w:top w:val="none" w:sz="0" w:space="0" w:color="auto"/>
                        <w:left w:val="none" w:sz="0" w:space="0" w:color="auto"/>
                        <w:bottom w:val="none" w:sz="0" w:space="0" w:color="auto"/>
                        <w:right w:val="none" w:sz="0" w:space="0" w:color="auto"/>
                      </w:divBdr>
                    </w:div>
                  </w:divsChild>
                </w:div>
                <w:div w:id="1077093558">
                  <w:marLeft w:val="0"/>
                  <w:marRight w:val="0"/>
                  <w:marTop w:val="0"/>
                  <w:marBottom w:val="0"/>
                  <w:divBdr>
                    <w:top w:val="none" w:sz="0" w:space="0" w:color="auto"/>
                    <w:left w:val="none" w:sz="0" w:space="0" w:color="auto"/>
                    <w:bottom w:val="none" w:sz="0" w:space="0" w:color="auto"/>
                    <w:right w:val="none" w:sz="0" w:space="0" w:color="auto"/>
                  </w:divBdr>
                  <w:divsChild>
                    <w:div w:id="1487433717">
                      <w:marLeft w:val="0"/>
                      <w:marRight w:val="0"/>
                      <w:marTop w:val="0"/>
                      <w:marBottom w:val="0"/>
                      <w:divBdr>
                        <w:top w:val="none" w:sz="0" w:space="0" w:color="auto"/>
                        <w:left w:val="none" w:sz="0" w:space="0" w:color="auto"/>
                        <w:bottom w:val="none" w:sz="0" w:space="0" w:color="auto"/>
                        <w:right w:val="none" w:sz="0" w:space="0" w:color="auto"/>
                      </w:divBdr>
                    </w:div>
                  </w:divsChild>
                </w:div>
                <w:div w:id="1103653130">
                  <w:marLeft w:val="0"/>
                  <w:marRight w:val="0"/>
                  <w:marTop w:val="0"/>
                  <w:marBottom w:val="0"/>
                  <w:divBdr>
                    <w:top w:val="none" w:sz="0" w:space="0" w:color="auto"/>
                    <w:left w:val="none" w:sz="0" w:space="0" w:color="auto"/>
                    <w:bottom w:val="none" w:sz="0" w:space="0" w:color="auto"/>
                    <w:right w:val="none" w:sz="0" w:space="0" w:color="auto"/>
                  </w:divBdr>
                </w:div>
                <w:div w:id="1381784892">
                  <w:marLeft w:val="0"/>
                  <w:marRight w:val="0"/>
                  <w:marTop w:val="0"/>
                  <w:marBottom w:val="0"/>
                  <w:divBdr>
                    <w:top w:val="none" w:sz="0" w:space="0" w:color="auto"/>
                    <w:left w:val="none" w:sz="0" w:space="0" w:color="auto"/>
                    <w:bottom w:val="none" w:sz="0" w:space="0" w:color="auto"/>
                    <w:right w:val="none" w:sz="0" w:space="0" w:color="auto"/>
                  </w:divBdr>
                  <w:divsChild>
                    <w:div w:id="863595847">
                      <w:marLeft w:val="0"/>
                      <w:marRight w:val="0"/>
                      <w:marTop w:val="0"/>
                      <w:marBottom w:val="0"/>
                      <w:divBdr>
                        <w:top w:val="none" w:sz="0" w:space="0" w:color="auto"/>
                        <w:left w:val="none" w:sz="0" w:space="0" w:color="auto"/>
                        <w:bottom w:val="none" w:sz="0" w:space="0" w:color="auto"/>
                        <w:right w:val="none" w:sz="0" w:space="0" w:color="auto"/>
                      </w:divBdr>
                    </w:div>
                    <w:div w:id="16446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268064">
          <w:marLeft w:val="0"/>
          <w:marRight w:val="0"/>
          <w:marTop w:val="0"/>
          <w:marBottom w:val="0"/>
          <w:divBdr>
            <w:top w:val="none" w:sz="0" w:space="0" w:color="auto"/>
            <w:left w:val="none" w:sz="0" w:space="0" w:color="auto"/>
            <w:bottom w:val="none" w:sz="0" w:space="0" w:color="auto"/>
            <w:right w:val="none" w:sz="0" w:space="0" w:color="auto"/>
          </w:divBdr>
          <w:divsChild>
            <w:div w:id="424695639">
              <w:marLeft w:val="-75"/>
              <w:marRight w:val="0"/>
              <w:marTop w:val="30"/>
              <w:marBottom w:val="30"/>
              <w:divBdr>
                <w:top w:val="none" w:sz="0" w:space="0" w:color="auto"/>
                <w:left w:val="none" w:sz="0" w:space="0" w:color="auto"/>
                <w:bottom w:val="none" w:sz="0" w:space="0" w:color="auto"/>
                <w:right w:val="none" w:sz="0" w:space="0" w:color="auto"/>
              </w:divBdr>
              <w:divsChild>
                <w:div w:id="64576338">
                  <w:marLeft w:val="0"/>
                  <w:marRight w:val="0"/>
                  <w:marTop w:val="0"/>
                  <w:marBottom w:val="0"/>
                  <w:divBdr>
                    <w:top w:val="none" w:sz="0" w:space="0" w:color="auto"/>
                    <w:left w:val="none" w:sz="0" w:space="0" w:color="auto"/>
                    <w:bottom w:val="none" w:sz="0" w:space="0" w:color="auto"/>
                    <w:right w:val="none" w:sz="0" w:space="0" w:color="auto"/>
                  </w:divBdr>
                  <w:divsChild>
                    <w:div w:id="183521526">
                      <w:marLeft w:val="0"/>
                      <w:marRight w:val="0"/>
                      <w:marTop w:val="0"/>
                      <w:marBottom w:val="0"/>
                      <w:divBdr>
                        <w:top w:val="none" w:sz="0" w:space="0" w:color="auto"/>
                        <w:left w:val="none" w:sz="0" w:space="0" w:color="auto"/>
                        <w:bottom w:val="none" w:sz="0" w:space="0" w:color="auto"/>
                        <w:right w:val="none" w:sz="0" w:space="0" w:color="auto"/>
                      </w:divBdr>
                    </w:div>
                  </w:divsChild>
                </w:div>
                <w:div w:id="166143554">
                  <w:marLeft w:val="0"/>
                  <w:marRight w:val="0"/>
                  <w:marTop w:val="0"/>
                  <w:marBottom w:val="0"/>
                  <w:divBdr>
                    <w:top w:val="none" w:sz="0" w:space="0" w:color="auto"/>
                    <w:left w:val="none" w:sz="0" w:space="0" w:color="auto"/>
                    <w:bottom w:val="none" w:sz="0" w:space="0" w:color="auto"/>
                    <w:right w:val="none" w:sz="0" w:space="0" w:color="auto"/>
                  </w:divBdr>
                  <w:divsChild>
                    <w:div w:id="1606233465">
                      <w:marLeft w:val="0"/>
                      <w:marRight w:val="0"/>
                      <w:marTop w:val="0"/>
                      <w:marBottom w:val="0"/>
                      <w:divBdr>
                        <w:top w:val="none" w:sz="0" w:space="0" w:color="auto"/>
                        <w:left w:val="none" w:sz="0" w:space="0" w:color="auto"/>
                        <w:bottom w:val="none" w:sz="0" w:space="0" w:color="auto"/>
                        <w:right w:val="none" w:sz="0" w:space="0" w:color="auto"/>
                      </w:divBdr>
                    </w:div>
                  </w:divsChild>
                </w:div>
                <w:div w:id="462618861">
                  <w:marLeft w:val="0"/>
                  <w:marRight w:val="0"/>
                  <w:marTop w:val="0"/>
                  <w:marBottom w:val="0"/>
                  <w:divBdr>
                    <w:top w:val="none" w:sz="0" w:space="0" w:color="auto"/>
                    <w:left w:val="none" w:sz="0" w:space="0" w:color="auto"/>
                    <w:bottom w:val="none" w:sz="0" w:space="0" w:color="auto"/>
                    <w:right w:val="none" w:sz="0" w:space="0" w:color="auto"/>
                  </w:divBdr>
                  <w:divsChild>
                    <w:div w:id="2023510279">
                      <w:marLeft w:val="0"/>
                      <w:marRight w:val="0"/>
                      <w:marTop w:val="0"/>
                      <w:marBottom w:val="0"/>
                      <w:divBdr>
                        <w:top w:val="none" w:sz="0" w:space="0" w:color="auto"/>
                        <w:left w:val="none" w:sz="0" w:space="0" w:color="auto"/>
                        <w:bottom w:val="none" w:sz="0" w:space="0" w:color="auto"/>
                        <w:right w:val="none" w:sz="0" w:space="0" w:color="auto"/>
                      </w:divBdr>
                    </w:div>
                  </w:divsChild>
                </w:div>
                <w:div w:id="583296945">
                  <w:marLeft w:val="0"/>
                  <w:marRight w:val="0"/>
                  <w:marTop w:val="0"/>
                  <w:marBottom w:val="0"/>
                  <w:divBdr>
                    <w:top w:val="none" w:sz="0" w:space="0" w:color="auto"/>
                    <w:left w:val="none" w:sz="0" w:space="0" w:color="auto"/>
                    <w:bottom w:val="none" w:sz="0" w:space="0" w:color="auto"/>
                    <w:right w:val="none" w:sz="0" w:space="0" w:color="auto"/>
                  </w:divBdr>
                  <w:divsChild>
                    <w:div w:id="1980961437">
                      <w:marLeft w:val="0"/>
                      <w:marRight w:val="0"/>
                      <w:marTop w:val="0"/>
                      <w:marBottom w:val="0"/>
                      <w:divBdr>
                        <w:top w:val="none" w:sz="0" w:space="0" w:color="auto"/>
                        <w:left w:val="none" w:sz="0" w:space="0" w:color="auto"/>
                        <w:bottom w:val="none" w:sz="0" w:space="0" w:color="auto"/>
                        <w:right w:val="none" w:sz="0" w:space="0" w:color="auto"/>
                      </w:divBdr>
                    </w:div>
                  </w:divsChild>
                </w:div>
                <w:div w:id="734625644">
                  <w:marLeft w:val="0"/>
                  <w:marRight w:val="0"/>
                  <w:marTop w:val="0"/>
                  <w:marBottom w:val="0"/>
                  <w:divBdr>
                    <w:top w:val="none" w:sz="0" w:space="0" w:color="auto"/>
                    <w:left w:val="none" w:sz="0" w:space="0" w:color="auto"/>
                    <w:bottom w:val="none" w:sz="0" w:space="0" w:color="auto"/>
                    <w:right w:val="none" w:sz="0" w:space="0" w:color="auto"/>
                  </w:divBdr>
                  <w:divsChild>
                    <w:div w:id="596518812">
                      <w:marLeft w:val="0"/>
                      <w:marRight w:val="0"/>
                      <w:marTop w:val="0"/>
                      <w:marBottom w:val="0"/>
                      <w:divBdr>
                        <w:top w:val="none" w:sz="0" w:space="0" w:color="auto"/>
                        <w:left w:val="none" w:sz="0" w:space="0" w:color="auto"/>
                        <w:bottom w:val="none" w:sz="0" w:space="0" w:color="auto"/>
                        <w:right w:val="none" w:sz="0" w:space="0" w:color="auto"/>
                      </w:divBdr>
                    </w:div>
                    <w:div w:id="955479156">
                      <w:marLeft w:val="0"/>
                      <w:marRight w:val="0"/>
                      <w:marTop w:val="0"/>
                      <w:marBottom w:val="0"/>
                      <w:divBdr>
                        <w:top w:val="none" w:sz="0" w:space="0" w:color="auto"/>
                        <w:left w:val="none" w:sz="0" w:space="0" w:color="auto"/>
                        <w:bottom w:val="none" w:sz="0" w:space="0" w:color="auto"/>
                        <w:right w:val="none" w:sz="0" w:space="0" w:color="auto"/>
                      </w:divBdr>
                    </w:div>
                  </w:divsChild>
                </w:div>
                <w:div w:id="859078149">
                  <w:marLeft w:val="0"/>
                  <w:marRight w:val="0"/>
                  <w:marTop w:val="0"/>
                  <w:marBottom w:val="0"/>
                  <w:divBdr>
                    <w:top w:val="none" w:sz="0" w:space="0" w:color="auto"/>
                    <w:left w:val="none" w:sz="0" w:space="0" w:color="auto"/>
                    <w:bottom w:val="none" w:sz="0" w:space="0" w:color="auto"/>
                    <w:right w:val="none" w:sz="0" w:space="0" w:color="auto"/>
                  </w:divBdr>
                  <w:divsChild>
                    <w:div w:id="209536123">
                      <w:marLeft w:val="0"/>
                      <w:marRight w:val="0"/>
                      <w:marTop w:val="0"/>
                      <w:marBottom w:val="0"/>
                      <w:divBdr>
                        <w:top w:val="none" w:sz="0" w:space="0" w:color="auto"/>
                        <w:left w:val="none" w:sz="0" w:space="0" w:color="auto"/>
                        <w:bottom w:val="none" w:sz="0" w:space="0" w:color="auto"/>
                        <w:right w:val="none" w:sz="0" w:space="0" w:color="auto"/>
                      </w:divBdr>
                    </w:div>
                  </w:divsChild>
                </w:div>
                <w:div w:id="970015691">
                  <w:marLeft w:val="0"/>
                  <w:marRight w:val="0"/>
                  <w:marTop w:val="0"/>
                  <w:marBottom w:val="0"/>
                  <w:divBdr>
                    <w:top w:val="none" w:sz="0" w:space="0" w:color="auto"/>
                    <w:left w:val="none" w:sz="0" w:space="0" w:color="auto"/>
                    <w:bottom w:val="none" w:sz="0" w:space="0" w:color="auto"/>
                    <w:right w:val="none" w:sz="0" w:space="0" w:color="auto"/>
                  </w:divBdr>
                  <w:divsChild>
                    <w:div w:id="554120387">
                      <w:marLeft w:val="0"/>
                      <w:marRight w:val="0"/>
                      <w:marTop w:val="0"/>
                      <w:marBottom w:val="0"/>
                      <w:divBdr>
                        <w:top w:val="none" w:sz="0" w:space="0" w:color="auto"/>
                        <w:left w:val="none" w:sz="0" w:space="0" w:color="auto"/>
                        <w:bottom w:val="none" w:sz="0" w:space="0" w:color="auto"/>
                        <w:right w:val="none" w:sz="0" w:space="0" w:color="auto"/>
                      </w:divBdr>
                    </w:div>
                  </w:divsChild>
                </w:div>
                <w:div w:id="1154449181">
                  <w:marLeft w:val="0"/>
                  <w:marRight w:val="0"/>
                  <w:marTop w:val="0"/>
                  <w:marBottom w:val="0"/>
                  <w:divBdr>
                    <w:top w:val="none" w:sz="0" w:space="0" w:color="auto"/>
                    <w:left w:val="none" w:sz="0" w:space="0" w:color="auto"/>
                    <w:bottom w:val="none" w:sz="0" w:space="0" w:color="auto"/>
                    <w:right w:val="none" w:sz="0" w:space="0" w:color="auto"/>
                  </w:divBdr>
                  <w:divsChild>
                    <w:div w:id="1871340296">
                      <w:marLeft w:val="0"/>
                      <w:marRight w:val="0"/>
                      <w:marTop w:val="0"/>
                      <w:marBottom w:val="0"/>
                      <w:divBdr>
                        <w:top w:val="none" w:sz="0" w:space="0" w:color="auto"/>
                        <w:left w:val="none" w:sz="0" w:space="0" w:color="auto"/>
                        <w:bottom w:val="none" w:sz="0" w:space="0" w:color="auto"/>
                        <w:right w:val="none" w:sz="0" w:space="0" w:color="auto"/>
                      </w:divBdr>
                    </w:div>
                  </w:divsChild>
                </w:div>
                <w:div w:id="1313218951">
                  <w:marLeft w:val="0"/>
                  <w:marRight w:val="0"/>
                  <w:marTop w:val="0"/>
                  <w:marBottom w:val="0"/>
                  <w:divBdr>
                    <w:top w:val="none" w:sz="0" w:space="0" w:color="auto"/>
                    <w:left w:val="none" w:sz="0" w:space="0" w:color="auto"/>
                    <w:bottom w:val="none" w:sz="0" w:space="0" w:color="auto"/>
                    <w:right w:val="none" w:sz="0" w:space="0" w:color="auto"/>
                  </w:divBdr>
                  <w:divsChild>
                    <w:div w:id="1314602941">
                      <w:marLeft w:val="0"/>
                      <w:marRight w:val="0"/>
                      <w:marTop w:val="0"/>
                      <w:marBottom w:val="0"/>
                      <w:divBdr>
                        <w:top w:val="none" w:sz="0" w:space="0" w:color="auto"/>
                        <w:left w:val="none" w:sz="0" w:space="0" w:color="auto"/>
                        <w:bottom w:val="none" w:sz="0" w:space="0" w:color="auto"/>
                        <w:right w:val="none" w:sz="0" w:space="0" w:color="auto"/>
                      </w:divBdr>
                    </w:div>
                  </w:divsChild>
                </w:div>
                <w:div w:id="1421487078">
                  <w:marLeft w:val="0"/>
                  <w:marRight w:val="0"/>
                  <w:marTop w:val="0"/>
                  <w:marBottom w:val="0"/>
                  <w:divBdr>
                    <w:top w:val="none" w:sz="0" w:space="0" w:color="auto"/>
                    <w:left w:val="none" w:sz="0" w:space="0" w:color="auto"/>
                    <w:bottom w:val="none" w:sz="0" w:space="0" w:color="auto"/>
                    <w:right w:val="none" w:sz="0" w:space="0" w:color="auto"/>
                  </w:divBdr>
                  <w:divsChild>
                    <w:div w:id="241449426">
                      <w:marLeft w:val="0"/>
                      <w:marRight w:val="0"/>
                      <w:marTop w:val="0"/>
                      <w:marBottom w:val="0"/>
                      <w:divBdr>
                        <w:top w:val="none" w:sz="0" w:space="0" w:color="auto"/>
                        <w:left w:val="none" w:sz="0" w:space="0" w:color="auto"/>
                        <w:bottom w:val="none" w:sz="0" w:space="0" w:color="auto"/>
                        <w:right w:val="none" w:sz="0" w:space="0" w:color="auto"/>
                      </w:divBdr>
                    </w:div>
                  </w:divsChild>
                </w:div>
                <w:div w:id="1425147300">
                  <w:marLeft w:val="0"/>
                  <w:marRight w:val="0"/>
                  <w:marTop w:val="0"/>
                  <w:marBottom w:val="0"/>
                  <w:divBdr>
                    <w:top w:val="none" w:sz="0" w:space="0" w:color="auto"/>
                    <w:left w:val="none" w:sz="0" w:space="0" w:color="auto"/>
                    <w:bottom w:val="none" w:sz="0" w:space="0" w:color="auto"/>
                    <w:right w:val="none" w:sz="0" w:space="0" w:color="auto"/>
                  </w:divBdr>
                </w:div>
                <w:div w:id="1960523002">
                  <w:marLeft w:val="0"/>
                  <w:marRight w:val="0"/>
                  <w:marTop w:val="0"/>
                  <w:marBottom w:val="0"/>
                  <w:divBdr>
                    <w:top w:val="none" w:sz="0" w:space="0" w:color="auto"/>
                    <w:left w:val="none" w:sz="0" w:space="0" w:color="auto"/>
                    <w:bottom w:val="none" w:sz="0" w:space="0" w:color="auto"/>
                    <w:right w:val="none" w:sz="0" w:space="0" w:color="auto"/>
                  </w:divBdr>
                  <w:divsChild>
                    <w:div w:id="1912235278">
                      <w:marLeft w:val="0"/>
                      <w:marRight w:val="0"/>
                      <w:marTop w:val="0"/>
                      <w:marBottom w:val="0"/>
                      <w:divBdr>
                        <w:top w:val="none" w:sz="0" w:space="0" w:color="auto"/>
                        <w:left w:val="none" w:sz="0" w:space="0" w:color="auto"/>
                        <w:bottom w:val="none" w:sz="0" w:space="0" w:color="auto"/>
                        <w:right w:val="none" w:sz="0" w:space="0" w:color="auto"/>
                      </w:divBdr>
                    </w:div>
                  </w:divsChild>
                </w:div>
                <w:div w:id="1977102012">
                  <w:marLeft w:val="0"/>
                  <w:marRight w:val="0"/>
                  <w:marTop w:val="0"/>
                  <w:marBottom w:val="0"/>
                  <w:divBdr>
                    <w:top w:val="none" w:sz="0" w:space="0" w:color="auto"/>
                    <w:left w:val="none" w:sz="0" w:space="0" w:color="auto"/>
                    <w:bottom w:val="none" w:sz="0" w:space="0" w:color="auto"/>
                    <w:right w:val="none" w:sz="0" w:space="0" w:color="auto"/>
                  </w:divBdr>
                  <w:divsChild>
                    <w:div w:id="9978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252109">
          <w:marLeft w:val="0"/>
          <w:marRight w:val="0"/>
          <w:marTop w:val="0"/>
          <w:marBottom w:val="0"/>
          <w:divBdr>
            <w:top w:val="none" w:sz="0" w:space="0" w:color="auto"/>
            <w:left w:val="none" w:sz="0" w:space="0" w:color="auto"/>
            <w:bottom w:val="none" w:sz="0" w:space="0" w:color="auto"/>
            <w:right w:val="none" w:sz="0" w:space="0" w:color="auto"/>
          </w:divBdr>
          <w:divsChild>
            <w:div w:id="1227455575">
              <w:marLeft w:val="-75"/>
              <w:marRight w:val="0"/>
              <w:marTop w:val="30"/>
              <w:marBottom w:val="30"/>
              <w:divBdr>
                <w:top w:val="none" w:sz="0" w:space="0" w:color="auto"/>
                <w:left w:val="none" w:sz="0" w:space="0" w:color="auto"/>
                <w:bottom w:val="none" w:sz="0" w:space="0" w:color="auto"/>
                <w:right w:val="none" w:sz="0" w:space="0" w:color="auto"/>
              </w:divBdr>
              <w:divsChild>
                <w:div w:id="876090618">
                  <w:marLeft w:val="0"/>
                  <w:marRight w:val="0"/>
                  <w:marTop w:val="0"/>
                  <w:marBottom w:val="0"/>
                  <w:divBdr>
                    <w:top w:val="none" w:sz="0" w:space="0" w:color="auto"/>
                    <w:left w:val="none" w:sz="0" w:space="0" w:color="auto"/>
                    <w:bottom w:val="none" w:sz="0" w:space="0" w:color="auto"/>
                    <w:right w:val="none" w:sz="0" w:space="0" w:color="auto"/>
                  </w:divBdr>
                </w:div>
                <w:div w:id="1382946612">
                  <w:marLeft w:val="0"/>
                  <w:marRight w:val="0"/>
                  <w:marTop w:val="0"/>
                  <w:marBottom w:val="0"/>
                  <w:divBdr>
                    <w:top w:val="none" w:sz="0" w:space="0" w:color="auto"/>
                    <w:left w:val="none" w:sz="0" w:space="0" w:color="auto"/>
                    <w:bottom w:val="none" w:sz="0" w:space="0" w:color="auto"/>
                    <w:right w:val="none" w:sz="0" w:space="0" w:color="auto"/>
                  </w:divBdr>
                  <w:divsChild>
                    <w:div w:id="94372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82370">
          <w:marLeft w:val="0"/>
          <w:marRight w:val="0"/>
          <w:marTop w:val="0"/>
          <w:marBottom w:val="0"/>
          <w:divBdr>
            <w:top w:val="none" w:sz="0" w:space="0" w:color="auto"/>
            <w:left w:val="none" w:sz="0" w:space="0" w:color="auto"/>
            <w:bottom w:val="none" w:sz="0" w:space="0" w:color="auto"/>
            <w:right w:val="none" w:sz="0" w:space="0" w:color="auto"/>
          </w:divBdr>
          <w:divsChild>
            <w:div w:id="1860048596">
              <w:marLeft w:val="-75"/>
              <w:marRight w:val="0"/>
              <w:marTop w:val="30"/>
              <w:marBottom w:val="30"/>
              <w:divBdr>
                <w:top w:val="none" w:sz="0" w:space="0" w:color="auto"/>
                <w:left w:val="none" w:sz="0" w:space="0" w:color="auto"/>
                <w:bottom w:val="none" w:sz="0" w:space="0" w:color="auto"/>
                <w:right w:val="none" w:sz="0" w:space="0" w:color="auto"/>
              </w:divBdr>
              <w:divsChild>
                <w:div w:id="952590954">
                  <w:marLeft w:val="0"/>
                  <w:marRight w:val="0"/>
                  <w:marTop w:val="0"/>
                  <w:marBottom w:val="0"/>
                  <w:divBdr>
                    <w:top w:val="none" w:sz="0" w:space="0" w:color="auto"/>
                    <w:left w:val="none" w:sz="0" w:space="0" w:color="auto"/>
                    <w:bottom w:val="none" w:sz="0" w:space="0" w:color="auto"/>
                    <w:right w:val="none" w:sz="0" w:space="0" w:color="auto"/>
                  </w:divBdr>
                </w:div>
                <w:div w:id="2063558662">
                  <w:marLeft w:val="0"/>
                  <w:marRight w:val="0"/>
                  <w:marTop w:val="0"/>
                  <w:marBottom w:val="0"/>
                  <w:divBdr>
                    <w:top w:val="none" w:sz="0" w:space="0" w:color="auto"/>
                    <w:left w:val="none" w:sz="0" w:space="0" w:color="auto"/>
                    <w:bottom w:val="none" w:sz="0" w:space="0" w:color="auto"/>
                    <w:right w:val="none" w:sz="0" w:space="0" w:color="auto"/>
                  </w:divBdr>
                  <w:divsChild>
                    <w:div w:id="1580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32989">
          <w:marLeft w:val="0"/>
          <w:marRight w:val="0"/>
          <w:marTop w:val="0"/>
          <w:marBottom w:val="0"/>
          <w:divBdr>
            <w:top w:val="none" w:sz="0" w:space="0" w:color="auto"/>
            <w:left w:val="none" w:sz="0" w:space="0" w:color="auto"/>
            <w:bottom w:val="none" w:sz="0" w:space="0" w:color="auto"/>
            <w:right w:val="none" w:sz="0" w:space="0" w:color="auto"/>
          </w:divBdr>
        </w:div>
        <w:div w:id="1715740346">
          <w:marLeft w:val="0"/>
          <w:marRight w:val="0"/>
          <w:marTop w:val="0"/>
          <w:marBottom w:val="0"/>
          <w:divBdr>
            <w:top w:val="none" w:sz="0" w:space="0" w:color="auto"/>
            <w:left w:val="none" w:sz="0" w:space="0" w:color="auto"/>
            <w:bottom w:val="none" w:sz="0" w:space="0" w:color="auto"/>
            <w:right w:val="none" w:sz="0" w:space="0" w:color="auto"/>
          </w:divBdr>
        </w:div>
        <w:div w:id="1817335173">
          <w:marLeft w:val="0"/>
          <w:marRight w:val="0"/>
          <w:marTop w:val="0"/>
          <w:marBottom w:val="0"/>
          <w:divBdr>
            <w:top w:val="none" w:sz="0" w:space="0" w:color="auto"/>
            <w:left w:val="none" w:sz="0" w:space="0" w:color="auto"/>
            <w:bottom w:val="none" w:sz="0" w:space="0" w:color="auto"/>
            <w:right w:val="none" w:sz="0" w:space="0" w:color="auto"/>
          </w:divBdr>
          <w:divsChild>
            <w:div w:id="54553802">
              <w:marLeft w:val="0"/>
              <w:marRight w:val="0"/>
              <w:marTop w:val="0"/>
              <w:marBottom w:val="0"/>
              <w:divBdr>
                <w:top w:val="none" w:sz="0" w:space="0" w:color="auto"/>
                <w:left w:val="none" w:sz="0" w:space="0" w:color="auto"/>
                <w:bottom w:val="none" w:sz="0" w:space="0" w:color="auto"/>
                <w:right w:val="none" w:sz="0" w:space="0" w:color="auto"/>
              </w:divBdr>
            </w:div>
            <w:div w:id="421924010">
              <w:marLeft w:val="0"/>
              <w:marRight w:val="0"/>
              <w:marTop w:val="0"/>
              <w:marBottom w:val="0"/>
              <w:divBdr>
                <w:top w:val="none" w:sz="0" w:space="0" w:color="auto"/>
                <w:left w:val="none" w:sz="0" w:space="0" w:color="auto"/>
                <w:bottom w:val="none" w:sz="0" w:space="0" w:color="auto"/>
                <w:right w:val="none" w:sz="0" w:space="0" w:color="auto"/>
              </w:divBdr>
            </w:div>
            <w:div w:id="598828672">
              <w:marLeft w:val="0"/>
              <w:marRight w:val="0"/>
              <w:marTop w:val="0"/>
              <w:marBottom w:val="0"/>
              <w:divBdr>
                <w:top w:val="none" w:sz="0" w:space="0" w:color="auto"/>
                <w:left w:val="none" w:sz="0" w:space="0" w:color="auto"/>
                <w:bottom w:val="none" w:sz="0" w:space="0" w:color="auto"/>
                <w:right w:val="none" w:sz="0" w:space="0" w:color="auto"/>
              </w:divBdr>
            </w:div>
          </w:divsChild>
        </w:div>
        <w:div w:id="1820339737">
          <w:marLeft w:val="0"/>
          <w:marRight w:val="0"/>
          <w:marTop w:val="0"/>
          <w:marBottom w:val="0"/>
          <w:divBdr>
            <w:top w:val="none" w:sz="0" w:space="0" w:color="auto"/>
            <w:left w:val="none" w:sz="0" w:space="0" w:color="auto"/>
            <w:bottom w:val="none" w:sz="0" w:space="0" w:color="auto"/>
            <w:right w:val="none" w:sz="0" w:space="0" w:color="auto"/>
          </w:divBdr>
        </w:div>
        <w:div w:id="1875726671">
          <w:marLeft w:val="0"/>
          <w:marRight w:val="0"/>
          <w:marTop w:val="0"/>
          <w:marBottom w:val="0"/>
          <w:divBdr>
            <w:top w:val="none" w:sz="0" w:space="0" w:color="auto"/>
            <w:left w:val="none" w:sz="0" w:space="0" w:color="auto"/>
            <w:bottom w:val="none" w:sz="0" w:space="0" w:color="auto"/>
            <w:right w:val="none" w:sz="0" w:space="0" w:color="auto"/>
          </w:divBdr>
          <w:divsChild>
            <w:div w:id="1306087893">
              <w:marLeft w:val="-75"/>
              <w:marRight w:val="0"/>
              <w:marTop w:val="30"/>
              <w:marBottom w:val="30"/>
              <w:divBdr>
                <w:top w:val="none" w:sz="0" w:space="0" w:color="auto"/>
                <w:left w:val="none" w:sz="0" w:space="0" w:color="auto"/>
                <w:bottom w:val="none" w:sz="0" w:space="0" w:color="auto"/>
                <w:right w:val="none" w:sz="0" w:space="0" w:color="auto"/>
              </w:divBdr>
              <w:divsChild>
                <w:div w:id="89784352">
                  <w:marLeft w:val="0"/>
                  <w:marRight w:val="0"/>
                  <w:marTop w:val="0"/>
                  <w:marBottom w:val="0"/>
                  <w:divBdr>
                    <w:top w:val="none" w:sz="0" w:space="0" w:color="auto"/>
                    <w:left w:val="none" w:sz="0" w:space="0" w:color="auto"/>
                    <w:bottom w:val="none" w:sz="0" w:space="0" w:color="auto"/>
                    <w:right w:val="none" w:sz="0" w:space="0" w:color="auto"/>
                  </w:divBdr>
                  <w:divsChild>
                    <w:div w:id="283580885">
                      <w:marLeft w:val="0"/>
                      <w:marRight w:val="0"/>
                      <w:marTop w:val="0"/>
                      <w:marBottom w:val="0"/>
                      <w:divBdr>
                        <w:top w:val="none" w:sz="0" w:space="0" w:color="auto"/>
                        <w:left w:val="none" w:sz="0" w:space="0" w:color="auto"/>
                        <w:bottom w:val="none" w:sz="0" w:space="0" w:color="auto"/>
                        <w:right w:val="none" w:sz="0" w:space="0" w:color="auto"/>
                      </w:divBdr>
                    </w:div>
                    <w:div w:id="1750158335">
                      <w:marLeft w:val="0"/>
                      <w:marRight w:val="0"/>
                      <w:marTop w:val="0"/>
                      <w:marBottom w:val="0"/>
                      <w:divBdr>
                        <w:top w:val="none" w:sz="0" w:space="0" w:color="auto"/>
                        <w:left w:val="none" w:sz="0" w:space="0" w:color="auto"/>
                        <w:bottom w:val="none" w:sz="0" w:space="0" w:color="auto"/>
                        <w:right w:val="none" w:sz="0" w:space="0" w:color="auto"/>
                      </w:divBdr>
                    </w:div>
                  </w:divsChild>
                </w:div>
                <w:div w:id="238255663">
                  <w:marLeft w:val="0"/>
                  <w:marRight w:val="0"/>
                  <w:marTop w:val="0"/>
                  <w:marBottom w:val="0"/>
                  <w:divBdr>
                    <w:top w:val="none" w:sz="0" w:space="0" w:color="auto"/>
                    <w:left w:val="none" w:sz="0" w:space="0" w:color="auto"/>
                    <w:bottom w:val="none" w:sz="0" w:space="0" w:color="auto"/>
                    <w:right w:val="none" w:sz="0" w:space="0" w:color="auto"/>
                  </w:divBdr>
                  <w:divsChild>
                    <w:div w:id="1798062021">
                      <w:marLeft w:val="0"/>
                      <w:marRight w:val="0"/>
                      <w:marTop w:val="0"/>
                      <w:marBottom w:val="0"/>
                      <w:divBdr>
                        <w:top w:val="none" w:sz="0" w:space="0" w:color="auto"/>
                        <w:left w:val="none" w:sz="0" w:space="0" w:color="auto"/>
                        <w:bottom w:val="none" w:sz="0" w:space="0" w:color="auto"/>
                        <w:right w:val="none" w:sz="0" w:space="0" w:color="auto"/>
                      </w:divBdr>
                    </w:div>
                  </w:divsChild>
                </w:div>
                <w:div w:id="286811991">
                  <w:marLeft w:val="0"/>
                  <w:marRight w:val="0"/>
                  <w:marTop w:val="0"/>
                  <w:marBottom w:val="0"/>
                  <w:divBdr>
                    <w:top w:val="none" w:sz="0" w:space="0" w:color="auto"/>
                    <w:left w:val="none" w:sz="0" w:space="0" w:color="auto"/>
                    <w:bottom w:val="none" w:sz="0" w:space="0" w:color="auto"/>
                    <w:right w:val="none" w:sz="0" w:space="0" w:color="auto"/>
                  </w:divBdr>
                  <w:divsChild>
                    <w:div w:id="1855609572">
                      <w:marLeft w:val="0"/>
                      <w:marRight w:val="0"/>
                      <w:marTop w:val="0"/>
                      <w:marBottom w:val="0"/>
                      <w:divBdr>
                        <w:top w:val="none" w:sz="0" w:space="0" w:color="auto"/>
                        <w:left w:val="none" w:sz="0" w:space="0" w:color="auto"/>
                        <w:bottom w:val="none" w:sz="0" w:space="0" w:color="auto"/>
                        <w:right w:val="none" w:sz="0" w:space="0" w:color="auto"/>
                      </w:divBdr>
                    </w:div>
                  </w:divsChild>
                </w:div>
                <w:div w:id="300966835">
                  <w:marLeft w:val="0"/>
                  <w:marRight w:val="0"/>
                  <w:marTop w:val="0"/>
                  <w:marBottom w:val="0"/>
                  <w:divBdr>
                    <w:top w:val="none" w:sz="0" w:space="0" w:color="auto"/>
                    <w:left w:val="none" w:sz="0" w:space="0" w:color="auto"/>
                    <w:bottom w:val="none" w:sz="0" w:space="0" w:color="auto"/>
                    <w:right w:val="none" w:sz="0" w:space="0" w:color="auto"/>
                  </w:divBdr>
                </w:div>
                <w:div w:id="741372312">
                  <w:marLeft w:val="0"/>
                  <w:marRight w:val="0"/>
                  <w:marTop w:val="0"/>
                  <w:marBottom w:val="0"/>
                  <w:divBdr>
                    <w:top w:val="none" w:sz="0" w:space="0" w:color="auto"/>
                    <w:left w:val="none" w:sz="0" w:space="0" w:color="auto"/>
                    <w:bottom w:val="none" w:sz="0" w:space="0" w:color="auto"/>
                    <w:right w:val="none" w:sz="0" w:space="0" w:color="auto"/>
                  </w:divBdr>
                  <w:divsChild>
                    <w:div w:id="1575123370">
                      <w:marLeft w:val="0"/>
                      <w:marRight w:val="0"/>
                      <w:marTop w:val="0"/>
                      <w:marBottom w:val="0"/>
                      <w:divBdr>
                        <w:top w:val="none" w:sz="0" w:space="0" w:color="auto"/>
                        <w:left w:val="none" w:sz="0" w:space="0" w:color="auto"/>
                        <w:bottom w:val="none" w:sz="0" w:space="0" w:color="auto"/>
                        <w:right w:val="none" w:sz="0" w:space="0" w:color="auto"/>
                      </w:divBdr>
                    </w:div>
                  </w:divsChild>
                </w:div>
                <w:div w:id="1201014724">
                  <w:marLeft w:val="0"/>
                  <w:marRight w:val="0"/>
                  <w:marTop w:val="0"/>
                  <w:marBottom w:val="0"/>
                  <w:divBdr>
                    <w:top w:val="none" w:sz="0" w:space="0" w:color="auto"/>
                    <w:left w:val="none" w:sz="0" w:space="0" w:color="auto"/>
                    <w:bottom w:val="none" w:sz="0" w:space="0" w:color="auto"/>
                    <w:right w:val="none" w:sz="0" w:space="0" w:color="auto"/>
                  </w:divBdr>
                  <w:divsChild>
                    <w:div w:id="1340808736">
                      <w:marLeft w:val="0"/>
                      <w:marRight w:val="0"/>
                      <w:marTop w:val="0"/>
                      <w:marBottom w:val="0"/>
                      <w:divBdr>
                        <w:top w:val="none" w:sz="0" w:space="0" w:color="auto"/>
                        <w:left w:val="none" w:sz="0" w:space="0" w:color="auto"/>
                        <w:bottom w:val="none" w:sz="0" w:space="0" w:color="auto"/>
                        <w:right w:val="none" w:sz="0" w:space="0" w:color="auto"/>
                      </w:divBdr>
                    </w:div>
                  </w:divsChild>
                </w:div>
                <w:div w:id="1566380733">
                  <w:marLeft w:val="0"/>
                  <w:marRight w:val="0"/>
                  <w:marTop w:val="0"/>
                  <w:marBottom w:val="0"/>
                  <w:divBdr>
                    <w:top w:val="none" w:sz="0" w:space="0" w:color="auto"/>
                    <w:left w:val="none" w:sz="0" w:space="0" w:color="auto"/>
                    <w:bottom w:val="none" w:sz="0" w:space="0" w:color="auto"/>
                    <w:right w:val="none" w:sz="0" w:space="0" w:color="auto"/>
                  </w:divBdr>
                  <w:divsChild>
                    <w:div w:id="1166939650">
                      <w:marLeft w:val="0"/>
                      <w:marRight w:val="0"/>
                      <w:marTop w:val="0"/>
                      <w:marBottom w:val="0"/>
                      <w:divBdr>
                        <w:top w:val="none" w:sz="0" w:space="0" w:color="auto"/>
                        <w:left w:val="none" w:sz="0" w:space="0" w:color="auto"/>
                        <w:bottom w:val="none" w:sz="0" w:space="0" w:color="auto"/>
                        <w:right w:val="none" w:sz="0" w:space="0" w:color="auto"/>
                      </w:divBdr>
                    </w:div>
                  </w:divsChild>
                </w:div>
                <w:div w:id="1633825498">
                  <w:marLeft w:val="0"/>
                  <w:marRight w:val="0"/>
                  <w:marTop w:val="0"/>
                  <w:marBottom w:val="0"/>
                  <w:divBdr>
                    <w:top w:val="none" w:sz="0" w:space="0" w:color="auto"/>
                    <w:left w:val="none" w:sz="0" w:space="0" w:color="auto"/>
                    <w:bottom w:val="none" w:sz="0" w:space="0" w:color="auto"/>
                    <w:right w:val="none" w:sz="0" w:space="0" w:color="auto"/>
                  </w:divBdr>
                  <w:divsChild>
                    <w:div w:id="1339769162">
                      <w:marLeft w:val="0"/>
                      <w:marRight w:val="0"/>
                      <w:marTop w:val="0"/>
                      <w:marBottom w:val="0"/>
                      <w:divBdr>
                        <w:top w:val="none" w:sz="0" w:space="0" w:color="auto"/>
                        <w:left w:val="none" w:sz="0" w:space="0" w:color="auto"/>
                        <w:bottom w:val="none" w:sz="0" w:space="0" w:color="auto"/>
                        <w:right w:val="none" w:sz="0" w:space="0" w:color="auto"/>
                      </w:divBdr>
                    </w:div>
                  </w:divsChild>
                </w:div>
                <w:div w:id="1803039753">
                  <w:marLeft w:val="0"/>
                  <w:marRight w:val="0"/>
                  <w:marTop w:val="0"/>
                  <w:marBottom w:val="0"/>
                  <w:divBdr>
                    <w:top w:val="none" w:sz="0" w:space="0" w:color="auto"/>
                    <w:left w:val="none" w:sz="0" w:space="0" w:color="auto"/>
                    <w:bottom w:val="none" w:sz="0" w:space="0" w:color="auto"/>
                    <w:right w:val="none" w:sz="0" w:space="0" w:color="auto"/>
                  </w:divBdr>
                  <w:divsChild>
                    <w:div w:id="597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988572">
          <w:marLeft w:val="0"/>
          <w:marRight w:val="0"/>
          <w:marTop w:val="0"/>
          <w:marBottom w:val="0"/>
          <w:divBdr>
            <w:top w:val="none" w:sz="0" w:space="0" w:color="auto"/>
            <w:left w:val="none" w:sz="0" w:space="0" w:color="auto"/>
            <w:bottom w:val="none" w:sz="0" w:space="0" w:color="auto"/>
            <w:right w:val="none" w:sz="0" w:space="0" w:color="auto"/>
          </w:divBdr>
          <w:divsChild>
            <w:div w:id="3912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0987">
      <w:marLeft w:val="480"/>
      <w:marRight w:val="0"/>
      <w:marTop w:val="0"/>
      <w:marBottom w:val="0"/>
      <w:divBdr>
        <w:top w:val="none" w:sz="0" w:space="0" w:color="auto"/>
        <w:left w:val="none" w:sz="0" w:space="0" w:color="auto"/>
        <w:bottom w:val="none" w:sz="0" w:space="0" w:color="auto"/>
        <w:right w:val="none" w:sz="0" w:space="0" w:color="auto"/>
      </w:divBdr>
    </w:div>
    <w:div w:id="167791938">
      <w:bodyDiv w:val="1"/>
      <w:marLeft w:val="0"/>
      <w:marRight w:val="0"/>
      <w:marTop w:val="0"/>
      <w:marBottom w:val="0"/>
      <w:divBdr>
        <w:top w:val="none" w:sz="0" w:space="0" w:color="auto"/>
        <w:left w:val="none" w:sz="0" w:space="0" w:color="auto"/>
        <w:bottom w:val="none" w:sz="0" w:space="0" w:color="auto"/>
        <w:right w:val="none" w:sz="0" w:space="0" w:color="auto"/>
      </w:divBdr>
    </w:div>
    <w:div w:id="168184793">
      <w:marLeft w:val="480"/>
      <w:marRight w:val="0"/>
      <w:marTop w:val="0"/>
      <w:marBottom w:val="0"/>
      <w:divBdr>
        <w:top w:val="none" w:sz="0" w:space="0" w:color="auto"/>
        <w:left w:val="none" w:sz="0" w:space="0" w:color="auto"/>
        <w:bottom w:val="none" w:sz="0" w:space="0" w:color="auto"/>
        <w:right w:val="none" w:sz="0" w:space="0" w:color="auto"/>
      </w:divBdr>
    </w:div>
    <w:div w:id="168523080">
      <w:marLeft w:val="480"/>
      <w:marRight w:val="0"/>
      <w:marTop w:val="0"/>
      <w:marBottom w:val="0"/>
      <w:divBdr>
        <w:top w:val="none" w:sz="0" w:space="0" w:color="auto"/>
        <w:left w:val="none" w:sz="0" w:space="0" w:color="auto"/>
        <w:bottom w:val="none" w:sz="0" w:space="0" w:color="auto"/>
        <w:right w:val="none" w:sz="0" w:space="0" w:color="auto"/>
      </w:divBdr>
    </w:div>
    <w:div w:id="170534799">
      <w:marLeft w:val="480"/>
      <w:marRight w:val="0"/>
      <w:marTop w:val="0"/>
      <w:marBottom w:val="0"/>
      <w:divBdr>
        <w:top w:val="none" w:sz="0" w:space="0" w:color="auto"/>
        <w:left w:val="none" w:sz="0" w:space="0" w:color="auto"/>
        <w:bottom w:val="none" w:sz="0" w:space="0" w:color="auto"/>
        <w:right w:val="none" w:sz="0" w:space="0" w:color="auto"/>
      </w:divBdr>
    </w:div>
    <w:div w:id="175965012">
      <w:bodyDiv w:val="1"/>
      <w:marLeft w:val="0"/>
      <w:marRight w:val="0"/>
      <w:marTop w:val="0"/>
      <w:marBottom w:val="0"/>
      <w:divBdr>
        <w:top w:val="none" w:sz="0" w:space="0" w:color="auto"/>
        <w:left w:val="none" w:sz="0" w:space="0" w:color="auto"/>
        <w:bottom w:val="none" w:sz="0" w:space="0" w:color="auto"/>
        <w:right w:val="none" w:sz="0" w:space="0" w:color="auto"/>
      </w:divBdr>
      <w:divsChild>
        <w:div w:id="416052369">
          <w:marLeft w:val="0"/>
          <w:marRight w:val="0"/>
          <w:marTop w:val="0"/>
          <w:marBottom w:val="0"/>
          <w:divBdr>
            <w:top w:val="none" w:sz="0" w:space="0" w:color="auto"/>
            <w:left w:val="none" w:sz="0" w:space="0" w:color="auto"/>
            <w:bottom w:val="none" w:sz="0" w:space="0" w:color="auto"/>
            <w:right w:val="none" w:sz="0" w:space="0" w:color="auto"/>
          </w:divBdr>
          <w:divsChild>
            <w:div w:id="714428389">
              <w:marLeft w:val="0"/>
              <w:marRight w:val="0"/>
              <w:marTop w:val="0"/>
              <w:marBottom w:val="0"/>
              <w:divBdr>
                <w:top w:val="none" w:sz="0" w:space="0" w:color="auto"/>
                <w:left w:val="none" w:sz="0" w:space="0" w:color="auto"/>
                <w:bottom w:val="none" w:sz="0" w:space="0" w:color="auto"/>
                <w:right w:val="none" w:sz="0" w:space="0" w:color="auto"/>
              </w:divBdr>
              <w:divsChild>
                <w:div w:id="120582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1346">
      <w:marLeft w:val="480"/>
      <w:marRight w:val="0"/>
      <w:marTop w:val="0"/>
      <w:marBottom w:val="0"/>
      <w:divBdr>
        <w:top w:val="none" w:sz="0" w:space="0" w:color="auto"/>
        <w:left w:val="none" w:sz="0" w:space="0" w:color="auto"/>
        <w:bottom w:val="none" w:sz="0" w:space="0" w:color="auto"/>
        <w:right w:val="none" w:sz="0" w:space="0" w:color="auto"/>
      </w:divBdr>
    </w:div>
    <w:div w:id="179205831">
      <w:marLeft w:val="480"/>
      <w:marRight w:val="0"/>
      <w:marTop w:val="0"/>
      <w:marBottom w:val="0"/>
      <w:divBdr>
        <w:top w:val="none" w:sz="0" w:space="0" w:color="auto"/>
        <w:left w:val="none" w:sz="0" w:space="0" w:color="auto"/>
        <w:bottom w:val="none" w:sz="0" w:space="0" w:color="auto"/>
        <w:right w:val="none" w:sz="0" w:space="0" w:color="auto"/>
      </w:divBdr>
    </w:div>
    <w:div w:id="189034526">
      <w:marLeft w:val="480"/>
      <w:marRight w:val="0"/>
      <w:marTop w:val="0"/>
      <w:marBottom w:val="0"/>
      <w:divBdr>
        <w:top w:val="none" w:sz="0" w:space="0" w:color="auto"/>
        <w:left w:val="none" w:sz="0" w:space="0" w:color="auto"/>
        <w:bottom w:val="none" w:sz="0" w:space="0" w:color="auto"/>
        <w:right w:val="none" w:sz="0" w:space="0" w:color="auto"/>
      </w:divBdr>
    </w:div>
    <w:div w:id="190806730">
      <w:marLeft w:val="480"/>
      <w:marRight w:val="0"/>
      <w:marTop w:val="0"/>
      <w:marBottom w:val="0"/>
      <w:divBdr>
        <w:top w:val="none" w:sz="0" w:space="0" w:color="auto"/>
        <w:left w:val="none" w:sz="0" w:space="0" w:color="auto"/>
        <w:bottom w:val="none" w:sz="0" w:space="0" w:color="auto"/>
        <w:right w:val="none" w:sz="0" w:space="0" w:color="auto"/>
      </w:divBdr>
    </w:div>
    <w:div w:id="191262259">
      <w:marLeft w:val="480"/>
      <w:marRight w:val="0"/>
      <w:marTop w:val="0"/>
      <w:marBottom w:val="0"/>
      <w:divBdr>
        <w:top w:val="none" w:sz="0" w:space="0" w:color="auto"/>
        <w:left w:val="none" w:sz="0" w:space="0" w:color="auto"/>
        <w:bottom w:val="none" w:sz="0" w:space="0" w:color="auto"/>
        <w:right w:val="none" w:sz="0" w:space="0" w:color="auto"/>
      </w:divBdr>
    </w:div>
    <w:div w:id="191502103">
      <w:marLeft w:val="480"/>
      <w:marRight w:val="0"/>
      <w:marTop w:val="0"/>
      <w:marBottom w:val="0"/>
      <w:divBdr>
        <w:top w:val="none" w:sz="0" w:space="0" w:color="auto"/>
        <w:left w:val="none" w:sz="0" w:space="0" w:color="auto"/>
        <w:bottom w:val="none" w:sz="0" w:space="0" w:color="auto"/>
        <w:right w:val="none" w:sz="0" w:space="0" w:color="auto"/>
      </w:divBdr>
    </w:div>
    <w:div w:id="192235314">
      <w:marLeft w:val="480"/>
      <w:marRight w:val="0"/>
      <w:marTop w:val="0"/>
      <w:marBottom w:val="0"/>
      <w:divBdr>
        <w:top w:val="none" w:sz="0" w:space="0" w:color="auto"/>
        <w:left w:val="none" w:sz="0" w:space="0" w:color="auto"/>
        <w:bottom w:val="none" w:sz="0" w:space="0" w:color="auto"/>
        <w:right w:val="none" w:sz="0" w:space="0" w:color="auto"/>
      </w:divBdr>
    </w:div>
    <w:div w:id="192380451">
      <w:marLeft w:val="480"/>
      <w:marRight w:val="0"/>
      <w:marTop w:val="0"/>
      <w:marBottom w:val="0"/>
      <w:divBdr>
        <w:top w:val="none" w:sz="0" w:space="0" w:color="auto"/>
        <w:left w:val="none" w:sz="0" w:space="0" w:color="auto"/>
        <w:bottom w:val="none" w:sz="0" w:space="0" w:color="auto"/>
        <w:right w:val="none" w:sz="0" w:space="0" w:color="auto"/>
      </w:divBdr>
    </w:div>
    <w:div w:id="193227848">
      <w:bodyDiv w:val="1"/>
      <w:marLeft w:val="0"/>
      <w:marRight w:val="0"/>
      <w:marTop w:val="0"/>
      <w:marBottom w:val="0"/>
      <w:divBdr>
        <w:top w:val="none" w:sz="0" w:space="0" w:color="auto"/>
        <w:left w:val="none" w:sz="0" w:space="0" w:color="auto"/>
        <w:bottom w:val="none" w:sz="0" w:space="0" w:color="auto"/>
        <w:right w:val="none" w:sz="0" w:space="0" w:color="auto"/>
      </w:divBdr>
    </w:div>
    <w:div w:id="193928675">
      <w:marLeft w:val="480"/>
      <w:marRight w:val="0"/>
      <w:marTop w:val="0"/>
      <w:marBottom w:val="0"/>
      <w:divBdr>
        <w:top w:val="none" w:sz="0" w:space="0" w:color="auto"/>
        <w:left w:val="none" w:sz="0" w:space="0" w:color="auto"/>
        <w:bottom w:val="none" w:sz="0" w:space="0" w:color="auto"/>
        <w:right w:val="none" w:sz="0" w:space="0" w:color="auto"/>
      </w:divBdr>
    </w:div>
    <w:div w:id="195821809">
      <w:marLeft w:val="480"/>
      <w:marRight w:val="0"/>
      <w:marTop w:val="0"/>
      <w:marBottom w:val="0"/>
      <w:divBdr>
        <w:top w:val="none" w:sz="0" w:space="0" w:color="auto"/>
        <w:left w:val="none" w:sz="0" w:space="0" w:color="auto"/>
        <w:bottom w:val="none" w:sz="0" w:space="0" w:color="auto"/>
        <w:right w:val="none" w:sz="0" w:space="0" w:color="auto"/>
      </w:divBdr>
    </w:div>
    <w:div w:id="201019256">
      <w:marLeft w:val="480"/>
      <w:marRight w:val="0"/>
      <w:marTop w:val="0"/>
      <w:marBottom w:val="0"/>
      <w:divBdr>
        <w:top w:val="none" w:sz="0" w:space="0" w:color="auto"/>
        <w:left w:val="none" w:sz="0" w:space="0" w:color="auto"/>
        <w:bottom w:val="none" w:sz="0" w:space="0" w:color="auto"/>
        <w:right w:val="none" w:sz="0" w:space="0" w:color="auto"/>
      </w:divBdr>
    </w:div>
    <w:div w:id="201133589">
      <w:marLeft w:val="480"/>
      <w:marRight w:val="0"/>
      <w:marTop w:val="0"/>
      <w:marBottom w:val="0"/>
      <w:divBdr>
        <w:top w:val="none" w:sz="0" w:space="0" w:color="auto"/>
        <w:left w:val="none" w:sz="0" w:space="0" w:color="auto"/>
        <w:bottom w:val="none" w:sz="0" w:space="0" w:color="auto"/>
        <w:right w:val="none" w:sz="0" w:space="0" w:color="auto"/>
      </w:divBdr>
    </w:div>
    <w:div w:id="201332234">
      <w:marLeft w:val="480"/>
      <w:marRight w:val="0"/>
      <w:marTop w:val="0"/>
      <w:marBottom w:val="0"/>
      <w:divBdr>
        <w:top w:val="none" w:sz="0" w:space="0" w:color="auto"/>
        <w:left w:val="none" w:sz="0" w:space="0" w:color="auto"/>
        <w:bottom w:val="none" w:sz="0" w:space="0" w:color="auto"/>
        <w:right w:val="none" w:sz="0" w:space="0" w:color="auto"/>
      </w:divBdr>
    </w:div>
    <w:div w:id="201401994">
      <w:bodyDiv w:val="1"/>
      <w:marLeft w:val="0"/>
      <w:marRight w:val="0"/>
      <w:marTop w:val="0"/>
      <w:marBottom w:val="0"/>
      <w:divBdr>
        <w:top w:val="none" w:sz="0" w:space="0" w:color="auto"/>
        <w:left w:val="none" w:sz="0" w:space="0" w:color="auto"/>
        <w:bottom w:val="none" w:sz="0" w:space="0" w:color="auto"/>
        <w:right w:val="none" w:sz="0" w:space="0" w:color="auto"/>
      </w:divBdr>
    </w:div>
    <w:div w:id="202908910">
      <w:marLeft w:val="480"/>
      <w:marRight w:val="0"/>
      <w:marTop w:val="0"/>
      <w:marBottom w:val="0"/>
      <w:divBdr>
        <w:top w:val="none" w:sz="0" w:space="0" w:color="auto"/>
        <w:left w:val="none" w:sz="0" w:space="0" w:color="auto"/>
        <w:bottom w:val="none" w:sz="0" w:space="0" w:color="auto"/>
        <w:right w:val="none" w:sz="0" w:space="0" w:color="auto"/>
      </w:divBdr>
    </w:div>
    <w:div w:id="204491974">
      <w:marLeft w:val="480"/>
      <w:marRight w:val="0"/>
      <w:marTop w:val="0"/>
      <w:marBottom w:val="0"/>
      <w:divBdr>
        <w:top w:val="none" w:sz="0" w:space="0" w:color="auto"/>
        <w:left w:val="none" w:sz="0" w:space="0" w:color="auto"/>
        <w:bottom w:val="none" w:sz="0" w:space="0" w:color="auto"/>
        <w:right w:val="none" w:sz="0" w:space="0" w:color="auto"/>
      </w:divBdr>
    </w:div>
    <w:div w:id="205410464">
      <w:marLeft w:val="480"/>
      <w:marRight w:val="0"/>
      <w:marTop w:val="0"/>
      <w:marBottom w:val="0"/>
      <w:divBdr>
        <w:top w:val="none" w:sz="0" w:space="0" w:color="auto"/>
        <w:left w:val="none" w:sz="0" w:space="0" w:color="auto"/>
        <w:bottom w:val="none" w:sz="0" w:space="0" w:color="auto"/>
        <w:right w:val="none" w:sz="0" w:space="0" w:color="auto"/>
      </w:divBdr>
    </w:div>
    <w:div w:id="206845340">
      <w:marLeft w:val="480"/>
      <w:marRight w:val="0"/>
      <w:marTop w:val="0"/>
      <w:marBottom w:val="0"/>
      <w:divBdr>
        <w:top w:val="none" w:sz="0" w:space="0" w:color="auto"/>
        <w:left w:val="none" w:sz="0" w:space="0" w:color="auto"/>
        <w:bottom w:val="none" w:sz="0" w:space="0" w:color="auto"/>
        <w:right w:val="none" w:sz="0" w:space="0" w:color="auto"/>
      </w:divBdr>
    </w:div>
    <w:div w:id="206845697">
      <w:marLeft w:val="480"/>
      <w:marRight w:val="0"/>
      <w:marTop w:val="0"/>
      <w:marBottom w:val="0"/>
      <w:divBdr>
        <w:top w:val="none" w:sz="0" w:space="0" w:color="auto"/>
        <w:left w:val="none" w:sz="0" w:space="0" w:color="auto"/>
        <w:bottom w:val="none" w:sz="0" w:space="0" w:color="auto"/>
        <w:right w:val="none" w:sz="0" w:space="0" w:color="auto"/>
      </w:divBdr>
    </w:div>
    <w:div w:id="209465780">
      <w:marLeft w:val="480"/>
      <w:marRight w:val="0"/>
      <w:marTop w:val="0"/>
      <w:marBottom w:val="0"/>
      <w:divBdr>
        <w:top w:val="none" w:sz="0" w:space="0" w:color="auto"/>
        <w:left w:val="none" w:sz="0" w:space="0" w:color="auto"/>
        <w:bottom w:val="none" w:sz="0" w:space="0" w:color="auto"/>
        <w:right w:val="none" w:sz="0" w:space="0" w:color="auto"/>
      </w:divBdr>
    </w:div>
    <w:div w:id="210193753">
      <w:marLeft w:val="480"/>
      <w:marRight w:val="0"/>
      <w:marTop w:val="0"/>
      <w:marBottom w:val="0"/>
      <w:divBdr>
        <w:top w:val="none" w:sz="0" w:space="0" w:color="auto"/>
        <w:left w:val="none" w:sz="0" w:space="0" w:color="auto"/>
        <w:bottom w:val="none" w:sz="0" w:space="0" w:color="auto"/>
        <w:right w:val="none" w:sz="0" w:space="0" w:color="auto"/>
      </w:divBdr>
    </w:div>
    <w:div w:id="213854456">
      <w:marLeft w:val="480"/>
      <w:marRight w:val="0"/>
      <w:marTop w:val="0"/>
      <w:marBottom w:val="0"/>
      <w:divBdr>
        <w:top w:val="none" w:sz="0" w:space="0" w:color="auto"/>
        <w:left w:val="none" w:sz="0" w:space="0" w:color="auto"/>
        <w:bottom w:val="none" w:sz="0" w:space="0" w:color="auto"/>
        <w:right w:val="none" w:sz="0" w:space="0" w:color="auto"/>
      </w:divBdr>
    </w:div>
    <w:div w:id="215244979">
      <w:marLeft w:val="480"/>
      <w:marRight w:val="0"/>
      <w:marTop w:val="0"/>
      <w:marBottom w:val="0"/>
      <w:divBdr>
        <w:top w:val="none" w:sz="0" w:space="0" w:color="auto"/>
        <w:left w:val="none" w:sz="0" w:space="0" w:color="auto"/>
        <w:bottom w:val="none" w:sz="0" w:space="0" w:color="auto"/>
        <w:right w:val="none" w:sz="0" w:space="0" w:color="auto"/>
      </w:divBdr>
    </w:div>
    <w:div w:id="216087397">
      <w:marLeft w:val="480"/>
      <w:marRight w:val="0"/>
      <w:marTop w:val="0"/>
      <w:marBottom w:val="0"/>
      <w:divBdr>
        <w:top w:val="none" w:sz="0" w:space="0" w:color="auto"/>
        <w:left w:val="none" w:sz="0" w:space="0" w:color="auto"/>
        <w:bottom w:val="none" w:sz="0" w:space="0" w:color="auto"/>
        <w:right w:val="none" w:sz="0" w:space="0" w:color="auto"/>
      </w:divBdr>
    </w:div>
    <w:div w:id="217515707">
      <w:marLeft w:val="480"/>
      <w:marRight w:val="0"/>
      <w:marTop w:val="0"/>
      <w:marBottom w:val="0"/>
      <w:divBdr>
        <w:top w:val="none" w:sz="0" w:space="0" w:color="auto"/>
        <w:left w:val="none" w:sz="0" w:space="0" w:color="auto"/>
        <w:bottom w:val="none" w:sz="0" w:space="0" w:color="auto"/>
        <w:right w:val="none" w:sz="0" w:space="0" w:color="auto"/>
      </w:divBdr>
    </w:div>
    <w:div w:id="217936216">
      <w:bodyDiv w:val="1"/>
      <w:marLeft w:val="0"/>
      <w:marRight w:val="0"/>
      <w:marTop w:val="0"/>
      <w:marBottom w:val="0"/>
      <w:divBdr>
        <w:top w:val="none" w:sz="0" w:space="0" w:color="auto"/>
        <w:left w:val="none" w:sz="0" w:space="0" w:color="auto"/>
        <w:bottom w:val="none" w:sz="0" w:space="0" w:color="auto"/>
        <w:right w:val="none" w:sz="0" w:space="0" w:color="auto"/>
      </w:divBdr>
      <w:divsChild>
        <w:div w:id="279537713">
          <w:marLeft w:val="480"/>
          <w:marRight w:val="0"/>
          <w:marTop w:val="0"/>
          <w:marBottom w:val="0"/>
          <w:divBdr>
            <w:top w:val="none" w:sz="0" w:space="0" w:color="auto"/>
            <w:left w:val="none" w:sz="0" w:space="0" w:color="auto"/>
            <w:bottom w:val="none" w:sz="0" w:space="0" w:color="auto"/>
            <w:right w:val="none" w:sz="0" w:space="0" w:color="auto"/>
          </w:divBdr>
        </w:div>
        <w:div w:id="1252273680">
          <w:marLeft w:val="480"/>
          <w:marRight w:val="0"/>
          <w:marTop w:val="0"/>
          <w:marBottom w:val="0"/>
          <w:divBdr>
            <w:top w:val="none" w:sz="0" w:space="0" w:color="auto"/>
            <w:left w:val="none" w:sz="0" w:space="0" w:color="auto"/>
            <w:bottom w:val="none" w:sz="0" w:space="0" w:color="auto"/>
            <w:right w:val="none" w:sz="0" w:space="0" w:color="auto"/>
          </w:divBdr>
        </w:div>
        <w:div w:id="1640722327">
          <w:marLeft w:val="480"/>
          <w:marRight w:val="0"/>
          <w:marTop w:val="0"/>
          <w:marBottom w:val="0"/>
          <w:divBdr>
            <w:top w:val="none" w:sz="0" w:space="0" w:color="auto"/>
            <w:left w:val="none" w:sz="0" w:space="0" w:color="auto"/>
            <w:bottom w:val="none" w:sz="0" w:space="0" w:color="auto"/>
            <w:right w:val="none" w:sz="0" w:space="0" w:color="auto"/>
          </w:divBdr>
        </w:div>
        <w:div w:id="1856847220">
          <w:marLeft w:val="480"/>
          <w:marRight w:val="0"/>
          <w:marTop w:val="0"/>
          <w:marBottom w:val="0"/>
          <w:divBdr>
            <w:top w:val="none" w:sz="0" w:space="0" w:color="auto"/>
            <w:left w:val="none" w:sz="0" w:space="0" w:color="auto"/>
            <w:bottom w:val="none" w:sz="0" w:space="0" w:color="auto"/>
            <w:right w:val="none" w:sz="0" w:space="0" w:color="auto"/>
          </w:divBdr>
        </w:div>
      </w:divsChild>
    </w:div>
    <w:div w:id="219050678">
      <w:marLeft w:val="480"/>
      <w:marRight w:val="0"/>
      <w:marTop w:val="0"/>
      <w:marBottom w:val="0"/>
      <w:divBdr>
        <w:top w:val="none" w:sz="0" w:space="0" w:color="auto"/>
        <w:left w:val="none" w:sz="0" w:space="0" w:color="auto"/>
        <w:bottom w:val="none" w:sz="0" w:space="0" w:color="auto"/>
        <w:right w:val="none" w:sz="0" w:space="0" w:color="auto"/>
      </w:divBdr>
    </w:div>
    <w:div w:id="222909534">
      <w:marLeft w:val="480"/>
      <w:marRight w:val="0"/>
      <w:marTop w:val="0"/>
      <w:marBottom w:val="0"/>
      <w:divBdr>
        <w:top w:val="none" w:sz="0" w:space="0" w:color="auto"/>
        <w:left w:val="none" w:sz="0" w:space="0" w:color="auto"/>
        <w:bottom w:val="none" w:sz="0" w:space="0" w:color="auto"/>
        <w:right w:val="none" w:sz="0" w:space="0" w:color="auto"/>
      </w:divBdr>
    </w:div>
    <w:div w:id="223443974">
      <w:marLeft w:val="480"/>
      <w:marRight w:val="0"/>
      <w:marTop w:val="0"/>
      <w:marBottom w:val="0"/>
      <w:divBdr>
        <w:top w:val="none" w:sz="0" w:space="0" w:color="auto"/>
        <w:left w:val="none" w:sz="0" w:space="0" w:color="auto"/>
        <w:bottom w:val="none" w:sz="0" w:space="0" w:color="auto"/>
        <w:right w:val="none" w:sz="0" w:space="0" w:color="auto"/>
      </w:divBdr>
    </w:div>
    <w:div w:id="223489814">
      <w:marLeft w:val="480"/>
      <w:marRight w:val="0"/>
      <w:marTop w:val="0"/>
      <w:marBottom w:val="0"/>
      <w:divBdr>
        <w:top w:val="none" w:sz="0" w:space="0" w:color="auto"/>
        <w:left w:val="none" w:sz="0" w:space="0" w:color="auto"/>
        <w:bottom w:val="none" w:sz="0" w:space="0" w:color="auto"/>
        <w:right w:val="none" w:sz="0" w:space="0" w:color="auto"/>
      </w:divBdr>
    </w:div>
    <w:div w:id="226186788">
      <w:marLeft w:val="480"/>
      <w:marRight w:val="0"/>
      <w:marTop w:val="0"/>
      <w:marBottom w:val="0"/>
      <w:divBdr>
        <w:top w:val="none" w:sz="0" w:space="0" w:color="auto"/>
        <w:left w:val="none" w:sz="0" w:space="0" w:color="auto"/>
        <w:bottom w:val="none" w:sz="0" w:space="0" w:color="auto"/>
        <w:right w:val="none" w:sz="0" w:space="0" w:color="auto"/>
      </w:divBdr>
    </w:div>
    <w:div w:id="227376890">
      <w:marLeft w:val="480"/>
      <w:marRight w:val="0"/>
      <w:marTop w:val="0"/>
      <w:marBottom w:val="0"/>
      <w:divBdr>
        <w:top w:val="none" w:sz="0" w:space="0" w:color="auto"/>
        <w:left w:val="none" w:sz="0" w:space="0" w:color="auto"/>
        <w:bottom w:val="none" w:sz="0" w:space="0" w:color="auto"/>
        <w:right w:val="none" w:sz="0" w:space="0" w:color="auto"/>
      </w:divBdr>
    </w:div>
    <w:div w:id="229852184">
      <w:marLeft w:val="480"/>
      <w:marRight w:val="0"/>
      <w:marTop w:val="0"/>
      <w:marBottom w:val="0"/>
      <w:divBdr>
        <w:top w:val="none" w:sz="0" w:space="0" w:color="auto"/>
        <w:left w:val="none" w:sz="0" w:space="0" w:color="auto"/>
        <w:bottom w:val="none" w:sz="0" w:space="0" w:color="auto"/>
        <w:right w:val="none" w:sz="0" w:space="0" w:color="auto"/>
      </w:divBdr>
    </w:div>
    <w:div w:id="234513205">
      <w:marLeft w:val="480"/>
      <w:marRight w:val="0"/>
      <w:marTop w:val="0"/>
      <w:marBottom w:val="0"/>
      <w:divBdr>
        <w:top w:val="none" w:sz="0" w:space="0" w:color="auto"/>
        <w:left w:val="none" w:sz="0" w:space="0" w:color="auto"/>
        <w:bottom w:val="none" w:sz="0" w:space="0" w:color="auto"/>
        <w:right w:val="none" w:sz="0" w:space="0" w:color="auto"/>
      </w:divBdr>
    </w:div>
    <w:div w:id="235358453">
      <w:marLeft w:val="480"/>
      <w:marRight w:val="0"/>
      <w:marTop w:val="0"/>
      <w:marBottom w:val="0"/>
      <w:divBdr>
        <w:top w:val="none" w:sz="0" w:space="0" w:color="auto"/>
        <w:left w:val="none" w:sz="0" w:space="0" w:color="auto"/>
        <w:bottom w:val="none" w:sz="0" w:space="0" w:color="auto"/>
        <w:right w:val="none" w:sz="0" w:space="0" w:color="auto"/>
      </w:divBdr>
    </w:div>
    <w:div w:id="237178190">
      <w:marLeft w:val="480"/>
      <w:marRight w:val="0"/>
      <w:marTop w:val="0"/>
      <w:marBottom w:val="0"/>
      <w:divBdr>
        <w:top w:val="none" w:sz="0" w:space="0" w:color="auto"/>
        <w:left w:val="none" w:sz="0" w:space="0" w:color="auto"/>
        <w:bottom w:val="none" w:sz="0" w:space="0" w:color="auto"/>
        <w:right w:val="none" w:sz="0" w:space="0" w:color="auto"/>
      </w:divBdr>
    </w:div>
    <w:div w:id="238103882">
      <w:marLeft w:val="480"/>
      <w:marRight w:val="0"/>
      <w:marTop w:val="0"/>
      <w:marBottom w:val="0"/>
      <w:divBdr>
        <w:top w:val="none" w:sz="0" w:space="0" w:color="auto"/>
        <w:left w:val="none" w:sz="0" w:space="0" w:color="auto"/>
        <w:bottom w:val="none" w:sz="0" w:space="0" w:color="auto"/>
        <w:right w:val="none" w:sz="0" w:space="0" w:color="auto"/>
      </w:divBdr>
    </w:div>
    <w:div w:id="239753721">
      <w:marLeft w:val="480"/>
      <w:marRight w:val="0"/>
      <w:marTop w:val="0"/>
      <w:marBottom w:val="0"/>
      <w:divBdr>
        <w:top w:val="none" w:sz="0" w:space="0" w:color="auto"/>
        <w:left w:val="none" w:sz="0" w:space="0" w:color="auto"/>
        <w:bottom w:val="none" w:sz="0" w:space="0" w:color="auto"/>
        <w:right w:val="none" w:sz="0" w:space="0" w:color="auto"/>
      </w:divBdr>
    </w:div>
    <w:div w:id="242687398">
      <w:marLeft w:val="480"/>
      <w:marRight w:val="0"/>
      <w:marTop w:val="0"/>
      <w:marBottom w:val="0"/>
      <w:divBdr>
        <w:top w:val="none" w:sz="0" w:space="0" w:color="auto"/>
        <w:left w:val="none" w:sz="0" w:space="0" w:color="auto"/>
        <w:bottom w:val="none" w:sz="0" w:space="0" w:color="auto"/>
        <w:right w:val="none" w:sz="0" w:space="0" w:color="auto"/>
      </w:divBdr>
    </w:div>
    <w:div w:id="244188148">
      <w:marLeft w:val="480"/>
      <w:marRight w:val="0"/>
      <w:marTop w:val="0"/>
      <w:marBottom w:val="0"/>
      <w:divBdr>
        <w:top w:val="none" w:sz="0" w:space="0" w:color="auto"/>
        <w:left w:val="none" w:sz="0" w:space="0" w:color="auto"/>
        <w:bottom w:val="none" w:sz="0" w:space="0" w:color="auto"/>
        <w:right w:val="none" w:sz="0" w:space="0" w:color="auto"/>
      </w:divBdr>
    </w:div>
    <w:div w:id="245262094">
      <w:marLeft w:val="480"/>
      <w:marRight w:val="0"/>
      <w:marTop w:val="0"/>
      <w:marBottom w:val="0"/>
      <w:divBdr>
        <w:top w:val="none" w:sz="0" w:space="0" w:color="auto"/>
        <w:left w:val="none" w:sz="0" w:space="0" w:color="auto"/>
        <w:bottom w:val="none" w:sz="0" w:space="0" w:color="auto"/>
        <w:right w:val="none" w:sz="0" w:space="0" w:color="auto"/>
      </w:divBdr>
    </w:div>
    <w:div w:id="246159245">
      <w:marLeft w:val="480"/>
      <w:marRight w:val="0"/>
      <w:marTop w:val="0"/>
      <w:marBottom w:val="0"/>
      <w:divBdr>
        <w:top w:val="none" w:sz="0" w:space="0" w:color="auto"/>
        <w:left w:val="none" w:sz="0" w:space="0" w:color="auto"/>
        <w:bottom w:val="none" w:sz="0" w:space="0" w:color="auto"/>
        <w:right w:val="none" w:sz="0" w:space="0" w:color="auto"/>
      </w:divBdr>
    </w:div>
    <w:div w:id="248926876">
      <w:marLeft w:val="480"/>
      <w:marRight w:val="0"/>
      <w:marTop w:val="0"/>
      <w:marBottom w:val="0"/>
      <w:divBdr>
        <w:top w:val="none" w:sz="0" w:space="0" w:color="auto"/>
        <w:left w:val="none" w:sz="0" w:space="0" w:color="auto"/>
        <w:bottom w:val="none" w:sz="0" w:space="0" w:color="auto"/>
        <w:right w:val="none" w:sz="0" w:space="0" w:color="auto"/>
      </w:divBdr>
    </w:div>
    <w:div w:id="249899203">
      <w:marLeft w:val="480"/>
      <w:marRight w:val="0"/>
      <w:marTop w:val="0"/>
      <w:marBottom w:val="0"/>
      <w:divBdr>
        <w:top w:val="none" w:sz="0" w:space="0" w:color="auto"/>
        <w:left w:val="none" w:sz="0" w:space="0" w:color="auto"/>
        <w:bottom w:val="none" w:sz="0" w:space="0" w:color="auto"/>
        <w:right w:val="none" w:sz="0" w:space="0" w:color="auto"/>
      </w:divBdr>
    </w:div>
    <w:div w:id="250165509">
      <w:marLeft w:val="480"/>
      <w:marRight w:val="0"/>
      <w:marTop w:val="0"/>
      <w:marBottom w:val="0"/>
      <w:divBdr>
        <w:top w:val="none" w:sz="0" w:space="0" w:color="auto"/>
        <w:left w:val="none" w:sz="0" w:space="0" w:color="auto"/>
        <w:bottom w:val="none" w:sz="0" w:space="0" w:color="auto"/>
        <w:right w:val="none" w:sz="0" w:space="0" w:color="auto"/>
      </w:divBdr>
    </w:div>
    <w:div w:id="255985840">
      <w:bodyDiv w:val="1"/>
      <w:marLeft w:val="0"/>
      <w:marRight w:val="0"/>
      <w:marTop w:val="0"/>
      <w:marBottom w:val="0"/>
      <w:divBdr>
        <w:top w:val="none" w:sz="0" w:space="0" w:color="auto"/>
        <w:left w:val="none" w:sz="0" w:space="0" w:color="auto"/>
        <w:bottom w:val="none" w:sz="0" w:space="0" w:color="auto"/>
        <w:right w:val="none" w:sz="0" w:space="0" w:color="auto"/>
      </w:divBdr>
      <w:divsChild>
        <w:div w:id="57633366">
          <w:marLeft w:val="480"/>
          <w:marRight w:val="0"/>
          <w:marTop w:val="0"/>
          <w:marBottom w:val="0"/>
          <w:divBdr>
            <w:top w:val="none" w:sz="0" w:space="0" w:color="auto"/>
            <w:left w:val="none" w:sz="0" w:space="0" w:color="auto"/>
            <w:bottom w:val="none" w:sz="0" w:space="0" w:color="auto"/>
            <w:right w:val="none" w:sz="0" w:space="0" w:color="auto"/>
          </w:divBdr>
        </w:div>
        <w:div w:id="194272888">
          <w:marLeft w:val="480"/>
          <w:marRight w:val="0"/>
          <w:marTop w:val="0"/>
          <w:marBottom w:val="0"/>
          <w:divBdr>
            <w:top w:val="none" w:sz="0" w:space="0" w:color="auto"/>
            <w:left w:val="none" w:sz="0" w:space="0" w:color="auto"/>
            <w:bottom w:val="none" w:sz="0" w:space="0" w:color="auto"/>
            <w:right w:val="none" w:sz="0" w:space="0" w:color="auto"/>
          </w:divBdr>
        </w:div>
        <w:div w:id="276718427">
          <w:marLeft w:val="480"/>
          <w:marRight w:val="0"/>
          <w:marTop w:val="0"/>
          <w:marBottom w:val="0"/>
          <w:divBdr>
            <w:top w:val="none" w:sz="0" w:space="0" w:color="auto"/>
            <w:left w:val="none" w:sz="0" w:space="0" w:color="auto"/>
            <w:bottom w:val="none" w:sz="0" w:space="0" w:color="auto"/>
            <w:right w:val="none" w:sz="0" w:space="0" w:color="auto"/>
          </w:divBdr>
        </w:div>
        <w:div w:id="369843079">
          <w:marLeft w:val="480"/>
          <w:marRight w:val="0"/>
          <w:marTop w:val="0"/>
          <w:marBottom w:val="0"/>
          <w:divBdr>
            <w:top w:val="none" w:sz="0" w:space="0" w:color="auto"/>
            <w:left w:val="none" w:sz="0" w:space="0" w:color="auto"/>
            <w:bottom w:val="none" w:sz="0" w:space="0" w:color="auto"/>
            <w:right w:val="none" w:sz="0" w:space="0" w:color="auto"/>
          </w:divBdr>
        </w:div>
        <w:div w:id="485439745">
          <w:marLeft w:val="480"/>
          <w:marRight w:val="0"/>
          <w:marTop w:val="0"/>
          <w:marBottom w:val="0"/>
          <w:divBdr>
            <w:top w:val="none" w:sz="0" w:space="0" w:color="auto"/>
            <w:left w:val="none" w:sz="0" w:space="0" w:color="auto"/>
            <w:bottom w:val="none" w:sz="0" w:space="0" w:color="auto"/>
            <w:right w:val="none" w:sz="0" w:space="0" w:color="auto"/>
          </w:divBdr>
        </w:div>
        <w:div w:id="720710575">
          <w:marLeft w:val="480"/>
          <w:marRight w:val="0"/>
          <w:marTop w:val="0"/>
          <w:marBottom w:val="0"/>
          <w:divBdr>
            <w:top w:val="none" w:sz="0" w:space="0" w:color="auto"/>
            <w:left w:val="none" w:sz="0" w:space="0" w:color="auto"/>
            <w:bottom w:val="none" w:sz="0" w:space="0" w:color="auto"/>
            <w:right w:val="none" w:sz="0" w:space="0" w:color="auto"/>
          </w:divBdr>
        </w:div>
        <w:div w:id="877280208">
          <w:marLeft w:val="480"/>
          <w:marRight w:val="0"/>
          <w:marTop w:val="0"/>
          <w:marBottom w:val="0"/>
          <w:divBdr>
            <w:top w:val="none" w:sz="0" w:space="0" w:color="auto"/>
            <w:left w:val="none" w:sz="0" w:space="0" w:color="auto"/>
            <w:bottom w:val="none" w:sz="0" w:space="0" w:color="auto"/>
            <w:right w:val="none" w:sz="0" w:space="0" w:color="auto"/>
          </w:divBdr>
        </w:div>
        <w:div w:id="1060590997">
          <w:marLeft w:val="480"/>
          <w:marRight w:val="0"/>
          <w:marTop w:val="0"/>
          <w:marBottom w:val="0"/>
          <w:divBdr>
            <w:top w:val="none" w:sz="0" w:space="0" w:color="auto"/>
            <w:left w:val="none" w:sz="0" w:space="0" w:color="auto"/>
            <w:bottom w:val="none" w:sz="0" w:space="0" w:color="auto"/>
            <w:right w:val="none" w:sz="0" w:space="0" w:color="auto"/>
          </w:divBdr>
        </w:div>
        <w:div w:id="1089274058">
          <w:marLeft w:val="480"/>
          <w:marRight w:val="0"/>
          <w:marTop w:val="0"/>
          <w:marBottom w:val="0"/>
          <w:divBdr>
            <w:top w:val="none" w:sz="0" w:space="0" w:color="auto"/>
            <w:left w:val="none" w:sz="0" w:space="0" w:color="auto"/>
            <w:bottom w:val="none" w:sz="0" w:space="0" w:color="auto"/>
            <w:right w:val="none" w:sz="0" w:space="0" w:color="auto"/>
          </w:divBdr>
        </w:div>
        <w:div w:id="1672681225">
          <w:marLeft w:val="480"/>
          <w:marRight w:val="0"/>
          <w:marTop w:val="0"/>
          <w:marBottom w:val="0"/>
          <w:divBdr>
            <w:top w:val="none" w:sz="0" w:space="0" w:color="auto"/>
            <w:left w:val="none" w:sz="0" w:space="0" w:color="auto"/>
            <w:bottom w:val="none" w:sz="0" w:space="0" w:color="auto"/>
            <w:right w:val="none" w:sz="0" w:space="0" w:color="auto"/>
          </w:divBdr>
        </w:div>
        <w:div w:id="1856309884">
          <w:marLeft w:val="480"/>
          <w:marRight w:val="0"/>
          <w:marTop w:val="0"/>
          <w:marBottom w:val="0"/>
          <w:divBdr>
            <w:top w:val="none" w:sz="0" w:space="0" w:color="auto"/>
            <w:left w:val="none" w:sz="0" w:space="0" w:color="auto"/>
            <w:bottom w:val="none" w:sz="0" w:space="0" w:color="auto"/>
            <w:right w:val="none" w:sz="0" w:space="0" w:color="auto"/>
          </w:divBdr>
        </w:div>
      </w:divsChild>
    </w:div>
    <w:div w:id="258872641">
      <w:marLeft w:val="480"/>
      <w:marRight w:val="0"/>
      <w:marTop w:val="0"/>
      <w:marBottom w:val="0"/>
      <w:divBdr>
        <w:top w:val="none" w:sz="0" w:space="0" w:color="auto"/>
        <w:left w:val="none" w:sz="0" w:space="0" w:color="auto"/>
        <w:bottom w:val="none" w:sz="0" w:space="0" w:color="auto"/>
        <w:right w:val="none" w:sz="0" w:space="0" w:color="auto"/>
      </w:divBdr>
    </w:div>
    <w:div w:id="259990883">
      <w:marLeft w:val="480"/>
      <w:marRight w:val="0"/>
      <w:marTop w:val="0"/>
      <w:marBottom w:val="0"/>
      <w:divBdr>
        <w:top w:val="none" w:sz="0" w:space="0" w:color="auto"/>
        <w:left w:val="none" w:sz="0" w:space="0" w:color="auto"/>
        <w:bottom w:val="none" w:sz="0" w:space="0" w:color="auto"/>
        <w:right w:val="none" w:sz="0" w:space="0" w:color="auto"/>
      </w:divBdr>
    </w:div>
    <w:div w:id="261690178">
      <w:bodyDiv w:val="1"/>
      <w:marLeft w:val="0"/>
      <w:marRight w:val="0"/>
      <w:marTop w:val="0"/>
      <w:marBottom w:val="0"/>
      <w:divBdr>
        <w:top w:val="none" w:sz="0" w:space="0" w:color="auto"/>
        <w:left w:val="none" w:sz="0" w:space="0" w:color="auto"/>
        <w:bottom w:val="none" w:sz="0" w:space="0" w:color="auto"/>
        <w:right w:val="none" w:sz="0" w:space="0" w:color="auto"/>
      </w:divBdr>
    </w:div>
    <w:div w:id="263656860">
      <w:marLeft w:val="480"/>
      <w:marRight w:val="0"/>
      <w:marTop w:val="0"/>
      <w:marBottom w:val="0"/>
      <w:divBdr>
        <w:top w:val="none" w:sz="0" w:space="0" w:color="auto"/>
        <w:left w:val="none" w:sz="0" w:space="0" w:color="auto"/>
        <w:bottom w:val="none" w:sz="0" w:space="0" w:color="auto"/>
        <w:right w:val="none" w:sz="0" w:space="0" w:color="auto"/>
      </w:divBdr>
    </w:div>
    <w:div w:id="264115704">
      <w:marLeft w:val="480"/>
      <w:marRight w:val="0"/>
      <w:marTop w:val="0"/>
      <w:marBottom w:val="0"/>
      <w:divBdr>
        <w:top w:val="none" w:sz="0" w:space="0" w:color="auto"/>
        <w:left w:val="none" w:sz="0" w:space="0" w:color="auto"/>
        <w:bottom w:val="none" w:sz="0" w:space="0" w:color="auto"/>
        <w:right w:val="none" w:sz="0" w:space="0" w:color="auto"/>
      </w:divBdr>
    </w:div>
    <w:div w:id="265574555">
      <w:marLeft w:val="480"/>
      <w:marRight w:val="0"/>
      <w:marTop w:val="0"/>
      <w:marBottom w:val="0"/>
      <w:divBdr>
        <w:top w:val="none" w:sz="0" w:space="0" w:color="auto"/>
        <w:left w:val="none" w:sz="0" w:space="0" w:color="auto"/>
        <w:bottom w:val="none" w:sz="0" w:space="0" w:color="auto"/>
        <w:right w:val="none" w:sz="0" w:space="0" w:color="auto"/>
      </w:divBdr>
    </w:div>
    <w:div w:id="266547903">
      <w:marLeft w:val="480"/>
      <w:marRight w:val="0"/>
      <w:marTop w:val="0"/>
      <w:marBottom w:val="0"/>
      <w:divBdr>
        <w:top w:val="none" w:sz="0" w:space="0" w:color="auto"/>
        <w:left w:val="none" w:sz="0" w:space="0" w:color="auto"/>
        <w:bottom w:val="none" w:sz="0" w:space="0" w:color="auto"/>
        <w:right w:val="none" w:sz="0" w:space="0" w:color="auto"/>
      </w:divBdr>
    </w:div>
    <w:div w:id="268320517">
      <w:bodyDiv w:val="1"/>
      <w:marLeft w:val="0"/>
      <w:marRight w:val="0"/>
      <w:marTop w:val="0"/>
      <w:marBottom w:val="0"/>
      <w:divBdr>
        <w:top w:val="none" w:sz="0" w:space="0" w:color="auto"/>
        <w:left w:val="none" w:sz="0" w:space="0" w:color="auto"/>
        <w:bottom w:val="none" w:sz="0" w:space="0" w:color="auto"/>
        <w:right w:val="none" w:sz="0" w:space="0" w:color="auto"/>
      </w:divBdr>
    </w:div>
    <w:div w:id="271204461">
      <w:marLeft w:val="480"/>
      <w:marRight w:val="0"/>
      <w:marTop w:val="0"/>
      <w:marBottom w:val="0"/>
      <w:divBdr>
        <w:top w:val="none" w:sz="0" w:space="0" w:color="auto"/>
        <w:left w:val="none" w:sz="0" w:space="0" w:color="auto"/>
        <w:bottom w:val="none" w:sz="0" w:space="0" w:color="auto"/>
        <w:right w:val="none" w:sz="0" w:space="0" w:color="auto"/>
      </w:divBdr>
    </w:div>
    <w:div w:id="273875644">
      <w:marLeft w:val="480"/>
      <w:marRight w:val="0"/>
      <w:marTop w:val="0"/>
      <w:marBottom w:val="0"/>
      <w:divBdr>
        <w:top w:val="none" w:sz="0" w:space="0" w:color="auto"/>
        <w:left w:val="none" w:sz="0" w:space="0" w:color="auto"/>
        <w:bottom w:val="none" w:sz="0" w:space="0" w:color="auto"/>
        <w:right w:val="none" w:sz="0" w:space="0" w:color="auto"/>
      </w:divBdr>
    </w:div>
    <w:div w:id="273942285">
      <w:marLeft w:val="480"/>
      <w:marRight w:val="0"/>
      <w:marTop w:val="0"/>
      <w:marBottom w:val="0"/>
      <w:divBdr>
        <w:top w:val="none" w:sz="0" w:space="0" w:color="auto"/>
        <w:left w:val="none" w:sz="0" w:space="0" w:color="auto"/>
        <w:bottom w:val="none" w:sz="0" w:space="0" w:color="auto"/>
        <w:right w:val="none" w:sz="0" w:space="0" w:color="auto"/>
      </w:divBdr>
    </w:div>
    <w:div w:id="281235110">
      <w:marLeft w:val="480"/>
      <w:marRight w:val="0"/>
      <w:marTop w:val="0"/>
      <w:marBottom w:val="0"/>
      <w:divBdr>
        <w:top w:val="none" w:sz="0" w:space="0" w:color="auto"/>
        <w:left w:val="none" w:sz="0" w:space="0" w:color="auto"/>
        <w:bottom w:val="none" w:sz="0" w:space="0" w:color="auto"/>
        <w:right w:val="none" w:sz="0" w:space="0" w:color="auto"/>
      </w:divBdr>
    </w:div>
    <w:div w:id="281349424">
      <w:marLeft w:val="480"/>
      <w:marRight w:val="0"/>
      <w:marTop w:val="0"/>
      <w:marBottom w:val="0"/>
      <w:divBdr>
        <w:top w:val="none" w:sz="0" w:space="0" w:color="auto"/>
        <w:left w:val="none" w:sz="0" w:space="0" w:color="auto"/>
        <w:bottom w:val="none" w:sz="0" w:space="0" w:color="auto"/>
        <w:right w:val="none" w:sz="0" w:space="0" w:color="auto"/>
      </w:divBdr>
    </w:div>
    <w:div w:id="285888441">
      <w:marLeft w:val="480"/>
      <w:marRight w:val="0"/>
      <w:marTop w:val="0"/>
      <w:marBottom w:val="0"/>
      <w:divBdr>
        <w:top w:val="none" w:sz="0" w:space="0" w:color="auto"/>
        <w:left w:val="none" w:sz="0" w:space="0" w:color="auto"/>
        <w:bottom w:val="none" w:sz="0" w:space="0" w:color="auto"/>
        <w:right w:val="none" w:sz="0" w:space="0" w:color="auto"/>
      </w:divBdr>
    </w:div>
    <w:div w:id="287929993">
      <w:marLeft w:val="480"/>
      <w:marRight w:val="0"/>
      <w:marTop w:val="0"/>
      <w:marBottom w:val="0"/>
      <w:divBdr>
        <w:top w:val="none" w:sz="0" w:space="0" w:color="auto"/>
        <w:left w:val="none" w:sz="0" w:space="0" w:color="auto"/>
        <w:bottom w:val="none" w:sz="0" w:space="0" w:color="auto"/>
        <w:right w:val="none" w:sz="0" w:space="0" w:color="auto"/>
      </w:divBdr>
    </w:div>
    <w:div w:id="289672187">
      <w:marLeft w:val="480"/>
      <w:marRight w:val="0"/>
      <w:marTop w:val="0"/>
      <w:marBottom w:val="0"/>
      <w:divBdr>
        <w:top w:val="none" w:sz="0" w:space="0" w:color="auto"/>
        <w:left w:val="none" w:sz="0" w:space="0" w:color="auto"/>
        <w:bottom w:val="none" w:sz="0" w:space="0" w:color="auto"/>
        <w:right w:val="none" w:sz="0" w:space="0" w:color="auto"/>
      </w:divBdr>
    </w:div>
    <w:div w:id="291785861">
      <w:marLeft w:val="480"/>
      <w:marRight w:val="0"/>
      <w:marTop w:val="0"/>
      <w:marBottom w:val="0"/>
      <w:divBdr>
        <w:top w:val="none" w:sz="0" w:space="0" w:color="auto"/>
        <w:left w:val="none" w:sz="0" w:space="0" w:color="auto"/>
        <w:bottom w:val="none" w:sz="0" w:space="0" w:color="auto"/>
        <w:right w:val="none" w:sz="0" w:space="0" w:color="auto"/>
      </w:divBdr>
    </w:div>
    <w:div w:id="296692368">
      <w:bodyDiv w:val="1"/>
      <w:marLeft w:val="0"/>
      <w:marRight w:val="0"/>
      <w:marTop w:val="0"/>
      <w:marBottom w:val="0"/>
      <w:divBdr>
        <w:top w:val="none" w:sz="0" w:space="0" w:color="auto"/>
        <w:left w:val="none" w:sz="0" w:space="0" w:color="auto"/>
        <w:bottom w:val="none" w:sz="0" w:space="0" w:color="auto"/>
        <w:right w:val="none" w:sz="0" w:space="0" w:color="auto"/>
      </w:divBdr>
    </w:div>
    <w:div w:id="297271972">
      <w:marLeft w:val="480"/>
      <w:marRight w:val="0"/>
      <w:marTop w:val="0"/>
      <w:marBottom w:val="0"/>
      <w:divBdr>
        <w:top w:val="none" w:sz="0" w:space="0" w:color="auto"/>
        <w:left w:val="none" w:sz="0" w:space="0" w:color="auto"/>
        <w:bottom w:val="none" w:sz="0" w:space="0" w:color="auto"/>
        <w:right w:val="none" w:sz="0" w:space="0" w:color="auto"/>
      </w:divBdr>
    </w:div>
    <w:div w:id="304315776">
      <w:bodyDiv w:val="1"/>
      <w:marLeft w:val="0"/>
      <w:marRight w:val="0"/>
      <w:marTop w:val="0"/>
      <w:marBottom w:val="0"/>
      <w:divBdr>
        <w:top w:val="none" w:sz="0" w:space="0" w:color="auto"/>
        <w:left w:val="none" w:sz="0" w:space="0" w:color="auto"/>
        <w:bottom w:val="none" w:sz="0" w:space="0" w:color="auto"/>
        <w:right w:val="none" w:sz="0" w:space="0" w:color="auto"/>
      </w:divBdr>
    </w:div>
    <w:div w:id="304355638">
      <w:bodyDiv w:val="1"/>
      <w:marLeft w:val="0"/>
      <w:marRight w:val="0"/>
      <w:marTop w:val="0"/>
      <w:marBottom w:val="0"/>
      <w:divBdr>
        <w:top w:val="none" w:sz="0" w:space="0" w:color="auto"/>
        <w:left w:val="none" w:sz="0" w:space="0" w:color="auto"/>
        <w:bottom w:val="none" w:sz="0" w:space="0" w:color="auto"/>
        <w:right w:val="none" w:sz="0" w:space="0" w:color="auto"/>
      </w:divBdr>
    </w:div>
    <w:div w:id="304705537">
      <w:marLeft w:val="480"/>
      <w:marRight w:val="0"/>
      <w:marTop w:val="0"/>
      <w:marBottom w:val="0"/>
      <w:divBdr>
        <w:top w:val="none" w:sz="0" w:space="0" w:color="auto"/>
        <w:left w:val="none" w:sz="0" w:space="0" w:color="auto"/>
        <w:bottom w:val="none" w:sz="0" w:space="0" w:color="auto"/>
        <w:right w:val="none" w:sz="0" w:space="0" w:color="auto"/>
      </w:divBdr>
    </w:div>
    <w:div w:id="310599565">
      <w:bodyDiv w:val="1"/>
      <w:marLeft w:val="0"/>
      <w:marRight w:val="0"/>
      <w:marTop w:val="0"/>
      <w:marBottom w:val="0"/>
      <w:divBdr>
        <w:top w:val="none" w:sz="0" w:space="0" w:color="auto"/>
        <w:left w:val="none" w:sz="0" w:space="0" w:color="auto"/>
        <w:bottom w:val="none" w:sz="0" w:space="0" w:color="auto"/>
        <w:right w:val="none" w:sz="0" w:space="0" w:color="auto"/>
      </w:divBdr>
    </w:div>
    <w:div w:id="312100497">
      <w:marLeft w:val="480"/>
      <w:marRight w:val="0"/>
      <w:marTop w:val="0"/>
      <w:marBottom w:val="0"/>
      <w:divBdr>
        <w:top w:val="none" w:sz="0" w:space="0" w:color="auto"/>
        <w:left w:val="none" w:sz="0" w:space="0" w:color="auto"/>
        <w:bottom w:val="none" w:sz="0" w:space="0" w:color="auto"/>
        <w:right w:val="none" w:sz="0" w:space="0" w:color="auto"/>
      </w:divBdr>
    </w:div>
    <w:div w:id="314838032">
      <w:marLeft w:val="480"/>
      <w:marRight w:val="0"/>
      <w:marTop w:val="0"/>
      <w:marBottom w:val="0"/>
      <w:divBdr>
        <w:top w:val="none" w:sz="0" w:space="0" w:color="auto"/>
        <w:left w:val="none" w:sz="0" w:space="0" w:color="auto"/>
        <w:bottom w:val="none" w:sz="0" w:space="0" w:color="auto"/>
        <w:right w:val="none" w:sz="0" w:space="0" w:color="auto"/>
      </w:divBdr>
    </w:div>
    <w:div w:id="316229885">
      <w:marLeft w:val="480"/>
      <w:marRight w:val="0"/>
      <w:marTop w:val="0"/>
      <w:marBottom w:val="0"/>
      <w:divBdr>
        <w:top w:val="none" w:sz="0" w:space="0" w:color="auto"/>
        <w:left w:val="none" w:sz="0" w:space="0" w:color="auto"/>
        <w:bottom w:val="none" w:sz="0" w:space="0" w:color="auto"/>
        <w:right w:val="none" w:sz="0" w:space="0" w:color="auto"/>
      </w:divBdr>
    </w:div>
    <w:div w:id="316960565">
      <w:marLeft w:val="480"/>
      <w:marRight w:val="0"/>
      <w:marTop w:val="0"/>
      <w:marBottom w:val="0"/>
      <w:divBdr>
        <w:top w:val="none" w:sz="0" w:space="0" w:color="auto"/>
        <w:left w:val="none" w:sz="0" w:space="0" w:color="auto"/>
        <w:bottom w:val="none" w:sz="0" w:space="0" w:color="auto"/>
        <w:right w:val="none" w:sz="0" w:space="0" w:color="auto"/>
      </w:divBdr>
    </w:div>
    <w:div w:id="317073587">
      <w:marLeft w:val="480"/>
      <w:marRight w:val="0"/>
      <w:marTop w:val="0"/>
      <w:marBottom w:val="0"/>
      <w:divBdr>
        <w:top w:val="none" w:sz="0" w:space="0" w:color="auto"/>
        <w:left w:val="none" w:sz="0" w:space="0" w:color="auto"/>
        <w:bottom w:val="none" w:sz="0" w:space="0" w:color="auto"/>
        <w:right w:val="none" w:sz="0" w:space="0" w:color="auto"/>
      </w:divBdr>
    </w:div>
    <w:div w:id="317392998">
      <w:marLeft w:val="480"/>
      <w:marRight w:val="0"/>
      <w:marTop w:val="0"/>
      <w:marBottom w:val="0"/>
      <w:divBdr>
        <w:top w:val="none" w:sz="0" w:space="0" w:color="auto"/>
        <w:left w:val="none" w:sz="0" w:space="0" w:color="auto"/>
        <w:bottom w:val="none" w:sz="0" w:space="0" w:color="auto"/>
        <w:right w:val="none" w:sz="0" w:space="0" w:color="auto"/>
      </w:divBdr>
    </w:div>
    <w:div w:id="317735772">
      <w:marLeft w:val="480"/>
      <w:marRight w:val="0"/>
      <w:marTop w:val="0"/>
      <w:marBottom w:val="0"/>
      <w:divBdr>
        <w:top w:val="none" w:sz="0" w:space="0" w:color="auto"/>
        <w:left w:val="none" w:sz="0" w:space="0" w:color="auto"/>
        <w:bottom w:val="none" w:sz="0" w:space="0" w:color="auto"/>
        <w:right w:val="none" w:sz="0" w:space="0" w:color="auto"/>
      </w:divBdr>
    </w:div>
    <w:div w:id="318654293">
      <w:marLeft w:val="480"/>
      <w:marRight w:val="0"/>
      <w:marTop w:val="0"/>
      <w:marBottom w:val="0"/>
      <w:divBdr>
        <w:top w:val="none" w:sz="0" w:space="0" w:color="auto"/>
        <w:left w:val="none" w:sz="0" w:space="0" w:color="auto"/>
        <w:bottom w:val="none" w:sz="0" w:space="0" w:color="auto"/>
        <w:right w:val="none" w:sz="0" w:space="0" w:color="auto"/>
      </w:divBdr>
    </w:div>
    <w:div w:id="319773155">
      <w:marLeft w:val="480"/>
      <w:marRight w:val="0"/>
      <w:marTop w:val="0"/>
      <w:marBottom w:val="0"/>
      <w:divBdr>
        <w:top w:val="none" w:sz="0" w:space="0" w:color="auto"/>
        <w:left w:val="none" w:sz="0" w:space="0" w:color="auto"/>
        <w:bottom w:val="none" w:sz="0" w:space="0" w:color="auto"/>
        <w:right w:val="none" w:sz="0" w:space="0" w:color="auto"/>
      </w:divBdr>
    </w:div>
    <w:div w:id="320237427">
      <w:bodyDiv w:val="1"/>
      <w:marLeft w:val="0"/>
      <w:marRight w:val="0"/>
      <w:marTop w:val="0"/>
      <w:marBottom w:val="0"/>
      <w:divBdr>
        <w:top w:val="none" w:sz="0" w:space="0" w:color="auto"/>
        <w:left w:val="none" w:sz="0" w:space="0" w:color="auto"/>
        <w:bottom w:val="none" w:sz="0" w:space="0" w:color="auto"/>
        <w:right w:val="none" w:sz="0" w:space="0" w:color="auto"/>
      </w:divBdr>
    </w:div>
    <w:div w:id="321543667">
      <w:marLeft w:val="480"/>
      <w:marRight w:val="0"/>
      <w:marTop w:val="0"/>
      <w:marBottom w:val="0"/>
      <w:divBdr>
        <w:top w:val="none" w:sz="0" w:space="0" w:color="auto"/>
        <w:left w:val="none" w:sz="0" w:space="0" w:color="auto"/>
        <w:bottom w:val="none" w:sz="0" w:space="0" w:color="auto"/>
        <w:right w:val="none" w:sz="0" w:space="0" w:color="auto"/>
      </w:divBdr>
    </w:div>
    <w:div w:id="321932274">
      <w:marLeft w:val="480"/>
      <w:marRight w:val="0"/>
      <w:marTop w:val="0"/>
      <w:marBottom w:val="0"/>
      <w:divBdr>
        <w:top w:val="none" w:sz="0" w:space="0" w:color="auto"/>
        <w:left w:val="none" w:sz="0" w:space="0" w:color="auto"/>
        <w:bottom w:val="none" w:sz="0" w:space="0" w:color="auto"/>
        <w:right w:val="none" w:sz="0" w:space="0" w:color="auto"/>
      </w:divBdr>
    </w:div>
    <w:div w:id="322859364">
      <w:marLeft w:val="480"/>
      <w:marRight w:val="0"/>
      <w:marTop w:val="0"/>
      <w:marBottom w:val="0"/>
      <w:divBdr>
        <w:top w:val="none" w:sz="0" w:space="0" w:color="auto"/>
        <w:left w:val="none" w:sz="0" w:space="0" w:color="auto"/>
        <w:bottom w:val="none" w:sz="0" w:space="0" w:color="auto"/>
        <w:right w:val="none" w:sz="0" w:space="0" w:color="auto"/>
      </w:divBdr>
    </w:div>
    <w:div w:id="323048364">
      <w:marLeft w:val="480"/>
      <w:marRight w:val="0"/>
      <w:marTop w:val="0"/>
      <w:marBottom w:val="0"/>
      <w:divBdr>
        <w:top w:val="none" w:sz="0" w:space="0" w:color="auto"/>
        <w:left w:val="none" w:sz="0" w:space="0" w:color="auto"/>
        <w:bottom w:val="none" w:sz="0" w:space="0" w:color="auto"/>
        <w:right w:val="none" w:sz="0" w:space="0" w:color="auto"/>
      </w:divBdr>
    </w:div>
    <w:div w:id="324283651">
      <w:marLeft w:val="480"/>
      <w:marRight w:val="0"/>
      <w:marTop w:val="0"/>
      <w:marBottom w:val="0"/>
      <w:divBdr>
        <w:top w:val="none" w:sz="0" w:space="0" w:color="auto"/>
        <w:left w:val="none" w:sz="0" w:space="0" w:color="auto"/>
        <w:bottom w:val="none" w:sz="0" w:space="0" w:color="auto"/>
        <w:right w:val="none" w:sz="0" w:space="0" w:color="auto"/>
      </w:divBdr>
    </w:div>
    <w:div w:id="324478013">
      <w:marLeft w:val="480"/>
      <w:marRight w:val="0"/>
      <w:marTop w:val="0"/>
      <w:marBottom w:val="0"/>
      <w:divBdr>
        <w:top w:val="none" w:sz="0" w:space="0" w:color="auto"/>
        <w:left w:val="none" w:sz="0" w:space="0" w:color="auto"/>
        <w:bottom w:val="none" w:sz="0" w:space="0" w:color="auto"/>
        <w:right w:val="none" w:sz="0" w:space="0" w:color="auto"/>
      </w:divBdr>
    </w:div>
    <w:div w:id="325059683">
      <w:marLeft w:val="480"/>
      <w:marRight w:val="0"/>
      <w:marTop w:val="0"/>
      <w:marBottom w:val="0"/>
      <w:divBdr>
        <w:top w:val="none" w:sz="0" w:space="0" w:color="auto"/>
        <w:left w:val="none" w:sz="0" w:space="0" w:color="auto"/>
        <w:bottom w:val="none" w:sz="0" w:space="0" w:color="auto"/>
        <w:right w:val="none" w:sz="0" w:space="0" w:color="auto"/>
      </w:divBdr>
    </w:div>
    <w:div w:id="328825388">
      <w:marLeft w:val="480"/>
      <w:marRight w:val="0"/>
      <w:marTop w:val="0"/>
      <w:marBottom w:val="0"/>
      <w:divBdr>
        <w:top w:val="none" w:sz="0" w:space="0" w:color="auto"/>
        <w:left w:val="none" w:sz="0" w:space="0" w:color="auto"/>
        <w:bottom w:val="none" w:sz="0" w:space="0" w:color="auto"/>
        <w:right w:val="none" w:sz="0" w:space="0" w:color="auto"/>
      </w:divBdr>
    </w:div>
    <w:div w:id="332727063">
      <w:marLeft w:val="480"/>
      <w:marRight w:val="0"/>
      <w:marTop w:val="0"/>
      <w:marBottom w:val="0"/>
      <w:divBdr>
        <w:top w:val="none" w:sz="0" w:space="0" w:color="auto"/>
        <w:left w:val="none" w:sz="0" w:space="0" w:color="auto"/>
        <w:bottom w:val="none" w:sz="0" w:space="0" w:color="auto"/>
        <w:right w:val="none" w:sz="0" w:space="0" w:color="auto"/>
      </w:divBdr>
    </w:div>
    <w:div w:id="333000483">
      <w:marLeft w:val="480"/>
      <w:marRight w:val="0"/>
      <w:marTop w:val="0"/>
      <w:marBottom w:val="0"/>
      <w:divBdr>
        <w:top w:val="none" w:sz="0" w:space="0" w:color="auto"/>
        <w:left w:val="none" w:sz="0" w:space="0" w:color="auto"/>
        <w:bottom w:val="none" w:sz="0" w:space="0" w:color="auto"/>
        <w:right w:val="none" w:sz="0" w:space="0" w:color="auto"/>
      </w:divBdr>
    </w:div>
    <w:div w:id="334503092">
      <w:marLeft w:val="480"/>
      <w:marRight w:val="0"/>
      <w:marTop w:val="0"/>
      <w:marBottom w:val="0"/>
      <w:divBdr>
        <w:top w:val="none" w:sz="0" w:space="0" w:color="auto"/>
        <w:left w:val="none" w:sz="0" w:space="0" w:color="auto"/>
        <w:bottom w:val="none" w:sz="0" w:space="0" w:color="auto"/>
        <w:right w:val="none" w:sz="0" w:space="0" w:color="auto"/>
      </w:divBdr>
    </w:div>
    <w:div w:id="338235554">
      <w:bodyDiv w:val="1"/>
      <w:marLeft w:val="0"/>
      <w:marRight w:val="0"/>
      <w:marTop w:val="0"/>
      <w:marBottom w:val="0"/>
      <w:divBdr>
        <w:top w:val="none" w:sz="0" w:space="0" w:color="auto"/>
        <w:left w:val="none" w:sz="0" w:space="0" w:color="auto"/>
        <w:bottom w:val="none" w:sz="0" w:space="0" w:color="auto"/>
        <w:right w:val="none" w:sz="0" w:space="0" w:color="auto"/>
      </w:divBdr>
      <w:divsChild>
        <w:div w:id="946233814">
          <w:marLeft w:val="480"/>
          <w:marRight w:val="0"/>
          <w:marTop w:val="0"/>
          <w:marBottom w:val="0"/>
          <w:divBdr>
            <w:top w:val="none" w:sz="0" w:space="0" w:color="auto"/>
            <w:left w:val="none" w:sz="0" w:space="0" w:color="auto"/>
            <w:bottom w:val="none" w:sz="0" w:space="0" w:color="auto"/>
            <w:right w:val="none" w:sz="0" w:space="0" w:color="auto"/>
          </w:divBdr>
        </w:div>
        <w:div w:id="1292323577">
          <w:marLeft w:val="480"/>
          <w:marRight w:val="0"/>
          <w:marTop w:val="0"/>
          <w:marBottom w:val="0"/>
          <w:divBdr>
            <w:top w:val="none" w:sz="0" w:space="0" w:color="auto"/>
            <w:left w:val="none" w:sz="0" w:space="0" w:color="auto"/>
            <w:bottom w:val="none" w:sz="0" w:space="0" w:color="auto"/>
            <w:right w:val="none" w:sz="0" w:space="0" w:color="auto"/>
          </w:divBdr>
        </w:div>
        <w:div w:id="1728146340">
          <w:marLeft w:val="480"/>
          <w:marRight w:val="0"/>
          <w:marTop w:val="0"/>
          <w:marBottom w:val="0"/>
          <w:divBdr>
            <w:top w:val="none" w:sz="0" w:space="0" w:color="auto"/>
            <w:left w:val="none" w:sz="0" w:space="0" w:color="auto"/>
            <w:bottom w:val="none" w:sz="0" w:space="0" w:color="auto"/>
            <w:right w:val="none" w:sz="0" w:space="0" w:color="auto"/>
          </w:divBdr>
        </w:div>
        <w:div w:id="1761028599">
          <w:marLeft w:val="480"/>
          <w:marRight w:val="0"/>
          <w:marTop w:val="0"/>
          <w:marBottom w:val="0"/>
          <w:divBdr>
            <w:top w:val="none" w:sz="0" w:space="0" w:color="auto"/>
            <w:left w:val="none" w:sz="0" w:space="0" w:color="auto"/>
            <w:bottom w:val="none" w:sz="0" w:space="0" w:color="auto"/>
            <w:right w:val="none" w:sz="0" w:space="0" w:color="auto"/>
          </w:divBdr>
        </w:div>
      </w:divsChild>
    </w:div>
    <w:div w:id="338853592">
      <w:bodyDiv w:val="1"/>
      <w:marLeft w:val="0"/>
      <w:marRight w:val="0"/>
      <w:marTop w:val="0"/>
      <w:marBottom w:val="0"/>
      <w:divBdr>
        <w:top w:val="none" w:sz="0" w:space="0" w:color="auto"/>
        <w:left w:val="none" w:sz="0" w:space="0" w:color="auto"/>
        <w:bottom w:val="none" w:sz="0" w:space="0" w:color="auto"/>
        <w:right w:val="none" w:sz="0" w:space="0" w:color="auto"/>
      </w:divBdr>
    </w:div>
    <w:div w:id="341324156">
      <w:bodyDiv w:val="1"/>
      <w:marLeft w:val="0"/>
      <w:marRight w:val="0"/>
      <w:marTop w:val="0"/>
      <w:marBottom w:val="0"/>
      <w:divBdr>
        <w:top w:val="none" w:sz="0" w:space="0" w:color="auto"/>
        <w:left w:val="none" w:sz="0" w:space="0" w:color="auto"/>
        <w:bottom w:val="none" w:sz="0" w:space="0" w:color="auto"/>
        <w:right w:val="none" w:sz="0" w:space="0" w:color="auto"/>
      </w:divBdr>
    </w:div>
    <w:div w:id="342049287">
      <w:marLeft w:val="480"/>
      <w:marRight w:val="0"/>
      <w:marTop w:val="0"/>
      <w:marBottom w:val="0"/>
      <w:divBdr>
        <w:top w:val="none" w:sz="0" w:space="0" w:color="auto"/>
        <w:left w:val="none" w:sz="0" w:space="0" w:color="auto"/>
        <w:bottom w:val="none" w:sz="0" w:space="0" w:color="auto"/>
        <w:right w:val="none" w:sz="0" w:space="0" w:color="auto"/>
      </w:divBdr>
    </w:div>
    <w:div w:id="345449152">
      <w:marLeft w:val="480"/>
      <w:marRight w:val="0"/>
      <w:marTop w:val="0"/>
      <w:marBottom w:val="0"/>
      <w:divBdr>
        <w:top w:val="none" w:sz="0" w:space="0" w:color="auto"/>
        <w:left w:val="none" w:sz="0" w:space="0" w:color="auto"/>
        <w:bottom w:val="none" w:sz="0" w:space="0" w:color="auto"/>
        <w:right w:val="none" w:sz="0" w:space="0" w:color="auto"/>
      </w:divBdr>
    </w:div>
    <w:div w:id="347290134">
      <w:marLeft w:val="480"/>
      <w:marRight w:val="0"/>
      <w:marTop w:val="0"/>
      <w:marBottom w:val="0"/>
      <w:divBdr>
        <w:top w:val="none" w:sz="0" w:space="0" w:color="auto"/>
        <w:left w:val="none" w:sz="0" w:space="0" w:color="auto"/>
        <w:bottom w:val="none" w:sz="0" w:space="0" w:color="auto"/>
        <w:right w:val="none" w:sz="0" w:space="0" w:color="auto"/>
      </w:divBdr>
    </w:div>
    <w:div w:id="348603467">
      <w:marLeft w:val="480"/>
      <w:marRight w:val="0"/>
      <w:marTop w:val="0"/>
      <w:marBottom w:val="0"/>
      <w:divBdr>
        <w:top w:val="none" w:sz="0" w:space="0" w:color="auto"/>
        <w:left w:val="none" w:sz="0" w:space="0" w:color="auto"/>
        <w:bottom w:val="none" w:sz="0" w:space="0" w:color="auto"/>
        <w:right w:val="none" w:sz="0" w:space="0" w:color="auto"/>
      </w:divBdr>
    </w:div>
    <w:div w:id="350881311">
      <w:marLeft w:val="480"/>
      <w:marRight w:val="0"/>
      <w:marTop w:val="0"/>
      <w:marBottom w:val="0"/>
      <w:divBdr>
        <w:top w:val="none" w:sz="0" w:space="0" w:color="auto"/>
        <w:left w:val="none" w:sz="0" w:space="0" w:color="auto"/>
        <w:bottom w:val="none" w:sz="0" w:space="0" w:color="auto"/>
        <w:right w:val="none" w:sz="0" w:space="0" w:color="auto"/>
      </w:divBdr>
    </w:div>
    <w:div w:id="351305711">
      <w:marLeft w:val="480"/>
      <w:marRight w:val="0"/>
      <w:marTop w:val="0"/>
      <w:marBottom w:val="0"/>
      <w:divBdr>
        <w:top w:val="none" w:sz="0" w:space="0" w:color="auto"/>
        <w:left w:val="none" w:sz="0" w:space="0" w:color="auto"/>
        <w:bottom w:val="none" w:sz="0" w:space="0" w:color="auto"/>
        <w:right w:val="none" w:sz="0" w:space="0" w:color="auto"/>
      </w:divBdr>
    </w:div>
    <w:div w:id="353389967">
      <w:marLeft w:val="480"/>
      <w:marRight w:val="0"/>
      <w:marTop w:val="0"/>
      <w:marBottom w:val="0"/>
      <w:divBdr>
        <w:top w:val="none" w:sz="0" w:space="0" w:color="auto"/>
        <w:left w:val="none" w:sz="0" w:space="0" w:color="auto"/>
        <w:bottom w:val="none" w:sz="0" w:space="0" w:color="auto"/>
        <w:right w:val="none" w:sz="0" w:space="0" w:color="auto"/>
      </w:divBdr>
    </w:div>
    <w:div w:id="354693878">
      <w:bodyDiv w:val="1"/>
      <w:marLeft w:val="0"/>
      <w:marRight w:val="0"/>
      <w:marTop w:val="0"/>
      <w:marBottom w:val="0"/>
      <w:divBdr>
        <w:top w:val="none" w:sz="0" w:space="0" w:color="auto"/>
        <w:left w:val="none" w:sz="0" w:space="0" w:color="auto"/>
        <w:bottom w:val="none" w:sz="0" w:space="0" w:color="auto"/>
        <w:right w:val="none" w:sz="0" w:space="0" w:color="auto"/>
      </w:divBdr>
    </w:div>
    <w:div w:id="357658072">
      <w:marLeft w:val="480"/>
      <w:marRight w:val="0"/>
      <w:marTop w:val="0"/>
      <w:marBottom w:val="0"/>
      <w:divBdr>
        <w:top w:val="none" w:sz="0" w:space="0" w:color="auto"/>
        <w:left w:val="none" w:sz="0" w:space="0" w:color="auto"/>
        <w:bottom w:val="none" w:sz="0" w:space="0" w:color="auto"/>
        <w:right w:val="none" w:sz="0" w:space="0" w:color="auto"/>
      </w:divBdr>
    </w:div>
    <w:div w:id="359480312">
      <w:marLeft w:val="480"/>
      <w:marRight w:val="0"/>
      <w:marTop w:val="0"/>
      <w:marBottom w:val="0"/>
      <w:divBdr>
        <w:top w:val="none" w:sz="0" w:space="0" w:color="auto"/>
        <w:left w:val="none" w:sz="0" w:space="0" w:color="auto"/>
        <w:bottom w:val="none" w:sz="0" w:space="0" w:color="auto"/>
        <w:right w:val="none" w:sz="0" w:space="0" w:color="auto"/>
      </w:divBdr>
    </w:div>
    <w:div w:id="361326610">
      <w:bodyDiv w:val="1"/>
      <w:marLeft w:val="0"/>
      <w:marRight w:val="0"/>
      <w:marTop w:val="0"/>
      <w:marBottom w:val="0"/>
      <w:divBdr>
        <w:top w:val="none" w:sz="0" w:space="0" w:color="auto"/>
        <w:left w:val="none" w:sz="0" w:space="0" w:color="auto"/>
        <w:bottom w:val="none" w:sz="0" w:space="0" w:color="auto"/>
        <w:right w:val="none" w:sz="0" w:space="0" w:color="auto"/>
      </w:divBdr>
      <w:divsChild>
        <w:div w:id="150878457">
          <w:marLeft w:val="480"/>
          <w:marRight w:val="0"/>
          <w:marTop w:val="0"/>
          <w:marBottom w:val="0"/>
          <w:divBdr>
            <w:top w:val="none" w:sz="0" w:space="0" w:color="auto"/>
            <w:left w:val="none" w:sz="0" w:space="0" w:color="auto"/>
            <w:bottom w:val="none" w:sz="0" w:space="0" w:color="auto"/>
            <w:right w:val="none" w:sz="0" w:space="0" w:color="auto"/>
          </w:divBdr>
        </w:div>
        <w:div w:id="634524537">
          <w:marLeft w:val="480"/>
          <w:marRight w:val="0"/>
          <w:marTop w:val="0"/>
          <w:marBottom w:val="0"/>
          <w:divBdr>
            <w:top w:val="none" w:sz="0" w:space="0" w:color="auto"/>
            <w:left w:val="none" w:sz="0" w:space="0" w:color="auto"/>
            <w:bottom w:val="none" w:sz="0" w:space="0" w:color="auto"/>
            <w:right w:val="none" w:sz="0" w:space="0" w:color="auto"/>
          </w:divBdr>
        </w:div>
        <w:div w:id="824471200">
          <w:marLeft w:val="480"/>
          <w:marRight w:val="0"/>
          <w:marTop w:val="0"/>
          <w:marBottom w:val="0"/>
          <w:divBdr>
            <w:top w:val="none" w:sz="0" w:space="0" w:color="auto"/>
            <w:left w:val="none" w:sz="0" w:space="0" w:color="auto"/>
            <w:bottom w:val="none" w:sz="0" w:space="0" w:color="auto"/>
            <w:right w:val="none" w:sz="0" w:space="0" w:color="auto"/>
          </w:divBdr>
        </w:div>
        <w:div w:id="870917724">
          <w:marLeft w:val="480"/>
          <w:marRight w:val="0"/>
          <w:marTop w:val="0"/>
          <w:marBottom w:val="0"/>
          <w:divBdr>
            <w:top w:val="none" w:sz="0" w:space="0" w:color="auto"/>
            <w:left w:val="none" w:sz="0" w:space="0" w:color="auto"/>
            <w:bottom w:val="none" w:sz="0" w:space="0" w:color="auto"/>
            <w:right w:val="none" w:sz="0" w:space="0" w:color="auto"/>
          </w:divBdr>
        </w:div>
        <w:div w:id="932200664">
          <w:marLeft w:val="480"/>
          <w:marRight w:val="0"/>
          <w:marTop w:val="0"/>
          <w:marBottom w:val="0"/>
          <w:divBdr>
            <w:top w:val="none" w:sz="0" w:space="0" w:color="auto"/>
            <w:left w:val="none" w:sz="0" w:space="0" w:color="auto"/>
            <w:bottom w:val="none" w:sz="0" w:space="0" w:color="auto"/>
            <w:right w:val="none" w:sz="0" w:space="0" w:color="auto"/>
          </w:divBdr>
        </w:div>
        <w:div w:id="1464349180">
          <w:marLeft w:val="480"/>
          <w:marRight w:val="0"/>
          <w:marTop w:val="0"/>
          <w:marBottom w:val="0"/>
          <w:divBdr>
            <w:top w:val="none" w:sz="0" w:space="0" w:color="auto"/>
            <w:left w:val="none" w:sz="0" w:space="0" w:color="auto"/>
            <w:bottom w:val="none" w:sz="0" w:space="0" w:color="auto"/>
            <w:right w:val="none" w:sz="0" w:space="0" w:color="auto"/>
          </w:divBdr>
        </w:div>
        <w:div w:id="1479150756">
          <w:marLeft w:val="480"/>
          <w:marRight w:val="0"/>
          <w:marTop w:val="0"/>
          <w:marBottom w:val="0"/>
          <w:divBdr>
            <w:top w:val="none" w:sz="0" w:space="0" w:color="auto"/>
            <w:left w:val="none" w:sz="0" w:space="0" w:color="auto"/>
            <w:bottom w:val="none" w:sz="0" w:space="0" w:color="auto"/>
            <w:right w:val="none" w:sz="0" w:space="0" w:color="auto"/>
          </w:divBdr>
        </w:div>
      </w:divsChild>
    </w:div>
    <w:div w:id="361714143">
      <w:bodyDiv w:val="1"/>
      <w:marLeft w:val="0"/>
      <w:marRight w:val="0"/>
      <w:marTop w:val="0"/>
      <w:marBottom w:val="0"/>
      <w:divBdr>
        <w:top w:val="none" w:sz="0" w:space="0" w:color="auto"/>
        <w:left w:val="none" w:sz="0" w:space="0" w:color="auto"/>
        <w:bottom w:val="none" w:sz="0" w:space="0" w:color="auto"/>
        <w:right w:val="none" w:sz="0" w:space="0" w:color="auto"/>
      </w:divBdr>
      <w:divsChild>
        <w:div w:id="22900897">
          <w:marLeft w:val="480"/>
          <w:marRight w:val="0"/>
          <w:marTop w:val="0"/>
          <w:marBottom w:val="0"/>
          <w:divBdr>
            <w:top w:val="none" w:sz="0" w:space="0" w:color="auto"/>
            <w:left w:val="none" w:sz="0" w:space="0" w:color="auto"/>
            <w:bottom w:val="none" w:sz="0" w:space="0" w:color="auto"/>
            <w:right w:val="none" w:sz="0" w:space="0" w:color="auto"/>
          </w:divBdr>
        </w:div>
        <w:div w:id="143742250">
          <w:marLeft w:val="480"/>
          <w:marRight w:val="0"/>
          <w:marTop w:val="0"/>
          <w:marBottom w:val="0"/>
          <w:divBdr>
            <w:top w:val="none" w:sz="0" w:space="0" w:color="auto"/>
            <w:left w:val="none" w:sz="0" w:space="0" w:color="auto"/>
            <w:bottom w:val="none" w:sz="0" w:space="0" w:color="auto"/>
            <w:right w:val="none" w:sz="0" w:space="0" w:color="auto"/>
          </w:divBdr>
        </w:div>
        <w:div w:id="419258955">
          <w:marLeft w:val="480"/>
          <w:marRight w:val="0"/>
          <w:marTop w:val="0"/>
          <w:marBottom w:val="0"/>
          <w:divBdr>
            <w:top w:val="none" w:sz="0" w:space="0" w:color="auto"/>
            <w:left w:val="none" w:sz="0" w:space="0" w:color="auto"/>
            <w:bottom w:val="none" w:sz="0" w:space="0" w:color="auto"/>
            <w:right w:val="none" w:sz="0" w:space="0" w:color="auto"/>
          </w:divBdr>
        </w:div>
        <w:div w:id="699817420">
          <w:marLeft w:val="480"/>
          <w:marRight w:val="0"/>
          <w:marTop w:val="0"/>
          <w:marBottom w:val="0"/>
          <w:divBdr>
            <w:top w:val="none" w:sz="0" w:space="0" w:color="auto"/>
            <w:left w:val="none" w:sz="0" w:space="0" w:color="auto"/>
            <w:bottom w:val="none" w:sz="0" w:space="0" w:color="auto"/>
            <w:right w:val="none" w:sz="0" w:space="0" w:color="auto"/>
          </w:divBdr>
        </w:div>
        <w:div w:id="966009616">
          <w:marLeft w:val="480"/>
          <w:marRight w:val="0"/>
          <w:marTop w:val="0"/>
          <w:marBottom w:val="0"/>
          <w:divBdr>
            <w:top w:val="none" w:sz="0" w:space="0" w:color="auto"/>
            <w:left w:val="none" w:sz="0" w:space="0" w:color="auto"/>
            <w:bottom w:val="none" w:sz="0" w:space="0" w:color="auto"/>
            <w:right w:val="none" w:sz="0" w:space="0" w:color="auto"/>
          </w:divBdr>
        </w:div>
        <w:div w:id="1401828666">
          <w:marLeft w:val="480"/>
          <w:marRight w:val="0"/>
          <w:marTop w:val="0"/>
          <w:marBottom w:val="0"/>
          <w:divBdr>
            <w:top w:val="none" w:sz="0" w:space="0" w:color="auto"/>
            <w:left w:val="none" w:sz="0" w:space="0" w:color="auto"/>
            <w:bottom w:val="none" w:sz="0" w:space="0" w:color="auto"/>
            <w:right w:val="none" w:sz="0" w:space="0" w:color="auto"/>
          </w:divBdr>
        </w:div>
        <w:div w:id="1591429149">
          <w:marLeft w:val="480"/>
          <w:marRight w:val="0"/>
          <w:marTop w:val="0"/>
          <w:marBottom w:val="0"/>
          <w:divBdr>
            <w:top w:val="none" w:sz="0" w:space="0" w:color="auto"/>
            <w:left w:val="none" w:sz="0" w:space="0" w:color="auto"/>
            <w:bottom w:val="none" w:sz="0" w:space="0" w:color="auto"/>
            <w:right w:val="none" w:sz="0" w:space="0" w:color="auto"/>
          </w:divBdr>
        </w:div>
        <w:div w:id="1667439567">
          <w:marLeft w:val="480"/>
          <w:marRight w:val="0"/>
          <w:marTop w:val="0"/>
          <w:marBottom w:val="0"/>
          <w:divBdr>
            <w:top w:val="none" w:sz="0" w:space="0" w:color="auto"/>
            <w:left w:val="none" w:sz="0" w:space="0" w:color="auto"/>
            <w:bottom w:val="none" w:sz="0" w:space="0" w:color="auto"/>
            <w:right w:val="none" w:sz="0" w:space="0" w:color="auto"/>
          </w:divBdr>
        </w:div>
      </w:divsChild>
    </w:div>
    <w:div w:id="364721079">
      <w:bodyDiv w:val="1"/>
      <w:marLeft w:val="0"/>
      <w:marRight w:val="0"/>
      <w:marTop w:val="0"/>
      <w:marBottom w:val="0"/>
      <w:divBdr>
        <w:top w:val="none" w:sz="0" w:space="0" w:color="auto"/>
        <w:left w:val="none" w:sz="0" w:space="0" w:color="auto"/>
        <w:bottom w:val="none" w:sz="0" w:space="0" w:color="auto"/>
        <w:right w:val="none" w:sz="0" w:space="0" w:color="auto"/>
      </w:divBdr>
    </w:div>
    <w:div w:id="366031866">
      <w:bodyDiv w:val="1"/>
      <w:marLeft w:val="0"/>
      <w:marRight w:val="0"/>
      <w:marTop w:val="0"/>
      <w:marBottom w:val="0"/>
      <w:divBdr>
        <w:top w:val="none" w:sz="0" w:space="0" w:color="auto"/>
        <w:left w:val="none" w:sz="0" w:space="0" w:color="auto"/>
        <w:bottom w:val="none" w:sz="0" w:space="0" w:color="auto"/>
        <w:right w:val="none" w:sz="0" w:space="0" w:color="auto"/>
      </w:divBdr>
      <w:divsChild>
        <w:div w:id="858852109">
          <w:marLeft w:val="480"/>
          <w:marRight w:val="0"/>
          <w:marTop w:val="0"/>
          <w:marBottom w:val="0"/>
          <w:divBdr>
            <w:top w:val="none" w:sz="0" w:space="0" w:color="auto"/>
            <w:left w:val="none" w:sz="0" w:space="0" w:color="auto"/>
            <w:bottom w:val="none" w:sz="0" w:space="0" w:color="auto"/>
            <w:right w:val="none" w:sz="0" w:space="0" w:color="auto"/>
          </w:divBdr>
        </w:div>
        <w:div w:id="1075905926">
          <w:marLeft w:val="480"/>
          <w:marRight w:val="0"/>
          <w:marTop w:val="0"/>
          <w:marBottom w:val="0"/>
          <w:divBdr>
            <w:top w:val="none" w:sz="0" w:space="0" w:color="auto"/>
            <w:left w:val="none" w:sz="0" w:space="0" w:color="auto"/>
            <w:bottom w:val="none" w:sz="0" w:space="0" w:color="auto"/>
            <w:right w:val="none" w:sz="0" w:space="0" w:color="auto"/>
          </w:divBdr>
        </w:div>
        <w:div w:id="1596664962">
          <w:marLeft w:val="480"/>
          <w:marRight w:val="0"/>
          <w:marTop w:val="0"/>
          <w:marBottom w:val="0"/>
          <w:divBdr>
            <w:top w:val="none" w:sz="0" w:space="0" w:color="auto"/>
            <w:left w:val="none" w:sz="0" w:space="0" w:color="auto"/>
            <w:bottom w:val="none" w:sz="0" w:space="0" w:color="auto"/>
            <w:right w:val="none" w:sz="0" w:space="0" w:color="auto"/>
          </w:divBdr>
        </w:div>
        <w:div w:id="1778404916">
          <w:marLeft w:val="480"/>
          <w:marRight w:val="0"/>
          <w:marTop w:val="0"/>
          <w:marBottom w:val="0"/>
          <w:divBdr>
            <w:top w:val="none" w:sz="0" w:space="0" w:color="auto"/>
            <w:left w:val="none" w:sz="0" w:space="0" w:color="auto"/>
            <w:bottom w:val="none" w:sz="0" w:space="0" w:color="auto"/>
            <w:right w:val="none" w:sz="0" w:space="0" w:color="auto"/>
          </w:divBdr>
        </w:div>
        <w:div w:id="1785533219">
          <w:marLeft w:val="480"/>
          <w:marRight w:val="0"/>
          <w:marTop w:val="0"/>
          <w:marBottom w:val="0"/>
          <w:divBdr>
            <w:top w:val="none" w:sz="0" w:space="0" w:color="auto"/>
            <w:left w:val="none" w:sz="0" w:space="0" w:color="auto"/>
            <w:bottom w:val="none" w:sz="0" w:space="0" w:color="auto"/>
            <w:right w:val="none" w:sz="0" w:space="0" w:color="auto"/>
          </w:divBdr>
        </w:div>
      </w:divsChild>
    </w:div>
    <w:div w:id="367070262">
      <w:marLeft w:val="480"/>
      <w:marRight w:val="0"/>
      <w:marTop w:val="0"/>
      <w:marBottom w:val="0"/>
      <w:divBdr>
        <w:top w:val="none" w:sz="0" w:space="0" w:color="auto"/>
        <w:left w:val="none" w:sz="0" w:space="0" w:color="auto"/>
        <w:bottom w:val="none" w:sz="0" w:space="0" w:color="auto"/>
        <w:right w:val="none" w:sz="0" w:space="0" w:color="auto"/>
      </w:divBdr>
    </w:div>
    <w:div w:id="367923780">
      <w:bodyDiv w:val="1"/>
      <w:marLeft w:val="0"/>
      <w:marRight w:val="0"/>
      <w:marTop w:val="0"/>
      <w:marBottom w:val="0"/>
      <w:divBdr>
        <w:top w:val="none" w:sz="0" w:space="0" w:color="auto"/>
        <w:left w:val="none" w:sz="0" w:space="0" w:color="auto"/>
        <w:bottom w:val="none" w:sz="0" w:space="0" w:color="auto"/>
        <w:right w:val="none" w:sz="0" w:space="0" w:color="auto"/>
      </w:divBdr>
    </w:div>
    <w:div w:id="368382751">
      <w:marLeft w:val="480"/>
      <w:marRight w:val="0"/>
      <w:marTop w:val="0"/>
      <w:marBottom w:val="0"/>
      <w:divBdr>
        <w:top w:val="none" w:sz="0" w:space="0" w:color="auto"/>
        <w:left w:val="none" w:sz="0" w:space="0" w:color="auto"/>
        <w:bottom w:val="none" w:sz="0" w:space="0" w:color="auto"/>
        <w:right w:val="none" w:sz="0" w:space="0" w:color="auto"/>
      </w:divBdr>
    </w:div>
    <w:div w:id="369230659">
      <w:marLeft w:val="480"/>
      <w:marRight w:val="0"/>
      <w:marTop w:val="0"/>
      <w:marBottom w:val="0"/>
      <w:divBdr>
        <w:top w:val="none" w:sz="0" w:space="0" w:color="auto"/>
        <w:left w:val="none" w:sz="0" w:space="0" w:color="auto"/>
        <w:bottom w:val="none" w:sz="0" w:space="0" w:color="auto"/>
        <w:right w:val="none" w:sz="0" w:space="0" w:color="auto"/>
      </w:divBdr>
    </w:div>
    <w:div w:id="369309065">
      <w:marLeft w:val="480"/>
      <w:marRight w:val="0"/>
      <w:marTop w:val="0"/>
      <w:marBottom w:val="0"/>
      <w:divBdr>
        <w:top w:val="none" w:sz="0" w:space="0" w:color="auto"/>
        <w:left w:val="none" w:sz="0" w:space="0" w:color="auto"/>
        <w:bottom w:val="none" w:sz="0" w:space="0" w:color="auto"/>
        <w:right w:val="none" w:sz="0" w:space="0" w:color="auto"/>
      </w:divBdr>
    </w:div>
    <w:div w:id="370108663">
      <w:marLeft w:val="480"/>
      <w:marRight w:val="0"/>
      <w:marTop w:val="0"/>
      <w:marBottom w:val="0"/>
      <w:divBdr>
        <w:top w:val="none" w:sz="0" w:space="0" w:color="auto"/>
        <w:left w:val="none" w:sz="0" w:space="0" w:color="auto"/>
        <w:bottom w:val="none" w:sz="0" w:space="0" w:color="auto"/>
        <w:right w:val="none" w:sz="0" w:space="0" w:color="auto"/>
      </w:divBdr>
    </w:div>
    <w:div w:id="372272090">
      <w:marLeft w:val="480"/>
      <w:marRight w:val="0"/>
      <w:marTop w:val="0"/>
      <w:marBottom w:val="0"/>
      <w:divBdr>
        <w:top w:val="none" w:sz="0" w:space="0" w:color="auto"/>
        <w:left w:val="none" w:sz="0" w:space="0" w:color="auto"/>
        <w:bottom w:val="none" w:sz="0" w:space="0" w:color="auto"/>
        <w:right w:val="none" w:sz="0" w:space="0" w:color="auto"/>
      </w:divBdr>
    </w:div>
    <w:div w:id="374886581">
      <w:bodyDiv w:val="1"/>
      <w:marLeft w:val="0"/>
      <w:marRight w:val="0"/>
      <w:marTop w:val="0"/>
      <w:marBottom w:val="0"/>
      <w:divBdr>
        <w:top w:val="none" w:sz="0" w:space="0" w:color="auto"/>
        <w:left w:val="none" w:sz="0" w:space="0" w:color="auto"/>
        <w:bottom w:val="none" w:sz="0" w:space="0" w:color="auto"/>
        <w:right w:val="none" w:sz="0" w:space="0" w:color="auto"/>
      </w:divBdr>
      <w:divsChild>
        <w:div w:id="980815531">
          <w:marLeft w:val="480"/>
          <w:marRight w:val="0"/>
          <w:marTop w:val="0"/>
          <w:marBottom w:val="0"/>
          <w:divBdr>
            <w:top w:val="none" w:sz="0" w:space="0" w:color="auto"/>
            <w:left w:val="none" w:sz="0" w:space="0" w:color="auto"/>
            <w:bottom w:val="none" w:sz="0" w:space="0" w:color="auto"/>
            <w:right w:val="none" w:sz="0" w:space="0" w:color="auto"/>
          </w:divBdr>
        </w:div>
        <w:div w:id="1364943724">
          <w:marLeft w:val="480"/>
          <w:marRight w:val="0"/>
          <w:marTop w:val="0"/>
          <w:marBottom w:val="0"/>
          <w:divBdr>
            <w:top w:val="none" w:sz="0" w:space="0" w:color="auto"/>
            <w:left w:val="none" w:sz="0" w:space="0" w:color="auto"/>
            <w:bottom w:val="none" w:sz="0" w:space="0" w:color="auto"/>
            <w:right w:val="none" w:sz="0" w:space="0" w:color="auto"/>
          </w:divBdr>
        </w:div>
        <w:div w:id="1658730589">
          <w:marLeft w:val="480"/>
          <w:marRight w:val="0"/>
          <w:marTop w:val="0"/>
          <w:marBottom w:val="0"/>
          <w:divBdr>
            <w:top w:val="none" w:sz="0" w:space="0" w:color="auto"/>
            <w:left w:val="none" w:sz="0" w:space="0" w:color="auto"/>
            <w:bottom w:val="none" w:sz="0" w:space="0" w:color="auto"/>
            <w:right w:val="none" w:sz="0" w:space="0" w:color="auto"/>
          </w:divBdr>
        </w:div>
        <w:div w:id="1902016498">
          <w:marLeft w:val="480"/>
          <w:marRight w:val="0"/>
          <w:marTop w:val="0"/>
          <w:marBottom w:val="0"/>
          <w:divBdr>
            <w:top w:val="none" w:sz="0" w:space="0" w:color="auto"/>
            <w:left w:val="none" w:sz="0" w:space="0" w:color="auto"/>
            <w:bottom w:val="none" w:sz="0" w:space="0" w:color="auto"/>
            <w:right w:val="none" w:sz="0" w:space="0" w:color="auto"/>
          </w:divBdr>
          <w:divsChild>
            <w:div w:id="208273511">
              <w:marLeft w:val="0"/>
              <w:marRight w:val="0"/>
              <w:marTop w:val="0"/>
              <w:marBottom w:val="0"/>
              <w:divBdr>
                <w:top w:val="none" w:sz="0" w:space="0" w:color="auto"/>
                <w:left w:val="none" w:sz="0" w:space="0" w:color="auto"/>
                <w:bottom w:val="none" w:sz="0" w:space="0" w:color="auto"/>
                <w:right w:val="none" w:sz="0" w:space="0" w:color="auto"/>
              </w:divBdr>
              <w:divsChild>
                <w:div w:id="1018655860">
                  <w:marLeft w:val="480"/>
                  <w:marRight w:val="0"/>
                  <w:marTop w:val="0"/>
                  <w:marBottom w:val="0"/>
                  <w:divBdr>
                    <w:top w:val="none" w:sz="0" w:space="0" w:color="auto"/>
                    <w:left w:val="none" w:sz="0" w:space="0" w:color="auto"/>
                    <w:bottom w:val="none" w:sz="0" w:space="0" w:color="auto"/>
                    <w:right w:val="none" w:sz="0" w:space="0" w:color="auto"/>
                  </w:divBdr>
                </w:div>
                <w:div w:id="1038816369">
                  <w:marLeft w:val="480"/>
                  <w:marRight w:val="0"/>
                  <w:marTop w:val="0"/>
                  <w:marBottom w:val="0"/>
                  <w:divBdr>
                    <w:top w:val="none" w:sz="0" w:space="0" w:color="auto"/>
                    <w:left w:val="none" w:sz="0" w:space="0" w:color="auto"/>
                    <w:bottom w:val="none" w:sz="0" w:space="0" w:color="auto"/>
                    <w:right w:val="none" w:sz="0" w:space="0" w:color="auto"/>
                  </w:divBdr>
                </w:div>
                <w:div w:id="1052775302">
                  <w:marLeft w:val="480"/>
                  <w:marRight w:val="0"/>
                  <w:marTop w:val="0"/>
                  <w:marBottom w:val="0"/>
                  <w:divBdr>
                    <w:top w:val="none" w:sz="0" w:space="0" w:color="auto"/>
                    <w:left w:val="none" w:sz="0" w:space="0" w:color="auto"/>
                    <w:bottom w:val="none" w:sz="0" w:space="0" w:color="auto"/>
                    <w:right w:val="none" w:sz="0" w:space="0" w:color="auto"/>
                  </w:divBdr>
                </w:div>
                <w:div w:id="1662584046">
                  <w:marLeft w:val="480"/>
                  <w:marRight w:val="0"/>
                  <w:marTop w:val="0"/>
                  <w:marBottom w:val="0"/>
                  <w:divBdr>
                    <w:top w:val="none" w:sz="0" w:space="0" w:color="auto"/>
                    <w:left w:val="none" w:sz="0" w:space="0" w:color="auto"/>
                    <w:bottom w:val="none" w:sz="0" w:space="0" w:color="auto"/>
                    <w:right w:val="none" w:sz="0" w:space="0" w:color="auto"/>
                  </w:divBdr>
                </w:div>
                <w:div w:id="1890722873">
                  <w:marLeft w:val="480"/>
                  <w:marRight w:val="0"/>
                  <w:marTop w:val="0"/>
                  <w:marBottom w:val="0"/>
                  <w:divBdr>
                    <w:top w:val="none" w:sz="0" w:space="0" w:color="auto"/>
                    <w:left w:val="none" w:sz="0" w:space="0" w:color="auto"/>
                    <w:bottom w:val="none" w:sz="0" w:space="0" w:color="auto"/>
                    <w:right w:val="none" w:sz="0" w:space="0" w:color="auto"/>
                  </w:divBdr>
                </w:div>
                <w:div w:id="1914512606">
                  <w:marLeft w:val="480"/>
                  <w:marRight w:val="0"/>
                  <w:marTop w:val="0"/>
                  <w:marBottom w:val="0"/>
                  <w:divBdr>
                    <w:top w:val="none" w:sz="0" w:space="0" w:color="auto"/>
                    <w:left w:val="none" w:sz="0" w:space="0" w:color="auto"/>
                    <w:bottom w:val="none" w:sz="0" w:space="0" w:color="auto"/>
                    <w:right w:val="none" w:sz="0" w:space="0" w:color="auto"/>
                  </w:divBdr>
                </w:div>
              </w:divsChild>
            </w:div>
            <w:div w:id="386759802">
              <w:marLeft w:val="0"/>
              <w:marRight w:val="0"/>
              <w:marTop w:val="0"/>
              <w:marBottom w:val="0"/>
              <w:divBdr>
                <w:top w:val="none" w:sz="0" w:space="0" w:color="auto"/>
                <w:left w:val="none" w:sz="0" w:space="0" w:color="auto"/>
                <w:bottom w:val="none" w:sz="0" w:space="0" w:color="auto"/>
                <w:right w:val="none" w:sz="0" w:space="0" w:color="auto"/>
              </w:divBdr>
              <w:divsChild>
                <w:div w:id="137723621">
                  <w:marLeft w:val="480"/>
                  <w:marRight w:val="0"/>
                  <w:marTop w:val="0"/>
                  <w:marBottom w:val="0"/>
                  <w:divBdr>
                    <w:top w:val="none" w:sz="0" w:space="0" w:color="auto"/>
                    <w:left w:val="none" w:sz="0" w:space="0" w:color="auto"/>
                    <w:bottom w:val="none" w:sz="0" w:space="0" w:color="auto"/>
                    <w:right w:val="none" w:sz="0" w:space="0" w:color="auto"/>
                  </w:divBdr>
                </w:div>
                <w:div w:id="245463724">
                  <w:marLeft w:val="480"/>
                  <w:marRight w:val="0"/>
                  <w:marTop w:val="0"/>
                  <w:marBottom w:val="0"/>
                  <w:divBdr>
                    <w:top w:val="none" w:sz="0" w:space="0" w:color="auto"/>
                    <w:left w:val="none" w:sz="0" w:space="0" w:color="auto"/>
                    <w:bottom w:val="none" w:sz="0" w:space="0" w:color="auto"/>
                    <w:right w:val="none" w:sz="0" w:space="0" w:color="auto"/>
                  </w:divBdr>
                </w:div>
                <w:div w:id="1003044308">
                  <w:marLeft w:val="480"/>
                  <w:marRight w:val="0"/>
                  <w:marTop w:val="0"/>
                  <w:marBottom w:val="0"/>
                  <w:divBdr>
                    <w:top w:val="none" w:sz="0" w:space="0" w:color="auto"/>
                    <w:left w:val="none" w:sz="0" w:space="0" w:color="auto"/>
                    <w:bottom w:val="none" w:sz="0" w:space="0" w:color="auto"/>
                    <w:right w:val="none" w:sz="0" w:space="0" w:color="auto"/>
                  </w:divBdr>
                </w:div>
                <w:div w:id="1046952093">
                  <w:marLeft w:val="480"/>
                  <w:marRight w:val="0"/>
                  <w:marTop w:val="0"/>
                  <w:marBottom w:val="0"/>
                  <w:divBdr>
                    <w:top w:val="none" w:sz="0" w:space="0" w:color="auto"/>
                    <w:left w:val="none" w:sz="0" w:space="0" w:color="auto"/>
                    <w:bottom w:val="none" w:sz="0" w:space="0" w:color="auto"/>
                    <w:right w:val="none" w:sz="0" w:space="0" w:color="auto"/>
                  </w:divBdr>
                </w:div>
                <w:div w:id="1093864337">
                  <w:marLeft w:val="480"/>
                  <w:marRight w:val="0"/>
                  <w:marTop w:val="0"/>
                  <w:marBottom w:val="0"/>
                  <w:divBdr>
                    <w:top w:val="none" w:sz="0" w:space="0" w:color="auto"/>
                    <w:left w:val="none" w:sz="0" w:space="0" w:color="auto"/>
                    <w:bottom w:val="none" w:sz="0" w:space="0" w:color="auto"/>
                    <w:right w:val="none" w:sz="0" w:space="0" w:color="auto"/>
                  </w:divBdr>
                </w:div>
                <w:div w:id="1809201839">
                  <w:marLeft w:val="480"/>
                  <w:marRight w:val="0"/>
                  <w:marTop w:val="0"/>
                  <w:marBottom w:val="0"/>
                  <w:divBdr>
                    <w:top w:val="none" w:sz="0" w:space="0" w:color="auto"/>
                    <w:left w:val="none" w:sz="0" w:space="0" w:color="auto"/>
                    <w:bottom w:val="none" w:sz="0" w:space="0" w:color="auto"/>
                    <w:right w:val="none" w:sz="0" w:space="0" w:color="auto"/>
                  </w:divBdr>
                </w:div>
                <w:div w:id="2124691046">
                  <w:marLeft w:val="480"/>
                  <w:marRight w:val="0"/>
                  <w:marTop w:val="0"/>
                  <w:marBottom w:val="0"/>
                  <w:divBdr>
                    <w:top w:val="none" w:sz="0" w:space="0" w:color="auto"/>
                    <w:left w:val="none" w:sz="0" w:space="0" w:color="auto"/>
                    <w:bottom w:val="none" w:sz="0" w:space="0" w:color="auto"/>
                    <w:right w:val="none" w:sz="0" w:space="0" w:color="auto"/>
                  </w:divBdr>
                </w:div>
              </w:divsChild>
            </w:div>
            <w:div w:id="1330017376">
              <w:marLeft w:val="0"/>
              <w:marRight w:val="0"/>
              <w:marTop w:val="0"/>
              <w:marBottom w:val="0"/>
              <w:divBdr>
                <w:top w:val="none" w:sz="0" w:space="0" w:color="auto"/>
                <w:left w:val="none" w:sz="0" w:space="0" w:color="auto"/>
                <w:bottom w:val="none" w:sz="0" w:space="0" w:color="auto"/>
                <w:right w:val="none" w:sz="0" w:space="0" w:color="auto"/>
              </w:divBdr>
              <w:divsChild>
                <w:div w:id="311909414">
                  <w:marLeft w:val="480"/>
                  <w:marRight w:val="0"/>
                  <w:marTop w:val="0"/>
                  <w:marBottom w:val="0"/>
                  <w:divBdr>
                    <w:top w:val="none" w:sz="0" w:space="0" w:color="auto"/>
                    <w:left w:val="none" w:sz="0" w:space="0" w:color="auto"/>
                    <w:bottom w:val="none" w:sz="0" w:space="0" w:color="auto"/>
                    <w:right w:val="none" w:sz="0" w:space="0" w:color="auto"/>
                  </w:divBdr>
                </w:div>
                <w:div w:id="942150231">
                  <w:marLeft w:val="480"/>
                  <w:marRight w:val="0"/>
                  <w:marTop w:val="0"/>
                  <w:marBottom w:val="0"/>
                  <w:divBdr>
                    <w:top w:val="none" w:sz="0" w:space="0" w:color="auto"/>
                    <w:left w:val="none" w:sz="0" w:space="0" w:color="auto"/>
                    <w:bottom w:val="none" w:sz="0" w:space="0" w:color="auto"/>
                    <w:right w:val="none" w:sz="0" w:space="0" w:color="auto"/>
                  </w:divBdr>
                </w:div>
                <w:div w:id="992220662">
                  <w:marLeft w:val="480"/>
                  <w:marRight w:val="0"/>
                  <w:marTop w:val="0"/>
                  <w:marBottom w:val="0"/>
                  <w:divBdr>
                    <w:top w:val="none" w:sz="0" w:space="0" w:color="auto"/>
                    <w:left w:val="none" w:sz="0" w:space="0" w:color="auto"/>
                    <w:bottom w:val="none" w:sz="0" w:space="0" w:color="auto"/>
                    <w:right w:val="none" w:sz="0" w:space="0" w:color="auto"/>
                  </w:divBdr>
                </w:div>
                <w:div w:id="1418096767">
                  <w:marLeft w:val="480"/>
                  <w:marRight w:val="0"/>
                  <w:marTop w:val="0"/>
                  <w:marBottom w:val="0"/>
                  <w:divBdr>
                    <w:top w:val="none" w:sz="0" w:space="0" w:color="auto"/>
                    <w:left w:val="none" w:sz="0" w:space="0" w:color="auto"/>
                    <w:bottom w:val="none" w:sz="0" w:space="0" w:color="auto"/>
                    <w:right w:val="none" w:sz="0" w:space="0" w:color="auto"/>
                  </w:divBdr>
                </w:div>
                <w:div w:id="1585603836">
                  <w:marLeft w:val="480"/>
                  <w:marRight w:val="0"/>
                  <w:marTop w:val="0"/>
                  <w:marBottom w:val="0"/>
                  <w:divBdr>
                    <w:top w:val="none" w:sz="0" w:space="0" w:color="auto"/>
                    <w:left w:val="none" w:sz="0" w:space="0" w:color="auto"/>
                    <w:bottom w:val="none" w:sz="0" w:space="0" w:color="auto"/>
                    <w:right w:val="none" w:sz="0" w:space="0" w:color="auto"/>
                  </w:divBdr>
                </w:div>
              </w:divsChild>
            </w:div>
            <w:div w:id="1763793300">
              <w:marLeft w:val="0"/>
              <w:marRight w:val="0"/>
              <w:marTop w:val="0"/>
              <w:marBottom w:val="0"/>
              <w:divBdr>
                <w:top w:val="none" w:sz="0" w:space="0" w:color="auto"/>
                <w:left w:val="none" w:sz="0" w:space="0" w:color="auto"/>
                <w:bottom w:val="none" w:sz="0" w:space="0" w:color="auto"/>
                <w:right w:val="none" w:sz="0" w:space="0" w:color="auto"/>
              </w:divBdr>
              <w:divsChild>
                <w:div w:id="639385325">
                  <w:marLeft w:val="480"/>
                  <w:marRight w:val="0"/>
                  <w:marTop w:val="0"/>
                  <w:marBottom w:val="0"/>
                  <w:divBdr>
                    <w:top w:val="none" w:sz="0" w:space="0" w:color="auto"/>
                    <w:left w:val="none" w:sz="0" w:space="0" w:color="auto"/>
                    <w:bottom w:val="none" w:sz="0" w:space="0" w:color="auto"/>
                    <w:right w:val="none" w:sz="0" w:space="0" w:color="auto"/>
                  </w:divBdr>
                </w:div>
                <w:div w:id="643779970">
                  <w:marLeft w:val="480"/>
                  <w:marRight w:val="0"/>
                  <w:marTop w:val="0"/>
                  <w:marBottom w:val="0"/>
                  <w:divBdr>
                    <w:top w:val="none" w:sz="0" w:space="0" w:color="auto"/>
                    <w:left w:val="none" w:sz="0" w:space="0" w:color="auto"/>
                    <w:bottom w:val="none" w:sz="0" w:space="0" w:color="auto"/>
                    <w:right w:val="none" w:sz="0" w:space="0" w:color="auto"/>
                  </w:divBdr>
                </w:div>
                <w:div w:id="887180361">
                  <w:marLeft w:val="480"/>
                  <w:marRight w:val="0"/>
                  <w:marTop w:val="0"/>
                  <w:marBottom w:val="0"/>
                  <w:divBdr>
                    <w:top w:val="none" w:sz="0" w:space="0" w:color="auto"/>
                    <w:left w:val="none" w:sz="0" w:space="0" w:color="auto"/>
                    <w:bottom w:val="none" w:sz="0" w:space="0" w:color="auto"/>
                    <w:right w:val="none" w:sz="0" w:space="0" w:color="auto"/>
                  </w:divBdr>
                </w:div>
                <w:div w:id="1656185908">
                  <w:marLeft w:val="480"/>
                  <w:marRight w:val="0"/>
                  <w:marTop w:val="0"/>
                  <w:marBottom w:val="0"/>
                  <w:divBdr>
                    <w:top w:val="none" w:sz="0" w:space="0" w:color="auto"/>
                    <w:left w:val="none" w:sz="0" w:space="0" w:color="auto"/>
                    <w:bottom w:val="none" w:sz="0" w:space="0" w:color="auto"/>
                    <w:right w:val="none" w:sz="0" w:space="0" w:color="auto"/>
                  </w:divBdr>
                </w:div>
                <w:div w:id="1724326505">
                  <w:marLeft w:val="480"/>
                  <w:marRight w:val="0"/>
                  <w:marTop w:val="0"/>
                  <w:marBottom w:val="0"/>
                  <w:divBdr>
                    <w:top w:val="none" w:sz="0" w:space="0" w:color="auto"/>
                    <w:left w:val="none" w:sz="0" w:space="0" w:color="auto"/>
                    <w:bottom w:val="none" w:sz="0" w:space="0" w:color="auto"/>
                    <w:right w:val="none" w:sz="0" w:space="0" w:color="auto"/>
                  </w:divBdr>
                </w:div>
              </w:divsChild>
            </w:div>
            <w:div w:id="2013222145">
              <w:marLeft w:val="0"/>
              <w:marRight w:val="0"/>
              <w:marTop w:val="0"/>
              <w:marBottom w:val="0"/>
              <w:divBdr>
                <w:top w:val="none" w:sz="0" w:space="0" w:color="auto"/>
                <w:left w:val="none" w:sz="0" w:space="0" w:color="auto"/>
                <w:bottom w:val="none" w:sz="0" w:space="0" w:color="auto"/>
                <w:right w:val="none" w:sz="0" w:space="0" w:color="auto"/>
              </w:divBdr>
              <w:divsChild>
                <w:div w:id="400567301">
                  <w:marLeft w:val="480"/>
                  <w:marRight w:val="0"/>
                  <w:marTop w:val="0"/>
                  <w:marBottom w:val="0"/>
                  <w:divBdr>
                    <w:top w:val="none" w:sz="0" w:space="0" w:color="auto"/>
                    <w:left w:val="none" w:sz="0" w:space="0" w:color="auto"/>
                    <w:bottom w:val="none" w:sz="0" w:space="0" w:color="auto"/>
                    <w:right w:val="none" w:sz="0" w:space="0" w:color="auto"/>
                  </w:divBdr>
                </w:div>
                <w:div w:id="547378976">
                  <w:marLeft w:val="480"/>
                  <w:marRight w:val="0"/>
                  <w:marTop w:val="0"/>
                  <w:marBottom w:val="0"/>
                  <w:divBdr>
                    <w:top w:val="none" w:sz="0" w:space="0" w:color="auto"/>
                    <w:left w:val="none" w:sz="0" w:space="0" w:color="auto"/>
                    <w:bottom w:val="none" w:sz="0" w:space="0" w:color="auto"/>
                    <w:right w:val="none" w:sz="0" w:space="0" w:color="auto"/>
                  </w:divBdr>
                </w:div>
                <w:div w:id="702941855">
                  <w:marLeft w:val="480"/>
                  <w:marRight w:val="0"/>
                  <w:marTop w:val="0"/>
                  <w:marBottom w:val="0"/>
                  <w:divBdr>
                    <w:top w:val="none" w:sz="0" w:space="0" w:color="auto"/>
                    <w:left w:val="none" w:sz="0" w:space="0" w:color="auto"/>
                    <w:bottom w:val="none" w:sz="0" w:space="0" w:color="auto"/>
                    <w:right w:val="none" w:sz="0" w:space="0" w:color="auto"/>
                  </w:divBdr>
                </w:div>
                <w:div w:id="805198096">
                  <w:marLeft w:val="480"/>
                  <w:marRight w:val="0"/>
                  <w:marTop w:val="0"/>
                  <w:marBottom w:val="0"/>
                  <w:divBdr>
                    <w:top w:val="none" w:sz="0" w:space="0" w:color="auto"/>
                    <w:left w:val="none" w:sz="0" w:space="0" w:color="auto"/>
                    <w:bottom w:val="none" w:sz="0" w:space="0" w:color="auto"/>
                    <w:right w:val="none" w:sz="0" w:space="0" w:color="auto"/>
                  </w:divBdr>
                </w:div>
                <w:div w:id="1688676836">
                  <w:marLeft w:val="480"/>
                  <w:marRight w:val="0"/>
                  <w:marTop w:val="0"/>
                  <w:marBottom w:val="0"/>
                  <w:divBdr>
                    <w:top w:val="none" w:sz="0" w:space="0" w:color="auto"/>
                    <w:left w:val="none" w:sz="0" w:space="0" w:color="auto"/>
                    <w:bottom w:val="none" w:sz="0" w:space="0" w:color="auto"/>
                    <w:right w:val="none" w:sz="0" w:space="0" w:color="auto"/>
                  </w:divBdr>
                </w:div>
                <w:div w:id="1763448015">
                  <w:marLeft w:val="480"/>
                  <w:marRight w:val="0"/>
                  <w:marTop w:val="0"/>
                  <w:marBottom w:val="0"/>
                  <w:divBdr>
                    <w:top w:val="none" w:sz="0" w:space="0" w:color="auto"/>
                    <w:left w:val="none" w:sz="0" w:space="0" w:color="auto"/>
                    <w:bottom w:val="none" w:sz="0" w:space="0" w:color="auto"/>
                    <w:right w:val="none" w:sz="0" w:space="0" w:color="auto"/>
                  </w:divBdr>
                </w:div>
                <w:div w:id="1859611905">
                  <w:marLeft w:val="480"/>
                  <w:marRight w:val="0"/>
                  <w:marTop w:val="0"/>
                  <w:marBottom w:val="0"/>
                  <w:divBdr>
                    <w:top w:val="none" w:sz="0" w:space="0" w:color="auto"/>
                    <w:left w:val="none" w:sz="0" w:space="0" w:color="auto"/>
                    <w:bottom w:val="none" w:sz="0" w:space="0" w:color="auto"/>
                    <w:right w:val="none" w:sz="0" w:space="0" w:color="auto"/>
                  </w:divBdr>
                </w:div>
              </w:divsChild>
            </w:div>
            <w:div w:id="2026906871">
              <w:marLeft w:val="0"/>
              <w:marRight w:val="0"/>
              <w:marTop w:val="0"/>
              <w:marBottom w:val="0"/>
              <w:divBdr>
                <w:top w:val="none" w:sz="0" w:space="0" w:color="auto"/>
                <w:left w:val="none" w:sz="0" w:space="0" w:color="auto"/>
                <w:bottom w:val="none" w:sz="0" w:space="0" w:color="auto"/>
                <w:right w:val="none" w:sz="0" w:space="0" w:color="auto"/>
              </w:divBdr>
              <w:divsChild>
                <w:div w:id="1375304657">
                  <w:marLeft w:val="480"/>
                  <w:marRight w:val="0"/>
                  <w:marTop w:val="0"/>
                  <w:marBottom w:val="0"/>
                  <w:divBdr>
                    <w:top w:val="none" w:sz="0" w:space="0" w:color="auto"/>
                    <w:left w:val="none" w:sz="0" w:space="0" w:color="auto"/>
                    <w:bottom w:val="none" w:sz="0" w:space="0" w:color="auto"/>
                    <w:right w:val="none" w:sz="0" w:space="0" w:color="auto"/>
                  </w:divBdr>
                </w:div>
                <w:div w:id="1889221025">
                  <w:marLeft w:val="480"/>
                  <w:marRight w:val="0"/>
                  <w:marTop w:val="0"/>
                  <w:marBottom w:val="0"/>
                  <w:divBdr>
                    <w:top w:val="none" w:sz="0" w:space="0" w:color="auto"/>
                    <w:left w:val="none" w:sz="0" w:space="0" w:color="auto"/>
                    <w:bottom w:val="none" w:sz="0" w:space="0" w:color="auto"/>
                    <w:right w:val="none" w:sz="0" w:space="0" w:color="auto"/>
                  </w:divBdr>
                </w:div>
                <w:div w:id="1945847441">
                  <w:marLeft w:val="480"/>
                  <w:marRight w:val="0"/>
                  <w:marTop w:val="0"/>
                  <w:marBottom w:val="0"/>
                  <w:divBdr>
                    <w:top w:val="none" w:sz="0" w:space="0" w:color="auto"/>
                    <w:left w:val="none" w:sz="0" w:space="0" w:color="auto"/>
                    <w:bottom w:val="none" w:sz="0" w:space="0" w:color="auto"/>
                    <w:right w:val="none" w:sz="0" w:space="0" w:color="auto"/>
                  </w:divBdr>
                </w:div>
                <w:div w:id="2012098194">
                  <w:marLeft w:val="480"/>
                  <w:marRight w:val="0"/>
                  <w:marTop w:val="0"/>
                  <w:marBottom w:val="0"/>
                  <w:divBdr>
                    <w:top w:val="none" w:sz="0" w:space="0" w:color="auto"/>
                    <w:left w:val="none" w:sz="0" w:space="0" w:color="auto"/>
                    <w:bottom w:val="none" w:sz="0" w:space="0" w:color="auto"/>
                    <w:right w:val="none" w:sz="0" w:space="0" w:color="auto"/>
                  </w:divBdr>
                </w:div>
                <w:div w:id="210864713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107115008">
          <w:marLeft w:val="480"/>
          <w:marRight w:val="0"/>
          <w:marTop w:val="0"/>
          <w:marBottom w:val="0"/>
          <w:divBdr>
            <w:top w:val="none" w:sz="0" w:space="0" w:color="auto"/>
            <w:left w:val="none" w:sz="0" w:space="0" w:color="auto"/>
            <w:bottom w:val="none" w:sz="0" w:space="0" w:color="auto"/>
            <w:right w:val="none" w:sz="0" w:space="0" w:color="auto"/>
          </w:divBdr>
        </w:div>
      </w:divsChild>
    </w:div>
    <w:div w:id="376274728">
      <w:marLeft w:val="480"/>
      <w:marRight w:val="0"/>
      <w:marTop w:val="0"/>
      <w:marBottom w:val="0"/>
      <w:divBdr>
        <w:top w:val="none" w:sz="0" w:space="0" w:color="auto"/>
        <w:left w:val="none" w:sz="0" w:space="0" w:color="auto"/>
        <w:bottom w:val="none" w:sz="0" w:space="0" w:color="auto"/>
        <w:right w:val="none" w:sz="0" w:space="0" w:color="auto"/>
      </w:divBdr>
    </w:div>
    <w:div w:id="376587283">
      <w:marLeft w:val="480"/>
      <w:marRight w:val="0"/>
      <w:marTop w:val="0"/>
      <w:marBottom w:val="0"/>
      <w:divBdr>
        <w:top w:val="none" w:sz="0" w:space="0" w:color="auto"/>
        <w:left w:val="none" w:sz="0" w:space="0" w:color="auto"/>
        <w:bottom w:val="none" w:sz="0" w:space="0" w:color="auto"/>
        <w:right w:val="none" w:sz="0" w:space="0" w:color="auto"/>
      </w:divBdr>
    </w:div>
    <w:div w:id="376592401">
      <w:marLeft w:val="480"/>
      <w:marRight w:val="0"/>
      <w:marTop w:val="0"/>
      <w:marBottom w:val="0"/>
      <w:divBdr>
        <w:top w:val="none" w:sz="0" w:space="0" w:color="auto"/>
        <w:left w:val="none" w:sz="0" w:space="0" w:color="auto"/>
        <w:bottom w:val="none" w:sz="0" w:space="0" w:color="auto"/>
        <w:right w:val="none" w:sz="0" w:space="0" w:color="auto"/>
      </w:divBdr>
    </w:div>
    <w:div w:id="376899943">
      <w:marLeft w:val="480"/>
      <w:marRight w:val="0"/>
      <w:marTop w:val="0"/>
      <w:marBottom w:val="0"/>
      <w:divBdr>
        <w:top w:val="none" w:sz="0" w:space="0" w:color="auto"/>
        <w:left w:val="none" w:sz="0" w:space="0" w:color="auto"/>
        <w:bottom w:val="none" w:sz="0" w:space="0" w:color="auto"/>
        <w:right w:val="none" w:sz="0" w:space="0" w:color="auto"/>
      </w:divBdr>
    </w:div>
    <w:div w:id="376977485">
      <w:marLeft w:val="480"/>
      <w:marRight w:val="0"/>
      <w:marTop w:val="0"/>
      <w:marBottom w:val="0"/>
      <w:divBdr>
        <w:top w:val="none" w:sz="0" w:space="0" w:color="auto"/>
        <w:left w:val="none" w:sz="0" w:space="0" w:color="auto"/>
        <w:bottom w:val="none" w:sz="0" w:space="0" w:color="auto"/>
        <w:right w:val="none" w:sz="0" w:space="0" w:color="auto"/>
      </w:divBdr>
    </w:div>
    <w:div w:id="378020528">
      <w:marLeft w:val="480"/>
      <w:marRight w:val="0"/>
      <w:marTop w:val="0"/>
      <w:marBottom w:val="0"/>
      <w:divBdr>
        <w:top w:val="none" w:sz="0" w:space="0" w:color="auto"/>
        <w:left w:val="none" w:sz="0" w:space="0" w:color="auto"/>
        <w:bottom w:val="none" w:sz="0" w:space="0" w:color="auto"/>
        <w:right w:val="none" w:sz="0" w:space="0" w:color="auto"/>
      </w:divBdr>
    </w:div>
    <w:div w:id="384763189">
      <w:marLeft w:val="480"/>
      <w:marRight w:val="0"/>
      <w:marTop w:val="0"/>
      <w:marBottom w:val="0"/>
      <w:divBdr>
        <w:top w:val="none" w:sz="0" w:space="0" w:color="auto"/>
        <w:left w:val="none" w:sz="0" w:space="0" w:color="auto"/>
        <w:bottom w:val="none" w:sz="0" w:space="0" w:color="auto"/>
        <w:right w:val="none" w:sz="0" w:space="0" w:color="auto"/>
      </w:divBdr>
    </w:div>
    <w:div w:id="386615169">
      <w:marLeft w:val="480"/>
      <w:marRight w:val="0"/>
      <w:marTop w:val="0"/>
      <w:marBottom w:val="0"/>
      <w:divBdr>
        <w:top w:val="none" w:sz="0" w:space="0" w:color="auto"/>
        <w:left w:val="none" w:sz="0" w:space="0" w:color="auto"/>
        <w:bottom w:val="none" w:sz="0" w:space="0" w:color="auto"/>
        <w:right w:val="none" w:sz="0" w:space="0" w:color="auto"/>
      </w:divBdr>
    </w:div>
    <w:div w:id="387072408">
      <w:marLeft w:val="480"/>
      <w:marRight w:val="0"/>
      <w:marTop w:val="0"/>
      <w:marBottom w:val="0"/>
      <w:divBdr>
        <w:top w:val="none" w:sz="0" w:space="0" w:color="auto"/>
        <w:left w:val="none" w:sz="0" w:space="0" w:color="auto"/>
        <w:bottom w:val="none" w:sz="0" w:space="0" w:color="auto"/>
        <w:right w:val="none" w:sz="0" w:space="0" w:color="auto"/>
      </w:divBdr>
    </w:div>
    <w:div w:id="387387230">
      <w:marLeft w:val="480"/>
      <w:marRight w:val="0"/>
      <w:marTop w:val="0"/>
      <w:marBottom w:val="0"/>
      <w:divBdr>
        <w:top w:val="none" w:sz="0" w:space="0" w:color="auto"/>
        <w:left w:val="none" w:sz="0" w:space="0" w:color="auto"/>
        <w:bottom w:val="none" w:sz="0" w:space="0" w:color="auto"/>
        <w:right w:val="none" w:sz="0" w:space="0" w:color="auto"/>
      </w:divBdr>
    </w:div>
    <w:div w:id="390351952">
      <w:marLeft w:val="480"/>
      <w:marRight w:val="0"/>
      <w:marTop w:val="0"/>
      <w:marBottom w:val="0"/>
      <w:divBdr>
        <w:top w:val="none" w:sz="0" w:space="0" w:color="auto"/>
        <w:left w:val="none" w:sz="0" w:space="0" w:color="auto"/>
        <w:bottom w:val="none" w:sz="0" w:space="0" w:color="auto"/>
        <w:right w:val="none" w:sz="0" w:space="0" w:color="auto"/>
      </w:divBdr>
    </w:div>
    <w:div w:id="391583608">
      <w:bodyDiv w:val="1"/>
      <w:marLeft w:val="0"/>
      <w:marRight w:val="0"/>
      <w:marTop w:val="0"/>
      <w:marBottom w:val="0"/>
      <w:divBdr>
        <w:top w:val="none" w:sz="0" w:space="0" w:color="auto"/>
        <w:left w:val="none" w:sz="0" w:space="0" w:color="auto"/>
        <w:bottom w:val="none" w:sz="0" w:space="0" w:color="auto"/>
        <w:right w:val="none" w:sz="0" w:space="0" w:color="auto"/>
      </w:divBdr>
    </w:div>
    <w:div w:id="393117593">
      <w:marLeft w:val="480"/>
      <w:marRight w:val="0"/>
      <w:marTop w:val="0"/>
      <w:marBottom w:val="0"/>
      <w:divBdr>
        <w:top w:val="none" w:sz="0" w:space="0" w:color="auto"/>
        <w:left w:val="none" w:sz="0" w:space="0" w:color="auto"/>
        <w:bottom w:val="none" w:sz="0" w:space="0" w:color="auto"/>
        <w:right w:val="none" w:sz="0" w:space="0" w:color="auto"/>
      </w:divBdr>
    </w:div>
    <w:div w:id="396170554">
      <w:bodyDiv w:val="1"/>
      <w:marLeft w:val="0"/>
      <w:marRight w:val="0"/>
      <w:marTop w:val="0"/>
      <w:marBottom w:val="0"/>
      <w:divBdr>
        <w:top w:val="none" w:sz="0" w:space="0" w:color="auto"/>
        <w:left w:val="none" w:sz="0" w:space="0" w:color="auto"/>
        <w:bottom w:val="none" w:sz="0" w:space="0" w:color="auto"/>
        <w:right w:val="none" w:sz="0" w:space="0" w:color="auto"/>
      </w:divBdr>
      <w:divsChild>
        <w:div w:id="386270925">
          <w:marLeft w:val="480"/>
          <w:marRight w:val="0"/>
          <w:marTop w:val="0"/>
          <w:marBottom w:val="0"/>
          <w:divBdr>
            <w:top w:val="none" w:sz="0" w:space="0" w:color="auto"/>
            <w:left w:val="none" w:sz="0" w:space="0" w:color="auto"/>
            <w:bottom w:val="none" w:sz="0" w:space="0" w:color="auto"/>
            <w:right w:val="none" w:sz="0" w:space="0" w:color="auto"/>
          </w:divBdr>
        </w:div>
        <w:div w:id="555967482">
          <w:marLeft w:val="480"/>
          <w:marRight w:val="0"/>
          <w:marTop w:val="0"/>
          <w:marBottom w:val="0"/>
          <w:divBdr>
            <w:top w:val="none" w:sz="0" w:space="0" w:color="auto"/>
            <w:left w:val="none" w:sz="0" w:space="0" w:color="auto"/>
            <w:bottom w:val="none" w:sz="0" w:space="0" w:color="auto"/>
            <w:right w:val="none" w:sz="0" w:space="0" w:color="auto"/>
          </w:divBdr>
        </w:div>
        <w:div w:id="682978004">
          <w:marLeft w:val="480"/>
          <w:marRight w:val="0"/>
          <w:marTop w:val="0"/>
          <w:marBottom w:val="0"/>
          <w:divBdr>
            <w:top w:val="none" w:sz="0" w:space="0" w:color="auto"/>
            <w:left w:val="none" w:sz="0" w:space="0" w:color="auto"/>
            <w:bottom w:val="none" w:sz="0" w:space="0" w:color="auto"/>
            <w:right w:val="none" w:sz="0" w:space="0" w:color="auto"/>
          </w:divBdr>
        </w:div>
        <w:div w:id="859778830">
          <w:marLeft w:val="480"/>
          <w:marRight w:val="0"/>
          <w:marTop w:val="0"/>
          <w:marBottom w:val="0"/>
          <w:divBdr>
            <w:top w:val="none" w:sz="0" w:space="0" w:color="auto"/>
            <w:left w:val="none" w:sz="0" w:space="0" w:color="auto"/>
            <w:bottom w:val="none" w:sz="0" w:space="0" w:color="auto"/>
            <w:right w:val="none" w:sz="0" w:space="0" w:color="auto"/>
          </w:divBdr>
        </w:div>
        <w:div w:id="980426804">
          <w:marLeft w:val="480"/>
          <w:marRight w:val="0"/>
          <w:marTop w:val="0"/>
          <w:marBottom w:val="0"/>
          <w:divBdr>
            <w:top w:val="none" w:sz="0" w:space="0" w:color="auto"/>
            <w:left w:val="none" w:sz="0" w:space="0" w:color="auto"/>
            <w:bottom w:val="none" w:sz="0" w:space="0" w:color="auto"/>
            <w:right w:val="none" w:sz="0" w:space="0" w:color="auto"/>
          </w:divBdr>
        </w:div>
        <w:div w:id="1215972271">
          <w:marLeft w:val="480"/>
          <w:marRight w:val="0"/>
          <w:marTop w:val="0"/>
          <w:marBottom w:val="0"/>
          <w:divBdr>
            <w:top w:val="none" w:sz="0" w:space="0" w:color="auto"/>
            <w:left w:val="none" w:sz="0" w:space="0" w:color="auto"/>
            <w:bottom w:val="none" w:sz="0" w:space="0" w:color="auto"/>
            <w:right w:val="none" w:sz="0" w:space="0" w:color="auto"/>
          </w:divBdr>
        </w:div>
        <w:div w:id="1580478328">
          <w:marLeft w:val="480"/>
          <w:marRight w:val="0"/>
          <w:marTop w:val="0"/>
          <w:marBottom w:val="0"/>
          <w:divBdr>
            <w:top w:val="none" w:sz="0" w:space="0" w:color="auto"/>
            <w:left w:val="none" w:sz="0" w:space="0" w:color="auto"/>
            <w:bottom w:val="none" w:sz="0" w:space="0" w:color="auto"/>
            <w:right w:val="none" w:sz="0" w:space="0" w:color="auto"/>
          </w:divBdr>
        </w:div>
        <w:div w:id="1602105600">
          <w:marLeft w:val="480"/>
          <w:marRight w:val="0"/>
          <w:marTop w:val="0"/>
          <w:marBottom w:val="0"/>
          <w:divBdr>
            <w:top w:val="none" w:sz="0" w:space="0" w:color="auto"/>
            <w:left w:val="none" w:sz="0" w:space="0" w:color="auto"/>
            <w:bottom w:val="none" w:sz="0" w:space="0" w:color="auto"/>
            <w:right w:val="none" w:sz="0" w:space="0" w:color="auto"/>
          </w:divBdr>
        </w:div>
        <w:div w:id="1832482268">
          <w:marLeft w:val="480"/>
          <w:marRight w:val="0"/>
          <w:marTop w:val="0"/>
          <w:marBottom w:val="0"/>
          <w:divBdr>
            <w:top w:val="none" w:sz="0" w:space="0" w:color="auto"/>
            <w:left w:val="none" w:sz="0" w:space="0" w:color="auto"/>
            <w:bottom w:val="none" w:sz="0" w:space="0" w:color="auto"/>
            <w:right w:val="none" w:sz="0" w:space="0" w:color="auto"/>
          </w:divBdr>
        </w:div>
        <w:div w:id="1933737544">
          <w:marLeft w:val="480"/>
          <w:marRight w:val="0"/>
          <w:marTop w:val="0"/>
          <w:marBottom w:val="0"/>
          <w:divBdr>
            <w:top w:val="none" w:sz="0" w:space="0" w:color="auto"/>
            <w:left w:val="none" w:sz="0" w:space="0" w:color="auto"/>
            <w:bottom w:val="none" w:sz="0" w:space="0" w:color="auto"/>
            <w:right w:val="none" w:sz="0" w:space="0" w:color="auto"/>
          </w:divBdr>
        </w:div>
        <w:div w:id="1948463135">
          <w:marLeft w:val="480"/>
          <w:marRight w:val="0"/>
          <w:marTop w:val="0"/>
          <w:marBottom w:val="0"/>
          <w:divBdr>
            <w:top w:val="none" w:sz="0" w:space="0" w:color="auto"/>
            <w:left w:val="none" w:sz="0" w:space="0" w:color="auto"/>
            <w:bottom w:val="none" w:sz="0" w:space="0" w:color="auto"/>
            <w:right w:val="none" w:sz="0" w:space="0" w:color="auto"/>
          </w:divBdr>
        </w:div>
      </w:divsChild>
    </w:div>
    <w:div w:id="396634319">
      <w:bodyDiv w:val="1"/>
      <w:marLeft w:val="0"/>
      <w:marRight w:val="0"/>
      <w:marTop w:val="0"/>
      <w:marBottom w:val="0"/>
      <w:divBdr>
        <w:top w:val="none" w:sz="0" w:space="0" w:color="auto"/>
        <w:left w:val="none" w:sz="0" w:space="0" w:color="auto"/>
        <w:bottom w:val="none" w:sz="0" w:space="0" w:color="auto"/>
        <w:right w:val="none" w:sz="0" w:space="0" w:color="auto"/>
      </w:divBdr>
      <w:divsChild>
        <w:div w:id="26164516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00442492">
      <w:marLeft w:val="480"/>
      <w:marRight w:val="0"/>
      <w:marTop w:val="0"/>
      <w:marBottom w:val="0"/>
      <w:divBdr>
        <w:top w:val="none" w:sz="0" w:space="0" w:color="auto"/>
        <w:left w:val="none" w:sz="0" w:space="0" w:color="auto"/>
        <w:bottom w:val="none" w:sz="0" w:space="0" w:color="auto"/>
        <w:right w:val="none" w:sz="0" w:space="0" w:color="auto"/>
      </w:divBdr>
    </w:div>
    <w:div w:id="401298701">
      <w:marLeft w:val="480"/>
      <w:marRight w:val="0"/>
      <w:marTop w:val="0"/>
      <w:marBottom w:val="0"/>
      <w:divBdr>
        <w:top w:val="none" w:sz="0" w:space="0" w:color="auto"/>
        <w:left w:val="none" w:sz="0" w:space="0" w:color="auto"/>
        <w:bottom w:val="none" w:sz="0" w:space="0" w:color="auto"/>
        <w:right w:val="none" w:sz="0" w:space="0" w:color="auto"/>
      </w:divBdr>
    </w:div>
    <w:div w:id="402995364">
      <w:bodyDiv w:val="1"/>
      <w:marLeft w:val="0"/>
      <w:marRight w:val="0"/>
      <w:marTop w:val="0"/>
      <w:marBottom w:val="0"/>
      <w:divBdr>
        <w:top w:val="none" w:sz="0" w:space="0" w:color="auto"/>
        <w:left w:val="none" w:sz="0" w:space="0" w:color="auto"/>
        <w:bottom w:val="none" w:sz="0" w:space="0" w:color="auto"/>
        <w:right w:val="none" w:sz="0" w:space="0" w:color="auto"/>
      </w:divBdr>
    </w:div>
    <w:div w:id="403114253">
      <w:bodyDiv w:val="1"/>
      <w:marLeft w:val="0"/>
      <w:marRight w:val="0"/>
      <w:marTop w:val="0"/>
      <w:marBottom w:val="0"/>
      <w:divBdr>
        <w:top w:val="none" w:sz="0" w:space="0" w:color="auto"/>
        <w:left w:val="none" w:sz="0" w:space="0" w:color="auto"/>
        <w:bottom w:val="none" w:sz="0" w:space="0" w:color="auto"/>
        <w:right w:val="none" w:sz="0" w:space="0" w:color="auto"/>
      </w:divBdr>
      <w:divsChild>
        <w:div w:id="947616521">
          <w:blockQuote w:val="1"/>
          <w:marLeft w:val="225"/>
          <w:marRight w:val="0"/>
          <w:marTop w:val="0"/>
          <w:marBottom w:val="0"/>
          <w:divBdr>
            <w:top w:val="none" w:sz="0" w:space="0" w:color="auto"/>
            <w:left w:val="none" w:sz="0" w:space="0" w:color="auto"/>
            <w:bottom w:val="none" w:sz="0" w:space="0" w:color="auto"/>
            <w:right w:val="none" w:sz="0" w:space="0" w:color="auto"/>
          </w:divBdr>
        </w:div>
        <w:div w:id="1210648312">
          <w:blockQuote w:val="1"/>
          <w:marLeft w:val="225"/>
          <w:marRight w:val="0"/>
          <w:marTop w:val="0"/>
          <w:marBottom w:val="0"/>
          <w:divBdr>
            <w:top w:val="none" w:sz="0" w:space="0" w:color="auto"/>
            <w:left w:val="none" w:sz="0" w:space="0" w:color="auto"/>
            <w:bottom w:val="none" w:sz="0" w:space="0" w:color="auto"/>
            <w:right w:val="none" w:sz="0" w:space="0" w:color="auto"/>
          </w:divBdr>
        </w:div>
        <w:div w:id="16779222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04258513">
      <w:marLeft w:val="480"/>
      <w:marRight w:val="0"/>
      <w:marTop w:val="0"/>
      <w:marBottom w:val="0"/>
      <w:divBdr>
        <w:top w:val="none" w:sz="0" w:space="0" w:color="auto"/>
        <w:left w:val="none" w:sz="0" w:space="0" w:color="auto"/>
        <w:bottom w:val="none" w:sz="0" w:space="0" w:color="auto"/>
        <w:right w:val="none" w:sz="0" w:space="0" w:color="auto"/>
      </w:divBdr>
    </w:div>
    <w:div w:id="406147871">
      <w:marLeft w:val="480"/>
      <w:marRight w:val="0"/>
      <w:marTop w:val="0"/>
      <w:marBottom w:val="0"/>
      <w:divBdr>
        <w:top w:val="none" w:sz="0" w:space="0" w:color="auto"/>
        <w:left w:val="none" w:sz="0" w:space="0" w:color="auto"/>
        <w:bottom w:val="none" w:sz="0" w:space="0" w:color="auto"/>
        <w:right w:val="none" w:sz="0" w:space="0" w:color="auto"/>
      </w:divBdr>
    </w:div>
    <w:div w:id="406153835">
      <w:bodyDiv w:val="1"/>
      <w:marLeft w:val="0"/>
      <w:marRight w:val="0"/>
      <w:marTop w:val="0"/>
      <w:marBottom w:val="0"/>
      <w:divBdr>
        <w:top w:val="none" w:sz="0" w:space="0" w:color="auto"/>
        <w:left w:val="none" w:sz="0" w:space="0" w:color="auto"/>
        <w:bottom w:val="none" w:sz="0" w:space="0" w:color="auto"/>
        <w:right w:val="none" w:sz="0" w:space="0" w:color="auto"/>
      </w:divBdr>
    </w:div>
    <w:div w:id="409012406">
      <w:marLeft w:val="480"/>
      <w:marRight w:val="0"/>
      <w:marTop w:val="0"/>
      <w:marBottom w:val="0"/>
      <w:divBdr>
        <w:top w:val="none" w:sz="0" w:space="0" w:color="auto"/>
        <w:left w:val="none" w:sz="0" w:space="0" w:color="auto"/>
        <w:bottom w:val="none" w:sz="0" w:space="0" w:color="auto"/>
        <w:right w:val="none" w:sz="0" w:space="0" w:color="auto"/>
      </w:divBdr>
    </w:div>
    <w:div w:id="411976850">
      <w:marLeft w:val="480"/>
      <w:marRight w:val="0"/>
      <w:marTop w:val="0"/>
      <w:marBottom w:val="0"/>
      <w:divBdr>
        <w:top w:val="none" w:sz="0" w:space="0" w:color="auto"/>
        <w:left w:val="none" w:sz="0" w:space="0" w:color="auto"/>
        <w:bottom w:val="none" w:sz="0" w:space="0" w:color="auto"/>
        <w:right w:val="none" w:sz="0" w:space="0" w:color="auto"/>
      </w:divBdr>
    </w:div>
    <w:div w:id="412044785">
      <w:marLeft w:val="480"/>
      <w:marRight w:val="0"/>
      <w:marTop w:val="0"/>
      <w:marBottom w:val="0"/>
      <w:divBdr>
        <w:top w:val="none" w:sz="0" w:space="0" w:color="auto"/>
        <w:left w:val="none" w:sz="0" w:space="0" w:color="auto"/>
        <w:bottom w:val="none" w:sz="0" w:space="0" w:color="auto"/>
        <w:right w:val="none" w:sz="0" w:space="0" w:color="auto"/>
      </w:divBdr>
    </w:div>
    <w:div w:id="416563732">
      <w:marLeft w:val="480"/>
      <w:marRight w:val="0"/>
      <w:marTop w:val="0"/>
      <w:marBottom w:val="0"/>
      <w:divBdr>
        <w:top w:val="none" w:sz="0" w:space="0" w:color="auto"/>
        <w:left w:val="none" w:sz="0" w:space="0" w:color="auto"/>
        <w:bottom w:val="none" w:sz="0" w:space="0" w:color="auto"/>
        <w:right w:val="none" w:sz="0" w:space="0" w:color="auto"/>
      </w:divBdr>
    </w:div>
    <w:div w:id="417337257">
      <w:bodyDiv w:val="1"/>
      <w:marLeft w:val="0"/>
      <w:marRight w:val="0"/>
      <w:marTop w:val="0"/>
      <w:marBottom w:val="0"/>
      <w:divBdr>
        <w:top w:val="none" w:sz="0" w:space="0" w:color="auto"/>
        <w:left w:val="none" w:sz="0" w:space="0" w:color="auto"/>
        <w:bottom w:val="none" w:sz="0" w:space="0" w:color="auto"/>
        <w:right w:val="none" w:sz="0" w:space="0" w:color="auto"/>
      </w:divBdr>
      <w:divsChild>
        <w:div w:id="117796192">
          <w:marLeft w:val="480"/>
          <w:marRight w:val="0"/>
          <w:marTop w:val="0"/>
          <w:marBottom w:val="0"/>
          <w:divBdr>
            <w:top w:val="none" w:sz="0" w:space="0" w:color="auto"/>
            <w:left w:val="none" w:sz="0" w:space="0" w:color="auto"/>
            <w:bottom w:val="none" w:sz="0" w:space="0" w:color="auto"/>
            <w:right w:val="none" w:sz="0" w:space="0" w:color="auto"/>
          </w:divBdr>
        </w:div>
        <w:div w:id="413167547">
          <w:marLeft w:val="480"/>
          <w:marRight w:val="0"/>
          <w:marTop w:val="0"/>
          <w:marBottom w:val="0"/>
          <w:divBdr>
            <w:top w:val="none" w:sz="0" w:space="0" w:color="auto"/>
            <w:left w:val="none" w:sz="0" w:space="0" w:color="auto"/>
            <w:bottom w:val="none" w:sz="0" w:space="0" w:color="auto"/>
            <w:right w:val="none" w:sz="0" w:space="0" w:color="auto"/>
          </w:divBdr>
        </w:div>
        <w:div w:id="858664142">
          <w:marLeft w:val="480"/>
          <w:marRight w:val="0"/>
          <w:marTop w:val="0"/>
          <w:marBottom w:val="0"/>
          <w:divBdr>
            <w:top w:val="none" w:sz="0" w:space="0" w:color="auto"/>
            <w:left w:val="none" w:sz="0" w:space="0" w:color="auto"/>
            <w:bottom w:val="none" w:sz="0" w:space="0" w:color="auto"/>
            <w:right w:val="none" w:sz="0" w:space="0" w:color="auto"/>
          </w:divBdr>
        </w:div>
        <w:div w:id="918296838">
          <w:marLeft w:val="480"/>
          <w:marRight w:val="0"/>
          <w:marTop w:val="0"/>
          <w:marBottom w:val="0"/>
          <w:divBdr>
            <w:top w:val="none" w:sz="0" w:space="0" w:color="auto"/>
            <w:left w:val="none" w:sz="0" w:space="0" w:color="auto"/>
            <w:bottom w:val="none" w:sz="0" w:space="0" w:color="auto"/>
            <w:right w:val="none" w:sz="0" w:space="0" w:color="auto"/>
          </w:divBdr>
        </w:div>
        <w:div w:id="1262102520">
          <w:marLeft w:val="480"/>
          <w:marRight w:val="0"/>
          <w:marTop w:val="0"/>
          <w:marBottom w:val="0"/>
          <w:divBdr>
            <w:top w:val="none" w:sz="0" w:space="0" w:color="auto"/>
            <w:left w:val="none" w:sz="0" w:space="0" w:color="auto"/>
            <w:bottom w:val="none" w:sz="0" w:space="0" w:color="auto"/>
            <w:right w:val="none" w:sz="0" w:space="0" w:color="auto"/>
          </w:divBdr>
        </w:div>
        <w:div w:id="1914701875">
          <w:marLeft w:val="480"/>
          <w:marRight w:val="0"/>
          <w:marTop w:val="0"/>
          <w:marBottom w:val="0"/>
          <w:divBdr>
            <w:top w:val="none" w:sz="0" w:space="0" w:color="auto"/>
            <w:left w:val="none" w:sz="0" w:space="0" w:color="auto"/>
            <w:bottom w:val="none" w:sz="0" w:space="0" w:color="auto"/>
            <w:right w:val="none" w:sz="0" w:space="0" w:color="auto"/>
          </w:divBdr>
        </w:div>
        <w:div w:id="1934312815">
          <w:marLeft w:val="480"/>
          <w:marRight w:val="0"/>
          <w:marTop w:val="0"/>
          <w:marBottom w:val="0"/>
          <w:divBdr>
            <w:top w:val="none" w:sz="0" w:space="0" w:color="auto"/>
            <w:left w:val="none" w:sz="0" w:space="0" w:color="auto"/>
            <w:bottom w:val="none" w:sz="0" w:space="0" w:color="auto"/>
            <w:right w:val="none" w:sz="0" w:space="0" w:color="auto"/>
          </w:divBdr>
        </w:div>
      </w:divsChild>
    </w:div>
    <w:div w:id="422383407">
      <w:marLeft w:val="480"/>
      <w:marRight w:val="0"/>
      <w:marTop w:val="0"/>
      <w:marBottom w:val="0"/>
      <w:divBdr>
        <w:top w:val="none" w:sz="0" w:space="0" w:color="auto"/>
        <w:left w:val="none" w:sz="0" w:space="0" w:color="auto"/>
        <w:bottom w:val="none" w:sz="0" w:space="0" w:color="auto"/>
        <w:right w:val="none" w:sz="0" w:space="0" w:color="auto"/>
      </w:divBdr>
    </w:div>
    <w:div w:id="422918984">
      <w:bodyDiv w:val="1"/>
      <w:marLeft w:val="0"/>
      <w:marRight w:val="0"/>
      <w:marTop w:val="0"/>
      <w:marBottom w:val="0"/>
      <w:divBdr>
        <w:top w:val="none" w:sz="0" w:space="0" w:color="auto"/>
        <w:left w:val="none" w:sz="0" w:space="0" w:color="auto"/>
        <w:bottom w:val="none" w:sz="0" w:space="0" w:color="auto"/>
        <w:right w:val="none" w:sz="0" w:space="0" w:color="auto"/>
      </w:divBdr>
      <w:divsChild>
        <w:div w:id="444153132">
          <w:marLeft w:val="480"/>
          <w:marRight w:val="0"/>
          <w:marTop w:val="0"/>
          <w:marBottom w:val="0"/>
          <w:divBdr>
            <w:top w:val="none" w:sz="0" w:space="0" w:color="auto"/>
            <w:left w:val="none" w:sz="0" w:space="0" w:color="auto"/>
            <w:bottom w:val="none" w:sz="0" w:space="0" w:color="auto"/>
            <w:right w:val="none" w:sz="0" w:space="0" w:color="auto"/>
          </w:divBdr>
        </w:div>
        <w:div w:id="539707805">
          <w:marLeft w:val="480"/>
          <w:marRight w:val="0"/>
          <w:marTop w:val="0"/>
          <w:marBottom w:val="0"/>
          <w:divBdr>
            <w:top w:val="none" w:sz="0" w:space="0" w:color="auto"/>
            <w:left w:val="none" w:sz="0" w:space="0" w:color="auto"/>
            <w:bottom w:val="none" w:sz="0" w:space="0" w:color="auto"/>
            <w:right w:val="none" w:sz="0" w:space="0" w:color="auto"/>
          </w:divBdr>
        </w:div>
        <w:div w:id="1145313538">
          <w:marLeft w:val="480"/>
          <w:marRight w:val="0"/>
          <w:marTop w:val="0"/>
          <w:marBottom w:val="0"/>
          <w:divBdr>
            <w:top w:val="none" w:sz="0" w:space="0" w:color="auto"/>
            <w:left w:val="none" w:sz="0" w:space="0" w:color="auto"/>
            <w:bottom w:val="none" w:sz="0" w:space="0" w:color="auto"/>
            <w:right w:val="none" w:sz="0" w:space="0" w:color="auto"/>
          </w:divBdr>
        </w:div>
        <w:div w:id="1231960943">
          <w:marLeft w:val="480"/>
          <w:marRight w:val="0"/>
          <w:marTop w:val="0"/>
          <w:marBottom w:val="0"/>
          <w:divBdr>
            <w:top w:val="none" w:sz="0" w:space="0" w:color="auto"/>
            <w:left w:val="none" w:sz="0" w:space="0" w:color="auto"/>
            <w:bottom w:val="none" w:sz="0" w:space="0" w:color="auto"/>
            <w:right w:val="none" w:sz="0" w:space="0" w:color="auto"/>
          </w:divBdr>
        </w:div>
        <w:div w:id="1716923673">
          <w:marLeft w:val="480"/>
          <w:marRight w:val="0"/>
          <w:marTop w:val="0"/>
          <w:marBottom w:val="0"/>
          <w:divBdr>
            <w:top w:val="none" w:sz="0" w:space="0" w:color="auto"/>
            <w:left w:val="none" w:sz="0" w:space="0" w:color="auto"/>
            <w:bottom w:val="none" w:sz="0" w:space="0" w:color="auto"/>
            <w:right w:val="none" w:sz="0" w:space="0" w:color="auto"/>
          </w:divBdr>
        </w:div>
      </w:divsChild>
    </w:div>
    <w:div w:id="427510304">
      <w:marLeft w:val="480"/>
      <w:marRight w:val="0"/>
      <w:marTop w:val="0"/>
      <w:marBottom w:val="0"/>
      <w:divBdr>
        <w:top w:val="none" w:sz="0" w:space="0" w:color="auto"/>
        <w:left w:val="none" w:sz="0" w:space="0" w:color="auto"/>
        <w:bottom w:val="none" w:sz="0" w:space="0" w:color="auto"/>
        <w:right w:val="none" w:sz="0" w:space="0" w:color="auto"/>
      </w:divBdr>
    </w:div>
    <w:div w:id="430786263">
      <w:marLeft w:val="480"/>
      <w:marRight w:val="0"/>
      <w:marTop w:val="0"/>
      <w:marBottom w:val="0"/>
      <w:divBdr>
        <w:top w:val="none" w:sz="0" w:space="0" w:color="auto"/>
        <w:left w:val="none" w:sz="0" w:space="0" w:color="auto"/>
        <w:bottom w:val="none" w:sz="0" w:space="0" w:color="auto"/>
        <w:right w:val="none" w:sz="0" w:space="0" w:color="auto"/>
      </w:divBdr>
    </w:div>
    <w:div w:id="431708853">
      <w:bodyDiv w:val="1"/>
      <w:marLeft w:val="0"/>
      <w:marRight w:val="0"/>
      <w:marTop w:val="0"/>
      <w:marBottom w:val="0"/>
      <w:divBdr>
        <w:top w:val="none" w:sz="0" w:space="0" w:color="auto"/>
        <w:left w:val="none" w:sz="0" w:space="0" w:color="auto"/>
        <w:bottom w:val="none" w:sz="0" w:space="0" w:color="auto"/>
        <w:right w:val="none" w:sz="0" w:space="0" w:color="auto"/>
      </w:divBdr>
    </w:div>
    <w:div w:id="432556064">
      <w:marLeft w:val="480"/>
      <w:marRight w:val="0"/>
      <w:marTop w:val="0"/>
      <w:marBottom w:val="0"/>
      <w:divBdr>
        <w:top w:val="none" w:sz="0" w:space="0" w:color="auto"/>
        <w:left w:val="none" w:sz="0" w:space="0" w:color="auto"/>
        <w:bottom w:val="none" w:sz="0" w:space="0" w:color="auto"/>
        <w:right w:val="none" w:sz="0" w:space="0" w:color="auto"/>
      </w:divBdr>
    </w:div>
    <w:div w:id="432895619">
      <w:bodyDiv w:val="1"/>
      <w:marLeft w:val="0"/>
      <w:marRight w:val="0"/>
      <w:marTop w:val="0"/>
      <w:marBottom w:val="0"/>
      <w:divBdr>
        <w:top w:val="none" w:sz="0" w:space="0" w:color="auto"/>
        <w:left w:val="none" w:sz="0" w:space="0" w:color="auto"/>
        <w:bottom w:val="none" w:sz="0" w:space="0" w:color="auto"/>
        <w:right w:val="none" w:sz="0" w:space="0" w:color="auto"/>
      </w:divBdr>
      <w:divsChild>
        <w:div w:id="93659484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35950779">
      <w:marLeft w:val="480"/>
      <w:marRight w:val="0"/>
      <w:marTop w:val="0"/>
      <w:marBottom w:val="0"/>
      <w:divBdr>
        <w:top w:val="none" w:sz="0" w:space="0" w:color="auto"/>
        <w:left w:val="none" w:sz="0" w:space="0" w:color="auto"/>
        <w:bottom w:val="none" w:sz="0" w:space="0" w:color="auto"/>
        <w:right w:val="none" w:sz="0" w:space="0" w:color="auto"/>
      </w:divBdr>
    </w:div>
    <w:div w:id="441613704">
      <w:marLeft w:val="480"/>
      <w:marRight w:val="0"/>
      <w:marTop w:val="0"/>
      <w:marBottom w:val="0"/>
      <w:divBdr>
        <w:top w:val="none" w:sz="0" w:space="0" w:color="auto"/>
        <w:left w:val="none" w:sz="0" w:space="0" w:color="auto"/>
        <w:bottom w:val="none" w:sz="0" w:space="0" w:color="auto"/>
        <w:right w:val="none" w:sz="0" w:space="0" w:color="auto"/>
      </w:divBdr>
    </w:div>
    <w:div w:id="442502651">
      <w:marLeft w:val="480"/>
      <w:marRight w:val="0"/>
      <w:marTop w:val="0"/>
      <w:marBottom w:val="0"/>
      <w:divBdr>
        <w:top w:val="none" w:sz="0" w:space="0" w:color="auto"/>
        <w:left w:val="none" w:sz="0" w:space="0" w:color="auto"/>
        <w:bottom w:val="none" w:sz="0" w:space="0" w:color="auto"/>
        <w:right w:val="none" w:sz="0" w:space="0" w:color="auto"/>
      </w:divBdr>
    </w:div>
    <w:div w:id="442577085">
      <w:marLeft w:val="480"/>
      <w:marRight w:val="0"/>
      <w:marTop w:val="0"/>
      <w:marBottom w:val="0"/>
      <w:divBdr>
        <w:top w:val="none" w:sz="0" w:space="0" w:color="auto"/>
        <w:left w:val="none" w:sz="0" w:space="0" w:color="auto"/>
        <w:bottom w:val="none" w:sz="0" w:space="0" w:color="auto"/>
        <w:right w:val="none" w:sz="0" w:space="0" w:color="auto"/>
      </w:divBdr>
    </w:div>
    <w:div w:id="442725374">
      <w:bodyDiv w:val="1"/>
      <w:marLeft w:val="0"/>
      <w:marRight w:val="0"/>
      <w:marTop w:val="0"/>
      <w:marBottom w:val="0"/>
      <w:divBdr>
        <w:top w:val="none" w:sz="0" w:space="0" w:color="auto"/>
        <w:left w:val="none" w:sz="0" w:space="0" w:color="auto"/>
        <w:bottom w:val="none" w:sz="0" w:space="0" w:color="auto"/>
        <w:right w:val="none" w:sz="0" w:space="0" w:color="auto"/>
      </w:divBdr>
      <w:divsChild>
        <w:div w:id="54280348">
          <w:marLeft w:val="480"/>
          <w:marRight w:val="0"/>
          <w:marTop w:val="0"/>
          <w:marBottom w:val="0"/>
          <w:divBdr>
            <w:top w:val="none" w:sz="0" w:space="0" w:color="auto"/>
            <w:left w:val="none" w:sz="0" w:space="0" w:color="auto"/>
            <w:bottom w:val="none" w:sz="0" w:space="0" w:color="auto"/>
            <w:right w:val="none" w:sz="0" w:space="0" w:color="auto"/>
          </w:divBdr>
        </w:div>
        <w:div w:id="134101267">
          <w:marLeft w:val="480"/>
          <w:marRight w:val="0"/>
          <w:marTop w:val="0"/>
          <w:marBottom w:val="0"/>
          <w:divBdr>
            <w:top w:val="none" w:sz="0" w:space="0" w:color="auto"/>
            <w:left w:val="none" w:sz="0" w:space="0" w:color="auto"/>
            <w:bottom w:val="none" w:sz="0" w:space="0" w:color="auto"/>
            <w:right w:val="none" w:sz="0" w:space="0" w:color="auto"/>
          </w:divBdr>
        </w:div>
        <w:div w:id="280648561">
          <w:marLeft w:val="480"/>
          <w:marRight w:val="0"/>
          <w:marTop w:val="0"/>
          <w:marBottom w:val="0"/>
          <w:divBdr>
            <w:top w:val="none" w:sz="0" w:space="0" w:color="auto"/>
            <w:left w:val="none" w:sz="0" w:space="0" w:color="auto"/>
            <w:bottom w:val="none" w:sz="0" w:space="0" w:color="auto"/>
            <w:right w:val="none" w:sz="0" w:space="0" w:color="auto"/>
          </w:divBdr>
        </w:div>
        <w:div w:id="374357882">
          <w:marLeft w:val="480"/>
          <w:marRight w:val="0"/>
          <w:marTop w:val="0"/>
          <w:marBottom w:val="0"/>
          <w:divBdr>
            <w:top w:val="none" w:sz="0" w:space="0" w:color="auto"/>
            <w:left w:val="none" w:sz="0" w:space="0" w:color="auto"/>
            <w:bottom w:val="none" w:sz="0" w:space="0" w:color="auto"/>
            <w:right w:val="none" w:sz="0" w:space="0" w:color="auto"/>
          </w:divBdr>
        </w:div>
        <w:div w:id="415443531">
          <w:marLeft w:val="480"/>
          <w:marRight w:val="0"/>
          <w:marTop w:val="0"/>
          <w:marBottom w:val="0"/>
          <w:divBdr>
            <w:top w:val="none" w:sz="0" w:space="0" w:color="auto"/>
            <w:left w:val="none" w:sz="0" w:space="0" w:color="auto"/>
            <w:bottom w:val="none" w:sz="0" w:space="0" w:color="auto"/>
            <w:right w:val="none" w:sz="0" w:space="0" w:color="auto"/>
          </w:divBdr>
        </w:div>
        <w:div w:id="992686179">
          <w:marLeft w:val="480"/>
          <w:marRight w:val="0"/>
          <w:marTop w:val="0"/>
          <w:marBottom w:val="0"/>
          <w:divBdr>
            <w:top w:val="none" w:sz="0" w:space="0" w:color="auto"/>
            <w:left w:val="none" w:sz="0" w:space="0" w:color="auto"/>
            <w:bottom w:val="none" w:sz="0" w:space="0" w:color="auto"/>
            <w:right w:val="none" w:sz="0" w:space="0" w:color="auto"/>
          </w:divBdr>
        </w:div>
        <w:div w:id="1070149959">
          <w:marLeft w:val="480"/>
          <w:marRight w:val="0"/>
          <w:marTop w:val="0"/>
          <w:marBottom w:val="0"/>
          <w:divBdr>
            <w:top w:val="none" w:sz="0" w:space="0" w:color="auto"/>
            <w:left w:val="none" w:sz="0" w:space="0" w:color="auto"/>
            <w:bottom w:val="none" w:sz="0" w:space="0" w:color="auto"/>
            <w:right w:val="none" w:sz="0" w:space="0" w:color="auto"/>
          </w:divBdr>
        </w:div>
      </w:divsChild>
    </w:div>
    <w:div w:id="447284333">
      <w:marLeft w:val="480"/>
      <w:marRight w:val="0"/>
      <w:marTop w:val="0"/>
      <w:marBottom w:val="0"/>
      <w:divBdr>
        <w:top w:val="none" w:sz="0" w:space="0" w:color="auto"/>
        <w:left w:val="none" w:sz="0" w:space="0" w:color="auto"/>
        <w:bottom w:val="none" w:sz="0" w:space="0" w:color="auto"/>
        <w:right w:val="none" w:sz="0" w:space="0" w:color="auto"/>
      </w:divBdr>
    </w:div>
    <w:div w:id="452940921">
      <w:marLeft w:val="480"/>
      <w:marRight w:val="0"/>
      <w:marTop w:val="0"/>
      <w:marBottom w:val="0"/>
      <w:divBdr>
        <w:top w:val="none" w:sz="0" w:space="0" w:color="auto"/>
        <w:left w:val="none" w:sz="0" w:space="0" w:color="auto"/>
        <w:bottom w:val="none" w:sz="0" w:space="0" w:color="auto"/>
        <w:right w:val="none" w:sz="0" w:space="0" w:color="auto"/>
      </w:divBdr>
    </w:div>
    <w:div w:id="453181820">
      <w:marLeft w:val="480"/>
      <w:marRight w:val="0"/>
      <w:marTop w:val="0"/>
      <w:marBottom w:val="0"/>
      <w:divBdr>
        <w:top w:val="none" w:sz="0" w:space="0" w:color="auto"/>
        <w:left w:val="none" w:sz="0" w:space="0" w:color="auto"/>
        <w:bottom w:val="none" w:sz="0" w:space="0" w:color="auto"/>
        <w:right w:val="none" w:sz="0" w:space="0" w:color="auto"/>
      </w:divBdr>
    </w:div>
    <w:div w:id="455370012">
      <w:marLeft w:val="480"/>
      <w:marRight w:val="0"/>
      <w:marTop w:val="0"/>
      <w:marBottom w:val="0"/>
      <w:divBdr>
        <w:top w:val="none" w:sz="0" w:space="0" w:color="auto"/>
        <w:left w:val="none" w:sz="0" w:space="0" w:color="auto"/>
        <w:bottom w:val="none" w:sz="0" w:space="0" w:color="auto"/>
        <w:right w:val="none" w:sz="0" w:space="0" w:color="auto"/>
      </w:divBdr>
    </w:div>
    <w:div w:id="457338291">
      <w:marLeft w:val="480"/>
      <w:marRight w:val="0"/>
      <w:marTop w:val="0"/>
      <w:marBottom w:val="0"/>
      <w:divBdr>
        <w:top w:val="none" w:sz="0" w:space="0" w:color="auto"/>
        <w:left w:val="none" w:sz="0" w:space="0" w:color="auto"/>
        <w:bottom w:val="none" w:sz="0" w:space="0" w:color="auto"/>
        <w:right w:val="none" w:sz="0" w:space="0" w:color="auto"/>
      </w:divBdr>
    </w:div>
    <w:div w:id="458376321">
      <w:marLeft w:val="480"/>
      <w:marRight w:val="0"/>
      <w:marTop w:val="0"/>
      <w:marBottom w:val="0"/>
      <w:divBdr>
        <w:top w:val="none" w:sz="0" w:space="0" w:color="auto"/>
        <w:left w:val="none" w:sz="0" w:space="0" w:color="auto"/>
        <w:bottom w:val="none" w:sz="0" w:space="0" w:color="auto"/>
        <w:right w:val="none" w:sz="0" w:space="0" w:color="auto"/>
      </w:divBdr>
    </w:div>
    <w:div w:id="458456558">
      <w:marLeft w:val="480"/>
      <w:marRight w:val="0"/>
      <w:marTop w:val="0"/>
      <w:marBottom w:val="0"/>
      <w:divBdr>
        <w:top w:val="none" w:sz="0" w:space="0" w:color="auto"/>
        <w:left w:val="none" w:sz="0" w:space="0" w:color="auto"/>
        <w:bottom w:val="none" w:sz="0" w:space="0" w:color="auto"/>
        <w:right w:val="none" w:sz="0" w:space="0" w:color="auto"/>
      </w:divBdr>
    </w:div>
    <w:div w:id="459763651">
      <w:marLeft w:val="480"/>
      <w:marRight w:val="0"/>
      <w:marTop w:val="0"/>
      <w:marBottom w:val="0"/>
      <w:divBdr>
        <w:top w:val="none" w:sz="0" w:space="0" w:color="auto"/>
        <w:left w:val="none" w:sz="0" w:space="0" w:color="auto"/>
        <w:bottom w:val="none" w:sz="0" w:space="0" w:color="auto"/>
        <w:right w:val="none" w:sz="0" w:space="0" w:color="auto"/>
      </w:divBdr>
    </w:div>
    <w:div w:id="462120539">
      <w:bodyDiv w:val="1"/>
      <w:marLeft w:val="0"/>
      <w:marRight w:val="0"/>
      <w:marTop w:val="0"/>
      <w:marBottom w:val="0"/>
      <w:divBdr>
        <w:top w:val="none" w:sz="0" w:space="0" w:color="auto"/>
        <w:left w:val="none" w:sz="0" w:space="0" w:color="auto"/>
        <w:bottom w:val="none" w:sz="0" w:space="0" w:color="auto"/>
        <w:right w:val="none" w:sz="0" w:space="0" w:color="auto"/>
      </w:divBdr>
    </w:div>
    <w:div w:id="462164297">
      <w:marLeft w:val="480"/>
      <w:marRight w:val="0"/>
      <w:marTop w:val="0"/>
      <w:marBottom w:val="0"/>
      <w:divBdr>
        <w:top w:val="none" w:sz="0" w:space="0" w:color="auto"/>
        <w:left w:val="none" w:sz="0" w:space="0" w:color="auto"/>
        <w:bottom w:val="none" w:sz="0" w:space="0" w:color="auto"/>
        <w:right w:val="none" w:sz="0" w:space="0" w:color="auto"/>
      </w:divBdr>
    </w:div>
    <w:div w:id="465701606">
      <w:marLeft w:val="480"/>
      <w:marRight w:val="0"/>
      <w:marTop w:val="0"/>
      <w:marBottom w:val="0"/>
      <w:divBdr>
        <w:top w:val="none" w:sz="0" w:space="0" w:color="auto"/>
        <w:left w:val="none" w:sz="0" w:space="0" w:color="auto"/>
        <w:bottom w:val="none" w:sz="0" w:space="0" w:color="auto"/>
        <w:right w:val="none" w:sz="0" w:space="0" w:color="auto"/>
      </w:divBdr>
    </w:div>
    <w:div w:id="466700379">
      <w:marLeft w:val="480"/>
      <w:marRight w:val="0"/>
      <w:marTop w:val="0"/>
      <w:marBottom w:val="0"/>
      <w:divBdr>
        <w:top w:val="none" w:sz="0" w:space="0" w:color="auto"/>
        <w:left w:val="none" w:sz="0" w:space="0" w:color="auto"/>
        <w:bottom w:val="none" w:sz="0" w:space="0" w:color="auto"/>
        <w:right w:val="none" w:sz="0" w:space="0" w:color="auto"/>
      </w:divBdr>
    </w:div>
    <w:div w:id="467285735">
      <w:marLeft w:val="480"/>
      <w:marRight w:val="0"/>
      <w:marTop w:val="0"/>
      <w:marBottom w:val="0"/>
      <w:divBdr>
        <w:top w:val="none" w:sz="0" w:space="0" w:color="auto"/>
        <w:left w:val="none" w:sz="0" w:space="0" w:color="auto"/>
        <w:bottom w:val="none" w:sz="0" w:space="0" w:color="auto"/>
        <w:right w:val="none" w:sz="0" w:space="0" w:color="auto"/>
      </w:divBdr>
    </w:div>
    <w:div w:id="468400605">
      <w:marLeft w:val="480"/>
      <w:marRight w:val="0"/>
      <w:marTop w:val="0"/>
      <w:marBottom w:val="0"/>
      <w:divBdr>
        <w:top w:val="none" w:sz="0" w:space="0" w:color="auto"/>
        <w:left w:val="none" w:sz="0" w:space="0" w:color="auto"/>
        <w:bottom w:val="none" w:sz="0" w:space="0" w:color="auto"/>
        <w:right w:val="none" w:sz="0" w:space="0" w:color="auto"/>
      </w:divBdr>
    </w:div>
    <w:div w:id="470103383">
      <w:marLeft w:val="480"/>
      <w:marRight w:val="0"/>
      <w:marTop w:val="0"/>
      <w:marBottom w:val="0"/>
      <w:divBdr>
        <w:top w:val="none" w:sz="0" w:space="0" w:color="auto"/>
        <w:left w:val="none" w:sz="0" w:space="0" w:color="auto"/>
        <w:bottom w:val="none" w:sz="0" w:space="0" w:color="auto"/>
        <w:right w:val="none" w:sz="0" w:space="0" w:color="auto"/>
      </w:divBdr>
    </w:div>
    <w:div w:id="470943162">
      <w:marLeft w:val="480"/>
      <w:marRight w:val="0"/>
      <w:marTop w:val="0"/>
      <w:marBottom w:val="0"/>
      <w:divBdr>
        <w:top w:val="none" w:sz="0" w:space="0" w:color="auto"/>
        <w:left w:val="none" w:sz="0" w:space="0" w:color="auto"/>
        <w:bottom w:val="none" w:sz="0" w:space="0" w:color="auto"/>
        <w:right w:val="none" w:sz="0" w:space="0" w:color="auto"/>
      </w:divBdr>
    </w:div>
    <w:div w:id="471170428">
      <w:marLeft w:val="480"/>
      <w:marRight w:val="0"/>
      <w:marTop w:val="0"/>
      <w:marBottom w:val="0"/>
      <w:divBdr>
        <w:top w:val="none" w:sz="0" w:space="0" w:color="auto"/>
        <w:left w:val="none" w:sz="0" w:space="0" w:color="auto"/>
        <w:bottom w:val="none" w:sz="0" w:space="0" w:color="auto"/>
        <w:right w:val="none" w:sz="0" w:space="0" w:color="auto"/>
      </w:divBdr>
    </w:div>
    <w:div w:id="471293713">
      <w:bodyDiv w:val="1"/>
      <w:marLeft w:val="0"/>
      <w:marRight w:val="0"/>
      <w:marTop w:val="0"/>
      <w:marBottom w:val="0"/>
      <w:divBdr>
        <w:top w:val="none" w:sz="0" w:space="0" w:color="auto"/>
        <w:left w:val="none" w:sz="0" w:space="0" w:color="auto"/>
        <w:bottom w:val="none" w:sz="0" w:space="0" w:color="auto"/>
        <w:right w:val="none" w:sz="0" w:space="0" w:color="auto"/>
      </w:divBdr>
    </w:div>
    <w:div w:id="471753044">
      <w:marLeft w:val="480"/>
      <w:marRight w:val="0"/>
      <w:marTop w:val="0"/>
      <w:marBottom w:val="0"/>
      <w:divBdr>
        <w:top w:val="none" w:sz="0" w:space="0" w:color="auto"/>
        <w:left w:val="none" w:sz="0" w:space="0" w:color="auto"/>
        <w:bottom w:val="none" w:sz="0" w:space="0" w:color="auto"/>
        <w:right w:val="none" w:sz="0" w:space="0" w:color="auto"/>
      </w:divBdr>
    </w:div>
    <w:div w:id="471945940">
      <w:marLeft w:val="480"/>
      <w:marRight w:val="0"/>
      <w:marTop w:val="0"/>
      <w:marBottom w:val="0"/>
      <w:divBdr>
        <w:top w:val="none" w:sz="0" w:space="0" w:color="auto"/>
        <w:left w:val="none" w:sz="0" w:space="0" w:color="auto"/>
        <w:bottom w:val="none" w:sz="0" w:space="0" w:color="auto"/>
        <w:right w:val="none" w:sz="0" w:space="0" w:color="auto"/>
      </w:divBdr>
    </w:div>
    <w:div w:id="474491720">
      <w:bodyDiv w:val="1"/>
      <w:marLeft w:val="0"/>
      <w:marRight w:val="0"/>
      <w:marTop w:val="0"/>
      <w:marBottom w:val="0"/>
      <w:divBdr>
        <w:top w:val="none" w:sz="0" w:space="0" w:color="auto"/>
        <w:left w:val="none" w:sz="0" w:space="0" w:color="auto"/>
        <w:bottom w:val="none" w:sz="0" w:space="0" w:color="auto"/>
        <w:right w:val="none" w:sz="0" w:space="0" w:color="auto"/>
      </w:divBdr>
      <w:divsChild>
        <w:div w:id="234247211">
          <w:marLeft w:val="480"/>
          <w:marRight w:val="0"/>
          <w:marTop w:val="0"/>
          <w:marBottom w:val="0"/>
          <w:divBdr>
            <w:top w:val="none" w:sz="0" w:space="0" w:color="auto"/>
            <w:left w:val="none" w:sz="0" w:space="0" w:color="auto"/>
            <w:bottom w:val="none" w:sz="0" w:space="0" w:color="auto"/>
            <w:right w:val="none" w:sz="0" w:space="0" w:color="auto"/>
          </w:divBdr>
        </w:div>
        <w:div w:id="531846425">
          <w:marLeft w:val="480"/>
          <w:marRight w:val="0"/>
          <w:marTop w:val="0"/>
          <w:marBottom w:val="0"/>
          <w:divBdr>
            <w:top w:val="none" w:sz="0" w:space="0" w:color="auto"/>
            <w:left w:val="none" w:sz="0" w:space="0" w:color="auto"/>
            <w:bottom w:val="none" w:sz="0" w:space="0" w:color="auto"/>
            <w:right w:val="none" w:sz="0" w:space="0" w:color="auto"/>
          </w:divBdr>
        </w:div>
        <w:div w:id="580219219">
          <w:marLeft w:val="480"/>
          <w:marRight w:val="0"/>
          <w:marTop w:val="0"/>
          <w:marBottom w:val="0"/>
          <w:divBdr>
            <w:top w:val="none" w:sz="0" w:space="0" w:color="auto"/>
            <w:left w:val="none" w:sz="0" w:space="0" w:color="auto"/>
            <w:bottom w:val="none" w:sz="0" w:space="0" w:color="auto"/>
            <w:right w:val="none" w:sz="0" w:space="0" w:color="auto"/>
          </w:divBdr>
        </w:div>
        <w:div w:id="927688299">
          <w:marLeft w:val="480"/>
          <w:marRight w:val="0"/>
          <w:marTop w:val="0"/>
          <w:marBottom w:val="0"/>
          <w:divBdr>
            <w:top w:val="none" w:sz="0" w:space="0" w:color="auto"/>
            <w:left w:val="none" w:sz="0" w:space="0" w:color="auto"/>
            <w:bottom w:val="none" w:sz="0" w:space="0" w:color="auto"/>
            <w:right w:val="none" w:sz="0" w:space="0" w:color="auto"/>
          </w:divBdr>
        </w:div>
        <w:div w:id="1747991112">
          <w:marLeft w:val="480"/>
          <w:marRight w:val="0"/>
          <w:marTop w:val="0"/>
          <w:marBottom w:val="0"/>
          <w:divBdr>
            <w:top w:val="none" w:sz="0" w:space="0" w:color="auto"/>
            <w:left w:val="none" w:sz="0" w:space="0" w:color="auto"/>
            <w:bottom w:val="none" w:sz="0" w:space="0" w:color="auto"/>
            <w:right w:val="none" w:sz="0" w:space="0" w:color="auto"/>
          </w:divBdr>
        </w:div>
        <w:div w:id="1804886612">
          <w:marLeft w:val="480"/>
          <w:marRight w:val="0"/>
          <w:marTop w:val="0"/>
          <w:marBottom w:val="0"/>
          <w:divBdr>
            <w:top w:val="none" w:sz="0" w:space="0" w:color="auto"/>
            <w:left w:val="none" w:sz="0" w:space="0" w:color="auto"/>
            <w:bottom w:val="none" w:sz="0" w:space="0" w:color="auto"/>
            <w:right w:val="none" w:sz="0" w:space="0" w:color="auto"/>
          </w:divBdr>
        </w:div>
        <w:div w:id="2040664003">
          <w:marLeft w:val="480"/>
          <w:marRight w:val="0"/>
          <w:marTop w:val="0"/>
          <w:marBottom w:val="0"/>
          <w:divBdr>
            <w:top w:val="none" w:sz="0" w:space="0" w:color="auto"/>
            <w:left w:val="none" w:sz="0" w:space="0" w:color="auto"/>
            <w:bottom w:val="none" w:sz="0" w:space="0" w:color="auto"/>
            <w:right w:val="none" w:sz="0" w:space="0" w:color="auto"/>
          </w:divBdr>
        </w:div>
      </w:divsChild>
    </w:div>
    <w:div w:id="476530831">
      <w:bodyDiv w:val="1"/>
      <w:marLeft w:val="0"/>
      <w:marRight w:val="0"/>
      <w:marTop w:val="0"/>
      <w:marBottom w:val="0"/>
      <w:divBdr>
        <w:top w:val="none" w:sz="0" w:space="0" w:color="auto"/>
        <w:left w:val="none" w:sz="0" w:space="0" w:color="auto"/>
        <w:bottom w:val="none" w:sz="0" w:space="0" w:color="auto"/>
        <w:right w:val="none" w:sz="0" w:space="0" w:color="auto"/>
      </w:divBdr>
    </w:div>
    <w:div w:id="477579105">
      <w:marLeft w:val="480"/>
      <w:marRight w:val="0"/>
      <w:marTop w:val="0"/>
      <w:marBottom w:val="0"/>
      <w:divBdr>
        <w:top w:val="none" w:sz="0" w:space="0" w:color="auto"/>
        <w:left w:val="none" w:sz="0" w:space="0" w:color="auto"/>
        <w:bottom w:val="none" w:sz="0" w:space="0" w:color="auto"/>
        <w:right w:val="none" w:sz="0" w:space="0" w:color="auto"/>
      </w:divBdr>
    </w:div>
    <w:div w:id="480315986">
      <w:bodyDiv w:val="1"/>
      <w:marLeft w:val="0"/>
      <w:marRight w:val="0"/>
      <w:marTop w:val="0"/>
      <w:marBottom w:val="0"/>
      <w:divBdr>
        <w:top w:val="none" w:sz="0" w:space="0" w:color="auto"/>
        <w:left w:val="none" w:sz="0" w:space="0" w:color="auto"/>
        <w:bottom w:val="none" w:sz="0" w:space="0" w:color="auto"/>
        <w:right w:val="none" w:sz="0" w:space="0" w:color="auto"/>
      </w:divBdr>
    </w:div>
    <w:div w:id="482738549">
      <w:marLeft w:val="480"/>
      <w:marRight w:val="0"/>
      <w:marTop w:val="0"/>
      <w:marBottom w:val="0"/>
      <w:divBdr>
        <w:top w:val="none" w:sz="0" w:space="0" w:color="auto"/>
        <w:left w:val="none" w:sz="0" w:space="0" w:color="auto"/>
        <w:bottom w:val="none" w:sz="0" w:space="0" w:color="auto"/>
        <w:right w:val="none" w:sz="0" w:space="0" w:color="auto"/>
      </w:divBdr>
    </w:div>
    <w:div w:id="484396917">
      <w:marLeft w:val="480"/>
      <w:marRight w:val="0"/>
      <w:marTop w:val="0"/>
      <w:marBottom w:val="0"/>
      <w:divBdr>
        <w:top w:val="none" w:sz="0" w:space="0" w:color="auto"/>
        <w:left w:val="none" w:sz="0" w:space="0" w:color="auto"/>
        <w:bottom w:val="none" w:sz="0" w:space="0" w:color="auto"/>
        <w:right w:val="none" w:sz="0" w:space="0" w:color="auto"/>
      </w:divBdr>
    </w:div>
    <w:div w:id="485366475">
      <w:marLeft w:val="480"/>
      <w:marRight w:val="0"/>
      <w:marTop w:val="0"/>
      <w:marBottom w:val="0"/>
      <w:divBdr>
        <w:top w:val="none" w:sz="0" w:space="0" w:color="auto"/>
        <w:left w:val="none" w:sz="0" w:space="0" w:color="auto"/>
        <w:bottom w:val="none" w:sz="0" w:space="0" w:color="auto"/>
        <w:right w:val="none" w:sz="0" w:space="0" w:color="auto"/>
      </w:divBdr>
    </w:div>
    <w:div w:id="486169303">
      <w:marLeft w:val="480"/>
      <w:marRight w:val="0"/>
      <w:marTop w:val="0"/>
      <w:marBottom w:val="0"/>
      <w:divBdr>
        <w:top w:val="none" w:sz="0" w:space="0" w:color="auto"/>
        <w:left w:val="none" w:sz="0" w:space="0" w:color="auto"/>
        <w:bottom w:val="none" w:sz="0" w:space="0" w:color="auto"/>
        <w:right w:val="none" w:sz="0" w:space="0" w:color="auto"/>
      </w:divBdr>
    </w:div>
    <w:div w:id="490757533">
      <w:bodyDiv w:val="1"/>
      <w:marLeft w:val="0"/>
      <w:marRight w:val="0"/>
      <w:marTop w:val="0"/>
      <w:marBottom w:val="0"/>
      <w:divBdr>
        <w:top w:val="none" w:sz="0" w:space="0" w:color="auto"/>
        <w:left w:val="none" w:sz="0" w:space="0" w:color="auto"/>
        <w:bottom w:val="none" w:sz="0" w:space="0" w:color="auto"/>
        <w:right w:val="none" w:sz="0" w:space="0" w:color="auto"/>
      </w:divBdr>
    </w:div>
    <w:div w:id="492915047">
      <w:bodyDiv w:val="1"/>
      <w:marLeft w:val="0"/>
      <w:marRight w:val="0"/>
      <w:marTop w:val="0"/>
      <w:marBottom w:val="0"/>
      <w:divBdr>
        <w:top w:val="none" w:sz="0" w:space="0" w:color="auto"/>
        <w:left w:val="none" w:sz="0" w:space="0" w:color="auto"/>
        <w:bottom w:val="none" w:sz="0" w:space="0" w:color="auto"/>
        <w:right w:val="none" w:sz="0" w:space="0" w:color="auto"/>
      </w:divBdr>
    </w:div>
    <w:div w:id="496266305">
      <w:marLeft w:val="480"/>
      <w:marRight w:val="0"/>
      <w:marTop w:val="0"/>
      <w:marBottom w:val="0"/>
      <w:divBdr>
        <w:top w:val="none" w:sz="0" w:space="0" w:color="auto"/>
        <w:left w:val="none" w:sz="0" w:space="0" w:color="auto"/>
        <w:bottom w:val="none" w:sz="0" w:space="0" w:color="auto"/>
        <w:right w:val="none" w:sz="0" w:space="0" w:color="auto"/>
      </w:divBdr>
    </w:div>
    <w:div w:id="502093005">
      <w:marLeft w:val="480"/>
      <w:marRight w:val="0"/>
      <w:marTop w:val="0"/>
      <w:marBottom w:val="0"/>
      <w:divBdr>
        <w:top w:val="none" w:sz="0" w:space="0" w:color="auto"/>
        <w:left w:val="none" w:sz="0" w:space="0" w:color="auto"/>
        <w:bottom w:val="none" w:sz="0" w:space="0" w:color="auto"/>
        <w:right w:val="none" w:sz="0" w:space="0" w:color="auto"/>
      </w:divBdr>
    </w:div>
    <w:div w:id="502664652">
      <w:marLeft w:val="480"/>
      <w:marRight w:val="0"/>
      <w:marTop w:val="0"/>
      <w:marBottom w:val="0"/>
      <w:divBdr>
        <w:top w:val="none" w:sz="0" w:space="0" w:color="auto"/>
        <w:left w:val="none" w:sz="0" w:space="0" w:color="auto"/>
        <w:bottom w:val="none" w:sz="0" w:space="0" w:color="auto"/>
        <w:right w:val="none" w:sz="0" w:space="0" w:color="auto"/>
      </w:divBdr>
    </w:div>
    <w:div w:id="502671580">
      <w:marLeft w:val="480"/>
      <w:marRight w:val="0"/>
      <w:marTop w:val="0"/>
      <w:marBottom w:val="0"/>
      <w:divBdr>
        <w:top w:val="none" w:sz="0" w:space="0" w:color="auto"/>
        <w:left w:val="none" w:sz="0" w:space="0" w:color="auto"/>
        <w:bottom w:val="none" w:sz="0" w:space="0" w:color="auto"/>
        <w:right w:val="none" w:sz="0" w:space="0" w:color="auto"/>
      </w:divBdr>
    </w:div>
    <w:div w:id="503937384">
      <w:marLeft w:val="480"/>
      <w:marRight w:val="0"/>
      <w:marTop w:val="0"/>
      <w:marBottom w:val="0"/>
      <w:divBdr>
        <w:top w:val="none" w:sz="0" w:space="0" w:color="auto"/>
        <w:left w:val="none" w:sz="0" w:space="0" w:color="auto"/>
        <w:bottom w:val="none" w:sz="0" w:space="0" w:color="auto"/>
        <w:right w:val="none" w:sz="0" w:space="0" w:color="auto"/>
      </w:divBdr>
    </w:div>
    <w:div w:id="505285001">
      <w:marLeft w:val="480"/>
      <w:marRight w:val="0"/>
      <w:marTop w:val="0"/>
      <w:marBottom w:val="0"/>
      <w:divBdr>
        <w:top w:val="none" w:sz="0" w:space="0" w:color="auto"/>
        <w:left w:val="none" w:sz="0" w:space="0" w:color="auto"/>
        <w:bottom w:val="none" w:sz="0" w:space="0" w:color="auto"/>
        <w:right w:val="none" w:sz="0" w:space="0" w:color="auto"/>
      </w:divBdr>
    </w:div>
    <w:div w:id="505756280">
      <w:marLeft w:val="480"/>
      <w:marRight w:val="0"/>
      <w:marTop w:val="0"/>
      <w:marBottom w:val="0"/>
      <w:divBdr>
        <w:top w:val="none" w:sz="0" w:space="0" w:color="auto"/>
        <w:left w:val="none" w:sz="0" w:space="0" w:color="auto"/>
        <w:bottom w:val="none" w:sz="0" w:space="0" w:color="auto"/>
        <w:right w:val="none" w:sz="0" w:space="0" w:color="auto"/>
      </w:divBdr>
    </w:div>
    <w:div w:id="505903298">
      <w:marLeft w:val="480"/>
      <w:marRight w:val="0"/>
      <w:marTop w:val="0"/>
      <w:marBottom w:val="0"/>
      <w:divBdr>
        <w:top w:val="none" w:sz="0" w:space="0" w:color="auto"/>
        <w:left w:val="none" w:sz="0" w:space="0" w:color="auto"/>
        <w:bottom w:val="none" w:sz="0" w:space="0" w:color="auto"/>
        <w:right w:val="none" w:sz="0" w:space="0" w:color="auto"/>
      </w:divBdr>
    </w:div>
    <w:div w:id="506865890">
      <w:marLeft w:val="480"/>
      <w:marRight w:val="0"/>
      <w:marTop w:val="0"/>
      <w:marBottom w:val="0"/>
      <w:divBdr>
        <w:top w:val="none" w:sz="0" w:space="0" w:color="auto"/>
        <w:left w:val="none" w:sz="0" w:space="0" w:color="auto"/>
        <w:bottom w:val="none" w:sz="0" w:space="0" w:color="auto"/>
        <w:right w:val="none" w:sz="0" w:space="0" w:color="auto"/>
      </w:divBdr>
    </w:div>
    <w:div w:id="507331547">
      <w:marLeft w:val="480"/>
      <w:marRight w:val="0"/>
      <w:marTop w:val="0"/>
      <w:marBottom w:val="0"/>
      <w:divBdr>
        <w:top w:val="none" w:sz="0" w:space="0" w:color="auto"/>
        <w:left w:val="none" w:sz="0" w:space="0" w:color="auto"/>
        <w:bottom w:val="none" w:sz="0" w:space="0" w:color="auto"/>
        <w:right w:val="none" w:sz="0" w:space="0" w:color="auto"/>
      </w:divBdr>
    </w:div>
    <w:div w:id="508058908">
      <w:marLeft w:val="480"/>
      <w:marRight w:val="0"/>
      <w:marTop w:val="0"/>
      <w:marBottom w:val="0"/>
      <w:divBdr>
        <w:top w:val="none" w:sz="0" w:space="0" w:color="auto"/>
        <w:left w:val="none" w:sz="0" w:space="0" w:color="auto"/>
        <w:bottom w:val="none" w:sz="0" w:space="0" w:color="auto"/>
        <w:right w:val="none" w:sz="0" w:space="0" w:color="auto"/>
      </w:divBdr>
    </w:div>
    <w:div w:id="508914632">
      <w:bodyDiv w:val="1"/>
      <w:marLeft w:val="0"/>
      <w:marRight w:val="0"/>
      <w:marTop w:val="0"/>
      <w:marBottom w:val="0"/>
      <w:divBdr>
        <w:top w:val="none" w:sz="0" w:space="0" w:color="auto"/>
        <w:left w:val="none" w:sz="0" w:space="0" w:color="auto"/>
        <w:bottom w:val="none" w:sz="0" w:space="0" w:color="auto"/>
        <w:right w:val="none" w:sz="0" w:space="0" w:color="auto"/>
      </w:divBdr>
    </w:div>
    <w:div w:id="512577590">
      <w:marLeft w:val="480"/>
      <w:marRight w:val="0"/>
      <w:marTop w:val="0"/>
      <w:marBottom w:val="0"/>
      <w:divBdr>
        <w:top w:val="none" w:sz="0" w:space="0" w:color="auto"/>
        <w:left w:val="none" w:sz="0" w:space="0" w:color="auto"/>
        <w:bottom w:val="none" w:sz="0" w:space="0" w:color="auto"/>
        <w:right w:val="none" w:sz="0" w:space="0" w:color="auto"/>
      </w:divBdr>
    </w:div>
    <w:div w:id="515268169">
      <w:marLeft w:val="480"/>
      <w:marRight w:val="0"/>
      <w:marTop w:val="0"/>
      <w:marBottom w:val="0"/>
      <w:divBdr>
        <w:top w:val="none" w:sz="0" w:space="0" w:color="auto"/>
        <w:left w:val="none" w:sz="0" w:space="0" w:color="auto"/>
        <w:bottom w:val="none" w:sz="0" w:space="0" w:color="auto"/>
        <w:right w:val="none" w:sz="0" w:space="0" w:color="auto"/>
      </w:divBdr>
    </w:div>
    <w:div w:id="516581617">
      <w:bodyDiv w:val="1"/>
      <w:marLeft w:val="0"/>
      <w:marRight w:val="0"/>
      <w:marTop w:val="0"/>
      <w:marBottom w:val="0"/>
      <w:divBdr>
        <w:top w:val="none" w:sz="0" w:space="0" w:color="auto"/>
        <w:left w:val="none" w:sz="0" w:space="0" w:color="auto"/>
        <w:bottom w:val="none" w:sz="0" w:space="0" w:color="auto"/>
        <w:right w:val="none" w:sz="0" w:space="0" w:color="auto"/>
      </w:divBdr>
      <w:divsChild>
        <w:div w:id="180820598">
          <w:marLeft w:val="480"/>
          <w:marRight w:val="0"/>
          <w:marTop w:val="0"/>
          <w:marBottom w:val="0"/>
          <w:divBdr>
            <w:top w:val="none" w:sz="0" w:space="0" w:color="auto"/>
            <w:left w:val="none" w:sz="0" w:space="0" w:color="auto"/>
            <w:bottom w:val="none" w:sz="0" w:space="0" w:color="auto"/>
            <w:right w:val="none" w:sz="0" w:space="0" w:color="auto"/>
          </w:divBdr>
        </w:div>
        <w:div w:id="297104905">
          <w:marLeft w:val="480"/>
          <w:marRight w:val="0"/>
          <w:marTop w:val="0"/>
          <w:marBottom w:val="0"/>
          <w:divBdr>
            <w:top w:val="none" w:sz="0" w:space="0" w:color="auto"/>
            <w:left w:val="none" w:sz="0" w:space="0" w:color="auto"/>
            <w:bottom w:val="none" w:sz="0" w:space="0" w:color="auto"/>
            <w:right w:val="none" w:sz="0" w:space="0" w:color="auto"/>
          </w:divBdr>
        </w:div>
        <w:div w:id="335227306">
          <w:marLeft w:val="480"/>
          <w:marRight w:val="0"/>
          <w:marTop w:val="0"/>
          <w:marBottom w:val="0"/>
          <w:divBdr>
            <w:top w:val="none" w:sz="0" w:space="0" w:color="auto"/>
            <w:left w:val="none" w:sz="0" w:space="0" w:color="auto"/>
            <w:bottom w:val="none" w:sz="0" w:space="0" w:color="auto"/>
            <w:right w:val="none" w:sz="0" w:space="0" w:color="auto"/>
          </w:divBdr>
        </w:div>
        <w:div w:id="794445110">
          <w:marLeft w:val="480"/>
          <w:marRight w:val="0"/>
          <w:marTop w:val="0"/>
          <w:marBottom w:val="0"/>
          <w:divBdr>
            <w:top w:val="none" w:sz="0" w:space="0" w:color="auto"/>
            <w:left w:val="none" w:sz="0" w:space="0" w:color="auto"/>
            <w:bottom w:val="none" w:sz="0" w:space="0" w:color="auto"/>
            <w:right w:val="none" w:sz="0" w:space="0" w:color="auto"/>
          </w:divBdr>
        </w:div>
        <w:div w:id="1055395681">
          <w:marLeft w:val="480"/>
          <w:marRight w:val="0"/>
          <w:marTop w:val="0"/>
          <w:marBottom w:val="0"/>
          <w:divBdr>
            <w:top w:val="none" w:sz="0" w:space="0" w:color="auto"/>
            <w:left w:val="none" w:sz="0" w:space="0" w:color="auto"/>
            <w:bottom w:val="none" w:sz="0" w:space="0" w:color="auto"/>
            <w:right w:val="none" w:sz="0" w:space="0" w:color="auto"/>
          </w:divBdr>
        </w:div>
        <w:div w:id="1215042357">
          <w:marLeft w:val="480"/>
          <w:marRight w:val="0"/>
          <w:marTop w:val="0"/>
          <w:marBottom w:val="0"/>
          <w:divBdr>
            <w:top w:val="none" w:sz="0" w:space="0" w:color="auto"/>
            <w:left w:val="none" w:sz="0" w:space="0" w:color="auto"/>
            <w:bottom w:val="none" w:sz="0" w:space="0" w:color="auto"/>
            <w:right w:val="none" w:sz="0" w:space="0" w:color="auto"/>
          </w:divBdr>
        </w:div>
        <w:div w:id="1350180898">
          <w:marLeft w:val="480"/>
          <w:marRight w:val="0"/>
          <w:marTop w:val="0"/>
          <w:marBottom w:val="0"/>
          <w:divBdr>
            <w:top w:val="none" w:sz="0" w:space="0" w:color="auto"/>
            <w:left w:val="none" w:sz="0" w:space="0" w:color="auto"/>
            <w:bottom w:val="none" w:sz="0" w:space="0" w:color="auto"/>
            <w:right w:val="none" w:sz="0" w:space="0" w:color="auto"/>
          </w:divBdr>
        </w:div>
        <w:div w:id="1540438507">
          <w:marLeft w:val="480"/>
          <w:marRight w:val="0"/>
          <w:marTop w:val="0"/>
          <w:marBottom w:val="0"/>
          <w:divBdr>
            <w:top w:val="none" w:sz="0" w:space="0" w:color="auto"/>
            <w:left w:val="none" w:sz="0" w:space="0" w:color="auto"/>
            <w:bottom w:val="none" w:sz="0" w:space="0" w:color="auto"/>
            <w:right w:val="none" w:sz="0" w:space="0" w:color="auto"/>
          </w:divBdr>
        </w:div>
        <w:div w:id="2127000628">
          <w:marLeft w:val="480"/>
          <w:marRight w:val="0"/>
          <w:marTop w:val="0"/>
          <w:marBottom w:val="0"/>
          <w:divBdr>
            <w:top w:val="none" w:sz="0" w:space="0" w:color="auto"/>
            <w:left w:val="none" w:sz="0" w:space="0" w:color="auto"/>
            <w:bottom w:val="none" w:sz="0" w:space="0" w:color="auto"/>
            <w:right w:val="none" w:sz="0" w:space="0" w:color="auto"/>
          </w:divBdr>
        </w:div>
      </w:divsChild>
    </w:div>
    <w:div w:id="519049623">
      <w:marLeft w:val="480"/>
      <w:marRight w:val="0"/>
      <w:marTop w:val="0"/>
      <w:marBottom w:val="0"/>
      <w:divBdr>
        <w:top w:val="none" w:sz="0" w:space="0" w:color="auto"/>
        <w:left w:val="none" w:sz="0" w:space="0" w:color="auto"/>
        <w:bottom w:val="none" w:sz="0" w:space="0" w:color="auto"/>
        <w:right w:val="none" w:sz="0" w:space="0" w:color="auto"/>
      </w:divBdr>
    </w:div>
    <w:div w:id="520241115">
      <w:marLeft w:val="480"/>
      <w:marRight w:val="0"/>
      <w:marTop w:val="0"/>
      <w:marBottom w:val="0"/>
      <w:divBdr>
        <w:top w:val="none" w:sz="0" w:space="0" w:color="auto"/>
        <w:left w:val="none" w:sz="0" w:space="0" w:color="auto"/>
        <w:bottom w:val="none" w:sz="0" w:space="0" w:color="auto"/>
        <w:right w:val="none" w:sz="0" w:space="0" w:color="auto"/>
      </w:divBdr>
    </w:div>
    <w:div w:id="527066768">
      <w:marLeft w:val="480"/>
      <w:marRight w:val="0"/>
      <w:marTop w:val="0"/>
      <w:marBottom w:val="0"/>
      <w:divBdr>
        <w:top w:val="none" w:sz="0" w:space="0" w:color="auto"/>
        <w:left w:val="none" w:sz="0" w:space="0" w:color="auto"/>
        <w:bottom w:val="none" w:sz="0" w:space="0" w:color="auto"/>
        <w:right w:val="none" w:sz="0" w:space="0" w:color="auto"/>
      </w:divBdr>
    </w:div>
    <w:div w:id="527068890">
      <w:marLeft w:val="480"/>
      <w:marRight w:val="0"/>
      <w:marTop w:val="0"/>
      <w:marBottom w:val="0"/>
      <w:divBdr>
        <w:top w:val="none" w:sz="0" w:space="0" w:color="auto"/>
        <w:left w:val="none" w:sz="0" w:space="0" w:color="auto"/>
        <w:bottom w:val="none" w:sz="0" w:space="0" w:color="auto"/>
        <w:right w:val="none" w:sz="0" w:space="0" w:color="auto"/>
      </w:divBdr>
    </w:div>
    <w:div w:id="528839663">
      <w:marLeft w:val="480"/>
      <w:marRight w:val="0"/>
      <w:marTop w:val="0"/>
      <w:marBottom w:val="0"/>
      <w:divBdr>
        <w:top w:val="none" w:sz="0" w:space="0" w:color="auto"/>
        <w:left w:val="none" w:sz="0" w:space="0" w:color="auto"/>
        <w:bottom w:val="none" w:sz="0" w:space="0" w:color="auto"/>
        <w:right w:val="none" w:sz="0" w:space="0" w:color="auto"/>
      </w:divBdr>
    </w:div>
    <w:div w:id="530653157">
      <w:marLeft w:val="480"/>
      <w:marRight w:val="0"/>
      <w:marTop w:val="0"/>
      <w:marBottom w:val="0"/>
      <w:divBdr>
        <w:top w:val="none" w:sz="0" w:space="0" w:color="auto"/>
        <w:left w:val="none" w:sz="0" w:space="0" w:color="auto"/>
        <w:bottom w:val="none" w:sz="0" w:space="0" w:color="auto"/>
        <w:right w:val="none" w:sz="0" w:space="0" w:color="auto"/>
      </w:divBdr>
    </w:div>
    <w:div w:id="530845163">
      <w:bodyDiv w:val="1"/>
      <w:marLeft w:val="0"/>
      <w:marRight w:val="0"/>
      <w:marTop w:val="0"/>
      <w:marBottom w:val="0"/>
      <w:divBdr>
        <w:top w:val="none" w:sz="0" w:space="0" w:color="auto"/>
        <w:left w:val="none" w:sz="0" w:space="0" w:color="auto"/>
        <w:bottom w:val="none" w:sz="0" w:space="0" w:color="auto"/>
        <w:right w:val="none" w:sz="0" w:space="0" w:color="auto"/>
      </w:divBdr>
    </w:div>
    <w:div w:id="531504608">
      <w:marLeft w:val="480"/>
      <w:marRight w:val="0"/>
      <w:marTop w:val="0"/>
      <w:marBottom w:val="0"/>
      <w:divBdr>
        <w:top w:val="none" w:sz="0" w:space="0" w:color="auto"/>
        <w:left w:val="none" w:sz="0" w:space="0" w:color="auto"/>
        <w:bottom w:val="none" w:sz="0" w:space="0" w:color="auto"/>
        <w:right w:val="none" w:sz="0" w:space="0" w:color="auto"/>
      </w:divBdr>
    </w:div>
    <w:div w:id="532503681">
      <w:bodyDiv w:val="1"/>
      <w:marLeft w:val="0"/>
      <w:marRight w:val="0"/>
      <w:marTop w:val="0"/>
      <w:marBottom w:val="0"/>
      <w:divBdr>
        <w:top w:val="none" w:sz="0" w:space="0" w:color="auto"/>
        <w:left w:val="none" w:sz="0" w:space="0" w:color="auto"/>
        <w:bottom w:val="none" w:sz="0" w:space="0" w:color="auto"/>
        <w:right w:val="none" w:sz="0" w:space="0" w:color="auto"/>
      </w:divBdr>
    </w:div>
    <w:div w:id="533229399">
      <w:marLeft w:val="480"/>
      <w:marRight w:val="0"/>
      <w:marTop w:val="0"/>
      <w:marBottom w:val="0"/>
      <w:divBdr>
        <w:top w:val="none" w:sz="0" w:space="0" w:color="auto"/>
        <w:left w:val="none" w:sz="0" w:space="0" w:color="auto"/>
        <w:bottom w:val="none" w:sz="0" w:space="0" w:color="auto"/>
        <w:right w:val="none" w:sz="0" w:space="0" w:color="auto"/>
      </w:divBdr>
    </w:div>
    <w:div w:id="533734462">
      <w:marLeft w:val="480"/>
      <w:marRight w:val="0"/>
      <w:marTop w:val="0"/>
      <w:marBottom w:val="0"/>
      <w:divBdr>
        <w:top w:val="none" w:sz="0" w:space="0" w:color="auto"/>
        <w:left w:val="none" w:sz="0" w:space="0" w:color="auto"/>
        <w:bottom w:val="none" w:sz="0" w:space="0" w:color="auto"/>
        <w:right w:val="none" w:sz="0" w:space="0" w:color="auto"/>
      </w:divBdr>
    </w:div>
    <w:div w:id="536813666">
      <w:marLeft w:val="480"/>
      <w:marRight w:val="0"/>
      <w:marTop w:val="0"/>
      <w:marBottom w:val="0"/>
      <w:divBdr>
        <w:top w:val="none" w:sz="0" w:space="0" w:color="auto"/>
        <w:left w:val="none" w:sz="0" w:space="0" w:color="auto"/>
        <w:bottom w:val="none" w:sz="0" w:space="0" w:color="auto"/>
        <w:right w:val="none" w:sz="0" w:space="0" w:color="auto"/>
      </w:divBdr>
    </w:div>
    <w:div w:id="538005723">
      <w:marLeft w:val="480"/>
      <w:marRight w:val="0"/>
      <w:marTop w:val="0"/>
      <w:marBottom w:val="0"/>
      <w:divBdr>
        <w:top w:val="none" w:sz="0" w:space="0" w:color="auto"/>
        <w:left w:val="none" w:sz="0" w:space="0" w:color="auto"/>
        <w:bottom w:val="none" w:sz="0" w:space="0" w:color="auto"/>
        <w:right w:val="none" w:sz="0" w:space="0" w:color="auto"/>
      </w:divBdr>
    </w:div>
    <w:div w:id="539437520">
      <w:marLeft w:val="480"/>
      <w:marRight w:val="0"/>
      <w:marTop w:val="0"/>
      <w:marBottom w:val="0"/>
      <w:divBdr>
        <w:top w:val="none" w:sz="0" w:space="0" w:color="auto"/>
        <w:left w:val="none" w:sz="0" w:space="0" w:color="auto"/>
        <w:bottom w:val="none" w:sz="0" w:space="0" w:color="auto"/>
        <w:right w:val="none" w:sz="0" w:space="0" w:color="auto"/>
      </w:divBdr>
    </w:div>
    <w:div w:id="539511428">
      <w:marLeft w:val="480"/>
      <w:marRight w:val="0"/>
      <w:marTop w:val="0"/>
      <w:marBottom w:val="0"/>
      <w:divBdr>
        <w:top w:val="none" w:sz="0" w:space="0" w:color="auto"/>
        <w:left w:val="none" w:sz="0" w:space="0" w:color="auto"/>
        <w:bottom w:val="none" w:sz="0" w:space="0" w:color="auto"/>
        <w:right w:val="none" w:sz="0" w:space="0" w:color="auto"/>
      </w:divBdr>
    </w:div>
    <w:div w:id="540870870">
      <w:marLeft w:val="480"/>
      <w:marRight w:val="0"/>
      <w:marTop w:val="0"/>
      <w:marBottom w:val="0"/>
      <w:divBdr>
        <w:top w:val="none" w:sz="0" w:space="0" w:color="auto"/>
        <w:left w:val="none" w:sz="0" w:space="0" w:color="auto"/>
        <w:bottom w:val="none" w:sz="0" w:space="0" w:color="auto"/>
        <w:right w:val="none" w:sz="0" w:space="0" w:color="auto"/>
      </w:divBdr>
    </w:div>
    <w:div w:id="542834838">
      <w:bodyDiv w:val="1"/>
      <w:marLeft w:val="0"/>
      <w:marRight w:val="0"/>
      <w:marTop w:val="0"/>
      <w:marBottom w:val="0"/>
      <w:divBdr>
        <w:top w:val="none" w:sz="0" w:space="0" w:color="auto"/>
        <w:left w:val="none" w:sz="0" w:space="0" w:color="auto"/>
        <w:bottom w:val="none" w:sz="0" w:space="0" w:color="auto"/>
        <w:right w:val="none" w:sz="0" w:space="0" w:color="auto"/>
      </w:divBdr>
    </w:div>
    <w:div w:id="545146899">
      <w:marLeft w:val="480"/>
      <w:marRight w:val="0"/>
      <w:marTop w:val="0"/>
      <w:marBottom w:val="0"/>
      <w:divBdr>
        <w:top w:val="none" w:sz="0" w:space="0" w:color="auto"/>
        <w:left w:val="none" w:sz="0" w:space="0" w:color="auto"/>
        <w:bottom w:val="none" w:sz="0" w:space="0" w:color="auto"/>
        <w:right w:val="none" w:sz="0" w:space="0" w:color="auto"/>
      </w:divBdr>
    </w:div>
    <w:div w:id="546720948">
      <w:marLeft w:val="480"/>
      <w:marRight w:val="0"/>
      <w:marTop w:val="0"/>
      <w:marBottom w:val="0"/>
      <w:divBdr>
        <w:top w:val="none" w:sz="0" w:space="0" w:color="auto"/>
        <w:left w:val="none" w:sz="0" w:space="0" w:color="auto"/>
        <w:bottom w:val="none" w:sz="0" w:space="0" w:color="auto"/>
        <w:right w:val="none" w:sz="0" w:space="0" w:color="auto"/>
      </w:divBdr>
    </w:div>
    <w:div w:id="546721179">
      <w:marLeft w:val="480"/>
      <w:marRight w:val="0"/>
      <w:marTop w:val="0"/>
      <w:marBottom w:val="0"/>
      <w:divBdr>
        <w:top w:val="none" w:sz="0" w:space="0" w:color="auto"/>
        <w:left w:val="none" w:sz="0" w:space="0" w:color="auto"/>
        <w:bottom w:val="none" w:sz="0" w:space="0" w:color="auto"/>
        <w:right w:val="none" w:sz="0" w:space="0" w:color="auto"/>
      </w:divBdr>
    </w:div>
    <w:div w:id="547958396">
      <w:marLeft w:val="480"/>
      <w:marRight w:val="0"/>
      <w:marTop w:val="0"/>
      <w:marBottom w:val="0"/>
      <w:divBdr>
        <w:top w:val="none" w:sz="0" w:space="0" w:color="auto"/>
        <w:left w:val="none" w:sz="0" w:space="0" w:color="auto"/>
        <w:bottom w:val="none" w:sz="0" w:space="0" w:color="auto"/>
        <w:right w:val="none" w:sz="0" w:space="0" w:color="auto"/>
      </w:divBdr>
    </w:div>
    <w:div w:id="548998287">
      <w:marLeft w:val="480"/>
      <w:marRight w:val="0"/>
      <w:marTop w:val="0"/>
      <w:marBottom w:val="0"/>
      <w:divBdr>
        <w:top w:val="none" w:sz="0" w:space="0" w:color="auto"/>
        <w:left w:val="none" w:sz="0" w:space="0" w:color="auto"/>
        <w:bottom w:val="none" w:sz="0" w:space="0" w:color="auto"/>
        <w:right w:val="none" w:sz="0" w:space="0" w:color="auto"/>
      </w:divBdr>
    </w:div>
    <w:div w:id="549001511">
      <w:marLeft w:val="480"/>
      <w:marRight w:val="0"/>
      <w:marTop w:val="0"/>
      <w:marBottom w:val="0"/>
      <w:divBdr>
        <w:top w:val="none" w:sz="0" w:space="0" w:color="auto"/>
        <w:left w:val="none" w:sz="0" w:space="0" w:color="auto"/>
        <w:bottom w:val="none" w:sz="0" w:space="0" w:color="auto"/>
        <w:right w:val="none" w:sz="0" w:space="0" w:color="auto"/>
      </w:divBdr>
    </w:div>
    <w:div w:id="549540693">
      <w:marLeft w:val="480"/>
      <w:marRight w:val="0"/>
      <w:marTop w:val="0"/>
      <w:marBottom w:val="0"/>
      <w:divBdr>
        <w:top w:val="none" w:sz="0" w:space="0" w:color="auto"/>
        <w:left w:val="none" w:sz="0" w:space="0" w:color="auto"/>
        <w:bottom w:val="none" w:sz="0" w:space="0" w:color="auto"/>
        <w:right w:val="none" w:sz="0" w:space="0" w:color="auto"/>
      </w:divBdr>
    </w:div>
    <w:div w:id="550503593">
      <w:marLeft w:val="480"/>
      <w:marRight w:val="0"/>
      <w:marTop w:val="0"/>
      <w:marBottom w:val="0"/>
      <w:divBdr>
        <w:top w:val="none" w:sz="0" w:space="0" w:color="auto"/>
        <w:left w:val="none" w:sz="0" w:space="0" w:color="auto"/>
        <w:bottom w:val="none" w:sz="0" w:space="0" w:color="auto"/>
        <w:right w:val="none" w:sz="0" w:space="0" w:color="auto"/>
      </w:divBdr>
    </w:div>
    <w:div w:id="551573327">
      <w:marLeft w:val="480"/>
      <w:marRight w:val="0"/>
      <w:marTop w:val="0"/>
      <w:marBottom w:val="0"/>
      <w:divBdr>
        <w:top w:val="none" w:sz="0" w:space="0" w:color="auto"/>
        <w:left w:val="none" w:sz="0" w:space="0" w:color="auto"/>
        <w:bottom w:val="none" w:sz="0" w:space="0" w:color="auto"/>
        <w:right w:val="none" w:sz="0" w:space="0" w:color="auto"/>
      </w:divBdr>
    </w:div>
    <w:div w:id="551962984">
      <w:marLeft w:val="480"/>
      <w:marRight w:val="0"/>
      <w:marTop w:val="0"/>
      <w:marBottom w:val="0"/>
      <w:divBdr>
        <w:top w:val="none" w:sz="0" w:space="0" w:color="auto"/>
        <w:left w:val="none" w:sz="0" w:space="0" w:color="auto"/>
        <w:bottom w:val="none" w:sz="0" w:space="0" w:color="auto"/>
        <w:right w:val="none" w:sz="0" w:space="0" w:color="auto"/>
      </w:divBdr>
    </w:div>
    <w:div w:id="554007844">
      <w:bodyDiv w:val="1"/>
      <w:marLeft w:val="0"/>
      <w:marRight w:val="0"/>
      <w:marTop w:val="0"/>
      <w:marBottom w:val="0"/>
      <w:divBdr>
        <w:top w:val="none" w:sz="0" w:space="0" w:color="auto"/>
        <w:left w:val="none" w:sz="0" w:space="0" w:color="auto"/>
        <w:bottom w:val="none" w:sz="0" w:space="0" w:color="auto"/>
        <w:right w:val="none" w:sz="0" w:space="0" w:color="auto"/>
      </w:divBdr>
    </w:div>
    <w:div w:id="555941927">
      <w:marLeft w:val="480"/>
      <w:marRight w:val="0"/>
      <w:marTop w:val="0"/>
      <w:marBottom w:val="0"/>
      <w:divBdr>
        <w:top w:val="none" w:sz="0" w:space="0" w:color="auto"/>
        <w:left w:val="none" w:sz="0" w:space="0" w:color="auto"/>
        <w:bottom w:val="none" w:sz="0" w:space="0" w:color="auto"/>
        <w:right w:val="none" w:sz="0" w:space="0" w:color="auto"/>
      </w:divBdr>
    </w:div>
    <w:div w:id="556941594">
      <w:marLeft w:val="480"/>
      <w:marRight w:val="0"/>
      <w:marTop w:val="0"/>
      <w:marBottom w:val="0"/>
      <w:divBdr>
        <w:top w:val="none" w:sz="0" w:space="0" w:color="auto"/>
        <w:left w:val="none" w:sz="0" w:space="0" w:color="auto"/>
        <w:bottom w:val="none" w:sz="0" w:space="0" w:color="auto"/>
        <w:right w:val="none" w:sz="0" w:space="0" w:color="auto"/>
      </w:divBdr>
    </w:div>
    <w:div w:id="559832530">
      <w:marLeft w:val="480"/>
      <w:marRight w:val="0"/>
      <w:marTop w:val="0"/>
      <w:marBottom w:val="0"/>
      <w:divBdr>
        <w:top w:val="none" w:sz="0" w:space="0" w:color="auto"/>
        <w:left w:val="none" w:sz="0" w:space="0" w:color="auto"/>
        <w:bottom w:val="none" w:sz="0" w:space="0" w:color="auto"/>
        <w:right w:val="none" w:sz="0" w:space="0" w:color="auto"/>
      </w:divBdr>
    </w:div>
    <w:div w:id="561017990">
      <w:bodyDiv w:val="1"/>
      <w:marLeft w:val="0"/>
      <w:marRight w:val="0"/>
      <w:marTop w:val="0"/>
      <w:marBottom w:val="0"/>
      <w:divBdr>
        <w:top w:val="none" w:sz="0" w:space="0" w:color="auto"/>
        <w:left w:val="none" w:sz="0" w:space="0" w:color="auto"/>
        <w:bottom w:val="none" w:sz="0" w:space="0" w:color="auto"/>
        <w:right w:val="none" w:sz="0" w:space="0" w:color="auto"/>
      </w:divBdr>
    </w:div>
    <w:div w:id="561911706">
      <w:bodyDiv w:val="1"/>
      <w:marLeft w:val="0"/>
      <w:marRight w:val="0"/>
      <w:marTop w:val="0"/>
      <w:marBottom w:val="0"/>
      <w:divBdr>
        <w:top w:val="none" w:sz="0" w:space="0" w:color="auto"/>
        <w:left w:val="none" w:sz="0" w:space="0" w:color="auto"/>
        <w:bottom w:val="none" w:sz="0" w:space="0" w:color="auto"/>
        <w:right w:val="none" w:sz="0" w:space="0" w:color="auto"/>
      </w:divBdr>
      <w:divsChild>
        <w:div w:id="37697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62562910">
      <w:marLeft w:val="480"/>
      <w:marRight w:val="0"/>
      <w:marTop w:val="0"/>
      <w:marBottom w:val="0"/>
      <w:divBdr>
        <w:top w:val="none" w:sz="0" w:space="0" w:color="auto"/>
        <w:left w:val="none" w:sz="0" w:space="0" w:color="auto"/>
        <w:bottom w:val="none" w:sz="0" w:space="0" w:color="auto"/>
        <w:right w:val="none" w:sz="0" w:space="0" w:color="auto"/>
      </w:divBdr>
    </w:div>
    <w:div w:id="564952966">
      <w:marLeft w:val="480"/>
      <w:marRight w:val="0"/>
      <w:marTop w:val="0"/>
      <w:marBottom w:val="0"/>
      <w:divBdr>
        <w:top w:val="none" w:sz="0" w:space="0" w:color="auto"/>
        <w:left w:val="none" w:sz="0" w:space="0" w:color="auto"/>
        <w:bottom w:val="none" w:sz="0" w:space="0" w:color="auto"/>
        <w:right w:val="none" w:sz="0" w:space="0" w:color="auto"/>
      </w:divBdr>
    </w:div>
    <w:div w:id="566762465">
      <w:marLeft w:val="480"/>
      <w:marRight w:val="0"/>
      <w:marTop w:val="0"/>
      <w:marBottom w:val="0"/>
      <w:divBdr>
        <w:top w:val="none" w:sz="0" w:space="0" w:color="auto"/>
        <w:left w:val="none" w:sz="0" w:space="0" w:color="auto"/>
        <w:bottom w:val="none" w:sz="0" w:space="0" w:color="auto"/>
        <w:right w:val="none" w:sz="0" w:space="0" w:color="auto"/>
      </w:divBdr>
    </w:div>
    <w:div w:id="567767349">
      <w:marLeft w:val="480"/>
      <w:marRight w:val="0"/>
      <w:marTop w:val="0"/>
      <w:marBottom w:val="0"/>
      <w:divBdr>
        <w:top w:val="none" w:sz="0" w:space="0" w:color="auto"/>
        <w:left w:val="none" w:sz="0" w:space="0" w:color="auto"/>
        <w:bottom w:val="none" w:sz="0" w:space="0" w:color="auto"/>
        <w:right w:val="none" w:sz="0" w:space="0" w:color="auto"/>
      </w:divBdr>
    </w:div>
    <w:div w:id="571891082">
      <w:marLeft w:val="480"/>
      <w:marRight w:val="0"/>
      <w:marTop w:val="0"/>
      <w:marBottom w:val="0"/>
      <w:divBdr>
        <w:top w:val="none" w:sz="0" w:space="0" w:color="auto"/>
        <w:left w:val="none" w:sz="0" w:space="0" w:color="auto"/>
        <w:bottom w:val="none" w:sz="0" w:space="0" w:color="auto"/>
        <w:right w:val="none" w:sz="0" w:space="0" w:color="auto"/>
      </w:divBdr>
    </w:div>
    <w:div w:id="572853656">
      <w:marLeft w:val="480"/>
      <w:marRight w:val="0"/>
      <w:marTop w:val="0"/>
      <w:marBottom w:val="0"/>
      <w:divBdr>
        <w:top w:val="none" w:sz="0" w:space="0" w:color="auto"/>
        <w:left w:val="none" w:sz="0" w:space="0" w:color="auto"/>
        <w:bottom w:val="none" w:sz="0" w:space="0" w:color="auto"/>
        <w:right w:val="none" w:sz="0" w:space="0" w:color="auto"/>
      </w:divBdr>
    </w:div>
    <w:div w:id="573785847">
      <w:marLeft w:val="480"/>
      <w:marRight w:val="0"/>
      <w:marTop w:val="0"/>
      <w:marBottom w:val="0"/>
      <w:divBdr>
        <w:top w:val="none" w:sz="0" w:space="0" w:color="auto"/>
        <w:left w:val="none" w:sz="0" w:space="0" w:color="auto"/>
        <w:bottom w:val="none" w:sz="0" w:space="0" w:color="auto"/>
        <w:right w:val="none" w:sz="0" w:space="0" w:color="auto"/>
      </w:divBdr>
    </w:div>
    <w:div w:id="575239167">
      <w:bodyDiv w:val="1"/>
      <w:marLeft w:val="0"/>
      <w:marRight w:val="0"/>
      <w:marTop w:val="0"/>
      <w:marBottom w:val="0"/>
      <w:divBdr>
        <w:top w:val="none" w:sz="0" w:space="0" w:color="auto"/>
        <w:left w:val="none" w:sz="0" w:space="0" w:color="auto"/>
        <w:bottom w:val="none" w:sz="0" w:space="0" w:color="auto"/>
        <w:right w:val="none" w:sz="0" w:space="0" w:color="auto"/>
      </w:divBdr>
      <w:divsChild>
        <w:div w:id="405148182">
          <w:marLeft w:val="480"/>
          <w:marRight w:val="0"/>
          <w:marTop w:val="0"/>
          <w:marBottom w:val="0"/>
          <w:divBdr>
            <w:top w:val="none" w:sz="0" w:space="0" w:color="auto"/>
            <w:left w:val="none" w:sz="0" w:space="0" w:color="auto"/>
            <w:bottom w:val="none" w:sz="0" w:space="0" w:color="auto"/>
            <w:right w:val="none" w:sz="0" w:space="0" w:color="auto"/>
          </w:divBdr>
        </w:div>
        <w:div w:id="448816019">
          <w:marLeft w:val="480"/>
          <w:marRight w:val="0"/>
          <w:marTop w:val="0"/>
          <w:marBottom w:val="0"/>
          <w:divBdr>
            <w:top w:val="none" w:sz="0" w:space="0" w:color="auto"/>
            <w:left w:val="none" w:sz="0" w:space="0" w:color="auto"/>
            <w:bottom w:val="none" w:sz="0" w:space="0" w:color="auto"/>
            <w:right w:val="none" w:sz="0" w:space="0" w:color="auto"/>
          </w:divBdr>
        </w:div>
        <w:div w:id="527329113">
          <w:marLeft w:val="480"/>
          <w:marRight w:val="0"/>
          <w:marTop w:val="0"/>
          <w:marBottom w:val="0"/>
          <w:divBdr>
            <w:top w:val="none" w:sz="0" w:space="0" w:color="auto"/>
            <w:left w:val="none" w:sz="0" w:space="0" w:color="auto"/>
            <w:bottom w:val="none" w:sz="0" w:space="0" w:color="auto"/>
            <w:right w:val="none" w:sz="0" w:space="0" w:color="auto"/>
          </w:divBdr>
        </w:div>
        <w:div w:id="774399266">
          <w:marLeft w:val="480"/>
          <w:marRight w:val="0"/>
          <w:marTop w:val="0"/>
          <w:marBottom w:val="0"/>
          <w:divBdr>
            <w:top w:val="none" w:sz="0" w:space="0" w:color="auto"/>
            <w:left w:val="none" w:sz="0" w:space="0" w:color="auto"/>
            <w:bottom w:val="none" w:sz="0" w:space="0" w:color="auto"/>
            <w:right w:val="none" w:sz="0" w:space="0" w:color="auto"/>
          </w:divBdr>
        </w:div>
        <w:div w:id="902329444">
          <w:marLeft w:val="480"/>
          <w:marRight w:val="0"/>
          <w:marTop w:val="0"/>
          <w:marBottom w:val="0"/>
          <w:divBdr>
            <w:top w:val="none" w:sz="0" w:space="0" w:color="auto"/>
            <w:left w:val="none" w:sz="0" w:space="0" w:color="auto"/>
            <w:bottom w:val="none" w:sz="0" w:space="0" w:color="auto"/>
            <w:right w:val="none" w:sz="0" w:space="0" w:color="auto"/>
          </w:divBdr>
        </w:div>
        <w:div w:id="1191450059">
          <w:marLeft w:val="480"/>
          <w:marRight w:val="0"/>
          <w:marTop w:val="0"/>
          <w:marBottom w:val="0"/>
          <w:divBdr>
            <w:top w:val="none" w:sz="0" w:space="0" w:color="auto"/>
            <w:left w:val="none" w:sz="0" w:space="0" w:color="auto"/>
            <w:bottom w:val="none" w:sz="0" w:space="0" w:color="auto"/>
            <w:right w:val="none" w:sz="0" w:space="0" w:color="auto"/>
          </w:divBdr>
        </w:div>
        <w:div w:id="1210993942">
          <w:marLeft w:val="480"/>
          <w:marRight w:val="0"/>
          <w:marTop w:val="0"/>
          <w:marBottom w:val="0"/>
          <w:divBdr>
            <w:top w:val="none" w:sz="0" w:space="0" w:color="auto"/>
            <w:left w:val="none" w:sz="0" w:space="0" w:color="auto"/>
            <w:bottom w:val="none" w:sz="0" w:space="0" w:color="auto"/>
            <w:right w:val="none" w:sz="0" w:space="0" w:color="auto"/>
          </w:divBdr>
        </w:div>
        <w:div w:id="1377896146">
          <w:marLeft w:val="480"/>
          <w:marRight w:val="0"/>
          <w:marTop w:val="0"/>
          <w:marBottom w:val="0"/>
          <w:divBdr>
            <w:top w:val="none" w:sz="0" w:space="0" w:color="auto"/>
            <w:left w:val="none" w:sz="0" w:space="0" w:color="auto"/>
            <w:bottom w:val="none" w:sz="0" w:space="0" w:color="auto"/>
            <w:right w:val="none" w:sz="0" w:space="0" w:color="auto"/>
          </w:divBdr>
        </w:div>
        <w:div w:id="1607810117">
          <w:marLeft w:val="480"/>
          <w:marRight w:val="0"/>
          <w:marTop w:val="0"/>
          <w:marBottom w:val="0"/>
          <w:divBdr>
            <w:top w:val="none" w:sz="0" w:space="0" w:color="auto"/>
            <w:left w:val="none" w:sz="0" w:space="0" w:color="auto"/>
            <w:bottom w:val="none" w:sz="0" w:space="0" w:color="auto"/>
            <w:right w:val="none" w:sz="0" w:space="0" w:color="auto"/>
          </w:divBdr>
        </w:div>
        <w:div w:id="2002192702">
          <w:marLeft w:val="480"/>
          <w:marRight w:val="0"/>
          <w:marTop w:val="0"/>
          <w:marBottom w:val="0"/>
          <w:divBdr>
            <w:top w:val="none" w:sz="0" w:space="0" w:color="auto"/>
            <w:left w:val="none" w:sz="0" w:space="0" w:color="auto"/>
            <w:bottom w:val="none" w:sz="0" w:space="0" w:color="auto"/>
            <w:right w:val="none" w:sz="0" w:space="0" w:color="auto"/>
          </w:divBdr>
        </w:div>
      </w:divsChild>
    </w:div>
    <w:div w:id="575749879">
      <w:marLeft w:val="480"/>
      <w:marRight w:val="0"/>
      <w:marTop w:val="0"/>
      <w:marBottom w:val="0"/>
      <w:divBdr>
        <w:top w:val="none" w:sz="0" w:space="0" w:color="auto"/>
        <w:left w:val="none" w:sz="0" w:space="0" w:color="auto"/>
        <w:bottom w:val="none" w:sz="0" w:space="0" w:color="auto"/>
        <w:right w:val="none" w:sz="0" w:space="0" w:color="auto"/>
      </w:divBdr>
    </w:div>
    <w:div w:id="575939626">
      <w:bodyDiv w:val="1"/>
      <w:marLeft w:val="0"/>
      <w:marRight w:val="0"/>
      <w:marTop w:val="0"/>
      <w:marBottom w:val="0"/>
      <w:divBdr>
        <w:top w:val="none" w:sz="0" w:space="0" w:color="auto"/>
        <w:left w:val="none" w:sz="0" w:space="0" w:color="auto"/>
        <w:bottom w:val="none" w:sz="0" w:space="0" w:color="auto"/>
        <w:right w:val="none" w:sz="0" w:space="0" w:color="auto"/>
      </w:divBdr>
      <w:divsChild>
        <w:div w:id="418212605">
          <w:marLeft w:val="0"/>
          <w:marRight w:val="0"/>
          <w:marTop w:val="0"/>
          <w:marBottom w:val="0"/>
          <w:divBdr>
            <w:top w:val="none" w:sz="0" w:space="0" w:color="auto"/>
            <w:left w:val="none" w:sz="0" w:space="0" w:color="auto"/>
            <w:bottom w:val="none" w:sz="0" w:space="0" w:color="auto"/>
            <w:right w:val="none" w:sz="0" w:space="0" w:color="auto"/>
          </w:divBdr>
          <w:divsChild>
            <w:div w:id="1777598998">
              <w:marLeft w:val="0"/>
              <w:marRight w:val="0"/>
              <w:marTop w:val="0"/>
              <w:marBottom w:val="0"/>
              <w:divBdr>
                <w:top w:val="none" w:sz="0" w:space="0" w:color="auto"/>
                <w:left w:val="none" w:sz="0" w:space="0" w:color="auto"/>
                <w:bottom w:val="none" w:sz="0" w:space="0" w:color="auto"/>
                <w:right w:val="none" w:sz="0" w:space="0" w:color="auto"/>
              </w:divBdr>
              <w:divsChild>
                <w:div w:id="17866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7429">
      <w:marLeft w:val="480"/>
      <w:marRight w:val="0"/>
      <w:marTop w:val="0"/>
      <w:marBottom w:val="0"/>
      <w:divBdr>
        <w:top w:val="none" w:sz="0" w:space="0" w:color="auto"/>
        <w:left w:val="none" w:sz="0" w:space="0" w:color="auto"/>
        <w:bottom w:val="none" w:sz="0" w:space="0" w:color="auto"/>
        <w:right w:val="none" w:sz="0" w:space="0" w:color="auto"/>
      </w:divBdr>
    </w:div>
    <w:div w:id="580215404">
      <w:marLeft w:val="480"/>
      <w:marRight w:val="0"/>
      <w:marTop w:val="0"/>
      <w:marBottom w:val="0"/>
      <w:divBdr>
        <w:top w:val="none" w:sz="0" w:space="0" w:color="auto"/>
        <w:left w:val="none" w:sz="0" w:space="0" w:color="auto"/>
        <w:bottom w:val="none" w:sz="0" w:space="0" w:color="auto"/>
        <w:right w:val="none" w:sz="0" w:space="0" w:color="auto"/>
      </w:divBdr>
    </w:div>
    <w:div w:id="580599246">
      <w:marLeft w:val="480"/>
      <w:marRight w:val="0"/>
      <w:marTop w:val="0"/>
      <w:marBottom w:val="0"/>
      <w:divBdr>
        <w:top w:val="none" w:sz="0" w:space="0" w:color="auto"/>
        <w:left w:val="none" w:sz="0" w:space="0" w:color="auto"/>
        <w:bottom w:val="none" w:sz="0" w:space="0" w:color="auto"/>
        <w:right w:val="none" w:sz="0" w:space="0" w:color="auto"/>
      </w:divBdr>
    </w:div>
    <w:div w:id="583026741">
      <w:bodyDiv w:val="1"/>
      <w:marLeft w:val="0"/>
      <w:marRight w:val="0"/>
      <w:marTop w:val="0"/>
      <w:marBottom w:val="0"/>
      <w:divBdr>
        <w:top w:val="none" w:sz="0" w:space="0" w:color="auto"/>
        <w:left w:val="none" w:sz="0" w:space="0" w:color="auto"/>
        <w:bottom w:val="none" w:sz="0" w:space="0" w:color="auto"/>
        <w:right w:val="none" w:sz="0" w:space="0" w:color="auto"/>
      </w:divBdr>
    </w:div>
    <w:div w:id="584656206">
      <w:bodyDiv w:val="1"/>
      <w:marLeft w:val="0"/>
      <w:marRight w:val="0"/>
      <w:marTop w:val="0"/>
      <w:marBottom w:val="0"/>
      <w:divBdr>
        <w:top w:val="none" w:sz="0" w:space="0" w:color="auto"/>
        <w:left w:val="none" w:sz="0" w:space="0" w:color="auto"/>
        <w:bottom w:val="none" w:sz="0" w:space="0" w:color="auto"/>
        <w:right w:val="none" w:sz="0" w:space="0" w:color="auto"/>
      </w:divBdr>
    </w:div>
    <w:div w:id="584843607">
      <w:marLeft w:val="480"/>
      <w:marRight w:val="0"/>
      <w:marTop w:val="0"/>
      <w:marBottom w:val="0"/>
      <w:divBdr>
        <w:top w:val="none" w:sz="0" w:space="0" w:color="auto"/>
        <w:left w:val="none" w:sz="0" w:space="0" w:color="auto"/>
        <w:bottom w:val="none" w:sz="0" w:space="0" w:color="auto"/>
        <w:right w:val="none" w:sz="0" w:space="0" w:color="auto"/>
      </w:divBdr>
    </w:div>
    <w:div w:id="585916360">
      <w:marLeft w:val="480"/>
      <w:marRight w:val="0"/>
      <w:marTop w:val="0"/>
      <w:marBottom w:val="0"/>
      <w:divBdr>
        <w:top w:val="none" w:sz="0" w:space="0" w:color="auto"/>
        <w:left w:val="none" w:sz="0" w:space="0" w:color="auto"/>
        <w:bottom w:val="none" w:sz="0" w:space="0" w:color="auto"/>
        <w:right w:val="none" w:sz="0" w:space="0" w:color="auto"/>
      </w:divBdr>
    </w:div>
    <w:div w:id="585923594">
      <w:marLeft w:val="480"/>
      <w:marRight w:val="0"/>
      <w:marTop w:val="0"/>
      <w:marBottom w:val="0"/>
      <w:divBdr>
        <w:top w:val="none" w:sz="0" w:space="0" w:color="auto"/>
        <w:left w:val="none" w:sz="0" w:space="0" w:color="auto"/>
        <w:bottom w:val="none" w:sz="0" w:space="0" w:color="auto"/>
        <w:right w:val="none" w:sz="0" w:space="0" w:color="auto"/>
      </w:divBdr>
    </w:div>
    <w:div w:id="588201833">
      <w:marLeft w:val="480"/>
      <w:marRight w:val="0"/>
      <w:marTop w:val="0"/>
      <w:marBottom w:val="0"/>
      <w:divBdr>
        <w:top w:val="none" w:sz="0" w:space="0" w:color="auto"/>
        <w:left w:val="none" w:sz="0" w:space="0" w:color="auto"/>
        <w:bottom w:val="none" w:sz="0" w:space="0" w:color="auto"/>
        <w:right w:val="none" w:sz="0" w:space="0" w:color="auto"/>
      </w:divBdr>
    </w:div>
    <w:div w:id="588656306">
      <w:marLeft w:val="480"/>
      <w:marRight w:val="0"/>
      <w:marTop w:val="0"/>
      <w:marBottom w:val="0"/>
      <w:divBdr>
        <w:top w:val="none" w:sz="0" w:space="0" w:color="auto"/>
        <w:left w:val="none" w:sz="0" w:space="0" w:color="auto"/>
        <w:bottom w:val="none" w:sz="0" w:space="0" w:color="auto"/>
        <w:right w:val="none" w:sz="0" w:space="0" w:color="auto"/>
      </w:divBdr>
    </w:div>
    <w:div w:id="588849078">
      <w:marLeft w:val="480"/>
      <w:marRight w:val="0"/>
      <w:marTop w:val="0"/>
      <w:marBottom w:val="0"/>
      <w:divBdr>
        <w:top w:val="none" w:sz="0" w:space="0" w:color="auto"/>
        <w:left w:val="none" w:sz="0" w:space="0" w:color="auto"/>
        <w:bottom w:val="none" w:sz="0" w:space="0" w:color="auto"/>
        <w:right w:val="none" w:sz="0" w:space="0" w:color="auto"/>
      </w:divBdr>
    </w:div>
    <w:div w:id="590092562">
      <w:bodyDiv w:val="1"/>
      <w:marLeft w:val="0"/>
      <w:marRight w:val="0"/>
      <w:marTop w:val="0"/>
      <w:marBottom w:val="0"/>
      <w:divBdr>
        <w:top w:val="none" w:sz="0" w:space="0" w:color="auto"/>
        <w:left w:val="none" w:sz="0" w:space="0" w:color="auto"/>
        <w:bottom w:val="none" w:sz="0" w:space="0" w:color="auto"/>
        <w:right w:val="none" w:sz="0" w:space="0" w:color="auto"/>
      </w:divBdr>
      <w:divsChild>
        <w:div w:id="33821121">
          <w:marLeft w:val="480"/>
          <w:marRight w:val="0"/>
          <w:marTop w:val="0"/>
          <w:marBottom w:val="0"/>
          <w:divBdr>
            <w:top w:val="none" w:sz="0" w:space="0" w:color="auto"/>
            <w:left w:val="none" w:sz="0" w:space="0" w:color="auto"/>
            <w:bottom w:val="none" w:sz="0" w:space="0" w:color="auto"/>
            <w:right w:val="none" w:sz="0" w:space="0" w:color="auto"/>
          </w:divBdr>
        </w:div>
        <w:div w:id="1278179862">
          <w:marLeft w:val="480"/>
          <w:marRight w:val="0"/>
          <w:marTop w:val="0"/>
          <w:marBottom w:val="0"/>
          <w:divBdr>
            <w:top w:val="none" w:sz="0" w:space="0" w:color="auto"/>
            <w:left w:val="none" w:sz="0" w:space="0" w:color="auto"/>
            <w:bottom w:val="none" w:sz="0" w:space="0" w:color="auto"/>
            <w:right w:val="none" w:sz="0" w:space="0" w:color="auto"/>
          </w:divBdr>
        </w:div>
        <w:div w:id="2008171422">
          <w:marLeft w:val="480"/>
          <w:marRight w:val="0"/>
          <w:marTop w:val="0"/>
          <w:marBottom w:val="0"/>
          <w:divBdr>
            <w:top w:val="none" w:sz="0" w:space="0" w:color="auto"/>
            <w:left w:val="none" w:sz="0" w:space="0" w:color="auto"/>
            <w:bottom w:val="none" w:sz="0" w:space="0" w:color="auto"/>
            <w:right w:val="none" w:sz="0" w:space="0" w:color="auto"/>
          </w:divBdr>
        </w:div>
        <w:div w:id="2055154812">
          <w:marLeft w:val="480"/>
          <w:marRight w:val="0"/>
          <w:marTop w:val="0"/>
          <w:marBottom w:val="0"/>
          <w:divBdr>
            <w:top w:val="none" w:sz="0" w:space="0" w:color="auto"/>
            <w:left w:val="none" w:sz="0" w:space="0" w:color="auto"/>
            <w:bottom w:val="none" w:sz="0" w:space="0" w:color="auto"/>
            <w:right w:val="none" w:sz="0" w:space="0" w:color="auto"/>
          </w:divBdr>
        </w:div>
      </w:divsChild>
    </w:div>
    <w:div w:id="593587446">
      <w:marLeft w:val="480"/>
      <w:marRight w:val="0"/>
      <w:marTop w:val="0"/>
      <w:marBottom w:val="0"/>
      <w:divBdr>
        <w:top w:val="none" w:sz="0" w:space="0" w:color="auto"/>
        <w:left w:val="none" w:sz="0" w:space="0" w:color="auto"/>
        <w:bottom w:val="none" w:sz="0" w:space="0" w:color="auto"/>
        <w:right w:val="none" w:sz="0" w:space="0" w:color="auto"/>
      </w:divBdr>
    </w:div>
    <w:div w:id="596524798">
      <w:bodyDiv w:val="1"/>
      <w:marLeft w:val="0"/>
      <w:marRight w:val="0"/>
      <w:marTop w:val="0"/>
      <w:marBottom w:val="0"/>
      <w:divBdr>
        <w:top w:val="none" w:sz="0" w:space="0" w:color="auto"/>
        <w:left w:val="none" w:sz="0" w:space="0" w:color="auto"/>
        <w:bottom w:val="none" w:sz="0" w:space="0" w:color="auto"/>
        <w:right w:val="none" w:sz="0" w:space="0" w:color="auto"/>
      </w:divBdr>
      <w:divsChild>
        <w:div w:id="74789228">
          <w:marLeft w:val="480"/>
          <w:marRight w:val="0"/>
          <w:marTop w:val="0"/>
          <w:marBottom w:val="0"/>
          <w:divBdr>
            <w:top w:val="none" w:sz="0" w:space="0" w:color="auto"/>
            <w:left w:val="none" w:sz="0" w:space="0" w:color="auto"/>
            <w:bottom w:val="none" w:sz="0" w:space="0" w:color="auto"/>
            <w:right w:val="none" w:sz="0" w:space="0" w:color="auto"/>
          </w:divBdr>
        </w:div>
        <w:div w:id="79378291">
          <w:marLeft w:val="480"/>
          <w:marRight w:val="0"/>
          <w:marTop w:val="0"/>
          <w:marBottom w:val="0"/>
          <w:divBdr>
            <w:top w:val="none" w:sz="0" w:space="0" w:color="auto"/>
            <w:left w:val="none" w:sz="0" w:space="0" w:color="auto"/>
            <w:bottom w:val="none" w:sz="0" w:space="0" w:color="auto"/>
            <w:right w:val="none" w:sz="0" w:space="0" w:color="auto"/>
          </w:divBdr>
        </w:div>
        <w:div w:id="505946246">
          <w:marLeft w:val="480"/>
          <w:marRight w:val="0"/>
          <w:marTop w:val="0"/>
          <w:marBottom w:val="0"/>
          <w:divBdr>
            <w:top w:val="none" w:sz="0" w:space="0" w:color="auto"/>
            <w:left w:val="none" w:sz="0" w:space="0" w:color="auto"/>
            <w:bottom w:val="none" w:sz="0" w:space="0" w:color="auto"/>
            <w:right w:val="none" w:sz="0" w:space="0" w:color="auto"/>
          </w:divBdr>
        </w:div>
        <w:div w:id="523402583">
          <w:marLeft w:val="480"/>
          <w:marRight w:val="0"/>
          <w:marTop w:val="0"/>
          <w:marBottom w:val="0"/>
          <w:divBdr>
            <w:top w:val="none" w:sz="0" w:space="0" w:color="auto"/>
            <w:left w:val="none" w:sz="0" w:space="0" w:color="auto"/>
            <w:bottom w:val="none" w:sz="0" w:space="0" w:color="auto"/>
            <w:right w:val="none" w:sz="0" w:space="0" w:color="auto"/>
          </w:divBdr>
        </w:div>
        <w:div w:id="1230337393">
          <w:marLeft w:val="480"/>
          <w:marRight w:val="0"/>
          <w:marTop w:val="0"/>
          <w:marBottom w:val="0"/>
          <w:divBdr>
            <w:top w:val="none" w:sz="0" w:space="0" w:color="auto"/>
            <w:left w:val="none" w:sz="0" w:space="0" w:color="auto"/>
            <w:bottom w:val="none" w:sz="0" w:space="0" w:color="auto"/>
            <w:right w:val="none" w:sz="0" w:space="0" w:color="auto"/>
          </w:divBdr>
        </w:div>
        <w:div w:id="1528569164">
          <w:marLeft w:val="480"/>
          <w:marRight w:val="0"/>
          <w:marTop w:val="0"/>
          <w:marBottom w:val="0"/>
          <w:divBdr>
            <w:top w:val="none" w:sz="0" w:space="0" w:color="auto"/>
            <w:left w:val="none" w:sz="0" w:space="0" w:color="auto"/>
            <w:bottom w:val="none" w:sz="0" w:space="0" w:color="auto"/>
            <w:right w:val="none" w:sz="0" w:space="0" w:color="auto"/>
          </w:divBdr>
        </w:div>
        <w:div w:id="1870414110">
          <w:marLeft w:val="480"/>
          <w:marRight w:val="0"/>
          <w:marTop w:val="0"/>
          <w:marBottom w:val="0"/>
          <w:divBdr>
            <w:top w:val="none" w:sz="0" w:space="0" w:color="auto"/>
            <w:left w:val="none" w:sz="0" w:space="0" w:color="auto"/>
            <w:bottom w:val="none" w:sz="0" w:space="0" w:color="auto"/>
            <w:right w:val="none" w:sz="0" w:space="0" w:color="auto"/>
          </w:divBdr>
        </w:div>
        <w:div w:id="1878464210">
          <w:marLeft w:val="480"/>
          <w:marRight w:val="0"/>
          <w:marTop w:val="0"/>
          <w:marBottom w:val="0"/>
          <w:divBdr>
            <w:top w:val="none" w:sz="0" w:space="0" w:color="auto"/>
            <w:left w:val="none" w:sz="0" w:space="0" w:color="auto"/>
            <w:bottom w:val="none" w:sz="0" w:space="0" w:color="auto"/>
            <w:right w:val="none" w:sz="0" w:space="0" w:color="auto"/>
          </w:divBdr>
        </w:div>
      </w:divsChild>
    </w:div>
    <w:div w:id="599408674">
      <w:marLeft w:val="480"/>
      <w:marRight w:val="0"/>
      <w:marTop w:val="0"/>
      <w:marBottom w:val="0"/>
      <w:divBdr>
        <w:top w:val="none" w:sz="0" w:space="0" w:color="auto"/>
        <w:left w:val="none" w:sz="0" w:space="0" w:color="auto"/>
        <w:bottom w:val="none" w:sz="0" w:space="0" w:color="auto"/>
        <w:right w:val="none" w:sz="0" w:space="0" w:color="auto"/>
      </w:divBdr>
    </w:div>
    <w:div w:id="599408820">
      <w:marLeft w:val="480"/>
      <w:marRight w:val="0"/>
      <w:marTop w:val="0"/>
      <w:marBottom w:val="0"/>
      <w:divBdr>
        <w:top w:val="none" w:sz="0" w:space="0" w:color="auto"/>
        <w:left w:val="none" w:sz="0" w:space="0" w:color="auto"/>
        <w:bottom w:val="none" w:sz="0" w:space="0" w:color="auto"/>
        <w:right w:val="none" w:sz="0" w:space="0" w:color="auto"/>
      </w:divBdr>
    </w:div>
    <w:div w:id="599413248">
      <w:marLeft w:val="480"/>
      <w:marRight w:val="0"/>
      <w:marTop w:val="0"/>
      <w:marBottom w:val="0"/>
      <w:divBdr>
        <w:top w:val="none" w:sz="0" w:space="0" w:color="auto"/>
        <w:left w:val="none" w:sz="0" w:space="0" w:color="auto"/>
        <w:bottom w:val="none" w:sz="0" w:space="0" w:color="auto"/>
        <w:right w:val="none" w:sz="0" w:space="0" w:color="auto"/>
      </w:divBdr>
    </w:div>
    <w:div w:id="600339358">
      <w:marLeft w:val="480"/>
      <w:marRight w:val="0"/>
      <w:marTop w:val="0"/>
      <w:marBottom w:val="0"/>
      <w:divBdr>
        <w:top w:val="none" w:sz="0" w:space="0" w:color="auto"/>
        <w:left w:val="none" w:sz="0" w:space="0" w:color="auto"/>
        <w:bottom w:val="none" w:sz="0" w:space="0" w:color="auto"/>
        <w:right w:val="none" w:sz="0" w:space="0" w:color="auto"/>
      </w:divBdr>
    </w:div>
    <w:div w:id="603195435">
      <w:marLeft w:val="480"/>
      <w:marRight w:val="0"/>
      <w:marTop w:val="0"/>
      <w:marBottom w:val="0"/>
      <w:divBdr>
        <w:top w:val="none" w:sz="0" w:space="0" w:color="auto"/>
        <w:left w:val="none" w:sz="0" w:space="0" w:color="auto"/>
        <w:bottom w:val="none" w:sz="0" w:space="0" w:color="auto"/>
        <w:right w:val="none" w:sz="0" w:space="0" w:color="auto"/>
      </w:divBdr>
    </w:div>
    <w:div w:id="604653162">
      <w:marLeft w:val="480"/>
      <w:marRight w:val="0"/>
      <w:marTop w:val="0"/>
      <w:marBottom w:val="0"/>
      <w:divBdr>
        <w:top w:val="none" w:sz="0" w:space="0" w:color="auto"/>
        <w:left w:val="none" w:sz="0" w:space="0" w:color="auto"/>
        <w:bottom w:val="none" w:sz="0" w:space="0" w:color="auto"/>
        <w:right w:val="none" w:sz="0" w:space="0" w:color="auto"/>
      </w:divBdr>
    </w:div>
    <w:div w:id="605121233">
      <w:marLeft w:val="480"/>
      <w:marRight w:val="0"/>
      <w:marTop w:val="0"/>
      <w:marBottom w:val="0"/>
      <w:divBdr>
        <w:top w:val="none" w:sz="0" w:space="0" w:color="auto"/>
        <w:left w:val="none" w:sz="0" w:space="0" w:color="auto"/>
        <w:bottom w:val="none" w:sz="0" w:space="0" w:color="auto"/>
        <w:right w:val="none" w:sz="0" w:space="0" w:color="auto"/>
      </w:divBdr>
    </w:div>
    <w:div w:id="606275714">
      <w:bodyDiv w:val="1"/>
      <w:marLeft w:val="0"/>
      <w:marRight w:val="0"/>
      <w:marTop w:val="0"/>
      <w:marBottom w:val="0"/>
      <w:divBdr>
        <w:top w:val="none" w:sz="0" w:space="0" w:color="auto"/>
        <w:left w:val="none" w:sz="0" w:space="0" w:color="auto"/>
        <w:bottom w:val="none" w:sz="0" w:space="0" w:color="auto"/>
        <w:right w:val="none" w:sz="0" w:space="0" w:color="auto"/>
      </w:divBdr>
      <w:divsChild>
        <w:div w:id="572591728">
          <w:marLeft w:val="480"/>
          <w:marRight w:val="0"/>
          <w:marTop w:val="0"/>
          <w:marBottom w:val="0"/>
          <w:divBdr>
            <w:top w:val="none" w:sz="0" w:space="0" w:color="auto"/>
            <w:left w:val="none" w:sz="0" w:space="0" w:color="auto"/>
            <w:bottom w:val="none" w:sz="0" w:space="0" w:color="auto"/>
            <w:right w:val="none" w:sz="0" w:space="0" w:color="auto"/>
          </w:divBdr>
        </w:div>
        <w:div w:id="877937159">
          <w:marLeft w:val="480"/>
          <w:marRight w:val="0"/>
          <w:marTop w:val="0"/>
          <w:marBottom w:val="0"/>
          <w:divBdr>
            <w:top w:val="none" w:sz="0" w:space="0" w:color="auto"/>
            <w:left w:val="none" w:sz="0" w:space="0" w:color="auto"/>
            <w:bottom w:val="none" w:sz="0" w:space="0" w:color="auto"/>
            <w:right w:val="none" w:sz="0" w:space="0" w:color="auto"/>
          </w:divBdr>
        </w:div>
        <w:div w:id="1135685088">
          <w:marLeft w:val="480"/>
          <w:marRight w:val="0"/>
          <w:marTop w:val="0"/>
          <w:marBottom w:val="0"/>
          <w:divBdr>
            <w:top w:val="none" w:sz="0" w:space="0" w:color="auto"/>
            <w:left w:val="none" w:sz="0" w:space="0" w:color="auto"/>
            <w:bottom w:val="none" w:sz="0" w:space="0" w:color="auto"/>
            <w:right w:val="none" w:sz="0" w:space="0" w:color="auto"/>
          </w:divBdr>
        </w:div>
        <w:div w:id="1177961490">
          <w:marLeft w:val="480"/>
          <w:marRight w:val="0"/>
          <w:marTop w:val="0"/>
          <w:marBottom w:val="0"/>
          <w:divBdr>
            <w:top w:val="none" w:sz="0" w:space="0" w:color="auto"/>
            <w:left w:val="none" w:sz="0" w:space="0" w:color="auto"/>
            <w:bottom w:val="none" w:sz="0" w:space="0" w:color="auto"/>
            <w:right w:val="none" w:sz="0" w:space="0" w:color="auto"/>
          </w:divBdr>
        </w:div>
        <w:div w:id="1252010389">
          <w:marLeft w:val="480"/>
          <w:marRight w:val="0"/>
          <w:marTop w:val="0"/>
          <w:marBottom w:val="0"/>
          <w:divBdr>
            <w:top w:val="none" w:sz="0" w:space="0" w:color="auto"/>
            <w:left w:val="none" w:sz="0" w:space="0" w:color="auto"/>
            <w:bottom w:val="none" w:sz="0" w:space="0" w:color="auto"/>
            <w:right w:val="none" w:sz="0" w:space="0" w:color="auto"/>
          </w:divBdr>
        </w:div>
        <w:div w:id="1261064504">
          <w:marLeft w:val="480"/>
          <w:marRight w:val="0"/>
          <w:marTop w:val="0"/>
          <w:marBottom w:val="0"/>
          <w:divBdr>
            <w:top w:val="none" w:sz="0" w:space="0" w:color="auto"/>
            <w:left w:val="none" w:sz="0" w:space="0" w:color="auto"/>
            <w:bottom w:val="none" w:sz="0" w:space="0" w:color="auto"/>
            <w:right w:val="none" w:sz="0" w:space="0" w:color="auto"/>
          </w:divBdr>
        </w:div>
        <w:div w:id="1479103090">
          <w:marLeft w:val="480"/>
          <w:marRight w:val="0"/>
          <w:marTop w:val="0"/>
          <w:marBottom w:val="0"/>
          <w:divBdr>
            <w:top w:val="none" w:sz="0" w:space="0" w:color="auto"/>
            <w:left w:val="none" w:sz="0" w:space="0" w:color="auto"/>
            <w:bottom w:val="none" w:sz="0" w:space="0" w:color="auto"/>
            <w:right w:val="none" w:sz="0" w:space="0" w:color="auto"/>
          </w:divBdr>
        </w:div>
        <w:div w:id="1556811992">
          <w:marLeft w:val="480"/>
          <w:marRight w:val="0"/>
          <w:marTop w:val="0"/>
          <w:marBottom w:val="0"/>
          <w:divBdr>
            <w:top w:val="none" w:sz="0" w:space="0" w:color="auto"/>
            <w:left w:val="none" w:sz="0" w:space="0" w:color="auto"/>
            <w:bottom w:val="none" w:sz="0" w:space="0" w:color="auto"/>
            <w:right w:val="none" w:sz="0" w:space="0" w:color="auto"/>
          </w:divBdr>
        </w:div>
        <w:div w:id="1721126532">
          <w:marLeft w:val="480"/>
          <w:marRight w:val="0"/>
          <w:marTop w:val="0"/>
          <w:marBottom w:val="0"/>
          <w:divBdr>
            <w:top w:val="none" w:sz="0" w:space="0" w:color="auto"/>
            <w:left w:val="none" w:sz="0" w:space="0" w:color="auto"/>
            <w:bottom w:val="none" w:sz="0" w:space="0" w:color="auto"/>
            <w:right w:val="none" w:sz="0" w:space="0" w:color="auto"/>
          </w:divBdr>
        </w:div>
      </w:divsChild>
    </w:div>
    <w:div w:id="607812450">
      <w:marLeft w:val="480"/>
      <w:marRight w:val="0"/>
      <w:marTop w:val="0"/>
      <w:marBottom w:val="0"/>
      <w:divBdr>
        <w:top w:val="none" w:sz="0" w:space="0" w:color="auto"/>
        <w:left w:val="none" w:sz="0" w:space="0" w:color="auto"/>
        <w:bottom w:val="none" w:sz="0" w:space="0" w:color="auto"/>
        <w:right w:val="none" w:sz="0" w:space="0" w:color="auto"/>
      </w:divBdr>
    </w:div>
    <w:div w:id="609163794">
      <w:marLeft w:val="480"/>
      <w:marRight w:val="0"/>
      <w:marTop w:val="0"/>
      <w:marBottom w:val="0"/>
      <w:divBdr>
        <w:top w:val="none" w:sz="0" w:space="0" w:color="auto"/>
        <w:left w:val="none" w:sz="0" w:space="0" w:color="auto"/>
        <w:bottom w:val="none" w:sz="0" w:space="0" w:color="auto"/>
        <w:right w:val="none" w:sz="0" w:space="0" w:color="auto"/>
      </w:divBdr>
    </w:div>
    <w:div w:id="609707954">
      <w:marLeft w:val="480"/>
      <w:marRight w:val="0"/>
      <w:marTop w:val="0"/>
      <w:marBottom w:val="0"/>
      <w:divBdr>
        <w:top w:val="none" w:sz="0" w:space="0" w:color="auto"/>
        <w:left w:val="none" w:sz="0" w:space="0" w:color="auto"/>
        <w:bottom w:val="none" w:sz="0" w:space="0" w:color="auto"/>
        <w:right w:val="none" w:sz="0" w:space="0" w:color="auto"/>
      </w:divBdr>
    </w:div>
    <w:div w:id="612442026">
      <w:marLeft w:val="480"/>
      <w:marRight w:val="0"/>
      <w:marTop w:val="0"/>
      <w:marBottom w:val="0"/>
      <w:divBdr>
        <w:top w:val="none" w:sz="0" w:space="0" w:color="auto"/>
        <w:left w:val="none" w:sz="0" w:space="0" w:color="auto"/>
        <w:bottom w:val="none" w:sz="0" w:space="0" w:color="auto"/>
        <w:right w:val="none" w:sz="0" w:space="0" w:color="auto"/>
      </w:divBdr>
    </w:div>
    <w:div w:id="612714977">
      <w:marLeft w:val="480"/>
      <w:marRight w:val="0"/>
      <w:marTop w:val="0"/>
      <w:marBottom w:val="0"/>
      <w:divBdr>
        <w:top w:val="none" w:sz="0" w:space="0" w:color="auto"/>
        <w:left w:val="none" w:sz="0" w:space="0" w:color="auto"/>
        <w:bottom w:val="none" w:sz="0" w:space="0" w:color="auto"/>
        <w:right w:val="none" w:sz="0" w:space="0" w:color="auto"/>
      </w:divBdr>
    </w:div>
    <w:div w:id="613246877">
      <w:marLeft w:val="480"/>
      <w:marRight w:val="0"/>
      <w:marTop w:val="0"/>
      <w:marBottom w:val="0"/>
      <w:divBdr>
        <w:top w:val="none" w:sz="0" w:space="0" w:color="auto"/>
        <w:left w:val="none" w:sz="0" w:space="0" w:color="auto"/>
        <w:bottom w:val="none" w:sz="0" w:space="0" w:color="auto"/>
        <w:right w:val="none" w:sz="0" w:space="0" w:color="auto"/>
      </w:divBdr>
    </w:div>
    <w:div w:id="613443051">
      <w:marLeft w:val="480"/>
      <w:marRight w:val="0"/>
      <w:marTop w:val="0"/>
      <w:marBottom w:val="0"/>
      <w:divBdr>
        <w:top w:val="none" w:sz="0" w:space="0" w:color="auto"/>
        <w:left w:val="none" w:sz="0" w:space="0" w:color="auto"/>
        <w:bottom w:val="none" w:sz="0" w:space="0" w:color="auto"/>
        <w:right w:val="none" w:sz="0" w:space="0" w:color="auto"/>
      </w:divBdr>
    </w:div>
    <w:div w:id="613708849">
      <w:marLeft w:val="480"/>
      <w:marRight w:val="0"/>
      <w:marTop w:val="0"/>
      <w:marBottom w:val="0"/>
      <w:divBdr>
        <w:top w:val="none" w:sz="0" w:space="0" w:color="auto"/>
        <w:left w:val="none" w:sz="0" w:space="0" w:color="auto"/>
        <w:bottom w:val="none" w:sz="0" w:space="0" w:color="auto"/>
        <w:right w:val="none" w:sz="0" w:space="0" w:color="auto"/>
      </w:divBdr>
    </w:div>
    <w:div w:id="617491040">
      <w:marLeft w:val="480"/>
      <w:marRight w:val="0"/>
      <w:marTop w:val="0"/>
      <w:marBottom w:val="0"/>
      <w:divBdr>
        <w:top w:val="none" w:sz="0" w:space="0" w:color="auto"/>
        <w:left w:val="none" w:sz="0" w:space="0" w:color="auto"/>
        <w:bottom w:val="none" w:sz="0" w:space="0" w:color="auto"/>
        <w:right w:val="none" w:sz="0" w:space="0" w:color="auto"/>
      </w:divBdr>
    </w:div>
    <w:div w:id="619071033">
      <w:marLeft w:val="480"/>
      <w:marRight w:val="0"/>
      <w:marTop w:val="0"/>
      <w:marBottom w:val="0"/>
      <w:divBdr>
        <w:top w:val="none" w:sz="0" w:space="0" w:color="auto"/>
        <w:left w:val="none" w:sz="0" w:space="0" w:color="auto"/>
        <w:bottom w:val="none" w:sz="0" w:space="0" w:color="auto"/>
        <w:right w:val="none" w:sz="0" w:space="0" w:color="auto"/>
      </w:divBdr>
    </w:div>
    <w:div w:id="620037257">
      <w:marLeft w:val="480"/>
      <w:marRight w:val="0"/>
      <w:marTop w:val="0"/>
      <w:marBottom w:val="0"/>
      <w:divBdr>
        <w:top w:val="none" w:sz="0" w:space="0" w:color="auto"/>
        <w:left w:val="none" w:sz="0" w:space="0" w:color="auto"/>
        <w:bottom w:val="none" w:sz="0" w:space="0" w:color="auto"/>
        <w:right w:val="none" w:sz="0" w:space="0" w:color="auto"/>
      </w:divBdr>
    </w:div>
    <w:div w:id="620766108">
      <w:marLeft w:val="480"/>
      <w:marRight w:val="0"/>
      <w:marTop w:val="0"/>
      <w:marBottom w:val="0"/>
      <w:divBdr>
        <w:top w:val="none" w:sz="0" w:space="0" w:color="auto"/>
        <w:left w:val="none" w:sz="0" w:space="0" w:color="auto"/>
        <w:bottom w:val="none" w:sz="0" w:space="0" w:color="auto"/>
        <w:right w:val="none" w:sz="0" w:space="0" w:color="auto"/>
      </w:divBdr>
    </w:div>
    <w:div w:id="624239401">
      <w:marLeft w:val="480"/>
      <w:marRight w:val="0"/>
      <w:marTop w:val="0"/>
      <w:marBottom w:val="0"/>
      <w:divBdr>
        <w:top w:val="none" w:sz="0" w:space="0" w:color="auto"/>
        <w:left w:val="none" w:sz="0" w:space="0" w:color="auto"/>
        <w:bottom w:val="none" w:sz="0" w:space="0" w:color="auto"/>
        <w:right w:val="none" w:sz="0" w:space="0" w:color="auto"/>
      </w:divBdr>
    </w:div>
    <w:div w:id="628896803">
      <w:marLeft w:val="480"/>
      <w:marRight w:val="0"/>
      <w:marTop w:val="0"/>
      <w:marBottom w:val="0"/>
      <w:divBdr>
        <w:top w:val="none" w:sz="0" w:space="0" w:color="auto"/>
        <w:left w:val="none" w:sz="0" w:space="0" w:color="auto"/>
        <w:bottom w:val="none" w:sz="0" w:space="0" w:color="auto"/>
        <w:right w:val="none" w:sz="0" w:space="0" w:color="auto"/>
      </w:divBdr>
    </w:div>
    <w:div w:id="629019947">
      <w:bodyDiv w:val="1"/>
      <w:marLeft w:val="0"/>
      <w:marRight w:val="0"/>
      <w:marTop w:val="0"/>
      <w:marBottom w:val="0"/>
      <w:divBdr>
        <w:top w:val="none" w:sz="0" w:space="0" w:color="auto"/>
        <w:left w:val="none" w:sz="0" w:space="0" w:color="auto"/>
        <w:bottom w:val="none" w:sz="0" w:space="0" w:color="auto"/>
        <w:right w:val="none" w:sz="0" w:space="0" w:color="auto"/>
      </w:divBdr>
    </w:div>
    <w:div w:id="630668092">
      <w:marLeft w:val="480"/>
      <w:marRight w:val="0"/>
      <w:marTop w:val="0"/>
      <w:marBottom w:val="0"/>
      <w:divBdr>
        <w:top w:val="none" w:sz="0" w:space="0" w:color="auto"/>
        <w:left w:val="none" w:sz="0" w:space="0" w:color="auto"/>
        <w:bottom w:val="none" w:sz="0" w:space="0" w:color="auto"/>
        <w:right w:val="none" w:sz="0" w:space="0" w:color="auto"/>
      </w:divBdr>
    </w:div>
    <w:div w:id="631400468">
      <w:marLeft w:val="480"/>
      <w:marRight w:val="0"/>
      <w:marTop w:val="0"/>
      <w:marBottom w:val="0"/>
      <w:divBdr>
        <w:top w:val="none" w:sz="0" w:space="0" w:color="auto"/>
        <w:left w:val="none" w:sz="0" w:space="0" w:color="auto"/>
        <w:bottom w:val="none" w:sz="0" w:space="0" w:color="auto"/>
        <w:right w:val="none" w:sz="0" w:space="0" w:color="auto"/>
      </w:divBdr>
    </w:div>
    <w:div w:id="631523869">
      <w:marLeft w:val="480"/>
      <w:marRight w:val="0"/>
      <w:marTop w:val="0"/>
      <w:marBottom w:val="0"/>
      <w:divBdr>
        <w:top w:val="none" w:sz="0" w:space="0" w:color="auto"/>
        <w:left w:val="none" w:sz="0" w:space="0" w:color="auto"/>
        <w:bottom w:val="none" w:sz="0" w:space="0" w:color="auto"/>
        <w:right w:val="none" w:sz="0" w:space="0" w:color="auto"/>
      </w:divBdr>
    </w:div>
    <w:div w:id="634220878">
      <w:marLeft w:val="480"/>
      <w:marRight w:val="0"/>
      <w:marTop w:val="0"/>
      <w:marBottom w:val="0"/>
      <w:divBdr>
        <w:top w:val="none" w:sz="0" w:space="0" w:color="auto"/>
        <w:left w:val="none" w:sz="0" w:space="0" w:color="auto"/>
        <w:bottom w:val="none" w:sz="0" w:space="0" w:color="auto"/>
        <w:right w:val="none" w:sz="0" w:space="0" w:color="auto"/>
      </w:divBdr>
    </w:div>
    <w:div w:id="637538481">
      <w:bodyDiv w:val="1"/>
      <w:marLeft w:val="0"/>
      <w:marRight w:val="0"/>
      <w:marTop w:val="0"/>
      <w:marBottom w:val="0"/>
      <w:divBdr>
        <w:top w:val="none" w:sz="0" w:space="0" w:color="auto"/>
        <w:left w:val="none" w:sz="0" w:space="0" w:color="auto"/>
        <w:bottom w:val="none" w:sz="0" w:space="0" w:color="auto"/>
        <w:right w:val="none" w:sz="0" w:space="0" w:color="auto"/>
      </w:divBdr>
      <w:divsChild>
        <w:div w:id="123161944">
          <w:marLeft w:val="0"/>
          <w:marRight w:val="0"/>
          <w:marTop w:val="0"/>
          <w:marBottom w:val="0"/>
          <w:divBdr>
            <w:top w:val="none" w:sz="0" w:space="0" w:color="auto"/>
            <w:left w:val="none" w:sz="0" w:space="0" w:color="auto"/>
            <w:bottom w:val="none" w:sz="0" w:space="0" w:color="auto"/>
            <w:right w:val="none" w:sz="0" w:space="0" w:color="auto"/>
          </w:divBdr>
          <w:divsChild>
            <w:div w:id="1411732566">
              <w:marLeft w:val="-75"/>
              <w:marRight w:val="0"/>
              <w:marTop w:val="30"/>
              <w:marBottom w:val="30"/>
              <w:divBdr>
                <w:top w:val="none" w:sz="0" w:space="0" w:color="auto"/>
                <w:left w:val="none" w:sz="0" w:space="0" w:color="auto"/>
                <w:bottom w:val="none" w:sz="0" w:space="0" w:color="auto"/>
                <w:right w:val="none" w:sz="0" w:space="0" w:color="auto"/>
              </w:divBdr>
              <w:divsChild>
                <w:div w:id="146481348">
                  <w:marLeft w:val="0"/>
                  <w:marRight w:val="0"/>
                  <w:marTop w:val="0"/>
                  <w:marBottom w:val="0"/>
                  <w:divBdr>
                    <w:top w:val="none" w:sz="0" w:space="0" w:color="auto"/>
                    <w:left w:val="none" w:sz="0" w:space="0" w:color="auto"/>
                    <w:bottom w:val="none" w:sz="0" w:space="0" w:color="auto"/>
                    <w:right w:val="none" w:sz="0" w:space="0" w:color="auto"/>
                  </w:divBdr>
                  <w:divsChild>
                    <w:div w:id="251166219">
                      <w:marLeft w:val="0"/>
                      <w:marRight w:val="0"/>
                      <w:marTop w:val="0"/>
                      <w:marBottom w:val="0"/>
                      <w:divBdr>
                        <w:top w:val="none" w:sz="0" w:space="0" w:color="auto"/>
                        <w:left w:val="none" w:sz="0" w:space="0" w:color="auto"/>
                        <w:bottom w:val="none" w:sz="0" w:space="0" w:color="auto"/>
                        <w:right w:val="none" w:sz="0" w:space="0" w:color="auto"/>
                      </w:divBdr>
                    </w:div>
                  </w:divsChild>
                </w:div>
                <w:div w:id="379673893">
                  <w:marLeft w:val="0"/>
                  <w:marRight w:val="0"/>
                  <w:marTop w:val="0"/>
                  <w:marBottom w:val="0"/>
                  <w:divBdr>
                    <w:top w:val="none" w:sz="0" w:space="0" w:color="auto"/>
                    <w:left w:val="none" w:sz="0" w:space="0" w:color="auto"/>
                    <w:bottom w:val="none" w:sz="0" w:space="0" w:color="auto"/>
                    <w:right w:val="none" w:sz="0" w:space="0" w:color="auto"/>
                  </w:divBdr>
                  <w:divsChild>
                    <w:div w:id="260261556">
                      <w:marLeft w:val="0"/>
                      <w:marRight w:val="0"/>
                      <w:marTop w:val="0"/>
                      <w:marBottom w:val="0"/>
                      <w:divBdr>
                        <w:top w:val="none" w:sz="0" w:space="0" w:color="auto"/>
                        <w:left w:val="none" w:sz="0" w:space="0" w:color="auto"/>
                        <w:bottom w:val="none" w:sz="0" w:space="0" w:color="auto"/>
                        <w:right w:val="none" w:sz="0" w:space="0" w:color="auto"/>
                      </w:divBdr>
                    </w:div>
                  </w:divsChild>
                </w:div>
                <w:div w:id="905412245">
                  <w:marLeft w:val="0"/>
                  <w:marRight w:val="0"/>
                  <w:marTop w:val="0"/>
                  <w:marBottom w:val="0"/>
                  <w:divBdr>
                    <w:top w:val="none" w:sz="0" w:space="0" w:color="auto"/>
                    <w:left w:val="none" w:sz="0" w:space="0" w:color="auto"/>
                    <w:bottom w:val="none" w:sz="0" w:space="0" w:color="auto"/>
                    <w:right w:val="none" w:sz="0" w:space="0" w:color="auto"/>
                  </w:divBdr>
                  <w:divsChild>
                    <w:div w:id="369187342">
                      <w:marLeft w:val="0"/>
                      <w:marRight w:val="0"/>
                      <w:marTop w:val="0"/>
                      <w:marBottom w:val="0"/>
                      <w:divBdr>
                        <w:top w:val="none" w:sz="0" w:space="0" w:color="auto"/>
                        <w:left w:val="none" w:sz="0" w:space="0" w:color="auto"/>
                        <w:bottom w:val="none" w:sz="0" w:space="0" w:color="auto"/>
                        <w:right w:val="none" w:sz="0" w:space="0" w:color="auto"/>
                      </w:divBdr>
                    </w:div>
                    <w:div w:id="2146045677">
                      <w:marLeft w:val="0"/>
                      <w:marRight w:val="0"/>
                      <w:marTop w:val="0"/>
                      <w:marBottom w:val="0"/>
                      <w:divBdr>
                        <w:top w:val="none" w:sz="0" w:space="0" w:color="auto"/>
                        <w:left w:val="none" w:sz="0" w:space="0" w:color="auto"/>
                        <w:bottom w:val="none" w:sz="0" w:space="0" w:color="auto"/>
                        <w:right w:val="none" w:sz="0" w:space="0" w:color="auto"/>
                      </w:divBdr>
                    </w:div>
                  </w:divsChild>
                </w:div>
                <w:div w:id="1154682648">
                  <w:marLeft w:val="0"/>
                  <w:marRight w:val="0"/>
                  <w:marTop w:val="0"/>
                  <w:marBottom w:val="0"/>
                  <w:divBdr>
                    <w:top w:val="none" w:sz="0" w:space="0" w:color="auto"/>
                    <w:left w:val="none" w:sz="0" w:space="0" w:color="auto"/>
                    <w:bottom w:val="none" w:sz="0" w:space="0" w:color="auto"/>
                    <w:right w:val="none" w:sz="0" w:space="0" w:color="auto"/>
                  </w:divBdr>
                  <w:divsChild>
                    <w:div w:id="1049262370">
                      <w:marLeft w:val="0"/>
                      <w:marRight w:val="0"/>
                      <w:marTop w:val="0"/>
                      <w:marBottom w:val="0"/>
                      <w:divBdr>
                        <w:top w:val="none" w:sz="0" w:space="0" w:color="auto"/>
                        <w:left w:val="none" w:sz="0" w:space="0" w:color="auto"/>
                        <w:bottom w:val="none" w:sz="0" w:space="0" w:color="auto"/>
                        <w:right w:val="none" w:sz="0" w:space="0" w:color="auto"/>
                      </w:divBdr>
                    </w:div>
                  </w:divsChild>
                </w:div>
                <w:div w:id="1337149969">
                  <w:marLeft w:val="0"/>
                  <w:marRight w:val="0"/>
                  <w:marTop w:val="0"/>
                  <w:marBottom w:val="0"/>
                  <w:divBdr>
                    <w:top w:val="none" w:sz="0" w:space="0" w:color="auto"/>
                    <w:left w:val="none" w:sz="0" w:space="0" w:color="auto"/>
                    <w:bottom w:val="none" w:sz="0" w:space="0" w:color="auto"/>
                    <w:right w:val="none" w:sz="0" w:space="0" w:color="auto"/>
                  </w:divBdr>
                </w:div>
                <w:div w:id="1670794889">
                  <w:marLeft w:val="0"/>
                  <w:marRight w:val="0"/>
                  <w:marTop w:val="0"/>
                  <w:marBottom w:val="0"/>
                  <w:divBdr>
                    <w:top w:val="none" w:sz="0" w:space="0" w:color="auto"/>
                    <w:left w:val="none" w:sz="0" w:space="0" w:color="auto"/>
                    <w:bottom w:val="none" w:sz="0" w:space="0" w:color="auto"/>
                    <w:right w:val="none" w:sz="0" w:space="0" w:color="auto"/>
                  </w:divBdr>
                  <w:divsChild>
                    <w:div w:id="1994136207">
                      <w:marLeft w:val="0"/>
                      <w:marRight w:val="0"/>
                      <w:marTop w:val="0"/>
                      <w:marBottom w:val="0"/>
                      <w:divBdr>
                        <w:top w:val="none" w:sz="0" w:space="0" w:color="auto"/>
                        <w:left w:val="none" w:sz="0" w:space="0" w:color="auto"/>
                        <w:bottom w:val="none" w:sz="0" w:space="0" w:color="auto"/>
                        <w:right w:val="none" w:sz="0" w:space="0" w:color="auto"/>
                      </w:divBdr>
                    </w:div>
                  </w:divsChild>
                </w:div>
                <w:div w:id="2077825209">
                  <w:marLeft w:val="0"/>
                  <w:marRight w:val="0"/>
                  <w:marTop w:val="0"/>
                  <w:marBottom w:val="0"/>
                  <w:divBdr>
                    <w:top w:val="none" w:sz="0" w:space="0" w:color="auto"/>
                    <w:left w:val="none" w:sz="0" w:space="0" w:color="auto"/>
                    <w:bottom w:val="none" w:sz="0" w:space="0" w:color="auto"/>
                    <w:right w:val="none" w:sz="0" w:space="0" w:color="auto"/>
                  </w:divBdr>
                  <w:divsChild>
                    <w:div w:id="187237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2622">
          <w:marLeft w:val="0"/>
          <w:marRight w:val="0"/>
          <w:marTop w:val="0"/>
          <w:marBottom w:val="0"/>
          <w:divBdr>
            <w:top w:val="none" w:sz="0" w:space="0" w:color="auto"/>
            <w:left w:val="none" w:sz="0" w:space="0" w:color="auto"/>
            <w:bottom w:val="none" w:sz="0" w:space="0" w:color="auto"/>
            <w:right w:val="none" w:sz="0" w:space="0" w:color="auto"/>
          </w:divBdr>
          <w:divsChild>
            <w:div w:id="1171531041">
              <w:marLeft w:val="0"/>
              <w:marRight w:val="0"/>
              <w:marTop w:val="0"/>
              <w:marBottom w:val="0"/>
              <w:divBdr>
                <w:top w:val="none" w:sz="0" w:space="0" w:color="auto"/>
                <w:left w:val="none" w:sz="0" w:space="0" w:color="auto"/>
                <w:bottom w:val="none" w:sz="0" w:space="0" w:color="auto"/>
                <w:right w:val="none" w:sz="0" w:space="0" w:color="auto"/>
              </w:divBdr>
            </w:div>
          </w:divsChild>
        </w:div>
        <w:div w:id="393116867">
          <w:marLeft w:val="0"/>
          <w:marRight w:val="0"/>
          <w:marTop w:val="0"/>
          <w:marBottom w:val="0"/>
          <w:divBdr>
            <w:top w:val="none" w:sz="0" w:space="0" w:color="auto"/>
            <w:left w:val="none" w:sz="0" w:space="0" w:color="auto"/>
            <w:bottom w:val="none" w:sz="0" w:space="0" w:color="auto"/>
            <w:right w:val="none" w:sz="0" w:space="0" w:color="auto"/>
          </w:divBdr>
          <w:divsChild>
            <w:div w:id="1608922166">
              <w:marLeft w:val="-75"/>
              <w:marRight w:val="0"/>
              <w:marTop w:val="30"/>
              <w:marBottom w:val="30"/>
              <w:divBdr>
                <w:top w:val="none" w:sz="0" w:space="0" w:color="auto"/>
                <w:left w:val="none" w:sz="0" w:space="0" w:color="auto"/>
                <w:bottom w:val="none" w:sz="0" w:space="0" w:color="auto"/>
                <w:right w:val="none" w:sz="0" w:space="0" w:color="auto"/>
              </w:divBdr>
              <w:divsChild>
                <w:div w:id="702093980">
                  <w:marLeft w:val="0"/>
                  <w:marRight w:val="0"/>
                  <w:marTop w:val="0"/>
                  <w:marBottom w:val="0"/>
                  <w:divBdr>
                    <w:top w:val="none" w:sz="0" w:space="0" w:color="auto"/>
                    <w:left w:val="none" w:sz="0" w:space="0" w:color="auto"/>
                    <w:bottom w:val="none" w:sz="0" w:space="0" w:color="auto"/>
                    <w:right w:val="none" w:sz="0" w:space="0" w:color="auto"/>
                  </w:divBdr>
                </w:div>
                <w:div w:id="808478227">
                  <w:marLeft w:val="0"/>
                  <w:marRight w:val="0"/>
                  <w:marTop w:val="0"/>
                  <w:marBottom w:val="0"/>
                  <w:divBdr>
                    <w:top w:val="none" w:sz="0" w:space="0" w:color="auto"/>
                    <w:left w:val="none" w:sz="0" w:space="0" w:color="auto"/>
                    <w:bottom w:val="none" w:sz="0" w:space="0" w:color="auto"/>
                    <w:right w:val="none" w:sz="0" w:space="0" w:color="auto"/>
                  </w:divBdr>
                  <w:divsChild>
                    <w:div w:id="16912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328662">
          <w:marLeft w:val="0"/>
          <w:marRight w:val="0"/>
          <w:marTop w:val="0"/>
          <w:marBottom w:val="0"/>
          <w:divBdr>
            <w:top w:val="none" w:sz="0" w:space="0" w:color="auto"/>
            <w:left w:val="none" w:sz="0" w:space="0" w:color="auto"/>
            <w:bottom w:val="none" w:sz="0" w:space="0" w:color="auto"/>
            <w:right w:val="none" w:sz="0" w:space="0" w:color="auto"/>
          </w:divBdr>
        </w:div>
        <w:div w:id="615913358">
          <w:marLeft w:val="0"/>
          <w:marRight w:val="0"/>
          <w:marTop w:val="0"/>
          <w:marBottom w:val="0"/>
          <w:divBdr>
            <w:top w:val="none" w:sz="0" w:space="0" w:color="auto"/>
            <w:left w:val="none" w:sz="0" w:space="0" w:color="auto"/>
            <w:bottom w:val="none" w:sz="0" w:space="0" w:color="auto"/>
            <w:right w:val="none" w:sz="0" w:space="0" w:color="auto"/>
          </w:divBdr>
        </w:div>
        <w:div w:id="622150441">
          <w:marLeft w:val="0"/>
          <w:marRight w:val="0"/>
          <w:marTop w:val="0"/>
          <w:marBottom w:val="0"/>
          <w:divBdr>
            <w:top w:val="none" w:sz="0" w:space="0" w:color="auto"/>
            <w:left w:val="none" w:sz="0" w:space="0" w:color="auto"/>
            <w:bottom w:val="none" w:sz="0" w:space="0" w:color="auto"/>
            <w:right w:val="none" w:sz="0" w:space="0" w:color="auto"/>
          </w:divBdr>
          <w:divsChild>
            <w:div w:id="1577595528">
              <w:marLeft w:val="-75"/>
              <w:marRight w:val="0"/>
              <w:marTop w:val="30"/>
              <w:marBottom w:val="30"/>
              <w:divBdr>
                <w:top w:val="none" w:sz="0" w:space="0" w:color="auto"/>
                <w:left w:val="none" w:sz="0" w:space="0" w:color="auto"/>
                <w:bottom w:val="none" w:sz="0" w:space="0" w:color="auto"/>
                <w:right w:val="none" w:sz="0" w:space="0" w:color="auto"/>
              </w:divBdr>
              <w:divsChild>
                <w:div w:id="313998410">
                  <w:marLeft w:val="0"/>
                  <w:marRight w:val="0"/>
                  <w:marTop w:val="0"/>
                  <w:marBottom w:val="0"/>
                  <w:divBdr>
                    <w:top w:val="none" w:sz="0" w:space="0" w:color="auto"/>
                    <w:left w:val="none" w:sz="0" w:space="0" w:color="auto"/>
                    <w:bottom w:val="none" w:sz="0" w:space="0" w:color="auto"/>
                    <w:right w:val="none" w:sz="0" w:space="0" w:color="auto"/>
                  </w:divBdr>
                  <w:divsChild>
                    <w:div w:id="120073747">
                      <w:marLeft w:val="0"/>
                      <w:marRight w:val="0"/>
                      <w:marTop w:val="0"/>
                      <w:marBottom w:val="0"/>
                      <w:divBdr>
                        <w:top w:val="none" w:sz="0" w:space="0" w:color="auto"/>
                        <w:left w:val="none" w:sz="0" w:space="0" w:color="auto"/>
                        <w:bottom w:val="none" w:sz="0" w:space="0" w:color="auto"/>
                        <w:right w:val="none" w:sz="0" w:space="0" w:color="auto"/>
                      </w:divBdr>
                    </w:div>
                  </w:divsChild>
                </w:div>
                <w:div w:id="399719584">
                  <w:marLeft w:val="0"/>
                  <w:marRight w:val="0"/>
                  <w:marTop w:val="0"/>
                  <w:marBottom w:val="0"/>
                  <w:divBdr>
                    <w:top w:val="none" w:sz="0" w:space="0" w:color="auto"/>
                    <w:left w:val="none" w:sz="0" w:space="0" w:color="auto"/>
                    <w:bottom w:val="none" w:sz="0" w:space="0" w:color="auto"/>
                    <w:right w:val="none" w:sz="0" w:space="0" w:color="auto"/>
                  </w:divBdr>
                </w:div>
                <w:div w:id="418987280">
                  <w:marLeft w:val="0"/>
                  <w:marRight w:val="0"/>
                  <w:marTop w:val="0"/>
                  <w:marBottom w:val="0"/>
                  <w:divBdr>
                    <w:top w:val="none" w:sz="0" w:space="0" w:color="auto"/>
                    <w:left w:val="none" w:sz="0" w:space="0" w:color="auto"/>
                    <w:bottom w:val="none" w:sz="0" w:space="0" w:color="auto"/>
                    <w:right w:val="none" w:sz="0" w:space="0" w:color="auto"/>
                  </w:divBdr>
                  <w:divsChild>
                    <w:div w:id="30736852">
                      <w:marLeft w:val="0"/>
                      <w:marRight w:val="0"/>
                      <w:marTop w:val="0"/>
                      <w:marBottom w:val="0"/>
                      <w:divBdr>
                        <w:top w:val="none" w:sz="0" w:space="0" w:color="auto"/>
                        <w:left w:val="none" w:sz="0" w:space="0" w:color="auto"/>
                        <w:bottom w:val="none" w:sz="0" w:space="0" w:color="auto"/>
                        <w:right w:val="none" w:sz="0" w:space="0" w:color="auto"/>
                      </w:divBdr>
                    </w:div>
                  </w:divsChild>
                </w:div>
                <w:div w:id="493229044">
                  <w:marLeft w:val="0"/>
                  <w:marRight w:val="0"/>
                  <w:marTop w:val="0"/>
                  <w:marBottom w:val="0"/>
                  <w:divBdr>
                    <w:top w:val="none" w:sz="0" w:space="0" w:color="auto"/>
                    <w:left w:val="none" w:sz="0" w:space="0" w:color="auto"/>
                    <w:bottom w:val="none" w:sz="0" w:space="0" w:color="auto"/>
                    <w:right w:val="none" w:sz="0" w:space="0" w:color="auto"/>
                  </w:divBdr>
                  <w:divsChild>
                    <w:div w:id="1152065769">
                      <w:marLeft w:val="0"/>
                      <w:marRight w:val="0"/>
                      <w:marTop w:val="0"/>
                      <w:marBottom w:val="0"/>
                      <w:divBdr>
                        <w:top w:val="none" w:sz="0" w:space="0" w:color="auto"/>
                        <w:left w:val="none" w:sz="0" w:space="0" w:color="auto"/>
                        <w:bottom w:val="none" w:sz="0" w:space="0" w:color="auto"/>
                        <w:right w:val="none" w:sz="0" w:space="0" w:color="auto"/>
                      </w:divBdr>
                    </w:div>
                  </w:divsChild>
                </w:div>
                <w:div w:id="558514662">
                  <w:marLeft w:val="0"/>
                  <w:marRight w:val="0"/>
                  <w:marTop w:val="0"/>
                  <w:marBottom w:val="0"/>
                  <w:divBdr>
                    <w:top w:val="none" w:sz="0" w:space="0" w:color="auto"/>
                    <w:left w:val="none" w:sz="0" w:space="0" w:color="auto"/>
                    <w:bottom w:val="none" w:sz="0" w:space="0" w:color="auto"/>
                    <w:right w:val="none" w:sz="0" w:space="0" w:color="auto"/>
                  </w:divBdr>
                  <w:divsChild>
                    <w:div w:id="644818624">
                      <w:marLeft w:val="0"/>
                      <w:marRight w:val="0"/>
                      <w:marTop w:val="0"/>
                      <w:marBottom w:val="0"/>
                      <w:divBdr>
                        <w:top w:val="none" w:sz="0" w:space="0" w:color="auto"/>
                        <w:left w:val="none" w:sz="0" w:space="0" w:color="auto"/>
                        <w:bottom w:val="none" w:sz="0" w:space="0" w:color="auto"/>
                        <w:right w:val="none" w:sz="0" w:space="0" w:color="auto"/>
                      </w:divBdr>
                    </w:div>
                    <w:div w:id="860971676">
                      <w:marLeft w:val="0"/>
                      <w:marRight w:val="0"/>
                      <w:marTop w:val="0"/>
                      <w:marBottom w:val="0"/>
                      <w:divBdr>
                        <w:top w:val="none" w:sz="0" w:space="0" w:color="auto"/>
                        <w:left w:val="none" w:sz="0" w:space="0" w:color="auto"/>
                        <w:bottom w:val="none" w:sz="0" w:space="0" w:color="auto"/>
                        <w:right w:val="none" w:sz="0" w:space="0" w:color="auto"/>
                      </w:divBdr>
                    </w:div>
                  </w:divsChild>
                </w:div>
                <w:div w:id="687945764">
                  <w:marLeft w:val="0"/>
                  <w:marRight w:val="0"/>
                  <w:marTop w:val="0"/>
                  <w:marBottom w:val="0"/>
                  <w:divBdr>
                    <w:top w:val="none" w:sz="0" w:space="0" w:color="auto"/>
                    <w:left w:val="none" w:sz="0" w:space="0" w:color="auto"/>
                    <w:bottom w:val="none" w:sz="0" w:space="0" w:color="auto"/>
                    <w:right w:val="none" w:sz="0" w:space="0" w:color="auto"/>
                  </w:divBdr>
                  <w:divsChild>
                    <w:div w:id="744955897">
                      <w:marLeft w:val="0"/>
                      <w:marRight w:val="0"/>
                      <w:marTop w:val="0"/>
                      <w:marBottom w:val="0"/>
                      <w:divBdr>
                        <w:top w:val="none" w:sz="0" w:space="0" w:color="auto"/>
                        <w:left w:val="none" w:sz="0" w:space="0" w:color="auto"/>
                        <w:bottom w:val="none" w:sz="0" w:space="0" w:color="auto"/>
                        <w:right w:val="none" w:sz="0" w:space="0" w:color="auto"/>
                      </w:divBdr>
                    </w:div>
                  </w:divsChild>
                </w:div>
                <w:div w:id="705450766">
                  <w:marLeft w:val="0"/>
                  <w:marRight w:val="0"/>
                  <w:marTop w:val="0"/>
                  <w:marBottom w:val="0"/>
                  <w:divBdr>
                    <w:top w:val="none" w:sz="0" w:space="0" w:color="auto"/>
                    <w:left w:val="none" w:sz="0" w:space="0" w:color="auto"/>
                    <w:bottom w:val="none" w:sz="0" w:space="0" w:color="auto"/>
                    <w:right w:val="none" w:sz="0" w:space="0" w:color="auto"/>
                  </w:divBdr>
                  <w:divsChild>
                    <w:div w:id="1861502291">
                      <w:marLeft w:val="0"/>
                      <w:marRight w:val="0"/>
                      <w:marTop w:val="0"/>
                      <w:marBottom w:val="0"/>
                      <w:divBdr>
                        <w:top w:val="none" w:sz="0" w:space="0" w:color="auto"/>
                        <w:left w:val="none" w:sz="0" w:space="0" w:color="auto"/>
                        <w:bottom w:val="none" w:sz="0" w:space="0" w:color="auto"/>
                        <w:right w:val="none" w:sz="0" w:space="0" w:color="auto"/>
                      </w:divBdr>
                    </w:div>
                  </w:divsChild>
                </w:div>
                <w:div w:id="725026099">
                  <w:marLeft w:val="0"/>
                  <w:marRight w:val="0"/>
                  <w:marTop w:val="0"/>
                  <w:marBottom w:val="0"/>
                  <w:divBdr>
                    <w:top w:val="none" w:sz="0" w:space="0" w:color="auto"/>
                    <w:left w:val="none" w:sz="0" w:space="0" w:color="auto"/>
                    <w:bottom w:val="none" w:sz="0" w:space="0" w:color="auto"/>
                    <w:right w:val="none" w:sz="0" w:space="0" w:color="auto"/>
                  </w:divBdr>
                  <w:divsChild>
                    <w:div w:id="854929659">
                      <w:marLeft w:val="0"/>
                      <w:marRight w:val="0"/>
                      <w:marTop w:val="0"/>
                      <w:marBottom w:val="0"/>
                      <w:divBdr>
                        <w:top w:val="none" w:sz="0" w:space="0" w:color="auto"/>
                        <w:left w:val="none" w:sz="0" w:space="0" w:color="auto"/>
                        <w:bottom w:val="none" w:sz="0" w:space="0" w:color="auto"/>
                        <w:right w:val="none" w:sz="0" w:space="0" w:color="auto"/>
                      </w:divBdr>
                    </w:div>
                  </w:divsChild>
                </w:div>
                <w:div w:id="843210154">
                  <w:marLeft w:val="0"/>
                  <w:marRight w:val="0"/>
                  <w:marTop w:val="0"/>
                  <w:marBottom w:val="0"/>
                  <w:divBdr>
                    <w:top w:val="none" w:sz="0" w:space="0" w:color="auto"/>
                    <w:left w:val="none" w:sz="0" w:space="0" w:color="auto"/>
                    <w:bottom w:val="none" w:sz="0" w:space="0" w:color="auto"/>
                    <w:right w:val="none" w:sz="0" w:space="0" w:color="auto"/>
                  </w:divBdr>
                  <w:divsChild>
                    <w:div w:id="213275482">
                      <w:marLeft w:val="0"/>
                      <w:marRight w:val="0"/>
                      <w:marTop w:val="0"/>
                      <w:marBottom w:val="0"/>
                      <w:divBdr>
                        <w:top w:val="none" w:sz="0" w:space="0" w:color="auto"/>
                        <w:left w:val="none" w:sz="0" w:space="0" w:color="auto"/>
                        <w:bottom w:val="none" w:sz="0" w:space="0" w:color="auto"/>
                        <w:right w:val="none" w:sz="0" w:space="0" w:color="auto"/>
                      </w:divBdr>
                    </w:div>
                  </w:divsChild>
                </w:div>
                <w:div w:id="924462673">
                  <w:marLeft w:val="0"/>
                  <w:marRight w:val="0"/>
                  <w:marTop w:val="0"/>
                  <w:marBottom w:val="0"/>
                  <w:divBdr>
                    <w:top w:val="none" w:sz="0" w:space="0" w:color="auto"/>
                    <w:left w:val="none" w:sz="0" w:space="0" w:color="auto"/>
                    <w:bottom w:val="none" w:sz="0" w:space="0" w:color="auto"/>
                    <w:right w:val="none" w:sz="0" w:space="0" w:color="auto"/>
                  </w:divBdr>
                  <w:divsChild>
                    <w:div w:id="11760322">
                      <w:marLeft w:val="0"/>
                      <w:marRight w:val="0"/>
                      <w:marTop w:val="0"/>
                      <w:marBottom w:val="0"/>
                      <w:divBdr>
                        <w:top w:val="none" w:sz="0" w:space="0" w:color="auto"/>
                        <w:left w:val="none" w:sz="0" w:space="0" w:color="auto"/>
                        <w:bottom w:val="none" w:sz="0" w:space="0" w:color="auto"/>
                        <w:right w:val="none" w:sz="0" w:space="0" w:color="auto"/>
                      </w:divBdr>
                    </w:div>
                  </w:divsChild>
                </w:div>
                <w:div w:id="1065568484">
                  <w:marLeft w:val="0"/>
                  <w:marRight w:val="0"/>
                  <w:marTop w:val="0"/>
                  <w:marBottom w:val="0"/>
                  <w:divBdr>
                    <w:top w:val="none" w:sz="0" w:space="0" w:color="auto"/>
                    <w:left w:val="none" w:sz="0" w:space="0" w:color="auto"/>
                    <w:bottom w:val="none" w:sz="0" w:space="0" w:color="auto"/>
                    <w:right w:val="none" w:sz="0" w:space="0" w:color="auto"/>
                  </w:divBdr>
                  <w:divsChild>
                    <w:div w:id="1923829167">
                      <w:marLeft w:val="0"/>
                      <w:marRight w:val="0"/>
                      <w:marTop w:val="0"/>
                      <w:marBottom w:val="0"/>
                      <w:divBdr>
                        <w:top w:val="none" w:sz="0" w:space="0" w:color="auto"/>
                        <w:left w:val="none" w:sz="0" w:space="0" w:color="auto"/>
                        <w:bottom w:val="none" w:sz="0" w:space="0" w:color="auto"/>
                        <w:right w:val="none" w:sz="0" w:space="0" w:color="auto"/>
                      </w:divBdr>
                    </w:div>
                  </w:divsChild>
                </w:div>
                <w:div w:id="1236083582">
                  <w:marLeft w:val="0"/>
                  <w:marRight w:val="0"/>
                  <w:marTop w:val="0"/>
                  <w:marBottom w:val="0"/>
                  <w:divBdr>
                    <w:top w:val="none" w:sz="0" w:space="0" w:color="auto"/>
                    <w:left w:val="none" w:sz="0" w:space="0" w:color="auto"/>
                    <w:bottom w:val="none" w:sz="0" w:space="0" w:color="auto"/>
                    <w:right w:val="none" w:sz="0" w:space="0" w:color="auto"/>
                  </w:divBdr>
                  <w:divsChild>
                    <w:div w:id="702168414">
                      <w:marLeft w:val="0"/>
                      <w:marRight w:val="0"/>
                      <w:marTop w:val="0"/>
                      <w:marBottom w:val="0"/>
                      <w:divBdr>
                        <w:top w:val="none" w:sz="0" w:space="0" w:color="auto"/>
                        <w:left w:val="none" w:sz="0" w:space="0" w:color="auto"/>
                        <w:bottom w:val="none" w:sz="0" w:space="0" w:color="auto"/>
                        <w:right w:val="none" w:sz="0" w:space="0" w:color="auto"/>
                      </w:divBdr>
                    </w:div>
                  </w:divsChild>
                </w:div>
                <w:div w:id="1280797236">
                  <w:marLeft w:val="0"/>
                  <w:marRight w:val="0"/>
                  <w:marTop w:val="0"/>
                  <w:marBottom w:val="0"/>
                  <w:divBdr>
                    <w:top w:val="none" w:sz="0" w:space="0" w:color="auto"/>
                    <w:left w:val="none" w:sz="0" w:space="0" w:color="auto"/>
                    <w:bottom w:val="none" w:sz="0" w:space="0" w:color="auto"/>
                    <w:right w:val="none" w:sz="0" w:space="0" w:color="auto"/>
                  </w:divBdr>
                  <w:divsChild>
                    <w:div w:id="396704067">
                      <w:marLeft w:val="0"/>
                      <w:marRight w:val="0"/>
                      <w:marTop w:val="0"/>
                      <w:marBottom w:val="0"/>
                      <w:divBdr>
                        <w:top w:val="none" w:sz="0" w:space="0" w:color="auto"/>
                        <w:left w:val="none" w:sz="0" w:space="0" w:color="auto"/>
                        <w:bottom w:val="none" w:sz="0" w:space="0" w:color="auto"/>
                        <w:right w:val="none" w:sz="0" w:space="0" w:color="auto"/>
                      </w:divBdr>
                    </w:div>
                  </w:divsChild>
                </w:div>
                <w:div w:id="1434201714">
                  <w:marLeft w:val="0"/>
                  <w:marRight w:val="0"/>
                  <w:marTop w:val="0"/>
                  <w:marBottom w:val="0"/>
                  <w:divBdr>
                    <w:top w:val="none" w:sz="0" w:space="0" w:color="auto"/>
                    <w:left w:val="none" w:sz="0" w:space="0" w:color="auto"/>
                    <w:bottom w:val="none" w:sz="0" w:space="0" w:color="auto"/>
                    <w:right w:val="none" w:sz="0" w:space="0" w:color="auto"/>
                  </w:divBdr>
                  <w:divsChild>
                    <w:div w:id="1896626896">
                      <w:marLeft w:val="0"/>
                      <w:marRight w:val="0"/>
                      <w:marTop w:val="0"/>
                      <w:marBottom w:val="0"/>
                      <w:divBdr>
                        <w:top w:val="none" w:sz="0" w:space="0" w:color="auto"/>
                        <w:left w:val="none" w:sz="0" w:space="0" w:color="auto"/>
                        <w:bottom w:val="none" w:sz="0" w:space="0" w:color="auto"/>
                        <w:right w:val="none" w:sz="0" w:space="0" w:color="auto"/>
                      </w:divBdr>
                    </w:div>
                  </w:divsChild>
                </w:div>
                <w:div w:id="1509447302">
                  <w:marLeft w:val="0"/>
                  <w:marRight w:val="0"/>
                  <w:marTop w:val="0"/>
                  <w:marBottom w:val="0"/>
                  <w:divBdr>
                    <w:top w:val="none" w:sz="0" w:space="0" w:color="auto"/>
                    <w:left w:val="none" w:sz="0" w:space="0" w:color="auto"/>
                    <w:bottom w:val="none" w:sz="0" w:space="0" w:color="auto"/>
                    <w:right w:val="none" w:sz="0" w:space="0" w:color="auto"/>
                  </w:divBdr>
                  <w:divsChild>
                    <w:div w:id="1533495136">
                      <w:marLeft w:val="0"/>
                      <w:marRight w:val="0"/>
                      <w:marTop w:val="0"/>
                      <w:marBottom w:val="0"/>
                      <w:divBdr>
                        <w:top w:val="none" w:sz="0" w:space="0" w:color="auto"/>
                        <w:left w:val="none" w:sz="0" w:space="0" w:color="auto"/>
                        <w:bottom w:val="none" w:sz="0" w:space="0" w:color="auto"/>
                        <w:right w:val="none" w:sz="0" w:space="0" w:color="auto"/>
                      </w:divBdr>
                    </w:div>
                  </w:divsChild>
                </w:div>
                <w:div w:id="1594319068">
                  <w:marLeft w:val="0"/>
                  <w:marRight w:val="0"/>
                  <w:marTop w:val="0"/>
                  <w:marBottom w:val="0"/>
                  <w:divBdr>
                    <w:top w:val="none" w:sz="0" w:space="0" w:color="auto"/>
                    <w:left w:val="none" w:sz="0" w:space="0" w:color="auto"/>
                    <w:bottom w:val="none" w:sz="0" w:space="0" w:color="auto"/>
                    <w:right w:val="none" w:sz="0" w:space="0" w:color="auto"/>
                  </w:divBdr>
                  <w:divsChild>
                    <w:div w:id="338700520">
                      <w:marLeft w:val="0"/>
                      <w:marRight w:val="0"/>
                      <w:marTop w:val="0"/>
                      <w:marBottom w:val="0"/>
                      <w:divBdr>
                        <w:top w:val="none" w:sz="0" w:space="0" w:color="auto"/>
                        <w:left w:val="none" w:sz="0" w:space="0" w:color="auto"/>
                        <w:bottom w:val="none" w:sz="0" w:space="0" w:color="auto"/>
                        <w:right w:val="none" w:sz="0" w:space="0" w:color="auto"/>
                      </w:divBdr>
                    </w:div>
                  </w:divsChild>
                </w:div>
                <w:div w:id="1667440781">
                  <w:marLeft w:val="0"/>
                  <w:marRight w:val="0"/>
                  <w:marTop w:val="0"/>
                  <w:marBottom w:val="0"/>
                  <w:divBdr>
                    <w:top w:val="none" w:sz="0" w:space="0" w:color="auto"/>
                    <w:left w:val="none" w:sz="0" w:space="0" w:color="auto"/>
                    <w:bottom w:val="none" w:sz="0" w:space="0" w:color="auto"/>
                    <w:right w:val="none" w:sz="0" w:space="0" w:color="auto"/>
                  </w:divBdr>
                  <w:divsChild>
                    <w:div w:id="1438912132">
                      <w:marLeft w:val="0"/>
                      <w:marRight w:val="0"/>
                      <w:marTop w:val="0"/>
                      <w:marBottom w:val="0"/>
                      <w:divBdr>
                        <w:top w:val="none" w:sz="0" w:space="0" w:color="auto"/>
                        <w:left w:val="none" w:sz="0" w:space="0" w:color="auto"/>
                        <w:bottom w:val="none" w:sz="0" w:space="0" w:color="auto"/>
                        <w:right w:val="none" w:sz="0" w:space="0" w:color="auto"/>
                      </w:divBdr>
                    </w:div>
                  </w:divsChild>
                </w:div>
                <w:div w:id="1820464910">
                  <w:marLeft w:val="0"/>
                  <w:marRight w:val="0"/>
                  <w:marTop w:val="0"/>
                  <w:marBottom w:val="0"/>
                  <w:divBdr>
                    <w:top w:val="none" w:sz="0" w:space="0" w:color="auto"/>
                    <w:left w:val="none" w:sz="0" w:space="0" w:color="auto"/>
                    <w:bottom w:val="none" w:sz="0" w:space="0" w:color="auto"/>
                    <w:right w:val="none" w:sz="0" w:space="0" w:color="auto"/>
                  </w:divBdr>
                  <w:divsChild>
                    <w:div w:id="862668431">
                      <w:marLeft w:val="0"/>
                      <w:marRight w:val="0"/>
                      <w:marTop w:val="0"/>
                      <w:marBottom w:val="0"/>
                      <w:divBdr>
                        <w:top w:val="none" w:sz="0" w:space="0" w:color="auto"/>
                        <w:left w:val="none" w:sz="0" w:space="0" w:color="auto"/>
                        <w:bottom w:val="none" w:sz="0" w:space="0" w:color="auto"/>
                        <w:right w:val="none" w:sz="0" w:space="0" w:color="auto"/>
                      </w:divBdr>
                    </w:div>
                  </w:divsChild>
                </w:div>
                <w:div w:id="1897008093">
                  <w:marLeft w:val="0"/>
                  <w:marRight w:val="0"/>
                  <w:marTop w:val="0"/>
                  <w:marBottom w:val="0"/>
                  <w:divBdr>
                    <w:top w:val="none" w:sz="0" w:space="0" w:color="auto"/>
                    <w:left w:val="none" w:sz="0" w:space="0" w:color="auto"/>
                    <w:bottom w:val="none" w:sz="0" w:space="0" w:color="auto"/>
                    <w:right w:val="none" w:sz="0" w:space="0" w:color="auto"/>
                  </w:divBdr>
                  <w:divsChild>
                    <w:div w:id="151416379">
                      <w:marLeft w:val="0"/>
                      <w:marRight w:val="0"/>
                      <w:marTop w:val="0"/>
                      <w:marBottom w:val="0"/>
                      <w:divBdr>
                        <w:top w:val="none" w:sz="0" w:space="0" w:color="auto"/>
                        <w:left w:val="none" w:sz="0" w:space="0" w:color="auto"/>
                        <w:bottom w:val="none" w:sz="0" w:space="0" w:color="auto"/>
                        <w:right w:val="none" w:sz="0" w:space="0" w:color="auto"/>
                      </w:divBdr>
                    </w:div>
                  </w:divsChild>
                </w:div>
                <w:div w:id="1902012517">
                  <w:marLeft w:val="0"/>
                  <w:marRight w:val="0"/>
                  <w:marTop w:val="0"/>
                  <w:marBottom w:val="0"/>
                  <w:divBdr>
                    <w:top w:val="none" w:sz="0" w:space="0" w:color="auto"/>
                    <w:left w:val="none" w:sz="0" w:space="0" w:color="auto"/>
                    <w:bottom w:val="none" w:sz="0" w:space="0" w:color="auto"/>
                    <w:right w:val="none" w:sz="0" w:space="0" w:color="auto"/>
                  </w:divBdr>
                  <w:divsChild>
                    <w:div w:id="1890529787">
                      <w:marLeft w:val="0"/>
                      <w:marRight w:val="0"/>
                      <w:marTop w:val="0"/>
                      <w:marBottom w:val="0"/>
                      <w:divBdr>
                        <w:top w:val="none" w:sz="0" w:space="0" w:color="auto"/>
                        <w:left w:val="none" w:sz="0" w:space="0" w:color="auto"/>
                        <w:bottom w:val="none" w:sz="0" w:space="0" w:color="auto"/>
                        <w:right w:val="none" w:sz="0" w:space="0" w:color="auto"/>
                      </w:divBdr>
                    </w:div>
                  </w:divsChild>
                </w:div>
                <w:div w:id="2054885735">
                  <w:marLeft w:val="0"/>
                  <w:marRight w:val="0"/>
                  <w:marTop w:val="0"/>
                  <w:marBottom w:val="0"/>
                  <w:divBdr>
                    <w:top w:val="none" w:sz="0" w:space="0" w:color="auto"/>
                    <w:left w:val="none" w:sz="0" w:space="0" w:color="auto"/>
                    <w:bottom w:val="none" w:sz="0" w:space="0" w:color="auto"/>
                    <w:right w:val="none" w:sz="0" w:space="0" w:color="auto"/>
                  </w:divBdr>
                  <w:divsChild>
                    <w:div w:id="205130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62753">
          <w:marLeft w:val="0"/>
          <w:marRight w:val="0"/>
          <w:marTop w:val="0"/>
          <w:marBottom w:val="0"/>
          <w:divBdr>
            <w:top w:val="none" w:sz="0" w:space="0" w:color="auto"/>
            <w:left w:val="none" w:sz="0" w:space="0" w:color="auto"/>
            <w:bottom w:val="none" w:sz="0" w:space="0" w:color="auto"/>
            <w:right w:val="none" w:sz="0" w:space="0" w:color="auto"/>
          </w:divBdr>
          <w:divsChild>
            <w:div w:id="672998340">
              <w:marLeft w:val="0"/>
              <w:marRight w:val="0"/>
              <w:marTop w:val="0"/>
              <w:marBottom w:val="0"/>
              <w:divBdr>
                <w:top w:val="none" w:sz="0" w:space="0" w:color="auto"/>
                <w:left w:val="none" w:sz="0" w:space="0" w:color="auto"/>
                <w:bottom w:val="none" w:sz="0" w:space="0" w:color="auto"/>
                <w:right w:val="none" w:sz="0" w:space="0" w:color="auto"/>
              </w:divBdr>
            </w:div>
            <w:div w:id="1248148725">
              <w:marLeft w:val="0"/>
              <w:marRight w:val="0"/>
              <w:marTop w:val="0"/>
              <w:marBottom w:val="0"/>
              <w:divBdr>
                <w:top w:val="none" w:sz="0" w:space="0" w:color="auto"/>
                <w:left w:val="none" w:sz="0" w:space="0" w:color="auto"/>
                <w:bottom w:val="none" w:sz="0" w:space="0" w:color="auto"/>
                <w:right w:val="none" w:sz="0" w:space="0" w:color="auto"/>
              </w:divBdr>
            </w:div>
            <w:div w:id="1309475738">
              <w:marLeft w:val="0"/>
              <w:marRight w:val="0"/>
              <w:marTop w:val="0"/>
              <w:marBottom w:val="0"/>
              <w:divBdr>
                <w:top w:val="none" w:sz="0" w:space="0" w:color="auto"/>
                <w:left w:val="none" w:sz="0" w:space="0" w:color="auto"/>
                <w:bottom w:val="none" w:sz="0" w:space="0" w:color="auto"/>
                <w:right w:val="none" w:sz="0" w:space="0" w:color="auto"/>
              </w:divBdr>
            </w:div>
            <w:div w:id="1581476043">
              <w:marLeft w:val="0"/>
              <w:marRight w:val="0"/>
              <w:marTop w:val="0"/>
              <w:marBottom w:val="0"/>
              <w:divBdr>
                <w:top w:val="none" w:sz="0" w:space="0" w:color="auto"/>
                <w:left w:val="none" w:sz="0" w:space="0" w:color="auto"/>
                <w:bottom w:val="none" w:sz="0" w:space="0" w:color="auto"/>
                <w:right w:val="none" w:sz="0" w:space="0" w:color="auto"/>
              </w:divBdr>
            </w:div>
          </w:divsChild>
        </w:div>
        <w:div w:id="707803979">
          <w:marLeft w:val="0"/>
          <w:marRight w:val="0"/>
          <w:marTop w:val="0"/>
          <w:marBottom w:val="0"/>
          <w:divBdr>
            <w:top w:val="none" w:sz="0" w:space="0" w:color="auto"/>
            <w:left w:val="none" w:sz="0" w:space="0" w:color="auto"/>
            <w:bottom w:val="none" w:sz="0" w:space="0" w:color="auto"/>
            <w:right w:val="none" w:sz="0" w:space="0" w:color="auto"/>
          </w:divBdr>
        </w:div>
        <w:div w:id="708067567">
          <w:marLeft w:val="0"/>
          <w:marRight w:val="0"/>
          <w:marTop w:val="0"/>
          <w:marBottom w:val="0"/>
          <w:divBdr>
            <w:top w:val="none" w:sz="0" w:space="0" w:color="auto"/>
            <w:left w:val="none" w:sz="0" w:space="0" w:color="auto"/>
            <w:bottom w:val="none" w:sz="0" w:space="0" w:color="auto"/>
            <w:right w:val="none" w:sz="0" w:space="0" w:color="auto"/>
          </w:divBdr>
          <w:divsChild>
            <w:div w:id="370307094">
              <w:marLeft w:val="-75"/>
              <w:marRight w:val="0"/>
              <w:marTop w:val="30"/>
              <w:marBottom w:val="30"/>
              <w:divBdr>
                <w:top w:val="none" w:sz="0" w:space="0" w:color="auto"/>
                <w:left w:val="none" w:sz="0" w:space="0" w:color="auto"/>
                <w:bottom w:val="none" w:sz="0" w:space="0" w:color="auto"/>
                <w:right w:val="none" w:sz="0" w:space="0" w:color="auto"/>
              </w:divBdr>
              <w:divsChild>
                <w:div w:id="435634248">
                  <w:marLeft w:val="0"/>
                  <w:marRight w:val="0"/>
                  <w:marTop w:val="0"/>
                  <w:marBottom w:val="0"/>
                  <w:divBdr>
                    <w:top w:val="none" w:sz="0" w:space="0" w:color="auto"/>
                    <w:left w:val="none" w:sz="0" w:space="0" w:color="auto"/>
                    <w:bottom w:val="none" w:sz="0" w:space="0" w:color="auto"/>
                    <w:right w:val="none" w:sz="0" w:space="0" w:color="auto"/>
                  </w:divBdr>
                  <w:divsChild>
                    <w:div w:id="1594389853">
                      <w:marLeft w:val="0"/>
                      <w:marRight w:val="0"/>
                      <w:marTop w:val="0"/>
                      <w:marBottom w:val="0"/>
                      <w:divBdr>
                        <w:top w:val="none" w:sz="0" w:space="0" w:color="auto"/>
                        <w:left w:val="none" w:sz="0" w:space="0" w:color="auto"/>
                        <w:bottom w:val="none" w:sz="0" w:space="0" w:color="auto"/>
                        <w:right w:val="none" w:sz="0" w:space="0" w:color="auto"/>
                      </w:divBdr>
                    </w:div>
                  </w:divsChild>
                </w:div>
                <w:div w:id="506023494">
                  <w:marLeft w:val="0"/>
                  <w:marRight w:val="0"/>
                  <w:marTop w:val="0"/>
                  <w:marBottom w:val="0"/>
                  <w:divBdr>
                    <w:top w:val="none" w:sz="0" w:space="0" w:color="auto"/>
                    <w:left w:val="none" w:sz="0" w:space="0" w:color="auto"/>
                    <w:bottom w:val="none" w:sz="0" w:space="0" w:color="auto"/>
                    <w:right w:val="none" w:sz="0" w:space="0" w:color="auto"/>
                  </w:divBdr>
                  <w:divsChild>
                    <w:div w:id="1654749380">
                      <w:marLeft w:val="0"/>
                      <w:marRight w:val="0"/>
                      <w:marTop w:val="0"/>
                      <w:marBottom w:val="0"/>
                      <w:divBdr>
                        <w:top w:val="none" w:sz="0" w:space="0" w:color="auto"/>
                        <w:left w:val="none" w:sz="0" w:space="0" w:color="auto"/>
                        <w:bottom w:val="none" w:sz="0" w:space="0" w:color="auto"/>
                        <w:right w:val="none" w:sz="0" w:space="0" w:color="auto"/>
                      </w:divBdr>
                    </w:div>
                  </w:divsChild>
                </w:div>
                <w:div w:id="623387666">
                  <w:marLeft w:val="0"/>
                  <w:marRight w:val="0"/>
                  <w:marTop w:val="0"/>
                  <w:marBottom w:val="0"/>
                  <w:divBdr>
                    <w:top w:val="none" w:sz="0" w:space="0" w:color="auto"/>
                    <w:left w:val="none" w:sz="0" w:space="0" w:color="auto"/>
                    <w:bottom w:val="none" w:sz="0" w:space="0" w:color="auto"/>
                    <w:right w:val="none" w:sz="0" w:space="0" w:color="auto"/>
                  </w:divBdr>
                </w:div>
                <w:div w:id="773356104">
                  <w:marLeft w:val="0"/>
                  <w:marRight w:val="0"/>
                  <w:marTop w:val="0"/>
                  <w:marBottom w:val="0"/>
                  <w:divBdr>
                    <w:top w:val="none" w:sz="0" w:space="0" w:color="auto"/>
                    <w:left w:val="none" w:sz="0" w:space="0" w:color="auto"/>
                    <w:bottom w:val="none" w:sz="0" w:space="0" w:color="auto"/>
                    <w:right w:val="none" w:sz="0" w:space="0" w:color="auto"/>
                  </w:divBdr>
                  <w:divsChild>
                    <w:div w:id="1906798317">
                      <w:marLeft w:val="0"/>
                      <w:marRight w:val="0"/>
                      <w:marTop w:val="0"/>
                      <w:marBottom w:val="0"/>
                      <w:divBdr>
                        <w:top w:val="none" w:sz="0" w:space="0" w:color="auto"/>
                        <w:left w:val="none" w:sz="0" w:space="0" w:color="auto"/>
                        <w:bottom w:val="none" w:sz="0" w:space="0" w:color="auto"/>
                        <w:right w:val="none" w:sz="0" w:space="0" w:color="auto"/>
                      </w:divBdr>
                    </w:div>
                  </w:divsChild>
                </w:div>
                <w:div w:id="819157350">
                  <w:marLeft w:val="0"/>
                  <w:marRight w:val="0"/>
                  <w:marTop w:val="0"/>
                  <w:marBottom w:val="0"/>
                  <w:divBdr>
                    <w:top w:val="none" w:sz="0" w:space="0" w:color="auto"/>
                    <w:left w:val="none" w:sz="0" w:space="0" w:color="auto"/>
                    <w:bottom w:val="none" w:sz="0" w:space="0" w:color="auto"/>
                    <w:right w:val="none" w:sz="0" w:space="0" w:color="auto"/>
                  </w:divBdr>
                  <w:divsChild>
                    <w:div w:id="1391727739">
                      <w:marLeft w:val="0"/>
                      <w:marRight w:val="0"/>
                      <w:marTop w:val="0"/>
                      <w:marBottom w:val="0"/>
                      <w:divBdr>
                        <w:top w:val="none" w:sz="0" w:space="0" w:color="auto"/>
                        <w:left w:val="none" w:sz="0" w:space="0" w:color="auto"/>
                        <w:bottom w:val="none" w:sz="0" w:space="0" w:color="auto"/>
                        <w:right w:val="none" w:sz="0" w:space="0" w:color="auto"/>
                      </w:divBdr>
                    </w:div>
                  </w:divsChild>
                </w:div>
                <w:div w:id="865943606">
                  <w:marLeft w:val="0"/>
                  <w:marRight w:val="0"/>
                  <w:marTop w:val="0"/>
                  <w:marBottom w:val="0"/>
                  <w:divBdr>
                    <w:top w:val="none" w:sz="0" w:space="0" w:color="auto"/>
                    <w:left w:val="none" w:sz="0" w:space="0" w:color="auto"/>
                    <w:bottom w:val="none" w:sz="0" w:space="0" w:color="auto"/>
                    <w:right w:val="none" w:sz="0" w:space="0" w:color="auto"/>
                  </w:divBdr>
                  <w:divsChild>
                    <w:div w:id="999305384">
                      <w:marLeft w:val="0"/>
                      <w:marRight w:val="0"/>
                      <w:marTop w:val="0"/>
                      <w:marBottom w:val="0"/>
                      <w:divBdr>
                        <w:top w:val="none" w:sz="0" w:space="0" w:color="auto"/>
                        <w:left w:val="none" w:sz="0" w:space="0" w:color="auto"/>
                        <w:bottom w:val="none" w:sz="0" w:space="0" w:color="auto"/>
                        <w:right w:val="none" w:sz="0" w:space="0" w:color="auto"/>
                      </w:divBdr>
                    </w:div>
                  </w:divsChild>
                </w:div>
                <w:div w:id="992636268">
                  <w:marLeft w:val="0"/>
                  <w:marRight w:val="0"/>
                  <w:marTop w:val="0"/>
                  <w:marBottom w:val="0"/>
                  <w:divBdr>
                    <w:top w:val="none" w:sz="0" w:space="0" w:color="auto"/>
                    <w:left w:val="none" w:sz="0" w:space="0" w:color="auto"/>
                    <w:bottom w:val="none" w:sz="0" w:space="0" w:color="auto"/>
                    <w:right w:val="none" w:sz="0" w:space="0" w:color="auto"/>
                  </w:divBdr>
                  <w:divsChild>
                    <w:div w:id="971909238">
                      <w:marLeft w:val="0"/>
                      <w:marRight w:val="0"/>
                      <w:marTop w:val="0"/>
                      <w:marBottom w:val="0"/>
                      <w:divBdr>
                        <w:top w:val="none" w:sz="0" w:space="0" w:color="auto"/>
                        <w:left w:val="none" w:sz="0" w:space="0" w:color="auto"/>
                        <w:bottom w:val="none" w:sz="0" w:space="0" w:color="auto"/>
                        <w:right w:val="none" w:sz="0" w:space="0" w:color="auto"/>
                      </w:divBdr>
                    </w:div>
                  </w:divsChild>
                </w:div>
                <w:div w:id="1076052508">
                  <w:marLeft w:val="0"/>
                  <w:marRight w:val="0"/>
                  <w:marTop w:val="0"/>
                  <w:marBottom w:val="0"/>
                  <w:divBdr>
                    <w:top w:val="none" w:sz="0" w:space="0" w:color="auto"/>
                    <w:left w:val="none" w:sz="0" w:space="0" w:color="auto"/>
                    <w:bottom w:val="none" w:sz="0" w:space="0" w:color="auto"/>
                    <w:right w:val="none" w:sz="0" w:space="0" w:color="auto"/>
                  </w:divBdr>
                  <w:divsChild>
                    <w:div w:id="163057670">
                      <w:marLeft w:val="0"/>
                      <w:marRight w:val="0"/>
                      <w:marTop w:val="0"/>
                      <w:marBottom w:val="0"/>
                      <w:divBdr>
                        <w:top w:val="none" w:sz="0" w:space="0" w:color="auto"/>
                        <w:left w:val="none" w:sz="0" w:space="0" w:color="auto"/>
                        <w:bottom w:val="none" w:sz="0" w:space="0" w:color="auto"/>
                        <w:right w:val="none" w:sz="0" w:space="0" w:color="auto"/>
                      </w:divBdr>
                    </w:div>
                    <w:div w:id="1141386128">
                      <w:marLeft w:val="0"/>
                      <w:marRight w:val="0"/>
                      <w:marTop w:val="0"/>
                      <w:marBottom w:val="0"/>
                      <w:divBdr>
                        <w:top w:val="none" w:sz="0" w:space="0" w:color="auto"/>
                        <w:left w:val="none" w:sz="0" w:space="0" w:color="auto"/>
                        <w:bottom w:val="none" w:sz="0" w:space="0" w:color="auto"/>
                        <w:right w:val="none" w:sz="0" w:space="0" w:color="auto"/>
                      </w:divBdr>
                    </w:div>
                  </w:divsChild>
                </w:div>
                <w:div w:id="1158111418">
                  <w:marLeft w:val="0"/>
                  <w:marRight w:val="0"/>
                  <w:marTop w:val="0"/>
                  <w:marBottom w:val="0"/>
                  <w:divBdr>
                    <w:top w:val="none" w:sz="0" w:space="0" w:color="auto"/>
                    <w:left w:val="none" w:sz="0" w:space="0" w:color="auto"/>
                    <w:bottom w:val="none" w:sz="0" w:space="0" w:color="auto"/>
                    <w:right w:val="none" w:sz="0" w:space="0" w:color="auto"/>
                  </w:divBdr>
                  <w:divsChild>
                    <w:div w:id="544220665">
                      <w:marLeft w:val="0"/>
                      <w:marRight w:val="0"/>
                      <w:marTop w:val="0"/>
                      <w:marBottom w:val="0"/>
                      <w:divBdr>
                        <w:top w:val="none" w:sz="0" w:space="0" w:color="auto"/>
                        <w:left w:val="none" w:sz="0" w:space="0" w:color="auto"/>
                        <w:bottom w:val="none" w:sz="0" w:space="0" w:color="auto"/>
                        <w:right w:val="none" w:sz="0" w:space="0" w:color="auto"/>
                      </w:divBdr>
                    </w:div>
                  </w:divsChild>
                </w:div>
                <w:div w:id="1238175049">
                  <w:marLeft w:val="0"/>
                  <w:marRight w:val="0"/>
                  <w:marTop w:val="0"/>
                  <w:marBottom w:val="0"/>
                  <w:divBdr>
                    <w:top w:val="none" w:sz="0" w:space="0" w:color="auto"/>
                    <w:left w:val="none" w:sz="0" w:space="0" w:color="auto"/>
                    <w:bottom w:val="none" w:sz="0" w:space="0" w:color="auto"/>
                    <w:right w:val="none" w:sz="0" w:space="0" w:color="auto"/>
                  </w:divBdr>
                  <w:divsChild>
                    <w:div w:id="720595046">
                      <w:marLeft w:val="0"/>
                      <w:marRight w:val="0"/>
                      <w:marTop w:val="0"/>
                      <w:marBottom w:val="0"/>
                      <w:divBdr>
                        <w:top w:val="none" w:sz="0" w:space="0" w:color="auto"/>
                        <w:left w:val="none" w:sz="0" w:space="0" w:color="auto"/>
                        <w:bottom w:val="none" w:sz="0" w:space="0" w:color="auto"/>
                        <w:right w:val="none" w:sz="0" w:space="0" w:color="auto"/>
                      </w:divBdr>
                    </w:div>
                  </w:divsChild>
                </w:div>
                <w:div w:id="1334261506">
                  <w:marLeft w:val="0"/>
                  <w:marRight w:val="0"/>
                  <w:marTop w:val="0"/>
                  <w:marBottom w:val="0"/>
                  <w:divBdr>
                    <w:top w:val="none" w:sz="0" w:space="0" w:color="auto"/>
                    <w:left w:val="none" w:sz="0" w:space="0" w:color="auto"/>
                    <w:bottom w:val="none" w:sz="0" w:space="0" w:color="auto"/>
                    <w:right w:val="none" w:sz="0" w:space="0" w:color="auto"/>
                  </w:divBdr>
                  <w:divsChild>
                    <w:div w:id="840002950">
                      <w:marLeft w:val="0"/>
                      <w:marRight w:val="0"/>
                      <w:marTop w:val="0"/>
                      <w:marBottom w:val="0"/>
                      <w:divBdr>
                        <w:top w:val="none" w:sz="0" w:space="0" w:color="auto"/>
                        <w:left w:val="none" w:sz="0" w:space="0" w:color="auto"/>
                        <w:bottom w:val="none" w:sz="0" w:space="0" w:color="auto"/>
                        <w:right w:val="none" w:sz="0" w:space="0" w:color="auto"/>
                      </w:divBdr>
                    </w:div>
                  </w:divsChild>
                </w:div>
                <w:div w:id="1357658163">
                  <w:marLeft w:val="0"/>
                  <w:marRight w:val="0"/>
                  <w:marTop w:val="0"/>
                  <w:marBottom w:val="0"/>
                  <w:divBdr>
                    <w:top w:val="none" w:sz="0" w:space="0" w:color="auto"/>
                    <w:left w:val="none" w:sz="0" w:space="0" w:color="auto"/>
                    <w:bottom w:val="none" w:sz="0" w:space="0" w:color="auto"/>
                    <w:right w:val="none" w:sz="0" w:space="0" w:color="auto"/>
                  </w:divBdr>
                  <w:divsChild>
                    <w:div w:id="1089351051">
                      <w:marLeft w:val="0"/>
                      <w:marRight w:val="0"/>
                      <w:marTop w:val="0"/>
                      <w:marBottom w:val="0"/>
                      <w:divBdr>
                        <w:top w:val="none" w:sz="0" w:space="0" w:color="auto"/>
                        <w:left w:val="none" w:sz="0" w:space="0" w:color="auto"/>
                        <w:bottom w:val="none" w:sz="0" w:space="0" w:color="auto"/>
                        <w:right w:val="none" w:sz="0" w:space="0" w:color="auto"/>
                      </w:divBdr>
                    </w:div>
                  </w:divsChild>
                </w:div>
                <w:div w:id="1360929473">
                  <w:marLeft w:val="0"/>
                  <w:marRight w:val="0"/>
                  <w:marTop w:val="0"/>
                  <w:marBottom w:val="0"/>
                  <w:divBdr>
                    <w:top w:val="none" w:sz="0" w:space="0" w:color="auto"/>
                    <w:left w:val="none" w:sz="0" w:space="0" w:color="auto"/>
                    <w:bottom w:val="none" w:sz="0" w:space="0" w:color="auto"/>
                    <w:right w:val="none" w:sz="0" w:space="0" w:color="auto"/>
                  </w:divBdr>
                  <w:divsChild>
                    <w:div w:id="1156456936">
                      <w:marLeft w:val="0"/>
                      <w:marRight w:val="0"/>
                      <w:marTop w:val="0"/>
                      <w:marBottom w:val="0"/>
                      <w:divBdr>
                        <w:top w:val="none" w:sz="0" w:space="0" w:color="auto"/>
                        <w:left w:val="none" w:sz="0" w:space="0" w:color="auto"/>
                        <w:bottom w:val="none" w:sz="0" w:space="0" w:color="auto"/>
                        <w:right w:val="none" w:sz="0" w:space="0" w:color="auto"/>
                      </w:divBdr>
                    </w:div>
                  </w:divsChild>
                </w:div>
                <w:div w:id="1429816047">
                  <w:marLeft w:val="0"/>
                  <w:marRight w:val="0"/>
                  <w:marTop w:val="0"/>
                  <w:marBottom w:val="0"/>
                  <w:divBdr>
                    <w:top w:val="none" w:sz="0" w:space="0" w:color="auto"/>
                    <w:left w:val="none" w:sz="0" w:space="0" w:color="auto"/>
                    <w:bottom w:val="none" w:sz="0" w:space="0" w:color="auto"/>
                    <w:right w:val="none" w:sz="0" w:space="0" w:color="auto"/>
                  </w:divBdr>
                  <w:divsChild>
                    <w:div w:id="1434741489">
                      <w:marLeft w:val="0"/>
                      <w:marRight w:val="0"/>
                      <w:marTop w:val="0"/>
                      <w:marBottom w:val="0"/>
                      <w:divBdr>
                        <w:top w:val="none" w:sz="0" w:space="0" w:color="auto"/>
                        <w:left w:val="none" w:sz="0" w:space="0" w:color="auto"/>
                        <w:bottom w:val="none" w:sz="0" w:space="0" w:color="auto"/>
                        <w:right w:val="none" w:sz="0" w:space="0" w:color="auto"/>
                      </w:divBdr>
                    </w:div>
                  </w:divsChild>
                </w:div>
                <w:div w:id="1457063746">
                  <w:marLeft w:val="0"/>
                  <w:marRight w:val="0"/>
                  <w:marTop w:val="0"/>
                  <w:marBottom w:val="0"/>
                  <w:divBdr>
                    <w:top w:val="none" w:sz="0" w:space="0" w:color="auto"/>
                    <w:left w:val="none" w:sz="0" w:space="0" w:color="auto"/>
                    <w:bottom w:val="none" w:sz="0" w:space="0" w:color="auto"/>
                    <w:right w:val="none" w:sz="0" w:space="0" w:color="auto"/>
                  </w:divBdr>
                  <w:divsChild>
                    <w:div w:id="1725107410">
                      <w:marLeft w:val="0"/>
                      <w:marRight w:val="0"/>
                      <w:marTop w:val="0"/>
                      <w:marBottom w:val="0"/>
                      <w:divBdr>
                        <w:top w:val="none" w:sz="0" w:space="0" w:color="auto"/>
                        <w:left w:val="none" w:sz="0" w:space="0" w:color="auto"/>
                        <w:bottom w:val="none" w:sz="0" w:space="0" w:color="auto"/>
                        <w:right w:val="none" w:sz="0" w:space="0" w:color="auto"/>
                      </w:divBdr>
                    </w:div>
                  </w:divsChild>
                </w:div>
                <w:div w:id="1523282721">
                  <w:marLeft w:val="0"/>
                  <w:marRight w:val="0"/>
                  <w:marTop w:val="0"/>
                  <w:marBottom w:val="0"/>
                  <w:divBdr>
                    <w:top w:val="none" w:sz="0" w:space="0" w:color="auto"/>
                    <w:left w:val="none" w:sz="0" w:space="0" w:color="auto"/>
                    <w:bottom w:val="none" w:sz="0" w:space="0" w:color="auto"/>
                    <w:right w:val="none" w:sz="0" w:space="0" w:color="auto"/>
                  </w:divBdr>
                  <w:divsChild>
                    <w:div w:id="452209372">
                      <w:marLeft w:val="0"/>
                      <w:marRight w:val="0"/>
                      <w:marTop w:val="0"/>
                      <w:marBottom w:val="0"/>
                      <w:divBdr>
                        <w:top w:val="none" w:sz="0" w:space="0" w:color="auto"/>
                        <w:left w:val="none" w:sz="0" w:space="0" w:color="auto"/>
                        <w:bottom w:val="none" w:sz="0" w:space="0" w:color="auto"/>
                        <w:right w:val="none" w:sz="0" w:space="0" w:color="auto"/>
                      </w:divBdr>
                    </w:div>
                  </w:divsChild>
                </w:div>
                <w:div w:id="1610501494">
                  <w:marLeft w:val="0"/>
                  <w:marRight w:val="0"/>
                  <w:marTop w:val="0"/>
                  <w:marBottom w:val="0"/>
                  <w:divBdr>
                    <w:top w:val="none" w:sz="0" w:space="0" w:color="auto"/>
                    <w:left w:val="none" w:sz="0" w:space="0" w:color="auto"/>
                    <w:bottom w:val="none" w:sz="0" w:space="0" w:color="auto"/>
                    <w:right w:val="none" w:sz="0" w:space="0" w:color="auto"/>
                  </w:divBdr>
                  <w:divsChild>
                    <w:div w:id="1514490521">
                      <w:marLeft w:val="0"/>
                      <w:marRight w:val="0"/>
                      <w:marTop w:val="0"/>
                      <w:marBottom w:val="0"/>
                      <w:divBdr>
                        <w:top w:val="none" w:sz="0" w:space="0" w:color="auto"/>
                        <w:left w:val="none" w:sz="0" w:space="0" w:color="auto"/>
                        <w:bottom w:val="none" w:sz="0" w:space="0" w:color="auto"/>
                        <w:right w:val="none" w:sz="0" w:space="0" w:color="auto"/>
                      </w:divBdr>
                    </w:div>
                  </w:divsChild>
                </w:div>
                <w:div w:id="1667246702">
                  <w:marLeft w:val="0"/>
                  <w:marRight w:val="0"/>
                  <w:marTop w:val="0"/>
                  <w:marBottom w:val="0"/>
                  <w:divBdr>
                    <w:top w:val="none" w:sz="0" w:space="0" w:color="auto"/>
                    <w:left w:val="none" w:sz="0" w:space="0" w:color="auto"/>
                    <w:bottom w:val="none" w:sz="0" w:space="0" w:color="auto"/>
                    <w:right w:val="none" w:sz="0" w:space="0" w:color="auto"/>
                  </w:divBdr>
                  <w:divsChild>
                    <w:div w:id="1834371717">
                      <w:marLeft w:val="0"/>
                      <w:marRight w:val="0"/>
                      <w:marTop w:val="0"/>
                      <w:marBottom w:val="0"/>
                      <w:divBdr>
                        <w:top w:val="none" w:sz="0" w:space="0" w:color="auto"/>
                        <w:left w:val="none" w:sz="0" w:space="0" w:color="auto"/>
                        <w:bottom w:val="none" w:sz="0" w:space="0" w:color="auto"/>
                        <w:right w:val="none" w:sz="0" w:space="0" w:color="auto"/>
                      </w:divBdr>
                    </w:div>
                  </w:divsChild>
                </w:div>
                <w:div w:id="1669014000">
                  <w:marLeft w:val="0"/>
                  <w:marRight w:val="0"/>
                  <w:marTop w:val="0"/>
                  <w:marBottom w:val="0"/>
                  <w:divBdr>
                    <w:top w:val="none" w:sz="0" w:space="0" w:color="auto"/>
                    <w:left w:val="none" w:sz="0" w:space="0" w:color="auto"/>
                    <w:bottom w:val="none" w:sz="0" w:space="0" w:color="auto"/>
                    <w:right w:val="none" w:sz="0" w:space="0" w:color="auto"/>
                  </w:divBdr>
                  <w:divsChild>
                    <w:div w:id="1868524758">
                      <w:marLeft w:val="0"/>
                      <w:marRight w:val="0"/>
                      <w:marTop w:val="0"/>
                      <w:marBottom w:val="0"/>
                      <w:divBdr>
                        <w:top w:val="none" w:sz="0" w:space="0" w:color="auto"/>
                        <w:left w:val="none" w:sz="0" w:space="0" w:color="auto"/>
                        <w:bottom w:val="none" w:sz="0" w:space="0" w:color="auto"/>
                        <w:right w:val="none" w:sz="0" w:space="0" w:color="auto"/>
                      </w:divBdr>
                    </w:div>
                  </w:divsChild>
                </w:div>
                <w:div w:id="1727876492">
                  <w:marLeft w:val="0"/>
                  <w:marRight w:val="0"/>
                  <w:marTop w:val="0"/>
                  <w:marBottom w:val="0"/>
                  <w:divBdr>
                    <w:top w:val="none" w:sz="0" w:space="0" w:color="auto"/>
                    <w:left w:val="none" w:sz="0" w:space="0" w:color="auto"/>
                    <w:bottom w:val="none" w:sz="0" w:space="0" w:color="auto"/>
                    <w:right w:val="none" w:sz="0" w:space="0" w:color="auto"/>
                  </w:divBdr>
                  <w:divsChild>
                    <w:div w:id="399134541">
                      <w:marLeft w:val="0"/>
                      <w:marRight w:val="0"/>
                      <w:marTop w:val="0"/>
                      <w:marBottom w:val="0"/>
                      <w:divBdr>
                        <w:top w:val="none" w:sz="0" w:space="0" w:color="auto"/>
                        <w:left w:val="none" w:sz="0" w:space="0" w:color="auto"/>
                        <w:bottom w:val="none" w:sz="0" w:space="0" w:color="auto"/>
                        <w:right w:val="none" w:sz="0" w:space="0" w:color="auto"/>
                      </w:divBdr>
                    </w:div>
                  </w:divsChild>
                </w:div>
                <w:div w:id="1770076502">
                  <w:marLeft w:val="0"/>
                  <w:marRight w:val="0"/>
                  <w:marTop w:val="0"/>
                  <w:marBottom w:val="0"/>
                  <w:divBdr>
                    <w:top w:val="none" w:sz="0" w:space="0" w:color="auto"/>
                    <w:left w:val="none" w:sz="0" w:space="0" w:color="auto"/>
                    <w:bottom w:val="none" w:sz="0" w:space="0" w:color="auto"/>
                    <w:right w:val="none" w:sz="0" w:space="0" w:color="auto"/>
                  </w:divBdr>
                  <w:divsChild>
                    <w:div w:id="119307656">
                      <w:marLeft w:val="0"/>
                      <w:marRight w:val="0"/>
                      <w:marTop w:val="0"/>
                      <w:marBottom w:val="0"/>
                      <w:divBdr>
                        <w:top w:val="none" w:sz="0" w:space="0" w:color="auto"/>
                        <w:left w:val="none" w:sz="0" w:space="0" w:color="auto"/>
                        <w:bottom w:val="none" w:sz="0" w:space="0" w:color="auto"/>
                        <w:right w:val="none" w:sz="0" w:space="0" w:color="auto"/>
                      </w:divBdr>
                    </w:div>
                  </w:divsChild>
                </w:div>
                <w:div w:id="1772891741">
                  <w:marLeft w:val="0"/>
                  <w:marRight w:val="0"/>
                  <w:marTop w:val="0"/>
                  <w:marBottom w:val="0"/>
                  <w:divBdr>
                    <w:top w:val="none" w:sz="0" w:space="0" w:color="auto"/>
                    <w:left w:val="none" w:sz="0" w:space="0" w:color="auto"/>
                    <w:bottom w:val="none" w:sz="0" w:space="0" w:color="auto"/>
                    <w:right w:val="none" w:sz="0" w:space="0" w:color="auto"/>
                  </w:divBdr>
                  <w:divsChild>
                    <w:div w:id="668023318">
                      <w:marLeft w:val="0"/>
                      <w:marRight w:val="0"/>
                      <w:marTop w:val="0"/>
                      <w:marBottom w:val="0"/>
                      <w:divBdr>
                        <w:top w:val="none" w:sz="0" w:space="0" w:color="auto"/>
                        <w:left w:val="none" w:sz="0" w:space="0" w:color="auto"/>
                        <w:bottom w:val="none" w:sz="0" w:space="0" w:color="auto"/>
                        <w:right w:val="none" w:sz="0" w:space="0" w:color="auto"/>
                      </w:divBdr>
                    </w:div>
                  </w:divsChild>
                </w:div>
                <w:div w:id="1795631355">
                  <w:marLeft w:val="0"/>
                  <w:marRight w:val="0"/>
                  <w:marTop w:val="0"/>
                  <w:marBottom w:val="0"/>
                  <w:divBdr>
                    <w:top w:val="none" w:sz="0" w:space="0" w:color="auto"/>
                    <w:left w:val="none" w:sz="0" w:space="0" w:color="auto"/>
                    <w:bottom w:val="none" w:sz="0" w:space="0" w:color="auto"/>
                    <w:right w:val="none" w:sz="0" w:space="0" w:color="auto"/>
                  </w:divBdr>
                  <w:divsChild>
                    <w:div w:id="453989508">
                      <w:marLeft w:val="0"/>
                      <w:marRight w:val="0"/>
                      <w:marTop w:val="0"/>
                      <w:marBottom w:val="0"/>
                      <w:divBdr>
                        <w:top w:val="none" w:sz="0" w:space="0" w:color="auto"/>
                        <w:left w:val="none" w:sz="0" w:space="0" w:color="auto"/>
                        <w:bottom w:val="none" w:sz="0" w:space="0" w:color="auto"/>
                        <w:right w:val="none" w:sz="0" w:space="0" w:color="auto"/>
                      </w:divBdr>
                    </w:div>
                  </w:divsChild>
                </w:div>
                <w:div w:id="1810584775">
                  <w:marLeft w:val="0"/>
                  <w:marRight w:val="0"/>
                  <w:marTop w:val="0"/>
                  <w:marBottom w:val="0"/>
                  <w:divBdr>
                    <w:top w:val="none" w:sz="0" w:space="0" w:color="auto"/>
                    <w:left w:val="none" w:sz="0" w:space="0" w:color="auto"/>
                    <w:bottom w:val="none" w:sz="0" w:space="0" w:color="auto"/>
                    <w:right w:val="none" w:sz="0" w:space="0" w:color="auto"/>
                  </w:divBdr>
                  <w:divsChild>
                    <w:div w:id="1771320166">
                      <w:marLeft w:val="0"/>
                      <w:marRight w:val="0"/>
                      <w:marTop w:val="0"/>
                      <w:marBottom w:val="0"/>
                      <w:divBdr>
                        <w:top w:val="none" w:sz="0" w:space="0" w:color="auto"/>
                        <w:left w:val="none" w:sz="0" w:space="0" w:color="auto"/>
                        <w:bottom w:val="none" w:sz="0" w:space="0" w:color="auto"/>
                        <w:right w:val="none" w:sz="0" w:space="0" w:color="auto"/>
                      </w:divBdr>
                    </w:div>
                  </w:divsChild>
                </w:div>
                <w:div w:id="1866213483">
                  <w:marLeft w:val="0"/>
                  <w:marRight w:val="0"/>
                  <w:marTop w:val="0"/>
                  <w:marBottom w:val="0"/>
                  <w:divBdr>
                    <w:top w:val="none" w:sz="0" w:space="0" w:color="auto"/>
                    <w:left w:val="none" w:sz="0" w:space="0" w:color="auto"/>
                    <w:bottom w:val="none" w:sz="0" w:space="0" w:color="auto"/>
                    <w:right w:val="none" w:sz="0" w:space="0" w:color="auto"/>
                  </w:divBdr>
                  <w:divsChild>
                    <w:div w:id="782001479">
                      <w:marLeft w:val="0"/>
                      <w:marRight w:val="0"/>
                      <w:marTop w:val="0"/>
                      <w:marBottom w:val="0"/>
                      <w:divBdr>
                        <w:top w:val="none" w:sz="0" w:space="0" w:color="auto"/>
                        <w:left w:val="none" w:sz="0" w:space="0" w:color="auto"/>
                        <w:bottom w:val="none" w:sz="0" w:space="0" w:color="auto"/>
                        <w:right w:val="none" w:sz="0" w:space="0" w:color="auto"/>
                      </w:divBdr>
                    </w:div>
                  </w:divsChild>
                </w:div>
                <w:div w:id="2004359750">
                  <w:marLeft w:val="0"/>
                  <w:marRight w:val="0"/>
                  <w:marTop w:val="0"/>
                  <w:marBottom w:val="0"/>
                  <w:divBdr>
                    <w:top w:val="none" w:sz="0" w:space="0" w:color="auto"/>
                    <w:left w:val="none" w:sz="0" w:space="0" w:color="auto"/>
                    <w:bottom w:val="none" w:sz="0" w:space="0" w:color="auto"/>
                    <w:right w:val="none" w:sz="0" w:space="0" w:color="auto"/>
                  </w:divBdr>
                  <w:divsChild>
                    <w:div w:id="1955676741">
                      <w:marLeft w:val="0"/>
                      <w:marRight w:val="0"/>
                      <w:marTop w:val="0"/>
                      <w:marBottom w:val="0"/>
                      <w:divBdr>
                        <w:top w:val="none" w:sz="0" w:space="0" w:color="auto"/>
                        <w:left w:val="none" w:sz="0" w:space="0" w:color="auto"/>
                        <w:bottom w:val="none" w:sz="0" w:space="0" w:color="auto"/>
                        <w:right w:val="none" w:sz="0" w:space="0" w:color="auto"/>
                      </w:divBdr>
                    </w:div>
                  </w:divsChild>
                </w:div>
                <w:div w:id="2036343931">
                  <w:marLeft w:val="0"/>
                  <w:marRight w:val="0"/>
                  <w:marTop w:val="0"/>
                  <w:marBottom w:val="0"/>
                  <w:divBdr>
                    <w:top w:val="none" w:sz="0" w:space="0" w:color="auto"/>
                    <w:left w:val="none" w:sz="0" w:space="0" w:color="auto"/>
                    <w:bottom w:val="none" w:sz="0" w:space="0" w:color="auto"/>
                    <w:right w:val="none" w:sz="0" w:space="0" w:color="auto"/>
                  </w:divBdr>
                  <w:divsChild>
                    <w:div w:id="1618754290">
                      <w:marLeft w:val="0"/>
                      <w:marRight w:val="0"/>
                      <w:marTop w:val="0"/>
                      <w:marBottom w:val="0"/>
                      <w:divBdr>
                        <w:top w:val="none" w:sz="0" w:space="0" w:color="auto"/>
                        <w:left w:val="none" w:sz="0" w:space="0" w:color="auto"/>
                        <w:bottom w:val="none" w:sz="0" w:space="0" w:color="auto"/>
                        <w:right w:val="none" w:sz="0" w:space="0" w:color="auto"/>
                      </w:divBdr>
                    </w:div>
                  </w:divsChild>
                </w:div>
                <w:div w:id="2068800239">
                  <w:marLeft w:val="0"/>
                  <w:marRight w:val="0"/>
                  <w:marTop w:val="0"/>
                  <w:marBottom w:val="0"/>
                  <w:divBdr>
                    <w:top w:val="none" w:sz="0" w:space="0" w:color="auto"/>
                    <w:left w:val="none" w:sz="0" w:space="0" w:color="auto"/>
                    <w:bottom w:val="none" w:sz="0" w:space="0" w:color="auto"/>
                    <w:right w:val="none" w:sz="0" w:space="0" w:color="auto"/>
                  </w:divBdr>
                  <w:divsChild>
                    <w:div w:id="138771151">
                      <w:marLeft w:val="0"/>
                      <w:marRight w:val="0"/>
                      <w:marTop w:val="0"/>
                      <w:marBottom w:val="0"/>
                      <w:divBdr>
                        <w:top w:val="none" w:sz="0" w:space="0" w:color="auto"/>
                        <w:left w:val="none" w:sz="0" w:space="0" w:color="auto"/>
                        <w:bottom w:val="none" w:sz="0" w:space="0" w:color="auto"/>
                        <w:right w:val="none" w:sz="0" w:space="0" w:color="auto"/>
                      </w:divBdr>
                    </w:div>
                  </w:divsChild>
                </w:div>
                <w:div w:id="2117210084">
                  <w:marLeft w:val="0"/>
                  <w:marRight w:val="0"/>
                  <w:marTop w:val="0"/>
                  <w:marBottom w:val="0"/>
                  <w:divBdr>
                    <w:top w:val="none" w:sz="0" w:space="0" w:color="auto"/>
                    <w:left w:val="none" w:sz="0" w:space="0" w:color="auto"/>
                    <w:bottom w:val="none" w:sz="0" w:space="0" w:color="auto"/>
                    <w:right w:val="none" w:sz="0" w:space="0" w:color="auto"/>
                  </w:divBdr>
                  <w:divsChild>
                    <w:div w:id="856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068821">
          <w:marLeft w:val="0"/>
          <w:marRight w:val="0"/>
          <w:marTop w:val="0"/>
          <w:marBottom w:val="0"/>
          <w:divBdr>
            <w:top w:val="none" w:sz="0" w:space="0" w:color="auto"/>
            <w:left w:val="none" w:sz="0" w:space="0" w:color="auto"/>
            <w:bottom w:val="none" w:sz="0" w:space="0" w:color="auto"/>
            <w:right w:val="none" w:sz="0" w:space="0" w:color="auto"/>
          </w:divBdr>
          <w:divsChild>
            <w:div w:id="426849622">
              <w:marLeft w:val="0"/>
              <w:marRight w:val="0"/>
              <w:marTop w:val="0"/>
              <w:marBottom w:val="0"/>
              <w:divBdr>
                <w:top w:val="none" w:sz="0" w:space="0" w:color="auto"/>
                <w:left w:val="none" w:sz="0" w:space="0" w:color="auto"/>
                <w:bottom w:val="none" w:sz="0" w:space="0" w:color="auto"/>
                <w:right w:val="none" w:sz="0" w:space="0" w:color="auto"/>
              </w:divBdr>
            </w:div>
            <w:div w:id="1106736488">
              <w:marLeft w:val="0"/>
              <w:marRight w:val="0"/>
              <w:marTop w:val="0"/>
              <w:marBottom w:val="0"/>
              <w:divBdr>
                <w:top w:val="none" w:sz="0" w:space="0" w:color="auto"/>
                <w:left w:val="none" w:sz="0" w:space="0" w:color="auto"/>
                <w:bottom w:val="none" w:sz="0" w:space="0" w:color="auto"/>
                <w:right w:val="none" w:sz="0" w:space="0" w:color="auto"/>
              </w:divBdr>
            </w:div>
            <w:div w:id="1509248450">
              <w:marLeft w:val="0"/>
              <w:marRight w:val="0"/>
              <w:marTop w:val="0"/>
              <w:marBottom w:val="0"/>
              <w:divBdr>
                <w:top w:val="none" w:sz="0" w:space="0" w:color="auto"/>
                <w:left w:val="none" w:sz="0" w:space="0" w:color="auto"/>
                <w:bottom w:val="none" w:sz="0" w:space="0" w:color="auto"/>
                <w:right w:val="none" w:sz="0" w:space="0" w:color="auto"/>
              </w:divBdr>
            </w:div>
          </w:divsChild>
        </w:div>
        <w:div w:id="928347702">
          <w:marLeft w:val="0"/>
          <w:marRight w:val="0"/>
          <w:marTop w:val="0"/>
          <w:marBottom w:val="0"/>
          <w:divBdr>
            <w:top w:val="none" w:sz="0" w:space="0" w:color="auto"/>
            <w:left w:val="none" w:sz="0" w:space="0" w:color="auto"/>
            <w:bottom w:val="none" w:sz="0" w:space="0" w:color="auto"/>
            <w:right w:val="none" w:sz="0" w:space="0" w:color="auto"/>
          </w:divBdr>
          <w:divsChild>
            <w:div w:id="1318461854">
              <w:marLeft w:val="-75"/>
              <w:marRight w:val="0"/>
              <w:marTop w:val="30"/>
              <w:marBottom w:val="30"/>
              <w:divBdr>
                <w:top w:val="none" w:sz="0" w:space="0" w:color="auto"/>
                <w:left w:val="none" w:sz="0" w:space="0" w:color="auto"/>
                <w:bottom w:val="none" w:sz="0" w:space="0" w:color="auto"/>
                <w:right w:val="none" w:sz="0" w:space="0" w:color="auto"/>
              </w:divBdr>
              <w:divsChild>
                <w:div w:id="386417685">
                  <w:marLeft w:val="0"/>
                  <w:marRight w:val="0"/>
                  <w:marTop w:val="0"/>
                  <w:marBottom w:val="0"/>
                  <w:divBdr>
                    <w:top w:val="none" w:sz="0" w:space="0" w:color="auto"/>
                    <w:left w:val="none" w:sz="0" w:space="0" w:color="auto"/>
                    <w:bottom w:val="none" w:sz="0" w:space="0" w:color="auto"/>
                    <w:right w:val="none" w:sz="0" w:space="0" w:color="auto"/>
                  </w:divBdr>
                  <w:divsChild>
                    <w:div w:id="492797111">
                      <w:marLeft w:val="0"/>
                      <w:marRight w:val="0"/>
                      <w:marTop w:val="0"/>
                      <w:marBottom w:val="0"/>
                      <w:divBdr>
                        <w:top w:val="none" w:sz="0" w:space="0" w:color="auto"/>
                        <w:left w:val="none" w:sz="0" w:space="0" w:color="auto"/>
                        <w:bottom w:val="none" w:sz="0" w:space="0" w:color="auto"/>
                        <w:right w:val="none" w:sz="0" w:space="0" w:color="auto"/>
                      </w:divBdr>
                    </w:div>
                  </w:divsChild>
                </w:div>
                <w:div w:id="2104109392">
                  <w:marLeft w:val="0"/>
                  <w:marRight w:val="0"/>
                  <w:marTop w:val="0"/>
                  <w:marBottom w:val="0"/>
                  <w:divBdr>
                    <w:top w:val="none" w:sz="0" w:space="0" w:color="auto"/>
                    <w:left w:val="none" w:sz="0" w:space="0" w:color="auto"/>
                    <w:bottom w:val="none" w:sz="0" w:space="0" w:color="auto"/>
                    <w:right w:val="none" w:sz="0" w:space="0" w:color="auto"/>
                  </w:divBdr>
                  <w:divsChild>
                    <w:div w:id="19740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31281">
          <w:marLeft w:val="0"/>
          <w:marRight w:val="0"/>
          <w:marTop w:val="0"/>
          <w:marBottom w:val="0"/>
          <w:divBdr>
            <w:top w:val="none" w:sz="0" w:space="0" w:color="auto"/>
            <w:left w:val="none" w:sz="0" w:space="0" w:color="auto"/>
            <w:bottom w:val="none" w:sz="0" w:space="0" w:color="auto"/>
            <w:right w:val="none" w:sz="0" w:space="0" w:color="auto"/>
          </w:divBdr>
        </w:div>
        <w:div w:id="1466433984">
          <w:marLeft w:val="0"/>
          <w:marRight w:val="0"/>
          <w:marTop w:val="0"/>
          <w:marBottom w:val="0"/>
          <w:divBdr>
            <w:top w:val="none" w:sz="0" w:space="0" w:color="auto"/>
            <w:left w:val="none" w:sz="0" w:space="0" w:color="auto"/>
            <w:bottom w:val="none" w:sz="0" w:space="0" w:color="auto"/>
            <w:right w:val="none" w:sz="0" w:space="0" w:color="auto"/>
          </w:divBdr>
          <w:divsChild>
            <w:div w:id="38408031">
              <w:marLeft w:val="0"/>
              <w:marRight w:val="0"/>
              <w:marTop w:val="0"/>
              <w:marBottom w:val="0"/>
              <w:divBdr>
                <w:top w:val="none" w:sz="0" w:space="0" w:color="auto"/>
                <w:left w:val="none" w:sz="0" w:space="0" w:color="auto"/>
                <w:bottom w:val="none" w:sz="0" w:space="0" w:color="auto"/>
                <w:right w:val="none" w:sz="0" w:space="0" w:color="auto"/>
              </w:divBdr>
            </w:div>
            <w:div w:id="1202936604">
              <w:marLeft w:val="0"/>
              <w:marRight w:val="0"/>
              <w:marTop w:val="0"/>
              <w:marBottom w:val="0"/>
              <w:divBdr>
                <w:top w:val="none" w:sz="0" w:space="0" w:color="auto"/>
                <w:left w:val="none" w:sz="0" w:space="0" w:color="auto"/>
                <w:bottom w:val="none" w:sz="0" w:space="0" w:color="auto"/>
                <w:right w:val="none" w:sz="0" w:space="0" w:color="auto"/>
              </w:divBdr>
            </w:div>
            <w:div w:id="1380401870">
              <w:marLeft w:val="0"/>
              <w:marRight w:val="0"/>
              <w:marTop w:val="0"/>
              <w:marBottom w:val="0"/>
              <w:divBdr>
                <w:top w:val="none" w:sz="0" w:space="0" w:color="auto"/>
                <w:left w:val="none" w:sz="0" w:space="0" w:color="auto"/>
                <w:bottom w:val="none" w:sz="0" w:space="0" w:color="auto"/>
                <w:right w:val="none" w:sz="0" w:space="0" w:color="auto"/>
              </w:divBdr>
            </w:div>
            <w:div w:id="1435394561">
              <w:marLeft w:val="0"/>
              <w:marRight w:val="0"/>
              <w:marTop w:val="0"/>
              <w:marBottom w:val="0"/>
              <w:divBdr>
                <w:top w:val="none" w:sz="0" w:space="0" w:color="auto"/>
                <w:left w:val="none" w:sz="0" w:space="0" w:color="auto"/>
                <w:bottom w:val="none" w:sz="0" w:space="0" w:color="auto"/>
                <w:right w:val="none" w:sz="0" w:space="0" w:color="auto"/>
              </w:divBdr>
            </w:div>
            <w:div w:id="1969163179">
              <w:marLeft w:val="0"/>
              <w:marRight w:val="0"/>
              <w:marTop w:val="0"/>
              <w:marBottom w:val="0"/>
              <w:divBdr>
                <w:top w:val="none" w:sz="0" w:space="0" w:color="auto"/>
                <w:left w:val="none" w:sz="0" w:space="0" w:color="auto"/>
                <w:bottom w:val="none" w:sz="0" w:space="0" w:color="auto"/>
                <w:right w:val="none" w:sz="0" w:space="0" w:color="auto"/>
              </w:divBdr>
            </w:div>
            <w:div w:id="1970284260">
              <w:marLeft w:val="0"/>
              <w:marRight w:val="0"/>
              <w:marTop w:val="0"/>
              <w:marBottom w:val="0"/>
              <w:divBdr>
                <w:top w:val="none" w:sz="0" w:space="0" w:color="auto"/>
                <w:left w:val="none" w:sz="0" w:space="0" w:color="auto"/>
                <w:bottom w:val="none" w:sz="0" w:space="0" w:color="auto"/>
                <w:right w:val="none" w:sz="0" w:space="0" w:color="auto"/>
              </w:divBdr>
            </w:div>
          </w:divsChild>
        </w:div>
        <w:div w:id="1548302110">
          <w:marLeft w:val="0"/>
          <w:marRight w:val="0"/>
          <w:marTop w:val="0"/>
          <w:marBottom w:val="0"/>
          <w:divBdr>
            <w:top w:val="none" w:sz="0" w:space="0" w:color="auto"/>
            <w:left w:val="none" w:sz="0" w:space="0" w:color="auto"/>
            <w:bottom w:val="none" w:sz="0" w:space="0" w:color="auto"/>
            <w:right w:val="none" w:sz="0" w:space="0" w:color="auto"/>
          </w:divBdr>
          <w:divsChild>
            <w:div w:id="832837259">
              <w:marLeft w:val="-75"/>
              <w:marRight w:val="0"/>
              <w:marTop w:val="30"/>
              <w:marBottom w:val="30"/>
              <w:divBdr>
                <w:top w:val="none" w:sz="0" w:space="0" w:color="auto"/>
                <w:left w:val="none" w:sz="0" w:space="0" w:color="auto"/>
                <w:bottom w:val="none" w:sz="0" w:space="0" w:color="auto"/>
                <w:right w:val="none" w:sz="0" w:space="0" w:color="auto"/>
              </w:divBdr>
              <w:divsChild>
                <w:div w:id="511258823">
                  <w:marLeft w:val="0"/>
                  <w:marRight w:val="0"/>
                  <w:marTop w:val="0"/>
                  <w:marBottom w:val="0"/>
                  <w:divBdr>
                    <w:top w:val="none" w:sz="0" w:space="0" w:color="auto"/>
                    <w:left w:val="none" w:sz="0" w:space="0" w:color="auto"/>
                    <w:bottom w:val="none" w:sz="0" w:space="0" w:color="auto"/>
                    <w:right w:val="none" w:sz="0" w:space="0" w:color="auto"/>
                  </w:divBdr>
                </w:div>
                <w:div w:id="706412951">
                  <w:marLeft w:val="0"/>
                  <w:marRight w:val="0"/>
                  <w:marTop w:val="0"/>
                  <w:marBottom w:val="0"/>
                  <w:divBdr>
                    <w:top w:val="none" w:sz="0" w:space="0" w:color="auto"/>
                    <w:left w:val="none" w:sz="0" w:space="0" w:color="auto"/>
                    <w:bottom w:val="none" w:sz="0" w:space="0" w:color="auto"/>
                    <w:right w:val="none" w:sz="0" w:space="0" w:color="auto"/>
                  </w:divBdr>
                  <w:divsChild>
                    <w:div w:id="14902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79352">
          <w:marLeft w:val="0"/>
          <w:marRight w:val="0"/>
          <w:marTop w:val="0"/>
          <w:marBottom w:val="0"/>
          <w:divBdr>
            <w:top w:val="none" w:sz="0" w:space="0" w:color="auto"/>
            <w:left w:val="none" w:sz="0" w:space="0" w:color="auto"/>
            <w:bottom w:val="none" w:sz="0" w:space="0" w:color="auto"/>
            <w:right w:val="none" w:sz="0" w:space="0" w:color="auto"/>
          </w:divBdr>
          <w:divsChild>
            <w:div w:id="738669824">
              <w:marLeft w:val="-75"/>
              <w:marRight w:val="0"/>
              <w:marTop w:val="30"/>
              <w:marBottom w:val="30"/>
              <w:divBdr>
                <w:top w:val="none" w:sz="0" w:space="0" w:color="auto"/>
                <w:left w:val="none" w:sz="0" w:space="0" w:color="auto"/>
                <w:bottom w:val="none" w:sz="0" w:space="0" w:color="auto"/>
                <w:right w:val="none" w:sz="0" w:space="0" w:color="auto"/>
              </w:divBdr>
              <w:divsChild>
                <w:div w:id="167257117">
                  <w:marLeft w:val="0"/>
                  <w:marRight w:val="0"/>
                  <w:marTop w:val="0"/>
                  <w:marBottom w:val="0"/>
                  <w:divBdr>
                    <w:top w:val="none" w:sz="0" w:space="0" w:color="auto"/>
                    <w:left w:val="none" w:sz="0" w:space="0" w:color="auto"/>
                    <w:bottom w:val="none" w:sz="0" w:space="0" w:color="auto"/>
                    <w:right w:val="none" w:sz="0" w:space="0" w:color="auto"/>
                  </w:divBdr>
                  <w:divsChild>
                    <w:div w:id="605622684">
                      <w:marLeft w:val="0"/>
                      <w:marRight w:val="0"/>
                      <w:marTop w:val="0"/>
                      <w:marBottom w:val="0"/>
                      <w:divBdr>
                        <w:top w:val="none" w:sz="0" w:space="0" w:color="auto"/>
                        <w:left w:val="none" w:sz="0" w:space="0" w:color="auto"/>
                        <w:bottom w:val="none" w:sz="0" w:space="0" w:color="auto"/>
                        <w:right w:val="none" w:sz="0" w:space="0" w:color="auto"/>
                      </w:divBdr>
                    </w:div>
                  </w:divsChild>
                </w:div>
                <w:div w:id="273093768">
                  <w:marLeft w:val="0"/>
                  <w:marRight w:val="0"/>
                  <w:marTop w:val="0"/>
                  <w:marBottom w:val="0"/>
                  <w:divBdr>
                    <w:top w:val="none" w:sz="0" w:space="0" w:color="auto"/>
                    <w:left w:val="none" w:sz="0" w:space="0" w:color="auto"/>
                    <w:bottom w:val="none" w:sz="0" w:space="0" w:color="auto"/>
                    <w:right w:val="none" w:sz="0" w:space="0" w:color="auto"/>
                  </w:divBdr>
                  <w:divsChild>
                    <w:div w:id="1956256220">
                      <w:marLeft w:val="0"/>
                      <w:marRight w:val="0"/>
                      <w:marTop w:val="0"/>
                      <w:marBottom w:val="0"/>
                      <w:divBdr>
                        <w:top w:val="none" w:sz="0" w:space="0" w:color="auto"/>
                        <w:left w:val="none" w:sz="0" w:space="0" w:color="auto"/>
                        <w:bottom w:val="none" w:sz="0" w:space="0" w:color="auto"/>
                        <w:right w:val="none" w:sz="0" w:space="0" w:color="auto"/>
                      </w:divBdr>
                    </w:div>
                  </w:divsChild>
                </w:div>
                <w:div w:id="330259892">
                  <w:marLeft w:val="0"/>
                  <w:marRight w:val="0"/>
                  <w:marTop w:val="0"/>
                  <w:marBottom w:val="0"/>
                  <w:divBdr>
                    <w:top w:val="none" w:sz="0" w:space="0" w:color="auto"/>
                    <w:left w:val="none" w:sz="0" w:space="0" w:color="auto"/>
                    <w:bottom w:val="none" w:sz="0" w:space="0" w:color="auto"/>
                    <w:right w:val="none" w:sz="0" w:space="0" w:color="auto"/>
                  </w:divBdr>
                  <w:divsChild>
                    <w:div w:id="733545529">
                      <w:marLeft w:val="0"/>
                      <w:marRight w:val="0"/>
                      <w:marTop w:val="0"/>
                      <w:marBottom w:val="0"/>
                      <w:divBdr>
                        <w:top w:val="none" w:sz="0" w:space="0" w:color="auto"/>
                        <w:left w:val="none" w:sz="0" w:space="0" w:color="auto"/>
                        <w:bottom w:val="none" w:sz="0" w:space="0" w:color="auto"/>
                        <w:right w:val="none" w:sz="0" w:space="0" w:color="auto"/>
                      </w:divBdr>
                    </w:div>
                  </w:divsChild>
                </w:div>
                <w:div w:id="341126395">
                  <w:marLeft w:val="0"/>
                  <w:marRight w:val="0"/>
                  <w:marTop w:val="0"/>
                  <w:marBottom w:val="0"/>
                  <w:divBdr>
                    <w:top w:val="none" w:sz="0" w:space="0" w:color="auto"/>
                    <w:left w:val="none" w:sz="0" w:space="0" w:color="auto"/>
                    <w:bottom w:val="none" w:sz="0" w:space="0" w:color="auto"/>
                    <w:right w:val="none" w:sz="0" w:space="0" w:color="auto"/>
                  </w:divBdr>
                  <w:divsChild>
                    <w:div w:id="756101764">
                      <w:marLeft w:val="0"/>
                      <w:marRight w:val="0"/>
                      <w:marTop w:val="0"/>
                      <w:marBottom w:val="0"/>
                      <w:divBdr>
                        <w:top w:val="none" w:sz="0" w:space="0" w:color="auto"/>
                        <w:left w:val="none" w:sz="0" w:space="0" w:color="auto"/>
                        <w:bottom w:val="none" w:sz="0" w:space="0" w:color="auto"/>
                        <w:right w:val="none" w:sz="0" w:space="0" w:color="auto"/>
                      </w:divBdr>
                    </w:div>
                  </w:divsChild>
                </w:div>
                <w:div w:id="418910751">
                  <w:marLeft w:val="0"/>
                  <w:marRight w:val="0"/>
                  <w:marTop w:val="0"/>
                  <w:marBottom w:val="0"/>
                  <w:divBdr>
                    <w:top w:val="none" w:sz="0" w:space="0" w:color="auto"/>
                    <w:left w:val="none" w:sz="0" w:space="0" w:color="auto"/>
                    <w:bottom w:val="none" w:sz="0" w:space="0" w:color="auto"/>
                    <w:right w:val="none" w:sz="0" w:space="0" w:color="auto"/>
                  </w:divBdr>
                  <w:divsChild>
                    <w:div w:id="923882716">
                      <w:marLeft w:val="0"/>
                      <w:marRight w:val="0"/>
                      <w:marTop w:val="0"/>
                      <w:marBottom w:val="0"/>
                      <w:divBdr>
                        <w:top w:val="none" w:sz="0" w:space="0" w:color="auto"/>
                        <w:left w:val="none" w:sz="0" w:space="0" w:color="auto"/>
                        <w:bottom w:val="none" w:sz="0" w:space="0" w:color="auto"/>
                        <w:right w:val="none" w:sz="0" w:space="0" w:color="auto"/>
                      </w:divBdr>
                    </w:div>
                  </w:divsChild>
                </w:div>
                <w:div w:id="419331245">
                  <w:marLeft w:val="0"/>
                  <w:marRight w:val="0"/>
                  <w:marTop w:val="0"/>
                  <w:marBottom w:val="0"/>
                  <w:divBdr>
                    <w:top w:val="none" w:sz="0" w:space="0" w:color="auto"/>
                    <w:left w:val="none" w:sz="0" w:space="0" w:color="auto"/>
                    <w:bottom w:val="none" w:sz="0" w:space="0" w:color="auto"/>
                    <w:right w:val="none" w:sz="0" w:space="0" w:color="auto"/>
                  </w:divBdr>
                  <w:divsChild>
                    <w:div w:id="1707873972">
                      <w:marLeft w:val="0"/>
                      <w:marRight w:val="0"/>
                      <w:marTop w:val="0"/>
                      <w:marBottom w:val="0"/>
                      <w:divBdr>
                        <w:top w:val="none" w:sz="0" w:space="0" w:color="auto"/>
                        <w:left w:val="none" w:sz="0" w:space="0" w:color="auto"/>
                        <w:bottom w:val="none" w:sz="0" w:space="0" w:color="auto"/>
                        <w:right w:val="none" w:sz="0" w:space="0" w:color="auto"/>
                      </w:divBdr>
                    </w:div>
                  </w:divsChild>
                </w:div>
                <w:div w:id="493961682">
                  <w:marLeft w:val="0"/>
                  <w:marRight w:val="0"/>
                  <w:marTop w:val="0"/>
                  <w:marBottom w:val="0"/>
                  <w:divBdr>
                    <w:top w:val="none" w:sz="0" w:space="0" w:color="auto"/>
                    <w:left w:val="none" w:sz="0" w:space="0" w:color="auto"/>
                    <w:bottom w:val="none" w:sz="0" w:space="0" w:color="auto"/>
                    <w:right w:val="none" w:sz="0" w:space="0" w:color="auto"/>
                  </w:divBdr>
                  <w:divsChild>
                    <w:div w:id="637298916">
                      <w:marLeft w:val="0"/>
                      <w:marRight w:val="0"/>
                      <w:marTop w:val="0"/>
                      <w:marBottom w:val="0"/>
                      <w:divBdr>
                        <w:top w:val="none" w:sz="0" w:space="0" w:color="auto"/>
                        <w:left w:val="none" w:sz="0" w:space="0" w:color="auto"/>
                        <w:bottom w:val="none" w:sz="0" w:space="0" w:color="auto"/>
                        <w:right w:val="none" w:sz="0" w:space="0" w:color="auto"/>
                      </w:divBdr>
                    </w:div>
                  </w:divsChild>
                </w:div>
                <w:div w:id="779953685">
                  <w:marLeft w:val="0"/>
                  <w:marRight w:val="0"/>
                  <w:marTop w:val="0"/>
                  <w:marBottom w:val="0"/>
                  <w:divBdr>
                    <w:top w:val="none" w:sz="0" w:space="0" w:color="auto"/>
                    <w:left w:val="none" w:sz="0" w:space="0" w:color="auto"/>
                    <w:bottom w:val="none" w:sz="0" w:space="0" w:color="auto"/>
                    <w:right w:val="none" w:sz="0" w:space="0" w:color="auto"/>
                  </w:divBdr>
                  <w:divsChild>
                    <w:div w:id="1833569489">
                      <w:marLeft w:val="0"/>
                      <w:marRight w:val="0"/>
                      <w:marTop w:val="0"/>
                      <w:marBottom w:val="0"/>
                      <w:divBdr>
                        <w:top w:val="none" w:sz="0" w:space="0" w:color="auto"/>
                        <w:left w:val="none" w:sz="0" w:space="0" w:color="auto"/>
                        <w:bottom w:val="none" w:sz="0" w:space="0" w:color="auto"/>
                        <w:right w:val="none" w:sz="0" w:space="0" w:color="auto"/>
                      </w:divBdr>
                    </w:div>
                  </w:divsChild>
                </w:div>
                <w:div w:id="921331425">
                  <w:marLeft w:val="0"/>
                  <w:marRight w:val="0"/>
                  <w:marTop w:val="0"/>
                  <w:marBottom w:val="0"/>
                  <w:divBdr>
                    <w:top w:val="none" w:sz="0" w:space="0" w:color="auto"/>
                    <w:left w:val="none" w:sz="0" w:space="0" w:color="auto"/>
                    <w:bottom w:val="none" w:sz="0" w:space="0" w:color="auto"/>
                    <w:right w:val="none" w:sz="0" w:space="0" w:color="auto"/>
                  </w:divBdr>
                  <w:divsChild>
                    <w:div w:id="1667173722">
                      <w:marLeft w:val="0"/>
                      <w:marRight w:val="0"/>
                      <w:marTop w:val="0"/>
                      <w:marBottom w:val="0"/>
                      <w:divBdr>
                        <w:top w:val="none" w:sz="0" w:space="0" w:color="auto"/>
                        <w:left w:val="none" w:sz="0" w:space="0" w:color="auto"/>
                        <w:bottom w:val="none" w:sz="0" w:space="0" w:color="auto"/>
                        <w:right w:val="none" w:sz="0" w:space="0" w:color="auto"/>
                      </w:divBdr>
                    </w:div>
                  </w:divsChild>
                </w:div>
                <w:div w:id="933519299">
                  <w:marLeft w:val="0"/>
                  <w:marRight w:val="0"/>
                  <w:marTop w:val="0"/>
                  <w:marBottom w:val="0"/>
                  <w:divBdr>
                    <w:top w:val="none" w:sz="0" w:space="0" w:color="auto"/>
                    <w:left w:val="none" w:sz="0" w:space="0" w:color="auto"/>
                    <w:bottom w:val="none" w:sz="0" w:space="0" w:color="auto"/>
                    <w:right w:val="none" w:sz="0" w:space="0" w:color="auto"/>
                  </w:divBdr>
                  <w:divsChild>
                    <w:div w:id="1047030109">
                      <w:marLeft w:val="0"/>
                      <w:marRight w:val="0"/>
                      <w:marTop w:val="0"/>
                      <w:marBottom w:val="0"/>
                      <w:divBdr>
                        <w:top w:val="none" w:sz="0" w:space="0" w:color="auto"/>
                        <w:left w:val="none" w:sz="0" w:space="0" w:color="auto"/>
                        <w:bottom w:val="none" w:sz="0" w:space="0" w:color="auto"/>
                        <w:right w:val="none" w:sz="0" w:space="0" w:color="auto"/>
                      </w:divBdr>
                    </w:div>
                  </w:divsChild>
                </w:div>
                <w:div w:id="937099658">
                  <w:marLeft w:val="0"/>
                  <w:marRight w:val="0"/>
                  <w:marTop w:val="0"/>
                  <w:marBottom w:val="0"/>
                  <w:divBdr>
                    <w:top w:val="none" w:sz="0" w:space="0" w:color="auto"/>
                    <w:left w:val="none" w:sz="0" w:space="0" w:color="auto"/>
                    <w:bottom w:val="none" w:sz="0" w:space="0" w:color="auto"/>
                    <w:right w:val="none" w:sz="0" w:space="0" w:color="auto"/>
                  </w:divBdr>
                  <w:divsChild>
                    <w:div w:id="1065566774">
                      <w:marLeft w:val="0"/>
                      <w:marRight w:val="0"/>
                      <w:marTop w:val="0"/>
                      <w:marBottom w:val="0"/>
                      <w:divBdr>
                        <w:top w:val="none" w:sz="0" w:space="0" w:color="auto"/>
                        <w:left w:val="none" w:sz="0" w:space="0" w:color="auto"/>
                        <w:bottom w:val="none" w:sz="0" w:space="0" w:color="auto"/>
                        <w:right w:val="none" w:sz="0" w:space="0" w:color="auto"/>
                      </w:divBdr>
                    </w:div>
                  </w:divsChild>
                </w:div>
                <w:div w:id="969625800">
                  <w:marLeft w:val="0"/>
                  <w:marRight w:val="0"/>
                  <w:marTop w:val="0"/>
                  <w:marBottom w:val="0"/>
                  <w:divBdr>
                    <w:top w:val="none" w:sz="0" w:space="0" w:color="auto"/>
                    <w:left w:val="none" w:sz="0" w:space="0" w:color="auto"/>
                    <w:bottom w:val="none" w:sz="0" w:space="0" w:color="auto"/>
                    <w:right w:val="none" w:sz="0" w:space="0" w:color="auto"/>
                  </w:divBdr>
                  <w:divsChild>
                    <w:div w:id="1971325864">
                      <w:marLeft w:val="0"/>
                      <w:marRight w:val="0"/>
                      <w:marTop w:val="0"/>
                      <w:marBottom w:val="0"/>
                      <w:divBdr>
                        <w:top w:val="none" w:sz="0" w:space="0" w:color="auto"/>
                        <w:left w:val="none" w:sz="0" w:space="0" w:color="auto"/>
                        <w:bottom w:val="none" w:sz="0" w:space="0" w:color="auto"/>
                        <w:right w:val="none" w:sz="0" w:space="0" w:color="auto"/>
                      </w:divBdr>
                    </w:div>
                  </w:divsChild>
                </w:div>
                <w:div w:id="1177842300">
                  <w:marLeft w:val="0"/>
                  <w:marRight w:val="0"/>
                  <w:marTop w:val="0"/>
                  <w:marBottom w:val="0"/>
                  <w:divBdr>
                    <w:top w:val="none" w:sz="0" w:space="0" w:color="auto"/>
                    <w:left w:val="none" w:sz="0" w:space="0" w:color="auto"/>
                    <w:bottom w:val="none" w:sz="0" w:space="0" w:color="auto"/>
                    <w:right w:val="none" w:sz="0" w:space="0" w:color="auto"/>
                  </w:divBdr>
                </w:div>
                <w:div w:id="1318731605">
                  <w:marLeft w:val="0"/>
                  <w:marRight w:val="0"/>
                  <w:marTop w:val="0"/>
                  <w:marBottom w:val="0"/>
                  <w:divBdr>
                    <w:top w:val="none" w:sz="0" w:space="0" w:color="auto"/>
                    <w:left w:val="none" w:sz="0" w:space="0" w:color="auto"/>
                    <w:bottom w:val="none" w:sz="0" w:space="0" w:color="auto"/>
                    <w:right w:val="none" w:sz="0" w:space="0" w:color="auto"/>
                  </w:divBdr>
                  <w:divsChild>
                    <w:div w:id="1670910359">
                      <w:marLeft w:val="0"/>
                      <w:marRight w:val="0"/>
                      <w:marTop w:val="0"/>
                      <w:marBottom w:val="0"/>
                      <w:divBdr>
                        <w:top w:val="none" w:sz="0" w:space="0" w:color="auto"/>
                        <w:left w:val="none" w:sz="0" w:space="0" w:color="auto"/>
                        <w:bottom w:val="none" w:sz="0" w:space="0" w:color="auto"/>
                        <w:right w:val="none" w:sz="0" w:space="0" w:color="auto"/>
                      </w:divBdr>
                    </w:div>
                  </w:divsChild>
                </w:div>
                <w:div w:id="1329864195">
                  <w:marLeft w:val="0"/>
                  <w:marRight w:val="0"/>
                  <w:marTop w:val="0"/>
                  <w:marBottom w:val="0"/>
                  <w:divBdr>
                    <w:top w:val="none" w:sz="0" w:space="0" w:color="auto"/>
                    <w:left w:val="none" w:sz="0" w:space="0" w:color="auto"/>
                    <w:bottom w:val="none" w:sz="0" w:space="0" w:color="auto"/>
                    <w:right w:val="none" w:sz="0" w:space="0" w:color="auto"/>
                  </w:divBdr>
                  <w:divsChild>
                    <w:div w:id="722600355">
                      <w:marLeft w:val="0"/>
                      <w:marRight w:val="0"/>
                      <w:marTop w:val="0"/>
                      <w:marBottom w:val="0"/>
                      <w:divBdr>
                        <w:top w:val="none" w:sz="0" w:space="0" w:color="auto"/>
                        <w:left w:val="none" w:sz="0" w:space="0" w:color="auto"/>
                        <w:bottom w:val="none" w:sz="0" w:space="0" w:color="auto"/>
                        <w:right w:val="none" w:sz="0" w:space="0" w:color="auto"/>
                      </w:divBdr>
                    </w:div>
                  </w:divsChild>
                </w:div>
                <w:div w:id="1618564867">
                  <w:marLeft w:val="0"/>
                  <w:marRight w:val="0"/>
                  <w:marTop w:val="0"/>
                  <w:marBottom w:val="0"/>
                  <w:divBdr>
                    <w:top w:val="none" w:sz="0" w:space="0" w:color="auto"/>
                    <w:left w:val="none" w:sz="0" w:space="0" w:color="auto"/>
                    <w:bottom w:val="none" w:sz="0" w:space="0" w:color="auto"/>
                    <w:right w:val="none" w:sz="0" w:space="0" w:color="auto"/>
                  </w:divBdr>
                  <w:divsChild>
                    <w:div w:id="480654876">
                      <w:marLeft w:val="0"/>
                      <w:marRight w:val="0"/>
                      <w:marTop w:val="0"/>
                      <w:marBottom w:val="0"/>
                      <w:divBdr>
                        <w:top w:val="none" w:sz="0" w:space="0" w:color="auto"/>
                        <w:left w:val="none" w:sz="0" w:space="0" w:color="auto"/>
                        <w:bottom w:val="none" w:sz="0" w:space="0" w:color="auto"/>
                        <w:right w:val="none" w:sz="0" w:space="0" w:color="auto"/>
                      </w:divBdr>
                    </w:div>
                  </w:divsChild>
                </w:div>
                <w:div w:id="1631013135">
                  <w:marLeft w:val="0"/>
                  <w:marRight w:val="0"/>
                  <w:marTop w:val="0"/>
                  <w:marBottom w:val="0"/>
                  <w:divBdr>
                    <w:top w:val="none" w:sz="0" w:space="0" w:color="auto"/>
                    <w:left w:val="none" w:sz="0" w:space="0" w:color="auto"/>
                    <w:bottom w:val="none" w:sz="0" w:space="0" w:color="auto"/>
                    <w:right w:val="none" w:sz="0" w:space="0" w:color="auto"/>
                  </w:divBdr>
                  <w:divsChild>
                    <w:div w:id="1062026080">
                      <w:marLeft w:val="0"/>
                      <w:marRight w:val="0"/>
                      <w:marTop w:val="0"/>
                      <w:marBottom w:val="0"/>
                      <w:divBdr>
                        <w:top w:val="none" w:sz="0" w:space="0" w:color="auto"/>
                        <w:left w:val="none" w:sz="0" w:space="0" w:color="auto"/>
                        <w:bottom w:val="none" w:sz="0" w:space="0" w:color="auto"/>
                        <w:right w:val="none" w:sz="0" w:space="0" w:color="auto"/>
                      </w:divBdr>
                    </w:div>
                    <w:div w:id="20297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611720">
      <w:marLeft w:val="480"/>
      <w:marRight w:val="0"/>
      <w:marTop w:val="0"/>
      <w:marBottom w:val="0"/>
      <w:divBdr>
        <w:top w:val="none" w:sz="0" w:space="0" w:color="auto"/>
        <w:left w:val="none" w:sz="0" w:space="0" w:color="auto"/>
        <w:bottom w:val="none" w:sz="0" w:space="0" w:color="auto"/>
        <w:right w:val="none" w:sz="0" w:space="0" w:color="auto"/>
      </w:divBdr>
    </w:div>
    <w:div w:id="638267963">
      <w:bodyDiv w:val="1"/>
      <w:marLeft w:val="0"/>
      <w:marRight w:val="0"/>
      <w:marTop w:val="0"/>
      <w:marBottom w:val="0"/>
      <w:divBdr>
        <w:top w:val="none" w:sz="0" w:space="0" w:color="auto"/>
        <w:left w:val="none" w:sz="0" w:space="0" w:color="auto"/>
        <w:bottom w:val="none" w:sz="0" w:space="0" w:color="auto"/>
        <w:right w:val="none" w:sz="0" w:space="0" w:color="auto"/>
      </w:divBdr>
    </w:div>
    <w:div w:id="638413780">
      <w:bodyDiv w:val="1"/>
      <w:marLeft w:val="0"/>
      <w:marRight w:val="0"/>
      <w:marTop w:val="0"/>
      <w:marBottom w:val="0"/>
      <w:divBdr>
        <w:top w:val="none" w:sz="0" w:space="0" w:color="auto"/>
        <w:left w:val="none" w:sz="0" w:space="0" w:color="auto"/>
        <w:bottom w:val="none" w:sz="0" w:space="0" w:color="auto"/>
        <w:right w:val="none" w:sz="0" w:space="0" w:color="auto"/>
      </w:divBdr>
    </w:div>
    <w:div w:id="638725255">
      <w:marLeft w:val="480"/>
      <w:marRight w:val="0"/>
      <w:marTop w:val="0"/>
      <w:marBottom w:val="0"/>
      <w:divBdr>
        <w:top w:val="none" w:sz="0" w:space="0" w:color="auto"/>
        <w:left w:val="none" w:sz="0" w:space="0" w:color="auto"/>
        <w:bottom w:val="none" w:sz="0" w:space="0" w:color="auto"/>
        <w:right w:val="none" w:sz="0" w:space="0" w:color="auto"/>
      </w:divBdr>
    </w:div>
    <w:div w:id="640429908">
      <w:marLeft w:val="480"/>
      <w:marRight w:val="0"/>
      <w:marTop w:val="0"/>
      <w:marBottom w:val="0"/>
      <w:divBdr>
        <w:top w:val="none" w:sz="0" w:space="0" w:color="auto"/>
        <w:left w:val="none" w:sz="0" w:space="0" w:color="auto"/>
        <w:bottom w:val="none" w:sz="0" w:space="0" w:color="auto"/>
        <w:right w:val="none" w:sz="0" w:space="0" w:color="auto"/>
      </w:divBdr>
    </w:div>
    <w:div w:id="640503126">
      <w:marLeft w:val="480"/>
      <w:marRight w:val="0"/>
      <w:marTop w:val="0"/>
      <w:marBottom w:val="0"/>
      <w:divBdr>
        <w:top w:val="none" w:sz="0" w:space="0" w:color="auto"/>
        <w:left w:val="none" w:sz="0" w:space="0" w:color="auto"/>
        <w:bottom w:val="none" w:sz="0" w:space="0" w:color="auto"/>
        <w:right w:val="none" w:sz="0" w:space="0" w:color="auto"/>
      </w:divBdr>
    </w:div>
    <w:div w:id="641345415">
      <w:bodyDiv w:val="1"/>
      <w:marLeft w:val="0"/>
      <w:marRight w:val="0"/>
      <w:marTop w:val="0"/>
      <w:marBottom w:val="0"/>
      <w:divBdr>
        <w:top w:val="none" w:sz="0" w:space="0" w:color="auto"/>
        <w:left w:val="none" w:sz="0" w:space="0" w:color="auto"/>
        <w:bottom w:val="none" w:sz="0" w:space="0" w:color="auto"/>
        <w:right w:val="none" w:sz="0" w:space="0" w:color="auto"/>
      </w:divBdr>
      <w:divsChild>
        <w:div w:id="362247805">
          <w:marLeft w:val="480"/>
          <w:marRight w:val="0"/>
          <w:marTop w:val="0"/>
          <w:marBottom w:val="0"/>
          <w:divBdr>
            <w:top w:val="none" w:sz="0" w:space="0" w:color="auto"/>
            <w:left w:val="none" w:sz="0" w:space="0" w:color="auto"/>
            <w:bottom w:val="none" w:sz="0" w:space="0" w:color="auto"/>
            <w:right w:val="none" w:sz="0" w:space="0" w:color="auto"/>
          </w:divBdr>
        </w:div>
        <w:div w:id="790516848">
          <w:marLeft w:val="480"/>
          <w:marRight w:val="0"/>
          <w:marTop w:val="0"/>
          <w:marBottom w:val="0"/>
          <w:divBdr>
            <w:top w:val="none" w:sz="0" w:space="0" w:color="auto"/>
            <w:left w:val="none" w:sz="0" w:space="0" w:color="auto"/>
            <w:bottom w:val="none" w:sz="0" w:space="0" w:color="auto"/>
            <w:right w:val="none" w:sz="0" w:space="0" w:color="auto"/>
          </w:divBdr>
        </w:div>
        <w:div w:id="915213025">
          <w:marLeft w:val="480"/>
          <w:marRight w:val="0"/>
          <w:marTop w:val="0"/>
          <w:marBottom w:val="0"/>
          <w:divBdr>
            <w:top w:val="none" w:sz="0" w:space="0" w:color="auto"/>
            <w:left w:val="none" w:sz="0" w:space="0" w:color="auto"/>
            <w:bottom w:val="none" w:sz="0" w:space="0" w:color="auto"/>
            <w:right w:val="none" w:sz="0" w:space="0" w:color="auto"/>
          </w:divBdr>
        </w:div>
        <w:div w:id="1264535281">
          <w:marLeft w:val="480"/>
          <w:marRight w:val="0"/>
          <w:marTop w:val="0"/>
          <w:marBottom w:val="0"/>
          <w:divBdr>
            <w:top w:val="none" w:sz="0" w:space="0" w:color="auto"/>
            <w:left w:val="none" w:sz="0" w:space="0" w:color="auto"/>
            <w:bottom w:val="none" w:sz="0" w:space="0" w:color="auto"/>
            <w:right w:val="none" w:sz="0" w:space="0" w:color="auto"/>
          </w:divBdr>
        </w:div>
      </w:divsChild>
    </w:div>
    <w:div w:id="641426426">
      <w:marLeft w:val="480"/>
      <w:marRight w:val="0"/>
      <w:marTop w:val="0"/>
      <w:marBottom w:val="0"/>
      <w:divBdr>
        <w:top w:val="none" w:sz="0" w:space="0" w:color="auto"/>
        <w:left w:val="none" w:sz="0" w:space="0" w:color="auto"/>
        <w:bottom w:val="none" w:sz="0" w:space="0" w:color="auto"/>
        <w:right w:val="none" w:sz="0" w:space="0" w:color="auto"/>
      </w:divBdr>
    </w:div>
    <w:div w:id="642393471">
      <w:marLeft w:val="480"/>
      <w:marRight w:val="0"/>
      <w:marTop w:val="0"/>
      <w:marBottom w:val="0"/>
      <w:divBdr>
        <w:top w:val="none" w:sz="0" w:space="0" w:color="auto"/>
        <w:left w:val="none" w:sz="0" w:space="0" w:color="auto"/>
        <w:bottom w:val="none" w:sz="0" w:space="0" w:color="auto"/>
        <w:right w:val="none" w:sz="0" w:space="0" w:color="auto"/>
      </w:divBdr>
    </w:div>
    <w:div w:id="643893718">
      <w:bodyDiv w:val="1"/>
      <w:marLeft w:val="0"/>
      <w:marRight w:val="0"/>
      <w:marTop w:val="0"/>
      <w:marBottom w:val="0"/>
      <w:divBdr>
        <w:top w:val="none" w:sz="0" w:space="0" w:color="auto"/>
        <w:left w:val="none" w:sz="0" w:space="0" w:color="auto"/>
        <w:bottom w:val="none" w:sz="0" w:space="0" w:color="auto"/>
        <w:right w:val="none" w:sz="0" w:space="0" w:color="auto"/>
      </w:divBdr>
      <w:divsChild>
        <w:div w:id="41374027">
          <w:marLeft w:val="480"/>
          <w:marRight w:val="0"/>
          <w:marTop w:val="0"/>
          <w:marBottom w:val="0"/>
          <w:divBdr>
            <w:top w:val="none" w:sz="0" w:space="0" w:color="auto"/>
            <w:left w:val="none" w:sz="0" w:space="0" w:color="auto"/>
            <w:bottom w:val="none" w:sz="0" w:space="0" w:color="auto"/>
            <w:right w:val="none" w:sz="0" w:space="0" w:color="auto"/>
          </w:divBdr>
        </w:div>
        <w:div w:id="160194762">
          <w:marLeft w:val="480"/>
          <w:marRight w:val="0"/>
          <w:marTop w:val="0"/>
          <w:marBottom w:val="0"/>
          <w:divBdr>
            <w:top w:val="none" w:sz="0" w:space="0" w:color="auto"/>
            <w:left w:val="none" w:sz="0" w:space="0" w:color="auto"/>
            <w:bottom w:val="none" w:sz="0" w:space="0" w:color="auto"/>
            <w:right w:val="none" w:sz="0" w:space="0" w:color="auto"/>
          </w:divBdr>
        </w:div>
        <w:div w:id="875234030">
          <w:marLeft w:val="480"/>
          <w:marRight w:val="0"/>
          <w:marTop w:val="0"/>
          <w:marBottom w:val="0"/>
          <w:divBdr>
            <w:top w:val="none" w:sz="0" w:space="0" w:color="auto"/>
            <w:left w:val="none" w:sz="0" w:space="0" w:color="auto"/>
            <w:bottom w:val="none" w:sz="0" w:space="0" w:color="auto"/>
            <w:right w:val="none" w:sz="0" w:space="0" w:color="auto"/>
          </w:divBdr>
        </w:div>
        <w:div w:id="1035155719">
          <w:marLeft w:val="480"/>
          <w:marRight w:val="0"/>
          <w:marTop w:val="0"/>
          <w:marBottom w:val="0"/>
          <w:divBdr>
            <w:top w:val="none" w:sz="0" w:space="0" w:color="auto"/>
            <w:left w:val="none" w:sz="0" w:space="0" w:color="auto"/>
            <w:bottom w:val="none" w:sz="0" w:space="0" w:color="auto"/>
            <w:right w:val="none" w:sz="0" w:space="0" w:color="auto"/>
          </w:divBdr>
        </w:div>
        <w:div w:id="1050768261">
          <w:marLeft w:val="480"/>
          <w:marRight w:val="0"/>
          <w:marTop w:val="0"/>
          <w:marBottom w:val="0"/>
          <w:divBdr>
            <w:top w:val="none" w:sz="0" w:space="0" w:color="auto"/>
            <w:left w:val="none" w:sz="0" w:space="0" w:color="auto"/>
            <w:bottom w:val="none" w:sz="0" w:space="0" w:color="auto"/>
            <w:right w:val="none" w:sz="0" w:space="0" w:color="auto"/>
          </w:divBdr>
        </w:div>
        <w:div w:id="1401053316">
          <w:marLeft w:val="480"/>
          <w:marRight w:val="0"/>
          <w:marTop w:val="0"/>
          <w:marBottom w:val="0"/>
          <w:divBdr>
            <w:top w:val="none" w:sz="0" w:space="0" w:color="auto"/>
            <w:left w:val="none" w:sz="0" w:space="0" w:color="auto"/>
            <w:bottom w:val="none" w:sz="0" w:space="0" w:color="auto"/>
            <w:right w:val="none" w:sz="0" w:space="0" w:color="auto"/>
          </w:divBdr>
        </w:div>
        <w:div w:id="1543445167">
          <w:marLeft w:val="480"/>
          <w:marRight w:val="0"/>
          <w:marTop w:val="0"/>
          <w:marBottom w:val="0"/>
          <w:divBdr>
            <w:top w:val="none" w:sz="0" w:space="0" w:color="auto"/>
            <w:left w:val="none" w:sz="0" w:space="0" w:color="auto"/>
            <w:bottom w:val="none" w:sz="0" w:space="0" w:color="auto"/>
            <w:right w:val="none" w:sz="0" w:space="0" w:color="auto"/>
          </w:divBdr>
        </w:div>
        <w:div w:id="1661041275">
          <w:marLeft w:val="480"/>
          <w:marRight w:val="0"/>
          <w:marTop w:val="0"/>
          <w:marBottom w:val="0"/>
          <w:divBdr>
            <w:top w:val="none" w:sz="0" w:space="0" w:color="auto"/>
            <w:left w:val="none" w:sz="0" w:space="0" w:color="auto"/>
            <w:bottom w:val="none" w:sz="0" w:space="0" w:color="auto"/>
            <w:right w:val="none" w:sz="0" w:space="0" w:color="auto"/>
          </w:divBdr>
        </w:div>
        <w:div w:id="1735273563">
          <w:marLeft w:val="480"/>
          <w:marRight w:val="0"/>
          <w:marTop w:val="0"/>
          <w:marBottom w:val="0"/>
          <w:divBdr>
            <w:top w:val="none" w:sz="0" w:space="0" w:color="auto"/>
            <w:left w:val="none" w:sz="0" w:space="0" w:color="auto"/>
            <w:bottom w:val="none" w:sz="0" w:space="0" w:color="auto"/>
            <w:right w:val="none" w:sz="0" w:space="0" w:color="auto"/>
          </w:divBdr>
        </w:div>
        <w:div w:id="2089031125">
          <w:marLeft w:val="480"/>
          <w:marRight w:val="0"/>
          <w:marTop w:val="0"/>
          <w:marBottom w:val="0"/>
          <w:divBdr>
            <w:top w:val="none" w:sz="0" w:space="0" w:color="auto"/>
            <w:left w:val="none" w:sz="0" w:space="0" w:color="auto"/>
            <w:bottom w:val="none" w:sz="0" w:space="0" w:color="auto"/>
            <w:right w:val="none" w:sz="0" w:space="0" w:color="auto"/>
          </w:divBdr>
        </w:div>
        <w:div w:id="2093702107">
          <w:marLeft w:val="480"/>
          <w:marRight w:val="0"/>
          <w:marTop w:val="0"/>
          <w:marBottom w:val="0"/>
          <w:divBdr>
            <w:top w:val="none" w:sz="0" w:space="0" w:color="auto"/>
            <w:left w:val="none" w:sz="0" w:space="0" w:color="auto"/>
            <w:bottom w:val="none" w:sz="0" w:space="0" w:color="auto"/>
            <w:right w:val="none" w:sz="0" w:space="0" w:color="auto"/>
          </w:divBdr>
        </w:div>
      </w:divsChild>
    </w:div>
    <w:div w:id="643923569">
      <w:marLeft w:val="480"/>
      <w:marRight w:val="0"/>
      <w:marTop w:val="0"/>
      <w:marBottom w:val="0"/>
      <w:divBdr>
        <w:top w:val="none" w:sz="0" w:space="0" w:color="auto"/>
        <w:left w:val="none" w:sz="0" w:space="0" w:color="auto"/>
        <w:bottom w:val="none" w:sz="0" w:space="0" w:color="auto"/>
        <w:right w:val="none" w:sz="0" w:space="0" w:color="auto"/>
      </w:divBdr>
    </w:div>
    <w:div w:id="645469993">
      <w:marLeft w:val="480"/>
      <w:marRight w:val="0"/>
      <w:marTop w:val="0"/>
      <w:marBottom w:val="0"/>
      <w:divBdr>
        <w:top w:val="none" w:sz="0" w:space="0" w:color="auto"/>
        <w:left w:val="none" w:sz="0" w:space="0" w:color="auto"/>
        <w:bottom w:val="none" w:sz="0" w:space="0" w:color="auto"/>
        <w:right w:val="none" w:sz="0" w:space="0" w:color="auto"/>
      </w:divBdr>
    </w:div>
    <w:div w:id="646907687">
      <w:bodyDiv w:val="1"/>
      <w:marLeft w:val="0"/>
      <w:marRight w:val="0"/>
      <w:marTop w:val="0"/>
      <w:marBottom w:val="0"/>
      <w:divBdr>
        <w:top w:val="none" w:sz="0" w:space="0" w:color="auto"/>
        <w:left w:val="none" w:sz="0" w:space="0" w:color="auto"/>
        <w:bottom w:val="none" w:sz="0" w:space="0" w:color="auto"/>
        <w:right w:val="none" w:sz="0" w:space="0" w:color="auto"/>
      </w:divBdr>
    </w:div>
    <w:div w:id="649021513">
      <w:bodyDiv w:val="1"/>
      <w:marLeft w:val="0"/>
      <w:marRight w:val="0"/>
      <w:marTop w:val="0"/>
      <w:marBottom w:val="0"/>
      <w:divBdr>
        <w:top w:val="none" w:sz="0" w:space="0" w:color="auto"/>
        <w:left w:val="none" w:sz="0" w:space="0" w:color="auto"/>
        <w:bottom w:val="none" w:sz="0" w:space="0" w:color="auto"/>
        <w:right w:val="none" w:sz="0" w:space="0" w:color="auto"/>
      </w:divBdr>
    </w:div>
    <w:div w:id="652025275">
      <w:marLeft w:val="480"/>
      <w:marRight w:val="0"/>
      <w:marTop w:val="0"/>
      <w:marBottom w:val="0"/>
      <w:divBdr>
        <w:top w:val="none" w:sz="0" w:space="0" w:color="auto"/>
        <w:left w:val="none" w:sz="0" w:space="0" w:color="auto"/>
        <w:bottom w:val="none" w:sz="0" w:space="0" w:color="auto"/>
        <w:right w:val="none" w:sz="0" w:space="0" w:color="auto"/>
      </w:divBdr>
    </w:div>
    <w:div w:id="653533316">
      <w:marLeft w:val="480"/>
      <w:marRight w:val="0"/>
      <w:marTop w:val="0"/>
      <w:marBottom w:val="0"/>
      <w:divBdr>
        <w:top w:val="none" w:sz="0" w:space="0" w:color="auto"/>
        <w:left w:val="none" w:sz="0" w:space="0" w:color="auto"/>
        <w:bottom w:val="none" w:sz="0" w:space="0" w:color="auto"/>
        <w:right w:val="none" w:sz="0" w:space="0" w:color="auto"/>
      </w:divBdr>
    </w:div>
    <w:div w:id="654261577">
      <w:marLeft w:val="480"/>
      <w:marRight w:val="0"/>
      <w:marTop w:val="0"/>
      <w:marBottom w:val="0"/>
      <w:divBdr>
        <w:top w:val="none" w:sz="0" w:space="0" w:color="auto"/>
        <w:left w:val="none" w:sz="0" w:space="0" w:color="auto"/>
        <w:bottom w:val="none" w:sz="0" w:space="0" w:color="auto"/>
        <w:right w:val="none" w:sz="0" w:space="0" w:color="auto"/>
      </w:divBdr>
    </w:div>
    <w:div w:id="658388197">
      <w:marLeft w:val="480"/>
      <w:marRight w:val="0"/>
      <w:marTop w:val="0"/>
      <w:marBottom w:val="0"/>
      <w:divBdr>
        <w:top w:val="none" w:sz="0" w:space="0" w:color="auto"/>
        <w:left w:val="none" w:sz="0" w:space="0" w:color="auto"/>
        <w:bottom w:val="none" w:sz="0" w:space="0" w:color="auto"/>
        <w:right w:val="none" w:sz="0" w:space="0" w:color="auto"/>
      </w:divBdr>
    </w:div>
    <w:div w:id="658462973">
      <w:marLeft w:val="480"/>
      <w:marRight w:val="0"/>
      <w:marTop w:val="0"/>
      <w:marBottom w:val="0"/>
      <w:divBdr>
        <w:top w:val="none" w:sz="0" w:space="0" w:color="auto"/>
        <w:left w:val="none" w:sz="0" w:space="0" w:color="auto"/>
        <w:bottom w:val="none" w:sz="0" w:space="0" w:color="auto"/>
        <w:right w:val="none" w:sz="0" w:space="0" w:color="auto"/>
      </w:divBdr>
    </w:div>
    <w:div w:id="660431399">
      <w:bodyDiv w:val="1"/>
      <w:marLeft w:val="0"/>
      <w:marRight w:val="0"/>
      <w:marTop w:val="0"/>
      <w:marBottom w:val="0"/>
      <w:divBdr>
        <w:top w:val="none" w:sz="0" w:space="0" w:color="auto"/>
        <w:left w:val="none" w:sz="0" w:space="0" w:color="auto"/>
        <w:bottom w:val="none" w:sz="0" w:space="0" w:color="auto"/>
        <w:right w:val="none" w:sz="0" w:space="0" w:color="auto"/>
      </w:divBdr>
      <w:divsChild>
        <w:div w:id="562108292">
          <w:marLeft w:val="480"/>
          <w:marRight w:val="0"/>
          <w:marTop w:val="0"/>
          <w:marBottom w:val="0"/>
          <w:divBdr>
            <w:top w:val="none" w:sz="0" w:space="0" w:color="auto"/>
            <w:left w:val="none" w:sz="0" w:space="0" w:color="auto"/>
            <w:bottom w:val="none" w:sz="0" w:space="0" w:color="auto"/>
            <w:right w:val="none" w:sz="0" w:space="0" w:color="auto"/>
          </w:divBdr>
        </w:div>
        <w:div w:id="1256937473">
          <w:marLeft w:val="480"/>
          <w:marRight w:val="0"/>
          <w:marTop w:val="0"/>
          <w:marBottom w:val="0"/>
          <w:divBdr>
            <w:top w:val="none" w:sz="0" w:space="0" w:color="auto"/>
            <w:left w:val="none" w:sz="0" w:space="0" w:color="auto"/>
            <w:bottom w:val="none" w:sz="0" w:space="0" w:color="auto"/>
            <w:right w:val="none" w:sz="0" w:space="0" w:color="auto"/>
          </w:divBdr>
        </w:div>
        <w:div w:id="1348556519">
          <w:marLeft w:val="480"/>
          <w:marRight w:val="0"/>
          <w:marTop w:val="0"/>
          <w:marBottom w:val="0"/>
          <w:divBdr>
            <w:top w:val="none" w:sz="0" w:space="0" w:color="auto"/>
            <w:left w:val="none" w:sz="0" w:space="0" w:color="auto"/>
            <w:bottom w:val="none" w:sz="0" w:space="0" w:color="auto"/>
            <w:right w:val="none" w:sz="0" w:space="0" w:color="auto"/>
          </w:divBdr>
        </w:div>
        <w:div w:id="1912887986">
          <w:marLeft w:val="480"/>
          <w:marRight w:val="0"/>
          <w:marTop w:val="0"/>
          <w:marBottom w:val="0"/>
          <w:divBdr>
            <w:top w:val="none" w:sz="0" w:space="0" w:color="auto"/>
            <w:left w:val="none" w:sz="0" w:space="0" w:color="auto"/>
            <w:bottom w:val="none" w:sz="0" w:space="0" w:color="auto"/>
            <w:right w:val="none" w:sz="0" w:space="0" w:color="auto"/>
          </w:divBdr>
        </w:div>
      </w:divsChild>
    </w:div>
    <w:div w:id="660620969">
      <w:marLeft w:val="480"/>
      <w:marRight w:val="0"/>
      <w:marTop w:val="0"/>
      <w:marBottom w:val="0"/>
      <w:divBdr>
        <w:top w:val="none" w:sz="0" w:space="0" w:color="auto"/>
        <w:left w:val="none" w:sz="0" w:space="0" w:color="auto"/>
        <w:bottom w:val="none" w:sz="0" w:space="0" w:color="auto"/>
        <w:right w:val="none" w:sz="0" w:space="0" w:color="auto"/>
      </w:divBdr>
    </w:div>
    <w:div w:id="663051797">
      <w:marLeft w:val="480"/>
      <w:marRight w:val="0"/>
      <w:marTop w:val="0"/>
      <w:marBottom w:val="0"/>
      <w:divBdr>
        <w:top w:val="none" w:sz="0" w:space="0" w:color="auto"/>
        <w:left w:val="none" w:sz="0" w:space="0" w:color="auto"/>
        <w:bottom w:val="none" w:sz="0" w:space="0" w:color="auto"/>
        <w:right w:val="none" w:sz="0" w:space="0" w:color="auto"/>
      </w:divBdr>
    </w:div>
    <w:div w:id="664625086">
      <w:marLeft w:val="480"/>
      <w:marRight w:val="0"/>
      <w:marTop w:val="0"/>
      <w:marBottom w:val="0"/>
      <w:divBdr>
        <w:top w:val="none" w:sz="0" w:space="0" w:color="auto"/>
        <w:left w:val="none" w:sz="0" w:space="0" w:color="auto"/>
        <w:bottom w:val="none" w:sz="0" w:space="0" w:color="auto"/>
        <w:right w:val="none" w:sz="0" w:space="0" w:color="auto"/>
      </w:divBdr>
    </w:div>
    <w:div w:id="664675674">
      <w:marLeft w:val="480"/>
      <w:marRight w:val="0"/>
      <w:marTop w:val="0"/>
      <w:marBottom w:val="0"/>
      <w:divBdr>
        <w:top w:val="none" w:sz="0" w:space="0" w:color="auto"/>
        <w:left w:val="none" w:sz="0" w:space="0" w:color="auto"/>
        <w:bottom w:val="none" w:sz="0" w:space="0" w:color="auto"/>
        <w:right w:val="none" w:sz="0" w:space="0" w:color="auto"/>
      </w:divBdr>
    </w:div>
    <w:div w:id="666053849">
      <w:marLeft w:val="480"/>
      <w:marRight w:val="0"/>
      <w:marTop w:val="0"/>
      <w:marBottom w:val="0"/>
      <w:divBdr>
        <w:top w:val="none" w:sz="0" w:space="0" w:color="auto"/>
        <w:left w:val="none" w:sz="0" w:space="0" w:color="auto"/>
        <w:bottom w:val="none" w:sz="0" w:space="0" w:color="auto"/>
        <w:right w:val="none" w:sz="0" w:space="0" w:color="auto"/>
      </w:divBdr>
    </w:div>
    <w:div w:id="666396359">
      <w:bodyDiv w:val="1"/>
      <w:marLeft w:val="0"/>
      <w:marRight w:val="0"/>
      <w:marTop w:val="0"/>
      <w:marBottom w:val="0"/>
      <w:divBdr>
        <w:top w:val="none" w:sz="0" w:space="0" w:color="auto"/>
        <w:left w:val="none" w:sz="0" w:space="0" w:color="auto"/>
        <w:bottom w:val="none" w:sz="0" w:space="0" w:color="auto"/>
        <w:right w:val="none" w:sz="0" w:space="0" w:color="auto"/>
      </w:divBdr>
    </w:div>
    <w:div w:id="666712839">
      <w:marLeft w:val="480"/>
      <w:marRight w:val="0"/>
      <w:marTop w:val="0"/>
      <w:marBottom w:val="0"/>
      <w:divBdr>
        <w:top w:val="none" w:sz="0" w:space="0" w:color="auto"/>
        <w:left w:val="none" w:sz="0" w:space="0" w:color="auto"/>
        <w:bottom w:val="none" w:sz="0" w:space="0" w:color="auto"/>
        <w:right w:val="none" w:sz="0" w:space="0" w:color="auto"/>
      </w:divBdr>
    </w:div>
    <w:div w:id="669020042">
      <w:bodyDiv w:val="1"/>
      <w:marLeft w:val="0"/>
      <w:marRight w:val="0"/>
      <w:marTop w:val="0"/>
      <w:marBottom w:val="0"/>
      <w:divBdr>
        <w:top w:val="none" w:sz="0" w:space="0" w:color="auto"/>
        <w:left w:val="none" w:sz="0" w:space="0" w:color="auto"/>
        <w:bottom w:val="none" w:sz="0" w:space="0" w:color="auto"/>
        <w:right w:val="none" w:sz="0" w:space="0" w:color="auto"/>
      </w:divBdr>
    </w:div>
    <w:div w:id="671420995">
      <w:marLeft w:val="480"/>
      <w:marRight w:val="0"/>
      <w:marTop w:val="0"/>
      <w:marBottom w:val="0"/>
      <w:divBdr>
        <w:top w:val="none" w:sz="0" w:space="0" w:color="auto"/>
        <w:left w:val="none" w:sz="0" w:space="0" w:color="auto"/>
        <w:bottom w:val="none" w:sz="0" w:space="0" w:color="auto"/>
        <w:right w:val="none" w:sz="0" w:space="0" w:color="auto"/>
      </w:divBdr>
    </w:div>
    <w:div w:id="673647924">
      <w:bodyDiv w:val="1"/>
      <w:marLeft w:val="0"/>
      <w:marRight w:val="0"/>
      <w:marTop w:val="0"/>
      <w:marBottom w:val="0"/>
      <w:divBdr>
        <w:top w:val="none" w:sz="0" w:space="0" w:color="auto"/>
        <w:left w:val="none" w:sz="0" w:space="0" w:color="auto"/>
        <w:bottom w:val="none" w:sz="0" w:space="0" w:color="auto"/>
        <w:right w:val="none" w:sz="0" w:space="0" w:color="auto"/>
      </w:divBdr>
    </w:div>
    <w:div w:id="677970981">
      <w:marLeft w:val="480"/>
      <w:marRight w:val="0"/>
      <w:marTop w:val="0"/>
      <w:marBottom w:val="0"/>
      <w:divBdr>
        <w:top w:val="none" w:sz="0" w:space="0" w:color="auto"/>
        <w:left w:val="none" w:sz="0" w:space="0" w:color="auto"/>
        <w:bottom w:val="none" w:sz="0" w:space="0" w:color="auto"/>
        <w:right w:val="none" w:sz="0" w:space="0" w:color="auto"/>
      </w:divBdr>
    </w:div>
    <w:div w:id="678892171">
      <w:marLeft w:val="480"/>
      <w:marRight w:val="0"/>
      <w:marTop w:val="0"/>
      <w:marBottom w:val="0"/>
      <w:divBdr>
        <w:top w:val="none" w:sz="0" w:space="0" w:color="auto"/>
        <w:left w:val="none" w:sz="0" w:space="0" w:color="auto"/>
        <w:bottom w:val="none" w:sz="0" w:space="0" w:color="auto"/>
        <w:right w:val="none" w:sz="0" w:space="0" w:color="auto"/>
      </w:divBdr>
    </w:div>
    <w:div w:id="678895336">
      <w:marLeft w:val="480"/>
      <w:marRight w:val="0"/>
      <w:marTop w:val="0"/>
      <w:marBottom w:val="0"/>
      <w:divBdr>
        <w:top w:val="none" w:sz="0" w:space="0" w:color="auto"/>
        <w:left w:val="none" w:sz="0" w:space="0" w:color="auto"/>
        <w:bottom w:val="none" w:sz="0" w:space="0" w:color="auto"/>
        <w:right w:val="none" w:sz="0" w:space="0" w:color="auto"/>
      </w:divBdr>
    </w:div>
    <w:div w:id="679624393">
      <w:marLeft w:val="480"/>
      <w:marRight w:val="0"/>
      <w:marTop w:val="0"/>
      <w:marBottom w:val="0"/>
      <w:divBdr>
        <w:top w:val="none" w:sz="0" w:space="0" w:color="auto"/>
        <w:left w:val="none" w:sz="0" w:space="0" w:color="auto"/>
        <w:bottom w:val="none" w:sz="0" w:space="0" w:color="auto"/>
        <w:right w:val="none" w:sz="0" w:space="0" w:color="auto"/>
      </w:divBdr>
    </w:div>
    <w:div w:id="687408830">
      <w:marLeft w:val="480"/>
      <w:marRight w:val="0"/>
      <w:marTop w:val="0"/>
      <w:marBottom w:val="0"/>
      <w:divBdr>
        <w:top w:val="none" w:sz="0" w:space="0" w:color="auto"/>
        <w:left w:val="none" w:sz="0" w:space="0" w:color="auto"/>
        <w:bottom w:val="none" w:sz="0" w:space="0" w:color="auto"/>
        <w:right w:val="none" w:sz="0" w:space="0" w:color="auto"/>
      </w:divBdr>
    </w:div>
    <w:div w:id="687634732">
      <w:bodyDiv w:val="1"/>
      <w:marLeft w:val="0"/>
      <w:marRight w:val="0"/>
      <w:marTop w:val="0"/>
      <w:marBottom w:val="0"/>
      <w:divBdr>
        <w:top w:val="none" w:sz="0" w:space="0" w:color="auto"/>
        <w:left w:val="none" w:sz="0" w:space="0" w:color="auto"/>
        <w:bottom w:val="none" w:sz="0" w:space="0" w:color="auto"/>
        <w:right w:val="none" w:sz="0" w:space="0" w:color="auto"/>
      </w:divBdr>
      <w:divsChild>
        <w:div w:id="43061976">
          <w:marLeft w:val="0"/>
          <w:marRight w:val="0"/>
          <w:marTop w:val="0"/>
          <w:marBottom w:val="0"/>
          <w:divBdr>
            <w:top w:val="none" w:sz="0" w:space="0" w:color="auto"/>
            <w:left w:val="none" w:sz="0" w:space="0" w:color="auto"/>
            <w:bottom w:val="none" w:sz="0" w:space="0" w:color="auto"/>
            <w:right w:val="none" w:sz="0" w:space="0" w:color="auto"/>
          </w:divBdr>
        </w:div>
        <w:div w:id="44649870">
          <w:marLeft w:val="0"/>
          <w:marRight w:val="0"/>
          <w:marTop w:val="0"/>
          <w:marBottom w:val="0"/>
          <w:divBdr>
            <w:top w:val="none" w:sz="0" w:space="0" w:color="auto"/>
            <w:left w:val="none" w:sz="0" w:space="0" w:color="auto"/>
            <w:bottom w:val="none" w:sz="0" w:space="0" w:color="auto"/>
            <w:right w:val="none" w:sz="0" w:space="0" w:color="auto"/>
          </w:divBdr>
        </w:div>
        <w:div w:id="104078981">
          <w:marLeft w:val="0"/>
          <w:marRight w:val="0"/>
          <w:marTop w:val="0"/>
          <w:marBottom w:val="0"/>
          <w:divBdr>
            <w:top w:val="none" w:sz="0" w:space="0" w:color="auto"/>
            <w:left w:val="none" w:sz="0" w:space="0" w:color="auto"/>
            <w:bottom w:val="none" w:sz="0" w:space="0" w:color="auto"/>
            <w:right w:val="none" w:sz="0" w:space="0" w:color="auto"/>
          </w:divBdr>
        </w:div>
        <w:div w:id="199166447">
          <w:marLeft w:val="-75"/>
          <w:marRight w:val="0"/>
          <w:marTop w:val="30"/>
          <w:marBottom w:val="30"/>
          <w:divBdr>
            <w:top w:val="none" w:sz="0" w:space="0" w:color="auto"/>
            <w:left w:val="none" w:sz="0" w:space="0" w:color="auto"/>
            <w:bottom w:val="none" w:sz="0" w:space="0" w:color="auto"/>
            <w:right w:val="none" w:sz="0" w:space="0" w:color="auto"/>
          </w:divBdr>
          <w:divsChild>
            <w:div w:id="85157306">
              <w:marLeft w:val="0"/>
              <w:marRight w:val="0"/>
              <w:marTop w:val="0"/>
              <w:marBottom w:val="0"/>
              <w:divBdr>
                <w:top w:val="none" w:sz="0" w:space="0" w:color="auto"/>
                <w:left w:val="none" w:sz="0" w:space="0" w:color="auto"/>
                <w:bottom w:val="none" w:sz="0" w:space="0" w:color="auto"/>
                <w:right w:val="none" w:sz="0" w:space="0" w:color="auto"/>
              </w:divBdr>
              <w:divsChild>
                <w:div w:id="2045593668">
                  <w:marLeft w:val="0"/>
                  <w:marRight w:val="0"/>
                  <w:marTop w:val="0"/>
                  <w:marBottom w:val="0"/>
                  <w:divBdr>
                    <w:top w:val="none" w:sz="0" w:space="0" w:color="auto"/>
                    <w:left w:val="none" w:sz="0" w:space="0" w:color="auto"/>
                    <w:bottom w:val="none" w:sz="0" w:space="0" w:color="auto"/>
                    <w:right w:val="none" w:sz="0" w:space="0" w:color="auto"/>
                  </w:divBdr>
                </w:div>
              </w:divsChild>
            </w:div>
            <w:div w:id="287901187">
              <w:marLeft w:val="0"/>
              <w:marRight w:val="0"/>
              <w:marTop w:val="0"/>
              <w:marBottom w:val="0"/>
              <w:divBdr>
                <w:top w:val="none" w:sz="0" w:space="0" w:color="auto"/>
                <w:left w:val="none" w:sz="0" w:space="0" w:color="auto"/>
                <w:bottom w:val="none" w:sz="0" w:space="0" w:color="auto"/>
                <w:right w:val="none" w:sz="0" w:space="0" w:color="auto"/>
              </w:divBdr>
              <w:divsChild>
                <w:div w:id="673730085">
                  <w:marLeft w:val="0"/>
                  <w:marRight w:val="0"/>
                  <w:marTop w:val="0"/>
                  <w:marBottom w:val="0"/>
                  <w:divBdr>
                    <w:top w:val="none" w:sz="0" w:space="0" w:color="auto"/>
                    <w:left w:val="none" w:sz="0" w:space="0" w:color="auto"/>
                    <w:bottom w:val="none" w:sz="0" w:space="0" w:color="auto"/>
                    <w:right w:val="none" w:sz="0" w:space="0" w:color="auto"/>
                  </w:divBdr>
                </w:div>
              </w:divsChild>
            </w:div>
            <w:div w:id="387920722">
              <w:marLeft w:val="0"/>
              <w:marRight w:val="0"/>
              <w:marTop w:val="0"/>
              <w:marBottom w:val="0"/>
              <w:divBdr>
                <w:top w:val="none" w:sz="0" w:space="0" w:color="auto"/>
                <w:left w:val="none" w:sz="0" w:space="0" w:color="auto"/>
                <w:bottom w:val="none" w:sz="0" w:space="0" w:color="auto"/>
                <w:right w:val="none" w:sz="0" w:space="0" w:color="auto"/>
              </w:divBdr>
              <w:divsChild>
                <w:div w:id="2092502291">
                  <w:marLeft w:val="0"/>
                  <w:marRight w:val="0"/>
                  <w:marTop w:val="0"/>
                  <w:marBottom w:val="0"/>
                  <w:divBdr>
                    <w:top w:val="none" w:sz="0" w:space="0" w:color="auto"/>
                    <w:left w:val="none" w:sz="0" w:space="0" w:color="auto"/>
                    <w:bottom w:val="none" w:sz="0" w:space="0" w:color="auto"/>
                    <w:right w:val="none" w:sz="0" w:space="0" w:color="auto"/>
                  </w:divBdr>
                </w:div>
              </w:divsChild>
            </w:div>
            <w:div w:id="410540266">
              <w:marLeft w:val="0"/>
              <w:marRight w:val="0"/>
              <w:marTop w:val="0"/>
              <w:marBottom w:val="0"/>
              <w:divBdr>
                <w:top w:val="none" w:sz="0" w:space="0" w:color="auto"/>
                <w:left w:val="none" w:sz="0" w:space="0" w:color="auto"/>
                <w:bottom w:val="none" w:sz="0" w:space="0" w:color="auto"/>
                <w:right w:val="none" w:sz="0" w:space="0" w:color="auto"/>
              </w:divBdr>
              <w:divsChild>
                <w:div w:id="219368404">
                  <w:marLeft w:val="0"/>
                  <w:marRight w:val="0"/>
                  <w:marTop w:val="0"/>
                  <w:marBottom w:val="0"/>
                  <w:divBdr>
                    <w:top w:val="none" w:sz="0" w:space="0" w:color="auto"/>
                    <w:left w:val="none" w:sz="0" w:space="0" w:color="auto"/>
                    <w:bottom w:val="none" w:sz="0" w:space="0" w:color="auto"/>
                    <w:right w:val="none" w:sz="0" w:space="0" w:color="auto"/>
                  </w:divBdr>
                </w:div>
              </w:divsChild>
            </w:div>
            <w:div w:id="582028573">
              <w:marLeft w:val="0"/>
              <w:marRight w:val="0"/>
              <w:marTop w:val="0"/>
              <w:marBottom w:val="0"/>
              <w:divBdr>
                <w:top w:val="none" w:sz="0" w:space="0" w:color="auto"/>
                <w:left w:val="none" w:sz="0" w:space="0" w:color="auto"/>
                <w:bottom w:val="none" w:sz="0" w:space="0" w:color="auto"/>
                <w:right w:val="none" w:sz="0" w:space="0" w:color="auto"/>
              </w:divBdr>
              <w:divsChild>
                <w:div w:id="619267918">
                  <w:marLeft w:val="0"/>
                  <w:marRight w:val="0"/>
                  <w:marTop w:val="0"/>
                  <w:marBottom w:val="0"/>
                  <w:divBdr>
                    <w:top w:val="none" w:sz="0" w:space="0" w:color="auto"/>
                    <w:left w:val="none" w:sz="0" w:space="0" w:color="auto"/>
                    <w:bottom w:val="none" w:sz="0" w:space="0" w:color="auto"/>
                    <w:right w:val="none" w:sz="0" w:space="0" w:color="auto"/>
                  </w:divBdr>
                </w:div>
              </w:divsChild>
            </w:div>
            <w:div w:id="666251114">
              <w:marLeft w:val="0"/>
              <w:marRight w:val="0"/>
              <w:marTop w:val="0"/>
              <w:marBottom w:val="0"/>
              <w:divBdr>
                <w:top w:val="none" w:sz="0" w:space="0" w:color="auto"/>
                <w:left w:val="none" w:sz="0" w:space="0" w:color="auto"/>
                <w:bottom w:val="none" w:sz="0" w:space="0" w:color="auto"/>
                <w:right w:val="none" w:sz="0" w:space="0" w:color="auto"/>
              </w:divBdr>
            </w:div>
            <w:div w:id="883785351">
              <w:marLeft w:val="0"/>
              <w:marRight w:val="0"/>
              <w:marTop w:val="0"/>
              <w:marBottom w:val="0"/>
              <w:divBdr>
                <w:top w:val="none" w:sz="0" w:space="0" w:color="auto"/>
                <w:left w:val="none" w:sz="0" w:space="0" w:color="auto"/>
                <w:bottom w:val="none" w:sz="0" w:space="0" w:color="auto"/>
                <w:right w:val="none" w:sz="0" w:space="0" w:color="auto"/>
              </w:divBdr>
              <w:divsChild>
                <w:div w:id="1024404027">
                  <w:marLeft w:val="0"/>
                  <w:marRight w:val="0"/>
                  <w:marTop w:val="0"/>
                  <w:marBottom w:val="0"/>
                  <w:divBdr>
                    <w:top w:val="none" w:sz="0" w:space="0" w:color="auto"/>
                    <w:left w:val="none" w:sz="0" w:space="0" w:color="auto"/>
                    <w:bottom w:val="none" w:sz="0" w:space="0" w:color="auto"/>
                    <w:right w:val="none" w:sz="0" w:space="0" w:color="auto"/>
                  </w:divBdr>
                </w:div>
              </w:divsChild>
            </w:div>
            <w:div w:id="1065686699">
              <w:marLeft w:val="0"/>
              <w:marRight w:val="0"/>
              <w:marTop w:val="0"/>
              <w:marBottom w:val="0"/>
              <w:divBdr>
                <w:top w:val="none" w:sz="0" w:space="0" w:color="auto"/>
                <w:left w:val="none" w:sz="0" w:space="0" w:color="auto"/>
                <w:bottom w:val="none" w:sz="0" w:space="0" w:color="auto"/>
                <w:right w:val="none" w:sz="0" w:space="0" w:color="auto"/>
              </w:divBdr>
              <w:divsChild>
                <w:div w:id="683285384">
                  <w:marLeft w:val="0"/>
                  <w:marRight w:val="0"/>
                  <w:marTop w:val="0"/>
                  <w:marBottom w:val="0"/>
                  <w:divBdr>
                    <w:top w:val="none" w:sz="0" w:space="0" w:color="auto"/>
                    <w:left w:val="none" w:sz="0" w:space="0" w:color="auto"/>
                    <w:bottom w:val="none" w:sz="0" w:space="0" w:color="auto"/>
                    <w:right w:val="none" w:sz="0" w:space="0" w:color="auto"/>
                  </w:divBdr>
                </w:div>
              </w:divsChild>
            </w:div>
            <w:div w:id="1091970340">
              <w:marLeft w:val="0"/>
              <w:marRight w:val="0"/>
              <w:marTop w:val="0"/>
              <w:marBottom w:val="0"/>
              <w:divBdr>
                <w:top w:val="none" w:sz="0" w:space="0" w:color="auto"/>
                <w:left w:val="none" w:sz="0" w:space="0" w:color="auto"/>
                <w:bottom w:val="none" w:sz="0" w:space="0" w:color="auto"/>
                <w:right w:val="none" w:sz="0" w:space="0" w:color="auto"/>
              </w:divBdr>
              <w:divsChild>
                <w:div w:id="77097142">
                  <w:marLeft w:val="0"/>
                  <w:marRight w:val="0"/>
                  <w:marTop w:val="0"/>
                  <w:marBottom w:val="0"/>
                  <w:divBdr>
                    <w:top w:val="none" w:sz="0" w:space="0" w:color="auto"/>
                    <w:left w:val="none" w:sz="0" w:space="0" w:color="auto"/>
                    <w:bottom w:val="none" w:sz="0" w:space="0" w:color="auto"/>
                    <w:right w:val="none" w:sz="0" w:space="0" w:color="auto"/>
                  </w:divBdr>
                </w:div>
              </w:divsChild>
            </w:div>
            <w:div w:id="1652755036">
              <w:marLeft w:val="0"/>
              <w:marRight w:val="0"/>
              <w:marTop w:val="0"/>
              <w:marBottom w:val="0"/>
              <w:divBdr>
                <w:top w:val="none" w:sz="0" w:space="0" w:color="auto"/>
                <w:left w:val="none" w:sz="0" w:space="0" w:color="auto"/>
                <w:bottom w:val="none" w:sz="0" w:space="0" w:color="auto"/>
                <w:right w:val="none" w:sz="0" w:space="0" w:color="auto"/>
              </w:divBdr>
              <w:divsChild>
                <w:div w:id="76152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6160">
          <w:marLeft w:val="-75"/>
          <w:marRight w:val="0"/>
          <w:marTop w:val="30"/>
          <w:marBottom w:val="30"/>
          <w:divBdr>
            <w:top w:val="none" w:sz="0" w:space="0" w:color="auto"/>
            <w:left w:val="none" w:sz="0" w:space="0" w:color="auto"/>
            <w:bottom w:val="none" w:sz="0" w:space="0" w:color="auto"/>
            <w:right w:val="none" w:sz="0" w:space="0" w:color="auto"/>
          </w:divBdr>
          <w:divsChild>
            <w:div w:id="29381042">
              <w:marLeft w:val="0"/>
              <w:marRight w:val="0"/>
              <w:marTop w:val="0"/>
              <w:marBottom w:val="0"/>
              <w:divBdr>
                <w:top w:val="none" w:sz="0" w:space="0" w:color="auto"/>
                <w:left w:val="none" w:sz="0" w:space="0" w:color="auto"/>
                <w:bottom w:val="none" w:sz="0" w:space="0" w:color="auto"/>
                <w:right w:val="none" w:sz="0" w:space="0" w:color="auto"/>
              </w:divBdr>
              <w:divsChild>
                <w:div w:id="960767439">
                  <w:marLeft w:val="0"/>
                  <w:marRight w:val="0"/>
                  <w:marTop w:val="0"/>
                  <w:marBottom w:val="0"/>
                  <w:divBdr>
                    <w:top w:val="none" w:sz="0" w:space="0" w:color="auto"/>
                    <w:left w:val="none" w:sz="0" w:space="0" w:color="auto"/>
                    <w:bottom w:val="none" w:sz="0" w:space="0" w:color="auto"/>
                    <w:right w:val="none" w:sz="0" w:space="0" w:color="auto"/>
                  </w:divBdr>
                </w:div>
              </w:divsChild>
            </w:div>
            <w:div w:id="437913739">
              <w:marLeft w:val="0"/>
              <w:marRight w:val="0"/>
              <w:marTop w:val="0"/>
              <w:marBottom w:val="0"/>
              <w:divBdr>
                <w:top w:val="none" w:sz="0" w:space="0" w:color="auto"/>
                <w:left w:val="none" w:sz="0" w:space="0" w:color="auto"/>
                <w:bottom w:val="none" w:sz="0" w:space="0" w:color="auto"/>
                <w:right w:val="none" w:sz="0" w:space="0" w:color="auto"/>
              </w:divBdr>
              <w:divsChild>
                <w:div w:id="943728006">
                  <w:marLeft w:val="0"/>
                  <w:marRight w:val="0"/>
                  <w:marTop w:val="0"/>
                  <w:marBottom w:val="0"/>
                  <w:divBdr>
                    <w:top w:val="none" w:sz="0" w:space="0" w:color="auto"/>
                    <w:left w:val="none" w:sz="0" w:space="0" w:color="auto"/>
                    <w:bottom w:val="none" w:sz="0" w:space="0" w:color="auto"/>
                    <w:right w:val="none" w:sz="0" w:space="0" w:color="auto"/>
                  </w:divBdr>
                </w:div>
              </w:divsChild>
            </w:div>
            <w:div w:id="698776450">
              <w:marLeft w:val="0"/>
              <w:marRight w:val="0"/>
              <w:marTop w:val="0"/>
              <w:marBottom w:val="0"/>
              <w:divBdr>
                <w:top w:val="none" w:sz="0" w:space="0" w:color="auto"/>
                <w:left w:val="none" w:sz="0" w:space="0" w:color="auto"/>
                <w:bottom w:val="none" w:sz="0" w:space="0" w:color="auto"/>
                <w:right w:val="none" w:sz="0" w:space="0" w:color="auto"/>
              </w:divBdr>
              <w:divsChild>
                <w:div w:id="2110929161">
                  <w:marLeft w:val="0"/>
                  <w:marRight w:val="0"/>
                  <w:marTop w:val="0"/>
                  <w:marBottom w:val="0"/>
                  <w:divBdr>
                    <w:top w:val="none" w:sz="0" w:space="0" w:color="auto"/>
                    <w:left w:val="none" w:sz="0" w:space="0" w:color="auto"/>
                    <w:bottom w:val="none" w:sz="0" w:space="0" w:color="auto"/>
                    <w:right w:val="none" w:sz="0" w:space="0" w:color="auto"/>
                  </w:divBdr>
                </w:div>
              </w:divsChild>
            </w:div>
            <w:div w:id="791823181">
              <w:marLeft w:val="0"/>
              <w:marRight w:val="0"/>
              <w:marTop w:val="0"/>
              <w:marBottom w:val="0"/>
              <w:divBdr>
                <w:top w:val="none" w:sz="0" w:space="0" w:color="auto"/>
                <w:left w:val="none" w:sz="0" w:space="0" w:color="auto"/>
                <w:bottom w:val="none" w:sz="0" w:space="0" w:color="auto"/>
                <w:right w:val="none" w:sz="0" w:space="0" w:color="auto"/>
              </w:divBdr>
              <w:divsChild>
                <w:div w:id="1263687314">
                  <w:marLeft w:val="0"/>
                  <w:marRight w:val="0"/>
                  <w:marTop w:val="0"/>
                  <w:marBottom w:val="0"/>
                  <w:divBdr>
                    <w:top w:val="none" w:sz="0" w:space="0" w:color="auto"/>
                    <w:left w:val="none" w:sz="0" w:space="0" w:color="auto"/>
                    <w:bottom w:val="none" w:sz="0" w:space="0" w:color="auto"/>
                    <w:right w:val="none" w:sz="0" w:space="0" w:color="auto"/>
                  </w:divBdr>
                </w:div>
              </w:divsChild>
            </w:div>
            <w:div w:id="840511281">
              <w:marLeft w:val="0"/>
              <w:marRight w:val="0"/>
              <w:marTop w:val="0"/>
              <w:marBottom w:val="0"/>
              <w:divBdr>
                <w:top w:val="none" w:sz="0" w:space="0" w:color="auto"/>
                <w:left w:val="none" w:sz="0" w:space="0" w:color="auto"/>
                <w:bottom w:val="none" w:sz="0" w:space="0" w:color="auto"/>
                <w:right w:val="none" w:sz="0" w:space="0" w:color="auto"/>
              </w:divBdr>
              <w:divsChild>
                <w:div w:id="1176380456">
                  <w:marLeft w:val="0"/>
                  <w:marRight w:val="0"/>
                  <w:marTop w:val="0"/>
                  <w:marBottom w:val="0"/>
                  <w:divBdr>
                    <w:top w:val="none" w:sz="0" w:space="0" w:color="auto"/>
                    <w:left w:val="none" w:sz="0" w:space="0" w:color="auto"/>
                    <w:bottom w:val="none" w:sz="0" w:space="0" w:color="auto"/>
                    <w:right w:val="none" w:sz="0" w:space="0" w:color="auto"/>
                  </w:divBdr>
                </w:div>
              </w:divsChild>
            </w:div>
            <w:div w:id="1196498807">
              <w:marLeft w:val="0"/>
              <w:marRight w:val="0"/>
              <w:marTop w:val="0"/>
              <w:marBottom w:val="0"/>
              <w:divBdr>
                <w:top w:val="none" w:sz="0" w:space="0" w:color="auto"/>
                <w:left w:val="none" w:sz="0" w:space="0" w:color="auto"/>
                <w:bottom w:val="none" w:sz="0" w:space="0" w:color="auto"/>
                <w:right w:val="none" w:sz="0" w:space="0" w:color="auto"/>
              </w:divBdr>
              <w:divsChild>
                <w:div w:id="2036495730">
                  <w:marLeft w:val="0"/>
                  <w:marRight w:val="0"/>
                  <w:marTop w:val="0"/>
                  <w:marBottom w:val="0"/>
                  <w:divBdr>
                    <w:top w:val="none" w:sz="0" w:space="0" w:color="auto"/>
                    <w:left w:val="none" w:sz="0" w:space="0" w:color="auto"/>
                    <w:bottom w:val="none" w:sz="0" w:space="0" w:color="auto"/>
                    <w:right w:val="none" w:sz="0" w:space="0" w:color="auto"/>
                  </w:divBdr>
                </w:div>
              </w:divsChild>
            </w:div>
            <w:div w:id="1225917704">
              <w:marLeft w:val="0"/>
              <w:marRight w:val="0"/>
              <w:marTop w:val="0"/>
              <w:marBottom w:val="0"/>
              <w:divBdr>
                <w:top w:val="none" w:sz="0" w:space="0" w:color="auto"/>
                <w:left w:val="none" w:sz="0" w:space="0" w:color="auto"/>
                <w:bottom w:val="none" w:sz="0" w:space="0" w:color="auto"/>
                <w:right w:val="none" w:sz="0" w:space="0" w:color="auto"/>
              </w:divBdr>
              <w:divsChild>
                <w:div w:id="1394739005">
                  <w:marLeft w:val="0"/>
                  <w:marRight w:val="0"/>
                  <w:marTop w:val="0"/>
                  <w:marBottom w:val="0"/>
                  <w:divBdr>
                    <w:top w:val="none" w:sz="0" w:space="0" w:color="auto"/>
                    <w:left w:val="none" w:sz="0" w:space="0" w:color="auto"/>
                    <w:bottom w:val="none" w:sz="0" w:space="0" w:color="auto"/>
                    <w:right w:val="none" w:sz="0" w:space="0" w:color="auto"/>
                  </w:divBdr>
                </w:div>
              </w:divsChild>
            </w:div>
            <w:div w:id="1500851079">
              <w:marLeft w:val="0"/>
              <w:marRight w:val="0"/>
              <w:marTop w:val="0"/>
              <w:marBottom w:val="0"/>
              <w:divBdr>
                <w:top w:val="none" w:sz="0" w:space="0" w:color="auto"/>
                <w:left w:val="none" w:sz="0" w:space="0" w:color="auto"/>
                <w:bottom w:val="none" w:sz="0" w:space="0" w:color="auto"/>
                <w:right w:val="none" w:sz="0" w:space="0" w:color="auto"/>
              </w:divBdr>
              <w:divsChild>
                <w:div w:id="2077361932">
                  <w:marLeft w:val="0"/>
                  <w:marRight w:val="0"/>
                  <w:marTop w:val="0"/>
                  <w:marBottom w:val="0"/>
                  <w:divBdr>
                    <w:top w:val="none" w:sz="0" w:space="0" w:color="auto"/>
                    <w:left w:val="none" w:sz="0" w:space="0" w:color="auto"/>
                    <w:bottom w:val="none" w:sz="0" w:space="0" w:color="auto"/>
                    <w:right w:val="none" w:sz="0" w:space="0" w:color="auto"/>
                  </w:divBdr>
                </w:div>
              </w:divsChild>
            </w:div>
            <w:div w:id="1553611917">
              <w:marLeft w:val="0"/>
              <w:marRight w:val="0"/>
              <w:marTop w:val="0"/>
              <w:marBottom w:val="0"/>
              <w:divBdr>
                <w:top w:val="none" w:sz="0" w:space="0" w:color="auto"/>
                <w:left w:val="none" w:sz="0" w:space="0" w:color="auto"/>
                <w:bottom w:val="none" w:sz="0" w:space="0" w:color="auto"/>
                <w:right w:val="none" w:sz="0" w:space="0" w:color="auto"/>
              </w:divBdr>
            </w:div>
            <w:div w:id="1992905786">
              <w:marLeft w:val="0"/>
              <w:marRight w:val="0"/>
              <w:marTop w:val="0"/>
              <w:marBottom w:val="0"/>
              <w:divBdr>
                <w:top w:val="none" w:sz="0" w:space="0" w:color="auto"/>
                <w:left w:val="none" w:sz="0" w:space="0" w:color="auto"/>
                <w:bottom w:val="none" w:sz="0" w:space="0" w:color="auto"/>
                <w:right w:val="none" w:sz="0" w:space="0" w:color="auto"/>
              </w:divBdr>
              <w:divsChild>
                <w:div w:id="3405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9092">
          <w:marLeft w:val="0"/>
          <w:marRight w:val="0"/>
          <w:marTop w:val="0"/>
          <w:marBottom w:val="0"/>
          <w:divBdr>
            <w:top w:val="none" w:sz="0" w:space="0" w:color="auto"/>
            <w:left w:val="none" w:sz="0" w:space="0" w:color="auto"/>
            <w:bottom w:val="none" w:sz="0" w:space="0" w:color="auto"/>
            <w:right w:val="none" w:sz="0" w:space="0" w:color="auto"/>
          </w:divBdr>
        </w:div>
        <w:div w:id="758526093">
          <w:marLeft w:val="0"/>
          <w:marRight w:val="0"/>
          <w:marTop w:val="0"/>
          <w:marBottom w:val="0"/>
          <w:divBdr>
            <w:top w:val="none" w:sz="0" w:space="0" w:color="auto"/>
            <w:left w:val="none" w:sz="0" w:space="0" w:color="auto"/>
            <w:bottom w:val="none" w:sz="0" w:space="0" w:color="auto"/>
            <w:right w:val="none" w:sz="0" w:space="0" w:color="auto"/>
          </w:divBdr>
        </w:div>
        <w:div w:id="782727820">
          <w:marLeft w:val="0"/>
          <w:marRight w:val="0"/>
          <w:marTop w:val="0"/>
          <w:marBottom w:val="0"/>
          <w:divBdr>
            <w:top w:val="none" w:sz="0" w:space="0" w:color="auto"/>
            <w:left w:val="none" w:sz="0" w:space="0" w:color="auto"/>
            <w:bottom w:val="none" w:sz="0" w:space="0" w:color="auto"/>
            <w:right w:val="none" w:sz="0" w:space="0" w:color="auto"/>
          </w:divBdr>
        </w:div>
        <w:div w:id="831718359">
          <w:marLeft w:val="0"/>
          <w:marRight w:val="0"/>
          <w:marTop w:val="0"/>
          <w:marBottom w:val="0"/>
          <w:divBdr>
            <w:top w:val="none" w:sz="0" w:space="0" w:color="auto"/>
            <w:left w:val="none" w:sz="0" w:space="0" w:color="auto"/>
            <w:bottom w:val="none" w:sz="0" w:space="0" w:color="auto"/>
            <w:right w:val="none" w:sz="0" w:space="0" w:color="auto"/>
          </w:divBdr>
        </w:div>
        <w:div w:id="894467471">
          <w:marLeft w:val="0"/>
          <w:marRight w:val="0"/>
          <w:marTop w:val="0"/>
          <w:marBottom w:val="0"/>
          <w:divBdr>
            <w:top w:val="none" w:sz="0" w:space="0" w:color="auto"/>
            <w:left w:val="none" w:sz="0" w:space="0" w:color="auto"/>
            <w:bottom w:val="none" w:sz="0" w:space="0" w:color="auto"/>
            <w:right w:val="none" w:sz="0" w:space="0" w:color="auto"/>
          </w:divBdr>
        </w:div>
        <w:div w:id="1067916490">
          <w:marLeft w:val="0"/>
          <w:marRight w:val="0"/>
          <w:marTop w:val="0"/>
          <w:marBottom w:val="0"/>
          <w:divBdr>
            <w:top w:val="none" w:sz="0" w:space="0" w:color="auto"/>
            <w:left w:val="none" w:sz="0" w:space="0" w:color="auto"/>
            <w:bottom w:val="none" w:sz="0" w:space="0" w:color="auto"/>
            <w:right w:val="none" w:sz="0" w:space="0" w:color="auto"/>
          </w:divBdr>
        </w:div>
        <w:div w:id="1203443643">
          <w:marLeft w:val="0"/>
          <w:marRight w:val="0"/>
          <w:marTop w:val="0"/>
          <w:marBottom w:val="0"/>
          <w:divBdr>
            <w:top w:val="none" w:sz="0" w:space="0" w:color="auto"/>
            <w:left w:val="none" w:sz="0" w:space="0" w:color="auto"/>
            <w:bottom w:val="none" w:sz="0" w:space="0" w:color="auto"/>
            <w:right w:val="none" w:sz="0" w:space="0" w:color="auto"/>
          </w:divBdr>
        </w:div>
        <w:div w:id="1215703824">
          <w:marLeft w:val="-75"/>
          <w:marRight w:val="0"/>
          <w:marTop w:val="30"/>
          <w:marBottom w:val="30"/>
          <w:divBdr>
            <w:top w:val="none" w:sz="0" w:space="0" w:color="auto"/>
            <w:left w:val="none" w:sz="0" w:space="0" w:color="auto"/>
            <w:bottom w:val="none" w:sz="0" w:space="0" w:color="auto"/>
            <w:right w:val="none" w:sz="0" w:space="0" w:color="auto"/>
          </w:divBdr>
          <w:divsChild>
            <w:div w:id="827283082">
              <w:marLeft w:val="0"/>
              <w:marRight w:val="0"/>
              <w:marTop w:val="0"/>
              <w:marBottom w:val="0"/>
              <w:divBdr>
                <w:top w:val="none" w:sz="0" w:space="0" w:color="auto"/>
                <w:left w:val="none" w:sz="0" w:space="0" w:color="auto"/>
                <w:bottom w:val="none" w:sz="0" w:space="0" w:color="auto"/>
                <w:right w:val="none" w:sz="0" w:space="0" w:color="auto"/>
              </w:divBdr>
              <w:divsChild>
                <w:div w:id="1144279574">
                  <w:marLeft w:val="0"/>
                  <w:marRight w:val="0"/>
                  <w:marTop w:val="0"/>
                  <w:marBottom w:val="0"/>
                  <w:divBdr>
                    <w:top w:val="none" w:sz="0" w:space="0" w:color="auto"/>
                    <w:left w:val="none" w:sz="0" w:space="0" w:color="auto"/>
                    <w:bottom w:val="none" w:sz="0" w:space="0" w:color="auto"/>
                    <w:right w:val="none" w:sz="0" w:space="0" w:color="auto"/>
                  </w:divBdr>
                </w:div>
              </w:divsChild>
            </w:div>
            <w:div w:id="1141114889">
              <w:marLeft w:val="0"/>
              <w:marRight w:val="0"/>
              <w:marTop w:val="0"/>
              <w:marBottom w:val="0"/>
              <w:divBdr>
                <w:top w:val="none" w:sz="0" w:space="0" w:color="auto"/>
                <w:left w:val="none" w:sz="0" w:space="0" w:color="auto"/>
                <w:bottom w:val="none" w:sz="0" w:space="0" w:color="auto"/>
                <w:right w:val="none" w:sz="0" w:space="0" w:color="auto"/>
              </w:divBdr>
              <w:divsChild>
                <w:div w:id="188566602">
                  <w:marLeft w:val="0"/>
                  <w:marRight w:val="0"/>
                  <w:marTop w:val="0"/>
                  <w:marBottom w:val="0"/>
                  <w:divBdr>
                    <w:top w:val="none" w:sz="0" w:space="0" w:color="auto"/>
                    <w:left w:val="none" w:sz="0" w:space="0" w:color="auto"/>
                    <w:bottom w:val="none" w:sz="0" w:space="0" w:color="auto"/>
                    <w:right w:val="none" w:sz="0" w:space="0" w:color="auto"/>
                  </w:divBdr>
                </w:div>
                <w:div w:id="863246239">
                  <w:marLeft w:val="0"/>
                  <w:marRight w:val="0"/>
                  <w:marTop w:val="0"/>
                  <w:marBottom w:val="0"/>
                  <w:divBdr>
                    <w:top w:val="none" w:sz="0" w:space="0" w:color="auto"/>
                    <w:left w:val="none" w:sz="0" w:space="0" w:color="auto"/>
                    <w:bottom w:val="none" w:sz="0" w:space="0" w:color="auto"/>
                    <w:right w:val="none" w:sz="0" w:space="0" w:color="auto"/>
                  </w:divBdr>
                </w:div>
                <w:div w:id="10849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87097">
          <w:marLeft w:val="-75"/>
          <w:marRight w:val="0"/>
          <w:marTop w:val="30"/>
          <w:marBottom w:val="30"/>
          <w:divBdr>
            <w:top w:val="none" w:sz="0" w:space="0" w:color="auto"/>
            <w:left w:val="none" w:sz="0" w:space="0" w:color="auto"/>
            <w:bottom w:val="none" w:sz="0" w:space="0" w:color="auto"/>
            <w:right w:val="none" w:sz="0" w:space="0" w:color="auto"/>
          </w:divBdr>
          <w:divsChild>
            <w:div w:id="69086856">
              <w:marLeft w:val="0"/>
              <w:marRight w:val="0"/>
              <w:marTop w:val="0"/>
              <w:marBottom w:val="0"/>
              <w:divBdr>
                <w:top w:val="none" w:sz="0" w:space="0" w:color="auto"/>
                <w:left w:val="none" w:sz="0" w:space="0" w:color="auto"/>
                <w:bottom w:val="none" w:sz="0" w:space="0" w:color="auto"/>
                <w:right w:val="none" w:sz="0" w:space="0" w:color="auto"/>
              </w:divBdr>
              <w:divsChild>
                <w:div w:id="561405712">
                  <w:marLeft w:val="0"/>
                  <w:marRight w:val="0"/>
                  <w:marTop w:val="0"/>
                  <w:marBottom w:val="0"/>
                  <w:divBdr>
                    <w:top w:val="none" w:sz="0" w:space="0" w:color="auto"/>
                    <w:left w:val="none" w:sz="0" w:space="0" w:color="auto"/>
                    <w:bottom w:val="none" w:sz="0" w:space="0" w:color="auto"/>
                    <w:right w:val="none" w:sz="0" w:space="0" w:color="auto"/>
                  </w:divBdr>
                </w:div>
                <w:div w:id="729765253">
                  <w:marLeft w:val="0"/>
                  <w:marRight w:val="0"/>
                  <w:marTop w:val="0"/>
                  <w:marBottom w:val="0"/>
                  <w:divBdr>
                    <w:top w:val="none" w:sz="0" w:space="0" w:color="auto"/>
                    <w:left w:val="none" w:sz="0" w:space="0" w:color="auto"/>
                    <w:bottom w:val="none" w:sz="0" w:space="0" w:color="auto"/>
                    <w:right w:val="none" w:sz="0" w:space="0" w:color="auto"/>
                  </w:divBdr>
                </w:div>
                <w:div w:id="2012297394">
                  <w:marLeft w:val="0"/>
                  <w:marRight w:val="0"/>
                  <w:marTop w:val="0"/>
                  <w:marBottom w:val="0"/>
                  <w:divBdr>
                    <w:top w:val="none" w:sz="0" w:space="0" w:color="auto"/>
                    <w:left w:val="none" w:sz="0" w:space="0" w:color="auto"/>
                    <w:bottom w:val="none" w:sz="0" w:space="0" w:color="auto"/>
                    <w:right w:val="none" w:sz="0" w:space="0" w:color="auto"/>
                  </w:divBdr>
                </w:div>
              </w:divsChild>
            </w:div>
            <w:div w:id="1173107150">
              <w:marLeft w:val="0"/>
              <w:marRight w:val="0"/>
              <w:marTop w:val="0"/>
              <w:marBottom w:val="0"/>
              <w:divBdr>
                <w:top w:val="none" w:sz="0" w:space="0" w:color="auto"/>
                <w:left w:val="none" w:sz="0" w:space="0" w:color="auto"/>
                <w:bottom w:val="none" w:sz="0" w:space="0" w:color="auto"/>
                <w:right w:val="none" w:sz="0" w:space="0" w:color="auto"/>
              </w:divBdr>
              <w:divsChild>
                <w:div w:id="6581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2244">
          <w:marLeft w:val="0"/>
          <w:marRight w:val="0"/>
          <w:marTop w:val="0"/>
          <w:marBottom w:val="0"/>
          <w:divBdr>
            <w:top w:val="none" w:sz="0" w:space="0" w:color="auto"/>
            <w:left w:val="none" w:sz="0" w:space="0" w:color="auto"/>
            <w:bottom w:val="none" w:sz="0" w:space="0" w:color="auto"/>
            <w:right w:val="none" w:sz="0" w:space="0" w:color="auto"/>
          </w:divBdr>
        </w:div>
        <w:div w:id="1481116391">
          <w:marLeft w:val="0"/>
          <w:marRight w:val="0"/>
          <w:marTop w:val="0"/>
          <w:marBottom w:val="0"/>
          <w:divBdr>
            <w:top w:val="none" w:sz="0" w:space="0" w:color="auto"/>
            <w:left w:val="none" w:sz="0" w:space="0" w:color="auto"/>
            <w:bottom w:val="none" w:sz="0" w:space="0" w:color="auto"/>
            <w:right w:val="none" w:sz="0" w:space="0" w:color="auto"/>
          </w:divBdr>
        </w:div>
        <w:div w:id="1539470954">
          <w:marLeft w:val="0"/>
          <w:marRight w:val="0"/>
          <w:marTop w:val="0"/>
          <w:marBottom w:val="0"/>
          <w:divBdr>
            <w:top w:val="none" w:sz="0" w:space="0" w:color="auto"/>
            <w:left w:val="none" w:sz="0" w:space="0" w:color="auto"/>
            <w:bottom w:val="none" w:sz="0" w:space="0" w:color="auto"/>
            <w:right w:val="none" w:sz="0" w:space="0" w:color="auto"/>
          </w:divBdr>
        </w:div>
        <w:div w:id="1585383478">
          <w:marLeft w:val="0"/>
          <w:marRight w:val="0"/>
          <w:marTop w:val="0"/>
          <w:marBottom w:val="0"/>
          <w:divBdr>
            <w:top w:val="none" w:sz="0" w:space="0" w:color="auto"/>
            <w:left w:val="none" w:sz="0" w:space="0" w:color="auto"/>
            <w:bottom w:val="none" w:sz="0" w:space="0" w:color="auto"/>
            <w:right w:val="none" w:sz="0" w:space="0" w:color="auto"/>
          </w:divBdr>
        </w:div>
        <w:div w:id="1605188588">
          <w:marLeft w:val="0"/>
          <w:marRight w:val="0"/>
          <w:marTop w:val="0"/>
          <w:marBottom w:val="0"/>
          <w:divBdr>
            <w:top w:val="none" w:sz="0" w:space="0" w:color="auto"/>
            <w:left w:val="none" w:sz="0" w:space="0" w:color="auto"/>
            <w:bottom w:val="none" w:sz="0" w:space="0" w:color="auto"/>
            <w:right w:val="none" w:sz="0" w:space="0" w:color="auto"/>
          </w:divBdr>
        </w:div>
        <w:div w:id="1635210687">
          <w:marLeft w:val="-75"/>
          <w:marRight w:val="0"/>
          <w:marTop w:val="30"/>
          <w:marBottom w:val="30"/>
          <w:divBdr>
            <w:top w:val="none" w:sz="0" w:space="0" w:color="auto"/>
            <w:left w:val="none" w:sz="0" w:space="0" w:color="auto"/>
            <w:bottom w:val="none" w:sz="0" w:space="0" w:color="auto"/>
            <w:right w:val="none" w:sz="0" w:space="0" w:color="auto"/>
          </w:divBdr>
          <w:divsChild>
            <w:div w:id="984310986">
              <w:marLeft w:val="0"/>
              <w:marRight w:val="0"/>
              <w:marTop w:val="0"/>
              <w:marBottom w:val="0"/>
              <w:divBdr>
                <w:top w:val="none" w:sz="0" w:space="0" w:color="auto"/>
                <w:left w:val="none" w:sz="0" w:space="0" w:color="auto"/>
                <w:bottom w:val="none" w:sz="0" w:space="0" w:color="auto"/>
                <w:right w:val="none" w:sz="0" w:space="0" w:color="auto"/>
              </w:divBdr>
              <w:divsChild>
                <w:div w:id="178201474">
                  <w:marLeft w:val="0"/>
                  <w:marRight w:val="0"/>
                  <w:marTop w:val="0"/>
                  <w:marBottom w:val="0"/>
                  <w:divBdr>
                    <w:top w:val="none" w:sz="0" w:space="0" w:color="auto"/>
                    <w:left w:val="none" w:sz="0" w:space="0" w:color="auto"/>
                    <w:bottom w:val="none" w:sz="0" w:space="0" w:color="auto"/>
                    <w:right w:val="none" w:sz="0" w:space="0" w:color="auto"/>
                  </w:divBdr>
                </w:div>
                <w:div w:id="862666286">
                  <w:marLeft w:val="0"/>
                  <w:marRight w:val="0"/>
                  <w:marTop w:val="0"/>
                  <w:marBottom w:val="0"/>
                  <w:divBdr>
                    <w:top w:val="none" w:sz="0" w:space="0" w:color="auto"/>
                    <w:left w:val="none" w:sz="0" w:space="0" w:color="auto"/>
                    <w:bottom w:val="none" w:sz="0" w:space="0" w:color="auto"/>
                    <w:right w:val="none" w:sz="0" w:space="0" w:color="auto"/>
                  </w:divBdr>
                </w:div>
                <w:div w:id="980230952">
                  <w:marLeft w:val="0"/>
                  <w:marRight w:val="0"/>
                  <w:marTop w:val="0"/>
                  <w:marBottom w:val="0"/>
                  <w:divBdr>
                    <w:top w:val="none" w:sz="0" w:space="0" w:color="auto"/>
                    <w:left w:val="none" w:sz="0" w:space="0" w:color="auto"/>
                    <w:bottom w:val="none" w:sz="0" w:space="0" w:color="auto"/>
                    <w:right w:val="none" w:sz="0" w:space="0" w:color="auto"/>
                  </w:divBdr>
                </w:div>
              </w:divsChild>
            </w:div>
            <w:div w:id="1748571023">
              <w:marLeft w:val="0"/>
              <w:marRight w:val="0"/>
              <w:marTop w:val="0"/>
              <w:marBottom w:val="0"/>
              <w:divBdr>
                <w:top w:val="none" w:sz="0" w:space="0" w:color="auto"/>
                <w:left w:val="none" w:sz="0" w:space="0" w:color="auto"/>
                <w:bottom w:val="none" w:sz="0" w:space="0" w:color="auto"/>
                <w:right w:val="none" w:sz="0" w:space="0" w:color="auto"/>
              </w:divBdr>
              <w:divsChild>
                <w:div w:id="1368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7536">
          <w:marLeft w:val="0"/>
          <w:marRight w:val="0"/>
          <w:marTop w:val="0"/>
          <w:marBottom w:val="0"/>
          <w:divBdr>
            <w:top w:val="none" w:sz="0" w:space="0" w:color="auto"/>
            <w:left w:val="none" w:sz="0" w:space="0" w:color="auto"/>
            <w:bottom w:val="none" w:sz="0" w:space="0" w:color="auto"/>
            <w:right w:val="none" w:sz="0" w:space="0" w:color="auto"/>
          </w:divBdr>
        </w:div>
        <w:div w:id="1901361732">
          <w:marLeft w:val="0"/>
          <w:marRight w:val="0"/>
          <w:marTop w:val="0"/>
          <w:marBottom w:val="0"/>
          <w:divBdr>
            <w:top w:val="none" w:sz="0" w:space="0" w:color="auto"/>
            <w:left w:val="none" w:sz="0" w:space="0" w:color="auto"/>
            <w:bottom w:val="none" w:sz="0" w:space="0" w:color="auto"/>
            <w:right w:val="none" w:sz="0" w:space="0" w:color="auto"/>
          </w:divBdr>
        </w:div>
        <w:div w:id="2047099992">
          <w:marLeft w:val="0"/>
          <w:marRight w:val="0"/>
          <w:marTop w:val="0"/>
          <w:marBottom w:val="0"/>
          <w:divBdr>
            <w:top w:val="none" w:sz="0" w:space="0" w:color="auto"/>
            <w:left w:val="none" w:sz="0" w:space="0" w:color="auto"/>
            <w:bottom w:val="none" w:sz="0" w:space="0" w:color="auto"/>
            <w:right w:val="none" w:sz="0" w:space="0" w:color="auto"/>
          </w:divBdr>
        </w:div>
        <w:div w:id="2082555059">
          <w:marLeft w:val="0"/>
          <w:marRight w:val="0"/>
          <w:marTop w:val="0"/>
          <w:marBottom w:val="0"/>
          <w:divBdr>
            <w:top w:val="none" w:sz="0" w:space="0" w:color="auto"/>
            <w:left w:val="none" w:sz="0" w:space="0" w:color="auto"/>
            <w:bottom w:val="none" w:sz="0" w:space="0" w:color="auto"/>
            <w:right w:val="none" w:sz="0" w:space="0" w:color="auto"/>
          </w:divBdr>
        </w:div>
      </w:divsChild>
    </w:div>
    <w:div w:id="688413616">
      <w:marLeft w:val="480"/>
      <w:marRight w:val="0"/>
      <w:marTop w:val="0"/>
      <w:marBottom w:val="0"/>
      <w:divBdr>
        <w:top w:val="none" w:sz="0" w:space="0" w:color="auto"/>
        <w:left w:val="none" w:sz="0" w:space="0" w:color="auto"/>
        <w:bottom w:val="none" w:sz="0" w:space="0" w:color="auto"/>
        <w:right w:val="none" w:sz="0" w:space="0" w:color="auto"/>
      </w:divBdr>
    </w:div>
    <w:div w:id="688604125">
      <w:marLeft w:val="480"/>
      <w:marRight w:val="0"/>
      <w:marTop w:val="0"/>
      <w:marBottom w:val="0"/>
      <w:divBdr>
        <w:top w:val="none" w:sz="0" w:space="0" w:color="auto"/>
        <w:left w:val="none" w:sz="0" w:space="0" w:color="auto"/>
        <w:bottom w:val="none" w:sz="0" w:space="0" w:color="auto"/>
        <w:right w:val="none" w:sz="0" w:space="0" w:color="auto"/>
      </w:divBdr>
    </w:div>
    <w:div w:id="689797889">
      <w:marLeft w:val="480"/>
      <w:marRight w:val="0"/>
      <w:marTop w:val="0"/>
      <w:marBottom w:val="0"/>
      <w:divBdr>
        <w:top w:val="none" w:sz="0" w:space="0" w:color="auto"/>
        <w:left w:val="none" w:sz="0" w:space="0" w:color="auto"/>
        <w:bottom w:val="none" w:sz="0" w:space="0" w:color="auto"/>
        <w:right w:val="none" w:sz="0" w:space="0" w:color="auto"/>
      </w:divBdr>
    </w:div>
    <w:div w:id="689839496">
      <w:marLeft w:val="480"/>
      <w:marRight w:val="0"/>
      <w:marTop w:val="0"/>
      <w:marBottom w:val="0"/>
      <w:divBdr>
        <w:top w:val="none" w:sz="0" w:space="0" w:color="auto"/>
        <w:left w:val="none" w:sz="0" w:space="0" w:color="auto"/>
        <w:bottom w:val="none" w:sz="0" w:space="0" w:color="auto"/>
        <w:right w:val="none" w:sz="0" w:space="0" w:color="auto"/>
      </w:divBdr>
    </w:div>
    <w:div w:id="692152892">
      <w:marLeft w:val="480"/>
      <w:marRight w:val="0"/>
      <w:marTop w:val="0"/>
      <w:marBottom w:val="0"/>
      <w:divBdr>
        <w:top w:val="none" w:sz="0" w:space="0" w:color="auto"/>
        <w:left w:val="none" w:sz="0" w:space="0" w:color="auto"/>
        <w:bottom w:val="none" w:sz="0" w:space="0" w:color="auto"/>
        <w:right w:val="none" w:sz="0" w:space="0" w:color="auto"/>
      </w:divBdr>
    </w:div>
    <w:div w:id="695497537">
      <w:marLeft w:val="480"/>
      <w:marRight w:val="0"/>
      <w:marTop w:val="0"/>
      <w:marBottom w:val="0"/>
      <w:divBdr>
        <w:top w:val="none" w:sz="0" w:space="0" w:color="auto"/>
        <w:left w:val="none" w:sz="0" w:space="0" w:color="auto"/>
        <w:bottom w:val="none" w:sz="0" w:space="0" w:color="auto"/>
        <w:right w:val="none" w:sz="0" w:space="0" w:color="auto"/>
      </w:divBdr>
    </w:div>
    <w:div w:id="696736245">
      <w:marLeft w:val="480"/>
      <w:marRight w:val="0"/>
      <w:marTop w:val="0"/>
      <w:marBottom w:val="0"/>
      <w:divBdr>
        <w:top w:val="none" w:sz="0" w:space="0" w:color="auto"/>
        <w:left w:val="none" w:sz="0" w:space="0" w:color="auto"/>
        <w:bottom w:val="none" w:sz="0" w:space="0" w:color="auto"/>
        <w:right w:val="none" w:sz="0" w:space="0" w:color="auto"/>
      </w:divBdr>
    </w:div>
    <w:div w:id="696858938">
      <w:marLeft w:val="480"/>
      <w:marRight w:val="0"/>
      <w:marTop w:val="0"/>
      <w:marBottom w:val="0"/>
      <w:divBdr>
        <w:top w:val="none" w:sz="0" w:space="0" w:color="auto"/>
        <w:left w:val="none" w:sz="0" w:space="0" w:color="auto"/>
        <w:bottom w:val="none" w:sz="0" w:space="0" w:color="auto"/>
        <w:right w:val="none" w:sz="0" w:space="0" w:color="auto"/>
      </w:divBdr>
    </w:div>
    <w:div w:id="697853389">
      <w:marLeft w:val="480"/>
      <w:marRight w:val="0"/>
      <w:marTop w:val="0"/>
      <w:marBottom w:val="0"/>
      <w:divBdr>
        <w:top w:val="none" w:sz="0" w:space="0" w:color="auto"/>
        <w:left w:val="none" w:sz="0" w:space="0" w:color="auto"/>
        <w:bottom w:val="none" w:sz="0" w:space="0" w:color="auto"/>
        <w:right w:val="none" w:sz="0" w:space="0" w:color="auto"/>
      </w:divBdr>
    </w:div>
    <w:div w:id="700788494">
      <w:marLeft w:val="480"/>
      <w:marRight w:val="0"/>
      <w:marTop w:val="0"/>
      <w:marBottom w:val="0"/>
      <w:divBdr>
        <w:top w:val="none" w:sz="0" w:space="0" w:color="auto"/>
        <w:left w:val="none" w:sz="0" w:space="0" w:color="auto"/>
        <w:bottom w:val="none" w:sz="0" w:space="0" w:color="auto"/>
        <w:right w:val="none" w:sz="0" w:space="0" w:color="auto"/>
      </w:divBdr>
    </w:div>
    <w:div w:id="704335406">
      <w:marLeft w:val="480"/>
      <w:marRight w:val="0"/>
      <w:marTop w:val="0"/>
      <w:marBottom w:val="0"/>
      <w:divBdr>
        <w:top w:val="none" w:sz="0" w:space="0" w:color="auto"/>
        <w:left w:val="none" w:sz="0" w:space="0" w:color="auto"/>
        <w:bottom w:val="none" w:sz="0" w:space="0" w:color="auto"/>
        <w:right w:val="none" w:sz="0" w:space="0" w:color="auto"/>
      </w:divBdr>
    </w:div>
    <w:div w:id="705833270">
      <w:marLeft w:val="480"/>
      <w:marRight w:val="0"/>
      <w:marTop w:val="0"/>
      <w:marBottom w:val="0"/>
      <w:divBdr>
        <w:top w:val="none" w:sz="0" w:space="0" w:color="auto"/>
        <w:left w:val="none" w:sz="0" w:space="0" w:color="auto"/>
        <w:bottom w:val="none" w:sz="0" w:space="0" w:color="auto"/>
        <w:right w:val="none" w:sz="0" w:space="0" w:color="auto"/>
      </w:divBdr>
    </w:div>
    <w:div w:id="706028344">
      <w:bodyDiv w:val="1"/>
      <w:marLeft w:val="0"/>
      <w:marRight w:val="0"/>
      <w:marTop w:val="0"/>
      <w:marBottom w:val="0"/>
      <w:divBdr>
        <w:top w:val="none" w:sz="0" w:space="0" w:color="auto"/>
        <w:left w:val="none" w:sz="0" w:space="0" w:color="auto"/>
        <w:bottom w:val="none" w:sz="0" w:space="0" w:color="auto"/>
        <w:right w:val="none" w:sz="0" w:space="0" w:color="auto"/>
      </w:divBdr>
      <w:divsChild>
        <w:div w:id="58407890">
          <w:marLeft w:val="480"/>
          <w:marRight w:val="0"/>
          <w:marTop w:val="0"/>
          <w:marBottom w:val="0"/>
          <w:divBdr>
            <w:top w:val="none" w:sz="0" w:space="0" w:color="auto"/>
            <w:left w:val="none" w:sz="0" w:space="0" w:color="auto"/>
            <w:bottom w:val="none" w:sz="0" w:space="0" w:color="auto"/>
            <w:right w:val="none" w:sz="0" w:space="0" w:color="auto"/>
          </w:divBdr>
        </w:div>
        <w:div w:id="567308308">
          <w:marLeft w:val="480"/>
          <w:marRight w:val="0"/>
          <w:marTop w:val="0"/>
          <w:marBottom w:val="0"/>
          <w:divBdr>
            <w:top w:val="none" w:sz="0" w:space="0" w:color="auto"/>
            <w:left w:val="none" w:sz="0" w:space="0" w:color="auto"/>
            <w:bottom w:val="none" w:sz="0" w:space="0" w:color="auto"/>
            <w:right w:val="none" w:sz="0" w:space="0" w:color="auto"/>
          </w:divBdr>
        </w:div>
        <w:div w:id="951202123">
          <w:marLeft w:val="480"/>
          <w:marRight w:val="0"/>
          <w:marTop w:val="0"/>
          <w:marBottom w:val="0"/>
          <w:divBdr>
            <w:top w:val="none" w:sz="0" w:space="0" w:color="auto"/>
            <w:left w:val="none" w:sz="0" w:space="0" w:color="auto"/>
            <w:bottom w:val="none" w:sz="0" w:space="0" w:color="auto"/>
            <w:right w:val="none" w:sz="0" w:space="0" w:color="auto"/>
          </w:divBdr>
        </w:div>
        <w:div w:id="1263806443">
          <w:marLeft w:val="480"/>
          <w:marRight w:val="0"/>
          <w:marTop w:val="0"/>
          <w:marBottom w:val="0"/>
          <w:divBdr>
            <w:top w:val="none" w:sz="0" w:space="0" w:color="auto"/>
            <w:left w:val="none" w:sz="0" w:space="0" w:color="auto"/>
            <w:bottom w:val="none" w:sz="0" w:space="0" w:color="auto"/>
            <w:right w:val="none" w:sz="0" w:space="0" w:color="auto"/>
          </w:divBdr>
        </w:div>
        <w:div w:id="1335644993">
          <w:marLeft w:val="480"/>
          <w:marRight w:val="0"/>
          <w:marTop w:val="0"/>
          <w:marBottom w:val="0"/>
          <w:divBdr>
            <w:top w:val="none" w:sz="0" w:space="0" w:color="auto"/>
            <w:left w:val="none" w:sz="0" w:space="0" w:color="auto"/>
            <w:bottom w:val="none" w:sz="0" w:space="0" w:color="auto"/>
            <w:right w:val="none" w:sz="0" w:space="0" w:color="auto"/>
          </w:divBdr>
        </w:div>
        <w:div w:id="1445886694">
          <w:marLeft w:val="480"/>
          <w:marRight w:val="0"/>
          <w:marTop w:val="0"/>
          <w:marBottom w:val="0"/>
          <w:divBdr>
            <w:top w:val="none" w:sz="0" w:space="0" w:color="auto"/>
            <w:left w:val="none" w:sz="0" w:space="0" w:color="auto"/>
            <w:bottom w:val="none" w:sz="0" w:space="0" w:color="auto"/>
            <w:right w:val="none" w:sz="0" w:space="0" w:color="auto"/>
          </w:divBdr>
        </w:div>
        <w:div w:id="1732194668">
          <w:marLeft w:val="480"/>
          <w:marRight w:val="0"/>
          <w:marTop w:val="0"/>
          <w:marBottom w:val="0"/>
          <w:divBdr>
            <w:top w:val="none" w:sz="0" w:space="0" w:color="auto"/>
            <w:left w:val="none" w:sz="0" w:space="0" w:color="auto"/>
            <w:bottom w:val="none" w:sz="0" w:space="0" w:color="auto"/>
            <w:right w:val="none" w:sz="0" w:space="0" w:color="auto"/>
          </w:divBdr>
        </w:div>
        <w:div w:id="1941528635">
          <w:marLeft w:val="480"/>
          <w:marRight w:val="0"/>
          <w:marTop w:val="0"/>
          <w:marBottom w:val="0"/>
          <w:divBdr>
            <w:top w:val="none" w:sz="0" w:space="0" w:color="auto"/>
            <w:left w:val="none" w:sz="0" w:space="0" w:color="auto"/>
            <w:bottom w:val="none" w:sz="0" w:space="0" w:color="auto"/>
            <w:right w:val="none" w:sz="0" w:space="0" w:color="auto"/>
          </w:divBdr>
        </w:div>
      </w:divsChild>
    </w:div>
    <w:div w:id="706222292">
      <w:bodyDiv w:val="1"/>
      <w:marLeft w:val="0"/>
      <w:marRight w:val="0"/>
      <w:marTop w:val="0"/>
      <w:marBottom w:val="0"/>
      <w:divBdr>
        <w:top w:val="none" w:sz="0" w:space="0" w:color="auto"/>
        <w:left w:val="none" w:sz="0" w:space="0" w:color="auto"/>
        <w:bottom w:val="none" w:sz="0" w:space="0" w:color="auto"/>
        <w:right w:val="none" w:sz="0" w:space="0" w:color="auto"/>
      </w:divBdr>
      <w:divsChild>
        <w:div w:id="95561101">
          <w:marLeft w:val="480"/>
          <w:marRight w:val="0"/>
          <w:marTop w:val="0"/>
          <w:marBottom w:val="0"/>
          <w:divBdr>
            <w:top w:val="none" w:sz="0" w:space="0" w:color="auto"/>
            <w:left w:val="none" w:sz="0" w:space="0" w:color="auto"/>
            <w:bottom w:val="none" w:sz="0" w:space="0" w:color="auto"/>
            <w:right w:val="none" w:sz="0" w:space="0" w:color="auto"/>
          </w:divBdr>
        </w:div>
        <w:div w:id="380449356">
          <w:marLeft w:val="480"/>
          <w:marRight w:val="0"/>
          <w:marTop w:val="0"/>
          <w:marBottom w:val="0"/>
          <w:divBdr>
            <w:top w:val="none" w:sz="0" w:space="0" w:color="auto"/>
            <w:left w:val="none" w:sz="0" w:space="0" w:color="auto"/>
            <w:bottom w:val="none" w:sz="0" w:space="0" w:color="auto"/>
            <w:right w:val="none" w:sz="0" w:space="0" w:color="auto"/>
          </w:divBdr>
        </w:div>
        <w:div w:id="623538017">
          <w:marLeft w:val="480"/>
          <w:marRight w:val="0"/>
          <w:marTop w:val="0"/>
          <w:marBottom w:val="0"/>
          <w:divBdr>
            <w:top w:val="none" w:sz="0" w:space="0" w:color="auto"/>
            <w:left w:val="none" w:sz="0" w:space="0" w:color="auto"/>
            <w:bottom w:val="none" w:sz="0" w:space="0" w:color="auto"/>
            <w:right w:val="none" w:sz="0" w:space="0" w:color="auto"/>
          </w:divBdr>
        </w:div>
        <w:div w:id="1042704218">
          <w:marLeft w:val="480"/>
          <w:marRight w:val="0"/>
          <w:marTop w:val="0"/>
          <w:marBottom w:val="0"/>
          <w:divBdr>
            <w:top w:val="none" w:sz="0" w:space="0" w:color="auto"/>
            <w:left w:val="none" w:sz="0" w:space="0" w:color="auto"/>
            <w:bottom w:val="none" w:sz="0" w:space="0" w:color="auto"/>
            <w:right w:val="none" w:sz="0" w:space="0" w:color="auto"/>
          </w:divBdr>
        </w:div>
        <w:div w:id="1385375094">
          <w:marLeft w:val="480"/>
          <w:marRight w:val="0"/>
          <w:marTop w:val="0"/>
          <w:marBottom w:val="0"/>
          <w:divBdr>
            <w:top w:val="none" w:sz="0" w:space="0" w:color="auto"/>
            <w:left w:val="none" w:sz="0" w:space="0" w:color="auto"/>
            <w:bottom w:val="none" w:sz="0" w:space="0" w:color="auto"/>
            <w:right w:val="none" w:sz="0" w:space="0" w:color="auto"/>
          </w:divBdr>
        </w:div>
        <w:div w:id="1525634206">
          <w:marLeft w:val="480"/>
          <w:marRight w:val="0"/>
          <w:marTop w:val="0"/>
          <w:marBottom w:val="0"/>
          <w:divBdr>
            <w:top w:val="none" w:sz="0" w:space="0" w:color="auto"/>
            <w:left w:val="none" w:sz="0" w:space="0" w:color="auto"/>
            <w:bottom w:val="none" w:sz="0" w:space="0" w:color="auto"/>
            <w:right w:val="none" w:sz="0" w:space="0" w:color="auto"/>
          </w:divBdr>
        </w:div>
        <w:div w:id="1544291681">
          <w:marLeft w:val="480"/>
          <w:marRight w:val="0"/>
          <w:marTop w:val="0"/>
          <w:marBottom w:val="0"/>
          <w:divBdr>
            <w:top w:val="none" w:sz="0" w:space="0" w:color="auto"/>
            <w:left w:val="none" w:sz="0" w:space="0" w:color="auto"/>
            <w:bottom w:val="none" w:sz="0" w:space="0" w:color="auto"/>
            <w:right w:val="none" w:sz="0" w:space="0" w:color="auto"/>
          </w:divBdr>
        </w:div>
        <w:div w:id="1722485531">
          <w:marLeft w:val="480"/>
          <w:marRight w:val="0"/>
          <w:marTop w:val="0"/>
          <w:marBottom w:val="0"/>
          <w:divBdr>
            <w:top w:val="none" w:sz="0" w:space="0" w:color="auto"/>
            <w:left w:val="none" w:sz="0" w:space="0" w:color="auto"/>
            <w:bottom w:val="none" w:sz="0" w:space="0" w:color="auto"/>
            <w:right w:val="none" w:sz="0" w:space="0" w:color="auto"/>
          </w:divBdr>
        </w:div>
      </w:divsChild>
    </w:div>
    <w:div w:id="706418419">
      <w:marLeft w:val="480"/>
      <w:marRight w:val="0"/>
      <w:marTop w:val="0"/>
      <w:marBottom w:val="0"/>
      <w:divBdr>
        <w:top w:val="none" w:sz="0" w:space="0" w:color="auto"/>
        <w:left w:val="none" w:sz="0" w:space="0" w:color="auto"/>
        <w:bottom w:val="none" w:sz="0" w:space="0" w:color="auto"/>
        <w:right w:val="none" w:sz="0" w:space="0" w:color="auto"/>
      </w:divBdr>
    </w:div>
    <w:div w:id="707951689">
      <w:marLeft w:val="480"/>
      <w:marRight w:val="0"/>
      <w:marTop w:val="0"/>
      <w:marBottom w:val="0"/>
      <w:divBdr>
        <w:top w:val="none" w:sz="0" w:space="0" w:color="auto"/>
        <w:left w:val="none" w:sz="0" w:space="0" w:color="auto"/>
        <w:bottom w:val="none" w:sz="0" w:space="0" w:color="auto"/>
        <w:right w:val="none" w:sz="0" w:space="0" w:color="auto"/>
      </w:divBdr>
    </w:div>
    <w:div w:id="710230418">
      <w:marLeft w:val="480"/>
      <w:marRight w:val="0"/>
      <w:marTop w:val="0"/>
      <w:marBottom w:val="0"/>
      <w:divBdr>
        <w:top w:val="none" w:sz="0" w:space="0" w:color="auto"/>
        <w:left w:val="none" w:sz="0" w:space="0" w:color="auto"/>
        <w:bottom w:val="none" w:sz="0" w:space="0" w:color="auto"/>
        <w:right w:val="none" w:sz="0" w:space="0" w:color="auto"/>
      </w:divBdr>
    </w:div>
    <w:div w:id="710813165">
      <w:marLeft w:val="480"/>
      <w:marRight w:val="0"/>
      <w:marTop w:val="0"/>
      <w:marBottom w:val="0"/>
      <w:divBdr>
        <w:top w:val="none" w:sz="0" w:space="0" w:color="auto"/>
        <w:left w:val="none" w:sz="0" w:space="0" w:color="auto"/>
        <w:bottom w:val="none" w:sz="0" w:space="0" w:color="auto"/>
        <w:right w:val="none" w:sz="0" w:space="0" w:color="auto"/>
      </w:divBdr>
    </w:div>
    <w:div w:id="712922685">
      <w:marLeft w:val="480"/>
      <w:marRight w:val="0"/>
      <w:marTop w:val="0"/>
      <w:marBottom w:val="0"/>
      <w:divBdr>
        <w:top w:val="none" w:sz="0" w:space="0" w:color="auto"/>
        <w:left w:val="none" w:sz="0" w:space="0" w:color="auto"/>
        <w:bottom w:val="none" w:sz="0" w:space="0" w:color="auto"/>
        <w:right w:val="none" w:sz="0" w:space="0" w:color="auto"/>
      </w:divBdr>
    </w:div>
    <w:div w:id="714819833">
      <w:marLeft w:val="480"/>
      <w:marRight w:val="0"/>
      <w:marTop w:val="0"/>
      <w:marBottom w:val="0"/>
      <w:divBdr>
        <w:top w:val="none" w:sz="0" w:space="0" w:color="auto"/>
        <w:left w:val="none" w:sz="0" w:space="0" w:color="auto"/>
        <w:bottom w:val="none" w:sz="0" w:space="0" w:color="auto"/>
        <w:right w:val="none" w:sz="0" w:space="0" w:color="auto"/>
      </w:divBdr>
    </w:div>
    <w:div w:id="715129807">
      <w:marLeft w:val="480"/>
      <w:marRight w:val="0"/>
      <w:marTop w:val="0"/>
      <w:marBottom w:val="0"/>
      <w:divBdr>
        <w:top w:val="none" w:sz="0" w:space="0" w:color="auto"/>
        <w:left w:val="none" w:sz="0" w:space="0" w:color="auto"/>
        <w:bottom w:val="none" w:sz="0" w:space="0" w:color="auto"/>
        <w:right w:val="none" w:sz="0" w:space="0" w:color="auto"/>
      </w:divBdr>
    </w:div>
    <w:div w:id="717435519">
      <w:marLeft w:val="480"/>
      <w:marRight w:val="0"/>
      <w:marTop w:val="0"/>
      <w:marBottom w:val="0"/>
      <w:divBdr>
        <w:top w:val="none" w:sz="0" w:space="0" w:color="auto"/>
        <w:left w:val="none" w:sz="0" w:space="0" w:color="auto"/>
        <w:bottom w:val="none" w:sz="0" w:space="0" w:color="auto"/>
        <w:right w:val="none" w:sz="0" w:space="0" w:color="auto"/>
      </w:divBdr>
    </w:div>
    <w:div w:id="718867672">
      <w:marLeft w:val="480"/>
      <w:marRight w:val="0"/>
      <w:marTop w:val="0"/>
      <w:marBottom w:val="0"/>
      <w:divBdr>
        <w:top w:val="none" w:sz="0" w:space="0" w:color="auto"/>
        <w:left w:val="none" w:sz="0" w:space="0" w:color="auto"/>
        <w:bottom w:val="none" w:sz="0" w:space="0" w:color="auto"/>
        <w:right w:val="none" w:sz="0" w:space="0" w:color="auto"/>
      </w:divBdr>
    </w:div>
    <w:div w:id="721750236">
      <w:marLeft w:val="480"/>
      <w:marRight w:val="0"/>
      <w:marTop w:val="0"/>
      <w:marBottom w:val="0"/>
      <w:divBdr>
        <w:top w:val="none" w:sz="0" w:space="0" w:color="auto"/>
        <w:left w:val="none" w:sz="0" w:space="0" w:color="auto"/>
        <w:bottom w:val="none" w:sz="0" w:space="0" w:color="auto"/>
        <w:right w:val="none" w:sz="0" w:space="0" w:color="auto"/>
      </w:divBdr>
    </w:div>
    <w:div w:id="723871983">
      <w:marLeft w:val="480"/>
      <w:marRight w:val="0"/>
      <w:marTop w:val="0"/>
      <w:marBottom w:val="0"/>
      <w:divBdr>
        <w:top w:val="none" w:sz="0" w:space="0" w:color="auto"/>
        <w:left w:val="none" w:sz="0" w:space="0" w:color="auto"/>
        <w:bottom w:val="none" w:sz="0" w:space="0" w:color="auto"/>
        <w:right w:val="none" w:sz="0" w:space="0" w:color="auto"/>
      </w:divBdr>
    </w:div>
    <w:div w:id="726030385">
      <w:marLeft w:val="480"/>
      <w:marRight w:val="0"/>
      <w:marTop w:val="0"/>
      <w:marBottom w:val="0"/>
      <w:divBdr>
        <w:top w:val="none" w:sz="0" w:space="0" w:color="auto"/>
        <w:left w:val="none" w:sz="0" w:space="0" w:color="auto"/>
        <w:bottom w:val="none" w:sz="0" w:space="0" w:color="auto"/>
        <w:right w:val="none" w:sz="0" w:space="0" w:color="auto"/>
      </w:divBdr>
    </w:div>
    <w:div w:id="726877601">
      <w:marLeft w:val="480"/>
      <w:marRight w:val="0"/>
      <w:marTop w:val="0"/>
      <w:marBottom w:val="0"/>
      <w:divBdr>
        <w:top w:val="none" w:sz="0" w:space="0" w:color="auto"/>
        <w:left w:val="none" w:sz="0" w:space="0" w:color="auto"/>
        <w:bottom w:val="none" w:sz="0" w:space="0" w:color="auto"/>
        <w:right w:val="none" w:sz="0" w:space="0" w:color="auto"/>
      </w:divBdr>
    </w:div>
    <w:div w:id="727726542">
      <w:marLeft w:val="480"/>
      <w:marRight w:val="0"/>
      <w:marTop w:val="0"/>
      <w:marBottom w:val="0"/>
      <w:divBdr>
        <w:top w:val="none" w:sz="0" w:space="0" w:color="auto"/>
        <w:left w:val="none" w:sz="0" w:space="0" w:color="auto"/>
        <w:bottom w:val="none" w:sz="0" w:space="0" w:color="auto"/>
        <w:right w:val="none" w:sz="0" w:space="0" w:color="auto"/>
      </w:divBdr>
    </w:div>
    <w:div w:id="728114129">
      <w:marLeft w:val="480"/>
      <w:marRight w:val="0"/>
      <w:marTop w:val="0"/>
      <w:marBottom w:val="0"/>
      <w:divBdr>
        <w:top w:val="none" w:sz="0" w:space="0" w:color="auto"/>
        <w:left w:val="none" w:sz="0" w:space="0" w:color="auto"/>
        <w:bottom w:val="none" w:sz="0" w:space="0" w:color="auto"/>
        <w:right w:val="none" w:sz="0" w:space="0" w:color="auto"/>
      </w:divBdr>
    </w:div>
    <w:div w:id="728461741">
      <w:marLeft w:val="480"/>
      <w:marRight w:val="0"/>
      <w:marTop w:val="0"/>
      <w:marBottom w:val="0"/>
      <w:divBdr>
        <w:top w:val="none" w:sz="0" w:space="0" w:color="auto"/>
        <w:left w:val="none" w:sz="0" w:space="0" w:color="auto"/>
        <w:bottom w:val="none" w:sz="0" w:space="0" w:color="auto"/>
        <w:right w:val="none" w:sz="0" w:space="0" w:color="auto"/>
      </w:divBdr>
    </w:div>
    <w:div w:id="728842378">
      <w:bodyDiv w:val="1"/>
      <w:marLeft w:val="0"/>
      <w:marRight w:val="0"/>
      <w:marTop w:val="0"/>
      <w:marBottom w:val="0"/>
      <w:divBdr>
        <w:top w:val="none" w:sz="0" w:space="0" w:color="auto"/>
        <w:left w:val="none" w:sz="0" w:space="0" w:color="auto"/>
        <w:bottom w:val="none" w:sz="0" w:space="0" w:color="auto"/>
        <w:right w:val="none" w:sz="0" w:space="0" w:color="auto"/>
      </w:divBdr>
    </w:div>
    <w:div w:id="729352961">
      <w:marLeft w:val="480"/>
      <w:marRight w:val="0"/>
      <w:marTop w:val="0"/>
      <w:marBottom w:val="0"/>
      <w:divBdr>
        <w:top w:val="none" w:sz="0" w:space="0" w:color="auto"/>
        <w:left w:val="none" w:sz="0" w:space="0" w:color="auto"/>
        <w:bottom w:val="none" w:sz="0" w:space="0" w:color="auto"/>
        <w:right w:val="none" w:sz="0" w:space="0" w:color="auto"/>
      </w:divBdr>
    </w:div>
    <w:div w:id="730036114">
      <w:marLeft w:val="480"/>
      <w:marRight w:val="0"/>
      <w:marTop w:val="0"/>
      <w:marBottom w:val="0"/>
      <w:divBdr>
        <w:top w:val="none" w:sz="0" w:space="0" w:color="auto"/>
        <w:left w:val="none" w:sz="0" w:space="0" w:color="auto"/>
        <w:bottom w:val="none" w:sz="0" w:space="0" w:color="auto"/>
        <w:right w:val="none" w:sz="0" w:space="0" w:color="auto"/>
      </w:divBdr>
    </w:div>
    <w:div w:id="731150821">
      <w:bodyDiv w:val="1"/>
      <w:marLeft w:val="0"/>
      <w:marRight w:val="0"/>
      <w:marTop w:val="0"/>
      <w:marBottom w:val="0"/>
      <w:divBdr>
        <w:top w:val="none" w:sz="0" w:space="0" w:color="auto"/>
        <w:left w:val="none" w:sz="0" w:space="0" w:color="auto"/>
        <w:bottom w:val="none" w:sz="0" w:space="0" w:color="auto"/>
        <w:right w:val="none" w:sz="0" w:space="0" w:color="auto"/>
      </w:divBdr>
      <w:divsChild>
        <w:div w:id="318313090">
          <w:marLeft w:val="480"/>
          <w:marRight w:val="0"/>
          <w:marTop w:val="0"/>
          <w:marBottom w:val="0"/>
          <w:divBdr>
            <w:top w:val="none" w:sz="0" w:space="0" w:color="auto"/>
            <w:left w:val="none" w:sz="0" w:space="0" w:color="auto"/>
            <w:bottom w:val="none" w:sz="0" w:space="0" w:color="auto"/>
            <w:right w:val="none" w:sz="0" w:space="0" w:color="auto"/>
          </w:divBdr>
        </w:div>
        <w:div w:id="1223831805">
          <w:marLeft w:val="480"/>
          <w:marRight w:val="0"/>
          <w:marTop w:val="0"/>
          <w:marBottom w:val="0"/>
          <w:divBdr>
            <w:top w:val="none" w:sz="0" w:space="0" w:color="auto"/>
            <w:left w:val="none" w:sz="0" w:space="0" w:color="auto"/>
            <w:bottom w:val="none" w:sz="0" w:space="0" w:color="auto"/>
            <w:right w:val="none" w:sz="0" w:space="0" w:color="auto"/>
          </w:divBdr>
        </w:div>
        <w:div w:id="1545025092">
          <w:marLeft w:val="480"/>
          <w:marRight w:val="0"/>
          <w:marTop w:val="0"/>
          <w:marBottom w:val="0"/>
          <w:divBdr>
            <w:top w:val="none" w:sz="0" w:space="0" w:color="auto"/>
            <w:left w:val="none" w:sz="0" w:space="0" w:color="auto"/>
            <w:bottom w:val="none" w:sz="0" w:space="0" w:color="auto"/>
            <w:right w:val="none" w:sz="0" w:space="0" w:color="auto"/>
          </w:divBdr>
        </w:div>
        <w:div w:id="1882741031">
          <w:marLeft w:val="480"/>
          <w:marRight w:val="0"/>
          <w:marTop w:val="0"/>
          <w:marBottom w:val="0"/>
          <w:divBdr>
            <w:top w:val="none" w:sz="0" w:space="0" w:color="auto"/>
            <w:left w:val="none" w:sz="0" w:space="0" w:color="auto"/>
            <w:bottom w:val="none" w:sz="0" w:space="0" w:color="auto"/>
            <w:right w:val="none" w:sz="0" w:space="0" w:color="auto"/>
          </w:divBdr>
        </w:div>
        <w:div w:id="2101676006">
          <w:marLeft w:val="480"/>
          <w:marRight w:val="0"/>
          <w:marTop w:val="0"/>
          <w:marBottom w:val="0"/>
          <w:divBdr>
            <w:top w:val="none" w:sz="0" w:space="0" w:color="auto"/>
            <w:left w:val="none" w:sz="0" w:space="0" w:color="auto"/>
            <w:bottom w:val="none" w:sz="0" w:space="0" w:color="auto"/>
            <w:right w:val="none" w:sz="0" w:space="0" w:color="auto"/>
          </w:divBdr>
        </w:div>
      </w:divsChild>
    </w:div>
    <w:div w:id="732194592">
      <w:marLeft w:val="480"/>
      <w:marRight w:val="0"/>
      <w:marTop w:val="0"/>
      <w:marBottom w:val="0"/>
      <w:divBdr>
        <w:top w:val="none" w:sz="0" w:space="0" w:color="auto"/>
        <w:left w:val="none" w:sz="0" w:space="0" w:color="auto"/>
        <w:bottom w:val="none" w:sz="0" w:space="0" w:color="auto"/>
        <w:right w:val="none" w:sz="0" w:space="0" w:color="auto"/>
      </w:divBdr>
    </w:div>
    <w:div w:id="732238692">
      <w:bodyDiv w:val="1"/>
      <w:marLeft w:val="0"/>
      <w:marRight w:val="0"/>
      <w:marTop w:val="0"/>
      <w:marBottom w:val="0"/>
      <w:divBdr>
        <w:top w:val="none" w:sz="0" w:space="0" w:color="auto"/>
        <w:left w:val="none" w:sz="0" w:space="0" w:color="auto"/>
        <w:bottom w:val="none" w:sz="0" w:space="0" w:color="auto"/>
        <w:right w:val="none" w:sz="0" w:space="0" w:color="auto"/>
      </w:divBdr>
      <w:divsChild>
        <w:div w:id="6253620">
          <w:marLeft w:val="480"/>
          <w:marRight w:val="0"/>
          <w:marTop w:val="0"/>
          <w:marBottom w:val="0"/>
          <w:divBdr>
            <w:top w:val="none" w:sz="0" w:space="0" w:color="auto"/>
            <w:left w:val="none" w:sz="0" w:space="0" w:color="auto"/>
            <w:bottom w:val="none" w:sz="0" w:space="0" w:color="auto"/>
            <w:right w:val="none" w:sz="0" w:space="0" w:color="auto"/>
          </w:divBdr>
        </w:div>
        <w:div w:id="535657424">
          <w:marLeft w:val="480"/>
          <w:marRight w:val="0"/>
          <w:marTop w:val="0"/>
          <w:marBottom w:val="0"/>
          <w:divBdr>
            <w:top w:val="none" w:sz="0" w:space="0" w:color="auto"/>
            <w:left w:val="none" w:sz="0" w:space="0" w:color="auto"/>
            <w:bottom w:val="none" w:sz="0" w:space="0" w:color="auto"/>
            <w:right w:val="none" w:sz="0" w:space="0" w:color="auto"/>
          </w:divBdr>
        </w:div>
        <w:div w:id="853154449">
          <w:marLeft w:val="480"/>
          <w:marRight w:val="0"/>
          <w:marTop w:val="0"/>
          <w:marBottom w:val="0"/>
          <w:divBdr>
            <w:top w:val="none" w:sz="0" w:space="0" w:color="auto"/>
            <w:left w:val="none" w:sz="0" w:space="0" w:color="auto"/>
            <w:bottom w:val="none" w:sz="0" w:space="0" w:color="auto"/>
            <w:right w:val="none" w:sz="0" w:space="0" w:color="auto"/>
          </w:divBdr>
        </w:div>
        <w:div w:id="1157040641">
          <w:marLeft w:val="480"/>
          <w:marRight w:val="0"/>
          <w:marTop w:val="0"/>
          <w:marBottom w:val="0"/>
          <w:divBdr>
            <w:top w:val="none" w:sz="0" w:space="0" w:color="auto"/>
            <w:left w:val="none" w:sz="0" w:space="0" w:color="auto"/>
            <w:bottom w:val="none" w:sz="0" w:space="0" w:color="auto"/>
            <w:right w:val="none" w:sz="0" w:space="0" w:color="auto"/>
          </w:divBdr>
        </w:div>
        <w:div w:id="1271938778">
          <w:marLeft w:val="480"/>
          <w:marRight w:val="0"/>
          <w:marTop w:val="0"/>
          <w:marBottom w:val="0"/>
          <w:divBdr>
            <w:top w:val="none" w:sz="0" w:space="0" w:color="auto"/>
            <w:left w:val="none" w:sz="0" w:space="0" w:color="auto"/>
            <w:bottom w:val="none" w:sz="0" w:space="0" w:color="auto"/>
            <w:right w:val="none" w:sz="0" w:space="0" w:color="auto"/>
          </w:divBdr>
        </w:div>
        <w:div w:id="1465198507">
          <w:marLeft w:val="480"/>
          <w:marRight w:val="0"/>
          <w:marTop w:val="0"/>
          <w:marBottom w:val="0"/>
          <w:divBdr>
            <w:top w:val="none" w:sz="0" w:space="0" w:color="auto"/>
            <w:left w:val="none" w:sz="0" w:space="0" w:color="auto"/>
            <w:bottom w:val="none" w:sz="0" w:space="0" w:color="auto"/>
            <w:right w:val="none" w:sz="0" w:space="0" w:color="auto"/>
          </w:divBdr>
        </w:div>
        <w:div w:id="1850093575">
          <w:marLeft w:val="480"/>
          <w:marRight w:val="0"/>
          <w:marTop w:val="0"/>
          <w:marBottom w:val="0"/>
          <w:divBdr>
            <w:top w:val="none" w:sz="0" w:space="0" w:color="auto"/>
            <w:left w:val="none" w:sz="0" w:space="0" w:color="auto"/>
            <w:bottom w:val="none" w:sz="0" w:space="0" w:color="auto"/>
            <w:right w:val="none" w:sz="0" w:space="0" w:color="auto"/>
          </w:divBdr>
        </w:div>
        <w:div w:id="1855998334">
          <w:marLeft w:val="480"/>
          <w:marRight w:val="0"/>
          <w:marTop w:val="0"/>
          <w:marBottom w:val="0"/>
          <w:divBdr>
            <w:top w:val="none" w:sz="0" w:space="0" w:color="auto"/>
            <w:left w:val="none" w:sz="0" w:space="0" w:color="auto"/>
            <w:bottom w:val="none" w:sz="0" w:space="0" w:color="auto"/>
            <w:right w:val="none" w:sz="0" w:space="0" w:color="auto"/>
          </w:divBdr>
        </w:div>
      </w:divsChild>
    </w:div>
    <w:div w:id="733087475">
      <w:marLeft w:val="480"/>
      <w:marRight w:val="0"/>
      <w:marTop w:val="0"/>
      <w:marBottom w:val="0"/>
      <w:divBdr>
        <w:top w:val="none" w:sz="0" w:space="0" w:color="auto"/>
        <w:left w:val="none" w:sz="0" w:space="0" w:color="auto"/>
        <w:bottom w:val="none" w:sz="0" w:space="0" w:color="auto"/>
        <w:right w:val="none" w:sz="0" w:space="0" w:color="auto"/>
      </w:divBdr>
    </w:div>
    <w:div w:id="736972722">
      <w:marLeft w:val="480"/>
      <w:marRight w:val="0"/>
      <w:marTop w:val="0"/>
      <w:marBottom w:val="0"/>
      <w:divBdr>
        <w:top w:val="none" w:sz="0" w:space="0" w:color="auto"/>
        <w:left w:val="none" w:sz="0" w:space="0" w:color="auto"/>
        <w:bottom w:val="none" w:sz="0" w:space="0" w:color="auto"/>
        <w:right w:val="none" w:sz="0" w:space="0" w:color="auto"/>
      </w:divBdr>
    </w:div>
    <w:div w:id="741026017">
      <w:marLeft w:val="480"/>
      <w:marRight w:val="0"/>
      <w:marTop w:val="0"/>
      <w:marBottom w:val="0"/>
      <w:divBdr>
        <w:top w:val="none" w:sz="0" w:space="0" w:color="auto"/>
        <w:left w:val="none" w:sz="0" w:space="0" w:color="auto"/>
        <w:bottom w:val="none" w:sz="0" w:space="0" w:color="auto"/>
        <w:right w:val="none" w:sz="0" w:space="0" w:color="auto"/>
      </w:divBdr>
    </w:div>
    <w:div w:id="741753723">
      <w:marLeft w:val="480"/>
      <w:marRight w:val="0"/>
      <w:marTop w:val="0"/>
      <w:marBottom w:val="0"/>
      <w:divBdr>
        <w:top w:val="none" w:sz="0" w:space="0" w:color="auto"/>
        <w:left w:val="none" w:sz="0" w:space="0" w:color="auto"/>
        <w:bottom w:val="none" w:sz="0" w:space="0" w:color="auto"/>
        <w:right w:val="none" w:sz="0" w:space="0" w:color="auto"/>
      </w:divBdr>
    </w:div>
    <w:div w:id="744259348">
      <w:marLeft w:val="480"/>
      <w:marRight w:val="0"/>
      <w:marTop w:val="0"/>
      <w:marBottom w:val="0"/>
      <w:divBdr>
        <w:top w:val="none" w:sz="0" w:space="0" w:color="auto"/>
        <w:left w:val="none" w:sz="0" w:space="0" w:color="auto"/>
        <w:bottom w:val="none" w:sz="0" w:space="0" w:color="auto"/>
        <w:right w:val="none" w:sz="0" w:space="0" w:color="auto"/>
      </w:divBdr>
    </w:div>
    <w:div w:id="744648699">
      <w:marLeft w:val="480"/>
      <w:marRight w:val="0"/>
      <w:marTop w:val="0"/>
      <w:marBottom w:val="0"/>
      <w:divBdr>
        <w:top w:val="none" w:sz="0" w:space="0" w:color="auto"/>
        <w:left w:val="none" w:sz="0" w:space="0" w:color="auto"/>
        <w:bottom w:val="none" w:sz="0" w:space="0" w:color="auto"/>
        <w:right w:val="none" w:sz="0" w:space="0" w:color="auto"/>
      </w:divBdr>
    </w:div>
    <w:div w:id="746418510">
      <w:marLeft w:val="480"/>
      <w:marRight w:val="0"/>
      <w:marTop w:val="0"/>
      <w:marBottom w:val="0"/>
      <w:divBdr>
        <w:top w:val="none" w:sz="0" w:space="0" w:color="auto"/>
        <w:left w:val="none" w:sz="0" w:space="0" w:color="auto"/>
        <w:bottom w:val="none" w:sz="0" w:space="0" w:color="auto"/>
        <w:right w:val="none" w:sz="0" w:space="0" w:color="auto"/>
      </w:divBdr>
    </w:div>
    <w:div w:id="746730534">
      <w:bodyDiv w:val="1"/>
      <w:marLeft w:val="0"/>
      <w:marRight w:val="0"/>
      <w:marTop w:val="0"/>
      <w:marBottom w:val="0"/>
      <w:divBdr>
        <w:top w:val="none" w:sz="0" w:space="0" w:color="auto"/>
        <w:left w:val="none" w:sz="0" w:space="0" w:color="auto"/>
        <w:bottom w:val="none" w:sz="0" w:space="0" w:color="auto"/>
        <w:right w:val="none" w:sz="0" w:space="0" w:color="auto"/>
      </w:divBdr>
      <w:divsChild>
        <w:div w:id="28995518">
          <w:marLeft w:val="480"/>
          <w:marRight w:val="0"/>
          <w:marTop w:val="0"/>
          <w:marBottom w:val="0"/>
          <w:divBdr>
            <w:top w:val="none" w:sz="0" w:space="0" w:color="auto"/>
            <w:left w:val="none" w:sz="0" w:space="0" w:color="auto"/>
            <w:bottom w:val="none" w:sz="0" w:space="0" w:color="auto"/>
            <w:right w:val="none" w:sz="0" w:space="0" w:color="auto"/>
          </w:divBdr>
        </w:div>
        <w:div w:id="31536420">
          <w:marLeft w:val="480"/>
          <w:marRight w:val="0"/>
          <w:marTop w:val="0"/>
          <w:marBottom w:val="0"/>
          <w:divBdr>
            <w:top w:val="none" w:sz="0" w:space="0" w:color="auto"/>
            <w:left w:val="none" w:sz="0" w:space="0" w:color="auto"/>
            <w:bottom w:val="none" w:sz="0" w:space="0" w:color="auto"/>
            <w:right w:val="none" w:sz="0" w:space="0" w:color="auto"/>
          </w:divBdr>
        </w:div>
        <w:div w:id="748961572">
          <w:marLeft w:val="480"/>
          <w:marRight w:val="0"/>
          <w:marTop w:val="0"/>
          <w:marBottom w:val="0"/>
          <w:divBdr>
            <w:top w:val="none" w:sz="0" w:space="0" w:color="auto"/>
            <w:left w:val="none" w:sz="0" w:space="0" w:color="auto"/>
            <w:bottom w:val="none" w:sz="0" w:space="0" w:color="auto"/>
            <w:right w:val="none" w:sz="0" w:space="0" w:color="auto"/>
          </w:divBdr>
        </w:div>
        <w:div w:id="934871465">
          <w:marLeft w:val="480"/>
          <w:marRight w:val="0"/>
          <w:marTop w:val="0"/>
          <w:marBottom w:val="0"/>
          <w:divBdr>
            <w:top w:val="none" w:sz="0" w:space="0" w:color="auto"/>
            <w:left w:val="none" w:sz="0" w:space="0" w:color="auto"/>
            <w:bottom w:val="none" w:sz="0" w:space="0" w:color="auto"/>
            <w:right w:val="none" w:sz="0" w:space="0" w:color="auto"/>
          </w:divBdr>
        </w:div>
      </w:divsChild>
    </w:div>
    <w:div w:id="747311620">
      <w:marLeft w:val="480"/>
      <w:marRight w:val="0"/>
      <w:marTop w:val="0"/>
      <w:marBottom w:val="0"/>
      <w:divBdr>
        <w:top w:val="none" w:sz="0" w:space="0" w:color="auto"/>
        <w:left w:val="none" w:sz="0" w:space="0" w:color="auto"/>
        <w:bottom w:val="none" w:sz="0" w:space="0" w:color="auto"/>
        <w:right w:val="none" w:sz="0" w:space="0" w:color="auto"/>
      </w:divBdr>
    </w:div>
    <w:div w:id="747918894">
      <w:marLeft w:val="480"/>
      <w:marRight w:val="0"/>
      <w:marTop w:val="0"/>
      <w:marBottom w:val="0"/>
      <w:divBdr>
        <w:top w:val="none" w:sz="0" w:space="0" w:color="auto"/>
        <w:left w:val="none" w:sz="0" w:space="0" w:color="auto"/>
        <w:bottom w:val="none" w:sz="0" w:space="0" w:color="auto"/>
        <w:right w:val="none" w:sz="0" w:space="0" w:color="auto"/>
      </w:divBdr>
    </w:div>
    <w:div w:id="751589417">
      <w:marLeft w:val="480"/>
      <w:marRight w:val="0"/>
      <w:marTop w:val="0"/>
      <w:marBottom w:val="0"/>
      <w:divBdr>
        <w:top w:val="none" w:sz="0" w:space="0" w:color="auto"/>
        <w:left w:val="none" w:sz="0" w:space="0" w:color="auto"/>
        <w:bottom w:val="none" w:sz="0" w:space="0" w:color="auto"/>
        <w:right w:val="none" w:sz="0" w:space="0" w:color="auto"/>
      </w:divBdr>
    </w:div>
    <w:div w:id="751968812">
      <w:marLeft w:val="480"/>
      <w:marRight w:val="0"/>
      <w:marTop w:val="0"/>
      <w:marBottom w:val="0"/>
      <w:divBdr>
        <w:top w:val="none" w:sz="0" w:space="0" w:color="auto"/>
        <w:left w:val="none" w:sz="0" w:space="0" w:color="auto"/>
        <w:bottom w:val="none" w:sz="0" w:space="0" w:color="auto"/>
        <w:right w:val="none" w:sz="0" w:space="0" w:color="auto"/>
      </w:divBdr>
    </w:div>
    <w:div w:id="753554581">
      <w:marLeft w:val="480"/>
      <w:marRight w:val="0"/>
      <w:marTop w:val="0"/>
      <w:marBottom w:val="0"/>
      <w:divBdr>
        <w:top w:val="none" w:sz="0" w:space="0" w:color="auto"/>
        <w:left w:val="none" w:sz="0" w:space="0" w:color="auto"/>
        <w:bottom w:val="none" w:sz="0" w:space="0" w:color="auto"/>
        <w:right w:val="none" w:sz="0" w:space="0" w:color="auto"/>
      </w:divBdr>
    </w:div>
    <w:div w:id="756907000">
      <w:marLeft w:val="480"/>
      <w:marRight w:val="0"/>
      <w:marTop w:val="0"/>
      <w:marBottom w:val="0"/>
      <w:divBdr>
        <w:top w:val="none" w:sz="0" w:space="0" w:color="auto"/>
        <w:left w:val="none" w:sz="0" w:space="0" w:color="auto"/>
        <w:bottom w:val="none" w:sz="0" w:space="0" w:color="auto"/>
        <w:right w:val="none" w:sz="0" w:space="0" w:color="auto"/>
      </w:divBdr>
    </w:div>
    <w:div w:id="758407032">
      <w:bodyDiv w:val="1"/>
      <w:marLeft w:val="0"/>
      <w:marRight w:val="0"/>
      <w:marTop w:val="0"/>
      <w:marBottom w:val="0"/>
      <w:divBdr>
        <w:top w:val="none" w:sz="0" w:space="0" w:color="auto"/>
        <w:left w:val="none" w:sz="0" w:space="0" w:color="auto"/>
        <w:bottom w:val="none" w:sz="0" w:space="0" w:color="auto"/>
        <w:right w:val="none" w:sz="0" w:space="0" w:color="auto"/>
      </w:divBdr>
    </w:div>
    <w:div w:id="758791917">
      <w:bodyDiv w:val="1"/>
      <w:marLeft w:val="0"/>
      <w:marRight w:val="0"/>
      <w:marTop w:val="0"/>
      <w:marBottom w:val="0"/>
      <w:divBdr>
        <w:top w:val="none" w:sz="0" w:space="0" w:color="auto"/>
        <w:left w:val="none" w:sz="0" w:space="0" w:color="auto"/>
        <w:bottom w:val="none" w:sz="0" w:space="0" w:color="auto"/>
        <w:right w:val="none" w:sz="0" w:space="0" w:color="auto"/>
      </w:divBdr>
    </w:div>
    <w:div w:id="760105793">
      <w:marLeft w:val="480"/>
      <w:marRight w:val="0"/>
      <w:marTop w:val="0"/>
      <w:marBottom w:val="0"/>
      <w:divBdr>
        <w:top w:val="none" w:sz="0" w:space="0" w:color="auto"/>
        <w:left w:val="none" w:sz="0" w:space="0" w:color="auto"/>
        <w:bottom w:val="none" w:sz="0" w:space="0" w:color="auto"/>
        <w:right w:val="none" w:sz="0" w:space="0" w:color="auto"/>
      </w:divBdr>
    </w:div>
    <w:div w:id="760174753">
      <w:bodyDiv w:val="1"/>
      <w:marLeft w:val="0"/>
      <w:marRight w:val="0"/>
      <w:marTop w:val="0"/>
      <w:marBottom w:val="0"/>
      <w:divBdr>
        <w:top w:val="none" w:sz="0" w:space="0" w:color="auto"/>
        <w:left w:val="none" w:sz="0" w:space="0" w:color="auto"/>
        <w:bottom w:val="none" w:sz="0" w:space="0" w:color="auto"/>
        <w:right w:val="none" w:sz="0" w:space="0" w:color="auto"/>
      </w:divBdr>
      <w:divsChild>
        <w:div w:id="492453132">
          <w:marLeft w:val="480"/>
          <w:marRight w:val="0"/>
          <w:marTop w:val="0"/>
          <w:marBottom w:val="0"/>
          <w:divBdr>
            <w:top w:val="none" w:sz="0" w:space="0" w:color="auto"/>
            <w:left w:val="none" w:sz="0" w:space="0" w:color="auto"/>
            <w:bottom w:val="none" w:sz="0" w:space="0" w:color="auto"/>
            <w:right w:val="none" w:sz="0" w:space="0" w:color="auto"/>
          </w:divBdr>
        </w:div>
        <w:div w:id="630863046">
          <w:marLeft w:val="480"/>
          <w:marRight w:val="0"/>
          <w:marTop w:val="0"/>
          <w:marBottom w:val="0"/>
          <w:divBdr>
            <w:top w:val="none" w:sz="0" w:space="0" w:color="auto"/>
            <w:left w:val="none" w:sz="0" w:space="0" w:color="auto"/>
            <w:bottom w:val="none" w:sz="0" w:space="0" w:color="auto"/>
            <w:right w:val="none" w:sz="0" w:space="0" w:color="auto"/>
          </w:divBdr>
        </w:div>
        <w:div w:id="1106385272">
          <w:marLeft w:val="480"/>
          <w:marRight w:val="0"/>
          <w:marTop w:val="0"/>
          <w:marBottom w:val="0"/>
          <w:divBdr>
            <w:top w:val="none" w:sz="0" w:space="0" w:color="auto"/>
            <w:left w:val="none" w:sz="0" w:space="0" w:color="auto"/>
            <w:bottom w:val="none" w:sz="0" w:space="0" w:color="auto"/>
            <w:right w:val="none" w:sz="0" w:space="0" w:color="auto"/>
          </w:divBdr>
        </w:div>
        <w:div w:id="1565066583">
          <w:marLeft w:val="480"/>
          <w:marRight w:val="0"/>
          <w:marTop w:val="0"/>
          <w:marBottom w:val="0"/>
          <w:divBdr>
            <w:top w:val="none" w:sz="0" w:space="0" w:color="auto"/>
            <w:left w:val="none" w:sz="0" w:space="0" w:color="auto"/>
            <w:bottom w:val="none" w:sz="0" w:space="0" w:color="auto"/>
            <w:right w:val="none" w:sz="0" w:space="0" w:color="auto"/>
          </w:divBdr>
        </w:div>
        <w:div w:id="2048943015">
          <w:marLeft w:val="480"/>
          <w:marRight w:val="0"/>
          <w:marTop w:val="0"/>
          <w:marBottom w:val="0"/>
          <w:divBdr>
            <w:top w:val="none" w:sz="0" w:space="0" w:color="auto"/>
            <w:left w:val="none" w:sz="0" w:space="0" w:color="auto"/>
            <w:bottom w:val="none" w:sz="0" w:space="0" w:color="auto"/>
            <w:right w:val="none" w:sz="0" w:space="0" w:color="auto"/>
          </w:divBdr>
        </w:div>
      </w:divsChild>
    </w:div>
    <w:div w:id="760488984">
      <w:marLeft w:val="480"/>
      <w:marRight w:val="0"/>
      <w:marTop w:val="0"/>
      <w:marBottom w:val="0"/>
      <w:divBdr>
        <w:top w:val="none" w:sz="0" w:space="0" w:color="auto"/>
        <w:left w:val="none" w:sz="0" w:space="0" w:color="auto"/>
        <w:bottom w:val="none" w:sz="0" w:space="0" w:color="auto"/>
        <w:right w:val="none" w:sz="0" w:space="0" w:color="auto"/>
      </w:divBdr>
    </w:div>
    <w:div w:id="765349010">
      <w:bodyDiv w:val="1"/>
      <w:marLeft w:val="0"/>
      <w:marRight w:val="0"/>
      <w:marTop w:val="0"/>
      <w:marBottom w:val="0"/>
      <w:divBdr>
        <w:top w:val="none" w:sz="0" w:space="0" w:color="auto"/>
        <w:left w:val="none" w:sz="0" w:space="0" w:color="auto"/>
        <w:bottom w:val="none" w:sz="0" w:space="0" w:color="auto"/>
        <w:right w:val="none" w:sz="0" w:space="0" w:color="auto"/>
      </w:divBdr>
    </w:div>
    <w:div w:id="766926396">
      <w:marLeft w:val="480"/>
      <w:marRight w:val="0"/>
      <w:marTop w:val="0"/>
      <w:marBottom w:val="0"/>
      <w:divBdr>
        <w:top w:val="none" w:sz="0" w:space="0" w:color="auto"/>
        <w:left w:val="none" w:sz="0" w:space="0" w:color="auto"/>
        <w:bottom w:val="none" w:sz="0" w:space="0" w:color="auto"/>
        <w:right w:val="none" w:sz="0" w:space="0" w:color="auto"/>
      </w:divBdr>
    </w:div>
    <w:div w:id="768308511">
      <w:marLeft w:val="480"/>
      <w:marRight w:val="0"/>
      <w:marTop w:val="0"/>
      <w:marBottom w:val="0"/>
      <w:divBdr>
        <w:top w:val="none" w:sz="0" w:space="0" w:color="auto"/>
        <w:left w:val="none" w:sz="0" w:space="0" w:color="auto"/>
        <w:bottom w:val="none" w:sz="0" w:space="0" w:color="auto"/>
        <w:right w:val="none" w:sz="0" w:space="0" w:color="auto"/>
      </w:divBdr>
    </w:div>
    <w:div w:id="770900772">
      <w:bodyDiv w:val="1"/>
      <w:marLeft w:val="0"/>
      <w:marRight w:val="0"/>
      <w:marTop w:val="0"/>
      <w:marBottom w:val="0"/>
      <w:divBdr>
        <w:top w:val="none" w:sz="0" w:space="0" w:color="auto"/>
        <w:left w:val="none" w:sz="0" w:space="0" w:color="auto"/>
        <w:bottom w:val="none" w:sz="0" w:space="0" w:color="auto"/>
        <w:right w:val="none" w:sz="0" w:space="0" w:color="auto"/>
      </w:divBdr>
    </w:div>
    <w:div w:id="771509807">
      <w:bodyDiv w:val="1"/>
      <w:marLeft w:val="0"/>
      <w:marRight w:val="0"/>
      <w:marTop w:val="0"/>
      <w:marBottom w:val="0"/>
      <w:divBdr>
        <w:top w:val="none" w:sz="0" w:space="0" w:color="auto"/>
        <w:left w:val="none" w:sz="0" w:space="0" w:color="auto"/>
        <w:bottom w:val="none" w:sz="0" w:space="0" w:color="auto"/>
        <w:right w:val="none" w:sz="0" w:space="0" w:color="auto"/>
      </w:divBdr>
      <w:divsChild>
        <w:div w:id="69079105">
          <w:marLeft w:val="480"/>
          <w:marRight w:val="0"/>
          <w:marTop w:val="0"/>
          <w:marBottom w:val="0"/>
          <w:divBdr>
            <w:top w:val="none" w:sz="0" w:space="0" w:color="auto"/>
            <w:left w:val="none" w:sz="0" w:space="0" w:color="auto"/>
            <w:bottom w:val="none" w:sz="0" w:space="0" w:color="auto"/>
            <w:right w:val="none" w:sz="0" w:space="0" w:color="auto"/>
          </w:divBdr>
        </w:div>
        <w:div w:id="364062496">
          <w:marLeft w:val="480"/>
          <w:marRight w:val="0"/>
          <w:marTop w:val="0"/>
          <w:marBottom w:val="0"/>
          <w:divBdr>
            <w:top w:val="none" w:sz="0" w:space="0" w:color="auto"/>
            <w:left w:val="none" w:sz="0" w:space="0" w:color="auto"/>
            <w:bottom w:val="none" w:sz="0" w:space="0" w:color="auto"/>
            <w:right w:val="none" w:sz="0" w:space="0" w:color="auto"/>
          </w:divBdr>
        </w:div>
        <w:div w:id="688608994">
          <w:marLeft w:val="480"/>
          <w:marRight w:val="0"/>
          <w:marTop w:val="0"/>
          <w:marBottom w:val="0"/>
          <w:divBdr>
            <w:top w:val="none" w:sz="0" w:space="0" w:color="auto"/>
            <w:left w:val="none" w:sz="0" w:space="0" w:color="auto"/>
            <w:bottom w:val="none" w:sz="0" w:space="0" w:color="auto"/>
            <w:right w:val="none" w:sz="0" w:space="0" w:color="auto"/>
          </w:divBdr>
        </w:div>
        <w:div w:id="941110265">
          <w:marLeft w:val="480"/>
          <w:marRight w:val="0"/>
          <w:marTop w:val="0"/>
          <w:marBottom w:val="0"/>
          <w:divBdr>
            <w:top w:val="none" w:sz="0" w:space="0" w:color="auto"/>
            <w:left w:val="none" w:sz="0" w:space="0" w:color="auto"/>
            <w:bottom w:val="none" w:sz="0" w:space="0" w:color="auto"/>
            <w:right w:val="none" w:sz="0" w:space="0" w:color="auto"/>
          </w:divBdr>
        </w:div>
        <w:div w:id="984427996">
          <w:marLeft w:val="480"/>
          <w:marRight w:val="0"/>
          <w:marTop w:val="0"/>
          <w:marBottom w:val="0"/>
          <w:divBdr>
            <w:top w:val="none" w:sz="0" w:space="0" w:color="auto"/>
            <w:left w:val="none" w:sz="0" w:space="0" w:color="auto"/>
            <w:bottom w:val="none" w:sz="0" w:space="0" w:color="auto"/>
            <w:right w:val="none" w:sz="0" w:space="0" w:color="auto"/>
          </w:divBdr>
        </w:div>
        <w:div w:id="1053846097">
          <w:marLeft w:val="480"/>
          <w:marRight w:val="0"/>
          <w:marTop w:val="0"/>
          <w:marBottom w:val="0"/>
          <w:divBdr>
            <w:top w:val="none" w:sz="0" w:space="0" w:color="auto"/>
            <w:left w:val="none" w:sz="0" w:space="0" w:color="auto"/>
            <w:bottom w:val="none" w:sz="0" w:space="0" w:color="auto"/>
            <w:right w:val="none" w:sz="0" w:space="0" w:color="auto"/>
          </w:divBdr>
        </w:div>
        <w:div w:id="1328246889">
          <w:marLeft w:val="480"/>
          <w:marRight w:val="0"/>
          <w:marTop w:val="0"/>
          <w:marBottom w:val="0"/>
          <w:divBdr>
            <w:top w:val="none" w:sz="0" w:space="0" w:color="auto"/>
            <w:left w:val="none" w:sz="0" w:space="0" w:color="auto"/>
            <w:bottom w:val="none" w:sz="0" w:space="0" w:color="auto"/>
            <w:right w:val="none" w:sz="0" w:space="0" w:color="auto"/>
          </w:divBdr>
        </w:div>
        <w:div w:id="1454669389">
          <w:marLeft w:val="480"/>
          <w:marRight w:val="0"/>
          <w:marTop w:val="0"/>
          <w:marBottom w:val="0"/>
          <w:divBdr>
            <w:top w:val="none" w:sz="0" w:space="0" w:color="auto"/>
            <w:left w:val="none" w:sz="0" w:space="0" w:color="auto"/>
            <w:bottom w:val="none" w:sz="0" w:space="0" w:color="auto"/>
            <w:right w:val="none" w:sz="0" w:space="0" w:color="auto"/>
          </w:divBdr>
        </w:div>
        <w:div w:id="1477527320">
          <w:marLeft w:val="480"/>
          <w:marRight w:val="0"/>
          <w:marTop w:val="0"/>
          <w:marBottom w:val="0"/>
          <w:divBdr>
            <w:top w:val="none" w:sz="0" w:space="0" w:color="auto"/>
            <w:left w:val="none" w:sz="0" w:space="0" w:color="auto"/>
            <w:bottom w:val="none" w:sz="0" w:space="0" w:color="auto"/>
            <w:right w:val="none" w:sz="0" w:space="0" w:color="auto"/>
          </w:divBdr>
        </w:div>
        <w:div w:id="1666976028">
          <w:marLeft w:val="480"/>
          <w:marRight w:val="0"/>
          <w:marTop w:val="0"/>
          <w:marBottom w:val="0"/>
          <w:divBdr>
            <w:top w:val="none" w:sz="0" w:space="0" w:color="auto"/>
            <w:left w:val="none" w:sz="0" w:space="0" w:color="auto"/>
            <w:bottom w:val="none" w:sz="0" w:space="0" w:color="auto"/>
            <w:right w:val="none" w:sz="0" w:space="0" w:color="auto"/>
          </w:divBdr>
        </w:div>
        <w:div w:id="1692762079">
          <w:marLeft w:val="480"/>
          <w:marRight w:val="0"/>
          <w:marTop w:val="0"/>
          <w:marBottom w:val="0"/>
          <w:divBdr>
            <w:top w:val="none" w:sz="0" w:space="0" w:color="auto"/>
            <w:left w:val="none" w:sz="0" w:space="0" w:color="auto"/>
            <w:bottom w:val="none" w:sz="0" w:space="0" w:color="auto"/>
            <w:right w:val="none" w:sz="0" w:space="0" w:color="auto"/>
          </w:divBdr>
        </w:div>
      </w:divsChild>
    </w:div>
    <w:div w:id="773019254">
      <w:marLeft w:val="480"/>
      <w:marRight w:val="0"/>
      <w:marTop w:val="0"/>
      <w:marBottom w:val="0"/>
      <w:divBdr>
        <w:top w:val="none" w:sz="0" w:space="0" w:color="auto"/>
        <w:left w:val="none" w:sz="0" w:space="0" w:color="auto"/>
        <w:bottom w:val="none" w:sz="0" w:space="0" w:color="auto"/>
        <w:right w:val="none" w:sz="0" w:space="0" w:color="auto"/>
      </w:divBdr>
    </w:div>
    <w:div w:id="775100816">
      <w:marLeft w:val="480"/>
      <w:marRight w:val="0"/>
      <w:marTop w:val="0"/>
      <w:marBottom w:val="0"/>
      <w:divBdr>
        <w:top w:val="none" w:sz="0" w:space="0" w:color="auto"/>
        <w:left w:val="none" w:sz="0" w:space="0" w:color="auto"/>
        <w:bottom w:val="none" w:sz="0" w:space="0" w:color="auto"/>
        <w:right w:val="none" w:sz="0" w:space="0" w:color="auto"/>
      </w:divBdr>
    </w:div>
    <w:div w:id="776874013">
      <w:marLeft w:val="480"/>
      <w:marRight w:val="0"/>
      <w:marTop w:val="0"/>
      <w:marBottom w:val="0"/>
      <w:divBdr>
        <w:top w:val="none" w:sz="0" w:space="0" w:color="auto"/>
        <w:left w:val="none" w:sz="0" w:space="0" w:color="auto"/>
        <w:bottom w:val="none" w:sz="0" w:space="0" w:color="auto"/>
        <w:right w:val="none" w:sz="0" w:space="0" w:color="auto"/>
      </w:divBdr>
    </w:div>
    <w:div w:id="779490357">
      <w:bodyDiv w:val="1"/>
      <w:marLeft w:val="0"/>
      <w:marRight w:val="0"/>
      <w:marTop w:val="0"/>
      <w:marBottom w:val="0"/>
      <w:divBdr>
        <w:top w:val="none" w:sz="0" w:space="0" w:color="auto"/>
        <w:left w:val="none" w:sz="0" w:space="0" w:color="auto"/>
        <w:bottom w:val="none" w:sz="0" w:space="0" w:color="auto"/>
        <w:right w:val="none" w:sz="0" w:space="0" w:color="auto"/>
      </w:divBdr>
    </w:div>
    <w:div w:id="780030266">
      <w:bodyDiv w:val="1"/>
      <w:marLeft w:val="0"/>
      <w:marRight w:val="0"/>
      <w:marTop w:val="0"/>
      <w:marBottom w:val="0"/>
      <w:divBdr>
        <w:top w:val="none" w:sz="0" w:space="0" w:color="auto"/>
        <w:left w:val="none" w:sz="0" w:space="0" w:color="auto"/>
        <w:bottom w:val="none" w:sz="0" w:space="0" w:color="auto"/>
        <w:right w:val="none" w:sz="0" w:space="0" w:color="auto"/>
      </w:divBdr>
      <w:divsChild>
        <w:div w:id="17825861">
          <w:marLeft w:val="480"/>
          <w:marRight w:val="0"/>
          <w:marTop w:val="0"/>
          <w:marBottom w:val="0"/>
          <w:divBdr>
            <w:top w:val="none" w:sz="0" w:space="0" w:color="auto"/>
            <w:left w:val="none" w:sz="0" w:space="0" w:color="auto"/>
            <w:bottom w:val="none" w:sz="0" w:space="0" w:color="auto"/>
            <w:right w:val="none" w:sz="0" w:space="0" w:color="auto"/>
          </w:divBdr>
        </w:div>
        <w:div w:id="35131800">
          <w:marLeft w:val="480"/>
          <w:marRight w:val="0"/>
          <w:marTop w:val="0"/>
          <w:marBottom w:val="0"/>
          <w:divBdr>
            <w:top w:val="none" w:sz="0" w:space="0" w:color="auto"/>
            <w:left w:val="none" w:sz="0" w:space="0" w:color="auto"/>
            <w:bottom w:val="none" w:sz="0" w:space="0" w:color="auto"/>
            <w:right w:val="none" w:sz="0" w:space="0" w:color="auto"/>
          </w:divBdr>
        </w:div>
        <w:div w:id="69425432">
          <w:marLeft w:val="480"/>
          <w:marRight w:val="0"/>
          <w:marTop w:val="0"/>
          <w:marBottom w:val="0"/>
          <w:divBdr>
            <w:top w:val="none" w:sz="0" w:space="0" w:color="auto"/>
            <w:left w:val="none" w:sz="0" w:space="0" w:color="auto"/>
            <w:bottom w:val="none" w:sz="0" w:space="0" w:color="auto"/>
            <w:right w:val="none" w:sz="0" w:space="0" w:color="auto"/>
          </w:divBdr>
        </w:div>
        <w:div w:id="145360851">
          <w:marLeft w:val="480"/>
          <w:marRight w:val="0"/>
          <w:marTop w:val="0"/>
          <w:marBottom w:val="0"/>
          <w:divBdr>
            <w:top w:val="none" w:sz="0" w:space="0" w:color="auto"/>
            <w:left w:val="none" w:sz="0" w:space="0" w:color="auto"/>
            <w:bottom w:val="none" w:sz="0" w:space="0" w:color="auto"/>
            <w:right w:val="none" w:sz="0" w:space="0" w:color="auto"/>
          </w:divBdr>
        </w:div>
        <w:div w:id="384181601">
          <w:marLeft w:val="480"/>
          <w:marRight w:val="0"/>
          <w:marTop w:val="0"/>
          <w:marBottom w:val="0"/>
          <w:divBdr>
            <w:top w:val="none" w:sz="0" w:space="0" w:color="auto"/>
            <w:left w:val="none" w:sz="0" w:space="0" w:color="auto"/>
            <w:bottom w:val="none" w:sz="0" w:space="0" w:color="auto"/>
            <w:right w:val="none" w:sz="0" w:space="0" w:color="auto"/>
          </w:divBdr>
        </w:div>
        <w:div w:id="809784254">
          <w:marLeft w:val="480"/>
          <w:marRight w:val="0"/>
          <w:marTop w:val="0"/>
          <w:marBottom w:val="0"/>
          <w:divBdr>
            <w:top w:val="none" w:sz="0" w:space="0" w:color="auto"/>
            <w:left w:val="none" w:sz="0" w:space="0" w:color="auto"/>
            <w:bottom w:val="none" w:sz="0" w:space="0" w:color="auto"/>
            <w:right w:val="none" w:sz="0" w:space="0" w:color="auto"/>
          </w:divBdr>
        </w:div>
        <w:div w:id="970214222">
          <w:marLeft w:val="480"/>
          <w:marRight w:val="0"/>
          <w:marTop w:val="0"/>
          <w:marBottom w:val="0"/>
          <w:divBdr>
            <w:top w:val="none" w:sz="0" w:space="0" w:color="auto"/>
            <w:left w:val="none" w:sz="0" w:space="0" w:color="auto"/>
            <w:bottom w:val="none" w:sz="0" w:space="0" w:color="auto"/>
            <w:right w:val="none" w:sz="0" w:space="0" w:color="auto"/>
          </w:divBdr>
        </w:div>
        <w:div w:id="1195773066">
          <w:marLeft w:val="480"/>
          <w:marRight w:val="0"/>
          <w:marTop w:val="0"/>
          <w:marBottom w:val="0"/>
          <w:divBdr>
            <w:top w:val="none" w:sz="0" w:space="0" w:color="auto"/>
            <w:left w:val="none" w:sz="0" w:space="0" w:color="auto"/>
            <w:bottom w:val="none" w:sz="0" w:space="0" w:color="auto"/>
            <w:right w:val="none" w:sz="0" w:space="0" w:color="auto"/>
          </w:divBdr>
        </w:div>
      </w:divsChild>
    </w:div>
    <w:div w:id="780875259">
      <w:marLeft w:val="480"/>
      <w:marRight w:val="0"/>
      <w:marTop w:val="0"/>
      <w:marBottom w:val="0"/>
      <w:divBdr>
        <w:top w:val="none" w:sz="0" w:space="0" w:color="auto"/>
        <w:left w:val="none" w:sz="0" w:space="0" w:color="auto"/>
        <w:bottom w:val="none" w:sz="0" w:space="0" w:color="auto"/>
        <w:right w:val="none" w:sz="0" w:space="0" w:color="auto"/>
      </w:divBdr>
    </w:div>
    <w:div w:id="782194416">
      <w:marLeft w:val="480"/>
      <w:marRight w:val="0"/>
      <w:marTop w:val="0"/>
      <w:marBottom w:val="0"/>
      <w:divBdr>
        <w:top w:val="none" w:sz="0" w:space="0" w:color="auto"/>
        <w:left w:val="none" w:sz="0" w:space="0" w:color="auto"/>
        <w:bottom w:val="none" w:sz="0" w:space="0" w:color="auto"/>
        <w:right w:val="none" w:sz="0" w:space="0" w:color="auto"/>
      </w:divBdr>
    </w:div>
    <w:div w:id="785933260">
      <w:marLeft w:val="480"/>
      <w:marRight w:val="0"/>
      <w:marTop w:val="0"/>
      <w:marBottom w:val="0"/>
      <w:divBdr>
        <w:top w:val="none" w:sz="0" w:space="0" w:color="auto"/>
        <w:left w:val="none" w:sz="0" w:space="0" w:color="auto"/>
        <w:bottom w:val="none" w:sz="0" w:space="0" w:color="auto"/>
        <w:right w:val="none" w:sz="0" w:space="0" w:color="auto"/>
      </w:divBdr>
    </w:div>
    <w:div w:id="786509495">
      <w:marLeft w:val="480"/>
      <w:marRight w:val="0"/>
      <w:marTop w:val="0"/>
      <w:marBottom w:val="0"/>
      <w:divBdr>
        <w:top w:val="none" w:sz="0" w:space="0" w:color="auto"/>
        <w:left w:val="none" w:sz="0" w:space="0" w:color="auto"/>
        <w:bottom w:val="none" w:sz="0" w:space="0" w:color="auto"/>
        <w:right w:val="none" w:sz="0" w:space="0" w:color="auto"/>
      </w:divBdr>
    </w:div>
    <w:div w:id="786630052">
      <w:bodyDiv w:val="1"/>
      <w:marLeft w:val="0"/>
      <w:marRight w:val="0"/>
      <w:marTop w:val="0"/>
      <w:marBottom w:val="0"/>
      <w:divBdr>
        <w:top w:val="none" w:sz="0" w:space="0" w:color="auto"/>
        <w:left w:val="none" w:sz="0" w:space="0" w:color="auto"/>
        <w:bottom w:val="none" w:sz="0" w:space="0" w:color="auto"/>
        <w:right w:val="none" w:sz="0" w:space="0" w:color="auto"/>
      </w:divBdr>
    </w:div>
    <w:div w:id="787701038">
      <w:marLeft w:val="480"/>
      <w:marRight w:val="0"/>
      <w:marTop w:val="0"/>
      <w:marBottom w:val="0"/>
      <w:divBdr>
        <w:top w:val="none" w:sz="0" w:space="0" w:color="auto"/>
        <w:left w:val="none" w:sz="0" w:space="0" w:color="auto"/>
        <w:bottom w:val="none" w:sz="0" w:space="0" w:color="auto"/>
        <w:right w:val="none" w:sz="0" w:space="0" w:color="auto"/>
      </w:divBdr>
    </w:div>
    <w:div w:id="788205137">
      <w:bodyDiv w:val="1"/>
      <w:marLeft w:val="0"/>
      <w:marRight w:val="0"/>
      <w:marTop w:val="0"/>
      <w:marBottom w:val="0"/>
      <w:divBdr>
        <w:top w:val="none" w:sz="0" w:space="0" w:color="auto"/>
        <w:left w:val="none" w:sz="0" w:space="0" w:color="auto"/>
        <w:bottom w:val="none" w:sz="0" w:space="0" w:color="auto"/>
        <w:right w:val="none" w:sz="0" w:space="0" w:color="auto"/>
      </w:divBdr>
      <w:divsChild>
        <w:div w:id="1160004544">
          <w:marLeft w:val="0"/>
          <w:marRight w:val="0"/>
          <w:marTop w:val="0"/>
          <w:marBottom w:val="0"/>
          <w:divBdr>
            <w:top w:val="none" w:sz="0" w:space="0" w:color="auto"/>
            <w:left w:val="none" w:sz="0" w:space="0" w:color="auto"/>
            <w:bottom w:val="none" w:sz="0" w:space="0" w:color="auto"/>
            <w:right w:val="none" w:sz="0" w:space="0" w:color="auto"/>
          </w:divBdr>
          <w:divsChild>
            <w:div w:id="608926697">
              <w:marLeft w:val="0"/>
              <w:marRight w:val="0"/>
              <w:marTop w:val="0"/>
              <w:marBottom w:val="0"/>
              <w:divBdr>
                <w:top w:val="none" w:sz="0" w:space="0" w:color="auto"/>
                <w:left w:val="none" w:sz="0" w:space="0" w:color="auto"/>
                <w:bottom w:val="none" w:sz="0" w:space="0" w:color="auto"/>
                <w:right w:val="none" w:sz="0" w:space="0" w:color="auto"/>
              </w:divBdr>
              <w:divsChild>
                <w:div w:id="1419642281">
                  <w:marLeft w:val="0"/>
                  <w:marRight w:val="0"/>
                  <w:marTop w:val="0"/>
                  <w:marBottom w:val="0"/>
                  <w:divBdr>
                    <w:top w:val="none" w:sz="0" w:space="0" w:color="auto"/>
                    <w:left w:val="none" w:sz="0" w:space="0" w:color="auto"/>
                    <w:bottom w:val="none" w:sz="0" w:space="0" w:color="auto"/>
                    <w:right w:val="none" w:sz="0" w:space="0" w:color="auto"/>
                  </w:divBdr>
                  <w:divsChild>
                    <w:div w:id="17111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95117">
      <w:marLeft w:val="480"/>
      <w:marRight w:val="0"/>
      <w:marTop w:val="0"/>
      <w:marBottom w:val="0"/>
      <w:divBdr>
        <w:top w:val="none" w:sz="0" w:space="0" w:color="auto"/>
        <w:left w:val="none" w:sz="0" w:space="0" w:color="auto"/>
        <w:bottom w:val="none" w:sz="0" w:space="0" w:color="auto"/>
        <w:right w:val="none" w:sz="0" w:space="0" w:color="auto"/>
      </w:divBdr>
    </w:div>
    <w:div w:id="792864862">
      <w:marLeft w:val="480"/>
      <w:marRight w:val="0"/>
      <w:marTop w:val="0"/>
      <w:marBottom w:val="0"/>
      <w:divBdr>
        <w:top w:val="none" w:sz="0" w:space="0" w:color="auto"/>
        <w:left w:val="none" w:sz="0" w:space="0" w:color="auto"/>
        <w:bottom w:val="none" w:sz="0" w:space="0" w:color="auto"/>
        <w:right w:val="none" w:sz="0" w:space="0" w:color="auto"/>
      </w:divBdr>
    </w:div>
    <w:div w:id="794638321">
      <w:marLeft w:val="480"/>
      <w:marRight w:val="0"/>
      <w:marTop w:val="0"/>
      <w:marBottom w:val="0"/>
      <w:divBdr>
        <w:top w:val="none" w:sz="0" w:space="0" w:color="auto"/>
        <w:left w:val="none" w:sz="0" w:space="0" w:color="auto"/>
        <w:bottom w:val="none" w:sz="0" w:space="0" w:color="auto"/>
        <w:right w:val="none" w:sz="0" w:space="0" w:color="auto"/>
      </w:divBdr>
    </w:div>
    <w:div w:id="799105000">
      <w:bodyDiv w:val="1"/>
      <w:marLeft w:val="0"/>
      <w:marRight w:val="0"/>
      <w:marTop w:val="0"/>
      <w:marBottom w:val="0"/>
      <w:divBdr>
        <w:top w:val="none" w:sz="0" w:space="0" w:color="auto"/>
        <w:left w:val="none" w:sz="0" w:space="0" w:color="auto"/>
        <w:bottom w:val="none" w:sz="0" w:space="0" w:color="auto"/>
        <w:right w:val="none" w:sz="0" w:space="0" w:color="auto"/>
      </w:divBdr>
    </w:div>
    <w:div w:id="799343019">
      <w:marLeft w:val="480"/>
      <w:marRight w:val="0"/>
      <w:marTop w:val="0"/>
      <w:marBottom w:val="0"/>
      <w:divBdr>
        <w:top w:val="none" w:sz="0" w:space="0" w:color="auto"/>
        <w:left w:val="none" w:sz="0" w:space="0" w:color="auto"/>
        <w:bottom w:val="none" w:sz="0" w:space="0" w:color="auto"/>
        <w:right w:val="none" w:sz="0" w:space="0" w:color="auto"/>
      </w:divBdr>
    </w:div>
    <w:div w:id="799423177">
      <w:marLeft w:val="480"/>
      <w:marRight w:val="0"/>
      <w:marTop w:val="0"/>
      <w:marBottom w:val="0"/>
      <w:divBdr>
        <w:top w:val="none" w:sz="0" w:space="0" w:color="auto"/>
        <w:left w:val="none" w:sz="0" w:space="0" w:color="auto"/>
        <w:bottom w:val="none" w:sz="0" w:space="0" w:color="auto"/>
        <w:right w:val="none" w:sz="0" w:space="0" w:color="auto"/>
      </w:divBdr>
    </w:div>
    <w:div w:id="799494691">
      <w:marLeft w:val="480"/>
      <w:marRight w:val="0"/>
      <w:marTop w:val="0"/>
      <w:marBottom w:val="0"/>
      <w:divBdr>
        <w:top w:val="none" w:sz="0" w:space="0" w:color="auto"/>
        <w:left w:val="none" w:sz="0" w:space="0" w:color="auto"/>
        <w:bottom w:val="none" w:sz="0" w:space="0" w:color="auto"/>
        <w:right w:val="none" w:sz="0" w:space="0" w:color="auto"/>
      </w:divBdr>
    </w:div>
    <w:div w:id="800537192">
      <w:marLeft w:val="480"/>
      <w:marRight w:val="0"/>
      <w:marTop w:val="0"/>
      <w:marBottom w:val="0"/>
      <w:divBdr>
        <w:top w:val="none" w:sz="0" w:space="0" w:color="auto"/>
        <w:left w:val="none" w:sz="0" w:space="0" w:color="auto"/>
        <w:bottom w:val="none" w:sz="0" w:space="0" w:color="auto"/>
        <w:right w:val="none" w:sz="0" w:space="0" w:color="auto"/>
      </w:divBdr>
    </w:div>
    <w:div w:id="801534839">
      <w:bodyDiv w:val="1"/>
      <w:marLeft w:val="0"/>
      <w:marRight w:val="0"/>
      <w:marTop w:val="0"/>
      <w:marBottom w:val="0"/>
      <w:divBdr>
        <w:top w:val="none" w:sz="0" w:space="0" w:color="auto"/>
        <w:left w:val="none" w:sz="0" w:space="0" w:color="auto"/>
        <w:bottom w:val="none" w:sz="0" w:space="0" w:color="auto"/>
        <w:right w:val="none" w:sz="0" w:space="0" w:color="auto"/>
      </w:divBdr>
    </w:div>
    <w:div w:id="803229421">
      <w:marLeft w:val="480"/>
      <w:marRight w:val="0"/>
      <w:marTop w:val="0"/>
      <w:marBottom w:val="0"/>
      <w:divBdr>
        <w:top w:val="none" w:sz="0" w:space="0" w:color="auto"/>
        <w:left w:val="none" w:sz="0" w:space="0" w:color="auto"/>
        <w:bottom w:val="none" w:sz="0" w:space="0" w:color="auto"/>
        <w:right w:val="none" w:sz="0" w:space="0" w:color="auto"/>
      </w:divBdr>
    </w:div>
    <w:div w:id="803935765">
      <w:marLeft w:val="480"/>
      <w:marRight w:val="0"/>
      <w:marTop w:val="0"/>
      <w:marBottom w:val="0"/>
      <w:divBdr>
        <w:top w:val="none" w:sz="0" w:space="0" w:color="auto"/>
        <w:left w:val="none" w:sz="0" w:space="0" w:color="auto"/>
        <w:bottom w:val="none" w:sz="0" w:space="0" w:color="auto"/>
        <w:right w:val="none" w:sz="0" w:space="0" w:color="auto"/>
      </w:divBdr>
    </w:div>
    <w:div w:id="805665133">
      <w:marLeft w:val="480"/>
      <w:marRight w:val="0"/>
      <w:marTop w:val="0"/>
      <w:marBottom w:val="0"/>
      <w:divBdr>
        <w:top w:val="none" w:sz="0" w:space="0" w:color="auto"/>
        <w:left w:val="none" w:sz="0" w:space="0" w:color="auto"/>
        <w:bottom w:val="none" w:sz="0" w:space="0" w:color="auto"/>
        <w:right w:val="none" w:sz="0" w:space="0" w:color="auto"/>
      </w:divBdr>
    </w:div>
    <w:div w:id="806556854">
      <w:marLeft w:val="480"/>
      <w:marRight w:val="0"/>
      <w:marTop w:val="0"/>
      <w:marBottom w:val="0"/>
      <w:divBdr>
        <w:top w:val="none" w:sz="0" w:space="0" w:color="auto"/>
        <w:left w:val="none" w:sz="0" w:space="0" w:color="auto"/>
        <w:bottom w:val="none" w:sz="0" w:space="0" w:color="auto"/>
        <w:right w:val="none" w:sz="0" w:space="0" w:color="auto"/>
      </w:divBdr>
    </w:div>
    <w:div w:id="807285849">
      <w:marLeft w:val="480"/>
      <w:marRight w:val="0"/>
      <w:marTop w:val="0"/>
      <w:marBottom w:val="0"/>
      <w:divBdr>
        <w:top w:val="none" w:sz="0" w:space="0" w:color="auto"/>
        <w:left w:val="none" w:sz="0" w:space="0" w:color="auto"/>
        <w:bottom w:val="none" w:sz="0" w:space="0" w:color="auto"/>
        <w:right w:val="none" w:sz="0" w:space="0" w:color="auto"/>
      </w:divBdr>
    </w:div>
    <w:div w:id="807627128">
      <w:bodyDiv w:val="1"/>
      <w:marLeft w:val="0"/>
      <w:marRight w:val="0"/>
      <w:marTop w:val="0"/>
      <w:marBottom w:val="0"/>
      <w:divBdr>
        <w:top w:val="none" w:sz="0" w:space="0" w:color="auto"/>
        <w:left w:val="none" w:sz="0" w:space="0" w:color="auto"/>
        <w:bottom w:val="none" w:sz="0" w:space="0" w:color="auto"/>
        <w:right w:val="none" w:sz="0" w:space="0" w:color="auto"/>
      </w:divBdr>
    </w:div>
    <w:div w:id="809594443">
      <w:marLeft w:val="480"/>
      <w:marRight w:val="0"/>
      <w:marTop w:val="0"/>
      <w:marBottom w:val="0"/>
      <w:divBdr>
        <w:top w:val="none" w:sz="0" w:space="0" w:color="auto"/>
        <w:left w:val="none" w:sz="0" w:space="0" w:color="auto"/>
        <w:bottom w:val="none" w:sz="0" w:space="0" w:color="auto"/>
        <w:right w:val="none" w:sz="0" w:space="0" w:color="auto"/>
      </w:divBdr>
    </w:div>
    <w:div w:id="809786317">
      <w:marLeft w:val="480"/>
      <w:marRight w:val="0"/>
      <w:marTop w:val="0"/>
      <w:marBottom w:val="0"/>
      <w:divBdr>
        <w:top w:val="none" w:sz="0" w:space="0" w:color="auto"/>
        <w:left w:val="none" w:sz="0" w:space="0" w:color="auto"/>
        <w:bottom w:val="none" w:sz="0" w:space="0" w:color="auto"/>
        <w:right w:val="none" w:sz="0" w:space="0" w:color="auto"/>
      </w:divBdr>
    </w:div>
    <w:div w:id="811022059">
      <w:marLeft w:val="480"/>
      <w:marRight w:val="0"/>
      <w:marTop w:val="0"/>
      <w:marBottom w:val="0"/>
      <w:divBdr>
        <w:top w:val="none" w:sz="0" w:space="0" w:color="auto"/>
        <w:left w:val="none" w:sz="0" w:space="0" w:color="auto"/>
        <w:bottom w:val="none" w:sz="0" w:space="0" w:color="auto"/>
        <w:right w:val="none" w:sz="0" w:space="0" w:color="auto"/>
      </w:divBdr>
    </w:div>
    <w:div w:id="815686700">
      <w:bodyDiv w:val="1"/>
      <w:marLeft w:val="0"/>
      <w:marRight w:val="0"/>
      <w:marTop w:val="0"/>
      <w:marBottom w:val="0"/>
      <w:divBdr>
        <w:top w:val="none" w:sz="0" w:space="0" w:color="auto"/>
        <w:left w:val="none" w:sz="0" w:space="0" w:color="auto"/>
        <w:bottom w:val="none" w:sz="0" w:space="0" w:color="auto"/>
        <w:right w:val="none" w:sz="0" w:space="0" w:color="auto"/>
      </w:divBdr>
      <w:divsChild>
        <w:div w:id="517894469">
          <w:marLeft w:val="480"/>
          <w:marRight w:val="0"/>
          <w:marTop w:val="0"/>
          <w:marBottom w:val="0"/>
          <w:divBdr>
            <w:top w:val="none" w:sz="0" w:space="0" w:color="auto"/>
            <w:left w:val="none" w:sz="0" w:space="0" w:color="auto"/>
            <w:bottom w:val="none" w:sz="0" w:space="0" w:color="auto"/>
            <w:right w:val="none" w:sz="0" w:space="0" w:color="auto"/>
          </w:divBdr>
        </w:div>
        <w:div w:id="1985314471">
          <w:marLeft w:val="480"/>
          <w:marRight w:val="0"/>
          <w:marTop w:val="0"/>
          <w:marBottom w:val="0"/>
          <w:divBdr>
            <w:top w:val="none" w:sz="0" w:space="0" w:color="auto"/>
            <w:left w:val="none" w:sz="0" w:space="0" w:color="auto"/>
            <w:bottom w:val="none" w:sz="0" w:space="0" w:color="auto"/>
            <w:right w:val="none" w:sz="0" w:space="0" w:color="auto"/>
          </w:divBdr>
        </w:div>
        <w:div w:id="2112893350">
          <w:marLeft w:val="480"/>
          <w:marRight w:val="0"/>
          <w:marTop w:val="0"/>
          <w:marBottom w:val="0"/>
          <w:divBdr>
            <w:top w:val="none" w:sz="0" w:space="0" w:color="auto"/>
            <w:left w:val="none" w:sz="0" w:space="0" w:color="auto"/>
            <w:bottom w:val="none" w:sz="0" w:space="0" w:color="auto"/>
            <w:right w:val="none" w:sz="0" w:space="0" w:color="auto"/>
          </w:divBdr>
        </w:div>
        <w:div w:id="2133865813">
          <w:marLeft w:val="480"/>
          <w:marRight w:val="0"/>
          <w:marTop w:val="0"/>
          <w:marBottom w:val="0"/>
          <w:divBdr>
            <w:top w:val="none" w:sz="0" w:space="0" w:color="auto"/>
            <w:left w:val="none" w:sz="0" w:space="0" w:color="auto"/>
            <w:bottom w:val="none" w:sz="0" w:space="0" w:color="auto"/>
            <w:right w:val="none" w:sz="0" w:space="0" w:color="auto"/>
          </w:divBdr>
        </w:div>
      </w:divsChild>
    </w:div>
    <w:div w:id="815924514">
      <w:marLeft w:val="480"/>
      <w:marRight w:val="0"/>
      <w:marTop w:val="0"/>
      <w:marBottom w:val="0"/>
      <w:divBdr>
        <w:top w:val="none" w:sz="0" w:space="0" w:color="auto"/>
        <w:left w:val="none" w:sz="0" w:space="0" w:color="auto"/>
        <w:bottom w:val="none" w:sz="0" w:space="0" w:color="auto"/>
        <w:right w:val="none" w:sz="0" w:space="0" w:color="auto"/>
      </w:divBdr>
    </w:div>
    <w:div w:id="817458775">
      <w:marLeft w:val="480"/>
      <w:marRight w:val="0"/>
      <w:marTop w:val="0"/>
      <w:marBottom w:val="0"/>
      <w:divBdr>
        <w:top w:val="none" w:sz="0" w:space="0" w:color="auto"/>
        <w:left w:val="none" w:sz="0" w:space="0" w:color="auto"/>
        <w:bottom w:val="none" w:sz="0" w:space="0" w:color="auto"/>
        <w:right w:val="none" w:sz="0" w:space="0" w:color="auto"/>
      </w:divBdr>
    </w:div>
    <w:div w:id="818231597">
      <w:marLeft w:val="480"/>
      <w:marRight w:val="0"/>
      <w:marTop w:val="0"/>
      <w:marBottom w:val="0"/>
      <w:divBdr>
        <w:top w:val="none" w:sz="0" w:space="0" w:color="auto"/>
        <w:left w:val="none" w:sz="0" w:space="0" w:color="auto"/>
        <w:bottom w:val="none" w:sz="0" w:space="0" w:color="auto"/>
        <w:right w:val="none" w:sz="0" w:space="0" w:color="auto"/>
      </w:divBdr>
    </w:div>
    <w:div w:id="819469935">
      <w:marLeft w:val="480"/>
      <w:marRight w:val="0"/>
      <w:marTop w:val="0"/>
      <w:marBottom w:val="0"/>
      <w:divBdr>
        <w:top w:val="none" w:sz="0" w:space="0" w:color="auto"/>
        <w:left w:val="none" w:sz="0" w:space="0" w:color="auto"/>
        <w:bottom w:val="none" w:sz="0" w:space="0" w:color="auto"/>
        <w:right w:val="none" w:sz="0" w:space="0" w:color="auto"/>
      </w:divBdr>
    </w:div>
    <w:div w:id="825895363">
      <w:marLeft w:val="480"/>
      <w:marRight w:val="0"/>
      <w:marTop w:val="0"/>
      <w:marBottom w:val="0"/>
      <w:divBdr>
        <w:top w:val="none" w:sz="0" w:space="0" w:color="auto"/>
        <w:left w:val="none" w:sz="0" w:space="0" w:color="auto"/>
        <w:bottom w:val="none" w:sz="0" w:space="0" w:color="auto"/>
        <w:right w:val="none" w:sz="0" w:space="0" w:color="auto"/>
      </w:divBdr>
    </w:div>
    <w:div w:id="827869185">
      <w:marLeft w:val="480"/>
      <w:marRight w:val="0"/>
      <w:marTop w:val="0"/>
      <w:marBottom w:val="0"/>
      <w:divBdr>
        <w:top w:val="none" w:sz="0" w:space="0" w:color="auto"/>
        <w:left w:val="none" w:sz="0" w:space="0" w:color="auto"/>
        <w:bottom w:val="none" w:sz="0" w:space="0" w:color="auto"/>
        <w:right w:val="none" w:sz="0" w:space="0" w:color="auto"/>
      </w:divBdr>
    </w:div>
    <w:div w:id="831603867">
      <w:marLeft w:val="480"/>
      <w:marRight w:val="0"/>
      <w:marTop w:val="0"/>
      <w:marBottom w:val="0"/>
      <w:divBdr>
        <w:top w:val="none" w:sz="0" w:space="0" w:color="auto"/>
        <w:left w:val="none" w:sz="0" w:space="0" w:color="auto"/>
        <w:bottom w:val="none" w:sz="0" w:space="0" w:color="auto"/>
        <w:right w:val="none" w:sz="0" w:space="0" w:color="auto"/>
      </w:divBdr>
    </w:div>
    <w:div w:id="835153044">
      <w:marLeft w:val="480"/>
      <w:marRight w:val="0"/>
      <w:marTop w:val="0"/>
      <w:marBottom w:val="0"/>
      <w:divBdr>
        <w:top w:val="none" w:sz="0" w:space="0" w:color="auto"/>
        <w:left w:val="none" w:sz="0" w:space="0" w:color="auto"/>
        <w:bottom w:val="none" w:sz="0" w:space="0" w:color="auto"/>
        <w:right w:val="none" w:sz="0" w:space="0" w:color="auto"/>
      </w:divBdr>
    </w:div>
    <w:div w:id="836388950">
      <w:marLeft w:val="480"/>
      <w:marRight w:val="0"/>
      <w:marTop w:val="0"/>
      <w:marBottom w:val="0"/>
      <w:divBdr>
        <w:top w:val="none" w:sz="0" w:space="0" w:color="auto"/>
        <w:left w:val="none" w:sz="0" w:space="0" w:color="auto"/>
        <w:bottom w:val="none" w:sz="0" w:space="0" w:color="auto"/>
        <w:right w:val="none" w:sz="0" w:space="0" w:color="auto"/>
      </w:divBdr>
    </w:div>
    <w:div w:id="837501436">
      <w:marLeft w:val="480"/>
      <w:marRight w:val="0"/>
      <w:marTop w:val="0"/>
      <w:marBottom w:val="0"/>
      <w:divBdr>
        <w:top w:val="none" w:sz="0" w:space="0" w:color="auto"/>
        <w:left w:val="none" w:sz="0" w:space="0" w:color="auto"/>
        <w:bottom w:val="none" w:sz="0" w:space="0" w:color="auto"/>
        <w:right w:val="none" w:sz="0" w:space="0" w:color="auto"/>
      </w:divBdr>
    </w:div>
    <w:div w:id="839849846">
      <w:marLeft w:val="480"/>
      <w:marRight w:val="0"/>
      <w:marTop w:val="0"/>
      <w:marBottom w:val="0"/>
      <w:divBdr>
        <w:top w:val="none" w:sz="0" w:space="0" w:color="auto"/>
        <w:left w:val="none" w:sz="0" w:space="0" w:color="auto"/>
        <w:bottom w:val="none" w:sz="0" w:space="0" w:color="auto"/>
        <w:right w:val="none" w:sz="0" w:space="0" w:color="auto"/>
      </w:divBdr>
    </w:div>
    <w:div w:id="841972472">
      <w:marLeft w:val="480"/>
      <w:marRight w:val="0"/>
      <w:marTop w:val="0"/>
      <w:marBottom w:val="0"/>
      <w:divBdr>
        <w:top w:val="none" w:sz="0" w:space="0" w:color="auto"/>
        <w:left w:val="none" w:sz="0" w:space="0" w:color="auto"/>
        <w:bottom w:val="none" w:sz="0" w:space="0" w:color="auto"/>
        <w:right w:val="none" w:sz="0" w:space="0" w:color="auto"/>
      </w:divBdr>
    </w:div>
    <w:div w:id="842235031">
      <w:marLeft w:val="480"/>
      <w:marRight w:val="0"/>
      <w:marTop w:val="0"/>
      <w:marBottom w:val="0"/>
      <w:divBdr>
        <w:top w:val="none" w:sz="0" w:space="0" w:color="auto"/>
        <w:left w:val="none" w:sz="0" w:space="0" w:color="auto"/>
        <w:bottom w:val="none" w:sz="0" w:space="0" w:color="auto"/>
        <w:right w:val="none" w:sz="0" w:space="0" w:color="auto"/>
      </w:divBdr>
    </w:div>
    <w:div w:id="842625292">
      <w:bodyDiv w:val="1"/>
      <w:marLeft w:val="0"/>
      <w:marRight w:val="0"/>
      <w:marTop w:val="0"/>
      <w:marBottom w:val="0"/>
      <w:divBdr>
        <w:top w:val="none" w:sz="0" w:space="0" w:color="auto"/>
        <w:left w:val="none" w:sz="0" w:space="0" w:color="auto"/>
        <w:bottom w:val="none" w:sz="0" w:space="0" w:color="auto"/>
        <w:right w:val="none" w:sz="0" w:space="0" w:color="auto"/>
      </w:divBdr>
      <w:divsChild>
        <w:div w:id="1246402">
          <w:marLeft w:val="0"/>
          <w:marRight w:val="0"/>
          <w:marTop w:val="0"/>
          <w:marBottom w:val="0"/>
          <w:divBdr>
            <w:top w:val="none" w:sz="0" w:space="0" w:color="auto"/>
            <w:left w:val="none" w:sz="0" w:space="0" w:color="auto"/>
            <w:bottom w:val="none" w:sz="0" w:space="0" w:color="auto"/>
            <w:right w:val="none" w:sz="0" w:space="0" w:color="auto"/>
          </w:divBdr>
          <w:divsChild>
            <w:div w:id="1666471375">
              <w:marLeft w:val="-75"/>
              <w:marRight w:val="0"/>
              <w:marTop w:val="30"/>
              <w:marBottom w:val="30"/>
              <w:divBdr>
                <w:top w:val="none" w:sz="0" w:space="0" w:color="auto"/>
                <w:left w:val="none" w:sz="0" w:space="0" w:color="auto"/>
                <w:bottom w:val="none" w:sz="0" w:space="0" w:color="auto"/>
                <w:right w:val="none" w:sz="0" w:space="0" w:color="auto"/>
              </w:divBdr>
              <w:divsChild>
                <w:div w:id="1145899573">
                  <w:marLeft w:val="0"/>
                  <w:marRight w:val="0"/>
                  <w:marTop w:val="0"/>
                  <w:marBottom w:val="0"/>
                  <w:divBdr>
                    <w:top w:val="none" w:sz="0" w:space="0" w:color="auto"/>
                    <w:left w:val="none" w:sz="0" w:space="0" w:color="auto"/>
                    <w:bottom w:val="none" w:sz="0" w:space="0" w:color="auto"/>
                    <w:right w:val="none" w:sz="0" w:space="0" w:color="auto"/>
                  </w:divBdr>
                  <w:divsChild>
                    <w:div w:id="1504082507">
                      <w:marLeft w:val="0"/>
                      <w:marRight w:val="0"/>
                      <w:marTop w:val="0"/>
                      <w:marBottom w:val="0"/>
                      <w:divBdr>
                        <w:top w:val="none" w:sz="0" w:space="0" w:color="auto"/>
                        <w:left w:val="none" w:sz="0" w:space="0" w:color="auto"/>
                        <w:bottom w:val="none" w:sz="0" w:space="0" w:color="auto"/>
                        <w:right w:val="none" w:sz="0" w:space="0" w:color="auto"/>
                      </w:divBdr>
                    </w:div>
                  </w:divsChild>
                </w:div>
                <w:div w:id="1895582217">
                  <w:marLeft w:val="0"/>
                  <w:marRight w:val="0"/>
                  <w:marTop w:val="0"/>
                  <w:marBottom w:val="0"/>
                  <w:divBdr>
                    <w:top w:val="none" w:sz="0" w:space="0" w:color="auto"/>
                    <w:left w:val="none" w:sz="0" w:space="0" w:color="auto"/>
                    <w:bottom w:val="none" w:sz="0" w:space="0" w:color="auto"/>
                    <w:right w:val="none" w:sz="0" w:space="0" w:color="auto"/>
                  </w:divBdr>
                  <w:divsChild>
                    <w:div w:id="717049561">
                      <w:marLeft w:val="0"/>
                      <w:marRight w:val="0"/>
                      <w:marTop w:val="0"/>
                      <w:marBottom w:val="0"/>
                      <w:divBdr>
                        <w:top w:val="none" w:sz="0" w:space="0" w:color="auto"/>
                        <w:left w:val="none" w:sz="0" w:space="0" w:color="auto"/>
                        <w:bottom w:val="none" w:sz="0" w:space="0" w:color="auto"/>
                        <w:right w:val="none" w:sz="0" w:space="0" w:color="auto"/>
                      </w:divBdr>
                    </w:div>
                    <w:div w:id="1814523331">
                      <w:marLeft w:val="0"/>
                      <w:marRight w:val="0"/>
                      <w:marTop w:val="0"/>
                      <w:marBottom w:val="0"/>
                      <w:divBdr>
                        <w:top w:val="none" w:sz="0" w:space="0" w:color="auto"/>
                        <w:left w:val="none" w:sz="0" w:space="0" w:color="auto"/>
                        <w:bottom w:val="none" w:sz="0" w:space="0" w:color="auto"/>
                        <w:right w:val="none" w:sz="0" w:space="0" w:color="auto"/>
                      </w:divBdr>
                    </w:div>
                    <w:div w:id="19237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716">
          <w:marLeft w:val="0"/>
          <w:marRight w:val="0"/>
          <w:marTop w:val="0"/>
          <w:marBottom w:val="0"/>
          <w:divBdr>
            <w:top w:val="none" w:sz="0" w:space="0" w:color="auto"/>
            <w:left w:val="none" w:sz="0" w:space="0" w:color="auto"/>
            <w:bottom w:val="none" w:sz="0" w:space="0" w:color="auto"/>
            <w:right w:val="none" w:sz="0" w:space="0" w:color="auto"/>
          </w:divBdr>
          <w:divsChild>
            <w:div w:id="733549319">
              <w:marLeft w:val="-75"/>
              <w:marRight w:val="0"/>
              <w:marTop w:val="30"/>
              <w:marBottom w:val="30"/>
              <w:divBdr>
                <w:top w:val="none" w:sz="0" w:space="0" w:color="auto"/>
                <w:left w:val="none" w:sz="0" w:space="0" w:color="auto"/>
                <w:bottom w:val="none" w:sz="0" w:space="0" w:color="auto"/>
                <w:right w:val="none" w:sz="0" w:space="0" w:color="auto"/>
              </w:divBdr>
              <w:divsChild>
                <w:div w:id="310402188">
                  <w:marLeft w:val="0"/>
                  <w:marRight w:val="0"/>
                  <w:marTop w:val="0"/>
                  <w:marBottom w:val="0"/>
                  <w:divBdr>
                    <w:top w:val="none" w:sz="0" w:space="0" w:color="auto"/>
                    <w:left w:val="none" w:sz="0" w:space="0" w:color="auto"/>
                    <w:bottom w:val="none" w:sz="0" w:space="0" w:color="auto"/>
                    <w:right w:val="none" w:sz="0" w:space="0" w:color="auto"/>
                  </w:divBdr>
                  <w:divsChild>
                    <w:div w:id="1538548740">
                      <w:marLeft w:val="0"/>
                      <w:marRight w:val="0"/>
                      <w:marTop w:val="0"/>
                      <w:marBottom w:val="0"/>
                      <w:divBdr>
                        <w:top w:val="none" w:sz="0" w:space="0" w:color="auto"/>
                        <w:left w:val="none" w:sz="0" w:space="0" w:color="auto"/>
                        <w:bottom w:val="none" w:sz="0" w:space="0" w:color="auto"/>
                        <w:right w:val="none" w:sz="0" w:space="0" w:color="auto"/>
                      </w:divBdr>
                    </w:div>
                  </w:divsChild>
                </w:div>
                <w:div w:id="617227268">
                  <w:marLeft w:val="0"/>
                  <w:marRight w:val="0"/>
                  <w:marTop w:val="0"/>
                  <w:marBottom w:val="0"/>
                  <w:divBdr>
                    <w:top w:val="none" w:sz="0" w:space="0" w:color="auto"/>
                    <w:left w:val="none" w:sz="0" w:space="0" w:color="auto"/>
                    <w:bottom w:val="none" w:sz="0" w:space="0" w:color="auto"/>
                    <w:right w:val="none" w:sz="0" w:space="0" w:color="auto"/>
                  </w:divBdr>
                  <w:divsChild>
                    <w:div w:id="160892626">
                      <w:marLeft w:val="0"/>
                      <w:marRight w:val="0"/>
                      <w:marTop w:val="0"/>
                      <w:marBottom w:val="0"/>
                      <w:divBdr>
                        <w:top w:val="none" w:sz="0" w:space="0" w:color="auto"/>
                        <w:left w:val="none" w:sz="0" w:space="0" w:color="auto"/>
                        <w:bottom w:val="none" w:sz="0" w:space="0" w:color="auto"/>
                        <w:right w:val="none" w:sz="0" w:space="0" w:color="auto"/>
                      </w:divBdr>
                    </w:div>
                  </w:divsChild>
                </w:div>
                <w:div w:id="1046026315">
                  <w:marLeft w:val="0"/>
                  <w:marRight w:val="0"/>
                  <w:marTop w:val="0"/>
                  <w:marBottom w:val="0"/>
                  <w:divBdr>
                    <w:top w:val="none" w:sz="0" w:space="0" w:color="auto"/>
                    <w:left w:val="none" w:sz="0" w:space="0" w:color="auto"/>
                    <w:bottom w:val="none" w:sz="0" w:space="0" w:color="auto"/>
                    <w:right w:val="none" w:sz="0" w:space="0" w:color="auto"/>
                  </w:divBdr>
                  <w:divsChild>
                    <w:div w:id="360907911">
                      <w:marLeft w:val="0"/>
                      <w:marRight w:val="0"/>
                      <w:marTop w:val="0"/>
                      <w:marBottom w:val="0"/>
                      <w:divBdr>
                        <w:top w:val="none" w:sz="0" w:space="0" w:color="auto"/>
                        <w:left w:val="none" w:sz="0" w:space="0" w:color="auto"/>
                        <w:bottom w:val="none" w:sz="0" w:space="0" w:color="auto"/>
                        <w:right w:val="none" w:sz="0" w:space="0" w:color="auto"/>
                      </w:divBdr>
                    </w:div>
                  </w:divsChild>
                </w:div>
                <w:div w:id="1186404818">
                  <w:marLeft w:val="0"/>
                  <w:marRight w:val="0"/>
                  <w:marTop w:val="0"/>
                  <w:marBottom w:val="0"/>
                  <w:divBdr>
                    <w:top w:val="none" w:sz="0" w:space="0" w:color="auto"/>
                    <w:left w:val="none" w:sz="0" w:space="0" w:color="auto"/>
                    <w:bottom w:val="none" w:sz="0" w:space="0" w:color="auto"/>
                    <w:right w:val="none" w:sz="0" w:space="0" w:color="auto"/>
                  </w:divBdr>
                  <w:divsChild>
                    <w:div w:id="1150051443">
                      <w:marLeft w:val="0"/>
                      <w:marRight w:val="0"/>
                      <w:marTop w:val="0"/>
                      <w:marBottom w:val="0"/>
                      <w:divBdr>
                        <w:top w:val="none" w:sz="0" w:space="0" w:color="auto"/>
                        <w:left w:val="none" w:sz="0" w:space="0" w:color="auto"/>
                        <w:bottom w:val="none" w:sz="0" w:space="0" w:color="auto"/>
                        <w:right w:val="none" w:sz="0" w:space="0" w:color="auto"/>
                      </w:divBdr>
                    </w:div>
                  </w:divsChild>
                </w:div>
                <w:div w:id="1232501751">
                  <w:marLeft w:val="0"/>
                  <w:marRight w:val="0"/>
                  <w:marTop w:val="0"/>
                  <w:marBottom w:val="0"/>
                  <w:divBdr>
                    <w:top w:val="none" w:sz="0" w:space="0" w:color="auto"/>
                    <w:left w:val="none" w:sz="0" w:space="0" w:color="auto"/>
                    <w:bottom w:val="none" w:sz="0" w:space="0" w:color="auto"/>
                    <w:right w:val="none" w:sz="0" w:space="0" w:color="auto"/>
                  </w:divBdr>
                  <w:divsChild>
                    <w:div w:id="1824539458">
                      <w:marLeft w:val="0"/>
                      <w:marRight w:val="0"/>
                      <w:marTop w:val="0"/>
                      <w:marBottom w:val="0"/>
                      <w:divBdr>
                        <w:top w:val="none" w:sz="0" w:space="0" w:color="auto"/>
                        <w:left w:val="none" w:sz="0" w:space="0" w:color="auto"/>
                        <w:bottom w:val="none" w:sz="0" w:space="0" w:color="auto"/>
                        <w:right w:val="none" w:sz="0" w:space="0" w:color="auto"/>
                      </w:divBdr>
                    </w:div>
                  </w:divsChild>
                </w:div>
                <w:div w:id="1241939912">
                  <w:marLeft w:val="0"/>
                  <w:marRight w:val="0"/>
                  <w:marTop w:val="0"/>
                  <w:marBottom w:val="0"/>
                  <w:divBdr>
                    <w:top w:val="none" w:sz="0" w:space="0" w:color="auto"/>
                    <w:left w:val="none" w:sz="0" w:space="0" w:color="auto"/>
                    <w:bottom w:val="none" w:sz="0" w:space="0" w:color="auto"/>
                    <w:right w:val="none" w:sz="0" w:space="0" w:color="auto"/>
                  </w:divBdr>
                </w:div>
                <w:div w:id="1411392477">
                  <w:marLeft w:val="0"/>
                  <w:marRight w:val="0"/>
                  <w:marTop w:val="0"/>
                  <w:marBottom w:val="0"/>
                  <w:divBdr>
                    <w:top w:val="none" w:sz="0" w:space="0" w:color="auto"/>
                    <w:left w:val="none" w:sz="0" w:space="0" w:color="auto"/>
                    <w:bottom w:val="none" w:sz="0" w:space="0" w:color="auto"/>
                    <w:right w:val="none" w:sz="0" w:space="0" w:color="auto"/>
                  </w:divBdr>
                  <w:divsChild>
                    <w:div w:id="507211743">
                      <w:marLeft w:val="0"/>
                      <w:marRight w:val="0"/>
                      <w:marTop w:val="0"/>
                      <w:marBottom w:val="0"/>
                      <w:divBdr>
                        <w:top w:val="none" w:sz="0" w:space="0" w:color="auto"/>
                        <w:left w:val="none" w:sz="0" w:space="0" w:color="auto"/>
                        <w:bottom w:val="none" w:sz="0" w:space="0" w:color="auto"/>
                        <w:right w:val="none" w:sz="0" w:space="0" w:color="auto"/>
                      </w:divBdr>
                    </w:div>
                    <w:div w:id="1992706826">
                      <w:marLeft w:val="0"/>
                      <w:marRight w:val="0"/>
                      <w:marTop w:val="0"/>
                      <w:marBottom w:val="0"/>
                      <w:divBdr>
                        <w:top w:val="none" w:sz="0" w:space="0" w:color="auto"/>
                        <w:left w:val="none" w:sz="0" w:space="0" w:color="auto"/>
                        <w:bottom w:val="none" w:sz="0" w:space="0" w:color="auto"/>
                        <w:right w:val="none" w:sz="0" w:space="0" w:color="auto"/>
                      </w:divBdr>
                    </w:div>
                  </w:divsChild>
                </w:div>
                <w:div w:id="1486512496">
                  <w:marLeft w:val="0"/>
                  <w:marRight w:val="0"/>
                  <w:marTop w:val="0"/>
                  <w:marBottom w:val="0"/>
                  <w:divBdr>
                    <w:top w:val="none" w:sz="0" w:space="0" w:color="auto"/>
                    <w:left w:val="none" w:sz="0" w:space="0" w:color="auto"/>
                    <w:bottom w:val="none" w:sz="0" w:space="0" w:color="auto"/>
                    <w:right w:val="none" w:sz="0" w:space="0" w:color="auto"/>
                  </w:divBdr>
                  <w:divsChild>
                    <w:div w:id="930774654">
                      <w:marLeft w:val="0"/>
                      <w:marRight w:val="0"/>
                      <w:marTop w:val="0"/>
                      <w:marBottom w:val="0"/>
                      <w:divBdr>
                        <w:top w:val="none" w:sz="0" w:space="0" w:color="auto"/>
                        <w:left w:val="none" w:sz="0" w:space="0" w:color="auto"/>
                        <w:bottom w:val="none" w:sz="0" w:space="0" w:color="auto"/>
                        <w:right w:val="none" w:sz="0" w:space="0" w:color="auto"/>
                      </w:divBdr>
                    </w:div>
                  </w:divsChild>
                </w:div>
                <w:div w:id="2143158635">
                  <w:marLeft w:val="0"/>
                  <w:marRight w:val="0"/>
                  <w:marTop w:val="0"/>
                  <w:marBottom w:val="0"/>
                  <w:divBdr>
                    <w:top w:val="none" w:sz="0" w:space="0" w:color="auto"/>
                    <w:left w:val="none" w:sz="0" w:space="0" w:color="auto"/>
                    <w:bottom w:val="none" w:sz="0" w:space="0" w:color="auto"/>
                    <w:right w:val="none" w:sz="0" w:space="0" w:color="auto"/>
                  </w:divBdr>
                  <w:divsChild>
                    <w:div w:id="16473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29129">
          <w:marLeft w:val="0"/>
          <w:marRight w:val="0"/>
          <w:marTop w:val="0"/>
          <w:marBottom w:val="0"/>
          <w:divBdr>
            <w:top w:val="none" w:sz="0" w:space="0" w:color="auto"/>
            <w:left w:val="none" w:sz="0" w:space="0" w:color="auto"/>
            <w:bottom w:val="none" w:sz="0" w:space="0" w:color="auto"/>
            <w:right w:val="none" w:sz="0" w:space="0" w:color="auto"/>
          </w:divBdr>
        </w:div>
        <w:div w:id="750351682">
          <w:marLeft w:val="0"/>
          <w:marRight w:val="0"/>
          <w:marTop w:val="0"/>
          <w:marBottom w:val="0"/>
          <w:divBdr>
            <w:top w:val="none" w:sz="0" w:space="0" w:color="auto"/>
            <w:left w:val="none" w:sz="0" w:space="0" w:color="auto"/>
            <w:bottom w:val="none" w:sz="0" w:space="0" w:color="auto"/>
            <w:right w:val="none" w:sz="0" w:space="0" w:color="auto"/>
          </w:divBdr>
          <w:divsChild>
            <w:div w:id="395029">
              <w:marLeft w:val="0"/>
              <w:marRight w:val="0"/>
              <w:marTop w:val="0"/>
              <w:marBottom w:val="0"/>
              <w:divBdr>
                <w:top w:val="none" w:sz="0" w:space="0" w:color="auto"/>
                <w:left w:val="none" w:sz="0" w:space="0" w:color="auto"/>
                <w:bottom w:val="none" w:sz="0" w:space="0" w:color="auto"/>
                <w:right w:val="none" w:sz="0" w:space="0" w:color="auto"/>
              </w:divBdr>
            </w:div>
          </w:divsChild>
        </w:div>
        <w:div w:id="994146934">
          <w:marLeft w:val="0"/>
          <w:marRight w:val="0"/>
          <w:marTop w:val="0"/>
          <w:marBottom w:val="0"/>
          <w:divBdr>
            <w:top w:val="none" w:sz="0" w:space="0" w:color="auto"/>
            <w:left w:val="none" w:sz="0" w:space="0" w:color="auto"/>
            <w:bottom w:val="none" w:sz="0" w:space="0" w:color="auto"/>
            <w:right w:val="none" w:sz="0" w:space="0" w:color="auto"/>
          </w:divBdr>
          <w:divsChild>
            <w:div w:id="717975281">
              <w:marLeft w:val="0"/>
              <w:marRight w:val="0"/>
              <w:marTop w:val="0"/>
              <w:marBottom w:val="0"/>
              <w:divBdr>
                <w:top w:val="none" w:sz="0" w:space="0" w:color="auto"/>
                <w:left w:val="none" w:sz="0" w:space="0" w:color="auto"/>
                <w:bottom w:val="none" w:sz="0" w:space="0" w:color="auto"/>
                <w:right w:val="none" w:sz="0" w:space="0" w:color="auto"/>
              </w:divBdr>
            </w:div>
            <w:div w:id="1028679391">
              <w:marLeft w:val="0"/>
              <w:marRight w:val="0"/>
              <w:marTop w:val="0"/>
              <w:marBottom w:val="0"/>
              <w:divBdr>
                <w:top w:val="none" w:sz="0" w:space="0" w:color="auto"/>
                <w:left w:val="none" w:sz="0" w:space="0" w:color="auto"/>
                <w:bottom w:val="none" w:sz="0" w:space="0" w:color="auto"/>
                <w:right w:val="none" w:sz="0" w:space="0" w:color="auto"/>
              </w:divBdr>
            </w:div>
            <w:div w:id="1854949409">
              <w:marLeft w:val="0"/>
              <w:marRight w:val="0"/>
              <w:marTop w:val="0"/>
              <w:marBottom w:val="0"/>
              <w:divBdr>
                <w:top w:val="none" w:sz="0" w:space="0" w:color="auto"/>
                <w:left w:val="none" w:sz="0" w:space="0" w:color="auto"/>
                <w:bottom w:val="none" w:sz="0" w:space="0" w:color="auto"/>
                <w:right w:val="none" w:sz="0" w:space="0" w:color="auto"/>
              </w:divBdr>
            </w:div>
          </w:divsChild>
        </w:div>
        <w:div w:id="1209144332">
          <w:marLeft w:val="0"/>
          <w:marRight w:val="0"/>
          <w:marTop w:val="0"/>
          <w:marBottom w:val="0"/>
          <w:divBdr>
            <w:top w:val="none" w:sz="0" w:space="0" w:color="auto"/>
            <w:left w:val="none" w:sz="0" w:space="0" w:color="auto"/>
            <w:bottom w:val="none" w:sz="0" w:space="0" w:color="auto"/>
            <w:right w:val="none" w:sz="0" w:space="0" w:color="auto"/>
          </w:divBdr>
          <w:divsChild>
            <w:div w:id="806507498">
              <w:marLeft w:val="-75"/>
              <w:marRight w:val="0"/>
              <w:marTop w:val="30"/>
              <w:marBottom w:val="30"/>
              <w:divBdr>
                <w:top w:val="none" w:sz="0" w:space="0" w:color="auto"/>
                <w:left w:val="none" w:sz="0" w:space="0" w:color="auto"/>
                <w:bottom w:val="none" w:sz="0" w:space="0" w:color="auto"/>
                <w:right w:val="none" w:sz="0" w:space="0" w:color="auto"/>
              </w:divBdr>
              <w:divsChild>
                <w:div w:id="943459394">
                  <w:marLeft w:val="0"/>
                  <w:marRight w:val="0"/>
                  <w:marTop w:val="0"/>
                  <w:marBottom w:val="0"/>
                  <w:divBdr>
                    <w:top w:val="none" w:sz="0" w:space="0" w:color="auto"/>
                    <w:left w:val="none" w:sz="0" w:space="0" w:color="auto"/>
                    <w:bottom w:val="none" w:sz="0" w:space="0" w:color="auto"/>
                    <w:right w:val="none" w:sz="0" w:space="0" w:color="auto"/>
                  </w:divBdr>
                  <w:divsChild>
                    <w:div w:id="1862282324">
                      <w:marLeft w:val="0"/>
                      <w:marRight w:val="0"/>
                      <w:marTop w:val="0"/>
                      <w:marBottom w:val="0"/>
                      <w:divBdr>
                        <w:top w:val="none" w:sz="0" w:space="0" w:color="auto"/>
                        <w:left w:val="none" w:sz="0" w:space="0" w:color="auto"/>
                        <w:bottom w:val="none" w:sz="0" w:space="0" w:color="auto"/>
                        <w:right w:val="none" w:sz="0" w:space="0" w:color="auto"/>
                      </w:divBdr>
                    </w:div>
                    <w:div w:id="2026709090">
                      <w:marLeft w:val="0"/>
                      <w:marRight w:val="0"/>
                      <w:marTop w:val="0"/>
                      <w:marBottom w:val="0"/>
                      <w:divBdr>
                        <w:top w:val="none" w:sz="0" w:space="0" w:color="auto"/>
                        <w:left w:val="none" w:sz="0" w:space="0" w:color="auto"/>
                        <w:bottom w:val="none" w:sz="0" w:space="0" w:color="auto"/>
                        <w:right w:val="none" w:sz="0" w:space="0" w:color="auto"/>
                      </w:divBdr>
                    </w:div>
                  </w:divsChild>
                </w:div>
                <w:div w:id="1348364019">
                  <w:marLeft w:val="0"/>
                  <w:marRight w:val="0"/>
                  <w:marTop w:val="0"/>
                  <w:marBottom w:val="0"/>
                  <w:divBdr>
                    <w:top w:val="none" w:sz="0" w:space="0" w:color="auto"/>
                    <w:left w:val="none" w:sz="0" w:space="0" w:color="auto"/>
                    <w:bottom w:val="none" w:sz="0" w:space="0" w:color="auto"/>
                    <w:right w:val="none" w:sz="0" w:space="0" w:color="auto"/>
                  </w:divBdr>
                  <w:divsChild>
                    <w:div w:id="14862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930603">
          <w:marLeft w:val="0"/>
          <w:marRight w:val="0"/>
          <w:marTop w:val="0"/>
          <w:marBottom w:val="0"/>
          <w:divBdr>
            <w:top w:val="none" w:sz="0" w:space="0" w:color="auto"/>
            <w:left w:val="none" w:sz="0" w:space="0" w:color="auto"/>
            <w:bottom w:val="none" w:sz="0" w:space="0" w:color="auto"/>
            <w:right w:val="none" w:sz="0" w:space="0" w:color="auto"/>
          </w:divBdr>
          <w:divsChild>
            <w:div w:id="2095473816">
              <w:marLeft w:val="-75"/>
              <w:marRight w:val="0"/>
              <w:marTop w:val="30"/>
              <w:marBottom w:val="30"/>
              <w:divBdr>
                <w:top w:val="none" w:sz="0" w:space="0" w:color="auto"/>
                <w:left w:val="none" w:sz="0" w:space="0" w:color="auto"/>
                <w:bottom w:val="none" w:sz="0" w:space="0" w:color="auto"/>
                <w:right w:val="none" w:sz="0" w:space="0" w:color="auto"/>
              </w:divBdr>
              <w:divsChild>
                <w:div w:id="56706137">
                  <w:marLeft w:val="0"/>
                  <w:marRight w:val="0"/>
                  <w:marTop w:val="0"/>
                  <w:marBottom w:val="0"/>
                  <w:divBdr>
                    <w:top w:val="none" w:sz="0" w:space="0" w:color="auto"/>
                    <w:left w:val="none" w:sz="0" w:space="0" w:color="auto"/>
                    <w:bottom w:val="none" w:sz="0" w:space="0" w:color="auto"/>
                    <w:right w:val="none" w:sz="0" w:space="0" w:color="auto"/>
                  </w:divBdr>
                  <w:divsChild>
                    <w:div w:id="766386989">
                      <w:marLeft w:val="0"/>
                      <w:marRight w:val="0"/>
                      <w:marTop w:val="0"/>
                      <w:marBottom w:val="0"/>
                      <w:divBdr>
                        <w:top w:val="none" w:sz="0" w:space="0" w:color="auto"/>
                        <w:left w:val="none" w:sz="0" w:space="0" w:color="auto"/>
                        <w:bottom w:val="none" w:sz="0" w:space="0" w:color="auto"/>
                        <w:right w:val="none" w:sz="0" w:space="0" w:color="auto"/>
                      </w:divBdr>
                    </w:div>
                  </w:divsChild>
                </w:div>
                <w:div w:id="63339062">
                  <w:marLeft w:val="0"/>
                  <w:marRight w:val="0"/>
                  <w:marTop w:val="0"/>
                  <w:marBottom w:val="0"/>
                  <w:divBdr>
                    <w:top w:val="none" w:sz="0" w:space="0" w:color="auto"/>
                    <w:left w:val="none" w:sz="0" w:space="0" w:color="auto"/>
                    <w:bottom w:val="none" w:sz="0" w:space="0" w:color="auto"/>
                    <w:right w:val="none" w:sz="0" w:space="0" w:color="auto"/>
                  </w:divBdr>
                  <w:divsChild>
                    <w:div w:id="968165009">
                      <w:marLeft w:val="0"/>
                      <w:marRight w:val="0"/>
                      <w:marTop w:val="0"/>
                      <w:marBottom w:val="0"/>
                      <w:divBdr>
                        <w:top w:val="none" w:sz="0" w:space="0" w:color="auto"/>
                        <w:left w:val="none" w:sz="0" w:space="0" w:color="auto"/>
                        <w:bottom w:val="none" w:sz="0" w:space="0" w:color="auto"/>
                        <w:right w:val="none" w:sz="0" w:space="0" w:color="auto"/>
                      </w:divBdr>
                    </w:div>
                  </w:divsChild>
                </w:div>
                <w:div w:id="156263610">
                  <w:marLeft w:val="0"/>
                  <w:marRight w:val="0"/>
                  <w:marTop w:val="0"/>
                  <w:marBottom w:val="0"/>
                  <w:divBdr>
                    <w:top w:val="none" w:sz="0" w:space="0" w:color="auto"/>
                    <w:left w:val="none" w:sz="0" w:space="0" w:color="auto"/>
                    <w:bottom w:val="none" w:sz="0" w:space="0" w:color="auto"/>
                    <w:right w:val="none" w:sz="0" w:space="0" w:color="auto"/>
                  </w:divBdr>
                  <w:divsChild>
                    <w:div w:id="351226805">
                      <w:marLeft w:val="0"/>
                      <w:marRight w:val="0"/>
                      <w:marTop w:val="0"/>
                      <w:marBottom w:val="0"/>
                      <w:divBdr>
                        <w:top w:val="none" w:sz="0" w:space="0" w:color="auto"/>
                        <w:left w:val="none" w:sz="0" w:space="0" w:color="auto"/>
                        <w:bottom w:val="none" w:sz="0" w:space="0" w:color="auto"/>
                        <w:right w:val="none" w:sz="0" w:space="0" w:color="auto"/>
                      </w:divBdr>
                    </w:div>
                  </w:divsChild>
                </w:div>
                <w:div w:id="160582264">
                  <w:marLeft w:val="0"/>
                  <w:marRight w:val="0"/>
                  <w:marTop w:val="0"/>
                  <w:marBottom w:val="0"/>
                  <w:divBdr>
                    <w:top w:val="none" w:sz="0" w:space="0" w:color="auto"/>
                    <w:left w:val="none" w:sz="0" w:space="0" w:color="auto"/>
                    <w:bottom w:val="none" w:sz="0" w:space="0" w:color="auto"/>
                    <w:right w:val="none" w:sz="0" w:space="0" w:color="auto"/>
                  </w:divBdr>
                  <w:divsChild>
                    <w:div w:id="964115807">
                      <w:marLeft w:val="0"/>
                      <w:marRight w:val="0"/>
                      <w:marTop w:val="0"/>
                      <w:marBottom w:val="0"/>
                      <w:divBdr>
                        <w:top w:val="none" w:sz="0" w:space="0" w:color="auto"/>
                        <w:left w:val="none" w:sz="0" w:space="0" w:color="auto"/>
                        <w:bottom w:val="none" w:sz="0" w:space="0" w:color="auto"/>
                        <w:right w:val="none" w:sz="0" w:space="0" w:color="auto"/>
                      </w:divBdr>
                    </w:div>
                  </w:divsChild>
                </w:div>
                <w:div w:id="174617015">
                  <w:marLeft w:val="0"/>
                  <w:marRight w:val="0"/>
                  <w:marTop w:val="0"/>
                  <w:marBottom w:val="0"/>
                  <w:divBdr>
                    <w:top w:val="none" w:sz="0" w:space="0" w:color="auto"/>
                    <w:left w:val="none" w:sz="0" w:space="0" w:color="auto"/>
                    <w:bottom w:val="none" w:sz="0" w:space="0" w:color="auto"/>
                    <w:right w:val="none" w:sz="0" w:space="0" w:color="auto"/>
                  </w:divBdr>
                  <w:divsChild>
                    <w:div w:id="609122686">
                      <w:marLeft w:val="0"/>
                      <w:marRight w:val="0"/>
                      <w:marTop w:val="0"/>
                      <w:marBottom w:val="0"/>
                      <w:divBdr>
                        <w:top w:val="none" w:sz="0" w:space="0" w:color="auto"/>
                        <w:left w:val="none" w:sz="0" w:space="0" w:color="auto"/>
                        <w:bottom w:val="none" w:sz="0" w:space="0" w:color="auto"/>
                        <w:right w:val="none" w:sz="0" w:space="0" w:color="auto"/>
                      </w:divBdr>
                    </w:div>
                  </w:divsChild>
                </w:div>
                <w:div w:id="189537212">
                  <w:marLeft w:val="0"/>
                  <w:marRight w:val="0"/>
                  <w:marTop w:val="0"/>
                  <w:marBottom w:val="0"/>
                  <w:divBdr>
                    <w:top w:val="none" w:sz="0" w:space="0" w:color="auto"/>
                    <w:left w:val="none" w:sz="0" w:space="0" w:color="auto"/>
                    <w:bottom w:val="none" w:sz="0" w:space="0" w:color="auto"/>
                    <w:right w:val="none" w:sz="0" w:space="0" w:color="auto"/>
                  </w:divBdr>
                  <w:divsChild>
                    <w:div w:id="1136996135">
                      <w:marLeft w:val="0"/>
                      <w:marRight w:val="0"/>
                      <w:marTop w:val="0"/>
                      <w:marBottom w:val="0"/>
                      <w:divBdr>
                        <w:top w:val="none" w:sz="0" w:space="0" w:color="auto"/>
                        <w:left w:val="none" w:sz="0" w:space="0" w:color="auto"/>
                        <w:bottom w:val="none" w:sz="0" w:space="0" w:color="auto"/>
                        <w:right w:val="none" w:sz="0" w:space="0" w:color="auto"/>
                      </w:divBdr>
                    </w:div>
                  </w:divsChild>
                </w:div>
                <w:div w:id="215354814">
                  <w:marLeft w:val="0"/>
                  <w:marRight w:val="0"/>
                  <w:marTop w:val="0"/>
                  <w:marBottom w:val="0"/>
                  <w:divBdr>
                    <w:top w:val="none" w:sz="0" w:space="0" w:color="auto"/>
                    <w:left w:val="none" w:sz="0" w:space="0" w:color="auto"/>
                    <w:bottom w:val="none" w:sz="0" w:space="0" w:color="auto"/>
                    <w:right w:val="none" w:sz="0" w:space="0" w:color="auto"/>
                  </w:divBdr>
                  <w:divsChild>
                    <w:div w:id="1765567462">
                      <w:marLeft w:val="0"/>
                      <w:marRight w:val="0"/>
                      <w:marTop w:val="0"/>
                      <w:marBottom w:val="0"/>
                      <w:divBdr>
                        <w:top w:val="none" w:sz="0" w:space="0" w:color="auto"/>
                        <w:left w:val="none" w:sz="0" w:space="0" w:color="auto"/>
                        <w:bottom w:val="none" w:sz="0" w:space="0" w:color="auto"/>
                        <w:right w:val="none" w:sz="0" w:space="0" w:color="auto"/>
                      </w:divBdr>
                    </w:div>
                  </w:divsChild>
                </w:div>
                <w:div w:id="264775024">
                  <w:marLeft w:val="0"/>
                  <w:marRight w:val="0"/>
                  <w:marTop w:val="0"/>
                  <w:marBottom w:val="0"/>
                  <w:divBdr>
                    <w:top w:val="none" w:sz="0" w:space="0" w:color="auto"/>
                    <w:left w:val="none" w:sz="0" w:space="0" w:color="auto"/>
                    <w:bottom w:val="none" w:sz="0" w:space="0" w:color="auto"/>
                    <w:right w:val="none" w:sz="0" w:space="0" w:color="auto"/>
                  </w:divBdr>
                  <w:divsChild>
                    <w:div w:id="1199272371">
                      <w:marLeft w:val="0"/>
                      <w:marRight w:val="0"/>
                      <w:marTop w:val="0"/>
                      <w:marBottom w:val="0"/>
                      <w:divBdr>
                        <w:top w:val="none" w:sz="0" w:space="0" w:color="auto"/>
                        <w:left w:val="none" w:sz="0" w:space="0" w:color="auto"/>
                        <w:bottom w:val="none" w:sz="0" w:space="0" w:color="auto"/>
                        <w:right w:val="none" w:sz="0" w:space="0" w:color="auto"/>
                      </w:divBdr>
                    </w:div>
                  </w:divsChild>
                </w:div>
                <w:div w:id="354426082">
                  <w:marLeft w:val="0"/>
                  <w:marRight w:val="0"/>
                  <w:marTop w:val="0"/>
                  <w:marBottom w:val="0"/>
                  <w:divBdr>
                    <w:top w:val="none" w:sz="0" w:space="0" w:color="auto"/>
                    <w:left w:val="none" w:sz="0" w:space="0" w:color="auto"/>
                    <w:bottom w:val="none" w:sz="0" w:space="0" w:color="auto"/>
                    <w:right w:val="none" w:sz="0" w:space="0" w:color="auto"/>
                  </w:divBdr>
                  <w:divsChild>
                    <w:div w:id="564683623">
                      <w:marLeft w:val="0"/>
                      <w:marRight w:val="0"/>
                      <w:marTop w:val="0"/>
                      <w:marBottom w:val="0"/>
                      <w:divBdr>
                        <w:top w:val="none" w:sz="0" w:space="0" w:color="auto"/>
                        <w:left w:val="none" w:sz="0" w:space="0" w:color="auto"/>
                        <w:bottom w:val="none" w:sz="0" w:space="0" w:color="auto"/>
                        <w:right w:val="none" w:sz="0" w:space="0" w:color="auto"/>
                      </w:divBdr>
                    </w:div>
                  </w:divsChild>
                </w:div>
                <w:div w:id="356855098">
                  <w:marLeft w:val="0"/>
                  <w:marRight w:val="0"/>
                  <w:marTop w:val="0"/>
                  <w:marBottom w:val="0"/>
                  <w:divBdr>
                    <w:top w:val="none" w:sz="0" w:space="0" w:color="auto"/>
                    <w:left w:val="none" w:sz="0" w:space="0" w:color="auto"/>
                    <w:bottom w:val="none" w:sz="0" w:space="0" w:color="auto"/>
                    <w:right w:val="none" w:sz="0" w:space="0" w:color="auto"/>
                  </w:divBdr>
                  <w:divsChild>
                    <w:div w:id="1171917922">
                      <w:marLeft w:val="0"/>
                      <w:marRight w:val="0"/>
                      <w:marTop w:val="0"/>
                      <w:marBottom w:val="0"/>
                      <w:divBdr>
                        <w:top w:val="none" w:sz="0" w:space="0" w:color="auto"/>
                        <w:left w:val="none" w:sz="0" w:space="0" w:color="auto"/>
                        <w:bottom w:val="none" w:sz="0" w:space="0" w:color="auto"/>
                        <w:right w:val="none" w:sz="0" w:space="0" w:color="auto"/>
                      </w:divBdr>
                    </w:div>
                  </w:divsChild>
                </w:div>
                <w:div w:id="364792839">
                  <w:marLeft w:val="0"/>
                  <w:marRight w:val="0"/>
                  <w:marTop w:val="0"/>
                  <w:marBottom w:val="0"/>
                  <w:divBdr>
                    <w:top w:val="none" w:sz="0" w:space="0" w:color="auto"/>
                    <w:left w:val="none" w:sz="0" w:space="0" w:color="auto"/>
                    <w:bottom w:val="none" w:sz="0" w:space="0" w:color="auto"/>
                    <w:right w:val="none" w:sz="0" w:space="0" w:color="auto"/>
                  </w:divBdr>
                  <w:divsChild>
                    <w:div w:id="480313655">
                      <w:marLeft w:val="0"/>
                      <w:marRight w:val="0"/>
                      <w:marTop w:val="0"/>
                      <w:marBottom w:val="0"/>
                      <w:divBdr>
                        <w:top w:val="none" w:sz="0" w:space="0" w:color="auto"/>
                        <w:left w:val="none" w:sz="0" w:space="0" w:color="auto"/>
                        <w:bottom w:val="none" w:sz="0" w:space="0" w:color="auto"/>
                        <w:right w:val="none" w:sz="0" w:space="0" w:color="auto"/>
                      </w:divBdr>
                    </w:div>
                  </w:divsChild>
                </w:div>
                <w:div w:id="391125249">
                  <w:marLeft w:val="0"/>
                  <w:marRight w:val="0"/>
                  <w:marTop w:val="0"/>
                  <w:marBottom w:val="0"/>
                  <w:divBdr>
                    <w:top w:val="none" w:sz="0" w:space="0" w:color="auto"/>
                    <w:left w:val="none" w:sz="0" w:space="0" w:color="auto"/>
                    <w:bottom w:val="none" w:sz="0" w:space="0" w:color="auto"/>
                    <w:right w:val="none" w:sz="0" w:space="0" w:color="auto"/>
                  </w:divBdr>
                  <w:divsChild>
                    <w:div w:id="1329207512">
                      <w:marLeft w:val="0"/>
                      <w:marRight w:val="0"/>
                      <w:marTop w:val="0"/>
                      <w:marBottom w:val="0"/>
                      <w:divBdr>
                        <w:top w:val="none" w:sz="0" w:space="0" w:color="auto"/>
                        <w:left w:val="none" w:sz="0" w:space="0" w:color="auto"/>
                        <w:bottom w:val="none" w:sz="0" w:space="0" w:color="auto"/>
                        <w:right w:val="none" w:sz="0" w:space="0" w:color="auto"/>
                      </w:divBdr>
                    </w:div>
                  </w:divsChild>
                </w:div>
                <w:div w:id="503861895">
                  <w:marLeft w:val="0"/>
                  <w:marRight w:val="0"/>
                  <w:marTop w:val="0"/>
                  <w:marBottom w:val="0"/>
                  <w:divBdr>
                    <w:top w:val="none" w:sz="0" w:space="0" w:color="auto"/>
                    <w:left w:val="none" w:sz="0" w:space="0" w:color="auto"/>
                    <w:bottom w:val="none" w:sz="0" w:space="0" w:color="auto"/>
                    <w:right w:val="none" w:sz="0" w:space="0" w:color="auto"/>
                  </w:divBdr>
                  <w:divsChild>
                    <w:div w:id="448862848">
                      <w:marLeft w:val="0"/>
                      <w:marRight w:val="0"/>
                      <w:marTop w:val="0"/>
                      <w:marBottom w:val="0"/>
                      <w:divBdr>
                        <w:top w:val="none" w:sz="0" w:space="0" w:color="auto"/>
                        <w:left w:val="none" w:sz="0" w:space="0" w:color="auto"/>
                        <w:bottom w:val="none" w:sz="0" w:space="0" w:color="auto"/>
                        <w:right w:val="none" w:sz="0" w:space="0" w:color="auto"/>
                      </w:divBdr>
                    </w:div>
                  </w:divsChild>
                </w:div>
                <w:div w:id="648897778">
                  <w:marLeft w:val="0"/>
                  <w:marRight w:val="0"/>
                  <w:marTop w:val="0"/>
                  <w:marBottom w:val="0"/>
                  <w:divBdr>
                    <w:top w:val="none" w:sz="0" w:space="0" w:color="auto"/>
                    <w:left w:val="none" w:sz="0" w:space="0" w:color="auto"/>
                    <w:bottom w:val="none" w:sz="0" w:space="0" w:color="auto"/>
                    <w:right w:val="none" w:sz="0" w:space="0" w:color="auto"/>
                  </w:divBdr>
                  <w:divsChild>
                    <w:div w:id="1692029919">
                      <w:marLeft w:val="0"/>
                      <w:marRight w:val="0"/>
                      <w:marTop w:val="0"/>
                      <w:marBottom w:val="0"/>
                      <w:divBdr>
                        <w:top w:val="none" w:sz="0" w:space="0" w:color="auto"/>
                        <w:left w:val="none" w:sz="0" w:space="0" w:color="auto"/>
                        <w:bottom w:val="none" w:sz="0" w:space="0" w:color="auto"/>
                        <w:right w:val="none" w:sz="0" w:space="0" w:color="auto"/>
                      </w:divBdr>
                    </w:div>
                  </w:divsChild>
                </w:div>
                <w:div w:id="767388374">
                  <w:marLeft w:val="0"/>
                  <w:marRight w:val="0"/>
                  <w:marTop w:val="0"/>
                  <w:marBottom w:val="0"/>
                  <w:divBdr>
                    <w:top w:val="none" w:sz="0" w:space="0" w:color="auto"/>
                    <w:left w:val="none" w:sz="0" w:space="0" w:color="auto"/>
                    <w:bottom w:val="none" w:sz="0" w:space="0" w:color="auto"/>
                    <w:right w:val="none" w:sz="0" w:space="0" w:color="auto"/>
                  </w:divBdr>
                  <w:divsChild>
                    <w:div w:id="1392925060">
                      <w:marLeft w:val="0"/>
                      <w:marRight w:val="0"/>
                      <w:marTop w:val="0"/>
                      <w:marBottom w:val="0"/>
                      <w:divBdr>
                        <w:top w:val="none" w:sz="0" w:space="0" w:color="auto"/>
                        <w:left w:val="none" w:sz="0" w:space="0" w:color="auto"/>
                        <w:bottom w:val="none" w:sz="0" w:space="0" w:color="auto"/>
                        <w:right w:val="none" w:sz="0" w:space="0" w:color="auto"/>
                      </w:divBdr>
                    </w:div>
                  </w:divsChild>
                </w:div>
                <w:div w:id="843276812">
                  <w:marLeft w:val="0"/>
                  <w:marRight w:val="0"/>
                  <w:marTop w:val="0"/>
                  <w:marBottom w:val="0"/>
                  <w:divBdr>
                    <w:top w:val="none" w:sz="0" w:space="0" w:color="auto"/>
                    <w:left w:val="none" w:sz="0" w:space="0" w:color="auto"/>
                    <w:bottom w:val="none" w:sz="0" w:space="0" w:color="auto"/>
                    <w:right w:val="none" w:sz="0" w:space="0" w:color="auto"/>
                  </w:divBdr>
                  <w:divsChild>
                    <w:div w:id="606889849">
                      <w:marLeft w:val="0"/>
                      <w:marRight w:val="0"/>
                      <w:marTop w:val="0"/>
                      <w:marBottom w:val="0"/>
                      <w:divBdr>
                        <w:top w:val="none" w:sz="0" w:space="0" w:color="auto"/>
                        <w:left w:val="none" w:sz="0" w:space="0" w:color="auto"/>
                        <w:bottom w:val="none" w:sz="0" w:space="0" w:color="auto"/>
                        <w:right w:val="none" w:sz="0" w:space="0" w:color="auto"/>
                      </w:divBdr>
                    </w:div>
                  </w:divsChild>
                </w:div>
                <w:div w:id="868294726">
                  <w:marLeft w:val="0"/>
                  <w:marRight w:val="0"/>
                  <w:marTop w:val="0"/>
                  <w:marBottom w:val="0"/>
                  <w:divBdr>
                    <w:top w:val="none" w:sz="0" w:space="0" w:color="auto"/>
                    <w:left w:val="none" w:sz="0" w:space="0" w:color="auto"/>
                    <w:bottom w:val="none" w:sz="0" w:space="0" w:color="auto"/>
                    <w:right w:val="none" w:sz="0" w:space="0" w:color="auto"/>
                  </w:divBdr>
                  <w:divsChild>
                    <w:div w:id="1269854954">
                      <w:marLeft w:val="0"/>
                      <w:marRight w:val="0"/>
                      <w:marTop w:val="0"/>
                      <w:marBottom w:val="0"/>
                      <w:divBdr>
                        <w:top w:val="none" w:sz="0" w:space="0" w:color="auto"/>
                        <w:left w:val="none" w:sz="0" w:space="0" w:color="auto"/>
                        <w:bottom w:val="none" w:sz="0" w:space="0" w:color="auto"/>
                        <w:right w:val="none" w:sz="0" w:space="0" w:color="auto"/>
                      </w:divBdr>
                    </w:div>
                  </w:divsChild>
                </w:div>
                <w:div w:id="872159553">
                  <w:marLeft w:val="0"/>
                  <w:marRight w:val="0"/>
                  <w:marTop w:val="0"/>
                  <w:marBottom w:val="0"/>
                  <w:divBdr>
                    <w:top w:val="none" w:sz="0" w:space="0" w:color="auto"/>
                    <w:left w:val="none" w:sz="0" w:space="0" w:color="auto"/>
                    <w:bottom w:val="none" w:sz="0" w:space="0" w:color="auto"/>
                    <w:right w:val="none" w:sz="0" w:space="0" w:color="auto"/>
                  </w:divBdr>
                  <w:divsChild>
                    <w:div w:id="2108964453">
                      <w:marLeft w:val="0"/>
                      <w:marRight w:val="0"/>
                      <w:marTop w:val="0"/>
                      <w:marBottom w:val="0"/>
                      <w:divBdr>
                        <w:top w:val="none" w:sz="0" w:space="0" w:color="auto"/>
                        <w:left w:val="none" w:sz="0" w:space="0" w:color="auto"/>
                        <w:bottom w:val="none" w:sz="0" w:space="0" w:color="auto"/>
                        <w:right w:val="none" w:sz="0" w:space="0" w:color="auto"/>
                      </w:divBdr>
                    </w:div>
                  </w:divsChild>
                </w:div>
                <w:div w:id="883978460">
                  <w:marLeft w:val="0"/>
                  <w:marRight w:val="0"/>
                  <w:marTop w:val="0"/>
                  <w:marBottom w:val="0"/>
                  <w:divBdr>
                    <w:top w:val="none" w:sz="0" w:space="0" w:color="auto"/>
                    <w:left w:val="none" w:sz="0" w:space="0" w:color="auto"/>
                    <w:bottom w:val="none" w:sz="0" w:space="0" w:color="auto"/>
                    <w:right w:val="none" w:sz="0" w:space="0" w:color="auto"/>
                  </w:divBdr>
                  <w:divsChild>
                    <w:div w:id="899288667">
                      <w:marLeft w:val="0"/>
                      <w:marRight w:val="0"/>
                      <w:marTop w:val="0"/>
                      <w:marBottom w:val="0"/>
                      <w:divBdr>
                        <w:top w:val="none" w:sz="0" w:space="0" w:color="auto"/>
                        <w:left w:val="none" w:sz="0" w:space="0" w:color="auto"/>
                        <w:bottom w:val="none" w:sz="0" w:space="0" w:color="auto"/>
                        <w:right w:val="none" w:sz="0" w:space="0" w:color="auto"/>
                      </w:divBdr>
                    </w:div>
                  </w:divsChild>
                </w:div>
                <w:div w:id="885793406">
                  <w:marLeft w:val="0"/>
                  <w:marRight w:val="0"/>
                  <w:marTop w:val="0"/>
                  <w:marBottom w:val="0"/>
                  <w:divBdr>
                    <w:top w:val="none" w:sz="0" w:space="0" w:color="auto"/>
                    <w:left w:val="none" w:sz="0" w:space="0" w:color="auto"/>
                    <w:bottom w:val="none" w:sz="0" w:space="0" w:color="auto"/>
                    <w:right w:val="none" w:sz="0" w:space="0" w:color="auto"/>
                  </w:divBdr>
                  <w:divsChild>
                    <w:div w:id="1628655810">
                      <w:marLeft w:val="0"/>
                      <w:marRight w:val="0"/>
                      <w:marTop w:val="0"/>
                      <w:marBottom w:val="0"/>
                      <w:divBdr>
                        <w:top w:val="none" w:sz="0" w:space="0" w:color="auto"/>
                        <w:left w:val="none" w:sz="0" w:space="0" w:color="auto"/>
                        <w:bottom w:val="none" w:sz="0" w:space="0" w:color="auto"/>
                        <w:right w:val="none" w:sz="0" w:space="0" w:color="auto"/>
                      </w:divBdr>
                    </w:div>
                  </w:divsChild>
                </w:div>
                <w:div w:id="893544115">
                  <w:marLeft w:val="0"/>
                  <w:marRight w:val="0"/>
                  <w:marTop w:val="0"/>
                  <w:marBottom w:val="0"/>
                  <w:divBdr>
                    <w:top w:val="none" w:sz="0" w:space="0" w:color="auto"/>
                    <w:left w:val="none" w:sz="0" w:space="0" w:color="auto"/>
                    <w:bottom w:val="none" w:sz="0" w:space="0" w:color="auto"/>
                    <w:right w:val="none" w:sz="0" w:space="0" w:color="auto"/>
                  </w:divBdr>
                  <w:divsChild>
                    <w:div w:id="2123912226">
                      <w:marLeft w:val="0"/>
                      <w:marRight w:val="0"/>
                      <w:marTop w:val="0"/>
                      <w:marBottom w:val="0"/>
                      <w:divBdr>
                        <w:top w:val="none" w:sz="0" w:space="0" w:color="auto"/>
                        <w:left w:val="none" w:sz="0" w:space="0" w:color="auto"/>
                        <w:bottom w:val="none" w:sz="0" w:space="0" w:color="auto"/>
                        <w:right w:val="none" w:sz="0" w:space="0" w:color="auto"/>
                      </w:divBdr>
                    </w:div>
                  </w:divsChild>
                </w:div>
                <w:div w:id="1155991180">
                  <w:marLeft w:val="0"/>
                  <w:marRight w:val="0"/>
                  <w:marTop w:val="0"/>
                  <w:marBottom w:val="0"/>
                  <w:divBdr>
                    <w:top w:val="none" w:sz="0" w:space="0" w:color="auto"/>
                    <w:left w:val="none" w:sz="0" w:space="0" w:color="auto"/>
                    <w:bottom w:val="none" w:sz="0" w:space="0" w:color="auto"/>
                    <w:right w:val="none" w:sz="0" w:space="0" w:color="auto"/>
                  </w:divBdr>
                  <w:divsChild>
                    <w:div w:id="1810131000">
                      <w:marLeft w:val="0"/>
                      <w:marRight w:val="0"/>
                      <w:marTop w:val="0"/>
                      <w:marBottom w:val="0"/>
                      <w:divBdr>
                        <w:top w:val="none" w:sz="0" w:space="0" w:color="auto"/>
                        <w:left w:val="none" w:sz="0" w:space="0" w:color="auto"/>
                        <w:bottom w:val="none" w:sz="0" w:space="0" w:color="auto"/>
                        <w:right w:val="none" w:sz="0" w:space="0" w:color="auto"/>
                      </w:divBdr>
                    </w:div>
                  </w:divsChild>
                </w:div>
                <w:div w:id="1168594467">
                  <w:marLeft w:val="0"/>
                  <w:marRight w:val="0"/>
                  <w:marTop w:val="0"/>
                  <w:marBottom w:val="0"/>
                  <w:divBdr>
                    <w:top w:val="none" w:sz="0" w:space="0" w:color="auto"/>
                    <w:left w:val="none" w:sz="0" w:space="0" w:color="auto"/>
                    <w:bottom w:val="none" w:sz="0" w:space="0" w:color="auto"/>
                    <w:right w:val="none" w:sz="0" w:space="0" w:color="auto"/>
                  </w:divBdr>
                  <w:divsChild>
                    <w:div w:id="31198120">
                      <w:marLeft w:val="0"/>
                      <w:marRight w:val="0"/>
                      <w:marTop w:val="0"/>
                      <w:marBottom w:val="0"/>
                      <w:divBdr>
                        <w:top w:val="none" w:sz="0" w:space="0" w:color="auto"/>
                        <w:left w:val="none" w:sz="0" w:space="0" w:color="auto"/>
                        <w:bottom w:val="none" w:sz="0" w:space="0" w:color="auto"/>
                        <w:right w:val="none" w:sz="0" w:space="0" w:color="auto"/>
                      </w:divBdr>
                    </w:div>
                  </w:divsChild>
                </w:div>
                <w:div w:id="1169831641">
                  <w:marLeft w:val="0"/>
                  <w:marRight w:val="0"/>
                  <w:marTop w:val="0"/>
                  <w:marBottom w:val="0"/>
                  <w:divBdr>
                    <w:top w:val="none" w:sz="0" w:space="0" w:color="auto"/>
                    <w:left w:val="none" w:sz="0" w:space="0" w:color="auto"/>
                    <w:bottom w:val="none" w:sz="0" w:space="0" w:color="auto"/>
                    <w:right w:val="none" w:sz="0" w:space="0" w:color="auto"/>
                  </w:divBdr>
                  <w:divsChild>
                    <w:div w:id="456988669">
                      <w:marLeft w:val="0"/>
                      <w:marRight w:val="0"/>
                      <w:marTop w:val="0"/>
                      <w:marBottom w:val="0"/>
                      <w:divBdr>
                        <w:top w:val="none" w:sz="0" w:space="0" w:color="auto"/>
                        <w:left w:val="none" w:sz="0" w:space="0" w:color="auto"/>
                        <w:bottom w:val="none" w:sz="0" w:space="0" w:color="auto"/>
                        <w:right w:val="none" w:sz="0" w:space="0" w:color="auto"/>
                      </w:divBdr>
                    </w:div>
                  </w:divsChild>
                </w:div>
                <w:div w:id="1394739437">
                  <w:marLeft w:val="0"/>
                  <w:marRight w:val="0"/>
                  <w:marTop w:val="0"/>
                  <w:marBottom w:val="0"/>
                  <w:divBdr>
                    <w:top w:val="none" w:sz="0" w:space="0" w:color="auto"/>
                    <w:left w:val="none" w:sz="0" w:space="0" w:color="auto"/>
                    <w:bottom w:val="none" w:sz="0" w:space="0" w:color="auto"/>
                    <w:right w:val="none" w:sz="0" w:space="0" w:color="auto"/>
                  </w:divBdr>
                  <w:divsChild>
                    <w:div w:id="25909637">
                      <w:marLeft w:val="0"/>
                      <w:marRight w:val="0"/>
                      <w:marTop w:val="0"/>
                      <w:marBottom w:val="0"/>
                      <w:divBdr>
                        <w:top w:val="none" w:sz="0" w:space="0" w:color="auto"/>
                        <w:left w:val="none" w:sz="0" w:space="0" w:color="auto"/>
                        <w:bottom w:val="none" w:sz="0" w:space="0" w:color="auto"/>
                        <w:right w:val="none" w:sz="0" w:space="0" w:color="auto"/>
                      </w:divBdr>
                    </w:div>
                  </w:divsChild>
                </w:div>
                <w:div w:id="1446926186">
                  <w:marLeft w:val="0"/>
                  <w:marRight w:val="0"/>
                  <w:marTop w:val="0"/>
                  <w:marBottom w:val="0"/>
                  <w:divBdr>
                    <w:top w:val="none" w:sz="0" w:space="0" w:color="auto"/>
                    <w:left w:val="none" w:sz="0" w:space="0" w:color="auto"/>
                    <w:bottom w:val="none" w:sz="0" w:space="0" w:color="auto"/>
                    <w:right w:val="none" w:sz="0" w:space="0" w:color="auto"/>
                  </w:divBdr>
                  <w:divsChild>
                    <w:div w:id="849686640">
                      <w:marLeft w:val="0"/>
                      <w:marRight w:val="0"/>
                      <w:marTop w:val="0"/>
                      <w:marBottom w:val="0"/>
                      <w:divBdr>
                        <w:top w:val="none" w:sz="0" w:space="0" w:color="auto"/>
                        <w:left w:val="none" w:sz="0" w:space="0" w:color="auto"/>
                        <w:bottom w:val="none" w:sz="0" w:space="0" w:color="auto"/>
                        <w:right w:val="none" w:sz="0" w:space="0" w:color="auto"/>
                      </w:divBdr>
                    </w:div>
                  </w:divsChild>
                </w:div>
                <w:div w:id="1556232609">
                  <w:marLeft w:val="0"/>
                  <w:marRight w:val="0"/>
                  <w:marTop w:val="0"/>
                  <w:marBottom w:val="0"/>
                  <w:divBdr>
                    <w:top w:val="none" w:sz="0" w:space="0" w:color="auto"/>
                    <w:left w:val="none" w:sz="0" w:space="0" w:color="auto"/>
                    <w:bottom w:val="none" w:sz="0" w:space="0" w:color="auto"/>
                    <w:right w:val="none" w:sz="0" w:space="0" w:color="auto"/>
                  </w:divBdr>
                  <w:divsChild>
                    <w:div w:id="1036851177">
                      <w:marLeft w:val="0"/>
                      <w:marRight w:val="0"/>
                      <w:marTop w:val="0"/>
                      <w:marBottom w:val="0"/>
                      <w:divBdr>
                        <w:top w:val="none" w:sz="0" w:space="0" w:color="auto"/>
                        <w:left w:val="none" w:sz="0" w:space="0" w:color="auto"/>
                        <w:bottom w:val="none" w:sz="0" w:space="0" w:color="auto"/>
                        <w:right w:val="none" w:sz="0" w:space="0" w:color="auto"/>
                      </w:divBdr>
                    </w:div>
                  </w:divsChild>
                </w:div>
                <w:div w:id="1576359494">
                  <w:marLeft w:val="0"/>
                  <w:marRight w:val="0"/>
                  <w:marTop w:val="0"/>
                  <w:marBottom w:val="0"/>
                  <w:divBdr>
                    <w:top w:val="none" w:sz="0" w:space="0" w:color="auto"/>
                    <w:left w:val="none" w:sz="0" w:space="0" w:color="auto"/>
                    <w:bottom w:val="none" w:sz="0" w:space="0" w:color="auto"/>
                    <w:right w:val="none" w:sz="0" w:space="0" w:color="auto"/>
                  </w:divBdr>
                  <w:divsChild>
                    <w:div w:id="590503748">
                      <w:marLeft w:val="0"/>
                      <w:marRight w:val="0"/>
                      <w:marTop w:val="0"/>
                      <w:marBottom w:val="0"/>
                      <w:divBdr>
                        <w:top w:val="none" w:sz="0" w:space="0" w:color="auto"/>
                        <w:left w:val="none" w:sz="0" w:space="0" w:color="auto"/>
                        <w:bottom w:val="none" w:sz="0" w:space="0" w:color="auto"/>
                        <w:right w:val="none" w:sz="0" w:space="0" w:color="auto"/>
                      </w:divBdr>
                    </w:div>
                  </w:divsChild>
                </w:div>
                <w:div w:id="1666738139">
                  <w:marLeft w:val="0"/>
                  <w:marRight w:val="0"/>
                  <w:marTop w:val="0"/>
                  <w:marBottom w:val="0"/>
                  <w:divBdr>
                    <w:top w:val="none" w:sz="0" w:space="0" w:color="auto"/>
                    <w:left w:val="none" w:sz="0" w:space="0" w:color="auto"/>
                    <w:bottom w:val="none" w:sz="0" w:space="0" w:color="auto"/>
                    <w:right w:val="none" w:sz="0" w:space="0" w:color="auto"/>
                  </w:divBdr>
                  <w:divsChild>
                    <w:div w:id="535823436">
                      <w:marLeft w:val="0"/>
                      <w:marRight w:val="0"/>
                      <w:marTop w:val="0"/>
                      <w:marBottom w:val="0"/>
                      <w:divBdr>
                        <w:top w:val="none" w:sz="0" w:space="0" w:color="auto"/>
                        <w:left w:val="none" w:sz="0" w:space="0" w:color="auto"/>
                        <w:bottom w:val="none" w:sz="0" w:space="0" w:color="auto"/>
                        <w:right w:val="none" w:sz="0" w:space="0" w:color="auto"/>
                      </w:divBdr>
                    </w:div>
                  </w:divsChild>
                </w:div>
                <w:div w:id="1680234922">
                  <w:marLeft w:val="0"/>
                  <w:marRight w:val="0"/>
                  <w:marTop w:val="0"/>
                  <w:marBottom w:val="0"/>
                  <w:divBdr>
                    <w:top w:val="none" w:sz="0" w:space="0" w:color="auto"/>
                    <w:left w:val="none" w:sz="0" w:space="0" w:color="auto"/>
                    <w:bottom w:val="none" w:sz="0" w:space="0" w:color="auto"/>
                    <w:right w:val="none" w:sz="0" w:space="0" w:color="auto"/>
                  </w:divBdr>
                </w:div>
                <w:div w:id="1697921076">
                  <w:marLeft w:val="0"/>
                  <w:marRight w:val="0"/>
                  <w:marTop w:val="0"/>
                  <w:marBottom w:val="0"/>
                  <w:divBdr>
                    <w:top w:val="none" w:sz="0" w:space="0" w:color="auto"/>
                    <w:left w:val="none" w:sz="0" w:space="0" w:color="auto"/>
                    <w:bottom w:val="none" w:sz="0" w:space="0" w:color="auto"/>
                    <w:right w:val="none" w:sz="0" w:space="0" w:color="auto"/>
                  </w:divBdr>
                  <w:divsChild>
                    <w:div w:id="352191274">
                      <w:marLeft w:val="0"/>
                      <w:marRight w:val="0"/>
                      <w:marTop w:val="0"/>
                      <w:marBottom w:val="0"/>
                      <w:divBdr>
                        <w:top w:val="none" w:sz="0" w:space="0" w:color="auto"/>
                        <w:left w:val="none" w:sz="0" w:space="0" w:color="auto"/>
                        <w:bottom w:val="none" w:sz="0" w:space="0" w:color="auto"/>
                        <w:right w:val="none" w:sz="0" w:space="0" w:color="auto"/>
                      </w:divBdr>
                    </w:div>
                  </w:divsChild>
                </w:div>
                <w:div w:id="1738936292">
                  <w:marLeft w:val="0"/>
                  <w:marRight w:val="0"/>
                  <w:marTop w:val="0"/>
                  <w:marBottom w:val="0"/>
                  <w:divBdr>
                    <w:top w:val="none" w:sz="0" w:space="0" w:color="auto"/>
                    <w:left w:val="none" w:sz="0" w:space="0" w:color="auto"/>
                    <w:bottom w:val="none" w:sz="0" w:space="0" w:color="auto"/>
                    <w:right w:val="none" w:sz="0" w:space="0" w:color="auto"/>
                  </w:divBdr>
                  <w:divsChild>
                    <w:div w:id="1967813179">
                      <w:marLeft w:val="0"/>
                      <w:marRight w:val="0"/>
                      <w:marTop w:val="0"/>
                      <w:marBottom w:val="0"/>
                      <w:divBdr>
                        <w:top w:val="none" w:sz="0" w:space="0" w:color="auto"/>
                        <w:left w:val="none" w:sz="0" w:space="0" w:color="auto"/>
                        <w:bottom w:val="none" w:sz="0" w:space="0" w:color="auto"/>
                        <w:right w:val="none" w:sz="0" w:space="0" w:color="auto"/>
                      </w:divBdr>
                    </w:div>
                  </w:divsChild>
                </w:div>
                <w:div w:id="1771659354">
                  <w:marLeft w:val="0"/>
                  <w:marRight w:val="0"/>
                  <w:marTop w:val="0"/>
                  <w:marBottom w:val="0"/>
                  <w:divBdr>
                    <w:top w:val="none" w:sz="0" w:space="0" w:color="auto"/>
                    <w:left w:val="none" w:sz="0" w:space="0" w:color="auto"/>
                    <w:bottom w:val="none" w:sz="0" w:space="0" w:color="auto"/>
                    <w:right w:val="none" w:sz="0" w:space="0" w:color="auto"/>
                  </w:divBdr>
                  <w:divsChild>
                    <w:div w:id="671760778">
                      <w:marLeft w:val="0"/>
                      <w:marRight w:val="0"/>
                      <w:marTop w:val="0"/>
                      <w:marBottom w:val="0"/>
                      <w:divBdr>
                        <w:top w:val="none" w:sz="0" w:space="0" w:color="auto"/>
                        <w:left w:val="none" w:sz="0" w:space="0" w:color="auto"/>
                        <w:bottom w:val="none" w:sz="0" w:space="0" w:color="auto"/>
                        <w:right w:val="none" w:sz="0" w:space="0" w:color="auto"/>
                      </w:divBdr>
                    </w:div>
                  </w:divsChild>
                </w:div>
                <w:div w:id="1781804137">
                  <w:marLeft w:val="0"/>
                  <w:marRight w:val="0"/>
                  <w:marTop w:val="0"/>
                  <w:marBottom w:val="0"/>
                  <w:divBdr>
                    <w:top w:val="none" w:sz="0" w:space="0" w:color="auto"/>
                    <w:left w:val="none" w:sz="0" w:space="0" w:color="auto"/>
                    <w:bottom w:val="none" w:sz="0" w:space="0" w:color="auto"/>
                    <w:right w:val="none" w:sz="0" w:space="0" w:color="auto"/>
                  </w:divBdr>
                  <w:divsChild>
                    <w:div w:id="220210221">
                      <w:marLeft w:val="0"/>
                      <w:marRight w:val="0"/>
                      <w:marTop w:val="0"/>
                      <w:marBottom w:val="0"/>
                      <w:divBdr>
                        <w:top w:val="none" w:sz="0" w:space="0" w:color="auto"/>
                        <w:left w:val="none" w:sz="0" w:space="0" w:color="auto"/>
                        <w:bottom w:val="none" w:sz="0" w:space="0" w:color="auto"/>
                        <w:right w:val="none" w:sz="0" w:space="0" w:color="auto"/>
                      </w:divBdr>
                    </w:div>
                  </w:divsChild>
                </w:div>
                <w:div w:id="1855337389">
                  <w:marLeft w:val="0"/>
                  <w:marRight w:val="0"/>
                  <w:marTop w:val="0"/>
                  <w:marBottom w:val="0"/>
                  <w:divBdr>
                    <w:top w:val="none" w:sz="0" w:space="0" w:color="auto"/>
                    <w:left w:val="none" w:sz="0" w:space="0" w:color="auto"/>
                    <w:bottom w:val="none" w:sz="0" w:space="0" w:color="auto"/>
                    <w:right w:val="none" w:sz="0" w:space="0" w:color="auto"/>
                  </w:divBdr>
                  <w:divsChild>
                    <w:div w:id="1413968803">
                      <w:marLeft w:val="0"/>
                      <w:marRight w:val="0"/>
                      <w:marTop w:val="0"/>
                      <w:marBottom w:val="0"/>
                      <w:divBdr>
                        <w:top w:val="none" w:sz="0" w:space="0" w:color="auto"/>
                        <w:left w:val="none" w:sz="0" w:space="0" w:color="auto"/>
                        <w:bottom w:val="none" w:sz="0" w:space="0" w:color="auto"/>
                        <w:right w:val="none" w:sz="0" w:space="0" w:color="auto"/>
                      </w:divBdr>
                    </w:div>
                  </w:divsChild>
                </w:div>
                <w:div w:id="2060468282">
                  <w:marLeft w:val="0"/>
                  <w:marRight w:val="0"/>
                  <w:marTop w:val="0"/>
                  <w:marBottom w:val="0"/>
                  <w:divBdr>
                    <w:top w:val="none" w:sz="0" w:space="0" w:color="auto"/>
                    <w:left w:val="none" w:sz="0" w:space="0" w:color="auto"/>
                    <w:bottom w:val="none" w:sz="0" w:space="0" w:color="auto"/>
                    <w:right w:val="none" w:sz="0" w:space="0" w:color="auto"/>
                  </w:divBdr>
                  <w:divsChild>
                    <w:div w:id="439380199">
                      <w:marLeft w:val="0"/>
                      <w:marRight w:val="0"/>
                      <w:marTop w:val="0"/>
                      <w:marBottom w:val="0"/>
                      <w:divBdr>
                        <w:top w:val="none" w:sz="0" w:space="0" w:color="auto"/>
                        <w:left w:val="none" w:sz="0" w:space="0" w:color="auto"/>
                        <w:bottom w:val="none" w:sz="0" w:space="0" w:color="auto"/>
                        <w:right w:val="none" w:sz="0" w:space="0" w:color="auto"/>
                      </w:divBdr>
                    </w:div>
                  </w:divsChild>
                </w:div>
                <w:div w:id="2063600421">
                  <w:marLeft w:val="0"/>
                  <w:marRight w:val="0"/>
                  <w:marTop w:val="0"/>
                  <w:marBottom w:val="0"/>
                  <w:divBdr>
                    <w:top w:val="none" w:sz="0" w:space="0" w:color="auto"/>
                    <w:left w:val="none" w:sz="0" w:space="0" w:color="auto"/>
                    <w:bottom w:val="none" w:sz="0" w:space="0" w:color="auto"/>
                    <w:right w:val="none" w:sz="0" w:space="0" w:color="auto"/>
                  </w:divBdr>
                  <w:divsChild>
                    <w:div w:id="1583761032">
                      <w:marLeft w:val="0"/>
                      <w:marRight w:val="0"/>
                      <w:marTop w:val="0"/>
                      <w:marBottom w:val="0"/>
                      <w:divBdr>
                        <w:top w:val="none" w:sz="0" w:space="0" w:color="auto"/>
                        <w:left w:val="none" w:sz="0" w:space="0" w:color="auto"/>
                        <w:bottom w:val="none" w:sz="0" w:space="0" w:color="auto"/>
                        <w:right w:val="none" w:sz="0" w:space="0" w:color="auto"/>
                      </w:divBdr>
                    </w:div>
                  </w:divsChild>
                </w:div>
                <w:div w:id="2069766668">
                  <w:marLeft w:val="0"/>
                  <w:marRight w:val="0"/>
                  <w:marTop w:val="0"/>
                  <w:marBottom w:val="0"/>
                  <w:divBdr>
                    <w:top w:val="none" w:sz="0" w:space="0" w:color="auto"/>
                    <w:left w:val="none" w:sz="0" w:space="0" w:color="auto"/>
                    <w:bottom w:val="none" w:sz="0" w:space="0" w:color="auto"/>
                    <w:right w:val="none" w:sz="0" w:space="0" w:color="auto"/>
                  </w:divBdr>
                  <w:divsChild>
                    <w:div w:id="1580284258">
                      <w:marLeft w:val="0"/>
                      <w:marRight w:val="0"/>
                      <w:marTop w:val="0"/>
                      <w:marBottom w:val="0"/>
                      <w:divBdr>
                        <w:top w:val="none" w:sz="0" w:space="0" w:color="auto"/>
                        <w:left w:val="none" w:sz="0" w:space="0" w:color="auto"/>
                        <w:bottom w:val="none" w:sz="0" w:space="0" w:color="auto"/>
                        <w:right w:val="none" w:sz="0" w:space="0" w:color="auto"/>
                      </w:divBdr>
                    </w:div>
                  </w:divsChild>
                </w:div>
                <w:div w:id="2100981940">
                  <w:marLeft w:val="0"/>
                  <w:marRight w:val="0"/>
                  <w:marTop w:val="0"/>
                  <w:marBottom w:val="0"/>
                  <w:divBdr>
                    <w:top w:val="none" w:sz="0" w:space="0" w:color="auto"/>
                    <w:left w:val="none" w:sz="0" w:space="0" w:color="auto"/>
                    <w:bottom w:val="none" w:sz="0" w:space="0" w:color="auto"/>
                    <w:right w:val="none" w:sz="0" w:space="0" w:color="auto"/>
                  </w:divBdr>
                  <w:divsChild>
                    <w:div w:id="875195159">
                      <w:marLeft w:val="0"/>
                      <w:marRight w:val="0"/>
                      <w:marTop w:val="0"/>
                      <w:marBottom w:val="0"/>
                      <w:divBdr>
                        <w:top w:val="none" w:sz="0" w:space="0" w:color="auto"/>
                        <w:left w:val="none" w:sz="0" w:space="0" w:color="auto"/>
                        <w:bottom w:val="none" w:sz="0" w:space="0" w:color="auto"/>
                        <w:right w:val="none" w:sz="0" w:space="0" w:color="auto"/>
                      </w:divBdr>
                    </w:div>
                    <w:div w:id="99399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81003">
          <w:marLeft w:val="0"/>
          <w:marRight w:val="0"/>
          <w:marTop w:val="0"/>
          <w:marBottom w:val="0"/>
          <w:divBdr>
            <w:top w:val="none" w:sz="0" w:space="0" w:color="auto"/>
            <w:left w:val="none" w:sz="0" w:space="0" w:color="auto"/>
            <w:bottom w:val="none" w:sz="0" w:space="0" w:color="auto"/>
            <w:right w:val="none" w:sz="0" w:space="0" w:color="auto"/>
          </w:divBdr>
          <w:divsChild>
            <w:div w:id="1945649675">
              <w:marLeft w:val="-75"/>
              <w:marRight w:val="0"/>
              <w:marTop w:val="30"/>
              <w:marBottom w:val="30"/>
              <w:divBdr>
                <w:top w:val="none" w:sz="0" w:space="0" w:color="auto"/>
                <w:left w:val="none" w:sz="0" w:space="0" w:color="auto"/>
                <w:bottom w:val="none" w:sz="0" w:space="0" w:color="auto"/>
                <w:right w:val="none" w:sz="0" w:space="0" w:color="auto"/>
              </w:divBdr>
              <w:divsChild>
                <w:div w:id="110829920">
                  <w:marLeft w:val="0"/>
                  <w:marRight w:val="0"/>
                  <w:marTop w:val="0"/>
                  <w:marBottom w:val="0"/>
                  <w:divBdr>
                    <w:top w:val="none" w:sz="0" w:space="0" w:color="auto"/>
                    <w:left w:val="none" w:sz="0" w:space="0" w:color="auto"/>
                    <w:bottom w:val="none" w:sz="0" w:space="0" w:color="auto"/>
                    <w:right w:val="none" w:sz="0" w:space="0" w:color="auto"/>
                  </w:divBdr>
                  <w:divsChild>
                    <w:div w:id="1067605571">
                      <w:marLeft w:val="0"/>
                      <w:marRight w:val="0"/>
                      <w:marTop w:val="0"/>
                      <w:marBottom w:val="0"/>
                      <w:divBdr>
                        <w:top w:val="none" w:sz="0" w:space="0" w:color="auto"/>
                        <w:left w:val="none" w:sz="0" w:space="0" w:color="auto"/>
                        <w:bottom w:val="none" w:sz="0" w:space="0" w:color="auto"/>
                        <w:right w:val="none" w:sz="0" w:space="0" w:color="auto"/>
                      </w:divBdr>
                    </w:div>
                    <w:div w:id="1288581924">
                      <w:marLeft w:val="0"/>
                      <w:marRight w:val="0"/>
                      <w:marTop w:val="0"/>
                      <w:marBottom w:val="0"/>
                      <w:divBdr>
                        <w:top w:val="none" w:sz="0" w:space="0" w:color="auto"/>
                        <w:left w:val="none" w:sz="0" w:space="0" w:color="auto"/>
                        <w:bottom w:val="none" w:sz="0" w:space="0" w:color="auto"/>
                        <w:right w:val="none" w:sz="0" w:space="0" w:color="auto"/>
                      </w:divBdr>
                    </w:div>
                  </w:divsChild>
                </w:div>
                <w:div w:id="384959878">
                  <w:marLeft w:val="0"/>
                  <w:marRight w:val="0"/>
                  <w:marTop w:val="0"/>
                  <w:marBottom w:val="0"/>
                  <w:divBdr>
                    <w:top w:val="none" w:sz="0" w:space="0" w:color="auto"/>
                    <w:left w:val="none" w:sz="0" w:space="0" w:color="auto"/>
                    <w:bottom w:val="none" w:sz="0" w:space="0" w:color="auto"/>
                    <w:right w:val="none" w:sz="0" w:space="0" w:color="auto"/>
                  </w:divBdr>
                  <w:divsChild>
                    <w:div w:id="488789722">
                      <w:marLeft w:val="0"/>
                      <w:marRight w:val="0"/>
                      <w:marTop w:val="0"/>
                      <w:marBottom w:val="0"/>
                      <w:divBdr>
                        <w:top w:val="none" w:sz="0" w:space="0" w:color="auto"/>
                        <w:left w:val="none" w:sz="0" w:space="0" w:color="auto"/>
                        <w:bottom w:val="none" w:sz="0" w:space="0" w:color="auto"/>
                        <w:right w:val="none" w:sz="0" w:space="0" w:color="auto"/>
                      </w:divBdr>
                    </w:div>
                  </w:divsChild>
                </w:div>
                <w:div w:id="411901567">
                  <w:marLeft w:val="0"/>
                  <w:marRight w:val="0"/>
                  <w:marTop w:val="0"/>
                  <w:marBottom w:val="0"/>
                  <w:divBdr>
                    <w:top w:val="none" w:sz="0" w:space="0" w:color="auto"/>
                    <w:left w:val="none" w:sz="0" w:space="0" w:color="auto"/>
                    <w:bottom w:val="none" w:sz="0" w:space="0" w:color="auto"/>
                    <w:right w:val="none" w:sz="0" w:space="0" w:color="auto"/>
                  </w:divBdr>
                </w:div>
                <w:div w:id="479462949">
                  <w:marLeft w:val="0"/>
                  <w:marRight w:val="0"/>
                  <w:marTop w:val="0"/>
                  <w:marBottom w:val="0"/>
                  <w:divBdr>
                    <w:top w:val="none" w:sz="0" w:space="0" w:color="auto"/>
                    <w:left w:val="none" w:sz="0" w:space="0" w:color="auto"/>
                    <w:bottom w:val="none" w:sz="0" w:space="0" w:color="auto"/>
                    <w:right w:val="none" w:sz="0" w:space="0" w:color="auto"/>
                  </w:divBdr>
                  <w:divsChild>
                    <w:div w:id="1329752489">
                      <w:marLeft w:val="0"/>
                      <w:marRight w:val="0"/>
                      <w:marTop w:val="0"/>
                      <w:marBottom w:val="0"/>
                      <w:divBdr>
                        <w:top w:val="none" w:sz="0" w:space="0" w:color="auto"/>
                        <w:left w:val="none" w:sz="0" w:space="0" w:color="auto"/>
                        <w:bottom w:val="none" w:sz="0" w:space="0" w:color="auto"/>
                        <w:right w:val="none" w:sz="0" w:space="0" w:color="auto"/>
                      </w:divBdr>
                    </w:div>
                  </w:divsChild>
                </w:div>
                <w:div w:id="586885889">
                  <w:marLeft w:val="0"/>
                  <w:marRight w:val="0"/>
                  <w:marTop w:val="0"/>
                  <w:marBottom w:val="0"/>
                  <w:divBdr>
                    <w:top w:val="none" w:sz="0" w:space="0" w:color="auto"/>
                    <w:left w:val="none" w:sz="0" w:space="0" w:color="auto"/>
                    <w:bottom w:val="none" w:sz="0" w:space="0" w:color="auto"/>
                    <w:right w:val="none" w:sz="0" w:space="0" w:color="auto"/>
                  </w:divBdr>
                  <w:divsChild>
                    <w:div w:id="1206719810">
                      <w:marLeft w:val="0"/>
                      <w:marRight w:val="0"/>
                      <w:marTop w:val="0"/>
                      <w:marBottom w:val="0"/>
                      <w:divBdr>
                        <w:top w:val="none" w:sz="0" w:space="0" w:color="auto"/>
                        <w:left w:val="none" w:sz="0" w:space="0" w:color="auto"/>
                        <w:bottom w:val="none" w:sz="0" w:space="0" w:color="auto"/>
                        <w:right w:val="none" w:sz="0" w:space="0" w:color="auto"/>
                      </w:divBdr>
                    </w:div>
                  </w:divsChild>
                </w:div>
                <w:div w:id="893152669">
                  <w:marLeft w:val="0"/>
                  <w:marRight w:val="0"/>
                  <w:marTop w:val="0"/>
                  <w:marBottom w:val="0"/>
                  <w:divBdr>
                    <w:top w:val="none" w:sz="0" w:space="0" w:color="auto"/>
                    <w:left w:val="none" w:sz="0" w:space="0" w:color="auto"/>
                    <w:bottom w:val="none" w:sz="0" w:space="0" w:color="auto"/>
                    <w:right w:val="none" w:sz="0" w:space="0" w:color="auto"/>
                  </w:divBdr>
                  <w:divsChild>
                    <w:div w:id="1948150399">
                      <w:marLeft w:val="0"/>
                      <w:marRight w:val="0"/>
                      <w:marTop w:val="0"/>
                      <w:marBottom w:val="0"/>
                      <w:divBdr>
                        <w:top w:val="none" w:sz="0" w:space="0" w:color="auto"/>
                        <w:left w:val="none" w:sz="0" w:space="0" w:color="auto"/>
                        <w:bottom w:val="none" w:sz="0" w:space="0" w:color="auto"/>
                        <w:right w:val="none" w:sz="0" w:space="0" w:color="auto"/>
                      </w:divBdr>
                    </w:div>
                  </w:divsChild>
                </w:div>
                <w:div w:id="901913714">
                  <w:marLeft w:val="0"/>
                  <w:marRight w:val="0"/>
                  <w:marTop w:val="0"/>
                  <w:marBottom w:val="0"/>
                  <w:divBdr>
                    <w:top w:val="none" w:sz="0" w:space="0" w:color="auto"/>
                    <w:left w:val="none" w:sz="0" w:space="0" w:color="auto"/>
                    <w:bottom w:val="none" w:sz="0" w:space="0" w:color="auto"/>
                    <w:right w:val="none" w:sz="0" w:space="0" w:color="auto"/>
                  </w:divBdr>
                  <w:divsChild>
                    <w:div w:id="1309283157">
                      <w:marLeft w:val="0"/>
                      <w:marRight w:val="0"/>
                      <w:marTop w:val="0"/>
                      <w:marBottom w:val="0"/>
                      <w:divBdr>
                        <w:top w:val="none" w:sz="0" w:space="0" w:color="auto"/>
                        <w:left w:val="none" w:sz="0" w:space="0" w:color="auto"/>
                        <w:bottom w:val="none" w:sz="0" w:space="0" w:color="auto"/>
                        <w:right w:val="none" w:sz="0" w:space="0" w:color="auto"/>
                      </w:divBdr>
                    </w:div>
                  </w:divsChild>
                </w:div>
                <w:div w:id="1079713760">
                  <w:marLeft w:val="0"/>
                  <w:marRight w:val="0"/>
                  <w:marTop w:val="0"/>
                  <w:marBottom w:val="0"/>
                  <w:divBdr>
                    <w:top w:val="none" w:sz="0" w:space="0" w:color="auto"/>
                    <w:left w:val="none" w:sz="0" w:space="0" w:color="auto"/>
                    <w:bottom w:val="none" w:sz="0" w:space="0" w:color="auto"/>
                    <w:right w:val="none" w:sz="0" w:space="0" w:color="auto"/>
                  </w:divBdr>
                  <w:divsChild>
                    <w:div w:id="548227939">
                      <w:marLeft w:val="0"/>
                      <w:marRight w:val="0"/>
                      <w:marTop w:val="0"/>
                      <w:marBottom w:val="0"/>
                      <w:divBdr>
                        <w:top w:val="none" w:sz="0" w:space="0" w:color="auto"/>
                        <w:left w:val="none" w:sz="0" w:space="0" w:color="auto"/>
                        <w:bottom w:val="none" w:sz="0" w:space="0" w:color="auto"/>
                        <w:right w:val="none" w:sz="0" w:space="0" w:color="auto"/>
                      </w:divBdr>
                    </w:div>
                  </w:divsChild>
                </w:div>
                <w:div w:id="1092313718">
                  <w:marLeft w:val="0"/>
                  <w:marRight w:val="0"/>
                  <w:marTop w:val="0"/>
                  <w:marBottom w:val="0"/>
                  <w:divBdr>
                    <w:top w:val="none" w:sz="0" w:space="0" w:color="auto"/>
                    <w:left w:val="none" w:sz="0" w:space="0" w:color="auto"/>
                    <w:bottom w:val="none" w:sz="0" w:space="0" w:color="auto"/>
                    <w:right w:val="none" w:sz="0" w:space="0" w:color="auto"/>
                  </w:divBdr>
                  <w:divsChild>
                    <w:div w:id="1439254671">
                      <w:marLeft w:val="0"/>
                      <w:marRight w:val="0"/>
                      <w:marTop w:val="0"/>
                      <w:marBottom w:val="0"/>
                      <w:divBdr>
                        <w:top w:val="none" w:sz="0" w:space="0" w:color="auto"/>
                        <w:left w:val="none" w:sz="0" w:space="0" w:color="auto"/>
                        <w:bottom w:val="none" w:sz="0" w:space="0" w:color="auto"/>
                        <w:right w:val="none" w:sz="0" w:space="0" w:color="auto"/>
                      </w:divBdr>
                    </w:div>
                  </w:divsChild>
                </w:div>
                <w:div w:id="1427773665">
                  <w:marLeft w:val="0"/>
                  <w:marRight w:val="0"/>
                  <w:marTop w:val="0"/>
                  <w:marBottom w:val="0"/>
                  <w:divBdr>
                    <w:top w:val="none" w:sz="0" w:space="0" w:color="auto"/>
                    <w:left w:val="none" w:sz="0" w:space="0" w:color="auto"/>
                    <w:bottom w:val="none" w:sz="0" w:space="0" w:color="auto"/>
                    <w:right w:val="none" w:sz="0" w:space="0" w:color="auto"/>
                  </w:divBdr>
                  <w:divsChild>
                    <w:div w:id="1671718641">
                      <w:marLeft w:val="0"/>
                      <w:marRight w:val="0"/>
                      <w:marTop w:val="0"/>
                      <w:marBottom w:val="0"/>
                      <w:divBdr>
                        <w:top w:val="none" w:sz="0" w:space="0" w:color="auto"/>
                        <w:left w:val="none" w:sz="0" w:space="0" w:color="auto"/>
                        <w:bottom w:val="none" w:sz="0" w:space="0" w:color="auto"/>
                        <w:right w:val="none" w:sz="0" w:space="0" w:color="auto"/>
                      </w:divBdr>
                    </w:div>
                  </w:divsChild>
                </w:div>
                <w:div w:id="1450278424">
                  <w:marLeft w:val="0"/>
                  <w:marRight w:val="0"/>
                  <w:marTop w:val="0"/>
                  <w:marBottom w:val="0"/>
                  <w:divBdr>
                    <w:top w:val="none" w:sz="0" w:space="0" w:color="auto"/>
                    <w:left w:val="none" w:sz="0" w:space="0" w:color="auto"/>
                    <w:bottom w:val="none" w:sz="0" w:space="0" w:color="auto"/>
                    <w:right w:val="none" w:sz="0" w:space="0" w:color="auto"/>
                  </w:divBdr>
                  <w:divsChild>
                    <w:div w:id="1991591930">
                      <w:marLeft w:val="0"/>
                      <w:marRight w:val="0"/>
                      <w:marTop w:val="0"/>
                      <w:marBottom w:val="0"/>
                      <w:divBdr>
                        <w:top w:val="none" w:sz="0" w:space="0" w:color="auto"/>
                        <w:left w:val="none" w:sz="0" w:space="0" w:color="auto"/>
                        <w:bottom w:val="none" w:sz="0" w:space="0" w:color="auto"/>
                        <w:right w:val="none" w:sz="0" w:space="0" w:color="auto"/>
                      </w:divBdr>
                    </w:div>
                  </w:divsChild>
                </w:div>
                <w:div w:id="1629361565">
                  <w:marLeft w:val="0"/>
                  <w:marRight w:val="0"/>
                  <w:marTop w:val="0"/>
                  <w:marBottom w:val="0"/>
                  <w:divBdr>
                    <w:top w:val="none" w:sz="0" w:space="0" w:color="auto"/>
                    <w:left w:val="none" w:sz="0" w:space="0" w:color="auto"/>
                    <w:bottom w:val="none" w:sz="0" w:space="0" w:color="auto"/>
                    <w:right w:val="none" w:sz="0" w:space="0" w:color="auto"/>
                  </w:divBdr>
                  <w:divsChild>
                    <w:div w:id="1809743680">
                      <w:marLeft w:val="0"/>
                      <w:marRight w:val="0"/>
                      <w:marTop w:val="0"/>
                      <w:marBottom w:val="0"/>
                      <w:divBdr>
                        <w:top w:val="none" w:sz="0" w:space="0" w:color="auto"/>
                        <w:left w:val="none" w:sz="0" w:space="0" w:color="auto"/>
                        <w:bottom w:val="none" w:sz="0" w:space="0" w:color="auto"/>
                        <w:right w:val="none" w:sz="0" w:space="0" w:color="auto"/>
                      </w:divBdr>
                    </w:div>
                  </w:divsChild>
                </w:div>
                <w:div w:id="1756977484">
                  <w:marLeft w:val="0"/>
                  <w:marRight w:val="0"/>
                  <w:marTop w:val="0"/>
                  <w:marBottom w:val="0"/>
                  <w:divBdr>
                    <w:top w:val="none" w:sz="0" w:space="0" w:color="auto"/>
                    <w:left w:val="none" w:sz="0" w:space="0" w:color="auto"/>
                    <w:bottom w:val="none" w:sz="0" w:space="0" w:color="auto"/>
                    <w:right w:val="none" w:sz="0" w:space="0" w:color="auto"/>
                  </w:divBdr>
                  <w:divsChild>
                    <w:div w:id="1267495823">
                      <w:marLeft w:val="0"/>
                      <w:marRight w:val="0"/>
                      <w:marTop w:val="0"/>
                      <w:marBottom w:val="0"/>
                      <w:divBdr>
                        <w:top w:val="none" w:sz="0" w:space="0" w:color="auto"/>
                        <w:left w:val="none" w:sz="0" w:space="0" w:color="auto"/>
                        <w:bottom w:val="none" w:sz="0" w:space="0" w:color="auto"/>
                        <w:right w:val="none" w:sz="0" w:space="0" w:color="auto"/>
                      </w:divBdr>
                    </w:div>
                  </w:divsChild>
                </w:div>
                <w:div w:id="1863400308">
                  <w:marLeft w:val="0"/>
                  <w:marRight w:val="0"/>
                  <w:marTop w:val="0"/>
                  <w:marBottom w:val="0"/>
                  <w:divBdr>
                    <w:top w:val="none" w:sz="0" w:space="0" w:color="auto"/>
                    <w:left w:val="none" w:sz="0" w:space="0" w:color="auto"/>
                    <w:bottom w:val="none" w:sz="0" w:space="0" w:color="auto"/>
                    <w:right w:val="none" w:sz="0" w:space="0" w:color="auto"/>
                  </w:divBdr>
                  <w:divsChild>
                    <w:div w:id="1430467313">
                      <w:marLeft w:val="0"/>
                      <w:marRight w:val="0"/>
                      <w:marTop w:val="0"/>
                      <w:marBottom w:val="0"/>
                      <w:divBdr>
                        <w:top w:val="none" w:sz="0" w:space="0" w:color="auto"/>
                        <w:left w:val="none" w:sz="0" w:space="0" w:color="auto"/>
                        <w:bottom w:val="none" w:sz="0" w:space="0" w:color="auto"/>
                        <w:right w:val="none" w:sz="0" w:space="0" w:color="auto"/>
                      </w:divBdr>
                    </w:div>
                  </w:divsChild>
                </w:div>
                <w:div w:id="1911958761">
                  <w:marLeft w:val="0"/>
                  <w:marRight w:val="0"/>
                  <w:marTop w:val="0"/>
                  <w:marBottom w:val="0"/>
                  <w:divBdr>
                    <w:top w:val="none" w:sz="0" w:space="0" w:color="auto"/>
                    <w:left w:val="none" w:sz="0" w:space="0" w:color="auto"/>
                    <w:bottom w:val="none" w:sz="0" w:space="0" w:color="auto"/>
                    <w:right w:val="none" w:sz="0" w:space="0" w:color="auto"/>
                  </w:divBdr>
                  <w:divsChild>
                    <w:div w:id="744567354">
                      <w:marLeft w:val="0"/>
                      <w:marRight w:val="0"/>
                      <w:marTop w:val="0"/>
                      <w:marBottom w:val="0"/>
                      <w:divBdr>
                        <w:top w:val="none" w:sz="0" w:space="0" w:color="auto"/>
                        <w:left w:val="none" w:sz="0" w:space="0" w:color="auto"/>
                        <w:bottom w:val="none" w:sz="0" w:space="0" w:color="auto"/>
                        <w:right w:val="none" w:sz="0" w:space="0" w:color="auto"/>
                      </w:divBdr>
                    </w:div>
                  </w:divsChild>
                </w:div>
                <w:div w:id="2006319508">
                  <w:marLeft w:val="0"/>
                  <w:marRight w:val="0"/>
                  <w:marTop w:val="0"/>
                  <w:marBottom w:val="0"/>
                  <w:divBdr>
                    <w:top w:val="none" w:sz="0" w:space="0" w:color="auto"/>
                    <w:left w:val="none" w:sz="0" w:space="0" w:color="auto"/>
                    <w:bottom w:val="none" w:sz="0" w:space="0" w:color="auto"/>
                    <w:right w:val="none" w:sz="0" w:space="0" w:color="auto"/>
                  </w:divBdr>
                  <w:divsChild>
                    <w:div w:id="1350333438">
                      <w:marLeft w:val="0"/>
                      <w:marRight w:val="0"/>
                      <w:marTop w:val="0"/>
                      <w:marBottom w:val="0"/>
                      <w:divBdr>
                        <w:top w:val="none" w:sz="0" w:space="0" w:color="auto"/>
                        <w:left w:val="none" w:sz="0" w:space="0" w:color="auto"/>
                        <w:bottom w:val="none" w:sz="0" w:space="0" w:color="auto"/>
                        <w:right w:val="none" w:sz="0" w:space="0" w:color="auto"/>
                      </w:divBdr>
                    </w:div>
                  </w:divsChild>
                </w:div>
                <w:div w:id="2128036687">
                  <w:marLeft w:val="0"/>
                  <w:marRight w:val="0"/>
                  <w:marTop w:val="0"/>
                  <w:marBottom w:val="0"/>
                  <w:divBdr>
                    <w:top w:val="none" w:sz="0" w:space="0" w:color="auto"/>
                    <w:left w:val="none" w:sz="0" w:space="0" w:color="auto"/>
                    <w:bottom w:val="none" w:sz="0" w:space="0" w:color="auto"/>
                    <w:right w:val="none" w:sz="0" w:space="0" w:color="auto"/>
                  </w:divBdr>
                  <w:divsChild>
                    <w:div w:id="193088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646778">
          <w:marLeft w:val="0"/>
          <w:marRight w:val="0"/>
          <w:marTop w:val="0"/>
          <w:marBottom w:val="0"/>
          <w:divBdr>
            <w:top w:val="none" w:sz="0" w:space="0" w:color="auto"/>
            <w:left w:val="none" w:sz="0" w:space="0" w:color="auto"/>
            <w:bottom w:val="none" w:sz="0" w:space="0" w:color="auto"/>
            <w:right w:val="none" w:sz="0" w:space="0" w:color="auto"/>
          </w:divBdr>
          <w:divsChild>
            <w:div w:id="36399524">
              <w:marLeft w:val="0"/>
              <w:marRight w:val="0"/>
              <w:marTop w:val="0"/>
              <w:marBottom w:val="0"/>
              <w:divBdr>
                <w:top w:val="none" w:sz="0" w:space="0" w:color="auto"/>
                <w:left w:val="none" w:sz="0" w:space="0" w:color="auto"/>
                <w:bottom w:val="none" w:sz="0" w:space="0" w:color="auto"/>
                <w:right w:val="none" w:sz="0" w:space="0" w:color="auto"/>
              </w:divBdr>
            </w:div>
            <w:div w:id="127676022">
              <w:marLeft w:val="0"/>
              <w:marRight w:val="0"/>
              <w:marTop w:val="0"/>
              <w:marBottom w:val="0"/>
              <w:divBdr>
                <w:top w:val="none" w:sz="0" w:space="0" w:color="auto"/>
                <w:left w:val="none" w:sz="0" w:space="0" w:color="auto"/>
                <w:bottom w:val="none" w:sz="0" w:space="0" w:color="auto"/>
                <w:right w:val="none" w:sz="0" w:space="0" w:color="auto"/>
              </w:divBdr>
            </w:div>
            <w:div w:id="141851244">
              <w:marLeft w:val="0"/>
              <w:marRight w:val="0"/>
              <w:marTop w:val="0"/>
              <w:marBottom w:val="0"/>
              <w:divBdr>
                <w:top w:val="none" w:sz="0" w:space="0" w:color="auto"/>
                <w:left w:val="none" w:sz="0" w:space="0" w:color="auto"/>
                <w:bottom w:val="none" w:sz="0" w:space="0" w:color="auto"/>
                <w:right w:val="none" w:sz="0" w:space="0" w:color="auto"/>
              </w:divBdr>
            </w:div>
            <w:div w:id="704868402">
              <w:marLeft w:val="0"/>
              <w:marRight w:val="0"/>
              <w:marTop w:val="0"/>
              <w:marBottom w:val="0"/>
              <w:divBdr>
                <w:top w:val="none" w:sz="0" w:space="0" w:color="auto"/>
                <w:left w:val="none" w:sz="0" w:space="0" w:color="auto"/>
                <w:bottom w:val="none" w:sz="0" w:space="0" w:color="auto"/>
                <w:right w:val="none" w:sz="0" w:space="0" w:color="auto"/>
              </w:divBdr>
            </w:div>
            <w:div w:id="1726023567">
              <w:marLeft w:val="0"/>
              <w:marRight w:val="0"/>
              <w:marTop w:val="0"/>
              <w:marBottom w:val="0"/>
              <w:divBdr>
                <w:top w:val="none" w:sz="0" w:space="0" w:color="auto"/>
                <w:left w:val="none" w:sz="0" w:space="0" w:color="auto"/>
                <w:bottom w:val="none" w:sz="0" w:space="0" w:color="auto"/>
                <w:right w:val="none" w:sz="0" w:space="0" w:color="auto"/>
              </w:divBdr>
            </w:div>
          </w:divsChild>
        </w:div>
        <w:div w:id="1311250520">
          <w:marLeft w:val="0"/>
          <w:marRight w:val="0"/>
          <w:marTop w:val="0"/>
          <w:marBottom w:val="0"/>
          <w:divBdr>
            <w:top w:val="none" w:sz="0" w:space="0" w:color="auto"/>
            <w:left w:val="none" w:sz="0" w:space="0" w:color="auto"/>
            <w:bottom w:val="none" w:sz="0" w:space="0" w:color="auto"/>
            <w:right w:val="none" w:sz="0" w:space="0" w:color="auto"/>
          </w:divBdr>
        </w:div>
        <w:div w:id="1439526782">
          <w:marLeft w:val="0"/>
          <w:marRight w:val="0"/>
          <w:marTop w:val="0"/>
          <w:marBottom w:val="0"/>
          <w:divBdr>
            <w:top w:val="none" w:sz="0" w:space="0" w:color="auto"/>
            <w:left w:val="none" w:sz="0" w:space="0" w:color="auto"/>
            <w:bottom w:val="none" w:sz="0" w:space="0" w:color="auto"/>
            <w:right w:val="none" w:sz="0" w:space="0" w:color="auto"/>
          </w:divBdr>
          <w:divsChild>
            <w:div w:id="199630312">
              <w:marLeft w:val="-75"/>
              <w:marRight w:val="0"/>
              <w:marTop w:val="30"/>
              <w:marBottom w:val="30"/>
              <w:divBdr>
                <w:top w:val="none" w:sz="0" w:space="0" w:color="auto"/>
                <w:left w:val="none" w:sz="0" w:space="0" w:color="auto"/>
                <w:bottom w:val="none" w:sz="0" w:space="0" w:color="auto"/>
                <w:right w:val="none" w:sz="0" w:space="0" w:color="auto"/>
              </w:divBdr>
              <w:divsChild>
                <w:div w:id="1386950953">
                  <w:marLeft w:val="0"/>
                  <w:marRight w:val="0"/>
                  <w:marTop w:val="0"/>
                  <w:marBottom w:val="0"/>
                  <w:divBdr>
                    <w:top w:val="none" w:sz="0" w:space="0" w:color="auto"/>
                    <w:left w:val="none" w:sz="0" w:space="0" w:color="auto"/>
                    <w:bottom w:val="none" w:sz="0" w:space="0" w:color="auto"/>
                    <w:right w:val="none" w:sz="0" w:space="0" w:color="auto"/>
                  </w:divBdr>
                  <w:divsChild>
                    <w:div w:id="840896889">
                      <w:marLeft w:val="0"/>
                      <w:marRight w:val="0"/>
                      <w:marTop w:val="0"/>
                      <w:marBottom w:val="0"/>
                      <w:divBdr>
                        <w:top w:val="none" w:sz="0" w:space="0" w:color="auto"/>
                        <w:left w:val="none" w:sz="0" w:space="0" w:color="auto"/>
                        <w:bottom w:val="none" w:sz="0" w:space="0" w:color="auto"/>
                        <w:right w:val="none" w:sz="0" w:space="0" w:color="auto"/>
                      </w:divBdr>
                    </w:div>
                    <w:div w:id="940601931">
                      <w:marLeft w:val="0"/>
                      <w:marRight w:val="0"/>
                      <w:marTop w:val="0"/>
                      <w:marBottom w:val="0"/>
                      <w:divBdr>
                        <w:top w:val="none" w:sz="0" w:space="0" w:color="auto"/>
                        <w:left w:val="none" w:sz="0" w:space="0" w:color="auto"/>
                        <w:bottom w:val="none" w:sz="0" w:space="0" w:color="auto"/>
                        <w:right w:val="none" w:sz="0" w:space="0" w:color="auto"/>
                      </w:divBdr>
                    </w:div>
                    <w:div w:id="1243488303">
                      <w:marLeft w:val="0"/>
                      <w:marRight w:val="0"/>
                      <w:marTop w:val="0"/>
                      <w:marBottom w:val="0"/>
                      <w:divBdr>
                        <w:top w:val="none" w:sz="0" w:space="0" w:color="auto"/>
                        <w:left w:val="none" w:sz="0" w:space="0" w:color="auto"/>
                        <w:bottom w:val="none" w:sz="0" w:space="0" w:color="auto"/>
                        <w:right w:val="none" w:sz="0" w:space="0" w:color="auto"/>
                      </w:divBdr>
                    </w:div>
                  </w:divsChild>
                </w:div>
                <w:div w:id="1479807718">
                  <w:marLeft w:val="0"/>
                  <w:marRight w:val="0"/>
                  <w:marTop w:val="0"/>
                  <w:marBottom w:val="0"/>
                  <w:divBdr>
                    <w:top w:val="none" w:sz="0" w:space="0" w:color="auto"/>
                    <w:left w:val="none" w:sz="0" w:space="0" w:color="auto"/>
                    <w:bottom w:val="none" w:sz="0" w:space="0" w:color="auto"/>
                    <w:right w:val="none" w:sz="0" w:space="0" w:color="auto"/>
                  </w:divBdr>
                  <w:divsChild>
                    <w:div w:id="2895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962284">
          <w:marLeft w:val="0"/>
          <w:marRight w:val="0"/>
          <w:marTop w:val="0"/>
          <w:marBottom w:val="0"/>
          <w:divBdr>
            <w:top w:val="none" w:sz="0" w:space="0" w:color="auto"/>
            <w:left w:val="none" w:sz="0" w:space="0" w:color="auto"/>
            <w:bottom w:val="none" w:sz="0" w:space="0" w:color="auto"/>
            <w:right w:val="none" w:sz="0" w:space="0" w:color="auto"/>
          </w:divBdr>
        </w:div>
        <w:div w:id="2030911969">
          <w:marLeft w:val="0"/>
          <w:marRight w:val="0"/>
          <w:marTop w:val="0"/>
          <w:marBottom w:val="0"/>
          <w:divBdr>
            <w:top w:val="none" w:sz="0" w:space="0" w:color="auto"/>
            <w:left w:val="none" w:sz="0" w:space="0" w:color="auto"/>
            <w:bottom w:val="none" w:sz="0" w:space="0" w:color="auto"/>
            <w:right w:val="none" w:sz="0" w:space="0" w:color="auto"/>
          </w:divBdr>
          <w:divsChild>
            <w:div w:id="83962854">
              <w:marLeft w:val="0"/>
              <w:marRight w:val="0"/>
              <w:marTop w:val="0"/>
              <w:marBottom w:val="0"/>
              <w:divBdr>
                <w:top w:val="none" w:sz="0" w:space="0" w:color="auto"/>
                <w:left w:val="none" w:sz="0" w:space="0" w:color="auto"/>
                <w:bottom w:val="none" w:sz="0" w:space="0" w:color="auto"/>
                <w:right w:val="none" w:sz="0" w:space="0" w:color="auto"/>
              </w:divBdr>
            </w:div>
            <w:div w:id="1660767951">
              <w:marLeft w:val="0"/>
              <w:marRight w:val="0"/>
              <w:marTop w:val="0"/>
              <w:marBottom w:val="0"/>
              <w:divBdr>
                <w:top w:val="none" w:sz="0" w:space="0" w:color="auto"/>
                <w:left w:val="none" w:sz="0" w:space="0" w:color="auto"/>
                <w:bottom w:val="none" w:sz="0" w:space="0" w:color="auto"/>
                <w:right w:val="none" w:sz="0" w:space="0" w:color="auto"/>
              </w:divBdr>
            </w:div>
            <w:div w:id="18472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65725">
      <w:marLeft w:val="480"/>
      <w:marRight w:val="0"/>
      <w:marTop w:val="0"/>
      <w:marBottom w:val="0"/>
      <w:divBdr>
        <w:top w:val="none" w:sz="0" w:space="0" w:color="auto"/>
        <w:left w:val="none" w:sz="0" w:space="0" w:color="auto"/>
        <w:bottom w:val="none" w:sz="0" w:space="0" w:color="auto"/>
        <w:right w:val="none" w:sz="0" w:space="0" w:color="auto"/>
      </w:divBdr>
    </w:div>
    <w:div w:id="843083007">
      <w:marLeft w:val="480"/>
      <w:marRight w:val="0"/>
      <w:marTop w:val="0"/>
      <w:marBottom w:val="0"/>
      <w:divBdr>
        <w:top w:val="none" w:sz="0" w:space="0" w:color="auto"/>
        <w:left w:val="none" w:sz="0" w:space="0" w:color="auto"/>
        <w:bottom w:val="none" w:sz="0" w:space="0" w:color="auto"/>
        <w:right w:val="none" w:sz="0" w:space="0" w:color="auto"/>
      </w:divBdr>
    </w:div>
    <w:div w:id="848443516">
      <w:bodyDiv w:val="1"/>
      <w:marLeft w:val="0"/>
      <w:marRight w:val="0"/>
      <w:marTop w:val="0"/>
      <w:marBottom w:val="0"/>
      <w:divBdr>
        <w:top w:val="none" w:sz="0" w:space="0" w:color="auto"/>
        <w:left w:val="none" w:sz="0" w:space="0" w:color="auto"/>
        <w:bottom w:val="none" w:sz="0" w:space="0" w:color="auto"/>
        <w:right w:val="none" w:sz="0" w:space="0" w:color="auto"/>
      </w:divBdr>
      <w:divsChild>
        <w:div w:id="925267578">
          <w:blockQuote w:val="1"/>
          <w:marLeft w:val="225"/>
          <w:marRight w:val="0"/>
          <w:marTop w:val="0"/>
          <w:marBottom w:val="0"/>
          <w:divBdr>
            <w:top w:val="none" w:sz="0" w:space="0" w:color="auto"/>
            <w:left w:val="none" w:sz="0" w:space="0" w:color="auto"/>
            <w:bottom w:val="none" w:sz="0" w:space="0" w:color="auto"/>
            <w:right w:val="none" w:sz="0" w:space="0" w:color="auto"/>
          </w:divBdr>
        </w:div>
        <w:div w:id="1147824644">
          <w:blockQuote w:val="1"/>
          <w:marLeft w:val="225"/>
          <w:marRight w:val="0"/>
          <w:marTop w:val="0"/>
          <w:marBottom w:val="0"/>
          <w:divBdr>
            <w:top w:val="none" w:sz="0" w:space="0" w:color="auto"/>
            <w:left w:val="none" w:sz="0" w:space="0" w:color="auto"/>
            <w:bottom w:val="none" w:sz="0" w:space="0" w:color="auto"/>
            <w:right w:val="none" w:sz="0" w:space="0" w:color="auto"/>
          </w:divBdr>
        </w:div>
        <w:div w:id="155349309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48445498">
      <w:bodyDiv w:val="1"/>
      <w:marLeft w:val="0"/>
      <w:marRight w:val="0"/>
      <w:marTop w:val="0"/>
      <w:marBottom w:val="0"/>
      <w:divBdr>
        <w:top w:val="none" w:sz="0" w:space="0" w:color="auto"/>
        <w:left w:val="none" w:sz="0" w:space="0" w:color="auto"/>
        <w:bottom w:val="none" w:sz="0" w:space="0" w:color="auto"/>
        <w:right w:val="none" w:sz="0" w:space="0" w:color="auto"/>
      </w:divBdr>
      <w:divsChild>
        <w:div w:id="39791917">
          <w:marLeft w:val="480"/>
          <w:marRight w:val="0"/>
          <w:marTop w:val="0"/>
          <w:marBottom w:val="0"/>
          <w:divBdr>
            <w:top w:val="none" w:sz="0" w:space="0" w:color="auto"/>
            <w:left w:val="none" w:sz="0" w:space="0" w:color="auto"/>
            <w:bottom w:val="none" w:sz="0" w:space="0" w:color="auto"/>
            <w:right w:val="none" w:sz="0" w:space="0" w:color="auto"/>
          </w:divBdr>
        </w:div>
        <w:div w:id="257522331">
          <w:marLeft w:val="480"/>
          <w:marRight w:val="0"/>
          <w:marTop w:val="0"/>
          <w:marBottom w:val="0"/>
          <w:divBdr>
            <w:top w:val="none" w:sz="0" w:space="0" w:color="auto"/>
            <w:left w:val="none" w:sz="0" w:space="0" w:color="auto"/>
            <w:bottom w:val="none" w:sz="0" w:space="0" w:color="auto"/>
            <w:right w:val="none" w:sz="0" w:space="0" w:color="auto"/>
          </w:divBdr>
        </w:div>
        <w:div w:id="808740039">
          <w:marLeft w:val="480"/>
          <w:marRight w:val="0"/>
          <w:marTop w:val="0"/>
          <w:marBottom w:val="0"/>
          <w:divBdr>
            <w:top w:val="none" w:sz="0" w:space="0" w:color="auto"/>
            <w:left w:val="none" w:sz="0" w:space="0" w:color="auto"/>
            <w:bottom w:val="none" w:sz="0" w:space="0" w:color="auto"/>
            <w:right w:val="none" w:sz="0" w:space="0" w:color="auto"/>
          </w:divBdr>
        </w:div>
        <w:div w:id="935284922">
          <w:marLeft w:val="480"/>
          <w:marRight w:val="0"/>
          <w:marTop w:val="0"/>
          <w:marBottom w:val="0"/>
          <w:divBdr>
            <w:top w:val="none" w:sz="0" w:space="0" w:color="auto"/>
            <w:left w:val="none" w:sz="0" w:space="0" w:color="auto"/>
            <w:bottom w:val="none" w:sz="0" w:space="0" w:color="auto"/>
            <w:right w:val="none" w:sz="0" w:space="0" w:color="auto"/>
          </w:divBdr>
        </w:div>
        <w:div w:id="995840174">
          <w:marLeft w:val="480"/>
          <w:marRight w:val="0"/>
          <w:marTop w:val="0"/>
          <w:marBottom w:val="0"/>
          <w:divBdr>
            <w:top w:val="none" w:sz="0" w:space="0" w:color="auto"/>
            <w:left w:val="none" w:sz="0" w:space="0" w:color="auto"/>
            <w:bottom w:val="none" w:sz="0" w:space="0" w:color="auto"/>
            <w:right w:val="none" w:sz="0" w:space="0" w:color="auto"/>
          </w:divBdr>
        </w:div>
        <w:div w:id="1095713017">
          <w:marLeft w:val="480"/>
          <w:marRight w:val="0"/>
          <w:marTop w:val="0"/>
          <w:marBottom w:val="0"/>
          <w:divBdr>
            <w:top w:val="none" w:sz="0" w:space="0" w:color="auto"/>
            <w:left w:val="none" w:sz="0" w:space="0" w:color="auto"/>
            <w:bottom w:val="none" w:sz="0" w:space="0" w:color="auto"/>
            <w:right w:val="none" w:sz="0" w:space="0" w:color="auto"/>
          </w:divBdr>
        </w:div>
        <w:div w:id="1393699903">
          <w:marLeft w:val="480"/>
          <w:marRight w:val="0"/>
          <w:marTop w:val="0"/>
          <w:marBottom w:val="0"/>
          <w:divBdr>
            <w:top w:val="none" w:sz="0" w:space="0" w:color="auto"/>
            <w:left w:val="none" w:sz="0" w:space="0" w:color="auto"/>
            <w:bottom w:val="none" w:sz="0" w:space="0" w:color="auto"/>
            <w:right w:val="none" w:sz="0" w:space="0" w:color="auto"/>
          </w:divBdr>
        </w:div>
        <w:div w:id="1569681768">
          <w:marLeft w:val="480"/>
          <w:marRight w:val="0"/>
          <w:marTop w:val="0"/>
          <w:marBottom w:val="0"/>
          <w:divBdr>
            <w:top w:val="none" w:sz="0" w:space="0" w:color="auto"/>
            <w:left w:val="none" w:sz="0" w:space="0" w:color="auto"/>
            <w:bottom w:val="none" w:sz="0" w:space="0" w:color="auto"/>
            <w:right w:val="none" w:sz="0" w:space="0" w:color="auto"/>
          </w:divBdr>
        </w:div>
        <w:div w:id="1768694268">
          <w:marLeft w:val="480"/>
          <w:marRight w:val="0"/>
          <w:marTop w:val="0"/>
          <w:marBottom w:val="0"/>
          <w:divBdr>
            <w:top w:val="none" w:sz="0" w:space="0" w:color="auto"/>
            <w:left w:val="none" w:sz="0" w:space="0" w:color="auto"/>
            <w:bottom w:val="none" w:sz="0" w:space="0" w:color="auto"/>
            <w:right w:val="none" w:sz="0" w:space="0" w:color="auto"/>
          </w:divBdr>
        </w:div>
        <w:div w:id="1895774207">
          <w:marLeft w:val="480"/>
          <w:marRight w:val="0"/>
          <w:marTop w:val="0"/>
          <w:marBottom w:val="0"/>
          <w:divBdr>
            <w:top w:val="none" w:sz="0" w:space="0" w:color="auto"/>
            <w:left w:val="none" w:sz="0" w:space="0" w:color="auto"/>
            <w:bottom w:val="none" w:sz="0" w:space="0" w:color="auto"/>
            <w:right w:val="none" w:sz="0" w:space="0" w:color="auto"/>
          </w:divBdr>
        </w:div>
        <w:div w:id="2005741855">
          <w:marLeft w:val="480"/>
          <w:marRight w:val="0"/>
          <w:marTop w:val="0"/>
          <w:marBottom w:val="0"/>
          <w:divBdr>
            <w:top w:val="none" w:sz="0" w:space="0" w:color="auto"/>
            <w:left w:val="none" w:sz="0" w:space="0" w:color="auto"/>
            <w:bottom w:val="none" w:sz="0" w:space="0" w:color="auto"/>
            <w:right w:val="none" w:sz="0" w:space="0" w:color="auto"/>
          </w:divBdr>
        </w:div>
      </w:divsChild>
    </w:div>
    <w:div w:id="849684033">
      <w:marLeft w:val="480"/>
      <w:marRight w:val="0"/>
      <w:marTop w:val="0"/>
      <w:marBottom w:val="0"/>
      <w:divBdr>
        <w:top w:val="none" w:sz="0" w:space="0" w:color="auto"/>
        <w:left w:val="none" w:sz="0" w:space="0" w:color="auto"/>
        <w:bottom w:val="none" w:sz="0" w:space="0" w:color="auto"/>
        <w:right w:val="none" w:sz="0" w:space="0" w:color="auto"/>
      </w:divBdr>
    </w:div>
    <w:div w:id="849754418">
      <w:bodyDiv w:val="1"/>
      <w:marLeft w:val="0"/>
      <w:marRight w:val="0"/>
      <w:marTop w:val="0"/>
      <w:marBottom w:val="0"/>
      <w:divBdr>
        <w:top w:val="none" w:sz="0" w:space="0" w:color="auto"/>
        <w:left w:val="none" w:sz="0" w:space="0" w:color="auto"/>
        <w:bottom w:val="none" w:sz="0" w:space="0" w:color="auto"/>
        <w:right w:val="none" w:sz="0" w:space="0" w:color="auto"/>
      </w:divBdr>
    </w:div>
    <w:div w:id="850266792">
      <w:bodyDiv w:val="1"/>
      <w:marLeft w:val="0"/>
      <w:marRight w:val="0"/>
      <w:marTop w:val="0"/>
      <w:marBottom w:val="0"/>
      <w:divBdr>
        <w:top w:val="none" w:sz="0" w:space="0" w:color="auto"/>
        <w:left w:val="none" w:sz="0" w:space="0" w:color="auto"/>
        <w:bottom w:val="none" w:sz="0" w:space="0" w:color="auto"/>
        <w:right w:val="none" w:sz="0" w:space="0" w:color="auto"/>
      </w:divBdr>
      <w:divsChild>
        <w:div w:id="258177921">
          <w:marLeft w:val="0"/>
          <w:marRight w:val="0"/>
          <w:marTop w:val="0"/>
          <w:marBottom w:val="0"/>
          <w:divBdr>
            <w:top w:val="none" w:sz="0" w:space="0" w:color="auto"/>
            <w:left w:val="none" w:sz="0" w:space="0" w:color="auto"/>
            <w:bottom w:val="none" w:sz="0" w:space="0" w:color="auto"/>
            <w:right w:val="none" w:sz="0" w:space="0" w:color="auto"/>
          </w:divBdr>
          <w:divsChild>
            <w:div w:id="1018583844">
              <w:marLeft w:val="0"/>
              <w:marRight w:val="0"/>
              <w:marTop w:val="0"/>
              <w:marBottom w:val="0"/>
              <w:divBdr>
                <w:top w:val="none" w:sz="0" w:space="0" w:color="auto"/>
                <w:left w:val="none" w:sz="0" w:space="0" w:color="auto"/>
                <w:bottom w:val="none" w:sz="0" w:space="0" w:color="auto"/>
                <w:right w:val="none" w:sz="0" w:space="0" w:color="auto"/>
              </w:divBdr>
              <w:divsChild>
                <w:div w:id="8578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0727">
      <w:marLeft w:val="480"/>
      <w:marRight w:val="0"/>
      <w:marTop w:val="0"/>
      <w:marBottom w:val="0"/>
      <w:divBdr>
        <w:top w:val="none" w:sz="0" w:space="0" w:color="auto"/>
        <w:left w:val="none" w:sz="0" w:space="0" w:color="auto"/>
        <w:bottom w:val="none" w:sz="0" w:space="0" w:color="auto"/>
        <w:right w:val="none" w:sz="0" w:space="0" w:color="auto"/>
      </w:divBdr>
    </w:div>
    <w:div w:id="852647493">
      <w:marLeft w:val="480"/>
      <w:marRight w:val="0"/>
      <w:marTop w:val="0"/>
      <w:marBottom w:val="0"/>
      <w:divBdr>
        <w:top w:val="none" w:sz="0" w:space="0" w:color="auto"/>
        <w:left w:val="none" w:sz="0" w:space="0" w:color="auto"/>
        <w:bottom w:val="none" w:sz="0" w:space="0" w:color="auto"/>
        <w:right w:val="none" w:sz="0" w:space="0" w:color="auto"/>
      </w:divBdr>
    </w:div>
    <w:div w:id="857037697">
      <w:marLeft w:val="480"/>
      <w:marRight w:val="0"/>
      <w:marTop w:val="0"/>
      <w:marBottom w:val="0"/>
      <w:divBdr>
        <w:top w:val="none" w:sz="0" w:space="0" w:color="auto"/>
        <w:left w:val="none" w:sz="0" w:space="0" w:color="auto"/>
        <w:bottom w:val="none" w:sz="0" w:space="0" w:color="auto"/>
        <w:right w:val="none" w:sz="0" w:space="0" w:color="auto"/>
      </w:divBdr>
    </w:div>
    <w:div w:id="859320161">
      <w:marLeft w:val="480"/>
      <w:marRight w:val="0"/>
      <w:marTop w:val="0"/>
      <w:marBottom w:val="0"/>
      <w:divBdr>
        <w:top w:val="none" w:sz="0" w:space="0" w:color="auto"/>
        <w:left w:val="none" w:sz="0" w:space="0" w:color="auto"/>
        <w:bottom w:val="none" w:sz="0" w:space="0" w:color="auto"/>
        <w:right w:val="none" w:sz="0" w:space="0" w:color="auto"/>
      </w:divBdr>
    </w:div>
    <w:div w:id="860169345">
      <w:marLeft w:val="480"/>
      <w:marRight w:val="0"/>
      <w:marTop w:val="0"/>
      <w:marBottom w:val="0"/>
      <w:divBdr>
        <w:top w:val="none" w:sz="0" w:space="0" w:color="auto"/>
        <w:left w:val="none" w:sz="0" w:space="0" w:color="auto"/>
        <w:bottom w:val="none" w:sz="0" w:space="0" w:color="auto"/>
        <w:right w:val="none" w:sz="0" w:space="0" w:color="auto"/>
      </w:divBdr>
    </w:div>
    <w:div w:id="861013721">
      <w:marLeft w:val="480"/>
      <w:marRight w:val="0"/>
      <w:marTop w:val="0"/>
      <w:marBottom w:val="0"/>
      <w:divBdr>
        <w:top w:val="none" w:sz="0" w:space="0" w:color="auto"/>
        <w:left w:val="none" w:sz="0" w:space="0" w:color="auto"/>
        <w:bottom w:val="none" w:sz="0" w:space="0" w:color="auto"/>
        <w:right w:val="none" w:sz="0" w:space="0" w:color="auto"/>
      </w:divBdr>
    </w:div>
    <w:div w:id="863247240">
      <w:bodyDiv w:val="1"/>
      <w:marLeft w:val="0"/>
      <w:marRight w:val="0"/>
      <w:marTop w:val="0"/>
      <w:marBottom w:val="0"/>
      <w:divBdr>
        <w:top w:val="none" w:sz="0" w:space="0" w:color="auto"/>
        <w:left w:val="none" w:sz="0" w:space="0" w:color="auto"/>
        <w:bottom w:val="none" w:sz="0" w:space="0" w:color="auto"/>
        <w:right w:val="none" w:sz="0" w:space="0" w:color="auto"/>
      </w:divBdr>
    </w:div>
    <w:div w:id="863372328">
      <w:marLeft w:val="480"/>
      <w:marRight w:val="0"/>
      <w:marTop w:val="0"/>
      <w:marBottom w:val="0"/>
      <w:divBdr>
        <w:top w:val="none" w:sz="0" w:space="0" w:color="auto"/>
        <w:left w:val="none" w:sz="0" w:space="0" w:color="auto"/>
        <w:bottom w:val="none" w:sz="0" w:space="0" w:color="auto"/>
        <w:right w:val="none" w:sz="0" w:space="0" w:color="auto"/>
      </w:divBdr>
    </w:div>
    <w:div w:id="863595419">
      <w:marLeft w:val="480"/>
      <w:marRight w:val="0"/>
      <w:marTop w:val="0"/>
      <w:marBottom w:val="0"/>
      <w:divBdr>
        <w:top w:val="none" w:sz="0" w:space="0" w:color="auto"/>
        <w:left w:val="none" w:sz="0" w:space="0" w:color="auto"/>
        <w:bottom w:val="none" w:sz="0" w:space="0" w:color="auto"/>
        <w:right w:val="none" w:sz="0" w:space="0" w:color="auto"/>
      </w:divBdr>
    </w:div>
    <w:div w:id="865170900">
      <w:marLeft w:val="480"/>
      <w:marRight w:val="0"/>
      <w:marTop w:val="0"/>
      <w:marBottom w:val="0"/>
      <w:divBdr>
        <w:top w:val="none" w:sz="0" w:space="0" w:color="auto"/>
        <w:left w:val="none" w:sz="0" w:space="0" w:color="auto"/>
        <w:bottom w:val="none" w:sz="0" w:space="0" w:color="auto"/>
        <w:right w:val="none" w:sz="0" w:space="0" w:color="auto"/>
      </w:divBdr>
    </w:div>
    <w:div w:id="866529668">
      <w:marLeft w:val="480"/>
      <w:marRight w:val="0"/>
      <w:marTop w:val="0"/>
      <w:marBottom w:val="0"/>
      <w:divBdr>
        <w:top w:val="none" w:sz="0" w:space="0" w:color="auto"/>
        <w:left w:val="none" w:sz="0" w:space="0" w:color="auto"/>
        <w:bottom w:val="none" w:sz="0" w:space="0" w:color="auto"/>
        <w:right w:val="none" w:sz="0" w:space="0" w:color="auto"/>
      </w:divBdr>
    </w:div>
    <w:div w:id="867524553">
      <w:marLeft w:val="480"/>
      <w:marRight w:val="0"/>
      <w:marTop w:val="0"/>
      <w:marBottom w:val="0"/>
      <w:divBdr>
        <w:top w:val="none" w:sz="0" w:space="0" w:color="auto"/>
        <w:left w:val="none" w:sz="0" w:space="0" w:color="auto"/>
        <w:bottom w:val="none" w:sz="0" w:space="0" w:color="auto"/>
        <w:right w:val="none" w:sz="0" w:space="0" w:color="auto"/>
      </w:divBdr>
    </w:div>
    <w:div w:id="869412431">
      <w:bodyDiv w:val="1"/>
      <w:marLeft w:val="0"/>
      <w:marRight w:val="0"/>
      <w:marTop w:val="0"/>
      <w:marBottom w:val="0"/>
      <w:divBdr>
        <w:top w:val="none" w:sz="0" w:space="0" w:color="auto"/>
        <w:left w:val="none" w:sz="0" w:space="0" w:color="auto"/>
        <w:bottom w:val="none" w:sz="0" w:space="0" w:color="auto"/>
        <w:right w:val="none" w:sz="0" w:space="0" w:color="auto"/>
      </w:divBdr>
      <w:divsChild>
        <w:div w:id="620036361">
          <w:marLeft w:val="480"/>
          <w:marRight w:val="0"/>
          <w:marTop w:val="0"/>
          <w:marBottom w:val="0"/>
          <w:divBdr>
            <w:top w:val="none" w:sz="0" w:space="0" w:color="auto"/>
            <w:left w:val="none" w:sz="0" w:space="0" w:color="auto"/>
            <w:bottom w:val="none" w:sz="0" w:space="0" w:color="auto"/>
            <w:right w:val="none" w:sz="0" w:space="0" w:color="auto"/>
          </w:divBdr>
        </w:div>
        <w:div w:id="785659080">
          <w:marLeft w:val="480"/>
          <w:marRight w:val="0"/>
          <w:marTop w:val="0"/>
          <w:marBottom w:val="0"/>
          <w:divBdr>
            <w:top w:val="none" w:sz="0" w:space="0" w:color="auto"/>
            <w:left w:val="none" w:sz="0" w:space="0" w:color="auto"/>
            <w:bottom w:val="none" w:sz="0" w:space="0" w:color="auto"/>
            <w:right w:val="none" w:sz="0" w:space="0" w:color="auto"/>
          </w:divBdr>
        </w:div>
        <w:div w:id="841359689">
          <w:marLeft w:val="480"/>
          <w:marRight w:val="0"/>
          <w:marTop w:val="0"/>
          <w:marBottom w:val="0"/>
          <w:divBdr>
            <w:top w:val="none" w:sz="0" w:space="0" w:color="auto"/>
            <w:left w:val="none" w:sz="0" w:space="0" w:color="auto"/>
            <w:bottom w:val="none" w:sz="0" w:space="0" w:color="auto"/>
            <w:right w:val="none" w:sz="0" w:space="0" w:color="auto"/>
          </w:divBdr>
        </w:div>
        <w:div w:id="1128086623">
          <w:marLeft w:val="480"/>
          <w:marRight w:val="0"/>
          <w:marTop w:val="0"/>
          <w:marBottom w:val="0"/>
          <w:divBdr>
            <w:top w:val="none" w:sz="0" w:space="0" w:color="auto"/>
            <w:left w:val="none" w:sz="0" w:space="0" w:color="auto"/>
            <w:bottom w:val="none" w:sz="0" w:space="0" w:color="auto"/>
            <w:right w:val="none" w:sz="0" w:space="0" w:color="auto"/>
          </w:divBdr>
        </w:div>
        <w:div w:id="1234119997">
          <w:marLeft w:val="480"/>
          <w:marRight w:val="0"/>
          <w:marTop w:val="0"/>
          <w:marBottom w:val="0"/>
          <w:divBdr>
            <w:top w:val="none" w:sz="0" w:space="0" w:color="auto"/>
            <w:left w:val="none" w:sz="0" w:space="0" w:color="auto"/>
            <w:bottom w:val="none" w:sz="0" w:space="0" w:color="auto"/>
            <w:right w:val="none" w:sz="0" w:space="0" w:color="auto"/>
          </w:divBdr>
        </w:div>
        <w:div w:id="1590112417">
          <w:marLeft w:val="480"/>
          <w:marRight w:val="0"/>
          <w:marTop w:val="0"/>
          <w:marBottom w:val="0"/>
          <w:divBdr>
            <w:top w:val="none" w:sz="0" w:space="0" w:color="auto"/>
            <w:left w:val="none" w:sz="0" w:space="0" w:color="auto"/>
            <w:bottom w:val="none" w:sz="0" w:space="0" w:color="auto"/>
            <w:right w:val="none" w:sz="0" w:space="0" w:color="auto"/>
          </w:divBdr>
        </w:div>
        <w:div w:id="1844082287">
          <w:marLeft w:val="480"/>
          <w:marRight w:val="0"/>
          <w:marTop w:val="0"/>
          <w:marBottom w:val="0"/>
          <w:divBdr>
            <w:top w:val="none" w:sz="0" w:space="0" w:color="auto"/>
            <w:left w:val="none" w:sz="0" w:space="0" w:color="auto"/>
            <w:bottom w:val="none" w:sz="0" w:space="0" w:color="auto"/>
            <w:right w:val="none" w:sz="0" w:space="0" w:color="auto"/>
          </w:divBdr>
        </w:div>
        <w:div w:id="2036417059">
          <w:marLeft w:val="480"/>
          <w:marRight w:val="0"/>
          <w:marTop w:val="0"/>
          <w:marBottom w:val="0"/>
          <w:divBdr>
            <w:top w:val="none" w:sz="0" w:space="0" w:color="auto"/>
            <w:left w:val="none" w:sz="0" w:space="0" w:color="auto"/>
            <w:bottom w:val="none" w:sz="0" w:space="0" w:color="auto"/>
            <w:right w:val="none" w:sz="0" w:space="0" w:color="auto"/>
          </w:divBdr>
        </w:div>
      </w:divsChild>
    </w:div>
    <w:div w:id="869995396">
      <w:marLeft w:val="480"/>
      <w:marRight w:val="0"/>
      <w:marTop w:val="0"/>
      <w:marBottom w:val="0"/>
      <w:divBdr>
        <w:top w:val="none" w:sz="0" w:space="0" w:color="auto"/>
        <w:left w:val="none" w:sz="0" w:space="0" w:color="auto"/>
        <w:bottom w:val="none" w:sz="0" w:space="0" w:color="auto"/>
        <w:right w:val="none" w:sz="0" w:space="0" w:color="auto"/>
      </w:divBdr>
    </w:div>
    <w:div w:id="874461535">
      <w:bodyDiv w:val="1"/>
      <w:marLeft w:val="0"/>
      <w:marRight w:val="0"/>
      <w:marTop w:val="0"/>
      <w:marBottom w:val="0"/>
      <w:divBdr>
        <w:top w:val="none" w:sz="0" w:space="0" w:color="auto"/>
        <w:left w:val="none" w:sz="0" w:space="0" w:color="auto"/>
        <w:bottom w:val="none" w:sz="0" w:space="0" w:color="auto"/>
        <w:right w:val="none" w:sz="0" w:space="0" w:color="auto"/>
      </w:divBdr>
      <w:divsChild>
        <w:div w:id="159545906">
          <w:marLeft w:val="0"/>
          <w:marRight w:val="0"/>
          <w:marTop w:val="0"/>
          <w:marBottom w:val="0"/>
          <w:divBdr>
            <w:top w:val="none" w:sz="0" w:space="0" w:color="auto"/>
            <w:left w:val="none" w:sz="0" w:space="0" w:color="auto"/>
            <w:bottom w:val="none" w:sz="0" w:space="0" w:color="auto"/>
            <w:right w:val="none" w:sz="0" w:space="0" w:color="auto"/>
          </w:divBdr>
          <w:divsChild>
            <w:div w:id="1074472376">
              <w:marLeft w:val="-75"/>
              <w:marRight w:val="0"/>
              <w:marTop w:val="30"/>
              <w:marBottom w:val="30"/>
              <w:divBdr>
                <w:top w:val="none" w:sz="0" w:space="0" w:color="auto"/>
                <w:left w:val="none" w:sz="0" w:space="0" w:color="auto"/>
                <w:bottom w:val="none" w:sz="0" w:space="0" w:color="auto"/>
                <w:right w:val="none" w:sz="0" w:space="0" w:color="auto"/>
              </w:divBdr>
              <w:divsChild>
                <w:div w:id="233128720">
                  <w:marLeft w:val="0"/>
                  <w:marRight w:val="0"/>
                  <w:marTop w:val="0"/>
                  <w:marBottom w:val="0"/>
                  <w:divBdr>
                    <w:top w:val="none" w:sz="0" w:space="0" w:color="auto"/>
                    <w:left w:val="none" w:sz="0" w:space="0" w:color="auto"/>
                    <w:bottom w:val="none" w:sz="0" w:space="0" w:color="auto"/>
                    <w:right w:val="none" w:sz="0" w:space="0" w:color="auto"/>
                  </w:divBdr>
                  <w:divsChild>
                    <w:div w:id="396629120">
                      <w:marLeft w:val="0"/>
                      <w:marRight w:val="0"/>
                      <w:marTop w:val="0"/>
                      <w:marBottom w:val="0"/>
                      <w:divBdr>
                        <w:top w:val="none" w:sz="0" w:space="0" w:color="auto"/>
                        <w:left w:val="none" w:sz="0" w:space="0" w:color="auto"/>
                        <w:bottom w:val="none" w:sz="0" w:space="0" w:color="auto"/>
                        <w:right w:val="none" w:sz="0" w:space="0" w:color="auto"/>
                      </w:divBdr>
                    </w:div>
                  </w:divsChild>
                </w:div>
                <w:div w:id="1226455481">
                  <w:marLeft w:val="0"/>
                  <w:marRight w:val="0"/>
                  <w:marTop w:val="0"/>
                  <w:marBottom w:val="0"/>
                  <w:divBdr>
                    <w:top w:val="none" w:sz="0" w:space="0" w:color="auto"/>
                    <w:left w:val="none" w:sz="0" w:space="0" w:color="auto"/>
                    <w:bottom w:val="none" w:sz="0" w:space="0" w:color="auto"/>
                    <w:right w:val="none" w:sz="0" w:space="0" w:color="auto"/>
                  </w:divBdr>
                  <w:divsChild>
                    <w:div w:id="474876328">
                      <w:marLeft w:val="0"/>
                      <w:marRight w:val="0"/>
                      <w:marTop w:val="0"/>
                      <w:marBottom w:val="0"/>
                      <w:divBdr>
                        <w:top w:val="none" w:sz="0" w:space="0" w:color="auto"/>
                        <w:left w:val="none" w:sz="0" w:space="0" w:color="auto"/>
                        <w:bottom w:val="none" w:sz="0" w:space="0" w:color="auto"/>
                        <w:right w:val="none" w:sz="0" w:space="0" w:color="auto"/>
                      </w:divBdr>
                    </w:div>
                    <w:div w:id="493499221">
                      <w:marLeft w:val="0"/>
                      <w:marRight w:val="0"/>
                      <w:marTop w:val="0"/>
                      <w:marBottom w:val="0"/>
                      <w:divBdr>
                        <w:top w:val="none" w:sz="0" w:space="0" w:color="auto"/>
                        <w:left w:val="none" w:sz="0" w:space="0" w:color="auto"/>
                        <w:bottom w:val="none" w:sz="0" w:space="0" w:color="auto"/>
                        <w:right w:val="none" w:sz="0" w:space="0" w:color="auto"/>
                      </w:divBdr>
                    </w:div>
                    <w:div w:id="20852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89967">
          <w:marLeft w:val="0"/>
          <w:marRight w:val="0"/>
          <w:marTop w:val="0"/>
          <w:marBottom w:val="0"/>
          <w:divBdr>
            <w:top w:val="none" w:sz="0" w:space="0" w:color="auto"/>
            <w:left w:val="none" w:sz="0" w:space="0" w:color="auto"/>
            <w:bottom w:val="none" w:sz="0" w:space="0" w:color="auto"/>
            <w:right w:val="none" w:sz="0" w:space="0" w:color="auto"/>
          </w:divBdr>
          <w:divsChild>
            <w:div w:id="723022397">
              <w:marLeft w:val="-75"/>
              <w:marRight w:val="0"/>
              <w:marTop w:val="30"/>
              <w:marBottom w:val="30"/>
              <w:divBdr>
                <w:top w:val="none" w:sz="0" w:space="0" w:color="auto"/>
                <w:left w:val="none" w:sz="0" w:space="0" w:color="auto"/>
                <w:bottom w:val="none" w:sz="0" w:space="0" w:color="auto"/>
                <w:right w:val="none" w:sz="0" w:space="0" w:color="auto"/>
              </w:divBdr>
              <w:divsChild>
                <w:div w:id="407845951">
                  <w:marLeft w:val="0"/>
                  <w:marRight w:val="0"/>
                  <w:marTop w:val="0"/>
                  <w:marBottom w:val="0"/>
                  <w:divBdr>
                    <w:top w:val="none" w:sz="0" w:space="0" w:color="auto"/>
                    <w:left w:val="none" w:sz="0" w:space="0" w:color="auto"/>
                    <w:bottom w:val="none" w:sz="0" w:space="0" w:color="auto"/>
                    <w:right w:val="none" w:sz="0" w:space="0" w:color="auto"/>
                  </w:divBdr>
                  <w:divsChild>
                    <w:div w:id="490292886">
                      <w:marLeft w:val="0"/>
                      <w:marRight w:val="0"/>
                      <w:marTop w:val="0"/>
                      <w:marBottom w:val="0"/>
                      <w:divBdr>
                        <w:top w:val="none" w:sz="0" w:space="0" w:color="auto"/>
                        <w:left w:val="none" w:sz="0" w:space="0" w:color="auto"/>
                        <w:bottom w:val="none" w:sz="0" w:space="0" w:color="auto"/>
                        <w:right w:val="none" w:sz="0" w:space="0" w:color="auto"/>
                      </w:divBdr>
                    </w:div>
                    <w:div w:id="820584137">
                      <w:marLeft w:val="0"/>
                      <w:marRight w:val="0"/>
                      <w:marTop w:val="0"/>
                      <w:marBottom w:val="0"/>
                      <w:divBdr>
                        <w:top w:val="none" w:sz="0" w:space="0" w:color="auto"/>
                        <w:left w:val="none" w:sz="0" w:space="0" w:color="auto"/>
                        <w:bottom w:val="none" w:sz="0" w:space="0" w:color="auto"/>
                        <w:right w:val="none" w:sz="0" w:space="0" w:color="auto"/>
                      </w:divBdr>
                    </w:div>
                    <w:div w:id="1909922122">
                      <w:marLeft w:val="0"/>
                      <w:marRight w:val="0"/>
                      <w:marTop w:val="0"/>
                      <w:marBottom w:val="0"/>
                      <w:divBdr>
                        <w:top w:val="none" w:sz="0" w:space="0" w:color="auto"/>
                        <w:left w:val="none" w:sz="0" w:space="0" w:color="auto"/>
                        <w:bottom w:val="none" w:sz="0" w:space="0" w:color="auto"/>
                        <w:right w:val="none" w:sz="0" w:space="0" w:color="auto"/>
                      </w:divBdr>
                    </w:div>
                  </w:divsChild>
                </w:div>
                <w:div w:id="564754370">
                  <w:marLeft w:val="0"/>
                  <w:marRight w:val="0"/>
                  <w:marTop w:val="0"/>
                  <w:marBottom w:val="0"/>
                  <w:divBdr>
                    <w:top w:val="none" w:sz="0" w:space="0" w:color="auto"/>
                    <w:left w:val="none" w:sz="0" w:space="0" w:color="auto"/>
                    <w:bottom w:val="none" w:sz="0" w:space="0" w:color="auto"/>
                    <w:right w:val="none" w:sz="0" w:space="0" w:color="auto"/>
                  </w:divBdr>
                  <w:divsChild>
                    <w:div w:id="14042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05754">
          <w:marLeft w:val="0"/>
          <w:marRight w:val="0"/>
          <w:marTop w:val="0"/>
          <w:marBottom w:val="0"/>
          <w:divBdr>
            <w:top w:val="none" w:sz="0" w:space="0" w:color="auto"/>
            <w:left w:val="none" w:sz="0" w:space="0" w:color="auto"/>
            <w:bottom w:val="none" w:sz="0" w:space="0" w:color="auto"/>
            <w:right w:val="none" w:sz="0" w:space="0" w:color="auto"/>
          </w:divBdr>
          <w:divsChild>
            <w:div w:id="245458220">
              <w:marLeft w:val="0"/>
              <w:marRight w:val="0"/>
              <w:marTop w:val="0"/>
              <w:marBottom w:val="0"/>
              <w:divBdr>
                <w:top w:val="none" w:sz="0" w:space="0" w:color="auto"/>
                <w:left w:val="none" w:sz="0" w:space="0" w:color="auto"/>
                <w:bottom w:val="none" w:sz="0" w:space="0" w:color="auto"/>
                <w:right w:val="none" w:sz="0" w:space="0" w:color="auto"/>
              </w:divBdr>
            </w:div>
            <w:div w:id="717171756">
              <w:marLeft w:val="0"/>
              <w:marRight w:val="0"/>
              <w:marTop w:val="0"/>
              <w:marBottom w:val="0"/>
              <w:divBdr>
                <w:top w:val="none" w:sz="0" w:space="0" w:color="auto"/>
                <w:left w:val="none" w:sz="0" w:space="0" w:color="auto"/>
                <w:bottom w:val="none" w:sz="0" w:space="0" w:color="auto"/>
                <w:right w:val="none" w:sz="0" w:space="0" w:color="auto"/>
              </w:divBdr>
            </w:div>
            <w:div w:id="827479078">
              <w:marLeft w:val="0"/>
              <w:marRight w:val="0"/>
              <w:marTop w:val="0"/>
              <w:marBottom w:val="0"/>
              <w:divBdr>
                <w:top w:val="none" w:sz="0" w:space="0" w:color="auto"/>
                <w:left w:val="none" w:sz="0" w:space="0" w:color="auto"/>
                <w:bottom w:val="none" w:sz="0" w:space="0" w:color="auto"/>
                <w:right w:val="none" w:sz="0" w:space="0" w:color="auto"/>
              </w:divBdr>
            </w:div>
            <w:div w:id="1494954638">
              <w:marLeft w:val="0"/>
              <w:marRight w:val="0"/>
              <w:marTop w:val="0"/>
              <w:marBottom w:val="0"/>
              <w:divBdr>
                <w:top w:val="none" w:sz="0" w:space="0" w:color="auto"/>
                <w:left w:val="none" w:sz="0" w:space="0" w:color="auto"/>
                <w:bottom w:val="none" w:sz="0" w:space="0" w:color="auto"/>
                <w:right w:val="none" w:sz="0" w:space="0" w:color="auto"/>
              </w:divBdr>
            </w:div>
            <w:div w:id="1660227553">
              <w:marLeft w:val="0"/>
              <w:marRight w:val="0"/>
              <w:marTop w:val="0"/>
              <w:marBottom w:val="0"/>
              <w:divBdr>
                <w:top w:val="none" w:sz="0" w:space="0" w:color="auto"/>
                <w:left w:val="none" w:sz="0" w:space="0" w:color="auto"/>
                <w:bottom w:val="none" w:sz="0" w:space="0" w:color="auto"/>
                <w:right w:val="none" w:sz="0" w:space="0" w:color="auto"/>
              </w:divBdr>
            </w:div>
            <w:div w:id="1828470099">
              <w:marLeft w:val="0"/>
              <w:marRight w:val="0"/>
              <w:marTop w:val="0"/>
              <w:marBottom w:val="0"/>
              <w:divBdr>
                <w:top w:val="none" w:sz="0" w:space="0" w:color="auto"/>
                <w:left w:val="none" w:sz="0" w:space="0" w:color="auto"/>
                <w:bottom w:val="none" w:sz="0" w:space="0" w:color="auto"/>
                <w:right w:val="none" w:sz="0" w:space="0" w:color="auto"/>
              </w:divBdr>
            </w:div>
            <w:div w:id="1948853131">
              <w:marLeft w:val="0"/>
              <w:marRight w:val="0"/>
              <w:marTop w:val="0"/>
              <w:marBottom w:val="0"/>
              <w:divBdr>
                <w:top w:val="none" w:sz="0" w:space="0" w:color="auto"/>
                <w:left w:val="none" w:sz="0" w:space="0" w:color="auto"/>
                <w:bottom w:val="none" w:sz="0" w:space="0" w:color="auto"/>
                <w:right w:val="none" w:sz="0" w:space="0" w:color="auto"/>
              </w:divBdr>
            </w:div>
          </w:divsChild>
        </w:div>
        <w:div w:id="1132283553">
          <w:marLeft w:val="0"/>
          <w:marRight w:val="0"/>
          <w:marTop w:val="0"/>
          <w:marBottom w:val="0"/>
          <w:divBdr>
            <w:top w:val="none" w:sz="0" w:space="0" w:color="auto"/>
            <w:left w:val="none" w:sz="0" w:space="0" w:color="auto"/>
            <w:bottom w:val="none" w:sz="0" w:space="0" w:color="auto"/>
            <w:right w:val="none" w:sz="0" w:space="0" w:color="auto"/>
          </w:divBdr>
          <w:divsChild>
            <w:div w:id="56828715">
              <w:marLeft w:val="0"/>
              <w:marRight w:val="0"/>
              <w:marTop w:val="0"/>
              <w:marBottom w:val="0"/>
              <w:divBdr>
                <w:top w:val="none" w:sz="0" w:space="0" w:color="auto"/>
                <w:left w:val="none" w:sz="0" w:space="0" w:color="auto"/>
                <w:bottom w:val="none" w:sz="0" w:space="0" w:color="auto"/>
                <w:right w:val="none" w:sz="0" w:space="0" w:color="auto"/>
              </w:divBdr>
            </w:div>
            <w:div w:id="187061636">
              <w:marLeft w:val="0"/>
              <w:marRight w:val="0"/>
              <w:marTop w:val="0"/>
              <w:marBottom w:val="0"/>
              <w:divBdr>
                <w:top w:val="none" w:sz="0" w:space="0" w:color="auto"/>
                <w:left w:val="none" w:sz="0" w:space="0" w:color="auto"/>
                <w:bottom w:val="none" w:sz="0" w:space="0" w:color="auto"/>
                <w:right w:val="none" w:sz="0" w:space="0" w:color="auto"/>
              </w:divBdr>
            </w:div>
            <w:div w:id="249969316">
              <w:marLeft w:val="0"/>
              <w:marRight w:val="0"/>
              <w:marTop w:val="0"/>
              <w:marBottom w:val="0"/>
              <w:divBdr>
                <w:top w:val="none" w:sz="0" w:space="0" w:color="auto"/>
                <w:left w:val="none" w:sz="0" w:space="0" w:color="auto"/>
                <w:bottom w:val="none" w:sz="0" w:space="0" w:color="auto"/>
                <w:right w:val="none" w:sz="0" w:space="0" w:color="auto"/>
              </w:divBdr>
            </w:div>
            <w:div w:id="252978250">
              <w:marLeft w:val="0"/>
              <w:marRight w:val="0"/>
              <w:marTop w:val="0"/>
              <w:marBottom w:val="0"/>
              <w:divBdr>
                <w:top w:val="none" w:sz="0" w:space="0" w:color="auto"/>
                <w:left w:val="none" w:sz="0" w:space="0" w:color="auto"/>
                <w:bottom w:val="none" w:sz="0" w:space="0" w:color="auto"/>
                <w:right w:val="none" w:sz="0" w:space="0" w:color="auto"/>
              </w:divBdr>
            </w:div>
            <w:div w:id="590164509">
              <w:marLeft w:val="0"/>
              <w:marRight w:val="0"/>
              <w:marTop w:val="0"/>
              <w:marBottom w:val="0"/>
              <w:divBdr>
                <w:top w:val="none" w:sz="0" w:space="0" w:color="auto"/>
                <w:left w:val="none" w:sz="0" w:space="0" w:color="auto"/>
                <w:bottom w:val="none" w:sz="0" w:space="0" w:color="auto"/>
                <w:right w:val="none" w:sz="0" w:space="0" w:color="auto"/>
              </w:divBdr>
            </w:div>
            <w:div w:id="821581589">
              <w:marLeft w:val="0"/>
              <w:marRight w:val="0"/>
              <w:marTop w:val="0"/>
              <w:marBottom w:val="0"/>
              <w:divBdr>
                <w:top w:val="none" w:sz="0" w:space="0" w:color="auto"/>
                <w:left w:val="none" w:sz="0" w:space="0" w:color="auto"/>
                <w:bottom w:val="none" w:sz="0" w:space="0" w:color="auto"/>
                <w:right w:val="none" w:sz="0" w:space="0" w:color="auto"/>
              </w:divBdr>
            </w:div>
            <w:div w:id="951521011">
              <w:marLeft w:val="0"/>
              <w:marRight w:val="0"/>
              <w:marTop w:val="0"/>
              <w:marBottom w:val="0"/>
              <w:divBdr>
                <w:top w:val="none" w:sz="0" w:space="0" w:color="auto"/>
                <w:left w:val="none" w:sz="0" w:space="0" w:color="auto"/>
                <w:bottom w:val="none" w:sz="0" w:space="0" w:color="auto"/>
                <w:right w:val="none" w:sz="0" w:space="0" w:color="auto"/>
              </w:divBdr>
            </w:div>
            <w:div w:id="1014502273">
              <w:marLeft w:val="0"/>
              <w:marRight w:val="0"/>
              <w:marTop w:val="0"/>
              <w:marBottom w:val="0"/>
              <w:divBdr>
                <w:top w:val="none" w:sz="0" w:space="0" w:color="auto"/>
                <w:left w:val="none" w:sz="0" w:space="0" w:color="auto"/>
                <w:bottom w:val="none" w:sz="0" w:space="0" w:color="auto"/>
                <w:right w:val="none" w:sz="0" w:space="0" w:color="auto"/>
              </w:divBdr>
            </w:div>
            <w:div w:id="1061174826">
              <w:marLeft w:val="0"/>
              <w:marRight w:val="0"/>
              <w:marTop w:val="0"/>
              <w:marBottom w:val="0"/>
              <w:divBdr>
                <w:top w:val="none" w:sz="0" w:space="0" w:color="auto"/>
                <w:left w:val="none" w:sz="0" w:space="0" w:color="auto"/>
                <w:bottom w:val="none" w:sz="0" w:space="0" w:color="auto"/>
                <w:right w:val="none" w:sz="0" w:space="0" w:color="auto"/>
              </w:divBdr>
            </w:div>
            <w:div w:id="1117606363">
              <w:marLeft w:val="0"/>
              <w:marRight w:val="0"/>
              <w:marTop w:val="0"/>
              <w:marBottom w:val="0"/>
              <w:divBdr>
                <w:top w:val="none" w:sz="0" w:space="0" w:color="auto"/>
                <w:left w:val="none" w:sz="0" w:space="0" w:color="auto"/>
                <w:bottom w:val="none" w:sz="0" w:space="0" w:color="auto"/>
                <w:right w:val="none" w:sz="0" w:space="0" w:color="auto"/>
              </w:divBdr>
            </w:div>
            <w:div w:id="1145970352">
              <w:marLeft w:val="0"/>
              <w:marRight w:val="0"/>
              <w:marTop w:val="0"/>
              <w:marBottom w:val="0"/>
              <w:divBdr>
                <w:top w:val="none" w:sz="0" w:space="0" w:color="auto"/>
                <w:left w:val="none" w:sz="0" w:space="0" w:color="auto"/>
                <w:bottom w:val="none" w:sz="0" w:space="0" w:color="auto"/>
                <w:right w:val="none" w:sz="0" w:space="0" w:color="auto"/>
              </w:divBdr>
            </w:div>
            <w:div w:id="1167789399">
              <w:marLeft w:val="0"/>
              <w:marRight w:val="0"/>
              <w:marTop w:val="0"/>
              <w:marBottom w:val="0"/>
              <w:divBdr>
                <w:top w:val="none" w:sz="0" w:space="0" w:color="auto"/>
                <w:left w:val="none" w:sz="0" w:space="0" w:color="auto"/>
                <w:bottom w:val="none" w:sz="0" w:space="0" w:color="auto"/>
                <w:right w:val="none" w:sz="0" w:space="0" w:color="auto"/>
              </w:divBdr>
            </w:div>
            <w:div w:id="1204632106">
              <w:marLeft w:val="0"/>
              <w:marRight w:val="0"/>
              <w:marTop w:val="0"/>
              <w:marBottom w:val="0"/>
              <w:divBdr>
                <w:top w:val="none" w:sz="0" w:space="0" w:color="auto"/>
                <w:left w:val="none" w:sz="0" w:space="0" w:color="auto"/>
                <w:bottom w:val="none" w:sz="0" w:space="0" w:color="auto"/>
                <w:right w:val="none" w:sz="0" w:space="0" w:color="auto"/>
              </w:divBdr>
            </w:div>
            <w:div w:id="1229732022">
              <w:marLeft w:val="0"/>
              <w:marRight w:val="0"/>
              <w:marTop w:val="0"/>
              <w:marBottom w:val="0"/>
              <w:divBdr>
                <w:top w:val="none" w:sz="0" w:space="0" w:color="auto"/>
                <w:left w:val="none" w:sz="0" w:space="0" w:color="auto"/>
                <w:bottom w:val="none" w:sz="0" w:space="0" w:color="auto"/>
                <w:right w:val="none" w:sz="0" w:space="0" w:color="auto"/>
              </w:divBdr>
            </w:div>
            <w:div w:id="1465654467">
              <w:marLeft w:val="0"/>
              <w:marRight w:val="0"/>
              <w:marTop w:val="0"/>
              <w:marBottom w:val="0"/>
              <w:divBdr>
                <w:top w:val="none" w:sz="0" w:space="0" w:color="auto"/>
                <w:left w:val="none" w:sz="0" w:space="0" w:color="auto"/>
                <w:bottom w:val="none" w:sz="0" w:space="0" w:color="auto"/>
                <w:right w:val="none" w:sz="0" w:space="0" w:color="auto"/>
              </w:divBdr>
            </w:div>
            <w:div w:id="1660112352">
              <w:marLeft w:val="0"/>
              <w:marRight w:val="0"/>
              <w:marTop w:val="0"/>
              <w:marBottom w:val="0"/>
              <w:divBdr>
                <w:top w:val="none" w:sz="0" w:space="0" w:color="auto"/>
                <w:left w:val="none" w:sz="0" w:space="0" w:color="auto"/>
                <w:bottom w:val="none" w:sz="0" w:space="0" w:color="auto"/>
                <w:right w:val="none" w:sz="0" w:space="0" w:color="auto"/>
              </w:divBdr>
            </w:div>
            <w:div w:id="1856112565">
              <w:marLeft w:val="0"/>
              <w:marRight w:val="0"/>
              <w:marTop w:val="0"/>
              <w:marBottom w:val="0"/>
              <w:divBdr>
                <w:top w:val="none" w:sz="0" w:space="0" w:color="auto"/>
                <w:left w:val="none" w:sz="0" w:space="0" w:color="auto"/>
                <w:bottom w:val="none" w:sz="0" w:space="0" w:color="auto"/>
                <w:right w:val="none" w:sz="0" w:space="0" w:color="auto"/>
              </w:divBdr>
            </w:div>
            <w:div w:id="2058968338">
              <w:marLeft w:val="0"/>
              <w:marRight w:val="0"/>
              <w:marTop w:val="0"/>
              <w:marBottom w:val="0"/>
              <w:divBdr>
                <w:top w:val="none" w:sz="0" w:space="0" w:color="auto"/>
                <w:left w:val="none" w:sz="0" w:space="0" w:color="auto"/>
                <w:bottom w:val="none" w:sz="0" w:space="0" w:color="auto"/>
                <w:right w:val="none" w:sz="0" w:space="0" w:color="auto"/>
              </w:divBdr>
            </w:div>
            <w:div w:id="2074426218">
              <w:marLeft w:val="0"/>
              <w:marRight w:val="0"/>
              <w:marTop w:val="0"/>
              <w:marBottom w:val="0"/>
              <w:divBdr>
                <w:top w:val="none" w:sz="0" w:space="0" w:color="auto"/>
                <w:left w:val="none" w:sz="0" w:space="0" w:color="auto"/>
                <w:bottom w:val="none" w:sz="0" w:space="0" w:color="auto"/>
                <w:right w:val="none" w:sz="0" w:space="0" w:color="auto"/>
              </w:divBdr>
            </w:div>
            <w:div w:id="2125299451">
              <w:marLeft w:val="0"/>
              <w:marRight w:val="0"/>
              <w:marTop w:val="0"/>
              <w:marBottom w:val="0"/>
              <w:divBdr>
                <w:top w:val="none" w:sz="0" w:space="0" w:color="auto"/>
                <w:left w:val="none" w:sz="0" w:space="0" w:color="auto"/>
                <w:bottom w:val="none" w:sz="0" w:space="0" w:color="auto"/>
                <w:right w:val="none" w:sz="0" w:space="0" w:color="auto"/>
              </w:divBdr>
            </w:div>
          </w:divsChild>
        </w:div>
        <w:div w:id="1155875048">
          <w:marLeft w:val="0"/>
          <w:marRight w:val="0"/>
          <w:marTop w:val="0"/>
          <w:marBottom w:val="0"/>
          <w:divBdr>
            <w:top w:val="none" w:sz="0" w:space="0" w:color="auto"/>
            <w:left w:val="none" w:sz="0" w:space="0" w:color="auto"/>
            <w:bottom w:val="none" w:sz="0" w:space="0" w:color="auto"/>
            <w:right w:val="none" w:sz="0" w:space="0" w:color="auto"/>
          </w:divBdr>
        </w:div>
        <w:div w:id="1775439436">
          <w:marLeft w:val="0"/>
          <w:marRight w:val="0"/>
          <w:marTop w:val="0"/>
          <w:marBottom w:val="0"/>
          <w:divBdr>
            <w:top w:val="none" w:sz="0" w:space="0" w:color="auto"/>
            <w:left w:val="none" w:sz="0" w:space="0" w:color="auto"/>
            <w:bottom w:val="none" w:sz="0" w:space="0" w:color="auto"/>
            <w:right w:val="none" w:sz="0" w:space="0" w:color="auto"/>
          </w:divBdr>
          <w:divsChild>
            <w:div w:id="2131701079">
              <w:marLeft w:val="-75"/>
              <w:marRight w:val="0"/>
              <w:marTop w:val="30"/>
              <w:marBottom w:val="30"/>
              <w:divBdr>
                <w:top w:val="none" w:sz="0" w:space="0" w:color="auto"/>
                <w:left w:val="none" w:sz="0" w:space="0" w:color="auto"/>
                <w:bottom w:val="none" w:sz="0" w:space="0" w:color="auto"/>
                <w:right w:val="none" w:sz="0" w:space="0" w:color="auto"/>
              </w:divBdr>
              <w:divsChild>
                <w:div w:id="112331818">
                  <w:marLeft w:val="0"/>
                  <w:marRight w:val="0"/>
                  <w:marTop w:val="0"/>
                  <w:marBottom w:val="0"/>
                  <w:divBdr>
                    <w:top w:val="none" w:sz="0" w:space="0" w:color="auto"/>
                    <w:left w:val="none" w:sz="0" w:space="0" w:color="auto"/>
                    <w:bottom w:val="none" w:sz="0" w:space="0" w:color="auto"/>
                    <w:right w:val="none" w:sz="0" w:space="0" w:color="auto"/>
                  </w:divBdr>
                  <w:divsChild>
                    <w:div w:id="954025856">
                      <w:marLeft w:val="0"/>
                      <w:marRight w:val="0"/>
                      <w:marTop w:val="0"/>
                      <w:marBottom w:val="0"/>
                      <w:divBdr>
                        <w:top w:val="none" w:sz="0" w:space="0" w:color="auto"/>
                        <w:left w:val="none" w:sz="0" w:space="0" w:color="auto"/>
                        <w:bottom w:val="none" w:sz="0" w:space="0" w:color="auto"/>
                        <w:right w:val="none" w:sz="0" w:space="0" w:color="auto"/>
                      </w:divBdr>
                    </w:div>
                  </w:divsChild>
                </w:div>
                <w:div w:id="135688709">
                  <w:marLeft w:val="0"/>
                  <w:marRight w:val="0"/>
                  <w:marTop w:val="0"/>
                  <w:marBottom w:val="0"/>
                  <w:divBdr>
                    <w:top w:val="none" w:sz="0" w:space="0" w:color="auto"/>
                    <w:left w:val="none" w:sz="0" w:space="0" w:color="auto"/>
                    <w:bottom w:val="none" w:sz="0" w:space="0" w:color="auto"/>
                    <w:right w:val="none" w:sz="0" w:space="0" w:color="auto"/>
                  </w:divBdr>
                  <w:divsChild>
                    <w:div w:id="1458790517">
                      <w:marLeft w:val="0"/>
                      <w:marRight w:val="0"/>
                      <w:marTop w:val="0"/>
                      <w:marBottom w:val="0"/>
                      <w:divBdr>
                        <w:top w:val="none" w:sz="0" w:space="0" w:color="auto"/>
                        <w:left w:val="none" w:sz="0" w:space="0" w:color="auto"/>
                        <w:bottom w:val="none" w:sz="0" w:space="0" w:color="auto"/>
                        <w:right w:val="none" w:sz="0" w:space="0" w:color="auto"/>
                      </w:divBdr>
                    </w:div>
                  </w:divsChild>
                </w:div>
                <w:div w:id="171143078">
                  <w:marLeft w:val="0"/>
                  <w:marRight w:val="0"/>
                  <w:marTop w:val="0"/>
                  <w:marBottom w:val="0"/>
                  <w:divBdr>
                    <w:top w:val="none" w:sz="0" w:space="0" w:color="auto"/>
                    <w:left w:val="none" w:sz="0" w:space="0" w:color="auto"/>
                    <w:bottom w:val="none" w:sz="0" w:space="0" w:color="auto"/>
                    <w:right w:val="none" w:sz="0" w:space="0" w:color="auto"/>
                  </w:divBdr>
                  <w:divsChild>
                    <w:div w:id="683366330">
                      <w:marLeft w:val="0"/>
                      <w:marRight w:val="0"/>
                      <w:marTop w:val="0"/>
                      <w:marBottom w:val="0"/>
                      <w:divBdr>
                        <w:top w:val="none" w:sz="0" w:space="0" w:color="auto"/>
                        <w:left w:val="none" w:sz="0" w:space="0" w:color="auto"/>
                        <w:bottom w:val="none" w:sz="0" w:space="0" w:color="auto"/>
                        <w:right w:val="none" w:sz="0" w:space="0" w:color="auto"/>
                      </w:divBdr>
                    </w:div>
                  </w:divsChild>
                </w:div>
                <w:div w:id="180893988">
                  <w:marLeft w:val="0"/>
                  <w:marRight w:val="0"/>
                  <w:marTop w:val="0"/>
                  <w:marBottom w:val="0"/>
                  <w:divBdr>
                    <w:top w:val="none" w:sz="0" w:space="0" w:color="auto"/>
                    <w:left w:val="none" w:sz="0" w:space="0" w:color="auto"/>
                    <w:bottom w:val="none" w:sz="0" w:space="0" w:color="auto"/>
                    <w:right w:val="none" w:sz="0" w:space="0" w:color="auto"/>
                  </w:divBdr>
                  <w:divsChild>
                    <w:div w:id="533080571">
                      <w:marLeft w:val="0"/>
                      <w:marRight w:val="0"/>
                      <w:marTop w:val="0"/>
                      <w:marBottom w:val="0"/>
                      <w:divBdr>
                        <w:top w:val="none" w:sz="0" w:space="0" w:color="auto"/>
                        <w:left w:val="none" w:sz="0" w:space="0" w:color="auto"/>
                        <w:bottom w:val="none" w:sz="0" w:space="0" w:color="auto"/>
                        <w:right w:val="none" w:sz="0" w:space="0" w:color="auto"/>
                      </w:divBdr>
                    </w:div>
                  </w:divsChild>
                </w:div>
                <w:div w:id="258103419">
                  <w:marLeft w:val="0"/>
                  <w:marRight w:val="0"/>
                  <w:marTop w:val="0"/>
                  <w:marBottom w:val="0"/>
                  <w:divBdr>
                    <w:top w:val="none" w:sz="0" w:space="0" w:color="auto"/>
                    <w:left w:val="none" w:sz="0" w:space="0" w:color="auto"/>
                    <w:bottom w:val="none" w:sz="0" w:space="0" w:color="auto"/>
                    <w:right w:val="none" w:sz="0" w:space="0" w:color="auto"/>
                  </w:divBdr>
                  <w:divsChild>
                    <w:div w:id="755175942">
                      <w:marLeft w:val="0"/>
                      <w:marRight w:val="0"/>
                      <w:marTop w:val="0"/>
                      <w:marBottom w:val="0"/>
                      <w:divBdr>
                        <w:top w:val="none" w:sz="0" w:space="0" w:color="auto"/>
                        <w:left w:val="none" w:sz="0" w:space="0" w:color="auto"/>
                        <w:bottom w:val="none" w:sz="0" w:space="0" w:color="auto"/>
                        <w:right w:val="none" w:sz="0" w:space="0" w:color="auto"/>
                      </w:divBdr>
                    </w:div>
                  </w:divsChild>
                </w:div>
                <w:div w:id="599030428">
                  <w:marLeft w:val="0"/>
                  <w:marRight w:val="0"/>
                  <w:marTop w:val="0"/>
                  <w:marBottom w:val="0"/>
                  <w:divBdr>
                    <w:top w:val="none" w:sz="0" w:space="0" w:color="auto"/>
                    <w:left w:val="none" w:sz="0" w:space="0" w:color="auto"/>
                    <w:bottom w:val="none" w:sz="0" w:space="0" w:color="auto"/>
                    <w:right w:val="none" w:sz="0" w:space="0" w:color="auto"/>
                  </w:divBdr>
                  <w:divsChild>
                    <w:div w:id="526529117">
                      <w:marLeft w:val="0"/>
                      <w:marRight w:val="0"/>
                      <w:marTop w:val="0"/>
                      <w:marBottom w:val="0"/>
                      <w:divBdr>
                        <w:top w:val="none" w:sz="0" w:space="0" w:color="auto"/>
                        <w:left w:val="none" w:sz="0" w:space="0" w:color="auto"/>
                        <w:bottom w:val="none" w:sz="0" w:space="0" w:color="auto"/>
                        <w:right w:val="none" w:sz="0" w:space="0" w:color="auto"/>
                      </w:divBdr>
                    </w:div>
                  </w:divsChild>
                </w:div>
                <w:div w:id="605384384">
                  <w:marLeft w:val="0"/>
                  <w:marRight w:val="0"/>
                  <w:marTop w:val="0"/>
                  <w:marBottom w:val="0"/>
                  <w:divBdr>
                    <w:top w:val="none" w:sz="0" w:space="0" w:color="auto"/>
                    <w:left w:val="none" w:sz="0" w:space="0" w:color="auto"/>
                    <w:bottom w:val="none" w:sz="0" w:space="0" w:color="auto"/>
                    <w:right w:val="none" w:sz="0" w:space="0" w:color="auto"/>
                  </w:divBdr>
                  <w:divsChild>
                    <w:div w:id="846023703">
                      <w:marLeft w:val="0"/>
                      <w:marRight w:val="0"/>
                      <w:marTop w:val="0"/>
                      <w:marBottom w:val="0"/>
                      <w:divBdr>
                        <w:top w:val="none" w:sz="0" w:space="0" w:color="auto"/>
                        <w:left w:val="none" w:sz="0" w:space="0" w:color="auto"/>
                        <w:bottom w:val="none" w:sz="0" w:space="0" w:color="auto"/>
                        <w:right w:val="none" w:sz="0" w:space="0" w:color="auto"/>
                      </w:divBdr>
                    </w:div>
                  </w:divsChild>
                </w:div>
                <w:div w:id="690450851">
                  <w:marLeft w:val="0"/>
                  <w:marRight w:val="0"/>
                  <w:marTop w:val="0"/>
                  <w:marBottom w:val="0"/>
                  <w:divBdr>
                    <w:top w:val="none" w:sz="0" w:space="0" w:color="auto"/>
                    <w:left w:val="none" w:sz="0" w:space="0" w:color="auto"/>
                    <w:bottom w:val="none" w:sz="0" w:space="0" w:color="auto"/>
                    <w:right w:val="none" w:sz="0" w:space="0" w:color="auto"/>
                  </w:divBdr>
                  <w:divsChild>
                    <w:div w:id="125634445">
                      <w:marLeft w:val="0"/>
                      <w:marRight w:val="0"/>
                      <w:marTop w:val="0"/>
                      <w:marBottom w:val="0"/>
                      <w:divBdr>
                        <w:top w:val="none" w:sz="0" w:space="0" w:color="auto"/>
                        <w:left w:val="none" w:sz="0" w:space="0" w:color="auto"/>
                        <w:bottom w:val="none" w:sz="0" w:space="0" w:color="auto"/>
                        <w:right w:val="none" w:sz="0" w:space="0" w:color="auto"/>
                      </w:divBdr>
                    </w:div>
                  </w:divsChild>
                </w:div>
                <w:div w:id="700859242">
                  <w:marLeft w:val="0"/>
                  <w:marRight w:val="0"/>
                  <w:marTop w:val="0"/>
                  <w:marBottom w:val="0"/>
                  <w:divBdr>
                    <w:top w:val="none" w:sz="0" w:space="0" w:color="auto"/>
                    <w:left w:val="none" w:sz="0" w:space="0" w:color="auto"/>
                    <w:bottom w:val="none" w:sz="0" w:space="0" w:color="auto"/>
                    <w:right w:val="none" w:sz="0" w:space="0" w:color="auto"/>
                  </w:divBdr>
                  <w:divsChild>
                    <w:div w:id="381635797">
                      <w:marLeft w:val="0"/>
                      <w:marRight w:val="0"/>
                      <w:marTop w:val="0"/>
                      <w:marBottom w:val="0"/>
                      <w:divBdr>
                        <w:top w:val="none" w:sz="0" w:space="0" w:color="auto"/>
                        <w:left w:val="none" w:sz="0" w:space="0" w:color="auto"/>
                        <w:bottom w:val="none" w:sz="0" w:space="0" w:color="auto"/>
                        <w:right w:val="none" w:sz="0" w:space="0" w:color="auto"/>
                      </w:divBdr>
                    </w:div>
                  </w:divsChild>
                </w:div>
                <w:div w:id="726538405">
                  <w:marLeft w:val="0"/>
                  <w:marRight w:val="0"/>
                  <w:marTop w:val="0"/>
                  <w:marBottom w:val="0"/>
                  <w:divBdr>
                    <w:top w:val="none" w:sz="0" w:space="0" w:color="auto"/>
                    <w:left w:val="none" w:sz="0" w:space="0" w:color="auto"/>
                    <w:bottom w:val="none" w:sz="0" w:space="0" w:color="auto"/>
                    <w:right w:val="none" w:sz="0" w:space="0" w:color="auto"/>
                  </w:divBdr>
                  <w:divsChild>
                    <w:div w:id="273446551">
                      <w:marLeft w:val="0"/>
                      <w:marRight w:val="0"/>
                      <w:marTop w:val="0"/>
                      <w:marBottom w:val="0"/>
                      <w:divBdr>
                        <w:top w:val="none" w:sz="0" w:space="0" w:color="auto"/>
                        <w:left w:val="none" w:sz="0" w:space="0" w:color="auto"/>
                        <w:bottom w:val="none" w:sz="0" w:space="0" w:color="auto"/>
                        <w:right w:val="none" w:sz="0" w:space="0" w:color="auto"/>
                      </w:divBdr>
                    </w:div>
                  </w:divsChild>
                </w:div>
                <w:div w:id="852063268">
                  <w:marLeft w:val="0"/>
                  <w:marRight w:val="0"/>
                  <w:marTop w:val="0"/>
                  <w:marBottom w:val="0"/>
                  <w:divBdr>
                    <w:top w:val="none" w:sz="0" w:space="0" w:color="auto"/>
                    <w:left w:val="none" w:sz="0" w:space="0" w:color="auto"/>
                    <w:bottom w:val="none" w:sz="0" w:space="0" w:color="auto"/>
                    <w:right w:val="none" w:sz="0" w:space="0" w:color="auto"/>
                  </w:divBdr>
                  <w:divsChild>
                    <w:div w:id="1486118439">
                      <w:marLeft w:val="0"/>
                      <w:marRight w:val="0"/>
                      <w:marTop w:val="0"/>
                      <w:marBottom w:val="0"/>
                      <w:divBdr>
                        <w:top w:val="none" w:sz="0" w:space="0" w:color="auto"/>
                        <w:left w:val="none" w:sz="0" w:space="0" w:color="auto"/>
                        <w:bottom w:val="none" w:sz="0" w:space="0" w:color="auto"/>
                        <w:right w:val="none" w:sz="0" w:space="0" w:color="auto"/>
                      </w:divBdr>
                    </w:div>
                  </w:divsChild>
                </w:div>
                <w:div w:id="853568600">
                  <w:marLeft w:val="0"/>
                  <w:marRight w:val="0"/>
                  <w:marTop w:val="0"/>
                  <w:marBottom w:val="0"/>
                  <w:divBdr>
                    <w:top w:val="none" w:sz="0" w:space="0" w:color="auto"/>
                    <w:left w:val="none" w:sz="0" w:space="0" w:color="auto"/>
                    <w:bottom w:val="none" w:sz="0" w:space="0" w:color="auto"/>
                    <w:right w:val="none" w:sz="0" w:space="0" w:color="auto"/>
                  </w:divBdr>
                  <w:divsChild>
                    <w:div w:id="1029990942">
                      <w:marLeft w:val="0"/>
                      <w:marRight w:val="0"/>
                      <w:marTop w:val="0"/>
                      <w:marBottom w:val="0"/>
                      <w:divBdr>
                        <w:top w:val="none" w:sz="0" w:space="0" w:color="auto"/>
                        <w:left w:val="none" w:sz="0" w:space="0" w:color="auto"/>
                        <w:bottom w:val="none" w:sz="0" w:space="0" w:color="auto"/>
                        <w:right w:val="none" w:sz="0" w:space="0" w:color="auto"/>
                      </w:divBdr>
                    </w:div>
                  </w:divsChild>
                </w:div>
                <w:div w:id="861240976">
                  <w:marLeft w:val="0"/>
                  <w:marRight w:val="0"/>
                  <w:marTop w:val="0"/>
                  <w:marBottom w:val="0"/>
                  <w:divBdr>
                    <w:top w:val="none" w:sz="0" w:space="0" w:color="auto"/>
                    <w:left w:val="none" w:sz="0" w:space="0" w:color="auto"/>
                    <w:bottom w:val="none" w:sz="0" w:space="0" w:color="auto"/>
                    <w:right w:val="none" w:sz="0" w:space="0" w:color="auto"/>
                  </w:divBdr>
                  <w:divsChild>
                    <w:div w:id="1561987628">
                      <w:marLeft w:val="0"/>
                      <w:marRight w:val="0"/>
                      <w:marTop w:val="0"/>
                      <w:marBottom w:val="0"/>
                      <w:divBdr>
                        <w:top w:val="none" w:sz="0" w:space="0" w:color="auto"/>
                        <w:left w:val="none" w:sz="0" w:space="0" w:color="auto"/>
                        <w:bottom w:val="none" w:sz="0" w:space="0" w:color="auto"/>
                        <w:right w:val="none" w:sz="0" w:space="0" w:color="auto"/>
                      </w:divBdr>
                    </w:div>
                  </w:divsChild>
                </w:div>
                <w:div w:id="978076592">
                  <w:marLeft w:val="0"/>
                  <w:marRight w:val="0"/>
                  <w:marTop w:val="0"/>
                  <w:marBottom w:val="0"/>
                  <w:divBdr>
                    <w:top w:val="none" w:sz="0" w:space="0" w:color="auto"/>
                    <w:left w:val="none" w:sz="0" w:space="0" w:color="auto"/>
                    <w:bottom w:val="none" w:sz="0" w:space="0" w:color="auto"/>
                    <w:right w:val="none" w:sz="0" w:space="0" w:color="auto"/>
                  </w:divBdr>
                  <w:divsChild>
                    <w:div w:id="688797221">
                      <w:marLeft w:val="0"/>
                      <w:marRight w:val="0"/>
                      <w:marTop w:val="0"/>
                      <w:marBottom w:val="0"/>
                      <w:divBdr>
                        <w:top w:val="none" w:sz="0" w:space="0" w:color="auto"/>
                        <w:left w:val="none" w:sz="0" w:space="0" w:color="auto"/>
                        <w:bottom w:val="none" w:sz="0" w:space="0" w:color="auto"/>
                        <w:right w:val="none" w:sz="0" w:space="0" w:color="auto"/>
                      </w:divBdr>
                    </w:div>
                  </w:divsChild>
                </w:div>
                <w:div w:id="1195003190">
                  <w:marLeft w:val="0"/>
                  <w:marRight w:val="0"/>
                  <w:marTop w:val="0"/>
                  <w:marBottom w:val="0"/>
                  <w:divBdr>
                    <w:top w:val="none" w:sz="0" w:space="0" w:color="auto"/>
                    <w:left w:val="none" w:sz="0" w:space="0" w:color="auto"/>
                    <w:bottom w:val="none" w:sz="0" w:space="0" w:color="auto"/>
                    <w:right w:val="none" w:sz="0" w:space="0" w:color="auto"/>
                  </w:divBdr>
                  <w:divsChild>
                    <w:div w:id="1778718386">
                      <w:marLeft w:val="0"/>
                      <w:marRight w:val="0"/>
                      <w:marTop w:val="0"/>
                      <w:marBottom w:val="0"/>
                      <w:divBdr>
                        <w:top w:val="none" w:sz="0" w:space="0" w:color="auto"/>
                        <w:left w:val="none" w:sz="0" w:space="0" w:color="auto"/>
                        <w:bottom w:val="none" w:sz="0" w:space="0" w:color="auto"/>
                        <w:right w:val="none" w:sz="0" w:space="0" w:color="auto"/>
                      </w:divBdr>
                    </w:div>
                  </w:divsChild>
                </w:div>
                <w:div w:id="1246110413">
                  <w:marLeft w:val="0"/>
                  <w:marRight w:val="0"/>
                  <w:marTop w:val="0"/>
                  <w:marBottom w:val="0"/>
                  <w:divBdr>
                    <w:top w:val="none" w:sz="0" w:space="0" w:color="auto"/>
                    <w:left w:val="none" w:sz="0" w:space="0" w:color="auto"/>
                    <w:bottom w:val="none" w:sz="0" w:space="0" w:color="auto"/>
                    <w:right w:val="none" w:sz="0" w:space="0" w:color="auto"/>
                  </w:divBdr>
                  <w:divsChild>
                    <w:div w:id="688145852">
                      <w:marLeft w:val="0"/>
                      <w:marRight w:val="0"/>
                      <w:marTop w:val="0"/>
                      <w:marBottom w:val="0"/>
                      <w:divBdr>
                        <w:top w:val="none" w:sz="0" w:space="0" w:color="auto"/>
                        <w:left w:val="none" w:sz="0" w:space="0" w:color="auto"/>
                        <w:bottom w:val="none" w:sz="0" w:space="0" w:color="auto"/>
                        <w:right w:val="none" w:sz="0" w:space="0" w:color="auto"/>
                      </w:divBdr>
                    </w:div>
                  </w:divsChild>
                </w:div>
                <w:div w:id="1250576804">
                  <w:marLeft w:val="0"/>
                  <w:marRight w:val="0"/>
                  <w:marTop w:val="0"/>
                  <w:marBottom w:val="0"/>
                  <w:divBdr>
                    <w:top w:val="none" w:sz="0" w:space="0" w:color="auto"/>
                    <w:left w:val="none" w:sz="0" w:space="0" w:color="auto"/>
                    <w:bottom w:val="none" w:sz="0" w:space="0" w:color="auto"/>
                    <w:right w:val="none" w:sz="0" w:space="0" w:color="auto"/>
                  </w:divBdr>
                  <w:divsChild>
                    <w:div w:id="508833647">
                      <w:marLeft w:val="0"/>
                      <w:marRight w:val="0"/>
                      <w:marTop w:val="0"/>
                      <w:marBottom w:val="0"/>
                      <w:divBdr>
                        <w:top w:val="none" w:sz="0" w:space="0" w:color="auto"/>
                        <w:left w:val="none" w:sz="0" w:space="0" w:color="auto"/>
                        <w:bottom w:val="none" w:sz="0" w:space="0" w:color="auto"/>
                        <w:right w:val="none" w:sz="0" w:space="0" w:color="auto"/>
                      </w:divBdr>
                    </w:div>
                  </w:divsChild>
                </w:div>
                <w:div w:id="1289818775">
                  <w:marLeft w:val="0"/>
                  <w:marRight w:val="0"/>
                  <w:marTop w:val="0"/>
                  <w:marBottom w:val="0"/>
                  <w:divBdr>
                    <w:top w:val="none" w:sz="0" w:space="0" w:color="auto"/>
                    <w:left w:val="none" w:sz="0" w:space="0" w:color="auto"/>
                    <w:bottom w:val="none" w:sz="0" w:space="0" w:color="auto"/>
                    <w:right w:val="none" w:sz="0" w:space="0" w:color="auto"/>
                  </w:divBdr>
                </w:div>
                <w:div w:id="1311255234">
                  <w:marLeft w:val="0"/>
                  <w:marRight w:val="0"/>
                  <w:marTop w:val="0"/>
                  <w:marBottom w:val="0"/>
                  <w:divBdr>
                    <w:top w:val="none" w:sz="0" w:space="0" w:color="auto"/>
                    <w:left w:val="none" w:sz="0" w:space="0" w:color="auto"/>
                    <w:bottom w:val="none" w:sz="0" w:space="0" w:color="auto"/>
                    <w:right w:val="none" w:sz="0" w:space="0" w:color="auto"/>
                  </w:divBdr>
                  <w:divsChild>
                    <w:div w:id="265309381">
                      <w:marLeft w:val="0"/>
                      <w:marRight w:val="0"/>
                      <w:marTop w:val="0"/>
                      <w:marBottom w:val="0"/>
                      <w:divBdr>
                        <w:top w:val="none" w:sz="0" w:space="0" w:color="auto"/>
                        <w:left w:val="none" w:sz="0" w:space="0" w:color="auto"/>
                        <w:bottom w:val="none" w:sz="0" w:space="0" w:color="auto"/>
                        <w:right w:val="none" w:sz="0" w:space="0" w:color="auto"/>
                      </w:divBdr>
                    </w:div>
                  </w:divsChild>
                </w:div>
                <w:div w:id="1375085329">
                  <w:marLeft w:val="0"/>
                  <w:marRight w:val="0"/>
                  <w:marTop w:val="0"/>
                  <w:marBottom w:val="0"/>
                  <w:divBdr>
                    <w:top w:val="none" w:sz="0" w:space="0" w:color="auto"/>
                    <w:left w:val="none" w:sz="0" w:space="0" w:color="auto"/>
                    <w:bottom w:val="none" w:sz="0" w:space="0" w:color="auto"/>
                    <w:right w:val="none" w:sz="0" w:space="0" w:color="auto"/>
                  </w:divBdr>
                  <w:divsChild>
                    <w:div w:id="400104459">
                      <w:marLeft w:val="0"/>
                      <w:marRight w:val="0"/>
                      <w:marTop w:val="0"/>
                      <w:marBottom w:val="0"/>
                      <w:divBdr>
                        <w:top w:val="none" w:sz="0" w:space="0" w:color="auto"/>
                        <w:left w:val="none" w:sz="0" w:space="0" w:color="auto"/>
                        <w:bottom w:val="none" w:sz="0" w:space="0" w:color="auto"/>
                        <w:right w:val="none" w:sz="0" w:space="0" w:color="auto"/>
                      </w:divBdr>
                    </w:div>
                  </w:divsChild>
                </w:div>
                <w:div w:id="1384139669">
                  <w:marLeft w:val="0"/>
                  <w:marRight w:val="0"/>
                  <w:marTop w:val="0"/>
                  <w:marBottom w:val="0"/>
                  <w:divBdr>
                    <w:top w:val="none" w:sz="0" w:space="0" w:color="auto"/>
                    <w:left w:val="none" w:sz="0" w:space="0" w:color="auto"/>
                    <w:bottom w:val="none" w:sz="0" w:space="0" w:color="auto"/>
                    <w:right w:val="none" w:sz="0" w:space="0" w:color="auto"/>
                  </w:divBdr>
                  <w:divsChild>
                    <w:div w:id="928196593">
                      <w:marLeft w:val="0"/>
                      <w:marRight w:val="0"/>
                      <w:marTop w:val="0"/>
                      <w:marBottom w:val="0"/>
                      <w:divBdr>
                        <w:top w:val="none" w:sz="0" w:space="0" w:color="auto"/>
                        <w:left w:val="none" w:sz="0" w:space="0" w:color="auto"/>
                        <w:bottom w:val="none" w:sz="0" w:space="0" w:color="auto"/>
                        <w:right w:val="none" w:sz="0" w:space="0" w:color="auto"/>
                      </w:divBdr>
                    </w:div>
                  </w:divsChild>
                </w:div>
                <w:div w:id="1594171078">
                  <w:marLeft w:val="0"/>
                  <w:marRight w:val="0"/>
                  <w:marTop w:val="0"/>
                  <w:marBottom w:val="0"/>
                  <w:divBdr>
                    <w:top w:val="none" w:sz="0" w:space="0" w:color="auto"/>
                    <w:left w:val="none" w:sz="0" w:space="0" w:color="auto"/>
                    <w:bottom w:val="none" w:sz="0" w:space="0" w:color="auto"/>
                    <w:right w:val="none" w:sz="0" w:space="0" w:color="auto"/>
                  </w:divBdr>
                  <w:divsChild>
                    <w:div w:id="1644197835">
                      <w:marLeft w:val="0"/>
                      <w:marRight w:val="0"/>
                      <w:marTop w:val="0"/>
                      <w:marBottom w:val="0"/>
                      <w:divBdr>
                        <w:top w:val="none" w:sz="0" w:space="0" w:color="auto"/>
                        <w:left w:val="none" w:sz="0" w:space="0" w:color="auto"/>
                        <w:bottom w:val="none" w:sz="0" w:space="0" w:color="auto"/>
                        <w:right w:val="none" w:sz="0" w:space="0" w:color="auto"/>
                      </w:divBdr>
                    </w:div>
                  </w:divsChild>
                </w:div>
                <w:div w:id="1607275779">
                  <w:marLeft w:val="0"/>
                  <w:marRight w:val="0"/>
                  <w:marTop w:val="0"/>
                  <w:marBottom w:val="0"/>
                  <w:divBdr>
                    <w:top w:val="none" w:sz="0" w:space="0" w:color="auto"/>
                    <w:left w:val="none" w:sz="0" w:space="0" w:color="auto"/>
                    <w:bottom w:val="none" w:sz="0" w:space="0" w:color="auto"/>
                    <w:right w:val="none" w:sz="0" w:space="0" w:color="auto"/>
                  </w:divBdr>
                  <w:divsChild>
                    <w:div w:id="1751847459">
                      <w:marLeft w:val="0"/>
                      <w:marRight w:val="0"/>
                      <w:marTop w:val="0"/>
                      <w:marBottom w:val="0"/>
                      <w:divBdr>
                        <w:top w:val="none" w:sz="0" w:space="0" w:color="auto"/>
                        <w:left w:val="none" w:sz="0" w:space="0" w:color="auto"/>
                        <w:bottom w:val="none" w:sz="0" w:space="0" w:color="auto"/>
                        <w:right w:val="none" w:sz="0" w:space="0" w:color="auto"/>
                      </w:divBdr>
                    </w:div>
                  </w:divsChild>
                </w:div>
                <w:div w:id="1612205086">
                  <w:marLeft w:val="0"/>
                  <w:marRight w:val="0"/>
                  <w:marTop w:val="0"/>
                  <w:marBottom w:val="0"/>
                  <w:divBdr>
                    <w:top w:val="none" w:sz="0" w:space="0" w:color="auto"/>
                    <w:left w:val="none" w:sz="0" w:space="0" w:color="auto"/>
                    <w:bottom w:val="none" w:sz="0" w:space="0" w:color="auto"/>
                    <w:right w:val="none" w:sz="0" w:space="0" w:color="auto"/>
                  </w:divBdr>
                  <w:divsChild>
                    <w:div w:id="1356157700">
                      <w:marLeft w:val="0"/>
                      <w:marRight w:val="0"/>
                      <w:marTop w:val="0"/>
                      <w:marBottom w:val="0"/>
                      <w:divBdr>
                        <w:top w:val="none" w:sz="0" w:space="0" w:color="auto"/>
                        <w:left w:val="none" w:sz="0" w:space="0" w:color="auto"/>
                        <w:bottom w:val="none" w:sz="0" w:space="0" w:color="auto"/>
                        <w:right w:val="none" w:sz="0" w:space="0" w:color="auto"/>
                      </w:divBdr>
                    </w:div>
                  </w:divsChild>
                </w:div>
                <w:div w:id="2046296106">
                  <w:marLeft w:val="0"/>
                  <w:marRight w:val="0"/>
                  <w:marTop w:val="0"/>
                  <w:marBottom w:val="0"/>
                  <w:divBdr>
                    <w:top w:val="none" w:sz="0" w:space="0" w:color="auto"/>
                    <w:left w:val="none" w:sz="0" w:space="0" w:color="auto"/>
                    <w:bottom w:val="none" w:sz="0" w:space="0" w:color="auto"/>
                    <w:right w:val="none" w:sz="0" w:space="0" w:color="auto"/>
                  </w:divBdr>
                  <w:divsChild>
                    <w:div w:id="16792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71801">
          <w:marLeft w:val="0"/>
          <w:marRight w:val="0"/>
          <w:marTop w:val="0"/>
          <w:marBottom w:val="0"/>
          <w:divBdr>
            <w:top w:val="none" w:sz="0" w:space="0" w:color="auto"/>
            <w:left w:val="none" w:sz="0" w:space="0" w:color="auto"/>
            <w:bottom w:val="none" w:sz="0" w:space="0" w:color="auto"/>
            <w:right w:val="none" w:sz="0" w:space="0" w:color="auto"/>
          </w:divBdr>
          <w:divsChild>
            <w:div w:id="903418830">
              <w:marLeft w:val="0"/>
              <w:marRight w:val="0"/>
              <w:marTop w:val="0"/>
              <w:marBottom w:val="0"/>
              <w:divBdr>
                <w:top w:val="none" w:sz="0" w:space="0" w:color="auto"/>
                <w:left w:val="none" w:sz="0" w:space="0" w:color="auto"/>
                <w:bottom w:val="none" w:sz="0" w:space="0" w:color="auto"/>
                <w:right w:val="none" w:sz="0" w:space="0" w:color="auto"/>
              </w:divBdr>
            </w:div>
            <w:div w:id="1111244700">
              <w:marLeft w:val="0"/>
              <w:marRight w:val="0"/>
              <w:marTop w:val="0"/>
              <w:marBottom w:val="0"/>
              <w:divBdr>
                <w:top w:val="none" w:sz="0" w:space="0" w:color="auto"/>
                <w:left w:val="none" w:sz="0" w:space="0" w:color="auto"/>
                <w:bottom w:val="none" w:sz="0" w:space="0" w:color="auto"/>
                <w:right w:val="none" w:sz="0" w:space="0" w:color="auto"/>
              </w:divBdr>
            </w:div>
            <w:div w:id="15266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10622">
      <w:marLeft w:val="480"/>
      <w:marRight w:val="0"/>
      <w:marTop w:val="0"/>
      <w:marBottom w:val="0"/>
      <w:divBdr>
        <w:top w:val="none" w:sz="0" w:space="0" w:color="auto"/>
        <w:left w:val="none" w:sz="0" w:space="0" w:color="auto"/>
        <w:bottom w:val="none" w:sz="0" w:space="0" w:color="auto"/>
        <w:right w:val="none" w:sz="0" w:space="0" w:color="auto"/>
      </w:divBdr>
    </w:div>
    <w:div w:id="876044505">
      <w:marLeft w:val="480"/>
      <w:marRight w:val="0"/>
      <w:marTop w:val="0"/>
      <w:marBottom w:val="0"/>
      <w:divBdr>
        <w:top w:val="none" w:sz="0" w:space="0" w:color="auto"/>
        <w:left w:val="none" w:sz="0" w:space="0" w:color="auto"/>
        <w:bottom w:val="none" w:sz="0" w:space="0" w:color="auto"/>
        <w:right w:val="none" w:sz="0" w:space="0" w:color="auto"/>
      </w:divBdr>
    </w:div>
    <w:div w:id="876233252">
      <w:marLeft w:val="480"/>
      <w:marRight w:val="0"/>
      <w:marTop w:val="0"/>
      <w:marBottom w:val="0"/>
      <w:divBdr>
        <w:top w:val="none" w:sz="0" w:space="0" w:color="auto"/>
        <w:left w:val="none" w:sz="0" w:space="0" w:color="auto"/>
        <w:bottom w:val="none" w:sz="0" w:space="0" w:color="auto"/>
        <w:right w:val="none" w:sz="0" w:space="0" w:color="auto"/>
      </w:divBdr>
    </w:div>
    <w:div w:id="882980502">
      <w:marLeft w:val="480"/>
      <w:marRight w:val="0"/>
      <w:marTop w:val="0"/>
      <w:marBottom w:val="0"/>
      <w:divBdr>
        <w:top w:val="none" w:sz="0" w:space="0" w:color="auto"/>
        <w:left w:val="none" w:sz="0" w:space="0" w:color="auto"/>
        <w:bottom w:val="none" w:sz="0" w:space="0" w:color="auto"/>
        <w:right w:val="none" w:sz="0" w:space="0" w:color="auto"/>
      </w:divBdr>
    </w:div>
    <w:div w:id="884566638">
      <w:marLeft w:val="480"/>
      <w:marRight w:val="0"/>
      <w:marTop w:val="0"/>
      <w:marBottom w:val="0"/>
      <w:divBdr>
        <w:top w:val="none" w:sz="0" w:space="0" w:color="auto"/>
        <w:left w:val="none" w:sz="0" w:space="0" w:color="auto"/>
        <w:bottom w:val="none" w:sz="0" w:space="0" w:color="auto"/>
        <w:right w:val="none" w:sz="0" w:space="0" w:color="auto"/>
      </w:divBdr>
    </w:div>
    <w:div w:id="885916425">
      <w:marLeft w:val="480"/>
      <w:marRight w:val="0"/>
      <w:marTop w:val="0"/>
      <w:marBottom w:val="0"/>
      <w:divBdr>
        <w:top w:val="none" w:sz="0" w:space="0" w:color="auto"/>
        <w:left w:val="none" w:sz="0" w:space="0" w:color="auto"/>
        <w:bottom w:val="none" w:sz="0" w:space="0" w:color="auto"/>
        <w:right w:val="none" w:sz="0" w:space="0" w:color="auto"/>
      </w:divBdr>
    </w:div>
    <w:div w:id="886799570">
      <w:marLeft w:val="480"/>
      <w:marRight w:val="0"/>
      <w:marTop w:val="0"/>
      <w:marBottom w:val="0"/>
      <w:divBdr>
        <w:top w:val="none" w:sz="0" w:space="0" w:color="auto"/>
        <w:left w:val="none" w:sz="0" w:space="0" w:color="auto"/>
        <w:bottom w:val="none" w:sz="0" w:space="0" w:color="auto"/>
        <w:right w:val="none" w:sz="0" w:space="0" w:color="auto"/>
      </w:divBdr>
    </w:div>
    <w:div w:id="887379479">
      <w:marLeft w:val="480"/>
      <w:marRight w:val="0"/>
      <w:marTop w:val="0"/>
      <w:marBottom w:val="0"/>
      <w:divBdr>
        <w:top w:val="none" w:sz="0" w:space="0" w:color="auto"/>
        <w:left w:val="none" w:sz="0" w:space="0" w:color="auto"/>
        <w:bottom w:val="none" w:sz="0" w:space="0" w:color="auto"/>
        <w:right w:val="none" w:sz="0" w:space="0" w:color="auto"/>
      </w:divBdr>
    </w:div>
    <w:div w:id="887568931">
      <w:marLeft w:val="480"/>
      <w:marRight w:val="0"/>
      <w:marTop w:val="0"/>
      <w:marBottom w:val="0"/>
      <w:divBdr>
        <w:top w:val="none" w:sz="0" w:space="0" w:color="auto"/>
        <w:left w:val="none" w:sz="0" w:space="0" w:color="auto"/>
        <w:bottom w:val="none" w:sz="0" w:space="0" w:color="auto"/>
        <w:right w:val="none" w:sz="0" w:space="0" w:color="auto"/>
      </w:divBdr>
    </w:div>
    <w:div w:id="888610929">
      <w:marLeft w:val="480"/>
      <w:marRight w:val="0"/>
      <w:marTop w:val="0"/>
      <w:marBottom w:val="0"/>
      <w:divBdr>
        <w:top w:val="none" w:sz="0" w:space="0" w:color="auto"/>
        <w:left w:val="none" w:sz="0" w:space="0" w:color="auto"/>
        <w:bottom w:val="none" w:sz="0" w:space="0" w:color="auto"/>
        <w:right w:val="none" w:sz="0" w:space="0" w:color="auto"/>
      </w:divBdr>
    </w:div>
    <w:div w:id="891041965">
      <w:marLeft w:val="480"/>
      <w:marRight w:val="0"/>
      <w:marTop w:val="0"/>
      <w:marBottom w:val="0"/>
      <w:divBdr>
        <w:top w:val="none" w:sz="0" w:space="0" w:color="auto"/>
        <w:left w:val="none" w:sz="0" w:space="0" w:color="auto"/>
        <w:bottom w:val="none" w:sz="0" w:space="0" w:color="auto"/>
        <w:right w:val="none" w:sz="0" w:space="0" w:color="auto"/>
      </w:divBdr>
    </w:div>
    <w:div w:id="891693146">
      <w:marLeft w:val="480"/>
      <w:marRight w:val="0"/>
      <w:marTop w:val="0"/>
      <w:marBottom w:val="0"/>
      <w:divBdr>
        <w:top w:val="none" w:sz="0" w:space="0" w:color="auto"/>
        <w:left w:val="none" w:sz="0" w:space="0" w:color="auto"/>
        <w:bottom w:val="none" w:sz="0" w:space="0" w:color="auto"/>
        <w:right w:val="none" w:sz="0" w:space="0" w:color="auto"/>
      </w:divBdr>
    </w:div>
    <w:div w:id="894271138">
      <w:marLeft w:val="480"/>
      <w:marRight w:val="0"/>
      <w:marTop w:val="0"/>
      <w:marBottom w:val="0"/>
      <w:divBdr>
        <w:top w:val="none" w:sz="0" w:space="0" w:color="auto"/>
        <w:left w:val="none" w:sz="0" w:space="0" w:color="auto"/>
        <w:bottom w:val="none" w:sz="0" w:space="0" w:color="auto"/>
        <w:right w:val="none" w:sz="0" w:space="0" w:color="auto"/>
      </w:divBdr>
    </w:div>
    <w:div w:id="895317278">
      <w:marLeft w:val="480"/>
      <w:marRight w:val="0"/>
      <w:marTop w:val="0"/>
      <w:marBottom w:val="0"/>
      <w:divBdr>
        <w:top w:val="none" w:sz="0" w:space="0" w:color="auto"/>
        <w:left w:val="none" w:sz="0" w:space="0" w:color="auto"/>
        <w:bottom w:val="none" w:sz="0" w:space="0" w:color="auto"/>
        <w:right w:val="none" w:sz="0" w:space="0" w:color="auto"/>
      </w:divBdr>
    </w:div>
    <w:div w:id="896942160">
      <w:marLeft w:val="480"/>
      <w:marRight w:val="0"/>
      <w:marTop w:val="0"/>
      <w:marBottom w:val="0"/>
      <w:divBdr>
        <w:top w:val="none" w:sz="0" w:space="0" w:color="auto"/>
        <w:left w:val="none" w:sz="0" w:space="0" w:color="auto"/>
        <w:bottom w:val="none" w:sz="0" w:space="0" w:color="auto"/>
        <w:right w:val="none" w:sz="0" w:space="0" w:color="auto"/>
      </w:divBdr>
    </w:div>
    <w:div w:id="897013699">
      <w:bodyDiv w:val="1"/>
      <w:marLeft w:val="0"/>
      <w:marRight w:val="0"/>
      <w:marTop w:val="0"/>
      <w:marBottom w:val="0"/>
      <w:divBdr>
        <w:top w:val="none" w:sz="0" w:space="0" w:color="auto"/>
        <w:left w:val="none" w:sz="0" w:space="0" w:color="auto"/>
        <w:bottom w:val="none" w:sz="0" w:space="0" w:color="auto"/>
        <w:right w:val="none" w:sz="0" w:space="0" w:color="auto"/>
      </w:divBdr>
      <w:divsChild>
        <w:div w:id="977961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99364557">
      <w:marLeft w:val="480"/>
      <w:marRight w:val="0"/>
      <w:marTop w:val="0"/>
      <w:marBottom w:val="0"/>
      <w:divBdr>
        <w:top w:val="none" w:sz="0" w:space="0" w:color="auto"/>
        <w:left w:val="none" w:sz="0" w:space="0" w:color="auto"/>
        <w:bottom w:val="none" w:sz="0" w:space="0" w:color="auto"/>
        <w:right w:val="none" w:sz="0" w:space="0" w:color="auto"/>
      </w:divBdr>
    </w:div>
    <w:div w:id="900018192">
      <w:marLeft w:val="480"/>
      <w:marRight w:val="0"/>
      <w:marTop w:val="0"/>
      <w:marBottom w:val="0"/>
      <w:divBdr>
        <w:top w:val="none" w:sz="0" w:space="0" w:color="auto"/>
        <w:left w:val="none" w:sz="0" w:space="0" w:color="auto"/>
        <w:bottom w:val="none" w:sz="0" w:space="0" w:color="auto"/>
        <w:right w:val="none" w:sz="0" w:space="0" w:color="auto"/>
      </w:divBdr>
    </w:div>
    <w:div w:id="902330735">
      <w:marLeft w:val="480"/>
      <w:marRight w:val="0"/>
      <w:marTop w:val="0"/>
      <w:marBottom w:val="0"/>
      <w:divBdr>
        <w:top w:val="none" w:sz="0" w:space="0" w:color="auto"/>
        <w:left w:val="none" w:sz="0" w:space="0" w:color="auto"/>
        <w:bottom w:val="none" w:sz="0" w:space="0" w:color="auto"/>
        <w:right w:val="none" w:sz="0" w:space="0" w:color="auto"/>
      </w:divBdr>
    </w:div>
    <w:div w:id="903487187">
      <w:marLeft w:val="480"/>
      <w:marRight w:val="0"/>
      <w:marTop w:val="0"/>
      <w:marBottom w:val="0"/>
      <w:divBdr>
        <w:top w:val="none" w:sz="0" w:space="0" w:color="auto"/>
        <w:left w:val="none" w:sz="0" w:space="0" w:color="auto"/>
        <w:bottom w:val="none" w:sz="0" w:space="0" w:color="auto"/>
        <w:right w:val="none" w:sz="0" w:space="0" w:color="auto"/>
      </w:divBdr>
    </w:div>
    <w:div w:id="904947607">
      <w:marLeft w:val="480"/>
      <w:marRight w:val="0"/>
      <w:marTop w:val="0"/>
      <w:marBottom w:val="0"/>
      <w:divBdr>
        <w:top w:val="none" w:sz="0" w:space="0" w:color="auto"/>
        <w:left w:val="none" w:sz="0" w:space="0" w:color="auto"/>
        <w:bottom w:val="none" w:sz="0" w:space="0" w:color="auto"/>
        <w:right w:val="none" w:sz="0" w:space="0" w:color="auto"/>
      </w:divBdr>
    </w:div>
    <w:div w:id="912589279">
      <w:marLeft w:val="480"/>
      <w:marRight w:val="0"/>
      <w:marTop w:val="0"/>
      <w:marBottom w:val="0"/>
      <w:divBdr>
        <w:top w:val="none" w:sz="0" w:space="0" w:color="auto"/>
        <w:left w:val="none" w:sz="0" w:space="0" w:color="auto"/>
        <w:bottom w:val="none" w:sz="0" w:space="0" w:color="auto"/>
        <w:right w:val="none" w:sz="0" w:space="0" w:color="auto"/>
      </w:divBdr>
    </w:div>
    <w:div w:id="913248098">
      <w:marLeft w:val="480"/>
      <w:marRight w:val="0"/>
      <w:marTop w:val="0"/>
      <w:marBottom w:val="0"/>
      <w:divBdr>
        <w:top w:val="none" w:sz="0" w:space="0" w:color="auto"/>
        <w:left w:val="none" w:sz="0" w:space="0" w:color="auto"/>
        <w:bottom w:val="none" w:sz="0" w:space="0" w:color="auto"/>
        <w:right w:val="none" w:sz="0" w:space="0" w:color="auto"/>
      </w:divBdr>
    </w:div>
    <w:div w:id="914821617">
      <w:marLeft w:val="480"/>
      <w:marRight w:val="0"/>
      <w:marTop w:val="0"/>
      <w:marBottom w:val="0"/>
      <w:divBdr>
        <w:top w:val="none" w:sz="0" w:space="0" w:color="auto"/>
        <w:left w:val="none" w:sz="0" w:space="0" w:color="auto"/>
        <w:bottom w:val="none" w:sz="0" w:space="0" w:color="auto"/>
        <w:right w:val="none" w:sz="0" w:space="0" w:color="auto"/>
      </w:divBdr>
    </w:div>
    <w:div w:id="916859622">
      <w:marLeft w:val="480"/>
      <w:marRight w:val="0"/>
      <w:marTop w:val="0"/>
      <w:marBottom w:val="0"/>
      <w:divBdr>
        <w:top w:val="none" w:sz="0" w:space="0" w:color="auto"/>
        <w:left w:val="none" w:sz="0" w:space="0" w:color="auto"/>
        <w:bottom w:val="none" w:sz="0" w:space="0" w:color="auto"/>
        <w:right w:val="none" w:sz="0" w:space="0" w:color="auto"/>
      </w:divBdr>
    </w:div>
    <w:div w:id="917591768">
      <w:marLeft w:val="480"/>
      <w:marRight w:val="0"/>
      <w:marTop w:val="0"/>
      <w:marBottom w:val="0"/>
      <w:divBdr>
        <w:top w:val="none" w:sz="0" w:space="0" w:color="auto"/>
        <w:left w:val="none" w:sz="0" w:space="0" w:color="auto"/>
        <w:bottom w:val="none" w:sz="0" w:space="0" w:color="auto"/>
        <w:right w:val="none" w:sz="0" w:space="0" w:color="auto"/>
      </w:divBdr>
    </w:div>
    <w:div w:id="917786468">
      <w:marLeft w:val="480"/>
      <w:marRight w:val="0"/>
      <w:marTop w:val="0"/>
      <w:marBottom w:val="0"/>
      <w:divBdr>
        <w:top w:val="none" w:sz="0" w:space="0" w:color="auto"/>
        <w:left w:val="none" w:sz="0" w:space="0" w:color="auto"/>
        <w:bottom w:val="none" w:sz="0" w:space="0" w:color="auto"/>
        <w:right w:val="none" w:sz="0" w:space="0" w:color="auto"/>
      </w:divBdr>
    </w:div>
    <w:div w:id="918059436">
      <w:marLeft w:val="480"/>
      <w:marRight w:val="0"/>
      <w:marTop w:val="0"/>
      <w:marBottom w:val="0"/>
      <w:divBdr>
        <w:top w:val="none" w:sz="0" w:space="0" w:color="auto"/>
        <w:left w:val="none" w:sz="0" w:space="0" w:color="auto"/>
        <w:bottom w:val="none" w:sz="0" w:space="0" w:color="auto"/>
        <w:right w:val="none" w:sz="0" w:space="0" w:color="auto"/>
      </w:divBdr>
    </w:div>
    <w:div w:id="921716382">
      <w:marLeft w:val="480"/>
      <w:marRight w:val="0"/>
      <w:marTop w:val="0"/>
      <w:marBottom w:val="0"/>
      <w:divBdr>
        <w:top w:val="none" w:sz="0" w:space="0" w:color="auto"/>
        <w:left w:val="none" w:sz="0" w:space="0" w:color="auto"/>
        <w:bottom w:val="none" w:sz="0" w:space="0" w:color="auto"/>
        <w:right w:val="none" w:sz="0" w:space="0" w:color="auto"/>
      </w:divBdr>
    </w:div>
    <w:div w:id="922224521">
      <w:marLeft w:val="480"/>
      <w:marRight w:val="0"/>
      <w:marTop w:val="0"/>
      <w:marBottom w:val="0"/>
      <w:divBdr>
        <w:top w:val="none" w:sz="0" w:space="0" w:color="auto"/>
        <w:left w:val="none" w:sz="0" w:space="0" w:color="auto"/>
        <w:bottom w:val="none" w:sz="0" w:space="0" w:color="auto"/>
        <w:right w:val="none" w:sz="0" w:space="0" w:color="auto"/>
      </w:divBdr>
    </w:div>
    <w:div w:id="923419504">
      <w:bodyDiv w:val="1"/>
      <w:marLeft w:val="0"/>
      <w:marRight w:val="0"/>
      <w:marTop w:val="0"/>
      <w:marBottom w:val="0"/>
      <w:divBdr>
        <w:top w:val="none" w:sz="0" w:space="0" w:color="auto"/>
        <w:left w:val="none" w:sz="0" w:space="0" w:color="auto"/>
        <w:bottom w:val="none" w:sz="0" w:space="0" w:color="auto"/>
        <w:right w:val="none" w:sz="0" w:space="0" w:color="auto"/>
      </w:divBdr>
      <w:divsChild>
        <w:div w:id="70853817">
          <w:marLeft w:val="480"/>
          <w:marRight w:val="0"/>
          <w:marTop w:val="0"/>
          <w:marBottom w:val="0"/>
          <w:divBdr>
            <w:top w:val="none" w:sz="0" w:space="0" w:color="auto"/>
            <w:left w:val="none" w:sz="0" w:space="0" w:color="auto"/>
            <w:bottom w:val="none" w:sz="0" w:space="0" w:color="auto"/>
            <w:right w:val="none" w:sz="0" w:space="0" w:color="auto"/>
          </w:divBdr>
        </w:div>
        <w:div w:id="75632288">
          <w:marLeft w:val="480"/>
          <w:marRight w:val="0"/>
          <w:marTop w:val="0"/>
          <w:marBottom w:val="0"/>
          <w:divBdr>
            <w:top w:val="none" w:sz="0" w:space="0" w:color="auto"/>
            <w:left w:val="none" w:sz="0" w:space="0" w:color="auto"/>
            <w:bottom w:val="none" w:sz="0" w:space="0" w:color="auto"/>
            <w:right w:val="none" w:sz="0" w:space="0" w:color="auto"/>
          </w:divBdr>
        </w:div>
        <w:div w:id="170142757">
          <w:marLeft w:val="480"/>
          <w:marRight w:val="0"/>
          <w:marTop w:val="0"/>
          <w:marBottom w:val="0"/>
          <w:divBdr>
            <w:top w:val="none" w:sz="0" w:space="0" w:color="auto"/>
            <w:left w:val="none" w:sz="0" w:space="0" w:color="auto"/>
            <w:bottom w:val="none" w:sz="0" w:space="0" w:color="auto"/>
            <w:right w:val="none" w:sz="0" w:space="0" w:color="auto"/>
          </w:divBdr>
        </w:div>
        <w:div w:id="199519862">
          <w:marLeft w:val="480"/>
          <w:marRight w:val="0"/>
          <w:marTop w:val="0"/>
          <w:marBottom w:val="0"/>
          <w:divBdr>
            <w:top w:val="none" w:sz="0" w:space="0" w:color="auto"/>
            <w:left w:val="none" w:sz="0" w:space="0" w:color="auto"/>
            <w:bottom w:val="none" w:sz="0" w:space="0" w:color="auto"/>
            <w:right w:val="none" w:sz="0" w:space="0" w:color="auto"/>
          </w:divBdr>
        </w:div>
        <w:div w:id="594635967">
          <w:marLeft w:val="480"/>
          <w:marRight w:val="0"/>
          <w:marTop w:val="0"/>
          <w:marBottom w:val="0"/>
          <w:divBdr>
            <w:top w:val="none" w:sz="0" w:space="0" w:color="auto"/>
            <w:left w:val="none" w:sz="0" w:space="0" w:color="auto"/>
            <w:bottom w:val="none" w:sz="0" w:space="0" w:color="auto"/>
            <w:right w:val="none" w:sz="0" w:space="0" w:color="auto"/>
          </w:divBdr>
        </w:div>
        <w:div w:id="653530133">
          <w:marLeft w:val="480"/>
          <w:marRight w:val="0"/>
          <w:marTop w:val="0"/>
          <w:marBottom w:val="0"/>
          <w:divBdr>
            <w:top w:val="none" w:sz="0" w:space="0" w:color="auto"/>
            <w:left w:val="none" w:sz="0" w:space="0" w:color="auto"/>
            <w:bottom w:val="none" w:sz="0" w:space="0" w:color="auto"/>
            <w:right w:val="none" w:sz="0" w:space="0" w:color="auto"/>
          </w:divBdr>
        </w:div>
        <w:div w:id="894777783">
          <w:marLeft w:val="480"/>
          <w:marRight w:val="0"/>
          <w:marTop w:val="0"/>
          <w:marBottom w:val="0"/>
          <w:divBdr>
            <w:top w:val="none" w:sz="0" w:space="0" w:color="auto"/>
            <w:left w:val="none" w:sz="0" w:space="0" w:color="auto"/>
            <w:bottom w:val="none" w:sz="0" w:space="0" w:color="auto"/>
            <w:right w:val="none" w:sz="0" w:space="0" w:color="auto"/>
          </w:divBdr>
        </w:div>
        <w:div w:id="1464229980">
          <w:marLeft w:val="480"/>
          <w:marRight w:val="0"/>
          <w:marTop w:val="0"/>
          <w:marBottom w:val="0"/>
          <w:divBdr>
            <w:top w:val="none" w:sz="0" w:space="0" w:color="auto"/>
            <w:left w:val="none" w:sz="0" w:space="0" w:color="auto"/>
            <w:bottom w:val="none" w:sz="0" w:space="0" w:color="auto"/>
            <w:right w:val="none" w:sz="0" w:space="0" w:color="auto"/>
          </w:divBdr>
        </w:div>
        <w:div w:id="2057312959">
          <w:marLeft w:val="480"/>
          <w:marRight w:val="0"/>
          <w:marTop w:val="0"/>
          <w:marBottom w:val="0"/>
          <w:divBdr>
            <w:top w:val="none" w:sz="0" w:space="0" w:color="auto"/>
            <w:left w:val="none" w:sz="0" w:space="0" w:color="auto"/>
            <w:bottom w:val="none" w:sz="0" w:space="0" w:color="auto"/>
            <w:right w:val="none" w:sz="0" w:space="0" w:color="auto"/>
          </w:divBdr>
        </w:div>
      </w:divsChild>
    </w:div>
    <w:div w:id="929898566">
      <w:marLeft w:val="480"/>
      <w:marRight w:val="0"/>
      <w:marTop w:val="0"/>
      <w:marBottom w:val="0"/>
      <w:divBdr>
        <w:top w:val="none" w:sz="0" w:space="0" w:color="auto"/>
        <w:left w:val="none" w:sz="0" w:space="0" w:color="auto"/>
        <w:bottom w:val="none" w:sz="0" w:space="0" w:color="auto"/>
        <w:right w:val="none" w:sz="0" w:space="0" w:color="auto"/>
      </w:divBdr>
    </w:div>
    <w:div w:id="932589976">
      <w:marLeft w:val="480"/>
      <w:marRight w:val="0"/>
      <w:marTop w:val="0"/>
      <w:marBottom w:val="0"/>
      <w:divBdr>
        <w:top w:val="none" w:sz="0" w:space="0" w:color="auto"/>
        <w:left w:val="none" w:sz="0" w:space="0" w:color="auto"/>
        <w:bottom w:val="none" w:sz="0" w:space="0" w:color="auto"/>
        <w:right w:val="none" w:sz="0" w:space="0" w:color="auto"/>
      </w:divBdr>
    </w:div>
    <w:div w:id="933049493">
      <w:marLeft w:val="480"/>
      <w:marRight w:val="0"/>
      <w:marTop w:val="0"/>
      <w:marBottom w:val="0"/>
      <w:divBdr>
        <w:top w:val="none" w:sz="0" w:space="0" w:color="auto"/>
        <w:left w:val="none" w:sz="0" w:space="0" w:color="auto"/>
        <w:bottom w:val="none" w:sz="0" w:space="0" w:color="auto"/>
        <w:right w:val="none" w:sz="0" w:space="0" w:color="auto"/>
      </w:divBdr>
    </w:div>
    <w:div w:id="933592399">
      <w:bodyDiv w:val="1"/>
      <w:marLeft w:val="0"/>
      <w:marRight w:val="0"/>
      <w:marTop w:val="0"/>
      <w:marBottom w:val="0"/>
      <w:divBdr>
        <w:top w:val="none" w:sz="0" w:space="0" w:color="auto"/>
        <w:left w:val="none" w:sz="0" w:space="0" w:color="auto"/>
        <w:bottom w:val="none" w:sz="0" w:space="0" w:color="auto"/>
        <w:right w:val="none" w:sz="0" w:space="0" w:color="auto"/>
      </w:divBdr>
    </w:div>
    <w:div w:id="934361407">
      <w:marLeft w:val="480"/>
      <w:marRight w:val="0"/>
      <w:marTop w:val="0"/>
      <w:marBottom w:val="0"/>
      <w:divBdr>
        <w:top w:val="none" w:sz="0" w:space="0" w:color="auto"/>
        <w:left w:val="none" w:sz="0" w:space="0" w:color="auto"/>
        <w:bottom w:val="none" w:sz="0" w:space="0" w:color="auto"/>
        <w:right w:val="none" w:sz="0" w:space="0" w:color="auto"/>
      </w:divBdr>
    </w:div>
    <w:div w:id="934440137">
      <w:bodyDiv w:val="1"/>
      <w:marLeft w:val="0"/>
      <w:marRight w:val="0"/>
      <w:marTop w:val="0"/>
      <w:marBottom w:val="0"/>
      <w:divBdr>
        <w:top w:val="none" w:sz="0" w:space="0" w:color="auto"/>
        <w:left w:val="none" w:sz="0" w:space="0" w:color="auto"/>
        <w:bottom w:val="none" w:sz="0" w:space="0" w:color="auto"/>
        <w:right w:val="none" w:sz="0" w:space="0" w:color="auto"/>
      </w:divBdr>
      <w:divsChild>
        <w:div w:id="465659599">
          <w:marLeft w:val="0"/>
          <w:marRight w:val="0"/>
          <w:marTop w:val="0"/>
          <w:marBottom w:val="0"/>
          <w:divBdr>
            <w:top w:val="none" w:sz="0" w:space="0" w:color="auto"/>
            <w:left w:val="none" w:sz="0" w:space="0" w:color="auto"/>
            <w:bottom w:val="none" w:sz="0" w:space="0" w:color="auto"/>
            <w:right w:val="none" w:sz="0" w:space="0" w:color="auto"/>
          </w:divBdr>
          <w:divsChild>
            <w:div w:id="829373588">
              <w:marLeft w:val="0"/>
              <w:marRight w:val="0"/>
              <w:marTop w:val="0"/>
              <w:marBottom w:val="0"/>
              <w:divBdr>
                <w:top w:val="none" w:sz="0" w:space="0" w:color="auto"/>
                <w:left w:val="none" w:sz="0" w:space="0" w:color="auto"/>
                <w:bottom w:val="none" w:sz="0" w:space="0" w:color="auto"/>
                <w:right w:val="none" w:sz="0" w:space="0" w:color="auto"/>
              </w:divBdr>
              <w:divsChild>
                <w:div w:id="220334152">
                  <w:marLeft w:val="0"/>
                  <w:marRight w:val="0"/>
                  <w:marTop w:val="0"/>
                  <w:marBottom w:val="0"/>
                  <w:divBdr>
                    <w:top w:val="none" w:sz="0" w:space="0" w:color="auto"/>
                    <w:left w:val="none" w:sz="0" w:space="0" w:color="auto"/>
                    <w:bottom w:val="none" w:sz="0" w:space="0" w:color="auto"/>
                    <w:right w:val="none" w:sz="0" w:space="0" w:color="auto"/>
                  </w:divBdr>
                  <w:divsChild>
                    <w:div w:id="92248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787840">
      <w:marLeft w:val="480"/>
      <w:marRight w:val="0"/>
      <w:marTop w:val="0"/>
      <w:marBottom w:val="0"/>
      <w:divBdr>
        <w:top w:val="none" w:sz="0" w:space="0" w:color="auto"/>
        <w:left w:val="none" w:sz="0" w:space="0" w:color="auto"/>
        <w:bottom w:val="none" w:sz="0" w:space="0" w:color="auto"/>
        <w:right w:val="none" w:sz="0" w:space="0" w:color="auto"/>
      </w:divBdr>
    </w:div>
    <w:div w:id="938829935">
      <w:marLeft w:val="480"/>
      <w:marRight w:val="0"/>
      <w:marTop w:val="0"/>
      <w:marBottom w:val="0"/>
      <w:divBdr>
        <w:top w:val="none" w:sz="0" w:space="0" w:color="auto"/>
        <w:left w:val="none" w:sz="0" w:space="0" w:color="auto"/>
        <w:bottom w:val="none" w:sz="0" w:space="0" w:color="auto"/>
        <w:right w:val="none" w:sz="0" w:space="0" w:color="auto"/>
      </w:divBdr>
    </w:div>
    <w:div w:id="939218844">
      <w:marLeft w:val="480"/>
      <w:marRight w:val="0"/>
      <w:marTop w:val="0"/>
      <w:marBottom w:val="0"/>
      <w:divBdr>
        <w:top w:val="none" w:sz="0" w:space="0" w:color="auto"/>
        <w:left w:val="none" w:sz="0" w:space="0" w:color="auto"/>
        <w:bottom w:val="none" w:sz="0" w:space="0" w:color="auto"/>
        <w:right w:val="none" w:sz="0" w:space="0" w:color="auto"/>
      </w:divBdr>
    </w:div>
    <w:div w:id="940794188">
      <w:marLeft w:val="480"/>
      <w:marRight w:val="0"/>
      <w:marTop w:val="0"/>
      <w:marBottom w:val="0"/>
      <w:divBdr>
        <w:top w:val="none" w:sz="0" w:space="0" w:color="auto"/>
        <w:left w:val="none" w:sz="0" w:space="0" w:color="auto"/>
        <w:bottom w:val="none" w:sz="0" w:space="0" w:color="auto"/>
        <w:right w:val="none" w:sz="0" w:space="0" w:color="auto"/>
      </w:divBdr>
    </w:div>
    <w:div w:id="942566191">
      <w:bodyDiv w:val="1"/>
      <w:marLeft w:val="0"/>
      <w:marRight w:val="0"/>
      <w:marTop w:val="0"/>
      <w:marBottom w:val="0"/>
      <w:divBdr>
        <w:top w:val="none" w:sz="0" w:space="0" w:color="auto"/>
        <w:left w:val="none" w:sz="0" w:space="0" w:color="auto"/>
        <w:bottom w:val="none" w:sz="0" w:space="0" w:color="auto"/>
        <w:right w:val="none" w:sz="0" w:space="0" w:color="auto"/>
      </w:divBdr>
      <w:divsChild>
        <w:div w:id="16392650">
          <w:marLeft w:val="0"/>
          <w:marRight w:val="0"/>
          <w:marTop w:val="0"/>
          <w:marBottom w:val="0"/>
          <w:divBdr>
            <w:top w:val="none" w:sz="0" w:space="0" w:color="auto"/>
            <w:left w:val="none" w:sz="0" w:space="0" w:color="auto"/>
            <w:bottom w:val="none" w:sz="0" w:space="0" w:color="auto"/>
            <w:right w:val="none" w:sz="0" w:space="0" w:color="auto"/>
          </w:divBdr>
        </w:div>
        <w:div w:id="70351199">
          <w:marLeft w:val="0"/>
          <w:marRight w:val="0"/>
          <w:marTop w:val="0"/>
          <w:marBottom w:val="0"/>
          <w:divBdr>
            <w:top w:val="none" w:sz="0" w:space="0" w:color="auto"/>
            <w:left w:val="none" w:sz="0" w:space="0" w:color="auto"/>
            <w:bottom w:val="none" w:sz="0" w:space="0" w:color="auto"/>
            <w:right w:val="none" w:sz="0" w:space="0" w:color="auto"/>
          </w:divBdr>
        </w:div>
        <w:div w:id="479228904">
          <w:marLeft w:val="0"/>
          <w:marRight w:val="0"/>
          <w:marTop w:val="0"/>
          <w:marBottom w:val="0"/>
          <w:divBdr>
            <w:top w:val="none" w:sz="0" w:space="0" w:color="auto"/>
            <w:left w:val="none" w:sz="0" w:space="0" w:color="auto"/>
            <w:bottom w:val="none" w:sz="0" w:space="0" w:color="auto"/>
            <w:right w:val="none" w:sz="0" w:space="0" w:color="auto"/>
          </w:divBdr>
        </w:div>
        <w:div w:id="481043529">
          <w:marLeft w:val="0"/>
          <w:marRight w:val="0"/>
          <w:marTop w:val="0"/>
          <w:marBottom w:val="0"/>
          <w:divBdr>
            <w:top w:val="none" w:sz="0" w:space="0" w:color="auto"/>
            <w:left w:val="none" w:sz="0" w:space="0" w:color="auto"/>
            <w:bottom w:val="none" w:sz="0" w:space="0" w:color="auto"/>
            <w:right w:val="none" w:sz="0" w:space="0" w:color="auto"/>
          </w:divBdr>
        </w:div>
        <w:div w:id="604196101">
          <w:marLeft w:val="0"/>
          <w:marRight w:val="0"/>
          <w:marTop w:val="0"/>
          <w:marBottom w:val="0"/>
          <w:divBdr>
            <w:top w:val="none" w:sz="0" w:space="0" w:color="auto"/>
            <w:left w:val="none" w:sz="0" w:space="0" w:color="auto"/>
            <w:bottom w:val="none" w:sz="0" w:space="0" w:color="auto"/>
            <w:right w:val="none" w:sz="0" w:space="0" w:color="auto"/>
          </w:divBdr>
        </w:div>
        <w:div w:id="804541384">
          <w:marLeft w:val="-75"/>
          <w:marRight w:val="0"/>
          <w:marTop w:val="30"/>
          <w:marBottom w:val="30"/>
          <w:divBdr>
            <w:top w:val="none" w:sz="0" w:space="0" w:color="auto"/>
            <w:left w:val="none" w:sz="0" w:space="0" w:color="auto"/>
            <w:bottom w:val="none" w:sz="0" w:space="0" w:color="auto"/>
            <w:right w:val="none" w:sz="0" w:space="0" w:color="auto"/>
          </w:divBdr>
          <w:divsChild>
            <w:div w:id="391390871">
              <w:marLeft w:val="0"/>
              <w:marRight w:val="0"/>
              <w:marTop w:val="0"/>
              <w:marBottom w:val="0"/>
              <w:divBdr>
                <w:top w:val="none" w:sz="0" w:space="0" w:color="auto"/>
                <w:left w:val="none" w:sz="0" w:space="0" w:color="auto"/>
                <w:bottom w:val="none" w:sz="0" w:space="0" w:color="auto"/>
                <w:right w:val="none" w:sz="0" w:space="0" w:color="auto"/>
              </w:divBdr>
              <w:divsChild>
                <w:div w:id="80224973">
                  <w:marLeft w:val="0"/>
                  <w:marRight w:val="0"/>
                  <w:marTop w:val="0"/>
                  <w:marBottom w:val="0"/>
                  <w:divBdr>
                    <w:top w:val="none" w:sz="0" w:space="0" w:color="auto"/>
                    <w:left w:val="none" w:sz="0" w:space="0" w:color="auto"/>
                    <w:bottom w:val="none" w:sz="0" w:space="0" w:color="auto"/>
                    <w:right w:val="none" w:sz="0" w:space="0" w:color="auto"/>
                  </w:divBdr>
                </w:div>
                <w:div w:id="500321063">
                  <w:marLeft w:val="0"/>
                  <w:marRight w:val="0"/>
                  <w:marTop w:val="0"/>
                  <w:marBottom w:val="0"/>
                  <w:divBdr>
                    <w:top w:val="none" w:sz="0" w:space="0" w:color="auto"/>
                    <w:left w:val="none" w:sz="0" w:space="0" w:color="auto"/>
                    <w:bottom w:val="none" w:sz="0" w:space="0" w:color="auto"/>
                    <w:right w:val="none" w:sz="0" w:space="0" w:color="auto"/>
                  </w:divBdr>
                </w:div>
                <w:div w:id="632684701">
                  <w:marLeft w:val="0"/>
                  <w:marRight w:val="0"/>
                  <w:marTop w:val="0"/>
                  <w:marBottom w:val="0"/>
                  <w:divBdr>
                    <w:top w:val="none" w:sz="0" w:space="0" w:color="auto"/>
                    <w:left w:val="none" w:sz="0" w:space="0" w:color="auto"/>
                    <w:bottom w:val="none" w:sz="0" w:space="0" w:color="auto"/>
                    <w:right w:val="none" w:sz="0" w:space="0" w:color="auto"/>
                  </w:divBdr>
                </w:div>
                <w:div w:id="1111896929">
                  <w:marLeft w:val="0"/>
                  <w:marRight w:val="0"/>
                  <w:marTop w:val="0"/>
                  <w:marBottom w:val="0"/>
                  <w:divBdr>
                    <w:top w:val="none" w:sz="0" w:space="0" w:color="auto"/>
                    <w:left w:val="none" w:sz="0" w:space="0" w:color="auto"/>
                    <w:bottom w:val="none" w:sz="0" w:space="0" w:color="auto"/>
                    <w:right w:val="none" w:sz="0" w:space="0" w:color="auto"/>
                  </w:divBdr>
                </w:div>
              </w:divsChild>
            </w:div>
            <w:div w:id="820148588">
              <w:marLeft w:val="0"/>
              <w:marRight w:val="0"/>
              <w:marTop w:val="0"/>
              <w:marBottom w:val="0"/>
              <w:divBdr>
                <w:top w:val="none" w:sz="0" w:space="0" w:color="auto"/>
                <w:left w:val="none" w:sz="0" w:space="0" w:color="auto"/>
                <w:bottom w:val="none" w:sz="0" w:space="0" w:color="auto"/>
                <w:right w:val="none" w:sz="0" w:space="0" w:color="auto"/>
              </w:divBdr>
              <w:divsChild>
                <w:div w:id="19295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34178">
          <w:marLeft w:val="0"/>
          <w:marRight w:val="0"/>
          <w:marTop w:val="0"/>
          <w:marBottom w:val="0"/>
          <w:divBdr>
            <w:top w:val="none" w:sz="0" w:space="0" w:color="auto"/>
            <w:left w:val="none" w:sz="0" w:space="0" w:color="auto"/>
            <w:bottom w:val="none" w:sz="0" w:space="0" w:color="auto"/>
            <w:right w:val="none" w:sz="0" w:space="0" w:color="auto"/>
          </w:divBdr>
        </w:div>
        <w:div w:id="1414814414">
          <w:marLeft w:val="0"/>
          <w:marRight w:val="0"/>
          <w:marTop w:val="0"/>
          <w:marBottom w:val="0"/>
          <w:divBdr>
            <w:top w:val="none" w:sz="0" w:space="0" w:color="auto"/>
            <w:left w:val="none" w:sz="0" w:space="0" w:color="auto"/>
            <w:bottom w:val="none" w:sz="0" w:space="0" w:color="auto"/>
            <w:right w:val="none" w:sz="0" w:space="0" w:color="auto"/>
          </w:divBdr>
        </w:div>
        <w:div w:id="1440566054">
          <w:marLeft w:val="0"/>
          <w:marRight w:val="0"/>
          <w:marTop w:val="0"/>
          <w:marBottom w:val="0"/>
          <w:divBdr>
            <w:top w:val="none" w:sz="0" w:space="0" w:color="auto"/>
            <w:left w:val="none" w:sz="0" w:space="0" w:color="auto"/>
            <w:bottom w:val="none" w:sz="0" w:space="0" w:color="auto"/>
            <w:right w:val="none" w:sz="0" w:space="0" w:color="auto"/>
          </w:divBdr>
        </w:div>
        <w:div w:id="1522403028">
          <w:marLeft w:val="0"/>
          <w:marRight w:val="0"/>
          <w:marTop w:val="0"/>
          <w:marBottom w:val="0"/>
          <w:divBdr>
            <w:top w:val="none" w:sz="0" w:space="0" w:color="auto"/>
            <w:left w:val="none" w:sz="0" w:space="0" w:color="auto"/>
            <w:bottom w:val="none" w:sz="0" w:space="0" w:color="auto"/>
            <w:right w:val="none" w:sz="0" w:space="0" w:color="auto"/>
          </w:divBdr>
        </w:div>
        <w:div w:id="1530528855">
          <w:marLeft w:val="-75"/>
          <w:marRight w:val="0"/>
          <w:marTop w:val="30"/>
          <w:marBottom w:val="30"/>
          <w:divBdr>
            <w:top w:val="none" w:sz="0" w:space="0" w:color="auto"/>
            <w:left w:val="none" w:sz="0" w:space="0" w:color="auto"/>
            <w:bottom w:val="none" w:sz="0" w:space="0" w:color="auto"/>
            <w:right w:val="none" w:sz="0" w:space="0" w:color="auto"/>
          </w:divBdr>
          <w:divsChild>
            <w:div w:id="494803189">
              <w:marLeft w:val="0"/>
              <w:marRight w:val="0"/>
              <w:marTop w:val="0"/>
              <w:marBottom w:val="0"/>
              <w:divBdr>
                <w:top w:val="none" w:sz="0" w:space="0" w:color="auto"/>
                <w:left w:val="none" w:sz="0" w:space="0" w:color="auto"/>
                <w:bottom w:val="none" w:sz="0" w:space="0" w:color="auto"/>
                <w:right w:val="none" w:sz="0" w:space="0" w:color="auto"/>
              </w:divBdr>
              <w:divsChild>
                <w:div w:id="1345399455">
                  <w:marLeft w:val="0"/>
                  <w:marRight w:val="0"/>
                  <w:marTop w:val="0"/>
                  <w:marBottom w:val="0"/>
                  <w:divBdr>
                    <w:top w:val="none" w:sz="0" w:space="0" w:color="auto"/>
                    <w:left w:val="none" w:sz="0" w:space="0" w:color="auto"/>
                    <w:bottom w:val="none" w:sz="0" w:space="0" w:color="auto"/>
                    <w:right w:val="none" w:sz="0" w:space="0" w:color="auto"/>
                  </w:divBdr>
                </w:div>
                <w:div w:id="1970623272">
                  <w:marLeft w:val="0"/>
                  <w:marRight w:val="0"/>
                  <w:marTop w:val="0"/>
                  <w:marBottom w:val="0"/>
                  <w:divBdr>
                    <w:top w:val="none" w:sz="0" w:space="0" w:color="auto"/>
                    <w:left w:val="none" w:sz="0" w:space="0" w:color="auto"/>
                    <w:bottom w:val="none" w:sz="0" w:space="0" w:color="auto"/>
                    <w:right w:val="none" w:sz="0" w:space="0" w:color="auto"/>
                  </w:divBdr>
                </w:div>
              </w:divsChild>
            </w:div>
            <w:div w:id="1139111320">
              <w:marLeft w:val="0"/>
              <w:marRight w:val="0"/>
              <w:marTop w:val="0"/>
              <w:marBottom w:val="0"/>
              <w:divBdr>
                <w:top w:val="none" w:sz="0" w:space="0" w:color="auto"/>
                <w:left w:val="none" w:sz="0" w:space="0" w:color="auto"/>
                <w:bottom w:val="none" w:sz="0" w:space="0" w:color="auto"/>
                <w:right w:val="none" w:sz="0" w:space="0" w:color="auto"/>
              </w:divBdr>
              <w:divsChild>
                <w:div w:id="1692606188">
                  <w:marLeft w:val="0"/>
                  <w:marRight w:val="0"/>
                  <w:marTop w:val="0"/>
                  <w:marBottom w:val="0"/>
                  <w:divBdr>
                    <w:top w:val="none" w:sz="0" w:space="0" w:color="auto"/>
                    <w:left w:val="none" w:sz="0" w:space="0" w:color="auto"/>
                    <w:bottom w:val="none" w:sz="0" w:space="0" w:color="auto"/>
                    <w:right w:val="none" w:sz="0" w:space="0" w:color="auto"/>
                  </w:divBdr>
                </w:div>
              </w:divsChild>
            </w:div>
            <w:div w:id="1143735241">
              <w:marLeft w:val="0"/>
              <w:marRight w:val="0"/>
              <w:marTop w:val="0"/>
              <w:marBottom w:val="0"/>
              <w:divBdr>
                <w:top w:val="none" w:sz="0" w:space="0" w:color="auto"/>
                <w:left w:val="none" w:sz="0" w:space="0" w:color="auto"/>
                <w:bottom w:val="none" w:sz="0" w:space="0" w:color="auto"/>
                <w:right w:val="none" w:sz="0" w:space="0" w:color="auto"/>
              </w:divBdr>
            </w:div>
            <w:div w:id="1318537692">
              <w:marLeft w:val="0"/>
              <w:marRight w:val="0"/>
              <w:marTop w:val="0"/>
              <w:marBottom w:val="0"/>
              <w:divBdr>
                <w:top w:val="none" w:sz="0" w:space="0" w:color="auto"/>
                <w:left w:val="none" w:sz="0" w:space="0" w:color="auto"/>
                <w:bottom w:val="none" w:sz="0" w:space="0" w:color="auto"/>
                <w:right w:val="none" w:sz="0" w:space="0" w:color="auto"/>
              </w:divBdr>
              <w:divsChild>
                <w:div w:id="710108696">
                  <w:marLeft w:val="0"/>
                  <w:marRight w:val="0"/>
                  <w:marTop w:val="0"/>
                  <w:marBottom w:val="0"/>
                  <w:divBdr>
                    <w:top w:val="none" w:sz="0" w:space="0" w:color="auto"/>
                    <w:left w:val="none" w:sz="0" w:space="0" w:color="auto"/>
                    <w:bottom w:val="none" w:sz="0" w:space="0" w:color="auto"/>
                    <w:right w:val="none" w:sz="0" w:space="0" w:color="auto"/>
                  </w:divBdr>
                </w:div>
              </w:divsChild>
            </w:div>
            <w:div w:id="1699235856">
              <w:marLeft w:val="0"/>
              <w:marRight w:val="0"/>
              <w:marTop w:val="0"/>
              <w:marBottom w:val="0"/>
              <w:divBdr>
                <w:top w:val="none" w:sz="0" w:space="0" w:color="auto"/>
                <w:left w:val="none" w:sz="0" w:space="0" w:color="auto"/>
                <w:bottom w:val="none" w:sz="0" w:space="0" w:color="auto"/>
                <w:right w:val="none" w:sz="0" w:space="0" w:color="auto"/>
              </w:divBdr>
              <w:divsChild>
                <w:div w:id="1950812060">
                  <w:marLeft w:val="0"/>
                  <w:marRight w:val="0"/>
                  <w:marTop w:val="0"/>
                  <w:marBottom w:val="0"/>
                  <w:divBdr>
                    <w:top w:val="none" w:sz="0" w:space="0" w:color="auto"/>
                    <w:left w:val="none" w:sz="0" w:space="0" w:color="auto"/>
                    <w:bottom w:val="none" w:sz="0" w:space="0" w:color="auto"/>
                    <w:right w:val="none" w:sz="0" w:space="0" w:color="auto"/>
                  </w:divBdr>
                </w:div>
              </w:divsChild>
            </w:div>
            <w:div w:id="1792699366">
              <w:marLeft w:val="0"/>
              <w:marRight w:val="0"/>
              <w:marTop w:val="0"/>
              <w:marBottom w:val="0"/>
              <w:divBdr>
                <w:top w:val="none" w:sz="0" w:space="0" w:color="auto"/>
                <w:left w:val="none" w:sz="0" w:space="0" w:color="auto"/>
                <w:bottom w:val="none" w:sz="0" w:space="0" w:color="auto"/>
                <w:right w:val="none" w:sz="0" w:space="0" w:color="auto"/>
              </w:divBdr>
              <w:divsChild>
                <w:div w:id="125582783">
                  <w:marLeft w:val="0"/>
                  <w:marRight w:val="0"/>
                  <w:marTop w:val="0"/>
                  <w:marBottom w:val="0"/>
                  <w:divBdr>
                    <w:top w:val="none" w:sz="0" w:space="0" w:color="auto"/>
                    <w:left w:val="none" w:sz="0" w:space="0" w:color="auto"/>
                    <w:bottom w:val="none" w:sz="0" w:space="0" w:color="auto"/>
                    <w:right w:val="none" w:sz="0" w:space="0" w:color="auto"/>
                  </w:divBdr>
                </w:div>
              </w:divsChild>
            </w:div>
            <w:div w:id="1958871792">
              <w:marLeft w:val="0"/>
              <w:marRight w:val="0"/>
              <w:marTop w:val="0"/>
              <w:marBottom w:val="0"/>
              <w:divBdr>
                <w:top w:val="none" w:sz="0" w:space="0" w:color="auto"/>
                <w:left w:val="none" w:sz="0" w:space="0" w:color="auto"/>
                <w:bottom w:val="none" w:sz="0" w:space="0" w:color="auto"/>
                <w:right w:val="none" w:sz="0" w:space="0" w:color="auto"/>
              </w:divBdr>
              <w:divsChild>
                <w:div w:id="184681552">
                  <w:marLeft w:val="0"/>
                  <w:marRight w:val="0"/>
                  <w:marTop w:val="0"/>
                  <w:marBottom w:val="0"/>
                  <w:divBdr>
                    <w:top w:val="none" w:sz="0" w:space="0" w:color="auto"/>
                    <w:left w:val="none" w:sz="0" w:space="0" w:color="auto"/>
                    <w:bottom w:val="none" w:sz="0" w:space="0" w:color="auto"/>
                    <w:right w:val="none" w:sz="0" w:space="0" w:color="auto"/>
                  </w:divBdr>
                </w:div>
              </w:divsChild>
            </w:div>
            <w:div w:id="2019232192">
              <w:marLeft w:val="0"/>
              <w:marRight w:val="0"/>
              <w:marTop w:val="0"/>
              <w:marBottom w:val="0"/>
              <w:divBdr>
                <w:top w:val="none" w:sz="0" w:space="0" w:color="auto"/>
                <w:left w:val="none" w:sz="0" w:space="0" w:color="auto"/>
                <w:bottom w:val="none" w:sz="0" w:space="0" w:color="auto"/>
                <w:right w:val="none" w:sz="0" w:space="0" w:color="auto"/>
              </w:divBdr>
              <w:divsChild>
                <w:div w:id="726416832">
                  <w:marLeft w:val="0"/>
                  <w:marRight w:val="0"/>
                  <w:marTop w:val="0"/>
                  <w:marBottom w:val="0"/>
                  <w:divBdr>
                    <w:top w:val="none" w:sz="0" w:space="0" w:color="auto"/>
                    <w:left w:val="none" w:sz="0" w:space="0" w:color="auto"/>
                    <w:bottom w:val="none" w:sz="0" w:space="0" w:color="auto"/>
                    <w:right w:val="none" w:sz="0" w:space="0" w:color="auto"/>
                  </w:divBdr>
                </w:div>
              </w:divsChild>
            </w:div>
            <w:div w:id="2146896315">
              <w:marLeft w:val="0"/>
              <w:marRight w:val="0"/>
              <w:marTop w:val="0"/>
              <w:marBottom w:val="0"/>
              <w:divBdr>
                <w:top w:val="none" w:sz="0" w:space="0" w:color="auto"/>
                <w:left w:val="none" w:sz="0" w:space="0" w:color="auto"/>
                <w:bottom w:val="none" w:sz="0" w:space="0" w:color="auto"/>
                <w:right w:val="none" w:sz="0" w:space="0" w:color="auto"/>
              </w:divBdr>
              <w:divsChild>
                <w:div w:id="92094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4699">
          <w:marLeft w:val="0"/>
          <w:marRight w:val="0"/>
          <w:marTop w:val="0"/>
          <w:marBottom w:val="0"/>
          <w:divBdr>
            <w:top w:val="none" w:sz="0" w:space="0" w:color="auto"/>
            <w:left w:val="none" w:sz="0" w:space="0" w:color="auto"/>
            <w:bottom w:val="none" w:sz="0" w:space="0" w:color="auto"/>
            <w:right w:val="none" w:sz="0" w:space="0" w:color="auto"/>
          </w:divBdr>
        </w:div>
        <w:div w:id="1673338687">
          <w:marLeft w:val="0"/>
          <w:marRight w:val="0"/>
          <w:marTop w:val="0"/>
          <w:marBottom w:val="0"/>
          <w:divBdr>
            <w:top w:val="none" w:sz="0" w:space="0" w:color="auto"/>
            <w:left w:val="none" w:sz="0" w:space="0" w:color="auto"/>
            <w:bottom w:val="none" w:sz="0" w:space="0" w:color="auto"/>
            <w:right w:val="none" w:sz="0" w:space="0" w:color="auto"/>
          </w:divBdr>
        </w:div>
        <w:div w:id="1684698661">
          <w:marLeft w:val="0"/>
          <w:marRight w:val="0"/>
          <w:marTop w:val="0"/>
          <w:marBottom w:val="0"/>
          <w:divBdr>
            <w:top w:val="none" w:sz="0" w:space="0" w:color="auto"/>
            <w:left w:val="none" w:sz="0" w:space="0" w:color="auto"/>
            <w:bottom w:val="none" w:sz="0" w:space="0" w:color="auto"/>
            <w:right w:val="none" w:sz="0" w:space="0" w:color="auto"/>
          </w:divBdr>
        </w:div>
        <w:div w:id="1706637955">
          <w:marLeft w:val="0"/>
          <w:marRight w:val="0"/>
          <w:marTop w:val="0"/>
          <w:marBottom w:val="0"/>
          <w:divBdr>
            <w:top w:val="none" w:sz="0" w:space="0" w:color="auto"/>
            <w:left w:val="none" w:sz="0" w:space="0" w:color="auto"/>
            <w:bottom w:val="none" w:sz="0" w:space="0" w:color="auto"/>
            <w:right w:val="none" w:sz="0" w:space="0" w:color="auto"/>
          </w:divBdr>
        </w:div>
        <w:div w:id="1853299589">
          <w:marLeft w:val="0"/>
          <w:marRight w:val="0"/>
          <w:marTop w:val="0"/>
          <w:marBottom w:val="0"/>
          <w:divBdr>
            <w:top w:val="none" w:sz="0" w:space="0" w:color="auto"/>
            <w:left w:val="none" w:sz="0" w:space="0" w:color="auto"/>
            <w:bottom w:val="none" w:sz="0" w:space="0" w:color="auto"/>
            <w:right w:val="none" w:sz="0" w:space="0" w:color="auto"/>
          </w:divBdr>
        </w:div>
        <w:div w:id="1887259496">
          <w:marLeft w:val="-75"/>
          <w:marRight w:val="0"/>
          <w:marTop w:val="30"/>
          <w:marBottom w:val="30"/>
          <w:divBdr>
            <w:top w:val="none" w:sz="0" w:space="0" w:color="auto"/>
            <w:left w:val="none" w:sz="0" w:space="0" w:color="auto"/>
            <w:bottom w:val="none" w:sz="0" w:space="0" w:color="auto"/>
            <w:right w:val="none" w:sz="0" w:space="0" w:color="auto"/>
          </w:divBdr>
          <w:divsChild>
            <w:div w:id="537162828">
              <w:marLeft w:val="0"/>
              <w:marRight w:val="0"/>
              <w:marTop w:val="0"/>
              <w:marBottom w:val="0"/>
              <w:divBdr>
                <w:top w:val="none" w:sz="0" w:space="0" w:color="auto"/>
                <w:left w:val="none" w:sz="0" w:space="0" w:color="auto"/>
                <w:bottom w:val="none" w:sz="0" w:space="0" w:color="auto"/>
                <w:right w:val="none" w:sz="0" w:space="0" w:color="auto"/>
              </w:divBdr>
              <w:divsChild>
                <w:div w:id="1265722547">
                  <w:marLeft w:val="0"/>
                  <w:marRight w:val="0"/>
                  <w:marTop w:val="0"/>
                  <w:marBottom w:val="0"/>
                  <w:divBdr>
                    <w:top w:val="none" w:sz="0" w:space="0" w:color="auto"/>
                    <w:left w:val="none" w:sz="0" w:space="0" w:color="auto"/>
                    <w:bottom w:val="none" w:sz="0" w:space="0" w:color="auto"/>
                    <w:right w:val="none" w:sz="0" w:space="0" w:color="auto"/>
                  </w:divBdr>
                </w:div>
                <w:div w:id="1338196964">
                  <w:marLeft w:val="0"/>
                  <w:marRight w:val="0"/>
                  <w:marTop w:val="0"/>
                  <w:marBottom w:val="0"/>
                  <w:divBdr>
                    <w:top w:val="none" w:sz="0" w:space="0" w:color="auto"/>
                    <w:left w:val="none" w:sz="0" w:space="0" w:color="auto"/>
                    <w:bottom w:val="none" w:sz="0" w:space="0" w:color="auto"/>
                    <w:right w:val="none" w:sz="0" w:space="0" w:color="auto"/>
                  </w:divBdr>
                </w:div>
              </w:divsChild>
            </w:div>
            <w:div w:id="1094714716">
              <w:marLeft w:val="0"/>
              <w:marRight w:val="0"/>
              <w:marTop w:val="0"/>
              <w:marBottom w:val="0"/>
              <w:divBdr>
                <w:top w:val="none" w:sz="0" w:space="0" w:color="auto"/>
                <w:left w:val="none" w:sz="0" w:space="0" w:color="auto"/>
                <w:bottom w:val="none" w:sz="0" w:space="0" w:color="auto"/>
                <w:right w:val="none" w:sz="0" w:space="0" w:color="auto"/>
              </w:divBdr>
              <w:divsChild>
                <w:div w:id="7959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0203">
          <w:marLeft w:val="0"/>
          <w:marRight w:val="0"/>
          <w:marTop w:val="0"/>
          <w:marBottom w:val="0"/>
          <w:divBdr>
            <w:top w:val="none" w:sz="0" w:space="0" w:color="auto"/>
            <w:left w:val="none" w:sz="0" w:space="0" w:color="auto"/>
            <w:bottom w:val="none" w:sz="0" w:space="0" w:color="auto"/>
            <w:right w:val="none" w:sz="0" w:space="0" w:color="auto"/>
          </w:divBdr>
        </w:div>
        <w:div w:id="2062364518">
          <w:marLeft w:val="0"/>
          <w:marRight w:val="0"/>
          <w:marTop w:val="0"/>
          <w:marBottom w:val="0"/>
          <w:divBdr>
            <w:top w:val="none" w:sz="0" w:space="0" w:color="auto"/>
            <w:left w:val="none" w:sz="0" w:space="0" w:color="auto"/>
            <w:bottom w:val="none" w:sz="0" w:space="0" w:color="auto"/>
            <w:right w:val="none" w:sz="0" w:space="0" w:color="auto"/>
          </w:divBdr>
        </w:div>
        <w:div w:id="2074310669">
          <w:marLeft w:val="-75"/>
          <w:marRight w:val="0"/>
          <w:marTop w:val="30"/>
          <w:marBottom w:val="30"/>
          <w:divBdr>
            <w:top w:val="none" w:sz="0" w:space="0" w:color="auto"/>
            <w:left w:val="none" w:sz="0" w:space="0" w:color="auto"/>
            <w:bottom w:val="none" w:sz="0" w:space="0" w:color="auto"/>
            <w:right w:val="none" w:sz="0" w:space="0" w:color="auto"/>
          </w:divBdr>
          <w:divsChild>
            <w:div w:id="42217547">
              <w:marLeft w:val="0"/>
              <w:marRight w:val="0"/>
              <w:marTop w:val="0"/>
              <w:marBottom w:val="0"/>
              <w:divBdr>
                <w:top w:val="none" w:sz="0" w:space="0" w:color="auto"/>
                <w:left w:val="none" w:sz="0" w:space="0" w:color="auto"/>
                <w:bottom w:val="none" w:sz="0" w:space="0" w:color="auto"/>
                <w:right w:val="none" w:sz="0" w:space="0" w:color="auto"/>
              </w:divBdr>
              <w:divsChild>
                <w:div w:id="843400243">
                  <w:marLeft w:val="0"/>
                  <w:marRight w:val="0"/>
                  <w:marTop w:val="0"/>
                  <w:marBottom w:val="0"/>
                  <w:divBdr>
                    <w:top w:val="none" w:sz="0" w:space="0" w:color="auto"/>
                    <w:left w:val="none" w:sz="0" w:space="0" w:color="auto"/>
                    <w:bottom w:val="none" w:sz="0" w:space="0" w:color="auto"/>
                    <w:right w:val="none" w:sz="0" w:space="0" w:color="auto"/>
                  </w:divBdr>
                </w:div>
                <w:div w:id="1100416305">
                  <w:marLeft w:val="0"/>
                  <w:marRight w:val="0"/>
                  <w:marTop w:val="0"/>
                  <w:marBottom w:val="0"/>
                  <w:divBdr>
                    <w:top w:val="none" w:sz="0" w:space="0" w:color="auto"/>
                    <w:left w:val="none" w:sz="0" w:space="0" w:color="auto"/>
                    <w:bottom w:val="none" w:sz="0" w:space="0" w:color="auto"/>
                    <w:right w:val="none" w:sz="0" w:space="0" w:color="auto"/>
                  </w:divBdr>
                </w:div>
              </w:divsChild>
            </w:div>
            <w:div w:id="638874747">
              <w:marLeft w:val="0"/>
              <w:marRight w:val="0"/>
              <w:marTop w:val="0"/>
              <w:marBottom w:val="0"/>
              <w:divBdr>
                <w:top w:val="none" w:sz="0" w:space="0" w:color="auto"/>
                <w:left w:val="none" w:sz="0" w:space="0" w:color="auto"/>
                <w:bottom w:val="none" w:sz="0" w:space="0" w:color="auto"/>
                <w:right w:val="none" w:sz="0" w:space="0" w:color="auto"/>
              </w:divBdr>
              <w:divsChild>
                <w:div w:id="13184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8644">
          <w:marLeft w:val="0"/>
          <w:marRight w:val="0"/>
          <w:marTop w:val="0"/>
          <w:marBottom w:val="0"/>
          <w:divBdr>
            <w:top w:val="none" w:sz="0" w:space="0" w:color="auto"/>
            <w:left w:val="none" w:sz="0" w:space="0" w:color="auto"/>
            <w:bottom w:val="none" w:sz="0" w:space="0" w:color="auto"/>
            <w:right w:val="none" w:sz="0" w:space="0" w:color="auto"/>
          </w:divBdr>
        </w:div>
      </w:divsChild>
    </w:div>
    <w:div w:id="943074803">
      <w:marLeft w:val="480"/>
      <w:marRight w:val="0"/>
      <w:marTop w:val="0"/>
      <w:marBottom w:val="0"/>
      <w:divBdr>
        <w:top w:val="none" w:sz="0" w:space="0" w:color="auto"/>
        <w:left w:val="none" w:sz="0" w:space="0" w:color="auto"/>
        <w:bottom w:val="none" w:sz="0" w:space="0" w:color="auto"/>
        <w:right w:val="none" w:sz="0" w:space="0" w:color="auto"/>
      </w:divBdr>
    </w:div>
    <w:div w:id="943460634">
      <w:marLeft w:val="480"/>
      <w:marRight w:val="0"/>
      <w:marTop w:val="0"/>
      <w:marBottom w:val="0"/>
      <w:divBdr>
        <w:top w:val="none" w:sz="0" w:space="0" w:color="auto"/>
        <w:left w:val="none" w:sz="0" w:space="0" w:color="auto"/>
        <w:bottom w:val="none" w:sz="0" w:space="0" w:color="auto"/>
        <w:right w:val="none" w:sz="0" w:space="0" w:color="auto"/>
      </w:divBdr>
    </w:div>
    <w:div w:id="945582875">
      <w:marLeft w:val="480"/>
      <w:marRight w:val="0"/>
      <w:marTop w:val="0"/>
      <w:marBottom w:val="0"/>
      <w:divBdr>
        <w:top w:val="none" w:sz="0" w:space="0" w:color="auto"/>
        <w:left w:val="none" w:sz="0" w:space="0" w:color="auto"/>
        <w:bottom w:val="none" w:sz="0" w:space="0" w:color="auto"/>
        <w:right w:val="none" w:sz="0" w:space="0" w:color="auto"/>
      </w:divBdr>
    </w:div>
    <w:div w:id="945699099">
      <w:marLeft w:val="480"/>
      <w:marRight w:val="0"/>
      <w:marTop w:val="0"/>
      <w:marBottom w:val="0"/>
      <w:divBdr>
        <w:top w:val="none" w:sz="0" w:space="0" w:color="auto"/>
        <w:left w:val="none" w:sz="0" w:space="0" w:color="auto"/>
        <w:bottom w:val="none" w:sz="0" w:space="0" w:color="auto"/>
        <w:right w:val="none" w:sz="0" w:space="0" w:color="auto"/>
      </w:divBdr>
    </w:div>
    <w:div w:id="946235988">
      <w:bodyDiv w:val="1"/>
      <w:marLeft w:val="0"/>
      <w:marRight w:val="0"/>
      <w:marTop w:val="0"/>
      <w:marBottom w:val="0"/>
      <w:divBdr>
        <w:top w:val="none" w:sz="0" w:space="0" w:color="auto"/>
        <w:left w:val="none" w:sz="0" w:space="0" w:color="auto"/>
        <w:bottom w:val="none" w:sz="0" w:space="0" w:color="auto"/>
        <w:right w:val="none" w:sz="0" w:space="0" w:color="auto"/>
      </w:divBdr>
      <w:divsChild>
        <w:div w:id="23673626">
          <w:marLeft w:val="0"/>
          <w:marRight w:val="0"/>
          <w:marTop w:val="0"/>
          <w:marBottom w:val="0"/>
          <w:divBdr>
            <w:top w:val="none" w:sz="0" w:space="0" w:color="auto"/>
            <w:left w:val="none" w:sz="0" w:space="0" w:color="auto"/>
            <w:bottom w:val="none" w:sz="0" w:space="0" w:color="auto"/>
            <w:right w:val="none" w:sz="0" w:space="0" w:color="auto"/>
          </w:divBdr>
          <w:divsChild>
            <w:div w:id="1307930445">
              <w:marLeft w:val="-75"/>
              <w:marRight w:val="0"/>
              <w:marTop w:val="30"/>
              <w:marBottom w:val="30"/>
              <w:divBdr>
                <w:top w:val="none" w:sz="0" w:space="0" w:color="auto"/>
                <w:left w:val="none" w:sz="0" w:space="0" w:color="auto"/>
                <w:bottom w:val="none" w:sz="0" w:space="0" w:color="auto"/>
                <w:right w:val="none" w:sz="0" w:space="0" w:color="auto"/>
              </w:divBdr>
              <w:divsChild>
                <w:div w:id="68381302">
                  <w:marLeft w:val="0"/>
                  <w:marRight w:val="0"/>
                  <w:marTop w:val="0"/>
                  <w:marBottom w:val="0"/>
                  <w:divBdr>
                    <w:top w:val="none" w:sz="0" w:space="0" w:color="auto"/>
                    <w:left w:val="none" w:sz="0" w:space="0" w:color="auto"/>
                    <w:bottom w:val="none" w:sz="0" w:space="0" w:color="auto"/>
                    <w:right w:val="none" w:sz="0" w:space="0" w:color="auto"/>
                  </w:divBdr>
                  <w:divsChild>
                    <w:div w:id="991448473">
                      <w:marLeft w:val="0"/>
                      <w:marRight w:val="0"/>
                      <w:marTop w:val="0"/>
                      <w:marBottom w:val="0"/>
                      <w:divBdr>
                        <w:top w:val="none" w:sz="0" w:space="0" w:color="auto"/>
                        <w:left w:val="none" w:sz="0" w:space="0" w:color="auto"/>
                        <w:bottom w:val="none" w:sz="0" w:space="0" w:color="auto"/>
                        <w:right w:val="none" w:sz="0" w:space="0" w:color="auto"/>
                      </w:divBdr>
                    </w:div>
                  </w:divsChild>
                </w:div>
                <w:div w:id="154534255">
                  <w:marLeft w:val="0"/>
                  <w:marRight w:val="0"/>
                  <w:marTop w:val="0"/>
                  <w:marBottom w:val="0"/>
                  <w:divBdr>
                    <w:top w:val="none" w:sz="0" w:space="0" w:color="auto"/>
                    <w:left w:val="none" w:sz="0" w:space="0" w:color="auto"/>
                    <w:bottom w:val="none" w:sz="0" w:space="0" w:color="auto"/>
                    <w:right w:val="none" w:sz="0" w:space="0" w:color="auto"/>
                  </w:divBdr>
                  <w:divsChild>
                    <w:div w:id="943654182">
                      <w:marLeft w:val="0"/>
                      <w:marRight w:val="0"/>
                      <w:marTop w:val="0"/>
                      <w:marBottom w:val="0"/>
                      <w:divBdr>
                        <w:top w:val="none" w:sz="0" w:space="0" w:color="auto"/>
                        <w:left w:val="none" w:sz="0" w:space="0" w:color="auto"/>
                        <w:bottom w:val="none" w:sz="0" w:space="0" w:color="auto"/>
                        <w:right w:val="none" w:sz="0" w:space="0" w:color="auto"/>
                      </w:divBdr>
                    </w:div>
                  </w:divsChild>
                </w:div>
                <w:div w:id="169100687">
                  <w:marLeft w:val="0"/>
                  <w:marRight w:val="0"/>
                  <w:marTop w:val="0"/>
                  <w:marBottom w:val="0"/>
                  <w:divBdr>
                    <w:top w:val="none" w:sz="0" w:space="0" w:color="auto"/>
                    <w:left w:val="none" w:sz="0" w:space="0" w:color="auto"/>
                    <w:bottom w:val="none" w:sz="0" w:space="0" w:color="auto"/>
                    <w:right w:val="none" w:sz="0" w:space="0" w:color="auto"/>
                  </w:divBdr>
                  <w:divsChild>
                    <w:div w:id="792403643">
                      <w:marLeft w:val="0"/>
                      <w:marRight w:val="0"/>
                      <w:marTop w:val="0"/>
                      <w:marBottom w:val="0"/>
                      <w:divBdr>
                        <w:top w:val="none" w:sz="0" w:space="0" w:color="auto"/>
                        <w:left w:val="none" w:sz="0" w:space="0" w:color="auto"/>
                        <w:bottom w:val="none" w:sz="0" w:space="0" w:color="auto"/>
                        <w:right w:val="none" w:sz="0" w:space="0" w:color="auto"/>
                      </w:divBdr>
                    </w:div>
                  </w:divsChild>
                </w:div>
                <w:div w:id="415782345">
                  <w:marLeft w:val="0"/>
                  <w:marRight w:val="0"/>
                  <w:marTop w:val="0"/>
                  <w:marBottom w:val="0"/>
                  <w:divBdr>
                    <w:top w:val="none" w:sz="0" w:space="0" w:color="auto"/>
                    <w:left w:val="none" w:sz="0" w:space="0" w:color="auto"/>
                    <w:bottom w:val="none" w:sz="0" w:space="0" w:color="auto"/>
                    <w:right w:val="none" w:sz="0" w:space="0" w:color="auto"/>
                  </w:divBdr>
                  <w:divsChild>
                    <w:div w:id="341393246">
                      <w:marLeft w:val="0"/>
                      <w:marRight w:val="0"/>
                      <w:marTop w:val="0"/>
                      <w:marBottom w:val="0"/>
                      <w:divBdr>
                        <w:top w:val="none" w:sz="0" w:space="0" w:color="auto"/>
                        <w:left w:val="none" w:sz="0" w:space="0" w:color="auto"/>
                        <w:bottom w:val="none" w:sz="0" w:space="0" w:color="auto"/>
                        <w:right w:val="none" w:sz="0" w:space="0" w:color="auto"/>
                      </w:divBdr>
                    </w:div>
                  </w:divsChild>
                </w:div>
                <w:div w:id="489636519">
                  <w:marLeft w:val="0"/>
                  <w:marRight w:val="0"/>
                  <w:marTop w:val="0"/>
                  <w:marBottom w:val="0"/>
                  <w:divBdr>
                    <w:top w:val="none" w:sz="0" w:space="0" w:color="auto"/>
                    <w:left w:val="none" w:sz="0" w:space="0" w:color="auto"/>
                    <w:bottom w:val="none" w:sz="0" w:space="0" w:color="auto"/>
                    <w:right w:val="none" w:sz="0" w:space="0" w:color="auto"/>
                  </w:divBdr>
                  <w:divsChild>
                    <w:div w:id="111020754">
                      <w:marLeft w:val="0"/>
                      <w:marRight w:val="0"/>
                      <w:marTop w:val="0"/>
                      <w:marBottom w:val="0"/>
                      <w:divBdr>
                        <w:top w:val="none" w:sz="0" w:space="0" w:color="auto"/>
                        <w:left w:val="none" w:sz="0" w:space="0" w:color="auto"/>
                        <w:bottom w:val="none" w:sz="0" w:space="0" w:color="auto"/>
                        <w:right w:val="none" w:sz="0" w:space="0" w:color="auto"/>
                      </w:divBdr>
                    </w:div>
                  </w:divsChild>
                </w:div>
                <w:div w:id="662390128">
                  <w:marLeft w:val="0"/>
                  <w:marRight w:val="0"/>
                  <w:marTop w:val="0"/>
                  <w:marBottom w:val="0"/>
                  <w:divBdr>
                    <w:top w:val="none" w:sz="0" w:space="0" w:color="auto"/>
                    <w:left w:val="none" w:sz="0" w:space="0" w:color="auto"/>
                    <w:bottom w:val="none" w:sz="0" w:space="0" w:color="auto"/>
                    <w:right w:val="none" w:sz="0" w:space="0" w:color="auto"/>
                  </w:divBdr>
                </w:div>
                <w:div w:id="701519205">
                  <w:marLeft w:val="0"/>
                  <w:marRight w:val="0"/>
                  <w:marTop w:val="0"/>
                  <w:marBottom w:val="0"/>
                  <w:divBdr>
                    <w:top w:val="none" w:sz="0" w:space="0" w:color="auto"/>
                    <w:left w:val="none" w:sz="0" w:space="0" w:color="auto"/>
                    <w:bottom w:val="none" w:sz="0" w:space="0" w:color="auto"/>
                    <w:right w:val="none" w:sz="0" w:space="0" w:color="auto"/>
                  </w:divBdr>
                  <w:divsChild>
                    <w:div w:id="570509415">
                      <w:marLeft w:val="0"/>
                      <w:marRight w:val="0"/>
                      <w:marTop w:val="0"/>
                      <w:marBottom w:val="0"/>
                      <w:divBdr>
                        <w:top w:val="none" w:sz="0" w:space="0" w:color="auto"/>
                        <w:left w:val="none" w:sz="0" w:space="0" w:color="auto"/>
                        <w:bottom w:val="none" w:sz="0" w:space="0" w:color="auto"/>
                        <w:right w:val="none" w:sz="0" w:space="0" w:color="auto"/>
                      </w:divBdr>
                    </w:div>
                  </w:divsChild>
                </w:div>
                <w:div w:id="748815668">
                  <w:marLeft w:val="0"/>
                  <w:marRight w:val="0"/>
                  <w:marTop w:val="0"/>
                  <w:marBottom w:val="0"/>
                  <w:divBdr>
                    <w:top w:val="none" w:sz="0" w:space="0" w:color="auto"/>
                    <w:left w:val="none" w:sz="0" w:space="0" w:color="auto"/>
                    <w:bottom w:val="none" w:sz="0" w:space="0" w:color="auto"/>
                    <w:right w:val="none" w:sz="0" w:space="0" w:color="auto"/>
                  </w:divBdr>
                  <w:divsChild>
                    <w:div w:id="540703854">
                      <w:marLeft w:val="0"/>
                      <w:marRight w:val="0"/>
                      <w:marTop w:val="0"/>
                      <w:marBottom w:val="0"/>
                      <w:divBdr>
                        <w:top w:val="none" w:sz="0" w:space="0" w:color="auto"/>
                        <w:left w:val="none" w:sz="0" w:space="0" w:color="auto"/>
                        <w:bottom w:val="none" w:sz="0" w:space="0" w:color="auto"/>
                        <w:right w:val="none" w:sz="0" w:space="0" w:color="auto"/>
                      </w:divBdr>
                    </w:div>
                  </w:divsChild>
                </w:div>
                <w:div w:id="833573909">
                  <w:marLeft w:val="0"/>
                  <w:marRight w:val="0"/>
                  <w:marTop w:val="0"/>
                  <w:marBottom w:val="0"/>
                  <w:divBdr>
                    <w:top w:val="none" w:sz="0" w:space="0" w:color="auto"/>
                    <w:left w:val="none" w:sz="0" w:space="0" w:color="auto"/>
                    <w:bottom w:val="none" w:sz="0" w:space="0" w:color="auto"/>
                    <w:right w:val="none" w:sz="0" w:space="0" w:color="auto"/>
                  </w:divBdr>
                  <w:divsChild>
                    <w:div w:id="369889459">
                      <w:marLeft w:val="0"/>
                      <w:marRight w:val="0"/>
                      <w:marTop w:val="0"/>
                      <w:marBottom w:val="0"/>
                      <w:divBdr>
                        <w:top w:val="none" w:sz="0" w:space="0" w:color="auto"/>
                        <w:left w:val="none" w:sz="0" w:space="0" w:color="auto"/>
                        <w:bottom w:val="none" w:sz="0" w:space="0" w:color="auto"/>
                        <w:right w:val="none" w:sz="0" w:space="0" w:color="auto"/>
                      </w:divBdr>
                    </w:div>
                    <w:div w:id="1882204947">
                      <w:marLeft w:val="0"/>
                      <w:marRight w:val="0"/>
                      <w:marTop w:val="0"/>
                      <w:marBottom w:val="0"/>
                      <w:divBdr>
                        <w:top w:val="none" w:sz="0" w:space="0" w:color="auto"/>
                        <w:left w:val="none" w:sz="0" w:space="0" w:color="auto"/>
                        <w:bottom w:val="none" w:sz="0" w:space="0" w:color="auto"/>
                        <w:right w:val="none" w:sz="0" w:space="0" w:color="auto"/>
                      </w:divBdr>
                    </w:div>
                  </w:divsChild>
                </w:div>
                <w:div w:id="1063605107">
                  <w:marLeft w:val="0"/>
                  <w:marRight w:val="0"/>
                  <w:marTop w:val="0"/>
                  <w:marBottom w:val="0"/>
                  <w:divBdr>
                    <w:top w:val="none" w:sz="0" w:space="0" w:color="auto"/>
                    <w:left w:val="none" w:sz="0" w:space="0" w:color="auto"/>
                    <w:bottom w:val="none" w:sz="0" w:space="0" w:color="auto"/>
                    <w:right w:val="none" w:sz="0" w:space="0" w:color="auto"/>
                  </w:divBdr>
                  <w:divsChild>
                    <w:div w:id="740634699">
                      <w:marLeft w:val="0"/>
                      <w:marRight w:val="0"/>
                      <w:marTop w:val="0"/>
                      <w:marBottom w:val="0"/>
                      <w:divBdr>
                        <w:top w:val="none" w:sz="0" w:space="0" w:color="auto"/>
                        <w:left w:val="none" w:sz="0" w:space="0" w:color="auto"/>
                        <w:bottom w:val="none" w:sz="0" w:space="0" w:color="auto"/>
                        <w:right w:val="none" w:sz="0" w:space="0" w:color="auto"/>
                      </w:divBdr>
                    </w:div>
                  </w:divsChild>
                </w:div>
                <w:div w:id="1065106504">
                  <w:marLeft w:val="0"/>
                  <w:marRight w:val="0"/>
                  <w:marTop w:val="0"/>
                  <w:marBottom w:val="0"/>
                  <w:divBdr>
                    <w:top w:val="none" w:sz="0" w:space="0" w:color="auto"/>
                    <w:left w:val="none" w:sz="0" w:space="0" w:color="auto"/>
                    <w:bottom w:val="none" w:sz="0" w:space="0" w:color="auto"/>
                    <w:right w:val="none" w:sz="0" w:space="0" w:color="auto"/>
                  </w:divBdr>
                  <w:divsChild>
                    <w:div w:id="651251122">
                      <w:marLeft w:val="0"/>
                      <w:marRight w:val="0"/>
                      <w:marTop w:val="0"/>
                      <w:marBottom w:val="0"/>
                      <w:divBdr>
                        <w:top w:val="none" w:sz="0" w:space="0" w:color="auto"/>
                        <w:left w:val="none" w:sz="0" w:space="0" w:color="auto"/>
                        <w:bottom w:val="none" w:sz="0" w:space="0" w:color="auto"/>
                        <w:right w:val="none" w:sz="0" w:space="0" w:color="auto"/>
                      </w:divBdr>
                    </w:div>
                  </w:divsChild>
                </w:div>
                <w:div w:id="1157646024">
                  <w:marLeft w:val="0"/>
                  <w:marRight w:val="0"/>
                  <w:marTop w:val="0"/>
                  <w:marBottom w:val="0"/>
                  <w:divBdr>
                    <w:top w:val="none" w:sz="0" w:space="0" w:color="auto"/>
                    <w:left w:val="none" w:sz="0" w:space="0" w:color="auto"/>
                    <w:bottom w:val="none" w:sz="0" w:space="0" w:color="auto"/>
                    <w:right w:val="none" w:sz="0" w:space="0" w:color="auto"/>
                  </w:divBdr>
                  <w:divsChild>
                    <w:div w:id="2145079433">
                      <w:marLeft w:val="0"/>
                      <w:marRight w:val="0"/>
                      <w:marTop w:val="0"/>
                      <w:marBottom w:val="0"/>
                      <w:divBdr>
                        <w:top w:val="none" w:sz="0" w:space="0" w:color="auto"/>
                        <w:left w:val="none" w:sz="0" w:space="0" w:color="auto"/>
                        <w:bottom w:val="none" w:sz="0" w:space="0" w:color="auto"/>
                        <w:right w:val="none" w:sz="0" w:space="0" w:color="auto"/>
                      </w:divBdr>
                    </w:div>
                  </w:divsChild>
                </w:div>
                <w:div w:id="1209561657">
                  <w:marLeft w:val="0"/>
                  <w:marRight w:val="0"/>
                  <w:marTop w:val="0"/>
                  <w:marBottom w:val="0"/>
                  <w:divBdr>
                    <w:top w:val="none" w:sz="0" w:space="0" w:color="auto"/>
                    <w:left w:val="none" w:sz="0" w:space="0" w:color="auto"/>
                    <w:bottom w:val="none" w:sz="0" w:space="0" w:color="auto"/>
                    <w:right w:val="none" w:sz="0" w:space="0" w:color="auto"/>
                  </w:divBdr>
                  <w:divsChild>
                    <w:div w:id="1949972733">
                      <w:marLeft w:val="0"/>
                      <w:marRight w:val="0"/>
                      <w:marTop w:val="0"/>
                      <w:marBottom w:val="0"/>
                      <w:divBdr>
                        <w:top w:val="none" w:sz="0" w:space="0" w:color="auto"/>
                        <w:left w:val="none" w:sz="0" w:space="0" w:color="auto"/>
                        <w:bottom w:val="none" w:sz="0" w:space="0" w:color="auto"/>
                        <w:right w:val="none" w:sz="0" w:space="0" w:color="auto"/>
                      </w:divBdr>
                    </w:div>
                  </w:divsChild>
                </w:div>
                <w:div w:id="1227884389">
                  <w:marLeft w:val="0"/>
                  <w:marRight w:val="0"/>
                  <w:marTop w:val="0"/>
                  <w:marBottom w:val="0"/>
                  <w:divBdr>
                    <w:top w:val="none" w:sz="0" w:space="0" w:color="auto"/>
                    <w:left w:val="none" w:sz="0" w:space="0" w:color="auto"/>
                    <w:bottom w:val="none" w:sz="0" w:space="0" w:color="auto"/>
                    <w:right w:val="none" w:sz="0" w:space="0" w:color="auto"/>
                  </w:divBdr>
                  <w:divsChild>
                    <w:div w:id="127162409">
                      <w:marLeft w:val="0"/>
                      <w:marRight w:val="0"/>
                      <w:marTop w:val="0"/>
                      <w:marBottom w:val="0"/>
                      <w:divBdr>
                        <w:top w:val="none" w:sz="0" w:space="0" w:color="auto"/>
                        <w:left w:val="none" w:sz="0" w:space="0" w:color="auto"/>
                        <w:bottom w:val="none" w:sz="0" w:space="0" w:color="auto"/>
                        <w:right w:val="none" w:sz="0" w:space="0" w:color="auto"/>
                      </w:divBdr>
                    </w:div>
                  </w:divsChild>
                </w:div>
                <w:div w:id="1831287776">
                  <w:marLeft w:val="0"/>
                  <w:marRight w:val="0"/>
                  <w:marTop w:val="0"/>
                  <w:marBottom w:val="0"/>
                  <w:divBdr>
                    <w:top w:val="none" w:sz="0" w:space="0" w:color="auto"/>
                    <w:left w:val="none" w:sz="0" w:space="0" w:color="auto"/>
                    <w:bottom w:val="none" w:sz="0" w:space="0" w:color="auto"/>
                    <w:right w:val="none" w:sz="0" w:space="0" w:color="auto"/>
                  </w:divBdr>
                  <w:divsChild>
                    <w:div w:id="255940657">
                      <w:marLeft w:val="0"/>
                      <w:marRight w:val="0"/>
                      <w:marTop w:val="0"/>
                      <w:marBottom w:val="0"/>
                      <w:divBdr>
                        <w:top w:val="none" w:sz="0" w:space="0" w:color="auto"/>
                        <w:left w:val="none" w:sz="0" w:space="0" w:color="auto"/>
                        <w:bottom w:val="none" w:sz="0" w:space="0" w:color="auto"/>
                        <w:right w:val="none" w:sz="0" w:space="0" w:color="auto"/>
                      </w:divBdr>
                    </w:div>
                  </w:divsChild>
                </w:div>
                <w:div w:id="1909418397">
                  <w:marLeft w:val="0"/>
                  <w:marRight w:val="0"/>
                  <w:marTop w:val="0"/>
                  <w:marBottom w:val="0"/>
                  <w:divBdr>
                    <w:top w:val="none" w:sz="0" w:space="0" w:color="auto"/>
                    <w:left w:val="none" w:sz="0" w:space="0" w:color="auto"/>
                    <w:bottom w:val="none" w:sz="0" w:space="0" w:color="auto"/>
                    <w:right w:val="none" w:sz="0" w:space="0" w:color="auto"/>
                  </w:divBdr>
                  <w:divsChild>
                    <w:div w:id="1436440565">
                      <w:marLeft w:val="0"/>
                      <w:marRight w:val="0"/>
                      <w:marTop w:val="0"/>
                      <w:marBottom w:val="0"/>
                      <w:divBdr>
                        <w:top w:val="none" w:sz="0" w:space="0" w:color="auto"/>
                        <w:left w:val="none" w:sz="0" w:space="0" w:color="auto"/>
                        <w:bottom w:val="none" w:sz="0" w:space="0" w:color="auto"/>
                        <w:right w:val="none" w:sz="0" w:space="0" w:color="auto"/>
                      </w:divBdr>
                    </w:div>
                  </w:divsChild>
                </w:div>
                <w:div w:id="2118716660">
                  <w:marLeft w:val="0"/>
                  <w:marRight w:val="0"/>
                  <w:marTop w:val="0"/>
                  <w:marBottom w:val="0"/>
                  <w:divBdr>
                    <w:top w:val="none" w:sz="0" w:space="0" w:color="auto"/>
                    <w:left w:val="none" w:sz="0" w:space="0" w:color="auto"/>
                    <w:bottom w:val="none" w:sz="0" w:space="0" w:color="auto"/>
                    <w:right w:val="none" w:sz="0" w:space="0" w:color="auto"/>
                  </w:divBdr>
                  <w:divsChild>
                    <w:div w:id="144179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14437">
          <w:marLeft w:val="0"/>
          <w:marRight w:val="0"/>
          <w:marTop w:val="0"/>
          <w:marBottom w:val="0"/>
          <w:divBdr>
            <w:top w:val="none" w:sz="0" w:space="0" w:color="auto"/>
            <w:left w:val="none" w:sz="0" w:space="0" w:color="auto"/>
            <w:bottom w:val="none" w:sz="0" w:space="0" w:color="auto"/>
            <w:right w:val="none" w:sz="0" w:space="0" w:color="auto"/>
          </w:divBdr>
          <w:divsChild>
            <w:div w:id="1466393294">
              <w:marLeft w:val="-75"/>
              <w:marRight w:val="0"/>
              <w:marTop w:val="30"/>
              <w:marBottom w:val="30"/>
              <w:divBdr>
                <w:top w:val="none" w:sz="0" w:space="0" w:color="auto"/>
                <w:left w:val="none" w:sz="0" w:space="0" w:color="auto"/>
                <w:bottom w:val="none" w:sz="0" w:space="0" w:color="auto"/>
                <w:right w:val="none" w:sz="0" w:space="0" w:color="auto"/>
              </w:divBdr>
              <w:divsChild>
                <w:div w:id="1561869321">
                  <w:marLeft w:val="0"/>
                  <w:marRight w:val="0"/>
                  <w:marTop w:val="0"/>
                  <w:marBottom w:val="0"/>
                  <w:divBdr>
                    <w:top w:val="none" w:sz="0" w:space="0" w:color="auto"/>
                    <w:left w:val="none" w:sz="0" w:space="0" w:color="auto"/>
                    <w:bottom w:val="none" w:sz="0" w:space="0" w:color="auto"/>
                    <w:right w:val="none" w:sz="0" w:space="0" w:color="auto"/>
                  </w:divBdr>
                  <w:divsChild>
                    <w:div w:id="990251051">
                      <w:marLeft w:val="0"/>
                      <w:marRight w:val="0"/>
                      <w:marTop w:val="0"/>
                      <w:marBottom w:val="0"/>
                      <w:divBdr>
                        <w:top w:val="none" w:sz="0" w:space="0" w:color="auto"/>
                        <w:left w:val="none" w:sz="0" w:space="0" w:color="auto"/>
                        <w:bottom w:val="none" w:sz="0" w:space="0" w:color="auto"/>
                        <w:right w:val="none" w:sz="0" w:space="0" w:color="auto"/>
                      </w:divBdr>
                    </w:div>
                  </w:divsChild>
                </w:div>
                <w:div w:id="1669208844">
                  <w:marLeft w:val="0"/>
                  <w:marRight w:val="0"/>
                  <w:marTop w:val="0"/>
                  <w:marBottom w:val="0"/>
                  <w:divBdr>
                    <w:top w:val="none" w:sz="0" w:space="0" w:color="auto"/>
                    <w:left w:val="none" w:sz="0" w:space="0" w:color="auto"/>
                    <w:bottom w:val="none" w:sz="0" w:space="0" w:color="auto"/>
                    <w:right w:val="none" w:sz="0" w:space="0" w:color="auto"/>
                  </w:divBdr>
                  <w:divsChild>
                    <w:div w:id="149492981">
                      <w:marLeft w:val="0"/>
                      <w:marRight w:val="0"/>
                      <w:marTop w:val="0"/>
                      <w:marBottom w:val="0"/>
                      <w:divBdr>
                        <w:top w:val="none" w:sz="0" w:space="0" w:color="auto"/>
                        <w:left w:val="none" w:sz="0" w:space="0" w:color="auto"/>
                        <w:bottom w:val="none" w:sz="0" w:space="0" w:color="auto"/>
                        <w:right w:val="none" w:sz="0" w:space="0" w:color="auto"/>
                      </w:divBdr>
                    </w:div>
                    <w:div w:id="194122622">
                      <w:marLeft w:val="0"/>
                      <w:marRight w:val="0"/>
                      <w:marTop w:val="0"/>
                      <w:marBottom w:val="0"/>
                      <w:divBdr>
                        <w:top w:val="none" w:sz="0" w:space="0" w:color="auto"/>
                        <w:left w:val="none" w:sz="0" w:space="0" w:color="auto"/>
                        <w:bottom w:val="none" w:sz="0" w:space="0" w:color="auto"/>
                        <w:right w:val="none" w:sz="0" w:space="0" w:color="auto"/>
                      </w:divBdr>
                    </w:div>
                    <w:div w:id="473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62123">
          <w:marLeft w:val="0"/>
          <w:marRight w:val="0"/>
          <w:marTop w:val="0"/>
          <w:marBottom w:val="0"/>
          <w:divBdr>
            <w:top w:val="none" w:sz="0" w:space="0" w:color="auto"/>
            <w:left w:val="none" w:sz="0" w:space="0" w:color="auto"/>
            <w:bottom w:val="none" w:sz="0" w:space="0" w:color="auto"/>
            <w:right w:val="none" w:sz="0" w:space="0" w:color="auto"/>
          </w:divBdr>
          <w:divsChild>
            <w:div w:id="443037447">
              <w:marLeft w:val="0"/>
              <w:marRight w:val="0"/>
              <w:marTop w:val="0"/>
              <w:marBottom w:val="0"/>
              <w:divBdr>
                <w:top w:val="none" w:sz="0" w:space="0" w:color="auto"/>
                <w:left w:val="none" w:sz="0" w:space="0" w:color="auto"/>
                <w:bottom w:val="none" w:sz="0" w:space="0" w:color="auto"/>
                <w:right w:val="none" w:sz="0" w:space="0" w:color="auto"/>
              </w:divBdr>
            </w:div>
            <w:div w:id="1317151798">
              <w:marLeft w:val="0"/>
              <w:marRight w:val="0"/>
              <w:marTop w:val="0"/>
              <w:marBottom w:val="0"/>
              <w:divBdr>
                <w:top w:val="none" w:sz="0" w:space="0" w:color="auto"/>
                <w:left w:val="none" w:sz="0" w:space="0" w:color="auto"/>
                <w:bottom w:val="none" w:sz="0" w:space="0" w:color="auto"/>
                <w:right w:val="none" w:sz="0" w:space="0" w:color="auto"/>
              </w:divBdr>
            </w:div>
            <w:div w:id="1754007568">
              <w:marLeft w:val="0"/>
              <w:marRight w:val="0"/>
              <w:marTop w:val="0"/>
              <w:marBottom w:val="0"/>
              <w:divBdr>
                <w:top w:val="none" w:sz="0" w:space="0" w:color="auto"/>
                <w:left w:val="none" w:sz="0" w:space="0" w:color="auto"/>
                <w:bottom w:val="none" w:sz="0" w:space="0" w:color="auto"/>
                <w:right w:val="none" w:sz="0" w:space="0" w:color="auto"/>
              </w:divBdr>
            </w:div>
            <w:div w:id="1991208131">
              <w:marLeft w:val="0"/>
              <w:marRight w:val="0"/>
              <w:marTop w:val="0"/>
              <w:marBottom w:val="0"/>
              <w:divBdr>
                <w:top w:val="none" w:sz="0" w:space="0" w:color="auto"/>
                <w:left w:val="none" w:sz="0" w:space="0" w:color="auto"/>
                <w:bottom w:val="none" w:sz="0" w:space="0" w:color="auto"/>
                <w:right w:val="none" w:sz="0" w:space="0" w:color="auto"/>
              </w:divBdr>
            </w:div>
          </w:divsChild>
        </w:div>
        <w:div w:id="494807981">
          <w:marLeft w:val="0"/>
          <w:marRight w:val="0"/>
          <w:marTop w:val="0"/>
          <w:marBottom w:val="0"/>
          <w:divBdr>
            <w:top w:val="none" w:sz="0" w:space="0" w:color="auto"/>
            <w:left w:val="none" w:sz="0" w:space="0" w:color="auto"/>
            <w:bottom w:val="none" w:sz="0" w:space="0" w:color="auto"/>
            <w:right w:val="none" w:sz="0" w:space="0" w:color="auto"/>
          </w:divBdr>
          <w:divsChild>
            <w:div w:id="1066800667">
              <w:marLeft w:val="-75"/>
              <w:marRight w:val="0"/>
              <w:marTop w:val="30"/>
              <w:marBottom w:val="30"/>
              <w:divBdr>
                <w:top w:val="none" w:sz="0" w:space="0" w:color="auto"/>
                <w:left w:val="none" w:sz="0" w:space="0" w:color="auto"/>
                <w:bottom w:val="none" w:sz="0" w:space="0" w:color="auto"/>
                <w:right w:val="none" w:sz="0" w:space="0" w:color="auto"/>
              </w:divBdr>
              <w:divsChild>
                <w:div w:id="63188583">
                  <w:marLeft w:val="0"/>
                  <w:marRight w:val="0"/>
                  <w:marTop w:val="0"/>
                  <w:marBottom w:val="0"/>
                  <w:divBdr>
                    <w:top w:val="none" w:sz="0" w:space="0" w:color="auto"/>
                    <w:left w:val="none" w:sz="0" w:space="0" w:color="auto"/>
                    <w:bottom w:val="none" w:sz="0" w:space="0" w:color="auto"/>
                    <w:right w:val="none" w:sz="0" w:space="0" w:color="auto"/>
                  </w:divBdr>
                  <w:divsChild>
                    <w:div w:id="2058897710">
                      <w:marLeft w:val="0"/>
                      <w:marRight w:val="0"/>
                      <w:marTop w:val="0"/>
                      <w:marBottom w:val="0"/>
                      <w:divBdr>
                        <w:top w:val="none" w:sz="0" w:space="0" w:color="auto"/>
                        <w:left w:val="none" w:sz="0" w:space="0" w:color="auto"/>
                        <w:bottom w:val="none" w:sz="0" w:space="0" w:color="auto"/>
                        <w:right w:val="none" w:sz="0" w:space="0" w:color="auto"/>
                      </w:divBdr>
                    </w:div>
                  </w:divsChild>
                </w:div>
                <w:div w:id="235093162">
                  <w:marLeft w:val="0"/>
                  <w:marRight w:val="0"/>
                  <w:marTop w:val="0"/>
                  <w:marBottom w:val="0"/>
                  <w:divBdr>
                    <w:top w:val="none" w:sz="0" w:space="0" w:color="auto"/>
                    <w:left w:val="none" w:sz="0" w:space="0" w:color="auto"/>
                    <w:bottom w:val="none" w:sz="0" w:space="0" w:color="auto"/>
                    <w:right w:val="none" w:sz="0" w:space="0" w:color="auto"/>
                  </w:divBdr>
                  <w:divsChild>
                    <w:div w:id="1376200754">
                      <w:marLeft w:val="0"/>
                      <w:marRight w:val="0"/>
                      <w:marTop w:val="0"/>
                      <w:marBottom w:val="0"/>
                      <w:divBdr>
                        <w:top w:val="none" w:sz="0" w:space="0" w:color="auto"/>
                        <w:left w:val="none" w:sz="0" w:space="0" w:color="auto"/>
                        <w:bottom w:val="none" w:sz="0" w:space="0" w:color="auto"/>
                        <w:right w:val="none" w:sz="0" w:space="0" w:color="auto"/>
                      </w:divBdr>
                    </w:div>
                    <w:div w:id="1999916913">
                      <w:marLeft w:val="0"/>
                      <w:marRight w:val="0"/>
                      <w:marTop w:val="0"/>
                      <w:marBottom w:val="0"/>
                      <w:divBdr>
                        <w:top w:val="none" w:sz="0" w:space="0" w:color="auto"/>
                        <w:left w:val="none" w:sz="0" w:space="0" w:color="auto"/>
                        <w:bottom w:val="none" w:sz="0" w:space="0" w:color="auto"/>
                        <w:right w:val="none" w:sz="0" w:space="0" w:color="auto"/>
                      </w:divBdr>
                    </w:div>
                  </w:divsChild>
                </w:div>
                <w:div w:id="271590589">
                  <w:marLeft w:val="0"/>
                  <w:marRight w:val="0"/>
                  <w:marTop w:val="0"/>
                  <w:marBottom w:val="0"/>
                  <w:divBdr>
                    <w:top w:val="none" w:sz="0" w:space="0" w:color="auto"/>
                    <w:left w:val="none" w:sz="0" w:space="0" w:color="auto"/>
                    <w:bottom w:val="none" w:sz="0" w:space="0" w:color="auto"/>
                    <w:right w:val="none" w:sz="0" w:space="0" w:color="auto"/>
                  </w:divBdr>
                  <w:divsChild>
                    <w:div w:id="628711201">
                      <w:marLeft w:val="0"/>
                      <w:marRight w:val="0"/>
                      <w:marTop w:val="0"/>
                      <w:marBottom w:val="0"/>
                      <w:divBdr>
                        <w:top w:val="none" w:sz="0" w:space="0" w:color="auto"/>
                        <w:left w:val="none" w:sz="0" w:space="0" w:color="auto"/>
                        <w:bottom w:val="none" w:sz="0" w:space="0" w:color="auto"/>
                        <w:right w:val="none" w:sz="0" w:space="0" w:color="auto"/>
                      </w:divBdr>
                    </w:div>
                  </w:divsChild>
                </w:div>
                <w:div w:id="762871113">
                  <w:marLeft w:val="0"/>
                  <w:marRight w:val="0"/>
                  <w:marTop w:val="0"/>
                  <w:marBottom w:val="0"/>
                  <w:divBdr>
                    <w:top w:val="none" w:sz="0" w:space="0" w:color="auto"/>
                    <w:left w:val="none" w:sz="0" w:space="0" w:color="auto"/>
                    <w:bottom w:val="none" w:sz="0" w:space="0" w:color="auto"/>
                    <w:right w:val="none" w:sz="0" w:space="0" w:color="auto"/>
                  </w:divBdr>
                  <w:divsChild>
                    <w:div w:id="805784192">
                      <w:marLeft w:val="0"/>
                      <w:marRight w:val="0"/>
                      <w:marTop w:val="0"/>
                      <w:marBottom w:val="0"/>
                      <w:divBdr>
                        <w:top w:val="none" w:sz="0" w:space="0" w:color="auto"/>
                        <w:left w:val="none" w:sz="0" w:space="0" w:color="auto"/>
                        <w:bottom w:val="none" w:sz="0" w:space="0" w:color="auto"/>
                        <w:right w:val="none" w:sz="0" w:space="0" w:color="auto"/>
                      </w:divBdr>
                    </w:div>
                  </w:divsChild>
                </w:div>
                <w:div w:id="1073969305">
                  <w:marLeft w:val="0"/>
                  <w:marRight w:val="0"/>
                  <w:marTop w:val="0"/>
                  <w:marBottom w:val="0"/>
                  <w:divBdr>
                    <w:top w:val="none" w:sz="0" w:space="0" w:color="auto"/>
                    <w:left w:val="none" w:sz="0" w:space="0" w:color="auto"/>
                    <w:bottom w:val="none" w:sz="0" w:space="0" w:color="auto"/>
                    <w:right w:val="none" w:sz="0" w:space="0" w:color="auto"/>
                  </w:divBdr>
                  <w:divsChild>
                    <w:div w:id="208151312">
                      <w:marLeft w:val="0"/>
                      <w:marRight w:val="0"/>
                      <w:marTop w:val="0"/>
                      <w:marBottom w:val="0"/>
                      <w:divBdr>
                        <w:top w:val="none" w:sz="0" w:space="0" w:color="auto"/>
                        <w:left w:val="none" w:sz="0" w:space="0" w:color="auto"/>
                        <w:bottom w:val="none" w:sz="0" w:space="0" w:color="auto"/>
                        <w:right w:val="none" w:sz="0" w:space="0" w:color="auto"/>
                      </w:divBdr>
                    </w:div>
                  </w:divsChild>
                </w:div>
                <w:div w:id="1244756873">
                  <w:marLeft w:val="0"/>
                  <w:marRight w:val="0"/>
                  <w:marTop w:val="0"/>
                  <w:marBottom w:val="0"/>
                  <w:divBdr>
                    <w:top w:val="none" w:sz="0" w:space="0" w:color="auto"/>
                    <w:left w:val="none" w:sz="0" w:space="0" w:color="auto"/>
                    <w:bottom w:val="none" w:sz="0" w:space="0" w:color="auto"/>
                    <w:right w:val="none" w:sz="0" w:space="0" w:color="auto"/>
                  </w:divBdr>
                </w:div>
                <w:div w:id="1585801171">
                  <w:marLeft w:val="0"/>
                  <w:marRight w:val="0"/>
                  <w:marTop w:val="0"/>
                  <w:marBottom w:val="0"/>
                  <w:divBdr>
                    <w:top w:val="none" w:sz="0" w:space="0" w:color="auto"/>
                    <w:left w:val="none" w:sz="0" w:space="0" w:color="auto"/>
                    <w:bottom w:val="none" w:sz="0" w:space="0" w:color="auto"/>
                    <w:right w:val="none" w:sz="0" w:space="0" w:color="auto"/>
                  </w:divBdr>
                  <w:divsChild>
                    <w:div w:id="714933367">
                      <w:marLeft w:val="0"/>
                      <w:marRight w:val="0"/>
                      <w:marTop w:val="0"/>
                      <w:marBottom w:val="0"/>
                      <w:divBdr>
                        <w:top w:val="none" w:sz="0" w:space="0" w:color="auto"/>
                        <w:left w:val="none" w:sz="0" w:space="0" w:color="auto"/>
                        <w:bottom w:val="none" w:sz="0" w:space="0" w:color="auto"/>
                        <w:right w:val="none" w:sz="0" w:space="0" w:color="auto"/>
                      </w:divBdr>
                    </w:div>
                  </w:divsChild>
                </w:div>
                <w:div w:id="1656833656">
                  <w:marLeft w:val="0"/>
                  <w:marRight w:val="0"/>
                  <w:marTop w:val="0"/>
                  <w:marBottom w:val="0"/>
                  <w:divBdr>
                    <w:top w:val="none" w:sz="0" w:space="0" w:color="auto"/>
                    <w:left w:val="none" w:sz="0" w:space="0" w:color="auto"/>
                    <w:bottom w:val="none" w:sz="0" w:space="0" w:color="auto"/>
                    <w:right w:val="none" w:sz="0" w:space="0" w:color="auto"/>
                  </w:divBdr>
                  <w:divsChild>
                    <w:div w:id="1604461877">
                      <w:marLeft w:val="0"/>
                      <w:marRight w:val="0"/>
                      <w:marTop w:val="0"/>
                      <w:marBottom w:val="0"/>
                      <w:divBdr>
                        <w:top w:val="none" w:sz="0" w:space="0" w:color="auto"/>
                        <w:left w:val="none" w:sz="0" w:space="0" w:color="auto"/>
                        <w:bottom w:val="none" w:sz="0" w:space="0" w:color="auto"/>
                        <w:right w:val="none" w:sz="0" w:space="0" w:color="auto"/>
                      </w:divBdr>
                    </w:div>
                  </w:divsChild>
                </w:div>
                <w:div w:id="1904440759">
                  <w:marLeft w:val="0"/>
                  <w:marRight w:val="0"/>
                  <w:marTop w:val="0"/>
                  <w:marBottom w:val="0"/>
                  <w:divBdr>
                    <w:top w:val="none" w:sz="0" w:space="0" w:color="auto"/>
                    <w:left w:val="none" w:sz="0" w:space="0" w:color="auto"/>
                    <w:bottom w:val="none" w:sz="0" w:space="0" w:color="auto"/>
                    <w:right w:val="none" w:sz="0" w:space="0" w:color="auto"/>
                  </w:divBdr>
                  <w:divsChild>
                    <w:div w:id="14648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8617">
          <w:marLeft w:val="0"/>
          <w:marRight w:val="0"/>
          <w:marTop w:val="0"/>
          <w:marBottom w:val="0"/>
          <w:divBdr>
            <w:top w:val="none" w:sz="0" w:space="0" w:color="auto"/>
            <w:left w:val="none" w:sz="0" w:space="0" w:color="auto"/>
            <w:bottom w:val="none" w:sz="0" w:space="0" w:color="auto"/>
            <w:right w:val="none" w:sz="0" w:space="0" w:color="auto"/>
          </w:divBdr>
          <w:divsChild>
            <w:div w:id="951479775">
              <w:marLeft w:val="-75"/>
              <w:marRight w:val="0"/>
              <w:marTop w:val="30"/>
              <w:marBottom w:val="30"/>
              <w:divBdr>
                <w:top w:val="none" w:sz="0" w:space="0" w:color="auto"/>
                <w:left w:val="none" w:sz="0" w:space="0" w:color="auto"/>
                <w:bottom w:val="none" w:sz="0" w:space="0" w:color="auto"/>
                <w:right w:val="none" w:sz="0" w:space="0" w:color="auto"/>
              </w:divBdr>
              <w:divsChild>
                <w:div w:id="765424971">
                  <w:marLeft w:val="0"/>
                  <w:marRight w:val="0"/>
                  <w:marTop w:val="0"/>
                  <w:marBottom w:val="0"/>
                  <w:divBdr>
                    <w:top w:val="none" w:sz="0" w:space="0" w:color="auto"/>
                    <w:left w:val="none" w:sz="0" w:space="0" w:color="auto"/>
                    <w:bottom w:val="none" w:sz="0" w:space="0" w:color="auto"/>
                    <w:right w:val="none" w:sz="0" w:space="0" w:color="auto"/>
                  </w:divBdr>
                  <w:divsChild>
                    <w:div w:id="191891964">
                      <w:marLeft w:val="0"/>
                      <w:marRight w:val="0"/>
                      <w:marTop w:val="0"/>
                      <w:marBottom w:val="0"/>
                      <w:divBdr>
                        <w:top w:val="none" w:sz="0" w:space="0" w:color="auto"/>
                        <w:left w:val="none" w:sz="0" w:space="0" w:color="auto"/>
                        <w:bottom w:val="none" w:sz="0" w:space="0" w:color="auto"/>
                        <w:right w:val="none" w:sz="0" w:space="0" w:color="auto"/>
                      </w:divBdr>
                    </w:div>
                    <w:div w:id="496387876">
                      <w:marLeft w:val="0"/>
                      <w:marRight w:val="0"/>
                      <w:marTop w:val="0"/>
                      <w:marBottom w:val="0"/>
                      <w:divBdr>
                        <w:top w:val="none" w:sz="0" w:space="0" w:color="auto"/>
                        <w:left w:val="none" w:sz="0" w:space="0" w:color="auto"/>
                        <w:bottom w:val="none" w:sz="0" w:space="0" w:color="auto"/>
                        <w:right w:val="none" w:sz="0" w:space="0" w:color="auto"/>
                      </w:divBdr>
                    </w:div>
                    <w:div w:id="1239905182">
                      <w:marLeft w:val="0"/>
                      <w:marRight w:val="0"/>
                      <w:marTop w:val="0"/>
                      <w:marBottom w:val="0"/>
                      <w:divBdr>
                        <w:top w:val="none" w:sz="0" w:space="0" w:color="auto"/>
                        <w:left w:val="none" w:sz="0" w:space="0" w:color="auto"/>
                        <w:bottom w:val="none" w:sz="0" w:space="0" w:color="auto"/>
                        <w:right w:val="none" w:sz="0" w:space="0" w:color="auto"/>
                      </w:divBdr>
                    </w:div>
                    <w:div w:id="1496149230">
                      <w:marLeft w:val="0"/>
                      <w:marRight w:val="0"/>
                      <w:marTop w:val="0"/>
                      <w:marBottom w:val="0"/>
                      <w:divBdr>
                        <w:top w:val="none" w:sz="0" w:space="0" w:color="auto"/>
                        <w:left w:val="none" w:sz="0" w:space="0" w:color="auto"/>
                        <w:bottom w:val="none" w:sz="0" w:space="0" w:color="auto"/>
                        <w:right w:val="none" w:sz="0" w:space="0" w:color="auto"/>
                      </w:divBdr>
                    </w:div>
                  </w:divsChild>
                </w:div>
                <w:div w:id="1246573388">
                  <w:marLeft w:val="0"/>
                  <w:marRight w:val="0"/>
                  <w:marTop w:val="0"/>
                  <w:marBottom w:val="0"/>
                  <w:divBdr>
                    <w:top w:val="none" w:sz="0" w:space="0" w:color="auto"/>
                    <w:left w:val="none" w:sz="0" w:space="0" w:color="auto"/>
                    <w:bottom w:val="none" w:sz="0" w:space="0" w:color="auto"/>
                    <w:right w:val="none" w:sz="0" w:space="0" w:color="auto"/>
                  </w:divBdr>
                  <w:divsChild>
                    <w:div w:id="17257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1354">
          <w:marLeft w:val="0"/>
          <w:marRight w:val="0"/>
          <w:marTop w:val="0"/>
          <w:marBottom w:val="0"/>
          <w:divBdr>
            <w:top w:val="none" w:sz="0" w:space="0" w:color="auto"/>
            <w:left w:val="none" w:sz="0" w:space="0" w:color="auto"/>
            <w:bottom w:val="none" w:sz="0" w:space="0" w:color="auto"/>
            <w:right w:val="none" w:sz="0" w:space="0" w:color="auto"/>
          </w:divBdr>
          <w:divsChild>
            <w:div w:id="46683029">
              <w:marLeft w:val="0"/>
              <w:marRight w:val="0"/>
              <w:marTop w:val="0"/>
              <w:marBottom w:val="0"/>
              <w:divBdr>
                <w:top w:val="none" w:sz="0" w:space="0" w:color="auto"/>
                <w:left w:val="none" w:sz="0" w:space="0" w:color="auto"/>
                <w:bottom w:val="none" w:sz="0" w:space="0" w:color="auto"/>
                <w:right w:val="none" w:sz="0" w:space="0" w:color="auto"/>
              </w:divBdr>
            </w:div>
            <w:div w:id="336730802">
              <w:marLeft w:val="0"/>
              <w:marRight w:val="0"/>
              <w:marTop w:val="0"/>
              <w:marBottom w:val="0"/>
              <w:divBdr>
                <w:top w:val="none" w:sz="0" w:space="0" w:color="auto"/>
                <w:left w:val="none" w:sz="0" w:space="0" w:color="auto"/>
                <w:bottom w:val="none" w:sz="0" w:space="0" w:color="auto"/>
                <w:right w:val="none" w:sz="0" w:space="0" w:color="auto"/>
              </w:divBdr>
            </w:div>
            <w:div w:id="419060706">
              <w:marLeft w:val="0"/>
              <w:marRight w:val="0"/>
              <w:marTop w:val="0"/>
              <w:marBottom w:val="0"/>
              <w:divBdr>
                <w:top w:val="none" w:sz="0" w:space="0" w:color="auto"/>
                <w:left w:val="none" w:sz="0" w:space="0" w:color="auto"/>
                <w:bottom w:val="none" w:sz="0" w:space="0" w:color="auto"/>
                <w:right w:val="none" w:sz="0" w:space="0" w:color="auto"/>
              </w:divBdr>
            </w:div>
            <w:div w:id="458382474">
              <w:marLeft w:val="0"/>
              <w:marRight w:val="0"/>
              <w:marTop w:val="0"/>
              <w:marBottom w:val="0"/>
              <w:divBdr>
                <w:top w:val="none" w:sz="0" w:space="0" w:color="auto"/>
                <w:left w:val="none" w:sz="0" w:space="0" w:color="auto"/>
                <w:bottom w:val="none" w:sz="0" w:space="0" w:color="auto"/>
                <w:right w:val="none" w:sz="0" w:space="0" w:color="auto"/>
              </w:divBdr>
            </w:div>
            <w:div w:id="594291776">
              <w:marLeft w:val="0"/>
              <w:marRight w:val="0"/>
              <w:marTop w:val="0"/>
              <w:marBottom w:val="0"/>
              <w:divBdr>
                <w:top w:val="none" w:sz="0" w:space="0" w:color="auto"/>
                <w:left w:val="none" w:sz="0" w:space="0" w:color="auto"/>
                <w:bottom w:val="none" w:sz="0" w:space="0" w:color="auto"/>
                <w:right w:val="none" w:sz="0" w:space="0" w:color="auto"/>
              </w:divBdr>
            </w:div>
            <w:div w:id="599223445">
              <w:marLeft w:val="0"/>
              <w:marRight w:val="0"/>
              <w:marTop w:val="0"/>
              <w:marBottom w:val="0"/>
              <w:divBdr>
                <w:top w:val="none" w:sz="0" w:space="0" w:color="auto"/>
                <w:left w:val="none" w:sz="0" w:space="0" w:color="auto"/>
                <w:bottom w:val="none" w:sz="0" w:space="0" w:color="auto"/>
                <w:right w:val="none" w:sz="0" w:space="0" w:color="auto"/>
              </w:divBdr>
            </w:div>
            <w:div w:id="927231780">
              <w:marLeft w:val="0"/>
              <w:marRight w:val="0"/>
              <w:marTop w:val="0"/>
              <w:marBottom w:val="0"/>
              <w:divBdr>
                <w:top w:val="none" w:sz="0" w:space="0" w:color="auto"/>
                <w:left w:val="none" w:sz="0" w:space="0" w:color="auto"/>
                <w:bottom w:val="none" w:sz="0" w:space="0" w:color="auto"/>
                <w:right w:val="none" w:sz="0" w:space="0" w:color="auto"/>
              </w:divBdr>
            </w:div>
            <w:div w:id="950866358">
              <w:marLeft w:val="0"/>
              <w:marRight w:val="0"/>
              <w:marTop w:val="0"/>
              <w:marBottom w:val="0"/>
              <w:divBdr>
                <w:top w:val="none" w:sz="0" w:space="0" w:color="auto"/>
                <w:left w:val="none" w:sz="0" w:space="0" w:color="auto"/>
                <w:bottom w:val="none" w:sz="0" w:space="0" w:color="auto"/>
                <w:right w:val="none" w:sz="0" w:space="0" w:color="auto"/>
              </w:divBdr>
            </w:div>
            <w:div w:id="1401364856">
              <w:marLeft w:val="0"/>
              <w:marRight w:val="0"/>
              <w:marTop w:val="0"/>
              <w:marBottom w:val="0"/>
              <w:divBdr>
                <w:top w:val="none" w:sz="0" w:space="0" w:color="auto"/>
                <w:left w:val="none" w:sz="0" w:space="0" w:color="auto"/>
                <w:bottom w:val="none" w:sz="0" w:space="0" w:color="auto"/>
                <w:right w:val="none" w:sz="0" w:space="0" w:color="auto"/>
              </w:divBdr>
            </w:div>
            <w:div w:id="1854027317">
              <w:marLeft w:val="0"/>
              <w:marRight w:val="0"/>
              <w:marTop w:val="0"/>
              <w:marBottom w:val="0"/>
              <w:divBdr>
                <w:top w:val="none" w:sz="0" w:space="0" w:color="auto"/>
                <w:left w:val="none" w:sz="0" w:space="0" w:color="auto"/>
                <w:bottom w:val="none" w:sz="0" w:space="0" w:color="auto"/>
                <w:right w:val="none" w:sz="0" w:space="0" w:color="auto"/>
              </w:divBdr>
            </w:div>
            <w:div w:id="1873959298">
              <w:marLeft w:val="0"/>
              <w:marRight w:val="0"/>
              <w:marTop w:val="0"/>
              <w:marBottom w:val="0"/>
              <w:divBdr>
                <w:top w:val="none" w:sz="0" w:space="0" w:color="auto"/>
                <w:left w:val="none" w:sz="0" w:space="0" w:color="auto"/>
                <w:bottom w:val="none" w:sz="0" w:space="0" w:color="auto"/>
                <w:right w:val="none" w:sz="0" w:space="0" w:color="auto"/>
              </w:divBdr>
            </w:div>
            <w:div w:id="2145850630">
              <w:marLeft w:val="0"/>
              <w:marRight w:val="0"/>
              <w:marTop w:val="0"/>
              <w:marBottom w:val="0"/>
              <w:divBdr>
                <w:top w:val="none" w:sz="0" w:space="0" w:color="auto"/>
                <w:left w:val="none" w:sz="0" w:space="0" w:color="auto"/>
                <w:bottom w:val="none" w:sz="0" w:space="0" w:color="auto"/>
                <w:right w:val="none" w:sz="0" w:space="0" w:color="auto"/>
              </w:divBdr>
            </w:div>
          </w:divsChild>
        </w:div>
        <w:div w:id="1627466447">
          <w:marLeft w:val="0"/>
          <w:marRight w:val="0"/>
          <w:marTop w:val="0"/>
          <w:marBottom w:val="0"/>
          <w:divBdr>
            <w:top w:val="none" w:sz="0" w:space="0" w:color="auto"/>
            <w:left w:val="none" w:sz="0" w:space="0" w:color="auto"/>
            <w:bottom w:val="none" w:sz="0" w:space="0" w:color="auto"/>
            <w:right w:val="none" w:sz="0" w:space="0" w:color="auto"/>
          </w:divBdr>
        </w:div>
        <w:div w:id="1635676595">
          <w:marLeft w:val="0"/>
          <w:marRight w:val="0"/>
          <w:marTop w:val="0"/>
          <w:marBottom w:val="0"/>
          <w:divBdr>
            <w:top w:val="none" w:sz="0" w:space="0" w:color="auto"/>
            <w:left w:val="none" w:sz="0" w:space="0" w:color="auto"/>
            <w:bottom w:val="none" w:sz="0" w:space="0" w:color="auto"/>
            <w:right w:val="none" w:sz="0" w:space="0" w:color="auto"/>
          </w:divBdr>
        </w:div>
        <w:div w:id="1780684544">
          <w:marLeft w:val="0"/>
          <w:marRight w:val="0"/>
          <w:marTop w:val="0"/>
          <w:marBottom w:val="0"/>
          <w:divBdr>
            <w:top w:val="none" w:sz="0" w:space="0" w:color="auto"/>
            <w:left w:val="none" w:sz="0" w:space="0" w:color="auto"/>
            <w:bottom w:val="none" w:sz="0" w:space="0" w:color="auto"/>
            <w:right w:val="none" w:sz="0" w:space="0" w:color="auto"/>
          </w:divBdr>
        </w:div>
        <w:div w:id="1802336933">
          <w:marLeft w:val="0"/>
          <w:marRight w:val="0"/>
          <w:marTop w:val="0"/>
          <w:marBottom w:val="0"/>
          <w:divBdr>
            <w:top w:val="none" w:sz="0" w:space="0" w:color="auto"/>
            <w:left w:val="none" w:sz="0" w:space="0" w:color="auto"/>
            <w:bottom w:val="none" w:sz="0" w:space="0" w:color="auto"/>
            <w:right w:val="none" w:sz="0" w:space="0" w:color="auto"/>
          </w:divBdr>
          <w:divsChild>
            <w:div w:id="898442579">
              <w:marLeft w:val="0"/>
              <w:marRight w:val="0"/>
              <w:marTop w:val="0"/>
              <w:marBottom w:val="0"/>
              <w:divBdr>
                <w:top w:val="none" w:sz="0" w:space="0" w:color="auto"/>
                <w:left w:val="none" w:sz="0" w:space="0" w:color="auto"/>
                <w:bottom w:val="none" w:sz="0" w:space="0" w:color="auto"/>
                <w:right w:val="none" w:sz="0" w:space="0" w:color="auto"/>
              </w:divBdr>
            </w:div>
            <w:div w:id="1161309834">
              <w:marLeft w:val="0"/>
              <w:marRight w:val="0"/>
              <w:marTop w:val="0"/>
              <w:marBottom w:val="0"/>
              <w:divBdr>
                <w:top w:val="none" w:sz="0" w:space="0" w:color="auto"/>
                <w:left w:val="none" w:sz="0" w:space="0" w:color="auto"/>
                <w:bottom w:val="none" w:sz="0" w:space="0" w:color="auto"/>
                <w:right w:val="none" w:sz="0" w:space="0" w:color="auto"/>
              </w:divBdr>
            </w:div>
            <w:div w:id="1495872564">
              <w:marLeft w:val="0"/>
              <w:marRight w:val="0"/>
              <w:marTop w:val="0"/>
              <w:marBottom w:val="0"/>
              <w:divBdr>
                <w:top w:val="none" w:sz="0" w:space="0" w:color="auto"/>
                <w:left w:val="none" w:sz="0" w:space="0" w:color="auto"/>
                <w:bottom w:val="none" w:sz="0" w:space="0" w:color="auto"/>
                <w:right w:val="none" w:sz="0" w:space="0" w:color="auto"/>
              </w:divBdr>
            </w:div>
            <w:div w:id="1889875227">
              <w:marLeft w:val="0"/>
              <w:marRight w:val="0"/>
              <w:marTop w:val="0"/>
              <w:marBottom w:val="0"/>
              <w:divBdr>
                <w:top w:val="none" w:sz="0" w:space="0" w:color="auto"/>
                <w:left w:val="none" w:sz="0" w:space="0" w:color="auto"/>
                <w:bottom w:val="none" w:sz="0" w:space="0" w:color="auto"/>
                <w:right w:val="none" w:sz="0" w:space="0" w:color="auto"/>
              </w:divBdr>
            </w:div>
          </w:divsChild>
        </w:div>
        <w:div w:id="1850480251">
          <w:marLeft w:val="0"/>
          <w:marRight w:val="0"/>
          <w:marTop w:val="0"/>
          <w:marBottom w:val="0"/>
          <w:divBdr>
            <w:top w:val="none" w:sz="0" w:space="0" w:color="auto"/>
            <w:left w:val="none" w:sz="0" w:space="0" w:color="auto"/>
            <w:bottom w:val="none" w:sz="0" w:space="0" w:color="auto"/>
            <w:right w:val="none" w:sz="0" w:space="0" w:color="auto"/>
          </w:divBdr>
          <w:divsChild>
            <w:div w:id="945889235">
              <w:marLeft w:val="-75"/>
              <w:marRight w:val="0"/>
              <w:marTop w:val="30"/>
              <w:marBottom w:val="30"/>
              <w:divBdr>
                <w:top w:val="none" w:sz="0" w:space="0" w:color="auto"/>
                <w:left w:val="none" w:sz="0" w:space="0" w:color="auto"/>
                <w:bottom w:val="none" w:sz="0" w:space="0" w:color="auto"/>
                <w:right w:val="none" w:sz="0" w:space="0" w:color="auto"/>
              </w:divBdr>
              <w:divsChild>
                <w:div w:id="36590916">
                  <w:marLeft w:val="0"/>
                  <w:marRight w:val="0"/>
                  <w:marTop w:val="0"/>
                  <w:marBottom w:val="0"/>
                  <w:divBdr>
                    <w:top w:val="none" w:sz="0" w:space="0" w:color="auto"/>
                    <w:left w:val="none" w:sz="0" w:space="0" w:color="auto"/>
                    <w:bottom w:val="none" w:sz="0" w:space="0" w:color="auto"/>
                    <w:right w:val="none" w:sz="0" w:space="0" w:color="auto"/>
                  </w:divBdr>
                  <w:divsChild>
                    <w:div w:id="1113357975">
                      <w:marLeft w:val="0"/>
                      <w:marRight w:val="0"/>
                      <w:marTop w:val="0"/>
                      <w:marBottom w:val="0"/>
                      <w:divBdr>
                        <w:top w:val="none" w:sz="0" w:space="0" w:color="auto"/>
                        <w:left w:val="none" w:sz="0" w:space="0" w:color="auto"/>
                        <w:bottom w:val="none" w:sz="0" w:space="0" w:color="auto"/>
                        <w:right w:val="none" w:sz="0" w:space="0" w:color="auto"/>
                      </w:divBdr>
                    </w:div>
                  </w:divsChild>
                </w:div>
                <w:div w:id="1060208364">
                  <w:marLeft w:val="0"/>
                  <w:marRight w:val="0"/>
                  <w:marTop w:val="0"/>
                  <w:marBottom w:val="0"/>
                  <w:divBdr>
                    <w:top w:val="none" w:sz="0" w:space="0" w:color="auto"/>
                    <w:left w:val="none" w:sz="0" w:space="0" w:color="auto"/>
                    <w:bottom w:val="none" w:sz="0" w:space="0" w:color="auto"/>
                    <w:right w:val="none" w:sz="0" w:space="0" w:color="auto"/>
                  </w:divBdr>
                  <w:divsChild>
                    <w:div w:id="354385447">
                      <w:marLeft w:val="0"/>
                      <w:marRight w:val="0"/>
                      <w:marTop w:val="0"/>
                      <w:marBottom w:val="0"/>
                      <w:divBdr>
                        <w:top w:val="none" w:sz="0" w:space="0" w:color="auto"/>
                        <w:left w:val="none" w:sz="0" w:space="0" w:color="auto"/>
                        <w:bottom w:val="none" w:sz="0" w:space="0" w:color="auto"/>
                        <w:right w:val="none" w:sz="0" w:space="0" w:color="auto"/>
                      </w:divBdr>
                    </w:div>
                    <w:div w:id="389572412">
                      <w:marLeft w:val="0"/>
                      <w:marRight w:val="0"/>
                      <w:marTop w:val="0"/>
                      <w:marBottom w:val="0"/>
                      <w:divBdr>
                        <w:top w:val="none" w:sz="0" w:space="0" w:color="auto"/>
                        <w:left w:val="none" w:sz="0" w:space="0" w:color="auto"/>
                        <w:bottom w:val="none" w:sz="0" w:space="0" w:color="auto"/>
                        <w:right w:val="none" w:sz="0" w:space="0" w:color="auto"/>
                      </w:divBdr>
                    </w:div>
                    <w:div w:id="5248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85732">
          <w:marLeft w:val="0"/>
          <w:marRight w:val="0"/>
          <w:marTop w:val="0"/>
          <w:marBottom w:val="0"/>
          <w:divBdr>
            <w:top w:val="none" w:sz="0" w:space="0" w:color="auto"/>
            <w:left w:val="none" w:sz="0" w:space="0" w:color="auto"/>
            <w:bottom w:val="none" w:sz="0" w:space="0" w:color="auto"/>
            <w:right w:val="none" w:sz="0" w:space="0" w:color="auto"/>
          </w:divBdr>
          <w:divsChild>
            <w:div w:id="64882074">
              <w:marLeft w:val="0"/>
              <w:marRight w:val="0"/>
              <w:marTop w:val="0"/>
              <w:marBottom w:val="0"/>
              <w:divBdr>
                <w:top w:val="none" w:sz="0" w:space="0" w:color="auto"/>
                <w:left w:val="none" w:sz="0" w:space="0" w:color="auto"/>
                <w:bottom w:val="none" w:sz="0" w:space="0" w:color="auto"/>
                <w:right w:val="none" w:sz="0" w:space="0" w:color="auto"/>
              </w:divBdr>
            </w:div>
            <w:div w:id="204368753">
              <w:marLeft w:val="0"/>
              <w:marRight w:val="0"/>
              <w:marTop w:val="0"/>
              <w:marBottom w:val="0"/>
              <w:divBdr>
                <w:top w:val="none" w:sz="0" w:space="0" w:color="auto"/>
                <w:left w:val="none" w:sz="0" w:space="0" w:color="auto"/>
                <w:bottom w:val="none" w:sz="0" w:space="0" w:color="auto"/>
                <w:right w:val="none" w:sz="0" w:space="0" w:color="auto"/>
              </w:divBdr>
            </w:div>
            <w:div w:id="1305233467">
              <w:marLeft w:val="0"/>
              <w:marRight w:val="0"/>
              <w:marTop w:val="0"/>
              <w:marBottom w:val="0"/>
              <w:divBdr>
                <w:top w:val="none" w:sz="0" w:space="0" w:color="auto"/>
                <w:left w:val="none" w:sz="0" w:space="0" w:color="auto"/>
                <w:bottom w:val="none" w:sz="0" w:space="0" w:color="auto"/>
                <w:right w:val="none" w:sz="0" w:space="0" w:color="auto"/>
              </w:divBdr>
            </w:div>
          </w:divsChild>
        </w:div>
        <w:div w:id="1997565332">
          <w:marLeft w:val="0"/>
          <w:marRight w:val="0"/>
          <w:marTop w:val="0"/>
          <w:marBottom w:val="0"/>
          <w:divBdr>
            <w:top w:val="none" w:sz="0" w:space="0" w:color="auto"/>
            <w:left w:val="none" w:sz="0" w:space="0" w:color="auto"/>
            <w:bottom w:val="none" w:sz="0" w:space="0" w:color="auto"/>
            <w:right w:val="none" w:sz="0" w:space="0" w:color="auto"/>
          </w:divBdr>
          <w:divsChild>
            <w:div w:id="505636737">
              <w:marLeft w:val="-75"/>
              <w:marRight w:val="0"/>
              <w:marTop w:val="30"/>
              <w:marBottom w:val="30"/>
              <w:divBdr>
                <w:top w:val="none" w:sz="0" w:space="0" w:color="auto"/>
                <w:left w:val="none" w:sz="0" w:space="0" w:color="auto"/>
                <w:bottom w:val="none" w:sz="0" w:space="0" w:color="auto"/>
                <w:right w:val="none" w:sz="0" w:space="0" w:color="auto"/>
              </w:divBdr>
              <w:divsChild>
                <w:div w:id="142897871">
                  <w:marLeft w:val="0"/>
                  <w:marRight w:val="0"/>
                  <w:marTop w:val="0"/>
                  <w:marBottom w:val="0"/>
                  <w:divBdr>
                    <w:top w:val="none" w:sz="0" w:space="0" w:color="auto"/>
                    <w:left w:val="none" w:sz="0" w:space="0" w:color="auto"/>
                    <w:bottom w:val="none" w:sz="0" w:space="0" w:color="auto"/>
                    <w:right w:val="none" w:sz="0" w:space="0" w:color="auto"/>
                  </w:divBdr>
                  <w:divsChild>
                    <w:div w:id="615596824">
                      <w:marLeft w:val="0"/>
                      <w:marRight w:val="0"/>
                      <w:marTop w:val="0"/>
                      <w:marBottom w:val="0"/>
                      <w:divBdr>
                        <w:top w:val="none" w:sz="0" w:space="0" w:color="auto"/>
                        <w:left w:val="none" w:sz="0" w:space="0" w:color="auto"/>
                        <w:bottom w:val="none" w:sz="0" w:space="0" w:color="auto"/>
                        <w:right w:val="none" w:sz="0" w:space="0" w:color="auto"/>
                      </w:divBdr>
                    </w:div>
                    <w:div w:id="728961259">
                      <w:marLeft w:val="0"/>
                      <w:marRight w:val="0"/>
                      <w:marTop w:val="0"/>
                      <w:marBottom w:val="0"/>
                      <w:divBdr>
                        <w:top w:val="none" w:sz="0" w:space="0" w:color="auto"/>
                        <w:left w:val="none" w:sz="0" w:space="0" w:color="auto"/>
                        <w:bottom w:val="none" w:sz="0" w:space="0" w:color="auto"/>
                        <w:right w:val="none" w:sz="0" w:space="0" w:color="auto"/>
                      </w:divBdr>
                    </w:div>
                  </w:divsChild>
                </w:div>
                <w:div w:id="810444636">
                  <w:marLeft w:val="0"/>
                  <w:marRight w:val="0"/>
                  <w:marTop w:val="0"/>
                  <w:marBottom w:val="0"/>
                  <w:divBdr>
                    <w:top w:val="none" w:sz="0" w:space="0" w:color="auto"/>
                    <w:left w:val="none" w:sz="0" w:space="0" w:color="auto"/>
                    <w:bottom w:val="none" w:sz="0" w:space="0" w:color="auto"/>
                    <w:right w:val="none" w:sz="0" w:space="0" w:color="auto"/>
                  </w:divBdr>
                  <w:divsChild>
                    <w:div w:id="1563296155">
                      <w:marLeft w:val="0"/>
                      <w:marRight w:val="0"/>
                      <w:marTop w:val="0"/>
                      <w:marBottom w:val="0"/>
                      <w:divBdr>
                        <w:top w:val="none" w:sz="0" w:space="0" w:color="auto"/>
                        <w:left w:val="none" w:sz="0" w:space="0" w:color="auto"/>
                        <w:bottom w:val="none" w:sz="0" w:space="0" w:color="auto"/>
                        <w:right w:val="none" w:sz="0" w:space="0" w:color="auto"/>
                      </w:divBdr>
                    </w:div>
                  </w:divsChild>
                </w:div>
                <w:div w:id="1151097548">
                  <w:marLeft w:val="0"/>
                  <w:marRight w:val="0"/>
                  <w:marTop w:val="0"/>
                  <w:marBottom w:val="0"/>
                  <w:divBdr>
                    <w:top w:val="none" w:sz="0" w:space="0" w:color="auto"/>
                    <w:left w:val="none" w:sz="0" w:space="0" w:color="auto"/>
                    <w:bottom w:val="none" w:sz="0" w:space="0" w:color="auto"/>
                    <w:right w:val="none" w:sz="0" w:space="0" w:color="auto"/>
                  </w:divBdr>
                  <w:divsChild>
                    <w:div w:id="154304082">
                      <w:marLeft w:val="0"/>
                      <w:marRight w:val="0"/>
                      <w:marTop w:val="0"/>
                      <w:marBottom w:val="0"/>
                      <w:divBdr>
                        <w:top w:val="none" w:sz="0" w:space="0" w:color="auto"/>
                        <w:left w:val="none" w:sz="0" w:space="0" w:color="auto"/>
                        <w:bottom w:val="none" w:sz="0" w:space="0" w:color="auto"/>
                        <w:right w:val="none" w:sz="0" w:space="0" w:color="auto"/>
                      </w:divBdr>
                    </w:div>
                  </w:divsChild>
                </w:div>
                <w:div w:id="1454402075">
                  <w:marLeft w:val="0"/>
                  <w:marRight w:val="0"/>
                  <w:marTop w:val="0"/>
                  <w:marBottom w:val="0"/>
                  <w:divBdr>
                    <w:top w:val="none" w:sz="0" w:space="0" w:color="auto"/>
                    <w:left w:val="none" w:sz="0" w:space="0" w:color="auto"/>
                    <w:bottom w:val="none" w:sz="0" w:space="0" w:color="auto"/>
                    <w:right w:val="none" w:sz="0" w:space="0" w:color="auto"/>
                  </w:divBdr>
                  <w:divsChild>
                    <w:div w:id="1021396075">
                      <w:marLeft w:val="0"/>
                      <w:marRight w:val="0"/>
                      <w:marTop w:val="0"/>
                      <w:marBottom w:val="0"/>
                      <w:divBdr>
                        <w:top w:val="none" w:sz="0" w:space="0" w:color="auto"/>
                        <w:left w:val="none" w:sz="0" w:space="0" w:color="auto"/>
                        <w:bottom w:val="none" w:sz="0" w:space="0" w:color="auto"/>
                        <w:right w:val="none" w:sz="0" w:space="0" w:color="auto"/>
                      </w:divBdr>
                    </w:div>
                  </w:divsChild>
                </w:div>
                <w:div w:id="1534921602">
                  <w:marLeft w:val="0"/>
                  <w:marRight w:val="0"/>
                  <w:marTop w:val="0"/>
                  <w:marBottom w:val="0"/>
                  <w:divBdr>
                    <w:top w:val="none" w:sz="0" w:space="0" w:color="auto"/>
                    <w:left w:val="none" w:sz="0" w:space="0" w:color="auto"/>
                    <w:bottom w:val="none" w:sz="0" w:space="0" w:color="auto"/>
                    <w:right w:val="none" w:sz="0" w:space="0" w:color="auto"/>
                  </w:divBdr>
                  <w:divsChild>
                    <w:div w:id="281809547">
                      <w:marLeft w:val="0"/>
                      <w:marRight w:val="0"/>
                      <w:marTop w:val="0"/>
                      <w:marBottom w:val="0"/>
                      <w:divBdr>
                        <w:top w:val="none" w:sz="0" w:space="0" w:color="auto"/>
                        <w:left w:val="none" w:sz="0" w:space="0" w:color="auto"/>
                        <w:bottom w:val="none" w:sz="0" w:space="0" w:color="auto"/>
                        <w:right w:val="none" w:sz="0" w:space="0" w:color="auto"/>
                      </w:divBdr>
                    </w:div>
                  </w:divsChild>
                </w:div>
                <w:div w:id="1937519838">
                  <w:marLeft w:val="0"/>
                  <w:marRight w:val="0"/>
                  <w:marTop w:val="0"/>
                  <w:marBottom w:val="0"/>
                  <w:divBdr>
                    <w:top w:val="none" w:sz="0" w:space="0" w:color="auto"/>
                    <w:left w:val="none" w:sz="0" w:space="0" w:color="auto"/>
                    <w:bottom w:val="none" w:sz="0" w:space="0" w:color="auto"/>
                    <w:right w:val="none" w:sz="0" w:space="0" w:color="auto"/>
                  </w:divBdr>
                </w:div>
                <w:div w:id="1974679066">
                  <w:marLeft w:val="0"/>
                  <w:marRight w:val="0"/>
                  <w:marTop w:val="0"/>
                  <w:marBottom w:val="0"/>
                  <w:divBdr>
                    <w:top w:val="none" w:sz="0" w:space="0" w:color="auto"/>
                    <w:left w:val="none" w:sz="0" w:space="0" w:color="auto"/>
                    <w:bottom w:val="none" w:sz="0" w:space="0" w:color="auto"/>
                    <w:right w:val="none" w:sz="0" w:space="0" w:color="auto"/>
                  </w:divBdr>
                  <w:divsChild>
                    <w:div w:id="278026389">
                      <w:marLeft w:val="0"/>
                      <w:marRight w:val="0"/>
                      <w:marTop w:val="0"/>
                      <w:marBottom w:val="0"/>
                      <w:divBdr>
                        <w:top w:val="none" w:sz="0" w:space="0" w:color="auto"/>
                        <w:left w:val="none" w:sz="0" w:space="0" w:color="auto"/>
                        <w:bottom w:val="none" w:sz="0" w:space="0" w:color="auto"/>
                        <w:right w:val="none" w:sz="0" w:space="0" w:color="auto"/>
                      </w:divBdr>
                    </w:div>
                  </w:divsChild>
                </w:div>
                <w:div w:id="2010714576">
                  <w:marLeft w:val="0"/>
                  <w:marRight w:val="0"/>
                  <w:marTop w:val="0"/>
                  <w:marBottom w:val="0"/>
                  <w:divBdr>
                    <w:top w:val="none" w:sz="0" w:space="0" w:color="auto"/>
                    <w:left w:val="none" w:sz="0" w:space="0" w:color="auto"/>
                    <w:bottom w:val="none" w:sz="0" w:space="0" w:color="auto"/>
                    <w:right w:val="none" w:sz="0" w:space="0" w:color="auto"/>
                  </w:divBdr>
                  <w:divsChild>
                    <w:div w:id="1618411616">
                      <w:marLeft w:val="0"/>
                      <w:marRight w:val="0"/>
                      <w:marTop w:val="0"/>
                      <w:marBottom w:val="0"/>
                      <w:divBdr>
                        <w:top w:val="none" w:sz="0" w:space="0" w:color="auto"/>
                        <w:left w:val="none" w:sz="0" w:space="0" w:color="auto"/>
                        <w:bottom w:val="none" w:sz="0" w:space="0" w:color="auto"/>
                        <w:right w:val="none" w:sz="0" w:space="0" w:color="auto"/>
                      </w:divBdr>
                    </w:div>
                  </w:divsChild>
                </w:div>
                <w:div w:id="2053722845">
                  <w:marLeft w:val="0"/>
                  <w:marRight w:val="0"/>
                  <w:marTop w:val="0"/>
                  <w:marBottom w:val="0"/>
                  <w:divBdr>
                    <w:top w:val="none" w:sz="0" w:space="0" w:color="auto"/>
                    <w:left w:val="none" w:sz="0" w:space="0" w:color="auto"/>
                    <w:bottom w:val="none" w:sz="0" w:space="0" w:color="auto"/>
                    <w:right w:val="none" w:sz="0" w:space="0" w:color="auto"/>
                  </w:divBdr>
                  <w:divsChild>
                    <w:div w:id="3143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934451">
      <w:bodyDiv w:val="1"/>
      <w:marLeft w:val="0"/>
      <w:marRight w:val="0"/>
      <w:marTop w:val="0"/>
      <w:marBottom w:val="0"/>
      <w:divBdr>
        <w:top w:val="none" w:sz="0" w:space="0" w:color="auto"/>
        <w:left w:val="none" w:sz="0" w:space="0" w:color="auto"/>
        <w:bottom w:val="none" w:sz="0" w:space="0" w:color="auto"/>
        <w:right w:val="none" w:sz="0" w:space="0" w:color="auto"/>
      </w:divBdr>
    </w:div>
    <w:div w:id="947078766">
      <w:marLeft w:val="480"/>
      <w:marRight w:val="0"/>
      <w:marTop w:val="0"/>
      <w:marBottom w:val="0"/>
      <w:divBdr>
        <w:top w:val="none" w:sz="0" w:space="0" w:color="auto"/>
        <w:left w:val="none" w:sz="0" w:space="0" w:color="auto"/>
        <w:bottom w:val="none" w:sz="0" w:space="0" w:color="auto"/>
        <w:right w:val="none" w:sz="0" w:space="0" w:color="auto"/>
      </w:divBdr>
    </w:div>
    <w:div w:id="947082301">
      <w:marLeft w:val="480"/>
      <w:marRight w:val="0"/>
      <w:marTop w:val="0"/>
      <w:marBottom w:val="0"/>
      <w:divBdr>
        <w:top w:val="none" w:sz="0" w:space="0" w:color="auto"/>
        <w:left w:val="none" w:sz="0" w:space="0" w:color="auto"/>
        <w:bottom w:val="none" w:sz="0" w:space="0" w:color="auto"/>
        <w:right w:val="none" w:sz="0" w:space="0" w:color="auto"/>
      </w:divBdr>
    </w:div>
    <w:div w:id="948198539">
      <w:marLeft w:val="480"/>
      <w:marRight w:val="0"/>
      <w:marTop w:val="0"/>
      <w:marBottom w:val="0"/>
      <w:divBdr>
        <w:top w:val="none" w:sz="0" w:space="0" w:color="auto"/>
        <w:left w:val="none" w:sz="0" w:space="0" w:color="auto"/>
        <w:bottom w:val="none" w:sz="0" w:space="0" w:color="auto"/>
        <w:right w:val="none" w:sz="0" w:space="0" w:color="auto"/>
      </w:divBdr>
    </w:div>
    <w:div w:id="948780593">
      <w:marLeft w:val="480"/>
      <w:marRight w:val="0"/>
      <w:marTop w:val="0"/>
      <w:marBottom w:val="0"/>
      <w:divBdr>
        <w:top w:val="none" w:sz="0" w:space="0" w:color="auto"/>
        <w:left w:val="none" w:sz="0" w:space="0" w:color="auto"/>
        <w:bottom w:val="none" w:sz="0" w:space="0" w:color="auto"/>
        <w:right w:val="none" w:sz="0" w:space="0" w:color="auto"/>
      </w:divBdr>
    </w:div>
    <w:div w:id="949705553">
      <w:marLeft w:val="480"/>
      <w:marRight w:val="0"/>
      <w:marTop w:val="0"/>
      <w:marBottom w:val="0"/>
      <w:divBdr>
        <w:top w:val="none" w:sz="0" w:space="0" w:color="auto"/>
        <w:left w:val="none" w:sz="0" w:space="0" w:color="auto"/>
        <w:bottom w:val="none" w:sz="0" w:space="0" w:color="auto"/>
        <w:right w:val="none" w:sz="0" w:space="0" w:color="auto"/>
      </w:divBdr>
    </w:div>
    <w:div w:id="951667851">
      <w:marLeft w:val="480"/>
      <w:marRight w:val="0"/>
      <w:marTop w:val="0"/>
      <w:marBottom w:val="0"/>
      <w:divBdr>
        <w:top w:val="none" w:sz="0" w:space="0" w:color="auto"/>
        <w:left w:val="none" w:sz="0" w:space="0" w:color="auto"/>
        <w:bottom w:val="none" w:sz="0" w:space="0" w:color="auto"/>
        <w:right w:val="none" w:sz="0" w:space="0" w:color="auto"/>
      </w:divBdr>
    </w:div>
    <w:div w:id="952517748">
      <w:marLeft w:val="480"/>
      <w:marRight w:val="0"/>
      <w:marTop w:val="0"/>
      <w:marBottom w:val="0"/>
      <w:divBdr>
        <w:top w:val="none" w:sz="0" w:space="0" w:color="auto"/>
        <w:left w:val="none" w:sz="0" w:space="0" w:color="auto"/>
        <w:bottom w:val="none" w:sz="0" w:space="0" w:color="auto"/>
        <w:right w:val="none" w:sz="0" w:space="0" w:color="auto"/>
      </w:divBdr>
    </w:div>
    <w:div w:id="953905441">
      <w:bodyDiv w:val="1"/>
      <w:marLeft w:val="0"/>
      <w:marRight w:val="0"/>
      <w:marTop w:val="0"/>
      <w:marBottom w:val="0"/>
      <w:divBdr>
        <w:top w:val="none" w:sz="0" w:space="0" w:color="auto"/>
        <w:left w:val="none" w:sz="0" w:space="0" w:color="auto"/>
        <w:bottom w:val="none" w:sz="0" w:space="0" w:color="auto"/>
        <w:right w:val="none" w:sz="0" w:space="0" w:color="auto"/>
      </w:divBdr>
    </w:div>
    <w:div w:id="957640412">
      <w:marLeft w:val="480"/>
      <w:marRight w:val="0"/>
      <w:marTop w:val="0"/>
      <w:marBottom w:val="0"/>
      <w:divBdr>
        <w:top w:val="none" w:sz="0" w:space="0" w:color="auto"/>
        <w:left w:val="none" w:sz="0" w:space="0" w:color="auto"/>
        <w:bottom w:val="none" w:sz="0" w:space="0" w:color="auto"/>
        <w:right w:val="none" w:sz="0" w:space="0" w:color="auto"/>
      </w:divBdr>
    </w:div>
    <w:div w:id="958494164">
      <w:marLeft w:val="480"/>
      <w:marRight w:val="0"/>
      <w:marTop w:val="0"/>
      <w:marBottom w:val="0"/>
      <w:divBdr>
        <w:top w:val="none" w:sz="0" w:space="0" w:color="auto"/>
        <w:left w:val="none" w:sz="0" w:space="0" w:color="auto"/>
        <w:bottom w:val="none" w:sz="0" w:space="0" w:color="auto"/>
        <w:right w:val="none" w:sz="0" w:space="0" w:color="auto"/>
      </w:divBdr>
    </w:div>
    <w:div w:id="959534410">
      <w:marLeft w:val="480"/>
      <w:marRight w:val="0"/>
      <w:marTop w:val="0"/>
      <w:marBottom w:val="0"/>
      <w:divBdr>
        <w:top w:val="none" w:sz="0" w:space="0" w:color="auto"/>
        <w:left w:val="none" w:sz="0" w:space="0" w:color="auto"/>
        <w:bottom w:val="none" w:sz="0" w:space="0" w:color="auto"/>
        <w:right w:val="none" w:sz="0" w:space="0" w:color="auto"/>
      </w:divBdr>
    </w:div>
    <w:div w:id="959654933">
      <w:marLeft w:val="480"/>
      <w:marRight w:val="0"/>
      <w:marTop w:val="0"/>
      <w:marBottom w:val="0"/>
      <w:divBdr>
        <w:top w:val="none" w:sz="0" w:space="0" w:color="auto"/>
        <w:left w:val="none" w:sz="0" w:space="0" w:color="auto"/>
        <w:bottom w:val="none" w:sz="0" w:space="0" w:color="auto"/>
        <w:right w:val="none" w:sz="0" w:space="0" w:color="auto"/>
      </w:divBdr>
    </w:div>
    <w:div w:id="962467350">
      <w:marLeft w:val="480"/>
      <w:marRight w:val="0"/>
      <w:marTop w:val="0"/>
      <w:marBottom w:val="0"/>
      <w:divBdr>
        <w:top w:val="none" w:sz="0" w:space="0" w:color="auto"/>
        <w:left w:val="none" w:sz="0" w:space="0" w:color="auto"/>
        <w:bottom w:val="none" w:sz="0" w:space="0" w:color="auto"/>
        <w:right w:val="none" w:sz="0" w:space="0" w:color="auto"/>
      </w:divBdr>
    </w:div>
    <w:div w:id="965087092">
      <w:bodyDiv w:val="1"/>
      <w:marLeft w:val="0"/>
      <w:marRight w:val="0"/>
      <w:marTop w:val="0"/>
      <w:marBottom w:val="0"/>
      <w:divBdr>
        <w:top w:val="none" w:sz="0" w:space="0" w:color="auto"/>
        <w:left w:val="none" w:sz="0" w:space="0" w:color="auto"/>
        <w:bottom w:val="none" w:sz="0" w:space="0" w:color="auto"/>
        <w:right w:val="none" w:sz="0" w:space="0" w:color="auto"/>
      </w:divBdr>
      <w:divsChild>
        <w:div w:id="275138325">
          <w:marLeft w:val="0"/>
          <w:marRight w:val="0"/>
          <w:marTop w:val="0"/>
          <w:marBottom w:val="0"/>
          <w:divBdr>
            <w:top w:val="none" w:sz="0" w:space="0" w:color="auto"/>
            <w:left w:val="none" w:sz="0" w:space="0" w:color="auto"/>
            <w:bottom w:val="none" w:sz="0" w:space="0" w:color="auto"/>
            <w:right w:val="none" w:sz="0" w:space="0" w:color="auto"/>
          </w:divBdr>
          <w:divsChild>
            <w:div w:id="2068718438">
              <w:marLeft w:val="-75"/>
              <w:marRight w:val="0"/>
              <w:marTop w:val="30"/>
              <w:marBottom w:val="30"/>
              <w:divBdr>
                <w:top w:val="none" w:sz="0" w:space="0" w:color="auto"/>
                <w:left w:val="none" w:sz="0" w:space="0" w:color="auto"/>
                <w:bottom w:val="none" w:sz="0" w:space="0" w:color="auto"/>
                <w:right w:val="none" w:sz="0" w:space="0" w:color="auto"/>
              </w:divBdr>
              <w:divsChild>
                <w:div w:id="66347492">
                  <w:marLeft w:val="0"/>
                  <w:marRight w:val="0"/>
                  <w:marTop w:val="0"/>
                  <w:marBottom w:val="0"/>
                  <w:divBdr>
                    <w:top w:val="none" w:sz="0" w:space="0" w:color="auto"/>
                    <w:left w:val="none" w:sz="0" w:space="0" w:color="auto"/>
                    <w:bottom w:val="none" w:sz="0" w:space="0" w:color="auto"/>
                    <w:right w:val="none" w:sz="0" w:space="0" w:color="auto"/>
                  </w:divBdr>
                </w:div>
                <w:div w:id="92632253">
                  <w:marLeft w:val="0"/>
                  <w:marRight w:val="0"/>
                  <w:marTop w:val="0"/>
                  <w:marBottom w:val="0"/>
                  <w:divBdr>
                    <w:top w:val="none" w:sz="0" w:space="0" w:color="auto"/>
                    <w:left w:val="none" w:sz="0" w:space="0" w:color="auto"/>
                    <w:bottom w:val="none" w:sz="0" w:space="0" w:color="auto"/>
                    <w:right w:val="none" w:sz="0" w:space="0" w:color="auto"/>
                  </w:divBdr>
                  <w:divsChild>
                    <w:div w:id="913003583">
                      <w:marLeft w:val="0"/>
                      <w:marRight w:val="0"/>
                      <w:marTop w:val="0"/>
                      <w:marBottom w:val="0"/>
                      <w:divBdr>
                        <w:top w:val="none" w:sz="0" w:space="0" w:color="auto"/>
                        <w:left w:val="none" w:sz="0" w:space="0" w:color="auto"/>
                        <w:bottom w:val="none" w:sz="0" w:space="0" w:color="auto"/>
                        <w:right w:val="none" w:sz="0" w:space="0" w:color="auto"/>
                      </w:divBdr>
                    </w:div>
                  </w:divsChild>
                </w:div>
                <w:div w:id="181359607">
                  <w:marLeft w:val="0"/>
                  <w:marRight w:val="0"/>
                  <w:marTop w:val="0"/>
                  <w:marBottom w:val="0"/>
                  <w:divBdr>
                    <w:top w:val="none" w:sz="0" w:space="0" w:color="auto"/>
                    <w:left w:val="none" w:sz="0" w:space="0" w:color="auto"/>
                    <w:bottom w:val="none" w:sz="0" w:space="0" w:color="auto"/>
                    <w:right w:val="none" w:sz="0" w:space="0" w:color="auto"/>
                  </w:divBdr>
                  <w:divsChild>
                    <w:div w:id="703021623">
                      <w:marLeft w:val="0"/>
                      <w:marRight w:val="0"/>
                      <w:marTop w:val="0"/>
                      <w:marBottom w:val="0"/>
                      <w:divBdr>
                        <w:top w:val="none" w:sz="0" w:space="0" w:color="auto"/>
                        <w:left w:val="none" w:sz="0" w:space="0" w:color="auto"/>
                        <w:bottom w:val="none" w:sz="0" w:space="0" w:color="auto"/>
                        <w:right w:val="none" w:sz="0" w:space="0" w:color="auto"/>
                      </w:divBdr>
                    </w:div>
                    <w:div w:id="1560631726">
                      <w:marLeft w:val="0"/>
                      <w:marRight w:val="0"/>
                      <w:marTop w:val="0"/>
                      <w:marBottom w:val="0"/>
                      <w:divBdr>
                        <w:top w:val="none" w:sz="0" w:space="0" w:color="auto"/>
                        <w:left w:val="none" w:sz="0" w:space="0" w:color="auto"/>
                        <w:bottom w:val="none" w:sz="0" w:space="0" w:color="auto"/>
                        <w:right w:val="none" w:sz="0" w:space="0" w:color="auto"/>
                      </w:divBdr>
                    </w:div>
                  </w:divsChild>
                </w:div>
                <w:div w:id="228882848">
                  <w:marLeft w:val="0"/>
                  <w:marRight w:val="0"/>
                  <w:marTop w:val="0"/>
                  <w:marBottom w:val="0"/>
                  <w:divBdr>
                    <w:top w:val="none" w:sz="0" w:space="0" w:color="auto"/>
                    <w:left w:val="none" w:sz="0" w:space="0" w:color="auto"/>
                    <w:bottom w:val="none" w:sz="0" w:space="0" w:color="auto"/>
                    <w:right w:val="none" w:sz="0" w:space="0" w:color="auto"/>
                  </w:divBdr>
                  <w:divsChild>
                    <w:div w:id="171376794">
                      <w:marLeft w:val="0"/>
                      <w:marRight w:val="0"/>
                      <w:marTop w:val="0"/>
                      <w:marBottom w:val="0"/>
                      <w:divBdr>
                        <w:top w:val="none" w:sz="0" w:space="0" w:color="auto"/>
                        <w:left w:val="none" w:sz="0" w:space="0" w:color="auto"/>
                        <w:bottom w:val="none" w:sz="0" w:space="0" w:color="auto"/>
                        <w:right w:val="none" w:sz="0" w:space="0" w:color="auto"/>
                      </w:divBdr>
                    </w:div>
                  </w:divsChild>
                </w:div>
                <w:div w:id="354775590">
                  <w:marLeft w:val="0"/>
                  <w:marRight w:val="0"/>
                  <w:marTop w:val="0"/>
                  <w:marBottom w:val="0"/>
                  <w:divBdr>
                    <w:top w:val="none" w:sz="0" w:space="0" w:color="auto"/>
                    <w:left w:val="none" w:sz="0" w:space="0" w:color="auto"/>
                    <w:bottom w:val="none" w:sz="0" w:space="0" w:color="auto"/>
                    <w:right w:val="none" w:sz="0" w:space="0" w:color="auto"/>
                  </w:divBdr>
                  <w:divsChild>
                    <w:div w:id="1527209994">
                      <w:marLeft w:val="0"/>
                      <w:marRight w:val="0"/>
                      <w:marTop w:val="0"/>
                      <w:marBottom w:val="0"/>
                      <w:divBdr>
                        <w:top w:val="none" w:sz="0" w:space="0" w:color="auto"/>
                        <w:left w:val="none" w:sz="0" w:space="0" w:color="auto"/>
                        <w:bottom w:val="none" w:sz="0" w:space="0" w:color="auto"/>
                        <w:right w:val="none" w:sz="0" w:space="0" w:color="auto"/>
                      </w:divBdr>
                    </w:div>
                  </w:divsChild>
                </w:div>
                <w:div w:id="476578015">
                  <w:marLeft w:val="0"/>
                  <w:marRight w:val="0"/>
                  <w:marTop w:val="0"/>
                  <w:marBottom w:val="0"/>
                  <w:divBdr>
                    <w:top w:val="none" w:sz="0" w:space="0" w:color="auto"/>
                    <w:left w:val="none" w:sz="0" w:space="0" w:color="auto"/>
                    <w:bottom w:val="none" w:sz="0" w:space="0" w:color="auto"/>
                    <w:right w:val="none" w:sz="0" w:space="0" w:color="auto"/>
                  </w:divBdr>
                  <w:divsChild>
                    <w:div w:id="1375304707">
                      <w:marLeft w:val="0"/>
                      <w:marRight w:val="0"/>
                      <w:marTop w:val="0"/>
                      <w:marBottom w:val="0"/>
                      <w:divBdr>
                        <w:top w:val="none" w:sz="0" w:space="0" w:color="auto"/>
                        <w:left w:val="none" w:sz="0" w:space="0" w:color="auto"/>
                        <w:bottom w:val="none" w:sz="0" w:space="0" w:color="auto"/>
                        <w:right w:val="none" w:sz="0" w:space="0" w:color="auto"/>
                      </w:divBdr>
                    </w:div>
                  </w:divsChild>
                </w:div>
                <w:div w:id="1006790001">
                  <w:marLeft w:val="0"/>
                  <w:marRight w:val="0"/>
                  <w:marTop w:val="0"/>
                  <w:marBottom w:val="0"/>
                  <w:divBdr>
                    <w:top w:val="none" w:sz="0" w:space="0" w:color="auto"/>
                    <w:left w:val="none" w:sz="0" w:space="0" w:color="auto"/>
                    <w:bottom w:val="none" w:sz="0" w:space="0" w:color="auto"/>
                    <w:right w:val="none" w:sz="0" w:space="0" w:color="auto"/>
                  </w:divBdr>
                  <w:divsChild>
                    <w:div w:id="1381049722">
                      <w:marLeft w:val="0"/>
                      <w:marRight w:val="0"/>
                      <w:marTop w:val="0"/>
                      <w:marBottom w:val="0"/>
                      <w:divBdr>
                        <w:top w:val="none" w:sz="0" w:space="0" w:color="auto"/>
                        <w:left w:val="none" w:sz="0" w:space="0" w:color="auto"/>
                        <w:bottom w:val="none" w:sz="0" w:space="0" w:color="auto"/>
                        <w:right w:val="none" w:sz="0" w:space="0" w:color="auto"/>
                      </w:divBdr>
                    </w:div>
                  </w:divsChild>
                </w:div>
                <w:div w:id="1101952105">
                  <w:marLeft w:val="0"/>
                  <w:marRight w:val="0"/>
                  <w:marTop w:val="0"/>
                  <w:marBottom w:val="0"/>
                  <w:divBdr>
                    <w:top w:val="none" w:sz="0" w:space="0" w:color="auto"/>
                    <w:left w:val="none" w:sz="0" w:space="0" w:color="auto"/>
                    <w:bottom w:val="none" w:sz="0" w:space="0" w:color="auto"/>
                    <w:right w:val="none" w:sz="0" w:space="0" w:color="auto"/>
                  </w:divBdr>
                  <w:divsChild>
                    <w:div w:id="954556348">
                      <w:marLeft w:val="0"/>
                      <w:marRight w:val="0"/>
                      <w:marTop w:val="0"/>
                      <w:marBottom w:val="0"/>
                      <w:divBdr>
                        <w:top w:val="none" w:sz="0" w:space="0" w:color="auto"/>
                        <w:left w:val="none" w:sz="0" w:space="0" w:color="auto"/>
                        <w:bottom w:val="none" w:sz="0" w:space="0" w:color="auto"/>
                        <w:right w:val="none" w:sz="0" w:space="0" w:color="auto"/>
                      </w:divBdr>
                    </w:div>
                  </w:divsChild>
                </w:div>
                <w:div w:id="1256279279">
                  <w:marLeft w:val="0"/>
                  <w:marRight w:val="0"/>
                  <w:marTop w:val="0"/>
                  <w:marBottom w:val="0"/>
                  <w:divBdr>
                    <w:top w:val="none" w:sz="0" w:space="0" w:color="auto"/>
                    <w:left w:val="none" w:sz="0" w:space="0" w:color="auto"/>
                    <w:bottom w:val="none" w:sz="0" w:space="0" w:color="auto"/>
                    <w:right w:val="none" w:sz="0" w:space="0" w:color="auto"/>
                  </w:divBdr>
                  <w:divsChild>
                    <w:div w:id="1952586195">
                      <w:marLeft w:val="0"/>
                      <w:marRight w:val="0"/>
                      <w:marTop w:val="0"/>
                      <w:marBottom w:val="0"/>
                      <w:divBdr>
                        <w:top w:val="none" w:sz="0" w:space="0" w:color="auto"/>
                        <w:left w:val="none" w:sz="0" w:space="0" w:color="auto"/>
                        <w:bottom w:val="none" w:sz="0" w:space="0" w:color="auto"/>
                        <w:right w:val="none" w:sz="0" w:space="0" w:color="auto"/>
                      </w:divBdr>
                    </w:div>
                  </w:divsChild>
                </w:div>
                <w:div w:id="1300383657">
                  <w:marLeft w:val="0"/>
                  <w:marRight w:val="0"/>
                  <w:marTop w:val="0"/>
                  <w:marBottom w:val="0"/>
                  <w:divBdr>
                    <w:top w:val="none" w:sz="0" w:space="0" w:color="auto"/>
                    <w:left w:val="none" w:sz="0" w:space="0" w:color="auto"/>
                    <w:bottom w:val="none" w:sz="0" w:space="0" w:color="auto"/>
                    <w:right w:val="none" w:sz="0" w:space="0" w:color="auto"/>
                  </w:divBdr>
                  <w:divsChild>
                    <w:div w:id="113377992">
                      <w:marLeft w:val="0"/>
                      <w:marRight w:val="0"/>
                      <w:marTop w:val="0"/>
                      <w:marBottom w:val="0"/>
                      <w:divBdr>
                        <w:top w:val="none" w:sz="0" w:space="0" w:color="auto"/>
                        <w:left w:val="none" w:sz="0" w:space="0" w:color="auto"/>
                        <w:bottom w:val="none" w:sz="0" w:space="0" w:color="auto"/>
                        <w:right w:val="none" w:sz="0" w:space="0" w:color="auto"/>
                      </w:divBdr>
                    </w:div>
                  </w:divsChild>
                </w:div>
                <w:div w:id="1329286925">
                  <w:marLeft w:val="0"/>
                  <w:marRight w:val="0"/>
                  <w:marTop w:val="0"/>
                  <w:marBottom w:val="0"/>
                  <w:divBdr>
                    <w:top w:val="none" w:sz="0" w:space="0" w:color="auto"/>
                    <w:left w:val="none" w:sz="0" w:space="0" w:color="auto"/>
                    <w:bottom w:val="none" w:sz="0" w:space="0" w:color="auto"/>
                    <w:right w:val="none" w:sz="0" w:space="0" w:color="auto"/>
                  </w:divBdr>
                  <w:divsChild>
                    <w:div w:id="872963317">
                      <w:marLeft w:val="0"/>
                      <w:marRight w:val="0"/>
                      <w:marTop w:val="0"/>
                      <w:marBottom w:val="0"/>
                      <w:divBdr>
                        <w:top w:val="none" w:sz="0" w:space="0" w:color="auto"/>
                        <w:left w:val="none" w:sz="0" w:space="0" w:color="auto"/>
                        <w:bottom w:val="none" w:sz="0" w:space="0" w:color="auto"/>
                        <w:right w:val="none" w:sz="0" w:space="0" w:color="auto"/>
                      </w:divBdr>
                    </w:div>
                  </w:divsChild>
                </w:div>
                <w:div w:id="1363286248">
                  <w:marLeft w:val="0"/>
                  <w:marRight w:val="0"/>
                  <w:marTop w:val="0"/>
                  <w:marBottom w:val="0"/>
                  <w:divBdr>
                    <w:top w:val="none" w:sz="0" w:space="0" w:color="auto"/>
                    <w:left w:val="none" w:sz="0" w:space="0" w:color="auto"/>
                    <w:bottom w:val="none" w:sz="0" w:space="0" w:color="auto"/>
                    <w:right w:val="none" w:sz="0" w:space="0" w:color="auto"/>
                  </w:divBdr>
                  <w:divsChild>
                    <w:div w:id="934435128">
                      <w:marLeft w:val="0"/>
                      <w:marRight w:val="0"/>
                      <w:marTop w:val="0"/>
                      <w:marBottom w:val="0"/>
                      <w:divBdr>
                        <w:top w:val="none" w:sz="0" w:space="0" w:color="auto"/>
                        <w:left w:val="none" w:sz="0" w:space="0" w:color="auto"/>
                        <w:bottom w:val="none" w:sz="0" w:space="0" w:color="auto"/>
                        <w:right w:val="none" w:sz="0" w:space="0" w:color="auto"/>
                      </w:divBdr>
                    </w:div>
                  </w:divsChild>
                </w:div>
                <w:div w:id="1530340854">
                  <w:marLeft w:val="0"/>
                  <w:marRight w:val="0"/>
                  <w:marTop w:val="0"/>
                  <w:marBottom w:val="0"/>
                  <w:divBdr>
                    <w:top w:val="none" w:sz="0" w:space="0" w:color="auto"/>
                    <w:left w:val="none" w:sz="0" w:space="0" w:color="auto"/>
                    <w:bottom w:val="none" w:sz="0" w:space="0" w:color="auto"/>
                    <w:right w:val="none" w:sz="0" w:space="0" w:color="auto"/>
                  </w:divBdr>
                  <w:divsChild>
                    <w:div w:id="238056862">
                      <w:marLeft w:val="0"/>
                      <w:marRight w:val="0"/>
                      <w:marTop w:val="0"/>
                      <w:marBottom w:val="0"/>
                      <w:divBdr>
                        <w:top w:val="none" w:sz="0" w:space="0" w:color="auto"/>
                        <w:left w:val="none" w:sz="0" w:space="0" w:color="auto"/>
                        <w:bottom w:val="none" w:sz="0" w:space="0" w:color="auto"/>
                        <w:right w:val="none" w:sz="0" w:space="0" w:color="auto"/>
                      </w:divBdr>
                    </w:div>
                  </w:divsChild>
                </w:div>
                <w:div w:id="1581478184">
                  <w:marLeft w:val="0"/>
                  <w:marRight w:val="0"/>
                  <w:marTop w:val="0"/>
                  <w:marBottom w:val="0"/>
                  <w:divBdr>
                    <w:top w:val="none" w:sz="0" w:space="0" w:color="auto"/>
                    <w:left w:val="none" w:sz="0" w:space="0" w:color="auto"/>
                    <w:bottom w:val="none" w:sz="0" w:space="0" w:color="auto"/>
                    <w:right w:val="none" w:sz="0" w:space="0" w:color="auto"/>
                  </w:divBdr>
                  <w:divsChild>
                    <w:div w:id="1893691175">
                      <w:marLeft w:val="0"/>
                      <w:marRight w:val="0"/>
                      <w:marTop w:val="0"/>
                      <w:marBottom w:val="0"/>
                      <w:divBdr>
                        <w:top w:val="none" w:sz="0" w:space="0" w:color="auto"/>
                        <w:left w:val="none" w:sz="0" w:space="0" w:color="auto"/>
                        <w:bottom w:val="none" w:sz="0" w:space="0" w:color="auto"/>
                        <w:right w:val="none" w:sz="0" w:space="0" w:color="auto"/>
                      </w:divBdr>
                    </w:div>
                  </w:divsChild>
                </w:div>
                <w:div w:id="1591040579">
                  <w:marLeft w:val="0"/>
                  <w:marRight w:val="0"/>
                  <w:marTop w:val="0"/>
                  <w:marBottom w:val="0"/>
                  <w:divBdr>
                    <w:top w:val="none" w:sz="0" w:space="0" w:color="auto"/>
                    <w:left w:val="none" w:sz="0" w:space="0" w:color="auto"/>
                    <w:bottom w:val="none" w:sz="0" w:space="0" w:color="auto"/>
                    <w:right w:val="none" w:sz="0" w:space="0" w:color="auto"/>
                  </w:divBdr>
                  <w:divsChild>
                    <w:div w:id="309748395">
                      <w:marLeft w:val="0"/>
                      <w:marRight w:val="0"/>
                      <w:marTop w:val="0"/>
                      <w:marBottom w:val="0"/>
                      <w:divBdr>
                        <w:top w:val="none" w:sz="0" w:space="0" w:color="auto"/>
                        <w:left w:val="none" w:sz="0" w:space="0" w:color="auto"/>
                        <w:bottom w:val="none" w:sz="0" w:space="0" w:color="auto"/>
                        <w:right w:val="none" w:sz="0" w:space="0" w:color="auto"/>
                      </w:divBdr>
                    </w:div>
                  </w:divsChild>
                </w:div>
                <w:div w:id="2018648585">
                  <w:marLeft w:val="0"/>
                  <w:marRight w:val="0"/>
                  <w:marTop w:val="0"/>
                  <w:marBottom w:val="0"/>
                  <w:divBdr>
                    <w:top w:val="none" w:sz="0" w:space="0" w:color="auto"/>
                    <w:left w:val="none" w:sz="0" w:space="0" w:color="auto"/>
                    <w:bottom w:val="none" w:sz="0" w:space="0" w:color="auto"/>
                    <w:right w:val="none" w:sz="0" w:space="0" w:color="auto"/>
                  </w:divBdr>
                  <w:divsChild>
                    <w:div w:id="1193761628">
                      <w:marLeft w:val="0"/>
                      <w:marRight w:val="0"/>
                      <w:marTop w:val="0"/>
                      <w:marBottom w:val="0"/>
                      <w:divBdr>
                        <w:top w:val="none" w:sz="0" w:space="0" w:color="auto"/>
                        <w:left w:val="none" w:sz="0" w:space="0" w:color="auto"/>
                        <w:bottom w:val="none" w:sz="0" w:space="0" w:color="auto"/>
                        <w:right w:val="none" w:sz="0" w:space="0" w:color="auto"/>
                      </w:divBdr>
                    </w:div>
                  </w:divsChild>
                </w:div>
                <w:div w:id="2104643831">
                  <w:marLeft w:val="0"/>
                  <w:marRight w:val="0"/>
                  <w:marTop w:val="0"/>
                  <w:marBottom w:val="0"/>
                  <w:divBdr>
                    <w:top w:val="none" w:sz="0" w:space="0" w:color="auto"/>
                    <w:left w:val="none" w:sz="0" w:space="0" w:color="auto"/>
                    <w:bottom w:val="none" w:sz="0" w:space="0" w:color="auto"/>
                    <w:right w:val="none" w:sz="0" w:space="0" w:color="auto"/>
                  </w:divBdr>
                  <w:divsChild>
                    <w:div w:id="6388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82099">
          <w:marLeft w:val="0"/>
          <w:marRight w:val="0"/>
          <w:marTop w:val="0"/>
          <w:marBottom w:val="0"/>
          <w:divBdr>
            <w:top w:val="none" w:sz="0" w:space="0" w:color="auto"/>
            <w:left w:val="none" w:sz="0" w:space="0" w:color="auto"/>
            <w:bottom w:val="none" w:sz="0" w:space="0" w:color="auto"/>
            <w:right w:val="none" w:sz="0" w:space="0" w:color="auto"/>
          </w:divBdr>
          <w:divsChild>
            <w:div w:id="2123305922">
              <w:marLeft w:val="-75"/>
              <w:marRight w:val="0"/>
              <w:marTop w:val="30"/>
              <w:marBottom w:val="30"/>
              <w:divBdr>
                <w:top w:val="none" w:sz="0" w:space="0" w:color="auto"/>
                <w:left w:val="none" w:sz="0" w:space="0" w:color="auto"/>
                <w:bottom w:val="none" w:sz="0" w:space="0" w:color="auto"/>
                <w:right w:val="none" w:sz="0" w:space="0" w:color="auto"/>
              </w:divBdr>
              <w:divsChild>
                <w:div w:id="220139607">
                  <w:marLeft w:val="0"/>
                  <w:marRight w:val="0"/>
                  <w:marTop w:val="0"/>
                  <w:marBottom w:val="0"/>
                  <w:divBdr>
                    <w:top w:val="none" w:sz="0" w:space="0" w:color="auto"/>
                    <w:left w:val="none" w:sz="0" w:space="0" w:color="auto"/>
                    <w:bottom w:val="none" w:sz="0" w:space="0" w:color="auto"/>
                    <w:right w:val="none" w:sz="0" w:space="0" w:color="auto"/>
                  </w:divBdr>
                  <w:divsChild>
                    <w:div w:id="1483235789">
                      <w:marLeft w:val="0"/>
                      <w:marRight w:val="0"/>
                      <w:marTop w:val="0"/>
                      <w:marBottom w:val="0"/>
                      <w:divBdr>
                        <w:top w:val="none" w:sz="0" w:space="0" w:color="auto"/>
                        <w:left w:val="none" w:sz="0" w:space="0" w:color="auto"/>
                        <w:bottom w:val="none" w:sz="0" w:space="0" w:color="auto"/>
                        <w:right w:val="none" w:sz="0" w:space="0" w:color="auto"/>
                      </w:divBdr>
                    </w:div>
                  </w:divsChild>
                </w:div>
                <w:div w:id="309991173">
                  <w:marLeft w:val="0"/>
                  <w:marRight w:val="0"/>
                  <w:marTop w:val="0"/>
                  <w:marBottom w:val="0"/>
                  <w:divBdr>
                    <w:top w:val="none" w:sz="0" w:space="0" w:color="auto"/>
                    <w:left w:val="none" w:sz="0" w:space="0" w:color="auto"/>
                    <w:bottom w:val="none" w:sz="0" w:space="0" w:color="auto"/>
                    <w:right w:val="none" w:sz="0" w:space="0" w:color="auto"/>
                  </w:divBdr>
                  <w:divsChild>
                    <w:div w:id="666595523">
                      <w:marLeft w:val="0"/>
                      <w:marRight w:val="0"/>
                      <w:marTop w:val="0"/>
                      <w:marBottom w:val="0"/>
                      <w:divBdr>
                        <w:top w:val="none" w:sz="0" w:space="0" w:color="auto"/>
                        <w:left w:val="none" w:sz="0" w:space="0" w:color="auto"/>
                        <w:bottom w:val="none" w:sz="0" w:space="0" w:color="auto"/>
                        <w:right w:val="none" w:sz="0" w:space="0" w:color="auto"/>
                      </w:divBdr>
                    </w:div>
                  </w:divsChild>
                </w:div>
                <w:div w:id="635841277">
                  <w:marLeft w:val="0"/>
                  <w:marRight w:val="0"/>
                  <w:marTop w:val="0"/>
                  <w:marBottom w:val="0"/>
                  <w:divBdr>
                    <w:top w:val="none" w:sz="0" w:space="0" w:color="auto"/>
                    <w:left w:val="none" w:sz="0" w:space="0" w:color="auto"/>
                    <w:bottom w:val="none" w:sz="0" w:space="0" w:color="auto"/>
                    <w:right w:val="none" w:sz="0" w:space="0" w:color="auto"/>
                  </w:divBdr>
                  <w:divsChild>
                    <w:div w:id="500126904">
                      <w:marLeft w:val="0"/>
                      <w:marRight w:val="0"/>
                      <w:marTop w:val="0"/>
                      <w:marBottom w:val="0"/>
                      <w:divBdr>
                        <w:top w:val="none" w:sz="0" w:space="0" w:color="auto"/>
                        <w:left w:val="none" w:sz="0" w:space="0" w:color="auto"/>
                        <w:bottom w:val="none" w:sz="0" w:space="0" w:color="auto"/>
                        <w:right w:val="none" w:sz="0" w:space="0" w:color="auto"/>
                      </w:divBdr>
                    </w:div>
                  </w:divsChild>
                </w:div>
                <w:div w:id="735981935">
                  <w:marLeft w:val="0"/>
                  <w:marRight w:val="0"/>
                  <w:marTop w:val="0"/>
                  <w:marBottom w:val="0"/>
                  <w:divBdr>
                    <w:top w:val="none" w:sz="0" w:space="0" w:color="auto"/>
                    <w:left w:val="none" w:sz="0" w:space="0" w:color="auto"/>
                    <w:bottom w:val="none" w:sz="0" w:space="0" w:color="auto"/>
                    <w:right w:val="none" w:sz="0" w:space="0" w:color="auto"/>
                  </w:divBdr>
                  <w:divsChild>
                    <w:div w:id="980302663">
                      <w:marLeft w:val="0"/>
                      <w:marRight w:val="0"/>
                      <w:marTop w:val="0"/>
                      <w:marBottom w:val="0"/>
                      <w:divBdr>
                        <w:top w:val="none" w:sz="0" w:space="0" w:color="auto"/>
                        <w:left w:val="none" w:sz="0" w:space="0" w:color="auto"/>
                        <w:bottom w:val="none" w:sz="0" w:space="0" w:color="auto"/>
                        <w:right w:val="none" w:sz="0" w:space="0" w:color="auto"/>
                      </w:divBdr>
                    </w:div>
                  </w:divsChild>
                </w:div>
                <w:div w:id="807893570">
                  <w:marLeft w:val="0"/>
                  <w:marRight w:val="0"/>
                  <w:marTop w:val="0"/>
                  <w:marBottom w:val="0"/>
                  <w:divBdr>
                    <w:top w:val="none" w:sz="0" w:space="0" w:color="auto"/>
                    <w:left w:val="none" w:sz="0" w:space="0" w:color="auto"/>
                    <w:bottom w:val="none" w:sz="0" w:space="0" w:color="auto"/>
                    <w:right w:val="none" w:sz="0" w:space="0" w:color="auto"/>
                  </w:divBdr>
                </w:div>
                <w:div w:id="982199034">
                  <w:marLeft w:val="0"/>
                  <w:marRight w:val="0"/>
                  <w:marTop w:val="0"/>
                  <w:marBottom w:val="0"/>
                  <w:divBdr>
                    <w:top w:val="none" w:sz="0" w:space="0" w:color="auto"/>
                    <w:left w:val="none" w:sz="0" w:space="0" w:color="auto"/>
                    <w:bottom w:val="none" w:sz="0" w:space="0" w:color="auto"/>
                    <w:right w:val="none" w:sz="0" w:space="0" w:color="auto"/>
                  </w:divBdr>
                  <w:divsChild>
                    <w:div w:id="298148119">
                      <w:marLeft w:val="0"/>
                      <w:marRight w:val="0"/>
                      <w:marTop w:val="0"/>
                      <w:marBottom w:val="0"/>
                      <w:divBdr>
                        <w:top w:val="none" w:sz="0" w:space="0" w:color="auto"/>
                        <w:left w:val="none" w:sz="0" w:space="0" w:color="auto"/>
                        <w:bottom w:val="none" w:sz="0" w:space="0" w:color="auto"/>
                        <w:right w:val="none" w:sz="0" w:space="0" w:color="auto"/>
                      </w:divBdr>
                    </w:div>
                    <w:div w:id="1349409780">
                      <w:marLeft w:val="0"/>
                      <w:marRight w:val="0"/>
                      <w:marTop w:val="0"/>
                      <w:marBottom w:val="0"/>
                      <w:divBdr>
                        <w:top w:val="none" w:sz="0" w:space="0" w:color="auto"/>
                        <w:left w:val="none" w:sz="0" w:space="0" w:color="auto"/>
                        <w:bottom w:val="none" w:sz="0" w:space="0" w:color="auto"/>
                        <w:right w:val="none" w:sz="0" w:space="0" w:color="auto"/>
                      </w:divBdr>
                    </w:div>
                  </w:divsChild>
                </w:div>
                <w:div w:id="1035422851">
                  <w:marLeft w:val="0"/>
                  <w:marRight w:val="0"/>
                  <w:marTop w:val="0"/>
                  <w:marBottom w:val="0"/>
                  <w:divBdr>
                    <w:top w:val="none" w:sz="0" w:space="0" w:color="auto"/>
                    <w:left w:val="none" w:sz="0" w:space="0" w:color="auto"/>
                    <w:bottom w:val="none" w:sz="0" w:space="0" w:color="auto"/>
                    <w:right w:val="none" w:sz="0" w:space="0" w:color="auto"/>
                  </w:divBdr>
                  <w:divsChild>
                    <w:div w:id="1028067494">
                      <w:marLeft w:val="0"/>
                      <w:marRight w:val="0"/>
                      <w:marTop w:val="0"/>
                      <w:marBottom w:val="0"/>
                      <w:divBdr>
                        <w:top w:val="none" w:sz="0" w:space="0" w:color="auto"/>
                        <w:left w:val="none" w:sz="0" w:space="0" w:color="auto"/>
                        <w:bottom w:val="none" w:sz="0" w:space="0" w:color="auto"/>
                        <w:right w:val="none" w:sz="0" w:space="0" w:color="auto"/>
                      </w:divBdr>
                    </w:div>
                  </w:divsChild>
                </w:div>
                <w:div w:id="1045060115">
                  <w:marLeft w:val="0"/>
                  <w:marRight w:val="0"/>
                  <w:marTop w:val="0"/>
                  <w:marBottom w:val="0"/>
                  <w:divBdr>
                    <w:top w:val="none" w:sz="0" w:space="0" w:color="auto"/>
                    <w:left w:val="none" w:sz="0" w:space="0" w:color="auto"/>
                    <w:bottom w:val="none" w:sz="0" w:space="0" w:color="auto"/>
                    <w:right w:val="none" w:sz="0" w:space="0" w:color="auto"/>
                  </w:divBdr>
                  <w:divsChild>
                    <w:div w:id="292440941">
                      <w:marLeft w:val="0"/>
                      <w:marRight w:val="0"/>
                      <w:marTop w:val="0"/>
                      <w:marBottom w:val="0"/>
                      <w:divBdr>
                        <w:top w:val="none" w:sz="0" w:space="0" w:color="auto"/>
                        <w:left w:val="none" w:sz="0" w:space="0" w:color="auto"/>
                        <w:bottom w:val="none" w:sz="0" w:space="0" w:color="auto"/>
                        <w:right w:val="none" w:sz="0" w:space="0" w:color="auto"/>
                      </w:divBdr>
                    </w:div>
                  </w:divsChild>
                </w:div>
                <w:div w:id="1120227312">
                  <w:marLeft w:val="0"/>
                  <w:marRight w:val="0"/>
                  <w:marTop w:val="0"/>
                  <w:marBottom w:val="0"/>
                  <w:divBdr>
                    <w:top w:val="none" w:sz="0" w:space="0" w:color="auto"/>
                    <w:left w:val="none" w:sz="0" w:space="0" w:color="auto"/>
                    <w:bottom w:val="none" w:sz="0" w:space="0" w:color="auto"/>
                    <w:right w:val="none" w:sz="0" w:space="0" w:color="auto"/>
                  </w:divBdr>
                  <w:divsChild>
                    <w:div w:id="1461143509">
                      <w:marLeft w:val="0"/>
                      <w:marRight w:val="0"/>
                      <w:marTop w:val="0"/>
                      <w:marBottom w:val="0"/>
                      <w:divBdr>
                        <w:top w:val="none" w:sz="0" w:space="0" w:color="auto"/>
                        <w:left w:val="none" w:sz="0" w:space="0" w:color="auto"/>
                        <w:bottom w:val="none" w:sz="0" w:space="0" w:color="auto"/>
                        <w:right w:val="none" w:sz="0" w:space="0" w:color="auto"/>
                      </w:divBdr>
                    </w:div>
                  </w:divsChild>
                </w:div>
                <w:div w:id="1397170361">
                  <w:marLeft w:val="0"/>
                  <w:marRight w:val="0"/>
                  <w:marTop w:val="0"/>
                  <w:marBottom w:val="0"/>
                  <w:divBdr>
                    <w:top w:val="none" w:sz="0" w:space="0" w:color="auto"/>
                    <w:left w:val="none" w:sz="0" w:space="0" w:color="auto"/>
                    <w:bottom w:val="none" w:sz="0" w:space="0" w:color="auto"/>
                    <w:right w:val="none" w:sz="0" w:space="0" w:color="auto"/>
                  </w:divBdr>
                  <w:divsChild>
                    <w:div w:id="1747459930">
                      <w:marLeft w:val="0"/>
                      <w:marRight w:val="0"/>
                      <w:marTop w:val="0"/>
                      <w:marBottom w:val="0"/>
                      <w:divBdr>
                        <w:top w:val="none" w:sz="0" w:space="0" w:color="auto"/>
                        <w:left w:val="none" w:sz="0" w:space="0" w:color="auto"/>
                        <w:bottom w:val="none" w:sz="0" w:space="0" w:color="auto"/>
                        <w:right w:val="none" w:sz="0" w:space="0" w:color="auto"/>
                      </w:divBdr>
                    </w:div>
                  </w:divsChild>
                </w:div>
                <w:div w:id="1480271780">
                  <w:marLeft w:val="0"/>
                  <w:marRight w:val="0"/>
                  <w:marTop w:val="0"/>
                  <w:marBottom w:val="0"/>
                  <w:divBdr>
                    <w:top w:val="none" w:sz="0" w:space="0" w:color="auto"/>
                    <w:left w:val="none" w:sz="0" w:space="0" w:color="auto"/>
                    <w:bottom w:val="none" w:sz="0" w:space="0" w:color="auto"/>
                    <w:right w:val="none" w:sz="0" w:space="0" w:color="auto"/>
                  </w:divBdr>
                  <w:divsChild>
                    <w:div w:id="1322076671">
                      <w:marLeft w:val="0"/>
                      <w:marRight w:val="0"/>
                      <w:marTop w:val="0"/>
                      <w:marBottom w:val="0"/>
                      <w:divBdr>
                        <w:top w:val="none" w:sz="0" w:space="0" w:color="auto"/>
                        <w:left w:val="none" w:sz="0" w:space="0" w:color="auto"/>
                        <w:bottom w:val="none" w:sz="0" w:space="0" w:color="auto"/>
                        <w:right w:val="none" w:sz="0" w:space="0" w:color="auto"/>
                      </w:divBdr>
                    </w:div>
                  </w:divsChild>
                </w:div>
                <w:div w:id="1769933617">
                  <w:marLeft w:val="0"/>
                  <w:marRight w:val="0"/>
                  <w:marTop w:val="0"/>
                  <w:marBottom w:val="0"/>
                  <w:divBdr>
                    <w:top w:val="none" w:sz="0" w:space="0" w:color="auto"/>
                    <w:left w:val="none" w:sz="0" w:space="0" w:color="auto"/>
                    <w:bottom w:val="none" w:sz="0" w:space="0" w:color="auto"/>
                    <w:right w:val="none" w:sz="0" w:space="0" w:color="auto"/>
                  </w:divBdr>
                  <w:divsChild>
                    <w:div w:id="1591308786">
                      <w:marLeft w:val="0"/>
                      <w:marRight w:val="0"/>
                      <w:marTop w:val="0"/>
                      <w:marBottom w:val="0"/>
                      <w:divBdr>
                        <w:top w:val="none" w:sz="0" w:space="0" w:color="auto"/>
                        <w:left w:val="none" w:sz="0" w:space="0" w:color="auto"/>
                        <w:bottom w:val="none" w:sz="0" w:space="0" w:color="auto"/>
                        <w:right w:val="none" w:sz="0" w:space="0" w:color="auto"/>
                      </w:divBdr>
                    </w:div>
                  </w:divsChild>
                </w:div>
                <w:div w:id="1895195105">
                  <w:marLeft w:val="0"/>
                  <w:marRight w:val="0"/>
                  <w:marTop w:val="0"/>
                  <w:marBottom w:val="0"/>
                  <w:divBdr>
                    <w:top w:val="none" w:sz="0" w:space="0" w:color="auto"/>
                    <w:left w:val="none" w:sz="0" w:space="0" w:color="auto"/>
                    <w:bottom w:val="none" w:sz="0" w:space="0" w:color="auto"/>
                    <w:right w:val="none" w:sz="0" w:space="0" w:color="auto"/>
                  </w:divBdr>
                  <w:divsChild>
                    <w:div w:id="179551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6914">
          <w:marLeft w:val="0"/>
          <w:marRight w:val="0"/>
          <w:marTop w:val="0"/>
          <w:marBottom w:val="0"/>
          <w:divBdr>
            <w:top w:val="none" w:sz="0" w:space="0" w:color="auto"/>
            <w:left w:val="none" w:sz="0" w:space="0" w:color="auto"/>
            <w:bottom w:val="none" w:sz="0" w:space="0" w:color="auto"/>
            <w:right w:val="none" w:sz="0" w:space="0" w:color="auto"/>
          </w:divBdr>
          <w:divsChild>
            <w:div w:id="2113747225">
              <w:marLeft w:val="-75"/>
              <w:marRight w:val="0"/>
              <w:marTop w:val="30"/>
              <w:marBottom w:val="30"/>
              <w:divBdr>
                <w:top w:val="none" w:sz="0" w:space="0" w:color="auto"/>
                <w:left w:val="none" w:sz="0" w:space="0" w:color="auto"/>
                <w:bottom w:val="none" w:sz="0" w:space="0" w:color="auto"/>
                <w:right w:val="none" w:sz="0" w:space="0" w:color="auto"/>
              </w:divBdr>
              <w:divsChild>
                <w:div w:id="142553595">
                  <w:marLeft w:val="0"/>
                  <w:marRight w:val="0"/>
                  <w:marTop w:val="0"/>
                  <w:marBottom w:val="0"/>
                  <w:divBdr>
                    <w:top w:val="none" w:sz="0" w:space="0" w:color="auto"/>
                    <w:left w:val="none" w:sz="0" w:space="0" w:color="auto"/>
                    <w:bottom w:val="none" w:sz="0" w:space="0" w:color="auto"/>
                    <w:right w:val="none" w:sz="0" w:space="0" w:color="auto"/>
                  </w:divBdr>
                  <w:divsChild>
                    <w:div w:id="176777350">
                      <w:marLeft w:val="0"/>
                      <w:marRight w:val="0"/>
                      <w:marTop w:val="0"/>
                      <w:marBottom w:val="0"/>
                      <w:divBdr>
                        <w:top w:val="none" w:sz="0" w:space="0" w:color="auto"/>
                        <w:left w:val="none" w:sz="0" w:space="0" w:color="auto"/>
                        <w:bottom w:val="none" w:sz="0" w:space="0" w:color="auto"/>
                        <w:right w:val="none" w:sz="0" w:space="0" w:color="auto"/>
                      </w:divBdr>
                    </w:div>
                  </w:divsChild>
                </w:div>
                <w:div w:id="194002075">
                  <w:marLeft w:val="0"/>
                  <w:marRight w:val="0"/>
                  <w:marTop w:val="0"/>
                  <w:marBottom w:val="0"/>
                  <w:divBdr>
                    <w:top w:val="none" w:sz="0" w:space="0" w:color="auto"/>
                    <w:left w:val="none" w:sz="0" w:space="0" w:color="auto"/>
                    <w:bottom w:val="none" w:sz="0" w:space="0" w:color="auto"/>
                    <w:right w:val="none" w:sz="0" w:space="0" w:color="auto"/>
                  </w:divBdr>
                  <w:divsChild>
                    <w:div w:id="2103524787">
                      <w:marLeft w:val="0"/>
                      <w:marRight w:val="0"/>
                      <w:marTop w:val="0"/>
                      <w:marBottom w:val="0"/>
                      <w:divBdr>
                        <w:top w:val="none" w:sz="0" w:space="0" w:color="auto"/>
                        <w:left w:val="none" w:sz="0" w:space="0" w:color="auto"/>
                        <w:bottom w:val="none" w:sz="0" w:space="0" w:color="auto"/>
                        <w:right w:val="none" w:sz="0" w:space="0" w:color="auto"/>
                      </w:divBdr>
                    </w:div>
                  </w:divsChild>
                </w:div>
                <w:div w:id="362943447">
                  <w:marLeft w:val="0"/>
                  <w:marRight w:val="0"/>
                  <w:marTop w:val="0"/>
                  <w:marBottom w:val="0"/>
                  <w:divBdr>
                    <w:top w:val="none" w:sz="0" w:space="0" w:color="auto"/>
                    <w:left w:val="none" w:sz="0" w:space="0" w:color="auto"/>
                    <w:bottom w:val="none" w:sz="0" w:space="0" w:color="auto"/>
                    <w:right w:val="none" w:sz="0" w:space="0" w:color="auto"/>
                  </w:divBdr>
                  <w:divsChild>
                    <w:div w:id="692419009">
                      <w:marLeft w:val="0"/>
                      <w:marRight w:val="0"/>
                      <w:marTop w:val="0"/>
                      <w:marBottom w:val="0"/>
                      <w:divBdr>
                        <w:top w:val="none" w:sz="0" w:space="0" w:color="auto"/>
                        <w:left w:val="none" w:sz="0" w:space="0" w:color="auto"/>
                        <w:bottom w:val="none" w:sz="0" w:space="0" w:color="auto"/>
                        <w:right w:val="none" w:sz="0" w:space="0" w:color="auto"/>
                      </w:divBdr>
                    </w:div>
                  </w:divsChild>
                </w:div>
                <w:div w:id="366613268">
                  <w:marLeft w:val="0"/>
                  <w:marRight w:val="0"/>
                  <w:marTop w:val="0"/>
                  <w:marBottom w:val="0"/>
                  <w:divBdr>
                    <w:top w:val="none" w:sz="0" w:space="0" w:color="auto"/>
                    <w:left w:val="none" w:sz="0" w:space="0" w:color="auto"/>
                    <w:bottom w:val="none" w:sz="0" w:space="0" w:color="auto"/>
                    <w:right w:val="none" w:sz="0" w:space="0" w:color="auto"/>
                  </w:divBdr>
                  <w:divsChild>
                    <w:div w:id="1352997780">
                      <w:marLeft w:val="0"/>
                      <w:marRight w:val="0"/>
                      <w:marTop w:val="0"/>
                      <w:marBottom w:val="0"/>
                      <w:divBdr>
                        <w:top w:val="none" w:sz="0" w:space="0" w:color="auto"/>
                        <w:left w:val="none" w:sz="0" w:space="0" w:color="auto"/>
                        <w:bottom w:val="none" w:sz="0" w:space="0" w:color="auto"/>
                        <w:right w:val="none" w:sz="0" w:space="0" w:color="auto"/>
                      </w:divBdr>
                    </w:div>
                  </w:divsChild>
                </w:div>
                <w:div w:id="379210466">
                  <w:marLeft w:val="0"/>
                  <w:marRight w:val="0"/>
                  <w:marTop w:val="0"/>
                  <w:marBottom w:val="0"/>
                  <w:divBdr>
                    <w:top w:val="none" w:sz="0" w:space="0" w:color="auto"/>
                    <w:left w:val="none" w:sz="0" w:space="0" w:color="auto"/>
                    <w:bottom w:val="none" w:sz="0" w:space="0" w:color="auto"/>
                    <w:right w:val="none" w:sz="0" w:space="0" w:color="auto"/>
                  </w:divBdr>
                  <w:divsChild>
                    <w:div w:id="538397004">
                      <w:marLeft w:val="0"/>
                      <w:marRight w:val="0"/>
                      <w:marTop w:val="0"/>
                      <w:marBottom w:val="0"/>
                      <w:divBdr>
                        <w:top w:val="none" w:sz="0" w:space="0" w:color="auto"/>
                        <w:left w:val="none" w:sz="0" w:space="0" w:color="auto"/>
                        <w:bottom w:val="none" w:sz="0" w:space="0" w:color="auto"/>
                        <w:right w:val="none" w:sz="0" w:space="0" w:color="auto"/>
                      </w:divBdr>
                    </w:div>
                  </w:divsChild>
                </w:div>
                <w:div w:id="491719542">
                  <w:marLeft w:val="0"/>
                  <w:marRight w:val="0"/>
                  <w:marTop w:val="0"/>
                  <w:marBottom w:val="0"/>
                  <w:divBdr>
                    <w:top w:val="none" w:sz="0" w:space="0" w:color="auto"/>
                    <w:left w:val="none" w:sz="0" w:space="0" w:color="auto"/>
                    <w:bottom w:val="none" w:sz="0" w:space="0" w:color="auto"/>
                    <w:right w:val="none" w:sz="0" w:space="0" w:color="auto"/>
                  </w:divBdr>
                  <w:divsChild>
                    <w:div w:id="1763455587">
                      <w:marLeft w:val="0"/>
                      <w:marRight w:val="0"/>
                      <w:marTop w:val="0"/>
                      <w:marBottom w:val="0"/>
                      <w:divBdr>
                        <w:top w:val="none" w:sz="0" w:space="0" w:color="auto"/>
                        <w:left w:val="none" w:sz="0" w:space="0" w:color="auto"/>
                        <w:bottom w:val="none" w:sz="0" w:space="0" w:color="auto"/>
                        <w:right w:val="none" w:sz="0" w:space="0" w:color="auto"/>
                      </w:divBdr>
                    </w:div>
                    <w:div w:id="2131822201">
                      <w:marLeft w:val="0"/>
                      <w:marRight w:val="0"/>
                      <w:marTop w:val="0"/>
                      <w:marBottom w:val="0"/>
                      <w:divBdr>
                        <w:top w:val="none" w:sz="0" w:space="0" w:color="auto"/>
                        <w:left w:val="none" w:sz="0" w:space="0" w:color="auto"/>
                        <w:bottom w:val="none" w:sz="0" w:space="0" w:color="auto"/>
                        <w:right w:val="none" w:sz="0" w:space="0" w:color="auto"/>
                      </w:divBdr>
                    </w:div>
                  </w:divsChild>
                </w:div>
                <w:div w:id="568082015">
                  <w:marLeft w:val="0"/>
                  <w:marRight w:val="0"/>
                  <w:marTop w:val="0"/>
                  <w:marBottom w:val="0"/>
                  <w:divBdr>
                    <w:top w:val="none" w:sz="0" w:space="0" w:color="auto"/>
                    <w:left w:val="none" w:sz="0" w:space="0" w:color="auto"/>
                    <w:bottom w:val="none" w:sz="0" w:space="0" w:color="auto"/>
                    <w:right w:val="none" w:sz="0" w:space="0" w:color="auto"/>
                  </w:divBdr>
                  <w:divsChild>
                    <w:div w:id="841775767">
                      <w:marLeft w:val="0"/>
                      <w:marRight w:val="0"/>
                      <w:marTop w:val="0"/>
                      <w:marBottom w:val="0"/>
                      <w:divBdr>
                        <w:top w:val="none" w:sz="0" w:space="0" w:color="auto"/>
                        <w:left w:val="none" w:sz="0" w:space="0" w:color="auto"/>
                        <w:bottom w:val="none" w:sz="0" w:space="0" w:color="auto"/>
                        <w:right w:val="none" w:sz="0" w:space="0" w:color="auto"/>
                      </w:divBdr>
                    </w:div>
                  </w:divsChild>
                </w:div>
                <w:div w:id="614561548">
                  <w:marLeft w:val="0"/>
                  <w:marRight w:val="0"/>
                  <w:marTop w:val="0"/>
                  <w:marBottom w:val="0"/>
                  <w:divBdr>
                    <w:top w:val="none" w:sz="0" w:space="0" w:color="auto"/>
                    <w:left w:val="none" w:sz="0" w:space="0" w:color="auto"/>
                    <w:bottom w:val="none" w:sz="0" w:space="0" w:color="auto"/>
                    <w:right w:val="none" w:sz="0" w:space="0" w:color="auto"/>
                  </w:divBdr>
                  <w:divsChild>
                    <w:div w:id="1711566523">
                      <w:marLeft w:val="0"/>
                      <w:marRight w:val="0"/>
                      <w:marTop w:val="0"/>
                      <w:marBottom w:val="0"/>
                      <w:divBdr>
                        <w:top w:val="none" w:sz="0" w:space="0" w:color="auto"/>
                        <w:left w:val="none" w:sz="0" w:space="0" w:color="auto"/>
                        <w:bottom w:val="none" w:sz="0" w:space="0" w:color="auto"/>
                        <w:right w:val="none" w:sz="0" w:space="0" w:color="auto"/>
                      </w:divBdr>
                    </w:div>
                  </w:divsChild>
                </w:div>
                <w:div w:id="779370787">
                  <w:marLeft w:val="0"/>
                  <w:marRight w:val="0"/>
                  <w:marTop w:val="0"/>
                  <w:marBottom w:val="0"/>
                  <w:divBdr>
                    <w:top w:val="none" w:sz="0" w:space="0" w:color="auto"/>
                    <w:left w:val="none" w:sz="0" w:space="0" w:color="auto"/>
                    <w:bottom w:val="none" w:sz="0" w:space="0" w:color="auto"/>
                    <w:right w:val="none" w:sz="0" w:space="0" w:color="auto"/>
                  </w:divBdr>
                  <w:divsChild>
                    <w:div w:id="418403061">
                      <w:marLeft w:val="0"/>
                      <w:marRight w:val="0"/>
                      <w:marTop w:val="0"/>
                      <w:marBottom w:val="0"/>
                      <w:divBdr>
                        <w:top w:val="none" w:sz="0" w:space="0" w:color="auto"/>
                        <w:left w:val="none" w:sz="0" w:space="0" w:color="auto"/>
                        <w:bottom w:val="none" w:sz="0" w:space="0" w:color="auto"/>
                        <w:right w:val="none" w:sz="0" w:space="0" w:color="auto"/>
                      </w:divBdr>
                    </w:div>
                  </w:divsChild>
                </w:div>
                <w:div w:id="798110547">
                  <w:marLeft w:val="0"/>
                  <w:marRight w:val="0"/>
                  <w:marTop w:val="0"/>
                  <w:marBottom w:val="0"/>
                  <w:divBdr>
                    <w:top w:val="none" w:sz="0" w:space="0" w:color="auto"/>
                    <w:left w:val="none" w:sz="0" w:space="0" w:color="auto"/>
                    <w:bottom w:val="none" w:sz="0" w:space="0" w:color="auto"/>
                    <w:right w:val="none" w:sz="0" w:space="0" w:color="auto"/>
                  </w:divBdr>
                  <w:divsChild>
                    <w:div w:id="103231719">
                      <w:marLeft w:val="0"/>
                      <w:marRight w:val="0"/>
                      <w:marTop w:val="0"/>
                      <w:marBottom w:val="0"/>
                      <w:divBdr>
                        <w:top w:val="none" w:sz="0" w:space="0" w:color="auto"/>
                        <w:left w:val="none" w:sz="0" w:space="0" w:color="auto"/>
                        <w:bottom w:val="none" w:sz="0" w:space="0" w:color="auto"/>
                        <w:right w:val="none" w:sz="0" w:space="0" w:color="auto"/>
                      </w:divBdr>
                    </w:div>
                  </w:divsChild>
                </w:div>
                <w:div w:id="867986406">
                  <w:marLeft w:val="0"/>
                  <w:marRight w:val="0"/>
                  <w:marTop w:val="0"/>
                  <w:marBottom w:val="0"/>
                  <w:divBdr>
                    <w:top w:val="none" w:sz="0" w:space="0" w:color="auto"/>
                    <w:left w:val="none" w:sz="0" w:space="0" w:color="auto"/>
                    <w:bottom w:val="none" w:sz="0" w:space="0" w:color="auto"/>
                    <w:right w:val="none" w:sz="0" w:space="0" w:color="auto"/>
                  </w:divBdr>
                  <w:divsChild>
                    <w:div w:id="1213226108">
                      <w:marLeft w:val="0"/>
                      <w:marRight w:val="0"/>
                      <w:marTop w:val="0"/>
                      <w:marBottom w:val="0"/>
                      <w:divBdr>
                        <w:top w:val="none" w:sz="0" w:space="0" w:color="auto"/>
                        <w:left w:val="none" w:sz="0" w:space="0" w:color="auto"/>
                        <w:bottom w:val="none" w:sz="0" w:space="0" w:color="auto"/>
                        <w:right w:val="none" w:sz="0" w:space="0" w:color="auto"/>
                      </w:divBdr>
                    </w:div>
                  </w:divsChild>
                </w:div>
                <w:div w:id="920869952">
                  <w:marLeft w:val="0"/>
                  <w:marRight w:val="0"/>
                  <w:marTop w:val="0"/>
                  <w:marBottom w:val="0"/>
                  <w:divBdr>
                    <w:top w:val="none" w:sz="0" w:space="0" w:color="auto"/>
                    <w:left w:val="none" w:sz="0" w:space="0" w:color="auto"/>
                    <w:bottom w:val="none" w:sz="0" w:space="0" w:color="auto"/>
                    <w:right w:val="none" w:sz="0" w:space="0" w:color="auto"/>
                  </w:divBdr>
                  <w:divsChild>
                    <w:div w:id="1760441466">
                      <w:marLeft w:val="0"/>
                      <w:marRight w:val="0"/>
                      <w:marTop w:val="0"/>
                      <w:marBottom w:val="0"/>
                      <w:divBdr>
                        <w:top w:val="none" w:sz="0" w:space="0" w:color="auto"/>
                        <w:left w:val="none" w:sz="0" w:space="0" w:color="auto"/>
                        <w:bottom w:val="none" w:sz="0" w:space="0" w:color="auto"/>
                        <w:right w:val="none" w:sz="0" w:space="0" w:color="auto"/>
                      </w:divBdr>
                    </w:div>
                  </w:divsChild>
                </w:div>
                <w:div w:id="1198465231">
                  <w:marLeft w:val="0"/>
                  <w:marRight w:val="0"/>
                  <w:marTop w:val="0"/>
                  <w:marBottom w:val="0"/>
                  <w:divBdr>
                    <w:top w:val="none" w:sz="0" w:space="0" w:color="auto"/>
                    <w:left w:val="none" w:sz="0" w:space="0" w:color="auto"/>
                    <w:bottom w:val="none" w:sz="0" w:space="0" w:color="auto"/>
                    <w:right w:val="none" w:sz="0" w:space="0" w:color="auto"/>
                  </w:divBdr>
                  <w:divsChild>
                    <w:div w:id="950624618">
                      <w:marLeft w:val="0"/>
                      <w:marRight w:val="0"/>
                      <w:marTop w:val="0"/>
                      <w:marBottom w:val="0"/>
                      <w:divBdr>
                        <w:top w:val="none" w:sz="0" w:space="0" w:color="auto"/>
                        <w:left w:val="none" w:sz="0" w:space="0" w:color="auto"/>
                        <w:bottom w:val="none" w:sz="0" w:space="0" w:color="auto"/>
                        <w:right w:val="none" w:sz="0" w:space="0" w:color="auto"/>
                      </w:divBdr>
                    </w:div>
                  </w:divsChild>
                </w:div>
                <w:div w:id="1225947550">
                  <w:marLeft w:val="0"/>
                  <w:marRight w:val="0"/>
                  <w:marTop w:val="0"/>
                  <w:marBottom w:val="0"/>
                  <w:divBdr>
                    <w:top w:val="none" w:sz="0" w:space="0" w:color="auto"/>
                    <w:left w:val="none" w:sz="0" w:space="0" w:color="auto"/>
                    <w:bottom w:val="none" w:sz="0" w:space="0" w:color="auto"/>
                    <w:right w:val="none" w:sz="0" w:space="0" w:color="auto"/>
                  </w:divBdr>
                  <w:divsChild>
                    <w:div w:id="261960513">
                      <w:marLeft w:val="0"/>
                      <w:marRight w:val="0"/>
                      <w:marTop w:val="0"/>
                      <w:marBottom w:val="0"/>
                      <w:divBdr>
                        <w:top w:val="none" w:sz="0" w:space="0" w:color="auto"/>
                        <w:left w:val="none" w:sz="0" w:space="0" w:color="auto"/>
                        <w:bottom w:val="none" w:sz="0" w:space="0" w:color="auto"/>
                        <w:right w:val="none" w:sz="0" w:space="0" w:color="auto"/>
                      </w:divBdr>
                    </w:div>
                  </w:divsChild>
                </w:div>
                <w:div w:id="1263030803">
                  <w:marLeft w:val="0"/>
                  <w:marRight w:val="0"/>
                  <w:marTop w:val="0"/>
                  <w:marBottom w:val="0"/>
                  <w:divBdr>
                    <w:top w:val="none" w:sz="0" w:space="0" w:color="auto"/>
                    <w:left w:val="none" w:sz="0" w:space="0" w:color="auto"/>
                    <w:bottom w:val="none" w:sz="0" w:space="0" w:color="auto"/>
                    <w:right w:val="none" w:sz="0" w:space="0" w:color="auto"/>
                  </w:divBdr>
                  <w:divsChild>
                    <w:div w:id="1473058069">
                      <w:marLeft w:val="0"/>
                      <w:marRight w:val="0"/>
                      <w:marTop w:val="0"/>
                      <w:marBottom w:val="0"/>
                      <w:divBdr>
                        <w:top w:val="none" w:sz="0" w:space="0" w:color="auto"/>
                        <w:left w:val="none" w:sz="0" w:space="0" w:color="auto"/>
                        <w:bottom w:val="none" w:sz="0" w:space="0" w:color="auto"/>
                        <w:right w:val="none" w:sz="0" w:space="0" w:color="auto"/>
                      </w:divBdr>
                    </w:div>
                  </w:divsChild>
                </w:div>
                <w:div w:id="1284576403">
                  <w:marLeft w:val="0"/>
                  <w:marRight w:val="0"/>
                  <w:marTop w:val="0"/>
                  <w:marBottom w:val="0"/>
                  <w:divBdr>
                    <w:top w:val="none" w:sz="0" w:space="0" w:color="auto"/>
                    <w:left w:val="none" w:sz="0" w:space="0" w:color="auto"/>
                    <w:bottom w:val="none" w:sz="0" w:space="0" w:color="auto"/>
                    <w:right w:val="none" w:sz="0" w:space="0" w:color="auto"/>
                  </w:divBdr>
                  <w:divsChild>
                    <w:div w:id="1192300417">
                      <w:marLeft w:val="0"/>
                      <w:marRight w:val="0"/>
                      <w:marTop w:val="0"/>
                      <w:marBottom w:val="0"/>
                      <w:divBdr>
                        <w:top w:val="none" w:sz="0" w:space="0" w:color="auto"/>
                        <w:left w:val="none" w:sz="0" w:space="0" w:color="auto"/>
                        <w:bottom w:val="none" w:sz="0" w:space="0" w:color="auto"/>
                        <w:right w:val="none" w:sz="0" w:space="0" w:color="auto"/>
                      </w:divBdr>
                    </w:div>
                  </w:divsChild>
                </w:div>
                <w:div w:id="1369841363">
                  <w:marLeft w:val="0"/>
                  <w:marRight w:val="0"/>
                  <w:marTop w:val="0"/>
                  <w:marBottom w:val="0"/>
                  <w:divBdr>
                    <w:top w:val="none" w:sz="0" w:space="0" w:color="auto"/>
                    <w:left w:val="none" w:sz="0" w:space="0" w:color="auto"/>
                    <w:bottom w:val="none" w:sz="0" w:space="0" w:color="auto"/>
                    <w:right w:val="none" w:sz="0" w:space="0" w:color="auto"/>
                  </w:divBdr>
                  <w:divsChild>
                    <w:div w:id="1339038354">
                      <w:marLeft w:val="0"/>
                      <w:marRight w:val="0"/>
                      <w:marTop w:val="0"/>
                      <w:marBottom w:val="0"/>
                      <w:divBdr>
                        <w:top w:val="none" w:sz="0" w:space="0" w:color="auto"/>
                        <w:left w:val="none" w:sz="0" w:space="0" w:color="auto"/>
                        <w:bottom w:val="none" w:sz="0" w:space="0" w:color="auto"/>
                        <w:right w:val="none" w:sz="0" w:space="0" w:color="auto"/>
                      </w:divBdr>
                    </w:div>
                  </w:divsChild>
                </w:div>
                <w:div w:id="1551961907">
                  <w:marLeft w:val="0"/>
                  <w:marRight w:val="0"/>
                  <w:marTop w:val="0"/>
                  <w:marBottom w:val="0"/>
                  <w:divBdr>
                    <w:top w:val="none" w:sz="0" w:space="0" w:color="auto"/>
                    <w:left w:val="none" w:sz="0" w:space="0" w:color="auto"/>
                    <w:bottom w:val="none" w:sz="0" w:space="0" w:color="auto"/>
                    <w:right w:val="none" w:sz="0" w:space="0" w:color="auto"/>
                  </w:divBdr>
                  <w:divsChild>
                    <w:div w:id="1088967792">
                      <w:marLeft w:val="0"/>
                      <w:marRight w:val="0"/>
                      <w:marTop w:val="0"/>
                      <w:marBottom w:val="0"/>
                      <w:divBdr>
                        <w:top w:val="none" w:sz="0" w:space="0" w:color="auto"/>
                        <w:left w:val="none" w:sz="0" w:space="0" w:color="auto"/>
                        <w:bottom w:val="none" w:sz="0" w:space="0" w:color="auto"/>
                        <w:right w:val="none" w:sz="0" w:space="0" w:color="auto"/>
                      </w:divBdr>
                    </w:div>
                  </w:divsChild>
                </w:div>
                <w:div w:id="1555699923">
                  <w:marLeft w:val="0"/>
                  <w:marRight w:val="0"/>
                  <w:marTop w:val="0"/>
                  <w:marBottom w:val="0"/>
                  <w:divBdr>
                    <w:top w:val="none" w:sz="0" w:space="0" w:color="auto"/>
                    <w:left w:val="none" w:sz="0" w:space="0" w:color="auto"/>
                    <w:bottom w:val="none" w:sz="0" w:space="0" w:color="auto"/>
                    <w:right w:val="none" w:sz="0" w:space="0" w:color="auto"/>
                  </w:divBdr>
                  <w:divsChild>
                    <w:div w:id="1602882523">
                      <w:marLeft w:val="0"/>
                      <w:marRight w:val="0"/>
                      <w:marTop w:val="0"/>
                      <w:marBottom w:val="0"/>
                      <w:divBdr>
                        <w:top w:val="none" w:sz="0" w:space="0" w:color="auto"/>
                        <w:left w:val="none" w:sz="0" w:space="0" w:color="auto"/>
                        <w:bottom w:val="none" w:sz="0" w:space="0" w:color="auto"/>
                        <w:right w:val="none" w:sz="0" w:space="0" w:color="auto"/>
                      </w:divBdr>
                    </w:div>
                  </w:divsChild>
                </w:div>
                <w:div w:id="1570534048">
                  <w:marLeft w:val="0"/>
                  <w:marRight w:val="0"/>
                  <w:marTop w:val="0"/>
                  <w:marBottom w:val="0"/>
                  <w:divBdr>
                    <w:top w:val="none" w:sz="0" w:space="0" w:color="auto"/>
                    <w:left w:val="none" w:sz="0" w:space="0" w:color="auto"/>
                    <w:bottom w:val="none" w:sz="0" w:space="0" w:color="auto"/>
                    <w:right w:val="none" w:sz="0" w:space="0" w:color="auto"/>
                  </w:divBdr>
                  <w:divsChild>
                    <w:div w:id="216015503">
                      <w:marLeft w:val="0"/>
                      <w:marRight w:val="0"/>
                      <w:marTop w:val="0"/>
                      <w:marBottom w:val="0"/>
                      <w:divBdr>
                        <w:top w:val="none" w:sz="0" w:space="0" w:color="auto"/>
                        <w:left w:val="none" w:sz="0" w:space="0" w:color="auto"/>
                        <w:bottom w:val="none" w:sz="0" w:space="0" w:color="auto"/>
                        <w:right w:val="none" w:sz="0" w:space="0" w:color="auto"/>
                      </w:divBdr>
                    </w:div>
                  </w:divsChild>
                </w:div>
                <w:div w:id="1635066721">
                  <w:marLeft w:val="0"/>
                  <w:marRight w:val="0"/>
                  <w:marTop w:val="0"/>
                  <w:marBottom w:val="0"/>
                  <w:divBdr>
                    <w:top w:val="none" w:sz="0" w:space="0" w:color="auto"/>
                    <w:left w:val="none" w:sz="0" w:space="0" w:color="auto"/>
                    <w:bottom w:val="none" w:sz="0" w:space="0" w:color="auto"/>
                    <w:right w:val="none" w:sz="0" w:space="0" w:color="auto"/>
                  </w:divBdr>
                  <w:divsChild>
                    <w:div w:id="383067084">
                      <w:marLeft w:val="0"/>
                      <w:marRight w:val="0"/>
                      <w:marTop w:val="0"/>
                      <w:marBottom w:val="0"/>
                      <w:divBdr>
                        <w:top w:val="none" w:sz="0" w:space="0" w:color="auto"/>
                        <w:left w:val="none" w:sz="0" w:space="0" w:color="auto"/>
                        <w:bottom w:val="none" w:sz="0" w:space="0" w:color="auto"/>
                        <w:right w:val="none" w:sz="0" w:space="0" w:color="auto"/>
                      </w:divBdr>
                    </w:div>
                  </w:divsChild>
                </w:div>
                <w:div w:id="1667123318">
                  <w:marLeft w:val="0"/>
                  <w:marRight w:val="0"/>
                  <w:marTop w:val="0"/>
                  <w:marBottom w:val="0"/>
                  <w:divBdr>
                    <w:top w:val="none" w:sz="0" w:space="0" w:color="auto"/>
                    <w:left w:val="none" w:sz="0" w:space="0" w:color="auto"/>
                    <w:bottom w:val="none" w:sz="0" w:space="0" w:color="auto"/>
                    <w:right w:val="none" w:sz="0" w:space="0" w:color="auto"/>
                  </w:divBdr>
                  <w:divsChild>
                    <w:div w:id="1126267642">
                      <w:marLeft w:val="0"/>
                      <w:marRight w:val="0"/>
                      <w:marTop w:val="0"/>
                      <w:marBottom w:val="0"/>
                      <w:divBdr>
                        <w:top w:val="none" w:sz="0" w:space="0" w:color="auto"/>
                        <w:left w:val="none" w:sz="0" w:space="0" w:color="auto"/>
                        <w:bottom w:val="none" w:sz="0" w:space="0" w:color="auto"/>
                        <w:right w:val="none" w:sz="0" w:space="0" w:color="auto"/>
                      </w:divBdr>
                    </w:div>
                  </w:divsChild>
                </w:div>
                <w:div w:id="1842426859">
                  <w:marLeft w:val="0"/>
                  <w:marRight w:val="0"/>
                  <w:marTop w:val="0"/>
                  <w:marBottom w:val="0"/>
                  <w:divBdr>
                    <w:top w:val="none" w:sz="0" w:space="0" w:color="auto"/>
                    <w:left w:val="none" w:sz="0" w:space="0" w:color="auto"/>
                    <w:bottom w:val="none" w:sz="0" w:space="0" w:color="auto"/>
                    <w:right w:val="none" w:sz="0" w:space="0" w:color="auto"/>
                  </w:divBdr>
                  <w:divsChild>
                    <w:div w:id="1314945339">
                      <w:marLeft w:val="0"/>
                      <w:marRight w:val="0"/>
                      <w:marTop w:val="0"/>
                      <w:marBottom w:val="0"/>
                      <w:divBdr>
                        <w:top w:val="none" w:sz="0" w:space="0" w:color="auto"/>
                        <w:left w:val="none" w:sz="0" w:space="0" w:color="auto"/>
                        <w:bottom w:val="none" w:sz="0" w:space="0" w:color="auto"/>
                        <w:right w:val="none" w:sz="0" w:space="0" w:color="auto"/>
                      </w:divBdr>
                    </w:div>
                  </w:divsChild>
                </w:div>
                <w:div w:id="1856650494">
                  <w:marLeft w:val="0"/>
                  <w:marRight w:val="0"/>
                  <w:marTop w:val="0"/>
                  <w:marBottom w:val="0"/>
                  <w:divBdr>
                    <w:top w:val="none" w:sz="0" w:space="0" w:color="auto"/>
                    <w:left w:val="none" w:sz="0" w:space="0" w:color="auto"/>
                    <w:bottom w:val="none" w:sz="0" w:space="0" w:color="auto"/>
                    <w:right w:val="none" w:sz="0" w:space="0" w:color="auto"/>
                  </w:divBdr>
                  <w:divsChild>
                    <w:div w:id="886646729">
                      <w:marLeft w:val="0"/>
                      <w:marRight w:val="0"/>
                      <w:marTop w:val="0"/>
                      <w:marBottom w:val="0"/>
                      <w:divBdr>
                        <w:top w:val="none" w:sz="0" w:space="0" w:color="auto"/>
                        <w:left w:val="none" w:sz="0" w:space="0" w:color="auto"/>
                        <w:bottom w:val="none" w:sz="0" w:space="0" w:color="auto"/>
                        <w:right w:val="none" w:sz="0" w:space="0" w:color="auto"/>
                      </w:divBdr>
                    </w:div>
                  </w:divsChild>
                </w:div>
                <w:div w:id="2026053959">
                  <w:marLeft w:val="0"/>
                  <w:marRight w:val="0"/>
                  <w:marTop w:val="0"/>
                  <w:marBottom w:val="0"/>
                  <w:divBdr>
                    <w:top w:val="none" w:sz="0" w:space="0" w:color="auto"/>
                    <w:left w:val="none" w:sz="0" w:space="0" w:color="auto"/>
                    <w:bottom w:val="none" w:sz="0" w:space="0" w:color="auto"/>
                    <w:right w:val="none" w:sz="0" w:space="0" w:color="auto"/>
                  </w:divBdr>
                  <w:divsChild>
                    <w:div w:id="1300915377">
                      <w:marLeft w:val="0"/>
                      <w:marRight w:val="0"/>
                      <w:marTop w:val="0"/>
                      <w:marBottom w:val="0"/>
                      <w:divBdr>
                        <w:top w:val="none" w:sz="0" w:space="0" w:color="auto"/>
                        <w:left w:val="none" w:sz="0" w:space="0" w:color="auto"/>
                        <w:bottom w:val="none" w:sz="0" w:space="0" w:color="auto"/>
                        <w:right w:val="none" w:sz="0" w:space="0" w:color="auto"/>
                      </w:divBdr>
                    </w:div>
                  </w:divsChild>
                </w:div>
                <w:div w:id="2109887059">
                  <w:marLeft w:val="0"/>
                  <w:marRight w:val="0"/>
                  <w:marTop w:val="0"/>
                  <w:marBottom w:val="0"/>
                  <w:divBdr>
                    <w:top w:val="none" w:sz="0" w:space="0" w:color="auto"/>
                    <w:left w:val="none" w:sz="0" w:space="0" w:color="auto"/>
                    <w:bottom w:val="none" w:sz="0" w:space="0" w:color="auto"/>
                    <w:right w:val="none" w:sz="0" w:space="0" w:color="auto"/>
                  </w:divBdr>
                </w:div>
                <w:div w:id="2119521698">
                  <w:marLeft w:val="0"/>
                  <w:marRight w:val="0"/>
                  <w:marTop w:val="0"/>
                  <w:marBottom w:val="0"/>
                  <w:divBdr>
                    <w:top w:val="none" w:sz="0" w:space="0" w:color="auto"/>
                    <w:left w:val="none" w:sz="0" w:space="0" w:color="auto"/>
                    <w:bottom w:val="none" w:sz="0" w:space="0" w:color="auto"/>
                    <w:right w:val="none" w:sz="0" w:space="0" w:color="auto"/>
                  </w:divBdr>
                  <w:divsChild>
                    <w:div w:id="179949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950397">
          <w:marLeft w:val="0"/>
          <w:marRight w:val="0"/>
          <w:marTop w:val="0"/>
          <w:marBottom w:val="0"/>
          <w:divBdr>
            <w:top w:val="none" w:sz="0" w:space="0" w:color="auto"/>
            <w:left w:val="none" w:sz="0" w:space="0" w:color="auto"/>
            <w:bottom w:val="none" w:sz="0" w:space="0" w:color="auto"/>
            <w:right w:val="none" w:sz="0" w:space="0" w:color="auto"/>
          </w:divBdr>
        </w:div>
        <w:div w:id="493448164">
          <w:marLeft w:val="0"/>
          <w:marRight w:val="0"/>
          <w:marTop w:val="0"/>
          <w:marBottom w:val="0"/>
          <w:divBdr>
            <w:top w:val="none" w:sz="0" w:space="0" w:color="auto"/>
            <w:left w:val="none" w:sz="0" w:space="0" w:color="auto"/>
            <w:bottom w:val="none" w:sz="0" w:space="0" w:color="auto"/>
            <w:right w:val="none" w:sz="0" w:space="0" w:color="auto"/>
          </w:divBdr>
        </w:div>
        <w:div w:id="606888438">
          <w:marLeft w:val="0"/>
          <w:marRight w:val="0"/>
          <w:marTop w:val="0"/>
          <w:marBottom w:val="0"/>
          <w:divBdr>
            <w:top w:val="none" w:sz="0" w:space="0" w:color="auto"/>
            <w:left w:val="none" w:sz="0" w:space="0" w:color="auto"/>
            <w:bottom w:val="none" w:sz="0" w:space="0" w:color="auto"/>
            <w:right w:val="none" w:sz="0" w:space="0" w:color="auto"/>
          </w:divBdr>
        </w:div>
        <w:div w:id="640698593">
          <w:marLeft w:val="0"/>
          <w:marRight w:val="0"/>
          <w:marTop w:val="0"/>
          <w:marBottom w:val="0"/>
          <w:divBdr>
            <w:top w:val="none" w:sz="0" w:space="0" w:color="auto"/>
            <w:left w:val="none" w:sz="0" w:space="0" w:color="auto"/>
            <w:bottom w:val="none" w:sz="0" w:space="0" w:color="auto"/>
            <w:right w:val="none" w:sz="0" w:space="0" w:color="auto"/>
          </w:divBdr>
        </w:div>
        <w:div w:id="672807584">
          <w:marLeft w:val="0"/>
          <w:marRight w:val="0"/>
          <w:marTop w:val="0"/>
          <w:marBottom w:val="0"/>
          <w:divBdr>
            <w:top w:val="none" w:sz="0" w:space="0" w:color="auto"/>
            <w:left w:val="none" w:sz="0" w:space="0" w:color="auto"/>
            <w:bottom w:val="none" w:sz="0" w:space="0" w:color="auto"/>
            <w:right w:val="none" w:sz="0" w:space="0" w:color="auto"/>
          </w:divBdr>
          <w:divsChild>
            <w:div w:id="151877608">
              <w:marLeft w:val="-75"/>
              <w:marRight w:val="0"/>
              <w:marTop w:val="30"/>
              <w:marBottom w:val="30"/>
              <w:divBdr>
                <w:top w:val="none" w:sz="0" w:space="0" w:color="auto"/>
                <w:left w:val="none" w:sz="0" w:space="0" w:color="auto"/>
                <w:bottom w:val="none" w:sz="0" w:space="0" w:color="auto"/>
                <w:right w:val="none" w:sz="0" w:space="0" w:color="auto"/>
              </w:divBdr>
              <w:divsChild>
                <w:div w:id="15424506">
                  <w:marLeft w:val="0"/>
                  <w:marRight w:val="0"/>
                  <w:marTop w:val="0"/>
                  <w:marBottom w:val="0"/>
                  <w:divBdr>
                    <w:top w:val="none" w:sz="0" w:space="0" w:color="auto"/>
                    <w:left w:val="none" w:sz="0" w:space="0" w:color="auto"/>
                    <w:bottom w:val="none" w:sz="0" w:space="0" w:color="auto"/>
                    <w:right w:val="none" w:sz="0" w:space="0" w:color="auto"/>
                  </w:divBdr>
                </w:div>
                <w:div w:id="119228119">
                  <w:marLeft w:val="0"/>
                  <w:marRight w:val="0"/>
                  <w:marTop w:val="0"/>
                  <w:marBottom w:val="0"/>
                  <w:divBdr>
                    <w:top w:val="none" w:sz="0" w:space="0" w:color="auto"/>
                    <w:left w:val="none" w:sz="0" w:space="0" w:color="auto"/>
                    <w:bottom w:val="none" w:sz="0" w:space="0" w:color="auto"/>
                    <w:right w:val="none" w:sz="0" w:space="0" w:color="auto"/>
                  </w:divBdr>
                  <w:divsChild>
                    <w:div w:id="2120371265">
                      <w:marLeft w:val="0"/>
                      <w:marRight w:val="0"/>
                      <w:marTop w:val="0"/>
                      <w:marBottom w:val="0"/>
                      <w:divBdr>
                        <w:top w:val="none" w:sz="0" w:space="0" w:color="auto"/>
                        <w:left w:val="none" w:sz="0" w:space="0" w:color="auto"/>
                        <w:bottom w:val="none" w:sz="0" w:space="0" w:color="auto"/>
                        <w:right w:val="none" w:sz="0" w:space="0" w:color="auto"/>
                      </w:divBdr>
                    </w:div>
                  </w:divsChild>
                </w:div>
                <w:div w:id="205068582">
                  <w:marLeft w:val="0"/>
                  <w:marRight w:val="0"/>
                  <w:marTop w:val="0"/>
                  <w:marBottom w:val="0"/>
                  <w:divBdr>
                    <w:top w:val="none" w:sz="0" w:space="0" w:color="auto"/>
                    <w:left w:val="none" w:sz="0" w:space="0" w:color="auto"/>
                    <w:bottom w:val="none" w:sz="0" w:space="0" w:color="auto"/>
                    <w:right w:val="none" w:sz="0" w:space="0" w:color="auto"/>
                  </w:divBdr>
                  <w:divsChild>
                    <w:div w:id="1096098939">
                      <w:marLeft w:val="0"/>
                      <w:marRight w:val="0"/>
                      <w:marTop w:val="0"/>
                      <w:marBottom w:val="0"/>
                      <w:divBdr>
                        <w:top w:val="none" w:sz="0" w:space="0" w:color="auto"/>
                        <w:left w:val="none" w:sz="0" w:space="0" w:color="auto"/>
                        <w:bottom w:val="none" w:sz="0" w:space="0" w:color="auto"/>
                        <w:right w:val="none" w:sz="0" w:space="0" w:color="auto"/>
                      </w:divBdr>
                    </w:div>
                  </w:divsChild>
                </w:div>
                <w:div w:id="408386534">
                  <w:marLeft w:val="0"/>
                  <w:marRight w:val="0"/>
                  <w:marTop w:val="0"/>
                  <w:marBottom w:val="0"/>
                  <w:divBdr>
                    <w:top w:val="none" w:sz="0" w:space="0" w:color="auto"/>
                    <w:left w:val="none" w:sz="0" w:space="0" w:color="auto"/>
                    <w:bottom w:val="none" w:sz="0" w:space="0" w:color="auto"/>
                    <w:right w:val="none" w:sz="0" w:space="0" w:color="auto"/>
                  </w:divBdr>
                  <w:divsChild>
                    <w:div w:id="1960452626">
                      <w:marLeft w:val="0"/>
                      <w:marRight w:val="0"/>
                      <w:marTop w:val="0"/>
                      <w:marBottom w:val="0"/>
                      <w:divBdr>
                        <w:top w:val="none" w:sz="0" w:space="0" w:color="auto"/>
                        <w:left w:val="none" w:sz="0" w:space="0" w:color="auto"/>
                        <w:bottom w:val="none" w:sz="0" w:space="0" w:color="auto"/>
                        <w:right w:val="none" w:sz="0" w:space="0" w:color="auto"/>
                      </w:divBdr>
                    </w:div>
                  </w:divsChild>
                </w:div>
                <w:div w:id="1859003004">
                  <w:marLeft w:val="0"/>
                  <w:marRight w:val="0"/>
                  <w:marTop w:val="0"/>
                  <w:marBottom w:val="0"/>
                  <w:divBdr>
                    <w:top w:val="none" w:sz="0" w:space="0" w:color="auto"/>
                    <w:left w:val="none" w:sz="0" w:space="0" w:color="auto"/>
                    <w:bottom w:val="none" w:sz="0" w:space="0" w:color="auto"/>
                    <w:right w:val="none" w:sz="0" w:space="0" w:color="auto"/>
                  </w:divBdr>
                  <w:divsChild>
                    <w:div w:id="1366566711">
                      <w:marLeft w:val="0"/>
                      <w:marRight w:val="0"/>
                      <w:marTop w:val="0"/>
                      <w:marBottom w:val="0"/>
                      <w:divBdr>
                        <w:top w:val="none" w:sz="0" w:space="0" w:color="auto"/>
                        <w:left w:val="none" w:sz="0" w:space="0" w:color="auto"/>
                        <w:bottom w:val="none" w:sz="0" w:space="0" w:color="auto"/>
                        <w:right w:val="none" w:sz="0" w:space="0" w:color="auto"/>
                      </w:divBdr>
                    </w:div>
                  </w:divsChild>
                </w:div>
                <w:div w:id="1959526907">
                  <w:marLeft w:val="0"/>
                  <w:marRight w:val="0"/>
                  <w:marTop w:val="0"/>
                  <w:marBottom w:val="0"/>
                  <w:divBdr>
                    <w:top w:val="none" w:sz="0" w:space="0" w:color="auto"/>
                    <w:left w:val="none" w:sz="0" w:space="0" w:color="auto"/>
                    <w:bottom w:val="none" w:sz="0" w:space="0" w:color="auto"/>
                    <w:right w:val="none" w:sz="0" w:space="0" w:color="auto"/>
                  </w:divBdr>
                  <w:divsChild>
                    <w:div w:id="1551838704">
                      <w:marLeft w:val="0"/>
                      <w:marRight w:val="0"/>
                      <w:marTop w:val="0"/>
                      <w:marBottom w:val="0"/>
                      <w:divBdr>
                        <w:top w:val="none" w:sz="0" w:space="0" w:color="auto"/>
                        <w:left w:val="none" w:sz="0" w:space="0" w:color="auto"/>
                        <w:bottom w:val="none" w:sz="0" w:space="0" w:color="auto"/>
                        <w:right w:val="none" w:sz="0" w:space="0" w:color="auto"/>
                      </w:divBdr>
                    </w:div>
                  </w:divsChild>
                </w:div>
                <w:div w:id="1985351138">
                  <w:marLeft w:val="0"/>
                  <w:marRight w:val="0"/>
                  <w:marTop w:val="0"/>
                  <w:marBottom w:val="0"/>
                  <w:divBdr>
                    <w:top w:val="none" w:sz="0" w:space="0" w:color="auto"/>
                    <w:left w:val="none" w:sz="0" w:space="0" w:color="auto"/>
                    <w:bottom w:val="none" w:sz="0" w:space="0" w:color="auto"/>
                    <w:right w:val="none" w:sz="0" w:space="0" w:color="auto"/>
                  </w:divBdr>
                  <w:divsChild>
                    <w:div w:id="929044942">
                      <w:marLeft w:val="0"/>
                      <w:marRight w:val="0"/>
                      <w:marTop w:val="0"/>
                      <w:marBottom w:val="0"/>
                      <w:divBdr>
                        <w:top w:val="none" w:sz="0" w:space="0" w:color="auto"/>
                        <w:left w:val="none" w:sz="0" w:space="0" w:color="auto"/>
                        <w:bottom w:val="none" w:sz="0" w:space="0" w:color="auto"/>
                        <w:right w:val="none" w:sz="0" w:space="0" w:color="auto"/>
                      </w:divBdr>
                    </w:div>
                    <w:div w:id="1931230188">
                      <w:marLeft w:val="0"/>
                      <w:marRight w:val="0"/>
                      <w:marTop w:val="0"/>
                      <w:marBottom w:val="0"/>
                      <w:divBdr>
                        <w:top w:val="none" w:sz="0" w:space="0" w:color="auto"/>
                        <w:left w:val="none" w:sz="0" w:space="0" w:color="auto"/>
                        <w:bottom w:val="none" w:sz="0" w:space="0" w:color="auto"/>
                        <w:right w:val="none" w:sz="0" w:space="0" w:color="auto"/>
                      </w:divBdr>
                    </w:div>
                  </w:divsChild>
                </w:div>
                <w:div w:id="2013029182">
                  <w:marLeft w:val="0"/>
                  <w:marRight w:val="0"/>
                  <w:marTop w:val="0"/>
                  <w:marBottom w:val="0"/>
                  <w:divBdr>
                    <w:top w:val="none" w:sz="0" w:space="0" w:color="auto"/>
                    <w:left w:val="none" w:sz="0" w:space="0" w:color="auto"/>
                    <w:bottom w:val="none" w:sz="0" w:space="0" w:color="auto"/>
                    <w:right w:val="none" w:sz="0" w:space="0" w:color="auto"/>
                  </w:divBdr>
                  <w:divsChild>
                    <w:div w:id="86074575">
                      <w:marLeft w:val="0"/>
                      <w:marRight w:val="0"/>
                      <w:marTop w:val="0"/>
                      <w:marBottom w:val="0"/>
                      <w:divBdr>
                        <w:top w:val="none" w:sz="0" w:space="0" w:color="auto"/>
                        <w:left w:val="none" w:sz="0" w:space="0" w:color="auto"/>
                        <w:bottom w:val="none" w:sz="0" w:space="0" w:color="auto"/>
                        <w:right w:val="none" w:sz="0" w:space="0" w:color="auto"/>
                      </w:divBdr>
                    </w:div>
                  </w:divsChild>
                </w:div>
                <w:div w:id="2090080982">
                  <w:marLeft w:val="0"/>
                  <w:marRight w:val="0"/>
                  <w:marTop w:val="0"/>
                  <w:marBottom w:val="0"/>
                  <w:divBdr>
                    <w:top w:val="none" w:sz="0" w:space="0" w:color="auto"/>
                    <w:left w:val="none" w:sz="0" w:space="0" w:color="auto"/>
                    <w:bottom w:val="none" w:sz="0" w:space="0" w:color="auto"/>
                    <w:right w:val="none" w:sz="0" w:space="0" w:color="auto"/>
                  </w:divBdr>
                  <w:divsChild>
                    <w:div w:id="7121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85931">
          <w:marLeft w:val="0"/>
          <w:marRight w:val="0"/>
          <w:marTop w:val="0"/>
          <w:marBottom w:val="0"/>
          <w:divBdr>
            <w:top w:val="none" w:sz="0" w:space="0" w:color="auto"/>
            <w:left w:val="none" w:sz="0" w:space="0" w:color="auto"/>
            <w:bottom w:val="none" w:sz="0" w:space="0" w:color="auto"/>
            <w:right w:val="none" w:sz="0" w:space="0" w:color="auto"/>
          </w:divBdr>
        </w:div>
        <w:div w:id="842358428">
          <w:marLeft w:val="0"/>
          <w:marRight w:val="0"/>
          <w:marTop w:val="0"/>
          <w:marBottom w:val="0"/>
          <w:divBdr>
            <w:top w:val="none" w:sz="0" w:space="0" w:color="auto"/>
            <w:left w:val="none" w:sz="0" w:space="0" w:color="auto"/>
            <w:bottom w:val="none" w:sz="0" w:space="0" w:color="auto"/>
            <w:right w:val="none" w:sz="0" w:space="0" w:color="auto"/>
          </w:divBdr>
        </w:div>
        <w:div w:id="850487343">
          <w:marLeft w:val="0"/>
          <w:marRight w:val="0"/>
          <w:marTop w:val="0"/>
          <w:marBottom w:val="0"/>
          <w:divBdr>
            <w:top w:val="none" w:sz="0" w:space="0" w:color="auto"/>
            <w:left w:val="none" w:sz="0" w:space="0" w:color="auto"/>
            <w:bottom w:val="none" w:sz="0" w:space="0" w:color="auto"/>
            <w:right w:val="none" w:sz="0" w:space="0" w:color="auto"/>
          </w:divBdr>
        </w:div>
        <w:div w:id="921834377">
          <w:marLeft w:val="0"/>
          <w:marRight w:val="0"/>
          <w:marTop w:val="0"/>
          <w:marBottom w:val="0"/>
          <w:divBdr>
            <w:top w:val="none" w:sz="0" w:space="0" w:color="auto"/>
            <w:left w:val="none" w:sz="0" w:space="0" w:color="auto"/>
            <w:bottom w:val="none" w:sz="0" w:space="0" w:color="auto"/>
            <w:right w:val="none" w:sz="0" w:space="0" w:color="auto"/>
          </w:divBdr>
        </w:div>
        <w:div w:id="1002509041">
          <w:marLeft w:val="0"/>
          <w:marRight w:val="0"/>
          <w:marTop w:val="0"/>
          <w:marBottom w:val="0"/>
          <w:divBdr>
            <w:top w:val="none" w:sz="0" w:space="0" w:color="auto"/>
            <w:left w:val="none" w:sz="0" w:space="0" w:color="auto"/>
            <w:bottom w:val="none" w:sz="0" w:space="0" w:color="auto"/>
            <w:right w:val="none" w:sz="0" w:space="0" w:color="auto"/>
          </w:divBdr>
        </w:div>
        <w:div w:id="1095175839">
          <w:marLeft w:val="0"/>
          <w:marRight w:val="0"/>
          <w:marTop w:val="0"/>
          <w:marBottom w:val="0"/>
          <w:divBdr>
            <w:top w:val="none" w:sz="0" w:space="0" w:color="auto"/>
            <w:left w:val="none" w:sz="0" w:space="0" w:color="auto"/>
            <w:bottom w:val="none" w:sz="0" w:space="0" w:color="auto"/>
            <w:right w:val="none" w:sz="0" w:space="0" w:color="auto"/>
          </w:divBdr>
          <w:divsChild>
            <w:div w:id="1150945684">
              <w:marLeft w:val="0"/>
              <w:marRight w:val="0"/>
              <w:marTop w:val="0"/>
              <w:marBottom w:val="0"/>
              <w:divBdr>
                <w:top w:val="none" w:sz="0" w:space="0" w:color="auto"/>
                <w:left w:val="none" w:sz="0" w:space="0" w:color="auto"/>
                <w:bottom w:val="none" w:sz="0" w:space="0" w:color="auto"/>
                <w:right w:val="none" w:sz="0" w:space="0" w:color="auto"/>
              </w:divBdr>
            </w:div>
            <w:div w:id="2048024981">
              <w:marLeft w:val="0"/>
              <w:marRight w:val="0"/>
              <w:marTop w:val="0"/>
              <w:marBottom w:val="0"/>
              <w:divBdr>
                <w:top w:val="none" w:sz="0" w:space="0" w:color="auto"/>
                <w:left w:val="none" w:sz="0" w:space="0" w:color="auto"/>
                <w:bottom w:val="none" w:sz="0" w:space="0" w:color="auto"/>
                <w:right w:val="none" w:sz="0" w:space="0" w:color="auto"/>
              </w:divBdr>
            </w:div>
            <w:div w:id="2057393318">
              <w:marLeft w:val="0"/>
              <w:marRight w:val="0"/>
              <w:marTop w:val="0"/>
              <w:marBottom w:val="0"/>
              <w:divBdr>
                <w:top w:val="none" w:sz="0" w:space="0" w:color="auto"/>
                <w:left w:val="none" w:sz="0" w:space="0" w:color="auto"/>
                <w:bottom w:val="none" w:sz="0" w:space="0" w:color="auto"/>
                <w:right w:val="none" w:sz="0" w:space="0" w:color="auto"/>
              </w:divBdr>
            </w:div>
          </w:divsChild>
        </w:div>
        <w:div w:id="1435246051">
          <w:marLeft w:val="0"/>
          <w:marRight w:val="0"/>
          <w:marTop w:val="0"/>
          <w:marBottom w:val="0"/>
          <w:divBdr>
            <w:top w:val="none" w:sz="0" w:space="0" w:color="auto"/>
            <w:left w:val="none" w:sz="0" w:space="0" w:color="auto"/>
            <w:bottom w:val="none" w:sz="0" w:space="0" w:color="auto"/>
            <w:right w:val="none" w:sz="0" w:space="0" w:color="auto"/>
          </w:divBdr>
          <w:divsChild>
            <w:div w:id="1506171756">
              <w:marLeft w:val="-75"/>
              <w:marRight w:val="0"/>
              <w:marTop w:val="30"/>
              <w:marBottom w:val="30"/>
              <w:divBdr>
                <w:top w:val="none" w:sz="0" w:space="0" w:color="auto"/>
                <w:left w:val="none" w:sz="0" w:space="0" w:color="auto"/>
                <w:bottom w:val="none" w:sz="0" w:space="0" w:color="auto"/>
                <w:right w:val="none" w:sz="0" w:space="0" w:color="auto"/>
              </w:divBdr>
              <w:divsChild>
                <w:div w:id="991759321">
                  <w:marLeft w:val="0"/>
                  <w:marRight w:val="0"/>
                  <w:marTop w:val="0"/>
                  <w:marBottom w:val="0"/>
                  <w:divBdr>
                    <w:top w:val="none" w:sz="0" w:space="0" w:color="auto"/>
                    <w:left w:val="none" w:sz="0" w:space="0" w:color="auto"/>
                    <w:bottom w:val="none" w:sz="0" w:space="0" w:color="auto"/>
                    <w:right w:val="none" w:sz="0" w:space="0" w:color="auto"/>
                  </w:divBdr>
                  <w:divsChild>
                    <w:div w:id="1079326996">
                      <w:marLeft w:val="0"/>
                      <w:marRight w:val="0"/>
                      <w:marTop w:val="0"/>
                      <w:marBottom w:val="0"/>
                      <w:divBdr>
                        <w:top w:val="none" w:sz="0" w:space="0" w:color="auto"/>
                        <w:left w:val="none" w:sz="0" w:space="0" w:color="auto"/>
                        <w:bottom w:val="none" w:sz="0" w:space="0" w:color="auto"/>
                        <w:right w:val="none" w:sz="0" w:space="0" w:color="auto"/>
                      </w:divBdr>
                    </w:div>
                    <w:div w:id="1267885575">
                      <w:marLeft w:val="0"/>
                      <w:marRight w:val="0"/>
                      <w:marTop w:val="0"/>
                      <w:marBottom w:val="0"/>
                      <w:divBdr>
                        <w:top w:val="none" w:sz="0" w:space="0" w:color="auto"/>
                        <w:left w:val="none" w:sz="0" w:space="0" w:color="auto"/>
                        <w:bottom w:val="none" w:sz="0" w:space="0" w:color="auto"/>
                        <w:right w:val="none" w:sz="0" w:space="0" w:color="auto"/>
                      </w:divBdr>
                    </w:div>
                    <w:div w:id="1562591798">
                      <w:marLeft w:val="0"/>
                      <w:marRight w:val="0"/>
                      <w:marTop w:val="0"/>
                      <w:marBottom w:val="0"/>
                      <w:divBdr>
                        <w:top w:val="none" w:sz="0" w:space="0" w:color="auto"/>
                        <w:left w:val="none" w:sz="0" w:space="0" w:color="auto"/>
                        <w:bottom w:val="none" w:sz="0" w:space="0" w:color="auto"/>
                        <w:right w:val="none" w:sz="0" w:space="0" w:color="auto"/>
                      </w:divBdr>
                    </w:div>
                  </w:divsChild>
                </w:div>
                <w:div w:id="2059357804">
                  <w:marLeft w:val="0"/>
                  <w:marRight w:val="0"/>
                  <w:marTop w:val="0"/>
                  <w:marBottom w:val="0"/>
                  <w:divBdr>
                    <w:top w:val="none" w:sz="0" w:space="0" w:color="auto"/>
                    <w:left w:val="none" w:sz="0" w:space="0" w:color="auto"/>
                    <w:bottom w:val="none" w:sz="0" w:space="0" w:color="auto"/>
                    <w:right w:val="none" w:sz="0" w:space="0" w:color="auto"/>
                  </w:divBdr>
                  <w:divsChild>
                    <w:div w:id="21293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21669">
          <w:marLeft w:val="0"/>
          <w:marRight w:val="0"/>
          <w:marTop w:val="0"/>
          <w:marBottom w:val="0"/>
          <w:divBdr>
            <w:top w:val="none" w:sz="0" w:space="0" w:color="auto"/>
            <w:left w:val="none" w:sz="0" w:space="0" w:color="auto"/>
            <w:bottom w:val="none" w:sz="0" w:space="0" w:color="auto"/>
            <w:right w:val="none" w:sz="0" w:space="0" w:color="auto"/>
          </w:divBdr>
          <w:divsChild>
            <w:div w:id="38163591">
              <w:marLeft w:val="0"/>
              <w:marRight w:val="0"/>
              <w:marTop w:val="0"/>
              <w:marBottom w:val="0"/>
              <w:divBdr>
                <w:top w:val="none" w:sz="0" w:space="0" w:color="auto"/>
                <w:left w:val="none" w:sz="0" w:space="0" w:color="auto"/>
                <w:bottom w:val="none" w:sz="0" w:space="0" w:color="auto"/>
                <w:right w:val="none" w:sz="0" w:space="0" w:color="auto"/>
              </w:divBdr>
            </w:div>
            <w:div w:id="566652819">
              <w:marLeft w:val="0"/>
              <w:marRight w:val="0"/>
              <w:marTop w:val="0"/>
              <w:marBottom w:val="0"/>
              <w:divBdr>
                <w:top w:val="none" w:sz="0" w:space="0" w:color="auto"/>
                <w:left w:val="none" w:sz="0" w:space="0" w:color="auto"/>
                <w:bottom w:val="none" w:sz="0" w:space="0" w:color="auto"/>
                <w:right w:val="none" w:sz="0" w:space="0" w:color="auto"/>
              </w:divBdr>
            </w:div>
            <w:div w:id="1022392590">
              <w:marLeft w:val="0"/>
              <w:marRight w:val="0"/>
              <w:marTop w:val="0"/>
              <w:marBottom w:val="0"/>
              <w:divBdr>
                <w:top w:val="none" w:sz="0" w:space="0" w:color="auto"/>
                <w:left w:val="none" w:sz="0" w:space="0" w:color="auto"/>
                <w:bottom w:val="none" w:sz="0" w:space="0" w:color="auto"/>
                <w:right w:val="none" w:sz="0" w:space="0" w:color="auto"/>
              </w:divBdr>
            </w:div>
          </w:divsChild>
        </w:div>
        <w:div w:id="1719740762">
          <w:marLeft w:val="0"/>
          <w:marRight w:val="0"/>
          <w:marTop w:val="0"/>
          <w:marBottom w:val="0"/>
          <w:divBdr>
            <w:top w:val="none" w:sz="0" w:space="0" w:color="auto"/>
            <w:left w:val="none" w:sz="0" w:space="0" w:color="auto"/>
            <w:bottom w:val="none" w:sz="0" w:space="0" w:color="auto"/>
            <w:right w:val="none" w:sz="0" w:space="0" w:color="auto"/>
          </w:divBdr>
        </w:div>
        <w:div w:id="1847623220">
          <w:marLeft w:val="0"/>
          <w:marRight w:val="0"/>
          <w:marTop w:val="0"/>
          <w:marBottom w:val="0"/>
          <w:divBdr>
            <w:top w:val="none" w:sz="0" w:space="0" w:color="auto"/>
            <w:left w:val="none" w:sz="0" w:space="0" w:color="auto"/>
            <w:bottom w:val="none" w:sz="0" w:space="0" w:color="auto"/>
            <w:right w:val="none" w:sz="0" w:space="0" w:color="auto"/>
          </w:divBdr>
          <w:divsChild>
            <w:div w:id="19009727">
              <w:marLeft w:val="0"/>
              <w:marRight w:val="0"/>
              <w:marTop w:val="0"/>
              <w:marBottom w:val="0"/>
              <w:divBdr>
                <w:top w:val="none" w:sz="0" w:space="0" w:color="auto"/>
                <w:left w:val="none" w:sz="0" w:space="0" w:color="auto"/>
                <w:bottom w:val="none" w:sz="0" w:space="0" w:color="auto"/>
                <w:right w:val="none" w:sz="0" w:space="0" w:color="auto"/>
              </w:divBdr>
            </w:div>
            <w:div w:id="19858377">
              <w:marLeft w:val="0"/>
              <w:marRight w:val="0"/>
              <w:marTop w:val="0"/>
              <w:marBottom w:val="0"/>
              <w:divBdr>
                <w:top w:val="none" w:sz="0" w:space="0" w:color="auto"/>
                <w:left w:val="none" w:sz="0" w:space="0" w:color="auto"/>
                <w:bottom w:val="none" w:sz="0" w:space="0" w:color="auto"/>
                <w:right w:val="none" w:sz="0" w:space="0" w:color="auto"/>
              </w:divBdr>
            </w:div>
            <w:div w:id="367880401">
              <w:marLeft w:val="0"/>
              <w:marRight w:val="0"/>
              <w:marTop w:val="0"/>
              <w:marBottom w:val="0"/>
              <w:divBdr>
                <w:top w:val="none" w:sz="0" w:space="0" w:color="auto"/>
                <w:left w:val="none" w:sz="0" w:space="0" w:color="auto"/>
                <w:bottom w:val="none" w:sz="0" w:space="0" w:color="auto"/>
                <w:right w:val="none" w:sz="0" w:space="0" w:color="auto"/>
              </w:divBdr>
            </w:div>
            <w:div w:id="388379341">
              <w:marLeft w:val="0"/>
              <w:marRight w:val="0"/>
              <w:marTop w:val="0"/>
              <w:marBottom w:val="0"/>
              <w:divBdr>
                <w:top w:val="none" w:sz="0" w:space="0" w:color="auto"/>
                <w:left w:val="none" w:sz="0" w:space="0" w:color="auto"/>
                <w:bottom w:val="none" w:sz="0" w:space="0" w:color="auto"/>
                <w:right w:val="none" w:sz="0" w:space="0" w:color="auto"/>
              </w:divBdr>
            </w:div>
            <w:div w:id="391268259">
              <w:marLeft w:val="0"/>
              <w:marRight w:val="0"/>
              <w:marTop w:val="0"/>
              <w:marBottom w:val="0"/>
              <w:divBdr>
                <w:top w:val="none" w:sz="0" w:space="0" w:color="auto"/>
                <w:left w:val="none" w:sz="0" w:space="0" w:color="auto"/>
                <w:bottom w:val="none" w:sz="0" w:space="0" w:color="auto"/>
                <w:right w:val="none" w:sz="0" w:space="0" w:color="auto"/>
              </w:divBdr>
            </w:div>
            <w:div w:id="450899545">
              <w:marLeft w:val="0"/>
              <w:marRight w:val="0"/>
              <w:marTop w:val="0"/>
              <w:marBottom w:val="0"/>
              <w:divBdr>
                <w:top w:val="none" w:sz="0" w:space="0" w:color="auto"/>
                <w:left w:val="none" w:sz="0" w:space="0" w:color="auto"/>
                <w:bottom w:val="none" w:sz="0" w:space="0" w:color="auto"/>
                <w:right w:val="none" w:sz="0" w:space="0" w:color="auto"/>
              </w:divBdr>
            </w:div>
            <w:div w:id="560556970">
              <w:marLeft w:val="0"/>
              <w:marRight w:val="0"/>
              <w:marTop w:val="0"/>
              <w:marBottom w:val="0"/>
              <w:divBdr>
                <w:top w:val="none" w:sz="0" w:space="0" w:color="auto"/>
                <w:left w:val="none" w:sz="0" w:space="0" w:color="auto"/>
                <w:bottom w:val="none" w:sz="0" w:space="0" w:color="auto"/>
                <w:right w:val="none" w:sz="0" w:space="0" w:color="auto"/>
              </w:divBdr>
            </w:div>
            <w:div w:id="569535871">
              <w:marLeft w:val="0"/>
              <w:marRight w:val="0"/>
              <w:marTop w:val="0"/>
              <w:marBottom w:val="0"/>
              <w:divBdr>
                <w:top w:val="none" w:sz="0" w:space="0" w:color="auto"/>
                <w:left w:val="none" w:sz="0" w:space="0" w:color="auto"/>
                <w:bottom w:val="none" w:sz="0" w:space="0" w:color="auto"/>
                <w:right w:val="none" w:sz="0" w:space="0" w:color="auto"/>
              </w:divBdr>
            </w:div>
            <w:div w:id="579482650">
              <w:marLeft w:val="0"/>
              <w:marRight w:val="0"/>
              <w:marTop w:val="0"/>
              <w:marBottom w:val="0"/>
              <w:divBdr>
                <w:top w:val="none" w:sz="0" w:space="0" w:color="auto"/>
                <w:left w:val="none" w:sz="0" w:space="0" w:color="auto"/>
                <w:bottom w:val="none" w:sz="0" w:space="0" w:color="auto"/>
                <w:right w:val="none" w:sz="0" w:space="0" w:color="auto"/>
              </w:divBdr>
            </w:div>
            <w:div w:id="688869803">
              <w:marLeft w:val="0"/>
              <w:marRight w:val="0"/>
              <w:marTop w:val="0"/>
              <w:marBottom w:val="0"/>
              <w:divBdr>
                <w:top w:val="none" w:sz="0" w:space="0" w:color="auto"/>
                <w:left w:val="none" w:sz="0" w:space="0" w:color="auto"/>
                <w:bottom w:val="none" w:sz="0" w:space="0" w:color="auto"/>
                <w:right w:val="none" w:sz="0" w:space="0" w:color="auto"/>
              </w:divBdr>
            </w:div>
            <w:div w:id="771784248">
              <w:marLeft w:val="0"/>
              <w:marRight w:val="0"/>
              <w:marTop w:val="0"/>
              <w:marBottom w:val="0"/>
              <w:divBdr>
                <w:top w:val="none" w:sz="0" w:space="0" w:color="auto"/>
                <w:left w:val="none" w:sz="0" w:space="0" w:color="auto"/>
                <w:bottom w:val="none" w:sz="0" w:space="0" w:color="auto"/>
                <w:right w:val="none" w:sz="0" w:space="0" w:color="auto"/>
              </w:divBdr>
            </w:div>
            <w:div w:id="1009987605">
              <w:marLeft w:val="0"/>
              <w:marRight w:val="0"/>
              <w:marTop w:val="0"/>
              <w:marBottom w:val="0"/>
              <w:divBdr>
                <w:top w:val="none" w:sz="0" w:space="0" w:color="auto"/>
                <w:left w:val="none" w:sz="0" w:space="0" w:color="auto"/>
                <w:bottom w:val="none" w:sz="0" w:space="0" w:color="auto"/>
                <w:right w:val="none" w:sz="0" w:space="0" w:color="auto"/>
              </w:divBdr>
            </w:div>
            <w:div w:id="1110470504">
              <w:marLeft w:val="0"/>
              <w:marRight w:val="0"/>
              <w:marTop w:val="0"/>
              <w:marBottom w:val="0"/>
              <w:divBdr>
                <w:top w:val="none" w:sz="0" w:space="0" w:color="auto"/>
                <w:left w:val="none" w:sz="0" w:space="0" w:color="auto"/>
                <w:bottom w:val="none" w:sz="0" w:space="0" w:color="auto"/>
                <w:right w:val="none" w:sz="0" w:space="0" w:color="auto"/>
              </w:divBdr>
            </w:div>
            <w:div w:id="1125075721">
              <w:marLeft w:val="0"/>
              <w:marRight w:val="0"/>
              <w:marTop w:val="0"/>
              <w:marBottom w:val="0"/>
              <w:divBdr>
                <w:top w:val="none" w:sz="0" w:space="0" w:color="auto"/>
                <w:left w:val="none" w:sz="0" w:space="0" w:color="auto"/>
                <w:bottom w:val="none" w:sz="0" w:space="0" w:color="auto"/>
                <w:right w:val="none" w:sz="0" w:space="0" w:color="auto"/>
              </w:divBdr>
            </w:div>
            <w:div w:id="1379813490">
              <w:marLeft w:val="0"/>
              <w:marRight w:val="0"/>
              <w:marTop w:val="0"/>
              <w:marBottom w:val="0"/>
              <w:divBdr>
                <w:top w:val="none" w:sz="0" w:space="0" w:color="auto"/>
                <w:left w:val="none" w:sz="0" w:space="0" w:color="auto"/>
                <w:bottom w:val="none" w:sz="0" w:space="0" w:color="auto"/>
                <w:right w:val="none" w:sz="0" w:space="0" w:color="auto"/>
              </w:divBdr>
            </w:div>
            <w:div w:id="1609655896">
              <w:marLeft w:val="0"/>
              <w:marRight w:val="0"/>
              <w:marTop w:val="0"/>
              <w:marBottom w:val="0"/>
              <w:divBdr>
                <w:top w:val="none" w:sz="0" w:space="0" w:color="auto"/>
                <w:left w:val="none" w:sz="0" w:space="0" w:color="auto"/>
                <w:bottom w:val="none" w:sz="0" w:space="0" w:color="auto"/>
                <w:right w:val="none" w:sz="0" w:space="0" w:color="auto"/>
              </w:divBdr>
            </w:div>
            <w:div w:id="1735158334">
              <w:marLeft w:val="0"/>
              <w:marRight w:val="0"/>
              <w:marTop w:val="0"/>
              <w:marBottom w:val="0"/>
              <w:divBdr>
                <w:top w:val="none" w:sz="0" w:space="0" w:color="auto"/>
                <w:left w:val="none" w:sz="0" w:space="0" w:color="auto"/>
                <w:bottom w:val="none" w:sz="0" w:space="0" w:color="auto"/>
                <w:right w:val="none" w:sz="0" w:space="0" w:color="auto"/>
              </w:divBdr>
            </w:div>
            <w:div w:id="1740595021">
              <w:marLeft w:val="0"/>
              <w:marRight w:val="0"/>
              <w:marTop w:val="0"/>
              <w:marBottom w:val="0"/>
              <w:divBdr>
                <w:top w:val="none" w:sz="0" w:space="0" w:color="auto"/>
                <w:left w:val="none" w:sz="0" w:space="0" w:color="auto"/>
                <w:bottom w:val="none" w:sz="0" w:space="0" w:color="auto"/>
                <w:right w:val="none" w:sz="0" w:space="0" w:color="auto"/>
              </w:divBdr>
            </w:div>
            <w:div w:id="1779981130">
              <w:marLeft w:val="0"/>
              <w:marRight w:val="0"/>
              <w:marTop w:val="0"/>
              <w:marBottom w:val="0"/>
              <w:divBdr>
                <w:top w:val="none" w:sz="0" w:space="0" w:color="auto"/>
                <w:left w:val="none" w:sz="0" w:space="0" w:color="auto"/>
                <w:bottom w:val="none" w:sz="0" w:space="0" w:color="auto"/>
                <w:right w:val="none" w:sz="0" w:space="0" w:color="auto"/>
              </w:divBdr>
            </w:div>
            <w:div w:id="2110929119">
              <w:marLeft w:val="0"/>
              <w:marRight w:val="0"/>
              <w:marTop w:val="0"/>
              <w:marBottom w:val="0"/>
              <w:divBdr>
                <w:top w:val="none" w:sz="0" w:space="0" w:color="auto"/>
                <w:left w:val="none" w:sz="0" w:space="0" w:color="auto"/>
                <w:bottom w:val="none" w:sz="0" w:space="0" w:color="auto"/>
                <w:right w:val="none" w:sz="0" w:space="0" w:color="auto"/>
              </w:divBdr>
            </w:div>
          </w:divsChild>
        </w:div>
        <w:div w:id="1966696055">
          <w:marLeft w:val="0"/>
          <w:marRight w:val="0"/>
          <w:marTop w:val="0"/>
          <w:marBottom w:val="0"/>
          <w:divBdr>
            <w:top w:val="none" w:sz="0" w:space="0" w:color="auto"/>
            <w:left w:val="none" w:sz="0" w:space="0" w:color="auto"/>
            <w:bottom w:val="none" w:sz="0" w:space="0" w:color="auto"/>
            <w:right w:val="none" w:sz="0" w:space="0" w:color="auto"/>
          </w:divBdr>
          <w:divsChild>
            <w:div w:id="485903889">
              <w:marLeft w:val="0"/>
              <w:marRight w:val="0"/>
              <w:marTop w:val="0"/>
              <w:marBottom w:val="0"/>
              <w:divBdr>
                <w:top w:val="none" w:sz="0" w:space="0" w:color="auto"/>
                <w:left w:val="none" w:sz="0" w:space="0" w:color="auto"/>
                <w:bottom w:val="none" w:sz="0" w:space="0" w:color="auto"/>
                <w:right w:val="none" w:sz="0" w:space="0" w:color="auto"/>
              </w:divBdr>
            </w:div>
            <w:div w:id="678392247">
              <w:marLeft w:val="0"/>
              <w:marRight w:val="0"/>
              <w:marTop w:val="0"/>
              <w:marBottom w:val="0"/>
              <w:divBdr>
                <w:top w:val="none" w:sz="0" w:space="0" w:color="auto"/>
                <w:left w:val="none" w:sz="0" w:space="0" w:color="auto"/>
                <w:bottom w:val="none" w:sz="0" w:space="0" w:color="auto"/>
                <w:right w:val="none" w:sz="0" w:space="0" w:color="auto"/>
              </w:divBdr>
            </w:div>
            <w:div w:id="1408335453">
              <w:marLeft w:val="0"/>
              <w:marRight w:val="0"/>
              <w:marTop w:val="0"/>
              <w:marBottom w:val="0"/>
              <w:divBdr>
                <w:top w:val="none" w:sz="0" w:space="0" w:color="auto"/>
                <w:left w:val="none" w:sz="0" w:space="0" w:color="auto"/>
                <w:bottom w:val="none" w:sz="0" w:space="0" w:color="auto"/>
                <w:right w:val="none" w:sz="0" w:space="0" w:color="auto"/>
              </w:divBdr>
            </w:div>
            <w:div w:id="1930507130">
              <w:marLeft w:val="0"/>
              <w:marRight w:val="0"/>
              <w:marTop w:val="0"/>
              <w:marBottom w:val="0"/>
              <w:divBdr>
                <w:top w:val="none" w:sz="0" w:space="0" w:color="auto"/>
                <w:left w:val="none" w:sz="0" w:space="0" w:color="auto"/>
                <w:bottom w:val="none" w:sz="0" w:space="0" w:color="auto"/>
                <w:right w:val="none" w:sz="0" w:space="0" w:color="auto"/>
              </w:divBdr>
            </w:div>
          </w:divsChild>
        </w:div>
        <w:div w:id="1991904623">
          <w:marLeft w:val="0"/>
          <w:marRight w:val="0"/>
          <w:marTop w:val="0"/>
          <w:marBottom w:val="0"/>
          <w:divBdr>
            <w:top w:val="none" w:sz="0" w:space="0" w:color="auto"/>
            <w:left w:val="none" w:sz="0" w:space="0" w:color="auto"/>
            <w:bottom w:val="none" w:sz="0" w:space="0" w:color="auto"/>
            <w:right w:val="none" w:sz="0" w:space="0" w:color="auto"/>
          </w:divBdr>
          <w:divsChild>
            <w:div w:id="289939198">
              <w:marLeft w:val="-75"/>
              <w:marRight w:val="0"/>
              <w:marTop w:val="30"/>
              <w:marBottom w:val="30"/>
              <w:divBdr>
                <w:top w:val="none" w:sz="0" w:space="0" w:color="auto"/>
                <w:left w:val="none" w:sz="0" w:space="0" w:color="auto"/>
                <w:bottom w:val="none" w:sz="0" w:space="0" w:color="auto"/>
                <w:right w:val="none" w:sz="0" w:space="0" w:color="auto"/>
              </w:divBdr>
              <w:divsChild>
                <w:div w:id="332950280">
                  <w:marLeft w:val="0"/>
                  <w:marRight w:val="0"/>
                  <w:marTop w:val="0"/>
                  <w:marBottom w:val="0"/>
                  <w:divBdr>
                    <w:top w:val="none" w:sz="0" w:space="0" w:color="auto"/>
                    <w:left w:val="none" w:sz="0" w:space="0" w:color="auto"/>
                    <w:bottom w:val="none" w:sz="0" w:space="0" w:color="auto"/>
                    <w:right w:val="none" w:sz="0" w:space="0" w:color="auto"/>
                  </w:divBdr>
                  <w:divsChild>
                    <w:div w:id="961686511">
                      <w:marLeft w:val="0"/>
                      <w:marRight w:val="0"/>
                      <w:marTop w:val="0"/>
                      <w:marBottom w:val="0"/>
                      <w:divBdr>
                        <w:top w:val="none" w:sz="0" w:space="0" w:color="auto"/>
                        <w:left w:val="none" w:sz="0" w:space="0" w:color="auto"/>
                        <w:bottom w:val="none" w:sz="0" w:space="0" w:color="auto"/>
                        <w:right w:val="none" w:sz="0" w:space="0" w:color="auto"/>
                      </w:divBdr>
                    </w:div>
                    <w:div w:id="1351949103">
                      <w:marLeft w:val="0"/>
                      <w:marRight w:val="0"/>
                      <w:marTop w:val="0"/>
                      <w:marBottom w:val="0"/>
                      <w:divBdr>
                        <w:top w:val="none" w:sz="0" w:space="0" w:color="auto"/>
                        <w:left w:val="none" w:sz="0" w:space="0" w:color="auto"/>
                        <w:bottom w:val="none" w:sz="0" w:space="0" w:color="auto"/>
                        <w:right w:val="none" w:sz="0" w:space="0" w:color="auto"/>
                      </w:divBdr>
                    </w:div>
                    <w:div w:id="1663505868">
                      <w:marLeft w:val="0"/>
                      <w:marRight w:val="0"/>
                      <w:marTop w:val="0"/>
                      <w:marBottom w:val="0"/>
                      <w:divBdr>
                        <w:top w:val="none" w:sz="0" w:space="0" w:color="auto"/>
                        <w:left w:val="none" w:sz="0" w:space="0" w:color="auto"/>
                        <w:bottom w:val="none" w:sz="0" w:space="0" w:color="auto"/>
                        <w:right w:val="none" w:sz="0" w:space="0" w:color="auto"/>
                      </w:divBdr>
                    </w:div>
                  </w:divsChild>
                </w:div>
                <w:div w:id="1963876018">
                  <w:marLeft w:val="0"/>
                  <w:marRight w:val="0"/>
                  <w:marTop w:val="0"/>
                  <w:marBottom w:val="0"/>
                  <w:divBdr>
                    <w:top w:val="none" w:sz="0" w:space="0" w:color="auto"/>
                    <w:left w:val="none" w:sz="0" w:space="0" w:color="auto"/>
                    <w:bottom w:val="none" w:sz="0" w:space="0" w:color="auto"/>
                    <w:right w:val="none" w:sz="0" w:space="0" w:color="auto"/>
                  </w:divBdr>
                  <w:divsChild>
                    <w:div w:id="91810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172442">
          <w:marLeft w:val="0"/>
          <w:marRight w:val="0"/>
          <w:marTop w:val="0"/>
          <w:marBottom w:val="0"/>
          <w:divBdr>
            <w:top w:val="none" w:sz="0" w:space="0" w:color="auto"/>
            <w:left w:val="none" w:sz="0" w:space="0" w:color="auto"/>
            <w:bottom w:val="none" w:sz="0" w:space="0" w:color="auto"/>
            <w:right w:val="none" w:sz="0" w:space="0" w:color="auto"/>
          </w:divBdr>
        </w:div>
        <w:div w:id="2011902682">
          <w:marLeft w:val="0"/>
          <w:marRight w:val="0"/>
          <w:marTop w:val="0"/>
          <w:marBottom w:val="0"/>
          <w:divBdr>
            <w:top w:val="none" w:sz="0" w:space="0" w:color="auto"/>
            <w:left w:val="none" w:sz="0" w:space="0" w:color="auto"/>
            <w:bottom w:val="none" w:sz="0" w:space="0" w:color="auto"/>
            <w:right w:val="none" w:sz="0" w:space="0" w:color="auto"/>
          </w:divBdr>
        </w:div>
        <w:div w:id="2060475502">
          <w:marLeft w:val="0"/>
          <w:marRight w:val="0"/>
          <w:marTop w:val="0"/>
          <w:marBottom w:val="0"/>
          <w:divBdr>
            <w:top w:val="none" w:sz="0" w:space="0" w:color="auto"/>
            <w:left w:val="none" w:sz="0" w:space="0" w:color="auto"/>
            <w:bottom w:val="none" w:sz="0" w:space="0" w:color="auto"/>
            <w:right w:val="none" w:sz="0" w:space="0" w:color="auto"/>
          </w:divBdr>
        </w:div>
        <w:div w:id="2080403769">
          <w:marLeft w:val="0"/>
          <w:marRight w:val="0"/>
          <w:marTop w:val="0"/>
          <w:marBottom w:val="0"/>
          <w:divBdr>
            <w:top w:val="none" w:sz="0" w:space="0" w:color="auto"/>
            <w:left w:val="none" w:sz="0" w:space="0" w:color="auto"/>
            <w:bottom w:val="none" w:sz="0" w:space="0" w:color="auto"/>
            <w:right w:val="none" w:sz="0" w:space="0" w:color="auto"/>
          </w:divBdr>
        </w:div>
        <w:div w:id="2101950998">
          <w:marLeft w:val="0"/>
          <w:marRight w:val="0"/>
          <w:marTop w:val="0"/>
          <w:marBottom w:val="0"/>
          <w:divBdr>
            <w:top w:val="none" w:sz="0" w:space="0" w:color="auto"/>
            <w:left w:val="none" w:sz="0" w:space="0" w:color="auto"/>
            <w:bottom w:val="none" w:sz="0" w:space="0" w:color="auto"/>
            <w:right w:val="none" w:sz="0" w:space="0" w:color="auto"/>
          </w:divBdr>
          <w:divsChild>
            <w:div w:id="1987733127">
              <w:marLeft w:val="-75"/>
              <w:marRight w:val="0"/>
              <w:marTop w:val="30"/>
              <w:marBottom w:val="30"/>
              <w:divBdr>
                <w:top w:val="none" w:sz="0" w:space="0" w:color="auto"/>
                <w:left w:val="none" w:sz="0" w:space="0" w:color="auto"/>
                <w:bottom w:val="none" w:sz="0" w:space="0" w:color="auto"/>
                <w:right w:val="none" w:sz="0" w:space="0" w:color="auto"/>
              </w:divBdr>
              <w:divsChild>
                <w:div w:id="168259183">
                  <w:marLeft w:val="0"/>
                  <w:marRight w:val="0"/>
                  <w:marTop w:val="0"/>
                  <w:marBottom w:val="0"/>
                  <w:divBdr>
                    <w:top w:val="none" w:sz="0" w:space="0" w:color="auto"/>
                    <w:left w:val="none" w:sz="0" w:space="0" w:color="auto"/>
                    <w:bottom w:val="none" w:sz="0" w:space="0" w:color="auto"/>
                    <w:right w:val="none" w:sz="0" w:space="0" w:color="auto"/>
                  </w:divBdr>
                  <w:divsChild>
                    <w:div w:id="1142430195">
                      <w:marLeft w:val="0"/>
                      <w:marRight w:val="0"/>
                      <w:marTop w:val="0"/>
                      <w:marBottom w:val="0"/>
                      <w:divBdr>
                        <w:top w:val="none" w:sz="0" w:space="0" w:color="auto"/>
                        <w:left w:val="none" w:sz="0" w:space="0" w:color="auto"/>
                        <w:bottom w:val="none" w:sz="0" w:space="0" w:color="auto"/>
                        <w:right w:val="none" w:sz="0" w:space="0" w:color="auto"/>
                      </w:divBdr>
                    </w:div>
                  </w:divsChild>
                </w:div>
                <w:div w:id="175193211">
                  <w:marLeft w:val="0"/>
                  <w:marRight w:val="0"/>
                  <w:marTop w:val="0"/>
                  <w:marBottom w:val="0"/>
                  <w:divBdr>
                    <w:top w:val="none" w:sz="0" w:space="0" w:color="auto"/>
                    <w:left w:val="none" w:sz="0" w:space="0" w:color="auto"/>
                    <w:bottom w:val="none" w:sz="0" w:space="0" w:color="auto"/>
                    <w:right w:val="none" w:sz="0" w:space="0" w:color="auto"/>
                  </w:divBdr>
                  <w:divsChild>
                    <w:div w:id="90863166">
                      <w:marLeft w:val="0"/>
                      <w:marRight w:val="0"/>
                      <w:marTop w:val="0"/>
                      <w:marBottom w:val="0"/>
                      <w:divBdr>
                        <w:top w:val="none" w:sz="0" w:space="0" w:color="auto"/>
                        <w:left w:val="none" w:sz="0" w:space="0" w:color="auto"/>
                        <w:bottom w:val="none" w:sz="0" w:space="0" w:color="auto"/>
                        <w:right w:val="none" w:sz="0" w:space="0" w:color="auto"/>
                      </w:divBdr>
                    </w:div>
                    <w:div w:id="892232137">
                      <w:marLeft w:val="0"/>
                      <w:marRight w:val="0"/>
                      <w:marTop w:val="0"/>
                      <w:marBottom w:val="0"/>
                      <w:divBdr>
                        <w:top w:val="none" w:sz="0" w:space="0" w:color="auto"/>
                        <w:left w:val="none" w:sz="0" w:space="0" w:color="auto"/>
                        <w:bottom w:val="none" w:sz="0" w:space="0" w:color="auto"/>
                        <w:right w:val="none" w:sz="0" w:space="0" w:color="auto"/>
                      </w:divBdr>
                    </w:div>
                    <w:div w:id="1172723880">
                      <w:marLeft w:val="0"/>
                      <w:marRight w:val="0"/>
                      <w:marTop w:val="0"/>
                      <w:marBottom w:val="0"/>
                      <w:divBdr>
                        <w:top w:val="none" w:sz="0" w:space="0" w:color="auto"/>
                        <w:left w:val="none" w:sz="0" w:space="0" w:color="auto"/>
                        <w:bottom w:val="none" w:sz="0" w:space="0" w:color="auto"/>
                        <w:right w:val="none" w:sz="0" w:space="0" w:color="auto"/>
                      </w:divBdr>
                    </w:div>
                    <w:div w:id="155839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94730">
          <w:marLeft w:val="0"/>
          <w:marRight w:val="0"/>
          <w:marTop w:val="0"/>
          <w:marBottom w:val="0"/>
          <w:divBdr>
            <w:top w:val="none" w:sz="0" w:space="0" w:color="auto"/>
            <w:left w:val="none" w:sz="0" w:space="0" w:color="auto"/>
            <w:bottom w:val="none" w:sz="0" w:space="0" w:color="auto"/>
            <w:right w:val="none" w:sz="0" w:space="0" w:color="auto"/>
          </w:divBdr>
        </w:div>
        <w:div w:id="2124226592">
          <w:marLeft w:val="0"/>
          <w:marRight w:val="0"/>
          <w:marTop w:val="0"/>
          <w:marBottom w:val="0"/>
          <w:divBdr>
            <w:top w:val="none" w:sz="0" w:space="0" w:color="auto"/>
            <w:left w:val="none" w:sz="0" w:space="0" w:color="auto"/>
            <w:bottom w:val="none" w:sz="0" w:space="0" w:color="auto"/>
            <w:right w:val="none" w:sz="0" w:space="0" w:color="auto"/>
          </w:divBdr>
        </w:div>
      </w:divsChild>
    </w:div>
    <w:div w:id="973944030">
      <w:marLeft w:val="480"/>
      <w:marRight w:val="0"/>
      <w:marTop w:val="0"/>
      <w:marBottom w:val="0"/>
      <w:divBdr>
        <w:top w:val="none" w:sz="0" w:space="0" w:color="auto"/>
        <w:left w:val="none" w:sz="0" w:space="0" w:color="auto"/>
        <w:bottom w:val="none" w:sz="0" w:space="0" w:color="auto"/>
        <w:right w:val="none" w:sz="0" w:space="0" w:color="auto"/>
      </w:divBdr>
    </w:div>
    <w:div w:id="977956502">
      <w:bodyDiv w:val="1"/>
      <w:marLeft w:val="0"/>
      <w:marRight w:val="0"/>
      <w:marTop w:val="0"/>
      <w:marBottom w:val="0"/>
      <w:divBdr>
        <w:top w:val="none" w:sz="0" w:space="0" w:color="auto"/>
        <w:left w:val="none" w:sz="0" w:space="0" w:color="auto"/>
        <w:bottom w:val="none" w:sz="0" w:space="0" w:color="auto"/>
        <w:right w:val="none" w:sz="0" w:space="0" w:color="auto"/>
      </w:divBdr>
      <w:divsChild>
        <w:div w:id="82759">
          <w:marLeft w:val="0"/>
          <w:marRight w:val="0"/>
          <w:marTop w:val="0"/>
          <w:marBottom w:val="0"/>
          <w:divBdr>
            <w:top w:val="none" w:sz="0" w:space="0" w:color="auto"/>
            <w:left w:val="none" w:sz="0" w:space="0" w:color="auto"/>
            <w:bottom w:val="none" w:sz="0" w:space="0" w:color="auto"/>
            <w:right w:val="none" w:sz="0" w:space="0" w:color="auto"/>
          </w:divBdr>
          <w:divsChild>
            <w:div w:id="541788898">
              <w:marLeft w:val="0"/>
              <w:marRight w:val="0"/>
              <w:marTop w:val="0"/>
              <w:marBottom w:val="0"/>
              <w:divBdr>
                <w:top w:val="none" w:sz="0" w:space="0" w:color="auto"/>
                <w:left w:val="none" w:sz="0" w:space="0" w:color="auto"/>
                <w:bottom w:val="none" w:sz="0" w:space="0" w:color="auto"/>
                <w:right w:val="none" w:sz="0" w:space="0" w:color="auto"/>
              </w:divBdr>
            </w:div>
            <w:div w:id="686903153">
              <w:marLeft w:val="0"/>
              <w:marRight w:val="0"/>
              <w:marTop w:val="0"/>
              <w:marBottom w:val="0"/>
              <w:divBdr>
                <w:top w:val="none" w:sz="0" w:space="0" w:color="auto"/>
                <w:left w:val="none" w:sz="0" w:space="0" w:color="auto"/>
                <w:bottom w:val="none" w:sz="0" w:space="0" w:color="auto"/>
                <w:right w:val="none" w:sz="0" w:space="0" w:color="auto"/>
              </w:divBdr>
            </w:div>
            <w:div w:id="811796908">
              <w:marLeft w:val="0"/>
              <w:marRight w:val="0"/>
              <w:marTop w:val="0"/>
              <w:marBottom w:val="0"/>
              <w:divBdr>
                <w:top w:val="none" w:sz="0" w:space="0" w:color="auto"/>
                <w:left w:val="none" w:sz="0" w:space="0" w:color="auto"/>
                <w:bottom w:val="none" w:sz="0" w:space="0" w:color="auto"/>
                <w:right w:val="none" w:sz="0" w:space="0" w:color="auto"/>
              </w:divBdr>
            </w:div>
            <w:div w:id="1088188473">
              <w:marLeft w:val="0"/>
              <w:marRight w:val="0"/>
              <w:marTop w:val="0"/>
              <w:marBottom w:val="0"/>
              <w:divBdr>
                <w:top w:val="none" w:sz="0" w:space="0" w:color="auto"/>
                <w:left w:val="none" w:sz="0" w:space="0" w:color="auto"/>
                <w:bottom w:val="none" w:sz="0" w:space="0" w:color="auto"/>
                <w:right w:val="none" w:sz="0" w:space="0" w:color="auto"/>
              </w:divBdr>
            </w:div>
            <w:div w:id="1689326730">
              <w:marLeft w:val="0"/>
              <w:marRight w:val="0"/>
              <w:marTop w:val="0"/>
              <w:marBottom w:val="0"/>
              <w:divBdr>
                <w:top w:val="none" w:sz="0" w:space="0" w:color="auto"/>
                <w:left w:val="none" w:sz="0" w:space="0" w:color="auto"/>
                <w:bottom w:val="none" w:sz="0" w:space="0" w:color="auto"/>
                <w:right w:val="none" w:sz="0" w:space="0" w:color="auto"/>
              </w:divBdr>
            </w:div>
          </w:divsChild>
        </w:div>
        <w:div w:id="339896993">
          <w:marLeft w:val="0"/>
          <w:marRight w:val="0"/>
          <w:marTop w:val="0"/>
          <w:marBottom w:val="0"/>
          <w:divBdr>
            <w:top w:val="none" w:sz="0" w:space="0" w:color="auto"/>
            <w:left w:val="none" w:sz="0" w:space="0" w:color="auto"/>
            <w:bottom w:val="none" w:sz="0" w:space="0" w:color="auto"/>
            <w:right w:val="none" w:sz="0" w:space="0" w:color="auto"/>
          </w:divBdr>
          <w:divsChild>
            <w:div w:id="391198789">
              <w:marLeft w:val="0"/>
              <w:marRight w:val="0"/>
              <w:marTop w:val="0"/>
              <w:marBottom w:val="0"/>
              <w:divBdr>
                <w:top w:val="none" w:sz="0" w:space="0" w:color="auto"/>
                <w:left w:val="none" w:sz="0" w:space="0" w:color="auto"/>
                <w:bottom w:val="none" w:sz="0" w:space="0" w:color="auto"/>
                <w:right w:val="none" w:sz="0" w:space="0" w:color="auto"/>
              </w:divBdr>
            </w:div>
            <w:div w:id="720443604">
              <w:marLeft w:val="0"/>
              <w:marRight w:val="0"/>
              <w:marTop w:val="0"/>
              <w:marBottom w:val="0"/>
              <w:divBdr>
                <w:top w:val="none" w:sz="0" w:space="0" w:color="auto"/>
                <w:left w:val="none" w:sz="0" w:space="0" w:color="auto"/>
                <w:bottom w:val="none" w:sz="0" w:space="0" w:color="auto"/>
                <w:right w:val="none" w:sz="0" w:space="0" w:color="auto"/>
              </w:divBdr>
            </w:div>
            <w:div w:id="919633798">
              <w:marLeft w:val="0"/>
              <w:marRight w:val="0"/>
              <w:marTop w:val="0"/>
              <w:marBottom w:val="0"/>
              <w:divBdr>
                <w:top w:val="none" w:sz="0" w:space="0" w:color="auto"/>
                <w:left w:val="none" w:sz="0" w:space="0" w:color="auto"/>
                <w:bottom w:val="none" w:sz="0" w:space="0" w:color="auto"/>
                <w:right w:val="none" w:sz="0" w:space="0" w:color="auto"/>
              </w:divBdr>
            </w:div>
            <w:div w:id="928852409">
              <w:marLeft w:val="0"/>
              <w:marRight w:val="0"/>
              <w:marTop w:val="0"/>
              <w:marBottom w:val="0"/>
              <w:divBdr>
                <w:top w:val="none" w:sz="0" w:space="0" w:color="auto"/>
                <w:left w:val="none" w:sz="0" w:space="0" w:color="auto"/>
                <w:bottom w:val="none" w:sz="0" w:space="0" w:color="auto"/>
                <w:right w:val="none" w:sz="0" w:space="0" w:color="auto"/>
              </w:divBdr>
            </w:div>
            <w:div w:id="1408454620">
              <w:marLeft w:val="0"/>
              <w:marRight w:val="0"/>
              <w:marTop w:val="0"/>
              <w:marBottom w:val="0"/>
              <w:divBdr>
                <w:top w:val="none" w:sz="0" w:space="0" w:color="auto"/>
                <w:left w:val="none" w:sz="0" w:space="0" w:color="auto"/>
                <w:bottom w:val="none" w:sz="0" w:space="0" w:color="auto"/>
                <w:right w:val="none" w:sz="0" w:space="0" w:color="auto"/>
              </w:divBdr>
            </w:div>
          </w:divsChild>
        </w:div>
        <w:div w:id="376970679">
          <w:marLeft w:val="0"/>
          <w:marRight w:val="0"/>
          <w:marTop w:val="0"/>
          <w:marBottom w:val="0"/>
          <w:divBdr>
            <w:top w:val="none" w:sz="0" w:space="0" w:color="auto"/>
            <w:left w:val="none" w:sz="0" w:space="0" w:color="auto"/>
            <w:bottom w:val="none" w:sz="0" w:space="0" w:color="auto"/>
            <w:right w:val="none" w:sz="0" w:space="0" w:color="auto"/>
          </w:divBdr>
          <w:divsChild>
            <w:div w:id="1025596259">
              <w:marLeft w:val="0"/>
              <w:marRight w:val="0"/>
              <w:marTop w:val="0"/>
              <w:marBottom w:val="0"/>
              <w:divBdr>
                <w:top w:val="none" w:sz="0" w:space="0" w:color="auto"/>
                <w:left w:val="none" w:sz="0" w:space="0" w:color="auto"/>
                <w:bottom w:val="none" w:sz="0" w:space="0" w:color="auto"/>
                <w:right w:val="none" w:sz="0" w:space="0" w:color="auto"/>
              </w:divBdr>
            </w:div>
            <w:div w:id="1074736951">
              <w:marLeft w:val="0"/>
              <w:marRight w:val="0"/>
              <w:marTop w:val="0"/>
              <w:marBottom w:val="0"/>
              <w:divBdr>
                <w:top w:val="none" w:sz="0" w:space="0" w:color="auto"/>
                <w:left w:val="none" w:sz="0" w:space="0" w:color="auto"/>
                <w:bottom w:val="none" w:sz="0" w:space="0" w:color="auto"/>
                <w:right w:val="none" w:sz="0" w:space="0" w:color="auto"/>
              </w:divBdr>
            </w:div>
            <w:div w:id="1843354882">
              <w:marLeft w:val="0"/>
              <w:marRight w:val="0"/>
              <w:marTop w:val="0"/>
              <w:marBottom w:val="0"/>
              <w:divBdr>
                <w:top w:val="none" w:sz="0" w:space="0" w:color="auto"/>
                <w:left w:val="none" w:sz="0" w:space="0" w:color="auto"/>
                <w:bottom w:val="none" w:sz="0" w:space="0" w:color="auto"/>
                <w:right w:val="none" w:sz="0" w:space="0" w:color="auto"/>
              </w:divBdr>
            </w:div>
          </w:divsChild>
        </w:div>
        <w:div w:id="414981235">
          <w:marLeft w:val="0"/>
          <w:marRight w:val="0"/>
          <w:marTop w:val="0"/>
          <w:marBottom w:val="0"/>
          <w:divBdr>
            <w:top w:val="none" w:sz="0" w:space="0" w:color="auto"/>
            <w:left w:val="none" w:sz="0" w:space="0" w:color="auto"/>
            <w:bottom w:val="none" w:sz="0" w:space="0" w:color="auto"/>
            <w:right w:val="none" w:sz="0" w:space="0" w:color="auto"/>
          </w:divBdr>
          <w:divsChild>
            <w:div w:id="104887014">
              <w:marLeft w:val="-75"/>
              <w:marRight w:val="0"/>
              <w:marTop w:val="30"/>
              <w:marBottom w:val="30"/>
              <w:divBdr>
                <w:top w:val="none" w:sz="0" w:space="0" w:color="auto"/>
                <w:left w:val="none" w:sz="0" w:space="0" w:color="auto"/>
                <w:bottom w:val="none" w:sz="0" w:space="0" w:color="auto"/>
                <w:right w:val="none" w:sz="0" w:space="0" w:color="auto"/>
              </w:divBdr>
              <w:divsChild>
                <w:div w:id="102116183">
                  <w:marLeft w:val="0"/>
                  <w:marRight w:val="0"/>
                  <w:marTop w:val="0"/>
                  <w:marBottom w:val="0"/>
                  <w:divBdr>
                    <w:top w:val="none" w:sz="0" w:space="0" w:color="auto"/>
                    <w:left w:val="none" w:sz="0" w:space="0" w:color="auto"/>
                    <w:bottom w:val="none" w:sz="0" w:space="0" w:color="auto"/>
                    <w:right w:val="none" w:sz="0" w:space="0" w:color="auto"/>
                  </w:divBdr>
                  <w:divsChild>
                    <w:div w:id="715854683">
                      <w:marLeft w:val="0"/>
                      <w:marRight w:val="0"/>
                      <w:marTop w:val="0"/>
                      <w:marBottom w:val="0"/>
                      <w:divBdr>
                        <w:top w:val="none" w:sz="0" w:space="0" w:color="auto"/>
                        <w:left w:val="none" w:sz="0" w:space="0" w:color="auto"/>
                        <w:bottom w:val="none" w:sz="0" w:space="0" w:color="auto"/>
                        <w:right w:val="none" w:sz="0" w:space="0" w:color="auto"/>
                      </w:divBdr>
                    </w:div>
                  </w:divsChild>
                </w:div>
                <w:div w:id="139032456">
                  <w:marLeft w:val="0"/>
                  <w:marRight w:val="0"/>
                  <w:marTop w:val="0"/>
                  <w:marBottom w:val="0"/>
                  <w:divBdr>
                    <w:top w:val="none" w:sz="0" w:space="0" w:color="auto"/>
                    <w:left w:val="none" w:sz="0" w:space="0" w:color="auto"/>
                    <w:bottom w:val="none" w:sz="0" w:space="0" w:color="auto"/>
                    <w:right w:val="none" w:sz="0" w:space="0" w:color="auto"/>
                  </w:divBdr>
                  <w:divsChild>
                    <w:div w:id="840201828">
                      <w:marLeft w:val="0"/>
                      <w:marRight w:val="0"/>
                      <w:marTop w:val="0"/>
                      <w:marBottom w:val="0"/>
                      <w:divBdr>
                        <w:top w:val="none" w:sz="0" w:space="0" w:color="auto"/>
                        <w:left w:val="none" w:sz="0" w:space="0" w:color="auto"/>
                        <w:bottom w:val="none" w:sz="0" w:space="0" w:color="auto"/>
                        <w:right w:val="none" w:sz="0" w:space="0" w:color="auto"/>
                      </w:divBdr>
                    </w:div>
                  </w:divsChild>
                </w:div>
                <w:div w:id="174536089">
                  <w:marLeft w:val="0"/>
                  <w:marRight w:val="0"/>
                  <w:marTop w:val="0"/>
                  <w:marBottom w:val="0"/>
                  <w:divBdr>
                    <w:top w:val="none" w:sz="0" w:space="0" w:color="auto"/>
                    <w:left w:val="none" w:sz="0" w:space="0" w:color="auto"/>
                    <w:bottom w:val="none" w:sz="0" w:space="0" w:color="auto"/>
                    <w:right w:val="none" w:sz="0" w:space="0" w:color="auto"/>
                  </w:divBdr>
                  <w:divsChild>
                    <w:div w:id="2125882782">
                      <w:marLeft w:val="0"/>
                      <w:marRight w:val="0"/>
                      <w:marTop w:val="0"/>
                      <w:marBottom w:val="0"/>
                      <w:divBdr>
                        <w:top w:val="none" w:sz="0" w:space="0" w:color="auto"/>
                        <w:left w:val="none" w:sz="0" w:space="0" w:color="auto"/>
                        <w:bottom w:val="none" w:sz="0" w:space="0" w:color="auto"/>
                        <w:right w:val="none" w:sz="0" w:space="0" w:color="auto"/>
                      </w:divBdr>
                    </w:div>
                  </w:divsChild>
                </w:div>
                <w:div w:id="395588994">
                  <w:marLeft w:val="0"/>
                  <w:marRight w:val="0"/>
                  <w:marTop w:val="0"/>
                  <w:marBottom w:val="0"/>
                  <w:divBdr>
                    <w:top w:val="none" w:sz="0" w:space="0" w:color="auto"/>
                    <w:left w:val="none" w:sz="0" w:space="0" w:color="auto"/>
                    <w:bottom w:val="none" w:sz="0" w:space="0" w:color="auto"/>
                    <w:right w:val="none" w:sz="0" w:space="0" w:color="auto"/>
                  </w:divBdr>
                  <w:divsChild>
                    <w:div w:id="409935611">
                      <w:marLeft w:val="0"/>
                      <w:marRight w:val="0"/>
                      <w:marTop w:val="0"/>
                      <w:marBottom w:val="0"/>
                      <w:divBdr>
                        <w:top w:val="none" w:sz="0" w:space="0" w:color="auto"/>
                        <w:left w:val="none" w:sz="0" w:space="0" w:color="auto"/>
                        <w:bottom w:val="none" w:sz="0" w:space="0" w:color="auto"/>
                        <w:right w:val="none" w:sz="0" w:space="0" w:color="auto"/>
                      </w:divBdr>
                    </w:div>
                  </w:divsChild>
                </w:div>
                <w:div w:id="411194885">
                  <w:marLeft w:val="0"/>
                  <w:marRight w:val="0"/>
                  <w:marTop w:val="0"/>
                  <w:marBottom w:val="0"/>
                  <w:divBdr>
                    <w:top w:val="none" w:sz="0" w:space="0" w:color="auto"/>
                    <w:left w:val="none" w:sz="0" w:space="0" w:color="auto"/>
                    <w:bottom w:val="none" w:sz="0" w:space="0" w:color="auto"/>
                    <w:right w:val="none" w:sz="0" w:space="0" w:color="auto"/>
                  </w:divBdr>
                  <w:divsChild>
                    <w:div w:id="1071974064">
                      <w:marLeft w:val="0"/>
                      <w:marRight w:val="0"/>
                      <w:marTop w:val="0"/>
                      <w:marBottom w:val="0"/>
                      <w:divBdr>
                        <w:top w:val="none" w:sz="0" w:space="0" w:color="auto"/>
                        <w:left w:val="none" w:sz="0" w:space="0" w:color="auto"/>
                        <w:bottom w:val="none" w:sz="0" w:space="0" w:color="auto"/>
                        <w:right w:val="none" w:sz="0" w:space="0" w:color="auto"/>
                      </w:divBdr>
                    </w:div>
                  </w:divsChild>
                </w:div>
                <w:div w:id="459612729">
                  <w:marLeft w:val="0"/>
                  <w:marRight w:val="0"/>
                  <w:marTop w:val="0"/>
                  <w:marBottom w:val="0"/>
                  <w:divBdr>
                    <w:top w:val="none" w:sz="0" w:space="0" w:color="auto"/>
                    <w:left w:val="none" w:sz="0" w:space="0" w:color="auto"/>
                    <w:bottom w:val="none" w:sz="0" w:space="0" w:color="auto"/>
                    <w:right w:val="none" w:sz="0" w:space="0" w:color="auto"/>
                  </w:divBdr>
                  <w:divsChild>
                    <w:div w:id="1558664138">
                      <w:marLeft w:val="0"/>
                      <w:marRight w:val="0"/>
                      <w:marTop w:val="0"/>
                      <w:marBottom w:val="0"/>
                      <w:divBdr>
                        <w:top w:val="none" w:sz="0" w:space="0" w:color="auto"/>
                        <w:left w:val="none" w:sz="0" w:space="0" w:color="auto"/>
                        <w:bottom w:val="none" w:sz="0" w:space="0" w:color="auto"/>
                        <w:right w:val="none" w:sz="0" w:space="0" w:color="auto"/>
                      </w:divBdr>
                    </w:div>
                  </w:divsChild>
                </w:div>
                <w:div w:id="511382681">
                  <w:marLeft w:val="0"/>
                  <w:marRight w:val="0"/>
                  <w:marTop w:val="0"/>
                  <w:marBottom w:val="0"/>
                  <w:divBdr>
                    <w:top w:val="none" w:sz="0" w:space="0" w:color="auto"/>
                    <w:left w:val="none" w:sz="0" w:space="0" w:color="auto"/>
                    <w:bottom w:val="none" w:sz="0" w:space="0" w:color="auto"/>
                    <w:right w:val="none" w:sz="0" w:space="0" w:color="auto"/>
                  </w:divBdr>
                  <w:divsChild>
                    <w:div w:id="1915624003">
                      <w:marLeft w:val="0"/>
                      <w:marRight w:val="0"/>
                      <w:marTop w:val="0"/>
                      <w:marBottom w:val="0"/>
                      <w:divBdr>
                        <w:top w:val="none" w:sz="0" w:space="0" w:color="auto"/>
                        <w:left w:val="none" w:sz="0" w:space="0" w:color="auto"/>
                        <w:bottom w:val="none" w:sz="0" w:space="0" w:color="auto"/>
                        <w:right w:val="none" w:sz="0" w:space="0" w:color="auto"/>
                      </w:divBdr>
                    </w:div>
                  </w:divsChild>
                </w:div>
                <w:div w:id="545724425">
                  <w:marLeft w:val="0"/>
                  <w:marRight w:val="0"/>
                  <w:marTop w:val="0"/>
                  <w:marBottom w:val="0"/>
                  <w:divBdr>
                    <w:top w:val="none" w:sz="0" w:space="0" w:color="auto"/>
                    <w:left w:val="none" w:sz="0" w:space="0" w:color="auto"/>
                    <w:bottom w:val="none" w:sz="0" w:space="0" w:color="auto"/>
                    <w:right w:val="none" w:sz="0" w:space="0" w:color="auto"/>
                  </w:divBdr>
                  <w:divsChild>
                    <w:div w:id="899441568">
                      <w:marLeft w:val="0"/>
                      <w:marRight w:val="0"/>
                      <w:marTop w:val="0"/>
                      <w:marBottom w:val="0"/>
                      <w:divBdr>
                        <w:top w:val="none" w:sz="0" w:space="0" w:color="auto"/>
                        <w:left w:val="none" w:sz="0" w:space="0" w:color="auto"/>
                        <w:bottom w:val="none" w:sz="0" w:space="0" w:color="auto"/>
                        <w:right w:val="none" w:sz="0" w:space="0" w:color="auto"/>
                      </w:divBdr>
                    </w:div>
                  </w:divsChild>
                </w:div>
                <w:div w:id="678048994">
                  <w:marLeft w:val="0"/>
                  <w:marRight w:val="0"/>
                  <w:marTop w:val="0"/>
                  <w:marBottom w:val="0"/>
                  <w:divBdr>
                    <w:top w:val="none" w:sz="0" w:space="0" w:color="auto"/>
                    <w:left w:val="none" w:sz="0" w:space="0" w:color="auto"/>
                    <w:bottom w:val="none" w:sz="0" w:space="0" w:color="auto"/>
                    <w:right w:val="none" w:sz="0" w:space="0" w:color="auto"/>
                  </w:divBdr>
                </w:div>
                <w:div w:id="712509720">
                  <w:marLeft w:val="0"/>
                  <w:marRight w:val="0"/>
                  <w:marTop w:val="0"/>
                  <w:marBottom w:val="0"/>
                  <w:divBdr>
                    <w:top w:val="none" w:sz="0" w:space="0" w:color="auto"/>
                    <w:left w:val="none" w:sz="0" w:space="0" w:color="auto"/>
                    <w:bottom w:val="none" w:sz="0" w:space="0" w:color="auto"/>
                    <w:right w:val="none" w:sz="0" w:space="0" w:color="auto"/>
                  </w:divBdr>
                  <w:divsChild>
                    <w:div w:id="1481457812">
                      <w:marLeft w:val="0"/>
                      <w:marRight w:val="0"/>
                      <w:marTop w:val="0"/>
                      <w:marBottom w:val="0"/>
                      <w:divBdr>
                        <w:top w:val="none" w:sz="0" w:space="0" w:color="auto"/>
                        <w:left w:val="none" w:sz="0" w:space="0" w:color="auto"/>
                        <w:bottom w:val="none" w:sz="0" w:space="0" w:color="auto"/>
                        <w:right w:val="none" w:sz="0" w:space="0" w:color="auto"/>
                      </w:divBdr>
                    </w:div>
                    <w:div w:id="2070613908">
                      <w:marLeft w:val="0"/>
                      <w:marRight w:val="0"/>
                      <w:marTop w:val="0"/>
                      <w:marBottom w:val="0"/>
                      <w:divBdr>
                        <w:top w:val="none" w:sz="0" w:space="0" w:color="auto"/>
                        <w:left w:val="none" w:sz="0" w:space="0" w:color="auto"/>
                        <w:bottom w:val="none" w:sz="0" w:space="0" w:color="auto"/>
                        <w:right w:val="none" w:sz="0" w:space="0" w:color="auto"/>
                      </w:divBdr>
                    </w:div>
                  </w:divsChild>
                </w:div>
                <w:div w:id="740178016">
                  <w:marLeft w:val="0"/>
                  <w:marRight w:val="0"/>
                  <w:marTop w:val="0"/>
                  <w:marBottom w:val="0"/>
                  <w:divBdr>
                    <w:top w:val="none" w:sz="0" w:space="0" w:color="auto"/>
                    <w:left w:val="none" w:sz="0" w:space="0" w:color="auto"/>
                    <w:bottom w:val="none" w:sz="0" w:space="0" w:color="auto"/>
                    <w:right w:val="none" w:sz="0" w:space="0" w:color="auto"/>
                  </w:divBdr>
                  <w:divsChild>
                    <w:div w:id="191496560">
                      <w:marLeft w:val="0"/>
                      <w:marRight w:val="0"/>
                      <w:marTop w:val="0"/>
                      <w:marBottom w:val="0"/>
                      <w:divBdr>
                        <w:top w:val="none" w:sz="0" w:space="0" w:color="auto"/>
                        <w:left w:val="none" w:sz="0" w:space="0" w:color="auto"/>
                        <w:bottom w:val="none" w:sz="0" w:space="0" w:color="auto"/>
                        <w:right w:val="none" w:sz="0" w:space="0" w:color="auto"/>
                      </w:divBdr>
                    </w:div>
                  </w:divsChild>
                </w:div>
                <w:div w:id="1299915079">
                  <w:marLeft w:val="0"/>
                  <w:marRight w:val="0"/>
                  <w:marTop w:val="0"/>
                  <w:marBottom w:val="0"/>
                  <w:divBdr>
                    <w:top w:val="none" w:sz="0" w:space="0" w:color="auto"/>
                    <w:left w:val="none" w:sz="0" w:space="0" w:color="auto"/>
                    <w:bottom w:val="none" w:sz="0" w:space="0" w:color="auto"/>
                    <w:right w:val="none" w:sz="0" w:space="0" w:color="auto"/>
                  </w:divBdr>
                  <w:divsChild>
                    <w:div w:id="1860466011">
                      <w:marLeft w:val="0"/>
                      <w:marRight w:val="0"/>
                      <w:marTop w:val="0"/>
                      <w:marBottom w:val="0"/>
                      <w:divBdr>
                        <w:top w:val="none" w:sz="0" w:space="0" w:color="auto"/>
                        <w:left w:val="none" w:sz="0" w:space="0" w:color="auto"/>
                        <w:bottom w:val="none" w:sz="0" w:space="0" w:color="auto"/>
                        <w:right w:val="none" w:sz="0" w:space="0" w:color="auto"/>
                      </w:divBdr>
                    </w:div>
                  </w:divsChild>
                </w:div>
                <w:div w:id="1566188068">
                  <w:marLeft w:val="0"/>
                  <w:marRight w:val="0"/>
                  <w:marTop w:val="0"/>
                  <w:marBottom w:val="0"/>
                  <w:divBdr>
                    <w:top w:val="none" w:sz="0" w:space="0" w:color="auto"/>
                    <w:left w:val="none" w:sz="0" w:space="0" w:color="auto"/>
                    <w:bottom w:val="none" w:sz="0" w:space="0" w:color="auto"/>
                    <w:right w:val="none" w:sz="0" w:space="0" w:color="auto"/>
                  </w:divBdr>
                  <w:divsChild>
                    <w:div w:id="1838374848">
                      <w:marLeft w:val="0"/>
                      <w:marRight w:val="0"/>
                      <w:marTop w:val="0"/>
                      <w:marBottom w:val="0"/>
                      <w:divBdr>
                        <w:top w:val="none" w:sz="0" w:space="0" w:color="auto"/>
                        <w:left w:val="none" w:sz="0" w:space="0" w:color="auto"/>
                        <w:bottom w:val="none" w:sz="0" w:space="0" w:color="auto"/>
                        <w:right w:val="none" w:sz="0" w:space="0" w:color="auto"/>
                      </w:divBdr>
                    </w:div>
                  </w:divsChild>
                </w:div>
                <w:div w:id="1619264773">
                  <w:marLeft w:val="0"/>
                  <w:marRight w:val="0"/>
                  <w:marTop w:val="0"/>
                  <w:marBottom w:val="0"/>
                  <w:divBdr>
                    <w:top w:val="none" w:sz="0" w:space="0" w:color="auto"/>
                    <w:left w:val="none" w:sz="0" w:space="0" w:color="auto"/>
                    <w:bottom w:val="none" w:sz="0" w:space="0" w:color="auto"/>
                    <w:right w:val="none" w:sz="0" w:space="0" w:color="auto"/>
                  </w:divBdr>
                  <w:divsChild>
                    <w:div w:id="1569072580">
                      <w:marLeft w:val="0"/>
                      <w:marRight w:val="0"/>
                      <w:marTop w:val="0"/>
                      <w:marBottom w:val="0"/>
                      <w:divBdr>
                        <w:top w:val="none" w:sz="0" w:space="0" w:color="auto"/>
                        <w:left w:val="none" w:sz="0" w:space="0" w:color="auto"/>
                        <w:bottom w:val="none" w:sz="0" w:space="0" w:color="auto"/>
                        <w:right w:val="none" w:sz="0" w:space="0" w:color="auto"/>
                      </w:divBdr>
                    </w:div>
                  </w:divsChild>
                </w:div>
                <w:div w:id="1651670168">
                  <w:marLeft w:val="0"/>
                  <w:marRight w:val="0"/>
                  <w:marTop w:val="0"/>
                  <w:marBottom w:val="0"/>
                  <w:divBdr>
                    <w:top w:val="none" w:sz="0" w:space="0" w:color="auto"/>
                    <w:left w:val="none" w:sz="0" w:space="0" w:color="auto"/>
                    <w:bottom w:val="none" w:sz="0" w:space="0" w:color="auto"/>
                    <w:right w:val="none" w:sz="0" w:space="0" w:color="auto"/>
                  </w:divBdr>
                  <w:divsChild>
                    <w:div w:id="1327856524">
                      <w:marLeft w:val="0"/>
                      <w:marRight w:val="0"/>
                      <w:marTop w:val="0"/>
                      <w:marBottom w:val="0"/>
                      <w:divBdr>
                        <w:top w:val="none" w:sz="0" w:space="0" w:color="auto"/>
                        <w:left w:val="none" w:sz="0" w:space="0" w:color="auto"/>
                        <w:bottom w:val="none" w:sz="0" w:space="0" w:color="auto"/>
                        <w:right w:val="none" w:sz="0" w:space="0" w:color="auto"/>
                      </w:divBdr>
                    </w:div>
                  </w:divsChild>
                </w:div>
                <w:div w:id="1726445495">
                  <w:marLeft w:val="0"/>
                  <w:marRight w:val="0"/>
                  <w:marTop w:val="0"/>
                  <w:marBottom w:val="0"/>
                  <w:divBdr>
                    <w:top w:val="none" w:sz="0" w:space="0" w:color="auto"/>
                    <w:left w:val="none" w:sz="0" w:space="0" w:color="auto"/>
                    <w:bottom w:val="none" w:sz="0" w:space="0" w:color="auto"/>
                    <w:right w:val="none" w:sz="0" w:space="0" w:color="auto"/>
                  </w:divBdr>
                  <w:divsChild>
                    <w:div w:id="870916948">
                      <w:marLeft w:val="0"/>
                      <w:marRight w:val="0"/>
                      <w:marTop w:val="0"/>
                      <w:marBottom w:val="0"/>
                      <w:divBdr>
                        <w:top w:val="none" w:sz="0" w:space="0" w:color="auto"/>
                        <w:left w:val="none" w:sz="0" w:space="0" w:color="auto"/>
                        <w:bottom w:val="none" w:sz="0" w:space="0" w:color="auto"/>
                        <w:right w:val="none" w:sz="0" w:space="0" w:color="auto"/>
                      </w:divBdr>
                    </w:div>
                  </w:divsChild>
                </w:div>
                <w:div w:id="1884365769">
                  <w:marLeft w:val="0"/>
                  <w:marRight w:val="0"/>
                  <w:marTop w:val="0"/>
                  <w:marBottom w:val="0"/>
                  <w:divBdr>
                    <w:top w:val="none" w:sz="0" w:space="0" w:color="auto"/>
                    <w:left w:val="none" w:sz="0" w:space="0" w:color="auto"/>
                    <w:bottom w:val="none" w:sz="0" w:space="0" w:color="auto"/>
                    <w:right w:val="none" w:sz="0" w:space="0" w:color="auto"/>
                  </w:divBdr>
                  <w:divsChild>
                    <w:div w:id="1340700243">
                      <w:marLeft w:val="0"/>
                      <w:marRight w:val="0"/>
                      <w:marTop w:val="0"/>
                      <w:marBottom w:val="0"/>
                      <w:divBdr>
                        <w:top w:val="none" w:sz="0" w:space="0" w:color="auto"/>
                        <w:left w:val="none" w:sz="0" w:space="0" w:color="auto"/>
                        <w:bottom w:val="none" w:sz="0" w:space="0" w:color="auto"/>
                        <w:right w:val="none" w:sz="0" w:space="0" w:color="auto"/>
                      </w:divBdr>
                    </w:div>
                  </w:divsChild>
                </w:div>
                <w:div w:id="1932156977">
                  <w:marLeft w:val="0"/>
                  <w:marRight w:val="0"/>
                  <w:marTop w:val="0"/>
                  <w:marBottom w:val="0"/>
                  <w:divBdr>
                    <w:top w:val="none" w:sz="0" w:space="0" w:color="auto"/>
                    <w:left w:val="none" w:sz="0" w:space="0" w:color="auto"/>
                    <w:bottom w:val="none" w:sz="0" w:space="0" w:color="auto"/>
                    <w:right w:val="none" w:sz="0" w:space="0" w:color="auto"/>
                  </w:divBdr>
                  <w:divsChild>
                    <w:div w:id="1300376398">
                      <w:marLeft w:val="0"/>
                      <w:marRight w:val="0"/>
                      <w:marTop w:val="0"/>
                      <w:marBottom w:val="0"/>
                      <w:divBdr>
                        <w:top w:val="none" w:sz="0" w:space="0" w:color="auto"/>
                        <w:left w:val="none" w:sz="0" w:space="0" w:color="auto"/>
                        <w:bottom w:val="none" w:sz="0" w:space="0" w:color="auto"/>
                        <w:right w:val="none" w:sz="0" w:space="0" w:color="auto"/>
                      </w:divBdr>
                    </w:div>
                  </w:divsChild>
                </w:div>
                <w:div w:id="2019961016">
                  <w:marLeft w:val="0"/>
                  <w:marRight w:val="0"/>
                  <w:marTop w:val="0"/>
                  <w:marBottom w:val="0"/>
                  <w:divBdr>
                    <w:top w:val="none" w:sz="0" w:space="0" w:color="auto"/>
                    <w:left w:val="none" w:sz="0" w:space="0" w:color="auto"/>
                    <w:bottom w:val="none" w:sz="0" w:space="0" w:color="auto"/>
                    <w:right w:val="none" w:sz="0" w:space="0" w:color="auto"/>
                  </w:divBdr>
                  <w:divsChild>
                    <w:div w:id="615913830">
                      <w:marLeft w:val="0"/>
                      <w:marRight w:val="0"/>
                      <w:marTop w:val="0"/>
                      <w:marBottom w:val="0"/>
                      <w:divBdr>
                        <w:top w:val="none" w:sz="0" w:space="0" w:color="auto"/>
                        <w:left w:val="none" w:sz="0" w:space="0" w:color="auto"/>
                        <w:bottom w:val="none" w:sz="0" w:space="0" w:color="auto"/>
                        <w:right w:val="none" w:sz="0" w:space="0" w:color="auto"/>
                      </w:divBdr>
                    </w:div>
                  </w:divsChild>
                </w:div>
                <w:div w:id="2035811279">
                  <w:marLeft w:val="0"/>
                  <w:marRight w:val="0"/>
                  <w:marTop w:val="0"/>
                  <w:marBottom w:val="0"/>
                  <w:divBdr>
                    <w:top w:val="none" w:sz="0" w:space="0" w:color="auto"/>
                    <w:left w:val="none" w:sz="0" w:space="0" w:color="auto"/>
                    <w:bottom w:val="none" w:sz="0" w:space="0" w:color="auto"/>
                    <w:right w:val="none" w:sz="0" w:space="0" w:color="auto"/>
                  </w:divBdr>
                  <w:divsChild>
                    <w:div w:id="1321273351">
                      <w:marLeft w:val="0"/>
                      <w:marRight w:val="0"/>
                      <w:marTop w:val="0"/>
                      <w:marBottom w:val="0"/>
                      <w:divBdr>
                        <w:top w:val="none" w:sz="0" w:space="0" w:color="auto"/>
                        <w:left w:val="none" w:sz="0" w:space="0" w:color="auto"/>
                        <w:bottom w:val="none" w:sz="0" w:space="0" w:color="auto"/>
                        <w:right w:val="none" w:sz="0" w:space="0" w:color="auto"/>
                      </w:divBdr>
                    </w:div>
                  </w:divsChild>
                </w:div>
                <w:div w:id="2045712150">
                  <w:marLeft w:val="0"/>
                  <w:marRight w:val="0"/>
                  <w:marTop w:val="0"/>
                  <w:marBottom w:val="0"/>
                  <w:divBdr>
                    <w:top w:val="none" w:sz="0" w:space="0" w:color="auto"/>
                    <w:left w:val="none" w:sz="0" w:space="0" w:color="auto"/>
                    <w:bottom w:val="none" w:sz="0" w:space="0" w:color="auto"/>
                    <w:right w:val="none" w:sz="0" w:space="0" w:color="auto"/>
                  </w:divBdr>
                  <w:divsChild>
                    <w:div w:id="121539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29349">
          <w:marLeft w:val="0"/>
          <w:marRight w:val="0"/>
          <w:marTop w:val="0"/>
          <w:marBottom w:val="0"/>
          <w:divBdr>
            <w:top w:val="none" w:sz="0" w:space="0" w:color="auto"/>
            <w:left w:val="none" w:sz="0" w:space="0" w:color="auto"/>
            <w:bottom w:val="none" w:sz="0" w:space="0" w:color="auto"/>
            <w:right w:val="none" w:sz="0" w:space="0" w:color="auto"/>
          </w:divBdr>
          <w:divsChild>
            <w:div w:id="2084646189">
              <w:marLeft w:val="-75"/>
              <w:marRight w:val="0"/>
              <w:marTop w:val="30"/>
              <w:marBottom w:val="30"/>
              <w:divBdr>
                <w:top w:val="none" w:sz="0" w:space="0" w:color="auto"/>
                <w:left w:val="none" w:sz="0" w:space="0" w:color="auto"/>
                <w:bottom w:val="none" w:sz="0" w:space="0" w:color="auto"/>
                <w:right w:val="none" w:sz="0" w:space="0" w:color="auto"/>
              </w:divBdr>
              <w:divsChild>
                <w:div w:id="315885340">
                  <w:marLeft w:val="0"/>
                  <w:marRight w:val="0"/>
                  <w:marTop w:val="0"/>
                  <w:marBottom w:val="0"/>
                  <w:divBdr>
                    <w:top w:val="none" w:sz="0" w:space="0" w:color="auto"/>
                    <w:left w:val="none" w:sz="0" w:space="0" w:color="auto"/>
                    <w:bottom w:val="none" w:sz="0" w:space="0" w:color="auto"/>
                    <w:right w:val="none" w:sz="0" w:space="0" w:color="auto"/>
                  </w:divBdr>
                  <w:divsChild>
                    <w:div w:id="345249874">
                      <w:marLeft w:val="0"/>
                      <w:marRight w:val="0"/>
                      <w:marTop w:val="0"/>
                      <w:marBottom w:val="0"/>
                      <w:divBdr>
                        <w:top w:val="none" w:sz="0" w:space="0" w:color="auto"/>
                        <w:left w:val="none" w:sz="0" w:space="0" w:color="auto"/>
                        <w:bottom w:val="none" w:sz="0" w:space="0" w:color="auto"/>
                        <w:right w:val="none" w:sz="0" w:space="0" w:color="auto"/>
                      </w:divBdr>
                    </w:div>
                    <w:div w:id="525099239">
                      <w:marLeft w:val="0"/>
                      <w:marRight w:val="0"/>
                      <w:marTop w:val="0"/>
                      <w:marBottom w:val="0"/>
                      <w:divBdr>
                        <w:top w:val="none" w:sz="0" w:space="0" w:color="auto"/>
                        <w:left w:val="none" w:sz="0" w:space="0" w:color="auto"/>
                        <w:bottom w:val="none" w:sz="0" w:space="0" w:color="auto"/>
                        <w:right w:val="none" w:sz="0" w:space="0" w:color="auto"/>
                      </w:divBdr>
                    </w:div>
                    <w:div w:id="739402346">
                      <w:marLeft w:val="0"/>
                      <w:marRight w:val="0"/>
                      <w:marTop w:val="0"/>
                      <w:marBottom w:val="0"/>
                      <w:divBdr>
                        <w:top w:val="none" w:sz="0" w:space="0" w:color="auto"/>
                        <w:left w:val="none" w:sz="0" w:space="0" w:color="auto"/>
                        <w:bottom w:val="none" w:sz="0" w:space="0" w:color="auto"/>
                        <w:right w:val="none" w:sz="0" w:space="0" w:color="auto"/>
                      </w:divBdr>
                    </w:div>
                    <w:div w:id="1226524361">
                      <w:marLeft w:val="0"/>
                      <w:marRight w:val="0"/>
                      <w:marTop w:val="0"/>
                      <w:marBottom w:val="0"/>
                      <w:divBdr>
                        <w:top w:val="none" w:sz="0" w:space="0" w:color="auto"/>
                        <w:left w:val="none" w:sz="0" w:space="0" w:color="auto"/>
                        <w:bottom w:val="none" w:sz="0" w:space="0" w:color="auto"/>
                        <w:right w:val="none" w:sz="0" w:space="0" w:color="auto"/>
                      </w:divBdr>
                    </w:div>
                  </w:divsChild>
                </w:div>
                <w:div w:id="587470810">
                  <w:marLeft w:val="0"/>
                  <w:marRight w:val="0"/>
                  <w:marTop w:val="0"/>
                  <w:marBottom w:val="0"/>
                  <w:divBdr>
                    <w:top w:val="none" w:sz="0" w:space="0" w:color="auto"/>
                    <w:left w:val="none" w:sz="0" w:space="0" w:color="auto"/>
                    <w:bottom w:val="none" w:sz="0" w:space="0" w:color="auto"/>
                    <w:right w:val="none" w:sz="0" w:space="0" w:color="auto"/>
                  </w:divBdr>
                  <w:divsChild>
                    <w:div w:id="109860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27907">
          <w:marLeft w:val="0"/>
          <w:marRight w:val="0"/>
          <w:marTop w:val="0"/>
          <w:marBottom w:val="0"/>
          <w:divBdr>
            <w:top w:val="none" w:sz="0" w:space="0" w:color="auto"/>
            <w:left w:val="none" w:sz="0" w:space="0" w:color="auto"/>
            <w:bottom w:val="none" w:sz="0" w:space="0" w:color="auto"/>
            <w:right w:val="none" w:sz="0" w:space="0" w:color="auto"/>
          </w:divBdr>
          <w:divsChild>
            <w:div w:id="327947283">
              <w:marLeft w:val="0"/>
              <w:marRight w:val="0"/>
              <w:marTop w:val="0"/>
              <w:marBottom w:val="0"/>
              <w:divBdr>
                <w:top w:val="none" w:sz="0" w:space="0" w:color="auto"/>
                <w:left w:val="none" w:sz="0" w:space="0" w:color="auto"/>
                <w:bottom w:val="none" w:sz="0" w:space="0" w:color="auto"/>
                <w:right w:val="none" w:sz="0" w:space="0" w:color="auto"/>
              </w:divBdr>
            </w:div>
            <w:div w:id="491406319">
              <w:marLeft w:val="0"/>
              <w:marRight w:val="0"/>
              <w:marTop w:val="0"/>
              <w:marBottom w:val="0"/>
              <w:divBdr>
                <w:top w:val="none" w:sz="0" w:space="0" w:color="auto"/>
                <w:left w:val="none" w:sz="0" w:space="0" w:color="auto"/>
                <w:bottom w:val="none" w:sz="0" w:space="0" w:color="auto"/>
                <w:right w:val="none" w:sz="0" w:space="0" w:color="auto"/>
              </w:divBdr>
            </w:div>
            <w:div w:id="511185904">
              <w:marLeft w:val="0"/>
              <w:marRight w:val="0"/>
              <w:marTop w:val="0"/>
              <w:marBottom w:val="0"/>
              <w:divBdr>
                <w:top w:val="none" w:sz="0" w:space="0" w:color="auto"/>
                <w:left w:val="none" w:sz="0" w:space="0" w:color="auto"/>
                <w:bottom w:val="none" w:sz="0" w:space="0" w:color="auto"/>
                <w:right w:val="none" w:sz="0" w:space="0" w:color="auto"/>
              </w:divBdr>
            </w:div>
            <w:div w:id="601568361">
              <w:marLeft w:val="0"/>
              <w:marRight w:val="0"/>
              <w:marTop w:val="0"/>
              <w:marBottom w:val="0"/>
              <w:divBdr>
                <w:top w:val="none" w:sz="0" w:space="0" w:color="auto"/>
                <w:left w:val="none" w:sz="0" w:space="0" w:color="auto"/>
                <w:bottom w:val="none" w:sz="0" w:space="0" w:color="auto"/>
                <w:right w:val="none" w:sz="0" w:space="0" w:color="auto"/>
              </w:divBdr>
            </w:div>
            <w:div w:id="689991347">
              <w:marLeft w:val="0"/>
              <w:marRight w:val="0"/>
              <w:marTop w:val="0"/>
              <w:marBottom w:val="0"/>
              <w:divBdr>
                <w:top w:val="none" w:sz="0" w:space="0" w:color="auto"/>
                <w:left w:val="none" w:sz="0" w:space="0" w:color="auto"/>
                <w:bottom w:val="none" w:sz="0" w:space="0" w:color="auto"/>
                <w:right w:val="none" w:sz="0" w:space="0" w:color="auto"/>
              </w:divBdr>
            </w:div>
            <w:div w:id="788016211">
              <w:marLeft w:val="0"/>
              <w:marRight w:val="0"/>
              <w:marTop w:val="0"/>
              <w:marBottom w:val="0"/>
              <w:divBdr>
                <w:top w:val="none" w:sz="0" w:space="0" w:color="auto"/>
                <w:left w:val="none" w:sz="0" w:space="0" w:color="auto"/>
                <w:bottom w:val="none" w:sz="0" w:space="0" w:color="auto"/>
                <w:right w:val="none" w:sz="0" w:space="0" w:color="auto"/>
              </w:divBdr>
            </w:div>
            <w:div w:id="1009333499">
              <w:marLeft w:val="0"/>
              <w:marRight w:val="0"/>
              <w:marTop w:val="0"/>
              <w:marBottom w:val="0"/>
              <w:divBdr>
                <w:top w:val="none" w:sz="0" w:space="0" w:color="auto"/>
                <w:left w:val="none" w:sz="0" w:space="0" w:color="auto"/>
                <w:bottom w:val="none" w:sz="0" w:space="0" w:color="auto"/>
                <w:right w:val="none" w:sz="0" w:space="0" w:color="auto"/>
              </w:divBdr>
            </w:div>
            <w:div w:id="1163275859">
              <w:marLeft w:val="0"/>
              <w:marRight w:val="0"/>
              <w:marTop w:val="0"/>
              <w:marBottom w:val="0"/>
              <w:divBdr>
                <w:top w:val="none" w:sz="0" w:space="0" w:color="auto"/>
                <w:left w:val="none" w:sz="0" w:space="0" w:color="auto"/>
                <w:bottom w:val="none" w:sz="0" w:space="0" w:color="auto"/>
                <w:right w:val="none" w:sz="0" w:space="0" w:color="auto"/>
              </w:divBdr>
            </w:div>
            <w:div w:id="1541358544">
              <w:marLeft w:val="0"/>
              <w:marRight w:val="0"/>
              <w:marTop w:val="0"/>
              <w:marBottom w:val="0"/>
              <w:divBdr>
                <w:top w:val="none" w:sz="0" w:space="0" w:color="auto"/>
                <w:left w:val="none" w:sz="0" w:space="0" w:color="auto"/>
                <w:bottom w:val="none" w:sz="0" w:space="0" w:color="auto"/>
                <w:right w:val="none" w:sz="0" w:space="0" w:color="auto"/>
              </w:divBdr>
            </w:div>
            <w:div w:id="1660306152">
              <w:marLeft w:val="0"/>
              <w:marRight w:val="0"/>
              <w:marTop w:val="0"/>
              <w:marBottom w:val="0"/>
              <w:divBdr>
                <w:top w:val="none" w:sz="0" w:space="0" w:color="auto"/>
                <w:left w:val="none" w:sz="0" w:space="0" w:color="auto"/>
                <w:bottom w:val="none" w:sz="0" w:space="0" w:color="auto"/>
                <w:right w:val="none" w:sz="0" w:space="0" w:color="auto"/>
              </w:divBdr>
            </w:div>
            <w:div w:id="1765876466">
              <w:marLeft w:val="0"/>
              <w:marRight w:val="0"/>
              <w:marTop w:val="0"/>
              <w:marBottom w:val="0"/>
              <w:divBdr>
                <w:top w:val="none" w:sz="0" w:space="0" w:color="auto"/>
                <w:left w:val="none" w:sz="0" w:space="0" w:color="auto"/>
                <w:bottom w:val="none" w:sz="0" w:space="0" w:color="auto"/>
                <w:right w:val="none" w:sz="0" w:space="0" w:color="auto"/>
              </w:divBdr>
            </w:div>
            <w:div w:id="1956521891">
              <w:marLeft w:val="0"/>
              <w:marRight w:val="0"/>
              <w:marTop w:val="0"/>
              <w:marBottom w:val="0"/>
              <w:divBdr>
                <w:top w:val="none" w:sz="0" w:space="0" w:color="auto"/>
                <w:left w:val="none" w:sz="0" w:space="0" w:color="auto"/>
                <w:bottom w:val="none" w:sz="0" w:space="0" w:color="auto"/>
                <w:right w:val="none" w:sz="0" w:space="0" w:color="auto"/>
              </w:divBdr>
            </w:div>
            <w:div w:id="2025280328">
              <w:marLeft w:val="0"/>
              <w:marRight w:val="0"/>
              <w:marTop w:val="0"/>
              <w:marBottom w:val="0"/>
              <w:divBdr>
                <w:top w:val="none" w:sz="0" w:space="0" w:color="auto"/>
                <w:left w:val="none" w:sz="0" w:space="0" w:color="auto"/>
                <w:bottom w:val="none" w:sz="0" w:space="0" w:color="auto"/>
                <w:right w:val="none" w:sz="0" w:space="0" w:color="auto"/>
              </w:divBdr>
            </w:div>
          </w:divsChild>
        </w:div>
        <w:div w:id="776169884">
          <w:marLeft w:val="0"/>
          <w:marRight w:val="0"/>
          <w:marTop w:val="0"/>
          <w:marBottom w:val="0"/>
          <w:divBdr>
            <w:top w:val="none" w:sz="0" w:space="0" w:color="auto"/>
            <w:left w:val="none" w:sz="0" w:space="0" w:color="auto"/>
            <w:bottom w:val="none" w:sz="0" w:space="0" w:color="auto"/>
            <w:right w:val="none" w:sz="0" w:space="0" w:color="auto"/>
          </w:divBdr>
        </w:div>
        <w:div w:id="781876959">
          <w:marLeft w:val="0"/>
          <w:marRight w:val="0"/>
          <w:marTop w:val="0"/>
          <w:marBottom w:val="0"/>
          <w:divBdr>
            <w:top w:val="none" w:sz="0" w:space="0" w:color="auto"/>
            <w:left w:val="none" w:sz="0" w:space="0" w:color="auto"/>
            <w:bottom w:val="none" w:sz="0" w:space="0" w:color="auto"/>
            <w:right w:val="none" w:sz="0" w:space="0" w:color="auto"/>
          </w:divBdr>
          <w:divsChild>
            <w:div w:id="1786385941">
              <w:marLeft w:val="-75"/>
              <w:marRight w:val="0"/>
              <w:marTop w:val="30"/>
              <w:marBottom w:val="30"/>
              <w:divBdr>
                <w:top w:val="none" w:sz="0" w:space="0" w:color="auto"/>
                <w:left w:val="none" w:sz="0" w:space="0" w:color="auto"/>
                <w:bottom w:val="none" w:sz="0" w:space="0" w:color="auto"/>
                <w:right w:val="none" w:sz="0" w:space="0" w:color="auto"/>
              </w:divBdr>
              <w:divsChild>
                <w:div w:id="758332123">
                  <w:marLeft w:val="0"/>
                  <w:marRight w:val="0"/>
                  <w:marTop w:val="0"/>
                  <w:marBottom w:val="0"/>
                  <w:divBdr>
                    <w:top w:val="none" w:sz="0" w:space="0" w:color="auto"/>
                    <w:left w:val="none" w:sz="0" w:space="0" w:color="auto"/>
                    <w:bottom w:val="none" w:sz="0" w:space="0" w:color="auto"/>
                    <w:right w:val="none" w:sz="0" w:space="0" w:color="auto"/>
                  </w:divBdr>
                  <w:divsChild>
                    <w:div w:id="395520498">
                      <w:marLeft w:val="0"/>
                      <w:marRight w:val="0"/>
                      <w:marTop w:val="0"/>
                      <w:marBottom w:val="0"/>
                      <w:divBdr>
                        <w:top w:val="none" w:sz="0" w:space="0" w:color="auto"/>
                        <w:left w:val="none" w:sz="0" w:space="0" w:color="auto"/>
                        <w:bottom w:val="none" w:sz="0" w:space="0" w:color="auto"/>
                        <w:right w:val="none" w:sz="0" w:space="0" w:color="auto"/>
                      </w:divBdr>
                    </w:div>
                    <w:div w:id="748697002">
                      <w:marLeft w:val="0"/>
                      <w:marRight w:val="0"/>
                      <w:marTop w:val="0"/>
                      <w:marBottom w:val="0"/>
                      <w:divBdr>
                        <w:top w:val="none" w:sz="0" w:space="0" w:color="auto"/>
                        <w:left w:val="none" w:sz="0" w:space="0" w:color="auto"/>
                        <w:bottom w:val="none" w:sz="0" w:space="0" w:color="auto"/>
                        <w:right w:val="none" w:sz="0" w:space="0" w:color="auto"/>
                      </w:divBdr>
                    </w:div>
                    <w:div w:id="1628245084">
                      <w:marLeft w:val="0"/>
                      <w:marRight w:val="0"/>
                      <w:marTop w:val="0"/>
                      <w:marBottom w:val="0"/>
                      <w:divBdr>
                        <w:top w:val="none" w:sz="0" w:space="0" w:color="auto"/>
                        <w:left w:val="none" w:sz="0" w:space="0" w:color="auto"/>
                        <w:bottom w:val="none" w:sz="0" w:space="0" w:color="auto"/>
                        <w:right w:val="none" w:sz="0" w:space="0" w:color="auto"/>
                      </w:divBdr>
                    </w:div>
                  </w:divsChild>
                </w:div>
                <w:div w:id="862327464">
                  <w:marLeft w:val="0"/>
                  <w:marRight w:val="0"/>
                  <w:marTop w:val="0"/>
                  <w:marBottom w:val="0"/>
                  <w:divBdr>
                    <w:top w:val="none" w:sz="0" w:space="0" w:color="auto"/>
                    <w:left w:val="none" w:sz="0" w:space="0" w:color="auto"/>
                    <w:bottom w:val="none" w:sz="0" w:space="0" w:color="auto"/>
                    <w:right w:val="none" w:sz="0" w:space="0" w:color="auto"/>
                  </w:divBdr>
                  <w:divsChild>
                    <w:div w:id="613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56758">
          <w:marLeft w:val="0"/>
          <w:marRight w:val="0"/>
          <w:marTop w:val="0"/>
          <w:marBottom w:val="0"/>
          <w:divBdr>
            <w:top w:val="none" w:sz="0" w:space="0" w:color="auto"/>
            <w:left w:val="none" w:sz="0" w:space="0" w:color="auto"/>
            <w:bottom w:val="none" w:sz="0" w:space="0" w:color="auto"/>
            <w:right w:val="none" w:sz="0" w:space="0" w:color="auto"/>
          </w:divBdr>
          <w:divsChild>
            <w:div w:id="429546854">
              <w:marLeft w:val="-75"/>
              <w:marRight w:val="0"/>
              <w:marTop w:val="30"/>
              <w:marBottom w:val="30"/>
              <w:divBdr>
                <w:top w:val="none" w:sz="0" w:space="0" w:color="auto"/>
                <w:left w:val="none" w:sz="0" w:space="0" w:color="auto"/>
                <w:bottom w:val="none" w:sz="0" w:space="0" w:color="auto"/>
                <w:right w:val="none" w:sz="0" w:space="0" w:color="auto"/>
              </w:divBdr>
              <w:divsChild>
                <w:div w:id="23941338">
                  <w:marLeft w:val="0"/>
                  <w:marRight w:val="0"/>
                  <w:marTop w:val="0"/>
                  <w:marBottom w:val="0"/>
                  <w:divBdr>
                    <w:top w:val="none" w:sz="0" w:space="0" w:color="auto"/>
                    <w:left w:val="none" w:sz="0" w:space="0" w:color="auto"/>
                    <w:bottom w:val="none" w:sz="0" w:space="0" w:color="auto"/>
                    <w:right w:val="none" w:sz="0" w:space="0" w:color="auto"/>
                  </w:divBdr>
                  <w:divsChild>
                    <w:div w:id="102849993">
                      <w:marLeft w:val="0"/>
                      <w:marRight w:val="0"/>
                      <w:marTop w:val="0"/>
                      <w:marBottom w:val="0"/>
                      <w:divBdr>
                        <w:top w:val="none" w:sz="0" w:space="0" w:color="auto"/>
                        <w:left w:val="none" w:sz="0" w:space="0" w:color="auto"/>
                        <w:bottom w:val="none" w:sz="0" w:space="0" w:color="auto"/>
                        <w:right w:val="none" w:sz="0" w:space="0" w:color="auto"/>
                      </w:divBdr>
                    </w:div>
                  </w:divsChild>
                </w:div>
                <w:div w:id="45305100">
                  <w:marLeft w:val="0"/>
                  <w:marRight w:val="0"/>
                  <w:marTop w:val="0"/>
                  <w:marBottom w:val="0"/>
                  <w:divBdr>
                    <w:top w:val="none" w:sz="0" w:space="0" w:color="auto"/>
                    <w:left w:val="none" w:sz="0" w:space="0" w:color="auto"/>
                    <w:bottom w:val="none" w:sz="0" w:space="0" w:color="auto"/>
                    <w:right w:val="none" w:sz="0" w:space="0" w:color="auto"/>
                  </w:divBdr>
                  <w:divsChild>
                    <w:div w:id="402873457">
                      <w:marLeft w:val="0"/>
                      <w:marRight w:val="0"/>
                      <w:marTop w:val="0"/>
                      <w:marBottom w:val="0"/>
                      <w:divBdr>
                        <w:top w:val="none" w:sz="0" w:space="0" w:color="auto"/>
                        <w:left w:val="none" w:sz="0" w:space="0" w:color="auto"/>
                        <w:bottom w:val="none" w:sz="0" w:space="0" w:color="auto"/>
                        <w:right w:val="none" w:sz="0" w:space="0" w:color="auto"/>
                      </w:divBdr>
                    </w:div>
                  </w:divsChild>
                </w:div>
                <w:div w:id="46414483">
                  <w:marLeft w:val="0"/>
                  <w:marRight w:val="0"/>
                  <w:marTop w:val="0"/>
                  <w:marBottom w:val="0"/>
                  <w:divBdr>
                    <w:top w:val="none" w:sz="0" w:space="0" w:color="auto"/>
                    <w:left w:val="none" w:sz="0" w:space="0" w:color="auto"/>
                    <w:bottom w:val="none" w:sz="0" w:space="0" w:color="auto"/>
                    <w:right w:val="none" w:sz="0" w:space="0" w:color="auto"/>
                  </w:divBdr>
                  <w:divsChild>
                    <w:div w:id="372386802">
                      <w:marLeft w:val="0"/>
                      <w:marRight w:val="0"/>
                      <w:marTop w:val="0"/>
                      <w:marBottom w:val="0"/>
                      <w:divBdr>
                        <w:top w:val="none" w:sz="0" w:space="0" w:color="auto"/>
                        <w:left w:val="none" w:sz="0" w:space="0" w:color="auto"/>
                        <w:bottom w:val="none" w:sz="0" w:space="0" w:color="auto"/>
                        <w:right w:val="none" w:sz="0" w:space="0" w:color="auto"/>
                      </w:divBdr>
                    </w:div>
                  </w:divsChild>
                </w:div>
                <w:div w:id="48039157">
                  <w:marLeft w:val="0"/>
                  <w:marRight w:val="0"/>
                  <w:marTop w:val="0"/>
                  <w:marBottom w:val="0"/>
                  <w:divBdr>
                    <w:top w:val="none" w:sz="0" w:space="0" w:color="auto"/>
                    <w:left w:val="none" w:sz="0" w:space="0" w:color="auto"/>
                    <w:bottom w:val="none" w:sz="0" w:space="0" w:color="auto"/>
                    <w:right w:val="none" w:sz="0" w:space="0" w:color="auto"/>
                  </w:divBdr>
                  <w:divsChild>
                    <w:div w:id="1734966461">
                      <w:marLeft w:val="0"/>
                      <w:marRight w:val="0"/>
                      <w:marTop w:val="0"/>
                      <w:marBottom w:val="0"/>
                      <w:divBdr>
                        <w:top w:val="none" w:sz="0" w:space="0" w:color="auto"/>
                        <w:left w:val="none" w:sz="0" w:space="0" w:color="auto"/>
                        <w:bottom w:val="none" w:sz="0" w:space="0" w:color="auto"/>
                        <w:right w:val="none" w:sz="0" w:space="0" w:color="auto"/>
                      </w:divBdr>
                    </w:div>
                  </w:divsChild>
                </w:div>
                <w:div w:id="73935198">
                  <w:marLeft w:val="0"/>
                  <w:marRight w:val="0"/>
                  <w:marTop w:val="0"/>
                  <w:marBottom w:val="0"/>
                  <w:divBdr>
                    <w:top w:val="none" w:sz="0" w:space="0" w:color="auto"/>
                    <w:left w:val="none" w:sz="0" w:space="0" w:color="auto"/>
                    <w:bottom w:val="none" w:sz="0" w:space="0" w:color="auto"/>
                    <w:right w:val="none" w:sz="0" w:space="0" w:color="auto"/>
                  </w:divBdr>
                  <w:divsChild>
                    <w:div w:id="1012414988">
                      <w:marLeft w:val="0"/>
                      <w:marRight w:val="0"/>
                      <w:marTop w:val="0"/>
                      <w:marBottom w:val="0"/>
                      <w:divBdr>
                        <w:top w:val="none" w:sz="0" w:space="0" w:color="auto"/>
                        <w:left w:val="none" w:sz="0" w:space="0" w:color="auto"/>
                        <w:bottom w:val="none" w:sz="0" w:space="0" w:color="auto"/>
                        <w:right w:val="none" w:sz="0" w:space="0" w:color="auto"/>
                      </w:divBdr>
                    </w:div>
                  </w:divsChild>
                </w:div>
                <w:div w:id="79644733">
                  <w:marLeft w:val="0"/>
                  <w:marRight w:val="0"/>
                  <w:marTop w:val="0"/>
                  <w:marBottom w:val="0"/>
                  <w:divBdr>
                    <w:top w:val="none" w:sz="0" w:space="0" w:color="auto"/>
                    <w:left w:val="none" w:sz="0" w:space="0" w:color="auto"/>
                    <w:bottom w:val="none" w:sz="0" w:space="0" w:color="auto"/>
                    <w:right w:val="none" w:sz="0" w:space="0" w:color="auto"/>
                  </w:divBdr>
                  <w:divsChild>
                    <w:div w:id="1685594825">
                      <w:marLeft w:val="0"/>
                      <w:marRight w:val="0"/>
                      <w:marTop w:val="0"/>
                      <w:marBottom w:val="0"/>
                      <w:divBdr>
                        <w:top w:val="none" w:sz="0" w:space="0" w:color="auto"/>
                        <w:left w:val="none" w:sz="0" w:space="0" w:color="auto"/>
                        <w:bottom w:val="none" w:sz="0" w:space="0" w:color="auto"/>
                        <w:right w:val="none" w:sz="0" w:space="0" w:color="auto"/>
                      </w:divBdr>
                    </w:div>
                  </w:divsChild>
                </w:div>
                <w:div w:id="90053168">
                  <w:marLeft w:val="0"/>
                  <w:marRight w:val="0"/>
                  <w:marTop w:val="0"/>
                  <w:marBottom w:val="0"/>
                  <w:divBdr>
                    <w:top w:val="none" w:sz="0" w:space="0" w:color="auto"/>
                    <w:left w:val="none" w:sz="0" w:space="0" w:color="auto"/>
                    <w:bottom w:val="none" w:sz="0" w:space="0" w:color="auto"/>
                    <w:right w:val="none" w:sz="0" w:space="0" w:color="auto"/>
                  </w:divBdr>
                  <w:divsChild>
                    <w:div w:id="418140019">
                      <w:marLeft w:val="0"/>
                      <w:marRight w:val="0"/>
                      <w:marTop w:val="0"/>
                      <w:marBottom w:val="0"/>
                      <w:divBdr>
                        <w:top w:val="none" w:sz="0" w:space="0" w:color="auto"/>
                        <w:left w:val="none" w:sz="0" w:space="0" w:color="auto"/>
                        <w:bottom w:val="none" w:sz="0" w:space="0" w:color="auto"/>
                        <w:right w:val="none" w:sz="0" w:space="0" w:color="auto"/>
                      </w:divBdr>
                    </w:div>
                  </w:divsChild>
                </w:div>
                <w:div w:id="138113723">
                  <w:marLeft w:val="0"/>
                  <w:marRight w:val="0"/>
                  <w:marTop w:val="0"/>
                  <w:marBottom w:val="0"/>
                  <w:divBdr>
                    <w:top w:val="none" w:sz="0" w:space="0" w:color="auto"/>
                    <w:left w:val="none" w:sz="0" w:space="0" w:color="auto"/>
                    <w:bottom w:val="none" w:sz="0" w:space="0" w:color="auto"/>
                    <w:right w:val="none" w:sz="0" w:space="0" w:color="auto"/>
                  </w:divBdr>
                  <w:divsChild>
                    <w:div w:id="880048153">
                      <w:marLeft w:val="0"/>
                      <w:marRight w:val="0"/>
                      <w:marTop w:val="0"/>
                      <w:marBottom w:val="0"/>
                      <w:divBdr>
                        <w:top w:val="none" w:sz="0" w:space="0" w:color="auto"/>
                        <w:left w:val="none" w:sz="0" w:space="0" w:color="auto"/>
                        <w:bottom w:val="none" w:sz="0" w:space="0" w:color="auto"/>
                        <w:right w:val="none" w:sz="0" w:space="0" w:color="auto"/>
                      </w:divBdr>
                    </w:div>
                  </w:divsChild>
                </w:div>
                <w:div w:id="168982451">
                  <w:marLeft w:val="0"/>
                  <w:marRight w:val="0"/>
                  <w:marTop w:val="0"/>
                  <w:marBottom w:val="0"/>
                  <w:divBdr>
                    <w:top w:val="none" w:sz="0" w:space="0" w:color="auto"/>
                    <w:left w:val="none" w:sz="0" w:space="0" w:color="auto"/>
                    <w:bottom w:val="none" w:sz="0" w:space="0" w:color="auto"/>
                    <w:right w:val="none" w:sz="0" w:space="0" w:color="auto"/>
                  </w:divBdr>
                  <w:divsChild>
                    <w:div w:id="860126744">
                      <w:marLeft w:val="0"/>
                      <w:marRight w:val="0"/>
                      <w:marTop w:val="0"/>
                      <w:marBottom w:val="0"/>
                      <w:divBdr>
                        <w:top w:val="none" w:sz="0" w:space="0" w:color="auto"/>
                        <w:left w:val="none" w:sz="0" w:space="0" w:color="auto"/>
                        <w:bottom w:val="none" w:sz="0" w:space="0" w:color="auto"/>
                        <w:right w:val="none" w:sz="0" w:space="0" w:color="auto"/>
                      </w:divBdr>
                    </w:div>
                  </w:divsChild>
                </w:div>
                <w:div w:id="194972007">
                  <w:marLeft w:val="0"/>
                  <w:marRight w:val="0"/>
                  <w:marTop w:val="0"/>
                  <w:marBottom w:val="0"/>
                  <w:divBdr>
                    <w:top w:val="none" w:sz="0" w:space="0" w:color="auto"/>
                    <w:left w:val="none" w:sz="0" w:space="0" w:color="auto"/>
                    <w:bottom w:val="none" w:sz="0" w:space="0" w:color="auto"/>
                    <w:right w:val="none" w:sz="0" w:space="0" w:color="auto"/>
                  </w:divBdr>
                  <w:divsChild>
                    <w:div w:id="1389764797">
                      <w:marLeft w:val="0"/>
                      <w:marRight w:val="0"/>
                      <w:marTop w:val="0"/>
                      <w:marBottom w:val="0"/>
                      <w:divBdr>
                        <w:top w:val="none" w:sz="0" w:space="0" w:color="auto"/>
                        <w:left w:val="none" w:sz="0" w:space="0" w:color="auto"/>
                        <w:bottom w:val="none" w:sz="0" w:space="0" w:color="auto"/>
                        <w:right w:val="none" w:sz="0" w:space="0" w:color="auto"/>
                      </w:divBdr>
                    </w:div>
                  </w:divsChild>
                </w:div>
                <w:div w:id="200628769">
                  <w:marLeft w:val="0"/>
                  <w:marRight w:val="0"/>
                  <w:marTop w:val="0"/>
                  <w:marBottom w:val="0"/>
                  <w:divBdr>
                    <w:top w:val="none" w:sz="0" w:space="0" w:color="auto"/>
                    <w:left w:val="none" w:sz="0" w:space="0" w:color="auto"/>
                    <w:bottom w:val="none" w:sz="0" w:space="0" w:color="auto"/>
                    <w:right w:val="none" w:sz="0" w:space="0" w:color="auto"/>
                  </w:divBdr>
                  <w:divsChild>
                    <w:div w:id="672418945">
                      <w:marLeft w:val="0"/>
                      <w:marRight w:val="0"/>
                      <w:marTop w:val="0"/>
                      <w:marBottom w:val="0"/>
                      <w:divBdr>
                        <w:top w:val="none" w:sz="0" w:space="0" w:color="auto"/>
                        <w:left w:val="none" w:sz="0" w:space="0" w:color="auto"/>
                        <w:bottom w:val="none" w:sz="0" w:space="0" w:color="auto"/>
                        <w:right w:val="none" w:sz="0" w:space="0" w:color="auto"/>
                      </w:divBdr>
                    </w:div>
                  </w:divsChild>
                </w:div>
                <w:div w:id="214388416">
                  <w:marLeft w:val="0"/>
                  <w:marRight w:val="0"/>
                  <w:marTop w:val="0"/>
                  <w:marBottom w:val="0"/>
                  <w:divBdr>
                    <w:top w:val="none" w:sz="0" w:space="0" w:color="auto"/>
                    <w:left w:val="none" w:sz="0" w:space="0" w:color="auto"/>
                    <w:bottom w:val="none" w:sz="0" w:space="0" w:color="auto"/>
                    <w:right w:val="none" w:sz="0" w:space="0" w:color="auto"/>
                  </w:divBdr>
                  <w:divsChild>
                    <w:div w:id="1286278148">
                      <w:marLeft w:val="0"/>
                      <w:marRight w:val="0"/>
                      <w:marTop w:val="0"/>
                      <w:marBottom w:val="0"/>
                      <w:divBdr>
                        <w:top w:val="none" w:sz="0" w:space="0" w:color="auto"/>
                        <w:left w:val="none" w:sz="0" w:space="0" w:color="auto"/>
                        <w:bottom w:val="none" w:sz="0" w:space="0" w:color="auto"/>
                        <w:right w:val="none" w:sz="0" w:space="0" w:color="auto"/>
                      </w:divBdr>
                    </w:div>
                  </w:divsChild>
                </w:div>
                <w:div w:id="255944040">
                  <w:marLeft w:val="0"/>
                  <w:marRight w:val="0"/>
                  <w:marTop w:val="0"/>
                  <w:marBottom w:val="0"/>
                  <w:divBdr>
                    <w:top w:val="none" w:sz="0" w:space="0" w:color="auto"/>
                    <w:left w:val="none" w:sz="0" w:space="0" w:color="auto"/>
                    <w:bottom w:val="none" w:sz="0" w:space="0" w:color="auto"/>
                    <w:right w:val="none" w:sz="0" w:space="0" w:color="auto"/>
                  </w:divBdr>
                  <w:divsChild>
                    <w:div w:id="217859294">
                      <w:marLeft w:val="0"/>
                      <w:marRight w:val="0"/>
                      <w:marTop w:val="0"/>
                      <w:marBottom w:val="0"/>
                      <w:divBdr>
                        <w:top w:val="none" w:sz="0" w:space="0" w:color="auto"/>
                        <w:left w:val="none" w:sz="0" w:space="0" w:color="auto"/>
                        <w:bottom w:val="none" w:sz="0" w:space="0" w:color="auto"/>
                        <w:right w:val="none" w:sz="0" w:space="0" w:color="auto"/>
                      </w:divBdr>
                    </w:div>
                  </w:divsChild>
                </w:div>
                <w:div w:id="264656941">
                  <w:marLeft w:val="0"/>
                  <w:marRight w:val="0"/>
                  <w:marTop w:val="0"/>
                  <w:marBottom w:val="0"/>
                  <w:divBdr>
                    <w:top w:val="none" w:sz="0" w:space="0" w:color="auto"/>
                    <w:left w:val="none" w:sz="0" w:space="0" w:color="auto"/>
                    <w:bottom w:val="none" w:sz="0" w:space="0" w:color="auto"/>
                    <w:right w:val="none" w:sz="0" w:space="0" w:color="auto"/>
                  </w:divBdr>
                  <w:divsChild>
                    <w:div w:id="788860712">
                      <w:marLeft w:val="0"/>
                      <w:marRight w:val="0"/>
                      <w:marTop w:val="0"/>
                      <w:marBottom w:val="0"/>
                      <w:divBdr>
                        <w:top w:val="none" w:sz="0" w:space="0" w:color="auto"/>
                        <w:left w:val="none" w:sz="0" w:space="0" w:color="auto"/>
                        <w:bottom w:val="none" w:sz="0" w:space="0" w:color="auto"/>
                        <w:right w:val="none" w:sz="0" w:space="0" w:color="auto"/>
                      </w:divBdr>
                    </w:div>
                  </w:divsChild>
                </w:div>
                <w:div w:id="295765424">
                  <w:marLeft w:val="0"/>
                  <w:marRight w:val="0"/>
                  <w:marTop w:val="0"/>
                  <w:marBottom w:val="0"/>
                  <w:divBdr>
                    <w:top w:val="none" w:sz="0" w:space="0" w:color="auto"/>
                    <w:left w:val="none" w:sz="0" w:space="0" w:color="auto"/>
                    <w:bottom w:val="none" w:sz="0" w:space="0" w:color="auto"/>
                    <w:right w:val="none" w:sz="0" w:space="0" w:color="auto"/>
                  </w:divBdr>
                  <w:divsChild>
                    <w:div w:id="2131894295">
                      <w:marLeft w:val="0"/>
                      <w:marRight w:val="0"/>
                      <w:marTop w:val="0"/>
                      <w:marBottom w:val="0"/>
                      <w:divBdr>
                        <w:top w:val="none" w:sz="0" w:space="0" w:color="auto"/>
                        <w:left w:val="none" w:sz="0" w:space="0" w:color="auto"/>
                        <w:bottom w:val="none" w:sz="0" w:space="0" w:color="auto"/>
                        <w:right w:val="none" w:sz="0" w:space="0" w:color="auto"/>
                      </w:divBdr>
                    </w:div>
                  </w:divsChild>
                </w:div>
                <w:div w:id="350690184">
                  <w:marLeft w:val="0"/>
                  <w:marRight w:val="0"/>
                  <w:marTop w:val="0"/>
                  <w:marBottom w:val="0"/>
                  <w:divBdr>
                    <w:top w:val="none" w:sz="0" w:space="0" w:color="auto"/>
                    <w:left w:val="none" w:sz="0" w:space="0" w:color="auto"/>
                    <w:bottom w:val="none" w:sz="0" w:space="0" w:color="auto"/>
                    <w:right w:val="none" w:sz="0" w:space="0" w:color="auto"/>
                  </w:divBdr>
                  <w:divsChild>
                    <w:div w:id="1936749253">
                      <w:marLeft w:val="0"/>
                      <w:marRight w:val="0"/>
                      <w:marTop w:val="0"/>
                      <w:marBottom w:val="0"/>
                      <w:divBdr>
                        <w:top w:val="none" w:sz="0" w:space="0" w:color="auto"/>
                        <w:left w:val="none" w:sz="0" w:space="0" w:color="auto"/>
                        <w:bottom w:val="none" w:sz="0" w:space="0" w:color="auto"/>
                        <w:right w:val="none" w:sz="0" w:space="0" w:color="auto"/>
                      </w:divBdr>
                    </w:div>
                  </w:divsChild>
                </w:div>
                <w:div w:id="374358332">
                  <w:marLeft w:val="0"/>
                  <w:marRight w:val="0"/>
                  <w:marTop w:val="0"/>
                  <w:marBottom w:val="0"/>
                  <w:divBdr>
                    <w:top w:val="none" w:sz="0" w:space="0" w:color="auto"/>
                    <w:left w:val="none" w:sz="0" w:space="0" w:color="auto"/>
                    <w:bottom w:val="none" w:sz="0" w:space="0" w:color="auto"/>
                    <w:right w:val="none" w:sz="0" w:space="0" w:color="auto"/>
                  </w:divBdr>
                  <w:divsChild>
                    <w:div w:id="1037118648">
                      <w:marLeft w:val="0"/>
                      <w:marRight w:val="0"/>
                      <w:marTop w:val="0"/>
                      <w:marBottom w:val="0"/>
                      <w:divBdr>
                        <w:top w:val="none" w:sz="0" w:space="0" w:color="auto"/>
                        <w:left w:val="none" w:sz="0" w:space="0" w:color="auto"/>
                        <w:bottom w:val="none" w:sz="0" w:space="0" w:color="auto"/>
                        <w:right w:val="none" w:sz="0" w:space="0" w:color="auto"/>
                      </w:divBdr>
                    </w:div>
                  </w:divsChild>
                </w:div>
                <w:div w:id="375082457">
                  <w:marLeft w:val="0"/>
                  <w:marRight w:val="0"/>
                  <w:marTop w:val="0"/>
                  <w:marBottom w:val="0"/>
                  <w:divBdr>
                    <w:top w:val="none" w:sz="0" w:space="0" w:color="auto"/>
                    <w:left w:val="none" w:sz="0" w:space="0" w:color="auto"/>
                    <w:bottom w:val="none" w:sz="0" w:space="0" w:color="auto"/>
                    <w:right w:val="none" w:sz="0" w:space="0" w:color="auto"/>
                  </w:divBdr>
                  <w:divsChild>
                    <w:div w:id="716780591">
                      <w:marLeft w:val="0"/>
                      <w:marRight w:val="0"/>
                      <w:marTop w:val="0"/>
                      <w:marBottom w:val="0"/>
                      <w:divBdr>
                        <w:top w:val="none" w:sz="0" w:space="0" w:color="auto"/>
                        <w:left w:val="none" w:sz="0" w:space="0" w:color="auto"/>
                        <w:bottom w:val="none" w:sz="0" w:space="0" w:color="auto"/>
                        <w:right w:val="none" w:sz="0" w:space="0" w:color="auto"/>
                      </w:divBdr>
                    </w:div>
                  </w:divsChild>
                </w:div>
                <w:div w:id="381831138">
                  <w:marLeft w:val="0"/>
                  <w:marRight w:val="0"/>
                  <w:marTop w:val="0"/>
                  <w:marBottom w:val="0"/>
                  <w:divBdr>
                    <w:top w:val="none" w:sz="0" w:space="0" w:color="auto"/>
                    <w:left w:val="none" w:sz="0" w:space="0" w:color="auto"/>
                    <w:bottom w:val="none" w:sz="0" w:space="0" w:color="auto"/>
                    <w:right w:val="none" w:sz="0" w:space="0" w:color="auto"/>
                  </w:divBdr>
                  <w:divsChild>
                    <w:div w:id="1613702117">
                      <w:marLeft w:val="0"/>
                      <w:marRight w:val="0"/>
                      <w:marTop w:val="0"/>
                      <w:marBottom w:val="0"/>
                      <w:divBdr>
                        <w:top w:val="none" w:sz="0" w:space="0" w:color="auto"/>
                        <w:left w:val="none" w:sz="0" w:space="0" w:color="auto"/>
                        <w:bottom w:val="none" w:sz="0" w:space="0" w:color="auto"/>
                        <w:right w:val="none" w:sz="0" w:space="0" w:color="auto"/>
                      </w:divBdr>
                    </w:div>
                  </w:divsChild>
                </w:div>
                <w:div w:id="385497558">
                  <w:marLeft w:val="0"/>
                  <w:marRight w:val="0"/>
                  <w:marTop w:val="0"/>
                  <w:marBottom w:val="0"/>
                  <w:divBdr>
                    <w:top w:val="none" w:sz="0" w:space="0" w:color="auto"/>
                    <w:left w:val="none" w:sz="0" w:space="0" w:color="auto"/>
                    <w:bottom w:val="none" w:sz="0" w:space="0" w:color="auto"/>
                    <w:right w:val="none" w:sz="0" w:space="0" w:color="auto"/>
                  </w:divBdr>
                  <w:divsChild>
                    <w:div w:id="113716982">
                      <w:marLeft w:val="0"/>
                      <w:marRight w:val="0"/>
                      <w:marTop w:val="0"/>
                      <w:marBottom w:val="0"/>
                      <w:divBdr>
                        <w:top w:val="none" w:sz="0" w:space="0" w:color="auto"/>
                        <w:left w:val="none" w:sz="0" w:space="0" w:color="auto"/>
                        <w:bottom w:val="none" w:sz="0" w:space="0" w:color="auto"/>
                        <w:right w:val="none" w:sz="0" w:space="0" w:color="auto"/>
                      </w:divBdr>
                    </w:div>
                  </w:divsChild>
                </w:div>
                <w:div w:id="404111992">
                  <w:marLeft w:val="0"/>
                  <w:marRight w:val="0"/>
                  <w:marTop w:val="0"/>
                  <w:marBottom w:val="0"/>
                  <w:divBdr>
                    <w:top w:val="none" w:sz="0" w:space="0" w:color="auto"/>
                    <w:left w:val="none" w:sz="0" w:space="0" w:color="auto"/>
                    <w:bottom w:val="none" w:sz="0" w:space="0" w:color="auto"/>
                    <w:right w:val="none" w:sz="0" w:space="0" w:color="auto"/>
                  </w:divBdr>
                  <w:divsChild>
                    <w:div w:id="628752878">
                      <w:marLeft w:val="0"/>
                      <w:marRight w:val="0"/>
                      <w:marTop w:val="0"/>
                      <w:marBottom w:val="0"/>
                      <w:divBdr>
                        <w:top w:val="none" w:sz="0" w:space="0" w:color="auto"/>
                        <w:left w:val="none" w:sz="0" w:space="0" w:color="auto"/>
                        <w:bottom w:val="none" w:sz="0" w:space="0" w:color="auto"/>
                        <w:right w:val="none" w:sz="0" w:space="0" w:color="auto"/>
                      </w:divBdr>
                    </w:div>
                  </w:divsChild>
                </w:div>
                <w:div w:id="404303060">
                  <w:marLeft w:val="0"/>
                  <w:marRight w:val="0"/>
                  <w:marTop w:val="0"/>
                  <w:marBottom w:val="0"/>
                  <w:divBdr>
                    <w:top w:val="none" w:sz="0" w:space="0" w:color="auto"/>
                    <w:left w:val="none" w:sz="0" w:space="0" w:color="auto"/>
                    <w:bottom w:val="none" w:sz="0" w:space="0" w:color="auto"/>
                    <w:right w:val="none" w:sz="0" w:space="0" w:color="auto"/>
                  </w:divBdr>
                  <w:divsChild>
                    <w:div w:id="262568085">
                      <w:marLeft w:val="0"/>
                      <w:marRight w:val="0"/>
                      <w:marTop w:val="0"/>
                      <w:marBottom w:val="0"/>
                      <w:divBdr>
                        <w:top w:val="none" w:sz="0" w:space="0" w:color="auto"/>
                        <w:left w:val="none" w:sz="0" w:space="0" w:color="auto"/>
                        <w:bottom w:val="none" w:sz="0" w:space="0" w:color="auto"/>
                        <w:right w:val="none" w:sz="0" w:space="0" w:color="auto"/>
                      </w:divBdr>
                    </w:div>
                  </w:divsChild>
                </w:div>
                <w:div w:id="414087014">
                  <w:marLeft w:val="0"/>
                  <w:marRight w:val="0"/>
                  <w:marTop w:val="0"/>
                  <w:marBottom w:val="0"/>
                  <w:divBdr>
                    <w:top w:val="none" w:sz="0" w:space="0" w:color="auto"/>
                    <w:left w:val="none" w:sz="0" w:space="0" w:color="auto"/>
                    <w:bottom w:val="none" w:sz="0" w:space="0" w:color="auto"/>
                    <w:right w:val="none" w:sz="0" w:space="0" w:color="auto"/>
                  </w:divBdr>
                  <w:divsChild>
                    <w:div w:id="113065285">
                      <w:marLeft w:val="0"/>
                      <w:marRight w:val="0"/>
                      <w:marTop w:val="0"/>
                      <w:marBottom w:val="0"/>
                      <w:divBdr>
                        <w:top w:val="none" w:sz="0" w:space="0" w:color="auto"/>
                        <w:left w:val="none" w:sz="0" w:space="0" w:color="auto"/>
                        <w:bottom w:val="none" w:sz="0" w:space="0" w:color="auto"/>
                        <w:right w:val="none" w:sz="0" w:space="0" w:color="auto"/>
                      </w:divBdr>
                    </w:div>
                  </w:divsChild>
                </w:div>
                <w:div w:id="419377297">
                  <w:marLeft w:val="0"/>
                  <w:marRight w:val="0"/>
                  <w:marTop w:val="0"/>
                  <w:marBottom w:val="0"/>
                  <w:divBdr>
                    <w:top w:val="none" w:sz="0" w:space="0" w:color="auto"/>
                    <w:left w:val="none" w:sz="0" w:space="0" w:color="auto"/>
                    <w:bottom w:val="none" w:sz="0" w:space="0" w:color="auto"/>
                    <w:right w:val="none" w:sz="0" w:space="0" w:color="auto"/>
                  </w:divBdr>
                  <w:divsChild>
                    <w:div w:id="1323005617">
                      <w:marLeft w:val="0"/>
                      <w:marRight w:val="0"/>
                      <w:marTop w:val="0"/>
                      <w:marBottom w:val="0"/>
                      <w:divBdr>
                        <w:top w:val="none" w:sz="0" w:space="0" w:color="auto"/>
                        <w:left w:val="none" w:sz="0" w:space="0" w:color="auto"/>
                        <w:bottom w:val="none" w:sz="0" w:space="0" w:color="auto"/>
                        <w:right w:val="none" w:sz="0" w:space="0" w:color="auto"/>
                      </w:divBdr>
                    </w:div>
                  </w:divsChild>
                </w:div>
                <w:div w:id="444810854">
                  <w:marLeft w:val="0"/>
                  <w:marRight w:val="0"/>
                  <w:marTop w:val="0"/>
                  <w:marBottom w:val="0"/>
                  <w:divBdr>
                    <w:top w:val="none" w:sz="0" w:space="0" w:color="auto"/>
                    <w:left w:val="none" w:sz="0" w:space="0" w:color="auto"/>
                    <w:bottom w:val="none" w:sz="0" w:space="0" w:color="auto"/>
                    <w:right w:val="none" w:sz="0" w:space="0" w:color="auto"/>
                  </w:divBdr>
                  <w:divsChild>
                    <w:div w:id="1776821351">
                      <w:marLeft w:val="0"/>
                      <w:marRight w:val="0"/>
                      <w:marTop w:val="0"/>
                      <w:marBottom w:val="0"/>
                      <w:divBdr>
                        <w:top w:val="none" w:sz="0" w:space="0" w:color="auto"/>
                        <w:left w:val="none" w:sz="0" w:space="0" w:color="auto"/>
                        <w:bottom w:val="none" w:sz="0" w:space="0" w:color="auto"/>
                        <w:right w:val="none" w:sz="0" w:space="0" w:color="auto"/>
                      </w:divBdr>
                    </w:div>
                  </w:divsChild>
                </w:div>
                <w:div w:id="446899489">
                  <w:marLeft w:val="0"/>
                  <w:marRight w:val="0"/>
                  <w:marTop w:val="0"/>
                  <w:marBottom w:val="0"/>
                  <w:divBdr>
                    <w:top w:val="none" w:sz="0" w:space="0" w:color="auto"/>
                    <w:left w:val="none" w:sz="0" w:space="0" w:color="auto"/>
                    <w:bottom w:val="none" w:sz="0" w:space="0" w:color="auto"/>
                    <w:right w:val="none" w:sz="0" w:space="0" w:color="auto"/>
                  </w:divBdr>
                  <w:divsChild>
                    <w:div w:id="746078343">
                      <w:marLeft w:val="0"/>
                      <w:marRight w:val="0"/>
                      <w:marTop w:val="0"/>
                      <w:marBottom w:val="0"/>
                      <w:divBdr>
                        <w:top w:val="none" w:sz="0" w:space="0" w:color="auto"/>
                        <w:left w:val="none" w:sz="0" w:space="0" w:color="auto"/>
                        <w:bottom w:val="none" w:sz="0" w:space="0" w:color="auto"/>
                        <w:right w:val="none" w:sz="0" w:space="0" w:color="auto"/>
                      </w:divBdr>
                    </w:div>
                  </w:divsChild>
                </w:div>
                <w:div w:id="492767127">
                  <w:marLeft w:val="0"/>
                  <w:marRight w:val="0"/>
                  <w:marTop w:val="0"/>
                  <w:marBottom w:val="0"/>
                  <w:divBdr>
                    <w:top w:val="none" w:sz="0" w:space="0" w:color="auto"/>
                    <w:left w:val="none" w:sz="0" w:space="0" w:color="auto"/>
                    <w:bottom w:val="none" w:sz="0" w:space="0" w:color="auto"/>
                    <w:right w:val="none" w:sz="0" w:space="0" w:color="auto"/>
                  </w:divBdr>
                  <w:divsChild>
                    <w:div w:id="2019886918">
                      <w:marLeft w:val="0"/>
                      <w:marRight w:val="0"/>
                      <w:marTop w:val="0"/>
                      <w:marBottom w:val="0"/>
                      <w:divBdr>
                        <w:top w:val="none" w:sz="0" w:space="0" w:color="auto"/>
                        <w:left w:val="none" w:sz="0" w:space="0" w:color="auto"/>
                        <w:bottom w:val="none" w:sz="0" w:space="0" w:color="auto"/>
                        <w:right w:val="none" w:sz="0" w:space="0" w:color="auto"/>
                      </w:divBdr>
                    </w:div>
                  </w:divsChild>
                </w:div>
                <w:div w:id="504319906">
                  <w:marLeft w:val="0"/>
                  <w:marRight w:val="0"/>
                  <w:marTop w:val="0"/>
                  <w:marBottom w:val="0"/>
                  <w:divBdr>
                    <w:top w:val="none" w:sz="0" w:space="0" w:color="auto"/>
                    <w:left w:val="none" w:sz="0" w:space="0" w:color="auto"/>
                    <w:bottom w:val="none" w:sz="0" w:space="0" w:color="auto"/>
                    <w:right w:val="none" w:sz="0" w:space="0" w:color="auto"/>
                  </w:divBdr>
                  <w:divsChild>
                    <w:div w:id="1209538032">
                      <w:marLeft w:val="0"/>
                      <w:marRight w:val="0"/>
                      <w:marTop w:val="0"/>
                      <w:marBottom w:val="0"/>
                      <w:divBdr>
                        <w:top w:val="none" w:sz="0" w:space="0" w:color="auto"/>
                        <w:left w:val="none" w:sz="0" w:space="0" w:color="auto"/>
                        <w:bottom w:val="none" w:sz="0" w:space="0" w:color="auto"/>
                        <w:right w:val="none" w:sz="0" w:space="0" w:color="auto"/>
                      </w:divBdr>
                    </w:div>
                  </w:divsChild>
                </w:div>
                <w:div w:id="534196084">
                  <w:marLeft w:val="0"/>
                  <w:marRight w:val="0"/>
                  <w:marTop w:val="0"/>
                  <w:marBottom w:val="0"/>
                  <w:divBdr>
                    <w:top w:val="none" w:sz="0" w:space="0" w:color="auto"/>
                    <w:left w:val="none" w:sz="0" w:space="0" w:color="auto"/>
                    <w:bottom w:val="none" w:sz="0" w:space="0" w:color="auto"/>
                    <w:right w:val="none" w:sz="0" w:space="0" w:color="auto"/>
                  </w:divBdr>
                  <w:divsChild>
                    <w:div w:id="349114013">
                      <w:marLeft w:val="0"/>
                      <w:marRight w:val="0"/>
                      <w:marTop w:val="0"/>
                      <w:marBottom w:val="0"/>
                      <w:divBdr>
                        <w:top w:val="none" w:sz="0" w:space="0" w:color="auto"/>
                        <w:left w:val="none" w:sz="0" w:space="0" w:color="auto"/>
                        <w:bottom w:val="none" w:sz="0" w:space="0" w:color="auto"/>
                        <w:right w:val="none" w:sz="0" w:space="0" w:color="auto"/>
                      </w:divBdr>
                    </w:div>
                  </w:divsChild>
                </w:div>
                <w:div w:id="538055656">
                  <w:marLeft w:val="0"/>
                  <w:marRight w:val="0"/>
                  <w:marTop w:val="0"/>
                  <w:marBottom w:val="0"/>
                  <w:divBdr>
                    <w:top w:val="none" w:sz="0" w:space="0" w:color="auto"/>
                    <w:left w:val="none" w:sz="0" w:space="0" w:color="auto"/>
                    <w:bottom w:val="none" w:sz="0" w:space="0" w:color="auto"/>
                    <w:right w:val="none" w:sz="0" w:space="0" w:color="auto"/>
                  </w:divBdr>
                  <w:divsChild>
                    <w:div w:id="441808074">
                      <w:marLeft w:val="0"/>
                      <w:marRight w:val="0"/>
                      <w:marTop w:val="0"/>
                      <w:marBottom w:val="0"/>
                      <w:divBdr>
                        <w:top w:val="none" w:sz="0" w:space="0" w:color="auto"/>
                        <w:left w:val="none" w:sz="0" w:space="0" w:color="auto"/>
                        <w:bottom w:val="none" w:sz="0" w:space="0" w:color="auto"/>
                        <w:right w:val="none" w:sz="0" w:space="0" w:color="auto"/>
                      </w:divBdr>
                    </w:div>
                  </w:divsChild>
                </w:div>
                <w:div w:id="550383050">
                  <w:marLeft w:val="0"/>
                  <w:marRight w:val="0"/>
                  <w:marTop w:val="0"/>
                  <w:marBottom w:val="0"/>
                  <w:divBdr>
                    <w:top w:val="none" w:sz="0" w:space="0" w:color="auto"/>
                    <w:left w:val="none" w:sz="0" w:space="0" w:color="auto"/>
                    <w:bottom w:val="none" w:sz="0" w:space="0" w:color="auto"/>
                    <w:right w:val="none" w:sz="0" w:space="0" w:color="auto"/>
                  </w:divBdr>
                  <w:divsChild>
                    <w:div w:id="851527619">
                      <w:marLeft w:val="0"/>
                      <w:marRight w:val="0"/>
                      <w:marTop w:val="0"/>
                      <w:marBottom w:val="0"/>
                      <w:divBdr>
                        <w:top w:val="none" w:sz="0" w:space="0" w:color="auto"/>
                        <w:left w:val="none" w:sz="0" w:space="0" w:color="auto"/>
                        <w:bottom w:val="none" w:sz="0" w:space="0" w:color="auto"/>
                        <w:right w:val="none" w:sz="0" w:space="0" w:color="auto"/>
                      </w:divBdr>
                    </w:div>
                  </w:divsChild>
                </w:div>
                <w:div w:id="564685771">
                  <w:marLeft w:val="0"/>
                  <w:marRight w:val="0"/>
                  <w:marTop w:val="0"/>
                  <w:marBottom w:val="0"/>
                  <w:divBdr>
                    <w:top w:val="none" w:sz="0" w:space="0" w:color="auto"/>
                    <w:left w:val="none" w:sz="0" w:space="0" w:color="auto"/>
                    <w:bottom w:val="none" w:sz="0" w:space="0" w:color="auto"/>
                    <w:right w:val="none" w:sz="0" w:space="0" w:color="auto"/>
                  </w:divBdr>
                  <w:divsChild>
                    <w:div w:id="637808657">
                      <w:marLeft w:val="0"/>
                      <w:marRight w:val="0"/>
                      <w:marTop w:val="0"/>
                      <w:marBottom w:val="0"/>
                      <w:divBdr>
                        <w:top w:val="none" w:sz="0" w:space="0" w:color="auto"/>
                        <w:left w:val="none" w:sz="0" w:space="0" w:color="auto"/>
                        <w:bottom w:val="none" w:sz="0" w:space="0" w:color="auto"/>
                        <w:right w:val="none" w:sz="0" w:space="0" w:color="auto"/>
                      </w:divBdr>
                    </w:div>
                  </w:divsChild>
                </w:div>
                <w:div w:id="573322168">
                  <w:marLeft w:val="0"/>
                  <w:marRight w:val="0"/>
                  <w:marTop w:val="0"/>
                  <w:marBottom w:val="0"/>
                  <w:divBdr>
                    <w:top w:val="none" w:sz="0" w:space="0" w:color="auto"/>
                    <w:left w:val="none" w:sz="0" w:space="0" w:color="auto"/>
                    <w:bottom w:val="none" w:sz="0" w:space="0" w:color="auto"/>
                    <w:right w:val="none" w:sz="0" w:space="0" w:color="auto"/>
                  </w:divBdr>
                </w:div>
                <w:div w:id="622731770">
                  <w:marLeft w:val="0"/>
                  <w:marRight w:val="0"/>
                  <w:marTop w:val="0"/>
                  <w:marBottom w:val="0"/>
                  <w:divBdr>
                    <w:top w:val="none" w:sz="0" w:space="0" w:color="auto"/>
                    <w:left w:val="none" w:sz="0" w:space="0" w:color="auto"/>
                    <w:bottom w:val="none" w:sz="0" w:space="0" w:color="auto"/>
                    <w:right w:val="none" w:sz="0" w:space="0" w:color="auto"/>
                  </w:divBdr>
                  <w:divsChild>
                    <w:div w:id="652830915">
                      <w:marLeft w:val="0"/>
                      <w:marRight w:val="0"/>
                      <w:marTop w:val="0"/>
                      <w:marBottom w:val="0"/>
                      <w:divBdr>
                        <w:top w:val="none" w:sz="0" w:space="0" w:color="auto"/>
                        <w:left w:val="none" w:sz="0" w:space="0" w:color="auto"/>
                        <w:bottom w:val="none" w:sz="0" w:space="0" w:color="auto"/>
                        <w:right w:val="none" w:sz="0" w:space="0" w:color="auto"/>
                      </w:divBdr>
                    </w:div>
                  </w:divsChild>
                </w:div>
                <w:div w:id="640506155">
                  <w:marLeft w:val="0"/>
                  <w:marRight w:val="0"/>
                  <w:marTop w:val="0"/>
                  <w:marBottom w:val="0"/>
                  <w:divBdr>
                    <w:top w:val="none" w:sz="0" w:space="0" w:color="auto"/>
                    <w:left w:val="none" w:sz="0" w:space="0" w:color="auto"/>
                    <w:bottom w:val="none" w:sz="0" w:space="0" w:color="auto"/>
                    <w:right w:val="none" w:sz="0" w:space="0" w:color="auto"/>
                  </w:divBdr>
                  <w:divsChild>
                    <w:div w:id="1359962560">
                      <w:marLeft w:val="0"/>
                      <w:marRight w:val="0"/>
                      <w:marTop w:val="0"/>
                      <w:marBottom w:val="0"/>
                      <w:divBdr>
                        <w:top w:val="none" w:sz="0" w:space="0" w:color="auto"/>
                        <w:left w:val="none" w:sz="0" w:space="0" w:color="auto"/>
                        <w:bottom w:val="none" w:sz="0" w:space="0" w:color="auto"/>
                        <w:right w:val="none" w:sz="0" w:space="0" w:color="auto"/>
                      </w:divBdr>
                    </w:div>
                  </w:divsChild>
                </w:div>
                <w:div w:id="648941346">
                  <w:marLeft w:val="0"/>
                  <w:marRight w:val="0"/>
                  <w:marTop w:val="0"/>
                  <w:marBottom w:val="0"/>
                  <w:divBdr>
                    <w:top w:val="none" w:sz="0" w:space="0" w:color="auto"/>
                    <w:left w:val="none" w:sz="0" w:space="0" w:color="auto"/>
                    <w:bottom w:val="none" w:sz="0" w:space="0" w:color="auto"/>
                    <w:right w:val="none" w:sz="0" w:space="0" w:color="auto"/>
                  </w:divBdr>
                  <w:divsChild>
                    <w:div w:id="1605073809">
                      <w:marLeft w:val="0"/>
                      <w:marRight w:val="0"/>
                      <w:marTop w:val="0"/>
                      <w:marBottom w:val="0"/>
                      <w:divBdr>
                        <w:top w:val="none" w:sz="0" w:space="0" w:color="auto"/>
                        <w:left w:val="none" w:sz="0" w:space="0" w:color="auto"/>
                        <w:bottom w:val="none" w:sz="0" w:space="0" w:color="auto"/>
                        <w:right w:val="none" w:sz="0" w:space="0" w:color="auto"/>
                      </w:divBdr>
                    </w:div>
                  </w:divsChild>
                </w:div>
                <w:div w:id="673534295">
                  <w:marLeft w:val="0"/>
                  <w:marRight w:val="0"/>
                  <w:marTop w:val="0"/>
                  <w:marBottom w:val="0"/>
                  <w:divBdr>
                    <w:top w:val="none" w:sz="0" w:space="0" w:color="auto"/>
                    <w:left w:val="none" w:sz="0" w:space="0" w:color="auto"/>
                    <w:bottom w:val="none" w:sz="0" w:space="0" w:color="auto"/>
                    <w:right w:val="none" w:sz="0" w:space="0" w:color="auto"/>
                  </w:divBdr>
                  <w:divsChild>
                    <w:div w:id="1016464695">
                      <w:marLeft w:val="0"/>
                      <w:marRight w:val="0"/>
                      <w:marTop w:val="0"/>
                      <w:marBottom w:val="0"/>
                      <w:divBdr>
                        <w:top w:val="none" w:sz="0" w:space="0" w:color="auto"/>
                        <w:left w:val="none" w:sz="0" w:space="0" w:color="auto"/>
                        <w:bottom w:val="none" w:sz="0" w:space="0" w:color="auto"/>
                        <w:right w:val="none" w:sz="0" w:space="0" w:color="auto"/>
                      </w:divBdr>
                    </w:div>
                  </w:divsChild>
                </w:div>
                <w:div w:id="679889889">
                  <w:marLeft w:val="0"/>
                  <w:marRight w:val="0"/>
                  <w:marTop w:val="0"/>
                  <w:marBottom w:val="0"/>
                  <w:divBdr>
                    <w:top w:val="none" w:sz="0" w:space="0" w:color="auto"/>
                    <w:left w:val="none" w:sz="0" w:space="0" w:color="auto"/>
                    <w:bottom w:val="none" w:sz="0" w:space="0" w:color="auto"/>
                    <w:right w:val="none" w:sz="0" w:space="0" w:color="auto"/>
                  </w:divBdr>
                  <w:divsChild>
                    <w:div w:id="950480029">
                      <w:marLeft w:val="0"/>
                      <w:marRight w:val="0"/>
                      <w:marTop w:val="0"/>
                      <w:marBottom w:val="0"/>
                      <w:divBdr>
                        <w:top w:val="none" w:sz="0" w:space="0" w:color="auto"/>
                        <w:left w:val="none" w:sz="0" w:space="0" w:color="auto"/>
                        <w:bottom w:val="none" w:sz="0" w:space="0" w:color="auto"/>
                        <w:right w:val="none" w:sz="0" w:space="0" w:color="auto"/>
                      </w:divBdr>
                    </w:div>
                  </w:divsChild>
                </w:div>
                <w:div w:id="693580658">
                  <w:marLeft w:val="0"/>
                  <w:marRight w:val="0"/>
                  <w:marTop w:val="0"/>
                  <w:marBottom w:val="0"/>
                  <w:divBdr>
                    <w:top w:val="none" w:sz="0" w:space="0" w:color="auto"/>
                    <w:left w:val="none" w:sz="0" w:space="0" w:color="auto"/>
                    <w:bottom w:val="none" w:sz="0" w:space="0" w:color="auto"/>
                    <w:right w:val="none" w:sz="0" w:space="0" w:color="auto"/>
                  </w:divBdr>
                  <w:divsChild>
                    <w:div w:id="674961324">
                      <w:marLeft w:val="0"/>
                      <w:marRight w:val="0"/>
                      <w:marTop w:val="0"/>
                      <w:marBottom w:val="0"/>
                      <w:divBdr>
                        <w:top w:val="none" w:sz="0" w:space="0" w:color="auto"/>
                        <w:left w:val="none" w:sz="0" w:space="0" w:color="auto"/>
                        <w:bottom w:val="none" w:sz="0" w:space="0" w:color="auto"/>
                        <w:right w:val="none" w:sz="0" w:space="0" w:color="auto"/>
                      </w:divBdr>
                    </w:div>
                  </w:divsChild>
                </w:div>
                <w:div w:id="697969668">
                  <w:marLeft w:val="0"/>
                  <w:marRight w:val="0"/>
                  <w:marTop w:val="0"/>
                  <w:marBottom w:val="0"/>
                  <w:divBdr>
                    <w:top w:val="none" w:sz="0" w:space="0" w:color="auto"/>
                    <w:left w:val="none" w:sz="0" w:space="0" w:color="auto"/>
                    <w:bottom w:val="none" w:sz="0" w:space="0" w:color="auto"/>
                    <w:right w:val="none" w:sz="0" w:space="0" w:color="auto"/>
                  </w:divBdr>
                  <w:divsChild>
                    <w:div w:id="1433084678">
                      <w:marLeft w:val="0"/>
                      <w:marRight w:val="0"/>
                      <w:marTop w:val="0"/>
                      <w:marBottom w:val="0"/>
                      <w:divBdr>
                        <w:top w:val="none" w:sz="0" w:space="0" w:color="auto"/>
                        <w:left w:val="none" w:sz="0" w:space="0" w:color="auto"/>
                        <w:bottom w:val="none" w:sz="0" w:space="0" w:color="auto"/>
                        <w:right w:val="none" w:sz="0" w:space="0" w:color="auto"/>
                      </w:divBdr>
                    </w:div>
                  </w:divsChild>
                </w:div>
                <w:div w:id="703988363">
                  <w:marLeft w:val="0"/>
                  <w:marRight w:val="0"/>
                  <w:marTop w:val="0"/>
                  <w:marBottom w:val="0"/>
                  <w:divBdr>
                    <w:top w:val="none" w:sz="0" w:space="0" w:color="auto"/>
                    <w:left w:val="none" w:sz="0" w:space="0" w:color="auto"/>
                    <w:bottom w:val="none" w:sz="0" w:space="0" w:color="auto"/>
                    <w:right w:val="none" w:sz="0" w:space="0" w:color="auto"/>
                  </w:divBdr>
                  <w:divsChild>
                    <w:div w:id="326370505">
                      <w:marLeft w:val="0"/>
                      <w:marRight w:val="0"/>
                      <w:marTop w:val="0"/>
                      <w:marBottom w:val="0"/>
                      <w:divBdr>
                        <w:top w:val="none" w:sz="0" w:space="0" w:color="auto"/>
                        <w:left w:val="none" w:sz="0" w:space="0" w:color="auto"/>
                        <w:bottom w:val="none" w:sz="0" w:space="0" w:color="auto"/>
                        <w:right w:val="none" w:sz="0" w:space="0" w:color="auto"/>
                      </w:divBdr>
                    </w:div>
                    <w:div w:id="1853640069">
                      <w:marLeft w:val="0"/>
                      <w:marRight w:val="0"/>
                      <w:marTop w:val="0"/>
                      <w:marBottom w:val="0"/>
                      <w:divBdr>
                        <w:top w:val="none" w:sz="0" w:space="0" w:color="auto"/>
                        <w:left w:val="none" w:sz="0" w:space="0" w:color="auto"/>
                        <w:bottom w:val="none" w:sz="0" w:space="0" w:color="auto"/>
                        <w:right w:val="none" w:sz="0" w:space="0" w:color="auto"/>
                      </w:divBdr>
                    </w:div>
                  </w:divsChild>
                </w:div>
                <w:div w:id="707144988">
                  <w:marLeft w:val="0"/>
                  <w:marRight w:val="0"/>
                  <w:marTop w:val="0"/>
                  <w:marBottom w:val="0"/>
                  <w:divBdr>
                    <w:top w:val="none" w:sz="0" w:space="0" w:color="auto"/>
                    <w:left w:val="none" w:sz="0" w:space="0" w:color="auto"/>
                    <w:bottom w:val="none" w:sz="0" w:space="0" w:color="auto"/>
                    <w:right w:val="none" w:sz="0" w:space="0" w:color="auto"/>
                  </w:divBdr>
                  <w:divsChild>
                    <w:div w:id="704133732">
                      <w:marLeft w:val="0"/>
                      <w:marRight w:val="0"/>
                      <w:marTop w:val="0"/>
                      <w:marBottom w:val="0"/>
                      <w:divBdr>
                        <w:top w:val="none" w:sz="0" w:space="0" w:color="auto"/>
                        <w:left w:val="none" w:sz="0" w:space="0" w:color="auto"/>
                        <w:bottom w:val="none" w:sz="0" w:space="0" w:color="auto"/>
                        <w:right w:val="none" w:sz="0" w:space="0" w:color="auto"/>
                      </w:divBdr>
                    </w:div>
                  </w:divsChild>
                </w:div>
                <w:div w:id="736905255">
                  <w:marLeft w:val="0"/>
                  <w:marRight w:val="0"/>
                  <w:marTop w:val="0"/>
                  <w:marBottom w:val="0"/>
                  <w:divBdr>
                    <w:top w:val="none" w:sz="0" w:space="0" w:color="auto"/>
                    <w:left w:val="none" w:sz="0" w:space="0" w:color="auto"/>
                    <w:bottom w:val="none" w:sz="0" w:space="0" w:color="auto"/>
                    <w:right w:val="none" w:sz="0" w:space="0" w:color="auto"/>
                  </w:divBdr>
                  <w:divsChild>
                    <w:div w:id="65804701">
                      <w:marLeft w:val="0"/>
                      <w:marRight w:val="0"/>
                      <w:marTop w:val="0"/>
                      <w:marBottom w:val="0"/>
                      <w:divBdr>
                        <w:top w:val="none" w:sz="0" w:space="0" w:color="auto"/>
                        <w:left w:val="none" w:sz="0" w:space="0" w:color="auto"/>
                        <w:bottom w:val="none" w:sz="0" w:space="0" w:color="auto"/>
                        <w:right w:val="none" w:sz="0" w:space="0" w:color="auto"/>
                      </w:divBdr>
                    </w:div>
                  </w:divsChild>
                </w:div>
                <w:div w:id="742918759">
                  <w:marLeft w:val="0"/>
                  <w:marRight w:val="0"/>
                  <w:marTop w:val="0"/>
                  <w:marBottom w:val="0"/>
                  <w:divBdr>
                    <w:top w:val="none" w:sz="0" w:space="0" w:color="auto"/>
                    <w:left w:val="none" w:sz="0" w:space="0" w:color="auto"/>
                    <w:bottom w:val="none" w:sz="0" w:space="0" w:color="auto"/>
                    <w:right w:val="none" w:sz="0" w:space="0" w:color="auto"/>
                  </w:divBdr>
                  <w:divsChild>
                    <w:div w:id="2106073735">
                      <w:marLeft w:val="0"/>
                      <w:marRight w:val="0"/>
                      <w:marTop w:val="0"/>
                      <w:marBottom w:val="0"/>
                      <w:divBdr>
                        <w:top w:val="none" w:sz="0" w:space="0" w:color="auto"/>
                        <w:left w:val="none" w:sz="0" w:space="0" w:color="auto"/>
                        <w:bottom w:val="none" w:sz="0" w:space="0" w:color="auto"/>
                        <w:right w:val="none" w:sz="0" w:space="0" w:color="auto"/>
                      </w:divBdr>
                    </w:div>
                  </w:divsChild>
                </w:div>
                <w:div w:id="773288948">
                  <w:marLeft w:val="0"/>
                  <w:marRight w:val="0"/>
                  <w:marTop w:val="0"/>
                  <w:marBottom w:val="0"/>
                  <w:divBdr>
                    <w:top w:val="none" w:sz="0" w:space="0" w:color="auto"/>
                    <w:left w:val="none" w:sz="0" w:space="0" w:color="auto"/>
                    <w:bottom w:val="none" w:sz="0" w:space="0" w:color="auto"/>
                    <w:right w:val="none" w:sz="0" w:space="0" w:color="auto"/>
                  </w:divBdr>
                  <w:divsChild>
                    <w:div w:id="1750735254">
                      <w:marLeft w:val="0"/>
                      <w:marRight w:val="0"/>
                      <w:marTop w:val="0"/>
                      <w:marBottom w:val="0"/>
                      <w:divBdr>
                        <w:top w:val="none" w:sz="0" w:space="0" w:color="auto"/>
                        <w:left w:val="none" w:sz="0" w:space="0" w:color="auto"/>
                        <w:bottom w:val="none" w:sz="0" w:space="0" w:color="auto"/>
                        <w:right w:val="none" w:sz="0" w:space="0" w:color="auto"/>
                      </w:divBdr>
                    </w:div>
                  </w:divsChild>
                </w:div>
                <w:div w:id="786387026">
                  <w:marLeft w:val="0"/>
                  <w:marRight w:val="0"/>
                  <w:marTop w:val="0"/>
                  <w:marBottom w:val="0"/>
                  <w:divBdr>
                    <w:top w:val="none" w:sz="0" w:space="0" w:color="auto"/>
                    <w:left w:val="none" w:sz="0" w:space="0" w:color="auto"/>
                    <w:bottom w:val="none" w:sz="0" w:space="0" w:color="auto"/>
                    <w:right w:val="none" w:sz="0" w:space="0" w:color="auto"/>
                  </w:divBdr>
                  <w:divsChild>
                    <w:div w:id="1189298575">
                      <w:marLeft w:val="0"/>
                      <w:marRight w:val="0"/>
                      <w:marTop w:val="0"/>
                      <w:marBottom w:val="0"/>
                      <w:divBdr>
                        <w:top w:val="none" w:sz="0" w:space="0" w:color="auto"/>
                        <w:left w:val="none" w:sz="0" w:space="0" w:color="auto"/>
                        <w:bottom w:val="none" w:sz="0" w:space="0" w:color="auto"/>
                        <w:right w:val="none" w:sz="0" w:space="0" w:color="auto"/>
                      </w:divBdr>
                    </w:div>
                  </w:divsChild>
                </w:div>
                <w:div w:id="808285401">
                  <w:marLeft w:val="0"/>
                  <w:marRight w:val="0"/>
                  <w:marTop w:val="0"/>
                  <w:marBottom w:val="0"/>
                  <w:divBdr>
                    <w:top w:val="none" w:sz="0" w:space="0" w:color="auto"/>
                    <w:left w:val="none" w:sz="0" w:space="0" w:color="auto"/>
                    <w:bottom w:val="none" w:sz="0" w:space="0" w:color="auto"/>
                    <w:right w:val="none" w:sz="0" w:space="0" w:color="auto"/>
                  </w:divBdr>
                  <w:divsChild>
                    <w:div w:id="893539355">
                      <w:marLeft w:val="0"/>
                      <w:marRight w:val="0"/>
                      <w:marTop w:val="0"/>
                      <w:marBottom w:val="0"/>
                      <w:divBdr>
                        <w:top w:val="none" w:sz="0" w:space="0" w:color="auto"/>
                        <w:left w:val="none" w:sz="0" w:space="0" w:color="auto"/>
                        <w:bottom w:val="none" w:sz="0" w:space="0" w:color="auto"/>
                        <w:right w:val="none" w:sz="0" w:space="0" w:color="auto"/>
                      </w:divBdr>
                    </w:div>
                  </w:divsChild>
                </w:div>
                <w:div w:id="824591203">
                  <w:marLeft w:val="0"/>
                  <w:marRight w:val="0"/>
                  <w:marTop w:val="0"/>
                  <w:marBottom w:val="0"/>
                  <w:divBdr>
                    <w:top w:val="none" w:sz="0" w:space="0" w:color="auto"/>
                    <w:left w:val="none" w:sz="0" w:space="0" w:color="auto"/>
                    <w:bottom w:val="none" w:sz="0" w:space="0" w:color="auto"/>
                    <w:right w:val="none" w:sz="0" w:space="0" w:color="auto"/>
                  </w:divBdr>
                  <w:divsChild>
                    <w:div w:id="1101488126">
                      <w:marLeft w:val="0"/>
                      <w:marRight w:val="0"/>
                      <w:marTop w:val="0"/>
                      <w:marBottom w:val="0"/>
                      <w:divBdr>
                        <w:top w:val="none" w:sz="0" w:space="0" w:color="auto"/>
                        <w:left w:val="none" w:sz="0" w:space="0" w:color="auto"/>
                        <w:bottom w:val="none" w:sz="0" w:space="0" w:color="auto"/>
                        <w:right w:val="none" w:sz="0" w:space="0" w:color="auto"/>
                      </w:divBdr>
                    </w:div>
                  </w:divsChild>
                </w:div>
                <w:div w:id="860972992">
                  <w:marLeft w:val="0"/>
                  <w:marRight w:val="0"/>
                  <w:marTop w:val="0"/>
                  <w:marBottom w:val="0"/>
                  <w:divBdr>
                    <w:top w:val="none" w:sz="0" w:space="0" w:color="auto"/>
                    <w:left w:val="none" w:sz="0" w:space="0" w:color="auto"/>
                    <w:bottom w:val="none" w:sz="0" w:space="0" w:color="auto"/>
                    <w:right w:val="none" w:sz="0" w:space="0" w:color="auto"/>
                  </w:divBdr>
                  <w:divsChild>
                    <w:div w:id="2030645012">
                      <w:marLeft w:val="0"/>
                      <w:marRight w:val="0"/>
                      <w:marTop w:val="0"/>
                      <w:marBottom w:val="0"/>
                      <w:divBdr>
                        <w:top w:val="none" w:sz="0" w:space="0" w:color="auto"/>
                        <w:left w:val="none" w:sz="0" w:space="0" w:color="auto"/>
                        <w:bottom w:val="none" w:sz="0" w:space="0" w:color="auto"/>
                        <w:right w:val="none" w:sz="0" w:space="0" w:color="auto"/>
                      </w:divBdr>
                    </w:div>
                  </w:divsChild>
                </w:div>
                <w:div w:id="868566751">
                  <w:marLeft w:val="0"/>
                  <w:marRight w:val="0"/>
                  <w:marTop w:val="0"/>
                  <w:marBottom w:val="0"/>
                  <w:divBdr>
                    <w:top w:val="none" w:sz="0" w:space="0" w:color="auto"/>
                    <w:left w:val="none" w:sz="0" w:space="0" w:color="auto"/>
                    <w:bottom w:val="none" w:sz="0" w:space="0" w:color="auto"/>
                    <w:right w:val="none" w:sz="0" w:space="0" w:color="auto"/>
                  </w:divBdr>
                  <w:divsChild>
                    <w:div w:id="77141782">
                      <w:marLeft w:val="0"/>
                      <w:marRight w:val="0"/>
                      <w:marTop w:val="0"/>
                      <w:marBottom w:val="0"/>
                      <w:divBdr>
                        <w:top w:val="none" w:sz="0" w:space="0" w:color="auto"/>
                        <w:left w:val="none" w:sz="0" w:space="0" w:color="auto"/>
                        <w:bottom w:val="none" w:sz="0" w:space="0" w:color="auto"/>
                        <w:right w:val="none" w:sz="0" w:space="0" w:color="auto"/>
                      </w:divBdr>
                    </w:div>
                  </w:divsChild>
                </w:div>
                <w:div w:id="874586420">
                  <w:marLeft w:val="0"/>
                  <w:marRight w:val="0"/>
                  <w:marTop w:val="0"/>
                  <w:marBottom w:val="0"/>
                  <w:divBdr>
                    <w:top w:val="none" w:sz="0" w:space="0" w:color="auto"/>
                    <w:left w:val="none" w:sz="0" w:space="0" w:color="auto"/>
                    <w:bottom w:val="none" w:sz="0" w:space="0" w:color="auto"/>
                    <w:right w:val="none" w:sz="0" w:space="0" w:color="auto"/>
                  </w:divBdr>
                  <w:divsChild>
                    <w:div w:id="521668670">
                      <w:marLeft w:val="0"/>
                      <w:marRight w:val="0"/>
                      <w:marTop w:val="0"/>
                      <w:marBottom w:val="0"/>
                      <w:divBdr>
                        <w:top w:val="none" w:sz="0" w:space="0" w:color="auto"/>
                        <w:left w:val="none" w:sz="0" w:space="0" w:color="auto"/>
                        <w:bottom w:val="none" w:sz="0" w:space="0" w:color="auto"/>
                        <w:right w:val="none" w:sz="0" w:space="0" w:color="auto"/>
                      </w:divBdr>
                    </w:div>
                  </w:divsChild>
                </w:div>
                <w:div w:id="878396896">
                  <w:marLeft w:val="0"/>
                  <w:marRight w:val="0"/>
                  <w:marTop w:val="0"/>
                  <w:marBottom w:val="0"/>
                  <w:divBdr>
                    <w:top w:val="none" w:sz="0" w:space="0" w:color="auto"/>
                    <w:left w:val="none" w:sz="0" w:space="0" w:color="auto"/>
                    <w:bottom w:val="none" w:sz="0" w:space="0" w:color="auto"/>
                    <w:right w:val="none" w:sz="0" w:space="0" w:color="auto"/>
                  </w:divBdr>
                  <w:divsChild>
                    <w:div w:id="899167931">
                      <w:marLeft w:val="0"/>
                      <w:marRight w:val="0"/>
                      <w:marTop w:val="0"/>
                      <w:marBottom w:val="0"/>
                      <w:divBdr>
                        <w:top w:val="none" w:sz="0" w:space="0" w:color="auto"/>
                        <w:left w:val="none" w:sz="0" w:space="0" w:color="auto"/>
                        <w:bottom w:val="none" w:sz="0" w:space="0" w:color="auto"/>
                        <w:right w:val="none" w:sz="0" w:space="0" w:color="auto"/>
                      </w:divBdr>
                    </w:div>
                  </w:divsChild>
                </w:div>
                <w:div w:id="909849180">
                  <w:marLeft w:val="0"/>
                  <w:marRight w:val="0"/>
                  <w:marTop w:val="0"/>
                  <w:marBottom w:val="0"/>
                  <w:divBdr>
                    <w:top w:val="none" w:sz="0" w:space="0" w:color="auto"/>
                    <w:left w:val="none" w:sz="0" w:space="0" w:color="auto"/>
                    <w:bottom w:val="none" w:sz="0" w:space="0" w:color="auto"/>
                    <w:right w:val="none" w:sz="0" w:space="0" w:color="auto"/>
                  </w:divBdr>
                  <w:divsChild>
                    <w:div w:id="266429982">
                      <w:marLeft w:val="0"/>
                      <w:marRight w:val="0"/>
                      <w:marTop w:val="0"/>
                      <w:marBottom w:val="0"/>
                      <w:divBdr>
                        <w:top w:val="none" w:sz="0" w:space="0" w:color="auto"/>
                        <w:left w:val="none" w:sz="0" w:space="0" w:color="auto"/>
                        <w:bottom w:val="none" w:sz="0" w:space="0" w:color="auto"/>
                        <w:right w:val="none" w:sz="0" w:space="0" w:color="auto"/>
                      </w:divBdr>
                    </w:div>
                  </w:divsChild>
                </w:div>
                <w:div w:id="939332284">
                  <w:marLeft w:val="0"/>
                  <w:marRight w:val="0"/>
                  <w:marTop w:val="0"/>
                  <w:marBottom w:val="0"/>
                  <w:divBdr>
                    <w:top w:val="none" w:sz="0" w:space="0" w:color="auto"/>
                    <w:left w:val="none" w:sz="0" w:space="0" w:color="auto"/>
                    <w:bottom w:val="none" w:sz="0" w:space="0" w:color="auto"/>
                    <w:right w:val="none" w:sz="0" w:space="0" w:color="auto"/>
                  </w:divBdr>
                  <w:divsChild>
                    <w:div w:id="2010979598">
                      <w:marLeft w:val="0"/>
                      <w:marRight w:val="0"/>
                      <w:marTop w:val="0"/>
                      <w:marBottom w:val="0"/>
                      <w:divBdr>
                        <w:top w:val="none" w:sz="0" w:space="0" w:color="auto"/>
                        <w:left w:val="none" w:sz="0" w:space="0" w:color="auto"/>
                        <w:bottom w:val="none" w:sz="0" w:space="0" w:color="auto"/>
                        <w:right w:val="none" w:sz="0" w:space="0" w:color="auto"/>
                      </w:divBdr>
                    </w:div>
                  </w:divsChild>
                </w:div>
                <w:div w:id="968976118">
                  <w:marLeft w:val="0"/>
                  <w:marRight w:val="0"/>
                  <w:marTop w:val="0"/>
                  <w:marBottom w:val="0"/>
                  <w:divBdr>
                    <w:top w:val="none" w:sz="0" w:space="0" w:color="auto"/>
                    <w:left w:val="none" w:sz="0" w:space="0" w:color="auto"/>
                    <w:bottom w:val="none" w:sz="0" w:space="0" w:color="auto"/>
                    <w:right w:val="none" w:sz="0" w:space="0" w:color="auto"/>
                  </w:divBdr>
                  <w:divsChild>
                    <w:div w:id="1170174975">
                      <w:marLeft w:val="0"/>
                      <w:marRight w:val="0"/>
                      <w:marTop w:val="0"/>
                      <w:marBottom w:val="0"/>
                      <w:divBdr>
                        <w:top w:val="none" w:sz="0" w:space="0" w:color="auto"/>
                        <w:left w:val="none" w:sz="0" w:space="0" w:color="auto"/>
                        <w:bottom w:val="none" w:sz="0" w:space="0" w:color="auto"/>
                        <w:right w:val="none" w:sz="0" w:space="0" w:color="auto"/>
                      </w:divBdr>
                    </w:div>
                  </w:divsChild>
                </w:div>
                <w:div w:id="983048306">
                  <w:marLeft w:val="0"/>
                  <w:marRight w:val="0"/>
                  <w:marTop w:val="0"/>
                  <w:marBottom w:val="0"/>
                  <w:divBdr>
                    <w:top w:val="none" w:sz="0" w:space="0" w:color="auto"/>
                    <w:left w:val="none" w:sz="0" w:space="0" w:color="auto"/>
                    <w:bottom w:val="none" w:sz="0" w:space="0" w:color="auto"/>
                    <w:right w:val="none" w:sz="0" w:space="0" w:color="auto"/>
                  </w:divBdr>
                  <w:divsChild>
                    <w:div w:id="1627733985">
                      <w:marLeft w:val="0"/>
                      <w:marRight w:val="0"/>
                      <w:marTop w:val="0"/>
                      <w:marBottom w:val="0"/>
                      <w:divBdr>
                        <w:top w:val="none" w:sz="0" w:space="0" w:color="auto"/>
                        <w:left w:val="none" w:sz="0" w:space="0" w:color="auto"/>
                        <w:bottom w:val="none" w:sz="0" w:space="0" w:color="auto"/>
                        <w:right w:val="none" w:sz="0" w:space="0" w:color="auto"/>
                      </w:divBdr>
                    </w:div>
                  </w:divsChild>
                </w:div>
                <w:div w:id="1035278851">
                  <w:marLeft w:val="0"/>
                  <w:marRight w:val="0"/>
                  <w:marTop w:val="0"/>
                  <w:marBottom w:val="0"/>
                  <w:divBdr>
                    <w:top w:val="none" w:sz="0" w:space="0" w:color="auto"/>
                    <w:left w:val="none" w:sz="0" w:space="0" w:color="auto"/>
                    <w:bottom w:val="none" w:sz="0" w:space="0" w:color="auto"/>
                    <w:right w:val="none" w:sz="0" w:space="0" w:color="auto"/>
                  </w:divBdr>
                  <w:divsChild>
                    <w:div w:id="723873184">
                      <w:marLeft w:val="0"/>
                      <w:marRight w:val="0"/>
                      <w:marTop w:val="0"/>
                      <w:marBottom w:val="0"/>
                      <w:divBdr>
                        <w:top w:val="none" w:sz="0" w:space="0" w:color="auto"/>
                        <w:left w:val="none" w:sz="0" w:space="0" w:color="auto"/>
                        <w:bottom w:val="none" w:sz="0" w:space="0" w:color="auto"/>
                        <w:right w:val="none" w:sz="0" w:space="0" w:color="auto"/>
                      </w:divBdr>
                    </w:div>
                  </w:divsChild>
                </w:div>
                <w:div w:id="1054081260">
                  <w:marLeft w:val="0"/>
                  <w:marRight w:val="0"/>
                  <w:marTop w:val="0"/>
                  <w:marBottom w:val="0"/>
                  <w:divBdr>
                    <w:top w:val="none" w:sz="0" w:space="0" w:color="auto"/>
                    <w:left w:val="none" w:sz="0" w:space="0" w:color="auto"/>
                    <w:bottom w:val="none" w:sz="0" w:space="0" w:color="auto"/>
                    <w:right w:val="none" w:sz="0" w:space="0" w:color="auto"/>
                  </w:divBdr>
                  <w:divsChild>
                    <w:div w:id="382677858">
                      <w:marLeft w:val="0"/>
                      <w:marRight w:val="0"/>
                      <w:marTop w:val="0"/>
                      <w:marBottom w:val="0"/>
                      <w:divBdr>
                        <w:top w:val="none" w:sz="0" w:space="0" w:color="auto"/>
                        <w:left w:val="none" w:sz="0" w:space="0" w:color="auto"/>
                        <w:bottom w:val="none" w:sz="0" w:space="0" w:color="auto"/>
                        <w:right w:val="none" w:sz="0" w:space="0" w:color="auto"/>
                      </w:divBdr>
                    </w:div>
                  </w:divsChild>
                </w:div>
                <w:div w:id="1062294161">
                  <w:marLeft w:val="0"/>
                  <w:marRight w:val="0"/>
                  <w:marTop w:val="0"/>
                  <w:marBottom w:val="0"/>
                  <w:divBdr>
                    <w:top w:val="none" w:sz="0" w:space="0" w:color="auto"/>
                    <w:left w:val="none" w:sz="0" w:space="0" w:color="auto"/>
                    <w:bottom w:val="none" w:sz="0" w:space="0" w:color="auto"/>
                    <w:right w:val="none" w:sz="0" w:space="0" w:color="auto"/>
                  </w:divBdr>
                  <w:divsChild>
                    <w:div w:id="77604575">
                      <w:marLeft w:val="0"/>
                      <w:marRight w:val="0"/>
                      <w:marTop w:val="0"/>
                      <w:marBottom w:val="0"/>
                      <w:divBdr>
                        <w:top w:val="none" w:sz="0" w:space="0" w:color="auto"/>
                        <w:left w:val="none" w:sz="0" w:space="0" w:color="auto"/>
                        <w:bottom w:val="none" w:sz="0" w:space="0" w:color="auto"/>
                        <w:right w:val="none" w:sz="0" w:space="0" w:color="auto"/>
                      </w:divBdr>
                    </w:div>
                  </w:divsChild>
                </w:div>
                <w:div w:id="1097944594">
                  <w:marLeft w:val="0"/>
                  <w:marRight w:val="0"/>
                  <w:marTop w:val="0"/>
                  <w:marBottom w:val="0"/>
                  <w:divBdr>
                    <w:top w:val="none" w:sz="0" w:space="0" w:color="auto"/>
                    <w:left w:val="none" w:sz="0" w:space="0" w:color="auto"/>
                    <w:bottom w:val="none" w:sz="0" w:space="0" w:color="auto"/>
                    <w:right w:val="none" w:sz="0" w:space="0" w:color="auto"/>
                  </w:divBdr>
                  <w:divsChild>
                    <w:div w:id="859271748">
                      <w:marLeft w:val="0"/>
                      <w:marRight w:val="0"/>
                      <w:marTop w:val="0"/>
                      <w:marBottom w:val="0"/>
                      <w:divBdr>
                        <w:top w:val="none" w:sz="0" w:space="0" w:color="auto"/>
                        <w:left w:val="none" w:sz="0" w:space="0" w:color="auto"/>
                        <w:bottom w:val="none" w:sz="0" w:space="0" w:color="auto"/>
                        <w:right w:val="none" w:sz="0" w:space="0" w:color="auto"/>
                      </w:divBdr>
                    </w:div>
                  </w:divsChild>
                </w:div>
                <w:div w:id="1100831244">
                  <w:marLeft w:val="0"/>
                  <w:marRight w:val="0"/>
                  <w:marTop w:val="0"/>
                  <w:marBottom w:val="0"/>
                  <w:divBdr>
                    <w:top w:val="none" w:sz="0" w:space="0" w:color="auto"/>
                    <w:left w:val="none" w:sz="0" w:space="0" w:color="auto"/>
                    <w:bottom w:val="none" w:sz="0" w:space="0" w:color="auto"/>
                    <w:right w:val="none" w:sz="0" w:space="0" w:color="auto"/>
                  </w:divBdr>
                  <w:divsChild>
                    <w:div w:id="1282346423">
                      <w:marLeft w:val="0"/>
                      <w:marRight w:val="0"/>
                      <w:marTop w:val="0"/>
                      <w:marBottom w:val="0"/>
                      <w:divBdr>
                        <w:top w:val="none" w:sz="0" w:space="0" w:color="auto"/>
                        <w:left w:val="none" w:sz="0" w:space="0" w:color="auto"/>
                        <w:bottom w:val="none" w:sz="0" w:space="0" w:color="auto"/>
                        <w:right w:val="none" w:sz="0" w:space="0" w:color="auto"/>
                      </w:divBdr>
                    </w:div>
                  </w:divsChild>
                </w:div>
                <w:div w:id="1119760497">
                  <w:marLeft w:val="0"/>
                  <w:marRight w:val="0"/>
                  <w:marTop w:val="0"/>
                  <w:marBottom w:val="0"/>
                  <w:divBdr>
                    <w:top w:val="none" w:sz="0" w:space="0" w:color="auto"/>
                    <w:left w:val="none" w:sz="0" w:space="0" w:color="auto"/>
                    <w:bottom w:val="none" w:sz="0" w:space="0" w:color="auto"/>
                    <w:right w:val="none" w:sz="0" w:space="0" w:color="auto"/>
                  </w:divBdr>
                  <w:divsChild>
                    <w:div w:id="1698197960">
                      <w:marLeft w:val="0"/>
                      <w:marRight w:val="0"/>
                      <w:marTop w:val="0"/>
                      <w:marBottom w:val="0"/>
                      <w:divBdr>
                        <w:top w:val="none" w:sz="0" w:space="0" w:color="auto"/>
                        <w:left w:val="none" w:sz="0" w:space="0" w:color="auto"/>
                        <w:bottom w:val="none" w:sz="0" w:space="0" w:color="auto"/>
                        <w:right w:val="none" w:sz="0" w:space="0" w:color="auto"/>
                      </w:divBdr>
                    </w:div>
                  </w:divsChild>
                </w:div>
                <w:div w:id="1122116278">
                  <w:marLeft w:val="0"/>
                  <w:marRight w:val="0"/>
                  <w:marTop w:val="0"/>
                  <w:marBottom w:val="0"/>
                  <w:divBdr>
                    <w:top w:val="none" w:sz="0" w:space="0" w:color="auto"/>
                    <w:left w:val="none" w:sz="0" w:space="0" w:color="auto"/>
                    <w:bottom w:val="none" w:sz="0" w:space="0" w:color="auto"/>
                    <w:right w:val="none" w:sz="0" w:space="0" w:color="auto"/>
                  </w:divBdr>
                  <w:divsChild>
                    <w:div w:id="267735631">
                      <w:marLeft w:val="0"/>
                      <w:marRight w:val="0"/>
                      <w:marTop w:val="0"/>
                      <w:marBottom w:val="0"/>
                      <w:divBdr>
                        <w:top w:val="none" w:sz="0" w:space="0" w:color="auto"/>
                        <w:left w:val="none" w:sz="0" w:space="0" w:color="auto"/>
                        <w:bottom w:val="none" w:sz="0" w:space="0" w:color="auto"/>
                        <w:right w:val="none" w:sz="0" w:space="0" w:color="auto"/>
                      </w:divBdr>
                    </w:div>
                  </w:divsChild>
                </w:div>
                <w:div w:id="1137190183">
                  <w:marLeft w:val="0"/>
                  <w:marRight w:val="0"/>
                  <w:marTop w:val="0"/>
                  <w:marBottom w:val="0"/>
                  <w:divBdr>
                    <w:top w:val="none" w:sz="0" w:space="0" w:color="auto"/>
                    <w:left w:val="none" w:sz="0" w:space="0" w:color="auto"/>
                    <w:bottom w:val="none" w:sz="0" w:space="0" w:color="auto"/>
                    <w:right w:val="none" w:sz="0" w:space="0" w:color="auto"/>
                  </w:divBdr>
                  <w:divsChild>
                    <w:div w:id="2050761348">
                      <w:marLeft w:val="0"/>
                      <w:marRight w:val="0"/>
                      <w:marTop w:val="0"/>
                      <w:marBottom w:val="0"/>
                      <w:divBdr>
                        <w:top w:val="none" w:sz="0" w:space="0" w:color="auto"/>
                        <w:left w:val="none" w:sz="0" w:space="0" w:color="auto"/>
                        <w:bottom w:val="none" w:sz="0" w:space="0" w:color="auto"/>
                        <w:right w:val="none" w:sz="0" w:space="0" w:color="auto"/>
                      </w:divBdr>
                    </w:div>
                  </w:divsChild>
                </w:div>
                <w:div w:id="1153257417">
                  <w:marLeft w:val="0"/>
                  <w:marRight w:val="0"/>
                  <w:marTop w:val="0"/>
                  <w:marBottom w:val="0"/>
                  <w:divBdr>
                    <w:top w:val="none" w:sz="0" w:space="0" w:color="auto"/>
                    <w:left w:val="none" w:sz="0" w:space="0" w:color="auto"/>
                    <w:bottom w:val="none" w:sz="0" w:space="0" w:color="auto"/>
                    <w:right w:val="none" w:sz="0" w:space="0" w:color="auto"/>
                  </w:divBdr>
                  <w:divsChild>
                    <w:div w:id="497310384">
                      <w:marLeft w:val="0"/>
                      <w:marRight w:val="0"/>
                      <w:marTop w:val="0"/>
                      <w:marBottom w:val="0"/>
                      <w:divBdr>
                        <w:top w:val="none" w:sz="0" w:space="0" w:color="auto"/>
                        <w:left w:val="none" w:sz="0" w:space="0" w:color="auto"/>
                        <w:bottom w:val="none" w:sz="0" w:space="0" w:color="auto"/>
                        <w:right w:val="none" w:sz="0" w:space="0" w:color="auto"/>
                      </w:divBdr>
                    </w:div>
                  </w:divsChild>
                </w:div>
                <w:div w:id="1164051500">
                  <w:marLeft w:val="0"/>
                  <w:marRight w:val="0"/>
                  <w:marTop w:val="0"/>
                  <w:marBottom w:val="0"/>
                  <w:divBdr>
                    <w:top w:val="none" w:sz="0" w:space="0" w:color="auto"/>
                    <w:left w:val="none" w:sz="0" w:space="0" w:color="auto"/>
                    <w:bottom w:val="none" w:sz="0" w:space="0" w:color="auto"/>
                    <w:right w:val="none" w:sz="0" w:space="0" w:color="auto"/>
                  </w:divBdr>
                  <w:divsChild>
                    <w:div w:id="1287547897">
                      <w:marLeft w:val="0"/>
                      <w:marRight w:val="0"/>
                      <w:marTop w:val="0"/>
                      <w:marBottom w:val="0"/>
                      <w:divBdr>
                        <w:top w:val="none" w:sz="0" w:space="0" w:color="auto"/>
                        <w:left w:val="none" w:sz="0" w:space="0" w:color="auto"/>
                        <w:bottom w:val="none" w:sz="0" w:space="0" w:color="auto"/>
                        <w:right w:val="none" w:sz="0" w:space="0" w:color="auto"/>
                      </w:divBdr>
                    </w:div>
                  </w:divsChild>
                </w:div>
                <w:div w:id="1178738193">
                  <w:marLeft w:val="0"/>
                  <w:marRight w:val="0"/>
                  <w:marTop w:val="0"/>
                  <w:marBottom w:val="0"/>
                  <w:divBdr>
                    <w:top w:val="none" w:sz="0" w:space="0" w:color="auto"/>
                    <w:left w:val="none" w:sz="0" w:space="0" w:color="auto"/>
                    <w:bottom w:val="none" w:sz="0" w:space="0" w:color="auto"/>
                    <w:right w:val="none" w:sz="0" w:space="0" w:color="auto"/>
                  </w:divBdr>
                  <w:divsChild>
                    <w:div w:id="1701739297">
                      <w:marLeft w:val="0"/>
                      <w:marRight w:val="0"/>
                      <w:marTop w:val="0"/>
                      <w:marBottom w:val="0"/>
                      <w:divBdr>
                        <w:top w:val="none" w:sz="0" w:space="0" w:color="auto"/>
                        <w:left w:val="none" w:sz="0" w:space="0" w:color="auto"/>
                        <w:bottom w:val="none" w:sz="0" w:space="0" w:color="auto"/>
                        <w:right w:val="none" w:sz="0" w:space="0" w:color="auto"/>
                      </w:divBdr>
                    </w:div>
                  </w:divsChild>
                </w:div>
                <w:div w:id="1185097563">
                  <w:marLeft w:val="0"/>
                  <w:marRight w:val="0"/>
                  <w:marTop w:val="0"/>
                  <w:marBottom w:val="0"/>
                  <w:divBdr>
                    <w:top w:val="none" w:sz="0" w:space="0" w:color="auto"/>
                    <w:left w:val="none" w:sz="0" w:space="0" w:color="auto"/>
                    <w:bottom w:val="none" w:sz="0" w:space="0" w:color="auto"/>
                    <w:right w:val="none" w:sz="0" w:space="0" w:color="auto"/>
                  </w:divBdr>
                  <w:divsChild>
                    <w:div w:id="1039620921">
                      <w:marLeft w:val="0"/>
                      <w:marRight w:val="0"/>
                      <w:marTop w:val="0"/>
                      <w:marBottom w:val="0"/>
                      <w:divBdr>
                        <w:top w:val="none" w:sz="0" w:space="0" w:color="auto"/>
                        <w:left w:val="none" w:sz="0" w:space="0" w:color="auto"/>
                        <w:bottom w:val="none" w:sz="0" w:space="0" w:color="auto"/>
                        <w:right w:val="none" w:sz="0" w:space="0" w:color="auto"/>
                      </w:divBdr>
                    </w:div>
                  </w:divsChild>
                </w:div>
                <w:div w:id="1185250791">
                  <w:marLeft w:val="0"/>
                  <w:marRight w:val="0"/>
                  <w:marTop w:val="0"/>
                  <w:marBottom w:val="0"/>
                  <w:divBdr>
                    <w:top w:val="none" w:sz="0" w:space="0" w:color="auto"/>
                    <w:left w:val="none" w:sz="0" w:space="0" w:color="auto"/>
                    <w:bottom w:val="none" w:sz="0" w:space="0" w:color="auto"/>
                    <w:right w:val="none" w:sz="0" w:space="0" w:color="auto"/>
                  </w:divBdr>
                  <w:divsChild>
                    <w:div w:id="1939633125">
                      <w:marLeft w:val="0"/>
                      <w:marRight w:val="0"/>
                      <w:marTop w:val="0"/>
                      <w:marBottom w:val="0"/>
                      <w:divBdr>
                        <w:top w:val="none" w:sz="0" w:space="0" w:color="auto"/>
                        <w:left w:val="none" w:sz="0" w:space="0" w:color="auto"/>
                        <w:bottom w:val="none" w:sz="0" w:space="0" w:color="auto"/>
                        <w:right w:val="none" w:sz="0" w:space="0" w:color="auto"/>
                      </w:divBdr>
                    </w:div>
                  </w:divsChild>
                </w:div>
                <w:div w:id="1200506753">
                  <w:marLeft w:val="0"/>
                  <w:marRight w:val="0"/>
                  <w:marTop w:val="0"/>
                  <w:marBottom w:val="0"/>
                  <w:divBdr>
                    <w:top w:val="none" w:sz="0" w:space="0" w:color="auto"/>
                    <w:left w:val="none" w:sz="0" w:space="0" w:color="auto"/>
                    <w:bottom w:val="none" w:sz="0" w:space="0" w:color="auto"/>
                    <w:right w:val="none" w:sz="0" w:space="0" w:color="auto"/>
                  </w:divBdr>
                  <w:divsChild>
                    <w:div w:id="1706171959">
                      <w:marLeft w:val="0"/>
                      <w:marRight w:val="0"/>
                      <w:marTop w:val="0"/>
                      <w:marBottom w:val="0"/>
                      <w:divBdr>
                        <w:top w:val="none" w:sz="0" w:space="0" w:color="auto"/>
                        <w:left w:val="none" w:sz="0" w:space="0" w:color="auto"/>
                        <w:bottom w:val="none" w:sz="0" w:space="0" w:color="auto"/>
                        <w:right w:val="none" w:sz="0" w:space="0" w:color="auto"/>
                      </w:divBdr>
                    </w:div>
                  </w:divsChild>
                </w:div>
                <w:div w:id="1203052586">
                  <w:marLeft w:val="0"/>
                  <w:marRight w:val="0"/>
                  <w:marTop w:val="0"/>
                  <w:marBottom w:val="0"/>
                  <w:divBdr>
                    <w:top w:val="none" w:sz="0" w:space="0" w:color="auto"/>
                    <w:left w:val="none" w:sz="0" w:space="0" w:color="auto"/>
                    <w:bottom w:val="none" w:sz="0" w:space="0" w:color="auto"/>
                    <w:right w:val="none" w:sz="0" w:space="0" w:color="auto"/>
                  </w:divBdr>
                  <w:divsChild>
                    <w:div w:id="1751927608">
                      <w:marLeft w:val="0"/>
                      <w:marRight w:val="0"/>
                      <w:marTop w:val="0"/>
                      <w:marBottom w:val="0"/>
                      <w:divBdr>
                        <w:top w:val="none" w:sz="0" w:space="0" w:color="auto"/>
                        <w:left w:val="none" w:sz="0" w:space="0" w:color="auto"/>
                        <w:bottom w:val="none" w:sz="0" w:space="0" w:color="auto"/>
                        <w:right w:val="none" w:sz="0" w:space="0" w:color="auto"/>
                      </w:divBdr>
                    </w:div>
                  </w:divsChild>
                </w:div>
                <w:div w:id="1205602208">
                  <w:marLeft w:val="0"/>
                  <w:marRight w:val="0"/>
                  <w:marTop w:val="0"/>
                  <w:marBottom w:val="0"/>
                  <w:divBdr>
                    <w:top w:val="none" w:sz="0" w:space="0" w:color="auto"/>
                    <w:left w:val="none" w:sz="0" w:space="0" w:color="auto"/>
                    <w:bottom w:val="none" w:sz="0" w:space="0" w:color="auto"/>
                    <w:right w:val="none" w:sz="0" w:space="0" w:color="auto"/>
                  </w:divBdr>
                  <w:divsChild>
                    <w:div w:id="369109414">
                      <w:marLeft w:val="0"/>
                      <w:marRight w:val="0"/>
                      <w:marTop w:val="0"/>
                      <w:marBottom w:val="0"/>
                      <w:divBdr>
                        <w:top w:val="none" w:sz="0" w:space="0" w:color="auto"/>
                        <w:left w:val="none" w:sz="0" w:space="0" w:color="auto"/>
                        <w:bottom w:val="none" w:sz="0" w:space="0" w:color="auto"/>
                        <w:right w:val="none" w:sz="0" w:space="0" w:color="auto"/>
                      </w:divBdr>
                    </w:div>
                  </w:divsChild>
                </w:div>
                <w:div w:id="1208882224">
                  <w:marLeft w:val="0"/>
                  <w:marRight w:val="0"/>
                  <w:marTop w:val="0"/>
                  <w:marBottom w:val="0"/>
                  <w:divBdr>
                    <w:top w:val="none" w:sz="0" w:space="0" w:color="auto"/>
                    <w:left w:val="none" w:sz="0" w:space="0" w:color="auto"/>
                    <w:bottom w:val="none" w:sz="0" w:space="0" w:color="auto"/>
                    <w:right w:val="none" w:sz="0" w:space="0" w:color="auto"/>
                  </w:divBdr>
                  <w:divsChild>
                    <w:div w:id="384262082">
                      <w:marLeft w:val="0"/>
                      <w:marRight w:val="0"/>
                      <w:marTop w:val="0"/>
                      <w:marBottom w:val="0"/>
                      <w:divBdr>
                        <w:top w:val="none" w:sz="0" w:space="0" w:color="auto"/>
                        <w:left w:val="none" w:sz="0" w:space="0" w:color="auto"/>
                        <w:bottom w:val="none" w:sz="0" w:space="0" w:color="auto"/>
                        <w:right w:val="none" w:sz="0" w:space="0" w:color="auto"/>
                      </w:divBdr>
                    </w:div>
                  </w:divsChild>
                </w:div>
                <w:div w:id="1229146725">
                  <w:marLeft w:val="0"/>
                  <w:marRight w:val="0"/>
                  <w:marTop w:val="0"/>
                  <w:marBottom w:val="0"/>
                  <w:divBdr>
                    <w:top w:val="none" w:sz="0" w:space="0" w:color="auto"/>
                    <w:left w:val="none" w:sz="0" w:space="0" w:color="auto"/>
                    <w:bottom w:val="none" w:sz="0" w:space="0" w:color="auto"/>
                    <w:right w:val="none" w:sz="0" w:space="0" w:color="auto"/>
                  </w:divBdr>
                  <w:divsChild>
                    <w:div w:id="2091845998">
                      <w:marLeft w:val="0"/>
                      <w:marRight w:val="0"/>
                      <w:marTop w:val="0"/>
                      <w:marBottom w:val="0"/>
                      <w:divBdr>
                        <w:top w:val="none" w:sz="0" w:space="0" w:color="auto"/>
                        <w:left w:val="none" w:sz="0" w:space="0" w:color="auto"/>
                        <w:bottom w:val="none" w:sz="0" w:space="0" w:color="auto"/>
                        <w:right w:val="none" w:sz="0" w:space="0" w:color="auto"/>
                      </w:divBdr>
                    </w:div>
                  </w:divsChild>
                </w:div>
                <w:div w:id="1244414043">
                  <w:marLeft w:val="0"/>
                  <w:marRight w:val="0"/>
                  <w:marTop w:val="0"/>
                  <w:marBottom w:val="0"/>
                  <w:divBdr>
                    <w:top w:val="none" w:sz="0" w:space="0" w:color="auto"/>
                    <w:left w:val="none" w:sz="0" w:space="0" w:color="auto"/>
                    <w:bottom w:val="none" w:sz="0" w:space="0" w:color="auto"/>
                    <w:right w:val="none" w:sz="0" w:space="0" w:color="auto"/>
                  </w:divBdr>
                  <w:divsChild>
                    <w:div w:id="545262478">
                      <w:marLeft w:val="0"/>
                      <w:marRight w:val="0"/>
                      <w:marTop w:val="0"/>
                      <w:marBottom w:val="0"/>
                      <w:divBdr>
                        <w:top w:val="none" w:sz="0" w:space="0" w:color="auto"/>
                        <w:left w:val="none" w:sz="0" w:space="0" w:color="auto"/>
                        <w:bottom w:val="none" w:sz="0" w:space="0" w:color="auto"/>
                        <w:right w:val="none" w:sz="0" w:space="0" w:color="auto"/>
                      </w:divBdr>
                    </w:div>
                  </w:divsChild>
                </w:div>
                <w:div w:id="1260214123">
                  <w:marLeft w:val="0"/>
                  <w:marRight w:val="0"/>
                  <w:marTop w:val="0"/>
                  <w:marBottom w:val="0"/>
                  <w:divBdr>
                    <w:top w:val="none" w:sz="0" w:space="0" w:color="auto"/>
                    <w:left w:val="none" w:sz="0" w:space="0" w:color="auto"/>
                    <w:bottom w:val="none" w:sz="0" w:space="0" w:color="auto"/>
                    <w:right w:val="none" w:sz="0" w:space="0" w:color="auto"/>
                  </w:divBdr>
                  <w:divsChild>
                    <w:div w:id="145585649">
                      <w:marLeft w:val="0"/>
                      <w:marRight w:val="0"/>
                      <w:marTop w:val="0"/>
                      <w:marBottom w:val="0"/>
                      <w:divBdr>
                        <w:top w:val="none" w:sz="0" w:space="0" w:color="auto"/>
                        <w:left w:val="none" w:sz="0" w:space="0" w:color="auto"/>
                        <w:bottom w:val="none" w:sz="0" w:space="0" w:color="auto"/>
                        <w:right w:val="none" w:sz="0" w:space="0" w:color="auto"/>
                      </w:divBdr>
                    </w:div>
                  </w:divsChild>
                </w:div>
                <w:div w:id="1289356961">
                  <w:marLeft w:val="0"/>
                  <w:marRight w:val="0"/>
                  <w:marTop w:val="0"/>
                  <w:marBottom w:val="0"/>
                  <w:divBdr>
                    <w:top w:val="none" w:sz="0" w:space="0" w:color="auto"/>
                    <w:left w:val="none" w:sz="0" w:space="0" w:color="auto"/>
                    <w:bottom w:val="none" w:sz="0" w:space="0" w:color="auto"/>
                    <w:right w:val="none" w:sz="0" w:space="0" w:color="auto"/>
                  </w:divBdr>
                  <w:divsChild>
                    <w:div w:id="1963655884">
                      <w:marLeft w:val="0"/>
                      <w:marRight w:val="0"/>
                      <w:marTop w:val="0"/>
                      <w:marBottom w:val="0"/>
                      <w:divBdr>
                        <w:top w:val="none" w:sz="0" w:space="0" w:color="auto"/>
                        <w:left w:val="none" w:sz="0" w:space="0" w:color="auto"/>
                        <w:bottom w:val="none" w:sz="0" w:space="0" w:color="auto"/>
                        <w:right w:val="none" w:sz="0" w:space="0" w:color="auto"/>
                      </w:divBdr>
                    </w:div>
                  </w:divsChild>
                </w:div>
                <w:div w:id="1322810994">
                  <w:marLeft w:val="0"/>
                  <w:marRight w:val="0"/>
                  <w:marTop w:val="0"/>
                  <w:marBottom w:val="0"/>
                  <w:divBdr>
                    <w:top w:val="none" w:sz="0" w:space="0" w:color="auto"/>
                    <w:left w:val="none" w:sz="0" w:space="0" w:color="auto"/>
                    <w:bottom w:val="none" w:sz="0" w:space="0" w:color="auto"/>
                    <w:right w:val="none" w:sz="0" w:space="0" w:color="auto"/>
                  </w:divBdr>
                  <w:divsChild>
                    <w:div w:id="1514417464">
                      <w:marLeft w:val="0"/>
                      <w:marRight w:val="0"/>
                      <w:marTop w:val="0"/>
                      <w:marBottom w:val="0"/>
                      <w:divBdr>
                        <w:top w:val="none" w:sz="0" w:space="0" w:color="auto"/>
                        <w:left w:val="none" w:sz="0" w:space="0" w:color="auto"/>
                        <w:bottom w:val="none" w:sz="0" w:space="0" w:color="auto"/>
                        <w:right w:val="none" w:sz="0" w:space="0" w:color="auto"/>
                      </w:divBdr>
                    </w:div>
                  </w:divsChild>
                </w:div>
                <w:div w:id="1327133004">
                  <w:marLeft w:val="0"/>
                  <w:marRight w:val="0"/>
                  <w:marTop w:val="0"/>
                  <w:marBottom w:val="0"/>
                  <w:divBdr>
                    <w:top w:val="none" w:sz="0" w:space="0" w:color="auto"/>
                    <w:left w:val="none" w:sz="0" w:space="0" w:color="auto"/>
                    <w:bottom w:val="none" w:sz="0" w:space="0" w:color="auto"/>
                    <w:right w:val="none" w:sz="0" w:space="0" w:color="auto"/>
                  </w:divBdr>
                  <w:divsChild>
                    <w:div w:id="858128409">
                      <w:marLeft w:val="0"/>
                      <w:marRight w:val="0"/>
                      <w:marTop w:val="0"/>
                      <w:marBottom w:val="0"/>
                      <w:divBdr>
                        <w:top w:val="none" w:sz="0" w:space="0" w:color="auto"/>
                        <w:left w:val="none" w:sz="0" w:space="0" w:color="auto"/>
                        <w:bottom w:val="none" w:sz="0" w:space="0" w:color="auto"/>
                        <w:right w:val="none" w:sz="0" w:space="0" w:color="auto"/>
                      </w:divBdr>
                    </w:div>
                  </w:divsChild>
                </w:div>
                <w:div w:id="1327829164">
                  <w:marLeft w:val="0"/>
                  <w:marRight w:val="0"/>
                  <w:marTop w:val="0"/>
                  <w:marBottom w:val="0"/>
                  <w:divBdr>
                    <w:top w:val="none" w:sz="0" w:space="0" w:color="auto"/>
                    <w:left w:val="none" w:sz="0" w:space="0" w:color="auto"/>
                    <w:bottom w:val="none" w:sz="0" w:space="0" w:color="auto"/>
                    <w:right w:val="none" w:sz="0" w:space="0" w:color="auto"/>
                  </w:divBdr>
                  <w:divsChild>
                    <w:div w:id="315426215">
                      <w:marLeft w:val="0"/>
                      <w:marRight w:val="0"/>
                      <w:marTop w:val="0"/>
                      <w:marBottom w:val="0"/>
                      <w:divBdr>
                        <w:top w:val="none" w:sz="0" w:space="0" w:color="auto"/>
                        <w:left w:val="none" w:sz="0" w:space="0" w:color="auto"/>
                        <w:bottom w:val="none" w:sz="0" w:space="0" w:color="auto"/>
                        <w:right w:val="none" w:sz="0" w:space="0" w:color="auto"/>
                      </w:divBdr>
                    </w:div>
                  </w:divsChild>
                </w:div>
                <w:div w:id="1334262395">
                  <w:marLeft w:val="0"/>
                  <w:marRight w:val="0"/>
                  <w:marTop w:val="0"/>
                  <w:marBottom w:val="0"/>
                  <w:divBdr>
                    <w:top w:val="none" w:sz="0" w:space="0" w:color="auto"/>
                    <w:left w:val="none" w:sz="0" w:space="0" w:color="auto"/>
                    <w:bottom w:val="none" w:sz="0" w:space="0" w:color="auto"/>
                    <w:right w:val="none" w:sz="0" w:space="0" w:color="auto"/>
                  </w:divBdr>
                  <w:divsChild>
                    <w:div w:id="1852141254">
                      <w:marLeft w:val="0"/>
                      <w:marRight w:val="0"/>
                      <w:marTop w:val="0"/>
                      <w:marBottom w:val="0"/>
                      <w:divBdr>
                        <w:top w:val="none" w:sz="0" w:space="0" w:color="auto"/>
                        <w:left w:val="none" w:sz="0" w:space="0" w:color="auto"/>
                        <w:bottom w:val="none" w:sz="0" w:space="0" w:color="auto"/>
                        <w:right w:val="none" w:sz="0" w:space="0" w:color="auto"/>
                      </w:divBdr>
                    </w:div>
                  </w:divsChild>
                </w:div>
                <w:div w:id="1343315216">
                  <w:marLeft w:val="0"/>
                  <w:marRight w:val="0"/>
                  <w:marTop w:val="0"/>
                  <w:marBottom w:val="0"/>
                  <w:divBdr>
                    <w:top w:val="none" w:sz="0" w:space="0" w:color="auto"/>
                    <w:left w:val="none" w:sz="0" w:space="0" w:color="auto"/>
                    <w:bottom w:val="none" w:sz="0" w:space="0" w:color="auto"/>
                    <w:right w:val="none" w:sz="0" w:space="0" w:color="auto"/>
                  </w:divBdr>
                  <w:divsChild>
                    <w:div w:id="1680353505">
                      <w:marLeft w:val="0"/>
                      <w:marRight w:val="0"/>
                      <w:marTop w:val="0"/>
                      <w:marBottom w:val="0"/>
                      <w:divBdr>
                        <w:top w:val="none" w:sz="0" w:space="0" w:color="auto"/>
                        <w:left w:val="none" w:sz="0" w:space="0" w:color="auto"/>
                        <w:bottom w:val="none" w:sz="0" w:space="0" w:color="auto"/>
                        <w:right w:val="none" w:sz="0" w:space="0" w:color="auto"/>
                      </w:divBdr>
                    </w:div>
                  </w:divsChild>
                </w:div>
                <w:div w:id="1347295039">
                  <w:marLeft w:val="0"/>
                  <w:marRight w:val="0"/>
                  <w:marTop w:val="0"/>
                  <w:marBottom w:val="0"/>
                  <w:divBdr>
                    <w:top w:val="none" w:sz="0" w:space="0" w:color="auto"/>
                    <w:left w:val="none" w:sz="0" w:space="0" w:color="auto"/>
                    <w:bottom w:val="none" w:sz="0" w:space="0" w:color="auto"/>
                    <w:right w:val="none" w:sz="0" w:space="0" w:color="auto"/>
                  </w:divBdr>
                  <w:divsChild>
                    <w:div w:id="802578391">
                      <w:marLeft w:val="0"/>
                      <w:marRight w:val="0"/>
                      <w:marTop w:val="0"/>
                      <w:marBottom w:val="0"/>
                      <w:divBdr>
                        <w:top w:val="none" w:sz="0" w:space="0" w:color="auto"/>
                        <w:left w:val="none" w:sz="0" w:space="0" w:color="auto"/>
                        <w:bottom w:val="none" w:sz="0" w:space="0" w:color="auto"/>
                        <w:right w:val="none" w:sz="0" w:space="0" w:color="auto"/>
                      </w:divBdr>
                    </w:div>
                  </w:divsChild>
                </w:div>
                <w:div w:id="1361473869">
                  <w:marLeft w:val="0"/>
                  <w:marRight w:val="0"/>
                  <w:marTop w:val="0"/>
                  <w:marBottom w:val="0"/>
                  <w:divBdr>
                    <w:top w:val="none" w:sz="0" w:space="0" w:color="auto"/>
                    <w:left w:val="none" w:sz="0" w:space="0" w:color="auto"/>
                    <w:bottom w:val="none" w:sz="0" w:space="0" w:color="auto"/>
                    <w:right w:val="none" w:sz="0" w:space="0" w:color="auto"/>
                  </w:divBdr>
                  <w:divsChild>
                    <w:div w:id="350302707">
                      <w:marLeft w:val="0"/>
                      <w:marRight w:val="0"/>
                      <w:marTop w:val="0"/>
                      <w:marBottom w:val="0"/>
                      <w:divBdr>
                        <w:top w:val="none" w:sz="0" w:space="0" w:color="auto"/>
                        <w:left w:val="none" w:sz="0" w:space="0" w:color="auto"/>
                        <w:bottom w:val="none" w:sz="0" w:space="0" w:color="auto"/>
                        <w:right w:val="none" w:sz="0" w:space="0" w:color="auto"/>
                      </w:divBdr>
                    </w:div>
                  </w:divsChild>
                </w:div>
                <w:div w:id="1402873576">
                  <w:marLeft w:val="0"/>
                  <w:marRight w:val="0"/>
                  <w:marTop w:val="0"/>
                  <w:marBottom w:val="0"/>
                  <w:divBdr>
                    <w:top w:val="none" w:sz="0" w:space="0" w:color="auto"/>
                    <w:left w:val="none" w:sz="0" w:space="0" w:color="auto"/>
                    <w:bottom w:val="none" w:sz="0" w:space="0" w:color="auto"/>
                    <w:right w:val="none" w:sz="0" w:space="0" w:color="auto"/>
                  </w:divBdr>
                  <w:divsChild>
                    <w:div w:id="1573075954">
                      <w:marLeft w:val="0"/>
                      <w:marRight w:val="0"/>
                      <w:marTop w:val="0"/>
                      <w:marBottom w:val="0"/>
                      <w:divBdr>
                        <w:top w:val="none" w:sz="0" w:space="0" w:color="auto"/>
                        <w:left w:val="none" w:sz="0" w:space="0" w:color="auto"/>
                        <w:bottom w:val="none" w:sz="0" w:space="0" w:color="auto"/>
                        <w:right w:val="none" w:sz="0" w:space="0" w:color="auto"/>
                      </w:divBdr>
                    </w:div>
                  </w:divsChild>
                </w:div>
                <w:div w:id="1403480544">
                  <w:marLeft w:val="0"/>
                  <w:marRight w:val="0"/>
                  <w:marTop w:val="0"/>
                  <w:marBottom w:val="0"/>
                  <w:divBdr>
                    <w:top w:val="none" w:sz="0" w:space="0" w:color="auto"/>
                    <w:left w:val="none" w:sz="0" w:space="0" w:color="auto"/>
                    <w:bottom w:val="none" w:sz="0" w:space="0" w:color="auto"/>
                    <w:right w:val="none" w:sz="0" w:space="0" w:color="auto"/>
                  </w:divBdr>
                  <w:divsChild>
                    <w:div w:id="1389263662">
                      <w:marLeft w:val="0"/>
                      <w:marRight w:val="0"/>
                      <w:marTop w:val="0"/>
                      <w:marBottom w:val="0"/>
                      <w:divBdr>
                        <w:top w:val="none" w:sz="0" w:space="0" w:color="auto"/>
                        <w:left w:val="none" w:sz="0" w:space="0" w:color="auto"/>
                        <w:bottom w:val="none" w:sz="0" w:space="0" w:color="auto"/>
                        <w:right w:val="none" w:sz="0" w:space="0" w:color="auto"/>
                      </w:divBdr>
                    </w:div>
                  </w:divsChild>
                </w:div>
                <w:div w:id="1417171455">
                  <w:marLeft w:val="0"/>
                  <w:marRight w:val="0"/>
                  <w:marTop w:val="0"/>
                  <w:marBottom w:val="0"/>
                  <w:divBdr>
                    <w:top w:val="none" w:sz="0" w:space="0" w:color="auto"/>
                    <w:left w:val="none" w:sz="0" w:space="0" w:color="auto"/>
                    <w:bottom w:val="none" w:sz="0" w:space="0" w:color="auto"/>
                    <w:right w:val="none" w:sz="0" w:space="0" w:color="auto"/>
                  </w:divBdr>
                  <w:divsChild>
                    <w:div w:id="40984895">
                      <w:marLeft w:val="0"/>
                      <w:marRight w:val="0"/>
                      <w:marTop w:val="0"/>
                      <w:marBottom w:val="0"/>
                      <w:divBdr>
                        <w:top w:val="none" w:sz="0" w:space="0" w:color="auto"/>
                        <w:left w:val="none" w:sz="0" w:space="0" w:color="auto"/>
                        <w:bottom w:val="none" w:sz="0" w:space="0" w:color="auto"/>
                        <w:right w:val="none" w:sz="0" w:space="0" w:color="auto"/>
                      </w:divBdr>
                    </w:div>
                  </w:divsChild>
                </w:div>
                <w:div w:id="1440295241">
                  <w:marLeft w:val="0"/>
                  <w:marRight w:val="0"/>
                  <w:marTop w:val="0"/>
                  <w:marBottom w:val="0"/>
                  <w:divBdr>
                    <w:top w:val="none" w:sz="0" w:space="0" w:color="auto"/>
                    <w:left w:val="none" w:sz="0" w:space="0" w:color="auto"/>
                    <w:bottom w:val="none" w:sz="0" w:space="0" w:color="auto"/>
                    <w:right w:val="none" w:sz="0" w:space="0" w:color="auto"/>
                  </w:divBdr>
                  <w:divsChild>
                    <w:div w:id="1621258657">
                      <w:marLeft w:val="0"/>
                      <w:marRight w:val="0"/>
                      <w:marTop w:val="0"/>
                      <w:marBottom w:val="0"/>
                      <w:divBdr>
                        <w:top w:val="none" w:sz="0" w:space="0" w:color="auto"/>
                        <w:left w:val="none" w:sz="0" w:space="0" w:color="auto"/>
                        <w:bottom w:val="none" w:sz="0" w:space="0" w:color="auto"/>
                        <w:right w:val="none" w:sz="0" w:space="0" w:color="auto"/>
                      </w:divBdr>
                    </w:div>
                  </w:divsChild>
                </w:div>
                <w:div w:id="1454254687">
                  <w:marLeft w:val="0"/>
                  <w:marRight w:val="0"/>
                  <w:marTop w:val="0"/>
                  <w:marBottom w:val="0"/>
                  <w:divBdr>
                    <w:top w:val="none" w:sz="0" w:space="0" w:color="auto"/>
                    <w:left w:val="none" w:sz="0" w:space="0" w:color="auto"/>
                    <w:bottom w:val="none" w:sz="0" w:space="0" w:color="auto"/>
                    <w:right w:val="none" w:sz="0" w:space="0" w:color="auto"/>
                  </w:divBdr>
                  <w:divsChild>
                    <w:div w:id="661547715">
                      <w:marLeft w:val="0"/>
                      <w:marRight w:val="0"/>
                      <w:marTop w:val="0"/>
                      <w:marBottom w:val="0"/>
                      <w:divBdr>
                        <w:top w:val="none" w:sz="0" w:space="0" w:color="auto"/>
                        <w:left w:val="none" w:sz="0" w:space="0" w:color="auto"/>
                        <w:bottom w:val="none" w:sz="0" w:space="0" w:color="auto"/>
                        <w:right w:val="none" w:sz="0" w:space="0" w:color="auto"/>
                      </w:divBdr>
                    </w:div>
                  </w:divsChild>
                </w:div>
                <w:div w:id="1458260623">
                  <w:marLeft w:val="0"/>
                  <w:marRight w:val="0"/>
                  <w:marTop w:val="0"/>
                  <w:marBottom w:val="0"/>
                  <w:divBdr>
                    <w:top w:val="none" w:sz="0" w:space="0" w:color="auto"/>
                    <w:left w:val="none" w:sz="0" w:space="0" w:color="auto"/>
                    <w:bottom w:val="none" w:sz="0" w:space="0" w:color="auto"/>
                    <w:right w:val="none" w:sz="0" w:space="0" w:color="auto"/>
                  </w:divBdr>
                  <w:divsChild>
                    <w:div w:id="598029314">
                      <w:marLeft w:val="0"/>
                      <w:marRight w:val="0"/>
                      <w:marTop w:val="0"/>
                      <w:marBottom w:val="0"/>
                      <w:divBdr>
                        <w:top w:val="none" w:sz="0" w:space="0" w:color="auto"/>
                        <w:left w:val="none" w:sz="0" w:space="0" w:color="auto"/>
                        <w:bottom w:val="none" w:sz="0" w:space="0" w:color="auto"/>
                        <w:right w:val="none" w:sz="0" w:space="0" w:color="auto"/>
                      </w:divBdr>
                    </w:div>
                  </w:divsChild>
                </w:div>
                <w:div w:id="1462186836">
                  <w:marLeft w:val="0"/>
                  <w:marRight w:val="0"/>
                  <w:marTop w:val="0"/>
                  <w:marBottom w:val="0"/>
                  <w:divBdr>
                    <w:top w:val="none" w:sz="0" w:space="0" w:color="auto"/>
                    <w:left w:val="none" w:sz="0" w:space="0" w:color="auto"/>
                    <w:bottom w:val="none" w:sz="0" w:space="0" w:color="auto"/>
                    <w:right w:val="none" w:sz="0" w:space="0" w:color="auto"/>
                  </w:divBdr>
                  <w:divsChild>
                    <w:div w:id="770779495">
                      <w:marLeft w:val="0"/>
                      <w:marRight w:val="0"/>
                      <w:marTop w:val="0"/>
                      <w:marBottom w:val="0"/>
                      <w:divBdr>
                        <w:top w:val="none" w:sz="0" w:space="0" w:color="auto"/>
                        <w:left w:val="none" w:sz="0" w:space="0" w:color="auto"/>
                        <w:bottom w:val="none" w:sz="0" w:space="0" w:color="auto"/>
                        <w:right w:val="none" w:sz="0" w:space="0" w:color="auto"/>
                      </w:divBdr>
                    </w:div>
                  </w:divsChild>
                </w:div>
                <w:div w:id="1478064603">
                  <w:marLeft w:val="0"/>
                  <w:marRight w:val="0"/>
                  <w:marTop w:val="0"/>
                  <w:marBottom w:val="0"/>
                  <w:divBdr>
                    <w:top w:val="none" w:sz="0" w:space="0" w:color="auto"/>
                    <w:left w:val="none" w:sz="0" w:space="0" w:color="auto"/>
                    <w:bottom w:val="none" w:sz="0" w:space="0" w:color="auto"/>
                    <w:right w:val="none" w:sz="0" w:space="0" w:color="auto"/>
                  </w:divBdr>
                  <w:divsChild>
                    <w:div w:id="908806705">
                      <w:marLeft w:val="0"/>
                      <w:marRight w:val="0"/>
                      <w:marTop w:val="0"/>
                      <w:marBottom w:val="0"/>
                      <w:divBdr>
                        <w:top w:val="none" w:sz="0" w:space="0" w:color="auto"/>
                        <w:left w:val="none" w:sz="0" w:space="0" w:color="auto"/>
                        <w:bottom w:val="none" w:sz="0" w:space="0" w:color="auto"/>
                        <w:right w:val="none" w:sz="0" w:space="0" w:color="auto"/>
                      </w:divBdr>
                    </w:div>
                  </w:divsChild>
                </w:div>
                <w:div w:id="1495292254">
                  <w:marLeft w:val="0"/>
                  <w:marRight w:val="0"/>
                  <w:marTop w:val="0"/>
                  <w:marBottom w:val="0"/>
                  <w:divBdr>
                    <w:top w:val="none" w:sz="0" w:space="0" w:color="auto"/>
                    <w:left w:val="none" w:sz="0" w:space="0" w:color="auto"/>
                    <w:bottom w:val="none" w:sz="0" w:space="0" w:color="auto"/>
                    <w:right w:val="none" w:sz="0" w:space="0" w:color="auto"/>
                  </w:divBdr>
                  <w:divsChild>
                    <w:div w:id="1813667288">
                      <w:marLeft w:val="0"/>
                      <w:marRight w:val="0"/>
                      <w:marTop w:val="0"/>
                      <w:marBottom w:val="0"/>
                      <w:divBdr>
                        <w:top w:val="none" w:sz="0" w:space="0" w:color="auto"/>
                        <w:left w:val="none" w:sz="0" w:space="0" w:color="auto"/>
                        <w:bottom w:val="none" w:sz="0" w:space="0" w:color="auto"/>
                        <w:right w:val="none" w:sz="0" w:space="0" w:color="auto"/>
                      </w:divBdr>
                    </w:div>
                  </w:divsChild>
                </w:div>
                <w:div w:id="1518037412">
                  <w:marLeft w:val="0"/>
                  <w:marRight w:val="0"/>
                  <w:marTop w:val="0"/>
                  <w:marBottom w:val="0"/>
                  <w:divBdr>
                    <w:top w:val="none" w:sz="0" w:space="0" w:color="auto"/>
                    <w:left w:val="none" w:sz="0" w:space="0" w:color="auto"/>
                    <w:bottom w:val="none" w:sz="0" w:space="0" w:color="auto"/>
                    <w:right w:val="none" w:sz="0" w:space="0" w:color="auto"/>
                  </w:divBdr>
                  <w:divsChild>
                    <w:div w:id="1212813609">
                      <w:marLeft w:val="0"/>
                      <w:marRight w:val="0"/>
                      <w:marTop w:val="0"/>
                      <w:marBottom w:val="0"/>
                      <w:divBdr>
                        <w:top w:val="none" w:sz="0" w:space="0" w:color="auto"/>
                        <w:left w:val="none" w:sz="0" w:space="0" w:color="auto"/>
                        <w:bottom w:val="none" w:sz="0" w:space="0" w:color="auto"/>
                        <w:right w:val="none" w:sz="0" w:space="0" w:color="auto"/>
                      </w:divBdr>
                    </w:div>
                  </w:divsChild>
                </w:div>
                <w:div w:id="1527676239">
                  <w:marLeft w:val="0"/>
                  <w:marRight w:val="0"/>
                  <w:marTop w:val="0"/>
                  <w:marBottom w:val="0"/>
                  <w:divBdr>
                    <w:top w:val="none" w:sz="0" w:space="0" w:color="auto"/>
                    <w:left w:val="none" w:sz="0" w:space="0" w:color="auto"/>
                    <w:bottom w:val="none" w:sz="0" w:space="0" w:color="auto"/>
                    <w:right w:val="none" w:sz="0" w:space="0" w:color="auto"/>
                  </w:divBdr>
                  <w:divsChild>
                    <w:div w:id="51079164">
                      <w:marLeft w:val="0"/>
                      <w:marRight w:val="0"/>
                      <w:marTop w:val="0"/>
                      <w:marBottom w:val="0"/>
                      <w:divBdr>
                        <w:top w:val="none" w:sz="0" w:space="0" w:color="auto"/>
                        <w:left w:val="none" w:sz="0" w:space="0" w:color="auto"/>
                        <w:bottom w:val="none" w:sz="0" w:space="0" w:color="auto"/>
                        <w:right w:val="none" w:sz="0" w:space="0" w:color="auto"/>
                      </w:divBdr>
                    </w:div>
                  </w:divsChild>
                </w:div>
                <w:div w:id="1567953539">
                  <w:marLeft w:val="0"/>
                  <w:marRight w:val="0"/>
                  <w:marTop w:val="0"/>
                  <w:marBottom w:val="0"/>
                  <w:divBdr>
                    <w:top w:val="none" w:sz="0" w:space="0" w:color="auto"/>
                    <w:left w:val="none" w:sz="0" w:space="0" w:color="auto"/>
                    <w:bottom w:val="none" w:sz="0" w:space="0" w:color="auto"/>
                    <w:right w:val="none" w:sz="0" w:space="0" w:color="auto"/>
                  </w:divBdr>
                  <w:divsChild>
                    <w:div w:id="951470915">
                      <w:marLeft w:val="0"/>
                      <w:marRight w:val="0"/>
                      <w:marTop w:val="0"/>
                      <w:marBottom w:val="0"/>
                      <w:divBdr>
                        <w:top w:val="none" w:sz="0" w:space="0" w:color="auto"/>
                        <w:left w:val="none" w:sz="0" w:space="0" w:color="auto"/>
                        <w:bottom w:val="none" w:sz="0" w:space="0" w:color="auto"/>
                        <w:right w:val="none" w:sz="0" w:space="0" w:color="auto"/>
                      </w:divBdr>
                    </w:div>
                  </w:divsChild>
                </w:div>
                <w:div w:id="1605847868">
                  <w:marLeft w:val="0"/>
                  <w:marRight w:val="0"/>
                  <w:marTop w:val="0"/>
                  <w:marBottom w:val="0"/>
                  <w:divBdr>
                    <w:top w:val="none" w:sz="0" w:space="0" w:color="auto"/>
                    <w:left w:val="none" w:sz="0" w:space="0" w:color="auto"/>
                    <w:bottom w:val="none" w:sz="0" w:space="0" w:color="auto"/>
                    <w:right w:val="none" w:sz="0" w:space="0" w:color="auto"/>
                  </w:divBdr>
                  <w:divsChild>
                    <w:div w:id="417756901">
                      <w:marLeft w:val="0"/>
                      <w:marRight w:val="0"/>
                      <w:marTop w:val="0"/>
                      <w:marBottom w:val="0"/>
                      <w:divBdr>
                        <w:top w:val="none" w:sz="0" w:space="0" w:color="auto"/>
                        <w:left w:val="none" w:sz="0" w:space="0" w:color="auto"/>
                        <w:bottom w:val="none" w:sz="0" w:space="0" w:color="auto"/>
                        <w:right w:val="none" w:sz="0" w:space="0" w:color="auto"/>
                      </w:divBdr>
                    </w:div>
                  </w:divsChild>
                </w:div>
                <w:div w:id="1607538447">
                  <w:marLeft w:val="0"/>
                  <w:marRight w:val="0"/>
                  <w:marTop w:val="0"/>
                  <w:marBottom w:val="0"/>
                  <w:divBdr>
                    <w:top w:val="none" w:sz="0" w:space="0" w:color="auto"/>
                    <w:left w:val="none" w:sz="0" w:space="0" w:color="auto"/>
                    <w:bottom w:val="none" w:sz="0" w:space="0" w:color="auto"/>
                    <w:right w:val="none" w:sz="0" w:space="0" w:color="auto"/>
                  </w:divBdr>
                  <w:divsChild>
                    <w:div w:id="950626517">
                      <w:marLeft w:val="0"/>
                      <w:marRight w:val="0"/>
                      <w:marTop w:val="0"/>
                      <w:marBottom w:val="0"/>
                      <w:divBdr>
                        <w:top w:val="none" w:sz="0" w:space="0" w:color="auto"/>
                        <w:left w:val="none" w:sz="0" w:space="0" w:color="auto"/>
                        <w:bottom w:val="none" w:sz="0" w:space="0" w:color="auto"/>
                        <w:right w:val="none" w:sz="0" w:space="0" w:color="auto"/>
                      </w:divBdr>
                    </w:div>
                  </w:divsChild>
                </w:div>
                <w:div w:id="1620336254">
                  <w:marLeft w:val="0"/>
                  <w:marRight w:val="0"/>
                  <w:marTop w:val="0"/>
                  <w:marBottom w:val="0"/>
                  <w:divBdr>
                    <w:top w:val="none" w:sz="0" w:space="0" w:color="auto"/>
                    <w:left w:val="none" w:sz="0" w:space="0" w:color="auto"/>
                    <w:bottom w:val="none" w:sz="0" w:space="0" w:color="auto"/>
                    <w:right w:val="none" w:sz="0" w:space="0" w:color="auto"/>
                  </w:divBdr>
                  <w:divsChild>
                    <w:div w:id="1590892898">
                      <w:marLeft w:val="0"/>
                      <w:marRight w:val="0"/>
                      <w:marTop w:val="0"/>
                      <w:marBottom w:val="0"/>
                      <w:divBdr>
                        <w:top w:val="none" w:sz="0" w:space="0" w:color="auto"/>
                        <w:left w:val="none" w:sz="0" w:space="0" w:color="auto"/>
                        <w:bottom w:val="none" w:sz="0" w:space="0" w:color="auto"/>
                        <w:right w:val="none" w:sz="0" w:space="0" w:color="auto"/>
                      </w:divBdr>
                    </w:div>
                  </w:divsChild>
                </w:div>
                <w:div w:id="1657033859">
                  <w:marLeft w:val="0"/>
                  <w:marRight w:val="0"/>
                  <w:marTop w:val="0"/>
                  <w:marBottom w:val="0"/>
                  <w:divBdr>
                    <w:top w:val="none" w:sz="0" w:space="0" w:color="auto"/>
                    <w:left w:val="none" w:sz="0" w:space="0" w:color="auto"/>
                    <w:bottom w:val="none" w:sz="0" w:space="0" w:color="auto"/>
                    <w:right w:val="none" w:sz="0" w:space="0" w:color="auto"/>
                  </w:divBdr>
                  <w:divsChild>
                    <w:div w:id="804004125">
                      <w:marLeft w:val="0"/>
                      <w:marRight w:val="0"/>
                      <w:marTop w:val="0"/>
                      <w:marBottom w:val="0"/>
                      <w:divBdr>
                        <w:top w:val="none" w:sz="0" w:space="0" w:color="auto"/>
                        <w:left w:val="none" w:sz="0" w:space="0" w:color="auto"/>
                        <w:bottom w:val="none" w:sz="0" w:space="0" w:color="auto"/>
                        <w:right w:val="none" w:sz="0" w:space="0" w:color="auto"/>
                      </w:divBdr>
                    </w:div>
                  </w:divsChild>
                </w:div>
                <w:div w:id="1665741439">
                  <w:marLeft w:val="0"/>
                  <w:marRight w:val="0"/>
                  <w:marTop w:val="0"/>
                  <w:marBottom w:val="0"/>
                  <w:divBdr>
                    <w:top w:val="none" w:sz="0" w:space="0" w:color="auto"/>
                    <w:left w:val="none" w:sz="0" w:space="0" w:color="auto"/>
                    <w:bottom w:val="none" w:sz="0" w:space="0" w:color="auto"/>
                    <w:right w:val="none" w:sz="0" w:space="0" w:color="auto"/>
                  </w:divBdr>
                  <w:divsChild>
                    <w:div w:id="787166551">
                      <w:marLeft w:val="0"/>
                      <w:marRight w:val="0"/>
                      <w:marTop w:val="0"/>
                      <w:marBottom w:val="0"/>
                      <w:divBdr>
                        <w:top w:val="none" w:sz="0" w:space="0" w:color="auto"/>
                        <w:left w:val="none" w:sz="0" w:space="0" w:color="auto"/>
                        <w:bottom w:val="none" w:sz="0" w:space="0" w:color="auto"/>
                        <w:right w:val="none" w:sz="0" w:space="0" w:color="auto"/>
                      </w:divBdr>
                    </w:div>
                  </w:divsChild>
                </w:div>
                <w:div w:id="1668440958">
                  <w:marLeft w:val="0"/>
                  <w:marRight w:val="0"/>
                  <w:marTop w:val="0"/>
                  <w:marBottom w:val="0"/>
                  <w:divBdr>
                    <w:top w:val="none" w:sz="0" w:space="0" w:color="auto"/>
                    <w:left w:val="none" w:sz="0" w:space="0" w:color="auto"/>
                    <w:bottom w:val="none" w:sz="0" w:space="0" w:color="auto"/>
                    <w:right w:val="none" w:sz="0" w:space="0" w:color="auto"/>
                  </w:divBdr>
                  <w:divsChild>
                    <w:div w:id="468400221">
                      <w:marLeft w:val="0"/>
                      <w:marRight w:val="0"/>
                      <w:marTop w:val="0"/>
                      <w:marBottom w:val="0"/>
                      <w:divBdr>
                        <w:top w:val="none" w:sz="0" w:space="0" w:color="auto"/>
                        <w:left w:val="none" w:sz="0" w:space="0" w:color="auto"/>
                        <w:bottom w:val="none" w:sz="0" w:space="0" w:color="auto"/>
                        <w:right w:val="none" w:sz="0" w:space="0" w:color="auto"/>
                      </w:divBdr>
                    </w:div>
                  </w:divsChild>
                </w:div>
                <w:div w:id="1701394809">
                  <w:marLeft w:val="0"/>
                  <w:marRight w:val="0"/>
                  <w:marTop w:val="0"/>
                  <w:marBottom w:val="0"/>
                  <w:divBdr>
                    <w:top w:val="none" w:sz="0" w:space="0" w:color="auto"/>
                    <w:left w:val="none" w:sz="0" w:space="0" w:color="auto"/>
                    <w:bottom w:val="none" w:sz="0" w:space="0" w:color="auto"/>
                    <w:right w:val="none" w:sz="0" w:space="0" w:color="auto"/>
                  </w:divBdr>
                  <w:divsChild>
                    <w:div w:id="207186644">
                      <w:marLeft w:val="0"/>
                      <w:marRight w:val="0"/>
                      <w:marTop w:val="0"/>
                      <w:marBottom w:val="0"/>
                      <w:divBdr>
                        <w:top w:val="none" w:sz="0" w:space="0" w:color="auto"/>
                        <w:left w:val="none" w:sz="0" w:space="0" w:color="auto"/>
                        <w:bottom w:val="none" w:sz="0" w:space="0" w:color="auto"/>
                        <w:right w:val="none" w:sz="0" w:space="0" w:color="auto"/>
                      </w:divBdr>
                    </w:div>
                  </w:divsChild>
                </w:div>
                <w:div w:id="1712804264">
                  <w:marLeft w:val="0"/>
                  <w:marRight w:val="0"/>
                  <w:marTop w:val="0"/>
                  <w:marBottom w:val="0"/>
                  <w:divBdr>
                    <w:top w:val="none" w:sz="0" w:space="0" w:color="auto"/>
                    <w:left w:val="none" w:sz="0" w:space="0" w:color="auto"/>
                    <w:bottom w:val="none" w:sz="0" w:space="0" w:color="auto"/>
                    <w:right w:val="none" w:sz="0" w:space="0" w:color="auto"/>
                  </w:divBdr>
                  <w:divsChild>
                    <w:div w:id="957683806">
                      <w:marLeft w:val="0"/>
                      <w:marRight w:val="0"/>
                      <w:marTop w:val="0"/>
                      <w:marBottom w:val="0"/>
                      <w:divBdr>
                        <w:top w:val="none" w:sz="0" w:space="0" w:color="auto"/>
                        <w:left w:val="none" w:sz="0" w:space="0" w:color="auto"/>
                        <w:bottom w:val="none" w:sz="0" w:space="0" w:color="auto"/>
                        <w:right w:val="none" w:sz="0" w:space="0" w:color="auto"/>
                      </w:divBdr>
                    </w:div>
                  </w:divsChild>
                </w:div>
                <w:div w:id="1722289688">
                  <w:marLeft w:val="0"/>
                  <w:marRight w:val="0"/>
                  <w:marTop w:val="0"/>
                  <w:marBottom w:val="0"/>
                  <w:divBdr>
                    <w:top w:val="none" w:sz="0" w:space="0" w:color="auto"/>
                    <w:left w:val="none" w:sz="0" w:space="0" w:color="auto"/>
                    <w:bottom w:val="none" w:sz="0" w:space="0" w:color="auto"/>
                    <w:right w:val="none" w:sz="0" w:space="0" w:color="auto"/>
                  </w:divBdr>
                  <w:divsChild>
                    <w:div w:id="738672193">
                      <w:marLeft w:val="0"/>
                      <w:marRight w:val="0"/>
                      <w:marTop w:val="0"/>
                      <w:marBottom w:val="0"/>
                      <w:divBdr>
                        <w:top w:val="none" w:sz="0" w:space="0" w:color="auto"/>
                        <w:left w:val="none" w:sz="0" w:space="0" w:color="auto"/>
                        <w:bottom w:val="none" w:sz="0" w:space="0" w:color="auto"/>
                        <w:right w:val="none" w:sz="0" w:space="0" w:color="auto"/>
                      </w:divBdr>
                    </w:div>
                  </w:divsChild>
                </w:div>
                <w:div w:id="1736392949">
                  <w:marLeft w:val="0"/>
                  <w:marRight w:val="0"/>
                  <w:marTop w:val="0"/>
                  <w:marBottom w:val="0"/>
                  <w:divBdr>
                    <w:top w:val="none" w:sz="0" w:space="0" w:color="auto"/>
                    <w:left w:val="none" w:sz="0" w:space="0" w:color="auto"/>
                    <w:bottom w:val="none" w:sz="0" w:space="0" w:color="auto"/>
                    <w:right w:val="none" w:sz="0" w:space="0" w:color="auto"/>
                  </w:divBdr>
                  <w:divsChild>
                    <w:div w:id="375741085">
                      <w:marLeft w:val="0"/>
                      <w:marRight w:val="0"/>
                      <w:marTop w:val="0"/>
                      <w:marBottom w:val="0"/>
                      <w:divBdr>
                        <w:top w:val="none" w:sz="0" w:space="0" w:color="auto"/>
                        <w:left w:val="none" w:sz="0" w:space="0" w:color="auto"/>
                        <w:bottom w:val="none" w:sz="0" w:space="0" w:color="auto"/>
                        <w:right w:val="none" w:sz="0" w:space="0" w:color="auto"/>
                      </w:divBdr>
                    </w:div>
                  </w:divsChild>
                </w:div>
                <w:div w:id="1752385545">
                  <w:marLeft w:val="0"/>
                  <w:marRight w:val="0"/>
                  <w:marTop w:val="0"/>
                  <w:marBottom w:val="0"/>
                  <w:divBdr>
                    <w:top w:val="none" w:sz="0" w:space="0" w:color="auto"/>
                    <w:left w:val="none" w:sz="0" w:space="0" w:color="auto"/>
                    <w:bottom w:val="none" w:sz="0" w:space="0" w:color="auto"/>
                    <w:right w:val="none" w:sz="0" w:space="0" w:color="auto"/>
                  </w:divBdr>
                  <w:divsChild>
                    <w:div w:id="32270706">
                      <w:marLeft w:val="0"/>
                      <w:marRight w:val="0"/>
                      <w:marTop w:val="0"/>
                      <w:marBottom w:val="0"/>
                      <w:divBdr>
                        <w:top w:val="none" w:sz="0" w:space="0" w:color="auto"/>
                        <w:left w:val="none" w:sz="0" w:space="0" w:color="auto"/>
                        <w:bottom w:val="none" w:sz="0" w:space="0" w:color="auto"/>
                        <w:right w:val="none" w:sz="0" w:space="0" w:color="auto"/>
                      </w:divBdr>
                    </w:div>
                  </w:divsChild>
                </w:div>
                <w:div w:id="1771193392">
                  <w:marLeft w:val="0"/>
                  <w:marRight w:val="0"/>
                  <w:marTop w:val="0"/>
                  <w:marBottom w:val="0"/>
                  <w:divBdr>
                    <w:top w:val="none" w:sz="0" w:space="0" w:color="auto"/>
                    <w:left w:val="none" w:sz="0" w:space="0" w:color="auto"/>
                    <w:bottom w:val="none" w:sz="0" w:space="0" w:color="auto"/>
                    <w:right w:val="none" w:sz="0" w:space="0" w:color="auto"/>
                  </w:divBdr>
                  <w:divsChild>
                    <w:div w:id="1556159759">
                      <w:marLeft w:val="0"/>
                      <w:marRight w:val="0"/>
                      <w:marTop w:val="0"/>
                      <w:marBottom w:val="0"/>
                      <w:divBdr>
                        <w:top w:val="none" w:sz="0" w:space="0" w:color="auto"/>
                        <w:left w:val="none" w:sz="0" w:space="0" w:color="auto"/>
                        <w:bottom w:val="none" w:sz="0" w:space="0" w:color="auto"/>
                        <w:right w:val="none" w:sz="0" w:space="0" w:color="auto"/>
                      </w:divBdr>
                    </w:div>
                  </w:divsChild>
                </w:div>
                <w:div w:id="1807820013">
                  <w:marLeft w:val="0"/>
                  <w:marRight w:val="0"/>
                  <w:marTop w:val="0"/>
                  <w:marBottom w:val="0"/>
                  <w:divBdr>
                    <w:top w:val="none" w:sz="0" w:space="0" w:color="auto"/>
                    <w:left w:val="none" w:sz="0" w:space="0" w:color="auto"/>
                    <w:bottom w:val="none" w:sz="0" w:space="0" w:color="auto"/>
                    <w:right w:val="none" w:sz="0" w:space="0" w:color="auto"/>
                  </w:divBdr>
                  <w:divsChild>
                    <w:div w:id="1908030424">
                      <w:marLeft w:val="0"/>
                      <w:marRight w:val="0"/>
                      <w:marTop w:val="0"/>
                      <w:marBottom w:val="0"/>
                      <w:divBdr>
                        <w:top w:val="none" w:sz="0" w:space="0" w:color="auto"/>
                        <w:left w:val="none" w:sz="0" w:space="0" w:color="auto"/>
                        <w:bottom w:val="none" w:sz="0" w:space="0" w:color="auto"/>
                        <w:right w:val="none" w:sz="0" w:space="0" w:color="auto"/>
                      </w:divBdr>
                    </w:div>
                  </w:divsChild>
                </w:div>
                <w:div w:id="1820999388">
                  <w:marLeft w:val="0"/>
                  <w:marRight w:val="0"/>
                  <w:marTop w:val="0"/>
                  <w:marBottom w:val="0"/>
                  <w:divBdr>
                    <w:top w:val="none" w:sz="0" w:space="0" w:color="auto"/>
                    <w:left w:val="none" w:sz="0" w:space="0" w:color="auto"/>
                    <w:bottom w:val="none" w:sz="0" w:space="0" w:color="auto"/>
                    <w:right w:val="none" w:sz="0" w:space="0" w:color="auto"/>
                  </w:divBdr>
                  <w:divsChild>
                    <w:div w:id="361054449">
                      <w:marLeft w:val="0"/>
                      <w:marRight w:val="0"/>
                      <w:marTop w:val="0"/>
                      <w:marBottom w:val="0"/>
                      <w:divBdr>
                        <w:top w:val="none" w:sz="0" w:space="0" w:color="auto"/>
                        <w:left w:val="none" w:sz="0" w:space="0" w:color="auto"/>
                        <w:bottom w:val="none" w:sz="0" w:space="0" w:color="auto"/>
                        <w:right w:val="none" w:sz="0" w:space="0" w:color="auto"/>
                      </w:divBdr>
                    </w:div>
                  </w:divsChild>
                </w:div>
                <w:div w:id="1822697360">
                  <w:marLeft w:val="0"/>
                  <w:marRight w:val="0"/>
                  <w:marTop w:val="0"/>
                  <w:marBottom w:val="0"/>
                  <w:divBdr>
                    <w:top w:val="none" w:sz="0" w:space="0" w:color="auto"/>
                    <w:left w:val="none" w:sz="0" w:space="0" w:color="auto"/>
                    <w:bottom w:val="none" w:sz="0" w:space="0" w:color="auto"/>
                    <w:right w:val="none" w:sz="0" w:space="0" w:color="auto"/>
                  </w:divBdr>
                  <w:divsChild>
                    <w:div w:id="1527139673">
                      <w:marLeft w:val="0"/>
                      <w:marRight w:val="0"/>
                      <w:marTop w:val="0"/>
                      <w:marBottom w:val="0"/>
                      <w:divBdr>
                        <w:top w:val="none" w:sz="0" w:space="0" w:color="auto"/>
                        <w:left w:val="none" w:sz="0" w:space="0" w:color="auto"/>
                        <w:bottom w:val="none" w:sz="0" w:space="0" w:color="auto"/>
                        <w:right w:val="none" w:sz="0" w:space="0" w:color="auto"/>
                      </w:divBdr>
                    </w:div>
                  </w:divsChild>
                </w:div>
                <w:div w:id="1851599752">
                  <w:marLeft w:val="0"/>
                  <w:marRight w:val="0"/>
                  <w:marTop w:val="0"/>
                  <w:marBottom w:val="0"/>
                  <w:divBdr>
                    <w:top w:val="none" w:sz="0" w:space="0" w:color="auto"/>
                    <w:left w:val="none" w:sz="0" w:space="0" w:color="auto"/>
                    <w:bottom w:val="none" w:sz="0" w:space="0" w:color="auto"/>
                    <w:right w:val="none" w:sz="0" w:space="0" w:color="auto"/>
                  </w:divBdr>
                  <w:divsChild>
                    <w:div w:id="388501208">
                      <w:marLeft w:val="0"/>
                      <w:marRight w:val="0"/>
                      <w:marTop w:val="0"/>
                      <w:marBottom w:val="0"/>
                      <w:divBdr>
                        <w:top w:val="none" w:sz="0" w:space="0" w:color="auto"/>
                        <w:left w:val="none" w:sz="0" w:space="0" w:color="auto"/>
                        <w:bottom w:val="none" w:sz="0" w:space="0" w:color="auto"/>
                        <w:right w:val="none" w:sz="0" w:space="0" w:color="auto"/>
                      </w:divBdr>
                    </w:div>
                  </w:divsChild>
                </w:div>
                <w:div w:id="1852912517">
                  <w:marLeft w:val="0"/>
                  <w:marRight w:val="0"/>
                  <w:marTop w:val="0"/>
                  <w:marBottom w:val="0"/>
                  <w:divBdr>
                    <w:top w:val="none" w:sz="0" w:space="0" w:color="auto"/>
                    <w:left w:val="none" w:sz="0" w:space="0" w:color="auto"/>
                    <w:bottom w:val="none" w:sz="0" w:space="0" w:color="auto"/>
                    <w:right w:val="none" w:sz="0" w:space="0" w:color="auto"/>
                  </w:divBdr>
                  <w:divsChild>
                    <w:div w:id="505831617">
                      <w:marLeft w:val="0"/>
                      <w:marRight w:val="0"/>
                      <w:marTop w:val="0"/>
                      <w:marBottom w:val="0"/>
                      <w:divBdr>
                        <w:top w:val="none" w:sz="0" w:space="0" w:color="auto"/>
                        <w:left w:val="none" w:sz="0" w:space="0" w:color="auto"/>
                        <w:bottom w:val="none" w:sz="0" w:space="0" w:color="auto"/>
                        <w:right w:val="none" w:sz="0" w:space="0" w:color="auto"/>
                      </w:divBdr>
                    </w:div>
                  </w:divsChild>
                </w:div>
                <w:div w:id="1872304869">
                  <w:marLeft w:val="0"/>
                  <w:marRight w:val="0"/>
                  <w:marTop w:val="0"/>
                  <w:marBottom w:val="0"/>
                  <w:divBdr>
                    <w:top w:val="none" w:sz="0" w:space="0" w:color="auto"/>
                    <w:left w:val="none" w:sz="0" w:space="0" w:color="auto"/>
                    <w:bottom w:val="none" w:sz="0" w:space="0" w:color="auto"/>
                    <w:right w:val="none" w:sz="0" w:space="0" w:color="auto"/>
                  </w:divBdr>
                  <w:divsChild>
                    <w:div w:id="876547119">
                      <w:marLeft w:val="0"/>
                      <w:marRight w:val="0"/>
                      <w:marTop w:val="0"/>
                      <w:marBottom w:val="0"/>
                      <w:divBdr>
                        <w:top w:val="none" w:sz="0" w:space="0" w:color="auto"/>
                        <w:left w:val="none" w:sz="0" w:space="0" w:color="auto"/>
                        <w:bottom w:val="none" w:sz="0" w:space="0" w:color="auto"/>
                        <w:right w:val="none" w:sz="0" w:space="0" w:color="auto"/>
                      </w:divBdr>
                    </w:div>
                  </w:divsChild>
                </w:div>
                <w:div w:id="1913076130">
                  <w:marLeft w:val="0"/>
                  <w:marRight w:val="0"/>
                  <w:marTop w:val="0"/>
                  <w:marBottom w:val="0"/>
                  <w:divBdr>
                    <w:top w:val="none" w:sz="0" w:space="0" w:color="auto"/>
                    <w:left w:val="none" w:sz="0" w:space="0" w:color="auto"/>
                    <w:bottom w:val="none" w:sz="0" w:space="0" w:color="auto"/>
                    <w:right w:val="none" w:sz="0" w:space="0" w:color="auto"/>
                  </w:divBdr>
                  <w:divsChild>
                    <w:div w:id="964311647">
                      <w:marLeft w:val="0"/>
                      <w:marRight w:val="0"/>
                      <w:marTop w:val="0"/>
                      <w:marBottom w:val="0"/>
                      <w:divBdr>
                        <w:top w:val="none" w:sz="0" w:space="0" w:color="auto"/>
                        <w:left w:val="none" w:sz="0" w:space="0" w:color="auto"/>
                        <w:bottom w:val="none" w:sz="0" w:space="0" w:color="auto"/>
                        <w:right w:val="none" w:sz="0" w:space="0" w:color="auto"/>
                      </w:divBdr>
                    </w:div>
                  </w:divsChild>
                </w:div>
                <w:div w:id="1913200881">
                  <w:marLeft w:val="0"/>
                  <w:marRight w:val="0"/>
                  <w:marTop w:val="0"/>
                  <w:marBottom w:val="0"/>
                  <w:divBdr>
                    <w:top w:val="none" w:sz="0" w:space="0" w:color="auto"/>
                    <w:left w:val="none" w:sz="0" w:space="0" w:color="auto"/>
                    <w:bottom w:val="none" w:sz="0" w:space="0" w:color="auto"/>
                    <w:right w:val="none" w:sz="0" w:space="0" w:color="auto"/>
                  </w:divBdr>
                  <w:divsChild>
                    <w:div w:id="1219367196">
                      <w:marLeft w:val="0"/>
                      <w:marRight w:val="0"/>
                      <w:marTop w:val="0"/>
                      <w:marBottom w:val="0"/>
                      <w:divBdr>
                        <w:top w:val="none" w:sz="0" w:space="0" w:color="auto"/>
                        <w:left w:val="none" w:sz="0" w:space="0" w:color="auto"/>
                        <w:bottom w:val="none" w:sz="0" w:space="0" w:color="auto"/>
                        <w:right w:val="none" w:sz="0" w:space="0" w:color="auto"/>
                      </w:divBdr>
                    </w:div>
                  </w:divsChild>
                </w:div>
                <w:div w:id="1932540555">
                  <w:marLeft w:val="0"/>
                  <w:marRight w:val="0"/>
                  <w:marTop w:val="0"/>
                  <w:marBottom w:val="0"/>
                  <w:divBdr>
                    <w:top w:val="none" w:sz="0" w:space="0" w:color="auto"/>
                    <w:left w:val="none" w:sz="0" w:space="0" w:color="auto"/>
                    <w:bottom w:val="none" w:sz="0" w:space="0" w:color="auto"/>
                    <w:right w:val="none" w:sz="0" w:space="0" w:color="auto"/>
                  </w:divBdr>
                  <w:divsChild>
                    <w:div w:id="909541281">
                      <w:marLeft w:val="0"/>
                      <w:marRight w:val="0"/>
                      <w:marTop w:val="0"/>
                      <w:marBottom w:val="0"/>
                      <w:divBdr>
                        <w:top w:val="none" w:sz="0" w:space="0" w:color="auto"/>
                        <w:left w:val="none" w:sz="0" w:space="0" w:color="auto"/>
                        <w:bottom w:val="none" w:sz="0" w:space="0" w:color="auto"/>
                        <w:right w:val="none" w:sz="0" w:space="0" w:color="auto"/>
                      </w:divBdr>
                    </w:div>
                  </w:divsChild>
                </w:div>
                <w:div w:id="1942838644">
                  <w:marLeft w:val="0"/>
                  <w:marRight w:val="0"/>
                  <w:marTop w:val="0"/>
                  <w:marBottom w:val="0"/>
                  <w:divBdr>
                    <w:top w:val="none" w:sz="0" w:space="0" w:color="auto"/>
                    <w:left w:val="none" w:sz="0" w:space="0" w:color="auto"/>
                    <w:bottom w:val="none" w:sz="0" w:space="0" w:color="auto"/>
                    <w:right w:val="none" w:sz="0" w:space="0" w:color="auto"/>
                  </w:divBdr>
                  <w:divsChild>
                    <w:div w:id="422183796">
                      <w:marLeft w:val="0"/>
                      <w:marRight w:val="0"/>
                      <w:marTop w:val="0"/>
                      <w:marBottom w:val="0"/>
                      <w:divBdr>
                        <w:top w:val="none" w:sz="0" w:space="0" w:color="auto"/>
                        <w:left w:val="none" w:sz="0" w:space="0" w:color="auto"/>
                        <w:bottom w:val="none" w:sz="0" w:space="0" w:color="auto"/>
                        <w:right w:val="none" w:sz="0" w:space="0" w:color="auto"/>
                      </w:divBdr>
                    </w:div>
                  </w:divsChild>
                </w:div>
                <w:div w:id="1955862052">
                  <w:marLeft w:val="0"/>
                  <w:marRight w:val="0"/>
                  <w:marTop w:val="0"/>
                  <w:marBottom w:val="0"/>
                  <w:divBdr>
                    <w:top w:val="none" w:sz="0" w:space="0" w:color="auto"/>
                    <w:left w:val="none" w:sz="0" w:space="0" w:color="auto"/>
                    <w:bottom w:val="none" w:sz="0" w:space="0" w:color="auto"/>
                    <w:right w:val="none" w:sz="0" w:space="0" w:color="auto"/>
                  </w:divBdr>
                  <w:divsChild>
                    <w:div w:id="1180313362">
                      <w:marLeft w:val="0"/>
                      <w:marRight w:val="0"/>
                      <w:marTop w:val="0"/>
                      <w:marBottom w:val="0"/>
                      <w:divBdr>
                        <w:top w:val="none" w:sz="0" w:space="0" w:color="auto"/>
                        <w:left w:val="none" w:sz="0" w:space="0" w:color="auto"/>
                        <w:bottom w:val="none" w:sz="0" w:space="0" w:color="auto"/>
                        <w:right w:val="none" w:sz="0" w:space="0" w:color="auto"/>
                      </w:divBdr>
                    </w:div>
                  </w:divsChild>
                </w:div>
                <w:div w:id="2009795353">
                  <w:marLeft w:val="0"/>
                  <w:marRight w:val="0"/>
                  <w:marTop w:val="0"/>
                  <w:marBottom w:val="0"/>
                  <w:divBdr>
                    <w:top w:val="none" w:sz="0" w:space="0" w:color="auto"/>
                    <w:left w:val="none" w:sz="0" w:space="0" w:color="auto"/>
                    <w:bottom w:val="none" w:sz="0" w:space="0" w:color="auto"/>
                    <w:right w:val="none" w:sz="0" w:space="0" w:color="auto"/>
                  </w:divBdr>
                  <w:divsChild>
                    <w:div w:id="122699370">
                      <w:marLeft w:val="0"/>
                      <w:marRight w:val="0"/>
                      <w:marTop w:val="0"/>
                      <w:marBottom w:val="0"/>
                      <w:divBdr>
                        <w:top w:val="none" w:sz="0" w:space="0" w:color="auto"/>
                        <w:left w:val="none" w:sz="0" w:space="0" w:color="auto"/>
                        <w:bottom w:val="none" w:sz="0" w:space="0" w:color="auto"/>
                        <w:right w:val="none" w:sz="0" w:space="0" w:color="auto"/>
                      </w:divBdr>
                    </w:div>
                  </w:divsChild>
                </w:div>
                <w:div w:id="2013409439">
                  <w:marLeft w:val="0"/>
                  <w:marRight w:val="0"/>
                  <w:marTop w:val="0"/>
                  <w:marBottom w:val="0"/>
                  <w:divBdr>
                    <w:top w:val="none" w:sz="0" w:space="0" w:color="auto"/>
                    <w:left w:val="none" w:sz="0" w:space="0" w:color="auto"/>
                    <w:bottom w:val="none" w:sz="0" w:space="0" w:color="auto"/>
                    <w:right w:val="none" w:sz="0" w:space="0" w:color="auto"/>
                  </w:divBdr>
                  <w:divsChild>
                    <w:div w:id="2006206922">
                      <w:marLeft w:val="0"/>
                      <w:marRight w:val="0"/>
                      <w:marTop w:val="0"/>
                      <w:marBottom w:val="0"/>
                      <w:divBdr>
                        <w:top w:val="none" w:sz="0" w:space="0" w:color="auto"/>
                        <w:left w:val="none" w:sz="0" w:space="0" w:color="auto"/>
                        <w:bottom w:val="none" w:sz="0" w:space="0" w:color="auto"/>
                        <w:right w:val="none" w:sz="0" w:space="0" w:color="auto"/>
                      </w:divBdr>
                    </w:div>
                  </w:divsChild>
                </w:div>
                <w:div w:id="2017464696">
                  <w:marLeft w:val="0"/>
                  <w:marRight w:val="0"/>
                  <w:marTop w:val="0"/>
                  <w:marBottom w:val="0"/>
                  <w:divBdr>
                    <w:top w:val="none" w:sz="0" w:space="0" w:color="auto"/>
                    <w:left w:val="none" w:sz="0" w:space="0" w:color="auto"/>
                    <w:bottom w:val="none" w:sz="0" w:space="0" w:color="auto"/>
                    <w:right w:val="none" w:sz="0" w:space="0" w:color="auto"/>
                  </w:divBdr>
                  <w:divsChild>
                    <w:div w:id="172888252">
                      <w:marLeft w:val="0"/>
                      <w:marRight w:val="0"/>
                      <w:marTop w:val="0"/>
                      <w:marBottom w:val="0"/>
                      <w:divBdr>
                        <w:top w:val="none" w:sz="0" w:space="0" w:color="auto"/>
                        <w:left w:val="none" w:sz="0" w:space="0" w:color="auto"/>
                        <w:bottom w:val="none" w:sz="0" w:space="0" w:color="auto"/>
                        <w:right w:val="none" w:sz="0" w:space="0" w:color="auto"/>
                      </w:divBdr>
                    </w:div>
                  </w:divsChild>
                </w:div>
                <w:div w:id="2049329111">
                  <w:marLeft w:val="0"/>
                  <w:marRight w:val="0"/>
                  <w:marTop w:val="0"/>
                  <w:marBottom w:val="0"/>
                  <w:divBdr>
                    <w:top w:val="none" w:sz="0" w:space="0" w:color="auto"/>
                    <w:left w:val="none" w:sz="0" w:space="0" w:color="auto"/>
                    <w:bottom w:val="none" w:sz="0" w:space="0" w:color="auto"/>
                    <w:right w:val="none" w:sz="0" w:space="0" w:color="auto"/>
                  </w:divBdr>
                  <w:divsChild>
                    <w:div w:id="915747773">
                      <w:marLeft w:val="0"/>
                      <w:marRight w:val="0"/>
                      <w:marTop w:val="0"/>
                      <w:marBottom w:val="0"/>
                      <w:divBdr>
                        <w:top w:val="none" w:sz="0" w:space="0" w:color="auto"/>
                        <w:left w:val="none" w:sz="0" w:space="0" w:color="auto"/>
                        <w:bottom w:val="none" w:sz="0" w:space="0" w:color="auto"/>
                        <w:right w:val="none" w:sz="0" w:space="0" w:color="auto"/>
                      </w:divBdr>
                    </w:div>
                  </w:divsChild>
                </w:div>
                <w:div w:id="2060935295">
                  <w:marLeft w:val="0"/>
                  <w:marRight w:val="0"/>
                  <w:marTop w:val="0"/>
                  <w:marBottom w:val="0"/>
                  <w:divBdr>
                    <w:top w:val="none" w:sz="0" w:space="0" w:color="auto"/>
                    <w:left w:val="none" w:sz="0" w:space="0" w:color="auto"/>
                    <w:bottom w:val="none" w:sz="0" w:space="0" w:color="auto"/>
                    <w:right w:val="none" w:sz="0" w:space="0" w:color="auto"/>
                  </w:divBdr>
                  <w:divsChild>
                    <w:div w:id="1026248429">
                      <w:marLeft w:val="0"/>
                      <w:marRight w:val="0"/>
                      <w:marTop w:val="0"/>
                      <w:marBottom w:val="0"/>
                      <w:divBdr>
                        <w:top w:val="none" w:sz="0" w:space="0" w:color="auto"/>
                        <w:left w:val="none" w:sz="0" w:space="0" w:color="auto"/>
                        <w:bottom w:val="none" w:sz="0" w:space="0" w:color="auto"/>
                        <w:right w:val="none" w:sz="0" w:space="0" w:color="auto"/>
                      </w:divBdr>
                    </w:div>
                  </w:divsChild>
                </w:div>
                <w:div w:id="2096439118">
                  <w:marLeft w:val="0"/>
                  <w:marRight w:val="0"/>
                  <w:marTop w:val="0"/>
                  <w:marBottom w:val="0"/>
                  <w:divBdr>
                    <w:top w:val="none" w:sz="0" w:space="0" w:color="auto"/>
                    <w:left w:val="none" w:sz="0" w:space="0" w:color="auto"/>
                    <w:bottom w:val="none" w:sz="0" w:space="0" w:color="auto"/>
                    <w:right w:val="none" w:sz="0" w:space="0" w:color="auto"/>
                  </w:divBdr>
                  <w:divsChild>
                    <w:div w:id="392394613">
                      <w:marLeft w:val="0"/>
                      <w:marRight w:val="0"/>
                      <w:marTop w:val="0"/>
                      <w:marBottom w:val="0"/>
                      <w:divBdr>
                        <w:top w:val="none" w:sz="0" w:space="0" w:color="auto"/>
                        <w:left w:val="none" w:sz="0" w:space="0" w:color="auto"/>
                        <w:bottom w:val="none" w:sz="0" w:space="0" w:color="auto"/>
                        <w:right w:val="none" w:sz="0" w:space="0" w:color="auto"/>
                      </w:divBdr>
                    </w:div>
                  </w:divsChild>
                </w:div>
                <w:div w:id="2106342667">
                  <w:marLeft w:val="0"/>
                  <w:marRight w:val="0"/>
                  <w:marTop w:val="0"/>
                  <w:marBottom w:val="0"/>
                  <w:divBdr>
                    <w:top w:val="none" w:sz="0" w:space="0" w:color="auto"/>
                    <w:left w:val="none" w:sz="0" w:space="0" w:color="auto"/>
                    <w:bottom w:val="none" w:sz="0" w:space="0" w:color="auto"/>
                    <w:right w:val="none" w:sz="0" w:space="0" w:color="auto"/>
                  </w:divBdr>
                  <w:divsChild>
                    <w:div w:id="759831617">
                      <w:marLeft w:val="0"/>
                      <w:marRight w:val="0"/>
                      <w:marTop w:val="0"/>
                      <w:marBottom w:val="0"/>
                      <w:divBdr>
                        <w:top w:val="none" w:sz="0" w:space="0" w:color="auto"/>
                        <w:left w:val="none" w:sz="0" w:space="0" w:color="auto"/>
                        <w:bottom w:val="none" w:sz="0" w:space="0" w:color="auto"/>
                        <w:right w:val="none" w:sz="0" w:space="0" w:color="auto"/>
                      </w:divBdr>
                    </w:div>
                  </w:divsChild>
                </w:div>
                <w:div w:id="2117626889">
                  <w:marLeft w:val="0"/>
                  <w:marRight w:val="0"/>
                  <w:marTop w:val="0"/>
                  <w:marBottom w:val="0"/>
                  <w:divBdr>
                    <w:top w:val="none" w:sz="0" w:space="0" w:color="auto"/>
                    <w:left w:val="none" w:sz="0" w:space="0" w:color="auto"/>
                    <w:bottom w:val="none" w:sz="0" w:space="0" w:color="auto"/>
                    <w:right w:val="none" w:sz="0" w:space="0" w:color="auto"/>
                  </w:divBdr>
                  <w:divsChild>
                    <w:div w:id="247424998">
                      <w:marLeft w:val="0"/>
                      <w:marRight w:val="0"/>
                      <w:marTop w:val="0"/>
                      <w:marBottom w:val="0"/>
                      <w:divBdr>
                        <w:top w:val="none" w:sz="0" w:space="0" w:color="auto"/>
                        <w:left w:val="none" w:sz="0" w:space="0" w:color="auto"/>
                        <w:bottom w:val="none" w:sz="0" w:space="0" w:color="auto"/>
                        <w:right w:val="none" w:sz="0" w:space="0" w:color="auto"/>
                      </w:divBdr>
                    </w:div>
                  </w:divsChild>
                </w:div>
                <w:div w:id="2119790710">
                  <w:marLeft w:val="0"/>
                  <w:marRight w:val="0"/>
                  <w:marTop w:val="0"/>
                  <w:marBottom w:val="0"/>
                  <w:divBdr>
                    <w:top w:val="none" w:sz="0" w:space="0" w:color="auto"/>
                    <w:left w:val="none" w:sz="0" w:space="0" w:color="auto"/>
                    <w:bottom w:val="none" w:sz="0" w:space="0" w:color="auto"/>
                    <w:right w:val="none" w:sz="0" w:space="0" w:color="auto"/>
                  </w:divBdr>
                  <w:divsChild>
                    <w:div w:id="325474557">
                      <w:marLeft w:val="0"/>
                      <w:marRight w:val="0"/>
                      <w:marTop w:val="0"/>
                      <w:marBottom w:val="0"/>
                      <w:divBdr>
                        <w:top w:val="none" w:sz="0" w:space="0" w:color="auto"/>
                        <w:left w:val="none" w:sz="0" w:space="0" w:color="auto"/>
                        <w:bottom w:val="none" w:sz="0" w:space="0" w:color="auto"/>
                        <w:right w:val="none" w:sz="0" w:space="0" w:color="auto"/>
                      </w:divBdr>
                    </w:div>
                  </w:divsChild>
                </w:div>
                <w:div w:id="2129660045">
                  <w:marLeft w:val="0"/>
                  <w:marRight w:val="0"/>
                  <w:marTop w:val="0"/>
                  <w:marBottom w:val="0"/>
                  <w:divBdr>
                    <w:top w:val="none" w:sz="0" w:space="0" w:color="auto"/>
                    <w:left w:val="none" w:sz="0" w:space="0" w:color="auto"/>
                    <w:bottom w:val="none" w:sz="0" w:space="0" w:color="auto"/>
                    <w:right w:val="none" w:sz="0" w:space="0" w:color="auto"/>
                  </w:divBdr>
                  <w:divsChild>
                    <w:div w:id="98319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89396">
          <w:marLeft w:val="0"/>
          <w:marRight w:val="0"/>
          <w:marTop w:val="0"/>
          <w:marBottom w:val="0"/>
          <w:divBdr>
            <w:top w:val="none" w:sz="0" w:space="0" w:color="auto"/>
            <w:left w:val="none" w:sz="0" w:space="0" w:color="auto"/>
            <w:bottom w:val="none" w:sz="0" w:space="0" w:color="auto"/>
            <w:right w:val="none" w:sz="0" w:space="0" w:color="auto"/>
          </w:divBdr>
          <w:divsChild>
            <w:div w:id="724136486">
              <w:marLeft w:val="-75"/>
              <w:marRight w:val="0"/>
              <w:marTop w:val="30"/>
              <w:marBottom w:val="30"/>
              <w:divBdr>
                <w:top w:val="none" w:sz="0" w:space="0" w:color="auto"/>
                <w:left w:val="none" w:sz="0" w:space="0" w:color="auto"/>
                <w:bottom w:val="none" w:sz="0" w:space="0" w:color="auto"/>
                <w:right w:val="none" w:sz="0" w:space="0" w:color="auto"/>
              </w:divBdr>
              <w:divsChild>
                <w:div w:id="81530697">
                  <w:marLeft w:val="0"/>
                  <w:marRight w:val="0"/>
                  <w:marTop w:val="0"/>
                  <w:marBottom w:val="0"/>
                  <w:divBdr>
                    <w:top w:val="none" w:sz="0" w:space="0" w:color="auto"/>
                    <w:left w:val="none" w:sz="0" w:space="0" w:color="auto"/>
                    <w:bottom w:val="none" w:sz="0" w:space="0" w:color="auto"/>
                    <w:right w:val="none" w:sz="0" w:space="0" w:color="auto"/>
                  </w:divBdr>
                  <w:divsChild>
                    <w:div w:id="230312852">
                      <w:marLeft w:val="0"/>
                      <w:marRight w:val="0"/>
                      <w:marTop w:val="0"/>
                      <w:marBottom w:val="0"/>
                      <w:divBdr>
                        <w:top w:val="none" w:sz="0" w:space="0" w:color="auto"/>
                        <w:left w:val="none" w:sz="0" w:space="0" w:color="auto"/>
                        <w:bottom w:val="none" w:sz="0" w:space="0" w:color="auto"/>
                        <w:right w:val="none" w:sz="0" w:space="0" w:color="auto"/>
                      </w:divBdr>
                    </w:div>
                  </w:divsChild>
                </w:div>
                <w:div w:id="134835170">
                  <w:marLeft w:val="0"/>
                  <w:marRight w:val="0"/>
                  <w:marTop w:val="0"/>
                  <w:marBottom w:val="0"/>
                  <w:divBdr>
                    <w:top w:val="none" w:sz="0" w:space="0" w:color="auto"/>
                    <w:left w:val="none" w:sz="0" w:space="0" w:color="auto"/>
                    <w:bottom w:val="none" w:sz="0" w:space="0" w:color="auto"/>
                    <w:right w:val="none" w:sz="0" w:space="0" w:color="auto"/>
                  </w:divBdr>
                  <w:divsChild>
                    <w:div w:id="74671632">
                      <w:marLeft w:val="0"/>
                      <w:marRight w:val="0"/>
                      <w:marTop w:val="0"/>
                      <w:marBottom w:val="0"/>
                      <w:divBdr>
                        <w:top w:val="none" w:sz="0" w:space="0" w:color="auto"/>
                        <w:left w:val="none" w:sz="0" w:space="0" w:color="auto"/>
                        <w:bottom w:val="none" w:sz="0" w:space="0" w:color="auto"/>
                        <w:right w:val="none" w:sz="0" w:space="0" w:color="auto"/>
                      </w:divBdr>
                    </w:div>
                  </w:divsChild>
                </w:div>
                <w:div w:id="137387220">
                  <w:marLeft w:val="0"/>
                  <w:marRight w:val="0"/>
                  <w:marTop w:val="0"/>
                  <w:marBottom w:val="0"/>
                  <w:divBdr>
                    <w:top w:val="none" w:sz="0" w:space="0" w:color="auto"/>
                    <w:left w:val="none" w:sz="0" w:space="0" w:color="auto"/>
                    <w:bottom w:val="none" w:sz="0" w:space="0" w:color="auto"/>
                    <w:right w:val="none" w:sz="0" w:space="0" w:color="auto"/>
                  </w:divBdr>
                  <w:divsChild>
                    <w:div w:id="264118091">
                      <w:marLeft w:val="0"/>
                      <w:marRight w:val="0"/>
                      <w:marTop w:val="0"/>
                      <w:marBottom w:val="0"/>
                      <w:divBdr>
                        <w:top w:val="none" w:sz="0" w:space="0" w:color="auto"/>
                        <w:left w:val="none" w:sz="0" w:space="0" w:color="auto"/>
                        <w:bottom w:val="none" w:sz="0" w:space="0" w:color="auto"/>
                        <w:right w:val="none" w:sz="0" w:space="0" w:color="auto"/>
                      </w:divBdr>
                    </w:div>
                  </w:divsChild>
                </w:div>
                <w:div w:id="262543368">
                  <w:marLeft w:val="0"/>
                  <w:marRight w:val="0"/>
                  <w:marTop w:val="0"/>
                  <w:marBottom w:val="0"/>
                  <w:divBdr>
                    <w:top w:val="none" w:sz="0" w:space="0" w:color="auto"/>
                    <w:left w:val="none" w:sz="0" w:space="0" w:color="auto"/>
                    <w:bottom w:val="none" w:sz="0" w:space="0" w:color="auto"/>
                    <w:right w:val="none" w:sz="0" w:space="0" w:color="auto"/>
                  </w:divBdr>
                  <w:divsChild>
                    <w:div w:id="2067028245">
                      <w:marLeft w:val="0"/>
                      <w:marRight w:val="0"/>
                      <w:marTop w:val="0"/>
                      <w:marBottom w:val="0"/>
                      <w:divBdr>
                        <w:top w:val="none" w:sz="0" w:space="0" w:color="auto"/>
                        <w:left w:val="none" w:sz="0" w:space="0" w:color="auto"/>
                        <w:bottom w:val="none" w:sz="0" w:space="0" w:color="auto"/>
                        <w:right w:val="none" w:sz="0" w:space="0" w:color="auto"/>
                      </w:divBdr>
                    </w:div>
                  </w:divsChild>
                </w:div>
                <w:div w:id="297419955">
                  <w:marLeft w:val="0"/>
                  <w:marRight w:val="0"/>
                  <w:marTop w:val="0"/>
                  <w:marBottom w:val="0"/>
                  <w:divBdr>
                    <w:top w:val="none" w:sz="0" w:space="0" w:color="auto"/>
                    <w:left w:val="none" w:sz="0" w:space="0" w:color="auto"/>
                    <w:bottom w:val="none" w:sz="0" w:space="0" w:color="auto"/>
                    <w:right w:val="none" w:sz="0" w:space="0" w:color="auto"/>
                  </w:divBdr>
                  <w:divsChild>
                    <w:div w:id="435832408">
                      <w:marLeft w:val="0"/>
                      <w:marRight w:val="0"/>
                      <w:marTop w:val="0"/>
                      <w:marBottom w:val="0"/>
                      <w:divBdr>
                        <w:top w:val="none" w:sz="0" w:space="0" w:color="auto"/>
                        <w:left w:val="none" w:sz="0" w:space="0" w:color="auto"/>
                        <w:bottom w:val="none" w:sz="0" w:space="0" w:color="auto"/>
                        <w:right w:val="none" w:sz="0" w:space="0" w:color="auto"/>
                      </w:divBdr>
                    </w:div>
                    <w:div w:id="814906210">
                      <w:marLeft w:val="0"/>
                      <w:marRight w:val="0"/>
                      <w:marTop w:val="0"/>
                      <w:marBottom w:val="0"/>
                      <w:divBdr>
                        <w:top w:val="none" w:sz="0" w:space="0" w:color="auto"/>
                        <w:left w:val="none" w:sz="0" w:space="0" w:color="auto"/>
                        <w:bottom w:val="none" w:sz="0" w:space="0" w:color="auto"/>
                        <w:right w:val="none" w:sz="0" w:space="0" w:color="auto"/>
                      </w:divBdr>
                    </w:div>
                  </w:divsChild>
                </w:div>
                <w:div w:id="437063581">
                  <w:marLeft w:val="0"/>
                  <w:marRight w:val="0"/>
                  <w:marTop w:val="0"/>
                  <w:marBottom w:val="0"/>
                  <w:divBdr>
                    <w:top w:val="none" w:sz="0" w:space="0" w:color="auto"/>
                    <w:left w:val="none" w:sz="0" w:space="0" w:color="auto"/>
                    <w:bottom w:val="none" w:sz="0" w:space="0" w:color="auto"/>
                    <w:right w:val="none" w:sz="0" w:space="0" w:color="auto"/>
                  </w:divBdr>
                  <w:divsChild>
                    <w:div w:id="517350923">
                      <w:marLeft w:val="0"/>
                      <w:marRight w:val="0"/>
                      <w:marTop w:val="0"/>
                      <w:marBottom w:val="0"/>
                      <w:divBdr>
                        <w:top w:val="none" w:sz="0" w:space="0" w:color="auto"/>
                        <w:left w:val="none" w:sz="0" w:space="0" w:color="auto"/>
                        <w:bottom w:val="none" w:sz="0" w:space="0" w:color="auto"/>
                        <w:right w:val="none" w:sz="0" w:space="0" w:color="auto"/>
                      </w:divBdr>
                    </w:div>
                  </w:divsChild>
                </w:div>
                <w:div w:id="488719561">
                  <w:marLeft w:val="0"/>
                  <w:marRight w:val="0"/>
                  <w:marTop w:val="0"/>
                  <w:marBottom w:val="0"/>
                  <w:divBdr>
                    <w:top w:val="none" w:sz="0" w:space="0" w:color="auto"/>
                    <w:left w:val="none" w:sz="0" w:space="0" w:color="auto"/>
                    <w:bottom w:val="none" w:sz="0" w:space="0" w:color="auto"/>
                    <w:right w:val="none" w:sz="0" w:space="0" w:color="auto"/>
                  </w:divBdr>
                  <w:divsChild>
                    <w:div w:id="1110127840">
                      <w:marLeft w:val="0"/>
                      <w:marRight w:val="0"/>
                      <w:marTop w:val="0"/>
                      <w:marBottom w:val="0"/>
                      <w:divBdr>
                        <w:top w:val="none" w:sz="0" w:space="0" w:color="auto"/>
                        <w:left w:val="none" w:sz="0" w:space="0" w:color="auto"/>
                        <w:bottom w:val="none" w:sz="0" w:space="0" w:color="auto"/>
                        <w:right w:val="none" w:sz="0" w:space="0" w:color="auto"/>
                      </w:divBdr>
                    </w:div>
                  </w:divsChild>
                </w:div>
                <w:div w:id="676737559">
                  <w:marLeft w:val="0"/>
                  <w:marRight w:val="0"/>
                  <w:marTop w:val="0"/>
                  <w:marBottom w:val="0"/>
                  <w:divBdr>
                    <w:top w:val="none" w:sz="0" w:space="0" w:color="auto"/>
                    <w:left w:val="none" w:sz="0" w:space="0" w:color="auto"/>
                    <w:bottom w:val="none" w:sz="0" w:space="0" w:color="auto"/>
                    <w:right w:val="none" w:sz="0" w:space="0" w:color="auto"/>
                  </w:divBdr>
                  <w:divsChild>
                    <w:div w:id="1764570210">
                      <w:marLeft w:val="0"/>
                      <w:marRight w:val="0"/>
                      <w:marTop w:val="0"/>
                      <w:marBottom w:val="0"/>
                      <w:divBdr>
                        <w:top w:val="none" w:sz="0" w:space="0" w:color="auto"/>
                        <w:left w:val="none" w:sz="0" w:space="0" w:color="auto"/>
                        <w:bottom w:val="none" w:sz="0" w:space="0" w:color="auto"/>
                        <w:right w:val="none" w:sz="0" w:space="0" w:color="auto"/>
                      </w:divBdr>
                    </w:div>
                  </w:divsChild>
                </w:div>
                <w:div w:id="838272367">
                  <w:marLeft w:val="0"/>
                  <w:marRight w:val="0"/>
                  <w:marTop w:val="0"/>
                  <w:marBottom w:val="0"/>
                  <w:divBdr>
                    <w:top w:val="none" w:sz="0" w:space="0" w:color="auto"/>
                    <w:left w:val="none" w:sz="0" w:space="0" w:color="auto"/>
                    <w:bottom w:val="none" w:sz="0" w:space="0" w:color="auto"/>
                    <w:right w:val="none" w:sz="0" w:space="0" w:color="auto"/>
                  </w:divBdr>
                  <w:divsChild>
                    <w:div w:id="737703939">
                      <w:marLeft w:val="0"/>
                      <w:marRight w:val="0"/>
                      <w:marTop w:val="0"/>
                      <w:marBottom w:val="0"/>
                      <w:divBdr>
                        <w:top w:val="none" w:sz="0" w:space="0" w:color="auto"/>
                        <w:left w:val="none" w:sz="0" w:space="0" w:color="auto"/>
                        <w:bottom w:val="none" w:sz="0" w:space="0" w:color="auto"/>
                        <w:right w:val="none" w:sz="0" w:space="0" w:color="auto"/>
                      </w:divBdr>
                    </w:div>
                  </w:divsChild>
                </w:div>
                <w:div w:id="842814475">
                  <w:marLeft w:val="0"/>
                  <w:marRight w:val="0"/>
                  <w:marTop w:val="0"/>
                  <w:marBottom w:val="0"/>
                  <w:divBdr>
                    <w:top w:val="none" w:sz="0" w:space="0" w:color="auto"/>
                    <w:left w:val="none" w:sz="0" w:space="0" w:color="auto"/>
                    <w:bottom w:val="none" w:sz="0" w:space="0" w:color="auto"/>
                    <w:right w:val="none" w:sz="0" w:space="0" w:color="auto"/>
                  </w:divBdr>
                  <w:divsChild>
                    <w:div w:id="2134865422">
                      <w:marLeft w:val="0"/>
                      <w:marRight w:val="0"/>
                      <w:marTop w:val="0"/>
                      <w:marBottom w:val="0"/>
                      <w:divBdr>
                        <w:top w:val="none" w:sz="0" w:space="0" w:color="auto"/>
                        <w:left w:val="none" w:sz="0" w:space="0" w:color="auto"/>
                        <w:bottom w:val="none" w:sz="0" w:space="0" w:color="auto"/>
                        <w:right w:val="none" w:sz="0" w:space="0" w:color="auto"/>
                      </w:divBdr>
                    </w:div>
                  </w:divsChild>
                </w:div>
                <w:div w:id="882907688">
                  <w:marLeft w:val="0"/>
                  <w:marRight w:val="0"/>
                  <w:marTop w:val="0"/>
                  <w:marBottom w:val="0"/>
                  <w:divBdr>
                    <w:top w:val="none" w:sz="0" w:space="0" w:color="auto"/>
                    <w:left w:val="none" w:sz="0" w:space="0" w:color="auto"/>
                    <w:bottom w:val="none" w:sz="0" w:space="0" w:color="auto"/>
                    <w:right w:val="none" w:sz="0" w:space="0" w:color="auto"/>
                  </w:divBdr>
                  <w:divsChild>
                    <w:div w:id="1924096855">
                      <w:marLeft w:val="0"/>
                      <w:marRight w:val="0"/>
                      <w:marTop w:val="0"/>
                      <w:marBottom w:val="0"/>
                      <w:divBdr>
                        <w:top w:val="none" w:sz="0" w:space="0" w:color="auto"/>
                        <w:left w:val="none" w:sz="0" w:space="0" w:color="auto"/>
                        <w:bottom w:val="none" w:sz="0" w:space="0" w:color="auto"/>
                        <w:right w:val="none" w:sz="0" w:space="0" w:color="auto"/>
                      </w:divBdr>
                    </w:div>
                  </w:divsChild>
                </w:div>
                <w:div w:id="935558064">
                  <w:marLeft w:val="0"/>
                  <w:marRight w:val="0"/>
                  <w:marTop w:val="0"/>
                  <w:marBottom w:val="0"/>
                  <w:divBdr>
                    <w:top w:val="none" w:sz="0" w:space="0" w:color="auto"/>
                    <w:left w:val="none" w:sz="0" w:space="0" w:color="auto"/>
                    <w:bottom w:val="none" w:sz="0" w:space="0" w:color="auto"/>
                    <w:right w:val="none" w:sz="0" w:space="0" w:color="auto"/>
                  </w:divBdr>
                  <w:divsChild>
                    <w:div w:id="237374182">
                      <w:marLeft w:val="0"/>
                      <w:marRight w:val="0"/>
                      <w:marTop w:val="0"/>
                      <w:marBottom w:val="0"/>
                      <w:divBdr>
                        <w:top w:val="none" w:sz="0" w:space="0" w:color="auto"/>
                        <w:left w:val="none" w:sz="0" w:space="0" w:color="auto"/>
                        <w:bottom w:val="none" w:sz="0" w:space="0" w:color="auto"/>
                        <w:right w:val="none" w:sz="0" w:space="0" w:color="auto"/>
                      </w:divBdr>
                    </w:div>
                  </w:divsChild>
                </w:div>
                <w:div w:id="972708347">
                  <w:marLeft w:val="0"/>
                  <w:marRight w:val="0"/>
                  <w:marTop w:val="0"/>
                  <w:marBottom w:val="0"/>
                  <w:divBdr>
                    <w:top w:val="none" w:sz="0" w:space="0" w:color="auto"/>
                    <w:left w:val="none" w:sz="0" w:space="0" w:color="auto"/>
                    <w:bottom w:val="none" w:sz="0" w:space="0" w:color="auto"/>
                    <w:right w:val="none" w:sz="0" w:space="0" w:color="auto"/>
                  </w:divBdr>
                  <w:divsChild>
                    <w:div w:id="1535464112">
                      <w:marLeft w:val="0"/>
                      <w:marRight w:val="0"/>
                      <w:marTop w:val="0"/>
                      <w:marBottom w:val="0"/>
                      <w:divBdr>
                        <w:top w:val="none" w:sz="0" w:space="0" w:color="auto"/>
                        <w:left w:val="none" w:sz="0" w:space="0" w:color="auto"/>
                        <w:bottom w:val="none" w:sz="0" w:space="0" w:color="auto"/>
                        <w:right w:val="none" w:sz="0" w:space="0" w:color="auto"/>
                      </w:divBdr>
                    </w:div>
                  </w:divsChild>
                </w:div>
                <w:div w:id="1085227353">
                  <w:marLeft w:val="0"/>
                  <w:marRight w:val="0"/>
                  <w:marTop w:val="0"/>
                  <w:marBottom w:val="0"/>
                  <w:divBdr>
                    <w:top w:val="none" w:sz="0" w:space="0" w:color="auto"/>
                    <w:left w:val="none" w:sz="0" w:space="0" w:color="auto"/>
                    <w:bottom w:val="none" w:sz="0" w:space="0" w:color="auto"/>
                    <w:right w:val="none" w:sz="0" w:space="0" w:color="auto"/>
                  </w:divBdr>
                  <w:divsChild>
                    <w:div w:id="700085288">
                      <w:marLeft w:val="0"/>
                      <w:marRight w:val="0"/>
                      <w:marTop w:val="0"/>
                      <w:marBottom w:val="0"/>
                      <w:divBdr>
                        <w:top w:val="none" w:sz="0" w:space="0" w:color="auto"/>
                        <w:left w:val="none" w:sz="0" w:space="0" w:color="auto"/>
                        <w:bottom w:val="none" w:sz="0" w:space="0" w:color="auto"/>
                        <w:right w:val="none" w:sz="0" w:space="0" w:color="auto"/>
                      </w:divBdr>
                    </w:div>
                  </w:divsChild>
                </w:div>
                <w:div w:id="1089891856">
                  <w:marLeft w:val="0"/>
                  <w:marRight w:val="0"/>
                  <w:marTop w:val="0"/>
                  <w:marBottom w:val="0"/>
                  <w:divBdr>
                    <w:top w:val="none" w:sz="0" w:space="0" w:color="auto"/>
                    <w:left w:val="none" w:sz="0" w:space="0" w:color="auto"/>
                    <w:bottom w:val="none" w:sz="0" w:space="0" w:color="auto"/>
                    <w:right w:val="none" w:sz="0" w:space="0" w:color="auto"/>
                  </w:divBdr>
                  <w:divsChild>
                    <w:div w:id="1095705220">
                      <w:marLeft w:val="0"/>
                      <w:marRight w:val="0"/>
                      <w:marTop w:val="0"/>
                      <w:marBottom w:val="0"/>
                      <w:divBdr>
                        <w:top w:val="none" w:sz="0" w:space="0" w:color="auto"/>
                        <w:left w:val="none" w:sz="0" w:space="0" w:color="auto"/>
                        <w:bottom w:val="none" w:sz="0" w:space="0" w:color="auto"/>
                        <w:right w:val="none" w:sz="0" w:space="0" w:color="auto"/>
                      </w:divBdr>
                    </w:div>
                  </w:divsChild>
                </w:div>
                <w:div w:id="1189678227">
                  <w:marLeft w:val="0"/>
                  <w:marRight w:val="0"/>
                  <w:marTop w:val="0"/>
                  <w:marBottom w:val="0"/>
                  <w:divBdr>
                    <w:top w:val="none" w:sz="0" w:space="0" w:color="auto"/>
                    <w:left w:val="none" w:sz="0" w:space="0" w:color="auto"/>
                    <w:bottom w:val="none" w:sz="0" w:space="0" w:color="auto"/>
                    <w:right w:val="none" w:sz="0" w:space="0" w:color="auto"/>
                  </w:divBdr>
                </w:div>
                <w:div w:id="1367292183">
                  <w:marLeft w:val="0"/>
                  <w:marRight w:val="0"/>
                  <w:marTop w:val="0"/>
                  <w:marBottom w:val="0"/>
                  <w:divBdr>
                    <w:top w:val="none" w:sz="0" w:space="0" w:color="auto"/>
                    <w:left w:val="none" w:sz="0" w:space="0" w:color="auto"/>
                    <w:bottom w:val="none" w:sz="0" w:space="0" w:color="auto"/>
                    <w:right w:val="none" w:sz="0" w:space="0" w:color="auto"/>
                  </w:divBdr>
                  <w:divsChild>
                    <w:div w:id="649283928">
                      <w:marLeft w:val="0"/>
                      <w:marRight w:val="0"/>
                      <w:marTop w:val="0"/>
                      <w:marBottom w:val="0"/>
                      <w:divBdr>
                        <w:top w:val="none" w:sz="0" w:space="0" w:color="auto"/>
                        <w:left w:val="none" w:sz="0" w:space="0" w:color="auto"/>
                        <w:bottom w:val="none" w:sz="0" w:space="0" w:color="auto"/>
                        <w:right w:val="none" w:sz="0" w:space="0" w:color="auto"/>
                      </w:divBdr>
                    </w:div>
                  </w:divsChild>
                </w:div>
                <w:div w:id="1632785885">
                  <w:marLeft w:val="0"/>
                  <w:marRight w:val="0"/>
                  <w:marTop w:val="0"/>
                  <w:marBottom w:val="0"/>
                  <w:divBdr>
                    <w:top w:val="none" w:sz="0" w:space="0" w:color="auto"/>
                    <w:left w:val="none" w:sz="0" w:space="0" w:color="auto"/>
                    <w:bottom w:val="none" w:sz="0" w:space="0" w:color="auto"/>
                    <w:right w:val="none" w:sz="0" w:space="0" w:color="auto"/>
                  </w:divBdr>
                  <w:divsChild>
                    <w:div w:id="1609265940">
                      <w:marLeft w:val="0"/>
                      <w:marRight w:val="0"/>
                      <w:marTop w:val="0"/>
                      <w:marBottom w:val="0"/>
                      <w:divBdr>
                        <w:top w:val="none" w:sz="0" w:space="0" w:color="auto"/>
                        <w:left w:val="none" w:sz="0" w:space="0" w:color="auto"/>
                        <w:bottom w:val="none" w:sz="0" w:space="0" w:color="auto"/>
                        <w:right w:val="none" w:sz="0" w:space="0" w:color="auto"/>
                      </w:divBdr>
                    </w:div>
                  </w:divsChild>
                </w:div>
                <w:div w:id="1763574287">
                  <w:marLeft w:val="0"/>
                  <w:marRight w:val="0"/>
                  <w:marTop w:val="0"/>
                  <w:marBottom w:val="0"/>
                  <w:divBdr>
                    <w:top w:val="none" w:sz="0" w:space="0" w:color="auto"/>
                    <w:left w:val="none" w:sz="0" w:space="0" w:color="auto"/>
                    <w:bottom w:val="none" w:sz="0" w:space="0" w:color="auto"/>
                    <w:right w:val="none" w:sz="0" w:space="0" w:color="auto"/>
                  </w:divBdr>
                  <w:divsChild>
                    <w:div w:id="2112776142">
                      <w:marLeft w:val="0"/>
                      <w:marRight w:val="0"/>
                      <w:marTop w:val="0"/>
                      <w:marBottom w:val="0"/>
                      <w:divBdr>
                        <w:top w:val="none" w:sz="0" w:space="0" w:color="auto"/>
                        <w:left w:val="none" w:sz="0" w:space="0" w:color="auto"/>
                        <w:bottom w:val="none" w:sz="0" w:space="0" w:color="auto"/>
                        <w:right w:val="none" w:sz="0" w:space="0" w:color="auto"/>
                      </w:divBdr>
                    </w:div>
                  </w:divsChild>
                </w:div>
                <w:div w:id="1768623362">
                  <w:marLeft w:val="0"/>
                  <w:marRight w:val="0"/>
                  <w:marTop w:val="0"/>
                  <w:marBottom w:val="0"/>
                  <w:divBdr>
                    <w:top w:val="none" w:sz="0" w:space="0" w:color="auto"/>
                    <w:left w:val="none" w:sz="0" w:space="0" w:color="auto"/>
                    <w:bottom w:val="none" w:sz="0" w:space="0" w:color="auto"/>
                    <w:right w:val="none" w:sz="0" w:space="0" w:color="auto"/>
                  </w:divBdr>
                  <w:divsChild>
                    <w:div w:id="964778226">
                      <w:marLeft w:val="0"/>
                      <w:marRight w:val="0"/>
                      <w:marTop w:val="0"/>
                      <w:marBottom w:val="0"/>
                      <w:divBdr>
                        <w:top w:val="none" w:sz="0" w:space="0" w:color="auto"/>
                        <w:left w:val="none" w:sz="0" w:space="0" w:color="auto"/>
                        <w:bottom w:val="none" w:sz="0" w:space="0" w:color="auto"/>
                        <w:right w:val="none" w:sz="0" w:space="0" w:color="auto"/>
                      </w:divBdr>
                    </w:div>
                  </w:divsChild>
                </w:div>
                <w:div w:id="1896965411">
                  <w:marLeft w:val="0"/>
                  <w:marRight w:val="0"/>
                  <w:marTop w:val="0"/>
                  <w:marBottom w:val="0"/>
                  <w:divBdr>
                    <w:top w:val="none" w:sz="0" w:space="0" w:color="auto"/>
                    <w:left w:val="none" w:sz="0" w:space="0" w:color="auto"/>
                    <w:bottom w:val="none" w:sz="0" w:space="0" w:color="auto"/>
                    <w:right w:val="none" w:sz="0" w:space="0" w:color="auto"/>
                  </w:divBdr>
                  <w:divsChild>
                    <w:div w:id="513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29577">
          <w:marLeft w:val="0"/>
          <w:marRight w:val="0"/>
          <w:marTop w:val="0"/>
          <w:marBottom w:val="0"/>
          <w:divBdr>
            <w:top w:val="none" w:sz="0" w:space="0" w:color="auto"/>
            <w:left w:val="none" w:sz="0" w:space="0" w:color="auto"/>
            <w:bottom w:val="none" w:sz="0" w:space="0" w:color="auto"/>
            <w:right w:val="none" w:sz="0" w:space="0" w:color="auto"/>
          </w:divBdr>
          <w:divsChild>
            <w:div w:id="789513758">
              <w:marLeft w:val="-75"/>
              <w:marRight w:val="0"/>
              <w:marTop w:val="30"/>
              <w:marBottom w:val="30"/>
              <w:divBdr>
                <w:top w:val="none" w:sz="0" w:space="0" w:color="auto"/>
                <w:left w:val="none" w:sz="0" w:space="0" w:color="auto"/>
                <w:bottom w:val="none" w:sz="0" w:space="0" w:color="auto"/>
                <w:right w:val="none" w:sz="0" w:space="0" w:color="auto"/>
              </w:divBdr>
              <w:divsChild>
                <w:div w:id="842628534">
                  <w:marLeft w:val="0"/>
                  <w:marRight w:val="0"/>
                  <w:marTop w:val="0"/>
                  <w:marBottom w:val="0"/>
                  <w:divBdr>
                    <w:top w:val="none" w:sz="0" w:space="0" w:color="auto"/>
                    <w:left w:val="none" w:sz="0" w:space="0" w:color="auto"/>
                    <w:bottom w:val="none" w:sz="0" w:space="0" w:color="auto"/>
                    <w:right w:val="none" w:sz="0" w:space="0" w:color="auto"/>
                  </w:divBdr>
                  <w:divsChild>
                    <w:div w:id="1694257384">
                      <w:marLeft w:val="0"/>
                      <w:marRight w:val="0"/>
                      <w:marTop w:val="0"/>
                      <w:marBottom w:val="0"/>
                      <w:divBdr>
                        <w:top w:val="none" w:sz="0" w:space="0" w:color="auto"/>
                        <w:left w:val="none" w:sz="0" w:space="0" w:color="auto"/>
                        <w:bottom w:val="none" w:sz="0" w:space="0" w:color="auto"/>
                        <w:right w:val="none" w:sz="0" w:space="0" w:color="auto"/>
                      </w:divBdr>
                    </w:div>
                    <w:div w:id="1921016435">
                      <w:marLeft w:val="0"/>
                      <w:marRight w:val="0"/>
                      <w:marTop w:val="0"/>
                      <w:marBottom w:val="0"/>
                      <w:divBdr>
                        <w:top w:val="none" w:sz="0" w:space="0" w:color="auto"/>
                        <w:left w:val="none" w:sz="0" w:space="0" w:color="auto"/>
                        <w:bottom w:val="none" w:sz="0" w:space="0" w:color="auto"/>
                        <w:right w:val="none" w:sz="0" w:space="0" w:color="auto"/>
                      </w:divBdr>
                    </w:div>
                    <w:div w:id="1954439183">
                      <w:marLeft w:val="0"/>
                      <w:marRight w:val="0"/>
                      <w:marTop w:val="0"/>
                      <w:marBottom w:val="0"/>
                      <w:divBdr>
                        <w:top w:val="none" w:sz="0" w:space="0" w:color="auto"/>
                        <w:left w:val="none" w:sz="0" w:space="0" w:color="auto"/>
                        <w:bottom w:val="none" w:sz="0" w:space="0" w:color="auto"/>
                        <w:right w:val="none" w:sz="0" w:space="0" w:color="auto"/>
                      </w:divBdr>
                    </w:div>
                  </w:divsChild>
                </w:div>
                <w:div w:id="1564485631">
                  <w:marLeft w:val="0"/>
                  <w:marRight w:val="0"/>
                  <w:marTop w:val="0"/>
                  <w:marBottom w:val="0"/>
                  <w:divBdr>
                    <w:top w:val="none" w:sz="0" w:space="0" w:color="auto"/>
                    <w:left w:val="none" w:sz="0" w:space="0" w:color="auto"/>
                    <w:bottom w:val="none" w:sz="0" w:space="0" w:color="auto"/>
                    <w:right w:val="none" w:sz="0" w:space="0" w:color="auto"/>
                  </w:divBdr>
                  <w:divsChild>
                    <w:div w:id="168154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667997">
          <w:marLeft w:val="0"/>
          <w:marRight w:val="0"/>
          <w:marTop w:val="0"/>
          <w:marBottom w:val="0"/>
          <w:divBdr>
            <w:top w:val="none" w:sz="0" w:space="0" w:color="auto"/>
            <w:left w:val="none" w:sz="0" w:space="0" w:color="auto"/>
            <w:bottom w:val="none" w:sz="0" w:space="0" w:color="auto"/>
            <w:right w:val="none" w:sz="0" w:space="0" w:color="auto"/>
          </w:divBdr>
        </w:div>
        <w:div w:id="1172255941">
          <w:marLeft w:val="0"/>
          <w:marRight w:val="0"/>
          <w:marTop w:val="0"/>
          <w:marBottom w:val="0"/>
          <w:divBdr>
            <w:top w:val="none" w:sz="0" w:space="0" w:color="auto"/>
            <w:left w:val="none" w:sz="0" w:space="0" w:color="auto"/>
            <w:bottom w:val="none" w:sz="0" w:space="0" w:color="auto"/>
            <w:right w:val="none" w:sz="0" w:space="0" w:color="auto"/>
          </w:divBdr>
          <w:divsChild>
            <w:div w:id="1130243603">
              <w:marLeft w:val="-75"/>
              <w:marRight w:val="0"/>
              <w:marTop w:val="30"/>
              <w:marBottom w:val="30"/>
              <w:divBdr>
                <w:top w:val="none" w:sz="0" w:space="0" w:color="auto"/>
                <w:left w:val="none" w:sz="0" w:space="0" w:color="auto"/>
                <w:bottom w:val="none" w:sz="0" w:space="0" w:color="auto"/>
                <w:right w:val="none" w:sz="0" w:space="0" w:color="auto"/>
              </w:divBdr>
              <w:divsChild>
                <w:div w:id="15619102">
                  <w:marLeft w:val="0"/>
                  <w:marRight w:val="0"/>
                  <w:marTop w:val="0"/>
                  <w:marBottom w:val="0"/>
                  <w:divBdr>
                    <w:top w:val="none" w:sz="0" w:space="0" w:color="auto"/>
                    <w:left w:val="none" w:sz="0" w:space="0" w:color="auto"/>
                    <w:bottom w:val="none" w:sz="0" w:space="0" w:color="auto"/>
                    <w:right w:val="none" w:sz="0" w:space="0" w:color="auto"/>
                  </w:divBdr>
                  <w:divsChild>
                    <w:div w:id="1865048578">
                      <w:marLeft w:val="0"/>
                      <w:marRight w:val="0"/>
                      <w:marTop w:val="0"/>
                      <w:marBottom w:val="0"/>
                      <w:divBdr>
                        <w:top w:val="none" w:sz="0" w:space="0" w:color="auto"/>
                        <w:left w:val="none" w:sz="0" w:space="0" w:color="auto"/>
                        <w:bottom w:val="none" w:sz="0" w:space="0" w:color="auto"/>
                        <w:right w:val="none" w:sz="0" w:space="0" w:color="auto"/>
                      </w:divBdr>
                    </w:div>
                  </w:divsChild>
                </w:div>
                <w:div w:id="34279399">
                  <w:marLeft w:val="0"/>
                  <w:marRight w:val="0"/>
                  <w:marTop w:val="0"/>
                  <w:marBottom w:val="0"/>
                  <w:divBdr>
                    <w:top w:val="none" w:sz="0" w:space="0" w:color="auto"/>
                    <w:left w:val="none" w:sz="0" w:space="0" w:color="auto"/>
                    <w:bottom w:val="none" w:sz="0" w:space="0" w:color="auto"/>
                    <w:right w:val="none" w:sz="0" w:space="0" w:color="auto"/>
                  </w:divBdr>
                  <w:divsChild>
                    <w:div w:id="880434152">
                      <w:marLeft w:val="0"/>
                      <w:marRight w:val="0"/>
                      <w:marTop w:val="0"/>
                      <w:marBottom w:val="0"/>
                      <w:divBdr>
                        <w:top w:val="none" w:sz="0" w:space="0" w:color="auto"/>
                        <w:left w:val="none" w:sz="0" w:space="0" w:color="auto"/>
                        <w:bottom w:val="none" w:sz="0" w:space="0" w:color="auto"/>
                        <w:right w:val="none" w:sz="0" w:space="0" w:color="auto"/>
                      </w:divBdr>
                    </w:div>
                  </w:divsChild>
                </w:div>
                <w:div w:id="200438511">
                  <w:marLeft w:val="0"/>
                  <w:marRight w:val="0"/>
                  <w:marTop w:val="0"/>
                  <w:marBottom w:val="0"/>
                  <w:divBdr>
                    <w:top w:val="none" w:sz="0" w:space="0" w:color="auto"/>
                    <w:left w:val="none" w:sz="0" w:space="0" w:color="auto"/>
                    <w:bottom w:val="none" w:sz="0" w:space="0" w:color="auto"/>
                    <w:right w:val="none" w:sz="0" w:space="0" w:color="auto"/>
                  </w:divBdr>
                  <w:divsChild>
                    <w:div w:id="1032729610">
                      <w:marLeft w:val="0"/>
                      <w:marRight w:val="0"/>
                      <w:marTop w:val="0"/>
                      <w:marBottom w:val="0"/>
                      <w:divBdr>
                        <w:top w:val="none" w:sz="0" w:space="0" w:color="auto"/>
                        <w:left w:val="none" w:sz="0" w:space="0" w:color="auto"/>
                        <w:bottom w:val="none" w:sz="0" w:space="0" w:color="auto"/>
                        <w:right w:val="none" w:sz="0" w:space="0" w:color="auto"/>
                      </w:divBdr>
                    </w:div>
                  </w:divsChild>
                </w:div>
                <w:div w:id="349260806">
                  <w:marLeft w:val="0"/>
                  <w:marRight w:val="0"/>
                  <w:marTop w:val="0"/>
                  <w:marBottom w:val="0"/>
                  <w:divBdr>
                    <w:top w:val="none" w:sz="0" w:space="0" w:color="auto"/>
                    <w:left w:val="none" w:sz="0" w:space="0" w:color="auto"/>
                    <w:bottom w:val="none" w:sz="0" w:space="0" w:color="auto"/>
                    <w:right w:val="none" w:sz="0" w:space="0" w:color="auto"/>
                  </w:divBdr>
                  <w:divsChild>
                    <w:div w:id="737172600">
                      <w:marLeft w:val="0"/>
                      <w:marRight w:val="0"/>
                      <w:marTop w:val="0"/>
                      <w:marBottom w:val="0"/>
                      <w:divBdr>
                        <w:top w:val="none" w:sz="0" w:space="0" w:color="auto"/>
                        <w:left w:val="none" w:sz="0" w:space="0" w:color="auto"/>
                        <w:bottom w:val="none" w:sz="0" w:space="0" w:color="auto"/>
                        <w:right w:val="none" w:sz="0" w:space="0" w:color="auto"/>
                      </w:divBdr>
                    </w:div>
                  </w:divsChild>
                </w:div>
                <w:div w:id="607156819">
                  <w:marLeft w:val="0"/>
                  <w:marRight w:val="0"/>
                  <w:marTop w:val="0"/>
                  <w:marBottom w:val="0"/>
                  <w:divBdr>
                    <w:top w:val="none" w:sz="0" w:space="0" w:color="auto"/>
                    <w:left w:val="none" w:sz="0" w:space="0" w:color="auto"/>
                    <w:bottom w:val="none" w:sz="0" w:space="0" w:color="auto"/>
                    <w:right w:val="none" w:sz="0" w:space="0" w:color="auto"/>
                  </w:divBdr>
                </w:div>
                <w:div w:id="1275940841">
                  <w:marLeft w:val="0"/>
                  <w:marRight w:val="0"/>
                  <w:marTop w:val="0"/>
                  <w:marBottom w:val="0"/>
                  <w:divBdr>
                    <w:top w:val="none" w:sz="0" w:space="0" w:color="auto"/>
                    <w:left w:val="none" w:sz="0" w:space="0" w:color="auto"/>
                    <w:bottom w:val="none" w:sz="0" w:space="0" w:color="auto"/>
                    <w:right w:val="none" w:sz="0" w:space="0" w:color="auto"/>
                  </w:divBdr>
                  <w:divsChild>
                    <w:div w:id="601108308">
                      <w:marLeft w:val="0"/>
                      <w:marRight w:val="0"/>
                      <w:marTop w:val="0"/>
                      <w:marBottom w:val="0"/>
                      <w:divBdr>
                        <w:top w:val="none" w:sz="0" w:space="0" w:color="auto"/>
                        <w:left w:val="none" w:sz="0" w:space="0" w:color="auto"/>
                        <w:bottom w:val="none" w:sz="0" w:space="0" w:color="auto"/>
                        <w:right w:val="none" w:sz="0" w:space="0" w:color="auto"/>
                      </w:divBdr>
                    </w:div>
                  </w:divsChild>
                </w:div>
                <w:div w:id="1508398841">
                  <w:marLeft w:val="0"/>
                  <w:marRight w:val="0"/>
                  <w:marTop w:val="0"/>
                  <w:marBottom w:val="0"/>
                  <w:divBdr>
                    <w:top w:val="none" w:sz="0" w:space="0" w:color="auto"/>
                    <w:left w:val="none" w:sz="0" w:space="0" w:color="auto"/>
                    <w:bottom w:val="none" w:sz="0" w:space="0" w:color="auto"/>
                    <w:right w:val="none" w:sz="0" w:space="0" w:color="auto"/>
                  </w:divBdr>
                  <w:divsChild>
                    <w:div w:id="1466662459">
                      <w:marLeft w:val="0"/>
                      <w:marRight w:val="0"/>
                      <w:marTop w:val="0"/>
                      <w:marBottom w:val="0"/>
                      <w:divBdr>
                        <w:top w:val="none" w:sz="0" w:space="0" w:color="auto"/>
                        <w:left w:val="none" w:sz="0" w:space="0" w:color="auto"/>
                        <w:bottom w:val="none" w:sz="0" w:space="0" w:color="auto"/>
                        <w:right w:val="none" w:sz="0" w:space="0" w:color="auto"/>
                      </w:divBdr>
                    </w:div>
                  </w:divsChild>
                </w:div>
                <w:div w:id="1566993958">
                  <w:marLeft w:val="0"/>
                  <w:marRight w:val="0"/>
                  <w:marTop w:val="0"/>
                  <w:marBottom w:val="0"/>
                  <w:divBdr>
                    <w:top w:val="none" w:sz="0" w:space="0" w:color="auto"/>
                    <w:left w:val="none" w:sz="0" w:space="0" w:color="auto"/>
                    <w:bottom w:val="none" w:sz="0" w:space="0" w:color="auto"/>
                    <w:right w:val="none" w:sz="0" w:space="0" w:color="auto"/>
                  </w:divBdr>
                  <w:divsChild>
                    <w:div w:id="300502374">
                      <w:marLeft w:val="0"/>
                      <w:marRight w:val="0"/>
                      <w:marTop w:val="0"/>
                      <w:marBottom w:val="0"/>
                      <w:divBdr>
                        <w:top w:val="none" w:sz="0" w:space="0" w:color="auto"/>
                        <w:left w:val="none" w:sz="0" w:space="0" w:color="auto"/>
                        <w:bottom w:val="none" w:sz="0" w:space="0" w:color="auto"/>
                        <w:right w:val="none" w:sz="0" w:space="0" w:color="auto"/>
                      </w:divBdr>
                    </w:div>
                    <w:div w:id="822086137">
                      <w:marLeft w:val="0"/>
                      <w:marRight w:val="0"/>
                      <w:marTop w:val="0"/>
                      <w:marBottom w:val="0"/>
                      <w:divBdr>
                        <w:top w:val="none" w:sz="0" w:space="0" w:color="auto"/>
                        <w:left w:val="none" w:sz="0" w:space="0" w:color="auto"/>
                        <w:bottom w:val="none" w:sz="0" w:space="0" w:color="auto"/>
                        <w:right w:val="none" w:sz="0" w:space="0" w:color="auto"/>
                      </w:divBdr>
                    </w:div>
                  </w:divsChild>
                </w:div>
                <w:div w:id="2079594158">
                  <w:marLeft w:val="0"/>
                  <w:marRight w:val="0"/>
                  <w:marTop w:val="0"/>
                  <w:marBottom w:val="0"/>
                  <w:divBdr>
                    <w:top w:val="none" w:sz="0" w:space="0" w:color="auto"/>
                    <w:left w:val="none" w:sz="0" w:space="0" w:color="auto"/>
                    <w:bottom w:val="none" w:sz="0" w:space="0" w:color="auto"/>
                    <w:right w:val="none" w:sz="0" w:space="0" w:color="auto"/>
                  </w:divBdr>
                  <w:divsChild>
                    <w:div w:id="61317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48824">
          <w:marLeft w:val="0"/>
          <w:marRight w:val="0"/>
          <w:marTop w:val="0"/>
          <w:marBottom w:val="0"/>
          <w:divBdr>
            <w:top w:val="none" w:sz="0" w:space="0" w:color="auto"/>
            <w:left w:val="none" w:sz="0" w:space="0" w:color="auto"/>
            <w:bottom w:val="none" w:sz="0" w:space="0" w:color="auto"/>
            <w:right w:val="none" w:sz="0" w:space="0" w:color="auto"/>
          </w:divBdr>
        </w:div>
        <w:div w:id="1771854800">
          <w:marLeft w:val="0"/>
          <w:marRight w:val="0"/>
          <w:marTop w:val="0"/>
          <w:marBottom w:val="0"/>
          <w:divBdr>
            <w:top w:val="none" w:sz="0" w:space="0" w:color="auto"/>
            <w:left w:val="none" w:sz="0" w:space="0" w:color="auto"/>
            <w:bottom w:val="none" w:sz="0" w:space="0" w:color="auto"/>
            <w:right w:val="none" w:sz="0" w:space="0" w:color="auto"/>
          </w:divBdr>
        </w:div>
        <w:div w:id="1816218828">
          <w:marLeft w:val="0"/>
          <w:marRight w:val="0"/>
          <w:marTop w:val="0"/>
          <w:marBottom w:val="0"/>
          <w:divBdr>
            <w:top w:val="none" w:sz="0" w:space="0" w:color="auto"/>
            <w:left w:val="none" w:sz="0" w:space="0" w:color="auto"/>
            <w:bottom w:val="none" w:sz="0" w:space="0" w:color="auto"/>
            <w:right w:val="none" w:sz="0" w:space="0" w:color="auto"/>
          </w:divBdr>
        </w:div>
      </w:divsChild>
    </w:div>
    <w:div w:id="979193057">
      <w:marLeft w:val="480"/>
      <w:marRight w:val="0"/>
      <w:marTop w:val="0"/>
      <w:marBottom w:val="0"/>
      <w:divBdr>
        <w:top w:val="none" w:sz="0" w:space="0" w:color="auto"/>
        <w:left w:val="none" w:sz="0" w:space="0" w:color="auto"/>
        <w:bottom w:val="none" w:sz="0" w:space="0" w:color="auto"/>
        <w:right w:val="none" w:sz="0" w:space="0" w:color="auto"/>
      </w:divBdr>
    </w:div>
    <w:div w:id="980110654">
      <w:marLeft w:val="480"/>
      <w:marRight w:val="0"/>
      <w:marTop w:val="0"/>
      <w:marBottom w:val="0"/>
      <w:divBdr>
        <w:top w:val="none" w:sz="0" w:space="0" w:color="auto"/>
        <w:left w:val="none" w:sz="0" w:space="0" w:color="auto"/>
        <w:bottom w:val="none" w:sz="0" w:space="0" w:color="auto"/>
        <w:right w:val="none" w:sz="0" w:space="0" w:color="auto"/>
      </w:divBdr>
    </w:div>
    <w:div w:id="981039582">
      <w:marLeft w:val="480"/>
      <w:marRight w:val="0"/>
      <w:marTop w:val="0"/>
      <w:marBottom w:val="0"/>
      <w:divBdr>
        <w:top w:val="none" w:sz="0" w:space="0" w:color="auto"/>
        <w:left w:val="none" w:sz="0" w:space="0" w:color="auto"/>
        <w:bottom w:val="none" w:sz="0" w:space="0" w:color="auto"/>
        <w:right w:val="none" w:sz="0" w:space="0" w:color="auto"/>
      </w:divBdr>
    </w:div>
    <w:div w:id="981275054">
      <w:marLeft w:val="480"/>
      <w:marRight w:val="0"/>
      <w:marTop w:val="0"/>
      <w:marBottom w:val="0"/>
      <w:divBdr>
        <w:top w:val="none" w:sz="0" w:space="0" w:color="auto"/>
        <w:left w:val="none" w:sz="0" w:space="0" w:color="auto"/>
        <w:bottom w:val="none" w:sz="0" w:space="0" w:color="auto"/>
        <w:right w:val="none" w:sz="0" w:space="0" w:color="auto"/>
      </w:divBdr>
    </w:div>
    <w:div w:id="981885161">
      <w:marLeft w:val="480"/>
      <w:marRight w:val="0"/>
      <w:marTop w:val="0"/>
      <w:marBottom w:val="0"/>
      <w:divBdr>
        <w:top w:val="none" w:sz="0" w:space="0" w:color="auto"/>
        <w:left w:val="none" w:sz="0" w:space="0" w:color="auto"/>
        <w:bottom w:val="none" w:sz="0" w:space="0" w:color="auto"/>
        <w:right w:val="none" w:sz="0" w:space="0" w:color="auto"/>
      </w:divBdr>
    </w:div>
    <w:div w:id="982464795">
      <w:bodyDiv w:val="1"/>
      <w:marLeft w:val="0"/>
      <w:marRight w:val="0"/>
      <w:marTop w:val="0"/>
      <w:marBottom w:val="0"/>
      <w:divBdr>
        <w:top w:val="none" w:sz="0" w:space="0" w:color="auto"/>
        <w:left w:val="none" w:sz="0" w:space="0" w:color="auto"/>
        <w:bottom w:val="none" w:sz="0" w:space="0" w:color="auto"/>
        <w:right w:val="none" w:sz="0" w:space="0" w:color="auto"/>
      </w:divBdr>
    </w:div>
    <w:div w:id="982542358">
      <w:marLeft w:val="480"/>
      <w:marRight w:val="0"/>
      <w:marTop w:val="0"/>
      <w:marBottom w:val="0"/>
      <w:divBdr>
        <w:top w:val="none" w:sz="0" w:space="0" w:color="auto"/>
        <w:left w:val="none" w:sz="0" w:space="0" w:color="auto"/>
        <w:bottom w:val="none" w:sz="0" w:space="0" w:color="auto"/>
        <w:right w:val="none" w:sz="0" w:space="0" w:color="auto"/>
      </w:divBdr>
    </w:div>
    <w:div w:id="982923768">
      <w:marLeft w:val="480"/>
      <w:marRight w:val="0"/>
      <w:marTop w:val="0"/>
      <w:marBottom w:val="0"/>
      <w:divBdr>
        <w:top w:val="none" w:sz="0" w:space="0" w:color="auto"/>
        <w:left w:val="none" w:sz="0" w:space="0" w:color="auto"/>
        <w:bottom w:val="none" w:sz="0" w:space="0" w:color="auto"/>
        <w:right w:val="none" w:sz="0" w:space="0" w:color="auto"/>
      </w:divBdr>
    </w:div>
    <w:div w:id="985166383">
      <w:marLeft w:val="480"/>
      <w:marRight w:val="0"/>
      <w:marTop w:val="0"/>
      <w:marBottom w:val="0"/>
      <w:divBdr>
        <w:top w:val="none" w:sz="0" w:space="0" w:color="auto"/>
        <w:left w:val="none" w:sz="0" w:space="0" w:color="auto"/>
        <w:bottom w:val="none" w:sz="0" w:space="0" w:color="auto"/>
        <w:right w:val="none" w:sz="0" w:space="0" w:color="auto"/>
      </w:divBdr>
    </w:div>
    <w:div w:id="985740354">
      <w:bodyDiv w:val="1"/>
      <w:marLeft w:val="0"/>
      <w:marRight w:val="0"/>
      <w:marTop w:val="0"/>
      <w:marBottom w:val="0"/>
      <w:divBdr>
        <w:top w:val="none" w:sz="0" w:space="0" w:color="auto"/>
        <w:left w:val="none" w:sz="0" w:space="0" w:color="auto"/>
        <w:bottom w:val="none" w:sz="0" w:space="0" w:color="auto"/>
        <w:right w:val="none" w:sz="0" w:space="0" w:color="auto"/>
      </w:divBdr>
      <w:divsChild>
        <w:div w:id="48670283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87444808">
      <w:marLeft w:val="480"/>
      <w:marRight w:val="0"/>
      <w:marTop w:val="0"/>
      <w:marBottom w:val="0"/>
      <w:divBdr>
        <w:top w:val="none" w:sz="0" w:space="0" w:color="auto"/>
        <w:left w:val="none" w:sz="0" w:space="0" w:color="auto"/>
        <w:bottom w:val="none" w:sz="0" w:space="0" w:color="auto"/>
        <w:right w:val="none" w:sz="0" w:space="0" w:color="auto"/>
      </w:divBdr>
    </w:div>
    <w:div w:id="988051058">
      <w:marLeft w:val="480"/>
      <w:marRight w:val="0"/>
      <w:marTop w:val="0"/>
      <w:marBottom w:val="0"/>
      <w:divBdr>
        <w:top w:val="none" w:sz="0" w:space="0" w:color="auto"/>
        <w:left w:val="none" w:sz="0" w:space="0" w:color="auto"/>
        <w:bottom w:val="none" w:sz="0" w:space="0" w:color="auto"/>
        <w:right w:val="none" w:sz="0" w:space="0" w:color="auto"/>
      </w:divBdr>
    </w:div>
    <w:div w:id="988096225">
      <w:marLeft w:val="480"/>
      <w:marRight w:val="0"/>
      <w:marTop w:val="0"/>
      <w:marBottom w:val="0"/>
      <w:divBdr>
        <w:top w:val="none" w:sz="0" w:space="0" w:color="auto"/>
        <w:left w:val="none" w:sz="0" w:space="0" w:color="auto"/>
        <w:bottom w:val="none" w:sz="0" w:space="0" w:color="auto"/>
        <w:right w:val="none" w:sz="0" w:space="0" w:color="auto"/>
      </w:divBdr>
    </w:div>
    <w:div w:id="988555709">
      <w:marLeft w:val="480"/>
      <w:marRight w:val="0"/>
      <w:marTop w:val="0"/>
      <w:marBottom w:val="0"/>
      <w:divBdr>
        <w:top w:val="none" w:sz="0" w:space="0" w:color="auto"/>
        <w:left w:val="none" w:sz="0" w:space="0" w:color="auto"/>
        <w:bottom w:val="none" w:sz="0" w:space="0" w:color="auto"/>
        <w:right w:val="none" w:sz="0" w:space="0" w:color="auto"/>
      </w:divBdr>
    </w:div>
    <w:div w:id="990475618">
      <w:marLeft w:val="480"/>
      <w:marRight w:val="0"/>
      <w:marTop w:val="0"/>
      <w:marBottom w:val="0"/>
      <w:divBdr>
        <w:top w:val="none" w:sz="0" w:space="0" w:color="auto"/>
        <w:left w:val="none" w:sz="0" w:space="0" w:color="auto"/>
        <w:bottom w:val="none" w:sz="0" w:space="0" w:color="auto"/>
        <w:right w:val="none" w:sz="0" w:space="0" w:color="auto"/>
      </w:divBdr>
    </w:div>
    <w:div w:id="991328189">
      <w:marLeft w:val="480"/>
      <w:marRight w:val="0"/>
      <w:marTop w:val="0"/>
      <w:marBottom w:val="0"/>
      <w:divBdr>
        <w:top w:val="none" w:sz="0" w:space="0" w:color="auto"/>
        <w:left w:val="none" w:sz="0" w:space="0" w:color="auto"/>
        <w:bottom w:val="none" w:sz="0" w:space="0" w:color="auto"/>
        <w:right w:val="none" w:sz="0" w:space="0" w:color="auto"/>
      </w:divBdr>
    </w:div>
    <w:div w:id="991712908">
      <w:bodyDiv w:val="1"/>
      <w:marLeft w:val="0"/>
      <w:marRight w:val="0"/>
      <w:marTop w:val="0"/>
      <w:marBottom w:val="0"/>
      <w:divBdr>
        <w:top w:val="none" w:sz="0" w:space="0" w:color="auto"/>
        <w:left w:val="none" w:sz="0" w:space="0" w:color="auto"/>
        <w:bottom w:val="none" w:sz="0" w:space="0" w:color="auto"/>
        <w:right w:val="none" w:sz="0" w:space="0" w:color="auto"/>
      </w:divBdr>
    </w:div>
    <w:div w:id="992181809">
      <w:marLeft w:val="480"/>
      <w:marRight w:val="0"/>
      <w:marTop w:val="0"/>
      <w:marBottom w:val="0"/>
      <w:divBdr>
        <w:top w:val="none" w:sz="0" w:space="0" w:color="auto"/>
        <w:left w:val="none" w:sz="0" w:space="0" w:color="auto"/>
        <w:bottom w:val="none" w:sz="0" w:space="0" w:color="auto"/>
        <w:right w:val="none" w:sz="0" w:space="0" w:color="auto"/>
      </w:divBdr>
    </w:div>
    <w:div w:id="992679592">
      <w:bodyDiv w:val="1"/>
      <w:marLeft w:val="0"/>
      <w:marRight w:val="0"/>
      <w:marTop w:val="0"/>
      <w:marBottom w:val="0"/>
      <w:divBdr>
        <w:top w:val="none" w:sz="0" w:space="0" w:color="auto"/>
        <w:left w:val="none" w:sz="0" w:space="0" w:color="auto"/>
        <w:bottom w:val="none" w:sz="0" w:space="0" w:color="auto"/>
        <w:right w:val="none" w:sz="0" w:space="0" w:color="auto"/>
      </w:divBdr>
      <w:divsChild>
        <w:div w:id="212936001">
          <w:marLeft w:val="480"/>
          <w:marRight w:val="0"/>
          <w:marTop w:val="0"/>
          <w:marBottom w:val="0"/>
          <w:divBdr>
            <w:top w:val="none" w:sz="0" w:space="0" w:color="auto"/>
            <w:left w:val="none" w:sz="0" w:space="0" w:color="auto"/>
            <w:bottom w:val="none" w:sz="0" w:space="0" w:color="auto"/>
            <w:right w:val="none" w:sz="0" w:space="0" w:color="auto"/>
          </w:divBdr>
        </w:div>
        <w:div w:id="440613741">
          <w:marLeft w:val="480"/>
          <w:marRight w:val="0"/>
          <w:marTop w:val="0"/>
          <w:marBottom w:val="0"/>
          <w:divBdr>
            <w:top w:val="none" w:sz="0" w:space="0" w:color="auto"/>
            <w:left w:val="none" w:sz="0" w:space="0" w:color="auto"/>
            <w:bottom w:val="none" w:sz="0" w:space="0" w:color="auto"/>
            <w:right w:val="none" w:sz="0" w:space="0" w:color="auto"/>
          </w:divBdr>
        </w:div>
        <w:div w:id="518473709">
          <w:marLeft w:val="480"/>
          <w:marRight w:val="0"/>
          <w:marTop w:val="0"/>
          <w:marBottom w:val="0"/>
          <w:divBdr>
            <w:top w:val="none" w:sz="0" w:space="0" w:color="auto"/>
            <w:left w:val="none" w:sz="0" w:space="0" w:color="auto"/>
            <w:bottom w:val="none" w:sz="0" w:space="0" w:color="auto"/>
            <w:right w:val="none" w:sz="0" w:space="0" w:color="auto"/>
          </w:divBdr>
        </w:div>
        <w:div w:id="794954985">
          <w:marLeft w:val="480"/>
          <w:marRight w:val="0"/>
          <w:marTop w:val="0"/>
          <w:marBottom w:val="0"/>
          <w:divBdr>
            <w:top w:val="none" w:sz="0" w:space="0" w:color="auto"/>
            <w:left w:val="none" w:sz="0" w:space="0" w:color="auto"/>
            <w:bottom w:val="none" w:sz="0" w:space="0" w:color="auto"/>
            <w:right w:val="none" w:sz="0" w:space="0" w:color="auto"/>
          </w:divBdr>
        </w:div>
        <w:div w:id="1101874054">
          <w:marLeft w:val="480"/>
          <w:marRight w:val="0"/>
          <w:marTop w:val="0"/>
          <w:marBottom w:val="0"/>
          <w:divBdr>
            <w:top w:val="none" w:sz="0" w:space="0" w:color="auto"/>
            <w:left w:val="none" w:sz="0" w:space="0" w:color="auto"/>
            <w:bottom w:val="none" w:sz="0" w:space="0" w:color="auto"/>
            <w:right w:val="none" w:sz="0" w:space="0" w:color="auto"/>
          </w:divBdr>
        </w:div>
        <w:div w:id="1339042141">
          <w:marLeft w:val="480"/>
          <w:marRight w:val="0"/>
          <w:marTop w:val="0"/>
          <w:marBottom w:val="0"/>
          <w:divBdr>
            <w:top w:val="none" w:sz="0" w:space="0" w:color="auto"/>
            <w:left w:val="none" w:sz="0" w:space="0" w:color="auto"/>
            <w:bottom w:val="none" w:sz="0" w:space="0" w:color="auto"/>
            <w:right w:val="none" w:sz="0" w:space="0" w:color="auto"/>
          </w:divBdr>
        </w:div>
        <w:div w:id="1511290930">
          <w:marLeft w:val="480"/>
          <w:marRight w:val="0"/>
          <w:marTop w:val="0"/>
          <w:marBottom w:val="0"/>
          <w:divBdr>
            <w:top w:val="none" w:sz="0" w:space="0" w:color="auto"/>
            <w:left w:val="none" w:sz="0" w:space="0" w:color="auto"/>
            <w:bottom w:val="none" w:sz="0" w:space="0" w:color="auto"/>
            <w:right w:val="none" w:sz="0" w:space="0" w:color="auto"/>
          </w:divBdr>
        </w:div>
        <w:div w:id="1728648966">
          <w:marLeft w:val="480"/>
          <w:marRight w:val="0"/>
          <w:marTop w:val="0"/>
          <w:marBottom w:val="0"/>
          <w:divBdr>
            <w:top w:val="none" w:sz="0" w:space="0" w:color="auto"/>
            <w:left w:val="none" w:sz="0" w:space="0" w:color="auto"/>
            <w:bottom w:val="none" w:sz="0" w:space="0" w:color="auto"/>
            <w:right w:val="none" w:sz="0" w:space="0" w:color="auto"/>
          </w:divBdr>
        </w:div>
      </w:divsChild>
    </w:div>
    <w:div w:id="993753205">
      <w:marLeft w:val="480"/>
      <w:marRight w:val="0"/>
      <w:marTop w:val="0"/>
      <w:marBottom w:val="0"/>
      <w:divBdr>
        <w:top w:val="none" w:sz="0" w:space="0" w:color="auto"/>
        <w:left w:val="none" w:sz="0" w:space="0" w:color="auto"/>
        <w:bottom w:val="none" w:sz="0" w:space="0" w:color="auto"/>
        <w:right w:val="none" w:sz="0" w:space="0" w:color="auto"/>
      </w:divBdr>
    </w:div>
    <w:div w:id="994839881">
      <w:marLeft w:val="480"/>
      <w:marRight w:val="0"/>
      <w:marTop w:val="0"/>
      <w:marBottom w:val="0"/>
      <w:divBdr>
        <w:top w:val="none" w:sz="0" w:space="0" w:color="auto"/>
        <w:left w:val="none" w:sz="0" w:space="0" w:color="auto"/>
        <w:bottom w:val="none" w:sz="0" w:space="0" w:color="auto"/>
        <w:right w:val="none" w:sz="0" w:space="0" w:color="auto"/>
      </w:divBdr>
    </w:div>
    <w:div w:id="997000539">
      <w:marLeft w:val="480"/>
      <w:marRight w:val="0"/>
      <w:marTop w:val="0"/>
      <w:marBottom w:val="0"/>
      <w:divBdr>
        <w:top w:val="none" w:sz="0" w:space="0" w:color="auto"/>
        <w:left w:val="none" w:sz="0" w:space="0" w:color="auto"/>
        <w:bottom w:val="none" w:sz="0" w:space="0" w:color="auto"/>
        <w:right w:val="none" w:sz="0" w:space="0" w:color="auto"/>
      </w:divBdr>
    </w:div>
    <w:div w:id="1001200260">
      <w:bodyDiv w:val="1"/>
      <w:marLeft w:val="0"/>
      <w:marRight w:val="0"/>
      <w:marTop w:val="0"/>
      <w:marBottom w:val="0"/>
      <w:divBdr>
        <w:top w:val="none" w:sz="0" w:space="0" w:color="auto"/>
        <w:left w:val="none" w:sz="0" w:space="0" w:color="auto"/>
        <w:bottom w:val="none" w:sz="0" w:space="0" w:color="auto"/>
        <w:right w:val="none" w:sz="0" w:space="0" w:color="auto"/>
      </w:divBdr>
    </w:div>
    <w:div w:id="1002860033">
      <w:marLeft w:val="480"/>
      <w:marRight w:val="0"/>
      <w:marTop w:val="0"/>
      <w:marBottom w:val="0"/>
      <w:divBdr>
        <w:top w:val="none" w:sz="0" w:space="0" w:color="auto"/>
        <w:left w:val="none" w:sz="0" w:space="0" w:color="auto"/>
        <w:bottom w:val="none" w:sz="0" w:space="0" w:color="auto"/>
        <w:right w:val="none" w:sz="0" w:space="0" w:color="auto"/>
      </w:divBdr>
    </w:div>
    <w:div w:id="1003357206">
      <w:marLeft w:val="480"/>
      <w:marRight w:val="0"/>
      <w:marTop w:val="0"/>
      <w:marBottom w:val="0"/>
      <w:divBdr>
        <w:top w:val="none" w:sz="0" w:space="0" w:color="auto"/>
        <w:left w:val="none" w:sz="0" w:space="0" w:color="auto"/>
        <w:bottom w:val="none" w:sz="0" w:space="0" w:color="auto"/>
        <w:right w:val="none" w:sz="0" w:space="0" w:color="auto"/>
      </w:divBdr>
    </w:div>
    <w:div w:id="1003974678">
      <w:bodyDiv w:val="1"/>
      <w:marLeft w:val="0"/>
      <w:marRight w:val="0"/>
      <w:marTop w:val="0"/>
      <w:marBottom w:val="0"/>
      <w:divBdr>
        <w:top w:val="none" w:sz="0" w:space="0" w:color="auto"/>
        <w:left w:val="none" w:sz="0" w:space="0" w:color="auto"/>
        <w:bottom w:val="none" w:sz="0" w:space="0" w:color="auto"/>
        <w:right w:val="none" w:sz="0" w:space="0" w:color="auto"/>
      </w:divBdr>
    </w:div>
    <w:div w:id="1004672583">
      <w:marLeft w:val="480"/>
      <w:marRight w:val="0"/>
      <w:marTop w:val="0"/>
      <w:marBottom w:val="0"/>
      <w:divBdr>
        <w:top w:val="none" w:sz="0" w:space="0" w:color="auto"/>
        <w:left w:val="none" w:sz="0" w:space="0" w:color="auto"/>
        <w:bottom w:val="none" w:sz="0" w:space="0" w:color="auto"/>
        <w:right w:val="none" w:sz="0" w:space="0" w:color="auto"/>
      </w:divBdr>
    </w:div>
    <w:div w:id="1005127639">
      <w:marLeft w:val="480"/>
      <w:marRight w:val="0"/>
      <w:marTop w:val="0"/>
      <w:marBottom w:val="0"/>
      <w:divBdr>
        <w:top w:val="none" w:sz="0" w:space="0" w:color="auto"/>
        <w:left w:val="none" w:sz="0" w:space="0" w:color="auto"/>
        <w:bottom w:val="none" w:sz="0" w:space="0" w:color="auto"/>
        <w:right w:val="none" w:sz="0" w:space="0" w:color="auto"/>
      </w:divBdr>
    </w:div>
    <w:div w:id="1007099479">
      <w:marLeft w:val="480"/>
      <w:marRight w:val="0"/>
      <w:marTop w:val="0"/>
      <w:marBottom w:val="0"/>
      <w:divBdr>
        <w:top w:val="none" w:sz="0" w:space="0" w:color="auto"/>
        <w:left w:val="none" w:sz="0" w:space="0" w:color="auto"/>
        <w:bottom w:val="none" w:sz="0" w:space="0" w:color="auto"/>
        <w:right w:val="none" w:sz="0" w:space="0" w:color="auto"/>
      </w:divBdr>
    </w:div>
    <w:div w:id="1008631161">
      <w:marLeft w:val="480"/>
      <w:marRight w:val="0"/>
      <w:marTop w:val="0"/>
      <w:marBottom w:val="0"/>
      <w:divBdr>
        <w:top w:val="none" w:sz="0" w:space="0" w:color="auto"/>
        <w:left w:val="none" w:sz="0" w:space="0" w:color="auto"/>
        <w:bottom w:val="none" w:sz="0" w:space="0" w:color="auto"/>
        <w:right w:val="none" w:sz="0" w:space="0" w:color="auto"/>
      </w:divBdr>
    </w:div>
    <w:div w:id="1009335099">
      <w:marLeft w:val="480"/>
      <w:marRight w:val="0"/>
      <w:marTop w:val="0"/>
      <w:marBottom w:val="0"/>
      <w:divBdr>
        <w:top w:val="none" w:sz="0" w:space="0" w:color="auto"/>
        <w:left w:val="none" w:sz="0" w:space="0" w:color="auto"/>
        <w:bottom w:val="none" w:sz="0" w:space="0" w:color="auto"/>
        <w:right w:val="none" w:sz="0" w:space="0" w:color="auto"/>
      </w:divBdr>
    </w:div>
    <w:div w:id="1011179311">
      <w:marLeft w:val="480"/>
      <w:marRight w:val="0"/>
      <w:marTop w:val="0"/>
      <w:marBottom w:val="0"/>
      <w:divBdr>
        <w:top w:val="none" w:sz="0" w:space="0" w:color="auto"/>
        <w:left w:val="none" w:sz="0" w:space="0" w:color="auto"/>
        <w:bottom w:val="none" w:sz="0" w:space="0" w:color="auto"/>
        <w:right w:val="none" w:sz="0" w:space="0" w:color="auto"/>
      </w:divBdr>
    </w:div>
    <w:div w:id="1011222186">
      <w:marLeft w:val="480"/>
      <w:marRight w:val="0"/>
      <w:marTop w:val="0"/>
      <w:marBottom w:val="0"/>
      <w:divBdr>
        <w:top w:val="none" w:sz="0" w:space="0" w:color="auto"/>
        <w:left w:val="none" w:sz="0" w:space="0" w:color="auto"/>
        <w:bottom w:val="none" w:sz="0" w:space="0" w:color="auto"/>
        <w:right w:val="none" w:sz="0" w:space="0" w:color="auto"/>
      </w:divBdr>
    </w:div>
    <w:div w:id="1012294539">
      <w:marLeft w:val="480"/>
      <w:marRight w:val="0"/>
      <w:marTop w:val="0"/>
      <w:marBottom w:val="0"/>
      <w:divBdr>
        <w:top w:val="none" w:sz="0" w:space="0" w:color="auto"/>
        <w:left w:val="none" w:sz="0" w:space="0" w:color="auto"/>
        <w:bottom w:val="none" w:sz="0" w:space="0" w:color="auto"/>
        <w:right w:val="none" w:sz="0" w:space="0" w:color="auto"/>
      </w:divBdr>
    </w:div>
    <w:div w:id="1015690731">
      <w:marLeft w:val="480"/>
      <w:marRight w:val="0"/>
      <w:marTop w:val="0"/>
      <w:marBottom w:val="0"/>
      <w:divBdr>
        <w:top w:val="none" w:sz="0" w:space="0" w:color="auto"/>
        <w:left w:val="none" w:sz="0" w:space="0" w:color="auto"/>
        <w:bottom w:val="none" w:sz="0" w:space="0" w:color="auto"/>
        <w:right w:val="none" w:sz="0" w:space="0" w:color="auto"/>
      </w:divBdr>
    </w:div>
    <w:div w:id="1016273367">
      <w:marLeft w:val="480"/>
      <w:marRight w:val="0"/>
      <w:marTop w:val="0"/>
      <w:marBottom w:val="0"/>
      <w:divBdr>
        <w:top w:val="none" w:sz="0" w:space="0" w:color="auto"/>
        <w:left w:val="none" w:sz="0" w:space="0" w:color="auto"/>
        <w:bottom w:val="none" w:sz="0" w:space="0" w:color="auto"/>
        <w:right w:val="none" w:sz="0" w:space="0" w:color="auto"/>
      </w:divBdr>
    </w:div>
    <w:div w:id="1017655565">
      <w:marLeft w:val="480"/>
      <w:marRight w:val="0"/>
      <w:marTop w:val="0"/>
      <w:marBottom w:val="0"/>
      <w:divBdr>
        <w:top w:val="none" w:sz="0" w:space="0" w:color="auto"/>
        <w:left w:val="none" w:sz="0" w:space="0" w:color="auto"/>
        <w:bottom w:val="none" w:sz="0" w:space="0" w:color="auto"/>
        <w:right w:val="none" w:sz="0" w:space="0" w:color="auto"/>
      </w:divBdr>
    </w:div>
    <w:div w:id="1024137573">
      <w:bodyDiv w:val="1"/>
      <w:marLeft w:val="0"/>
      <w:marRight w:val="0"/>
      <w:marTop w:val="0"/>
      <w:marBottom w:val="0"/>
      <w:divBdr>
        <w:top w:val="none" w:sz="0" w:space="0" w:color="auto"/>
        <w:left w:val="none" w:sz="0" w:space="0" w:color="auto"/>
        <w:bottom w:val="none" w:sz="0" w:space="0" w:color="auto"/>
        <w:right w:val="none" w:sz="0" w:space="0" w:color="auto"/>
      </w:divBdr>
    </w:div>
    <w:div w:id="1024283101">
      <w:marLeft w:val="480"/>
      <w:marRight w:val="0"/>
      <w:marTop w:val="0"/>
      <w:marBottom w:val="0"/>
      <w:divBdr>
        <w:top w:val="none" w:sz="0" w:space="0" w:color="auto"/>
        <w:left w:val="none" w:sz="0" w:space="0" w:color="auto"/>
        <w:bottom w:val="none" w:sz="0" w:space="0" w:color="auto"/>
        <w:right w:val="none" w:sz="0" w:space="0" w:color="auto"/>
      </w:divBdr>
    </w:div>
    <w:div w:id="1027221403">
      <w:marLeft w:val="480"/>
      <w:marRight w:val="0"/>
      <w:marTop w:val="0"/>
      <w:marBottom w:val="0"/>
      <w:divBdr>
        <w:top w:val="none" w:sz="0" w:space="0" w:color="auto"/>
        <w:left w:val="none" w:sz="0" w:space="0" w:color="auto"/>
        <w:bottom w:val="none" w:sz="0" w:space="0" w:color="auto"/>
        <w:right w:val="none" w:sz="0" w:space="0" w:color="auto"/>
      </w:divBdr>
    </w:div>
    <w:div w:id="1028487162">
      <w:bodyDiv w:val="1"/>
      <w:marLeft w:val="0"/>
      <w:marRight w:val="0"/>
      <w:marTop w:val="0"/>
      <w:marBottom w:val="0"/>
      <w:divBdr>
        <w:top w:val="none" w:sz="0" w:space="0" w:color="auto"/>
        <w:left w:val="none" w:sz="0" w:space="0" w:color="auto"/>
        <w:bottom w:val="none" w:sz="0" w:space="0" w:color="auto"/>
        <w:right w:val="none" w:sz="0" w:space="0" w:color="auto"/>
      </w:divBdr>
      <w:divsChild>
        <w:div w:id="341396612">
          <w:marLeft w:val="480"/>
          <w:marRight w:val="0"/>
          <w:marTop w:val="0"/>
          <w:marBottom w:val="0"/>
          <w:divBdr>
            <w:top w:val="none" w:sz="0" w:space="0" w:color="auto"/>
            <w:left w:val="none" w:sz="0" w:space="0" w:color="auto"/>
            <w:bottom w:val="none" w:sz="0" w:space="0" w:color="auto"/>
            <w:right w:val="none" w:sz="0" w:space="0" w:color="auto"/>
          </w:divBdr>
        </w:div>
        <w:div w:id="775951674">
          <w:marLeft w:val="480"/>
          <w:marRight w:val="0"/>
          <w:marTop w:val="0"/>
          <w:marBottom w:val="0"/>
          <w:divBdr>
            <w:top w:val="none" w:sz="0" w:space="0" w:color="auto"/>
            <w:left w:val="none" w:sz="0" w:space="0" w:color="auto"/>
            <w:bottom w:val="none" w:sz="0" w:space="0" w:color="auto"/>
            <w:right w:val="none" w:sz="0" w:space="0" w:color="auto"/>
          </w:divBdr>
        </w:div>
        <w:div w:id="1126311449">
          <w:marLeft w:val="480"/>
          <w:marRight w:val="0"/>
          <w:marTop w:val="0"/>
          <w:marBottom w:val="0"/>
          <w:divBdr>
            <w:top w:val="none" w:sz="0" w:space="0" w:color="auto"/>
            <w:left w:val="none" w:sz="0" w:space="0" w:color="auto"/>
            <w:bottom w:val="none" w:sz="0" w:space="0" w:color="auto"/>
            <w:right w:val="none" w:sz="0" w:space="0" w:color="auto"/>
          </w:divBdr>
        </w:div>
        <w:div w:id="1337343848">
          <w:marLeft w:val="480"/>
          <w:marRight w:val="0"/>
          <w:marTop w:val="0"/>
          <w:marBottom w:val="0"/>
          <w:divBdr>
            <w:top w:val="none" w:sz="0" w:space="0" w:color="auto"/>
            <w:left w:val="none" w:sz="0" w:space="0" w:color="auto"/>
            <w:bottom w:val="none" w:sz="0" w:space="0" w:color="auto"/>
            <w:right w:val="none" w:sz="0" w:space="0" w:color="auto"/>
          </w:divBdr>
        </w:div>
        <w:div w:id="1723871855">
          <w:marLeft w:val="480"/>
          <w:marRight w:val="0"/>
          <w:marTop w:val="0"/>
          <w:marBottom w:val="0"/>
          <w:divBdr>
            <w:top w:val="none" w:sz="0" w:space="0" w:color="auto"/>
            <w:left w:val="none" w:sz="0" w:space="0" w:color="auto"/>
            <w:bottom w:val="none" w:sz="0" w:space="0" w:color="auto"/>
            <w:right w:val="none" w:sz="0" w:space="0" w:color="auto"/>
          </w:divBdr>
        </w:div>
        <w:div w:id="1751466417">
          <w:marLeft w:val="480"/>
          <w:marRight w:val="0"/>
          <w:marTop w:val="0"/>
          <w:marBottom w:val="0"/>
          <w:divBdr>
            <w:top w:val="none" w:sz="0" w:space="0" w:color="auto"/>
            <w:left w:val="none" w:sz="0" w:space="0" w:color="auto"/>
            <w:bottom w:val="none" w:sz="0" w:space="0" w:color="auto"/>
            <w:right w:val="none" w:sz="0" w:space="0" w:color="auto"/>
          </w:divBdr>
        </w:div>
        <w:div w:id="1883664585">
          <w:marLeft w:val="480"/>
          <w:marRight w:val="0"/>
          <w:marTop w:val="0"/>
          <w:marBottom w:val="0"/>
          <w:divBdr>
            <w:top w:val="none" w:sz="0" w:space="0" w:color="auto"/>
            <w:left w:val="none" w:sz="0" w:space="0" w:color="auto"/>
            <w:bottom w:val="none" w:sz="0" w:space="0" w:color="auto"/>
            <w:right w:val="none" w:sz="0" w:space="0" w:color="auto"/>
          </w:divBdr>
        </w:div>
      </w:divsChild>
    </w:div>
    <w:div w:id="1029380401">
      <w:bodyDiv w:val="1"/>
      <w:marLeft w:val="0"/>
      <w:marRight w:val="0"/>
      <w:marTop w:val="0"/>
      <w:marBottom w:val="0"/>
      <w:divBdr>
        <w:top w:val="none" w:sz="0" w:space="0" w:color="auto"/>
        <w:left w:val="none" w:sz="0" w:space="0" w:color="auto"/>
        <w:bottom w:val="none" w:sz="0" w:space="0" w:color="auto"/>
        <w:right w:val="none" w:sz="0" w:space="0" w:color="auto"/>
      </w:divBdr>
      <w:divsChild>
        <w:div w:id="2180575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29601533">
      <w:bodyDiv w:val="1"/>
      <w:marLeft w:val="0"/>
      <w:marRight w:val="0"/>
      <w:marTop w:val="0"/>
      <w:marBottom w:val="0"/>
      <w:divBdr>
        <w:top w:val="none" w:sz="0" w:space="0" w:color="auto"/>
        <w:left w:val="none" w:sz="0" w:space="0" w:color="auto"/>
        <w:bottom w:val="none" w:sz="0" w:space="0" w:color="auto"/>
        <w:right w:val="none" w:sz="0" w:space="0" w:color="auto"/>
      </w:divBdr>
      <w:divsChild>
        <w:div w:id="959409465">
          <w:marLeft w:val="480"/>
          <w:marRight w:val="0"/>
          <w:marTop w:val="0"/>
          <w:marBottom w:val="0"/>
          <w:divBdr>
            <w:top w:val="none" w:sz="0" w:space="0" w:color="auto"/>
            <w:left w:val="none" w:sz="0" w:space="0" w:color="auto"/>
            <w:bottom w:val="none" w:sz="0" w:space="0" w:color="auto"/>
            <w:right w:val="none" w:sz="0" w:space="0" w:color="auto"/>
          </w:divBdr>
        </w:div>
        <w:div w:id="1193349640">
          <w:marLeft w:val="480"/>
          <w:marRight w:val="0"/>
          <w:marTop w:val="0"/>
          <w:marBottom w:val="0"/>
          <w:divBdr>
            <w:top w:val="none" w:sz="0" w:space="0" w:color="auto"/>
            <w:left w:val="none" w:sz="0" w:space="0" w:color="auto"/>
            <w:bottom w:val="none" w:sz="0" w:space="0" w:color="auto"/>
            <w:right w:val="none" w:sz="0" w:space="0" w:color="auto"/>
          </w:divBdr>
        </w:div>
        <w:div w:id="1778482772">
          <w:marLeft w:val="480"/>
          <w:marRight w:val="0"/>
          <w:marTop w:val="0"/>
          <w:marBottom w:val="0"/>
          <w:divBdr>
            <w:top w:val="none" w:sz="0" w:space="0" w:color="auto"/>
            <w:left w:val="none" w:sz="0" w:space="0" w:color="auto"/>
            <w:bottom w:val="none" w:sz="0" w:space="0" w:color="auto"/>
            <w:right w:val="none" w:sz="0" w:space="0" w:color="auto"/>
          </w:divBdr>
        </w:div>
        <w:div w:id="2132161432">
          <w:marLeft w:val="480"/>
          <w:marRight w:val="0"/>
          <w:marTop w:val="0"/>
          <w:marBottom w:val="0"/>
          <w:divBdr>
            <w:top w:val="none" w:sz="0" w:space="0" w:color="auto"/>
            <w:left w:val="none" w:sz="0" w:space="0" w:color="auto"/>
            <w:bottom w:val="none" w:sz="0" w:space="0" w:color="auto"/>
            <w:right w:val="none" w:sz="0" w:space="0" w:color="auto"/>
          </w:divBdr>
        </w:div>
      </w:divsChild>
    </w:div>
    <w:div w:id="1031301852">
      <w:marLeft w:val="480"/>
      <w:marRight w:val="0"/>
      <w:marTop w:val="0"/>
      <w:marBottom w:val="0"/>
      <w:divBdr>
        <w:top w:val="none" w:sz="0" w:space="0" w:color="auto"/>
        <w:left w:val="none" w:sz="0" w:space="0" w:color="auto"/>
        <w:bottom w:val="none" w:sz="0" w:space="0" w:color="auto"/>
        <w:right w:val="none" w:sz="0" w:space="0" w:color="auto"/>
      </w:divBdr>
    </w:div>
    <w:div w:id="1032536728">
      <w:marLeft w:val="480"/>
      <w:marRight w:val="0"/>
      <w:marTop w:val="0"/>
      <w:marBottom w:val="0"/>
      <w:divBdr>
        <w:top w:val="none" w:sz="0" w:space="0" w:color="auto"/>
        <w:left w:val="none" w:sz="0" w:space="0" w:color="auto"/>
        <w:bottom w:val="none" w:sz="0" w:space="0" w:color="auto"/>
        <w:right w:val="none" w:sz="0" w:space="0" w:color="auto"/>
      </w:divBdr>
    </w:div>
    <w:div w:id="1034354846">
      <w:bodyDiv w:val="1"/>
      <w:marLeft w:val="0"/>
      <w:marRight w:val="0"/>
      <w:marTop w:val="0"/>
      <w:marBottom w:val="0"/>
      <w:divBdr>
        <w:top w:val="none" w:sz="0" w:space="0" w:color="auto"/>
        <w:left w:val="none" w:sz="0" w:space="0" w:color="auto"/>
        <w:bottom w:val="none" w:sz="0" w:space="0" w:color="auto"/>
        <w:right w:val="none" w:sz="0" w:space="0" w:color="auto"/>
      </w:divBdr>
    </w:div>
    <w:div w:id="1035345669">
      <w:bodyDiv w:val="1"/>
      <w:marLeft w:val="0"/>
      <w:marRight w:val="0"/>
      <w:marTop w:val="0"/>
      <w:marBottom w:val="0"/>
      <w:divBdr>
        <w:top w:val="none" w:sz="0" w:space="0" w:color="auto"/>
        <w:left w:val="none" w:sz="0" w:space="0" w:color="auto"/>
        <w:bottom w:val="none" w:sz="0" w:space="0" w:color="auto"/>
        <w:right w:val="none" w:sz="0" w:space="0" w:color="auto"/>
      </w:divBdr>
      <w:divsChild>
        <w:div w:id="214975253">
          <w:marLeft w:val="480"/>
          <w:marRight w:val="0"/>
          <w:marTop w:val="0"/>
          <w:marBottom w:val="0"/>
          <w:divBdr>
            <w:top w:val="none" w:sz="0" w:space="0" w:color="auto"/>
            <w:left w:val="none" w:sz="0" w:space="0" w:color="auto"/>
            <w:bottom w:val="none" w:sz="0" w:space="0" w:color="auto"/>
            <w:right w:val="none" w:sz="0" w:space="0" w:color="auto"/>
          </w:divBdr>
        </w:div>
        <w:div w:id="320426053">
          <w:marLeft w:val="480"/>
          <w:marRight w:val="0"/>
          <w:marTop w:val="0"/>
          <w:marBottom w:val="0"/>
          <w:divBdr>
            <w:top w:val="none" w:sz="0" w:space="0" w:color="auto"/>
            <w:left w:val="none" w:sz="0" w:space="0" w:color="auto"/>
            <w:bottom w:val="none" w:sz="0" w:space="0" w:color="auto"/>
            <w:right w:val="none" w:sz="0" w:space="0" w:color="auto"/>
          </w:divBdr>
        </w:div>
        <w:div w:id="567039072">
          <w:marLeft w:val="480"/>
          <w:marRight w:val="0"/>
          <w:marTop w:val="0"/>
          <w:marBottom w:val="0"/>
          <w:divBdr>
            <w:top w:val="none" w:sz="0" w:space="0" w:color="auto"/>
            <w:left w:val="none" w:sz="0" w:space="0" w:color="auto"/>
            <w:bottom w:val="none" w:sz="0" w:space="0" w:color="auto"/>
            <w:right w:val="none" w:sz="0" w:space="0" w:color="auto"/>
          </w:divBdr>
        </w:div>
        <w:div w:id="598441299">
          <w:marLeft w:val="480"/>
          <w:marRight w:val="0"/>
          <w:marTop w:val="0"/>
          <w:marBottom w:val="0"/>
          <w:divBdr>
            <w:top w:val="none" w:sz="0" w:space="0" w:color="auto"/>
            <w:left w:val="none" w:sz="0" w:space="0" w:color="auto"/>
            <w:bottom w:val="none" w:sz="0" w:space="0" w:color="auto"/>
            <w:right w:val="none" w:sz="0" w:space="0" w:color="auto"/>
          </w:divBdr>
        </w:div>
        <w:div w:id="780537050">
          <w:marLeft w:val="480"/>
          <w:marRight w:val="0"/>
          <w:marTop w:val="0"/>
          <w:marBottom w:val="0"/>
          <w:divBdr>
            <w:top w:val="none" w:sz="0" w:space="0" w:color="auto"/>
            <w:left w:val="none" w:sz="0" w:space="0" w:color="auto"/>
            <w:bottom w:val="none" w:sz="0" w:space="0" w:color="auto"/>
            <w:right w:val="none" w:sz="0" w:space="0" w:color="auto"/>
          </w:divBdr>
        </w:div>
        <w:div w:id="829249753">
          <w:marLeft w:val="480"/>
          <w:marRight w:val="0"/>
          <w:marTop w:val="0"/>
          <w:marBottom w:val="0"/>
          <w:divBdr>
            <w:top w:val="none" w:sz="0" w:space="0" w:color="auto"/>
            <w:left w:val="none" w:sz="0" w:space="0" w:color="auto"/>
            <w:bottom w:val="none" w:sz="0" w:space="0" w:color="auto"/>
            <w:right w:val="none" w:sz="0" w:space="0" w:color="auto"/>
          </w:divBdr>
        </w:div>
        <w:div w:id="973750753">
          <w:marLeft w:val="480"/>
          <w:marRight w:val="0"/>
          <w:marTop w:val="0"/>
          <w:marBottom w:val="0"/>
          <w:divBdr>
            <w:top w:val="none" w:sz="0" w:space="0" w:color="auto"/>
            <w:left w:val="none" w:sz="0" w:space="0" w:color="auto"/>
            <w:bottom w:val="none" w:sz="0" w:space="0" w:color="auto"/>
            <w:right w:val="none" w:sz="0" w:space="0" w:color="auto"/>
          </w:divBdr>
        </w:div>
        <w:div w:id="1342775696">
          <w:marLeft w:val="480"/>
          <w:marRight w:val="0"/>
          <w:marTop w:val="0"/>
          <w:marBottom w:val="0"/>
          <w:divBdr>
            <w:top w:val="none" w:sz="0" w:space="0" w:color="auto"/>
            <w:left w:val="none" w:sz="0" w:space="0" w:color="auto"/>
            <w:bottom w:val="none" w:sz="0" w:space="0" w:color="auto"/>
            <w:right w:val="none" w:sz="0" w:space="0" w:color="auto"/>
          </w:divBdr>
        </w:div>
      </w:divsChild>
    </w:div>
    <w:div w:id="1035540181">
      <w:bodyDiv w:val="1"/>
      <w:marLeft w:val="0"/>
      <w:marRight w:val="0"/>
      <w:marTop w:val="0"/>
      <w:marBottom w:val="0"/>
      <w:divBdr>
        <w:top w:val="none" w:sz="0" w:space="0" w:color="auto"/>
        <w:left w:val="none" w:sz="0" w:space="0" w:color="auto"/>
        <w:bottom w:val="none" w:sz="0" w:space="0" w:color="auto"/>
        <w:right w:val="none" w:sz="0" w:space="0" w:color="auto"/>
      </w:divBdr>
    </w:div>
    <w:div w:id="1038511229">
      <w:marLeft w:val="480"/>
      <w:marRight w:val="0"/>
      <w:marTop w:val="0"/>
      <w:marBottom w:val="0"/>
      <w:divBdr>
        <w:top w:val="none" w:sz="0" w:space="0" w:color="auto"/>
        <w:left w:val="none" w:sz="0" w:space="0" w:color="auto"/>
        <w:bottom w:val="none" w:sz="0" w:space="0" w:color="auto"/>
        <w:right w:val="none" w:sz="0" w:space="0" w:color="auto"/>
      </w:divBdr>
    </w:div>
    <w:div w:id="1039670265">
      <w:marLeft w:val="480"/>
      <w:marRight w:val="0"/>
      <w:marTop w:val="0"/>
      <w:marBottom w:val="0"/>
      <w:divBdr>
        <w:top w:val="none" w:sz="0" w:space="0" w:color="auto"/>
        <w:left w:val="none" w:sz="0" w:space="0" w:color="auto"/>
        <w:bottom w:val="none" w:sz="0" w:space="0" w:color="auto"/>
        <w:right w:val="none" w:sz="0" w:space="0" w:color="auto"/>
      </w:divBdr>
    </w:div>
    <w:div w:id="1040280480">
      <w:marLeft w:val="480"/>
      <w:marRight w:val="0"/>
      <w:marTop w:val="0"/>
      <w:marBottom w:val="0"/>
      <w:divBdr>
        <w:top w:val="none" w:sz="0" w:space="0" w:color="auto"/>
        <w:left w:val="none" w:sz="0" w:space="0" w:color="auto"/>
        <w:bottom w:val="none" w:sz="0" w:space="0" w:color="auto"/>
        <w:right w:val="none" w:sz="0" w:space="0" w:color="auto"/>
      </w:divBdr>
    </w:div>
    <w:div w:id="1040402708">
      <w:marLeft w:val="480"/>
      <w:marRight w:val="0"/>
      <w:marTop w:val="0"/>
      <w:marBottom w:val="0"/>
      <w:divBdr>
        <w:top w:val="none" w:sz="0" w:space="0" w:color="auto"/>
        <w:left w:val="none" w:sz="0" w:space="0" w:color="auto"/>
        <w:bottom w:val="none" w:sz="0" w:space="0" w:color="auto"/>
        <w:right w:val="none" w:sz="0" w:space="0" w:color="auto"/>
      </w:divBdr>
    </w:div>
    <w:div w:id="1040980062">
      <w:marLeft w:val="480"/>
      <w:marRight w:val="0"/>
      <w:marTop w:val="0"/>
      <w:marBottom w:val="0"/>
      <w:divBdr>
        <w:top w:val="none" w:sz="0" w:space="0" w:color="auto"/>
        <w:left w:val="none" w:sz="0" w:space="0" w:color="auto"/>
        <w:bottom w:val="none" w:sz="0" w:space="0" w:color="auto"/>
        <w:right w:val="none" w:sz="0" w:space="0" w:color="auto"/>
      </w:divBdr>
    </w:div>
    <w:div w:id="1041516303">
      <w:bodyDiv w:val="1"/>
      <w:marLeft w:val="0"/>
      <w:marRight w:val="0"/>
      <w:marTop w:val="0"/>
      <w:marBottom w:val="0"/>
      <w:divBdr>
        <w:top w:val="none" w:sz="0" w:space="0" w:color="auto"/>
        <w:left w:val="none" w:sz="0" w:space="0" w:color="auto"/>
        <w:bottom w:val="none" w:sz="0" w:space="0" w:color="auto"/>
        <w:right w:val="none" w:sz="0" w:space="0" w:color="auto"/>
      </w:divBdr>
      <w:divsChild>
        <w:div w:id="296187133">
          <w:marLeft w:val="480"/>
          <w:marRight w:val="0"/>
          <w:marTop w:val="0"/>
          <w:marBottom w:val="0"/>
          <w:divBdr>
            <w:top w:val="none" w:sz="0" w:space="0" w:color="auto"/>
            <w:left w:val="none" w:sz="0" w:space="0" w:color="auto"/>
            <w:bottom w:val="none" w:sz="0" w:space="0" w:color="auto"/>
            <w:right w:val="none" w:sz="0" w:space="0" w:color="auto"/>
          </w:divBdr>
        </w:div>
        <w:div w:id="404257096">
          <w:marLeft w:val="480"/>
          <w:marRight w:val="0"/>
          <w:marTop w:val="0"/>
          <w:marBottom w:val="0"/>
          <w:divBdr>
            <w:top w:val="none" w:sz="0" w:space="0" w:color="auto"/>
            <w:left w:val="none" w:sz="0" w:space="0" w:color="auto"/>
            <w:bottom w:val="none" w:sz="0" w:space="0" w:color="auto"/>
            <w:right w:val="none" w:sz="0" w:space="0" w:color="auto"/>
          </w:divBdr>
        </w:div>
        <w:div w:id="551310936">
          <w:marLeft w:val="480"/>
          <w:marRight w:val="0"/>
          <w:marTop w:val="0"/>
          <w:marBottom w:val="0"/>
          <w:divBdr>
            <w:top w:val="none" w:sz="0" w:space="0" w:color="auto"/>
            <w:left w:val="none" w:sz="0" w:space="0" w:color="auto"/>
            <w:bottom w:val="none" w:sz="0" w:space="0" w:color="auto"/>
            <w:right w:val="none" w:sz="0" w:space="0" w:color="auto"/>
          </w:divBdr>
        </w:div>
        <w:div w:id="1029839571">
          <w:marLeft w:val="480"/>
          <w:marRight w:val="0"/>
          <w:marTop w:val="0"/>
          <w:marBottom w:val="0"/>
          <w:divBdr>
            <w:top w:val="none" w:sz="0" w:space="0" w:color="auto"/>
            <w:left w:val="none" w:sz="0" w:space="0" w:color="auto"/>
            <w:bottom w:val="none" w:sz="0" w:space="0" w:color="auto"/>
            <w:right w:val="none" w:sz="0" w:space="0" w:color="auto"/>
          </w:divBdr>
        </w:div>
        <w:div w:id="1454396441">
          <w:marLeft w:val="480"/>
          <w:marRight w:val="0"/>
          <w:marTop w:val="0"/>
          <w:marBottom w:val="0"/>
          <w:divBdr>
            <w:top w:val="none" w:sz="0" w:space="0" w:color="auto"/>
            <w:left w:val="none" w:sz="0" w:space="0" w:color="auto"/>
            <w:bottom w:val="none" w:sz="0" w:space="0" w:color="auto"/>
            <w:right w:val="none" w:sz="0" w:space="0" w:color="auto"/>
          </w:divBdr>
        </w:div>
        <w:div w:id="1462262837">
          <w:marLeft w:val="480"/>
          <w:marRight w:val="0"/>
          <w:marTop w:val="0"/>
          <w:marBottom w:val="0"/>
          <w:divBdr>
            <w:top w:val="none" w:sz="0" w:space="0" w:color="auto"/>
            <w:left w:val="none" w:sz="0" w:space="0" w:color="auto"/>
            <w:bottom w:val="none" w:sz="0" w:space="0" w:color="auto"/>
            <w:right w:val="none" w:sz="0" w:space="0" w:color="auto"/>
          </w:divBdr>
        </w:div>
        <w:div w:id="1760636801">
          <w:marLeft w:val="480"/>
          <w:marRight w:val="0"/>
          <w:marTop w:val="0"/>
          <w:marBottom w:val="0"/>
          <w:divBdr>
            <w:top w:val="none" w:sz="0" w:space="0" w:color="auto"/>
            <w:left w:val="none" w:sz="0" w:space="0" w:color="auto"/>
            <w:bottom w:val="none" w:sz="0" w:space="0" w:color="auto"/>
            <w:right w:val="none" w:sz="0" w:space="0" w:color="auto"/>
          </w:divBdr>
        </w:div>
        <w:div w:id="1799378584">
          <w:marLeft w:val="480"/>
          <w:marRight w:val="0"/>
          <w:marTop w:val="0"/>
          <w:marBottom w:val="0"/>
          <w:divBdr>
            <w:top w:val="none" w:sz="0" w:space="0" w:color="auto"/>
            <w:left w:val="none" w:sz="0" w:space="0" w:color="auto"/>
            <w:bottom w:val="none" w:sz="0" w:space="0" w:color="auto"/>
            <w:right w:val="none" w:sz="0" w:space="0" w:color="auto"/>
          </w:divBdr>
        </w:div>
        <w:div w:id="1941982481">
          <w:marLeft w:val="480"/>
          <w:marRight w:val="0"/>
          <w:marTop w:val="0"/>
          <w:marBottom w:val="0"/>
          <w:divBdr>
            <w:top w:val="none" w:sz="0" w:space="0" w:color="auto"/>
            <w:left w:val="none" w:sz="0" w:space="0" w:color="auto"/>
            <w:bottom w:val="none" w:sz="0" w:space="0" w:color="auto"/>
            <w:right w:val="none" w:sz="0" w:space="0" w:color="auto"/>
          </w:divBdr>
        </w:div>
        <w:div w:id="1963031703">
          <w:marLeft w:val="480"/>
          <w:marRight w:val="0"/>
          <w:marTop w:val="0"/>
          <w:marBottom w:val="0"/>
          <w:divBdr>
            <w:top w:val="none" w:sz="0" w:space="0" w:color="auto"/>
            <w:left w:val="none" w:sz="0" w:space="0" w:color="auto"/>
            <w:bottom w:val="none" w:sz="0" w:space="0" w:color="auto"/>
            <w:right w:val="none" w:sz="0" w:space="0" w:color="auto"/>
          </w:divBdr>
        </w:div>
        <w:div w:id="2025328567">
          <w:marLeft w:val="480"/>
          <w:marRight w:val="0"/>
          <w:marTop w:val="0"/>
          <w:marBottom w:val="0"/>
          <w:divBdr>
            <w:top w:val="none" w:sz="0" w:space="0" w:color="auto"/>
            <w:left w:val="none" w:sz="0" w:space="0" w:color="auto"/>
            <w:bottom w:val="none" w:sz="0" w:space="0" w:color="auto"/>
            <w:right w:val="none" w:sz="0" w:space="0" w:color="auto"/>
          </w:divBdr>
        </w:div>
      </w:divsChild>
    </w:div>
    <w:div w:id="1045835305">
      <w:marLeft w:val="480"/>
      <w:marRight w:val="0"/>
      <w:marTop w:val="0"/>
      <w:marBottom w:val="0"/>
      <w:divBdr>
        <w:top w:val="none" w:sz="0" w:space="0" w:color="auto"/>
        <w:left w:val="none" w:sz="0" w:space="0" w:color="auto"/>
        <w:bottom w:val="none" w:sz="0" w:space="0" w:color="auto"/>
        <w:right w:val="none" w:sz="0" w:space="0" w:color="auto"/>
      </w:divBdr>
    </w:div>
    <w:div w:id="1046445153">
      <w:marLeft w:val="480"/>
      <w:marRight w:val="0"/>
      <w:marTop w:val="0"/>
      <w:marBottom w:val="0"/>
      <w:divBdr>
        <w:top w:val="none" w:sz="0" w:space="0" w:color="auto"/>
        <w:left w:val="none" w:sz="0" w:space="0" w:color="auto"/>
        <w:bottom w:val="none" w:sz="0" w:space="0" w:color="auto"/>
        <w:right w:val="none" w:sz="0" w:space="0" w:color="auto"/>
      </w:divBdr>
    </w:div>
    <w:div w:id="1049232594">
      <w:marLeft w:val="480"/>
      <w:marRight w:val="0"/>
      <w:marTop w:val="0"/>
      <w:marBottom w:val="0"/>
      <w:divBdr>
        <w:top w:val="none" w:sz="0" w:space="0" w:color="auto"/>
        <w:left w:val="none" w:sz="0" w:space="0" w:color="auto"/>
        <w:bottom w:val="none" w:sz="0" w:space="0" w:color="auto"/>
        <w:right w:val="none" w:sz="0" w:space="0" w:color="auto"/>
      </w:divBdr>
    </w:div>
    <w:div w:id="1049257499">
      <w:marLeft w:val="480"/>
      <w:marRight w:val="0"/>
      <w:marTop w:val="0"/>
      <w:marBottom w:val="0"/>
      <w:divBdr>
        <w:top w:val="none" w:sz="0" w:space="0" w:color="auto"/>
        <w:left w:val="none" w:sz="0" w:space="0" w:color="auto"/>
        <w:bottom w:val="none" w:sz="0" w:space="0" w:color="auto"/>
        <w:right w:val="none" w:sz="0" w:space="0" w:color="auto"/>
      </w:divBdr>
    </w:div>
    <w:div w:id="1050228584">
      <w:marLeft w:val="480"/>
      <w:marRight w:val="0"/>
      <w:marTop w:val="0"/>
      <w:marBottom w:val="0"/>
      <w:divBdr>
        <w:top w:val="none" w:sz="0" w:space="0" w:color="auto"/>
        <w:left w:val="none" w:sz="0" w:space="0" w:color="auto"/>
        <w:bottom w:val="none" w:sz="0" w:space="0" w:color="auto"/>
        <w:right w:val="none" w:sz="0" w:space="0" w:color="auto"/>
      </w:divBdr>
    </w:div>
    <w:div w:id="1050569215">
      <w:marLeft w:val="480"/>
      <w:marRight w:val="0"/>
      <w:marTop w:val="0"/>
      <w:marBottom w:val="0"/>
      <w:divBdr>
        <w:top w:val="none" w:sz="0" w:space="0" w:color="auto"/>
        <w:left w:val="none" w:sz="0" w:space="0" w:color="auto"/>
        <w:bottom w:val="none" w:sz="0" w:space="0" w:color="auto"/>
        <w:right w:val="none" w:sz="0" w:space="0" w:color="auto"/>
      </w:divBdr>
    </w:div>
    <w:div w:id="1050953792">
      <w:marLeft w:val="480"/>
      <w:marRight w:val="0"/>
      <w:marTop w:val="0"/>
      <w:marBottom w:val="0"/>
      <w:divBdr>
        <w:top w:val="none" w:sz="0" w:space="0" w:color="auto"/>
        <w:left w:val="none" w:sz="0" w:space="0" w:color="auto"/>
        <w:bottom w:val="none" w:sz="0" w:space="0" w:color="auto"/>
        <w:right w:val="none" w:sz="0" w:space="0" w:color="auto"/>
      </w:divBdr>
    </w:div>
    <w:div w:id="1052925756">
      <w:marLeft w:val="480"/>
      <w:marRight w:val="0"/>
      <w:marTop w:val="0"/>
      <w:marBottom w:val="0"/>
      <w:divBdr>
        <w:top w:val="none" w:sz="0" w:space="0" w:color="auto"/>
        <w:left w:val="none" w:sz="0" w:space="0" w:color="auto"/>
        <w:bottom w:val="none" w:sz="0" w:space="0" w:color="auto"/>
        <w:right w:val="none" w:sz="0" w:space="0" w:color="auto"/>
      </w:divBdr>
    </w:div>
    <w:div w:id="1053387838">
      <w:marLeft w:val="480"/>
      <w:marRight w:val="0"/>
      <w:marTop w:val="0"/>
      <w:marBottom w:val="0"/>
      <w:divBdr>
        <w:top w:val="none" w:sz="0" w:space="0" w:color="auto"/>
        <w:left w:val="none" w:sz="0" w:space="0" w:color="auto"/>
        <w:bottom w:val="none" w:sz="0" w:space="0" w:color="auto"/>
        <w:right w:val="none" w:sz="0" w:space="0" w:color="auto"/>
      </w:divBdr>
    </w:div>
    <w:div w:id="1059328167">
      <w:marLeft w:val="480"/>
      <w:marRight w:val="0"/>
      <w:marTop w:val="0"/>
      <w:marBottom w:val="0"/>
      <w:divBdr>
        <w:top w:val="none" w:sz="0" w:space="0" w:color="auto"/>
        <w:left w:val="none" w:sz="0" w:space="0" w:color="auto"/>
        <w:bottom w:val="none" w:sz="0" w:space="0" w:color="auto"/>
        <w:right w:val="none" w:sz="0" w:space="0" w:color="auto"/>
      </w:divBdr>
    </w:div>
    <w:div w:id="1059672358">
      <w:bodyDiv w:val="1"/>
      <w:marLeft w:val="0"/>
      <w:marRight w:val="0"/>
      <w:marTop w:val="0"/>
      <w:marBottom w:val="0"/>
      <w:divBdr>
        <w:top w:val="none" w:sz="0" w:space="0" w:color="auto"/>
        <w:left w:val="none" w:sz="0" w:space="0" w:color="auto"/>
        <w:bottom w:val="none" w:sz="0" w:space="0" w:color="auto"/>
        <w:right w:val="none" w:sz="0" w:space="0" w:color="auto"/>
      </w:divBdr>
    </w:div>
    <w:div w:id="1060399894">
      <w:marLeft w:val="480"/>
      <w:marRight w:val="0"/>
      <w:marTop w:val="0"/>
      <w:marBottom w:val="0"/>
      <w:divBdr>
        <w:top w:val="none" w:sz="0" w:space="0" w:color="auto"/>
        <w:left w:val="none" w:sz="0" w:space="0" w:color="auto"/>
        <w:bottom w:val="none" w:sz="0" w:space="0" w:color="auto"/>
        <w:right w:val="none" w:sz="0" w:space="0" w:color="auto"/>
      </w:divBdr>
    </w:div>
    <w:div w:id="1060443383">
      <w:marLeft w:val="480"/>
      <w:marRight w:val="0"/>
      <w:marTop w:val="0"/>
      <w:marBottom w:val="0"/>
      <w:divBdr>
        <w:top w:val="none" w:sz="0" w:space="0" w:color="auto"/>
        <w:left w:val="none" w:sz="0" w:space="0" w:color="auto"/>
        <w:bottom w:val="none" w:sz="0" w:space="0" w:color="auto"/>
        <w:right w:val="none" w:sz="0" w:space="0" w:color="auto"/>
      </w:divBdr>
    </w:div>
    <w:div w:id="1060790513">
      <w:marLeft w:val="480"/>
      <w:marRight w:val="0"/>
      <w:marTop w:val="0"/>
      <w:marBottom w:val="0"/>
      <w:divBdr>
        <w:top w:val="none" w:sz="0" w:space="0" w:color="auto"/>
        <w:left w:val="none" w:sz="0" w:space="0" w:color="auto"/>
        <w:bottom w:val="none" w:sz="0" w:space="0" w:color="auto"/>
        <w:right w:val="none" w:sz="0" w:space="0" w:color="auto"/>
      </w:divBdr>
    </w:div>
    <w:div w:id="1065179704">
      <w:marLeft w:val="480"/>
      <w:marRight w:val="0"/>
      <w:marTop w:val="0"/>
      <w:marBottom w:val="0"/>
      <w:divBdr>
        <w:top w:val="none" w:sz="0" w:space="0" w:color="auto"/>
        <w:left w:val="none" w:sz="0" w:space="0" w:color="auto"/>
        <w:bottom w:val="none" w:sz="0" w:space="0" w:color="auto"/>
        <w:right w:val="none" w:sz="0" w:space="0" w:color="auto"/>
      </w:divBdr>
    </w:div>
    <w:div w:id="1065298620">
      <w:marLeft w:val="480"/>
      <w:marRight w:val="0"/>
      <w:marTop w:val="0"/>
      <w:marBottom w:val="0"/>
      <w:divBdr>
        <w:top w:val="none" w:sz="0" w:space="0" w:color="auto"/>
        <w:left w:val="none" w:sz="0" w:space="0" w:color="auto"/>
        <w:bottom w:val="none" w:sz="0" w:space="0" w:color="auto"/>
        <w:right w:val="none" w:sz="0" w:space="0" w:color="auto"/>
      </w:divBdr>
    </w:div>
    <w:div w:id="1066101531">
      <w:bodyDiv w:val="1"/>
      <w:marLeft w:val="0"/>
      <w:marRight w:val="0"/>
      <w:marTop w:val="0"/>
      <w:marBottom w:val="0"/>
      <w:divBdr>
        <w:top w:val="none" w:sz="0" w:space="0" w:color="auto"/>
        <w:left w:val="none" w:sz="0" w:space="0" w:color="auto"/>
        <w:bottom w:val="none" w:sz="0" w:space="0" w:color="auto"/>
        <w:right w:val="none" w:sz="0" w:space="0" w:color="auto"/>
      </w:divBdr>
      <w:divsChild>
        <w:div w:id="61872715">
          <w:marLeft w:val="0"/>
          <w:marRight w:val="0"/>
          <w:marTop w:val="0"/>
          <w:marBottom w:val="0"/>
          <w:divBdr>
            <w:top w:val="none" w:sz="0" w:space="0" w:color="auto"/>
            <w:left w:val="none" w:sz="0" w:space="0" w:color="auto"/>
            <w:bottom w:val="none" w:sz="0" w:space="0" w:color="auto"/>
            <w:right w:val="none" w:sz="0" w:space="0" w:color="auto"/>
          </w:divBdr>
          <w:divsChild>
            <w:div w:id="821972847">
              <w:marLeft w:val="-75"/>
              <w:marRight w:val="0"/>
              <w:marTop w:val="30"/>
              <w:marBottom w:val="30"/>
              <w:divBdr>
                <w:top w:val="none" w:sz="0" w:space="0" w:color="auto"/>
                <w:left w:val="none" w:sz="0" w:space="0" w:color="auto"/>
                <w:bottom w:val="none" w:sz="0" w:space="0" w:color="auto"/>
                <w:right w:val="none" w:sz="0" w:space="0" w:color="auto"/>
              </w:divBdr>
              <w:divsChild>
                <w:div w:id="111898026">
                  <w:marLeft w:val="0"/>
                  <w:marRight w:val="0"/>
                  <w:marTop w:val="0"/>
                  <w:marBottom w:val="0"/>
                  <w:divBdr>
                    <w:top w:val="none" w:sz="0" w:space="0" w:color="auto"/>
                    <w:left w:val="none" w:sz="0" w:space="0" w:color="auto"/>
                    <w:bottom w:val="none" w:sz="0" w:space="0" w:color="auto"/>
                    <w:right w:val="none" w:sz="0" w:space="0" w:color="auto"/>
                  </w:divBdr>
                  <w:divsChild>
                    <w:div w:id="18746002">
                      <w:marLeft w:val="0"/>
                      <w:marRight w:val="0"/>
                      <w:marTop w:val="0"/>
                      <w:marBottom w:val="0"/>
                      <w:divBdr>
                        <w:top w:val="none" w:sz="0" w:space="0" w:color="auto"/>
                        <w:left w:val="none" w:sz="0" w:space="0" w:color="auto"/>
                        <w:bottom w:val="none" w:sz="0" w:space="0" w:color="auto"/>
                        <w:right w:val="none" w:sz="0" w:space="0" w:color="auto"/>
                      </w:divBdr>
                    </w:div>
                    <w:div w:id="1083338719">
                      <w:marLeft w:val="0"/>
                      <w:marRight w:val="0"/>
                      <w:marTop w:val="0"/>
                      <w:marBottom w:val="0"/>
                      <w:divBdr>
                        <w:top w:val="none" w:sz="0" w:space="0" w:color="auto"/>
                        <w:left w:val="none" w:sz="0" w:space="0" w:color="auto"/>
                        <w:bottom w:val="none" w:sz="0" w:space="0" w:color="auto"/>
                        <w:right w:val="none" w:sz="0" w:space="0" w:color="auto"/>
                      </w:divBdr>
                    </w:div>
                    <w:div w:id="1999267807">
                      <w:marLeft w:val="0"/>
                      <w:marRight w:val="0"/>
                      <w:marTop w:val="0"/>
                      <w:marBottom w:val="0"/>
                      <w:divBdr>
                        <w:top w:val="none" w:sz="0" w:space="0" w:color="auto"/>
                        <w:left w:val="none" w:sz="0" w:space="0" w:color="auto"/>
                        <w:bottom w:val="none" w:sz="0" w:space="0" w:color="auto"/>
                        <w:right w:val="none" w:sz="0" w:space="0" w:color="auto"/>
                      </w:divBdr>
                    </w:div>
                  </w:divsChild>
                </w:div>
                <w:div w:id="1655526908">
                  <w:marLeft w:val="0"/>
                  <w:marRight w:val="0"/>
                  <w:marTop w:val="0"/>
                  <w:marBottom w:val="0"/>
                  <w:divBdr>
                    <w:top w:val="none" w:sz="0" w:space="0" w:color="auto"/>
                    <w:left w:val="none" w:sz="0" w:space="0" w:color="auto"/>
                    <w:bottom w:val="none" w:sz="0" w:space="0" w:color="auto"/>
                    <w:right w:val="none" w:sz="0" w:space="0" w:color="auto"/>
                  </w:divBdr>
                  <w:divsChild>
                    <w:div w:id="126631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9576">
          <w:marLeft w:val="0"/>
          <w:marRight w:val="0"/>
          <w:marTop w:val="0"/>
          <w:marBottom w:val="0"/>
          <w:divBdr>
            <w:top w:val="none" w:sz="0" w:space="0" w:color="auto"/>
            <w:left w:val="none" w:sz="0" w:space="0" w:color="auto"/>
            <w:bottom w:val="none" w:sz="0" w:space="0" w:color="auto"/>
            <w:right w:val="none" w:sz="0" w:space="0" w:color="auto"/>
          </w:divBdr>
        </w:div>
        <w:div w:id="211969732">
          <w:marLeft w:val="0"/>
          <w:marRight w:val="0"/>
          <w:marTop w:val="0"/>
          <w:marBottom w:val="0"/>
          <w:divBdr>
            <w:top w:val="none" w:sz="0" w:space="0" w:color="auto"/>
            <w:left w:val="none" w:sz="0" w:space="0" w:color="auto"/>
            <w:bottom w:val="none" w:sz="0" w:space="0" w:color="auto"/>
            <w:right w:val="none" w:sz="0" w:space="0" w:color="auto"/>
          </w:divBdr>
        </w:div>
        <w:div w:id="315114586">
          <w:marLeft w:val="0"/>
          <w:marRight w:val="0"/>
          <w:marTop w:val="0"/>
          <w:marBottom w:val="0"/>
          <w:divBdr>
            <w:top w:val="none" w:sz="0" w:space="0" w:color="auto"/>
            <w:left w:val="none" w:sz="0" w:space="0" w:color="auto"/>
            <w:bottom w:val="none" w:sz="0" w:space="0" w:color="auto"/>
            <w:right w:val="none" w:sz="0" w:space="0" w:color="auto"/>
          </w:divBdr>
          <w:divsChild>
            <w:div w:id="98987659">
              <w:marLeft w:val="0"/>
              <w:marRight w:val="0"/>
              <w:marTop w:val="0"/>
              <w:marBottom w:val="0"/>
              <w:divBdr>
                <w:top w:val="none" w:sz="0" w:space="0" w:color="auto"/>
                <w:left w:val="none" w:sz="0" w:space="0" w:color="auto"/>
                <w:bottom w:val="none" w:sz="0" w:space="0" w:color="auto"/>
                <w:right w:val="none" w:sz="0" w:space="0" w:color="auto"/>
              </w:divBdr>
            </w:div>
            <w:div w:id="608046372">
              <w:marLeft w:val="0"/>
              <w:marRight w:val="0"/>
              <w:marTop w:val="0"/>
              <w:marBottom w:val="0"/>
              <w:divBdr>
                <w:top w:val="none" w:sz="0" w:space="0" w:color="auto"/>
                <w:left w:val="none" w:sz="0" w:space="0" w:color="auto"/>
                <w:bottom w:val="none" w:sz="0" w:space="0" w:color="auto"/>
                <w:right w:val="none" w:sz="0" w:space="0" w:color="auto"/>
              </w:divBdr>
            </w:div>
            <w:div w:id="608926772">
              <w:marLeft w:val="0"/>
              <w:marRight w:val="0"/>
              <w:marTop w:val="0"/>
              <w:marBottom w:val="0"/>
              <w:divBdr>
                <w:top w:val="none" w:sz="0" w:space="0" w:color="auto"/>
                <w:left w:val="none" w:sz="0" w:space="0" w:color="auto"/>
                <w:bottom w:val="none" w:sz="0" w:space="0" w:color="auto"/>
                <w:right w:val="none" w:sz="0" w:space="0" w:color="auto"/>
              </w:divBdr>
            </w:div>
            <w:div w:id="891230397">
              <w:marLeft w:val="0"/>
              <w:marRight w:val="0"/>
              <w:marTop w:val="0"/>
              <w:marBottom w:val="0"/>
              <w:divBdr>
                <w:top w:val="none" w:sz="0" w:space="0" w:color="auto"/>
                <w:left w:val="none" w:sz="0" w:space="0" w:color="auto"/>
                <w:bottom w:val="none" w:sz="0" w:space="0" w:color="auto"/>
                <w:right w:val="none" w:sz="0" w:space="0" w:color="auto"/>
              </w:divBdr>
            </w:div>
            <w:div w:id="1087843119">
              <w:marLeft w:val="0"/>
              <w:marRight w:val="0"/>
              <w:marTop w:val="0"/>
              <w:marBottom w:val="0"/>
              <w:divBdr>
                <w:top w:val="none" w:sz="0" w:space="0" w:color="auto"/>
                <w:left w:val="none" w:sz="0" w:space="0" w:color="auto"/>
                <w:bottom w:val="none" w:sz="0" w:space="0" w:color="auto"/>
                <w:right w:val="none" w:sz="0" w:space="0" w:color="auto"/>
              </w:divBdr>
            </w:div>
          </w:divsChild>
        </w:div>
        <w:div w:id="540093935">
          <w:marLeft w:val="0"/>
          <w:marRight w:val="0"/>
          <w:marTop w:val="0"/>
          <w:marBottom w:val="0"/>
          <w:divBdr>
            <w:top w:val="none" w:sz="0" w:space="0" w:color="auto"/>
            <w:left w:val="none" w:sz="0" w:space="0" w:color="auto"/>
            <w:bottom w:val="none" w:sz="0" w:space="0" w:color="auto"/>
            <w:right w:val="none" w:sz="0" w:space="0" w:color="auto"/>
          </w:divBdr>
          <w:divsChild>
            <w:div w:id="181553691">
              <w:marLeft w:val="0"/>
              <w:marRight w:val="0"/>
              <w:marTop w:val="0"/>
              <w:marBottom w:val="0"/>
              <w:divBdr>
                <w:top w:val="none" w:sz="0" w:space="0" w:color="auto"/>
                <w:left w:val="none" w:sz="0" w:space="0" w:color="auto"/>
                <w:bottom w:val="none" w:sz="0" w:space="0" w:color="auto"/>
                <w:right w:val="none" w:sz="0" w:space="0" w:color="auto"/>
              </w:divBdr>
            </w:div>
            <w:div w:id="665865615">
              <w:marLeft w:val="0"/>
              <w:marRight w:val="0"/>
              <w:marTop w:val="0"/>
              <w:marBottom w:val="0"/>
              <w:divBdr>
                <w:top w:val="none" w:sz="0" w:space="0" w:color="auto"/>
                <w:left w:val="none" w:sz="0" w:space="0" w:color="auto"/>
                <w:bottom w:val="none" w:sz="0" w:space="0" w:color="auto"/>
                <w:right w:val="none" w:sz="0" w:space="0" w:color="auto"/>
              </w:divBdr>
            </w:div>
            <w:div w:id="2052880783">
              <w:marLeft w:val="0"/>
              <w:marRight w:val="0"/>
              <w:marTop w:val="0"/>
              <w:marBottom w:val="0"/>
              <w:divBdr>
                <w:top w:val="none" w:sz="0" w:space="0" w:color="auto"/>
                <w:left w:val="none" w:sz="0" w:space="0" w:color="auto"/>
                <w:bottom w:val="none" w:sz="0" w:space="0" w:color="auto"/>
                <w:right w:val="none" w:sz="0" w:space="0" w:color="auto"/>
              </w:divBdr>
            </w:div>
          </w:divsChild>
        </w:div>
        <w:div w:id="793523156">
          <w:marLeft w:val="0"/>
          <w:marRight w:val="0"/>
          <w:marTop w:val="0"/>
          <w:marBottom w:val="0"/>
          <w:divBdr>
            <w:top w:val="none" w:sz="0" w:space="0" w:color="auto"/>
            <w:left w:val="none" w:sz="0" w:space="0" w:color="auto"/>
            <w:bottom w:val="none" w:sz="0" w:space="0" w:color="auto"/>
            <w:right w:val="none" w:sz="0" w:space="0" w:color="auto"/>
          </w:divBdr>
          <w:divsChild>
            <w:div w:id="918716186">
              <w:marLeft w:val="-75"/>
              <w:marRight w:val="0"/>
              <w:marTop w:val="30"/>
              <w:marBottom w:val="30"/>
              <w:divBdr>
                <w:top w:val="none" w:sz="0" w:space="0" w:color="auto"/>
                <w:left w:val="none" w:sz="0" w:space="0" w:color="auto"/>
                <w:bottom w:val="none" w:sz="0" w:space="0" w:color="auto"/>
                <w:right w:val="none" w:sz="0" w:space="0" w:color="auto"/>
              </w:divBdr>
              <w:divsChild>
                <w:div w:id="104736049">
                  <w:marLeft w:val="0"/>
                  <w:marRight w:val="0"/>
                  <w:marTop w:val="0"/>
                  <w:marBottom w:val="0"/>
                  <w:divBdr>
                    <w:top w:val="none" w:sz="0" w:space="0" w:color="auto"/>
                    <w:left w:val="none" w:sz="0" w:space="0" w:color="auto"/>
                    <w:bottom w:val="none" w:sz="0" w:space="0" w:color="auto"/>
                    <w:right w:val="none" w:sz="0" w:space="0" w:color="auto"/>
                  </w:divBdr>
                  <w:divsChild>
                    <w:div w:id="171262360">
                      <w:marLeft w:val="0"/>
                      <w:marRight w:val="0"/>
                      <w:marTop w:val="0"/>
                      <w:marBottom w:val="0"/>
                      <w:divBdr>
                        <w:top w:val="none" w:sz="0" w:space="0" w:color="auto"/>
                        <w:left w:val="none" w:sz="0" w:space="0" w:color="auto"/>
                        <w:bottom w:val="none" w:sz="0" w:space="0" w:color="auto"/>
                        <w:right w:val="none" w:sz="0" w:space="0" w:color="auto"/>
                      </w:divBdr>
                    </w:div>
                  </w:divsChild>
                </w:div>
                <w:div w:id="108397713">
                  <w:marLeft w:val="0"/>
                  <w:marRight w:val="0"/>
                  <w:marTop w:val="0"/>
                  <w:marBottom w:val="0"/>
                  <w:divBdr>
                    <w:top w:val="none" w:sz="0" w:space="0" w:color="auto"/>
                    <w:left w:val="none" w:sz="0" w:space="0" w:color="auto"/>
                    <w:bottom w:val="none" w:sz="0" w:space="0" w:color="auto"/>
                    <w:right w:val="none" w:sz="0" w:space="0" w:color="auto"/>
                  </w:divBdr>
                  <w:divsChild>
                    <w:div w:id="888221109">
                      <w:marLeft w:val="0"/>
                      <w:marRight w:val="0"/>
                      <w:marTop w:val="0"/>
                      <w:marBottom w:val="0"/>
                      <w:divBdr>
                        <w:top w:val="none" w:sz="0" w:space="0" w:color="auto"/>
                        <w:left w:val="none" w:sz="0" w:space="0" w:color="auto"/>
                        <w:bottom w:val="none" w:sz="0" w:space="0" w:color="auto"/>
                        <w:right w:val="none" w:sz="0" w:space="0" w:color="auto"/>
                      </w:divBdr>
                    </w:div>
                  </w:divsChild>
                </w:div>
                <w:div w:id="851409260">
                  <w:marLeft w:val="0"/>
                  <w:marRight w:val="0"/>
                  <w:marTop w:val="0"/>
                  <w:marBottom w:val="0"/>
                  <w:divBdr>
                    <w:top w:val="none" w:sz="0" w:space="0" w:color="auto"/>
                    <w:left w:val="none" w:sz="0" w:space="0" w:color="auto"/>
                    <w:bottom w:val="none" w:sz="0" w:space="0" w:color="auto"/>
                    <w:right w:val="none" w:sz="0" w:space="0" w:color="auto"/>
                  </w:divBdr>
                  <w:divsChild>
                    <w:div w:id="1012999045">
                      <w:marLeft w:val="0"/>
                      <w:marRight w:val="0"/>
                      <w:marTop w:val="0"/>
                      <w:marBottom w:val="0"/>
                      <w:divBdr>
                        <w:top w:val="none" w:sz="0" w:space="0" w:color="auto"/>
                        <w:left w:val="none" w:sz="0" w:space="0" w:color="auto"/>
                        <w:bottom w:val="none" w:sz="0" w:space="0" w:color="auto"/>
                        <w:right w:val="none" w:sz="0" w:space="0" w:color="auto"/>
                      </w:divBdr>
                    </w:div>
                  </w:divsChild>
                </w:div>
                <w:div w:id="1028798357">
                  <w:marLeft w:val="0"/>
                  <w:marRight w:val="0"/>
                  <w:marTop w:val="0"/>
                  <w:marBottom w:val="0"/>
                  <w:divBdr>
                    <w:top w:val="none" w:sz="0" w:space="0" w:color="auto"/>
                    <w:left w:val="none" w:sz="0" w:space="0" w:color="auto"/>
                    <w:bottom w:val="none" w:sz="0" w:space="0" w:color="auto"/>
                    <w:right w:val="none" w:sz="0" w:space="0" w:color="auto"/>
                  </w:divBdr>
                  <w:divsChild>
                    <w:div w:id="1441025821">
                      <w:marLeft w:val="0"/>
                      <w:marRight w:val="0"/>
                      <w:marTop w:val="0"/>
                      <w:marBottom w:val="0"/>
                      <w:divBdr>
                        <w:top w:val="none" w:sz="0" w:space="0" w:color="auto"/>
                        <w:left w:val="none" w:sz="0" w:space="0" w:color="auto"/>
                        <w:bottom w:val="none" w:sz="0" w:space="0" w:color="auto"/>
                        <w:right w:val="none" w:sz="0" w:space="0" w:color="auto"/>
                      </w:divBdr>
                    </w:div>
                  </w:divsChild>
                </w:div>
                <w:div w:id="1353141911">
                  <w:marLeft w:val="0"/>
                  <w:marRight w:val="0"/>
                  <w:marTop w:val="0"/>
                  <w:marBottom w:val="0"/>
                  <w:divBdr>
                    <w:top w:val="none" w:sz="0" w:space="0" w:color="auto"/>
                    <w:left w:val="none" w:sz="0" w:space="0" w:color="auto"/>
                    <w:bottom w:val="none" w:sz="0" w:space="0" w:color="auto"/>
                    <w:right w:val="none" w:sz="0" w:space="0" w:color="auto"/>
                  </w:divBdr>
                  <w:divsChild>
                    <w:div w:id="370619307">
                      <w:marLeft w:val="0"/>
                      <w:marRight w:val="0"/>
                      <w:marTop w:val="0"/>
                      <w:marBottom w:val="0"/>
                      <w:divBdr>
                        <w:top w:val="none" w:sz="0" w:space="0" w:color="auto"/>
                        <w:left w:val="none" w:sz="0" w:space="0" w:color="auto"/>
                        <w:bottom w:val="none" w:sz="0" w:space="0" w:color="auto"/>
                        <w:right w:val="none" w:sz="0" w:space="0" w:color="auto"/>
                      </w:divBdr>
                    </w:div>
                  </w:divsChild>
                </w:div>
                <w:div w:id="1388990582">
                  <w:marLeft w:val="0"/>
                  <w:marRight w:val="0"/>
                  <w:marTop w:val="0"/>
                  <w:marBottom w:val="0"/>
                  <w:divBdr>
                    <w:top w:val="none" w:sz="0" w:space="0" w:color="auto"/>
                    <w:left w:val="none" w:sz="0" w:space="0" w:color="auto"/>
                    <w:bottom w:val="none" w:sz="0" w:space="0" w:color="auto"/>
                    <w:right w:val="none" w:sz="0" w:space="0" w:color="auto"/>
                  </w:divBdr>
                  <w:divsChild>
                    <w:div w:id="1184632659">
                      <w:marLeft w:val="0"/>
                      <w:marRight w:val="0"/>
                      <w:marTop w:val="0"/>
                      <w:marBottom w:val="0"/>
                      <w:divBdr>
                        <w:top w:val="none" w:sz="0" w:space="0" w:color="auto"/>
                        <w:left w:val="none" w:sz="0" w:space="0" w:color="auto"/>
                        <w:bottom w:val="none" w:sz="0" w:space="0" w:color="auto"/>
                        <w:right w:val="none" w:sz="0" w:space="0" w:color="auto"/>
                      </w:divBdr>
                    </w:div>
                    <w:div w:id="2046783922">
                      <w:marLeft w:val="0"/>
                      <w:marRight w:val="0"/>
                      <w:marTop w:val="0"/>
                      <w:marBottom w:val="0"/>
                      <w:divBdr>
                        <w:top w:val="none" w:sz="0" w:space="0" w:color="auto"/>
                        <w:left w:val="none" w:sz="0" w:space="0" w:color="auto"/>
                        <w:bottom w:val="none" w:sz="0" w:space="0" w:color="auto"/>
                        <w:right w:val="none" w:sz="0" w:space="0" w:color="auto"/>
                      </w:divBdr>
                    </w:div>
                  </w:divsChild>
                </w:div>
                <w:div w:id="1768115023">
                  <w:marLeft w:val="0"/>
                  <w:marRight w:val="0"/>
                  <w:marTop w:val="0"/>
                  <w:marBottom w:val="0"/>
                  <w:divBdr>
                    <w:top w:val="none" w:sz="0" w:space="0" w:color="auto"/>
                    <w:left w:val="none" w:sz="0" w:space="0" w:color="auto"/>
                    <w:bottom w:val="none" w:sz="0" w:space="0" w:color="auto"/>
                    <w:right w:val="none" w:sz="0" w:space="0" w:color="auto"/>
                  </w:divBdr>
                  <w:divsChild>
                    <w:div w:id="1391417079">
                      <w:marLeft w:val="0"/>
                      <w:marRight w:val="0"/>
                      <w:marTop w:val="0"/>
                      <w:marBottom w:val="0"/>
                      <w:divBdr>
                        <w:top w:val="none" w:sz="0" w:space="0" w:color="auto"/>
                        <w:left w:val="none" w:sz="0" w:space="0" w:color="auto"/>
                        <w:bottom w:val="none" w:sz="0" w:space="0" w:color="auto"/>
                        <w:right w:val="none" w:sz="0" w:space="0" w:color="auto"/>
                      </w:divBdr>
                    </w:div>
                  </w:divsChild>
                </w:div>
                <w:div w:id="1768767132">
                  <w:marLeft w:val="0"/>
                  <w:marRight w:val="0"/>
                  <w:marTop w:val="0"/>
                  <w:marBottom w:val="0"/>
                  <w:divBdr>
                    <w:top w:val="none" w:sz="0" w:space="0" w:color="auto"/>
                    <w:left w:val="none" w:sz="0" w:space="0" w:color="auto"/>
                    <w:bottom w:val="none" w:sz="0" w:space="0" w:color="auto"/>
                    <w:right w:val="none" w:sz="0" w:space="0" w:color="auto"/>
                  </w:divBdr>
                </w:div>
                <w:div w:id="2104102410">
                  <w:marLeft w:val="0"/>
                  <w:marRight w:val="0"/>
                  <w:marTop w:val="0"/>
                  <w:marBottom w:val="0"/>
                  <w:divBdr>
                    <w:top w:val="none" w:sz="0" w:space="0" w:color="auto"/>
                    <w:left w:val="none" w:sz="0" w:space="0" w:color="auto"/>
                    <w:bottom w:val="none" w:sz="0" w:space="0" w:color="auto"/>
                    <w:right w:val="none" w:sz="0" w:space="0" w:color="auto"/>
                  </w:divBdr>
                  <w:divsChild>
                    <w:div w:id="19854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840313">
          <w:marLeft w:val="0"/>
          <w:marRight w:val="0"/>
          <w:marTop w:val="0"/>
          <w:marBottom w:val="0"/>
          <w:divBdr>
            <w:top w:val="none" w:sz="0" w:space="0" w:color="auto"/>
            <w:left w:val="none" w:sz="0" w:space="0" w:color="auto"/>
            <w:bottom w:val="none" w:sz="0" w:space="0" w:color="auto"/>
            <w:right w:val="none" w:sz="0" w:space="0" w:color="auto"/>
          </w:divBdr>
          <w:divsChild>
            <w:div w:id="338898198">
              <w:marLeft w:val="-75"/>
              <w:marRight w:val="0"/>
              <w:marTop w:val="30"/>
              <w:marBottom w:val="30"/>
              <w:divBdr>
                <w:top w:val="none" w:sz="0" w:space="0" w:color="auto"/>
                <w:left w:val="none" w:sz="0" w:space="0" w:color="auto"/>
                <w:bottom w:val="none" w:sz="0" w:space="0" w:color="auto"/>
                <w:right w:val="none" w:sz="0" w:space="0" w:color="auto"/>
              </w:divBdr>
              <w:divsChild>
                <w:div w:id="9334758">
                  <w:marLeft w:val="0"/>
                  <w:marRight w:val="0"/>
                  <w:marTop w:val="0"/>
                  <w:marBottom w:val="0"/>
                  <w:divBdr>
                    <w:top w:val="none" w:sz="0" w:space="0" w:color="auto"/>
                    <w:left w:val="none" w:sz="0" w:space="0" w:color="auto"/>
                    <w:bottom w:val="none" w:sz="0" w:space="0" w:color="auto"/>
                    <w:right w:val="none" w:sz="0" w:space="0" w:color="auto"/>
                  </w:divBdr>
                  <w:divsChild>
                    <w:div w:id="986934129">
                      <w:marLeft w:val="0"/>
                      <w:marRight w:val="0"/>
                      <w:marTop w:val="0"/>
                      <w:marBottom w:val="0"/>
                      <w:divBdr>
                        <w:top w:val="none" w:sz="0" w:space="0" w:color="auto"/>
                        <w:left w:val="none" w:sz="0" w:space="0" w:color="auto"/>
                        <w:bottom w:val="none" w:sz="0" w:space="0" w:color="auto"/>
                        <w:right w:val="none" w:sz="0" w:space="0" w:color="auto"/>
                      </w:divBdr>
                    </w:div>
                  </w:divsChild>
                </w:div>
                <w:div w:id="1009018776">
                  <w:marLeft w:val="0"/>
                  <w:marRight w:val="0"/>
                  <w:marTop w:val="0"/>
                  <w:marBottom w:val="0"/>
                  <w:divBdr>
                    <w:top w:val="none" w:sz="0" w:space="0" w:color="auto"/>
                    <w:left w:val="none" w:sz="0" w:space="0" w:color="auto"/>
                    <w:bottom w:val="none" w:sz="0" w:space="0" w:color="auto"/>
                    <w:right w:val="none" w:sz="0" w:space="0" w:color="auto"/>
                  </w:divBdr>
                  <w:divsChild>
                    <w:div w:id="550534474">
                      <w:marLeft w:val="0"/>
                      <w:marRight w:val="0"/>
                      <w:marTop w:val="0"/>
                      <w:marBottom w:val="0"/>
                      <w:divBdr>
                        <w:top w:val="none" w:sz="0" w:space="0" w:color="auto"/>
                        <w:left w:val="none" w:sz="0" w:space="0" w:color="auto"/>
                        <w:bottom w:val="none" w:sz="0" w:space="0" w:color="auto"/>
                        <w:right w:val="none" w:sz="0" w:space="0" w:color="auto"/>
                      </w:divBdr>
                    </w:div>
                  </w:divsChild>
                </w:div>
                <w:div w:id="1085763665">
                  <w:marLeft w:val="0"/>
                  <w:marRight w:val="0"/>
                  <w:marTop w:val="0"/>
                  <w:marBottom w:val="0"/>
                  <w:divBdr>
                    <w:top w:val="none" w:sz="0" w:space="0" w:color="auto"/>
                    <w:left w:val="none" w:sz="0" w:space="0" w:color="auto"/>
                    <w:bottom w:val="none" w:sz="0" w:space="0" w:color="auto"/>
                    <w:right w:val="none" w:sz="0" w:space="0" w:color="auto"/>
                  </w:divBdr>
                </w:div>
                <w:div w:id="1105733999">
                  <w:marLeft w:val="0"/>
                  <w:marRight w:val="0"/>
                  <w:marTop w:val="0"/>
                  <w:marBottom w:val="0"/>
                  <w:divBdr>
                    <w:top w:val="none" w:sz="0" w:space="0" w:color="auto"/>
                    <w:left w:val="none" w:sz="0" w:space="0" w:color="auto"/>
                    <w:bottom w:val="none" w:sz="0" w:space="0" w:color="auto"/>
                    <w:right w:val="none" w:sz="0" w:space="0" w:color="auto"/>
                  </w:divBdr>
                  <w:divsChild>
                    <w:div w:id="576793568">
                      <w:marLeft w:val="0"/>
                      <w:marRight w:val="0"/>
                      <w:marTop w:val="0"/>
                      <w:marBottom w:val="0"/>
                      <w:divBdr>
                        <w:top w:val="none" w:sz="0" w:space="0" w:color="auto"/>
                        <w:left w:val="none" w:sz="0" w:space="0" w:color="auto"/>
                        <w:bottom w:val="none" w:sz="0" w:space="0" w:color="auto"/>
                        <w:right w:val="none" w:sz="0" w:space="0" w:color="auto"/>
                      </w:divBdr>
                    </w:div>
                    <w:div w:id="1396200365">
                      <w:marLeft w:val="0"/>
                      <w:marRight w:val="0"/>
                      <w:marTop w:val="0"/>
                      <w:marBottom w:val="0"/>
                      <w:divBdr>
                        <w:top w:val="none" w:sz="0" w:space="0" w:color="auto"/>
                        <w:left w:val="none" w:sz="0" w:space="0" w:color="auto"/>
                        <w:bottom w:val="none" w:sz="0" w:space="0" w:color="auto"/>
                        <w:right w:val="none" w:sz="0" w:space="0" w:color="auto"/>
                      </w:divBdr>
                    </w:div>
                  </w:divsChild>
                </w:div>
                <w:div w:id="1225944526">
                  <w:marLeft w:val="0"/>
                  <w:marRight w:val="0"/>
                  <w:marTop w:val="0"/>
                  <w:marBottom w:val="0"/>
                  <w:divBdr>
                    <w:top w:val="none" w:sz="0" w:space="0" w:color="auto"/>
                    <w:left w:val="none" w:sz="0" w:space="0" w:color="auto"/>
                    <w:bottom w:val="none" w:sz="0" w:space="0" w:color="auto"/>
                    <w:right w:val="none" w:sz="0" w:space="0" w:color="auto"/>
                  </w:divBdr>
                  <w:divsChild>
                    <w:div w:id="1499691415">
                      <w:marLeft w:val="0"/>
                      <w:marRight w:val="0"/>
                      <w:marTop w:val="0"/>
                      <w:marBottom w:val="0"/>
                      <w:divBdr>
                        <w:top w:val="none" w:sz="0" w:space="0" w:color="auto"/>
                        <w:left w:val="none" w:sz="0" w:space="0" w:color="auto"/>
                        <w:bottom w:val="none" w:sz="0" w:space="0" w:color="auto"/>
                        <w:right w:val="none" w:sz="0" w:space="0" w:color="auto"/>
                      </w:divBdr>
                    </w:div>
                  </w:divsChild>
                </w:div>
                <w:div w:id="1522889461">
                  <w:marLeft w:val="0"/>
                  <w:marRight w:val="0"/>
                  <w:marTop w:val="0"/>
                  <w:marBottom w:val="0"/>
                  <w:divBdr>
                    <w:top w:val="none" w:sz="0" w:space="0" w:color="auto"/>
                    <w:left w:val="none" w:sz="0" w:space="0" w:color="auto"/>
                    <w:bottom w:val="none" w:sz="0" w:space="0" w:color="auto"/>
                    <w:right w:val="none" w:sz="0" w:space="0" w:color="auto"/>
                  </w:divBdr>
                  <w:divsChild>
                    <w:div w:id="1994335030">
                      <w:marLeft w:val="0"/>
                      <w:marRight w:val="0"/>
                      <w:marTop w:val="0"/>
                      <w:marBottom w:val="0"/>
                      <w:divBdr>
                        <w:top w:val="none" w:sz="0" w:space="0" w:color="auto"/>
                        <w:left w:val="none" w:sz="0" w:space="0" w:color="auto"/>
                        <w:bottom w:val="none" w:sz="0" w:space="0" w:color="auto"/>
                        <w:right w:val="none" w:sz="0" w:space="0" w:color="auto"/>
                      </w:divBdr>
                    </w:div>
                  </w:divsChild>
                </w:div>
                <w:div w:id="1749186610">
                  <w:marLeft w:val="0"/>
                  <w:marRight w:val="0"/>
                  <w:marTop w:val="0"/>
                  <w:marBottom w:val="0"/>
                  <w:divBdr>
                    <w:top w:val="none" w:sz="0" w:space="0" w:color="auto"/>
                    <w:left w:val="none" w:sz="0" w:space="0" w:color="auto"/>
                    <w:bottom w:val="none" w:sz="0" w:space="0" w:color="auto"/>
                    <w:right w:val="none" w:sz="0" w:space="0" w:color="auto"/>
                  </w:divBdr>
                  <w:divsChild>
                    <w:div w:id="6427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847928">
          <w:marLeft w:val="0"/>
          <w:marRight w:val="0"/>
          <w:marTop w:val="0"/>
          <w:marBottom w:val="0"/>
          <w:divBdr>
            <w:top w:val="none" w:sz="0" w:space="0" w:color="auto"/>
            <w:left w:val="none" w:sz="0" w:space="0" w:color="auto"/>
            <w:bottom w:val="none" w:sz="0" w:space="0" w:color="auto"/>
            <w:right w:val="none" w:sz="0" w:space="0" w:color="auto"/>
          </w:divBdr>
          <w:divsChild>
            <w:div w:id="1828016839">
              <w:marLeft w:val="-75"/>
              <w:marRight w:val="0"/>
              <w:marTop w:val="30"/>
              <w:marBottom w:val="30"/>
              <w:divBdr>
                <w:top w:val="none" w:sz="0" w:space="0" w:color="auto"/>
                <w:left w:val="none" w:sz="0" w:space="0" w:color="auto"/>
                <w:bottom w:val="none" w:sz="0" w:space="0" w:color="auto"/>
                <w:right w:val="none" w:sz="0" w:space="0" w:color="auto"/>
              </w:divBdr>
              <w:divsChild>
                <w:div w:id="632641945">
                  <w:marLeft w:val="0"/>
                  <w:marRight w:val="0"/>
                  <w:marTop w:val="0"/>
                  <w:marBottom w:val="0"/>
                  <w:divBdr>
                    <w:top w:val="none" w:sz="0" w:space="0" w:color="auto"/>
                    <w:left w:val="none" w:sz="0" w:space="0" w:color="auto"/>
                    <w:bottom w:val="none" w:sz="0" w:space="0" w:color="auto"/>
                    <w:right w:val="none" w:sz="0" w:space="0" w:color="auto"/>
                  </w:divBdr>
                  <w:divsChild>
                    <w:div w:id="475681982">
                      <w:marLeft w:val="0"/>
                      <w:marRight w:val="0"/>
                      <w:marTop w:val="0"/>
                      <w:marBottom w:val="0"/>
                      <w:divBdr>
                        <w:top w:val="none" w:sz="0" w:space="0" w:color="auto"/>
                        <w:left w:val="none" w:sz="0" w:space="0" w:color="auto"/>
                        <w:bottom w:val="none" w:sz="0" w:space="0" w:color="auto"/>
                        <w:right w:val="none" w:sz="0" w:space="0" w:color="auto"/>
                      </w:divBdr>
                    </w:div>
                  </w:divsChild>
                </w:div>
                <w:div w:id="2091808894">
                  <w:marLeft w:val="0"/>
                  <w:marRight w:val="0"/>
                  <w:marTop w:val="0"/>
                  <w:marBottom w:val="0"/>
                  <w:divBdr>
                    <w:top w:val="none" w:sz="0" w:space="0" w:color="auto"/>
                    <w:left w:val="none" w:sz="0" w:space="0" w:color="auto"/>
                    <w:bottom w:val="none" w:sz="0" w:space="0" w:color="auto"/>
                    <w:right w:val="none" w:sz="0" w:space="0" w:color="auto"/>
                  </w:divBdr>
                  <w:divsChild>
                    <w:div w:id="9995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13252">
          <w:marLeft w:val="0"/>
          <w:marRight w:val="0"/>
          <w:marTop w:val="0"/>
          <w:marBottom w:val="0"/>
          <w:divBdr>
            <w:top w:val="none" w:sz="0" w:space="0" w:color="auto"/>
            <w:left w:val="none" w:sz="0" w:space="0" w:color="auto"/>
            <w:bottom w:val="none" w:sz="0" w:space="0" w:color="auto"/>
            <w:right w:val="none" w:sz="0" w:space="0" w:color="auto"/>
          </w:divBdr>
          <w:divsChild>
            <w:div w:id="468136415">
              <w:marLeft w:val="-75"/>
              <w:marRight w:val="0"/>
              <w:marTop w:val="30"/>
              <w:marBottom w:val="30"/>
              <w:divBdr>
                <w:top w:val="none" w:sz="0" w:space="0" w:color="auto"/>
                <w:left w:val="none" w:sz="0" w:space="0" w:color="auto"/>
                <w:bottom w:val="none" w:sz="0" w:space="0" w:color="auto"/>
                <w:right w:val="none" w:sz="0" w:space="0" w:color="auto"/>
              </w:divBdr>
              <w:divsChild>
                <w:div w:id="61413260">
                  <w:marLeft w:val="0"/>
                  <w:marRight w:val="0"/>
                  <w:marTop w:val="0"/>
                  <w:marBottom w:val="0"/>
                  <w:divBdr>
                    <w:top w:val="none" w:sz="0" w:space="0" w:color="auto"/>
                    <w:left w:val="none" w:sz="0" w:space="0" w:color="auto"/>
                    <w:bottom w:val="none" w:sz="0" w:space="0" w:color="auto"/>
                    <w:right w:val="none" w:sz="0" w:space="0" w:color="auto"/>
                  </w:divBdr>
                  <w:divsChild>
                    <w:div w:id="205917225">
                      <w:marLeft w:val="0"/>
                      <w:marRight w:val="0"/>
                      <w:marTop w:val="0"/>
                      <w:marBottom w:val="0"/>
                      <w:divBdr>
                        <w:top w:val="none" w:sz="0" w:space="0" w:color="auto"/>
                        <w:left w:val="none" w:sz="0" w:space="0" w:color="auto"/>
                        <w:bottom w:val="none" w:sz="0" w:space="0" w:color="auto"/>
                        <w:right w:val="none" w:sz="0" w:space="0" w:color="auto"/>
                      </w:divBdr>
                    </w:div>
                  </w:divsChild>
                </w:div>
                <w:div w:id="127818025">
                  <w:marLeft w:val="0"/>
                  <w:marRight w:val="0"/>
                  <w:marTop w:val="0"/>
                  <w:marBottom w:val="0"/>
                  <w:divBdr>
                    <w:top w:val="none" w:sz="0" w:space="0" w:color="auto"/>
                    <w:left w:val="none" w:sz="0" w:space="0" w:color="auto"/>
                    <w:bottom w:val="none" w:sz="0" w:space="0" w:color="auto"/>
                    <w:right w:val="none" w:sz="0" w:space="0" w:color="auto"/>
                  </w:divBdr>
                  <w:divsChild>
                    <w:div w:id="1703358321">
                      <w:marLeft w:val="0"/>
                      <w:marRight w:val="0"/>
                      <w:marTop w:val="0"/>
                      <w:marBottom w:val="0"/>
                      <w:divBdr>
                        <w:top w:val="none" w:sz="0" w:space="0" w:color="auto"/>
                        <w:left w:val="none" w:sz="0" w:space="0" w:color="auto"/>
                        <w:bottom w:val="none" w:sz="0" w:space="0" w:color="auto"/>
                        <w:right w:val="none" w:sz="0" w:space="0" w:color="auto"/>
                      </w:divBdr>
                    </w:div>
                  </w:divsChild>
                </w:div>
                <w:div w:id="163471346">
                  <w:marLeft w:val="0"/>
                  <w:marRight w:val="0"/>
                  <w:marTop w:val="0"/>
                  <w:marBottom w:val="0"/>
                  <w:divBdr>
                    <w:top w:val="none" w:sz="0" w:space="0" w:color="auto"/>
                    <w:left w:val="none" w:sz="0" w:space="0" w:color="auto"/>
                    <w:bottom w:val="none" w:sz="0" w:space="0" w:color="auto"/>
                    <w:right w:val="none" w:sz="0" w:space="0" w:color="auto"/>
                  </w:divBdr>
                  <w:divsChild>
                    <w:div w:id="1364210955">
                      <w:marLeft w:val="0"/>
                      <w:marRight w:val="0"/>
                      <w:marTop w:val="0"/>
                      <w:marBottom w:val="0"/>
                      <w:divBdr>
                        <w:top w:val="none" w:sz="0" w:space="0" w:color="auto"/>
                        <w:left w:val="none" w:sz="0" w:space="0" w:color="auto"/>
                        <w:bottom w:val="none" w:sz="0" w:space="0" w:color="auto"/>
                        <w:right w:val="none" w:sz="0" w:space="0" w:color="auto"/>
                      </w:divBdr>
                    </w:div>
                  </w:divsChild>
                </w:div>
                <w:div w:id="578365597">
                  <w:marLeft w:val="0"/>
                  <w:marRight w:val="0"/>
                  <w:marTop w:val="0"/>
                  <w:marBottom w:val="0"/>
                  <w:divBdr>
                    <w:top w:val="none" w:sz="0" w:space="0" w:color="auto"/>
                    <w:left w:val="none" w:sz="0" w:space="0" w:color="auto"/>
                    <w:bottom w:val="none" w:sz="0" w:space="0" w:color="auto"/>
                    <w:right w:val="none" w:sz="0" w:space="0" w:color="auto"/>
                  </w:divBdr>
                  <w:divsChild>
                    <w:div w:id="2130974646">
                      <w:marLeft w:val="0"/>
                      <w:marRight w:val="0"/>
                      <w:marTop w:val="0"/>
                      <w:marBottom w:val="0"/>
                      <w:divBdr>
                        <w:top w:val="none" w:sz="0" w:space="0" w:color="auto"/>
                        <w:left w:val="none" w:sz="0" w:space="0" w:color="auto"/>
                        <w:bottom w:val="none" w:sz="0" w:space="0" w:color="auto"/>
                        <w:right w:val="none" w:sz="0" w:space="0" w:color="auto"/>
                      </w:divBdr>
                    </w:div>
                  </w:divsChild>
                </w:div>
                <w:div w:id="1094204133">
                  <w:marLeft w:val="0"/>
                  <w:marRight w:val="0"/>
                  <w:marTop w:val="0"/>
                  <w:marBottom w:val="0"/>
                  <w:divBdr>
                    <w:top w:val="none" w:sz="0" w:space="0" w:color="auto"/>
                    <w:left w:val="none" w:sz="0" w:space="0" w:color="auto"/>
                    <w:bottom w:val="none" w:sz="0" w:space="0" w:color="auto"/>
                    <w:right w:val="none" w:sz="0" w:space="0" w:color="auto"/>
                  </w:divBdr>
                  <w:divsChild>
                    <w:div w:id="331563481">
                      <w:marLeft w:val="0"/>
                      <w:marRight w:val="0"/>
                      <w:marTop w:val="0"/>
                      <w:marBottom w:val="0"/>
                      <w:divBdr>
                        <w:top w:val="none" w:sz="0" w:space="0" w:color="auto"/>
                        <w:left w:val="none" w:sz="0" w:space="0" w:color="auto"/>
                        <w:bottom w:val="none" w:sz="0" w:space="0" w:color="auto"/>
                        <w:right w:val="none" w:sz="0" w:space="0" w:color="auto"/>
                      </w:divBdr>
                    </w:div>
                  </w:divsChild>
                </w:div>
                <w:div w:id="1510482016">
                  <w:marLeft w:val="0"/>
                  <w:marRight w:val="0"/>
                  <w:marTop w:val="0"/>
                  <w:marBottom w:val="0"/>
                  <w:divBdr>
                    <w:top w:val="none" w:sz="0" w:space="0" w:color="auto"/>
                    <w:left w:val="none" w:sz="0" w:space="0" w:color="auto"/>
                    <w:bottom w:val="none" w:sz="0" w:space="0" w:color="auto"/>
                    <w:right w:val="none" w:sz="0" w:space="0" w:color="auto"/>
                  </w:divBdr>
                </w:div>
                <w:div w:id="1519923300">
                  <w:marLeft w:val="0"/>
                  <w:marRight w:val="0"/>
                  <w:marTop w:val="0"/>
                  <w:marBottom w:val="0"/>
                  <w:divBdr>
                    <w:top w:val="none" w:sz="0" w:space="0" w:color="auto"/>
                    <w:left w:val="none" w:sz="0" w:space="0" w:color="auto"/>
                    <w:bottom w:val="none" w:sz="0" w:space="0" w:color="auto"/>
                    <w:right w:val="none" w:sz="0" w:space="0" w:color="auto"/>
                  </w:divBdr>
                  <w:divsChild>
                    <w:div w:id="875045015">
                      <w:marLeft w:val="0"/>
                      <w:marRight w:val="0"/>
                      <w:marTop w:val="0"/>
                      <w:marBottom w:val="0"/>
                      <w:divBdr>
                        <w:top w:val="none" w:sz="0" w:space="0" w:color="auto"/>
                        <w:left w:val="none" w:sz="0" w:space="0" w:color="auto"/>
                        <w:bottom w:val="none" w:sz="0" w:space="0" w:color="auto"/>
                        <w:right w:val="none" w:sz="0" w:space="0" w:color="auto"/>
                      </w:divBdr>
                    </w:div>
                  </w:divsChild>
                </w:div>
                <w:div w:id="1644232809">
                  <w:marLeft w:val="0"/>
                  <w:marRight w:val="0"/>
                  <w:marTop w:val="0"/>
                  <w:marBottom w:val="0"/>
                  <w:divBdr>
                    <w:top w:val="none" w:sz="0" w:space="0" w:color="auto"/>
                    <w:left w:val="none" w:sz="0" w:space="0" w:color="auto"/>
                    <w:bottom w:val="none" w:sz="0" w:space="0" w:color="auto"/>
                    <w:right w:val="none" w:sz="0" w:space="0" w:color="auto"/>
                  </w:divBdr>
                  <w:divsChild>
                    <w:div w:id="242107653">
                      <w:marLeft w:val="0"/>
                      <w:marRight w:val="0"/>
                      <w:marTop w:val="0"/>
                      <w:marBottom w:val="0"/>
                      <w:divBdr>
                        <w:top w:val="none" w:sz="0" w:space="0" w:color="auto"/>
                        <w:left w:val="none" w:sz="0" w:space="0" w:color="auto"/>
                        <w:bottom w:val="none" w:sz="0" w:space="0" w:color="auto"/>
                        <w:right w:val="none" w:sz="0" w:space="0" w:color="auto"/>
                      </w:divBdr>
                    </w:div>
                  </w:divsChild>
                </w:div>
                <w:div w:id="2114782681">
                  <w:marLeft w:val="0"/>
                  <w:marRight w:val="0"/>
                  <w:marTop w:val="0"/>
                  <w:marBottom w:val="0"/>
                  <w:divBdr>
                    <w:top w:val="none" w:sz="0" w:space="0" w:color="auto"/>
                    <w:left w:val="none" w:sz="0" w:space="0" w:color="auto"/>
                    <w:bottom w:val="none" w:sz="0" w:space="0" w:color="auto"/>
                    <w:right w:val="none" w:sz="0" w:space="0" w:color="auto"/>
                  </w:divBdr>
                  <w:divsChild>
                    <w:div w:id="1496798441">
                      <w:marLeft w:val="0"/>
                      <w:marRight w:val="0"/>
                      <w:marTop w:val="0"/>
                      <w:marBottom w:val="0"/>
                      <w:divBdr>
                        <w:top w:val="none" w:sz="0" w:space="0" w:color="auto"/>
                        <w:left w:val="none" w:sz="0" w:space="0" w:color="auto"/>
                        <w:bottom w:val="none" w:sz="0" w:space="0" w:color="auto"/>
                        <w:right w:val="none" w:sz="0" w:space="0" w:color="auto"/>
                      </w:divBdr>
                    </w:div>
                    <w:div w:id="16924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3593">
          <w:marLeft w:val="0"/>
          <w:marRight w:val="0"/>
          <w:marTop w:val="0"/>
          <w:marBottom w:val="0"/>
          <w:divBdr>
            <w:top w:val="none" w:sz="0" w:space="0" w:color="auto"/>
            <w:left w:val="none" w:sz="0" w:space="0" w:color="auto"/>
            <w:bottom w:val="none" w:sz="0" w:space="0" w:color="auto"/>
            <w:right w:val="none" w:sz="0" w:space="0" w:color="auto"/>
          </w:divBdr>
        </w:div>
        <w:div w:id="1638682381">
          <w:marLeft w:val="0"/>
          <w:marRight w:val="0"/>
          <w:marTop w:val="0"/>
          <w:marBottom w:val="0"/>
          <w:divBdr>
            <w:top w:val="none" w:sz="0" w:space="0" w:color="auto"/>
            <w:left w:val="none" w:sz="0" w:space="0" w:color="auto"/>
            <w:bottom w:val="none" w:sz="0" w:space="0" w:color="auto"/>
            <w:right w:val="none" w:sz="0" w:space="0" w:color="auto"/>
          </w:divBdr>
          <w:divsChild>
            <w:div w:id="587858506">
              <w:marLeft w:val="0"/>
              <w:marRight w:val="0"/>
              <w:marTop w:val="0"/>
              <w:marBottom w:val="0"/>
              <w:divBdr>
                <w:top w:val="none" w:sz="0" w:space="0" w:color="auto"/>
                <w:left w:val="none" w:sz="0" w:space="0" w:color="auto"/>
                <w:bottom w:val="none" w:sz="0" w:space="0" w:color="auto"/>
                <w:right w:val="none" w:sz="0" w:space="0" w:color="auto"/>
              </w:divBdr>
            </w:div>
            <w:div w:id="932586085">
              <w:marLeft w:val="0"/>
              <w:marRight w:val="0"/>
              <w:marTop w:val="0"/>
              <w:marBottom w:val="0"/>
              <w:divBdr>
                <w:top w:val="none" w:sz="0" w:space="0" w:color="auto"/>
                <w:left w:val="none" w:sz="0" w:space="0" w:color="auto"/>
                <w:bottom w:val="none" w:sz="0" w:space="0" w:color="auto"/>
                <w:right w:val="none" w:sz="0" w:space="0" w:color="auto"/>
              </w:divBdr>
            </w:div>
            <w:div w:id="1120538816">
              <w:marLeft w:val="0"/>
              <w:marRight w:val="0"/>
              <w:marTop w:val="0"/>
              <w:marBottom w:val="0"/>
              <w:divBdr>
                <w:top w:val="none" w:sz="0" w:space="0" w:color="auto"/>
                <w:left w:val="none" w:sz="0" w:space="0" w:color="auto"/>
                <w:bottom w:val="none" w:sz="0" w:space="0" w:color="auto"/>
                <w:right w:val="none" w:sz="0" w:space="0" w:color="auto"/>
              </w:divBdr>
            </w:div>
          </w:divsChild>
        </w:div>
        <w:div w:id="1789658832">
          <w:marLeft w:val="0"/>
          <w:marRight w:val="0"/>
          <w:marTop w:val="0"/>
          <w:marBottom w:val="0"/>
          <w:divBdr>
            <w:top w:val="none" w:sz="0" w:space="0" w:color="auto"/>
            <w:left w:val="none" w:sz="0" w:space="0" w:color="auto"/>
            <w:bottom w:val="none" w:sz="0" w:space="0" w:color="auto"/>
            <w:right w:val="none" w:sz="0" w:space="0" w:color="auto"/>
          </w:divBdr>
        </w:div>
        <w:div w:id="1971592246">
          <w:marLeft w:val="0"/>
          <w:marRight w:val="0"/>
          <w:marTop w:val="0"/>
          <w:marBottom w:val="0"/>
          <w:divBdr>
            <w:top w:val="none" w:sz="0" w:space="0" w:color="auto"/>
            <w:left w:val="none" w:sz="0" w:space="0" w:color="auto"/>
            <w:bottom w:val="none" w:sz="0" w:space="0" w:color="auto"/>
            <w:right w:val="none" w:sz="0" w:space="0" w:color="auto"/>
          </w:divBdr>
          <w:divsChild>
            <w:div w:id="367877673">
              <w:marLeft w:val="-75"/>
              <w:marRight w:val="0"/>
              <w:marTop w:val="30"/>
              <w:marBottom w:val="30"/>
              <w:divBdr>
                <w:top w:val="none" w:sz="0" w:space="0" w:color="auto"/>
                <w:left w:val="none" w:sz="0" w:space="0" w:color="auto"/>
                <w:bottom w:val="none" w:sz="0" w:space="0" w:color="auto"/>
                <w:right w:val="none" w:sz="0" w:space="0" w:color="auto"/>
              </w:divBdr>
              <w:divsChild>
                <w:div w:id="180247296">
                  <w:marLeft w:val="0"/>
                  <w:marRight w:val="0"/>
                  <w:marTop w:val="0"/>
                  <w:marBottom w:val="0"/>
                  <w:divBdr>
                    <w:top w:val="none" w:sz="0" w:space="0" w:color="auto"/>
                    <w:left w:val="none" w:sz="0" w:space="0" w:color="auto"/>
                    <w:bottom w:val="none" w:sz="0" w:space="0" w:color="auto"/>
                    <w:right w:val="none" w:sz="0" w:space="0" w:color="auto"/>
                  </w:divBdr>
                  <w:divsChild>
                    <w:div w:id="1003900710">
                      <w:marLeft w:val="0"/>
                      <w:marRight w:val="0"/>
                      <w:marTop w:val="0"/>
                      <w:marBottom w:val="0"/>
                      <w:divBdr>
                        <w:top w:val="none" w:sz="0" w:space="0" w:color="auto"/>
                        <w:left w:val="none" w:sz="0" w:space="0" w:color="auto"/>
                        <w:bottom w:val="none" w:sz="0" w:space="0" w:color="auto"/>
                        <w:right w:val="none" w:sz="0" w:space="0" w:color="auto"/>
                      </w:divBdr>
                    </w:div>
                  </w:divsChild>
                </w:div>
                <w:div w:id="284431405">
                  <w:marLeft w:val="0"/>
                  <w:marRight w:val="0"/>
                  <w:marTop w:val="0"/>
                  <w:marBottom w:val="0"/>
                  <w:divBdr>
                    <w:top w:val="none" w:sz="0" w:space="0" w:color="auto"/>
                    <w:left w:val="none" w:sz="0" w:space="0" w:color="auto"/>
                    <w:bottom w:val="none" w:sz="0" w:space="0" w:color="auto"/>
                    <w:right w:val="none" w:sz="0" w:space="0" w:color="auto"/>
                  </w:divBdr>
                  <w:divsChild>
                    <w:div w:id="530187558">
                      <w:marLeft w:val="0"/>
                      <w:marRight w:val="0"/>
                      <w:marTop w:val="0"/>
                      <w:marBottom w:val="0"/>
                      <w:divBdr>
                        <w:top w:val="none" w:sz="0" w:space="0" w:color="auto"/>
                        <w:left w:val="none" w:sz="0" w:space="0" w:color="auto"/>
                        <w:bottom w:val="none" w:sz="0" w:space="0" w:color="auto"/>
                        <w:right w:val="none" w:sz="0" w:space="0" w:color="auto"/>
                      </w:divBdr>
                    </w:div>
                  </w:divsChild>
                </w:div>
                <w:div w:id="529995677">
                  <w:marLeft w:val="0"/>
                  <w:marRight w:val="0"/>
                  <w:marTop w:val="0"/>
                  <w:marBottom w:val="0"/>
                  <w:divBdr>
                    <w:top w:val="none" w:sz="0" w:space="0" w:color="auto"/>
                    <w:left w:val="none" w:sz="0" w:space="0" w:color="auto"/>
                    <w:bottom w:val="none" w:sz="0" w:space="0" w:color="auto"/>
                    <w:right w:val="none" w:sz="0" w:space="0" w:color="auto"/>
                  </w:divBdr>
                  <w:divsChild>
                    <w:div w:id="564994945">
                      <w:marLeft w:val="0"/>
                      <w:marRight w:val="0"/>
                      <w:marTop w:val="0"/>
                      <w:marBottom w:val="0"/>
                      <w:divBdr>
                        <w:top w:val="none" w:sz="0" w:space="0" w:color="auto"/>
                        <w:left w:val="none" w:sz="0" w:space="0" w:color="auto"/>
                        <w:bottom w:val="none" w:sz="0" w:space="0" w:color="auto"/>
                        <w:right w:val="none" w:sz="0" w:space="0" w:color="auto"/>
                      </w:divBdr>
                    </w:div>
                  </w:divsChild>
                </w:div>
                <w:div w:id="931817866">
                  <w:marLeft w:val="0"/>
                  <w:marRight w:val="0"/>
                  <w:marTop w:val="0"/>
                  <w:marBottom w:val="0"/>
                  <w:divBdr>
                    <w:top w:val="none" w:sz="0" w:space="0" w:color="auto"/>
                    <w:left w:val="none" w:sz="0" w:space="0" w:color="auto"/>
                    <w:bottom w:val="none" w:sz="0" w:space="0" w:color="auto"/>
                    <w:right w:val="none" w:sz="0" w:space="0" w:color="auto"/>
                  </w:divBdr>
                  <w:divsChild>
                    <w:div w:id="207497420">
                      <w:marLeft w:val="0"/>
                      <w:marRight w:val="0"/>
                      <w:marTop w:val="0"/>
                      <w:marBottom w:val="0"/>
                      <w:divBdr>
                        <w:top w:val="none" w:sz="0" w:space="0" w:color="auto"/>
                        <w:left w:val="none" w:sz="0" w:space="0" w:color="auto"/>
                        <w:bottom w:val="none" w:sz="0" w:space="0" w:color="auto"/>
                        <w:right w:val="none" w:sz="0" w:space="0" w:color="auto"/>
                      </w:divBdr>
                    </w:div>
                  </w:divsChild>
                </w:div>
                <w:div w:id="1080564970">
                  <w:marLeft w:val="0"/>
                  <w:marRight w:val="0"/>
                  <w:marTop w:val="0"/>
                  <w:marBottom w:val="0"/>
                  <w:divBdr>
                    <w:top w:val="none" w:sz="0" w:space="0" w:color="auto"/>
                    <w:left w:val="none" w:sz="0" w:space="0" w:color="auto"/>
                    <w:bottom w:val="none" w:sz="0" w:space="0" w:color="auto"/>
                    <w:right w:val="none" w:sz="0" w:space="0" w:color="auto"/>
                  </w:divBdr>
                </w:div>
                <w:div w:id="1319460212">
                  <w:marLeft w:val="0"/>
                  <w:marRight w:val="0"/>
                  <w:marTop w:val="0"/>
                  <w:marBottom w:val="0"/>
                  <w:divBdr>
                    <w:top w:val="none" w:sz="0" w:space="0" w:color="auto"/>
                    <w:left w:val="none" w:sz="0" w:space="0" w:color="auto"/>
                    <w:bottom w:val="none" w:sz="0" w:space="0" w:color="auto"/>
                    <w:right w:val="none" w:sz="0" w:space="0" w:color="auto"/>
                  </w:divBdr>
                  <w:divsChild>
                    <w:div w:id="521432974">
                      <w:marLeft w:val="0"/>
                      <w:marRight w:val="0"/>
                      <w:marTop w:val="0"/>
                      <w:marBottom w:val="0"/>
                      <w:divBdr>
                        <w:top w:val="none" w:sz="0" w:space="0" w:color="auto"/>
                        <w:left w:val="none" w:sz="0" w:space="0" w:color="auto"/>
                        <w:bottom w:val="none" w:sz="0" w:space="0" w:color="auto"/>
                        <w:right w:val="none" w:sz="0" w:space="0" w:color="auto"/>
                      </w:divBdr>
                    </w:div>
                  </w:divsChild>
                </w:div>
                <w:div w:id="1326861391">
                  <w:marLeft w:val="0"/>
                  <w:marRight w:val="0"/>
                  <w:marTop w:val="0"/>
                  <w:marBottom w:val="0"/>
                  <w:divBdr>
                    <w:top w:val="none" w:sz="0" w:space="0" w:color="auto"/>
                    <w:left w:val="none" w:sz="0" w:space="0" w:color="auto"/>
                    <w:bottom w:val="none" w:sz="0" w:space="0" w:color="auto"/>
                    <w:right w:val="none" w:sz="0" w:space="0" w:color="auto"/>
                  </w:divBdr>
                  <w:divsChild>
                    <w:div w:id="55707911">
                      <w:marLeft w:val="0"/>
                      <w:marRight w:val="0"/>
                      <w:marTop w:val="0"/>
                      <w:marBottom w:val="0"/>
                      <w:divBdr>
                        <w:top w:val="none" w:sz="0" w:space="0" w:color="auto"/>
                        <w:left w:val="none" w:sz="0" w:space="0" w:color="auto"/>
                        <w:bottom w:val="none" w:sz="0" w:space="0" w:color="auto"/>
                        <w:right w:val="none" w:sz="0" w:space="0" w:color="auto"/>
                      </w:divBdr>
                    </w:div>
                    <w:div w:id="1280605368">
                      <w:marLeft w:val="0"/>
                      <w:marRight w:val="0"/>
                      <w:marTop w:val="0"/>
                      <w:marBottom w:val="0"/>
                      <w:divBdr>
                        <w:top w:val="none" w:sz="0" w:space="0" w:color="auto"/>
                        <w:left w:val="none" w:sz="0" w:space="0" w:color="auto"/>
                        <w:bottom w:val="none" w:sz="0" w:space="0" w:color="auto"/>
                        <w:right w:val="none" w:sz="0" w:space="0" w:color="auto"/>
                      </w:divBdr>
                    </w:div>
                  </w:divsChild>
                </w:div>
                <w:div w:id="1369138646">
                  <w:marLeft w:val="0"/>
                  <w:marRight w:val="0"/>
                  <w:marTop w:val="0"/>
                  <w:marBottom w:val="0"/>
                  <w:divBdr>
                    <w:top w:val="none" w:sz="0" w:space="0" w:color="auto"/>
                    <w:left w:val="none" w:sz="0" w:space="0" w:color="auto"/>
                    <w:bottom w:val="none" w:sz="0" w:space="0" w:color="auto"/>
                    <w:right w:val="none" w:sz="0" w:space="0" w:color="auto"/>
                  </w:divBdr>
                  <w:divsChild>
                    <w:div w:id="691759360">
                      <w:marLeft w:val="0"/>
                      <w:marRight w:val="0"/>
                      <w:marTop w:val="0"/>
                      <w:marBottom w:val="0"/>
                      <w:divBdr>
                        <w:top w:val="none" w:sz="0" w:space="0" w:color="auto"/>
                        <w:left w:val="none" w:sz="0" w:space="0" w:color="auto"/>
                        <w:bottom w:val="none" w:sz="0" w:space="0" w:color="auto"/>
                        <w:right w:val="none" w:sz="0" w:space="0" w:color="auto"/>
                      </w:divBdr>
                    </w:div>
                  </w:divsChild>
                </w:div>
                <w:div w:id="1492333289">
                  <w:marLeft w:val="0"/>
                  <w:marRight w:val="0"/>
                  <w:marTop w:val="0"/>
                  <w:marBottom w:val="0"/>
                  <w:divBdr>
                    <w:top w:val="none" w:sz="0" w:space="0" w:color="auto"/>
                    <w:left w:val="none" w:sz="0" w:space="0" w:color="auto"/>
                    <w:bottom w:val="none" w:sz="0" w:space="0" w:color="auto"/>
                    <w:right w:val="none" w:sz="0" w:space="0" w:color="auto"/>
                  </w:divBdr>
                  <w:divsChild>
                    <w:div w:id="1593007817">
                      <w:marLeft w:val="0"/>
                      <w:marRight w:val="0"/>
                      <w:marTop w:val="0"/>
                      <w:marBottom w:val="0"/>
                      <w:divBdr>
                        <w:top w:val="none" w:sz="0" w:space="0" w:color="auto"/>
                        <w:left w:val="none" w:sz="0" w:space="0" w:color="auto"/>
                        <w:bottom w:val="none" w:sz="0" w:space="0" w:color="auto"/>
                        <w:right w:val="none" w:sz="0" w:space="0" w:color="auto"/>
                      </w:divBdr>
                    </w:div>
                  </w:divsChild>
                </w:div>
                <w:div w:id="1629312313">
                  <w:marLeft w:val="0"/>
                  <w:marRight w:val="0"/>
                  <w:marTop w:val="0"/>
                  <w:marBottom w:val="0"/>
                  <w:divBdr>
                    <w:top w:val="none" w:sz="0" w:space="0" w:color="auto"/>
                    <w:left w:val="none" w:sz="0" w:space="0" w:color="auto"/>
                    <w:bottom w:val="none" w:sz="0" w:space="0" w:color="auto"/>
                    <w:right w:val="none" w:sz="0" w:space="0" w:color="auto"/>
                  </w:divBdr>
                  <w:divsChild>
                    <w:div w:id="1336687973">
                      <w:marLeft w:val="0"/>
                      <w:marRight w:val="0"/>
                      <w:marTop w:val="0"/>
                      <w:marBottom w:val="0"/>
                      <w:divBdr>
                        <w:top w:val="none" w:sz="0" w:space="0" w:color="auto"/>
                        <w:left w:val="none" w:sz="0" w:space="0" w:color="auto"/>
                        <w:bottom w:val="none" w:sz="0" w:space="0" w:color="auto"/>
                        <w:right w:val="none" w:sz="0" w:space="0" w:color="auto"/>
                      </w:divBdr>
                    </w:div>
                  </w:divsChild>
                </w:div>
                <w:div w:id="1645424145">
                  <w:marLeft w:val="0"/>
                  <w:marRight w:val="0"/>
                  <w:marTop w:val="0"/>
                  <w:marBottom w:val="0"/>
                  <w:divBdr>
                    <w:top w:val="none" w:sz="0" w:space="0" w:color="auto"/>
                    <w:left w:val="none" w:sz="0" w:space="0" w:color="auto"/>
                    <w:bottom w:val="none" w:sz="0" w:space="0" w:color="auto"/>
                    <w:right w:val="none" w:sz="0" w:space="0" w:color="auto"/>
                  </w:divBdr>
                  <w:divsChild>
                    <w:div w:id="556819088">
                      <w:marLeft w:val="0"/>
                      <w:marRight w:val="0"/>
                      <w:marTop w:val="0"/>
                      <w:marBottom w:val="0"/>
                      <w:divBdr>
                        <w:top w:val="none" w:sz="0" w:space="0" w:color="auto"/>
                        <w:left w:val="none" w:sz="0" w:space="0" w:color="auto"/>
                        <w:bottom w:val="none" w:sz="0" w:space="0" w:color="auto"/>
                        <w:right w:val="none" w:sz="0" w:space="0" w:color="auto"/>
                      </w:divBdr>
                    </w:div>
                  </w:divsChild>
                </w:div>
                <w:div w:id="1918052129">
                  <w:marLeft w:val="0"/>
                  <w:marRight w:val="0"/>
                  <w:marTop w:val="0"/>
                  <w:marBottom w:val="0"/>
                  <w:divBdr>
                    <w:top w:val="none" w:sz="0" w:space="0" w:color="auto"/>
                    <w:left w:val="none" w:sz="0" w:space="0" w:color="auto"/>
                    <w:bottom w:val="none" w:sz="0" w:space="0" w:color="auto"/>
                    <w:right w:val="none" w:sz="0" w:space="0" w:color="auto"/>
                  </w:divBdr>
                  <w:divsChild>
                    <w:div w:id="1907376305">
                      <w:marLeft w:val="0"/>
                      <w:marRight w:val="0"/>
                      <w:marTop w:val="0"/>
                      <w:marBottom w:val="0"/>
                      <w:divBdr>
                        <w:top w:val="none" w:sz="0" w:space="0" w:color="auto"/>
                        <w:left w:val="none" w:sz="0" w:space="0" w:color="auto"/>
                        <w:bottom w:val="none" w:sz="0" w:space="0" w:color="auto"/>
                        <w:right w:val="none" w:sz="0" w:space="0" w:color="auto"/>
                      </w:divBdr>
                    </w:div>
                  </w:divsChild>
                </w:div>
                <w:div w:id="2134901508">
                  <w:marLeft w:val="0"/>
                  <w:marRight w:val="0"/>
                  <w:marTop w:val="0"/>
                  <w:marBottom w:val="0"/>
                  <w:divBdr>
                    <w:top w:val="none" w:sz="0" w:space="0" w:color="auto"/>
                    <w:left w:val="none" w:sz="0" w:space="0" w:color="auto"/>
                    <w:bottom w:val="none" w:sz="0" w:space="0" w:color="auto"/>
                    <w:right w:val="none" w:sz="0" w:space="0" w:color="auto"/>
                  </w:divBdr>
                  <w:divsChild>
                    <w:div w:id="20991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22996">
          <w:marLeft w:val="0"/>
          <w:marRight w:val="0"/>
          <w:marTop w:val="0"/>
          <w:marBottom w:val="0"/>
          <w:divBdr>
            <w:top w:val="none" w:sz="0" w:space="0" w:color="auto"/>
            <w:left w:val="none" w:sz="0" w:space="0" w:color="auto"/>
            <w:bottom w:val="none" w:sz="0" w:space="0" w:color="auto"/>
            <w:right w:val="none" w:sz="0" w:space="0" w:color="auto"/>
          </w:divBdr>
          <w:divsChild>
            <w:div w:id="1064914572">
              <w:marLeft w:val="-75"/>
              <w:marRight w:val="0"/>
              <w:marTop w:val="30"/>
              <w:marBottom w:val="30"/>
              <w:divBdr>
                <w:top w:val="none" w:sz="0" w:space="0" w:color="auto"/>
                <w:left w:val="none" w:sz="0" w:space="0" w:color="auto"/>
                <w:bottom w:val="none" w:sz="0" w:space="0" w:color="auto"/>
                <w:right w:val="none" w:sz="0" w:space="0" w:color="auto"/>
              </w:divBdr>
              <w:divsChild>
                <w:div w:id="506872975">
                  <w:marLeft w:val="0"/>
                  <w:marRight w:val="0"/>
                  <w:marTop w:val="0"/>
                  <w:marBottom w:val="0"/>
                  <w:divBdr>
                    <w:top w:val="none" w:sz="0" w:space="0" w:color="auto"/>
                    <w:left w:val="none" w:sz="0" w:space="0" w:color="auto"/>
                    <w:bottom w:val="none" w:sz="0" w:space="0" w:color="auto"/>
                    <w:right w:val="none" w:sz="0" w:space="0" w:color="auto"/>
                  </w:divBdr>
                  <w:divsChild>
                    <w:div w:id="380978775">
                      <w:marLeft w:val="0"/>
                      <w:marRight w:val="0"/>
                      <w:marTop w:val="0"/>
                      <w:marBottom w:val="0"/>
                      <w:divBdr>
                        <w:top w:val="none" w:sz="0" w:space="0" w:color="auto"/>
                        <w:left w:val="none" w:sz="0" w:space="0" w:color="auto"/>
                        <w:bottom w:val="none" w:sz="0" w:space="0" w:color="auto"/>
                        <w:right w:val="none" w:sz="0" w:space="0" w:color="auto"/>
                      </w:divBdr>
                    </w:div>
                    <w:div w:id="465775476">
                      <w:marLeft w:val="0"/>
                      <w:marRight w:val="0"/>
                      <w:marTop w:val="0"/>
                      <w:marBottom w:val="0"/>
                      <w:divBdr>
                        <w:top w:val="none" w:sz="0" w:space="0" w:color="auto"/>
                        <w:left w:val="none" w:sz="0" w:space="0" w:color="auto"/>
                        <w:bottom w:val="none" w:sz="0" w:space="0" w:color="auto"/>
                        <w:right w:val="none" w:sz="0" w:space="0" w:color="auto"/>
                      </w:divBdr>
                    </w:div>
                  </w:divsChild>
                </w:div>
                <w:div w:id="1781611215">
                  <w:marLeft w:val="0"/>
                  <w:marRight w:val="0"/>
                  <w:marTop w:val="0"/>
                  <w:marBottom w:val="0"/>
                  <w:divBdr>
                    <w:top w:val="none" w:sz="0" w:space="0" w:color="auto"/>
                    <w:left w:val="none" w:sz="0" w:space="0" w:color="auto"/>
                    <w:bottom w:val="none" w:sz="0" w:space="0" w:color="auto"/>
                    <w:right w:val="none" w:sz="0" w:space="0" w:color="auto"/>
                  </w:divBdr>
                  <w:divsChild>
                    <w:div w:id="9552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9786">
          <w:marLeft w:val="0"/>
          <w:marRight w:val="0"/>
          <w:marTop w:val="0"/>
          <w:marBottom w:val="0"/>
          <w:divBdr>
            <w:top w:val="none" w:sz="0" w:space="0" w:color="auto"/>
            <w:left w:val="none" w:sz="0" w:space="0" w:color="auto"/>
            <w:bottom w:val="none" w:sz="0" w:space="0" w:color="auto"/>
            <w:right w:val="none" w:sz="0" w:space="0" w:color="auto"/>
          </w:divBdr>
          <w:divsChild>
            <w:div w:id="17164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8329">
      <w:bodyDiv w:val="1"/>
      <w:marLeft w:val="0"/>
      <w:marRight w:val="0"/>
      <w:marTop w:val="0"/>
      <w:marBottom w:val="0"/>
      <w:divBdr>
        <w:top w:val="none" w:sz="0" w:space="0" w:color="auto"/>
        <w:left w:val="none" w:sz="0" w:space="0" w:color="auto"/>
        <w:bottom w:val="none" w:sz="0" w:space="0" w:color="auto"/>
        <w:right w:val="none" w:sz="0" w:space="0" w:color="auto"/>
      </w:divBdr>
      <w:divsChild>
        <w:div w:id="48265486">
          <w:marLeft w:val="480"/>
          <w:marRight w:val="0"/>
          <w:marTop w:val="0"/>
          <w:marBottom w:val="0"/>
          <w:divBdr>
            <w:top w:val="none" w:sz="0" w:space="0" w:color="auto"/>
            <w:left w:val="none" w:sz="0" w:space="0" w:color="auto"/>
            <w:bottom w:val="none" w:sz="0" w:space="0" w:color="auto"/>
            <w:right w:val="none" w:sz="0" w:space="0" w:color="auto"/>
          </w:divBdr>
        </w:div>
        <w:div w:id="398600484">
          <w:marLeft w:val="480"/>
          <w:marRight w:val="0"/>
          <w:marTop w:val="0"/>
          <w:marBottom w:val="0"/>
          <w:divBdr>
            <w:top w:val="none" w:sz="0" w:space="0" w:color="auto"/>
            <w:left w:val="none" w:sz="0" w:space="0" w:color="auto"/>
            <w:bottom w:val="none" w:sz="0" w:space="0" w:color="auto"/>
            <w:right w:val="none" w:sz="0" w:space="0" w:color="auto"/>
          </w:divBdr>
        </w:div>
        <w:div w:id="1380470090">
          <w:marLeft w:val="480"/>
          <w:marRight w:val="0"/>
          <w:marTop w:val="0"/>
          <w:marBottom w:val="0"/>
          <w:divBdr>
            <w:top w:val="none" w:sz="0" w:space="0" w:color="auto"/>
            <w:left w:val="none" w:sz="0" w:space="0" w:color="auto"/>
            <w:bottom w:val="none" w:sz="0" w:space="0" w:color="auto"/>
            <w:right w:val="none" w:sz="0" w:space="0" w:color="auto"/>
          </w:divBdr>
        </w:div>
        <w:div w:id="1619214611">
          <w:marLeft w:val="480"/>
          <w:marRight w:val="0"/>
          <w:marTop w:val="0"/>
          <w:marBottom w:val="0"/>
          <w:divBdr>
            <w:top w:val="none" w:sz="0" w:space="0" w:color="auto"/>
            <w:left w:val="none" w:sz="0" w:space="0" w:color="auto"/>
            <w:bottom w:val="none" w:sz="0" w:space="0" w:color="auto"/>
            <w:right w:val="none" w:sz="0" w:space="0" w:color="auto"/>
          </w:divBdr>
        </w:div>
        <w:div w:id="1886528587">
          <w:marLeft w:val="480"/>
          <w:marRight w:val="0"/>
          <w:marTop w:val="0"/>
          <w:marBottom w:val="0"/>
          <w:divBdr>
            <w:top w:val="none" w:sz="0" w:space="0" w:color="auto"/>
            <w:left w:val="none" w:sz="0" w:space="0" w:color="auto"/>
            <w:bottom w:val="none" w:sz="0" w:space="0" w:color="auto"/>
            <w:right w:val="none" w:sz="0" w:space="0" w:color="auto"/>
          </w:divBdr>
        </w:div>
      </w:divsChild>
    </w:div>
    <w:div w:id="1068067585">
      <w:marLeft w:val="480"/>
      <w:marRight w:val="0"/>
      <w:marTop w:val="0"/>
      <w:marBottom w:val="0"/>
      <w:divBdr>
        <w:top w:val="none" w:sz="0" w:space="0" w:color="auto"/>
        <w:left w:val="none" w:sz="0" w:space="0" w:color="auto"/>
        <w:bottom w:val="none" w:sz="0" w:space="0" w:color="auto"/>
        <w:right w:val="none" w:sz="0" w:space="0" w:color="auto"/>
      </w:divBdr>
    </w:div>
    <w:div w:id="1068576927">
      <w:bodyDiv w:val="1"/>
      <w:marLeft w:val="0"/>
      <w:marRight w:val="0"/>
      <w:marTop w:val="0"/>
      <w:marBottom w:val="0"/>
      <w:divBdr>
        <w:top w:val="none" w:sz="0" w:space="0" w:color="auto"/>
        <w:left w:val="none" w:sz="0" w:space="0" w:color="auto"/>
        <w:bottom w:val="none" w:sz="0" w:space="0" w:color="auto"/>
        <w:right w:val="none" w:sz="0" w:space="0" w:color="auto"/>
      </w:divBdr>
    </w:div>
    <w:div w:id="1070494793">
      <w:marLeft w:val="480"/>
      <w:marRight w:val="0"/>
      <w:marTop w:val="0"/>
      <w:marBottom w:val="0"/>
      <w:divBdr>
        <w:top w:val="none" w:sz="0" w:space="0" w:color="auto"/>
        <w:left w:val="none" w:sz="0" w:space="0" w:color="auto"/>
        <w:bottom w:val="none" w:sz="0" w:space="0" w:color="auto"/>
        <w:right w:val="none" w:sz="0" w:space="0" w:color="auto"/>
      </w:divBdr>
    </w:div>
    <w:div w:id="1070883984">
      <w:marLeft w:val="480"/>
      <w:marRight w:val="0"/>
      <w:marTop w:val="0"/>
      <w:marBottom w:val="0"/>
      <w:divBdr>
        <w:top w:val="none" w:sz="0" w:space="0" w:color="auto"/>
        <w:left w:val="none" w:sz="0" w:space="0" w:color="auto"/>
        <w:bottom w:val="none" w:sz="0" w:space="0" w:color="auto"/>
        <w:right w:val="none" w:sz="0" w:space="0" w:color="auto"/>
      </w:divBdr>
    </w:div>
    <w:div w:id="1075319260">
      <w:marLeft w:val="480"/>
      <w:marRight w:val="0"/>
      <w:marTop w:val="0"/>
      <w:marBottom w:val="0"/>
      <w:divBdr>
        <w:top w:val="none" w:sz="0" w:space="0" w:color="auto"/>
        <w:left w:val="none" w:sz="0" w:space="0" w:color="auto"/>
        <w:bottom w:val="none" w:sz="0" w:space="0" w:color="auto"/>
        <w:right w:val="none" w:sz="0" w:space="0" w:color="auto"/>
      </w:divBdr>
    </w:div>
    <w:div w:id="1078408022">
      <w:marLeft w:val="480"/>
      <w:marRight w:val="0"/>
      <w:marTop w:val="0"/>
      <w:marBottom w:val="0"/>
      <w:divBdr>
        <w:top w:val="none" w:sz="0" w:space="0" w:color="auto"/>
        <w:left w:val="none" w:sz="0" w:space="0" w:color="auto"/>
        <w:bottom w:val="none" w:sz="0" w:space="0" w:color="auto"/>
        <w:right w:val="none" w:sz="0" w:space="0" w:color="auto"/>
      </w:divBdr>
    </w:div>
    <w:div w:id="1084374420">
      <w:marLeft w:val="480"/>
      <w:marRight w:val="0"/>
      <w:marTop w:val="0"/>
      <w:marBottom w:val="0"/>
      <w:divBdr>
        <w:top w:val="none" w:sz="0" w:space="0" w:color="auto"/>
        <w:left w:val="none" w:sz="0" w:space="0" w:color="auto"/>
        <w:bottom w:val="none" w:sz="0" w:space="0" w:color="auto"/>
        <w:right w:val="none" w:sz="0" w:space="0" w:color="auto"/>
      </w:divBdr>
    </w:div>
    <w:div w:id="1088304581">
      <w:bodyDiv w:val="1"/>
      <w:marLeft w:val="0"/>
      <w:marRight w:val="0"/>
      <w:marTop w:val="0"/>
      <w:marBottom w:val="0"/>
      <w:divBdr>
        <w:top w:val="none" w:sz="0" w:space="0" w:color="auto"/>
        <w:left w:val="none" w:sz="0" w:space="0" w:color="auto"/>
        <w:bottom w:val="none" w:sz="0" w:space="0" w:color="auto"/>
        <w:right w:val="none" w:sz="0" w:space="0" w:color="auto"/>
      </w:divBdr>
    </w:div>
    <w:div w:id="1089038346">
      <w:marLeft w:val="480"/>
      <w:marRight w:val="0"/>
      <w:marTop w:val="0"/>
      <w:marBottom w:val="0"/>
      <w:divBdr>
        <w:top w:val="none" w:sz="0" w:space="0" w:color="auto"/>
        <w:left w:val="none" w:sz="0" w:space="0" w:color="auto"/>
        <w:bottom w:val="none" w:sz="0" w:space="0" w:color="auto"/>
        <w:right w:val="none" w:sz="0" w:space="0" w:color="auto"/>
      </w:divBdr>
    </w:div>
    <w:div w:id="1091127189">
      <w:marLeft w:val="480"/>
      <w:marRight w:val="0"/>
      <w:marTop w:val="0"/>
      <w:marBottom w:val="0"/>
      <w:divBdr>
        <w:top w:val="none" w:sz="0" w:space="0" w:color="auto"/>
        <w:left w:val="none" w:sz="0" w:space="0" w:color="auto"/>
        <w:bottom w:val="none" w:sz="0" w:space="0" w:color="auto"/>
        <w:right w:val="none" w:sz="0" w:space="0" w:color="auto"/>
      </w:divBdr>
    </w:div>
    <w:div w:id="1092429481">
      <w:marLeft w:val="480"/>
      <w:marRight w:val="0"/>
      <w:marTop w:val="0"/>
      <w:marBottom w:val="0"/>
      <w:divBdr>
        <w:top w:val="none" w:sz="0" w:space="0" w:color="auto"/>
        <w:left w:val="none" w:sz="0" w:space="0" w:color="auto"/>
        <w:bottom w:val="none" w:sz="0" w:space="0" w:color="auto"/>
        <w:right w:val="none" w:sz="0" w:space="0" w:color="auto"/>
      </w:divBdr>
    </w:div>
    <w:div w:id="1092900025">
      <w:bodyDiv w:val="1"/>
      <w:marLeft w:val="0"/>
      <w:marRight w:val="0"/>
      <w:marTop w:val="0"/>
      <w:marBottom w:val="0"/>
      <w:divBdr>
        <w:top w:val="none" w:sz="0" w:space="0" w:color="auto"/>
        <w:left w:val="none" w:sz="0" w:space="0" w:color="auto"/>
        <w:bottom w:val="none" w:sz="0" w:space="0" w:color="auto"/>
        <w:right w:val="none" w:sz="0" w:space="0" w:color="auto"/>
      </w:divBdr>
      <w:divsChild>
        <w:div w:id="260070506">
          <w:marLeft w:val="480"/>
          <w:marRight w:val="0"/>
          <w:marTop w:val="0"/>
          <w:marBottom w:val="0"/>
          <w:divBdr>
            <w:top w:val="none" w:sz="0" w:space="0" w:color="auto"/>
            <w:left w:val="none" w:sz="0" w:space="0" w:color="auto"/>
            <w:bottom w:val="none" w:sz="0" w:space="0" w:color="auto"/>
            <w:right w:val="none" w:sz="0" w:space="0" w:color="auto"/>
          </w:divBdr>
        </w:div>
        <w:div w:id="279141800">
          <w:marLeft w:val="480"/>
          <w:marRight w:val="0"/>
          <w:marTop w:val="0"/>
          <w:marBottom w:val="0"/>
          <w:divBdr>
            <w:top w:val="none" w:sz="0" w:space="0" w:color="auto"/>
            <w:left w:val="none" w:sz="0" w:space="0" w:color="auto"/>
            <w:bottom w:val="none" w:sz="0" w:space="0" w:color="auto"/>
            <w:right w:val="none" w:sz="0" w:space="0" w:color="auto"/>
          </w:divBdr>
        </w:div>
        <w:div w:id="644700084">
          <w:marLeft w:val="480"/>
          <w:marRight w:val="0"/>
          <w:marTop w:val="0"/>
          <w:marBottom w:val="0"/>
          <w:divBdr>
            <w:top w:val="none" w:sz="0" w:space="0" w:color="auto"/>
            <w:left w:val="none" w:sz="0" w:space="0" w:color="auto"/>
            <w:bottom w:val="none" w:sz="0" w:space="0" w:color="auto"/>
            <w:right w:val="none" w:sz="0" w:space="0" w:color="auto"/>
          </w:divBdr>
        </w:div>
        <w:div w:id="891383425">
          <w:marLeft w:val="480"/>
          <w:marRight w:val="0"/>
          <w:marTop w:val="0"/>
          <w:marBottom w:val="0"/>
          <w:divBdr>
            <w:top w:val="none" w:sz="0" w:space="0" w:color="auto"/>
            <w:left w:val="none" w:sz="0" w:space="0" w:color="auto"/>
            <w:bottom w:val="none" w:sz="0" w:space="0" w:color="auto"/>
            <w:right w:val="none" w:sz="0" w:space="0" w:color="auto"/>
          </w:divBdr>
        </w:div>
        <w:div w:id="1099719783">
          <w:marLeft w:val="480"/>
          <w:marRight w:val="0"/>
          <w:marTop w:val="0"/>
          <w:marBottom w:val="0"/>
          <w:divBdr>
            <w:top w:val="none" w:sz="0" w:space="0" w:color="auto"/>
            <w:left w:val="none" w:sz="0" w:space="0" w:color="auto"/>
            <w:bottom w:val="none" w:sz="0" w:space="0" w:color="auto"/>
            <w:right w:val="none" w:sz="0" w:space="0" w:color="auto"/>
          </w:divBdr>
        </w:div>
        <w:div w:id="1486825041">
          <w:marLeft w:val="480"/>
          <w:marRight w:val="0"/>
          <w:marTop w:val="0"/>
          <w:marBottom w:val="0"/>
          <w:divBdr>
            <w:top w:val="none" w:sz="0" w:space="0" w:color="auto"/>
            <w:left w:val="none" w:sz="0" w:space="0" w:color="auto"/>
            <w:bottom w:val="none" w:sz="0" w:space="0" w:color="auto"/>
            <w:right w:val="none" w:sz="0" w:space="0" w:color="auto"/>
          </w:divBdr>
        </w:div>
        <w:div w:id="1573276664">
          <w:marLeft w:val="480"/>
          <w:marRight w:val="0"/>
          <w:marTop w:val="0"/>
          <w:marBottom w:val="0"/>
          <w:divBdr>
            <w:top w:val="none" w:sz="0" w:space="0" w:color="auto"/>
            <w:left w:val="none" w:sz="0" w:space="0" w:color="auto"/>
            <w:bottom w:val="none" w:sz="0" w:space="0" w:color="auto"/>
            <w:right w:val="none" w:sz="0" w:space="0" w:color="auto"/>
          </w:divBdr>
        </w:div>
        <w:div w:id="1735347658">
          <w:marLeft w:val="480"/>
          <w:marRight w:val="0"/>
          <w:marTop w:val="0"/>
          <w:marBottom w:val="0"/>
          <w:divBdr>
            <w:top w:val="none" w:sz="0" w:space="0" w:color="auto"/>
            <w:left w:val="none" w:sz="0" w:space="0" w:color="auto"/>
            <w:bottom w:val="none" w:sz="0" w:space="0" w:color="auto"/>
            <w:right w:val="none" w:sz="0" w:space="0" w:color="auto"/>
          </w:divBdr>
        </w:div>
        <w:div w:id="1927037993">
          <w:marLeft w:val="480"/>
          <w:marRight w:val="0"/>
          <w:marTop w:val="0"/>
          <w:marBottom w:val="0"/>
          <w:divBdr>
            <w:top w:val="none" w:sz="0" w:space="0" w:color="auto"/>
            <w:left w:val="none" w:sz="0" w:space="0" w:color="auto"/>
            <w:bottom w:val="none" w:sz="0" w:space="0" w:color="auto"/>
            <w:right w:val="none" w:sz="0" w:space="0" w:color="auto"/>
          </w:divBdr>
        </w:div>
      </w:divsChild>
    </w:div>
    <w:div w:id="1094401551">
      <w:marLeft w:val="480"/>
      <w:marRight w:val="0"/>
      <w:marTop w:val="0"/>
      <w:marBottom w:val="0"/>
      <w:divBdr>
        <w:top w:val="none" w:sz="0" w:space="0" w:color="auto"/>
        <w:left w:val="none" w:sz="0" w:space="0" w:color="auto"/>
        <w:bottom w:val="none" w:sz="0" w:space="0" w:color="auto"/>
        <w:right w:val="none" w:sz="0" w:space="0" w:color="auto"/>
      </w:divBdr>
    </w:div>
    <w:div w:id="1099760829">
      <w:marLeft w:val="480"/>
      <w:marRight w:val="0"/>
      <w:marTop w:val="0"/>
      <w:marBottom w:val="0"/>
      <w:divBdr>
        <w:top w:val="none" w:sz="0" w:space="0" w:color="auto"/>
        <w:left w:val="none" w:sz="0" w:space="0" w:color="auto"/>
        <w:bottom w:val="none" w:sz="0" w:space="0" w:color="auto"/>
        <w:right w:val="none" w:sz="0" w:space="0" w:color="auto"/>
      </w:divBdr>
    </w:div>
    <w:div w:id="1100032028">
      <w:marLeft w:val="480"/>
      <w:marRight w:val="0"/>
      <w:marTop w:val="0"/>
      <w:marBottom w:val="0"/>
      <w:divBdr>
        <w:top w:val="none" w:sz="0" w:space="0" w:color="auto"/>
        <w:left w:val="none" w:sz="0" w:space="0" w:color="auto"/>
        <w:bottom w:val="none" w:sz="0" w:space="0" w:color="auto"/>
        <w:right w:val="none" w:sz="0" w:space="0" w:color="auto"/>
      </w:divBdr>
    </w:div>
    <w:div w:id="1100955086">
      <w:marLeft w:val="480"/>
      <w:marRight w:val="0"/>
      <w:marTop w:val="0"/>
      <w:marBottom w:val="0"/>
      <w:divBdr>
        <w:top w:val="none" w:sz="0" w:space="0" w:color="auto"/>
        <w:left w:val="none" w:sz="0" w:space="0" w:color="auto"/>
        <w:bottom w:val="none" w:sz="0" w:space="0" w:color="auto"/>
        <w:right w:val="none" w:sz="0" w:space="0" w:color="auto"/>
      </w:divBdr>
    </w:div>
    <w:div w:id="1103305157">
      <w:marLeft w:val="480"/>
      <w:marRight w:val="0"/>
      <w:marTop w:val="0"/>
      <w:marBottom w:val="0"/>
      <w:divBdr>
        <w:top w:val="none" w:sz="0" w:space="0" w:color="auto"/>
        <w:left w:val="none" w:sz="0" w:space="0" w:color="auto"/>
        <w:bottom w:val="none" w:sz="0" w:space="0" w:color="auto"/>
        <w:right w:val="none" w:sz="0" w:space="0" w:color="auto"/>
      </w:divBdr>
    </w:div>
    <w:div w:id="1103957573">
      <w:marLeft w:val="480"/>
      <w:marRight w:val="0"/>
      <w:marTop w:val="0"/>
      <w:marBottom w:val="0"/>
      <w:divBdr>
        <w:top w:val="none" w:sz="0" w:space="0" w:color="auto"/>
        <w:left w:val="none" w:sz="0" w:space="0" w:color="auto"/>
        <w:bottom w:val="none" w:sz="0" w:space="0" w:color="auto"/>
        <w:right w:val="none" w:sz="0" w:space="0" w:color="auto"/>
      </w:divBdr>
    </w:div>
    <w:div w:id="1106540677">
      <w:marLeft w:val="480"/>
      <w:marRight w:val="0"/>
      <w:marTop w:val="0"/>
      <w:marBottom w:val="0"/>
      <w:divBdr>
        <w:top w:val="none" w:sz="0" w:space="0" w:color="auto"/>
        <w:left w:val="none" w:sz="0" w:space="0" w:color="auto"/>
        <w:bottom w:val="none" w:sz="0" w:space="0" w:color="auto"/>
        <w:right w:val="none" w:sz="0" w:space="0" w:color="auto"/>
      </w:divBdr>
    </w:div>
    <w:div w:id="1106659043">
      <w:marLeft w:val="480"/>
      <w:marRight w:val="0"/>
      <w:marTop w:val="0"/>
      <w:marBottom w:val="0"/>
      <w:divBdr>
        <w:top w:val="none" w:sz="0" w:space="0" w:color="auto"/>
        <w:left w:val="none" w:sz="0" w:space="0" w:color="auto"/>
        <w:bottom w:val="none" w:sz="0" w:space="0" w:color="auto"/>
        <w:right w:val="none" w:sz="0" w:space="0" w:color="auto"/>
      </w:divBdr>
    </w:div>
    <w:div w:id="1108891666">
      <w:marLeft w:val="480"/>
      <w:marRight w:val="0"/>
      <w:marTop w:val="0"/>
      <w:marBottom w:val="0"/>
      <w:divBdr>
        <w:top w:val="none" w:sz="0" w:space="0" w:color="auto"/>
        <w:left w:val="none" w:sz="0" w:space="0" w:color="auto"/>
        <w:bottom w:val="none" w:sz="0" w:space="0" w:color="auto"/>
        <w:right w:val="none" w:sz="0" w:space="0" w:color="auto"/>
      </w:divBdr>
    </w:div>
    <w:div w:id="1109276101">
      <w:marLeft w:val="480"/>
      <w:marRight w:val="0"/>
      <w:marTop w:val="0"/>
      <w:marBottom w:val="0"/>
      <w:divBdr>
        <w:top w:val="none" w:sz="0" w:space="0" w:color="auto"/>
        <w:left w:val="none" w:sz="0" w:space="0" w:color="auto"/>
        <w:bottom w:val="none" w:sz="0" w:space="0" w:color="auto"/>
        <w:right w:val="none" w:sz="0" w:space="0" w:color="auto"/>
      </w:divBdr>
    </w:div>
    <w:div w:id="1109277087">
      <w:marLeft w:val="480"/>
      <w:marRight w:val="0"/>
      <w:marTop w:val="0"/>
      <w:marBottom w:val="0"/>
      <w:divBdr>
        <w:top w:val="none" w:sz="0" w:space="0" w:color="auto"/>
        <w:left w:val="none" w:sz="0" w:space="0" w:color="auto"/>
        <w:bottom w:val="none" w:sz="0" w:space="0" w:color="auto"/>
        <w:right w:val="none" w:sz="0" w:space="0" w:color="auto"/>
      </w:divBdr>
    </w:div>
    <w:div w:id="1109472793">
      <w:marLeft w:val="480"/>
      <w:marRight w:val="0"/>
      <w:marTop w:val="0"/>
      <w:marBottom w:val="0"/>
      <w:divBdr>
        <w:top w:val="none" w:sz="0" w:space="0" w:color="auto"/>
        <w:left w:val="none" w:sz="0" w:space="0" w:color="auto"/>
        <w:bottom w:val="none" w:sz="0" w:space="0" w:color="auto"/>
        <w:right w:val="none" w:sz="0" w:space="0" w:color="auto"/>
      </w:divBdr>
    </w:div>
    <w:div w:id="1110393156">
      <w:marLeft w:val="480"/>
      <w:marRight w:val="0"/>
      <w:marTop w:val="0"/>
      <w:marBottom w:val="0"/>
      <w:divBdr>
        <w:top w:val="none" w:sz="0" w:space="0" w:color="auto"/>
        <w:left w:val="none" w:sz="0" w:space="0" w:color="auto"/>
        <w:bottom w:val="none" w:sz="0" w:space="0" w:color="auto"/>
        <w:right w:val="none" w:sz="0" w:space="0" w:color="auto"/>
      </w:divBdr>
    </w:div>
    <w:div w:id="1110854740">
      <w:marLeft w:val="480"/>
      <w:marRight w:val="0"/>
      <w:marTop w:val="0"/>
      <w:marBottom w:val="0"/>
      <w:divBdr>
        <w:top w:val="none" w:sz="0" w:space="0" w:color="auto"/>
        <w:left w:val="none" w:sz="0" w:space="0" w:color="auto"/>
        <w:bottom w:val="none" w:sz="0" w:space="0" w:color="auto"/>
        <w:right w:val="none" w:sz="0" w:space="0" w:color="auto"/>
      </w:divBdr>
    </w:div>
    <w:div w:id="1113018755">
      <w:bodyDiv w:val="1"/>
      <w:marLeft w:val="0"/>
      <w:marRight w:val="0"/>
      <w:marTop w:val="0"/>
      <w:marBottom w:val="0"/>
      <w:divBdr>
        <w:top w:val="none" w:sz="0" w:space="0" w:color="auto"/>
        <w:left w:val="none" w:sz="0" w:space="0" w:color="auto"/>
        <w:bottom w:val="none" w:sz="0" w:space="0" w:color="auto"/>
        <w:right w:val="none" w:sz="0" w:space="0" w:color="auto"/>
      </w:divBdr>
      <w:divsChild>
        <w:div w:id="57942784">
          <w:marLeft w:val="-75"/>
          <w:marRight w:val="0"/>
          <w:marTop w:val="30"/>
          <w:marBottom w:val="30"/>
          <w:divBdr>
            <w:top w:val="none" w:sz="0" w:space="0" w:color="auto"/>
            <w:left w:val="none" w:sz="0" w:space="0" w:color="auto"/>
            <w:bottom w:val="none" w:sz="0" w:space="0" w:color="auto"/>
            <w:right w:val="none" w:sz="0" w:space="0" w:color="auto"/>
          </w:divBdr>
          <w:divsChild>
            <w:div w:id="336271599">
              <w:marLeft w:val="0"/>
              <w:marRight w:val="0"/>
              <w:marTop w:val="0"/>
              <w:marBottom w:val="0"/>
              <w:divBdr>
                <w:top w:val="none" w:sz="0" w:space="0" w:color="auto"/>
                <w:left w:val="none" w:sz="0" w:space="0" w:color="auto"/>
                <w:bottom w:val="none" w:sz="0" w:space="0" w:color="auto"/>
                <w:right w:val="none" w:sz="0" w:space="0" w:color="auto"/>
              </w:divBdr>
              <w:divsChild>
                <w:div w:id="808402390">
                  <w:marLeft w:val="0"/>
                  <w:marRight w:val="0"/>
                  <w:marTop w:val="0"/>
                  <w:marBottom w:val="0"/>
                  <w:divBdr>
                    <w:top w:val="none" w:sz="0" w:space="0" w:color="auto"/>
                    <w:left w:val="none" w:sz="0" w:space="0" w:color="auto"/>
                    <w:bottom w:val="none" w:sz="0" w:space="0" w:color="auto"/>
                    <w:right w:val="none" w:sz="0" w:space="0" w:color="auto"/>
                  </w:divBdr>
                </w:div>
                <w:div w:id="1359702971">
                  <w:marLeft w:val="0"/>
                  <w:marRight w:val="0"/>
                  <w:marTop w:val="0"/>
                  <w:marBottom w:val="0"/>
                  <w:divBdr>
                    <w:top w:val="none" w:sz="0" w:space="0" w:color="auto"/>
                    <w:left w:val="none" w:sz="0" w:space="0" w:color="auto"/>
                    <w:bottom w:val="none" w:sz="0" w:space="0" w:color="auto"/>
                    <w:right w:val="none" w:sz="0" w:space="0" w:color="auto"/>
                  </w:divBdr>
                </w:div>
              </w:divsChild>
            </w:div>
            <w:div w:id="1366515412">
              <w:marLeft w:val="0"/>
              <w:marRight w:val="0"/>
              <w:marTop w:val="0"/>
              <w:marBottom w:val="0"/>
              <w:divBdr>
                <w:top w:val="none" w:sz="0" w:space="0" w:color="auto"/>
                <w:left w:val="none" w:sz="0" w:space="0" w:color="auto"/>
                <w:bottom w:val="none" w:sz="0" w:space="0" w:color="auto"/>
                <w:right w:val="none" w:sz="0" w:space="0" w:color="auto"/>
              </w:divBdr>
              <w:divsChild>
                <w:div w:id="18822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2552">
          <w:marLeft w:val="0"/>
          <w:marRight w:val="0"/>
          <w:marTop w:val="0"/>
          <w:marBottom w:val="0"/>
          <w:divBdr>
            <w:top w:val="none" w:sz="0" w:space="0" w:color="auto"/>
            <w:left w:val="none" w:sz="0" w:space="0" w:color="auto"/>
            <w:bottom w:val="none" w:sz="0" w:space="0" w:color="auto"/>
            <w:right w:val="none" w:sz="0" w:space="0" w:color="auto"/>
          </w:divBdr>
        </w:div>
        <w:div w:id="309604548">
          <w:marLeft w:val="0"/>
          <w:marRight w:val="0"/>
          <w:marTop w:val="0"/>
          <w:marBottom w:val="0"/>
          <w:divBdr>
            <w:top w:val="none" w:sz="0" w:space="0" w:color="auto"/>
            <w:left w:val="none" w:sz="0" w:space="0" w:color="auto"/>
            <w:bottom w:val="none" w:sz="0" w:space="0" w:color="auto"/>
            <w:right w:val="none" w:sz="0" w:space="0" w:color="auto"/>
          </w:divBdr>
        </w:div>
        <w:div w:id="339626349">
          <w:marLeft w:val="0"/>
          <w:marRight w:val="0"/>
          <w:marTop w:val="0"/>
          <w:marBottom w:val="0"/>
          <w:divBdr>
            <w:top w:val="none" w:sz="0" w:space="0" w:color="auto"/>
            <w:left w:val="none" w:sz="0" w:space="0" w:color="auto"/>
            <w:bottom w:val="none" w:sz="0" w:space="0" w:color="auto"/>
            <w:right w:val="none" w:sz="0" w:space="0" w:color="auto"/>
          </w:divBdr>
          <w:divsChild>
            <w:div w:id="772942111">
              <w:marLeft w:val="-75"/>
              <w:marRight w:val="0"/>
              <w:marTop w:val="30"/>
              <w:marBottom w:val="30"/>
              <w:divBdr>
                <w:top w:val="none" w:sz="0" w:space="0" w:color="auto"/>
                <w:left w:val="none" w:sz="0" w:space="0" w:color="auto"/>
                <w:bottom w:val="none" w:sz="0" w:space="0" w:color="auto"/>
                <w:right w:val="none" w:sz="0" w:space="0" w:color="auto"/>
              </w:divBdr>
              <w:divsChild>
                <w:div w:id="1262226782">
                  <w:marLeft w:val="0"/>
                  <w:marRight w:val="0"/>
                  <w:marTop w:val="0"/>
                  <w:marBottom w:val="0"/>
                  <w:divBdr>
                    <w:top w:val="none" w:sz="0" w:space="0" w:color="auto"/>
                    <w:left w:val="none" w:sz="0" w:space="0" w:color="auto"/>
                    <w:bottom w:val="none" w:sz="0" w:space="0" w:color="auto"/>
                    <w:right w:val="none" w:sz="0" w:space="0" w:color="auto"/>
                  </w:divBdr>
                </w:div>
                <w:div w:id="1473524320">
                  <w:marLeft w:val="0"/>
                  <w:marRight w:val="0"/>
                  <w:marTop w:val="0"/>
                  <w:marBottom w:val="0"/>
                  <w:divBdr>
                    <w:top w:val="none" w:sz="0" w:space="0" w:color="auto"/>
                    <w:left w:val="none" w:sz="0" w:space="0" w:color="auto"/>
                    <w:bottom w:val="none" w:sz="0" w:space="0" w:color="auto"/>
                    <w:right w:val="none" w:sz="0" w:space="0" w:color="auto"/>
                  </w:divBdr>
                  <w:divsChild>
                    <w:div w:id="571355115">
                      <w:marLeft w:val="0"/>
                      <w:marRight w:val="0"/>
                      <w:marTop w:val="0"/>
                      <w:marBottom w:val="0"/>
                      <w:divBdr>
                        <w:top w:val="none" w:sz="0" w:space="0" w:color="auto"/>
                        <w:left w:val="none" w:sz="0" w:space="0" w:color="auto"/>
                        <w:bottom w:val="none" w:sz="0" w:space="0" w:color="auto"/>
                        <w:right w:val="none" w:sz="0" w:space="0" w:color="auto"/>
                      </w:divBdr>
                    </w:div>
                    <w:div w:id="1511022773">
                      <w:marLeft w:val="0"/>
                      <w:marRight w:val="0"/>
                      <w:marTop w:val="0"/>
                      <w:marBottom w:val="0"/>
                      <w:divBdr>
                        <w:top w:val="none" w:sz="0" w:space="0" w:color="auto"/>
                        <w:left w:val="none" w:sz="0" w:space="0" w:color="auto"/>
                        <w:bottom w:val="none" w:sz="0" w:space="0" w:color="auto"/>
                        <w:right w:val="none" w:sz="0" w:space="0" w:color="auto"/>
                      </w:divBdr>
                    </w:div>
                  </w:divsChild>
                </w:div>
                <w:div w:id="1503468739">
                  <w:marLeft w:val="0"/>
                  <w:marRight w:val="0"/>
                  <w:marTop w:val="0"/>
                  <w:marBottom w:val="0"/>
                  <w:divBdr>
                    <w:top w:val="none" w:sz="0" w:space="0" w:color="auto"/>
                    <w:left w:val="none" w:sz="0" w:space="0" w:color="auto"/>
                    <w:bottom w:val="none" w:sz="0" w:space="0" w:color="auto"/>
                    <w:right w:val="none" w:sz="0" w:space="0" w:color="auto"/>
                  </w:divBdr>
                  <w:divsChild>
                    <w:div w:id="807552784">
                      <w:marLeft w:val="0"/>
                      <w:marRight w:val="0"/>
                      <w:marTop w:val="0"/>
                      <w:marBottom w:val="0"/>
                      <w:divBdr>
                        <w:top w:val="none" w:sz="0" w:space="0" w:color="auto"/>
                        <w:left w:val="none" w:sz="0" w:space="0" w:color="auto"/>
                        <w:bottom w:val="none" w:sz="0" w:space="0" w:color="auto"/>
                        <w:right w:val="none" w:sz="0" w:space="0" w:color="auto"/>
                      </w:divBdr>
                    </w:div>
                    <w:div w:id="1381788478">
                      <w:marLeft w:val="0"/>
                      <w:marRight w:val="0"/>
                      <w:marTop w:val="0"/>
                      <w:marBottom w:val="0"/>
                      <w:divBdr>
                        <w:top w:val="none" w:sz="0" w:space="0" w:color="auto"/>
                        <w:left w:val="none" w:sz="0" w:space="0" w:color="auto"/>
                        <w:bottom w:val="none" w:sz="0" w:space="0" w:color="auto"/>
                        <w:right w:val="none" w:sz="0" w:space="0" w:color="auto"/>
                      </w:divBdr>
                    </w:div>
                  </w:divsChild>
                </w:div>
                <w:div w:id="2032606461">
                  <w:marLeft w:val="0"/>
                  <w:marRight w:val="0"/>
                  <w:marTop w:val="0"/>
                  <w:marBottom w:val="0"/>
                  <w:divBdr>
                    <w:top w:val="none" w:sz="0" w:space="0" w:color="auto"/>
                    <w:left w:val="none" w:sz="0" w:space="0" w:color="auto"/>
                    <w:bottom w:val="none" w:sz="0" w:space="0" w:color="auto"/>
                    <w:right w:val="none" w:sz="0" w:space="0" w:color="auto"/>
                  </w:divBdr>
                  <w:divsChild>
                    <w:div w:id="36593637">
                      <w:marLeft w:val="0"/>
                      <w:marRight w:val="0"/>
                      <w:marTop w:val="0"/>
                      <w:marBottom w:val="0"/>
                      <w:divBdr>
                        <w:top w:val="none" w:sz="0" w:space="0" w:color="auto"/>
                        <w:left w:val="none" w:sz="0" w:space="0" w:color="auto"/>
                        <w:bottom w:val="none" w:sz="0" w:space="0" w:color="auto"/>
                        <w:right w:val="none" w:sz="0" w:space="0" w:color="auto"/>
                      </w:divBdr>
                    </w:div>
                  </w:divsChild>
                </w:div>
                <w:div w:id="2144083035">
                  <w:marLeft w:val="0"/>
                  <w:marRight w:val="0"/>
                  <w:marTop w:val="0"/>
                  <w:marBottom w:val="0"/>
                  <w:divBdr>
                    <w:top w:val="none" w:sz="0" w:space="0" w:color="auto"/>
                    <w:left w:val="none" w:sz="0" w:space="0" w:color="auto"/>
                    <w:bottom w:val="none" w:sz="0" w:space="0" w:color="auto"/>
                    <w:right w:val="none" w:sz="0" w:space="0" w:color="auto"/>
                  </w:divBdr>
                  <w:divsChild>
                    <w:div w:id="17963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0978">
          <w:marLeft w:val="0"/>
          <w:marRight w:val="0"/>
          <w:marTop w:val="0"/>
          <w:marBottom w:val="0"/>
          <w:divBdr>
            <w:top w:val="none" w:sz="0" w:space="0" w:color="auto"/>
            <w:left w:val="none" w:sz="0" w:space="0" w:color="auto"/>
            <w:bottom w:val="none" w:sz="0" w:space="0" w:color="auto"/>
            <w:right w:val="none" w:sz="0" w:space="0" w:color="auto"/>
          </w:divBdr>
        </w:div>
        <w:div w:id="462887012">
          <w:marLeft w:val="0"/>
          <w:marRight w:val="0"/>
          <w:marTop w:val="0"/>
          <w:marBottom w:val="0"/>
          <w:divBdr>
            <w:top w:val="none" w:sz="0" w:space="0" w:color="auto"/>
            <w:left w:val="none" w:sz="0" w:space="0" w:color="auto"/>
            <w:bottom w:val="none" w:sz="0" w:space="0" w:color="auto"/>
            <w:right w:val="none" w:sz="0" w:space="0" w:color="auto"/>
          </w:divBdr>
        </w:div>
        <w:div w:id="502399391">
          <w:marLeft w:val="0"/>
          <w:marRight w:val="0"/>
          <w:marTop w:val="0"/>
          <w:marBottom w:val="0"/>
          <w:divBdr>
            <w:top w:val="none" w:sz="0" w:space="0" w:color="auto"/>
            <w:left w:val="none" w:sz="0" w:space="0" w:color="auto"/>
            <w:bottom w:val="none" w:sz="0" w:space="0" w:color="auto"/>
            <w:right w:val="none" w:sz="0" w:space="0" w:color="auto"/>
          </w:divBdr>
          <w:divsChild>
            <w:div w:id="643506643">
              <w:marLeft w:val="-75"/>
              <w:marRight w:val="0"/>
              <w:marTop w:val="30"/>
              <w:marBottom w:val="30"/>
              <w:divBdr>
                <w:top w:val="none" w:sz="0" w:space="0" w:color="auto"/>
                <w:left w:val="none" w:sz="0" w:space="0" w:color="auto"/>
                <w:bottom w:val="none" w:sz="0" w:space="0" w:color="auto"/>
                <w:right w:val="none" w:sz="0" w:space="0" w:color="auto"/>
              </w:divBdr>
              <w:divsChild>
                <w:div w:id="592904193">
                  <w:marLeft w:val="0"/>
                  <w:marRight w:val="0"/>
                  <w:marTop w:val="0"/>
                  <w:marBottom w:val="0"/>
                  <w:divBdr>
                    <w:top w:val="none" w:sz="0" w:space="0" w:color="auto"/>
                    <w:left w:val="none" w:sz="0" w:space="0" w:color="auto"/>
                    <w:bottom w:val="none" w:sz="0" w:space="0" w:color="auto"/>
                    <w:right w:val="none" w:sz="0" w:space="0" w:color="auto"/>
                  </w:divBdr>
                  <w:divsChild>
                    <w:div w:id="1939366903">
                      <w:marLeft w:val="0"/>
                      <w:marRight w:val="0"/>
                      <w:marTop w:val="0"/>
                      <w:marBottom w:val="0"/>
                      <w:divBdr>
                        <w:top w:val="none" w:sz="0" w:space="0" w:color="auto"/>
                        <w:left w:val="none" w:sz="0" w:space="0" w:color="auto"/>
                        <w:bottom w:val="none" w:sz="0" w:space="0" w:color="auto"/>
                        <w:right w:val="none" w:sz="0" w:space="0" w:color="auto"/>
                      </w:divBdr>
                    </w:div>
                  </w:divsChild>
                </w:div>
                <w:div w:id="907223615">
                  <w:marLeft w:val="0"/>
                  <w:marRight w:val="0"/>
                  <w:marTop w:val="0"/>
                  <w:marBottom w:val="0"/>
                  <w:divBdr>
                    <w:top w:val="none" w:sz="0" w:space="0" w:color="auto"/>
                    <w:left w:val="none" w:sz="0" w:space="0" w:color="auto"/>
                    <w:bottom w:val="none" w:sz="0" w:space="0" w:color="auto"/>
                    <w:right w:val="none" w:sz="0" w:space="0" w:color="auto"/>
                  </w:divBdr>
                  <w:divsChild>
                    <w:div w:id="490021058">
                      <w:marLeft w:val="0"/>
                      <w:marRight w:val="0"/>
                      <w:marTop w:val="0"/>
                      <w:marBottom w:val="0"/>
                      <w:divBdr>
                        <w:top w:val="none" w:sz="0" w:space="0" w:color="auto"/>
                        <w:left w:val="none" w:sz="0" w:space="0" w:color="auto"/>
                        <w:bottom w:val="none" w:sz="0" w:space="0" w:color="auto"/>
                        <w:right w:val="none" w:sz="0" w:space="0" w:color="auto"/>
                      </w:divBdr>
                    </w:div>
                  </w:divsChild>
                </w:div>
                <w:div w:id="931014094">
                  <w:marLeft w:val="0"/>
                  <w:marRight w:val="0"/>
                  <w:marTop w:val="0"/>
                  <w:marBottom w:val="0"/>
                  <w:divBdr>
                    <w:top w:val="none" w:sz="0" w:space="0" w:color="auto"/>
                    <w:left w:val="none" w:sz="0" w:space="0" w:color="auto"/>
                    <w:bottom w:val="none" w:sz="0" w:space="0" w:color="auto"/>
                    <w:right w:val="none" w:sz="0" w:space="0" w:color="auto"/>
                  </w:divBdr>
                  <w:divsChild>
                    <w:div w:id="1370379825">
                      <w:marLeft w:val="0"/>
                      <w:marRight w:val="0"/>
                      <w:marTop w:val="0"/>
                      <w:marBottom w:val="0"/>
                      <w:divBdr>
                        <w:top w:val="none" w:sz="0" w:space="0" w:color="auto"/>
                        <w:left w:val="none" w:sz="0" w:space="0" w:color="auto"/>
                        <w:bottom w:val="none" w:sz="0" w:space="0" w:color="auto"/>
                        <w:right w:val="none" w:sz="0" w:space="0" w:color="auto"/>
                      </w:divBdr>
                    </w:div>
                  </w:divsChild>
                </w:div>
                <w:div w:id="1165975866">
                  <w:marLeft w:val="0"/>
                  <w:marRight w:val="0"/>
                  <w:marTop w:val="0"/>
                  <w:marBottom w:val="0"/>
                  <w:divBdr>
                    <w:top w:val="none" w:sz="0" w:space="0" w:color="auto"/>
                    <w:left w:val="none" w:sz="0" w:space="0" w:color="auto"/>
                    <w:bottom w:val="none" w:sz="0" w:space="0" w:color="auto"/>
                    <w:right w:val="none" w:sz="0" w:space="0" w:color="auto"/>
                  </w:divBdr>
                  <w:divsChild>
                    <w:div w:id="577978374">
                      <w:marLeft w:val="0"/>
                      <w:marRight w:val="0"/>
                      <w:marTop w:val="0"/>
                      <w:marBottom w:val="0"/>
                      <w:divBdr>
                        <w:top w:val="none" w:sz="0" w:space="0" w:color="auto"/>
                        <w:left w:val="none" w:sz="0" w:space="0" w:color="auto"/>
                        <w:bottom w:val="none" w:sz="0" w:space="0" w:color="auto"/>
                        <w:right w:val="none" w:sz="0" w:space="0" w:color="auto"/>
                      </w:divBdr>
                    </w:div>
                    <w:div w:id="1667511274">
                      <w:marLeft w:val="0"/>
                      <w:marRight w:val="0"/>
                      <w:marTop w:val="0"/>
                      <w:marBottom w:val="0"/>
                      <w:divBdr>
                        <w:top w:val="none" w:sz="0" w:space="0" w:color="auto"/>
                        <w:left w:val="none" w:sz="0" w:space="0" w:color="auto"/>
                        <w:bottom w:val="none" w:sz="0" w:space="0" w:color="auto"/>
                        <w:right w:val="none" w:sz="0" w:space="0" w:color="auto"/>
                      </w:divBdr>
                    </w:div>
                  </w:divsChild>
                </w:div>
                <w:div w:id="1350721078">
                  <w:marLeft w:val="0"/>
                  <w:marRight w:val="0"/>
                  <w:marTop w:val="0"/>
                  <w:marBottom w:val="0"/>
                  <w:divBdr>
                    <w:top w:val="none" w:sz="0" w:space="0" w:color="auto"/>
                    <w:left w:val="none" w:sz="0" w:space="0" w:color="auto"/>
                    <w:bottom w:val="none" w:sz="0" w:space="0" w:color="auto"/>
                    <w:right w:val="none" w:sz="0" w:space="0" w:color="auto"/>
                  </w:divBdr>
                  <w:divsChild>
                    <w:div w:id="645620672">
                      <w:marLeft w:val="0"/>
                      <w:marRight w:val="0"/>
                      <w:marTop w:val="0"/>
                      <w:marBottom w:val="0"/>
                      <w:divBdr>
                        <w:top w:val="none" w:sz="0" w:space="0" w:color="auto"/>
                        <w:left w:val="none" w:sz="0" w:space="0" w:color="auto"/>
                        <w:bottom w:val="none" w:sz="0" w:space="0" w:color="auto"/>
                        <w:right w:val="none" w:sz="0" w:space="0" w:color="auto"/>
                      </w:divBdr>
                    </w:div>
                  </w:divsChild>
                </w:div>
                <w:div w:id="1563062162">
                  <w:marLeft w:val="0"/>
                  <w:marRight w:val="0"/>
                  <w:marTop w:val="0"/>
                  <w:marBottom w:val="0"/>
                  <w:divBdr>
                    <w:top w:val="none" w:sz="0" w:space="0" w:color="auto"/>
                    <w:left w:val="none" w:sz="0" w:space="0" w:color="auto"/>
                    <w:bottom w:val="none" w:sz="0" w:space="0" w:color="auto"/>
                    <w:right w:val="none" w:sz="0" w:space="0" w:color="auto"/>
                  </w:divBdr>
                  <w:divsChild>
                    <w:div w:id="1444299650">
                      <w:marLeft w:val="0"/>
                      <w:marRight w:val="0"/>
                      <w:marTop w:val="0"/>
                      <w:marBottom w:val="0"/>
                      <w:divBdr>
                        <w:top w:val="none" w:sz="0" w:space="0" w:color="auto"/>
                        <w:left w:val="none" w:sz="0" w:space="0" w:color="auto"/>
                        <w:bottom w:val="none" w:sz="0" w:space="0" w:color="auto"/>
                        <w:right w:val="none" w:sz="0" w:space="0" w:color="auto"/>
                      </w:divBdr>
                    </w:div>
                  </w:divsChild>
                </w:div>
                <w:div w:id="1863280114">
                  <w:marLeft w:val="0"/>
                  <w:marRight w:val="0"/>
                  <w:marTop w:val="0"/>
                  <w:marBottom w:val="0"/>
                  <w:divBdr>
                    <w:top w:val="none" w:sz="0" w:space="0" w:color="auto"/>
                    <w:left w:val="none" w:sz="0" w:space="0" w:color="auto"/>
                    <w:bottom w:val="none" w:sz="0" w:space="0" w:color="auto"/>
                    <w:right w:val="none" w:sz="0" w:space="0" w:color="auto"/>
                  </w:divBdr>
                </w:div>
                <w:div w:id="1983802317">
                  <w:marLeft w:val="0"/>
                  <w:marRight w:val="0"/>
                  <w:marTop w:val="0"/>
                  <w:marBottom w:val="0"/>
                  <w:divBdr>
                    <w:top w:val="none" w:sz="0" w:space="0" w:color="auto"/>
                    <w:left w:val="none" w:sz="0" w:space="0" w:color="auto"/>
                    <w:bottom w:val="none" w:sz="0" w:space="0" w:color="auto"/>
                    <w:right w:val="none" w:sz="0" w:space="0" w:color="auto"/>
                  </w:divBdr>
                  <w:divsChild>
                    <w:div w:id="1874727927">
                      <w:marLeft w:val="0"/>
                      <w:marRight w:val="0"/>
                      <w:marTop w:val="0"/>
                      <w:marBottom w:val="0"/>
                      <w:divBdr>
                        <w:top w:val="none" w:sz="0" w:space="0" w:color="auto"/>
                        <w:left w:val="none" w:sz="0" w:space="0" w:color="auto"/>
                        <w:bottom w:val="none" w:sz="0" w:space="0" w:color="auto"/>
                        <w:right w:val="none" w:sz="0" w:space="0" w:color="auto"/>
                      </w:divBdr>
                    </w:div>
                  </w:divsChild>
                </w:div>
                <w:div w:id="2052999190">
                  <w:marLeft w:val="0"/>
                  <w:marRight w:val="0"/>
                  <w:marTop w:val="0"/>
                  <w:marBottom w:val="0"/>
                  <w:divBdr>
                    <w:top w:val="none" w:sz="0" w:space="0" w:color="auto"/>
                    <w:left w:val="none" w:sz="0" w:space="0" w:color="auto"/>
                    <w:bottom w:val="none" w:sz="0" w:space="0" w:color="auto"/>
                    <w:right w:val="none" w:sz="0" w:space="0" w:color="auto"/>
                  </w:divBdr>
                  <w:divsChild>
                    <w:div w:id="1296183415">
                      <w:marLeft w:val="0"/>
                      <w:marRight w:val="0"/>
                      <w:marTop w:val="0"/>
                      <w:marBottom w:val="0"/>
                      <w:divBdr>
                        <w:top w:val="none" w:sz="0" w:space="0" w:color="auto"/>
                        <w:left w:val="none" w:sz="0" w:space="0" w:color="auto"/>
                        <w:bottom w:val="none" w:sz="0" w:space="0" w:color="auto"/>
                        <w:right w:val="none" w:sz="0" w:space="0" w:color="auto"/>
                      </w:divBdr>
                    </w:div>
                    <w:div w:id="149672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563563">
          <w:marLeft w:val="0"/>
          <w:marRight w:val="0"/>
          <w:marTop w:val="0"/>
          <w:marBottom w:val="0"/>
          <w:divBdr>
            <w:top w:val="none" w:sz="0" w:space="0" w:color="auto"/>
            <w:left w:val="none" w:sz="0" w:space="0" w:color="auto"/>
            <w:bottom w:val="none" w:sz="0" w:space="0" w:color="auto"/>
            <w:right w:val="none" w:sz="0" w:space="0" w:color="auto"/>
          </w:divBdr>
        </w:div>
        <w:div w:id="583225599">
          <w:marLeft w:val="0"/>
          <w:marRight w:val="0"/>
          <w:marTop w:val="0"/>
          <w:marBottom w:val="0"/>
          <w:divBdr>
            <w:top w:val="none" w:sz="0" w:space="0" w:color="auto"/>
            <w:left w:val="none" w:sz="0" w:space="0" w:color="auto"/>
            <w:bottom w:val="none" w:sz="0" w:space="0" w:color="auto"/>
            <w:right w:val="none" w:sz="0" w:space="0" w:color="auto"/>
          </w:divBdr>
          <w:divsChild>
            <w:div w:id="286354721">
              <w:marLeft w:val="-75"/>
              <w:marRight w:val="0"/>
              <w:marTop w:val="30"/>
              <w:marBottom w:val="30"/>
              <w:divBdr>
                <w:top w:val="none" w:sz="0" w:space="0" w:color="auto"/>
                <w:left w:val="none" w:sz="0" w:space="0" w:color="auto"/>
                <w:bottom w:val="none" w:sz="0" w:space="0" w:color="auto"/>
                <w:right w:val="none" w:sz="0" w:space="0" w:color="auto"/>
              </w:divBdr>
              <w:divsChild>
                <w:div w:id="87390255">
                  <w:marLeft w:val="0"/>
                  <w:marRight w:val="0"/>
                  <w:marTop w:val="0"/>
                  <w:marBottom w:val="0"/>
                  <w:divBdr>
                    <w:top w:val="none" w:sz="0" w:space="0" w:color="auto"/>
                    <w:left w:val="none" w:sz="0" w:space="0" w:color="auto"/>
                    <w:bottom w:val="none" w:sz="0" w:space="0" w:color="auto"/>
                    <w:right w:val="none" w:sz="0" w:space="0" w:color="auto"/>
                  </w:divBdr>
                  <w:divsChild>
                    <w:div w:id="1142238792">
                      <w:marLeft w:val="0"/>
                      <w:marRight w:val="0"/>
                      <w:marTop w:val="0"/>
                      <w:marBottom w:val="0"/>
                      <w:divBdr>
                        <w:top w:val="none" w:sz="0" w:space="0" w:color="auto"/>
                        <w:left w:val="none" w:sz="0" w:space="0" w:color="auto"/>
                        <w:bottom w:val="none" w:sz="0" w:space="0" w:color="auto"/>
                        <w:right w:val="none" w:sz="0" w:space="0" w:color="auto"/>
                      </w:divBdr>
                    </w:div>
                  </w:divsChild>
                </w:div>
                <w:div w:id="199128279">
                  <w:marLeft w:val="0"/>
                  <w:marRight w:val="0"/>
                  <w:marTop w:val="0"/>
                  <w:marBottom w:val="0"/>
                  <w:divBdr>
                    <w:top w:val="none" w:sz="0" w:space="0" w:color="auto"/>
                    <w:left w:val="none" w:sz="0" w:space="0" w:color="auto"/>
                    <w:bottom w:val="none" w:sz="0" w:space="0" w:color="auto"/>
                    <w:right w:val="none" w:sz="0" w:space="0" w:color="auto"/>
                  </w:divBdr>
                  <w:divsChild>
                    <w:div w:id="163782408">
                      <w:marLeft w:val="0"/>
                      <w:marRight w:val="0"/>
                      <w:marTop w:val="0"/>
                      <w:marBottom w:val="0"/>
                      <w:divBdr>
                        <w:top w:val="none" w:sz="0" w:space="0" w:color="auto"/>
                        <w:left w:val="none" w:sz="0" w:space="0" w:color="auto"/>
                        <w:bottom w:val="none" w:sz="0" w:space="0" w:color="auto"/>
                        <w:right w:val="none" w:sz="0" w:space="0" w:color="auto"/>
                      </w:divBdr>
                    </w:div>
                  </w:divsChild>
                </w:div>
                <w:div w:id="267201154">
                  <w:marLeft w:val="0"/>
                  <w:marRight w:val="0"/>
                  <w:marTop w:val="0"/>
                  <w:marBottom w:val="0"/>
                  <w:divBdr>
                    <w:top w:val="none" w:sz="0" w:space="0" w:color="auto"/>
                    <w:left w:val="none" w:sz="0" w:space="0" w:color="auto"/>
                    <w:bottom w:val="none" w:sz="0" w:space="0" w:color="auto"/>
                    <w:right w:val="none" w:sz="0" w:space="0" w:color="auto"/>
                  </w:divBdr>
                  <w:divsChild>
                    <w:div w:id="1016031126">
                      <w:marLeft w:val="0"/>
                      <w:marRight w:val="0"/>
                      <w:marTop w:val="0"/>
                      <w:marBottom w:val="0"/>
                      <w:divBdr>
                        <w:top w:val="none" w:sz="0" w:space="0" w:color="auto"/>
                        <w:left w:val="none" w:sz="0" w:space="0" w:color="auto"/>
                        <w:bottom w:val="none" w:sz="0" w:space="0" w:color="auto"/>
                        <w:right w:val="none" w:sz="0" w:space="0" w:color="auto"/>
                      </w:divBdr>
                    </w:div>
                  </w:divsChild>
                </w:div>
                <w:div w:id="393240588">
                  <w:marLeft w:val="0"/>
                  <w:marRight w:val="0"/>
                  <w:marTop w:val="0"/>
                  <w:marBottom w:val="0"/>
                  <w:divBdr>
                    <w:top w:val="none" w:sz="0" w:space="0" w:color="auto"/>
                    <w:left w:val="none" w:sz="0" w:space="0" w:color="auto"/>
                    <w:bottom w:val="none" w:sz="0" w:space="0" w:color="auto"/>
                    <w:right w:val="none" w:sz="0" w:space="0" w:color="auto"/>
                  </w:divBdr>
                  <w:divsChild>
                    <w:div w:id="116606167">
                      <w:marLeft w:val="0"/>
                      <w:marRight w:val="0"/>
                      <w:marTop w:val="0"/>
                      <w:marBottom w:val="0"/>
                      <w:divBdr>
                        <w:top w:val="none" w:sz="0" w:space="0" w:color="auto"/>
                        <w:left w:val="none" w:sz="0" w:space="0" w:color="auto"/>
                        <w:bottom w:val="none" w:sz="0" w:space="0" w:color="auto"/>
                        <w:right w:val="none" w:sz="0" w:space="0" w:color="auto"/>
                      </w:divBdr>
                    </w:div>
                  </w:divsChild>
                </w:div>
                <w:div w:id="430976436">
                  <w:marLeft w:val="0"/>
                  <w:marRight w:val="0"/>
                  <w:marTop w:val="0"/>
                  <w:marBottom w:val="0"/>
                  <w:divBdr>
                    <w:top w:val="none" w:sz="0" w:space="0" w:color="auto"/>
                    <w:left w:val="none" w:sz="0" w:space="0" w:color="auto"/>
                    <w:bottom w:val="none" w:sz="0" w:space="0" w:color="auto"/>
                    <w:right w:val="none" w:sz="0" w:space="0" w:color="auto"/>
                  </w:divBdr>
                </w:div>
                <w:div w:id="727342900">
                  <w:marLeft w:val="0"/>
                  <w:marRight w:val="0"/>
                  <w:marTop w:val="0"/>
                  <w:marBottom w:val="0"/>
                  <w:divBdr>
                    <w:top w:val="none" w:sz="0" w:space="0" w:color="auto"/>
                    <w:left w:val="none" w:sz="0" w:space="0" w:color="auto"/>
                    <w:bottom w:val="none" w:sz="0" w:space="0" w:color="auto"/>
                    <w:right w:val="none" w:sz="0" w:space="0" w:color="auto"/>
                  </w:divBdr>
                  <w:divsChild>
                    <w:div w:id="151992825">
                      <w:marLeft w:val="0"/>
                      <w:marRight w:val="0"/>
                      <w:marTop w:val="0"/>
                      <w:marBottom w:val="0"/>
                      <w:divBdr>
                        <w:top w:val="none" w:sz="0" w:space="0" w:color="auto"/>
                        <w:left w:val="none" w:sz="0" w:space="0" w:color="auto"/>
                        <w:bottom w:val="none" w:sz="0" w:space="0" w:color="auto"/>
                        <w:right w:val="none" w:sz="0" w:space="0" w:color="auto"/>
                      </w:divBdr>
                    </w:div>
                  </w:divsChild>
                </w:div>
                <w:div w:id="1100953591">
                  <w:marLeft w:val="0"/>
                  <w:marRight w:val="0"/>
                  <w:marTop w:val="0"/>
                  <w:marBottom w:val="0"/>
                  <w:divBdr>
                    <w:top w:val="none" w:sz="0" w:space="0" w:color="auto"/>
                    <w:left w:val="none" w:sz="0" w:space="0" w:color="auto"/>
                    <w:bottom w:val="none" w:sz="0" w:space="0" w:color="auto"/>
                    <w:right w:val="none" w:sz="0" w:space="0" w:color="auto"/>
                  </w:divBdr>
                  <w:divsChild>
                    <w:div w:id="1666936134">
                      <w:marLeft w:val="0"/>
                      <w:marRight w:val="0"/>
                      <w:marTop w:val="0"/>
                      <w:marBottom w:val="0"/>
                      <w:divBdr>
                        <w:top w:val="none" w:sz="0" w:space="0" w:color="auto"/>
                        <w:left w:val="none" w:sz="0" w:space="0" w:color="auto"/>
                        <w:bottom w:val="none" w:sz="0" w:space="0" w:color="auto"/>
                        <w:right w:val="none" w:sz="0" w:space="0" w:color="auto"/>
                      </w:divBdr>
                    </w:div>
                    <w:div w:id="2136554693">
                      <w:marLeft w:val="0"/>
                      <w:marRight w:val="0"/>
                      <w:marTop w:val="0"/>
                      <w:marBottom w:val="0"/>
                      <w:divBdr>
                        <w:top w:val="none" w:sz="0" w:space="0" w:color="auto"/>
                        <w:left w:val="none" w:sz="0" w:space="0" w:color="auto"/>
                        <w:bottom w:val="none" w:sz="0" w:space="0" w:color="auto"/>
                        <w:right w:val="none" w:sz="0" w:space="0" w:color="auto"/>
                      </w:divBdr>
                    </w:div>
                  </w:divsChild>
                </w:div>
                <w:div w:id="1414668402">
                  <w:marLeft w:val="0"/>
                  <w:marRight w:val="0"/>
                  <w:marTop w:val="0"/>
                  <w:marBottom w:val="0"/>
                  <w:divBdr>
                    <w:top w:val="none" w:sz="0" w:space="0" w:color="auto"/>
                    <w:left w:val="none" w:sz="0" w:space="0" w:color="auto"/>
                    <w:bottom w:val="none" w:sz="0" w:space="0" w:color="auto"/>
                    <w:right w:val="none" w:sz="0" w:space="0" w:color="auto"/>
                  </w:divBdr>
                  <w:divsChild>
                    <w:div w:id="1143884203">
                      <w:marLeft w:val="0"/>
                      <w:marRight w:val="0"/>
                      <w:marTop w:val="0"/>
                      <w:marBottom w:val="0"/>
                      <w:divBdr>
                        <w:top w:val="none" w:sz="0" w:space="0" w:color="auto"/>
                        <w:left w:val="none" w:sz="0" w:space="0" w:color="auto"/>
                        <w:bottom w:val="none" w:sz="0" w:space="0" w:color="auto"/>
                        <w:right w:val="none" w:sz="0" w:space="0" w:color="auto"/>
                      </w:divBdr>
                    </w:div>
                  </w:divsChild>
                </w:div>
                <w:div w:id="2068917191">
                  <w:marLeft w:val="0"/>
                  <w:marRight w:val="0"/>
                  <w:marTop w:val="0"/>
                  <w:marBottom w:val="0"/>
                  <w:divBdr>
                    <w:top w:val="none" w:sz="0" w:space="0" w:color="auto"/>
                    <w:left w:val="none" w:sz="0" w:space="0" w:color="auto"/>
                    <w:bottom w:val="none" w:sz="0" w:space="0" w:color="auto"/>
                    <w:right w:val="none" w:sz="0" w:space="0" w:color="auto"/>
                  </w:divBdr>
                  <w:divsChild>
                    <w:div w:id="17957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21049">
          <w:marLeft w:val="0"/>
          <w:marRight w:val="0"/>
          <w:marTop w:val="0"/>
          <w:marBottom w:val="0"/>
          <w:divBdr>
            <w:top w:val="none" w:sz="0" w:space="0" w:color="auto"/>
            <w:left w:val="none" w:sz="0" w:space="0" w:color="auto"/>
            <w:bottom w:val="none" w:sz="0" w:space="0" w:color="auto"/>
            <w:right w:val="none" w:sz="0" w:space="0" w:color="auto"/>
          </w:divBdr>
        </w:div>
        <w:div w:id="676806731">
          <w:marLeft w:val="0"/>
          <w:marRight w:val="0"/>
          <w:marTop w:val="0"/>
          <w:marBottom w:val="0"/>
          <w:divBdr>
            <w:top w:val="none" w:sz="0" w:space="0" w:color="auto"/>
            <w:left w:val="none" w:sz="0" w:space="0" w:color="auto"/>
            <w:bottom w:val="none" w:sz="0" w:space="0" w:color="auto"/>
            <w:right w:val="none" w:sz="0" w:space="0" w:color="auto"/>
          </w:divBdr>
          <w:divsChild>
            <w:div w:id="786124623">
              <w:marLeft w:val="-75"/>
              <w:marRight w:val="0"/>
              <w:marTop w:val="30"/>
              <w:marBottom w:val="30"/>
              <w:divBdr>
                <w:top w:val="none" w:sz="0" w:space="0" w:color="auto"/>
                <w:left w:val="none" w:sz="0" w:space="0" w:color="auto"/>
                <w:bottom w:val="none" w:sz="0" w:space="0" w:color="auto"/>
                <w:right w:val="none" w:sz="0" w:space="0" w:color="auto"/>
              </w:divBdr>
              <w:divsChild>
                <w:div w:id="433090989">
                  <w:marLeft w:val="0"/>
                  <w:marRight w:val="0"/>
                  <w:marTop w:val="0"/>
                  <w:marBottom w:val="0"/>
                  <w:divBdr>
                    <w:top w:val="none" w:sz="0" w:space="0" w:color="auto"/>
                    <w:left w:val="none" w:sz="0" w:space="0" w:color="auto"/>
                    <w:bottom w:val="none" w:sz="0" w:space="0" w:color="auto"/>
                    <w:right w:val="none" w:sz="0" w:space="0" w:color="auto"/>
                  </w:divBdr>
                  <w:divsChild>
                    <w:div w:id="747580837">
                      <w:marLeft w:val="0"/>
                      <w:marRight w:val="0"/>
                      <w:marTop w:val="0"/>
                      <w:marBottom w:val="0"/>
                      <w:divBdr>
                        <w:top w:val="none" w:sz="0" w:space="0" w:color="auto"/>
                        <w:left w:val="none" w:sz="0" w:space="0" w:color="auto"/>
                        <w:bottom w:val="none" w:sz="0" w:space="0" w:color="auto"/>
                        <w:right w:val="none" w:sz="0" w:space="0" w:color="auto"/>
                      </w:divBdr>
                    </w:div>
                    <w:div w:id="894587643">
                      <w:marLeft w:val="0"/>
                      <w:marRight w:val="0"/>
                      <w:marTop w:val="0"/>
                      <w:marBottom w:val="0"/>
                      <w:divBdr>
                        <w:top w:val="none" w:sz="0" w:space="0" w:color="auto"/>
                        <w:left w:val="none" w:sz="0" w:space="0" w:color="auto"/>
                        <w:bottom w:val="none" w:sz="0" w:space="0" w:color="auto"/>
                        <w:right w:val="none" w:sz="0" w:space="0" w:color="auto"/>
                      </w:divBdr>
                    </w:div>
                  </w:divsChild>
                </w:div>
                <w:div w:id="615525454">
                  <w:marLeft w:val="0"/>
                  <w:marRight w:val="0"/>
                  <w:marTop w:val="0"/>
                  <w:marBottom w:val="0"/>
                  <w:divBdr>
                    <w:top w:val="none" w:sz="0" w:space="0" w:color="auto"/>
                    <w:left w:val="none" w:sz="0" w:space="0" w:color="auto"/>
                    <w:bottom w:val="none" w:sz="0" w:space="0" w:color="auto"/>
                    <w:right w:val="none" w:sz="0" w:space="0" w:color="auto"/>
                  </w:divBdr>
                  <w:divsChild>
                    <w:div w:id="1055663438">
                      <w:marLeft w:val="0"/>
                      <w:marRight w:val="0"/>
                      <w:marTop w:val="0"/>
                      <w:marBottom w:val="0"/>
                      <w:divBdr>
                        <w:top w:val="none" w:sz="0" w:space="0" w:color="auto"/>
                        <w:left w:val="none" w:sz="0" w:space="0" w:color="auto"/>
                        <w:bottom w:val="none" w:sz="0" w:space="0" w:color="auto"/>
                        <w:right w:val="none" w:sz="0" w:space="0" w:color="auto"/>
                      </w:divBdr>
                    </w:div>
                  </w:divsChild>
                </w:div>
                <w:div w:id="635600620">
                  <w:marLeft w:val="0"/>
                  <w:marRight w:val="0"/>
                  <w:marTop w:val="0"/>
                  <w:marBottom w:val="0"/>
                  <w:divBdr>
                    <w:top w:val="none" w:sz="0" w:space="0" w:color="auto"/>
                    <w:left w:val="none" w:sz="0" w:space="0" w:color="auto"/>
                    <w:bottom w:val="none" w:sz="0" w:space="0" w:color="auto"/>
                    <w:right w:val="none" w:sz="0" w:space="0" w:color="auto"/>
                  </w:divBdr>
                  <w:divsChild>
                    <w:div w:id="1264070567">
                      <w:marLeft w:val="0"/>
                      <w:marRight w:val="0"/>
                      <w:marTop w:val="0"/>
                      <w:marBottom w:val="0"/>
                      <w:divBdr>
                        <w:top w:val="none" w:sz="0" w:space="0" w:color="auto"/>
                        <w:left w:val="none" w:sz="0" w:space="0" w:color="auto"/>
                        <w:bottom w:val="none" w:sz="0" w:space="0" w:color="auto"/>
                        <w:right w:val="none" w:sz="0" w:space="0" w:color="auto"/>
                      </w:divBdr>
                    </w:div>
                  </w:divsChild>
                </w:div>
                <w:div w:id="652492204">
                  <w:marLeft w:val="0"/>
                  <w:marRight w:val="0"/>
                  <w:marTop w:val="0"/>
                  <w:marBottom w:val="0"/>
                  <w:divBdr>
                    <w:top w:val="none" w:sz="0" w:space="0" w:color="auto"/>
                    <w:left w:val="none" w:sz="0" w:space="0" w:color="auto"/>
                    <w:bottom w:val="none" w:sz="0" w:space="0" w:color="auto"/>
                    <w:right w:val="none" w:sz="0" w:space="0" w:color="auto"/>
                  </w:divBdr>
                  <w:divsChild>
                    <w:div w:id="190462868">
                      <w:marLeft w:val="0"/>
                      <w:marRight w:val="0"/>
                      <w:marTop w:val="0"/>
                      <w:marBottom w:val="0"/>
                      <w:divBdr>
                        <w:top w:val="none" w:sz="0" w:space="0" w:color="auto"/>
                        <w:left w:val="none" w:sz="0" w:space="0" w:color="auto"/>
                        <w:bottom w:val="none" w:sz="0" w:space="0" w:color="auto"/>
                        <w:right w:val="none" w:sz="0" w:space="0" w:color="auto"/>
                      </w:divBdr>
                    </w:div>
                  </w:divsChild>
                </w:div>
                <w:div w:id="694380807">
                  <w:marLeft w:val="0"/>
                  <w:marRight w:val="0"/>
                  <w:marTop w:val="0"/>
                  <w:marBottom w:val="0"/>
                  <w:divBdr>
                    <w:top w:val="none" w:sz="0" w:space="0" w:color="auto"/>
                    <w:left w:val="none" w:sz="0" w:space="0" w:color="auto"/>
                    <w:bottom w:val="none" w:sz="0" w:space="0" w:color="auto"/>
                    <w:right w:val="none" w:sz="0" w:space="0" w:color="auto"/>
                  </w:divBdr>
                  <w:divsChild>
                    <w:div w:id="238178791">
                      <w:marLeft w:val="0"/>
                      <w:marRight w:val="0"/>
                      <w:marTop w:val="0"/>
                      <w:marBottom w:val="0"/>
                      <w:divBdr>
                        <w:top w:val="none" w:sz="0" w:space="0" w:color="auto"/>
                        <w:left w:val="none" w:sz="0" w:space="0" w:color="auto"/>
                        <w:bottom w:val="none" w:sz="0" w:space="0" w:color="auto"/>
                        <w:right w:val="none" w:sz="0" w:space="0" w:color="auto"/>
                      </w:divBdr>
                    </w:div>
                  </w:divsChild>
                </w:div>
                <w:div w:id="854878189">
                  <w:marLeft w:val="0"/>
                  <w:marRight w:val="0"/>
                  <w:marTop w:val="0"/>
                  <w:marBottom w:val="0"/>
                  <w:divBdr>
                    <w:top w:val="none" w:sz="0" w:space="0" w:color="auto"/>
                    <w:left w:val="none" w:sz="0" w:space="0" w:color="auto"/>
                    <w:bottom w:val="none" w:sz="0" w:space="0" w:color="auto"/>
                    <w:right w:val="none" w:sz="0" w:space="0" w:color="auto"/>
                  </w:divBdr>
                </w:div>
                <w:div w:id="856231961">
                  <w:marLeft w:val="0"/>
                  <w:marRight w:val="0"/>
                  <w:marTop w:val="0"/>
                  <w:marBottom w:val="0"/>
                  <w:divBdr>
                    <w:top w:val="none" w:sz="0" w:space="0" w:color="auto"/>
                    <w:left w:val="none" w:sz="0" w:space="0" w:color="auto"/>
                    <w:bottom w:val="none" w:sz="0" w:space="0" w:color="auto"/>
                    <w:right w:val="none" w:sz="0" w:space="0" w:color="auto"/>
                  </w:divBdr>
                  <w:divsChild>
                    <w:div w:id="1870335008">
                      <w:marLeft w:val="0"/>
                      <w:marRight w:val="0"/>
                      <w:marTop w:val="0"/>
                      <w:marBottom w:val="0"/>
                      <w:divBdr>
                        <w:top w:val="none" w:sz="0" w:space="0" w:color="auto"/>
                        <w:left w:val="none" w:sz="0" w:space="0" w:color="auto"/>
                        <w:bottom w:val="none" w:sz="0" w:space="0" w:color="auto"/>
                        <w:right w:val="none" w:sz="0" w:space="0" w:color="auto"/>
                      </w:divBdr>
                    </w:div>
                  </w:divsChild>
                </w:div>
                <w:div w:id="877817302">
                  <w:marLeft w:val="0"/>
                  <w:marRight w:val="0"/>
                  <w:marTop w:val="0"/>
                  <w:marBottom w:val="0"/>
                  <w:divBdr>
                    <w:top w:val="none" w:sz="0" w:space="0" w:color="auto"/>
                    <w:left w:val="none" w:sz="0" w:space="0" w:color="auto"/>
                    <w:bottom w:val="none" w:sz="0" w:space="0" w:color="auto"/>
                    <w:right w:val="none" w:sz="0" w:space="0" w:color="auto"/>
                  </w:divBdr>
                  <w:divsChild>
                    <w:div w:id="1614241006">
                      <w:marLeft w:val="0"/>
                      <w:marRight w:val="0"/>
                      <w:marTop w:val="0"/>
                      <w:marBottom w:val="0"/>
                      <w:divBdr>
                        <w:top w:val="none" w:sz="0" w:space="0" w:color="auto"/>
                        <w:left w:val="none" w:sz="0" w:space="0" w:color="auto"/>
                        <w:bottom w:val="none" w:sz="0" w:space="0" w:color="auto"/>
                        <w:right w:val="none" w:sz="0" w:space="0" w:color="auto"/>
                      </w:divBdr>
                    </w:div>
                  </w:divsChild>
                </w:div>
                <w:div w:id="1388063480">
                  <w:marLeft w:val="0"/>
                  <w:marRight w:val="0"/>
                  <w:marTop w:val="0"/>
                  <w:marBottom w:val="0"/>
                  <w:divBdr>
                    <w:top w:val="none" w:sz="0" w:space="0" w:color="auto"/>
                    <w:left w:val="none" w:sz="0" w:space="0" w:color="auto"/>
                    <w:bottom w:val="none" w:sz="0" w:space="0" w:color="auto"/>
                    <w:right w:val="none" w:sz="0" w:space="0" w:color="auto"/>
                  </w:divBdr>
                  <w:divsChild>
                    <w:div w:id="257950482">
                      <w:marLeft w:val="0"/>
                      <w:marRight w:val="0"/>
                      <w:marTop w:val="0"/>
                      <w:marBottom w:val="0"/>
                      <w:divBdr>
                        <w:top w:val="none" w:sz="0" w:space="0" w:color="auto"/>
                        <w:left w:val="none" w:sz="0" w:space="0" w:color="auto"/>
                        <w:bottom w:val="none" w:sz="0" w:space="0" w:color="auto"/>
                        <w:right w:val="none" w:sz="0" w:space="0" w:color="auto"/>
                      </w:divBdr>
                    </w:div>
                  </w:divsChild>
                </w:div>
                <w:div w:id="1461538198">
                  <w:marLeft w:val="0"/>
                  <w:marRight w:val="0"/>
                  <w:marTop w:val="0"/>
                  <w:marBottom w:val="0"/>
                  <w:divBdr>
                    <w:top w:val="none" w:sz="0" w:space="0" w:color="auto"/>
                    <w:left w:val="none" w:sz="0" w:space="0" w:color="auto"/>
                    <w:bottom w:val="none" w:sz="0" w:space="0" w:color="auto"/>
                    <w:right w:val="none" w:sz="0" w:space="0" w:color="auto"/>
                  </w:divBdr>
                  <w:divsChild>
                    <w:div w:id="1139306613">
                      <w:marLeft w:val="0"/>
                      <w:marRight w:val="0"/>
                      <w:marTop w:val="0"/>
                      <w:marBottom w:val="0"/>
                      <w:divBdr>
                        <w:top w:val="none" w:sz="0" w:space="0" w:color="auto"/>
                        <w:left w:val="none" w:sz="0" w:space="0" w:color="auto"/>
                        <w:bottom w:val="none" w:sz="0" w:space="0" w:color="auto"/>
                        <w:right w:val="none" w:sz="0" w:space="0" w:color="auto"/>
                      </w:divBdr>
                    </w:div>
                  </w:divsChild>
                </w:div>
                <w:div w:id="1480339808">
                  <w:marLeft w:val="0"/>
                  <w:marRight w:val="0"/>
                  <w:marTop w:val="0"/>
                  <w:marBottom w:val="0"/>
                  <w:divBdr>
                    <w:top w:val="none" w:sz="0" w:space="0" w:color="auto"/>
                    <w:left w:val="none" w:sz="0" w:space="0" w:color="auto"/>
                    <w:bottom w:val="none" w:sz="0" w:space="0" w:color="auto"/>
                    <w:right w:val="none" w:sz="0" w:space="0" w:color="auto"/>
                  </w:divBdr>
                  <w:divsChild>
                    <w:div w:id="1438478096">
                      <w:marLeft w:val="0"/>
                      <w:marRight w:val="0"/>
                      <w:marTop w:val="0"/>
                      <w:marBottom w:val="0"/>
                      <w:divBdr>
                        <w:top w:val="none" w:sz="0" w:space="0" w:color="auto"/>
                        <w:left w:val="none" w:sz="0" w:space="0" w:color="auto"/>
                        <w:bottom w:val="none" w:sz="0" w:space="0" w:color="auto"/>
                        <w:right w:val="none" w:sz="0" w:space="0" w:color="auto"/>
                      </w:divBdr>
                    </w:div>
                  </w:divsChild>
                </w:div>
                <w:div w:id="1583177476">
                  <w:marLeft w:val="0"/>
                  <w:marRight w:val="0"/>
                  <w:marTop w:val="0"/>
                  <w:marBottom w:val="0"/>
                  <w:divBdr>
                    <w:top w:val="none" w:sz="0" w:space="0" w:color="auto"/>
                    <w:left w:val="none" w:sz="0" w:space="0" w:color="auto"/>
                    <w:bottom w:val="none" w:sz="0" w:space="0" w:color="auto"/>
                    <w:right w:val="none" w:sz="0" w:space="0" w:color="auto"/>
                  </w:divBdr>
                  <w:divsChild>
                    <w:div w:id="2046565627">
                      <w:marLeft w:val="0"/>
                      <w:marRight w:val="0"/>
                      <w:marTop w:val="0"/>
                      <w:marBottom w:val="0"/>
                      <w:divBdr>
                        <w:top w:val="none" w:sz="0" w:space="0" w:color="auto"/>
                        <w:left w:val="none" w:sz="0" w:space="0" w:color="auto"/>
                        <w:bottom w:val="none" w:sz="0" w:space="0" w:color="auto"/>
                        <w:right w:val="none" w:sz="0" w:space="0" w:color="auto"/>
                      </w:divBdr>
                    </w:div>
                  </w:divsChild>
                </w:div>
                <w:div w:id="1596209428">
                  <w:marLeft w:val="0"/>
                  <w:marRight w:val="0"/>
                  <w:marTop w:val="0"/>
                  <w:marBottom w:val="0"/>
                  <w:divBdr>
                    <w:top w:val="none" w:sz="0" w:space="0" w:color="auto"/>
                    <w:left w:val="none" w:sz="0" w:space="0" w:color="auto"/>
                    <w:bottom w:val="none" w:sz="0" w:space="0" w:color="auto"/>
                    <w:right w:val="none" w:sz="0" w:space="0" w:color="auto"/>
                  </w:divBdr>
                  <w:divsChild>
                    <w:div w:id="2144154076">
                      <w:marLeft w:val="0"/>
                      <w:marRight w:val="0"/>
                      <w:marTop w:val="0"/>
                      <w:marBottom w:val="0"/>
                      <w:divBdr>
                        <w:top w:val="none" w:sz="0" w:space="0" w:color="auto"/>
                        <w:left w:val="none" w:sz="0" w:space="0" w:color="auto"/>
                        <w:bottom w:val="none" w:sz="0" w:space="0" w:color="auto"/>
                        <w:right w:val="none" w:sz="0" w:space="0" w:color="auto"/>
                      </w:divBdr>
                    </w:div>
                  </w:divsChild>
                </w:div>
                <w:div w:id="1615095701">
                  <w:marLeft w:val="0"/>
                  <w:marRight w:val="0"/>
                  <w:marTop w:val="0"/>
                  <w:marBottom w:val="0"/>
                  <w:divBdr>
                    <w:top w:val="none" w:sz="0" w:space="0" w:color="auto"/>
                    <w:left w:val="none" w:sz="0" w:space="0" w:color="auto"/>
                    <w:bottom w:val="none" w:sz="0" w:space="0" w:color="auto"/>
                    <w:right w:val="none" w:sz="0" w:space="0" w:color="auto"/>
                  </w:divBdr>
                  <w:divsChild>
                    <w:div w:id="1450927213">
                      <w:marLeft w:val="0"/>
                      <w:marRight w:val="0"/>
                      <w:marTop w:val="0"/>
                      <w:marBottom w:val="0"/>
                      <w:divBdr>
                        <w:top w:val="none" w:sz="0" w:space="0" w:color="auto"/>
                        <w:left w:val="none" w:sz="0" w:space="0" w:color="auto"/>
                        <w:bottom w:val="none" w:sz="0" w:space="0" w:color="auto"/>
                        <w:right w:val="none" w:sz="0" w:space="0" w:color="auto"/>
                      </w:divBdr>
                    </w:div>
                  </w:divsChild>
                </w:div>
                <w:div w:id="1821269765">
                  <w:marLeft w:val="0"/>
                  <w:marRight w:val="0"/>
                  <w:marTop w:val="0"/>
                  <w:marBottom w:val="0"/>
                  <w:divBdr>
                    <w:top w:val="none" w:sz="0" w:space="0" w:color="auto"/>
                    <w:left w:val="none" w:sz="0" w:space="0" w:color="auto"/>
                    <w:bottom w:val="none" w:sz="0" w:space="0" w:color="auto"/>
                    <w:right w:val="none" w:sz="0" w:space="0" w:color="auto"/>
                  </w:divBdr>
                  <w:divsChild>
                    <w:div w:id="1298989436">
                      <w:marLeft w:val="0"/>
                      <w:marRight w:val="0"/>
                      <w:marTop w:val="0"/>
                      <w:marBottom w:val="0"/>
                      <w:divBdr>
                        <w:top w:val="none" w:sz="0" w:space="0" w:color="auto"/>
                        <w:left w:val="none" w:sz="0" w:space="0" w:color="auto"/>
                        <w:bottom w:val="none" w:sz="0" w:space="0" w:color="auto"/>
                        <w:right w:val="none" w:sz="0" w:space="0" w:color="auto"/>
                      </w:divBdr>
                    </w:div>
                  </w:divsChild>
                </w:div>
                <w:div w:id="1963463538">
                  <w:marLeft w:val="0"/>
                  <w:marRight w:val="0"/>
                  <w:marTop w:val="0"/>
                  <w:marBottom w:val="0"/>
                  <w:divBdr>
                    <w:top w:val="none" w:sz="0" w:space="0" w:color="auto"/>
                    <w:left w:val="none" w:sz="0" w:space="0" w:color="auto"/>
                    <w:bottom w:val="none" w:sz="0" w:space="0" w:color="auto"/>
                    <w:right w:val="none" w:sz="0" w:space="0" w:color="auto"/>
                  </w:divBdr>
                  <w:divsChild>
                    <w:div w:id="519516029">
                      <w:marLeft w:val="0"/>
                      <w:marRight w:val="0"/>
                      <w:marTop w:val="0"/>
                      <w:marBottom w:val="0"/>
                      <w:divBdr>
                        <w:top w:val="none" w:sz="0" w:space="0" w:color="auto"/>
                        <w:left w:val="none" w:sz="0" w:space="0" w:color="auto"/>
                        <w:bottom w:val="none" w:sz="0" w:space="0" w:color="auto"/>
                        <w:right w:val="none" w:sz="0" w:space="0" w:color="auto"/>
                      </w:divBdr>
                    </w:div>
                  </w:divsChild>
                </w:div>
                <w:div w:id="2114393188">
                  <w:marLeft w:val="0"/>
                  <w:marRight w:val="0"/>
                  <w:marTop w:val="0"/>
                  <w:marBottom w:val="0"/>
                  <w:divBdr>
                    <w:top w:val="none" w:sz="0" w:space="0" w:color="auto"/>
                    <w:left w:val="none" w:sz="0" w:space="0" w:color="auto"/>
                    <w:bottom w:val="none" w:sz="0" w:space="0" w:color="auto"/>
                    <w:right w:val="none" w:sz="0" w:space="0" w:color="auto"/>
                  </w:divBdr>
                  <w:divsChild>
                    <w:div w:id="14654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92421">
          <w:marLeft w:val="0"/>
          <w:marRight w:val="0"/>
          <w:marTop w:val="0"/>
          <w:marBottom w:val="0"/>
          <w:divBdr>
            <w:top w:val="none" w:sz="0" w:space="0" w:color="auto"/>
            <w:left w:val="none" w:sz="0" w:space="0" w:color="auto"/>
            <w:bottom w:val="none" w:sz="0" w:space="0" w:color="auto"/>
            <w:right w:val="none" w:sz="0" w:space="0" w:color="auto"/>
          </w:divBdr>
        </w:div>
        <w:div w:id="731005604">
          <w:marLeft w:val="-75"/>
          <w:marRight w:val="0"/>
          <w:marTop w:val="30"/>
          <w:marBottom w:val="30"/>
          <w:divBdr>
            <w:top w:val="none" w:sz="0" w:space="0" w:color="auto"/>
            <w:left w:val="none" w:sz="0" w:space="0" w:color="auto"/>
            <w:bottom w:val="none" w:sz="0" w:space="0" w:color="auto"/>
            <w:right w:val="none" w:sz="0" w:space="0" w:color="auto"/>
          </w:divBdr>
          <w:divsChild>
            <w:div w:id="243875888">
              <w:marLeft w:val="0"/>
              <w:marRight w:val="0"/>
              <w:marTop w:val="0"/>
              <w:marBottom w:val="0"/>
              <w:divBdr>
                <w:top w:val="none" w:sz="0" w:space="0" w:color="auto"/>
                <w:left w:val="none" w:sz="0" w:space="0" w:color="auto"/>
                <w:bottom w:val="none" w:sz="0" w:space="0" w:color="auto"/>
                <w:right w:val="none" w:sz="0" w:space="0" w:color="auto"/>
              </w:divBdr>
              <w:divsChild>
                <w:div w:id="1117261934">
                  <w:marLeft w:val="0"/>
                  <w:marRight w:val="0"/>
                  <w:marTop w:val="0"/>
                  <w:marBottom w:val="0"/>
                  <w:divBdr>
                    <w:top w:val="none" w:sz="0" w:space="0" w:color="auto"/>
                    <w:left w:val="none" w:sz="0" w:space="0" w:color="auto"/>
                    <w:bottom w:val="none" w:sz="0" w:space="0" w:color="auto"/>
                    <w:right w:val="none" w:sz="0" w:space="0" w:color="auto"/>
                  </w:divBdr>
                </w:div>
                <w:div w:id="1251622423">
                  <w:marLeft w:val="0"/>
                  <w:marRight w:val="0"/>
                  <w:marTop w:val="0"/>
                  <w:marBottom w:val="0"/>
                  <w:divBdr>
                    <w:top w:val="none" w:sz="0" w:space="0" w:color="auto"/>
                    <w:left w:val="none" w:sz="0" w:space="0" w:color="auto"/>
                    <w:bottom w:val="none" w:sz="0" w:space="0" w:color="auto"/>
                    <w:right w:val="none" w:sz="0" w:space="0" w:color="auto"/>
                  </w:divBdr>
                </w:div>
              </w:divsChild>
            </w:div>
            <w:div w:id="1936594028">
              <w:marLeft w:val="0"/>
              <w:marRight w:val="0"/>
              <w:marTop w:val="0"/>
              <w:marBottom w:val="0"/>
              <w:divBdr>
                <w:top w:val="none" w:sz="0" w:space="0" w:color="auto"/>
                <w:left w:val="none" w:sz="0" w:space="0" w:color="auto"/>
                <w:bottom w:val="none" w:sz="0" w:space="0" w:color="auto"/>
                <w:right w:val="none" w:sz="0" w:space="0" w:color="auto"/>
              </w:divBdr>
              <w:divsChild>
                <w:div w:id="5136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1620">
          <w:marLeft w:val="0"/>
          <w:marRight w:val="0"/>
          <w:marTop w:val="0"/>
          <w:marBottom w:val="0"/>
          <w:divBdr>
            <w:top w:val="none" w:sz="0" w:space="0" w:color="auto"/>
            <w:left w:val="none" w:sz="0" w:space="0" w:color="auto"/>
            <w:bottom w:val="none" w:sz="0" w:space="0" w:color="auto"/>
            <w:right w:val="none" w:sz="0" w:space="0" w:color="auto"/>
          </w:divBdr>
        </w:div>
        <w:div w:id="748504647">
          <w:marLeft w:val="0"/>
          <w:marRight w:val="0"/>
          <w:marTop w:val="0"/>
          <w:marBottom w:val="0"/>
          <w:divBdr>
            <w:top w:val="none" w:sz="0" w:space="0" w:color="auto"/>
            <w:left w:val="none" w:sz="0" w:space="0" w:color="auto"/>
            <w:bottom w:val="none" w:sz="0" w:space="0" w:color="auto"/>
            <w:right w:val="none" w:sz="0" w:space="0" w:color="auto"/>
          </w:divBdr>
        </w:div>
        <w:div w:id="751857537">
          <w:marLeft w:val="0"/>
          <w:marRight w:val="0"/>
          <w:marTop w:val="0"/>
          <w:marBottom w:val="0"/>
          <w:divBdr>
            <w:top w:val="none" w:sz="0" w:space="0" w:color="auto"/>
            <w:left w:val="none" w:sz="0" w:space="0" w:color="auto"/>
            <w:bottom w:val="none" w:sz="0" w:space="0" w:color="auto"/>
            <w:right w:val="none" w:sz="0" w:space="0" w:color="auto"/>
          </w:divBdr>
        </w:div>
        <w:div w:id="758870816">
          <w:marLeft w:val="0"/>
          <w:marRight w:val="0"/>
          <w:marTop w:val="0"/>
          <w:marBottom w:val="0"/>
          <w:divBdr>
            <w:top w:val="none" w:sz="0" w:space="0" w:color="auto"/>
            <w:left w:val="none" w:sz="0" w:space="0" w:color="auto"/>
            <w:bottom w:val="none" w:sz="0" w:space="0" w:color="auto"/>
            <w:right w:val="none" w:sz="0" w:space="0" w:color="auto"/>
          </w:divBdr>
        </w:div>
        <w:div w:id="819270256">
          <w:marLeft w:val="0"/>
          <w:marRight w:val="0"/>
          <w:marTop w:val="0"/>
          <w:marBottom w:val="0"/>
          <w:divBdr>
            <w:top w:val="none" w:sz="0" w:space="0" w:color="auto"/>
            <w:left w:val="none" w:sz="0" w:space="0" w:color="auto"/>
            <w:bottom w:val="none" w:sz="0" w:space="0" w:color="auto"/>
            <w:right w:val="none" w:sz="0" w:space="0" w:color="auto"/>
          </w:divBdr>
        </w:div>
        <w:div w:id="892351443">
          <w:marLeft w:val="0"/>
          <w:marRight w:val="0"/>
          <w:marTop w:val="0"/>
          <w:marBottom w:val="0"/>
          <w:divBdr>
            <w:top w:val="none" w:sz="0" w:space="0" w:color="auto"/>
            <w:left w:val="none" w:sz="0" w:space="0" w:color="auto"/>
            <w:bottom w:val="none" w:sz="0" w:space="0" w:color="auto"/>
            <w:right w:val="none" w:sz="0" w:space="0" w:color="auto"/>
          </w:divBdr>
        </w:div>
        <w:div w:id="995911361">
          <w:marLeft w:val="0"/>
          <w:marRight w:val="0"/>
          <w:marTop w:val="0"/>
          <w:marBottom w:val="0"/>
          <w:divBdr>
            <w:top w:val="none" w:sz="0" w:space="0" w:color="auto"/>
            <w:left w:val="none" w:sz="0" w:space="0" w:color="auto"/>
            <w:bottom w:val="none" w:sz="0" w:space="0" w:color="auto"/>
            <w:right w:val="none" w:sz="0" w:space="0" w:color="auto"/>
          </w:divBdr>
        </w:div>
        <w:div w:id="1055159179">
          <w:marLeft w:val="0"/>
          <w:marRight w:val="0"/>
          <w:marTop w:val="0"/>
          <w:marBottom w:val="0"/>
          <w:divBdr>
            <w:top w:val="none" w:sz="0" w:space="0" w:color="auto"/>
            <w:left w:val="none" w:sz="0" w:space="0" w:color="auto"/>
            <w:bottom w:val="none" w:sz="0" w:space="0" w:color="auto"/>
            <w:right w:val="none" w:sz="0" w:space="0" w:color="auto"/>
          </w:divBdr>
        </w:div>
        <w:div w:id="1123381613">
          <w:marLeft w:val="-75"/>
          <w:marRight w:val="0"/>
          <w:marTop w:val="30"/>
          <w:marBottom w:val="30"/>
          <w:divBdr>
            <w:top w:val="none" w:sz="0" w:space="0" w:color="auto"/>
            <w:left w:val="none" w:sz="0" w:space="0" w:color="auto"/>
            <w:bottom w:val="none" w:sz="0" w:space="0" w:color="auto"/>
            <w:right w:val="none" w:sz="0" w:space="0" w:color="auto"/>
          </w:divBdr>
          <w:divsChild>
            <w:div w:id="1555893131">
              <w:marLeft w:val="0"/>
              <w:marRight w:val="0"/>
              <w:marTop w:val="0"/>
              <w:marBottom w:val="0"/>
              <w:divBdr>
                <w:top w:val="none" w:sz="0" w:space="0" w:color="auto"/>
                <w:left w:val="none" w:sz="0" w:space="0" w:color="auto"/>
                <w:bottom w:val="none" w:sz="0" w:space="0" w:color="auto"/>
                <w:right w:val="none" w:sz="0" w:space="0" w:color="auto"/>
              </w:divBdr>
              <w:divsChild>
                <w:div w:id="1857882505">
                  <w:marLeft w:val="0"/>
                  <w:marRight w:val="0"/>
                  <w:marTop w:val="0"/>
                  <w:marBottom w:val="0"/>
                  <w:divBdr>
                    <w:top w:val="none" w:sz="0" w:space="0" w:color="auto"/>
                    <w:left w:val="none" w:sz="0" w:space="0" w:color="auto"/>
                    <w:bottom w:val="none" w:sz="0" w:space="0" w:color="auto"/>
                    <w:right w:val="none" w:sz="0" w:space="0" w:color="auto"/>
                  </w:divBdr>
                </w:div>
              </w:divsChild>
            </w:div>
            <w:div w:id="1616668832">
              <w:marLeft w:val="0"/>
              <w:marRight w:val="0"/>
              <w:marTop w:val="0"/>
              <w:marBottom w:val="0"/>
              <w:divBdr>
                <w:top w:val="none" w:sz="0" w:space="0" w:color="auto"/>
                <w:left w:val="none" w:sz="0" w:space="0" w:color="auto"/>
                <w:bottom w:val="none" w:sz="0" w:space="0" w:color="auto"/>
                <w:right w:val="none" w:sz="0" w:space="0" w:color="auto"/>
              </w:divBdr>
              <w:divsChild>
                <w:div w:id="677081892">
                  <w:marLeft w:val="0"/>
                  <w:marRight w:val="0"/>
                  <w:marTop w:val="0"/>
                  <w:marBottom w:val="0"/>
                  <w:divBdr>
                    <w:top w:val="none" w:sz="0" w:space="0" w:color="auto"/>
                    <w:left w:val="none" w:sz="0" w:space="0" w:color="auto"/>
                    <w:bottom w:val="none" w:sz="0" w:space="0" w:color="auto"/>
                    <w:right w:val="none" w:sz="0" w:space="0" w:color="auto"/>
                  </w:divBdr>
                </w:div>
                <w:div w:id="11968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42134">
          <w:marLeft w:val="0"/>
          <w:marRight w:val="0"/>
          <w:marTop w:val="0"/>
          <w:marBottom w:val="0"/>
          <w:divBdr>
            <w:top w:val="none" w:sz="0" w:space="0" w:color="auto"/>
            <w:left w:val="none" w:sz="0" w:space="0" w:color="auto"/>
            <w:bottom w:val="none" w:sz="0" w:space="0" w:color="auto"/>
            <w:right w:val="none" w:sz="0" w:space="0" w:color="auto"/>
          </w:divBdr>
        </w:div>
        <w:div w:id="1314872838">
          <w:marLeft w:val="0"/>
          <w:marRight w:val="0"/>
          <w:marTop w:val="0"/>
          <w:marBottom w:val="0"/>
          <w:divBdr>
            <w:top w:val="none" w:sz="0" w:space="0" w:color="auto"/>
            <w:left w:val="none" w:sz="0" w:space="0" w:color="auto"/>
            <w:bottom w:val="none" w:sz="0" w:space="0" w:color="auto"/>
            <w:right w:val="none" w:sz="0" w:space="0" w:color="auto"/>
          </w:divBdr>
        </w:div>
        <w:div w:id="1394737995">
          <w:marLeft w:val="0"/>
          <w:marRight w:val="0"/>
          <w:marTop w:val="0"/>
          <w:marBottom w:val="0"/>
          <w:divBdr>
            <w:top w:val="none" w:sz="0" w:space="0" w:color="auto"/>
            <w:left w:val="none" w:sz="0" w:space="0" w:color="auto"/>
            <w:bottom w:val="none" w:sz="0" w:space="0" w:color="auto"/>
            <w:right w:val="none" w:sz="0" w:space="0" w:color="auto"/>
          </w:divBdr>
        </w:div>
        <w:div w:id="1409687649">
          <w:marLeft w:val="0"/>
          <w:marRight w:val="0"/>
          <w:marTop w:val="0"/>
          <w:marBottom w:val="0"/>
          <w:divBdr>
            <w:top w:val="none" w:sz="0" w:space="0" w:color="auto"/>
            <w:left w:val="none" w:sz="0" w:space="0" w:color="auto"/>
            <w:bottom w:val="none" w:sz="0" w:space="0" w:color="auto"/>
            <w:right w:val="none" w:sz="0" w:space="0" w:color="auto"/>
          </w:divBdr>
        </w:div>
        <w:div w:id="1416783206">
          <w:marLeft w:val="0"/>
          <w:marRight w:val="0"/>
          <w:marTop w:val="0"/>
          <w:marBottom w:val="0"/>
          <w:divBdr>
            <w:top w:val="none" w:sz="0" w:space="0" w:color="auto"/>
            <w:left w:val="none" w:sz="0" w:space="0" w:color="auto"/>
            <w:bottom w:val="none" w:sz="0" w:space="0" w:color="auto"/>
            <w:right w:val="none" w:sz="0" w:space="0" w:color="auto"/>
          </w:divBdr>
        </w:div>
        <w:div w:id="1475946308">
          <w:marLeft w:val="0"/>
          <w:marRight w:val="0"/>
          <w:marTop w:val="0"/>
          <w:marBottom w:val="0"/>
          <w:divBdr>
            <w:top w:val="none" w:sz="0" w:space="0" w:color="auto"/>
            <w:left w:val="none" w:sz="0" w:space="0" w:color="auto"/>
            <w:bottom w:val="none" w:sz="0" w:space="0" w:color="auto"/>
            <w:right w:val="none" w:sz="0" w:space="0" w:color="auto"/>
          </w:divBdr>
        </w:div>
        <w:div w:id="1689142337">
          <w:marLeft w:val="0"/>
          <w:marRight w:val="0"/>
          <w:marTop w:val="0"/>
          <w:marBottom w:val="0"/>
          <w:divBdr>
            <w:top w:val="none" w:sz="0" w:space="0" w:color="auto"/>
            <w:left w:val="none" w:sz="0" w:space="0" w:color="auto"/>
            <w:bottom w:val="none" w:sz="0" w:space="0" w:color="auto"/>
            <w:right w:val="none" w:sz="0" w:space="0" w:color="auto"/>
          </w:divBdr>
        </w:div>
        <w:div w:id="1689327254">
          <w:marLeft w:val="0"/>
          <w:marRight w:val="0"/>
          <w:marTop w:val="0"/>
          <w:marBottom w:val="0"/>
          <w:divBdr>
            <w:top w:val="none" w:sz="0" w:space="0" w:color="auto"/>
            <w:left w:val="none" w:sz="0" w:space="0" w:color="auto"/>
            <w:bottom w:val="none" w:sz="0" w:space="0" w:color="auto"/>
            <w:right w:val="none" w:sz="0" w:space="0" w:color="auto"/>
          </w:divBdr>
        </w:div>
        <w:div w:id="1708215572">
          <w:marLeft w:val="0"/>
          <w:marRight w:val="0"/>
          <w:marTop w:val="0"/>
          <w:marBottom w:val="0"/>
          <w:divBdr>
            <w:top w:val="none" w:sz="0" w:space="0" w:color="auto"/>
            <w:left w:val="none" w:sz="0" w:space="0" w:color="auto"/>
            <w:bottom w:val="none" w:sz="0" w:space="0" w:color="auto"/>
            <w:right w:val="none" w:sz="0" w:space="0" w:color="auto"/>
          </w:divBdr>
        </w:div>
        <w:div w:id="1727141600">
          <w:marLeft w:val="0"/>
          <w:marRight w:val="0"/>
          <w:marTop w:val="0"/>
          <w:marBottom w:val="0"/>
          <w:divBdr>
            <w:top w:val="none" w:sz="0" w:space="0" w:color="auto"/>
            <w:left w:val="none" w:sz="0" w:space="0" w:color="auto"/>
            <w:bottom w:val="none" w:sz="0" w:space="0" w:color="auto"/>
            <w:right w:val="none" w:sz="0" w:space="0" w:color="auto"/>
          </w:divBdr>
        </w:div>
        <w:div w:id="1748308345">
          <w:marLeft w:val="0"/>
          <w:marRight w:val="0"/>
          <w:marTop w:val="0"/>
          <w:marBottom w:val="0"/>
          <w:divBdr>
            <w:top w:val="none" w:sz="0" w:space="0" w:color="auto"/>
            <w:left w:val="none" w:sz="0" w:space="0" w:color="auto"/>
            <w:bottom w:val="none" w:sz="0" w:space="0" w:color="auto"/>
            <w:right w:val="none" w:sz="0" w:space="0" w:color="auto"/>
          </w:divBdr>
        </w:div>
        <w:div w:id="1766261780">
          <w:marLeft w:val="0"/>
          <w:marRight w:val="0"/>
          <w:marTop w:val="0"/>
          <w:marBottom w:val="0"/>
          <w:divBdr>
            <w:top w:val="none" w:sz="0" w:space="0" w:color="auto"/>
            <w:left w:val="none" w:sz="0" w:space="0" w:color="auto"/>
            <w:bottom w:val="none" w:sz="0" w:space="0" w:color="auto"/>
            <w:right w:val="none" w:sz="0" w:space="0" w:color="auto"/>
          </w:divBdr>
        </w:div>
        <w:div w:id="1952466691">
          <w:marLeft w:val="0"/>
          <w:marRight w:val="0"/>
          <w:marTop w:val="0"/>
          <w:marBottom w:val="0"/>
          <w:divBdr>
            <w:top w:val="none" w:sz="0" w:space="0" w:color="auto"/>
            <w:left w:val="none" w:sz="0" w:space="0" w:color="auto"/>
            <w:bottom w:val="none" w:sz="0" w:space="0" w:color="auto"/>
            <w:right w:val="none" w:sz="0" w:space="0" w:color="auto"/>
          </w:divBdr>
        </w:div>
        <w:div w:id="2118013865">
          <w:marLeft w:val="0"/>
          <w:marRight w:val="0"/>
          <w:marTop w:val="0"/>
          <w:marBottom w:val="0"/>
          <w:divBdr>
            <w:top w:val="none" w:sz="0" w:space="0" w:color="auto"/>
            <w:left w:val="none" w:sz="0" w:space="0" w:color="auto"/>
            <w:bottom w:val="none" w:sz="0" w:space="0" w:color="auto"/>
            <w:right w:val="none" w:sz="0" w:space="0" w:color="auto"/>
          </w:divBdr>
        </w:div>
      </w:divsChild>
    </w:div>
    <w:div w:id="1113130639">
      <w:marLeft w:val="480"/>
      <w:marRight w:val="0"/>
      <w:marTop w:val="0"/>
      <w:marBottom w:val="0"/>
      <w:divBdr>
        <w:top w:val="none" w:sz="0" w:space="0" w:color="auto"/>
        <w:left w:val="none" w:sz="0" w:space="0" w:color="auto"/>
        <w:bottom w:val="none" w:sz="0" w:space="0" w:color="auto"/>
        <w:right w:val="none" w:sz="0" w:space="0" w:color="auto"/>
      </w:divBdr>
    </w:div>
    <w:div w:id="1114329209">
      <w:marLeft w:val="480"/>
      <w:marRight w:val="0"/>
      <w:marTop w:val="0"/>
      <w:marBottom w:val="0"/>
      <w:divBdr>
        <w:top w:val="none" w:sz="0" w:space="0" w:color="auto"/>
        <w:left w:val="none" w:sz="0" w:space="0" w:color="auto"/>
        <w:bottom w:val="none" w:sz="0" w:space="0" w:color="auto"/>
        <w:right w:val="none" w:sz="0" w:space="0" w:color="auto"/>
      </w:divBdr>
    </w:div>
    <w:div w:id="1114405305">
      <w:marLeft w:val="480"/>
      <w:marRight w:val="0"/>
      <w:marTop w:val="0"/>
      <w:marBottom w:val="0"/>
      <w:divBdr>
        <w:top w:val="none" w:sz="0" w:space="0" w:color="auto"/>
        <w:left w:val="none" w:sz="0" w:space="0" w:color="auto"/>
        <w:bottom w:val="none" w:sz="0" w:space="0" w:color="auto"/>
        <w:right w:val="none" w:sz="0" w:space="0" w:color="auto"/>
      </w:divBdr>
    </w:div>
    <w:div w:id="1114861552">
      <w:marLeft w:val="480"/>
      <w:marRight w:val="0"/>
      <w:marTop w:val="0"/>
      <w:marBottom w:val="0"/>
      <w:divBdr>
        <w:top w:val="none" w:sz="0" w:space="0" w:color="auto"/>
        <w:left w:val="none" w:sz="0" w:space="0" w:color="auto"/>
        <w:bottom w:val="none" w:sz="0" w:space="0" w:color="auto"/>
        <w:right w:val="none" w:sz="0" w:space="0" w:color="auto"/>
      </w:divBdr>
    </w:div>
    <w:div w:id="1115519024">
      <w:bodyDiv w:val="1"/>
      <w:marLeft w:val="0"/>
      <w:marRight w:val="0"/>
      <w:marTop w:val="0"/>
      <w:marBottom w:val="0"/>
      <w:divBdr>
        <w:top w:val="none" w:sz="0" w:space="0" w:color="auto"/>
        <w:left w:val="none" w:sz="0" w:space="0" w:color="auto"/>
        <w:bottom w:val="none" w:sz="0" w:space="0" w:color="auto"/>
        <w:right w:val="none" w:sz="0" w:space="0" w:color="auto"/>
      </w:divBdr>
      <w:divsChild>
        <w:div w:id="811366892">
          <w:marLeft w:val="480"/>
          <w:marRight w:val="0"/>
          <w:marTop w:val="0"/>
          <w:marBottom w:val="0"/>
          <w:divBdr>
            <w:top w:val="none" w:sz="0" w:space="0" w:color="auto"/>
            <w:left w:val="none" w:sz="0" w:space="0" w:color="auto"/>
            <w:bottom w:val="none" w:sz="0" w:space="0" w:color="auto"/>
            <w:right w:val="none" w:sz="0" w:space="0" w:color="auto"/>
          </w:divBdr>
        </w:div>
        <w:div w:id="926234806">
          <w:marLeft w:val="480"/>
          <w:marRight w:val="0"/>
          <w:marTop w:val="0"/>
          <w:marBottom w:val="0"/>
          <w:divBdr>
            <w:top w:val="none" w:sz="0" w:space="0" w:color="auto"/>
            <w:left w:val="none" w:sz="0" w:space="0" w:color="auto"/>
            <w:bottom w:val="none" w:sz="0" w:space="0" w:color="auto"/>
            <w:right w:val="none" w:sz="0" w:space="0" w:color="auto"/>
          </w:divBdr>
        </w:div>
        <w:div w:id="1800146688">
          <w:marLeft w:val="480"/>
          <w:marRight w:val="0"/>
          <w:marTop w:val="0"/>
          <w:marBottom w:val="0"/>
          <w:divBdr>
            <w:top w:val="none" w:sz="0" w:space="0" w:color="auto"/>
            <w:left w:val="none" w:sz="0" w:space="0" w:color="auto"/>
            <w:bottom w:val="none" w:sz="0" w:space="0" w:color="auto"/>
            <w:right w:val="none" w:sz="0" w:space="0" w:color="auto"/>
          </w:divBdr>
        </w:div>
      </w:divsChild>
    </w:div>
    <w:div w:id="1116171986">
      <w:marLeft w:val="480"/>
      <w:marRight w:val="0"/>
      <w:marTop w:val="0"/>
      <w:marBottom w:val="0"/>
      <w:divBdr>
        <w:top w:val="none" w:sz="0" w:space="0" w:color="auto"/>
        <w:left w:val="none" w:sz="0" w:space="0" w:color="auto"/>
        <w:bottom w:val="none" w:sz="0" w:space="0" w:color="auto"/>
        <w:right w:val="none" w:sz="0" w:space="0" w:color="auto"/>
      </w:divBdr>
    </w:div>
    <w:div w:id="1119224810">
      <w:bodyDiv w:val="1"/>
      <w:marLeft w:val="0"/>
      <w:marRight w:val="0"/>
      <w:marTop w:val="0"/>
      <w:marBottom w:val="0"/>
      <w:divBdr>
        <w:top w:val="none" w:sz="0" w:space="0" w:color="auto"/>
        <w:left w:val="none" w:sz="0" w:space="0" w:color="auto"/>
        <w:bottom w:val="none" w:sz="0" w:space="0" w:color="auto"/>
        <w:right w:val="none" w:sz="0" w:space="0" w:color="auto"/>
      </w:divBdr>
      <w:divsChild>
        <w:div w:id="591399144">
          <w:marLeft w:val="0"/>
          <w:marRight w:val="0"/>
          <w:marTop w:val="0"/>
          <w:marBottom w:val="0"/>
          <w:divBdr>
            <w:top w:val="none" w:sz="0" w:space="0" w:color="auto"/>
            <w:left w:val="none" w:sz="0" w:space="0" w:color="auto"/>
            <w:bottom w:val="none" w:sz="0" w:space="0" w:color="auto"/>
            <w:right w:val="none" w:sz="0" w:space="0" w:color="auto"/>
          </w:divBdr>
          <w:divsChild>
            <w:div w:id="26103551">
              <w:marLeft w:val="-75"/>
              <w:marRight w:val="0"/>
              <w:marTop w:val="30"/>
              <w:marBottom w:val="30"/>
              <w:divBdr>
                <w:top w:val="none" w:sz="0" w:space="0" w:color="auto"/>
                <w:left w:val="none" w:sz="0" w:space="0" w:color="auto"/>
                <w:bottom w:val="none" w:sz="0" w:space="0" w:color="auto"/>
                <w:right w:val="none" w:sz="0" w:space="0" w:color="auto"/>
              </w:divBdr>
              <w:divsChild>
                <w:div w:id="129910345">
                  <w:marLeft w:val="0"/>
                  <w:marRight w:val="0"/>
                  <w:marTop w:val="0"/>
                  <w:marBottom w:val="0"/>
                  <w:divBdr>
                    <w:top w:val="none" w:sz="0" w:space="0" w:color="auto"/>
                    <w:left w:val="none" w:sz="0" w:space="0" w:color="auto"/>
                    <w:bottom w:val="none" w:sz="0" w:space="0" w:color="auto"/>
                    <w:right w:val="none" w:sz="0" w:space="0" w:color="auto"/>
                  </w:divBdr>
                  <w:divsChild>
                    <w:div w:id="1657492543">
                      <w:marLeft w:val="0"/>
                      <w:marRight w:val="0"/>
                      <w:marTop w:val="0"/>
                      <w:marBottom w:val="0"/>
                      <w:divBdr>
                        <w:top w:val="none" w:sz="0" w:space="0" w:color="auto"/>
                        <w:left w:val="none" w:sz="0" w:space="0" w:color="auto"/>
                        <w:bottom w:val="none" w:sz="0" w:space="0" w:color="auto"/>
                        <w:right w:val="none" w:sz="0" w:space="0" w:color="auto"/>
                      </w:divBdr>
                    </w:div>
                  </w:divsChild>
                </w:div>
                <w:div w:id="274141882">
                  <w:marLeft w:val="0"/>
                  <w:marRight w:val="0"/>
                  <w:marTop w:val="0"/>
                  <w:marBottom w:val="0"/>
                  <w:divBdr>
                    <w:top w:val="none" w:sz="0" w:space="0" w:color="auto"/>
                    <w:left w:val="none" w:sz="0" w:space="0" w:color="auto"/>
                    <w:bottom w:val="none" w:sz="0" w:space="0" w:color="auto"/>
                    <w:right w:val="none" w:sz="0" w:space="0" w:color="auto"/>
                  </w:divBdr>
                  <w:divsChild>
                    <w:div w:id="413671997">
                      <w:marLeft w:val="0"/>
                      <w:marRight w:val="0"/>
                      <w:marTop w:val="0"/>
                      <w:marBottom w:val="0"/>
                      <w:divBdr>
                        <w:top w:val="none" w:sz="0" w:space="0" w:color="auto"/>
                        <w:left w:val="none" w:sz="0" w:space="0" w:color="auto"/>
                        <w:bottom w:val="none" w:sz="0" w:space="0" w:color="auto"/>
                        <w:right w:val="none" w:sz="0" w:space="0" w:color="auto"/>
                      </w:divBdr>
                    </w:div>
                  </w:divsChild>
                </w:div>
                <w:div w:id="283580540">
                  <w:marLeft w:val="0"/>
                  <w:marRight w:val="0"/>
                  <w:marTop w:val="0"/>
                  <w:marBottom w:val="0"/>
                  <w:divBdr>
                    <w:top w:val="none" w:sz="0" w:space="0" w:color="auto"/>
                    <w:left w:val="none" w:sz="0" w:space="0" w:color="auto"/>
                    <w:bottom w:val="none" w:sz="0" w:space="0" w:color="auto"/>
                    <w:right w:val="none" w:sz="0" w:space="0" w:color="auto"/>
                  </w:divBdr>
                  <w:divsChild>
                    <w:div w:id="714963366">
                      <w:marLeft w:val="0"/>
                      <w:marRight w:val="0"/>
                      <w:marTop w:val="0"/>
                      <w:marBottom w:val="0"/>
                      <w:divBdr>
                        <w:top w:val="none" w:sz="0" w:space="0" w:color="auto"/>
                        <w:left w:val="none" w:sz="0" w:space="0" w:color="auto"/>
                        <w:bottom w:val="none" w:sz="0" w:space="0" w:color="auto"/>
                        <w:right w:val="none" w:sz="0" w:space="0" w:color="auto"/>
                      </w:divBdr>
                    </w:div>
                  </w:divsChild>
                </w:div>
                <w:div w:id="424309513">
                  <w:marLeft w:val="0"/>
                  <w:marRight w:val="0"/>
                  <w:marTop w:val="0"/>
                  <w:marBottom w:val="0"/>
                  <w:divBdr>
                    <w:top w:val="none" w:sz="0" w:space="0" w:color="auto"/>
                    <w:left w:val="none" w:sz="0" w:space="0" w:color="auto"/>
                    <w:bottom w:val="none" w:sz="0" w:space="0" w:color="auto"/>
                    <w:right w:val="none" w:sz="0" w:space="0" w:color="auto"/>
                  </w:divBdr>
                  <w:divsChild>
                    <w:div w:id="74519190">
                      <w:marLeft w:val="0"/>
                      <w:marRight w:val="0"/>
                      <w:marTop w:val="0"/>
                      <w:marBottom w:val="0"/>
                      <w:divBdr>
                        <w:top w:val="none" w:sz="0" w:space="0" w:color="auto"/>
                        <w:left w:val="none" w:sz="0" w:space="0" w:color="auto"/>
                        <w:bottom w:val="none" w:sz="0" w:space="0" w:color="auto"/>
                        <w:right w:val="none" w:sz="0" w:space="0" w:color="auto"/>
                      </w:divBdr>
                    </w:div>
                  </w:divsChild>
                </w:div>
                <w:div w:id="455026180">
                  <w:marLeft w:val="0"/>
                  <w:marRight w:val="0"/>
                  <w:marTop w:val="0"/>
                  <w:marBottom w:val="0"/>
                  <w:divBdr>
                    <w:top w:val="none" w:sz="0" w:space="0" w:color="auto"/>
                    <w:left w:val="none" w:sz="0" w:space="0" w:color="auto"/>
                    <w:bottom w:val="none" w:sz="0" w:space="0" w:color="auto"/>
                    <w:right w:val="none" w:sz="0" w:space="0" w:color="auto"/>
                  </w:divBdr>
                </w:div>
                <w:div w:id="557203706">
                  <w:marLeft w:val="0"/>
                  <w:marRight w:val="0"/>
                  <w:marTop w:val="0"/>
                  <w:marBottom w:val="0"/>
                  <w:divBdr>
                    <w:top w:val="none" w:sz="0" w:space="0" w:color="auto"/>
                    <w:left w:val="none" w:sz="0" w:space="0" w:color="auto"/>
                    <w:bottom w:val="none" w:sz="0" w:space="0" w:color="auto"/>
                    <w:right w:val="none" w:sz="0" w:space="0" w:color="auto"/>
                  </w:divBdr>
                  <w:divsChild>
                    <w:div w:id="1899391294">
                      <w:marLeft w:val="0"/>
                      <w:marRight w:val="0"/>
                      <w:marTop w:val="0"/>
                      <w:marBottom w:val="0"/>
                      <w:divBdr>
                        <w:top w:val="none" w:sz="0" w:space="0" w:color="auto"/>
                        <w:left w:val="none" w:sz="0" w:space="0" w:color="auto"/>
                        <w:bottom w:val="none" w:sz="0" w:space="0" w:color="auto"/>
                        <w:right w:val="none" w:sz="0" w:space="0" w:color="auto"/>
                      </w:divBdr>
                    </w:div>
                  </w:divsChild>
                </w:div>
                <w:div w:id="577011407">
                  <w:marLeft w:val="0"/>
                  <w:marRight w:val="0"/>
                  <w:marTop w:val="0"/>
                  <w:marBottom w:val="0"/>
                  <w:divBdr>
                    <w:top w:val="none" w:sz="0" w:space="0" w:color="auto"/>
                    <w:left w:val="none" w:sz="0" w:space="0" w:color="auto"/>
                    <w:bottom w:val="none" w:sz="0" w:space="0" w:color="auto"/>
                    <w:right w:val="none" w:sz="0" w:space="0" w:color="auto"/>
                  </w:divBdr>
                  <w:divsChild>
                    <w:div w:id="679116626">
                      <w:marLeft w:val="0"/>
                      <w:marRight w:val="0"/>
                      <w:marTop w:val="0"/>
                      <w:marBottom w:val="0"/>
                      <w:divBdr>
                        <w:top w:val="none" w:sz="0" w:space="0" w:color="auto"/>
                        <w:left w:val="none" w:sz="0" w:space="0" w:color="auto"/>
                        <w:bottom w:val="none" w:sz="0" w:space="0" w:color="auto"/>
                        <w:right w:val="none" w:sz="0" w:space="0" w:color="auto"/>
                      </w:divBdr>
                    </w:div>
                  </w:divsChild>
                </w:div>
                <w:div w:id="581960578">
                  <w:marLeft w:val="0"/>
                  <w:marRight w:val="0"/>
                  <w:marTop w:val="0"/>
                  <w:marBottom w:val="0"/>
                  <w:divBdr>
                    <w:top w:val="none" w:sz="0" w:space="0" w:color="auto"/>
                    <w:left w:val="none" w:sz="0" w:space="0" w:color="auto"/>
                    <w:bottom w:val="none" w:sz="0" w:space="0" w:color="auto"/>
                    <w:right w:val="none" w:sz="0" w:space="0" w:color="auto"/>
                  </w:divBdr>
                  <w:divsChild>
                    <w:div w:id="710959802">
                      <w:marLeft w:val="0"/>
                      <w:marRight w:val="0"/>
                      <w:marTop w:val="0"/>
                      <w:marBottom w:val="0"/>
                      <w:divBdr>
                        <w:top w:val="none" w:sz="0" w:space="0" w:color="auto"/>
                        <w:left w:val="none" w:sz="0" w:space="0" w:color="auto"/>
                        <w:bottom w:val="none" w:sz="0" w:space="0" w:color="auto"/>
                        <w:right w:val="none" w:sz="0" w:space="0" w:color="auto"/>
                      </w:divBdr>
                    </w:div>
                  </w:divsChild>
                </w:div>
                <w:div w:id="607081907">
                  <w:marLeft w:val="0"/>
                  <w:marRight w:val="0"/>
                  <w:marTop w:val="0"/>
                  <w:marBottom w:val="0"/>
                  <w:divBdr>
                    <w:top w:val="none" w:sz="0" w:space="0" w:color="auto"/>
                    <w:left w:val="none" w:sz="0" w:space="0" w:color="auto"/>
                    <w:bottom w:val="none" w:sz="0" w:space="0" w:color="auto"/>
                    <w:right w:val="none" w:sz="0" w:space="0" w:color="auto"/>
                  </w:divBdr>
                  <w:divsChild>
                    <w:div w:id="880167785">
                      <w:marLeft w:val="0"/>
                      <w:marRight w:val="0"/>
                      <w:marTop w:val="0"/>
                      <w:marBottom w:val="0"/>
                      <w:divBdr>
                        <w:top w:val="none" w:sz="0" w:space="0" w:color="auto"/>
                        <w:left w:val="none" w:sz="0" w:space="0" w:color="auto"/>
                        <w:bottom w:val="none" w:sz="0" w:space="0" w:color="auto"/>
                        <w:right w:val="none" w:sz="0" w:space="0" w:color="auto"/>
                      </w:divBdr>
                    </w:div>
                  </w:divsChild>
                </w:div>
                <w:div w:id="679233274">
                  <w:marLeft w:val="0"/>
                  <w:marRight w:val="0"/>
                  <w:marTop w:val="0"/>
                  <w:marBottom w:val="0"/>
                  <w:divBdr>
                    <w:top w:val="none" w:sz="0" w:space="0" w:color="auto"/>
                    <w:left w:val="none" w:sz="0" w:space="0" w:color="auto"/>
                    <w:bottom w:val="none" w:sz="0" w:space="0" w:color="auto"/>
                    <w:right w:val="none" w:sz="0" w:space="0" w:color="auto"/>
                  </w:divBdr>
                  <w:divsChild>
                    <w:div w:id="1464883791">
                      <w:marLeft w:val="0"/>
                      <w:marRight w:val="0"/>
                      <w:marTop w:val="0"/>
                      <w:marBottom w:val="0"/>
                      <w:divBdr>
                        <w:top w:val="none" w:sz="0" w:space="0" w:color="auto"/>
                        <w:left w:val="none" w:sz="0" w:space="0" w:color="auto"/>
                        <w:bottom w:val="none" w:sz="0" w:space="0" w:color="auto"/>
                        <w:right w:val="none" w:sz="0" w:space="0" w:color="auto"/>
                      </w:divBdr>
                    </w:div>
                  </w:divsChild>
                </w:div>
                <w:div w:id="709764714">
                  <w:marLeft w:val="0"/>
                  <w:marRight w:val="0"/>
                  <w:marTop w:val="0"/>
                  <w:marBottom w:val="0"/>
                  <w:divBdr>
                    <w:top w:val="none" w:sz="0" w:space="0" w:color="auto"/>
                    <w:left w:val="none" w:sz="0" w:space="0" w:color="auto"/>
                    <w:bottom w:val="none" w:sz="0" w:space="0" w:color="auto"/>
                    <w:right w:val="none" w:sz="0" w:space="0" w:color="auto"/>
                  </w:divBdr>
                  <w:divsChild>
                    <w:div w:id="1557820118">
                      <w:marLeft w:val="0"/>
                      <w:marRight w:val="0"/>
                      <w:marTop w:val="0"/>
                      <w:marBottom w:val="0"/>
                      <w:divBdr>
                        <w:top w:val="none" w:sz="0" w:space="0" w:color="auto"/>
                        <w:left w:val="none" w:sz="0" w:space="0" w:color="auto"/>
                        <w:bottom w:val="none" w:sz="0" w:space="0" w:color="auto"/>
                        <w:right w:val="none" w:sz="0" w:space="0" w:color="auto"/>
                      </w:divBdr>
                    </w:div>
                  </w:divsChild>
                </w:div>
                <w:div w:id="763696248">
                  <w:marLeft w:val="0"/>
                  <w:marRight w:val="0"/>
                  <w:marTop w:val="0"/>
                  <w:marBottom w:val="0"/>
                  <w:divBdr>
                    <w:top w:val="none" w:sz="0" w:space="0" w:color="auto"/>
                    <w:left w:val="none" w:sz="0" w:space="0" w:color="auto"/>
                    <w:bottom w:val="none" w:sz="0" w:space="0" w:color="auto"/>
                    <w:right w:val="none" w:sz="0" w:space="0" w:color="auto"/>
                  </w:divBdr>
                  <w:divsChild>
                    <w:div w:id="2002346499">
                      <w:marLeft w:val="0"/>
                      <w:marRight w:val="0"/>
                      <w:marTop w:val="0"/>
                      <w:marBottom w:val="0"/>
                      <w:divBdr>
                        <w:top w:val="none" w:sz="0" w:space="0" w:color="auto"/>
                        <w:left w:val="none" w:sz="0" w:space="0" w:color="auto"/>
                        <w:bottom w:val="none" w:sz="0" w:space="0" w:color="auto"/>
                        <w:right w:val="none" w:sz="0" w:space="0" w:color="auto"/>
                      </w:divBdr>
                    </w:div>
                  </w:divsChild>
                </w:div>
                <w:div w:id="821700189">
                  <w:marLeft w:val="0"/>
                  <w:marRight w:val="0"/>
                  <w:marTop w:val="0"/>
                  <w:marBottom w:val="0"/>
                  <w:divBdr>
                    <w:top w:val="none" w:sz="0" w:space="0" w:color="auto"/>
                    <w:left w:val="none" w:sz="0" w:space="0" w:color="auto"/>
                    <w:bottom w:val="none" w:sz="0" w:space="0" w:color="auto"/>
                    <w:right w:val="none" w:sz="0" w:space="0" w:color="auto"/>
                  </w:divBdr>
                  <w:divsChild>
                    <w:div w:id="1282960226">
                      <w:marLeft w:val="0"/>
                      <w:marRight w:val="0"/>
                      <w:marTop w:val="0"/>
                      <w:marBottom w:val="0"/>
                      <w:divBdr>
                        <w:top w:val="none" w:sz="0" w:space="0" w:color="auto"/>
                        <w:left w:val="none" w:sz="0" w:space="0" w:color="auto"/>
                        <w:bottom w:val="none" w:sz="0" w:space="0" w:color="auto"/>
                        <w:right w:val="none" w:sz="0" w:space="0" w:color="auto"/>
                      </w:divBdr>
                    </w:div>
                  </w:divsChild>
                </w:div>
                <w:div w:id="891814429">
                  <w:marLeft w:val="0"/>
                  <w:marRight w:val="0"/>
                  <w:marTop w:val="0"/>
                  <w:marBottom w:val="0"/>
                  <w:divBdr>
                    <w:top w:val="none" w:sz="0" w:space="0" w:color="auto"/>
                    <w:left w:val="none" w:sz="0" w:space="0" w:color="auto"/>
                    <w:bottom w:val="none" w:sz="0" w:space="0" w:color="auto"/>
                    <w:right w:val="none" w:sz="0" w:space="0" w:color="auto"/>
                  </w:divBdr>
                  <w:divsChild>
                    <w:div w:id="1388919837">
                      <w:marLeft w:val="0"/>
                      <w:marRight w:val="0"/>
                      <w:marTop w:val="0"/>
                      <w:marBottom w:val="0"/>
                      <w:divBdr>
                        <w:top w:val="none" w:sz="0" w:space="0" w:color="auto"/>
                        <w:left w:val="none" w:sz="0" w:space="0" w:color="auto"/>
                        <w:bottom w:val="none" w:sz="0" w:space="0" w:color="auto"/>
                        <w:right w:val="none" w:sz="0" w:space="0" w:color="auto"/>
                      </w:divBdr>
                    </w:div>
                  </w:divsChild>
                </w:div>
                <w:div w:id="1392342802">
                  <w:marLeft w:val="0"/>
                  <w:marRight w:val="0"/>
                  <w:marTop w:val="0"/>
                  <w:marBottom w:val="0"/>
                  <w:divBdr>
                    <w:top w:val="none" w:sz="0" w:space="0" w:color="auto"/>
                    <w:left w:val="none" w:sz="0" w:space="0" w:color="auto"/>
                    <w:bottom w:val="none" w:sz="0" w:space="0" w:color="auto"/>
                    <w:right w:val="none" w:sz="0" w:space="0" w:color="auto"/>
                  </w:divBdr>
                  <w:divsChild>
                    <w:div w:id="44570297">
                      <w:marLeft w:val="0"/>
                      <w:marRight w:val="0"/>
                      <w:marTop w:val="0"/>
                      <w:marBottom w:val="0"/>
                      <w:divBdr>
                        <w:top w:val="none" w:sz="0" w:space="0" w:color="auto"/>
                        <w:left w:val="none" w:sz="0" w:space="0" w:color="auto"/>
                        <w:bottom w:val="none" w:sz="0" w:space="0" w:color="auto"/>
                        <w:right w:val="none" w:sz="0" w:space="0" w:color="auto"/>
                      </w:divBdr>
                    </w:div>
                  </w:divsChild>
                </w:div>
                <w:div w:id="1520657855">
                  <w:marLeft w:val="0"/>
                  <w:marRight w:val="0"/>
                  <w:marTop w:val="0"/>
                  <w:marBottom w:val="0"/>
                  <w:divBdr>
                    <w:top w:val="none" w:sz="0" w:space="0" w:color="auto"/>
                    <w:left w:val="none" w:sz="0" w:space="0" w:color="auto"/>
                    <w:bottom w:val="none" w:sz="0" w:space="0" w:color="auto"/>
                    <w:right w:val="none" w:sz="0" w:space="0" w:color="auto"/>
                  </w:divBdr>
                  <w:divsChild>
                    <w:div w:id="412626686">
                      <w:marLeft w:val="0"/>
                      <w:marRight w:val="0"/>
                      <w:marTop w:val="0"/>
                      <w:marBottom w:val="0"/>
                      <w:divBdr>
                        <w:top w:val="none" w:sz="0" w:space="0" w:color="auto"/>
                        <w:left w:val="none" w:sz="0" w:space="0" w:color="auto"/>
                        <w:bottom w:val="none" w:sz="0" w:space="0" w:color="auto"/>
                        <w:right w:val="none" w:sz="0" w:space="0" w:color="auto"/>
                      </w:divBdr>
                    </w:div>
                  </w:divsChild>
                </w:div>
                <w:div w:id="1635450902">
                  <w:marLeft w:val="0"/>
                  <w:marRight w:val="0"/>
                  <w:marTop w:val="0"/>
                  <w:marBottom w:val="0"/>
                  <w:divBdr>
                    <w:top w:val="none" w:sz="0" w:space="0" w:color="auto"/>
                    <w:left w:val="none" w:sz="0" w:space="0" w:color="auto"/>
                    <w:bottom w:val="none" w:sz="0" w:space="0" w:color="auto"/>
                    <w:right w:val="none" w:sz="0" w:space="0" w:color="auto"/>
                  </w:divBdr>
                  <w:divsChild>
                    <w:div w:id="1293973885">
                      <w:marLeft w:val="0"/>
                      <w:marRight w:val="0"/>
                      <w:marTop w:val="0"/>
                      <w:marBottom w:val="0"/>
                      <w:divBdr>
                        <w:top w:val="none" w:sz="0" w:space="0" w:color="auto"/>
                        <w:left w:val="none" w:sz="0" w:space="0" w:color="auto"/>
                        <w:bottom w:val="none" w:sz="0" w:space="0" w:color="auto"/>
                        <w:right w:val="none" w:sz="0" w:space="0" w:color="auto"/>
                      </w:divBdr>
                    </w:div>
                  </w:divsChild>
                </w:div>
                <w:div w:id="1656687149">
                  <w:marLeft w:val="0"/>
                  <w:marRight w:val="0"/>
                  <w:marTop w:val="0"/>
                  <w:marBottom w:val="0"/>
                  <w:divBdr>
                    <w:top w:val="none" w:sz="0" w:space="0" w:color="auto"/>
                    <w:left w:val="none" w:sz="0" w:space="0" w:color="auto"/>
                    <w:bottom w:val="none" w:sz="0" w:space="0" w:color="auto"/>
                    <w:right w:val="none" w:sz="0" w:space="0" w:color="auto"/>
                  </w:divBdr>
                  <w:divsChild>
                    <w:div w:id="1824008004">
                      <w:marLeft w:val="0"/>
                      <w:marRight w:val="0"/>
                      <w:marTop w:val="0"/>
                      <w:marBottom w:val="0"/>
                      <w:divBdr>
                        <w:top w:val="none" w:sz="0" w:space="0" w:color="auto"/>
                        <w:left w:val="none" w:sz="0" w:space="0" w:color="auto"/>
                        <w:bottom w:val="none" w:sz="0" w:space="0" w:color="auto"/>
                        <w:right w:val="none" w:sz="0" w:space="0" w:color="auto"/>
                      </w:divBdr>
                    </w:div>
                  </w:divsChild>
                </w:div>
                <w:div w:id="1852791555">
                  <w:marLeft w:val="0"/>
                  <w:marRight w:val="0"/>
                  <w:marTop w:val="0"/>
                  <w:marBottom w:val="0"/>
                  <w:divBdr>
                    <w:top w:val="none" w:sz="0" w:space="0" w:color="auto"/>
                    <w:left w:val="none" w:sz="0" w:space="0" w:color="auto"/>
                    <w:bottom w:val="none" w:sz="0" w:space="0" w:color="auto"/>
                    <w:right w:val="none" w:sz="0" w:space="0" w:color="auto"/>
                  </w:divBdr>
                  <w:divsChild>
                    <w:div w:id="2008315725">
                      <w:marLeft w:val="0"/>
                      <w:marRight w:val="0"/>
                      <w:marTop w:val="0"/>
                      <w:marBottom w:val="0"/>
                      <w:divBdr>
                        <w:top w:val="none" w:sz="0" w:space="0" w:color="auto"/>
                        <w:left w:val="none" w:sz="0" w:space="0" w:color="auto"/>
                        <w:bottom w:val="none" w:sz="0" w:space="0" w:color="auto"/>
                        <w:right w:val="none" w:sz="0" w:space="0" w:color="auto"/>
                      </w:divBdr>
                    </w:div>
                  </w:divsChild>
                </w:div>
                <w:div w:id="1892419808">
                  <w:marLeft w:val="0"/>
                  <w:marRight w:val="0"/>
                  <w:marTop w:val="0"/>
                  <w:marBottom w:val="0"/>
                  <w:divBdr>
                    <w:top w:val="none" w:sz="0" w:space="0" w:color="auto"/>
                    <w:left w:val="none" w:sz="0" w:space="0" w:color="auto"/>
                    <w:bottom w:val="none" w:sz="0" w:space="0" w:color="auto"/>
                    <w:right w:val="none" w:sz="0" w:space="0" w:color="auto"/>
                  </w:divBdr>
                  <w:divsChild>
                    <w:div w:id="1277446055">
                      <w:marLeft w:val="0"/>
                      <w:marRight w:val="0"/>
                      <w:marTop w:val="0"/>
                      <w:marBottom w:val="0"/>
                      <w:divBdr>
                        <w:top w:val="none" w:sz="0" w:space="0" w:color="auto"/>
                        <w:left w:val="none" w:sz="0" w:space="0" w:color="auto"/>
                        <w:bottom w:val="none" w:sz="0" w:space="0" w:color="auto"/>
                        <w:right w:val="none" w:sz="0" w:space="0" w:color="auto"/>
                      </w:divBdr>
                    </w:div>
                  </w:divsChild>
                </w:div>
                <w:div w:id="1915502501">
                  <w:marLeft w:val="0"/>
                  <w:marRight w:val="0"/>
                  <w:marTop w:val="0"/>
                  <w:marBottom w:val="0"/>
                  <w:divBdr>
                    <w:top w:val="none" w:sz="0" w:space="0" w:color="auto"/>
                    <w:left w:val="none" w:sz="0" w:space="0" w:color="auto"/>
                    <w:bottom w:val="none" w:sz="0" w:space="0" w:color="auto"/>
                    <w:right w:val="none" w:sz="0" w:space="0" w:color="auto"/>
                  </w:divBdr>
                  <w:divsChild>
                    <w:div w:id="1460567368">
                      <w:marLeft w:val="0"/>
                      <w:marRight w:val="0"/>
                      <w:marTop w:val="0"/>
                      <w:marBottom w:val="0"/>
                      <w:divBdr>
                        <w:top w:val="none" w:sz="0" w:space="0" w:color="auto"/>
                        <w:left w:val="none" w:sz="0" w:space="0" w:color="auto"/>
                        <w:bottom w:val="none" w:sz="0" w:space="0" w:color="auto"/>
                        <w:right w:val="none" w:sz="0" w:space="0" w:color="auto"/>
                      </w:divBdr>
                    </w:div>
                    <w:div w:id="158834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32915">
          <w:marLeft w:val="0"/>
          <w:marRight w:val="0"/>
          <w:marTop w:val="0"/>
          <w:marBottom w:val="0"/>
          <w:divBdr>
            <w:top w:val="none" w:sz="0" w:space="0" w:color="auto"/>
            <w:left w:val="none" w:sz="0" w:space="0" w:color="auto"/>
            <w:bottom w:val="none" w:sz="0" w:space="0" w:color="auto"/>
            <w:right w:val="none" w:sz="0" w:space="0" w:color="auto"/>
          </w:divBdr>
          <w:divsChild>
            <w:div w:id="32923161">
              <w:marLeft w:val="0"/>
              <w:marRight w:val="0"/>
              <w:marTop w:val="0"/>
              <w:marBottom w:val="0"/>
              <w:divBdr>
                <w:top w:val="none" w:sz="0" w:space="0" w:color="auto"/>
                <w:left w:val="none" w:sz="0" w:space="0" w:color="auto"/>
                <w:bottom w:val="none" w:sz="0" w:space="0" w:color="auto"/>
                <w:right w:val="none" w:sz="0" w:space="0" w:color="auto"/>
              </w:divBdr>
            </w:div>
            <w:div w:id="128786846">
              <w:marLeft w:val="0"/>
              <w:marRight w:val="0"/>
              <w:marTop w:val="0"/>
              <w:marBottom w:val="0"/>
              <w:divBdr>
                <w:top w:val="none" w:sz="0" w:space="0" w:color="auto"/>
                <w:left w:val="none" w:sz="0" w:space="0" w:color="auto"/>
                <w:bottom w:val="none" w:sz="0" w:space="0" w:color="auto"/>
                <w:right w:val="none" w:sz="0" w:space="0" w:color="auto"/>
              </w:divBdr>
            </w:div>
            <w:div w:id="1879050407">
              <w:marLeft w:val="0"/>
              <w:marRight w:val="0"/>
              <w:marTop w:val="0"/>
              <w:marBottom w:val="0"/>
              <w:divBdr>
                <w:top w:val="none" w:sz="0" w:space="0" w:color="auto"/>
                <w:left w:val="none" w:sz="0" w:space="0" w:color="auto"/>
                <w:bottom w:val="none" w:sz="0" w:space="0" w:color="auto"/>
                <w:right w:val="none" w:sz="0" w:space="0" w:color="auto"/>
              </w:divBdr>
            </w:div>
          </w:divsChild>
        </w:div>
        <w:div w:id="859778807">
          <w:marLeft w:val="0"/>
          <w:marRight w:val="0"/>
          <w:marTop w:val="0"/>
          <w:marBottom w:val="0"/>
          <w:divBdr>
            <w:top w:val="none" w:sz="0" w:space="0" w:color="auto"/>
            <w:left w:val="none" w:sz="0" w:space="0" w:color="auto"/>
            <w:bottom w:val="none" w:sz="0" w:space="0" w:color="auto"/>
            <w:right w:val="none" w:sz="0" w:space="0" w:color="auto"/>
          </w:divBdr>
          <w:divsChild>
            <w:div w:id="686174840">
              <w:marLeft w:val="0"/>
              <w:marRight w:val="0"/>
              <w:marTop w:val="0"/>
              <w:marBottom w:val="0"/>
              <w:divBdr>
                <w:top w:val="none" w:sz="0" w:space="0" w:color="auto"/>
                <w:left w:val="none" w:sz="0" w:space="0" w:color="auto"/>
                <w:bottom w:val="none" w:sz="0" w:space="0" w:color="auto"/>
                <w:right w:val="none" w:sz="0" w:space="0" w:color="auto"/>
              </w:divBdr>
            </w:div>
            <w:div w:id="889194225">
              <w:marLeft w:val="0"/>
              <w:marRight w:val="0"/>
              <w:marTop w:val="0"/>
              <w:marBottom w:val="0"/>
              <w:divBdr>
                <w:top w:val="none" w:sz="0" w:space="0" w:color="auto"/>
                <w:left w:val="none" w:sz="0" w:space="0" w:color="auto"/>
                <w:bottom w:val="none" w:sz="0" w:space="0" w:color="auto"/>
                <w:right w:val="none" w:sz="0" w:space="0" w:color="auto"/>
              </w:divBdr>
            </w:div>
            <w:div w:id="955990152">
              <w:marLeft w:val="0"/>
              <w:marRight w:val="0"/>
              <w:marTop w:val="0"/>
              <w:marBottom w:val="0"/>
              <w:divBdr>
                <w:top w:val="none" w:sz="0" w:space="0" w:color="auto"/>
                <w:left w:val="none" w:sz="0" w:space="0" w:color="auto"/>
                <w:bottom w:val="none" w:sz="0" w:space="0" w:color="auto"/>
                <w:right w:val="none" w:sz="0" w:space="0" w:color="auto"/>
              </w:divBdr>
            </w:div>
            <w:div w:id="1010138372">
              <w:marLeft w:val="0"/>
              <w:marRight w:val="0"/>
              <w:marTop w:val="0"/>
              <w:marBottom w:val="0"/>
              <w:divBdr>
                <w:top w:val="none" w:sz="0" w:space="0" w:color="auto"/>
                <w:left w:val="none" w:sz="0" w:space="0" w:color="auto"/>
                <w:bottom w:val="none" w:sz="0" w:space="0" w:color="auto"/>
                <w:right w:val="none" w:sz="0" w:space="0" w:color="auto"/>
              </w:divBdr>
            </w:div>
            <w:div w:id="1453329767">
              <w:marLeft w:val="0"/>
              <w:marRight w:val="0"/>
              <w:marTop w:val="0"/>
              <w:marBottom w:val="0"/>
              <w:divBdr>
                <w:top w:val="none" w:sz="0" w:space="0" w:color="auto"/>
                <w:left w:val="none" w:sz="0" w:space="0" w:color="auto"/>
                <w:bottom w:val="none" w:sz="0" w:space="0" w:color="auto"/>
                <w:right w:val="none" w:sz="0" w:space="0" w:color="auto"/>
              </w:divBdr>
            </w:div>
            <w:div w:id="1540976350">
              <w:marLeft w:val="0"/>
              <w:marRight w:val="0"/>
              <w:marTop w:val="0"/>
              <w:marBottom w:val="0"/>
              <w:divBdr>
                <w:top w:val="none" w:sz="0" w:space="0" w:color="auto"/>
                <w:left w:val="none" w:sz="0" w:space="0" w:color="auto"/>
                <w:bottom w:val="none" w:sz="0" w:space="0" w:color="auto"/>
                <w:right w:val="none" w:sz="0" w:space="0" w:color="auto"/>
              </w:divBdr>
            </w:div>
          </w:divsChild>
        </w:div>
        <w:div w:id="900097421">
          <w:marLeft w:val="0"/>
          <w:marRight w:val="0"/>
          <w:marTop w:val="0"/>
          <w:marBottom w:val="0"/>
          <w:divBdr>
            <w:top w:val="none" w:sz="0" w:space="0" w:color="auto"/>
            <w:left w:val="none" w:sz="0" w:space="0" w:color="auto"/>
            <w:bottom w:val="none" w:sz="0" w:space="0" w:color="auto"/>
            <w:right w:val="none" w:sz="0" w:space="0" w:color="auto"/>
          </w:divBdr>
          <w:divsChild>
            <w:div w:id="121120205">
              <w:marLeft w:val="-75"/>
              <w:marRight w:val="0"/>
              <w:marTop w:val="30"/>
              <w:marBottom w:val="30"/>
              <w:divBdr>
                <w:top w:val="none" w:sz="0" w:space="0" w:color="auto"/>
                <w:left w:val="none" w:sz="0" w:space="0" w:color="auto"/>
                <w:bottom w:val="none" w:sz="0" w:space="0" w:color="auto"/>
                <w:right w:val="none" w:sz="0" w:space="0" w:color="auto"/>
              </w:divBdr>
              <w:divsChild>
                <w:div w:id="336269879">
                  <w:marLeft w:val="0"/>
                  <w:marRight w:val="0"/>
                  <w:marTop w:val="0"/>
                  <w:marBottom w:val="0"/>
                  <w:divBdr>
                    <w:top w:val="none" w:sz="0" w:space="0" w:color="auto"/>
                    <w:left w:val="none" w:sz="0" w:space="0" w:color="auto"/>
                    <w:bottom w:val="none" w:sz="0" w:space="0" w:color="auto"/>
                    <w:right w:val="none" w:sz="0" w:space="0" w:color="auto"/>
                  </w:divBdr>
                  <w:divsChild>
                    <w:div w:id="296184536">
                      <w:marLeft w:val="0"/>
                      <w:marRight w:val="0"/>
                      <w:marTop w:val="0"/>
                      <w:marBottom w:val="0"/>
                      <w:divBdr>
                        <w:top w:val="none" w:sz="0" w:space="0" w:color="auto"/>
                        <w:left w:val="none" w:sz="0" w:space="0" w:color="auto"/>
                        <w:bottom w:val="none" w:sz="0" w:space="0" w:color="auto"/>
                        <w:right w:val="none" w:sz="0" w:space="0" w:color="auto"/>
                      </w:divBdr>
                    </w:div>
                  </w:divsChild>
                </w:div>
                <w:div w:id="358820530">
                  <w:marLeft w:val="0"/>
                  <w:marRight w:val="0"/>
                  <w:marTop w:val="0"/>
                  <w:marBottom w:val="0"/>
                  <w:divBdr>
                    <w:top w:val="none" w:sz="0" w:space="0" w:color="auto"/>
                    <w:left w:val="none" w:sz="0" w:space="0" w:color="auto"/>
                    <w:bottom w:val="none" w:sz="0" w:space="0" w:color="auto"/>
                    <w:right w:val="none" w:sz="0" w:space="0" w:color="auto"/>
                  </w:divBdr>
                  <w:divsChild>
                    <w:div w:id="201676837">
                      <w:marLeft w:val="0"/>
                      <w:marRight w:val="0"/>
                      <w:marTop w:val="0"/>
                      <w:marBottom w:val="0"/>
                      <w:divBdr>
                        <w:top w:val="none" w:sz="0" w:space="0" w:color="auto"/>
                        <w:left w:val="none" w:sz="0" w:space="0" w:color="auto"/>
                        <w:bottom w:val="none" w:sz="0" w:space="0" w:color="auto"/>
                        <w:right w:val="none" w:sz="0" w:space="0" w:color="auto"/>
                      </w:divBdr>
                    </w:div>
                  </w:divsChild>
                </w:div>
                <w:div w:id="465440074">
                  <w:marLeft w:val="0"/>
                  <w:marRight w:val="0"/>
                  <w:marTop w:val="0"/>
                  <w:marBottom w:val="0"/>
                  <w:divBdr>
                    <w:top w:val="none" w:sz="0" w:space="0" w:color="auto"/>
                    <w:left w:val="none" w:sz="0" w:space="0" w:color="auto"/>
                    <w:bottom w:val="none" w:sz="0" w:space="0" w:color="auto"/>
                    <w:right w:val="none" w:sz="0" w:space="0" w:color="auto"/>
                  </w:divBdr>
                  <w:divsChild>
                    <w:div w:id="1483616297">
                      <w:marLeft w:val="0"/>
                      <w:marRight w:val="0"/>
                      <w:marTop w:val="0"/>
                      <w:marBottom w:val="0"/>
                      <w:divBdr>
                        <w:top w:val="none" w:sz="0" w:space="0" w:color="auto"/>
                        <w:left w:val="none" w:sz="0" w:space="0" w:color="auto"/>
                        <w:bottom w:val="none" w:sz="0" w:space="0" w:color="auto"/>
                        <w:right w:val="none" w:sz="0" w:space="0" w:color="auto"/>
                      </w:divBdr>
                    </w:div>
                  </w:divsChild>
                </w:div>
                <w:div w:id="534080291">
                  <w:marLeft w:val="0"/>
                  <w:marRight w:val="0"/>
                  <w:marTop w:val="0"/>
                  <w:marBottom w:val="0"/>
                  <w:divBdr>
                    <w:top w:val="none" w:sz="0" w:space="0" w:color="auto"/>
                    <w:left w:val="none" w:sz="0" w:space="0" w:color="auto"/>
                    <w:bottom w:val="none" w:sz="0" w:space="0" w:color="auto"/>
                    <w:right w:val="none" w:sz="0" w:space="0" w:color="auto"/>
                  </w:divBdr>
                  <w:divsChild>
                    <w:div w:id="1966694531">
                      <w:marLeft w:val="0"/>
                      <w:marRight w:val="0"/>
                      <w:marTop w:val="0"/>
                      <w:marBottom w:val="0"/>
                      <w:divBdr>
                        <w:top w:val="none" w:sz="0" w:space="0" w:color="auto"/>
                        <w:left w:val="none" w:sz="0" w:space="0" w:color="auto"/>
                        <w:bottom w:val="none" w:sz="0" w:space="0" w:color="auto"/>
                        <w:right w:val="none" w:sz="0" w:space="0" w:color="auto"/>
                      </w:divBdr>
                    </w:div>
                  </w:divsChild>
                </w:div>
                <w:div w:id="751776952">
                  <w:marLeft w:val="0"/>
                  <w:marRight w:val="0"/>
                  <w:marTop w:val="0"/>
                  <w:marBottom w:val="0"/>
                  <w:divBdr>
                    <w:top w:val="none" w:sz="0" w:space="0" w:color="auto"/>
                    <w:left w:val="none" w:sz="0" w:space="0" w:color="auto"/>
                    <w:bottom w:val="none" w:sz="0" w:space="0" w:color="auto"/>
                    <w:right w:val="none" w:sz="0" w:space="0" w:color="auto"/>
                  </w:divBdr>
                  <w:divsChild>
                    <w:div w:id="887378877">
                      <w:marLeft w:val="0"/>
                      <w:marRight w:val="0"/>
                      <w:marTop w:val="0"/>
                      <w:marBottom w:val="0"/>
                      <w:divBdr>
                        <w:top w:val="none" w:sz="0" w:space="0" w:color="auto"/>
                        <w:left w:val="none" w:sz="0" w:space="0" w:color="auto"/>
                        <w:bottom w:val="none" w:sz="0" w:space="0" w:color="auto"/>
                        <w:right w:val="none" w:sz="0" w:space="0" w:color="auto"/>
                      </w:divBdr>
                    </w:div>
                  </w:divsChild>
                </w:div>
                <w:div w:id="777871074">
                  <w:marLeft w:val="0"/>
                  <w:marRight w:val="0"/>
                  <w:marTop w:val="0"/>
                  <w:marBottom w:val="0"/>
                  <w:divBdr>
                    <w:top w:val="none" w:sz="0" w:space="0" w:color="auto"/>
                    <w:left w:val="none" w:sz="0" w:space="0" w:color="auto"/>
                    <w:bottom w:val="none" w:sz="0" w:space="0" w:color="auto"/>
                    <w:right w:val="none" w:sz="0" w:space="0" w:color="auto"/>
                  </w:divBdr>
                  <w:divsChild>
                    <w:div w:id="1250768711">
                      <w:marLeft w:val="0"/>
                      <w:marRight w:val="0"/>
                      <w:marTop w:val="0"/>
                      <w:marBottom w:val="0"/>
                      <w:divBdr>
                        <w:top w:val="none" w:sz="0" w:space="0" w:color="auto"/>
                        <w:left w:val="none" w:sz="0" w:space="0" w:color="auto"/>
                        <w:bottom w:val="none" w:sz="0" w:space="0" w:color="auto"/>
                        <w:right w:val="none" w:sz="0" w:space="0" w:color="auto"/>
                      </w:divBdr>
                    </w:div>
                  </w:divsChild>
                </w:div>
                <w:div w:id="1062369171">
                  <w:marLeft w:val="0"/>
                  <w:marRight w:val="0"/>
                  <w:marTop w:val="0"/>
                  <w:marBottom w:val="0"/>
                  <w:divBdr>
                    <w:top w:val="none" w:sz="0" w:space="0" w:color="auto"/>
                    <w:left w:val="none" w:sz="0" w:space="0" w:color="auto"/>
                    <w:bottom w:val="none" w:sz="0" w:space="0" w:color="auto"/>
                    <w:right w:val="none" w:sz="0" w:space="0" w:color="auto"/>
                  </w:divBdr>
                  <w:divsChild>
                    <w:div w:id="354499800">
                      <w:marLeft w:val="0"/>
                      <w:marRight w:val="0"/>
                      <w:marTop w:val="0"/>
                      <w:marBottom w:val="0"/>
                      <w:divBdr>
                        <w:top w:val="none" w:sz="0" w:space="0" w:color="auto"/>
                        <w:left w:val="none" w:sz="0" w:space="0" w:color="auto"/>
                        <w:bottom w:val="none" w:sz="0" w:space="0" w:color="auto"/>
                        <w:right w:val="none" w:sz="0" w:space="0" w:color="auto"/>
                      </w:divBdr>
                    </w:div>
                  </w:divsChild>
                </w:div>
                <w:div w:id="1109618168">
                  <w:marLeft w:val="0"/>
                  <w:marRight w:val="0"/>
                  <w:marTop w:val="0"/>
                  <w:marBottom w:val="0"/>
                  <w:divBdr>
                    <w:top w:val="none" w:sz="0" w:space="0" w:color="auto"/>
                    <w:left w:val="none" w:sz="0" w:space="0" w:color="auto"/>
                    <w:bottom w:val="none" w:sz="0" w:space="0" w:color="auto"/>
                    <w:right w:val="none" w:sz="0" w:space="0" w:color="auto"/>
                  </w:divBdr>
                </w:div>
                <w:div w:id="1288046614">
                  <w:marLeft w:val="0"/>
                  <w:marRight w:val="0"/>
                  <w:marTop w:val="0"/>
                  <w:marBottom w:val="0"/>
                  <w:divBdr>
                    <w:top w:val="none" w:sz="0" w:space="0" w:color="auto"/>
                    <w:left w:val="none" w:sz="0" w:space="0" w:color="auto"/>
                    <w:bottom w:val="none" w:sz="0" w:space="0" w:color="auto"/>
                    <w:right w:val="none" w:sz="0" w:space="0" w:color="auto"/>
                  </w:divBdr>
                  <w:divsChild>
                    <w:div w:id="1833452360">
                      <w:marLeft w:val="0"/>
                      <w:marRight w:val="0"/>
                      <w:marTop w:val="0"/>
                      <w:marBottom w:val="0"/>
                      <w:divBdr>
                        <w:top w:val="none" w:sz="0" w:space="0" w:color="auto"/>
                        <w:left w:val="none" w:sz="0" w:space="0" w:color="auto"/>
                        <w:bottom w:val="none" w:sz="0" w:space="0" w:color="auto"/>
                        <w:right w:val="none" w:sz="0" w:space="0" w:color="auto"/>
                      </w:divBdr>
                    </w:div>
                  </w:divsChild>
                </w:div>
                <w:div w:id="1433284152">
                  <w:marLeft w:val="0"/>
                  <w:marRight w:val="0"/>
                  <w:marTop w:val="0"/>
                  <w:marBottom w:val="0"/>
                  <w:divBdr>
                    <w:top w:val="none" w:sz="0" w:space="0" w:color="auto"/>
                    <w:left w:val="none" w:sz="0" w:space="0" w:color="auto"/>
                    <w:bottom w:val="none" w:sz="0" w:space="0" w:color="auto"/>
                    <w:right w:val="none" w:sz="0" w:space="0" w:color="auto"/>
                  </w:divBdr>
                  <w:divsChild>
                    <w:div w:id="1324355354">
                      <w:marLeft w:val="0"/>
                      <w:marRight w:val="0"/>
                      <w:marTop w:val="0"/>
                      <w:marBottom w:val="0"/>
                      <w:divBdr>
                        <w:top w:val="none" w:sz="0" w:space="0" w:color="auto"/>
                        <w:left w:val="none" w:sz="0" w:space="0" w:color="auto"/>
                        <w:bottom w:val="none" w:sz="0" w:space="0" w:color="auto"/>
                        <w:right w:val="none" w:sz="0" w:space="0" w:color="auto"/>
                      </w:divBdr>
                    </w:div>
                  </w:divsChild>
                </w:div>
                <w:div w:id="1493062043">
                  <w:marLeft w:val="0"/>
                  <w:marRight w:val="0"/>
                  <w:marTop w:val="0"/>
                  <w:marBottom w:val="0"/>
                  <w:divBdr>
                    <w:top w:val="none" w:sz="0" w:space="0" w:color="auto"/>
                    <w:left w:val="none" w:sz="0" w:space="0" w:color="auto"/>
                    <w:bottom w:val="none" w:sz="0" w:space="0" w:color="auto"/>
                    <w:right w:val="none" w:sz="0" w:space="0" w:color="auto"/>
                  </w:divBdr>
                  <w:divsChild>
                    <w:div w:id="1576435646">
                      <w:marLeft w:val="0"/>
                      <w:marRight w:val="0"/>
                      <w:marTop w:val="0"/>
                      <w:marBottom w:val="0"/>
                      <w:divBdr>
                        <w:top w:val="none" w:sz="0" w:space="0" w:color="auto"/>
                        <w:left w:val="none" w:sz="0" w:space="0" w:color="auto"/>
                        <w:bottom w:val="none" w:sz="0" w:space="0" w:color="auto"/>
                        <w:right w:val="none" w:sz="0" w:space="0" w:color="auto"/>
                      </w:divBdr>
                    </w:div>
                  </w:divsChild>
                </w:div>
                <w:div w:id="1712729693">
                  <w:marLeft w:val="0"/>
                  <w:marRight w:val="0"/>
                  <w:marTop w:val="0"/>
                  <w:marBottom w:val="0"/>
                  <w:divBdr>
                    <w:top w:val="none" w:sz="0" w:space="0" w:color="auto"/>
                    <w:left w:val="none" w:sz="0" w:space="0" w:color="auto"/>
                    <w:bottom w:val="none" w:sz="0" w:space="0" w:color="auto"/>
                    <w:right w:val="none" w:sz="0" w:space="0" w:color="auto"/>
                  </w:divBdr>
                  <w:divsChild>
                    <w:div w:id="1408070233">
                      <w:marLeft w:val="0"/>
                      <w:marRight w:val="0"/>
                      <w:marTop w:val="0"/>
                      <w:marBottom w:val="0"/>
                      <w:divBdr>
                        <w:top w:val="none" w:sz="0" w:space="0" w:color="auto"/>
                        <w:left w:val="none" w:sz="0" w:space="0" w:color="auto"/>
                        <w:bottom w:val="none" w:sz="0" w:space="0" w:color="auto"/>
                        <w:right w:val="none" w:sz="0" w:space="0" w:color="auto"/>
                      </w:divBdr>
                    </w:div>
                  </w:divsChild>
                </w:div>
                <w:div w:id="1836189870">
                  <w:marLeft w:val="0"/>
                  <w:marRight w:val="0"/>
                  <w:marTop w:val="0"/>
                  <w:marBottom w:val="0"/>
                  <w:divBdr>
                    <w:top w:val="none" w:sz="0" w:space="0" w:color="auto"/>
                    <w:left w:val="none" w:sz="0" w:space="0" w:color="auto"/>
                    <w:bottom w:val="none" w:sz="0" w:space="0" w:color="auto"/>
                    <w:right w:val="none" w:sz="0" w:space="0" w:color="auto"/>
                  </w:divBdr>
                  <w:divsChild>
                    <w:div w:id="738988173">
                      <w:marLeft w:val="0"/>
                      <w:marRight w:val="0"/>
                      <w:marTop w:val="0"/>
                      <w:marBottom w:val="0"/>
                      <w:divBdr>
                        <w:top w:val="none" w:sz="0" w:space="0" w:color="auto"/>
                        <w:left w:val="none" w:sz="0" w:space="0" w:color="auto"/>
                        <w:bottom w:val="none" w:sz="0" w:space="0" w:color="auto"/>
                        <w:right w:val="none" w:sz="0" w:space="0" w:color="auto"/>
                      </w:divBdr>
                    </w:div>
                  </w:divsChild>
                </w:div>
                <w:div w:id="1844205706">
                  <w:marLeft w:val="0"/>
                  <w:marRight w:val="0"/>
                  <w:marTop w:val="0"/>
                  <w:marBottom w:val="0"/>
                  <w:divBdr>
                    <w:top w:val="none" w:sz="0" w:space="0" w:color="auto"/>
                    <w:left w:val="none" w:sz="0" w:space="0" w:color="auto"/>
                    <w:bottom w:val="none" w:sz="0" w:space="0" w:color="auto"/>
                    <w:right w:val="none" w:sz="0" w:space="0" w:color="auto"/>
                  </w:divBdr>
                  <w:divsChild>
                    <w:div w:id="722101101">
                      <w:marLeft w:val="0"/>
                      <w:marRight w:val="0"/>
                      <w:marTop w:val="0"/>
                      <w:marBottom w:val="0"/>
                      <w:divBdr>
                        <w:top w:val="none" w:sz="0" w:space="0" w:color="auto"/>
                        <w:left w:val="none" w:sz="0" w:space="0" w:color="auto"/>
                        <w:bottom w:val="none" w:sz="0" w:space="0" w:color="auto"/>
                        <w:right w:val="none" w:sz="0" w:space="0" w:color="auto"/>
                      </w:divBdr>
                    </w:div>
                  </w:divsChild>
                </w:div>
                <w:div w:id="1879390741">
                  <w:marLeft w:val="0"/>
                  <w:marRight w:val="0"/>
                  <w:marTop w:val="0"/>
                  <w:marBottom w:val="0"/>
                  <w:divBdr>
                    <w:top w:val="none" w:sz="0" w:space="0" w:color="auto"/>
                    <w:left w:val="none" w:sz="0" w:space="0" w:color="auto"/>
                    <w:bottom w:val="none" w:sz="0" w:space="0" w:color="auto"/>
                    <w:right w:val="none" w:sz="0" w:space="0" w:color="auto"/>
                  </w:divBdr>
                  <w:divsChild>
                    <w:div w:id="677001760">
                      <w:marLeft w:val="0"/>
                      <w:marRight w:val="0"/>
                      <w:marTop w:val="0"/>
                      <w:marBottom w:val="0"/>
                      <w:divBdr>
                        <w:top w:val="none" w:sz="0" w:space="0" w:color="auto"/>
                        <w:left w:val="none" w:sz="0" w:space="0" w:color="auto"/>
                        <w:bottom w:val="none" w:sz="0" w:space="0" w:color="auto"/>
                        <w:right w:val="none" w:sz="0" w:space="0" w:color="auto"/>
                      </w:divBdr>
                    </w:div>
                  </w:divsChild>
                </w:div>
                <w:div w:id="1898666931">
                  <w:marLeft w:val="0"/>
                  <w:marRight w:val="0"/>
                  <w:marTop w:val="0"/>
                  <w:marBottom w:val="0"/>
                  <w:divBdr>
                    <w:top w:val="none" w:sz="0" w:space="0" w:color="auto"/>
                    <w:left w:val="none" w:sz="0" w:space="0" w:color="auto"/>
                    <w:bottom w:val="none" w:sz="0" w:space="0" w:color="auto"/>
                    <w:right w:val="none" w:sz="0" w:space="0" w:color="auto"/>
                  </w:divBdr>
                  <w:divsChild>
                    <w:div w:id="315260002">
                      <w:marLeft w:val="0"/>
                      <w:marRight w:val="0"/>
                      <w:marTop w:val="0"/>
                      <w:marBottom w:val="0"/>
                      <w:divBdr>
                        <w:top w:val="none" w:sz="0" w:space="0" w:color="auto"/>
                        <w:left w:val="none" w:sz="0" w:space="0" w:color="auto"/>
                        <w:bottom w:val="none" w:sz="0" w:space="0" w:color="auto"/>
                        <w:right w:val="none" w:sz="0" w:space="0" w:color="auto"/>
                      </w:divBdr>
                    </w:div>
                    <w:div w:id="1562865145">
                      <w:marLeft w:val="0"/>
                      <w:marRight w:val="0"/>
                      <w:marTop w:val="0"/>
                      <w:marBottom w:val="0"/>
                      <w:divBdr>
                        <w:top w:val="none" w:sz="0" w:space="0" w:color="auto"/>
                        <w:left w:val="none" w:sz="0" w:space="0" w:color="auto"/>
                        <w:bottom w:val="none" w:sz="0" w:space="0" w:color="auto"/>
                        <w:right w:val="none" w:sz="0" w:space="0" w:color="auto"/>
                      </w:divBdr>
                    </w:div>
                  </w:divsChild>
                </w:div>
                <w:div w:id="2000767363">
                  <w:marLeft w:val="0"/>
                  <w:marRight w:val="0"/>
                  <w:marTop w:val="0"/>
                  <w:marBottom w:val="0"/>
                  <w:divBdr>
                    <w:top w:val="none" w:sz="0" w:space="0" w:color="auto"/>
                    <w:left w:val="none" w:sz="0" w:space="0" w:color="auto"/>
                    <w:bottom w:val="none" w:sz="0" w:space="0" w:color="auto"/>
                    <w:right w:val="none" w:sz="0" w:space="0" w:color="auto"/>
                  </w:divBdr>
                  <w:divsChild>
                    <w:div w:id="24769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947297">
          <w:marLeft w:val="0"/>
          <w:marRight w:val="0"/>
          <w:marTop w:val="0"/>
          <w:marBottom w:val="0"/>
          <w:divBdr>
            <w:top w:val="none" w:sz="0" w:space="0" w:color="auto"/>
            <w:left w:val="none" w:sz="0" w:space="0" w:color="auto"/>
            <w:bottom w:val="none" w:sz="0" w:space="0" w:color="auto"/>
            <w:right w:val="none" w:sz="0" w:space="0" w:color="auto"/>
          </w:divBdr>
        </w:div>
        <w:div w:id="984312323">
          <w:marLeft w:val="0"/>
          <w:marRight w:val="0"/>
          <w:marTop w:val="0"/>
          <w:marBottom w:val="0"/>
          <w:divBdr>
            <w:top w:val="none" w:sz="0" w:space="0" w:color="auto"/>
            <w:left w:val="none" w:sz="0" w:space="0" w:color="auto"/>
            <w:bottom w:val="none" w:sz="0" w:space="0" w:color="auto"/>
            <w:right w:val="none" w:sz="0" w:space="0" w:color="auto"/>
          </w:divBdr>
          <w:divsChild>
            <w:div w:id="228224232">
              <w:marLeft w:val="-75"/>
              <w:marRight w:val="0"/>
              <w:marTop w:val="30"/>
              <w:marBottom w:val="30"/>
              <w:divBdr>
                <w:top w:val="none" w:sz="0" w:space="0" w:color="auto"/>
                <w:left w:val="none" w:sz="0" w:space="0" w:color="auto"/>
                <w:bottom w:val="none" w:sz="0" w:space="0" w:color="auto"/>
                <w:right w:val="none" w:sz="0" w:space="0" w:color="auto"/>
              </w:divBdr>
              <w:divsChild>
                <w:div w:id="772747944">
                  <w:marLeft w:val="0"/>
                  <w:marRight w:val="0"/>
                  <w:marTop w:val="0"/>
                  <w:marBottom w:val="0"/>
                  <w:divBdr>
                    <w:top w:val="none" w:sz="0" w:space="0" w:color="auto"/>
                    <w:left w:val="none" w:sz="0" w:space="0" w:color="auto"/>
                    <w:bottom w:val="none" w:sz="0" w:space="0" w:color="auto"/>
                    <w:right w:val="none" w:sz="0" w:space="0" w:color="auto"/>
                  </w:divBdr>
                  <w:divsChild>
                    <w:div w:id="933249291">
                      <w:marLeft w:val="0"/>
                      <w:marRight w:val="0"/>
                      <w:marTop w:val="0"/>
                      <w:marBottom w:val="0"/>
                      <w:divBdr>
                        <w:top w:val="none" w:sz="0" w:space="0" w:color="auto"/>
                        <w:left w:val="none" w:sz="0" w:space="0" w:color="auto"/>
                        <w:bottom w:val="none" w:sz="0" w:space="0" w:color="auto"/>
                        <w:right w:val="none" w:sz="0" w:space="0" w:color="auto"/>
                      </w:divBdr>
                    </w:div>
                    <w:div w:id="1478302076">
                      <w:marLeft w:val="0"/>
                      <w:marRight w:val="0"/>
                      <w:marTop w:val="0"/>
                      <w:marBottom w:val="0"/>
                      <w:divBdr>
                        <w:top w:val="none" w:sz="0" w:space="0" w:color="auto"/>
                        <w:left w:val="none" w:sz="0" w:space="0" w:color="auto"/>
                        <w:bottom w:val="none" w:sz="0" w:space="0" w:color="auto"/>
                        <w:right w:val="none" w:sz="0" w:space="0" w:color="auto"/>
                      </w:divBdr>
                    </w:div>
                    <w:div w:id="1897668458">
                      <w:marLeft w:val="0"/>
                      <w:marRight w:val="0"/>
                      <w:marTop w:val="0"/>
                      <w:marBottom w:val="0"/>
                      <w:divBdr>
                        <w:top w:val="none" w:sz="0" w:space="0" w:color="auto"/>
                        <w:left w:val="none" w:sz="0" w:space="0" w:color="auto"/>
                        <w:bottom w:val="none" w:sz="0" w:space="0" w:color="auto"/>
                        <w:right w:val="none" w:sz="0" w:space="0" w:color="auto"/>
                      </w:divBdr>
                    </w:div>
                  </w:divsChild>
                </w:div>
                <w:div w:id="1139883789">
                  <w:marLeft w:val="0"/>
                  <w:marRight w:val="0"/>
                  <w:marTop w:val="0"/>
                  <w:marBottom w:val="0"/>
                  <w:divBdr>
                    <w:top w:val="none" w:sz="0" w:space="0" w:color="auto"/>
                    <w:left w:val="none" w:sz="0" w:space="0" w:color="auto"/>
                    <w:bottom w:val="none" w:sz="0" w:space="0" w:color="auto"/>
                    <w:right w:val="none" w:sz="0" w:space="0" w:color="auto"/>
                  </w:divBdr>
                  <w:divsChild>
                    <w:div w:id="18430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91521">
          <w:marLeft w:val="0"/>
          <w:marRight w:val="0"/>
          <w:marTop w:val="0"/>
          <w:marBottom w:val="0"/>
          <w:divBdr>
            <w:top w:val="none" w:sz="0" w:space="0" w:color="auto"/>
            <w:left w:val="none" w:sz="0" w:space="0" w:color="auto"/>
            <w:bottom w:val="none" w:sz="0" w:space="0" w:color="auto"/>
            <w:right w:val="none" w:sz="0" w:space="0" w:color="auto"/>
          </w:divBdr>
        </w:div>
        <w:div w:id="1131048208">
          <w:marLeft w:val="0"/>
          <w:marRight w:val="0"/>
          <w:marTop w:val="0"/>
          <w:marBottom w:val="0"/>
          <w:divBdr>
            <w:top w:val="none" w:sz="0" w:space="0" w:color="auto"/>
            <w:left w:val="none" w:sz="0" w:space="0" w:color="auto"/>
            <w:bottom w:val="none" w:sz="0" w:space="0" w:color="auto"/>
            <w:right w:val="none" w:sz="0" w:space="0" w:color="auto"/>
          </w:divBdr>
          <w:divsChild>
            <w:div w:id="2079130266">
              <w:marLeft w:val="-75"/>
              <w:marRight w:val="0"/>
              <w:marTop w:val="30"/>
              <w:marBottom w:val="30"/>
              <w:divBdr>
                <w:top w:val="none" w:sz="0" w:space="0" w:color="auto"/>
                <w:left w:val="none" w:sz="0" w:space="0" w:color="auto"/>
                <w:bottom w:val="none" w:sz="0" w:space="0" w:color="auto"/>
                <w:right w:val="none" w:sz="0" w:space="0" w:color="auto"/>
              </w:divBdr>
              <w:divsChild>
                <w:div w:id="792552382">
                  <w:marLeft w:val="0"/>
                  <w:marRight w:val="0"/>
                  <w:marTop w:val="0"/>
                  <w:marBottom w:val="0"/>
                  <w:divBdr>
                    <w:top w:val="none" w:sz="0" w:space="0" w:color="auto"/>
                    <w:left w:val="none" w:sz="0" w:space="0" w:color="auto"/>
                    <w:bottom w:val="none" w:sz="0" w:space="0" w:color="auto"/>
                    <w:right w:val="none" w:sz="0" w:space="0" w:color="auto"/>
                  </w:divBdr>
                  <w:divsChild>
                    <w:div w:id="1787692484">
                      <w:marLeft w:val="0"/>
                      <w:marRight w:val="0"/>
                      <w:marTop w:val="0"/>
                      <w:marBottom w:val="0"/>
                      <w:divBdr>
                        <w:top w:val="none" w:sz="0" w:space="0" w:color="auto"/>
                        <w:left w:val="none" w:sz="0" w:space="0" w:color="auto"/>
                        <w:bottom w:val="none" w:sz="0" w:space="0" w:color="auto"/>
                        <w:right w:val="none" w:sz="0" w:space="0" w:color="auto"/>
                      </w:divBdr>
                    </w:div>
                  </w:divsChild>
                </w:div>
                <w:div w:id="1482504035">
                  <w:marLeft w:val="0"/>
                  <w:marRight w:val="0"/>
                  <w:marTop w:val="0"/>
                  <w:marBottom w:val="0"/>
                  <w:divBdr>
                    <w:top w:val="none" w:sz="0" w:space="0" w:color="auto"/>
                    <w:left w:val="none" w:sz="0" w:space="0" w:color="auto"/>
                    <w:bottom w:val="none" w:sz="0" w:space="0" w:color="auto"/>
                    <w:right w:val="none" w:sz="0" w:space="0" w:color="auto"/>
                  </w:divBdr>
                  <w:divsChild>
                    <w:div w:id="1007095288">
                      <w:marLeft w:val="0"/>
                      <w:marRight w:val="0"/>
                      <w:marTop w:val="0"/>
                      <w:marBottom w:val="0"/>
                      <w:divBdr>
                        <w:top w:val="none" w:sz="0" w:space="0" w:color="auto"/>
                        <w:left w:val="none" w:sz="0" w:space="0" w:color="auto"/>
                        <w:bottom w:val="none" w:sz="0" w:space="0" w:color="auto"/>
                        <w:right w:val="none" w:sz="0" w:space="0" w:color="auto"/>
                      </w:divBdr>
                    </w:div>
                    <w:div w:id="16176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93669">
          <w:marLeft w:val="0"/>
          <w:marRight w:val="0"/>
          <w:marTop w:val="0"/>
          <w:marBottom w:val="0"/>
          <w:divBdr>
            <w:top w:val="none" w:sz="0" w:space="0" w:color="auto"/>
            <w:left w:val="none" w:sz="0" w:space="0" w:color="auto"/>
            <w:bottom w:val="none" w:sz="0" w:space="0" w:color="auto"/>
            <w:right w:val="none" w:sz="0" w:space="0" w:color="auto"/>
          </w:divBdr>
          <w:divsChild>
            <w:div w:id="838926788">
              <w:marLeft w:val="-75"/>
              <w:marRight w:val="0"/>
              <w:marTop w:val="30"/>
              <w:marBottom w:val="30"/>
              <w:divBdr>
                <w:top w:val="none" w:sz="0" w:space="0" w:color="auto"/>
                <w:left w:val="none" w:sz="0" w:space="0" w:color="auto"/>
                <w:bottom w:val="none" w:sz="0" w:space="0" w:color="auto"/>
                <w:right w:val="none" w:sz="0" w:space="0" w:color="auto"/>
              </w:divBdr>
              <w:divsChild>
                <w:div w:id="329599367">
                  <w:marLeft w:val="0"/>
                  <w:marRight w:val="0"/>
                  <w:marTop w:val="0"/>
                  <w:marBottom w:val="0"/>
                  <w:divBdr>
                    <w:top w:val="none" w:sz="0" w:space="0" w:color="auto"/>
                    <w:left w:val="none" w:sz="0" w:space="0" w:color="auto"/>
                    <w:bottom w:val="none" w:sz="0" w:space="0" w:color="auto"/>
                    <w:right w:val="none" w:sz="0" w:space="0" w:color="auto"/>
                  </w:divBdr>
                  <w:divsChild>
                    <w:div w:id="2062442159">
                      <w:marLeft w:val="0"/>
                      <w:marRight w:val="0"/>
                      <w:marTop w:val="0"/>
                      <w:marBottom w:val="0"/>
                      <w:divBdr>
                        <w:top w:val="none" w:sz="0" w:space="0" w:color="auto"/>
                        <w:left w:val="none" w:sz="0" w:space="0" w:color="auto"/>
                        <w:bottom w:val="none" w:sz="0" w:space="0" w:color="auto"/>
                        <w:right w:val="none" w:sz="0" w:space="0" w:color="auto"/>
                      </w:divBdr>
                    </w:div>
                  </w:divsChild>
                </w:div>
                <w:div w:id="1252086142">
                  <w:marLeft w:val="0"/>
                  <w:marRight w:val="0"/>
                  <w:marTop w:val="0"/>
                  <w:marBottom w:val="0"/>
                  <w:divBdr>
                    <w:top w:val="none" w:sz="0" w:space="0" w:color="auto"/>
                    <w:left w:val="none" w:sz="0" w:space="0" w:color="auto"/>
                    <w:bottom w:val="none" w:sz="0" w:space="0" w:color="auto"/>
                    <w:right w:val="none" w:sz="0" w:space="0" w:color="auto"/>
                  </w:divBdr>
                  <w:divsChild>
                    <w:div w:id="20216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059209">
          <w:marLeft w:val="0"/>
          <w:marRight w:val="0"/>
          <w:marTop w:val="0"/>
          <w:marBottom w:val="0"/>
          <w:divBdr>
            <w:top w:val="none" w:sz="0" w:space="0" w:color="auto"/>
            <w:left w:val="none" w:sz="0" w:space="0" w:color="auto"/>
            <w:bottom w:val="none" w:sz="0" w:space="0" w:color="auto"/>
            <w:right w:val="none" w:sz="0" w:space="0" w:color="auto"/>
          </w:divBdr>
          <w:divsChild>
            <w:div w:id="135151599">
              <w:marLeft w:val="0"/>
              <w:marRight w:val="0"/>
              <w:marTop w:val="0"/>
              <w:marBottom w:val="0"/>
              <w:divBdr>
                <w:top w:val="none" w:sz="0" w:space="0" w:color="auto"/>
                <w:left w:val="none" w:sz="0" w:space="0" w:color="auto"/>
                <w:bottom w:val="none" w:sz="0" w:space="0" w:color="auto"/>
                <w:right w:val="none" w:sz="0" w:space="0" w:color="auto"/>
              </w:divBdr>
            </w:div>
            <w:div w:id="241373446">
              <w:marLeft w:val="0"/>
              <w:marRight w:val="0"/>
              <w:marTop w:val="0"/>
              <w:marBottom w:val="0"/>
              <w:divBdr>
                <w:top w:val="none" w:sz="0" w:space="0" w:color="auto"/>
                <w:left w:val="none" w:sz="0" w:space="0" w:color="auto"/>
                <w:bottom w:val="none" w:sz="0" w:space="0" w:color="auto"/>
                <w:right w:val="none" w:sz="0" w:space="0" w:color="auto"/>
              </w:divBdr>
            </w:div>
            <w:div w:id="672805932">
              <w:marLeft w:val="0"/>
              <w:marRight w:val="0"/>
              <w:marTop w:val="0"/>
              <w:marBottom w:val="0"/>
              <w:divBdr>
                <w:top w:val="none" w:sz="0" w:space="0" w:color="auto"/>
                <w:left w:val="none" w:sz="0" w:space="0" w:color="auto"/>
                <w:bottom w:val="none" w:sz="0" w:space="0" w:color="auto"/>
                <w:right w:val="none" w:sz="0" w:space="0" w:color="auto"/>
              </w:divBdr>
            </w:div>
            <w:div w:id="1683119468">
              <w:marLeft w:val="0"/>
              <w:marRight w:val="0"/>
              <w:marTop w:val="0"/>
              <w:marBottom w:val="0"/>
              <w:divBdr>
                <w:top w:val="none" w:sz="0" w:space="0" w:color="auto"/>
                <w:left w:val="none" w:sz="0" w:space="0" w:color="auto"/>
                <w:bottom w:val="none" w:sz="0" w:space="0" w:color="auto"/>
                <w:right w:val="none" w:sz="0" w:space="0" w:color="auto"/>
              </w:divBdr>
            </w:div>
            <w:div w:id="1748259643">
              <w:marLeft w:val="0"/>
              <w:marRight w:val="0"/>
              <w:marTop w:val="0"/>
              <w:marBottom w:val="0"/>
              <w:divBdr>
                <w:top w:val="none" w:sz="0" w:space="0" w:color="auto"/>
                <w:left w:val="none" w:sz="0" w:space="0" w:color="auto"/>
                <w:bottom w:val="none" w:sz="0" w:space="0" w:color="auto"/>
                <w:right w:val="none" w:sz="0" w:space="0" w:color="auto"/>
              </w:divBdr>
            </w:div>
          </w:divsChild>
        </w:div>
        <w:div w:id="1541362078">
          <w:marLeft w:val="0"/>
          <w:marRight w:val="0"/>
          <w:marTop w:val="0"/>
          <w:marBottom w:val="0"/>
          <w:divBdr>
            <w:top w:val="none" w:sz="0" w:space="0" w:color="auto"/>
            <w:left w:val="none" w:sz="0" w:space="0" w:color="auto"/>
            <w:bottom w:val="none" w:sz="0" w:space="0" w:color="auto"/>
            <w:right w:val="none" w:sz="0" w:space="0" w:color="auto"/>
          </w:divBdr>
        </w:div>
        <w:div w:id="1677150218">
          <w:marLeft w:val="0"/>
          <w:marRight w:val="0"/>
          <w:marTop w:val="0"/>
          <w:marBottom w:val="0"/>
          <w:divBdr>
            <w:top w:val="none" w:sz="0" w:space="0" w:color="auto"/>
            <w:left w:val="none" w:sz="0" w:space="0" w:color="auto"/>
            <w:bottom w:val="none" w:sz="0" w:space="0" w:color="auto"/>
            <w:right w:val="none" w:sz="0" w:space="0" w:color="auto"/>
          </w:divBdr>
          <w:divsChild>
            <w:div w:id="1960837973">
              <w:marLeft w:val="-75"/>
              <w:marRight w:val="0"/>
              <w:marTop w:val="30"/>
              <w:marBottom w:val="30"/>
              <w:divBdr>
                <w:top w:val="none" w:sz="0" w:space="0" w:color="auto"/>
                <w:left w:val="none" w:sz="0" w:space="0" w:color="auto"/>
                <w:bottom w:val="none" w:sz="0" w:space="0" w:color="auto"/>
                <w:right w:val="none" w:sz="0" w:space="0" w:color="auto"/>
              </w:divBdr>
              <w:divsChild>
                <w:div w:id="95643040">
                  <w:marLeft w:val="0"/>
                  <w:marRight w:val="0"/>
                  <w:marTop w:val="0"/>
                  <w:marBottom w:val="0"/>
                  <w:divBdr>
                    <w:top w:val="none" w:sz="0" w:space="0" w:color="auto"/>
                    <w:left w:val="none" w:sz="0" w:space="0" w:color="auto"/>
                    <w:bottom w:val="none" w:sz="0" w:space="0" w:color="auto"/>
                    <w:right w:val="none" w:sz="0" w:space="0" w:color="auto"/>
                  </w:divBdr>
                  <w:divsChild>
                    <w:div w:id="1789277084">
                      <w:marLeft w:val="0"/>
                      <w:marRight w:val="0"/>
                      <w:marTop w:val="0"/>
                      <w:marBottom w:val="0"/>
                      <w:divBdr>
                        <w:top w:val="none" w:sz="0" w:space="0" w:color="auto"/>
                        <w:left w:val="none" w:sz="0" w:space="0" w:color="auto"/>
                        <w:bottom w:val="none" w:sz="0" w:space="0" w:color="auto"/>
                        <w:right w:val="none" w:sz="0" w:space="0" w:color="auto"/>
                      </w:divBdr>
                    </w:div>
                  </w:divsChild>
                </w:div>
                <w:div w:id="265970661">
                  <w:marLeft w:val="0"/>
                  <w:marRight w:val="0"/>
                  <w:marTop w:val="0"/>
                  <w:marBottom w:val="0"/>
                  <w:divBdr>
                    <w:top w:val="none" w:sz="0" w:space="0" w:color="auto"/>
                    <w:left w:val="none" w:sz="0" w:space="0" w:color="auto"/>
                    <w:bottom w:val="none" w:sz="0" w:space="0" w:color="auto"/>
                    <w:right w:val="none" w:sz="0" w:space="0" w:color="auto"/>
                  </w:divBdr>
                  <w:divsChild>
                    <w:div w:id="464929730">
                      <w:marLeft w:val="0"/>
                      <w:marRight w:val="0"/>
                      <w:marTop w:val="0"/>
                      <w:marBottom w:val="0"/>
                      <w:divBdr>
                        <w:top w:val="none" w:sz="0" w:space="0" w:color="auto"/>
                        <w:left w:val="none" w:sz="0" w:space="0" w:color="auto"/>
                        <w:bottom w:val="none" w:sz="0" w:space="0" w:color="auto"/>
                        <w:right w:val="none" w:sz="0" w:space="0" w:color="auto"/>
                      </w:divBdr>
                    </w:div>
                  </w:divsChild>
                </w:div>
                <w:div w:id="292909047">
                  <w:marLeft w:val="0"/>
                  <w:marRight w:val="0"/>
                  <w:marTop w:val="0"/>
                  <w:marBottom w:val="0"/>
                  <w:divBdr>
                    <w:top w:val="none" w:sz="0" w:space="0" w:color="auto"/>
                    <w:left w:val="none" w:sz="0" w:space="0" w:color="auto"/>
                    <w:bottom w:val="none" w:sz="0" w:space="0" w:color="auto"/>
                    <w:right w:val="none" w:sz="0" w:space="0" w:color="auto"/>
                  </w:divBdr>
                  <w:divsChild>
                    <w:div w:id="32967217">
                      <w:marLeft w:val="0"/>
                      <w:marRight w:val="0"/>
                      <w:marTop w:val="0"/>
                      <w:marBottom w:val="0"/>
                      <w:divBdr>
                        <w:top w:val="none" w:sz="0" w:space="0" w:color="auto"/>
                        <w:left w:val="none" w:sz="0" w:space="0" w:color="auto"/>
                        <w:bottom w:val="none" w:sz="0" w:space="0" w:color="auto"/>
                        <w:right w:val="none" w:sz="0" w:space="0" w:color="auto"/>
                      </w:divBdr>
                    </w:div>
                  </w:divsChild>
                </w:div>
                <w:div w:id="366369546">
                  <w:marLeft w:val="0"/>
                  <w:marRight w:val="0"/>
                  <w:marTop w:val="0"/>
                  <w:marBottom w:val="0"/>
                  <w:divBdr>
                    <w:top w:val="none" w:sz="0" w:space="0" w:color="auto"/>
                    <w:left w:val="none" w:sz="0" w:space="0" w:color="auto"/>
                    <w:bottom w:val="none" w:sz="0" w:space="0" w:color="auto"/>
                    <w:right w:val="none" w:sz="0" w:space="0" w:color="auto"/>
                  </w:divBdr>
                </w:div>
                <w:div w:id="378674691">
                  <w:marLeft w:val="0"/>
                  <w:marRight w:val="0"/>
                  <w:marTop w:val="0"/>
                  <w:marBottom w:val="0"/>
                  <w:divBdr>
                    <w:top w:val="none" w:sz="0" w:space="0" w:color="auto"/>
                    <w:left w:val="none" w:sz="0" w:space="0" w:color="auto"/>
                    <w:bottom w:val="none" w:sz="0" w:space="0" w:color="auto"/>
                    <w:right w:val="none" w:sz="0" w:space="0" w:color="auto"/>
                  </w:divBdr>
                  <w:divsChild>
                    <w:div w:id="259528746">
                      <w:marLeft w:val="0"/>
                      <w:marRight w:val="0"/>
                      <w:marTop w:val="0"/>
                      <w:marBottom w:val="0"/>
                      <w:divBdr>
                        <w:top w:val="none" w:sz="0" w:space="0" w:color="auto"/>
                        <w:left w:val="none" w:sz="0" w:space="0" w:color="auto"/>
                        <w:bottom w:val="none" w:sz="0" w:space="0" w:color="auto"/>
                        <w:right w:val="none" w:sz="0" w:space="0" w:color="auto"/>
                      </w:divBdr>
                    </w:div>
                  </w:divsChild>
                </w:div>
                <w:div w:id="449712500">
                  <w:marLeft w:val="0"/>
                  <w:marRight w:val="0"/>
                  <w:marTop w:val="0"/>
                  <w:marBottom w:val="0"/>
                  <w:divBdr>
                    <w:top w:val="none" w:sz="0" w:space="0" w:color="auto"/>
                    <w:left w:val="none" w:sz="0" w:space="0" w:color="auto"/>
                    <w:bottom w:val="none" w:sz="0" w:space="0" w:color="auto"/>
                    <w:right w:val="none" w:sz="0" w:space="0" w:color="auto"/>
                  </w:divBdr>
                  <w:divsChild>
                    <w:div w:id="706680240">
                      <w:marLeft w:val="0"/>
                      <w:marRight w:val="0"/>
                      <w:marTop w:val="0"/>
                      <w:marBottom w:val="0"/>
                      <w:divBdr>
                        <w:top w:val="none" w:sz="0" w:space="0" w:color="auto"/>
                        <w:left w:val="none" w:sz="0" w:space="0" w:color="auto"/>
                        <w:bottom w:val="none" w:sz="0" w:space="0" w:color="auto"/>
                        <w:right w:val="none" w:sz="0" w:space="0" w:color="auto"/>
                      </w:divBdr>
                    </w:div>
                  </w:divsChild>
                </w:div>
                <w:div w:id="549264278">
                  <w:marLeft w:val="0"/>
                  <w:marRight w:val="0"/>
                  <w:marTop w:val="0"/>
                  <w:marBottom w:val="0"/>
                  <w:divBdr>
                    <w:top w:val="none" w:sz="0" w:space="0" w:color="auto"/>
                    <w:left w:val="none" w:sz="0" w:space="0" w:color="auto"/>
                    <w:bottom w:val="none" w:sz="0" w:space="0" w:color="auto"/>
                    <w:right w:val="none" w:sz="0" w:space="0" w:color="auto"/>
                  </w:divBdr>
                  <w:divsChild>
                    <w:div w:id="1670019148">
                      <w:marLeft w:val="0"/>
                      <w:marRight w:val="0"/>
                      <w:marTop w:val="0"/>
                      <w:marBottom w:val="0"/>
                      <w:divBdr>
                        <w:top w:val="none" w:sz="0" w:space="0" w:color="auto"/>
                        <w:left w:val="none" w:sz="0" w:space="0" w:color="auto"/>
                        <w:bottom w:val="none" w:sz="0" w:space="0" w:color="auto"/>
                        <w:right w:val="none" w:sz="0" w:space="0" w:color="auto"/>
                      </w:divBdr>
                    </w:div>
                  </w:divsChild>
                </w:div>
                <w:div w:id="615258143">
                  <w:marLeft w:val="0"/>
                  <w:marRight w:val="0"/>
                  <w:marTop w:val="0"/>
                  <w:marBottom w:val="0"/>
                  <w:divBdr>
                    <w:top w:val="none" w:sz="0" w:space="0" w:color="auto"/>
                    <w:left w:val="none" w:sz="0" w:space="0" w:color="auto"/>
                    <w:bottom w:val="none" w:sz="0" w:space="0" w:color="auto"/>
                    <w:right w:val="none" w:sz="0" w:space="0" w:color="auto"/>
                  </w:divBdr>
                  <w:divsChild>
                    <w:div w:id="373967781">
                      <w:marLeft w:val="0"/>
                      <w:marRight w:val="0"/>
                      <w:marTop w:val="0"/>
                      <w:marBottom w:val="0"/>
                      <w:divBdr>
                        <w:top w:val="none" w:sz="0" w:space="0" w:color="auto"/>
                        <w:left w:val="none" w:sz="0" w:space="0" w:color="auto"/>
                        <w:bottom w:val="none" w:sz="0" w:space="0" w:color="auto"/>
                        <w:right w:val="none" w:sz="0" w:space="0" w:color="auto"/>
                      </w:divBdr>
                    </w:div>
                  </w:divsChild>
                </w:div>
                <w:div w:id="628317576">
                  <w:marLeft w:val="0"/>
                  <w:marRight w:val="0"/>
                  <w:marTop w:val="0"/>
                  <w:marBottom w:val="0"/>
                  <w:divBdr>
                    <w:top w:val="none" w:sz="0" w:space="0" w:color="auto"/>
                    <w:left w:val="none" w:sz="0" w:space="0" w:color="auto"/>
                    <w:bottom w:val="none" w:sz="0" w:space="0" w:color="auto"/>
                    <w:right w:val="none" w:sz="0" w:space="0" w:color="auto"/>
                  </w:divBdr>
                  <w:divsChild>
                    <w:div w:id="325397221">
                      <w:marLeft w:val="0"/>
                      <w:marRight w:val="0"/>
                      <w:marTop w:val="0"/>
                      <w:marBottom w:val="0"/>
                      <w:divBdr>
                        <w:top w:val="none" w:sz="0" w:space="0" w:color="auto"/>
                        <w:left w:val="none" w:sz="0" w:space="0" w:color="auto"/>
                        <w:bottom w:val="none" w:sz="0" w:space="0" w:color="auto"/>
                        <w:right w:val="none" w:sz="0" w:space="0" w:color="auto"/>
                      </w:divBdr>
                    </w:div>
                  </w:divsChild>
                </w:div>
                <w:div w:id="714163806">
                  <w:marLeft w:val="0"/>
                  <w:marRight w:val="0"/>
                  <w:marTop w:val="0"/>
                  <w:marBottom w:val="0"/>
                  <w:divBdr>
                    <w:top w:val="none" w:sz="0" w:space="0" w:color="auto"/>
                    <w:left w:val="none" w:sz="0" w:space="0" w:color="auto"/>
                    <w:bottom w:val="none" w:sz="0" w:space="0" w:color="auto"/>
                    <w:right w:val="none" w:sz="0" w:space="0" w:color="auto"/>
                  </w:divBdr>
                  <w:divsChild>
                    <w:div w:id="1943949112">
                      <w:marLeft w:val="0"/>
                      <w:marRight w:val="0"/>
                      <w:marTop w:val="0"/>
                      <w:marBottom w:val="0"/>
                      <w:divBdr>
                        <w:top w:val="none" w:sz="0" w:space="0" w:color="auto"/>
                        <w:left w:val="none" w:sz="0" w:space="0" w:color="auto"/>
                        <w:bottom w:val="none" w:sz="0" w:space="0" w:color="auto"/>
                        <w:right w:val="none" w:sz="0" w:space="0" w:color="auto"/>
                      </w:divBdr>
                    </w:div>
                  </w:divsChild>
                </w:div>
                <w:div w:id="735397239">
                  <w:marLeft w:val="0"/>
                  <w:marRight w:val="0"/>
                  <w:marTop w:val="0"/>
                  <w:marBottom w:val="0"/>
                  <w:divBdr>
                    <w:top w:val="none" w:sz="0" w:space="0" w:color="auto"/>
                    <w:left w:val="none" w:sz="0" w:space="0" w:color="auto"/>
                    <w:bottom w:val="none" w:sz="0" w:space="0" w:color="auto"/>
                    <w:right w:val="none" w:sz="0" w:space="0" w:color="auto"/>
                  </w:divBdr>
                  <w:divsChild>
                    <w:div w:id="297881146">
                      <w:marLeft w:val="0"/>
                      <w:marRight w:val="0"/>
                      <w:marTop w:val="0"/>
                      <w:marBottom w:val="0"/>
                      <w:divBdr>
                        <w:top w:val="none" w:sz="0" w:space="0" w:color="auto"/>
                        <w:left w:val="none" w:sz="0" w:space="0" w:color="auto"/>
                        <w:bottom w:val="none" w:sz="0" w:space="0" w:color="auto"/>
                        <w:right w:val="none" w:sz="0" w:space="0" w:color="auto"/>
                      </w:divBdr>
                    </w:div>
                  </w:divsChild>
                </w:div>
                <w:div w:id="805975472">
                  <w:marLeft w:val="0"/>
                  <w:marRight w:val="0"/>
                  <w:marTop w:val="0"/>
                  <w:marBottom w:val="0"/>
                  <w:divBdr>
                    <w:top w:val="none" w:sz="0" w:space="0" w:color="auto"/>
                    <w:left w:val="none" w:sz="0" w:space="0" w:color="auto"/>
                    <w:bottom w:val="none" w:sz="0" w:space="0" w:color="auto"/>
                    <w:right w:val="none" w:sz="0" w:space="0" w:color="auto"/>
                  </w:divBdr>
                  <w:divsChild>
                    <w:div w:id="1409233127">
                      <w:marLeft w:val="0"/>
                      <w:marRight w:val="0"/>
                      <w:marTop w:val="0"/>
                      <w:marBottom w:val="0"/>
                      <w:divBdr>
                        <w:top w:val="none" w:sz="0" w:space="0" w:color="auto"/>
                        <w:left w:val="none" w:sz="0" w:space="0" w:color="auto"/>
                        <w:bottom w:val="none" w:sz="0" w:space="0" w:color="auto"/>
                        <w:right w:val="none" w:sz="0" w:space="0" w:color="auto"/>
                      </w:divBdr>
                    </w:div>
                  </w:divsChild>
                </w:div>
                <w:div w:id="866601155">
                  <w:marLeft w:val="0"/>
                  <w:marRight w:val="0"/>
                  <w:marTop w:val="0"/>
                  <w:marBottom w:val="0"/>
                  <w:divBdr>
                    <w:top w:val="none" w:sz="0" w:space="0" w:color="auto"/>
                    <w:left w:val="none" w:sz="0" w:space="0" w:color="auto"/>
                    <w:bottom w:val="none" w:sz="0" w:space="0" w:color="auto"/>
                    <w:right w:val="none" w:sz="0" w:space="0" w:color="auto"/>
                  </w:divBdr>
                  <w:divsChild>
                    <w:div w:id="1248729558">
                      <w:marLeft w:val="0"/>
                      <w:marRight w:val="0"/>
                      <w:marTop w:val="0"/>
                      <w:marBottom w:val="0"/>
                      <w:divBdr>
                        <w:top w:val="none" w:sz="0" w:space="0" w:color="auto"/>
                        <w:left w:val="none" w:sz="0" w:space="0" w:color="auto"/>
                        <w:bottom w:val="none" w:sz="0" w:space="0" w:color="auto"/>
                        <w:right w:val="none" w:sz="0" w:space="0" w:color="auto"/>
                      </w:divBdr>
                    </w:div>
                  </w:divsChild>
                </w:div>
                <w:div w:id="903830601">
                  <w:marLeft w:val="0"/>
                  <w:marRight w:val="0"/>
                  <w:marTop w:val="0"/>
                  <w:marBottom w:val="0"/>
                  <w:divBdr>
                    <w:top w:val="none" w:sz="0" w:space="0" w:color="auto"/>
                    <w:left w:val="none" w:sz="0" w:space="0" w:color="auto"/>
                    <w:bottom w:val="none" w:sz="0" w:space="0" w:color="auto"/>
                    <w:right w:val="none" w:sz="0" w:space="0" w:color="auto"/>
                  </w:divBdr>
                  <w:divsChild>
                    <w:div w:id="1509901528">
                      <w:marLeft w:val="0"/>
                      <w:marRight w:val="0"/>
                      <w:marTop w:val="0"/>
                      <w:marBottom w:val="0"/>
                      <w:divBdr>
                        <w:top w:val="none" w:sz="0" w:space="0" w:color="auto"/>
                        <w:left w:val="none" w:sz="0" w:space="0" w:color="auto"/>
                        <w:bottom w:val="none" w:sz="0" w:space="0" w:color="auto"/>
                        <w:right w:val="none" w:sz="0" w:space="0" w:color="auto"/>
                      </w:divBdr>
                    </w:div>
                  </w:divsChild>
                </w:div>
                <w:div w:id="997808632">
                  <w:marLeft w:val="0"/>
                  <w:marRight w:val="0"/>
                  <w:marTop w:val="0"/>
                  <w:marBottom w:val="0"/>
                  <w:divBdr>
                    <w:top w:val="none" w:sz="0" w:space="0" w:color="auto"/>
                    <w:left w:val="none" w:sz="0" w:space="0" w:color="auto"/>
                    <w:bottom w:val="none" w:sz="0" w:space="0" w:color="auto"/>
                    <w:right w:val="none" w:sz="0" w:space="0" w:color="auto"/>
                  </w:divBdr>
                  <w:divsChild>
                    <w:div w:id="64954915">
                      <w:marLeft w:val="0"/>
                      <w:marRight w:val="0"/>
                      <w:marTop w:val="0"/>
                      <w:marBottom w:val="0"/>
                      <w:divBdr>
                        <w:top w:val="none" w:sz="0" w:space="0" w:color="auto"/>
                        <w:left w:val="none" w:sz="0" w:space="0" w:color="auto"/>
                        <w:bottom w:val="none" w:sz="0" w:space="0" w:color="auto"/>
                        <w:right w:val="none" w:sz="0" w:space="0" w:color="auto"/>
                      </w:divBdr>
                    </w:div>
                  </w:divsChild>
                </w:div>
                <w:div w:id="1351688114">
                  <w:marLeft w:val="0"/>
                  <w:marRight w:val="0"/>
                  <w:marTop w:val="0"/>
                  <w:marBottom w:val="0"/>
                  <w:divBdr>
                    <w:top w:val="none" w:sz="0" w:space="0" w:color="auto"/>
                    <w:left w:val="none" w:sz="0" w:space="0" w:color="auto"/>
                    <w:bottom w:val="none" w:sz="0" w:space="0" w:color="auto"/>
                    <w:right w:val="none" w:sz="0" w:space="0" w:color="auto"/>
                  </w:divBdr>
                  <w:divsChild>
                    <w:div w:id="353464280">
                      <w:marLeft w:val="0"/>
                      <w:marRight w:val="0"/>
                      <w:marTop w:val="0"/>
                      <w:marBottom w:val="0"/>
                      <w:divBdr>
                        <w:top w:val="none" w:sz="0" w:space="0" w:color="auto"/>
                        <w:left w:val="none" w:sz="0" w:space="0" w:color="auto"/>
                        <w:bottom w:val="none" w:sz="0" w:space="0" w:color="auto"/>
                        <w:right w:val="none" w:sz="0" w:space="0" w:color="auto"/>
                      </w:divBdr>
                    </w:div>
                  </w:divsChild>
                </w:div>
                <w:div w:id="1490901469">
                  <w:marLeft w:val="0"/>
                  <w:marRight w:val="0"/>
                  <w:marTop w:val="0"/>
                  <w:marBottom w:val="0"/>
                  <w:divBdr>
                    <w:top w:val="none" w:sz="0" w:space="0" w:color="auto"/>
                    <w:left w:val="none" w:sz="0" w:space="0" w:color="auto"/>
                    <w:bottom w:val="none" w:sz="0" w:space="0" w:color="auto"/>
                    <w:right w:val="none" w:sz="0" w:space="0" w:color="auto"/>
                  </w:divBdr>
                  <w:divsChild>
                    <w:div w:id="268465252">
                      <w:marLeft w:val="0"/>
                      <w:marRight w:val="0"/>
                      <w:marTop w:val="0"/>
                      <w:marBottom w:val="0"/>
                      <w:divBdr>
                        <w:top w:val="none" w:sz="0" w:space="0" w:color="auto"/>
                        <w:left w:val="none" w:sz="0" w:space="0" w:color="auto"/>
                        <w:bottom w:val="none" w:sz="0" w:space="0" w:color="auto"/>
                        <w:right w:val="none" w:sz="0" w:space="0" w:color="auto"/>
                      </w:divBdr>
                    </w:div>
                  </w:divsChild>
                </w:div>
                <w:div w:id="1491749492">
                  <w:marLeft w:val="0"/>
                  <w:marRight w:val="0"/>
                  <w:marTop w:val="0"/>
                  <w:marBottom w:val="0"/>
                  <w:divBdr>
                    <w:top w:val="none" w:sz="0" w:space="0" w:color="auto"/>
                    <w:left w:val="none" w:sz="0" w:space="0" w:color="auto"/>
                    <w:bottom w:val="none" w:sz="0" w:space="0" w:color="auto"/>
                    <w:right w:val="none" w:sz="0" w:space="0" w:color="auto"/>
                  </w:divBdr>
                  <w:divsChild>
                    <w:div w:id="1030643748">
                      <w:marLeft w:val="0"/>
                      <w:marRight w:val="0"/>
                      <w:marTop w:val="0"/>
                      <w:marBottom w:val="0"/>
                      <w:divBdr>
                        <w:top w:val="none" w:sz="0" w:space="0" w:color="auto"/>
                        <w:left w:val="none" w:sz="0" w:space="0" w:color="auto"/>
                        <w:bottom w:val="none" w:sz="0" w:space="0" w:color="auto"/>
                        <w:right w:val="none" w:sz="0" w:space="0" w:color="auto"/>
                      </w:divBdr>
                    </w:div>
                  </w:divsChild>
                </w:div>
                <w:div w:id="1508062226">
                  <w:marLeft w:val="0"/>
                  <w:marRight w:val="0"/>
                  <w:marTop w:val="0"/>
                  <w:marBottom w:val="0"/>
                  <w:divBdr>
                    <w:top w:val="none" w:sz="0" w:space="0" w:color="auto"/>
                    <w:left w:val="none" w:sz="0" w:space="0" w:color="auto"/>
                    <w:bottom w:val="none" w:sz="0" w:space="0" w:color="auto"/>
                    <w:right w:val="none" w:sz="0" w:space="0" w:color="auto"/>
                  </w:divBdr>
                  <w:divsChild>
                    <w:div w:id="1796828223">
                      <w:marLeft w:val="0"/>
                      <w:marRight w:val="0"/>
                      <w:marTop w:val="0"/>
                      <w:marBottom w:val="0"/>
                      <w:divBdr>
                        <w:top w:val="none" w:sz="0" w:space="0" w:color="auto"/>
                        <w:left w:val="none" w:sz="0" w:space="0" w:color="auto"/>
                        <w:bottom w:val="none" w:sz="0" w:space="0" w:color="auto"/>
                        <w:right w:val="none" w:sz="0" w:space="0" w:color="auto"/>
                      </w:divBdr>
                    </w:div>
                  </w:divsChild>
                </w:div>
                <w:div w:id="1589735278">
                  <w:marLeft w:val="0"/>
                  <w:marRight w:val="0"/>
                  <w:marTop w:val="0"/>
                  <w:marBottom w:val="0"/>
                  <w:divBdr>
                    <w:top w:val="none" w:sz="0" w:space="0" w:color="auto"/>
                    <w:left w:val="none" w:sz="0" w:space="0" w:color="auto"/>
                    <w:bottom w:val="none" w:sz="0" w:space="0" w:color="auto"/>
                    <w:right w:val="none" w:sz="0" w:space="0" w:color="auto"/>
                  </w:divBdr>
                  <w:divsChild>
                    <w:div w:id="2073581620">
                      <w:marLeft w:val="0"/>
                      <w:marRight w:val="0"/>
                      <w:marTop w:val="0"/>
                      <w:marBottom w:val="0"/>
                      <w:divBdr>
                        <w:top w:val="none" w:sz="0" w:space="0" w:color="auto"/>
                        <w:left w:val="none" w:sz="0" w:space="0" w:color="auto"/>
                        <w:bottom w:val="none" w:sz="0" w:space="0" w:color="auto"/>
                        <w:right w:val="none" w:sz="0" w:space="0" w:color="auto"/>
                      </w:divBdr>
                    </w:div>
                  </w:divsChild>
                </w:div>
                <w:div w:id="1795558947">
                  <w:marLeft w:val="0"/>
                  <w:marRight w:val="0"/>
                  <w:marTop w:val="0"/>
                  <w:marBottom w:val="0"/>
                  <w:divBdr>
                    <w:top w:val="none" w:sz="0" w:space="0" w:color="auto"/>
                    <w:left w:val="none" w:sz="0" w:space="0" w:color="auto"/>
                    <w:bottom w:val="none" w:sz="0" w:space="0" w:color="auto"/>
                    <w:right w:val="none" w:sz="0" w:space="0" w:color="auto"/>
                  </w:divBdr>
                  <w:divsChild>
                    <w:div w:id="562570205">
                      <w:marLeft w:val="0"/>
                      <w:marRight w:val="0"/>
                      <w:marTop w:val="0"/>
                      <w:marBottom w:val="0"/>
                      <w:divBdr>
                        <w:top w:val="none" w:sz="0" w:space="0" w:color="auto"/>
                        <w:left w:val="none" w:sz="0" w:space="0" w:color="auto"/>
                        <w:bottom w:val="none" w:sz="0" w:space="0" w:color="auto"/>
                        <w:right w:val="none" w:sz="0" w:space="0" w:color="auto"/>
                      </w:divBdr>
                    </w:div>
                  </w:divsChild>
                </w:div>
                <w:div w:id="1859000740">
                  <w:marLeft w:val="0"/>
                  <w:marRight w:val="0"/>
                  <w:marTop w:val="0"/>
                  <w:marBottom w:val="0"/>
                  <w:divBdr>
                    <w:top w:val="none" w:sz="0" w:space="0" w:color="auto"/>
                    <w:left w:val="none" w:sz="0" w:space="0" w:color="auto"/>
                    <w:bottom w:val="none" w:sz="0" w:space="0" w:color="auto"/>
                    <w:right w:val="none" w:sz="0" w:space="0" w:color="auto"/>
                  </w:divBdr>
                  <w:divsChild>
                    <w:div w:id="1472165976">
                      <w:marLeft w:val="0"/>
                      <w:marRight w:val="0"/>
                      <w:marTop w:val="0"/>
                      <w:marBottom w:val="0"/>
                      <w:divBdr>
                        <w:top w:val="none" w:sz="0" w:space="0" w:color="auto"/>
                        <w:left w:val="none" w:sz="0" w:space="0" w:color="auto"/>
                        <w:bottom w:val="none" w:sz="0" w:space="0" w:color="auto"/>
                        <w:right w:val="none" w:sz="0" w:space="0" w:color="auto"/>
                      </w:divBdr>
                    </w:div>
                  </w:divsChild>
                </w:div>
                <w:div w:id="1943687748">
                  <w:marLeft w:val="0"/>
                  <w:marRight w:val="0"/>
                  <w:marTop w:val="0"/>
                  <w:marBottom w:val="0"/>
                  <w:divBdr>
                    <w:top w:val="none" w:sz="0" w:space="0" w:color="auto"/>
                    <w:left w:val="none" w:sz="0" w:space="0" w:color="auto"/>
                    <w:bottom w:val="none" w:sz="0" w:space="0" w:color="auto"/>
                    <w:right w:val="none" w:sz="0" w:space="0" w:color="auto"/>
                  </w:divBdr>
                  <w:divsChild>
                    <w:div w:id="1608612505">
                      <w:marLeft w:val="0"/>
                      <w:marRight w:val="0"/>
                      <w:marTop w:val="0"/>
                      <w:marBottom w:val="0"/>
                      <w:divBdr>
                        <w:top w:val="none" w:sz="0" w:space="0" w:color="auto"/>
                        <w:left w:val="none" w:sz="0" w:space="0" w:color="auto"/>
                        <w:bottom w:val="none" w:sz="0" w:space="0" w:color="auto"/>
                        <w:right w:val="none" w:sz="0" w:space="0" w:color="auto"/>
                      </w:divBdr>
                    </w:div>
                  </w:divsChild>
                </w:div>
                <w:div w:id="2035228712">
                  <w:marLeft w:val="0"/>
                  <w:marRight w:val="0"/>
                  <w:marTop w:val="0"/>
                  <w:marBottom w:val="0"/>
                  <w:divBdr>
                    <w:top w:val="none" w:sz="0" w:space="0" w:color="auto"/>
                    <w:left w:val="none" w:sz="0" w:space="0" w:color="auto"/>
                    <w:bottom w:val="none" w:sz="0" w:space="0" w:color="auto"/>
                    <w:right w:val="none" w:sz="0" w:space="0" w:color="auto"/>
                  </w:divBdr>
                  <w:divsChild>
                    <w:div w:id="1946572946">
                      <w:marLeft w:val="0"/>
                      <w:marRight w:val="0"/>
                      <w:marTop w:val="0"/>
                      <w:marBottom w:val="0"/>
                      <w:divBdr>
                        <w:top w:val="none" w:sz="0" w:space="0" w:color="auto"/>
                        <w:left w:val="none" w:sz="0" w:space="0" w:color="auto"/>
                        <w:bottom w:val="none" w:sz="0" w:space="0" w:color="auto"/>
                        <w:right w:val="none" w:sz="0" w:space="0" w:color="auto"/>
                      </w:divBdr>
                    </w:div>
                    <w:div w:id="1974560301">
                      <w:marLeft w:val="0"/>
                      <w:marRight w:val="0"/>
                      <w:marTop w:val="0"/>
                      <w:marBottom w:val="0"/>
                      <w:divBdr>
                        <w:top w:val="none" w:sz="0" w:space="0" w:color="auto"/>
                        <w:left w:val="none" w:sz="0" w:space="0" w:color="auto"/>
                        <w:bottom w:val="none" w:sz="0" w:space="0" w:color="auto"/>
                        <w:right w:val="none" w:sz="0" w:space="0" w:color="auto"/>
                      </w:divBdr>
                    </w:div>
                  </w:divsChild>
                </w:div>
                <w:div w:id="2134008701">
                  <w:marLeft w:val="0"/>
                  <w:marRight w:val="0"/>
                  <w:marTop w:val="0"/>
                  <w:marBottom w:val="0"/>
                  <w:divBdr>
                    <w:top w:val="none" w:sz="0" w:space="0" w:color="auto"/>
                    <w:left w:val="none" w:sz="0" w:space="0" w:color="auto"/>
                    <w:bottom w:val="none" w:sz="0" w:space="0" w:color="auto"/>
                    <w:right w:val="none" w:sz="0" w:space="0" w:color="auto"/>
                  </w:divBdr>
                  <w:divsChild>
                    <w:div w:id="16865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71521">
          <w:marLeft w:val="0"/>
          <w:marRight w:val="0"/>
          <w:marTop w:val="0"/>
          <w:marBottom w:val="0"/>
          <w:divBdr>
            <w:top w:val="none" w:sz="0" w:space="0" w:color="auto"/>
            <w:left w:val="none" w:sz="0" w:space="0" w:color="auto"/>
            <w:bottom w:val="none" w:sz="0" w:space="0" w:color="auto"/>
            <w:right w:val="none" w:sz="0" w:space="0" w:color="auto"/>
          </w:divBdr>
        </w:div>
        <w:div w:id="1911578209">
          <w:marLeft w:val="0"/>
          <w:marRight w:val="0"/>
          <w:marTop w:val="0"/>
          <w:marBottom w:val="0"/>
          <w:divBdr>
            <w:top w:val="none" w:sz="0" w:space="0" w:color="auto"/>
            <w:left w:val="none" w:sz="0" w:space="0" w:color="auto"/>
            <w:bottom w:val="none" w:sz="0" w:space="0" w:color="auto"/>
            <w:right w:val="none" w:sz="0" w:space="0" w:color="auto"/>
          </w:divBdr>
          <w:divsChild>
            <w:div w:id="627660829">
              <w:marLeft w:val="-75"/>
              <w:marRight w:val="0"/>
              <w:marTop w:val="30"/>
              <w:marBottom w:val="30"/>
              <w:divBdr>
                <w:top w:val="none" w:sz="0" w:space="0" w:color="auto"/>
                <w:left w:val="none" w:sz="0" w:space="0" w:color="auto"/>
                <w:bottom w:val="none" w:sz="0" w:space="0" w:color="auto"/>
                <w:right w:val="none" w:sz="0" w:space="0" w:color="auto"/>
              </w:divBdr>
              <w:divsChild>
                <w:div w:id="167865403">
                  <w:marLeft w:val="0"/>
                  <w:marRight w:val="0"/>
                  <w:marTop w:val="0"/>
                  <w:marBottom w:val="0"/>
                  <w:divBdr>
                    <w:top w:val="none" w:sz="0" w:space="0" w:color="auto"/>
                    <w:left w:val="none" w:sz="0" w:space="0" w:color="auto"/>
                    <w:bottom w:val="none" w:sz="0" w:space="0" w:color="auto"/>
                    <w:right w:val="none" w:sz="0" w:space="0" w:color="auto"/>
                  </w:divBdr>
                  <w:divsChild>
                    <w:div w:id="837119311">
                      <w:marLeft w:val="0"/>
                      <w:marRight w:val="0"/>
                      <w:marTop w:val="0"/>
                      <w:marBottom w:val="0"/>
                      <w:divBdr>
                        <w:top w:val="none" w:sz="0" w:space="0" w:color="auto"/>
                        <w:left w:val="none" w:sz="0" w:space="0" w:color="auto"/>
                        <w:bottom w:val="none" w:sz="0" w:space="0" w:color="auto"/>
                        <w:right w:val="none" w:sz="0" w:space="0" w:color="auto"/>
                      </w:divBdr>
                    </w:div>
                  </w:divsChild>
                </w:div>
                <w:div w:id="302588591">
                  <w:marLeft w:val="0"/>
                  <w:marRight w:val="0"/>
                  <w:marTop w:val="0"/>
                  <w:marBottom w:val="0"/>
                  <w:divBdr>
                    <w:top w:val="none" w:sz="0" w:space="0" w:color="auto"/>
                    <w:left w:val="none" w:sz="0" w:space="0" w:color="auto"/>
                    <w:bottom w:val="none" w:sz="0" w:space="0" w:color="auto"/>
                    <w:right w:val="none" w:sz="0" w:space="0" w:color="auto"/>
                  </w:divBdr>
                  <w:divsChild>
                    <w:div w:id="2147122822">
                      <w:marLeft w:val="0"/>
                      <w:marRight w:val="0"/>
                      <w:marTop w:val="0"/>
                      <w:marBottom w:val="0"/>
                      <w:divBdr>
                        <w:top w:val="none" w:sz="0" w:space="0" w:color="auto"/>
                        <w:left w:val="none" w:sz="0" w:space="0" w:color="auto"/>
                        <w:bottom w:val="none" w:sz="0" w:space="0" w:color="auto"/>
                        <w:right w:val="none" w:sz="0" w:space="0" w:color="auto"/>
                      </w:divBdr>
                    </w:div>
                  </w:divsChild>
                </w:div>
                <w:div w:id="1031881992">
                  <w:marLeft w:val="0"/>
                  <w:marRight w:val="0"/>
                  <w:marTop w:val="0"/>
                  <w:marBottom w:val="0"/>
                  <w:divBdr>
                    <w:top w:val="none" w:sz="0" w:space="0" w:color="auto"/>
                    <w:left w:val="none" w:sz="0" w:space="0" w:color="auto"/>
                    <w:bottom w:val="none" w:sz="0" w:space="0" w:color="auto"/>
                    <w:right w:val="none" w:sz="0" w:space="0" w:color="auto"/>
                  </w:divBdr>
                  <w:divsChild>
                    <w:div w:id="1025406976">
                      <w:marLeft w:val="0"/>
                      <w:marRight w:val="0"/>
                      <w:marTop w:val="0"/>
                      <w:marBottom w:val="0"/>
                      <w:divBdr>
                        <w:top w:val="none" w:sz="0" w:space="0" w:color="auto"/>
                        <w:left w:val="none" w:sz="0" w:space="0" w:color="auto"/>
                        <w:bottom w:val="none" w:sz="0" w:space="0" w:color="auto"/>
                        <w:right w:val="none" w:sz="0" w:space="0" w:color="auto"/>
                      </w:divBdr>
                    </w:div>
                  </w:divsChild>
                </w:div>
                <w:div w:id="1347755446">
                  <w:marLeft w:val="0"/>
                  <w:marRight w:val="0"/>
                  <w:marTop w:val="0"/>
                  <w:marBottom w:val="0"/>
                  <w:divBdr>
                    <w:top w:val="none" w:sz="0" w:space="0" w:color="auto"/>
                    <w:left w:val="none" w:sz="0" w:space="0" w:color="auto"/>
                    <w:bottom w:val="none" w:sz="0" w:space="0" w:color="auto"/>
                    <w:right w:val="none" w:sz="0" w:space="0" w:color="auto"/>
                  </w:divBdr>
                  <w:divsChild>
                    <w:div w:id="1747221074">
                      <w:marLeft w:val="0"/>
                      <w:marRight w:val="0"/>
                      <w:marTop w:val="0"/>
                      <w:marBottom w:val="0"/>
                      <w:divBdr>
                        <w:top w:val="none" w:sz="0" w:space="0" w:color="auto"/>
                        <w:left w:val="none" w:sz="0" w:space="0" w:color="auto"/>
                        <w:bottom w:val="none" w:sz="0" w:space="0" w:color="auto"/>
                        <w:right w:val="none" w:sz="0" w:space="0" w:color="auto"/>
                      </w:divBdr>
                    </w:div>
                  </w:divsChild>
                </w:div>
                <w:div w:id="1765296572">
                  <w:marLeft w:val="0"/>
                  <w:marRight w:val="0"/>
                  <w:marTop w:val="0"/>
                  <w:marBottom w:val="0"/>
                  <w:divBdr>
                    <w:top w:val="none" w:sz="0" w:space="0" w:color="auto"/>
                    <w:left w:val="none" w:sz="0" w:space="0" w:color="auto"/>
                    <w:bottom w:val="none" w:sz="0" w:space="0" w:color="auto"/>
                    <w:right w:val="none" w:sz="0" w:space="0" w:color="auto"/>
                  </w:divBdr>
                </w:div>
                <w:div w:id="1791120016">
                  <w:marLeft w:val="0"/>
                  <w:marRight w:val="0"/>
                  <w:marTop w:val="0"/>
                  <w:marBottom w:val="0"/>
                  <w:divBdr>
                    <w:top w:val="none" w:sz="0" w:space="0" w:color="auto"/>
                    <w:left w:val="none" w:sz="0" w:space="0" w:color="auto"/>
                    <w:bottom w:val="none" w:sz="0" w:space="0" w:color="auto"/>
                    <w:right w:val="none" w:sz="0" w:space="0" w:color="auto"/>
                  </w:divBdr>
                  <w:divsChild>
                    <w:div w:id="166403253">
                      <w:marLeft w:val="0"/>
                      <w:marRight w:val="0"/>
                      <w:marTop w:val="0"/>
                      <w:marBottom w:val="0"/>
                      <w:divBdr>
                        <w:top w:val="none" w:sz="0" w:space="0" w:color="auto"/>
                        <w:left w:val="none" w:sz="0" w:space="0" w:color="auto"/>
                        <w:bottom w:val="none" w:sz="0" w:space="0" w:color="auto"/>
                        <w:right w:val="none" w:sz="0" w:space="0" w:color="auto"/>
                      </w:divBdr>
                    </w:div>
                    <w:div w:id="888422678">
                      <w:marLeft w:val="0"/>
                      <w:marRight w:val="0"/>
                      <w:marTop w:val="0"/>
                      <w:marBottom w:val="0"/>
                      <w:divBdr>
                        <w:top w:val="none" w:sz="0" w:space="0" w:color="auto"/>
                        <w:left w:val="none" w:sz="0" w:space="0" w:color="auto"/>
                        <w:bottom w:val="none" w:sz="0" w:space="0" w:color="auto"/>
                        <w:right w:val="none" w:sz="0" w:space="0" w:color="auto"/>
                      </w:divBdr>
                    </w:div>
                  </w:divsChild>
                </w:div>
                <w:div w:id="1880120855">
                  <w:marLeft w:val="0"/>
                  <w:marRight w:val="0"/>
                  <w:marTop w:val="0"/>
                  <w:marBottom w:val="0"/>
                  <w:divBdr>
                    <w:top w:val="none" w:sz="0" w:space="0" w:color="auto"/>
                    <w:left w:val="none" w:sz="0" w:space="0" w:color="auto"/>
                    <w:bottom w:val="none" w:sz="0" w:space="0" w:color="auto"/>
                    <w:right w:val="none" w:sz="0" w:space="0" w:color="auto"/>
                  </w:divBdr>
                  <w:divsChild>
                    <w:div w:id="184585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82363">
          <w:marLeft w:val="0"/>
          <w:marRight w:val="0"/>
          <w:marTop w:val="0"/>
          <w:marBottom w:val="0"/>
          <w:divBdr>
            <w:top w:val="none" w:sz="0" w:space="0" w:color="auto"/>
            <w:left w:val="none" w:sz="0" w:space="0" w:color="auto"/>
            <w:bottom w:val="none" w:sz="0" w:space="0" w:color="auto"/>
            <w:right w:val="none" w:sz="0" w:space="0" w:color="auto"/>
          </w:divBdr>
          <w:divsChild>
            <w:div w:id="6335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7658">
      <w:marLeft w:val="480"/>
      <w:marRight w:val="0"/>
      <w:marTop w:val="0"/>
      <w:marBottom w:val="0"/>
      <w:divBdr>
        <w:top w:val="none" w:sz="0" w:space="0" w:color="auto"/>
        <w:left w:val="none" w:sz="0" w:space="0" w:color="auto"/>
        <w:bottom w:val="none" w:sz="0" w:space="0" w:color="auto"/>
        <w:right w:val="none" w:sz="0" w:space="0" w:color="auto"/>
      </w:divBdr>
    </w:div>
    <w:div w:id="1123112144">
      <w:marLeft w:val="480"/>
      <w:marRight w:val="0"/>
      <w:marTop w:val="0"/>
      <w:marBottom w:val="0"/>
      <w:divBdr>
        <w:top w:val="none" w:sz="0" w:space="0" w:color="auto"/>
        <w:left w:val="none" w:sz="0" w:space="0" w:color="auto"/>
        <w:bottom w:val="none" w:sz="0" w:space="0" w:color="auto"/>
        <w:right w:val="none" w:sz="0" w:space="0" w:color="auto"/>
      </w:divBdr>
    </w:div>
    <w:div w:id="1123422582">
      <w:marLeft w:val="480"/>
      <w:marRight w:val="0"/>
      <w:marTop w:val="0"/>
      <w:marBottom w:val="0"/>
      <w:divBdr>
        <w:top w:val="none" w:sz="0" w:space="0" w:color="auto"/>
        <w:left w:val="none" w:sz="0" w:space="0" w:color="auto"/>
        <w:bottom w:val="none" w:sz="0" w:space="0" w:color="auto"/>
        <w:right w:val="none" w:sz="0" w:space="0" w:color="auto"/>
      </w:divBdr>
    </w:div>
    <w:div w:id="1124235237">
      <w:marLeft w:val="480"/>
      <w:marRight w:val="0"/>
      <w:marTop w:val="0"/>
      <w:marBottom w:val="0"/>
      <w:divBdr>
        <w:top w:val="none" w:sz="0" w:space="0" w:color="auto"/>
        <w:left w:val="none" w:sz="0" w:space="0" w:color="auto"/>
        <w:bottom w:val="none" w:sz="0" w:space="0" w:color="auto"/>
        <w:right w:val="none" w:sz="0" w:space="0" w:color="auto"/>
      </w:divBdr>
    </w:div>
    <w:div w:id="1125274916">
      <w:marLeft w:val="480"/>
      <w:marRight w:val="0"/>
      <w:marTop w:val="0"/>
      <w:marBottom w:val="0"/>
      <w:divBdr>
        <w:top w:val="none" w:sz="0" w:space="0" w:color="auto"/>
        <w:left w:val="none" w:sz="0" w:space="0" w:color="auto"/>
        <w:bottom w:val="none" w:sz="0" w:space="0" w:color="auto"/>
        <w:right w:val="none" w:sz="0" w:space="0" w:color="auto"/>
      </w:divBdr>
    </w:div>
    <w:div w:id="1130246448">
      <w:marLeft w:val="480"/>
      <w:marRight w:val="0"/>
      <w:marTop w:val="0"/>
      <w:marBottom w:val="0"/>
      <w:divBdr>
        <w:top w:val="none" w:sz="0" w:space="0" w:color="auto"/>
        <w:left w:val="none" w:sz="0" w:space="0" w:color="auto"/>
        <w:bottom w:val="none" w:sz="0" w:space="0" w:color="auto"/>
        <w:right w:val="none" w:sz="0" w:space="0" w:color="auto"/>
      </w:divBdr>
    </w:div>
    <w:div w:id="1130519225">
      <w:bodyDiv w:val="1"/>
      <w:marLeft w:val="0"/>
      <w:marRight w:val="0"/>
      <w:marTop w:val="0"/>
      <w:marBottom w:val="0"/>
      <w:divBdr>
        <w:top w:val="none" w:sz="0" w:space="0" w:color="auto"/>
        <w:left w:val="none" w:sz="0" w:space="0" w:color="auto"/>
        <w:bottom w:val="none" w:sz="0" w:space="0" w:color="auto"/>
        <w:right w:val="none" w:sz="0" w:space="0" w:color="auto"/>
      </w:divBdr>
    </w:div>
    <w:div w:id="1130712777">
      <w:marLeft w:val="480"/>
      <w:marRight w:val="0"/>
      <w:marTop w:val="0"/>
      <w:marBottom w:val="0"/>
      <w:divBdr>
        <w:top w:val="none" w:sz="0" w:space="0" w:color="auto"/>
        <w:left w:val="none" w:sz="0" w:space="0" w:color="auto"/>
        <w:bottom w:val="none" w:sz="0" w:space="0" w:color="auto"/>
        <w:right w:val="none" w:sz="0" w:space="0" w:color="auto"/>
      </w:divBdr>
    </w:div>
    <w:div w:id="1136139729">
      <w:marLeft w:val="480"/>
      <w:marRight w:val="0"/>
      <w:marTop w:val="0"/>
      <w:marBottom w:val="0"/>
      <w:divBdr>
        <w:top w:val="none" w:sz="0" w:space="0" w:color="auto"/>
        <w:left w:val="none" w:sz="0" w:space="0" w:color="auto"/>
        <w:bottom w:val="none" w:sz="0" w:space="0" w:color="auto"/>
        <w:right w:val="none" w:sz="0" w:space="0" w:color="auto"/>
      </w:divBdr>
    </w:div>
    <w:div w:id="1137836754">
      <w:marLeft w:val="480"/>
      <w:marRight w:val="0"/>
      <w:marTop w:val="0"/>
      <w:marBottom w:val="0"/>
      <w:divBdr>
        <w:top w:val="none" w:sz="0" w:space="0" w:color="auto"/>
        <w:left w:val="none" w:sz="0" w:space="0" w:color="auto"/>
        <w:bottom w:val="none" w:sz="0" w:space="0" w:color="auto"/>
        <w:right w:val="none" w:sz="0" w:space="0" w:color="auto"/>
      </w:divBdr>
    </w:div>
    <w:div w:id="1142193079">
      <w:marLeft w:val="480"/>
      <w:marRight w:val="0"/>
      <w:marTop w:val="0"/>
      <w:marBottom w:val="0"/>
      <w:divBdr>
        <w:top w:val="none" w:sz="0" w:space="0" w:color="auto"/>
        <w:left w:val="none" w:sz="0" w:space="0" w:color="auto"/>
        <w:bottom w:val="none" w:sz="0" w:space="0" w:color="auto"/>
        <w:right w:val="none" w:sz="0" w:space="0" w:color="auto"/>
      </w:divBdr>
    </w:div>
    <w:div w:id="1143542970">
      <w:marLeft w:val="480"/>
      <w:marRight w:val="0"/>
      <w:marTop w:val="0"/>
      <w:marBottom w:val="0"/>
      <w:divBdr>
        <w:top w:val="none" w:sz="0" w:space="0" w:color="auto"/>
        <w:left w:val="none" w:sz="0" w:space="0" w:color="auto"/>
        <w:bottom w:val="none" w:sz="0" w:space="0" w:color="auto"/>
        <w:right w:val="none" w:sz="0" w:space="0" w:color="auto"/>
      </w:divBdr>
    </w:div>
    <w:div w:id="1143735253">
      <w:marLeft w:val="480"/>
      <w:marRight w:val="0"/>
      <w:marTop w:val="0"/>
      <w:marBottom w:val="0"/>
      <w:divBdr>
        <w:top w:val="none" w:sz="0" w:space="0" w:color="auto"/>
        <w:left w:val="none" w:sz="0" w:space="0" w:color="auto"/>
        <w:bottom w:val="none" w:sz="0" w:space="0" w:color="auto"/>
        <w:right w:val="none" w:sz="0" w:space="0" w:color="auto"/>
      </w:divBdr>
    </w:div>
    <w:div w:id="1144078468">
      <w:marLeft w:val="480"/>
      <w:marRight w:val="0"/>
      <w:marTop w:val="0"/>
      <w:marBottom w:val="0"/>
      <w:divBdr>
        <w:top w:val="none" w:sz="0" w:space="0" w:color="auto"/>
        <w:left w:val="none" w:sz="0" w:space="0" w:color="auto"/>
        <w:bottom w:val="none" w:sz="0" w:space="0" w:color="auto"/>
        <w:right w:val="none" w:sz="0" w:space="0" w:color="auto"/>
      </w:divBdr>
    </w:div>
    <w:div w:id="1144543544">
      <w:marLeft w:val="480"/>
      <w:marRight w:val="0"/>
      <w:marTop w:val="0"/>
      <w:marBottom w:val="0"/>
      <w:divBdr>
        <w:top w:val="none" w:sz="0" w:space="0" w:color="auto"/>
        <w:left w:val="none" w:sz="0" w:space="0" w:color="auto"/>
        <w:bottom w:val="none" w:sz="0" w:space="0" w:color="auto"/>
        <w:right w:val="none" w:sz="0" w:space="0" w:color="auto"/>
      </w:divBdr>
    </w:div>
    <w:div w:id="1144932850">
      <w:bodyDiv w:val="1"/>
      <w:marLeft w:val="0"/>
      <w:marRight w:val="0"/>
      <w:marTop w:val="0"/>
      <w:marBottom w:val="0"/>
      <w:divBdr>
        <w:top w:val="none" w:sz="0" w:space="0" w:color="auto"/>
        <w:left w:val="none" w:sz="0" w:space="0" w:color="auto"/>
        <w:bottom w:val="none" w:sz="0" w:space="0" w:color="auto"/>
        <w:right w:val="none" w:sz="0" w:space="0" w:color="auto"/>
      </w:divBdr>
    </w:div>
    <w:div w:id="1145317697">
      <w:marLeft w:val="480"/>
      <w:marRight w:val="0"/>
      <w:marTop w:val="0"/>
      <w:marBottom w:val="0"/>
      <w:divBdr>
        <w:top w:val="none" w:sz="0" w:space="0" w:color="auto"/>
        <w:left w:val="none" w:sz="0" w:space="0" w:color="auto"/>
        <w:bottom w:val="none" w:sz="0" w:space="0" w:color="auto"/>
        <w:right w:val="none" w:sz="0" w:space="0" w:color="auto"/>
      </w:divBdr>
    </w:div>
    <w:div w:id="1145392686">
      <w:bodyDiv w:val="1"/>
      <w:marLeft w:val="0"/>
      <w:marRight w:val="0"/>
      <w:marTop w:val="0"/>
      <w:marBottom w:val="0"/>
      <w:divBdr>
        <w:top w:val="none" w:sz="0" w:space="0" w:color="auto"/>
        <w:left w:val="none" w:sz="0" w:space="0" w:color="auto"/>
        <w:bottom w:val="none" w:sz="0" w:space="0" w:color="auto"/>
        <w:right w:val="none" w:sz="0" w:space="0" w:color="auto"/>
      </w:divBdr>
      <w:divsChild>
        <w:div w:id="86194960">
          <w:marLeft w:val="480"/>
          <w:marRight w:val="0"/>
          <w:marTop w:val="0"/>
          <w:marBottom w:val="0"/>
          <w:divBdr>
            <w:top w:val="none" w:sz="0" w:space="0" w:color="auto"/>
            <w:left w:val="none" w:sz="0" w:space="0" w:color="auto"/>
            <w:bottom w:val="none" w:sz="0" w:space="0" w:color="auto"/>
            <w:right w:val="none" w:sz="0" w:space="0" w:color="auto"/>
          </w:divBdr>
        </w:div>
        <w:div w:id="476262665">
          <w:marLeft w:val="480"/>
          <w:marRight w:val="0"/>
          <w:marTop w:val="0"/>
          <w:marBottom w:val="0"/>
          <w:divBdr>
            <w:top w:val="none" w:sz="0" w:space="0" w:color="auto"/>
            <w:left w:val="none" w:sz="0" w:space="0" w:color="auto"/>
            <w:bottom w:val="none" w:sz="0" w:space="0" w:color="auto"/>
            <w:right w:val="none" w:sz="0" w:space="0" w:color="auto"/>
          </w:divBdr>
        </w:div>
        <w:div w:id="1277643133">
          <w:marLeft w:val="480"/>
          <w:marRight w:val="0"/>
          <w:marTop w:val="0"/>
          <w:marBottom w:val="0"/>
          <w:divBdr>
            <w:top w:val="none" w:sz="0" w:space="0" w:color="auto"/>
            <w:left w:val="none" w:sz="0" w:space="0" w:color="auto"/>
            <w:bottom w:val="none" w:sz="0" w:space="0" w:color="auto"/>
            <w:right w:val="none" w:sz="0" w:space="0" w:color="auto"/>
          </w:divBdr>
        </w:div>
        <w:div w:id="1283418782">
          <w:marLeft w:val="480"/>
          <w:marRight w:val="0"/>
          <w:marTop w:val="0"/>
          <w:marBottom w:val="0"/>
          <w:divBdr>
            <w:top w:val="none" w:sz="0" w:space="0" w:color="auto"/>
            <w:left w:val="none" w:sz="0" w:space="0" w:color="auto"/>
            <w:bottom w:val="none" w:sz="0" w:space="0" w:color="auto"/>
            <w:right w:val="none" w:sz="0" w:space="0" w:color="auto"/>
          </w:divBdr>
        </w:div>
      </w:divsChild>
    </w:div>
    <w:div w:id="1149636922">
      <w:bodyDiv w:val="1"/>
      <w:marLeft w:val="0"/>
      <w:marRight w:val="0"/>
      <w:marTop w:val="0"/>
      <w:marBottom w:val="0"/>
      <w:divBdr>
        <w:top w:val="none" w:sz="0" w:space="0" w:color="auto"/>
        <w:left w:val="none" w:sz="0" w:space="0" w:color="auto"/>
        <w:bottom w:val="none" w:sz="0" w:space="0" w:color="auto"/>
        <w:right w:val="none" w:sz="0" w:space="0" w:color="auto"/>
      </w:divBdr>
    </w:div>
    <w:div w:id="1150709683">
      <w:bodyDiv w:val="1"/>
      <w:marLeft w:val="0"/>
      <w:marRight w:val="0"/>
      <w:marTop w:val="0"/>
      <w:marBottom w:val="0"/>
      <w:divBdr>
        <w:top w:val="none" w:sz="0" w:space="0" w:color="auto"/>
        <w:left w:val="none" w:sz="0" w:space="0" w:color="auto"/>
        <w:bottom w:val="none" w:sz="0" w:space="0" w:color="auto"/>
        <w:right w:val="none" w:sz="0" w:space="0" w:color="auto"/>
      </w:divBdr>
      <w:divsChild>
        <w:div w:id="43414930">
          <w:marLeft w:val="480"/>
          <w:marRight w:val="0"/>
          <w:marTop w:val="0"/>
          <w:marBottom w:val="0"/>
          <w:divBdr>
            <w:top w:val="none" w:sz="0" w:space="0" w:color="auto"/>
            <w:left w:val="none" w:sz="0" w:space="0" w:color="auto"/>
            <w:bottom w:val="none" w:sz="0" w:space="0" w:color="auto"/>
            <w:right w:val="none" w:sz="0" w:space="0" w:color="auto"/>
          </w:divBdr>
        </w:div>
        <w:div w:id="1087192218">
          <w:marLeft w:val="480"/>
          <w:marRight w:val="0"/>
          <w:marTop w:val="0"/>
          <w:marBottom w:val="0"/>
          <w:divBdr>
            <w:top w:val="none" w:sz="0" w:space="0" w:color="auto"/>
            <w:left w:val="none" w:sz="0" w:space="0" w:color="auto"/>
            <w:bottom w:val="none" w:sz="0" w:space="0" w:color="auto"/>
            <w:right w:val="none" w:sz="0" w:space="0" w:color="auto"/>
          </w:divBdr>
        </w:div>
        <w:div w:id="1324312353">
          <w:marLeft w:val="480"/>
          <w:marRight w:val="0"/>
          <w:marTop w:val="0"/>
          <w:marBottom w:val="0"/>
          <w:divBdr>
            <w:top w:val="none" w:sz="0" w:space="0" w:color="auto"/>
            <w:left w:val="none" w:sz="0" w:space="0" w:color="auto"/>
            <w:bottom w:val="none" w:sz="0" w:space="0" w:color="auto"/>
            <w:right w:val="none" w:sz="0" w:space="0" w:color="auto"/>
          </w:divBdr>
        </w:div>
        <w:div w:id="1395465123">
          <w:marLeft w:val="480"/>
          <w:marRight w:val="0"/>
          <w:marTop w:val="0"/>
          <w:marBottom w:val="0"/>
          <w:divBdr>
            <w:top w:val="none" w:sz="0" w:space="0" w:color="auto"/>
            <w:left w:val="none" w:sz="0" w:space="0" w:color="auto"/>
            <w:bottom w:val="none" w:sz="0" w:space="0" w:color="auto"/>
            <w:right w:val="none" w:sz="0" w:space="0" w:color="auto"/>
          </w:divBdr>
        </w:div>
        <w:div w:id="1863057812">
          <w:marLeft w:val="480"/>
          <w:marRight w:val="0"/>
          <w:marTop w:val="0"/>
          <w:marBottom w:val="0"/>
          <w:divBdr>
            <w:top w:val="none" w:sz="0" w:space="0" w:color="auto"/>
            <w:left w:val="none" w:sz="0" w:space="0" w:color="auto"/>
            <w:bottom w:val="none" w:sz="0" w:space="0" w:color="auto"/>
            <w:right w:val="none" w:sz="0" w:space="0" w:color="auto"/>
          </w:divBdr>
        </w:div>
      </w:divsChild>
    </w:div>
    <w:div w:id="1151555466">
      <w:bodyDiv w:val="1"/>
      <w:marLeft w:val="0"/>
      <w:marRight w:val="0"/>
      <w:marTop w:val="0"/>
      <w:marBottom w:val="0"/>
      <w:divBdr>
        <w:top w:val="none" w:sz="0" w:space="0" w:color="auto"/>
        <w:left w:val="none" w:sz="0" w:space="0" w:color="auto"/>
        <w:bottom w:val="none" w:sz="0" w:space="0" w:color="auto"/>
        <w:right w:val="none" w:sz="0" w:space="0" w:color="auto"/>
      </w:divBdr>
    </w:div>
    <w:div w:id="1154109048">
      <w:marLeft w:val="480"/>
      <w:marRight w:val="0"/>
      <w:marTop w:val="0"/>
      <w:marBottom w:val="0"/>
      <w:divBdr>
        <w:top w:val="none" w:sz="0" w:space="0" w:color="auto"/>
        <w:left w:val="none" w:sz="0" w:space="0" w:color="auto"/>
        <w:bottom w:val="none" w:sz="0" w:space="0" w:color="auto"/>
        <w:right w:val="none" w:sz="0" w:space="0" w:color="auto"/>
      </w:divBdr>
    </w:div>
    <w:div w:id="1158112993">
      <w:marLeft w:val="480"/>
      <w:marRight w:val="0"/>
      <w:marTop w:val="0"/>
      <w:marBottom w:val="0"/>
      <w:divBdr>
        <w:top w:val="none" w:sz="0" w:space="0" w:color="auto"/>
        <w:left w:val="none" w:sz="0" w:space="0" w:color="auto"/>
        <w:bottom w:val="none" w:sz="0" w:space="0" w:color="auto"/>
        <w:right w:val="none" w:sz="0" w:space="0" w:color="auto"/>
      </w:divBdr>
    </w:div>
    <w:div w:id="1158614920">
      <w:marLeft w:val="480"/>
      <w:marRight w:val="0"/>
      <w:marTop w:val="0"/>
      <w:marBottom w:val="0"/>
      <w:divBdr>
        <w:top w:val="none" w:sz="0" w:space="0" w:color="auto"/>
        <w:left w:val="none" w:sz="0" w:space="0" w:color="auto"/>
        <w:bottom w:val="none" w:sz="0" w:space="0" w:color="auto"/>
        <w:right w:val="none" w:sz="0" w:space="0" w:color="auto"/>
      </w:divBdr>
    </w:div>
    <w:div w:id="1158810439">
      <w:marLeft w:val="480"/>
      <w:marRight w:val="0"/>
      <w:marTop w:val="0"/>
      <w:marBottom w:val="0"/>
      <w:divBdr>
        <w:top w:val="none" w:sz="0" w:space="0" w:color="auto"/>
        <w:left w:val="none" w:sz="0" w:space="0" w:color="auto"/>
        <w:bottom w:val="none" w:sz="0" w:space="0" w:color="auto"/>
        <w:right w:val="none" w:sz="0" w:space="0" w:color="auto"/>
      </w:divBdr>
    </w:div>
    <w:div w:id="1160120306">
      <w:marLeft w:val="480"/>
      <w:marRight w:val="0"/>
      <w:marTop w:val="0"/>
      <w:marBottom w:val="0"/>
      <w:divBdr>
        <w:top w:val="none" w:sz="0" w:space="0" w:color="auto"/>
        <w:left w:val="none" w:sz="0" w:space="0" w:color="auto"/>
        <w:bottom w:val="none" w:sz="0" w:space="0" w:color="auto"/>
        <w:right w:val="none" w:sz="0" w:space="0" w:color="auto"/>
      </w:divBdr>
    </w:div>
    <w:div w:id="1160847135">
      <w:marLeft w:val="480"/>
      <w:marRight w:val="0"/>
      <w:marTop w:val="0"/>
      <w:marBottom w:val="0"/>
      <w:divBdr>
        <w:top w:val="none" w:sz="0" w:space="0" w:color="auto"/>
        <w:left w:val="none" w:sz="0" w:space="0" w:color="auto"/>
        <w:bottom w:val="none" w:sz="0" w:space="0" w:color="auto"/>
        <w:right w:val="none" w:sz="0" w:space="0" w:color="auto"/>
      </w:divBdr>
    </w:div>
    <w:div w:id="1160925848">
      <w:bodyDiv w:val="1"/>
      <w:marLeft w:val="0"/>
      <w:marRight w:val="0"/>
      <w:marTop w:val="0"/>
      <w:marBottom w:val="0"/>
      <w:divBdr>
        <w:top w:val="none" w:sz="0" w:space="0" w:color="auto"/>
        <w:left w:val="none" w:sz="0" w:space="0" w:color="auto"/>
        <w:bottom w:val="none" w:sz="0" w:space="0" w:color="auto"/>
        <w:right w:val="none" w:sz="0" w:space="0" w:color="auto"/>
      </w:divBdr>
    </w:div>
    <w:div w:id="1162115270">
      <w:marLeft w:val="480"/>
      <w:marRight w:val="0"/>
      <w:marTop w:val="0"/>
      <w:marBottom w:val="0"/>
      <w:divBdr>
        <w:top w:val="none" w:sz="0" w:space="0" w:color="auto"/>
        <w:left w:val="none" w:sz="0" w:space="0" w:color="auto"/>
        <w:bottom w:val="none" w:sz="0" w:space="0" w:color="auto"/>
        <w:right w:val="none" w:sz="0" w:space="0" w:color="auto"/>
      </w:divBdr>
    </w:div>
    <w:div w:id="1163812394">
      <w:marLeft w:val="480"/>
      <w:marRight w:val="0"/>
      <w:marTop w:val="0"/>
      <w:marBottom w:val="0"/>
      <w:divBdr>
        <w:top w:val="none" w:sz="0" w:space="0" w:color="auto"/>
        <w:left w:val="none" w:sz="0" w:space="0" w:color="auto"/>
        <w:bottom w:val="none" w:sz="0" w:space="0" w:color="auto"/>
        <w:right w:val="none" w:sz="0" w:space="0" w:color="auto"/>
      </w:divBdr>
    </w:div>
    <w:div w:id="1164007400">
      <w:marLeft w:val="480"/>
      <w:marRight w:val="0"/>
      <w:marTop w:val="0"/>
      <w:marBottom w:val="0"/>
      <w:divBdr>
        <w:top w:val="none" w:sz="0" w:space="0" w:color="auto"/>
        <w:left w:val="none" w:sz="0" w:space="0" w:color="auto"/>
        <w:bottom w:val="none" w:sz="0" w:space="0" w:color="auto"/>
        <w:right w:val="none" w:sz="0" w:space="0" w:color="auto"/>
      </w:divBdr>
    </w:div>
    <w:div w:id="1165514645">
      <w:marLeft w:val="480"/>
      <w:marRight w:val="0"/>
      <w:marTop w:val="0"/>
      <w:marBottom w:val="0"/>
      <w:divBdr>
        <w:top w:val="none" w:sz="0" w:space="0" w:color="auto"/>
        <w:left w:val="none" w:sz="0" w:space="0" w:color="auto"/>
        <w:bottom w:val="none" w:sz="0" w:space="0" w:color="auto"/>
        <w:right w:val="none" w:sz="0" w:space="0" w:color="auto"/>
      </w:divBdr>
    </w:div>
    <w:div w:id="1166749036">
      <w:marLeft w:val="480"/>
      <w:marRight w:val="0"/>
      <w:marTop w:val="0"/>
      <w:marBottom w:val="0"/>
      <w:divBdr>
        <w:top w:val="none" w:sz="0" w:space="0" w:color="auto"/>
        <w:left w:val="none" w:sz="0" w:space="0" w:color="auto"/>
        <w:bottom w:val="none" w:sz="0" w:space="0" w:color="auto"/>
        <w:right w:val="none" w:sz="0" w:space="0" w:color="auto"/>
      </w:divBdr>
    </w:div>
    <w:div w:id="1167936920">
      <w:marLeft w:val="480"/>
      <w:marRight w:val="0"/>
      <w:marTop w:val="0"/>
      <w:marBottom w:val="0"/>
      <w:divBdr>
        <w:top w:val="none" w:sz="0" w:space="0" w:color="auto"/>
        <w:left w:val="none" w:sz="0" w:space="0" w:color="auto"/>
        <w:bottom w:val="none" w:sz="0" w:space="0" w:color="auto"/>
        <w:right w:val="none" w:sz="0" w:space="0" w:color="auto"/>
      </w:divBdr>
    </w:div>
    <w:div w:id="1168399297">
      <w:marLeft w:val="480"/>
      <w:marRight w:val="0"/>
      <w:marTop w:val="0"/>
      <w:marBottom w:val="0"/>
      <w:divBdr>
        <w:top w:val="none" w:sz="0" w:space="0" w:color="auto"/>
        <w:left w:val="none" w:sz="0" w:space="0" w:color="auto"/>
        <w:bottom w:val="none" w:sz="0" w:space="0" w:color="auto"/>
        <w:right w:val="none" w:sz="0" w:space="0" w:color="auto"/>
      </w:divBdr>
    </w:div>
    <w:div w:id="1172448676">
      <w:bodyDiv w:val="1"/>
      <w:marLeft w:val="0"/>
      <w:marRight w:val="0"/>
      <w:marTop w:val="0"/>
      <w:marBottom w:val="0"/>
      <w:divBdr>
        <w:top w:val="none" w:sz="0" w:space="0" w:color="auto"/>
        <w:left w:val="none" w:sz="0" w:space="0" w:color="auto"/>
        <w:bottom w:val="none" w:sz="0" w:space="0" w:color="auto"/>
        <w:right w:val="none" w:sz="0" w:space="0" w:color="auto"/>
      </w:divBdr>
    </w:div>
    <w:div w:id="1173033490">
      <w:marLeft w:val="480"/>
      <w:marRight w:val="0"/>
      <w:marTop w:val="0"/>
      <w:marBottom w:val="0"/>
      <w:divBdr>
        <w:top w:val="none" w:sz="0" w:space="0" w:color="auto"/>
        <w:left w:val="none" w:sz="0" w:space="0" w:color="auto"/>
        <w:bottom w:val="none" w:sz="0" w:space="0" w:color="auto"/>
        <w:right w:val="none" w:sz="0" w:space="0" w:color="auto"/>
      </w:divBdr>
    </w:div>
    <w:div w:id="1173649253">
      <w:marLeft w:val="480"/>
      <w:marRight w:val="0"/>
      <w:marTop w:val="0"/>
      <w:marBottom w:val="0"/>
      <w:divBdr>
        <w:top w:val="none" w:sz="0" w:space="0" w:color="auto"/>
        <w:left w:val="none" w:sz="0" w:space="0" w:color="auto"/>
        <w:bottom w:val="none" w:sz="0" w:space="0" w:color="auto"/>
        <w:right w:val="none" w:sz="0" w:space="0" w:color="auto"/>
      </w:divBdr>
    </w:div>
    <w:div w:id="1174536254">
      <w:marLeft w:val="480"/>
      <w:marRight w:val="0"/>
      <w:marTop w:val="0"/>
      <w:marBottom w:val="0"/>
      <w:divBdr>
        <w:top w:val="none" w:sz="0" w:space="0" w:color="auto"/>
        <w:left w:val="none" w:sz="0" w:space="0" w:color="auto"/>
        <w:bottom w:val="none" w:sz="0" w:space="0" w:color="auto"/>
        <w:right w:val="none" w:sz="0" w:space="0" w:color="auto"/>
      </w:divBdr>
    </w:div>
    <w:div w:id="1175921719">
      <w:bodyDiv w:val="1"/>
      <w:marLeft w:val="0"/>
      <w:marRight w:val="0"/>
      <w:marTop w:val="0"/>
      <w:marBottom w:val="0"/>
      <w:divBdr>
        <w:top w:val="none" w:sz="0" w:space="0" w:color="auto"/>
        <w:left w:val="none" w:sz="0" w:space="0" w:color="auto"/>
        <w:bottom w:val="none" w:sz="0" w:space="0" w:color="auto"/>
        <w:right w:val="none" w:sz="0" w:space="0" w:color="auto"/>
      </w:divBdr>
    </w:div>
    <w:div w:id="1175926037">
      <w:marLeft w:val="480"/>
      <w:marRight w:val="0"/>
      <w:marTop w:val="0"/>
      <w:marBottom w:val="0"/>
      <w:divBdr>
        <w:top w:val="none" w:sz="0" w:space="0" w:color="auto"/>
        <w:left w:val="none" w:sz="0" w:space="0" w:color="auto"/>
        <w:bottom w:val="none" w:sz="0" w:space="0" w:color="auto"/>
        <w:right w:val="none" w:sz="0" w:space="0" w:color="auto"/>
      </w:divBdr>
    </w:div>
    <w:div w:id="1176193575">
      <w:marLeft w:val="480"/>
      <w:marRight w:val="0"/>
      <w:marTop w:val="0"/>
      <w:marBottom w:val="0"/>
      <w:divBdr>
        <w:top w:val="none" w:sz="0" w:space="0" w:color="auto"/>
        <w:left w:val="none" w:sz="0" w:space="0" w:color="auto"/>
        <w:bottom w:val="none" w:sz="0" w:space="0" w:color="auto"/>
        <w:right w:val="none" w:sz="0" w:space="0" w:color="auto"/>
      </w:divBdr>
    </w:div>
    <w:div w:id="1178232053">
      <w:marLeft w:val="480"/>
      <w:marRight w:val="0"/>
      <w:marTop w:val="0"/>
      <w:marBottom w:val="0"/>
      <w:divBdr>
        <w:top w:val="none" w:sz="0" w:space="0" w:color="auto"/>
        <w:left w:val="none" w:sz="0" w:space="0" w:color="auto"/>
        <w:bottom w:val="none" w:sz="0" w:space="0" w:color="auto"/>
        <w:right w:val="none" w:sz="0" w:space="0" w:color="auto"/>
      </w:divBdr>
    </w:div>
    <w:div w:id="1179807615">
      <w:bodyDiv w:val="1"/>
      <w:marLeft w:val="0"/>
      <w:marRight w:val="0"/>
      <w:marTop w:val="0"/>
      <w:marBottom w:val="0"/>
      <w:divBdr>
        <w:top w:val="none" w:sz="0" w:space="0" w:color="auto"/>
        <w:left w:val="none" w:sz="0" w:space="0" w:color="auto"/>
        <w:bottom w:val="none" w:sz="0" w:space="0" w:color="auto"/>
        <w:right w:val="none" w:sz="0" w:space="0" w:color="auto"/>
      </w:divBdr>
    </w:div>
    <w:div w:id="1180975138">
      <w:marLeft w:val="480"/>
      <w:marRight w:val="0"/>
      <w:marTop w:val="0"/>
      <w:marBottom w:val="0"/>
      <w:divBdr>
        <w:top w:val="none" w:sz="0" w:space="0" w:color="auto"/>
        <w:left w:val="none" w:sz="0" w:space="0" w:color="auto"/>
        <w:bottom w:val="none" w:sz="0" w:space="0" w:color="auto"/>
        <w:right w:val="none" w:sz="0" w:space="0" w:color="auto"/>
      </w:divBdr>
    </w:div>
    <w:div w:id="1181623035">
      <w:marLeft w:val="480"/>
      <w:marRight w:val="0"/>
      <w:marTop w:val="0"/>
      <w:marBottom w:val="0"/>
      <w:divBdr>
        <w:top w:val="none" w:sz="0" w:space="0" w:color="auto"/>
        <w:left w:val="none" w:sz="0" w:space="0" w:color="auto"/>
        <w:bottom w:val="none" w:sz="0" w:space="0" w:color="auto"/>
        <w:right w:val="none" w:sz="0" w:space="0" w:color="auto"/>
      </w:divBdr>
    </w:div>
    <w:div w:id="1184438277">
      <w:marLeft w:val="480"/>
      <w:marRight w:val="0"/>
      <w:marTop w:val="0"/>
      <w:marBottom w:val="0"/>
      <w:divBdr>
        <w:top w:val="none" w:sz="0" w:space="0" w:color="auto"/>
        <w:left w:val="none" w:sz="0" w:space="0" w:color="auto"/>
        <w:bottom w:val="none" w:sz="0" w:space="0" w:color="auto"/>
        <w:right w:val="none" w:sz="0" w:space="0" w:color="auto"/>
      </w:divBdr>
    </w:div>
    <w:div w:id="1184786235">
      <w:marLeft w:val="480"/>
      <w:marRight w:val="0"/>
      <w:marTop w:val="0"/>
      <w:marBottom w:val="0"/>
      <w:divBdr>
        <w:top w:val="none" w:sz="0" w:space="0" w:color="auto"/>
        <w:left w:val="none" w:sz="0" w:space="0" w:color="auto"/>
        <w:bottom w:val="none" w:sz="0" w:space="0" w:color="auto"/>
        <w:right w:val="none" w:sz="0" w:space="0" w:color="auto"/>
      </w:divBdr>
    </w:div>
    <w:div w:id="1188131725">
      <w:marLeft w:val="480"/>
      <w:marRight w:val="0"/>
      <w:marTop w:val="0"/>
      <w:marBottom w:val="0"/>
      <w:divBdr>
        <w:top w:val="none" w:sz="0" w:space="0" w:color="auto"/>
        <w:left w:val="none" w:sz="0" w:space="0" w:color="auto"/>
        <w:bottom w:val="none" w:sz="0" w:space="0" w:color="auto"/>
        <w:right w:val="none" w:sz="0" w:space="0" w:color="auto"/>
      </w:divBdr>
    </w:div>
    <w:div w:id="1189946468">
      <w:bodyDiv w:val="1"/>
      <w:marLeft w:val="0"/>
      <w:marRight w:val="0"/>
      <w:marTop w:val="0"/>
      <w:marBottom w:val="0"/>
      <w:divBdr>
        <w:top w:val="none" w:sz="0" w:space="0" w:color="auto"/>
        <w:left w:val="none" w:sz="0" w:space="0" w:color="auto"/>
        <w:bottom w:val="none" w:sz="0" w:space="0" w:color="auto"/>
        <w:right w:val="none" w:sz="0" w:space="0" w:color="auto"/>
      </w:divBdr>
    </w:div>
    <w:div w:id="1190143740">
      <w:marLeft w:val="480"/>
      <w:marRight w:val="0"/>
      <w:marTop w:val="0"/>
      <w:marBottom w:val="0"/>
      <w:divBdr>
        <w:top w:val="none" w:sz="0" w:space="0" w:color="auto"/>
        <w:left w:val="none" w:sz="0" w:space="0" w:color="auto"/>
        <w:bottom w:val="none" w:sz="0" w:space="0" w:color="auto"/>
        <w:right w:val="none" w:sz="0" w:space="0" w:color="auto"/>
      </w:divBdr>
    </w:div>
    <w:div w:id="1195464493">
      <w:marLeft w:val="480"/>
      <w:marRight w:val="0"/>
      <w:marTop w:val="0"/>
      <w:marBottom w:val="0"/>
      <w:divBdr>
        <w:top w:val="none" w:sz="0" w:space="0" w:color="auto"/>
        <w:left w:val="none" w:sz="0" w:space="0" w:color="auto"/>
        <w:bottom w:val="none" w:sz="0" w:space="0" w:color="auto"/>
        <w:right w:val="none" w:sz="0" w:space="0" w:color="auto"/>
      </w:divBdr>
    </w:div>
    <w:div w:id="1198547960">
      <w:marLeft w:val="480"/>
      <w:marRight w:val="0"/>
      <w:marTop w:val="0"/>
      <w:marBottom w:val="0"/>
      <w:divBdr>
        <w:top w:val="none" w:sz="0" w:space="0" w:color="auto"/>
        <w:left w:val="none" w:sz="0" w:space="0" w:color="auto"/>
        <w:bottom w:val="none" w:sz="0" w:space="0" w:color="auto"/>
        <w:right w:val="none" w:sz="0" w:space="0" w:color="auto"/>
      </w:divBdr>
    </w:div>
    <w:div w:id="1199779527">
      <w:marLeft w:val="480"/>
      <w:marRight w:val="0"/>
      <w:marTop w:val="0"/>
      <w:marBottom w:val="0"/>
      <w:divBdr>
        <w:top w:val="none" w:sz="0" w:space="0" w:color="auto"/>
        <w:left w:val="none" w:sz="0" w:space="0" w:color="auto"/>
        <w:bottom w:val="none" w:sz="0" w:space="0" w:color="auto"/>
        <w:right w:val="none" w:sz="0" w:space="0" w:color="auto"/>
      </w:divBdr>
    </w:div>
    <w:div w:id="1202666333">
      <w:marLeft w:val="480"/>
      <w:marRight w:val="0"/>
      <w:marTop w:val="0"/>
      <w:marBottom w:val="0"/>
      <w:divBdr>
        <w:top w:val="none" w:sz="0" w:space="0" w:color="auto"/>
        <w:left w:val="none" w:sz="0" w:space="0" w:color="auto"/>
        <w:bottom w:val="none" w:sz="0" w:space="0" w:color="auto"/>
        <w:right w:val="none" w:sz="0" w:space="0" w:color="auto"/>
      </w:divBdr>
    </w:div>
    <w:div w:id="1202980788">
      <w:marLeft w:val="480"/>
      <w:marRight w:val="0"/>
      <w:marTop w:val="0"/>
      <w:marBottom w:val="0"/>
      <w:divBdr>
        <w:top w:val="none" w:sz="0" w:space="0" w:color="auto"/>
        <w:left w:val="none" w:sz="0" w:space="0" w:color="auto"/>
        <w:bottom w:val="none" w:sz="0" w:space="0" w:color="auto"/>
        <w:right w:val="none" w:sz="0" w:space="0" w:color="auto"/>
      </w:divBdr>
    </w:div>
    <w:div w:id="1205363767">
      <w:marLeft w:val="480"/>
      <w:marRight w:val="0"/>
      <w:marTop w:val="0"/>
      <w:marBottom w:val="0"/>
      <w:divBdr>
        <w:top w:val="none" w:sz="0" w:space="0" w:color="auto"/>
        <w:left w:val="none" w:sz="0" w:space="0" w:color="auto"/>
        <w:bottom w:val="none" w:sz="0" w:space="0" w:color="auto"/>
        <w:right w:val="none" w:sz="0" w:space="0" w:color="auto"/>
      </w:divBdr>
    </w:div>
    <w:div w:id="1205556699">
      <w:bodyDiv w:val="1"/>
      <w:marLeft w:val="0"/>
      <w:marRight w:val="0"/>
      <w:marTop w:val="0"/>
      <w:marBottom w:val="0"/>
      <w:divBdr>
        <w:top w:val="none" w:sz="0" w:space="0" w:color="auto"/>
        <w:left w:val="none" w:sz="0" w:space="0" w:color="auto"/>
        <w:bottom w:val="none" w:sz="0" w:space="0" w:color="auto"/>
        <w:right w:val="none" w:sz="0" w:space="0" w:color="auto"/>
      </w:divBdr>
      <w:divsChild>
        <w:div w:id="317922731">
          <w:marLeft w:val="480"/>
          <w:marRight w:val="0"/>
          <w:marTop w:val="0"/>
          <w:marBottom w:val="0"/>
          <w:divBdr>
            <w:top w:val="none" w:sz="0" w:space="0" w:color="auto"/>
            <w:left w:val="none" w:sz="0" w:space="0" w:color="auto"/>
            <w:bottom w:val="none" w:sz="0" w:space="0" w:color="auto"/>
            <w:right w:val="none" w:sz="0" w:space="0" w:color="auto"/>
          </w:divBdr>
        </w:div>
        <w:div w:id="1164934934">
          <w:marLeft w:val="480"/>
          <w:marRight w:val="0"/>
          <w:marTop w:val="0"/>
          <w:marBottom w:val="0"/>
          <w:divBdr>
            <w:top w:val="none" w:sz="0" w:space="0" w:color="auto"/>
            <w:left w:val="none" w:sz="0" w:space="0" w:color="auto"/>
            <w:bottom w:val="none" w:sz="0" w:space="0" w:color="auto"/>
            <w:right w:val="none" w:sz="0" w:space="0" w:color="auto"/>
          </w:divBdr>
        </w:div>
        <w:div w:id="1599361841">
          <w:marLeft w:val="480"/>
          <w:marRight w:val="0"/>
          <w:marTop w:val="0"/>
          <w:marBottom w:val="0"/>
          <w:divBdr>
            <w:top w:val="none" w:sz="0" w:space="0" w:color="auto"/>
            <w:left w:val="none" w:sz="0" w:space="0" w:color="auto"/>
            <w:bottom w:val="none" w:sz="0" w:space="0" w:color="auto"/>
            <w:right w:val="none" w:sz="0" w:space="0" w:color="auto"/>
          </w:divBdr>
        </w:div>
        <w:div w:id="1783764787">
          <w:marLeft w:val="480"/>
          <w:marRight w:val="0"/>
          <w:marTop w:val="0"/>
          <w:marBottom w:val="0"/>
          <w:divBdr>
            <w:top w:val="none" w:sz="0" w:space="0" w:color="auto"/>
            <w:left w:val="none" w:sz="0" w:space="0" w:color="auto"/>
            <w:bottom w:val="none" w:sz="0" w:space="0" w:color="auto"/>
            <w:right w:val="none" w:sz="0" w:space="0" w:color="auto"/>
          </w:divBdr>
        </w:div>
        <w:div w:id="1827672180">
          <w:marLeft w:val="480"/>
          <w:marRight w:val="0"/>
          <w:marTop w:val="0"/>
          <w:marBottom w:val="0"/>
          <w:divBdr>
            <w:top w:val="none" w:sz="0" w:space="0" w:color="auto"/>
            <w:left w:val="none" w:sz="0" w:space="0" w:color="auto"/>
            <w:bottom w:val="none" w:sz="0" w:space="0" w:color="auto"/>
            <w:right w:val="none" w:sz="0" w:space="0" w:color="auto"/>
          </w:divBdr>
        </w:div>
        <w:div w:id="1974942956">
          <w:marLeft w:val="480"/>
          <w:marRight w:val="0"/>
          <w:marTop w:val="0"/>
          <w:marBottom w:val="0"/>
          <w:divBdr>
            <w:top w:val="none" w:sz="0" w:space="0" w:color="auto"/>
            <w:left w:val="none" w:sz="0" w:space="0" w:color="auto"/>
            <w:bottom w:val="none" w:sz="0" w:space="0" w:color="auto"/>
            <w:right w:val="none" w:sz="0" w:space="0" w:color="auto"/>
          </w:divBdr>
        </w:div>
        <w:div w:id="2047026586">
          <w:marLeft w:val="480"/>
          <w:marRight w:val="0"/>
          <w:marTop w:val="0"/>
          <w:marBottom w:val="0"/>
          <w:divBdr>
            <w:top w:val="none" w:sz="0" w:space="0" w:color="auto"/>
            <w:left w:val="none" w:sz="0" w:space="0" w:color="auto"/>
            <w:bottom w:val="none" w:sz="0" w:space="0" w:color="auto"/>
            <w:right w:val="none" w:sz="0" w:space="0" w:color="auto"/>
          </w:divBdr>
        </w:div>
      </w:divsChild>
    </w:div>
    <w:div w:id="1205558474">
      <w:marLeft w:val="480"/>
      <w:marRight w:val="0"/>
      <w:marTop w:val="0"/>
      <w:marBottom w:val="0"/>
      <w:divBdr>
        <w:top w:val="none" w:sz="0" w:space="0" w:color="auto"/>
        <w:left w:val="none" w:sz="0" w:space="0" w:color="auto"/>
        <w:bottom w:val="none" w:sz="0" w:space="0" w:color="auto"/>
        <w:right w:val="none" w:sz="0" w:space="0" w:color="auto"/>
      </w:divBdr>
    </w:div>
    <w:div w:id="1207527098">
      <w:marLeft w:val="480"/>
      <w:marRight w:val="0"/>
      <w:marTop w:val="0"/>
      <w:marBottom w:val="0"/>
      <w:divBdr>
        <w:top w:val="none" w:sz="0" w:space="0" w:color="auto"/>
        <w:left w:val="none" w:sz="0" w:space="0" w:color="auto"/>
        <w:bottom w:val="none" w:sz="0" w:space="0" w:color="auto"/>
        <w:right w:val="none" w:sz="0" w:space="0" w:color="auto"/>
      </w:divBdr>
    </w:div>
    <w:div w:id="1209368408">
      <w:bodyDiv w:val="1"/>
      <w:marLeft w:val="0"/>
      <w:marRight w:val="0"/>
      <w:marTop w:val="0"/>
      <w:marBottom w:val="0"/>
      <w:divBdr>
        <w:top w:val="none" w:sz="0" w:space="0" w:color="auto"/>
        <w:left w:val="none" w:sz="0" w:space="0" w:color="auto"/>
        <w:bottom w:val="none" w:sz="0" w:space="0" w:color="auto"/>
        <w:right w:val="none" w:sz="0" w:space="0" w:color="auto"/>
      </w:divBdr>
    </w:div>
    <w:div w:id="1210923867">
      <w:marLeft w:val="480"/>
      <w:marRight w:val="0"/>
      <w:marTop w:val="0"/>
      <w:marBottom w:val="0"/>
      <w:divBdr>
        <w:top w:val="none" w:sz="0" w:space="0" w:color="auto"/>
        <w:left w:val="none" w:sz="0" w:space="0" w:color="auto"/>
        <w:bottom w:val="none" w:sz="0" w:space="0" w:color="auto"/>
        <w:right w:val="none" w:sz="0" w:space="0" w:color="auto"/>
      </w:divBdr>
    </w:div>
    <w:div w:id="1218931079">
      <w:marLeft w:val="480"/>
      <w:marRight w:val="0"/>
      <w:marTop w:val="0"/>
      <w:marBottom w:val="0"/>
      <w:divBdr>
        <w:top w:val="none" w:sz="0" w:space="0" w:color="auto"/>
        <w:left w:val="none" w:sz="0" w:space="0" w:color="auto"/>
        <w:bottom w:val="none" w:sz="0" w:space="0" w:color="auto"/>
        <w:right w:val="none" w:sz="0" w:space="0" w:color="auto"/>
      </w:divBdr>
    </w:div>
    <w:div w:id="1219822333">
      <w:marLeft w:val="480"/>
      <w:marRight w:val="0"/>
      <w:marTop w:val="0"/>
      <w:marBottom w:val="0"/>
      <w:divBdr>
        <w:top w:val="none" w:sz="0" w:space="0" w:color="auto"/>
        <w:left w:val="none" w:sz="0" w:space="0" w:color="auto"/>
        <w:bottom w:val="none" w:sz="0" w:space="0" w:color="auto"/>
        <w:right w:val="none" w:sz="0" w:space="0" w:color="auto"/>
      </w:divBdr>
    </w:div>
    <w:div w:id="1221096327">
      <w:marLeft w:val="480"/>
      <w:marRight w:val="0"/>
      <w:marTop w:val="0"/>
      <w:marBottom w:val="0"/>
      <w:divBdr>
        <w:top w:val="none" w:sz="0" w:space="0" w:color="auto"/>
        <w:left w:val="none" w:sz="0" w:space="0" w:color="auto"/>
        <w:bottom w:val="none" w:sz="0" w:space="0" w:color="auto"/>
        <w:right w:val="none" w:sz="0" w:space="0" w:color="auto"/>
      </w:divBdr>
    </w:div>
    <w:div w:id="1224635669">
      <w:bodyDiv w:val="1"/>
      <w:marLeft w:val="0"/>
      <w:marRight w:val="0"/>
      <w:marTop w:val="0"/>
      <w:marBottom w:val="0"/>
      <w:divBdr>
        <w:top w:val="none" w:sz="0" w:space="0" w:color="auto"/>
        <w:left w:val="none" w:sz="0" w:space="0" w:color="auto"/>
        <w:bottom w:val="none" w:sz="0" w:space="0" w:color="auto"/>
        <w:right w:val="none" w:sz="0" w:space="0" w:color="auto"/>
      </w:divBdr>
    </w:div>
    <w:div w:id="1229654796">
      <w:marLeft w:val="480"/>
      <w:marRight w:val="0"/>
      <w:marTop w:val="0"/>
      <w:marBottom w:val="0"/>
      <w:divBdr>
        <w:top w:val="none" w:sz="0" w:space="0" w:color="auto"/>
        <w:left w:val="none" w:sz="0" w:space="0" w:color="auto"/>
        <w:bottom w:val="none" w:sz="0" w:space="0" w:color="auto"/>
        <w:right w:val="none" w:sz="0" w:space="0" w:color="auto"/>
      </w:divBdr>
    </w:div>
    <w:div w:id="1229997317">
      <w:marLeft w:val="480"/>
      <w:marRight w:val="0"/>
      <w:marTop w:val="0"/>
      <w:marBottom w:val="0"/>
      <w:divBdr>
        <w:top w:val="none" w:sz="0" w:space="0" w:color="auto"/>
        <w:left w:val="none" w:sz="0" w:space="0" w:color="auto"/>
        <w:bottom w:val="none" w:sz="0" w:space="0" w:color="auto"/>
        <w:right w:val="none" w:sz="0" w:space="0" w:color="auto"/>
      </w:divBdr>
    </w:div>
    <w:div w:id="1230188188">
      <w:marLeft w:val="480"/>
      <w:marRight w:val="0"/>
      <w:marTop w:val="0"/>
      <w:marBottom w:val="0"/>
      <w:divBdr>
        <w:top w:val="none" w:sz="0" w:space="0" w:color="auto"/>
        <w:left w:val="none" w:sz="0" w:space="0" w:color="auto"/>
        <w:bottom w:val="none" w:sz="0" w:space="0" w:color="auto"/>
        <w:right w:val="none" w:sz="0" w:space="0" w:color="auto"/>
      </w:divBdr>
    </w:div>
    <w:div w:id="1230576168">
      <w:marLeft w:val="480"/>
      <w:marRight w:val="0"/>
      <w:marTop w:val="0"/>
      <w:marBottom w:val="0"/>
      <w:divBdr>
        <w:top w:val="none" w:sz="0" w:space="0" w:color="auto"/>
        <w:left w:val="none" w:sz="0" w:space="0" w:color="auto"/>
        <w:bottom w:val="none" w:sz="0" w:space="0" w:color="auto"/>
        <w:right w:val="none" w:sz="0" w:space="0" w:color="auto"/>
      </w:divBdr>
    </w:div>
    <w:div w:id="1233396272">
      <w:bodyDiv w:val="1"/>
      <w:marLeft w:val="0"/>
      <w:marRight w:val="0"/>
      <w:marTop w:val="0"/>
      <w:marBottom w:val="0"/>
      <w:divBdr>
        <w:top w:val="none" w:sz="0" w:space="0" w:color="auto"/>
        <w:left w:val="none" w:sz="0" w:space="0" w:color="auto"/>
        <w:bottom w:val="none" w:sz="0" w:space="0" w:color="auto"/>
        <w:right w:val="none" w:sz="0" w:space="0" w:color="auto"/>
      </w:divBdr>
    </w:div>
    <w:div w:id="1236696972">
      <w:marLeft w:val="480"/>
      <w:marRight w:val="0"/>
      <w:marTop w:val="0"/>
      <w:marBottom w:val="0"/>
      <w:divBdr>
        <w:top w:val="none" w:sz="0" w:space="0" w:color="auto"/>
        <w:left w:val="none" w:sz="0" w:space="0" w:color="auto"/>
        <w:bottom w:val="none" w:sz="0" w:space="0" w:color="auto"/>
        <w:right w:val="none" w:sz="0" w:space="0" w:color="auto"/>
      </w:divBdr>
    </w:div>
    <w:div w:id="1241062849">
      <w:bodyDiv w:val="1"/>
      <w:marLeft w:val="0"/>
      <w:marRight w:val="0"/>
      <w:marTop w:val="0"/>
      <w:marBottom w:val="0"/>
      <w:divBdr>
        <w:top w:val="none" w:sz="0" w:space="0" w:color="auto"/>
        <w:left w:val="none" w:sz="0" w:space="0" w:color="auto"/>
        <w:bottom w:val="none" w:sz="0" w:space="0" w:color="auto"/>
        <w:right w:val="none" w:sz="0" w:space="0" w:color="auto"/>
      </w:divBdr>
    </w:div>
    <w:div w:id="1241478403">
      <w:marLeft w:val="480"/>
      <w:marRight w:val="0"/>
      <w:marTop w:val="0"/>
      <w:marBottom w:val="0"/>
      <w:divBdr>
        <w:top w:val="none" w:sz="0" w:space="0" w:color="auto"/>
        <w:left w:val="none" w:sz="0" w:space="0" w:color="auto"/>
        <w:bottom w:val="none" w:sz="0" w:space="0" w:color="auto"/>
        <w:right w:val="none" w:sz="0" w:space="0" w:color="auto"/>
      </w:divBdr>
    </w:div>
    <w:div w:id="1250040510">
      <w:marLeft w:val="480"/>
      <w:marRight w:val="0"/>
      <w:marTop w:val="0"/>
      <w:marBottom w:val="0"/>
      <w:divBdr>
        <w:top w:val="none" w:sz="0" w:space="0" w:color="auto"/>
        <w:left w:val="none" w:sz="0" w:space="0" w:color="auto"/>
        <w:bottom w:val="none" w:sz="0" w:space="0" w:color="auto"/>
        <w:right w:val="none" w:sz="0" w:space="0" w:color="auto"/>
      </w:divBdr>
    </w:div>
    <w:div w:id="1253974155">
      <w:marLeft w:val="480"/>
      <w:marRight w:val="0"/>
      <w:marTop w:val="0"/>
      <w:marBottom w:val="0"/>
      <w:divBdr>
        <w:top w:val="none" w:sz="0" w:space="0" w:color="auto"/>
        <w:left w:val="none" w:sz="0" w:space="0" w:color="auto"/>
        <w:bottom w:val="none" w:sz="0" w:space="0" w:color="auto"/>
        <w:right w:val="none" w:sz="0" w:space="0" w:color="auto"/>
      </w:divBdr>
    </w:div>
    <w:div w:id="1256935481">
      <w:marLeft w:val="480"/>
      <w:marRight w:val="0"/>
      <w:marTop w:val="0"/>
      <w:marBottom w:val="0"/>
      <w:divBdr>
        <w:top w:val="none" w:sz="0" w:space="0" w:color="auto"/>
        <w:left w:val="none" w:sz="0" w:space="0" w:color="auto"/>
        <w:bottom w:val="none" w:sz="0" w:space="0" w:color="auto"/>
        <w:right w:val="none" w:sz="0" w:space="0" w:color="auto"/>
      </w:divBdr>
    </w:div>
    <w:div w:id="1258059644">
      <w:marLeft w:val="480"/>
      <w:marRight w:val="0"/>
      <w:marTop w:val="0"/>
      <w:marBottom w:val="0"/>
      <w:divBdr>
        <w:top w:val="none" w:sz="0" w:space="0" w:color="auto"/>
        <w:left w:val="none" w:sz="0" w:space="0" w:color="auto"/>
        <w:bottom w:val="none" w:sz="0" w:space="0" w:color="auto"/>
        <w:right w:val="none" w:sz="0" w:space="0" w:color="auto"/>
      </w:divBdr>
    </w:div>
    <w:div w:id="1263686700">
      <w:marLeft w:val="480"/>
      <w:marRight w:val="0"/>
      <w:marTop w:val="0"/>
      <w:marBottom w:val="0"/>
      <w:divBdr>
        <w:top w:val="none" w:sz="0" w:space="0" w:color="auto"/>
        <w:left w:val="none" w:sz="0" w:space="0" w:color="auto"/>
        <w:bottom w:val="none" w:sz="0" w:space="0" w:color="auto"/>
        <w:right w:val="none" w:sz="0" w:space="0" w:color="auto"/>
      </w:divBdr>
    </w:div>
    <w:div w:id="1263731264">
      <w:marLeft w:val="480"/>
      <w:marRight w:val="0"/>
      <w:marTop w:val="0"/>
      <w:marBottom w:val="0"/>
      <w:divBdr>
        <w:top w:val="none" w:sz="0" w:space="0" w:color="auto"/>
        <w:left w:val="none" w:sz="0" w:space="0" w:color="auto"/>
        <w:bottom w:val="none" w:sz="0" w:space="0" w:color="auto"/>
        <w:right w:val="none" w:sz="0" w:space="0" w:color="auto"/>
      </w:divBdr>
    </w:div>
    <w:div w:id="1266503836">
      <w:marLeft w:val="480"/>
      <w:marRight w:val="0"/>
      <w:marTop w:val="0"/>
      <w:marBottom w:val="0"/>
      <w:divBdr>
        <w:top w:val="none" w:sz="0" w:space="0" w:color="auto"/>
        <w:left w:val="none" w:sz="0" w:space="0" w:color="auto"/>
        <w:bottom w:val="none" w:sz="0" w:space="0" w:color="auto"/>
        <w:right w:val="none" w:sz="0" w:space="0" w:color="auto"/>
      </w:divBdr>
    </w:div>
    <w:div w:id="1269464874">
      <w:bodyDiv w:val="1"/>
      <w:marLeft w:val="0"/>
      <w:marRight w:val="0"/>
      <w:marTop w:val="0"/>
      <w:marBottom w:val="0"/>
      <w:divBdr>
        <w:top w:val="none" w:sz="0" w:space="0" w:color="auto"/>
        <w:left w:val="none" w:sz="0" w:space="0" w:color="auto"/>
        <w:bottom w:val="none" w:sz="0" w:space="0" w:color="auto"/>
        <w:right w:val="none" w:sz="0" w:space="0" w:color="auto"/>
      </w:divBdr>
      <w:divsChild>
        <w:div w:id="192001638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74749618">
      <w:marLeft w:val="480"/>
      <w:marRight w:val="0"/>
      <w:marTop w:val="0"/>
      <w:marBottom w:val="0"/>
      <w:divBdr>
        <w:top w:val="none" w:sz="0" w:space="0" w:color="auto"/>
        <w:left w:val="none" w:sz="0" w:space="0" w:color="auto"/>
        <w:bottom w:val="none" w:sz="0" w:space="0" w:color="auto"/>
        <w:right w:val="none" w:sz="0" w:space="0" w:color="auto"/>
      </w:divBdr>
    </w:div>
    <w:div w:id="1275600389">
      <w:marLeft w:val="480"/>
      <w:marRight w:val="0"/>
      <w:marTop w:val="0"/>
      <w:marBottom w:val="0"/>
      <w:divBdr>
        <w:top w:val="none" w:sz="0" w:space="0" w:color="auto"/>
        <w:left w:val="none" w:sz="0" w:space="0" w:color="auto"/>
        <w:bottom w:val="none" w:sz="0" w:space="0" w:color="auto"/>
        <w:right w:val="none" w:sz="0" w:space="0" w:color="auto"/>
      </w:divBdr>
    </w:div>
    <w:div w:id="1276673211">
      <w:marLeft w:val="480"/>
      <w:marRight w:val="0"/>
      <w:marTop w:val="0"/>
      <w:marBottom w:val="0"/>
      <w:divBdr>
        <w:top w:val="none" w:sz="0" w:space="0" w:color="auto"/>
        <w:left w:val="none" w:sz="0" w:space="0" w:color="auto"/>
        <w:bottom w:val="none" w:sz="0" w:space="0" w:color="auto"/>
        <w:right w:val="none" w:sz="0" w:space="0" w:color="auto"/>
      </w:divBdr>
    </w:div>
    <w:div w:id="1278367836">
      <w:marLeft w:val="480"/>
      <w:marRight w:val="0"/>
      <w:marTop w:val="0"/>
      <w:marBottom w:val="0"/>
      <w:divBdr>
        <w:top w:val="none" w:sz="0" w:space="0" w:color="auto"/>
        <w:left w:val="none" w:sz="0" w:space="0" w:color="auto"/>
        <w:bottom w:val="none" w:sz="0" w:space="0" w:color="auto"/>
        <w:right w:val="none" w:sz="0" w:space="0" w:color="auto"/>
      </w:divBdr>
    </w:div>
    <w:div w:id="1278869981">
      <w:marLeft w:val="480"/>
      <w:marRight w:val="0"/>
      <w:marTop w:val="0"/>
      <w:marBottom w:val="0"/>
      <w:divBdr>
        <w:top w:val="none" w:sz="0" w:space="0" w:color="auto"/>
        <w:left w:val="none" w:sz="0" w:space="0" w:color="auto"/>
        <w:bottom w:val="none" w:sz="0" w:space="0" w:color="auto"/>
        <w:right w:val="none" w:sz="0" w:space="0" w:color="auto"/>
      </w:divBdr>
    </w:div>
    <w:div w:id="1280145461">
      <w:marLeft w:val="480"/>
      <w:marRight w:val="0"/>
      <w:marTop w:val="0"/>
      <w:marBottom w:val="0"/>
      <w:divBdr>
        <w:top w:val="none" w:sz="0" w:space="0" w:color="auto"/>
        <w:left w:val="none" w:sz="0" w:space="0" w:color="auto"/>
        <w:bottom w:val="none" w:sz="0" w:space="0" w:color="auto"/>
        <w:right w:val="none" w:sz="0" w:space="0" w:color="auto"/>
      </w:divBdr>
    </w:div>
    <w:div w:id="1281451378">
      <w:marLeft w:val="480"/>
      <w:marRight w:val="0"/>
      <w:marTop w:val="0"/>
      <w:marBottom w:val="0"/>
      <w:divBdr>
        <w:top w:val="none" w:sz="0" w:space="0" w:color="auto"/>
        <w:left w:val="none" w:sz="0" w:space="0" w:color="auto"/>
        <w:bottom w:val="none" w:sz="0" w:space="0" w:color="auto"/>
        <w:right w:val="none" w:sz="0" w:space="0" w:color="auto"/>
      </w:divBdr>
    </w:div>
    <w:div w:id="1282423127">
      <w:marLeft w:val="480"/>
      <w:marRight w:val="0"/>
      <w:marTop w:val="0"/>
      <w:marBottom w:val="0"/>
      <w:divBdr>
        <w:top w:val="none" w:sz="0" w:space="0" w:color="auto"/>
        <w:left w:val="none" w:sz="0" w:space="0" w:color="auto"/>
        <w:bottom w:val="none" w:sz="0" w:space="0" w:color="auto"/>
        <w:right w:val="none" w:sz="0" w:space="0" w:color="auto"/>
      </w:divBdr>
    </w:div>
    <w:div w:id="1287153260">
      <w:marLeft w:val="480"/>
      <w:marRight w:val="0"/>
      <w:marTop w:val="0"/>
      <w:marBottom w:val="0"/>
      <w:divBdr>
        <w:top w:val="none" w:sz="0" w:space="0" w:color="auto"/>
        <w:left w:val="none" w:sz="0" w:space="0" w:color="auto"/>
        <w:bottom w:val="none" w:sz="0" w:space="0" w:color="auto"/>
        <w:right w:val="none" w:sz="0" w:space="0" w:color="auto"/>
      </w:divBdr>
    </w:div>
    <w:div w:id="1288509342">
      <w:marLeft w:val="480"/>
      <w:marRight w:val="0"/>
      <w:marTop w:val="0"/>
      <w:marBottom w:val="0"/>
      <w:divBdr>
        <w:top w:val="none" w:sz="0" w:space="0" w:color="auto"/>
        <w:left w:val="none" w:sz="0" w:space="0" w:color="auto"/>
        <w:bottom w:val="none" w:sz="0" w:space="0" w:color="auto"/>
        <w:right w:val="none" w:sz="0" w:space="0" w:color="auto"/>
      </w:divBdr>
    </w:div>
    <w:div w:id="1288851427">
      <w:marLeft w:val="480"/>
      <w:marRight w:val="0"/>
      <w:marTop w:val="0"/>
      <w:marBottom w:val="0"/>
      <w:divBdr>
        <w:top w:val="none" w:sz="0" w:space="0" w:color="auto"/>
        <w:left w:val="none" w:sz="0" w:space="0" w:color="auto"/>
        <w:bottom w:val="none" w:sz="0" w:space="0" w:color="auto"/>
        <w:right w:val="none" w:sz="0" w:space="0" w:color="auto"/>
      </w:divBdr>
    </w:div>
    <w:div w:id="1289245059">
      <w:marLeft w:val="480"/>
      <w:marRight w:val="0"/>
      <w:marTop w:val="0"/>
      <w:marBottom w:val="0"/>
      <w:divBdr>
        <w:top w:val="none" w:sz="0" w:space="0" w:color="auto"/>
        <w:left w:val="none" w:sz="0" w:space="0" w:color="auto"/>
        <w:bottom w:val="none" w:sz="0" w:space="0" w:color="auto"/>
        <w:right w:val="none" w:sz="0" w:space="0" w:color="auto"/>
      </w:divBdr>
    </w:div>
    <w:div w:id="1290434888">
      <w:marLeft w:val="480"/>
      <w:marRight w:val="0"/>
      <w:marTop w:val="0"/>
      <w:marBottom w:val="0"/>
      <w:divBdr>
        <w:top w:val="none" w:sz="0" w:space="0" w:color="auto"/>
        <w:left w:val="none" w:sz="0" w:space="0" w:color="auto"/>
        <w:bottom w:val="none" w:sz="0" w:space="0" w:color="auto"/>
        <w:right w:val="none" w:sz="0" w:space="0" w:color="auto"/>
      </w:divBdr>
    </w:div>
    <w:div w:id="1292398973">
      <w:marLeft w:val="480"/>
      <w:marRight w:val="0"/>
      <w:marTop w:val="0"/>
      <w:marBottom w:val="0"/>
      <w:divBdr>
        <w:top w:val="none" w:sz="0" w:space="0" w:color="auto"/>
        <w:left w:val="none" w:sz="0" w:space="0" w:color="auto"/>
        <w:bottom w:val="none" w:sz="0" w:space="0" w:color="auto"/>
        <w:right w:val="none" w:sz="0" w:space="0" w:color="auto"/>
      </w:divBdr>
    </w:div>
    <w:div w:id="1292860909">
      <w:marLeft w:val="480"/>
      <w:marRight w:val="0"/>
      <w:marTop w:val="0"/>
      <w:marBottom w:val="0"/>
      <w:divBdr>
        <w:top w:val="none" w:sz="0" w:space="0" w:color="auto"/>
        <w:left w:val="none" w:sz="0" w:space="0" w:color="auto"/>
        <w:bottom w:val="none" w:sz="0" w:space="0" w:color="auto"/>
        <w:right w:val="none" w:sz="0" w:space="0" w:color="auto"/>
      </w:divBdr>
    </w:div>
    <w:div w:id="1293444533">
      <w:marLeft w:val="480"/>
      <w:marRight w:val="0"/>
      <w:marTop w:val="0"/>
      <w:marBottom w:val="0"/>
      <w:divBdr>
        <w:top w:val="none" w:sz="0" w:space="0" w:color="auto"/>
        <w:left w:val="none" w:sz="0" w:space="0" w:color="auto"/>
        <w:bottom w:val="none" w:sz="0" w:space="0" w:color="auto"/>
        <w:right w:val="none" w:sz="0" w:space="0" w:color="auto"/>
      </w:divBdr>
    </w:div>
    <w:div w:id="1293824296">
      <w:marLeft w:val="480"/>
      <w:marRight w:val="0"/>
      <w:marTop w:val="0"/>
      <w:marBottom w:val="0"/>
      <w:divBdr>
        <w:top w:val="none" w:sz="0" w:space="0" w:color="auto"/>
        <w:left w:val="none" w:sz="0" w:space="0" w:color="auto"/>
        <w:bottom w:val="none" w:sz="0" w:space="0" w:color="auto"/>
        <w:right w:val="none" w:sz="0" w:space="0" w:color="auto"/>
      </w:divBdr>
    </w:div>
    <w:div w:id="1294287569">
      <w:marLeft w:val="480"/>
      <w:marRight w:val="0"/>
      <w:marTop w:val="0"/>
      <w:marBottom w:val="0"/>
      <w:divBdr>
        <w:top w:val="none" w:sz="0" w:space="0" w:color="auto"/>
        <w:left w:val="none" w:sz="0" w:space="0" w:color="auto"/>
        <w:bottom w:val="none" w:sz="0" w:space="0" w:color="auto"/>
        <w:right w:val="none" w:sz="0" w:space="0" w:color="auto"/>
      </w:divBdr>
    </w:div>
    <w:div w:id="1295795212">
      <w:marLeft w:val="480"/>
      <w:marRight w:val="0"/>
      <w:marTop w:val="0"/>
      <w:marBottom w:val="0"/>
      <w:divBdr>
        <w:top w:val="none" w:sz="0" w:space="0" w:color="auto"/>
        <w:left w:val="none" w:sz="0" w:space="0" w:color="auto"/>
        <w:bottom w:val="none" w:sz="0" w:space="0" w:color="auto"/>
        <w:right w:val="none" w:sz="0" w:space="0" w:color="auto"/>
      </w:divBdr>
    </w:div>
    <w:div w:id="1295865099">
      <w:marLeft w:val="480"/>
      <w:marRight w:val="0"/>
      <w:marTop w:val="0"/>
      <w:marBottom w:val="0"/>
      <w:divBdr>
        <w:top w:val="none" w:sz="0" w:space="0" w:color="auto"/>
        <w:left w:val="none" w:sz="0" w:space="0" w:color="auto"/>
        <w:bottom w:val="none" w:sz="0" w:space="0" w:color="auto"/>
        <w:right w:val="none" w:sz="0" w:space="0" w:color="auto"/>
      </w:divBdr>
    </w:div>
    <w:div w:id="1296180866">
      <w:marLeft w:val="480"/>
      <w:marRight w:val="0"/>
      <w:marTop w:val="0"/>
      <w:marBottom w:val="0"/>
      <w:divBdr>
        <w:top w:val="none" w:sz="0" w:space="0" w:color="auto"/>
        <w:left w:val="none" w:sz="0" w:space="0" w:color="auto"/>
        <w:bottom w:val="none" w:sz="0" w:space="0" w:color="auto"/>
        <w:right w:val="none" w:sz="0" w:space="0" w:color="auto"/>
      </w:divBdr>
    </w:div>
    <w:div w:id="1297834852">
      <w:bodyDiv w:val="1"/>
      <w:marLeft w:val="0"/>
      <w:marRight w:val="0"/>
      <w:marTop w:val="0"/>
      <w:marBottom w:val="0"/>
      <w:divBdr>
        <w:top w:val="none" w:sz="0" w:space="0" w:color="auto"/>
        <w:left w:val="none" w:sz="0" w:space="0" w:color="auto"/>
        <w:bottom w:val="none" w:sz="0" w:space="0" w:color="auto"/>
        <w:right w:val="none" w:sz="0" w:space="0" w:color="auto"/>
      </w:divBdr>
      <w:divsChild>
        <w:div w:id="377124897">
          <w:marLeft w:val="480"/>
          <w:marRight w:val="0"/>
          <w:marTop w:val="0"/>
          <w:marBottom w:val="0"/>
          <w:divBdr>
            <w:top w:val="none" w:sz="0" w:space="0" w:color="auto"/>
            <w:left w:val="none" w:sz="0" w:space="0" w:color="auto"/>
            <w:bottom w:val="none" w:sz="0" w:space="0" w:color="auto"/>
            <w:right w:val="none" w:sz="0" w:space="0" w:color="auto"/>
          </w:divBdr>
        </w:div>
        <w:div w:id="560287302">
          <w:marLeft w:val="480"/>
          <w:marRight w:val="0"/>
          <w:marTop w:val="0"/>
          <w:marBottom w:val="0"/>
          <w:divBdr>
            <w:top w:val="none" w:sz="0" w:space="0" w:color="auto"/>
            <w:left w:val="none" w:sz="0" w:space="0" w:color="auto"/>
            <w:bottom w:val="none" w:sz="0" w:space="0" w:color="auto"/>
            <w:right w:val="none" w:sz="0" w:space="0" w:color="auto"/>
          </w:divBdr>
        </w:div>
        <w:div w:id="639387070">
          <w:marLeft w:val="480"/>
          <w:marRight w:val="0"/>
          <w:marTop w:val="0"/>
          <w:marBottom w:val="0"/>
          <w:divBdr>
            <w:top w:val="none" w:sz="0" w:space="0" w:color="auto"/>
            <w:left w:val="none" w:sz="0" w:space="0" w:color="auto"/>
            <w:bottom w:val="none" w:sz="0" w:space="0" w:color="auto"/>
            <w:right w:val="none" w:sz="0" w:space="0" w:color="auto"/>
          </w:divBdr>
        </w:div>
        <w:div w:id="776565025">
          <w:marLeft w:val="480"/>
          <w:marRight w:val="0"/>
          <w:marTop w:val="0"/>
          <w:marBottom w:val="0"/>
          <w:divBdr>
            <w:top w:val="none" w:sz="0" w:space="0" w:color="auto"/>
            <w:left w:val="none" w:sz="0" w:space="0" w:color="auto"/>
            <w:bottom w:val="none" w:sz="0" w:space="0" w:color="auto"/>
            <w:right w:val="none" w:sz="0" w:space="0" w:color="auto"/>
          </w:divBdr>
        </w:div>
        <w:div w:id="847063359">
          <w:marLeft w:val="480"/>
          <w:marRight w:val="0"/>
          <w:marTop w:val="0"/>
          <w:marBottom w:val="0"/>
          <w:divBdr>
            <w:top w:val="none" w:sz="0" w:space="0" w:color="auto"/>
            <w:left w:val="none" w:sz="0" w:space="0" w:color="auto"/>
            <w:bottom w:val="none" w:sz="0" w:space="0" w:color="auto"/>
            <w:right w:val="none" w:sz="0" w:space="0" w:color="auto"/>
          </w:divBdr>
        </w:div>
        <w:div w:id="1036347833">
          <w:marLeft w:val="480"/>
          <w:marRight w:val="0"/>
          <w:marTop w:val="0"/>
          <w:marBottom w:val="0"/>
          <w:divBdr>
            <w:top w:val="none" w:sz="0" w:space="0" w:color="auto"/>
            <w:left w:val="none" w:sz="0" w:space="0" w:color="auto"/>
            <w:bottom w:val="none" w:sz="0" w:space="0" w:color="auto"/>
            <w:right w:val="none" w:sz="0" w:space="0" w:color="auto"/>
          </w:divBdr>
        </w:div>
        <w:div w:id="1235747456">
          <w:marLeft w:val="480"/>
          <w:marRight w:val="0"/>
          <w:marTop w:val="0"/>
          <w:marBottom w:val="0"/>
          <w:divBdr>
            <w:top w:val="none" w:sz="0" w:space="0" w:color="auto"/>
            <w:left w:val="none" w:sz="0" w:space="0" w:color="auto"/>
            <w:bottom w:val="none" w:sz="0" w:space="0" w:color="auto"/>
            <w:right w:val="none" w:sz="0" w:space="0" w:color="auto"/>
          </w:divBdr>
        </w:div>
        <w:div w:id="1719670420">
          <w:marLeft w:val="480"/>
          <w:marRight w:val="0"/>
          <w:marTop w:val="0"/>
          <w:marBottom w:val="0"/>
          <w:divBdr>
            <w:top w:val="none" w:sz="0" w:space="0" w:color="auto"/>
            <w:left w:val="none" w:sz="0" w:space="0" w:color="auto"/>
            <w:bottom w:val="none" w:sz="0" w:space="0" w:color="auto"/>
            <w:right w:val="none" w:sz="0" w:space="0" w:color="auto"/>
          </w:divBdr>
        </w:div>
        <w:div w:id="1846238775">
          <w:marLeft w:val="480"/>
          <w:marRight w:val="0"/>
          <w:marTop w:val="0"/>
          <w:marBottom w:val="0"/>
          <w:divBdr>
            <w:top w:val="none" w:sz="0" w:space="0" w:color="auto"/>
            <w:left w:val="none" w:sz="0" w:space="0" w:color="auto"/>
            <w:bottom w:val="none" w:sz="0" w:space="0" w:color="auto"/>
            <w:right w:val="none" w:sz="0" w:space="0" w:color="auto"/>
          </w:divBdr>
        </w:div>
        <w:div w:id="1989506199">
          <w:marLeft w:val="480"/>
          <w:marRight w:val="0"/>
          <w:marTop w:val="0"/>
          <w:marBottom w:val="0"/>
          <w:divBdr>
            <w:top w:val="none" w:sz="0" w:space="0" w:color="auto"/>
            <w:left w:val="none" w:sz="0" w:space="0" w:color="auto"/>
            <w:bottom w:val="none" w:sz="0" w:space="0" w:color="auto"/>
            <w:right w:val="none" w:sz="0" w:space="0" w:color="auto"/>
          </w:divBdr>
        </w:div>
        <w:div w:id="2140879328">
          <w:marLeft w:val="480"/>
          <w:marRight w:val="0"/>
          <w:marTop w:val="0"/>
          <w:marBottom w:val="0"/>
          <w:divBdr>
            <w:top w:val="none" w:sz="0" w:space="0" w:color="auto"/>
            <w:left w:val="none" w:sz="0" w:space="0" w:color="auto"/>
            <w:bottom w:val="none" w:sz="0" w:space="0" w:color="auto"/>
            <w:right w:val="none" w:sz="0" w:space="0" w:color="auto"/>
          </w:divBdr>
        </w:div>
      </w:divsChild>
    </w:div>
    <w:div w:id="1298031417">
      <w:marLeft w:val="480"/>
      <w:marRight w:val="0"/>
      <w:marTop w:val="0"/>
      <w:marBottom w:val="0"/>
      <w:divBdr>
        <w:top w:val="none" w:sz="0" w:space="0" w:color="auto"/>
        <w:left w:val="none" w:sz="0" w:space="0" w:color="auto"/>
        <w:bottom w:val="none" w:sz="0" w:space="0" w:color="auto"/>
        <w:right w:val="none" w:sz="0" w:space="0" w:color="auto"/>
      </w:divBdr>
    </w:div>
    <w:div w:id="1300963611">
      <w:marLeft w:val="480"/>
      <w:marRight w:val="0"/>
      <w:marTop w:val="0"/>
      <w:marBottom w:val="0"/>
      <w:divBdr>
        <w:top w:val="none" w:sz="0" w:space="0" w:color="auto"/>
        <w:left w:val="none" w:sz="0" w:space="0" w:color="auto"/>
        <w:bottom w:val="none" w:sz="0" w:space="0" w:color="auto"/>
        <w:right w:val="none" w:sz="0" w:space="0" w:color="auto"/>
      </w:divBdr>
    </w:div>
    <w:div w:id="1301959854">
      <w:marLeft w:val="480"/>
      <w:marRight w:val="0"/>
      <w:marTop w:val="0"/>
      <w:marBottom w:val="0"/>
      <w:divBdr>
        <w:top w:val="none" w:sz="0" w:space="0" w:color="auto"/>
        <w:left w:val="none" w:sz="0" w:space="0" w:color="auto"/>
        <w:bottom w:val="none" w:sz="0" w:space="0" w:color="auto"/>
        <w:right w:val="none" w:sz="0" w:space="0" w:color="auto"/>
      </w:divBdr>
    </w:div>
    <w:div w:id="1306742764">
      <w:marLeft w:val="480"/>
      <w:marRight w:val="0"/>
      <w:marTop w:val="0"/>
      <w:marBottom w:val="0"/>
      <w:divBdr>
        <w:top w:val="none" w:sz="0" w:space="0" w:color="auto"/>
        <w:left w:val="none" w:sz="0" w:space="0" w:color="auto"/>
        <w:bottom w:val="none" w:sz="0" w:space="0" w:color="auto"/>
        <w:right w:val="none" w:sz="0" w:space="0" w:color="auto"/>
      </w:divBdr>
    </w:div>
    <w:div w:id="1306818572">
      <w:marLeft w:val="480"/>
      <w:marRight w:val="0"/>
      <w:marTop w:val="0"/>
      <w:marBottom w:val="0"/>
      <w:divBdr>
        <w:top w:val="none" w:sz="0" w:space="0" w:color="auto"/>
        <w:left w:val="none" w:sz="0" w:space="0" w:color="auto"/>
        <w:bottom w:val="none" w:sz="0" w:space="0" w:color="auto"/>
        <w:right w:val="none" w:sz="0" w:space="0" w:color="auto"/>
      </w:divBdr>
    </w:div>
    <w:div w:id="1307933784">
      <w:marLeft w:val="480"/>
      <w:marRight w:val="0"/>
      <w:marTop w:val="0"/>
      <w:marBottom w:val="0"/>
      <w:divBdr>
        <w:top w:val="none" w:sz="0" w:space="0" w:color="auto"/>
        <w:left w:val="none" w:sz="0" w:space="0" w:color="auto"/>
        <w:bottom w:val="none" w:sz="0" w:space="0" w:color="auto"/>
        <w:right w:val="none" w:sz="0" w:space="0" w:color="auto"/>
      </w:divBdr>
    </w:div>
    <w:div w:id="1309936474">
      <w:marLeft w:val="480"/>
      <w:marRight w:val="0"/>
      <w:marTop w:val="0"/>
      <w:marBottom w:val="0"/>
      <w:divBdr>
        <w:top w:val="none" w:sz="0" w:space="0" w:color="auto"/>
        <w:left w:val="none" w:sz="0" w:space="0" w:color="auto"/>
        <w:bottom w:val="none" w:sz="0" w:space="0" w:color="auto"/>
        <w:right w:val="none" w:sz="0" w:space="0" w:color="auto"/>
      </w:divBdr>
    </w:div>
    <w:div w:id="1312099593">
      <w:marLeft w:val="480"/>
      <w:marRight w:val="0"/>
      <w:marTop w:val="0"/>
      <w:marBottom w:val="0"/>
      <w:divBdr>
        <w:top w:val="none" w:sz="0" w:space="0" w:color="auto"/>
        <w:left w:val="none" w:sz="0" w:space="0" w:color="auto"/>
        <w:bottom w:val="none" w:sz="0" w:space="0" w:color="auto"/>
        <w:right w:val="none" w:sz="0" w:space="0" w:color="auto"/>
      </w:divBdr>
    </w:div>
    <w:div w:id="1315602056">
      <w:marLeft w:val="480"/>
      <w:marRight w:val="0"/>
      <w:marTop w:val="0"/>
      <w:marBottom w:val="0"/>
      <w:divBdr>
        <w:top w:val="none" w:sz="0" w:space="0" w:color="auto"/>
        <w:left w:val="none" w:sz="0" w:space="0" w:color="auto"/>
        <w:bottom w:val="none" w:sz="0" w:space="0" w:color="auto"/>
        <w:right w:val="none" w:sz="0" w:space="0" w:color="auto"/>
      </w:divBdr>
    </w:div>
    <w:div w:id="1316255469">
      <w:marLeft w:val="480"/>
      <w:marRight w:val="0"/>
      <w:marTop w:val="0"/>
      <w:marBottom w:val="0"/>
      <w:divBdr>
        <w:top w:val="none" w:sz="0" w:space="0" w:color="auto"/>
        <w:left w:val="none" w:sz="0" w:space="0" w:color="auto"/>
        <w:bottom w:val="none" w:sz="0" w:space="0" w:color="auto"/>
        <w:right w:val="none" w:sz="0" w:space="0" w:color="auto"/>
      </w:divBdr>
    </w:div>
    <w:div w:id="1317106365">
      <w:marLeft w:val="480"/>
      <w:marRight w:val="0"/>
      <w:marTop w:val="0"/>
      <w:marBottom w:val="0"/>
      <w:divBdr>
        <w:top w:val="none" w:sz="0" w:space="0" w:color="auto"/>
        <w:left w:val="none" w:sz="0" w:space="0" w:color="auto"/>
        <w:bottom w:val="none" w:sz="0" w:space="0" w:color="auto"/>
        <w:right w:val="none" w:sz="0" w:space="0" w:color="auto"/>
      </w:divBdr>
    </w:div>
    <w:div w:id="1317343738">
      <w:marLeft w:val="480"/>
      <w:marRight w:val="0"/>
      <w:marTop w:val="0"/>
      <w:marBottom w:val="0"/>
      <w:divBdr>
        <w:top w:val="none" w:sz="0" w:space="0" w:color="auto"/>
        <w:left w:val="none" w:sz="0" w:space="0" w:color="auto"/>
        <w:bottom w:val="none" w:sz="0" w:space="0" w:color="auto"/>
        <w:right w:val="none" w:sz="0" w:space="0" w:color="auto"/>
      </w:divBdr>
    </w:div>
    <w:div w:id="1318529850">
      <w:marLeft w:val="480"/>
      <w:marRight w:val="0"/>
      <w:marTop w:val="0"/>
      <w:marBottom w:val="0"/>
      <w:divBdr>
        <w:top w:val="none" w:sz="0" w:space="0" w:color="auto"/>
        <w:left w:val="none" w:sz="0" w:space="0" w:color="auto"/>
        <w:bottom w:val="none" w:sz="0" w:space="0" w:color="auto"/>
        <w:right w:val="none" w:sz="0" w:space="0" w:color="auto"/>
      </w:divBdr>
    </w:div>
    <w:div w:id="1327517469">
      <w:bodyDiv w:val="1"/>
      <w:marLeft w:val="0"/>
      <w:marRight w:val="0"/>
      <w:marTop w:val="0"/>
      <w:marBottom w:val="0"/>
      <w:divBdr>
        <w:top w:val="none" w:sz="0" w:space="0" w:color="auto"/>
        <w:left w:val="none" w:sz="0" w:space="0" w:color="auto"/>
        <w:bottom w:val="none" w:sz="0" w:space="0" w:color="auto"/>
        <w:right w:val="none" w:sz="0" w:space="0" w:color="auto"/>
      </w:divBdr>
    </w:div>
    <w:div w:id="1329940541">
      <w:marLeft w:val="480"/>
      <w:marRight w:val="0"/>
      <w:marTop w:val="0"/>
      <w:marBottom w:val="0"/>
      <w:divBdr>
        <w:top w:val="none" w:sz="0" w:space="0" w:color="auto"/>
        <w:left w:val="none" w:sz="0" w:space="0" w:color="auto"/>
        <w:bottom w:val="none" w:sz="0" w:space="0" w:color="auto"/>
        <w:right w:val="none" w:sz="0" w:space="0" w:color="auto"/>
      </w:divBdr>
    </w:div>
    <w:div w:id="1330019064">
      <w:marLeft w:val="480"/>
      <w:marRight w:val="0"/>
      <w:marTop w:val="0"/>
      <w:marBottom w:val="0"/>
      <w:divBdr>
        <w:top w:val="none" w:sz="0" w:space="0" w:color="auto"/>
        <w:left w:val="none" w:sz="0" w:space="0" w:color="auto"/>
        <w:bottom w:val="none" w:sz="0" w:space="0" w:color="auto"/>
        <w:right w:val="none" w:sz="0" w:space="0" w:color="auto"/>
      </w:divBdr>
    </w:div>
    <w:div w:id="1330987401">
      <w:marLeft w:val="480"/>
      <w:marRight w:val="0"/>
      <w:marTop w:val="0"/>
      <w:marBottom w:val="0"/>
      <w:divBdr>
        <w:top w:val="none" w:sz="0" w:space="0" w:color="auto"/>
        <w:left w:val="none" w:sz="0" w:space="0" w:color="auto"/>
        <w:bottom w:val="none" w:sz="0" w:space="0" w:color="auto"/>
        <w:right w:val="none" w:sz="0" w:space="0" w:color="auto"/>
      </w:divBdr>
    </w:div>
    <w:div w:id="1334141106">
      <w:marLeft w:val="480"/>
      <w:marRight w:val="0"/>
      <w:marTop w:val="0"/>
      <w:marBottom w:val="0"/>
      <w:divBdr>
        <w:top w:val="none" w:sz="0" w:space="0" w:color="auto"/>
        <w:left w:val="none" w:sz="0" w:space="0" w:color="auto"/>
        <w:bottom w:val="none" w:sz="0" w:space="0" w:color="auto"/>
        <w:right w:val="none" w:sz="0" w:space="0" w:color="auto"/>
      </w:divBdr>
    </w:div>
    <w:div w:id="1340159403">
      <w:marLeft w:val="480"/>
      <w:marRight w:val="0"/>
      <w:marTop w:val="0"/>
      <w:marBottom w:val="0"/>
      <w:divBdr>
        <w:top w:val="none" w:sz="0" w:space="0" w:color="auto"/>
        <w:left w:val="none" w:sz="0" w:space="0" w:color="auto"/>
        <w:bottom w:val="none" w:sz="0" w:space="0" w:color="auto"/>
        <w:right w:val="none" w:sz="0" w:space="0" w:color="auto"/>
      </w:divBdr>
    </w:div>
    <w:div w:id="1340350414">
      <w:bodyDiv w:val="1"/>
      <w:marLeft w:val="0"/>
      <w:marRight w:val="0"/>
      <w:marTop w:val="0"/>
      <w:marBottom w:val="0"/>
      <w:divBdr>
        <w:top w:val="none" w:sz="0" w:space="0" w:color="auto"/>
        <w:left w:val="none" w:sz="0" w:space="0" w:color="auto"/>
        <w:bottom w:val="none" w:sz="0" w:space="0" w:color="auto"/>
        <w:right w:val="none" w:sz="0" w:space="0" w:color="auto"/>
      </w:divBdr>
    </w:div>
    <w:div w:id="1342314233">
      <w:bodyDiv w:val="1"/>
      <w:marLeft w:val="0"/>
      <w:marRight w:val="0"/>
      <w:marTop w:val="0"/>
      <w:marBottom w:val="0"/>
      <w:divBdr>
        <w:top w:val="none" w:sz="0" w:space="0" w:color="auto"/>
        <w:left w:val="none" w:sz="0" w:space="0" w:color="auto"/>
        <w:bottom w:val="none" w:sz="0" w:space="0" w:color="auto"/>
        <w:right w:val="none" w:sz="0" w:space="0" w:color="auto"/>
      </w:divBdr>
    </w:div>
    <w:div w:id="1344555995">
      <w:marLeft w:val="480"/>
      <w:marRight w:val="0"/>
      <w:marTop w:val="0"/>
      <w:marBottom w:val="0"/>
      <w:divBdr>
        <w:top w:val="none" w:sz="0" w:space="0" w:color="auto"/>
        <w:left w:val="none" w:sz="0" w:space="0" w:color="auto"/>
        <w:bottom w:val="none" w:sz="0" w:space="0" w:color="auto"/>
        <w:right w:val="none" w:sz="0" w:space="0" w:color="auto"/>
      </w:divBdr>
    </w:div>
    <w:div w:id="1347557525">
      <w:marLeft w:val="480"/>
      <w:marRight w:val="0"/>
      <w:marTop w:val="0"/>
      <w:marBottom w:val="0"/>
      <w:divBdr>
        <w:top w:val="none" w:sz="0" w:space="0" w:color="auto"/>
        <w:left w:val="none" w:sz="0" w:space="0" w:color="auto"/>
        <w:bottom w:val="none" w:sz="0" w:space="0" w:color="auto"/>
        <w:right w:val="none" w:sz="0" w:space="0" w:color="auto"/>
      </w:divBdr>
    </w:div>
    <w:div w:id="1355617067">
      <w:bodyDiv w:val="1"/>
      <w:marLeft w:val="0"/>
      <w:marRight w:val="0"/>
      <w:marTop w:val="0"/>
      <w:marBottom w:val="0"/>
      <w:divBdr>
        <w:top w:val="none" w:sz="0" w:space="0" w:color="auto"/>
        <w:left w:val="none" w:sz="0" w:space="0" w:color="auto"/>
        <w:bottom w:val="none" w:sz="0" w:space="0" w:color="auto"/>
        <w:right w:val="none" w:sz="0" w:space="0" w:color="auto"/>
      </w:divBdr>
    </w:div>
    <w:div w:id="1361971585">
      <w:marLeft w:val="480"/>
      <w:marRight w:val="0"/>
      <w:marTop w:val="0"/>
      <w:marBottom w:val="0"/>
      <w:divBdr>
        <w:top w:val="none" w:sz="0" w:space="0" w:color="auto"/>
        <w:left w:val="none" w:sz="0" w:space="0" w:color="auto"/>
        <w:bottom w:val="none" w:sz="0" w:space="0" w:color="auto"/>
        <w:right w:val="none" w:sz="0" w:space="0" w:color="auto"/>
      </w:divBdr>
    </w:div>
    <w:div w:id="1362046839">
      <w:marLeft w:val="480"/>
      <w:marRight w:val="0"/>
      <w:marTop w:val="0"/>
      <w:marBottom w:val="0"/>
      <w:divBdr>
        <w:top w:val="none" w:sz="0" w:space="0" w:color="auto"/>
        <w:left w:val="none" w:sz="0" w:space="0" w:color="auto"/>
        <w:bottom w:val="none" w:sz="0" w:space="0" w:color="auto"/>
        <w:right w:val="none" w:sz="0" w:space="0" w:color="auto"/>
      </w:divBdr>
    </w:div>
    <w:div w:id="1362436988">
      <w:marLeft w:val="480"/>
      <w:marRight w:val="0"/>
      <w:marTop w:val="0"/>
      <w:marBottom w:val="0"/>
      <w:divBdr>
        <w:top w:val="none" w:sz="0" w:space="0" w:color="auto"/>
        <w:left w:val="none" w:sz="0" w:space="0" w:color="auto"/>
        <w:bottom w:val="none" w:sz="0" w:space="0" w:color="auto"/>
        <w:right w:val="none" w:sz="0" w:space="0" w:color="auto"/>
      </w:divBdr>
    </w:div>
    <w:div w:id="1363048777">
      <w:marLeft w:val="480"/>
      <w:marRight w:val="0"/>
      <w:marTop w:val="0"/>
      <w:marBottom w:val="0"/>
      <w:divBdr>
        <w:top w:val="none" w:sz="0" w:space="0" w:color="auto"/>
        <w:left w:val="none" w:sz="0" w:space="0" w:color="auto"/>
        <w:bottom w:val="none" w:sz="0" w:space="0" w:color="auto"/>
        <w:right w:val="none" w:sz="0" w:space="0" w:color="auto"/>
      </w:divBdr>
    </w:div>
    <w:div w:id="1365521491">
      <w:marLeft w:val="480"/>
      <w:marRight w:val="0"/>
      <w:marTop w:val="0"/>
      <w:marBottom w:val="0"/>
      <w:divBdr>
        <w:top w:val="none" w:sz="0" w:space="0" w:color="auto"/>
        <w:left w:val="none" w:sz="0" w:space="0" w:color="auto"/>
        <w:bottom w:val="none" w:sz="0" w:space="0" w:color="auto"/>
        <w:right w:val="none" w:sz="0" w:space="0" w:color="auto"/>
      </w:divBdr>
    </w:div>
    <w:div w:id="1365785641">
      <w:marLeft w:val="480"/>
      <w:marRight w:val="0"/>
      <w:marTop w:val="0"/>
      <w:marBottom w:val="0"/>
      <w:divBdr>
        <w:top w:val="none" w:sz="0" w:space="0" w:color="auto"/>
        <w:left w:val="none" w:sz="0" w:space="0" w:color="auto"/>
        <w:bottom w:val="none" w:sz="0" w:space="0" w:color="auto"/>
        <w:right w:val="none" w:sz="0" w:space="0" w:color="auto"/>
      </w:divBdr>
    </w:div>
    <w:div w:id="1366100989">
      <w:bodyDiv w:val="1"/>
      <w:marLeft w:val="0"/>
      <w:marRight w:val="0"/>
      <w:marTop w:val="0"/>
      <w:marBottom w:val="0"/>
      <w:divBdr>
        <w:top w:val="none" w:sz="0" w:space="0" w:color="auto"/>
        <w:left w:val="none" w:sz="0" w:space="0" w:color="auto"/>
        <w:bottom w:val="none" w:sz="0" w:space="0" w:color="auto"/>
        <w:right w:val="none" w:sz="0" w:space="0" w:color="auto"/>
      </w:divBdr>
    </w:div>
    <w:div w:id="1366904883">
      <w:marLeft w:val="480"/>
      <w:marRight w:val="0"/>
      <w:marTop w:val="0"/>
      <w:marBottom w:val="0"/>
      <w:divBdr>
        <w:top w:val="none" w:sz="0" w:space="0" w:color="auto"/>
        <w:left w:val="none" w:sz="0" w:space="0" w:color="auto"/>
        <w:bottom w:val="none" w:sz="0" w:space="0" w:color="auto"/>
        <w:right w:val="none" w:sz="0" w:space="0" w:color="auto"/>
      </w:divBdr>
    </w:div>
    <w:div w:id="1367758577">
      <w:marLeft w:val="480"/>
      <w:marRight w:val="0"/>
      <w:marTop w:val="0"/>
      <w:marBottom w:val="0"/>
      <w:divBdr>
        <w:top w:val="none" w:sz="0" w:space="0" w:color="auto"/>
        <w:left w:val="none" w:sz="0" w:space="0" w:color="auto"/>
        <w:bottom w:val="none" w:sz="0" w:space="0" w:color="auto"/>
        <w:right w:val="none" w:sz="0" w:space="0" w:color="auto"/>
      </w:divBdr>
    </w:div>
    <w:div w:id="1370107270">
      <w:marLeft w:val="480"/>
      <w:marRight w:val="0"/>
      <w:marTop w:val="0"/>
      <w:marBottom w:val="0"/>
      <w:divBdr>
        <w:top w:val="none" w:sz="0" w:space="0" w:color="auto"/>
        <w:left w:val="none" w:sz="0" w:space="0" w:color="auto"/>
        <w:bottom w:val="none" w:sz="0" w:space="0" w:color="auto"/>
        <w:right w:val="none" w:sz="0" w:space="0" w:color="auto"/>
      </w:divBdr>
    </w:div>
    <w:div w:id="1370715151">
      <w:marLeft w:val="480"/>
      <w:marRight w:val="0"/>
      <w:marTop w:val="0"/>
      <w:marBottom w:val="0"/>
      <w:divBdr>
        <w:top w:val="none" w:sz="0" w:space="0" w:color="auto"/>
        <w:left w:val="none" w:sz="0" w:space="0" w:color="auto"/>
        <w:bottom w:val="none" w:sz="0" w:space="0" w:color="auto"/>
        <w:right w:val="none" w:sz="0" w:space="0" w:color="auto"/>
      </w:divBdr>
    </w:div>
    <w:div w:id="1372805474">
      <w:marLeft w:val="480"/>
      <w:marRight w:val="0"/>
      <w:marTop w:val="0"/>
      <w:marBottom w:val="0"/>
      <w:divBdr>
        <w:top w:val="none" w:sz="0" w:space="0" w:color="auto"/>
        <w:left w:val="none" w:sz="0" w:space="0" w:color="auto"/>
        <w:bottom w:val="none" w:sz="0" w:space="0" w:color="auto"/>
        <w:right w:val="none" w:sz="0" w:space="0" w:color="auto"/>
      </w:divBdr>
    </w:div>
    <w:div w:id="1373310040">
      <w:marLeft w:val="480"/>
      <w:marRight w:val="0"/>
      <w:marTop w:val="0"/>
      <w:marBottom w:val="0"/>
      <w:divBdr>
        <w:top w:val="none" w:sz="0" w:space="0" w:color="auto"/>
        <w:left w:val="none" w:sz="0" w:space="0" w:color="auto"/>
        <w:bottom w:val="none" w:sz="0" w:space="0" w:color="auto"/>
        <w:right w:val="none" w:sz="0" w:space="0" w:color="auto"/>
      </w:divBdr>
    </w:div>
    <w:div w:id="1377467009">
      <w:marLeft w:val="480"/>
      <w:marRight w:val="0"/>
      <w:marTop w:val="0"/>
      <w:marBottom w:val="0"/>
      <w:divBdr>
        <w:top w:val="none" w:sz="0" w:space="0" w:color="auto"/>
        <w:left w:val="none" w:sz="0" w:space="0" w:color="auto"/>
        <w:bottom w:val="none" w:sz="0" w:space="0" w:color="auto"/>
        <w:right w:val="none" w:sz="0" w:space="0" w:color="auto"/>
      </w:divBdr>
    </w:div>
    <w:div w:id="1384137647">
      <w:bodyDiv w:val="1"/>
      <w:marLeft w:val="0"/>
      <w:marRight w:val="0"/>
      <w:marTop w:val="0"/>
      <w:marBottom w:val="0"/>
      <w:divBdr>
        <w:top w:val="none" w:sz="0" w:space="0" w:color="auto"/>
        <w:left w:val="none" w:sz="0" w:space="0" w:color="auto"/>
        <w:bottom w:val="none" w:sz="0" w:space="0" w:color="auto"/>
        <w:right w:val="none" w:sz="0" w:space="0" w:color="auto"/>
      </w:divBdr>
    </w:div>
    <w:div w:id="1385594361">
      <w:bodyDiv w:val="1"/>
      <w:marLeft w:val="0"/>
      <w:marRight w:val="0"/>
      <w:marTop w:val="0"/>
      <w:marBottom w:val="0"/>
      <w:divBdr>
        <w:top w:val="none" w:sz="0" w:space="0" w:color="auto"/>
        <w:left w:val="none" w:sz="0" w:space="0" w:color="auto"/>
        <w:bottom w:val="none" w:sz="0" w:space="0" w:color="auto"/>
        <w:right w:val="none" w:sz="0" w:space="0" w:color="auto"/>
      </w:divBdr>
      <w:divsChild>
        <w:div w:id="65610047">
          <w:marLeft w:val="-75"/>
          <w:marRight w:val="0"/>
          <w:marTop w:val="30"/>
          <w:marBottom w:val="30"/>
          <w:divBdr>
            <w:top w:val="none" w:sz="0" w:space="0" w:color="auto"/>
            <w:left w:val="none" w:sz="0" w:space="0" w:color="auto"/>
            <w:bottom w:val="none" w:sz="0" w:space="0" w:color="auto"/>
            <w:right w:val="none" w:sz="0" w:space="0" w:color="auto"/>
          </w:divBdr>
          <w:divsChild>
            <w:div w:id="17631886">
              <w:marLeft w:val="0"/>
              <w:marRight w:val="0"/>
              <w:marTop w:val="0"/>
              <w:marBottom w:val="0"/>
              <w:divBdr>
                <w:top w:val="none" w:sz="0" w:space="0" w:color="auto"/>
                <w:left w:val="none" w:sz="0" w:space="0" w:color="auto"/>
                <w:bottom w:val="none" w:sz="0" w:space="0" w:color="auto"/>
                <w:right w:val="none" w:sz="0" w:space="0" w:color="auto"/>
              </w:divBdr>
              <w:divsChild>
                <w:div w:id="1861241334">
                  <w:marLeft w:val="0"/>
                  <w:marRight w:val="0"/>
                  <w:marTop w:val="0"/>
                  <w:marBottom w:val="0"/>
                  <w:divBdr>
                    <w:top w:val="none" w:sz="0" w:space="0" w:color="auto"/>
                    <w:left w:val="none" w:sz="0" w:space="0" w:color="auto"/>
                    <w:bottom w:val="none" w:sz="0" w:space="0" w:color="auto"/>
                    <w:right w:val="none" w:sz="0" w:space="0" w:color="auto"/>
                  </w:divBdr>
                </w:div>
              </w:divsChild>
            </w:div>
            <w:div w:id="96366138">
              <w:marLeft w:val="0"/>
              <w:marRight w:val="0"/>
              <w:marTop w:val="0"/>
              <w:marBottom w:val="0"/>
              <w:divBdr>
                <w:top w:val="none" w:sz="0" w:space="0" w:color="auto"/>
                <w:left w:val="none" w:sz="0" w:space="0" w:color="auto"/>
                <w:bottom w:val="none" w:sz="0" w:space="0" w:color="auto"/>
                <w:right w:val="none" w:sz="0" w:space="0" w:color="auto"/>
              </w:divBdr>
              <w:divsChild>
                <w:div w:id="189727210">
                  <w:marLeft w:val="0"/>
                  <w:marRight w:val="0"/>
                  <w:marTop w:val="0"/>
                  <w:marBottom w:val="0"/>
                  <w:divBdr>
                    <w:top w:val="none" w:sz="0" w:space="0" w:color="auto"/>
                    <w:left w:val="none" w:sz="0" w:space="0" w:color="auto"/>
                    <w:bottom w:val="none" w:sz="0" w:space="0" w:color="auto"/>
                    <w:right w:val="none" w:sz="0" w:space="0" w:color="auto"/>
                  </w:divBdr>
                </w:div>
              </w:divsChild>
            </w:div>
            <w:div w:id="106581771">
              <w:marLeft w:val="0"/>
              <w:marRight w:val="0"/>
              <w:marTop w:val="0"/>
              <w:marBottom w:val="0"/>
              <w:divBdr>
                <w:top w:val="none" w:sz="0" w:space="0" w:color="auto"/>
                <w:left w:val="none" w:sz="0" w:space="0" w:color="auto"/>
                <w:bottom w:val="none" w:sz="0" w:space="0" w:color="auto"/>
                <w:right w:val="none" w:sz="0" w:space="0" w:color="auto"/>
              </w:divBdr>
              <w:divsChild>
                <w:div w:id="1435782096">
                  <w:marLeft w:val="0"/>
                  <w:marRight w:val="0"/>
                  <w:marTop w:val="0"/>
                  <w:marBottom w:val="0"/>
                  <w:divBdr>
                    <w:top w:val="none" w:sz="0" w:space="0" w:color="auto"/>
                    <w:left w:val="none" w:sz="0" w:space="0" w:color="auto"/>
                    <w:bottom w:val="none" w:sz="0" w:space="0" w:color="auto"/>
                    <w:right w:val="none" w:sz="0" w:space="0" w:color="auto"/>
                  </w:divBdr>
                </w:div>
              </w:divsChild>
            </w:div>
            <w:div w:id="397746247">
              <w:marLeft w:val="0"/>
              <w:marRight w:val="0"/>
              <w:marTop w:val="0"/>
              <w:marBottom w:val="0"/>
              <w:divBdr>
                <w:top w:val="none" w:sz="0" w:space="0" w:color="auto"/>
                <w:left w:val="none" w:sz="0" w:space="0" w:color="auto"/>
                <w:bottom w:val="none" w:sz="0" w:space="0" w:color="auto"/>
                <w:right w:val="none" w:sz="0" w:space="0" w:color="auto"/>
              </w:divBdr>
              <w:divsChild>
                <w:div w:id="1463768381">
                  <w:marLeft w:val="0"/>
                  <w:marRight w:val="0"/>
                  <w:marTop w:val="0"/>
                  <w:marBottom w:val="0"/>
                  <w:divBdr>
                    <w:top w:val="none" w:sz="0" w:space="0" w:color="auto"/>
                    <w:left w:val="none" w:sz="0" w:space="0" w:color="auto"/>
                    <w:bottom w:val="none" w:sz="0" w:space="0" w:color="auto"/>
                    <w:right w:val="none" w:sz="0" w:space="0" w:color="auto"/>
                  </w:divBdr>
                </w:div>
              </w:divsChild>
            </w:div>
            <w:div w:id="425808294">
              <w:marLeft w:val="0"/>
              <w:marRight w:val="0"/>
              <w:marTop w:val="0"/>
              <w:marBottom w:val="0"/>
              <w:divBdr>
                <w:top w:val="none" w:sz="0" w:space="0" w:color="auto"/>
                <w:left w:val="none" w:sz="0" w:space="0" w:color="auto"/>
                <w:bottom w:val="none" w:sz="0" w:space="0" w:color="auto"/>
                <w:right w:val="none" w:sz="0" w:space="0" w:color="auto"/>
              </w:divBdr>
              <w:divsChild>
                <w:div w:id="1980644776">
                  <w:marLeft w:val="0"/>
                  <w:marRight w:val="0"/>
                  <w:marTop w:val="0"/>
                  <w:marBottom w:val="0"/>
                  <w:divBdr>
                    <w:top w:val="none" w:sz="0" w:space="0" w:color="auto"/>
                    <w:left w:val="none" w:sz="0" w:space="0" w:color="auto"/>
                    <w:bottom w:val="none" w:sz="0" w:space="0" w:color="auto"/>
                    <w:right w:val="none" w:sz="0" w:space="0" w:color="auto"/>
                  </w:divBdr>
                </w:div>
                <w:div w:id="2130933268">
                  <w:marLeft w:val="0"/>
                  <w:marRight w:val="0"/>
                  <w:marTop w:val="0"/>
                  <w:marBottom w:val="0"/>
                  <w:divBdr>
                    <w:top w:val="none" w:sz="0" w:space="0" w:color="auto"/>
                    <w:left w:val="none" w:sz="0" w:space="0" w:color="auto"/>
                    <w:bottom w:val="none" w:sz="0" w:space="0" w:color="auto"/>
                    <w:right w:val="none" w:sz="0" w:space="0" w:color="auto"/>
                  </w:divBdr>
                </w:div>
              </w:divsChild>
            </w:div>
            <w:div w:id="553930434">
              <w:marLeft w:val="0"/>
              <w:marRight w:val="0"/>
              <w:marTop w:val="0"/>
              <w:marBottom w:val="0"/>
              <w:divBdr>
                <w:top w:val="none" w:sz="0" w:space="0" w:color="auto"/>
                <w:left w:val="none" w:sz="0" w:space="0" w:color="auto"/>
                <w:bottom w:val="none" w:sz="0" w:space="0" w:color="auto"/>
                <w:right w:val="none" w:sz="0" w:space="0" w:color="auto"/>
              </w:divBdr>
              <w:divsChild>
                <w:div w:id="1205944959">
                  <w:marLeft w:val="0"/>
                  <w:marRight w:val="0"/>
                  <w:marTop w:val="0"/>
                  <w:marBottom w:val="0"/>
                  <w:divBdr>
                    <w:top w:val="none" w:sz="0" w:space="0" w:color="auto"/>
                    <w:left w:val="none" w:sz="0" w:space="0" w:color="auto"/>
                    <w:bottom w:val="none" w:sz="0" w:space="0" w:color="auto"/>
                    <w:right w:val="none" w:sz="0" w:space="0" w:color="auto"/>
                  </w:divBdr>
                </w:div>
              </w:divsChild>
            </w:div>
            <w:div w:id="657655074">
              <w:marLeft w:val="0"/>
              <w:marRight w:val="0"/>
              <w:marTop w:val="0"/>
              <w:marBottom w:val="0"/>
              <w:divBdr>
                <w:top w:val="none" w:sz="0" w:space="0" w:color="auto"/>
                <w:left w:val="none" w:sz="0" w:space="0" w:color="auto"/>
                <w:bottom w:val="none" w:sz="0" w:space="0" w:color="auto"/>
                <w:right w:val="none" w:sz="0" w:space="0" w:color="auto"/>
              </w:divBdr>
            </w:div>
            <w:div w:id="693573606">
              <w:marLeft w:val="0"/>
              <w:marRight w:val="0"/>
              <w:marTop w:val="0"/>
              <w:marBottom w:val="0"/>
              <w:divBdr>
                <w:top w:val="none" w:sz="0" w:space="0" w:color="auto"/>
                <w:left w:val="none" w:sz="0" w:space="0" w:color="auto"/>
                <w:bottom w:val="none" w:sz="0" w:space="0" w:color="auto"/>
                <w:right w:val="none" w:sz="0" w:space="0" w:color="auto"/>
              </w:divBdr>
              <w:divsChild>
                <w:div w:id="24605375">
                  <w:marLeft w:val="0"/>
                  <w:marRight w:val="0"/>
                  <w:marTop w:val="0"/>
                  <w:marBottom w:val="0"/>
                  <w:divBdr>
                    <w:top w:val="none" w:sz="0" w:space="0" w:color="auto"/>
                    <w:left w:val="none" w:sz="0" w:space="0" w:color="auto"/>
                    <w:bottom w:val="none" w:sz="0" w:space="0" w:color="auto"/>
                    <w:right w:val="none" w:sz="0" w:space="0" w:color="auto"/>
                  </w:divBdr>
                </w:div>
              </w:divsChild>
            </w:div>
            <w:div w:id="742681080">
              <w:marLeft w:val="0"/>
              <w:marRight w:val="0"/>
              <w:marTop w:val="0"/>
              <w:marBottom w:val="0"/>
              <w:divBdr>
                <w:top w:val="none" w:sz="0" w:space="0" w:color="auto"/>
                <w:left w:val="none" w:sz="0" w:space="0" w:color="auto"/>
                <w:bottom w:val="none" w:sz="0" w:space="0" w:color="auto"/>
                <w:right w:val="none" w:sz="0" w:space="0" w:color="auto"/>
              </w:divBdr>
              <w:divsChild>
                <w:div w:id="1528712702">
                  <w:marLeft w:val="0"/>
                  <w:marRight w:val="0"/>
                  <w:marTop w:val="0"/>
                  <w:marBottom w:val="0"/>
                  <w:divBdr>
                    <w:top w:val="none" w:sz="0" w:space="0" w:color="auto"/>
                    <w:left w:val="none" w:sz="0" w:space="0" w:color="auto"/>
                    <w:bottom w:val="none" w:sz="0" w:space="0" w:color="auto"/>
                    <w:right w:val="none" w:sz="0" w:space="0" w:color="auto"/>
                  </w:divBdr>
                </w:div>
              </w:divsChild>
            </w:div>
            <w:div w:id="896746532">
              <w:marLeft w:val="0"/>
              <w:marRight w:val="0"/>
              <w:marTop w:val="0"/>
              <w:marBottom w:val="0"/>
              <w:divBdr>
                <w:top w:val="none" w:sz="0" w:space="0" w:color="auto"/>
                <w:left w:val="none" w:sz="0" w:space="0" w:color="auto"/>
                <w:bottom w:val="none" w:sz="0" w:space="0" w:color="auto"/>
                <w:right w:val="none" w:sz="0" w:space="0" w:color="auto"/>
              </w:divBdr>
              <w:divsChild>
                <w:div w:id="2069068737">
                  <w:marLeft w:val="0"/>
                  <w:marRight w:val="0"/>
                  <w:marTop w:val="0"/>
                  <w:marBottom w:val="0"/>
                  <w:divBdr>
                    <w:top w:val="none" w:sz="0" w:space="0" w:color="auto"/>
                    <w:left w:val="none" w:sz="0" w:space="0" w:color="auto"/>
                    <w:bottom w:val="none" w:sz="0" w:space="0" w:color="auto"/>
                    <w:right w:val="none" w:sz="0" w:space="0" w:color="auto"/>
                  </w:divBdr>
                </w:div>
              </w:divsChild>
            </w:div>
            <w:div w:id="925456480">
              <w:marLeft w:val="0"/>
              <w:marRight w:val="0"/>
              <w:marTop w:val="0"/>
              <w:marBottom w:val="0"/>
              <w:divBdr>
                <w:top w:val="none" w:sz="0" w:space="0" w:color="auto"/>
                <w:left w:val="none" w:sz="0" w:space="0" w:color="auto"/>
                <w:bottom w:val="none" w:sz="0" w:space="0" w:color="auto"/>
                <w:right w:val="none" w:sz="0" w:space="0" w:color="auto"/>
              </w:divBdr>
              <w:divsChild>
                <w:div w:id="1553079129">
                  <w:marLeft w:val="0"/>
                  <w:marRight w:val="0"/>
                  <w:marTop w:val="0"/>
                  <w:marBottom w:val="0"/>
                  <w:divBdr>
                    <w:top w:val="none" w:sz="0" w:space="0" w:color="auto"/>
                    <w:left w:val="none" w:sz="0" w:space="0" w:color="auto"/>
                    <w:bottom w:val="none" w:sz="0" w:space="0" w:color="auto"/>
                    <w:right w:val="none" w:sz="0" w:space="0" w:color="auto"/>
                  </w:divBdr>
                </w:div>
              </w:divsChild>
            </w:div>
            <w:div w:id="948972390">
              <w:marLeft w:val="0"/>
              <w:marRight w:val="0"/>
              <w:marTop w:val="0"/>
              <w:marBottom w:val="0"/>
              <w:divBdr>
                <w:top w:val="none" w:sz="0" w:space="0" w:color="auto"/>
                <w:left w:val="none" w:sz="0" w:space="0" w:color="auto"/>
                <w:bottom w:val="none" w:sz="0" w:space="0" w:color="auto"/>
                <w:right w:val="none" w:sz="0" w:space="0" w:color="auto"/>
              </w:divBdr>
              <w:divsChild>
                <w:div w:id="1780760645">
                  <w:marLeft w:val="0"/>
                  <w:marRight w:val="0"/>
                  <w:marTop w:val="0"/>
                  <w:marBottom w:val="0"/>
                  <w:divBdr>
                    <w:top w:val="none" w:sz="0" w:space="0" w:color="auto"/>
                    <w:left w:val="none" w:sz="0" w:space="0" w:color="auto"/>
                    <w:bottom w:val="none" w:sz="0" w:space="0" w:color="auto"/>
                    <w:right w:val="none" w:sz="0" w:space="0" w:color="auto"/>
                  </w:divBdr>
                </w:div>
              </w:divsChild>
            </w:div>
            <w:div w:id="1076127987">
              <w:marLeft w:val="0"/>
              <w:marRight w:val="0"/>
              <w:marTop w:val="0"/>
              <w:marBottom w:val="0"/>
              <w:divBdr>
                <w:top w:val="none" w:sz="0" w:space="0" w:color="auto"/>
                <w:left w:val="none" w:sz="0" w:space="0" w:color="auto"/>
                <w:bottom w:val="none" w:sz="0" w:space="0" w:color="auto"/>
                <w:right w:val="none" w:sz="0" w:space="0" w:color="auto"/>
              </w:divBdr>
              <w:divsChild>
                <w:div w:id="2132048092">
                  <w:marLeft w:val="0"/>
                  <w:marRight w:val="0"/>
                  <w:marTop w:val="0"/>
                  <w:marBottom w:val="0"/>
                  <w:divBdr>
                    <w:top w:val="none" w:sz="0" w:space="0" w:color="auto"/>
                    <w:left w:val="none" w:sz="0" w:space="0" w:color="auto"/>
                    <w:bottom w:val="none" w:sz="0" w:space="0" w:color="auto"/>
                    <w:right w:val="none" w:sz="0" w:space="0" w:color="auto"/>
                  </w:divBdr>
                </w:div>
              </w:divsChild>
            </w:div>
            <w:div w:id="1296763851">
              <w:marLeft w:val="0"/>
              <w:marRight w:val="0"/>
              <w:marTop w:val="0"/>
              <w:marBottom w:val="0"/>
              <w:divBdr>
                <w:top w:val="none" w:sz="0" w:space="0" w:color="auto"/>
                <w:left w:val="none" w:sz="0" w:space="0" w:color="auto"/>
                <w:bottom w:val="none" w:sz="0" w:space="0" w:color="auto"/>
                <w:right w:val="none" w:sz="0" w:space="0" w:color="auto"/>
              </w:divBdr>
              <w:divsChild>
                <w:div w:id="1557273574">
                  <w:marLeft w:val="0"/>
                  <w:marRight w:val="0"/>
                  <w:marTop w:val="0"/>
                  <w:marBottom w:val="0"/>
                  <w:divBdr>
                    <w:top w:val="none" w:sz="0" w:space="0" w:color="auto"/>
                    <w:left w:val="none" w:sz="0" w:space="0" w:color="auto"/>
                    <w:bottom w:val="none" w:sz="0" w:space="0" w:color="auto"/>
                    <w:right w:val="none" w:sz="0" w:space="0" w:color="auto"/>
                  </w:divBdr>
                </w:div>
              </w:divsChild>
            </w:div>
            <w:div w:id="1317799012">
              <w:marLeft w:val="0"/>
              <w:marRight w:val="0"/>
              <w:marTop w:val="0"/>
              <w:marBottom w:val="0"/>
              <w:divBdr>
                <w:top w:val="none" w:sz="0" w:space="0" w:color="auto"/>
                <w:left w:val="none" w:sz="0" w:space="0" w:color="auto"/>
                <w:bottom w:val="none" w:sz="0" w:space="0" w:color="auto"/>
                <w:right w:val="none" w:sz="0" w:space="0" w:color="auto"/>
              </w:divBdr>
              <w:divsChild>
                <w:div w:id="1310667384">
                  <w:marLeft w:val="0"/>
                  <w:marRight w:val="0"/>
                  <w:marTop w:val="0"/>
                  <w:marBottom w:val="0"/>
                  <w:divBdr>
                    <w:top w:val="none" w:sz="0" w:space="0" w:color="auto"/>
                    <w:left w:val="none" w:sz="0" w:space="0" w:color="auto"/>
                    <w:bottom w:val="none" w:sz="0" w:space="0" w:color="auto"/>
                    <w:right w:val="none" w:sz="0" w:space="0" w:color="auto"/>
                  </w:divBdr>
                </w:div>
              </w:divsChild>
            </w:div>
            <w:div w:id="1610699584">
              <w:marLeft w:val="0"/>
              <w:marRight w:val="0"/>
              <w:marTop w:val="0"/>
              <w:marBottom w:val="0"/>
              <w:divBdr>
                <w:top w:val="none" w:sz="0" w:space="0" w:color="auto"/>
                <w:left w:val="none" w:sz="0" w:space="0" w:color="auto"/>
                <w:bottom w:val="none" w:sz="0" w:space="0" w:color="auto"/>
                <w:right w:val="none" w:sz="0" w:space="0" w:color="auto"/>
              </w:divBdr>
              <w:divsChild>
                <w:div w:id="1020427595">
                  <w:marLeft w:val="0"/>
                  <w:marRight w:val="0"/>
                  <w:marTop w:val="0"/>
                  <w:marBottom w:val="0"/>
                  <w:divBdr>
                    <w:top w:val="none" w:sz="0" w:space="0" w:color="auto"/>
                    <w:left w:val="none" w:sz="0" w:space="0" w:color="auto"/>
                    <w:bottom w:val="none" w:sz="0" w:space="0" w:color="auto"/>
                    <w:right w:val="none" w:sz="0" w:space="0" w:color="auto"/>
                  </w:divBdr>
                </w:div>
              </w:divsChild>
            </w:div>
            <w:div w:id="1925259925">
              <w:marLeft w:val="0"/>
              <w:marRight w:val="0"/>
              <w:marTop w:val="0"/>
              <w:marBottom w:val="0"/>
              <w:divBdr>
                <w:top w:val="none" w:sz="0" w:space="0" w:color="auto"/>
                <w:left w:val="none" w:sz="0" w:space="0" w:color="auto"/>
                <w:bottom w:val="none" w:sz="0" w:space="0" w:color="auto"/>
                <w:right w:val="none" w:sz="0" w:space="0" w:color="auto"/>
              </w:divBdr>
              <w:divsChild>
                <w:div w:id="194337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0199">
          <w:marLeft w:val="0"/>
          <w:marRight w:val="0"/>
          <w:marTop w:val="0"/>
          <w:marBottom w:val="0"/>
          <w:divBdr>
            <w:top w:val="none" w:sz="0" w:space="0" w:color="auto"/>
            <w:left w:val="none" w:sz="0" w:space="0" w:color="auto"/>
            <w:bottom w:val="none" w:sz="0" w:space="0" w:color="auto"/>
            <w:right w:val="none" w:sz="0" w:space="0" w:color="auto"/>
          </w:divBdr>
        </w:div>
        <w:div w:id="197279458">
          <w:marLeft w:val="-75"/>
          <w:marRight w:val="0"/>
          <w:marTop w:val="30"/>
          <w:marBottom w:val="30"/>
          <w:divBdr>
            <w:top w:val="none" w:sz="0" w:space="0" w:color="auto"/>
            <w:left w:val="none" w:sz="0" w:space="0" w:color="auto"/>
            <w:bottom w:val="none" w:sz="0" w:space="0" w:color="auto"/>
            <w:right w:val="none" w:sz="0" w:space="0" w:color="auto"/>
          </w:divBdr>
          <w:divsChild>
            <w:div w:id="617301675">
              <w:marLeft w:val="0"/>
              <w:marRight w:val="0"/>
              <w:marTop w:val="0"/>
              <w:marBottom w:val="0"/>
              <w:divBdr>
                <w:top w:val="none" w:sz="0" w:space="0" w:color="auto"/>
                <w:left w:val="none" w:sz="0" w:space="0" w:color="auto"/>
                <w:bottom w:val="none" w:sz="0" w:space="0" w:color="auto"/>
                <w:right w:val="none" w:sz="0" w:space="0" w:color="auto"/>
              </w:divBdr>
              <w:divsChild>
                <w:div w:id="1212186510">
                  <w:marLeft w:val="0"/>
                  <w:marRight w:val="0"/>
                  <w:marTop w:val="0"/>
                  <w:marBottom w:val="0"/>
                  <w:divBdr>
                    <w:top w:val="none" w:sz="0" w:space="0" w:color="auto"/>
                    <w:left w:val="none" w:sz="0" w:space="0" w:color="auto"/>
                    <w:bottom w:val="none" w:sz="0" w:space="0" w:color="auto"/>
                    <w:right w:val="none" w:sz="0" w:space="0" w:color="auto"/>
                  </w:divBdr>
                </w:div>
                <w:div w:id="1442258441">
                  <w:marLeft w:val="0"/>
                  <w:marRight w:val="0"/>
                  <w:marTop w:val="0"/>
                  <w:marBottom w:val="0"/>
                  <w:divBdr>
                    <w:top w:val="none" w:sz="0" w:space="0" w:color="auto"/>
                    <w:left w:val="none" w:sz="0" w:space="0" w:color="auto"/>
                    <w:bottom w:val="none" w:sz="0" w:space="0" w:color="auto"/>
                    <w:right w:val="none" w:sz="0" w:space="0" w:color="auto"/>
                  </w:divBdr>
                </w:div>
                <w:div w:id="1558779060">
                  <w:marLeft w:val="0"/>
                  <w:marRight w:val="0"/>
                  <w:marTop w:val="0"/>
                  <w:marBottom w:val="0"/>
                  <w:divBdr>
                    <w:top w:val="none" w:sz="0" w:space="0" w:color="auto"/>
                    <w:left w:val="none" w:sz="0" w:space="0" w:color="auto"/>
                    <w:bottom w:val="none" w:sz="0" w:space="0" w:color="auto"/>
                    <w:right w:val="none" w:sz="0" w:space="0" w:color="auto"/>
                  </w:divBdr>
                </w:div>
              </w:divsChild>
            </w:div>
            <w:div w:id="1030839171">
              <w:marLeft w:val="0"/>
              <w:marRight w:val="0"/>
              <w:marTop w:val="0"/>
              <w:marBottom w:val="0"/>
              <w:divBdr>
                <w:top w:val="none" w:sz="0" w:space="0" w:color="auto"/>
                <w:left w:val="none" w:sz="0" w:space="0" w:color="auto"/>
                <w:bottom w:val="none" w:sz="0" w:space="0" w:color="auto"/>
                <w:right w:val="none" w:sz="0" w:space="0" w:color="auto"/>
              </w:divBdr>
              <w:divsChild>
                <w:div w:id="9966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38240">
          <w:marLeft w:val="0"/>
          <w:marRight w:val="0"/>
          <w:marTop w:val="0"/>
          <w:marBottom w:val="0"/>
          <w:divBdr>
            <w:top w:val="none" w:sz="0" w:space="0" w:color="auto"/>
            <w:left w:val="none" w:sz="0" w:space="0" w:color="auto"/>
            <w:bottom w:val="none" w:sz="0" w:space="0" w:color="auto"/>
            <w:right w:val="none" w:sz="0" w:space="0" w:color="auto"/>
          </w:divBdr>
        </w:div>
        <w:div w:id="448820385">
          <w:marLeft w:val="0"/>
          <w:marRight w:val="0"/>
          <w:marTop w:val="0"/>
          <w:marBottom w:val="0"/>
          <w:divBdr>
            <w:top w:val="none" w:sz="0" w:space="0" w:color="auto"/>
            <w:left w:val="none" w:sz="0" w:space="0" w:color="auto"/>
            <w:bottom w:val="none" w:sz="0" w:space="0" w:color="auto"/>
            <w:right w:val="none" w:sz="0" w:space="0" w:color="auto"/>
          </w:divBdr>
        </w:div>
        <w:div w:id="485054649">
          <w:marLeft w:val="-75"/>
          <w:marRight w:val="0"/>
          <w:marTop w:val="30"/>
          <w:marBottom w:val="30"/>
          <w:divBdr>
            <w:top w:val="none" w:sz="0" w:space="0" w:color="auto"/>
            <w:left w:val="none" w:sz="0" w:space="0" w:color="auto"/>
            <w:bottom w:val="none" w:sz="0" w:space="0" w:color="auto"/>
            <w:right w:val="none" w:sz="0" w:space="0" w:color="auto"/>
          </w:divBdr>
          <w:divsChild>
            <w:div w:id="4475968">
              <w:marLeft w:val="0"/>
              <w:marRight w:val="0"/>
              <w:marTop w:val="0"/>
              <w:marBottom w:val="0"/>
              <w:divBdr>
                <w:top w:val="none" w:sz="0" w:space="0" w:color="auto"/>
                <w:left w:val="none" w:sz="0" w:space="0" w:color="auto"/>
                <w:bottom w:val="none" w:sz="0" w:space="0" w:color="auto"/>
                <w:right w:val="none" w:sz="0" w:space="0" w:color="auto"/>
              </w:divBdr>
              <w:divsChild>
                <w:div w:id="4982357">
                  <w:marLeft w:val="0"/>
                  <w:marRight w:val="0"/>
                  <w:marTop w:val="0"/>
                  <w:marBottom w:val="0"/>
                  <w:divBdr>
                    <w:top w:val="none" w:sz="0" w:space="0" w:color="auto"/>
                    <w:left w:val="none" w:sz="0" w:space="0" w:color="auto"/>
                    <w:bottom w:val="none" w:sz="0" w:space="0" w:color="auto"/>
                    <w:right w:val="none" w:sz="0" w:space="0" w:color="auto"/>
                  </w:divBdr>
                </w:div>
              </w:divsChild>
            </w:div>
            <w:div w:id="177544032">
              <w:marLeft w:val="0"/>
              <w:marRight w:val="0"/>
              <w:marTop w:val="0"/>
              <w:marBottom w:val="0"/>
              <w:divBdr>
                <w:top w:val="none" w:sz="0" w:space="0" w:color="auto"/>
                <w:left w:val="none" w:sz="0" w:space="0" w:color="auto"/>
                <w:bottom w:val="none" w:sz="0" w:space="0" w:color="auto"/>
                <w:right w:val="none" w:sz="0" w:space="0" w:color="auto"/>
              </w:divBdr>
              <w:divsChild>
                <w:div w:id="1291084260">
                  <w:marLeft w:val="0"/>
                  <w:marRight w:val="0"/>
                  <w:marTop w:val="0"/>
                  <w:marBottom w:val="0"/>
                  <w:divBdr>
                    <w:top w:val="none" w:sz="0" w:space="0" w:color="auto"/>
                    <w:left w:val="none" w:sz="0" w:space="0" w:color="auto"/>
                    <w:bottom w:val="none" w:sz="0" w:space="0" w:color="auto"/>
                    <w:right w:val="none" w:sz="0" w:space="0" w:color="auto"/>
                  </w:divBdr>
                </w:div>
              </w:divsChild>
            </w:div>
            <w:div w:id="396172068">
              <w:marLeft w:val="0"/>
              <w:marRight w:val="0"/>
              <w:marTop w:val="0"/>
              <w:marBottom w:val="0"/>
              <w:divBdr>
                <w:top w:val="none" w:sz="0" w:space="0" w:color="auto"/>
                <w:left w:val="none" w:sz="0" w:space="0" w:color="auto"/>
                <w:bottom w:val="none" w:sz="0" w:space="0" w:color="auto"/>
                <w:right w:val="none" w:sz="0" w:space="0" w:color="auto"/>
              </w:divBdr>
              <w:divsChild>
                <w:div w:id="363485077">
                  <w:marLeft w:val="0"/>
                  <w:marRight w:val="0"/>
                  <w:marTop w:val="0"/>
                  <w:marBottom w:val="0"/>
                  <w:divBdr>
                    <w:top w:val="none" w:sz="0" w:space="0" w:color="auto"/>
                    <w:left w:val="none" w:sz="0" w:space="0" w:color="auto"/>
                    <w:bottom w:val="none" w:sz="0" w:space="0" w:color="auto"/>
                    <w:right w:val="none" w:sz="0" w:space="0" w:color="auto"/>
                  </w:divBdr>
                </w:div>
                <w:div w:id="590088210">
                  <w:marLeft w:val="0"/>
                  <w:marRight w:val="0"/>
                  <w:marTop w:val="0"/>
                  <w:marBottom w:val="0"/>
                  <w:divBdr>
                    <w:top w:val="none" w:sz="0" w:space="0" w:color="auto"/>
                    <w:left w:val="none" w:sz="0" w:space="0" w:color="auto"/>
                    <w:bottom w:val="none" w:sz="0" w:space="0" w:color="auto"/>
                    <w:right w:val="none" w:sz="0" w:space="0" w:color="auto"/>
                  </w:divBdr>
                </w:div>
              </w:divsChild>
            </w:div>
            <w:div w:id="603615932">
              <w:marLeft w:val="0"/>
              <w:marRight w:val="0"/>
              <w:marTop w:val="0"/>
              <w:marBottom w:val="0"/>
              <w:divBdr>
                <w:top w:val="none" w:sz="0" w:space="0" w:color="auto"/>
                <w:left w:val="none" w:sz="0" w:space="0" w:color="auto"/>
                <w:bottom w:val="none" w:sz="0" w:space="0" w:color="auto"/>
                <w:right w:val="none" w:sz="0" w:space="0" w:color="auto"/>
              </w:divBdr>
              <w:divsChild>
                <w:div w:id="1949970650">
                  <w:marLeft w:val="0"/>
                  <w:marRight w:val="0"/>
                  <w:marTop w:val="0"/>
                  <w:marBottom w:val="0"/>
                  <w:divBdr>
                    <w:top w:val="none" w:sz="0" w:space="0" w:color="auto"/>
                    <w:left w:val="none" w:sz="0" w:space="0" w:color="auto"/>
                    <w:bottom w:val="none" w:sz="0" w:space="0" w:color="auto"/>
                    <w:right w:val="none" w:sz="0" w:space="0" w:color="auto"/>
                  </w:divBdr>
                </w:div>
              </w:divsChild>
            </w:div>
            <w:div w:id="764956190">
              <w:marLeft w:val="0"/>
              <w:marRight w:val="0"/>
              <w:marTop w:val="0"/>
              <w:marBottom w:val="0"/>
              <w:divBdr>
                <w:top w:val="none" w:sz="0" w:space="0" w:color="auto"/>
                <w:left w:val="none" w:sz="0" w:space="0" w:color="auto"/>
                <w:bottom w:val="none" w:sz="0" w:space="0" w:color="auto"/>
                <w:right w:val="none" w:sz="0" w:space="0" w:color="auto"/>
              </w:divBdr>
              <w:divsChild>
                <w:div w:id="1123577164">
                  <w:marLeft w:val="0"/>
                  <w:marRight w:val="0"/>
                  <w:marTop w:val="0"/>
                  <w:marBottom w:val="0"/>
                  <w:divBdr>
                    <w:top w:val="none" w:sz="0" w:space="0" w:color="auto"/>
                    <w:left w:val="none" w:sz="0" w:space="0" w:color="auto"/>
                    <w:bottom w:val="none" w:sz="0" w:space="0" w:color="auto"/>
                    <w:right w:val="none" w:sz="0" w:space="0" w:color="auto"/>
                  </w:divBdr>
                </w:div>
              </w:divsChild>
            </w:div>
            <w:div w:id="768087415">
              <w:marLeft w:val="0"/>
              <w:marRight w:val="0"/>
              <w:marTop w:val="0"/>
              <w:marBottom w:val="0"/>
              <w:divBdr>
                <w:top w:val="none" w:sz="0" w:space="0" w:color="auto"/>
                <w:left w:val="none" w:sz="0" w:space="0" w:color="auto"/>
                <w:bottom w:val="none" w:sz="0" w:space="0" w:color="auto"/>
                <w:right w:val="none" w:sz="0" w:space="0" w:color="auto"/>
              </w:divBdr>
              <w:divsChild>
                <w:div w:id="520975426">
                  <w:marLeft w:val="0"/>
                  <w:marRight w:val="0"/>
                  <w:marTop w:val="0"/>
                  <w:marBottom w:val="0"/>
                  <w:divBdr>
                    <w:top w:val="none" w:sz="0" w:space="0" w:color="auto"/>
                    <w:left w:val="none" w:sz="0" w:space="0" w:color="auto"/>
                    <w:bottom w:val="none" w:sz="0" w:space="0" w:color="auto"/>
                    <w:right w:val="none" w:sz="0" w:space="0" w:color="auto"/>
                  </w:divBdr>
                </w:div>
              </w:divsChild>
            </w:div>
            <w:div w:id="1176992585">
              <w:marLeft w:val="0"/>
              <w:marRight w:val="0"/>
              <w:marTop w:val="0"/>
              <w:marBottom w:val="0"/>
              <w:divBdr>
                <w:top w:val="none" w:sz="0" w:space="0" w:color="auto"/>
                <w:left w:val="none" w:sz="0" w:space="0" w:color="auto"/>
                <w:bottom w:val="none" w:sz="0" w:space="0" w:color="auto"/>
                <w:right w:val="none" w:sz="0" w:space="0" w:color="auto"/>
              </w:divBdr>
              <w:divsChild>
                <w:div w:id="1615672195">
                  <w:marLeft w:val="0"/>
                  <w:marRight w:val="0"/>
                  <w:marTop w:val="0"/>
                  <w:marBottom w:val="0"/>
                  <w:divBdr>
                    <w:top w:val="none" w:sz="0" w:space="0" w:color="auto"/>
                    <w:left w:val="none" w:sz="0" w:space="0" w:color="auto"/>
                    <w:bottom w:val="none" w:sz="0" w:space="0" w:color="auto"/>
                    <w:right w:val="none" w:sz="0" w:space="0" w:color="auto"/>
                  </w:divBdr>
                </w:div>
              </w:divsChild>
            </w:div>
            <w:div w:id="1183932882">
              <w:marLeft w:val="0"/>
              <w:marRight w:val="0"/>
              <w:marTop w:val="0"/>
              <w:marBottom w:val="0"/>
              <w:divBdr>
                <w:top w:val="none" w:sz="0" w:space="0" w:color="auto"/>
                <w:left w:val="none" w:sz="0" w:space="0" w:color="auto"/>
                <w:bottom w:val="none" w:sz="0" w:space="0" w:color="auto"/>
                <w:right w:val="none" w:sz="0" w:space="0" w:color="auto"/>
              </w:divBdr>
              <w:divsChild>
                <w:div w:id="1304430384">
                  <w:marLeft w:val="0"/>
                  <w:marRight w:val="0"/>
                  <w:marTop w:val="0"/>
                  <w:marBottom w:val="0"/>
                  <w:divBdr>
                    <w:top w:val="none" w:sz="0" w:space="0" w:color="auto"/>
                    <w:left w:val="none" w:sz="0" w:space="0" w:color="auto"/>
                    <w:bottom w:val="none" w:sz="0" w:space="0" w:color="auto"/>
                    <w:right w:val="none" w:sz="0" w:space="0" w:color="auto"/>
                  </w:divBdr>
                </w:div>
              </w:divsChild>
            </w:div>
            <w:div w:id="1472282220">
              <w:marLeft w:val="0"/>
              <w:marRight w:val="0"/>
              <w:marTop w:val="0"/>
              <w:marBottom w:val="0"/>
              <w:divBdr>
                <w:top w:val="none" w:sz="0" w:space="0" w:color="auto"/>
                <w:left w:val="none" w:sz="0" w:space="0" w:color="auto"/>
                <w:bottom w:val="none" w:sz="0" w:space="0" w:color="auto"/>
                <w:right w:val="none" w:sz="0" w:space="0" w:color="auto"/>
              </w:divBdr>
              <w:divsChild>
                <w:div w:id="982778055">
                  <w:marLeft w:val="0"/>
                  <w:marRight w:val="0"/>
                  <w:marTop w:val="0"/>
                  <w:marBottom w:val="0"/>
                  <w:divBdr>
                    <w:top w:val="none" w:sz="0" w:space="0" w:color="auto"/>
                    <w:left w:val="none" w:sz="0" w:space="0" w:color="auto"/>
                    <w:bottom w:val="none" w:sz="0" w:space="0" w:color="auto"/>
                    <w:right w:val="none" w:sz="0" w:space="0" w:color="auto"/>
                  </w:divBdr>
                </w:div>
              </w:divsChild>
            </w:div>
            <w:div w:id="1824393223">
              <w:marLeft w:val="0"/>
              <w:marRight w:val="0"/>
              <w:marTop w:val="0"/>
              <w:marBottom w:val="0"/>
              <w:divBdr>
                <w:top w:val="none" w:sz="0" w:space="0" w:color="auto"/>
                <w:left w:val="none" w:sz="0" w:space="0" w:color="auto"/>
                <w:bottom w:val="none" w:sz="0" w:space="0" w:color="auto"/>
                <w:right w:val="none" w:sz="0" w:space="0" w:color="auto"/>
              </w:divBdr>
              <w:divsChild>
                <w:div w:id="1763330356">
                  <w:marLeft w:val="0"/>
                  <w:marRight w:val="0"/>
                  <w:marTop w:val="0"/>
                  <w:marBottom w:val="0"/>
                  <w:divBdr>
                    <w:top w:val="none" w:sz="0" w:space="0" w:color="auto"/>
                    <w:left w:val="none" w:sz="0" w:space="0" w:color="auto"/>
                    <w:bottom w:val="none" w:sz="0" w:space="0" w:color="auto"/>
                    <w:right w:val="none" w:sz="0" w:space="0" w:color="auto"/>
                  </w:divBdr>
                </w:div>
              </w:divsChild>
            </w:div>
            <w:div w:id="2047632511">
              <w:marLeft w:val="0"/>
              <w:marRight w:val="0"/>
              <w:marTop w:val="0"/>
              <w:marBottom w:val="0"/>
              <w:divBdr>
                <w:top w:val="none" w:sz="0" w:space="0" w:color="auto"/>
                <w:left w:val="none" w:sz="0" w:space="0" w:color="auto"/>
                <w:bottom w:val="none" w:sz="0" w:space="0" w:color="auto"/>
                <w:right w:val="none" w:sz="0" w:space="0" w:color="auto"/>
              </w:divBdr>
            </w:div>
            <w:div w:id="2083063119">
              <w:marLeft w:val="0"/>
              <w:marRight w:val="0"/>
              <w:marTop w:val="0"/>
              <w:marBottom w:val="0"/>
              <w:divBdr>
                <w:top w:val="none" w:sz="0" w:space="0" w:color="auto"/>
                <w:left w:val="none" w:sz="0" w:space="0" w:color="auto"/>
                <w:bottom w:val="none" w:sz="0" w:space="0" w:color="auto"/>
                <w:right w:val="none" w:sz="0" w:space="0" w:color="auto"/>
              </w:divBdr>
              <w:divsChild>
                <w:div w:id="1439330709">
                  <w:marLeft w:val="0"/>
                  <w:marRight w:val="0"/>
                  <w:marTop w:val="0"/>
                  <w:marBottom w:val="0"/>
                  <w:divBdr>
                    <w:top w:val="none" w:sz="0" w:space="0" w:color="auto"/>
                    <w:left w:val="none" w:sz="0" w:space="0" w:color="auto"/>
                    <w:bottom w:val="none" w:sz="0" w:space="0" w:color="auto"/>
                    <w:right w:val="none" w:sz="0" w:space="0" w:color="auto"/>
                  </w:divBdr>
                </w:div>
              </w:divsChild>
            </w:div>
            <w:div w:id="2106536471">
              <w:marLeft w:val="0"/>
              <w:marRight w:val="0"/>
              <w:marTop w:val="0"/>
              <w:marBottom w:val="0"/>
              <w:divBdr>
                <w:top w:val="none" w:sz="0" w:space="0" w:color="auto"/>
                <w:left w:val="none" w:sz="0" w:space="0" w:color="auto"/>
                <w:bottom w:val="none" w:sz="0" w:space="0" w:color="auto"/>
                <w:right w:val="none" w:sz="0" w:space="0" w:color="auto"/>
              </w:divBdr>
              <w:divsChild>
                <w:div w:id="8828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0361">
          <w:marLeft w:val="0"/>
          <w:marRight w:val="0"/>
          <w:marTop w:val="0"/>
          <w:marBottom w:val="0"/>
          <w:divBdr>
            <w:top w:val="none" w:sz="0" w:space="0" w:color="auto"/>
            <w:left w:val="none" w:sz="0" w:space="0" w:color="auto"/>
            <w:bottom w:val="none" w:sz="0" w:space="0" w:color="auto"/>
            <w:right w:val="none" w:sz="0" w:space="0" w:color="auto"/>
          </w:divBdr>
        </w:div>
        <w:div w:id="505093883">
          <w:marLeft w:val="-75"/>
          <w:marRight w:val="0"/>
          <w:marTop w:val="30"/>
          <w:marBottom w:val="30"/>
          <w:divBdr>
            <w:top w:val="none" w:sz="0" w:space="0" w:color="auto"/>
            <w:left w:val="none" w:sz="0" w:space="0" w:color="auto"/>
            <w:bottom w:val="none" w:sz="0" w:space="0" w:color="auto"/>
            <w:right w:val="none" w:sz="0" w:space="0" w:color="auto"/>
          </w:divBdr>
          <w:divsChild>
            <w:div w:id="256719088">
              <w:marLeft w:val="0"/>
              <w:marRight w:val="0"/>
              <w:marTop w:val="0"/>
              <w:marBottom w:val="0"/>
              <w:divBdr>
                <w:top w:val="none" w:sz="0" w:space="0" w:color="auto"/>
                <w:left w:val="none" w:sz="0" w:space="0" w:color="auto"/>
                <w:bottom w:val="none" w:sz="0" w:space="0" w:color="auto"/>
                <w:right w:val="none" w:sz="0" w:space="0" w:color="auto"/>
              </w:divBdr>
              <w:divsChild>
                <w:div w:id="414013546">
                  <w:marLeft w:val="0"/>
                  <w:marRight w:val="0"/>
                  <w:marTop w:val="0"/>
                  <w:marBottom w:val="0"/>
                  <w:divBdr>
                    <w:top w:val="none" w:sz="0" w:space="0" w:color="auto"/>
                    <w:left w:val="none" w:sz="0" w:space="0" w:color="auto"/>
                    <w:bottom w:val="none" w:sz="0" w:space="0" w:color="auto"/>
                    <w:right w:val="none" w:sz="0" w:space="0" w:color="auto"/>
                  </w:divBdr>
                </w:div>
              </w:divsChild>
            </w:div>
            <w:div w:id="319964002">
              <w:marLeft w:val="0"/>
              <w:marRight w:val="0"/>
              <w:marTop w:val="0"/>
              <w:marBottom w:val="0"/>
              <w:divBdr>
                <w:top w:val="none" w:sz="0" w:space="0" w:color="auto"/>
                <w:left w:val="none" w:sz="0" w:space="0" w:color="auto"/>
                <w:bottom w:val="none" w:sz="0" w:space="0" w:color="auto"/>
                <w:right w:val="none" w:sz="0" w:space="0" w:color="auto"/>
              </w:divBdr>
              <w:divsChild>
                <w:div w:id="413163974">
                  <w:marLeft w:val="0"/>
                  <w:marRight w:val="0"/>
                  <w:marTop w:val="0"/>
                  <w:marBottom w:val="0"/>
                  <w:divBdr>
                    <w:top w:val="none" w:sz="0" w:space="0" w:color="auto"/>
                    <w:left w:val="none" w:sz="0" w:space="0" w:color="auto"/>
                    <w:bottom w:val="none" w:sz="0" w:space="0" w:color="auto"/>
                    <w:right w:val="none" w:sz="0" w:space="0" w:color="auto"/>
                  </w:divBdr>
                </w:div>
              </w:divsChild>
            </w:div>
            <w:div w:id="372390856">
              <w:marLeft w:val="0"/>
              <w:marRight w:val="0"/>
              <w:marTop w:val="0"/>
              <w:marBottom w:val="0"/>
              <w:divBdr>
                <w:top w:val="none" w:sz="0" w:space="0" w:color="auto"/>
                <w:left w:val="none" w:sz="0" w:space="0" w:color="auto"/>
                <w:bottom w:val="none" w:sz="0" w:space="0" w:color="auto"/>
                <w:right w:val="none" w:sz="0" w:space="0" w:color="auto"/>
              </w:divBdr>
              <w:divsChild>
                <w:div w:id="1819960231">
                  <w:marLeft w:val="0"/>
                  <w:marRight w:val="0"/>
                  <w:marTop w:val="0"/>
                  <w:marBottom w:val="0"/>
                  <w:divBdr>
                    <w:top w:val="none" w:sz="0" w:space="0" w:color="auto"/>
                    <w:left w:val="none" w:sz="0" w:space="0" w:color="auto"/>
                    <w:bottom w:val="none" w:sz="0" w:space="0" w:color="auto"/>
                    <w:right w:val="none" w:sz="0" w:space="0" w:color="auto"/>
                  </w:divBdr>
                </w:div>
              </w:divsChild>
            </w:div>
            <w:div w:id="464129088">
              <w:marLeft w:val="0"/>
              <w:marRight w:val="0"/>
              <w:marTop w:val="0"/>
              <w:marBottom w:val="0"/>
              <w:divBdr>
                <w:top w:val="none" w:sz="0" w:space="0" w:color="auto"/>
                <w:left w:val="none" w:sz="0" w:space="0" w:color="auto"/>
                <w:bottom w:val="none" w:sz="0" w:space="0" w:color="auto"/>
                <w:right w:val="none" w:sz="0" w:space="0" w:color="auto"/>
              </w:divBdr>
              <w:divsChild>
                <w:div w:id="678770816">
                  <w:marLeft w:val="0"/>
                  <w:marRight w:val="0"/>
                  <w:marTop w:val="0"/>
                  <w:marBottom w:val="0"/>
                  <w:divBdr>
                    <w:top w:val="none" w:sz="0" w:space="0" w:color="auto"/>
                    <w:left w:val="none" w:sz="0" w:space="0" w:color="auto"/>
                    <w:bottom w:val="none" w:sz="0" w:space="0" w:color="auto"/>
                    <w:right w:val="none" w:sz="0" w:space="0" w:color="auto"/>
                  </w:divBdr>
                </w:div>
              </w:divsChild>
            </w:div>
            <w:div w:id="507404637">
              <w:marLeft w:val="0"/>
              <w:marRight w:val="0"/>
              <w:marTop w:val="0"/>
              <w:marBottom w:val="0"/>
              <w:divBdr>
                <w:top w:val="none" w:sz="0" w:space="0" w:color="auto"/>
                <w:left w:val="none" w:sz="0" w:space="0" w:color="auto"/>
                <w:bottom w:val="none" w:sz="0" w:space="0" w:color="auto"/>
                <w:right w:val="none" w:sz="0" w:space="0" w:color="auto"/>
              </w:divBdr>
              <w:divsChild>
                <w:div w:id="1309475898">
                  <w:marLeft w:val="0"/>
                  <w:marRight w:val="0"/>
                  <w:marTop w:val="0"/>
                  <w:marBottom w:val="0"/>
                  <w:divBdr>
                    <w:top w:val="none" w:sz="0" w:space="0" w:color="auto"/>
                    <w:left w:val="none" w:sz="0" w:space="0" w:color="auto"/>
                    <w:bottom w:val="none" w:sz="0" w:space="0" w:color="auto"/>
                    <w:right w:val="none" w:sz="0" w:space="0" w:color="auto"/>
                  </w:divBdr>
                </w:div>
              </w:divsChild>
            </w:div>
            <w:div w:id="604968930">
              <w:marLeft w:val="0"/>
              <w:marRight w:val="0"/>
              <w:marTop w:val="0"/>
              <w:marBottom w:val="0"/>
              <w:divBdr>
                <w:top w:val="none" w:sz="0" w:space="0" w:color="auto"/>
                <w:left w:val="none" w:sz="0" w:space="0" w:color="auto"/>
                <w:bottom w:val="none" w:sz="0" w:space="0" w:color="auto"/>
                <w:right w:val="none" w:sz="0" w:space="0" w:color="auto"/>
              </w:divBdr>
              <w:divsChild>
                <w:div w:id="1008483236">
                  <w:marLeft w:val="0"/>
                  <w:marRight w:val="0"/>
                  <w:marTop w:val="0"/>
                  <w:marBottom w:val="0"/>
                  <w:divBdr>
                    <w:top w:val="none" w:sz="0" w:space="0" w:color="auto"/>
                    <w:left w:val="none" w:sz="0" w:space="0" w:color="auto"/>
                    <w:bottom w:val="none" w:sz="0" w:space="0" w:color="auto"/>
                    <w:right w:val="none" w:sz="0" w:space="0" w:color="auto"/>
                  </w:divBdr>
                </w:div>
              </w:divsChild>
            </w:div>
            <w:div w:id="628900521">
              <w:marLeft w:val="0"/>
              <w:marRight w:val="0"/>
              <w:marTop w:val="0"/>
              <w:marBottom w:val="0"/>
              <w:divBdr>
                <w:top w:val="none" w:sz="0" w:space="0" w:color="auto"/>
                <w:left w:val="none" w:sz="0" w:space="0" w:color="auto"/>
                <w:bottom w:val="none" w:sz="0" w:space="0" w:color="auto"/>
                <w:right w:val="none" w:sz="0" w:space="0" w:color="auto"/>
              </w:divBdr>
              <w:divsChild>
                <w:div w:id="1097869173">
                  <w:marLeft w:val="0"/>
                  <w:marRight w:val="0"/>
                  <w:marTop w:val="0"/>
                  <w:marBottom w:val="0"/>
                  <w:divBdr>
                    <w:top w:val="none" w:sz="0" w:space="0" w:color="auto"/>
                    <w:left w:val="none" w:sz="0" w:space="0" w:color="auto"/>
                    <w:bottom w:val="none" w:sz="0" w:space="0" w:color="auto"/>
                    <w:right w:val="none" w:sz="0" w:space="0" w:color="auto"/>
                  </w:divBdr>
                </w:div>
                <w:div w:id="1349139484">
                  <w:marLeft w:val="0"/>
                  <w:marRight w:val="0"/>
                  <w:marTop w:val="0"/>
                  <w:marBottom w:val="0"/>
                  <w:divBdr>
                    <w:top w:val="none" w:sz="0" w:space="0" w:color="auto"/>
                    <w:left w:val="none" w:sz="0" w:space="0" w:color="auto"/>
                    <w:bottom w:val="none" w:sz="0" w:space="0" w:color="auto"/>
                    <w:right w:val="none" w:sz="0" w:space="0" w:color="auto"/>
                  </w:divBdr>
                </w:div>
              </w:divsChild>
            </w:div>
            <w:div w:id="704713541">
              <w:marLeft w:val="0"/>
              <w:marRight w:val="0"/>
              <w:marTop w:val="0"/>
              <w:marBottom w:val="0"/>
              <w:divBdr>
                <w:top w:val="none" w:sz="0" w:space="0" w:color="auto"/>
                <w:left w:val="none" w:sz="0" w:space="0" w:color="auto"/>
                <w:bottom w:val="none" w:sz="0" w:space="0" w:color="auto"/>
                <w:right w:val="none" w:sz="0" w:space="0" w:color="auto"/>
              </w:divBdr>
              <w:divsChild>
                <w:div w:id="453670518">
                  <w:marLeft w:val="0"/>
                  <w:marRight w:val="0"/>
                  <w:marTop w:val="0"/>
                  <w:marBottom w:val="0"/>
                  <w:divBdr>
                    <w:top w:val="none" w:sz="0" w:space="0" w:color="auto"/>
                    <w:left w:val="none" w:sz="0" w:space="0" w:color="auto"/>
                    <w:bottom w:val="none" w:sz="0" w:space="0" w:color="auto"/>
                    <w:right w:val="none" w:sz="0" w:space="0" w:color="auto"/>
                  </w:divBdr>
                </w:div>
              </w:divsChild>
            </w:div>
            <w:div w:id="806241732">
              <w:marLeft w:val="0"/>
              <w:marRight w:val="0"/>
              <w:marTop w:val="0"/>
              <w:marBottom w:val="0"/>
              <w:divBdr>
                <w:top w:val="none" w:sz="0" w:space="0" w:color="auto"/>
                <w:left w:val="none" w:sz="0" w:space="0" w:color="auto"/>
                <w:bottom w:val="none" w:sz="0" w:space="0" w:color="auto"/>
                <w:right w:val="none" w:sz="0" w:space="0" w:color="auto"/>
              </w:divBdr>
              <w:divsChild>
                <w:div w:id="1461459761">
                  <w:marLeft w:val="0"/>
                  <w:marRight w:val="0"/>
                  <w:marTop w:val="0"/>
                  <w:marBottom w:val="0"/>
                  <w:divBdr>
                    <w:top w:val="none" w:sz="0" w:space="0" w:color="auto"/>
                    <w:left w:val="none" w:sz="0" w:space="0" w:color="auto"/>
                    <w:bottom w:val="none" w:sz="0" w:space="0" w:color="auto"/>
                    <w:right w:val="none" w:sz="0" w:space="0" w:color="auto"/>
                  </w:divBdr>
                </w:div>
              </w:divsChild>
            </w:div>
            <w:div w:id="924923718">
              <w:marLeft w:val="0"/>
              <w:marRight w:val="0"/>
              <w:marTop w:val="0"/>
              <w:marBottom w:val="0"/>
              <w:divBdr>
                <w:top w:val="none" w:sz="0" w:space="0" w:color="auto"/>
                <w:left w:val="none" w:sz="0" w:space="0" w:color="auto"/>
                <w:bottom w:val="none" w:sz="0" w:space="0" w:color="auto"/>
                <w:right w:val="none" w:sz="0" w:space="0" w:color="auto"/>
              </w:divBdr>
              <w:divsChild>
                <w:div w:id="7803686">
                  <w:marLeft w:val="0"/>
                  <w:marRight w:val="0"/>
                  <w:marTop w:val="0"/>
                  <w:marBottom w:val="0"/>
                  <w:divBdr>
                    <w:top w:val="none" w:sz="0" w:space="0" w:color="auto"/>
                    <w:left w:val="none" w:sz="0" w:space="0" w:color="auto"/>
                    <w:bottom w:val="none" w:sz="0" w:space="0" w:color="auto"/>
                    <w:right w:val="none" w:sz="0" w:space="0" w:color="auto"/>
                  </w:divBdr>
                </w:div>
              </w:divsChild>
            </w:div>
            <w:div w:id="1054960838">
              <w:marLeft w:val="0"/>
              <w:marRight w:val="0"/>
              <w:marTop w:val="0"/>
              <w:marBottom w:val="0"/>
              <w:divBdr>
                <w:top w:val="none" w:sz="0" w:space="0" w:color="auto"/>
                <w:left w:val="none" w:sz="0" w:space="0" w:color="auto"/>
                <w:bottom w:val="none" w:sz="0" w:space="0" w:color="auto"/>
                <w:right w:val="none" w:sz="0" w:space="0" w:color="auto"/>
              </w:divBdr>
              <w:divsChild>
                <w:div w:id="520357473">
                  <w:marLeft w:val="0"/>
                  <w:marRight w:val="0"/>
                  <w:marTop w:val="0"/>
                  <w:marBottom w:val="0"/>
                  <w:divBdr>
                    <w:top w:val="none" w:sz="0" w:space="0" w:color="auto"/>
                    <w:left w:val="none" w:sz="0" w:space="0" w:color="auto"/>
                    <w:bottom w:val="none" w:sz="0" w:space="0" w:color="auto"/>
                    <w:right w:val="none" w:sz="0" w:space="0" w:color="auto"/>
                  </w:divBdr>
                </w:div>
              </w:divsChild>
            </w:div>
            <w:div w:id="1148135189">
              <w:marLeft w:val="0"/>
              <w:marRight w:val="0"/>
              <w:marTop w:val="0"/>
              <w:marBottom w:val="0"/>
              <w:divBdr>
                <w:top w:val="none" w:sz="0" w:space="0" w:color="auto"/>
                <w:left w:val="none" w:sz="0" w:space="0" w:color="auto"/>
                <w:bottom w:val="none" w:sz="0" w:space="0" w:color="auto"/>
                <w:right w:val="none" w:sz="0" w:space="0" w:color="auto"/>
              </w:divBdr>
              <w:divsChild>
                <w:div w:id="1411004722">
                  <w:marLeft w:val="0"/>
                  <w:marRight w:val="0"/>
                  <w:marTop w:val="0"/>
                  <w:marBottom w:val="0"/>
                  <w:divBdr>
                    <w:top w:val="none" w:sz="0" w:space="0" w:color="auto"/>
                    <w:left w:val="none" w:sz="0" w:space="0" w:color="auto"/>
                    <w:bottom w:val="none" w:sz="0" w:space="0" w:color="auto"/>
                    <w:right w:val="none" w:sz="0" w:space="0" w:color="auto"/>
                  </w:divBdr>
                </w:div>
              </w:divsChild>
            </w:div>
            <w:div w:id="1216309561">
              <w:marLeft w:val="0"/>
              <w:marRight w:val="0"/>
              <w:marTop w:val="0"/>
              <w:marBottom w:val="0"/>
              <w:divBdr>
                <w:top w:val="none" w:sz="0" w:space="0" w:color="auto"/>
                <w:left w:val="none" w:sz="0" w:space="0" w:color="auto"/>
                <w:bottom w:val="none" w:sz="0" w:space="0" w:color="auto"/>
                <w:right w:val="none" w:sz="0" w:space="0" w:color="auto"/>
              </w:divBdr>
              <w:divsChild>
                <w:div w:id="667445494">
                  <w:marLeft w:val="0"/>
                  <w:marRight w:val="0"/>
                  <w:marTop w:val="0"/>
                  <w:marBottom w:val="0"/>
                  <w:divBdr>
                    <w:top w:val="none" w:sz="0" w:space="0" w:color="auto"/>
                    <w:left w:val="none" w:sz="0" w:space="0" w:color="auto"/>
                    <w:bottom w:val="none" w:sz="0" w:space="0" w:color="auto"/>
                    <w:right w:val="none" w:sz="0" w:space="0" w:color="auto"/>
                  </w:divBdr>
                </w:div>
              </w:divsChild>
            </w:div>
            <w:div w:id="1294168487">
              <w:marLeft w:val="0"/>
              <w:marRight w:val="0"/>
              <w:marTop w:val="0"/>
              <w:marBottom w:val="0"/>
              <w:divBdr>
                <w:top w:val="none" w:sz="0" w:space="0" w:color="auto"/>
                <w:left w:val="none" w:sz="0" w:space="0" w:color="auto"/>
                <w:bottom w:val="none" w:sz="0" w:space="0" w:color="auto"/>
                <w:right w:val="none" w:sz="0" w:space="0" w:color="auto"/>
              </w:divBdr>
              <w:divsChild>
                <w:div w:id="222103224">
                  <w:marLeft w:val="0"/>
                  <w:marRight w:val="0"/>
                  <w:marTop w:val="0"/>
                  <w:marBottom w:val="0"/>
                  <w:divBdr>
                    <w:top w:val="none" w:sz="0" w:space="0" w:color="auto"/>
                    <w:left w:val="none" w:sz="0" w:space="0" w:color="auto"/>
                    <w:bottom w:val="none" w:sz="0" w:space="0" w:color="auto"/>
                    <w:right w:val="none" w:sz="0" w:space="0" w:color="auto"/>
                  </w:divBdr>
                </w:div>
              </w:divsChild>
            </w:div>
            <w:div w:id="1304312521">
              <w:marLeft w:val="0"/>
              <w:marRight w:val="0"/>
              <w:marTop w:val="0"/>
              <w:marBottom w:val="0"/>
              <w:divBdr>
                <w:top w:val="none" w:sz="0" w:space="0" w:color="auto"/>
                <w:left w:val="none" w:sz="0" w:space="0" w:color="auto"/>
                <w:bottom w:val="none" w:sz="0" w:space="0" w:color="auto"/>
                <w:right w:val="none" w:sz="0" w:space="0" w:color="auto"/>
              </w:divBdr>
              <w:divsChild>
                <w:div w:id="181165018">
                  <w:marLeft w:val="0"/>
                  <w:marRight w:val="0"/>
                  <w:marTop w:val="0"/>
                  <w:marBottom w:val="0"/>
                  <w:divBdr>
                    <w:top w:val="none" w:sz="0" w:space="0" w:color="auto"/>
                    <w:left w:val="none" w:sz="0" w:space="0" w:color="auto"/>
                    <w:bottom w:val="none" w:sz="0" w:space="0" w:color="auto"/>
                    <w:right w:val="none" w:sz="0" w:space="0" w:color="auto"/>
                  </w:divBdr>
                </w:div>
              </w:divsChild>
            </w:div>
            <w:div w:id="1306354889">
              <w:marLeft w:val="0"/>
              <w:marRight w:val="0"/>
              <w:marTop w:val="0"/>
              <w:marBottom w:val="0"/>
              <w:divBdr>
                <w:top w:val="none" w:sz="0" w:space="0" w:color="auto"/>
                <w:left w:val="none" w:sz="0" w:space="0" w:color="auto"/>
                <w:bottom w:val="none" w:sz="0" w:space="0" w:color="auto"/>
                <w:right w:val="none" w:sz="0" w:space="0" w:color="auto"/>
              </w:divBdr>
              <w:divsChild>
                <w:div w:id="2006665163">
                  <w:marLeft w:val="0"/>
                  <w:marRight w:val="0"/>
                  <w:marTop w:val="0"/>
                  <w:marBottom w:val="0"/>
                  <w:divBdr>
                    <w:top w:val="none" w:sz="0" w:space="0" w:color="auto"/>
                    <w:left w:val="none" w:sz="0" w:space="0" w:color="auto"/>
                    <w:bottom w:val="none" w:sz="0" w:space="0" w:color="auto"/>
                    <w:right w:val="none" w:sz="0" w:space="0" w:color="auto"/>
                  </w:divBdr>
                </w:div>
              </w:divsChild>
            </w:div>
            <w:div w:id="1369720717">
              <w:marLeft w:val="0"/>
              <w:marRight w:val="0"/>
              <w:marTop w:val="0"/>
              <w:marBottom w:val="0"/>
              <w:divBdr>
                <w:top w:val="none" w:sz="0" w:space="0" w:color="auto"/>
                <w:left w:val="none" w:sz="0" w:space="0" w:color="auto"/>
                <w:bottom w:val="none" w:sz="0" w:space="0" w:color="auto"/>
                <w:right w:val="none" w:sz="0" w:space="0" w:color="auto"/>
              </w:divBdr>
              <w:divsChild>
                <w:div w:id="1579485941">
                  <w:marLeft w:val="0"/>
                  <w:marRight w:val="0"/>
                  <w:marTop w:val="0"/>
                  <w:marBottom w:val="0"/>
                  <w:divBdr>
                    <w:top w:val="none" w:sz="0" w:space="0" w:color="auto"/>
                    <w:left w:val="none" w:sz="0" w:space="0" w:color="auto"/>
                    <w:bottom w:val="none" w:sz="0" w:space="0" w:color="auto"/>
                    <w:right w:val="none" w:sz="0" w:space="0" w:color="auto"/>
                  </w:divBdr>
                </w:div>
              </w:divsChild>
            </w:div>
            <w:div w:id="1410544788">
              <w:marLeft w:val="0"/>
              <w:marRight w:val="0"/>
              <w:marTop w:val="0"/>
              <w:marBottom w:val="0"/>
              <w:divBdr>
                <w:top w:val="none" w:sz="0" w:space="0" w:color="auto"/>
                <w:left w:val="none" w:sz="0" w:space="0" w:color="auto"/>
                <w:bottom w:val="none" w:sz="0" w:space="0" w:color="auto"/>
                <w:right w:val="none" w:sz="0" w:space="0" w:color="auto"/>
              </w:divBdr>
              <w:divsChild>
                <w:div w:id="1909653910">
                  <w:marLeft w:val="0"/>
                  <w:marRight w:val="0"/>
                  <w:marTop w:val="0"/>
                  <w:marBottom w:val="0"/>
                  <w:divBdr>
                    <w:top w:val="none" w:sz="0" w:space="0" w:color="auto"/>
                    <w:left w:val="none" w:sz="0" w:space="0" w:color="auto"/>
                    <w:bottom w:val="none" w:sz="0" w:space="0" w:color="auto"/>
                    <w:right w:val="none" w:sz="0" w:space="0" w:color="auto"/>
                  </w:divBdr>
                </w:div>
              </w:divsChild>
            </w:div>
            <w:div w:id="1424911222">
              <w:marLeft w:val="0"/>
              <w:marRight w:val="0"/>
              <w:marTop w:val="0"/>
              <w:marBottom w:val="0"/>
              <w:divBdr>
                <w:top w:val="none" w:sz="0" w:space="0" w:color="auto"/>
                <w:left w:val="none" w:sz="0" w:space="0" w:color="auto"/>
                <w:bottom w:val="none" w:sz="0" w:space="0" w:color="auto"/>
                <w:right w:val="none" w:sz="0" w:space="0" w:color="auto"/>
              </w:divBdr>
              <w:divsChild>
                <w:div w:id="424611439">
                  <w:marLeft w:val="0"/>
                  <w:marRight w:val="0"/>
                  <w:marTop w:val="0"/>
                  <w:marBottom w:val="0"/>
                  <w:divBdr>
                    <w:top w:val="none" w:sz="0" w:space="0" w:color="auto"/>
                    <w:left w:val="none" w:sz="0" w:space="0" w:color="auto"/>
                    <w:bottom w:val="none" w:sz="0" w:space="0" w:color="auto"/>
                    <w:right w:val="none" w:sz="0" w:space="0" w:color="auto"/>
                  </w:divBdr>
                </w:div>
              </w:divsChild>
            </w:div>
            <w:div w:id="1468618919">
              <w:marLeft w:val="0"/>
              <w:marRight w:val="0"/>
              <w:marTop w:val="0"/>
              <w:marBottom w:val="0"/>
              <w:divBdr>
                <w:top w:val="none" w:sz="0" w:space="0" w:color="auto"/>
                <w:left w:val="none" w:sz="0" w:space="0" w:color="auto"/>
                <w:bottom w:val="none" w:sz="0" w:space="0" w:color="auto"/>
                <w:right w:val="none" w:sz="0" w:space="0" w:color="auto"/>
              </w:divBdr>
              <w:divsChild>
                <w:div w:id="1674532812">
                  <w:marLeft w:val="0"/>
                  <w:marRight w:val="0"/>
                  <w:marTop w:val="0"/>
                  <w:marBottom w:val="0"/>
                  <w:divBdr>
                    <w:top w:val="none" w:sz="0" w:space="0" w:color="auto"/>
                    <w:left w:val="none" w:sz="0" w:space="0" w:color="auto"/>
                    <w:bottom w:val="none" w:sz="0" w:space="0" w:color="auto"/>
                    <w:right w:val="none" w:sz="0" w:space="0" w:color="auto"/>
                  </w:divBdr>
                </w:div>
              </w:divsChild>
            </w:div>
            <w:div w:id="1469591105">
              <w:marLeft w:val="0"/>
              <w:marRight w:val="0"/>
              <w:marTop w:val="0"/>
              <w:marBottom w:val="0"/>
              <w:divBdr>
                <w:top w:val="none" w:sz="0" w:space="0" w:color="auto"/>
                <w:left w:val="none" w:sz="0" w:space="0" w:color="auto"/>
                <w:bottom w:val="none" w:sz="0" w:space="0" w:color="auto"/>
                <w:right w:val="none" w:sz="0" w:space="0" w:color="auto"/>
              </w:divBdr>
            </w:div>
            <w:div w:id="1470129348">
              <w:marLeft w:val="0"/>
              <w:marRight w:val="0"/>
              <w:marTop w:val="0"/>
              <w:marBottom w:val="0"/>
              <w:divBdr>
                <w:top w:val="none" w:sz="0" w:space="0" w:color="auto"/>
                <w:left w:val="none" w:sz="0" w:space="0" w:color="auto"/>
                <w:bottom w:val="none" w:sz="0" w:space="0" w:color="auto"/>
                <w:right w:val="none" w:sz="0" w:space="0" w:color="auto"/>
              </w:divBdr>
              <w:divsChild>
                <w:div w:id="1474713575">
                  <w:marLeft w:val="0"/>
                  <w:marRight w:val="0"/>
                  <w:marTop w:val="0"/>
                  <w:marBottom w:val="0"/>
                  <w:divBdr>
                    <w:top w:val="none" w:sz="0" w:space="0" w:color="auto"/>
                    <w:left w:val="none" w:sz="0" w:space="0" w:color="auto"/>
                    <w:bottom w:val="none" w:sz="0" w:space="0" w:color="auto"/>
                    <w:right w:val="none" w:sz="0" w:space="0" w:color="auto"/>
                  </w:divBdr>
                </w:div>
              </w:divsChild>
            </w:div>
            <w:div w:id="1508670091">
              <w:marLeft w:val="0"/>
              <w:marRight w:val="0"/>
              <w:marTop w:val="0"/>
              <w:marBottom w:val="0"/>
              <w:divBdr>
                <w:top w:val="none" w:sz="0" w:space="0" w:color="auto"/>
                <w:left w:val="none" w:sz="0" w:space="0" w:color="auto"/>
                <w:bottom w:val="none" w:sz="0" w:space="0" w:color="auto"/>
                <w:right w:val="none" w:sz="0" w:space="0" w:color="auto"/>
              </w:divBdr>
              <w:divsChild>
                <w:div w:id="1531727593">
                  <w:marLeft w:val="0"/>
                  <w:marRight w:val="0"/>
                  <w:marTop w:val="0"/>
                  <w:marBottom w:val="0"/>
                  <w:divBdr>
                    <w:top w:val="none" w:sz="0" w:space="0" w:color="auto"/>
                    <w:left w:val="none" w:sz="0" w:space="0" w:color="auto"/>
                    <w:bottom w:val="none" w:sz="0" w:space="0" w:color="auto"/>
                    <w:right w:val="none" w:sz="0" w:space="0" w:color="auto"/>
                  </w:divBdr>
                </w:div>
              </w:divsChild>
            </w:div>
            <w:div w:id="1566456465">
              <w:marLeft w:val="0"/>
              <w:marRight w:val="0"/>
              <w:marTop w:val="0"/>
              <w:marBottom w:val="0"/>
              <w:divBdr>
                <w:top w:val="none" w:sz="0" w:space="0" w:color="auto"/>
                <w:left w:val="none" w:sz="0" w:space="0" w:color="auto"/>
                <w:bottom w:val="none" w:sz="0" w:space="0" w:color="auto"/>
                <w:right w:val="none" w:sz="0" w:space="0" w:color="auto"/>
              </w:divBdr>
              <w:divsChild>
                <w:div w:id="739642284">
                  <w:marLeft w:val="0"/>
                  <w:marRight w:val="0"/>
                  <w:marTop w:val="0"/>
                  <w:marBottom w:val="0"/>
                  <w:divBdr>
                    <w:top w:val="none" w:sz="0" w:space="0" w:color="auto"/>
                    <w:left w:val="none" w:sz="0" w:space="0" w:color="auto"/>
                    <w:bottom w:val="none" w:sz="0" w:space="0" w:color="auto"/>
                    <w:right w:val="none" w:sz="0" w:space="0" w:color="auto"/>
                  </w:divBdr>
                </w:div>
              </w:divsChild>
            </w:div>
            <w:div w:id="1611933696">
              <w:marLeft w:val="0"/>
              <w:marRight w:val="0"/>
              <w:marTop w:val="0"/>
              <w:marBottom w:val="0"/>
              <w:divBdr>
                <w:top w:val="none" w:sz="0" w:space="0" w:color="auto"/>
                <w:left w:val="none" w:sz="0" w:space="0" w:color="auto"/>
                <w:bottom w:val="none" w:sz="0" w:space="0" w:color="auto"/>
                <w:right w:val="none" w:sz="0" w:space="0" w:color="auto"/>
              </w:divBdr>
              <w:divsChild>
                <w:div w:id="753094067">
                  <w:marLeft w:val="0"/>
                  <w:marRight w:val="0"/>
                  <w:marTop w:val="0"/>
                  <w:marBottom w:val="0"/>
                  <w:divBdr>
                    <w:top w:val="none" w:sz="0" w:space="0" w:color="auto"/>
                    <w:left w:val="none" w:sz="0" w:space="0" w:color="auto"/>
                    <w:bottom w:val="none" w:sz="0" w:space="0" w:color="auto"/>
                    <w:right w:val="none" w:sz="0" w:space="0" w:color="auto"/>
                  </w:divBdr>
                </w:div>
              </w:divsChild>
            </w:div>
            <w:div w:id="1626109602">
              <w:marLeft w:val="0"/>
              <w:marRight w:val="0"/>
              <w:marTop w:val="0"/>
              <w:marBottom w:val="0"/>
              <w:divBdr>
                <w:top w:val="none" w:sz="0" w:space="0" w:color="auto"/>
                <w:left w:val="none" w:sz="0" w:space="0" w:color="auto"/>
                <w:bottom w:val="none" w:sz="0" w:space="0" w:color="auto"/>
                <w:right w:val="none" w:sz="0" w:space="0" w:color="auto"/>
              </w:divBdr>
              <w:divsChild>
                <w:div w:id="1963687240">
                  <w:marLeft w:val="0"/>
                  <w:marRight w:val="0"/>
                  <w:marTop w:val="0"/>
                  <w:marBottom w:val="0"/>
                  <w:divBdr>
                    <w:top w:val="none" w:sz="0" w:space="0" w:color="auto"/>
                    <w:left w:val="none" w:sz="0" w:space="0" w:color="auto"/>
                    <w:bottom w:val="none" w:sz="0" w:space="0" w:color="auto"/>
                    <w:right w:val="none" w:sz="0" w:space="0" w:color="auto"/>
                  </w:divBdr>
                </w:div>
              </w:divsChild>
            </w:div>
            <w:div w:id="1680423130">
              <w:marLeft w:val="0"/>
              <w:marRight w:val="0"/>
              <w:marTop w:val="0"/>
              <w:marBottom w:val="0"/>
              <w:divBdr>
                <w:top w:val="none" w:sz="0" w:space="0" w:color="auto"/>
                <w:left w:val="none" w:sz="0" w:space="0" w:color="auto"/>
                <w:bottom w:val="none" w:sz="0" w:space="0" w:color="auto"/>
                <w:right w:val="none" w:sz="0" w:space="0" w:color="auto"/>
              </w:divBdr>
              <w:divsChild>
                <w:div w:id="2084983359">
                  <w:marLeft w:val="0"/>
                  <w:marRight w:val="0"/>
                  <w:marTop w:val="0"/>
                  <w:marBottom w:val="0"/>
                  <w:divBdr>
                    <w:top w:val="none" w:sz="0" w:space="0" w:color="auto"/>
                    <w:left w:val="none" w:sz="0" w:space="0" w:color="auto"/>
                    <w:bottom w:val="none" w:sz="0" w:space="0" w:color="auto"/>
                    <w:right w:val="none" w:sz="0" w:space="0" w:color="auto"/>
                  </w:divBdr>
                </w:div>
              </w:divsChild>
            </w:div>
            <w:div w:id="1742214190">
              <w:marLeft w:val="0"/>
              <w:marRight w:val="0"/>
              <w:marTop w:val="0"/>
              <w:marBottom w:val="0"/>
              <w:divBdr>
                <w:top w:val="none" w:sz="0" w:space="0" w:color="auto"/>
                <w:left w:val="none" w:sz="0" w:space="0" w:color="auto"/>
                <w:bottom w:val="none" w:sz="0" w:space="0" w:color="auto"/>
                <w:right w:val="none" w:sz="0" w:space="0" w:color="auto"/>
              </w:divBdr>
              <w:divsChild>
                <w:div w:id="1159271561">
                  <w:marLeft w:val="0"/>
                  <w:marRight w:val="0"/>
                  <w:marTop w:val="0"/>
                  <w:marBottom w:val="0"/>
                  <w:divBdr>
                    <w:top w:val="none" w:sz="0" w:space="0" w:color="auto"/>
                    <w:left w:val="none" w:sz="0" w:space="0" w:color="auto"/>
                    <w:bottom w:val="none" w:sz="0" w:space="0" w:color="auto"/>
                    <w:right w:val="none" w:sz="0" w:space="0" w:color="auto"/>
                  </w:divBdr>
                </w:div>
              </w:divsChild>
            </w:div>
            <w:div w:id="1923636239">
              <w:marLeft w:val="0"/>
              <w:marRight w:val="0"/>
              <w:marTop w:val="0"/>
              <w:marBottom w:val="0"/>
              <w:divBdr>
                <w:top w:val="none" w:sz="0" w:space="0" w:color="auto"/>
                <w:left w:val="none" w:sz="0" w:space="0" w:color="auto"/>
                <w:bottom w:val="none" w:sz="0" w:space="0" w:color="auto"/>
                <w:right w:val="none" w:sz="0" w:space="0" w:color="auto"/>
              </w:divBdr>
              <w:divsChild>
                <w:div w:id="1820072461">
                  <w:marLeft w:val="0"/>
                  <w:marRight w:val="0"/>
                  <w:marTop w:val="0"/>
                  <w:marBottom w:val="0"/>
                  <w:divBdr>
                    <w:top w:val="none" w:sz="0" w:space="0" w:color="auto"/>
                    <w:left w:val="none" w:sz="0" w:space="0" w:color="auto"/>
                    <w:bottom w:val="none" w:sz="0" w:space="0" w:color="auto"/>
                    <w:right w:val="none" w:sz="0" w:space="0" w:color="auto"/>
                  </w:divBdr>
                </w:div>
              </w:divsChild>
            </w:div>
            <w:div w:id="1981881896">
              <w:marLeft w:val="0"/>
              <w:marRight w:val="0"/>
              <w:marTop w:val="0"/>
              <w:marBottom w:val="0"/>
              <w:divBdr>
                <w:top w:val="none" w:sz="0" w:space="0" w:color="auto"/>
                <w:left w:val="none" w:sz="0" w:space="0" w:color="auto"/>
                <w:bottom w:val="none" w:sz="0" w:space="0" w:color="auto"/>
                <w:right w:val="none" w:sz="0" w:space="0" w:color="auto"/>
              </w:divBdr>
              <w:divsChild>
                <w:div w:id="1086075083">
                  <w:marLeft w:val="0"/>
                  <w:marRight w:val="0"/>
                  <w:marTop w:val="0"/>
                  <w:marBottom w:val="0"/>
                  <w:divBdr>
                    <w:top w:val="none" w:sz="0" w:space="0" w:color="auto"/>
                    <w:left w:val="none" w:sz="0" w:space="0" w:color="auto"/>
                    <w:bottom w:val="none" w:sz="0" w:space="0" w:color="auto"/>
                    <w:right w:val="none" w:sz="0" w:space="0" w:color="auto"/>
                  </w:divBdr>
                </w:div>
              </w:divsChild>
            </w:div>
            <w:div w:id="1998025053">
              <w:marLeft w:val="0"/>
              <w:marRight w:val="0"/>
              <w:marTop w:val="0"/>
              <w:marBottom w:val="0"/>
              <w:divBdr>
                <w:top w:val="none" w:sz="0" w:space="0" w:color="auto"/>
                <w:left w:val="none" w:sz="0" w:space="0" w:color="auto"/>
                <w:bottom w:val="none" w:sz="0" w:space="0" w:color="auto"/>
                <w:right w:val="none" w:sz="0" w:space="0" w:color="auto"/>
              </w:divBdr>
              <w:divsChild>
                <w:div w:id="1872257944">
                  <w:marLeft w:val="0"/>
                  <w:marRight w:val="0"/>
                  <w:marTop w:val="0"/>
                  <w:marBottom w:val="0"/>
                  <w:divBdr>
                    <w:top w:val="none" w:sz="0" w:space="0" w:color="auto"/>
                    <w:left w:val="none" w:sz="0" w:space="0" w:color="auto"/>
                    <w:bottom w:val="none" w:sz="0" w:space="0" w:color="auto"/>
                    <w:right w:val="none" w:sz="0" w:space="0" w:color="auto"/>
                  </w:divBdr>
                </w:div>
              </w:divsChild>
            </w:div>
            <w:div w:id="2028405239">
              <w:marLeft w:val="0"/>
              <w:marRight w:val="0"/>
              <w:marTop w:val="0"/>
              <w:marBottom w:val="0"/>
              <w:divBdr>
                <w:top w:val="none" w:sz="0" w:space="0" w:color="auto"/>
                <w:left w:val="none" w:sz="0" w:space="0" w:color="auto"/>
                <w:bottom w:val="none" w:sz="0" w:space="0" w:color="auto"/>
                <w:right w:val="none" w:sz="0" w:space="0" w:color="auto"/>
              </w:divBdr>
              <w:divsChild>
                <w:div w:id="1339575705">
                  <w:marLeft w:val="0"/>
                  <w:marRight w:val="0"/>
                  <w:marTop w:val="0"/>
                  <w:marBottom w:val="0"/>
                  <w:divBdr>
                    <w:top w:val="none" w:sz="0" w:space="0" w:color="auto"/>
                    <w:left w:val="none" w:sz="0" w:space="0" w:color="auto"/>
                    <w:bottom w:val="none" w:sz="0" w:space="0" w:color="auto"/>
                    <w:right w:val="none" w:sz="0" w:space="0" w:color="auto"/>
                  </w:divBdr>
                </w:div>
              </w:divsChild>
            </w:div>
            <w:div w:id="2114083897">
              <w:marLeft w:val="0"/>
              <w:marRight w:val="0"/>
              <w:marTop w:val="0"/>
              <w:marBottom w:val="0"/>
              <w:divBdr>
                <w:top w:val="none" w:sz="0" w:space="0" w:color="auto"/>
                <w:left w:val="none" w:sz="0" w:space="0" w:color="auto"/>
                <w:bottom w:val="none" w:sz="0" w:space="0" w:color="auto"/>
                <w:right w:val="none" w:sz="0" w:space="0" w:color="auto"/>
              </w:divBdr>
              <w:divsChild>
                <w:div w:id="8053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19784">
          <w:marLeft w:val="0"/>
          <w:marRight w:val="0"/>
          <w:marTop w:val="0"/>
          <w:marBottom w:val="0"/>
          <w:divBdr>
            <w:top w:val="none" w:sz="0" w:space="0" w:color="auto"/>
            <w:left w:val="none" w:sz="0" w:space="0" w:color="auto"/>
            <w:bottom w:val="none" w:sz="0" w:space="0" w:color="auto"/>
            <w:right w:val="none" w:sz="0" w:space="0" w:color="auto"/>
          </w:divBdr>
        </w:div>
        <w:div w:id="706102852">
          <w:marLeft w:val="0"/>
          <w:marRight w:val="0"/>
          <w:marTop w:val="0"/>
          <w:marBottom w:val="0"/>
          <w:divBdr>
            <w:top w:val="none" w:sz="0" w:space="0" w:color="auto"/>
            <w:left w:val="none" w:sz="0" w:space="0" w:color="auto"/>
            <w:bottom w:val="none" w:sz="0" w:space="0" w:color="auto"/>
            <w:right w:val="none" w:sz="0" w:space="0" w:color="auto"/>
          </w:divBdr>
        </w:div>
        <w:div w:id="934437563">
          <w:marLeft w:val="0"/>
          <w:marRight w:val="0"/>
          <w:marTop w:val="0"/>
          <w:marBottom w:val="0"/>
          <w:divBdr>
            <w:top w:val="none" w:sz="0" w:space="0" w:color="auto"/>
            <w:left w:val="none" w:sz="0" w:space="0" w:color="auto"/>
            <w:bottom w:val="none" w:sz="0" w:space="0" w:color="auto"/>
            <w:right w:val="none" w:sz="0" w:space="0" w:color="auto"/>
          </w:divBdr>
        </w:div>
        <w:div w:id="1043671307">
          <w:marLeft w:val="-75"/>
          <w:marRight w:val="0"/>
          <w:marTop w:val="30"/>
          <w:marBottom w:val="30"/>
          <w:divBdr>
            <w:top w:val="none" w:sz="0" w:space="0" w:color="auto"/>
            <w:left w:val="none" w:sz="0" w:space="0" w:color="auto"/>
            <w:bottom w:val="none" w:sz="0" w:space="0" w:color="auto"/>
            <w:right w:val="none" w:sz="0" w:space="0" w:color="auto"/>
          </w:divBdr>
          <w:divsChild>
            <w:div w:id="504394976">
              <w:marLeft w:val="0"/>
              <w:marRight w:val="0"/>
              <w:marTop w:val="0"/>
              <w:marBottom w:val="0"/>
              <w:divBdr>
                <w:top w:val="none" w:sz="0" w:space="0" w:color="auto"/>
                <w:left w:val="none" w:sz="0" w:space="0" w:color="auto"/>
                <w:bottom w:val="none" w:sz="0" w:space="0" w:color="auto"/>
                <w:right w:val="none" w:sz="0" w:space="0" w:color="auto"/>
              </w:divBdr>
              <w:divsChild>
                <w:div w:id="2080208254">
                  <w:marLeft w:val="0"/>
                  <w:marRight w:val="0"/>
                  <w:marTop w:val="0"/>
                  <w:marBottom w:val="0"/>
                  <w:divBdr>
                    <w:top w:val="none" w:sz="0" w:space="0" w:color="auto"/>
                    <w:left w:val="none" w:sz="0" w:space="0" w:color="auto"/>
                    <w:bottom w:val="none" w:sz="0" w:space="0" w:color="auto"/>
                    <w:right w:val="none" w:sz="0" w:space="0" w:color="auto"/>
                  </w:divBdr>
                </w:div>
              </w:divsChild>
            </w:div>
            <w:div w:id="626936522">
              <w:marLeft w:val="0"/>
              <w:marRight w:val="0"/>
              <w:marTop w:val="0"/>
              <w:marBottom w:val="0"/>
              <w:divBdr>
                <w:top w:val="none" w:sz="0" w:space="0" w:color="auto"/>
                <w:left w:val="none" w:sz="0" w:space="0" w:color="auto"/>
                <w:bottom w:val="none" w:sz="0" w:space="0" w:color="auto"/>
                <w:right w:val="none" w:sz="0" w:space="0" w:color="auto"/>
              </w:divBdr>
              <w:divsChild>
                <w:div w:id="1453595194">
                  <w:marLeft w:val="0"/>
                  <w:marRight w:val="0"/>
                  <w:marTop w:val="0"/>
                  <w:marBottom w:val="0"/>
                  <w:divBdr>
                    <w:top w:val="none" w:sz="0" w:space="0" w:color="auto"/>
                    <w:left w:val="none" w:sz="0" w:space="0" w:color="auto"/>
                    <w:bottom w:val="none" w:sz="0" w:space="0" w:color="auto"/>
                    <w:right w:val="none" w:sz="0" w:space="0" w:color="auto"/>
                  </w:divBdr>
                </w:div>
              </w:divsChild>
            </w:div>
            <w:div w:id="1004209037">
              <w:marLeft w:val="0"/>
              <w:marRight w:val="0"/>
              <w:marTop w:val="0"/>
              <w:marBottom w:val="0"/>
              <w:divBdr>
                <w:top w:val="none" w:sz="0" w:space="0" w:color="auto"/>
                <w:left w:val="none" w:sz="0" w:space="0" w:color="auto"/>
                <w:bottom w:val="none" w:sz="0" w:space="0" w:color="auto"/>
                <w:right w:val="none" w:sz="0" w:space="0" w:color="auto"/>
              </w:divBdr>
              <w:divsChild>
                <w:div w:id="1009719055">
                  <w:marLeft w:val="0"/>
                  <w:marRight w:val="0"/>
                  <w:marTop w:val="0"/>
                  <w:marBottom w:val="0"/>
                  <w:divBdr>
                    <w:top w:val="none" w:sz="0" w:space="0" w:color="auto"/>
                    <w:left w:val="none" w:sz="0" w:space="0" w:color="auto"/>
                    <w:bottom w:val="none" w:sz="0" w:space="0" w:color="auto"/>
                    <w:right w:val="none" w:sz="0" w:space="0" w:color="auto"/>
                  </w:divBdr>
                </w:div>
                <w:div w:id="1570267141">
                  <w:marLeft w:val="0"/>
                  <w:marRight w:val="0"/>
                  <w:marTop w:val="0"/>
                  <w:marBottom w:val="0"/>
                  <w:divBdr>
                    <w:top w:val="none" w:sz="0" w:space="0" w:color="auto"/>
                    <w:left w:val="none" w:sz="0" w:space="0" w:color="auto"/>
                    <w:bottom w:val="none" w:sz="0" w:space="0" w:color="auto"/>
                    <w:right w:val="none" w:sz="0" w:space="0" w:color="auto"/>
                  </w:divBdr>
                </w:div>
              </w:divsChild>
            </w:div>
            <w:div w:id="1058019690">
              <w:marLeft w:val="0"/>
              <w:marRight w:val="0"/>
              <w:marTop w:val="0"/>
              <w:marBottom w:val="0"/>
              <w:divBdr>
                <w:top w:val="none" w:sz="0" w:space="0" w:color="auto"/>
                <w:left w:val="none" w:sz="0" w:space="0" w:color="auto"/>
                <w:bottom w:val="none" w:sz="0" w:space="0" w:color="auto"/>
                <w:right w:val="none" w:sz="0" w:space="0" w:color="auto"/>
              </w:divBdr>
              <w:divsChild>
                <w:div w:id="1326546414">
                  <w:marLeft w:val="0"/>
                  <w:marRight w:val="0"/>
                  <w:marTop w:val="0"/>
                  <w:marBottom w:val="0"/>
                  <w:divBdr>
                    <w:top w:val="none" w:sz="0" w:space="0" w:color="auto"/>
                    <w:left w:val="none" w:sz="0" w:space="0" w:color="auto"/>
                    <w:bottom w:val="none" w:sz="0" w:space="0" w:color="auto"/>
                    <w:right w:val="none" w:sz="0" w:space="0" w:color="auto"/>
                  </w:divBdr>
                </w:div>
                <w:div w:id="1384207531">
                  <w:marLeft w:val="0"/>
                  <w:marRight w:val="0"/>
                  <w:marTop w:val="0"/>
                  <w:marBottom w:val="0"/>
                  <w:divBdr>
                    <w:top w:val="none" w:sz="0" w:space="0" w:color="auto"/>
                    <w:left w:val="none" w:sz="0" w:space="0" w:color="auto"/>
                    <w:bottom w:val="none" w:sz="0" w:space="0" w:color="auto"/>
                    <w:right w:val="none" w:sz="0" w:space="0" w:color="auto"/>
                  </w:divBdr>
                </w:div>
              </w:divsChild>
            </w:div>
            <w:div w:id="1393775859">
              <w:marLeft w:val="0"/>
              <w:marRight w:val="0"/>
              <w:marTop w:val="0"/>
              <w:marBottom w:val="0"/>
              <w:divBdr>
                <w:top w:val="none" w:sz="0" w:space="0" w:color="auto"/>
                <w:left w:val="none" w:sz="0" w:space="0" w:color="auto"/>
                <w:bottom w:val="none" w:sz="0" w:space="0" w:color="auto"/>
                <w:right w:val="none" w:sz="0" w:space="0" w:color="auto"/>
              </w:divBdr>
            </w:div>
          </w:divsChild>
        </w:div>
        <w:div w:id="1335038444">
          <w:marLeft w:val="-75"/>
          <w:marRight w:val="0"/>
          <w:marTop w:val="30"/>
          <w:marBottom w:val="30"/>
          <w:divBdr>
            <w:top w:val="none" w:sz="0" w:space="0" w:color="auto"/>
            <w:left w:val="none" w:sz="0" w:space="0" w:color="auto"/>
            <w:bottom w:val="none" w:sz="0" w:space="0" w:color="auto"/>
            <w:right w:val="none" w:sz="0" w:space="0" w:color="auto"/>
          </w:divBdr>
          <w:divsChild>
            <w:div w:id="1906987200">
              <w:marLeft w:val="0"/>
              <w:marRight w:val="0"/>
              <w:marTop w:val="0"/>
              <w:marBottom w:val="0"/>
              <w:divBdr>
                <w:top w:val="none" w:sz="0" w:space="0" w:color="auto"/>
                <w:left w:val="none" w:sz="0" w:space="0" w:color="auto"/>
                <w:bottom w:val="none" w:sz="0" w:space="0" w:color="auto"/>
                <w:right w:val="none" w:sz="0" w:space="0" w:color="auto"/>
              </w:divBdr>
              <w:divsChild>
                <w:div w:id="1595629904">
                  <w:marLeft w:val="0"/>
                  <w:marRight w:val="0"/>
                  <w:marTop w:val="0"/>
                  <w:marBottom w:val="0"/>
                  <w:divBdr>
                    <w:top w:val="none" w:sz="0" w:space="0" w:color="auto"/>
                    <w:left w:val="none" w:sz="0" w:space="0" w:color="auto"/>
                    <w:bottom w:val="none" w:sz="0" w:space="0" w:color="auto"/>
                    <w:right w:val="none" w:sz="0" w:space="0" w:color="auto"/>
                  </w:divBdr>
                </w:div>
              </w:divsChild>
            </w:div>
            <w:div w:id="1992174080">
              <w:marLeft w:val="0"/>
              <w:marRight w:val="0"/>
              <w:marTop w:val="0"/>
              <w:marBottom w:val="0"/>
              <w:divBdr>
                <w:top w:val="none" w:sz="0" w:space="0" w:color="auto"/>
                <w:left w:val="none" w:sz="0" w:space="0" w:color="auto"/>
                <w:bottom w:val="none" w:sz="0" w:space="0" w:color="auto"/>
                <w:right w:val="none" w:sz="0" w:space="0" w:color="auto"/>
              </w:divBdr>
              <w:divsChild>
                <w:div w:id="779031171">
                  <w:marLeft w:val="0"/>
                  <w:marRight w:val="0"/>
                  <w:marTop w:val="0"/>
                  <w:marBottom w:val="0"/>
                  <w:divBdr>
                    <w:top w:val="none" w:sz="0" w:space="0" w:color="auto"/>
                    <w:left w:val="none" w:sz="0" w:space="0" w:color="auto"/>
                    <w:bottom w:val="none" w:sz="0" w:space="0" w:color="auto"/>
                    <w:right w:val="none" w:sz="0" w:space="0" w:color="auto"/>
                  </w:divBdr>
                </w:div>
                <w:div w:id="1000304726">
                  <w:marLeft w:val="0"/>
                  <w:marRight w:val="0"/>
                  <w:marTop w:val="0"/>
                  <w:marBottom w:val="0"/>
                  <w:divBdr>
                    <w:top w:val="none" w:sz="0" w:space="0" w:color="auto"/>
                    <w:left w:val="none" w:sz="0" w:space="0" w:color="auto"/>
                    <w:bottom w:val="none" w:sz="0" w:space="0" w:color="auto"/>
                    <w:right w:val="none" w:sz="0" w:space="0" w:color="auto"/>
                  </w:divBdr>
                </w:div>
                <w:div w:id="12343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71665">
          <w:marLeft w:val="-75"/>
          <w:marRight w:val="0"/>
          <w:marTop w:val="30"/>
          <w:marBottom w:val="30"/>
          <w:divBdr>
            <w:top w:val="none" w:sz="0" w:space="0" w:color="auto"/>
            <w:left w:val="none" w:sz="0" w:space="0" w:color="auto"/>
            <w:bottom w:val="none" w:sz="0" w:space="0" w:color="auto"/>
            <w:right w:val="none" w:sz="0" w:space="0" w:color="auto"/>
          </w:divBdr>
          <w:divsChild>
            <w:div w:id="547844232">
              <w:marLeft w:val="0"/>
              <w:marRight w:val="0"/>
              <w:marTop w:val="0"/>
              <w:marBottom w:val="0"/>
              <w:divBdr>
                <w:top w:val="none" w:sz="0" w:space="0" w:color="auto"/>
                <w:left w:val="none" w:sz="0" w:space="0" w:color="auto"/>
                <w:bottom w:val="none" w:sz="0" w:space="0" w:color="auto"/>
                <w:right w:val="none" w:sz="0" w:space="0" w:color="auto"/>
              </w:divBdr>
              <w:divsChild>
                <w:div w:id="225338603">
                  <w:marLeft w:val="0"/>
                  <w:marRight w:val="0"/>
                  <w:marTop w:val="0"/>
                  <w:marBottom w:val="0"/>
                  <w:divBdr>
                    <w:top w:val="none" w:sz="0" w:space="0" w:color="auto"/>
                    <w:left w:val="none" w:sz="0" w:space="0" w:color="auto"/>
                    <w:bottom w:val="none" w:sz="0" w:space="0" w:color="auto"/>
                    <w:right w:val="none" w:sz="0" w:space="0" w:color="auto"/>
                  </w:divBdr>
                </w:div>
                <w:div w:id="1101293052">
                  <w:marLeft w:val="0"/>
                  <w:marRight w:val="0"/>
                  <w:marTop w:val="0"/>
                  <w:marBottom w:val="0"/>
                  <w:divBdr>
                    <w:top w:val="none" w:sz="0" w:space="0" w:color="auto"/>
                    <w:left w:val="none" w:sz="0" w:space="0" w:color="auto"/>
                    <w:bottom w:val="none" w:sz="0" w:space="0" w:color="auto"/>
                    <w:right w:val="none" w:sz="0" w:space="0" w:color="auto"/>
                  </w:divBdr>
                </w:div>
                <w:div w:id="1795706410">
                  <w:marLeft w:val="0"/>
                  <w:marRight w:val="0"/>
                  <w:marTop w:val="0"/>
                  <w:marBottom w:val="0"/>
                  <w:divBdr>
                    <w:top w:val="none" w:sz="0" w:space="0" w:color="auto"/>
                    <w:left w:val="none" w:sz="0" w:space="0" w:color="auto"/>
                    <w:bottom w:val="none" w:sz="0" w:space="0" w:color="auto"/>
                    <w:right w:val="none" w:sz="0" w:space="0" w:color="auto"/>
                  </w:divBdr>
                </w:div>
              </w:divsChild>
            </w:div>
            <w:div w:id="1480069910">
              <w:marLeft w:val="0"/>
              <w:marRight w:val="0"/>
              <w:marTop w:val="0"/>
              <w:marBottom w:val="0"/>
              <w:divBdr>
                <w:top w:val="none" w:sz="0" w:space="0" w:color="auto"/>
                <w:left w:val="none" w:sz="0" w:space="0" w:color="auto"/>
                <w:bottom w:val="none" w:sz="0" w:space="0" w:color="auto"/>
                <w:right w:val="none" w:sz="0" w:space="0" w:color="auto"/>
              </w:divBdr>
              <w:divsChild>
                <w:div w:id="126176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5927">
          <w:marLeft w:val="0"/>
          <w:marRight w:val="0"/>
          <w:marTop w:val="0"/>
          <w:marBottom w:val="0"/>
          <w:divBdr>
            <w:top w:val="none" w:sz="0" w:space="0" w:color="auto"/>
            <w:left w:val="none" w:sz="0" w:space="0" w:color="auto"/>
            <w:bottom w:val="none" w:sz="0" w:space="0" w:color="auto"/>
            <w:right w:val="none" w:sz="0" w:space="0" w:color="auto"/>
          </w:divBdr>
        </w:div>
        <w:div w:id="1774285244">
          <w:marLeft w:val="0"/>
          <w:marRight w:val="0"/>
          <w:marTop w:val="0"/>
          <w:marBottom w:val="0"/>
          <w:divBdr>
            <w:top w:val="none" w:sz="0" w:space="0" w:color="auto"/>
            <w:left w:val="none" w:sz="0" w:space="0" w:color="auto"/>
            <w:bottom w:val="none" w:sz="0" w:space="0" w:color="auto"/>
            <w:right w:val="none" w:sz="0" w:space="0" w:color="auto"/>
          </w:divBdr>
        </w:div>
        <w:div w:id="1775635112">
          <w:marLeft w:val="0"/>
          <w:marRight w:val="0"/>
          <w:marTop w:val="0"/>
          <w:marBottom w:val="0"/>
          <w:divBdr>
            <w:top w:val="none" w:sz="0" w:space="0" w:color="auto"/>
            <w:left w:val="none" w:sz="0" w:space="0" w:color="auto"/>
            <w:bottom w:val="none" w:sz="0" w:space="0" w:color="auto"/>
            <w:right w:val="none" w:sz="0" w:space="0" w:color="auto"/>
          </w:divBdr>
        </w:div>
        <w:div w:id="1810977306">
          <w:marLeft w:val="0"/>
          <w:marRight w:val="0"/>
          <w:marTop w:val="0"/>
          <w:marBottom w:val="0"/>
          <w:divBdr>
            <w:top w:val="none" w:sz="0" w:space="0" w:color="auto"/>
            <w:left w:val="none" w:sz="0" w:space="0" w:color="auto"/>
            <w:bottom w:val="none" w:sz="0" w:space="0" w:color="auto"/>
            <w:right w:val="none" w:sz="0" w:space="0" w:color="auto"/>
          </w:divBdr>
        </w:div>
        <w:div w:id="1835366680">
          <w:marLeft w:val="0"/>
          <w:marRight w:val="0"/>
          <w:marTop w:val="0"/>
          <w:marBottom w:val="0"/>
          <w:divBdr>
            <w:top w:val="none" w:sz="0" w:space="0" w:color="auto"/>
            <w:left w:val="none" w:sz="0" w:space="0" w:color="auto"/>
            <w:bottom w:val="none" w:sz="0" w:space="0" w:color="auto"/>
            <w:right w:val="none" w:sz="0" w:space="0" w:color="auto"/>
          </w:divBdr>
        </w:div>
        <w:div w:id="1925649665">
          <w:marLeft w:val="0"/>
          <w:marRight w:val="0"/>
          <w:marTop w:val="0"/>
          <w:marBottom w:val="0"/>
          <w:divBdr>
            <w:top w:val="none" w:sz="0" w:space="0" w:color="auto"/>
            <w:left w:val="none" w:sz="0" w:space="0" w:color="auto"/>
            <w:bottom w:val="none" w:sz="0" w:space="0" w:color="auto"/>
            <w:right w:val="none" w:sz="0" w:space="0" w:color="auto"/>
          </w:divBdr>
        </w:div>
        <w:div w:id="1928537256">
          <w:marLeft w:val="0"/>
          <w:marRight w:val="0"/>
          <w:marTop w:val="0"/>
          <w:marBottom w:val="0"/>
          <w:divBdr>
            <w:top w:val="none" w:sz="0" w:space="0" w:color="auto"/>
            <w:left w:val="none" w:sz="0" w:space="0" w:color="auto"/>
            <w:bottom w:val="none" w:sz="0" w:space="0" w:color="auto"/>
            <w:right w:val="none" w:sz="0" w:space="0" w:color="auto"/>
          </w:divBdr>
        </w:div>
      </w:divsChild>
    </w:div>
    <w:div w:id="1386370586">
      <w:marLeft w:val="480"/>
      <w:marRight w:val="0"/>
      <w:marTop w:val="0"/>
      <w:marBottom w:val="0"/>
      <w:divBdr>
        <w:top w:val="none" w:sz="0" w:space="0" w:color="auto"/>
        <w:left w:val="none" w:sz="0" w:space="0" w:color="auto"/>
        <w:bottom w:val="none" w:sz="0" w:space="0" w:color="auto"/>
        <w:right w:val="none" w:sz="0" w:space="0" w:color="auto"/>
      </w:divBdr>
    </w:div>
    <w:div w:id="1387608736">
      <w:marLeft w:val="480"/>
      <w:marRight w:val="0"/>
      <w:marTop w:val="0"/>
      <w:marBottom w:val="0"/>
      <w:divBdr>
        <w:top w:val="none" w:sz="0" w:space="0" w:color="auto"/>
        <w:left w:val="none" w:sz="0" w:space="0" w:color="auto"/>
        <w:bottom w:val="none" w:sz="0" w:space="0" w:color="auto"/>
        <w:right w:val="none" w:sz="0" w:space="0" w:color="auto"/>
      </w:divBdr>
    </w:div>
    <w:div w:id="1390110372">
      <w:marLeft w:val="480"/>
      <w:marRight w:val="0"/>
      <w:marTop w:val="0"/>
      <w:marBottom w:val="0"/>
      <w:divBdr>
        <w:top w:val="none" w:sz="0" w:space="0" w:color="auto"/>
        <w:left w:val="none" w:sz="0" w:space="0" w:color="auto"/>
        <w:bottom w:val="none" w:sz="0" w:space="0" w:color="auto"/>
        <w:right w:val="none" w:sz="0" w:space="0" w:color="auto"/>
      </w:divBdr>
    </w:div>
    <w:div w:id="1392536939">
      <w:bodyDiv w:val="1"/>
      <w:marLeft w:val="0"/>
      <w:marRight w:val="0"/>
      <w:marTop w:val="0"/>
      <w:marBottom w:val="0"/>
      <w:divBdr>
        <w:top w:val="none" w:sz="0" w:space="0" w:color="auto"/>
        <w:left w:val="none" w:sz="0" w:space="0" w:color="auto"/>
        <w:bottom w:val="none" w:sz="0" w:space="0" w:color="auto"/>
        <w:right w:val="none" w:sz="0" w:space="0" w:color="auto"/>
      </w:divBdr>
    </w:div>
    <w:div w:id="1395539947">
      <w:marLeft w:val="480"/>
      <w:marRight w:val="0"/>
      <w:marTop w:val="0"/>
      <w:marBottom w:val="0"/>
      <w:divBdr>
        <w:top w:val="none" w:sz="0" w:space="0" w:color="auto"/>
        <w:left w:val="none" w:sz="0" w:space="0" w:color="auto"/>
        <w:bottom w:val="none" w:sz="0" w:space="0" w:color="auto"/>
        <w:right w:val="none" w:sz="0" w:space="0" w:color="auto"/>
      </w:divBdr>
    </w:div>
    <w:div w:id="1397162061">
      <w:marLeft w:val="480"/>
      <w:marRight w:val="0"/>
      <w:marTop w:val="0"/>
      <w:marBottom w:val="0"/>
      <w:divBdr>
        <w:top w:val="none" w:sz="0" w:space="0" w:color="auto"/>
        <w:left w:val="none" w:sz="0" w:space="0" w:color="auto"/>
        <w:bottom w:val="none" w:sz="0" w:space="0" w:color="auto"/>
        <w:right w:val="none" w:sz="0" w:space="0" w:color="auto"/>
      </w:divBdr>
    </w:div>
    <w:div w:id="1400325353">
      <w:marLeft w:val="480"/>
      <w:marRight w:val="0"/>
      <w:marTop w:val="0"/>
      <w:marBottom w:val="0"/>
      <w:divBdr>
        <w:top w:val="none" w:sz="0" w:space="0" w:color="auto"/>
        <w:left w:val="none" w:sz="0" w:space="0" w:color="auto"/>
        <w:bottom w:val="none" w:sz="0" w:space="0" w:color="auto"/>
        <w:right w:val="none" w:sz="0" w:space="0" w:color="auto"/>
      </w:divBdr>
    </w:div>
    <w:div w:id="1401714279">
      <w:marLeft w:val="480"/>
      <w:marRight w:val="0"/>
      <w:marTop w:val="0"/>
      <w:marBottom w:val="0"/>
      <w:divBdr>
        <w:top w:val="none" w:sz="0" w:space="0" w:color="auto"/>
        <w:left w:val="none" w:sz="0" w:space="0" w:color="auto"/>
        <w:bottom w:val="none" w:sz="0" w:space="0" w:color="auto"/>
        <w:right w:val="none" w:sz="0" w:space="0" w:color="auto"/>
      </w:divBdr>
    </w:div>
    <w:div w:id="1403913182">
      <w:bodyDiv w:val="1"/>
      <w:marLeft w:val="0"/>
      <w:marRight w:val="0"/>
      <w:marTop w:val="0"/>
      <w:marBottom w:val="0"/>
      <w:divBdr>
        <w:top w:val="none" w:sz="0" w:space="0" w:color="auto"/>
        <w:left w:val="none" w:sz="0" w:space="0" w:color="auto"/>
        <w:bottom w:val="none" w:sz="0" w:space="0" w:color="auto"/>
        <w:right w:val="none" w:sz="0" w:space="0" w:color="auto"/>
      </w:divBdr>
    </w:div>
    <w:div w:id="1405644546">
      <w:marLeft w:val="480"/>
      <w:marRight w:val="0"/>
      <w:marTop w:val="0"/>
      <w:marBottom w:val="0"/>
      <w:divBdr>
        <w:top w:val="none" w:sz="0" w:space="0" w:color="auto"/>
        <w:left w:val="none" w:sz="0" w:space="0" w:color="auto"/>
        <w:bottom w:val="none" w:sz="0" w:space="0" w:color="auto"/>
        <w:right w:val="none" w:sz="0" w:space="0" w:color="auto"/>
      </w:divBdr>
    </w:div>
    <w:div w:id="1406605488">
      <w:marLeft w:val="480"/>
      <w:marRight w:val="0"/>
      <w:marTop w:val="0"/>
      <w:marBottom w:val="0"/>
      <w:divBdr>
        <w:top w:val="none" w:sz="0" w:space="0" w:color="auto"/>
        <w:left w:val="none" w:sz="0" w:space="0" w:color="auto"/>
        <w:bottom w:val="none" w:sz="0" w:space="0" w:color="auto"/>
        <w:right w:val="none" w:sz="0" w:space="0" w:color="auto"/>
      </w:divBdr>
    </w:div>
    <w:div w:id="1408070634">
      <w:marLeft w:val="480"/>
      <w:marRight w:val="0"/>
      <w:marTop w:val="0"/>
      <w:marBottom w:val="0"/>
      <w:divBdr>
        <w:top w:val="none" w:sz="0" w:space="0" w:color="auto"/>
        <w:left w:val="none" w:sz="0" w:space="0" w:color="auto"/>
        <w:bottom w:val="none" w:sz="0" w:space="0" w:color="auto"/>
        <w:right w:val="none" w:sz="0" w:space="0" w:color="auto"/>
      </w:divBdr>
    </w:div>
    <w:div w:id="1411269728">
      <w:marLeft w:val="480"/>
      <w:marRight w:val="0"/>
      <w:marTop w:val="0"/>
      <w:marBottom w:val="0"/>
      <w:divBdr>
        <w:top w:val="none" w:sz="0" w:space="0" w:color="auto"/>
        <w:left w:val="none" w:sz="0" w:space="0" w:color="auto"/>
        <w:bottom w:val="none" w:sz="0" w:space="0" w:color="auto"/>
        <w:right w:val="none" w:sz="0" w:space="0" w:color="auto"/>
      </w:divBdr>
    </w:div>
    <w:div w:id="1412972526">
      <w:marLeft w:val="480"/>
      <w:marRight w:val="0"/>
      <w:marTop w:val="0"/>
      <w:marBottom w:val="0"/>
      <w:divBdr>
        <w:top w:val="none" w:sz="0" w:space="0" w:color="auto"/>
        <w:left w:val="none" w:sz="0" w:space="0" w:color="auto"/>
        <w:bottom w:val="none" w:sz="0" w:space="0" w:color="auto"/>
        <w:right w:val="none" w:sz="0" w:space="0" w:color="auto"/>
      </w:divBdr>
    </w:div>
    <w:div w:id="1413350979">
      <w:marLeft w:val="480"/>
      <w:marRight w:val="0"/>
      <w:marTop w:val="0"/>
      <w:marBottom w:val="0"/>
      <w:divBdr>
        <w:top w:val="none" w:sz="0" w:space="0" w:color="auto"/>
        <w:left w:val="none" w:sz="0" w:space="0" w:color="auto"/>
        <w:bottom w:val="none" w:sz="0" w:space="0" w:color="auto"/>
        <w:right w:val="none" w:sz="0" w:space="0" w:color="auto"/>
      </w:divBdr>
    </w:div>
    <w:div w:id="1414813626">
      <w:bodyDiv w:val="1"/>
      <w:marLeft w:val="0"/>
      <w:marRight w:val="0"/>
      <w:marTop w:val="0"/>
      <w:marBottom w:val="0"/>
      <w:divBdr>
        <w:top w:val="none" w:sz="0" w:space="0" w:color="auto"/>
        <w:left w:val="none" w:sz="0" w:space="0" w:color="auto"/>
        <w:bottom w:val="none" w:sz="0" w:space="0" w:color="auto"/>
        <w:right w:val="none" w:sz="0" w:space="0" w:color="auto"/>
      </w:divBdr>
    </w:div>
    <w:div w:id="1416707603">
      <w:marLeft w:val="480"/>
      <w:marRight w:val="0"/>
      <w:marTop w:val="0"/>
      <w:marBottom w:val="0"/>
      <w:divBdr>
        <w:top w:val="none" w:sz="0" w:space="0" w:color="auto"/>
        <w:left w:val="none" w:sz="0" w:space="0" w:color="auto"/>
        <w:bottom w:val="none" w:sz="0" w:space="0" w:color="auto"/>
        <w:right w:val="none" w:sz="0" w:space="0" w:color="auto"/>
      </w:divBdr>
    </w:div>
    <w:div w:id="1420324660">
      <w:bodyDiv w:val="1"/>
      <w:marLeft w:val="0"/>
      <w:marRight w:val="0"/>
      <w:marTop w:val="0"/>
      <w:marBottom w:val="0"/>
      <w:divBdr>
        <w:top w:val="none" w:sz="0" w:space="0" w:color="auto"/>
        <w:left w:val="none" w:sz="0" w:space="0" w:color="auto"/>
        <w:bottom w:val="none" w:sz="0" w:space="0" w:color="auto"/>
        <w:right w:val="none" w:sz="0" w:space="0" w:color="auto"/>
      </w:divBdr>
    </w:div>
    <w:div w:id="1422944477">
      <w:marLeft w:val="480"/>
      <w:marRight w:val="0"/>
      <w:marTop w:val="0"/>
      <w:marBottom w:val="0"/>
      <w:divBdr>
        <w:top w:val="none" w:sz="0" w:space="0" w:color="auto"/>
        <w:left w:val="none" w:sz="0" w:space="0" w:color="auto"/>
        <w:bottom w:val="none" w:sz="0" w:space="0" w:color="auto"/>
        <w:right w:val="none" w:sz="0" w:space="0" w:color="auto"/>
      </w:divBdr>
    </w:div>
    <w:div w:id="1423336513">
      <w:marLeft w:val="480"/>
      <w:marRight w:val="0"/>
      <w:marTop w:val="0"/>
      <w:marBottom w:val="0"/>
      <w:divBdr>
        <w:top w:val="none" w:sz="0" w:space="0" w:color="auto"/>
        <w:left w:val="none" w:sz="0" w:space="0" w:color="auto"/>
        <w:bottom w:val="none" w:sz="0" w:space="0" w:color="auto"/>
        <w:right w:val="none" w:sz="0" w:space="0" w:color="auto"/>
      </w:divBdr>
    </w:div>
    <w:div w:id="1423793180">
      <w:bodyDiv w:val="1"/>
      <w:marLeft w:val="0"/>
      <w:marRight w:val="0"/>
      <w:marTop w:val="0"/>
      <w:marBottom w:val="0"/>
      <w:divBdr>
        <w:top w:val="none" w:sz="0" w:space="0" w:color="auto"/>
        <w:left w:val="none" w:sz="0" w:space="0" w:color="auto"/>
        <w:bottom w:val="none" w:sz="0" w:space="0" w:color="auto"/>
        <w:right w:val="none" w:sz="0" w:space="0" w:color="auto"/>
      </w:divBdr>
      <w:divsChild>
        <w:div w:id="125463404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24566987">
      <w:marLeft w:val="480"/>
      <w:marRight w:val="0"/>
      <w:marTop w:val="0"/>
      <w:marBottom w:val="0"/>
      <w:divBdr>
        <w:top w:val="none" w:sz="0" w:space="0" w:color="auto"/>
        <w:left w:val="none" w:sz="0" w:space="0" w:color="auto"/>
        <w:bottom w:val="none" w:sz="0" w:space="0" w:color="auto"/>
        <w:right w:val="none" w:sz="0" w:space="0" w:color="auto"/>
      </w:divBdr>
    </w:div>
    <w:div w:id="1428428224">
      <w:marLeft w:val="480"/>
      <w:marRight w:val="0"/>
      <w:marTop w:val="0"/>
      <w:marBottom w:val="0"/>
      <w:divBdr>
        <w:top w:val="none" w:sz="0" w:space="0" w:color="auto"/>
        <w:left w:val="none" w:sz="0" w:space="0" w:color="auto"/>
        <w:bottom w:val="none" w:sz="0" w:space="0" w:color="auto"/>
        <w:right w:val="none" w:sz="0" w:space="0" w:color="auto"/>
      </w:divBdr>
    </w:div>
    <w:div w:id="1431510853">
      <w:marLeft w:val="480"/>
      <w:marRight w:val="0"/>
      <w:marTop w:val="0"/>
      <w:marBottom w:val="0"/>
      <w:divBdr>
        <w:top w:val="none" w:sz="0" w:space="0" w:color="auto"/>
        <w:left w:val="none" w:sz="0" w:space="0" w:color="auto"/>
        <w:bottom w:val="none" w:sz="0" w:space="0" w:color="auto"/>
        <w:right w:val="none" w:sz="0" w:space="0" w:color="auto"/>
      </w:divBdr>
    </w:div>
    <w:div w:id="1433665806">
      <w:marLeft w:val="480"/>
      <w:marRight w:val="0"/>
      <w:marTop w:val="0"/>
      <w:marBottom w:val="0"/>
      <w:divBdr>
        <w:top w:val="none" w:sz="0" w:space="0" w:color="auto"/>
        <w:left w:val="none" w:sz="0" w:space="0" w:color="auto"/>
        <w:bottom w:val="none" w:sz="0" w:space="0" w:color="auto"/>
        <w:right w:val="none" w:sz="0" w:space="0" w:color="auto"/>
      </w:divBdr>
    </w:div>
    <w:div w:id="1435327628">
      <w:marLeft w:val="480"/>
      <w:marRight w:val="0"/>
      <w:marTop w:val="0"/>
      <w:marBottom w:val="0"/>
      <w:divBdr>
        <w:top w:val="none" w:sz="0" w:space="0" w:color="auto"/>
        <w:left w:val="none" w:sz="0" w:space="0" w:color="auto"/>
        <w:bottom w:val="none" w:sz="0" w:space="0" w:color="auto"/>
        <w:right w:val="none" w:sz="0" w:space="0" w:color="auto"/>
      </w:divBdr>
    </w:div>
    <w:div w:id="1438940326">
      <w:bodyDiv w:val="1"/>
      <w:marLeft w:val="0"/>
      <w:marRight w:val="0"/>
      <w:marTop w:val="0"/>
      <w:marBottom w:val="0"/>
      <w:divBdr>
        <w:top w:val="none" w:sz="0" w:space="0" w:color="auto"/>
        <w:left w:val="none" w:sz="0" w:space="0" w:color="auto"/>
        <w:bottom w:val="none" w:sz="0" w:space="0" w:color="auto"/>
        <w:right w:val="none" w:sz="0" w:space="0" w:color="auto"/>
      </w:divBdr>
      <w:divsChild>
        <w:div w:id="34626007">
          <w:marLeft w:val="480"/>
          <w:marRight w:val="0"/>
          <w:marTop w:val="0"/>
          <w:marBottom w:val="0"/>
          <w:divBdr>
            <w:top w:val="none" w:sz="0" w:space="0" w:color="auto"/>
            <w:left w:val="none" w:sz="0" w:space="0" w:color="auto"/>
            <w:bottom w:val="none" w:sz="0" w:space="0" w:color="auto"/>
            <w:right w:val="none" w:sz="0" w:space="0" w:color="auto"/>
          </w:divBdr>
        </w:div>
        <w:div w:id="193154125">
          <w:marLeft w:val="480"/>
          <w:marRight w:val="0"/>
          <w:marTop w:val="0"/>
          <w:marBottom w:val="0"/>
          <w:divBdr>
            <w:top w:val="none" w:sz="0" w:space="0" w:color="auto"/>
            <w:left w:val="none" w:sz="0" w:space="0" w:color="auto"/>
            <w:bottom w:val="none" w:sz="0" w:space="0" w:color="auto"/>
            <w:right w:val="none" w:sz="0" w:space="0" w:color="auto"/>
          </w:divBdr>
        </w:div>
        <w:div w:id="255752633">
          <w:marLeft w:val="480"/>
          <w:marRight w:val="0"/>
          <w:marTop w:val="0"/>
          <w:marBottom w:val="0"/>
          <w:divBdr>
            <w:top w:val="none" w:sz="0" w:space="0" w:color="auto"/>
            <w:left w:val="none" w:sz="0" w:space="0" w:color="auto"/>
            <w:bottom w:val="none" w:sz="0" w:space="0" w:color="auto"/>
            <w:right w:val="none" w:sz="0" w:space="0" w:color="auto"/>
          </w:divBdr>
        </w:div>
        <w:div w:id="332998670">
          <w:marLeft w:val="480"/>
          <w:marRight w:val="0"/>
          <w:marTop w:val="0"/>
          <w:marBottom w:val="0"/>
          <w:divBdr>
            <w:top w:val="none" w:sz="0" w:space="0" w:color="auto"/>
            <w:left w:val="none" w:sz="0" w:space="0" w:color="auto"/>
            <w:bottom w:val="none" w:sz="0" w:space="0" w:color="auto"/>
            <w:right w:val="none" w:sz="0" w:space="0" w:color="auto"/>
          </w:divBdr>
        </w:div>
        <w:div w:id="358318076">
          <w:marLeft w:val="480"/>
          <w:marRight w:val="0"/>
          <w:marTop w:val="0"/>
          <w:marBottom w:val="0"/>
          <w:divBdr>
            <w:top w:val="none" w:sz="0" w:space="0" w:color="auto"/>
            <w:left w:val="none" w:sz="0" w:space="0" w:color="auto"/>
            <w:bottom w:val="none" w:sz="0" w:space="0" w:color="auto"/>
            <w:right w:val="none" w:sz="0" w:space="0" w:color="auto"/>
          </w:divBdr>
        </w:div>
        <w:div w:id="469634177">
          <w:marLeft w:val="480"/>
          <w:marRight w:val="0"/>
          <w:marTop w:val="0"/>
          <w:marBottom w:val="0"/>
          <w:divBdr>
            <w:top w:val="none" w:sz="0" w:space="0" w:color="auto"/>
            <w:left w:val="none" w:sz="0" w:space="0" w:color="auto"/>
            <w:bottom w:val="none" w:sz="0" w:space="0" w:color="auto"/>
            <w:right w:val="none" w:sz="0" w:space="0" w:color="auto"/>
          </w:divBdr>
        </w:div>
        <w:div w:id="599024323">
          <w:marLeft w:val="480"/>
          <w:marRight w:val="0"/>
          <w:marTop w:val="0"/>
          <w:marBottom w:val="0"/>
          <w:divBdr>
            <w:top w:val="none" w:sz="0" w:space="0" w:color="auto"/>
            <w:left w:val="none" w:sz="0" w:space="0" w:color="auto"/>
            <w:bottom w:val="none" w:sz="0" w:space="0" w:color="auto"/>
            <w:right w:val="none" w:sz="0" w:space="0" w:color="auto"/>
          </w:divBdr>
        </w:div>
        <w:div w:id="646469140">
          <w:marLeft w:val="480"/>
          <w:marRight w:val="0"/>
          <w:marTop w:val="0"/>
          <w:marBottom w:val="0"/>
          <w:divBdr>
            <w:top w:val="none" w:sz="0" w:space="0" w:color="auto"/>
            <w:left w:val="none" w:sz="0" w:space="0" w:color="auto"/>
            <w:bottom w:val="none" w:sz="0" w:space="0" w:color="auto"/>
            <w:right w:val="none" w:sz="0" w:space="0" w:color="auto"/>
          </w:divBdr>
        </w:div>
        <w:div w:id="713818333">
          <w:marLeft w:val="480"/>
          <w:marRight w:val="0"/>
          <w:marTop w:val="0"/>
          <w:marBottom w:val="0"/>
          <w:divBdr>
            <w:top w:val="none" w:sz="0" w:space="0" w:color="auto"/>
            <w:left w:val="none" w:sz="0" w:space="0" w:color="auto"/>
            <w:bottom w:val="none" w:sz="0" w:space="0" w:color="auto"/>
            <w:right w:val="none" w:sz="0" w:space="0" w:color="auto"/>
          </w:divBdr>
        </w:div>
        <w:div w:id="1153907159">
          <w:marLeft w:val="480"/>
          <w:marRight w:val="0"/>
          <w:marTop w:val="0"/>
          <w:marBottom w:val="0"/>
          <w:divBdr>
            <w:top w:val="none" w:sz="0" w:space="0" w:color="auto"/>
            <w:left w:val="none" w:sz="0" w:space="0" w:color="auto"/>
            <w:bottom w:val="none" w:sz="0" w:space="0" w:color="auto"/>
            <w:right w:val="none" w:sz="0" w:space="0" w:color="auto"/>
          </w:divBdr>
        </w:div>
        <w:div w:id="1688486753">
          <w:marLeft w:val="480"/>
          <w:marRight w:val="0"/>
          <w:marTop w:val="0"/>
          <w:marBottom w:val="0"/>
          <w:divBdr>
            <w:top w:val="none" w:sz="0" w:space="0" w:color="auto"/>
            <w:left w:val="none" w:sz="0" w:space="0" w:color="auto"/>
            <w:bottom w:val="none" w:sz="0" w:space="0" w:color="auto"/>
            <w:right w:val="none" w:sz="0" w:space="0" w:color="auto"/>
          </w:divBdr>
        </w:div>
      </w:divsChild>
    </w:div>
    <w:div w:id="1441031255">
      <w:marLeft w:val="480"/>
      <w:marRight w:val="0"/>
      <w:marTop w:val="0"/>
      <w:marBottom w:val="0"/>
      <w:divBdr>
        <w:top w:val="none" w:sz="0" w:space="0" w:color="auto"/>
        <w:left w:val="none" w:sz="0" w:space="0" w:color="auto"/>
        <w:bottom w:val="none" w:sz="0" w:space="0" w:color="auto"/>
        <w:right w:val="none" w:sz="0" w:space="0" w:color="auto"/>
      </w:divBdr>
    </w:div>
    <w:div w:id="1442069142">
      <w:bodyDiv w:val="1"/>
      <w:marLeft w:val="0"/>
      <w:marRight w:val="0"/>
      <w:marTop w:val="0"/>
      <w:marBottom w:val="0"/>
      <w:divBdr>
        <w:top w:val="none" w:sz="0" w:space="0" w:color="auto"/>
        <w:left w:val="none" w:sz="0" w:space="0" w:color="auto"/>
        <w:bottom w:val="none" w:sz="0" w:space="0" w:color="auto"/>
        <w:right w:val="none" w:sz="0" w:space="0" w:color="auto"/>
      </w:divBdr>
    </w:div>
    <w:div w:id="1449353089">
      <w:marLeft w:val="480"/>
      <w:marRight w:val="0"/>
      <w:marTop w:val="0"/>
      <w:marBottom w:val="0"/>
      <w:divBdr>
        <w:top w:val="none" w:sz="0" w:space="0" w:color="auto"/>
        <w:left w:val="none" w:sz="0" w:space="0" w:color="auto"/>
        <w:bottom w:val="none" w:sz="0" w:space="0" w:color="auto"/>
        <w:right w:val="none" w:sz="0" w:space="0" w:color="auto"/>
      </w:divBdr>
    </w:div>
    <w:div w:id="1456754524">
      <w:marLeft w:val="480"/>
      <w:marRight w:val="0"/>
      <w:marTop w:val="0"/>
      <w:marBottom w:val="0"/>
      <w:divBdr>
        <w:top w:val="none" w:sz="0" w:space="0" w:color="auto"/>
        <w:left w:val="none" w:sz="0" w:space="0" w:color="auto"/>
        <w:bottom w:val="none" w:sz="0" w:space="0" w:color="auto"/>
        <w:right w:val="none" w:sz="0" w:space="0" w:color="auto"/>
      </w:divBdr>
    </w:div>
    <w:div w:id="1457063722">
      <w:marLeft w:val="480"/>
      <w:marRight w:val="0"/>
      <w:marTop w:val="0"/>
      <w:marBottom w:val="0"/>
      <w:divBdr>
        <w:top w:val="none" w:sz="0" w:space="0" w:color="auto"/>
        <w:left w:val="none" w:sz="0" w:space="0" w:color="auto"/>
        <w:bottom w:val="none" w:sz="0" w:space="0" w:color="auto"/>
        <w:right w:val="none" w:sz="0" w:space="0" w:color="auto"/>
      </w:divBdr>
    </w:div>
    <w:div w:id="1457941207">
      <w:marLeft w:val="480"/>
      <w:marRight w:val="0"/>
      <w:marTop w:val="0"/>
      <w:marBottom w:val="0"/>
      <w:divBdr>
        <w:top w:val="none" w:sz="0" w:space="0" w:color="auto"/>
        <w:left w:val="none" w:sz="0" w:space="0" w:color="auto"/>
        <w:bottom w:val="none" w:sz="0" w:space="0" w:color="auto"/>
        <w:right w:val="none" w:sz="0" w:space="0" w:color="auto"/>
      </w:divBdr>
    </w:div>
    <w:div w:id="1458110789">
      <w:bodyDiv w:val="1"/>
      <w:marLeft w:val="0"/>
      <w:marRight w:val="0"/>
      <w:marTop w:val="0"/>
      <w:marBottom w:val="0"/>
      <w:divBdr>
        <w:top w:val="none" w:sz="0" w:space="0" w:color="auto"/>
        <w:left w:val="none" w:sz="0" w:space="0" w:color="auto"/>
        <w:bottom w:val="none" w:sz="0" w:space="0" w:color="auto"/>
        <w:right w:val="none" w:sz="0" w:space="0" w:color="auto"/>
      </w:divBdr>
    </w:div>
    <w:div w:id="1459294390">
      <w:marLeft w:val="480"/>
      <w:marRight w:val="0"/>
      <w:marTop w:val="0"/>
      <w:marBottom w:val="0"/>
      <w:divBdr>
        <w:top w:val="none" w:sz="0" w:space="0" w:color="auto"/>
        <w:left w:val="none" w:sz="0" w:space="0" w:color="auto"/>
        <w:bottom w:val="none" w:sz="0" w:space="0" w:color="auto"/>
        <w:right w:val="none" w:sz="0" w:space="0" w:color="auto"/>
      </w:divBdr>
    </w:div>
    <w:div w:id="1459298871">
      <w:marLeft w:val="480"/>
      <w:marRight w:val="0"/>
      <w:marTop w:val="0"/>
      <w:marBottom w:val="0"/>
      <w:divBdr>
        <w:top w:val="none" w:sz="0" w:space="0" w:color="auto"/>
        <w:left w:val="none" w:sz="0" w:space="0" w:color="auto"/>
        <w:bottom w:val="none" w:sz="0" w:space="0" w:color="auto"/>
        <w:right w:val="none" w:sz="0" w:space="0" w:color="auto"/>
      </w:divBdr>
    </w:div>
    <w:div w:id="1461651680">
      <w:marLeft w:val="480"/>
      <w:marRight w:val="0"/>
      <w:marTop w:val="0"/>
      <w:marBottom w:val="0"/>
      <w:divBdr>
        <w:top w:val="none" w:sz="0" w:space="0" w:color="auto"/>
        <w:left w:val="none" w:sz="0" w:space="0" w:color="auto"/>
        <w:bottom w:val="none" w:sz="0" w:space="0" w:color="auto"/>
        <w:right w:val="none" w:sz="0" w:space="0" w:color="auto"/>
      </w:divBdr>
    </w:div>
    <w:div w:id="1465349726">
      <w:marLeft w:val="480"/>
      <w:marRight w:val="0"/>
      <w:marTop w:val="0"/>
      <w:marBottom w:val="0"/>
      <w:divBdr>
        <w:top w:val="none" w:sz="0" w:space="0" w:color="auto"/>
        <w:left w:val="none" w:sz="0" w:space="0" w:color="auto"/>
        <w:bottom w:val="none" w:sz="0" w:space="0" w:color="auto"/>
        <w:right w:val="none" w:sz="0" w:space="0" w:color="auto"/>
      </w:divBdr>
    </w:div>
    <w:div w:id="1467700348">
      <w:bodyDiv w:val="1"/>
      <w:marLeft w:val="0"/>
      <w:marRight w:val="0"/>
      <w:marTop w:val="0"/>
      <w:marBottom w:val="0"/>
      <w:divBdr>
        <w:top w:val="none" w:sz="0" w:space="0" w:color="auto"/>
        <w:left w:val="none" w:sz="0" w:space="0" w:color="auto"/>
        <w:bottom w:val="none" w:sz="0" w:space="0" w:color="auto"/>
        <w:right w:val="none" w:sz="0" w:space="0" w:color="auto"/>
      </w:divBdr>
      <w:divsChild>
        <w:div w:id="13919215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68429597">
      <w:marLeft w:val="480"/>
      <w:marRight w:val="0"/>
      <w:marTop w:val="0"/>
      <w:marBottom w:val="0"/>
      <w:divBdr>
        <w:top w:val="none" w:sz="0" w:space="0" w:color="auto"/>
        <w:left w:val="none" w:sz="0" w:space="0" w:color="auto"/>
        <w:bottom w:val="none" w:sz="0" w:space="0" w:color="auto"/>
        <w:right w:val="none" w:sz="0" w:space="0" w:color="auto"/>
      </w:divBdr>
    </w:div>
    <w:div w:id="1468620401">
      <w:marLeft w:val="480"/>
      <w:marRight w:val="0"/>
      <w:marTop w:val="0"/>
      <w:marBottom w:val="0"/>
      <w:divBdr>
        <w:top w:val="none" w:sz="0" w:space="0" w:color="auto"/>
        <w:left w:val="none" w:sz="0" w:space="0" w:color="auto"/>
        <w:bottom w:val="none" w:sz="0" w:space="0" w:color="auto"/>
        <w:right w:val="none" w:sz="0" w:space="0" w:color="auto"/>
      </w:divBdr>
    </w:div>
    <w:div w:id="1472208361">
      <w:marLeft w:val="480"/>
      <w:marRight w:val="0"/>
      <w:marTop w:val="0"/>
      <w:marBottom w:val="0"/>
      <w:divBdr>
        <w:top w:val="none" w:sz="0" w:space="0" w:color="auto"/>
        <w:left w:val="none" w:sz="0" w:space="0" w:color="auto"/>
        <w:bottom w:val="none" w:sz="0" w:space="0" w:color="auto"/>
        <w:right w:val="none" w:sz="0" w:space="0" w:color="auto"/>
      </w:divBdr>
    </w:div>
    <w:div w:id="1473326120">
      <w:marLeft w:val="480"/>
      <w:marRight w:val="0"/>
      <w:marTop w:val="0"/>
      <w:marBottom w:val="0"/>
      <w:divBdr>
        <w:top w:val="none" w:sz="0" w:space="0" w:color="auto"/>
        <w:left w:val="none" w:sz="0" w:space="0" w:color="auto"/>
        <w:bottom w:val="none" w:sz="0" w:space="0" w:color="auto"/>
        <w:right w:val="none" w:sz="0" w:space="0" w:color="auto"/>
      </w:divBdr>
    </w:div>
    <w:div w:id="1473402996">
      <w:marLeft w:val="480"/>
      <w:marRight w:val="0"/>
      <w:marTop w:val="0"/>
      <w:marBottom w:val="0"/>
      <w:divBdr>
        <w:top w:val="none" w:sz="0" w:space="0" w:color="auto"/>
        <w:left w:val="none" w:sz="0" w:space="0" w:color="auto"/>
        <w:bottom w:val="none" w:sz="0" w:space="0" w:color="auto"/>
        <w:right w:val="none" w:sz="0" w:space="0" w:color="auto"/>
      </w:divBdr>
    </w:div>
    <w:div w:id="1474714280">
      <w:bodyDiv w:val="1"/>
      <w:marLeft w:val="0"/>
      <w:marRight w:val="0"/>
      <w:marTop w:val="0"/>
      <w:marBottom w:val="0"/>
      <w:divBdr>
        <w:top w:val="none" w:sz="0" w:space="0" w:color="auto"/>
        <w:left w:val="none" w:sz="0" w:space="0" w:color="auto"/>
        <w:bottom w:val="none" w:sz="0" w:space="0" w:color="auto"/>
        <w:right w:val="none" w:sz="0" w:space="0" w:color="auto"/>
      </w:divBdr>
    </w:div>
    <w:div w:id="1474718417">
      <w:marLeft w:val="480"/>
      <w:marRight w:val="0"/>
      <w:marTop w:val="0"/>
      <w:marBottom w:val="0"/>
      <w:divBdr>
        <w:top w:val="none" w:sz="0" w:space="0" w:color="auto"/>
        <w:left w:val="none" w:sz="0" w:space="0" w:color="auto"/>
        <w:bottom w:val="none" w:sz="0" w:space="0" w:color="auto"/>
        <w:right w:val="none" w:sz="0" w:space="0" w:color="auto"/>
      </w:divBdr>
    </w:div>
    <w:div w:id="1481657286">
      <w:bodyDiv w:val="1"/>
      <w:marLeft w:val="0"/>
      <w:marRight w:val="0"/>
      <w:marTop w:val="0"/>
      <w:marBottom w:val="0"/>
      <w:divBdr>
        <w:top w:val="none" w:sz="0" w:space="0" w:color="auto"/>
        <w:left w:val="none" w:sz="0" w:space="0" w:color="auto"/>
        <w:bottom w:val="none" w:sz="0" w:space="0" w:color="auto"/>
        <w:right w:val="none" w:sz="0" w:space="0" w:color="auto"/>
      </w:divBdr>
    </w:div>
    <w:div w:id="1481773653">
      <w:marLeft w:val="480"/>
      <w:marRight w:val="0"/>
      <w:marTop w:val="0"/>
      <w:marBottom w:val="0"/>
      <w:divBdr>
        <w:top w:val="none" w:sz="0" w:space="0" w:color="auto"/>
        <w:left w:val="none" w:sz="0" w:space="0" w:color="auto"/>
        <w:bottom w:val="none" w:sz="0" w:space="0" w:color="auto"/>
        <w:right w:val="none" w:sz="0" w:space="0" w:color="auto"/>
      </w:divBdr>
    </w:div>
    <w:div w:id="1484467953">
      <w:bodyDiv w:val="1"/>
      <w:marLeft w:val="0"/>
      <w:marRight w:val="0"/>
      <w:marTop w:val="0"/>
      <w:marBottom w:val="0"/>
      <w:divBdr>
        <w:top w:val="none" w:sz="0" w:space="0" w:color="auto"/>
        <w:left w:val="none" w:sz="0" w:space="0" w:color="auto"/>
        <w:bottom w:val="none" w:sz="0" w:space="0" w:color="auto"/>
        <w:right w:val="none" w:sz="0" w:space="0" w:color="auto"/>
      </w:divBdr>
      <w:divsChild>
        <w:div w:id="92093939">
          <w:marLeft w:val="480"/>
          <w:marRight w:val="0"/>
          <w:marTop w:val="0"/>
          <w:marBottom w:val="0"/>
          <w:divBdr>
            <w:top w:val="none" w:sz="0" w:space="0" w:color="auto"/>
            <w:left w:val="none" w:sz="0" w:space="0" w:color="auto"/>
            <w:bottom w:val="none" w:sz="0" w:space="0" w:color="auto"/>
            <w:right w:val="none" w:sz="0" w:space="0" w:color="auto"/>
          </w:divBdr>
        </w:div>
        <w:div w:id="92865079">
          <w:marLeft w:val="480"/>
          <w:marRight w:val="0"/>
          <w:marTop w:val="0"/>
          <w:marBottom w:val="0"/>
          <w:divBdr>
            <w:top w:val="none" w:sz="0" w:space="0" w:color="auto"/>
            <w:left w:val="none" w:sz="0" w:space="0" w:color="auto"/>
            <w:bottom w:val="none" w:sz="0" w:space="0" w:color="auto"/>
            <w:right w:val="none" w:sz="0" w:space="0" w:color="auto"/>
          </w:divBdr>
        </w:div>
        <w:div w:id="387457033">
          <w:marLeft w:val="480"/>
          <w:marRight w:val="0"/>
          <w:marTop w:val="0"/>
          <w:marBottom w:val="0"/>
          <w:divBdr>
            <w:top w:val="none" w:sz="0" w:space="0" w:color="auto"/>
            <w:left w:val="none" w:sz="0" w:space="0" w:color="auto"/>
            <w:bottom w:val="none" w:sz="0" w:space="0" w:color="auto"/>
            <w:right w:val="none" w:sz="0" w:space="0" w:color="auto"/>
          </w:divBdr>
        </w:div>
        <w:div w:id="436750502">
          <w:marLeft w:val="480"/>
          <w:marRight w:val="0"/>
          <w:marTop w:val="0"/>
          <w:marBottom w:val="0"/>
          <w:divBdr>
            <w:top w:val="none" w:sz="0" w:space="0" w:color="auto"/>
            <w:left w:val="none" w:sz="0" w:space="0" w:color="auto"/>
            <w:bottom w:val="none" w:sz="0" w:space="0" w:color="auto"/>
            <w:right w:val="none" w:sz="0" w:space="0" w:color="auto"/>
          </w:divBdr>
        </w:div>
        <w:div w:id="507257351">
          <w:marLeft w:val="480"/>
          <w:marRight w:val="0"/>
          <w:marTop w:val="0"/>
          <w:marBottom w:val="0"/>
          <w:divBdr>
            <w:top w:val="none" w:sz="0" w:space="0" w:color="auto"/>
            <w:left w:val="none" w:sz="0" w:space="0" w:color="auto"/>
            <w:bottom w:val="none" w:sz="0" w:space="0" w:color="auto"/>
            <w:right w:val="none" w:sz="0" w:space="0" w:color="auto"/>
          </w:divBdr>
        </w:div>
        <w:div w:id="896286042">
          <w:marLeft w:val="480"/>
          <w:marRight w:val="0"/>
          <w:marTop w:val="0"/>
          <w:marBottom w:val="0"/>
          <w:divBdr>
            <w:top w:val="none" w:sz="0" w:space="0" w:color="auto"/>
            <w:left w:val="none" w:sz="0" w:space="0" w:color="auto"/>
            <w:bottom w:val="none" w:sz="0" w:space="0" w:color="auto"/>
            <w:right w:val="none" w:sz="0" w:space="0" w:color="auto"/>
          </w:divBdr>
        </w:div>
        <w:div w:id="984432287">
          <w:marLeft w:val="480"/>
          <w:marRight w:val="0"/>
          <w:marTop w:val="0"/>
          <w:marBottom w:val="0"/>
          <w:divBdr>
            <w:top w:val="none" w:sz="0" w:space="0" w:color="auto"/>
            <w:left w:val="none" w:sz="0" w:space="0" w:color="auto"/>
            <w:bottom w:val="none" w:sz="0" w:space="0" w:color="auto"/>
            <w:right w:val="none" w:sz="0" w:space="0" w:color="auto"/>
          </w:divBdr>
        </w:div>
        <w:div w:id="1163742200">
          <w:marLeft w:val="480"/>
          <w:marRight w:val="0"/>
          <w:marTop w:val="0"/>
          <w:marBottom w:val="0"/>
          <w:divBdr>
            <w:top w:val="none" w:sz="0" w:space="0" w:color="auto"/>
            <w:left w:val="none" w:sz="0" w:space="0" w:color="auto"/>
            <w:bottom w:val="none" w:sz="0" w:space="0" w:color="auto"/>
            <w:right w:val="none" w:sz="0" w:space="0" w:color="auto"/>
          </w:divBdr>
        </w:div>
        <w:div w:id="1680697443">
          <w:marLeft w:val="480"/>
          <w:marRight w:val="0"/>
          <w:marTop w:val="0"/>
          <w:marBottom w:val="0"/>
          <w:divBdr>
            <w:top w:val="none" w:sz="0" w:space="0" w:color="auto"/>
            <w:left w:val="none" w:sz="0" w:space="0" w:color="auto"/>
            <w:bottom w:val="none" w:sz="0" w:space="0" w:color="auto"/>
            <w:right w:val="none" w:sz="0" w:space="0" w:color="auto"/>
          </w:divBdr>
        </w:div>
        <w:div w:id="2043742311">
          <w:marLeft w:val="480"/>
          <w:marRight w:val="0"/>
          <w:marTop w:val="0"/>
          <w:marBottom w:val="0"/>
          <w:divBdr>
            <w:top w:val="none" w:sz="0" w:space="0" w:color="auto"/>
            <w:left w:val="none" w:sz="0" w:space="0" w:color="auto"/>
            <w:bottom w:val="none" w:sz="0" w:space="0" w:color="auto"/>
            <w:right w:val="none" w:sz="0" w:space="0" w:color="auto"/>
          </w:divBdr>
        </w:div>
      </w:divsChild>
    </w:div>
    <w:div w:id="1486969073">
      <w:marLeft w:val="480"/>
      <w:marRight w:val="0"/>
      <w:marTop w:val="0"/>
      <w:marBottom w:val="0"/>
      <w:divBdr>
        <w:top w:val="none" w:sz="0" w:space="0" w:color="auto"/>
        <w:left w:val="none" w:sz="0" w:space="0" w:color="auto"/>
        <w:bottom w:val="none" w:sz="0" w:space="0" w:color="auto"/>
        <w:right w:val="none" w:sz="0" w:space="0" w:color="auto"/>
      </w:divBdr>
    </w:div>
    <w:div w:id="1488130282">
      <w:marLeft w:val="480"/>
      <w:marRight w:val="0"/>
      <w:marTop w:val="0"/>
      <w:marBottom w:val="0"/>
      <w:divBdr>
        <w:top w:val="none" w:sz="0" w:space="0" w:color="auto"/>
        <w:left w:val="none" w:sz="0" w:space="0" w:color="auto"/>
        <w:bottom w:val="none" w:sz="0" w:space="0" w:color="auto"/>
        <w:right w:val="none" w:sz="0" w:space="0" w:color="auto"/>
      </w:divBdr>
    </w:div>
    <w:div w:id="1488594467">
      <w:marLeft w:val="480"/>
      <w:marRight w:val="0"/>
      <w:marTop w:val="0"/>
      <w:marBottom w:val="0"/>
      <w:divBdr>
        <w:top w:val="none" w:sz="0" w:space="0" w:color="auto"/>
        <w:left w:val="none" w:sz="0" w:space="0" w:color="auto"/>
        <w:bottom w:val="none" w:sz="0" w:space="0" w:color="auto"/>
        <w:right w:val="none" w:sz="0" w:space="0" w:color="auto"/>
      </w:divBdr>
    </w:div>
    <w:div w:id="1488666549">
      <w:marLeft w:val="480"/>
      <w:marRight w:val="0"/>
      <w:marTop w:val="0"/>
      <w:marBottom w:val="0"/>
      <w:divBdr>
        <w:top w:val="none" w:sz="0" w:space="0" w:color="auto"/>
        <w:left w:val="none" w:sz="0" w:space="0" w:color="auto"/>
        <w:bottom w:val="none" w:sz="0" w:space="0" w:color="auto"/>
        <w:right w:val="none" w:sz="0" w:space="0" w:color="auto"/>
      </w:divBdr>
    </w:div>
    <w:div w:id="1491866664">
      <w:bodyDiv w:val="1"/>
      <w:marLeft w:val="0"/>
      <w:marRight w:val="0"/>
      <w:marTop w:val="0"/>
      <w:marBottom w:val="0"/>
      <w:divBdr>
        <w:top w:val="none" w:sz="0" w:space="0" w:color="auto"/>
        <w:left w:val="none" w:sz="0" w:space="0" w:color="auto"/>
        <w:bottom w:val="none" w:sz="0" w:space="0" w:color="auto"/>
        <w:right w:val="none" w:sz="0" w:space="0" w:color="auto"/>
      </w:divBdr>
    </w:div>
    <w:div w:id="1492141368">
      <w:marLeft w:val="480"/>
      <w:marRight w:val="0"/>
      <w:marTop w:val="0"/>
      <w:marBottom w:val="0"/>
      <w:divBdr>
        <w:top w:val="none" w:sz="0" w:space="0" w:color="auto"/>
        <w:left w:val="none" w:sz="0" w:space="0" w:color="auto"/>
        <w:bottom w:val="none" w:sz="0" w:space="0" w:color="auto"/>
        <w:right w:val="none" w:sz="0" w:space="0" w:color="auto"/>
      </w:divBdr>
    </w:div>
    <w:div w:id="1495337715">
      <w:bodyDiv w:val="1"/>
      <w:marLeft w:val="0"/>
      <w:marRight w:val="0"/>
      <w:marTop w:val="0"/>
      <w:marBottom w:val="0"/>
      <w:divBdr>
        <w:top w:val="none" w:sz="0" w:space="0" w:color="auto"/>
        <w:left w:val="none" w:sz="0" w:space="0" w:color="auto"/>
        <w:bottom w:val="none" w:sz="0" w:space="0" w:color="auto"/>
        <w:right w:val="none" w:sz="0" w:space="0" w:color="auto"/>
      </w:divBdr>
      <w:divsChild>
        <w:div w:id="601691545">
          <w:marLeft w:val="480"/>
          <w:marRight w:val="0"/>
          <w:marTop w:val="0"/>
          <w:marBottom w:val="0"/>
          <w:divBdr>
            <w:top w:val="none" w:sz="0" w:space="0" w:color="auto"/>
            <w:left w:val="none" w:sz="0" w:space="0" w:color="auto"/>
            <w:bottom w:val="none" w:sz="0" w:space="0" w:color="auto"/>
            <w:right w:val="none" w:sz="0" w:space="0" w:color="auto"/>
          </w:divBdr>
        </w:div>
        <w:div w:id="1157572606">
          <w:marLeft w:val="480"/>
          <w:marRight w:val="0"/>
          <w:marTop w:val="0"/>
          <w:marBottom w:val="0"/>
          <w:divBdr>
            <w:top w:val="none" w:sz="0" w:space="0" w:color="auto"/>
            <w:left w:val="none" w:sz="0" w:space="0" w:color="auto"/>
            <w:bottom w:val="none" w:sz="0" w:space="0" w:color="auto"/>
            <w:right w:val="none" w:sz="0" w:space="0" w:color="auto"/>
          </w:divBdr>
        </w:div>
        <w:div w:id="1612857813">
          <w:marLeft w:val="480"/>
          <w:marRight w:val="0"/>
          <w:marTop w:val="0"/>
          <w:marBottom w:val="0"/>
          <w:divBdr>
            <w:top w:val="none" w:sz="0" w:space="0" w:color="auto"/>
            <w:left w:val="none" w:sz="0" w:space="0" w:color="auto"/>
            <w:bottom w:val="none" w:sz="0" w:space="0" w:color="auto"/>
            <w:right w:val="none" w:sz="0" w:space="0" w:color="auto"/>
          </w:divBdr>
        </w:div>
        <w:div w:id="1743332171">
          <w:marLeft w:val="480"/>
          <w:marRight w:val="0"/>
          <w:marTop w:val="0"/>
          <w:marBottom w:val="0"/>
          <w:divBdr>
            <w:top w:val="none" w:sz="0" w:space="0" w:color="auto"/>
            <w:left w:val="none" w:sz="0" w:space="0" w:color="auto"/>
            <w:bottom w:val="none" w:sz="0" w:space="0" w:color="auto"/>
            <w:right w:val="none" w:sz="0" w:space="0" w:color="auto"/>
          </w:divBdr>
        </w:div>
      </w:divsChild>
    </w:div>
    <w:div w:id="1497382219">
      <w:marLeft w:val="480"/>
      <w:marRight w:val="0"/>
      <w:marTop w:val="0"/>
      <w:marBottom w:val="0"/>
      <w:divBdr>
        <w:top w:val="none" w:sz="0" w:space="0" w:color="auto"/>
        <w:left w:val="none" w:sz="0" w:space="0" w:color="auto"/>
        <w:bottom w:val="none" w:sz="0" w:space="0" w:color="auto"/>
        <w:right w:val="none" w:sz="0" w:space="0" w:color="auto"/>
      </w:divBdr>
    </w:div>
    <w:div w:id="1499812126">
      <w:marLeft w:val="480"/>
      <w:marRight w:val="0"/>
      <w:marTop w:val="0"/>
      <w:marBottom w:val="0"/>
      <w:divBdr>
        <w:top w:val="none" w:sz="0" w:space="0" w:color="auto"/>
        <w:left w:val="none" w:sz="0" w:space="0" w:color="auto"/>
        <w:bottom w:val="none" w:sz="0" w:space="0" w:color="auto"/>
        <w:right w:val="none" w:sz="0" w:space="0" w:color="auto"/>
      </w:divBdr>
    </w:div>
    <w:div w:id="1500846818">
      <w:marLeft w:val="480"/>
      <w:marRight w:val="0"/>
      <w:marTop w:val="0"/>
      <w:marBottom w:val="0"/>
      <w:divBdr>
        <w:top w:val="none" w:sz="0" w:space="0" w:color="auto"/>
        <w:left w:val="none" w:sz="0" w:space="0" w:color="auto"/>
        <w:bottom w:val="none" w:sz="0" w:space="0" w:color="auto"/>
        <w:right w:val="none" w:sz="0" w:space="0" w:color="auto"/>
      </w:divBdr>
    </w:div>
    <w:div w:id="1503088950">
      <w:marLeft w:val="480"/>
      <w:marRight w:val="0"/>
      <w:marTop w:val="0"/>
      <w:marBottom w:val="0"/>
      <w:divBdr>
        <w:top w:val="none" w:sz="0" w:space="0" w:color="auto"/>
        <w:left w:val="none" w:sz="0" w:space="0" w:color="auto"/>
        <w:bottom w:val="none" w:sz="0" w:space="0" w:color="auto"/>
        <w:right w:val="none" w:sz="0" w:space="0" w:color="auto"/>
      </w:divBdr>
    </w:div>
    <w:div w:id="1506937902">
      <w:marLeft w:val="480"/>
      <w:marRight w:val="0"/>
      <w:marTop w:val="0"/>
      <w:marBottom w:val="0"/>
      <w:divBdr>
        <w:top w:val="none" w:sz="0" w:space="0" w:color="auto"/>
        <w:left w:val="none" w:sz="0" w:space="0" w:color="auto"/>
        <w:bottom w:val="none" w:sz="0" w:space="0" w:color="auto"/>
        <w:right w:val="none" w:sz="0" w:space="0" w:color="auto"/>
      </w:divBdr>
    </w:div>
    <w:div w:id="1508323201">
      <w:marLeft w:val="480"/>
      <w:marRight w:val="0"/>
      <w:marTop w:val="0"/>
      <w:marBottom w:val="0"/>
      <w:divBdr>
        <w:top w:val="none" w:sz="0" w:space="0" w:color="auto"/>
        <w:left w:val="none" w:sz="0" w:space="0" w:color="auto"/>
        <w:bottom w:val="none" w:sz="0" w:space="0" w:color="auto"/>
        <w:right w:val="none" w:sz="0" w:space="0" w:color="auto"/>
      </w:divBdr>
    </w:div>
    <w:div w:id="1508331198">
      <w:marLeft w:val="480"/>
      <w:marRight w:val="0"/>
      <w:marTop w:val="0"/>
      <w:marBottom w:val="0"/>
      <w:divBdr>
        <w:top w:val="none" w:sz="0" w:space="0" w:color="auto"/>
        <w:left w:val="none" w:sz="0" w:space="0" w:color="auto"/>
        <w:bottom w:val="none" w:sz="0" w:space="0" w:color="auto"/>
        <w:right w:val="none" w:sz="0" w:space="0" w:color="auto"/>
      </w:divBdr>
    </w:div>
    <w:div w:id="1508398406">
      <w:bodyDiv w:val="1"/>
      <w:marLeft w:val="0"/>
      <w:marRight w:val="0"/>
      <w:marTop w:val="0"/>
      <w:marBottom w:val="0"/>
      <w:divBdr>
        <w:top w:val="none" w:sz="0" w:space="0" w:color="auto"/>
        <w:left w:val="none" w:sz="0" w:space="0" w:color="auto"/>
        <w:bottom w:val="none" w:sz="0" w:space="0" w:color="auto"/>
        <w:right w:val="none" w:sz="0" w:space="0" w:color="auto"/>
      </w:divBdr>
    </w:div>
    <w:div w:id="1508786189">
      <w:marLeft w:val="480"/>
      <w:marRight w:val="0"/>
      <w:marTop w:val="0"/>
      <w:marBottom w:val="0"/>
      <w:divBdr>
        <w:top w:val="none" w:sz="0" w:space="0" w:color="auto"/>
        <w:left w:val="none" w:sz="0" w:space="0" w:color="auto"/>
        <w:bottom w:val="none" w:sz="0" w:space="0" w:color="auto"/>
        <w:right w:val="none" w:sz="0" w:space="0" w:color="auto"/>
      </w:divBdr>
    </w:div>
    <w:div w:id="1510490220">
      <w:marLeft w:val="480"/>
      <w:marRight w:val="0"/>
      <w:marTop w:val="0"/>
      <w:marBottom w:val="0"/>
      <w:divBdr>
        <w:top w:val="none" w:sz="0" w:space="0" w:color="auto"/>
        <w:left w:val="none" w:sz="0" w:space="0" w:color="auto"/>
        <w:bottom w:val="none" w:sz="0" w:space="0" w:color="auto"/>
        <w:right w:val="none" w:sz="0" w:space="0" w:color="auto"/>
      </w:divBdr>
    </w:div>
    <w:div w:id="1510952130">
      <w:marLeft w:val="480"/>
      <w:marRight w:val="0"/>
      <w:marTop w:val="0"/>
      <w:marBottom w:val="0"/>
      <w:divBdr>
        <w:top w:val="none" w:sz="0" w:space="0" w:color="auto"/>
        <w:left w:val="none" w:sz="0" w:space="0" w:color="auto"/>
        <w:bottom w:val="none" w:sz="0" w:space="0" w:color="auto"/>
        <w:right w:val="none" w:sz="0" w:space="0" w:color="auto"/>
      </w:divBdr>
    </w:div>
    <w:div w:id="1511291576">
      <w:bodyDiv w:val="1"/>
      <w:marLeft w:val="0"/>
      <w:marRight w:val="0"/>
      <w:marTop w:val="0"/>
      <w:marBottom w:val="0"/>
      <w:divBdr>
        <w:top w:val="none" w:sz="0" w:space="0" w:color="auto"/>
        <w:left w:val="none" w:sz="0" w:space="0" w:color="auto"/>
        <w:bottom w:val="none" w:sz="0" w:space="0" w:color="auto"/>
        <w:right w:val="none" w:sz="0" w:space="0" w:color="auto"/>
      </w:divBdr>
    </w:div>
    <w:div w:id="1511948027">
      <w:marLeft w:val="480"/>
      <w:marRight w:val="0"/>
      <w:marTop w:val="0"/>
      <w:marBottom w:val="0"/>
      <w:divBdr>
        <w:top w:val="none" w:sz="0" w:space="0" w:color="auto"/>
        <w:left w:val="none" w:sz="0" w:space="0" w:color="auto"/>
        <w:bottom w:val="none" w:sz="0" w:space="0" w:color="auto"/>
        <w:right w:val="none" w:sz="0" w:space="0" w:color="auto"/>
      </w:divBdr>
    </w:div>
    <w:div w:id="1517377513">
      <w:bodyDiv w:val="1"/>
      <w:marLeft w:val="0"/>
      <w:marRight w:val="0"/>
      <w:marTop w:val="0"/>
      <w:marBottom w:val="0"/>
      <w:divBdr>
        <w:top w:val="none" w:sz="0" w:space="0" w:color="auto"/>
        <w:left w:val="none" w:sz="0" w:space="0" w:color="auto"/>
        <w:bottom w:val="none" w:sz="0" w:space="0" w:color="auto"/>
        <w:right w:val="none" w:sz="0" w:space="0" w:color="auto"/>
      </w:divBdr>
    </w:div>
    <w:div w:id="1519082059">
      <w:marLeft w:val="480"/>
      <w:marRight w:val="0"/>
      <w:marTop w:val="0"/>
      <w:marBottom w:val="0"/>
      <w:divBdr>
        <w:top w:val="none" w:sz="0" w:space="0" w:color="auto"/>
        <w:left w:val="none" w:sz="0" w:space="0" w:color="auto"/>
        <w:bottom w:val="none" w:sz="0" w:space="0" w:color="auto"/>
        <w:right w:val="none" w:sz="0" w:space="0" w:color="auto"/>
      </w:divBdr>
    </w:div>
    <w:div w:id="1520196166">
      <w:bodyDiv w:val="1"/>
      <w:marLeft w:val="0"/>
      <w:marRight w:val="0"/>
      <w:marTop w:val="0"/>
      <w:marBottom w:val="0"/>
      <w:divBdr>
        <w:top w:val="none" w:sz="0" w:space="0" w:color="auto"/>
        <w:left w:val="none" w:sz="0" w:space="0" w:color="auto"/>
        <w:bottom w:val="none" w:sz="0" w:space="0" w:color="auto"/>
        <w:right w:val="none" w:sz="0" w:space="0" w:color="auto"/>
      </w:divBdr>
      <w:divsChild>
        <w:div w:id="177276583">
          <w:marLeft w:val="480"/>
          <w:marRight w:val="0"/>
          <w:marTop w:val="0"/>
          <w:marBottom w:val="0"/>
          <w:divBdr>
            <w:top w:val="none" w:sz="0" w:space="0" w:color="auto"/>
            <w:left w:val="none" w:sz="0" w:space="0" w:color="auto"/>
            <w:bottom w:val="none" w:sz="0" w:space="0" w:color="auto"/>
            <w:right w:val="none" w:sz="0" w:space="0" w:color="auto"/>
          </w:divBdr>
        </w:div>
        <w:div w:id="315502516">
          <w:marLeft w:val="480"/>
          <w:marRight w:val="0"/>
          <w:marTop w:val="0"/>
          <w:marBottom w:val="0"/>
          <w:divBdr>
            <w:top w:val="none" w:sz="0" w:space="0" w:color="auto"/>
            <w:left w:val="none" w:sz="0" w:space="0" w:color="auto"/>
            <w:bottom w:val="none" w:sz="0" w:space="0" w:color="auto"/>
            <w:right w:val="none" w:sz="0" w:space="0" w:color="auto"/>
          </w:divBdr>
        </w:div>
        <w:div w:id="373388112">
          <w:marLeft w:val="480"/>
          <w:marRight w:val="0"/>
          <w:marTop w:val="0"/>
          <w:marBottom w:val="0"/>
          <w:divBdr>
            <w:top w:val="none" w:sz="0" w:space="0" w:color="auto"/>
            <w:left w:val="none" w:sz="0" w:space="0" w:color="auto"/>
            <w:bottom w:val="none" w:sz="0" w:space="0" w:color="auto"/>
            <w:right w:val="none" w:sz="0" w:space="0" w:color="auto"/>
          </w:divBdr>
        </w:div>
        <w:div w:id="762997720">
          <w:marLeft w:val="480"/>
          <w:marRight w:val="0"/>
          <w:marTop w:val="0"/>
          <w:marBottom w:val="0"/>
          <w:divBdr>
            <w:top w:val="none" w:sz="0" w:space="0" w:color="auto"/>
            <w:left w:val="none" w:sz="0" w:space="0" w:color="auto"/>
            <w:bottom w:val="none" w:sz="0" w:space="0" w:color="auto"/>
            <w:right w:val="none" w:sz="0" w:space="0" w:color="auto"/>
          </w:divBdr>
        </w:div>
        <w:div w:id="803889040">
          <w:marLeft w:val="480"/>
          <w:marRight w:val="0"/>
          <w:marTop w:val="0"/>
          <w:marBottom w:val="0"/>
          <w:divBdr>
            <w:top w:val="none" w:sz="0" w:space="0" w:color="auto"/>
            <w:left w:val="none" w:sz="0" w:space="0" w:color="auto"/>
            <w:bottom w:val="none" w:sz="0" w:space="0" w:color="auto"/>
            <w:right w:val="none" w:sz="0" w:space="0" w:color="auto"/>
          </w:divBdr>
        </w:div>
        <w:div w:id="1765177523">
          <w:marLeft w:val="480"/>
          <w:marRight w:val="0"/>
          <w:marTop w:val="0"/>
          <w:marBottom w:val="0"/>
          <w:divBdr>
            <w:top w:val="none" w:sz="0" w:space="0" w:color="auto"/>
            <w:left w:val="none" w:sz="0" w:space="0" w:color="auto"/>
            <w:bottom w:val="none" w:sz="0" w:space="0" w:color="auto"/>
            <w:right w:val="none" w:sz="0" w:space="0" w:color="auto"/>
          </w:divBdr>
        </w:div>
        <w:div w:id="2078506345">
          <w:marLeft w:val="480"/>
          <w:marRight w:val="0"/>
          <w:marTop w:val="0"/>
          <w:marBottom w:val="0"/>
          <w:divBdr>
            <w:top w:val="none" w:sz="0" w:space="0" w:color="auto"/>
            <w:left w:val="none" w:sz="0" w:space="0" w:color="auto"/>
            <w:bottom w:val="none" w:sz="0" w:space="0" w:color="auto"/>
            <w:right w:val="none" w:sz="0" w:space="0" w:color="auto"/>
          </w:divBdr>
        </w:div>
      </w:divsChild>
    </w:div>
    <w:div w:id="1521428837">
      <w:marLeft w:val="480"/>
      <w:marRight w:val="0"/>
      <w:marTop w:val="0"/>
      <w:marBottom w:val="0"/>
      <w:divBdr>
        <w:top w:val="none" w:sz="0" w:space="0" w:color="auto"/>
        <w:left w:val="none" w:sz="0" w:space="0" w:color="auto"/>
        <w:bottom w:val="none" w:sz="0" w:space="0" w:color="auto"/>
        <w:right w:val="none" w:sz="0" w:space="0" w:color="auto"/>
      </w:divBdr>
    </w:div>
    <w:div w:id="1521507431">
      <w:marLeft w:val="480"/>
      <w:marRight w:val="0"/>
      <w:marTop w:val="0"/>
      <w:marBottom w:val="0"/>
      <w:divBdr>
        <w:top w:val="none" w:sz="0" w:space="0" w:color="auto"/>
        <w:left w:val="none" w:sz="0" w:space="0" w:color="auto"/>
        <w:bottom w:val="none" w:sz="0" w:space="0" w:color="auto"/>
        <w:right w:val="none" w:sz="0" w:space="0" w:color="auto"/>
      </w:divBdr>
    </w:div>
    <w:div w:id="1524127704">
      <w:bodyDiv w:val="1"/>
      <w:marLeft w:val="0"/>
      <w:marRight w:val="0"/>
      <w:marTop w:val="0"/>
      <w:marBottom w:val="0"/>
      <w:divBdr>
        <w:top w:val="none" w:sz="0" w:space="0" w:color="auto"/>
        <w:left w:val="none" w:sz="0" w:space="0" w:color="auto"/>
        <w:bottom w:val="none" w:sz="0" w:space="0" w:color="auto"/>
        <w:right w:val="none" w:sz="0" w:space="0" w:color="auto"/>
      </w:divBdr>
    </w:div>
    <w:div w:id="1528640977">
      <w:marLeft w:val="480"/>
      <w:marRight w:val="0"/>
      <w:marTop w:val="0"/>
      <w:marBottom w:val="0"/>
      <w:divBdr>
        <w:top w:val="none" w:sz="0" w:space="0" w:color="auto"/>
        <w:left w:val="none" w:sz="0" w:space="0" w:color="auto"/>
        <w:bottom w:val="none" w:sz="0" w:space="0" w:color="auto"/>
        <w:right w:val="none" w:sz="0" w:space="0" w:color="auto"/>
      </w:divBdr>
    </w:div>
    <w:div w:id="1529292712">
      <w:bodyDiv w:val="1"/>
      <w:marLeft w:val="0"/>
      <w:marRight w:val="0"/>
      <w:marTop w:val="0"/>
      <w:marBottom w:val="0"/>
      <w:divBdr>
        <w:top w:val="none" w:sz="0" w:space="0" w:color="auto"/>
        <w:left w:val="none" w:sz="0" w:space="0" w:color="auto"/>
        <w:bottom w:val="none" w:sz="0" w:space="0" w:color="auto"/>
        <w:right w:val="none" w:sz="0" w:space="0" w:color="auto"/>
      </w:divBdr>
    </w:div>
    <w:div w:id="1529369057">
      <w:bodyDiv w:val="1"/>
      <w:marLeft w:val="0"/>
      <w:marRight w:val="0"/>
      <w:marTop w:val="0"/>
      <w:marBottom w:val="0"/>
      <w:divBdr>
        <w:top w:val="none" w:sz="0" w:space="0" w:color="auto"/>
        <w:left w:val="none" w:sz="0" w:space="0" w:color="auto"/>
        <w:bottom w:val="none" w:sz="0" w:space="0" w:color="auto"/>
        <w:right w:val="none" w:sz="0" w:space="0" w:color="auto"/>
      </w:divBdr>
    </w:div>
    <w:div w:id="1531796938">
      <w:bodyDiv w:val="1"/>
      <w:marLeft w:val="0"/>
      <w:marRight w:val="0"/>
      <w:marTop w:val="0"/>
      <w:marBottom w:val="0"/>
      <w:divBdr>
        <w:top w:val="none" w:sz="0" w:space="0" w:color="auto"/>
        <w:left w:val="none" w:sz="0" w:space="0" w:color="auto"/>
        <w:bottom w:val="none" w:sz="0" w:space="0" w:color="auto"/>
        <w:right w:val="none" w:sz="0" w:space="0" w:color="auto"/>
      </w:divBdr>
    </w:div>
    <w:div w:id="1534150280">
      <w:marLeft w:val="480"/>
      <w:marRight w:val="0"/>
      <w:marTop w:val="0"/>
      <w:marBottom w:val="0"/>
      <w:divBdr>
        <w:top w:val="none" w:sz="0" w:space="0" w:color="auto"/>
        <w:left w:val="none" w:sz="0" w:space="0" w:color="auto"/>
        <w:bottom w:val="none" w:sz="0" w:space="0" w:color="auto"/>
        <w:right w:val="none" w:sz="0" w:space="0" w:color="auto"/>
      </w:divBdr>
    </w:div>
    <w:div w:id="1535188692">
      <w:marLeft w:val="480"/>
      <w:marRight w:val="0"/>
      <w:marTop w:val="0"/>
      <w:marBottom w:val="0"/>
      <w:divBdr>
        <w:top w:val="none" w:sz="0" w:space="0" w:color="auto"/>
        <w:left w:val="none" w:sz="0" w:space="0" w:color="auto"/>
        <w:bottom w:val="none" w:sz="0" w:space="0" w:color="auto"/>
        <w:right w:val="none" w:sz="0" w:space="0" w:color="auto"/>
      </w:divBdr>
    </w:div>
    <w:div w:id="1539656952">
      <w:marLeft w:val="480"/>
      <w:marRight w:val="0"/>
      <w:marTop w:val="0"/>
      <w:marBottom w:val="0"/>
      <w:divBdr>
        <w:top w:val="none" w:sz="0" w:space="0" w:color="auto"/>
        <w:left w:val="none" w:sz="0" w:space="0" w:color="auto"/>
        <w:bottom w:val="none" w:sz="0" w:space="0" w:color="auto"/>
        <w:right w:val="none" w:sz="0" w:space="0" w:color="auto"/>
      </w:divBdr>
    </w:div>
    <w:div w:id="1540361895">
      <w:bodyDiv w:val="1"/>
      <w:marLeft w:val="0"/>
      <w:marRight w:val="0"/>
      <w:marTop w:val="0"/>
      <w:marBottom w:val="0"/>
      <w:divBdr>
        <w:top w:val="none" w:sz="0" w:space="0" w:color="auto"/>
        <w:left w:val="none" w:sz="0" w:space="0" w:color="auto"/>
        <w:bottom w:val="none" w:sz="0" w:space="0" w:color="auto"/>
        <w:right w:val="none" w:sz="0" w:space="0" w:color="auto"/>
      </w:divBdr>
      <w:divsChild>
        <w:div w:id="43063642">
          <w:marLeft w:val="480"/>
          <w:marRight w:val="0"/>
          <w:marTop w:val="0"/>
          <w:marBottom w:val="0"/>
          <w:divBdr>
            <w:top w:val="none" w:sz="0" w:space="0" w:color="auto"/>
            <w:left w:val="none" w:sz="0" w:space="0" w:color="auto"/>
            <w:bottom w:val="none" w:sz="0" w:space="0" w:color="auto"/>
            <w:right w:val="none" w:sz="0" w:space="0" w:color="auto"/>
          </w:divBdr>
        </w:div>
        <w:div w:id="769161737">
          <w:marLeft w:val="480"/>
          <w:marRight w:val="0"/>
          <w:marTop w:val="0"/>
          <w:marBottom w:val="0"/>
          <w:divBdr>
            <w:top w:val="none" w:sz="0" w:space="0" w:color="auto"/>
            <w:left w:val="none" w:sz="0" w:space="0" w:color="auto"/>
            <w:bottom w:val="none" w:sz="0" w:space="0" w:color="auto"/>
            <w:right w:val="none" w:sz="0" w:space="0" w:color="auto"/>
          </w:divBdr>
        </w:div>
        <w:div w:id="839346545">
          <w:marLeft w:val="480"/>
          <w:marRight w:val="0"/>
          <w:marTop w:val="0"/>
          <w:marBottom w:val="0"/>
          <w:divBdr>
            <w:top w:val="none" w:sz="0" w:space="0" w:color="auto"/>
            <w:left w:val="none" w:sz="0" w:space="0" w:color="auto"/>
            <w:bottom w:val="none" w:sz="0" w:space="0" w:color="auto"/>
            <w:right w:val="none" w:sz="0" w:space="0" w:color="auto"/>
          </w:divBdr>
        </w:div>
        <w:div w:id="880169358">
          <w:marLeft w:val="480"/>
          <w:marRight w:val="0"/>
          <w:marTop w:val="0"/>
          <w:marBottom w:val="0"/>
          <w:divBdr>
            <w:top w:val="none" w:sz="0" w:space="0" w:color="auto"/>
            <w:left w:val="none" w:sz="0" w:space="0" w:color="auto"/>
            <w:bottom w:val="none" w:sz="0" w:space="0" w:color="auto"/>
            <w:right w:val="none" w:sz="0" w:space="0" w:color="auto"/>
          </w:divBdr>
        </w:div>
        <w:div w:id="1021588088">
          <w:marLeft w:val="480"/>
          <w:marRight w:val="0"/>
          <w:marTop w:val="0"/>
          <w:marBottom w:val="0"/>
          <w:divBdr>
            <w:top w:val="none" w:sz="0" w:space="0" w:color="auto"/>
            <w:left w:val="none" w:sz="0" w:space="0" w:color="auto"/>
            <w:bottom w:val="none" w:sz="0" w:space="0" w:color="auto"/>
            <w:right w:val="none" w:sz="0" w:space="0" w:color="auto"/>
          </w:divBdr>
        </w:div>
        <w:div w:id="1601067314">
          <w:marLeft w:val="480"/>
          <w:marRight w:val="0"/>
          <w:marTop w:val="0"/>
          <w:marBottom w:val="0"/>
          <w:divBdr>
            <w:top w:val="none" w:sz="0" w:space="0" w:color="auto"/>
            <w:left w:val="none" w:sz="0" w:space="0" w:color="auto"/>
            <w:bottom w:val="none" w:sz="0" w:space="0" w:color="auto"/>
            <w:right w:val="none" w:sz="0" w:space="0" w:color="auto"/>
          </w:divBdr>
        </w:div>
        <w:div w:id="2045132962">
          <w:marLeft w:val="480"/>
          <w:marRight w:val="0"/>
          <w:marTop w:val="0"/>
          <w:marBottom w:val="0"/>
          <w:divBdr>
            <w:top w:val="none" w:sz="0" w:space="0" w:color="auto"/>
            <w:left w:val="none" w:sz="0" w:space="0" w:color="auto"/>
            <w:bottom w:val="none" w:sz="0" w:space="0" w:color="auto"/>
            <w:right w:val="none" w:sz="0" w:space="0" w:color="auto"/>
          </w:divBdr>
        </w:div>
      </w:divsChild>
    </w:div>
    <w:div w:id="1540624399">
      <w:marLeft w:val="480"/>
      <w:marRight w:val="0"/>
      <w:marTop w:val="0"/>
      <w:marBottom w:val="0"/>
      <w:divBdr>
        <w:top w:val="none" w:sz="0" w:space="0" w:color="auto"/>
        <w:left w:val="none" w:sz="0" w:space="0" w:color="auto"/>
        <w:bottom w:val="none" w:sz="0" w:space="0" w:color="auto"/>
        <w:right w:val="none" w:sz="0" w:space="0" w:color="auto"/>
      </w:divBdr>
    </w:div>
    <w:div w:id="1546914062">
      <w:marLeft w:val="480"/>
      <w:marRight w:val="0"/>
      <w:marTop w:val="0"/>
      <w:marBottom w:val="0"/>
      <w:divBdr>
        <w:top w:val="none" w:sz="0" w:space="0" w:color="auto"/>
        <w:left w:val="none" w:sz="0" w:space="0" w:color="auto"/>
        <w:bottom w:val="none" w:sz="0" w:space="0" w:color="auto"/>
        <w:right w:val="none" w:sz="0" w:space="0" w:color="auto"/>
      </w:divBdr>
    </w:div>
    <w:div w:id="1547569410">
      <w:marLeft w:val="480"/>
      <w:marRight w:val="0"/>
      <w:marTop w:val="0"/>
      <w:marBottom w:val="0"/>
      <w:divBdr>
        <w:top w:val="none" w:sz="0" w:space="0" w:color="auto"/>
        <w:left w:val="none" w:sz="0" w:space="0" w:color="auto"/>
        <w:bottom w:val="none" w:sz="0" w:space="0" w:color="auto"/>
        <w:right w:val="none" w:sz="0" w:space="0" w:color="auto"/>
      </w:divBdr>
    </w:div>
    <w:div w:id="1548448448">
      <w:bodyDiv w:val="1"/>
      <w:marLeft w:val="0"/>
      <w:marRight w:val="0"/>
      <w:marTop w:val="0"/>
      <w:marBottom w:val="0"/>
      <w:divBdr>
        <w:top w:val="none" w:sz="0" w:space="0" w:color="auto"/>
        <w:left w:val="none" w:sz="0" w:space="0" w:color="auto"/>
        <w:bottom w:val="none" w:sz="0" w:space="0" w:color="auto"/>
        <w:right w:val="none" w:sz="0" w:space="0" w:color="auto"/>
      </w:divBdr>
    </w:div>
    <w:div w:id="1548758877">
      <w:marLeft w:val="480"/>
      <w:marRight w:val="0"/>
      <w:marTop w:val="0"/>
      <w:marBottom w:val="0"/>
      <w:divBdr>
        <w:top w:val="none" w:sz="0" w:space="0" w:color="auto"/>
        <w:left w:val="none" w:sz="0" w:space="0" w:color="auto"/>
        <w:bottom w:val="none" w:sz="0" w:space="0" w:color="auto"/>
        <w:right w:val="none" w:sz="0" w:space="0" w:color="auto"/>
      </w:divBdr>
    </w:div>
    <w:div w:id="1549797597">
      <w:marLeft w:val="480"/>
      <w:marRight w:val="0"/>
      <w:marTop w:val="0"/>
      <w:marBottom w:val="0"/>
      <w:divBdr>
        <w:top w:val="none" w:sz="0" w:space="0" w:color="auto"/>
        <w:left w:val="none" w:sz="0" w:space="0" w:color="auto"/>
        <w:bottom w:val="none" w:sz="0" w:space="0" w:color="auto"/>
        <w:right w:val="none" w:sz="0" w:space="0" w:color="auto"/>
      </w:divBdr>
    </w:div>
    <w:div w:id="1554851384">
      <w:marLeft w:val="480"/>
      <w:marRight w:val="0"/>
      <w:marTop w:val="0"/>
      <w:marBottom w:val="0"/>
      <w:divBdr>
        <w:top w:val="none" w:sz="0" w:space="0" w:color="auto"/>
        <w:left w:val="none" w:sz="0" w:space="0" w:color="auto"/>
        <w:bottom w:val="none" w:sz="0" w:space="0" w:color="auto"/>
        <w:right w:val="none" w:sz="0" w:space="0" w:color="auto"/>
      </w:divBdr>
    </w:div>
    <w:div w:id="1556043756">
      <w:marLeft w:val="480"/>
      <w:marRight w:val="0"/>
      <w:marTop w:val="0"/>
      <w:marBottom w:val="0"/>
      <w:divBdr>
        <w:top w:val="none" w:sz="0" w:space="0" w:color="auto"/>
        <w:left w:val="none" w:sz="0" w:space="0" w:color="auto"/>
        <w:bottom w:val="none" w:sz="0" w:space="0" w:color="auto"/>
        <w:right w:val="none" w:sz="0" w:space="0" w:color="auto"/>
      </w:divBdr>
    </w:div>
    <w:div w:id="1556162679">
      <w:marLeft w:val="480"/>
      <w:marRight w:val="0"/>
      <w:marTop w:val="0"/>
      <w:marBottom w:val="0"/>
      <w:divBdr>
        <w:top w:val="none" w:sz="0" w:space="0" w:color="auto"/>
        <w:left w:val="none" w:sz="0" w:space="0" w:color="auto"/>
        <w:bottom w:val="none" w:sz="0" w:space="0" w:color="auto"/>
        <w:right w:val="none" w:sz="0" w:space="0" w:color="auto"/>
      </w:divBdr>
    </w:div>
    <w:div w:id="1558273086">
      <w:bodyDiv w:val="1"/>
      <w:marLeft w:val="0"/>
      <w:marRight w:val="0"/>
      <w:marTop w:val="0"/>
      <w:marBottom w:val="0"/>
      <w:divBdr>
        <w:top w:val="none" w:sz="0" w:space="0" w:color="auto"/>
        <w:left w:val="none" w:sz="0" w:space="0" w:color="auto"/>
        <w:bottom w:val="none" w:sz="0" w:space="0" w:color="auto"/>
        <w:right w:val="none" w:sz="0" w:space="0" w:color="auto"/>
      </w:divBdr>
      <w:divsChild>
        <w:div w:id="60754099">
          <w:marLeft w:val="-75"/>
          <w:marRight w:val="0"/>
          <w:marTop w:val="30"/>
          <w:marBottom w:val="30"/>
          <w:divBdr>
            <w:top w:val="none" w:sz="0" w:space="0" w:color="auto"/>
            <w:left w:val="none" w:sz="0" w:space="0" w:color="auto"/>
            <w:bottom w:val="none" w:sz="0" w:space="0" w:color="auto"/>
            <w:right w:val="none" w:sz="0" w:space="0" w:color="auto"/>
          </w:divBdr>
          <w:divsChild>
            <w:div w:id="6297061">
              <w:marLeft w:val="0"/>
              <w:marRight w:val="0"/>
              <w:marTop w:val="0"/>
              <w:marBottom w:val="0"/>
              <w:divBdr>
                <w:top w:val="none" w:sz="0" w:space="0" w:color="auto"/>
                <w:left w:val="none" w:sz="0" w:space="0" w:color="auto"/>
                <w:bottom w:val="none" w:sz="0" w:space="0" w:color="auto"/>
                <w:right w:val="none" w:sz="0" w:space="0" w:color="auto"/>
              </w:divBdr>
              <w:divsChild>
                <w:div w:id="1213923722">
                  <w:marLeft w:val="0"/>
                  <w:marRight w:val="0"/>
                  <w:marTop w:val="0"/>
                  <w:marBottom w:val="0"/>
                  <w:divBdr>
                    <w:top w:val="none" w:sz="0" w:space="0" w:color="auto"/>
                    <w:left w:val="none" w:sz="0" w:space="0" w:color="auto"/>
                    <w:bottom w:val="none" w:sz="0" w:space="0" w:color="auto"/>
                    <w:right w:val="none" w:sz="0" w:space="0" w:color="auto"/>
                  </w:divBdr>
                </w:div>
              </w:divsChild>
            </w:div>
            <w:div w:id="55207112">
              <w:marLeft w:val="0"/>
              <w:marRight w:val="0"/>
              <w:marTop w:val="0"/>
              <w:marBottom w:val="0"/>
              <w:divBdr>
                <w:top w:val="none" w:sz="0" w:space="0" w:color="auto"/>
                <w:left w:val="none" w:sz="0" w:space="0" w:color="auto"/>
                <w:bottom w:val="none" w:sz="0" w:space="0" w:color="auto"/>
                <w:right w:val="none" w:sz="0" w:space="0" w:color="auto"/>
              </w:divBdr>
              <w:divsChild>
                <w:div w:id="2025589707">
                  <w:marLeft w:val="0"/>
                  <w:marRight w:val="0"/>
                  <w:marTop w:val="0"/>
                  <w:marBottom w:val="0"/>
                  <w:divBdr>
                    <w:top w:val="none" w:sz="0" w:space="0" w:color="auto"/>
                    <w:left w:val="none" w:sz="0" w:space="0" w:color="auto"/>
                    <w:bottom w:val="none" w:sz="0" w:space="0" w:color="auto"/>
                    <w:right w:val="none" w:sz="0" w:space="0" w:color="auto"/>
                  </w:divBdr>
                </w:div>
              </w:divsChild>
            </w:div>
            <w:div w:id="65154733">
              <w:marLeft w:val="0"/>
              <w:marRight w:val="0"/>
              <w:marTop w:val="0"/>
              <w:marBottom w:val="0"/>
              <w:divBdr>
                <w:top w:val="none" w:sz="0" w:space="0" w:color="auto"/>
                <w:left w:val="none" w:sz="0" w:space="0" w:color="auto"/>
                <w:bottom w:val="none" w:sz="0" w:space="0" w:color="auto"/>
                <w:right w:val="none" w:sz="0" w:space="0" w:color="auto"/>
              </w:divBdr>
              <w:divsChild>
                <w:div w:id="1883208542">
                  <w:marLeft w:val="0"/>
                  <w:marRight w:val="0"/>
                  <w:marTop w:val="0"/>
                  <w:marBottom w:val="0"/>
                  <w:divBdr>
                    <w:top w:val="none" w:sz="0" w:space="0" w:color="auto"/>
                    <w:left w:val="none" w:sz="0" w:space="0" w:color="auto"/>
                    <w:bottom w:val="none" w:sz="0" w:space="0" w:color="auto"/>
                    <w:right w:val="none" w:sz="0" w:space="0" w:color="auto"/>
                  </w:divBdr>
                </w:div>
              </w:divsChild>
            </w:div>
            <w:div w:id="284191351">
              <w:marLeft w:val="0"/>
              <w:marRight w:val="0"/>
              <w:marTop w:val="0"/>
              <w:marBottom w:val="0"/>
              <w:divBdr>
                <w:top w:val="none" w:sz="0" w:space="0" w:color="auto"/>
                <w:left w:val="none" w:sz="0" w:space="0" w:color="auto"/>
                <w:bottom w:val="none" w:sz="0" w:space="0" w:color="auto"/>
                <w:right w:val="none" w:sz="0" w:space="0" w:color="auto"/>
              </w:divBdr>
              <w:divsChild>
                <w:div w:id="361788875">
                  <w:marLeft w:val="0"/>
                  <w:marRight w:val="0"/>
                  <w:marTop w:val="0"/>
                  <w:marBottom w:val="0"/>
                  <w:divBdr>
                    <w:top w:val="none" w:sz="0" w:space="0" w:color="auto"/>
                    <w:left w:val="none" w:sz="0" w:space="0" w:color="auto"/>
                    <w:bottom w:val="none" w:sz="0" w:space="0" w:color="auto"/>
                    <w:right w:val="none" w:sz="0" w:space="0" w:color="auto"/>
                  </w:divBdr>
                </w:div>
              </w:divsChild>
            </w:div>
            <w:div w:id="692075460">
              <w:marLeft w:val="0"/>
              <w:marRight w:val="0"/>
              <w:marTop w:val="0"/>
              <w:marBottom w:val="0"/>
              <w:divBdr>
                <w:top w:val="none" w:sz="0" w:space="0" w:color="auto"/>
                <w:left w:val="none" w:sz="0" w:space="0" w:color="auto"/>
                <w:bottom w:val="none" w:sz="0" w:space="0" w:color="auto"/>
                <w:right w:val="none" w:sz="0" w:space="0" w:color="auto"/>
              </w:divBdr>
              <w:divsChild>
                <w:div w:id="1707022766">
                  <w:marLeft w:val="0"/>
                  <w:marRight w:val="0"/>
                  <w:marTop w:val="0"/>
                  <w:marBottom w:val="0"/>
                  <w:divBdr>
                    <w:top w:val="none" w:sz="0" w:space="0" w:color="auto"/>
                    <w:left w:val="none" w:sz="0" w:space="0" w:color="auto"/>
                    <w:bottom w:val="none" w:sz="0" w:space="0" w:color="auto"/>
                    <w:right w:val="none" w:sz="0" w:space="0" w:color="auto"/>
                  </w:divBdr>
                </w:div>
              </w:divsChild>
            </w:div>
            <w:div w:id="1218080914">
              <w:marLeft w:val="0"/>
              <w:marRight w:val="0"/>
              <w:marTop w:val="0"/>
              <w:marBottom w:val="0"/>
              <w:divBdr>
                <w:top w:val="none" w:sz="0" w:space="0" w:color="auto"/>
                <w:left w:val="none" w:sz="0" w:space="0" w:color="auto"/>
                <w:bottom w:val="none" w:sz="0" w:space="0" w:color="auto"/>
                <w:right w:val="none" w:sz="0" w:space="0" w:color="auto"/>
              </w:divBdr>
              <w:divsChild>
                <w:div w:id="116460664">
                  <w:marLeft w:val="0"/>
                  <w:marRight w:val="0"/>
                  <w:marTop w:val="0"/>
                  <w:marBottom w:val="0"/>
                  <w:divBdr>
                    <w:top w:val="none" w:sz="0" w:space="0" w:color="auto"/>
                    <w:left w:val="none" w:sz="0" w:space="0" w:color="auto"/>
                    <w:bottom w:val="none" w:sz="0" w:space="0" w:color="auto"/>
                    <w:right w:val="none" w:sz="0" w:space="0" w:color="auto"/>
                  </w:divBdr>
                </w:div>
                <w:div w:id="1920098406">
                  <w:marLeft w:val="0"/>
                  <w:marRight w:val="0"/>
                  <w:marTop w:val="0"/>
                  <w:marBottom w:val="0"/>
                  <w:divBdr>
                    <w:top w:val="none" w:sz="0" w:space="0" w:color="auto"/>
                    <w:left w:val="none" w:sz="0" w:space="0" w:color="auto"/>
                    <w:bottom w:val="none" w:sz="0" w:space="0" w:color="auto"/>
                    <w:right w:val="none" w:sz="0" w:space="0" w:color="auto"/>
                  </w:divBdr>
                </w:div>
              </w:divsChild>
            </w:div>
            <w:div w:id="1245720342">
              <w:marLeft w:val="0"/>
              <w:marRight w:val="0"/>
              <w:marTop w:val="0"/>
              <w:marBottom w:val="0"/>
              <w:divBdr>
                <w:top w:val="none" w:sz="0" w:space="0" w:color="auto"/>
                <w:left w:val="none" w:sz="0" w:space="0" w:color="auto"/>
                <w:bottom w:val="none" w:sz="0" w:space="0" w:color="auto"/>
                <w:right w:val="none" w:sz="0" w:space="0" w:color="auto"/>
              </w:divBdr>
              <w:divsChild>
                <w:div w:id="1444113861">
                  <w:marLeft w:val="0"/>
                  <w:marRight w:val="0"/>
                  <w:marTop w:val="0"/>
                  <w:marBottom w:val="0"/>
                  <w:divBdr>
                    <w:top w:val="none" w:sz="0" w:space="0" w:color="auto"/>
                    <w:left w:val="none" w:sz="0" w:space="0" w:color="auto"/>
                    <w:bottom w:val="none" w:sz="0" w:space="0" w:color="auto"/>
                    <w:right w:val="none" w:sz="0" w:space="0" w:color="auto"/>
                  </w:divBdr>
                </w:div>
              </w:divsChild>
            </w:div>
            <w:div w:id="1267928783">
              <w:marLeft w:val="0"/>
              <w:marRight w:val="0"/>
              <w:marTop w:val="0"/>
              <w:marBottom w:val="0"/>
              <w:divBdr>
                <w:top w:val="none" w:sz="0" w:space="0" w:color="auto"/>
                <w:left w:val="none" w:sz="0" w:space="0" w:color="auto"/>
                <w:bottom w:val="none" w:sz="0" w:space="0" w:color="auto"/>
                <w:right w:val="none" w:sz="0" w:space="0" w:color="auto"/>
              </w:divBdr>
            </w:div>
            <w:div w:id="1970747876">
              <w:marLeft w:val="0"/>
              <w:marRight w:val="0"/>
              <w:marTop w:val="0"/>
              <w:marBottom w:val="0"/>
              <w:divBdr>
                <w:top w:val="none" w:sz="0" w:space="0" w:color="auto"/>
                <w:left w:val="none" w:sz="0" w:space="0" w:color="auto"/>
                <w:bottom w:val="none" w:sz="0" w:space="0" w:color="auto"/>
                <w:right w:val="none" w:sz="0" w:space="0" w:color="auto"/>
              </w:divBdr>
              <w:divsChild>
                <w:div w:id="7986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1772">
          <w:marLeft w:val="-75"/>
          <w:marRight w:val="0"/>
          <w:marTop w:val="30"/>
          <w:marBottom w:val="30"/>
          <w:divBdr>
            <w:top w:val="none" w:sz="0" w:space="0" w:color="auto"/>
            <w:left w:val="none" w:sz="0" w:space="0" w:color="auto"/>
            <w:bottom w:val="none" w:sz="0" w:space="0" w:color="auto"/>
            <w:right w:val="none" w:sz="0" w:space="0" w:color="auto"/>
          </w:divBdr>
          <w:divsChild>
            <w:div w:id="1629319236">
              <w:marLeft w:val="0"/>
              <w:marRight w:val="0"/>
              <w:marTop w:val="0"/>
              <w:marBottom w:val="0"/>
              <w:divBdr>
                <w:top w:val="none" w:sz="0" w:space="0" w:color="auto"/>
                <w:left w:val="none" w:sz="0" w:space="0" w:color="auto"/>
                <w:bottom w:val="none" w:sz="0" w:space="0" w:color="auto"/>
                <w:right w:val="none" w:sz="0" w:space="0" w:color="auto"/>
              </w:divBdr>
              <w:divsChild>
                <w:div w:id="1290012952">
                  <w:marLeft w:val="0"/>
                  <w:marRight w:val="0"/>
                  <w:marTop w:val="0"/>
                  <w:marBottom w:val="0"/>
                  <w:divBdr>
                    <w:top w:val="none" w:sz="0" w:space="0" w:color="auto"/>
                    <w:left w:val="none" w:sz="0" w:space="0" w:color="auto"/>
                    <w:bottom w:val="none" w:sz="0" w:space="0" w:color="auto"/>
                    <w:right w:val="none" w:sz="0" w:space="0" w:color="auto"/>
                  </w:divBdr>
                </w:div>
                <w:div w:id="1419059378">
                  <w:marLeft w:val="0"/>
                  <w:marRight w:val="0"/>
                  <w:marTop w:val="0"/>
                  <w:marBottom w:val="0"/>
                  <w:divBdr>
                    <w:top w:val="none" w:sz="0" w:space="0" w:color="auto"/>
                    <w:left w:val="none" w:sz="0" w:space="0" w:color="auto"/>
                    <w:bottom w:val="none" w:sz="0" w:space="0" w:color="auto"/>
                    <w:right w:val="none" w:sz="0" w:space="0" w:color="auto"/>
                  </w:divBdr>
                </w:div>
              </w:divsChild>
            </w:div>
            <w:div w:id="2013331696">
              <w:marLeft w:val="0"/>
              <w:marRight w:val="0"/>
              <w:marTop w:val="0"/>
              <w:marBottom w:val="0"/>
              <w:divBdr>
                <w:top w:val="none" w:sz="0" w:space="0" w:color="auto"/>
                <w:left w:val="none" w:sz="0" w:space="0" w:color="auto"/>
                <w:bottom w:val="none" w:sz="0" w:space="0" w:color="auto"/>
                <w:right w:val="none" w:sz="0" w:space="0" w:color="auto"/>
              </w:divBdr>
              <w:divsChild>
                <w:div w:id="899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7083">
          <w:marLeft w:val="0"/>
          <w:marRight w:val="0"/>
          <w:marTop w:val="0"/>
          <w:marBottom w:val="0"/>
          <w:divBdr>
            <w:top w:val="none" w:sz="0" w:space="0" w:color="auto"/>
            <w:left w:val="none" w:sz="0" w:space="0" w:color="auto"/>
            <w:bottom w:val="none" w:sz="0" w:space="0" w:color="auto"/>
            <w:right w:val="none" w:sz="0" w:space="0" w:color="auto"/>
          </w:divBdr>
        </w:div>
        <w:div w:id="583688634">
          <w:marLeft w:val="0"/>
          <w:marRight w:val="0"/>
          <w:marTop w:val="0"/>
          <w:marBottom w:val="0"/>
          <w:divBdr>
            <w:top w:val="none" w:sz="0" w:space="0" w:color="auto"/>
            <w:left w:val="none" w:sz="0" w:space="0" w:color="auto"/>
            <w:bottom w:val="none" w:sz="0" w:space="0" w:color="auto"/>
            <w:right w:val="none" w:sz="0" w:space="0" w:color="auto"/>
          </w:divBdr>
        </w:div>
        <w:div w:id="700861740">
          <w:marLeft w:val="0"/>
          <w:marRight w:val="0"/>
          <w:marTop w:val="0"/>
          <w:marBottom w:val="0"/>
          <w:divBdr>
            <w:top w:val="none" w:sz="0" w:space="0" w:color="auto"/>
            <w:left w:val="none" w:sz="0" w:space="0" w:color="auto"/>
            <w:bottom w:val="none" w:sz="0" w:space="0" w:color="auto"/>
            <w:right w:val="none" w:sz="0" w:space="0" w:color="auto"/>
          </w:divBdr>
        </w:div>
        <w:div w:id="711686965">
          <w:marLeft w:val="-75"/>
          <w:marRight w:val="0"/>
          <w:marTop w:val="30"/>
          <w:marBottom w:val="30"/>
          <w:divBdr>
            <w:top w:val="none" w:sz="0" w:space="0" w:color="auto"/>
            <w:left w:val="none" w:sz="0" w:space="0" w:color="auto"/>
            <w:bottom w:val="none" w:sz="0" w:space="0" w:color="auto"/>
            <w:right w:val="none" w:sz="0" w:space="0" w:color="auto"/>
          </w:divBdr>
          <w:divsChild>
            <w:div w:id="102649155">
              <w:marLeft w:val="0"/>
              <w:marRight w:val="0"/>
              <w:marTop w:val="0"/>
              <w:marBottom w:val="0"/>
              <w:divBdr>
                <w:top w:val="none" w:sz="0" w:space="0" w:color="auto"/>
                <w:left w:val="none" w:sz="0" w:space="0" w:color="auto"/>
                <w:bottom w:val="none" w:sz="0" w:space="0" w:color="auto"/>
                <w:right w:val="none" w:sz="0" w:space="0" w:color="auto"/>
              </w:divBdr>
              <w:divsChild>
                <w:div w:id="799223898">
                  <w:marLeft w:val="0"/>
                  <w:marRight w:val="0"/>
                  <w:marTop w:val="0"/>
                  <w:marBottom w:val="0"/>
                  <w:divBdr>
                    <w:top w:val="none" w:sz="0" w:space="0" w:color="auto"/>
                    <w:left w:val="none" w:sz="0" w:space="0" w:color="auto"/>
                    <w:bottom w:val="none" w:sz="0" w:space="0" w:color="auto"/>
                    <w:right w:val="none" w:sz="0" w:space="0" w:color="auto"/>
                  </w:divBdr>
                </w:div>
              </w:divsChild>
            </w:div>
            <w:div w:id="119539245">
              <w:marLeft w:val="0"/>
              <w:marRight w:val="0"/>
              <w:marTop w:val="0"/>
              <w:marBottom w:val="0"/>
              <w:divBdr>
                <w:top w:val="none" w:sz="0" w:space="0" w:color="auto"/>
                <w:left w:val="none" w:sz="0" w:space="0" w:color="auto"/>
                <w:bottom w:val="none" w:sz="0" w:space="0" w:color="auto"/>
                <w:right w:val="none" w:sz="0" w:space="0" w:color="auto"/>
              </w:divBdr>
            </w:div>
            <w:div w:id="210195920">
              <w:marLeft w:val="0"/>
              <w:marRight w:val="0"/>
              <w:marTop w:val="0"/>
              <w:marBottom w:val="0"/>
              <w:divBdr>
                <w:top w:val="none" w:sz="0" w:space="0" w:color="auto"/>
                <w:left w:val="none" w:sz="0" w:space="0" w:color="auto"/>
                <w:bottom w:val="none" w:sz="0" w:space="0" w:color="auto"/>
                <w:right w:val="none" w:sz="0" w:space="0" w:color="auto"/>
              </w:divBdr>
              <w:divsChild>
                <w:div w:id="1443264284">
                  <w:marLeft w:val="0"/>
                  <w:marRight w:val="0"/>
                  <w:marTop w:val="0"/>
                  <w:marBottom w:val="0"/>
                  <w:divBdr>
                    <w:top w:val="none" w:sz="0" w:space="0" w:color="auto"/>
                    <w:left w:val="none" w:sz="0" w:space="0" w:color="auto"/>
                    <w:bottom w:val="none" w:sz="0" w:space="0" w:color="auto"/>
                    <w:right w:val="none" w:sz="0" w:space="0" w:color="auto"/>
                  </w:divBdr>
                </w:div>
              </w:divsChild>
            </w:div>
            <w:div w:id="342704900">
              <w:marLeft w:val="0"/>
              <w:marRight w:val="0"/>
              <w:marTop w:val="0"/>
              <w:marBottom w:val="0"/>
              <w:divBdr>
                <w:top w:val="none" w:sz="0" w:space="0" w:color="auto"/>
                <w:left w:val="none" w:sz="0" w:space="0" w:color="auto"/>
                <w:bottom w:val="none" w:sz="0" w:space="0" w:color="auto"/>
                <w:right w:val="none" w:sz="0" w:space="0" w:color="auto"/>
              </w:divBdr>
              <w:divsChild>
                <w:div w:id="273557894">
                  <w:marLeft w:val="0"/>
                  <w:marRight w:val="0"/>
                  <w:marTop w:val="0"/>
                  <w:marBottom w:val="0"/>
                  <w:divBdr>
                    <w:top w:val="none" w:sz="0" w:space="0" w:color="auto"/>
                    <w:left w:val="none" w:sz="0" w:space="0" w:color="auto"/>
                    <w:bottom w:val="none" w:sz="0" w:space="0" w:color="auto"/>
                    <w:right w:val="none" w:sz="0" w:space="0" w:color="auto"/>
                  </w:divBdr>
                </w:div>
              </w:divsChild>
            </w:div>
            <w:div w:id="665405671">
              <w:marLeft w:val="0"/>
              <w:marRight w:val="0"/>
              <w:marTop w:val="0"/>
              <w:marBottom w:val="0"/>
              <w:divBdr>
                <w:top w:val="none" w:sz="0" w:space="0" w:color="auto"/>
                <w:left w:val="none" w:sz="0" w:space="0" w:color="auto"/>
                <w:bottom w:val="none" w:sz="0" w:space="0" w:color="auto"/>
                <w:right w:val="none" w:sz="0" w:space="0" w:color="auto"/>
              </w:divBdr>
              <w:divsChild>
                <w:div w:id="1443038506">
                  <w:marLeft w:val="0"/>
                  <w:marRight w:val="0"/>
                  <w:marTop w:val="0"/>
                  <w:marBottom w:val="0"/>
                  <w:divBdr>
                    <w:top w:val="none" w:sz="0" w:space="0" w:color="auto"/>
                    <w:left w:val="none" w:sz="0" w:space="0" w:color="auto"/>
                    <w:bottom w:val="none" w:sz="0" w:space="0" w:color="auto"/>
                    <w:right w:val="none" w:sz="0" w:space="0" w:color="auto"/>
                  </w:divBdr>
                </w:div>
              </w:divsChild>
            </w:div>
            <w:div w:id="894388374">
              <w:marLeft w:val="0"/>
              <w:marRight w:val="0"/>
              <w:marTop w:val="0"/>
              <w:marBottom w:val="0"/>
              <w:divBdr>
                <w:top w:val="none" w:sz="0" w:space="0" w:color="auto"/>
                <w:left w:val="none" w:sz="0" w:space="0" w:color="auto"/>
                <w:bottom w:val="none" w:sz="0" w:space="0" w:color="auto"/>
                <w:right w:val="none" w:sz="0" w:space="0" w:color="auto"/>
              </w:divBdr>
              <w:divsChild>
                <w:div w:id="1909922095">
                  <w:marLeft w:val="0"/>
                  <w:marRight w:val="0"/>
                  <w:marTop w:val="0"/>
                  <w:marBottom w:val="0"/>
                  <w:divBdr>
                    <w:top w:val="none" w:sz="0" w:space="0" w:color="auto"/>
                    <w:left w:val="none" w:sz="0" w:space="0" w:color="auto"/>
                    <w:bottom w:val="none" w:sz="0" w:space="0" w:color="auto"/>
                    <w:right w:val="none" w:sz="0" w:space="0" w:color="auto"/>
                  </w:divBdr>
                </w:div>
              </w:divsChild>
            </w:div>
            <w:div w:id="1355573484">
              <w:marLeft w:val="0"/>
              <w:marRight w:val="0"/>
              <w:marTop w:val="0"/>
              <w:marBottom w:val="0"/>
              <w:divBdr>
                <w:top w:val="none" w:sz="0" w:space="0" w:color="auto"/>
                <w:left w:val="none" w:sz="0" w:space="0" w:color="auto"/>
                <w:bottom w:val="none" w:sz="0" w:space="0" w:color="auto"/>
                <w:right w:val="none" w:sz="0" w:space="0" w:color="auto"/>
              </w:divBdr>
              <w:divsChild>
                <w:div w:id="520052064">
                  <w:marLeft w:val="0"/>
                  <w:marRight w:val="0"/>
                  <w:marTop w:val="0"/>
                  <w:marBottom w:val="0"/>
                  <w:divBdr>
                    <w:top w:val="none" w:sz="0" w:space="0" w:color="auto"/>
                    <w:left w:val="none" w:sz="0" w:space="0" w:color="auto"/>
                    <w:bottom w:val="none" w:sz="0" w:space="0" w:color="auto"/>
                    <w:right w:val="none" w:sz="0" w:space="0" w:color="auto"/>
                  </w:divBdr>
                </w:div>
              </w:divsChild>
            </w:div>
            <w:div w:id="1433278232">
              <w:marLeft w:val="0"/>
              <w:marRight w:val="0"/>
              <w:marTop w:val="0"/>
              <w:marBottom w:val="0"/>
              <w:divBdr>
                <w:top w:val="none" w:sz="0" w:space="0" w:color="auto"/>
                <w:left w:val="none" w:sz="0" w:space="0" w:color="auto"/>
                <w:bottom w:val="none" w:sz="0" w:space="0" w:color="auto"/>
                <w:right w:val="none" w:sz="0" w:space="0" w:color="auto"/>
              </w:divBdr>
              <w:divsChild>
                <w:div w:id="838159080">
                  <w:marLeft w:val="0"/>
                  <w:marRight w:val="0"/>
                  <w:marTop w:val="0"/>
                  <w:marBottom w:val="0"/>
                  <w:divBdr>
                    <w:top w:val="none" w:sz="0" w:space="0" w:color="auto"/>
                    <w:left w:val="none" w:sz="0" w:space="0" w:color="auto"/>
                    <w:bottom w:val="none" w:sz="0" w:space="0" w:color="auto"/>
                    <w:right w:val="none" w:sz="0" w:space="0" w:color="auto"/>
                  </w:divBdr>
                </w:div>
              </w:divsChild>
            </w:div>
            <w:div w:id="1753821281">
              <w:marLeft w:val="0"/>
              <w:marRight w:val="0"/>
              <w:marTop w:val="0"/>
              <w:marBottom w:val="0"/>
              <w:divBdr>
                <w:top w:val="none" w:sz="0" w:space="0" w:color="auto"/>
                <w:left w:val="none" w:sz="0" w:space="0" w:color="auto"/>
                <w:bottom w:val="none" w:sz="0" w:space="0" w:color="auto"/>
                <w:right w:val="none" w:sz="0" w:space="0" w:color="auto"/>
              </w:divBdr>
              <w:divsChild>
                <w:div w:id="1892376749">
                  <w:marLeft w:val="0"/>
                  <w:marRight w:val="0"/>
                  <w:marTop w:val="0"/>
                  <w:marBottom w:val="0"/>
                  <w:divBdr>
                    <w:top w:val="none" w:sz="0" w:space="0" w:color="auto"/>
                    <w:left w:val="none" w:sz="0" w:space="0" w:color="auto"/>
                    <w:bottom w:val="none" w:sz="0" w:space="0" w:color="auto"/>
                    <w:right w:val="none" w:sz="0" w:space="0" w:color="auto"/>
                  </w:divBdr>
                </w:div>
              </w:divsChild>
            </w:div>
            <w:div w:id="1772431482">
              <w:marLeft w:val="0"/>
              <w:marRight w:val="0"/>
              <w:marTop w:val="0"/>
              <w:marBottom w:val="0"/>
              <w:divBdr>
                <w:top w:val="none" w:sz="0" w:space="0" w:color="auto"/>
                <w:left w:val="none" w:sz="0" w:space="0" w:color="auto"/>
                <w:bottom w:val="none" w:sz="0" w:space="0" w:color="auto"/>
                <w:right w:val="none" w:sz="0" w:space="0" w:color="auto"/>
              </w:divBdr>
              <w:divsChild>
                <w:div w:id="1721898789">
                  <w:marLeft w:val="0"/>
                  <w:marRight w:val="0"/>
                  <w:marTop w:val="0"/>
                  <w:marBottom w:val="0"/>
                  <w:divBdr>
                    <w:top w:val="none" w:sz="0" w:space="0" w:color="auto"/>
                    <w:left w:val="none" w:sz="0" w:space="0" w:color="auto"/>
                    <w:bottom w:val="none" w:sz="0" w:space="0" w:color="auto"/>
                    <w:right w:val="none" w:sz="0" w:space="0" w:color="auto"/>
                  </w:divBdr>
                </w:div>
              </w:divsChild>
            </w:div>
            <w:div w:id="1800218675">
              <w:marLeft w:val="0"/>
              <w:marRight w:val="0"/>
              <w:marTop w:val="0"/>
              <w:marBottom w:val="0"/>
              <w:divBdr>
                <w:top w:val="none" w:sz="0" w:space="0" w:color="auto"/>
                <w:left w:val="none" w:sz="0" w:space="0" w:color="auto"/>
                <w:bottom w:val="none" w:sz="0" w:space="0" w:color="auto"/>
                <w:right w:val="none" w:sz="0" w:space="0" w:color="auto"/>
              </w:divBdr>
              <w:divsChild>
                <w:div w:id="638416367">
                  <w:marLeft w:val="0"/>
                  <w:marRight w:val="0"/>
                  <w:marTop w:val="0"/>
                  <w:marBottom w:val="0"/>
                  <w:divBdr>
                    <w:top w:val="none" w:sz="0" w:space="0" w:color="auto"/>
                    <w:left w:val="none" w:sz="0" w:space="0" w:color="auto"/>
                    <w:bottom w:val="none" w:sz="0" w:space="0" w:color="auto"/>
                    <w:right w:val="none" w:sz="0" w:space="0" w:color="auto"/>
                  </w:divBdr>
                </w:div>
              </w:divsChild>
            </w:div>
            <w:div w:id="1860002620">
              <w:marLeft w:val="0"/>
              <w:marRight w:val="0"/>
              <w:marTop w:val="0"/>
              <w:marBottom w:val="0"/>
              <w:divBdr>
                <w:top w:val="none" w:sz="0" w:space="0" w:color="auto"/>
                <w:left w:val="none" w:sz="0" w:space="0" w:color="auto"/>
                <w:bottom w:val="none" w:sz="0" w:space="0" w:color="auto"/>
                <w:right w:val="none" w:sz="0" w:space="0" w:color="auto"/>
              </w:divBdr>
              <w:divsChild>
                <w:div w:id="261383198">
                  <w:marLeft w:val="0"/>
                  <w:marRight w:val="0"/>
                  <w:marTop w:val="0"/>
                  <w:marBottom w:val="0"/>
                  <w:divBdr>
                    <w:top w:val="none" w:sz="0" w:space="0" w:color="auto"/>
                    <w:left w:val="none" w:sz="0" w:space="0" w:color="auto"/>
                    <w:bottom w:val="none" w:sz="0" w:space="0" w:color="auto"/>
                    <w:right w:val="none" w:sz="0" w:space="0" w:color="auto"/>
                  </w:divBdr>
                </w:div>
              </w:divsChild>
            </w:div>
            <w:div w:id="1876456622">
              <w:marLeft w:val="0"/>
              <w:marRight w:val="0"/>
              <w:marTop w:val="0"/>
              <w:marBottom w:val="0"/>
              <w:divBdr>
                <w:top w:val="none" w:sz="0" w:space="0" w:color="auto"/>
                <w:left w:val="none" w:sz="0" w:space="0" w:color="auto"/>
                <w:bottom w:val="none" w:sz="0" w:space="0" w:color="auto"/>
                <w:right w:val="none" w:sz="0" w:space="0" w:color="auto"/>
              </w:divBdr>
              <w:divsChild>
                <w:div w:id="1043794357">
                  <w:marLeft w:val="0"/>
                  <w:marRight w:val="0"/>
                  <w:marTop w:val="0"/>
                  <w:marBottom w:val="0"/>
                  <w:divBdr>
                    <w:top w:val="none" w:sz="0" w:space="0" w:color="auto"/>
                    <w:left w:val="none" w:sz="0" w:space="0" w:color="auto"/>
                    <w:bottom w:val="none" w:sz="0" w:space="0" w:color="auto"/>
                    <w:right w:val="none" w:sz="0" w:space="0" w:color="auto"/>
                  </w:divBdr>
                </w:div>
                <w:div w:id="16229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46643">
          <w:marLeft w:val="0"/>
          <w:marRight w:val="0"/>
          <w:marTop w:val="0"/>
          <w:marBottom w:val="0"/>
          <w:divBdr>
            <w:top w:val="none" w:sz="0" w:space="0" w:color="auto"/>
            <w:left w:val="none" w:sz="0" w:space="0" w:color="auto"/>
            <w:bottom w:val="none" w:sz="0" w:space="0" w:color="auto"/>
            <w:right w:val="none" w:sz="0" w:space="0" w:color="auto"/>
          </w:divBdr>
        </w:div>
        <w:div w:id="819153229">
          <w:marLeft w:val="0"/>
          <w:marRight w:val="0"/>
          <w:marTop w:val="0"/>
          <w:marBottom w:val="0"/>
          <w:divBdr>
            <w:top w:val="none" w:sz="0" w:space="0" w:color="auto"/>
            <w:left w:val="none" w:sz="0" w:space="0" w:color="auto"/>
            <w:bottom w:val="none" w:sz="0" w:space="0" w:color="auto"/>
            <w:right w:val="none" w:sz="0" w:space="0" w:color="auto"/>
          </w:divBdr>
        </w:div>
        <w:div w:id="983966640">
          <w:marLeft w:val="0"/>
          <w:marRight w:val="0"/>
          <w:marTop w:val="0"/>
          <w:marBottom w:val="0"/>
          <w:divBdr>
            <w:top w:val="none" w:sz="0" w:space="0" w:color="auto"/>
            <w:left w:val="none" w:sz="0" w:space="0" w:color="auto"/>
            <w:bottom w:val="none" w:sz="0" w:space="0" w:color="auto"/>
            <w:right w:val="none" w:sz="0" w:space="0" w:color="auto"/>
          </w:divBdr>
        </w:div>
        <w:div w:id="989408111">
          <w:marLeft w:val="-75"/>
          <w:marRight w:val="0"/>
          <w:marTop w:val="30"/>
          <w:marBottom w:val="30"/>
          <w:divBdr>
            <w:top w:val="none" w:sz="0" w:space="0" w:color="auto"/>
            <w:left w:val="none" w:sz="0" w:space="0" w:color="auto"/>
            <w:bottom w:val="none" w:sz="0" w:space="0" w:color="auto"/>
            <w:right w:val="none" w:sz="0" w:space="0" w:color="auto"/>
          </w:divBdr>
          <w:divsChild>
            <w:div w:id="799154758">
              <w:marLeft w:val="0"/>
              <w:marRight w:val="0"/>
              <w:marTop w:val="0"/>
              <w:marBottom w:val="0"/>
              <w:divBdr>
                <w:top w:val="none" w:sz="0" w:space="0" w:color="auto"/>
                <w:left w:val="none" w:sz="0" w:space="0" w:color="auto"/>
                <w:bottom w:val="none" w:sz="0" w:space="0" w:color="auto"/>
                <w:right w:val="none" w:sz="0" w:space="0" w:color="auto"/>
              </w:divBdr>
              <w:divsChild>
                <w:div w:id="1724526103">
                  <w:marLeft w:val="0"/>
                  <w:marRight w:val="0"/>
                  <w:marTop w:val="0"/>
                  <w:marBottom w:val="0"/>
                  <w:divBdr>
                    <w:top w:val="none" w:sz="0" w:space="0" w:color="auto"/>
                    <w:left w:val="none" w:sz="0" w:space="0" w:color="auto"/>
                    <w:bottom w:val="none" w:sz="0" w:space="0" w:color="auto"/>
                    <w:right w:val="none" w:sz="0" w:space="0" w:color="auto"/>
                  </w:divBdr>
                </w:div>
              </w:divsChild>
            </w:div>
            <w:div w:id="979378561">
              <w:marLeft w:val="0"/>
              <w:marRight w:val="0"/>
              <w:marTop w:val="0"/>
              <w:marBottom w:val="0"/>
              <w:divBdr>
                <w:top w:val="none" w:sz="0" w:space="0" w:color="auto"/>
                <w:left w:val="none" w:sz="0" w:space="0" w:color="auto"/>
                <w:bottom w:val="none" w:sz="0" w:space="0" w:color="auto"/>
                <w:right w:val="none" w:sz="0" w:space="0" w:color="auto"/>
              </w:divBdr>
              <w:divsChild>
                <w:div w:id="668558138">
                  <w:marLeft w:val="0"/>
                  <w:marRight w:val="0"/>
                  <w:marTop w:val="0"/>
                  <w:marBottom w:val="0"/>
                  <w:divBdr>
                    <w:top w:val="none" w:sz="0" w:space="0" w:color="auto"/>
                    <w:left w:val="none" w:sz="0" w:space="0" w:color="auto"/>
                    <w:bottom w:val="none" w:sz="0" w:space="0" w:color="auto"/>
                    <w:right w:val="none" w:sz="0" w:space="0" w:color="auto"/>
                  </w:divBdr>
                </w:div>
                <w:div w:id="11401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1605">
          <w:marLeft w:val="0"/>
          <w:marRight w:val="0"/>
          <w:marTop w:val="0"/>
          <w:marBottom w:val="0"/>
          <w:divBdr>
            <w:top w:val="none" w:sz="0" w:space="0" w:color="auto"/>
            <w:left w:val="none" w:sz="0" w:space="0" w:color="auto"/>
            <w:bottom w:val="none" w:sz="0" w:space="0" w:color="auto"/>
            <w:right w:val="none" w:sz="0" w:space="0" w:color="auto"/>
          </w:divBdr>
        </w:div>
        <w:div w:id="1116371174">
          <w:marLeft w:val="0"/>
          <w:marRight w:val="0"/>
          <w:marTop w:val="0"/>
          <w:marBottom w:val="0"/>
          <w:divBdr>
            <w:top w:val="none" w:sz="0" w:space="0" w:color="auto"/>
            <w:left w:val="none" w:sz="0" w:space="0" w:color="auto"/>
            <w:bottom w:val="none" w:sz="0" w:space="0" w:color="auto"/>
            <w:right w:val="none" w:sz="0" w:space="0" w:color="auto"/>
          </w:divBdr>
        </w:div>
        <w:div w:id="1122457474">
          <w:marLeft w:val="-75"/>
          <w:marRight w:val="0"/>
          <w:marTop w:val="30"/>
          <w:marBottom w:val="30"/>
          <w:divBdr>
            <w:top w:val="none" w:sz="0" w:space="0" w:color="auto"/>
            <w:left w:val="none" w:sz="0" w:space="0" w:color="auto"/>
            <w:bottom w:val="none" w:sz="0" w:space="0" w:color="auto"/>
            <w:right w:val="none" w:sz="0" w:space="0" w:color="auto"/>
          </w:divBdr>
          <w:divsChild>
            <w:div w:id="446706801">
              <w:marLeft w:val="0"/>
              <w:marRight w:val="0"/>
              <w:marTop w:val="0"/>
              <w:marBottom w:val="0"/>
              <w:divBdr>
                <w:top w:val="none" w:sz="0" w:space="0" w:color="auto"/>
                <w:left w:val="none" w:sz="0" w:space="0" w:color="auto"/>
                <w:bottom w:val="none" w:sz="0" w:space="0" w:color="auto"/>
                <w:right w:val="none" w:sz="0" w:space="0" w:color="auto"/>
              </w:divBdr>
              <w:divsChild>
                <w:div w:id="338581347">
                  <w:marLeft w:val="0"/>
                  <w:marRight w:val="0"/>
                  <w:marTop w:val="0"/>
                  <w:marBottom w:val="0"/>
                  <w:divBdr>
                    <w:top w:val="none" w:sz="0" w:space="0" w:color="auto"/>
                    <w:left w:val="none" w:sz="0" w:space="0" w:color="auto"/>
                    <w:bottom w:val="none" w:sz="0" w:space="0" w:color="auto"/>
                    <w:right w:val="none" w:sz="0" w:space="0" w:color="auto"/>
                  </w:divBdr>
                </w:div>
              </w:divsChild>
            </w:div>
            <w:div w:id="1873153255">
              <w:marLeft w:val="0"/>
              <w:marRight w:val="0"/>
              <w:marTop w:val="0"/>
              <w:marBottom w:val="0"/>
              <w:divBdr>
                <w:top w:val="none" w:sz="0" w:space="0" w:color="auto"/>
                <w:left w:val="none" w:sz="0" w:space="0" w:color="auto"/>
                <w:bottom w:val="none" w:sz="0" w:space="0" w:color="auto"/>
                <w:right w:val="none" w:sz="0" w:space="0" w:color="auto"/>
              </w:divBdr>
              <w:divsChild>
                <w:div w:id="1450972124">
                  <w:marLeft w:val="0"/>
                  <w:marRight w:val="0"/>
                  <w:marTop w:val="0"/>
                  <w:marBottom w:val="0"/>
                  <w:divBdr>
                    <w:top w:val="none" w:sz="0" w:space="0" w:color="auto"/>
                    <w:left w:val="none" w:sz="0" w:space="0" w:color="auto"/>
                    <w:bottom w:val="none" w:sz="0" w:space="0" w:color="auto"/>
                    <w:right w:val="none" w:sz="0" w:space="0" w:color="auto"/>
                  </w:divBdr>
                </w:div>
                <w:div w:id="16999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344298">
          <w:marLeft w:val="0"/>
          <w:marRight w:val="0"/>
          <w:marTop w:val="0"/>
          <w:marBottom w:val="0"/>
          <w:divBdr>
            <w:top w:val="none" w:sz="0" w:space="0" w:color="auto"/>
            <w:left w:val="none" w:sz="0" w:space="0" w:color="auto"/>
            <w:bottom w:val="none" w:sz="0" w:space="0" w:color="auto"/>
            <w:right w:val="none" w:sz="0" w:space="0" w:color="auto"/>
          </w:divBdr>
        </w:div>
        <w:div w:id="1361321170">
          <w:marLeft w:val="0"/>
          <w:marRight w:val="0"/>
          <w:marTop w:val="0"/>
          <w:marBottom w:val="0"/>
          <w:divBdr>
            <w:top w:val="none" w:sz="0" w:space="0" w:color="auto"/>
            <w:left w:val="none" w:sz="0" w:space="0" w:color="auto"/>
            <w:bottom w:val="none" w:sz="0" w:space="0" w:color="auto"/>
            <w:right w:val="none" w:sz="0" w:space="0" w:color="auto"/>
          </w:divBdr>
        </w:div>
        <w:div w:id="1361971079">
          <w:marLeft w:val="0"/>
          <w:marRight w:val="0"/>
          <w:marTop w:val="0"/>
          <w:marBottom w:val="0"/>
          <w:divBdr>
            <w:top w:val="none" w:sz="0" w:space="0" w:color="auto"/>
            <w:left w:val="none" w:sz="0" w:space="0" w:color="auto"/>
            <w:bottom w:val="none" w:sz="0" w:space="0" w:color="auto"/>
            <w:right w:val="none" w:sz="0" w:space="0" w:color="auto"/>
          </w:divBdr>
        </w:div>
        <w:div w:id="1391223623">
          <w:marLeft w:val="0"/>
          <w:marRight w:val="0"/>
          <w:marTop w:val="0"/>
          <w:marBottom w:val="0"/>
          <w:divBdr>
            <w:top w:val="none" w:sz="0" w:space="0" w:color="auto"/>
            <w:left w:val="none" w:sz="0" w:space="0" w:color="auto"/>
            <w:bottom w:val="none" w:sz="0" w:space="0" w:color="auto"/>
            <w:right w:val="none" w:sz="0" w:space="0" w:color="auto"/>
          </w:divBdr>
        </w:div>
        <w:div w:id="1517035341">
          <w:marLeft w:val="0"/>
          <w:marRight w:val="0"/>
          <w:marTop w:val="0"/>
          <w:marBottom w:val="0"/>
          <w:divBdr>
            <w:top w:val="none" w:sz="0" w:space="0" w:color="auto"/>
            <w:left w:val="none" w:sz="0" w:space="0" w:color="auto"/>
            <w:bottom w:val="none" w:sz="0" w:space="0" w:color="auto"/>
            <w:right w:val="none" w:sz="0" w:space="0" w:color="auto"/>
          </w:divBdr>
        </w:div>
        <w:div w:id="1605769536">
          <w:marLeft w:val="0"/>
          <w:marRight w:val="0"/>
          <w:marTop w:val="0"/>
          <w:marBottom w:val="0"/>
          <w:divBdr>
            <w:top w:val="none" w:sz="0" w:space="0" w:color="auto"/>
            <w:left w:val="none" w:sz="0" w:space="0" w:color="auto"/>
            <w:bottom w:val="none" w:sz="0" w:space="0" w:color="auto"/>
            <w:right w:val="none" w:sz="0" w:space="0" w:color="auto"/>
          </w:divBdr>
        </w:div>
        <w:div w:id="1640643622">
          <w:marLeft w:val="0"/>
          <w:marRight w:val="0"/>
          <w:marTop w:val="0"/>
          <w:marBottom w:val="0"/>
          <w:divBdr>
            <w:top w:val="none" w:sz="0" w:space="0" w:color="auto"/>
            <w:left w:val="none" w:sz="0" w:space="0" w:color="auto"/>
            <w:bottom w:val="none" w:sz="0" w:space="0" w:color="auto"/>
            <w:right w:val="none" w:sz="0" w:space="0" w:color="auto"/>
          </w:divBdr>
        </w:div>
        <w:div w:id="1770463355">
          <w:marLeft w:val="0"/>
          <w:marRight w:val="0"/>
          <w:marTop w:val="0"/>
          <w:marBottom w:val="0"/>
          <w:divBdr>
            <w:top w:val="none" w:sz="0" w:space="0" w:color="auto"/>
            <w:left w:val="none" w:sz="0" w:space="0" w:color="auto"/>
            <w:bottom w:val="none" w:sz="0" w:space="0" w:color="auto"/>
            <w:right w:val="none" w:sz="0" w:space="0" w:color="auto"/>
          </w:divBdr>
        </w:div>
        <w:div w:id="1838572060">
          <w:marLeft w:val="0"/>
          <w:marRight w:val="0"/>
          <w:marTop w:val="0"/>
          <w:marBottom w:val="0"/>
          <w:divBdr>
            <w:top w:val="none" w:sz="0" w:space="0" w:color="auto"/>
            <w:left w:val="none" w:sz="0" w:space="0" w:color="auto"/>
            <w:bottom w:val="none" w:sz="0" w:space="0" w:color="auto"/>
            <w:right w:val="none" w:sz="0" w:space="0" w:color="auto"/>
          </w:divBdr>
        </w:div>
        <w:div w:id="1914729459">
          <w:marLeft w:val="0"/>
          <w:marRight w:val="0"/>
          <w:marTop w:val="0"/>
          <w:marBottom w:val="0"/>
          <w:divBdr>
            <w:top w:val="none" w:sz="0" w:space="0" w:color="auto"/>
            <w:left w:val="none" w:sz="0" w:space="0" w:color="auto"/>
            <w:bottom w:val="none" w:sz="0" w:space="0" w:color="auto"/>
            <w:right w:val="none" w:sz="0" w:space="0" w:color="auto"/>
          </w:divBdr>
        </w:div>
      </w:divsChild>
    </w:div>
    <w:div w:id="1559705371">
      <w:marLeft w:val="480"/>
      <w:marRight w:val="0"/>
      <w:marTop w:val="0"/>
      <w:marBottom w:val="0"/>
      <w:divBdr>
        <w:top w:val="none" w:sz="0" w:space="0" w:color="auto"/>
        <w:left w:val="none" w:sz="0" w:space="0" w:color="auto"/>
        <w:bottom w:val="none" w:sz="0" w:space="0" w:color="auto"/>
        <w:right w:val="none" w:sz="0" w:space="0" w:color="auto"/>
      </w:divBdr>
    </w:div>
    <w:div w:id="1560290765">
      <w:marLeft w:val="480"/>
      <w:marRight w:val="0"/>
      <w:marTop w:val="0"/>
      <w:marBottom w:val="0"/>
      <w:divBdr>
        <w:top w:val="none" w:sz="0" w:space="0" w:color="auto"/>
        <w:left w:val="none" w:sz="0" w:space="0" w:color="auto"/>
        <w:bottom w:val="none" w:sz="0" w:space="0" w:color="auto"/>
        <w:right w:val="none" w:sz="0" w:space="0" w:color="auto"/>
      </w:divBdr>
    </w:div>
    <w:div w:id="1561207969">
      <w:marLeft w:val="480"/>
      <w:marRight w:val="0"/>
      <w:marTop w:val="0"/>
      <w:marBottom w:val="0"/>
      <w:divBdr>
        <w:top w:val="none" w:sz="0" w:space="0" w:color="auto"/>
        <w:left w:val="none" w:sz="0" w:space="0" w:color="auto"/>
        <w:bottom w:val="none" w:sz="0" w:space="0" w:color="auto"/>
        <w:right w:val="none" w:sz="0" w:space="0" w:color="auto"/>
      </w:divBdr>
    </w:div>
    <w:div w:id="1561864381">
      <w:marLeft w:val="480"/>
      <w:marRight w:val="0"/>
      <w:marTop w:val="0"/>
      <w:marBottom w:val="0"/>
      <w:divBdr>
        <w:top w:val="none" w:sz="0" w:space="0" w:color="auto"/>
        <w:left w:val="none" w:sz="0" w:space="0" w:color="auto"/>
        <w:bottom w:val="none" w:sz="0" w:space="0" w:color="auto"/>
        <w:right w:val="none" w:sz="0" w:space="0" w:color="auto"/>
      </w:divBdr>
    </w:div>
    <w:div w:id="1562717922">
      <w:bodyDiv w:val="1"/>
      <w:marLeft w:val="0"/>
      <w:marRight w:val="0"/>
      <w:marTop w:val="0"/>
      <w:marBottom w:val="0"/>
      <w:divBdr>
        <w:top w:val="none" w:sz="0" w:space="0" w:color="auto"/>
        <w:left w:val="none" w:sz="0" w:space="0" w:color="auto"/>
        <w:bottom w:val="none" w:sz="0" w:space="0" w:color="auto"/>
        <w:right w:val="none" w:sz="0" w:space="0" w:color="auto"/>
      </w:divBdr>
    </w:div>
    <w:div w:id="1562908825">
      <w:marLeft w:val="480"/>
      <w:marRight w:val="0"/>
      <w:marTop w:val="0"/>
      <w:marBottom w:val="0"/>
      <w:divBdr>
        <w:top w:val="none" w:sz="0" w:space="0" w:color="auto"/>
        <w:left w:val="none" w:sz="0" w:space="0" w:color="auto"/>
        <w:bottom w:val="none" w:sz="0" w:space="0" w:color="auto"/>
        <w:right w:val="none" w:sz="0" w:space="0" w:color="auto"/>
      </w:divBdr>
    </w:div>
    <w:div w:id="1564945642">
      <w:bodyDiv w:val="1"/>
      <w:marLeft w:val="0"/>
      <w:marRight w:val="0"/>
      <w:marTop w:val="0"/>
      <w:marBottom w:val="0"/>
      <w:divBdr>
        <w:top w:val="none" w:sz="0" w:space="0" w:color="auto"/>
        <w:left w:val="none" w:sz="0" w:space="0" w:color="auto"/>
        <w:bottom w:val="none" w:sz="0" w:space="0" w:color="auto"/>
        <w:right w:val="none" w:sz="0" w:space="0" w:color="auto"/>
      </w:divBdr>
    </w:div>
    <w:div w:id="1566337511">
      <w:marLeft w:val="480"/>
      <w:marRight w:val="0"/>
      <w:marTop w:val="0"/>
      <w:marBottom w:val="0"/>
      <w:divBdr>
        <w:top w:val="none" w:sz="0" w:space="0" w:color="auto"/>
        <w:left w:val="none" w:sz="0" w:space="0" w:color="auto"/>
        <w:bottom w:val="none" w:sz="0" w:space="0" w:color="auto"/>
        <w:right w:val="none" w:sz="0" w:space="0" w:color="auto"/>
      </w:divBdr>
    </w:div>
    <w:div w:id="1568107665">
      <w:marLeft w:val="480"/>
      <w:marRight w:val="0"/>
      <w:marTop w:val="0"/>
      <w:marBottom w:val="0"/>
      <w:divBdr>
        <w:top w:val="none" w:sz="0" w:space="0" w:color="auto"/>
        <w:left w:val="none" w:sz="0" w:space="0" w:color="auto"/>
        <w:bottom w:val="none" w:sz="0" w:space="0" w:color="auto"/>
        <w:right w:val="none" w:sz="0" w:space="0" w:color="auto"/>
      </w:divBdr>
    </w:div>
    <w:div w:id="1569919995">
      <w:marLeft w:val="480"/>
      <w:marRight w:val="0"/>
      <w:marTop w:val="0"/>
      <w:marBottom w:val="0"/>
      <w:divBdr>
        <w:top w:val="none" w:sz="0" w:space="0" w:color="auto"/>
        <w:left w:val="none" w:sz="0" w:space="0" w:color="auto"/>
        <w:bottom w:val="none" w:sz="0" w:space="0" w:color="auto"/>
        <w:right w:val="none" w:sz="0" w:space="0" w:color="auto"/>
      </w:divBdr>
    </w:div>
    <w:div w:id="1570457895">
      <w:marLeft w:val="480"/>
      <w:marRight w:val="0"/>
      <w:marTop w:val="0"/>
      <w:marBottom w:val="0"/>
      <w:divBdr>
        <w:top w:val="none" w:sz="0" w:space="0" w:color="auto"/>
        <w:left w:val="none" w:sz="0" w:space="0" w:color="auto"/>
        <w:bottom w:val="none" w:sz="0" w:space="0" w:color="auto"/>
        <w:right w:val="none" w:sz="0" w:space="0" w:color="auto"/>
      </w:divBdr>
    </w:div>
    <w:div w:id="1571228619">
      <w:marLeft w:val="480"/>
      <w:marRight w:val="0"/>
      <w:marTop w:val="0"/>
      <w:marBottom w:val="0"/>
      <w:divBdr>
        <w:top w:val="none" w:sz="0" w:space="0" w:color="auto"/>
        <w:left w:val="none" w:sz="0" w:space="0" w:color="auto"/>
        <w:bottom w:val="none" w:sz="0" w:space="0" w:color="auto"/>
        <w:right w:val="none" w:sz="0" w:space="0" w:color="auto"/>
      </w:divBdr>
    </w:div>
    <w:div w:id="1573388729">
      <w:marLeft w:val="480"/>
      <w:marRight w:val="0"/>
      <w:marTop w:val="0"/>
      <w:marBottom w:val="0"/>
      <w:divBdr>
        <w:top w:val="none" w:sz="0" w:space="0" w:color="auto"/>
        <w:left w:val="none" w:sz="0" w:space="0" w:color="auto"/>
        <w:bottom w:val="none" w:sz="0" w:space="0" w:color="auto"/>
        <w:right w:val="none" w:sz="0" w:space="0" w:color="auto"/>
      </w:divBdr>
    </w:div>
    <w:div w:id="1575823505">
      <w:marLeft w:val="480"/>
      <w:marRight w:val="0"/>
      <w:marTop w:val="0"/>
      <w:marBottom w:val="0"/>
      <w:divBdr>
        <w:top w:val="none" w:sz="0" w:space="0" w:color="auto"/>
        <w:left w:val="none" w:sz="0" w:space="0" w:color="auto"/>
        <w:bottom w:val="none" w:sz="0" w:space="0" w:color="auto"/>
        <w:right w:val="none" w:sz="0" w:space="0" w:color="auto"/>
      </w:divBdr>
    </w:div>
    <w:div w:id="1576166460">
      <w:marLeft w:val="480"/>
      <w:marRight w:val="0"/>
      <w:marTop w:val="0"/>
      <w:marBottom w:val="0"/>
      <w:divBdr>
        <w:top w:val="none" w:sz="0" w:space="0" w:color="auto"/>
        <w:left w:val="none" w:sz="0" w:space="0" w:color="auto"/>
        <w:bottom w:val="none" w:sz="0" w:space="0" w:color="auto"/>
        <w:right w:val="none" w:sz="0" w:space="0" w:color="auto"/>
      </w:divBdr>
    </w:div>
    <w:div w:id="1577400843">
      <w:marLeft w:val="480"/>
      <w:marRight w:val="0"/>
      <w:marTop w:val="0"/>
      <w:marBottom w:val="0"/>
      <w:divBdr>
        <w:top w:val="none" w:sz="0" w:space="0" w:color="auto"/>
        <w:left w:val="none" w:sz="0" w:space="0" w:color="auto"/>
        <w:bottom w:val="none" w:sz="0" w:space="0" w:color="auto"/>
        <w:right w:val="none" w:sz="0" w:space="0" w:color="auto"/>
      </w:divBdr>
    </w:div>
    <w:div w:id="1578780499">
      <w:marLeft w:val="480"/>
      <w:marRight w:val="0"/>
      <w:marTop w:val="0"/>
      <w:marBottom w:val="0"/>
      <w:divBdr>
        <w:top w:val="none" w:sz="0" w:space="0" w:color="auto"/>
        <w:left w:val="none" w:sz="0" w:space="0" w:color="auto"/>
        <w:bottom w:val="none" w:sz="0" w:space="0" w:color="auto"/>
        <w:right w:val="none" w:sz="0" w:space="0" w:color="auto"/>
      </w:divBdr>
    </w:div>
    <w:div w:id="1580821077">
      <w:marLeft w:val="480"/>
      <w:marRight w:val="0"/>
      <w:marTop w:val="0"/>
      <w:marBottom w:val="0"/>
      <w:divBdr>
        <w:top w:val="none" w:sz="0" w:space="0" w:color="auto"/>
        <w:left w:val="none" w:sz="0" w:space="0" w:color="auto"/>
        <w:bottom w:val="none" w:sz="0" w:space="0" w:color="auto"/>
        <w:right w:val="none" w:sz="0" w:space="0" w:color="auto"/>
      </w:divBdr>
    </w:div>
    <w:div w:id="1580868398">
      <w:marLeft w:val="480"/>
      <w:marRight w:val="0"/>
      <w:marTop w:val="0"/>
      <w:marBottom w:val="0"/>
      <w:divBdr>
        <w:top w:val="none" w:sz="0" w:space="0" w:color="auto"/>
        <w:left w:val="none" w:sz="0" w:space="0" w:color="auto"/>
        <w:bottom w:val="none" w:sz="0" w:space="0" w:color="auto"/>
        <w:right w:val="none" w:sz="0" w:space="0" w:color="auto"/>
      </w:divBdr>
    </w:div>
    <w:div w:id="1584954142">
      <w:marLeft w:val="480"/>
      <w:marRight w:val="0"/>
      <w:marTop w:val="0"/>
      <w:marBottom w:val="0"/>
      <w:divBdr>
        <w:top w:val="none" w:sz="0" w:space="0" w:color="auto"/>
        <w:left w:val="none" w:sz="0" w:space="0" w:color="auto"/>
        <w:bottom w:val="none" w:sz="0" w:space="0" w:color="auto"/>
        <w:right w:val="none" w:sz="0" w:space="0" w:color="auto"/>
      </w:divBdr>
    </w:div>
    <w:div w:id="1587571083">
      <w:marLeft w:val="480"/>
      <w:marRight w:val="0"/>
      <w:marTop w:val="0"/>
      <w:marBottom w:val="0"/>
      <w:divBdr>
        <w:top w:val="none" w:sz="0" w:space="0" w:color="auto"/>
        <w:left w:val="none" w:sz="0" w:space="0" w:color="auto"/>
        <w:bottom w:val="none" w:sz="0" w:space="0" w:color="auto"/>
        <w:right w:val="none" w:sz="0" w:space="0" w:color="auto"/>
      </w:divBdr>
    </w:div>
    <w:div w:id="1588228850">
      <w:marLeft w:val="480"/>
      <w:marRight w:val="0"/>
      <w:marTop w:val="0"/>
      <w:marBottom w:val="0"/>
      <w:divBdr>
        <w:top w:val="none" w:sz="0" w:space="0" w:color="auto"/>
        <w:left w:val="none" w:sz="0" w:space="0" w:color="auto"/>
        <w:bottom w:val="none" w:sz="0" w:space="0" w:color="auto"/>
        <w:right w:val="none" w:sz="0" w:space="0" w:color="auto"/>
      </w:divBdr>
    </w:div>
    <w:div w:id="1590238517">
      <w:bodyDiv w:val="1"/>
      <w:marLeft w:val="0"/>
      <w:marRight w:val="0"/>
      <w:marTop w:val="0"/>
      <w:marBottom w:val="0"/>
      <w:divBdr>
        <w:top w:val="none" w:sz="0" w:space="0" w:color="auto"/>
        <w:left w:val="none" w:sz="0" w:space="0" w:color="auto"/>
        <w:bottom w:val="none" w:sz="0" w:space="0" w:color="auto"/>
        <w:right w:val="none" w:sz="0" w:space="0" w:color="auto"/>
      </w:divBdr>
    </w:div>
    <w:div w:id="1590386555">
      <w:marLeft w:val="480"/>
      <w:marRight w:val="0"/>
      <w:marTop w:val="0"/>
      <w:marBottom w:val="0"/>
      <w:divBdr>
        <w:top w:val="none" w:sz="0" w:space="0" w:color="auto"/>
        <w:left w:val="none" w:sz="0" w:space="0" w:color="auto"/>
        <w:bottom w:val="none" w:sz="0" w:space="0" w:color="auto"/>
        <w:right w:val="none" w:sz="0" w:space="0" w:color="auto"/>
      </w:divBdr>
    </w:div>
    <w:div w:id="1590770123">
      <w:marLeft w:val="480"/>
      <w:marRight w:val="0"/>
      <w:marTop w:val="0"/>
      <w:marBottom w:val="0"/>
      <w:divBdr>
        <w:top w:val="none" w:sz="0" w:space="0" w:color="auto"/>
        <w:left w:val="none" w:sz="0" w:space="0" w:color="auto"/>
        <w:bottom w:val="none" w:sz="0" w:space="0" w:color="auto"/>
        <w:right w:val="none" w:sz="0" w:space="0" w:color="auto"/>
      </w:divBdr>
    </w:div>
    <w:div w:id="1592548298">
      <w:marLeft w:val="480"/>
      <w:marRight w:val="0"/>
      <w:marTop w:val="0"/>
      <w:marBottom w:val="0"/>
      <w:divBdr>
        <w:top w:val="none" w:sz="0" w:space="0" w:color="auto"/>
        <w:left w:val="none" w:sz="0" w:space="0" w:color="auto"/>
        <w:bottom w:val="none" w:sz="0" w:space="0" w:color="auto"/>
        <w:right w:val="none" w:sz="0" w:space="0" w:color="auto"/>
      </w:divBdr>
    </w:div>
    <w:div w:id="1593319209">
      <w:marLeft w:val="480"/>
      <w:marRight w:val="0"/>
      <w:marTop w:val="0"/>
      <w:marBottom w:val="0"/>
      <w:divBdr>
        <w:top w:val="none" w:sz="0" w:space="0" w:color="auto"/>
        <w:left w:val="none" w:sz="0" w:space="0" w:color="auto"/>
        <w:bottom w:val="none" w:sz="0" w:space="0" w:color="auto"/>
        <w:right w:val="none" w:sz="0" w:space="0" w:color="auto"/>
      </w:divBdr>
    </w:div>
    <w:div w:id="1593511638">
      <w:marLeft w:val="480"/>
      <w:marRight w:val="0"/>
      <w:marTop w:val="0"/>
      <w:marBottom w:val="0"/>
      <w:divBdr>
        <w:top w:val="none" w:sz="0" w:space="0" w:color="auto"/>
        <w:left w:val="none" w:sz="0" w:space="0" w:color="auto"/>
        <w:bottom w:val="none" w:sz="0" w:space="0" w:color="auto"/>
        <w:right w:val="none" w:sz="0" w:space="0" w:color="auto"/>
      </w:divBdr>
    </w:div>
    <w:div w:id="1597589824">
      <w:marLeft w:val="480"/>
      <w:marRight w:val="0"/>
      <w:marTop w:val="0"/>
      <w:marBottom w:val="0"/>
      <w:divBdr>
        <w:top w:val="none" w:sz="0" w:space="0" w:color="auto"/>
        <w:left w:val="none" w:sz="0" w:space="0" w:color="auto"/>
        <w:bottom w:val="none" w:sz="0" w:space="0" w:color="auto"/>
        <w:right w:val="none" w:sz="0" w:space="0" w:color="auto"/>
      </w:divBdr>
    </w:div>
    <w:div w:id="1599558063">
      <w:marLeft w:val="480"/>
      <w:marRight w:val="0"/>
      <w:marTop w:val="0"/>
      <w:marBottom w:val="0"/>
      <w:divBdr>
        <w:top w:val="none" w:sz="0" w:space="0" w:color="auto"/>
        <w:left w:val="none" w:sz="0" w:space="0" w:color="auto"/>
        <w:bottom w:val="none" w:sz="0" w:space="0" w:color="auto"/>
        <w:right w:val="none" w:sz="0" w:space="0" w:color="auto"/>
      </w:divBdr>
    </w:div>
    <w:div w:id="1601376525">
      <w:marLeft w:val="480"/>
      <w:marRight w:val="0"/>
      <w:marTop w:val="0"/>
      <w:marBottom w:val="0"/>
      <w:divBdr>
        <w:top w:val="none" w:sz="0" w:space="0" w:color="auto"/>
        <w:left w:val="none" w:sz="0" w:space="0" w:color="auto"/>
        <w:bottom w:val="none" w:sz="0" w:space="0" w:color="auto"/>
        <w:right w:val="none" w:sz="0" w:space="0" w:color="auto"/>
      </w:divBdr>
    </w:div>
    <w:div w:id="1603293689">
      <w:bodyDiv w:val="1"/>
      <w:marLeft w:val="0"/>
      <w:marRight w:val="0"/>
      <w:marTop w:val="0"/>
      <w:marBottom w:val="0"/>
      <w:divBdr>
        <w:top w:val="none" w:sz="0" w:space="0" w:color="auto"/>
        <w:left w:val="none" w:sz="0" w:space="0" w:color="auto"/>
        <w:bottom w:val="none" w:sz="0" w:space="0" w:color="auto"/>
        <w:right w:val="none" w:sz="0" w:space="0" w:color="auto"/>
      </w:divBdr>
      <w:divsChild>
        <w:div w:id="208223922">
          <w:marLeft w:val="0"/>
          <w:marRight w:val="0"/>
          <w:marTop w:val="0"/>
          <w:marBottom w:val="0"/>
          <w:divBdr>
            <w:top w:val="none" w:sz="0" w:space="0" w:color="auto"/>
            <w:left w:val="none" w:sz="0" w:space="0" w:color="auto"/>
            <w:bottom w:val="none" w:sz="0" w:space="0" w:color="auto"/>
            <w:right w:val="none" w:sz="0" w:space="0" w:color="auto"/>
          </w:divBdr>
          <w:divsChild>
            <w:div w:id="1379207652">
              <w:marLeft w:val="0"/>
              <w:marRight w:val="0"/>
              <w:marTop w:val="0"/>
              <w:marBottom w:val="0"/>
              <w:divBdr>
                <w:top w:val="none" w:sz="0" w:space="0" w:color="auto"/>
                <w:left w:val="none" w:sz="0" w:space="0" w:color="auto"/>
                <w:bottom w:val="none" w:sz="0" w:space="0" w:color="auto"/>
                <w:right w:val="none" w:sz="0" w:space="0" w:color="auto"/>
              </w:divBdr>
            </w:div>
          </w:divsChild>
        </w:div>
        <w:div w:id="480387582">
          <w:marLeft w:val="0"/>
          <w:marRight w:val="0"/>
          <w:marTop w:val="0"/>
          <w:marBottom w:val="0"/>
          <w:divBdr>
            <w:top w:val="none" w:sz="0" w:space="0" w:color="auto"/>
            <w:left w:val="none" w:sz="0" w:space="0" w:color="auto"/>
            <w:bottom w:val="none" w:sz="0" w:space="0" w:color="auto"/>
            <w:right w:val="none" w:sz="0" w:space="0" w:color="auto"/>
          </w:divBdr>
          <w:divsChild>
            <w:div w:id="1785730374">
              <w:marLeft w:val="0"/>
              <w:marRight w:val="0"/>
              <w:marTop w:val="0"/>
              <w:marBottom w:val="0"/>
              <w:divBdr>
                <w:top w:val="none" w:sz="0" w:space="0" w:color="auto"/>
                <w:left w:val="none" w:sz="0" w:space="0" w:color="auto"/>
                <w:bottom w:val="none" w:sz="0" w:space="0" w:color="auto"/>
                <w:right w:val="none" w:sz="0" w:space="0" w:color="auto"/>
              </w:divBdr>
            </w:div>
          </w:divsChild>
        </w:div>
        <w:div w:id="626669022">
          <w:marLeft w:val="0"/>
          <w:marRight w:val="0"/>
          <w:marTop w:val="0"/>
          <w:marBottom w:val="0"/>
          <w:divBdr>
            <w:top w:val="none" w:sz="0" w:space="0" w:color="auto"/>
            <w:left w:val="none" w:sz="0" w:space="0" w:color="auto"/>
            <w:bottom w:val="none" w:sz="0" w:space="0" w:color="auto"/>
            <w:right w:val="none" w:sz="0" w:space="0" w:color="auto"/>
          </w:divBdr>
          <w:divsChild>
            <w:div w:id="1690059635">
              <w:marLeft w:val="0"/>
              <w:marRight w:val="0"/>
              <w:marTop w:val="0"/>
              <w:marBottom w:val="0"/>
              <w:divBdr>
                <w:top w:val="none" w:sz="0" w:space="0" w:color="auto"/>
                <w:left w:val="none" w:sz="0" w:space="0" w:color="auto"/>
                <w:bottom w:val="none" w:sz="0" w:space="0" w:color="auto"/>
                <w:right w:val="none" w:sz="0" w:space="0" w:color="auto"/>
              </w:divBdr>
            </w:div>
          </w:divsChild>
        </w:div>
        <w:div w:id="674768701">
          <w:marLeft w:val="0"/>
          <w:marRight w:val="0"/>
          <w:marTop w:val="0"/>
          <w:marBottom w:val="0"/>
          <w:divBdr>
            <w:top w:val="none" w:sz="0" w:space="0" w:color="auto"/>
            <w:left w:val="none" w:sz="0" w:space="0" w:color="auto"/>
            <w:bottom w:val="none" w:sz="0" w:space="0" w:color="auto"/>
            <w:right w:val="none" w:sz="0" w:space="0" w:color="auto"/>
          </w:divBdr>
          <w:divsChild>
            <w:div w:id="1960407779">
              <w:marLeft w:val="0"/>
              <w:marRight w:val="0"/>
              <w:marTop w:val="0"/>
              <w:marBottom w:val="0"/>
              <w:divBdr>
                <w:top w:val="none" w:sz="0" w:space="0" w:color="auto"/>
                <w:left w:val="none" w:sz="0" w:space="0" w:color="auto"/>
                <w:bottom w:val="none" w:sz="0" w:space="0" w:color="auto"/>
                <w:right w:val="none" w:sz="0" w:space="0" w:color="auto"/>
              </w:divBdr>
            </w:div>
          </w:divsChild>
        </w:div>
        <w:div w:id="781723488">
          <w:marLeft w:val="0"/>
          <w:marRight w:val="0"/>
          <w:marTop w:val="0"/>
          <w:marBottom w:val="0"/>
          <w:divBdr>
            <w:top w:val="none" w:sz="0" w:space="0" w:color="auto"/>
            <w:left w:val="none" w:sz="0" w:space="0" w:color="auto"/>
            <w:bottom w:val="none" w:sz="0" w:space="0" w:color="auto"/>
            <w:right w:val="none" w:sz="0" w:space="0" w:color="auto"/>
          </w:divBdr>
          <w:divsChild>
            <w:div w:id="756364790">
              <w:marLeft w:val="0"/>
              <w:marRight w:val="0"/>
              <w:marTop w:val="0"/>
              <w:marBottom w:val="0"/>
              <w:divBdr>
                <w:top w:val="none" w:sz="0" w:space="0" w:color="auto"/>
                <w:left w:val="none" w:sz="0" w:space="0" w:color="auto"/>
                <w:bottom w:val="none" w:sz="0" w:space="0" w:color="auto"/>
                <w:right w:val="none" w:sz="0" w:space="0" w:color="auto"/>
              </w:divBdr>
            </w:div>
          </w:divsChild>
        </w:div>
        <w:div w:id="896747732">
          <w:marLeft w:val="0"/>
          <w:marRight w:val="0"/>
          <w:marTop w:val="0"/>
          <w:marBottom w:val="0"/>
          <w:divBdr>
            <w:top w:val="none" w:sz="0" w:space="0" w:color="auto"/>
            <w:left w:val="none" w:sz="0" w:space="0" w:color="auto"/>
            <w:bottom w:val="none" w:sz="0" w:space="0" w:color="auto"/>
            <w:right w:val="none" w:sz="0" w:space="0" w:color="auto"/>
          </w:divBdr>
          <w:divsChild>
            <w:div w:id="1569681327">
              <w:marLeft w:val="0"/>
              <w:marRight w:val="0"/>
              <w:marTop w:val="0"/>
              <w:marBottom w:val="0"/>
              <w:divBdr>
                <w:top w:val="none" w:sz="0" w:space="0" w:color="auto"/>
                <w:left w:val="none" w:sz="0" w:space="0" w:color="auto"/>
                <w:bottom w:val="none" w:sz="0" w:space="0" w:color="auto"/>
                <w:right w:val="none" w:sz="0" w:space="0" w:color="auto"/>
              </w:divBdr>
            </w:div>
          </w:divsChild>
        </w:div>
        <w:div w:id="1453209810">
          <w:marLeft w:val="0"/>
          <w:marRight w:val="0"/>
          <w:marTop w:val="0"/>
          <w:marBottom w:val="0"/>
          <w:divBdr>
            <w:top w:val="none" w:sz="0" w:space="0" w:color="auto"/>
            <w:left w:val="none" w:sz="0" w:space="0" w:color="auto"/>
            <w:bottom w:val="none" w:sz="0" w:space="0" w:color="auto"/>
            <w:right w:val="none" w:sz="0" w:space="0" w:color="auto"/>
          </w:divBdr>
          <w:divsChild>
            <w:div w:id="552276245">
              <w:marLeft w:val="0"/>
              <w:marRight w:val="0"/>
              <w:marTop w:val="0"/>
              <w:marBottom w:val="0"/>
              <w:divBdr>
                <w:top w:val="none" w:sz="0" w:space="0" w:color="auto"/>
                <w:left w:val="none" w:sz="0" w:space="0" w:color="auto"/>
                <w:bottom w:val="none" w:sz="0" w:space="0" w:color="auto"/>
                <w:right w:val="none" w:sz="0" w:space="0" w:color="auto"/>
              </w:divBdr>
            </w:div>
          </w:divsChild>
        </w:div>
        <w:div w:id="1465083006">
          <w:marLeft w:val="0"/>
          <w:marRight w:val="0"/>
          <w:marTop w:val="0"/>
          <w:marBottom w:val="0"/>
          <w:divBdr>
            <w:top w:val="none" w:sz="0" w:space="0" w:color="auto"/>
            <w:left w:val="none" w:sz="0" w:space="0" w:color="auto"/>
            <w:bottom w:val="none" w:sz="0" w:space="0" w:color="auto"/>
            <w:right w:val="none" w:sz="0" w:space="0" w:color="auto"/>
          </w:divBdr>
          <w:divsChild>
            <w:div w:id="463429417">
              <w:marLeft w:val="0"/>
              <w:marRight w:val="0"/>
              <w:marTop w:val="0"/>
              <w:marBottom w:val="0"/>
              <w:divBdr>
                <w:top w:val="none" w:sz="0" w:space="0" w:color="auto"/>
                <w:left w:val="none" w:sz="0" w:space="0" w:color="auto"/>
                <w:bottom w:val="none" w:sz="0" w:space="0" w:color="auto"/>
                <w:right w:val="none" w:sz="0" w:space="0" w:color="auto"/>
              </w:divBdr>
            </w:div>
          </w:divsChild>
        </w:div>
        <w:div w:id="1543329050">
          <w:marLeft w:val="0"/>
          <w:marRight w:val="0"/>
          <w:marTop w:val="0"/>
          <w:marBottom w:val="0"/>
          <w:divBdr>
            <w:top w:val="none" w:sz="0" w:space="0" w:color="auto"/>
            <w:left w:val="none" w:sz="0" w:space="0" w:color="auto"/>
            <w:bottom w:val="none" w:sz="0" w:space="0" w:color="auto"/>
            <w:right w:val="none" w:sz="0" w:space="0" w:color="auto"/>
          </w:divBdr>
          <w:divsChild>
            <w:div w:id="714738811">
              <w:marLeft w:val="0"/>
              <w:marRight w:val="0"/>
              <w:marTop w:val="0"/>
              <w:marBottom w:val="0"/>
              <w:divBdr>
                <w:top w:val="none" w:sz="0" w:space="0" w:color="auto"/>
                <w:left w:val="none" w:sz="0" w:space="0" w:color="auto"/>
                <w:bottom w:val="none" w:sz="0" w:space="0" w:color="auto"/>
                <w:right w:val="none" w:sz="0" w:space="0" w:color="auto"/>
              </w:divBdr>
            </w:div>
          </w:divsChild>
        </w:div>
        <w:div w:id="1634293138">
          <w:marLeft w:val="0"/>
          <w:marRight w:val="0"/>
          <w:marTop w:val="0"/>
          <w:marBottom w:val="0"/>
          <w:divBdr>
            <w:top w:val="none" w:sz="0" w:space="0" w:color="auto"/>
            <w:left w:val="none" w:sz="0" w:space="0" w:color="auto"/>
            <w:bottom w:val="none" w:sz="0" w:space="0" w:color="auto"/>
            <w:right w:val="none" w:sz="0" w:space="0" w:color="auto"/>
          </w:divBdr>
          <w:divsChild>
            <w:div w:id="273445538">
              <w:marLeft w:val="0"/>
              <w:marRight w:val="0"/>
              <w:marTop w:val="0"/>
              <w:marBottom w:val="0"/>
              <w:divBdr>
                <w:top w:val="none" w:sz="0" w:space="0" w:color="auto"/>
                <w:left w:val="none" w:sz="0" w:space="0" w:color="auto"/>
                <w:bottom w:val="none" w:sz="0" w:space="0" w:color="auto"/>
                <w:right w:val="none" w:sz="0" w:space="0" w:color="auto"/>
              </w:divBdr>
            </w:div>
          </w:divsChild>
        </w:div>
        <w:div w:id="1650085813">
          <w:marLeft w:val="0"/>
          <w:marRight w:val="0"/>
          <w:marTop w:val="0"/>
          <w:marBottom w:val="0"/>
          <w:divBdr>
            <w:top w:val="none" w:sz="0" w:space="0" w:color="auto"/>
            <w:left w:val="none" w:sz="0" w:space="0" w:color="auto"/>
            <w:bottom w:val="none" w:sz="0" w:space="0" w:color="auto"/>
            <w:right w:val="none" w:sz="0" w:space="0" w:color="auto"/>
          </w:divBdr>
          <w:divsChild>
            <w:div w:id="367727666">
              <w:marLeft w:val="0"/>
              <w:marRight w:val="0"/>
              <w:marTop w:val="0"/>
              <w:marBottom w:val="0"/>
              <w:divBdr>
                <w:top w:val="none" w:sz="0" w:space="0" w:color="auto"/>
                <w:left w:val="none" w:sz="0" w:space="0" w:color="auto"/>
                <w:bottom w:val="none" w:sz="0" w:space="0" w:color="auto"/>
                <w:right w:val="none" w:sz="0" w:space="0" w:color="auto"/>
              </w:divBdr>
            </w:div>
          </w:divsChild>
        </w:div>
        <w:div w:id="1846020583">
          <w:marLeft w:val="0"/>
          <w:marRight w:val="0"/>
          <w:marTop w:val="0"/>
          <w:marBottom w:val="0"/>
          <w:divBdr>
            <w:top w:val="none" w:sz="0" w:space="0" w:color="auto"/>
            <w:left w:val="none" w:sz="0" w:space="0" w:color="auto"/>
            <w:bottom w:val="none" w:sz="0" w:space="0" w:color="auto"/>
            <w:right w:val="none" w:sz="0" w:space="0" w:color="auto"/>
          </w:divBdr>
          <w:divsChild>
            <w:div w:id="1902984906">
              <w:marLeft w:val="0"/>
              <w:marRight w:val="0"/>
              <w:marTop w:val="0"/>
              <w:marBottom w:val="0"/>
              <w:divBdr>
                <w:top w:val="none" w:sz="0" w:space="0" w:color="auto"/>
                <w:left w:val="none" w:sz="0" w:space="0" w:color="auto"/>
                <w:bottom w:val="none" w:sz="0" w:space="0" w:color="auto"/>
                <w:right w:val="none" w:sz="0" w:space="0" w:color="auto"/>
              </w:divBdr>
            </w:div>
          </w:divsChild>
        </w:div>
        <w:div w:id="2112387288">
          <w:marLeft w:val="0"/>
          <w:marRight w:val="0"/>
          <w:marTop w:val="0"/>
          <w:marBottom w:val="0"/>
          <w:divBdr>
            <w:top w:val="none" w:sz="0" w:space="0" w:color="auto"/>
            <w:left w:val="none" w:sz="0" w:space="0" w:color="auto"/>
            <w:bottom w:val="none" w:sz="0" w:space="0" w:color="auto"/>
            <w:right w:val="none" w:sz="0" w:space="0" w:color="auto"/>
          </w:divBdr>
          <w:divsChild>
            <w:div w:id="154849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51804">
      <w:marLeft w:val="480"/>
      <w:marRight w:val="0"/>
      <w:marTop w:val="0"/>
      <w:marBottom w:val="0"/>
      <w:divBdr>
        <w:top w:val="none" w:sz="0" w:space="0" w:color="auto"/>
        <w:left w:val="none" w:sz="0" w:space="0" w:color="auto"/>
        <w:bottom w:val="none" w:sz="0" w:space="0" w:color="auto"/>
        <w:right w:val="none" w:sz="0" w:space="0" w:color="auto"/>
      </w:divBdr>
    </w:div>
    <w:div w:id="1605649383">
      <w:marLeft w:val="480"/>
      <w:marRight w:val="0"/>
      <w:marTop w:val="0"/>
      <w:marBottom w:val="0"/>
      <w:divBdr>
        <w:top w:val="none" w:sz="0" w:space="0" w:color="auto"/>
        <w:left w:val="none" w:sz="0" w:space="0" w:color="auto"/>
        <w:bottom w:val="none" w:sz="0" w:space="0" w:color="auto"/>
        <w:right w:val="none" w:sz="0" w:space="0" w:color="auto"/>
      </w:divBdr>
    </w:div>
    <w:div w:id="1607075836">
      <w:marLeft w:val="480"/>
      <w:marRight w:val="0"/>
      <w:marTop w:val="0"/>
      <w:marBottom w:val="0"/>
      <w:divBdr>
        <w:top w:val="none" w:sz="0" w:space="0" w:color="auto"/>
        <w:left w:val="none" w:sz="0" w:space="0" w:color="auto"/>
        <w:bottom w:val="none" w:sz="0" w:space="0" w:color="auto"/>
        <w:right w:val="none" w:sz="0" w:space="0" w:color="auto"/>
      </w:divBdr>
    </w:div>
    <w:div w:id="1607226064">
      <w:bodyDiv w:val="1"/>
      <w:marLeft w:val="0"/>
      <w:marRight w:val="0"/>
      <w:marTop w:val="0"/>
      <w:marBottom w:val="0"/>
      <w:divBdr>
        <w:top w:val="none" w:sz="0" w:space="0" w:color="auto"/>
        <w:left w:val="none" w:sz="0" w:space="0" w:color="auto"/>
        <w:bottom w:val="none" w:sz="0" w:space="0" w:color="auto"/>
        <w:right w:val="none" w:sz="0" w:space="0" w:color="auto"/>
      </w:divBdr>
    </w:div>
    <w:div w:id="1608002104">
      <w:marLeft w:val="480"/>
      <w:marRight w:val="0"/>
      <w:marTop w:val="0"/>
      <w:marBottom w:val="0"/>
      <w:divBdr>
        <w:top w:val="none" w:sz="0" w:space="0" w:color="auto"/>
        <w:left w:val="none" w:sz="0" w:space="0" w:color="auto"/>
        <w:bottom w:val="none" w:sz="0" w:space="0" w:color="auto"/>
        <w:right w:val="none" w:sz="0" w:space="0" w:color="auto"/>
      </w:divBdr>
    </w:div>
    <w:div w:id="1608006209">
      <w:marLeft w:val="480"/>
      <w:marRight w:val="0"/>
      <w:marTop w:val="0"/>
      <w:marBottom w:val="0"/>
      <w:divBdr>
        <w:top w:val="none" w:sz="0" w:space="0" w:color="auto"/>
        <w:left w:val="none" w:sz="0" w:space="0" w:color="auto"/>
        <w:bottom w:val="none" w:sz="0" w:space="0" w:color="auto"/>
        <w:right w:val="none" w:sz="0" w:space="0" w:color="auto"/>
      </w:divBdr>
    </w:div>
    <w:div w:id="1612783704">
      <w:marLeft w:val="480"/>
      <w:marRight w:val="0"/>
      <w:marTop w:val="0"/>
      <w:marBottom w:val="0"/>
      <w:divBdr>
        <w:top w:val="none" w:sz="0" w:space="0" w:color="auto"/>
        <w:left w:val="none" w:sz="0" w:space="0" w:color="auto"/>
        <w:bottom w:val="none" w:sz="0" w:space="0" w:color="auto"/>
        <w:right w:val="none" w:sz="0" w:space="0" w:color="auto"/>
      </w:divBdr>
    </w:div>
    <w:div w:id="1612977338">
      <w:marLeft w:val="480"/>
      <w:marRight w:val="0"/>
      <w:marTop w:val="0"/>
      <w:marBottom w:val="0"/>
      <w:divBdr>
        <w:top w:val="none" w:sz="0" w:space="0" w:color="auto"/>
        <w:left w:val="none" w:sz="0" w:space="0" w:color="auto"/>
        <w:bottom w:val="none" w:sz="0" w:space="0" w:color="auto"/>
        <w:right w:val="none" w:sz="0" w:space="0" w:color="auto"/>
      </w:divBdr>
    </w:div>
    <w:div w:id="1614358349">
      <w:marLeft w:val="480"/>
      <w:marRight w:val="0"/>
      <w:marTop w:val="0"/>
      <w:marBottom w:val="0"/>
      <w:divBdr>
        <w:top w:val="none" w:sz="0" w:space="0" w:color="auto"/>
        <w:left w:val="none" w:sz="0" w:space="0" w:color="auto"/>
        <w:bottom w:val="none" w:sz="0" w:space="0" w:color="auto"/>
        <w:right w:val="none" w:sz="0" w:space="0" w:color="auto"/>
      </w:divBdr>
    </w:div>
    <w:div w:id="1614361076">
      <w:marLeft w:val="480"/>
      <w:marRight w:val="0"/>
      <w:marTop w:val="0"/>
      <w:marBottom w:val="0"/>
      <w:divBdr>
        <w:top w:val="none" w:sz="0" w:space="0" w:color="auto"/>
        <w:left w:val="none" w:sz="0" w:space="0" w:color="auto"/>
        <w:bottom w:val="none" w:sz="0" w:space="0" w:color="auto"/>
        <w:right w:val="none" w:sz="0" w:space="0" w:color="auto"/>
      </w:divBdr>
    </w:div>
    <w:div w:id="1614511580">
      <w:bodyDiv w:val="1"/>
      <w:marLeft w:val="0"/>
      <w:marRight w:val="0"/>
      <w:marTop w:val="0"/>
      <w:marBottom w:val="0"/>
      <w:divBdr>
        <w:top w:val="none" w:sz="0" w:space="0" w:color="auto"/>
        <w:left w:val="none" w:sz="0" w:space="0" w:color="auto"/>
        <w:bottom w:val="none" w:sz="0" w:space="0" w:color="auto"/>
        <w:right w:val="none" w:sz="0" w:space="0" w:color="auto"/>
      </w:divBdr>
      <w:divsChild>
        <w:div w:id="51774815">
          <w:marLeft w:val="480"/>
          <w:marRight w:val="0"/>
          <w:marTop w:val="0"/>
          <w:marBottom w:val="0"/>
          <w:divBdr>
            <w:top w:val="none" w:sz="0" w:space="0" w:color="auto"/>
            <w:left w:val="none" w:sz="0" w:space="0" w:color="auto"/>
            <w:bottom w:val="none" w:sz="0" w:space="0" w:color="auto"/>
            <w:right w:val="none" w:sz="0" w:space="0" w:color="auto"/>
          </w:divBdr>
        </w:div>
        <w:div w:id="307251031">
          <w:marLeft w:val="480"/>
          <w:marRight w:val="0"/>
          <w:marTop w:val="0"/>
          <w:marBottom w:val="0"/>
          <w:divBdr>
            <w:top w:val="none" w:sz="0" w:space="0" w:color="auto"/>
            <w:left w:val="none" w:sz="0" w:space="0" w:color="auto"/>
            <w:bottom w:val="none" w:sz="0" w:space="0" w:color="auto"/>
            <w:right w:val="none" w:sz="0" w:space="0" w:color="auto"/>
          </w:divBdr>
        </w:div>
        <w:div w:id="1483038959">
          <w:marLeft w:val="480"/>
          <w:marRight w:val="0"/>
          <w:marTop w:val="0"/>
          <w:marBottom w:val="0"/>
          <w:divBdr>
            <w:top w:val="none" w:sz="0" w:space="0" w:color="auto"/>
            <w:left w:val="none" w:sz="0" w:space="0" w:color="auto"/>
            <w:bottom w:val="none" w:sz="0" w:space="0" w:color="auto"/>
            <w:right w:val="none" w:sz="0" w:space="0" w:color="auto"/>
          </w:divBdr>
        </w:div>
        <w:div w:id="1532760499">
          <w:marLeft w:val="480"/>
          <w:marRight w:val="0"/>
          <w:marTop w:val="0"/>
          <w:marBottom w:val="0"/>
          <w:divBdr>
            <w:top w:val="none" w:sz="0" w:space="0" w:color="auto"/>
            <w:left w:val="none" w:sz="0" w:space="0" w:color="auto"/>
            <w:bottom w:val="none" w:sz="0" w:space="0" w:color="auto"/>
            <w:right w:val="none" w:sz="0" w:space="0" w:color="auto"/>
          </w:divBdr>
        </w:div>
        <w:div w:id="2038386199">
          <w:marLeft w:val="480"/>
          <w:marRight w:val="0"/>
          <w:marTop w:val="0"/>
          <w:marBottom w:val="0"/>
          <w:divBdr>
            <w:top w:val="none" w:sz="0" w:space="0" w:color="auto"/>
            <w:left w:val="none" w:sz="0" w:space="0" w:color="auto"/>
            <w:bottom w:val="none" w:sz="0" w:space="0" w:color="auto"/>
            <w:right w:val="none" w:sz="0" w:space="0" w:color="auto"/>
          </w:divBdr>
        </w:div>
      </w:divsChild>
    </w:div>
    <w:div w:id="1620720921">
      <w:marLeft w:val="480"/>
      <w:marRight w:val="0"/>
      <w:marTop w:val="0"/>
      <w:marBottom w:val="0"/>
      <w:divBdr>
        <w:top w:val="none" w:sz="0" w:space="0" w:color="auto"/>
        <w:left w:val="none" w:sz="0" w:space="0" w:color="auto"/>
        <w:bottom w:val="none" w:sz="0" w:space="0" w:color="auto"/>
        <w:right w:val="none" w:sz="0" w:space="0" w:color="auto"/>
      </w:divBdr>
    </w:div>
    <w:div w:id="1621647652">
      <w:marLeft w:val="480"/>
      <w:marRight w:val="0"/>
      <w:marTop w:val="0"/>
      <w:marBottom w:val="0"/>
      <w:divBdr>
        <w:top w:val="none" w:sz="0" w:space="0" w:color="auto"/>
        <w:left w:val="none" w:sz="0" w:space="0" w:color="auto"/>
        <w:bottom w:val="none" w:sz="0" w:space="0" w:color="auto"/>
        <w:right w:val="none" w:sz="0" w:space="0" w:color="auto"/>
      </w:divBdr>
    </w:div>
    <w:div w:id="1621839164">
      <w:bodyDiv w:val="1"/>
      <w:marLeft w:val="0"/>
      <w:marRight w:val="0"/>
      <w:marTop w:val="0"/>
      <w:marBottom w:val="0"/>
      <w:divBdr>
        <w:top w:val="none" w:sz="0" w:space="0" w:color="auto"/>
        <w:left w:val="none" w:sz="0" w:space="0" w:color="auto"/>
        <w:bottom w:val="none" w:sz="0" w:space="0" w:color="auto"/>
        <w:right w:val="none" w:sz="0" w:space="0" w:color="auto"/>
      </w:divBdr>
    </w:div>
    <w:div w:id="1624070618">
      <w:marLeft w:val="480"/>
      <w:marRight w:val="0"/>
      <w:marTop w:val="0"/>
      <w:marBottom w:val="0"/>
      <w:divBdr>
        <w:top w:val="none" w:sz="0" w:space="0" w:color="auto"/>
        <w:left w:val="none" w:sz="0" w:space="0" w:color="auto"/>
        <w:bottom w:val="none" w:sz="0" w:space="0" w:color="auto"/>
        <w:right w:val="none" w:sz="0" w:space="0" w:color="auto"/>
      </w:divBdr>
    </w:div>
    <w:div w:id="1626303988">
      <w:marLeft w:val="480"/>
      <w:marRight w:val="0"/>
      <w:marTop w:val="0"/>
      <w:marBottom w:val="0"/>
      <w:divBdr>
        <w:top w:val="none" w:sz="0" w:space="0" w:color="auto"/>
        <w:left w:val="none" w:sz="0" w:space="0" w:color="auto"/>
        <w:bottom w:val="none" w:sz="0" w:space="0" w:color="auto"/>
        <w:right w:val="none" w:sz="0" w:space="0" w:color="auto"/>
      </w:divBdr>
    </w:div>
    <w:div w:id="1629429775">
      <w:marLeft w:val="480"/>
      <w:marRight w:val="0"/>
      <w:marTop w:val="0"/>
      <w:marBottom w:val="0"/>
      <w:divBdr>
        <w:top w:val="none" w:sz="0" w:space="0" w:color="auto"/>
        <w:left w:val="none" w:sz="0" w:space="0" w:color="auto"/>
        <w:bottom w:val="none" w:sz="0" w:space="0" w:color="auto"/>
        <w:right w:val="none" w:sz="0" w:space="0" w:color="auto"/>
      </w:divBdr>
    </w:div>
    <w:div w:id="1630743413">
      <w:marLeft w:val="480"/>
      <w:marRight w:val="0"/>
      <w:marTop w:val="0"/>
      <w:marBottom w:val="0"/>
      <w:divBdr>
        <w:top w:val="none" w:sz="0" w:space="0" w:color="auto"/>
        <w:left w:val="none" w:sz="0" w:space="0" w:color="auto"/>
        <w:bottom w:val="none" w:sz="0" w:space="0" w:color="auto"/>
        <w:right w:val="none" w:sz="0" w:space="0" w:color="auto"/>
      </w:divBdr>
    </w:div>
    <w:div w:id="1631323865">
      <w:marLeft w:val="480"/>
      <w:marRight w:val="0"/>
      <w:marTop w:val="0"/>
      <w:marBottom w:val="0"/>
      <w:divBdr>
        <w:top w:val="none" w:sz="0" w:space="0" w:color="auto"/>
        <w:left w:val="none" w:sz="0" w:space="0" w:color="auto"/>
        <w:bottom w:val="none" w:sz="0" w:space="0" w:color="auto"/>
        <w:right w:val="none" w:sz="0" w:space="0" w:color="auto"/>
      </w:divBdr>
    </w:div>
    <w:div w:id="1631782382">
      <w:marLeft w:val="480"/>
      <w:marRight w:val="0"/>
      <w:marTop w:val="0"/>
      <w:marBottom w:val="0"/>
      <w:divBdr>
        <w:top w:val="none" w:sz="0" w:space="0" w:color="auto"/>
        <w:left w:val="none" w:sz="0" w:space="0" w:color="auto"/>
        <w:bottom w:val="none" w:sz="0" w:space="0" w:color="auto"/>
        <w:right w:val="none" w:sz="0" w:space="0" w:color="auto"/>
      </w:divBdr>
    </w:div>
    <w:div w:id="1632589224">
      <w:marLeft w:val="480"/>
      <w:marRight w:val="0"/>
      <w:marTop w:val="0"/>
      <w:marBottom w:val="0"/>
      <w:divBdr>
        <w:top w:val="none" w:sz="0" w:space="0" w:color="auto"/>
        <w:left w:val="none" w:sz="0" w:space="0" w:color="auto"/>
        <w:bottom w:val="none" w:sz="0" w:space="0" w:color="auto"/>
        <w:right w:val="none" w:sz="0" w:space="0" w:color="auto"/>
      </w:divBdr>
    </w:div>
    <w:div w:id="1632635351">
      <w:marLeft w:val="480"/>
      <w:marRight w:val="0"/>
      <w:marTop w:val="0"/>
      <w:marBottom w:val="0"/>
      <w:divBdr>
        <w:top w:val="none" w:sz="0" w:space="0" w:color="auto"/>
        <w:left w:val="none" w:sz="0" w:space="0" w:color="auto"/>
        <w:bottom w:val="none" w:sz="0" w:space="0" w:color="auto"/>
        <w:right w:val="none" w:sz="0" w:space="0" w:color="auto"/>
      </w:divBdr>
    </w:div>
    <w:div w:id="1634024465">
      <w:marLeft w:val="480"/>
      <w:marRight w:val="0"/>
      <w:marTop w:val="0"/>
      <w:marBottom w:val="0"/>
      <w:divBdr>
        <w:top w:val="none" w:sz="0" w:space="0" w:color="auto"/>
        <w:left w:val="none" w:sz="0" w:space="0" w:color="auto"/>
        <w:bottom w:val="none" w:sz="0" w:space="0" w:color="auto"/>
        <w:right w:val="none" w:sz="0" w:space="0" w:color="auto"/>
      </w:divBdr>
    </w:div>
    <w:div w:id="1634870460">
      <w:marLeft w:val="480"/>
      <w:marRight w:val="0"/>
      <w:marTop w:val="0"/>
      <w:marBottom w:val="0"/>
      <w:divBdr>
        <w:top w:val="none" w:sz="0" w:space="0" w:color="auto"/>
        <w:left w:val="none" w:sz="0" w:space="0" w:color="auto"/>
        <w:bottom w:val="none" w:sz="0" w:space="0" w:color="auto"/>
        <w:right w:val="none" w:sz="0" w:space="0" w:color="auto"/>
      </w:divBdr>
    </w:div>
    <w:div w:id="1636638105">
      <w:marLeft w:val="480"/>
      <w:marRight w:val="0"/>
      <w:marTop w:val="0"/>
      <w:marBottom w:val="0"/>
      <w:divBdr>
        <w:top w:val="none" w:sz="0" w:space="0" w:color="auto"/>
        <w:left w:val="none" w:sz="0" w:space="0" w:color="auto"/>
        <w:bottom w:val="none" w:sz="0" w:space="0" w:color="auto"/>
        <w:right w:val="none" w:sz="0" w:space="0" w:color="auto"/>
      </w:divBdr>
    </w:div>
    <w:div w:id="1638221051">
      <w:marLeft w:val="480"/>
      <w:marRight w:val="0"/>
      <w:marTop w:val="0"/>
      <w:marBottom w:val="0"/>
      <w:divBdr>
        <w:top w:val="none" w:sz="0" w:space="0" w:color="auto"/>
        <w:left w:val="none" w:sz="0" w:space="0" w:color="auto"/>
        <w:bottom w:val="none" w:sz="0" w:space="0" w:color="auto"/>
        <w:right w:val="none" w:sz="0" w:space="0" w:color="auto"/>
      </w:divBdr>
    </w:div>
    <w:div w:id="1640721829">
      <w:marLeft w:val="480"/>
      <w:marRight w:val="0"/>
      <w:marTop w:val="0"/>
      <w:marBottom w:val="0"/>
      <w:divBdr>
        <w:top w:val="none" w:sz="0" w:space="0" w:color="auto"/>
        <w:left w:val="none" w:sz="0" w:space="0" w:color="auto"/>
        <w:bottom w:val="none" w:sz="0" w:space="0" w:color="auto"/>
        <w:right w:val="none" w:sz="0" w:space="0" w:color="auto"/>
      </w:divBdr>
    </w:div>
    <w:div w:id="1642150067">
      <w:marLeft w:val="480"/>
      <w:marRight w:val="0"/>
      <w:marTop w:val="0"/>
      <w:marBottom w:val="0"/>
      <w:divBdr>
        <w:top w:val="none" w:sz="0" w:space="0" w:color="auto"/>
        <w:left w:val="none" w:sz="0" w:space="0" w:color="auto"/>
        <w:bottom w:val="none" w:sz="0" w:space="0" w:color="auto"/>
        <w:right w:val="none" w:sz="0" w:space="0" w:color="auto"/>
      </w:divBdr>
    </w:div>
    <w:div w:id="1642223837">
      <w:bodyDiv w:val="1"/>
      <w:marLeft w:val="0"/>
      <w:marRight w:val="0"/>
      <w:marTop w:val="0"/>
      <w:marBottom w:val="0"/>
      <w:divBdr>
        <w:top w:val="none" w:sz="0" w:space="0" w:color="auto"/>
        <w:left w:val="none" w:sz="0" w:space="0" w:color="auto"/>
        <w:bottom w:val="none" w:sz="0" w:space="0" w:color="auto"/>
        <w:right w:val="none" w:sz="0" w:space="0" w:color="auto"/>
      </w:divBdr>
    </w:div>
    <w:div w:id="1643345174">
      <w:marLeft w:val="480"/>
      <w:marRight w:val="0"/>
      <w:marTop w:val="0"/>
      <w:marBottom w:val="0"/>
      <w:divBdr>
        <w:top w:val="none" w:sz="0" w:space="0" w:color="auto"/>
        <w:left w:val="none" w:sz="0" w:space="0" w:color="auto"/>
        <w:bottom w:val="none" w:sz="0" w:space="0" w:color="auto"/>
        <w:right w:val="none" w:sz="0" w:space="0" w:color="auto"/>
      </w:divBdr>
    </w:div>
    <w:div w:id="1643536095">
      <w:marLeft w:val="480"/>
      <w:marRight w:val="0"/>
      <w:marTop w:val="0"/>
      <w:marBottom w:val="0"/>
      <w:divBdr>
        <w:top w:val="none" w:sz="0" w:space="0" w:color="auto"/>
        <w:left w:val="none" w:sz="0" w:space="0" w:color="auto"/>
        <w:bottom w:val="none" w:sz="0" w:space="0" w:color="auto"/>
        <w:right w:val="none" w:sz="0" w:space="0" w:color="auto"/>
      </w:divBdr>
    </w:div>
    <w:div w:id="1643582796">
      <w:bodyDiv w:val="1"/>
      <w:marLeft w:val="0"/>
      <w:marRight w:val="0"/>
      <w:marTop w:val="0"/>
      <w:marBottom w:val="0"/>
      <w:divBdr>
        <w:top w:val="none" w:sz="0" w:space="0" w:color="auto"/>
        <w:left w:val="none" w:sz="0" w:space="0" w:color="auto"/>
        <w:bottom w:val="none" w:sz="0" w:space="0" w:color="auto"/>
        <w:right w:val="none" w:sz="0" w:space="0" w:color="auto"/>
      </w:divBdr>
    </w:div>
    <w:div w:id="1643657687">
      <w:marLeft w:val="480"/>
      <w:marRight w:val="0"/>
      <w:marTop w:val="0"/>
      <w:marBottom w:val="0"/>
      <w:divBdr>
        <w:top w:val="none" w:sz="0" w:space="0" w:color="auto"/>
        <w:left w:val="none" w:sz="0" w:space="0" w:color="auto"/>
        <w:bottom w:val="none" w:sz="0" w:space="0" w:color="auto"/>
        <w:right w:val="none" w:sz="0" w:space="0" w:color="auto"/>
      </w:divBdr>
    </w:div>
    <w:div w:id="1646659881">
      <w:marLeft w:val="480"/>
      <w:marRight w:val="0"/>
      <w:marTop w:val="0"/>
      <w:marBottom w:val="0"/>
      <w:divBdr>
        <w:top w:val="none" w:sz="0" w:space="0" w:color="auto"/>
        <w:left w:val="none" w:sz="0" w:space="0" w:color="auto"/>
        <w:bottom w:val="none" w:sz="0" w:space="0" w:color="auto"/>
        <w:right w:val="none" w:sz="0" w:space="0" w:color="auto"/>
      </w:divBdr>
    </w:div>
    <w:div w:id="1648246199">
      <w:marLeft w:val="480"/>
      <w:marRight w:val="0"/>
      <w:marTop w:val="0"/>
      <w:marBottom w:val="0"/>
      <w:divBdr>
        <w:top w:val="none" w:sz="0" w:space="0" w:color="auto"/>
        <w:left w:val="none" w:sz="0" w:space="0" w:color="auto"/>
        <w:bottom w:val="none" w:sz="0" w:space="0" w:color="auto"/>
        <w:right w:val="none" w:sz="0" w:space="0" w:color="auto"/>
      </w:divBdr>
    </w:div>
    <w:div w:id="1649358931">
      <w:marLeft w:val="480"/>
      <w:marRight w:val="0"/>
      <w:marTop w:val="0"/>
      <w:marBottom w:val="0"/>
      <w:divBdr>
        <w:top w:val="none" w:sz="0" w:space="0" w:color="auto"/>
        <w:left w:val="none" w:sz="0" w:space="0" w:color="auto"/>
        <w:bottom w:val="none" w:sz="0" w:space="0" w:color="auto"/>
        <w:right w:val="none" w:sz="0" w:space="0" w:color="auto"/>
      </w:divBdr>
    </w:div>
    <w:div w:id="1650866997">
      <w:bodyDiv w:val="1"/>
      <w:marLeft w:val="0"/>
      <w:marRight w:val="0"/>
      <w:marTop w:val="0"/>
      <w:marBottom w:val="0"/>
      <w:divBdr>
        <w:top w:val="none" w:sz="0" w:space="0" w:color="auto"/>
        <w:left w:val="none" w:sz="0" w:space="0" w:color="auto"/>
        <w:bottom w:val="none" w:sz="0" w:space="0" w:color="auto"/>
        <w:right w:val="none" w:sz="0" w:space="0" w:color="auto"/>
      </w:divBdr>
      <w:divsChild>
        <w:div w:id="115031384">
          <w:marLeft w:val="480"/>
          <w:marRight w:val="0"/>
          <w:marTop w:val="0"/>
          <w:marBottom w:val="0"/>
          <w:divBdr>
            <w:top w:val="none" w:sz="0" w:space="0" w:color="auto"/>
            <w:left w:val="none" w:sz="0" w:space="0" w:color="auto"/>
            <w:bottom w:val="none" w:sz="0" w:space="0" w:color="auto"/>
            <w:right w:val="none" w:sz="0" w:space="0" w:color="auto"/>
          </w:divBdr>
        </w:div>
        <w:div w:id="121727921">
          <w:marLeft w:val="480"/>
          <w:marRight w:val="0"/>
          <w:marTop w:val="0"/>
          <w:marBottom w:val="0"/>
          <w:divBdr>
            <w:top w:val="none" w:sz="0" w:space="0" w:color="auto"/>
            <w:left w:val="none" w:sz="0" w:space="0" w:color="auto"/>
            <w:bottom w:val="none" w:sz="0" w:space="0" w:color="auto"/>
            <w:right w:val="none" w:sz="0" w:space="0" w:color="auto"/>
          </w:divBdr>
        </w:div>
        <w:div w:id="484128014">
          <w:marLeft w:val="480"/>
          <w:marRight w:val="0"/>
          <w:marTop w:val="0"/>
          <w:marBottom w:val="0"/>
          <w:divBdr>
            <w:top w:val="none" w:sz="0" w:space="0" w:color="auto"/>
            <w:left w:val="none" w:sz="0" w:space="0" w:color="auto"/>
            <w:bottom w:val="none" w:sz="0" w:space="0" w:color="auto"/>
            <w:right w:val="none" w:sz="0" w:space="0" w:color="auto"/>
          </w:divBdr>
        </w:div>
        <w:div w:id="818885532">
          <w:marLeft w:val="480"/>
          <w:marRight w:val="0"/>
          <w:marTop w:val="0"/>
          <w:marBottom w:val="0"/>
          <w:divBdr>
            <w:top w:val="none" w:sz="0" w:space="0" w:color="auto"/>
            <w:left w:val="none" w:sz="0" w:space="0" w:color="auto"/>
            <w:bottom w:val="none" w:sz="0" w:space="0" w:color="auto"/>
            <w:right w:val="none" w:sz="0" w:space="0" w:color="auto"/>
          </w:divBdr>
        </w:div>
        <w:div w:id="1022319654">
          <w:marLeft w:val="480"/>
          <w:marRight w:val="0"/>
          <w:marTop w:val="0"/>
          <w:marBottom w:val="0"/>
          <w:divBdr>
            <w:top w:val="none" w:sz="0" w:space="0" w:color="auto"/>
            <w:left w:val="none" w:sz="0" w:space="0" w:color="auto"/>
            <w:bottom w:val="none" w:sz="0" w:space="0" w:color="auto"/>
            <w:right w:val="none" w:sz="0" w:space="0" w:color="auto"/>
          </w:divBdr>
        </w:div>
        <w:div w:id="1082024931">
          <w:marLeft w:val="480"/>
          <w:marRight w:val="0"/>
          <w:marTop w:val="0"/>
          <w:marBottom w:val="0"/>
          <w:divBdr>
            <w:top w:val="none" w:sz="0" w:space="0" w:color="auto"/>
            <w:left w:val="none" w:sz="0" w:space="0" w:color="auto"/>
            <w:bottom w:val="none" w:sz="0" w:space="0" w:color="auto"/>
            <w:right w:val="none" w:sz="0" w:space="0" w:color="auto"/>
          </w:divBdr>
        </w:div>
        <w:div w:id="1291471612">
          <w:marLeft w:val="480"/>
          <w:marRight w:val="0"/>
          <w:marTop w:val="0"/>
          <w:marBottom w:val="0"/>
          <w:divBdr>
            <w:top w:val="none" w:sz="0" w:space="0" w:color="auto"/>
            <w:left w:val="none" w:sz="0" w:space="0" w:color="auto"/>
            <w:bottom w:val="none" w:sz="0" w:space="0" w:color="auto"/>
            <w:right w:val="none" w:sz="0" w:space="0" w:color="auto"/>
          </w:divBdr>
        </w:div>
        <w:div w:id="1473332142">
          <w:marLeft w:val="480"/>
          <w:marRight w:val="0"/>
          <w:marTop w:val="0"/>
          <w:marBottom w:val="0"/>
          <w:divBdr>
            <w:top w:val="none" w:sz="0" w:space="0" w:color="auto"/>
            <w:left w:val="none" w:sz="0" w:space="0" w:color="auto"/>
            <w:bottom w:val="none" w:sz="0" w:space="0" w:color="auto"/>
            <w:right w:val="none" w:sz="0" w:space="0" w:color="auto"/>
          </w:divBdr>
        </w:div>
        <w:div w:id="1777214458">
          <w:marLeft w:val="480"/>
          <w:marRight w:val="0"/>
          <w:marTop w:val="0"/>
          <w:marBottom w:val="0"/>
          <w:divBdr>
            <w:top w:val="none" w:sz="0" w:space="0" w:color="auto"/>
            <w:left w:val="none" w:sz="0" w:space="0" w:color="auto"/>
            <w:bottom w:val="none" w:sz="0" w:space="0" w:color="auto"/>
            <w:right w:val="none" w:sz="0" w:space="0" w:color="auto"/>
          </w:divBdr>
        </w:div>
        <w:div w:id="1890649437">
          <w:marLeft w:val="480"/>
          <w:marRight w:val="0"/>
          <w:marTop w:val="0"/>
          <w:marBottom w:val="0"/>
          <w:divBdr>
            <w:top w:val="none" w:sz="0" w:space="0" w:color="auto"/>
            <w:left w:val="none" w:sz="0" w:space="0" w:color="auto"/>
            <w:bottom w:val="none" w:sz="0" w:space="0" w:color="auto"/>
            <w:right w:val="none" w:sz="0" w:space="0" w:color="auto"/>
          </w:divBdr>
        </w:div>
        <w:div w:id="1939560794">
          <w:marLeft w:val="480"/>
          <w:marRight w:val="0"/>
          <w:marTop w:val="0"/>
          <w:marBottom w:val="0"/>
          <w:divBdr>
            <w:top w:val="none" w:sz="0" w:space="0" w:color="auto"/>
            <w:left w:val="none" w:sz="0" w:space="0" w:color="auto"/>
            <w:bottom w:val="none" w:sz="0" w:space="0" w:color="auto"/>
            <w:right w:val="none" w:sz="0" w:space="0" w:color="auto"/>
          </w:divBdr>
        </w:div>
      </w:divsChild>
    </w:div>
    <w:div w:id="1651322894">
      <w:marLeft w:val="480"/>
      <w:marRight w:val="0"/>
      <w:marTop w:val="0"/>
      <w:marBottom w:val="0"/>
      <w:divBdr>
        <w:top w:val="none" w:sz="0" w:space="0" w:color="auto"/>
        <w:left w:val="none" w:sz="0" w:space="0" w:color="auto"/>
        <w:bottom w:val="none" w:sz="0" w:space="0" w:color="auto"/>
        <w:right w:val="none" w:sz="0" w:space="0" w:color="auto"/>
      </w:divBdr>
    </w:div>
    <w:div w:id="1651399127">
      <w:marLeft w:val="480"/>
      <w:marRight w:val="0"/>
      <w:marTop w:val="0"/>
      <w:marBottom w:val="0"/>
      <w:divBdr>
        <w:top w:val="none" w:sz="0" w:space="0" w:color="auto"/>
        <w:left w:val="none" w:sz="0" w:space="0" w:color="auto"/>
        <w:bottom w:val="none" w:sz="0" w:space="0" w:color="auto"/>
        <w:right w:val="none" w:sz="0" w:space="0" w:color="auto"/>
      </w:divBdr>
    </w:div>
    <w:div w:id="1651981464">
      <w:bodyDiv w:val="1"/>
      <w:marLeft w:val="0"/>
      <w:marRight w:val="0"/>
      <w:marTop w:val="0"/>
      <w:marBottom w:val="0"/>
      <w:divBdr>
        <w:top w:val="none" w:sz="0" w:space="0" w:color="auto"/>
        <w:left w:val="none" w:sz="0" w:space="0" w:color="auto"/>
        <w:bottom w:val="none" w:sz="0" w:space="0" w:color="auto"/>
        <w:right w:val="none" w:sz="0" w:space="0" w:color="auto"/>
      </w:divBdr>
      <w:divsChild>
        <w:div w:id="44723226">
          <w:marLeft w:val="480"/>
          <w:marRight w:val="0"/>
          <w:marTop w:val="0"/>
          <w:marBottom w:val="0"/>
          <w:divBdr>
            <w:top w:val="none" w:sz="0" w:space="0" w:color="auto"/>
            <w:left w:val="none" w:sz="0" w:space="0" w:color="auto"/>
            <w:bottom w:val="none" w:sz="0" w:space="0" w:color="auto"/>
            <w:right w:val="none" w:sz="0" w:space="0" w:color="auto"/>
          </w:divBdr>
        </w:div>
        <w:div w:id="313074335">
          <w:marLeft w:val="480"/>
          <w:marRight w:val="0"/>
          <w:marTop w:val="0"/>
          <w:marBottom w:val="0"/>
          <w:divBdr>
            <w:top w:val="none" w:sz="0" w:space="0" w:color="auto"/>
            <w:left w:val="none" w:sz="0" w:space="0" w:color="auto"/>
            <w:bottom w:val="none" w:sz="0" w:space="0" w:color="auto"/>
            <w:right w:val="none" w:sz="0" w:space="0" w:color="auto"/>
          </w:divBdr>
        </w:div>
        <w:div w:id="386681438">
          <w:marLeft w:val="480"/>
          <w:marRight w:val="0"/>
          <w:marTop w:val="0"/>
          <w:marBottom w:val="0"/>
          <w:divBdr>
            <w:top w:val="none" w:sz="0" w:space="0" w:color="auto"/>
            <w:left w:val="none" w:sz="0" w:space="0" w:color="auto"/>
            <w:bottom w:val="none" w:sz="0" w:space="0" w:color="auto"/>
            <w:right w:val="none" w:sz="0" w:space="0" w:color="auto"/>
          </w:divBdr>
        </w:div>
        <w:div w:id="857934507">
          <w:marLeft w:val="480"/>
          <w:marRight w:val="0"/>
          <w:marTop w:val="0"/>
          <w:marBottom w:val="0"/>
          <w:divBdr>
            <w:top w:val="none" w:sz="0" w:space="0" w:color="auto"/>
            <w:left w:val="none" w:sz="0" w:space="0" w:color="auto"/>
            <w:bottom w:val="none" w:sz="0" w:space="0" w:color="auto"/>
            <w:right w:val="none" w:sz="0" w:space="0" w:color="auto"/>
          </w:divBdr>
        </w:div>
        <w:div w:id="2071033322">
          <w:marLeft w:val="480"/>
          <w:marRight w:val="0"/>
          <w:marTop w:val="0"/>
          <w:marBottom w:val="0"/>
          <w:divBdr>
            <w:top w:val="none" w:sz="0" w:space="0" w:color="auto"/>
            <w:left w:val="none" w:sz="0" w:space="0" w:color="auto"/>
            <w:bottom w:val="none" w:sz="0" w:space="0" w:color="auto"/>
            <w:right w:val="none" w:sz="0" w:space="0" w:color="auto"/>
          </w:divBdr>
        </w:div>
      </w:divsChild>
    </w:div>
    <w:div w:id="1653214127">
      <w:marLeft w:val="480"/>
      <w:marRight w:val="0"/>
      <w:marTop w:val="0"/>
      <w:marBottom w:val="0"/>
      <w:divBdr>
        <w:top w:val="none" w:sz="0" w:space="0" w:color="auto"/>
        <w:left w:val="none" w:sz="0" w:space="0" w:color="auto"/>
        <w:bottom w:val="none" w:sz="0" w:space="0" w:color="auto"/>
        <w:right w:val="none" w:sz="0" w:space="0" w:color="auto"/>
      </w:divBdr>
    </w:div>
    <w:div w:id="1656105293">
      <w:marLeft w:val="480"/>
      <w:marRight w:val="0"/>
      <w:marTop w:val="0"/>
      <w:marBottom w:val="0"/>
      <w:divBdr>
        <w:top w:val="none" w:sz="0" w:space="0" w:color="auto"/>
        <w:left w:val="none" w:sz="0" w:space="0" w:color="auto"/>
        <w:bottom w:val="none" w:sz="0" w:space="0" w:color="auto"/>
        <w:right w:val="none" w:sz="0" w:space="0" w:color="auto"/>
      </w:divBdr>
    </w:div>
    <w:div w:id="1661617964">
      <w:bodyDiv w:val="1"/>
      <w:marLeft w:val="0"/>
      <w:marRight w:val="0"/>
      <w:marTop w:val="0"/>
      <w:marBottom w:val="0"/>
      <w:divBdr>
        <w:top w:val="none" w:sz="0" w:space="0" w:color="auto"/>
        <w:left w:val="none" w:sz="0" w:space="0" w:color="auto"/>
        <w:bottom w:val="none" w:sz="0" w:space="0" w:color="auto"/>
        <w:right w:val="none" w:sz="0" w:space="0" w:color="auto"/>
      </w:divBdr>
      <w:divsChild>
        <w:div w:id="275913508">
          <w:marLeft w:val="480"/>
          <w:marRight w:val="0"/>
          <w:marTop w:val="0"/>
          <w:marBottom w:val="0"/>
          <w:divBdr>
            <w:top w:val="none" w:sz="0" w:space="0" w:color="auto"/>
            <w:left w:val="none" w:sz="0" w:space="0" w:color="auto"/>
            <w:bottom w:val="none" w:sz="0" w:space="0" w:color="auto"/>
            <w:right w:val="none" w:sz="0" w:space="0" w:color="auto"/>
          </w:divBdr>
        </w:div>
        <w:div w:id="325522367">
          <w:marLeft w:val="480"/>
          <w:marRight w:val="0"/>
          <w:marTop w:val="0"/>
          <w:marBottom w:val="0"/>
          <w:divBdr>
            <w:top w:val="none" w:sz="0" w:space="0" w:color="auto"/>
            <w:left w:val="none" w:sz="0" w:space="0" w:color="auto"/>
            <w:bottom w:val="none" w:sz="0" w:space="0" w:color="auto"/>
            <w:right w:val="none" w:sz="0" w:space="0" w:color="auto"/>
          </w:divBdr>
        </w:div>
        <w:div w:id="1135834017">
          <w:marLeft w:val="480"/>
          <w:marRight w:val="0"/>
          <w:marTop w:val="0"/>
          <w:marBottom w:val="0"/>
          <w:divBdr>
            <w:top w:val="none" w:sz="0" w:space="0" w:color="auto"/>
            <w:left w:val="none" w:sz="0" w:space="0" w:color="auto"/>
            <w:bottom w:val="none" w:sz="0" w:space="0" w:color="auto"/>
            <w:right w:val="none" w:sz="0" w:space="0" w:color="auto"/>
          </w:divBdr>
        </w:div>
        <w:div w:id="1590503216">
          <w:marLeft w:val="480"/>
          <w:marRight w:val="0"/>
          <w:marTop w:val="0"/>
          <w:marBottom w:val="0"/>
          <w:divBdr>
            <w:top w:val="none" w:sz="0" w:space="0" w:color="auto"/>
            <w:left w:val="none" w:sz="0" w:space="0" w:color="auto"/>
            <w:bottom w:val="none" w:sz="0" w:space="0" w:color="auto"/>
            <w:right w:val="none" w:sz="0" w:space="0" w:color="auto"/>
          </w:divBdr>
        </w:div>
      </w:divsChild>
    </w:div>
    <w:div w:id="1662927568">
      <w:marLeft w:val="480"/>
      <w:marRight w:val="0"/>
      <w:marTop w:val="0"/>
      <w:marBottom w:val="0"/>
      <w:divBdr>
        <w:top w:val="none" w:sz="0" w:space="0" w:color="auto"/>
        <w:left w:val="none" w:sz="0" w:space="0" w:color="auto"/>
        <w:bottom w:val="none" w:sz="0" w:space="0" w:color="auto"/>
        <w:right w:val="none" w:sz="0" w:space="0" w:color="auto"/>
      </w:divBdr>
    </w:div>
    <w:div w:id="1663003599">
      <w:marLeft w:val="480"/>
      <w:marRight w:val="0"/>
      <w:marTop w:val="0"/>
      <w:marBottom w:val="0"/>
      <w:divBdr>
        <w:top w:val="none" w:sz="0" w:space="0" w:color="auto"/>
        <w:left w:val="none" w:sz="0" w:space="0" w:color="auto"/>
        <w:bottom w:val="none" w:sz="0" w:space="0" w:color="auto"/>
        <w:right w:val="none" w:sz="0" w:space="0" w:color="auto"/>
      </w:divBdr>
    </w:div>
    <w:div w:id="1664358955">
      <w:marLeft w:val="480"/>
      <w:marRight w:val="0"/>
      <w:marTop w:val="0"/>
      <w:marBottom w:val="0"/>
      <w:divBdr>
        <w:top w:val="none" w:sz="0" w:space="0" w:color="auto"/>
        <w:left w:val="none" w:sz="0" w:space="0" w:color="auto"/>
        <w:bottom w:val="none" w:sz="0" w:space="0" w:color="auto"/>
        <w:right w:val="none" w:sz="0" w:space="0" w:color="auto"/>
      </w:divBdr>
    </w:div>
    <w:div w:id="1664894810">
      <w:marLeft w:val="480"/>
      <w:marRight w:val="0"/>
      <w:marTop w:val="0"/>
      <w:marBottom w:val="0"/>
      <w:divBdr>
        <w:top w:val="none" w:sz="0" w:space="0" w:color="auto"/>
        <w:left w:val="none" w:sz="0" w:space="0" w:color="auto"/>
        <w:bottom w:val="none" w:sz="0" w:space="0" w:color="auto"/>
        <w:right w:val="none" w:sz="0" w:space="0" w:color="auto"/>
      </w:divBdr>
    </w:div>
    <w:div w:id="1667132137">
      <w:marLeft w:val="480"/>
      <w:marRight w:val="0"/>
      <w:marTop w:val="0"/>
      <w:marBottom w:val="0"/>
      <w:divBdr>
        <w:top w:val="none" w:sz="0" w:space="0" w:color="auto"/>
        <w:left w:val="none" w:sz="0" w:space="0" w:color="auto"/>
        <w:bottom w:val="none" w:sz="0" w:space="0" w:color="auto"/>
        <w:right w:val="none" w:sz="0" w:space="0" w:color="auto"/>
      </w:divBdr>
    </w:div>
    <w:div w:id="1667517353">
      <w:bodyDiv w:val="1"/>
      <w:marLeft w:val="0"/>
      <w:marRight w:val="0"/>
      <w:marTop w:val="0"/>
      <w:marBottom w:val="0"/>
      <w:divBdr>
        <w:top w:val="none" w:sz="0" w:space="0" w:color="auto"/>
        <w:left w:val="none" w:sz="0" w:space="0" w:color="auto"/>
        <w:bottom w:val="none" w:sz="0" w:space="0" w:color="auto"/>
        <w:right w:val="none" w:sz="0" w:space="0" w:color="auto"/>
      </w:divBdr>
    </w:div>
    <w:div w:id="1667980773">
      <w:marLeft w:val="480"/>
      <w:marRight w:val="0"/>
      <w:marTop w:val="0"/>
      <w:marBottom w:val="0"/>
      <w:divBdr>
        <w:top w:val="none" w:sz="0" w:space="0" w:color="auto"/>
        <w:left w:val="none" w:sz="0" w:space="0" w:color="auto"/>
        <w:bottom w:val="none" w:sz="0" w:space="0" w:color="auto"/>
        <w:right w:val="none" w:sz="0" w:space="0" w:color="auto"/>
      </w:divBdr>
    </w:div>
    <w:div w:id="1669020375">
      <w:marLeft w:val="480"/>
      <w:marRight w:val="0"/>
      <w:marTop w:val="0"/>
      <w:marBottom w:val="0"/>
      <w:divBdr>
        <w:top w:val="none" w:sz="0" w:space="0" w:color="auto"/>
        <w:left w:val="none" w:sz="0" w:space="0" w:color="auto"/>
        <w:bottom w:val="none" w:sz="0" w:space="0" w:color="auto"/>
        <w:right w:val="none" w:sz="0" w:space="0" w:color="auto"/>
      </w:divBdr>
    </w:div>
    <w:div w:id="1670907391">
      <w:marLeft w:val="480"/>
      <w:marRight w:val="0"/>
      <w:marTop w:val="0"/>
      <w:marBottom w:val="0"/>
      <w:divBdr>
        <w:top w:val="none" w:sz="0" w:space="0" w:color="auto"/>
        <w:left w:val="none" w:sz="0" w:space="0" w:color="auto"/>
        <w:bottom w:val="none" w:sz="0" w:space="0" w:color="auto"/>
        <w:right w:val="none" w:sz="0" w:space="0" w:color="auto"/>
      </w:divBdr>
    </w:div>
    <w:div w:id="1673334070">
      <w:marLeft w:val="480"/>
      <w:marRight w:val="0"/>
      <w:marTop w:val="0"/>
      <w:marBottom w:val="0"/>
      <w:divBdr>
        <w:top w:val="none" w:sz="0" w:space="0" w:color="auto"/>
        <w:left w:val="none" w:sz="0" w:space="0" w:color="auto"/>
        <w:bottom w:val="none" w:sz="0" w:space="0" w:color="auto"/>
        <w:right w:val="none" w:sz="0" w:space="0" w:color="auto"/>
      </w:divBdr>
    </w:div>
    <w:div w:id="1674066755">
      <w:marLeft w:val="480"/>
      <w:marRight w:val="0"/>
      <w:marTop w:val="0"/>
      <w:marBottom w:val="0"/>
      <w:divBdr>
        <w:top w:val="none" w:sz="0" w:space="0" w:color="auto"/>
        <w:left w:val="none" w:sz="0" w:space="0" w:color="auto"/>
        <w:bottom w:val="none" w:sz="0" w:space="0" w:color="auto"/>
        <w:right w:val="none" w:sz="0" w:space="0" w:color="auto"/>
      </w:divBdr>
    </w:div>
    <w:div w:id="1674989912">
      <w:bodyDiv w:val="1"/>
      <w:marLeft w:val="0"/>
      <w:marRight w:val="0"/>
      <w:marTop w:val="0"/>
      <w:marBottom w:val="0"/>
      <w:divBdr>
        <w:top w:val="none" w:sz="0" w:space="0" w:color="auto"/>
        <w:left w:val="none" w:sz="0" w:space="0" w:color="auto"/>
        <w:bottom w:val="none" w:sz="0" w:space="0" w:color="auto"/>
        <w:right w:val="none" w:sz="0" w:space="0" w:color="auto"/>
      </w:divBdr>
    </w:div>
    <w:div w:id="1675298421">
      <w:marLeft w:val="480"/>
      <w:marRight w:val="0"/>
      <w:marTop w:val="0"/>
      <w:marBottom w:val="0"/>
      <w:divBdr>
        <w:top w:val="none" w:sz="0" w:space="0" w:color="auto"/>
        <w:left w:val="none" w:sz="0" w:space="0" w:color="auto"/>
        <w:bottom w:val="none" w:sz="0" w:space="0" w:color="auto"/>
        <w:right w:val="none" w:sz="0" w:space="0" w:color="auto"/>
      </w:divBdr>
    </w:div>
    <w:div w:id="1675566653">
      <w:marLeft w:val="480"/>
      <w:marRight w:val="0"/>
      <w:marTop w:val="0"/>
      <w:marBottom w:val="0"/>
      <w:divBdr>
        <w:top w:val="none" w:sz="0" w:space="0" w:color="auto"/>
        <w:left w:val="none" w:sz="0" w:space="0" w:color="auto"/>
        <w:bottom w:val="none" w:sz="0" w:space="0" w:color="auto"/>
        <w:right w:val="none" w:sz="0" w:space="0" w:color="auto"/>
      </w:divBdr>
    </w:div>
    <w:div w:id="1677225001">
      <w:bodyDiv w:val="1"/>
      <w:marLeft w:val="0"/>
      <w:marRight w:val="0"/>
      <w:marTop w:val="0"/>
      <w:marBottom w:val="0"/>
      <w:divBdr>
        <w:top w:val="none" w:sz="0" w:space="0" w:color="auto"/>
        <w:left w:val="none" w:sz="0" w:space="0" w:color="auto"/>
        <w:bottom w:val="none" w:sz="0" w:space="0" w:color="auto"/>
        <w:right w:val="none" w:sz="0" w:space="0" w:color="auto"/>
      </w:divBdr>
    </w:div>
    <w:div w:id="1678458838">
      <w:bodyDiv w:val="1"/>
      <w:marLeft w:val="0"/>
      <w:marRight w:val="0"/>
      <w:marTop w:val="0"/>
      <w:marBottom w:val="0"/>
      <w:divBdr>
        <w:top w:val="none" w:sz="0" w:space="0" w:color="auto"/>
        <w:left w:val="none" w:sz="0" w:space="0" w:color="auto"/>
        <w:bottom w:val="none" w:sz="0" w:space="0" w:color="auto"/>
        <w:right w:val="none" w:sz="0" w:space="0" w:color="auto"/>
      </w:divBdr>
    </w:div>
    <w:div w:id="1679849883">
      <w:marLeft w:val="480"/>
      <w:marRight w:val="0"/>
      <w:marTop w:val="0"/>
      <w:marBottom w:val="0"/>
      <w:divBdr>
        <w:top w:val="none" w:sz="0" w:space="0" w:color="auto"/>
        <w:left w:val="none" w:sz="0" w:space="0" w:color="auto"/>
        <w:bottom w:val="none" w:sz="0" w:space="0" w:color="auto"/>
        <w:right w:val="none" w:sz="0" w:space="0" w:color="auto"/>
      </w:divBdr>
    </w:div>
    <w:div w:id="1681471765">
      <w:bodyDiv w:val="1"/>
      <w:marLeft w:val="0"/>
      <w:marRight w:val="0"/>
      <w:marTop w:val="0"/>
      <w:marBottom w:val="0"/>
      <w:divBdr>
        <w:top w:val="none" w:sz="0" w:space="0" w:color="auto"/>
        <w:left w:val="none" w:sz="0" w:space="0" w:color="auto"/>
        <w:bottom w:val="none" w:sz="0" w:space="0" w:color="auto"/>
        <w:right w:val="none" w:sz="0" w:space="0" w:color="auto"/>
      </w:divBdr>
      <w:divsChild>
        <w:div w:id="92945711">
          <w:marLeft w:val="-75"/>
          <w:marRight w:val="0"/>
          <w:marTop w:val="30"/>
          <w:marBottom w:val="30"/>
          <w:divBdr>
            <w:top w:val="none" w:sz="0" w:space="0" w:color="auto"/>
            <w:left w:val="none" w:sz="0" w:space="0" w:color="auto"/>
            <w:bottom w:val="none" w:sz="0" w:space="0" w:color="auto"/>
            <w:right w:val="none" w:sz="0" w:space="0" w:color="auto"/>
          </w:divBdr>
          <w:divsChild>
            <w:div w:id="315957729">
              <w:marLeft w:val="0"/>
              <w:marRight w:val="0"/>
              <w:marTop w:val="0"/>
              <w:marBottom w:val="0"/>
              <w:divBdr>
                <w:top w:val="none" w:sz="0" w:space="0" w:color="auto"/>
                <w:left w:val="none" w:sz="0" w:space="0" w:color="auto"/>
                <w:bottom w:val="none" w:sz="0" w:space="0" w:color="auto"/>
                <w:right w:val="none" w:sz="0" w:space="0" w:color="auto"/>
              </w:divBdr>
              <w:divsChild>
                <w:div w:id="978221065">
                  <w:marLeft w:val="0"/>
                  <w:marRight w:val="0"/>
                  <w:marTop w:val="0"/>
                  <w:marBottom w:val="0"/>
                  <w:divBdr>
                    <w:top w:val="none" w:sz="0" w:space="0" w:color="auto"/>
                    <w:left w:val="none" w:sz="0" w:space="0" w:color="auto"/>
                    <w:bottom w:val="none" w:sz="0" w:space="0" w:color="auto"/>
                    <w:right w:val="none" w:sz="0" w:space="0" w:color="auto"/>
                  </w:divBdr>
                </w:div>
              </w:divsChild>
            </w:div>
            <w:div w:id="320694157">
              <w:marLeft w:val="0"/>
              <w:marRight w:val="0"/>
              <w:marTop w:val="0"/>
              <w:marBottom w:val="0"/>
              <w:divBdr>
                <w:top w:val="none" w:sz="0" w:space="0" w:color="auto"/>
                <w:left w:val="none" w:sz="0" w:space="0" w:color="auto"/>
                <w:bottom w:val="none" w:sz="0" w:space="0" w:color="auto"/>
                <w:right w:val="none" w:sz="0" w:space="0" w:color="auto"/>
              </w:divBdr>
              <w:divsChild>
                <w:div w:id="1077285139">
                  <w:marLeft w:val="0"/>
                  <w:marRight w:val="0"/>
                  <w:marTop w:val="0"/>
                  <w:marBottom w:val="0"/>
                  <w:divBdr>
                    <w:top w:val="none" w:sz="0" w:space="0" w:color="auto"/>
                    <w:left w:val="none" w:sz="0" w:space="0" w:color="auto"/>
                    <w:bottom w:val="none" w:sz="0" w:space="0" w:color="auto"/>
                    <w:right w:val="none" w:sz="0" w:space="0" w:color="auto"/>
                  </w:divBdr>
                </w:div>
              </w:divsChild>
            </w:div>
            <w:div w:id="388841692">
              <w:marLeft w:val="0"/>
              <w:marRight w:val="0"/>
              <w:marTop w:val="0"/>
              <w:marBottom w:val="0"/>
              <w:divBdr>
                <w:top w:val="none" w:sz="0" w:space="0" w:color="auto"/>
                <w:left w:val="none" w:sz="0" w:space="0" w:color="auto"/>
                <w:bottom w:val="none" w:sz="0" w:space="0" w:color="auto"/>
                <w:right w:val="none" w:sz="0" w:space="0" w:color="auto"/>
              </w:divBdr>
              <w:divsChild>
                <w:div w:id="727072246">
                  <w:marLeft w:val="0"/>
                  <w:marRight w:val="0"/>
                  <w:marTop w:val="0"/>
                  <w:marBottom w:val="0"/>
                  <w:divBdr>
                    <w:top w:val="none" w:sz="0" w:space="0" w:color="auto"/>
                    <w:left w:val="none" w:sz="0" w:space="0" w:color="auto"/>
                    <w:bottom w:val="none" w:sz="0" w:space="0" w:color="auto"/>
                    <w:right w:val="none" w:sz="0" w:space="0" w:color="auto"/>
                  </w:divBdr>
                </w:div>
              </w:divsChild>
            </w:div>
            <w:div w:id="420763597">
              <w:marLeft w:val="0"/>
              <w:marRight w:val="0"/>
              <w:marTop w:val="0"/>
              <w:marBottom w:val="0"/>
              <w:divBdr>
                <w:top w:val="none" w:sz="0" w:space="0" w:color="auto"/>
                <w:left w:val="none" w:sz="0" w:space="0" w:color="auto"/>
                <w:bottom w:val="none" w:sz="0" w:space="0" w:color="auto"/>
                <w:right w:val="none" w:sz="0" w:space="0" w:color="auto"/>
              </w:divBdr>
              <w:divsChild>
                <w:div w:id="642273536">
                  <w:marLeft w:val="0"/>
                  <w:marRight w:val="0"/>
                  <w:marTop w:val="0"/>
                  <w:marBottom w:val="0"/>
                  <w:divBdr>
                    <w:top w:val="none" w:sz="0" w:space="0" w:color="auto"/>
                    <w:left w:val="none" w:sz="0" w:space="0" w:color="auto"/>
                    <w:bottom w:val="none" w:sz="0" w:space="0" w:color="auto"/>
                    <w:right w:val="none" w:sz="0" w:space="0" w:color="auto"/>
                  </w:divBdr>
                </w:div>
              </w:divsChild>
            </w:div>
            <w:div w:id="587464983">
              <w:marLeft w:val="0"/>
              <w:marRight w:val="0"/>
              <w:marTop w:val="0"/>
              <w:marBottom w:val="0"/>
              <w:divBdr>
                <w:top w:val="none" w:sz="0" w:space="0" w:color="auto"/>
                <w:left w:val="none" w:sz="0" w:space="0" w:color="auto"/>
                <w:bottom w:val="none" w:sz="0" w:space="0" w:color="auto"/>
                <w:right w:val="none" w:sz="0" w:space="0" w:color="auto"/>
              </w:divBdr>
              <w:divsChild>
                <w:div w:id="657077483">
                  <w:marLeft w:val="0"/>
                  <w:marRight w:val="0"/>
                  <w:marTop w:val="0"/>
                  <w:marBottom w:val="0"/>
                  <w:divBdr>
                    <w:top w:val="none" w:sz="0" w:space="0" w:color="auto"/>
                    <w:left w:val="none" w:sz="0" w:space="0" w:color="auto"/>
                    <w:bottom w:val="none" w:sz="0" w:space="0" w:color="auto"/>
                    <w:right w:val="none" w:sz="0" w:space="0" w:color="auto"/>
                  </w:divBdr>
                </w:div>
              </w:divsChild>
            </w:div>
            <w:div w:id="721564874">
              <w:marLeft w:val="0"/>
              <w:marRight w:val="0"/>
              <w:marTop w:val="0"/>
              <w:marBottom w:val="0"/>
              <w:divBdr>
                <w:top w:val="none" w:sz="0" w:space="0" w:color="auto"/>
                <w:left w:val="none" w:sz="0" w:space="0" w:color="auto"/>
                <w:bottom w:val="none" w:sz="0" w:space="0" w:color="auto"/>
                <w:right w:val="none" w:sz="0" w:space="0" w:color="auto"/>
              </w:divBdr>
              <w:divsChild>
                <w:div w:id="1001932709">
                  <w:marLeft w:val="0"/>
                  <w:marRight w:val="0"/>
                  <w:marTop w:val="0"/>
                  <w:marBottom w:val="0"/>
                  <w:divBdr>
                    <w:top w:val="none" w:sz="0" w:space="0" w:color="auto"/>
                    <w:left w:val="none" w:sz="0" w:space="0" w:color="auto"/>
                    <w:bottom w:val="none" w:sz="0" w:space="0" w:color="auto"/>
                    <w:right w:val="none" w:sz="0" w:space="0" w:color="auto"/>
                  </w:divBdr>
                </w:div>
              </w:divsChild>
            </w:div>
            <w:div w:id="1013721320">
              <w:marLeft w:val="0"/>
              <w:marRight w:val="0"/>
              <w:marTop w:val="0"/>
              <w:marBottom w:val="0"/>
              <w:divBdr>
                <w:top w:val="none" w:sz="0" w:space="0" w:color="auto"/>
                <w:left w:val="none" w:sz="0" w:space="0" w:color="auto"/>
                <w:bottom w:val="none" w:sz="0" w:space="0" w:color="auto"/>
                <w:right w:val="none" w:sz="0" w:space="0" w:color="auto"/>
              </w:divBdr>
              <w:divsChild>
                <w:div w:id="1310209122">
                  <w:marLeft w:val="0"/>
                  <w:marRight w:val="0"/>
                  <w:marTop w:val="0"/>
                  <w:marBottom w:val="0"/>
                  <w:divBdr>
                    <w:top w:val="none" w:sz="0" w:space="0" w:color="auto"/>
                    <w:left w:val="none" w:sz="0" w:space="0" w:color="auto"/>
                    <w:bottom w:val="none" w:sz="0" w:space="0" w:color="auto"/>
                    <w:right w:val="none" w:sz="0" w:space="0" w:color="auto"/>
                  </w:divBdr>
                </w:div>
              </w:divsChild>
            </w:div>
            <w:div w:id="1228805940">
              <w:marLeft w:val="0"/>
              <w:marRight w:val="0"/>
              <w:marTop w:val="0"/>
              <w:marBottom w:val="0"/>
              <w:divBdr>
                <w:top w:val="none" w:sz="0" w:space="0" w:color="auto"/>
                <w:left w:val="none" w:sz="0" w:space="0" w:color="auto"/>
                <w:bottom w:val="none" w:sz="0" w:space="0" w:color="auto"/>
                <w:right w:val="none" w:sz="0" w:space="0" w:color="auto"/>
              </w:divBdr>
              <w:divsChild>
                <w:div w:id="473372892">
                  <w:marLeft w:val="0"/>
                  <w:marRight w:val="0"/>
                  <w:marTop w:val="0"/>
                  <w:marBottom w:val="0"/>
                  <w:divBdr>
                    <w:top w:val="none" w:sz="0" w:space="0" w:color="auto"/>
                    <w:left w:val="none" w:sz="0" w:space="0" w:color="auto"/>
                    <w:bottom w:val="none" w:sz="0" w:space="0" w:color="auto"/>
                    <w:right w:val="none" w:sz="0" w:space="0" w:color="auto"/>
                  </w:divBdr>
                </w:div>
              </w:divsChild>
            </w:div>
            <w:div w:id="1257405405">
              <w:marLeft w:val="0"/>
              <w:marRight w:val="0"/>
              <w:marTop w:val="0"/>
              <w:marBottom w:val="0"/>
              <w:divBdr>
                <w:top w:val="none" w:sz="0" w:space="0" w:color="auto"/>
                <w:left w:val="none" w:sz="0" w:space="0" w:color="auto"/>
                <w:bottom w:val="none" w:sz="0" w:space="0" w:color="auto"/>
                <w:right w:val="none" w:sz="0" w:space="0" w:color="auto"/>
              </w:divBdr>
              <w:divsChild>
                <w:div w:id="1309897151">
                  <w:marLeft w:val="0"/>
                  <w:marRight w:val="0"/>
                  <w:marTop w:val="0"/>
                  <w:marBottom w:val="0"/>
                  <w:divBdr>
                    <w:top w:val="none" w:sz="0" w:space="0" w:color="auto"/>
                    <w:left w:val="none" w:sz="0" w:space="0" w:color="auto"/>
                    <w:bottom w:val="none" w:sz="0" w:space="0" w:color="auto"/>
                    <w:right w:val="none" w:sz="0" w:space="0" w:color="auto"/>
                  </w:divBdr>
                </w:div>
              </w:divsChild>
            </w:div>
            <w:div w:id="1334575654">
              <w:marLeft w:val="0"/>
              <w:marRight w:val="0"/>
              <w:marTop w:val="0"/>
              <w:marBottom w:val="0"/>
              <w:divBdr>
                <w:top w:val="none" w:sz="0" w:space="0" w:color="auto"/>
                <w:left w:val="none" w:sz="0" w:space="0" w:color="auto"/>
                <w:bottom w:val="none" w:sz="0" w:space="0" w:color="auto"/>
                <w:right w:val="none" w:sz="0" w:space="0" w:color="auto"/>
              </w:divBdr>
              <w:divsChild>
                <w:div w:id="1070805371">
                  <w:marLeft w:val="0"/>
                  <w:marRight w:val="0"/>
                  <w:marTop w:val="0"/>
                  <w:marBottom w:val="0"/>
                  <w:divBdr>
                    <w:top w:val="none" w:sz="0" w:space="0" w:color="auto"/>
                    <w:left w:val="none" w:sz="0" w:space="0" w:color="auto"/>
                    <w:bottom w:val="none" w:sz="0" w:space="0" w:color="auto"/>
                    <w:right w:val="none" w:sz="0" w:space="0" w:color="auto"/>
                  </w:divBdr>
                </w:div>
              </w:divsChild>
            </w:div>
            <w:div w:id="1448818466">
              <w:marLeft w:val="0"/>
              <w:marRight w:val="0"/>
              <w:marTop w:val="0"/>
              <w:marBottom w:val="0"/>
              <w:divBdr>
                <w:top w:val="none" w:sz="0" w:space="0" w:color="auto"/>
                <w:left w:val="none" w:sz="0" w:space="0" w:color="auto"/>
                <w:bottom w:val="none" w:sz="0" w:space="0" w:color="auto"/>
                <w:right w:val="none" w:sz="0" w:space="0" w:color="auto"/>
              </w:divBdr>
              <w:divsChild>
                <w:div w:id="2076201535">
                  <w:marLeft w:val="0"/>
                  <w:marRight w:val="0"/>
                  <w:marTop w:val="0"/>
                  <w:marBottom w:val="0"/>
                  <w:divBdr>
                    <w:top w:val="none" w:sz="0" w:space="0" w:color="auto"/>
                    <w:left w:val="none" w:sz="0" w:space="0" w:color="auto"/>
                    <w:bottom w:val="none" w:sz="0" w:space="0" w:color="auto"/>
                    <w:right w:val="none" w:sz="0" w:space="0" w:color="auto"/>
                  </w:divBdr>
                </w:div>
              </w:divsChild>
            </w:div>
            <w:div w:id="1491679917">
              <w:marLeft w:val="0"/>
              <w:marRight w:val="0"/>
              <w:marTop w:val="0"/>
              <w:marBottom w:val="0"/>
              <w:divBdr>
                <w:top w:val="none" w:sz="0" w:space="0" w:color="auto"/>
                <w:left w:val="none" w:sz="0" w:space="0" w:color="auto"/>
                <w:bottom w:val="none" w:sz="0" w:space="0" w:color="auto"/>
                <w:right w:val="none" w:sz="0" w:space="0" w:color="auto"/>
              </w:divBdr>
            </w:div>
            <w:div w:id="1671055951">
              <w:marLeft w:val="0"/>
              <w:marRight w:val="0"/>
              <w:marTop w:val="0"/>
              <w:marBottom w:val="0"/>
              <w:divBdr>
                <w:top w:val="none" w:sz="0" w:space="0" w:color="auto"/>
                <w:left w:val="none" w:sz="0" w:space="0" w:color="auto"/>
                <w:bottom w:val="none" w:sz="0" w:space="0" w:color="auto"/>
                <w:right w:val="none" w:sz="0" w:space="0" w:color="auto"/>
              </w:divBdr>
              <w:divsChild>
                <w:div w:id="1695569965">
                  <w:marLeft w:val="0"/>
                  <w:marRight w:val="0"/>
                  <w:marTop w:val="0"/>
                  <w:marBottom w:val="0"/>
                  <w:divBdr>
                    <w:top w:val="none" w:sz="0" w:space="0" w:color="auto"/>
                    <w:left w:val="none" w:sz="0" w:space="0" w:color="auto"/>
                    <w:bottom w:val="none" w:sz="0" w:space="0" w:color="auto"/>
                    <w:right w:val="none" w:sz="0" w:space="0" w:color="auto"/>
                  </w:divBdr>
                </w:div>
              </w:divsChild>
            </w:div>
            <w:div w:id="1697807546">
              <w:marLeft w:val="0"/>
              <w:marRight w:val="0"/>
              <w:marTop w:val="0"/>
              <w:marBottom w:val="0"/>
              <w:divBdr>
                <w:top w:val="none" w:sz="0" w:space="0" w:color="auto"/>
                <w:left w:val="none" w:sz="0" w:space="0" w:color="auto"/>
                <w:bottom w:val="none" w:sz="0" w:space="0" w:color="auto"/>
                <w:right w:val="none" w:sz="0" w:space="0" w:color="auto"/>
              </w:divBdr>
              <w:divsChild>
                <w:div w:id="1100372691">
                  <w:marLeft w:val="0"/>
                  <w:marRight w:val="0"/>
                  <w:marTop w:val="0"/>
                  <w:marBottom w:val="0"/>
                  <w:divBdr>
                    <w:top w:val="none" w:sz="0" w:space="0" w:color="auto"/>
                    <w:left w:val="none" w:sz="0" w:space="0" w:color="auto"/>
                    <w:bottom w:val="none" w:sz="0" w:space="0" w:color="auto"/>
                    <w:right w:val="none" w:sz="0" w:space="0" w:color="auto"/>
                  </w:divBdr>
                </w:div>
              </w:divsChild>
            </w:div>
            <w:div w:id="1701971531">
              <w:marLeft w:val="0"/>
              <w:marRight w:val="0"/>
              <w:marTop w:val="0"/>
              <w:marBottom w:val="0"/>
              <w:divBdr>
                <w:top w:val="none" w:sz="0" w:space="0" w:color="auto"/>
                <w:left w:val="none" w:sz="0" w:space="0" w:color="auto"/>
                <w:bottom w:val="none" w:sz="0" w:space="0" w:color="auto"/>
                <w:right w:val="none" w:sz="0" w:space="0" w:color="auto"/>
              </w:divBdr>
              <w:divsChild>
                <w:div w:id="420764247">
                  <w:marLeft w:val="0"/>
                  <w:marRight w:val="0"/>
                  <w:marTop w:val="0"/>
                  <w:marBottom w:val="0"/>
                  <w:divBdr>
                    <w:top w:val="none" w:sz="0" w:space="0" w:color="auto"/>
                    <w:left w:val="none" w:sz="0" w:space="0" w:color="auto"/>
                    <w:bottom w:val="none" w:sz="0" w:space="0" w:color="auto"/>
                    <w:right w:val="none" w:sz="0" w:space="0" w:color="auto"/>
                  </w:divBdr>
                </w:div>
              </w:divsChild>
            </w:div>
            <w:div w:id="1752122043">
              <w:marLeft w:val="0"/>
              <w:marRight w:val="0"/>
              <w:marTop w:val="0"/>
              <w:marBottom w:val="0"/>
              <w:divBdr>
                <w:top w:val="none" w:sz="0" w:space="0" w:color="auto"/>
                <w:left w:val="none" w:sz="0" w:space="0" w:color="auto"/>
                <w:bottom w:val="none" w:sz="0" w:space="0" w:color="auto"/>
                <w:right w:val="none" w:sz="0" w:space="0" w:color="auto"/>
              </w:divBdr>
              <w:divsChild>
                <w:div w:id="1824663998">
                  <w:marLeft w:val="0"/>
                  <w:marRight w:val="0"/>
                  <w:marTop w:val="0"/>
                  <w:marBottom w:val="0"/>
                  <w:divBdr>
                    <w:top w:val="none" w:sz="0" w:space="0" w:color="auto"/>
                    <w:left w:val="none" w:sz="0" w:space="0" w:color="auto"/>
                    <w:bottom w:val="none" w:sz="0" w:space="0" w:color="auto"/>
                    <w:right w:val="none" w:sz="0" w:space="0" w:color="auto"/>
                  </w:divBdr>
                </w:div>
              </w:divsChild>
            </w:div>
            <w:div w:id="1782606256">
              <w:marLeft w:val="0"/>
              <w:marRight w:val="0"/>
              <w:marTop w:val="0"/>
              <w:marBottom w:val="0"/>
              <w:divBdr>
                <w:top w:val="none" w:sz="0" w:space="0" w:color="auto"/>
                <w:left w:val="none" w:sz="0" w:space="0" w:color="auto"/>
                <w:bottom w:val="none" w:sz="0" w:space="0" w:color="auto"/>
                <w:right w:val="none" w:sz="0" w:space="0" w:color="auto"/>
              </w:divBdr>
              <w:divsChild>
                <w:div w:id="1923831960">
                  <w:marLeft w:val="0"/>
                  <w:marRight w:val="0"/>
                  <w:marTop w:val="0"/>
                  <w:marBottom w:val="0"/>
                  <w:divBdr>
                    <w:top w:val="none" w:sz="0" w:space="0" w:color="auto"/>
                    <w:left w:val="none" w:sz="0" w:space="0" w:color="auto"/>
                    <w:bottom w:val="none" w:sz="0" w:space="0" w:color="auto"/>
                    <w:right w:val="none" w:sz="0" w:space="0" w:color="auto"/>
                  </w:divBdr>
                </w:div>
              </w:divsChild>
            </w:div>
            <w:div w:id="1898394285">
              <w:marLeft w:val="0"/>
              <w:marRight w:val="0"/>
              <w:marTop w:val="0"/>
              <w:marBottom w:val="0"/>
              <w:divBdr>
                <w:top w:val="none" w:sz="0" w:space="0" w:color="auto"/>
                <w:left w:val="none" w:sz="0" w:space="0" w:color="auto"/>
                <w:bottom w:val="none" w:sz="0" w:space="0" w:color="auto"/>
                <w:right w:val="none" w:sz="0" w:space="0" w:color="auto"/>
              </w:divBdr>
              <w:divsChild>
                <w:div w:id="143009090">
                  <w:marLeft w:val="0"/>
                  <w:marRight w:val="0"/>
                  <w:marTop w:val="0"/>
                  <w:marBottom w:val="0"/>
                  <w:divBdr>
                    <w:top w:val="none" w:sz="0" w:space="0" w:color="auto"/>
                    <w:left w:val="none" w:sz="0" w:space="0" w:color="auto"/>
                    <w:bottom w:val="none" w:sz="0" w:space="0" w:color="auto"/>
                    <w:right w:val="none" w:sz="0" w:space="0" w:color="auto"/>
                  </w:divBdr>
                </w:div>
              </w:divsChild>
            </w:div>
            <w:div w:id="1921789041">
              <w:marLeft w:val="0"/>
              <w:marRight w:val="0"/>
              <w:marTop w:val="0"/>
              <w:marBottom w:val="0"/>
              <w:divBdr>
                <w:top w:val="none" w:sz="0" w:space="0" w:color="auto"/>
                <w:left w:val="none" w:sz="0" w:space="0" w:color="auto"/>
                <w:bottom w:val="none" w:sz="0" w:space="0" w:color="auto"/>
                <w:right w:val="none" w:sz="0" w:space="0" w:color="auto"/>
              </w:divBdr>
              <w:divsChild>
                <w:div w:id="1383599892">
                  <w:marLeft w:val="0"/>
                  <w:marRight w:val="0"/>
                  <w:marTop w:val="0"/>
                  <w:marBottom w:val="0"/>
                  <w:divBdr>
                    <w:top w:val="none" w:sz="0" w:space="0" w:color="auto"/>
                    <w:left w:val="none" w:sz="0" w:space="0" w:color="auto"/>
                    <w:bottom w:val="none" w:sz="0" w:space="0" w:color="auto"/>
                    <w:right w:val="none" w:sz="0" w:space="0" w:color="auto"/>
                  </w:divBdr>
                </w:div>
              </w:divsChild>
            </w:div>
            <w:div w:id="1984844140">
              <w:marLeft w:val="0"/>
              <w:marRight w:val="0"/>
              <w:marTop w:val="0"/>
              <w:marBottom w:val="0"/>
              <w:divBdr>
                <w:top w:val="none" w:sz="0" w:space="0" w:color="auto"/>
                <w:left w:val="none" w:sz="0" w:space="0" w:color="auto"/>
                <w:bottom w:val="none" w:sz="0" w:space="0" w:color="auto"/>
                <w:right w:val="none" w:sz="0" w:space="0" w:color="auto"/>
              </w:divBdr>
              <w:divsChild>
                <w:div w:id="1987738499">
                  <w:marLeft w:val="0"/>
                  <w:marRight w:val="0"/>
                  <w:marTop w:val="0"/>
                  <w:marBottom w:val="0"/>
                  <w:divBdr>
                    <w:top w:val="none" w:sz="0" w:space="0" w:color="auto"/>
                    <w:left w:val="none" w:sz="0" w:space="0" w:color="auto"/>
                    <w:bottom w:val="none" w:sz="0" w:space="0" w:color="auto"/>
                    <w:right w:val="none" w:sz="0" w:space="0" w:color="auto"/>
                  </w:divBdr>
                </w:div>
              </w:divsChild>
            </w:div>
            <w:div w:id="2110659406">
              <w:marLeft w:val="0"/>
              <w:marRight w:val="0"/>
              <w:marTop w:val="0"/>
              <w:marBottom w:val="0"/>
              <w:divBdr>
                <w:top w:val="none" w:sz="0" w:space="0" w:color="auto"/>
                <w:left w:val="none" w:sz="0" w:space="0" w:color="auto"/>
                <w:bottom w:val="none" w:sz="0" w:space="0" w:color="auto"/>
                <w:right w:val="none" w:sz="0" w:space="0" w:color="auto"/>
              </w:divBdr>
              <w:divsChild>
                <w:div w:id="154405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95442">
          <w:marLeft w:val="0"/>
          <w:marRight w:val="0"/>
          <w:marTop w:val="0"/>
          <w:marBottom w:val="0"/>
          <w:divBdr>
            <w:top w:val="none" w:sz="0" w:space="0" w:color="auto"/>
            <w:left w:val="none" w:sz="0" w:space="0" w:color="auto"/>
            <w:bottom w:val="none" w:sz="0" w:space="0" w:color="auto"/>
            <w:right w:val="none" w:sz="0" w:space="0" w:color="auto"/>
          </w:divBdr>
        </w:div>
        <w:div w:id="327828210">
          <w:marLeft w:val="0"/>
          <w:marRight w:val="0"/>
          <w:marTop w:val="0"/>
          <w:marBottom w:val="0"/>
          <w:divBdr>
            <w:top w:val="none" w:sz="0" w:space="0" w:color="auto"/>
            <w:left w:val="none" w:sz="0" w:space="0" w:color="auto"/>
            <w:bottom w:val="none" w:sz="0" w:space="0" w:color="auto"/>
            <w:right w:val="none" w:sz="0" w:space="0" w:color="auto"/>
          </w:divBdr>
        </w:div>
        <w:div w:id="336732934">
          <w:marLeft w:val="0"/>
          <w:marRight w:val="0"/>
          <w:marTop w:val="0"/>
          <w:marBottom w:val="0"/>
          <w:divBdr>
            <w:top w:val="none" w:sz="0" w:space="0" w:color="auto"/>
            <w:left w:val="none" w:sz="0" w:space="0" w:color="auto"/>
            <w:bottom w:val="none" w:sz="0" w:space="0" w:color="auto"/>
            <w:right w:val="none" w:sz="0" w:space="0" w:color="auto"/>
          </w:divBdr>
        </w:div>
        <w:div w:id="359624373">
          <w:marLeft w:val="-75"/>
          <w:marRight w:val="0"/>
          <w:marTop w:val="30"/>
          <w:marBottom w:val="30"/>
          <w:divBdr>
            <w:top w:val="none" w:sz="0" w:space="0" w:color="auto"/>
            <w:left w:val="none" w:sz="0" w:space="0" w:color="auto"/>
            <w:bottom w:val="none" w:sz="0" w:space="0" w:color="auto"/>
            <w:right w:val="none" w:sz="0" w:space="0" w:color="auto"/>
          </w:divBdr>
          <w:divsChild>
            <w:div w:id="493497416">
              <w:marLeft w:val="0"/>
              <w:marRight w:val="0"/>
              <w:marTop w:val="0"/>
              <w:marBottom w:val="0"/>
              <w:divBdr>
                <w:top w:val="none" w:sz="0" w:space="0" w:color="auto"/>
                <w:left w:val="none" w:sz="0" w:space="0" w:color="auto"/>
                <w:bottom w:val="none" w:sz="0" w:space="0" w:color="auto"/>
                <w:right w:val="none" w:sz="0" w:space="0" w:color="auto"/>
              </w:divBdr>
              <w:divsChild>
                <w:div w:id="622269123">
                  <w:marLeft w:val="0"/>
                  <w:marRight w:val="0"/>
                  <w:marTop w:val="0"/>
                  <w:marBottom w:val="0"/>
                  <w:divBdr>
                    <w:top w:val="none" w:sz="0" w:space="0" w:color="auto"/>
                    <w:left w:val="none" w:sz="0" w:space="0" w:color="auto"/>
                    <w:bottom w:val="none" w:sz="0" w:space="0" w:color="auto"/>
                    <w:right w:val="none" w:sz="0" w:space="0" w:color="auto"/>
                  </w:divBdr>
                </w:div>
                <w:div w:id="1031954729">
                  <w:marLeft w:val="0"/>
                  <w:marRight w:val="0"/>
                  <w:marTop w:val="0"/>
                  <w:marBottom w:val="0"/>
                  <w:divBdr>
                    <w:top w:val="none" w:sz="0" w:space="0" w:color="auto"/>
                    <w:left w:val="none" w:sz="0" w:space="0" w:color="auto"/>
                    <w:bottom w:val="none" w:sz="0" w:space="0" w:color="auto"/>
                    <w:right w:val="none" w:sz="0" w:space="0" w:color="auto"/>
                  </w:divBdr>
                </w:div>
                <w:div w:id="1483816545">
                  <w:marLeft w:val="0"/>
                  <w:marRight w:val="0"/>
                  <w:marTop w:val="0"/>
                  <w:marBottom w:val="0"/>
                  <w:divBdr>
                    <w:top w:val="none" w:sz="0" w:space="0" w:color="auto"/>
                    <w:left w:val="none" w:sz="0" w:space="0" w:color="auto"/>
                    <w:bottom w:val="none" w:sz="0" w:space="0" w:color="auto"/>
                    <w:right w:val="none" w:sz="0" w:space="0" w:color="auto"/>
                  </w:divBdr>
                </w:div>
                <w:div w:id="2108233624">
                  <w:marLeft w:val="0"/>
                  <w:marRight w:val="0"/>
                  <w:marTop w:val="0"/>
                  <w:marBottom w:val="0"/>
                  <w:divBdr>
                    <w:top w:val="none" w:sz="0" w:space="0" w:color="auto"/>
                    <w:left w:val="none" w:sz="0" w:space="0" w:color="auto"/>
                    <w:bottom w:val="none" w:sz="0" w:space="0" w:color="auto"/>
                    <w:right w:val="none" w:sz="0" w:space="0" w:color="auto"/>
                  </w:divBdr>
                </w:div>
              </w:divsChild>
            </w:div>
            <w:div w:id="1921602876">
              <w:marLeft w:val="0"/>
              <w:marRight w:val="0"/>
              <w:marTop w:val="0"/>
              <w:marBottom w:val="0"/>
              <w:divBdr>
                <w:top w:val="none" w:sz="0" w:space="0" w:color="auto"/>
                <w:left w:val="none" w:sz="0" w:space="0" w:color="auto"/>
                <w:bottom w:val="none" w:sz="0" w:space="0" w:color="auto"/>
                <w:right w:val="none" w:sz="0" w:space="0" w:color="auto"/>
              </w:divBdr>
              <w:divsChild>
                <w:div w:id="13388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9694">
          <w:marLeft w:val="0"/>
          <w:marRight w:val="0"/>
          <w:marTop w:val="0"/>
          <w:marBottom w:val="0"/>
          <w:divBdr>
            <w:top w:val="none" w:sz="0" w:space="0" w:color="auto"/>
            <w:left w:val="none" w:sz="0" w:space="0" w:color="auto"/>
            <w:bottom w:val="none" w:sz="0" w:space="0" w:color="auto"/>
            <w:right w:val="none" w:sz="0" w:space="0" w:color="auto"/>
          </w:divBdr>
        </w:div>
        <w:div w:id="440343127">
          <w:marLeft w:val="0"/>
          <w:marRight w:val="0"/>
          <w:marTop w:val="0"/>
          <w:marBottom w:val="0"/>
          <w:divBdr>
            <w:top w:val="none" w:sz="0" w:space="0" w:color="auto"/>
            <w:left w:val="none" w:sz="0" w:space="0" w:color="auto"/>
            <w:bottom w:val="none" w:sz="0" w:space="0" w:color="auto"/>
            <w:right w:val="none" w:sz="0" w:space="0" w:color="auto"/>
          </w:divBdr>
        </w:div>
        <w:div w:id="727654188">
          <w:marLeft w:val="0"/>
          <w:marRight w:val="0"/>
          <w:marTop w:val="0"/>
          <w:marBottom w:val="0"/>
          <w:divBdr>
            <w:top w:val="none" w:sz="0" w:space="0" w:color="auto"/>
            <w:left w:val="none" w:sz="0" w:space="0" w:color="auto"/>
            <w:bottom w:val="none" w:sz="0" w:space="0" w:color="auto"/>
            <w:right w:val="none" w:sz="0" w:space="0" w:color="auto"/>
          </w:divBdr>
        </w:div>
        <w:div w:id="841314008">
          <w:marLeft w:val="0"/>
          <w:marRight w:val="0"/>
          <w:marTop w:val="0"/>
          <w:marBottom w:val="0"/>
          <w:divBdr>
            <w:top w:val="none" w:sz="0" w:space="0" w:color="auto"/>
            <w:left w:val="none" w:sz="0" w:space="0" w:color="auto"/>
            <w:bottom w:val="none" w:sz="0" w:space="0" w:color="auto"/>
            <w:right w:val="none" w:sz="0" w:space="0" w:color="auto"/>
          </w:divBdr>
        </w:div>
        <w:div w:id="920408950">
          <w:marLeft w:val="0"/>
          <w:marRight w:val="0"/>
          <w:marTop w:val="0"/>
          <w:marBottom w:val="0"/>
          <w:divBdr>
            <w:top w:val="none" w:sz="0" w:space="0" w:color="auto"/>
            <w:left w:val="none" w:sz="0" w:space="0" w:color="auto"/>
            <w:bottom w:val="none" w:sz="0" w:space="0" w:color="auto"/>
            <w:right w:val="none" w:sz="0" w:space="0" w:color="auto"/>
          </w:divBdr>
        </w:div>
        <w:div w:id="932855532">
          <w:marLeft w:val="0"/>
          <w:marRight w:val="0"/>
          <w:marTop w:val="0"/>
          <w:marBottom w:val="0"/>
          <w:divBdr>
            <w:top w:val="none" w:sz="0" w:space="0" w:color="auto"/>
            <w:left w:val="none" w:sz="0" w:space="0" w:color="auto"/>
            <w:bottom w:val="none" w:sz="0" w:space="0" w:color="auto"/>
            <w:right w:val="none" w:sz="0" w:space="0" w:color="auto"/>
          </w:divBdr>
        </w:div>
        <w:div w:id="946933287">
          <w:marLeft w:val="0"/>
          <w:marRight w:val="0"/>
          <w:marTop w:val="0"/>
          <w:marBottom w:val="0"/>
          <w:divBdr>
            <w:top w:val="none" w:sz="0" w:space="0" w:color="auto"/>
            <w:left w:val="none" w:sz="0" w:space="0" w:color="auto"/>
            <w:bottom w:val="none" w:sz="0" w:space="0" w:color="auto"/>
            <w:right w:val="none" w:sz="0" w:space="0" w:color="auto"/>
          </w:divBdr>
        </w:div>
        <w:div w:id="1006711579">
          <w:marLeft w:val="-75"/>
          <w:marRight w:val="0"/>
          <w:marTop w:val="30"/>
          <w:marBottom w:val="30"/>
          <w:divBdr>
            <w:top w:val="none" w:sz="0" w:space="0" w:color="auto"/>
            <w:left w:val="none" w:sz="0" w:space="0" w:color="auto"/>
            <w:bottom w:val="none" w:sz="0" w:space="0" w:color="auto"/>
            <w:right w:val="none" w:sz="0" w:space="0" w:color="auto"/>
          </w:divBdr>
          <w:divsChild>
            <w:div w:id="438532191">
              <w:marLeft w:val="0"/>
              <w:marRight w:val="0"/>
              <w:marTop w:val="0"/>
              <w:marBottom w:val="0"/>
              <w:divBdr>
                <w:top w:val="none" w:sz="0" w:space="0" w:color="auto"/>
                <w:left w:val="none" w:sz="0" w:space="0" w:color="auto"/>
                <w:bottom w:val="none" w:sz="0" w:space="0" w:color="auto"/>
                <w:right w:val="none" w:sz="0" w:space="0" w:color="auto"/>
              </w:divBdr>
              <w:divsChild>
                <w:div w:id="561866446">
                  <w:marLeft w:val="0"/>
                  <w:marRight w:val="0"/>
                  <w:marTop w:val="0"/>
                  <w:marBottom w:val="0"/>
                  <w:divBdr>
                    <w:top w:val="none" w:sz="0" w:space="0" w:color="auto"/>
                    <w:left w:val="none" w:sz="0" w:space="0" w:color="auto"/>
                    <w:bottom w:val="none" w:sz="0" w:space="0" w:color="auto"/>
                    <w:right w:val="none" w:sz="0" w:space="0" w:color="auto"/>
                  </w:divBdr>
                </w:div>
                <w:div w:id="838737147">
                  <w:marLeft w:val="0"/>
                  <w:marRight w:val="0"/>
                  <w:marTop w:val="0"/>
                  <w:marBottom w:val="0"/>
                  <w:divBdr>
                    <w:top w:val="none" w:sz="0" w:space="0" w:color="auto"/>
                    <w:left w:val="none" w:sz="0" w:space="0" w:color="auto"/>
                    <w:bottom w:val="none" w:sz="0" w:space="0" w:color="auto"/>
                    <w:right w:val="none" w:sz="0" w:space="0" w:color="auto"/>
                  </w:divBdr>
                </w:div>
                <w:div w:id="1270239055">
                  <w:marLeft w:val="0"/>
                  <w:marRight w:val="0"/>
                  <w:marTop w:val="0"/>
                  <w:marBottom w:val="0"/>
                  <w:divBdr>
                    <w:top w:val="none" w:sz="0" w:space="0" w:color="auto"/>
                    <w:left w:val="none" w:sz="0" w:space="0" w:color="auto"/>
                    <w:bottom w:val="none" w:sz="0" w:space="0" w:color="auto"/>
                    <w:right w:val="none" w:sz="0" w:space="0" w:color="auto"/>
                  </w:divBdr>
                </w:div>
                <w:div w:id="1497919126">
                  <w:marLeft w:val="0"/>
                  <w:marRight w:val="0"/>
                  <w:marTop w:val="0"/>
                  <w:marBottom w:val="0"/>
                  <w:divBdr>
                    <w:top w:val="none" w:sz="0" w:space="0" w:color="auto"/>
                    <w:left w:val="none" w:sz="0" w:space="0" w:color="auto"/>
                    <w:bottom w:val="none" w:sz="0" w:space="0" w:color="auto"/>
                    <w:right w:val="none" w:sz="0" w:space="0" w:color="auto"/>
                  </w:divBdr>
                </w:div>
              </w:divsChild>
            </w:div>
            <w:div w:id="1883589023">
              <w:marLeft w:val="0"/>
              <w:marRight w:val="0"/>
              <w:marTop w:val="0"/>
              <w:marBottom w:val="0"/>
              <w:divBdr>
                <w:top w:val="none" w:sz="0" w:space="0" w:color="auto"/>
                <w:left w:val="none" w:sz="0" w:space="0" w:color="auto"/>
                <w:bottom w:val="none" w:sz="0" w:space="0" w:color="auto"/>
                <w:right w:val="none" w:sz="0" w:space="0" w:color="auto"/>
              </w:divBdr>
              <w:divsChild>
                <w:div w:id="29113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14547">
          <w:marLeft w:val="0"/>
          <w:marRight w:val="0"/>
          <w:marTop w:val="0"/>
          <w:marBottom w:val="0"/>
          <w:divBdr>
            <w:top w:val="none" w:sz="0" w:space="0" w:color="auto"/>
            <w:left w:val="none" w:sz="0" w:space="0" w:color="auto"/>
            <w:bottom w:val="none" w:sz="0" w:space="0" w:color="auto"/>
            <w:right w:val="none" w:sz="0" w:space="0" w:color="auto"/>
          </w:divBdr>
        </w:div>
        <w:div w:id="1476337467">
          <w:marLeft w:val="0"/>
          <w:marRight w:val="0"/>
          <w:marTop w:val="0"/>
          <w:marBottom w:val="0"/>
          <w:divBdr>
            <w:top w:val="none" w:sz="0" w:space="0" w:color="auto"/>
            <w:left w:val="none" w:sz="0" w:space="0" w:color="auto"/>
            <w:bottom w:val="none" w:sz="0" w:space="0" w:color="auto"/>
            <w:right w:val="none" w:sz="0" w:space="0" w:color="auto"/>
          </w:divBdr>
        </w:div>
        <w:div w:id="1521813973">
          <w:marLeft w:val="0"/>
          <w:marRight w:val="0"/>
          <w:marTop w:val="0"/>
          <w:marBottom w:val="0"/>
          <w:divBdr>
            <w:top w:val="none" w:sz="0" w:space="0" w:color="auto"/>
            <w:left w:val="none" w:sz="0" w:space="0" w:color="auto"/>
            <w:bottom w:val="none" w:sz="0" w:space="0" w:color="auto"/>
            <w:right w:val="none" w:sz="0" w:space="0" w:color="auto"/>
          </w:divBdr>
        </w:div>
        <w:div w:id="1557819807">
          <w:marLeft w:val="-75"/>
          <w:marRight w:val="0"/>
          <w:marTop w:val="30"/>
          <w:marBottom w:val="30"/>
          <w:divBdr>
            <w:top w:val="none" w:sz="0" w:space="0" w:color="auto"/>
            <w:left w:val="none" w:sz="0" w:space="0" w:color="auto"/>
            <w:bottom w:val="none" w:sz="0" w:space="0" w:color="auto"/>
            <w:right w:val="none" w:sz="0" w:space="0" w:color="auto"/>
          </w:divBdr>
          <w:divsChild>
            <w:div w:id="359550668">
              <w:marLeft w:val="0"/>
              <w:marRight w:val="0"/>
              <w:marTop w:val="0"/>
              <w:marBottom w:val="0"/>
              <w:divBdr>
                <w:top w:val="none" w:sz="0" w:space="0" w:color="auto"/>
                <w:left w:val="none" w:sz="0" w:space="0" w:color="auto"/>
                <w:bottom w:val="none" w:sz="0" w:space="0" w:color="auto"/>
                <w:right w:val="none" w:sz="0" w:space="0" w:color="auto"/>
              </w:divBdr>
              <w:divsChild>
                <w:div w:id="1456949567">
                  <w:marLeft w:val="0"/>
                  <w:marRight w:val="0"/>
                  <w:marTop w:val="0"/>
                  <w:marBottom w:val="0"/>
                  <w:divBdr>
                    <w:top w:val="none" w:sz="0" w:space="0" w:color="auto"/>
                    <w:left w:val="none" w:sz="0" w:space="0" w:color="auto"/>
                    <w:bottom w:val="none" w:sz="0" w:space="0" w:color="auto"/>
                    <w:right w:val="none" w:sz="0" w:space="0" w:color="auto"/>
                  </w:divBdr>
                </w:div>
              </w:divsChild>
            </w:div>
            <w:div w:id="615068607">
              <w:marLeft w:val="0"/>
              <w:marRight w:val="0"/>
              <w:marTop w:val="0"/>
              <w:marBottom w:val="0"/>
              <w:divBdr>
                <w:top w:val="none" w:sz="0" w:space="0" w:color="auto"/>
                <w:left w:val="none" w:sz="0" w:space="0" w:color="auto"/>
                <w:bottom w:val="none" w:sz="0" w:space="0" w:color="auto"/>
                <w:right w:val="none" w:sz="0" w:space="0" w:color="auto"/>
              </w:divBdr>
              <w:divsChild>
                <w:div w:id="384960854">
                  <w:marLeft w:val="0"/>
                  <w:marRight w:val="0"/>
                  <w:marTop w:val="0"/>
                  <w:marBottom w:val="0"/>
                  <w:divBdr>
                    <w:top w:val="none" w:sz="0" w:space="0" w:color="auto"/>
                    <w:left w:val="none" w:sz="0" w:space="0" w:color="auto"/>
                    <w:bottom w:val="none" w:sz="0" w:space="0" w:color="auto"/>
                    <w:right w:val="none" w:sz="0" w:space="0" w:color="auto"/>
                  </w:divBdr>
                </w:div>
              </w:divsChild>
            </w:div>
            <w:div w:id="889927635">
              <w:marLeft w:val="0"/>
              <w:marRight w:val="0"/>
              <w:marTop w:val="0"/>
              <w:marBottom w:val="0"/>
              <w:divBdr>
                <w:top w:val="none" w:sz="0" w:space="0" w:color="auto"/>
                <w:left w:val="none" w:sz="0" w:space="0" w:color="auto"/>
                <w:bottom w:val="none" w:sz="0" w:space="0" w:color="auto"/>
                <w:right w:val="none" w:sz="0" w:space="0" w:color="auto"/>
              </w:divBdr>
            </w:div>
            <w:div w:id="1704400099">
              <w:marLeft w:val="0"/>
              <w:marRight w:val="0"/>
              <w:marTop w:val="0"/>
              <w:marBottom w:val="0"/>
              <w:divBdr>
                <w:top w:val="none" w:sz="0" w:space="0" w:color="auto"/>
                <w:left w:val="none" w:sz="0" w:space="0" w:color="auto"/>
                <w:bottom w:val="none" w:sz="0" w:space="0" w:color="auto"/>
                <w:right w:val="none" w:sz="0" w:space="0" w:color="auto"/>
              </w:divBdr>
              <w:divsChild>
                <w:div w:id="872618652">
                  <w:marLeft w:val="0"/>
                  <w:marRight w:val="0"/>
                  <w:marTop w:val="0"/>
                  <w:marBottom w:val="0"/>
                  <w:divBdr>
                    <w:top w:val="none" w:sz="0" w:space="0" w:color="auto"/>
                    <w:left w:val="none" w:sz="0" w:space="0" w:color="auto"/>
                    <w:bottom w:val="none" w:sz="0" w:space="0" w:color="auto"/>
                    <w:right w:val="none" w:sz="0" w:space="0" w:color="auto"/>
                  </w:divBdr>
                </w:div>
              </w:divsChild>
            </w:div>
            <w:div w:id="1807040029">
              <w:marLeft w:val="0"/>
              <w:marRight w:val="0"/>
              <w:marTop w:val="0"/>
              <w:marBottom w:val="0"/>
              <w:divBdr>
                <w:top w:val="none" w:sz="0" w:space="0" w:color="auto"/>
                <w:left w:val="none" w:sz="0" w:space="0" w:color="auto"/>
                <w:bottom w:val="none" w:sz="0" w:space="0" w:color="auto"/>
                <w:right w:val="none" w:sz="0" w:space="0" w:color="auto"/>
              </w:divBdr>
              <w:divsChild>
                <w:div w:id="1564219850">
                  <w:marLeft w:val="0"/>
                  <w:marRight w:val="0"/>
                  <w:marTop w:val="0"/>
                  <w:marBottom w:val="0"/>
                  <w:divBdr>
                    <w:top w:val="none" w:sz="0" w:space="0" w:color="auto"/>
                    <w:left w:val="none" w:sz="0" w:space="0" w:color="auto"/>
                    <w:bottom w:val="none" w:sz="0" w:space="0" w:color="auto"/>
                    <w:right w:val="none" w:sz="0" w:space="0" w:color="auto"/>
                  </w:divBdr>
                </w:div>
              </w:divsChild>
            </w:div>
            <w:div w:id="2061633530">
              <w:marLeft w:val="0"/>
              <w:marRight w:val="0"/>
              <w:marTop w:val="0"/>
              <w:marBottom w:val="0"/>
              <w:divBdr>
                <w:top w:val="none" w:sz="0" w:space="0" w:color="auto"/>
                <w:left w:val="none" w:sz="0" w:space="0" w:color="auto"/>
                <w:bottom w:val="none" w:sz="0" w:space="0" w:color="auto"/>
                <w:right w:val="none" w:sz="0" w:space="0" w:color="auto"/>
              </w:divBdr>
              <w:divsChild>
                <w:div w:id="1915318840">
                  <w:marLeft w:val="0"/>
                  <w:marRight w:val="0"/>
                  <w:marTop w:val="0"/>
                  <w:marBottom w:val="0"/>
                  <w:divBdr>
                    <w:top w:val="none" w:sz="0" w:space="0" w:color="auto"/>
                    <w:left w:val="none" w:sz="0" w:space="0" w:color="auto"/>
                    <w:bottom w:val="none" w:sz="0" w:space="0" w:color="auto"/>
                    <w:right w:val="none" w:sz="0" w:space="0" w:color="auto"/>
                  </w:divBdr>
                </w:div>
              </w:divsChild>
            </w:div>
            <w:div w:id="2108577994">
              <w:marLeft w:val="0"/>
              <w:marRight w:val="0"/>
              <w:marTop w:val="0"/>
              <w:marBottom w:val="0"/>
              <w:divBdr>
                <w:top w:val="none" w:sz="0" w:space="0" w:color="auto"/>
                <w:left w:val="none" w:sz="0" w:space="0" w:color="auto"/>
                <w:bottom w:val="none" w:sz="0" w:space="0" w:color="auto"/>
                <w:right w:val="none" w:sz="0" w:space="0" w:color="auto"/>
              </w:divBdr>
              <w:divsChild>
                <w:div w:id="9687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17088">
          <w:marLeft w:val="0"/>
          <w:marRight w:val="0"/>
          <w:marTop w:val="0"/>
          <w:marBottom w:val="0"/>
          <w:divBdr>
            <w:top w:val="none" w:sz="0" w:space="0" w:color="auto"/>
            <w:left w:val="none" w:sz="0" w:space="0" w:color="auto"/>
            <w:bottom w:val="none" w:sz="0" w:space="0" w:color="auto"/>
            <w:right w:val="none" w:sz="0" w:space="0" w:color="auto"/>
          </w:divBdr>
        </w:div>
        <w:div w:id="1796020486">
          <w:marLeft w:val="0"/>
          <w:marRight w:val="0"/>
          <w:marTop w:val="0"/>
          <w:marBottom w:val="0"/>
          <w:divBdr>
            <w:top w:val="none" w:sz="0" w:space="0" w:color="auto"/>
            <w:left w:val="none" w:sz="0" w:space="0" w:color="auto"/>
            <w:bottom w:val="none" w:sz="0" w:space="0" w:color="auto"/>
            <w:right w:val="none" w:sz="0" w:space="0" w:color="auto"/>
          </w:divBdr>
        </w:div>
        <w:div w:id="1880584602">
          <w:marLeft w:val="-75"/>
          <w:marRight w:val="0"/>
          <w:marTop w:val="30"/>
          <w:marBottom w:val="30"/>
          <w:divBdr>
            <w:top w:val="none" w:sz="0" w:space="0" w:color="auto"/>
            <w:left w:val="none" w:sz="0" w:space="0" w:color="auto"/>
            <w:bottom w:val="none" w:sz="0" w:space="0" w:color="auto"/>
            <w:right w:val="none" w:sz="0" w:space="0" w:color="auto"/>
          </w:divBdr>
          <w:divsChild>
            <w:div w:id="1452899822">
              <w:marLeft w:val="0"/>
              <w:marRight w:val="0"/>
              <w:marTop w:val="0"/>
              <w:marBottom w:val="0"/>
              <w:divBdr>
                <w:top w:val="none" w:sz="0" w:space="0" w:color="auto"/>
                <w:left w:val="none" w:sz="0" w:space="0" w:color="auto"/>
                <w:bottom w:val="none" w:sz="0" w:space="0" w:color="auto"/>
                <w:right w:val="none" w:sz="0" w:space="0" w:color="auto"/>
              </w:divBdr>
              <w:divsChild>
                <w:div w:id="568543710">
                  <w:marLeft w:val="0"/>
                  <w:marRight w:val="0"/>
                  <w:marTop w:val="0"/>
                  <w:marBottom w:val="0"/>
                  <w:divBdr>
                    <w:top w:val="none" w:sz="0" w:space="0" w:color="auto"/>
                    <w:left w:val="none" w:sz="0" w:space="0" w:color="auto"/>
                    <w:bottom w:val="none" w:sz="0" w:space="0" w:color="auto"/>
                    <w:right w:val="none" w:sz="0" w:space="0" w:color="auto"/>
                  </w:divBdr>
                </w:div>
                <w:div w:id="733545889">
                  <w:marLeft w:val="0"/>
                  <w:marRight w:val="0"/>
                  <w:marTop w:val="0"/>
                  <w:marBottom w:val="0"/>
                  <w:divBdr>
                    <w:top w:val="none" w:sz="0" w:space="0" w:color="auto"/>
                    <w:left w:val="none" w:sz="0" w:space="0" w:color="auto"/>
                    <w:bottom w:val="none" w:sz="0" w:space="0" w:color="auto"/>
                    <w:right w:val="none" w:sz="0" w:space="0" w:color="auto"/>
                  </w:divBdr>
                </w:div>
                <w:div w:id="773863519">
                  <w:marLeft w:val="0"/>
                  <w:marRight w:val="0"/>
                  <w:marTop w:val="0"/>
                  <w:marBottom w:val="0"/>
                  <w:divBdr>
                    <w:top w:val="none" w:sz="0" w:space="0" w:color="auto"/>
                    <w:left w:val="none" w:sz="0" w:space="0" w:color="auto"/>
                    <w:bottom w:val="none" w:sz="0" w:space="0" w:color="auto"/>
                    <w:right w:val="none" w:sz="0" w:space="0" w:color="auto"/>
                  </w:divBdr>
                </w:div>
                <w:div w:id="1253510456">
                  <w:marLeft w:val="0"/>
                  <w:marRight w:val="0"/>
                  <w:marTop w:val="0"/>
                  <w:marBottom w:val="0"/>
                  <w:divBdr>
                    <w:top w:val="none" w:sz="0" w:space="0" w:color="auto"/>
                    <w:left w:val="none" w:sz="0" w:space="0" w:color="auto"/>
                    <w:bottom w:val="none" w:sz="0" w:space="0" w:color="auto"/>
                    <w:right w:val="none" w:sz="0" w:space="0" w:color="auto"/>
                  </w:divBdr>
                </w:div>
                <w:div w:id="1755935904">
                  <w:marLeft w:val="0"/>
                  <w:marRight w:val="0"/>
                  <w:marTop w:val="0"/>
                  <w:marBottom w:val="0"/>
                  <w:divBdr>
                    <w:top w:val="none" w:sz="0" w:space="0" w:color="auto"/>
                    <w:left w:val="none" w:sz="0" w:space="0" w:color="auto"/>
                    <w:bottom w:val="none" w:sz="0" w:space="0" w:color="auto"/>
                    <w:right w:val="none" w:sz="0" w:space="0" w:color="auto"/>
                  </w:divBdr>
                </w:div>
              </w:divsChild>
            </w:div>
            <w:div w:id="1836727761">
              <w:marLeft w:val="0"/>
              <w:marRight w:val="0"/>
              <w:marTop w:val="0"/>
              <w:marBottom w:val="0"/>
              <w:divBdr>
                <w:top w:val="none" w:sz="0" w:space="0" w:color="auto"/>
                <w:left w:val="none" w:sz="0" w:space="0" w:color="auto"/>
                <w:bottom w:val="none" w:sz="0" w:space="0" w:color="auto"/>
                <w:right w:val="none" w:sz="0" w:space="0" w:color="auto"/>
              </w:divBdr>
              <w:divsChild>
                <w:div w:id="11619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931">
          <w:marLeft w:val="-75"/>
          <w:marRight w:val="0"/>
          <w:marTop w:val="30"/>
          <w:marBottom w:val="30"/>
          <w:divBdr>
            <w:top w:val="none" w:sz="0" w:space="0" w:color="auto"/>
            <w:left w:val="none" w:sz="0" w:space="0" w:color="auto"/>
            <w:bottom w:val="none" w:sz="0" w:space="0" w:color="auto"/>
            <w:right w:val="none" w:sz="0" w:space="0" w:color="auto"/>
          </w:divBdr>
          <w:divsChild>
            <w:div w:id="14230136">
              <w:marLeft w:val="0"/>
              <w:marRight w:val="0"/>
              <w:marTop w:val="0"/>
              <w:marBottom w:val="0"/>
              <w:divBdr>
                <w:top w:val="none" w:sz="0" w:space="0" w:color="auto"/>
                <w:left w:val="none" w:sz="0" w:space="0" w:color="auto"/>
                <w:bottom w:val="none" w:sz="0" w:space="0" w:color="auto"/>
                <w:right w:val="none" w:sz="0" w:space="0" w:color="auto"/>
              </w:divBdr>
              <w:divsChild>
                <w:div w:id="1728453397">
                  <w:marLeft w:val="0"/>
                  <w:marRight w:val="0"/>
                  <w:marTop w:val="0"/>
                  <w:marBottom w:val="0"/>
                  <w:divBdr>
                    <w:top w:val="none" w:sz="0" w:space="0" w:color="auto"/>
                    <w:left w:val="none" w:sz="0" w:space="0" w:color="auto"/>
                    <w:bottom w:val="none" w:sz="0" w:space="0" w:color="auto"/>
                    <w:right w:val="none" w:sz="0" w:space="0" w:color="auto"/>
                  </w:divBdr>
                </w:div>
              </w:divsChild>
            </w:div>
            <w:div w:id="126553287">
              <w:marLeft w:val="0"/>
              <w:marRight w:val="0"/>
              <w:marTop w:val="0"/>
              <w:marBottom w:val="0"/>
              <w:divBdr>
                <w:top w:val="none" w:sz="0" w:space="0" w:color="auto"/>
                <w:left w:val="none" w:sz="0" w:space="0" w:color="auto"/>
                <w:bottom w:val="none" w:sz="0" w:space="0" w:color="auto"/>
                <w:right w:val="none" w:sz="0" w:space="0" w:color="auto"/>
              </w:divBdr>
              <w:divsChild>
                <w:div w:id="184566552">
                  <w:marLeft w:val="0"/>
                  <w:marRight w:val="0"/>
                  <w:marTop w:val="0"/>
                  <w:marBottom w:val="0"/>
                  <w:divBdr>
                    <w:top w:val="none" w:sz="0" w:space="0" w:color="auto"/>
                    <w:left w:val="none" w:sz="0" w:space="0" w:color="auto"/>
                    <w:bottom w:val="none" w:sz="0" w:space="0" w:color="auto"/>
                    <w:right w:val="none" w:sz="0" w:space="0" w:color="auto"/>
                  </w:divBdr>
                </w:div>
              </w:divsChild>
            </w:div>
            <w:div w:id="137186885">
              <w:marLeft w:val="0"/>
              <w:marRight w:val="0"/>
              <w:marTop w:val="0"/>
              <w:marBottom w:val="0"/>
              <w:divBdr>
                <w:top w:val="none" w:sz="0" w:space="0" w:color="auto"/>
                <w:left w:val="none" w:sz="0" w:space="0" w:color="auto"/>
                <w:bottom w:val="none" w:sz="0" w:space="0" w:color="auto"/>
                <w:right w:val="none" w:sz="0" w:space="0" w:color="auto"/>
              </w:divBdr>
              <w:divsChild>
                <w:div w:id="997458784">
                  <w:marLeft w:val="0"/>
                  <w:marRight w:val="0"/>
                  <w:marTop w:val="0"/>
                  <w:marBottom w:val="0"/>
                  <w:divBdr>
                    <w:top w:val="none" w:sz="0" w:space="0" w:color="auto"/>
                    <w:left w:val="none" w:sz="0" w:space="0" w:color="auto"/>
                    <w:bottom w:val="none" w:sz="0" w:space="0" w:color="auto"/>
                    <w:right w:val="none" w:sz="0" w:space="0" w:color="auto"/>
                  </w:divBdr>
                </w:div>
              </w:divsChild>
            </w:div>
            <w:div w:id="233467585">
              <w:marLeft w:val="0"/>
              <w:marRight w:val="0"/>
              <w:marTop w:val="0"/>
              <w:marBottom w:val="0"/>
              <w:divBdr>
                <w:top w:val="none" w:sz="0" w:space="0" w:color="auto"/>
                <w:left w:val="none" w:sz="0" w:space="0" w:color="auto"/>
                <w:bottom w:val="none" w:sz="0" w:space="0" w:color="auto"/>
                <w:right w:val="none" w:sz="0" w:space="0" w:color="auto"/>
              </w:divBdr>
              <w:divsChild>
                <w:div w:id="1398941616">
                  <w:marLeft w:val="0"/>
                  <w:marRight w:val="0"/>
                  <w:marTop w:val="0"/>
                  <w:marBottom w:val="0"/>
                  <w:divBdr>
                    <w:top w:val="none" w:sz="0" w:space="0" w:color="auto"/>
                    <w:left w:val="none" w:sz="0" w:space="0" w:color="auto"/>
                    <w:bottom w:val="none" w:sz="0" w:space="0" w:color="auto"/>
                    <w:right w:val="none" w:sz="0" w:space="0" w:color="auto"/>
                  </w:divBdr>
                </w:div>
              </w:divsChild>
            </w:div>
            <w:div w:id="258103123">
              <w:marLeft w:val="0"/>
              <w:marRight w:val="0"/>
              <w:marTop w:val="0"/>
              <w:marBottom w:val="0"/>
              <w:divBdr>
                <w:top w:val="none" w:sz="0" w:space="0" w:color="auto"/>
                <w:left w:val="none" w:sz="0" w:space="0" w:color="auto"/>
                <w:bottom w:val="none" w:sz="0" w:space="0" w:color="auto"/>
                <w:right w:val="none" w:sz="0" w:space="0" w:color="auto"/>
              </w:divBdr>
              <w:divsChild>
                <w:div w:id="1005590900">
                  <w:marLeft w:val="0"/>
                  <w:marRight w:val="0"/>
                  <w:marTop w:val="0"/>
                  <w:marBottom w:val="0"/>
                  <w:divBdr>
                    <w:top w:val="none" w:sz="0" w:space="0" w:color="auto"/>
                    <w:left w:val="none" w:sz="0" w:space="0" w:color="auto"/>
                    <w:bottom w:val="none" w:sz="0" w:space="0" w:color="auto"/>
                    <w:right w:val="none" w:sz="0" w:space="0" w:color="auto"/>
                  </w:divBdr>
                </w:div>
              </w:divsChild>
            </w:div>
            <w:div w:id="481624162">
              <w:marLeft w:val="0"/>
              <w:marRight w:val="0"/>
              <w:marTop w:val="0"/>
              <w:marBottom w:val="0"/>
              <w:divBdr>
                <w:top w:val="none" w:sz="0" w:space="0" w:color="auto"/>
                <w:left w:val="none" w:sz="0" w:space="0" w:color="auto"/>
                <w:bottom w:val="none" w:sz="0" w:space="0" w:color="auto"/>
                <w:right w:val="none" w:sz="0" w:space="0" w:color="auto"/>
              </w:divBdr>
              <w:divsChild>
                <w:div w:id="1632898547">
                  <w:marLeft w:val="0"/>
                  <w:marRight w:val="0"/>
                  <w:marTop w:val="0"/>
                  <w:marBottom w:val="0"/>
                  <w:divBdr>
                    <w:top w:val="none" w:sz="0" w:space="0" w:color="auto"/>
                    <w:left w:val="none" w:sz="0" w:space="0" w:color="auto"/>
                    <w:bottom w:val="none" w:sz="0" w:space="0" w:color="auto"/>
                    <w:right w:val="none" w:sz="0" w:space="0" w:color="auto"/>
                  </w:divBdr>
                </w:div>
              </w:divsChild>
            </w:div>
            <w:div w:id="1090008161">
              <w:marLeft w:val="0"/>
              <w:marRight w:val="0"/>
              <w:marTop w:val="0"/>
              <w:marBottom w:val="0"/>
              <w:divBdr>
                <w:top w:val="none" w:sz="0" w:space="0" w:color="auto"/>
                <w:left w:val="none" w:sz="0" w:space="0" w:color="auto"/>
                <w:bottom w:val="none" w:sz="0" w:space="0" w:color="auto"/>
                <w:right w:val="none" w:sz="0" w:space="0" w:color="auto"/>
              </w:divBdr>
              <w:divsChild>
                <w:div w:id="1127357714">
                  <w:marLeft w:val="0"/>
                  <w:marRight w:val="0"/>
                  <w:marTop w:val="0"/>
                  <w:marBottom w:val="0"/>
                  <w:divBdr>
                    <w:top w:val="none" w:sz="0" w:space="0" w:color="auto"/>
                    <w:left w:val="none" w:sz="0" w:space="0" w:color="auto"/>
                    <w:bottom w:val="none" w:sz="0" w:space="0" w:color="auto"/>
                    <w:right w:val="none" w:sz="0" w:space="0" w:color="auto"/>
                  </w:divBdr>
                </w:div>
              </w:divsChild>
            </w:div>
            <w:div w:id="1265990130">
              <w:marLeft w:val="0"/>
              <w:marRight w:val="0"/>
              <w:marTop w:val="0"/>
              <w:marBottom w:val="0"/>
              <w:divBdr>
                <w:top w:val="none" w:sz="0" w:space="0" w:color="auto"/>
                <w:left w:val="none" w:sz="0" w:space="0" w:color="auto"/>
                <w:bottom w:val="none" w:sz="0" w:space="0" w:color="auto"/>
                <w:right w:val="none" w:sz="0" w:space="0" w:color="auto"/>
              </w:divBdr>
            </w:div>
            <w:div w:id="1427313821">
              <w:marLeft w:val="0"/>
              <w:marRight w:val="0"/>
              <w:marTop w:val="0"/>
              <w:marBottom w:val="0"/>
              <w:divBdr>
                <w:top w:val="none" w:sz="0" w:space="0" w:color="auto"/>
                <w:left w:val="none" w:sz="0" w:space="0" w:color="auto"/>
                <w:bottom w:val="none" w:sz="0" w:space="0" w:color="auto"/>
                <w:right w:val="none" w:sz="0" w:space="0" w:color="auto"/>
              </w:divBdr>
              <w:divsChild>
                <w:div w:id="6078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8782">
          <w:marLeft w:val="0"/>
          <w:marRight w:val="0"/>
          <w:marTop w:val="0"/>
          <w:marBottom w:val="0"/>
          <w:divBdr>
            <w:top w:val="none" w:sz="0" w:space="0" w:color="auto"/>
            <w:left w:val="none" w:sz="0" w:space="0" w:color="auto"/>
            <w:bottom w:val="none" w:sz="0" w:space="0" w:color="auto"/>
            <w:right w:val="none" w:sz="0" w:space="0" w:color="auto"/>
          </w:divBdr>
        </w:div>
        <w:div w:id="2031837665">
          <w:marLeft w:val="0"/>
          <w:marRight w:val="0"/>
          <w:marTop w:val="0"/>
          <w:marBottom w:val="0"/>
          <w:divBdr>
            <w:top w:val="none" w:sz="0" w:space="0" w:color="auto"/>
            <w:left w:val="none" w:sz="0" w:space="0" w:color="auto"/>
            <w:bottom w:val="none" w:sz="0" w:space="0" w:color="auto"/>
            <w:right w:val="none" w:sz="0" w:space="0" w:color="auto"/>
          </w:divBdr>
        </w:div>
      </w:divsChild>
    </w:div>
    <w:div w:id="1682467407">
      <w:marLeft w:val="480"/>
      <w:marRight w:val="0"/>
      <w:marTop w:val="0"/>
      <w:marBottom w:val="0"/>
      <w:divBdr>
        <w:top w:val="none" w:sz="0" w:space="0" w:color="auto"/>
        <w:left w:val="none" w:sz="0" w:space="0" w:color="auto"/>
        <w:bottom w:val="none" w:sz="0" w:space="0" w:color="auto"/>
        <w:right w:val="none" w:sz="0" w:space="0" w:color="auto"/>
      </w:divBdr>
    </w:div>
    <w:div w:id="1683624514">
      <w:marLeft w:val="480"/>
      <w:marRight w:val="0"/>
      <w:marTop w:val="0"/>
      <w:marBottom w:val="0"/>
      <w:divBdr>
        <w:top w:val="none" w:sz="0" w:space="0" w:color="auto"/>
        <w:left w:val="none" w:sz="0" w:space="0" w:color="auto"/>
        <w:bottom w:val="none" w:sz="0" w:space="0" w:color="auto"/>
        <w:right w:val="none" w:sz="0" w:space="0" w:color="auto"/>
      </w:divBdr>
    </w:div>
    <w:div w:id="1686208410">
      <w:marLeft w:val="480"/>
      <w:marRight w:val="0"/>
      <w:marTop w:val="0"/>
      <w:marBottom w:val="0"/>
      <w:divBdr>
        <w:top w:val="none" w:sz="0" w:space="0" w:color="auto"/>
        <w:left w:val="none" w:sz="0" w:space="0" w:color="auto"/>
        <w:bottom w:val="none" w:sz="0" w:space="0" w:color="auto"/>
        <w:right w:val="none" w:sz="0" w:space="0" w:color="auto"/>
      </w:divBdr>
    </w:div>
    <w:div w:id="1690598210">
      <w:marLeft w:val="480"/>
      <w:marRight w:val="0"/>
      <w:marTop w:val="0"/>
      <w:marBottom w:val="0"/>
      <w:divBdr>
        <w:top w:val="none" w:sz="0" w:space="0" w:color="auto"/>
        <w:left w:val="none" w:sz="0" w:space="0" w:color="auto"/>
        <w:bottom w:val="none" w:sz="0" w:space="0" w:color="auto"/>
        <w:right w:val="none" w:sz="0" w:space="0" w:color="auto"/>
      </w:divBdr>
    </w:div>
    <w:div w:id="1690911427">
      <w:bodyDiv w:val="1"/>
      <w:marLeft w:val="0"/>
      <w:marRight w:val="0"/>
      <w:marTop w:val="0"/>
      <w:marBottom w:val="0"/>
      <w:divBdr>
        <w:top w:val="none" w:sz="0" w:space="0" w:color="auto"/>
        <w:left w:val="none" w:sz="0" w:space="0" w:color="auto"/>
        <w:bottom w:val="none" w:sz="0" w:space="0" w:color="auto"/>
        <w:right w:val="none" w:sz="0" w:space="0" w:color="auto"/>
      </w:divBdr>
    </w:div>
    <w:div w:id="1691834262">
      <w:bodyDiv w:val="1"/>
      <w:marLeft w:val="0"/>
      <w:marRight w:val="0"/>
      <w:marTop w:val="0"/>
      <w:marBottom w:val="0"/>
      <w:divBdr>
        <w:top w:val="none" w:sz="0" w:space="0" w:color="auto"/>
        <w:left w:val="none" w:sz="0" w:space="0" w:color="auto"/>
        <w:bottom w:val="none" w:sz="0" w:space="0" w:color="auto"/>
        <w:right w:val="none" w:sz="0" w:space="0" w:color="auto"/>
      </w:divBdr>
    </w:div>
    <w:div w:id="1692605596">
      <w:marLeft w:val="480"/>
      <w:marRight w:val="0"/>
      <w:marTop w:val="0"/>
      <w:marBottom w:val="0"/>
      <w:divBdr>
        <w:top w:val="none" w:sz="0" w:space="0" w:color="auto"/>
        <w:left w:val="none" w:sz="0" w:space="0" w:color="auto"/>
        <w:bottom w:val="none" w:sz="0" w:space="0" w:color="auto"/>
        <w:right w:val="none" w:sz="0" w:space="0" w:color="auto"/>
      </w:divBdr>
    </w:div>
    <w:div w:id="1692682626">
      <w:bodyDiv w:val="1"/>
      <w:marLeft w:val="0"/>
      <w:marRight w:val="0"/>
      <w:marTop w:val="0"/>
      <w:marBottom w:val="0"/>
      <w:divBdr>
        <w:top w:val="none" w:sz="0" w:space="0" w:color="auto"/>
        <w:left w:val="none" w:sz="0" w:space="0" w:color="auto"/>
        <w:bottom w:val="none" w:sz="0" w:space="0" w:color="auto"/>
        <w:right w:val="none" w:sz="0" w:space="0" w:color="auto"/>
      </w:divBdr>
      <w:divsChild>
        <w:div w:id="6952215">
          <w:marLeft w:val="480"/>
          <w:marRight w:val="0"/>
          <w:marTop w:val="0"/>
          <w:marBottom w:val="0"/>
          <w:divBdr>
            <w:top w:val="none" w:sz="0" w:space="0" w:color="auto"/>
            <w:left w:val="none" w:sz="0" w:space="0" w:color="auto"/>
            <w:bottom w:val="none" w:sz="0" w:space="0" w:color="auto"/>
            <w:right w:val="none" w:sz="0" w:space="0" w:color="auto"/>
          </w:divBdr>
        </w:div>
        <w:div w:id="227493760">
          <w:marLeft w:val="480"/>
          <w:marRight w:val="0"/>
          <w:marTop w:val="0"/>
          <w:marBottom w:val="0"/>
          <w:divBdr>
            <w:top w:val="none" w:sz="0" w:space="0" w:color="auto"/>
            <w:left w:val="none" w:sz="0" w:space="0" w:color="auto"/>
            <w:bottom w:val="none" w:sz="0" w:space="0" w:color="auto"/>
            <w:right w:val="none" w:sz="0" w:space="0" w:color="auto"/>
          </w:divBdr>
        </w:div>
        <w:div w:id="312023863">
          <w:marLeft w:val="480"/>
          <w:marRight w:val="0"/>
          <w:marTop w:val="0"/>
          <w:marBottom w:val="0"/>
          <w:divBdr>
            <w:top w:val="none" w:sz="0" w:space="0" w:color="auto"/>
            <w:left w:val="none" w:sz="0" w:space="0" w:color="auto"/>
            <w:bottom w:val="none" w:sz="0" w:space="0" w:color="auto"/>
            <w:right w:val="none" w:sz="0" w:space="0" w:color="auto"/>
          </w:divBdr>
        </w:div>
        <w:div w:id="1416126802">
          <w:marLeft w:val="480"/>
          <w:marRight w:val="0"/>
          <w:marTop w:val="0"/>
          <w:marBottom w:val="0"/>
          <w:divBdr>
            <w:top w:val="none" w:sz="0" w:space="0" w:color="auto"/>
            <w:left w:val="none" w:sz="0" w:space="0" w:color="auto"/>
            <w:bottom w:val="none" w:sz="0" w:space="0" w:color="auto"/>
            <w:right w:val="none" w:sz="0" w:space="0" w:color="auto"/>
          </w:divBdr>
        </w:div>
        <w:div w:id="1439253136">
          <w:marLeft w:val="480"/>
          <w:marRight w:val="0"/>
          <w:marTop w:val="0"/>
          <w:marBottom w:val="0"/>
          <w:divBdr>
            <w:top w:val="none" w:sz="0" w:space="0" w:color="auto"/>
            <w:left w:val="none" w:sz="0" w:space="0" w:color="auto"/>
            <w:bottom w:val="none" w:sz="0" w:space="0" w:color="auto"/>
            <w:right w:val="none" w:sz="0" w:space="0" w:color="auto"/>
          </w:divBdr>
        </w:div>
        <w:div w:id="1944800964">
          <w:marLeft w:val="480"/>
          <w:marRight w:val="0"/>
          <w:marTop w:val="0"/>
          <w:marBottom w:val="0"/>
          <w:divBdr>
            <w:top w:val="none" w:sz="0" w:space="0" w:color="auto"/>
            <w:left w:val="none" w:sz="0" w:space="0" w:color="auto"/>
            <w:bottom w:val="none" w:sz="0" w:space="0" w:color="auto"/>
            <w:right w:val="none" w:sz="0" w:space="0" w:color="auto"/>
          </w:divBdr>
        </w:div>
        <w:div w:id="1953245124">
          <w:marLeft w:val="480"/>
          <w:marRight w:val="0"/>
          <w:marTop w:val="0"/>
          <w:marBottom w:val="0"/>
          <w:divBdr>
            <w:top w:val="none" w:sz="0" w:space="0" w:color="auto"/>
            <w:left w:val="none" w:sz="0" w:space="0" w:color="auto"/>
            <w:bottom w:val="none" w:sz="0" w:space="0" w:color="auto"/>
            <w:right w:val="none" w:sz="0" w:space="0" w:color="auto"/>
          </w:divBdr>
        </w:div>
      </w:divsChild>
    </w:div>
    <w:div w:id="1692683340">
      <w:marLeft w:val="480"/>
      <w:marRight w:val="0"/>
      <w:marTop w:val="0"/>
      <w:marBottom w:val="0"/>
      <w:divBdr>
        <w:top w:val="none" w:sz="0" w:space="0" w:color="auto"/>
        <w:left w:val="none" w:sz="0" w:space="0" w:color="auto"/>
        <w:bottom w:val="none" w:sz="0" w:space="0" w:color="auto"/>
        <w:right w:val="none" w:sz="0" w:space="0" w:color="auto"/>
      </w:divBdr>
    </w:div>
    <w:div w:id="1695963424">
      <w:marLeft w:val="480"/>
      <w:marRight w:val="0"/>
      <w:marTop w:val="0"/>
      <w:marBottom w:val="0"/>
      <w:divBdr>
        <w:top w:val="none" w:sz="0" w:space="0" w:color="auto"/>
        <w:left w:val="none" w:sz="0" w:space="0" w:color="auto"/>
        <w:bottom w:val="none" w:sz="0" w:space="0" w:color="auto"/>
        <w:right w:val="none" w:sz="0" w:space="0" w:color="auto"/>
      </w:divBdr>
    </w:div>
    <w:div w:id="1698382507">
      <w:marLeft w:val="480"/>
      <w:marRight w:val="0"/>
      <w:marTop w:val="0"/>
      <w:marBottom w:val="0"/>
      <w:divBdr>
        <w:top w:val="none" w:sz="0" w:space="0" w:color="auto"/>
        <w:left w:val="none" w:sz="0" w:space="0" w:color="auto"/>
        <w:bottom w:val="none" w:sz="0" w:space="0" w:color="auto"/>
        <w:right w:val="none" w:sz="0" w:space="0" w:color="auto"/>
      </w:divBdr>
    </w:div>
    <w:div w:id="1698852490">
      <w:bodyDiv w:val="1"/>
      <w:marLeft w:val="0"/>
      <w:marRight w:val="0"/>
      <w:marTop w:val="0"/>
      <w:marBottom w:val="0"/>
      <w:divBdr>
        <w:top w:val="none" w:sz="0" w:space="0" w:color="auto"/>
        <w:left w:val="none" w:sz="0" w:space="0" w:color="auto"/>
        <w:bottom w:val="none" w:sz="0" w:space="0" w:color="auto"/>
        <w:right w:val="none" w:sz="0" w:space="0" w:color="auto"/>
      </w:divBdr>
    </w:div>
    <w:div w:id="1699887322">
      <w:bodyDiv w:val="1"/>
      <w:marLeft w:val="0"/>
      <w:marRight w:val="0"/>
      <w:marTop w:val="0"/>
      <w:marBottom w:val="0"/>
      <w:divBdr>
        <w:top w:val="none" w:sz="0" w:space="0" w:color="auto"/>
        <w:left w:val="none" w:sz="0" w:space="0" w:color="auto"/>
        <w:bottom w:val="none" w:sz="0" w:space="0" w:color="auto"/>
        <w:right w:val="none" w:sz="0" w:space="0" w:color="auto"/>
      </w:divBdr>
      <w:divsChild>
        <w:div w:id="557475770">
          <w:marLeft w:val="480"/>
          <w:marRight w:val="0"/>
          <w:marTop w:val="0"/>
          <w:marBottom w:val="0"/>
          <w:divBdr>
            <w:top w:val="none" w:sz="0" w:space="0" w:color="auto"/>
            <w:left w:val="none" w:sz="0" w:space="0" w:color="auto"/>
            <w:bottom w:val="none" w:sz="0" w:space="0" w:color="auto"/>
            <w:right w:val="none" w:sz="0" w:space="0" w:color="auto"/>
          </w:divBdr>
        </w:div>
        <w:div w:id="799767585">
          <w:marLeft w:val="480"/>
          <w:marRight w:val="0"/>
          <w:marTop w:val="0"/>
          <w:marBottom w:val="0"/>
          <w:divBdr>
            <w:top w:val="none" w:sz="0" w:space="0" w:color="auto"/>
            <w:left w:val="none" w:sz="0" w:space="0" w:color="auto"/>
            <w:bottom w:val="none" w:sz="0" w:space="0" w:color="auto"/>
            <w:right w:val="none" w:sz="0" w:space="0" w:color="auto"/>
          </w:divBdr>
        </w:div>
        <w:div w:id="918637314">
          <w:marLeft w:val="480"/>
          <w:marRight w:val="0"/>
          <w:marTop w:val="0"/>
          <w:marBottom w:val="0"/>
          <w:divBdr>
            <w:top w:val="none" w:sz="0" w:space="0" w:color="auto"/>
            <w:left w:val="none" w:sz="0" w:space="0" w:color="auto"/>
            <w:bottom w:val="none" w:sz="0" w:space="0" w:color="auto"/>
            <w:right w:val="none" w:sz="0" w:space="0" w:color="auto"/>
          </w:divBdr>
        </w:div>
        <w:div w:id="1058433922">
          <w:marLeft w:val="480"/>
          <w:marRight w:val="0"/>
          <w:marTop w:val="0"/>
          <w:marBottom w:val="0"/>
          <w:divBdr>
            <w:top w:val="none" w:sz="0" w:space="0" w:color="auto"/>
            <w:left w:val="none" w:sz="0" w:space="0" w:color="auto"/>
            <w:bottom w:val="none" w:sz="0" w:space="0" w:color="auto"/>
            <w:right w:val="none" w:sz="0" w:space="0" w:color="auto"/>
          </w:divBdr>
        </w:div>
        <w:div w:id="1464149866">
          <w:marLeft w:val="480"/>
          <w:marRight w:val="0"/>
          <w:marTop w:val="0"/>
          <w:marBottom w:val="0"/>
          <w:divBdr>
            <w:top w:val="none" w:sz="0" w:space="0" w:color="auto"/>
            <w:left w:val="none" w:sz="0" w:space="0" w:color="auto"/>
            <w:bottom w:val="none" w:sz="0" w:space="0" w:color="auto"/>
            <w:right w:val="none" w:sz="0" w:space="0" w:color="auto"/>
          </w:divBdr>
        </w:div>
        <w:div w:id="1488324511">
          <w:marLeft w:val="480"/>
          <w:marRight w:val="0"/>
          <w:marTop w:val="0"/>
          <w:marBottom w:val="0"/>
          <w:divBdr>
            <w:top w:val="none" w:sz="0" w:space="0" w:color="auto"/>
            <w:left w:val="none" w:sz="0" w:space="0" w:color="auto"/>
            <w:bottom w:val="none" w:sz="0" w:space="0" w:color="auto"/>
            <w:right w:val="none" w:sz="0" w:space="0" w:color="auto"/>
          </w:divBdr>
        </w:div>
        <w:div w:id="1815104259">
          <w:marLeft w:val="480"/>
          <w:marRight w:val="0"/>
          <w:marTop w:val="0"/>
          <w:marBottom w:val="0"/>
          <w:divBdr>
            <w:top w:val="none" w:sz="0" w:space="0" w:color="auto"/>
            <w:left w:val="none" w:sz="0" w:space="0" w:color="auto"/>
            <w:bottom w:val="none" w:sz="0" w:space="0" w:color="auto"/>
            <w:right w:val="none" w:sz="0" w:space="0" w:color="auto"/>
          </w:divBdr>
        </w:div>
        <w:div w:id="2144688571">
          <w:marLeft w:val="480"/>
          <w:marRight w:val="0"/>
          <w:marTop w:val="0"/>
          <w:marBottom w:val="0"/>
          <w:divBdr>
            <w:top w:val="none" w:sz="0" w:space="0" w:color="auto"/>
            <w:left w:val="none" w:sz="0" w:space="0" w:color="auto"/>
            <w:bottom w:val="none" w:sz="0" w:space="0" w:color="auto"/>
            <w:right w:val="none" w:sz="0" w:space="0" w:color="auto"/>
          </w:divBdr>
        </w:div>
      </w:divsChild>
    </w:div>
    <w:div w:id="1700084786">
      <w:bodyDiv w:val="1"/>
      <w:marLeft w:val="0"/>
      <w:marRight w:val="0"/>
      <w:marTop w:val="0"/>
      <w:marBottom w:val="0"/>
      <w:divBdr>
        <w:top w:val="none" w:sz="0" w:space="0" w:color="auto"/>
        <w:left w:val="none" w:sz="0" w:space="0" w:color="auto"/>
        <w:bottom w:val="none" w:sz="0" w:space="0" w:color="auto"/>
        <w:right w:val="none" w:sz="0" w:space="0" w:color="auto"/>
      </w:divBdr>
    </w:div>
    <w:div w:id="1701052642">
      <w:marLeft w:val="480"/>
      <w:marRight w:val="0"/>
      <w:marTop w:val="0"/>
      <w:marBottom w:val="0"/>
      <w:divBdr>
        <w:top w:val="none" w:sz="0" w:space="0" w:color="auto"/>
        <w:left w:val="none" w:sz="0" w:space="0" w:color="auto"/>
        <w:bottom w:val="none" w:sz="0" w:space="0" w:color="auto"/>
        <w:right w:val="none" w:sz="0" w:space="0" w:color="auto"/>
      </w:divBdr>
    </w:div>
    <w:div w:id="1701122747">
      <w:bodyDiv w:val="1"/>
      <w:marLeft w:val="0"/>
      <w:marRight w:val="0"/>
      <w:marTop w:val="0"/>
      <w:marBottom w:val="0"/>
      <w:divBdr>
        <w:top w:val="none" w:sz="0" w:space="0" w:color="auto"/>
        <w:left w:val="none" w:sz="0" w:space="0" w:color="auto"/>
        <w:bottom w:val="none" w:sz="0" w:space="0" w:color="auto"/>
        <w:right w:val="none" w:sz="0" w:space="0" w:color="auto"/>
      </w:divBdr>
    </w:div>
    <w:div w:id="1702322455">
      <w:marLeft w:val="480"/>
      <w:marRight w:val="0"/>
      <w:marTop w:val="0"/>
      <w:marBottom w:val="0"/>
      <w:divBdr>
        <w:top w:val="none" w:sz="0" w:space="0" w:color="auto"/>
        <w:left w:val="none" w:sz="0" w:space="0" w:color="auto"/>
        <w:bottom w:val="none" w:sz="0" w:space="0" w:color="auto"/>
        <w:right w:val="none" w:sz="0" w:space="0" w:color="auto"/>
      </w:divBdr>
    </w:div>
    <w:div w:id="1704213167">
      <w:marLeft w:val="480"/>
      <w:marRight w:val="0"/>
      <w:marTop w:val="0"/>
      <w:marBottom w:val="0"/>
      <w:divBdr>
        <w:top w:val="none" w:sz="0" w:space="0" w:color="auto"/>
        <w:left w:val="none" w:sz="0" w:space="0" w:color="auto"/>
        <w:bottom w:val="none" w:sz="0" w:space="0" w:color="auto"/>
        <w:right w:val="none" w:sz="0" w:space="0" w:color="auto"/>
      </w:divBdr>
    </w:div>
    <w:div w:id="1704672506">
      <w:marLeft w:val="480"/>
      <w:marRight w:val="0"/>
      <w:marTop w:val="0"/>
      <w:marBottom w:val="0"/>
      <w:divBdr>
        <w:top w:val="none" w:sz="0" w:space="0" w:color="auto"/>
        <w:left w:val="none" w:sz="0" w:space="0" w:color="auto"/>
        <w:bottom w:val="none" w:sz="0" w:space="0" w:color="auto"/>
        <w:right w:val="none" w:sz="0" w:space="0" w:color="auto"/>
      </w:divBdr>
    </w:div>
    <w:div w:id="1706981691">
      <w:marLeft w:val="480"/>
      <w:marRight w:val="0"/>
      <w:marTop w:val="0"/>
      <w:marBottom w:val="0"/>
      <w:divBdr>
        <w:top w:val="none" w:sz="0" w:space="0" w:color="auto"/>
        <w:left w:val="none" w:sz="0" w:space="0" w:color="auto"/>
        <w:bottom w:val="none" w:sz="0" w:space="0" w:color="auto"/>
        <w:right w:val="none" w:sz="0" w:space="0" w:color="auto"/>
      </w:divBdr>
    </w:div>
    <w:div w:id="1708484080">
      <w:marLeft w:val="480"/>
      <w:marRight w:val="0"/>
      <w:marTop w:val="0"/>
      <w:marBottom w:val="0"/>
      <w:divBdr>
        <w:top w:val="none" w:sz="0" w:space="0" w:color="auto"/>
        <w:left w:val="none" w:sz="0" w:space="0" w:color="auto"/>
        <w:bottom w:val="none" w:sz="0" w:space="0" w:color="auto"/>
        <w:right w:val="none" w:sz="0" w:space="0" w:color="auto"/>
      </w:divBdr>
    </w:div>
    <w:div w:id="1708794610">
      <w:marLeft w:val="480"/>
      <w:marRight w:val="0"/>
      <w:marTop w:val="0"/>
      <w:marBottom w:val="0"/>
      <w:divBdr>
        <w:top w:val="none" w:sz="0" w:space="0" w:color="auto"/>
        <w:left w:val="none" w:sz="0" w:space="0" w:color="auto"/>
        <w:bottom w:val="none" w:sz="0" w:space="0" w:color="auto"/>
        <w:right w:val="none" w:sz="0" w:space="0" w:color="auto"/>
      </w:divBdr>
    </w:div>
    <w:div w:id="1709597902">
      <w:bodyDiv w:val="1"/>
      <w:marLeft w:val="0"/>
      <w:marRight w:val="0"/>
      <w:marTop w:val="0"/>
      <w:marBottom w:val="0"/>
      <w:divBdr>
        <w:top w:val="none" w:sz="0" w:space="0" w:color="auto"/>
        <w:left w:val="none" w:sz="0" w:space="0" w:color="auto"/>
        <w:bottom w:val="none" w:sz="0" w:space="0" w:color="auto"/>
        <w:right w:val="none" w:sz="0" w:space="0" w:color="auto"/>
      </w:divBdr>
      <w:divsChild>
        <w:div w:id="172183487">
          <w:marLeft w:val="480"/>
          <w:marRight w:val="0"/>
          <w:marTop w:val="0"/>
          <w:marBottom w:val="0"/>
          <w:divBdr>
            <w:top w:val="none" w:sz="0" w:space="0" w:color="auto"/>
            <w:left w:val="none" w:sz="0" w:space="0" w:color="auto"/>
            <w:bottom w:val="none" w:sz="0" w:space="0" w:color="auto"/>
            <w:right w:val="none" w:sz="0" w:space="0" w:color="auto"/>
          </w:divBdr>
        </w:div>
        <w:div w:id="688609274">
          <w:marLeft w:val="480"/>
          <w:marRight w:val="0"/>
          <w:marTop w:val="0"/>
          <w:marBottom w:val="0"/>
          <w:divBdr>
            <w:top w:val="none" w:sz="0" w:space="0" w:color="auto"/>
            <w:left w:val="none" w:sz="0" w:space="0" w:color="auto"/>
            <w:bottom w:val="none" w:sz="0" w:space="0" w:color="auto"/>
            <w:right w:val="none" w:sz="0" w:space="0" w:color="auto"/>
          </w:divBdr>
        </w:div>
        <w:div w:id="726270970">
          <w:marLeft w:val="480"/>
          <w:marRight w:val="0"/>
          <w:marTop w:val="0"/>
          <w:marBottom w:val="0"/>
          <w:divBdr>
            <w:top w:val="none" w:sz="0" w:space="0" w:color="auto"/>
            <w:left w:val="none" w:sz="0" w:space="0" w:color="auto"/>
            <w:bottom w:val="none" w:sz="0" w:space="0" w:color="auto"/>
            <w:right w:val="none" w:sz="0" w:space="0" w:color="auto"/>
          </w:divBdr>
        </w:div>
        <w:div w:id="1746685109">
          <w:marLeft w:val="480"/>
          <w:marRight w:val="0"/>
          <w:marTop w:val="0"/>
          <w:marBottom w:val="0"/>
          <w:divBdr>
            <w:top w:val="none" w:sz="0" w:space="0" w:color="auto"/>
            <w:left w:val="none" w:sz="0" w:space="0" w:color="auto"/>
            <w:bottom w:val="none" w:sz="0" w:space="0" w:color="auto"/>
            <w:right w:val="none" w:sz="0" w:space="0" w:color="auto"/>
          </w:divBdr>
        </w:div>
      </w:divsChild>
    </w:div>
    <w:div w:id="1710103643">
      <w:marLeft w:val="480"/>
      <w:marRight w:val="0"/>
      <w:marTop w:val="0"/>
      <w:marBottom w:val="0"/>
      <w:divBdr>
        <w:top w:val="none" w:sz="0" w:space="0" w:color="auto"/>
        <w:left w:val="none" w:sz="0" w:space="0" w:color="auto"/>
        <w:bottom w:val="none" w:sz="0" w:space="0" w:color="auto"/>
        <w:right w:val="none" w:sz="0" w:space="0" w:color="auto"/>
      </w:divBdr>
    </w:div>
    <w:div w:id="1712072466">
      <w:marLeft w:val="480"/>
      <w:marRight w:val="0"/>
      <w:marTop w:val="0"/>
      <w:marBottom w:val="0"/>
      <w:divBdr>
        <w:top w:val="none" w:sz="0" w:space="0" w:color="auto"/>
        <w:left w:val="none" w:sz="0" w:space="0" w:color="auto"/>
        <w:bottom w:val="none" w:sz="0" w:space="0" w:color="auto"/>
        <w:right w:val="none" w:sz="0" w:space="0" w:color="auto"/>
      </w:divBdr>
    </w:div>
    <w:div w:id="1714884569">
      <w:marLeft w:val="480"/>
      <w:marRight w:val="0"/>
      <w:marTop w:val="0"/>
      <w:marBottom w:val="0"/>
      <w:divBdr>
        <w:top w:val="none" w:sz="0" w:space="0" w:color="auto"/>
        <w:left w:val="none" w:sz="0" w:space="0" w:color="auto"/>
        <w:bottom w:val="none" w:sz="0" w:space="0" w:color="auto"/>
        <w:right w:val="none" w:sz="0" w:space="0" w:color="auto"/>
      </w:divBdr>
    </w:div>
    <w:div w:id="1717048350">
      <w:marLeft w:val="480"/>
      <w:marRight w:val="0"/>
      <w:marTop w:val="0"/>
      <w:marBottom w:val="0"/>
      <w:divBdr>
        <w:top w:val="none" w:sz="0" w:space="0" w:color="auto"/>
        <w:left w:val="none" w:sz="0" w:space="0" w:color="auto"/>
        <w:bottom w:val="none" w:sz="0" w:space="0" w:color="auto"/>
        <w:right w:val="none" w:sz="0" w:space="0" w:color="auto"/>
      </w:divBdr>
    </w:div>
    <w:div w:id="1717922606">
      <w:marLeft w:val="480"/>
      <w:marRight w:val="0"/>
      <w:marTop w:val="0"/>
      <w:marBottom w:val="0"/>
      <w:divBdr>
        <w:top w:val="none" w:sz="0" w:space="0" w:color="auto"/>
        <w:left w:val="none" w:sz="0" w:space="0" w:color="auto"/>
        <w:bottom w:val="none" w:sz="0" w:space="0" w:color="auto"/>
        <w:right w:val="none" w:sz="0" w:space="0" w:color="auto"/>
      </w:divBdr>
    </w:div>
    <w:div w:id="1720549203">
      <w:marLeft w:val="480"/>
      <w:marRight w:val="0"/>
      <w:marTop w:val="0"/>
      <w:marBottom w:val="0"/>
      <w:divBdr>
        <w:top w:val="none" w:sz="0" w:space="0" w:color="auto"/>
        <w:left w:val="none" w:sz="0" w:space="0" w:color="auto"/>
        <w:bottom w:val="none" w:sz="0" w:space="0" w:color="auto"/>
        <w:right w:val="none" w:sz="0" w:space="0" w:color="auto"/>
      </w:divBdr>
    </w:div>
    <w:div w:id="1726446609">
      <w:marLeft w:val="480"/>
      <w:marRight w:val="0"/>
      <w:marTop w:val="0"/>
      <w:marBottom w:val="0"/>
      <w:divBdr>
        <w:top w:val="none" w:sz="0" w:space="0" w:color="auto"/>
        <w:left w:val="none" w:sz="0" w:space="0" w:color="auto"/>
        <w:bottom w:val="none" w:sz="0" w:space="0" w:color="auto"/>
        <w:right w:val="none" w:sz="0" w:space="0" w:color="auto"/>
      </w:divBdr>
    </w:div>
    <w:div w:id="1726879040">
      <w:marLeft w:val="480"/>
      <w:marRight w:val="0"/>
      <w:marTop w:val="0"/>
      <w:marBottom w:val="0"/>
      <w:divBdr>
        <w:top w:val="none" w:sz="0" w:space="0" w:color="auto"/>
        <w:left w:val="none" w:sz="0" w:space="0" w:color="auto"/>
        <w:bottom w:val="none" w:sz="0" w:space="0" w:color="auto"/>
        <w:right w:val="none" w:sz="0" w:space="0" w:color="auto"/>
      </w:divBdr>
    </w:div>
    <w:div w:id="1727753607">
      <w:marLeft w:val="480"/>
      <w:marRight w:val="0"/>
      <w:marTop w:val="0"/>
      <w:marBottom w:val="0"/>
      <w:divBdr>
        <w:top w:val="none" w:sz="0" w:space="0" w:color="auto"/>
        <w:left w:val="none" w:sz="0" w:space="0" w:color="auto"/>
        <w:bottom w:val="none" w:sz="0" w:space="0" w:color="auto"/>
        <w:right w:val="none" w:sz="0" w:space="0" w:color="auto"/>
      </w:divBdr>
    </w:div>
    <w:div w:id="1731684841">
      <w:marLeft w:val="480"/>
      <w:marRight w:val="0"/>
      <w:marTop w:val="0"/>
      <w:marBottom w:val="0"/>
      <w:divBdr>
        <w:top w:val="none" w:sz="0" w:space="0" w:color="auto"/>
        <w:left w:val="none" w:sz="0" w:space="0" w:color="auto"/>
        <w:bottom w:val="none" w:sz="0" w:space="0" w:color="auto"/>
        <w:right w:val="none" w:sz="0" w:space="0" w:color="auto"/>
      </w:divBdr>
    </w:div>
    <w:div w:id="1733041320">
      <w:marLeft w:val="480"/>
      <w:marRight w:val="0"/>
      <w:marTop w:val="0"/>
      <w:marBottom w:val="0"/>
      <w:divBdr>
        <w:top w:val="none" w:sz="0" w:space="0" w:color="auto"/>
        <w:left w:val="none" w:sz="0" w:space="0" w:color="auto"/>
        <w:bottom w:val="none" w:sz="0" w:space="0" w:color="auto"/>
        <w:right w:val="none" w:sz="0" w:space="0" w:color="auto"/>
      </w:divBdr>
    </w:div>
    <w:div w:id="1737240789">
      <w:marLeft w:val="480"/>
      <w:marRight w:val="0"/>
      <w:marTop w:val="0"/>
      <w:marBottom w:val="0"/>
      <w:divBdr>
        <w:top w:val="none" w:sz="0" w:space="0" w:color="auto"/>
        <w:left w:val="none" w:sz="0" w:space="0" w:color="auto"/>
        <w:bottom w:val="none" w:sz="0" w:space="0" w:color="auto"/>
        <w:right w:val="none" w:sz="0" w:space="0" w:color="auto"/>
      </w:divBdr>
    </w:div>
    <w:div w:id="1741557780">
      <w:marLeft w:val="480"/>
      <w:marRight w:val="0"/>
      <w:marTop w:val="0"/>
      <w:marBottom w:val="0"/>
      <w:divBdr>
        <w:top w:val="none" w:sz="0" w:space="0" w:color="auto"/>
        <w:left w:val="none" w:sz="0" w:space="0" w:color="auto"/>
        <w:bottom w:val="none" w:sz="0" w:space="0" w:color="auto"/>
        <w:right w:val="none" w:sz="0" w:space="0" w:color="auto"/>
      </w:divBdr>
    </w:div>
    <w:div w:id="1741902784">
      <w:marLeft w:val="480"/>
      <w:marRight w:val="0"/>
      <w:marTop w:val="0"/>
      <w:marBottom w:val="0"/>
      <w:divBdr>
        <w:top w:val="none" w:sz="0" w:space="0" w:color="auto"/>
        <w:left w:val="none" w:sz="0" w:space="0" w:color="auto"/>
        <w:bottom w:val="none" w:sz="0" w:space="0" w:color="auto"/>
        <w:right w:val="none" w:sz="0" w:space="0" w:color="auto"/>
      </w:divBdr>
    </w:div>
    <w:div w:id="1743065924">
      <w:marLeft w:val="480"/>
      <w:marRight w:val="0"/>
      <w:marTop w:val="0"/>
      <w:marBottom w:val="0"/>
      <w:divBdr>
        <w:top w:val="none" w:sz="0" w:space="0" w:color="auto"/>
        <w:left w:val="none" w:sz="0" w:space="0" w:color="auto"/>
        <w:bottom w:val="none" w:sz="0" w:space="0" w:color="auto"/>
        <w:right w:val="none" w:sz="0" w:space="0" w:color="auto"/>
      </w:divBdr>
    </w:div>
    <w:div w:id="1744251391">
      <w:marLeft w:val="480"/>
      <w:marRight w:val="0"/>
      <w:marTop w:val="0"/>
      <w:marBottom w:val="0"/>
      <w:divBdr>
        <w:top w:val="none" w:sz="0" w:space="0" w:color="auto"/>
        <w:left w:val="none" w:sz="0" w:space="0" w:color="auto"/>
        <w:bottom w:val="none" w:sz="0" w:space="0" w:color="auto"/>
        <w:right w:val="none" w:sz="0" w:space="0" w:color="auto"/>
      </w:divBdr>
    </w:div>
    <w:div w:id="1745879867">
      <w:marLeft w:val="480"/>
      <w:marRight w:val="0"/>
      <w:marTop w:val="0"/>
      <w:marBottom w:val="0"/>
      <w:divBdr>
        <w:top w:val="none" w:sz="0" w:space="0" w:color="auto"/>
        <w:left w:val="none" w:sz="0" w:space="0" w:color="auto"/>
        <w:bottom w:val="none" w:sz="0" w:space="0" w:color="auto"/>
        <w:right w:val="none" w:sz="0" w:space="0" w:color="auto"/>
      </w:divBdr>
    </w:div>
    <w:div w:id="1748114507">
      <w:marLeft w:val="480"/>
      <w:marRight w:val="0"/>
      <w:marTop w:val="0"/>
      <w:marBottom w:val="0"/>
      <w:divBdr>
        <w:top w:val="none" w:sz="0" w:space="0" w:color="auto"/>
        <w:left w:val="none" w:sz="0" w:space="0" w:color="auto"/>
        <w:bottom w:val="none" w:sz="0" w:space="0" w:color="auto"/>
        <w:right w:val="none" w:sz="0" w:space="0" w:color="auto"/>
      </w:divBdr>
    </w:div>
    <w:div w:id="1748646384">
      <w:marLeft w:val="480"/>
      <w:marRight w:val="0"/>
      <w:marTop w:val="0"/>
      <w:marBottom w:val="0"/>
      <w:divBdr>
        <w:top w:val="none" w:sz="0" w:space="0" w:color="auto"/>
        <w:left w:val="none" w:sz="0" w:space="0" w:color="auto"/>
        <w:bottom w:val="none" w:sz="0" w:space="0" w:color="auto"/>
        <w:right w:val="none" w:sz="0" w:space="0" w:color="auto"/>
      </w:divBdr>
    </w:div>
    <w:div w:id="1751274615">
      <w:marLeft w:val="480"/>
      <w:marRight w:val="0"/>
      <w:marTop w:val="0"/>
      <w:marBottom w:val="0"/>
      <w:divBdr>
        <w:top w:val="none" w:sz="0" w:space="0" w:color="auto"/>
        <w:left w:val="none" w:sz="0" w:space="0" w:color="auto"/>
        <w:bottom w:val="none" w:sz="0" w:space="0" w:color="auto"/>
        <w:right w:val="none" w:sz="0" w:space="0" w:color="auto"/>
      </w:divBdr>
    </w:div>
    <w:div w:id="1752239300">
      <w:bodyDiv w:val="1"/>
      <w:marLeft w:val="0"/>
      <w:marRight w:val="0"/>
      <w:marTop w:val="0"/>
      <w:marBottom w:val="0"/>
      <w:divBdr>
        <w:top w:val="none" w:sz="0" w:space="0" w:color="auto"/>
        <w:left w:val="none" w:sz="0" w:space="0" w:color="auto"/>
        <w:bottom w:val="none" w:sz="0" w:space="0" w:color="auto"/>
        <w:right w:val="none" w:sz="0" w:space="0" w:color="auto"/>
      </w:divBdr>
      <w:divsChild>
        <w:div w:id="283274303">
          <w:marLeft w:val="480"/>
          <w:marRight w:val="0"/>
          <w:marTop w:val="0"/>
          <w:marBottom w:val="0"/>
          <w:divBdr>
            <w:top w:val="none" w:sz="0" w:space="0" w:color="auto"/>
            <w:left w:val="none" w:sz="0" w:space="0" w:color="auto"/>
            <w:bottom w:val="none" w:sz="0" w:space="0" w:color="auto"/>
            <w:right w:val="none" w:sz="0" w:space="0" w:color="auto"/>
          </w:divBdr>
        </w:div>
        <w:div w:id="350230919">
          <w:marLeft w:val="480"/>
          <w:marRight w:val="0"/>
          <w:marTop w:val="0"/>
          <w:marBottom w:val="0"/>
          <w:divBdr>
            <w:top w:val="none" w:sz="0" w:space="0" w:color="auto"/>
            <w:left w:val="none" w:sz="0" w:space="0" w:color="auto"/>
            <w:bottom w:val="none" w:sz="0" w:space="0" w:color="auto"/>
            <w:right w:val="none" w:sz="0" w:space="0" w:color="auto"/>
          </w:divBdr>
        </w:div>
        <w:div w:id="1156262687">
          <w:marLeft w:val="480"/>
          <w:marRight w:val="0"/>
          <w:marTop w:val="0"/>
          <w:marBottom w:val="0"/>
          <w:divBdr>
            <w:top w:val="none" w:sz="0" w:space="0" w:color="auto"/>
            <w:left w:val="none" w:sz="0" w:space="0" w:color="auto"/>
            <w:bottom w:val="none" w:sz="0" w:space="0" w:color="auto"/>
            <w:right w:val="none" w:sz="0" w:space="0" w:color="auto"/>
          </w:divBdr>
        </w:div>
        <w:div w:id="1314677886">
          <w:marLeft w:val="480"/>
          <w:marRight w:val="0"/>
          <w:marTop w:val="0"/>
          <w:marBottom w:val="0"/>
          <w:divBdr>
            <w:top w:val="none" w:sz="0" w:space="0" w:color="auto"/>
            <w:left w:val="none" w:sz="0" w:space="0" w:color="auto"/>
            <w:bottom w:val="none" w:sz="0" w:space="0" w:color="auto"/>
            <w:right w:val="none" w:sz="0" w:space="0" w:color="auto"/>
          </w:divBdr>
        </w:div>
        <w:div w:id="1515462774">
          <w:marLeft w:val="480"/>
          <w:marRight w:val="0"/>
          <w:marTop w:val="0"/>
          <w:marBottom w:val="0"/>
          <w:divBdr>
            <w:top w:val="none" w:sz="0" w:space="0" w:color="auto"/>
            <w:left w:val="none" w:sz="0" w:space="0" w:color="auto"/>
            <w:bottom w:val="none" w:sz="0" w:space="0" w:color="auto"/>
            <w:right w:val="none" w:sz="0" w:space="0" w:color="auto"/>
          </w:divBdr>
        </w:div>
        <w:div w:id="1880050395">
          <w:marLeft w:val="480"/>
          <w:marRight w:val="0"/>
          <w:marTop w:val="0"/>
          <w:marBottom w:val="0"/>
          <w:divBdr>
            <w:top w:val="none" w:sz="0" w:space="0" w:color="auto"/>
            <w:left w:val="none" w:sz="0" w:space="0" w:color="auto"/>
            <w:bottom w:val="none" w:sz="0" w:space="0" w:color="auto"/>
            <w:right w:val="none" w:sz="0" w:space="0" w:color="auto"/>
          </w:divBdr>
        </w:div>
        <w:div w:id="1911112443">
          <w:marLeft w:val="480"/>
          <w:marRight w:val="0"/>
          <w:marTop w:val="0"/>
          <w:marBottom w:val="0"/>
          <w:divBdr>
            <w:top w:val="none" w:sz="0" w:space="0" w:color="auto"/>
            <w:left w:val="none" w:sz="0" w:space="0" w:color="auto"/>
            <w:bottom w:val="none" w:sz="0" w:space="0" w:color="auto"/>
            <w:right w:val="none" w:sz="0" w:space="0" w:color="auto"/>
          </w:divBdr>
        </w:div>
        <w:div w:id="2102288513">
          <w:marLeft w:val="480"/>
          <w:marRight w:val="0"/>
          <w:marTop w:val="0"/>
          <w:marBottom w:val="0"/>
          <w:divBdr>
            <w:top w:val="none" w:sz="0" w:space="0" w:color="auto"/>
            <w:left w:val="none" w:sz="0" w:space="0" w:color="auto"/>
            <w:bottom w:val="none" w:sz="0" w:space="0" w:color="auto"/>
            <w:right w:val="none" w:sz="0" w:space="0" w:color="auto"/>
          </w:divBdr>
        </w:div>
      </w:divsChild>
    </w:div>
    <w:div w:id="1752581413">
      <w:marLeft w:val="480"/>
      <w:marRight w:val="0"/>
      <w:marTop w:val="0"/>
      <w:marBottom w:val="0"/>
      <w:divBdr>
        <w:top w:val="none" w:sz="0" w:space="0" w:color="auto"/>
        <w:left w:val="none" w:sz="0" w:space="0" w:color="auto"/>
        <w:bottom w:val="none" w:sz="0" w:space="0" w:color="auto"/>
        <w:right w:val="none" w:sz="0" w:space="0" w:color="auto"/>
      </w:divBdr>
    </w:div>
    <w:div w:id="1755399361">
      <w:marLeft w:val="480"/>
      <w:marRight w:val="0"/>
      <w:marTop w:val="0"/>
      <w:marBottom w:val="0"/>
      <w:divBdr>
        <w:top w:val="none" w:sz="0" w:space="0" w:color="auto"/>
        <w:left w:val="none" w:sz="0" w:space="0" w:color="auto"/>
        <w:bottom w:val="none" w:sz="0" w:space="0" w:color="auto"/>
        <w:right w:val="none" w:sz="0" w:space="0" w:color="auto"/>
      </w:divBdr>
    </w:div>
    <w:div w:id="1758407329">
      <w:marLeft w:val="480"/>
      <w:marRight w:val="0"/>
      <w:marTop w:val="0"/>
      <w:marBottom w:val="0"/>
      <w:divBdr>
        <w:top w:val="none" w:sz="0" w:space="0" w:color="auto"/>
        <w:left w:val="none" w:sz="0" w:space="0" w:color="auto"/>
        <w:bottom w:val="none" w:sz="0" w:space="0" w:color="auto"/>
        <w:right w:val="none" w:sz="0" w:space="0" w:color="auto"/>
      </w:divBdr>
    </w:div>
    <w:div w:id="1760367966">
      <w:bodyDiv w:val="1"/>
      <w:marLeft w:val="0"/>
      <w:marRight w:val="0"/>
      <w:marTop w:val="0"/>
      <w:marBottom w:val="0"/>
      <w:divBdr>
        <w:top w:val="none" w:sz="0" w:space="0" w:color="auto"/>
        <w:left w:val="none" w:sz="0" w:space="0" w:color="auto"/>
        <w:bottom w:val="none" w:sz="0" w:space="0" w:color="auto"/>
        <w:right w:val="none" w:sz="0" w:space="0" w:color="auto"/>
      </w:divBdr>
    </w:div>
    <w:div w:id="1762291607">
      <w:marLeft w:val="480"/>
      <w:marRight w:val="0"/>
      <w:marTop w:val="0"/>
      <w:marBottom w:val="0"/>
      <w:divBdr>
        <w:top w:val="none" w:sz="0" w:space="0" w:color="auto"/>
        <w:left w:val="none" w:sz="0" w:space="0" w:color="auto"/>
        <w:bottom w:val="none" w:sz="0" w:space="0" w:color="auto"/>
        <w:right w:val="none" w:sz="0" w:space="0" w:color="auto"/>
      </w:divBdr>
    </w:div>
    <w:div w:id="1764571165">
      <w:marLeft w:val="480"/>
      <w:marRight w:val="0"/>
      <w:marTop w:val="0"/>
      <w:marBottom w:val="0"/>
      <w:divBdr>
        <w:top w:val="none" w:sz="0" w:space="0" w:color="auto"/>
        <w:left w:val="none" w:sz="0" w:space="0" w:color="auto"/>
        <w:bottom w:val="none" w:sz="0" w:space="0" w:color="auto"/>
        <w:right w:val="none" w:sz="0" w:space="0" w:color="auto"/>
      </w:divBdr>
    </w:div>
    <w:div w:id="1764841202">
      <w:bodyDiv w:val="1"/>
      <w:marLeft w:val="0"/>
      <w:marRight w:val="0"/>
      <w:marTop w:val="0"/>
      <w:marBottom w:val="0"/>
      <w:divBdr>
        <w:top w:val="none" w:sz="0" w:space="0" w:color="auto"/>
        <w:left w:val="none" w:sz="0" w:space="0" w:color="auto"/>
        <w:bottom w:val="none" w:sz="0" w:space="0" w:color="auto"/>
        <w:right w:val="none" w:sz="0" w:space="0" w:color="auto"/>
      </w:divBdr>
      <w:divsChild>
        <w:div w:id="27533437">
          <w:marLeft w:val="0"/>
          <w:marRight w:val="0"/>
          <w:marTop w:val="0"/>
          <w:marBottom w:val="0"/>
          <w:divBdr>
            <w:top w:val="none" w:sz="0" w:space="0" w:color="auto"/>
            <w:left w:val="none" w:sz="0" w:space="0" w:color="auto"/>
            <w:bottom w:val="none" w:sz="0" w:space="0" w:color="auto"/>
            <w:right w:val="none" w:sz="0" w:space="0" w:color="auto"/>
          </w:divBdr>
        </w:div>
        <w:div w:id="62263001">
          <w:marLeft w:val="0"/>
          <w:marRight w:val="0"/>
          <w:marTop w:val="0"/>
          <w:marBottom w:val="0"/>
          <w:divBdr>
            <w:top w:val="none" w:sz="0" w:space="0" w:color="auto"/>
            <w:left w:val="none" w:sz="0" w:space="0" w:color="auto"/>
            <w:bottom w:val="none" w:sz="0" w:space="0" w:color="auto"/>
            <w:right w:val="none" w:sz="0" w:space="0" w:color="auto"/>
          </w:divBdr>
        </w:div>
        <w:div w:id="75905075">
          <w:marLeft w:val="0"/>
          <w:marRight w:val="0"/>
          <w:marTop w:val="0"/>
          <w:marBottom w:val="0"/>
          <w:divBdr>
            <w:top w:val="none" w:sz="0" w:space="0" w:color="auto"/>
            <w:left w:val="none" w:sz="0" w:space="0" w:color="auto"/>
            <w:bottom w:val="none" w:sz="0" w:space="0" w:color="auto"/>
            <w:right w:val="none" w:sz="0" w:space="0" w:color="auto"/>
          </w:divBdr>
        </w:div>
        <w:div w:id="225802287">
          <w:marLeft w:val="0"/>
          <w:marRight w:val="0"/>
          <w:marTop w:val="0"/>
          <w:marBottom w:val="0"/>
          <w:divBdr>
            <w:top w:val="none" w:sz="0" w:space="0" w:color="auto"/>
            <w:left w:val="none" w:sz="0" w:space="0" w:color="auto"/>
            <w:bottom w:val="none" w:sz="0" w:space="0" w:color="auto"/>
            <w:right w:val="none" w:sz="0" w:space="0" w:color="auto"/>
          </w:divBdr>
        </w:div>
        <w:div w:id="262882661">
          <w:marLeft w:val="0"/>
          <w:marRight w:val="0"/>
          <w:marTop w:val="0"/>
          <w:marBottom w:val="0"/>
          <w:divBdr>
            <w:top w:val="none" w:sz="0" w:space="0" w:color="auto"/>
            <w:left w:val="none" w:sz="0" w:space="0" w:color="auto"/>
            <w:bottom w:val="none" w:sz="0" w:space="0" w:color="auto"/>
            <w:right w:val="none" w:sz="0" w:space="0" w:color="auto"/>
          </w:divBdr>
        </w:div>
        <w:div w:id="325717141">
          <w:marLeft w:val="0"/>
          <w:marRight w:val="0"/>
          <w:marTop w:val="0"/>
          <w:marBottom w:val="0"/>
          <w:divBdr>
            <w:top w:val="none" w:sz="0" w:space="0" w:color="auto"/>
            <w:left w:val="none" w:sz="0" w:space="0" w:color="auto"/>
            <w:bottom w:val="none" w:sz="0" w:space="0" w:color="auto"/>
            <w:right w:val="none" w:sz="0" w:space="0" w:color="auto"/>
          </w:divBdr>
        </w:div>
        <w:div w:id="356197692">
          <w:marLeft w:val="-75"/>
          <w:marRight w:val="0"/>
          <w:marTop w:val="30"/>
          <w:marBottom w:val="30"/>
          <w:divBdr>
            <w:top w:val="none" w:sz="0" w:space="0" w:color="auto"/>
            <w:left w:val="none" w:sz="0" w:space="0" w:color="auto"/>
            <w:bottom w:val="none" w:sz="0" w:space="0" w:color="auto"/>
            <w:right w:val="none" w:sz="0" w:space="0" w:color="auto"/>
          </w:divBdr>
          <w:divsChild>
            <w:div w:id="682516485">
              <w:marLeft w:val="0"/>
              <w:marRight w:val="0"/>
              <w:marTop w:val="0"/>
              <w:marBottom w:val="0"/>
              <w:divBdr>
                <w:top w:val="none" w:sz="0" w:space="0" w:color="auto"/>
                <w:left w:val="none" w:sz="0" w:space="0" w:color="auto"/>
                <w:bottom w:val="none" w:sz="0" w:space="0" w:color="auto"/>
                <w:right w:val="none" w:sz="0" w:space="0" w:color="auto"/>
              </w:divBdr>
              <w:divsChild>
                <w:div w:id="504059244">
                  <w:marLeft w:val="0"/>
                  <w:marRight w:val="0"/>
                  <w:marTop w:val="0"/>
                  <w:marBottom w:val="0"/>
                  <w:divBdr>
                    <w:top w:val="none" w:sz="0" w:space="0" w:color="auto"/>
                    <w:left w:val="none" w:sz="0" w:space="0" w:color="auto"/>
                    <w:bottom w:val="none" w:sz="0" w:space="0" w:color="auto"/>
                    <w:right w:val="none" w:sz="0" w:space="0" w:color="auto"/>
                  </w:divBdr>
                </w:div>
              </w:divsChild>
            </w:div>
            <w:div w:id="1727141083">
              <w:marLeft w:val="0"/>
              <w:marRight w:val="0"/>
              <w:marTop w:val="0"/>
              <w:marBottom w:val="0"/>
              <w:divBdr>
                <w:top w:val="none" w:sz="0" w:space="0" w:color="auto"/>
                <w:left w:val="none" w:sz="0" w:space="0" w:color="auto"/>
                <w:bottom w:val="none" w:sz="0" w:space="0" w:color="auto"/>
                <w:right w:val="none" w:sz="0" w:space="0" w:color="auto"/>
              </w:divBdr>
              <w:divsChild>
                <w:div w:id="270625869">
                  <w:marLeft w:val="0"/>
                  <w:marRight w:val="0"/>
                  <w:marTop w:val="0"/>
                  <w:marBottom w:val="0"/>
                  <w:divBdr>
                    <w:top w:val="none" w:sz="0" w:space="0" w:color="auto"/>
                    <w:left w:val="none" w:sz="0" w:space="0" w:color="auto"/>
                    <w:bottom w:val="none" w:sz="0" w:space="0" w:color="auto"/>
                    <w:right w:val="none" w:sz="0" w:space="0" w:color="auto"/>
                  </w:divBdr>
                </w:div>
                <w:div w:id="18903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252">
          <w:marLeft w:val="-75"/>
          <w:marRight w:val="0"/>
          <w:marTop w:val="30"/>
          <w:marBottom w:val="30"/>
          <w:divBdr>
            <w:top w:val="none" w:sz="0" w:space="0" w:color="auto"/>
            <w:left w:val="none" w:sz="0" w:space="0" w:color="auto"/>
            <w:bottom w:val="none" w:sz="0" w:space="0" w:color="auto"/>
            <w:right w:val="none" w:sz="0" w:space="0" w:color="auto"/>
          </w:divBdr>
          <w:divsChild>
            <w:div w:id="2705253">
              <w:marLeft w:val="0"/>
              <w:marRight w:val="0"/>
              <w:marTop w:val="0"/>
              <w:marBottom w:val="0"/>
              <w:divBdr>
                <w:top w:val="none" w:sz="0" w:space="0" w:color="auto"/>
                <w:left w:val="none" w:sz="0" w:space="0" w:color="auto"/>
                <w:bottom w:val="none" w:sz="0" w:space="0" w:color="auto"/>
                <w:right w:val="none" w:sz="0" w:space="0" w:color="auto"/>
              </w:divBdr>
              <w:divsChild>
                <w:div w:id="551355966">
                  <w:marLeft w:val="0"/>
                  <w:marRight w:val="0"/>
                  <w:marTop w:val="0"/>
                  <w:marBottom w:val="0"/>
                  <w:divBdr>
                    <w:top w:val="none" w:sz="0" w:space="0" w:color="auto"/>
                    <w:left w:val="none" w:sz="0" w:space="0" w:color="auto"/>
                    <w:bottom w:val="none" w:sz="0" w:space="0" w:color="auto"/>
                    <w:right w:val="none" w:sz="0" w:space="0" w:color="auto"/>
                  </w:divBdr>
                </w:div>
              </w:divsChild>
            </w:div>
            <w:div w:id="26950409">
              <w:marLeft w:val="0"/>
              <w:marRight w:val="0"/>
              <w:marTop w:val="0"/>
              <w:marBottom w:val="0"/>
              <w:divBdr>
                <w:top w:val="none" w:sz="0" w:space="0" w:color="auto"/>
                <w:left w:val="none" w:sz="0" w:space="0" w:color="auto"/>
                <w:bottom w:val="none" w:sz="0" w:space="0" w:color="auto"/>
                <w:right w:val="none" w:sz="0" w:space="0" w:color="auto"/>
              </w:divBdr>
              <w:divsChild>
                <w:div w:id="99187594">
                  <w:marLeft w:val="0"/>
                  <w:marRight w:val="0"/>
                  <w:marTop w:val="0"/>
                  <w:marBottom w:val="0"/>
                  <w:divBdr>
                    <w:top w:val="none" w:sz="0" w:space="0" w:color="auto"/>
                    <w:left w:val="none" w:sz="0" w:space="0" w:color="auto"/>
                    <w:bottom w:val="none" w:sz="0" w:space="0" w:color="auto"/>
                    <w:right w:val="none" w:sz="0" w:space="0" w:color="auto"/>
                  </w:divBdr>
                </w:div>
              </w:divsChild>
            </w:div>
            <w:div w:id="41904572">
              <w:marLeft w:val="0"/>
              <w:marRight w:val="0"/>
              <w:marTop w:val="0"/>
              <w:marBottom w:val="0"/>
              <w:divBdr>
                <w:top w:val="none" w:sz="0" w:space="0" w:color="auto"/>
                <w:left w:val="none" w:sz="0" w:space="0" w:color="auto"/>
                <w:bottom w:val="none" w:sz="0" w:space="0" w:color="auto"/>
                <w:right w:val="none" w:sz="0" w:space="0" w:color="auto"/>
              </w:divBdr>
              <w:divsChild>
                <w:div w:id="2068918639">
                  <w:marLeft w:val="0"/>
                  <w:marRight w:val="0"/>
                  <w:marTop w:val="0"/>
                  <w:marBottom w:val="0"/>
                  <w:divBdr>
                    <w:top w:val="none" w:sz="0" w:space="0" w:color="auto"/>
                    <w:left w:val="none" w:sz="0" w:space="0" w:color="auto"/>
                    <w:bottom w:val="none" w:sz="0" w:space="0" w:color="auto"/>
                    <w:right w:val="none" w:sz="0" w:space="0" w:color="auto"/>
                  </w:divBdr>
                </w:div>
              </w:divsChild>
            </w:div>
            <w:div w:id="42559786">
              <w:marLeft w:val="0"/>
              <w:marRight w:val="0"/>
              <w:marTop w:val="0"/>
              <w:marBottom w:val="0"/>
              <w:divBdr>
                <w:top w:val="none" w:sz="0" w:space="0" w:color="auto"/>
                <w:left w:val="none" w:sz="0" w:space="0" w:color="auto"/>
                <w:bottom w:val="none" w:sz="0" w:space="0" w:color="auto"/>
                <w:right w:val="none" w:sz="0" w:space="0" w:color="auto"/>
              </w:divBdr>
              <w:divsChild>
                <w:div w:id="1293944592">
                  <w:marLeft w:val="0"/>
                  <w:marRight w:val="0"/>
                  <w:marTop w:val="0"/>
                  <w:marBottom w:val="0"/>
                  <w:divBdr>
                    <w:top w:val="none" w:sz="0" w:space="0" w:color="auto"/>
                    <w:left w:val="none" w:sz="0" w:space="0" w:color="auto"/>
                    <w:bottom w:val="none" w:sz="0" w:space="0" w:color="auto"/>
                    <w:right w:val="none" w:sz="0" w:space="0" w:color="auto"/>
                  </w:divBdr>
                </w:div>
              </w:divsChild>
            </w:div>
            <w:div w:id="114954149">
              <w:marLeft w:val="0"/>
              <w:marRight w:val="0"/>
              <w:marTop w:val="0"/>
              <w:marBottom w:val="0"/>
              <w:divBdr>
                <w:top w:val="none" w:sz="0" w:space="0" w:color="auto"/>
                <w:left w:val="none" w:sz="0" w:space="0" w:color="auto"/>
                <w:bottom w:val="none" w:sz="0" w:space="0" w:color="auto"/>
                <w:right w:val="none" w:sz="0" w:space="0" w:color="auto"/>
              </w:divBdr>
              <w:divsChild>
                <w:div w:id="49773387">
                  <w:marLeft w:val="0"/>
                  <w:marRight w:val="0"/>
                  <w:marTop w:val="0"/>
                  <w:marBottom w:val="0"/>
                  <w:divBdr>
                    <w:top w:val="none" w:sz="0" w:space="0" w:color="auto"/>
                    <w:left w:val="none" w:sz="0" w:space="0" w:color="auto"/>
                    <w:bottom w:val="none" w:sz="0" w:space="0" w:color="auto"/>
                    <w:right w:val="none" w:sz="0" w:space="0" w:color="auto"/>
                  </w:divBdr>
                </w:div>
              </w:divsChild>
            </w:div>
            <w:div w:id="130708446">
              <w:marLeft w:val="0"/>
              <w:marRight w:val="0"/>
              <w:marTop w:val="0"/>
              <w:marBottom w:val="0"/>
              <w:divBdr>
                <w:top w:val="none" w:sz="0" w:space="0" w:color="auto"/>
                <w:left w:val="none" w:sz="0" w:space="0" w:color="auto"/>
                <w:bottom w:val="none" w:sz="0" w:space="0" w:color="auto"/>
                <w:right w:val="none" w:sz="0" w:space="0" w:color="auto"/>
              </w:divBdr>
              <w:divsChild>
                <w:div w:id="1319965754">
                  <w:marLeft w:val="0"/>
                  <w:marRight w:val="0"/>
                  <w:marTop w:val="0"/>
                  <w:marBottom w:val="0"/>
                  <w:divBdr>
                    <w:top w:val="none" w:sz="0" w:space="0" w:color="auto"/>
                    <w:left w:val="none" w:sz="0" w:space="0" w:color="auto"/>
                    <w:bottom w:val="none" w:sz="0" w:space="0" w:color="auto"/>
                    <w:right w:val="none" w:sz="0" w:space="0" w:color="auto"/>
                  </w:divBdr>
                </w:div>
              </w:divsChild>
            </w:div>
            <w:div w:id="144204382">
              <w:marLeft w:val="0"/>
              <w:marRight w:val="0"/>
              <w:marTop w:val="0"/>
              <w:marBottom w:val="0"/>
              <w:divBdr>
                <w:top w:val="none" w:sz="0" w:space="0" w:color="auto"/>
                <w:left w:val="none" w:sz="0" w:space="0" w:color="auto"/>
                <w:bottom w:val="none" w:sz="0" w:space="0" w:color="auto"/>
                <w:right w:val="none" w:sz="0" w:space="0" w:color="auto"/>
              </w:divBdr>
              <w:divsChild>
                <w:div w:id="439689288">
                  <w:marLeft w:val="0"/>
                  <w:marRight w:val="0"/>
                  <w:marTop w:val="0"/>
                  <w:marBottom w:val="0"/>
                  <w:divBdr>
                    <w:top w:val="none" w:sz="0" w:space="0" w:color="auto"/>
                    <w:left w:val="none" w:sz="0" w:space="0" w:color="auto"/>
                    <w:bottom w:val="none" w:sz="0" w:space="0" w:color="auto"/>
                    <w:right w:val="none" w:sz="0" w:space="0" w:color="auto"/>
                  </w:divBdr>
                </w:div>
              </w:divsChild>
            </w:div>
            <w:div w:id="199098787">
              <w:marLeft w:val="0"/>
              <w:marRight w:val="0"/>
              <w:marTop w:val="0"/>
              <w:marBottom w:val="0"/>
              <w:divBdr>
                <w:top w:val="none" w:sz="0" w:space="0" w:color="auto"/>
                <w:left w:val="none" w:sz="0" w:space="0" w:color="auto"/>
                <w:bottom w:val="none" w:sz="0" w:space="0" w:color="auto"/>
                <w:right w:val="none" w:sz="0" w:space="0" w:color="auto"/>
              </w:divBdr>
              <w:divsChild>
                <w:div w:id="792744896">
                  <w:marLeft w:val="0"/>
                  <w:marRight w:val="0"/>
                  <w:marTop w:val="0"/>
                  <w:marBottom w:val="0"/>
                  <w:divBdr>
                    <w:top w:val="none" w:sz="0" w:space="0" w:color="auto"/>
                    <w:left w:val="none" w:sz="0" w:space="0" w:color="auto"/>
                    <w:bottom w:val="none" w:sz="0" w:space="0" w:color="auto"/>
                    <w:right w:val="none" w:sz="0" w:space="0" w:color="auto"/>
                  </w:divBdr>
                </w:div>
              </w:divsChild>
            </w:div>
            <w:div w:id="248001119">
              <w:marLeft w:val="0"/>
              <w:marRight w:val="0"/>
              <w:marTop w:val="0"/>
              <w:marBottom w:val="0"/>
              <w:divBdr>
                <w:top w:val="none" w:sz="0" w:space="0" w:color="auto"/>
                <w:left w:val="none" w:sz="0" w:space="0" w:color="auto"/>
                <w:bottom w:val="none" w:sz="0" w:space="0" w:color="auto"/>
                <w:right w:val="none" w:sz="0" w:space="0" w:color="auto"/>
              </w:divBdr>
              <w:divsChild>
                <w:div w:id="563612653">
                  <w:marLeft w:val="0"/>
                  <w:marRight w:val="0"/>
                  <w:marTop w:val="0"/>
                  <w:marBottom w:val="0"/>
                  <w:divBdr>
                    <w:top w:val="none" w:sz="0" w:space="0" w:color="auto"/>
                    <w:left w:val="none" w:sz="0" w:space="0" w:color="auto"/>
                    <w:bottom w:val="none" w:sz="0" w:space="0" w:color="auto"/>
                    <w:right w:val="none" w:sz="0" w:space="0" w:color="auto"/>
                  </w:divBdr>
                </w:div>
              </w:divsChild>
            </w:div>
            <w:div w:id="290325045">
              <w:marLeft w:val="0"/>
              <w:marRight w:val="0"/>
              <w:marTop w:val="0"/>
              <w:marBottom w:val="0"/>
              <w:divBdr>
                <w:top w:val="none" w:sz="0" w:space="0" w:color="auto"/>
                <w:left w:val="none" w:sz="0" w:space="0" w:color="auto"/>
                <w:bottom w:val="none" w:sz="0" w:space="0" w:color="auto"/>
                <w:right w:val="none" w:sz="0" w:space="0" w:color="auto"/>
              </w:divBdr>
              <w:divsChild>
                <w:div w:id="2066026801">
                  <w:marLeft w:val="0"/>
                  <w:marRight w:val="0"/>
                  <w:marTop w:val="0"/>
                  <w:marBottom w:val="0"/>
                  <w:divBdr>
                    <w:top w:val="none" w:sz="0" w:space="0" w:color="auto"/>
                    <w:left w:val="none" w:sz="0" w:space="0" w:color="auto"/>
                    <w:bottom w:val="none" w:sz="0" w:space="0" w:color="auto"/>
                    <w:right w:val="none" w:sz="0" w:space="0" w:color="auto"/>
                  </w:divBdr>
                </w:div>
              </w:divsChild>
            </w:div>
            <w:div w:id="299923418">
              <w:marLeft w:val="0"/>
              <w:marRight w:val="0"/>
              <w:marTop w:val="0"/>
              <w:marBottom w:val="0"/>
              <w:divBdr>
                <w:top w:val="none" w:sz="0" w:space="0" w:color="auto"/>
                <w:left w:val="none" w:sz="0" w:space="0" w:color="auto"/>
                <w:bottom w:val="none" w:sz="0" w:space="0" w:color="auto"/>
                <w:right w:val="none" w:sz="0" w:space="0" w:color="auto"/>
              </w:divBdr>
              <w:divsChild>
                <w:div w:id="344212198">
                  <w:marLeft w:val="0"/>
                  <w:marRight w:val="0"/>
                  <w:marTop w:val="0"/>
                  <w:marBottom w:val="0"/>
                  <w:divBdr>
                    <w:top w:val="none" w:sz="0" w:space="0" w:color="auto"/>
                    <w:left w:val="none" w:sz="0" w:space="0" w:color="auto"/>
                    <w:bottom w:val="none" w:sz="0" w:space="0" w:color="auto"/>
                    <w:right w:val="none" w:sz="0" w:space="0" w:color="auto"/>
                  </w:divBdr>
                </w:div>
              </w:divsChild>
            </w:div>
            <w:div w:id="332727832">
              <w:marLeft w:val="0"/>
              <w:marRight w:val="0"/>
              <w:marTop w:val="0"/>
              <w:marBottom w:val="0"/>
              <w:divBdr>
                <w:top w:val="none" w:sz="0" w:space="0" w:color="auto"/>
                <w:left w:val="none" w:sz="0" w:space="0" w:color="auto"/>
                <w:bottom w:val="none" w:sz="0" w:space="0" w:color="auto"/>
                <w:right w:val="none" w:sz="0" w:space="0" w:color="auto"/>
              </w:divBdr>
              <w:divsChild>
                <w:div w:id="1277445175">
                  <w:marLeft w:val="0"/>
                  <w:marRight w:val="0"/>
                  <w:marTop w:val="0"/>
                  <w:marBottom w:val="0"/>
                  <w:divBdr>
                    <w:top w:val="none" w:sz="0" w:space="0" w:color="auto"/>
                    <w:left w:val="none" w:sz="0" w:space="0" w:color="auto"/>
                    <w:bottom w:val="none" w:sz="0" w:space="0" w:color="auto"/>
                    <w:right w:val="none" w:sz="0" w:space="0" w:color="auto"/>
                  </w:divBdr>
                </w:div>
              </w:divsChild>
            </w:div>
            <w:div w:id="368453972">
              <w:marLeft w:val="0"/>
              <w:marRight w:val="0"/>
              <w:marTop w:val="0"/>
              <w:marBottom w:val="0"/>
              <w:divBdr>
                <w:top w:val="none" w:sz="0" w:space="0" w:color="auto"/>
                <w:left w:val="none" w:sz="0" w:space="0" w:color="auto"/>
                <w:bottom w:val="none" w:sz="0" w:space="0" w:color="auto"/>
                <w:right w:val="none" w:sz="0" w:space="0" w:color="auto"/>
              </w:divBdr>
              <w:divsChild>
                <w:div w:id="1040088737">
                  <w:marLeft w:val="0"/>
                  <w:marRight w:val="0"/>
                  <w:marTop w:val="0"/>
                  <w:marBottom w:val="0"/>
                  <w:divBdr>
                    <w:top w:val="none" w:sz="0" w:space="0" w:color="auto"/>
                    <w:left w:val="none" w:sz="0" w:space="0" w:color="auto"/>
                    <w:bottom w:val="none" w:sz="0" w:space="0" w:color="auto"/>
                    <w:right w:val="none" w:sz="0" w:space="0" w:color="auto"/>
                  </w:divBdr>
                </w:div>
              </w:divsChild>
            </w:div>
            <w:div w:id="376708345">
              <w:marLeft w:val="0"/>
              <w:marRight w:val="0"/>
              <w:marTop w:val="0"/>
              <w:marBottom w:val="0"/>
              <w:divBdr>
                <w:top w:val="none" w:sz="0" w:space="0" w:color="auto"/>
                <w:left w:val="none" w:sz="0" w:space="0" w:color="auto"/>
                <w:bottom w:val="none" w:sz="0" w:space="0" w:color="auto"/>
                <w:right w:val="none" w:sz="0" w:space="0" w:color="auto"/>
              </w:divBdr>
              <w:divsChild>
                <w:div w:id="1274904062">
                  <w:marLeft w:val="0"/>
                  <w:marRight w:val="0"/>
                  <w:marTop w:val="0"/>
                  <w:marBottom w:val="0"/>
                  <w:divBdr>
                    <w:top w:val="none" w:sz="0" w:space="0" w:color="auto"/>
                    <w:left w:val="none" w:sz="0" w:space="0" w:color="auto"/>
                    <w:bottom w:val="none" w:sz="0" w:space="0" w:color="auto"/>
                    <w:right w:val="none" w:sz="0" w:space="0" w:color="auto"/>
                  </w:divBdr>
                </w:div>
              </w:divsChild>
            </w:div>
            <w:div w:id="383603917">
              <w:marLeft w:val="0"/>
              <w:marRight w:val="0"/>
              <w:marTop w:val="0"/>
              <w:marBottom w:val="0"/>
              <w:divBdr>
                <w:top w:val="none" w:sz="0" w:space="0" w:color="auto"/>
                <w:left w:val="none" w:sz="0" w:space="0" w:color="auto"/>
                <w:bottom w:val="none" w:sz="0" w:space="0" w:color="auto"/>
                <w:right w:val="none" w:sz="0" w:space="0" w:color="auto"/>
              </w:divBdr>
              <w:divsChild>
                <w:div w:id="266012640">
                  <w:marLeft w:val="0"/>
                  <w:marRight w:val="0"/>
                  <w:marTop w:val="0"/>
                  <w:marBottom w:val="0"/>
                  <w:divBdr>
                    <w:top w:val="none" w:sz="0" w:space="0" w:color="auto"/>
                    <w:left w:val="none" w:sz="0" w:space="0" w:color="auto"/>
                    <w:bottom w:val="none" w:sz="0" w:space="0" w:color="auto"/>
                    <w:right w:val="none" w:sz="0" w:space="0" w:color="auto"/>
                  </w:divBdr>
                </w:div>
              </w:divsChild>
            </w:div>
            <w:div w:id="487788063">
              <w:marLeft w:val="0"/>
              <w:marRight w:val="0"/>
              <w:marTop w:val="0"/>
              <w:marBottom w:val="0"/>
              <w:divBdr>
                <w:top w:val="none" w:sz="0" w:space="0" w:color="auto"/>
                <w:left w:val="none" w:sz="0" w:space="0" w:color="auto"/>
                <w:bottom w:val="none" w:sz="0" w:space="0" w:color="auto"/>
                <w:right w:val="none" w:sz="0" w:space="0" w:color="auto"/>
              </w:divBdr>
              <w:divsChild>
                <w:div w:id="1365641154">
                  <w:marLeft w:val="0"/>
                  <w:marRight w:val="0"/>
                  <w:marTop w:val="0"/>
                  <w:marBottom w:val="0"/>
                  <w:divBdr>
                    <w:top w:val="none" w:sz="0" w:space="0" w:color="auto"/>
                    <w:left w:val="none" w:sz="0" w:space="0" w:color="auto"/>
                    <w:bottom w:val="none" w:sz="0" w:space="0" w:color="auto"/>
                    <w:right w:val="none" w:sz="0" w:space="0" w:color="auto"/>
                  </w:divBdr>
                </w:div>
              </w:divsChild>
            </w:div>
            <w:div w:id="750808201">
              <w:marLeft w:val="0"/>
              <w:marRight w:val="0"/>
              <w:marTop w:val="0"/>
              <w:marBottom w:val="0"/>
              <w:divBdr>
                <w:top w:val="none" w:sz="0" w:space="0" w:color="auto"/>
                <w:left w:val="none" w:sz="0" w:space="0" w:color="auto"/>
                <w:bottom w:val="none" w:sz="0" w:space="0" w:color="auto"/>
                <w:right w:val="none" w:sz="0" w:space="0" w:color="auto"/>
              </w:divBdr>
              <w:divsChild>
                <w:div w:id="1428118208">
                  <w:marLeft w:val="0"/>
                  <w:marRight w:val="0"/>
                  <w:marTop w:val="0"/>
                  <w:marBottom w:val="0"/>
                  <w:divBdr>
                    <w:top w:val="none" w:sz="0" w:space="0" w:color="auto"/>
                    <w:left w:val="none" w:sz="0" w:space="0" w:color="auto"/>
                    <w:bottom w:val="none" w:sz="0" w:space="0" w:color="auto"/>
                    <w:right w:val="none" w:sz="0" w:space="0" w:color="auto"/>
                  </w:divBdr>
                </w:div>
              </w:divsChild>
            </w:div>
            <w:div w:id="924647771">
              <w:marLeft w:val="0"/>
              <w:marRight w:val="0"/>
              <w:marTop w:val="0"/>
              <w:marBottom w:val="0"/>
              <w:divBdr>
                <w:top w:val="none" w:sz="0" w:space="0" w:color="auto"/>
                <w:left w:val="none" w:sz="0" w:space="0" w:color="auto"/>
                <w:bottom w:val="none" w:sz="0" w:space="0" w:color="auto"/>
                <w:right w:val="none" w:sz="0" w:space="0" w:color="auto"/>
              </w:divBdr>
            </w:div>
            <w:div w:id="1092822607">
              <w:marLeft w:val="0"/>
              <w:marRight w:val="0"/>
              <w:marTop w:val="0"/>
              <w:marBottom w:val="0"/>
              <w:divBdr>
                <w:top w:val="none" w:sz="0" w:space="0" w:color="auto"/>
                <w:left w:val="none" w:sz="0" w:space="0" w:color="auto"/>
                <w:bottom w:val="none" w:sz="0" w:space="0" w:color="auto"/>
                <w:right w:val="none" w:sz="0" w:space="0" w:color="auto"/>
              </w:divBdr>
              <w:divsChild>
                <w:div w:id="830368153">
                  <w:marLeft w:val="0"/>
                  <w:marRight w:val="0"/>
                  <w:marTop w:val="0"/>
                  <w:marBottom w:val="0"/>
                  <w:divBdr>
                    <w:top w:val="none" w:sz="0" w:space="0" w:color="auto"/>
                    <w:left w:val="none" w:sz="0" w:space="0" w:color="auto"/>
                    <w:bottom w:val="none" w:sz="0" w:space="0" w:color="auto"/>
                    <w:right w:val="none" w:sz="0" w:space="0" w:color="auto"/>
                  </w:divBdr>
                </w:div>
              </w:divsChild>
            </w:div>
            <w:div w:id="1121919771">
              <w:marLeft w:val="0"/>
              <w:marRight w:val="0"/>
              <w:marTop w:val="0"/>
              <w:marBottom w:val="0"/>
              <w:divBdr>
                <w:top w:val="none" w:sz="0" w:space="0" w:color="auto"/>
                <w:left w:val="none" w:sz="0" w:space="0" w:color="auto"/>
                <w:bottom w:val="none" w:sz="0" w:space="0" w:color="auto"/>
                <w:right w:val="none" w:sz="0" w:space="0" w:color="auto"/>
              </w:divBdr>
              <w:divsChild>
                <w:div w:id="182599102">
                  <w:marLeft w:val="0"/>
                  <w:marRight w:val="0"/>
                  <w:marTop w:val="0"/>
                  <w:marBottom w:val="0"/>
                  <w:divBdr>
                    <w:top w:val="none" w:sz="0" w:space="0" w:color="auto"/>
                    <w:left w:val="none" w:sz="0" w:space="0" w:color="auto"/>
                    <w:bottom w:val="none" w:sz="0" w:space="0" w:color="auto"/>
                    <w:right w:val="none" w:sz="0" w:space="0" w:color="auto"/>
                  </w:divBdr>
                </w:div>
              </w:divsChild>
            </w:div>
            <w:div w:id="1187479198">
              <w:marLeft w:val="0"/>
              <w:marRight w:val="0"/>
              <w:marTop w:val="0"/>
              <w:marBottom w:val="0"/>
              <w:divBdr>
                <w:top w:val="none" w:sz="0" w:space="0" w:color="auto"/>
                <w:left w:val="none" w:sz="0" w:space="0" w:color="auto"/>
                <w:bottom w:val="none" w:sz="0" w:space="0" w:color="auto"/>
                <w:right w:val="none" w:sz="0" w:space="0" w:color="auto"/>
              </w:divBdr>
              <w:divsChild>
                <w:div w:id="2062827079">
                  <w:marLeft w:val="0"/>
                  <w:marRight w:val="0"/>
                  <w:marTop w:val="0"/>
                  <w:marBottom w:val="0"/>
                  <w:divBdr>
                    <w:top w:val="none" w:sz="0" w:space="0" w:color="auto"/>
                    <w:left w:val="none" w:sz="0" w:space="0" w:color="auto"/>
                    <w:bottom w:val="none" w:sz="0" w:space="0" w:color="auto"/>
                    <w:right w:val="none" w:sz="0" w:space="0" w:color="auto"/>
                  </w:divBdr>
                </w:div>
              </w:divsChild>
            </w:div>
            <w:div w:id="1404260227">
              <w:marLeft w:val="0"/>
              <w:marRight w:val="0"/>
              <w:marTop w:val="0"/>
              <w:marBottom w:val="0"/>
              <w:divBdr>
                <w:top w:val="none" w:sz="0" w:space="0" w:color="auto"/>
                <w:left w:val="none" w:sz="0" w:space="0" w:color="auto"/>
                <w:bottom w:val="none" w:sz="0" w:space="0" w:color="auto"/>
                <w:right w:val="none" w:sz="0" w:space="0" w:color="auto"/>
              </w:divBdr>
              <w:divsChild>
                <w:div w:id="1583955050">
                  <w:marLeft w:val="0"/>
                  <w:marRight w:val="0"/>
                  <w:marTop w:val="0"/>
                  <w:marBottom w:val="0"/>
                  <w:divBdr>
                    <w:top w:val="none" w:sz="0" w:space="0" w:color="auto"/>
                    <w:left w:val="none" w:sz="0" w:space="0" w:color="auto"/>
                    <w:bottom w:val="none" w:sz="0" w:space="0" w:color="auto"/>
                    <w:right w:val="none" w:sz="0" w:space="0" w:color="auto"/>
                  </w:divBdr>
                </w:div>
              </w:divsChild>
            </w:div>
            <w:div w:id="1422995388">
              <w:marLeft w:val="0"/>
              <w:marRight w:val="0"/>
              <w:marTop w:val="0"/>
              <w:marBottom w:val="0"/>
              <w:divBdr>
                <w:top w:val="none" w:sz="0" w:space="0" w:color="auto"/>
                <w:left w:val="none" w:sz="0" w:space="0" w:color="auto"/>
                <w:bottom w:val="none" w:sz="0" w:space="0" w:color="auto"/>
                <w:right w:val="none" w:sz="0" w:space="0" w:color="auto"/>
              </w:divBdr>
              <w:divsChild>
                <w:div w:id="1114910926">
                  <w:marLeft w:val="0"/>
                  <w:marRight w:val="0"/>
                  <w:marTop w:val="0"/>
                  <w:marBottom w:val="0"/>
                  <w:divBdr>
                    <w:top w:val="none" w:sz="0" w:space="0" w:color="auto"/>
                    <w:left w:val="none" w:sz="0" w:space="0" w:color="auto"/>
                    <w:bottom w:val="none" w:sz="0" w:space="0" w:color="auto"/>
                    <w:right w:val="none" w:sz="0" w:space="0" w:color="auto"/>
                  </w:divBdr>
                </w:div>
                <w:div w:id="1674145415">
                  <w:marLeft w:val="0"/>
                  <w:marRight w:val="0"/>
                  <w:marTop w:val="0"/>
                  <w:marBottom w:val="0"/>
                  <w:divBdr>
                    <w:top w:val="none" w:sz="0" w:space="0" w:color="auto"/>
                    <w:left w:val="none" w:sz="0" w:space="0" w:color="auto"/>
                    <w:bottom w:val="none" w:sz="0" w:space="0" w:color="auto"/>
                    <w:right w:val="none" w:sz="0" w:space="0" w:color="auto"/>
                  </w:divBdr>
                </w:div>
              </w:divsChild>
            </w:div>
            <w:div w:id="1705516111">
              <w:marLeft w:val="0"/>
              <w:marRight w:val="0"/>
              <w:marTop w:val="0"/>
              <w:marBottom w:val="0"/>
              <w:divBdr>
                <w:top w:val="none" w:sz="0" w:space="0" w:color="auto"/>
                <w:left w:val="none" w:sz="0" w:space="0" w:color="auto"/>
                <w:bottom w:val="none" w:sz="0" w:space="0" w:color="auto"/>
                <w:right w:val="none" w:sz="0" w:space="0" w:color="auto"/>
              </w:divBdr>
              <w:divsChild>
                <w:div w:id="714622003">
                  <w:marLeft w:val="0"/>
                  <w:marRight w:val="0"/>
                  <w:marTop w:val="0"/>
                  <w:marBottom w:val="0"/>
                  <w:divBdr>
                    <w:top w:val="none" w:sz="0" w:space="0" w:color="auto"/>
                    <w:left w:val="none" w:sz="0" w:space="0" w:color="auto"/>
                    <w:bottom w:val="none" w:sz="0" w:space="0" w:color="auto"/>
                    <w:right w:val="none" w:sz="0" w:space="0" w:color="auto"/>
                  </w:divBdr>
                </w:div>
              </w:divsChild>
            </w:div>
            <w:div w:id="1952593477">
              <w:marLeft w:val="0"/>
              <w:marRight w:val="0"/>
              <w:marTop w:val="0"/>
              <w:marBottom w:val="0"/>
              <w:divBdr>
                <w:top w:val="none" w:sz="0" w:space="0" w:color="auto"/>
                <w:left w:val="none" w:sz="0" w:space="0" w:color="auto"/>
                <w:bottom w:val="none" w:sz="0" w:space="0" w:color="auto"/>
                <w:right w:val="none" w:sz="0" w:space="0" w:color="auto"/>
              </w:divBdr>
              <w:divsChild>
                <w:div w:id="179629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9516">
          <w:marLeft w:val="0"/>
          <w:marRight w:val="0"/>
          <w:marTop w:val="0"/>
          <w:marBottom w:val="0"/>
          <w:divBdr>
            <w:top w:val="none" w:sz="0" w:space="0" w:color="auto"/>
            <w:left w:val="none" w:sz="0" w:space="0" w:color="auto"/>
            <w:bottom w:val="none" w:sz="0" w:space="0" w:color="auto"/>
            <w:right w:val="none" w:sz="0" w:space="0" w:color="auto"/>
          </w:divBdr>
        </w:div>
        <w:div w:id="666516298">
          <w:marLeft w:val="0"/>
          <w:marRight w:val="0"/>
          <w:marTop w:val="0"/>
          <w:marBottom w:val="0"/>
          <w:divBdr>
            <w:top w:val="none" w:sz="0" w:space="0" w:color="auto"/>
            <w:left w:val="none" w:sz="0" w:space="0" w:color="auto"/>
            <w:bottom w:val="none" w:sz="0" w:space="0" w:color="auto"/>
            <w:right w:val="none" w:sz="0" w:space="0" w:color="auto"/>
          </w:divBdr>
        </w:div>
        <w:div w:id="686254519">
          <w:marLeft w:val="-75"/>
          <w:marRight w:val="0"/>
          <w:marTop w:val="30"/>
          <w:marBottom w:val="30"/>
          <w:divBdr>
            <w:top w:val="none" w:sz="0" w:space="0" w:color="auto"/>
            <w:left w:val="none" w:sz="0" w:space="0" w:color="auto"/>
            <w:bottom w:val="none" w:sz="0" w:space="0" w:color="auto"/>
            <w:right w:val="none" w:sz="0" w:space="0" w:color="auto"/>
          </w:divBdr>
          <w:divsChild>
            <w:div w:id="338046907">
              <w:marLeft w:val="0"/>
              <w:marRight w:val="0"/>
              <w:marTop w:val="0"/>
              <w:marBottom w:val="0"/>
              <w:divBdr>
                <w:top w:val="none" w:sz="0" w:space="0" w:color="auto"/>
                <w:left w:val="none" w:sz="0" w:space="0" w:color="auto"/>
                <w:bottom w:val="none" w:sz="0" w:space="0" w:color="auto"/>
                <w:right w:val="none" w:sz="0" w:space="0" w:color="auto"/>
              </w:divBdr>
              <w:divsChild>
                <w:div w:id="156851203">
                  <w:marLeft w:val="0"/>
                  <w:marRight w:val="0"/>
                  <w:marTop w:val="0"/>
                  <w:marBottom w:val="0"/>
                  <w:divBdr>
                    <w:top w:val="none" w:sz="0" w:space="0" w:color="auto"/>
                    <w:left w:val="none" w:sz="0" w:space="0" w:color="auto"/>
                    <w:bottom w:val="none" w:sz="0" w:space="0" w:color="auto"/>
                    <w:right w:val="none" w:sz="0" w:space="0" w:color="auto"/>
                  </w:divBdr>
                </w:div>
                <w:div w:id="547766410">
                  <w:marLeft w:val="0"/>
                  <w:marRight w:val="0"/>
                  <w:marTop w:val="0"/>
                  <w:marBottom w:val="0"/>
                  <w:divBdr>
                    <w:top w:val="none" w:sz="0" w:space="0" w:color="auto"/>
                    <w:left w:val="none" w:sz="0" w:space="0" w:color="auto"/>
                    <w:bottom w:val="none" w:sz="0" w:space="0" w:color="auto"/>
                    <w:right w:val="none" w:sz="0" w:space="0" w:color="auto"/>
                  </w:divBdr>
                </w:div>
                <w:div w:id="1212232602">
                  <w:marLeft w:val="0"/>
                  <w:marRight w:val="0"/>
                  <w:marTop w:val="0"/>
                  <w:marBottom w:val="0"/>
                  <w:divBdr>
                    <w:top w:val="none" w:sz="0" w:space="0" w:color="auto"/>
                    <w:left w:val="none" w:sz="0" w:space="0" w:color="auto"/>
                    <w:bottom w:val="none" w:sz="0" w:space="0" w:color="auto"/>
                    <w:right w:val="none" w:sz="0" w:space="0" w:color="auto"/>
                  </w:divBdr>
                </w:div>
              </w:divsChild>
            </w:div>
            <w:div w:id="897479573">
              <w:marLeft w:val="0"/>
              <w:marRight w:val="0"/>
              <w:marTop w:val="0"/>
              <w:marBottom w:val="0"/>
              <w:divBdr>
                <w:top w:val="none" w:sz="0" w:space="0" w:color="auto"/>
                <w:left w:val="none" w:sz="0" w:space="0" w:color="auto"/>
                <w:bottom w:val="none" w:sz="0" w:space="0" w:color="auto"/>
                <w:right w:val="none" w:sz="0" w:space="0" w:color="auto"/>
              </w:divBdr>
              <w:divsChild>
                <w:div w:id="5806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2333">
          <w:marLeft w:val="0"/>
          <w:marRight w:val="0"/>
          <w:marTop w:val="0"/>
          <w:marBottom w:val="0"/>
          <w:divBdr>
            <w:top w:val="none" w:sz="0" w:space="0" w:color="auto"/>
            <w:left w:val="none" w:sz="0" w:space="0" w:color="auto"/>
            <w:bottom w:val="none" w:sz="0" w:space="0" w:color="auto"/>
            <w:right w:val="none" w:sz="0" w:space="0" w:color="auto"/>
          </w:divBdr>
        </w:div>
        <w:div w:id="1063984049">
          <w:marLeft w:val="0"/>
          <w:marRight w:val="0"/>
          <w:marTop w:val="0"/>
          <w:marBottom w:val="0"/>
          <w:divBdr>
            <w:top w:val="none" w:sz="0" w:space="0" w:color="auto"/>
            <w:left w:val="none" w:sz="0" w:space="0" w:color="auto"/>
            <w:bottom w:val="none" w:sz="0" w:space="0" w:color="auto"/>
            <w:right w:val="none" w:sz="0" w:space="0" w:color="auto"/>
          </w:divBdr>
        </w:div>
        <w:div w:id="1121651631">
          <w:marLeft w:val="-75"/>
          <w:marRight w:val="0"/>
          <w:marTop w:val="30"/>
          <w:marBottom w:val="30"/>
          <w:divBdr>
            <w:top w:val="none" w:sz="0" w:space="0" w:color="auto"/>
            <w:left w:val="none" w:sz="0" w:space="0" w:color="auto"/>
            <w:bottom w:val="none" w:sz="0" w:space="0" w:color="auto"/>
            <w:right w:val="none" w:sz="0" w:space="0" w:color="auto"/>
          </w:divBdr>
          <w:divsChild>
            <w:div w:id="179587651">
              <w:marLeft w:val="0"/>
              <w:marRight w:val="0"/>
              <w:marTop w:val="0"/>
              <w:marBottom w:val="0"/>
              <w:divBdr>
                <w:top w:val="none" w:sz="0" w:space="0" w:color="auto"/>
                <w:left w:val="none" w:sz="0" w:space="0" w:color="auto"/>
                <w:bottom w:val="none" w:sz="0" w:space="0" w:color="auto"/>
                <w:right w:val="none" w:sz="0" w:space="0" w:color="auto"/>
              </w:divBdr>
              <w:divsChild>
                <w:div w:id="1785074609">
                  <w:marLeft w:val="0"/>
                  <w:marRight w:val="0"/>
                  <w:marTop w:val="0"/>
                  <w:marBottom w:val="0"/>
                  <w:divBdr>
                    <w:top w:val="none" w:sz="0" w:space="0" w:color="auto"/>
                    <w:left w:val="none" w:sz="0" w:space="0" w:color="auto"/>
                    <w:bottom w:val="none" w:sz="0" w:space="0" w:color="auto"/>
                    <w:right w:val="none" w:sz="0" w:space="0" w:color="auto"/>
                  </w:divBdr>
                </w:div>
              </w:divsChild>
            </w:div>
            <w:div w:id="748700065">
              <w:marLeft w:val="0"/>
              <w:marRight w:val="0"/>
              <w:marTop w:val="0"/>
              <w:marBottom w:val="0"/>
              <w:divBdr>
                <w:top w:val="none" w:sz="0" w:space="0" w:color="auto"/>
                <w:left w:val="none" w:sz="0" w:space="0" w:color="auto"/>
                <w:bottom w:val="none" w:sz="0" w:space="0" w:color="auto"/>
                <w:right w:val="none" w:sz="0" w:space="0" w:color="auto"/>
              </w:divBdr>
              <w:divsChild>
                <w:div w:id="848060038">
                  <w:marLeft w:val="0"/>
                  <w:marRight w:val="0"/>
                  <w:marTop w:val="0"/>
                  <w:marBottom w:val="0"/>
                  <w:divBdr>
                    <w:top w:val="none" w:sz="0" w:space="0" w:color="auto"/>
                    <w:left w:val="none" w:sz="0" w:space="0" w:color="auto"/>
                    <w:bottom w:val="none" w:sz="0" w:space="0" w:color="auto"/>
                    <w:right w:val="none" w:sz="0" w:space="0" w:color="auto"/>
                  </w:divBdr>
                </w:div>
                <w:div w:id="1337264727">
                  <w:marLeft w:val="0"/>
                  <w:marRight w:val="0"/>
                  <w:marTop w:val="0"/>
                  <w:marBottom w:val="0"/>
                  <w:divBdr>
                    <w:top w:val="none" w:sz="0" w:space="0" w:color="auto"/>
                    <w:left w:val="none" w:sz="0" w:space="0" w:color="auto"/>
                    <w:bottom w:val="none" w:sz="0" w:space="0" w:color="auto"/>
                    <w:right w:val="none" w:sz="0" w:space="0" w:color="auto"/>
                  </w:divBdr>
                </w:div>
                <w:div w:id="15103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10514">
          <w:marLeft w:val="-75"/>
          <w:marRight w:val="0"/>
          <w:marTop w:val="30"/>
          <w:marBottom w:val="30"/>
          <w:divBdr>
            <w:top w:val="none" w:sz="0" w:space="0" w:color="auto"/>
            <w:left w:val="none" w:sz="0" w:space="0" w:color="auto"/>
            <w:bottom w:val="none" w:sz="0" w:space="0" w:color="auto"/>
            <w:right w:val="none" w:sz="0" w:space="0" w:color="auto"/>
          </w:divBdr>
          <w:divsChild>
            <w:div w:id="57439738">
              <w:marLeft w:val="0"/>
              <w:marRight w:val="0"/>
              <w:marTop w:val="0"/>
              <w:marBottom w:val="0"/>
              <w:divBdr>
                <w:top w:val="none" w:sz="0" w:space="0" w:color="auto"/>
                <w:left w:val="none" w:sz="0" w:space="0" w:color="auto"/>
                <w:bottom w:val="none" w:sz="0" w:space="0" w:color="auto"/>
                <w:right w:val="none" w:sz="0" w:space="0" w:color="auto"/>
              </w:divBdr>
              <w:divsChild>
                <w:div w:id="1499080466">
                  <w:marLeft w:val="0"/>
                  <w:marRight w:val="0"/>
                  <w:marTop w:val="0"/>
                  <w:marBottom w:val="0"/>
                  <w:divBdr>
                    <w:top w:val="none" w:sz="0" w:space="0" w:color="auto"/>
                    <w:left w:val="none" w:sz="0" w:space="0" w:color="auto"/>
                    <w:bottom w:val="none" w:sz="0" w:space="0" w:color="auto"/>
                    <w:right w:val="none" w:sz="0" w:space="0" w:color="auto"/>
                  </w:divBdr>
                </w:div>
              </w:divsChild>
            </w:div>
            <w:div w:id="153185583">
              <w:marLeft w:val="0"/>
              <w:marRight w:val="0"/>
              <w:marTop w:val="0"/>
              <w:marBottom w:val="0"/>
              <w:divBdr>
                <w:top w:val="none" w:sz="0" w:space="0" w:color="auto"/>
                <w:left w:val="none" w:sz="0" w:space="0" w:color="auto"/>
                <w:bottom w:val="none" w:sz="0" w:space="0" w:color="auto"/>
                <w:right w:val="none" w:sz="0" w:space="0" w:color="auto"/>
              </w:divBdr>
            </w:div>
            <w:div w:id="336999520">
              <w:marLeft w:val="0"/>
              <w:marRight w:val="0"/>
              <w:marTop w:val="0"/>
              <w:marBottom w:val="0"/>
              <w:divBdr>
                <w:top w:val="none" w:sz="0" w:space="0" w:color="auto"/>
                <w:left w:val="none" w:sz="0" w:space="0" w:color="auto"/>
                <w:bottom w:val="none" w:sz="0" w:space="0" w:color="auto"/>
                <w:right w:val="none" w:sz="0" w:space="0" w:color="auto"/>
              </w:divBdr>
              <w:divsChild>
                <w:div w:id="622660522">
                  <w:marLeft w:val="0"/>
                  <w:marRight w:val="0"/>
                  <w:marTop w:val="0"/>
                  <w:marBottom w:val="0"/>
                  <w:divBdr>
                    <w:top w:val="none" w:sz="0" w:space="0" w:color="auto"/>
                    <w:left w:val="none" w:sz="0" w:space="0" w:color="auto"/>
                    <w:bottom w:val="none" w:sz="0" w:space="0" w:color="auto"/>
                    <w:right w:val="none" w:sz="0" w:space="0" w:color="auto"/>
                  </w:divBdr>
                </w:div>
              </w:divsChild>
            </w:div>
            <w:div w:id="1178419795">
              <w:marLeft w:val="0"/>
              <w:marRight w:val="0"/>
              <w:marTop w:val="0"/>
              <w:marBottom w:val="0"/>
              <w:divBdr>
                <w:top w:val="none" w:sz="0" w:space="0" w:color="auto"/>
                <w:left w:val="none" w:sz="0" w:space="0" w:color="auto"/>
                <w:bottom w:val="none" w:sz="0" w:space="0" w:color="auto"/>
                <w:right w:val="none" w:sz="0" w:space="0" w:color="auto"/>
              </w:divBdr>
              <w:divsChild>
                <w:div w:id="121117333">
                  <w:marLeft w:val="0"/>
                  <w:marRight w:val="0"/>
                  <w:marTop w:val="0"/>
                  <w:marBottom w:val="0"/>
                  <w:divBdr>
                    <w:top w:val="none" w:sz="0" w:space="0" w:color="auto"/>
                    <w:left w:val="none" w:sz="0" w:space="0" w:color="auto"/>
                    <w:bottom w:val="none" w:sz="0" w:space="0" w:color="auto"/>
                    <w:right w:val="none" w:sz="0" w:space="0" w:color="auto"/>
                  </w:divBdr>
                </w:div>
              </w:divsChild>
            </w:div>
            <w:div w:id="1308779008">
              <w:marLeft w:val="0"/>
              <w:marRight w:val="0"/>
              <w:marTop w:val="0"/>
              <w:marBottom w:val="0"/>
              <w:divBdr>
                <w:top w:val="none" w:sz="0" w:space="0" w:color="auto"/>
                <w:left w:val="none" w:sz="0" w:space="0" w:color="auto"/>
                <w:bottom w:val="none" w:sz="0" w:space="0" w:color="auto"/>
                <w:right w:val="none" w:sz="0" w:space="0" w:color="auto"/>
              </w:divBdr>
              <w:divsChild>
                <w:div w:id="1645041288">
                  <w:marLeft w:val="0"/>
                  <w:marRight w:val="0"/>
                  <w:marTop w:val="0"/>
                  <w:marBottom w:val="0"/>
                  <w:divBdr>
                    <w:top w:val="none" w:sz="0" w:space="0" w:color="auto"/>
                    <w:left w:val="none" w:sz="0" w:space="0" w:color="auto"/>
                    <w:bottom w:val="none" w:sz="0" w:space="0" w:color="auto"/>
                    <w:right w:val="none" w:sz="0" w:space="0" w:color="auto"/>
                  </w:divBdr>
                </w:div>
              </w:divsChild>
            </w:div>
            <w:div w:id="1561405021">
              <w:marLeft w:val="0"/>
              <w:marRight w:val="0"/>
              <w:marTop w:val="0"/>
              <w:marBottom w:val="0"/>
              <w:divBdr>
                <w:top w:val="none" w:sz="0" w:space="0" w:color="auto"/>
                <w:left w:val="none" w:sz="0" w:space="0" w:color="auto"/>
                <w:bottom w:val="none" w:sz="0" w:space="0" w:color="auto"/>
                <w:right w:val="none" w:sz="0" w:space="0" w:color="auto"/>
              </w:divBdr>
              <w:divsChild>
                <w:div w:id="1361974903">
                  <w:marLeft w:val="0"/>
                  <w:marRight w:val="0"/>
                  <w:marTop w:val="0"/>
                  <w:marBottom w:val="0"/>
                  <w:divBdr>
                    <w:top w:val="none" w:sz="0" w:space="0" w:color="auto"/>
                    <w:left w:val="none" w:sz="0" w:space="0" w:color="auto"/>
                    <w:bottom w:val="none" w:sz="0" w:space="0" w:color="auto"/>
                    <w:right w:val="none" w:sz="0" w:space="0" w:color="auto"/>
                  </w:divBdr>
                </w:div>
                <w:div w:id="1496410258">
                  <w:marLeft w:val="0"/>
                  <w:marRight w:val="0"/>
                  <w:marTop w:val="0"/>
                  <w:marBottom w:val="0"/>
                  <w:divBdr>
                    <w:top w:val="none" w:sz="0" w:space="0" w:color="auto"/>
                    <w:left w:val="none" w:sz="0" w:space="0" w:color="auto"/>
                    <w:bottom w:val="none" w:sz="0" w:space="0" w:color="auto"/>
                    <w:right w:val="none" w:sz="0" w:space="0" w:color="auto"/>
                  </w:divBdr>
                </w:div>
              </w:divsChild>
            </w:div>
            <w:div w:id="1639912886">
              <w:marLeft w:val="0"/>
              <w:marRight w:val="0"/>
              <w:marTop w:val="0"/>
              <w:marBottom w:val="0"/>
              <w:divBdr>
                <w:top w:val="none" w:sz="0" w:space="0" w:color="auto"/>
                <w:left w:val="none" w:sz="0" w:space="0" w:color="auto"/>
                <w:bottom w:val="none" w:sz="0" w:space="0" w:color="auto"/>
                <w:right w:val="none" w:sz="0" w:space="0" w:color="auto"/>
              </w:divBdr>
              <w:divsChild>
                <w:div w:id="555967771">
                  <w:marLeft w:val="0"/>
                  <w:marRight w:val="0"/>
                  <w:marTop w:val="0"/>
                  <w:marBottom w:val="0"/>
                  <w:divBdr>
                    <w:top w:val="none" w:sz="0" w:space="0" w:color="auto"/>
                    <w:left w:val="none" w:sz="0" w:space="0" w:color="auto"/>
                    <w:bottom w:val="none" w:sz="0" w:space="0" w:color="auto"/>
                    <w:right w:val="none" w:sz="0" w:space="0" w:color="auto"/>
                  </w:divBdr>
                </w:div>
              </w:divsChild>
            </w:div>
            <w:div w:id="1661229929">
              <w:marLeft w:val="0"/>
              <w:marRight w:val="0"/>
              <w:marTop w:val="0"/>
              <w:marBottom w:val="0"/>
              <w:divBdr>
                <w:top w:val="none" w:sz="0" w:space="0" w:color="auto"/>
                <w:left w:val="none" w:sz="0" w:space="0" w:color="auto"/>
                <w:bottom w:val="none" w:sz="0" w:space="0" w:color="auto"/>
                <w:right w:val="none" w:sz="0" w:space="0" w:color="auto"/>
              </w:divBdr>
              <w:divsChild>
                <w:div w:id="810634501">
                  <w:marLeft w:val="0"/>
                  <w:marRight w:val="0"/>
                  <w:marTop w:val="0"/>
                  <w:marBottom w:val="0"/>
                  <w:divBdr>
                    <w:top w:val="none" w:sz="0" w:space="0" w:color="auto"/>
                    <w:left w:val="none" w:sz="0" w:space="0" w:color="auto"/>
                    <w:bottom w:val="none" w:sz="0" w:space="0" w:color="auto"/>
                    <w:right w:val="none" w:sz="0" w:space="0" w:color="auto"/>
                  </w:divBdr>
                </w:div>
              </w:divsChild>
            </w:div>
            <w:div w:id="2040549271">
              <w:marLeft w:val="0"/>
              <w:marRight w:val="0"/>
              <w:marTop w:val="0"/>
              <w:marBottom w:val="0"/>
              <w:divBdr>
                <w:top w:val="none" w:sz="0" w:space="0" w:color="auto"/>
                <w:left w:val="none" w:sz="0" w:space="0" w:color="auto"/>
                <w:bottom w:val="none" w:sz="0" w:space="0" w:color="auto"/>
                <w:right w:val="none" w:sz="0" w:space="0" w:color="auto"/>
              </w:divBdr>
              <w:divsChild>
                <w:div w:id="20594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28282">
          <w:marLeft w:val="0"/>
          <w:marRight w:val="0"/>
          <w:marTop w:val="0"/>
          <w:marBottom w:val="0"/>
          <w:divBdr>
            <w:top w:val="none" w:sz="0" w:space="0" w:color="auto"/>
            <w:left w:val="none" w:sz="0" w:space="0" w:color="auto"/>
            <w:bottom w:val="none" w:sz="0" w:space="0" w:color="auto"/>
            <w:right w:val="none" w:sz="0" w:space="0" w:color="auto"/>
          </w:divBdr>
        </w:div>
        <w:div w:id="1257253537">
          <w:marLeft w:val="-75"/>
          <w:marRight w:val="0"/>
          <w:marTop w:val="30"/>
          <w:marBottom w:val="30"/>
          <w:divBdr>
            <w:top w:val="none" w:sz="0" w:space="0" w:color="auto"/>
            <w:left w:val="none" w:sz="0" w:space="0" w:color="auto"/>
            <w:bottom w:val="none" w:sz="0" w:space="0" w:color="auto"/>
            <w:right w:val="none" w:sz="0" w:space="0" w:color="auto"/>
          </w:divBdr>
          <w:divsChild>
            <w:div w:id="385908184">
              <w:marLeft w:val="0"/>
              <w:marRight w:val="0"/>
              <w:marTop w:val="0"/>
              <w:marBottom w:val="0"/>
              <w:divBdr>
                <w:top w:val="none" w:sz="0" w:space="0" w:color="auto"/>
                <w:left w:val="none" w:sz="0" w:space="0" w:color="auto"/>
                <w:bottom w:val="none" w:sz="0" w:space="0" w:color="auto"/>
                <w:right w:val="none" w:sz="0" w:space="0" w:color="auto"/>
              </w:divBdr>
              <w:divsChild>
                <w:div w:id="1178539927">
                  <w:marLeft w:val="0"/>
                  <w:marRight w:val="0"/>
                  <w:marTop w:val="0"/>
                  <w:marBottom w:val="0"/>
                  <w:divBdr>
                    <w:top w:val="none" w:sz="0" w:space="0" w:color="auto"/>
                    <w:left w:val="none" w:sz="0" w:space="0" w:color="auto"/>
                    <w:bottom w:val="none" w:sz="0" w:space="0" w:color="auto"/>
                    <w:right w:val="none" w:sz="0" w:space="0" w:color="auto"/>
                  </w:divBdr>
                </w:div>
              </w:divsChild>
            </w:div>
            <w:div w:id="678510575">
              <w:marLeft w:val="0"/>
              <w:marRight w:val="0"/>
              <w:marTop w:val="0"/>
              <w:marBottom w:val="0"/>
              <w:divBdr>
                <w:top w:val="none" w:sz="0" w:space="0" w:color="auto"/>
                <w:left w:val="none" w:sz="0" w:space="0" w:color="auto"/>
                <w:bottom w:val="none" w:sz="0" w:space="0" w:color="auto"/>
                <w:right w:val="none" w:sz="0" w:space="0" w:color="auto"/>
              </w:divBdr>
              <w:divsChild>
                <w:div w:id="1070150974">
                  <w:marLeft w:val="0"/>
                  <w:marRight w:val="0"/>
                  <w:marTop w:val="0"/>
                  <w:marBottom w:val="0"/>
                  <w:divBdr>
                    <w:top w:val="none" w:sz="0" w:space="0" w:color="auto"/>
                    <w:left w:val="none" w:sz="0" w:space="0" w:color="auto"/>
                    <w:bottom w:val="none" w:sz="0" w:space="0" w:color="auto"/>
                    <w:right w:val="none" w:sz="0" w:space="0" w:color="auto"/>
                  </w:divBdr>
                </w:div>
                <w:div w:id="2106605297">
                  <w:marLeft w:val="0"/>
                  <w:marRight w:val="0"/>
                  <w:marTop w:val="0"/>
                  <w:marBottom w:val="0"/>
                  <w:divBdr>
                    <w:top w:val="none" w:sz="0" w:space="0" w:color="auto"/>
                    <w:left w:val="none" w:sz="0" w:space="0" w:color="auto"/>
                    <w:bottom w:val="none" w:sz="0" w:space="0" w:color="auto"/>
                    <w:right w:val="none" w:sz="0" w:space="0" w:color="auto"/>
                  </w:divBdr>
                </w:div>
              </w:divsChild>
            </w:div>
            <w:div w:id="693194531">
              <w:marLeft w:val="0"/>
              <w:marRight w:val="0"/>
              <w:marTop w:val="0"/>
              <w:marBottom w:val="0"/>
              <w:divBdr>
                <w:top w:val="none" w:sz="0" w:space="0" w:color="auto"/>
                <w:left w:val="none" w:sz="0" w:space="0" w:color="auto"/>
                <w:bottom w:val="none" w:sz="0" w:space="0" w:color="auto"/>
                <w:right w:val="none" w:sz="0" w:space="0" w:color="auto"/>
              </w:divBdr>
              <w:divsChild>
                <w:div w:id="2031448964">
                  <w:marLeft w:val="0"/>
                  <w:marRight w:val="0"/>
                  <w:marTop w:val="0"/>
                  <w:marBottom w:val="0"/>
                  <w:divBdr>
                    <w:top w:val="none" w:sz="0" w:space="0" w:color="auto"/>
                    <w:left w:val="none" w:sz="0" w:space="0" w:color="auto"/>
                    <w:bottom w:val="none" w:sz="0" w:space="0" w:color="auto"/>
                    <w:right w:val="none" w:sz="0" w:space="0" w:color="auto"/>
                  </w:divBdr>
                </w:div>
              </w:divsChild>
            </w:div>
            <w:div w:id="758136722">
              <w:marLeft w:val="0"/>
              <w:marRight w:val="0"/>
              <w:marTop w:val="0"/>
              <w:marBottom w:val="0"/>
              <w:divBdr>
                <w:top w:val="none" w:sz="0" w:space="0" w:color="auto"/>
                <w:left w:val="none" w:sz="0" w:space="0" w:color="auto"/>
                <w:bottom w:val="none" w:sz="0" w:space="0" w:color="auto"/>
                <w:right w:val="none" w:sz="0" w:space="0" w:color="auto"/>
              </w:divBdr>
              <w:divsChild>
                <w:div w:id="165287562">
                  <w:marLeft w:val="0"/>
                  <w:marRight w:val="0"/>
                  <w:marTop w:val="0"/>
                  <w:marBottom w:val="0"/>
                  <w:divBdr>
                    <w:top w:val="none" w:sz="0" w:space="0" w:color="auto"/>
                    <w:left w:val="none" w:sz="0" w:space="0" w:color="auto"/>
                    <w:bottom w:val="none" w:sz="0" w:space="0" w:color="auto"/>
                    <w:right w:val="none" w:sz="0" w:space="0" w:color="auto"/>
                  </w:divBdr>
                </w:div>
              </w:divsChild>
            </w:div>
            <w:div w:id="794059950">
              <w:marLeft w:val="0"/>
              <w:marRight w:val="0"/>
              <w:marTop w:val="0"/>
              <w:marBottom w:val="0"/>
              <w:divBdr>
                <w:top w:val="none" w:sz="0" w:space="0" w:color="auto"/>
                <w:left w:val="none" w:sz="0" w:space="0" w:color="auto"/>
                <w:bottom w:val="none" w:sz="0" w:space="0" w:color="auto"/>
                <w:right w:val="none" w:sz="0" w:space="0" w:color="auto"/>
              </w:divBdr>
              <w:divsChild>
                <w:div w:id="538468006">
                  <w:marLeft w:val="0"/>
                  <w:marRight w:val="0"/>
                  <w:marTop w:val="0"/>
                  <w:marBottom w:val="0"/>
                  <w:divBdr>
                    <w:top w:val="none" w:sz="0" w:space="0" w:color="auto"/>
                    <w:left w:val="none" w:sz="0" w:space="0" w:color="auto"/>
                    <w:bottom w:val="none" w:sz="0" w:space="0" w:color="auto"/>
                    <w:right w:val="none" w:sz="0" w:space="0" w:color="auto"/>
                  </w:divBdr>
                </w:div>
              </w:divsChild>
            </w:div>
            <w:div w:id="932010090">
              <w:marLeft w:val="0"/>
              <w:marRight w:val="0"/>
              <w:marTop w:val="0"/>
              <w:marBottom w:val="0"/>
              <w:divBdr>
                <w:top w:val="none" w:sz="0" w:space="0" w:color="auto"/>
                <w:left w:val="none" w:sz="0" w:space="0" w:color="auto"/>
                <w:bottom w:val="none" w:sz="0" w:space="0" w:color="auto"/>
                <w:right w:val="none" w:sz="0" w:space="0" w:color="auto"/>
              </w:divBdr>
              <w:divsChild>
                <w:div w:id="1158574563">
                  <w:marLeft w:val="0"/>
                  <w:marRight w:val="0"/>
                  <w:marTop w:val="0"/>
                  <w:marBottom w:val="0"/>
                  <w:divBdr>
                    <w:top w:val="none" w:sz="0" w:space="0" w:color="auto"/>
                    <w:left w:val="none" w:sz="0" w:space="0" w:color="auto"/>
                    <w:bottom w:val="none" w:sz="0" w:space="0" w:color="auto"/>
                    <w:right w:val="none" w:sz="0" w:space="0" w:color="auto"/>
                  </w:divBdr>
                </w:div>
              </w:divsChild>
            </w:div>
            <w:div w:id="1103384432">
              <w:marLeft w:val="0"/>
              <w:marRight w:val="0"/>
              <w:marTop w:val="0"/>
              <w:marBottom w:val="0"/>
              <w:divBdr>
                <w:top w:val="none" w:sz="0" w:space="0" w:color="auto"/>
                <w:left w:val="none" w:sz="0" w:space="0" w:color="auto"/>
                <w:bottom w:val="none" w:sz="0" w:space="0" w:color="auto"/>
                <w:right w:val="none" w:sz="0" w:space="0" w:color="auto"/>
              </w:divBdr>
              <w:divsChild>
                <w:div w:id="728118080">
                  <w:marLeft w:val="0"/>
                  <w:marRight w:val="0"/>
                  <w:marTop w:val="0"/>
                  <w:marBottom w:val="0"/>
                  <w:divBdr>
                    <w:top w:val="none" w:sz="0" w:space="0" w:color="auto"/>
                    <w:left w:val="none" w:sz="0" w:space="0" w:color="auto"/>
                    <w:bottom w:val="none" w:sz="0" w:space="0" w:color="auto"/>
                    <w:right w:val="none" w:sz="0" w:space="0" w:color="auto"/>
                  </w:divBdr>
                </w:div>
              </w:divsChild>
            </w:div>
            <w:div w:id="1238858842">
              <w:marLeft w:val="0"/>
              <w:marRight w:val="0"/>
              <w:marTop w:val="0"/>
              <w:marBottom w:val="0"/>
              <w:divBdr>
                <w:top w:val="none" w:sz="0" w:space="0" w:color="auto"/>
                <w:left w:val="none" w:sz="0" w:space="0" w:color="auto"/>
                <w:bottom w:val="none" w:sz="0" w:space="0" w:color="auto"/>
                <w:right w:val="none" w:sz="0" w:space="0" w:color="auto"/>
              </w:divBdr>
              <w:divsChild>
                <w:div w:id="383452986">
                  <w:marLeft w:val="0"/>
                  <w:marRight w:val="0"/>
                  <w:marTop w:val="0"/>
                  <w:marBottom w:val="0"/>
                  <w:divBdr>
                    <w:top w:val="none" w:sz="0" w:space="0" w:color="auto"/>
                    <w:left w:val="none" w:sz="0" w:space="0" w:color="auto"/>
                    <w:bottom w:val="none" w:sz="0" w:space="0" w:color="auto"/>
                    <w:right w:val="none" w:sz="0" w:space="0" w:color="auto"/>
                  </w:divBdr>
                </w:div>
              </w:divsChild>
            </w:div>
            <w:div w:id="1496991770">
              <w:marLeft w:val="0"/>
              <w:marRight w:val="0"/>
              <w:marTop w:val="0"/>
              <w:marBottom w:val="0"/>
              <w:divBdr>
                <w:top w:val="none" w:sz="0" w:space="0" w:color="auto"/>
                <w:left w:val="none" w:sz="0" w:space="0" w:color="auto"/>
                <w:bottom w:val="none" w:sz="0" w:space="0" w:color="auto"/>
                <w:right w:val="none" w:sz="0" w:space="0" w:color="auto"/>
              </w:divBdr>
              <w:divsChild>
                <w:div w:id="185219188">
                  <w:marLeft w:val="0"/>
                  <w:marRight w:val="0"/>
                  <w:marTop w:val="0"/>
                  <w:marBottom w:val="0"/>
                  <w:divBdr>
                    <w:top w:val="none" w:sz="0" w:space="0" w:color="auto"/>
                    <w:left w:val="none" w:sz="0" w:space="0" w:color="auto"/>
                    <w:bottom w:val="none" w:sz="0" w:space="0" w:color="auto"/>
                    <w:right w:val="none" w:sz="0" w:space="0" w:color="auto"/>
                  </w:divBdr>
                </w:div>
              </w:divsChild>
            </w:div>
            <w:div w:id="1535849083">
              <w:marLeft w:val="0"/>
              <w:marRight w:val="0"/>
              <w:marTop w:val="0"/>
              <w:marBottom w:val="0"/>
              <w:divBdr>
                <w:top w:val="none" w:sz="0" w:space="0" w:color="auto"/>
                <w:left w:val="none" w:sz="0" w:space="0" w:color="auto"/>
                <w:bottom w:val="none" w:sz="0" w:space="0" w:color="auto"/>
                <w:right w:val="none" w:sz="0" w:space="0" w:color="auto"/>
              </w:divBdr>
              <w:divsChild>
                <w:div w:id="1796868546">
                  <w:marLeft w:val="0"/>
                  <w:marRight w:val="0"/>
                  <w:marTop w:val="0"/>
                  <w:marBottom w:val="0"/>
                  <w:divBdr>
                    <w:top w:val="none" w:sz="0" w:space="0" w:color="auto"/>
                    <w:left w:val="none" w:sz="0" w:space="0" w:color="auto"/>
                    <w:bottom w:val="none" w:sz="0" w:space="0" w:color="auto"/>
                    <w:right w:val="none" w:sz="0" w:space="0" w:color="auto"/>
                  </w:divBdr>
                </w:div>
              </w:divsChild>
            </w:div>
            <w:div w:id="1862817109">
              <w:marLeft w:val="0"/>
              <w:marRight w:val="0"/>
              <w:marTop w:val="0"/>
              <w:marBottom w:val="0"/>
              <w:divBdr>
                <w:top w:val="none" w:sz="0" w:space="0" w:color="auto"/>
                <w:left w:val="none" w:sz="0" w:space="0" w:color="auto"/>
                <w:bottom w:val="none" w:sz="0" w:space="0" w:color="auto"/>
                <w:right w:val="none" w:sz="0" w:space="0" w:color="auto"/>
              </w:divBdr>
            </w:div>
            <w:div w:id="1992295995">
              <w:marLeft w:val="0"/>
              <w:marRight w:val="0"/>
              <w:marTop w:val="0"/>
              <w:marBottom w:val="0"/>
              <w:divBdr>
                <w:top w:val="none" w:sz="0" w:space="0" w:color="auto"/>
                <w:left w:val="none" w:sz="0" w:space="0" w:color="auto"/>
                <w:bottom w:val="none" w:sz="0" w:space="0" w:color="auto"/>
                <w:right w:val="none" w:sz="0" w:space="0" w:color="auto"/>
              </w:divBdr>
              <w:divsChild>
                <w:div w:id="447966289">
                  <w:marLeft w:val="0"/>
                  <w:marRight w:val="0"/>
                  <w:marTop w:val="0"/>
                  <w:marBottom w:val="0"/>
                  <w:divBdr>
                    <w:top w:val="none" w:sz="0" w:space="0" w:color="auto"/>
                    <w:left w:val="none" w:sz="0" w:space="0" w:color="auto"/>
                    <w:bottom w:val="none" w:sz="0" w:space="0" w:color="auto"/>
                    <w:right w:val="none" w:sz="0" w:space="0" w:color="auto"/>
                  </w:divBdr>
                </w:div>
              </w:divsChild>
            </w:div>
            <w:div w:id="2121105197">
              <w:marLeft w:val="0"/>
              <w:marRight w:val="0"/>
              <w:marTop w:val="0"/>
              <w:marBottom w:val="0"/>
              <w:divBdr>
                <w:top w:val="none" w:sz="0" w:space="0" w:color="auto"/>
                <w:left w:val="none" w:sz="0" w:space="0" w:color="auto"/>
                <w:bottom w:val="none" w:sz="0" w:space="0" w:color="auto"/>
                <w:right w:val="none" w:sz="0" w:space="0" w:color="auto"/>
              </w:divBdr>
              <w:divsChild>
                <w:div w:id="10846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0919">
          <w:marLeft w:val="0"/>
          <w:marRight w:val="0"/>
          <w:marTop w:val="0"/>
          <w:marBottom w:val="0"/>
          <w:divBdr>
            <w:top w:val="none" w:sz="0" w:space="0" w:color="auto"/>
            <w:left w:val="none" w:sz="0" w:space="0" w:color="auto"/>
            <w:bottom w:val="none" w:sz="0" w:space="0" w:color="auto"/>
            <w:right w:val="none" w:sz="0" w:space="0" w:color="auto"/>
          </w:divBdr>
        </w:div>
        <w:div w:id="1374230875">
          <w:marLeft w:val="0"/>
          <w:marRight w:val="0"/>
          <w:marTop w:val="0"/>
          <w:marBottom w:val="0"/>
          <w:divBdr>
            <w:top w:val="none" w:sz="0" w:space="0" w:color="auto"/>
            <w:left w:val="none" w:sz="0" w:space="0" w:color="auto"/>
            <w:bottom w:val="none" w:sz="0" w:space="0" w:color="auto"/>
            <w:right w:val="none" w:sz="0" w:space="0" w:color="auto"/>
          </w:divBdr>
        </w:div>
        <w:div w:id="1572543748">
          <w:marLeft w:val="0"/>
          <w:marRight w:val="0"/>
          <w:marTop w:val="0"/>
          <w:marBottom w:val="0"/>
          <w:divBdr>
            <w:top w:val="none" w:sz="0" w:space="0" w:color="auto"/>
            <w:left w:val="none" w:sz="0" w:space="0" w:color="auto"/>
            <w:bottom w:val="none" w:sz="0" w:space="0" w:color="auto"/>
            <w:right w:val="none" w:sz="0" w:space="0" w:color="auto"/>
          </w:divBdr>
        </w:div>
        <w:div w:id="1600522907">
          <w:marLeft w:val="0"/>
          <w:marRight w:val="0"/>
          <w:marTop w:val="0"/>
          <w:marBottom w:val="0"/>
          <w:divBdr>
            <w:top w:val="none" w:sz="0" w:space="0" w:color="auto"/>
            <w:left w:val="none" w:sz="0" w:space="0" w:color="auto"/>
            <w:bottom w:val="none" w:sz="0" w:space="0" w:color="auto"/>
            <w:right w:val="none" w:sz="0" w:space="0" w:color="auto"/>
          </w:divBdr>
        </w:div>
        <w:div w:id="1811362010">
          <w:marLeft w:val="0"/>
          <w:marRight w:val="0"/>
          <w:marTop w:val="0"/>
          <w:marBottom w:val="0"/>
          <w:divBdr>
            <w:top w:val="none" w:sz="0" w:space="0" w:color="auto"/>
            <w:left w:val="none" w:sz="0" w:space="0" w:color="auto"/>
            <w:bottom w:val="none" w:sz="0" w:space="0" w:color="auto"/>
            <w:right w:val="none" w:sz="0" w:space="0" w:color="auto"/>
          </w:divBdr>
        </w:div>
        <w:div w:id="1932741342">
          <w:marLeft w:val="0"/>
          <w:marRight w:val="0"/>
          <w:marTop w:val="0"/>
          <w:marBottom w:val="0"/>
          <w:divBdr>
            <w:top w:val="none" w:sz="0" w:space="0" w:color="auto"/>
            <w:left w:val="none" w:sz="0" w:space="0" w:color="auto"/>
            <w:bottom w:val="none" w:sz="0" w:space="0" w:color="auto"/>
            <w:right w:val="none" w:sz="0" w:space="0" w:color="auto"/>
          </w:divBdr>
        </w:div>
        <w:div w:id="2029019647">
          <w:marLeft w:val="0"/>
          <w:marRight w:val="0"/>
          <w:marTop w:val="0"/>
          <w:marBottom w:val="0"/>
          <w:divBdr>
            <w:top w:val="none" w:sz="0" w:space="0" w:color="auto"/>
            <w:left w:val="none" w:sz="0" w:space="0" w:color="auto"/>
            <w:bottom w:val="none" w:sz="0" w:space="0" w:color="auto"/>
            <w:right w:val="none" w:sz="0" w:space="0" w:color="auto"/>
          </w:divBdr>
        </w:div>
        <w:div w:id="2133865839">
          <w:marLeft w:val="0"/>
          <w:marRight w:val="0"/>
          <w:marTop w:val="0"/>
          <w:marBottom w:val="0"/>
          <w:divBdr>
            <w:top w:val="none" w:sz="0" w:space="0" w:color="auto"/>
            <w:left w:val="none" w:sz="0" w:space="0" w:color="auto"/>
            <w:bottom w:val="none" w:sz="0" w:space="0" w:color="auto"/>
            <w:right w:val="none" w:sz="0" w:space="0" w:color="auto"/>
          </w:divBdr>
        </w:div>
      </w:divsChild>
    </w:div>
    <w:div w:id="1767992289">
      <w:marLeft w:val="480"/>
      <w:marRight w:val="0"/>
      <w:marTop w:val="0"/>
      <w:marBottom w:val="0"/>
      <w:divBdr>
        <w:top w:val="none" w:sz="0" w:space="0" w:color="auto"/>
        <w:left w:val="none" w:sz="0" w:space="0" w:color="auto"/>
        <w:bottom w:val="none" w:sz="0" w:space="0" w:color="auto"/>
        <w:right w:val="none" w:sz="0" w:space="0" w:color="auto"/>
      </w:divBdr>
    </w:div>
    <w:div w:id="1768185822">
      <w:marLeft w:val="480"/>
      <w:marRight w:val="0"/>
      <w:marTop w:val="0"/>
      <w:marBottom w:val="0"/>
      <w:divBdr>
        <w:top w:val="none" w:sz="0" w:space="0" w:color="auto"/>
        <w:left w:val="none" w:sz="0" w:space="0" w:color="auto"/>
        <w:bottom w:val="none" w:sz="0" w:space="0" w:color="auto"/>
        <w:right w:val="none" w:sz="0" w:space="0" w:color="auto"/>
      </w:divBdr>
    </w:div>
    <w:div w:id="1768846502">
      <w:bodyDiv w:val="1"/>
      <w:marLeft w:val="0"/>
      <w:marRight w:val="0"/>
      <w:marTop w:val="0"/>
      <w:marBottom w:val="0"/>
      <w:divBdr>
        <w:top w:val="none" w:sz="0" w:space="0" w:color="auto"/>
        <w:left w:val="none" w:sz="0" w:space="0" w:color="auto"/>
        <w:bottom w:val="none" w:sz="0" w:space="0" w:color="auto"/>
        <w:right w:val="none" w:sz="0" w:space="0" w:color="auto"/>
      </w:divBdr>
    </w:div>
    <w:div w:id="1770390277">
      <w:marLeft w:val="480"/>
      <w:marRight w:val="0"/>
      <w:marTop w:val="0"/>
      <w:marBottom w:val="0"/>
      <w:divBdr>
        <w:top w:val="none" w:sz="0" w:space="0" w:color="auto"/>
        <w:left w:val="none" w:sz="0" w:space="0" w:color="auto"/>
        <w:bottom w:val="none" w:sz="0" w:space="0" w:color="auto"/>
        <w:right w:val="none" w:sz="0" w:space="0" w:color="auto"/>
      </w:divBdr>
    </w:div>
    <w:div w:id="1773208302">
      <w:marLeft w:val="480"/>
      <w:marRight w:val="0"/>
      <w:marTop w:val="0"/>
      <w:marBottom w:val="0"/>
      <w:divBdr>
        <w:top w:val="none" w:sz="0" w:space="0" w:color="auto"/>
        <w:left w:val="none" w:sz="0" w:space="0" w:color="auto"/>
        <w:bottom w:val="none" w:sz="0" w:space="0" w:color="auto"/>
        <w:right w:val="none" w:sz="0" w:space="0" w:color="auto"/>
      </w:divBdr>
    </w:div>
    <w:div w:id="1773940528">
      <w:bodyDiv w:val="1"/>
      <w:marLeft w:val="0"/>
      <w:marRight w:val="0"/>
      <w:marTop w:val="0"/>
      <w:marBottom w:val="0"/>
      <w:divBdr>
        <w:top w:val="none" w:sz="0" w:space="0" w:color="auto"/>
        <w:left w:val="none" w:sz="0" w:space="0" w:color="auto"/>
        <w:bottom w:val="none" w:sz="0" w:space="0" w:color="auto"/>
        <w:right w:val="none" w:sz="0" w:space="0" w:color="auto"/>
      </w:divBdr>
      <w:divsChild>
        <w:div w:id="1462191498">
          <w:marLeft w:val="0"/>
          <w:marRight w:val="0"/>
          <w:marTop w:val="0"/>
          <w:marBottom w:val="0"/>
          <w:divBdr>
            <w:top w:val="none" w:sz="0" w:space="0" w:color="auto"/>
            <w:left w:val="none" w:sz="0" w:space="0" w:color="auto"/>
            <w:bottom w:val="none" w:sz="0" w:space="0" w:color="auto"/>
            <w:right w:val="none" w:sz="0" w:space="0" w:color="auto"/>
          </w:divBdr>
          <w:divsChild>
            <w:div w:id="1069037137">
              <w:marLeft w:val="0"/>
              <w:marRight w:val="0"/>
              <w:marTop w:val="0"/>
              <w:marBottom w:val="0"/>
              <w:divBdr>
                <w:top w:val="none" w:sz="0" w:space="0" w:color="auto"/>
                <w:left w:val="none" w:sz="0" w:space="0" w:color="auto"/>
                <w:bottom w:val="none" w:sz="0" w:space="0" w:color="auto"/>
                <w:right w:val="none" w:sz="0" w:space="0" w:color="auto"/>
              </w:divBdr>
              <w:divsChild>
                <w:div w:id="121943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83741">
      <w:marLeft w:val="480"/>
      <w:marRight w:val="0"/>
      <w:marTop w:val="0"/>
      <w:marBottom w:val="0"/>
      <w:divBdr>
        <w:top w:val="none" w:sz="0" w:space="0" w:color="auto"/>
        <w:left w:val="none" w:sz="0" w:space="0" w:color="auto"/>
        <w:bottom w:val="none" w:sz="0" w:space="0" w:color="auto"/>
        <w:right w:val="none" w:sz="0" w:space="0" w:color="auto"/>
      </w:divBdr>
    </w:div>
    <w:div w:id="1774470955">
      <w:marLeft w:val="480"/>
      <w:marRight w:val="0"/>
      <w:marTop w:val="0"/>
      <w:marBottom w:val="0"/>
      <w:divBdr>
        <w:top w:val="none" w:sz="0" w:space="0" w:color="auto"/>
        <w:left w:val="none" w:sz="0" w:space="0" w:color="auto"/>
        <w:bottom w:val="none" w:sz="0" w:space="0" w:color="auto"/>
        <w:right w:val="none" w:sz="0" w:space="0" w:color="auto"/>
      </w:divBdr>
    </w:div>
    <w:div w:id="1777360535">
      <w:marLeft w:val="480"/>
      <w:marRight w:val="0"/>
      <w:marTop w:val="0"/>
      <w:marBottom w:val="0"/>
      <w:divBdr>
        <w:top w:val="none" w:sz="0" w:space="0" w:color="auto"/>
        <w:left w:val="none" w:sz="0" w:space="0" w:color="auto"/>
        <w:bottom w:val="none" w:sz="0" w:space="0" w:color="auto"/>
        <w:right w:val="none" w:sz="0" w:space="0" w:color="auto"/>
      </w:divBdr>
    </w:div>
    <w:div w:id="1779133905">
      <w:marLeft w:val="480"/>
      <w:marRight w:val="0"/>
      <w:marTop w:val="0"/>
      <w:marBottom w:val="0"/>
      <w:divBdr>
        <w:top w:val="none" w:sz="0" w:space="0" w:color="auto"/>
        <w:left w:val="none" w:sz="0" w:space="0" w:color="auto"/>
        <w:bottom w:val="none" w:sz="0" w:space="0" w:color="auto"/>
        <w:right w:val="none" w:sz="0" w:space="0" w:color="auto"/>
      </w:divBdr>
    </w:div>
    <w:div w:id="1780444990">
      <w:marLeft w:val="480"/>
      <w:marRight w:val="0"/>
      <w:marTop w:val="0"/>
      <w:marBottom w:val="0"/>
      <w:divBdr>
        <w:top w:val="none" w:sz="0" w:space="0" w:color="auto"/>
        <w:left w:val="none" w:sz="0" w:space="0" w:color="auto"/>
        <w:bottom w:val="none" w:sz="0" w:space="0" w:color="auto"/>
        <w:right w:val="none" w:sz="0" w:space="0" w:color="auto"/>
      </w:divBdr>
    </w:div>
    <w:div w:id="1784035838">
      <w:marLeft w:val="480"/>
      <w:marRight w:val="0"/>
      <w:marTop w:val="0"/>
      <w:marBottom w:val="0"/>
      <w:divBdr>
        <w:top w:val="none" w:sz="0" w:space="0" w:color="auto"/>
        <w:left w:val="none" w:sz="0" w:space="0" w:color="auto"/>
        <w:bottom w:val="none" w:sz="0" w:space="0" w:color="auto"/>
        <w:right w:val="none" w:sz="0" w:space="0" w:color="auto"/>
      </w:divBdr>
    </w:div>
    <w:div w:id="1788546307">
      <w:marLeft w:val="480"/>
      <w:marRight w:val="0"/>
      <w:marTop w:val="0"/>
      <w:marBottom w:val="0"/>
      <w:divBdr>
        <w:top w:val="none" w:sz="0" w:space="0" w:color="auto"/>
        <w:left w:val="none" w:sz="0" w:space="0" w:color="auto"/>
        <w:bottom w:val="none" w:sz="0" w:space="0" w:color="auto"/>
        <w:right w:val="none" w:sz="0" w:space="0" w:color="auto"/>
      </w:divBdr>
    </w:div>
    <w:div w:id="1789083182">
      <w:marLeft w:val="480"/>
      <w:marRight w:val="0"/>
      <w:marTop w:val="0"/>
      <w:marBottom w:val="0"/>
      <w:divBdr>
        <w:top w:val="none" w:sz="0" w:space="0" w:color="auto"/>
        <w:left w:val="none" w:sz="0" w:space="0" w:color="auto"/>
        <w:bottom w:val="none" w:sz="0" w:space="0" w:color="auto"/>
        <w:right w:val="none" w:sz="0" w:space="0" w:color="auto"/>
      </w:divBdr>
    </w:div>
    <w:div w:id="1789737324">
      <w:marLeft w:val="480"/>
      <w:marRight w:val="0"/>
      <w:marTop w:val="0"/>
      <w:marBottom w:val="0"/>
      <w:divBdr>
        <w:top w:val="none" w:sz="0" w:space="0" w:color="auto"/>
        <w:left w:val="none" w:sz="0" w:space="0" w:color="auto"/>
        <w:bottom w:val="none" w:sz="0" w:space="0" w:color="auto"/>
        <w:right w:val="none" w:sz="0" w:space="0" w:color="auto"/>
      </w:divBdr>
    </w:div>
    <w:div w:id="1790319299">
      <w:marLeft w:val="480"/>
      <w:marRight w:val="0"/>
      <w:marTop w:val="0"/>
      <w:marBottom w:val="0"/>
      <w:divBdr>
        <w:top w:val="none" w:sz="0" w:space="0" w:color="auto"/>
        <w:left w:val="none" w:sz="0" w:space="0" w:color="auto"/>
        <w:bottom w:val="none" w:sz="0" w:space="0" w:color="auto"/>
        <w:right w:val="none" w:sz="0" w:space="0" w:color="auto"/>
      </w:divBdr>
    </w:div>
    <w:div w:id="1790929190">
      <w:marLeft w:val="480"/>
      <w:marRight w:val="0"/>
      <w:marTop w:val="0"/>
      <w:marBottom w:val="0"/>
      <w:divBdr>
        <w:top w:val="none" w:sz="0" w:space="0" w:color="auto"/>
        <w:left w:val="none" w:sz="0" w:space="0" w:color="auto"/>
        <w:bottom w:val="none" w:sz="0" w:space="0" w:color="auto"/>
        <w:right w:val="none" w:sz="0" w:space="0" w:color="auto"/>
      </w:divBdr>
    </w:div>
    <w:div w:id="1791700856">
      <w:marLeft w:val="480"/>
      <w:marRight w:val="0"/>
      <w:marTop w:val="0"/>
      <w:marBottom w:val="0"/>
      <w:divBdr>
        <w:top w:val="none" w:sz="0" w:space="0" w:color="auto"/>
        <w:left w:val="none" w:sz="0" w:space="0" w:color="auto"/>
        <w:bottom w:val="none" w:sz="0" w:space="0" w:color="auto"/>
        <w:right w:val="none" w:sz="0" w:space="0" w:color="auto"/>
      </w:divBdr>
    </w:div>
    <w:div w:id="1792934487">
      <w:marLeft w:val="480"/>
      <w:marRight w:val="0"/>
      <w:marTop w:val="0"/>
      <w:marBottom w:val="0"/>
      <w:divBdr>
        <w:top w:val="none" w:sz="0" w:space="0" w:color="auto"/>
        <w:left w:val="none" w:sz="0" w:space="0" w:color="auto"/>
        <w:bottom w:val="none" w:sz="0" w:space="0" w:color="auto"/>
        <w:right w:val="none" w:sz="0" w:space="0" w:color="auto"/>
      </w:divBdr>
    </w:div>
    <w:div w:id="1793092661">
      <w:marLeft w:val="480"/>
      <w:marRight w:val="0"/>
      <w:marTop w:val="0"/>
      <w:marBottom w:val="0"/>
      <w:divBdr>
        <w:top w:val="none" w:sz="0" w:space="0" w:color="auto"/>
        <w:left w:val="none" w:sz="0" w:space="0" w:color="auto"/>
        <w:bottom w:val="none" w:sz="0" w:space="0" w:color="auto"/>
        <w:right w:val="none" w:sz="0" w:space="0" w:color="auto"/>
      </w:divBdr>
    </w:div>
    <w:div w:id="1794981115">
      <w:marLeft w:val="480"/>
      <w:marRight w:val="0"/>
      <w:marTop w:val="0"/>
      <w:marBottom w:val="0"/>
      <w:divBdr>
        <w:top w:val="none" w:sz="0" w:space="0" w:color="auto"/>
        <w:left w:val="none" w:sz="0" w:space="0" w:color="auto"/>
        <w:bottom w:val="none" w:sz="0" w:space="0" w:color="auto"/>
        <w:right w:val="none" w:sz="0" w:space="0" w:color="auto"/>
      </w:divBdr>
    </w:div>
    <w:div w:id="1797798826">
      <w:marLeft w:val="480"/>
      <w:marRight w:val="0"/>
      <w:marTop w:val="0"/>
      <w:marBottom w:val="0"/>
      <w:divBdr>
        <w:top w:val="none" w:sz="0" w:space="0" w:color="auto"/>
        <w:left w:val="none" w:sz="0" w:space="0" w:color="auto"/>
        <w:bottom w:val="none" w:sz="0" w:space="0" w:color="auto"/>
        <w:right w:val="none" w:sz="0" w:space="0" w:color="auto"/>
      </w:divBdr>
    </w:div>
    <w:div w:id="1799832456">
      <w:bodyDiv w:val="1"/>
      <w:marLeft w:val="0"/>
      <w:marRight w:val="0"/>
      <w:marTop w:val="0"/>
      <w:marBottom w:val="0"/>
      <w:divBdr>
        <w:top w:val="none" w:sz="0" w:space="0" w:color="auto"/>
        <w:left w:val="none" w:sz="0" w:space="0" w:color="auto"/>
        <w:bottom w:val="none" w:sz="0" w:space="0" w:color="auto"/>
        <w:right w:val="none" w:sz="0" w:space="0" w:color="auto"/>
      </w:divBdr>
      <w:divsChild>
        <w:div w:id="86779554">
          <w:blockQuote w:val="1"/>
          <w:marLeft w:val="225"/>
          <w:marRight w:val="0"/>
          <w:marTop w:val="0"/>
          <w:marBottom w:val="0"/>
          <w:divBdr>
            <w:top w:val="none" w:sz="0" w:space="0" w:color="auto"/>
            <w:left w:val="none" w:sz="0" w:space="0" w:color="auto"/>
            <w:bottom w:val="none" w:sz="0" w:space="0" w:color="auto"/>
            <w:right w:val="none" w:sz="0" w:space="0" w:color="auto"/>
          </w:divBdr>
        </w:div>
        <w:div w:id="192504051">
          <w:blockQuote w:val="1"/>
          <w:marLeft w:val="225"/>
          <w:marRight w:val="0"/>
          <w:marTop w:val="0"/>
          <w:marBottom w:val="0"/>
          <w:divBdr>
            <w:top w:val="none" w:sz="0" w:space="0" w:color="auto"/>
            <w:left w:val="none" w:sz="0" w:space="0" w:color="auto"/>
            <w:bottom w:val="none" w:sz="0" w:space="0" w:color="auto"/>
            <w:right w:val="none" w:sz="0" w:space="0" w:color="auto"/>
          </w:divBdr>
        </w:div>
        <w:div w:id="449201257">
          <w:blockQuote w:val="1"/>
          <w:marLeft w:val="225"/>
          <w:marRight w:val="0"/>
          <w:marTop w:val="0"/>
          <w:marBottom w:val="0"/>
          <w:divBdr>
            <w:top w:val="none" w:sz="0" w:space="0" w:color="auto"/>
            <w:left w:val="none" w:sz="0" w:space="0" w:color="auto"/>
            <w:bottom w:val="none" w:sz="0" w:space="0" w:color="auto"/>
            <w:right w:val="none" w:sz="0" w:space="0" w:color="auto"/>
          </w:divBdr>
        </w:div>
        <w:div w:id="1557351701">
          <w:blockQuote w:val="1"/>
          <w:marLeft w:val="225"/>
          <w:marRight w:val="0"/>
          <w:marTop w:val="0"/>
          <w:marBottom w:val="0"/>
          <w:divBdr>
            <w:top w:val="none" w:sz="0" w:space="0" w:color="auto"/>
            <w:left w:val="none" w:sz="0" w:space="0" w:color="auto"/>
            <w:bottom w:val="none" w:sz="0" w:space="0" w:color="auto"/>
            <w:right w:val="none" w:sz="0" w:space="0" w:color="auto"/>
          </w:divBdr>
        </w:div>
        <w:div w:id="201923437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0880480">
      <w:marLeft w:val="480"/>
      <w:marRight w:val="0"/>
      <w:marTop w:val="0"/>
      <w:marBottom w:val="0"/>
      <w:divBdr>
        <w:top w:val="none" w:sz="0" w:space="0" w:color="auto"/>
        <w:left w:val="none" w:sz="0" w:space="0" w:color="auto"/>
        <w:bottom w:val="none" w:sz="0" w:space="0" w:color="auto"/>
        <w:right w:val="none" w:sz="0" w:space="0" w:color="auto"/>
      </w:divBdr>
    </w:div>
    <w:div w:id="1801025153">
      <w:marLeft w:val="480"/>
      <w:marRight w:val="0"/>
      <w:marTop w:val="0"/>
      <w:marBottom w:val="0"/>
      <w:divBdr>
        <w:top w:val="none" w:sz="0" w:space="0" w:color="auto"/>
        <w:left w:val="none" w:sz="0" w:space="0" w:color="auto"/>
        <w:bottom w:val="none" w:sz="0" w:space="0" w:color="auto"/>
        <w:right w:val="none" w:sz="0" w:space="0" w:color="auto"/>
      </w:divBdr>
    </w:div>
    <w:div w:id="1801681266">
      <w:bodyDiv w:val="1"/>
      <w:marLeft w:val="0"/>
      <w:marRight w:val="0"/>
      <w:marTop w:val="0"/>
      <w:marBottom w:val="0"/>
      <w:divBdr>
        <w:top w:val="none" w:sz="0" w:space="0" w:color="auto"/>
        <w:left w:val="none" w:sz="0" w:space="0" w:color="auto"/>
        <w:bottom w:val="none" w:sz="0" w:space="0" w:color="auto"/>
        <w:right w:val="none" w:sz="0" w:space="0" w:color="auto"/>
      </w:divBdr>
    </w:div>
    <w:div w:id="1801873708">
      <w:marLeft w:val="480"/>
      <w:marRight w:val="0"/>
      <w:marTop w:val="0"/>
      <w:marBottom w:val="0"/>
      <w:divBdr>
        <w:top w:val="none" w:sz="0" w:space="0" w:color="auto"/>
        <w:left w:val="none" w:sz="0" w:space="0" w:color="auto"/>
        <w:bottom w:val="none" w:sz="0" w:space="0" w:color="auto"/>
        <w:right w:val="none" w:sz="0" w:space="0" w:color="auto"/>
      </w:divBdr>
    </w:div>
    <w:div w:id="1801998275">
      <w:marLeft w:val="480"/>
      <w:marRight w:val="0"/>
      <w:marTop w:val="0"/>
      <w:marBottom w:val="0"/>
      <w:divBdr>
        <w:top w:val="none" w:sz="0" w:space="0" w:color="auto"/>
        <w:left w:val="none" w:sz="0" w:space="0" w:color="auto"/>
        <w:bottom w:val="none" w:sz="0" w:space="0" w:color="auto"/>
        <w:right w:val="none" w:sz="0" w:space="0" w:color="auto"/>
      </w:divBdr>
    </w:div>
    <w:div w:id="1802769937">
      <w:marLeft w:val="480"/>
      <w:marRight w:val="0"/>
      <w:marTop w:val="0"/>
      <w:marBottom w:val="0"/>
      <w:divBdr>
        <w:top w:val="none" w:sz="0" w:space="0" w:color="auto"/>
        <w:left w:val="none" w:sz="0" w:space="0" w:color="auto"/>
        <w:bottom w:val="none" w:sz="0" w:space="0" w:color="auto"/>
        <w:right w:val="none" w:sz="0" w:space="0" w:color="auto"/>
      </w:divBdr>
    </w:div>
    <w:div w:id="1804540447">
      <w:marLeft w:val="480"/>
      <w:marRight w:val="0"/>
      <w:marTop w:val="0"/>
      <w:marBottom w:val="0"/>
      <w:divBdr>
        <w:top w:val="none" w:sz="0" w:space="0" w:color="auto"/>
        <w:left w:val="none" w:sz="0" w:space="0" w:color="auto"/>
        <w:bottom w:val="none" w:sz="0" w:space="0" w:color="auto"/>
        <w:right w:val="none" w:sz="0" w:space="0" w:color="auto"/>
      </w:divBdr>
    </w:div>
    <w:div w:id="1805197489">
      <w:marLeft w:val="480"/>
      <w:marRight w:val="0"/>
      <w:marTop w:val="0"/>
      <w:marBottom w:val="0"/>
      <w:divBdr>
        <w:top w:val="none" w:sz="0" w:space="0" w:color="auto"/>
        <w:left w:val="none" w:sz="0" w:space="0" w:color="auto"/>
        <w:bottom w:val="none" w:sz="0" w:space="0" w:color="auto"/>
        <w:right w:val="none" w:sz="0" w:space="0" w:color="auto"/>
      </w:divBdr>
    </w:div>
    <w:div w:id="1815485410">
      <w:marLeft w:val="480"/>
      <w:marRight w:val="0"/>
      <w:marTop w:val="0"/>
      <w:marBottom w:val="0"/>
      <w:divBdr>
        <w:top w:val="none" w:sz="0" w:space="0" w:color="auto"/>
        <w:left w:val="none" w:sz="0" w:space="0" w:color="auto"/>
        <w:bottom w:val="none" w:sz="0" w:space="0" w:color="auto"/>
        <w:right w:val="none" w:sz="0" w:space="0" w:color="auto"/>
      </w:divBdr>
    </w:div>
    <w:div w:id="1816988676">
      <w:marLeft w:val="480"/>
      <w:marRight w:val="0"/>
      <w:marTop w:val="0"/>
      <w:marBottom w:val="0"/>
      <w:divBdr>
        <w:top w:val="none" w:sz="0" w:space="0" w:color="auto"/>
        <w:left w:val="none" w:sz="0" w:space="0" w:color="auto"/>
        <w:bottom w:val="none" w:sz="0" w:space="0" w:color="auto"/>
        <w:right w:val="none" w:sz="0" w:space="0" w:color="auto"/>
      </w:divBdr>
    </w:div>
    <w:div w:id="1818498674">
      <w:marLeft w:val="480"/>
      <w:marRight w:val="0"/>
      <w:marTop w:val="0"/>
      <w:marBottom w:val="0"/>
      <w:divBdr>
        <w:top w:val="none" w:sz="0" w:space="0" w:color="auto"/>
        <w:left w:val="none" w:sz="0" w:space="0" w:color="auto"/>
        <w:bottom w:val="none" w:sz="0" w:space="0" w:color="auto"/>
        <w:right w:val="none" w:sz="0" w:space="0" w:color="auto"/>
      </w:divBdr>
    </w:div>
    <w:div w:id="1823814667">
      <w:marLeft w:val="480"/>
      <w:marRight w:val="0"/>
      <w:marTop w:val="0"/>
      <w:marBottom w:val="0"/>
      <w:divBdr>
        <w:top w:val="none" w:sz="0" w:space="0" w:color="auto"/>
        <w:left w:val="none" w:sz="0" w:space="0" w:color="auto"/>
        <w:bottom w:val="none" w:sz="0" w:space="0" w:color="auto"/>
        <w:right w:val="none" w:sz="0" w:space="0" w:color="auto"/>
      </w:divBdr>
    </w:div>
    <w:div w:id="1826781612">
      <w:bodyDiv w:val="1"/>
      <w:marLeft w:val="0"/>
      <w:marRight w:val="0"/>
      <w:marTop w:val="0"/>
      <w:marBottom w:val="0"/>
      <w:divBdr>
        <w:top w:val="none" w:sz="0" w:space="0" w:color="auto"/>
        <w:left w:val="none" w:sz="0" w:space="0" w:color="auto"/>
        <w:bottom w:val="none" w:sz="0" w:space="0" w:color="auto"/>
        <w:right w:val="none" w:sz="0" w:space="0" w:color="auto"/>
      </w:divBdr>
    </w:div>
    <w:div w:id="1828280041">
      <w:marLeft w:val="480"/>
      <w:marRight w:val="0"/>
      <w:marTop w:val="0"/>
      <w:marBottom w:val="0"/>
      <w:divBdr>
        <w:top w:val="none" w:sz="0" w:space="0" w:color="auto"/>
        <w:left w:val="none" w:sz="0" w:space="0" w:color="auto"/>
        <w:bottom w:val="none" w:sz="0" w:space="0" w:color="auto"/>
        <w:right w:val="none" w:sz="0" w:space="0" w:color="auto"/>
      </w:divBdr>
    </w:div>
    <w:div w:id="1828284950">
      <w:marLeft w:val="480"/>
      <w:marRight w:val="0"/>
      <w:marTop w:val="0"/>
      <w:marBottom w:val="0"/>
      <w:divBdr>
        <w:top w:val="none" w:sz="0" w:space="0" w:color="auto"/>
        <w:left w:val="none" w:sz="0" w:space="0" w:color="auto"/>
        <w:bottom w:val="none" w:sz="0" w:space="0" w:color="auto"/>
        <w:right w:val="none" w:sz="0" w:space="0" w:color="auto"/>
      </w:divBdr>
    </w:div>
    <w:div w:id="1829051308">
      <w:marLeft w:val="480"/>
      <w:marRight w:val="0"/>
      <w:marTop w:val="0"/>
      <w:marBottom w:val="0"/>
      <w:divBdr>
        <w:top w:val="none" w:sz="0" w:space="0" w:color="auto"/>
        <w:left w:val="none" w:sz="0" w:space="0" w:color="auto"/>
        <w:bottom w:val="none" w:sz="0" w:space="0" w:color="auto"/>
        <w:right w:val="none" w:sz="0" w:space="0" w:color="auto"/>
      </w:divBdr>
    </w:div>
    <w:div w:id="1829443717">
      <w:marLeft w:val="480"/>
      <w:marRight w:val="0"/>
      <w:marTop w:val="0"/>
      <w:marBottom w:val="0"/>
      <w:divBdr>
        <w:top w:val="none" w:sz="0" w:space="0" w:color="auto"/>
        <w:left w:val="none" w:sz="0" w:space="0" w:color="auto"/>
        <w:bottom w:val="none" w:sz="0" w:space="0" w:color="auto"/>
        <w:right w:val="none" w:sz="0" w:space="0" w:color="auto"/>
      </w:divBdr>
    </w:div>
    <w:div w:id="1829666149">
      <w:marLeft w:val="480"/>
      <w:marRight w:val="0"/>
      <w:marTop w:val="0"/>
      <w:marBottom w:val="0"/>
      <w:divBdr>
        <w:top w:val="none" w:sz="0" w:space="0" w:color="auto"/>
        <w:left w:val="none" w:sz="0" w:space="0" w:color="auto"/>
        <w:bottom w:val="none" w:sz="0" w:space="0" w:color="auto"/>
        <w:right w:val="none" w:sz="0" w:space="0" w:color="auto"/>
      </w:divBdr>
    </w:div>
    <w:div w:id="1832258640">
      <w:bodyDiv w:val="1"/>
      <w:marLeft w:val="0"/>
      <w:marRight w:val="0"/>
      <w:marTop w:val="0"/>
      <w:marBottom w:val="0"/>
      <w:divBdr>
        <w:top w:val="none" w:sz="0" w:space="0" w:color="auto"/>
        <w:left w:val="none" w:sz="0" w:space="0" w:color="auto"/>
        <w:bottom w:val="none" w:sz="0" w:space="0" w:color="auto"/>
        <w:right w:val="none" w:sz="0" w:space="0" w:color="auto"/>
      </w:divBdr>
    </w:div>
    <w:div w:id="1836993533">
      <w:bodyDiv w:val="1"/>
      <w:marLeft w:val="0"/>
      <w:marRight w:val="0"/>
      <w:marTop w:val="0"/>
      <w:marBottom w:val="0"/>
      <w:divBdr>
        <w:top w:val="none" w:sz="0" w:space="0" w:color="auto"/>
        <w:left w:val="none" w:sz="0" w:space="0" w:color="auto"/>
        <w:bottom w:val="none" w:sz="0" w:space="0" w:color="auto"/>
        <w:right w:val="none" w:sz="0" w:space="0" w:color="auto"/>
      </w:divBdr>
    </w:div>
    <w:div w:id="1837652214">
      <w:bodyDiv w:val="1"/>
      <w:marLeft w:val="0"/>
      <w:marRight w:val="0"/>
      <w:marTop w:val="0"/>
      <w:marBottom w:val="0"/>
      <w:divBdr>
        <w:top w:val="none" w:sz="0" w:space="0" w:color="auto"/>
        <w:left w:val="none" w:sz="0" w:space="0" w:color="auto"/>
        <w:bottom w:val="none" w:sz="0" w:space="0" w:color="auto"/>
        <w:right w:val="none" w:sz="0" w:space="0" w:color="auto"/>
      </w:divBdr>
      <w:divsChild>
        <w:div w:id="174729588">
          <w:marLeft w:val="0"/>
          <w:marRight w:val="0"/>
          <w:marTop w:val="0"/>
          <w:marBottom w:val="0"/>
          <w:divBdr>
            <w:top w:val="none" w:sz="0" w:space="0" w:color="auto"/>
            <w:left w:val="none" w:sz="0" w:space="0" w:color="auto"/>
            <w:bottom w:val="none" w:sz="0" w:space="0" w:color="auto"/>
            <w:right w:val="none" w:sz="0" w:space="0" w:color="auto"/>
          </w:divBdr>
        </w:div>
        <w:div w:id="189759134">
          <w:marLeft w:val="0"/>
          <w:marRight w:val="0"/>
          <w:marTop w:val="0"/>
          <w:marBottom w:val="0"/>
          <w:divBdr>
            <w:top w:val="none" w:sz="0" w:space="0" w:color="auto"/>
            <w:left w:val="none" w:sz="0" w:space="0" w:color="auto"/>
            <w:bottom w:val="none" w:sz="0" w:space="0" w:color="auto"/>
            <w:right w:val="none" w:sz="0" w:space="0" w:color="auto"/>
          </w:divBdr>
        </w:div>
        <w:div w:id="359627500">
          <w:marLeft w:val="0"/>
          <w:marRight w:val="0"/>
          <w:marTop w:val="0"/>
          <w:marBottom w:val="0"/>
          <w:divBdr>
            <w:top w:val="none" w:sz="0" w:space="0" w:color="auto"/>
            <w:left w:val="none" w:sz="0" w:space="0" w:color="auto"/>
            <w:bottom w:val="none" w:sz="0" w:space="0" w:color="auto"/>
            <w:right w:val="none" w:sz="0" w:space="0" w:color="auto"/>
          </w:divBdr>
        </w:div>
        <w:div w:id="419105751">
          <w:marLeft w:val="0"/>
          <w:marRight w:val="0"/>
          <w:marTop w:val="0"/>
          <w:marBottom w:val="0"/>
          <w:divBdr>
            <w:top w:val="none" w:sz="0" w:space="0" w:color="auto"/>
            <w:left w:val="none" w:sz="0" w:space="0" w:color="auto"/>
            <w:bottom w:val="none" w:sz="0" w:space="0" w:color="auto"/>
            <w:right w:val="none" w:sz="0" w:space="0" w:color="auto"/>
          </w:divBdr>
        </w:div>
        <w:div w:id="480971607">
          <w:marLeft w:val="-75"/>
          <w:marRight w:val="0"/>
          <w:marTop w:val="30"/>
          <w:marBottom w:val="30"/>
          <w:divBdr>
            <w:top w:val="none" w:sz="0" w:space="0" w:color="auto"/>
            <w:left w:val="none" w:sz="0" w:space="0" w:color="auto"/>
            <w:bottom w:val="none" w:sz="0" w:space="0" w:color="auto"/>
            <w:right w:val="none" w:sz="0" w:space="0" w:color="auto"/>
          </w:divBdr>
          <w:divsChild>
            <w:div w:id="497615507">
              <w:marLeft w:val="0"/>
              <w:marRight w:val="0"/>
              <w:marTop w:val="0"/>
              <w:marBottom w:val="0"/>
              <w:divBdr>
                <w:top w:val="none" w:sz="0" w:space="0" w:color="auto"/>
                <w:left w:val="none" w:sz="0" w:space="0" w:color="auto"/>
                <w:bottom w:val="none" w:sz="0" w:space="0" w:color="auto"/>
                <w:right w:val="none" w:sz="0" w:space="0" w:color="auto"/>
              </w:divBdr>
              <w:divsChild>
                <w:div w:id="223564927">
                  <w:marLeft w:val="0"/>
                  <w:marRight w:val="0"/>
                  <w:marTop w:val="0"/>
                  <w:marBottom w:val="0"/>
                  <w:divBdr>
                    <w:top w:val="none" w:sz="0" w:space="0" w:color="auto"/>
                    <w:left w:val="none" w:sz="0" w:space="0" w:color="auto"/>
                    <w:bottom w:val="none" w:sz="0" w:space="0" w:color="auto"/>
                    <w:right w:val="none" w:sz="0" w:space="0" w:color="auto"/>
                  </w:divBdr>
                </w:div>
              </w:divsChild>
            </w:div>
            <w:div w:id="705713276">
              <w:marLeft w:val="0"/>
              <w:marRight w:val="0"/>
              <w:marTop w:val="0"/>
              <w:marBottom w:val="0"/>
              <w:divBdr>
                <w:top w:val="none" w:sz="0" w:space="0" w:color="auto"/>
                <w:left w:val="none" w:sz="0" w:space="0" w:color="auto"/>
                <w:bottom w:val="none" w:sz="0" w:space="0" w:color="auto"/>
                <w:right w:val="none" w:sz="0" w:space="0" w:color="auto"/>
              </w:divBdr>
              <w:divsChild>
                <w:div w:id="91055472">
                  <w:marLeft w:val="0"/>
                  <w:marRight w:val="0"/>
                  <w:marTop w:val="0"/>
                  <w:marBottom w:val="0"/>
                  <w:divBdr>
                    <w:top w:val="none" w:sz="0" w:space="0" w:color="auto"/>
                    <w:left w:val="none" w:sz="0" w:space="0" w:color="auto"/>
                    <w:bottom w:val="none" w:sz="0" w:space="0" w:color="auto"/>
                    <w:right w:val="none" w:sz="0" w:space="0" w:color="auto"/>
                  </w:divBdr>
                </w:div>
              </w:divsChild>
            </w:div>
            <w:div w:id="938564823">
              <w:marLeft w:val="0"/>
              <w:marRight w:val="0"/>
              <w:marTop w:val="0"/>
              <w:marBottom w:val="0"/>
              <w:divBdr>
                <w:top w:val="none" w:sz="0" w:space="0" w:color="auto"/>
                <w:left w:val="none" w:sz="0" w:space="0" w:color="auto"/>
                <w:bottom w:val="none" w:sz="0" w:space="0" w:color="auto"/>
                <w:right w:val="none" w:sz="0" w:space="0" w:color="auto"/>
              </w:divBdr>
              <w:divsChild>
                <w:div w:id="1840997738">
                  <w:marLeft w:val="0"/>
                  <w:marRight w:val="0"/>
                  <w:marTop w:val="0"/>
                  <w:marBottom w:val="0"/>
                  <w:divBdr>
                    <w:top w:val="none" w:sz="0" w:space="0" w:color="auto"/>
                    <w:left w:val="none" w:sz="0" w:space="0" w:color="auto"/>
                    <w:bottom w:val="none" w:sz="0" w:space="0" w:color="auto"/>
                    <w:right w:val="none" w:sz="0" w:space="0" w:color="auto"/>
                  </w:divBdr>
                </w:div>
              </w:divsChild>
            </w:div>
            <w:div w:id="1259363893">
              <w:marLeft w:val="0"/>
              <w:marRight w:val="0"/>
              <w:marTop w:val="0"/>
              <w:marBottom w:val="0"/>
              <w:divBdr>
                <w:top w:val="none" w:sz="0" w:space="0" w:color="auto"/>
                <w:left w:val="none" w:sz="0" w:space="0" w:color="auto"/>
                <w:bottom w:val="none" w:sz="0" w:space="0" w:color="auto"/>
                <w:right w:val="none" w:sz="0" w:space="0" w:color="auto"/>
              </w:divBdr>
              <w:divsChild>
                <w:div w:id="1005981609">
                  <w:marLeft w:val="0"/>
                  <w:marRight w:val="0"/>
                  <w:marTop w:val="0"/>
                  <w:marBottom w:val="0"/>
                  <w:divBdr>
                    <w:top w:val="none" w:sz="0" w:space="0" w:color="auto"/>
                    <w:left w:val="none" w:sz="0" w:space="0" w:color="auto"/>
                    <w:bottom w:val="none" w:sz="0" w:space="0" w:color="auto"/>
                    <w:right w:val="none" w:sz="0" w:space="0" w:color="auto"/>
                  </w:divBdr>
                </w:div>
              </w:divsChild>
            </w:div>
            <w:div w:id="1288657123">
              <w:marLeft w:val="0"/>
              <w:marRight w:val="0"/>
              <w:marTop w:val="0"/>
              <w:marBottom w:val="0"/>
              <w:divBdr>
                <w:top w:val="none" w:sz="0" w:space="0" w:color="auto"/>
                <w:left w:val="none" w:sz="0" w:space="0" w:color="auto"/>
                <w:bottom w:val="none" w:sz="0" w:space="0" w:color="auto"/>
                <w:right w:val="none" w:sz="0" w:space="0" w:color="auto"/>
              </w:divBdr>
              <w:divsChild>
                <w:div w:id="945885838">
                  <w:marLeft w:val="0"/>
                  <w:marRight w:val="0"/>
                  <w:marTop w:val="0"/>
                  <w:marBottom w:val="0"/>
                  <w:divBdr>
                    <w:top w:val="none" w:sz="0" w:space="0" w:color="auto"/>
                    <w:left w:val="none" w:sz="0" w:space="0" w:color="auto"/>
                    <w:bottom w:val="none" w:sz="0" w:space="0" w:color="auto"/>
                    <w:right w:val="none" w:sz="0" w:space="0" w:color="auto"/>
                  </w:divBdr>
                </w:div>
              </w:divsChild>
            </w:div>
            <w:div w:id="1460688975">
              <w:marLeft w:val="0"/>
              <w:marRight w:val="0"/>
              <w:marTop w:val="0"/>
              <w:marBottom w:val="0"/>
              <w:divBdr>
                <w:top w:val="none" w:sz="0" w:space="0" w:color="auto"/>
                <w:left w:val="none" w:sz="0" w:space="0" w:color="auto"/>
                <w:bottom w:val="none" w:sz="0" w:space="0" w:color="auto"/>
                <w:right w:val="none" w:sz="0" w:space="0" w:color="auto"/>
              </w:divBdr>
              <w:divsChild>
                <w:div w:id="1110121509">
                  <w:marLeft w:val="0"/>
                  <w:marRight w:val="0"/>
                  <w:marTop w:val="0"/>
                  <w:marBottom w:val="0"/>
                  <w:divBdr>
                    <w:top w:val="none" w:sz="0" w:space="0" w:color="auto"/>
                    <w:left w:val="none" w:sz="0" w:space="0" w:color="auto"/>
                    <w:bottom w:val="none" w:sz="0" w:space="0" w:color="auto"/>
                    <w:right w:val="none" w:sz="0" w:space="0" w:color="auto"/>
                  </w:divBdr>
                </w:div>
              </w:divsChild>
            </w:div>
            <w:div w:id="1770396025">
              <w:marLeft w:val="0"/>
              <w:marRight w:val="0"/>
              <w:marTop w:val="0"/>
              <w:marBottom w:val="0"/>
              <w:divBdr>
                <w:top w:val="none" w:sz="0" w:space="0" w:color="auto"/>
                <w:left w:val="none" w:sz="0" w:space="0" w:color="auto"/>
                <w:bottom w:val="none" w:sz="0" w:space="0" w:color="auto"/>
                <w:right w:val="none" w:sz="0" w:space="0" w:color="auto"/>
              </w:divBdr>
            </w:div>
          </w:divsChild>
        </w:div>
        <w:div w:id="506865683">
          <w:marLeft w:val="-75"/>
          <w:marRight w:val="0"/>
          <w:marTop w:val="30"/>
          <w:marBottom w:val="30"/>
          <w:divBdr>
            <w:top w:val="none" w:sz="0" w:space="0" w:color="auto"/>
            <w:left w:val="none" w:sz="0" w:space="0" w:color="auto"/>
            <w:bottom w:val="none" w:sz="0" w:space="0" w:color="auto"/>
            <w:right w:val="none" w:sz="0" w:space="0" w:color="auto"/>
          </w:divBdr>
          <w:divsChild>
            <w:div w:id="1557008255">
              <w:marLeft w:val="0"/>
              <w:marRight w:val="0"/>
              <w:marTop w:val="0"/>
              <w:marBottom w:val="0"/>
              <w:divBdr>
                <w:top w:val="none" w:sz="0" w:space="0" w:color="auto"/>
                <w:left w:val="none" w:sz="0" w:space="0" w:color="auto"/>
                <w:bottom w:val="none" w:sz="0" w:space="0" w:color="auto"/>
                <w:right w:val="none" w:sz="0" w:space="0" w:color="auto"/>
              </w:divBdr>
              <w:divsChild>
                <w:div w:id="38752844">
                  <w:marLeft w:val="0"/>
                  <w:marRight w:val="0"/>
                  <w:marTop w:val="0"/>
                  <w:marBottom w:val="0"/>
                  <w:divBdr>
                    <w:top w:val="none" w:sz="0" w:space="0" w:color="auto"/>
                    <w:left w:val="none" w:sz="0" w:space="0" w:color="auto"/>
                    <w:bottom w:val="none" w:sz="0" w:space="0" w:color="auto"/>
                    <w:right w:val="none" w:sz="0" w:space="0" w:color="auto"/>
                  </w:divBdr>
                </w:div>
                <w:div w:id="43917490">
                  <w:marLeft w:val="0"/>
                  <w:marRight w:val="0"/>
                  <w:marTop w:val="0"/>
                  <w:marBottom w:val="0"/>
                  <w:divBdr>
                    <w:top w:val="none" w:sz="0" w:space="0" w:color="auto"/>
                    <w:left w:val="none" w:sz="0" w:space="0" w:color="auto"/>
                    <w:bottom w:val="none" w:sz="0" w:space="0" w:color="auto"/>
                    <w:right w:val="none" w:sz="0" w:space="0" w:color="auto"/>
                  </w:divBdr>
                </w:div>
                <w:div w:id="1439368705">
                  <w:marLeft w:val="0"/>
                  <w:marRight w:val="0"/>
                  <w:marTop w:val="0"/>
                  <w:marBottom w:val="0"/>
                  <w:divBdr>
                    <w:top w:val="none" w:sz="0" w:space="0" w:color="auto"/>
                    <w:left w:val="none" w:sz="0" w:space="0" w:color="auto"/>
                    <w:bottom w:val="none" w:sz="0" w:space="0" w:color="auto"/>
                    <w:right w:val="none" w:sz="0" w:space="0" w:color="auto"/>
                  </w:divBdr>
                </w:div>
                <w:div w:id="1602256805">
                  <w:marLeft w:val="0"/>
                  <w:marRight w:val="0"/>
                  <w:marTop w:val="0"/>
                  <w:marBottom w:val="0"/>
                  <w:divBdr>
                    <w:top w:val="none" w:sz="0" w:space="0" w:color="auto"/>
                    <w:left w:val="none" w:sz="0" w:space="0" w:color="auto"/>
                    <w:bottom w:val="none" w:sz="0" w:space="0" w:color="auto"/>
                    <w:right w:val="none" w:sz="0" w:space="0" w:color="auto"/>
                  </w:divBdr>
                </w:div>
              </w:divsChild>
            </w:div>
            <w:div w:id="1997755421">
              <w:marLeft w:val="0"/>
              <w:marRight w:val="0"/>
              <w:marTop w:val="0"/>
              <w:marBottom w:val="0"/>
              <w:divBdr>
                <w:top w:val="none" w:sz="0" w:space="0" w:color="auto"/>
                <w:left w:val="none" w:sz="0" w:space="0" w:color="auto"/>
                <w:bottom w:val="none" w:sz="0" w:space="0" w:color="auto"/>
                <w:right w:val="none" w:sz="0" w:space="0" w:color="auto"/>
              </w:divBdr>
              <w:divsChild>
                <w:div w:id="37087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30605">
          <w:marLeft w:val="0"/>
          <w:marRight w:val="0"/>
          <w:marTop w:val="0"/>
          <w:marBottom w:val="0"/>
          <w:divBdr>
            <w:top w:val="none" w:sz="0" w:space="0" w:color="auto"/>
            <w:left w:val="none" w:sz="0" w:space="0" w:color="auto"/>
            <w:bottom w:val="none" w:sz="0" w:space="0" w:color="auto"/>
            <w:right w:val="none" w:sz="0" w:space="0" w:color="auto"/>
          </w:divBdr>
        </w:div>
        <w:div w:id="981813213">
          <w:marLeft w:val="0"/>
          <w:marRight w:val="0"/>
          <w:marTop w:val="0"/>
          <w:marBottom w:val="0"/>
          <w:divBdr>
            <w:top w:val="none" w:sz="0" w:space="0" w:color="auto"/>
            <w:left w:val="none" w:sz="0" w:space="0" w:color="auto"/>
            <w:bottom w:val="none" w:sz="0" w:space="0" w:color="auto"/>
            <w:right w:val="none" w:sz="0" w:space="0" w:color="auto"/>
          </w:divBdr>
        </w:div>
        <w:div w:id="1030882451">
          <w:marLeft w:val="0"/>
          <w:marRight w:val="0"/>
          <w:marTop w:val="0"/>
          <w:marBottom w:val="0"/>
          <w:divBdr>
            <w:top w:val="none" w:sz="0" w:space="0" w:color="auto"/>
            <w:left w:val="none" w:sz="0" w:space="0" w:color="auto"/>
            <w:bottom w:val="none" w:sz="0" w:space="0" w:color="auto"/>
            <w:right w:val="none" w:sz="0" w:space="0" w:color="auto"/>
          </w:divBdr>
        </w:div>
        <w:div w:id="1040517265">
          <w:marLeft w:val="0"/>
          <w:marRight w:val="0"/>
          <w:marTop w:val="0"/>
          <w:marBottom w:val="0"/>
          <w:divBdr>
            <w:top w:val="none" w:sz="0" w:space="0" w:color="auto"/>
            <w:left w:val="none" w:sz="0" w:space="0" w:color="auto"/>
            <w:bottom w:val="none" w:sz="0" w:space="0" w:color="auto"/>
            <w:right w:val="none" w:sz="0" w:space="0" w:color="auto"/>
          </w:divBdr>
        </w:div>
        <w:div w:id="1120757725">
          <w:marLeft w:val="0"/>
          <w:marRight w:val="0"/>
          <w:marTop w:val="0"/>
          <w:marBottom w:val="0"/>
          <w:divBdr>
            <w:top w:val="none" w:sz="0" w:space="0" w:color="auto"/>
            <w:left w:val="none" w:sz="0" w:space="0" w:color="auto"/>
            <w:bottom w:val="none" w:sz="0" w:space="0" w:color="auto"/>
            <w:right w:val="none" w:sz="0" w:space="0" w:color="auto"/>
          </w:divBdr>
        </w:div>
        <w:div w:id="1136144758">
          <w:marLeft w:val="0"/>
          <w:marRight w:val="0"/>
          <w:marTop w:val="0"/>
          <w:marBottom w:val="0"/>
          <w:divBdr>
            <w:top w:val="none" w:sz="0" w:space="0" w:color="auto"/>
            <w:left w:val="none" w:sz="0" w:space="0" w:color="auto"/>
            <w:bottom w:val="none" w:sz="0" w:space="0" w:color="auto"/>
            <w:right w:val="none" w:sz="0" w:space="0" w:color="auto"/>
          </w:divBdr>
        </w:div>
        <w:div w:id="1303077062">
          <w:marLeft w:val="0"/>
          <w:marRight w:val="0"/>
          <w:marTop w:val="0"/>
          <w:marBottom w:val="0"/>
          <w:divBdr>
            <w:top w:val="none" w:sz="0" w:space="0" w:color="auto"/>
            <w:left w:val="none" w:sz="0" w:space="0" w:color="auto"/>
            <w:bottom w:val="none" w:sz="0" w:space="0" w:color="auto"/>
            <w:right w:val="none" w:sz="0" w:space="0" w:color="auto"/>
          </w:divBdr>
        </w:div>
        <w:div w:id="1379236593">
          <w:marLeft w:val="0"/>
          <w:marRight w:val="0"/>
          <w:marTop w:val="0"/>
          <w:marBottom w:val="0"/>
          <w:divBdr>
            <w:top w:val="none" w:sz="0" w:space="0" w:color="auto"/>
            <w:left w:val="none" w:sz="0" w:space="0" w:color="auto"/>
            <w:bottom w:val="none" w:sz="0" w:space="0" w:color="auto"/>
            <w:right w:val="none" w:sz="0" w:space="0" w:color="auto"/>
          </w:divBdr>
        </w:div>
        <w:div w:id="1530021353">
          <w:marLeft w:val="0"/>
          <w:marRight w:val="0"/>
          <w:marTop w:val="0"/>
          <w:marBottom w:val="0"/>
          <w:divBdr>
            <w:top w:val="none" w:sz="0" w:space="0" w:color="auto"/>
            <w:left w:val="none" w:sz="0" w:space="0" w:color="auto"/>
            <w:bottom w:val="none" w:sz="0" w:space="0" w:color="auto"/>
            <w:right w:val="none" w:sz="0" w:space="0" w:color="auto"/>
          </w:divBdr>
        </w:div>
        <w:div w:id="1536310314">
          <w:marLeft w:val="0"/>
          <w:marRight w:val="0"/>
          <w:marTop w:val="0"/>
          <w:marBottom w:val="0"/>
          <w:divBdr>
            <w:top w:val="none" w:sz="0" w:space="0" w:color="auto"/>
            <w:left w:val="none" w:sz="0" w:space="0" w:color="auto"/>
            <w:bottom w:val="none" w:sz="0" w:space="0" w:color="auto"/>
            <w:right w:val="none" w:sz="0" w:space="0" w:color="auto"/>
          </w:divBdr>
        </w:div>
        <w:div w:id="1563635202">
          <w:marLeft w:val="0"/>
          <w:marRight w:val="0"/>
          <w:marTop w:val="0"/>
          <w:marBottom w:val="0"/>
          <w:divBdr>
            <w:top w:val="none" w:sz="0" w:space="0" w:color="auto"/>
            <w:left w:val="none" w:sz="0" w:space="0" w:color="auto"/>
            <w:bottom w:val="none" w:sz="0" w:space="0" w:color="auto"/>
            <w:right w:val="none" w:sz="0" w:space="0" w:color="auto"/>
          </w:divBdr>
        </w:div>
        <w:div w:id="1585529370">
          <w:marLeft w:val="-75"/>
          <w:marRight w:val="0"/>
          <w:marTop w:val="30"/>
          <w:marBottom w:val="30"/>
          <w:divBdr>
            <w:top w:val="none" w:sz="0" w:space="0" w:color="auto"/>
            <w:left w:val="none" w:sz="0" w:space="0" w:color="auto"/>
            <w:bottom w:val="none" w:sz="0" w:space="0" w:color="auto"/>
            <w:right w:val="none" w:sz="0" w:space="0" w:color="auto"/>
          </w:divBdr>
          <w:divsChild>
            <w:div w:id="310141587">
              <w:marLeft w:val="0"/>
              <w:marRight w:val="0"/>
              <w:marTop w:val="0"/>
              <w:marBottom w:val="0"/>
              <w:divBdr>
                <w:top w:val="none" w:sz="0" w:space="0" w:color="auto"/>
                <w:left w:val="none" w:sz="0" w:space="0" w:color="auto"/>
                <w:bottom w:val="none" w:sz="0" w:space="0" w:color="auto"/>
                <w:right w:val="none" w:sz="0" w:space="0" w:color="auto"/>
              </w:divBdr>
              <w:divsChild>
                <w:div w:id="1152788964">
                  <w:marLeft w:val="0"/>
                  <w:marRight w:val="0"/>
                  <w:marTop w:val="0"/>
                  <w:marBottom w:val="0"/>
                  <w:divBdr>
                    <w:top w:val="none" w:sz="0" w:space="0" w:color="auto"/>
                    <w:left w:val="none" w:sz="0" w:space="0" w:color="auto"/>
                    <w:bottom w:val="none" w:sz="0" w:space="0" w:color="auto"/>
                    <w:right w:val="none" w:sz="0" w:space="0" w:color="auto"/>
                  </w:divBdr>
                </w:div>
              </w:divsChild>
            </w:div>
            <w:div w:id="1738212571">
              <w:marLeft w:val="0"/>
              <w:marRight w:val="0"/>
              <w:marTop w:val="0"/>
              <w:marBottom w:val="0"/>
              <w:divBdr>
                <w:top w:val="none" w:sz="0" w:space="0" w:color="auto"/>
                <w:left w:val="none" w:sz="0" w:space="0" w:color="auto"/>
                <w:bottom w:val="none" w:sz="0" w:space="0" w:color="auto"/>
                <w:right w:val="none" w:sz="0" w:space="0" w:color="auto"/>
              </w:divBdr>
              <w:divsChild>
                <w:div w:id="94176472">
                  <w:marLeft w:val="0"/>
                  <w:marRight w:val="0"/>
                  <w:marTop w:val="0"/>
                  <w:marBottom w:val="0"/>
                  <w:divBdr>
                    <w:top w:val="none" w:sz="0" w:space="0" w:color="auto"/>
                    <w:left w:val="none" w:sz="0" w:space="0" w:color="auto"/>
                    <w:bottom w:val="none" w:sz="0" w:space="0" w:color="auto"/>
                    <w:right w:val="none" w:sz="0" w:space="0" w:color="auto"/>
                  </w:divBdr>
                </w:div>
                <w:div w:id="278072155">
                  <w:marLeft w:val="0"/>
                  <w:marRight w:val="0"/>
                  <w:marTop w:val="0"/>
                  <w:marBottom w:val="0"/>
                  <w:divBdr>
                    <w:top w:val="none" w:sz="0" w:space="0" w:color="auto"/>
                    <w:left w:val="none" w:sz="0" w:space="0" w:color="auto"/>
                    <w:bottom w:val="none" w:sz="0" w:space="0" w:color="auto"/>
                    <w:right w:val="none" w:sz="0" w:space="0" w:color="auto"/>
                  </w:divBdr>
                </w:div>
                <w:div w:id="914321111">
                  <w:marLeft w:val="0"/>
                  <w:marRight w:val="0"/>
                  <w:marTop w:val="0"/>
                  <w:marBottom w:val="0"/>
                  <w:divBdr>
                    <w:top w:val="none" w:sz="0" w:space="0" w:color="auto"/>
                    <w:left w:val="none" w:sz="0" w:space="0" w:color="auto"/>
                    <w:bottom w:val="none" w:sz="0" w:space="0" w:color="auto"/>
                    <w:right w:val="none" w:sz="0" w:space="0" w:color="auto"/>
                  </w:divBdr>
                </w:div>
                <w:div w:id="164169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8499">
          <w:marLeft w:val="-75"/>
          <w:marRight w:val="0"/>
          <w:marTop w:val="30"/>
          <w:marBottom w:val="30"/>
          <w:divBdr>
            <w:top w:val="none" w:sz="0" w:space="0" w:color="auto"/>
            <w:left w:val="none" w:sz="0" w:space="0" w:color="auto"/>
            <w:bottom w:val="none" w:sz="0" w:space="0" w:color="auto"/>
            <w:right w:val="none" w:sz="0" w:space="0" w:color="auto"/>
          </w:divBdr>
          <w:divsChild>
            <w:div w:id="248003429">
              <w:marLeft w:val="0"/>
              <w:marRight w:val="0"/>
              <w:marTop w:val="0"/>
              <w:marBottom w:val="0"/>
              <w:divBdr>
                <w:top w:val="none" w:sz="0" w:space="0" w:color="auto"/>
                <w:left w:val="none" w:sz="0" w:space="0" w:color="auto"/>
                <w:bottom w:val="none" w:sz="0" w:space="0" w:color="auto"/>
                <w:right w:val="none" w:sz="0" w:space="0" w:color="auto"/>
              </w:divBdr>
              <w:divsChild>
                <w:div w:id="324480957">
                  <w:marLeft w:val="0"/>
                  <w:marRight w:val="0"/>
                  <w:marTop w:val="0"/>
                  <w:marBottom w:val="0"/>
                  <w:divBdr>
                    <w:top w:val="none" w:sz="0" w:space="0" w:color="auto"/>
                    <w:left w:val="none" w:sz="0" w:space="0" w:color="auto"/>
                    <w:bottom w:val="none" w:sz="0" w:space="0" w:color="auto"/>
                    <w:right w:val="none" w:sz="0" w:space="0" w:color="auto"/>
                  </w:divBdr>
                </w:div>
              </w:divsChild>
            </w:div>
            <w:div w:id="298612990">
              <w:marLeft w:val="0"/>
              <w:marRight w:val="0"/>
              <w:marTop w:val="0"/>
              <w:marBottom w:val="0"/>
              <w:divBdr>
                <w:top w:val="none" w:sz="0" w:space="0" w:color="auto"/>
                <w:left w:val="none" w:sz="0" w:space="0" w:color="auto"/>
                <w:bottom w:val="none" w:sz="0" w:space="0" w:color="auto"/>
                <w:right w:val="none" w:sz="0" w:space="0" w:color="auto"/>
              </w:divBdr>
            </w:div>
            <w:div w:id="722412163">
              <w:marLeft w:val="0"/>
              <w:marRight w:val="0"/>
              <w:marTop w:val="0"/>
              <w:marBottom w:val="0"/>
              <w:divBdr>
                <w:top w:val="none" w:sz="0" w:space="0" w:color="auto"/>
                <w:left w:val="none" w:sz="0" w:space="0" w:color="auto"/>
                <w:bottom w:val="none" w:sz="0" w:space="0" w:color="auto"/>
                <w:right w:val="none" w:sz="0" w:space="0" w:color="auto"/>
              </w:divBdr>
              <w:divsChild>
                <w:div w:id="905607571">
                  <w:marLeft w:val="0"/>
                  <w:marRight w:val="0"/>
                  <w:marTop w:val="0"/>
                  <w:marBottom w:val="0"/>
                  <w:divBdr>
                    <w:top w:val="none" w:sz="0" w:space="0" w:color="auto"/>
                    <w:left w:val="none" w:sz="0" w:space="0" w:color="auto"/>
                    <w:bottom w:val="none" w:sz="0" w:space="0" w:color="auto"/>
                    <w:right w:val="none" w:sz="0" w:space="0" w:color="auto"/>
                  </w:divBdr>
                </w:div>
              </w:divsChild>
            </w:div>
            <w:div w:id="796412984">
              <w:marLeft w:val="0"/>
              <w:marRight w:val="0"/>
              <w:marTop w:val="0"/>
              <w:marBottom w:val="0"/>
              <w:divBdr>
                <w:top w:val="none" w:sz="0" w:space="0" w:color="auto"/>
                <w:left w:val="none" w:sz="0" w:space="0" w:color="auto"/>
                <w:bottom w:val="none" w:sz="0" w:space="0" w:color="auto"/>
                <w:right w:val="none" w:sz="0" w:space="0" w:color="auto"/>
              </w:divBdr>
              <w:divsChild>
                <w:div w:id="578901069">
                  <w:marLeft w:val="0"/>
                  <w:marRight w:val="0"/>
                  <w:marTop w:val="0"/>
                  <w:marBottom w:val="0"/>
                  <w:divBdr>
                    <w:top w:val="none" w:sz="0" w:space="0" w:color="auto"/>
                    <w:left w:val="none" w:sz="0" w:space="0" w:color="auto"/>
                    <w:bottom w:val="none" w:sz="0" w:space="0" w:color="auto"/>
                    <w:right w:val="none" w:sz="0" w:space="0" w:color="auto"/>
                  </w:divBdr>
                </w:div>
              </w:divsChild>
            </w:div>
            <w:div w:id="895160693">
              <w:marLeft w:val="0"/>
              <w:marRight w:val="0"/>
              <w:marTop w:val="0"/>
              <w:marBottom w:val="0"/>
              <w:divBdr>
                <w:top w:val="none" w:sz="0" w:space="0" w:color="auto"/>
                <w:left w:val="none" w:sz="0" w:space="0" w:color="auto"/>
                <w:bottom w:val="none" w:sz="0" w:space="0" w:color="auto"/>
                <w:right w:val="none" w:sz="0" w:space="0" w:color="auto"/>
              </w:divBdr>
              <w:divsChild>
                <w:div w:id="990015717">
                  <w:marLeft w:val="0"/>
                  <w:marRight w:val="0"/>
                  <w:marTop w:val="0"/>
                  <w:marBottom w:val="0"/>
                  <w:divBdr>
                    <w:top w:val="none" w:sz="0" w:space="0" w:color="auto"/>
                    <w:left w:val="none" w:sz="0" w:space="0" w:color="auto"/>
                    <w:bottom w:val="none" w:sz="0" w:space="0" w:color="auto"/>
                    <w:right w:val="none" w:sz="0" w:space="0" w:color="auto"/>
                  </w:divBdr>
                </w:div>
              </w:divsChild>
            </w:div>
            <w:div w:id="909080436">
              <w:marLeft w:val="0"/>
              <w:marRight w:val="0"/>
              <w:marTop w:val="0"/>
              <w:marBottom w:val="0"/>
              <w:divBdr>
                <w:top w:val="none" w:sz="0" w:space="0" w:color="auto"/>
                <w:left w:val="none" w:sz="0" w:space="0" w:color="auto"/>
                <w:bottom w:val="none" w:sz="0" w:space="0" w:color="auto"/>
                <w:right w:val="none" w:sz="0" w:space="0" w:color="auto"/>
              </w:divBdr>
              <w:divsChild>
                <w:div w:id="1940209837">
                  <w:marLeft w:val="0"/>
                  <w:marRight w:val="0"/>
                  <w:marTop w:val="0"/>
                  <w:marBottom w:val="0"/>
                  <w:divBdr>
                    <w:top w:val="none" w:sz="0" w:space="0" w:color="auto"/>
                    <w:left w:val="none" w:sz="0" w:space="0" w:color="auto"/>
                    <w:bottom w:val="none" w:sz="0" w:space="0" w:color="auto"/>
                    <w:right w:val="none" w:sz="0" w:space="0" w:color="auto"/>
                  </w:divBdr>
                </w:div>
              </w:divsChild>
            </w:div>
            <w:div w:id="1166281573">
              <w:marLeft w:val="0"/>
              <w:marRight w:val="0"/>
              <w:marTop w:val="0"/>
              <w:marBottom w:val="0"/>
              <w:divBdr>
                <w:top w:val="none" w:sz="0" w:space="0" w:color="auto"/>
                <w:left w:val="none" w:sz="0" w:space="0" w:color="auto"/>
                <w:bottom w:val="none" w:sz="0" w:space="0" w:color="auto"/>
                <w:right w:val="none" w:sz="0" w:space="0" w:color="auto"/>
              </w:divBdr>
              <w:divsChild>
                <w:div w:id="1705516089">
                  <w:marLeft w:val="0"/>
                  <w:marRight w:val="0"/>
                  <w:marTop w:val="0"/>
                  <w:marBottom w:val="0"/>
                  <w:divBdr>
                    <w:top w:val="none" w:sz="0" w:space="0" w:color="auto"/>
                    <w:left w:val="none" w:sz="0" w:space="0" w:color="auto"/>
                    <w:bottom w:val="none" w:sz="0" w:space="0" w:color="auto"/>
                    <w:right w:val="none" w:sz="0" w:space="0" w:color="auto"/>
                  </w:divBdr>
                </w:div>
              </w:divsChild>
            </w:div>
            <w:div w:id="1673486130">
              <w:marLeft w:val="0"/>
              <w:marRight w:val="0"/>
              <w:marTop w:val="0"/>
              <w:marBottom w:val="0"/>
              <w:divBdr>
                <w:top w:val="none" w:sz="0" w:space="0" w:color="auto"/>
                <w:left w:val="none" w:sz="0" w:space="0" w:color="auto"/>
                <w:bottom w:val="none" w:sz="0" w:space="0" w:color="auto"/>
                <w:right w:val="none" w:sz="0" w:space="0" w:color="auto"/>
              </w:divBdr>
              <w:divsChild>
                <w:div w:id="1344016965">
                  <w:marLeft w:val="0"/>
                  <w:marRight w:val="0"/>
                  <w:marTop w:val="0"/>
                  <w:marBottom w:val="0"/>
                  <w:divBdr>
                    <w:top w:val="none" w:sz="0" w:space="0" w:color="auto"/>
                    <w:left w:val="none" w:sz="0" w:space="0" w:color="auto"/>
                    <w:bottom w:val="none" w:sz="0" w:space="0" w:color="auto"/>
                    <w:right w:val="none" w:sz="0" w:space="0" w:color="auto"/>
                  </w:divBdr>
                </w:div>
              </w:divsChild>
            </w:div>
            <w:div w:id="1789549810">
              <w:marLeft w:val="0"/>
              <w:marRight w:val="0"/>
              <w:marTop w:val="0"/>
              <w:marBottom w:val="0"/>
              <w:divBdr>
                <w:top w:val="none" w:sz="0" w:space="0" w:color="auto"/>
                <w:left w:val="none" w:sz="0" w:space="0" w:color="auto"/>
                <w:bottom w:val="none" w:sz="0" w:space="0" w:color="auto"/>
                <w:right w:val="none" w:sz="0" w:space="0" w:color="auto"/>
              </w:divBdr>
              <w:divsChild>
                <w:div w:id="4584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86774">
          <w:marLeft w:val="0"/>
          <w:marRight w:val="0"/>
          <w:marTop w:val="0"/>
          <w:marBottom w:val="0"/>
          <w:divBdr>
            <w:top w:val="none" w:sz="0" w:space="0" w:color="auto"/>
            <w:left w:val="none" w:sz="0" w:space="0" w:color="auto"/>
            <w:bottom w:val="none" w:sz="0" w:space="0" w:color="auto"/>
            <w:right w:val="none" w:sz="0" w:space="0" w:color="auto"/>
          </w:divBdr>
        </w:div>
        <w:div w:id="1750149490">
          <w:marLeft w:val="0"/>
          <w:marRight w:val="0"/>
          <w:marTop w:val="0"/>
          <w:marBottom w:val="0"/>
          <w:divBdr>
            <w:top w:val="none" w:sz="0" w:space="0" w:color="auto"/>
            <w:left w:val="none" w:sz="0" w:space="0" w:color="auto"/>
            <w:bottom w:val="none" w:sz="0" w:space="0" w:color="auto"/>
            <w:right w:val="none" w:sz="0" w:space="0" w:color="auto"/>
          </w:divBdr>
        </w:div>
        <w:div w:id="1839078421">
          <w:marLeft w:val="0"/>
          <w:marRight w:val="0"/>
          <w:marTop w:val="0"/>
          <w:marBottom w:val="0"/>
          <w:divBdr>
            <w:top w:val="none" w:sz="0" w:space="0" w:color="auto"/>
            <w:left w:val="none" w:sz="0" w:space="0" w:color="auto"/>
            <w:bottom w:val="none" w:sz="0" w:space="0" w:color="auto"/>
            <w:right w:val="none" w:sz="0" w:space="0" w:color="auto"/>
          </w:divBdr>
        </w:div>
        <w:div w:id="1869219328">
          <w:marLeft w:val="0"/>
          <w:marRight w:val="0"/>
          <w:marTop w:val="0"/>
          <w:marBottom w:val="0"/>
          <w:divBdr>
            <w:top w:val="none" w:sz="0" w:space="0" w:color="auto"/>
            <w:left w:val="none" w:sz="0" w:space="0" w:color="auto"/>
            <w:bottom w:val="none" w:sz="0" w:space="0" w:color="auto"/>
            <w:right w:val="none" w:sz="0" w:space="0" w:color="auto"/>
          </w:divBdr>
        </w:div>
        <w:div w:id="1982269393">
          <w:marLeft w:val="0"/>
          <w:marRight w:val="0"/>
          <w:marTop w:val="0"/>
          <w:marBottom w:val="0"/>
          <w:divBdr>
            <w:top w:val="none" w:sz="0" w:space="0" w:color="auto"/>
            <w:left w:val="none" w:sz="0" w:space="0" w:color="auto"/>
            <w:bottom w:val="none" w:sz="0" w:space="0" w:color="auto"/>
            <w:right w:val="none" w:sz="0" w:space="0" w:color="auto"/>
          </w:divBdr>
        </w:div>
        <w:div w:id="2031450601">
          <w:marLeft w:val="0"/>
          <w:marRight w:val="0"/>
          <w:marTop w:val="0"/>
          <w:marBottom w:val="0"/>
          <w:divBdr>
            <w:top w:val="none" w:sz="0" w:space="0" w:color="auto"/>
            <w:left w:val="none" w:sz="0" w:space="0" w:color="auto"/>
            <w:bottom w:val="none" w:sz="0" w:space="0" w:color="auto"/>
            <w:right w:val="none" w:sz="0" w:space="0" w:color="auto"/>
          </w:divBdr>
        </w:div>
        <w:div w:id="2035885895">
          <w:marLeft w:val="-75"/>
          <w:marRight w:val="0"/>
          <w:marTop w:val="30"/>
          <w:marBottom w:val="30"/>
          <w:divBdr>
            <w:top w:val="none" w:sz="0" w:space="0" w:color="auto"/>
            <w:left w:val="none" w:sz="0" w:space="0" w:color="auto"/>
            <w:bottom w:val="none" w:sz="0" w:space="0" w:color="auto"/>
            <w:right w:val="none" w:sz="0" w:space="0" w:color="auto"/>
          </w:divBdr>
          <w:divsChild>
            <w:div w:id="512651411">
              <w:marLeft w:val="0"/>
              <w:marRight w:val="0"/>
              <w:marTop w:val="0"/>
              <w:marBottom w:val="0"/>
              <w:divBdr>
                <w:top w:val="none" w:sz="0" w:space="0" w:color="auto"/>
                <w:left w:val="none" w:sz="0" w:space="0" w:color="auto"/>
                <w:bottom w:val="none" w:sz="0" w:space="0" w:color="auto"/>
                <w:right w:val="none" w:sz="0" w:space="0" w:color="auto"/>
              </w:divBdr>
              <w:divsChild>
                <w:div w:id="745497364">
                  <w:marLeft w:val="0"/>
                  <w:marRight w:val="0"/>
                  <w:marTop w:val="0"/>
                  <w:marBottom w:val="0"/>
                  <w:divBdr>
                    <w:top w:val="none" w:sz="0" w:space="0" w:color="auto"/>
                    <w:left w:val="none" w:sz="0" w:space="0" w:color="auto"/>
                    <w:bottom w:val="none" w:sz="0" w:space="0" w:color="auto"/>
                    <w:right w:val="none" w:sz="0" w:space="0" w:color="auto"/>
                  </w:divBdr>
                </w:div>
              </w:divsChild>
            </w:div>
            <w:div w:id="1106386274">
              <w:marLeft w:val="0"/>
              <w:marRight w:val="0"/>
              <w:marTop w:val="0"/>
              <w:marBottom w:val="0"/>
              <w:divBdr>
                <w:top w:val="none" w:sz="0" w:space="0" w:color="auto"/>
                <w:left w:val="none" w:sz="0" w:space="0" w:color="auto"/>
                <w:bottom w:val="none" w:sz="0" w:space="0" w:color="auto"/>
                <w:right w:val="none" w:sz="0" w:space="0" w:color="auto"/>
              </w:divBdr>
              <w:divsChild>
                <w:div w:id="1093741159">
                  <w:marLeft w:val="0"/>
                  <w:marRight w:val="0"/>
                  <w:marTop w:val="0"/>
                  <w:marBottom w:val="0"/>
                  <w:divBdr>
                    <w:top w:val="none" w:sz="0" w:space="0" w:color="auto"/>
                    <w:left w:val="none" w:sz="0" w:space="0" w:color="auto"/>
                    <w:bottom w:val="none" w:sz="0" w:space="0" w:color="auto"/>
                    <w:right w:val="none" w:sz="0" w:space="0" w:color="auto"/>
                  </w:divBdr>
                </w:div>
              </w:divsChild>
            </w:div>
            <w:div w:id="1166827287">
              <w:marLeft w:val="0"/>
              <w:marRight w:val="0"/>
              <w:marTop w:val="0"/>
              <w:marBottom w:val="0"/>
              <w:divBdr>
                <w:top w:val="none" w:sz="0" w:space="0" w:color="auto"/>
                <w:left w:val="none" w:sz="0" w:space="0" w:color="auto"/>
                <w:bottom w:val="none" w:sz="0" w:space="0" w:color="auto"/>
                <w:right w:val="none" w:sz="0" w:space="0" w:color="auto"/>
              </w:divBdr>
              <w:divsChild>
                <w:div w:id="233053721">
                  <w:marLeft w:val="0"/>
                  <w:marRight w:val="0"/>
                  <w:marTop w:val="0"/>
                  <w:marBottom w:val="0"/>
                  <w:divBdr>
                    <w:top w:val="none" w:sz="0" w:space="0" w:color="auto"/>
                    <w:left w:val="none" w:sz="0" w:space="0" w:color="auto"/>
                    <w:bottom w:val="none" w:sz="0" w:space="0" w:color="auto"/>
                    <w:right w:val="none" w:sz="0" w:space="0" w:color="auto"/>
                  </w:divBdr>
                </w:div>
              </w:divsChild>
            </w:div>
            <w:div w:id="1298147266">
              <w:marLeft w:val="0"/>
              <w:marRight w:val="0"/>
              <w:marTop w:val="0"/>
              <w:marBottom w:val="0"/>
              <w:divBdr>
                <w:top w:val="none" w:sz="0" w:space="0" w:color="auto"/>
                <w:left w:val="none" w:sz="0" w:space="0" w:color="auto"/>
                <w:bottom w:val="none" w:sz="0" w:space="0" w:color="auto"/>
                <w:right w:val="none" w:sz="0" w:space="0" w:color="auto"/>
              </w:divBdr>
              <w:divsChild>
                <w:div w:id="413552054">
                  <w:marLeft w:val="0"/>
                  <w:marRight w:val="0"/>
                  <w:marTop w:val="0"/>
                  <w:marBottom w:val="0"/>
                  <w:divBdr>
                    <w:top w:val="none" w:sz="0" w:space="0" w:color="auto"/>
                    <w:left w:val="none" w:sz="0" w:space="0" w:color="auto"/>
                    <w:bottom w:val="none" w:sz="0" w:space="0" w:color="auto"/>
                    <w:right w:val="none" w:sz="0" w:space="0" w:color="auto"/>
                  </w:divBdr>
                </w:div>
              </w:divsChild>
            </w:div>
            <w:div w:id="1372464257">
              <w:marLeft w:val="0"/>
              <w:marRight w:val="0"/>
              <w:marTop w:val="0"/>
              <w:marBottom w:val="0"/>
              <w:divBdr>
                <w:top w:val="none" w:sz="0" w:space="0" w:color="auto"/>
                <w:left w:val="none" w:sz="0" w:space="0" w:color="auto"/>
                <w:bottom w:val="none" w:sz="0" w:space="0" w:color="auto"/>
                <w:right w:val="none" w:sz="0" w:space="0" w:color="auto"/>
              </w:divBdr>
              <w:divsChild>
                <w:div w:id="1482581148">
                  <w:marLeft w:val="0"/>
                  <w:marRight w:val="0"/>
                  <w:marTop w:val="0"/>
                  <w:marBottom w:val="0"/>
                  <w:divBdr>
                    <w:top w:val="none" w:sz="0" w:space="0" w:color="auto"/>
                    <w:left w:val="none" w:sz="0" w:space="0" w:color="auto"/>
                    <w:bottom w:val="none" w:sz="0" w:space="0" w:color="auto"/>
                    <w:right w:val="none" w:sz="0" w:space="0" w:color="auto"/>
                  </w:divBdr>
                </w:div>
              </w:divsChild>
            </w:div>
            <w:div w:id="1484851259">
              <w:marLeft w:val="0"/>
              <w:marRight w:val="0"/>
              <w:marTop w:val="0"/>
              <w:marBottom w:val="0"/>
              <w:divBdr>
                <w:top w:val="none" w:sz="0" w:space="0" w:color="auto"/>
                <w:left w:val="none" w:sz="0" w:space="0" w:color="auto"/>
                <w:bottom w:val="none" w:sz="0" w:space="0" w:color="auto"/>
                <w:right w:val="none" w:sz="0" w:space="0" w:color="auto"/>
              </w:divBdr>
              <w:divsChild>
                <w:div w:id="1619802055">
                  <w:marLeft w:val="0"/>
                  <w:marRight w:val="0"/>
                  <w:marTop w:val="0"/>
                  <w:marBottom w:val="0"/>
                  <w:divBdr>
                    <w:top w:val="none" w:sz="0" w:space="0" w:color="auto"/>
                    <w:left w:val="none" w:sz="0" w:space="0" w:color="auto"/>
                    <w:bottom w:val="none" w:sz="0" w:space="0" w:color="auto"/>
                    <w:right w:val="none" w:sz="0" w:space="0" w:color="auto"/>
                  </w:divBdr>
                </w:div>
              </w:divsChild>
            </w:div>
            <w:div w:id="1544712100">
              <w:marLeft w:val="0"/>
              <w:marRight w:val="0"/>
              <w:marTop w:val="0"/>
              <w:marBottom w:val="0"/>
              <w:divBdr>
                <w:top w:val="none" w:sz="0" w:space="0" w:color="auto"/>
                <w:left w:val="none" w:sz="0" w:space="0" w:color="auto"/>
                <w:bottom w:val="none" w:sz="0" w:space="0" w:color="auto"/>
                <w:right w:val="none" w:sz="0" w:space="0" w:color="auto"/>
              </w:divBdr>
            </w:div>
            <w:div w:id="1619293271">
              <w:marLeft w:val="0"/>
              <w:marRight w:val="0"/>
              <w:marTop w:val="0"/>
              <w:marBottom w:val="0"/>
              <w:divBdr>
                <w:top w:val="none" w:sz="0" w:space="0" w:color="auto"/>
                <w:left w:val="none" w:sz="0" w:space="0" w:color="auto"/>
                <w:bottom w:val="none" w:sz="0" w:space="0" w:color="auto"/>
                <w:right w:val="none" w:sz="0" w:space="0" w:color="auto"/>
              </w:divBdr>
              <w:divsChild>
                <w:div w:id="1195996935">
                  <w:marLeft w:val="0"/>
                  <w:marRight w:val="0"/>
                  <w:marTop w:val="0"/>
                  <w:marBottom w:val="0"/>
                  <w:divBdr>
                    <w:top w:val="none" w:sz="0" w:space="0" w:color="auto"/>
                    <w:left w:val="none" w:sz="0" w:space="0" w:color="auto"/>
                    <w:bottom w:val="none" w:sz="0" w:space="0" w:color="auto"/>
                    <w:right w:val="none" w:sz="0" w:space="0" w:color="auto"/>
                  </w:divBdr>
                </w:div>
              </w:divsChild>
            </w:div>
            <w:div w:id="1715690520">
              <w:marLeft w:val="0"/>
              <w:marRight w:val="0"/>
              <w:marTop w:val="0"/>
              <w:marBottom w:val="0"/>
              <w:divBdr>
                <w:top w:val="none" w:sz="0" w:space="0" w:color="auto"/>
                <w:left w:val="none" w:sz="0" w:space="0" w:color="auto"/>
                <w:bottom w:val="none" w:sz="0" w:space="0" w:color="auto"/>
                <w:right w:val="none" w:sz="0" w:space="0" w:color="auto"/>
              </w:divBdr>
              <w:divsChild>
                <w:div w:id="1043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04778">
          <w:marLeft w:val="0"/>
          <w:marRight w:val="0"/>
          <w:marTop w:val="0"/>
          <w:marBottom w:val="0"/>
          <w:divBdr>
            <w:top w:val="none" w:sz="0" w:space="0" w:color="auto"/>
            <w:left w:val="none" w:sz="0" w:space="0" w:color="auto"/>
            <w:bottom w:val="none" w:sz="0" w:space="0" w:color="auto"/>
            <w:right w:val="none" w:sz="0" w:space="0" w:color="auto"/>
          </w:divBdr>
        </w:div>
        <w:div w:id="2096438063">
          <w:marLeft w:val="-75"/>
          <w:marRight w:val="0"/>
          <w:marTop w:val="30"/>
          <w:marBottom w:val="30"/>
          <w:divBdr>
            <w:top w:val="none" w:sz="0" w:space="0" w:color="auto"/>
            <w:left w:val="none" w:sz="0" w:space="0" w:color="auto"/>
            <w:bottom w:val="none" w:sz="0" w:space="0" w:color="auto"/>
            <w:right w:val="none" w:sz="0" w:space="0" w:color="auto"/>
          </w:divBdr>
          <w:divsChild>
            <w:div w:id="4207601">
              <w:marLeft w:val="0"/>
              <w:marRight w:val="0"/>
              <w:marTop w:val="0"/>
              <w:marBottom w:val="0"/>
              <w:divBdr>
                <w:top w:val="none" w:sz="0" w:space="0" w:color="auto"/>
                <w:left w:val="none" w:sz="0" w:space="0" w:color="auto"/>
                <w:bottom w:val="none" w:sz="0" w:space="0" w:color="auto"/>
                <w:right w:val="none" w:sz="0" w:space="0" w:color="auto"/>
              </w:divBdr>
            </w:div>
            <w:div w:id="247007451">
              <w:marLeft w:val="0"/>
              <w:marRight w:val="0"/>
              <w:marTop w:val="0"/>
              <w:marBottom w:val="0"/>
              <w:divBdr>
                <w:top w:val="none" w:sz="0" w:space="0" w:color="auto"/>
                <w:left w:val="none" w:sz="0" w:space="0" w:color="auto"/>
                <w:bottom w:val="none" w:sz="0" w:space="0" w:color="auto"/>
                <w:right w:val="none" w:sz="0" w:space="0" w:color="auto"/>
              </w:divBdr>
              <w:divsChild>
                <w:div w:id="522549664">
                  <w:marLeft w:val="0"/>
                  <w:marRight w:val="0"/>
                  <w:marTop w:val="0"/>
                  <w:marBottom w:val="0"/>
                  <w:divBdr>
                    <w:top w:val="none" w:sz="0" w:space="0" w:color="auto"/>
                    <w:left w:val="none" w:sz="0" w:space="0" w:color="auto"/>
                    <w:bottom w:val="none" w:sz="0" w:space="0" w:color="auto"/>
                    <w:right w:val="none" w:sz="0" w:space="0" w:color="auto"/>
                  </w:divBdr>
                </w:div>
              </w:divsChild>
            </w:div>
            <w:div w:id="7669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41305">
      <w:marLeft w:val="480"/>
      <w:marRight w:val="0"/>
      <w:marTop w:val="0"/>
      <w:marBottom w:val="0"/>
      <w:divBdr>
        <w:top w:val="none" w:sz="0" w:space="0" w:color="auto"/>
        <w:left w:val="none" w:sz="0" w:space="0" w:color="auto"/>
        <w:bottom w:val="none" w:sz="0" w:space="0" w:color="auto"/>
        <w:right w:val="none" w:sz="0" w:space="0" w:color="auto"/>
      </w:divBdr>
    </w:div>
    <w:div w:id="1838034960">
      <w:marLeft w:val="480"/>
      <w:marRight w:val="0"/>
      <w:marTop w:val="0"/>
      <w:marBottom w:val="0"/>
      <w:divBdr>
        <w:top w:val="none" w:sz="0" w:space="0" w:color="auto"/>
        <w:left w:val="none" w:sz="0" w:space="0" w:color="auto"/>
        <w:bottom w:val="none" w:sz="0" w:space="0" w:color="auto"/>
        <w:right w:val="none" w:sz="0" w:space="0" w:color="auto"/>
      </w:divBdr>
    </w:div>
    <w:div w:id="1838617821">
      <w:marLeft w:val="480"/>
      <w:marRight w:val="0"/>
      <w:marTop w:val="0"/>
      <w:marBottom w:val="0"/>
      <w:divBdr>
        <w:top w:val="none" w:sz="0" w:space="0" w:color="auto"/>
        <w:left w:val="none" w:sz="0" w:space="0" w:color="auto"/>
        <w:bottom w:val="none" w:sz="0" w:space="0" w:color="auto"/>
        <w:right w:val="none" w:sz="0" w:space="0" w:color="auto"/>
      </w:divBdr>
    </w:div>
    <w:div w:id="1841312038">
      <w:bodyDiv w:val="1"/>
      <w:marLeft w:val="0"/>
      <w:marRight w:val="0"/>
      <w:marTop w:val="0"/>
      <w:marBottom w:val="0"/>
      <w:divBdr>
        <w:top w:val="none" w:sz="0" w:space="0" w:color="auto"/>
        <w:left w:val="none" w:sz="0" w:space="0" w:color="auto"/>
        <w:bottom w:val="none" w:sz="0" w:space="0" w:color="auto"/>
        <w:right w:val="none" w:sz="0" w:space="0" w:color="auto"/>
      </w:divBdr>
      <w:divsChild>
        <w:div w:id="127979600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41848555">
      <w:bodyDiv w:val="1"/>
      <w:marLeft w:val="0"/>
      <w:marRight w:val="0"/>
      <w:marTop w:val="0"/>
      <w:marBottom w:val="0"/>
      <w:divBdr>
        <w:top w:val="none" w:sz="0" w:space="0" w:color="auto"/>
        <w:left w:val="none" w:sz="0" w:space="0" w:color="auto"/>
        <w:bottom w:val="none" w:sz="0" w:space="0" w:color="auto"/>
        <w:right w:val="none" w:sz="0" w:space="0" w:color="auto"/>
      </w:divBdr>
    </w:div>
    <w:div w:id="1841969123">
      <w:marLeft w:val="480"/>
      <w:marRight w:val="0"/>
      <w:marTop w:val="0"/>
      <w:marBottom w:val="0"/>
      <w:divBdr>
        <w:top w:val="none" w:sz="0" w:space="0" w:color="auto"/>
        <w:left w:val="none" w:sz="0" w:space="0" w:color="auto"/>
        <w:bottom w:val="none" w:sz="0" w:space="0" w:color="auto"/>
        <w:right w:val="none" w:sz="0" w:space="0" w:color="auto"/>
      </w:divBdr>
    </w:div>
    <w:div w:id="1846092887">
      <w:bodyDiv w:val="1"/>
      <w:marLeft w:val="0"/>
      <w:marRight w:val="0"/>
      <w:marTop w:val="0"/>
      <w:marBottom w:val="0"/>
      <w:divBdr>
        <w:top w:val="none" w:sz="0" w:space="0" w:color="auto"/>
        <w:left w:val="none" w:sz="0" w:space="0" w:color="auto"/>
        <w:bottom w:val="none" w:sz="0" w:space="0" w:color="auto"/>
        <w:right w:val="none" w:sz="0" w:space="0" w:color="auto"/>
      </w:divBdr>
      <w:divsChild>
        <w:div w:id="176384290">
          <w:marLeft w:val="0"/>
          <w:marRight w:val="0"/>
          <w:marTop w:val="0"/>
          <w:marBottom w:val="0"/>
          <w:divBdr>
            <w:top w:val="none" w:sz="0" w:space="0" w:color="auto"/>
            <w:left w:val="none" w:sz="0" w:space="0" w:color="auto"/>
            <w:bottom w:val="none" w:sz="0" w:space="0" w:color="auto"/>
            <w:right w:val="none" w:sz="0" w:space="0" w:color="auto"/>
          </w:divBdr>
          <w:divsChild>
            <w:div w:id="1725062678">
              <w:marLeft w:val="0"/>
              <w:marRight w:val="0"/>
              <w:marTop w:val="30"/>
              <w:marBottom w:val="30"/>
              <w:divBdr>
                <w:top w:val="none" w:sz="0" w:space="0" w:color="auto"/>
                <w:left w:val="none" w:sz="0" w:space="0" w:color="auto"/>
                <w:bottom w:val="none" w:sz="0" w:space="0" w:color="auto"/>
                <w:right w:val="none" w:sz="0" w:space="0" w:color="auto"/>
              </w:divBdr>
              <w:divsChild>
                <w:div w:id="232088561">
                  <w:marLeft w:val="0"/>
                  <w:marRight w:val="0"/>
                  <w:marTop w:val="0"/>
                  <w:marBottom w:val="0"/>
                  <w:divBdr>
                    <w:top w:val="none" w:sz="0" w:space="0" w:color="auto"/>
                    <w:left w:val="none" w:sz="0" w:space="0" w:color="auto"/>
                    <w:bottom w:val="none" w:sz="0" w:space="0" w:color="auto"/>
                    <w:right w:val="none" w:sz="0" w:space="0" w:color="auto"/>
                  </w:divBdr>
                  <w:divsChild>
                    <w:div w:id="447554740">
                      <w:marLeft w:val="0"/>
                      <w:marRight w:val="0"/>
                      <w:marTop w:val="0"/>
                      <w:marBottom w:val="0"/>
                      <w:divBdr>
                        <w:top w:val="none" w:sz="0" w:space="0" w:color="auto"/>
                        <w:left w:val="none" w:sz="0" w:space="0" w:color="auto"/>
                        <w:bottom w:val="none" w:sz="0" w:space="0" w:color="auto"/>
                        <w:right w:val="none" w:sz="0" w:space="0" w:color="auto"/>
                      </w:divBdr>
                    </w:div>
                    <w:div w:id="800153031">
                      <w:marLeft w:val="0"/>
                      <w:marRight w:val="0"/>
                      <w:marTop w:val="0"/>
                      <w:marBottom w:val="0"/>
                      <w:divBdr>
                        <w:top w:val="none" w:sz="0" w:space="0" w:color="auto"/>
                        <w:left w:val="none" w:sz="0" w:space="0" w:color="auto"/>
                        <w:bottom w:val="none" w:sz="0" w:space="0" w:color="auto"/>
                        <w:right w:val="none" w:sz="0" w:space="0" w:color="auto"/>
                      </w:divBdr>
                    </w:div>
                    <w:div w:id="1025447057">
                      <w:marLeft w:val="0"/>
                      <w:marRight w:val="0"/>
                      <w:marTop w:val="0"/>
                      <w:marBottom w:val="0"/>
                      <w:divBdr>
                        <w:top w:val="none" w:sz="0" w:space="0" w:color="auto"/>
                        <w:left w:val="none" w:sz="0" w:space="0" w:color="auto"/>
                        <w:bottom w:val="none" w:sz="0" w:space="0" w:color="auto"/>
                        <w:right w:val="none" w:sz="0" w:space="0" w:color="auto"/>
                      </w:divBdr>
                    </w:div>
                  </w:divsChild>
                </w:div>
                <w:div w:id="41432246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71341">
          <w:marLeft w:val="0"/>
          <w:marRight w:val="0"/>
          <w:marTop w:val="0"/>
          <w:marBottom w:val="0"/>
          <w:divBdr>
            <w:top w:val="none" w:sz="0" w:space="0" w:color="auto"/>
            <w:left w:val="none" w:sz="0" w:space="0" w:color="auto"/>
            <w:bottom w:val="none" w:sz="0" w:space="0" w:color="auto"/>
            <w:right w:val="none" w:sz="0" w:space="0" w:color="auto"/>
          </w:divBdr>
          <w:divsChild>
            <w:div w:id="635717099">
              <w:marLeft w:val="0"/>
              <w:marRight w:val="0"/>
              <w:marTop w:val="0"/>
              <w:marBottom w:val="0"/>
              <w:divBdr>
                <w:top w:val="none" w:sz="0" w:space="0" w:color="auto"/>
                <w:left w:val="none" w:sz="0" w:space="0" w:color="auto"/>
                <w:bottom w:val="none" w:sz="0" w:space="0" w:color="auto"/>
                <w:right w:val="none" w:sz="0" w:space="0" w:color="auto"/>
              </w:divBdr>
            </w:div>
            <w:div w:id="863321392">
              <w:marLeft w:val="0"/>
              <w:marRight w:val="0"/>
              <w:marTop w:val="0"/>
              <w:marBottom w:val="0"/>
              <w:divBdr>
                <w:top w:val="none" w:sz="0" w:space="0" w:color="auto"/>
                <w:left w:val="none" w:sz="0" w:space="0" w:color="auto"/>
                <w:bottom w:val="none" w:sz="0" w:space="0" w:color="auto"/>
                <w:right w:val="none" w:sz="0" w:space="0" w:color="auto"/>
              </w:divBdr>
            </w:div>
            <w:div w:id="1971593706">
              <w:marLeft w:val="0"/>
              <w:marRight w:val="0"/>
              <w:marTop w:val="0"/>
              <w:marBottom w:val="0"/>
              <w:divBdr>
                <w:top w:val="none" w:sz="0" w:space="0" w:color="auto"/>
                <w:left w:val="none" w:sz="0" w:space="0" w:color="auto"/>
                <w:bottom w:val="none" w:sz="0" w:space="0" w:color="auto"/>
                <w:right w:val="none" w:sz="0" w:space="0" w:color="auto"/>
              </w:divBdr>
            </w:div>
          </w:divsChild>
        </w:div>
        <w:div w:id="345793788">
          <w:marLeft w:val="0"/>
          <w:marRight w:val="0"/>
          <w:marTop w:val="0"/>
          <w:marBottom w:val="0"/>
          <w:divBdr>
            <w:top w:val="none" w:sz="0" w:space="0" w:color="auto"/>
            <w:left w:val="none" w:sz="0" w:space="0" w:color="auto"/>
            <w:bottom w:val="none" w:sz="0" w:space="0" w:color="auto"/>
            <w:right w:val="none" w:sz="0" w:space="0" w:color="auto"/>
          </w:divBdr>
          <w:divsChild>
            <w:div w:id="504562085">
              <w:marLeft w:val="0"/>
              <w:marRight w:val="0"/>
              <w:marTop w:val="30"/>
              <w:marBottom w:val="30"/>
              <w:divBdr>
                <w:top w:val="none" w:sz="0" w:space="0" w:color="auto"/>
                <w:left w:val="none" w:sz="0" w:space="0" w:color="auto"/>
                <w:bottom w:val="none" w:sz="0" w:space="0" w:color="auto"/>
                <w:right w:val="none" w:sz="0" w:space="0" w:color="auto"/>
              </w:divBdr>
              <w:divsChild>
                <w:div w:id="177698971">
                  <w:marLeft w:val="0"/>
                  <w:marRight w:val="0"/>
                  <w:marTop w:val="0"/>
                  <w:marBottom w:val="0"/>
                  <w:divBdr>
                    <w:top w:val="none" w:sz="0" w:space="0" w:color="auto"/>
                    <w:left w:val="none" w:sz="0" w:space="0" w:color="auto"/>
                    <w:bottom w:val="none" w:sz="0" w:space="0" w:color="auto"/>
                    <w:right w:val="none" w:sz="0" w:space="0" w:color="auto"/>
                  </w:divBdr>
                  <w:divsChild>
                    <w:div w:id="1164977762">
                      <w:marLeft w:val="0"/>
                      <w:marRight w:val="0"/>
                      <w:marTop w:val="0"/>
                      <w:marBottom w:val="0"/>
                      <w:divBdr>
                        <w:top w:val="none" w:sz="0" w:space="0" w:color="auto"/>
                        <w:left w:val="none" w:sz="0" w:space="0" w:color="auto"/>
                        <w:bottom w:val="none" w:sz="0" w:space="0" w:color="auto"/>
                        <w:right w:val="none" w:sz="0" w:space="0" w:color="auto"/>
                      </w:divBdr>
                    </w:div>
                  </w:divsChild>
                </w:div>
                <w:div w:id="237520560">
                  <w:marLeft w:val="0"/>
                  <w:marRight w:val="0"/>
                  <w:marTop w:val="0"/>
                  <w:marBottom w:val="0"/>
                  <w:divBdr>
                    <w:top w:val="none" w:sz="0" w:space="0" w:color="auto"/>
                    <w:left w:val="none" w:sz="0" w:space="0" w:color="auto"/>
                    <w:bottom w:val="none" w:sz="0" w:space="0" w:color="auto"/>
                    <w:right w:val="none" w:sz="0" w:space="0" w:color="auto"/>
                  </w:divBdr>
                  <w:divsChild>
                    <w:div w:id="953368564">
                      <w:marLeft w:val="0"/>
                      <w:marRight w:val="0"/>
                      <w:marTop w:val="0"/>
                      <w:marBottom w:val="0"/>
                      <w:divBdr>
                        <w:top w:val="none" w:sz="0" w:space="0" w:color="auto"/>
                        <w:left w:val="none" w:sz="0" w:space="0" w:color="auto"/>
                        <w:bottom w:val="none" w:sz="0" w:space="0" w:color="auto"/>
                        <w:right w:val="none" w:sz="0" w:space="0" w:color="auto"/>
                      </w:divBdr>
                    </w:div>
                  </w:divsChild>
                </w:div>
                <w:div w:id="295532780">
                  <w:marLeft w:val="0"/>
                  <w:marRight w:val="0"/>
                  <w:marTop w:val="0"/>
                  <w:marBottom w:val="0"/>
                  <w:divBdr>
                    <w:top w:val="none" w:sz="0" w:space="0" w:color="auto"/>
                    <w:left w:val="none" w:sz="0" w:space="0" w:color="auto"/>
                    <w:bottom w:val="none" w:sz="0" w:space="0" w:color="auto"/>
                    <w:right w:val="none" w:sz="0" w:space="0" w:color="auto"/>
                  </w:divBdr>
                  <w:divsChild>
                    <w:div w:id="487674392">
                      <w:marLeft w:val="0"/>
                      <w:marRight w:val="0"/>
                      <w:marTop w:val="0"/>
                      <w:marBottom w:val="0"/>
                      <w:divBdr>
                        <w:top w:val="none" w:sz="0" w:space="0" w:color="auto"/>
                        <w:left w:val="none" w:sz="0" w:space="0" w:color="auto"/>
                        <w:bottom w:val="none" w:sz="0" w:space="0" w:color="auto"/>
                        <w:right w:val="none" w:sz="0" w:space="0" w:color="auto"/>
                      </w:divBdr>
                    </w:div>
                  </w:divsChild>
                </w:div>
                <w:div w:id="447746925">
                  <w:marLeft w:val="0"/>
                  <w:marRight w:val="0"/>
                  <w:marTop w:val="0"/>
                  <w:marBottom w:val="0"/>
                  <w:divBdr>
                    <w:top w:val="none" w:sz="0" w:space="0" w:color="auto"/>
                    <w:left w:val="none" w:sz="0" w:space="0" w:color="auto"/>
                    <w:bottom w:val="none" w:sz="0" w:space="0" w:color="auto"/>
                    <w:right w:val="none" w:sz="0" w:space="0" w:color="auto"/>
                  </w:divBdr>
                  <w:divsChild>
                    <w:div w:id="313413621">
                      <w:marLeft w:val="0"/>
                      <w:marRight w:val="0"/>
                      <w:marTop w:val="0"/>
                      <w:marBottom w:val="0"/>
                      <w:divBdr>
                        <w:top w:val="none" w:sz="0" w:space="0" w:color="auto"/>
                        <w:left w:val="none" w:sz="0" w:space="0" w:color="auto"/>
                        <w:bottom w:val="none" w:sz="0" w:space="0" w:color="auto"/>
                        <w:right w:val="none" w:sz="0" w:space="0" w:color="auto"/>
                      </w:divBdr>
                    </w:div>
                  </w:divsChild>
                </w:div>
                <w:div w:id="518201328">
                  <w:marLeft w:val="0"/>
                  <w:marRight w:val="0"/>
                  <w:marTop w:val="0"/>
                  <w:marBottom w:val="0"/>
                  <w:divBdr>
                    <w:top w:val="none" w:sz="0" w:space="0" w:color="auto"/>
                    <w:left w:val="none" w:sz="0" w:space="0" w:color="auto"/>
                    <w:bottom w:val="none" w:sz="0" w:space="0" w:color="auto"/>
                    <w:right w:val="none" w:sz="0" w:space="0" w:color="auto"/>
                  </w:divBdr>
                  <w:divsChild>
                    <w:div w:id="1047219786">
                      <w:marLeft w:val="0"/>
                      <w:marRight w:val="0"/>
                      <w:marTop w:val="0"/>
                      <w:marBottom w:val="0"/>
                      <w:divBdr>
                        <w:top w:val="none" w:sz="0" w:space="0" w:color="auto"/>
                        <w:left w:val="none" w:sz="0" w:space="0" w:color="auto"/>
                        <w:bottom w:val="none" w:sz="0" w:space="0" w:color="auto"/>
                        <w:right w:val="none" w:sz="0" w:space="0" w:color="auto"/>
                      </w:divBdr>
                    </w:div>
                  </w:divsChild>
                </w:div>
                <w:div w:id="796533625">
                  <w:marLeft w:val="0"/>
                  <w:marRight w:val="0"/>
                  <w:marTop w:val="0"/>
                  <w:marBottom w:val="0"/>
                  <w:divBdr>
                    <w:top w:val="none" w:sz="0" w:space="0" w:color="auto"/>
                    <w:left w:val="none" w:sz="0" w:space="0" w:color="auto"/>
                    <w:bottom w:val="none" w:sz="0" w:space="0" w:color="auto"/>
                    <w:right w:val="none" w:sz="0" w:space="0" w:color="auto"/>
                  </w:divBdr>
                  <w:divsChild>
                    <w:div w:id="1992178300">
                      <w:marLeft w:val="0"/>
                      <w:marRight w:val="0"/>
                      <w:marTop w:val="0"/>
                      <w:marBottom w:val="0"/>
                      <w:divBdr>
                        <w:top w:val="none" w:sz="0" w:space="0" w:color="auto"/>
                        <w:left w:val="none" w:sz="0" w:space="0" w:color="auto"/>
                        <w:bottom w:val="none" w:sz="0" w:space="0" w:color="auto"/>
                        <w:right w:val="none" w:sz="0" w:space="0" w:color="auto"/>
                      </w:divBdr>
                    </w:div>
                  </w:divsChild>
                </w:div>
                <w:div w:id="1259489157">
                  <w:marLeft w:val="0"/>
                  <w:marRight w:val="0"/>
                  <w:marTop w:val="0"/>
                  <w:marBottom w:val="0"/>
                  <w:divBdr>
                    <w:top w:val="none" w:sz="0" w:space="0" w:color="auto"/>
                    <w:left w:val="none" w:sz="0" w:space="0" w:color="auto"/>
                    <w:bottom w:val="none" w:sz="0" w:space="0" w:color="auto"/>
                    <w:right w:val="none" w:sz="0" w:space="0" w:color="auto"/>
                  </w:divBdr>
                  <w:divsChild>
                    <w:div w:id="2025009651">
                      <w:marLeft w:val="0"/>
                      <w:marRight w:val="0"/>
                      <w:marTop w:val="0"/>
                      <w:marBottom w:val="0"/>
                      <w:divBdr>
                        <w:top w:val="none" w:sz="0" w:space="0" w:color="auto"/>
                        <w:left w:val="none" w:sz="0" w:space="0" w:color="auto"/>
                        <w:bottom w:val="none" w:sz="0" w:space="0" w:color="auto"/>
                        <w:right w:val="none" w:sz="0" w:space="0" w:color="auto"/>
                      </w:divBdr>
                    </w:div>
                  </w:divsChild>
                </w:div>
                <w:div w:id="1585795315">
                  <w:marLeft w:val="0"/>
                  <w:marRight w:val="0"/>
                  <w:marTop w:val="0"/>
                  <w:marBottom w:val="0"/>
                  <w:divBdr>
                    <w:top w:val="none" w:sz="0" w:space="0" w:color="auto"/>
                    <w:left w:val="none" w:sz="0" w:space="0" w:color="auto"/>
                    <w:bottom w:val="none" w:sz="0" w:space="0" w:color="auto"/>
                    <w:right w:val="none" w:sz="0" w:space="0" w:color="auto"/>
                  </w:divBdr>
                  <w:divsChild>
                    <w:div w:id="1253471782">
                      <w:marLeft w:val="0"/>
                      <w:marRight w:val="0"/>
                      <w:marTop w:val="0"/>
                      <w:marBottom w:val="0"/>
                      <w:divBdr>
                        <w:top w:val="none" w:sz="0" w:space="0" w:color="auto"/>
                        <w:left w:val="none" w:sz="0" w:space="0" w:color="auto"/>
                        <w:bottom w:val="none" w:sz="0" w:space="0" w:color="auto"/>
                        <w:right w:val="none" w:sz="0" w:space="0" w:color="auto"/>
                      </w:divBdr>
                    </w:div>
                    <w:div w:id="1283071114">
                      <w:marLeft w:val="0"/>
                      <w:marRight w:val="0"/>
                      <w:marTop w:val="0"/>
                      <w:marBottom w:val="0"/>
                      <w:divBdr>
                        <w:top w:val="none" w:sz="0" w:space="0" w:color="auto"/>
                        <w:left w:val="none" w:sz="0" w:space="0" w:color="auto"/>
                        <w:bottom w:val="none" w:sz="0" w:space="0" w:color="auto"/>
                        <w:right w:val="none" w:sz="0" w:space="0" w:color="auto"/>
                      </w:divBdr>
                    </w:div>
                  </w:divsChild>
                </w:div>
                <w:div w:id="20863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81094">
          <w:marLeft w:val="0"/>
          <w:marRight w:val="0"/>
          <w:marTop w:val="0"/>
          <w:marBottom w:val="0"/>
          <w:divBdr>
            <w:top w:val="none" w:sz="0" w:space="0" w:color="auto"/>
            <w:left w:val="none" w:sz="0" w:space="0" w:color="auto"/>
            <w:bottom w:val="none" w:sz="0" w:space="0" w:color="auto"/>
            <w:right w:val="none" w:sz="0" w:space="0" w:color="auto"/>
          </w:divBdr>
          <w:divsChild>
            <w:div w:id="460080030">
              <w:marLeft w:val="0"/>
              <w:marRight w:val="0"/>
              <w:marTop w:val="30"/>
              <w:marBottom w:val="30"/>
              <w:divBdr>
                <w:top w:val="none" w:sz="0" w:space="0" w:color="auto"/>
                <w:left w:val="none" w:sz="0" w:space="0" w:color="auto"/>
                <w:bottom w:val="none" w:sz="0" w:space="0" w:color="auto"/>
                <w:right w:val="none" w:sz="0" w:space="0" w:color="auto"/>
              </w:divBdr>
              <w:divsChild>
                <w:div w:id="496506170">
                  <w:marLeft w:val="0"/>
                  <w:marRight w:val="0"/>
                  <w:marTop w:val="0"/>
                  <w:marBottom w:val="0"/>
                  <w:divBdr>
                    <w:top w:val="none" w:sz="0" w:space="0" w:color="auto"/>
                    <w:left w:val="none" w:sz="0" w:space="0" w:color="auto"/>
                    <w:bottom w:val="none" w:sz="0" w:space="0" w:color="auto"/>
                    <w:right w:val="none" w:sz="0" w:space="0" w:color="auto"/>
                  </w:divBdr>
                  <w:divsChild>
                    <w:div w:id="802163645">
                      <w:marLeft w:val="0"/>
                      <w:marRight w:val="0"/>
                      <w:marTop w:val="0"/>
                      <w:marBottom w:val="0"/>
                      <w:divBdr>
                        <w:top w:val="none" w:sz="0" w:space="0" w:color="auto"/>
                        <w:left w:val="none" w:sz="0" w:space="0" w:color="auto"/>
                        <w:bottom w:val="none" w:sz="0" w:space="0" w:color="auto"/>
                        <w:right w:val="none" w:sz="0" w:space="0" w:color="auto"/>
                      </w:divBdr>
                    </w:div>
                    <w:div w:id="1494877437">
                      <w:marLeft w:val="0"/>
                      <w:marRight w:val="0"/>
                      <w:marTop w:val="0"/>
                      <w:marBottom w:val="0"/>
                      <w:divBdr>
                        <w:top w:val="none" w:sz="0" w:space="0" w:color="auto"/>
                        <w:left w:val="none" w:sz="0" w:space="0" w:color="auto"/>
                        <w:bottom w:val="none" w:sz="0" w:space="0" w:color="auto"/>
                        <w:right w:val="none" w:sz="0" w:space="0" w:color="auto"/>
                      </w:divBdr>
                    </w:div>
                    <w:div w:id="1609509832">
                      <w:marLeft w:val="0"/>
                      <w:marRight w:val="0"/>
                      <w:marTop w:val="0"/>
                      <w:marBottom w:val="0"/>
                      <w:divBdr>
                        <w:top w:val="none" w:sz="0" w:space="0" w:color="auto"/>
                        <w:left w:val="none" w:sz="0" w:space="0" w:color="auto"/>
                        <w:bottom w:val="none" w:sz="0" w:space="0" w:color="auto"/>
                        <w:right w:val="none" w:sz="0" w:space="0" w:color="auto"/>
                      </w:divBdr>
                    </w:div>
                  </w:divsChild>
                </w:div>
                <w:div w:id="1408073054">
                  <w:marLeft w:val="0"/>
                  <w:marRight w:val="0"/>
                  <w:marTop w:val="0"/>
                  <w:marBottom w:val="0"/>
                  <w:divBdr>
                    <w:top w:val="none" w:sz="0" w:space="0" w:color="auto"/>
                    <w:left w:val="none" w:sz="0" w:space="0" w:color="auto"/>
                    <w:bottom w:val="none" w:sz="0" w:space="0" w:color="auto"/>
                    <w:right w:val="none" w:sz="0" w:space="0" w:color="auto"/>
                  </w:divBdr>
                  <w:divsChild>
                    <w:div w:id="157643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32298">
          <w:marLeft w:val="0"/>
          <w:marRight w:val="0"/>
          <w:marTop w:val="0"/>
          <w:marBottom w:val="0"/>
          <w:divBdr>
            <w:top w:val="none" w:sz="0" w:space="0" w:color="auto"/>
            <w:left w:val="none" w:sz="0" w:space="0" w:color="auto"/>
            <w:bottom w:val="none" w:sz="0" w:space="0" w:color="auto"/>
            <w:right w:val="none" w:sz="0" w:space="0" w:color="auto"/>
          </w:divBdr>
        </w:div>
        <w:div w:id="762721461">
          <w:marLeft w:val="0"/>
          <w:marRight w:val="0"/>
          <w:marTop w:val="0"/>
          <w:marBottom w:val="0"/>
          <w:divBdr>
            <w:top w:val="none" w:sz="0" w:space="0" w:color="auto"/>
            <w:left w:val="none" w:sz="0" w:space="0" w:color="auto"/>
            <w:bottom w:val="none" w:sz="0" w:space="0" w:color="auto"/>
            <w:right w:val="none" w:sz="0" w:space="0" w:color="auto"/>
          </w:divBdr>
        </w:div>
        <w:div w:id="767240514">
          <w:marLeft w:val="0"/>
          <w:marRight w:val="0"/>
          <w:marTop w:val="0"/>
          <w:marBottom w:val="0"/>
          <w:divBdr>
            <w:top w:val="none" w:sz="0" w:space="0" w:color="auto"/>
            <w:left w:val="none" w:sz="0" w:space="0" w:color="auto"/>
            <w:bottom w:val="none" w:sz="0" w:space="0" w:color="auto"/>
            <w:right w:val="none" w:sz="0" w:space="0" w:color="auto"/>
          </w:divBdr>
        </w:div>
        <w:div w:id="1133983244">
          <w:marLeft w:val="0"/>
          <w:marRight w:val="0"/>
          <w:marTop w:val="0"/>
          <w:marBottom w:val="0"/>
          <w:divBdr>
            <w:top w:val="none" w:sz="0" w:space="0" w:color="auto"/>
            <w:left w:val="none" w:sz="0" w:space="0" w:color="auto"/>
            <w:bottom w:val="none" w:sz="0" w:space="0" w:color="auto"/>
            <w:right w:val="none" w:sz="0" w:space="0" w:color="auto"/>
          </w:divBdr>
          <w:divsChild>
            <w:div w:id="504634925">
              <w:marLeft w:val="0"/>
              <w:marRight w:val="0"/>
              <w:marTop w:val="30"/>
              <w:marBottom w:val="30"/>
              <w:divBdr>
                <w:top w:val="none" w:sz="0" w:space="0" w:color="auto"/>
                <w:left w:val="none" w:sz="0" w:space="0" w:color="auto"/>
                <w:bottom w:val="none" w:sz="0" w:space="0" w:color="auto"/>
                <w:right w:val="none" w:sz="0" w:space="0" w:color="auto"/>
              </w:divBdr>
              <w:divsChild>
                <w:div w:id="146015400">
                  <w:marLeft w:val="0"/>
                  <w:marRight w:val="0"/>
                  <w:marTop w:val="0"/>
                  <w:marBottom w:val="0"/>
                  <w:divBdr>
                    <w:top w:val="none" w:sz="0" w:space="0" w:color="auto"/>
                    <w:left w:val="none" w:sz="0" w:space="0" w:color="auto"/>
                    <w:bottom w:val="none" w:sz="0" w:space="0" w:color="auto"/>
                    <w:right w:val="none" w:sz="0" w:space="0" w:color="auto"/>
                  </w:divBdr>
                  <w:divsChild>
                    <w:div w:id="108161064">
                      <w:marLeft w:val="0"/>
                      <w:marRight w:val="0"/>
                      <w:marTop w:val="0"/>
                      <w:marBottom w:val="0"/>
                      <w:divBdr>
                        <w:top w:val="none" w:sz="0" w:space="0" w:color="auto"/>
                        <w:left w:val="none" w:sz="0" w:space="0" w:color="auto"/>
                        <w:bottom w:val="none" w:sz="0" w:space="0" w:color="auto"/>
                        <w:right w:val="none" w:sz="0" w:space="0" w:color="auto"/>
                      </w:divBdr>
                    </w:div>
                    <w:div w:id="2123721085">
                      <w:marLeft w:val="0"/>
                      <w:marRight w:val="0"/>
                      <w:marTop w:val="0"/>
                      <w:marBottom w:val="0"/>
                      <w:divBdr>
                        <w:top w:val="none" w:sz="0" w:space="0" w:color="auto"/>
                        <w:left w:val="none" w:sz="0" w:space="0" w:color="auto"/>
                        <w:bottom w:val="none" w:sz="0" w:space="0" w:color="auto"/>
                        <w:right w:val="none" w:sz="0" w:space="0" w:color="auto"/>
                      </w:divBdr>
                    </w:div>
                  </w:divsChild>
                </w:div>
                <w:div w:id="278952312">
                  <w:marLeft w:val="0"/>
                  <w:marRight w:val="0"/>
                  <w:marTop w:val="0"/>
                  <w:marBottom w:val="0"/>
                  <w:divBdr>
                    <w:top w:val="none" w:sz="0" w:space="0" w:color="auto"/>
                    <w:left w:val="none" w:sz="0" w:space="0" w:color="auto"/>
                    <w:bottom w:val="none" w:sz="0" w:space="0" w:color="auto"/>
                    <w:right w:val="none" w:sz="0" w:space="0" w:color="auto"/>
                  </w:divBdr>
                  <w:divsChild>
                    <w:div w:id="762916367">
                      <w:marLeft w:val="0"/>
                      <w:marRight w:val="0"/>
                      <w:marTop w:val="0"/>
                      <w:marBottom w:val="0"/>
                      <w:divBdr>
                        <w:top w:val="none" w:sz="0" w:space="0" w:color="auto"/>
                        <w:left w:val="none" w:sz="0" w:space="0" w:color="auto"/>
                        <w:bottom w:val="none" w:sz="0" w:space="0" w:color="auto"/>
                        <w:right w:val="none" w:sz="0" w:space="0" w:color="auto"/>
                      </w:divBdr>
                    </w:div>
                  </w:divsChild>
                </w:div>
                <w:div w:id="408116309">
                  <w:marLeft w:val="0"/>
                  <w:marRight w:val="0"/>
                  <w:marTop w:val="0"/>
                  <w:marBottom w:val="0"/>
                  <w:divBdr>
                    <w:top w:val="none" w:sz="0" w:space="0" w:color="auto"/>
                    <w:left w:val="none" w:sz="0" w:space="0" w:color="auto"/>
                    <w:bottom w:val="none" w:sz="0" w:space="0" w:color="auto"/>
                    <w:right w:val="none" w:sz="0" w:space="0" w:color="auto"/>
                  </w:divBdr>
                  <w:divsChild>
                    <w:div w:id="1351446493">
                      <w:marLeft w:val="0"/>
                      <w:marRight w:val="0"/>
                      <w:marTop w:val="0"/>
                      <w:marBottom w:val="0"/>
                      <w:divBdr>
                        <w:top w:val="none" w:sz="0" w:space="0" w:color="auto"/>
                        <w:left w:val="none" w:sz="0" w:space="0" w:color="auto"/>
                        <w:bottom w:val="none" w:sz="0" w:space="0" w:color="auto"/>
                        <w:right w:val="none" w:sz="0" w:space="0" w:color="auto"/>
                      </w:divBdr>
                    </w:div>
                  </w:divsChild>
                </w:div>
                <w:div w:id="447042518">
                  <w:marLeft w:val="0"/>
                  <w:marRight w:val="0"/>
                  <w:marTop w:val="0"/>
                  <w:marBottom w:val="0"/>
                  <w:divBdr>
                    <w:top w:val="none" w:sz="0" w:space="0" w:color="auto"/>
                    <w:left w:val="none" w:sz="0" w:space="0" w:color="auto"/>
                    <w:bottom w:val="none" w:sz="0" w:space="0" w:color="auto"/>
                    <w:right w:val="none" w:sz="0" w:space="0" w:color="auto"/>
                  </w:divBdr>
                  <w:divsChild>
                    <w:div w:id="496504116">
                      <w:marLeft w:val="0"/>
                      <w:marRight w:val="0"/>
                      <w:marTop w:val="0"/>
                      <w:marBottom w:val="0"/>
                      <w:divBdr>
                        <w:top w:val="none" w:sz="0" w:space="0" w:color="auto"/>
                        <w:left w:val="none" w:sz="0" w:space="0" w:color="auto"/>
                        <w:bottom w:val="none" w:sz="0" w:space="0" w:color="auto"/>
                        <w:right w:val="none" w:sz="0" w:space="0" w:color="auto"/>
                      </w:divBdr>
                    </w:div>
                  </w:divsChild>
                </w:div>
                <w:div w:id="552959943">
                  <w:marLeft w:val="0"/>
                  <w:marRight w:val="0"/>
                  <w:marTop w:val="0"/>
                  <w:marBottom w:val="0"/>
                  <w:divBdr>
                    <w:top w:val="none" w:sz="0" w:space="0" w:color="auto"/>
                    <w:left w:val="none" w:sz="0" w:space="0" w:color="auto"/>
                    <w:bottom w:val="none" w:sz="0" w:space="0" w:color="auto"/>
                    <w:right w:val="none" w:sz="0" w:space="0" w:color="auto"/>
                  </w:divBdr>
                </w:div>
                <w:div w:id="897401079">
                  <w:marLeft w:val="0"/>
                  <w:marRight w:val="0"/>
                  <w:marTop w:val="0"/>
                  <w:marBottom w:val="0"/>
                  <w:divBdr>
                    <w:top w:val="none" w:sz="0" w:space="0" w:color="auto"/>
                    <w:left w:val="none" w:sz="0" w:space="0" w:color="auto"/>
                    <w:bottom w:val="none" w:sz="0" w:space="0" w:color="auto"/>
                    <w:right w:val="none" w:sz="0" w:space="0" w:color="auto"/>
                  </w:divBdr>
                  <w:divsChild>
                    <w:div w:id="356928619">
                      <w:marLeft w:val="0"/>
                      <w:marRight w:val="0"/>
                      <w:marTop w:val="0"/>
                      <w:marBottom w:val="0"/>
                      <w:divBdr>
                        <w:top w:val="none" w:sz="0" w:space="0" w:color="auto"/>
                        <w:left w:val="none" w:sz="0" w:space="0" w:color="auto"/>
                        <w:bottom w:val="none" w:sz="0" w:space="0" w:color="auto"/>
                        <w:right w:val="none" w:sz="0" w:space="0" w:color="auto"/>
                      </w:divBdr>
                    </w:div>
                  </w:divsChild>
                </w:div>
                <w:div w:id="1171945429">
                  <w:marLeft w:val="0"/>
                  <w:marRight w:val="0"/>
                  <w:marTop w:val="0"/>
                  <w:marBottom w:val="0"/>
                  <w:divBdr>
                    <w:top w:val="none" w:sz="0" w:space="0" w:color="auto"/>
                    <w:left w:val="none" w:sz="0" w:space="0" w:color="auto"/>
                    <w:bottom w:val="none" w:sz="0" w:space="0" w:color="auto"/>
                    <w:right w:val="none" w:sz="0" w:space="0" w:color="auto"/>
                  </w:divBdr>
                  <w:divsChild>
                    <w:div w:id="1559853657">
                      <w:marLeft w:val="0"/>
                      <w:marRight w:val="0"/>
                      <w:marTop w:val="0"/>
                      <w:marBottom w:val="0"/>
                      <w:divBdr>
                        <w:top w:val="none" w:sz="0" w:space="0" w:color="auto"/>
                        <w:left w:val="none" w:sz="0" w:space="0" w:color="auto"/>
                        <w:bottom w:val="none" w:sz="0" w:space="0" w:color="auto"/>
                        <w:right w:val="none" w:sz="0" w:space="0" w:color="auto"/>
                      </w:divBdr>
                    </w:div>
                  </w:divsChild>
                </w:div>
                <w:div w:id="1223297482">
                  <w:marLeft w:val="0"/>
                  <w:marRight w:val="0"/>
                  <w:marTop w:val="0"/>
                  <w:marBottom w:val="0"/>
                  <w:divBdr>
                    <w:top w:val="none" w:sz="0" w:space="0" w:color="auto"/>
                    <w:left w:val="none" w:sz="0" w:space="0" w:color="auto"/>
                    <w:bottom w:val="none" w:sz="0" w:space="0" w:color="auto"/>
                    <w:right w:val="none" w:sz="0" w:space="0" w:color="auto"/>
                  </w:divBdr>
                  <w:divsChild>
                    <w:div w:id="1888881620">
                      <w:marLeft w:val="0"/>
                      <w:marRight w:val="0"/>
                      <w:marTop w:val="0"/>
                      <w:marBottom w:val="0"/>
                      <w:divBdr>
                        <w:top w:val="none" w:sz="0" w:space="0" w:color="auto"/>
                        <w:left w:val="none" w:sz="0" w:space="0" w:color="auto"/>
                        <w:bottom w:val="none" w:sz="0" w:space="0" w:color="auto"/>
                        <w:right w:val="none" w:sz="0" w:space="0" w:color="auto"/>
                      </w:divBdr>
                    </w:div>
                  </w:divsChild>
                </w:div>
                <w:div w:id="1480532317">
                  <w:marLeft w:val="0"/>
                  <w:marRight w:val="0"/>
                  <w:marTop w:val="0"/>
                  <w:marBottom w:val="0"/>
                  <w:divBdr>
                    <w:top w:val="none" w:sz="0" w:space="0" w:color="auto"/>
                    <w:left w:val="none" w:sz="0" w:space="0" w:color="auto"/>
                    <w:bottom w:val="none" w:sz="0" w:space="0" w:color="auto"/>
                    <w:right w:val="none" w:sz="0" w:space="0" w:color="auto"/>
                  </w:divBdr>
                  <w:divsChild>
                    <w:div w:id="1241869759">
                      <w:marLeft w:val="0"/>
                      <w:marRight w:val="0"/>
                      <w:marTop w:val="0"/>
                      <w:marBottom w:val="0"/>
                      <w:divBdr>
                        <w:top w:val="none" w:sz="0" w:space="0" w:color="auto"/>
                        <w:left w:val="none" w:sz="0" w:space="0" w:color="auto"/>
                        <w:bottom w:val="none" w:sz="0" w:space="0" w:color="auto"/>
                        <w:right w:val="none" w:sz="0" w:space="0" w:color="auto"/>
                      </w:divBdr>
                    </w:div>
                  </w:divsChild>
                </w:div>
                <w:div w:id="1667442986">
                  <w:marLeft w:val="0"/>
                  <w:marRight w:val="0"/>
                  <w:marTop w:val="0"/>
                  <w:marBottom w:val="0"/>
                  <w:divBdr>
                    <w:top w:val="none" w:sz="0" w:space="0" w:color="auto"/>
                    <w:left w:val="none" w:sz="0" w:space="0" w:color="auto"/>
                    <w:bottom w:val="none" w:sz="0" w:space="0" w:color="auto"/>
                    <w:right w:val="none" w:sz="0" w:space="0" w:color="auto"/>
                  </w:divBdr>
                  <w:divsChild>
                    <w:div w:id="714281617">
                      <w:marLeft w:val="0"/>
                      <w:marRight w:val="0"/>
                      <w:marTop w:val="0"/>
                      <w:marBottom w:val="0"/>
                      <w:divBdr>
                        <w:top w:val="none" w:sz="0" w:space="0" w:color="auto"/>
                        <w:left w:val="none" w:sz="0" w:space="0" w:color="auto"/>
                        <w:bottom w:val="none" w:sz="0" w:space="0" w:color="auto"/>
                        <w:right w:val="none" w:sz="0" w:space="0" w:color="auto"/>
                      </w:divBdr>
                    </w:div>
                  </w:divsChild>
                </w:div>
                <w:div w:id="1669214048">
                  <w:marLeft w:val="0"/>
                  <w:marRight w:val="0"/>
                  <w:marTop w:val="0"/>
                  <w:marBottom w:val="0"/>
                  <w:divBdr>
                    <w:top w:val="none" w:sz="0" w:space="0" w:color="auto"/>
                    <w:left w:val="none" w:sz="0" w:space="0" w:color="auto"/>
                    <w:bottom w:val="none" w:sz="0" w:space="0" w:color="auto"/>
                    <w:right w:val="none" w:sz="0" w:space="0" w:color="auto"/>
                  </w:divBdr>
                  <w:divsChild>
                    <w:div w:id="669795038">
                      <w:marLeft w:val="0"/>
                      <w:marRight w:val="0"/>
                      <w:marTop w:val="0"/>
                      <w:marBottom w:val="0"/>
                      <w:divBdr>
                        <w:top w:val="none" w:sz="0" w:space="0" w:color="auto"/>
                        <w:left w:val="none" w:sz="0" w:space="0" w:color="auto"/>
                        <w:bottom w:val="none" w:sz="0" w:space="0" w:color="auto"/>
                        <w:right w:val="none" w:sz="0" w:space="0" w:color="auto"/>
                      </w:divBdr>
                    </w:div>
                  </w:divsChild>
                </w:div>
                <w:div w:id="1821728944">
                  <w:marLeft w:val="0"/>
                  <w:marRight w:val="0"/>
                  <w:marTop w:val="0"/>
                  <w:marBottom w:val="0"/>
                  <w:divBdr>
                    <w:top w:val="none" w:sz="0" w:space="0" w:color="auto"/>
                    <w:left w:val="none" w:sz="0" w:space="0" w:color="auto"/>
                    <w:bottom w:val="none" w:sz="0" w:space="0" w:color="auto"/>
                    <w:right w:val="none" w:sz="0" w:space="0" w:color="auto"/>
                  </w:divBdr>
                  <w:divsChild>
                    <w:div w:id="1375471252">
                      <w:marLeft w:val="0"/>
                      <w:marRight w:val="0"/>
                      <w:marTop w:val="0"/>
                      <w:marBottom w:val="0"/>
                      <w:divBdr>
                        <w:top w:val="none" w:sz="0" w:space="0" w:color="auto"/>
                        <w:left w:val="none" w:sz="0" w:space="0" w:color="auto"/>
                        <w:bottom w:val="none" w:sz="0" w:space="0" w:color="auto"/>
                        <w:right w:val="none" w:sz="0" w:space="0" w:color="auto"/>
                      </w:divBdr>
                    </w:div>
                  </w:divsChild>
                </w:div>
                <w:div w:id="2120290606">
                  <w:marLeft w:val="0"/>
                  <w:marRight w:val="0"/>
                  <w:marTop w:val="0"/>
                  <w:marBottom w:val="0"/>
                  <w:divBdr>
                    <w:top w:val="none" w:sz="0" w:space="0" w:color="auto"/>
                    <w:left w:val="none" w:sz="0" w:space="0" w:color="auto"/>
                    <w:bottom w:val="none" w:sz="0" w:space="0" w:color="auto"/>
                    <w:right w:val="none" w:sz="0" w:space="0" w:color="auto"/>
                  </w:divBdr>
                  <w:divsChild>
                    <w:div w:id="17306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9282">
          <w:marLeft w:val="0"/>
          <w:marRight w:val="0"/>
          <w:marTop w:val="0"/>
          <w:marBottom w:val="0"/>
          <w:divBdr>
            <w:top w:val="none" w:sz="0" w:space="0" w:color="auto"/>
            <w:left w:val="none" w:sz="0" w:space="0" w:color="auto"/>
            <w:bottom w:val="none" w:sz="0" w:space="0" w:color="auto"/>
            <w:right w:val="none" w:sz="0" w:space="0" w:color="auto"/>
          </w:divBdr>
          <w:divsChild>
            <w:div w:id="1142382985">
              <w:marLeft w:val="0"/>
              <w:marRight w:val="0"/>
              <w:marTop w:val="30"/>
              <w:marBottom w:val="30"/>
              <w:divBdr>
                <w:top w:val="none" w:sz="0" w:space="0" w:color="auto"/>
                <w:left w:val="none" w:sz="0" w:space="0" w:color="auto"/>
                <w:bottom w:val="none" w:sz="0" w:space="0" w:color="auto"/>
                <w:right w:val="none" w:sz="0" w:space="0" w:color="auto"/>
              </w:divBdr>
              <w:divsChild>
                <w:div w:id="34812268">
                  <w:marLeft w:val="0"/>
                  <w:marRight w:val="0"/>
                  <w:marTop w:val="0"/>
                  <w:marBottom w:val="0"/>
                  <w:divBdr>
                    <w:top w:val="none" w:sz="0" w:space="0" w:color="auto"/>
                    <w:left w:val="none" w:sz="0" w:space="0" w:color="auto"/>
                    <w:bottom w:val="none" w:sz="0" w:space="0" w:color="auto"/>
                    <w:right w:val="none" w:sz="0" w:space="0" w:color="auto"/>
                  </w:divBdr>
                  <w:divsChild>
                    <w:div w:id="659504259">
                      <w:marLeft w:val="0"/>
                      <w:marRight w:val="0"/>
                      <w:marTop w:val="0"/>
                      <w:marBottom w:val="0"/>
                      <w:divBdr>
                        <w:top w:val="none" w:sz="0" w:space="0" w:color="auto"/>
                        <w:left w:val="none" w:sz="0" w:space="0" w:color="auto"/>
                        <w:bottom w:val="none" w:sz="0" w:space="0" w:color="auto"/>
                        <w:right w:val="none" w:sz="0" w:space="0" w:color="auto"/>
                      </w:divBdr>
                    </w:div>
                  </w:divsChild>
                </w:div>
                <w:div w:id="173424085">
                  <w:marLeft w:val="0"/>
                  <w:marRight w:val="0"/>
                  <w:marTop w:val="0"/>
                  <w:marBottom w:val="0"/>
                  <w:divBdr>
                    <w:top w:val="none" w:sz="0" w:space="0" w:color="auto"/>
                    <w:left w:val="none" w:sz="0" w:space="0" w:color="auto"/>
                    <w:bottom w:val="none" w:sz="0" w:space="0" w:color="auto"/>
                    <w:right w:val="none" w:sz="0" w:space="0" w:color="auto"/>
                  </w:divBdr>
                  <w:divsChild>
                    <w:div w:id="1342318088">
                      <w:marLeft w:val="0"/>
                      <w:marRight w:val="0"/>
                      <w:marTop w:val="0"/>
                      <w:marBottom w:val="0"/>
                      <w:divBdr>
                        <w:top w:val="none" w:sz="0" w:space="0" w:color="auto"/>
                        <w:left w:val="none" w:sz="0" w:space="0" w:color="auto"/>
                        <w:bottom w:val="none" w:sz="0" w:space="0" w:color="auto"/>
                        <w:right w:val="none" w:sz="0" w:space="0" w:color="auto"/>
                      </w:divBdr>
                    </w:div>
                  </w:divsChild>
                </w:div>
                <w:div w:id="470833950">
                  <w:marLeft w:val="0"/>
                  <w:marRight w:val="0"/>
                  <w:marTop w:val="0"/>
                  <w:marBottom w:val="0"/>
                  <w:divBdr>
                    <w:top w:val="none" w:sz="0" w:space="0" w:color="auto"/>
                    <w:left w:val="none" w:sz="0" w:space="0" w:color="auto"/>
                    <w:bottom w:val="none" w:sz="0" w:space="0" w:color="auto"/>
                    <w:right w:val="none" w:sz="0" w:space="0" w:color="auto"/>
                  </w:divBdr>
                  <w:divsChild>
                    <w:div w:id="1064109464">
                      <w:marLeft w:val="0"/>
                      <w:marRight w:val="0"/>
                      <w:marTop w:val="0"/>
                      <w:marBottom w:val="0"/>
                      <w:divBdr>
                        <w:top w:val="none" w:sz="0" w:space="0" w:color="auto"/>
                        <w:left w:val="none" w:sz="0" w:space="0" w:color="auto"/>
                        <w:bottom w:val="none" w:sz="0" w:space="0" w:color="auto"/>
                        <w:right w:val="none" w:sz="0" w:space="0" w:color="auto"/>
                      </w:divBdr>
                    </w:div>
                  </w:divsChild>
                </w:div>
                <w:div w:id="588196139">
                  <w:marLeft w:val="0"/>
                  <w:marRight w:val="0"/>
                  <w:marTop w:val="0"/>
                  <w:marBottom w:val="0"/>
                  <w:divBdr>
                    <w:top w:val="none" w:sz="0" w:space="0" w:color="auto"/>
                    <w:left w:val="none" w:sz="0" w:space="0" w:color="auto"/>
                    <w:bottom w:val="none" w:sz="0" w:space="0" w:color="auto"/>
                    <w:right w:val="none" w:sz="0" w:space="0" w:color="auto"/>
                  </w:divBdr>
                  <w:divsChild>
                    <w:div w:id="276765522">
                      <w:marLeft w:val="0"/>
                      <w:marRight w:val="0"/>
                      <w:marTop w:val="0"/>
                      <w:marBottom w:val="0"/>
                      <w:divBdr>
                        <w:top w:val="none" w:sz="0" w:space="0" w:color="auto"/>
                        <w:left w:val="none" w:sz="0" w:space="0" w:color="auto"/>
                        <w:bottom w:val="none" w:sz="0" w:space="0" w:color="auto"/>
                        <w:right w:val="none" w:sz="0" w:space="0" w:color="auto"/>
                      </w:divBdr>
                    </w:div>
                  </w:divsChild>
                </w:div>
                <w:div w:id="616332360">
                  <w:marLeft w:val="0"/>
                  <w:marRight w:val="0"/>
                  <w:marTop w:val="0"/>
                  <w:marBottom w:val="0"/>
                  <w:divBdr>
                    <w:top w:val="none" w:sz="0" w:space="0" w:color="auto"/>
                    <w:left w:val="none" w:sz="0" w:space="0" w:color="auto"/>
                    <w:bottom w:val="none" w:sz="0" w:space="0" w:color="auto"/>
                    <w:right w:val="none" w:sz="0" w:space="0" w:color="auto"/>
                  </w:divBdr>
                  <w:divsChild>
                    <w:div w:id="635530899">
                      <w:marLeft w:val="0"/>
                      <w:marRight w:val="0"/>
                      <w:marTop w:val="0"/>
                      <w:marBottom w:val="0"/>
                      <w:divBdr>
                        <w:top w:val="none" w:sz="0" w:space="0" w:color="auto"/>
                        <w:left w:val="none" w:sz="0" w:space="0" w:color="auto"/>
                        <w:bottom w:val="none" w:sz="0" w:space="0" w:color="auto"/>
                        <w:right w:val="none" w:sz="0" w:space="0" w:color="auto"/>
                      </w:divBdr>
                    </w:div>
                  </w:divsChild>
                </w:div>
                <w:div w:id="1055810905">
                  <w:marLeft w:val="0"/>
                  <w:marRight w:val="0"/>
                  <w:marTop w:val="0"/>
                  <w:marBottom w:val="0"/>
                  <w:divBdr>
                    <w:top w:val="none" w:sz="0" w:space="0" w:color="auto"/>
                    <w:left w:val="none" w:sz="0" w:space="0" w:color="auto"/>
                    <w:bottom w:val="none" w:sz="0" w:space="0" w:color="auto"/>
                    <w:right w:val="none" w:sz="0" w:space="0" w:color="auto"/>
                  </w:divBdr>
                  <w:divsChild>
                    <w:div w:id="788398255">
                      <w:marLeft w:val="0"/>
                      <w:marRight w:val="0"/>
                      <w:marTop w:val="0"/>
                      <w:marBottom w:val="0"/>
                      <w:divBdr>
                        <w:top w:val="none" w:sz="0" w:space="0" w:color="auto"/>
                        <w:left w:val="none" w:sz="0" w:space="0" w:color="auto"/>
                        <w:bottom w:val="none" w:sz="0" w:space="0" w:color="auto"/>
                        <w:right w:val="none" w:sz="0" w:space="0" w:color="auto"/>
                      </w:divBdr>
                    </w:div>
                  </w:divsChild>
                </w:div>
                <w:div w:id="1125541072">
                  <w:marLeft w:val="0"/>
                  <w:marRight w:val="0"/>
                  <w:marTop w:val="0"/>
                  <w:marBottom w:val="0"/>
                  <w:divBdr>
                    <w:top w:val="none" w:sz="0" w:space="0" w:color="auto"/>
                    <w:left w:val="none" w:sz="0" w:space="0" w:color="auto"/>
                    <w:bottom w:val="none" w:sz="0" w:space="0" w:color="auto"/>
                    <w:right w:val="none" w:sz="0" w:space="0" w:color="auto"/>
                  </w:divBdr>
                  <w:divsChild>
                    <w:div w:id="1315528305">
                      <w:marLeft w:val="0"/>
                      <w:marRight w:val="0"/>
                      <w:marTop w:val="0"/>
                      <w:marBottom w:val="0"/>
                      <w:divBdr>
                        <w:top w:val="none" w:sz="0" w:space="0" w:color="auto"/>
                        <w:left w:val="none" w:sz="0" w:space="0" w:color="auto"/>
                        <w:bottom w:val="none" w:sz="0" w:space="0" w:color="auto"/>
                        <w:right w:val="none" w:sz="0" w:space="0" w:color="auto"/>
                      </w:divBdr>
                    </w:div>
                  </w:divsChild>
                </w:div>
                <w:div w:id="1412116235">
                  <w:marLeft w:val="0"/>
                  <w:marRight w:val="0"/>
                  <w:marTop w:val="0"/>
                  <w:marBottom w:val="0"/>
                  <w:divBdr>
                    <w:top w:val="none" w:sz="0" w:space="0" w:color="auto"/>
                    <w:left w:val="none" w:sz="0" w:space="0" w:color="auto"/>
                    <w:bottom w:val="none" w:sz="0" w:space="0" w:color="auto"/>
                    <w:right w:val="none" w:sz="0" w:space="0" w:color="auto"/>
                  </w:divBdr>
                  <w:divsChild>
                    <w:div w:id="1697194165">
                      <w:marLeft w:val="0"/>
                      <w:marRight w:val="0"/>
                      <w:marTop w:val="0"/>
                      <w:marBottom w:val="0"/>
                      <w:divBdr>
                        <w:top w:val="none" w:sz="0" w:space="0" w:color="auto"/>
                        <w:left w:val="none" w:sz="0" w:space="0" w:color="auto"/>
                        <w:bottom w:val="none" w:sz="0" w:space="0" w:color="auto"/>
                        <w:right w:val="none" w:sz="0" w:space="0" w:color="auto"/>
                      </w:divBdr>
                    </w:div>
                  </w:divsChild>
                </w:div>
                <w:div w:id="1423338170">
                  <w:marLeft w:val="0"/>
                  <w:marRight w:val="0"/>
                  <w:marTop w:val="0"/>
                  <w:marBottom w:val="0"/>
                  <w:divBdr>
                    <w:top w:val="none" w:sz="0" w:space="0" w:color="auto"/>
                    <w:left w:val="none" w:sz="0" w:space="0" w:color="auto"/>
                    <w:bottom w:val="none" w:sz="0" w:space="0" w:color="auto"/>
                    <w:right w:val="none" w:sz="0" w:space="0" w:color="auto"/>
                  </w:divBdr>
                </w:div>
                <w:div w:id="1547109495">
                  <w:marLeft w:val="0"/>
                  <w:marRight w:val="0"/>
                  <w:marTop w:val="0"/>
                  <w:marBottom w:val="0"/>
                  <w:divBdr>
                    <w:top w:val="none" w:sz="0" w:space="0" w:color="auto"/>
                    <w:left w:val="none" w:sz="0" w:space="0" w:color="auto"/>
                    <w:bottom w:val="none" w:sz="0" w:space="0" w:color="auto"/>
                    <w:right w:val="none" w:sz="0" w:space="0" w:color="auto"/>
                  </w:divBdr>
                  <w:divsChild>
                    <w:div w:id="2125880432">
                      <w:marLeft w:val="0"/>
                      <w:marRight w:val="0"/>
                      <w:marTop w:val="0"/>
                      <w:marBottom w:val="0"/>
                      <w:divBdr>
                        <w:top w:val="none" w:sz="0" w:space="0" w:color="auto"/>
                        <w:left w:val="none" w:sz="0" w:space="0" w:color="auto"/>
                        <w:bottom w:val="none" w:sz="0" w:space="0" w:color="auto"/>
                        <w:right w:val="none" w:sz="0" w:space="0" w:color="auto"/>
                      </w:divBdr>
                    </w:div>
                  </w:divsChild>
                </w:div>
                <w:div w:id="1825776094">
                  <w:marLeft w:val="0"/>
                  <w:marRight w:val="0"/>
                  <w:marTop w:val="0"/>
                  <w:marBottom w:val="0"/>
                  <w:divBdr>
                    <w:top w:val="none" w:sz="0" w:space="0" w:color="auto"/>
                    <w:left w:val="none" w:sz="0" w:space="0" w:color="auto"/>
                    <w:bottom w:val="none" w:sz="0" w:space="0" w:color="auto"/>
                    <w:right w:val="none" w:sz="0" w:space="0" w:color="auto"/>
                  </w:divBdr>
                  <w:divsChild>
                    <w:div w:id="2168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260629">
          <w:marLeft w:val="0"/>
          <w:marRight w:val="0"/>
          <w:marTop w:val="0"/>
          <w:marBottom w:val="0"/>
          <w:divBdr>
            <w:top w:val="none" w:sz="0" w:space="0" w:color="auto"/>
            <w:left w:val="none" w:sz="0" w:space="0" w:color="auto"/>
            <w:bottom w:val="none" w:sz="0" w:space="0" w:color="auto"/>
            <w:right w:val="none" w:sz="0" w:space="0" w:color="auto"/>
          </w:divBdr>
          <w:divsChild>
            <w:div w:id="293214540">
              <w:marLeft w:val="0"/>
              <w:marRight w:val="0"/>
              <w:marTop w:val="0"/>
              <w:marBottom w:val="0"/>
              <w:divBdr>
                <w:top w:val="none" w:sz="0" w:space="0" w:color="auto"/>
                <w:left w:val="none" w:sz="0" w:space="0" w:color="auto"/>
                <w:bottom w:val="none" w:sz="0" w:space="0" w:color="auto"/>
                <w:right w:val="none" w:sz="0" w:space="0" w:color="auto"/>
              </w:divBdr>
            </w:div>
            <w:div w:id="1565944645">
              <w:marLeft w:val="0"/>
              <w:marRight w:val="0"/>
              <w:marTop w:val="0"/>
              <w:marBottom w:val="0"/>
              <w:divBdr>
                <w:top w:val="none" w:sz="0" w:space="0" w:color="auto"/>
                <w:left w:val="none" w:sz="0" w:space="0" w:color="auto"/>
                <w:bottom w:val="none" w:sz="0" w:space="0" w:color="auto"/>
                <w:right w:val="none" w:sz="0" w:space="0" w:color="auto"/>
              </w:divBdr>
            </w:div>
          </w:divsChild>
        </w:div>
        <w:div w:id="1837064356">
          <w:marLeft w:val="0"/>
          <w:marRight w:val="0"/>
          <w:marTop w:val="0"/>
          <w:marBottom w:val="0"/>
          <w:divBdr>
            <w:top w:val="none" w:sz="0" w:space="0" w:color="auto"/>
            <w:left w:val="none" w:sz="0" w:space="0" w:color="auto"/>
            <w:bottom w:val="none" w:sz="0" w:space="0" w:color="auto"/>
            <w:right w:val="none" w:sz="0" w:space="0" w:color="auto"/>
          </w:divBdr>
          <w:divsChild>
            <w:div w:id="48193390">
              <w:marLeft w:val="0"/>
              <w:marRight w:val="0"/>
              <w:marTop w:val="0"/>
              <w:marBottom w:val="0"/>
              <w:divBdr>
                <w:top w:val="none" w:sz="0" w:space="0" w:color="auto"/>
                <w:left w:val="none" w:sz="0" w:space="0" w:color="auto"/>
                <w:bottom w:val="none" w:sz="0" w:space="0" w:color="auto"/>
                <w:right w:val="none" w:sz="0" w:space="0" w:color="auto"/>
              </w:divBdr>
            </w:div>
            <w:div w:id="448013988">
              <w:marLeft w:val="0"/>
              <w:marRight w:val="0"/>
              <w:marTop w:val="0"/>
              <w:marBottom w:val="0"/>
              <w:divBdr>
                <w:top w:val="none" w:sz="0" w:space="0" w:color="auto"/>
                <w:left w:val="none" w:sz="0" w:space="0" w:color="auto"/>
                <w:bottom w:val="none" w:sz="0" w:space="0" w:color="auto"/>
                <w:right w:val="none" w:sz="0" w:space="0" w:color="auto"/>
              </w:divBdr>
            </w:div>
            <w:div w:id="548104345">
              <w:marLeft w:val="0"/>
              <w:marRight w:val="0"/>
              <w:marTop w:val="0"/>
              <w:marBottom w:val="0"/>
              <w:divBdr>
                <w:top w:val="none" w:sz="0" w:space="0" w:color="auto"/>
                <w:left w:val="none" w:sz="0" w:space="0" w:color="auto"/>
                <w:bottom w:val="none" w:sz="0" w:space="0" w:color="auto"/>
                <w:right w:val="none" w:sz="0" w:space="0" w:color="auto"/>
              </w:divBdr>
            </w:div>
            <w:div w:id="1690527851">
              <w:marLeft w:val="0"/>
              <w:marRight w:val="0"/>
              <w:marTop w:val="0"/>
              <w:marBottom w:val="0"/>
              <w:divBdr>
                <w:top w:val="none" w:sz="0" w:space="0" w:color="auto"/>
                <w:left w:val="none" w:sz="0" w:space="0" w:color="auto"/>
                <w:bottom w:val="none" w:sz="0" w:space="0" w:color="auto"/>
                <w:right w:val="none" w:sz="0" w:space="0" w:color="auto"/>
              </w:divBdr>
            </w:div>
            <w:div w:id="1940484945">
              <w:marLeft w:val="0"/>
              <w:marRight w:val="0"/>
              <w:marTop w:val="0"/>
              <w:marBottom w:val="0"/>
              <w:divBdr>
                <w:top w:val="none" w:sz="0" w:space="0" w:color="auto"/>
                <w:left w:val="none" w:sz="0" w:space="0" w:color="auto"/>
                <w:bottom w:val="none" w:sz="0" w:space="0" w:color="auto"/>
                <w:right w:val="none" w:sz="0" w:space="0" w:color="auto"/>
              </w:divBdr>
            </w:div>
          </w:divsChild>
        </w:div>
        <w:div w:id="2021858588">
          <w:marLeft w:val="0"/>
          <w:marRight w:val="0"/>
          <w:marTop w:val="0"/>
          <w:marBottom w:val="0"/>
          <w:divBdr>
            <w:top w:val="none" w:sz="0" w:space="0" w:color="auto"/>
            <w:left w:val="none" w:sz="0" w:space="0" w:color="auto"/>
            <w:bottom w:val="none" w:sz="0" w:space="0" w:color="auto"/>
            <w:right w:val="none" w:sz="0" w:space="0" w:color="auto"/>
          </w:divBdr>
        </w:div>
        <w:div w:id="2123643341">
          <w:marLeft w:val="0"/>
          <w:marRight w:val="0"/>
          <w:marTop w:val="0"/>
          <w:marBottom w:val="0"/>
          <w:divBdr>
            <w:top w:val="none" w:sz="0" w:space="0" w:color="auto"/>
            <w:left w:val="none" w:sz="0" w:space="0" w:color="auto"/>
            <w:bottom w:val="none" w:sz="0" w:space="0" w:color="auto"/>
            <w:right w:val="none" w:sz="0" w:space="0" w:color="auto"/>
          </w:divBdr>
          <w:divsChild>
            <w:div w:id="1991594523">
              <w:marLeft w:val="0"/>
              <w:marRight w:val="0"/>
              <w:marTop w:val="30"/>
              <w:marBottom w:val="30"/>
              <w:divBdr>
                <w:top w:val="none" w:sz="0" w:space="0" w:color="auto"/>
                <w:left w:val="none" w:sz="0" w:space="0" w:color="auto"/>
                <w:bottom w:val="none" w:sz="0" w:space="0" w:color="auto"/>
                <w:right w:val="none" w:sz="0" w:space="0" w:color="auto"/>
              </w:divBdr>
              <w:divsChild>
                <w:div w:id="939802093">
                  <w:marLeft w:val="0"/>
                  <w:marRight w:val="0"/>
                  <w:marTop w:val="0"/>
                  <w:marBottom w:val="0"/>
                  <w:divBdr>
                    <w:top w:val="none" w:sz="0" w:space="0" w:color="auto"/>
                    <w:left w:val="none" w:sz="0" w:space="0" w:color="auto"/>
                    <w:bottom w:val="none" w:sz="0" w:space="0" w:color="auto"/>
                    <w:right w:val="none" w:sz="0" w:space="0" w:color="auto"/>
                  </w:divBdr>
                  <w:divsChild>
                    <w:div w:id="661616406">
                      <w:marLeft w:val="0"/>
                      <w:marRight w:val="0"/>
                      <w:marTop w:val="0"/>
                      <w:marBottom w:val="0"/>
                      <w:divBdr>
                        <w:top w:val="none" w:sz="0" w:space="0" w:color="auto"/>
                        <w:left w:val="none" w:sz="0" w:space="0" w:color="auto"/>
                        <w:bottom w:val="none" w:sz="0" w:space="0" w:color="auto"/>
                        <w:right w:val="none" w:sz="0" w:space="0" w:color="auto"/>
                      </w:divBdr>
                    </w:div>
                    <w:div w:id="1084498811">
                      <w:marLeft w:val="0"/>
                      <w:marRight w:val="0"/>
                      <w:marTop w:val="0"/>
                      <w:marBottom w:val="0"/>
                      <w:divBdr>
                        <w:top w:val="none" w:sz="0" w:space="0" w:color="auto"/>
                        <w:left w:val="none" w:sz="0" w:space="0" w:color="auto"/>
                        <w:bottom w:val="none" w:sz="0" w:space="0" w:color="auto"/>
                        <w:right w:val="none" w:sz="0" w:space="0" w:color="auto"/>
                      </w:divBdr>
                    </w:div>
                    <w:div w:id="1137911929">
                      <w:marLeft w:val="0"/>
                      <w:marRight w:val="0"/>
                      <w:marTop w:val="0"/>
                      <w:marBottom w:val="0"/>
                      <w:divBdr>
                        <w:top w:val="none" w:sz="0" w:space="0" w:color="auto"/>
                        <w:left w:val="none" w:sz="0" w:space="0" w:color="auto"/>
                        <w:bottom w:val="none" w:sz="0" w:space="0" w:color="auto"/>
                        <w:right w:val="none" w:sz="0" w:space="0" w:color="auto"/>
                      </w:divBdr>
                    </w:div>
                  </w:divsChild>
                </w:div>
                <w:div w:id="1780295013">
                  <w:marLeft w:val="0"/>
                  <w:marRight w:val="0"/>
                  <w:marTop w:val="0"/>
                  <w:marBottom w:val="0"/>
                  <w:divBdr>
                    <w:top w:val="none" w:sz="0" w:space="0" w:color="auto"/>
                    <w:left w:val="none" w:sz="0" w:space="0" w:color="auto"/>
                    <w:bottom w:val="none" w:sz="0" w:space="0" w:color="auto"/>
                    <w:right w:val="none" w:sz="0" w:space="0" w:color="auto"/>
                  </w:divBdr>
                  <w:divsChild>
                    <w:div w:id="14909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52940">
          <w:marLeft w:val="0"/>
          <w:marRight w:val="0"/>
          <w:marTop w:val="0"/>
          <w:marBottom w:val="0"/>
          <w:divBdr>
            <w:top w:val="none" w:sz="0" w:space="0" w:color="auto"/>
            <w:left w:val="none" w:sz="0" w:space="0" w:color="auto"/>
            <w:bottom w:val="none" w:sz="0" w:space="0" w:color="auto"/>
            <w:right w:val="none" w:sz="0" w:space="0" w:color="auto"/>
          </w:divBdr>
          <w:divsChild>
            <w:div w:id="1739017491">
              <w:marLeft w:val="0"/>
              <w:marRight w:val="0"/>
              <w:marTop w:val="30"/>
              <w:marBottom w:val="30"/>
              <w:divBdr>
                <w:top w:val="none" w:sz="0" w:space="0" w:color="auto"/>
                <w:left w:val="none" w:sz="0" w:space="0" w:color="auto"/>
                <w:bottom w:val="none" w:sz="0" w:space="0" w:color="auto"/>
                <w:right w:val="none" w:sz="0" w:space="0" w:color="auto"/>
              </w:divBdr>
              <w:divsChild>
                <w:div w:id="130372049">
                  <w:marLeft w:val="0"/>
                  <w:marRight w:val="0"/>
                  <w:marTop w:val="0"/>
                  <w:marBottom w:val="0"/>
                  <w:divBdr>
                    <w:top w:val="none" w:sz="0" w:space="0" w:color="auto"/>
                    <w:left w:val="none" w:sz="0" w:space="0" w:color="auto"/>
                    <w:bottom w:val="none" w:sz="0" w:space="0" w:color="auto"/>
                    <w:right w:val="none" w:sz="0" w:space="0" w:color="auto"/>
                  </w:divBdr>
                  <w:divsChild>
                    <w:div w:id="1394156884">
                      <w:marLeft w:val="0"/>
                      <w:marRight w:val="0"/>
                      <w:marTop w:val="0"/>
                      <w:marBottom w:val="0"/>
                      <w:divBdr>
                        <w:top w:val="none" w:sz="0" w:space="0" w:color="auto"/>
                        <w:left w:val="none" w:sz="0" w:space="0" w:color="auto"/>
                        <w:bottom w:val="none" w:sz="0" w:space="0" w:color="auto"/>
                        <w:right w:val="none" w:sz="0" w:space="0" w:color="auto"/>
                      </w:divBdr>
                    </w:div>
                  </w:divsChild>
                </w:div>
                <w:div w:id="209458074">
                  <w:marLeft w:val="0"/>
                  <w:marRight w:val="0"/>
                  <w:marTop w:val="0"/>
                  <w:marBottom w:val="0"/>
                  <w:divBdr>
                    <w:top w:val="none" w:sz="0" w:space="0" w:color="auto"/>
                    <w:left w:val="none" w:sz="0" w:space="0" w:color="auto"/>
                    <w:bottom w:val="none" w:sz="0" w:space="0" w:color="auto"/>
                    <w:right w:val="none" w:sz="0" w:space="0" w:color="auto"/>
                  </w:divBdr>
                  <w:divsChild>
                    <w:div w:id="278338682">
                      <w:marLeft w:val="0"/>
                      <w:marRight w:val="0"/>
                      <w:marTop w:val="0"/>
                      <w:marBottom w:val="0"/>
                      <w:divBdr>
                        <w:top w:val="none" w:sz="0" w:space="0" w:color="auto"/>
                        <w:left w:val="none" w:sz="0" w:space="0" w:color="auto"/>
                        <w:bottom w:val="none" w:sz="0" w:space="0" w:color="auto"/>
                        <w:right w:val="none" w:sz="0" w:space="0" w:color="auto"/>
                      </w:divBdr>
                    </w:div>
                  </w:divsChild>
                </w:div>
                <w:div w:id="297103930">
                  <w:marLeft w:val="0"/>
                  <w:marRight w:val="0"/>
                  <w:marTop w:val="0"/>
                  <w:marBottom w:val="0"/>
                  <w:divBdr>
                    <w:top w:val="none" w:sz="0" w:space="0" w:color="auto"/>
                    <w:left w:val="none" w:sz="0" w:space="0" w:color="auto"/>
                    <w:bottom w:val="none" w:sz="0" w:space="0" w:color="auto"/>
                    <w:right w:val="none" w:sz="0" w:space="0" w:color="auto"/>
                  </w:divBdr>
                  <w:divsChild>
                    <w:div w:id="90440311">
                      <w:marLeft w:val="0"/>
                      <w:marRight w:val="0"/>
                      <w:marTop w:val="0"/>
                      <w:marBottom w:val="0"/>
                      <w:divBdr>
                        <w:top w:val="none" w:sz="0" w:space="0" w:color="auto"/>
                        <w:left w:val="none" w:sz="0" w:space="0" w:color="auto"/>
                        <w:bottom w:val="none" w:sz="0" w:space="0" w:color="auto"/>
                        <w:right w:val="none" w:sz="0" w:space="0" w:color="auto"/>
                      </w:divBdr>
                    </w:div>
                  </w:divsChild>
                </w:div>
                <w:div w:id="336230979">
                  <w:marLeft w:val="0"/>
                  <w:marRight w:val="0"/>
                  <w:marTop w:val="0"/>
                  <w:marBottom w:val="0"/>
                  <w:divBdr>
                    <w:top w:val="none" w:sz="0" w:space="0" w:color="auto"/>
                    <w:left w:val="none" w:sz="0" w:space="0" w:color="auto"/>
                    <w:bottom w:val="none" w:sz="0" w:space="0" w:color="auto"/>
                    <w:right w:val="none" w:sz="0" w:space="0" w:color="auto"/>
                  </w:divBdr>
                  <w:divsChild>
                    <w:div w:id="1488589379">
                      <w:marLeft w:val="0"/>
                      <w:marRight w:val="0"/>
                      <w:marTop w:val="0"/>
                      <w:marBottom w:val="0"/>
                      <w:divBdr>
                        <w:top w:val="none" w:sz="0" w:space="0" w:color="auto"/>
                        <w:left w:val="none" w:sz="0" w:space="0" w:color="auto"/>
                        <w:bottom w:val="none" w:sz="0" w:space="0" w:color="auto"/>
                        <w:right w:val="none" w:sz="0" w:space="0" w:color="auto"/>
                      </w:divBdr>
                    </w:div>
                  </w:divsChild>
                </w:div>
                <w:div w:id="486359885">
                  <w:marLeft w:val="0"/>
                  <w:marRight w:val="0"/>
                  <w:marTop w:val="0"/>
                  <w:marBottom w:val="0"/>
                  <w:divBdr>
                    <w:top w:val="none" w:sz="0" w:space="0" w:color="auto"/>
                    <w:left w:val="none" w:sz="0" w:space="0" w:color="auto"/>
                    <w:bottom w:val="none" w:sz="0" w:space="0" w:color="auto"/>
                    <w:right w:val="none" w:sz="0" w:space="0" w:color="auto"/>
                  </w:divBdr>
                  <w:divsChild>
                    <w:div w:id="2095860475">
                      <w:marLeft w:val="0"/>
                      <w:marRight w:val="0"/>
                      <w:marTop w:val="0"/>
                      <w:marBottom w:val="0"/>
                      <w:divBdr>
                        <w:top w:val="none" w:sz="0" w:space="0" w:color="auto"/>
                        <w:left w:val="none" w:sz="0" w:space="0" w:color="auto"/>
                        <w:bottom w:val="none" w:sz="0" w:space="0" w:color="auto"/>
                        <w:right w:val="none" w:sz="0" w:space="0" w:color="auto"/>
                      </w:divBdr>
                    </w:div>
                  </w:divsChild>
                </w:div>
                <w:div w:id="562568370">
                  <w:marLeft w:val="0"/>
                  <w:marRight w:val="0"/>
                  <w:marTop w:val="0"/>
                  <w:marBottom w:val="0"/>
                  <w:divBdr>
                    <w:top w:val="none" w:sz="0" w:space="0" w:color="auto"/>
                    <w:left w:val="none" w:sz="0" w:space="0" w:color="auto"/>
                    <w:bottom w:val="none" w:sz="0" w:space="0" w:color="auto"/>
                    <w:right w:val="none" w:sz="0" w:space="0" w:color="auto"/>
                  </w:divBdr>
                  <w:divsChild>
                    <w:div w:id="995642804">
                      <w:marLeft w:val="0"/>
                      <w:marRight w:val="0"/>
                      <w:marTop w:val="0"/>
                      <w:marBottom w:val="0"/>
                      <w:divBdr>
                        <w:top w:val="none" w:sz="0" w:space="0" w:color="auto"/>
                        <w:left w:val="none" w:sz="0" w:space="0" w:color="auto"/>
                        <w:bottom w:val="none" w:sz="0" w:space="0" w:color="auto"/>
                        <w:right w:val="none" w:sz="0" w:space="0" w:color="auto"/>
                      </w:divBdr>
                    </w:div>
                  </w:divsChild>
                </w:div>
                <w:div w:id="589045527">
                  <w:marLeft w:val="0"/>
                  <w:marRight w:val="0"/>
                  <w:marTop w:val="0"/>
                  <w:marBottom w:val="0"/>
                  <w:divBdr>
                    <w:top w:val="none" w:sz="0" w:space="0" w:color="auto"/>
                    <w:left w:val="none" w:sz="0" w:space="0" w:color="auto"/>
                    <w:bottom w:val="none" w:sz="0" w:space="0" w:color="auto"/>
                    <w:right w:val="none" w:sz="0" w:space="0" w:color="auto"/>
                  </w:divBdr>
                  <w:divsChild>
                    <w:div w:id="438909433">
                      <w:marLeft w:val="0"/>
                      <w:marRight w:val="0"/>
                      <w:marTop w:val="0"/>
                      <w:marBottom w:val="0"/>
                      <w:divBdr>
                        <w:top w:val="none" w:sz="0" w:space="0" w:color="auto"/>
                        <w:left w:val="none" w:sz="0" w:space="0" w:color="auto"/>
                        <w:bottom w:val="none" w:sz="0" w:space="0" w:color="auto"/>
                        <w:right w:val="none" w:sz="0" w:space="0" w:color="auto"/>
                      </w:divBdr>
                    </w:div>
                  </w:divsChild>
                </w:div>
                <w:div w:id="753085783">
                  <w:marLeft w:val="0"/>
                  <w:marRight w:val="0"/>
                  <w:marTop w:val="0"/>
                  <w:marBottom w:val="0"/>
                  <w:divBdr>
                    <w:top w:val="none" w:sz="0" w:space="0" w:color="auto"/>
                    <w:left w:val="none" w:sz="0" w:space="0" w:color="auto"/>
                    <w:bottom w:val="none" w:sz="0" w:space="0" w:color="auto"/>
                    <w:right w:val="none" w:sz="0" w:space="0" w:color="auto"/>
                  </w:divBdr>
                  <w:divsChild>
                    <w:div w:id="1572035335">
                      <w:marLeft w:val="0"/>
                      <w:marRight w:val="0"/>
                      <w:marTop w:val="0"/>
                      <w:marBottom w:val="0"/>
                      <w:divBdr>
                        <w:top w:val="none" w:sz="0" w:space="0" w:color="auto"/>
                        <w:left w:val="none" w:sz="0" w:space="0" w:color="auto"/>
                        <w:bottom w:val="none" w:sz="0" w:space="0" w:color="auto"/>
                        <w:right w:val="none" w:sz="0" w:space="0" w:color="auto"/>
                      </w:divBdr>
                    </w:div>
                  </w:divsChild>
                </w:div>
                <w:div w:id="823930125">
                  <w:marLeft w:val="0"/>
                  <w:marRight w:val="0"/>
                  <w:marTop w:val="0"/>
                  <w:marBottom w:val="0"/>
                  <w:divBdr>
                    <w:top w:val="none" w:sz="0" w:space="0" w:color="auto"/>
                    <w:left w:val="none" w:sz="0" w:space="0" w:color="auto"/>
                    <w:bottom w:val="none" w:sz="0" w:space="0" w:color="auto"/>
                    <w:right w:val="none" w:sz="0" w:space="0" w:color="auto"/>
                  </w:divBdr>
                  <w:divsChild>
                    <w:div w:id="776877161">
                      <w:marLeft w:val="0"/>
                      <w:marRight w:val="0"/>
                      <w:marTop w:val="0"/>
                      <w:marBottom w:val="0"/>
                      <w:divBdr>
                        <w:top w:val="none" w:sz="0" w:space="0" w:color="auto"/>
                        <w:left w:val="none" w:sz="0" w:space="0" w:color="auto"/>
                        <w:bottom w:val="none" w:sz="0" w:space="0" w:color="auto"/>
                        <w:right w:val="none" w:sz="0" w:space="0" w:color="auto"/>
                      </w:divBdr>
                    </w:div>
                  </w:divsChild>
                </w:div>
                <w:div w:id="895354816">
                  <w:marLeft w:val="0"/>
                  <w:marRight w:val="0"/>
                  <w:marTop w:val="0"/>
                  <w:marBottom w:val="0"/>
                  <w:divBdr>
                    <w:top w:val="none" w:sz="0" w:space="0" w:color="auto"/>
                    <w:left w:val="none" w:sz="0" w:space="0" w:color="auto"/>
                    <w:bottom w:val="none" w:sz="0" w:space="0" w:color="auto"/>
                    <w:right w:val="none" w:sz="0" w:space="0" w:color="auto"/>
                  </w:divBdr>
                  <w:divsChild>
                    <w:div w:id="1586299228">
                      <w:marLeft w:val="0"/>
                      <w:marRight w:val="0"/>
                      <w:marTop w:val="0"/>
                      <w:marBottom w:val="0"/>
                      <w:divBdr>
                        <w:top w:val="none" w:sz="0" w:space="0" w:color="auto"/>
                        <w:left w:val="none" w:sz="0" w:space="0" w:color="auto"/>
                        <w:bottom w:val="none" w:sz="0" w:space="0" w:color="auto"/>
                        <w:right w:val="none" w:sz="0" w:space="0" w:color="auto"/>
                      </w:divBdr>
                    </w:div>
                  </w:divsChild>
                </w:div>
                <w:div w:id="923759254">
                  <w:marLeft w:val="0"/>
                  <w:marRight w:val="0"/>
                  <w:marTop w:val="0"/>
                  <w:marBottom w:val="0"/>
                  <w:divBdr>
                    <w:top w:val="none" w:sz="0" w:space="0" w:color="auto"/>
                    <w:left w:val="none" w:sz="0" w:space="0" w:color="auto"/>
                    <w:bottom w:val="none" w:sz="0" w:space="0" w:color="auto"/>
                    <w:right w:val="none" w:sz="0" w:space="0" w:color="auto"/>
                  </w:divBdr>
                  <w:divsChild>
                    <w:div w:id="392896155">
                      <w:marLeft w:val="0"/>
                      <w:marRight w:val="0"/>
                      <w:marTop w:val="0"/>
                      <w:marBottom w:val="0"/>
                      <w:divBdr>
                        <w:top w:val="none" w:sz="0" w:space="0" w:color="auto"/>
                        <w:left w:val="none" w:sz="0" w:space="0" w:color="auto"/>
                        <w:bottom w:val="none" w:sz="0" w:space="0" w:color="auto"/>
                        <w:right w:val="none" w:sz="0" w:space="0" w:color="auto"/>
                      </w:divBdr>
                    </w:div>
                  </w:divsChild>
                </w:div>
                <w:div w:id="1023627598">
                  <w:marLeft w:val="0"/>
                  <w:marRight w:val="0"/>
                  <w:marTop w:val="0"/>
                  <w:marBottom w:val="0"/>
                  <w:divBdr>
                    <w:top w:val="none" w:sz="0" w:space="0" w:color="auto"/>
                    <w:left w:val="none" w:sz="0" w:space="0" w:color="auto"/>
                    <w:bottom w:val="none" w:sz="0" w:space="0" w:color="auto"/>
                    <w:right w:val="none" w:sz="0" w:space="0" w:color="auto"/>
                  </w:divBdr>
                  <w:divsChild>
                    <w:div w:id="475030293">
                      <w:marLeft w:val="0"/>
                      <w:marRight w:val="0"/>
                      <w:marTop w:val="0"/>
                      <w:marBottom w:val="0"/>
                      <w:divBdr>
                        <w:top w:val="none" w:sz="0" w:space="0" w:color="auto"/>
                        <w:left w:val="none" w:sz="0" w:space="0" w:color="auto"/>
                        <w:bottom w:val="none" w:sz="0" w:space="0" w:color="auto"/>
                        <w:right w:val="none" w:sz="0" w:space="0" w:color="auto"/>
                      </w:divBdr>
                    </w:div>
                  </w:divsChild>
                </w:div>
                <w:div w:id="1397700068">
                  <w:marLeft w:val="0"/>
                  <w:marRight w:val="0"/>
                  <w:marTop w:val="0"/>
                  <w:marBottom w:val="0"/>
                  <w:divBdr>
                    <w:top w:val="none" w:sz="0" w:space="0" w:color="auto"/>
                    <w:left w:val="none" w:sz="0" w:space="0" w:color="auto"/>
                    <w:bottom w:val="none" w:sz="0" w:space="0" w:color="auto"/>
                    <w:right w:val="none" w:sz="0" w:space="0" w:color="auto"/>
                  </w:divBdr>
                  <w:divsChild>
                    <w:div w:id="691494890">
                      <w:marLeft w:val="0"/>
                      <w:marRight w:val="0"/>
                      <w:marTop w:val="0"/>
                      <w:marBottom w:val="0"/>
                      <w:divBdr>
                        <w:top w:val="none" w:sz="0" w:space="0" w:color="auto"/>
                        <w:left w:val="none" w:sz="0" w:space="0" w:color="auto"/>
                        <w:bottom w:val="none" w:sz="0" w:space="0" w:color="auto"/>
                        <w:right w:val="none" w:sz="0" w:space="0" w:color="auto"/>
                      </w:divBdr>
                    </w:div>
                    <w:div w:id="1034421784">
                      <w:marLeft w:val="0"/>
                      <w:marRight w:val="0"/>
                      <w:marTop w:val="0"/>
                      <w:marBottom w:val="0"/>
                      <w:divBdr>
                        <w:top w:val="none" w:sz="0" w:space="0" w:color="auto"/>
                        <w:left w:val="none" w:sz="0" w:space="0" w:color="auto"/>
                        <w:bottom w:val="none" w:sz="0" w:space="0" w:color="auto"/>
                        <w:right w:val="none" w:sz="0" w:space="0" w:color="auto"/>
                      </w:divBdr>
                    </w:div>
                  </w:divsChild>
                </w:div>
                <w:div w:id="1418868281">
                  <w:marLeft w:val="0"/>
                  <w:marRight w:val="0"/>
                  <w:marTop w:val="0"/>
                  <w:marBottom w:val="0"/>
                  <w:divBdr>
                    <w:top w:val="none" w:sz="0" w:space="0" w:color="auto"/>
                    <w:left w:val="none" w:sz="0" w:space="0" w:color="auto"/>
                    <w:bottom w:val="none" w:sz="0" w:space="0" w:color="auto"/>
                    <w:right w:val="none" w:sz="0" w:space="0" w:color="auto"/>
                  </w:divBdr>
                  <w:divsChild>
                    <w:div w:id="809635069">
                      <w:marLeft w:val="0"/>
                      <w:marRight w:val="0"/>
                      <w:marTop w:val="0"/>
                      <w:marBottom w:val="0"/>
                      <w:divBdr>
                        <w:top w:val="none" w:sz="0" w:space="0" w:color="auto"/>
                        <w:left w:val="none" w:sz="0" w:space="0" w:color="auto"/>
                        <w:bottom w:val="none" w:sz="0" w:space="0" w:color="auto"/>
                        <w:right w:val="none" w:sz="0" w:space="0" w:color="auto"/>
                      </w:divBdr>
                    </w:div>
                  </w:divsChild>
                </w:div>
                <w:div w:id="1511215618">
                  <w:marLeft w:val="0"/>
                  <w:marRight w:val="0"/>
                  <w:marTop w:val="0"/>
                  <w:marBottom w:val="0"/>
                  <w:divBdr>
                    <w:top w:val="none" w:sz="0" w:space="0" w:color="auto"/>
                    <w:left w:val="none" w:sz="0" w:space="0" w:color="auto"/>
                    <w:bottom w:val="none" w:sz="0" w:space="0" w:color="auto"/>
                    <w:right w:val="none" w:sz="0" w:space="0" w:color="auto"/>
                  </w:divBdr>
                  <w:divsChild>
                    <w:div w:id="287971462">
                      <w:marLeft w:val="0"/>
                      <w:marRight w:val="0"/>
                      <w:marTop w:val="0"/>
                      <w:marBottom w:val="0"/>
                      <w:divBdr>
                        <w:top w:val="none" w:sz="0" w:space="0" w:color="auto"/>
                        <w:left w:val="none" w:sz="0" w:space="0" w:color="auto"/>
                        <w:bottom w:val="none" w:sz="0" w:space="0" w:color="auto"/>
                        <w:right w:val="none" w:sz="0" w:space="0" w:color="auto"/>
                      </w:divBdr>
                    </w:div>
                  </w:divsChild>
                </w:div>
                <w:div w:id="1617446387">
                  <w:marLeft w:val="0"/>
                  <w:marRight w:val="0"/>
                  <w:marTop w:val="0"/>
                  <w:marBottom w:val="0"/>
                  <w:divBdr>
                    <w:top w:val="none" w:sz="0" w:space="0" w:color="auto"/>
                    <w:left w:val="none" w:sz="0" w:space="0" w:color="auto"/>
                    <w:bottom w:val="none" w:sz="0" w:space="0" w:color="auto"/>
                    <w:right w:val="none" w:sz="0" w:space="0" w:color="auto"/>
                  </w:divBdr>
                  <w:divsChild>
                    <w:div w:id="1439831267">
                      <w:marLeft w:val="0"/>
                      <w:marRight w:val="0"/>
                      <w:marTop w:val="0"/>
                      <w:marBottom w:val="0"/>
                      <w:divBdr>
                        <w:top w:val="none" w:sz="0" w:space="0" w:color="auto"/>
                        <w:left w:val="none" w:sz="0" w:space="0" w:color="auto"/>
                        <w:bottom w:val="none" w:sz="0" w:space="0" w:color="auto"/>
                        <w:right w:val="none" w:sz="0" w:space="0" w:color="auto"/>
                      </w:divBdr>
                    </w:div>
                  </w:divsChild>
                </w:div>
                <w:div w:id="1644502075">
                  <w:marLeft w:val="0"/>
                  <w:marRight w:val="0"/>
                  <w:marTop w:val="0"/>
                  <w:marBottom w:val="0"/>
                  <w:divBdr>
                    <w:top w:val="none" w:sz="0" w:space="0" w:color="auto"/>
                    <w:left w:val="none" w:sz="0" w:space="0" w:color="auto"/>
                    <w:bottom w:val="none" w:sz="0" w:space="0" w:color="auto"/>
                    <w:right w:val="none" w:sz="0" w:space="0" w:color="auto"/>
                  </w:divBdr>
                  <w:divsChild>
                    <w:div w:id="998145956">
                      <w:marLeft w:val="0"/>
                      <w:marRight w:val="0"/>
                      <w:marTop w:val="0"/>
                      <w:marBottom w:val="0"/>
                      <w:divBdr>
                        <w:top w:val="none" w:sz="0" w:space="0" w:color="auto"/>
                        <w:left w:val="none" w:sz="0" w:space="0" w:color="auto"/>
                        <w:bottom w:val="none" w:sz="0" w:space="0" w:color="auto"/>
                        <w:right w:val="none" w:sz="0" w:space="0" w:color="auto"/>
                      </w:divBdr>
                    </w:div>
                  </w:divsChild>
                </w:div>
                <w:div w:id="1664428010">
                  <w:marLeft w:val="0"/>
                  <w:marRight w:val="0"/>
                  <w:marTop w:val="0"/>
                  <w:marBottom w:val="0"/>
                  <w:divBdr>
                    <w:top w:val="none" w:sz="0" w:space="0" w:color="auto"/>
                    <w:left w:val="none" w:sz="0" w:space="0" w:color="auto"/>
                    <w:bottom w:val="none" w:sz="0" w:space="0" w:color="auto"/>
                    <w:right w:val="none" w:sz="0" w:space="0" w:color="auto"/>
                  </w:divBdr>
                  <w:divsChild>
                    <w:div w:id="1126195496">
                      <w:marLeft w:val="0"/>
                      <w:marRight w:val="0"/>
                      <w:marTop w:val="0"/>
                      <w:marBottom w:val="0"/>
                      <w:divBdr>
                        <w:top w:val="none" w:sz="0" w:space="0" w:color="auto"/>
                        <w:left w:val="none" w:sz="0" w:space="0" w:color="auto"/>
                        <w:bottom w:val="none" w:sz="0" w:space="0" w:color="auto"/>
                        <w:right w:val="none" w:sz="0" w:space="0" w:color="auto"/>
                      </w:divBdr>
                    </w:div>
                  </w:divsChild>
                </w:div>
                <w:div w:id="1697658609">
                  <w:marLeft w:val="0"/>
                  <w:marRight w:val="0"/>
                  <w:marTop w:val="0"/>
                  <w:marBottom w:val="0"/>
                  <w:divBdr>
                    <w:top w:val="none" w:sz="0" w:space="0" w:color="auto"/>
                    <w:left w:val="none" w:sz="0" w:space="0" w:color="auto"/>
                    <w:bottom w:val="none" w:sz="0" w:space="0" w:color="auto"/>
                    <w:right w:val="none" w:sz="0" w:space="0" w:color="auto"/>
                  </w:divBdr>
                  <w:divsChild>
                    <w:div w:id="1832983193">
                      <w:marLeft w:val="0"/>
                      <w:marRight w:val="0"/>
                      <w:marTop w:val="0"/>
                      <w:marBottom w:val="0"/>
                      <w:divBdr>
                        <w:top w:val="none" w:sz="0" w:space="0" w:color="auto"/>
                        <w:left w:val="none" w:sz="0" w:space="0" w:color="auto"/>
                        <w:bottom w:val="none" w:sz="0" w:space="0" w:color="auto"/>
                        <w:right w:val="none" w:sz="0" w:space="0" w:color="auto"/>
                      </w:divBdr>
                    </w:div>
                  </w:divsChild>
                </w:div>
                <w:div w:id="1761683989">
                  <w:marLeft w:val="0"/>
                  <w:marRight w:val="0"/>
                  <w:marTop w:val="0"/>
                  <w:marBottom w:val="0"/>
                  <w:divBdr>
                    <w:top w:val="none" w:sz="0" w:space="0" w:color="auto"/>
                    <w:left w:val="none" w:sz="0" w:space="0" w:color="auto"/>
                    <w:bottom w:val="none" w:sz="0" w:space="0" w:color="auto"/>
                    <w:right w:val="none" w:sz="0" w:space="0" w:color="auto"/>
                  </w:divBdr>
                  <w:divsChild>
                    <w:div w:id="392047225">
                      <w:marLeft w:val="0"/>
                      <w:marRight w:val="0"/>
                      <w:marTop w:val="0"/>
                      <w:marBottom w:val="0"/>
                      <w:divBdr>
                        <w:top w:val="none" w:sz="0" w:space="0" w:color="auto"/>
                        <w:left w:val="none" w:sz="0" w:space="0" w:color="auto"/>
                        <w:bottom w:val="none" w:sz="0" w:space="0" w:color="auto"/>
                        <w:right w:val="none" w:sz="0" w:space="0" w:color="auto"/>
                      </w:divBdr>
                    </w:div>
                  </w:divsChild>
                </w:div>
                <w:div w:id="1767458420">
                  <w:marLeft w:val="0"/>
                  <w:marRight w:val="0"/>
                  <w:marTop w:val="0"/>
                  <w:marBottom w:val="0"/>
                  <w:divBdr>
                    <w:top w:val="none" w:sz="0" w:space="0" w:color="auto"/>
                    <w:left w:val="none" w:sz="0" w:space="0" w:color="auto"/>
                    <w:bottom w:val="none" w:sz="0" w:space="0" w:color="auto"/>
                    <w:right w:val="none" w:sz="0" w:space="0" w:color="auto"/>
                  </w:divBdr>
                </w:div>
                <w:div w:id="1862354413">
                  <w:marLeft w:val="0"/>
                  <w:marRight w:val="0"/>
                  <w:marTop w:val="0"/>
                  <w:marBottom w:val="0"/>
                  <w:divBdr>
                    <w:top w:val="none" w:sz="0" w:space="0" w:color="auto"/>
                    <w:left w:val="none" w:sz="0" w:space="0" w:color="auto"/>
                    <w:bottom w:val="none" w:sz="0" w:space="0" w:color="auto"/>
                    <w:right w:val="none" w:sz="0" w:space="0" w:color="auto"/>
                  </w:divBdr>
                  <w:divsChild>
                    <w:div w:id="1848249111">
                      <w:marLeft w:val="0"/>
                      <w:marRight w:val="0"/>
                      <w:marTop w:val="0"/>
                      <w:marBottom w:val="0"/>
                      <w:divBdr>
                        <w:top w:val="none" w:sz="0" w:space="0" w:color="auto"/>
                        <w:left w:val="none" w:sz="0" w:space="0" w:color="auto"/>
                        <w:bottom w:val="none" w:sz="0" w:space="0" w:color="auto"/>
                        <w:right w:val="none" w:sz="0" w:space="0" w:color="auto"/>
                      </w:divBdr>
                    </w:div>
                  </w:divsChild>
                </w:div>
                <w:div w:id="1873152663">
                  <w:marLeft w:val="0"/>
                  <w:marRight w:val="0"/>
                  <w:marTop w:val="0"/>
                  <w:marBottom w:val="0"/>
                  <w:divBdr>
                    <w:top w:val="none" w:sz="0" w:space="0" w:color="auto"/>
                    <w:left w:val="none" w:sz="0" w:space="0" w:color="auto"/>
                    <w:bottom w:val="none" w:sz="0" w:space="0" w:color="auto"/>
                    <w:right w:val="none" w:sz="0" w:space="0" w:color="auto"/>
                  </w:divBdr>
                  <w:divsChild>
                    <w:div w:id="69084169">
                      <w:marLeft w:val="0"/>
                      <w:marRight w:val="0"/>
                      <w:marTop w:val="0"/>
                      <w:marBottom w:val="0"/>
                      <w:divBdr>
                        <w:top w:val="none" w:sz="0" w:space="0" w:color="auto"/>
                        <w:left w:val="none" w:sz="0" w:space="0" w:color="auto"/>
                        <w:bottom w:val="none" w:sz="0" w:space="0" w:color="auto"/>
                        <w:right w:val="none" w:sz="0" w:space="0" w:color="auto"/>
                      </w:divBdr>
                    </w:div>
                  </w:divsChild>
                </w:div>
                <w:div w:id="1937589904">
                  <w:marLeft w:val="0"/>
                  <w:marRight w:val="0"/>
                  <w:marTop w:val="0"/>
                  <w:marBottom w:val="0"/>
                  <w:divBdr>
                    <w:top w:val="none" w:sz="0" w:space="0" w:color="auto"/>
                    <w:left w:val="none" w:sz="0" w:space="0" w:color="auto"/>
                    <w:bottom w:val="none" w:sz="0" w:space="0" w:color="auto"/>
                    <w:right w:val="none" w:sz="0" w:space="0" w:color="auto"/>
                  </w:divBdr>
                  <w:divsChild>
                    <w:div w:id="1331174648">
                      <w:marLeft w:val="0"/>
                      <w:marRight w:val="0"/>
                      <w:marTop w:val="0"/>
                      <w:marBottom w:val="0"/>
                      <w:divBdr>
                        <w:top w:val="none" w:sz="0" w:space="0" w:color="auto"/>
                        <w:left w:val="none" w:sz="0" w:space="0" w:color="auto"/>
                        <w:bottom w:val="none" w:sz="0" w:space="0" w:color="auto"/>
                        <w:right w:val="none" w:sz="0" w:space="0" w:color="auto"/>
                      </w:divBdr>
                    </w:div>
                  </w:divsChild>
                </w:div>
                <w:div w:id="1981497022">
                  <w:marLeft w:val="0"/>
                  <w:marRight w:val="0"/>
                  <w:marTop w:val="0"/>
                  <w:marBottom w:val="0"/>
                  <w:divBdr>
                    <w:top w:val="none" w:sz="0" w:space="0" w:color="auto"/>
                    <w:left w:val="none" w:sz="0" w:space="0" w:color="auto"/>
                    <w:bottom w:val="none" w:sz="0" w:space="0" w:color="auto"/>
                    <w:right w:val="none" w:sz="0" w:space="0" w:color="auto"/>
                  </w:divBdr>
                  <w:divsChild>
                    <w:div w:id="1158380539">
                      <w:marLeft w:val="0"/>
                      <w:marRight w:val="0"/>
                      <w:marTop w:val="0"/>
                      <w:marBottom w:val="0"/>
                      <w:divBdr>
                        <w:top w:val="none" w:sz="0" w:space="0" w:color="auto"/>
                        <w:left w:val="none" w:sz="0" w:space="0" w:color="auto"/>
                        <w:bottom w:val="none" w:sz="0" w:space="0" w:color="auto"/>
                        <w:right w:val="none" w:sz="0" w:space="0" w:color="auto"/>
                      </w:divBdr>
                    </w:div>
                  </w:divsChild>
                </w:div>
                <w:div w:id="2014523939">
                  <w:marLeft w:val="0"/>
                  <w:marRight w:val="0"/>
                  <w:marTop w:val="0"/>
                  <w:marBottom w:val="0"/>
                  <w:divBdr>
                    <w:top w:val="none" w:sz="0" w:space="0" w:color="auto"/>
                    <w:left w:val="none" w:sz="0" w:space="0" w:color="auto"/>
                    <w:bottom w:val="none" w:sz="0" w:space="0" w:color="auto"/>
                    <w:right w:val="none" w:sz="0" w:space="0" w:color="auto"/>
                  </w:divBdr>
                  <w:divsChild>
                    <w:div w:id="143594430">
                      <w:marLeft w:val="0"/>
                      <w:marRight w:val="0"/>
                      <w:marTop w:val="0"/>
                      <w:marBottom w:val="0"/>
                      <w:divBdr>
                        <w:top w:val="none" w:sz="0" w:space="0" w:color="auto"/>
                        <w:left w:val="none" w:sz="0" w:space="0" w:color="auto"/>
                        <w:bottom w:val="none" w:sz="0" w:space="0" w:color="auto"/>
                        <w:right w:val="none" w:sz="0" w:space="0" w:color="auto"/>
                      </w:divBdr>
                    </w:div>
                  </w:divsChild>
                </w:div>
                <w:div w:id="2026399897">
                  <w:marLeft w:val="0"/>
                  <w:marRight w:val="0"/>
                  <w:marTop w:val="0"/>
                  <w:marBottom w:val="0"/>
                  <w:divBdr>
                    <w:top w:val="none" w:sz="0" w:space="0" w:color="auto"/>
                    <w:left w:val="none" w:sz="0" w:space="0" w:color="auto"/>
                    <w:bottom w:val="none" w:sz="0" w:space="0" w:color="auto"/>
                    <w:right w:val="none" w:sz="0" w:space="0" w:color="auto"/>
                  </w:divBdr>
                  <w:divsChild>
                    <w:div w:id="1528592796">
                      <w:marLeft w:val="0"/>
                      <w:marRight w:val="0"/>
                      <w:marTop w:val="0"/>
                      <w:marBottom w:val="0"/>
                      <w:divBdr>
                        <w:top w:val="none" w:sz="0" w:space="0" w:color="auto"/>
                        <w:left w:val="none" w:sz="0" w:space="0" w:color="auto"/>
                        <w:bottom w:val="none" w:sz="0" w:space="0" w:color="auto"/>
                        <w:right w:val="none" w:sz="0" w:space="0" w:color="auto"/>
                      </w:divBdr>
                    </w:div>
                  </w:divsChild>
                </w:div>
                <w:div w:id="2045598766">
                  <w:marLeft w:val="0"/>
                  <w:marRight w:val="0"/>
                  <w:marTop w:val="0"/>
                  <w:marBottom w:val="0"/>
                  <w:divBdr>
                    <w:top w:val="none" w:sz="0" w:space="0" w:color="auto"/>
                    <w:left w:val="none" w:sz="0" w:space="0" w:color="auto"/>
                    <w:bottom w:val="none" w:sz="0" w:space="0" w:color="auto"/>
                    <w:right w:val="none" w:sz="0" w:space="0" w:color="auto"/>
                  </w:divBdr>
                  <w:divsChild>
                    <w:div w:id="2061053802">
                      <w:marLeft w:val="0"/>
                      <w:marRight w:val="0"/>
                      <w:marTop w:val="0"/>
                      <w:marBottom w:val="0"/>
                      <w:divBdr>
                        <w:top w:val="none" w:sz="0" w:space="0" w:color="auto"/>
                        <w:left w:val="none" w:sz="0" w:space="0" w:color="auto"/>
                        <w:bottom w:val="none" w:sz="0" w:space="0" w:color="auto"/>
                        <w:right w:val="none" w:sz="0" w:space="0" w:color="auto"/>
                      </w:divBdr>
                    </w:div>
                  </w:divsChild>
                </w:div>
                <w:div w:id="2085713158">
                  <w:marLeft w:val="0"/>
                  <w:marRight w:val="0"/>
                  <w:marTop w:val="0"/>
                  <w:marBottom w:val="0"/>
                  <w:divBdr>
                    <w:top w:val="none" w:sz="0" w:space="0" w:color="auto"/>
                    <w:left w:val="none" w:sz="0" w:space="0" w:color="auto"/>
                    <w:bottom w:val="none" w:sz="0" w:space="0" w:color="auto"/>
                    <w:right w:val="none" w:sz="0" w:space="0" w:color="auto"/>
                  </w:divBdr>
                  <w:divsChild>
                    <w:div w:id="20390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399086">
      <w:marLeft w:val="480"/>
      <w:marRight w:val="0"/>
      <w:marTop w:val="0"/>
      <w:marBottom w:val="0"/>
      <w:divBdr>
        <w:top w:val="none" w:sz="0" w:space="0" w:color="auto"/>
        <w:left w:val="none" w:sz="0" w:space="0" w:color="auto"/>
        <w:bottom w:val="none" w:sz="0" w:space="0" w:color="auto"/>
        <w:right w:val="none" w:sz="0" w:space="0" w:color="auto"/>
      </w:divBdr>
    </w:div>
    <w:div w:id="1847481000">
      <w:bodyDiv w:val="1"/>
      <w:marLeft w:val="0"/>
      <w:marRight w:val="0"/>
      <w:marTop w:val="0"/>
      <w:marBottom w:val="0"/>
      <w:divBdr>
        <w:top w:val="none" w:sz="0" w:space="0" w:color="auto"/>
        <w:left w:val="none" w:sz="0" w:space="0" w:color="auto"/>
        <w:bottom w:val="none" w:sz="0" w:space="0" w:color="auto"/>
        <w:right w:val="none" w:sz="0" w:space="0" w:color="auto"/>
      </w:divBdr>
      <w:divsChild>
        <w:div w:id="154538885">
          <w:marLeft w:val="-75"/>
          <w:marRight w:val="0"/>
          <w:marTop w:val="30"/>
          <w:marBottom w:val="30"/>
          <w:divBdr>
            <w:top w:val="none" w:sz="0" w:space="0" w:color="auto"/>
            <w:left w:val="none" w:sz="0" w:space="0" w:color="auto"/>
            <w:bottom w:val="none" w:sz="0" w:space="0" w:color="auto"/>
            <w:right w:val="none" w:sz="0" w:space="0" w:color="auto"/>
          </w:divBdr>
          <w:divsChild>
            <w:div w:id="29065018">
              <w:marLeft w:val="0"/>
              <w:marRight w:val="0"/>
              <w:marTop w:val="0"/>
              <w:marBottom w:val="0"/>
              <w:divBdr>
                <w:top w:val="none" w:sz="0" w:space="0" w:color="auto"/>
                <w:left w:val="none" w:sz="0" w:space="0" w:color="auto"/>
                <w:bottom w:val="none" w:sz="0" w:space="0" w:color="auto"/>
                <w:right w:val="none" w:sz="0" w:space="0" w:color="auto"/>
              </w:divBdr>
              <w:divsChild>
                <w:div w:id="394469291">
                  <w:marLeft w:val="0"/>
                  <w:marRight w:val="0"/>
                  <w:marTop w:val="0"/>
                  <w:marBottom w:val="0"/>
                  <w:divBdr>
                    <w:top w:val="none" w:sz="0" w:space="0" w:color="auto"/>
                    <w:left w:val="none" w:sz="0" w:space="0" w:color="auto"/>
                    <w:bottom w:val="none" w:sz="0" w:space="0" w:color="auto"/>
                    <w:right w:val="none" w:sz="0" w:space="0" w:color="auto"/>
                  </w:divBdr>
                </w:div>
              </w:divsChild>
            </w:div>
            <w:div w:id="401487935">
              <w:marLeft w:val="0"/>
              <w:marRight w:val="0"/>
              <w:marTop w:val="0"/>
              <w:marBottom w:val="0"/>
              <w:divBdr>
                <w:top w:val="none" w:sz="0" w:space="0" w:color="auto"/>
                <w:left w:val="none" w:sz="0" w:space="0" w:color="auto"/>
                <w:bottom w:val="none" w:sz="0" w:space="0" w:color="auto"/>
                <w:right w:val="none" w:sz="0" w:space="0" w:color="auto"/>
              </w:divBdr>
              <w:divsChild>
                <w:div w:id="847060287">
                  <w:marLeft w:val="0"/>
                  <w:marRight w:val="0"/>
                  <w:marTop w:val="0"/>
                  <w:marBottom w:val="0"/>
                  <w:divBdr>
                    <w:top w:val="none" w:sz="0" w:space="0" w:color="auto"/>
                    <w:left w:val="none" w:sz="0" w:space="0" w:color="auto"/>
                    <w:bottom w:val="none" w:sz="0" w:space="0" w:color="auto"/>
                    <w:right w:val="none" w:sz="0" w:space="0" w:color="auto"/>
                  </w:divBdr>
                </w:div>
              </w:divsChild>
            </w:div>
            <w:div w:id="590704460">
              <w:marLeft w:val="0"/>
              <w:marRight w:val="0"/>
              <w:marTop w:val="0"/>
              <w:marBottom w:val="0"/>
              <w:divBdr>
                <w:top w:val="none" w:sz="0" w:space="0" w:color="auto"/>
                <w:left w:val="none" w:sz="0" w:space="0" w:color="auto"/>
                <w:bottom w:val="none" w:sz="0" w:space="0" w:color="auto"/>
                <w:right w:val="none" w:sz="0" w:space="0" w:color="auto"/>
              </w:divBdr>
              <w:divsChild>
                <w:div w:id="1713725261">
                  <w:marLeft w:val="0"/>
                  <w:marRight w:val="0"/>
                  <w:marTop w:val="0"/>
                  <w:marBottom w:val="0"/>
                  <w:divBdr>
                    <w:top w:val="none" w:sz="0" w:space="0" w:color="auto"/>
                    <w:left w:val="none" w:sz="0" w:space="0" w:color="auto"/>
                    <w:bottom w:val="none" w:sz="0" w:space="0" w:color="auto"/>
                    <w:right w:val="none" w:sz="0" w:space="0" w:color="auto"/>
                  </w:divBdr>
                </w:div>
              </w:divsChild>
            </w:div>
            <w:div w:id="689717998">
              <w:marLeft w:val="0"/>
              <w:marRight w:val="0"/>
              <w:marTop w:val="0"/>
              <w:marBottom w:val="0"/>
              <w:divBdr>
                <w:top w:val="none" w:sz="0" w:space="0" w:color="auto"/>
                <w:left w:val="none" w:sz="0" w:space="0" w:color="auto"/>
                <w:bottom w:val="none" w:sz="0" w:space="0" w:color="auto"/>
                <w:right w:val="none" w:sz="0" w:space="0" w:color="auto"/>
              </w:divBdr>
              <w:divsChild>
                <w:div w:id="314651596">
                  <w:marLeft w:val="0"/>
                  <w:marRight w:val="0"/>
                  <w:marTop w:val="0"/>
                  <w:marBottom w:val="0"/>
                  <w:divBdr>
                    <w:top w:val="none" w:sz="0" w:space="0" w:color="auto"/>
                    <w:left w:val="none" w:sz="0" w:space="0" w:color="auto"/>
                    <w:bottom w:val="none" w:sz="0" w:space="0" w:color="auto"/>
                    <w:right w:val="none" w:sz="0" w:space="0" w:color="auto"/>
                  </w:divBdr>
                </w:div>
                <w:div w:id="1572810926">
                  <w:marLeft w:val="0"/>
                  <w:marRight w:val="0"/>
                  <w:marTop w:val="0"/>
                  <w:marBottom w:val="0"/>
                  <w:divBdr>
                    <w:top w:val="none" w:sz="0" w:space="0" w:color="auto"/>
                    <w:left w:val="none" w:sz="0" w:space="0" w:color="auto"/>
                    <w:bottom w:val="none" w:sz="0" w:space="0" w:color="auto"/>
                    <w:right w:val="none" w:sz="0" w:space="0" w:color="auto"/>
                  </w:divBdr>
                </w:div>
              </w:divsChild>
            </w:div>
            <w:div w:id="885723536">
              <w:marLeft w:val="0"/>
              <w:marRight w:val="0"/>
              <w:marTop w:val="0"/>
              <w:marBottom w:val="0"/>
              <w:divBdr>
                <w:top w:val="none" w:sz="0" w:space="0" w:color="auto"/>
                <w:left w:val="none" w:sz="0" w:space="0" w:color="auto"/>
                <w:bottom w:val="none" w:sz="0" w:space="0" w:color="auto"/>
                <w:right w:val="none" w:sz="0" w:space="0" w:color="auto"/>
              </w:divBdr>
              <w:divsChild>
                <w:div w:id="65996805">
                  <w:marLeft w:val="0"/>
                  <w:marRight w:val="0"/>
                  <w:marTop w:val="0"/>
                  <w:marBottom w:val="0"/>
                  <w:divBdr>
                    <w:top w:val="none" w:sz="0" w:space="0" w:color="auto"/>
                    <w:left w:val="none" w:sz="0" w:space="0" w:color="auto"/>
                    <w:bottom w:val="none" w:sz="0" w:space="0" w:color="auto"/>
                    <w:right w:val="none" w:sz="0" w:space="0" w:color="auto"/>
                  </w:divBdr>
                </w:div>
              </w:divsChild>
            </w:div>
            <w:div w:id="1142234271">
              <w:marLeft w:val="0"/>
              <w:marRight w:val="0"/>
              <w:marTop w:val="0"/>
              <w:marBottom w:val="0"/>
              <w:divBdr>
                <w:top w:val="none" w:sz="0" w:space="0" w:color="auto"/>
                <w:left w:val="none" w:sz="0" w:space="0" w:color="auto"/>
                <w:bottom w:val="none" w:sz="0" w:space="0" w:color="auto"/>
                <w:right w:val="none" w:sz="0" w:space="0" w:color="auto"/>
              </w:divBdr>
              <w:divsChild>
                <w:div w:id="1312634395">
                  <w:marLeft w:val="0"/>
                  <w:marRight w:val="0"/>
                  <w:marTop w:val="0"/>
                  <w:marBottom w:val="0"/>
                  <w:divBdr>
                    <w:top w:val="none" w:sz="0" w:space="0" w:color="auto"/>
                    <w:left w:val="none" w:sz="0" w:space="0" w:color="auto"/>
                    <w:bottom w:val="none" w:sz="0" w:space="0" w:color="auto"/>
                    <w:right w:val="none" w:sz="0" w:space="0" w:color="auto"/>
                  </w:divBdr>
                </w:div>
              </w:divsChild>
            </w:div>
            <w:div w:id="1268122215">
              <w:marLeft w:val="0"/>
              <w:marRight w:val="0"/>
              <w:marTop w:val="0"/>
              <w:marBottom w:val="0"/>
              <w:divBdr>
                <w:top w:val="none" w:sz="0" w:space="0" w:color="auto"/>
                <w:left w:val="none" w:sz="0" w:space="0" w:color="auto"/>
                <w:bottom w:val="none" w:sz="0" w:space="0" w:color="auto"/>
                <w:right w:val="none" w:sz="0" w:space="0" w:color="auto"/>
              </w:divBdr>
              <w:divsChild>
                <w:div w:id="2057464988">
                  <w:marLeft w:val="0"/>
                  <w:marRight w:val="0"/>
                  <w:marTop w:val="0"/>
                  <w:marBottom w:val="0"/>
                  <w:divBdr>
                    <w:top w:val="none" w:sz="0" w:space="0" w:color="auto"/>
                    <w:left w:val="none" w:sz="0" w:space="0" w:color="auto"/>
                    <w:bottom w:val="none" w:sz="0" w:space="0" w:color="auto"/>
                    <w:right w:val="none" w:sz="0" w:space="0" w:color="auto"/>
                  </w:divBdr>
                </w:div>
              </w:divsChild>
            </w:div>
            <w:div w:id="1521243122">
              <w:marLeft w:val="0"/>
              <w:marRight w:val="0"/>
              <w:marTop w:val="0"/>
              <w:marBottom w:val="0"/>
              <w:divBdr>
                <w:top w:val="none" w:sz="0" w:space="0" w:color="auto"/>
                <w:left w:val="none" w:sz="0" w:space="0" w:color="auto"/>
                <w:bottom w:val="none" w:sz="0" w:space="0" w:color="auto"/>
                <w:right w:val="none" w:sz="0" w:space="0" w:color="auto"/>
              </w:divBdr>
            </w:div>
            <w:div w:id="1753040375">
              <w:marLeft w:val="0"/>
              <w:marRight w:val="0"/>
              <w:marTop w:val="0"/>
              <w:marBottom w:val="0"/>
              <w:divBdr>
                <w:top w:val="none" w:sz="0" w:space="0" w:color="auto"/>
                <w:left w:val="none" w:sz="0" w:space="0" w:color="auto"/>
                <w:bottom w:val="none" w:sz="0" w:space="0" w:color="auto"/>
                <w:right w:val="none" w:sz="0" w:space="0" w:color="auto"/>
              </w:divBdr>
              <w:divsChild>
                <w:div w:id="12759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19758">
          <w:marLeft w:val="0"/>
          <w:marRight w:val="0"/>
          <w:marTop w:val="0"/>
          <w:marBottom w:val="0"/>
          <w:divBdr>
            <w:top w:val="none" w:sz="0" w:space="0" w:color="auto"/>
            <w:left w:val="none" w:sz="0" w:space="0" w:color="auto"/>
            <w:bottom w:val="none" w:sz="0" w:space="0" w:color="auto"/>
            <w:right w:val="none" w:sz="0" w:space="0" w:color="auto"/>
          </w:divBdr>
        </w:div>
        <w:div w:id="240911896">
          <w:marLeft w:val="0"/>
          <w:marRight w:val="0"/>
          <w:marTop w:val="0"/>
          <w:marBottom w:val="0"/>
          <w:divBdr>
            <w:top w:val="none" w:sz="0" w:space="0" w:color="auto"/>
            <w:left w:val="none" w:sz="0" w:space="0" w:color="auto"/>
            <w:bottom w:val="none" w:sz="0" w:space="0" w:color="auto"/>
            <w:right w:val="none" w:sz="0" w:space="0" w:color="auto"/>
          </w:divBdr>
        </w:div>
        <w:div w:id="538392780">
          <w:marLeft w:val="0"/>
          <w:marRight w:val="0"/>
          <w:marTop w:val="0"/>
          <w:marBottom w:val="0"/>
          <w:divBdr>
            <w:top w:val="none" w:sz="0" w:space="0" w:color="auto"/>
            <w:left w:val="none" w:sz="0" w:space="0" w:color="auto"/>
            <w:bottom w:val="none" w:sz="0" w:space="0" w:color="auto"/>
            <w:right w:val="none" w:sz="0" w:space="0" w:color="auto"/>
          </w:divBdr>
        </w:div>
        <w:div w:id="588392650">
          <w:marLeft w:val="0"/>
          <w:marRight w:val="0"/>
          <w:marTop w:val="0"/>
          <w:marBottom w:val="0"/>
          <w:divBdr>
            <w:top w:val="none" w:sz="0" w:space="0" w:color="auto"/>
            <w:left w:val="none" w:sz="0" w:space="0" w:color="auto"/>
            <w:bottom w:val="none" w:sz="0" w:space="0" w:color="auto"/>
            <w:right w:val="none" w:sz="0" w:space="0" w:color="auto"/>
          </w:divBdr>
        </w:div>
        <w:div w:id="734355815">
          <w:marLeft w:val="0"/>
          <w:marRight w:val="0"/>
          <w:marTop w:val="0"/>
          <w:marBottom w:val="0"/>
          <w:divBdr>
            <w:top w:val="none" w:sz="0" w:space="0" w:color="auto"/>
            <w:left w:val="none" w:sz="0" w:space="0" w:color="auto"/>
            <w:bottom w:val="none" w:sz="0" w:space="0" w:color="auto"/>
            <w:right w:val="none" w:sz="0" w:space="0" w:color="auto"/>
          </w:divBdr>
        </w:div>
        <w:div w:id="938369397">
          <w:marLeft w:val="-75"/>
          <w:marRight w:val="0"/>
          <w:marTop w:val="30"/>
          <w:marBottom w:val="30"/>
          <w:divBdr>
            <w:top w:val="none" w:sz="0" w:space="0" w:color="auto"/>
            <w:left w:val="none" w:sz="0" w:space="0" w:color="auto"/>
            <w:bottom w:val="none" w:sz="0" w:space="0" w:color="auto"/>
            <w:right w:val="none" w:sz="0" w:space="0" w:color="auto"/>
          </w:divBdr>
          <w:divsChild>
            <w:div w:id="977757648">
              <w:marLeft w:val="0"/>
              <w:marRight w:val="0"/>
              <w:marTop w:val="0"/>
              <w:marBottom w:val="0"/>
              <w:divBdr>
                <w:top w:val="none" w:sz="0" w:space="0" w:color="auto"/>
                <w:left w:val="none" w:sz="0" w:space="0" w:color="auto"/>
                <w:bottom w:val="none" w:sz="0" w:space="0" w:color="auto"/>
                <w:right w:val="none" w:sz="0" w:space="0" w:color="auto"/>
              </w:divBdr>
              <w:divsChild>
                <w:div w:id="1784686323">
                  <w:marLeft w:val="0"/>
                  <w:marRight w:val="0"/>
                  <w:marTop w:val="0"/>
                  <w:marBottom w:val="0"/>
                  <w:divBdr>
                    <w:top w:val="none" w:sz="0" w:space="0" w:color="auto"/>
                    <w:left w:val="none" w:sz="0" w:space="0" w:color="auto"/>
                    <w:bottom w:val="none" w:sz="0" w:space="0" w:color="auto"/>
                    <w:right w:val="none" w:sz="0" w:space="0" w:color="auto"/>
                  </w:divBdr>
                </w:div>
              </w:divsChild>
            </w:div>
            <w:div w:id="1093861395">
              <w:marLeft w:val="0"/>
              <w:marRight w:val="0"/>
              <w:marTop w:val="0"/>
              <w:marBottom w:val="0"/>
              <w:divBdr>
                <w:top w:val="none" w:sz="0" w:space="0" w:color="auto"/>
                <w:left w:val="none" w:sz="0" w:space="0" w:color="auto"/>
                <w:bottom w:val="none" w:sz="0" w:space="0" w:color="auto"/>
                <w:right w:val="none" w:sz="0" w:space="0" w:color="auto"/>
              </w:divBdr>
              <w:divsChild>
                <w:div w:id="246963711">
                  <w:marLeft w:val="0"/>
                  <w:marRight w:val="0"/>
                  <w:marTop w:val="0"/>
                  <w:marBottom w:val="0"/>
                  <w:divBdr>
                    <w:top w:val="none" w:sz="0" w:space="0" w:color="auto"/>
                    <w:left w:val="none" w:sz="0" w:space="0" w:color="auto"/>
                    <w:bottom w:val="none" w:sz="0" w:space="0" w:color="auto"/>
                    <w:right w:val="none" w:sz="0" w:space="0" w:color="auto"/>
                  </w:divBdr>
                </w:div>
                <w:div w:id="480730617">
                  <w:marLeft w:val="0"/>
                  <w:marRight w:val="0"/>
                  <w:marTop w:val="0"/>
                  <w:marBottom w:val="0"/>
                  <w:divBdr>
                    <w:top w:val="none" w:sz="0" w:space="0" w:color="auto"/>
                    <w:left w:val="none" w:sz="0" w:space="0" w:color="auto"/>
                    <w:bottom w:val="none" w:sz="0" w:space="0" w:color="auto"/>
                    <w:right w:val="none" w:sz="0" w:space="0" w:color="auto"/>
                  </w:divBdr>
                </w:div>
              </w:divsChild>
            </w:div>
            <w:div w:id="1155955408">
              <w:marLeft w:val="0"/>
              <w:marRight w:val="0"/>
              <w:marTop w:val="0"/>
              <w:marBottom w:val="0"/>
              <w:divBdr>
                <w:top w:val="none" w:sz="0" w:space="0" w:color="auto"/>
                <w:left w:val="none" w:sz="0" w:space="0" w:color="auto"/>
                <w:bottom w:val="none" w:sz="0" w:space="0" w:color="auto"/>
                <w:right w:val="none" w:sz="0" w:space="0" w:color="auto"/>
              </w:divBdr>
              <w:divsChild>
                <w:div w:id="1708530755">
                  <w:marLeft w:val="0"/>
                  <w:marRight w:val="0"/>
                  <w:marTop w:val="0"/>
                  <w:marBottom w:val="0"/>
                  <w:divBdr>
                    <w:top w:val="none" w:sz="0" w:space="0" w:color="auto"/>
                    <w:left w:val="none" w:sz="0" w:space="0" w:color="auto"/>
                    <w:bottom w:val="none" w:sz="0" w:space="0" w:color="auto"/>
                    <w:right w:val="none" w:sz="0" w:space="0" w:color="auto"/>
                  </w:divBdr>
                </w:div>
              </w:divsChild>
            </w:div>
            <w:div w:id="1871990208">
              <w:marLeft w:val="0"/>
              <w:marRight w:val="0"/>
              <w:marTop w:val="0"/>
              <w:marBottom w:val="0"/>
              <w:divBdr>
                <w:top w:val="none" w:sz="0" w:space="0" w:color="auto"/>
                <w:left w:val="none" w:sz="0" w:space="0" w:color="auto"/>
                <w:bottom w:val="none" w:sz="0" w:space="0" w:color="auto"/>
                <w:right w:val="none" w:sz="0" w:space="0" w:color="auto"/>
              </w:divBdr>
            </w:div>
            <w:div w:id="2088108306">
              <w:marLeft w:val="0"/>
              <w:marRight w:val="0"/>
              <w:marTop w:val="0"/>
              <w:marBottom w:val="0"/>
              <w:divBdr>
                <w:top w:val="none" w:sz="0" w:space="0" w:color="auto"/>
                <w:left w:val="none" w:sz="0" w:space="0" w:color="auto"/>
                <w:bottom w:val="none" w:sz="0" w:space="0" w:color="auto"/>
                <w:right w:val="none" w:sz="0" w:space="0" w:color="auto"/>
              </w:divBdr>
              <w:divsChild>
                <w:div w:id="49148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8529">
          <w:marLeft w:val="0"/>
          <w:marRight w:val="0"/>
          <w:marTop w:val="0"/>
          <w:marBottom w:val="0"/>
          <w:divBdr>
            <w:top w:val="none" w:sz="0" w:space="0" w:color="auto"/>
            <w:left w:val="none" w:sz="0" w:space="0" w:color="auto"/>
            <w:bottom w:val="none" w:sz="0" w:space="0" w:color="auto"/>
            <w:right w:val="none" w:sz="0" w:space="0" w:color="auto"/>
          </w:divBdr>
        </w:div>
        <w:div w:id="1148980355">
          <w:marLeft w:val="-75"/>
          <w:marRight w:val="0"/>
          <w:marTop w:val="30"/>
          <w:marBottom w:val="30"/>
          <w:divBdr>
            <w:top w:val="none" w:sz="0" w:space="0" w:color="auto"/>
            <w:left w:val="none" w:sz="0" w:space="0" w:color="auto"/>
            <w:bottom w:val="none" w:sz="0" w:space="0" w:color="auto"/>
            <w:right w:val="none" w:sz="0" w:space="0" w:color="auto"/>
          </w:divBdr>
          <w:divsChild>
            <w:div w:id="150214679">
              <w:marLeft w:val="0"/>
              <w:marRight w:val="0"/>
              <w:marTop w:val="0"/>
              <w:marBottom w:val="0"/>
              <w:divBdr>
                <w:top w:val="none" w:sz="0" w:space="0" w:color="auto"/>
                <w:left w:val="none" w:sz="0" w:space="0" w:color="auto"/>
                <w:bottom w:val="none" w:sz="0" w:space="0" w:color="auto"/>
                <w:right w:val="none" w:sz="0" w:space="0" w:color="auto"/>
              </w:divBdr>
              <w:divsChild>
                <w:div w:id="106707009">
                  <w:marLeft w:val="0"/>
                  <w:marRight w:val="0"/>
                  <w:marTop w:val="0"/>
                  <w:marBottom w:val="0"/>
                  <w:divBdr>
                    <w:top w:val="none" w:sz="0" w:space="0" w:color="auto"/>
                    <w:left w:val="none" w:sz="0" w:space="0" w:color="auto"/>
                    <w:bottom w:val="none" w:sz="0" w:space="0" w:color="auto"/>
                    <w:right w:val="none" w:sz="0" w:space="0" w:color="auto"/>
                  </w:divBdr>
                </w:div>
                <w:div w:id="1091659683">
                  <w:marLeft w:val="0"/>
                  <w:marRight w:val="0"/>
                  <w:marTop w:val="0"/>
                  <w:marBottom w:val="0"/>
                  <w:divBdr>
                    <w:top w:val="none" w:sz="0" w:space="0" w:color="auto"/>
                    <w:left w:val="none" w:sz="0" w:space="0" w:color="auto"/>
                    <w:bottom w:val="none" w:sz="0" w:space="0" w:color="auto"/>
                    <w:right w:val="none" w:sz="0" w:space="0" w:color="auto"/>
                  </w:divBdr>
                </w:div>
              </w:divsChild>
            </w:div>
            <w:div w:id="1008215761">
              <w:marLeft w:val="0"/>
              <w:marRight w:val="0"/>
              <w:marTop w:val="0"/>
              <w:marBottom w:val="0"/>
              <w:divBdr>
                <w:top w:val="none" w:sz="0" w:space="0" w:color="auto"/>
                <w:left w:val="none" w:sz="0" w:space="0" w:color="auto"/>
                <w:bottom w:val="none" w:sz="0" w:space="0" w:color="auto"/>
                <w:right w:val="none" w:sz="0" w:space="0" w:color="auto"/>
              </w:divBdr>
              <w:divsChild>
                <w:div w:id="80342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079">
          <w:marLeft w:val="-75"/>
          <w:marRight w:val="0"/>
          <w:marTop w:val="30"/>
          <w:marBottom w:val="30"/>
          <w:divBdr>
            <w:top w:val="none" w:sz="0" w:space="0" w:color="auto"/>
            <w:left w:val="none" w:sz="0" w:space="0" w:color="auto"/>
            <w:bottom w:val="none" w:sz="0" w:space="0" w:color="auto"/>
            <w:right w:val="none" w:sz="0" w:space="0" w:color="auto"/>
          </w:divBdr>
          <w:divsChild>
            <w:div w:id="25521999">
              <w:marLeft w:val="0"/>
              <w:marRight w:val="0"/>
              <w:marTop w:val="0"/>
              <w:marBottom w:val="0"/>
              <w:divBdr>
                <w:top w:val="none" w:sz="0" w:space="0" w:color="auto"/>
                <w:left w:val="none" w:sz="0" w:space="0" w:color="auto"/>
                <w:bottom w:val="none" w:sz="0" w:space="0" w:color="auto"/>
                <w:right w:val="none" w:sz="0" w:space="0" w:color="auto"/>
              </w:divBdr>
              <w:divsChild>
                <w:div w:id="1863545087">
                  <w:marLeft w:val="0"/>
                  <w:marRight w:val="0"/>
                  <w:marTop w:val="0"/>
                  <w:marBottom w:val="0"/>
                  <w:divBdr>
                    <w:top w:val="none" w:sz="0" w:space="0" w:color="auto"/>
                    <w:left w:val="none" w:sz="0" w:space="0" w:color="auto"/>
                    <w:bottom w:val="none" w:sz="0" w:space="0" w:color="auto"/>
                    <w:right w:val="none" w:sz="0" w:space="0" w:color="auto"/>
                  </w:divBdr>
                </w:div>
              </w:divsChild>
            </w:div>
            <w:div w:id="75369499">
              <w:marLeft w:val="0"/>
              <w:marRight w:val="0"/>
              <w:marTop w:val="0"/>
              <w:marBottom w:val="0"/>
              <w:divBdr>
                <w:top w:val="none" w:sz="0" w:space="0" w:color="auto"/>
                <w:left w:val="none" w:sz="0" w:space="0" w:color="auto"/>
                <w:bottom w:val="none" w:sz="0" w:space="0" w:color="auto"/>
                <w:right w:val="none" w:sz="0" w:space="0" w:color="auto"/>
              </w:divBdr>
              <w:divsChild>
                <w:div w:id="667557033">
                  <w:marLeft w:val="0"/>
                  <w:marRight w:val="0"/>
                  <w:marTop w:val="0"/>
                  <w:marBottom w:val="0"/>
                  <w:divBdr>
                    <w:top w:val="none" w:sz="0" w:space="0" w:color="auto"/>
                    <w:left w:val="none" w:sz="0" w:space="0" w:color="auto"/>
                    <w:bottom w:val="none" w:sz="0" w:space="0" w:color="auto"/>
                    <w:right w:val="none" w:sz="0" w:space="0" w:color="auto"/>
                  </w:divBdr>
                </w:div>
              </w:divsChild>
            </w:div>
            <w:div w:id="158277866">
              <w:marLeft w:val="0"/>
              <w:marRight w:val="0"/>
              <w:marTop w:val="0"/>
              <w:marBottom w:val="0"/>
              <w:divBdr>
                <w:top w:val="none" w:sz="0" w:space="0" w:color="auto"/>
                <w:left w:val="none" w:sz="0" w:space="0" w:color="auto"/>
                <w:bottom w:val="none" w:sz="0" w:space="0" w:color="auto"/>
                <w:right w:val="none" w:sz="0" w:space="0" w:color="auto"/>
              </w:divBdr>
              <w:divsChild>
                <w:div w:id="1429236150">
                  <w:marLeft w:val="0"/>
                  <w:marRight w:val="0"/>
                  <w:marTop w:val="0"/>
                  <w:marBottom w:val="0"/>
                  <w:divBdr>
                    <w:top w:val="none" w:sz="0" w:space="0" w:color="auto"/>
                    <w:left w:val="none" w:sz="0" w:space="0" w:color="auto"/>
                    <w:bottom w:val="none" w:sz="0" w:space="0" w:color="auto"/>
                    <w:right w:val="none" w:sz="0" w:space="0" w:color="auto"/>
                  </w:divBdr>
                </w:div>
              </w:divsChild>
            </w:div>
            <w:div w:id="224149192">
              <w:marLeft w:val="0"/>
              <w:marRight w:val="0"/>
              <w:marTop w:val="0"/>
              <w:marBottom w:val="0"/>
              <w:divBdr>
                <w:top w:val="none" w:sz="0" w:space="0" w:color="auto"/>
                <w:left w:val="none" w:sz="0" w:space="0" w:color="auto"/>
                <w:bottom w:val="none" w:sz="0" w:space="0" w:color="auto"/>
                <w:right w:val="none" w:sz="0" w:space="0" w:color="auto"/>
              </w:divBdr>
            </w:div>
            <w:div w:id="485323445">
              <w:marLeft w:val="0"/>
              <w:marRight w:val="0"/>
              <w:marTop w:val="0"/>
              <w:marBottom w:val="0"/>
              <w:divBdr>
                <w:top w:val="none" w:sz="0" w:space="0" w:color="auto"/>
                <w:left w:val="none" w:sz="0" w:space="0" w:color="auto"/>
                <w:bottom w:val="none" w:sz="0" w:space="0" w:color="auto"/>
                <w:right w:val="none" w:sz="0" w:space="0" w:color="auto"/>
              </w:divBdr>
              <w:divsChild>
                <w:div w:id="667711820">
                  <w:marLeft w:val="0"/>
                  <w:marRight w:val="0"/>
                  <w:marTop w:val="0"/>
                  <w:marBottom w:val="0"/>
                  <w:divBdr>
                    <w:top w:val="none" w:sz="0" w:space="0" w:color="auto"/>
                    <w:left w:val="none" w:sz="0" w:space="0" w:color="auto"/>
                    <w:bottom w:val="none" w:sz="0" w:space="0" w:color="auto"/>
                    <w:right w:val="none" w:sz="0" w:space="0" w:color="auto"/>
                  </w:divBdr>
                </w:div>
                <w:div w:id="2085763070">
                  <w:marLeft w:val="0"/>
                  <w:marRight w:val="0"/>
                  <w:marTop w:val="0"/>
                  <w:marBottom w:val="0"/>
                  <w:divBdr>
                    <w:top w:val="none" w:sz="0" w:space="0" w:color="auto"/>
                    <w:left w:val="none" w:sz="0" w:space="0" w:color="auto"/>
                    <w:bottom w:val="none" w:sz="0" w:space="0" w:color="auto"/>
                    <w:right w:val="none" w:sz="0" w:space="0" w:color="auto"/>
                  </w:divBdr>
                </w:div>
              </w:divsChild>
            </w:div>
            <w:div w:id="710225007">
              <w:marLeft w:val="0"/>
              <w:marRight w:val="0"/>
              <w:marTop w:val="0"/>
              <w:marBottom w:val="0"/>
              <w:divBdr>
                <w:top w:val="none" w:sz="0" w:space="0" w:color="auto"/>
                <w:left w:val="none" w:sz="0" w:space="0" w:color="auto"/>
                <w:bottom w:val="none" w:sz="0" w:space="0" w:color="auto"/>
                <w:right w:val="none" w:sz="0" w:space="0" w:color="auto"/>
              </w:divBdr>
              <w:divsChild>
                <w:div w:id="1558279424">
                  <w:marLeft w:val="0"/>
                  <w:marRight w:val="0"/>
                  <w:marTop w:val="0"/>
                  <w:marBottom w:val="0"/>
                  <w:divBdr>
                    <w:top w:val="none" w:sz="0" w:space="0" w:color="auto"/>
                    <w:left w:val="none" w:sz="0" w:space="0" w:color="auto"/>
                    <w:bottom w:val="none" w:sz="0" w:space="0" w:color="auto"/>
                    <w:right w:val="none" w:sz="0" w:space="0" w:color="auto"/>
                  </w:divBdr>
                </w:div>
              </w:divsChild>
            </w:div>
            <w:div w:id="1071847041">
              <w:marLeft w:val="0"/>
              <w:marRight w:val="0"/>
              <w:marTop w:val="0"/>
              <w:marBottom w:val="0"/>
              <w:divBdr>
                <w:top w:val="none" w:sz="0" w:space="0" w:color="auto"/>
                <w:left w:val="none" w:sz="0" w:space="0" w:color="auto"/>
                <w:bottom w:val="none" w:sz="0" w:space="0" w:color="auto"/>
                <w:right w:val="none" w:sz="0" w:space="0" w:color="auto"/>
              </w:divBdr>
              <w:divsChild>
                <w:div w:id="1232152577">
                  <w:marLeft w:val="0"/>
                  <w:marRight w:val="0"/>
                  <w:marTop w:val="0"/>
                  <w:marBottom w:val="0"/>
                  <w:divBdr>
                    <w:top w:val="none" w:sz="0" w:space="0" w:color="auto"/>
                    <w:left w:val="none" w:sz="0" w:space="0" w:color="auto"/>
                    <w:bottom w:val="none" w:sz="0" w:space="0" w:color="auto"/>
                    <w:right w:val="none" w:sz="0" w:space="0" w:color="auto"/>
                  </w:divBdr>
                </w:div>
                <w:div w:id="1414625347">
                  <w:marLeft w:val="0"/>
                  <w:marRight w:val="0"/>
                  <w:marTop w:val="0"/>
                  <w:marBottom w:val="0"/>
                  <w:divBdr>
                    <w:top w:val="none" w:sz="0" w:space="0" w:color="auto"/>
                    <w:left w:val="none" w:sz="0" w:space="0" w:color="auto"/>
                    <w:bottom w:val="none" w:sz="0" w:space="0" w:color="auto"/>
                    <w:right w:val="none" w:sz="0" w:space="0" w:color="auto"/>
                  </w:divBdr>
                </w:div>
              </w:divsChild>
            </w:div>
            <w:div w:id="1546602160">
              <w:marLeft w:val="0"/>
              <w:marRight w:val="0"/>
              <w:marTop w:val="0"/>
              <w:marBottom w:val="0"/>
              <w:divBdr>
                <w:top w:val="none" w:sz="0" w:space="0" w:color="auto"/>
                <w:left w:val="none" w:sz="0" w:space="0" w:color="auto"/>
                <w:bottom w:val="none" w:sz="0" w:space="0" w:color="auto"/>
                <w:right w:val="none" w:sz="0" w:space="0" w:color="auto"/>
              </w:divBdr>
              <w:divsChild>
                <w:div w:id="1308584950">
                  <w:marLeft w:val="0"/>
                  <w:marRight w:val="0"/>
                  <w:marTop w:val="0"/>
                  <w:marBottom w:val="0"/>
                  <w:divBdr>
                    <w:top w:val="none" w:sz="0" w:space="0" w:color="auto"/>
                    <w:left w:val="none" w:sz="0" w:space="0" w:color="auto"/>
                    <w:bottom w:val="none" w:sz="0" w:space="0" w:color="auto"/>
                    <w:right w:val="none" w:sz="0" w:space="0" w:color="auto"/>
                  </w:divBdr>
                </w:div>
              </w:divsChild>
            </w:div>
            <w:div w:id="1936749438">
              <w:marLeft w:val="0"/>
              <w:marRight w:val="0"/>
              <w:marTop w:val="0"/>
              <w:marBottom w:val="0"/>
              <w:divBdr>
                <w:top w:val="none" w:sz="0" w:space="0" w:color="auto"/>
                <w:left w:val="none" w:sz="0" w:space="0" w:color="auto"/>
                <w:bottom w:val="none" w:sz="0" w:space="0" w:color="auto"/>
                <w:right w:val="none" w:sz="0" w:space="0" w:color="auto"/>
              </w:divBdr>
              <w:divsChild>
                <w:div w:id="210155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6793">
          <w:marLeft w:val="0"/>
          <w:marRight w:val="0"/>
          <w:marTop w:val="0"/>
          <w:marBottom w:val="0"/>
          <w:divBdr>
            <w:top w:val="none" w:sz="0" w:space="0" w:color="auto"/>
            <w:left w:val="none" w:sz="0" w:space="0" w:color="auto"/>
            <w:bottom w:val="none" w:sz="0" w:space="0" w:color="auto"/>
            <w:right w:val="none" w:sz="0" w:space="0" w:color="auto"/>
          </w:divBdr>
        </w:div>
        <w:div w:id="1468280364">
          <w:marLeft w:val="-75"/>
          <w:marRight w:val="0"/>
          <w:marTop w:val="30"/>
          <w:marBottom w:val="30"/>
          <w:divBdr>
            <w:top w:val="none" w:sz="0" w:space="0" w:color="auto"/>
            <w:left w:val="none" w:sz="0" w:space="0" w:color="auto"/>
            <w:bottom w:val="none" w:sz="0" w:space="0" w:color="auto"/>
            <w:right w:val="none" w:sz="0" w:space="0" w:color="auto"/>
          </w:divBdr>
          <w:divsChild>
            <w:div w:id="226303082">
              <w:marLeft w:val="0"/>
              <w:marRight w:val="0"/>
              <w:marTop w:val="0"/>
              <w:marBottom w:val="0"/>
              <w:divBdr>
                <w:top w:val="none" w:sz="0" w:space="0" w:color="auto"/>
                <w:left w:val="none" w:sz="0" w:space="0" w:color="auto"/>
                <w:bottom w:val="none" w:sz="0" w:space="0" w:color="auto"/>
                <w:right w:val="none" w:sz="0" w:space="0" w:color="auto"/>
              </w:divBdr>
              <w:divsChild>
                <w:div w:id="241641198">
                  <w:marLeft w:val="0"/>
                  <w:marRight w:val="0"/>
                  <w:marTop w:val="0"/>
                  <w:marBottom w:val="0"/>
                  <w:divBdr>
                    <w:top w:val="none" w:sz="0" w:space="0" w:color="auto"/>
                    <w:left w:val="none" w:sz="0" w:space="0" w:color="auto"/>
                    <w:bottom w:val="none" w:sz="0" w:space="0" w:color="auto"/>
                    <w:right w:val="none" w:sz="0" w:space="0" w:color="auto"/>
                  </w:divBdr>
                </w:div>
                <w:div w:id="1511409426">
                  <w:marLeft w:val="0"/>
                  <w:marRight w:val="0"/>
                  <w:marTop w:val="0"/>
                  <w:marBottom w:val="0"/>
                  <w:divBdr>
                    <w:top w:val="none" w:sz="0" w:space="0" w:color="auto"/>
                    <w:left w:val="none" w:sz="0" w:space="0" w:color="auto"/>
                    <w:bottom w:val="none" w:sz="0" w:space="0" w:color="auto"/>
                    <w:right w:val="none" w:sz="0" w:space="0" w:color="auto"/>
                  </w:divBdr>
                </w:div>
              </w:divsChild>
            </w:div>
            <w:div w:id="249778947">
              <w:marLeft w:val="0"/>
              <w:marRight w:val="0"/>
              <w:marTop w:val="0"/>
              <w:marBottom w:val="0"/>
              <w:divBdr>
                <w:top w:val="none" w:sz="0" w:space="0" w:color="auto"/>
                <w:left w:val="none" w:sz="0" w:space="0" w:color="auto"/>
                <w:bottom w:val="none" w:sz="0" w:space="0" w:color="auto"/>
                <w:right w:val="none" w:sz="0" w:space="0" w:color="auto"/>
              </w:divBdr>
              <w:divsChild>
                <w:div w:id="3046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94138">
          <w:marLeft w:val="0"/>
          <w:marRight w:val="0"/>
          <w:marTop w:val="0"/>
          <w:marBottom w:val="0"/>
          <w:divBdr>
            <w:top w:val="none" w:sz="0" w:space="0" w:color="auto"/>
            <w:left w:val="none" w:sz="0" w:space="0" w:color="auto"/>
            <w:bottom w:val="none" w:sz="0" w:space="0" w:color="auto"/>
            <w:right w:val="none" w:sz="0" w:space="0" w:color="auto"/>
          </w:divBdr>
        </w:div>
        <w:div w:id="1517188818">
          <w:marLeft w:val="0"/>
          <w:marRight w:val="0"/>
          <w:marTop w:val="0"/>
          <w:marBottom w:val="0"/>
          <w:divBdr>
            <w:top w:val="none" w:sz="0" w:space="0" w:color="auto"/>
            <w:left w:val="none" w:sz="0" w:space="0" w:color="auto"/>
            <w:bottom w:val="none" w:sz="0" w:space="0" w:color="auto"/>
            <w:right w:val="none" w:sz="0" w:space="0" w:color="auto"/>
          </w:divBdr>
        </w:div>
        <w:div w:id="1646473847">
          <w:marLeft w:val="-75"/>
          <w:marRight w:val="0"/>
          <w:marTop w:val="30"/>
          <w:marBottom w:val="30"/>
          <w:divBdr>
            <w:top w:val="none" w:sz="0" w:space="0" w:color="auto"/>
            <w:left w:val="none" w:sz="0" w:space="0" w:color="auto"/>
            <w:bottom w:val="none" w:sz="0" w:space="0" w:color="auto"/>
            <w:right w:val="none" w:sz="0" w:space="0" w:color="auto"/>
          </w:divBdr>
          <w:divsChild>
            <w:div w:id="1444057">
              <w:marLeft w:val="0"/>
              <w:marRight w:val="0"/>
              <w:marTop w:val="0"/>
              <w:marBottom w:val="0"/>
              <w:divBdr>
                <w:top w:val="none" w:sz="0" w:space="0" w:color="auto"/>
                <w:left w:val="none" w:sz="0" w:space="0" w:color="auto"/>
                <w:bottom w:val="none" w:sz="0" w:space="0" w:color="auto"/>
                <w:right w:val="none" w:sz="0" w:space="0" w:color="auto"/>
              </w:divBdr>
              <w:divsChild>
                <w:div w:id="939292804">
                  <w:marLeft w:val="0"/>
                  <w:marRight w:val="0"/>
                  <w:marTop w:val="0"/>
                  <w:marBottom w:val="0"/>
                  <w:divBdr>
                    <w:top w:val="none" w:sz="0" w:space="0" w:color="auto"/>
                    <w:left w:val="none" w:sz="0" w:space="0" w:color="auto"/>
                    <w:bottom w:val="none" w:sz="0" w:space="0" w:color="auto"/>
                    <w:right w:val="none" w:sz="0" w:space="0" w:color="auto"/>
                  </w:divBdr>
                </w:div>
              </w:divsChild>
            </w:div>
            <w:div w:id="272520043">
              <w:marLeft w:val="0"/>
              <w:marRight w:val="0"/>
              <w:marTop w:val="0"/>
              <w:marBottom w:val="0"/>
              <w:divBdr>
                <w:top w:val="none" w:sz="0" w:space="0" w:color="auto"/>
                <w:left w:val="none" w:sz="0" w:space="0" w:color="auto"/>
                <w:bottom w:val="none" w:sz="0" w:space="0" w:color="auto"/>
                <w:right w:val="none" w:sz="0" w:space="0" w:color="auto"/>
              </w:divBdr>
              <w:divsChild>
                <w:div w:id="98183208">
                  <w:marLeft w:val="0"/>
                  <w:marRight w:val="0"/>
                  <w:marTop w:val="0"/>
                  <w:marBottom w:val="0"/>
                  <w:divBdr>
                    <w:top w:val="none" w:sz="0" w:space="0" w:color="auto"/>
                    <w:left w:val="none" w:sz="0" w:space="0" w:color="auto"/>
                    <w:bottom w:val="none" w:sz="0" w:space="0" w:color="auto"/>
                    <w:right w:val="none" w:sz="0" w:space="0" w:color="auto"/>
                  </w:divBdr>
                </w:div>
              </w:divsChild>
            </w:div>
            <w:div w:id="544953443">
              <w:marLeft w:val="0"/>
              <w:marRight w:val="0"/>
              <w:marTop w:val="0"/>
              <w:marBottom w:val="0"/>
              <w:divBdr>
                <w:top w:val="none" w:sz="0" w:space="0" w:color="auto"/>
                <w:left w:val="none" w:sz="0" w:space="0" w:color="auto"/>
                <w:bottom w:val="none" w:sz="0" w:space="0" w:color="auto"/>
                <w:right w:val="none" w:sz="0" w:space="0" w:color="auto"/>
              </w:divBdr>
              <w:divsChild>
                <w:div w:id="1422262820">
                  <w:marLeft w:val="0"/>
                  <w:marRight w:val="0"/>
                  <w:marTop w:val="0"/>
                  <w:marBottom w:val="0"/>
                  <w:divBdr>
                    <w:top w:val="none" w:sz="0" w:space="0" w:color="auto"/>
                    <w:left w:val="none" w:sz="0" w:space="0" w:color="auto"/>
                    <w:bottom w:val="none" w:sz="0" w:space="0" w:color="auto"/>
                    <w:right w:val="none" w:sz="0" w:space="0" w:color="auto"/>
                  </w:divBdr>
                </w:div>
              </w:divsChild>
            </w:div>
            <w:div w:id="1187209612">
              <w:marLeft w:val="0"/>
              <w:marRight w:val="0"/>
              <w:marTop w:val="0"/>
              <w:marBottom w:val="0"/>
              <w:divBdr>
                <w:top w:val="none" w:sz="0" w:space="0" w:color="auto"/>
                <w:left w:val="none" w:sz="0" w:space="0" w:color="auto"/>
                <w:bottom w:val="none" w:sz="0" w:space="0" w:color="auto"/>
                <w:right w:val="none" w:sz="0" w:space="0" w:color="auto"/>
              </w:divBdr>
              <w:divsChild>
                <w:div w:id="1001929260">
                  <w:marLeft w:val="0"/>
                  <w:marRight w:val="0"/>
                  <w:marTop w:val="0"/>
                  <w:marBottom w:val="0"/>
                  <w:divBdr>
                    <w:top w:val="none" w:sz="0" w:space="0" w:color="auto"/>
                    <w:left w:val="none" w:sz="0" w:space="0" w:color="auto"/>
                    <w:bottom w:val="none" w:sz="0" w:space="0" w:color="auto"/>
                    <w:right w:val="none" w:sz="0" w:space="0" w:color="auto"/>
                  </w:divBdr>
                </w:div>
              </w:divsChild>
            </w:div>
            <w:div w:id="1227839278">
              <w:marLeft w:val="0"/>
              <w:marRight w:val="0"/>
              <w:marTop w:val="0"/>
              <w:marBottom w:val="0"/>
              <w:divBdr>
                <w:top w:val="none" w:sz="0" w:space="0" w:color="auto"/>
                <w:left w:val="none" w:sz="0" w:space="0" w:color="auto"/>
                <w:bottom w:val="none" w:sz="0" w:space="0" w:color="auto"/>
                <w:right w:val="none" w:sz="0" w:space="0" w:color="auto"/>
              </w:divBdr>
              <w:divsChild>
                <w:div w:id="2076856371">
                  <w:marLeft w:val="0"/>
                  <w:marRight w:val="0"/>
                  <w:marTop w:val="0"/>
                  <w:marBottom w:val="0"/>
                  <w:divBdr>
                    <w:top w:val="none" w:sz="0" w:space="0" w:color="auto"/>
                    <w:left w:val="none" w:sz="0" w:space="0" w:color="auto"/>
                    <w:bottom w:val="none" w:sz="0" w:space="0" w:color="auto"/>
                    <w:right w:val="none" w:sz="0" w:space="0" w:color="auto"/>
                  </w:divBdr>
                </w:div>
              </w:divsChild>
            </w:div>
            <w:div w:id="1245870655">
              <w:marLeft w:val="0"/>
              <w:marRight w:val="0"/>
              <w:marTop w:val="0"/>
              <w:marBottom w:val="0"/>
              <w:divBdr>
                <w:top w:val="none" w:sz="0" w:space="0" w:color="auto"/>
                <w:left w:val="none" w:sz="0" w:space="0" w:color="auto"/>
                <w:bottom w:val="none" w:sz="0" w:space="0" w:color="auto"/>
                <w:right w:val="none" w:sz="0" w:space="0" w:color="auto"/>
              </w:divBdr>
              <w:divsChild>
                <w:div w:id="342899408">
                  <w:marLeft w:val="0"/>
                  <w:marRight w:val="0"/>
                  <w:marTop w:val="0"/>
                  <w:marBottom w:val="0"/>
                  <w:divBdr>
                    <w:top w:val="none" w:sz="0" w:space="0" w:color="auto"/>
                    <w:left w:val="none" w:sz="0" w:space="0" w:color="auto"/>
                    <w:bottom w:val="none" w:sz="0" w:space="0" w:color="auto"/>
                    <w:right w:val="none" w:sz="0" w:space="0" w:color="auto"/>
                  </w:divBdr>
                </w:div>
                <w:div w:id="1255673405">
                  <w:marLeft w:val="0"/>
                  <w:marRight w:val="0"/>
                  <w:marTop w:val="0"/>
                  <w:marBottom w:val="0"/>
                  <w:divBdr>
                    <w:top w:val="none" w:sz="0" w:space="0" w:color="auto"/>
                    <w:left w:val="none" w:sz="0" w:space="0" w:color="auto"/>
                    <w:bottom w:val="none" w:sz="0" w:space="0" w:color="auto"/>
                    <w:right w:val="none" w:sz="0" w:space="0" w:color="auto"/>
                  </w:divBdr>
                </w:div>
              </w:divsChild>
            </w:div>
            <w:div w:id="1248688078">
              <w:marLeft w:val="0"/>
              <w:marRight w:val="0"/>
              <w:marTop w:val="0"/>
              <w:marBottom w:val="0"/>
              <w:divBdr>
                <w:top w:val="none" w:sz="0" w:space="0" w:color="auto"/>
                <w:left w:val="none" w:sz="0" w:space="0" w:color="auto"/>
                <w:bottom w:val="none" w:sz="0" w:space="0" w:color="auto"/>
                <w:right w:val="none" w:sz="0" w:space="0" w:color="auto"/>
              </w:divBdr>
              <w:divsChild>
                <w:div w:id="1684816279">
                  <w:marLeft w:val="0"/>
                  <w:marRight w:val="0"/>
                  <w:marTop w:val="0"/>
                  <w:marBottom w:val="0"/>
                  <w:divBdr>
                    <w:top w:val="none" w:sz="0" w:space="0" w:color="auto"/>
                    <w:left w:val="none" w:sz="0" w:space="0" w:color="auto"/>
                    <w:bottom w:val="none" w:sz="0" w:space="0" w:color="auto"/>
                    <w:right w:val="none" w:sz="0" w:space="0" w:color="auto"/>
                  </w:divBdr>
                </w:div>
              </w:divsChild>
            </w:div>
            <w:div w:id="1543832944">
              <w:marLeft w:val="0"/>
              <w:marRight w:val="0"/>
              <w:marTop w:val="0"/>
              <w:marBottom w:val="0"/>
              <w:divBdr>
                <w:top w:val="none" w:sz="0" w:space="0" w:color="auto"/>
                <w:left w:val="none" w:sz="0" w:space="0" w:color="auto"/>
                <w:bottom w:val="none" w:sz="0" w:space="0" w:color="auto"/>
                <w:right w:val="none" w:sz="0" w:space="0" w:color="auto"/>
              </w:divBdr>
            </w:div>
            <w:div w:id="1979603339">
              <w:marLeft w:val="0"/>
              <w:marRight w:val="0"/>
              <w:marTop w:val="0"/>
              <w:marBottom w:val="0"/>
              <w:divBdr>
                <w:top w:val="none" w:sz="0" w:space="0" w:color="auto"/>
                <w:left w:val="none" w:sz="0" w:space="0" w:color="auto"/>
                <w:bottom w:val="none" w:sz="0" w:space="0" w:color="auto"/>
                <w:right w:val="none" w:sz="0" w:space="0" w:color="auto"/>
              </w:divBdr>
              <w:divsChild>
                <w:div w:id="121327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1176">
          <w:marLeft w:val="-75"/>
          <w:marRight w:val="0"/>
          <w:marTop w:val="30"/>
          <w:marBottom w:val="30"/>
          <w:divBdr>
            <w:top w:val="none" w:sz="0" w:space="0" w:color="auto"/>
            <w:left w:val="none" w:sz="0" w:space="0" w:color="auto"/>
            <w:bottom w:val="none" w:sz="0" w:space="0" w:color="auto"/>
            <w:right w:val="none" w:sz="0" w:space="0" w:color="auto"/>
          </w:divBdr>
          <w:divsChild>
            <w:div w:id="649479972">
              <w:marLeft w:val="0"/>
              <w:marRight w:val="0"/>
              <w:marTop w:val="0"/>
              <w:marBottom w:val="0"/>
              <w:divBdr>
                <w:top w:val="none" w:sz="0" w:space="0" w:color="auto"/>
                <w:left w:val="none" w:sz="0" w:space="0" w:color="auto"/>
                <w:bottom w:val="none" w:sz="0" w:space="0" w:color="auto"/>
                <w:right w:val="none" w:sz="0" w:space="0" w:color="auto"/>
              </w:divBdr>
              <w:divsChild>
                <w:div w:id="1273975284">
                  <w:marLeft w:val="0"/>
                  <w:marRight w:val="0"/>
                  <w:marTop w:val="0"/>
                  <w:marBottom w:val="0"/>
                  <w:divBdr>
                    <w:top w:val="none" w:sz="0" w:space="0" w:color="auto"/>
                    <w:left w:val="none" w:sz="0" w:space="0" w:color="auto"/>
                    <w:bottom w:val="none" w:sz="0" w:space="0" w:color="auto"/>
                    <w:right w:val="none" w:sz="0" w:space="0" w:color="auto"/>
                  </w:divBdr>
                </w:div>
              </w:divsChild>
            </w:div>
            <w:div w:id="1193348509">
              <w:marLeft w:val="0"/>
              <w:marRight w:val="0"/>
              <w:marTop w:val="0"/>
              <w:marBottom w:val="0"/>
              <w:divBdr>
                <w:top w:val="none" w:sz="0" w:space="0" w:color="auto"/>
                <w:left w:val="none" w:sz="0" w:space="0" w:color="auto"/>
                <w:bottom w:val="none" w:sz="0" w:space="0" w:color="auto"/>
                <w:right w:val="none" w:sz="0" w:space="0" w:color="auto"/>
              </w:divBdr>
              <w:divsChild>
                <w:div w:id="153106181">
                  <w:marLeft w:val="0"/>
                  <w:marRight w:val="0"/>
                  <w:marTop w:val="0"/>
                  <w:marBottom w:val="0"/>
                  <w:divBdr>
                    <w:top w:val="none" w:sz="0" w:space="0" w:color="auto"/>
                    <w:left w:val="none" w:sz="0" w:space="0" w:color="auto"/>
                    <w:bottom w:val="none" w:sz="0" w:space="0" w:color="auto"/>
                    <w:right w:val="none" w:sz="0" w:space="0" w:color="auto"/>
                  </w:divBdr>
                </w:div>
                <w:div w:id="121019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2385">
          <w:marLeft w:val="0"/>
          <w:marRight w:val="0"/>
          <w:marTop w:val="0"/>
          <w:marBottom w:val="0"/>
          <w:divBdr>
            <w:top w:val="none" w:sz="0" w:space="0" w:color="auto"/>
            <w:left w:val="none" w:sz="0" w:space="0" w:color="auto"/>
            <w:bottom w:val="none" w:sz="0" w:space="0" w:color="auto"/>
            <w:right w:val="none" w:sz="0" w:space="0" w:color="auto"/>
          </w:divBdr>
        </w:div>
        <w:div w:id="1799644190">
          <w:marLeft w:val="0"/>
          <w:marRight w:val="0"/>
          <w:marTop w:val="0"/>
          <w:marBottom w:val="0"/>
          <w:divBdr>
            <w:top w:val="none" w:sz="0" w:space="0" w:color="auto"/>
            <w:left w:val="none" w:sz="0" w:space="0" w:color="auto"/>
            <w:bottom w:val="none" w:sz="0" w:space="0" w:color="auto"/>
            <w:right w:val="none" w:sz="0" w:space="0" w:color="auto"/>
          </w:divBdr>
        </w:div>
        <w:div w:id="1887176598">
          <w:marLeft w:val="0"/>
          <w:marRight w:val="0"/>
          <w:marTop w:val="0"/>
          <w:marBottom w:val="0"/>
          <w:divBdr>
            <w:top w:val="none" w:sz="0" w:space="0" w:color="auto"/>
            <w:left w:val="none" w:sz="0" w:space="0" w:color="auto"/>
            <w:bottom w:val="none" w:sz="0" w:space="0" w:color="auto"/>
            <w:right w:val="none" w:sz="0" w:space="0" w:color="auto"/>
          </w:divBdr>
        </w:div>
        <w:div w:id="1891577464">
          <w:marLeft w:val="0"/>
          <w:marRight w:val="0"/>
          <w:marTop w:val="0"/>
          <w:marBottom w:val="0"/>
          <w:divBdr>
            <w:top w:val="none" w:sz="0" w:space="0" w:color="auto"/>
            <w:left w:val="none" w:sz="0" w:space="0" w:color="auto"/>
            <w:bottom w:val="none" w:sz="0" w:space="0" w:color="auto"/>
            <w:right w:val="none" w:sz="0" w:space="0" w:color="auto"/>
          </w:divBdr>
        </w:div>
        <w:div w:id="2124226025">
          <w:marLeft w:val="0"/>
          <w:marRight w:val="0"/>
          <w:marTop w:val="0"/>
          <w:marBottom w:val="0"/>
          <w:divBdr>
            <w:top w:val="none" w:sz="0" w:space="0" w:color="auto"/>
            <w:left w:val="none" w:sz="0" w:space="0" w:color="auto"/>
            <w:bottom w:val="none" w:sz="0" w:space="0" w:color="auto"/>
            <w:right w:val="none" w:sz="0" w:space="0" w:color="auto"/>
          </w:divBdr>
        </w:div>
        <w:div w:id="2140680351">
          <w:marLeft w:val="0"/>
          <w:marRight w:val="0"/>
          <w:marTop w:val="0"/>
          <w:marBottom w:val="0"/>
          <w:divBdr>
            <w:top w:val="none" w:sz="0" w:space="0" w:color="auto"/>
            <w:left w:val="none" w:sz="0" w:space="0" w:color="auto"/>
            <w:bottom w:val="none" w:sz="0" w:space="0" w:color="auto"/>
            <w:right w:val="none" w:sz="0" w:space="0" w:color="auto"/>
          </w:divBdr>
        </w:div>
      </w:divsChild>
    </w:div>
    <w:div w:id="1849250901">
      <w:marLeft w:val="480"/>
      <w:marRight w:val="0"/>
      <w:marTop w:val="0"/>
      <w:marBottom w:val="0"/>
      <w:divBdr>
        <w:top w:val="none" w:sz="0" w:space="0" w:color="auto"/>
        <w:left w:val="none" w:sz="0" w:space="0" w:color="auto"/>
        <w:bottom w:val="none" w:sz="0" w:space="0" w:color="auto"/>
        <w:right w:val="none" w:sz="0" w:space="0" w:color="auto"/>
      </w:divBdr>
    </w:div>
    <w:div w:id="1850947225">
      <w:bodyDiv w:val="1"/>
      <w:marLeft w:val="0"/>
      <w:marRight w:val="0"/>
      <w:marTop w:val="0"/>
      <w:marBottom w:val="0"/>
      <w:divBdr>
        <w:top w:val="none" w:sz="0" w:space="0" w:color="auto"/>
        <w:left w:val="none" w:sz="0" w:space="0" w:color="auto"/>
        <w:bottom w:val="none" w:sz="0" w:space="0" w:color="auto"/>
        <w:right w:val="none" w:sz="0" w:space="0" w:color="auto"/>
      </w:divBdr>
    </w:div>
    <w:div w:id="1852258407">
      <w:bodyDiv w:val="1"/>
      <w:marLeft w:val="0"/>
      <w:marRight w:val="0"/>
      <w:marTop w:val="0"/>
      <w:marBottom w:val="0"/>
      <w:divBdr>
        <w:top w:val="none" w:sz="0" w:space="0" w:color="auto"/>
        <w:left w:val="none" w:sz="0" w:space="0" w:color="auto"/>
        <w:bottom w:val="none" w:sz="0" w:space="0" w:color="auto"/>
        <w:right w:val="none" w:sz="0" w:space="0" w:color="auto"/>
      </w:divBdr>
      <w:divsChild>
        <w:div w:id="45297544">
          <w:marLeft w:val="480"/>
          <w:marRight w:val="0"/>
          <w:marTop w:val="0"/>
          <w:marBottom w:val="0"/>
          <w:divBdr>
            <w:top w:val="none" w:sz="0" w:space="0" w:color="auto"/>
            <w:left w:val="none" w:sz="0" w:space="0" w:color="auto"/>
            <w:bottom w:val="none" w:sz="0" w:space="0" w:color="auto"/>
            <w:right w:val="none" w:sz="0" w:space="0" w:color="auto"/>
          </w:divBdr>
        </w:div>
        <w:div w:id="201209719">
          <w:marLeft w:val="480"/>
          <w:marRight w:val="0"/>
          <w:marTop w:val="0"/>
          <w:marBottom w:val="0"/>
          <w:divBdr>
            <w:top w:val="none" w:sz="0" w:space="0" w:color="auto"/>
            <w:left w:val="none" w:sz="0" w:space="0" w:color="auto"/>
            <w:bottom w:val="none" w:sz="0" w:space="0" w:color="auto"/>
            <w:right w:val="none" w:sz="0" w:space="0" w:color="auto"/>
          </w:divBdr>
        </w:div>
        <w:div w:id="274021980">
          <w:marLeft w:val="480"/>
          <w:marRight w:val="0"/>
          <w:marTop w:val="0"/>
          <w:marBottom w:val="0"/>
          <w:divBdr>
            <w:top w:val="none" w:sz="0" w:space="0" w:color="auto"/>
            <w:left w:val="none" w:sz="0" w:space="0" w:color="auto"/>
            <w:bottom w:val="none" w:sz="0" w:space="0" w:color="auto"/>
            <w:right w:val="none" w:sz="0" w:space="0" w:color="auto"/>
          </w:divBdr>
        </w:div>
        <w:div w:id="1217818212">
          <w:marLeft w:val="480"/>
          <w:marRight w:val="0"/>
          <w:marTop w:val="0"/>
          <w:marBottom w:val="0"/>
          <w:divBdr>
            <w:top w:val="none" w:sz="0" w:space="0" w:color="auto"/>
            <w:left w:val="none" w:sz="0" w:space="0" w:color="auto"/>
            <w:bottom w:val="none" w:sz="0" w:space="0" w:color="auto"/>
            <w:right w:val="none" w:sz="0" w:space="0" w:color="auto"/>
          </w:divBdr>
        </w:div>
        <w:div w:id="1341078172">
          <w:marLeft w:val="480"/>
          <w:marRight w:val="0"/>
          <w:marTop w:val="0"/>
          <w:marBottom w:val="0"/>
          <w:divBdr>
            <w:top w:val="none" w:sz="0" w:space="0" w:color="auto"/>
            <w:left w:val="none" w:sz="0" w:space="0" w:color="auto"/>
            <w:bottom w:val="none" w:sz="0" w:space="0" w:color="auto"/>
            <w:right w:val="none" w:sz="0" w:space="0" w:color="auto"/>
          </w:divBdr>
        </w:div>
        <w:div w:id="1659114560">
          <w:marLeft w:val="480"/>
          <w:marRight w:val="0"/>
          <w:marTop w:val="0"/>
          <w:marBottom w:val="0"/>
          <w:divBdr>
            <w:top w:val="none" w:sz="0" w:space="0" w:color="auto"/>
            <w:left w:val="none" w:sz="0" w:space="0" w:color="auto"/>
            <w:bottom w:val="none" w:sz="0" w:space="0" w:color="auto"/>
            <w:right w:val="none" w:sz="0" w:space="0" w:color="auto"/>
          </w:divBdr>
        </w:div>
        <w:div w:id="1713385701">
          <w:marLeft w:val="480"/>
          <w:marRight w:val="0"/>
          <w:marTop w:val="0"/>
          <w:marBottom w:val="0"/>
          <w:divBdr>
            <w:top w:val="none" w:sz="0" w:space="0" w:color="auto"/>
            <w:left w:val="none" w:sz="0" w:space="0" w:color="auto"/>
            <w:bottom w:val="none" w:sz="0" w:space="0" w:color="auto"/>
            <w:right w:val="none" w:sz="0" w:space="0" w:color="auto"/>
          </w:divBdr>
        </w:div>
        <w:div w:id="1886286142">
          <w:marLeft w:val="480"/>
          <w:marRight w:val="0"/>
          <w:marTop w:val="0"/>
          <w:marBottom w:val="0"/>
          <w:divBdr>
            <w:top w:val="none" w:sz="0" w:space="0" w:color="auto"/>
            <w:left w:val="none" w:sz="0" w:space="0" w:color="auto"/>
            <w:bottom w:val="none" w:sz="0" w:space="0" w:color="auto"/>
            <w:right w:val="none" w:sz="0" w:space="0" w:color="auto"/>
          </w:divBdr>
        </w:div>
        <w:div w:id="1927684395">
          <w:marLeft w:val="480"/>
          <w:marRight w:val="0"/>
          <w:marTop w:val="0"/>
          <w:marBottom w:val="0"/>
          <w:divBdr>
            <w:top w:val="none" w:sz="0" w:space="0" w:color="auto"/>
            <w:left w:val="none" w:sz="0" w:space="0" w:color="auto"/>
            <w:bottom w:val="none" w:sz="0" w:space="0" w:color="auto"/>
            <w:right w:val="none" w:sz="0" w:space="0" w:color="auto"/>
          </w:divBdr>
        </w:div>
      </w:divsChild>
    </w:div>
    <w:div w:id="1852722379">
      <w:bodyDiv w:val="1"/>
      <w:marLeft w:val="0"/>
      <w:marRight w:val="0"/>
      <w:marTop w:val="0"/>
      <w:marBottom w:val="0"/>
      <w:divBdr>
        <w:top w:val="none" w:sz="0" w:space="0" w:color="auto"/>
        <w:left w:val="none" w:sz="0" w:space="0" w:color="auto"/>
        <w:bottom w:val="none" w:sz="0" w:space="0" w:color="auto"/>
        <w:right w:val="none" w:sz="0" w:space="0" w:color="auto"/>
      </w:divBdr>
    </w:div>
    <w:div w:id="1852794374">
      <w:marLeft w:val="480"/>
      <w:marRight w:val="0"/>
      <w:marTop w:val="0"/>
      <w:marBottom w:val="0"/>
      <w:divBdr>
        <w:top w:val="none" w:sz="0" w:space="0" w:color="auto"/>
        <w:left w:val="none" w:sz="0" w:space="0" w:color="auto"/>
        <w:bottom w:val="none" w:sz="0" w:space="0" w:color="auto"/>
        <w:right w:val="none" w:sz="0" w:space="0" w:color="auto"/>
      </w:divBdr>
    </w:div>
    <w:div w:id="1854300937">
      <w:marLeft w:val="480"/>
      <w:marRight w:val="0"/>
      <w:marTop w:val="0"/>
      <w:marBottom w:val="0"/>
      <w:divBdr>
        <w:top w:val="none" w:sz="0" w:space="0" w:color="auto"/>
        <w:left w:val="none" w:sz="0" w:space="0" w:color="auto"/>
        <w:bottom w:val="none" w:sz="0" w:space="0" w:color="auto"/>
        <w:right w:val="none" w:sz="0" w:space="0" w:color="auto"/>
      </w:divBdr>
    </w:div>
    <w:div w:id="1856842736">
      <w:marLeft w:val="480"/>
      <w:marRight w:val="0"/>
      <w:marTop w:val="0"/>
      <w:marBottom w:val="0"/>
      <w:divBdr>
        <w:top w:val="none" w:sz="0" w:space="0" w:color="auto"/>
        <w:left w:val="none" w:sz="0" w:space="0" w:color="auto"/>
        <w:bottom w:val="none" w:sz="0" w:space="0" w:color="auto"/>
        <w:right w:val="none" w:sz="0" w:space="0" w:color="auto"/>
      </w:divBdr>
    </w:div>
    <w:div w:id="1862936827">
      <w:marLeft w:val="480"/>
      <w:marRight w:val="0"/>
      <w:marTop w:val="0"/>
      <w:marBottom w:val="0"/>
      <w:divBdr>
        <w:top w:val="none" w:sz="0" w:space="0" w:color="auto"/>
        <w:left w:val="none" w:sz="0" w:space="0" w:color="auto"/>
        <w:bottom w:val="none" w:sz="0" w:space="0" w:color="auto"/>
        <w:right w:val="none" w:sz="0" w:space="0" w:color="auto"/>
      </w:divBdr>
    </w:div>
    <w:div w:id="1868516803">
      <w:marLeft w:val="480"/>
      <w:marRight w:val="0"/>
      <w:marTop w:val="0"/>
      <w:marBottom w:val="0"/>
      <w:divBdr>
        <w:top w:val="none" w:sz="0" w:space="0" w:color="auto"/>
        <w:left w:val="none" w:sz="0" w:space="0" w:color="auto"/>
        <w:bottom w:val="none" w:sz="0" w:space="0" w:color="auto"/>
        <w:right w:val="none" w:sz="0" w:space="0" w:color="auto"/>
      </w:divBdr>
    </w:div>
    <w:div w:id="1870754608">
      <w:marLeft w:val="480"/>
      <w:marRight w:val="0"/>
      <w:marTop w:val="0"/>
      <w:marBottom w:val="0"/>
      <w:divBdr>
        <w:top w:val="none" w:sz="0" w:space="0" w:color="auto"/>
        <w:left w:val="none" w:sz="0" w:space="0" w:color="auto"/>
        <w:bottom w:val="none" w:sz="0" w:space="0" w:color="auto"/>
        <w:right w:val="none" w:sz="0" w:space="0" w:color="auto"/>
      </w:divBdr>
    </w:div>
    <w:div w:id="1874339017">
      <w:marLeft w:val="480"/>
      <w:marRight w:val="0"/>
      <w:marTop w:val="0"/>
      <w:marBottom w:val="0"/>
      <w:divBdr>
        <w:top w:val="none" w:sz="0" w:space="0" w:color="auto"/>
        <w:left w:val="none" w:sz="0" w:space="0" w:color="auto"/>
        <w:bottom w:val="none" w:sz="0" w:space="0" w:color="auto"/>
        <w:right w:val="none" w:sz="0" w:space="0" w:color="auto"/>
      </w:divBdr>
    </w:div>
    <w:div w:id="1874682787">
      <w:marLeft w:val="480"/>
      <w:marRight w:val="0"/>
      <w:marTop w:val="0"/>
      <w:marBottom w:val="0"/>
      <w:divBdr>
        <w:top w:val="none" w:sz="0" w:space="0" w:color="auto"/>
        <w:left w:val="none" w:sz="0" w:space="0" w:color="auto"/>
        <w:bottom w:val="none" w:sz="0" w:space="0" w:color="auto"/>
        <w:right w:val="none" w:sz="0" w:space="0" w:color="auto"/>
      </w:divBdr>
    </w:div>
    <w:div w:id="1874684989">
      <w:bodyDiv w:val="1"/>
      <w:marLeft w:val="0"/>
      <w:marRight w:val="0"/>
      <w:marTop w:val="0"/>
      <w:marBottom w:val="0"/>
      <w:divBdr>
        <w:top w:val="none" w:sz="0" w:space="0" w:color="auto"/>
        <w:left w:val="none" w:sz="0" w:space="0" w:color="auto"/>
        <w:bottom w:val="none" w:sz="0" w:space="0" w:color="auto"/>
        <w:right w:val="none" w:sz="0" w:space="0" w:color="auto"/>
      </w:divBdr>
    </w:div>
    <w:div w:id="1875650359">
      <w:marLeft w:val="480"/>
      <w:marRight w:val="0"/>
      <w:marTop w:val="0"/>
      <w:marBottom w:val="0"/>
      <w:divBdr>
        <w:top w:val="none" w:sz="0" w:space="0" w:color="auto"/>
        <w:left w:val="none" w:sz="0" w:space="0" w:color="auto"/>
        <w:bottom w:val="none" w:sz="0" w:space="0" w:color="auto"/>
        <w:right w:val="none" w:sz="0" w:space="0" w:color="auto"/>
      </w:divBdr>
    </w:div>
    <w:div w:id="1876968049">
      <w:marLeft w:val="480"/>
      <w:marRight w:val="0"/>
      <w:marTop w:val="0"/>
      <w:marBottom w:val="0"/>
      <w:divBdr>
        <w:top w:val="none" w:sz="0" w:space="0" w:color="auto"/>
        <w:left w:val="none" w:sz="0" w:space="0" w:color="auto"/>
        <w:bottom w:val="none" w:sz="0" w:space="0" w:color="auto"/>
        <w:right w:val="none" w:sz="0" w:space="0" w:color="auto"/>
      </w:divBdr>
    </w:div>
    <w:div w:id="1881549342">
      <w:marLeft w:val="480"/>
      <w:marRight w:val="0"/>
      <w:marTop w:val="0"/>
      <w:marBottom w:val="0"/>
      <w:divBdr>
        <w:top w:val="none" w:sz="0" w:space="0" w:color="auto"/>
        <w:left w:val="none" w:sz="0" w:space="0" w:color="auto"/>
        <w:bottom w:val="none" w:sz="0" w:space="0" w:color="auto"/>
        <w:right w:val="none" w:sz="0" w:space="0" w:color="auto"/>
      </w:divBdr>
    </w:div>
    <w:div w:id="1885555220">
      <w:marLeft w:val="480"/>
      <w:marRight w:val="0"/>
      <w:marTop w:val="0"/>
      <w:marBottom w:val="0"/>
      <w:divBdr>
        <w:top w:val="none" w:sz="0" w:space="0" w:color="auto"/>
        <w:left w:val="none" w:sz="0" w:space="0" w:color="auto"/>
        <w:bottom w:val="none" w:sz="0" w:space="0" w:color="auto"/>
        <w:right w:val="none" w:sz="0" w:space="0" w:color="auto"/>
      </w:divBdr>
    </w:div>
    <w:div w:id="1887640753">
      <w:bodyDiv w:val="1"/>
      <w:marLeft w:val="0"/>
      <w:marRight w:val="0"/>
      <w:marTop w:val="0"/>
      <w:marBottom w:val="0"/>
      <w:divBdr>
        <w:top w:val="none" w:sz="0" w:space="0" w:color="auto"/>
        <w:left w:val="none" w:sz="0" w:space="0" w:color="auto"/>
        <w:bottom w:val="none" w:sz="0" w:space="0" w:color="auto"/>
        <w:right w:val="none" w:sz="0" w:space="0" w:color="auto"/>
      </w:divBdr>
    </w:div>
    <w:div w:id="1888640916">
      <w:marLeft w:val="480"/>
      <w:marRight w:val="0"/>
      <w:marTop w:val="0"/>
      <w:marBottom w:val="0"/>
      <w:divBdr>
        <w:top w:val="none" w:sz="0" w:space="0" w:color="auto"/>
        <w:left w:val="none" w:sz="0" w:space="0" w:color="auto"/>
        <w:bottom w:val="none" w:sz="0" w:space="0" w:color="auto"/>
        <w:right w:val="none" w:sz="0" w:space="0" w:color="auto"/>
      </w:divBdr>
    </w:div>
    <w:div w:id="1889489733">
      <w:marLeft w:val="480"/>
      <w:marRight w:val="0"/>
      <w:marTop w:val="0"/>
      <w:marBottom w:val="0"/>
      <w:divBdr>
        <w:top w:val="none" w:sz="0" w:space="0" w:color="auto"/>
        <w:left w:val="none" w:sz="0" w:space="0" w:color="auto"/>
        <w:bottom w:val="none" w:sz="0" w:space="0" w:color="auto"/>
        <w:right w:val="none" w:sz="0" w:space="0" w:color="auto"/>
      </w:divBdr>
    </w:div>
    <w:div w:id="1889755885">
      <w:marLeft w:val="480"/>
      <w:marRight w:val="0"/>
      <w:marTop w:val="0"/>
      <w:marBottom w:val="0"/>
      <w:divBdr>
        <w:top w:val="none" w:sz="0" w:space="0" w:color="auto"/>
        <w:left w:val="none" w:sz="0" w:space="0" w:color="auto"/>
        <w:bottom w:val="none" w:sz="0" w:space="0" w:color="auto"/>
        <w:right w:val="none" w:sz="0" w:space="0" w:color="auto"/>
      </w:divBdr>
    </w:div>
    <w:div w:id="1889758686">
      <w:marLeft w:val="480"/>
      <w:marRight w:val="0"/>
      <w:marTop w:val="0"/>
      <w:marBottom w:val="0"/>
      <w:divBdr>
        <w:top w:val="none" w:sz="0" w:space="0" w:color="auto"/>
        <w:left w:val="none" w:sz="0" w:space="0" w:color="auto"/>
        <w:bottom w:val="none" w:sz="0" w:space="0" w:color="auto"/>
        <w:right w:val="none" w:sz="0" w:space="0" w:color="auto"/>
      </w:divBdr>
    </w:div>
    <w:div w:id="1890065702">
      <w:marLeft w:val="480"/>
      <w:marRight w:val="0"/>
      <w:marTop w:val="0"/>
      <w:marBottom w:val="0"/>
      <w:divBdr>
        <w:top w:val="none" w:sz="0" w:space="0" w:color="auto"/>
        <w:left w:val="none" w:sz="0" w:space="0" w:color="auto"/>
        <w:bottom w:val="none" w:sz="0" w:space="0" w:color="auto"/>
        <w:right w:val="none" w:sz="0" w:space="0" w:color="auto"/>
      </w:divBdr>
    </w:div>
    <w:div w:id="1891764286">
      <w:marLeft w:val="480"/>
      <w:marRight w:val="0"/>
      <w:marTop w:val="0"/>
      <w:marBottom w:val="0"/>
      <w:divBdr>
        <w:top w:val="none" w:sz="0" w:space="0" w:color="auto"/>
        <w:left w:val="none" w:sz="0" w:space="0" w:color="auto"/>
        <w:bottom w:val="none" w:sz="0" w:space="0" w:color="auto"/>
        <w:right w:val="none" w:sz="0" w:space="0" w:color="auto"/>
      </w:divBdr>
    </w:div>
    <w:div w:id="1891771606">
      <w:marLeft w:val="480"/>
      <w:marRight w:val="0"/>
      <w:marTop w:val="0"/>
      <w:marBottom w:val="0"/>
      <w:divBdr>
        <w:top w:val="none" w:sz="0" w:space="0" w:color="auto"/>
        <w:left w:val="none" w:sz="0" w:space="0" w:color="auto"/>
        <w:bottom w:val="none" w:sz="0" w:space="0" w:color="auto"/>
        <w:right w:val="none" w:sz="0" w:space="0" w:color="auto"/>
      </w:divBdr>
    </w:div>
    <w:div w:id="1893496236">
      <w:bodyDiv w:val="1"/>
      <w:marLeft w:val="0"/>
      <w:marRight w:val="0"/>
      <w:marTop w:val="0"/>
      <w:marBottom w:val="0"/>
      <w:divBdr>
        <w:top w:val="none" w:sz="0" w:space="0" w:color="auto"/>
        <w:left w:val="none" w:sz="0" w:space="0" w:color="auto"/>
        <w:bottom w:val="none" w:sz="0" w:space="0" w:color="auto"/>
        <w:right w:val="none" w:sz="0" w:space="0" w:color="auto"/>
      </w:divBdr>
    </w:div>
    <w:div w:id="1898513462">
      <w:bodyDiv w:val="1"/>
      <w:marLeft w:val="0"/>
      <w:marRight w:val="0"/>
      <w:marTop w:val="0"/>
      <w:marBottom w:val="0"/>
      <w:divBdr>
        <w:top w:val="none" w:sz="0" w:space="0" w:color="auto"/>
        <w:left w:val="none" w:sz="0" w:space="0" w:color="auto"/>
        <w:bottom w:val="none" w:sz="0" w:space="0" w:color="auto"/>
        <w:right w:val="none" w:sz="0" w:space="0" w:color="auto"/>
      </w:divBdr>
      <w:divsChild>
        <w:div w:id="17377780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99122617">
      <w:marLeft w:val="480"/>
      <w:marRight w:val="0"/>
      <w:marTop w:val="0"/>
      <w:marBottom w:val="0"/>
      <w:divBdr>
        <w:top w:val="none" w:sz="0" w:space="0" w:color="auto"/>
        <w:left w:val="none" w:sz="0" w:space="0" w:color="auto"/>
        <w:bottom w:val="none" w:sz="0" w:space="0" w:color="auto"/>
        <w:right w:val="none" w:sz="0" w:space="0" w:color="auto"/>
      </w:divBdr>
    </w:div>
    <w:div w:id="1899315386">
      <w:marLeft w:val="480"/>
      <w:marRight w:val="0"/>
      <w:marTop w:val="0"/>
      <w:marBottom w:val="0"/>
      <w:divBdr>
        <w:top w:val="none" w:sz="0" w:space="0" w:color="auto"/>
        <w:left w:val="none" w:sz="0" w:space="0" w:color="auto"/>
        <w:bottom w:val="none" w:sz="0" w:space="0" w:color="auto"/>
        <w:right w:val="none" w:sz="0" w:space="0" w:color="auto"/>
      </w:divBdr>
    </w:div>
    <w:div w:id="1899591401">
      <w:marLeft w:val="480"/>
      <w:marRight w:val="0"/>
      <w:marTop w:val="0"/>
      <w:marBottom w:val="0"/>
      <w:divBdr>
        <w:top w:val="none" w:sz="0" w:space="0" w:color="auto"/>
        <w:left w:val="none" w:sz="0" w:space="0" w:color="auto"/>
        <w:bottom w:val="none" w:sz="0" w:space="0" w:color="auto"/>
        <w:right w:val="none" w:sz="0" w:space="0" w:color="auto"/>
      </w:divBdr>
    </w:div>
    <w:div w:id="1899899775">
      <w:marLeft w:val="480"/>
      <w:marRight w:val="0"/>
      <w:marTop w:val="0"/>
      <w:marBottom w:val="0"/>
      <w:divBdr>
        <w:top w:val="none" w:sz="0" w:space="0" w:color="auto"/>
        <w:left w:val="none" w:sz="0" w:space="0" w:color="auto"/>
        <w:bottom w:val="none" w:sz="0" w:space="0" w:color="auto"/>
        <w:right w:val="none" w:sz="0" w:space="0" w:color="auto"/>
      </w:divBdr>
    </w:div>
    <w:div w:id="1900826612">
      <w:marLeft w:val="480"/>
      <w:marRight w:val="0"/>
      <w:marTop w:val="0"/>
      <w:marBottom w:val="0"/>
      <w:divBdr>
        <w:top w:val="none" w:sz="0" w:space="0" w:color="auto"/>
        <w:left w:val="none" w:sz="0" w:space="0" w:color="auto"/>
        <w:bottom w:val="none" w:sz="0" w:space="0" w:color="auto"/>
        <w:right w:val="none" w:sz="0" w:space="0" w:color="auto"/>
      </w:divBdr>
    </w:div>
    <w:div w:id="1901206375">
      <w:bodyDiv w:val="1"/>
      <w:marLeft w:val="0"/>
      <w:marRight w:val="0"/>
      <w:marTop w:val="0"/>
      <w:marBottom w:val="0"/>
      <w:divBdr>
        <w:top w:val="none" w:sz="0" w:space="0" w:color="auto"/>
        <w:left w:val="none" w:sz="0" w:space="0" w:color="auto"/>
        <w:bottom w:val="none" w:sz="0" w:space="0" w:color="auto"/>
        <w:right w:val="none" w:sz="0" w:space="0" w:color="auto"/>
      </w:divBdr>
    </w:div>
    <w:div w:id="1901821405">
      <w:marLeft w:val="480"/>
      <w:marRight w:val="0"/>
      <w:marTop w:val="0"/>
      <w:marBottom w:val="0"/>
      <w:divBdr>
        <w:top w:val="none" w:sz="0" w:space="0" w:color="auto"/>
        <w:left w:val="none" w:sz="0" w:space="0" w:color="auto"/>
        <w:bottom w:val="none" w:sz="0" w:space="0" w:color="auto"/>
        <w:right w:val="none" w:sz="0" w:space="0" w:color="auto"/>
      </w:divBdr>
    </w:div>
    <w:div w:id="1905602094">
      <w:bodyDiv w:val="1"/>
      <w:marLeft w:val="0"/>
      <w:marRight w:val="0"/>
      <w:marTop w:val="0"/>
      <w:marBottom w:val="0"/>
      <w:divBdr>
        <w:top w:val="none" w:sz="0" w:space="0" w:color="auto"/>
        <w:left w:val="none" w:sz="0" w:space="0" w:color="auto"/>
        <w:bottom w:val="none" w:sz="0" w:space="0" w:color="auto"/>
        <w:right w:val="none" w:sz="0" w:space="0" w:color="auto"/>
      </w:divBdr>
      <w:divsChild>
        <w:div w:id="407044357">
          <w:marLeft w:val="480"/>
          <w:marRight w:val="0"/>
          <w:marTop w:val="0"/>
          <w:marBottom w:val="0"/>
          <w:divBdr>
            <w:top w:val="none" w:sz="0" w:space="0" w:color="auto"/>
            <w:left w:val="none" w:sz="0" w:space="0" w:color="auto"/>
            <w:bottom w:val="none" w:sz="0" w:space="0" w:color="auto"/>
            <w:right w:val="none" w:sz="0" w:space="0" w:color="auto"/>
          </w:divBdr>
        </w:div>
        <w:div w:id="535771265">
          <w:marLeft w:val="480"/>
          <w:marRight w:val="0"/>
          <w:marTop w:val="0"/>
          <w:marBottom w:val="0"/>
          <w:divBdr>
            <w:top w:val="none" w:sz="0" w:space="0" w:color="auto"/>
            <w:left w:val="none" w:sz="0" w:space="0" w:color="auto"/>
            <w:bottom w:val="none" w:sz="0" w:space="0" w:color="auto"/>
            <w:right w:val="none" w:sz="0" w:space="0" w:color="auto"/>
          </w:divBdr>
        </w:div>
        <w:div w:id="777944259">
          <w:marLeft w:val="480"/>
          <w:marRight w:val="0"/>
          <w:marTop w:val="0"/>
          <w:marBottom w:val="0"/>
          <w:divBdr>
            <w:top w:val="none" w:sz="0" w:space="0" w:color="auto"/>
            <w:left w:val="none" w:sz="0" w:space="0" w:color="auto"/>
            <w:bottom w:val="none" w:sz="0" w:space="0" w:color="auto"/>
            <w:right w:val="none" w:sz="0" w:space="0" w:color="auto"/>
          </w:divBdr>
        </w:div>
        <w:div w:id="1013260637">
          <w:marLeft w:val="480"/>
          <w:marRight w:val="0"/>
          <w:marTop w:val="0"/>
          <w:marBottom w:val="0"/>
          <w:divBdr>
            <w:top w:val="none" w:sz="0" w:space="0" w:color="auto"/>
            <w:left w:val="none" w:sz="0" w:space="0" w:color="auto"/>
            <w:bottom w:val="none" w:sz="0" w:space="0" w:color="auto"/>
            <w:right w:val="none" w:sz="0" w:space="0" w:color="auto"/>
          </w:divBdr>
        </w:div>
        <w:div w:id="1499615984">
          <w:marLeft w:val="480"/>
          <w:marRight w:val="0"/>
          <w:marTop w:val="0"/>
          <w:marBottom w:val="0"/>
          <w:divBdr>
            <w:top w:val="none" w:sz="0" w:space="0" w:color="auto"/>
            <w:left w:val="none" w:sz="0" w:space="0" w:color="auto"/>
            <w:bottom w:val="none" w:sz="0" w:space="0" w:color="auto"/>
            <w:right w:val="none" w:sz="0" w:space="0" w:color="auto"/>
          </w:divBdr>
        </w:div>
      </w:divsChild>
    </w:div>
    <w:div w:id="1908607140">
      <w:marLeft w:val="480"/>
      <w:marRight w:val="0"/>
      <w:marTop w:val="0"/>
      <w:marBottom w:val="0"/>
      <w:divBdr>
        <w:top w:val="none" w:sz="0" w:space="0" w:color="auto"/>
        <w:left w:val="none" w:sz="0" w:space="0" w:color="auto"/>
        <w:bottom w:val="none" w:sz="0" w:space="0" w:color="auto"/>
        <w:right w:val="none" w:sz="0" w:space="0" w:color="auto"/>
      </w:divBdr>
    </w:div>
    <w:div w:id="1914391724">
      <w:marLeft w:val="480"/>
      <w:marRight w:val="0"/>
      <w:marTop w:val="0"/>
      <w:marBottom w:val="0"/>
      <w:divBdr>
        <w:top w:val="none" w:sz="0" w:space="0" w:color="auto"/>
        <w:left w:val="none" w:sz="0" w:space="0" w:color="auto"/>
        <w:bottom w:val="none" w:sz="0" w:space="0" w:color="auto"/>
        <w:right w:val="none" w:sz="0" w:space="0" w:color="auto"/>
      </w:divBdr>
    </w:div>
    <w:div w:id="1914966981">
      <w:marLeft w:val="480"/>
      <w:marRight w:val="0"/>
      <w:marTop w:val="0"/>
      <w:marBottom w:val="0"/>
      <w:divBdr>
        <w:top w:val="none" w:sz="0" w:space="0" w:color="auto"/>
        <w:left w:val="none" w:sz="0" w:space="0" w:color="auto"/>
        <w:bottom w:val="none" w:sz="0" w:space="0" w:color="auto"/>
        <w:right w:val="none" w:sz="0" w:space="0" w:color="auto"/>
      </w:divBdr>
    </w:div>
    <w:div w:id="1917547563">
      <w:marLeft w:val="480"/>
      <w:marRight w:val="0"/>
      <w:marTop w:val="0"/>
      <w:marBottom w:val="0"/>
      <w:divBdr>
        <w:top w:val="none" w:sz="0" w:space="0" w:color="auto"/>
        <w:left w:val="none" w:sz="0" w:space="0" w:color="auto"/>
        <w:bottom w:val="none" w:sz="0" w:space="0" w:color="auto"/>
        <w:right w:val="none" w:sz="0" w:space="0" w:color="auto"/>
      </w:divBdr>
    </w:div>
    <w:div w:id="1917933527">
      <w:bodyDiv w:val="1"/>
      <w:marLeft w:val="0"/>
      <w:marRight w:val="0"/>
      <w:marTop w:val="0"/>
      <w:marBottom w:val="0"/>
      <w:divBdr>
        <w:top w:val="none" w:sz="0" w:space="0" w:color="auto"/>
        <w:left w:val="none" w:sz="0" w:space="0" w:color="auto"/>
        <w:bottom w:val="none" w:sz="0" w:space="0" w:color="auto"/>
        <w:right w:val="none" w:sz="0" w:space="0" w:color="auto"/>
      </w:divBdr>
      <w:divsChild>
        <w:div w:id="526531255">
          <w:marLeft w:val="480"/>
          <w:marRight w:val="0"/>
          <w:marTop w:val="0"/>
          <w:marBottom w:val="0"/>
          <w:divBdr>
            <w:top w:val="none" w:sz="0" w:space="0" w:color="auto"/>
            <w:left w:val="none" w:sz="0" w:space="0" w:color="auto"/>
            <w:bottom w:val="none" w:sz="0" w:space="0" w:color="auto"/>
            <w:right w:val="none" w:sz="0" w:space="0" w:color="auto"/>
          </w:divBdr>
        </w:div>
        <w:div w:id="1025907629">
          <w:marLeft w:val="480"/>
          <w:marRight w:val="0"/>
          <w:marTop w:val="0"/>
          <w:marBottom w:val="0"/>
          <w:divBdr>
            <w:top w:val="none" w:sz="0" w:space="0" w:color="auto"/>
            <w:left w:val="none" w:sz="0" w:space="0" w:color="auto"/>
            <w:bottom w:val="none" w:sz="0" w:space="0" w:color="auto"/>
            <w:right w:val="none" w:sz="0" w:space="0" w:color="auto"/>
          </w:divBdr>
        </w:div>
        <w:div w:id="1861166189">
          <w:marLeft w:val="480"/>
          <w:marRight w:val="0"/>
          <w:marTop w:val="0"/>
          <w:marBottom w:val="0"/>
          <w:divBdr>
            <w:top w:val="none" w:sz="0" w:space="0" w:color="auto"/>
            <w:left w:val="none" w:sz="0" w:space="0" w:color="auto"/>
            <w:bottom w:val="none" w:sz="0" w:space="0" w:color="auto"/>
            <w:right w:val="none" w:sz="0" w:space="0" w:color="auto"/>
          </w:divBdr>
        </w:div>
        <w:div w:id="1981154047">
          <w:marLeft w:val="480"/>
          <w:marRight w:val="0"/>
          <w:marTop w:val="0"/>
          <w:marBottom w:val="0"/>
          <w:divBdr>
            <w:top w:val="none" w:sz="0" w:space="0" w:color="auto"/>
            <w:left w:val="none" w:sz="0" w:space="0" w:color="auto"/>
            <w:bottom w:val="none" w:sz="0" w:space="0" w:color="auto"/>
            <w:right w:val="none" w:sz="0" w:space="0" w:color="auto"/>
          </w:divBdr>
        </w:div>
      </w:divsChild>
    </w:div>
    <w:div w:id="1918132596">
      <w:marLeft w:val="480"/>
      <w:marRight w:val="0"/>
      <w:marTop w:val="0"/>
      <w:marBottom w:val="0"/>
      <w:divBdr>
        <w:top w:val="none" w:sz="0" w:space="0" w:color="auto"/>
        <w:left w:val="none" w:sz="0" w:space="0" w:color="auto"/>
        <w:bottom w:val="none" w:sz="0" w:space="0" w:color="auto"/>
        <w:right w:val="none" w:sz="0" w:space="0" w:color="auto"/>
      </w:divBdr>
    </w:div>
    <w:div w:id="1918899293">
      <w:marLeft w:val="480"/>
      <w:marRight w:val="0"/>
      <w:marTop w:val="0"/>
      <w:marBottom w:val="0"/>
      <w:divBdr>
        <w:top w:val="none" w:sz="0" w:space="0" w:color="auto"/>
        <w:left w:val="none" w:sz="0" w:space="0" w:color="auto"/>
        <w:bottom w:val="none" w:sz="0" w:space="0" w:color="auto"/>
        <w:right w:val="none" w:sz="0" w:space="0" w:color="auto"/>
      </w:divBdr>
    </w:div>
    <w:div w:id="1920747466">
      <w:marLeft w:val="480"/>
      <w:marRight w:val="0"/>
      <w:marTop w:val="0"/>
      <w:marBottom w:val="0"/>
      <w:divBdr>
        <w:top w:val="none" w:sz="0" w:space="0" w:color="auto"/>
        <w:left w:val="none" w:sz="0" w:space="0" w:color="auto"/>
        <w:bottom w:val="none" w:sz="0" w:space="0" w:color="auto"/>
        <w:right w:val="none" w:sz="0" w:space="0" w:color="auto"/>
      </w:divBdr>
    </w:div>
    <w:div w:id="1922790064">
      <w:marLeft w:val="480"/>
      <w:marRight w:val="0"/>
      <w:marTop w:val="0"/>
      <w:marBottom w:val="0"/>
      <w:divBdr>
        <w:top w:val="none" w:sz="0" w:space="0" w:color="auto"/>
        <w:left w:val="none" w:sz="0" w:space="0" w:color="auto"/>
        <w:bottom w:val="none" w:sz="0" w:space="0" w:color="auto"/>
        <w:right w:val="none" w:sz="0" w:space="0" w:color="auto"/>
      </w:divBdr>
    </w:div>
    <w:div w:id="1925650341">
      <w:marLeft w:val="480"/>
      <w:marRight w:val="0"/>
      <w:marTop w:val="0"/>
      <w:marBottom w:val="0"/>
      <w:divBdr>
        <w:top w:val="none" w:sz="0" w:space="0" w:color="auto"/>
        <w:left w:val="none" w:sz="0" w:space="0" w:color="auto"/>
        <w:bottom w:val="none" w:sz="0" w:space="0" w:color="auto"/>
        <w:right w:val="none" w:sz="0" w:space="0" w:color="auto"/>
      </w:divBdr>
    </w:div>
    <w:div w:id="1925651365">
      <w:marLeft w:val="480"/>
      <w:marRight w:val="0"/>
      <w:marTop w:val="0"/>
      <w:marBottom w:val="0"/>
      <w:divBdr>
        <w:top w:val="none" w:sz="0" w:space="0" w:color="auto"/>
        <w:left w:val="none" w:sz="0" w:space="0" w:color="auto"/>
        <w:bottom w:val="none" w:sz="0" w:space="0" w:color="auto"/>
        <w:right w:val="none" w:sz="0" w:space="0" w:color="auto"/>
      </w:divBdr>
    </w:div>
    <w:div w:id="1927108302">
      <w:marLeft w:val="480"/>
      <w:marRight w:val="0"/>
      <w:marTop w:val="0"/>
      <w:marBottom w:val="0"/>
      <w:divBdr>
        <w:top w:val="none" w:sz="0" w:space="0" w:color="auto"/>
        <w:left w:val="none" w:sz="0" w:space="0" w:color="auto"/>
        <w:bottom w:val="none" w:sz="0" w:space="0" w:color="auto"/>
        <w:right w:val="none" w:sz="0" w:space="0" w:color="auto"/>
      </w:divBdr>
    </w:div>
    <w:div w:id="1928533508">
      <w:bodyDiv w:val="1"/>
      <w:marLeft w:val="0"/>
      <w:marRight w:val="0"/>
      <w:marTop w:val="0"/>
      <w:marBottom w:val="0"/>
      <w:divBdr>
        <w:top w:val="none" w:sz="0" w:space="0" w:color="auto"/>
        <w:left w:val="none" w:sz="0" w:space="0" w:color="auto"/>
        <w:bottom w:val="none" w:sz="0" w:space="0" w:color="auto"/>
        <w:right w:val="none" w:sz="0" w:space="0" w:color="auto"/>
      </w:divBdr>
    </w:div>
    <w:div w:id="1928804223">
      <w:bodyDiv w:val="1"/>
      <w:marLeft w:val="0"/>
      <w:marRight w:val="0"/>
      <w:marTop w:val="0"/>
      <w:marBottom w:val="0"/>
      <w:divBdr>
        <w:top w:val="none" w:sz="0" w:space="0" w:color="auto"/>
        <w:left w:val="none" w:sz="0" w:space="0" w:color="auto"/>
        <w:bottom w:val="none" w:sz="0" w:space="0" w:color="auto"/>
        <w:right w:val="none" w:sz="0" w:space="0" w:color="auto"/>
      </w:divBdr>
      <w:divsChild>
        <w:div w:id="100801314">
          <w:marLeft w:val="0"/>
          <w:marRight w:val="0"/>
          <w:marTop w:val="0"/>
          <w:marBottom w:val="0"/>
          <w:divBdr>
            <w:top w:val="none" w:sz="0" w:space="0" w:color="auto"/>
            <w:left w:val="none" w:sz="0" w:space="0" w:color="auto"/>
            <w:bottom w:val="none" w:sz="0" w:space="0" w:color="auto"/>
            <w:right w:val="none" w:sz="0" w:space="0" w:color="auto"/>
          </w:divBdr>
        </w:div>
        <w:div w:id="284966108">
          <w:marLeft w:val="0"/>
          <w:marRight w:val="0"/>
          <w:marTop w:val="0"/>
          <w:marBottom w:val="0"/>
          <w:divBdr>
            <w:top w:val="none" w:sz="0" w:space="0" w:color="auto"/>
            <w:left w:val="none" w:sz="0" w:space="0" w:color="auto"/>
            <w:bottom w:val="none" w:sz="0" w:space="0" w:color="auto"/>
            <w:right w:val="none" w:sz="0" w:space="0" w:color="auto"/>
          </w:divBdr>
          <w:divsChild>
            <w:div w:id="185562308">
              <w:marLeft w:val="0"/>
              <w:marRight w:val="0"/>
              <w:marTop w:val="0"/>
              <w:marBottom w:val="0"/>
              <w:divBdr>
                <w:top w:val="none" w:sz="0" w:space="0" w:color="auto"/>
                <w:left w:val="none" w:sz="0" w:space="0" w:color="auto"/>
                <w:bottom w:val="none" w:sz="0" w:space="0" w:color="auto"/>
                <w:right w:val="none" w:sz="0" w:space="0" w:color="auto"/>
              </w:divBdr>
            </w:div>
            <w:div w:id="574248336">
              <w:marLeft w:val="0"/>
              <w:marRight w:val="0"/>
              <w:marTop w:val="0"/>
              <w:marBottom w:val="0"/>
              <w:divBdr>
                <w:top w:val="none" w:sz="0" w:space="0" w:color="auto"/>
                <w:left w:val="none" w:sz="0" w:space="0" w:color="auto"/>
                <w:bottom w:val="none" w:sz="0" w:space="0" w:color="auto"/>
                <w:right w:val="none" w:sz="0" w:space="0" w:color="auto"/>
              </w:divBdr>
            </w:div>
            <w:div w:id="2056540069">
              <w:marLeft w:val="0"/>
              <w:marRight w:val="0"/>
              <w:marTop w:val="0"/>
              <w:marBottom w:val="0"/>
              <w:divBdr>
                <w:top w:val="none" w:sz="0" w:space="0" w:color="auto"/>
                <w:left w:val="none" w:sz="0" w:space="0" w:color="auto"/>
                <w:bottom w:val="none" w:sz="0" w:space="0" w:color="auto"/>
                <w:right w:val="none" w:sz="0" w:space="0" w:color="auto"/>
              </w:divBdr>
            </w:div>
          </w:divsChild>
        </w:div>
        <w:div w:id="422382935">
          <w:marLeft w:val="0"/>
          <w:marRight w:val="0"/>
          <w:marTop w:val="0"/>
          <w:marBottom w:val="0"/>
          <w:divBdr>
            <w:top w:val="none" w:sz="0" w:space="0" w:color="auto"/>
            <w:left w:val="none" w:sz="0" w:space="0" w:color="auto"/>
            <w:bottom w:val="none" w:sz="0" w:space="0" w:color="auto"/>
            <w:right w:val="none" w:sz="0" w:space="0" w:color="auto"/>
          </w:divBdr>
          <w:divsChild>
            <w:div w:id="1220090759">
              <w:marLeft w:val="-75"/>
              <w:marRight w:val="0"/>
              <w:marTop w:val="30"/>
              <w:marBottom w:val="30"/>
              <w:divBdr>
                <w:top w:val="none" w:sz="0" w:space="0" w:color="auto"/>
                <w:left w:val="none" w:sz="0" w:space="0" w:color="auto"/>
                <w:bottom w:val="none" w:sz="0" w:space="0" w:color="auto"/>
                <w:right w:val="none" w:sz="0" w:space="0" w:color="auto"/>
              </w:divBdr>
              <w:divsChild>
                <w:div w:id="97911563">
                  <w:marLeft w:val="0"/>
                  <w:marRight w:val="0"/>
                  <w:marTop w:val="0"/>
                  <w:marBottom w:val="0"/>
                  <w:divBdr>
                    <w:top w:val="none" w:sz="0" w:space="0" w:color="auto"/>
                    <w:left w:val="none" w:sz="0" w:space="0" w:color="auto"/>
                    <w:bottom w:val="none" w:sz="0" w:space="0" w:color="auto"/>
                    <w:right w:val="none" w:sz="0" w:space="0" w:color="auto"/>
                  </w:divBdr>
                </w:div>
                <w:div w:id="127094196">
                  <w:marLeft w:val="0"/>
                  <w:marRight w:val="0"/>
                  <w:marTop w:val="0"/>
                  <w:marBottom w:val="0"/>
                  <w:divBdr>
                    <w:top w:val="none" w:sz="0" w:space="0" w:color="auto"/>
                    <w:left w:val="none" w:sz="0" w:space="0" w:color="auto"/>
                    <w:bottom w:val="none" w:sz="0" w:space="0" w:color="auto"/>
                    <w:right w:val="none" w:sz="0" w:space="0" w:color="auto"/>
                  </w:divBdr>
                  <w:divsChild>
                    <w:div w:id="747460751">
                      <w:marLeft w:val="0"/>
                      <w:marRight w:val="0"/>
                      <w:marTop w:val="0"/>
                      <w:marBottom w:val="0"/>
                      <w:divBdr>
                        <w:top w:val="none" w:sz="0" w:space="0" w:color="auto"/>
                        <w:left w:val="none" w:sz="0" w:space="0" w:color="auto"/>
                        <w:bottom w:val="none" w:sz="0" w:space="0" w:color="auto"/>
                        <w:right w:val="none" w:sz="0" w:space="0" w:color="auto"/>
                      </w:divBdr>
                    </w:div>
                  </w:divsChild>
                </w:div>
                <w:div w:id="300114609">
                  <w:marLeft w:val="0"/>
                  <w:marRight w:val="0"/>
                  <w:marTop w:val="0"/>
                  <w:marBottom w:val="0"/>
                  <w:divBdr>
                    <w:top w:val="none" w:sz="0" w:space="0" w:color="auto"/>
                    <w:left w:val="none" w:sz="0" w:space="0" w:color="auto"/>
                    <w:bottom w:val="none" w:sz="0" w:space="0" w:color="auto"/>
                    <w:right w:val="none" w:sz="0" w:space="0" w:color="auto"/>
                  </w:divBdr>
                  <w:divsChild>
                    <w:div w:id="1723289162">
                      <w:marLeft w:val="0"/>
                      <w:marRight w:val="0"/>
                      <w:marTop w:val="0"/>
                      <w:marBottom w:val="0"/>
                      <w:divBdr>
                        <w:top w:val="none" w:sz="0" w:space="0" w:color="auto"/>
                        <w:left w:val="none" w:sz="0" w:space="0" w:color="auto"/>
                        <w:bottom w:val="none" w:sz="0" w:space="0" w:color="auto"/>
                        <w:right w:val="none" w:sz="0" w:space="0" w:color="auto"/>
                      </w:divBdr>
                    </w:div>
                  </w:divsChild>
                </w:div>
                <w:div w:id="617760536">
                  <w:marLeft w:val="0"/>
                  <w:marRight w:val="0"/>
                  <w:marTop w:val="0"/>
                  <w:marBottom w:val="0"/>
                  <w:divBdr>
                    <w:top w:val="none" w:sz="0" w:space="0" w:color="auto"/>
                    <w:left w:val="none" w:sz="0" w:space="0" w:color="auto"/>
                    <w:bottom w:val="none" w:sz="0" w:space="0" w:color="auto"/>
                    <w:right w:val="none" w:sz="0" w:space="0" w:color="auto"/>
                  </w:divBdr>
                  <w:divsChild>
                    <w:div w:id="1897858159">
                      <w:marLeft w:val="0"/>
                      <w:marRight w:val="0"/>
                      <w:marTop w:val="0"/>
                      <w:marBottom w:val="0"/>
                      <w:divBdr>
                        <w:top w:val="none" w:sz="0" w:space="0" w:color="auto"/>
                        <w:left w:val="none" w:sz="0" w:space="0" w:color="auto"/>
                        <w:bottom w:val="none" w:sz="0" w:space="0" w:color="auto"/>
                        <w:right w:val="none" w:sz="0" w:space="0" w:color="auto"/>
                      </w:divBdr>
                    </w:div>
                  </w:divsChild>
                </w:div>
                <w:div w:id="825315624">
                  <w:marLeft w:val="0"/>
                  <w:marRight w:val="0"/>
                  <w:marTop w:val="0"/>
                  <w:marBottom w:val="0"/>
                  <w:divBdr>
                    <w:top w:val="none" w:sz="0" w:space="0" w:color="auto"/>
                    <w:left w:val="none" w:sz="0" w:space="0" w:color="auto"/>
                    <w:bottom w:val="none" w:sz="0" w:space="0" w:color="auto"/>
                    <w:right w:val="none" w:sz="0" w:space="0" w:color="auto"/>
                  </w:divBdr>
                  <w:divsChild>
                    <w:div w:id="322437458">
                      <w:marLeft w:val="0"/>
                      <w:marRight w:val="0"/>
                      <w:marTop w:val="0"/>
                      <w:marBottom w:val="0"/>
                      <w:divBdr>
                        <w:top w:val="none" w:sz="0" w:space="0" w:color="auto"/>
                        <w:left w:val="none" w:sz="0" w:space="0" w:color="auto"/>
                        <w:bottom w:val="none" w:sz="0" w:space="0" w:color="auto"/>
                        <w:right w:val="none" w:sz="0" w:space="0" w:color="auto"/>
                      </w:divBdr>
                    </w:div>
                  </w:divsChild>
                </w:div>
                <w:div w:id="1035081139">
                  <w:marLeft w:val="0"/>
                  <w:marRight w:val="0"/>
                  <w:marTop w:val="0"/>
                  <w:marBottom w:val="0"/>
                  <w:divBdr>
                    <w:top w:val="none" w:sz="0" w:space="0" w:color="auto"/>
                    <w:left w:val="none" w:sz="0" w:space="0" w:color="auto"/>
                    <w:bottom w:val="none" w:sz="0" w:space="0" w:color="auto"/>
                    <w:right w:val="none" w:sz="0" w:space="0" w:color="auto"/>
                  </w:divBdr>
                  <w:divsChild>
                    <w:div w:id="2073775187">
                      <w:marLeft w:val="0"/>
                      <w:marRight w:val="0"/>
                      <w:marTop w:val="0"/>
                      <w:marBottom w:val="0"/>
                      <w:divBdr>
                        <w:top w:val="none" w:sz="0" w:space="0" w:color="auto"/>
                        <w:left w:val="none" w:sz="0" w:space="0" w:color="auto"/>
                        <w:bottom w:val="none" w:sz="0" w:space="0" w:color="auto"/>
                        <w:right w:val="none" w:sz="0" w:space="0" w:color="auto"/>
                      </w:divBdr>
                    </w:div>
                  </w:divsChild>
                </w:div>
                <w:div w:id="1063329592">
                  <w:marLeft w:val="0"/>
                  <w:marRight w:val="0"/>
                  <w:marTop w:val="0"/>
                  <w:marBottom w:val="0"/>
                  <w:divBdr>
                    <w:top w:val="none" w:sz="0" w:space="0" w:color="auto"/>
                    <w:left w:val="none" w:sz="0" w:space="0" w:color="auto"/>
                    <w:bottom w:val="none" w:sz="0" w:space="0" w:color="auto"/>
                    <w:right w:val="none" w:sz="0" w:space="0" w:color="auto"/>
                  </w:divBdr>
                  <w:divsChild>
                    <w:div w:id="1628848991">
                      <w:marLeft w:val="0"/>
                      <w:marRight w:val="0"/>
                      <w:marTop w:val="0"/>
                      <w:marBottom w:val="0"/>
                      <w:divBdr>
                        <w:top w:val="none" w:sz="0" w:space="0" w:color="auto"/>
                        <w:left w:val="none" w:sz="0" w:space="0" w:color="auto"/>
                        <w:bottom w:val="none" w:sz="0" w:space="0" w:color="auto"/>
                        <w:right w:val="none" w:sz="0" w:space="0" w:color="auto"/>
                      </w:divBdr>
                    </w:div>
                  </w:divsChild>
                </w:div>
                <w:div w:id="1474298176">
                  <w:marLeft w:val="0"/>
                  <w:marRight w:val="0"/>
                  <w:marTop w:val="0"/>
                  <w:marBottom w:val="0"/>
                  <w:divBdr>
                    <w:top w:val="none" w:sz="0" w:space="0" w:color="auto"/>
                    <w:left w:val="none" w:sz="0" w:space="0" w:color="auto"/>
                    <w:bottom w:val="none" w:sz="0" w:space="0" w:color="auto"/>
                    <w:right w:val="none" w:sz="0" w:space="0" w:color="auto"/>
                  </w:divBdr>
                  <w:divsChild>
                    <w:div w:id="1014456626">
                      <w:marLeft w:val="0"/>
                      <w:marRight w:val="0"/>
                      <w:marTop w:val="0"/>
                      <w:marBottom w:val="0"/>
                      <w:divBdr>
                        <w:top w:val="none" w:sz="0" w:space="0" w:color="auto"/>
                        <w:left w:val="none" w:sz="0" w:space="0" w:color="auto"/>
                        <w:bottom w:val="none" w:sz="0" w:space="0" w:color="auto"/>
                        <w:right w:val="none" w:sz="0" w:space="0" w:color="auto"/>
                      </w:divBdr>
                    </w:div>
                  </w:divsChild>
                </w:div>
                <w:div w:id="1494762673">
                  <w:marLeft w:val="0"/>
                  <w:marRight w:val="0"/>
                  <w:marTop w:val="0"/>
                  <w:marBottom w:val="0"/>
                  <w:divBdr>
                    <w:top w:val="none" w:sz="0" w:space="0" w:color="auto"/>
                    <w:left w:val="none" w:sz="0" w:space="0" w:color="auto"/>
                    <w:bottom w:val="none" w:sz="0" w:space="0" w:color="auto"/>
                    <w:right w:val="none" w:sz="0" w:space="0" w:color="auto"/>
                  </w:divBdr>
                  <w:divsChild>
                    <w:div w:id="1909685039">
                      <w:marLeft w:val="0"/>
                      <w:marRight w:val="0"/>
                      <w:marTop w:val="0"/>
                      <w:marBottom w:val="0"/>
                      <w:divBdr>
                        <w:top w:val="none" w:sz="0" w:space="0" w:color="auto"/>
                        <w:left w:val="none" w:sz="0" w:space="0" w:color="auto"/>
                        <w:bottom w:val="none" w:sz="0" w:space="0" w:color="auto"/>
                        <w:right w:val="none" w:sz="0" w:space="0" w:color="auto"/>
                      </w:divBdr>
                    </w:div>
                  </w:divsChild>
                </w:div>
                <w:div w:id="1507330378">
                  <w:marLeft w:val="0"/>
                  <w:marRight w:val="0"/>
                  <w:marTop w:val="0"/>
                  <w:marBottom w:val="0"/>
                  <w:divBdr>
                    <w:top w:val="none" w:sz="0" w:space="0" w:color="auto"/>
                    <w:left w:val="none" w:sz="0" w:space="0" w:color="auto"/>
                    <w:bottom w:val="none" w:sz="0" w:space="0" w:color="auto"/>
                    <w:right w:val="none" w:sz="0" w:space="0" w:color="auto"/>
                  </w:divBdr>
                  <w:divsChild>
                    <w:div w:id="426121974">
                      <w:marLeft w:val="0"/>
                      <w:marRight w:val="0"/>
                      <w:marTop w:val="0"/>
                      <w:marBottom w:val="0"/>
                      <w:divBdr>
                        <w:top w:val="none" w:sz="0" w:space="0" w:color="auto"/>
                        <w:left w:val="none" w:sz="0" w:space="0" w:color="auto"/>
                        <w:bottom w:val="none" w:sz="0" w:space="0" w:color="auto"/>
                        <w:right w:val="none" w:sz="0" w:space="0" w:color="auto"/>
                      </w:divBdr>
                    </w:div>
                  </w:divsChild>
                </w:div>
                <w:div w:id="1778870023">
                  <w:marLeft w:val="0"/>
                  <w:marRight w:val="0"/>
                  <w:marTop w:val="0"/>
                  <w:marBottom w:val="0"/>
                  <w:divBdr>
                    <w:top w:val="none" w:sz="0" w:space="0" w:color="auto"/>
                    <w:left w:val="none" w:sz="0" w:space="0" w:color="auto"/>
                    <w:bottom w:val="none" w:sz="0" w:space="0" w:color="auto"/>
                    <w:right w:val="none" w:sz="0" w:space="0" w:color="auto"/>
                  </w:divBdr>
                  <w:divsChild>
                    <w:div w:id="449129998">
                      <w:marLeft w:val="0"/>
                      <w:marRight w:val="0"/>
                      <w:marTop w:val="0"/>
                      <w:marBottom w:val="0"/>
                      <w:divBdr>
                        <w:top w:val="none" w:sz="0" w:space="0" w:color="auto"/>
                        <w:left w:val="none" w:sz="0" w:space="0" w:color="auto"/>
                        <w:bottom w:val="none" w:sz="0" w:space="0" w:color="auto"/>
                        <w:right w:val="none" w:sz="0" w:space="0" w:color="auto"/>
                      </w:divBdr>
                    </w:div>
                  </w:divsChild>
                </w:div>
                <w:div w:id="1940142997">
                  <w:marLeft w:val="0"/>
                  <w:marRight w:val="0"/>
                  <w:marTop w:val="0"/>
                  <w:marBottom w:val="0"/>
                  <w:divBdr>
                    <w:top w:val="none" w:sz="0" w:space="0" w:color="auto"/>
                    <w:left w:val="none" w:sz="0" w:space="0" w:color="auto"/>
                    <w:bottom w:val="none" w:sz="0" w:space="0" w:color="auto"/>
                    <w:right w:val="none" w:sz="0" w:space="0" w:color="auto"/>
                  </w:divBdr>
                  <w:divsChild>
                    <w:div w:id="360980428">
                      <w:marLeft w:val="0"/>
                      <w:marRight w:val="0"/>
                      <w:marTop w:val="0"/>
                      <w:marBottom w:val="0"/>
                      <w:divBdr>
                        <w:top w:val="none" w:sz="0" w:space="0" w:color="auto"/>
                        <w:left w:val="none" w:sz="0" w:space="0" w:color="auto"/>
                        <w:bottom w:val="none" w:sz="0" w:space="0" w:color="auto"/>
                        <w:right w:val="none" w:sz="0" w:space="0" w:color="auto"/>
                      </w:divBdr>
                    </w:div>
                    <w:div w:id="1992445453">
                      <w:marLeft w:val="0"/>
                      <w:marRight w:val="0"/>
                      <w:marTop w:val="0"/>
                      <w:marBottom w:val="0"/>
                      <w:divBdr>
                        <w:top w:val="none" w:sz="0" w:space="0" w:color="auto"/>
                        <w:left w:val="none" w:sz="0" w:space="0" w:color="auto"/>
                        <w:bottom w:val="none" w:sz="0" w:space="0" w:color="auto"/>
                        <w:right w:val="none" w:sz="0" w:space="0" w:color="auto"/>
                      </w:divBdr>
                    </w:div>
                  </w:divsChild>
                </w:div>
                <w:div w:id="2048067143">
                  <w:marLeft w:val="0"/>
                  <w:marRight w:val="0"/>
                  <w:marTop w:val="0"/>
                  <w:marBottom w:val="0"/>
                  <w:divBdr>
                    <w:top w:val="none" w:sz="0" w:space="0" w:color="auto"/>
                    <w:left w:val="none" w:sz="0" w:space="0" w:color="auto"/>
                    <w:bottom w:val="none" w:sz="0" w:space="0" w:color="auto"/>
                    <w:right w:val="none" w:sz="0" w:space="0" w:color="auto"/>
                  </w:divBdr>
                  <w:divsChild>
                    <w:div w:id="11147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41209">
          <w:marLeft w:val="0"/>
          <w:marRight w:val="0"/>
          <w:marTop w:val="0"/>
          <w:marBottom w:val="0"/>
          <w:divBdr>
            <w:top w:val="none" w:sz="0" w:space="0" w:color="auto"/>
            <w:left w:val="none" w:sz="0" w:space="0" w:color="auto"/>
            <w:bottom w:val="none" w:sz="0" w:space="0" w:color="auto"/>
            <w:right w:val="none" w:sz="0" w:space="0" w:color="auto"/>
          </w:divBdr>
          <w:divsChild>
            <w:div w:id="1669748472">
              <w:marLeft w:val="-75"/>
              <w:marRight w:val="0"/>
              <w:marTop w:val="30"/>
              <w:marBottom w:val="30"/>
              <w:divBdr>
                <w:top w:val="none" w:sz="0" w:space="0" w:color="auto"/>
                <w:left w:val="none" w:sz="0" w:space="0" w:color="auto"/>
                <w:bottom w:val="none" w:sz="0" w:space="0" w:color="auto"/>
                <w:right w:val="none" w:sz="0" w:space="0" w:color="auto"/>
              </w:divBdr>
              <w:divsChild>
                <w:div w:id="112361015">
                  <w:marLeft w:val="0"/>
                  <w:marRight w:val="0"/>
                  <w:marTop w:val="0"/>
                  <w:marBottom w:val="0"/>
                  <w:divBdr>
                    <w:top w:val="none" w:sz="0" w:space="0" w:color="auto"/>
                    <w:left w:val="none" w:sz="0" w:space="0" w:color="auto"/>
                    <w:bottom w:val="none" w:sz="0" w:space="0" w:color="auto"/>
                    <w:right w:val="none" w:sz="0" w:space="0" w:color="auto"/>
                  </w:divBdr>
                  <w:divsChild>
                    <w:div w:id="1698853369">
                      <w:marLeft w:val="0"/>
                      <w:marRight w:val="0"/>
                      <w:marTop w:val="0"/>
                      <w:marBottom w:val="0"/>
                      <w:divBdr>
                        <w:top w:val="none" w:sz="0" w:space="0" w:color="auto"/>
                        <w:left w:val="none" w:sz="0" w:space="0" w:color="auto"/>
                        <w:bottom w:val="none" w:sz="0" w:space="0" w:color="auto"/>
                        <w:right w:val="none" w:sz="0" w:space="0" w:color="auto"/>
                      </w:divBdr>
                    </w:div>
                  </w:divsChild>
                </w:div>
                <w:div w:id="254435230">
                  <w:marLeft w:val="0"/>
                  <w:marRight w:val="0"/>
                  <w:marTop w:val="0"/>
                  <w:marBottom w:val="0"/>
                  <w:divBdr>
                    <w:top w:val="none" w:sz="0" w:space="0" w:color="auto"/>
                    <w:left w:val="none" w:sz="0" w:space="0" w:color="auto"/>
                    <w:bottom w:val="none" w:sz="0" w:space="0" w:color="auto"/>
                    <w:right w:val="none" w:sz="0" w:space="0" w:color="auto"/>
                  </w:divBdr>
                  <w:divsChild>
                    <w:div w:id="320425377">
                      <w:marLeft w:val="0"/>
                      <w:marRight w:val="0"/>
                      <w:marTop w:val="0"/>
                      <w:marBottom w:val="0"/>
                      <w:divBdr>
                        <w:top w:val="none" w:sz="0" w:space="0" w:color="auto"/>
                        <w:left w:val="none" w:sz="0" w:space="0" w:color="auto"/>
                        <w:bottom w:val="none" w:sz="0" w:space="0" w:color="auto"/>
                        <w:right w:val="none" w:sz="0" w:space="0" w:color="auto"/>
                      </w:divBdr>
                    </w:div>
                    <w:div w:id="832569598">
                      <w:marLeft w:val="0"/>
                      <w:marRight w:val="0"/>
                      <w:marTop w:val="0"/>
                      <w:marBottom w:val="0"/>
                      <w:divBdr>
                        <w:top w:val="none" w:sz="0" w:space="0" w:color="auto"/>
                        <w:left w:val="none" w:sz="0" w:space="0" w:color="auto"/>
                        <w:bottom w:val="none" w:sz="0" w:space="0" w:color="auto"/>
                        <w:right w:val="none" w:sz="0" w:space="0" w:color="auto"/>
                      </w:divBdr>
                    </w:div>
                    <w:div w:id="1073553140">
                      <w:marLeft w:val="0"/>
                      <w:marRight w:val="0"/>
                      <w:marTop w:val="0"/>
                      <w:marBottom w:val="0"/>
                      <w:divBdr>
                        <w:top w:val="none" w:sz="0" w:space="0" w:color="auto"/>
                        <w:left w:val="none" w:sz="0" w:space="0" w:color="auto"/>
                        <w:bottom w:val="none" w:sz="0" w:space="0" w:color="auto"/>
                        <w:right w:val="none" w:sz="0" w:space="0" w:color="auto"/>
                      </w:divBdr>
                    </w:div>
                    <w:div w:id="16311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5357">
          <w:marLeft w:val="0"/>
          <w:marRight w:val="0"/>
          <w:marTop w:val="0"/>
          <w:marBottom w:val="0"/>
          <w:divBdr>
            <w:top w:val="none" w:sz="0" w:space="0" w:color="auto"/>
            <w:left w:val="none" w:sz="0" w:space="0" w:color="auto"/>
            <w:bottom w:val="none" w:sz="0" w:space="0" w:color="auto"/>
            <w:right w:val="none" w:sz="0" w:space="0" w:color="auto"/>
          </w:divBdr>
          <w:divsChild>
            <w:div w:id="336425449">
              <w:marLeft w:val="0"/>
              <w:marRight w:val="0"/>
              <w:marTop w:val="0"/>
              <w:marBottom w:val="0"/>
              <w:divBdr>
                <w:top w:val="none" w:sz="0" w:space="0" w:color="auto"/>
                <w:left w:val="none" w:sz="0" w:space="0" w:color="auto"/>
                <w:bottom w:val="none" w:sz="0" w:space="0" w:color="auto"/>
                <w:right w:val="none" w:sz="0" w:space="0" w:color="auto"/>
              </w:divBdr>
            </w:div>
            <w:div w:id="730495018">
              <w:marLeft w:val="0"/>
              <w:marRight w:val="0"/>
              <w:marTop w:val="0"/>
              <w:marBottom w:val="0"/>
              <w:divBdr>
                <w:top w:val="none" w:sz="0" w:space="0" w:color="auto"/>
                <w:left w:val="none" w:sz="0" w:space="0" w:color="auto"/>
                <w:bottom w:val="none" w:sz="0" w:space="0" w:color="auto"/>
                <w:right w:val="none" w:sz="0" w:space="0" w:color="auto"/>
              </w:divBdr>
            </w:div>
            <w:div w:id="879627130">
              <w:marLeft w:val="0"/>
              <w:marRight w:val="0"/>
              <w:marTop w:val="0"/>
              <w:marBottom w:val="0"/>
              <w:divBdr>
                <w:top w:val="none" w:sz="0" w:space="0" w:color="auto"/>
                <w:left w:val="none" w:sz="0" w:space="0" w:color="auto"/>
                <w:bottom w:val="none" w:sz="0" w:space="0" w:color="auto"/>
                <w:right w:val="none" w:sz="0" w:space="0" w:color="auto"/>
              </w:divBdr>
            </w:div>
            <w:div w:id="1232958683">
              <w:marLeft w:val="0"/>
              <w:marRight w:val="0"/>
              <w:marTop w:val="0"/>
              <w:marBottom w:val="0"/>
              <w:divBdr>
                <w:top w:val="none" w:sz="0" w:space="0" w:color="auto"/>
                <w:left w:val="none" w:sz="0" w:space="0" w:color="auto"/>
                <w:bottom w:val="none" w:sz="0" w:space="0" w:color="auto"/>
                <w:right w:val="none" w:sz="0" w:space="0" w:color="auto"/>
              </w:divBdr>
            </w:div>
          </w:divsChild>
        </w:div>
        <w:div w:id="825318002">
          <w:marLeft w:val="0"/>
          <w:marRight w:val="0"/>
          <w:marTop w:val="0"/>
          <w:marBottom w:val="0"/>
          <w:divBdr>
            <w:top w:val="none" w:sz="0" w:space="0" w:color="auto"/>
            <w:left w:val="none" w:sz="0" w:space="0" w:color="auto"/>
            <w:bottom w:val="none" w:sz="0" w:space="0" w:color="auto"/>
            <w:right w:val="none" w:sz="0" w:space="0" w:color="auto"/>
          </w:divBdr>
          <w:divsChild>
            <w:div w:id="1990405461">
              <w:marLeft w:val="-75"/>
              <w:marRight w:val="0"/>
              <w:marTop w:val="30"/>
              <w:marBottom w:val="30"/>
              <w:divBdr>
                <w:top w:val="none" w:sz="0" w:space="0" w:color="auto"/>
                <w:left w:val="none" w:sz="0" w:space="0" w:color="auto"/>
                <w:bottom w:val="none" w:sz="0" w:space="0" w:color="auto"/>
                <w:right w:val="none" w:sz="0" w:space="0" w:color="auto"/>
              </w:divBdr>
              <w:divsChild>
                <w:div w:id="317733409">
                  <w:marLeft w:val="0"/>
                  <w:marRight w:val="0"/>
                  <w:marTop w:val="0"/>
                  <w:marBottom w:val="0"/>
                  <w:divBdr>
                    <w:top w:val="none" w:sz="0" w:space="0" w:color="auto"/>
                    <w:left w:val="none" w:sz="0" w:space="0" w:color="auto"/>
                    <w:bottom w:val="none" w:sz="0" w:space="0" w:color="auto"/>
                    <w:right w:val="none" w:sz="0" w:space="0" w:color="auto"/>
                  </w:divBdr>
                </w:div>
                <w:div w:id="461194786">
                  <w:marLeft w:val="0"/>
                  <w:marRight w:val="0"/>
                  <w:marTop w:val="0"/>
                  <w:marBottom w:val="0"/>
                  <w:divBdr>
                    <w:top w:val="none" w:sz="0" w:space="0" w:color="auto"/>
                    <w:left w:val="none" w:sz="0" w:space="0" w:color="auto"/>
                    <w:bottom w:val="none" w:sz="0" w:space="0" w:color="auto"/>
                    <w:right w:val="none" w:sz="0" w:space="0" w:color="auto"/>
                  </w:divBdr>
                  <w:divsChild>
                    <w:div w:id="474176716">
                      <w:marLeft w:val="0"/>
                      <w:marRight w:val="0"/>
                      <w:marTop w:val="0"/>
                      <w:marBottom w:val="0"/>
                      <w:divBdr>
                        <w:top w:val="none" w:sz="0" w:space="0" w:color="auto"/>
                        <w:left w:val="none" w:sz="0" w:space="0" w:color="auto"/>
                        <w:bottom w:val="none" w:sz="0" w:space="0" w:color="auto"/>
                        <w:right w:val="none" w:sz="0" w:space="0" w:color="auto"/>
                      </w:divBdr>
                    </w:div>
                    <w:div w:id="1617904812">
                      <w:marLeft w:val="0"/>
                      <w:marRight w:val="0"/>
                      <w:marTop w:val="0"/>
                      <w:marBottom w:val="0"/>
                      <w:divBdr>
                        <w:top w:val="none" w:sz="0" w:space="0" w:color="auto"/>
                        <w:left w:val="none" w:sz="0" w:space="0" w:color="auto"/>
                        <w:bottom w:val="none" w:sz="0" w:space="0" w:color="auto"/>
                        <w:right w:val="none" w:sz="0" w:space="0" w:color="auto"/>
                      </w:divBdr>
                    </w:div>
                  </w:divsChild>
                </w:div>
                <w:div w:id="576672717">
                  <w:marLeft w:val="0"/>
                  <w:marRight w:val="0"/>
                  <w:marTop w:val="0"/>
                  <w:marBottom w:val="0"/>
                  <w:divBdr>
                    <w:top w:val="none" w:sz="0" w:space="0" w:color="auto"/>
                    <w:left w:val="none" w:sz="0" w:space="0" w:color="auto"/>
                    <w:bottom w:val="none" w:sz="0" w:space="0" w:color="auto"/>
                    <w:right w:val="none" w:sz="0" w:space="0" w:color="auto"/>
                  </w:divBdr>
                  <w:divsChild>
                    <w:div w:id="769353052">
                      <w:marLeft w:val="0"/>
                      <w:marRight w:val="0"/>
                      <w:marTop w:val="0"/>
                      <w:marBottom w:val="0"/>
                      <w:divBdr>
                        <w:top w:val="none" w:sz="0" w:space="0" w:color="auto"/>
                        <w:left w:val="none" w:sz="0" w:space="0" w:color="auto"/>
                        <w:bottom w:val="none" w:sz="0" w:space="0" w:color="auto"/>
                        <w:right w:val="none" w:sz="0" w:space="0" w:color="auto"/>
                      </w:divBdr>
                    </w:div>
                  </w:divsChild>
                </w:div>
                <w:div w:id="1149250306">
                  <w:marLeft w:val="0"/>
                  <w:marRight w:val="0"/>
                  <w:marTop w:val="0"/>
                  <w:marBottom w:val="0"/>
                  <w:divBdr>
                    <w:top w:val="none" w:sz="0" w:space="0" w:color="auto"/>
                    <w:left w:val="none" w:sz="0" w:space="0" w:color="auto"/>
                    <w:bottom w:val="none" w:sz="0" w:space="0" w:color="auto"/>
                    <w:right w:val="none" w:sz="0" w:space="0" w:color="auto"/>
                  </w:divBdr>
                  <w:divsChild>
                    <w:div w:id="1780644227">
                      <w:marLeft w:val="0"/>
                      <w:marRight w:val="0"/>
                      <w:marTop w:val="0"/>
                      <w:marBottom w:val="0"/>
                      <w:divBdr>
                        <w:top w:val="none" w:sz="0" w:space="0" w:color="auto"/>
                        <w:left w:val="none" w:sz="0" w:space="0" w:color="auto"/>
                        <w:bottom w:val="none" w:sz="0" w:space="0" w:color="auto"/>
                        <w:right w:val="none" w:sz="0" w:space="0" w:color="auto"/>
                      </w:divBdr>
                    </w:div>
                  </w:divsChild>
                </w:div>
                <w:div w:id="1268928388">
                  <w:marLeft w:val="0"/>
                  <w:marRight w:val="0"/>
                  <w:marTop w:val="0"/>
                  <w:marBottom w:val="0"/>
                  <w:divBdr>
                    <w:top w:val="none" w:sz="0" w:space="0" w:color="auto"/>
                    <w:left w:val="none" w:sz="0" w:space="0" w:color="auto"/>
                    <w:bottom w:val="none" w:sz="0" w:space="0" w:color="auto"/>
                    <w:right w:val="none" w:sz="0" w:space="0" w:color="auto"/>
                  </w:divBdr>
                  <w:divsChild>
                    <w:div w:id="10376807">
                      <w:marLeft w:val="0"/>
                      <w:marRight w:val="0"/>
                      <w:marTop w:val="0"/>
                      <w:marBottom w:val="0"/>
                      <w:divBdr>
                        <w:top w:val="none" w:sz="0" w:space="0" w:color="auto"/>
                        <w:left w:val="none" w:sz="0" w:space="0" w:color="auto"/>
                        <w:bottom w:val="none" w:sz="0" w:space="0" w:color="auto"/>
                        <w:right w:val="none" w:sz="0" w:space="0" w:color="auto"/>
                      </w:divBdr>
                    </w:div>
                  </w:divsChild>
                </w:div>
                <w:div w:id="1589656502">
                  <w:marLeft w:val="0"/>
                  <w:marRight w:val="0"/>
                  <w:marTop w:val="0"/>
                  <w:marBottom w:val="0"/>
                  <w:divBdr>
                    <w:top w:val="none" w:sz="0" w:space="0" w:color="auto"/>
                    <w:left w:val="none" w:sz="0" w:space="0" w:color="auto"/>
                    <w:bottom w:val="none" w:sz="0" w:space="0" w:color="auto"/>
                    <w:right w:val="none" w:sz="0" w:space="0" w:color="auto"/>
                  </w:divBdr>
                  <w:divsChild>
                    <w:div w:id="971129870">
                      <w:marLeft w:val="0"/>
                      <w:marRight w:val="0"/>
                      <w:marTop w:val="0"/>
                      <w:marBottom w:val="0"/>
                      <w:divBdr>
                        <w:top w:val="none" w:sz="0" w:space="0" w:color="auto"/>
                        <w:left w:val="none" w:sz="0" w:space="0" w:color="auto"/>
                        <w:bottom w:val="none" w:sz="0" w:space="0" w:color="auto"/>
                        <w:right w:val="none" w:sz="0" w:space="0" w:color="auto"/>
                      </w:divBdr>
                    </w:div>
                  </w:divsChild>
                </w:div>
                <w:div w:id="1620647508">
                  <w:marLeft w:val="0"/>
                  <w:marRight w:val="0"/>
                  <w:marTop w:val="0"/>
                  <w:marBottom w:val="0"/>
                  <w:divBdr>
                    <w:top w:val="none" w:sz="0" w:space="0" w:color="auto"/>
                    <w:left w:val="none" w:sz="0" w:space="0" w:color="auto"/>
                    <w:bottom w:val="none" w:sz="0" w:space="0" w:color="auto"/>
                    <w:right w:val="none" w:sz="0" w:space="0" w:color="auto"/>
                  </w:divBdr>
                  <w:divsChild>
                    <w:div w:id="663053151">
                      <w:marLeft w:val="0"/>
                      <w:marRight w:val="0"/>
                      <w:marTop w:val="0"/>
                      <w:marBottom w:val="0"/>
                      <w:divBdr>
                        <w:top w:val="none" w:sz="0" w:space="0" w:color="auto"/>
                        <w:left w:val="none" w:sz="0" w:space="0" w:color="auto"/>
                        <w:bottom w:val="none" w:sz="0" w:space="0" w:color="auto"/>
                        <w:right w:val="none" w:sz="0" w:space="0" w:color="auto"/>
                      </w:divBdr>
                    </w:div>
                  </w:divsChild>
                </w:div>
                <w:div w:id="1665352353">
                  <w:marLeft w:val="0"/>
                  <w:marRight w:val="0"/>
                  <w:marTop w:val="0"/>
                  <w:marBottom w:val="0"/>
                  <w:divBdr>
                    <w:top w:val="none" w:sz="0" w:space="0" w:color="auto"/>
                    <w:left w:val="none" w:sz="0" w:space="0" w:color="auto"/>
                    <w:bottom w:val="none" w:sz="0" w:space="0" w:color="auto"/>
                    <w:right w:val="none" w:sz="0" w:space="0" w:color="auto"/>
                  </w:divBdr>
                  <w:divsChild>
                    <w:div w:id="43871085">
                      <w:marLeft w:val="0"/>
                      <w:marRight w:val="0"/>
                      <w:marTop w:val="0"/>
                      <w:marBottom w:val="0"/>
                      <w:divBdr>
                        <w:top w:val="none" w:sz="0" w:space="0" w:color="auto"/>
                        <w:left w:val="none" w:sz="0" w:space="0" w:color="auto"/>
                        <w:bottom w:val="none" w:sz="0" w:space="0" w:color="auto"/>
                        <w:right w:val="none" w:sz="0" w:space="0" w:color="auto"/>
                      </w:divBdr>
                    </w:div>
                  </w:divsChild>
                </w:div>
                <w:div w:id="2022849283">
                  <w:marLeft w:val="0"/>
                  <w:marRight w:val="0"/>
                  <w:marTop w:val="0"/>
                  <w:marBottom w:val="0"/>
                  <w:divBdr>
                    <w:top w:val="none" w:sz="0" w:space="0" w:color="auto"/>
                    <w:left w:val="none" w:sz="0" w:space="0" w:color="auto"/>
                    <w:bottom w:val="none" w:sz="0" w:space="0" w:color="auto"/>
                    <w:right w:val="none" w:sz="0" w:space="0" w:color="auto"/>
                  </w:divBdr>
                  <w:divsChild>
                    <w:div w:id="45233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953641">
          <w:marLeft w:val="0"/>
          <w:marRight w:val="0"/>
          <w:marTop w:val="0"/>
          <w:marBottom w:val="0"/>
          <w:divBdr>
            <w:top w:val="none" w:sz="0" w:space="0" w:color="auto"/>
            <w:left w:val="none" w:sz="0" w:space="0" w:color="auto"/>
            <w:bottom w:val="none" w:sz="0" w:space="0" w:color="auto"/>
            <w:right w:val="none" w:sz="0" w:space="0" w:color="auto"/>
          </w:divBdr>
        </w:div>
        <w:div w:id="1354696294">
          <w:marLeft w:val="0"/>
          <w:marRight w:val="0"/>
          <w:marTop w:val="0"/>
          <w:marBottom w:val="0"/>
          <w:divBdr>
            <w:top w:val="none" w:sz="0" w:space="0" w:color="auto"/>
            <w:left w:val="none" w:sz="0" w:space="0" w:color="auto"/>
            <w:bottom w:val="none" w:sz="0" w:space="0" w:color="auto"/>
            <w:right w:val="none" w:sz="0" w:space="0" w:color="auto"/>
          </w:divBdr>
        </w:div>
        <w:div w:id="1394351975">
          <w:marLeft w:val="0"/>
          <w:marRight w:val="0"/>
          <w:marTop w:val="0"/>
          <w:marBottom w:val="0"/>
          <w:divBdr>
            <w:top w:val="none" w:sz="0" w:space="0" w:color="auto"/>
            <w:left w:val="none" w:sz="0" w:space="0" w:color="auto"/>
            <w:bottom w:val="none" w:sz="0" w:space="0" w:color="auto"/>
            <w:right w:val="none" w:sz="0" w:space="0" w:color="auto"/>
          </w:divBdr>
          <w:divsChild>
            <w:div w:id="565067789">
              <w:marLeft w:val="-75"/>
              <w:marRight w:val="0"/>
              <w:marTop w:val="30"/>
              <w:marBottom w:val="30"/>
              <w:divBdr>
                <w:top w:val="none" w:sz="0" w:space="0" w:color="auto"/>
                <w:left w:val="none" w:sz="0" w:space="0" w:color="auto"/>
                <w:bottom w:val="none" w:sz="0" w:space="0" w:color="auto"/>
                <w:right w:val="none" w:sz="0" w:space="0" w:color="auto"/>
              </w:divBdr>
              <w:divsChild>
                <w:div w:id="417869859">
                  <w:marLeft w:val="0"/>
                  <w:marRight w:val="0"/>
                  <w:marTop w:val="0"/>
                  <w:marBottom w:val="0"/>
                  <w:divBdr>
                    <w:top w:val="none" w:sz="0" w:space="0" w:color="auto"/>
                    <w:left w:val="none" w:sz="0" w:space="0" w:color="auto"/>
                    <w:bottom w:val="none" w:sz="0" w:space="0" w:color="auto"/>
                    <w:right w:val="none" w:sz="0" w:space="0" w:color="auto"/>
                  </w:divBdr>
                  <w:divsChild>
                    <w:div w:id="788861650">
                      <w:marLeft w:val="0"/>
                      <w:marRight w:val="0"/>
                      <w:marTop w:val="0"/>
                      <w:marBottom w:val="0"/>
                      <w:divBdr>
                        <w:top w:val="none" w:sz="0" w:space="0" w:color="auto"/>
                        <w:left w:val="none" w:sz="0" w:space="0" w:color="auto"/>
                        <w:bottom w:val="none" w:sz="0" w:space="0" w:color="auto"/>
                        <w:right w:val="none" w:sz="0" w:space="0" w:color="auto"/>
                      </w:divBdr>
                    </w:div>
                  </w:divsChild>
                </w:div>
                <w:div w:id="536890957">
                  <w:marLeft w:val="0"/>
                  <w:marRight w:val="0"/>
                  <w:marTop w:val="0"/>
                  <w:marBottom w:val="0"/>
                  <w:divBdr>
                    <w:top w:val="none" w:sz="0" w:space="0" w:color="auto"/>
                    <w:left w:val="none" w:sz="0" w:space="0" w:color="auto"/>
                    <w:bottom w:val="none" w:sz="0" w:space="0" w:color="auto"/>
                    <w:right w:val="none" w:sz="0" w:space="0" w:color="auto"/>
                  </w:divBdr>
                  <w:divsChild>
                    <w:div w:id="1839224188">
                      <w:marLeft w:val="0"/>
                      <w:marRight w:val="0"/>
                      <w:marTop w:val="0"/>
                      <w:marBottom w:val="0"/>
                      <w:divBdr>
                        <w:top w:val="none" w:sz="0" w:space="0" w:color="auto"/>
                        <w:left w:val="none" w:sz="0" w:space="0" w:color="auto"/>
                        <w:bottom w:val="none" w:sz="0" w:space="0" w:color="auto"/>
                        <w:right w:val="none" w:sz="0" w:space="0" w:color="auto"/>
                      </w:divBdr>
                    </w:div>
                  </w:divsChild>
                </w:div>
                <w:div w:id="598568805">
                  <w:marLeft w:val="0"/>
                  <w:marRight w:val="0"/>
                  <w:marTop w:val="0"/>
                  <w:marBottom w:val="0"/>
                  <w:divBdr>
                    <w:top w:val="none" w:sz="0" w:space="0" w:color="auto"/>
                    <w:left w:val="none" w:sz="0" w:space="0" w:color="auto"/>
                    <w:bottom w:val="none" w:sz="0" w:space="0" w:color="auto"/>
                    <w:right w:val="none" w:sz="0" w:space="0" w:color="auto"/>
                  </w:divBdr>
                  <w:divsChild>
                    <w:div w:id="1158113475">
                      <w:marLeft w:val="0"/>
                      <w:marRight w:val="0"/>
                      <w:marTop w:val="0"/>
                      <w:marBottom w:val="0"/>
                      <w:divBdr>
                        <w:top w:val="none" w:sz="0" w:space="0" w:color="auto"/>
                        <w:left w:val="none" w:sz="0" w:space="0" w:color="auto"/>
                        <w:bottom w:val="none" w:sz="0" w:space="0" w:color="auto"/>
                        <w:right w:val="none" w:sz="0" w:space="0" w:color="auto"/>
                      </w:divBdr>
                    </w:div>
                  </w:divsChild>
                </w:div>
                <w:div w:id="604116266">
                  <w:marLeft w:val="0"/>
                  <w:marRight w:val="0"/>
                  <w:marTop w:val="0"/>
                  <w:marBottom w:val="0"/>
                  <w:divBdr>
                    <w:top w:val="none" w:sz="0" w:space="0" w:color="auto"/>
                    <w:left w:val="none" w:sz="0" w:space="0" w:color="auto"/>
                    <w:bottom w:val="none" w:sz="0" w:space="0" w:color="auto"/>
                    <w:right w:val="none" w:sz="0" w:space="0" w:color="auto"/>
                  </w:divBdr>
                  <w:divsChild>
                    <w:div w:id="536548841">
                      <w:marLeft w:val="0"/>
                      <w:marRight w:val="0"/>
                      <w:marTop w:val="0"/>
                      <w:marBottom w:val="0"/>
                      <w:divBdr>
                        <w:top w:val="none" w:sz="0" w:space="0" w:color="auto"/>
                        <w:left w:val="none" w:sz="0" w:space="0" w:color="auto"/>
                        <w:bottom w:val="none" w:sz="0" w:space="0" w:color="auto"/>
                        <w:right w:val="none" w:sz="0" w:space="0" w:color="auto"/>
                      </w:divBdr>
                    </w:div>
                  </w:divsChild>
                </w:div>
                <w:div w:id="670260170">
                  <w:marLeft w:val="0"/>
                  <w:marRight w:val="0"/>
                  <w:marTop w:val="0"/>
                  <w:marBottom w:val="0"/>
                  <w:divBdr>
                    <w:top w:val="none" w:sz="0" w:space="0" w:color="auto"/>
                    <w:left w:val="none" w:sz="0" w:space="0" w:color="auto"/>
                    <w:bottom w:val="none" w:sz="0" w:space="0" w:color="auto"/>
                    <w:right w:val="none" w:sz="0" w:space="0" w:color="auto"/>
                  </w:divBdr>
                  <w:divsChild>
                    <w:div w:id="683940143">
                      <w:marLeft w:val="0"/>
                      <w:marRight w:val="0"/>
                      <w:marTop w:val="0"/>
                      <w:marBottom w:val="0"/>
                      <w:divBdr>
                        <w:top w:val="none" w:sz="0" w:space="0" w:color="auto"/>
                        <w:left w:val="none" w:sz="0" w:space="0" w:color="auto"/>
                        <w:bottom w:val="none" w:sz="0" w:space="0" w:color="auto"/>
                        <w:right w:val="none" w:sz="0" w:space="0" w:color="auto"/>
                      </w:divBdr>
                    </w:div>
                  </w:divsChild>
                </w:div>
                <w:div w:id="763653907">
                  <w:marLeft w:val="0"/>
                  <w:marRight w:val="0"/>
                  <w:marTop w:val="0"/>
                  <w:marBottom w:val="0"/>
                  <w:divBdr>
                    <w:top w:val="none" w:sz="0" w:space="0" w:color="auto"/>
                    <w:left w:val="none" w:sz="0" w:space="0" w:color="auto"/>
                    <w:bottom w:val="none" w:sz="0" w:space="0" w:color="auto"/>
                    <w:right w:val="none" w:sz="0" w:space="0" w:color="auto"/>
                  </w:divBdr>
                  <w:divsChild>
                    <w:div w:id="1778061694">
                      <w:marLeft w:val="0"/>
                      <w:marRight w:val="0"/>
                      <w:marTop w:val="0"/>
                      <w:marBottom w:val="0"/>
                      <w:divBdr>
                        <w:top w:val="none" w:sz="0" w:space="0" w:color="auto"/>
                        <w:left w:val="none" w:sz="0" w:space="0" w:color="auto"/>
                        <w:bottom w:val="none" w:sz="0" w:space="0" w:color="auto"/>
                        <w:right w:val="none" w:sz="0" w:space="0" w:color="auto"/>
                      </w:divBdr>
                    </w:div>
                  </w:divsChild>
                </w:div>
                <w:div w:id="792165449">
                  <w:marLeft w:val="0"/>
                  <w:marRight w:val="0"/>
                  <w:marTop w:val="0"/>
                  <w:marBottom w:val="0"/>
                  <w:divBdr>
                    <w:top w:val="none" w:sz="0" w:space="0" w:color="auto"/>
                    <w:left w:val="none" w:sz="0" w:space="0" w:color="auto"/>
                    <w:bottom w:val="none" w:sz="0" w:space="0" w:color="auto"/>
                    <w:right w:val="none" w:sz="0" w:space="0" w:color="auto"/>
                  </w:divBdr>
                  <w:divsChild>
                    <w:div w:id="1220019842">
                      <w:marLeft w:val="0"/>
                      <w:marRight w:val="0"/>
                      <w:marTop w:val="0"/>
                      <w:marBottom w:val="0"/>
                      <w:divBdr>
                        <w:top w:val="none" w:sz="0" w:space="0" w:color="auto"/>
                        <w:left w:val="none" w:sz="0" w:space="0" w:color="auto"/>
                        <w:bottom w:val="none" w:sz="0" w:space="0" w:color="auto"/>
                        <w:right w:val="none" w:sz="0" w:space="0" w:color="auto"/>
                      </w:divBdr>
                    </w:div>
                  </w:divsChild>
                </w:div>
                <w:div w:id="842746084">
                  <w:marLeft w:val="0"/>
                  <w:marRight w:val="0"/>
                  <w:marTop w:val="0"/>
                  <w:marBottom w:val="0"/>
                  <w:divBdr>
                    <w:top w:val="none" w:sz="0" w:space="0" w:color="auto"/>
                    <w:left w:val="none" w:sz="0" w:space="0" w:color="auto"/>
                    <w:bottom w:val="none" w:sz="0" w:space="0" w:color="auto"/>
                    <w:right w:val="none" w:sz="0" w:space="0" w:color="auto"/>
                  </w:divBdr>
                  <w:divsChild>
                    <w:div w:id="1598564700">
                      <w:marLeft w:val="0"/>
                      <w:marRight w:val="0"/>
                      <w:marTop w:val="0"/>
                      <w:marBottom w:val="0"/>
                      <w:divBdr>
                        <w:top w:val="none" w:sz="0" w:space="0" w:color="auto"/>
                        <w:left w:val="none" w:sz="0" w:space="0" w:color="auto"/>
                        <w:bottom w:val="none" w:sz="0" w:space="0" w:color="auto"/>
                        <w:right w:val="none" w:sz="0" w:space="0" w:color="auto"/>
                      </w:divBdr>
                    </w:div>
                  </w:divsChild>
                </w:div>
                <w:div w:id="890388303">
                  <w:marLeft w:val="0"/>
                  <w:marRight w:val="0"/>
                  <w:marTop w:val="0"/>
                  <w:marBottom w:val="0"/>
                  <w:divBdr>
                    <w:top w:val="none" w:sz="0" w:space="0" w:color="auto"/>
                    <w:left w:val="none" w:sz="0" w:space="0" w:color="auto"/>
                    <w:bottom w:val="none" w:sz="0" w:space="0" w:color="auto"/>
                    <w:right w:val="none" w:sz="0" w:space="0" w:color="auto"/>
                  </w:divBdr>
                  <w:divsChild>
                    <w:div w:id="1270578223">
                      <w:marLeft w:val="0"/>
                      <w:marRight w:val="0"/>
                      <w:marTop w:val="0"/>
                      <w:marBottom w:val="0"/>
                      <w:divBdr>
                        <w:top w:val="none" w:sz="0" w:space="0" w:color="auto"/>
                        <w:left w:val="none" w:sz="0" w:space="0" w:color="auto"/>
                        <w:bottom w:val="none" w:sz="0" w:space="0" w:color="auto"/>
                        <w:right w:val="none" w:sz="0" w:space="0" w:color="auto"/>
                      </w:divBdr>
                    </w:div>
                  </w:divsChild>
                </w:div>
                <w:div w:id="973415387">
                  <w:marLeft w:val="0"/>
                  <w:marRight w:val="0"/>
                  <w:marTop w:val="0"/>
                  <w:marBottom w:val="0"/>
                  <w:divBdr>
                    <w:top w:val="none" w:sz="0" w:space="0" w:color="auto"/>
                    <w:left w:val="none" w:sz="0" w:space="0" w:color="auto"/>
                    <w:bottom w:val="none" w:sz="0" w:space="0" w:color="auto"/>
                    <w:right w:val="none" w:sz="0" w:space="0" w:color="auto"/>
                  </w:divBdr>
                </w:div>
                <w:div w:id="1051459732">
                  <w:marLeft w:val="0"/>
                  <w:marRight w:val="0"/>
                  <w:marTop w:val="0"/>
                  <w:marBottom w:val="0"/>
                  <w:divBdr>
                    <w:top w:val="none" w:sz="0" w:space="0" w:color="auto"/>
                    <w:left w:val="none" w:sz="0" w:space="0" w:color="auto"/>
                    <w:bottom w:val="none" w:sz="0" w:space="0" w:color="auto"/>
                    <w:right w:val="none" w:sz="0" w:space="0" w:color="auto"/>
                  </w:divBdr>
                  <w:divsChild>
                    <w:div w:id="393897856">
                      <w:marLeft w:val="0"/>
                      <w:marRight w:val="0"/>
                      <w:marTop w:val="0"/>
                      <w:marBottom w:val="0"/>
                      <w:divBdr>
                        <w:top w:val="none" w:sz="0" w:space="0" w:color="auto"/>
                        <w:left w:val="none" w:sz="0" w:space="0" w:color="auto"/>
                        <w:bottom w:val="none" w:sz="0" w:space="0" w:color="auto"/>
                        <w:right w:val="none" w:sz="0" w:space="0" w:color="auto"/>
                      </w:divBdr>
                    </w:div>
                  </w:divsChild>
                </w:div>
                <w:div w:id="1069570498">
                  <w:marLeft w:val="0"/>
                  <w:marRight w:val="0"/>
                  <w:marTop w:val="0"/>
                  <w:marBottom w:val="0"/>
                  <w:divBdr>
                    <w:top w:val="none" w:sz="0" w:space="0" w:color="auto"/>
                    <w:left w:val="none" w:sz="0" w:space="0" w:color="auto"/>
                    <w:bottom w:val="none" w:sz="0" w:space="0" w:color="auto"/>
                    <w:right w:val="none" w:sz="0" w:space="0" w:color="auto"/>
                  </w:divBdr>
                  <w:divsChild>
                    <w:div w:id="7487671">
                      <w:marLeft w:val="0"/>
                      <w:marRight w:val="0"/>
                      <w:marTop w:val="0"/>
                      <w:marBottom w:val="0"/>
                      <w:divBdr>
                        <w:top w:val="none" w:sz="0" w:space="0" w:color="auto"/>
                        <w:left w:val="none" w:sz="0" w:space="0" w:color="auto"/>
                        <w:bottom w:val="none" w:sz="0" w:space="0" w:color="auto"/>
                        <w:right w:val="none" w:sz="0" w:space="0" w:color="auto"/>
                      </w:divBdr>
                    </w:div>
                  </w:divsChild>
                </w:div>
                <w:div w:id="1180200337">
                  <w:marLeft w:val="0"/>
                  <w:marRight w:val="0"/>
                  <w:marTop w:val="0"/>
                  <w:marBottom w:val="0"/>
                  <w:divBdr>
                    <w:top w:val="none" w:sz="0" w:space="0" w:color="auto"/>
                    <w:left w:val="none" w:sz="0" w:space="0" w:color="auto"/>
                    <w:bottom w:val="none" w:sz="0" w:space="0" w:color="auto"/>
                    <w:right w:val="none" w:sz="0" w:space="0" w:color="auto"/>
                  </w:divBdr>
                  <w:divsChild>
                    <w:div w:id="1706440746">
                      <w:marLeft w:val="0"/>
                      <w:marRight w:val="0"/>
                      <w:marTop w:val="0"/>
                      <w:marBottom w:val="0"/>
                      <w:divBdr>
                        <w:top w:val="none" w:sz="0" w:space="0" w:color="auto"/>
                        <w:left w:val="none" w:sz="0" w:space="0" w:color="auto"/>
                        <w:bottom w:val="none" w:sz="0" w:space="0" w:color="auto"/>
                        <w:right w:val="none" w:sz="0" w:space="0" w:color="auto"/>
                      </w:divBdr>
                    </w:div>
                  </w:divsChild>
                </w:div>
                <w:div w:id="1187016827">
                  <w:marLeft w:val="0"/>
                  <w:marRight w:val="0"/>
                  <w:marTop w:val="0"/>
                  <w:marBottom w:val="0"/>
                  <w:divBdr>
                    <w:top w:val="none" w:sz="0" w:space="0" w:color="auto"/>
                    <w:left w:val="none" w:sz="0" w:space="0" w:color="auto"/>
                    <w:bottom w:val="none" w:sz="0" w:space="0" w:color="auto"/>
                    <w:right w:val="none" w:sz="0" w:space="0" w:color="auto"/>
                  </w:divBdr>
                  <w:divsChild>
                    <w:div w:id="506022112">
                      <w:marLeft w:val="0"/>
                      <w:marRight w:val="0"/>
                      <w:marTop w:val="0"/>
                      <w:marBottom w:val="0"/>
                      <w:divBdr>
                        <w:top w:val="none" w:sz="0" w:space="0" w:color="auto"/>
                        <w:left w:val="none" w:sz="0" w:space="0" w:color="auto"/>
                        <w:bottom w:val="none" w:sz="0" w:space="0" w:color="auto"/>
                        <w:right w:val="none" w:sz="0" w:space="0" w:color="auto"/>
                      </w:divBdr>
                    </w:div>
                  </w:divsChild>
                </w:div>
                <w:div w:id="1294091554">
                  <w:marLeft w:val="0"/>
                  <w:marRight w:val="0"/>
                  <w:marTop w:val="0"/>
                  <w:marBottom w:val="0"/>
                  <w:divBdr>
                    <w:top w:val="none" w:sz="0" w:space="0" w:color="auto"/>
                    <w:left w:val="none" w:sz="0" w:space="0" w:color="auto"/>
                    <w:bottom w:val="none" w:sz="0" w:space="0" w:color="auto"/>
                    <w:right w:val="none" w:sz="0" w:space="0" w:color="auto"/>
                  </w:divBdr>
                  <w:divsChild>
                    <w:div w:id="936718895">
                      <w:marLeft w:val="0"/>
                      <w:marRight w:val="0"/>
                      <w:marTop w:val="0"/>
                      <w:marBottom w:val="0"/>
                      <w:divBdr>
                        <w:top w:val="none" w:sz="0" w:space="0" w:color="auto"/>
                        <w:left w:val="none" w:sz="0" w:space="0" w:color="auto"/>
                        <w:bottom w:val="none" w:sz="0" w:space="0" w:color="auto"/>
                        <w:right w:val="none" w:sz="0" w:space="0" w:color="auto"/>
                      </w:divBdr>
                    </w:div>
                  </w:divsChild>
                </w:div>
                <w:div w:id="1513686051">
                  <w:marLeft w:val="0"/>
                  <w:marRight w:val="0"/>
                  <w:marTop w:val="0"/>
                  <w:marBottom w:val="0"/>
                  <w:divBdr>
                    <w:top w:val="none" w:sz="0" w:space="0" w:color="auto"/>
                    <w:left w:val="none" w:sz="0" w:space="0" w:color="auto"/>
                    <w:bottom w:val="none" w:sz="0" w:space="0" w:color="auto"/>
                    <w:right w:val="none" w:sz="0" w:space="0" w:color="auto"/>
                  </w:divBdr>
                  <w:divsChild>
                    <w:div w:id="1676372161">
                      <w:marLeft w:val="0"/>
                      <w:marRight w:val="0"/>
                      <w:marTop w:val="0"/>
                      <w:marBottom w:val="0"/>
                      <w:divBdr>
                        <w:top w:val="none" w:sz="0" w:space="0" w:color="auto"/>
                        <w:left w:val="none" w:sz="0" w:space="0" w:color="auto"/>
                        <w:bottom w:val="none" w:sz="0" w:space="0" w:color="auto"/>
                        <w:right w:val="none" w:sz="0" w:space="0" w:color="auto"/>
                      </w:divBdr>
                    </w:div>
                  </w:divsChild>
                </w:div>
                <w:div w:id="1913348657">
                  <w:marLeft w:val="0"/>
                  <w:marRight w:val="0"/>
                  <w:marTop w:val="0"/>
                  <w:marBottom w:val="0"/>
                  <w:divBdr>
                    <w:top w:val="none" w:sz="0" w:space="0" w:color="auto"/>
                    <w:left w:val="none" w:sz="0" w:space="0" w:color="auto"/>
                    <w:bottom w:val="none" w:sz="0" w:space="0" w:color="auto"/>
                    <w:right w:val="none" w:sz="0" w:space="0" w:color="auto"/>
                  </w:divBdr>
                  <w:divsChild>
                    <w:div w:id="275529882">
                      <w:marLeft w:val="0"/>
                      <w:marRight w:val="0"/>
                      <w:marTop w:val="0"/>
                      <w:marBottom w:val="0"/>
                      <w:divBdr>
                        <w:top w:val="none" w:sz="0" w:space="0" w:color="auto"/>
                        <w:left w:val="none" w:sz="0" w:space="0" w:color="auto"/>
                        <w:bottom w:val="none" w:sz="0" w:space="0" w:color="auto"/>
                        <w:right w:val="none" w:sz="0" w:space="0" w:color="auto"/>
                      </w:divBdr>
                    </w:div>
                  </w:divsChild>
                </w:div>
                <w:div w:id="1951890934">
                  <w:marLeft w:val="0"/>
                  <w:marRight w:val="0"/>
                  <w:marTop w:val="0"/>
                  <w:marBottom w:val="0"/>
                  <w:divBdr>
                    <w:top w:val="none" w:sz="0" w:space="0" w:color="auto"/>
                    <w:left w:val="none" w:sz="0" w:space="0" w:color="auto"/>
                    <w:bottom w:val="none" w:sz="0" w:space="0" w:color="auto"/>
                    <w:right w:val="none" w:sz="0" w:space="0" w:color="auto"/>
                  </w:divBdr>
                  <w:divsChild>
                    <w:div w:id="924991385">
                      <w:marLeft w:val="0"/>
                      <w:marRight w:val="0"/>
                      <w:marTop w:val="0"/>
                      <w:marBottom w:val="0"/>
                      <w:divBdr>
                        <w:top w:val="none" w:sz="0" w:space="0" w:color="auto"/>
                        <w:left w:val="none" w:sz="0" w:space="0" w:color="auto"/>
                        <w:bottom w:val="none" w:sz="0" w:space="0" w:color="auto"/>
                        <w:right w:val="none" w:sz="0" w:space="0" w:color="auto"/>
                      </w:divBdr>
                    </w:div>
                  </w:divsChild>
                </w:div>
                <w:div w:id="2050957550">
                  <w:marLeft w:val="0"/>
                  <w:marRight w:val="0"/>
                  <w:marTop w:val="0"/>
                  <w:marBottom w:val="0"/>
                  <w:divBdr>
                    <w:top w:val="none" w:sz="0" w:space="0" w:color="auto"/>
                    <w:left w:val="none" w:sz="0" w:space="0" w:color="auto"/>
                    <w:bottom w:val="none" w:sz="0" w:space="0" w:color="auto"/>
                    <w:right w:val="none" w:sz="0" w:space="0" w:color="auto"/>
                  </w:divBdr>
                  <w:divsChild>
                    <w:div w:id="115148560">
                      <w:marLeft w:val="0"/>
                      <w:marRight w:val="0"/>
                      <w:marTop w:val="0"/>
                      <w:marBottom w:val="0"/>
                      <w:divBdr>
                        <w:top w:val="none" w:sz="0" w:space="0" w:color="auto"/>
                        <w:left w:val="none" w:sz="0" w:space="0" w:color="auto"/>
                        <w:bottom w:val="none" w:sz="0" w:space="0" w:color="auto"/>
                        <w:right w:val="none" w:sz="0" w:space="0" w:color="auto"/>
                      </w:divBdr>
                    </w:div>
                    <w:div w:id="685711449">
                      <w:marLeft w:val="0"/>
                      <w:marRight w:val="0"/>
                      <w:marTop w:val="0"/>
                      <w:marBottom w:val="0"/>
                      <w:divBdr>
                        <w:top w:val="none" w:sz="0" w:space="0" w:color="auto"/>
                        <w:left w:val="none" w:sz="0" w:space="0" w:color="auto"/>
                        <w:bottom w:val="none" w:sz="0" w:space="0" w:color="auto"/>
                        <w:right w:val="none" w:sz="0" w:space="0" w:color="auto"/>
                      </w:divBdr>
                    </w:div>
                  </w:divsChild>
                </w:div>
                <w:div w:id="2133553871">
                  <w:marLeft w:val="0"/>
                  <w:marRight w:val="0"/>
                  <w:marTop w:val="0"/>
                  <w:marBottom w:val="0"/>
                  <w:divBdr>
                    <w:top w:val="none" w:sz="0" w:space="0" w:color="auto"/>
                    <w:left w:val="none" w:sz="0" w:space="0" w:color="auto"/>
                    <w:bottom w:val="none" w:sz="0" w:space="0" w:color="auto"/>
                    <w:right w:val="none" w:sz="0" w:space="0" w:color="auto"/>
                  </w:divBdr>
                  <w:divsChild>
                    <w:div w:id="188763919">
                      <w:marLeft w:val="0"/>
                      <w:marRight w:val="0"/>
                      <w:marTop w:val="0"/>
                      <w:marBottom w:val="0"/>
                      <w:divBdr>
                        <w:top w:val="none" w:sz="0" w:space="0" w:color="auto"/>
                        <w:left w:val="none" w:sz="0" w:space="0" w:color="auto"/>
                        <w:bottom w:val="none" w:sz="0" w:space="0" w:color="auto"/>
                        <w:right w:val="none" w:sz="0" w:space="0" w:color="auto"/>
                      </w:divBdr>
                    </w:div>
                  </w:divsChild>
                </w:div>
                <w:div w:id="2139451807">
                  <w:marLeft w:val="0"/>
                  <w:marRight w:val="0"/>
                  <w:marTop w:val="0"/>
                  <w:marBottom w:val="0"/>
                  <w:divBdr>
                    <w:top w:val="none" w:sz="0" w:space="0" w:color="auto"/>
                    <w:left w:val="none" w:sz="0" w:space="0" w:color="auto"/>
                    <w:bottom w:val="none" w:sz="0" w:space="0" w:color="auto"/>
                    <w:right w:val="none" w:sz="0" w:space="0" w:color="auto"/>
                  </w:divBdr>
                  <w:divsChild>
                    <w:div w:id="19510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8230">
          <w:marLeft w:val="0"/>
          <w:marRight w:val="0"/>
          <w:marTop w:val="0"/>
          <w:marBottom w:val="0"/>
          <w:divBdr>
            <w:top w:val="none" w:sz="0" w:space="0" w:color="auto"/>
            <w:left w:val="none" w:sz="0" w:space="0" w:color="auto"/>
            <w:bottom w:val="none" w:sz="0" w:space="0" w:color="auto"/>
            <w:right w:val="none" w:sz="0" w:space="0" w:color="auto"/>
          </w:divBdr>
          <w:divsChild>
            <w:div w:id="601232137">
              <w:marLeft w:val="0"/>
              <w:marRight w:val="0"/>
              <w:marTop w:val="0"/>
              <w:marBottom w:val="0"/>
              <w:divBdr>
                <w:top w:val="none" w:sz="0" w:space="0" w:color="auto"/>
                <w:left w:val="none" w:sz="0" w:space="0" w:color="auto"/>
                <w:bottom w:val="none" w:sz="0" w:space="0" w:color="auto"/>
                <w:right w:val="none" w:sz="0" w:space="0" w:color="auto"/>
              </w:divBdr>
            </w:div>
            <w:div w:id="766803507">
              <w:marLeft w:val="0"/>
              <w:marRight w:val="0"/>
              <w:marTop w:val="0"/>
              <w:marBottom w:val="0"/>
              <w:divBdr>
                <w:top w:val="none" w:sz="0" w:space="0" w:color="auto"/>
                <w:left w:val="none" w:sz="0" w:space="0" w:color="auto"/>
                <w:bottom w:val="none" w:sz="0" w:space="0" w:color="auto"/>
                <w:right w:val="none" w:sz="0" w:space="0" w:color="auto"/>
              </w:divBdr>
            </w:div>
            <w:div w:id="1965499279">
              <w:marLeft w:val="0"/>
              <w:marRight w:val="0"/>
              <w:marTop w:val="0"/>
              <w:marBottom w:val="0"/>
              <w:divBdr>
                <w:top w:val="none" w:sz="0" w:space="0" w:color="auto"/>
                <w:left w:val="none" w:sz="0" w:space="0" w:color="auto"/>
                <w:bottom w:val="none" w:sz="0" w:space="0" w:color="auto"/>
                <w:right w:val="none" w:sz="0" w:space="0" w:color="auto"/>
              </w:divBdr>
            </w:div>
          </w:divsChild>
        </w:div>
        <w:div w:id="1667854217">
          <w:marLeft w:val="0"/>
          <w:marRight w:val="0"/>
          <w:marTop w:val="0"/>
          <w:marBottom w:val="0"/>
          <w:divBdr>
            <w:top w:val="none" w:sz="0" w:space="0" w:color="auto"/>
            <w:left w:val="none" w:sz="0" w:space="0" w:color="auto"/>
            <w:bottom w:val="none" w:sz="0" w:space="0" w:color="auto"/>
            <w:right w:val="none" w:sz="0" w:space="0" w:color="auto"/>
          </w:divBdr>
        </w:div>
        <w:div w:id="1757826498">
          <w:marLeft w:val="0"/>
          <w:marRight w:val="0"/>
          <w:marTop w:val="0"/>
          <w:marBottom w:val="0"/>
          <w:divBdr>
            <w:top w:val="none" w:sz="0" w:space="0" w:color="auto"/>
            <w:left w:val="none" w:sz="0" w:space="0" w:color="auto"/>
            <w:bottom w:val="none" w:sz="0" w:space="0" w:color="auto"/>
            <w:right w:val="none" w:sz="0" w:space="0" w:color="auto"/>
          </w:divBdr>
          <w:divsChild>
            <w:div w:id="354960742">
              <w:marLeft w:val="-75"/>
              <w:marRight w:val="0"/>
              <w:marTop w:val="30"/>
              <w:marBottom w:val="30"/>
              <w:divBdr>
                <w:top w:val="none" w:sz="0" w:space="0" w:color="auto"/>
                <w:left w:val="none" w:sz="0" w:space="0" w:color="auto"/>
                <w:bottom w:val="none" w:sz="0" w:space="0" w:color="auto"/>
                <w:right w:val="none" w:sz="0" w:space="0" w:color="auto"/>
              </w:divBdr>
              <w:divsChild>
                <w:div w:id="309405105">
                  <w:marLeft w:val="0"/>
                  <w:marRight w:val="0"/>
                  <w:marTop w:val="0"/>
                  <w:marBottom w:val="0"/>
                  <w:divBdr>
                    <w:top w:val="none" w:sz="0" w:space="0" w:color="auto"/>
                    <w:left w:val="none" w:sz="0" w:space="0" w:color="auto"/>
                    <w:bottom w:val="none" w:sz="0" w:space="0" w:color="auto"/>
                    <w:right w:val="none" w:sz="0" w:space="0" w:color="auto"/>
                  </w:divBdr>
                  <w:divsChild>
                    <w:div w:id="371929730">
                      <w:marLeft w:val="0"/>
                      <w:marRight w:val="0"/>
                      <w:marTop w:val="0"/>
                      <w:marBottom w:val="0"/>
                      <w:divBdr>
                        <w:top w:val="none" w:sz="0" w:space="0" w:color="auto"/>
                        <w:left w:val="none" w:sz="0" w:space="0" w:color="auto"/>
                        <w:bottom w:val="none" w:sz="0" w:space="0" w:color="auto"/>
                        <w:right w:val="none" w:sz="0" w:space="0" w:color="auto"/>
                      </w:divBdr>
                    </w:div>
                    <w:div w:id="1273779476">
                      <w:marLeft w:val="0"/>
                      <w:marRight w:val="0"/>
                      <w:marTop w:val="0"/>
                      <w:marBottom w:val="0"/>
                      <w:divBdr>
                        <w:top w:val="none" w:sz="0" w:space="0" w:color="auto"/>
                        <w:left w:val="none" w:sz="0" w:space="0" w:color="auto"/>
                        <w:bottom w:val="none" w:sz="0" w:space="0" w:color="auto"/>
                        <w:right w:val="none" w:sz="0" w:space="0" w:color="auto"/>
                      </w:divBdr>
                    </w:div>
                    <w:div w:id="1326712062">
                      <w:marLeft w:val="0"/>
                      <w:marRight w:val="0"/>
                      <w:marTop w:val="0"/>
                      <w:marBottom w:val="0"/>
                      <w:divBdr>
                        <w:top w:val="none" w:sz="0" w:space="0" w:color="auto"/>
                        <w:left w:val="none" w:sz="0" w:space="0" w:color="auto"/>
                        <w:bottom w:val="none" w:sz="0" w:space="0" w:color="auto"/>
                        <w:right w:val="none" w:sz="0" w:space="0" w:color="auto"/>
                      </w:divBdr>
                    </w:div>
                  </w:divsChild>
                </w:div>
                <w:div w:id="1642954463">
                  <w:marLeft w:val="0"/>
                  <w:marRight w:val="0"/>
                  <w:marTop w:val="0"/>
                  <w:marBottom w:val="0"/>
                  <w:divBdr>
                    <w:top w:val="none" w:sz="0" w:space="0" w:color="auto"/>
                    <w:left w:val="none" w:sz="0" w:space="0" w:color="auto"/>
                    <w:bottom w:val="none" w:sz="0" w:space="0" w:color="auto"/>
                    <w:right w:val="none" w:sz="0" w:space="0" w:color="auto"/>
                  </w:divBdr>
                  <w:divsChild>
                    <w:div w:id="4231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43558">
          <w:marLeft w:val="0"/>
          <w:marRight w:val="0"/>
          <w:marTop w:val="0"/>
          <w:marBottom w:val="0"/>
          <w:divBdr>
            <w:top w:val="none" w:sz="0" w:space="0" w:color="auto"/>
            <w:left w:val="none" w:sz="0" w:space="0" w:color="auto"/>
            <w:bottom w:val="none" w:sz="0" w:space="0" w:color="auto"/>
            <w:right w:val="none" w:sz="0" w:space="0" w:color="auto"/>
          </w:divBdr>
        </w:div>
        <w:div w:id="1956980755">
          <w:marLeft w:val="0"/>
          <w:marRight w:val="0"/>
          <w:marTop w:val="0"/>
          <w:marBottom w:val="0"/>
          <w:divBdr>
            <w:top w:val="none" w:sz="0" w:space="0" w:color="auto"/>
            <w:left w:val="none" w:sz="0" w:space="0" w:color="auto"/>
            <w:bottom w:val="none" w:sz="0" w:space="0" w:color="auto"/>
            <w:right w:val="none" w:sz="0" w:space="0" w:color="auto"/>
          </w:divBdr>
          <w:divsChild>
            <w:div w:id="1060056724">
              <w:marLeft w:val="-75"/>
              <w:marRight w:val="0"/>
              <w:marTop w:val="30"/>
              <w:marBottom w:val="30"/>
              <w:divBdr>
                <w:top w:val="none" w:sz="0" w:space="0" w:color="auto"/>
                <w:left w:val="none" w:sz="0" w:space="0" w:color="auto"/>
                <w:bottom w:val="none" w:sz="0" w:space="0" w:color="auto"/>
                <w:right w:val="none" w:sz="0" w:space="0" w:color="auto"/>
              </w:divBdr>
              <w:divsChild>
                <w:div w:id="891963414">
                  <w:marLeft w:val="0"/>
                  <w:marRight w:val="0"/>
                  <w:marTop w:val="0"/>
                  <w:marBottom w:val="0"/>
                  <w:divBdr>
                    <w:top w:val="none" w:sz="0" w:space="0" w:color="auto"/>
                    <w:left w:val="none" w:sz="0" w:space="0" w:color="auto"/>
                    <w:bottom w:val="none" w:sz="0" w:space="0" w:color="auto"/>
                    <w:right w:val="none" w:sz="0" w:space="0" w:color="auto"/>
                  </w:divBdr>
                  <w:divsChild>
                    <w:div w:id="22899237">
                      <w:marLeft w:val="0"/>
                      <w:marRight w:val="0"/>
                      <w:marTop w:val="0"/>
                      <w:marBottom w:val="0"/>
                      <w:divBdr>
                        <w:top w:val="none" w:sz="0" w:space="0" w:color="auto"/>
                        <w:left w:val="none" w:sz="0" w:space="0" w:color="auto"/>
                        <w:bottom w:val="none" w:sz="0" w:space="0" w:color="auto"/>
                        <w:right w:val="none" w:sz="0" w:space="0" w:color="auto"/>
                      </w:divBdr>
                    </w:div>
                  </w:divsChild>
                </w:div>
                <w:div w:id="1849828735">
                  <w:marLeft w:val="0"/>
                  <w:marRight w:val="0"/>
                  <w:marTop w:val="0"/>
                  <w:marBottom w:val="0"/>
                  <w:divBdr>
                    <w:top w:val="none" w:sz="0" w:space="0" w:color="auto"/>
                    <w:left w:val="none" w:sz="0" w:space="0" w:color="auto"/>
                    <w:bottom w:val="none" w:sz="0" w:space="0" w:color="auto"/>
                    <w:right w:val="none" w:sz="0" w:space="0" w:color="auto"/>
                  </w:divBdr>
                  <w:divsChild>
                    <w:div w:id="605774554">
                      <w:marLeft w:val="0"/>
                      <w:marRight w:val="0"/>
                      <w:marTop w:val="0"/>
                      <w:marBottom w:val="0"/>
                      <w:divBdr>
                        <w:top w:val="none" w:sz="0" w:space="0" w:color="auto"/>
                        <w:left w:val="none" w:sz="0" w:space="0" w:color="auto"/>
                        <w:bottom w:val="none" w:sz="0" w:space="0" w:color="auto"/>
                        <w:right w:val="none" w:sz="0" w:space="0" w:color="auto"/>
                      </w:divBdr>
                    </w:div>
                    <w:div w:id="1630935315">
                      <w:marLeft w:val="0"/>
                      <w:marRight w:val="0"/>
                      <w:marTop w:val="0"/>
                      <w:marBottom w:val="0"/>
                      <w:divBdr>
                        <w:top w:val="none" w:sz="0" w:space="0" w:color="auto"/>
                        <w:left w:val="none" w:sz="0" w:space="0" w:color="auto"/>
                        <w:bottom w:val="none" w:sz="0" w:space="0" w:color="auto"/>
                        <w:right w:val="none" w:sz="0" w:space="0" w:color="auto"/>
                      </w:divBdr>
                    </w:div>
                    <w:div w:id="16981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159484">
      <w:bodyDiv w:val="1"/>
      <w:marLeft w:val="0"/>
      <w:marRight w:val="0"/>
      <w:marTop w:val="0"/>
      <w:marBottom w:val="0"/>
      <w:divBdr>
        <w:top w:val="none" w:sz="0" w:space="0" w:color="auto"/>
        <w:left w:val="none" w:sz="0" w:space="0" w:color="auto"/>
        <w:bottom w:val="none" w:sz="0" w:space="0" w:color="auto"/>
        <w:right w:val="none" w:sz="0" w:space="0" w:color="auto"/>
      </w:divBdr>
    </w:div>
    <w:div w:id="1932468285">
      <w:marLeft w:val="480"/>
      <w:marRight w:val="0"/>
      <w:marTop w:val="0"/>
      <w:marBottom w:val="0"/>
      <w:divBdr>
        <w:top w:val="none" w:sz="0" w:space="0" w:color="auto"/>
        <w:left w:val="none" w:sz="0" w:space="0" w:color="auto"/>
        <w:bottom w:val="none" w:sz="0" w:space="0" w:color="auto"/>
        <w:right w:val="none" w:sz="0" w:space="0" w:color="auto"/>
      </w:divBdr>
    </w:div>
    <w:div w:id="1933586343">
      <w:bodyDiv w:val="1"/>
      <w:marLeft w:val="0"/>
      <w:marRight w:val="0"/>
      <w:marTop w:val="0"/>
      <w:marBottom w:val="0"/>
      <w:divBdr>
        <w:top w:val="none" w:sz="0" w:space="0" w:color="auto"/>
        <w:left w:val="none" w:sz="0" w:space="0" w:color="auto"/>
        <w:bottom w:val="none" w:sz="0" w:space="0" w:color="auto"/>
        <w:right w:val="none" w:sz="0" w:space="0" w:color="auto"/>
      </w:divBdr>
      <w:divsChild>
        <w:div w:id="19093563">
          <w:marLeft w:val="480"/>
          <w:marRight w:val="0"/>
          <w:marTop w:val="0"/>
          <w:marBottom w:val="0"/>
          <w:divBdr>
            <w:top w:val="none" w:sz="0" w:space="0" w:color="auto"/>
            <w:left w:val="none" w:sz="0" w:space="0" w:color="auto"/>
            <w:bottom w:val="none" w:sz="0" w:space="0" w:color="auto"/>
            <w:right w:val="none" w:sz="0" w:space="0" w:color="auto"/>
          </w:divBdr>
        </w:div>
        <w:div w:id="23019710">
          <w:marLeft w:val="480"/>
          <w:marRight w:val="0"/>
          <w:marTop w:val="0"/>
          <w:marBottom w:val="0"/>
          <w:divBdr>
            <w:top w:val="none" w:sz="0" w:space="0" w:color="auto"/>
            <w:left w:val="none" w:sz="0" w:space="0" w:color="auto"/>
            <w:bottom w:val="none" w:sz="0" w:space="0" w:color="auto"/>
            <w:right w:val="none" w:sz="0" w:space="0" w:color="auto"/>
          </w:divBdr>
        </w:div>
        <w:div w:id="542332578">
          <w:marLeft w:val="480"/>
          <w:marRight w:val="0"/>
          <w:marTop w:val="0"/>
          <w:marBottom w:val="0"/>
          <w:divBdr>
            <w:top w:val="none" w:sz="0" w:space="0" w:color="auto"/>
            <w:left w:val="none" w:sz="0" w:space="0" w:color="auto"/>
            <w:bottom w:val="none" w:sz="0" w:space="0" w:color="auto"/>
            <w:right w:val="none" w:sz="0" w:space="0" w:color="auto"/>
          </w:divBdr>
        </w:div>
        <w:div w:id="1349866630">
          <w:marLeft w:val="480"/>
          <w:marRight w:val="0"/>
          <w:marTop w:val="0"/>
          <w:marBottom w:val="0"/>
          <w:divBdr>
            <w:top w:val="none" w:sz="0" w:space="0" w:color="auto"/>
            <w:left w:val="none" w:sz="0" w:space="0" w:color="auto"/>
            <w:bottom w:val="none" w:sz="0" w:space="0" w:color="auto"/>
            <w:right w:val="none" w:sz="0" w:space="0" w:color="auto"/>
          </w:divBdr>
        </w:div>
        <w:div w:id="1987777709">
          <w:marLeft w:val="480"/>
          <w:marRight w:val="0"/>
          <w:marTop w:val="0"/>
          <w:marBottom w:val="0"/>
          <w:divBdr>
            <w:top w:val="none" w:sz="0" w:space="0" w:color="auto"/>
            <w:left w:val="none" w:sz="0" w:space="0" w:color="auto"/>
            <w:bottom w:val="none" w:sz="0" w:space="0" w:color="auto"/>
            <w:right w:val="none" w:sz="0" w:space="0" w:color="auto"/>
          </w:divBdr>
        </w:div>
      </w:divsChild>
    </w:div>
    <w:div w:id="1933972906">
      <w:bodyDiv w:val="1"/>
      <w:marLeft w:val="0"/>
      <w:marRight w:val="0"/>
      <w:marTop w:val="0"/>
      <w:marBottom w:val="0"/>
      <w:divBdr>
        <w:top w:val="none" w:sz="0" w:space="0" w:color="auto"/>
        <w:left w:val="none" w:sz="0" w:space="0" w:color="auto"/>
        <w:bottom w:val="none" w:sz="0" w:space="0" w:color="auto"/>
        <w:right w:val="none" w:sz="0" w:space="0" w:color="auto"/>
      </w:divBdr>
    </w:div>
    <w:div w:id="1934894256">
      <w:marLeft w:val="480"/>
      <w:marRight w:val="0"/>
      <w:marTop w:val="0"/>
      <w:marBottom w:val="0"/>
      <w:divBdr>
        <w:top w:val="none" w:sz="0" w:space="0" w:color="auto"/>
        <w:left w:val="none" w:sz="0" w:space="0" w:color="auto"/>
        <w:bottom w:val="none" w:sz="0" w:space="0" w:color="auto"/>
        <w:right w:val="none" w:sz="0" w:space="0" w:color="auto"/>
      </w:divBdr>
    </w:div>
    <w:div w:id="1937669425">
      <w:marLeft w:val="480"/>
      <w:marRight w:val="0"/>
      <w:marTop w:val="0"/>
      <w:marBottom w:val="0"/>
      <w:divBdr>
        <w:top w:val="none" w:sz="0" w:space="0" w:color="auto"/>
        <w:left w:val="none" w:sz="0" w:space="0" w:color="auto"/>
        <w:bottom w:val="none" w:sz="0" w:space="0" w:color="auto"/>
        <w:right w:val="none" w:sz="0" w:space="0" w:color="auto"/>
      </w:divBdr>
    </w:div>
    <w:div w:id="1943881571">
      <w:marLeft w:val="480"/>
      <w:marRight w:val="0"/>
      <w:marTop w:val="0"/>
      <w:marBottom w:val="0"/>
      <w:divBdr>
        <w:top w:val="none" w:sz="0" w:space="0" w:color="auto"/>
        <w:left w:val="none" w:sz="0" w:space="0" w:color="auto"/>
        <w:bottom w:val="none" w:sz="0" w:space="0" w:color="auto"/>
        <w:right w:val="none" w:sz="0" w:space="0" w:color="auto"/>
      </w:divBdr>
    </w:div>
    <w:div w:id="1945187624">
      <w:bodyDiv w:val="1"/>
      <w:marLeft w:val="0"/>
      <w:marRight w:val="0"/>
      <w:marTop w:val="0"/>
      <w:marBottom w:val="0"/>
      <w:divBdr>
        <w:top w:val="none" w:sz="0" w:space="0" w:color="auto"/>
        <w:left w:val="none" w:sz="0" w:space="0" w:color="auto"/>
        <w:bottom w:val="none" w:sz="0" w:space="0" w:color="auto"/>
        <w:right w:val="none" w:sz="0" w:space="0" w:color="auto"/>
      </w:divBdr>
    </w:div>
    <w:div w:id="1945528017">
      <w:marLeft w:val="480"/>
      <w:marRight w:val="0"/>
      <w:marTop w:val="0"/>
      <w:marBottom w:val="0"/>
      <w:divBdr>
        <w:top w:val="none" w:sz="0" w:space="0" w:color="auto"/>
        <w:left w:val="none" w:sz="0" w:space="0" w:color="auto"/>
        <w:bottom w:val="none" w:sz="0" w:space="0" w:color="auto"/>
        <w:right w:val="none" w:sz="0" w:space="0" w:color="auto"/>
      </w:divBdr>
    </w:div>
    <w:div w:id="1945727251">
      <w:marLeft w:val="480"/>
      <w:marRight w:val="0"/>
      <w:marTop w:val="0"/>
      <w:marBottom w:val="0"/>
      <w:divBdr>
        <w:top w:val="none" w:sz="0" w:space="0" w:color="auto"/>
        <w:left w:val="none" w:sz="0" w:space="0" w:color="auto"/>
        <w:bottom w:val="none" w:sz="0" w:space="0" w:color="auto"/>
        <w:right w:val="none" w:sz="0" w:space="0" w:color="auto"/>
      </w:divBdr>
    </w:div>
    <w:div w:id="1946107949">
      <w:marLeft w:val="480"/>
      <w:marRight w:val="0"/>
      <w:marTop w:val="0"/>
      <w:marBottom w:val="0"/>
      <w:divBdr>
        <w:top w:val="none" w:sz="0" w:space="0" w:color="auto"/>
        <w:left w:val="none" w:sz="0" w:space="0" w:color="auto"/>
        <w:bottom w:val="none" w:sz="0" w:space="0" w:color="auto"/>
        <w:right w:val="none" w:sz="0" w:space="0" w:color="auto"/>
      </w:divBdr>
    </w:div>
    <w:div w:id="1948730226">
      <w:marLeft w:val="480"/>
      <w:marRight w:val="0"/>
      <w:marTop w:val="0"/>
      <w:marBottom w:val="0"/>
      <w:divBdr>
        <w:top w:val="none" w:sz="0" w:space="0" w:color="auto"/>
        <w:left w:val="none" w:sz="0" w:space="0" w:color="auto"/>
        <w:bottom w:val="none" w:sz="0" w:space="0" w:color="auto"/>
        <w:right w:val="none" w:sz="0" w:space="0" w:color="auto"/>
      </w:divBdr>
    </w:div>
    <w:div w:id="1950576545">
      <w:marLeft w:val="480"/>
      <w:marRight w:val="0"/>
      <w:marTop w:val="0"/>
      <w:marBottom w:val="0"/>
      <w:divBdr>
        <w:top w:val="none" w:sz="0" w:space="0" w:color="auto"/>
        <w:left w:val="none" w:sz="0" w:space="0" w:color="auto"/>
        <w:bottom w:val="none" w:sz="0" w:space="0" w:color="auto"/>
        <w:right w:val="none" w:sz="0" w:space="0" w:color="auto"/>
      </w:divBdr>
    </w:div>
    <w:div w:id="1952123541">
      <w:marLeft w:val="480"/>
      <w:marRight w:val="0"/>
      <w:marTop w:val="0"/>
      <w:marBottom w:val="0"/>
      <w:divBdr>
        <w:top w:val="none" w:sz="0" w:space="0" w:color="auto"/>
        <w:left w:val="none" w:sz="0" w:space="0" w:color="auto"/>
        <w:bottom w:val="none" w:sz="0" w:space="0" w:color="auto"/>
        <w:right w:val="none" w:sz="0" w:space="0" w:color="auto"/>
      </w:divBdr>
    </w:div>
    <w:div w:id="1955357463">
      <w:marLeft w:val="480"/>
      <w:marRight w:val="0"/>
      <w:marTop w:val="0"/>
      <w:marBottom w:val="0"/>
      <w:divBdr>
        <w:top w:val="none" w:sz="0" w:space="0" w:color="auto"/>
        <w:left w:val="none" w:sz="0" w:space="0" w:color="auto"/>
        <w:bottom w:val="none" w:sz="0" w:space="0" w:color="auto"/>
        <w:right w:val="none" w:sz="0" w:space="0" w:color="auto"/>
      </w:divBdr>
    </w:div>
    <w:div w:id="1955674338">
      <w:marLeft w:val="480"/>
      <w:marRight w:val="0"/>
      <w:marTop w:val="0"/>
      <w:marBottom w:val="0"/>
      <w:divBdr>
        <w:top w:val="none" w:sz="0" w:space="0" w:color="auto"/>
        <w:left w:val="none" w:sz="0" w:space="0" w:color="auto"/>
        <w:bottom w:val="none" w:sz="0" w:space="0" w:color="auto"/>
        <w:right w:val="none" w:sz="0" w:space="0" w:color="auto"/>
      </w:divBdr>
    </w:div>
    <w:div w:id="1958369323">
      <w:marLeft w:val="480"/>
      <w:marRight w:val="0"/>
      <w:marTop w:val="0"/>
      <w:marBottom w:val="0"/>
      <w:divBdr>
        <w:top w:val="none" w:sz="0" w:space="0" w:color="auto"/>
        <w:left w:val="none" w:sz="0" w:space="0" w:color="auto"/>
        <w:bottom w:val="none" w:sz="0" w:space="0" w:color="auto"/>
        <w:right w:val="none" w:sz="0" w:space="0" w:color="auto"/>
      </w:divBdr>
    </w:div>
    <w:div w:id="1959793041">
      <w:marLeft w:val="480"/>
      <w:marRight w:val="0"/>
      <w:marTop w:val="0"/>
      <w:marBottom w:val="0"/>
      <w:divBdr>
        <w:top w:val="none" w:sz="0" w:space="0" w:color="auto"/>
        <w:left w:val="none" w:sz="0" w:space="0" w:color="auto"/>
        <w:bottom w:val="none" w:sz="0" w:space="0" w:color="auto"/>
        <w:right w:val="none" w:sz="0" w:space="0" w:color="auto"/>
      </w:divBdr>
    </w:div>
    <w:div w:id="1961298938">
      <w:marLeft w:val="480"/>
      <w:marRight w:val="0"/>
      <w:marTop w:val="0"/>
      <w:marBottom w:val="0"/>
      <w:divBdr>
        <w:top w:val="none" w:sz="0" w:space="0" w:color="auto"/>
        <w:left w:val="none" w:sz="0" w:space="0" w:color="auto"/>
        <w:bottom w:val="none" w:sz="0" w:space="0" w:color="auto"/>
        <w:right w:val="none" w:sz="0" w:space="0" w:color="auto"/>
      </w:divBdr>
    </w:div>
    <w:div w:id="1964575114">
      <w:marLeft w:val="480"/>
      <w:marRight w:val="0"/>
      <w:marTop w:val="0"/>
      <w:marBottom w:val="0"/>
      <w:divBdr>
        <w:top w:val="none" w:sz="0" w:space="0" w:color="auto"/>
        <w:left w:val="none" w:sz="0" w:space="0" w:color="auto"/>
        <w:bottom w:val="none" w:sz="0" w:space="0" w:color="auto"/>
        <w:right w:val="none" w:sz="0" w:space="0" w:color="auto"/>
      </w:divBdr>
    </w:div>
    <w:div w:id="1964918559">
      <w:marLeft w:val="480"/>
      <w:marRight w:val="0"/>
      <w:marTop w:val="0"/>
      <w:marBottom w:val="0"/>
      <w:divBdr>
        <w:top w:val="none" w:sz="0" w:space="0" w:color="auto"/>
        <w:left w:val="none" w:sz="0" w:space="0" w:color="auto"/>
        <w:bottom w:val="none" w:sz="0" w:space="0" w:color="auto"/>
        <w:right w:val="none" w:sz="0" w:space="0" w:color="auto"/>
      </w:divBdr>
    </w:div>
    <w:div w:id="1974435736">
      <w:marLeft w:val="480"/>
      <w:marRight w:val="0"/>
      <w:marTop w:val="0"/>
      <w:marBottom w:val="0"/>
      <w:divBdr>
        <w:top w:val="none" w:sz="0" w:space="0" w:color="auto"/>
        <w:left w:val="none" w:sz="0" w:space="0" w:color="auto"/>
        <w:bottom w:val="none" w:sz="0" w:space="0" w:color="auto"/>
        <w:right w:val="none" w:sz="0" w:space="0" w:color="auto"/>
      </w:divBdr>
    </w:div>
    <w:div w:id="1980113458">
      <w:marLeft w:val="480"/>
      <w:marRight w:val="0"/>
      <w:marTop w:val="0"/>
      <w:marBottom w:val="0"/>
      <w:divBdr>
        <w:top w:val="none" w:sz="0" w:space="0" w:color="auto"/>
        <w:left w:val="none" w:sz="0" w:space="0" w:color="auto"/>
        <w:bottom w:val="none" w:sz="0" w:space="0" w:color="auto"/>
        <w:right w:val="none" w:sz="0" w:space="0" w:color="auto"/>
      </w:divBdr>
    </w:div>
    <w:div w:id="1980570688">
      <w:marLeft w:val="480"/>
      <w:marRight w:val="0"/>
      <w:marTop w:val="0"/>
      <w:marBottom w:val="0"/>
      <w:divBdr>
        <w:top w:val="none" w:sz="0" w:space="0" w:color="auto"/>
        <w:left w:val="none" w:sz="0" w:space="0" w:color="auto"/>
        <w:bottom w:val="none" w:sz="0" w:space="0" w:color="auto"/>
        <w:right w:val="none" w:sz="0" w:space="0" w:color="auto"/>
      </w:divBdr>
    </w:div>
    <w:div w:id="1981420064">
      <w:marLeft w:val="480"/>
      <w:marRight w:val="0"/>
      <w:marTop w:val="0"/>
      <w:marBottom w:val="0"/>
      <w:divBdr>
        <w:top w:val="none" w:sz="0" w:space="0" w:color="auto"/>
        <w:left w:val="none" w:sz="0" w:space="0" w:color="auto"/>
        <w:bottom w:val="none" w:sz="0" w:space="0" w:color="auto"/>
        <w:right w:val="none" w:sz="0" w:space="0" w:color="auto"/>
      </w:divBdr>
    </w:div>
    <w:div w:id="1981763478">
      <w:marLeft w:val="480"/>
      <w:marRight w:val="0"/>
      <w:marTop w:val="0"/>
      <w:marBottom w:val="0"/>
      <w:divBdr>
        <w:top w:val="none" w:sz="0" w:space="0" w:color="auto"/>
        <w:left w:val="none" w:sz="0" w:space="0" w:color="auto"/>
        <w:bottom w:val="none" w:sz="0" w:space="0" w:color="auto"/>
        <w:right w:val="none" w:sz="0" w:space="0" w:color="auto"/>
      </w:divBdr>
    </w:div>
    <w:div w:id="1982151735">
      <w:marLeft w:val="480"/>
      <w:marRight w:val="0"/>
      <w:marTop w:val="0"/>
      <w:marBottom w:val="0"/>
      <w:divBdr>
        <w:top w:val="none" w:sz="0" w:space="0" w:color="auto"/>
        <w:left w:val="none" w:sz="0" w:space="0" w:color="auto"/>
        <w:bottom w:val="none" w:sz="0" w:space="0" w:color="auto"/>
        <w:right w:val="none" w:sz="0" w:space="0" w:color="auto"/>
      </w:divBdr>
    </w:div>
    <w:div w:id="1982684799">
      <w:marLeft w:val="480"/>
      <w:marRight w:val="0"/>
      <w:marTop w:val="0"/>
      <w:marBottom w:val="0"/>
      <w:divBdr>
        <w:top w:val="none" w:sz="0" w:space="0" w:color="auto"/>
        <w:left w:val="none" w:sz="0" w:space="0" w:color="auto"/>
        <w:bottom w:val="none" w:sz="0" w:space="0" w:color="auto"/>
        <w:right w:val="none" w:sz="0" w:space="0" w:color="auto"/>
      </w:divBdr>
    </w:div>
    <w:div w:id="1983924110">
      <w:marLeft w:val="480"/>
      <w:marRight w:val="0"/>
      <w:marTop w:val="0"/>
      <w:marBottom w:val="0"/>
      <w:divBdr>
        <w:top w:val="none" w:sz="0" w:space="0" w:color="auto"/>
        <w:left w:val="none" w:sz="0" w:space="0" w:color="auto"/>
        <w:bottom w:val="none" w:sz="0" w:space="0" w:color="auto"/>
        <w:right w:val="none" w:sz="0" w:space="0" w:color="auto"/>
      </w:divBdr>
    </w:div>
    <w:div w:id="1985113220">
      <w:marLeft w:val="480"/>
      <w:marRight w:val="0"/>
      <w:marTop w:val="0"/>
      <w:marBottom w:val="0"/>
      <w:divBdr>
        <w:top w:val="none" w:sz="0" w:space="0" w:color="auto"/>
        <w:left w:val="none" w:sz="0" w:space="0" w:color="auto"/>
        <w:bottom w:val="none" w:sz="0" w:space="0" w:color="auto"/>
        <w:right w:val="none" w:sz="0" w:space="0" w:color="auto"/>
      </w:divBdr>
    </w:div>
    <w:div w:id="1987200234">
      <w:bodyDiv w:val="1"/>
      <w:marLeft w:val="0"/>
      <w:marRight w:val="0"/>
      <w:marTop w:val="0"/>
      <w:marBottom w:val="0"/>
      <w:divBdr>
        <w:top w:val="none" w:sz="0" w:space="0" w:color="auto"/>
        <w:left w:val="none" w:sz="0" w:space="0" w:color="auto"/>
        <w:bottom w:val="none" w:sz="0" w:space="0" w:color="auto"/>
        <w:right w:val="none" w:sz="0" w:space="0" w:color="auto"/>
      </w:divBdr>
      <w:divsChild>
        <w:div w:id="1026298108">
          <w:marLeft w:val="480"/>
          <w:marRight w:val="0"/>
          <w:marTop w:val="0"/>
          <w:marBottom w:val="0"/>
          <w:divBdr>
            <w:top w:val="none" w:sz="0" w:space="0" w:color="auto"/>
            <w:left w:val="none" w:sz="0" w:space="0" w:color="auto"/>
            <w:bottom w:val="none" w:sz="0" w:space="0" w:color="auto"/>
            <w:right w:val="none" w:sz="0" w:space="0" w:color="auto"/>
          </w:divBdr>
        </w:div>
        <w:div w:id="1212688701">
          <w:marLeft w:val="480"/>
          <w:marRight w:val="0"/>
          <w:marTop w:val="0"/>
          <w:marBottom w:val="0"/>
          <w:divBdr>
            <w:top w:val="none" w:sz="0" w:space="0" w:color="auto"/>
            <w:left w:val="none" w:sz="0" w:space="0" w:color="auto"/>
            <w:bottom w:val="none" w:sz="0" w:space="0" w:color="auto"/>
            <w:right w:val="none" w:sz="0" w:space="0" w:color="auto"/>
          </w:divBdr>
        </w:div>
        <w:div w:id="1845630984">
          <w:marLeft w:val="480"/>
          <w:marRight w:val="0"/>
          <w:marTop w:val="0"/>
          <w:marBottom w:val="0"/>
          <w:divBdr>
            <w:top w:val="none" w:sz="0" w:space="0" w:color="auto"/>
            <w:left w:val="none" w:sz="0" w:space="0" w:color="auto"/>
            <w:bottom w:val="none" w:sz="0" w:space="0" w:color="auto"/>
            <w:right w:val="none" w:sz="0" w:space="0" w:color="auto"/>
          </w:divBdr>
        </w:div>
        <w:div w:id="1853228582">
          <w:marLeft w:val="480"/>
          <w:marRight w:val="0"/>
          <w:marTop w:val="0"/>
          <w:marBottom w:val="0"/>
          <w:divBdr>
            <w:top w:val="none" w:sz="0" w:space="0" w:color="auto"/>
            <w:left w:val="none" w:sz="0" w:space="0" w:color="auto"/>
            <w:bottom w:val="none" w:sz="0" w:space="0" w:color="auto"/>
            <w:right w:val="none" w:sz="0" w:space="0" w:color="auto"/>
          </w:divBdr>
        </w:div>
      </w:divsChild>
    </w:div>
    <w:div w:id="1987396905">
      <w:bodyDiv w:val="1"/>
      <w:marLeft w:val="0"/>
      <w:marRight w:val="0"/>
      <w:marTop w:val="0"/>
      <w:marBottom w:val="0"/>
      <w:divBdr>
        <w:top w:val="none" w:sz="0" w:space="0" w:color="auto"/>
        <w:left w:val="none" w:sz="0" w:space="0" w:color="auto"/>
        <w:bottom w:val="none" w:sz="0" w:space="0" w:color="auto"/>
        <w:right w:val="none" w:sz="0" w:space="0" w:color="auto"/>
      </w:divBdr>
    </w:div>
    <w:div w:id="1987707669">
      <w:bodyDiv w:val="1"/>
      <w:marLeft w:val="0"/>
      <w:marRight w:val="0"/>
      <w:marTop w:val="0"/>
      <w:marBottom w:val="0"/>
      <w:divBdr>
        <w:top w:val="none" w:sz="0" w:space="0" w:color="auto"/>
        <w:left w:val="none" w:sz="0" w:space="0" w:color="auto"/>
        <w:bottom w:val="none" w:sz="0" w:space="0" w:color="auto"/>
        <w:right w:val="none" w:sz="0" w:space="0" w:color="auto"/>
      </w:divBdr>
    </w:div>
    <w:div w:id="1988897009">
      <w:marLeft w:val="480"/>
      <w:marRight w:val="0"/>
      <w:marTop w:val="0"/>
      <w:marBottom w:val="0"/>
      <w:divBdr>
        <w:top w:val="none" w:sz="0" w:space="0" w:color="auto"/>
        <w:left w:val="none" w:sz="0" w:space="0" w:color="auto"/>
        <w:bottom w:val="none" w:sz="0" w:space="0" w:color="auto"/>
        <w:right w:val="none" w:sz="0" w:space="0" w:color="auto"/>
      </w:divBdr>
    </w:div>
    <w:div w:id="1989505526">
      <w:marLeft w:val="480"/>
      <w:marRight w:val="0"/>
      <w:marTop w:val="0"/>
      <w:marBottom w:val="0"/>
      <w:divBdr>
        <w:top w:val="none" w:sz="0" w:space="0" w:color="auto"/>
        <w:left w:val="none" w:sz="0" w:space="0" w:color="auto"/>
        <w:bottom w:val="none" w:sz="0" w:space="0" w:color="auto"/>
        <w:right w:val="none" w:sz="0" w:space="0" w:color="auto"/>
      </w:divBdr>
    </w:div>
    <w:div w:id="1989556380">
      <w:marLeft w:val="480"/>
      <w:marRight w:val="0"/>
      <w:marTop w:val="0"/>
      <w:marBottom w:val="0"/>
      <w:divBdr>
        <w:top w:val="none" w:sz="0" w:space="0" w:color="auto"/>
        <w:left w:val="none" w:sz="0" w:space="0" w:color="auto"/>
        <w:bottom w:val="none" w:sz="0" w:space="0" w:color="auto"/>
        <w:right w:val="none" w:sz="0" w:space="0" w:color="auto"/>
      </w:divBdr>
    </w:div>
    <w:div w:id="2000646695">
      <w:marLeft w:val="480"/>
      <w:marRight w:val="0"/>
      <w:marTop w:val="0"/>
      <w:marBottom w:val="0"/>
      <w:divBdr>
        <w:top w:val="none" w:sz="0" w:space="0" w:color="auto"/>
        <w:left w:val="none" w:sz="0" w:space="0" w:color="auto"/>
        <w:bottom w:val="none" w:sz="0" w:space="0" w:color="auto"/>
        <w:right w:val="none" w:sz="0" w:space="0" w:color="auto"/>
      </w:divBdr>
    </w:div>
    <w:div w:id="2000769050">
      <w:bodyDiv w:val="1"/>
      <w:marLeft w:val="0"/>
      <w:marRight w:val="0"/>
      <w:marTop w:val="0"/>
      <w:marBottom w:val="0"/>
      <w:divBdr>
        <w:top w:val="none" w:sz="0" w:space="0" w:color="auto"/>
        <w:left w:val="none" w:sz="0" w:space="0" w:color="auto"/>
        <w:bottom w:val="none" w:sz="0" w:space="0" w:color="auto"/>
        <w:right w:val="none" w:sz="0" w:space="0" w:color="auto"/>
      </w:divBdr>
      <w:divsChild>
        <w:div w:id="1986474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01692169">
      <w:marLeft w:val="480"/>
      <w:marRight w:val="0"/>
      <w:marTop w:val="0"/>
      <w:marBottom w:val="0"/>
      <w:divBdr>
        <w:top w:val="none" w:sz="0" w:space="0" w:color="auto"/>
        <w:left w:val="none" w:sz="0" w:space="0" w:color="auto"/>
        <w:bottom w:val="none" w:sz="0" w:space="0" w:color="auto"/>
        <w:right w:val="none" w:sz="0" w:space="0" w:color="auto"/>
      </w:divBdr>
    </w:div>
    <w:div w:id="2002732848">
      <w:bodyDiv w:val="1"/>
      <w:marLeft w:val="0"/>
      <w:marRight w:val="0"/>
      <w:marTop w:val="0"/>
      <w:marBottom w:val="0"/>
      <w:divBdr>
        <w:top w:val="none" w:sz="0" w:space="0" w:color="auto"/>
        <w:left w:val="none" w:sz="0" w:space="0" w:color="auto"/>
        <w:bottom w:val="none" w:sz="0" w:space="0" w:color="auto"/>
        <w:right w:val="none" w:sz="0" w:space="0" w:color="auto"/>
      </w:divBdr>
      <w:divsChild>
        <w:div w:id="31804550">
          <w:marLeft w:val="0"/>
          <w:marRight w:val="0"/>
          <w:marTop w:val="0"/>
          <w:marBottom w:val="0"/>
          <w:divBdr>
            <w:top w:val="none" w:sz="0" w:space="0" w:color="auto"/>
            <w:left w:val="none" w:sz="0" w:space="0" w:color="auto"/>
            <w:bottom w:val="none" w:sz="0" w:space="0" w:color="auto"/>
            <w:right w:val="none" w:sz="0" w:space="0" w:color="auto"/>
          </w:divBdr>
          <w:divsChild>
            <w:div w:id="1185830591">
              <w:marLeft w:val="-75"/>
              <w:marRight w:val="0"/>
              <w:marTop w:val="30"/>
              <w:marBottom w:val="30"/>
              <w:divBdr>
                <w:top w:val="none" w:sz="0" w:space="0" w:color="auto"/>
                <w:left w:val="none" w:sz="0" w:space="0" w:color="auto"/>
                <w:bottom w:val="none" w:sz="0" w:space="0" w:color="auto"/>
                <w:right w:val="none" w:sz="0" w:space="0" w:color="auto"/>
              </w:divBdr>
              <w:divsChild>
                <w:div w:id="39214101">
                  <w:marLeft w:val="0"/>
                  <w:marRight w:val="0"/>
                  <w:marTop w:val="0"/>
                  <w:marBottom w:val="0"/>
                  <w:divBdr>
                    <w:top w:val="none" w:sz="0" w:space="0" w:color="auto"/>
                    <w:left w:val="none" w:sz="0" w:space="0" w:color="auto"/>
                    <w:bottom w:val="none" w:sz="0" w:space="0" w:color="auto"/>
                    <w:right w:val="none" w:sz="0" w:space="0" w:color="auto"/>
                  </w:divBdr>
                  <w:divsChild>
                    <w:div w:id="421024383">
                      <w:marLeft w:val="0"/>
                      <w:marRight w:val="0"/>
                      <w:marTop w:val="0"/>
                      <w:marBottom w:val="0"/>
                      <w:divBdr>
                        <w:top w:val="none" w:sz="0" w:space="0" w:color="auto"/>
                        <w:left w:val="none" w:sz="0" w:space="0" w:color="auto"/>
                        <w:bottom w:val="none" w:sz="0" w:space="0" w:color="auto"/>
                        <w:right w:val="none" w:sz="0" w:space="0" w:color="auto"/>
                      </w:divBdr>
                    </w:div>
                  </w:divsChild>
                </w:div>
                <w:div w:id="63726814">
                  <w:marLeft w:val="0"/>
                  <w:marRight w:val="0"/>
                  <w:marTop w:val="0"/>
                  <w:marBottom w:val="0"/>
                  <w:divBdr>
                    <w:top w:val="none" w:sz="0" w:space="0" w:color="auto"/>
                    <w:left w:val="none" w:sz="0" w:space="0" w:color="auto"/>
                    <w:bottom w:val="none" w:sz="0" w:space="0" w:color="auto"/>
                    <w:right w:val="none" w:sz="0" w:space="0" w:color="auto"/>
                  </w:divBdr>
                  <w:divsChild>
                    <w:div w:id="267934576">
                      <w:marLeft w:val="0"/>
                      <w:marRight w:val="0"/>
                      <w:marTop w:val="0"/>
                      <w:marBottom w:val="0"/>
                      <w:divBdr>
                        <w:top w:val="none" w:sz="0" w:space="0" w:color="auto"/>
                        <w:left w:val="none" w:sz="0" w:space="0" w:color="auto"/>
                        <w:bottom w:val="none" w:sz="0" w:space="0" w:color="auto"/>
                        <w:right w:val="none" w:sz="0" w:space="0" w:color="auto"/>
                      </w:divBdr>
                    </w:div>
                    <w:div w:id="2130972753">
                      <w:marLeft w:val="0"/>
                      <w:marRight w:val="0"/>
                      <w:marTop w:val="0"/>
                      <w:marBottom w:val="0"/>
                      <w:divBdr>
                        <w:top w:val="none" w:sz="0" w:space="0" w:color="auto"/>
                        <w:left w:val="none" w:sz="0" w:space="0" w:color="auto"/>
                        <w:bottom w:val="none" w:sz="0" w:space="0" w:color="auto"/>
                        <w:right w:val="none" w:sz="0" w:space="0" w:color="auto"/>
                      </w:divBdr>
                    </w:div>
                  </w:divsChild>
                </w:div>
                <w:div w:id="108554598">
                  <w:marLeft w:val="0"/>
                  <w:marRight w:val="0"/>
                  <w:marTop w:val="0"/>
                  <w:marBottom w:val="0"/>
                  <w:divBdr>
                    <w:top w:val="none" w:sz="0" w:space="0" w:color="auto"/>
                    <w:left w:val="none" w:sz="0" w:space="0" w:color="auto"/>
                    <w:bottom w:val="none" w:sz="0" w:space="0" w:color="auto"/>
                    <w:right w:val="none" w:sz="0" w:space="0" w:color="auto"/>
                  </w:divBdr>
                  <w:divsChild>
                    <w:div w:id="641695453">
                      <w:marLeft w:val="0"/>
                      <w:marRight w:val="0"/>
                      <w:marTop w:val="0"/>
                      <w:marBottom w:val="0"/>
                      <w:divBdr>
                        <w:top w:val="none" w:sz="0" w:space="0" w:color="auto"/>
                        <w:left w:val="none" w:sz="0" w:space="0" w:color="auto"/>
                        <w:bottom w:val="none" w:sz="0" w:space="0" w:color="auto"/>
                        <w:right w:val="none" w:sz="0" w:space="0" w:color="auto"/>
                      </w:divBdr>
                    </w:div>
                  </w:divsChild>
                </w:div>
                <w:div w:id="181821522">
                  <w:marLeft w:val="0"/>
                  <w:marRight w:val="0"/>
                  <w:marTop w:val="0"/>
                  <w:marBottom w:val="0"/>
                  <w:divBdr>
                    <w:top w:val="none" w:sz="0" w:space="0" w:color="auto"/>
                    <w:left w:val="none" w:sz="0" w:space="0" w:color="auto"/>
                    <w:bottom w:val="none" w:sz="0" w:space="0" w:color="auto"/>
                    <w:right w:val="none" w:sz="0" w:space="0" w:color="auto"/>
                  </w:divBdr>
                  <w:divsChild>
                    <w:div w:id="701397668">
                      <w:marLeft w:val="0"/>
                      <w:marRight w:val="0"/>
                      <w:marTop w:val="0"/>
                      <w:marBottom w:val="0"/>
                      <w:divBdr>
                        <w:top w:val="none" w:sz="0" w:space="0" w:color="auto"/>
                        <w:left w:val="none" w:sz="0" w:space="0" w:color="auto"/>
                        <w:bottom w:val="none" w:sz="0" w:space="0" w:color="auto"/>
                        <w:right w:val="none" w:sz="0" w:space="0" w:color="auto"/>
                      </w:divBdr>
                    </w:div>
                  </w:divsChild>
                </w:div>
                <w:div w:id="182523486">
                  <w:marLeft w:val="0"/>
                  <w:marRight w:val="0"/>
                  <w:marTop w:val="0"/>
                  <w:marBottom w:val="0"/>
                  <w:divBdr>
                    <w:top w:val="none" w:sz="0" w:space="0" w:color="auto"/>
                    <w:left w:val="none" w:sz="0" w:space="0" w:color="auto"/>
                    <w:bottom w:val="none" w:sz="0" w:space="0" w:color="auto"/>
                    <w:right w:val="none" w:sz="0" w:space="0" w:color="auto"/>
                  </w:divBdr>
                  <w:divsChild>
                    <w:div w:id="621037850">
                      <w:marLeft w:val="0"/>
                      <w:marRight w:val="0"/>
                      <w:marTop w:val="0"/>
                      <w:marBottom w:val="0"/>
                      <w:divBdr>
                        <w:top w:val="none" w:sz="0" w:space="0" w:color="auto"/>
                        <w:left w:val="none" w:sz="0" w:space="0" w:color="auto"/>
                        <w:bottom w:val="none" w:sz="0" w:space="0" w:color="auto"/>
                        <w:right w:val="none" w:sz="0" w:space="0" w:color="auto"/>
                      </w:divBdr>
                    </w:div>
                  </w:divsChild>
                </w:div>
                <w:div w:id="386340035">
                  <w:marLeft w:val="0"/>
                  <w:marRight w:val="0"/>
                  <w:marTop w:val="0"/>
                  <w:marBottom w:val="0"/>
                  <w:divBdr>
                    <w:top w:val="none" w:sz="0" w:space="0" w:color="auto"/>
                    <w:left w:val="none" w:sz="0" w:space="0" w:color="auto"/>
                    <w:bottom w:val="none" w:sz="0" w:space="0" w:color="auto"/>
                    <w:right w:val="none" w:sz="0" w:space="0" w:color="auto"/>
                  </w:divBdr>
                  <w:divsChild>
                    <w:div w:id="1773434155">
                      <w:marLeft w:val="0"/>
                      <w:marRight w:val="0"/>
                      <w:marTop w:val="0"/>
                      <w:marBottom w:val="0"/>
                      <w:divBdr>
                        <w:top w:val="none" w:sz="0" w:space="0" w:color="auto"/>
                        <w:left w:val="none" w:sz="0" w:space="0" w:color="auto"/>
                        <w:bottom w:val="none" w:sz="0" w:space="0" w:color="auto"/>
                        <w:right w:val="none" w:sz="0" w:space="0" w:color="auto"/>
                      </w:divBdr>
                    </w:div>
                  </w:divsChild>
                </w:div>
                <w:div w:id="402533466">
                  <w:marLeft w:val="0"/>
                  <w:marRight w:val="0"/>
                  <w:marTop w:val="0"/>
                  <w:marBottom w:val="0"/>
                  <w:divBdr>
                    <w:top w:val="none" w:sz="0" w:space="0" w:color="auto"/>
                    <w:left w:val="none" w:sz="0" w:space="0" w:color="auto"/>
                    <w:bottom w:val="none" w:sz="0" w:space="0" w:color="auto"/>
                    <w:right w:val="none" w:sz="0" w:space="0" w:color="auto"/>
                  </w:divBdr>
                  <w:divsChild>
                    <w:div w:id="1059328792">
                      <w:marLeft w:val="0"/>
                      <w:marRight w:val="0"/>
                      <w:marTop w:val="0"/>
                      <w:marBottom w:val="0"/>
                      <w:divBdr>
                        <w:top w:val="none" w:sz="0" w:space="0" w:color="auto"/>
                        <w:left w:val="none" w:sz="0" w:space="0" w:color="auto"/>
                        <w:bottom w:val="none" w:sz="0" w:space="0" w:color="auto"/>
                        <w:right w:val="none" w:sz="0" w:space="0" w:color="auto"/>
                      </w:divBdr>
                    </w:div>
                  </w:divsChild>
                </w:div>
                <w:div w:id="496190907">
                  <w:marLeft w:val="0"/>
                  <w:marRight w:val="0"/>
                  <w:marTop w:val="0"/>
                  <w:marBottom w:val="0"/>
                  <w:divBdr>
                    <w:top w:val="none" w:sz="0" w:space="0" w:color="auto"/>
                    <w:left w:val="none" w:sz="0" w:space="0" w:color="auto"/>
                    <w:bottom w:val="none" w:sz="0" w:space="0" w:color="auto"/>
                    <w:right w:val="none" w:sz="0" w:space="0" w:color="auto"/>
                  </w:divBdr>
                  <w:divsChild>
                    <w:div w:id="787552153">
                      <w:marLeft w:val="0"/>
                      <w:marRight w:val="0"/>
                      <w:marTop w:val="0"/>
                      <w:marBottom w:val="0"/>
                      <w:divBdr>
                        <w:top w:val="none" w:sz="0" w:space="0" w:color="auto"/>
                        <w:left w:val="none" w:sz="0" w:space="0" w:color="auto"/>
                        <w:bottom w:val="none" w:sz="0" w:space="0" w:color="auto"/>
                        <w:right w:val="none" w:sz="0" w:space="0" w:color="auto"/>
                      </w:divBdr>
                    </w:div>
                    <w:div w:id="1540585818">
                      <w:marLeft w:val="0"/>
                      <w:marRight w:val="0"/>
                      <w:marTop w:val="0"/>
                      <w:marBottom w:val="0"/>
                      <w:divBdr>
                        <w:top w:val="none" w:sz="0" w:space="0" w:color="auto"/>
                        <w:left w:val="none" w:sz="0" w:space="0" w:color="auto"/>
                        <w:bottom w:val="none" w:sz="0" w:space="0" w:color="auto"/>
                        <w:right w:val="none" w:sz="0" w:space="0" w:color="auto"/>
                      </w:divBdr>
                    </w:div>
                  </w:divsChild>
                </w:div>
                <w:div w:id="711005796">
                  <w:marLeft w:val="0"/>
                  <w:marRight w:val="0"/>
                  <w:marTop w:val="0"/>
                  <w:marBottom w:val="0"/>
                  <w:divBdr>
                    <w:top w:val="none" w:sz="0" w:space="0" w:color="auto"/>
                    <w:left w:val="none" w:sz="0" w:space="0" w:color="auto"/>
                    <w:bottom w:val="none" w:sz="0" w:space="0" w:color="auto"/>
                    <w:right w:val="none" w:sz="0" w:space="0" w:color="auto"/>
                  </w:divBdr>
                </w:div>
                <w:div w:id="723483291">
                  <w:marLeft w:val="0"/>
                  <w:marRight w:val="0"/>
                  <w:marTop w:val="0"/>
                  <w:marBottom w:val="0"/>
                  <w:divBdr>
                    <w:top w:val="none" w:sz="0" w:space="0" w:color="auto"/>
                    <w:left w:val="none" w:sz="0" w:space="0" w:color="auto"/>
                    <w:bottom w:val="none" w:sz="0" w:space="0" w:color="auto"/>
                    <w:right w:val="none" w:sz="0" w:space="0" w:color="auto"/>
                  </w:divBdr>
                  <w:divsChild>
                    <w:div w:id="240146516">
                      <w:marLeft w:val="0"/>
                      <w:marRight w:val="0"/>
                      <w:marTop w:val="0"/>
                      <w:marBottom w:val="0"/>
                      <w:divBdr>
                        <w:top w:val="none" w:sz="0" w:space="0" w:color="auto"/>
                        <w:left w:val="none" w:sz="0" w:space="0" w:color="auto"/>
                        <w:bottom w:val="none" w:sz="0" w:space="0" w:color="auto"/>
                        <w:right w:val="none" w:sz="0" w:space="0" w:color="auto"/>
                      </w:divBdr>
                    </w:div>
                  </w:divsChild>
                </w:div>
                <w:div w:id="763648441">
                  <w:marLeft w:val="0"/>
                  <w:marRight w:val="0"/>
                  <w:marTop w:val="0"/>
                  <w:marBottom w:val="0"/>
                  <w:divBdr>
                    <w:top w:val="none" w:sz="0" w:space="0" w:color="auto"/>
                    <w:left w:val="none" w:sz="0" w:space="0" w:color="auto"/>
                    <w:bottom w:val="none" w:sz="0" w:space="0" w:color="auto"/>
                    <w:right w:val="none" w:sz="0" w:space="0" w:color="auto"/>
                  </w:divBdr>
                  <w:divsChild>
                    <w:div w:id="22248524">
                      <w:marLeft w:val="0"/>
                      <w:marRight w:val="0"/>
                      <w:marTop w:val="0"/>
                      <w:marBottom w:val="0"/>
                      <w:divBdr>
                        <w:top w:val="none" w:sz="0" w:space="0" w:color="auto"/>
                        <w:left w:val="none" w:sz="0" w:space="0" w:color="auto"/>
                        <w:bottom w:val="none" w:sz="0" w:space="0" w:color="auto"/>
                        <w:right w:val="none" w:sz="0" w:space="0" w:color="auto"/>
                      </w:divBdr>
                    </w:div>
                  </w:divsChild>
                </w:div>
                <w:div w:id="1246109692">
                  <w:marLeft w:val="0"/>
                  <w:marRight w:val="0"/>
                  <w:marTop w:val="0"/>
                  <w:marBottom w:val="0"/>
                  <w:divBdr>
                    <w:top w:val="none" w:sz="0" w:space="0" w:color="auto"/>
                    <w:left w:val="none" w:sz="0" w:space="0" w:color="auto"/>
                    <w:bottom w:val="none" w:sz="0" w:space="0" w:color="auto"/>
                    <w:right w:val="none" w:sz="0" w:space="0" w:color="auto"/>
                  </w:divBdr>
                  <w:divsChild>
                    <w:div w:id="1105661374">
                      <w:marLeft w:val="0"/>
                      <w:marRight w:val="0"/>
                      <w:marTop w:val="0"/>
                      <w:marBottom w:val="0"/>
                      <w:divBdr>
                        <w:top w:val="none" w:sz="0" w:space="0" w:color="auto"/>
                        <w:left w:val="none" w:sz="0" w:space="0" w:color="auto"/>
                        <w:bottom w:val="none" w:sz="0" w:space="0" w:color="auto"/>
                        <w:right w:val="none" w:sz="0" w:space="0" w:color="auto"/>
                      </w:divBdr>
                    </w:div>
                  </w:divsChild>
                </w:div>
                <w:div w:id="1406345025">
                  <w:marLeft w:val="0"/>
                  <w:marRight w:val="0"/>
                  <w:marTop w:val="0"/>
                  <w:marBottom w:val="0"/>
                  <w:divBdr>
                    <w:top w:val="none" w:sz="0" w:space="0" w:color="auto"/>
                    <w:left w:val="none" w:sz="0" w:space="0" w:color="auto"/>
                    <w:bottom w:val="none" w:sz="0" w:space="0" w:color="auto"/>
                    <w:right w:val="none" w:sz="0" w:space="0" w:color="auto"/>
                  </w:divBdr>
                  <w:divsChild>
                    <w:div w:id="426078825">
                      <w:marLeft w:val="0"/>
                      <w:marRight w:val="0"/>
                      <w:marTop w:val="0"/>
                      <w:marBottom w:val="0"/>
                      <w:divBdr>
                        <w:top w:val="none" w:sz="0" w:space="0" w:color="auto"/>
                        <w:left w:val="none" w:sz="0" w:space="0" w:color="auto"/>
                        <w:bottom w:val="none" w:sz="0" w:space="0" w:color="auto"/>
                        <w:right w:val="none" w:sz="0" w:space="0" w:color="auto"/>
                      </w:divBdr>
                    </w:div>
                  </w:divsChild>
                </w:div>
                <w:div w:id="1489639723">
                  <w:marLeft w:val="0"/>
                  <w:marRight w:val="0"/>
                  <w:marTop w:val="0"/>
                  <w:marBottom w:val="0"/>
                  <w:divBdr>
                    <w:top w:val="none" w:sz="0" w:space="0" w:color="auto"/>
                    <w:left w:val="none" w:sz="0" w:space="0" w:color="auto"/>
                    <w:bottom w:val="none" w:sz="0" w:space="0" w:color="auto"/>
                    <w:right w:val="none" w:sz="0" w:space="0" w:color="auto"/>
                  </w:divBdr>
                  <w:divsChild>
                    <w:div w:id="666784739">
                      <w:marLeft w:val="0"/>
                      <w:marRight w:val="0"/>
                      <w:marTop w:val="0"/>
                      <w:marBottom w:val="0"/>
                      <w:divBdr>
                        <w:top w:val="none" w:sz="0" w:space="0" w:color="auto"/>
                        <w:left w:val="none" w:sz="0" w:space="0" w:color="auto"/>
                        <w:bottom w:val="none" w:sz="0" w:space="0" w:color="auto"/>
                        <w:right w:val="none" w:sz="0" w:space="0" w:color="auto"/>
                      </w:divBdr>
                    </w:div>
                  </w:divsChild>
                </w:div>
                <w:div w:id="1583757103">
                  <w:marLeft w:val="0"/>
                  <w:marRight w:val="0"/>
                  <w:marTop w:val="0"/>
                  <w:marBottom w:val="0"/>
                  <w:divBdr>
                    <w:top w:val="none" w:sz="0" w:space="0" w:color="auto"/>
                    <w:left w:val="none" w:sz="0" w:space="0" w:color="auto"/>
                    <w:bottom w:val="none" w:sz="0" w:space="0" w:color="auto"/>
                    <w:right w:val="none" w:sz="0" w:space="0" w:color="auto"/>
                  </w:divBdr>
                  <w:divsChild>
                    <w:div w:id="782070998">
                      <w:marLeft w:val="0"/>
                      <w:marRight w:val="0"/>
                      <w:marTop w:val="0"/>
                      <w:marBottom w:val="0"/>
                      <w:divBdr>
                        <w:top w:val="none" w:sz="0" w:space="0" w:color="auto"/>
                        <w:left w:val="none" w:sz="0" w:space="0" w:color="auto"/>
                        <w:bottom w:val="none" w:sz="0" w:space="0" w:color="auto"/>
                        <w:right w:val="none" w:sz="0" w:space="0" w:color="auto"/>
                      </w:divBdr>
                    </w:div>
                  </w:divsChild>
                </w:div>
                <w:div w:id="1625303577">
                  <w:marLeft w:val="0"/>
                  <w:marRight w:val="0"/>
                  <w:marTop w:val="0"/>
                  <w:marBottom w:val="0"/>
                  <w:divBdr>
                    <w:top w:val="none" w:sz="0" w:space="0" w:color="auto"/>
                    <w:left w:val="none" w:sz="0" w:space="0" w:color="auto"/>
                    <w:bottom w:val="none" w:sz="0" w:space="0" w:color="auto"/>
                    <w:right w:val="none" w:sz="0" w:space="0" w:color="auto"/>
                  </w:divBdr>
                  <w:divsChild>
                    <w:div w:id="599530363">
                      <w:marLeft w:val="0"/>
                      <w:marRight w:val="0"/>
                      <w:marTop w:val="0"/>
                      <w:marBottom w:val="0"/>
                      <w:divBdr>
                        <w:top w:val="none" w:sz="0" w:space="0" w:color="auto"/>
                        <w:left w:val="none" w:sz="0" w:space="0" w:color="auto"/>
                        <w:bottom w:val="none" w:sz="0" w:space="0" w:color="auto"/>
                        <w:right w:val="none" w:sz="0" w:space="0" w:color="auto"/>
                      </w:divBdr>
                    </w:div>
                  </w:divsChild>
                </w:div>
                <w:div w:id="1754547349">
                  <w:marLeft w:val="0"/>
                  <w:marRight w:val="0"/>
                  <w:marTop w:val="0"/>
                  <w:marBottom w:val="0"/>
                  <w:divBdr>
                    <w:top w:val="none" w:sz="0" w:space="0" w:color="auto"/>
                    <w:left w:val="none" w:sz="0" w:space="0" w:color="auto"/>
                    <w:bottom w:val="none" w:sz="0" w:space="0" w:color="auto"/>
                    <w:right w:val="none" w:sz="0" w:space="0" w:color="auto"/>
                  </w:divBdr>
                  <w:divsChild>
                    <w:div w:id="8068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8268">
          <w:marLeft w:val="0"/>
          <w:marRight w:val="0"/>
          <w:marTop w:val="0"/>
          <w:marBottom w:val="0"/>
          <w:divBdr>
            <w:top w:val="none" w:sz="0" w:space="0" w:color="auto"/>
            <w:left w:val="none" w:sz="0" w:space="0" w:color="auto"/>
            <w:bottom w:val="none" w:sz="0" w:space="0" w:color="auto"/>
            <w:right w:val="none" w:sz="0" w:space="0" w:color="auto"/>
          </w:divBdr>
        </w:div>
        <w:div w:id="376779856">
          <w:marLeft w:val="0"/>
          <w:marRight w:val="0"/>
          <w:marTop w:val="0"/>
          <w:marBottom w:val="0"/>
          <w:divBdr>
            <w:top w:val="none" w:sz="0" w:space="0" w:color="auto"/>
            <w:left w:val="none" w:sz="0" w:space="0" w:color="auto"/>
            <w:bottom w:val="none" w:sz="0" w:space="0" w:color="auto"/>
            <w:right w:val="none" w:sz="0" w:space="0" w:color="auto"/>
          </w:divBdr>
          <w:divsChild>
            <w:div w:id="983512822">
              <w:marLeft w:val="-75"/>
              <w:marRight w:val="0"/>
              <w:marTop w:val="30"/>
              <w:marBottom w:val="30"/>
              <w:divBdr>
                <w:top w:val="none" w:sz="0" w:space="0" w:color="auto"/>
                <w:left w:val="none" w:sz="0" w:space="0" w:color="auto"/>
                <w:bottom w:val="none" w:sz="0" w:space="0" w:color="auto"/>
                <w:right w:val="none" w:sz="0" w:space="0" w:color="auto"/>
              </w:divBdr>
              <w:divsChild>
                <w:div w:id="82457311">
                  <w:marLeft w:val="0"/>
                  <w:marRight w:val="0"/>
                  <w:marTop w:val="0"/>
                  <w:marBottom w:val="0"/>
                  <w:divBdr>
                    <w:top w:val="none" w:sz="0" w:space="0" w:color="auto"/>
                    <w:left w:val="none" w:sz="0" w:space="0" w:color="auto"/>
                    <w:bottom w:val="none" w:sz="0" w:space="0" w:color="auto"/>
                    <w:right w:val="none" w:sz="0" w:space="0" w:color="auto"/>
                  </w:divBdr>
                  <w:divsChild>
                    <w:div w:id="550918050">
                      <w:marLeft w:val="0"/>
                      <w:marRight w:val="0"/>
                      <w:marTop w:val="0"/>
                      <w:marBottom w:val="0"/>
                      <w:divBdr>
                        <w:top w:val="none" w:sz="0" w:space="0" w:color="auto"/>
                        <w:left w:val="none" w:sz="0" w:space="0" w:color="auto"/>
                        <w:bottom w:val="none" w:sz="0" w:space="0" w:color="auto"/>
                        <w:right w:val="none" w:sz="0" w:space="0" w:color="auto"/>
                      </w:divBdr>
                    </w:div>
                  </w:divsChild>
                </w:div>
                <w:div w:id="958025773">
                  <w:marLeft w:val="0"/>
                  <w:marRight w:val="0"/>
                  <w:marTop w:val="0"/>
                  <w:marBottom w:val="0"/>
                  <w:divBdr>
                    <w:top w:val="none" w:sz="0" w:space="0" w:color="auto"/>
                    <w:left w:val="none" w:sz="0" w:space="0" w:color="auto"/>
                    <w:bottom w:val="none" w:sz="0" w:space="0" w:color="auto"/>
                    <w:right w:val="none" w:sz="0" w:space="0" w:color="auto"/>
                  </w:divBdr>
                  <w:divsChild>
                    <w:div w:id="69038289">
                      <w:marLeft w:val="0"/>
                      <w:marRight w:val="0"/>
                      <w:marTop w:val="0"/>
                      <w:marBottom w:val="0"/>
                      <w:divBdr>
                        <w:top w:val="none" w:sz="0" w:space="0" w:color="auto"/>
                        <w:left w:val="none" w:sz="0" w:space="0" w:color="auto"/>
                        <w:bottom w:val="none" w:sz="0" w:space="0" w:color="auto"/>
                        <w:right w:val="none" w:sz="0" w:space="0" w:color="auto"/>
                      </w:divBdr>
                    </w:div>
                  </w:divsChild>
                </w:div>
                <w:div w:id="1035076615">
                  <w:marLeft w:val="0"/>
                  <w:marRight w:val="0"/>
                  <w:marTop w:val="0"/>
                  <w:marBottom w:val="0"/>
                  <w:divBdr>
                    <w:top w:val="none" w:sz="0" w:space="0" w:color="auto"/>
                    <w:left w:val="none" w:sz="0" w:space="0" w:color="auto"/>
                    <w:bottom w:val="none" w:sz="0" w:space="0" w:color="auto"/>
                    <w:right w:val="none" w:sz="0" w:space="0" w:color="auto"/>
                  </w:divBdr>
                  <w:divsChild>
                    <w:div w:id="1835878263">
                      <w:marLeft w:val="0"/>
                      <w:marRight w:val="0"/>
                      <w:marTop w:val="0"/>
                      <w:marBottom w:val="0"/>
                      <w:divBdr>
                        <w:top w:val="none" w:sz="0" w:space="0" w:color="auto"/>
                        <w:left w:val="none" w:sz="0" w:space="0" w:color="auto"/>
                        <w:bottom w:val="none" w:sz="0" w:space="0" w:color="auto"/>
                        <w:right w:val="none" w:sz="0" w:space="0" w:color="auto"/>
                      </w:divBdr>
                    </w:div>
                  </w:divsChild>
                </w:div>
                <w:div w:id="1311249520">
                  <w:marLeft w:val="0"/>
                  <w:marRight w:val="0"/>
                  <w:marTop w:val="0"/>
                  <w:marBottom w:val="0"/>
                  <w:divBdr>
                    <w:top w:val="none" w:sz="0" w:space="0" w:color="auto"/>
                    <w:left w:val="none" w:sz="0" w:space="0" w:color="auto"/>
                    <w:bottom w:val="none" w:sz="0" w:space="0" w:color="auto"/>
                    <w:right w:val="none" w:sz="0" w:space="0" w:color="auto"/>
                  </w:divBdr>
                  <w:divsChild>
                    <w:div w:id="2017611987">
                      <w:marLeft w:val="0"/>
                      <w:marRight w:val="0"/>
                      <w:marTop w:val="0"/>
                      <w:marBottom w:val="0"/>
                      <w:divBdr>
                        <w:top w:val="none" w:sz="0" w:space="0" w:color="auto"/>
                        <w:left w:val="none" w:sz="0" w:space="0" w:color="auto"/>
                        <w:bottom w:val="none" w:sz="0" w:space="0" w:color="auto"/>
                        <w:right w:val="none" w:sz="0" w:space="0" w:color="auto"/>
                      </w:divBdr>
                    </w:div>
                  </w:divsChild>
                </w:div>
                <w:div w:id="1358702289">
                  <w:marLeft w:val="0"/>
                  <w:marRight w:val="0"/>
                  <w:marTop w:val="0"/>
                  <w:marBottom w:val="0"/>
                  <w:divBdr>
                    <w:top w:val="none" w:sz="0" w:space="0" w:color="auto"/>
                    <w:left w:val="none" w:sz="0" w:space="0" w:color="auto"/>
                    <w:bottom w:val="none" w:sz="0" w:space="0" w:color="auto"/>
                    <w:right w:val="none" w:sz="0" w:space="0" w:color="auto"/>
                  </w:divBdr>
                </w:div>
                <w:div w:id="1539854650">
                  <w:marLeft w:val="0"/>
                  <w:marRight w:val="0"/>
                  <w:marTop w:val="0"/>
                  <w:marBottom w:val="0"/>
                  <w:divBdr>
                    <w:top w:val="none" w:sz="0" w:space="0" w:color="auto"/>
                    <w:left w:val="none" w:sz="0" w:space="0" w:color="auto"/>
                    <w:bottom w:val="none" w:sz="0" w:space="0" w:color="auto"/>
                    <w:right w:val="none" w:sz="0" w:space="0" w:color="auto"/>
                  </w:divBdr>
                  <w:divsChild>
                    <w:div w:id="1926913013">
                      <w:marLeft w:val="0"/>
                      <w:marRight w:val="0"/>
                      <w:marTop w:val="0"/>
                      <w:marBottom w:val="0"/>
                      <w:divBdr>
                        <w:top w:val="none" w:sz="0" w:space="0" w:color="auto"/>
                        <w:left w:val="none" w:sz="0" w:space="0" w:color="auto"/>
                        <w:bottom w:val="none" w:sz="0" w:space="0" w:color="auto"/>
                        <w:right w:val="none" w:sz="0" w:space="0" w:color="auto"/>
                      </w:divBdr>
                    </w:div>
                  </w:divsChild>
                </w:div>
                <w:div w:id="1616668326">
                  <w:marLeft w:val="0"/>
                  <w:marRight w:val="0"/>
                  <w:marTop w:val="0"/>
                  <w:marBottom w:val="0"/>
                  <w:divBdr>
                    <w:top w:val="none" w:sz="0" w:space="0" w:color="auto"/>
                    <w:left w:val="none" w:sz="0" w:space="0" w:color="auto"/>
                    <w:bottom w:val="none" w:sz="0" w:space="0" w:color="auto"/>
                    <w:right w:val="none" w:sz="0" w:space="0" w:color="auto"/>
                  </w:divBdr>
                  <w:divsChild>
                    <w:div w:id="645479411">
                      <w:marLeft w:val="0"/>
                      <w:marRight w:val="0"/>
                      <w:marTop w:val="0"/>
                      <w:marBottom w:val="0"/>
                      <w:divBdr>
                        <w:top w:val="none" w:sz="0" w:space="0" w:color="auto"/>
                        <w:left w:val="none" w:sz="0" w:space="0" w:color="auto"/>
                        <w:bottom w:val="none" w:sz="0" w:space="0" w:color="auto"/>
                        <w:right w:val="none" w:sz="0" w:space="0" w:color="auto"/>
                      </w:divBdr>
                    </w:div>
                  </w:divsChild>
                </w:div>
                <w:div w:id="1733457173">
                  <w:marLeft w:val="0"/>
                  <w:marRight w:val="0"/>
                  <w:marTop w:val="0"/>
                  <w:marBottom w:val="0"/>
                  <w:divBdr>
                    <w:top w:val="none" w:sz="0" w:space="0" w:color="auto"/>
                    <w:left w:val="none" w:sz="0" w:space="0" w:color="auto"/>
                    <w:bottom w:val="none" w:sz="0" w:space="0" w:color="auto"/>
                    <w:right w:val="none" w:sz="0" w:space="0" w:color="auto"/>
                  </w:divBdr>
                  <w:divsChild>
                    <w:div w:id="1349526223">
                      <w:marLeft w:val="0"/>
                      <w:marRight w:val="0"/>
                      <w:marTop w:val="0"/>
                      <w:marBottom w:val="0"/>
                      <w:divBdr>
                        <w:top w:val="none" w:sz="0" w:space="0" w:color="auto"/>
                        <w:left w:val="none" w:sz="0" w:space="0" w:color="auto"/>
                        <w:bottom w:val="none" w:sz="0" w:space="0" w:color="auto"/>
                        <w:right w:val="none" w:sz="0" w:space="0" w:color="auto"/>
                      </w:divBdr>
                    </w:div>
                  </w:divsChild>
                </w:div>
                <w:div w:id="2046057137">
                  <w:marLeft w:val="0"/>
                  <w:marRight w:val="0"/>
                  <w:marTop w:val="0"/>
                  <w:marBottom w:val="0"/>
                  <w:divBdr>
                    <w:top w:val="none" w:sz="0" w:space="0" w:color="auto"/>
                    <w:left w:val="none" w:sz="0" w:space="0" w:color="auto"/>
                    <w:bottom w:val="none" w:sz="0" w:space="0" w:color="auto"/>
                    <w:right w:val="none" w:sz="0" w:space="0" w:color="auto"/>
                  </w:divBdr>
                  <w:divsChild>
                    <w:div w:id="1414358980">
                      <w:marLeft w:val="0"/>
                      <w:marRight w:val="0"/>
                      <w:marTop w:val="0"/>
                      <w:marBottom w:val="0"/>
                      <w:divBdr>
                        <w:top w:val="none" w:sz="0" w:space="0" w:color="auto"/>
                        <w:left w:val="none" w:sz="0" w:space="0" w:color="auto"/>
                        <w:bottom w:val="none" w:sz="0" w:space="0" w:color="auto"/>
                        <w:right w:val="none" w:sz="0" w:space="0" w:color="auto"/>
                      </w:divBdr>
                    </w:div>
                    <w:div w:id="17600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5442">
          <w:marLeft w:val="0"/>
          <w:marRight w:val="0"/>
          <w:marTop w:val="0"/>
          <w:marBottom w:val="0"/>
          <w:divBdr>
            <w:top w:val="none" w:sz="0" w:space="0" w:color="auto"/>
            <w:left w:val="none" w:sz="0" w:space="0" w:color="auto"/>
            <w:bottom w:val="none" w:sz="0" w:space="0" w:color="auto"/>
            <w:right w:val="none" w:sz="0" w:space="0" w:color="auto"/>
          </w:divBdr>
          <w:divsChild>
            <w:div w:id="23288241">
              <w:marLeft w:val="0"/>
              <w:marRight w:val="0"/>
              <w:marTop w:val="0"/>
              <w:marBottom w:val="0"/>
              <w:divBdr>
                <w:top w:val="none" w:sz="0" w:space="0" w:color="auto"/>
                <w:left w:val="none" w:sz="0" w:space="0" w:color="auto"/>
                <w:bottom w:val="none" w:sz="0" w:space="0" w:color="auto"/>
                <w:right w:val="none" w:sz="0" w:space="0" w:color="auto"/>
              </w:divBdr>
            </w:div>
            <w:div w:id="35936783">
              <w:marLeft w:val="0"/>
              <w:marRight w:val="0"/>
              <w:marTop w:val="0"/>
              <w:marBottom w:val="0"/>
              <w:divBdr>
                <w:top w:val="none" w:sz="0" w:space="0" w:color="auto"/>
                <w:left w:val="none" w:sz="0" w:space="0" w:color="auto"/>
                <w:bottom w:val="none" w:sz="0" w:space="0" w:color="auto"/>
                <w:right w:val="none" w:sz="0" w:space="0" w:color="auto"/>
              </w:divBdr>
            </w:div>
            <w:div w:id="161431839">
              <w:marLeft w:val="0"/>
              <w:marRight w:val="0"/>
              <w:marTop w:val="0"/>
              <w:marBottom w:val="0"/>
              <w:divBdr>
                <w:top w:val="none" w:sz="0" w:space="0" w:color="auto"/>
                <w:left w:val="none" w:sz="0" w:space="0" w:color="auto"/>
                <w:bottom w:val="none" w:sz="0" w:space="0" w:color="auto"/>
                <w:right w:val="none" w:sz="0" w:space="0" w:color="auto"/>
              </w:divBdr>
            </w:div>
            <w:div w:id="260991263">
              <w:marLeft w:val="0"/>
              <w:marRight w:val="0"/>
              <w:marTop w:val="0"/>
              <w:marBottom w:val="0"/>
              <w:divBdr>
                <w:top w:val="none" w:sz="0" w:space="0" w:color="auto"/>
                <w:left w:val="none" w:sz="0" w:space="0" w:color="auto"/>
                <w:bottom w:val="none" w:sz="0" w:space="0" w:color="auto"/>
                <w:right w:val="none" w:sz="0" w:space="0" w:color="auto"/>
              </w:divBdr>
            </w:div>
            <w:div w:id="558635280">
              <w:marLeft w:val="0"/>
              <w:marRight w:val="0"/>
              <w:marTop w:val="0"/>
              <w:marBottom w:val="0"/>
              <w:divBdr>
                <w:top w:val="none" w:sz="0" w:space="0" w:color="auto"/>
                <w:left w:val="none" w:sz="0" w:space="0" w:color="auto"/>
                <w:bottom w:val="none" w:sz="0" w:space="0" w:color="auto"/>
                <w:right w:val="none" w:sz="0" w:space="0" w:color="auto"/>
              </w:divBdr>
            </w:div>
            <w:div w:id="670445698">
              <w:marLeft w:val="0"/>
              <w:marRight w:val="0"/>
              <w:marTop w:val="0"/>
              <w:marBottom w:val="0"/>
              <w:divBdr>
                <w:top w:val="none" w:sz="0" w:space="0" w:color="auto"/>
                <w:left w:val="none" w:sz="0" w:space="0" w:color="auto"/>
                <w:bottom w:val="none" w:sz="0" w:space="0" w:color="auto"/>
                <w:right w:val="none" w:sz="0" w:space="0" w:color="auto"/>
              </w:divBdr>
            </w:div>
            <w:div w:id="979503879">
              <w:marLeft w:val="0"/>
              <w:marRight w:val="0"/>
              <w:marTop w:val="0"/>
              <w:marBottom w:val="0"/>
              <w:divBdr>
                <w:top w:val="none" w:sz="0" w:space="0" w:color="auto"/>
                <w:left w:val="none" w:sz="0" w:space="0" w:color="auto"/>
                <w:bottom w:val="none" w:sz="0" w:space="0" w:color="auto"/>
                <w:right w:val="none" w:sz="0" w:space="0" w:color="auto"/>
              </w:divBdr>
            </w:div>
            <w:div w:id="1241910672">
              <w:marLeft w:val="0"/>
              <w:marRight w:val="0"/>
              <w:marTop w:val="0"/>
              <w:marBottom w:val="0"/>
              <w:divBdr>
                <w:top w:val="none" w:sz="0" w:space="0" w:color="auto"/>
                <w:left w:val="none" w:sz="0" w:space="0" w:color="auto"/>
                <w:bottom w:val="none" w:sz="0" w:space="0" w:color="auto"/>
                <w:right w:val="none" w:sz="0" w:space="0" w:color="auto"/>
              </w:divBdr>
            </w:div>
            <w:div w:id="1345670075">
              <w:marLeft w:val="0"/>
              <w:marRight w:val="0"/>
              <w:marTop w:val="0"/>
              <w:marBottom w:val="0"/>
              <w:divBdr>
                <w:top w:val="none" w:sz="0" w:space="0" w:color="auto"/>
                <w:left w:val="none" w:sz="0" w:space="0" w:color="auto"/>
                <w:bottom w:val="none" w:sz="0" w:space="0" w:color="auto"/>
                <w:right w:val="none" w:sz="0" w:space="0" w:color="auto"/>
              </w:divBdr>
            </w:div>
            <w:div w:id="1387678169">
              <w:marLeft w:val="0"/>
              <w:marRight w:val="0"/>
              <w:marTop w:val="0"/>
              <w:marBottom w:val="0"/>
              <w:divBdr>
                <w:top w:val="none" w:sz="0" w:space="0" w:color="auto"/>
                <w:left w:val="none" w:sz="0" w:space="0" w:color="auto"/>
                <w:bottom w:val="none" w:sz="0" w:space="0" w:color="auto"/>
                <w:right w:val="none" w:sz="0" w:space="0" w:color="auto"/>
              </w:divBdr>
            </w:div>
            <w:div w:id="1815247805">
              <w:marLeft w:val="0"/>
              <w:marRight w:val="0"/>
              <w:marTop w:val="0"/>
              <w:marBottom w:val="0"/>
              <w:divBdr>
                <w:top w:val="none" w:sz="0" w:space="0" w:color="auto"/>
                <w:left w:val="none" w:sz="0" w:space="0" w:color="auto"/>
                <w:bottom w:val="none" w:sz="0" w:space="0" w:color="auto"/>
                <w:right w:val="none" w:sz="0" w:space="0" w:color="auto"/>
              </w:divBdr>
            </w:div>
            <w:div w:id="2032488688">
              <w:marLeft w:val="0"/>
              <w:marRight w:val="0"/>
              <w:marTop w:val="0"/>
              <w:marBottom w:val="0"/>
              <w:divBdr>
                <w:top w:val="none" w:sz="0" w:space="0" w:color="auto"/>
                <w:left w:val="none" w:sz="0" w:space="0" w:color="auto"/>
                <w:bottom w:val="none" w:sz="0" w:space="0" w:color="auto"/>
                <w:right w:val="none" w:sz="0" w:space="0" w:color="auto"/>
              </w:divBdr>
            </w:div>
            <w:div w:id="2122189163">
              <w:marLeft w:val="0"/>
              <w:marRight w:val="0"/>
              <w:marTop w:val="0"/>
              <w:marBottom w:val="0"/>
              <w:divBdr>
                <w:top w:val="none" w:sz="0" w:space="0" w:color="auto"/>
                <w:left w:val="none" w:sz="0" w:space="0" w:color="auto"/>
                <w:bottom w:val="none" w:sz="0" w:space="0" w:color="auto"/>
                <w:right w:val="none" w:sz="0" w:space="0" w:color="auto"/>
              </w:divBdr>
            </w:div>
          </w:divsChild>
        </w:div>
        <w:div w:id="481312873">
          <w:marLeft w:val="0"/>
          <w:marRight w:val="0"/>
          <w:marTop w:val="0"/>
          <w:marBottom w:val="0"/>
          <w:divBdr>
            <w:top w:val="none" w:sz="0" w:space="0" w:color="auto"/>
            <w:left w:val="none" w:sz="0" w:space="0" w:color="auto"/>
            <w:bottom w:val="none" w:sz="0" w:space="0" w:color="auto"/>
            <w:right w:val="none" w:sz="0" w:space="0" w:color="auto"/>
          </w:divBdr>
          <w:divsChild>
            <w:div w:id="210381244">
              <w:marLeft w:val="0"/>
              <w:marRight w:val="0"/>
              <w:marTop w:val="0"/>
              <w:marBottom w:val="0"/>
              <w:divBdr>
                <w:top w:val="none" w:sz="0" w:space="0" w:color="auto"/>
                <w:left w:val="none" w:sz="0" w:space="0" w:color="auto"/>
                <w:bottom w:val="none" w:sz="0" w:space="0" w:color="auto"/>
                <w:right w:val="none" w:sz="0" w:space="0" w:color="auto"/>
              </w:divBdr>
            </w:div>
            <w:div w:id="1018460567">
              <w:marLeft w:val="0"/>
              <w:marRight w:val="0"/>
              <w:marTop w:val="0"/>
              <w:marBottom w:val="0"/>
              <w:divBdr>
                <w:top w:val="none" w:sz="0" w:space="0" w:color="auto"/>
                <w:left w:val="none" w:sz="0" w:space="0" w:color="auto"/>
                <w:bottom w:val="none" w:sz="0" w:space="0" w:color="auto"/>
                <w:right w:val="none" w:sz="0" w:space="0" w:color="auto"/>
              </w:divBdr>
            </w:div>
            <w:div w:id="1248417345">
              <w:marLeft w:val="0"/>
              <w:marRight w:val="0"/>
              <w:marTop w:val="0"/>
              <w:marBottom w:val="0"/>
              <w:divBdr>
                <w:top w:val="none" w:sz="0" w:space="0" w:color="auto"/>
                <w:left w:val="none" w:sz="0" w:space="0" w:color="auto"/>
                <w:bottom w:val="none" w:sz="0" w:space="0" w:color="auto"/>
                <w:right w:val="none" w:sz="0" w:space="0" w:color="auto"/>
              </w:divBdr>
            </w:div>
            <w:div w:id="1777091156">
              <w:marLeft w:val="0"/>
              <w:marRight w:val="0"/>
              <w:marTop w:val="0"/>
              <w:marBottom w:val="0"/>
              <w:divBdr>
                <w:top w:val="none" w:sz="0" w:space="0" w:color="auto"/>
                <w:left w:val="none" w:sz="0" w:space="0" w:color="auto"/>
                <w:bottom w:val="none" w:sz="0" w:space="0" w:color="auto"/>
                <w:right w:val="none" w:sz="0" w:space="0" w:color="auto"/>
              </w:divBdr>
            </w:div>
          </w:divsChild>
        </w:div>
        <w:div w:id="584270016">
          <w:marLeft w:val="0"/>
          <w:marRight w:val="0"/>
          <w:marTop w:val="0"/>
          <w:marBottom w:val="0"/>
          <w:divBdr>
            <w:top w:val="none" w:sz="0" w:space="0" w:color="auto"/>
            <w:left w:val="none" w:sz="0" w:space="0" w:color="auto"/>
            <w:bottom w:val="none" w:sz="0" w:space="0" w:color="auto"/>
            <w:right w:val="none" w:sz="0" w:space="0" w:color="auto"/>
          </w:divBdr>
        </w:div>
        <w:div w:id="592740250">
          <w:marLeft w:val="0"/>
          <w:marRight w:val="0"/>
          <w:marTop w:val="0"/>
          <w:marBottom w:val="0"/>
          <w:divBdr>
            <w:top w:val="none" w:sz="0" w:space="0" w:color="auto"/>
            <w:left w:val="none" w:sz="0" w:space="0" w:color="auto"/>
            <w:bottom w:val="none" w:sz="0" w:space="0" w:color="auto"/>
            <w:right w:val="none" w:sz="0" w:space="0" w:color="auto"/>
          </w:divBdr>
          <w:divsChild>
            <w:div w:id="2518918">
              <w:marLeft w:val="0"/>
              <w:marRight w:val="0"/>
              <w:marTop w:val="0"/>
              <w:marBottom w:val="0"/>
              <w:divBdr>
                <w:top w:val="none" w:sz="0" w:space="0" w:color="auto"/>
                <w:left w:val="none" w:sz="0" w:space="0" w:color="auto"/>
                <w:bottom w:val="none" w:sz="0" w:space="0" w:color="auto"/>
                <w:right w:val="none" w:sz="0" w:space="0" w:color="auto"/>
              </w:divBdr>
            </w:div>
            <w:div w:id="388573380">
              <w:marLeft w:val="0"/>
              <w:marRight w:val="0"/>
              <w:marTop w:val="0"/>
              <w:marBottom w:val="0"/>
              <w:divBdr>
                <w:top w:val="none" w:sz="0" w:space="0" w:color="auto"/>
                <w:left w:val="none" w:sz="0" w:space="0" w:color="auto"/>
                <w:bottom w:val="none" w:sz="0" w:space="0" w:color="auto"/>
                <w:right w:val="none" w:sz="0" w:space="0" w:color="auto"/>
              </w:divBdr>
            </w:div>
            <w:div w:id="826819868">
              <w:marLeft w:val="0"/>
              <w:marRight w:val="0"/>
              <w:marTop w:val="0"/>
              <w:marBottom w:val="0"/>
              <w:divBdr>
                <w:top w:val="none" w:sz="0" w:space="0" w:color="auto"/>
                <w:left w:val="none" w:sz="0" w:space="0" w:color="auto"/>
                <w:bottom w:val="none" w:sz="0" w:space="0" w:color="auto"/>
                <w:right w:val="none" w:sz="0" w:space="0" w:color="auto"/>
              </w:divBdr>
            </w:div>
            <w:div w:id="1724593864">
              <w:marLeft w:val="0"/>
              <w:marRight w:val="0"/>
              <w:marTop w:val="0"/>
              <w:marBottom w:val="0"/>
              <w:divBdr>
                <w:top w:val="none" w:sz="0" w:space="0" w:color="auto"/>
                <w:left w:val="none" w:sz="0" w:space="0" w:color="auto"/>
                <w:bottom w:val="none" w:sz="0" w:space="0" w:color="auto"/>
                <w:right w:val="none" w:sz="0" w:space="0" w:color="auto"/>
              </w:divBdr>
            </w:div>
          </w:divsChild>
        </w:div>
        <w:div w:id="779184603">
          <w:marLeft w:val="0"/>
          <w:marRight w:val="0"/>
          <w:marTop w:val="0"/>
          <w:marBottom w:val="0"/>
          <w:divBdr>
            <w:top w:val="none" w:sz="0" w:space="0" w:color="auto"/>
            <w:left w:val="none" w:sz="0" w:space="0" w:color="auto"/>
            <w:bottom w:val="none" w:sz="0" w:space="0" w:color="auto"/>
            <w:right w:val="none" w:sz="0" w:space="0" w:color="auto"/>
          </w:divBdr>
          <w:divsChild>
            <w:div w:id="52848255">
              <w:marLeft w:val="-75"/>
              <w:marRight w:val="0"/>
              <w:marTop w:val="30"/>
              <w:marBottom w:val="30"/>
              <w:divBdr>
                <w:top w:val="none" w:sz="0" w:space="0" w:color="auto"/>
                <w:left w:val="none" w:sz="0" w:space="0" w:color="auto"/>
                <w:bottom w:val="none" w:sz="0" w:space="0" w:color="auto"/>
                <w:right w:val="none" w:sz="0" w:space="0" w:color="auto"/>
              </w:divBdr>
              <w:divsChild>
                <w:div w:id="111941486">
                  <w:marLeft w:val="0"/>
                  <w:marRight w:val="0"/>
                  <w:marTop w:val="0"/>
                  <w:marBottom w:val="0"/>
                  <w:divBdr>
                    <w:top w:val="none" w:sz="0" w:space="0" w:color="auto"/>
                    <w:left w:val="none" w:sz="0" w:space="0" w:color="auto"/>
                    <w:bottom w:val="none" w:sz="0" w:space="0" w:color="auto"/>
                    <w:right w:val="none" w:sz="0" w:space="0" w:color="auto"/>
                  </w:divBdr>
                  <w:divsChild>
                    <w:div w:id="836268776">
                      <w:marLeft w:val="0"/>
                      <w:marRight w:val="0"/>
                      <w:marTop w:val="0"/>
                      <w:marBottom w:val="0"/>
                      <w:divBdr>
                        <w:top w:val="none" w:sz="0" w:space="0" w:color="auto"/>
                        <w:left w:val="none" w:sz="0" w:space="0" w:color="auto"/>
                        <w:bottom w:val="none" w:sz="0" w:space="0" w:color="auto"/>
                        <w:right w:val="none" w:sz="0" w:space="0" w:color="auto"/>
                      </w:divBdr>
                    </w:div>
                    <w:div w:id="1195385491">
                      <w:marLeft w:val="0"/>
                      <w:marRight w:val="0"/>
                      <w:marTop w:val="0"/>
                      <w:marBottom w:val="0"/>
                      <w:divBdr>
                        <w:top w:val="none" w:sz="0" w:space="0" w:color="auto"/>
                        <w:left w:val="none" w:sz="0" w:space="0" w:color="auto"/>
                        <w:bottom w:val="none" w:sz="0" w:space="0" w:color="auto"/>
                        <w:right w:val="none" w:sz="0" w:space="0" w:color="auto"/>
                      </w:divBdr>
                    </w:div>
                  </w:divsChild>
                </w:div>
                <w:div w:id="124812474">
                  <w:marLeft w:val="0"/>
                  <w:marRight w:val="0"/>
                  <w:marTop w:val="0"/>
                  <w:marBottom w:val="0"/>
                  <w:divBdr>
                    <w:top w:val="none" w:sz="0" w:space="0" w:color="auto"/>
                    <w:left w:val="none" w:sz="0" w:space="0" w:color="auto"/>
                    <w:bottom w:val="none" w:sz="0" w:space="0" w:color="auto"/>
                    <w:right w:val="none" w:sz="0" w:space="0" w:color="auto"/>
                  </w:divBdr>
                  <w:divsChild>
                    <w:div w:id="873809885">
                      <w:marLeft w:val="0"/>
                      <w:marRight w:val="0"/>
                      <w:marTop w:val="0"/>
                      <w:marBottom w:val="0"/>
                      <w:divBdr>
                        <w:top w:val="none" w:sz="0" w:space="0" w:color="auto"/>
                        <w:left w:val="none" w:sz="0" w:space="0" w:color="auto"/>
                        <w:bottom w:val="none" w:sz="0" w:space="0" w:color="auto"/>
                        <w:right w:val="none" w:sz="0" w:space="0" w:color="auto"/>
                      </w:divBdr>
                    </w:div>
                  </w:divsChild>
                </w:div>
                <w:div w:id="336807592">
                  <w:marLeft w:val="0"/>
                  <w:marRight w:val="0"/>
                  <w:marTop w:val="0"/>
                  <w:marBottom w:val="0"/>
                  <w:divBdr>
                    <w:top w:val="none" w:sz="0" w:space="0" w:color="auto"/>
                    <w:left w:val="none" w:sz="0" w:space="0" w:color="auto"/>
                    <w:bottom w:val="none" w:sz="0" w:space="0" w:color="auto"/>
                    <w:right w:val="none" w:sz="0" w:space="0" w:color="auto"/>
                  </w:divBdr>
                  <w:divsChild>
                    <w:div w:id="1762869860">
                      <w:marLeft w:val="0"/>
                      <w:marRight w:val="0"/>
                      <w:marTop w:val="0"/>
                      <w:marBottom w:val="0"/>
                      <w:divBdr>
                        <w:top w:val="none" w:sz="0" w:space="0" w:color="auto"/>
                        <w:left w:val="none" w:sz="0" w:space="0" w:color="auto"/>
                        <w:bottom w:val="none" w:sz="0" w:space="0" w:color="auto"/>
                        <w:right w:val="none" w:sz="0" w:space="0" w:color="auto"/>
                      </w:divBdr>
                    </w:div>
                  </w:divsChild>
                </w:div>
                <w:div w:id="410348589">
                  <w:marLeft w:val="0"/>
                  <w:marRight w:val="0"/>
                  <w:marTop w:val="0"/>
                  <w:marBottom w:val="0"/>
                  <w:divBdr>
                    <w:top w:val="none" w:sz="0" w:space="0" w:color="auto"/>
                    <w:left w:val="none" w:sz="0" w:space="0" w:color="auto"/>
                    <w:bottom w:val="none" w:sz="0" w:space="0" w:color="auto"/>
                    <w:right w:val="none" w:sz="0" w:space="0" w:color="auto"/>
                  </w:divBdr>
                  <w:divsChild>
                    <w:div w:id="1524975598">
                      <w:marLeft w:val="0"/>
                      <w:marRight w:val="0"/>
                      <w:marTop w:val="0"/>
                      <w:marBottom w:val="0"/>
                      <w:divBdr>
                        <w:top w:val="none" w:sz="0" w:space="0" w:color="auto"/>
                        <w:left w:val="none" w:sz="0" w:space="0" w:color="auto"/>
                        <w:bottom w:val="none" w:sz="0" w:space="0" w:color="auto"/>
                        <w:right w:val="none" w:sz="0" w:space="0" w:color="auto"/>
                      </w:divBdr>
                    </w:div>
                  </w:divsChild>
                </w:div>
                <w:div w:id="425736642">
                  <w:marLeft w:val="0"/>
                  <w:marRight w:val="0"/>
                  <w:marTop w:val="0"/>
                  <w:marBottom w:val="0"/>
                  <w:divBdr>
                    <w:top w:val="none" w:sz="0" w:space="0" w:color="auto"/>
                    <w:left w:val="none" w:sz="0" w:space="0" w:color="auto"/>
                    <w:bottom w:val="none" w:sz="0" w:space="0" w:color="auto"/>
                    <w:right w:val="none" w:sz="0" w:space="0" w:color="auto"/>
                  </w:divBdr>
                  <w:divsChild>
                    <w:div w:id="394426771">
                      <w:marLeft w:val="0"/>
                      <w:marRight w:val="0"/>
                      <w:marTop w:val="0"/>
                      <w:marBottom w:val="0"/>
                      <w:divBdr>
                        <w:top w:val="none" w:sz="0" w:space="0" w:color="auto"/>
                        <w:left w:val="none" w:sz="0" w:space="0" w:color="auto"/>
                        <w:bottom w:val="none" w:sz="0" w:space="0" w:color="auto"/>
                        <w:right w:val="none" w:sz="0" w:space="0" w:color="auto"/>
                      </w:divBdr>
                    </w:div>
                  </w:divsChild>
                </w:div>
                <w:div w:id="430276499">
                  <w:marLeft w:val="0"/>
                  <w:marRight w:val="0"/>
                  <w:marTop w:val="0"/>
                  <w:marBottom w:val="0"/>
                  <w:divBdr>
                    <w:top w:val="none" w:sz="0" w:space="0" w:color="auto"/>
                    <w:left w:val="none" w:sz="0" w:space="0" w:color="auto"/>
                    <w:bottom w:val="none" w:sz="0" w:space="0" w:color="auto"/>
                    <w:right w:val="none" w:sz="0" w:space="0" w:color="auto"/>
                  </w:divBdr>
                  <w:divsChild>
                    <w:div w:id="1517189146">
                      <w:marLeft w:val="0"/>
                      <w:marRight w:val="0"/>
                      <w:marTop w:val="0"/>
                      <w:marBottom w:val="0"/>
                      <w:divBdr>
                        <w:top w:val="none" w:sz="0" w:space="0" w:color="auto"/>
                        <w:left w:val="none" w:sz="0" w:space="0" w:color="auto"/>
                        <w:bottom w:val="none" w:sz="0" w:space="0" w:color="auto"/>
                        <w:right w:val="none" w:sz="0" w:space="0" w:color="auto"/>
                      </w:divBdr>
                    </w:div>
                  </w:divsChild>
                </w:div>
                <w:div w:id="445775970">
                  <w:marLeft w:val="0"/>
                  <w:marRight w:val="0"/>
                  <w:marTop w:val="0"/>
                  <w:marBottom w:val="0"/>
                  <w:divBdr>
                    <w:top w:val="none" w:sz="0" w:space="0" w:color="auto"/>
                    <w:left w:val="none" w:sz="0" w:space="0" w:color="auto"/>
                    <w:bottom w:val="none" w:sz="0" w:space="0" w:color="auto"/>
                    <w:right w:val="none" w:sz="0" w:space="0" w:color="auto"/>
                  </w:divBdr>
                  <w:divsChild>
                    <w:div w:id="1939171629">
                      <w:marLeft w:val="0"/>
                      <w:marRight w:val="0"/>
                      <w:marTop w:val="0"/>
                      <w:marBottom w:val="0"/>
                      <w:divBdr>
                        <w:top w:val="none" w:sz="0" w:space="0" w:color="auto"/>
                        <w:left w:val="none" w:sz="0" w:space="0" w:color="auto"/>
                        <w:bottom w:val="none" w:sz="0" w:space="0" w:color="auto"/>
                        <w:right w:val="none" w:sz="0" w:space="0" w:color="auto"/>
                      </w:divBdr>
                    </w:div>
                  </w:divsChild>
                </w:div>
                <w:div w:id="808520705">
                  <w:marLeft w:val="0"/>
                  <w:marRight w:val="0"/>
                  <w:marTop w:val="0"/>
                  <w:marBottom w:val="0"/>
                  <w:divBdr>
                    <w:top w:val="none" w:sz="0" w:space="0" w:color="auto"/>
                    <w:left w:val="none" w:sz="0" w:space="0" w:color="auto"/>
                    <w:bottom w:val="none" w:sz="0" w:space="0" w:color="auto"/>
                    <w:right w:val="none" w:sz="0" w:space="0" w:color="auto"/>
                  </w:divBdr>
                  <w:divsChild>
                    <w:div w:id="1293629588">
                      <w:marLeft w:val="0"/>
                      <w:marRight w:val="0"/>
                      <w:marTop w:val="0"/>
                      <w:marBottom w:val="0"/>
                      <w:divBdr>
                        <w:top w:val="none" w:sz="0" w:space="0" w:color="auto"/>
                        <w:left w:val="none" w:sz="0" w:space="0" w:color="auto"/>
                        <w:bottom w:val="none" w:sz="0" w:space="0" w:color="auto"/>
                        <w:right w:val="none" w:sz="0" w:space="0" w:color="auto"/>
                      </w:divBdr>
                    </w:div>
                  </w:divsChild>
                </w:div>
                <w:div w:id="838541335">
                  <w:marLeft w:val="0"/>
                  <w:marRight w:val="0"/>
                  <w:marTop w:val="0"/>
                  <w:marBottom w:val="0"/>
                  <w:divBdr>
                    <w:top w:val="none" w:sz="0" w:space="0" w:color="auto"/>
                    <w:left w:val="none" w:sz="0" w:space="0" w:color="auto"/>
                    <w:bottom w:val="none" w:sz="0" w:space="0" w:color="auto"/>
                    <w:right w:val="none" w:sz="0" w:space="0" w:color="auto"/>
                  </w:divBdr>
                  <w:divsChild>
                    <w:div w:id="1607038775">
                      <w:marLeft w:val="0"/>
                      <w:marRight w:val="0"/>
                      <w:marTop w:val="0"/>
                      <w:marBottom w:val="0"/>
                      <w:divBdr>
                        <w:top w:val="none" w:sz="0" w:space="0" w:color="auto"/>
                        <w:left w:val="none" w:sz="0" w:space="0" w:color="auto"/>
                        <w:bottom w:val="none" w:sz="0" w:space="0" w:color="auto"/>
                        <w:right w:val="none" w:sz="0" w:space="0" w:color="auto"/>
                      </w:divBdr>
                    </w:div>
                  </w:divsChild>
                </w:div>
                <w:div w:id="967705661">
                  <w:marLeft w:val="0"/>
                  <w:marRight w:val="0"/>
                  <w:marTop w:val="0"/>
                  <w:marBottom w:val="0"/>
                  <w:divBdr>
                    <w:top w:val="none" w:sz="0" w:space="0" w:color="auto"/>
                    <w:left w:val="none" w:sz="0" w:space="0" w:color="auto"/>
                    <w:bottom w:val="none" w:sz="0" w:space="0" w:color="auto"/>
                    <w:right w:val="none" w:sz="0" w:space="0" w:color="auto"/>
                  </w:divBdr>
                  <w:divsChild>
                    <w:div w:id="889725986">
                      <w:marLeft w:val="0"/>
                      <w:marRight w:val="0"/>
                      <w:marTop w:val="0"/>
                      <w:marBottom w:val="0"/>
                      <w:divBdr>
                        <w:top w:val="none" w:sz="0" w:space="0" w:color="auto"/>
                        <w:left w:val="none" w:sz="0" w:space="0" w:color="auto"/>
                        <w:bottom w:val="none" w:sz="0" w:space="0" w:color="auto"/>
                        <w:right w:val="none" w:sz="0" w:space="0" w:color="auto"/>
                      </w:divBdr>
                    </w:div>
                  </w:divsChild>
                </w:div>
                <w:div w:id="975568956">
                  <w:marLeft w:val="0"/>
                  <w:marRight w:val="0"/>
                  <w:marTop w:val="0"/>
                  <w:marBottom w:val="0"/>
                  <w:divBdr>
                    <w:top w:val="none" w:sz="0" w:space="0" w:color="auto"/>
                    <w:left w:val="none" w:sz="0" w:space="0" w:color="auto"/>
                    <w:bottom w:val="none" w:sz="0" w:space="0" w:color="auto"/>
                    <w:right w:val="none" w:sz="0" w:space="0" w:color="auto"/>
                  </w:divBdr>
                  <w:divsChild>
                    <w:div w:id="1347710161">
                      <w:marLeft w:val="0"/>
                      <w:marRight w:val="0"/>
                      <w:marTop w:val="0"/>
                      <w:marBottom w:val="0"/>
                      <w:divBdr>
                        <w:top w:val="none" w:sz="0" w:space="0" w:color="auto"/>
                        <w:left w:val="none" w:sz="0" w:space="0" w:color="auto"/>
                        <w:bottom w:val="none" w:sz="0" w:space="0" w:color="auto"/>
                        <w:right w:val="none" w:sz="0" w:space="0" w:color="auto"/>
                      </w:divBdr>
                    </w:div>
                  </w:divsChild>
                </w:div>
                <w:div w:id="991524256">
                  <w:marLeft w:val="0"/>
                  <w:marRight w:val="0"/>
                  <w:marTop w:val="0"/>
                  <w:marBottom w:val="0"/>
                  <w:divBdr>
                    <w:top w:val="none" w:sz="0" w:space="0" w:color="auto"/>
                    <w:left w:val="none" w:sz="0" w:space="0" w:color="auto"/>
                    <w:bottom w:val="none" w:sz="0" w:space="0" w:color="auto"/>
                    <w:right w:val="none" w:sz="0" w:space="0" w:color="auto"/>
                  </w:divBdr>
                  <w:divsChild>
                    <w:div w:id="2073849532">
                      <w:marLeft w:val="0"/>
                      <w:marRight w:val="0"/>
                      <w:marTop w:val="0"/>
                      <w:marBottom w:val="0"/>
                      <w:divBdr>
                        <w:top w:val="none" w:sz="0" w:space="0" w:color="auto"/>
                        <w:left w:val="none" w:sz="0" w:space="0" w:color="auto"/>
                        <w:bottom w:val="none" w:sz="0" w:space="0" w:color="auto"/>
                        <w:right w:val="none" w:sz="0" w:space="0" w:color="auto"/>
                      </w:divBdr>
                    </w:div>
                  </w:divsChild>
                </w:div>
                <w:div w:id="1036076249">
                  <w:marLeft w:val="0"/>
                  <w:marRight w:val="0"/>
                  <w:marTop w:val="0"/>
                  <w:marBottom w:val="0"/>
                  <w:divBdr>
                    <w:top w:val="none" w:sz="0" w:space="0" w:color="auto"/>
                    <w:left w:val="none" w:sz="0" w:space="0" w:color="auto"/>
                    <w:bottom w:val="none" w:sz="0" w:space="0" w:color="auto"/>
                    <w:right w:val="none" w:sz="0" w:space="0" w:color="auto"/>
                  </w:divBdr>
                  <w:divsChild>
                    <w:div w:id="489638899">
                      <w:marLeft w:val="0"/>
                      <w:marRight w:val="0"/>
                      <w:marTop w:val="0"/>
                      <w:marBottom w:val="0"/>
                      <w:divBdr>
                        <w:top w:val="none" w:sz="0" w:space="0" w:color="auto"/>
                        <w:left w:val="none" w:sz="0" w:space="0" w:color="auto"/>
                        <w:bottom w:val="none" w:sz="0" w:space="0" w:color="auto"/>
                        <w:right w:val="none" w:sz="0" w:space="0" w:color="auto"/>
                      </w:divBdr>
                    </w:div>
                  </w:divsChild>
                </w:div>
                <w:div w:id="1108625109">
                  <w:marLeft w:val="0"/>
                  <w:marRight w:val="0"/>
                  <w:marTop w:val="0"/>
                  <w:marBottom w:val="0"/>
                  <w:divBdr>
                    <w:top w:val="none" w:sz="0" w:space="0" w:color="auto"/>
                    <w:left w:val="none" w:sz="0" w:space="0" w:color="auto"/>
                    <w:bottom w:val="none" w:sz="0" w:space="0" w:color="auto"/>
                    <w:right w:val="none" w:sz="0" w:space="0" w:color="auto"/>
                  </w:divBdr>
                  <w:divsChild>
                    <w:div w:id="883831473">
                      <w:marLeft w:val="0"/>
                      <w:marRight w:val="0"/>
                      <w:marTop w:val="0"/>
                      <w:marBottom w:val="0"/>
                      <w:divBdr>
                        <w:top w:val="none" w:sz="0" w:space="0" w:color="auto"/>
                        <w:left w:val="none" w:sz="0" w:space="0" w:color="auto"/>
                        <w:bottom w:val="none" w:sz="0" w:space="0" w:color="auto"/>
                        <w:right w:val="none" w:sz="0" w:space="0" w:color="auto"/>
                      </w:divBdr>
                    </w:div>
                  </w:divsChild>
                </w:div>
                <w:div w:id="1229341723">
                  <w:marLeft w:val="0"/>
                  <w:marRight w:val="0"/>
                  <w:marTop w:val="0"/>
                  <w:marBottom w:val="0"/>
                  <w:divBdr>
                    <w:top w:val="none" w:sz="0" w:space="0" w:color="auto"/>
                    <w:left w:val="none" w:sz="0" w:space="0" w:color="auto"/>
                    <w:bottom w:val="none" w:sz="0" w:space="0" w:color="auto"/>
                    <w:right w:val="none" w:sz="0" w:space="0" w:color="auto"/>
                  </w:divBdr>
                </w:div>
                <w:div w:id="1231236265">
                  <w:marLeft w:val="0"/>
                  <w:marRight w:val="0"/>
                  <w:marTop w:val="0"/>
                  <w:marBottom w:val="0"/>
                  <w:divBdr>
                    <w:top w:val="none" w:sz="0" w:space="0" w:color="auto"/>
                    <w:left w:val="none" w:sz="0" w:space="0" w:color="auto"/>
                    <w:bottom w:val="none" w:sz="0" w:space="0" w:color="auto"/>
                    <w:right w:val="none" w:sz="0" w:space="0" w:color="auto"/>
                  </w:divBdr>
                  <w:divsChild>
                    <w:div w:id="607084749">
                      <w:marLeft w:val="0"/>
                      <w:marRight w:val="0"/>
                      <w:marTop w:val="0"/>
                      <w:marBottom w:val="0"/>
                      <w:divBdr>
                        <w:top w:val="none" w:sz="0" w:space="0" w:color="auto"/>
                        <w:left w:val="none" w:sz="0" w:space="0" w:color="auto"/>
                        <w:bottom w:val="none" w:sz="0" w:space="0" w:color="auto"/>
                        <w:right w:val="none" w:sz="0" w:space="0" w:color="auto"/>
                      </w:divBdr>
                    </w:div>
                  </w:divsChild>
                </w:div>
                <w:div w:id="1551571889">
                  <w:marLeft w:val="0"/>
                  <w:marRight w:val="0"/>
                  <w:marTop w:val="0"/>
                  <w:marBottom w:val="0"/>
                  <w:divBdr>
                    <w:top w:val="none" w:sz="0" w:space="0" w:color="auto"/>
                    <w:left w:val="none" w:sz="0" w:space="0" w:color="auto"/>
                    <w:bottom w:val="none" w:sz="0" w:space="0" w:color="auto"/>
                    <w:right w:val="none" w:sz="0" w:space="0" w:color="auto"/>
                  </w:divBdr>
                  <w:divsChild>
                    <w:div w:id="1299188689">
                      <w:marLeft w:val="0"/>
                      <w:marRight w:val="0"/>
                      <w:marTop w:val="0"/>
                      <w:marBottom w:val="0"/>
                      <w:divBdr>
                        <w:top w:val="none" w:sz="0" w:space="0" w:color="auto"/>
                        <w:left w:val="none" w:sz="0" w:space="0" w:color="auto"/>
                        <w:bottom w:val="none" w:sz="0" w:space="0" w:color="auto"/>
                        <w:right w:val="none" w:sz="0" w:space="0" w:color="auto"/>
                      </w:divBdr>
                    </w:div>
                  </w:divsChild>
                </w:div>
                <w:div w:id="1579051141">
                  <w:marLeft w:val="0"/>
                  <w:marRight w:val="0"/>
                  <w:marTop w:val="0"/>
                  <w:marBottom w:val="0"/>
                  <w:divBdr>
                    <w:top w:val="none" w:sz="0" w:space="0" w:color="auto"/>
                    <w:left w:val="none" w:sz="0" w:space="0" w:color="auto"/>
                    <w:bottom w:val="none" w:sz="0" w:space="0" w:color="auto"/>
                    <w:right w:val="none" w:sz="0" w:space="0" w:color="auto"/>
                  </w:divBdr>
                  <w:divsChild>
                    <w:div w:id="102000653">
                      <w:marLeft w:val="0"/>
                      <w:marRight w:val="0"/>
                      <w:marTop w:val="0"/>
                      <w:marBottom w:val="0"/>
                      <w:divBdr>
                        <w:top w:val="none" w:sz="0" w:space="0" w:color="auto"/>
                        <w:left w:val="none" w:sz="0" w:space="0" w:color="auto"/>
                        <w:bottom w:val="none" w:sz="0" w:space="0" w:color="auto"/>
                        <w:right w:val="none" w:sz="0" w:space="0" w:color="auto"/>
                      </w:divBdr>
                    </w:div>
                  </w:divsChild>
                </w:div>
                <w:div w:id="1689284359">
                  <w:marLeft w:val="0"/>
                  <w:marRight w:val="0"/>
                  <w:marTop w:val="0"/>
                  <w:marBottom w:val="0"/>
                  <w:divBdr>
                    <w:top w:val="none" w:sz="0" w:space="0" w:color="auto"/>
                    <w:left w:val="none" w:sz="0" w:space="0" w:color="auto"/>
                    <w:bottom w:val="none" w:sz="0" w:space="0" w:color="auto"/>
                    <w:right w:val="none" w:sz="0" w:space="0" w:color="auto"/>
                  </w:divBdr>
                  <w:divsChild>
                    <w:div w:id="1630436917">
                      <w:marLeft w:val="0"/>
                      <w:marRight w:val="0"/>
                      <w:marTop w:val="0"/>
                      <w:marBottom w:val="0"/>
                      <w:divBdr>
                        <w:top w:val="none" w:sz="0" w:space="0" w:color="auto"/>
                        <w:left w:val="none" w:sz="0" w:space="0" w:color="auto"/>
                        <w:bottom w:val="none" w:sz="0" w:space="0" w:color="auto"/>
                        <w:right w:val="none" w:sz="0" w:space="0" w:color="auto"/>
                      </w:divBdr>
                    </w:div>
                  </w:divsChild>
                </w:div>
                <w:div w:id="1936088588">
                  <w:marLeft w:val="0"/>
                  <w:marRight w:val="0"/>
                  <w:marTop w:val="0"/>
                  <w:marBottom w:val="0"/>
                  <w:divBdr>
                    <w:top w:val="none" w:sz="0" w:space="0" w:color="auto"/>
                    <w:left w:val="none" w:sz="0" w:space="0" w:color="auto"/>
                    <w:bottom w:val="none" w:sz="0" w:space="0" w:color="auto"/>
                    <w:right w:val="none" w:sz="0" w:space="0" w:color="auto"/>
                  </w:divBdr>
                  <w:divsChild>
                    <w:div w:id="2027901083">
                      <w:marLeft w:val="0"/>
                      <w:marRight w:val="0"/>
                      <w:marTop w:val="0"/>
                      <w:marBottom w:val="0"/>
                      <w:divBdr>
                        <w:top w:val="none" w:sz="0" w:space="0" w:color="auto"/>
                        <w:left w:val="none" w:sz="0" w:space="0" w:color="auto"/>
                        <w:bottom w:val="none" w:sz="0" w:space="0" w:color="auto"/>
                        <w:right w:val="none" w:sz="0" w:space="0" w:color="auto"/>
                      </w:divBdr>
                    </w:div>
                  </w:divsChild>
                </w:div>
                <w:div w:id="2032022788">
                  <w:marLeft w:val="0"/>
                  <w:marRight w:val="0"/>
                  <w:marTop w:val="0"/>
                  <w:marBottom w:val="0"/>
                  <w:divBdr>
                    <w:top w:val="none" w:sz="0" w:space="0" w:color="auto"/>
                    <w:left w:val="none" w:sz="0" w:space="0" w:color="auto"/>
                    <w:bottom w:val="none" w:sz="0" w:space="0" w:color="auto"/>
                    <w:right w:val="none" w:sz="0" w:space="0" w:color="auto"/>
                  </w:divBdr>
                  <w:divsChild>
                    <w:div w:id="21453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633644">
          <w:marLeft w:val="0"/>
          <w:marRight w:val="0"/>
          <w:marTop w:val="0"/>
          <w:marBottom w:val="0"/>
          <w:divBdr>
            <w:top w:val="none" w:sz="0" w:space="0" w:color="auto"/>
            <w:left w:val="none" w:sz="0" w:space="0" w:color="auto"/>
            <w:bottom w:val="none" w:sz="0" w:space="0" w:color="auto"/>
            <w:right w:val="none" w:sz="0" w:space="0" w:color="auto"/>
          </w:divBdr>
          <w:divsChild>
            <w:div w:id="1287159434">
              <w:marLeft w:val="0"/>
              <w:marRight w:val="0"/>
              <w:marTop w:val="0"/>
              <w:marBottom w:val="0"/>
              <w:divBdr>
                <w:top w:val="none" w:sz="0" w:space="0" w:color="auto"/>
                <w:left w:val="none" w:sz="0" w:space="0" w:color="auto"/>
                <w:bottom w:val="none" w:sz="0" w:space="0" w:color="auto"/>
                <w:right w:val="none" w:sz="0" w:space="0" w:color="auto"/>
              </w:divBdr>
            </w:div>
            <w:div w:id="2130934755">
              <w:marLeft w:val="0"/>
              <w:marRight w:val="0"/>
              <w:marTop w:val="0"/>
              <w:marBottom w:val="0"/>
              <w:divBdr>
                <w:top w:val="none" w:sz="0" w:space="0" w:color="auto"/>
                <w:left w:val="none" w:sz="0" w:space="0" w:color="auto"/>
                <w:bottom w:val="none" w:sz="0" w:space="0" w:color="auto"/>
                <w:right w:val="none" w:sz="0" w:space="0" w:color="auto"/>
              </w:divBdr>
            </w:div>
          </w:divsChild>
        </w:div>
        <w:div w:id="1031416269">
          <w:marLeft w:val="0"/>
          <w:marRight w:val="0"/>
          <w:marTop w:val="0"/>
          <w:marBottom w:val="0"/>
          <w:divBdr>
            <w:top w:val="none" w:sz="0" w:space="0" w:color="auto"/>
            <w:left w:val="none" w:sz="0" w:space="0" w:color="auto"/>
            <w:bottom w:val="none" w:sz="0" w:space="0" w:color="auto"/>
            <w:right w:val="none" w:sz="0" w:space="0" w:color="auto"/>
          </w:divBdr>
        </w:div>
        <w:div w:id="1048338282">
          <w:marLeft w:val="0"/>
          <w:marRight w:val="0"/>
          <w:marTop w:val="0"/>
          <w:marBottom w:val="0"/>
          <w:divBdr>
            <w:top w:val="none" w:sz="0" w:space="0" w:color="auto"/>
            <w:left w:val="none" w:sz="0" w:space="0" w:color="auto"/>
            <w:bottom w:val="none" w:sz="0" w:space="0" w:color="auto"/>
            <w:right w:val="none" w:sz="0" w:space="0" w:color="auto"/>
          </w:divBdr>
          <w:divsChild>
            <w:div w:id="1506555669">
              <w:marLeft w:val="-75"/>
              <w:marRight w:val="0"/>
              <w:marTop w:val="30"/>
              <w:marBottom w:val="30"/>
              <w:divBdr>
                <w:top w:val="none" w:sz="0" w:space="0" w:color="auto"/>
                <w:left w:val="none" w:sz="0" w:space="0" w:color="auto"/>
                <w:bottom w:val="none" w:sz="0" w:space="0" w:color="auto"/>
                <w:right w:val="none" w:sz="0" w:space="0" w:color="auto"/>
              </w:divBdr>
              <w:divsChild>
                <w:div w:id="762066007">
                  <w:marLeft w:val="0"/>
                  <w:marRight w:val="0"/>
                  <w:marTop w:val="0"/>
                  <w:marBottom w:val="0"/>
                  <w:divBdr>
                    <w:top w:val="none" w:sz="0" w:space="0" w:color="auto"/>
                    <w:left w:val="none" w:sz="0" w:space="0" w:color="auto"/>
                    <w:bottom w:val="none" w:sz="0" w:space="0" w:color="auto"/>
                    <w:right w:val="none" w:sz="0" w:space="0" w:color="auto"/>
                  </w:divBdr>
                  <w:divsChild>
                    <w:div w:id="418602902">
                      <w:marLeft w:val="0"/>
                      <w:marRight w:val="0"/>
                      <w:marTop w:val="0"/>
                      <w:marBottom w:val="0"/>
                      <w:divBdr>
                        <w:top w:val="none" w:sz="0" w:space="0" w:color="auto"/>
                        <w:left w:val="none" w:sz="0" w:space="0" w:color="auto"/>
                        <w:bottom w:val="none" w:sz="0" w:space="0" w:color="auto"/>
                        <w:right w:val="none" w:sz="0" w:space="0" w:color="auto"/>
                      </w:divBdr>
                    </w:div>
                    <w:div w:id="669915228">
                      <w:marLeft w:val="0"/>
                      <w:marRight w:val="0"/>
                      <w:marTop w:val="0"/>
                      <w:marBottom w:val="0"/>
                      <w:divBdr>
                        <w:top w:val="none" w:sz="0" w:space="0" w:color="auto"/>
                        <w:left w:val="none" w:sz="0" w:space="0" w:color="auto"/>
                        <w:bottom w:val="none" w:sz="0" w:space="0" w:color="auto"/>
                        <w:right w:val="none" w:sz="0" w:space="0" w:color="auto"/>
                      </w:divBdr>
                    </w:div>
                    <w:div w:id="1155413647">
                      <w:marLeft w:val="0"/>
                      <w:marRight w:val="0"/>
                      <w:marTop w:val="0"/>
                      <w:marBottom w:val="0"/>
                      <w:divBdr>
                        <w:top w:val="none" w:sz="0" w:space="0" w:color="auto"/>
                        <w:left w:val="none" w:sz="0" w:space="0" w:color="auto"/>
                        <w:bottom w:val="none" w:sz="0" w:space="0" w:color="auto"/>
                        <w:right w:val="none" w:sz="0" w:space="0" w:color="auto"/>
                      </w:divBdr>
                    </w:div>
                  </w:divsChild>
                </w:div>
                <w:div w:id="1467504734">
                  <w:marLeft w:val="0"/>
                  <w:marRight w:val="0"/>
                  <w:marTop w:val="0"/>
                  <w:marBottom w:val="0"/>
                  <w:divBdr>
                    <w:top w:val="none" w:sz="0" w:space="0" w:color="auto"/>
                    <w:left w:val="none" w:sz="0" w:space="0" w:color="auto"/>
                    <w:bottom w:val="none" w:sz="0" w:space="0" w:color="auto"/>
                    <w:right w:val="none" w:sz="0" w:space="0" w:color="auto"/>
                  </w:divBdr>
                  <w:divsChild>
                    <w:div w:id="7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247550">
          <w:marLeft w:val="0"/>
          <w:marRight w:val="0"/>
          <w:marTop w:val="0"/>
          <w:marBottom w:val="0"/>
          <w:divBdr>
            <w:top w:val="none" w:sz="0" w:space="0" w:color="auto"/>
            <w:left w:val="none" w:sz="0" w:space="0" w:color="auto"/>
            <w:bottom w:val="none" w:sz="0" w:space="0" w:color="auto"/>
            <w:right w:val="none" w:sz="0" w:space="0" w:color="auto"/>
          </w:divBdr>
          <w:divsChild>
            <w:div w:id="750780839">
              <w:marLeft w:val="-75"/>
              <w:marRight w:val="0"/>
              <w:marTop w:val="30"/>
              <w:marBottom w:val="30"/>
              <w:divBdr>
                <w:top w:val="none" w:sz="0" w:space="0" w:color="auto"/>
                <w:left w:val="none" w:sz="0" w:space="0" w:color="auto"/>
                <w:bottom w:val="none" w:sz="0" w:space="0" w:color="auto"/>
                <w:right w:val="none" w:sz="0" w:space="0" w:color="auto"/>
              </w:divBdr>
              <w:divsChild>
                <w:div w:id="6299966">
                  <w:marLeft w:val="0"/>
                  <w:marRight w:val="0"/>
                  <w:marTop w:val="0"/>
                  <w:marBottom w:val="0"/>
                  <w:divBdr>
                    <w:top w:val="none" w:sz="0" w:space="0" w:color="auto"/>
                    <w:left w:val="none" w:sz="0" w:space="0" w:color="auto"/>
                    <w:bottom w:val="none" w:sz="0" w:space="0" w:color="auto"/>
                    <w:right w:val="none" w:sz="0" w:space="0" w:color="auto"/>
                  </w:divBdr>
                  <w:divsChild>
                    <w:div w:id="240916568">
                      <w:marLeft w:val="0"/>
                      <w:marRight w:val="0"/>
                      <w:marTop w:val="0"/>
                      <w:marBottom w:val="0"/>
                      <w:divBdr>
                        <w:top w:val="none" w:sz="0" w:space="0" w:color="auto"/>
                        <w:left w:val="none" w:sz="0" w:space="0" w:color="auto"/>
                        <w:bottom w:val="none" w:sz="0" w:space="0" w:color="auto"/>
                        <w:right w:val="none" w:sz="0" w:space="0" w:color="auto"/>
                      </w:divBdr>
                    </w:div>
                    <w:div w:id="1433671738">
                      <w:marLeft w:val="0"/>
                      <w:marRight w:val="0"/>
                      <w:marTop w:val="0"/>
                      <w:marBottom w:val="0"/>
                      <w:divBdr>
                        <w:top w:val="none" w:sz="0" w:space="0" w:color="auto"/>
                        <w:left w:val="none" w:sz="0" w:space="0" w:color="auto"/>
                        <w:bottom w:val="none" w:sz="0" w:space="0" w:color="auto"/>
                        <w:right w:val="none" w:sz="0" w:space="0" w:color="auto"/>
                      </w:divBdr>
                    </w:div>
                    <w:div w:id="1811751118">
                      <w:marLeft w:val="0"/>
                      <w:marRight w:val="0"/>
                      <w:marTop w:val="0"/>
                      <w:marBottom w:val="0"/>
                      <w:divBdr>
                        <w:top w:val="none" w:sz="0" w:space="0" w:color="auto"/>
                        <w:left w:val="none" w:sz="0" w:space="0" w:color="auto"/>
                        <w:bottom w:val="none" w:sz="0" w:space="0" w:color="auto"/>
                        <w:right w:val="none" w:sz="0" w:space="0" w:color="auto"/>
                      </w:divBdr>
                    </w:div>
                  </w:divsChild>
                </w:div>
                <w:div w:id="1630817768">
                  <w:marLeft w:val="0"/>
                  <w:marRight w:val="0"/>
                  <w:marTop w:val="0"/>
                  <w:marBottom w:val="0"/>
                  <w:divBdr>
                    <w:top w:val="none" w:sz="0" w:space="0" w:color="auto"/>
                    <w:left w:val="none" w:sz="0" w:space="0" w:color="auto"/>
                    <w:bottom w:val="none" w:sz="0" w:space="0" w:color="auto"/>
                    <w:right w:val="none" w:sz="0" w:space="0" w:color="auto"/>
                  </w:divBdr>
                  <w:divsChild>
                    <w:div w:id="13466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54203">
          <w:marLeft w:val="0"/>
          <w:marRight w:val="0"/>
          <w:marTop w:val="0"/>
          <w:marBottom w:val="0"/>
          <w:divBdr>
            <w:top w:val="none" w:sz="0" w:space="0" w:color="auto"/>
            <w:left w:val="none" w:sz="0" w:space="0" w:color="auto"/>
            <w:bottom w:val="none" w:sz="0" w:space="0" w:color="auto"/>
            <w:right w:val="none" w:sz="0" w:space="0" w:color="auto"/>
          </w:divBdr>
          <w:divsChild>
            <w:div w:id="1643190977">
              <w:marLeft w:val="-75"/>
              <w:marRight w:val="0"/>
              <w:marTop w:val="30"/>
              <w:marBottom w:val="30"/>
              <w:divBdr>
                <w:top w:val="none" w:sz="0" w:space="0" w:color="auto"/>
                <w:left w:val="none" w:sz="0" w:space="0" w:color="auto"/>
                <w:bottom w:val="none" w:sz="0" w:space="0" w:color="auto"/>
                <w:right w:val="none" w:sz="0" w:space="0" w:color="auto"/>
              </w:divBdr>
              <w:divsChild>
                <w:div w:id="191503113">
                  <w:marLeft w:val="0"/>
                  <w:marRight w:val="0"/>
                  <w:marTop w:val="0"/>
                  <w:marBottom w:val="0"/>
                  <w:divBdr>
                    <w:top w:val="none" w:sz="0" w:space="0" w:color="auto"/>
                    <w:left w:val="none" w:sz="0" w:space="0" w:color="auto"/>
                    <w:bottom w:val="none" w:sz="0" w:space="0" w:color="auto"/>
                    <w:right w:val="none" w:sz="0" w:space="0" w:color="auto"/>
                  </w:divBdr>
                  <w:divsChild>
                    <w:div w:id="1522468938">
                      <w:marLeft w:val="0"/>
                      <w:marRight w:val="0"/>
                      <w:marTop w:val="0"/>
                      <w:marBottom w:val="0"/>
                      <w:divBdr>
                        <w:top w:val="none" w:sz="0" w:space="0" w:color="auto"/>
                        <w:left w:val="none" w:sz="0" w:space="0" w:color="auto"/>
                        <w:bottom w:val="none" w:sz="0" w:space="0" w:color="auto"/>
                        <w:right w:val="none" w:sz="0" w:space="0" w:color="auto"/>
                      </w:divBdr>
                    </w:div>
                  </w:divsChild>
                </w:div>
                <w:div w:id="1971545664">
                  <w:marLeft w:val="0"/>
                  <w:marRight w:val="0"/>
                  <w:marTop w:val="0"/>
                  <w:marBottom w:val="0"/>
                  <w:divBdr>
                    <w:top w:val="none" w:sz="0" w:space="0" w:color="auto"/>
                    <w:left w:val="none" w:sz="0" w:space="0" w:color="auto"/>
                    <w:bottom w:val="none" w:sz="0" w:space="0" w:color="auto"/>
                    <w:right w:val="none" w:sz="0" w:space="0" w:color="auto"/>
                  </w:divBdr>
                  <w:divsChild>
                    <w:div w:id="137766048">
                      <w:marLeft w:val="0"/>
                      <w:marRight w:val="0"/>
                      <w:marTop w:val="0"/>
                      <w:marBottom w:val="0"/>
                      <w:divBdr>
                        <w:top w:val="none" w:sz="0" w:space="0" w:color="auto"/>
                        <w:left w:val="none" w:sz="0" w:space="0" w:color="auto"/>
                        <w:bottom w:val="none" w:sz="0" w:space="0" w:color="auto"/>
                        <w:right w:val="none" w:sz="0" w:space="0" w:color="auto"/>
                      </w:divBdr>
                    </w:div>
                    <w:div w:id="341975375">
                      <w:marLeft w:val="0"/>
                      <w:marRight w:val="0"/>
                      <w:marTop w:val="0"/>
                      <w:marBottom w:val="0"/>
                      <w:divBdr>
                        <w:top w:val="none" w:sz="0" w:space="0" w:color="auto"/>
                        <w:left w:val="none" w:sz="0" w:space="0" w:color="auto"/>
                        <w:bottom w:val="none" w:sz="0" w:space="0" w:color="auto"/>
                        <w:right w:val="none" w:sz="0" w:space="0" w:color="auto"/>
                      </w:divBdr>
                    </w:div>
                    <w:div w:id="14535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468041">
      <w:marLeft w:val="480"/>
      <w:marRight w:val="0"/>
      <w:marTop w:val="0"/>
      <w:marBottom w:val="0"/>
      <w:divBdr>
        <w:top w:val="none" w:sz="0" w:space="0" w:color="auto"/>
        <w:left w:val="none" w:sz="0" w:space="0" w:color="auto"/>
        <w:bottom w:val="none" w:sz="0" w:space="0" w:color="auto"/>
        <w:right w:val="none" w:sz="0" w:space="0" w:color="auto"/>
      </w:divBdr>
    </w:div>
    <w:div w:id="2006589311">
      <w:bodyDiv w:val="1"/>
      <w:marLeft w:val="0"/>
      <w:marRight w:val="0"/>
      <w:marTop w:val="0"/>
      <w:marBottom w:val="0"/>
      <w:divBdr>
        <w:top w:val="none" w:sz="0" w:space="0" w:color="auto"/>
        <w:left w:val="none" w:sz="0" w:space="0" w:color="auto"/>
        <w:bottom w:val="none" w:sz="0" w:space="0" w:color="auto"/>
        <w:right w:val="none" w:sz="0" w:space="0" w:color="auto"/>
      </w:divBdr>
      <w:divsChild>
        <w:div w:id="295526702">
          <w:marLeft w:val="480"/>
          <w:marRight w:val="0"/>
          <w:marTop w:val="0"/>
          <w:marBottom w:val="0"/>
          <w:divBdr>
            <w:top w:val="none" w:sz="0" w:space="0" w:color="auto"/>
            <w:left w:val="none" w:sz="0" w:space="0" w:color="auto"/>
            <w:bottom w:val="none" w:sz="0" w:space="0" w:color="auto"/>
            <w:right w:val="none" w:sz="0" w:space="0" w:color="auto"/>
          </w:divBdr>
        </w:div>
        <w:div w:id="580792436">
          <w:marLeft w:val="480"/>
          <w:marRight w:val="0"/>
          <w:marTop w:val="0"/>
          <w:marBottom w:val="0"/>
          <w:divBdr>
            <w:top w:val="none" w:sz="0" w:space="0" w:color="auto"/>
            <w:left w:val="none" w:sz="0" w:space="0" w:color="auto"/>
            <w:bottom w:val="none" w:sz="0" w:space="0" w:color="auto"/>
            <w:right w:val="none" w:sz="0" w:space="0" w:color="auto"/>
          </w:divBdr>
        </w:div>
        <w:div w:id="832993786">
          <w:marLeft w:val="480"/>
          <w:marRight w:val="0"/>
          <w:marTop w:val="0"/>
          <w:marBottom w:val="0"/>
          <w:divBdr>
            <w:top w:val="none" w:sz="0" w:space="0" w:color="auto"/>
            <w:left w:val="none" w:sz="0" w:space="0" w:color="auto"/>
            <w:bottom w:val="none" w:sz="0" w:space="0" w:color="auto"/>
            <w:right w:val="none" w:sz="0" w:space="0" w:color="auto"/>
          </w:divBdr>
        </w:div>
        <w:div w:id="979577408">
          <w:marLeft w:val="480"/>
          <w:marRight w:val="0"/>
          <w:marTop w:val="0"/>
          <w:marBottom w:val="0"/>
          <w:divBdr>
            <w:top w:val="none" w:sz="0" w:space="0" w:color="auto"/>
            <w:left w:val="none" w:sz="0" w:space="0" w:color="auto"/>
            <w:bottom w:val="none" w:sz="0" w:space="0" w:color="auto"/>
            <w:right w:val="none" w:sz="0" w:space="0" w:color="auto"/>
          </w:divBdr>
        </w:div>
        <w:div w:id="1713379552">
          <w:marLeft w:val="480"/>
          <w:marRight w:val="0"/>
          <w:marTop w:val="0"/>
          <w:marBottom w:val="0"/>
          <w:divBdr>
            <w:top w:val="none" w:sz="0" w:space="0" w:color="auto"/>
            <w:left w:val="none" w:sz="0" w:space="0" w:color="auto"/>
            <w:bottom w:val="none" w:sz="0" w:space="0" w:color="auto"/>
            <w:right w:val="none" w:sz="0" w:space="0" w:color="auto"/>
          </w:divBdr>
        </w:div>
      </w:divsChild>
    </w:div>
    <w:div w:id="2006660805">
      <w:bodyDiv w:val="1"/>
      <w:marLeft w:val="0"/>
      <w:marRight w:val="0"/>
      <w:marTop w:val="0"/>
      <w:marBottom w:val="0"/>
      <w:divBdr>
        <w:top w:val="none" w:sz="0" w:space="0" w:color="auto"/>
        <w:left w:val="none" w:sz="0" w:space="0" w:color="auto"/>
        <w:bottom w:val="none" w:sz="0" w:space="0" w:color="auto"/>
        <w:right w:val="none" w:sz="0" w:space="0" w:color="auto"/>
      </w:divBdr>
      <w:divsChild>
        <w:div w:id="333579278">
          <w:marLeft w:val="480"/>
          <w:marRight w:val="0"/>
          <w:marTop w:val="0"/>
          <w:marBottom w:val="0"/>
          <w:divBdr>
            <w:top w:val="none" w:sz="0" w:space="0" w:color="auto"/>
            <w:left w:val="none" w:sz="0" w:space="0" w:color="auto"/>
            <w:bottom w:val="none" w:sz="0" w:space="0" w:color="auto"/>
            <w:right w:val="none" w:sz="0" w:space="0" w:color="auto"/>
          </w:divBdr>
        </w:div>
        <w:div w:id="697508980">
          <w:marLeft w:val="480"/>
          <w:marRight w:val="0"/>
          <w:marTop w:val="0"/>
          <w:marBottom w:val="0"/>
          <w:divBdr>
            <w:top w:val="none" w:sz="0" w:space="0" w:color="auto"/>
            <w:left w:val="none" w:sz="0" w:space="0" w:color="auto"/>
            <w:bottom w:val="none" w:sz="0" w:space="0" w:color="auto"/>
            <w:right w:val="none" w:sz="0" w:space="0" w:color="auto"/>
          </w:divBdr>
        </w:div>
        <w:div w:id="938417444">
          <w:marLeft w:val="480"/>
          <w:marRight w:val="0"/>
          <w:marTop w:val="0"/>
          <w:marBottom w:val="0"/>
          <w:divBdr>
            <w:top w:val="none" w:sz="0" w:space="0" w:color="auto"/>
            <w:left w:val="none" w:sz="0" w:space="0" w:color="auto"/>
            <w:bottom w:val="none" w:sz="0" w:space="0" w:color="auto"/>
            <w:right w:val="none" w:sz="0" w:space="0" w:color="auto"/>
          </w:divBdr>
        </w:div>
        <w:div w:id="1083993916">
          <w:marLeft w:val="480"/>
          <w:marRight w:val="0"/>
          <w:marTop w:val="0"/>
          <w:marBottom w:val="0"/>
          <w:divBdr>
            <w:top w:val="none" w:sz="0" w:space="0" w:color="auto"/>
            <w:left w:val="none" w:sz="0" w:space="0" w:color="auto"/>
            <w:bottom w:val="none" w:sz="0" w:space="0" w:color="auto"/>
            <w:right w:val="none" w:sz="0" w:space="0" w:color="auto"/>
          </w:divBdr>
        </w:div>
        <w:div w:id="1150291549">
          <w:marLeft w:val="480"/>
          <w:marRight w:val="0"/>
          <w:marTop w:val="0"/>
          <w:marBottom w:val="0"/>
          <w:divBdr>
            <w:top w:val="none" w:sz="0" w:space="0" w:color="auto"/>
            <w:left w:val="none" w:sz="0" w:space="0" w:color="auto"/>
            <w:bottom w:val="none" w:sz="0" w:space="0" w:color="auto"/>
            <w:right w:val="none" w:sz="0" w:space="0" w:color="auto"/>
          </w:divBdr>
        </w:div>
        <w:div w:id="1231037533">
          <w:marLeft w:val="480"/>
          <w:marRight w:val="0"/>
          <w:marTop w:val="0"/>
          <w:marBottom w:val="0"/>
          <w:divBdr>
            <w:top w:val="none" w:sz="0" w:space="0" w:color="auto"/>
            <w:left w:val="none" w:sz="0" w:space="0" w:color="auto"/>
            <w:bottom w:val="none" w:sz="0" w:space="0" w:color="auto"/>
            <w:right w:val="none" w:sz="0" w:space="0" w:color="auto"/>
          </w:divBdr>
        </w:div>
        <w:div w:id="1546287007">
          <w:marLeft w:val="480"/>
          <w:marRight w:val="0"/>
          <w:marTop w:val="0"/>
          <w:marBottom w:val="0"/>
          <w:divBdr>
            <w:top w:val="none" w:sz="0" w:space="0" w:color="auto"/>
            <w:left w:val="none" w:sz="0" w:space="0" w:color="auto"/>
            <w:bottom w:val="none" w:sz="0" w:space="0" w:color="auto"/>
            <w:right w:val="none" w:sz="0" w:space="0" w:color="auto"/>
          </w:divBdr>
        </w:div>
        <w:div w:id="1843231643">
          <w:marLeft w:val="480"/>
          <w:marRight w:val="0"/>
          <w:marTop w:val="0"/>
          <w:marBottom w:val="0"/>
          <w:divBdr>
            <w:top w:val="none" w:sz="0" w:space="0" w:color="auto"/>
            <w:left w:val="none" w:sz="0" w:space="0" w:color="auto"/>
            <w:bottom w:val="none" w:sz="0" w:space="0" w:color="auto"/>
            <w:right w:val="none" w:sz="0" w:space="0" w:color="auto"/>
          </w:divBdr>
        </w:div>
        <w:div w:id="1853757898">
          <w:marLeft w:val="480"/>
          <w:marRight w:val="0"/>
          <w:marTop w:val="0"/>
          <w:marBottom w:val="0"/>
          <w:divBdr>
            <w:top w:val="none" w:sz="0" w:space="0" w:color="auto"/>
            <w:left w:val="none" w:sz="0" w:space="0" w:color="auto"/>
            <w:bottom w:val="none" w:sz="0" w:space="0" w:color="auto"/>
            <w:right w:val="none" w:sz="0" w:space="0" w:color="auto"/>
          </w:divBdr>
        </w:div>
        <w:div w:id="1862477866">
          <w:marLeft w:val="480"/>
          <w:marRight w:val="0"/>
          <w:marTop w:val="0"/>
          <w:marBottom w:val="0"/>
          <w:divBdr>
            <w:top w:val="none" w:sz="0" w:space="0" w:color="auto"/>
            <w:left w:val="none" w:sz="0" w:space="0" w:color="auto"/>
            <w:bottom w:val="none" w:sz="0" w:space="0" w:color="auto"/>
            <w:right w:val="none" w:sz="0" w:space="0" w:color="auto"/>
          </w:divBdr>
        </w:div>
      </w:divsChild>
    </w:div>
    <w:div w:id="2010255783">
      <w:marLeft w:val="480"/>
      <w:marRight w:val="0"/>
      <w:marTop w:val="0"/>
      <w:marBottom w:val="0"/>
      <w:divBdr>
        <w:top w:val="none" w:sz="0" w:space="0" w:color="auto"/>
        <w:left w:val="none" w:sz="0" w:space="0" w:color="auto"/>
        <w:bottom w:val="none" w:sz="0" w:space="0" w:color="auto"/>
        <w:right w:val="none" w:sz="0" w:space="0" w:color="auto"/>
      </w:divBdr>
    </w:div>
    <w:div w:id="2010518912">
      <w:marLeft w:val="480"/>
      <w:marRight w:val="0"/>
      <w:marTop w:val="0"/>
      <w:marBottom w:val="0"/>
      <w:divBdr>
        <w:top w:val="none" w:sz="0" w:space="0" w:color="auto"/>
        <w:left w:val="none" w:sz="0" w:space="0" w:color="auto"/>
        <w:bottom w:val="none" w:sz="0" w:space="0" w:color="auto"/>
        <w:right w:val="none" w:sz="0" w:space="0" w:color="auto"/>
      </w:divBdr>
    </w:div>
    <w:div w:id="2011247581">
      <w:marLeft w:val="480"/>
      <w:marRight w:val="0"/>
      <w:marTop w:val="0"/>
      <w:marBottom w:val="0"/>
      <w:divBdr>
        <w:top w:val="none" w:sz="0" w:space="0" w:color="auto"/>
        <w:left w:val="none" w:sz="0" w:space="0" w:color="auto"/>
        <w:bottom w:val="none" w:sz="0" w:space="0" w:color="auto"/>
        <w:right w:val="none" w:sz="0" w:space="0" w:color="auto"/>
      </w:divBdr>
    </w:div>
    <w:div w:id="2012951458">
      <w:marLeft w:val="480"/>
      <w:marRight w:val="0"/>
      <w:marTop w:val="0"/>
      <w:marBottom w:val="0"/>
      <w:divBdr>
        <w:top w:val="none" w:sz="0" w:space="0" w:color="auto"/>
        <w:left w:val="none" w:sz="0" w:space="0" w:color="auto"/>
        <w:bottom w:val="none" w:sz="0" w:space="0" w:color="auto"/>
        <w:right w:val="none" w:sz="0" w:space="0" w:color="auto"/>
      </w:divBdr>
    </w:div>
    <w:div w:id="2015260658">
      <w:marLeft w:val="480"/>
      <w:marRight w:val="0"/>
      <w:marTop w:val="0"/>
      <w:marBottom w:val="0"/>
      <w:divBdr>
        <w:top w:val="none" w:sz="0" w:space="0" w:color="auto"/>
        <w:left w:val="none" w:sz="0" w:space="0" w:color="auto"/>
        <w:bottom w:val="none" w:sz="0" w:space="0" w:color="auto"/>
        <w:right w:val="none" w:sz="0" w:space="0" w:color="auto"/>
      </w:divBdr>
    </w:div>
    <w:div w:id="2016298040">
      <w:marLeft w:val="480"/>
      <w:marRight w:val="0"/>
      <w:marTop w:val="0"/>
      <w:marBottom w:val="0"/>
      <w:divBdr>
        <w:top w:val="none" w:sz="0" w:space="0" w:color="auto"/>
        <w:left w:val="none" w:sz="0" w:space="0" w:color="auto"/>
        <w:bottom w:val="none" w:sz="0" w:space="0" w:color="auto"/>
        <w:right w:val="none" w:sz="0" w:space="0" w:color="auto"/>
      </w:divBdr>
    </w:div>
    <w:div w:id="2017609066">
      <w:bodyDiv w:val="1"/>
      <w:marLeft w:val="0"/>
      <w:marRight w:val="0"/>
      <w:marTop w:val="0"/>
      <w:marBottom w:val="0"/>
      <w:divBdr>
        <w:top w:val="none" w:sz="0" w:space="0" w:color="auto"/>
        <w:left w:val="none" w:sz="0" w:space="0" w:color="auto"/>
        <w:bottom w:val="none" w:sz="0" w:space="0" w:color="auto"/>
        <w:right w:val="none" w:sz="0" w:space="0" w:color="auto"/>
      </w:divBdr>
    </w:div>
    <w:div w:id="2018582223">
      <w:bodyDiv w:val="1"/>
      <w:marLeft w:val="0"/>
      <w:marRight w:val="0"/>
      <w:marTop w:val="0"/>
      <w:marBottom w:val="0"/>
      <w:divBdr>
        <w:top w:val="none" w:sz="0" w:space="0" w:color="auto"/>
        <w:left w:val="none" w:sz="0" w:space="0" w:color="auto"/>
        <w:bottom w:val="none" w:sz="0" w:space="0" w:color="auto"/>
        <w:right w:val="none" w:sz="0" w:space="0" w:color="auto"/>
      </w:divBdr>
      <w:divsChild>
        <w:div w:id="300160699">
          <w:marLeft w:val="480"/>
          <w:marRight w:val="0"/>
          <w:marTop w:val="0"/>
          <w:marBottom w:val="0"/>
          <w:divBdr>
            <w:top w:val="none" w:sz="0" w:space="0" w:color="auto"/>
            <w:left w:val="none" w:sz="0" w:space="0" w:color="auto"/>
            <w:bottom w:val="none" w:sz="0" w:space="0" w:color="auto"/>
            <w:right w:val="none" w:sz="0" w:space="0" w:color="auto"/>
          </w:divBdr>
        </w:div>
        <w:div w:id="468597842">
          <w:marLeft w:val="480"/>
          <w:marRight w:val="0"/>
          <w:marTop w:val="0"/>
          <w:marBottom w:val="0"/>
          <w:divBdr>
            <w:top w:val="none" w:sz="0" w:space="0" w:color="auto"/>
            <w:left w:val="none" w:sz="0" w:space="0" w:color="auto"/>
            <w:bottom w:val="none" w:sz="0" w:space="0" w:color="auto"/>
            <w:right w:val="none" w:sz="0" w:space="0" w:color="auto"/>
          </w:divBdr>
        </w:div>
        <w:div w:id="1256134931">
          <w:marLeft w:val="480"/>
          <w:marRight w:val="0"/>
          <w:marTop w:val="0"/>
          <w:marBottom w:val="0"/>
          <w:divBdr>
            <w:top w:val="none" w:sz="0" w:space="0" w:color="auto"/>
            <w:left w:val="none" w:sz="0" w:space="0" w:color="auto"/>
            <w:bottom w:val="none" w:sz="0" w:space="0" w:color="auto"/>
            <w:right w:val="none" w:sz="0" w:space="0" w:color="auto"/>
          </w:divBdr>
        </w:div>
        <w:div w:id="1450664248">
          <w:marLeft w:val="480"/>
          <w:marRight w:val="0"/>
          <w:marTop w:val="0"/>
          <w:marBottom w:val="0"/>
          <w:divBdr>
            <w:top w:val="none" w:sz="0" w:space="0" w:color="auto"/>
            <w:left w:val="none" w:sz="0" w:space="0" w:color="auto"/>
            <w:bottom w:val="none" w:sz="0" w:space="0" w:color="auto"/>
            <w:right w:val="none" w:sz="0" w:space="0" w:color="auto"/>
          </w:divBdr>
        </w:div>
      </w:divsChild>
    </w:div>
    <w:div w:id="2019690667">
      <w:marLeft w:val="480"/>
      <w:marRight w:val="0"/>
      <w:marTop w:val="0"/>
      <w:marBottom w:val="0"/>
      <w:divBdr>
        <w:top w:val="none" w:sz="0" w:space="0" w:color="auto"/>
        <w:left w:val="none" w:sz="0" w:space="0" w:color="auto"/>
        <w:bottom w:val="none" w:sz="0" w:space="0" w:color="auto"/>
        <w:right w:val="none" w:sz="0" w:space="0" w:color="auto"/>
      </w:divBdr>
    </w:div>
    <w:div w:id="2020157773">
      <w:marLeft w:val="480"/>
      <w:marRight w:val="0"/>
      <w:marTop w:val="0"/>
      <w:marBottom w:val="0"/>
      <w:divBdr>
        <w:top w:val="none" w:sz="0" w:space="0" w:color="auto"/>
        <w:left w:val="none" w:sz="0" w:space="0" w:color="auto"/>
        <w:bottom w:val="none" w:sz="0" w:space="0" w:color="auto"/>
        <w:right w:val="none" w:sz="0" w:space="0" w:color="auto"/>
      </w:divBdr>
    </w:div>
    <w:div w:id="2020428988">
      <w:marLeft w:val="480"/>
      <w:marRight w:val="0"/>
      <w:marTop w:val="0"/>
      <w:marBottom w:val="0"/>
      <w:divBdr>
        <w:top w:val="none" w:sz="0" w:space="0" w:color="auto"/>
        <w:left w:val="none" w:sz="0" w:space="0" w:color="auto"/>
        <w:bottom w:val="none" w:sz="0" w:space="0" w:color="auto"/>
        <w:right w:val="none" w:sz="0" w:space="0" w:color="auto"/>
      </w:divBdr>
    </w:div>
    <w:div w:id="2023193666">
      <w:marLeft w:val="480"/>
      <w:marRight w:val="0"/>
      <w:marTop w:val="0"/>
      <w:marBottom w:val="0"/>
      <w:divBdr>
        <w:top w:val="none" w:sz="0" w:space="0" w:color="auto"/>
        <w:left w:val="none" w:sz="0" w:space="0" w:color="auto"/>
        <w:bottom w:val="none" w:sz="0" w:space="0" w:color="auto"/>
        <w:right w:val="none" w:sz="0" w:space="0" w:color="auto"/>
      </w:divBdr>
    </w:div>
    <w:div w:id="2024016720">
      <w:marLeft w:val="480"/>
      <w:marRight w:val="0"/>
      <w:marTop w:val="0"/>
      <w:marBottom w:val="0"/>
      <w:divBdr>
        <w:top w:val="none" w:sz="0" w:space="0" w:color="auto"/>
        <w:left w:val="none" w:sz="0" w:space="0" w:color="auto"/>
        <w:bottom w:val="none" w:sz="0" w:space="0" w:color="auto"/>
        <w:right w:val="none" w:sz="0" w:space="0" w:color="auto"/>
      </w:divBdr>
    </w:div>
    <w:div w:id="2025940617">
      <w:marLeft w:val="480"/>
      <w:marRight w:val="0"/>
      <w:marTop w:val="0"/>
      <w:marBottom w:val="0"/>
      <w:divBdr>
        <w:top w:val="none" w:sz="0" w:space="0" w:color="auto"/>
        <w:left w:val="none" w:sz="0" w:space="0" w:color="auto"/>
        <w:bottom w:val="none" w:sz="0" w:space="0" w:color="auto"/>
        <w:right w:val="none" w:sz="0" w:space="0" w:color="auto"/>
      </w:divBdr>
    </w:div>
    <w:div w:id="2026513050">
      <w:marLeft w:val="480"/>
      <w:marRight w:val="0"/>
      <w:marTop w:val="0"/>
      <w:marBottom w:val="0"/>
      <w:divBdr>
        <w:top w:val="none" w:sz="0" w:space="0" w:color="auto"/>
        <w:left w:val="none" w:sz="0" w:space="0" w:color="auto"/>
        <w:bottom w:val="none" w:sz="0" w:space="0" w:color="auto"/>
        <w:right w:val="none" w:sz="0" w:space="0" w:color="auto"/>
      </w:divBdr>
    </w:div>
    <w:div w:id="2027899413">
      <w:bodyDiv w:val="1"/>
      <w:marLeft w:val="0"/>
      <w:marRight w:val="0"/>
      <w:marTop w:val="0"/>
      <w:marBottom w:val="0"/>
      <w:divBdr>
        <w:top w:val="none" w:sz="0" w:space="0" w:color="auto"/>
        <w:left w:val="none" w:sz="0" w:space="0" w:color="auto"/>
        <w:bottom w:val="none" w:sz="0" w:space="0" w:color="auto"/>
        <w:right w:val="none" w:sz="0" w:space="0" w:color="auto"/>
      </w:divBdr>
      <w:divsChild>
        <w:div w:id="281889369">
          <w:marLeft w:val="480"/>
          <w:marRight w:val="0"/>
          <w:marTop w:val="0"/>
          <w:marBottom w:val="0"/>
          <w:divBdr>
            <w:top w:val="none" w:sz="0" w:space="0" w:color="auto"/>
            <w:left w:val="none" w:sz="0" w:space="0" w:color="auto"/>
            <w:bottom w:val="none" w:sz="0" w:space="0" w:color="auto"/>
            <w:right w:val="none" w:sz="0" w:space="0" w:color="auto"/>
          </w:divBdr>
        </w:div>
        <w:div w:id="591009568">
          <w:marLeft w:val="480"/>
          <w:marRight w:val="0"/>
          <w:marTop w:val="0"/>
          <w:marBottom w:val="0"/>
          <w:divBdr>
            <w:top w:val="none" w:sz="0" w:space="0" w:color="auto"/>
            <w:left w:val="none" w:sz="0" w:space="0" w:color="auto"/>
            <w:bottom w:val="none" w:sz="0" w:space="0" w:color="auto"/>
            <w:right w:val="none" w:sz="0" w:space="0" w:color="auto"/>
          </w:divBdr>
        </w:div>
        <w:div w:id="760564018">
          <w:marLeft w:val="480"/>
          <w:marRight w:val="0"/>
          <w:marTop w:val="0"/>
          <w:marBottom w:val="0"/>
          <w:divBdr>
            <w:top w:val="none" w:sz="0" w:space="0" w:color="auto"/>
            <w:left w:val="none" w:sz="0" w:space="0" w:color="auto"/>
            <w:bottom w:val="none" w:sz="0" w:space="0" w:color="auto"/>
            <w:right w:val="none" w:sz="0" w:space="0" w:color="auto"/>
          </w:divBdr>
        </w:div>
        <w:div w:id="974798546">
          <w:marLeft w:val="480"/>
          <w:marRight w:val="0"/>
          <w:marTop w:val="0"/>
          <w:marBottom w:val="0"/>
          <w:divBdr>
            <w:top w:val="none" w:sz="0" w:space="0" w:color="auto"/>
            <w:left w:val="none" w:sz="0" w:space="0" w:color="auto"/>
            <w:bottom w:val="none" w:sz="0" w:space="0" w:color="auto"/>
            <w:right w:val="none" w:sz="0" w:space="0" w:color="auto"/>
          </w:divBdr>
        </w:div>
        <w:div w:id="1149202435">
          <w:marLeft w:val="480"/>
          <w:marRight w:val="0"/>
          <w:marTop w:val="0"/>
          <w:marBottom w:val="0"/>
          <w:divBdr>
            <w:top w:val="none" w:sz="0" w:space="0" w:color="auto"/>
            <w:left w:val="none" w:sz="0" w:space="0" w:color="auto"/>
            <w:bottom w:val="none" w:sz="0" w:space="0" w:color="auto"/>
            <w:right w:val="none" w:sz="0" w:space="0" w:color="auto"/>
          </w:divBdr>
        </w:div>
        <w:div w:id="1306622003">
          <w:marLeft w:val="480"/>
          <w:marRight w:val="0"/>
          <w:marTop w:val="0"/>
          <w:marBottom w:val="0"/>
          <w:divBdr>
            <w:top w:val="none" w:sz="0" w:space="0" w:color="auto"/>
            <w:left w:val="none" w:sz="0" w:space="0" w:color="auto"/>
            <w:bottom w:val="none" w:sz="0" w:space="0" w:color="auto"/>
            <w:right w:val="none" w:sz="0" w:space="0" w:color="auto"/>
          </w:divBdr>
        </w:div>
        <w:div w:id="1377241441">
          <w:marLeft w:val="480"/>
          <w:marRight w:val="0"/>
          <w:marTop w:val="0"/>
          <w:marBottom w:val="0"/>
          <w:divBdr>
            <w:top w:val="none" w:sz="0" w:space="0" w:color="auto"/>
            <w:left w:val="none" w:sz="0" w:space="0" w:color="auto"/>
            <w:bottom w:val="none" w:sz="0" w:space="0" w:color="auto"/>
            <w:right w:val="none" w:sz="0" w:space="0" w:color="auto"/>
          </w:divBdr>
        </w:div>
        <w:div w:id="1516966016">
          <w:marLeft w:val="480"/>
          <w:marRight w:val="0"/>
          <w:marTop w:val="0"/>
          <w:marBottom w:val="0"/>
          <w:divBdr>
            <w:top w:val="none" w:sz="0" w:space="0" w:color="auto"/>
            <w:left w:val="none" w:sz="0" w:space="0" w:color="auto"/>
            <w:bottom w:val="none" w:sz="0" w:space="0" w:color="auto"/>
            <w:right w:val="none" w:sz="0" w:space="0" w:color="auto"/>
          </w:divBdr>
        </w:div>
        <w:div w:id="1682971713">
          <w:marLeft w:val="480"/>
          <w:marRight w:val="0"/>
          <w:marTop w:val="0"/>
          <w:marBottom w:val="0"/>
          <w:divBdr>
            <w:top w:val="none" w:sz="0" w:space="0" w:color="auto"/>
            <w:left w:val="none" w:sz="0" w:space="0" w:color="auto"/>
            <w:bottom w:val="none" w:sz="0" w:space="0" w:color="auto"/>
            <w:right w:val="none" w:sz="0" w:space="0" w:color="auto"/>
          </w:divBdr>
        </w:div>
        <w:div w:id="1953391811">
          <w:marLeft w:val="480"/>
          <w:marRight w:val="0"/>
          <w:marTop w:val="0"/>
          <w:marBottom w:val="0"/>
          <w:divBdr>
            <w:top w:val="none" w:sz="0" w:space="0" w:color="auto"/>
            <w:left w:val="none" w:sz="0" w:space="0" w:color="auto"/>
            <w:bottom w:val="none" w:sz="0" w:space="0" w:color="auto"/>
            <w:right w:val="none" w:sz="0" w:space="0" w:color="auto"/>
          </w:divBdr>
        </w:div>
        <w:div w:id="2020038595">
          <w:marLeft w:val="480"/>
          <w:marRight w:val="0"/>
          <w:marTop w:val="0"/>
          <w:marBottom w:val="0"/>
          <w:divBdr>
            <w:top w:val="none" w:sz="0" w:space="0" w:color="auto"/>
            <w:left w:val="none" w:sz="0" w:space="0" w:color="auto"/>
            <w:bottom w:val="none" w:sz="0" w:space="0" w:color="auto"/>
            <w:right w:val="none" w:sz="0" w:space="0" w:color="auto"/>
          </w:divBdr>
        </w:div>
      </w:divsChild>
    </w:div>
    <w:div w:id="2028215014">
      <w:marLeft w:val="480"/>
      <w:marRight w:val="0"/>
      <w:marTop w:val="0"/>
      <w:marBottom w:val="0"/>
      <w:divBdr>
        <w:top w:val="none" w:sz="0" w:space="0" w:color="auto"/>
        <w:left w:val="none" w:sz="0" w:space="0" w:color="auto"/>
        <w:bottom w:val="none" w:sz="0" w:space="0" w:color="auto"/>
        <w:right w:val="none" w:sz="0" w:space="0" w:color="auto"/>
      </w:divBdr>
    </w:div>
    <w:div w:id="2029868211">
      <w:marLeft w:val="480"/>
      <w:marRight w:val="0"/>
      <w:marTop w:val="0"/>
      <w:marBottom w:val="0"/>
      <w:divBdr>
        <w:top w:val="none" w:sz="0" w:space="0" w:color="auto"/>
        <w:left w:val="none" w:sz="0" w:space="0" w:color="auto"/>
        <w:bottom w:val="none" w:sz="0" w:space="0" w:color="auto"/>
        <w:right w:val="none" w:sz="0" w:space="0" w:color="auto"/>
      </w:divBdr>
    </w:div>
    <w:div w:id="2030328933">
      <w:bodyDiv w:val="1"/>
      <w:marLeft w:val="0"/>
      <w:marRight w:val="0"/>
      <w:marTop w:val="0"/>
      <w:marBottom w:val="0"/>
      <w:divBdr>
        <w:top w:val="none" w:sz="0" w:space="0" w:color="auto"/>
        <w:left w:val="none" w:sz="0" w:space="0" w:color="auto"/>
        <w:bottom w:val="none" w:sz="0" w:space="0" w:color="auto"/>
        <w:right w:val="none" w:sz="0" w:space="0" w:color="auto"/>
      </w:divBdr>
      <w:divsChild>
        <w:div w:id="16859619">
          <w:marLeft w:val="480"/>
          <w:marRight w:val="0"/>
          <w:marTop w:val="0"/>
          <w:marBottom w:val="0"/>
          <w:divBdr>
            <w:top w:val="none" w:sz="0" w:space="0" w:color="auto"/>
            <w:left w:val="none" w:sz="0" w:space="0" w:color="auto"/>
            <w:bottom w:val="none" w:sz="0" w:space="0" w:color="auto"/>
            <w:right w:val="none" w:sz="0" w:space="0" w:color="auto"/>
          </w:divBdr>
        </w:div>
        <w:div w:id="27997210">
          <w:marLeft w:val="480"/>
          <w:marRight w:val="0"/>
          <w:marTop w:val="0"/>
          <w:marBottom w:val="0"/>
          <w:divBdr>
            <w:top w:val="none" w:sz="0" w:space="0" w:color="auto"/>
            <w:left w:val="none" w:sz="0" w:space="0" w:color="auto"/>
            <w:bottom w:val="none" w:sz="0" w:space="0" w:color="auto"/>
            <w:right w:val="none" w:sz="0" w:space="0" w:color="auto"/>
          </w:divBdr>
        </w:div>
        <w:div w:id="119954210">
          <w:marLeft w:val="480"/>
          <w:marRight w:val="0"/>
          <w:marTop w:val="0"/>
          <w:marBottom w:val="0"/>
          <w:divBdr>
            <w:top w:val="none" w:sz="0" w:space="0" w:color="auto"/>
            <w:left w:val="none" w:sz="0" w:space="0" w:color="auto"/>
            <w:bottom w:val="none" w:sz="0" w:space="0" w:color="auto"/>
            <w:right w:val="none" w:sz="0" w:space="0" w:color="auto"/>
          </w:divBdr>
        </w:div>
        <w:div w:id="372508954">
          <w:marLeft w:val="480"/>
          <w:marRight w:val="0"/>
          <w:marTop w:val="0"/>
          <w:marBottom w:val="0"/>
          <w:divBdr>
            <w:top w:val="none" w:sz="0" w:space="0" w:color="auto"/>
            <w:left w:val="none" w:sz="0" w:space="0" w:color="auto"/>
            <w:bottom w:val="none" w:sz="0" w:space="0" w:color="auto"/>
            <w:right w:val="none" w:sz="0" w:space="0" w:color="auto"/>
          </w:divBdr>
        </w:div>
        <w:div w:id="548735438">
          <w:marLeft w:val="480"/>
          <w:marRight w:val="0"/>
          <w:marTop w:val="0"/>
          <w:marBottom w:val="0"/>
          <w:divBdr>
            <w:top w:val="none" w:sz="0" w:space="0" w:color="auto"/>
            <w:left w:val="none" w:sz="0" w:space="0" w:color="auto"/>
            <w:bottom w:val="none" w:sz="0" w:space="0" w:color="auto"/>
            <w:right w:val="none" w:sz="0" w:space="0" w:color="auto"/>
          </w:divBdr>
        </w:div>
        <w:div w:id="790444477">
          <w:marLeft w:val="480"/>
          <w:marRight w:val="0"/>
          <w:marTop w:val="0"/>
          <w:marBottom w:val="0"/>
          <w:divBdr>
            <w:top w:val="none" w:sz="0" w:space="0" w:color="auto"/>
            <w:left w:val="none" w:sz="0" w:space="0" w:color="auto"/>
            <w:bottom w:val="none" w:sz="0" w:space="0" w:color="auto"/>
            <w:right w:val="none" w:sz="0" w:space="0" w:color="auto"/>
          </w:divBdr>
        </w:div>
        <w:div w:id="891815735">
          <w:marLeft w:val="480"/>
          <w:marRight w:val="0"/>
          <w:marTop w:val="0"/>
          <w:marBottom w:val="0"/>
          <w:divBdr>
            <w:top w:val="none" w:sz="0" w:space="0" w:color="auto"/>
            <w:left w:val="none" w:sz="0" w:space="0" w:color="auto"/>
            <w:bottom w:val="none" w:sz="0" w:space="0" w:color="auto"/>
            <w:right w:val="none" w:sz="0" w:space="0" w:color="auto"/>
          </w:divBdr>
        </w:div>
        <w:div w:id="1028022585">
          <w:marLeft w:val="480"/>
          <w:marRight w:val="0"/>
          <w:marTop w:val="0"/>
          <w:marBottom w:val="0"/>
          <w:divBdr>
            <w:top w:val="none" w:sz="0" w:space="0" w:color="auto"/>
            <w:left w:val="none" w:sz="0" w:space="0" w:color="auto"/>
            <w:bottom w:val="none" w:sz="0" w:space="0" w:color="auto"/>
            <w:right w:val="none" w:sz="0" w:space="0" w:color="auto"/>
          </w:divBdr>
        </w:div>
        <w:div w:id="1440106047">
          <w:marLeft w:val="480"/>
          <w:marRight w:val="0"/>
          <w:marTop w:val="0"/>
          <w:marBottom w:val="0"/>
          <w:divBdr>
            <w:top w:val="none" w:sz="0" w:space="0" w:color="auto"/>
            <w:left w:val="none" w:sz="0" w:space="0" w:color="auto"/>
            <w:bottom w:val="none" w:sz="0" w:space="0" w:color="auto"/>
            <w:right w:val="none" w:sz="0" w:space="0" w:color="auto"/>
          </w:divBdr>
        </w:div>
        <w:div w:id="1664890822">
          <w:marLeft w:val="480"/>
          <w:marRight w:val="0"/>
          <w:marTop w:val="0"/>
          <w:marBottom w:val="0"/>
          <w:divBdr>
            <w:top w:val="none" w:sz="0" w:space="0" w:color="auto"/>
            <w:left w:val="none" w:sz="0" w:space="0" w:color="auto"/>
            <w:bottom w:val="none" w:sz="0" w:space="0" w:color="auto"/>
            <w:right w:val="none" w:sz="0" w:space="0" w:color="auto"/>
          </w:divBdr>
        </w:div>
        <w:div w:id="2075926977">
          <w:marLeft w:val="480"/>
          <w:marRight w:val="0"/>
          <w:marTop w:val="0"/>
          <w:marBottom w:val="0"/>
          <w:divBdr>
            <w:top w:val="none" w:sz="0" w:space="0" w:color="auto"/>
            <w:left w:val="none" w:sz="0" w:space="0" w:color="auto"/>
            <w:bottom w:val="none" w:sz="0" w:space="0" w:color="auto"/>
            <w:right w:val="none" w:sz="0" w:space="0" w:color="auto"/>
          </w:divBdr>
        </w:div>
      </w:divsChild>
    </w:div>
    <w:div w:id="2030375004">
      <w:marLeft w:val="480"/>
      <w:marRight w:val="0"/>
      <w:marTop w:val="0"/>
      <w:marBottom w:val="0"/>
      <w:divBdr>
        <w:top w:val="none" w:sz="0" w:space="0" w:color="auto"/>
        <w:left w:val="none" w:sz="0" w:space="0" w:color="auto"/>
        <w:bottom w:val="none" w:sz="0" w:space="0" w:color="auto"/>
        <w:right w:val="none" w:sz="0" w:space="0" w:color="auto"/>
      </w:divBdr>
    </w:div>
    <w:div w:id="2031760267">
      <w:marLeft w:val="480"/>
      <w:marRight w:val="0"/>
      <w:marTop w:val="0"/>
      <w:marBottom w:val="0"/>
      <w:divBdr>
        <w:top w:val="none" w:sz="0" w:space="0" w:color="auto"/>
        <w:left w:val="none" w:sz="0" w:space="0" w:color="auto"/>
        <w:bottom w:val="none" w:sz="0" w:space="0" w:color="auto"/>
        <w:right w:val="none" w:sz="0" w:space="0" w:color="auto"/>
      </w:divBdr>
    </w:div>
    <w:div w:id="2034918685">
      <w:bodyDiv w:val="1"/>
      <w:marLeft w:val="0"/>
      <w:marRight w:val="0"/>
      <w:marTop w:val="0"/>
      <w:marBottom w:val="0"/>
      <w:divBdr>
        <w:top w:val="none" w:sz="0" w:space="0" w:color="auto"/>
        <w:left w:val="none" w:sz="0" w:space="0" w:color="auto"/>
        <w:bottom w:val="none" w:sz="0" w:space="0" w:color="auto"/>
        <w:right w:val="none" w:sz="0" w:space="0" w:color="auto"/>
      </w:divBdr>
    </w:div>
    <w:div w:id="2035574515">
      <w:bodyDiv w:val="1"/>
      <w:marLeft w:val="0"/>
      <w:marRight w:val="0"/>
      <w:marTop w:val="0"/>
      <w:marBottom w:val="0"/>
      <w:divBdr>
        <w:top w:val="none" w:sz="0" w:space="0" w:color="auto"/>
        <w:left w:val="none" w:sz="0" w:space="0" w:color="auto"/>
        <w:bottom w:val="none" w:sz="0" w:space="0" w:color="auto"/>
        <w:right w:val="none" w:sz="0" w:space="0" w:color="auto"/>
      </w:divBdr>
      <w:divsChild>
        <w:div w:id="941306486">
          <w:marLeft w:val="0"/>
          <w:marRight w:val="0"/>
          <w:marTop w:val="0"/>
          <w:marBottom w:val="0"/>
          <w:divBdr>
            <w:top w:val="none" w:sz="0" w:space="0" w:color="auto"/>
            <w:left w:val="none" w:sz="0" w:space="0" w:color="auto"/>
            <w:bottom w:val="none" w:sz="0" w:space="0" w:color="auto"/>
            <w:right w:val="none" w:sz="0" w:space="0" w:color="auto"/>
          </w:divBdr>
        </w:div>
        <w:div w:id="975330483">
          <w:marLeft w:val="0"/>
          <w:marRight w:val="0"/>
          <w:marTop w:val="0"/>
          <w:marBottom w:val="0"/>
          <w:divBdr>
            <w:top w:val="none" w:sz="0" w:space="0" w:color="auto"/>
            <w:left w:val="none" w:sz="0" w:space="0" w:color="auto"/>
            <w:bottom w:val="none" w:sz="0" w:space="0" w:color="auto"/>
            <w:right w:val="none" w:sz="0" w:space="0" w:color="auto"/>
          </w:divBdr>
        </w:div>
        <w:div w:id="1099956339">
          <w:marLeft w:val="0"/>
          <w:marRight w:val="0"/>
          <w:marTop w:val="0"/>
          <w:marBottom w:val="0"/>
          <w:divBdr>
            <w:top w:val="none" w:sz="0" w:space="0" w:color="auto"/>
            <w:left w:val="none" w:sz="0" w:space="0" w:color="auto"/>
            <w:bottom w:val="none" w:sz="0" w:space="0" w:color="auto"/>
            <w:right w:val="none" w:sz="0" w:space="0" w:color="auto"/>
          </w:divBdr>
        </w:div>
        <w:div w:id="1275744962">
          <w:marLeft w:val="0"/>
          <w:marRight w:val="0"/>
          <w:marTop w:val="0"/>
          <w:marBottom w:val="0"/>
          <w:divBdr>
            <w:top w:val="none" w:sz="0" w:space="0" w:color="auto"/>
            <w:left w:val="none" w:sz="0" w:space="0" w:color="auto"/>
            <w:bottom w:val="none" w:sz="0" w:space="0" w:color="auto"/>
            <w:right w:val="none" w:sz="0" w:space="0" w:color="auto"/>
          </w:divBdr>
        </w:div>
        <w:div w:id="1496022518">
          <w:marLeft w:val="0"/>
          <w:marRight w:val="0"/>
          <w:marTop w:val="0"/>
          <w:marBottom w:val="0"/>
          <w:divBdr>
            <w:top w:val="none" w:sz="0" w:space="0" w:color="auto"/>
            <w:left w:val="none" w:sz="0" w:space="0" w:color="auto"/>
            <w:bottom w:val="none" w:sz="0" w:space="0" w:color="auto"/>
            <w:right w:val="none" w:sz="0" w:space="0" w:color="auto"/>
          </w:divBdr>
        </w:div>
        <w:div w:id="1873762812">
          <w:marLeft w:val="0"/>
          <w:marRight w:val="0"/>
          <w:marTop w:val="0"/>
          <w:marBottom w:val="0"/>
          <w:divBdr>
            <w:top w:val="none" w:sz="0" w:space="0" w:color="auto"/>
            <w:left w:val="none" w:sz="0" w:space="0" w:color="auto"/>
            <w:bottom w:val="none" w:sz="0" w:space="0" w:color="auto"/>
            <w:right w:val="none" w:sz="0" w:space="0" w:color="auto"/>
          </w:divBdr>
        </w:div>
        <w:div w:id="1991134692">
          <w:marLeft w:val="0"/>
          <w:marRight w:val="0"/>
          <w:marTop w:val="0"/>
          <w:marBottom w:val="0"/>
          <w:divBdr>
            <w:top w:val="none" w:sz="0" w:space="0" w:color="auto"/>
            <w:left w:val="none" w:sz="0" w:space="0" w:color="auto"/>
            <w:bottom w:val="none" w:sz="0" w:space="0" w:color="auto"/>
            <w:right w:val="none" w:sz="0" w:space="0" w:color="auto"/>
          </w:divBdr>
        </w:div>
        <w:div w:id="2052266167">
          <w:marLeft w:val="0"/>
          <w:marRight w:val="0"/>
          <w:marTop w:val="0"/>
          <w:marBottom w:val="0"/>
          <w:divBdr>
            <w:top w:val="none" w:sz="0" w:space="0" w:color="auto"/>
            <w:left w:val="none" w:sz="0" w:space="0" w:color="auto"/>
            <w:bottom w:val="none" w:sz="0" w:space="0" w:color="auto"/>
            <w:right w:val="none" w:sz="0" w:space="0" w:color="auto"/>
          </w:divBdr>
        </w:div>
      </w:divsChild>
    </w:div>
    <w:div w:id="2037195085">
      <w:marLeft w:val="480"/>
      <w:marRight w:val="0"/>
      <w:marTop w:val="0"/>
      <w:marBottom w:val="0"/>
      <w:divBdr>
        <w:top w:val="none" w:sz="0" w:space="0" w:color="auto"/>
        <w:left w:val="none" w:sz="0" w:space="0" w:color="auto"/>
        <w:bottom w:val="none" w:sz="0" w:space="0" w:color="auto"/>
        <w:right w:val="none" w:sz="0" w:space="0" w:color="auto"/>
      </w:divBdr>
    </w:div>
    <w:div w:id="2037536573">
      <w:marLeft w:val="480"/>
      <w:marRight w:val="0"/>
      <w:marTop w:val="0"/>
      <w:marBottom w:val="0"/>
      <w:divBdr>
        <w:top w:val="none" w:sz="0" w:space="0" w:color="auto"/>
        <w:left w:val="none" w:sz="0" w:space="0" w:color="auto"/>
        <w:bottom w:val="none" w:sz="0" w:space="0" w:color="auto"/>
        <w:right w:val="none" w:sz="0" w:space="0" w:color="auto"/>
      </w:divBdr>
    </w:div>
    <w:div w:id="2040936681">
      <w:bodyDiv w:val="1"/>
      <w:marLeft w:val="0"/>
      <w:marRight w:val="0"/>
      <w:marTop w:val="0"/>
      <w:marBottom w:val="0"/>
      <w:divBdr>
        <w:top w:val="none" w:sz="0" w:space="0" w:color="auto"/>
        <w:left w:val="none" w:sz="0" w:space="0" w:color="auto"/>
        <w:bottom w:val="none" w:sz="0" w:space="0" w:color="auto"/>
        <w:right w:val="none" w:sz="0" w:space="0" w:color="auto"/>
      </w:divBdr>
    </w:div>
    <w:div w:id="2044330461">
      <w:bodyDiv w:val="1"/>
      <w:marLeft w:val="0"/>
      <w:marRight w:val="0"/>
      <w:marTop w:val="0"/>
      <w:marBottom w:val="0"/>
      <w:divBdr>
        <w:top w:val="none" w:sz="0" w:space="0" w:color="auto"/>
        <w:left w:val="none" w:sz="0" w:space="0" w:color="auto"/>
        <w:bottom w:val="none" w:sz="0" w:space="0" w:color="auto"/>
        <w:right w:val="none" w:sz="0" w:space="0" w:color="auto"/>
      </w:divBdr>
    </w:div>
    <w:div w:id="2044593698">
      <w:marLeft w:val="480"/>
      <w:marRight w:val="0"/>
      <w:marTop w:val="0"/>
      <w:marBottom w:val="0"/>
      <w:divBdr>
        <w:top w:val="none" w:sz="0" w:space="0" w:color="auto"/>
        <w:left w:val="none" w:sz="0" w:space="0" w:color="auto"/>
        <w:bottom w:val="none" w:sz="0" w:space="0" w:color="auto"/>
        <w:right w:val="none" w:sz="0" w:space="0" w:color="auto"/>
      </w:divBdr>
    </w:div>
    <w:div w:id="2047290088">
      <w:bodyDiv w:val="1"/>
      <w:marLeft w:val="0"/>
      <w:marRight w:val="0"/>
      <w:marTop w:val="0"/>
      <w:marBottom w:val="0"/>
      <w:divBdr>
        <w:top w:val="none" w:sz="0" w:space="0" w:color="auto"/>
        <w:left w:val="none" w:sz="0" w:space="0" w:color="auto"/>
        <w:bottom w:val="none" w:sz="0" w:space="0" w:color="auto"/>
        <w:right w:val="none" w:sz="0" w:space="0" w:color="auto"/>
      </w:divBdr>
      <w:divsChild>
        <w:div w:id="872310051">
          <w:marLeft w:val="480"/>
          <w:marRight w:val="0"/>
          <w:marTop w:val="0"/>
          <w:marBottom w:val="0"/>
          <w:divBdr>
            <w:top w:val="none" w:sz="0" w:space="0" w:color="auto"/>
            <w:left w:val="none" w:sz="0" w:space="0" w:color="auto"/>
            <w:bottom w:val="none" w:sz="0" w:space="0" w:color="auto"/>
            <w:right w:val="none" w:sz="0" w:space="0" w:color="auto"/>
          </w:divBdr>
        </w:div>
        <w:div w:id="993948582">
          <w:marLeft w:val="480"/>
          <w:marRight w:val="0"/>
          <w:marTop w:val="0"/>
          <w:marBottom w:val="0"/>
          <w:divBdr>
            <w:top w:val="none" w:sz="0" w:space="0" w:color="auto"/>
            <w:left w:val="none" w:sz="0" w:space="0" w:color="auto"/>
            <w:bottom w:val="none" w:sz="0" w:space="0" w:color="auto"/>
            <w:right w:val="none" w:sz="0" w:space="0" w:color="auto"/>
          </w:divBdr>
        </w:div>
        <w:div w:id="1789618741">
          <w:marLeft w:val="480"/>
          <w:marRight w:val="0"/>
          <w:marTop w:val="0"/>
          <w:marBottom w:val="0"/>
          <w:divBdr>
            <w:top w:val="none" w:sz="0" w:space="0" w:color="auto"/>
            <w:left w:val="none" w:sz="0" w:space="0" w:color="auto"/>
            <w:bottom w:val="none" w:sz="0" w:space="0" w:color="auto"/>
            <w:right w:val="none" w:sz="0" w:space="0" w:color="auto"/>
          </w:divBdr>
        </w:div>
        <w:div w:id="2065518709">
          <w:marLeft w:val="480"/>
          <w:marRight w:val="0"/>
          <w:marTop w:val="0"/>
          <w:marBottom w:val="0"/>
          <w:divBdr>
            <w:top w:val="none" w:sz="0" w:space="0" w:color="auto"/>
            <w:left w:val="none" w:sz="0" w:space="0" w:color="auto"/>
            <w:bottom w:val="none" w:sz="0" w:space="0" w:color="auto"/>
            <w:right w:val="none" w:sz="0" w:space="0" w:color="auto"/>
          </w:divBdr>
        </w:div>
      </w:divsChild>
    </w:div>
    <w:div w:id="2054038268">
      <w:marLeft w:val="480"/>
      <w:marRight w:val="0"/>
      <w:marTop w:val="0"/>
      <w:marBottom w:val="0"/>
      <w:divBdr>
        <w:top w:val="none" w:sz="0" w:space="0" w:color="auto"/>
        <w:left w:val="none" w:sz="0" w:space="0" w:color="auto"/>
        <w:bottom w:val="none" w:sz="0" w:space="0" w:color="auto"/>
        <w:right w:val="none" w:sz="0" w:space="0" w:color="auto"/>
      </w:divBdr>
    </w:div>
    <w:div w:id="2054959965">
      <w:marLeft w:val="480"/>
      <w:marRight w:val="0"/>
      <w:marTop w:val="0"/>
      <w:marBottom w:val="0"/>
      <w:divBdr>
        <w:top w:val="none" w:sz="0" w:space="0" w:color="auto"/>
        <w:left w:val="none" w:sz="0" w:space="0" w:color="auto"/>
        <w:bottom w:val="none" w:sz="0" w:space="0" w:color="auto"/>
        <w:right w:val="none" w:sz="0" w:space="0" w:color="auto"/>
      </w:divBdr>
    </w:div>
    <w:div w:id="2055040425">
      <w:marLeft w:val="480"/>
      <w:marRight w:val="0"/>
      <w:marTop w:val="0"/>
      <w:marBottom w:val="0"/>
      <w:divBdr>
        <w:top w:val="none" w:sz="0" w:space="0" w:color="auto"/>
        <w:left w:val="none" w:sz="0" w:space="0" w:color="auto"/>
        <w:bottom w:val="none" w:sz="0" w:space="0" w:color="auto"/>
        <w:right w:val="none" w:sz="0" w:space="0" w:color="auto"/>
      </w:divBdr>
    </w:div>
    <w:div w:id="2055498499">
      <w:bodyDiv w:val="1"/>
      <w:marLeft w:val="0"/>
      <w:marRight w:val="0"/>
      <w:marTop w:val="0"/>
      <w:marBottom w:val="0"/>
      <w:divBdr>
        <w:top w:val="none" w:sz="0" w:space="0" w:color="auto"/>
        <w:left w:val="none" w:sz="0" w:space="0" w:color="auto"/>
        <w:bottom w:val="none" w:sz="0" w:space="0" w:color="auto"/>
        <w:right w:val="none" w:sz="0" w:space="0" w:color="auto"/>
      </w:divBdr>
    </w:div>
    <w:div w:id="2055930934">
      <w:marLeft w:val="480"/>
      <w:marRight w:val="0"/>
      <w:marTop w:val="0"/>
      <w:marBottom w:val="0"/>
      <w:divBdr>
        <w:top w:val="none" w:sz="0" w:space="0" w:color="auto"/>
        <w:left w:val="none" w:sz="0" w:space="0" w:color="auto"/>
        <w:bottom w:val="none" w:sz="0" w:space="0" w:color="auto"/>
        <w:right w:val="none" w:sz="0" w:space="0" w:color="auto"/>
      </w:divBdr>
    </w:div>
    <w:div w:id="2061976803">
      <w:marLeft w:val="480"/>
      <w:marRight w:val="0"/>
      <w:marTop w:val="0"/>
      <w:marBottom w:val="0"/>
      <w:divBdr>
        <w:top w:val="none" w:sz="0" w:space="0" w:color="auto"/>
        <w:left w:val="none" w:sz="0" w:space="0" w:color="auto"/>
        <w:bottom w:val="none" w:sz="0" w:space="0" w:color="auto"/>
        <w:right w:val="none" w:sz="0" w:space="0" w:color="auto"/>
      </w:divBdr>
    </w:div>
    <w:div w:id="2062556676">
      <w:bodyDiv w:val="1"/>
      <w:marLeft w:val="0"/>
      <w:marRight w:val="0"/>
      <w:marTop w:val="0"/>
      <w:marBottom w:val="0"/>
      <w:divBdr>
        <w:top w:val="none" w:sz="0" w:space="0" w:color="auto"/>
        <w:left w:val="none" w:sz="0" w:space="0" w:color="auto"/>
        <w:bottom w:val="none" w:sz="0" w:space="0" w:color="auto"/>
        <w:right w:val="none" w:sz="0" w:space="0" w:color="auto"/>
      </w:divBdr>
    </w:div>
    <w:div w:id="2063407739">
      <w:bodyDiv w:val="1"/>
      <w:marLeft w:val="0"/>
      <w:marRight w:val="0"/>
      <w:marTop w:val="0"/>
      <w:marBottom w:val="0"/>
      <w:divBdr>
        <w:top w:val="none" w:sz="0" w:space="0" w:color="auto"/>
        <w:left w:val="none" w:sz="0" w:space="0" w:color="auto"/>
        <w:bottom w:val="none" w:sz="0" w:space="0" w:color="auto"/>
        <w:right w:val="none" w:sz="0" w:space="0" w:color="auto"/>
      </w:divBdr>
    </w:div>
    <w:div w:id="2064137810">
      <w:marLeft w:val="480"/>
      <w:marRight w:val="0"/>
      <w:marTop w:val="0"/>
      <w:marBottom w:val="0"/>
      <w:divBdr>
        <w:top w:val="none" w:sz="0" w:space="0" w:color="auto"/>
        <w:left w:val="none" w:sz="0" w:space="0" w:color="auto"/>
        <w:bottom w:val="none" w:sz="0" w:space="0" w:color="auto"/>
        <w:right w:val="none" w:sz="0" w:space="0" w:color="auto"/>
      </w:divBdr>
    </w:div>
    <w:div w:id="2072344914">
      <w:marLeft w:val="480"/>
      <w:marRight w:val="0"/>
      <w:marTop w:val="0"/>
      <w:marBottom w:val="0"/>
      <w:divBdr>
        <w:top w:val="none" w:sz="0" w:space="0" w:color="auto"/>
        <w:left w:val="none" w:sz="0" w:space="0" w:color="auto"/>
        <w:bottom w:val="none" w:sz="0" w:space="0" w:color="auto"/>
        <w:right w:val="none" w:sz="0" w:space="0" w:color="auto"/>
      </w:divBdr>
    </w:div>
    <w:div w:id="2072851020">
      <w:bodyDiv w:val="1"/>
      <w:marLeft w:val="0"/>
      <w:marRight w:val="0"/>
      <w:marTop w:val="0"/>
      <w:marBottom w:val="0"/>
      <w:divBdr>
        <w:top w:val="none" w:sz="0" w:space="0" w:color="auto"/>
        <w:left w:val="none" w:sz="0" w:space="0" w:color="auto"/>
        <w:bottom w:val="none" w:sz="0" w:space="0" w:color="auto"/>
        <w:right w:val="none" w:sz="0" w:space="0" w:color="auto"/>
      </w:divBdr>
      <w:divsChild>
        <w:div w:id="70467910">
          <w:marLeft w:val="480"/>
          <w:marRight w:val="0"/>
          <w:marTop w:val="0"/>
          <w:marBottom w:val="0"/>
          <w:divBdr>
            <w:top w:val="none" w:sz="0" w:space="0" w:color="auto"/>
            <w:left w:val="none" w:sz="0" w:space="0" w:color="auto"/>
            <w:bottom w:val="none" w:sz="0" w:space="0" w:color="auto"/>
            <w:right w:val="none" w:sz="0" w:space="0" w:color="auto"/>
          </w:divBdr>
        </w:div>
        <w:div w:id="159974009">
          <w:marLeft w:val="480"/>
          <w:marRight w:val="0"/>
          <w:marTop w:val="0"/>
          <w:marBottom w:val="0"/>
          <w:divBdr>
            <w:top w:val="none" w:sz="0" w:space="0" w:color="auto"/>
            <w:left w:val="none" w:sz="0" w:space="0" w:color="auto"/>
            <w:bottom w:val="none" w:sz="0" w:space="0" w:color="auto"/>
            <w:right w:val="none" w:sz="0" w:space="0" w:color="auto"/>
          </w:divBdr>
        </w:div>
        <w:div w:id="685444926">
          <w:marLeft w:val="480"/>
          <w:marRight w:val="0"/>
          <w:marTop w:val="0"/>
          <w:marBottom w:val="0"/>
          <w:divBdr>
            <w:top w:val="none" w:sz="0" w:space="0" w:color="auto"/>
            <w:left w:val="none" w:sz="0" w:space="0" w:color="auto"/>
            <w:bottom w:val="none" w:sz="0" w:space="0" w:color="auto"/>
            <w:right w:val="none" w:sz="0" w:space="0" w:color="auto"/>
          </w:divBdr>
        </w:div>
        <w:div w:id="797185212">
          <w:marLeft w:val="480"/>
          <w:marRight w:val="0"/>
          <w:marTop w:val="0"/>
          <w:marBottom w:val="0"/>
          <w:divBdr>
            <w:top w:val="none" w:sz="0" w:space="0" w:color="auto"/>
            <w:left w:val="none" w:sz="0" w:space="0" w:color="auto"/>
            <w:bottom w:val="none" w:sz="0" w:space="0" w:color="auto"/>
            <w:right w:val="none" w:sz="0" w:space="0" w:color="auto"/>
          </w:divBdr>
        </w:div>
        <w:div w:id="836459457">
          <w:marLeft w:val="480"/>
          <w:marRight w:val="0"/>
          <w:marTop w:val="0"/>
          <w:marBottom w:val="0"/>
          <w:divBdr>
            <w:top w:val="none" w:sz="0" w:space="0" w:color="auto"/>
            <w:left w:val="none" w:sz="0" w:space="0" w:color="auto"/>
            <w:bottom w:val="none" w:sz="0" w:space="0" w:color="auto"/>
            <w:right w:val="none" w:sz="0" w:space="0" w:color="auto"/>
          </w:divBdr>
        </w:div>
        <w:div w:id="1382365591">
          <w:marLeft w:val="480"/>
          <w:marRight w:val="0"/>
          <w:marTop w:val="0"/>
          <w:marBottom w:val="0"/>
          <w:divBdr>
            <w:top w:val="none" w:sz="0" w:space="0" w:color="auto"/>
            <w:left w:val="none" w:sz="0" w:space="0" w:color="auto"/>
            <w:bottom w:val="none" w:sz="0" w:space="0" w:color="auto"/>
            <w:right w:val="none" w:sz="0" w:space="0" w:color="auto"/>
          </w:divBdr>
        </w:div>
        <w:div w:id="1749039187">
          <w:marLeft w:val="480"/>
          <w:marRight w:val="0"/>
          <w:marTop w:val="0"/>
          <w:marBottom w:val="0"/>
          <w:divBdr>
            <w:top w:val="none" w:sz="0" w:space="0" w:color="auto"/>
            <w:left w:val="none" w:sz="0" w:space="0" w:color="auto"/>
            <w:bottom w:val="none" w:sz="0" w:space="0" w:color="auto"/>
            <w:right w:val="none" w:sz="0" w:space="0" w:color="auto"/>
          </w:divBdr>
        </w:div>
        <w:div w:id="1939485803">
          <w:marLeft w:val="480"/>
          <w:marRight w:val="0"/>
          <w:marTop w:val="0"/>
          <w:marBottom w:val="0"/>
          <w:divBdr>
            <w:top w:val="none" w:sz="0" w:space="0" w:color="auto"/>
            <w:left w:val="none" w:sz="0" w:space="0" w:color="auto"/>
            <w:bottom w:val="none" w:sz="0" w:space="0" w:color="auto"/>
            <w:right w:val="none" w:sz="0" w:space="0" w:color="auto"/>
          </w:divBdr>
        </w:div>
      </w:divsChild>
    </w:div>
    <w:div w:id="2073767088">
      <w:bodyDiv w:val="1"/>
      <w:marLeft w:val="0"/>
      <w:marRight w:val="0"/>
      <w:marTop w:val="0"/>
      <w:marBottom w:val="0"/>
      <w:divBdr>
        <w:top w:val="none" w:sz="0" w:space="0" w:color="auto"/>
        <w:left w:val="none" w:sz="0" w:space="0" w:color="auto"/>
        <w:bottom w:val="none" w:sz="0" w:space="0" w:color="auto"/>
        <w:right w:val="none" w:sz="0" w:space="0" w:color="auto"/>
      </w:divBdr>
    </w:div>
    <w:div w:id="2074816049">
      <w:bodyDiv w:val="1"/>
      <w:marLeft w:val="0"/>
      <w:marRight w:val="0"/>
      <w:marTop w:val="0"/>
      <w:marBottom w:val="0"/>
      <w:divBdr>
        <w:top w:val="none" w:sz="0" w:space="0" w:color="auto"/>
        <w:left w:val="none" w:sz="0" w:space="0" w:color="auto"/>
        <w:bottom w:val="none" w:sz="0" w:space="0" w:color="auto"/>
        <w:right w:val="none" w:sz="0" w:space="0" w:color="auto"/>
      </w:divBdr>
    </w:div>
    <w:div w:id="2076927075">
      <w:marLeft w:val="480"/>
      <w:marRight w:val="0"/>
      <w:marTop w:val="0"/>
      <w:marBottom w:val="0"/>
      <w:divBdr>
        <w:top w:val="none" w:sz="0" w:space="0" w:color="auto"/>
        <w:left w:val="none" w:sz="0" w:space="0" w:color="auto"/>
        <w:bottom w:val="none" w:sz="0" w:space="0" w:color="auto"/>
        <w:right w:val="none" w:sz="0" w:space="0" w:color="auto"/>
      </w:divBdr>
    </w:div>
    <w:div w:id="2076973385">
      <w:marLeft w:val="480"/>
      <w:marRight w:val="0"/>
      <w:marTop w:val="0"/>
      <w:marBottom w:val="0"/>
      <w:divBdr>
        <w:top w:val="none" w:sz="0" w:space="0" w:color="auto"/>
        <w:left w:val="none" w:sz="0" w:space="0" w:color="auto"/>
        <w:bottom w:val="none" w:sz="0" w:space="0" w:color="auto"/>
        <w:right w:val="none" w:sz="0" w:space="0" w:color="auto"/>
      </w:divBdr>
    </w:div>
    <w:div w:id="2078553974">
      <w:bodyDiv w:val="1"/>
      <w:marLeft w:val="0"/>
      <w:marRight w:val="0"/>
      <w:marTop w:val="0"/>
      <w:marBottom w:val="0"/>
      <w:divBdr>
        <w:top w:val="none" w:sz="0" w:space="0" w:color="auto"/>
        <w:left w:val="none" w:sz="0" w:space="0" w:color="auto"/>
        <w:bottom w:val="none" w:sz="0" w:space="0" w:color="auto"/>
        <w:right w:val="none" w:sz="0" w:space="0" w:color="auto"/>
      </w:divBdr>
    </w:div>
    <w:div w:id="2079353933">
      <w:marLeft w:val="480"/>
      <w:marRight w:val="0"/>
      <w:marTop w:val="0"/>
      <w:marBottom w:val="0"/>
      <w:divBdr>
        <w:top w:val="none" w:sz="0" w:space="0" w:color="auto"/>
        <w:left w:val="none" w:sz="0" w:space="0" w:color="auto"/>
        <w:bottom w:val="none" w:sz="0" w:space="0" w:color="auto"/>
        <w:right w:val="none" w:sz="0" w:space="0" w:color="auto"/>
      </w:divBdr>
    </w:div>
    <w:div w:id="2080443334">
      <w:marLeft w:val="480"/>
      <w:marRight w:val="0"/>
      <w:marTop w:val="0"/>
      <w:marBottom w:val="0"/>
      <w:divBdr>
        <w:top w:val="none" w:sz="0" w:space="0" w:color="auto"/>
        <w:left w:val="none" w:sz="0" w:space="0" w:color="auto"/>
        <w:bottom w:val="none" w:sz="0" w:space="0" w:color="auto"/>
        <w:right w:val="none" w:sz="0" w:space="0" w:color="auto"/>
      </w:divBdr>
    </w:div>
    <w:div w:id="2082560853">
      <w:marLeft w:val="480"/>
      <w:marRight w:val="0"/>
      <w:marTop w:val="0"/>
      <w:marBottom w:val="0"/>
      <w:divBdr>
        <w:top w:val="none" w:sz="0" w:space="0" w:color="auto"/>
        <w:left w:val="none" w:sz="0" w:space="0" w:color="auto"/>
        <w:bottom w:val="none" w:sz="0" w:space="0" w:color="auto"/>
        <w:right w:val="none" w:sz="0" w:space="0" w:color="auto"/>
      </w:divBdr>
    </w:div>
    <w:div w:id="2087071576">
      <w:marLeft w:val="480"/>
      <w:marRight w:val="0"/>
      <w:marTop w:val="0"/>
      <w:marBottom w:val="0"/>
      <w:divBdr>
        <w:top w:val="none" w:sz="0" w:space="0" w:color="auto"/>
        <w:left w:val="none" w:sz="0" w:space="0" w:color="auto"/>
        <w:bottom w:val="none" w:sz="0" w:space="0" w:color="auto"/>
        <w:right w:val="none" w:sz="0" w:space="0" w:color="auto"/>
      </w:divBdr>
    </w:div>
    <w:div w:id="2088380316">
      <w:marLeft w:val="480"/>
      <w:marRight w:val="0"/>
      <w:marTop w:val="0"/>
      <w:marBottom w:val="0"/>
      <w:divBdr>
        <w:top w:val="none" w:sz="0" w:space="0" w:color="auto"/>
        <w:left w:val="none" w:sz="0" w:space="0" w:color="auto"/>
        <w:bottom w:val="none" w:sz="0" w:space="0" w:color="auto"/>
        <w:right w:val="none" w:sz="0" w:space="0" w:color="auto"/>
      </w:divBdr>
    </w:div>
    <w:div w:id="2090152801">
      <w:marLeft w:val="480"/>
      <w:marRight w:val="0"/>
      <w:marTop w:val="0"/>
      <w:marBottom w:val="0"/>
      <w:divBdr>
        <w:top w:val="none" w:sz="0" w:space="0" w:color="auto"/>
        <w:left w:val="none" w:sz="0" w:space="0" w:color="auto"/>
        <w:bottom w:val="none" w:sz="0" w:space="0" w:color="auto"/>
        <w:right w:val="none" w:sz="0" w:space="0" w:color="auto"/>
      </w:divBdr>
    </w:div>
    <w:div w:id="2091585166">
      <w:marLeft w:val="480"/>
      <w:marRight w:val="0"/>
      <w:marTop w:val="0"/>
      <w:marBottom w:val="0"/>
      <w:divBdr>
        <w:top w:val="none" w:sz="0" w:space="0" w:color="auto"/>
        <w:left w:val="none" w:sz="0" w:space="0" w:color="auto"/>
        <w:bottom w:val="none" w:sz="0" w:space="0" w:color="auto"/>
        <w:right w:val="none" w:sz="0" w:space="0" w:color="auto"/>
      </w:divBdr>
    </w:div>
    <w:div w:id="2092196555">
      <w:marLeft w:val="480"/>
      <w:marRight w:val="0"/>
      <w:marTop w:val="0"/>
      <w:marBottom w:val="0"/>
      <w:divBdr>
        <w:top w:val="none" w:sz="0" w:space="0" w:color="auto"/>
        <w:left w:val="none" w:sz="0" w:space="0" w:color="auto"/>
        <w:bottom w:val="none" w:sz="0" w:space="0" w:color="auto"/>
        <w:right w:val="none" w:sz="0" w:space="0" w:color="auto"/>
      </w:divBdr>
    </w:div>
    <w:div w:id="2093618272">
      <w:bodyDiv w:val="1"/>
      <w:marLeft w:val="0"/>
      <w:marRight w:val="0"/>
      <w:marTop w:val="0"/>
      <w:marBottom w:val="0"/>
      <w:divBdr>
        <w:top w:val="none" w:sz="0" w:space="0" w:color="auto"/>
        <w:left w:val="none" w:sz="0" w:space="0" w:color="auto"/>
        <w:bottom w:val="none" w:sz="0" w:space="0" w:color="auto"/>
        <w:right w:val="none" w:sz="0" w:space="0" w:color="auto"/>
      </w:divBdr>
    </w:div>
    <w:div w:id="2094859672">
      <w:bodyDiv w:val="1"/>
      <w:marLeft w:val="0"/>
      <w:marRight w:val="0"/>
      <w:marTop w:val="0"/>
      <w:marBottom w:val="0"/>
      <w:divBdr>
        <w:top w:val="none" w:sz="0" w:space="0" w:color="auto"/>
        <w:left w:val="none" w:sz="0" w:space="0" w:color="auto"/>
        <w:bottom w:val="none" w:sz="0" w:space="0" w:color="auto"/>
        <w:right w:val="none" w:sz="0" w:space="0" w:color="auto"/>
      </w:divBdr>
    </w:div>
    <w:div w:id="2097044919">
      <w:bodyDiv w:val="1"/>
      <w:marLeft w:val="0"/>
      <w:marRight w:val="0"/>
      <w:marTop w:val="0"/>
      <w:marBottom w:val="0"/>
      <w:divBdr>
        <w:top w:val="none" w:sz="0" w:space="0" w:color="auto"/>
        <w:left w:val="none" w:sz="0" w:space="0" w:color="auto"/>
        <w:bottom w:val="none" w:sz="0" w:space="0" w:color="auto"/>
        <w:right w:val="none" w:sz="0" w:space="0" w:color="auto"/>
      </w:divBdr>
      <w:divsChild>
        <w:div w:id="3712170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97482137">
      <w:marLeft w:val="480"/>
      <w:marRight w:val="0"/>
      <w:marTop w:val="0"/>
      <w:marBottom w:val="0"/>
      <w:divBdr>
        <w:top w:val="none" w:sz="0" w:space="0" w:color="auto"/>
        <w:left w:val="none" w:sz="0" w:space="0" w:color="auto"/>
        <w:bottom w:val="none" w:sz="0" w:space="0" w:color="auto"/>
        <w:right w:val="none" w:sz="0" w:space="0" w:color="auto"/>
      </w:divBdr>
    </w:div>
    <w:div w:id="2104182935">
      <w:marLeft w:val="480"/>
      <w:marRight w:val="0"/>
      <w:marTop w:val="0"/>
      <w:marBottom w:val="0"/>
      <w:divBdr>
        <w:top w:val="none" w:sz="0" w:space="0" w:color="auto"/>
        <w:left w:val="none" w:sz="0" w:space="0" w:color="auto"/>
        <w:bottom w:val="none" w:sz="0" w:space="0" w:color="auto"/>
        <w:right w:val="none" w:sz="0" w:space="0" w:color="auto"/>
      </w:divBdr>
    </w:div>
    <w:div w:id="2104185466">
      <w:marLeft w:val="480"/>
      <w:marRight w:val="0"/>
      <w:marTop w:val="0"/>
      <w:marBottom w:val="0"/>
      <w:divBdr>
        <w:top w:val="none" w:sz="0" w:space="0" w:color="auto"/>
        <w:left w:val="none" w:sz="0" w:space="0" w:color="auto"/>
        <w:bottom w:val="none" w:sz="0" w:space="0" w:color="auto"/>
        <w:right w:val="none" w:sz="0" w:space="0" w:color="auto"/>
      </w:divBdr>
    </w:div>
    <w:div w:id="2104953196">
      <w:marLeft w:val="480"/>
      <w:marRight w:val="0"/>
      <w:marTop w:val="0"/>
      <w:marBottom w:val="0"/>
      <w:divBdr>
        <w:top w:val="none" w:sz="0" w:space="0" w:color="auto"/>
        <w:left w:val="none" w:sz="0" w:space="0" w:color="auto"/>
        <w:bottom w:val="none" w:sz="0" w:space="0" w:color="auto"/>
        <w:right w:val="none" w:sz="0" w:space="0" w:color="auto"/>
      </w:divBdr>
    </w:div>
    <w:div w:id="2105294987">
      <w:marLeft w:val="480"/>
      <w:marRight w:val="0"/>
      <w:marTop w:val="0"/>
      <w:marBottom w:val="0"/>
      <w:divBdr>
        <w:top w:val="none" w:sz="0" w:space="0" w:color="auto"/>
        <w:left w:val="none" w:sz="0" w:space="0" w:color="auto"/>
        <w:bottom w:val="none" w:sz="0" w:space="0" w:color="auto"/>
        <w:right w:val="none" w:sz="0" w:space="0" w:color="auto"/>
      </w:divBdr>
    </w:div>
    <w:div w:id="2108118555">
      <w:marLeft w:val="480"/>
      <w:marRight w:val="0"/>
      <w:marTop w:val="0"/>
      <w:marBottom w:val="0"/>
      <w:divBdr>
        <w:top w:val="none" w:sz="0" w:space="0" w:color="auto"/>
        <w:left w:val="none" w:sz="0" w:space="0" w:color="auto"/>
        <w:bottom w:val="none" w:sz="0" w:space="0" w:color="auto"/>
        <w:right w:val="none" w:sz="0" w:space="0" w:color="auto"/>
      </w:divBdr>
    </w:div>
    <w:div w:id="2111273611">
      <w:marLeft w:val="480"/>
      <w:marRight w:val="0"/>
      <w:marTop w:val="0"/>
      <w:marBottom w:val="0"/>
      <w:divBdr>
        <w:top w:val="none" w:sz="0" w:space="0" w:color="auto"/>
        <w:left w:val="none" w:sz="0" w:space="0" w:color="auto"/>
        <w:bottom w:val="none" w:sz="0" w:space="0" w:color="auto"/>
        <w:right w:val="none" w:sz="0" w:space="0" w:color="auto"/>
      </w:divBdr>
    </w:div>
    <w:div w:id="2111972214">
      <w:bodyDiv w:val="1"/>
      <w:marLeft w:val="0"/>
      <w:marRight w:val="0"/>
      <w:marTop w:val="0"/>
      <w:marBottom w:val="0"/>
      <w:divBdr>
        <w:top w:val="none" w:sz="0" w:space="0" w:color="auto"/>
        <w:left w:val="none" w:sz="0" w:space="0" w:color="auto"/>
        <w:bottom w:val="none" w:sz="0" w:space="0" w:color="auto"/>
        <w:right w:val="none" w:sz="0" w:space="0" w:color="auto"/>
      </w:divBdr>
    </w:div>
    <w:div w:id="2112505794">
      <w:marLeft w:val="480"/>
      <w:marRight w:val="0"/>
      <w:marTop w:val="0"/>
      <w:marBottom w:val="0"/>
      <w:divBdr>
        <w:top w:val="none" w:sz="0" w:space="0" w:color="auto"/>
        <w:left w:val="none" w:sz="0" w:space="0" w:color="auto"/>
        <w:bottom w:val="none" w:sz="0" w:space="0" w:color="auto"/>
        <w:right w:val="none" w:sz="0" w:space="0" w:color="auto"/>
      </w:divBdr>
    </w:div>
    <w:div w:id="2112578223">
      <w:marLeft w:val="480"/>
      <w:marRight w:val="0"/>
      <w:marTop w:val="0"/>
      <w:marBottom w:val="0"/>
      <w:divBdr>
        <w:top w:val="none" w:sz="0" w:space="0" w:color="auto"/>
        <w:left w:val="none" w:sz="0" w:space="0" w:color="auto"/>
        <w:bottom w:val="none" w:sz="0" w:space="0" w:color="auto"/>
        <w:right w:val="none" w:sz="0" w:space="0" w:color="auto"/>
      </w:divBdr>
    </w:div>
    <w:div w:id="2113742157">
      <w:marLeft w:val="480"/>
      <w:marRight w:val="0"/>
      <w:marTop w:val="0"/>
      <w:marBottom w:val="0"/>
      <w:divBdr>
        <w:top w:val="none" w:sz="0" w:space="0" w:color="auto"/>
        <w:left w:val="none" w:sz="0" w:space="0" w:color="auto"/>
        <w:bottom w:val="none" w:sz="0" w:space="0" w:color="auto"/>
        <w:right w:val="none" w:sz="0" w:space="0" w:color="auto"/>
      </w:divBdr>
    </w:div>
    <w:div w:id="2113816136">
      <w:marLeft w:val="480"/>
      <w:marRight w:val="0"/>
      <w:marTop w:val="0"/>
      <w:marBottom w:val="0"/>
      <w:divBdr>
        <w:top w:val="none" w:sz="0" w:space="0" w:color="auto"/>
        <w:left w:val="none" w:sz="0" w:space="0" w:color="auto"/>
        <w:bottom w:val="none" w:sz="0" w:space="0" w:color="auto"/>
        <w:right w:val="none" w:sz="0" w:space="0" w:color="auto"/>
      </w:divBdr>
    </w:div>
    <w:div w:id="2114662525">
      <w:marLeft w:val="480"/>
      <w:marRight w:val="0"/>
      <w:marTop w:val="0"/>
      <w:marBottom w:val="0"/>
      <w:divBdr>
        <w:top w:val="none" w:sz="0" w:space="0" w:color="auto"/>
        <w:left w:val="none" w:sz="0" w:space="0" w:color="auto"/>
        <w:bottom w:val="none" w:sz="0" w:space="0" w:color="auto"/>
        <w:right w:val="none" w:sz="0" w:space="0" w:color="auto"/>
      </w:divBdr>
    </w:div>
    <w:div w:id="2114981787">
      <w:bodyDiv w:val="1"/>
      <w:marLeft w:val="0"/>
      <w:marRight w:val="0"/>
      <w:marTop w:val="0"/>
      <w:marBottom w:val="0"/>
      <w:divBdr>
        <w:top w:val="none" w:sz="0" w:space="0" w:color="auto"/>
        <w:left w:val="none" w:sz="0" w:space="0" w:color="auto"/>
        <w:bottom w:val="none" w:sz="0" w:space="0" w:color="auto"/>
        <w:right w:val="none" w:sz="0" w:space="0" w:color="auto"/>
      </w:divBdr>
    </w:div>
    <w:div w:id="2121996904">
      <w:marLeft w:val="480"/>
      <w:marRight w:val="0"/>
      <w:marTop w:val="0"/>
      <w:marBottom w:val="0"/>
      <w:divBdr>
        <w:top w:val="none" w:sz="0" w:space="0" w:color="auto"/>
        <w:left w:val="none" w:sz="0" w:space="0" w:color="auto"/>
        <w:bottom w:val="none" w:sz="0" w:space="0" w:color="auto"/>
        <w:right w:val="none" w:sz="0" w:space="0" w:color="auto"/>
      </w:divBdr>
    </w:div>
    <w:div w:id="2122845272">
      <w:marLeft w:val="480"/>
      <w:marRight w:val="0"/>
      <w:marTop w:val="0"/>
      <w:marBottom w:val="0"/>
      <w:divBdr>
        <w:top w:val="none" w:sz="0" w:space="0" w:color="auto"/>
        <w:left w:val="none" w:sz="0" w:space="0" w:color="auto"/>
        <w:bottom w:val="none" w:sz="0" w:space="0" w:color="auto"/>
        <w:right w:val="none" w:sz="0" w:space="0" w:color="auto"/>
      </w:divBdr>
    </w:div>
    <w:div w:id="2123069967">
      <w:bodyDiv w:val="1"/>
      <w:marLeft w:val="0"/>
      <w:marRight w:val="0"/>
      <w:marTop w:val="0"/>
      <w:marBottom w:val="0"/>
      <w:divBdr>
        <w:top w:val="none" w:sz="0" w:space="0" w:color="auto"/>
        <w:left w:val="none" w:sz="0" w:space="0" w:color="auto"/>
        <w:bottom w:val="none" w:sz="0" w:space="0" w:color="auto"/>
        <w:right w:val="none" w:sz="0" w:space="0" w:color="auto"/>
      </w:divBdr>
      <w:divsChild>
        <w:div w:id="221792579">
          <w:marLeft w:val="0"/>
          <w:marRight w:val="0"/>
          <w:marTop w:val="0"/>
          <w:marBottom w:val="0"/>
          <w:divBdr>
            <w:top w:val="none" w:sz="0" w:space="0" w:color="auto"/>
            <w:left w:val="none" w:sz="0" w:space="0" w:color="auto"/>
            <w:bottom w:val="none" w:sz="0" w:space="0" w:color="auto"/>
            <w:right w:val="none" w:sz="0" w:space="0" w:color="auto"/>
          </w:divBdr>
          <w:divsChild>
            <w:div w:id="1943410616">
              <w:marLeft w:val="-75"/>
              <w:marRight w:val="0"/>
              <w:marTop w:val="30"/>
              <w:marBottom w:val="30"/>
              <w:divBdr>
                <w:top w:val="none" w:sz="0" w:space="0" w:color="auto"/>
                <w:left w:val="none" w:sz="0" w:space="0" w:color="auto"/>
                <w:bottom w:val="none" w:sz="0" w:space="0" w:color="auto"/>
                <w:right w:val="none" w:sz="0" w:space="0" w:color="auto"/>
              </w:divBdr>
              <w:divsChild>
                <w:div w:id="49889013">
                  <w:marLeft w:val="0"/>
                  <w:marRight w:val="0"/>
                  <w:marTop w:val="0"/>
                  <w:marBottom w:val="0"/>
                  <w:divBdr>
                    <w:top w:val="none" w:sz="0" w:space="0" w:color="auto"/>
                    <w:left w:val="none" w:sz="0" w:space="0" w:color="auto"/>
                    <w:bottom w:val="none" w:sz="0" w:space="0" w:color="auto"/>
                    <w:right w:val="none" w:sz="0" w:space="0" w:color="auto"/>
                  </w:divBdr>
                </w:div>
                <w:div w:id="158615949">
                  <w:marLeft w:val="0"/>
                  <w:marRight w:val="0"/>
                  <w:marTop w:val="0"/>
                  <w:marBottom w:val="0"/>
                  <w:divBdr>
                    <w:top w:val="none" w:sz="0" w:space="0" w:color="auto"/>
                    <w:left w:val="none" w:sz="0" w:space="0" w:color="auto"/>
                    <w:bottom w:val="none" w:sz="0" w:space="0" w:color="auto"/>
                    <w:right w:val="none" w:sz="0" w:space="0" w:color="auto"/>
                  </w:divBdr>
                  <w:divsChild>
                    <w:div w:id="1819372752">
                      <w:marLeft w:val="0"/>
                      <w:marRight w:val="0"/>
                      <w:marTop w:val="0"/>
                      <w:marBottom w:val="0"/>
                      <w:divBdr>
                        <w:top w:val="none" w:sz="0" w:space="0" w:color="auto"/>
                        <w:left w:val="none" w:sz="0" w:space="0" w:color="auto"/>
                        <w:bottom w:val="none" w:sz="0" w:space="0" w:color="auto"/>
                        <w:right w:val="none" w:sz="0" w:space="0" w:color="auto"/>
                      </w:divBdr>
                    </w:div>
                  </w:divsChild>
                </w:div>
                <w:div w:id="174341843">
                  <w:marLeft w:val="0"/>
                  <w:marRight w:val="0"/>
                  <w:marTop w:val="0"/>
                  <w:marBottom w:val="0"/>
                  <w:divBdr>
                    <w:top w:val="none" w:sz="0" w:space="0" w:color="auto"/>
                    <w:left w:val="none" w:sz="0" w:space="0" w:color="auto"/>
                    <w:bottom w:val="none" w:sz="0" w:space="0" w:color="auto"/>
                    <w:right w:val="none" w:sz="0" w:space="0" w:color="auto"/>
                  </w:divBdr>
                  <w:divsChild>
                    <w:div w:id="868035037">
                      <w:marLeft w:val="0"/>
                      <w:marRight w:val="0"/>
                      <w:marTop w:val="0"/>
                      <w:marBottom w:val="0"/>
                      <w:divBdr>
                        <w:top w:val="none" w:sz="0" w:space="0" w:color="auto"/>
                        <w:left w:val="none" w:sz="0" w:space="0" w:color="auto"/>
                        <w:bottom w:val="none" w:sz="0" w:space="0" w:color="auto"/>
                        <w:right w:val="none" w:sz="0" w:space="0" w:color="auto"/>
                      </w:divBdr>
                    </w:div>
                  </w:divsChild>
                </w:div>
                <w:div w:id="247466984">
                  <w:marLeft w:val="0"/>
                  <w:marRight w:val="0"/>
                  <w:marTop w:val="0"/>
                  <w:marBottom w:val="0"/>
                  <w:divBdr>
                    <w:top w:val="none" w:sz="0" w:space="0" w:color="auto"/>
                    <w:left w:val="none" w:sz="0" w:space="0" w:color="auto"/>
                    <w:bottom w:val="none" w:sz="0" w:space="0" w:color="auto"/>
                    <w:right w:val="none" w:sz="0" w:space="0" w:color="auto"/>
                  </w:divBdr>
                  <w:divsChild>
                    <w:div w:id="1329939024">
                      <w:marLeft w:val="0"/>
                      <w:marRight w:val="0"/>
                      <w:marTop w:val="0"/>
                      <w:marBottom w:val="0"/>
                      <w:divBdr>
                        <w:top w:val="none" w:sz="0" w:space="0" w:color="auto"/>
                        <w:left w:val="none" w:sz="0" w:space="0" w:color="auto"/>
                        <w:bottom w:val="none" w:sz="0" w:space="0" w:color="auto"/>
                        <w:right w:val="none" w:sz="0" w:space="0" w:color="auto"/>
                      </w:divBdr>
                    </w:div>
                  </w:divsChild>
                </w:div>
                <w:div w:id="275412025">
                  <w:marLeft w:val="0"/>
                  <w:marRight w:val="0"/>
                  <w:marTop w:val="0"/>
                  <w:marBottom w:val="0"/>
                  <w:divBdr>
                    <w:top w:val="none" w:sz="0" w:space="0" w:color="auto"/>
                    <w:left w:val="none" w:sz="0" w:space="0" w:color="auto"/>
                    <w:bottom w:val="none" w:sz="0" w:space="0" w:color="auto"/>
                    <w:right w:val="none" w:sz="0" w:space="0" w:color="auto"/>
                  </w:divBdr>
                  <w:divsChild>
                    <w:div w:id="2009289190">
                      <w:marLeft w:val="0"/>
                      <w:marRight w:val="0"/>
                      <w:marTop w:val="0"/>
                      <w:marBottom w:val="0"/>
                      <w:divBdr>
                        <w:top w:val="none" w:sz="0" w:space="0" w:color="auto"/>
                        <w:left w:val="none" w:sz="0" w:space="0" w:color="auto"/>
                        <w:bottom w:val="none" w:sz="0" w:space="0" w:color="auto"/>
                        <w:right w:val="none" w:sz="0" w:space="0" w:color="auto"/>
                      </w:divBdr>
                    </w:div>
                    <w:div w:id="2057313155">
                      <w:marLeft w:val="0"/>
                      <w:marRight w:val="0"/>
                      <w:marTop w:val="0"/>
                      <w:marBottom w:val="0"/>
                      <w:divBdr>
                        <w:top w:val="none" w:sz="0" w:space="0" w:color="auto"/>
                        <w:left w:val="none" w:sz="0" w:space="0" w:color="auto"/>
                        <w:bottom w:val="none" w:sz="0" w:space="0" w:color="auto"/>
                        <w:right w:val="none" w:sz="0" w:space="0" w:color="auto"/>
                      </w:divBdr>
                    </w:div>
                  </w:divsChild>
                </w:div>
                <w:div w:id="508373587">
                  <w:marLeft w:val="0"/>
                  <w:marRight w:val="0"/>
                  <w:marTop w:val="0"/>
                  <w:marBottom w:val="0"/>
                  <w:divBdr>
                    <w:top w:val="none" w:sz="0" w:space="0" w:color="auto"/>
                    <w:left w:val="none" w:sz="0" w:space="0" w:color="auto"/>
                    <w:bottom w:val="none" w:sz="0" w:space="0" w:color="auto"/>
                    <w:right w:val="none" w:sz="0" w:space="0" w:color="auto"/>
                  </w:divBdr>
                  <w:divsChild>
                    <w:div w:id="1183015807">
                      <w:marLeft w:val="0"/>
                      <w:marRight w:val="0"/>
                      <w:marTop w:val="0"/>
                      <w:marBottom w:val="0"/>
                      <w:divBdr>
                        <w:top w:val="none" w:sz="0" w:space="0" w:color="auto"/>
                        <w:left w:val="none" w:sz="0" w:space="0" w:color="auto"/>
                        <w:bottom w:val="none" w:sz="0" w:space="0" w:color="auto"/>
                        <w:right w:val="none" w:sz="0" w:space="0" w:color="auto"/>
                      </w:divBdr>
                    </w:div>
                  </w:divsChild>
                </w:div>
                <w:div w:id="529418105">
                  <w:marLeft w:val="0"/>
                  <w:marRight w:val="0"/>
                  <w:marTop w:val="0"/>
                  <w:marBottom w:val="0"/>
                  <w:divBdr>
                    <w:top w:val="none" w:sz="0" w:space="0" w:color="auto"/>
                    <w:left w:val="none" w:sz="0" w:space="0" w:color="auto"/>
                    <w:bottom w:val="none" w:sz="0" w:space="0" w:color="auto"/>
                    <w:right w:val="none" w:sz="0" w:space="0" w:color="auto"/>
                  </w:divBdr>
                  <w:divsChild>
                    <w:div w:id="1418672166">
                      <w:marLeft w:val="0"/>
                      <w:marRight w:val="0"/>
                      <w:marTop w:val="0"/>
                      <w:marBottom w:val="0"/>
                      <w:divBdr>
                        <w:top w:val="none" w:sz="0" w:space="0" w:color="auto"/>
                        <w:left w:val="none" w:sz="0" w:space="0" w:color="auto"/>
                        <w:bottom w:val="none" w:sz="0" w:space="0" w:color="auto"/>
                        <w:right w:val="none" w:sz="0" w:space="0" w:color="auto"/>
                      </w:divBdr>
                    </w:div>
                  </w:divsChild>
                </w:div>
                <w:div w:id="584193874">
                  <w:marLeft w:val="0"/>
                  <w:marRight w:val="0"/>
                  <w:marTop w:val="0"/>
                  <w:marBottom w:val="0"/>
                  <w:divBdr>
                    <w:top w:val="none" w:sz="0" w:space="0" w:color="auto"/>
                    <w:left w:val="none" w:sz="0" w:space="0" w:color="auto"/>
                    <w:bottom w:val="none" w:sz="0" w:space="0" w:color="auto"/>
                    <w:right w:val="none" w:sz="0" w:space="0" w:color="auto"/>
                  </w:divBdr>
                  <w:divsChild>
                    <w:div w:id="1042052459">
                      <w:marLeft w:val="0"/>
                      <w:marRight w:val="0"/>
                      <w:marTop w:val="0"/>
                      <w:marBottom w:val="0"/>
                      <w:divBdr>
                        <w:top w:val="none" w:sz="0" w:space="0" w:color="auto"/>
                        <w:left w:val="none" w:sz="0" w:space="0" w:color="auto"/>
                        <w:bottom w:val="none" w:sz="0" w:space="0" w:color="auto"/>
                        <w:right w:val="none" w:sz="0" w:space="0" w:color="auto"/>
                      </w:divBdr>
                    </w:div>
                  </w:divsChild>
                </w:div>
                <w:div w:id="595989986">
                  <w:marLeft w:val="0"/>
                  <w:marRight w:val="0"/>
                  <w:marTop w:val="0"/>
                  <w:marBottom w:val="0"/>
                  <w:divBdr>
                    <w:top w:val="none" w:sz="0" w:space="0" w:color="auto"/>
                    <w:left w:val="none" w:sz="0" w:space="0" w:color="auto"/>
                    <w:bottom w:val="none" w:sz="0" w:space="0" w:color="auto"/>
                    <w:right w:val="none" w:sz="0" w:space="0" w:color="auto"/>
                  </w:divBdr>
                  <w:divsChild>
                    <w:div w:id="1736463433">
                      <w:marLeft w:val="0"/>
                      <w:marRight w:val="0"/>
                      <w:marTop w:val="0"/>
                      <w:marBottom w:val="0"/>
                      <w:divBdr>
                        <w:top w:val="none" w:sz="0" w:space="0" w:color="auto"/>
                        <w:left w:val="none" w:sz="0" w:space="0" w:color="auto"/>
                        <w:bottom w:val="none" w:sz="0" w:space="0" w:color="auto"/>
                        <w:right w:val="none" w:sz="0" w:space="0" w:color="auto"/>
                      </w:divBdr>
                    </w:div>
                  </w:divsChild>
                </w:div>
                <w:div w:id="786120851">
                  <w:marLeft w:val="0"/>
                  <w:marRight w:val="0"/>
                  <w:marTop w:val="0"/>
                  <w:marBottom w:val="0"/>
                  <w:divBdr>
                    <w:top w:val="none" w:sz="0" w:space="0" w:color="auto"/>
                    <w:left w:val="none" w:sz="0" w:space="0" w:color="auto"/>
                    <w:bottom w:val="none" w:sz="0" w:space="0" w:color="auto"/>
                    <w:right w:val="none" w:sz="0" w:space="0" w:color="auto"/>
                  </w:divBdr>
                  <w:divsChild>
                    <w:div w:id="876158102">
                      <w:marLeft w:val="0"/>
                      <w:marRight w:val="0"/>
                      <w:marTop w:val="0"/>
                      <w:marBottom w:val="0"/>
                      <w:divBdr>
                        <w:top w:val="none" w:sz="0" w:space="0" w:color="auto"/>
                        <w:left w:val="none" w:sz="0" w:space="0" w:color="auto"/>
                        <w:bottom w:val="none" w:sz="0" w:space="0" w:color="auto"/>
                        <w:right w:val="none" w:sz="0" w:space="0" w:color="auto"/>
                      </w:divBdr>
                    </w:div>
                  </w:divsChild>
                </w:div>
                <w:div w:id="846872501">
                  <w:marLeft w:val="0"/>
                  <w:marRight w:val="0"/>
                  <w:marTop w:val="0"/>
                  <w:marBottom w:val="0"/>
                  <w:divBdr>
                    <w:top w:val="none" w:sz="0" w:space="0" w:color="auto"/>
                    <w:left w:val="none" w:sz="0" w:space="0" w:color="auto"/>
                    <w:bottom w:val="none" w:sz="0" w:space="0" w:color="auto"/>
                    <w:right w:val="none" w:sz="0" w:space="0" w:color="auto"/>
                  </w:divBdr>
                  <w:divsChild>
                    <w:div w:id="564610354">
                      <w:marLeft w:val="0"/>
                      <w:marRight w:val="0"/>
                      <w:marTop w:val="0"/>
                      <w:marBottom w:val="0"/>
                      <w:divBdr>
                        <w:top w:val="none" w:sz="0" w:space="0" w:color="auto"/>
                        <w:left w:val="none" w:sz="0" w:space="0" w:color="auto"/>
                        <w:bottom w:val="none" w:sz="0" w:space="0" w:color="auto"/>
                        <w:right w:val="none" w:sz="0" w:space="0" w:color="auto"/>
                      </w:divBdr>
                    </w:div>
                    <w:div w:id="696080935">
                      <w:marLeft w:val="0"/>
                      <w:marRight w:val="0"/>
                      <w:marTop w:val="0"/>
                      <w:marBottom w:val="0"/>
                      <w:divBdr>
                        <w:top w:val="none" w:sz="0" w:space="0" w:color="auto"/>
                        <w:left w:val="none" w:sz="0" w:space="0" w:color="auto"/>
                        <w:bottom w:val="none" w:sz="0" w:space="0" w:color="auto"/>
                        <w:right w:val="none" w:sz="0" w:space="0" w:color="auto"/>
                      </w:divBdr>
                    </w:div>
                  </w:divsChild>
                </w:div>
                <w:div w:id="870336141">
                  <w:marLeft w:val="0"/>
                  <w:marRight w:val="0"/>
                  <w:marTop w:val="0"/>
                  <w:marBottom w:val="0"/>
                  <w:divBdr>
                    <w:top w:val="none" w:sz="0" w:space="0" w:color="auto"/>
                    <w:left w:val="none" w:sz="0" w:space="0" w:color="auto"/>
                    <w:bottom w:val="none" w:sz="0" w:space="0" w:color="auto"/>
                    <w:right w:val="none" w:sz="0" w:space="0" w:color="auto"/>
                  </w:divBdr>
                  <w:divsChild>
                    <w:div w:id="2131317644">
                      <w:marLeft w:val="0"/>
                      <w:marRight w:val="0"/>
                      <w:marTop w:val="0"/>
                      <w:marBottom w:val="0"/>
                      <w:divBdr>
                        <w:top w:val="none" w:sz="0" w:space="0" w:color="auto"/>
                        <w:left w:val="none" w:sz="0" w:space="0" w:color="auto"/>
                        <w:bottom w:val="none" w:sz="0" w:space="0" w:color="auto"/>
                        <w:right w:val="none" w:sz="0" w:space="0" w:color="auto"/>
                      </w:divBdr>
                    </w:div>
                  </w:divsChild>
                </w:div>
                <w:div w:id="1279028570">
                  <w:marLeft w:val="0"/>
                  <w:marRight w:val="0"/>
                  <w:marTop w:val="0"/>
                  <w:marBottom w:val="0"/>
                  <w:divBdr>
                    <w:top w:val="none" w:sz="0" w:space="0" w:color="auto"/>
                    <w:left w:val="none" w:sz="0" w:space="0" w:color="auto"/>
                    <w:bottom w:val="none" w:sz="0" w:space="0" w:color="auto"/>
                    <w:right w:val="none" w:sz="0" w:space="0" w:color="auto"/>
                  </w:divBdr>
                  <w:divsChild>
                    <w:div w:id="2092196246">
                      <w:marLeft w:val="0"/>
                      <w:marRight w:val="0"/>
                      <w:marTop w:val="0"/>
                      <w:marBottom w:val="0"/>
                      <w:divBdr>
                        <w:top w:val="none" w:sz="0" w:space="0" w:color="auto"/>
                        <w:left w:val="none" w:sz="0" w:space="0" w:color="auto"/>
                        <w:bottom w:val="none" w:sz="0" w:space="0" w:color="auto"/>
                        <w:right w:val="none" w:sz="0" w:space="0" w:color="auto"/>
                      </w:divBdr>
                    </w:div>
                  </w:divsChild>
                </w:div>
                <w:div w:id="1295719876">
                  <w:marLeft w:val="0"/>
                  <w:marRight w:val="0"/>
                  <w:marTop w:val="0"/>
                  <w:marBottom w:val="0"/>
                  <w:divBdr>
                    <w:top w:val="none" w:sz="0" w:space="0" w:color="auto"/>
                    <w:left w:val="none" w:sz="0" w:space="0" w:color="auto"/>
                    <w:bottom w:val="none" w:sz="0" w:space="0" w:color="auto"/>
                    <w:right w:val="none" w:sz="0" w:space="0" w:color="auto"/>
                  </w:divBdr>
                  <w:divsChild>
                    <w:div w:id="576019571">
                      <w:marLeft w:val="0"/>
                      <w:marRight w:val="0"/>
                      <w:marTop w:val="0"/>
                      <w:marBottom w:val="0"/>
                      <w:divBdr>
                        <w:top w:val="none" w:sz="0" w:space="0" w:color="auto"/>
                        <w:left w:val="none" w:sz="0" w:space="0" w:color="auto"/>
                        <w:bottom w:val="none" w:sz="0" w:space="0" w:color="auto"/>
                        <w:right w:val="none" w:sz="0" w:space="0" w:color="auto"/>
                      </w:divBdr>
                    </w:div>
                  </w:divsChild>
                </w:div>
                <w:div w:id="1481342974">
                  <w:marLeft w:val="0"/>
                  <w:marRight w:val="0"/>
                  <w:marTop w:val="0"/>
                  <w:marBottom w:val="0"/>
                  <w:divBdr>
                    <w:top w:val="none" w:sz="0" w:space="0" w:color="auto"/>
                    <w:left w:val="none" w:sz="0" w:space="0" w:color="auto"/>
                    <w:bottom w:val="none" w:sz="0" w:space="0" w:color="auto"/>
                    <w:right w:val="none" w:sz="0" w:space="0" w:color="auto"/>
                  </w:divBdr>
                  <w:divsChild>
                    <w:div w:id="1628193822">
                      <w:marLeft w:val="0"/>
                      <w:marRight w:val="0"/>
                      <w:marTop w:val="0"/>
                      <w:marBottom w:val="0"/>
                      <w:divBdr>
                        <w:top w:val="none" w:sz="0" w:space="0" w:color="auto"/>
                        <w:left w:val="none" w:sz="0" w:space="0" w:color="auto"/>
                        <w:bottom w:val="none" w:sz="0" w:space="0" w:color="auto"/>
                        <w:right w:val="none" w:sz="0" w:space="0" w:color="auto"/>
                      </w:divBdr>
                    </w:div>
                  </w:divsChild>
                </w:div>
                <w:div w:id="1490096823">
                  <w:marLeft w:val="0"/>
                  <w:marRight w:val="0"/>
                  <w:marTop w:val="0"/>
                  <w:marBottom w:val="0"/>
                  <w:divBdr>
                    <w:top w:val="none" w:sz="0" w:space="0" w:color="auto"/>
                    <w:left w:val="none" w:sz="0" w:space="0" w:color="auto"/>
                    <w:bottom w:val="none" w:sz="0" w:space="0" w:color="auto"/>
                    <w:right w:val="none" w:sz="0" w:space="0" w:color="auto"/>
                  </w:divBdr>
                  <w:divsChild>
                    <w:div w:id="1181316620">
                      <w:marLeft w:val="0"/>
                      <w:marRight w:val="0"/>
                      <w:marTop w:val="0"/>
                      <w:marBottom w:val="0"/>
                      <w:divBdr>
                        <w:top w:val="none" w:sz="0" w:space="0" w:color="auto"/>
                        <w:left w:val="none" w:sz="0" w:space="0" w:color="auto"/>
                        <w:bottom w:val="none" w:sz="0" w:space="0" w:color="auto"/>
                        <w:right w:val="none" w:sz="0" w:space="0" w:color="auto"/>
                      </w:divBdr>
                    </w:div>
                  </w:divsChild>
                </w:div>
                <w:div w:id="1513228421">
                  <w:marLeft w:val="0"/>
                  <w:marRight w:val="0"/>
                  <w:marTop w:val="0"/>
                  <w:marBottom w:val="0"/>
                  <w:divBdr>
                    <w:top w:val="none" w:sz="0" w:space="0" w:color="auto"/>
                    <w:left w:val="none" w:sz="0" w:space="0" w:color="auto"/>
                    <w:bottom w:val="none" w:sz="0" w:space="0" w:color="auto"/>
                    <w:right w:val="none" w:sz="0" w:space="0" w:color="auto"/>
                  </w:divBdr>
                  <w:divsChild>
                    <w:div w:id="1917284202">
                      <w:marLeft w:val="0"/>
                      <w:marRight w:val="0"/>
                      <w:marTop w:val="0"/>
                      <w:marBottom w:val="0"/>
                      <w:divBdr>
                        <w:top w:val="none" w:sz="0" w:space="0" w:color="auto"/>
                        <w:left w:val="none" w:sz="0" w:space="0" w:color="auto"/>
                        <w:bottom w:val="none" w:sz="0" w:space="0" w:color="auto"/>
                        <w:right w:val="none" w:sz="0" w:space="0" w:color="auto"/>
                      </w:divBdr>
                    </w:div>
                  </w:divsChild>
                </w:div>
                <w:div w:id="1858155889">
                  <w:marLeft w:val="0"/>
                  <w:marRight w:val="0"/>
                  <w:marTop w:val="0"/>
                  <w:marBottom w:val="0"/>
                  <w:divBdr>
                    <w:top w:val="none" w:sz="0" w:space="0" w:color="auto"/>
                    <w:left w:val="none" w:sz="0" w:space="0" w:color="auto"/>
                    <w:bottom w:val="none" w:sz="0" w:space="0" w:color="auto"/>
                    <w:right w:val="none" w:sz="0" w:space="0" w:color="auto"/>
                  </w:divBdr>
                  <w:divsChild>
                    <w:div w:id="1136414057">
                      <w:marLeft w:val="0"/>
                      <w:marRight w:val="0"/>
                      <w:marTop w:val="0"/>
                      <w:marBottom w:val="0"/>
                      <w:divBdr>
                        <w:top w:val="none" w:sz="0" w:space="0" w:color="auto"/>
                        <w:left w:val="none" w:sz="0" w:space="0" w:color="auto"/>
                        <w:bottom w:val="none" w:sz="0" w:space="0" w:color="auto"/>
                        <w:right w:val="none" w:sz="0" w:space="0" w:color="auto"/>
                      </w:divBdr>
                    </w:div>
                    <w:div w:id="1502046832">
                      <w:marLeft w:val="0"/>
                      <w:marRight w:val="0"/>
                      <w:marTop w:val="0"/>
                      <w:marBottom w:val="0"/>
                      <w:divBdr>
                        <w:top w:val="none" w:sz="0" w:space="0" w:color="auto"/>
                        <w:left w:val="none" w:sz="0" w:space="0" w:color="auto"/>
                        <w:bottom w:val="none" w:sz="0" w:space="0" w:color="auto"/>
                        <w:right w:val="none" w:sz="0" w:space="0" w:color="auto"/>
                      </w:divBdr>
                    </w:div>
                  </w:divsChild>
                </w:div>
                <w:div w:id="1969894265">
                  <w:marLeft w:val="0"/>
                  <w:marRight w:val="0"/>
                  <w:marTop w:val="0"/>
                  <w:marBottom w:val="0"/>
                  <w:divBdr>
                    <w:top w:val="none" w:sz="0" w:space="0" w:color="auto"/>
                    <w:left w:val="none" w:sz="0" w:space="0" w:color="auto"/>
                    <w:bottom w:val="none" w:sz="0" w:space="0" w:color="auto"/>
                    <w:right w:val="none" w:sz="0" w:space="0" w:color="auto"/>
                  </w:divBdr>
                  <w:divsChild>
                    <w:div w:id="8519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26007">
          <w:marLeft w:val="0"/>
          <w:marRight w:val="0"/>
          <w:marTop w:val="0"/>
          <w:marBottom w:val="0"/>
          <w:divBdr>
            <w:top w:val="none" w:sz="0" w:space="0" w:color="auto"/>
            <w:left w:val="none" w:sz="0" w:space="0" w:color="auto"/>
            <w:bottom w:val="none" w:sz="0" w:space="0" w:color="auto"/>
            <w:right w:val="none" w:sz="0" w:space="0" w:color="auto"/>
          </w:divBdr>
          <w:divsChild>
            <w:div w:id="1625576131">
              <w:marLeft w:val="-75"/>
              <w:marRight w:val="0"/>
              <w:marTop w:val="30"/>
              <w:marBottom w:val="30"/>
              <w:divBdr>
                <w:top w:val="none" w:sz="0" w:space="0" w:color="auto"/>
                <w:left w:val="none" w:sz="0" w:space="0" w:color="auto"/>
                <w:bottom w:val="none" w:sz="0" w:space="0" w:color="auto"/>
                <w:right w:val="none" w:sz="0" w:space="0" w:color="auto"/>
              </w:divBdr>
              <w:divsChild>
                <w:div w:id="44379681">
                  <w:marLeft w:val="0"/>
                  <w:marRight w:val="0"/>
                  <w:marTop w:val="0"/>
                  <w:marBottom w:val="0"/>
                  <w:divBdr>
                    <w:top w:val="none" w:sz="0" w:space="0" w:color="auto"/>
                    <w:left w:val="none" w:sz="0" w:space="0" w:color="auto"/>
                    <w:bottom w:val="none" w:sz="0" w:space="0" w:color="auto"/>
                    <w:right w:val="none" w:sz="0" w:space="0" w:color="auto"/>
                  </w:divBdr>
                  <w:divsChild>
                    <w:div w:id="808742416">
                      <w:marLeft w:val="0"/>
                      <w:marRight w:val="0"/>
                      <w:marTop w:val="0"/>
                      <w:marBottom w:val="0"/>
                      <w:divBdr>
                        <w:top w:val="none" w:sz="0" w:space="0" w:color="auto"/>
                        <w:left w:val="none" w:sz="0" w:space="0" w:color="auto"/>
                        <w:bottom w:val="none" w:sz="0" w:space="0" w:color="auto"/>
                        <w:right w:val="none" w:sz="0" w:space="0" w:color="auto"/>
                      </w:divBdr>
                    </w:div>
                    <w:div w:id="1380132750">
                      <w:marLeft w:val="0"/>
                      <w:marRight w:val="0"/>
                      <w:marTop w:val="0"/>
                      <w:marBottom w:val="0"/>
                      <w:divBdr>
                        <w:top w:val="none" w:sz="0" w:space="0" w:color="auto"/>
                        <w:left w:val="none" w:sz="0" w:space="0" w:color="auto"/>
                        <w:bottom w:val="none" w:sz="0" w:space="0" w:color="auto"/>
                        <w:right w:val="none" w:sz="0" w:space="0" w:color="auto"/>
                      </w:divBdr>
                    </w:div>
                    <w:div w:id="1978297870">
                      <w:marLeft w:val="0"/>
                      <w:marRight w:val="0"/>
                      <w:marTop w:val="0"/>
                      <w:marBottom w:val="0"/>
                      <w:divBdr>
                        <w:top w:val="none" w:sz="0" w:space="0" w:color="auto"/>
                        <w:left w:val="none" w:sz="0" w:space="0" w:color="auto"/>
                        <w:bottom w:val="none" w:sz="0" w:space="0" w:color="auto"/>
                        <w:right w:val="none" w:sz="0" w:space="0" w:color="auto"/>
                      </w:divBdr>
                    </w:div>
                  </w:divsChild>
                </w:div>
                <w:div w:id="1866822248">
                  <w:marLeft w:val="0"/>
                  <w:marRight w:val="0"/>
                  <w:marTop w:val="0"/>
                  <w:marBottom w:val="0"/>
                  <w:divBdr>
                    <w:top w:val="none" w:sz="0" w:space="0" w:color="auto"/>
                    <w:left w:val="none" w:sz="0" w:space="0" w:color="auto"/>
                    <w:bottom w:val="none" w:sz="0" w:space="0" w:color="auto"/>
                    <w:right w:val="none" w:sz="0" w:space="0" w:color="auto"/>
                  </w:divBdr>
                  <w:divsChild>
                    <w:div w:id="111510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71854">
          <w:marLeft w:val="0"/>
          <w:marRight w:val="0"/>
          <w:marTop w:val="0"/>
          <w:marBottom w:val="0"/>
          <w:divBdr>
            <w:top w:val="none" w:sz="0" w:space="0" w:color="auto"/>
            <w:left w:val="none" w:sz="0" w:space="0" w:color="auto"/>
            <w:bottom w:val="none" w:sz="0" w:space="0" w:color="auto"/>
            <w:right w:val="none" w:sz="0" w:space="0" w:color="auto"/>
          </w:divBdr>
        </w:div>
        <w:div w:id="596137375">
          <w:marLeft w:val="0"/>
          <w:marRight w:val="0"/>
          <w:marTop w:val="0"/>
          <w:marBottom w:val="0"/>
          <w:divBdr>
            <w:top w:val="none" w:sz="0" w:space="0" w:color="auto"/>
            <w:left w:val="none" w:sz="0" w:space="0" w:color="auto"/>
            <w:bottom w:val="none" w:sz="0" w:space="0" w:color="auto"/>
            <w:right w:val="none" w:sz="0" w:space="0" w:color="auto"/>
          </w:divBdr>
          <w:divsChild>
            <w:div w:id="1047217504">
              <w:marLeft w:val="0"/>
              <w:marRight w:val="0"/>
              <w:marTop w:val="0"/>
              <w:marBottom w:val="0"/>
              <w:divBdr>
                <w:top w:val="none" w:sz="0" w:space="0" w:color="auto"/>
                <w:left w:val="none" w:sz="0" w:space="0" w:color="auto"/>
                <w:bottom w:val="none" w:sz="0" w:space="0" w:color="auto"/>
                <w:right w:val="none" w:sz="0" w:space="0" w:color="auto"/>
              </w:divBdr>
            </w:div>
            <w:div w:id="1280332267">
              <w:marLeft w:val="0"/>
              <w:marRight w:val="0"/>
              <w:marTop w:val="0"/>
              <w:marBottom w:val="0"/>
              <w:divBdr>
                <w:top w:val="none" w:sz="0" w:space="0" w:color="auto"/>
                <w:left w:val="none" w:sz="0" w:space="0" w:color="auto"/>
                <w:bottom w:val="none" w:sz="0" w:space="0" w:color="auto"/>
                <w:right w:val="none" w:sz="0" w:space="0" w:color="auto"/>
              </w:divBdr>
            </w:div>
          </w:divsChild>
        </w:div>
        <w:div w:id="905844667">
          <w:marLeft w:val="0"/>
          <w:marRight w:val="0"/>
          <w:marTop w:val="0"/>
          <w:marBottom w:val="0"/>
          <w:divBdr>
            <w:top w:val="none" w:sz="0" w:space="0" w:color="auto"/>
            <w:left w:val="none" w:sz="0" w:space="0" w:color="auto"/>
            <w:bottom w:val="none" w:sz="0" w:space="0" w:color="auto"/>
            <w:right w:val="none" w:sz="0" w:space="0" w:color="auto"/>
          </w:divBdr>
        </w:div>
        <w:div w:id="967248178">
          <w:marLeft w:val="0"/>
          <w:marRight w:val="0"/>
          <w:marTop w:val="0"/>
          <w:marBottom w:val="0"/>
          <w:divBdr>
            <w:top w:val="none" w:sz="0" w:space="0" w:color="auto"/>
            <w:left w:val="none" w:sz="0" w:space="0" w:color="auto"/>
            <w:bottom w:val="none" w:sz="0" w:space="0" w:color="auto"/>
            <w:right w:val="none" w:sz="0" w:space="0" w:color="auto"/>
          </w:divBdr>
          <w:divsChild>
            <w:div w:id="3408588">
              <w:marLeft w:val="0"/>
              <w:marRight w:val="0"/>
              <w:marTop w:val="0"/>
              <w:marBottom w:val="0"/>
              <w:divBdr>
                <w:top w:val="none" w:sz="0" w:space="0" w:color="auto"/>
                <w:left w:val="none" w:sz="0" w:space="0" w:color="auto"/>
                <w:bottom w:val="none" w:sz="0" w:space="0" w:color="auto"/>
                <w:right w:val="none" w:sz="0" w:space="0" w:color="auto"/>
              </w:divBdr>
            </w:div>
            <w:div w:id="228351155">
              <w:marLeft w:val="0"/>
              <w:marRight w:val="0"/>
              <w:marTop w:val="0"/>
              <w:marBottom w:val="0"/>
              <w:divBdr>
                <w:top w:val="none" w:sz="0" w:space="0" w:color="auto"/>
                <w:left w:val="none" w:sz="0" w:space="0" w:color="auto"/>
                <w:bottom w:val="none" w:sz="0" w:space="0" w:color="auto"/>
                <w:right w:val="none" w:sz="0" w:space="0" w:color="auto"/>
              </w:divBdr>
            </w:div>
            <w:div w:id="1795371223">
              <w:marLeft w:val="0"/>
              <w:marRight w:val="0"/>
              <w:marTop w:val="0"/>
              <w:marBottom w:val="0"/>
              <w:divBdr>
                <w:top w:val="none" w:sz="0" w:space="0" w:color="auto"/>
                <w:left w:val="none" w:sz="0" w:space="0" w:color="auto"/>
                <w:bottom w:val="none" w:sz="0" w:space="0" w:color="auto"/>
                <w:right w:val="none" w:sz="0" w:space="0" w:color="auto"/>
              </w:divBdr>
            </w:div>
          </w:divsChild>
        </w:div>
        <w:div w:id="1195924978">
          <w:marLeft w:val="0"/>
          <w:marRight w:val="0"/>
          <w:marTop w:val="0"/>
          <w:marBottom w:val="0"/>
          <w:divBdr>
            <w:top w:val="none" w:sz="0" w:space="0" w:color="auto"/>
            <w:left w:val="none" w:sz="0" w:space="0" w:color="auto"/>
            <w:bottom w:val="none" w:sz="0" w:space="0" w:color="auto"/>
            <w:right w:val="none" w:sz="0" w:space="0" w:color="auto"/>
          </w:divBdr>
        </w:div>
        <w:div w:id="1395202602">
          <w:marLeft w:val="0"/>
          <w:marRight w:val="0"/>
          <w:marTop w:val="0"/>
          <w:marBottom w:val="0"/>
          <w:divBdr>
            <w:top w:val="none" w:sz="0" w:space="0" w:color="auto"/>
            <w:left w:val="none" w:sz="0" w:space="0" w:color="auto"/>
            <w:bottom w:val="none" w:sz="0" w:space="0" w:color="auto"/>
            <w:right w:val="none" w:sz="0" w:space="0" w:color="auto"/>
          </w:divBdr>
          <w:divsChild>
            <w:div w:id="1548762672">
              <w:marLeft w:val="-75"/>
              <w:marRight w:val="0"/>
              <w:marTop w:val="30"/>
              <w:marBottom w:val="30"/>
              <w:divBdr>
                <w:top w:val="none" w:sz="0" w:space="0" w:color="auto"/>
                <w:left w:val="none" w:sz="0" w:space="0" w:color="auto"/>
                <w:bottom w:val="none" w:sz="0" w:space="0" w:color="auto"/>
                <w:right w:val="none" w:sz="0" w:space="0" w:color="auto"/>
              </w:divBdr>
              <w:divsChild>
                <w:div w:id="912664092">
                  <w:marLeft w:val="0"/>
                  <w:marRight w:val="0"/>
                  <w:marTop w:val="0"/>
                  <w:marBottom w:val="0"/>
                  <w:divBdr>
                    <w:top w:val="none" w:sz="0" w:space="0" w:color="auto"/>
                    <w:left w:val="none" w:sz="0" w:space="0" w:color="auto"/>
                    <w:bottom w:val="none" w:sz="0" w:space="0" w:color="auto"/>
                    <w:right w:val="none" w:sz="0" w:space="0" w:color="auto"/>
                  </w:divBdr>
                  <w:divsChild>
                    <w:div w:id="1652323351">
                      <w:marLeft w:val="0"/>
                      <w:marRight w:val="0"/>
                      <w:marTop w:val="0"/>
                      <w:marBottom w:val="0"/>
                      <w:divBdr>
                        <w:top w:val="none" w:sz="0" w:space="0" w:color="auto"/>
                        <w:left w:val="none" w:sz="0" w:space="0" w:color="auto"/>
                        <w:bottom w:val="none" w:sz="0" w:space="0" w:color="auto"/>
                        <w:right w:val="none" w:sz="0" w:space="0" w:color="auto"/>
                      </w:divBdr>
                    </w:div>
                    <w:div w:id="1836458423">
                      <w:marLeft w:val="0"/>
                      <w:marRight w:val="0"/>
                      <w:marTop w:val="0"/>
                      <w:marBottom w:val="0"/>
                      <w:divBdr>
                        <w:top w:val="none" w:sz="0" w:space="0" w:color="auto"/>
                        <w:left w:val="none" w:sz="0" w:space="0" w:color="auto"/>
                        <w:bottom w:val="none" w:sz="0" w:space="0" w:color="auto"/>
                        <w:right w:val="none" w:sz="0" w:space="0" w:color="auto"/>
                      </w:divBdr>
                    </w:div>
                    <w:div w:id="1995406998">
                      <w:marLeft w:val="0"/>
                      <w:marRight w:val="0"/>
                      <w:marTop w:val="0"/>
                      <w:marBottom w:val="0"/>
                      <w:divBdr>
                        <w:top w:val="none" w:sz="0" w:space="0" w:color="auto"/>
                        <w:left w:val="none" w:sz="0" w:space="0" w:color="auto"/>
                        <w:bottom w:val="none" w:sz="0" w:space="0" w:color="auto"/>
                        <w:right w:val="none" w:sz="0" w:space="0" w:color="auto"/>
                      </w:divBdr>
                    </w:div>
                  </w:divsChild>
                </w:div>
                <w:div w:id="1550873394">
                  <w:marLeft w:val="0"/>
                  <w:marRight w:val="0"/>
                  <w:marTop w:val="0"/>
                  <w:marBottom w:val="0"/>
                  <w:divBdr>
                    <w:top w:val="none" w:sz="0" w:space="0" w:color="auto"/>
                    <w:left w:val="none" w:sz="0" w:space="0" w:color="auto"/>
                    <w:bottom w:val="none" w:sz="0" w:space="0" w:color="auto"/>
                    <w:right w:val="none" w:sz="0" w:space="0" w:color="auto"/>
                  </w:divBdr>
                  <w:divsChild>
                    <w:div w:id="3254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3048">
          <w:marLeft w:val="0"/>
          <w:marRight w:val="0"/>
          <w:marTop w:val="0"/>
          <w:marBottom w:val="0"/>
          <w:divBdr>
            <w:top w:val="none" w:sz="0" w:space="0" w:color="auto"/>
            <w:left w:val="none" w:sz="0" w:space="0" w:color="auto"/>
            <w:bottom w:val="none" w:sz="0" w:space="0" w:color="auto"/>
            <w:right w:val="none" w:sz="0" w:space="0" w:color="auto"/>
          </w:divBdr>
          <w:divsChild>
            <w:div w:id="2031105444">
              <w:marLeft w:val="-75"/>
              <w:marRight w:val="0"/>
              <w:marTop w:val="30"/>
              <w:marBottom w:val="30"/>
              <w:divBdr>
                <w:top w:val="none" w:sz="0" w:space="0" w:color="auto"/>
                <w:left w:val="none" w:sz="0" w:space="0" w:color="auto"/>
                <w:bottom w:val="none" w:sz="0" w:space="0" w:color="auto"/>
                <w:right w:val="none" w:sz="0" w:space="0" w:color="auto"/>
              </w:divBdr>
              <w:divsChild>
                <w:div w:id="392583905">
                  <w:marLeft w:val="0"/>
                  <w:marRight w:val="0"/>
                  <w:marTop w:val="0"/>
                  <w:marBottom w:val="0"/>
                  <w:divBdr>
                    <w:top w:val="none" w:sz="0" w:space="0" w:color="auto"/>
                    <w:left w:val="none" w:sz="0" w:space="0" w:color="auto"/>
                    <w:bottom w:val="none" w:sz="0" w:space="0" w:color="auto"/>
                    <w:right w:val="none" w:sz="0" w:space="0" w:color="auto"/>
                  </w:divBdr>
                  <w:divsChild>
                    <w:div w:id="786704108">
                      <w:marLeft w:val="0"/>
                      <w:marRight w:val="0"/>
                      <w:marTop w:val="0"/>
                      <w:marBottom w:val="0"/>
                      <w:divBdr>
                        <w:top w:val="none" w:sz="0" w:space="0" w:color="auto"/>
                        <w:left w:val="none" w:sz="0" w:space="0" w:color="auto"/>
                        <w:bottom w:val="none" w:sz="0" w:space="0" w:color="auto"/>
                        <w:right w:val="none" w:sz="0" w:space="0" w:color="auto"/>
                      </w:divBdr>
                    </w:div>
                    <w:div w:id="937638105">
                      <w:marLeft w:val="0"/>
                      <w:marRight w:val="0"/>
                      <w:marTop w:val="0"/>
                      <w:marBottom w:val="0"/>
                      <w:divBdr>
                        <w:top w:val="none" w:sz="0" w:space="0" w:color="auto"/>
                        <w:left w:val="none" w:sz="0" w:space="0" w:color="auto"/>
                        <w:bottom w:val="none" w:sz="0" w:space="0" w:color="auto"/>
                        <w:right w:val="none" w:sz="0" w:space="0" w:color="auto"/>
                      </w:divBdr>
                    </w:div>
                    <w:div w:id="2055882471">
                      <w:marLeft w:val="0"/>
                      <w:marRight w:val="0"/>
                      <w:marTop w:val="0"/>
                      <w:marBottom w:val="0"/>
                      <w:divBdr>
                        <w:top w:val="none" w:sz="0" w:space="0" w:color="auto"/>
                        <w:left w:val="none" w:sz="0" w:space="0" w:color="auto"/>
                        <w:bottom w:val="none" w:sz="0" w:space="0" w:color="auto"/>
                        <w:right w:val="none" w:sz="0" w:space="0" w:color="auto"/>
                      </w:divBdr>
                    </w:div>
                  </w:divsChild>
                </w:div>
                <w:div w:id="905215890">
                  <w:marLeft w:val="0"/>
                  <w:marRight w:val="0"/>
                  <w:marTop w:val="0"/>
                  <w:marBottom w:val="0"/>
                  <w:divBdr>
                    <w:top w:val="none" w:sz="0" w:space="0" w:color="auto"/>
                    <w:left w:val="none" w:sz="0" w:space="0" w:color="auto"/>
                    <w:bottom w:val="none" w:sz="0" w:space="0" w:color="auto"/>
                    <w:right w:val="none" w:sz="0" w:space="0" w:color="auto"/>
                  </w:divBdr>
                  <w:divsChild>
                    <w:div w:id="35743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24275">
          <w:marLeft w:val="0"/>
          <w:marRight w:val="0"/>
          <w:marTop w:val="0"/>
          <w:marBottom w:val="0"/>
          <w:divBdr>
            <w:top w:val="none" w:sz="0" w:space="0" w:color="auto"/>
            <w:left w:val="none" w:sz="0" w:space="0" w:color="auto"/>
            <w:bottom w:val="none" w:sz="0" w:space="0" w:color="auto"/>
            <w:right w:val="none" w:sz="0" w:space="0" w:color="auto"/>
          </w:divBdr>
          <w:divsChild>
            <w:div w:id="393430621">
              <w:marLeft w:val="0"/>
              <w:marRight w:val="0"/>
              <w:marTop w:val="0"/>
              <w:marBottom w:val="0"/>
              <w:divBdr>
                <w:top w:val="none" w:sz="0" w:space="0" w:color="auto"/>
                <w:left w:val="none" w:sz="0" w:space="0" w:color="auto"/>
                <w:bottom w:val="none" w:sz="0" w:space="0" w:color="auto"/>
                <w:right w:val="none" w:sz="0" w:space="0" w:color="auto"/>
              </w:divBdr>
            </w:div>
            <w:div w:id="496698372">
              <w:marLeft w:val="0"/>
              <w:marRight w:val="0"/>
              <w:marTop w:val="0"/>
              <w:marBottom w:val="0"/>
              <w:divBdr>
                <w:top w:val="none" w:sz="0" w:space="0" w:color="auto"/>
                <w:left w:val="none" w:sz="0" w:space="0" w:color="auto"/>
                <w:bottom w:val="none" w:sz="0" w:space="0" w:color="auto"/>
                <w:right w:val="none" w:sz="0" w:space="0" w:color="auto"/>
              </w:divBdr>
            </w:div>
            <w:div w:id="618949280">
              <w:marLeft w:val="0"/>
              <w:marRight w:val="0"/>
              <w:marTop w:val="0"/>
              <w:marBottom w:val="0"/>
              <w:divBdr>
                <w:top w:val="none" w:sz="0" w:space="0" w:color="auto"/>
                <w:left w:val="none" w:sz="0" w:space="0" w:color="auto"/>
                <w:bottom w:val="none" w:sz="0" w:space="0" w:color="auto"/>
                <w:right w:val="none" w:sz="0" w:space="0" w:color="auto"/>
              </w:divBdr>
            </w:div>
            <w:div w:id="847669758">
              <w:marLeft w:val="0"/>
              <w:marRight w:val="0"/>
              <w:marTop w:val="0"/>
              <w:marBottom w:val="0"/>
              <w:divBdr>
                <w:top w:val="none" w:sz="0" w:space="0" w:color="auto"/>
                <w:left w:val="none" w:sz="0" w:space="0" w:color="auto"/>
                <w:bottom w:val="none" w:sz="0" w:space="0" w:color="auto"/>
                <w:right w:val="none" w:sz="0" w:space="0" w:color="auto"/>
              </w:divBdr>
            </w:div>
            <w:div w:id="915356284">
              <w:marLeft w:val="0"/>
              <w:marRight w:val="0"/>
              <w:marTop w:val="0"/>
              <w:marBottom w:val="0"/>
              <w:divBdr>
                <w:top w:val="none" w:sz="0" w:space="0" w:color="auto"/>
                <w:left w:val="none" w:sz="0" w:space="0" w:color="auto"/>
                <w:bottom w:val="none" w:sz="0" w:space="0" w:color="auto"/>
                <w:right w:val="none" w:sz="0" w:space="0" w:color="auto"/>
              </w:divBdr>
            </w:div>
            <w:div w:id="1111170885">
              <w:marLeft w:val="0"/>
              <w:marRight w:val="0"/>
              <w:marTop w:val="0"/>
              <w:marBottom w:val="0"/>
              <w:divBdr>
                <w:top w:val="none" w:sz="0" w:space="0" w:color="auto"/>
                <w:left w:val="none" w:sz="0" w:space="0" w:color="auto"/>
                <w:bottom w:val="none" w:sz="0" w:space="0" w:color="auto"/>
                <w:right w:val="none" w:sz="0" w:space="0" w:color="auto"/>
              </w:divBdr>
            </w:div>
          </w:divsChild>
        </w:div>
        <w:div w:id="1944730359">
          <w:marLeft w:val="0"/>
          <w:marRight w:val="0"/>
          <w:marTop w:val="0"/>
          <w:marBottom w:val="0"/>
          <w:divBdr>
            <w:top w:val="none" w:sz="0" w:space="0" w:color="auto"/>
            <w:left w:val="none" w:sz="0" w:space="0" w:color="auto"/>
            <w:bottom w:val="none" w:sz="0" w:space="0" w:color="auto"/>
            <w:right w:val="none" w:sz="0" w:space="0" w:color="auto"/>
          </w:divBdr>
          <w:divsChild>
            <w:div w:id="198131145">
              <w:marLeft w:val="-75"/>
              <w:marRight w:val="0"/>
              <w:marTop w:val="30"/>
              <w:marBottom w:val="30"/>
              <w:divBdr>
                <w:top w:val="none" w:sz="0" w:space="0" w:color="auto"/>
                <w:left w:val="none" w:sz="0" w:space="0" w:color="auto"/>
                <w:bottom w:val="none" w:sz="0" w:space="0" w:color="auto"/>
                <w:right w:val="none" w:sz="0" w:space="0" w:color="auto"/>
              </w:divBdr>
              <w:divsChild>
                <w:div w:id="245456703">
                  <w:marLeft w:val="0"/>
                  <w:marRight w:val="0"/>
                  <w:marTop w:val="0"/>
                  <w:marBottom w:val="0"/>
                  <w:divBdr>
                    <w:top w:val="none" w:sz="0" w:space="0" w:color="auto"/>
                    <w:left w:val="none" w:sz="0" w:space="0" w:color="auto"/>
                    <w:bottom w:val="none" w:sz="0" w:space="0" w:color="auto"/>
                    <w:right w:val="none" w:sz="0" w:space="0" w:color="auto"/>
                  </w:divBdr>
                  <w:divsChild>
                    <w:div w:id="1088576582">
                      <w:marLeft w:val="0"/>
                      <w:marRight w:val="0"/>
                      <w:marTop w:val="0"/>
                      <w:marBottom w:val="0"/>
                      <w:divBdr>
                        <w:top w:val="none" w:sz="0" w:space="0" w:color="auto"/>
                        <w:left w:val="none" w:sz="0" w:space="0" w:color="auto"/>
                        <w:bottom w:val="none" w:sz="0" w:space="0" w:color="auto"/>
                        <w:right w:val="none" w:sz="0" w:space="0" w:color="auto"/>
                      </w:divBdr>
                    </w:div>
                  </w:divsChild>
                </w:div>
                <w:div w:id="897665646">
                  <w:marLeft w:val="0"/>
                  <w:marRight w:val="0"/>
                  <w:marTop w:val="0"/>
                  <w:marBottom w:val="0"/>
                  <w:divBdr>
                    <w:top w:val="none" w:sz="0" w:space="0" w:color="auto"/>
                    <w:left w:val="none" w:sz="0" w:space="0" w:color="auto"/>
                    <w:bottom w:val="none" w:sz="0" w:space="0" w:color="auto"/>
                    <w:right w:val="none" w:sz="0" w:space="0" w:color="auto"/>
                  </w:divBdr>
                  <w:divsChild>
                    <w:div w:id="127088555">
                      <w:marLeft w:val="0"/>
                      <w:marRight w:val="0"/>
                      <w:marTop w:val="0"/>
                      <w:marBottom w:val="0"/>
                      <w:divBdr>
                        <w:top w:val="none" w:sz="0" w:space="0" w:color="auto"/>
                        <w:left w:val="none" w:sz="0" w:space="0" w:color="auto"/>
                        <w:bottom w:val="none" w:sz="0" w:space="0" w:color="auto"/>
                        <w:right w:val="none" w:sz="0" w:space="0" w:color="auto"/>
                      </w:divBdr>
                    </w:div>
                  </w:divsChild>
                </w:div>
                <w:div w:id="1313485587">
                  <w:marLeft w:val="0"/>
                  <w:marRight w:val="0"/>
                  <w:marTop w:val="0"/>
                  <w:marBottom w:val="0"/>
                  <w:divBdr>
                    <w:top w:val="none" w:sz="0" w:space="0" w:color="auto"/>
                    <w:left w:val="none" w:sz="0" w:space="0" w:color="auto"/>
                    <w:bottom w:val="none" w:sz="0" w:space="0" w:color="auto"/>
                    <w:right w:val="none" w:sz="0" w:space="0" w:color="auto"/>
                  </w:divBdr>
                  <w:divsChild>
                    <w:div w:id="1755779602">
                      <w:marLeft w:val="0"/>
                      <w:marRight w:val="0"/>
                      <w:marTop w:val="0"/>
                      <w:marBottom w:val="0"/>
                      <w:divBdr>
                        <w:top w:val="none" w:sz="0" w:space="0" w:color="auto"/>
                        <w:left w:val="none" w:sz="0" w:space="0" w:color="auto"/>
                        <w:bottom w:val="none" w:sz="0" w:space="0" w:color="auto"/>
                        <w:right w:val="none" w:sz="0" w:space="0" w:color="auto"/>
                      </w:divBdr>
                    </w:div>
                  </w:divsChild>
                </w:div>
                <w:div w:id="1313756594">
                  <w:marLeft w:val="0"/>
                  <w:marRight w:val="0"/>
                  <w:marTop w:val="0"/>
                  <w:marBottom w:val="0"/>
                  <w:divBdr>
                    <w:top w:val="none" w:sz="0" w:space="0" w:color="auto"/>
                    <w:left w:val="none" w:sz="0" w:space="0" w:color="auto"/>
                    <w:bottom w:val="none" w:sz="0" w:space="0" w:color="auto"/>
                    <w:right w:val="none" w:sz="0" w:space="0" w:color="auto"/>
                  </w:divBdr>
                  <w:divsChild>
                    <w:div w:id="2060934219">
                      <w:marLeft w:val="0"/>
                      <w:marRight w:val="0"/>
                      <w:marTop w:val="0"/>
                      <w:marBottom w:val="0"/>
                      <w:divBdr>
                        <w:top w:val="none" w:sz="0" w:space="0" w:color="auto"/>
                        <w:left w:val="none" w:sz="0" w:space="0" w:color="auto"/>
                        <w:bottom w:val="none" w:sz="0" w:space="0" w:color="auto"/>
                        <w:right w:val="none" w:sz="0" w:space="0" w:color="auto"/>
                      </w:divBdr>
                    </w:div>
                  </w:divsChild>
                </w:div>
                <w:div w:id="1709333654">
                  <w:marLeft w:val="0"/>
                  <w:marRight w:val="0"/>
                  <w:marTop w:val="0"/>
                  <w:marBottom w:val="0"/>
                  <w:divBdr>
                    <w:top w:val="none" w:sz="0" w:space="0" w:color="auto"/>
                    <w:left w:val="none" w:sz="0" w:space="0" w:color="auto"/>
                    <w:bottom w:val="none" w:sz="0" w:space="0" w:color="auto"/>
                    <w:right w:val="none" w:sz="0" w:space="0" w:color="auto"/>
                  </w:divBdr>
                </w:div>
                <w:div w:id="1719476468">
                  <w:marLeft w:val="0"/>
                  <w:marRight w:val="0"/>
                  <w:marTop w:val="0"/>
                  <w:marBottom w:val="0"/>
                  <w:divBdr>
                    <w:top w:val="none" w:sz="0" w:space="0" w:color="auto"/>
                    <w:left w:val="none" w:sz="0" w:space="0" w:color="auto"/>
                    <w:bottom w:val="none" w:sz="0" w:space="0" w:color="auto"/>
                    <w:right w:val="none" w:sz="0" w:space="0" w:color="auto"/>
                  </w:divBdr>
                  <w:divsChild>
                    <w:div w:id="2073573936">
                      <w:marLeft w:val="0"/>
                      <w:marRight w:val="0"/>
                      <w:marTop w:val="0"/>
                      <w:marBottom w:val="0"/>
                      <w:divBdr>
                        <w:top w:val="none" w:sz="0" w:space="0" w:color="auto"/>
                        <w:left w:val="none" w:sz="0" w:space="0" w:color="auto"/>
                        <w:bottom w:val="none" w:sz="0" w:space="0" w:color="auto"/>
                        <w:right w:val="none" w:sz="0" w:space="0" w:color="auto"/>
                      </w:divBdr>
                    </w:div>
                  </w:divsChild>
                </w:div>
                <w:div w:id="1788305701">
                  <w:marLeft w:val="0"/>
                  <w:marRight w:val="0"/>
                  <w:marTop w:val="0"/>
                  <w:marBottom w:val="0"/>
                  <w:divBdr>
                    <w:top w:val="none" w:sz="0" w:space="0" w:color="auto"/>
                    <w:left w:val="none" w:sz="0" w:space="0" w:color="auto"/>
                    <w:bottom w:val="none" w:sz="0" w:space="0" w:color="auto"/>
                    <w:right w:val="none" w:sz="0" w:space="0" w:color="auto"/>
                  </w:divBdr>
                  <w:divsChild>
                    <w:div w:id="643387233">
                      <w:marLeft w:val="0"/>
                      <w:marRight w:val="0"/>
                      <w:marTop w:val="0"/>
                      <w:marBottom w:val="0"/>
                      <w:divBdr>
                        <w:top w:val="none" w:sz="0" w:space="0" w:color="auto"/>
                        <w:left w:val="none" w:sz="0" w:space="0" w:color="auto"/>
                        <w:bottom w:val="none" w:sz="0" w:space="0" w:color="auto"/>
                        <w:right w:val="none" w:sz="0" w:space="0" w:color="auto"/>
                      </w:divBdr>
                    </w:div>
                  </w:divsChild>
                </w:div>
                <w:div w:id="2102338147">
                  <w:marLeft w:val="0"/>
                  <w:marRight w:val="0"/>
                  <w:marTop w:val="0"/>
                  <w:marBottom w:val="0"/>
                  <w:divBdr>
                    <w:top w:val="none" w:sz="0" w:space="0" w:color="auto"/>
                    <w:left w:val="none" w:sz="0" w:space="0" w:color="auto"/>
                    <w:bottom w:val="none" w:sz="0" w:space="0" w:color="auto"/>
                    <w:right w:val="none" w:sz="0" w:space="0" w:color="auto"/>
                  </w:divBdr>
                  <w:divsChild>
                    <w:div w:id="689112518">
                      <w:marLeft w:val="0"/>
                      <w:marRight w:val="0"/>
                      <w:marTop w:val="0"/>
                      <w:marBottom w:val="0"/>
                      <w:divBdr>
                        <w:top w:val="none" w:sz="0" w:space="0" w:color="auto"/>
                        <w:left w:val="none" w:sz="0" w:space="0" w:color="auto"/>
                        <w:bottom w:val="none" w:sz="0" w:space="0" w:color="auto"/>
                        <w:right w:val="none" w:sz="0" w:space="0" w:color="auto"/>
                      </w:divBdr>
                    </w:div>
                  </w:divsChild>
                </w:div>
                <w:div w:id="2145542804">
                  <w:marLeft w:val="0"/>
                  <w:marRight w:val="0"/>
                  <w:marTop w:val="0"/>
                  <w:marBottom w:val="0"/>
                  <w:divBdr>
                    <w:top w:val="none" w:sz="0" w:space="0" w:color="auto"/>
                    <w:left w:val="none" w:sz="0" w:space="0" w:color="auto"/>
                    <w:bottom w:val="none" w:sz="0" w:space="0" w:color="auto"/>
                    <w:right w:val="none" w:sz="0" w:space="0" w:color="auto"/>
                  </w:divBdr>
                  <w:divsChild>
                    <w:div w:id="1571965744">
                      <w:marLeft w:val="0"/>
                      <w:marRight w:val="0"/>
                      <w:marTop w:val="0"/>
                      <w:marBottom w:val="0"/>
                      <w:divBdr>
                        <w:top w:val="none" w:sz="0" w:space="0" w:color="auto"/>
                        <w:left w:val="none" w:sz="0" w:space="0" w:color="auto"/>
                        <w:bottom w:val="none" w:sz="0" w:space="0" w:color="auto"/>
                        <w:right w:val="none" w:sz="0" w:space="0" w:color="auto"/>
                      </w:divBdr>
                    </w:div>
                    <w:div w:id="185973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352069">
      <w:marLeft w:val="480"/>
      <w:marRight w:val="0"/>
      <w:marTop w:val="0"/>
      <w:marBottom w:val="0"/>
      <w:divBdr>
        <w:top w:val="none" w:sz="0" w:space="0" w:color="auto"/>
        <w:left w:val="none" w:sz="0" w:space="0" w:color="auto"/>
        <w:bottom w:val="none" w:sz="0" w:space="0" w:color="auto"/>
        <w:right w:val="none" w:sz="0" w:space="0" w:color="auto"/>
      </w:divBdr>
    </w:div>
    <w:div w:id="2128619572">
      <w:bodyDiv w:val="1"/>
      <w:marLeft w:val="0"/>
      <w:marRight w:val="0"/>
      <w:marTop w:val="0"/>
      <w:marBottom w:val="0"/>
      <w:divBdr>
        <w:top w:val="none" w:sz="0" w:space="0" w:color="auto"/>
        <w:left w:val="none" w:sz="0" w:space="0" w:color="auto"/>
        <w:bottom w:val="none" w:sz="0" w:space="0" w:color="auto"/>
        <w:right w:val="none" w:sz="0" w:space="0" w:color="auto"/>
      </w:divBdr>
    </w:div>
    <w:div w:id="2131656400">
      <w:marLeft w:val="480"/>
      <w:marRight w:val="0"/>
      <w:marTop w:val="0"/>
      <w:marBottom w:val="0"/>
      <w:divBdr>
        <w:top w:val="none" w:sz="0" w:space="0" w:color="auto"/>
        <w:left w:val="none" w:sz="0" w:space="0" w:color="auto"/>
        <w:bottom w:val="none" w:sz="0" w:space="0" w:color="auto"/>
        <w:right w:val="none" w:sz="0" w:space="0" w:color="auto"/>
      </w:divBdr>
    </w:div>
    <w:div w:id="2132943361">
      <w:bodyDiv w:val="1"/>
      <w:marLeft w:val="0"/>
      <w:marRight w:val="0"/>
      <w:marTop w:val="0"/>
      <w:marBottom w:val="0"/>
      <w:divBdr>
        <w:top w:val="none" w:sz="0" w:space="0" w:color="auto"/>
        <w:left w:val="none" w:sz="0" w:space="0" w:color="auto"/>
        <w:bottom w:val="none" w:sz="0" w:space="0" w:color="auto"/>
        <w:right w:val="none" w:sz="0" w:space="0" w:color="auto"/>
      </w:divBdr>
    </w:div>
    <w:div w:id="2134322438">
      <w:bodyDiv w:val="1"/>
      <w:marLeft w:val="0"/>
      <w:marRight w:val="0"/>
      <w:marTop w:val="0"/>
      <w:marBottom w:val="0"/>
      <w:divBdr>
        <w:top w:val="none" w:sz="0" w:space="0" w:color="auto"/>
        <w:left w:val="none" w:sz="0" w:space="0" w:color="auto"/>
        <w:bottom w:val="none" w:sz="0" w:space="0" w:color="auto"/>
        <w:right w:val="none" w:sz="0" w:space="0" w:color="auto"/>
      </w:divBdr>
      <w:divsChild>
        <w:div w:id="34087204">
          <w:marLeft w:val="0"/>
          <w:marRight w:val="0"/>
          <w:marTop w:val="0"/>
          <w:marBottom w:val="0"/>
          <w:divBdr>
            <w:top w:val="none" w:sz="0" w:space="0" w:color="auto"/>
            <w:left w:val="none" w:sz="0" w:space="0" w:color="auto"/>
            <w:bottom w:val="none" w:sz="0" w:space="0" w:color="auto"/>
            <w:right w:val="none" w:sz="0" w:space="0" w:color="auto"/>
          </w:divBdr>
        </w:div>
        <w:div w:id="83112668">
          <w:marLeft w:val="0"/>
          <w:marRight w:val="0"/>
          <w:marTop w:val="0"/>
          <w:marBottom w:val="0"/>
          <w:divBdr>
            <w:top w:val="none" w:sz="0" w:space="0" w:color="auto"/>
            <w:left w:val="none" w:sz="0" w:space="0" w:color="auto"/>
            <w:bottom w:val="none" w:sz="0" w:space="0" w:color="auto"/>
            <w:right w:val="none" w:sz="0" w:space="0" w:color="auto"/>
          </w:divBdr>
        </w:div>
        <w:div w:id="329452880">
          <w:marLeft w:val="0"/>
          <w:marRight w:val="0"/>
          <w:marTop w:val="0"/>
          <w:marBottom w:val="0"/>
          <w:divBdr>
            <w:top w:val="none" w:sz="0" w:space="0" w:color="auto"/>
            <w:left w:val="none" w:sz="0" w:space="0" w:color="auto"/>
            <w:bottom w:val="none" w:sz="0" w:space="0" w:color="auto"/>
            <w:right w:val="none" w:sz="0" w:space="0" w:color="auto"/>
          </w:divBdr>
        </w:div>
        <w:div w:id="403377254">
          <w:marLeft w:val="-75"/>
          <w:marRight w:val="0"/>
          <w:marTop w:val="30"/>
          <w:marBottom w:val="30"/>
          <w:divBdr>
            <w:top w:val="none" w:sz="0" w:space="0" w:color="auto"/>
            <w:left w:val="none" w:sz="0" w:space="0" w:color="auto"/>
            <w:bottom w:val="none" w:sz="0" w:space="0" w:color="auto"/>
            <w:right w:val="none" w:sz="0" w:space="0" w:color="auto"/>
          </w:divBdr>
          <w:divsChild>
            <w:div w:id="753287246">
              <w:marLeft w:val="0"/>
              <w:marRight w:val="0"/>
              <w:marTop w:val="0"/>
              <w:marBottom w:val="0"/>
              <w:divBdr>
                <w:top w:val="none" w:sz="0" w:space="0" w:color="auto"/>
                <w:left w:val="none" w:sz="0" w:space="0" w:color="auto"/>
                <w:bottom w:val="none" w:sz="0" w:space="0" w:color="auto"/>
                <w:right w:val="none" w:sz="0" w:space="0" w:color="auto"/>
              </w:divBdr>
              <w:divsChild>
                <w:div w:id="1187449157">
                  <w:marLeft w:val="0"/>
                  <w:marRight w:val="0"/>
                  <w:marTop w:val="0"/>
                  <w:marBottom w:val="0"/>
                  <w:divBdr>
                    <w:top w:val="none" w:sz="0" w:space="0" w:color="auto"/>
                    <w:left w:val="none" w:sz="0" w:space="0" w:color="auto"/>
                    <w:bottom w:val="none" w:sz="0" w:space="0" w:color="auto"/>
                    <w:right w:val="none" w:sz="0" w:space="0" w:color="auto"/>
                  </w:divBdr>
                </w:div>
                <w:div w:id="1321353572">
                  <w:marLeft w:val="0"/>
                  <w:marRight w:val="0"/>
                  <w:marTop w:val="0"/>
                  <w:marBottom w:val="0"/>
                  <w:divBdr>
                    <w:top w:val="none" w:sz="0" w:space="0" w:color="auto"/>
                    <w:left w:val="none" w:sz="0" w:space="0" w:color="auto"/>
                    <w:bottom w:val="none" w:sz="0" w:space="0" w:color="auto"/>
                    <w:right w:val="none" w:sz="0" w:space="0" w:color="auto"/>
                  </w:divBdr>
                </w:div>
              </w:divsChild>
            </w:div>
            <w:div w:id="1374888104">
              <w:marLeft w:val="0"/>
              <w:marRight w:val="0"/>
              <w:marTop w:val="0"/>
              <w:marBottom w:val="0"/>
              <w:divBdr>
                <w:top w:val="none" w:sz="0" w:space="0" w:color="auto"/>
                <w:left w:val="none" w:sz="0" w:space="0" w:color="auto"/>
                <w:bottom w:val="none" w:sz="0" w:space="0" w:color="auto"/>
                <w:right w:val="none" w:sz="0" w:space="0" w:color="auto"/>
              </w:divBdr>
              <w:divsChild>
                <w:div w:id="1624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2222">
          <w:marLeft w:val="-75"/>
          <w:marRight w:val="0"/>
          <w:marTop w:val="30"/>
          <w:marBottom w:val="30"/>
          <w:divBdr>
            <w:top w:val="none" w:sz="0" w:space="0" w:color="auto"/>
            <w:left w:val="none" w:sz="0" w:space="0" w:color="auto"/>
            <w:bottom w:val="none" w:sz="0" w:space="0" w:color="auto"/>
            <w:right w:val="none" w:sz="0" w:space="0" w:color="auto"/>
          </w:divBdr>
          <w:divsChild>
            <w:div w:id="810095362">
              <w:marLeft w:val="0"/>
              <w:marRight w:val="0"/>
              <w:marTop w:val="0"/>
              <w:marBottom w:val="0"/>
              <w:divBdr>
                <w:top w:val="none" w:sz="0" w:space="0" w:color="auto"/>
                <w:left w:val="none" w:sz="0" w:space="0" w:color="auto"/>
                <w:bottom w:val="none" w:sz="0" w:space="0" w:color="auto"/>
                <w:right w:val="none" w:sz="0" w:space="0" w:color="auto"/>
              </w:divBdr>
              <w:divsChild>
                <w:div w:id="1449158184">
                  <w:marLeft w:val="0"/>
                  <w:marRight w:val="0"/>
                  <w:marTop w:val="0"/>
                  <w:marBottom w:val="0"/>
                  <w:divBdr>
                    <w:top w:val="none" w:sz="0" w:space="0" w:color="auto"/>
                    <w:left w:val="none" w:sz="0" w:space="0" w:color="auto"/>
                    <w:bottom w:val="none" w:sz="0" w:space="0" w:color="auto"/>
                    <w:right w:val="none" w:sz="0" w:space="0" w:color="auto"/>
                  </w:divBdr>
                </w:div>
              </w:divsChild>
            </w:div>
            <w:div w:id="1166019293">
              <w:marLeft w:val="0"/>
              <w:marRight w:val="0"/>
              <w:marTop w:val="0"/>
              <w:marBottom w:val="0"/>
              <w:divBdr>
                <w:top w:val="none" w:sz="0" w:space="0" w:color="auto"/>
                <w:left w:val="none" w:sz="0" w:space="0" w:color="auto"/>
                <w:bottom w:val="none" w:sz="0" w:space="0" w:color="auto"/>
                <w:right w:val="none" w:sz="0" w:space="0" w:color="auto"/>
              </w:divBdr>
              <w:divsChild>
                <w:div w:id="876115032">
                  <w:marLeft w:val="0"/>
                  <w:marRight w:val="0"/>
                  <w:marTop w:val="0"/>
                  <w:marBottom w:val="0"/>
                  <w:divBdr>
                    <w:top w:val="none" w:sz="0" w:space="0" w:color="auto"/>
                    <w:left w:val="none" w:sz="0" w:space="0" w:color="auto"/>
                    <w:bottom w:val="none" w:sz="0" w:space="0" w:color="auto"/>
                    <w:right w:val="none" w:sz="0" w:space="0" w:color="auto"/>
                  </w:divBdr>
                </w:div>
                <w:div w:id="18973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24232">
          <w:marLeft w:val="0"/>
          <w:marRight w:val="0"/>
          <w:marTop w:val="0"/>
          <w:marBottom w:val="0"/>
          <w:divBdr>
            <w:top w:val="none" w:sz="0" w:space="0" w:color="auto"/>
            <w:left w:val="none" w:sz="0" w:space="0" w:color="auto"/>
            <w:bottom w:val="none" w:sz="0" w:space="0" w:color="auto"/>
            <w:right w:val="none" w:sz="0" w:space="0" w:color="auto"/>
          </w:divBdr>
        </w:div>
        <w:div w:id="505943328">
          <w:marLeft w:val="0"/>
          <w:marRight w:val="0"/>
          <w:marTop w:val="0"/>
          <w:marBottom w:val="0"/>
          <w:divBdr>
            <w:top w:val="none" w:sz="0" w:space="0" w:color="auto"/>
            <w:left w:val="none" w:sz="0" w:space="0" w:color="auto"/>
            <w:bottom w:val="none" w:sz="0" w:space="0" w:color="auto"/>
            <w:right w:val="none" w:sz="0" w:space="0" w:color="auto"/>
          </w:divBdr>
        </w:div>
        <w:div w:id="761489440">
          <w:marLeft w:val="0"/>
          <w:marRight w:val="0"/>
          <w:marTop w:val="0"/>
          <w:marBottom w:val="0"/>
          <w:divBdr>
            <w:top w:val="none" w:sz="0" w:space="0" w:color="auto"/>
            <w:left w:val="none" w:sz="0" w:space="0" w:color="auto"/>
            <w:bottom w:val="none" w:sz="0" w:space="0" w:color="auto"/>
            <w:right w:val="none" w:sz="0" w:space="0" w:color="auto"/>
          </w:divBdr>
        </w:div>
        <w:div w:id="765733651">
          <w:marLeft w:val="-75"/>
          <w:marRight w:val="0"/>
          <w:marTop w:val="30"/>
          <w:marBottom w:val="30"/>
          <w:divBdr>
            <w:top w:val="none" w:sz="0" w:space="0" w:color="auto"/>
            <w:left w:val="none" w:sz="0" w:space="0" w:color="auto"/>
            <w:bottom w:val="none" w:sz="0" w:space="0" w:color="auto"/>
            <w:right w:val="none" w:sz="0" w:space="0" w:color="auto"/>
          </w:divBdr>
          <w:divsChild>
            <w:div w:id="75785060">
              <w:marLeft w:val="0"/>
              <w:marRight w:val="0"/>
              <w:marTop w:val="0"/>
              <w:marBottom w:val="0"/>
              <w:divBdr>
                <w:top w:val="none" w:sz="0" w:space="0" w:color="auto"/>
                <w:left w:val="none" w:sz="0" w:space="0" w:color="auto"/>
                <w:bottom w:val="none" w:sz="0" w:space="0" w:color="auto"/>
                <w:right w:val="none" w:sz="0" w:space="0" w:color="auto"/>
              </w:divBdr>
            </w:div>
            <w:div w:id="135491103">
              <w:marLeft w:val="0"/>
              <w:marRight w:val="0"/>
              <w:marTop w:val="0"/>
              <w:marBottom w:val="0"/>
              <w:divBdr>
                <w:top w:val="none" w:sz="0" w:space="0" w:color="auto"/>
                <w:left w:val="none" w:sz="0" w:space="0" w:color="auto"/>
                <w:bottom w:val="none" w:sz="0" w:space="0" w:color="auto"/>
                <w:right w:val="none" w:sz="0" w:space="0" w:color="auto"/>
              </w:divBdr>
              <w:divsChild>
                <w:div w:id="557326518">
                  <w:marLeft w:val="0"/>
                  <w:marRight w:val="0"/>
                  <w:marTop w:val="0"/>
                  <w:marBottom w:val="0"/>
                  <w:divBdr>
                    <w:top w:val="none" w:sz="0" w:space="0" w:color="auto"/>
                    <w:left w:val="none" w:sz="0" w:space="0" w:color="auto"/>
                    <w:bottom w:val="none" w:sz="0" w:space="0" w:color="auto"/>
                    <w:right w:val="none" w:sz="0" w:space="0" w:color="auto"/>
                  </w:divBdr>
                </w:div>
                <w:div w:id="687877134">
                  <w:marLeft w:val="0"/>
                  <w:marRight w:val="0"/>
                  <w:marTop w:val="0"/>
                  <w:marBottom w:val="0"/>
                  <w:divBdr>
                    <w:top w:val="none" w:sz="0" w:space="0" w:color="auto"/>
                    <w:left w:val="none" w:sz="0" w:space="0" w:color="auto"/>
                    <w:bottom w:val="none" w:sz="0" w:space="0" w:color="auto"/>
                    <w:right w:val="none" w:sz="0" w:space="0" w:color="auto"/>
                  </w:divBdr>
                </w:div>
              </w:divsChild>
            </w:div>
            <w:div w:id="282274145">
              <w:marLeft w:val="0"/>
              <w:marRight w:val="0"/>
              <w:marTop w:val="0"/>
              <w:marBottom w:val="0"/>
              <w:divBdr>
                <w:top w:val="none" w:sz="0" w:space="0" w:color="auto"/>
                <w:left w:val="none" w:sz="0" w:space="0" w:color="auto"/>
                <w:bottom w:val="none" w:sz="0" w:space="0" w:color="auto"/>
                <w:right w:val="none" w:sz="0" w:space="0" w:color="auto"/>
              </w:divBdr>
              <w:divsChild>
                <w:div w:id="350961996">
                  <w:marLeft w:val="0"/>
                  <w:marRight w:val="0"/>
                  <w:marTop w:val="0"/>
                  <w:marBottom w:val="0"/>
                  <w:divBdr>
                    <w:top w:val="none" w:sz="0" w:space="0" w:color="auto"/>
                    <w:left w:val="none" w:sz="0" w:space="0" w:color="auto"/>
                    <w:bottom w:val="none" w:sz="0" w:space="0" w:color="auto"/>
                    <w:right w:val="none" w:sz="0" w:space="0" w:color="auto"/>
                  </w:divBdr>
                </w:div>
              </w:divsChild>
            </w:div>
            <w:div w:id="290676555">
              <w:marLeft w:val="0"/>
              <w:marRight w:val="0"/>
              <w:marTop w:val="0"/>
              <w:marBottom w:val="0"/>
              <w:divBdr>
                <w:top w:val="none" w:sz="0" w:space="0" w:color="auto"/>
                <w:left w:val="none" w:sz="0" w:space="0" w:color="auto"/>
                <w:bottom w:val="none" w:sz="0" w:space="0" w:color="auto"/>
                <w:right w:val="none" w:sz="0" w:space="0" w:color="auto"/>
              </w:divBdr>
              <w:divsChild>
                <w:div w:id="1304197159">
                  <w:marLeft w:val="0"/>
                  <w:marRight w:val="0"/>
                  <w:marTop w:val="0"/>
                  <w:marBottom w:val="0"/>
                  <w:divBdr>
                    <w:top w:val="none" w:sz="0" w:space="0" w:color="auto"/>
                    <w:left w:val="none" w:sz="0" w:space="0" w:color="auto"/>
                    <w:bottom w:val="none" w:sz="0" w:space="0" w:color="auto"/>
                    <w:right w:val="none" w:sz="0" w:space="0" w:color="auto"/>
                  </w:divBdr>
                </w:div>
              </w:divsChild>
            </w:div>
            <w:div w:id="366566310">
              <w:marLeft w:val="0"/>
              <w:marRight w:val="0"/>
              <w:marTop w:val="0"/>
              <w:marBottom w:val="0"/>
              <w:divBdr>
                <w:top w:val="none" w:sz="0" w:space="0" w:color="auto"/>
                <w:left w:val="none" w:sz="0" w:space="0" w:color="auto"/>
                <w:bottom w:val="none" w:sz="0" w:space="0" w:color="auto"/>
                <w:right w:val="none" w:sz="0" w:space="0" w:color="auto"/>
              </w:divBdr>
              <w:divsChild>
                <w:div w:id="1530684537">
                  <w:marLeft w:val="0"/>
                  <w:marRight w:val="0"/>
                  <w:marTop w:val="0"/>
                  <w:marBottom w:val="0"/>
                  <w:divBdr>
                    <w:top w:val="none" w:sz="0" w:space="0" w:color="auto"/>
                    <w:left w:val="none" w:sz="0" w:space="0" w:color="auto"/>
                    <w:bottom w:val="none" w:sz="0" w:space="0" w:color="auto"/>
                    <w:right w:val="none" w:sz="0" w:space="0" w:color="auto"/>
                  </w:divBdr>
                </w:div>
              </w:divsChild>
            </w:div>
            <w:div w:id="472449903">
              <w:marLeft w:val="0"/>
              <w:marRight w:val="0"/>
              <w:marTop w:val="0"/>
              <w:marBottom w:val="0"/>
              <w:divBdr>
                <w:top w:val="none" w:sz="0" w:space="0" w:color="auto"/>
                <w:left w:val="none" w:sz="0" w:space="0" w:color="auto"/>
                <w:bottom w:val="none" w:sz="0" w:space="0" w:color="auto"/>
                <w:right w:val="none" w:sz="0" w:space="0" w:color="auto"/>
              </w:divBdr>
              <w:divsChild>
                <w:div w:id="1633902139">
                  <w:marLeft w:val="0"/>
                  <w:marRight w:val="0"/>
                  <w:marTop w:val="0"/>
                  <w:marBottom w:val="0"/>
                  <w:divBdr>
                    <w:top w:val="none" w:sz="0" w:space="0" w:color="auto"/>
                    <w:left w:val="none" w:sz="0" w:space="0" w:color="auto"/>
                    <w:bottom w:val="none" w:sz="0" w:space="0" w:color="auto"/>
                    <w:right w:val="none" w:sz="0" w:space="0" w:color="auto"/>
                  </w:divBdr>
                </w:div>
              </w:divsChild>
            </w:div>
            <w:div w:id="987787033">
              <w:marLeft w:val="0"/>
              <w:marRight w:val="0"/>
              <w:marTop w:val="0"/>
              <w:marBottom w:val="0"/>
              <w:divBdr>
                <w:top w:val="none" w:sz="0" w:space="0" w:color="auto"/>
                <w:left w:val="none" w:sz="0" w:space="0" w:color="auto"/>
                <w:bottom w:val="none" w:sz="0" w:space="0" w:color="auto"/>
                <w:right w:val="none" w:sz="0" w:space="0" w:color="auto"/>
              </w:divBdr>
              <w:divsChild>
                <w:div w:id="1040789435">
                  <w:marLeft w:val="0"/>
                  <w:marRight w:val="0"/>
                  <w:marTop w:val="0"/>
                  <w:marBottom w:val="0"/>
                  <w:divBdr>
                    <w:top w:val="none" w:sz="0" w:space="0" w:color="auto"/>
                    <w:left w:val="none" w:sz="0" w:space="0" w:color="auto"/>
                    <w:bottom w:val="none" w:sz="0" w:space="0" w:color="auto"/>
                    <w:right w:val="none" w:sz="0" w:space="0" w:color="auto"/>
                  </w:divBdr>
                </w:div>
              </w:divsChild>
            </w:div>
            <w:div w:id="1095397438">
              <w:marLeft w:val="0"/>
              <w:marRight w:val="0"/>
              <w:marTop w:val="0"/>
              <w:marBottom w:val="0"/>
              <w:divBdr>
                <w:top w:val="none" w:sz="0" w:space="0" w:color="auto"/>
                <w:left w:val="none" w:sz="0" w:space="0" w:color="auto"/>
                <w:bottom w:val="none" w:sz="0" w:space="0" w:color="auto"/>
                <w:right w:val="none" w:sz="0" w:space="0" w:color="auto"/>
              </w:divBdr>
              <w:divsChild>
                <w:div w:id="62261434">
                  <w:marLeft w:val="0"/>
                  <w:marRight w:val="0"/>
                  <w:marTop w:val="0"/>
                  <w:marBottom w:val="0"/>
                  <w:divBdr>
                    <w:top w:val="none" w:sz="0" w:space="0" w:color="auto"/>
                    <w:left w:val="none" w:sz="0" w:space="0" w:color="auto"/>
                    <w:bottom w:val="none" w:sz="0" w:space="0" w:color="auto"/>
                    <w:right w:val="none" w:sz="0" w:space="0" w:color="auto"/>
                  </w:divBdr>
                </w:div>
              </w:divsChild>
            </w:div>
            <w:div w:id="1183323419">
              <w:marLeft w:val="0"/>
              <w:marRight w:val="0"/>
              <w:marTop w:val="0"/>
              <w:marBottom w:val="0"/>
              <w:divBdr>
                <w:top w:val="none" w:sz="0" w:space="0" w:color="auto"/>
                <w:left w:val="none" w:sz="0" w:space="0" w:color="auto"/>
                <w:bottom w:val="none" w:sz="0" w:space="0" w:color="auto"/>
                <w:right w:val="none" w:sz="0" w:space="0" w:color="auto"/>
              </w:divBdr>
              <w:divsChild>
                <w:div w:id="1187672527">
                  <w:marLeft w:val="0"/>
                  <w:marRight w:val="0"/>
                  <w:marTop w:val="0"/>
                  <w:marBottom w:val="0"/>
                  <w:divBdr>
                    <w:top w:val="none" w:sz="0" w:space="0" w:color="auto"/>
                    <w:left w:val="none" w:sz="0" w:space="0" w:color="auto"/>
                    <w:bottom w:val="none" w:sz="0" w:space="0" w:color="auto"/>
                    <w:right w:val="none" w:sz="0" w:space="0" w:color="auto"/>
                  </w:divBdr>
                </w:div>
              </w:divsChild>
            </w:div>
            <w:div w:id="1353143135">
              <w:marLeft w:val="0"/>
              <w:marRight w:val="0"/>
              <w:marTop w:val="0"/>
              <w:marBottom w:val="0"/>
              <w:divBdr>
                <w:top w:val="none" w:sz="0" w:space="0" w:color="auto"/>
                <w:left w:val="none" w:sz="0" w:space="0" w:color="auto"/>
                <w:bottom w:val="none" w:sz="0" w:space="0" w:color="auto"/>
                <w:right w:val="none" w:sz="0" w:space="0" w:color="auto"/>
              </w:divBdr>
              <w:divsChild>
                <w:div w:id="138961605">
                  <w:marLeft w:val="0"/>
                  <w:marRight w:val="0"/>
                  <w:marTop w:val="0"/>
                  <w:marBottom w:val="0"/>
                  <w:divBdr>
                    <w:top w:val="none" w:sz="0" w:space="0" w:color="auto"/>
                    <w:left w:val="none" w:sz="0" w:space="0" w:color="auto"/>
                    <w:bottom w:val="none" w:sz="0" w:space="0" w:color="auto"/>
                    <w:right w:val="none" w:sz="0" w:space="0" w:color="auto"/>
                  </w:divBdr>
                </w:div>
              </w:divsChild>
            </w:div>
            <w:div w:id="1437021963">
              <w:marLeft w:val="0"/>
              <w:marRight w:val="0"/>
              <w:marTop w:val="0"/>
              <w:marBottom w:val="0"/>
              <w:divBdr>
                <w:top w:val="none" w:sz="0" w:space="0" w:color="auto"/>
                <w:left w:val="none" w:sz="0" w:space="0" w:color="auto"/>
                <w:bottom w:val="none" w:sz="0" w:space="0" w:color="auto"/>
                <w:right w:val="none" w:sz="0" w:space="0" w:color="auto"/>
              </w:divBdr>
              <w:divsChild>
                <w:div w:id="302345459">
                  <w:marLeft w:val="0"/>
                  <w:marRight w:val="0"/>
                  <w:marTop w:val="0"/>
                  <w:marBottom w:val="0"/>
                  <w:divBdr>
                    <w:top w:val="none" w:sz="0" w:space="0" w:color="auto"/>
                    <w:left w:val="none" w:sz="0" w:space="0" w:color="auto"/>
                    <w:bottom w:val="none" w:sz="0" w:space="0" w:color="auto"/>
                    <w:right w:val="none" w:sz="0" w:space="0" w:color="auto"/>
                  </w:divBdr>
                </w:div>
              </w:divsChild>
            </w:div>
            <w:div w:id="1638140978">
              <w:marLeft w:val="0"/>
              <w:marRight w:val="0"/>
              <w:marTop w:val="0"/>
              <w:marBottom w:val="0"/>
              <w:divBdr>
                <w:top w:val="none" w:sz="0" w:space="0" w:color="auto"/>
                <w:left w:val="none" w:sz="0" w:space="0" w:color="auto"/>
                <w:bottom w:val="none" w:sz="0" w:space="0" w:color="auto"/>
                <w:right w:val="none" w:sz="0" w:space="0" w:color="auto"/>
              </w:divBdr>
              <w:divsChild>
                <w:div w:id="1904488927">
                  <w:marLeft w:val="0"/>
                  <w:marRight w:val="0"/>
                  <w:marTop w:val="0"/>
                  <w:marBottom w:val="0"/>
                  <w:divBdr>
                    <w:top w:val="none" w:sz="0" w:space="0" w:color="auto"/>
                    <w:left w:val="none" w:sz="0" w:space="0" w:color="auto"/>
                    <w:bottom w:val="none" w:sz="0" w:space="0" w:color="auto"/>
                    <w:right w:val="none" w:sz="0" w:space="0" w:color="auto"/>
                  </w:divBdr>
                </w:div>
              </w:divsChild>
            </w:div>
            <w:div w:id="2013947010">
              <w:marLeft w:val="0"/>
              <w:marRight w:val="0"/>
              <w:marTop w:val="0"/>
              <w:marBottom w:val="0"/>
              <w:divBdr>
                <w:top w:val="none" w:sz="0" w:space="0" w:color="auto"/>
                <w:left w:val="none" w:sz="0" w:space="0" w:color="auto"/>
                <w:bottom w:val="none" w:sz="0" w:space="0" w:color="auto"/>
                <w:right w:val="none" w:sz="0" w:space="0" w:color="auto"/>
              </w:divBdr>
              <w:divsChild>
                <w:div w:id="115881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5556">
          <w:marLeft w:val="-75"/>
          <w:marRight w:val="0"/>
          <w:marTop w:val="30"/>
          <w:marBottom w:val="30"/>
          <w:divBdr>
            <w:top w:val="none" w:sz="0" w:space="0" w:color="auto"/>
            <w:left w:val="none" w:sz="0" w:space="0" w:color="auto"/>
            <w:bottom w:val="none" w:sz="0" w:space="0" w:color="auto"/>
            <w:right w:val="none" w:sz="0" w:space="0" w:color="auto"/>
          </w:divBdr>
          <w:divsChild>
            <w:div w:id="479658614">
              <w:marLeft w:val="0"/>
              <w:marRight w:val="0"/>
              <w:marTop w:val="0"/>
              <w:marBottom w:val="0"/>
              <w:divBdr>
                <w:top w:val="none" w:sz="0" w:space="0" w:color="auto"/>
                <w:left w:val="none" w:sz="0" w:space="0" w:color="auto"/>
                <w:bottom w:val="none" w:sz="0" w:space="0" w:color="auto"/>
                <w:right w:val="none" w:sz="0" w:space="0" w:color="auto"/>
              </w:divBdr>
              <w:divsChild>
                <w:div w:id="955797253">
                  <w:marLeft w:val="0"/>
                  <w:marRight w:val="0"/>
                  <w:marTop w:val="0"/>
                  <w:marBottom w:val="0"/>
                  <w:divBdr>
                    <w:top w:val="none" w:sz="0" w:space="0" w:color="auto"/>
                    <w:left w:val="none" w:sz="0" w:space="0" w:color="auto"/>
                    <w:bottom w:val="none" w:sz="0" w:space="0" w:color="auto"/>
                    <w:right w:val="none" w:sz="0" w:space="0" w:color="auto"/>
                  </w:divBdr>
                </w:div>
              </w:divsChild>
            </w:div>
            <w:div w:id="814444490">
              <w:marLeft w:val="0"/>
              <w:marRight w:val="0"/>
              <w:marTop w:val="0"/>
              <w:marBottom w:val="0"/>
              <w:divBdr>
                <w:top w:val="none" w:sz="0" w:space="0" w:color="auto"/>
                <w:left w:val="none" w:sz="0" w:space="0" w:color="auto"/>
                <w:bottom w:val="none" w:sz="0" w:space="0" w:color="auto"/>
                <w:right w:val="none" w:sz="0" w:space="0" w:color="auto"/>
              </w:divBdr>
              <w:divsChild>
                <w:div w:id="20514709">
                  <w:marLeft w:val="0"/>
                  <w:marRight w:val="0"/>
                  <w:marTop w:val="0"/>
                  <w:marBottom w:val="0"/>
                  <w:divBdr>
                    <w:top w:val="none" w:sz="0" w:space="0" w:color="auto"/>
                    <w:left w:val="none" w:sz="0" w:space="0" w:color="auto"/>
                    <w:bottom w:val="none" w:sz="0" w:space="0" w:color="auto"/>
                    <w:right w:val="none" w:sz="0" w:space="0" w:color="auto"/>
                  </w:divBdr>
                </w:div>
                <w:div w:id="16473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39162">
          <w:marLeft w:val="-75"/>
          <w:marRight w:val="0"/>
          <w:marTop w:val="30"/>
          <w:marBottom w:val="30"/>
          <w:divBdr>
            <w:top w:val="none" w:sz="0" w:space="0" w:color="auto"/>
            <w:left w:val="none" w:sz="0" w:space="0" w:color="auto"/>
            <w:bottom w:val="none" w:sz="0" w:space="0" w:color="auto"/>
            <w:right w:val="none" w:sz="0" w:space="0" w:color="auto"/>
          </w:divBdr>
          <w:divsChild>
            <w:div w:id="121726678">
              <w:marLeft w:val="0"/>
              <w:marRight w:val="0"/>
              <w:marTop w:val="0"/>
              <w:marBottom w:val="0"/>
              <w:divBdr>
                <w:top w:val="none" w:sz="0" w:space="0" w:color="auto"/>
                <w:left w:val="none" w:sz="0" w:space="0" w:color="auto"/>
                <w:bottom w:val="none" w:sz="0" w:space="0" w:color="auto"/>
                <w:right w:val="none" w:sz="0" w:space="0" w:color="auto"/>
              </w:divBdr>
            </w:div>
            <w:div w:id="301354947">
              <w:marLeft w:val="0"/>
              <w:marRight w:val="0"/>
              <w:marTop w:val="0"/>
              <w:marBottom w:val="0"/>
              <w:divBdr>
                <w:top w:val="none" w:sz="0" w:space="0" w:color="auto"/>
                <w:left w:val="none" w:sz="0" w:space="0" w:color="auto"/>
                <w:bottom w:val="none" w:sz="0" w:space="0" w:color="auto"/>
                <w:right w:val="none" w:sz="0" w:space="0" w:color="auto"/>
              </w:divBdr>
              <w:divsChild>
                <w:div w:id="1739085040">
                  <w:marLeft w:val="0"/>
                  <w:marRight w:val="0"/>
                  <w:marTop w:val="0"/>
                  <w:marBottom w:val="0"/>
                  <w:divBdr>
                    <w:top w:val="none" w:sz="0" w:space="0" w:color="auto"/>
                    <w:left w:val="none" w:sz="0" w:space="0" w:color="auto"/>
                    <w:bottom w:val="none" w:sz="0" w:space="0" w:color="auto"/>
                    <w:right w:val="none" w:sz="0" w:space="0" w:color="auto"/>
                  </w:divBdr>
                </w:div>
              </w:divsChild>
            </w:div>
            <w:div w:id="736320532">
              <w:marLeft w:val="0"/>
              <w:marRight w:val="0"/>
              <w:marTop w:val="0"/>
              <w:marBottom w:val="0"/>
              <w:divBdr>
                <w:top w:val="none" w:sz="0" w:space="0" w:color="auto"/>
                <w:left w:val="none" w:sz="0" w:space="0" w:color="auto"/>
                <w:bottom w:val="none" w:sz="0" w:space="0" w:color="auto"/>
                <w:right w:val="none" w:sz="0" w:space="0" w:color="auto"/>
              </w:divBdr>
              <w:divsChild>
                <w:div w:id="1537155446">
                  <w:marLeft w:val="0"/>
                  <w:marRight w:val="0"/>
                  <w:marTop w:val="0"/>
                  <w:marBottom w:val="0"/>
                  <w:divBdr>
                    <w:top w:val="none" w:sz="0" w:space="0" w:color="auto"/>
                    <w:left w:val="none" w:sz="0" w:space="0" w:color="auto"/>
                    <w:bottom w:val="none" w:sz="0" w:space="0" w:color="auto"/>
                    <w:right w:val="none" w:sz="0" w:space="0" w:color="auto"/>
                  </w:divBdr>
                </w:div>
              </w:divsChild>
            </w:div>
            <w:div w:id="850989337">
              <w:marLeft w:val="0"/>
              <w:marRight w:val="0"/>
              <w:marTop w:val="0"/>
              <w:marBottom w:val="0"/>
              <w:divBdr>
                <w:top w:val="none" w:sz="0" w:space="0" w:color="auto"/>
                <w:left w:val="none" w:sz="0" w:space="0" w:color="auto"/>
                <w:bottom w:val="none" w:sz="0" w:space="0" w:color="auto"/>
                <w:right w:val="none" w:sz="0" w:space="0" w:color="auto"/>
              </w:divBdr>
              <w:divsChild>
                <w:div w:id="428043590">
                  <w:marLeft w:val="0"/>
                  <w:marRight w:val="0"/>
                  <w:marTop w:val="0"/>
                  <w:marBottom w:val="0"/>
                  <w:divBdr>
                    <w:top w:val="none" w:sz="0" w:space="0" w:color="auto"/>
                    <w:left w:val="none" w:sz="0" w:space="0" w:color="auto"/>
                    <w:bottom w:val="none" w:sz="0" w:space="0" w:color="auto"/>
                    <w:right w:val="none" w:sz="0" w:space="0" w:color="auto"/>
                  </w:divBdr>
                </w:div>
              </w:divsChild>
            </w:div>
            <w:div w:id="987242146">
              <w:marLeft w:val="0"/>
              <w:marRight w:val="0"/>
              <w:marTop w:val="0"/>
              <w:marBottom w:val="0"/>
              <w:divBdr>
                <w:top w:val="none" w:sz="0" w:space="0" w:color="auto"/>
                <w:left w:val="none" w:sz="0" w:space="0" w:color="auto"/>
                <w:bottom w:val="none" w:sz="0" w:space="0" w:color="auto"/>
                <w:right w:val="none" w:sz="0" w:space="0" w:color="auto"/>
              </w:divBdr>
              <w:divsChild>
                <w:div w:id="2041271877">
                  <w:marLeft w:val="0"/>
                  <w:marRight w:val="0"/>
                  <w:marTop w:val="0"/>
                  <w:marBottom w:val="0"/>
                  <w:divBdr>
                    <w:top w:val="none" w:sz="0" w:space="0" w:color="auto"/>
                    <w:left w:val="none" w:sz="0" w:space="0" w:color="auto"/>
                    <w:bottom w:val="none" w:sz="0" w:space="0" w:color="auto"/>
                    <w:right w:val="none" w:sz="0" w:space="0" w:color="auto"/>
                  </w:divBdr>
                </w:div>
              </w:divsChild>
            </w:div>
            <w:div w:id="1000739794">
              <w:marLeft w:val="0"/>
              <w:marRight w:val="0"/>
              <w:marTop w:val="0"/>
              <w:marBottom w:val="0"/>
              <w:divBdr>
                <w:top w:val="none" w:sz="0" w:space="0" w:color="auto"/>
                <w:left w:val="none" w:sz="0" w:space="0" w:color="auto"/>
                <w:bottom w:val="none" w:sz="0" w:space="0" w:color="auto"/>
                <w:right w:val="none" w:sz="0" w:space="0" w:color="auto"/>
              </w:divBdr>
              <w:divsChild>
                <w:div w:id="500119377">
                  <w:marLeft w:val="0"/>
                  <w:marRight w:val="0"/>
                  <w:marTop w:val="0"/>
                  <w:marBottom w:val="0"/>
                  <w:divBdr>
                    <w:top w:val="none" w:sz="0" w:space="0" w:color="auto"/>
                    <w:left w:val="none" w:sz="0" w:space="0" w:color="auto"/>
                    <w:bottom w:val="none" w:sz="0" w:space="0" w:color="auto"/>
                    <w:right w:val="none" w:sz="0" w:space="0" w:color="auto"/>
                  </w:divBdr>
                </w:div>
              </w:divsChild>
            </w:div>
            <w:div w:id="1634217411">
              <w:marLeft w:val="0"/>
              <w:marRight w:val="0"/>
              <w:marTop w:val="0"/>
              <w:marBottom w:val="0"/>
              <w:divBdr>
                <w:top w:val="none" w:sz="0" w:space="0" w:color="auto"/>
                <w:left w:val="none" w:sz="0" w:space="0" w:color="auto"/>
                <w:bottom w:val="none" w:sz="0" w:space="0" w:color="auto"/>
                <w:right w:val="none" w:sz="0" w:space="0" w:color="auto"/>
              </w:divBdr>
              <w:divsChild>
                <w:div w:id="1767189499">
                  <w:marLeft w:val="0"/>
                  <w:marRight w:val="0"/>
                  <w:marTop w:val="0"/>
                  <w:marBottom w:val="0"/>
                  <w:divBdr>
                    <w:top w:val="none" w:sz="0" w:space="0" w:color="auto"/>
                    <w:left w:val="none" w:sz="0" w:space="0" w:color="auto"/>
                    <w:bottom w:val="none" w:sz="0" w:space="0" w:color="auto"/>
                    <w:right w:val="none" w:sz="0" w:space="0" w:color="auto"/>
                  </w:divBdr>
                </w:div>
                <w:div w:id="2112895483">
                  <w:marLeft w:val="0"/>
                  <w:marRight w:val="0"/>
                  <w:marTop w:val="0"/>
                  <w:marBottom w:val="0"/>
                  <w:divBdr>
                    <w:top w:val="none" w:sz="0" w:space="0" w:color="auto"/>
                    <w:left w:val="none" w:sz="0" w:space="0" w:color="auto"/>
                    <w:bottom w:val="none" w:sz="0" w:space="0" w:color="auto"/>
                    <w:right w:val="none" w:sz="0" w:space="0" w:color="auto"/>
                  </w:divBdr>
                </w:div>
              </w:divsChild>
            </w:div>
            <w:div w:id="1798836257">
              <w:marLeft w:val="0"/>
              <w:marRight w:val="0"/>
              <w:marTop w:val="0"/>
              <w:marBottom w:val="0"/>
              <w:divBdr>
                <w:top w:val="none" w:sz="0" w:space="0" w:color="auto"/>
                <w:left w:val="none" w:sz="0" w:space="0" w:color="auto"/>
                <w:bottom w:val="none" w:sz="0" w:space="0" w:color="auto"/>
                <w:right w:val="none" w:sz="0" w:space="0" w:color="auto"/>
              </w:divBdr>
              <w:divsChild>
                <w:div w:id="993799858">
                  <w:marLeft w:val="0"/>
                  <w:marRight w:val="0"/>
                  <w:marTop w:val="0"/>
                  <w:marBottom w:val="0"/>
                  <w:divBdr>
                    <w:top w:val="none" w:sz="0" w:space="0" w:color="auto"/>
                    <w:left w:val="none" w:sz="0" w:space="0" w:color="auto"/>
                    <w:bottom w:val="none" w:sz="0" w:space="0" w:color="auto"/>
                    <w:right w:val="none" w:sz="0" w:space="0" w:color="auto"/>
                  </w:divBdr>
                </w:div>
              </w:divsChild>
            </w:div>
            <w:div w:id="1929998874">
              <w:marLeft w:val="0"/>
              <w:marRight w:val="0"/>
              <w:marTop w:val="0"/>
              <w:marBottom w:val="0"/>
              <w:divBdr>
                <w:top w:val="none" w:sz="0" w:space="0" w:color="auto"/>
                <w:left w:val="none" w:sz="0" w:space="0" w:color="auto"/>
                <w:bottom w:val="none" w:sz="0" w:space="0" w:color="auto"/>
                <w:right w:val="none" w:sz="0" w:space="0" w:color="auto"/>
              </w:divBdr>
              <w:divsChild>
                <w:div w:id="5373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488">
          <w:marLeft w:val="0"/>
          <w:marRight w:val="0"/>
          <w:marTop w:val="0"/>
          <w:marBottom w:val="0"/>
          <w:divBdr>
            <w:top w:val="none" w:sz="0" w:space="0" w:color="auto"/>
            <w:left w:val="none" w:sz="0" w:space="0" w:color="auto"/>
            <w:bottom w:val="none" w:sz="0" w:space="0" w:color="auto"/>
            <w:right w:val="none" w:sz="0" w:space="0" w:color="auto"/>
          </w:divBdr>
        </w:div>
        <w:div w:id="1312055731">
          <w:marLeft w:val="0"/>
          <w:marRight w:val="0"/>
          <w:marTop w:val="0"/>
          <w:marBottom w:val="0"/>
          <w:divBdr>
            <w:top w:val="none" w:sz="0" w:space="0" w:color="auto"/>
            <w:left w:val="none" w:sz="0" w:space="0" w:color="auto"/>
            <w:bottom w:val="none" w:sz="0" w:space="0" w:color="auto"/>
            <w:right w:val="none" w:sz="0" w:space="0" w:color="auto"/>
          </w:divBdr>
        </w:div>
        <w:div w:id="1351223497">
          <w:marLeft w:val="0"/>
          <w:marRight w:val="0"/>
          <w:marTop w:val="0"/>
          <w:marBottom w:val="0"/>
          <w:divBdr>
            <w:top w:val="none" w:sz="0" w:space="0" w:color="auto"/>
            <w:left w:val="none" w:sz="0" w:space="0" w:color="auto"/>
            <w:bottom w:val="none" w:sz="0" w:space="0" w:color="auto"/>
            <w:right w:val="none" w:sz="0" w:space="0" w:color="auto"/>
          </w:divBdr>
        </w:div>
        <w:div w:id="1422289881">
          <w:marLeft w:val="0"/>
          <w:marRight w:val="0"/>
          <w:marTop w:val="0"/>
          <w:marBottom w:val="0"/>
          <w:divBdr>
            <w:top w:val="none" w:sz="0" w:space="0" w:color="auto"/>
            <w:left w:val="none" w:sz="0" w:space="0" w:color="auto"/>
            <w:bottom w:val="none" w:sz="0" w:space="0" w:color="auto"/>
            <w:right w:val="none" w:sz="0" w:space="0" w:color="auto"/>
          </w:divBdr>
        </w:div>
        <w:div w:id="1475027112">
          <w:marLeft w:val="0"/>
          <w:marRight w:val="0"/>
          <w:marTop w:val="0"/>
          <w:marBottom w:val="0"/>
          <w:divBdr>
            <w:top w:val="none" w:sz="0" w:space="0" w:color="auto"/>
            <w:left w:val="none" w:sz="0" w:space="0" w:color="auto"/>
            <w:bottom w:val="none" w:sz="0" w:space="0" w:color="auto"/>
            <w:right w:val="none" w:sz="0" w:space="0" w:color="auto"/>
          </w:divBdr>
        </w:div>
        <w:div w:id="1599217893">
          <w:marLeft w:val="-75"/>
          <w:marRight w:val="0"/>
          <w:marTop w:val="30"/>
          <w:marBottom w:val="30"/>
          <w:divBdr>
            <w:top w:val="none" w:sz="0" w:space="0" w:color="auto"/>
            <w:left w:val="none" w:sz="0" w:space="0" w:color="auto"/>
            <w:bottom w:val="none" w:sz="0" w:space="0" w:color="auto"/>
            <w:right w:val="none" w:sz="0" w:space="0" w:color="auto"/>
          </w:divBdr>
          <w:divsChild>
            <w:div w:id="19934915">
              <w:marLeft w:val="0"/>
              <w:marRight w:val="0"/>
              <w:marTop w:val="0"/>
              <w:marBottom w:val="0"/>
              <w:divBdr>
                <w:top w:val="none" w:sz="0" w:space="0" w:color="auto"/>
                <w:left w:val="none" w:sz="0" w:space="0" w:color="auto"/>
                <w:bottom w:val="none" w:sz="0" w:space="0" w:color="auto"/>
                <w:right w:val="none" w:sz="0" w:space="0" w:color="auto"/>
              </w:divBdr>
              <w:divsChild>
                <w:div w:id="1525442200">
                  <w:marLeft w:val="0"/>
                  <w:marRight w:val="0"/>
                  <w:marTop w:val="0"/>
                  <w:marBottom w:val="0"/>
                  <w:divBdr>
                    <w:top w:val="none" w:sz="0" w:space="0" w:color="auto"/>
                    <w:left w:val="none" w:sz="0" w:space="0" w:color="auto"/>
                    <w:bottom w:val="none" w:sz="0" w:space="0" w:color="auto"/>
                    <w:right w:val="none" w:sz="0" w:space="0" w:color="auto"/>
                  </w:divBdr>
                </w:div>
              </w:divsChild>
            </w:div>
            <w:div w:id="47605709">
              <w:marLeft w:val="0"/>
              <w:marRight w:val="0"/>
              <w:marTop w:val="0"/>
              <w:marBottom w:val="0"/>
              <w:divBdr>
                <w:top w:val="none" w:sz="0" w:space="0" w:color="auto"/>
                <w:left w:val="none" w:sz="0" w:space="0" w:color="auto"/>
                <w:bottom w:val="none" w:sz="0" w:space="0" w:color="auto"/>
                <w:right w:val="none" w:sz="0" w:space="0" w:color="auto"/>
              </w:divBdr>
              <w:divsChild>
                <w:div w:id="335378520">
                  <w:marLeft w:val="0"/>
                  <w:marRight w:val="0"/>
                  <w:marTop w:val="0"/>
                  <w:marBottom w:val="0"/>
                  <w:divBdr>
                    <w:top w:val="none" w:sz="0" w:space="0" w:color="auto"/>
                    <w:left w:val="none" w:sz="0" w:space="0" w:color="auto"/>
                    <w:bottom w:val="none" w:sz="0" w:space="0" w:color="auto"/>
                    <w:right w:val="none" w:sz="0" w:space="0" w:color="auto"/>
                  </w:divBdr>
                </w:div>
              </w:divsChild>
            </w:div>
            <w:div w:id="71323023">
              <w:marLeft w:val="0"/>
              <w:marRight w:val="0"/>
              <w:marTop w:val="0"/>
              <w:marBottom w:val="0"/>
              <w:divBdr>
                <w:top w:val="none" w:sz="0" w:space="0" w:color="auto"/>
                <w:left w:val="none" w:sz="0" w:space="0" w:color="auto"/>
                <w:bottom w:val="none" w:sz="0" w:space="0" w:color="auto"/>
                <w:right w:val="none" w:sz="0" w:space="0" w:color="auto"/>
              </w:divBdr>
              <w:divsChild>
                <w:div w:id="929896563">
                  <w:marLeft w:val="0"/>
                  <w:marRight w:val="0"/>
                  <w:marTop w:val="0"/>
                  <w:marBottom w:val="0"/>
                  <w:divBdr>
                    <w:top w:val="none" w:sz="0" w:space="0" w:color="auto"/>
                    <w:left w:val="none" w:sz="0" w:space="0" w:color="auto"/>
                    <w:bottom w:val="none" w:sz="0" w:space="0" w:color="auto"/>
                    <w:right w:val="none" w:sz="0" w:space="0" w:color="auto"/>
                  </w:divBdr>
                </w:div>
              </w:divsChild>
            </w:div>
            <w:div w:id="110902245">
              <w:marLeft w:val="0"/>
              <w:marRight w:val="0"/>
              <w:marTop w:val="0"/>
              <w:marBottom w:val="0"/>
              <w:divBdr>
                <w:top w:val="none" w:sz="0" w:space="0" w:color="auto"/>
                <w:left w:val="none" w:sz="0" w:space="0" w:color="auto"/>
                <w:bottom w:val="none" w:sz="0" w:space="0" w:color="auto"/>
                <w:right w:val="none" w:sz="0" w:space="0" w:color="auto"/>
              </w:divBdr>
              <w:divsChild>
                <w:div w:id="1681010781">
                  <w:marLeft w:val="0"/>
                  <w:marRight w:val="0"/>
                  <w:marTop w:val="0"/>
                  <w:marBottom w:val="0"/>
                  <w:divBdr>
                    <w:top w:val="none" w:sz="0" w:space="0" w:color="auto"/>
                    <w:left w:val="none" w:sz="0" w:space="0" w:color="auto"/>
                    <w:bottom w:val="none" w:sz="0" w:space="0" w:color="auto"/>
                    <w:right w:val="none" w:sz="0" w:space="0" w:color="auto"/>
                  </w:divBdr>
                </w:div>
              </w:divsChild>
            </w:div>
            <w:div w:id="328758636">
              <w:marLeft w:val="0"/>
              <w:marRight w:val="0"/>
              <w:marTop w:val="0"/>
              <w:marBottom w:val="0"/>
              <w:divBdr>
                <w:top w:val="none" w:sz="0" w:space="0" w:color="auto"/>
                <w:left w:val="none" w:sz="0" w:space="0" w:color="auto"/>
                <w:bottom w:val="none" w:sz="0" w:space="0" w:color="auto"/>
                <w:right w:val="none" w:sz="0" w:space="0" w:color="auto"/>
              </w:divBdr>
              <w:divsChild>
                <w:div w:id="1137722236">
                  <w:marLeft w:val="0"/>
                  <w:marRight w:val="0"/>
                  <w:marTop w:val="0"/>
                  <w:marBottom w:val="0"/>
                  <w:divBdr>
                    <w:top w:val="none" w:sz="0" w:space="0" w:color="auto"/>
                    <w:left w:val="none" w:sz="0" w:space="0" w:color="auto"/>
                    <w:bottom w:val="none" w:sz="0" w:space="0" w:color="auto"/>
                    <w:right w:val="none" w:sz="0" w:space="0" w:color="auto"/>
                  </w:divBdr>
                </w:div>
              </w:divsChild>
            </w:div>
            <w:div w:id="378942922">
              <w:marLeft w:val="0"/>
              <w:marRight w:val="0"/>
              <w:marTop w:val="0"/>
              <w:marBottom w:val="0"/>
              <w:divBdr>
                <w:top w:val="none" w:sz="0" w:space="0" w:color="auto"/>
                <w:left w:val="none" w:sz="0" w:space="0" w:color="auto"/>
                <w:bottom w:val="none" w:sz="0" w:space="0" w:color="auto"/>
                <w:right w:val="none" w:sz="0" w:space="0" w:color="auto"/>
              </w:divBdr>
              <w:divsChild>
                <w:div w:id="1751384919">
                  <w:marLeft w:val="0"/>
                  <w:marRight w:val="0"/>
                  <w:marTop w:val="0"/>
                  <w:marBottom w:val="0"/>
                  <w:divBdr>
                    <w:top w:val="none" w:sz="0" w:space="0" w:color="auto"/>
                    <w:left w:val="none" w:sz="0" w:space="0" w:color="auto"/>
                    <w:bottom w:val="none" w:sz="0" w:space="0" w:color="auto"/>
                    <w:right w:val="none" w:sz="0" w:space="0" w:color="auto"/>
                  </w:divBdr>
                </w:div>
              </w:divsChild>
            </w:div>
            <w:div w:id="398133565">
              <w:marLeft w:val="0"/>
              <w:marRight w:val="0"/>
              <w:marTop w:val="0"/>
              <w:marBottom w:val="0"/>
              <w:divBdr>
                <w:top w:val="none" w:sz="0" w:space="0" w:color="auto"/>
                <w:left w:val="none" w:sz="0" w:space="0" w:color="auto"/>
                <w:bottom w:val="none" w:sz="0" w:space="0" w:color="auto"/>
                <w:right w:val="none" w:sz="0" w:space="0" w:color="auto"/>
              </w:divBdr>
              <w:divsChild>
                <w:div w:id="1307512226">
                  <w:marLeft w:val="0"/>
                  <w:marRight w:val="0"/>
                  <w:marTop w:val="0"/>
                  <w:marBottom w:val="0"/>
                  <w:divBdr>
                    <w:top w:val="none" w:sz="0" w:space="0" w:color="auto"/>
                    <w:left w:val="none" w:sz="0" w:space="0" w:color="auto"/>
                    <w:bottom w:val="none" w:sz="0" w:space="0" w:color="auto"/>
                    <w:right w:val="none" w:sz="0" w:space="0" w:color="auto"/>
                  </w:divBdr>
                </w:div>
              </w:divsChild>
            </w:div>
            <w:div w:id="412553504">
              <w:marLeft w:val="0"/>
              <w:marRight w:val="0"/>
              <w:marTop w:val="0"/>
              <w:marBottom w:val="0"/>
              <w:divBdr>
                <w:top w:val="none" w:sz="0" w:space="0" w:color="auto"/>
                <w:left w:val="none" w:sz="0" w:space="0" w:color="auto"/>
                <w:bottom w:val="none" w:sz="0" w:space="0" w:color="auto"/>
                <w:right w:val="none" w:sz="0" w:space="0" w:color="auto"/>
              </w:divBdr>
              <w:divsChild>
                <w:div w:id="1755931195">
                  <w:marLeft w:val="0"/>
                  <w:marRight w:val="0"/>
                  <w:marTop w:val="0"/>
                  <w:marBottom w:val="0"/>
                  <w:divBdr>
                    <w:top w:val="none" w:sz="0" w:space="0" w:color="auto"/>
                    <w:left w:val="none" w:sz="0" w:space="0" w:color="auto"/>
                    <w:bottom w:val="none" w:sz="0" w:space="0" w:color="auto"/>
                    <w:right w:val="none" w:sz="0" w:space="0" w:color="auto"/>
                  </w:divBdr>
                </w:div>
              </w:divsChild>
            </w:div>
            <w:div w:id="434374679">
              <w:marLeft w:val="0"/>
              <w:marRight w:val="0"/>
              <w:marTop w:val="0"/>
              <w:marBottom w:val="0"/>
              <w:divBdr>
                <w:top w:val="none" w:sz="0" w:space="0" w:color="auto"/>
                <w:left w:val="none" w:sz="0" w:space="0" w:color="auto"/>
                <w:bottom w:val="none" w:sz="0" w:space="0" w:color="auto"/>
                <w:right w:val="none" w:sz="0" w:space="0" w:color="auto"/>
              </w:divBdr>
              <w:divsChild>
                <w:div w:id="253561067">
                  <w:marLeft w:val="0"/>
                  <w:marRight w:val="0"/>
                  <w:marTop w:val="0"/>
                  <w:marBottom w:val="0"/>
                  <w:divBdr>
                    <w:top w:val="none" w:sz="0" w:space="0" w:color="auto"/>
                    <w:left w:val="none" w:sz="0" w:space="0" w:color="auto"/>
                    <w:bottom w:val="none" w:sz="0" w:space="0" w:color="auto"/>
                    <w:right w:val="none" w:sz="0" w:space="0" w:color="auto"/>
                  </w:divBdr>
                </w:div>
              </w:divsChild>
            </w:div>
            <w:div w:id="492644923">
              <w:marLeft w:val="0"/>
              <w:marRight w:val="0"/>
              <w:marTop w:val="0"/>
              <w:marBottom w:val="0"/>
              <w:divBdr>
                <w:top w:val="none" w:sz="0" w:space="0" w:color="auto"/>
                <w:left w:val="none" w:sz="0" w:space="0" w:color="auto"/>
                <w:bottom w:val="none" w:sz="0" w:space="0" w:color="auto"/>
                <w:right w:val="none" w:sz="0" w:space="0" w:color="auto"/>
              </w:divBdr>
              <w:divsChild>
                <w:div w:id="1184514343">
                  <w:marLeft w:val="0"/>
                  <w:marRight w:val="0"/>
                  <w:marTop w:val="0"/>
                  <w:marBottom w:val="0"/>
                  <w:divBdr>
                    <w:top w:val="none" w:sz="0" w:space="0" w:color="auto"/>
                    <w:left w:val="none" w:sz="0" w:space="0" w:color="auto"/>
                    <w:bottom w:val="none" w:sz="0" w:space="0" w:color="auto"/>
                    <w:right w:val="none" w:sz="0" w:space="0" w:color="auto"/>
                  </w:divBdr>
                </w:div>
              </w:divsChild>
            </w:div>
            <w:div w:id="497812353">
              <w:marLeft w:val="0"/>
              <w:marRight w:val="0"/>
              <w:marTop w:val="0"/>
              <w:marBottom w:val="0"/>
              <w:divBdr>
                <w:top w:val="none" w:sz="0" w:space="0" w:color="auto"/>
                <w:left w:val="none" w:sz="0" w:space="0" w:color="auto"/>
                <w:bottom w:val="none" w:sz="0" w:space="0" w:color="auto"/>
                <w:right w:val="none" w:sz="0" w:space="0" w:color="auto"/>
              </w:divBdr>
              <w:divsChild>
                <w:div w:id="1896157586">
                  <w:marLeft w:val="0"/>
                  <w:marRight w:val="0"/>
                  <w:marTop w:val="0"/>
                  <w:marBottom w:val="0"/>
                  <w:divBdr>
                    <w:top w:val="none" w:sz="0" w:space="0" w:color="auto"/>
                    <w:left w:val="none" w:sz="0" w:space="0" w:color="auto"/>
                    <w:bottom w:val="none" w:sz="0" w:space="0" w:color="auto"/>
                    <w:right w:val="none" w:sz="0" w:space="0" w:color="auto"/>
                  </w:divBdr>
                </w:div>
              </w:divsChild>
            </w:div>
            <w:div w:id="611866319">
              <w:marLeft w:val="0"/>
              <w:marRight w:val="0"/>
              <w:marTop w:val="0"/>
              <w:marBottom w:val="0"/>
              <w:divBdr>
                <w:top w:val="none" w:sz="0" w:space="0" w:color="auto"/>
                <w:left w:val="none" w:sz="0" w:space="0" w:color="auto"/>
                <w:bottom w:val="none" w:sz="0" w:space="0" w:color="auto"/>
                <w:right w:val="none" w:sz="0" w:space="0" w:color="auto"/>
              </w:divBdr>
              <w:divsChild>
                <w:div w:id="1970472624">
                  <w:marLeft w:val="0"/>
                  <w:marRight w:val="0"/>
                  <w:marTop w:val="0"/>
                  <w:marBottom w:val="0"/>
                  <w:divBdr>
                    <w:top w:val="none" w:sz="0" w:space="0" w:color="auto"/>
                    <w:left w:val="none" w:sz="0" w:space="0" w:color="auto"/>
                    <w:bottom w:val="none" w:sz="0" w:space="0" w:color="auto"/>
                    <w:right w:val="none" w:sz="0" w:space="0" w:color="auto"/>
                  </w:divBdr>
                </w:div>
              </w:divsChild>
            </w:div>
            <w:div w:id="925966008">
              <w:marLeft w:val="0"/>
              <w:marRight w:val="0"/>
              <w:marTop w:val="0"/>
              <w:marBottom w:val="0"/>
              <w:divBdr>
                <w:top w:val="none" w:sz="0" w:space="0" w:color="auto"/>
                <w:left w:val="none" w:sz="0" w:space="0" w:color="auto"/>
                <w:bottom w:val="none" w:sz="0" w:space="0" w:color="auto"/>
                <w:right w:val="none" w:sz="0" w:space="0" w:color="auto"/>
              </w:divBdr>
              <w:divsChild>
                <w:div w:id="1489639223">
                  <w:marLeft w:val="0"/>
                  <w:marRight w:val="0"/>
                  <w:marTop w:val="0"/>
                  <w:marBottom w:val="0"/>
                  <w:divBdr>
                    <w:top w:val="none" w:sz="0" w:space="0" w:color="auto"/>
                    <w:left w:val="none" w:sz="0" w:space="0" w:color="auto"/>
                    <w:bottom w:val="none" w:sz="0" w:space="0" w:color="auto"/>
                    <w:right w:val="none" w:sz="0" w:space="0" w:color="auto"/>
                  </w:divBdr>
                </w:div>
              </w:divsChild>
            </w:div>
            <w:div w:id="964041177">
              <w:marLeft w:val="0"/>
              <w:marRight w:val="0"/>
              <w:marTop w:val="0"/>
              <w:marBottom w:val="0"/>
              <w:divBdr>
                <w:top w:val="none" w:sz="0" w:space="0" w:color="auto"/>
                <w:left w:val="none" w:sz="0" w:space="0" w:color="auto"/>
                <w:bottom w:val="none" w:sz="0" w:space="0" w:color="auto"/>
                <w:right w:val="none" w:sz="0" w:space="0" w:color="auto"/>
              </w:divBdr>
              <w:divsChild>
                <w:div w:id="964821053">
                  <w:marLeft w:val="0"/>
                  <w:marRight w:val="0"/>
                  <w:marTop w:val="0"/>
                  <w:marBottom w:val="0"/>
                  <w:divBdr>
                    <w:top w:val="none" w:sz="0" w:space="0" w:color="auto"/>
                    <w:left w:val="none" w:sz="0" w:space="0" w:color="auto"/>
                    <w:bottom w:val="none" w:sz="0" w:space="0" w:color="auto"/>
                    <w:right w:val="none" w:sz="0" w:space="0" w:color="auto"/>
                  </w:divBdr>
                </w:div>
              </w:divsChild>
            </w:div>
            <w:div w:id="1040938560">
              <w:marLeft w:val="0"/>
              <w:marRight w:val="0"/>
              <w:marTop w:val="0"/>
              <w:marBottom w:val="0"/>
              <w:divBdr>
                <w:top w:val="none" w:sz="0" w:space="0" w:color="auto"/>
                <w:left w:val="none" w:sz="0" w:space="0" w:color="auto"/>
                <w:bottom w:val="none" w:sz="0" w:space="0" w:color="auto"/>
                <w:right w:val="none" w:sz="0" w:space="0" w:color="auto"/>
              </w:divBdr>
            </w:div>
            <w:div w:id="1076434557">
              <w:marLeft w:val="0"/>
              <w:marRight w:val="0"/>
              <w:marTop w:val="0"/>
              <w:marBottom w:val="0"/>
              <w:divBdr>
                <w:top w:val="none" w:sz="0" w:space="0" w:color="auto"/>
                <w:left w:val="none" w:sz="0" w:space="0" w:color="auto"/>
                <w:bottom w:val="none" w:sz="0" w:space="0" w:color="auto"/>
                <w:right w:val="none" w:sz="0" w:space="0" w:color="auto"/>
              </w:divBdr>
              <w:divsChild>
                <w:div w:id="2114469467">
                  <w:marLeft w:val="0"/>
                  <w:marRight w:val="0"/>
                  <w:marTop w:val="0"/>
                  <w:marBottom w:val="0"/>
                  <w:divBdr>
                    <w:top w:val="none" w:sz="0" w:space="0" w:color="auto"/>
                    <w:left w:val="none" w:sz="0" w:space="0" w:color="auto"/>
                    <w:bottom w:val="none" w:sz="0" w:space="0" w:color="auto"/>
                    <w:right w:val="none" w:sz="0" w:space="0" w:color="auto"/>
                  </w:divBdr>
                </w:div>
              </w:divsChild>
            </w:div>
            <w:div w:id="1115249887">
              <w:marLeft w:val="0"/>
              <w:marRight w:val="0"/>
              <w:marTop w:val="0"/>
              <w:marBottom w:val="0"/>
              <w:divBdr>
                <w:top w:val="none" w:sz="0" w:space="0" w:color="auto"/>
                <w:left w:val="none" w:sz="0" w:space="0" w:color="auto"/>
                <w:bottom w:val="none" w:sz="0" w:space="0" w:color="auto"/>
                <w:right w:val="none" w:sz="0" w:space="0" w:color="auto"/>
              </w:divBdr>
              <w:divsChild>
                <w:div w:id="62876751">
                  <w:marLeft w:val="0"/>
                  <w:marRight w:val="0"/>
                  <w:marTop w:val="0"/>
                  <w:marBottom w:val="0"/>
                  <w:divBdr>
                    <w:top w:val="none" w:sz="0" w:space="0" w:color="auto"/>
                    <w:left w:val="none" w:sz="0" w:space="0" w:color="auto"/>
                    <w:bottom w:val="none" w:sz="0" w:space="0" w:color="auto"/>
                    <w:right w:val="none" w:sz="0" w:space="0" w:color="auto"/>
                  </w:divBdr>
                </w:div>
              </w:divsChild>
            </w:div>
            <w:div w:id="1143622103">
              <w:marLeft w:val="0"/>
              <w:marRight w:val="0"/>
              <w:marTop w:val="0"/>
              <w:marBottom w:val="0"/>
              <w:divBdr>
                <w:top w:val="none" w:sz="0" w:space="0" w:color="auto"/>
                <w:left w:val="none" w:sz="0" w:space="0" w:color="auto"/>
                <w:bottom w:val="none" w:sz="0" w:space="0" w:color="auto"/>
                <w:right w:val="none" w:sz="0" w:space="0" w:color="auto"/>
              </w:divBdr>
              <w:divsChild>
                <w:div w:id="1828283547">
                  <w:marLeft w:val="0"/>
                  <w:marRight w:val="0"/>
                  <w:marTop w:val="0"/>
                  <w:marBottom w:val="0"/>
                  <w:divBdr>
                    <w:top w:val="none" w:sz="0" w:space="0" w:color="auto"/>
                    <w:left w:val="none" w:sz="0" w:space="0" w:color="auto"/>
                    <w:bottom w:val="none" w:sz="0" w:space="0" w:color="auto"/>
                    <w:right w:val="none" w:sz="0" w:space="0" w:color="auto"/>
                  </w:divBdr>
                </w:div>
              </w:divsChild>
            </w:div>
            <w:div w:id="1144345841">
              <w:marLeft w:val="0"/>
              <w:marRight w:val="0"/>
              <w:marTop w:val="0"/>
              <w:marBottom w:val="0"/>
              <w:divBdr>
                <w:top w:val="none" w:sz="0" w:space="0" w:color="auto"/>
                <w:left w:val="none" w:sz="0" w:space="0" w:color="auto"/>
                <w:bottom w:val="none" w:sz="0" w:space="0" w:color="auto"/>
                <w:right w:val="none" w:sz="0" w:space="0" w:color="auto"/>
              </w:divBdr>
              <w:divsChild>
                <w:div w:id="2028827284">
                  <w:marLeft w:val="0"/>
                  <w:marRight w:val="0"/>
                  <w:marTop w:val="0"/>
                  <w:marBottom w:val="0"/>
                  <w:divBdr>
                    <w:top w:val="none" w:sz="0" w:space="0" w:color="auto"/>
                    <w:left w:val="none" w:sz="0" w:space="0" w:color="auto"/>
                    <w:bottom w:val="none" w:sz="0" w:space="0" w:color="auto"/>
                    <w:right w:val="none" w:sz="0" w:space="0" w:color="auto"/>
                  </w:divBdr>
                </w:div>
              </w:divsChild>
            </w:div>
            <w:div w:id="1341353447">
              <w:marLeft w:val="0"/>
              <w:marRight w:val="0"/>
              <w:marTop w:val="0"/>
              <w:marBottom w:val="0"/>
              <w:divBdr>
                <w:top w:val="none" w:sz="0" w:space="0" w:color="auto"/>
                <w:left w:val="none" w:sz="0" w:space="0" w:color="auto"/>
                <w:bottom w:val="none" w:sz="0" w:space="0" w:color="auto"/>
                <w:right w:val="none" w:sz="0" w:space="0" w:color="auto"/>
              </w:divBdr>
              <w:divsChild>
                <w:div w:id="1931816138">
                  <w:marLeft w:val="0"/>
                  <w:marRight w:val="0"/>
                  <w:marTop w:val="0"/>
                  <w:marBottom w:val="0"/>
                  <w:divBdr>
                    <w:top w:val="none" w:sz="0" w:space="0" w:color="auto"/>
                    <w:left w:val="none" w:sz="0" w:space="0" w:color="auto"/>
                    <w:bottom w:val="none" w:sz="0" w:space="0" w:color="auto"/>
                    <w:right w:val="none" w:sz="0" w:space="0" w:color="auto"/>
                  </w:divBdr>
                </w:div>
              </w:divsChild>
            </w:div>
            <w:div w:id="1345938285">
              <w:marLeft w:val="0"/>
              <w:marRight w:val="0"/>
              <w:marTop w:val="0"/>
              <w:marBottom w:val="0"/>
              <w:divBdr>
                <w:top w:val="none" w:sz="0" w:space="0" w:color="auto"/>
                <w:left w:val="none" w:sz="0" w:space="0" w:color="auto"/>
                <w:bottom w:val="none" w:sz="0" w:space="0" w:color="auto"/>
                <w:right w:val="none" w:sz="0" w:space="0" w:color="auto"/>
              </w:divBdr>
              <w:divsChild>
                <w:div w:id="432825536">
                  <w:marLeft w:val="0"/>
                  <w:marRight w:val="0"/>
                  <w:marTop w:val="0"/>
                  <w:marBottom w:val="0"/>
                  <w:divBdr>
                    <w:top w:val="none" w:sz="0" w:space="0" w:color="auto"/>
                    <w:left w:val="none" w:sz="0" w:space="0" w:color="auto"/>
                    <w:bottom w:val="none" w:sz="0" w:space="0" w:color="auto"/>
                    <w:right w:val="none" w:sz="0" w:space="0" w:color="auto"/>
                  </w:divBdr>
                </w:div>
              </w:divsChild>
            </w:div>
            <w:div w:id="1400130903">
              <w:marLeft w:val="0"/>
              <w:marRight w:val="0"/>
              <w:marTop w:val="0"/>
              <w:marBottom w:val="0"/>
              <w:divBdr>
                <w:top w:val="none" w:sz="0" w:space="0" w:color="auto"/>
                <w:left w:val="none" w:sz="0" w:space="0" w:color="auto"/>
                <w:bottom w:val="none" w:sz="0" w:space="0" w:color="auto"/>
                <w:right w:val="none" w:sz="0" w:space="0" w:color="auto"/>
              </w:divBdr>
              <w:divsChild>
                <w:div w:id="1209878995">
                  <w:marLeft w:val="0"/>
                  <w:marRight w:val="0"/>
                  <w:marTop w:val="0"/>
                  <w:marBottom w:val="0"/>
                  <w:divBdr>
                    <w:top w:val="none" w:sz="0" w:space="0" w:color="auto"/>
                    <w:left w:val="none" w:sz="0" w:space="0" w:color="auto"/>
                    <w:bottom w:val="none" w:sz="0" w:space="0" w:color="auto"/>
                    <w:right w:val="none" w:sz="0" w:space="0" w:color="auto"/>
                  </w:divBdr>
                </w:div>
              </w:divsChild>
            </w:div>
            <w:div w:id="1426539161">
              <w:marLeft w:val="0"/>
              <w:marRight w:val="0"/>
              <w:marTop w:val="0"/>
              <w:marBottom w:val="0"/>
              <w:divBdr>
                <w:top w:val="none" w:sz="0" w:space="0" w:color="auto"/>
                <w:left w:val="none" w:sz="0" w:space="0" w:color="auto"/>
                <w:bottom w:val="none" w:sz="0" w:space="0" w:color="auto"/>
                <w:right w:val="none" w:sz="0" w:space="0" w:color="auto"/>
              </w:divBdr>
              <w:divsChild>
                <w:div w:id="1195919504">
                  <w:marLeft w:val="0"/>
                  <w:marRight w:val="0"/>
                  <w:marTop w:val="0"/>
                  <w:marBottom w:val="0"/>
                  <w:divBdr>
                    <w:top w:val="none" w:sz="0" w:space="0" w:color="auto"/>
                    <w:left w:val="none" w:sz="0" w:space="0" w:color="auto"/>
                    <w:bottom w:val="none" w:sz="0" w:space="0" w:color="auto"/>
                    <w:right w:val="none" w:sz="0" w:space="0" w:color="auto"/>
                  </w:divBdr>
                </w:div>
              </w:divsChild>
            </w:div>
            <w:div w:id="1554582092">
              <w:marLeft w:val="0"/>
              <w:marRight w:val="0"/>
              <w:marTop w:val="0"/>
              <w:marBottom w:val="0"/>
              <w:divBdr>
                <w:top w:val="none" w:sz="0" w:space="0" w:color="auto"/>
                <w:left w:val="none" w:sz="0" w:space="0" w:color="auto"/>
                <w:bottom w:val="none" w:sz="0" w:space="0" w:color="auto"/>
                <w:right w:val="none" w:sz="0" w:space="0" w:color="auto"/>
              </w:divBdr>
              <w:divsChild>
                <w:div w:id="1865089717">
                  <w:marLeft w:val="0"/>
                  <w:marRight w:val="0"/>
                  <w:marTop w:val="0"/>
                  <w:marBottom w:val="0"/>
                  <w:divBdr>
                    <w:top w:val="none" w:sz="0" w:space="0" w:color="auto"/>
                    <w:left w:val="none" w:sz="0" w:space="0" w:color="auto"/>
                    <w:bottom w:val="none" w:sz="0" w:space="0" w:color="auto"/>
                    <w:right w:val="none" w:sz="0" w:space="0" w:color="auto"/>
                  </w:divBdr>
                </w:div>
              </w:divsChild>
            </w:div>
            <w:div w:id="1603101657">
              <w:marLeft w:val="0"/>
              <w:marRight w:val="0"/>
              <w:marTop w:val="0"/>
              <w:marBottom w:val="0"/>
              <w:divBdr>
                <w:top w:val="none" w:sz="0" w:space="0" w:color="auto"/>
                <w:left w:val="none" w:sz="0" w:space="0" w:color="auto"/>
                <w:bottom w:val="none" w:sz="0" w:space="0" w:color="auto"/>
                <w:right w:val="none" w:sz="0" w:space="0" w:color="auto"/>
              </w:divBdr>
              <w:divsChild>
                <w:div w:id="121311689">
                  <w:marLeft w:val="0"/>
                  <w:marRight w:val="0"/>
                  <w:marTop w:val="0"/>
                  <w:marBottom w:val="0"/>
                  <w:divBdr>
                    <w:top w:val="none" w:sz="0" w:space="0" w:color="auto"/>
                    <w:left w:val="none" w:sz="0" w:space="0" w:color="auto"/>
                    <w:bottom w:val="none" w:sz="0" w:space="0" w:color="auto"/>
                    <w:right w:val="none" w:sz="0" w:space="0" w:color="auto"/>
                  </w:divBdr>
                </w:div>
              </w:divsChild>
            </w:div>
            <w:div w:id="1630086223">
              <w:marLeft w:val="0"/>
              <w:marRight w:val="0"/>
              <w:marTop w:val="0"/>
              <w:marBottom w:val="0"/>
              <w:divBdr>
                <w:top w:val="none" w:sz="0" w:space="0" w:color="auto"/>
                <w:left w:val="none" w:sz="0" w:space="0" w:color="auto"/>
                <w:bottom w:val="none" w:sz="0" w:space="0" w:color="auto"/>
                <w:right w:val="none" w:sz="0" w:space="0" w:color="auto"/>
              </w:divBdr>
              <w:divsChild>
                <w:div w:id="358051009">
                  <w:marLeft w:val="0"/>
                  <w:marRight w:val="0"/>
                  <w:marTop w:val="0"/>
                  <w:marBottom w:val="0"/>
                  <w:divBdr>
                    <w:top w:val="none" w:sz="0" w:space="0" w:color="auto"/>
                    <w:left w:val="none" w:sz="0" w:space="0" w:color="auto"/>
                    <w:bottom w:val="none" w:sz="0" w:space="0" w:color="auto"/>
                    <w:right w:val="none" w:sz="0" w:space="0" w:color="auto"/>
                  </w:divBdr>
                </w:div>
              </w:divsChild>
            </w:div>
            <w:div w:id="1677150343">
              <w:marLeft w:val="0"/>
              <w:marRight w:val="0"/>
              <w:marTop w:val="0"/>
              <w:marBottom w:val="0"/>
              <w:divBdr>
                <w:top w:val="none" w:sz="0" w:space="0" w:color="auto"/>
                <w:left w:val="none" w:sz="0" w:space="0" w:color="auto"/>
                <w:bottom w:val="none" w:sz="0" w:space="0" w:color="auto"/>
                <w:right w:val="none" w:sz="0" w:space="0" w:color="auto"/>
              </w:divBdr>
              <w:divsChild>
                <w:div w:id="2037147251">
                  <w:marLeft w:val="0"/>
                  <w:marRight w:val="0"/>
                  <w:marTop w:val="0"/>
                  <w:marBottom w:val="0"/>
                  <w:divBdr>
                    <w:top w:val="none" w:sz="0" w:space="0" w:color="auto"/>
                    <w:left w:val="none" w:sz="0" w:space="0" w:color="auto"/>
                    <w:bottom w:val="none" w:sz="0" w:space="0" w:color="auto"/>
                    <w:right w:val="none" w:sz="0" w:space="0" w:color="auto"/>
                  </w:divBdr>
                </w:div>
              </w:divsChild>
            </w:div>
            <w:div w:id="1699961892">
              <w:marLeft w:val="0"/>
              <w:marRight w:val="0"/>
              <w:marTop w:val="0"/>
              <w:marBottom w:val="0"/>
              <w:divBdr>
                <w:top w:val="none" w:sz="0" w:space="0" w:color="auto"/>
                <w:left w:val="none" w:sz="0" w:space="0" w:color="auto"/>
                <w:bottom w:val="none" w:sz="0" w:space="0" w:color="auto"/>
                <w:right w:val="none" w:sz="0" w:space="0" w:color="auto"/>
              </w:divBdr>
              <w:divsChild>
                <w:div w:id="1443331941">
                  <w:marLeft w:val="0"/>
                  <w:marRight w:val="0"/>
                  <w:marTop w:val="0"/>
                  <w:marBottom w:val="0"/>
                  <w:divBdr>
                    <w:top w:val="none" w:sz="0" w:space="0" w:color="auto"/>
                    <w:left w:val="none" w:sz="0" w:space="0" w:color="auto"/>
                    <w:bottom w:val="none" w:sz="0" w:space="0" w:color="auto"/>
                    <w:right w:val="none" w:sz="0" w:space="0" w:color="auto"/>
                  </w:divBdr>
                </w:div>
              </w:divsChild>
            </w:div>
            <w:div w:id="1708723208">
              <w:marLeft w:val="0"/>
              <w:marRight w:val="0"/>
              <w:marTop w:val="0"/>
              <w:marBottom w:val="0"/>
              <w:divBdr>
                <w:top w:val="none" w:sz="0" w:space="0" w:color="auto"/>
                <w:left w:val="none" w:sz="0" w:space="0" w:color="auto"/>
                <w:bottom w:val="none" w:sz="0" w:space="0" w:color="auto"/>
                <w:right w:val="none" w:sz="0" w:space="0" w:color="auto"/>
              </w:divBdr>
              <w:divsChild>
                <w:div w:id="1051152749">
                  <w:marLeft w:val="0"/>
                  <w:marRight w:val="0"/>
                  <w:marTop w:val="0"/>
                  <w:marBottom w:val="0"/>
                  <w:divBdr>
                    <w:top w:val="none" w:sz="0" w:space="0" w:color="auto"/>
                    <w:left w:val="none" w:sz="0" w:space="0" w:color="auto"/>
                    <w:bottom w:val="none" w:sz="0" w:space="0" w:color="auto"/>
                    <w:right w:val="none" w:sz="0" w:space="0" w:color="auto"/>
                  </w:divBdr>
                </w:div>
              </w:divsChild>
            </w:div>
            <w:div w:id="1727336703">
              <w:marLeft w:val="0"/>
              <w:marRight w:val="0"/>
              <w:marTop w:val="0"/>
              <w:marBottom w:val="0"/>
              <w:divBdr>
                <w:top w:val="none" w:sz="0" w:space="0" w:color="auto"/>
                <w:left w:val="none" w:sz="0" w:space="0" w:color="auto"/>
                <w:bottom w:val="none" w:sz="0" w:space="0" w:color="auto"/>
                <w:right w:val="none" w:sz="0" w:space="0" w:color="auto"/>
              </w:divBdr>
              <w:divsChild>
                <w:div w:id="2001762325">
                  <w:marLeft w:val="0"/>
                  <w:marRight w:val="0"/>
                  <w:marTop w:val="0"/>
                  <w:marBottom w:val="0"/>
                  <w:divBdr>
                    <w:top w:val="none" w:sz="0" w:space="0" w:color="auto"/>
                    <w:left w:val="none" w:sz="0" w:space="0" w:color="auto"/>
                    <w:bottom w:val="none" w:sz="0" w:space="0" w:color="auto"/>
                    <w:right w:val="none" w:sz="0" w:space="0" w:color="auto"/>
                  </w:divBdr>
                </w:div>
              </w:divsChild>
            </w:div>
            <w:div w:id="1804957631">
              <w:marLeft w:val="0"/>
              <w:marRight w:val="0"/>
              <w:marTop w:val="0"/>
              <w:marBottom w:val="0"/>
              <w:divBdr>
                <w:top w:val="none" w:sz="0" w:space="0" w:color="auto"/>
                <w:left w:val="none" w:sz="0" w:space="0" w:color="auto"/>
                <w:bottom w:val="none" w:sz="0" w:space="0" w:color="auto"/>
                <w:right w:val="none" w:sz="0" w:space="0" w:color="auto"/>
              </w:divBdr>
              <w:divsChild>
                <w:div w:id="106702493">
                  <w:marLeft w:val="0"/>
                  <w:marRight w:val="0"/>
                  <w:marTop w:val="0"/>
                  <w:marBottom w:val="0"/>
                  <w:divBdr>
                    <w:top w:val="none" w:sz="0" w:space="0" w:color="auto"/>
                    <w:left w:val="none" w:sz="0" w:space="0" w:color="auto"/>
                    <w:bottom w:val="none" w:sz="0" w:space="0" w:color="auto"/>
                    <w:right w:val="none" w:sz="0" w:space="0" w:color="auto"/>
                  </w:divBdr>
                </w:div>
                <w:div w:id="1222134813">
                  <w:marLeft w:val="0"/>
                  <w:marRight w:val="0"/>
                  <w:marTop w:val="0"/>
                  <w:marBottom w:val="0"/>
                  <w:divBdr>
                    <w:top w:val="none" w:sz="0" w:space="0" w:color="auto"/>
                    <w:left w:val="none" w:sz="0" w:space="0" w:color="auto"/>
                    <w:bottom w:val="none" w:sz="0" w:space="0" w:color="auto"/>
                    <w:right w:val="none" w:sz="0" w:space="0" w:color="auto"/>
                  </w:divBdr>
                </w:div>
              </w:divsChild>
            </w:div>
            <w:div w:id="1815756659">
              <w:marLeft w:val="0"/>
              <w:marRight w:val="0"/>
              <w:marTop w:val="0"/>
              <w:marBottom w:val="0"/>
              <w:divBdr>
                <w:top w:val="none" w:sz="0" w:space="0" w:color="auto"/>
                <w:left w:val="none" w:sz="0" w:space="0" w:color="auto"/>
                <w:bottom w:val="none" w:sz="0" w:space="0" w:color="auto"/>
                <w:right w:val="none" w:sz="0" w:space="0" w:color="auto"/>
              </w:divBdr>
              <w:divsChild>
                <w:div w:id="1647127381">
                  <w:marLeft w:val="0"/>
                  <w:marRight w:val="0"/>
                  <w:marTop w:val="0"/>
                  <w:marBottom w:val="0"/>
                  <w:divBdr>
                    <w:top w:val="none" w:sz="0" w:space="0" w:color="auto"/>
                    <w:left w:val="none" w:sz="0" w:space="0" w:color="auto"/>
                    <w:bottom w:val="none" w:sz="0" w:space="0" w:color="auto"/>
                    <w:right w:val="none" w:sz="0" w:space="0" w:color="auto"/>
                  </w:divBdr>
                </w:div>
              </w:divsChild>
            </w:div>
            <w:div w:id="1817448949">
              <w:marLeft w:val="0"/>
              <w:marRight w:val="0"/>
              <w:marTop w:val="0"/>
              <w:marBottom w:val="0"/>
              <w:divBdr>
                <w:top w:val="none" w:sz="0" w:space="0" w:color="auto"/>
                <w:left w:val="none" w:sz="0" w:space="0" w:color="auto"/>
                <w:bottom w:val="none" w:sz="0" w:space="0" w:color="auto"/>
                <w:right w:val="none" w:sz="0" w:space="0" w:color="auto"/>
              </w:divBdr>
              <w:divsChild>
                <w:div w:id="572276840">
                  <w:marLeft w:val="0"/>
                  <w:marRight w:val="0"/>
                  <w:marTop w:val="0"/>
                  <w:marBottom w:val="0"/>
                  <w:divBdr>
                    <w:top w:val="none" w:sz="0" w:space="0" w:color="auto"/>
                    <w:left w:val="none" w:sz="0" w:space="0" w:color="auto"/>
                    <w:bottom w:val="none" w:sz="0" w:space="0" w:color="auto"/>
                    <w:right w:val="none" w:sz="0" w:space="0" w:color="auto"/>
                  </w:divBdr>
                </w:div>
              </w:divsChild>
            </w:div>
            <w:div w:id="1827744480">
              <w:marLeft w:val="0"/>
              <w:marRight w:val="0"/>
              <w:marTop w:val="0"/>
              <w:marBottom w:val="0"/>
              <w:divBdr>
                <w:top w:val="none" w:sz="0" w:space="0" w:color="auto"/>
                <w:left w:val="none" w:sz="0" w:space="0" w:color="auto"/>
                <w:bottom w:val="none" w:sz="0" w:space="0" w:color="auto"/>
                <w:right w:val="none" w:sz="0" w:space="0" w:color="auto"/>
              </w:divBdr>
              <w:divsChild>
                <w:div w:id="1902524419">
                  <w:marLeft w:val="0"/>
                  <w:marRight w:val="0"/>
                  <w:marTop w:val="0"/>
                  <w:marBottom w:val="0"/>
                  <w:divBdr>
                    <w:top w:val="none" w:sz="0" w:space="0" w:color="auto"/>
                    <w:left w:val="none" w:sz="0" w:space="0" w:color="auto"/>
                    <w:bottom w:val="none" w:sz="0" w:space="0" w:color="auto"/>
                    <w:right w:val="none" w:sz="0" w:space="0" w:color="auto"/>
                  </w:divBdr>
                </w:div>
              </w:divsChild>
            </w:div>
            <w:div w:id="1846018071">
              <w:marLeft w:val="0"/>
              <w:marRight w:val="0"/>
              <w:marTop w:val="0"/>
              <w:marBottom w:val="0"/>
              <w:divBdr>
                <w:top w:val="none" w:sz="0" w:space="0" w:color="auto"/>
                <w:left w:val="none" w:sz="0" w:space="0" w:color="auto"/>
                <w:bottom w:val="none" w:sz="0" w:space="0" w:color="auto"/>
                <w:right w:val="none" w:sz="0" w:space="0" w:color="auto"/>
              </w:divBdr>
              <w:divsChild>
                <w:div w:id="1965379429">
                  <w:marLeft w:val="0"/>
                  <w:marRight w:val="0"/>
                  <w:marTop w:val="0"/>
                  <w:marBottom w:val="0"/>
                  <w:divBdr>
                    <w:top w:val="none" w:sz="0" w:space="0" w:color="auto"/>
                    <w:left w:val="none" w:sz="0" w:space="0" w:color="auto"/>
                    <w:bottom w:val="none" w:sz="0" w:space="0" w:color="auto"/>
                    <w:right w:val="none" w:sz="0" w:space="0" w:color="auto"/>
                  </w:divBdr>
                </w:div>
              </w:divsChild>
            </w:div>
            <w:div w:id="1867021016">
              <w:marLeft w:val="0"/>
              <w:marRight w:val="0"/>
              <w:marTop w:val="0"/>
              <w:marBottom w:val="0"/>
              <w:divBdr>
                <w:top w:val="none" w:sz="0" w:space="0" w:color="auto"/>
                <w:left w:val="none" w:sz="0" w:space="0" w:color="auto"/>
                <w:bottom w:val="none" w:sz="0" w:space="0" w:color="auto"/>
                <w:right w:val="none" w:sz="0" w:space="0" w:color="auto"/>
              </w:divBdr>
              <w:divsChild>
                <w:div w:id="2129858277">
                  <w:marLeft w:val="0"/>
                  <w:marRight w:val="0"/>
                  <w:marTop w:val="0"/>
                  <w:marBottom w:val="0"/>
                  <w:divBdr>
                    <w:top w:val="none" w:sz="0" w:space="0" w:color="auto"/>
                    <w:left w:val="none" w:sz="0" w:space="0" w:color="auto"/>
                    <w:bottom w:val="none" w:sz="0" w:space="0" w:color="auto"/>
                    <w:right w:val="none" w:sz="0" w:space="0" w:color="auto"/>
                  </w:divBdr>
                </w:div>
              </w:divsChild>
            </w:div>
            <w:div w:id="1887793244">
              <w:marLeft w:val="0"/>
              <w:marRight w:val="0"/>
              <w:marTop w:val="0"/>
              <w:marBottom w:val="0"/>
              <w:divBdr>
                <w:top w:val="none" w:sz="0" w:space="0" w:color="auto"/>
                <w:left w:val="none" w:sz="0" w:space="0" w:color="auto"/>
                <w:bottom w:val="none" w:sz="0" w:space="0" w:color="auto"/>
                <w:right w:val="none" w:sz="0" w:space="0" w:color="auto"/>
              </w:divBdr>
              <w:divsChild>
                <w:div w:id="469711152">
                  <w:marLeft w:val="0"/>
                  <w:marRight w:val="0"/>
                  <w:marTop w:val="0"/>
                  <w:marBottom w:val="0"/>
                  <w:divBdr>
                    <w:top w:val="none" w:sz="0" w:space="0" w:color="auto"/>
                    <w:left w:val="none" w:sz="0" w:space="0" w:color="auto"/>
                    <w:bottom w:val="none" w:sz="0" w:space="0" w:color="auto"/>
                    <w:right w:val="none" w:sz="0" w:space="0" w:color="auto"/>
                  </w:divBdr>
                </w:div>
              </w:divsChild>
            </w:div>
            <w:div w:id="1918594426">
              <w:marLeft w:val="0"/>
              <w:marRight w:val="0"/>
              <w:marTop w:val="0"/>
              <w:marBottom w:val="0"/>
              <w:divBdr>
                <w:top w:val="none" w:sz="0" w:space="0" w:color="auto"/>
                <w:left w:val="none" w:sz="0" w:space="0" w:color="auto"/>
                <w:bottom w:val="none" w:sz="0" w:space="0" w:color="auto"/>
                <w:right w:val="none" w:sz="0" w:space="0" w:color="auto"/>
              </w:divBdr>
              <w:divsChild>
                <w:div w:id="290745818">
                  <w:marLeft w:val="0"/>
                  <w:marRight w:val="0"/>
                  <w:marTop w:val="0"/>
                  <w:marBottom w:val="0"/>
                  <w:divBdr>
                    <w:top w:val="none" w:sz="0" w:space="0" w:color="auto"/>
                    <w:left w:val="none" w:sz="0" w:space="0" w:color="auto"/>
                    <w:bottom w:val="none" w:sz="0" w:space="0" w:color="auto"/>
                    <w:right w:val="none" w:sz="0" w:space="0" w:color="auto"/>
                  </w:divBdr>
                </w:div>
              </w:divsChild>
            </w:div>
            <w:div w:id="2003124437">
              <w:marLeft w:val="0"/>
              <w:marRight w:val="0"/>
              <w:marTop w:val="0"/>
              <w:marBottom w:val="0"/>
              <w:divBdr>
                <w:top w:val="none" w:sz="0" w:space="0" w:color="auto"/>
                <w:left w:val="none" w:sz="0" w:space="0" w:color="auto"/>
                <w:bottom w:val="none" w:sz="0" w:space="0" w:color="auto"/>
                <w:right w:val="none" w:sz="0" w:space="0" w:color="auto"/>
              </w:divBdr>
              <w:divsChild>
                <w:div w:id="1668051298">
                  <w:marLeft w:val="0"/>
                  <w:marRight w:val="0"/>
                  <w:marTop w:val="0"/>
                  <w:marBottom w:val="0"/>
                  <w:divBdr>
                    <w:top w:val="none" w:sz="0" w:space="0" w:color="auto"/>
                    <w:left w:val="none" w:sz="0" w:space="0" w:color="auto"/>
                    <w:bottom w:val="none" w:sz="0" w:space="0" w:color="auto"/>
                    <w:right w:val="none" w:sz="0" w:space="0" w:color="auto"/>
                  </w:divBdr>
                </w:div>
              </w:divsChild>
            </w:div>
            <w:div w:id="2066836230">
              <w:marLeft w:val="0"/>
              <w:marRight w:val="0"/>
              <w:marTop w:val="0"/>
              <w:marBottom w:val="0"/>
              <w:divBdr>
                <w:top w:val="none" w:sz="0" w:space="0" w:color="auto"/>
                <w:left w:val="none" w:sz="0" w:space="0" w:color="auto"/>
                <w:bottom w:val="none" w:sz="0" w:space="0" w:color="auto"/>
                <w:right w:val="none" w:sz="0" w:space="0" w:color="auto"/>
              </w:divBdr>
              <w:divsChild>
                <w:div w:id="17127420">
                  <w:marLeft w:val="0"/>
                  <w:marRight w:val="0"/>
                  <w:marTop w:val="0"/>
                  <w:marBottom w:val="0"/>
                  <w:divBdr>
                    <w:top w:val="none" w:sz="0" w:space="0" w:color="auto"/>
                    <w:left w:val="none" w:sz="0" w:space="0" w:color="auto"/>
                    <w:bottom w:val="none" w:sz="0" w:space="0" w:color="auto"/>
                    <w:right w:val="none" w:sz="0" w:space="0" w:color="auto"/>
                  </w:divBdr>
                </w:div>
              </w:divsChild>
            </w:div>
            <w:div w:id="2079593610">
              <w:marLeft w:val="0"/>
              <w:marRight w:val="0"/>
              <w:marTop w:val="0"/>
              <w:marBottom w:val="0"/>
              <w:divBdr>
                <w:top w:val="none" w:sz="0" w:space="0" w:color="auto"/>
                <w:left w:val="none" w:sz="0" w:space="0" w:color="auto"/>
                <w:bottom w:val="none" w:sz="0" w:space="0" w:color="auto"/>
                <w:right w:val="none" w:sz="0" w:space="0" w:color="auto"/>
              </w:divBdr>
              <w:divsChild>
                <w:div w:id="1465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73737">
          <w:marLeft w:val="0"/>
          <w:marRight w:val="0"/>
          <w:marTop w:val="0"/>
          <w:marBottom w:val="0"/>
          <w:divBdr>
            <w:top w:val="none" w:sz="0" w:space="0" w:color="auto"/>
            <w:left w:val="none" w:sz="0" w:space="0" w:color="auto"/>
            <w:bottom w:val="none" w:sz="0" w:space="0" w:color="auto"/>
            <w:right w:val="none" w:sz="0" w:space="0" w:color="auto"/>
          </w:divBdr>
        </w:div>
        <w:div w:id="1690831779">
          <w:marLeft w:val="0"/>
          <w:marRight w:val="0"/>
          <w:marTop w:val="0"/>
          <w:marBottom w:val="0"/>
          <w:divBdr>
            <w:top w:val="none" w:sz="0" w:space="0" w:color="auto"/>
            <w:left w:val="none" w:sz="0" w:space="0" w:color="auto"/>
            <w:bottom w:val="none" w:sz="0" w:space="0" w:color="auto"/>
            <w:right w:val="none" w:sz="0" w:space="0" w:color="auto"/>
          </w:divBdr>
        </w:div>
        <w:div w:id="1709841800">
          <w:marLeft w:val="0"/>
          <w:marRight w:val="0"/>
          <w:marTop w:val="0"/>
          <w:marBottom w:val="0"/>
          <w:divBdr>
            <w:top w:val="none" w:sz="0" w:space="0" w:color="auto"/>
            <w:left w:val="none" w:sz="0" w:space="0" w:color="auto"/>
            <w:bottom w:val="none" w:sz="0" w:space="0" w:color="auto"/>
            <w:right w:val="none" w:sz="0" w:space="0" w:color="auto"/>
          </w:divBdr>
        </w:div>
        <w:div w:id="1912541824">
          <w:marLeft w:val="0"/>
          <w:marRight w:val="0"/>
          <w:marTop w:val="0"/>
          <w:marBottom w:val="0"/>
          <w:divBdr>
            <w:top w:val="none" w:sz="0" w:space="0" w:color="auto"/>
            <w:left w:val="none" w:sz="0" w:space="0" w:color="auto"/>
            <w:bottom w:val="none" w:sz="0" w:space="0" w:color="auto"/>
            <w:right w:val="none" w:sz="0" w:space="0" w:color="auto"/>
          </w:divBdr>
        </w:div>
        <w:div w:id="2117822502">
          <w:marLeft w:val="0"/>
          <w:marRight w:val="0"/>
          <w:marTop w:val="0"/>
          <w:marBottom w:val="0"/>
          <w:divBdr>
            <w:top w:val="none" w:sz="0" w:space="0" w:color="auto"/>
            <w:left w:val="none" w:sz="0" w:space="0" w:color="auto"/>
            <w:bottom w:val="none" w:sz="0" w:space="0" w:color="auto"/>
            <w:right w:val="none" w:sz="0" w:space="0" w:color="auto"/>
          </w:divBdr>
        </w:div>
      </w:divsChild>
    </w:div>
    <w:div w:id="2134903586">
      <w:marLeft w:val="480"/>
      <w:marRight w:val="0"/>
      <w:marTop w:val="0"/>
      <w:marBottom w:val="0"/>
      <w:divBdr>
        <w:top w:val="none" w:sz="0" w:space="0" w:color="auto"/>
        <w:left w:val="none" w:sz="0" w:space="0" w:color="auto"/>
        <w:bottom w:val="none" w:sz="0" w:space="0" w:color="auto"/>
        <w:right w:val="none" w:sz="0" w:space="0" w:color="auto"/>
      </w:divBdr>
    </w:div>
    <w:div w:id="2138719934">
      <w:bodyDiv w:val="1"/>
      <w:marLeft w:val="0"/>
      <w:marRight w:val="0"/>
      <w:marTop w:val="0"/>
      <w:marBottom w:val="0"/>
      <w:divBdr>
        <w:top w:val="none" w:sz="0" w:space="0" w:color="auto"/>
        <w:left w:val="none" w:sz="0" w:space="0" w:color="auto"/>
        <w:bottom w:val="none" w:sz="0" w:space="0" w:color="auto"/>
        <w:right w:val="none" w:sz="0" w:space="0" w:color="auto"/>
      </w:divBdr>
      <w:divsChild>
        <w:div w:id="9369083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39302213">
      <w:marLeft w:val="480"/>
      <w:marRight w:val="0"/>
      <w:marTop w:val="0"/>
      <w:marBottom w:val="0"/>
      <w:divBdr>
        <w:top w:val="none" w:sz="0" w:space="0" w:color="auto"/>
        <w:left w:val="none" w:sz="0" w:space="0" w:color="auto"/>
        <w:bottom w:val="none" w:sz="0" w:space="0" w:color="auto"/>
        <w:right w:val="none" w:sz="0" w:space="0" w:color="auto"/>
      </w:divBdr>
    </w:div>
    <w:div w:id="2140369122">
      <w:marLeft w:val="480"/>
      <w:marRight w:val="0"/>
      <w:marTop w:val="0"/>
      <w:marBottom w:val="0"/>
      <w:divBdr>
        <w:top w:val="none" w:sz="0" w:space="0" w:color="auto"/>
        <w:left w:val="none" w:sz="0" w:space="0" w:color="auto"/>
        <w:bottom w:val="none" w:sz="0" w:space="0" w:color="auto"/>
        <w:right w:val="none" w:sz="0" w:space="0" w:color="auto"/>
      </w:divBdr>
    </w:div>
    <w:div w:id="2140490917">
      <w:marLeft w:val="480"/>
      <w:marRight w:val="0"/>
      <w:marTop w:val="0"/>
      <w:marBottom w:val="0"/>
      <w:divBdr>
        <w:top w:val="none" w:sz="0" w:space="0" w:color="auto"/>
        <w:left w:val="none" w:sz="0" w:space="0" w:color="auto"/>
        <w:bottom w:val="none" w:sz="0" w:space="0" w:color="auto"/>
        <w:right w:val="none" w:sz="0" w:space="0" w:color="auto"/>
      </w:divBdr>
    </w:div>
    <w:div w:id="2141806042">
      <w:marLeft w:val="480"/>
      <w:marRight w:val="0"/>
      <w:marTop w:val="0"/>
      <w:marBottom w:val="0"/>
      <w:divBdr>
        <w:top w:val="none" w:sz="0" w:space="0" w:color="auto"/>
        <w:left w:val="none" w:sz="0" w:space="0" w:color="auto"/>
        <w:bottom w:val="none" w:sz="0" w:space="0" w:color="auto"/>
        <w:right w:val="none" w:sz="0" w:space="0" w:color="auto"/>
      </w:divBdr>
    </w:div>
    <w:div w:id="2142338898">
      <w:bodyDiv w:val="1"/>
      <w:marLeft w:val="0"/>
      <w:marRight w:val="0"/>
      <w:marTop w:val="0"/>
      <w:marBottom w:val="0"/>
      <w:divBdr>
        <w:top w:val="none" w:sz="0" w:space="0" w:color="auto"/>
        <w:left w:val="none" w:sz="0" w:space="0" w:color="auto"/>
        <w:bottom w:val="none" w:sz="0" w:space="0" w:color="auto"/>
        <w:right w:val="none" w:sz="0" w:space="0" w:color="auto"/>
      </w:divBdr>
      <w:divsChild>
        <w:div w:id="185825739">
          <w:marLeft w:val="480"/>
          <w:marRight w:val="0"/>
          <w:marTop w:val="0"/>
          <w:marBottom w:val="0"/>
          <w:divBdr>
            <w:top w:val="none" w:sz="0" w:space="0" w:color="auto"/>
            <w:left w:val="none" w:sz="0" w:space="0" w:color="auto"/>
            <w:bottom w:val="none" w:sz="0" w:space="0" w:color="auto"/>
            <w:right w:val="none" w:sz="0" w:space="0" w:color="auto"/>
          </w:divBdr>
        </w:div>
        <w:div w:id="241526626">
          <w:marLeft w:val="480"/>
          <w:marRight w:val="0"/>
          <w:marTop w:val="0"/>
          <w:marBottom w:val="0"/>
          <w:divBdr>
            <w:top w:val="none" w:sz="0" w:space="0" w:color="auto"/>
            <w:left w:val="none" w:sz="0" w:space="0" w:color="auto"/>
            <w:bottom w:val="none" w:sz="0" w:space="0" w:color="auto"/>
            <w:right w:val="none" w:sz="0" w:space="0" w:color="auto"/>
          </w:divBdr>
        </w:div>
        <w:div w:id="727612354">
          <w:marLeft w:val="480"/>
          <w:marRight w:val="0"/>
          <w:marTop w:val="0"/>
          <w:marBottom w:val="0"/>
          <w:divBdr>
            <w:top w:val="none" w:sz="0" w:space="0" w:color="auto"/>
            <w:left w:val="none" w:sz="0" w:space="0" w:color="auto"/>
            <w:bottom w:val="none" w:sz="0" w:space="0" w:color="auto"/>
            <w:right w:val="none" w:sz="0" w:space="0" w:color="auto"/>
          </w:divBdr>
        </w:div>
        <w:div w:id="1183587777">
          <w:marLeft w:val="480"/>
          <w:marRight w:val="0"/>
          <w:marTop w:val="0"/>
          <w:marBottom w:val="0"/>
          <w:divBdr>
            <w:top w:val="none" w:sz="0" w:space="0" w:color="auto"/>
            <w:left w:val="none" w:sz="0" w:space="0" w:color="auto"/>
            <w:bottom w:val="none" w:sz="0" w:space="0" w:color="auto"/>
            <w:right w:val="none" w:sz="0" w:space="0" w:color="auto"/>
          </w:divBdr>
        </w:div>
        <w:div w:id="1585601156">
          <w:marLeft w:val="480"/>
          <w:marRight w:val="0"/>
          <w:marTop w:val="0"/>
          <w:marBottom w:val="0"/>
          <w:divBdr>
            <w:top w:val="none" w:sz="0" w:space="0" w:color="auto"/>
            <w:left w:val="none" w:sz="0" w:space="0" w:color="auto"/>
            <w:bottom w:val="none" w:sz="0" w:space="0" w:color="auto"/>
            <w:right w:val="none" w:sz="0" w:space="0" w:color="auto"/>
          </w:divBdr>
        </w:div>
        <w:div w:id="1712147456">
          <w:marLeft w:val="480"/>
          <w:marRight w:val="0"/>
          <w:marTop w:val="0"/>
          <w:marBottom w:val="0"/>
          <w:divBdr>
            <w:top w:val="none" w:sz="0" w:space="0" w:color="auto"/>
            <w:left w:val="none" w:sz="0" w:space="0" w:color="auto"/>
            <w:bottom w:val="none" w:sz="0" w:space="0" w:color="auto"/>
            <w:right w:val="none" w:sz="0" w:space="0" w:color="auto"/>
          </w:divBdr>
        </w:div>
        <w:div w:id="1745641042">
          <w:marLeft w:val="480"/>
          <w:marRight w:val="0"/>
          <w:marTop w:val="0"/>
          <w:marBottom w:val="0"/>
          <w:divBdr>
            <w:top w:val="none" w:sz="0" w:space="0" w:color="auto"/>
            <w:left w:val="none" w:sz="0" w:space="0" w:color="auto"/>
            <w:bottom w:val="none" w:sz="0" w:space="0" w:color="auto"/>
            <w:right w:val="none" w:sz="0" w:space="0" w:color="auto"/>
          </w:divBdr>
        </w:div>
        <w:div w:id="1833063594">
          <w:marLeft w:val="480"/>
          <w:marRight w:val="0"/>
          <w:marTop w:val="0"/>
          <w:marBottom w:val="0"/>
          <w:divBdr>
            <w:top w:val="none" w:sz="0" w:space="0" w:color="auto"/>
            <w:left w:val="none" w:sz="0" w:space="0" w:color="auto"/>
            <w:bottom w:val="none" w:sz="0" w:space="0" w:color="auto"/>
            <w:right w:val="none" w:sz="0" w:space="0" w:color="auto"/>
          </w:divBdr>
        </w:div>
      </w:divsChild>
    </w:div>
    <w:div w:id="2142377066">
      <w:bodyDiv w:val="1"/>
      <w:marLeft w:val="0"/>
      <w:marRight w:val="0"/>
      <w:marTop w:val="0"/>
      <w:marBottom w:val="0"/>
      <w:divBdr>
        <w:top w:val="none" w:sz="0" w:space="0" w:color="auto"/>
        <w:left w:val="none" w:sz="0" w:space="0" w:color="auto"/>
        <w:bottom w:val="none" w:sz="0" w:space="0" w:color="auto"/>
        <w:right w:val="none" w:sz="0" w:space="0" w:color="auto"/>
      </w:divBdr>
      <w:divsChild>
        <w:div w:id="526990845">
          <w:marLeft w:val="480"/>
          <w:marRight w:val="0"/>
          <w:marTop w:val="0"/>
          <w:marBottom w:val="0"/>
          <w:divBdr>
            <w:top w:val="none" w:sz="0" w:space="0" w:color="auto"/>
            <w:left w:val="none" w:sz="0" w:space="0" w:color="auto"/>
            <w:bottom w:val="none" w:sz="0" w:space="0" w:color="auto"/>
            <w:right w:val="none" w:sz="0" w:space="0" w:color="auto"/>
          </w:divBdr>
        </w:div>
        <w:div w:id="604583986">
          <w:marLeft w:val="480"/>
          <w:marRight w:val="0"/>
          <w:marTop w:val="0"/>
          <w:marBottom w:val="0"/>
          <w:divBdr>
            <w:top w:val="none" w:sz="0" w:space="0" w:color="auto"/>
            <w:left w:val="none" w:sz="0" w:space="0" w:color="auto"/>
            <w:bottom w:val="none" w:sz="0" w:space="0" w:color="auto"/>
            <w:right w:val="none" w:sz="0" w:space="0" w:color="auto"/>
          </w:divBdr>
        </w:div>
        <w:div w:id="954092456">
          <w:marLeft w:val="480"/>
          <w:marRight w:val="0"/>
          <w:marTop w:val="0"/>
          <w:marBottom w:val="0"/>
          <w:divBdr>
            <w:top w:val="none" w:sz="0" w:space="0" w:color="auto"/>
            <w:left w:val="none" w:sz="0" w:space="0" w:color="auto"/>
            <w:bottom w:val="none" w:sz="0" w:space="0" w:color="auto"/>
            <w:right w:val="none" w:sz="0" w:space="0" w:color="auto"/>
          </w:divBdr>
        </w:div>
        <w:div w:id="955912607">
          <w:marLeft w:val="480"/>
          <w:marRight w:val="0"/>
          <w:marTop w:val="0"/>
          <w:marBottom w:val="0"/>
          <w:divBdr>
            <w:top w:val="none" w:sz="0" w:space="0" w:color="auto"/>
            <w:left w:val="none" w:sz="0" w:space="0" w:color="auto"/>
            <w:bottom w:val="none" w:sz="0" w:space="0" w:color="auto"/>
            <w:right w:val="none" w:sz="0" w:space="0" w:color="auto"/>
          </w:divBdr>
        </w:div>
        <w:div w:id="988830064">
          <w:marLeft w:val="480"/>
          <w:marRight w:val="0"/>
          <w:marTop w:val="0"/>
          <w:marBottom w:val="0"/>
          <w:divBdr>
            <w:top w:val="none" w:sz="0" w:space="0" w:color="auto"/>
            <w:left w:val="none" w:sz="0" w:space="0" w:color="auto"/>
            <w:bottom w:val="none" w:sz="0" w:space="0" w:color="auto"/>
            <w:right w:val="none" w:sz="0" w:space="0" w:color="auto"/>
          </w:divBdr>
        </w:div>
        <w:div w:id="1226601277">
          <w:marLeft w:val="480"/>
          <w:marRight w:val="0"/>
          <w:marTop w:val="0"/>
          <w:marBottom w:val="0"/>
          <w:divBdr>
            <w:top w:val="none" w:sz="0" w:space="0" w:color="auto"/>
            <w:left w:val="none" w:sz="0" w:space="0" w:color="auto"/>
            <w:bottom w:val="none" w:sz="0" w:space="0" w:color="auto"/>
            <w:right w:val="none" w:sz="0" w:space="0" w:color="auto"/>
          </w:divBdr>
        </w:div>
        <w:div w:id="1492212750">
          <w:marLeft w:val="480"/>
          <w:marRight w:val="0"/>
          <w:marTop w:val="0"/>
          <w:marBottom w:val="0"/>
          <w:divBdr>
            <w:top w:val="none" w:sz="0" w:space="0" w:color="auto"/>
            <w:left w:val="none" w:sz="0" w:space="0" w:color="auto"/>
            <w:bottom w:val="none" w:sz="0" w:space="0" w:color="auto"/>
            <w:right w:val="none" w:sz="0" w:space="0" w:color="auto"/>
          </w:divBdr>
        </w:div>
      </w:divsChild>
    </w:div>
    <w:div w:id="2142992216">
      <w:marLeft w:val="480"/>
      <w:marRight w:val="0"/>
      <w:marTop w:val="0"/>
      <w:marBottom w:val="0"/>
      <w:divBdr>
        <w:top w:val="none" w:sz="0" w:space="0" w:color="auto"/>
        <w:left w:val="none" w:sz="0" w:space="0" w:color="auto"/>
        <w:bottom w:val="none" w:sz="0" w:space="0" w:color="auto"/>
        <w:right w:val="none" w:sz="0" w:space="0" w:color="auto"/>
      </w:divBdr>
    </w:div>
    <w:div w:id="2143381691">
      <w:bodyDiv w:val="1"/>
      <w:marLeft w:val="0"/>
      <w:marRight w:val="0"/>
      <w:marTop w:val="0"/>
      <w:marBottom w:val="0"/>
      <w:divBdr>
        <w:top w:val="none" w:sz="0" w:space="0" w:color="auto"/>
        <w:left w:val="none" w:sz="0" w:space="0" w:color="auto"/>
        <w:bottom w:val="none" w:sz="0" w:space="0" w:color="auto"/>
        <w:right w:val="none" w:sz="0" w:space="0" w:color="auto"/>
      </w:divBdr>
      <w:divsChild>
        <w:div w:id="244805849">
          <w:marLeft w:val="480"/>
          <w:marRight w:val="0"/>
          <w:marTop w:val="0"/>
          <w:marBottom w:val="0"/>
          <w:divBdr>
            <w:top w:val="none" w:sz="0" w:space="0" w:color="auto"/>
            <w:left w:val="none" w:sz="0" w:space="0" w:color="auto"/>
            <w:bottom w:val="none" w:sz="0" w:space="0" w:color="auto"/>
            <w:right w:val="none" w:sz="0" w:space="0" w:color="auto"/>
          </w:divBdr>
        </w:div>
        <w:div w:id="405497009">
          <w:marLeft w:val="480"/>
          <w:marRight w:val="0"/>
          <w:marTop w:val="0"/>
          <w:marBottom w:val="0"/>
          <w:divBdr>
            <w:top w:val="none" w:sz="0" w:space="0" w:color="auto"/>
            <w:left w:val="none" w:sz="0" w:space="0" w:color="auto"/>
            <w:bottom w:val="none" w:sz="0" w:space="0" w:color="auto"/>
            <w:right w:val="none" w:sz="0" w:space="0" w:color="auto"/>
          </w:divBdr>
        </w:div>
        <w:div w:id="589777740">
          <w:marLeft w:val="480"/>
          <w:marRight w:val="0"/>
          <w:marTop w:val="0"/>
          <w:marBottom w:val="0"/>
          <w:divBdr>
            <w:top w:val="none" w:sz="0" w:space="0" w:color="auto"/>
            <w:left w:val="none" w:sz="0" w:space="0" w:color="auto"/>
            <w:bottom w:val="none" w:sz="0" w:space="0" w:color="auto"/>
            <w:right w:val="none" w:sz="0" w:space="0" w:color="auto"/>
          </w:divBdr>
        </w:div>
        <w:div w:id="699823967">
          <w:marLeft w:val="480"/>
          <w:marRight w:val="0"/>
          <w:marTop w:val="0"/>
          <w:marBottom w:val="0"/>
          <w:divBdr>
            <w:top w:val="none" w:sz="0" w:space="0" w:color="auto"/>
            <w:left w:val="none" w:sz="0" w:space="0" w:color="auto"/>
            <w:bottom w:val="none" w:sz="0" w:space="0" w:color="auto"/>
            <w:right w:val="none" w:sz="0" w:space="0" w:color="auto"/>
          </w:divBdr>
        </w:div>
        <w:div w:id="801192179">
          <w:marLeft w:val="480"/>
          <w:marRight w:val="0"/>
          <w:marTop w:val="0"/>
          <w:marBottom w:val="0"/>
          <w:divBdr>
            <w:top w:val="none" w:sz="0" w:space="0" w:color="auto"/>
            <w:left w:val="none" w:sz="0" w:space="0" w:color="auto"/>
            <w:bottom w:val="none" w:sz="0" w:space="0" w:color="auto"/>
            <w:right w:val="none" w:sz="0" w:space="0" w:color="auto"/>
          </w:divBdr>
        </w:div>
        <w:div w:id="966200949">
          <w:marLeft w:val="480"/>
          <w:marRight w:val="0"/>
          <w:marTop w:val="0"/>
          <w:marBottom w:val="0"/>
          <w:divBdr>
            <w:top w:val="none" w:sz="0" w:space="0" w:color="auto"/>
            <w:left w:val="none" w:sz="0" w:space="0" w:color="auto"/>
            <w:bottom w:val="none" w:sz="0" w:space="0" w:color="auto"/>
            <w:right w:val="none" w:sz="0" w:space="0" w:color="auto"/>
          </w:divBdr>
        </w:div>
        <w:div w:id="1456169656">
          <w:marLeft w:val="480"/>
          <w:marRight w:val="0"/>
          <w:marTop w:val="0"/>
          <w:marBottom w:val="0"/>
          <w:divBdr>
            <w:top w:val="none" w:sz="0" w:space="0" w:color="auto"/>
            <w:left w:val="none" w:sz="0" w:space="0" w:color="auto"/>
            <w:bottom w:val="none" w:sz="0" w:space="0" w:color="auto"/>
            <w:right w:val="none" w:sz="0" w:space="0" w:color="auto"/>
          </w:divBdr>
        </w:div>
        <w:div w:id="1932884413">
          <w:marLeft w:val="48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header" Target="header6.xml"/><Relationship Id="rId42" Type="http://schemas.openxmlformats.org/officeDocument/2006/relationships/image" Target="media/image18.svg"/><Relationship Id="rId63" Type="http://schemas.openxmlformats.org/officeDocument/2006/relationships/image" Target="media/image39.png"/><Relationship Id="rId84" Type="http://schemas.openxmlformats.org/officeDocument/2006/relationships/image" Target="media/image60.png"/><Relationship Id="rId138" Type="http://schemas.openxmlformats.org/officeDocument/2006/relationships/image" Target="media/image105.png"/><Relationship Id="rId107" Type="http://schemas.openxmlformats.org/officeDocument/2006/relationships/image" Target="media/image78.png"/><Relationship Id="rId11" Type="http://schemas.openxmlformats.org/officeDocument/2006/relationships/header" Target="header1.xml"/><Relationship Id="rId32" Type="http://schemas.openxmlformats.org/officeDocument/2006/relationships/image" Target="media/image8.png"/><Relationship Id="rId53" Type="http://schemas.openxmlformats.org/officeDocument/2006/relationships/image" Target="media/image29.png"/><Relationship Id="rId74" Type="http://schemas.openxmlformats.org/officeDocument/2006/relationships/image" Target="media/image50.svg"/><Relationship Id="rId128" Type="http://schemas.openxmlformats.org/officeDocument/2006/relationships/image" Target="media/image99.png"/><Relationship Id="rId149" Type="http://schemas.openxmlformats.org/officeDocument/2006/relationships/glossaryDocument" Target="glossary/document.xml"/><Relationship Id="rId5" Type="http://schemas.openxmlformats.org/officeDocument/2006/relationships/numbering" Target="numbering.xml"/><Relationship Id="rId95" Type="http://schemas.openxmlformats.org/officeDocument/2006/relationships/image" Target="media/image70.png"/><Relationship Id="rId22" Type="http://schemas.openxmlformats.org/officeDocument/2006/relationships/header" Target="header7.xml"/><Relationship Id="rId27" Type="http://schemas.openxmlformats.org/officeDocument/2006/relationships/image" Target="media/image3.sv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svg"/><Relationship Id="rId69" Type="http://schemas.openxmlformats.org/officeDocument/2006/relationships/image" Target="media/image45.png"/><Relationship Id="rId113" Type="http://schemas.openxmlformats.org/officeDocument/2006/relationships/image" Target="media/image84.svg"/><Relationship Id="rId118" Type="http://schemas.openxmlformats.org/officeDocument/2006/relationships/image" Target="media/image89.png"/><Relationship Id="rId134" Type="http://schemas.openxmlformats.org/officeDocument/2006/relationships/header" Target="header10.xml"/><Relationship Id="rId139" Type="http://schemas.openxmlformats.org/officeDocument/2006/relationships/image" Target="media/image106.svg"/><Relationship Id="rId80" Type="http://schemas.openxmlformats.org/officeDocument/2006/relationships/image" Target="media/image56.svg"/><Relationship Id="rId85" Type="http://schemas.openxmlformats.org/officeDocument/2006/relationships/image" Target="media/image61.png"/><Relationship Id="rId150"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74.svg"/><Relationship Id="rId108" Type="http://schemas.openxmlformats.org/officeDocument/2006/relationships/image" Target="media/image79.png"/><Relationship Id="rId124" Type="http://schemas.openxmlformats.org/officeDocument/2006/relationships/image" Target="media/image95.png"/><Relationship Id="rId129" Type="http://schemas.openxmlformats.org/officeDocument/2006/relationships/image" Target="media/image100.svg"/><Relationship Id="rId54" Type="http://schemas.openxmlformats.org/officeDocument/2006/relationships/image" Target="media/image30.png"/><Relationship Id="rId70" Type="http://schemas.openxmlformats.org/officeDocument/2006/relationships/image" Target="media/image46.svg"/><Relationship Id="rId75" Type="http://schemas.openxmlformats.org/officeDocument/2006/relationships/image" Target="media/image51.png"/><Relationship Id="rId91" Type="http://schemas.openxmlformats.org/officeDocument/2006/relationships/image" Target="media/image66.svg"/><Relationship Id="rId96" Type="http://schemas.openxmlformats.org/officeDocument/2006/relationships/image" Target="media/image71.png"/><Relationship Id="rId140" Type="http://schemas.openxmlformats.org/officeDocument/2006/relationships/image" Target="media/image107.png"/><Relationship Id="rId14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8.xml"/><Relationship Id="rId28" Type="http://schemas.openxmlformats.org/officeDocument/2006/relationships/image" Target="media/image4.png"/><Relationship Id="rId49" Type="http://schemas.openxmlformats.org/officeDocument/2006/relationships/image" Target="media/image25.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20.sv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101.png"/><Relationship Id="rId135" Type="http://schemas.openxmlformats.org/officeDocument/2006/relationships/header" Target="header11.xml"/><Relationship Id="rId151" Type="http://schemas.microsoft.com/office/2019/05/relationships/documenttasks" Target="documenttasks/documenttasks1.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5.png"/><Relationship Id="rId109" Type="http://schemas.openxmlformats.org/officeDocument/2006/relationships/image" Target="media/image80.sv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svg"/><Relationship Id="rId97" Type="http://schemas.openxmlformats.org/officeDocument/2006/relationships/hyperlink" Target="https://www.e-tar.lt/portal/lt/legalActEditions/TAR.FFF9AE9162EE?faces-redirect=true" TargetMode="External"/><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08.svg"/><Relationship Id="rId14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image" Target="media/image5.svg"/><Relationship Id="rId24" Type="http://schemas.openxmlformats.org/officeDocument/2006/relationships/footer" Target="footer5.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svg"/><Relationship Id="rId87" Type="http://schemas.openxmlformats.org/officeDocument/2006/relationships/hyperlink" Target="file:///C:\Users\Ravazzilda\Downloads\35a7051a-en.pdf" TargetMode="External"/><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footer" Target="footer6.xml"/><Relationship Id="rId61" Type="http://schemas.openxmlformats.org/officeDocument/2006/relationships/image" Target="media/image37.png"/><Relationship Id="rId82" Type="http://schemas.openxmlformats.org/officeDocument/2006/relationships/image" Target="media/image58.svg"/><Relationship Id="rId152" Type="http://schemas.microsoft.com/office/2020/10/relationships/intelligence" Target="intelligence2.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hyperlink" Target="https://www.e-tar.lt/portal/lt/legalAct/TAR.2716576D8D0C/asr" TargetMode="External"/><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8.svg"/><Relationship Id="rId93" Type="http://schemas.openxmlformats.org/officeDocument/2006/relationships/image" Target="media/image68.svg"/><Relationship Id="rId98" Type="http://schemas.openxmlformats.org/officeDocument/2006/relationships/hyperlink" Target="https://e-seimas.lrs.lt/portal/legalAct/lt/TAD/TAIS.6036/asr" TargetMode="External"/><Relationship Id="rId121" Type="http://schemas.openxmlformats.org/officeDocument/2006/relationships/image" Target="media/image92.png"/><Relationship Id="rId142" Type="http://schemas.openxmlformats.org/officeDocument/2006/relationships/image" Target="media/image109.png"/><Relationship Id="rId3" Type="http://schemas.openxmlformats.org/officeDocument/2006/relationships/customXml" Target="../customXml/item3.xml"/><Relationship Id="rId25" Type="http://schemas.openxmlformats.org/officeDocument/2006/relationships/header" Target="header9.xml"/><Relationship Id="rId46" Type="http://schemas.openxmlformats.org/officeDocument/2006/relationships/image" Target="media/image22.svg"/><Relationship Id="rId67" Type="http://schemas.openxmlformats.org/officeDocument/2006/relationships/image" Target="media/image43.png"/><Relationship Id="rId116" Type="http://schemas.openxmlformats.org/officeDocument/2006/relationships/image" Target="media/image87.png"/><Relationship Id="rId137" Type="http://schemas.openxmlformats.org/officeDocument/2006/relationships/header" Target="header12.xml"/><Relationship Id="rId20" Type="http://schemas.openxmlformats.org/officeDocument/2006/relationships/footer" Target="footer4.xml"/><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3.png"/><Relationship Id="rId111" Type="http://schemas.openxmlformats.org/officeDocument/2006/relationships/image" Target="media/image82.svg"/><Relationship Id="rId132" Type="http://schemas.openxmlformats.org/officeDocument/2006/relationships/image" Target="media/image103.png"/><Relationship Id="rId15" Type="http://schemas.openxmlformats.org/officeDocument/2006/relationships/header" Target="header3.xml"/><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image" Target="media/image77.png"/><Relationship Id="rId127" Type="http://schemas.openxmlformats.org/officeDocument/2006/relationships/image" Target="media/image98.svg"/><Relationship Id="rId10" Type="http://schemas.openxmlformats.org/officeDocument/2006/relationships/endnotes" Target="endnotes.xml"/><Relationship Id="rId31" Type="http://schemas.openxmlformats.org/officeDocument/2006/relationships/image" Target="media/image7.svg"/><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svg"/><Relationship Id="rId94" Type="http://schemas.openxmlformats.org/officeDocument/2006/relationships/image" Target="media/image69.png"/><Relationship Id="rId99" Type="http://schemas.openxmlformats.org/officeDocument/2006/relationships/hyperlink" Target="https://www.e-tar.lt/portal/lt/legalAct/TAR.793560F67ADF/asr" TargetMode="External"/><Relationship Id="rId101" Type="http://schemas.openxmlformats.org/officeDocument/2006/relationships/image" Target="media/image72.png"/><Relationship Id="rId122" Type="http://schemas.openxmlformats.org/officeDocument/2006/relationships/image" Target="media/image93.png"/><Relationship Id="rId143" Type="http://schemas.openxmlformats.org/officeDocument/2006/relationships/hyperlink" Target="http://www.rpa-europe.eu/"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2.png"/><Relationship Id="rId47" Type="http://schemas.openxmlformats.org/officeDocument/2006/relationships/image" Target="media/image23.png"/><Relationship Id="rId68" Type="http://schemas.openxmlformats.org/officeDocument/2006/relationships/image" Target="media/image44.svg"/><Relationship Id="rId89" Type="http://schemas.openxmlformats.org/officeDocument/2006/relationships/image" Target="media/image64.svg"/><Relationship Id="rId112" Type="http://schemas.openxmlformats.org/officeDocument/2006/relationships/image" Target="media/image83.png"/><Relationship Id="rId133" Type="http://schemas.openxmlformats.org/officeDocument/2006/relationships/image" Target="media/image104.png"/><Relationship Id="rId16" Type="http://schemas.openxmlformats.org/officeDocument/2006/relationships/footer" Target="footer3.xml"/><Relationship Id="rId37" Type="http://schemas.openxmlformats.org/officeDocument/2006/relationships/image" Target="media/image13.png"/><Relationship Id="rId58" Type="http://schemas.openxmlformats.org/officeDocument/2006/relationships/image" Target="media/image34.svg"/><Relationship Id="rId79" Type="http://schemas.openxmlformats.org/officeDocument/2006/relationships/image" Target="media/image55.png"/><Relationship Id="rId102" Type="http://schemas.openxmlformats.org/officeDocument/2006/relationships/image" Target="media/image73.png"/><Relationship Id="rId123" Type="http://schemas.openxmlformats.org/officeDocument/2006/relationships/image" Target="media/image94.png"/><Relationship Id="rId144" Type="http://schemas.openxmlformats.org/officeDocument/2006/relationships/header" Target="header13.xml"/><Relationship Id="rId90" Type="http://schemas.openxmlformats.org/officeDocument/2006/relationships/image" Target="media/image65.png"/></Relationships>
</file>

<file path=word/_rels/footnotes.xml.rels><?xml version="1.0" encoding="UTF-8" standalone="yes"?>
<Relationships xmlns="http://schemas.openxmlformats.org/package/2006/relationships"><Relationship Id="rId117" Type="http://schemas.openxmlformats.org/officeDocument/2006/relationships/hyperlink" Target="https://repozitorij.ijf.hr/en/islandora/object/ijf:969/datastream/FILE0/view" TargetMode="External"/><Relationship Id="rId21" Type="http://schemas.openxmlformats.org/officeDocument/2006/relationships/hyperlink" Target="https://economy-finance.ec.europa.eu/document/download/db66340f-3711-4f6e-aadd-81528e029de8_en?filename=BE_CR_SWD_2025_201_1_EN_autre_document_travail_service_part1_v5.pdf" TargetMode="External"/><Relationship Id="rId324" Type="http://schemas.openxmlformats.org/officeDocument/2006/relationships/hyperlink" Target="https://www.vmi.lt/evmi/biudzeto-pajamos" TargetMode="External"/><Relationship Id="rId531" Type="http://schemas.openxmlformats.org/officeDocument/2006/relationships/hyperlink" Target="https://ieep.eu/wp-content/uploads/2022/12/SE-NOx-SO2-Tax-final.pdf" TargetMode="External"/><Relationship Id="rId170" Type="http://schemas.openxmlformats.org/officeDocument/2006/relationships/hyperlink" Target="https://mzp.gov.cz/sites/mzp.cz/files/tiskove-zpravy/AP_C%C4%8C_2040.pdf" TargetMode="External"/><Relationship Id="rId268" Type="http://schemas.openxmlformats.org/officeDocument/2006/relationships/hyperlink" Target="https://www.bmuv.de/faq/welche-neuerung-bringt-das-einwegkunststofffondsgesetz" TargetMode="External"/><Relationship Id="rId475" Type="http://schemas.openxmlformats.org/officeDocument/2006/relationships/hyperlink" Target="https://view.officeapps.live.com/op/view.aspx?src=https%3A%2F%2Fwww.fu.gov.si%2Ffileadmin%2FInternet%2FDavki_in_druge_dajatve%2FPodrocja%2FOkoljske_dajatve%2FOpis%2FEnvironmental_taxes.docx&amp;wdOrigin=BROWSELINK" TargetMode="External"/><Relationship Id="rId32" Type="http://schemas.openxmlformats.org/officeDocument/2006/relationships/hyperlink" Target="https://narodne-novine.nn.hr/clanci/sluzbeni/2015_10_115_2193.html" TargetMode="External"/><Relationship Id="rId128" Type="http://schemas.openxmlformats.org/officeDocument/2006/relationships/hyperlink" Target="https://repozitorij.ijf.hr/en/islandora/object/ijf:969/datastream/FILE0/view" TargetMode="External"/><Relationship Id="rId335" Type="http://schemas.openxmlformats.org/officeDocument/2006/relationships/hyperlink" Target="https://www.oecd.org/en/publications/oecd-economic-surveys-lithuania-2025_4abf1ea5-en.html" TargetMode="External"/><Relationship Id="rId542" Type="http://schemas.openxmlformats.org/officeDocument/2006/relationships/hyperlink" Target="https://ec.europa.eu/taxation_customs/tedb/" TargetMode="External"/><Relationship Id="rId181" Type="http://schemas.openxmlformats.org/officeDocument/2006/relationships/hyperlink" Target="https://www.oecd.org/en/publications/oecd-environmental-performance-reviews-denmark-2019_1eeec492-en.html" TargetMode="External"/><Relationship Id="rId402" Type="http://schemas.openxmlformats.org/officeDocument/2006/relationships/hyperlink" Target="https://divizjonitalgvernlokali.gov.mt/wp-content/uploads/2024/04/Fees-applicable-for-applications-which-require-a-permit-by-a-Local-Council-Uploaded-1.pdf" TargetMode="External"/><Relationship Id="rId279" Type="http://schemas.openxmlformats.org/officeDocument/2006/relationships/hyperlink" Target="https://data.europa.eu/doi/10.2779/688810" TargetMode="External"/><Relationship Id="rId486" Type="http://schemas.openxmlformats.org/officeDocument/2006/relationships/hyperlink" Target="https://view.officeapps.live.com/op/view.aspx?src=https%3A%2F%2Fwww.fu.gov.si%2Ffileadmin%2FInternet%2FDavki_in_druge_dajatve%2FPodrocja%2FOkoljske_dajatve%2FOpis%2FEnvironmental_taxes.docx&amp;wdOrigin=BROWSELINK" TargetMode="External"/><Relationship Id="rId43" Type="http://schemas.openxmlformats.org/officeDocument/2006/relationships/hyperlink" Target="https://www.fzoeu.hr/naknade-8387-8387" TargetMode="External"/><Relationship Id="rId139" Type="http://schemas.openxmlformats.org/officeDocument/2006/relationships/hyperlink" Target="https://www.e-sbirka.cz/sb/2001/254/2024-08-01?zalozka=text" TargetMode="External"/><Relationship Id="rId346" Type="http://schemas.openxmlformats.org/officeDocument/2006/relationships/hyperlink" Target="https://legilux.public.lu/eli/etat/leg/loi/2008/12/19/n17/consolide/20250101" TargetMode="External"/><Relationship Id="rId192" Type="http://schemas.openxmlformats.org/officeDocument/2006/relationships/hyperlink" Target="https://www.oecd.org/en/publications/oecd-environmental-performance-reviews-denmark-2019_1eeec492-en.html" TargetMode="External"/><Relationship Id="rId206" Type="http://schemas.openxmlformats.org/officeDocument/2006/relationships/hyperlink" Target="https://commission.europa.eu/document/download/1273b8a0-2c62-40d3-a942-2775deb13fae_en?filename=COM_2025_204_1_EN_ACT_part1_v3.pdf" TargetMode="External"/><Relationship Id="rId413" Type="http://schemas.openxmlformats.org/officeDocument/2006/relationships/hyperlink" Target="https://sip.lex.pl/akty-prawne/dzu-dziennik-ustaw/prawo-wodne-18625895" TargetMode="External"/><Relationship Id="rId497" Type="http://schemas.openxmlformats.org/officeDocument/2006/relationships/hyperlink" Target="https://economy-finance.ec.europa.eu/document/download/a712afe4-d94e-4333-8333-e8bc1ab63f1e_en?filename=ES_CR_SWD_2025_209_1_EN_autre_document_travail_service_part1_v4.pdf" TargetMode="External"/><Relationship Id="rId12" Type="http://schemas.openxmlformats.org/officeDocument/2006/relationships/hyperlink" Target="https://www.bmf.gv.at/themen/steuern/immobilien-grundstuecke/grundbesitzabgaben-einheitsbewertung/grundsteuer.html" TargetMode="External"/><Relationship Id="rId108" Type="http://schemas.openxmlformats.org/officeDocument/2006/relationships/hyperlink" Target="https://documents1.worldbank.org/curated/en/929211613036393029/pdf/Croatia-Cost-of-Environmental-Degradation.pdf" TargetMode="External"/><Relationship Id="rId315" Type="http://schemas.openxmlformats.org/officeDocument/2006/relationships/hyperlink" Target="https://www.eea.europa.eu/publications/many-eu-member-states/italy/view" TargetMode="External"/><Relationship Id="rId357" Type="http://schemas.openxmlformats.org/officeDocument/2006/relationships/hyperlink" Target="https://nso.gov.mt/wp-content/uploads/NR-2023-193-Table-5.ods" TargetMode="External"/><Relationship Id="rId522" Type="http://schemas.openxmlformats.org/officeDocument/2006/relationships/hyperlink" Target="https://www.pincvision.com/news/swedish-tax-on-chemicals-in-certain-electronics" TargetMode="External"/><Relationship Id="rId54" Type="http://schemas.openxmlformats.org/officeDocument/2006/relationships/hyperlink" Target="https://www.fzoeu.hr/naknada-na-opterecivanje-okolisa-otpadom-1401" TargetMode="External"/><Relationship Id="rId96" Type="http://schemas.openxmlformats.org/officeDocument/2006/relationships/hyperlink" Target="https://psc.hr/en/game-hunting/" TargetMode="External"/><Relationship Id="rId161" Type="http://schemas.openxmlformats.org/officeDocument/2006/relationships/hyperlink" Target="https://eulacfoundation.org/system/files/digital_library/2023-07/5d33734d-en.pdf" TargetMode="External"/><Relationship Id="rId217" Type="http://schemas.openxmlformats.org/officeDocument/2006/relationships/hyperlink" Target="https://www.eea.europa.eu/publications/many-eu-member-states/finland" TargetMode="External"/><Relationship Id="rId399" Type="http://schemas.openxmlformats.org/officeDocument/2006/relationships/hyperlink" Target="https://legislation.mt/eli/sl/128.1/eng/pdf" TargetMode="External"/><Relationship Id="rId259" Type="http://schemas.openxmlformats.org/officeDocument/2006/relationships/hyperlink" Target="https://www.bundesregierung.de/breg-de/aktuelles/co2-preis-kohle-abfallbrennstoffe-2061622" TargetMode="External"/><Relationship Id="rId424" Type="http://schemas.openxmlformats.org/officeDocument/2006/relationships/hyperlink" Target="https://www.gov.pl/web/climate/deposit-refund-system-in-poland" TargetMode="External"/><Relationship Id="rId466" Type="http://schemas.openxmlformats.org/officeDocument/2006/relationships/hyperlink" Target="https://pisrs.si/pregledPredpisa?id=URED6149" TargetMode="External"/><Relationship Id="rId23" Type="http://schemas.openxmlformats.org/officeDocument/2006/relationships/hyperlink" Target="https://www.plan.be/fr/publications/depenses-fiscales-liees-aux-voitures-de-societe" TargetMode="External"/><Relationship Id="rId119" Type="http://schemas.openxmlformats.org/officeDocument/2006/relationships/hyperlink" Target="https://ieep.eu/wp-content/uploads/2022/12/HR-Forest-Public-Benefit-Fee-final.pdf" TargetMode="External"/><Relationship Id="rId270" Type="http://schemas.openxmlformats.org/officeDocument/2006/relationships/hyperlink" Target="https://www.umweltbundesamt.de/sites/default/files/medien/5750/publikationen/2021-04-19_texte_60-2021_novelle_awag.pdf" TargetMode="External"/><Relationship Id="rId326" Type="http://schemas.openxmlformats.org/officeDocument/2006/relationships/hyperlink" Target="https://e-seimas.lrs.lt/portal/legalAct/lt/TAD/TAIS.454394/asr" TargetMode="External"/><Relationship Id="rId533" Type="http://schemas.openxmlformats.org/officeDocument/2006/relationships/hyperlink" Target="https://www.skatteverket.se/foretag/skatterochavdrag/punktskatter/avfallsskatt.4.18e1b10334ebe8bc80002886.html" TargetMode="External"/><Relationship Id="rId65" Type="http://schemas.openxmlformats.org/officeDocument/2006/relationships/hyperlink" Target="https://www.voda.hr/hr/hrvatsko-vodno-zakonodavstvo" TargetMode="External"/><Relationship Id="rId130" Type="http://schemas.openxmlformats.org/officeDocument/2006/relationships/hyperlink" Target="https://www.eea.europa.eu/en/topics/in-depth/waste-and-recycling/municipal-and-packaging-waste-management-country-profiles/hr-municipal-waste-factsheet.pdf/@@download/file" TargetMode="External"/><Relationship Id="rId368" Type="http://schemas.openxmlformats.org/officeDocument/2006/relationships/hyperlink" Target="https://timesofmalta.com/article/new-tax-on-cement.333025" TargetMode="External"/><Relationship Id="rId172" Type="http://schemas.openxmlformats.org/officeDocument/2006/relationships/hyperlink" Target="https://environment.ec.europa.eu/system/files/2021-10/Czech%20Republic.pdf" TargetMode="External"/><Relationship Id="rId228" Type="http://schemas.openxmlformats.org/officeDocument/2006/relationships/hyperlink" Target="https://julkaisut.valtioneuvosto.fi/bitstream/handle/10024/162104/YM_2020_06.pdf?sequence=1&amp;isAllowed=y" TargetMode="External"/><Relationship Id="rId435" Type="http://schemas.openxmlformats.org/officeDocument/2006/relationships/hyperlink" Target="https://programme2014-20.interreg-central.eu/Content.Node/DEEPWATER-CE/D.T4.1.2-COMPARATIVE-CE-TRANSNATIONAL-REPORT-MAR-LEGISLATION.pdf" TargetMode="External"/><Relationship Id="rId477" Type="http://schemas.openxmlformats.org/officeDocument/2006/relationships/hyperlink" Target="https://view.officeapps.live.com/op/view.aspx?src=https%3A%2F%2Fwww.fu.gov.si%2Ffileadmin%2FInternet%2FDavki_in_druge_dajatve%2FPodrocja%2FOkoljske_dajatve%2FOpis%2FIG_priloga_1.doc&amp;wdOrigin=BROWSELINK" TargetMode="External"/><Relationship Id="rId281" Type="http://schemas.openxmlformats.org/officeDocument/2006/relationships/hyperlink" Target="https://ec.europa.eu/eurostat/databrowser/view/env_ac_taxind2__custom_16151737/default/table?lang=en" TargetMode="External"/><Relationship Id="rId337" Type="http://schemas.openxmlformats.org/officeDocument/2006/relationships/hyperlink" Target="https://www.oecd.org/en/publications/reform-options-for-lithuanian-climate-neutrality-by-2050_0d570e99-en.html" TargetMode="External"/><Relationship Id="rId502" Type="http://schemas.openxmlformats.org/officeDocument/2006/relationships/hyperlink" Target="https://www.oecd.org/en/data/datasets/policy-instruments-for-the-environment-pine-database.html" TargetMode="External"/><Relationship Id="rId34" Type="http://schemas.openxmlformats.org/officeDocument/2006/relationships/hyperlink" Target="https://narodne-novine.nn.hr/clanci/sluzbeni/2023_10_124_1717.html" TargetMode="External"/><Relationship Id="rId76" Type="http://schemas.openxmlformats.org/officeDocument/2006/relationships/hyperlink" Target="https://www.voda.hr/hr/vodne-naknade" TargetMode="External"/><Relationship Id="rId141" Type="http://schemas.openxmlformats.org/officeDocument/2006/relationships/hyperlink" Target="https://www.e-sbirka.cz/sb/2008/383?zalozka=text" TargetMode="External"/><Relationship Id="rId379" Type="http://schemas.openxmlformats.org/officeDocument/2006/relationships/hyperlink" Target="https://www.independent.com.mt/articles/2017-07-05/local-news/Lack-of-harmonisation-on-excise-duty-results-in-some-abuses-Customs-Dept-Head-6736176218" TargetMode="External"/><Relationship Id="rId544" Type="http://schemas.openxmlformats.org/officeDocument/2006/relationships/hyperlink" Target="https://www.oecd.org/en/data/datasets/policy-instruments-for-the-environment-pine-database.html" TargetMode="External"/><Relationship Id="rId7" Type="http://schemas.openxmlformats.org/officeDocument/2006/relationships/hyperlink" Target="https://www.stadt-salzburg.at/fileadmin/user_upload/04013/abfallwirtschaftsgebuehr_2025.pdf" TargetMode="External"/><Relationship Id="rId183" Type="http://schemas.openxmlformats.org/officeDocument/2006/relationships/hyperlink" Target="https://www.oecd.org/en/publications/oecd-environmental-performance-reviews-denmark-2019_1eeec492-en.html" TargetMode="External"/><Relationship Id="rId239" Type="http://schemas.openxmlformats.org/officeDocument/2006/relationships/hyperlink" Target="https://www.rengaskierratys.com/en/about_us?utm_" TargetMode="External"/><Relationship Id="rId390" Type="http://schemas.openxmlformats.org/officeDocument/2006/relationships/hyperlink" Target="https://legislation.mt/eli/sl/425.12/eng/pdf" TargetMode="External"/><Relationship Id="rId404" Type="http://schemas.openxmlformats.org/officeDocument/2006/relationships/hyperlink" Target="https://energywateragency.gov.mt/public-consultation-on-proposals-of-groundwater-abstraction/" TargetMode="External"/><Relationship Id="rId446" Type="http://schemas.openxmlformats.org/officeDocument/2006/relationships/hyperlink" Target="https://commission.europa.eu/document/download/62d6f5ed-3509-4015-ad4e-415fa5467006_en?filename=com_2024_625_1_en.pdf" TargetMode="External"/><Relationship Id="rId250" Type="http://schemas.openxmlformats.org/officeDocument/2006/relationships/hyperlink" Target="https://ieep.eu/wp-content/uploads/2022/12/FR-Water-Abstraction-Charges-final.pdf" TargetMode="External"/><Relationship Id="rId292" Type="http://schemas.openxmlformats.org/officeDocument/2006/relationships/hyperlink" Target="https://www.google.com/url?sa=t&amp;rct=j&amp;q=&amp;esrc=s&amp;source=web&amp;cd=&amp;cad=rja&amp;uact=8&amp;ved=2ahUKEwjr1NPV3NSLAxUlQUEAHbtcG2AQFnoECBUQAQ&amp;url=https%3A%2F%2Fassets.gov.ie%2F234239%2F52e6e3a2-c2f7-4ed8-97a8-6881899c14e6.pdf&amp;usg=AOvVaw3W8oDLPqsV3z4WOlGvw7RB&amp;cshid=1740139480457657&amp;opi=89978449" TargetMode="External"/><Relationship Id="rId306" Type="http://schemas.openxmlformats.org/officeDocument/2006/relationships/hyperlink" Target="https://indicatoriambientali.isprambiente.it/it/economia-e-ambiente/imposte-ambientali" TargetMode="External"/><Relationship Id="rId488" Type="http://schemas.openxmlformats.org/officeDocument/2006/relationships/hyperlink" Target="https://www.ibisworld.com/slovenia/industry/paint-coatings-printing-ink-manufacturing/200450/" TargetMode="External"/><Relationship Id="rId45" Type="http://schemas.openxmlformats.org/officeDocument/2006/relationships/hyperlink" Target="https://narodne-novine.nn.hr/clanci/sluzbeni/2023_10_124_1717.html" TargetMode="External"/><Relationship Id="rId87" Type="http://schemas.openxmlformats.org/officeDocument/2006/relationships/hyperlink" Target="http://narodne-novine.nn.hr/clanci/sluzbeni/2015_10_119_2244.html" TargetMode="External"/><Relationship Id="rId110" Type="http://schemas.openxmlformats.org/officeDocument/2006/relationships/hyperlink" Target="https://www.elibrary.imf.org/view/journals/002/2023/234/article-A002-en.xml" TargetMode="External"/><Relationship Id="rId348" Type="http://schemas.openxmlformats.org/officeDocument/2006/relationships/hyperlink" Target="https://op.europa.eu/en/publication-detail/-/publication/62bfa4a4-cbd4-11e5-a4b5-01aa75ed71a1" TargetMode="External"/><Relationship Id="rId513" Type="http://schemas.openxmlformats.org/officeDocument/2006/relationships/hyperlink" Target="https://www.sverigesradio.se/artikel/3756255" TargetMode="External"/><Relationship Id="rId152" Type="http://schemas.openxmlformats.org/officeDocument/2006/relationships/hyperlink" Target="https://www.e-sbirka.cz/sb/2000/240?odkazId=40605277&amp;zalozka=text" TargetMode="External"/><Relationship Id="rId194" Type="http://schemas.openxmlformats.org/officeDocument/2006/relationships/hyperlink" Target="https://skm.dk/media/tngh1b4r/green-tax-reform-final-report.pdf" TargetMode="External"/><Relationship Id="rId208" Type="http://schemas.openxmlformats.org/officeDocument/2006/relationships/hyperlink" Target="https://www.imf.org/en/Publications/WP/Issues/2020/11/12/Climate-Mitigation-Policy-in-Denmark-A-Prototype-for-Other-Countries-49882" TargetMode="External"/><Relationship Id="rId415" Type="http://schemas.openxmlformats.org/officeDocument/2006/relationships/hyperlink" Target="https://sip.lex.pl/akty-prawne/dzu-dziennik-ustaw/jednostkowe-stawki-oplat-za-uslugi-wodne-18669415" TargetMode="External"/><Relationship Id="rId457" Type="http://schemas.openxmlformats.org/officeDocument/2006/relationships/hyperlink" Target="https://ec.europa.eu/eurostat/databrowser/view/env_ac_taxind2__custom_16151737/default/table?lang=en" TargetMode="External"/><Relationship Id="rId261" Type="http://schemas.openxmlformats.org/officeDocument/2006/relationships/hyperlink" Target="https://www.destatis.de/EN/Themes/Society-Environment/Environment/Water-Management/Tables/tw-08-charges-for-drinking-water-tariff-areas-2020-2022.html" TargetMode="External"/><Relationship Id="rId499" Type="http://schemas.openxmlformats.org/officeDocument/2006/relationships/hyperlink" Target="https://ec.europa.eu/eurostat/databrowser/view/env_ac_taxind2__custom_16151737/default/table?lang=en" TargetMode="External"/><Relationship Id="rId14" Type="http://schemas.openxmlformats.org/officeDocument/2006/relationships/hyperlink" Target="https://www.ris.bka.gv.at/GeltendeFassung.wxe?Abfrage=LrVbg&amp;Gesetzesnummer=20000466" TargetMode="External"/><Relationship Id="rId56" Type="http://schemas.openxmlformats.org/officeDocument/2006/relationships/hyperlink" Target="https://www.fzoeu.hr/naknada-na-opterecivanje-okolisa-otpadom-1401" TargetMode="External"/><Relationship Id="rId317" Type="http://schemas.openxmlformats.org/officeDocument/2006/relationships/hyperlink" Target="https://data.europa.eu/doi/10.2779/61725" TargetMode="External"/><Relationship Id="rId359" Type="http://schemas.openxmlformats.org/officeDocument/2006/relationships/hyperlink" Target="https://cfr.gov.mt/en/vat/eco_information/Documents/11.%20Eco%20Contribution%20Presentation%20-%20December%202009.pdf" TargetMode="External"/><Relationship Id="rId524" Type="http://schemas.openxmlformats.org/officeDocument/2006/relationships/hyperlink" Target="https://www.skatteverket.se/servicelankar/otherlanguages/inenglishengelska/businessesandemployers/startingandrunningaswedishbusiness/payingtaxesbusinesses/taxonchemicalsincertainelectronics.4.5c281c7015abecc2e2019351.html?q=chemical+tax" TargetMode="External"/><Relationship Id="rId98" Type="http://schemas.openxmlformats.org/officeDocument/2006/relationships/hyperlink" Target="https://www.expatincroatia.com/fishing-license/" TargetMode="External"/><Relationship Id="rId121" Type="http://schemas.openxmlformats.org/officeDocument/2006/relationships/hyperlink" Target="https://environment.ec.europa.eu/system/files/2021-10/Croatia.pdf" TargetMode="External"/><Relationship Id="rId163" Type="http://schemas.openxmlformats.org/officeDocument/2006/relationships/hyperlink" Target="https://eulacfoundation.org/system/files/digital_library/2023-07/5d33734d-en.pdf" TargetMode="External"/><Relationship Id="rId219" Type="http://schemas.openxmlformats.org/officeDocument/2006/relationships/hyperlink" Target="https://economy-finance.ec.europa.eu/document/download/7d853774-4ed7-4496-9bb3-c54d78ac3ea0_en?filename=2025_dbp_fi_en.pdf" TargetMode="External"/><Relationship Id="rId370" Type="http://schemas.openxmlformats.org/officeDocument/2006/relationships/hyperlink" Target="https://comtradeplus.un.org/" TargetMode="External"/><Relationship Id="rId426" Type="http://schemas.openxmlformats.org/officeDocument/2006/relationships/hyperlink" Target="https://sozosfera.pl/odpady/problem-nielegalnie-magazynowanych-lub-skladowanych-odpadow-w-tym-odpadow-niebezpiecznych/" TargetMode="External"/><Relationship Id="rId230" Type="http://schemas.openxmlformats.org/officeDocument/2006/relationships/hyperlink" Target="https://leap.unep.org/en/countries/fi/national-legislation/act-oil-pollution-compensation-fund-no-379-1974" TargetMode="External"/><Relationship Id="rId468" Type="http://schemas.openxmlformats.org/officeDocument/2006/relationships/hyperlink" Target="https://view.officeapps.live.com/op/view.aspx?src=https%3A%2F%2Fwww.fu.gov.si%2Ffileadmin%2FInternet%2FDavki_in_druge_dajatve%2FPodrocja%2FOkoljske_dajatve%2FOpis%2FOkoljska_dajatev_za_onesnazevanje_okolja_zaradi_odvajanja_odpadnih_voda.doc&amp;wdOrigin=BROWSELINK" TargetMode="External"/><Relationship Id="rId25" Type="http://schemas.openxmlformats.org/officeDocument/2006/relationships/hyperlink" Target="https://commission.europa.eu/document/download/7c4a6dd6-e086-41fa-aab0-7b6be0cd5b40_en?filename=COM_2025_202_1_EN_ACT_part1_v4.pdf" TargetMode="External"/><Relationship Id="rId67" Type="http://schemas.openxmlformats.org/officeDocument/2006/relationships/hyperlink" Target="http://narodne-novine.nn.hr/clanci/sluzbeni/2011_08_90_1923.html" TargetMode="External"/><Relationship Id="rId272" Type="http://schemas.openxmlformats.org/officeDocument/2006/relationships/hyperlink" Target="https://igsvtu.lanuv.nrw.de/vtu/doc.app?DATEI=7/dokus/70203.pdf" TargetMode="External"/><Relationship Id="rId328" Type="http://schemas.openxmlformats.org/officeDocument/2006/relationships/hyperlink" Target="https://commission.europa.eu/publications/2025-european-semester-country-specific-recommendations-commission-recommendations_en" TargetMode="External"/><Relationship Id="rId535" Type="http://schemas.openxmlformats.org/officeDocument/2006/relationships/hyperlink" Target="https://task36.ieabioenergy.com/news/swedish-waste-incineration-tax-abolished/" TargetMode="External"/><Relationship Id="rId132" Type="http://schemas.openxmlformats.org/officeDocument/2006/relationships/hyperlink" Target="https://www.propertyguides.com/cyprus/buying/taxes/" TargetMode="External"/><Relationship Id="rId174" Type="http://schemas.openxmlformats.org/officeDocument/2006/relationships/hyperlink" Target="https://environment.ec.europa.eu/system/files/2021-10/Czech%20Republic.pdf" TargetMode="External"/><Relationship Id="rId381" Type="http://schemas.openxmlformats.org/officeDocument/2006/relationships/hyperlink" Target="https://timesofmalta.com/article/customs-department-clarifies-which-new-products-will-be-taxed.628364" TargetMode="External"/><Relationship Id="rId241" Type="http://schemas.openxmlformats.org/officeDocument/2006/relationships/hyperlink" Target="https://leap.unep.org/en/countries/fi/national-legislation/act-environmental-protection-maritime-transport-no-1672-2009?utm_" TargetMode="External"/><Relationship Id="rId437" Type="http://schemas.openxmlformats.org/officeDocument/2006/relationships/hyperlink" Target="https://www.slov-lex.sk/ezbierky/pravne-predpisy/SK/ZZ/2023/190/20240101" TargetMode="External"/><Relationship Id="rId479" Type="http://schemas.openxmlformats.org/officeDocument/2006/relationships/hyperlink" Target="https://eur-lex.europa.eu/legal-content/EN/TXT/?uri=celex%3A31994L0062" TargetMode="External"/><Relationship Id="rId36" Type="http://schemas.openxmlformats.org/officeDocument/2006/relationships/hyperlink" Target="https://kruzna-ekonomija.com/2021/04/22/naknada-gospodarenja-ee-otpadom/" TargetMode="External"/><Relationship Id="rId283" Type="http://schemas.openxmlformats.org/officeDocument/2006/relationships/hyperlink" Target="https://www.oecd.org/en/data/datasets/policy-instruments-for-the-environment-pine-database.html" TargetMode="External"/><Relationship Id="rId339" Type="http://schemas.openxmlformats.org/officeDocument/2006/relationships/hyperlink" Target="https://am.lrv.lt/lt/naujienos/nuo-2025-m-sausio-1-d-isigalios-pakuociu-gamintojams-ir-importuotojams-aktualus-mokestiniai-pakeitimai/" TargetMode="External"/><Relationship Id="rId490" Type="http://schemas.openxmlformats.org/officeDocument/2006/relationships/hyperlink" Target="https://view.officeapps.live.com/op/view.aspx?src=https%3A%2F%2Fwww.fu.gov.si%2Ffileadmin%2FInternet%2FDavki_in_druge_dajatve%2FPodrocja%2FOkoljske_dajatve%2FOpis%2FEnvironmental_taxes.docx&amp;wdOrigin=BROWSELINK" TargetMode="External"/><Relationship Id="rId504" Type="http://schemas.openxmlformats.org/officeDocument/2006/relationships/hyperlink" Target="https://www.pan-europe.info/issues/pesticide-taxation" TargetMode="External"/><Relationship Id="rId546" Type="http://schemas.openxmlformats.org/officeDocument/2006/relationships/hyperlink" Target="https://start.stockholm/en/about-the-city-of-stockholm/how-the-tax-money-is-used/municipal-tax/" TargetMode="External"/><Relationship Id="rId78" Type="http://schemas.openxmlformats.org/officeDocument/2006/relationships/hyperlink" Target="http://narodne-novine.nn.hr/clanci/sluzbeni/2009_12_153_3744.html" TargetMode="External"/><Relationship Id="rId101" Type="http://schemas.openxmlformats.org/officeDocument/2006/relationships/hyperlink" Target="https://www.expatincroatia.com/fishing-license/" TargetMode="External"/><Relationship Id="rId143" Type="http://schemas.openxmlformats.org/officeDocument/2006/relationships/hyperlink" Target="https://www.ensreg.eu/country-profile/Czech%20Republic" TargetMode="External"/><Relationship Id="rId185" Type="http://schemas.openxmlformats.org/officeDocument/2006/relationships/hyperlink" Target="https://ieep.eu/publications/assessing-the-potential-for-environmental-fiscal-reform-in-the-eu-28/" TargetMode="External"/><Relationship Id="rId350" Type="http://schemas.openxmlformats.org/officeDocument/2006/relationships/hyperlink" Target="https://ec.europa.eu/eurostat/databrowser/view/env_ac_taxind2/default/table?lang=en" TargetMode="External"/><Relationship Id="rId406" Type="http://schemas.openxmlformats.org/officeDocument/2006/relationships/hyperlink" Target="https://greenbestpractice.jrc.ec.europa.eu/node/7" TargetMode="External"/><Relationship Id="rId9" Type="http://schemas.openxmlformats.org/officeDocument/2006/relationships/hyperlink" Target="https://www.wasserwirtschaft.steiermark.at/cms/beitrag/12799991/160281757" TargetMode="External"/><Relationship Id="rId210" Type="http://schemas.openxmlformats.org/officeDocument/2006/relationships/hyperlink" Target="https://www.dmu.dk/Pub/COMETR_Summary_Report.pdf" TargetMode="External"/><Relationship Id="rId392" Type="http://schemas.openxmlformats.org/officeDocument/2006/relationships/hyperlink" Target="https://legislation.mt/eli/ln/2011/83/eng/pdf" TargetMode="External"/><Relationship Id="rId448" Type="http://schemas.openxmlformats.org/officeDocument/2006/relationships/hyperlink" Target="https://www.oecd.org/en/publications/towards-a-green-fiscal-reform-in-the-slovak-republic_1aa92a49-en.html" TargetMode="External"/><Relationship Id="rId252" Type="http://schemas.openxmlformats.org/officeDocument/2006/relationships/hyperlink" Target="https://economy-finance.ec.europa.eu/document/download/9f4d2810-f2df-4b16-8eb8-7189923a7622_en?filename=FR_CR_SWD_2025_210_1_EN_autre_document_travail_service_part1_v3.pdf" TargetMode="External"/><Relationship Id="rId294" Type="http://schemas.openxmlformats.org/officeDocument/2006/relationships/hyperlink" Target="https://www.google.com/url?sa=t&amp;rct=j&amp;q=&amp;esrc=s&amp;source=web&amp;cd=&amp;cad=rja&amp;uact=8&amp;ved=2ahUKEwjr1NPV3NSLAxUlQUEAHbtcG2AQFnoECBUQAQ&amp;url=https%3A%2F%2Fassets.gov.ie%2F234239%2F52e6e3a2-c2f7-4ed8-97a8-6881899c14e6.pdf&amp;usg=AOvVaw3W8oDLPqsV3z4WOlGvw7RB&amp;cshid=1740139480457657&amp;opi=89978449" TargetMode="External"/><Relationship Id="rId308" Type="http://schemas.openxmlformats.org/officeDocument/2006/relationships/hyperlink" Target="http://portaleragioneria.provincia.roma.it/temi/tefa-tributo-lesercizio-delle-funzioni-ambientali" TargetMode="External"/><Relationship Id="rId515" Type="http://schemas.openxmlformats.org/officeDocument/2006/relationships/hyperlink" Target="https://ieep.eu/wp-content/uploads/2022/12/SE-Fertilizer-tax-final_REV.pdf" TargetMode="External"/><Relationship Id="rId47" Type="http://schemas.openxmlformats.org/officeDocument/2006/relationships/hyperlink" Target="https://www.fzoeu.hr/naknade-8395-8395" TargetMode="External"/><Relationship Id="rId89" Type="http://schemas.openxmlformats.org/officeDocument/2006/relationships/hyperlink" Target="https://www.voda.hr/hr/vodne-naknade" TargetMode="External"/><Relationship Id="rId112" Type="http://schemas.openxmlformats.org/officeDocument/2006/relationships/hyperlink" Target="https://environment.ec.europa.eu/system/files/2021-10/Croatia.pdf" TargetMode="External"/><Relationship Id="rId154" Type="http://schemas.openxmlformats.org/officeDocument/2006/relationships/hyperlink" Target="https://english.radio.cz/authorities-will-not-curb-czechs-passion-mushroom-hunting-8790978" TargetMode="External"/><Relationship Id="rId361" Type="http://schemas.openxmlformats.org/officeDocument/2006/relationships/hyperlink" Target="https://www.maltatoday.com.mt/environment/environment/27102/eco-contribution-should-be-abolished-malta-chamber-20130527" TargetMode="External"/><Relationship Id="rId196" Type="http://schemas.openxmlformats.org/officeDocument/2006/relationships/hyperlink" Target="https://op.europa.eu/en/publication-detail/-/publication/2ac39da4-2e57-11ef-a61b-01aa75ed71a1/language-en" TargetMode="External"/><Relationship Id="rId417" Type="http://schemas.openxmlformats.org/officeDocument/2006/relationships/hyperlink" Target="https://api.sejm.gov.pl/eli/acts/DU/2023/877/text.pdf" TargetMode="External"/><Relationship Id="rId459" Type="http://schemas.openxmlformats.org/officeDocument/2006/relationships/hyperlink" Target="https://view.officeapps.live.com/op/view.aspx?src=https%3A%2F%2Fec.europa.eu%2Feurostat%2Fstatistics-explained%2Fimages%2F9%2F9c%2FNational_tax_lists_2023_2025-04-25.xlsx&amp;wdOrigin=BROWSELINK" TargetMode="External"/><Relationship Id="rId16" Type="http://schemas.openxmlformats.org/officeDocument/2006/relationships/hyperlink" Target="https://wts.com/wts.com/publications/climate-protection-green-tax-energy/2023/wtsglobal-plastic-taxation-in-europe-2023.pdf" TargetMode="External"/><Relationship Id="rId221" Type="http://schemas.openxmlformats.org/officeDocument/2006/relationships/hyperlink" Target="https://ieep.eu/wp-content/uploads/2022/12/FI-Deposit-Refund-Scheme-final.pdf" TargetMode="External"/><Relationship Id="rId263" Type="http://schemas.openxmlformats.org/officeDocument/2006/relationships/hyperlink" Target="https://www.destatis.de/EN/Themes/Society-Environment/Environment/Water-Management/Tables/tw-08-charges-for-drinking-water-tariff-areas-2020-2022.html" TargetMode="External"/><Relationship Id="rId319" Type="http://schemas.openxmlformats.org/officeDocument/2006/relationships/hyperlink" Target="https://ieep.eu/publications/environmental-tax-reform-in-europe-opportunities-for-the-future/" TargetMode="External"/><Relationship Id="rId470" Type="http://schemas.openxmlformats.org/officeDocument/2006/relationships/hyperlink" Target="https://circabc.europa.eu/ui/group/65764c73-4a57-45dc-8199-473014cf65bf/library/afe3a4d6-ca49-4ac0-be15-688fb4fbf5a9/details" TargetMode="External"/><Relationship Id="rId526" Type="http://schemas.openxmlformats.org/officeDocument/2006/relationships/hyperlink" Target="https://www.skatteverket.se/servicelankar/otherlanguages/inenglishengelska/businessesandemployers/startingandrunningaswedishbusiness/payingtaxesbusinesses/paymentrespite.4.12815e4f14a62bc048f53b6.html" TargetMode="External"/><Relationship Id="rId58" Type="http://schemas.openxmlformats.org/officeDocument/2006/relationships/hyperlink" Target="https://narodne-novine.nn.hr/clanci/sluzbeni/2024_11_128_2133.html" TargetMode="External"/><Relationship Id="rId123" Type="http://schemas.openxmlformats.org/officeDocument/2006/relationships/hyperlink" Target="https://www.zakon.hr/c/podzakonski-propis/540245/nn-137-2024-%2829.11.2024.%29%2C-uredba-o-jedinicnoj-naknadi-za-odlaganje-otpada" TargetMode="External"/><Relationship Id="rId330" Type="http://schemas.openxmlformats.org/officeDocument/2006/relationships/hyperlink" Target="https://commission.europa.eu/publications/2022-european-semester-country-specific-recommendations-commission-recommendations_en" TargetMode="External"/><Relationship Id="rId165" Type="http://schemas.openxmlformats.org/officeDocument/2006/relationships/hyperlink" Target="https://mzp.gov.cz/sites/mzp.cz/files/tiskove-zpravy/AP_C%C4%8C_2040.pdf" TargetMode="External"/><Relationship Id="rId372" Type="http://schemas.openxmlformats.org/officeDocument/2006/relationships/hyperlink" Target="https://www.independent.com.mt/articles/2014-12-16/local-news/Importers-up-in-arms-over-ammunition-storage-fees-fees-affecting-sport-shooters-6736127413" TargetMode="External"/><Relationship Id="rId428" Type="http://schemas.openxmlformats.org/officeDocument/2006/relationships/hyperlink" Target="https://economy-finance.ec.europa.eu/document/download/52166ac9-de1e-4009-8921-39eb6f9673fc_en?filename=PT_CR_SWD_2025_222_1_EN_autre_document_travail_service_part1_v3.pdf" TargetMode="External"/><Relationship Id="rId232" Type="http://schemas.openxmlformats.org/officeDocument/2006/relationships/hyperlink" Target="https://www.oecd.org/content/dam/oecd/en/publications/reports/1998/02/the-environmental-effects-of-reforming-agricultural-policies_g1gh1770/9789264162440-en.pdf" TargetMode="External"/><Relationship Id="rId274" Type="http://schemas.openxmlformats.org/officeDocument/2006/relationships/hyperlink" Target="https://www.clientearth.org/latest/news/we-are-taking-legal-action-over-pesticides-in-germany/" TargetMode="External"/><Relationship Id="rId481" Type="http://schemas.openxmlformats.org/officeDocument/2006/relationships/hyperlink" Target="https://www.oecd.org/en/data/datasets/policy-instruments-for-the-environment-pine-database.html" TargetMode="External"/><Relationship Id="rId27" Type="http://schemas.openxmlformats.org/officeDocument/2006/relationships/hyperlink" Target="https://data.europa.eu/doi/10.2779/187999" TargetMode="External"/><Relationship Id="rId69" Type="http://schemas.openxmlformats.org/officeDocument/2006/relationships/hyperlink" Target="https://narodne-novine.nn.hr/clanci/sluzbeni/2016_12_120_2610.html" TargetMode="External"/><Relationship Id="rId134" Type="http://schemas.openxmlformats.org/officeDocument/2006/relationships/hyperlink" Target="https://data.europa.eu/doi/10.2779/351886" TargetMode="External"/><Relationship Id="rId537" Type="http://schemas.openxmlformats.org/officeDocument/2006/relationships/hyperlink" Target="https://www4.skatteverket.se/rattsligvagledning/27571.html?date=2025-01-01" TargetMode="External"/><Relationship Id="rId80" Type="http://schemas.openxmlformats.org/officeDocument/2006/relationships/hyperlink" Target="http://narodne-novine.nn.hr/clanci/sluzbeni/2013_05_56_1140.html" TargetMode="External"/><Relationship Id="rId176" Type="http://schemas.openxmlformats.org/officeDocument/2006/relationships/hyperlink" Target="https://www.oecd.org/en/publications/oecd-environmental-performance-reviews-denmark-2019_1eeec492-en.html" TargetMode="External"/><Relationship Id="rId341" Type="http://schemas.openxmlformats.org/officeDocument/2006/relationships/hyperlink" Target="https://www.oecd.org/en/publications/reform-options-for-lithuanian-climate-neutrality-by-2050_0d570e99-en.html" TargetMode="External"/><Relationship Id="rId383" Type="http://schemas.openxmlformats.org/officeDocument/2006/relationships/hyperlink" Target="https://timesofmalta.com/article/thin-plastic-bags-wet-wipes-balloons-excluded-from-single-use-plastics.843066" TargetMode="External"/><Relationship Id="rId439" Type="http://schemas.openxmlformats.org/officeDocument/2006/relationships/hyperlink" Target="https://www.zakonypreludi.sk/zz/2002-50" TargetMode="External"/><Relationship Id="rId201" Type="http://schemas.openxmlformats.org/officeDocument/2006/relationships/hyperlink" Target="https://www.oecd.org/en/publications/oecd-environmental-performance-reviews-denmark-2019_1eeec492-en.html" TargetMode="External"/><Relationship Id="rId243" Type="http://schemas.openxmlformats.org/officeDocument/2006/relationships/hyperlink" Target="https://tukes.fi/en/chemicals/submitting-information-on-chemicals?utm_" TargetMode="External"/><Relationship Id="rId285" Type="http://schemas.openxmlformats.org/officeDocument/2006/relationships/hyperlink" Target="https://ieep.eu/wp-content/uploads/2022/12/ETR_in_Europe_-_Final_report_of_IEEP_study_-_30_May_2014.pdf" TargetMode="External"/><Relationship Id="rId450" Type="http://schemas.openxmlformats.org/officeDocument/2006/relationships/hyperlink" Target="https://www.eionet.europa.eu/etcs/etc-ce/products/etc-ce-products/etc-ce-report-5-2022-country-profiles-on-circular-economy/slovakia-ce-country-profile-2022_for-publication.pdf" TargetMode="External"/><Relationship Id="rId506" Type="http://schemas.openxmlformats.org/officeDocument/2006/relationships/hyperlink" Target="https://www.riksbank.se/en-gb/statistics/interest-rates-and-exchange-rates/search-annual-and-monthly-average-exchange-rates/" TargetMode="External"/><Relationship Id="rId38" Type="http://schemas.openxmlformats.org/officeDocument/2006/relationships/hyperlink" Target="https://narodne-novine.nn.hr/clanci/sluzbeni/2023_10_124_1717.html" TargetMode="External"/><Relationship Id="rId103" Type="http://schemas.openxmlformats.org/officeDocument/2006/relationships/hyperlink" Target="https://www.hrsume.hr/gradjani/dozvola-nsp/" TargetMode="External"/><Relationship Id="rId310" Type="http://schemas.openxmlformats.org/officeDocument/2006/relationships/hyperlink" Target="https://www.reteambiente.it/news/19096/antitrust-l-iresa-regionale-sta-fallendo/" TargetMode="External"/><Relationship Id="rId492" Type="http://schemas.openxmlformats.org/officeDocument/2006/relationships/hyperlink" Target="https://eur-lex.europa.eu/legal-content/EN/TXT/?uri=CELEX%3A52022SC0273&amp;qid=1701952686349" TargetMode="External"/><Relationship Id="rId548" Type="http://schemas.openxmlformats.org/officeDocument/2006/relationships/hyperlink" Target="https://www.regeringen.se/globalassets/government/dokument/regeringskansliet/statement-of-government-policy-20192.pdf" TargetMode="External"/><Relationship Id="rId91" Type="http://schemas.openxmlformats.org/officeDocument/2006/relationships/hyperlink" Target="https://www.voda.hr/hr/vodne-naknade" TargetMode="External"/><Relationship Id="rId145" Type="http://schemas.openxmlformats.org/officeDocument/2006/relationships/hyperlink" Target="https://cms.law/en/int/expert-guides/cms-expert-guide-to-climate-change-tax-reforms-and-incentives/czech-republic" TargetMode="External"/><Relationship Id="rId187" Type="http://schemas.openxmlformats.org/officeDocument/2006/relationships/hyperlink" Target="https://www.oecd.org/en/publications/oecd-environmental-performance-reviews-denmark-2019_1eeec492-en.html" TargetMode="External"/><Relationship Id="rId352" Type="http://schemas.openxmlformats.org/officeDocument/2006/relationships/hyperlink" Target="https://economy-finance.ec.europa.eu/document/download/4288d41f-8809-4418-b398-c01668fca3ba_en?filename=LU_CR_SWD_2025_216_1_EN_autre_document_travail_service_part1_v4.pdf" TargetMode="External"/><Relationship Id="rId394" Type="http://schemas.openxmlformats.org/officeDocument/2006/relationships/hyperlink" Target="https://timesofmalta.com/article/hunters-trappers-save-652500-in-licence-fees.599406" TargetMode="External"/><Relationship Id="rId408" Type="http://schemas.openxmlformats.org/officeDocument/2006/relationships/hyperlink" Target="https://data.europa.eu/doi/10.2779/132998" TargetMode="External"/><Relationship Id="rId212" Type="http://schemas.openxmlformats.org/officeDocument/2006/relationships/hyperlink" Target="https://commission.europa.eu/document/download/771b483b-1bd0-4b5c-8d6a-624a4fd11050_en?filename=COM_2025_206_1_EN_ACT_part1_v3.pdf" TargetMode="External"/><Relationship Id="rId254" Type="http://schemas.openxmlformats.org/officeDocument/2006/relationships/hyperlink" Target="https://economy-finance.ec.europa.eu/document/download/9f4d2810-f2df-4b16-8eb8-7189923a7622_en?filename=FR_CR_SWD_2025_210_1_EN_autre_document_travail_service_part1_v3.pdf" TargetMode="External"/><Relationship Id="rId49" Type="http://schemas.openxmlformats.org/officeDocument/2006/relationships/hyperlink" Target="https://narodne-novine.nn.hr/clanci/sluzbeni/2004_05_71_1468.html" TargetMode="External"/><Relationship Id="rId114" Type="http://schemas.openxmlformats.org/officeDocument/2006/relationships/hyperlink" Target="https://narodne-novine.nn.hr/clanci/sluzbeni/2015_10_115_2193.html" TargetMode="External"/><Relationship Id="rId296" Type="http://schemas.openxmlformats.org/officeDocument/2006/relationships/hyperlink" Target="https://www.irishstatutebook.ie/eli/2012/si/214/made/en/print" TargetMode="External"/><Relationship Id="rId461" Type="http://schemas.openxmlformats.org/officeDocument/2006/relationships/hyperlink" Target="https://data.europa.eu/data/datasets/podatki-o-placanih-okoljskih-dajatvah?locale=en" TargetMode="External"/><Relationship Id="rId517" Type="http://schemas.openxmlformats.org/officeDocument/2006/relationships/hyperlink" Target="https://www.regeringen.se/rattsliga-dokument/statens-offentliga-utredningar/2003/02/sou-20039/" TargetMode="External"/><Relationship Id="rId60" Type="http://schemas.openxmlformats.org/officeDocument/2006/relationships/hyperlink" Target="https://zapresic.hr/wp-content/uploads/2022/11/7.2.-Program-utroska-sumski-doprinos-2023.pdf" TargetMode="External"/><Relationship Id="rId156" Type="http://schemas.openxmlformats.org/officeDocument/2006/relationships/hyperlink" Target="https://circabc.europa.eu/ui/group/c1a5a4e9-7563-4d0e-9697-68d9cd24ed34/library/7ff9e898-823f-4b06-985a-119d9e25e529/details" TargetMode="External"/><Relationship Id="rId198" Type="http://schemas.openxmlformats.org/officeDocument/2006/relationships/hyperlink" Target="https://ieep.eu/publications/assessing-the-potential-for-environmental-fiscal-reform-in-the-eu-28/" TargetMode="External"/><Relationship Id="rId321" Type="http://schemas.openxmlformats.org/officeDocument/2006/relationships/hyperlink" Target="https://sciendo.com/article/10.1515/nispa-2017-0015" TargetMode="External"/><Relationship Id="rId363" Type="http://schemas.openxmlformats.org/officeDocument/2006/relationships/hyperlink" Target="https://era.org.mt/press-releases/waste-from-electrical-and-electronic-equipment-obligations-have-been-in-force-in-malta-since-2007/" TargetMode="External"/><Relationship Id="rId419" Type="http://schemas.openxmlformats.org/officeDocument/2006/relationships/hyperlink" Target="https://www.biznes.gov.pl/pl/portal/00278" TargetMode="External"/><Relationship Id="rId223" Type="http://schemas.openxmlformats.org/officeDocument/2006/relationships/hyperlink" Target="https://riista.fi/wp-content/uploads/2023/10/suomi_-riistamaana_2023_eng_03.pdf?utm_" TargetMode="External"/><Relationship Id="rId430" Type="http://schemas.openxmlformats.org/officeDocument/2006/relationships/hyperlink" Target="https://causapublica.org/estudos/a-fiscalidade-em-portugal/" TargetMode="External"/><Relationship Id="rId18" Type="http://schemas.openxmlformats.org/officeDocument/2006/relationships/hyperlink" Target="https://economy-finance.ec.europa.eu/document/download/db66340f-3711-4f6e-aadd-81528e029de8_en?filename=BE_CR_SWD_2025_201_1_EN_autre_document_travail_service_part1_v5.pdf" TargetMode="External"/><Relationship Id="rId265" Type="http://schemas.openxmlformats.org/officeDocument/2006/relationships/hyperlink" Target="https://www.destatis.de/EN/Themes/Society-Environment/Environment/Environmental-Economic-Accounting/taxes-other-duties/environment-related-tax-revenue.html" TargetMode="External"/><Relationship Id="rId472" Type="http://schemas.openxmlformats.org/officeDocument/2006/relationships/hyperlink" Target="https://view.officeapps.live.com/op/view.aspx?src=https%3A%2F%2Fwww.fu.gov.si%2Ffileadmin%2FInternet%2FDavki_in_druge_dajatve%2FPodrocja%2FOkoljske_dajatve%2FOpis%2FEnvironmental_taxes.docx&amp;wdOrigin=BROWSELINK" TargetMode="External"/><Relationship Id="rId528" Type="http://schemas.openxmlformats.org/officeDocument/2006/relationships/hyperlink" Target="https://www.svensktnaringsliv.se/bilder_och_dokument/f44lfj_greenwash-an-analysis-of-the-efficiency-of-swedish-environmental_1146913.html/Greenwash%253F+An+analysis+of+the+efficiency+of+Swedish+environmental+taxes.pdf" TargetMode="External"/><Relationship Id="rId125" Type="http://schemas.openxmlformats.org/officeDocument/2006/relationships/hyperlink" Target="https://www" TargetMode="External"/><Relationship Id="rId167" Type="http://schemas.openxmlformats.org/officeDocument/2006/relationships/hyperlink" Target="https://environment.ec.europa.eu/system/files/2021-10/Czech%20Republic.pdf" TargetMode="External"/><Relationship Id="rId332" Type="http://schemas.openxmlformats.org/officeDocument/2006/relationships/hyperlink" Target="https://www.oecd.org/en/publications/oecd-environmental-performance-reviews-lithuania-2021_48d82b17-en/full-report.html" TargetMode="External"/><Relationship Id="rId374" Type="http://schemas.openxmlformats.org/officeDocument/2006/relationships/hyperlink" Target="https://customs.gov.mt/docs/default-source/rates-of-exchange/annex-2---non-harmonised-goods.pdf?sfvrsn=25cb284b_1" TargetMode="External"/><Relationship Id="rId71" Type="http://schemas.openxmlformats.org/officeDocument/2006/relationships/hyperlink" Target="https://narodne-novine.nn.hr/clanci/sluzbeni/2019_07_66_1292.html" TargetMode="External"/><Relationship Id="rId234" Type="http://schemas.openxmlformats.org/officeDocument/2006/relationships/hyperlink" Target="https://www.ielrc.org/content/e0107.pdf" TargetMode="External"/><Relationship Id="rId2" Type="http://schemas.openxmlformats.org/officeDocument/2006/relationships/hyperlink" Target="https://www.bmf.gv.at/themen/zoll/fuer-unternehmen/altlastenbeitrag.html" TargetMode="External"/><Relationship Id="rId29" Type="http://schemas.openxmlformats.org/officeDocument/2006/relationships/hyperlink" Target="https://narodne-novine.nn.hr/clanci/sluzbeni/2015_10_115_2193.html" TargetMode="External"/><Relationship Id="rId276" Type="http://schemas.openxmlformats.org/officeDocument/2006/relationships/hyperlink" Target="https://eur-lex.europa.eu/legal-content/EN/TXT/PDF/?uri=CELEX:62014TJ0423(01)" TargetMode="External"/><Relationship Id="rId441" Type="http://schemas.openxmlformats.org/officeDocument/2006/relationships/hyperlink" Target="https://ieep.eu/wp-content/uploads/2022/12/SK-Air-Pollution-Fee-final.pdf" TargetMode="External"/><Relationship Id="rId483" Type="http://schemas.openxmlformats.org/officeDocument/2006/relationships/hyperlink" Target="https://www.oecd.org/en/data/datasets/policy-instruments-for-the-environment-pine-database.html" TargetMode="External"/><Relationship Id="rId539" Type="http://schemas.openxmlformats.org/officeDocument/2006/relationships/hyperlink" Target="https://www.naturvardsverket.se/en/guidance/extended-producer-responsibility-epr/producers-responsibility-for-batteries/" TargetMode="External"/><Relationship Id="rId40" Type="http://schemas.openxmlformats.org/officeDocument/2006/relationships/hyperlink" Target="https://www.fzoeu.hr/naknade-8405-8405" TargetMode="External"/><Relationship Id="rId136" Type="http://schemas.openxmlformats.org/officeDocument/2006/relationships/hyperlink" Target="https://www.e-sbirka.cz/sb/2009/280/2024-01-01?zalozka=text" TargetMode="External"/><Relationship Id="rId178" Type="http://schemas.openxmlformats.org/officeDocument/2006/relationships/hyperlink" Target="https://ieep.eu/publications/assessing-the-potential-for-environmental-fiscal-reform-in-the-eu-28/" TargetMode="External"/><Relationship Id="rId301" Type="http://schemas.openxmlformats.org/officeDocument/2006/relationships/hyperlink" Target="https://assets.gov.ie/static/documents/national-development-plan-2021-2030.pdf" TargetMode="External"/><Relationship Id="rId343" Type="http://schemas.openxmlformats.org/officeDocument/2006/relationships/hyperlink" Target="https://www.oecd.org/en/publications/reform-options-for-lithuanian-climate-neutrality-by-2050_0d570e99-en.html" TargetMode="External"/><Relationship Id="rId82" Type="http://schemas.openxmlformats.org/officeDocument/2006/relationships/hyperlink" Target="https://narodne-novine.nn.hr/clanci/sluzbeni/2017_12_127_2879.html" TargetMode="External"/><Relationship Id="rId203" Type="http://schemas.openxmlformats.org/officeDocument/2006/relationships/hyperlink" Target="https://op.europa.eu/en/publication-detail/-/publication/2ac39da4-2e57-11ef-a61b-01aa75ed71a1/language-en" TargetMode="External"/><Relationship Id="rId385" Type="http://schemas.openxmlformats.org/officeDocument/2006/relationships/hyperlink" Target="https://legislation.mt/eli/sl/545.14/eng/pdf" TargetMode="External"/><Relationship Id="rId245" Type="http://schemas.openxmlformats.org/officeDocument/2006/relationships/hyperlink" Target="http://files.foes.de/de/downloads/tagungvilm2005/scandinaviastudy.pdf" TargetMode="External"/><Relationship Id="rId287" Type="http://schemas.openxmlformats.org/officeDocument/2006/relationships/hyperlink" Target="https://ieep.eu/wp-content/uploads/2022/12/ETR_in_Europe_-_Final_report_of_IEEP_study_-_30_May_2014.pdf" TargetMode="External"/><Relationship Id="rId410" Type="http://schemas.openxmlformats.org/officeDocument/2006/relationships/hyperlink" Target="https://www.consilium.europa.eu/en/press/press-releases/2025/07/08/european-semester-2025-council-adopts-country-specific-recommendations/" TargetMode="External"/><Relationship Id="rId452" Type="http://schemas.openxmlformats.org/officeDocument/2006/relationships/hyperlink" Target="http://dx.doi.org/10.15240/tul/001/2016-4-001" TargetMode="External"/><Relationship Id="rId494" Type="http://schemas.openxmlformats.org/officeDocument/2006/relationships/hyperlink" Target="https://economy-finance.ec.europa.eu/publications/2025-european-semester-country-reports_en" TargetMode="External"/><Relationship Id="rId508" Type="http://schemas.openxmlformats.org/officeDocument/2006/relationships/hyperlink" Target="https://www.regeringen.se/contentassets/eb90ee4460e746c8a1fc8796cfcd9d18/skatt-pa-kadmium-i-vissa-produkter-och-kemiska-vaxtskyddsmedel-sou-2017102.pdf" TargetMode="External"/><Relationship Id="rId105" Type="http://schemas.openxmlformats.org/officeDocument/2006/relationships/hyperlink" Target="http://nwfp-policies.efi.int/wiki/Collection_permits_for_harvesting_asparagus_in_Croatia%E2%80%99s_state_forests" TargetMode="External"/><Relationship Id="rId147" Type="http://schemas.openxmlformats.org/officeDocument/2006/relationships/hyperlink" Target="https://www.e-sbirka.cz/sb/1992/334?zalozka=text" TargetMode="External"/><Relationship Id="rId312" Type="http://schemas.openxmlformats.org/officeDocument/2006/relationships/hyperlink" Target="https://consulenzaagricola.it/circolari/fiscale/16941-contributo-per-la-vendita-di-prodotti-fitosanitari-e-fertilizzanti-dal-7-aprile-sanzioni-per-chi-non-effettua-tempestivamente-il-versamento" TargetMode="External"/><Relationship Id="rId354" Type="http://schemas.openxmlformats.org/officeDocument/2006/relationships/hyperlink" Target="https://data.europa.eu/doi/10.2779/940903" TargetMode="External"/><Relationship Id="rId51" Type="http://schemas.openxmlformats.org/officeDocument/2006/relationships/hyperlink" Target="https://www.fzoeu.hr/naknada-na-opterecivanje-okolisa-otpadom-1401" TargetMode="External"/><Relationship Id="rId93" Type="http://schemas.openxmlformats.org/officeDocument/2006/relationships/hyperlink" Target="https://www.szp.hr/UserDocsImages/dokumenti/publikacije/naknada_gospodarenja_ambalaznim_otpadom_info_letak_v1.pdf" TargetMode="External"/><Relationship Id="rId189" Type="http://schemas.openxmlformats.org/officeDocument/2006/relationships/hyperlink" Target="https://ieep.eu/publications/assessing-the-potential-for-environmental-fiscal-reform-in-the-eu-28/" TargetMode="External"/><Relationship Id="rId396" Type="http://schemas.openxmlformats.org/officeDocument/2006/relationships/hyperlink" Target="https://www.wsm.com.mt/en/gate-fees" TargetMode="External"/><Relationship Id="rId214" Type="http://schemas.openxmlformats.org/officeDocument/2006/relationships/hyperlink" Target="https://finlex.fi/fi/lainsaadanto/1996/495" TargetMode="External"/><Relationship Id="rId256" Type="http://schemas.openxmlformats.org/officeDocument/2006/relationships/hyperlink" Target="https://economy-finance.ec.europa.eu/document/download/9f4d2810-f2df-4b16-8eb8-7189923a7622_en?filename=FR_CR_SWD_2025_210_1_EN_autre_document_travail_service_part1_v3.pdf" TargetMode="External"/><Relationship Id="rId298" Type="http://schemas.openxmlformats.org/officeDocument/2006/relationships/hyperlink" Target="https://www.fingal.ie/waste-recovery-levy" TargetMode="External"/><Relationship Id="rId421" Type="http://schemas.openxmlformats.org/officeDocument/2006/relationships/hyperlink" Target="https://data.europa.eu/doi/10.2779/348402" TargetMode="External"/><Relationship Id="rId463" Type="http://schemas.openxmlformats.org/officeDocument/2006/relationships/hyperlink" Target="https://www.gov.si/zbirke/storitve/okoljska-dajatev-za-onesnazevanje-okolja-zaradi-odvajanja-industrijskih-odpadnih-voda/" TargetMode="External"/><Relationship Id="rId519" Type="http://schemas.openxmlformats.org/officeDocument/2006/relationships/hyperlink" Target="https://www.kemi.se/en/the-swedish-products-register/chemical-fee" TargetMode="External"/><Relationship Id="rId116" Type="http://schemas.openxmlformats.org/officeDocument/2006/relationships/hyperlink" Target="https://repozitorij.ijf.hr/en/islandora/object/ijf:969/datastream/FILE0/view" TargetMode="External"/><Relationship Id="rId158" Type="http://schemas.openxmlformats.org/officeDocument/2006/relationships/hyperlink" Target="https://www.grantthornton.cz/en/news/tax-reliefs-of-czech-government-to-combat-the-crisis/" TargetMode="External"/><Relationship Id="rId323" Type="http://schemas.openxmlformats.org/officeDocument/2006/relationships/hyperlink" Target="https://data.europa.eu/doi/10.2779/079620" TargetMode="External"/><Relationship Id="rId530" Type="http://schemas.openxmlformats.org/officeDocument/2006/relationships/hyperlink" Target="https://www.naturvardsverket.se/4acece/contentassets/abe4e02774be45e996efda856a820969/emissions-of-nitrogen-oxides-from-energy-production-act-1990-630-1990-613.pdf" TargetMode="External"/><Relationship Id="rId20" Type="http://schemas.openxmlformats.org/officeDocument/2006/relationships/hyperlink" Target="https://economy-finance.ec.europa.eu/document/download/db66340f-3711-4f6e-aadd-81528e029de8_en?filename=BE_CR_SWD_2025_201_1_EN_autre_document_travail_service_part1_v5.pdf" TargetMode="External"/><Relationship Id="rId62" Type="http://schemas.openxmlformats.org/officeDocument/2006/relationships/hyperlink" Target="https://poljoprivreda.gov.hr/istaknute-teme/sume-112/sumarstvo/obavijest-uplate-naknade-za-koristenje-okfs-a/248" TargetMode="External"/><Relationship Id="rId365" Type="http://schemas.openxmlformats.org/officeDocument/2006/relationships/hyperlink" Target="https://www.mta.com.mt/en/environmental-contribution" TargetMode="External"/><Relationship Id="rId225" Type="http://schemas.openxmlformats.org/officeDocument/2006/relationships/hyperlink" Target="https://fishinginfinland.fi/fishing-permits/" TargetMode="External"/><Relationship Id="rId267" Type="http://schemas.openxmlformats.org/officeDocument/2006/relationships/hyperlink" Target="https://data.europa.eu/doi/10.2779/209889" TargetMode="External"/><Relationship Id="rId432" Type="http://schemas.openxmlformats.org/officeDocument/2006/relationships/hyperlink" Target="https://economy-finance.ec.europa.eu/document/download/7cb47fb4-4517-431a-95c8-17cb161d5078_en?filename=RO_CR_SWD_2025_223_1_EN_autre_document_travail_service_part1_v4.pdf" TargetMode="External"/><Relationship Id="rId474" Type="http://schemas.openxmlformats.org/officeDocument/2006/relationships/hyperlink" Target="https://pisrs.si/pregledPredpisa?id=URED6701" TargetMode="External"/><Relationship Id="rId127" Type="http://schemas.openxmlformats.org/officeDocument/2006/relationships/hyperlink" Target="https://www.elibrary.imf.org/view/journals/002/2024/246/article-A003-en.xml" TargetMode="External"/><Relationship Id="rId31" Type="http://schemas.openxmlformats.org/officeDocument/2006/relationships/hyperlink" Target="https://narodne-novine.nn.hr/clanci/sluzbeni/2004_05_71_1467.html" TargetMode="External"/><Relationship Id="rId73" Type="http://schemas.openxmlformats.org/officeDocument/2006/relationships/hyperlink" Target="http://narodne-novine.nn.hr/clanci/sluzbeni/2011_08_90_1923.html" TargetMode="External"/><Relationship Id="rId169" Type="http://schemas.openxmlformats.org/officeDocument/2006/relationships/hyperlink" Target="https://data.europa.eu/doi/10.2779/871144" TargetMode="External"/><Relationship Id="rId334" Type="http://schemas.openxmlformats.org/officeDocument/2006/relationships/hyperlink" Target="https://www.imf.org/-/media/Files/Publications/CR/2024/English/1LTUEA2024001.ashx" TargetMode="External"/><Relationship Id="rId376" Type="http://schemas.openxmlformats.org/officeDocument/2006/relationships/hyperlink" Target="https://timesofmalta.com/article/higher-tax-on-cement-cigarettes-and-chewing-gum.587957" TargetMode="External"/><Relationship Id="rId541" Type="http://schemas.openxmlformats.org/officeDocument/2006/relationships/hyperlink" Target="https://www.naturvardsverket.se/en/guidance/extended-producer-responsibility-epr/producers-responsibility-for-batteries/" TargetMode="External"/><Relationship Id="rId4" Type="http://schemas.openxmlformats.org/officeDocument/2006/relationships/hyperlink" Target="https://www.wko.at/wien/verkehr-betriebsstandort/baumschutzgesetz" TargetMode="External"/><Relationship Id="rId180" Type="http://schemas.openxmlformats.org/officeDocument/2006/relationships/hyperlink" Target="https://ieep.eu/publications/assessing-the-potential-for-environmental-fiscal-reform-in-the-eu-28/" TargetMode="External"/><Relationship Id="rId236" Type="http://schemas.openxmlformats.org/officeDocument/2006/relationships/hyperlink" Target="https://www.vesi.fi/en/water-topics/why-do-we-pay-water-rates/" TargetMode="External"/><Relationship Id="rId278" Type="http://schemas.openxmlformats.org/officeDocument/2006/relationships/hyperlink" Target="https://kglawfirm" TargetMode="External"/><Relationship Id="rId401" Type="http://schemas.openxmlformats.org/officeDocument/2006/relationships/hyperlink" Target="https://landsauthority.org.mt/resources/policies/billboards-procedure/" TargetMode="External"/><Relationship Id="rId443" Type="http://schemas.openxmlformats.org/officeDocument/2006/relationships/hyperlink" Target="https://expatsk.com/hunting-and-fishing-in-slovakia/" TargetMode="External"/><Relationship Id="rId303" Type="http://schemas.openxmlformats.org/officeDocument/2006/relationships/hyperlink" Target="https://economy-finance.ec.europa.eu/document/download/7ec5fe18-b881-4140-b86a-7b22cb7a8580_en?filename=IE_CR_SWD_2025_207_1_EN_autre_document_travail_service_part1_v3.pdf" TargetMode="External"/><Relationship Id="rId485" Type="http://schemas.openxmlformats.org/officeDocument/2006/relationships/hyperlink" Target="https://www.uradni-list.si/files/RS_-2007-122-06166-OB~P001-0000.PDF" TargetMode="External"/><Relationship Id="rId42" Type="http://schemas.openxmlformats.org/officeDocument/2006/relationships/hyperlink" Target="https://www.fzoeu.hr/naknada-za-gospodarenje-s-otpadnim-gumama-1411" TargetMode="External"/><Relationship Id="rId84" Type="http://schemas.openxmlformats.org/officeDocument/2006/relationships/hyperlink" Target="https://narodne-novine.nn.hr/clanci/sluzbeni/2024_03_36_577.html" TargetMode="External"/><Relationship Id="rId138" Type="http://schemas.openxmlformats.org/officeDocument/2006/relationships/hyperlink" Target="https://www.e-sbirka.cz/sb/2012/201/2025-03-01?f=201%2F2012&amp;zalozka=text" TargetMode="External"/><Relationship Id="rId345" Type="http://schemas.openxmlformats.org/officeDocument/2006/relationships/hyperlink" Target="https://ec.europa.eu/eurostat/databrowser/view/env_ac_taxind2__custom_16151737/default/table?lang=en" TargetMode="External"/><Relationship Id="rId387" Type="http://schemas.openxmlformats.org/officeDocument/2006/relationships/hyperlink" Target="https://legislation.mt/eli/sl/409.5/eng" TargetMode="External"/><Relationship Id="rId510" Type="http://schemas.openxmlformats.org/officeDocument/2006/relationships/hyperlink" Target="https://www.kemi.se/webdav/files/Kemikaliestatistik/Bek%C3%A4mpningsmedel/forsalda_bkm_2021.pdf" TargetMode="External"/><Relationship Id="rId191" Type="http://schemas.openxmlformats.org/officeDocument/2006/relationships/hyperlink" Target="https://www.oecd.org/en/publications/oecd-environmental-performance-reviews-denmark-2019_1eeec492-en.html" TargetMode="External"/><Relationship Id="rId205" Type="http://schemas.openxmlformats.org/officeDocument/2006/relationships/hyperlink" Target="https://op.europa.eu/en/publication-detail/-/publication/250f8093-2e57-11ef-a61b-01aa75ed71a1/language-en?utm_source=chatgpt.com" TargetMode="External"/><Relationship Id="rId247" Type="http://schemas.openxmlformats.org/officeDocument/2006/relationships/hyperlink" Target="https://valtioneuvosto.fi/en/governments/government-programme" TargetMode="External"/><Relationship Id="rId412" Type="http://schemas.openxmlformats.org/officeDocument/2006/relationships/hyperlink" Target="https://sip.lex.pl/akty-prawne/mp-monitor-polski/wysokosc-stawek-oplat-za-korzystanie-ze-srodowiska-na-rok-2023-21733564" TargetMode="External"/><Relationship Id="rId107" Type="http://schemas.openxmlformats.org/officeDocument/2006/relationships/hyperlink" Target="https://www.dw.com/en/in-croatia-tourism-boom-has-environmentalists-worried/a-66696830" TargetMode="External"/><Relationship Id="rId289" Type="http://schemas.openxmlformats.org/officeDocument/2006/relationships/hyperlink" Target="https://ec.europa.eu/taxation_customs/tedb/" TargetMode="External"/><Relationship Id="rId454" Type="http://schemas.openxmlformats.org/officeDocument/2006/relationships/hyperlink" Target="https://www.eea.europa.eu/publications/many-eu-member-states/slovakia/view" TargetMode="External"/><Relationship Id="rId496" Type="http://schemas.openxmlformats.org/officeDocument/2006/relationships/hyperlink" Target="https://op.europa.eu/en/publication-detail/-/publication/a5002885-034d-11ee-87ec-01aa75ed71a1/language-en" TargetMode="External"/><Relationship Id="rId11" Type="http://schemas.openxmlformats.org/officeDocument/2006/relationships/hyperlink" Target="https://www.ris.bka.gv.at/GeltendeFassung.wxe?Abfrage=Bundesnormen&amp;Gesetzesnummer=10003845" TargetMode="External"/><Relationship Id="rId53" Type="http://schemas.openxmlformats.org/officeDocument/2006/relationships/hyperlink" Target="https://narodne-novine.nn.hr/clanci/sluzbeni/2004_05_71_1468.html" TargetMode="External"/><Relationship Id="rId149" Type="http://schemas.openxmlformats.org/officeDocument/2006/relationships/hyperlink" Target="https://www.zakonyprolidi.cz/cs/2016-89/zneni-20170101" TargetMode="External"/><Relationship Id="rId314" Type="http://schemas.openxmlformats.org/officeDocument/2006/relationships/hyperlink" Target="https://www.mase.gov.it/pagina/catalogo-dei-sussidi-ambientalmente-dannosi-e-dei-sussidi-ambientalmente-favorevoli" TargetMode="External"/><Relationship Id="rId356" Type="http://schemas.openxmlformats.org/officeDocument/2006/relationships/hyperlink" Target="https://www.centralbankmalta.org/site/Publications/Economic%20Research/2022/Fiscal-policy-role-climate-change.pdf?revcount=4984" TargetMode="External"/><Relationship Id="rId398" Type="http://schemas.openxmlformats.org/officeDocument/2006/relationships/hyperlink" Target="https://legislation.mt/eli/sl/123.197/eng" TargetMode="External"/><Relationship Id="rId521" Type="http://schemas.openxmlformats.org/officeDocument/2006/relationships/hyperlink" Target="https://www.kemi.se/en/the-swedish-products-register/chemical-fee" TargetMode="External"/><Relationship Id="rId95" Type="http://schemas.openxmlformats.org/officeDocument/2006/relationships/hyperlink" Target="https://www.fzoeu.hr/naknada-za-ambalazu-i-ambalazni-otpad-1407" TargetMode="External"/><Relationship Id="rId160" Type="http://schemas.openxmlformats.org/officeDocument/2006/relationships/hyperlink" Target="https://www.oecd.org/content/dam/oecd/en/publications/reports/2018/07/oecd-environmental-performance-reviews-czech-republic-2018_g1g8e052/9789264300958-en.pdf" TargetMode="External"/><Relationship Id="rId216" Type="http://schemas.openxmlformats.org/officeDocument/2006/relationships/hyperlink" Target="https://www.vero.fi/syventavat-vero-ohjeet/ohje-hakusivu/56196/jateverotu/" TargetMode="External"/><Relationship Id="rId423" Type="http://schemas.openxmlformats.org/officeDocument/2006/relationships/hyperlink" Target="https://www.podatki.gov.pl/podatki-i-oplaty-lokalne/oplata-miejscowa/" TargetMode="External"/><Relationship Id="rId258" Type="http://schemas.openxmlformats.org/officeDocument/2006/relationships/hyperlink" Target="https://www.destatis.de/EN/Themes/Society-Environment/Environment/Environmental-Economic-Accounting/taxes-other-duties/environment-related-tax-revenue.html" TargetMode="External"/><Relationship Id="rId465" Type="http://schemas.openxmlformats.org/officeDocument/2006/relationships/hyperlink" Target="https://pisrs.si/pregledPredpisa?id=PRAV12112" TargetMode="External"/><Relationship Id="rId22" Type="http://schemas.openxmlformats.org/officeDocument/2006/relationships/hyperlink" Target="https://www.consilium.europa.eu/en/press/press-releases/2025/07/08/european-semester-2025-council-adopts-country-specific-recommendations/" TargetMode="External"/><Relationship Id="rId64" Type="http://schemas.openxmlformats.org/officeDocument/2006/relationships/hyperlink" Target="https://www.zakon.hr/z/560/Zakon-o-Fondu-za-za%C5%A1titu-okoli%C5%A1a-i-energetsku-u%C4%8Dinkovitost" TargetMode="External"/><Relationship Id="rId118" Type="http://schemas.openxmlformats.org/officeDocument/2006/relationships/hyperlink" Target="https://environment.ec.europa.eu/system/files/2021-10/Croatia.pdf" TargetMode="External"/><Relationship Id="rId325" Type="http://schemas.openxmlformats.org/officeDocument/2006/relationships/hyperlink" Target="https://sciendo.com/pdf/10.15544/mts.2022.07" TargetMode="External"/><Relationship Id="rId367" Type="http://schemas.openxmlformats.org/officeDocument/2006/relationships/hyperlink" Target="https://www.independent.com.mt/articles/2010-10-27/local-news/%E2%82%AC9-Excise-duty-on-cement-will-make-things-difficult-%E2%80%93-Developers%E2%80%99-Association-282313" TargetMode="External"/><Relationship Id="rId532" Type="http://schemas.openxmlformats.org/officeDocument/2006/relationships/hyperlink" Target="https://ieep.eu/wp-content/uploads/2022/12/SE-NOx-SO2-Tax-final.pdf" TargetMode="External"/><Relationship Id="rId171" Type="http://schemas.openxmlformats.org/officeDocument/2006/relationships/hyperlink" Target="https://eulacfoundation.org/system/files/digital_library/2023-07/5d33734d-en.pdf" TargetMode="External"/><Relationship Id="rId227" Type="http://schemas.openxmlformats.org/officeDocument/2006/relationships/hyperlink" Target="https://www.luke.fi/en/news/number-of-active-hunters-decreased-in-2023" TargetMode="External"/><Relationship Id="rId269" Type="http://schemas.openxmlformats.org/officeDocument/2006/relationships/hyperlink" Target="https://www.eea.europa.eu/publications/many-eu-member-states/germany/view" TargetMode="External"/><Relationship Id="rId434" Type="http://schemas.openxmlformats.org/officeDocument/2006/relationships/hyperlink" Target="https://economy-finance.ec.europa.eu/document/download/7cb47fb4-4517-431a-95c8-17cb161d5078_en?filename=RO_CR_SWD_2025_223_1_EN_autre_document_travail_service_part1_v4.pdf" TargetMode="External"/><Relationship Id="rId476" Type="http://schemas.openxmlformats.org/officeDocument/2006/relationships/hyperlink" Target="https://pisrs.si/pregledPredpisa?id=URED3928" TargetMode="External"/><Relationship Id="rId33" Type="http://schemas.openxmlformats.org/officeDocument/2006/relationships/hyperlink" Target="https://narodne-novine.nn.hr/clanci/sluzbeni/2015_10_115_2193.html" TargetMode="External"/><Relationship Id="rId129" Type="http://schemas.openxmlformats.org/officeDocument/2006/relationships/hyperlink" Target="https://www.elibrary.imf.org/view/journals/002/2023/234/article-A002-en.xml" TargetMode="External"/><Relationship Id="rId280" Type="http://schemas.openxmlformats.org/officeDocument/2006/relationships/hyperlink" Target="https://data.europa.eu/doi/10.2779/51662" TargetMode="External"/><Relationship Id="rId336" Type="http://schemas.openxmlformats.org/officeDocument/2006/relationships/hyperlink" Target="https://www.oecd.org/en/publications/oecd-economic-surveys-lithuania-2025_4abf1ea5-en.html" TargetMode="External"/><Relationship Id="rId501" Type="http://schemas.openxmlformats.org/officeDocument/2006/relationships/hyperlink" Target="https://view.officeapps.live.com/op/view.aspx?src=https%3A%2F%2Fec.europa.eu%2Feurostat%2Fstatistics-explained%2Fimages%2F9%2F9c%2FNational_tax_lists_2023_2025-04-25.xlsx&amp;wdOrigin=BROWSELINK" TargetMode="External"/><Relationship Id="rId543" Type="http://schemas.openxmlformats.org/officeDocument/2006/relationships/hyperlink" Target="https://ieep.eu/wp-content/uploads/2022/12/SE-NOx-SO2-Tax-final.pdf" TargetMode="External"/><Relationship Id="rId75" Type="http://schemas.openxmlformats.org/officeDocument/2006/relationships/hyperlink" Target="http://narodne-novine.nn.hr/clanci/sluzbeni/2015_10_119_2244.html" TargetMode="External"/><Relationship Id="rId140" Type="http://schemas.openxmlformats.org/officeDocument/2006/relationships/hyperlink" Target="https://www.e-sbirka.cz/sb/2001/185/2020-01-01?f=185%2F2001&amp;zalozka=text" TargetMode="External"/><Relationship Id="rId182" Type="http://schemas.openxmlformats.org/officeDocument/2006/relationships/hyperlink" Target="https://www.oecd.org/en/publications/oecd-environmental-performance-reviews-denmark-2019_1eeec492-en.html" TargetMode="External"/><Relationship Id="rId378" Type="http://schemas.openxmlformats.org/officeDocument/2006/relationships/hyperlink" Target="https://www.reportlinker.com/clp/country/385/726375" TargetMode="External"/><Relationship Id="rId403" Type="http://schemas.openxmlformats.org/officeDocument/2006/relationships/hyperlink" Target="https://www.rews.org.mt/" TargetMode="External"/><Relationship Id="rId6" Type="http://schemas.openxmlformats.org/officeDocument/2006/relationships/hyperlink" Target="https://www.ris.bka.gv.at/GeltendeFassung.wxe?Abfrage=LrW&amp;Gesetzesnummer=20000141" TargetMode="External"/><Relationship Id="rId238" Type="http://schemas.openxmlformats.org/officeDocument/2006/relationships/hyperlink" Target="https://finlex.fi/api/media/statute-foreign-language-translation/123999/mainPdf/main.pdf?timestamp=2011-06-17T00%3A00%3A00.000Z" TargetMode="External"/><Relationship Id="rId445" Type="http://schemas.openxmlformats.org/officeDocument/2006/relationships/hyperlink" Target="https://www.minzp.sk/files/iep/analyzy/epr-slovakia-2024-highlights-final-english-web.pdf" TargetMode="External"/><Relationship Id="rId487" Type="http://schemas.openxmlformats.org/officeDocument/2006/relationships/hyperlink" Target="https://www.oecd.org/en/data/datasets/policy-instruments-for-the-environment-pine-database.html" TargetMode="External"/><Relationship Id="rId291" Type="http://schemas.openxmlformats.org/officeDocument/2006/relationships/hyperlink" Target="https://op.europa.eu/en/publication-detail/-/publication/62bfa4a4-cbd4-11e5-a4b5-01aa75ed71a1" TargetMode="External"/><Relationship Id="rId305" Type="http://schemas.openxmlformats.org/officeDocument/2006/relationships/hyperlink" Target="https://indicatoriambientali.isprambiente.it/it/economia-e-ambiente/imposte-ambientali" TargetMode="External"/><Relationship Id="rId347" Type="http://schemas.openxmlformats.org/officeDocument/2006/relationships/hyperlink" Target="https://op.europa.eu/en/publication-detail/-/publication/62bfa4a4-cbd4-11e5-a4b5-01aa75ed71a1" TargetMode="External"/><Relationship Id="rId512" Type="http://schemas.openxmlformats.org/officeDocument/2006/relationships/hyperlink" Target="https://www.sverigesradio.se/artikel/3137881" TargetMode="External"/><Relationship Id="rId44" Type="http://schemas.openxmlformats.org/officeDocument/2006/relationships/hyperlink" Target="https://narodne-novine.nn.hr/clanci/sluzbeni/2020_05_57_1150.html" TargetMode="External"/><Relationship Id="rId86" Type="http://schemas.openxmlformats.org/officeDocument/2006/relationships/hyperlink" Target="http://narodne-novine.nn.hr/clanci/sluzbeni/2014_12_154_2904.html" TargetMode="External"/><Relationship Id="rId151" Type="http://schemas.openxmlformats.org/officeDocument/2006/relationships/hyperlink" Target="https://www.e-sbirka.cz/sb/2020/541?zalozka=text" TargetMode="External"/><Relationship Id="rId389" Type="http://schemas.openxmlformats.org/officeDocument/2006/relationships/hyperlink" Target="https://faolex.fao.org/docs/pdf/mlt34030.pdf" TargetMode="External"/><Relationship Id="rId193" Type="http://schemas.openxmlformats.org/officeDocument/2006/relationships/hyperlink" Target="https://ieep.eu/publications/assessing-the-potential-for-environmental-fiscal-reform-in-the-eu-28/" TargetMode="External"/><Relationship Id="rId207" Type="http://schemas.openxmlformats.org/officeDocument/2006/relationships/hyperlink" Target="https://www.mfat.govt.nz/en/trade/mfat-market-reports/a-green-denmark-first-country-to-tax-agricultural-emissions-november-2024" TargetMode="External"/><Relationship Id="rId249" Type="http://schemas.openxmlformats.org/officeDocument/2006/relationships/hyperlink" Target="https://pub.norden.org/temanord2024-524/2-legislative-frameworks-and-circular-economy-impacts.html" TargetMode="External"/><Relationship Id="rId414" Type="http://schemas.openxmlformats.org/officeDocument/2006/relationships/hyperlink" Target="https://wody.gov.pl/nasze-dzialania/oplaty-za-uslugi-wodne" TargetMode="External"/><Relationship Id="rId456" Type="http://schemas.openxmlformats.org/officeDocument/2006/relationships/hyperlink" Target="https://www.oecd.org/en/publications/taxing-energy-use-2019_058ca239-en.html" TargetMode="External"/><Relationship Id="rId498" Type="http://schemas.openxmlformats.org/officeDocument/2006/relationships/hyperlink" Target="https://economy-finance.ec.europa.eu/publications/2025-european-semester-country-reports_en" TargetMode="External"/><Relationship Id="rId13" Type="http://schemas.openxmlformats.org/officeDocument/2006/relationships/hyperlink" Target="https://ris.bka.gv.at/GeltendeFassung.wxe?Abfrage=LrT&amp;Gesetzesnummer=20000252&amp;FassungVom=2023-05-07" TargetMode="External"/><Relationship Id="rId109" Type="http://schemas.openxmlformats.org/officeDocument/2006/relationships/hyperlink" Target="https://www.elibrary.imf.org/view/journals/002/2023/234/article-A002-en.xml" TargetMode="External"/><Relationship Id="rId260" Type="http://schemas.openxmlformats.org/officeDocument/2006/relationships/hyperlink" Target="https://icapcarbonaction.com/en/ets/german-national-emissions-trading-system" TargetMode="External"/><Relationship Id="rId316" Type="http://schemas.openxmlformats.org/officeDocument/2006/relationships/hyperlink" Target="https://ec.europa.eu/economy_finance/country-specific-recommendations-database/" TargetMode="External"/><Relationship Id="rId523" Type="http://schemas.openxmlformats.org/officeDocument/2006/relationships/hyperlink" Target="https://ec.europa.eu/taxation_customs/tedb/" TargetMode="External"/><Relationship Id="rId55" Type="http://schemas.openxmlformats.org/officeDocument/2006/relationships/hyperlink" Target="https://vlada.gov.hr/UserDocsImages//2016/Sjednice/Arhiva//24-11a.pdf" TargetMode="External"/><Relationship Id="rId97" Type="http://schemas.openxmlformats.org/officeDocument/2006/relationships/hyperlink" Target="https://gov.hr/en/marine-recreational-and-sport-fisheries/1542" TargetMode="External"/><Relationship Id="rId120" Type="http://schemas.openxmlformats.org/officeDocument/2006/relationships/hyperlink" Target="https://ieep.eu/wp-content/uploads/2022/12/HR-Forest-Public-Benefit-Fee-final.pdf" TargetMode="External"/><Relationship Id="rId358" Type="http://schemas.openxmlformats.org/officeDocument/2006/relationships/hyperlink" Target="https://cfr.gov.mt/en/vat/eco_information/Documents/02.%20ECO%20contributiion%20act.pdf" TargetMode="External"/><Relationship Id="rId162" Type="http://schemas.openxmlformats.org/officeDocument/2006/relationships/hyperlink" Target="https://environment.ec.europa.eu/system/files/2021-10/Czech%20Republic.pdf" TargetMode="External"/><Relationship Id="rId218" Type="http://schemas.openxmlformats.org/officeDocument/2006/relationships/hyperlink" Target="https://ym.fi/en/strategic-programme-to-promote-a-circular-economy/circular-economy-incentives?utm_" TargetMode="External"/><Relationship Id="rId425" Type="http://schemas.openxmlformats.org/officeDocument/2006/relationships/hyperlink" Target="https://www.gov.pl/web/klimat/usuwanie-nielegalnych-skladowisk-wsparcie-dla-samorzadw-ustawa" TargetMode="External"/><Relationship Id="rId467" Type="http://schemas.openxmlformats.org/officeDocument/2006/relationships/hyperlink" Target="https://www.fu.gov.si/kontakti" TargetMode="External"/><Relationship Id="rId271" Type="http://schemas.openxmlformats.org/officeDocument/2006/relationships/hyperlink" Target="https://www.hausundgrund.de/sites/default/files/downloads/abwassergebuhrenranking-2023-haus-grund-deutschland.pdf" TargetMode="External"/><Relationship Id="rId24" Type="http://schemas.openxmlformats.org/officeDocument/2006/relationships/hyperlink" Target="https://data.europa.eu/doi/10.2779/187999" TargetMode="External"/><Relationship Id="rId66" Type="http://schemas.openxmlformats.org/officeDocument/2006/relationships/hyperlink" Target="http://narodne-novine.nn.hr/clanci/sluzbeni/2009_12_153_3744.html" TargetMode="External"/><Relationship Id="rId131" Type="http://schemas.openxmlformats.org/officeDocument/2006/relationships/hyperlink" Target="https://www.croatiaweek.com/lightweight-plastic-bags-wont-be-free-in-croatia-from-1-jan/?utm_" TargetMode="External"/><Relationship Id="rId327" Type="http://schemas.openxmlformats.org/officeDocument/2006/relationships/hyperlink" Target="https://www.oecd.org/en/publications/reform-options-for-lithuanian-climate-neutrality-by-2050_0d570e99-en.html" TargetMode="External"/><Relationship Id="rId369" Type="http://schemas.openxmlformats.org/officeDocument/2006/relationships/hyperlink" Target="https://legislation.mt/eli/cap/382/20240301/eng" TargetMode="External"/><Relationship Id="rId534" Type="http://schemas.openxmlformats.org/officeDocument/2006/relationships/hyperlink" Target="https://task36.ieabioenergy.com/news/swedish-waste-incineration-tax-abolished/" TargetMode="External"/><Relationship Id="rId173" Type="http://schemas.openxmlformats.org/officeDocument/2006/relationships/hyperlink" Target="https://environment.ec.europa.eu/system/files/2021-10/Czech%20Republic.pdf" TargetMode="External"/><Relationship Id="rId229" Type="http://schemas.openxmlformats.org/officeDocument/2006/relationships/hyperlink" Target="https://valtioneuvosto.fi/-/1410903/ymparistoalan-ja-valtion-valinen-sopimus-edistaa-oljyjatteen-keraysta-ja-kierratysta" TargetMode="External"/><Relationship Id="rId380" Type="http://schemas.openxmlformats.org/officeDocument/2006/relationships/hyperlink" Target="https://cfr.gov.mt/en/vat/eco_information/Documents/04.%20ln28%202005.pdf" TargetMode="External"/><Relationship Id="rId436" Type="http://schemas.openxmlformats.org/officeDocument/2006/relationships/hyperlink" Target="https://www.slov-lex.sk/ezbierky/pravne-predpisy/SK/ZZ/2004/755/vyhlasene_znenie.html" TargetMode="External"/><Relationship Id="rId240" Type="http://schemas.openxmlformats.org/officeDocument/2006/relationships/hyperlink" Target="https://onlinelibrary.wiley.com/doi/full/10.1155/2014/457372?utm_" TargetMode="External"/><Relationship Id="rId478" Type="http://schemas.openxmlformats.org/officeDocument/2006/relationships/hyperlink" Target="https://www.fu.gov.si/davki_in_druge_dajatve/podrocja/okoljske_dajatve/" TargetMode="External"/><Relationship Id="rId35" Type="http://schemas.openxmlformats.org/officeDocument/2006/relationships/hyperlink" Target="https://www.fzoeu.hr/naknada-gospodarenja-ee-otpadom-1419" TargetMode="External"/><Relationship Id="rId77" Type="http://schemas.openxmlformats.org/officeDocument/2006/relationships/hyperlink" Target="https://www.voda.hr/hr/hrvatsko-vodno-zakonodavstvo" TargetMode="External"/><Relationship Id="rId100" Type="http://schemas.openxmlformats.org/officeDocument/2006/relationships/hyperlink" Target="https://ribarstvo.mps.hr/default.aspx?id=2802" TargetMode="External"/><Relationship Id="rId282" Type="http://schemas.openxmlformats.org/officeDocument/2006/relationships/hyperlink" Target="https://ec.europa.eu/eurostat/databrowser/view/env_ac_taxind2__custom_16151737/default/table?lang=en" TargetMode="External"/><Relationship Id="rId338" Type="http://schemas.openxmlformats.org/officeDocument/2006/relationships/hyperlink" Target="https://www.oecd.org/en/publications/oecd-economic-surveys-lithuania-2025_4abf1ea5-en.html" TargetMode="External"/><Relationship Id="rId503" Type="http://schemas.openxmlformats.org/officeDocument/2006/relationships/hyperlink" Target="https://www.agrojournal.org/29/01-01.pdf" TargetMode="External"/><Relationship Id="rId545" Type="http://schemas.openxmlformats.org/officeDocument/2006/relationships/hyperlink" Target="https://portal.cor.europa.eu/divisionpowers/Pages/Sweden-Fiscal-Powers.aspx" TargetMode="External"/><Relationship Id="rId8" Type="http://schemas.openxmlformats.org/officeDocument/2006/relationships/hyperlink" Target="https://data.europa.eu/doi/10.2779/249540" TargetMode="External"/><Relationship Id="rId142" Type="http://schemas.openxmlformats.org/officeDocument/2006/relationships/hyperlink" Target="https://www.e-sbirka.cz/sb/2016/263/2024-01-01?zalozka=text" TargetMode="External"/><Relationship Id="rId184" Type="http://schemas.openxmlformats.org/officeDocument/2006/relationships/hyperlink" Target="https://www.oecd.org/en/publications/oecd-environmental-performance-reviews-denmark-2019_1eeec492-en.html" TargetMode="External"/><Relationship Id="rId391" Type="http://schemas.openxmlformats.org/officeDocument/2006/relationships/hyperlink" Target="https://legislation.mt/eli/sl/10.39/eng/pdf" TargetMode="External"/><Relationship Id="rId405" Type="http://schemas.openxmlformats.org/officeDocument/2006/relationships/hyperlink" Target="https://era.org.mt/wp-content/uploads/2021/10/Construction-and-Demolition-Waste-Strategy-for-Malta-2021-2030-Managing-Construction-Demolition.pdf" TargetMode="External"/><Relationship Id="rId447" Type="http://schemas.openxmlformats.org/officeDocument/2006/relationships/hyperlink" Target="https://www.eea.europa.eu/publications/many-eu-member-states/slovakia/view" TargetMode="External"/><Relationship Id="rId251" Type="http://schemas.openxmlformats.org/officeDocument/2006/relationships/hyperlink" Target="https://environment" TargetMode="External"/><Relationship Id="rId489" Type="http://schemas.openxmlformats.org/officeDocument/2006/relationships/hyperlink" Target="https://www.oecd.org/en/data/datasets/policy-instruments-for-the-environment-pine-database.html" TargetMode="External"/><Relationship Id="rId46" Type="http://schemas.openxmlformats.org/officeDocument/2006/relationships/hyperlink" Target="https://www.fzoeu.hr/naknada-zbrinjavanja-otpadnih-mazivih-ulja-1413" TargetMode="External"/><Relationship Id="rId293" Type="http://schemas.openxmlformats.org/officeDocument/2006/relationships/hyperlink" Target="https://www.gov.ie/en/department-of-the-environment-climate-and-communications/press-releases/introduction-of-new-environment-levies-will-incentivise-recycling-and-help-ireland-meet-our-eu-waste-targets/" TargetMode="External"/><Relationship Id="rId307" Type="http://schemas.openxmlformats.org/officeDocument/2006/relationships/hyperlink" Target="https://www.fiscoetasse.com/approfondimenti/10312-tributo-provinciale-tefa-per-la-tutela-protezione-ed-igiene-dell-ambiente.html" TargetMode="External"/><Relationship Id="rId349" Type="http://schemas.openxmlformats.org/officeDocument/2006/relationships/hyperlink" Target="https://www.eea.europa.eu/publications/the-role-of-environmental-taxation" TargetMode="External"/><Relationship Id="rId514" Type="http://schemas.openxmlformats.org/officeDocument/2006/relationships/hyperlink" Target="https://www.konj.se/download/18.42684e214e71a39d0722ed0/1436516834703/Milj%C3%B6+ekonomi+och+politik+2014.pdf" TargetMode="External"/><Relationship Id="rId88" Type="http://schemas.openxmlformats.org/officeDocument/2006/relationships/hyperlink" Target="https://www.voda.hr/hr/vodne-naknade" TargetMode="External"/><Relationship Id="rId111" Type="http://schemas.openxmlformats.org/officeDocument/2006/relationships/hyperlink" Target="https://environment.ec.europa.eu/economy-and-finance/phasing-out-environmentally-harmful-subsidies/croatia-ehs-candidate-reform_en" TargetMode="External"/><Relationship Id="rId153" Type="http://schemas.openxmlformats.org/officeDocument/2006/relationships/hyperlink" Target="https://www.e-sbirka.cz/sb/2012/73/2023-03-23?f=73%2F2012&amp;zalozka=text" TargetMode="External"/><Relationship Id="rId195" Type="http://schemas.openxmlformats.org/officeDocument/2006/relationships/hyperlink" Target="https://www.oecd.org/en/publications/oecd-environmental-performance-reviews-denmark-2019_1eeec492-en.html" TargetMode="External"/><Relationship Id="rId209" Type="http://schemas.openxmlformats.org/officeDocument/2006/relationships/hyperlink" Target="https://skm.dk/media/tngh1b4r/green-tax-reform-final-report.pdf" TargetMode="External"/><Relationship Id="rId360" Type="http://schemas.openxmlformats.org/officeDocument/2006/relationships/hyperlink" Target="https://cfr.gov.mt/en/vat/eco_information/Pages/Legislation-and-General-Information.aspx" TargetMode="External"/><Relationship Id="rId416" Type="http://schemas.openxmlformats.org/officeDocument/2006/relationships/hyperlink" Target="https://platformaodpadowa.interzero.pl/en/product-levy-2024-key-information-on-product-levy/" TargetMode="External"/><Relationship Id="rId220" Type="http://schemas.openxmlformats.org/officeDocument/2006/relationships/hyperlink" Target="https://www.ymparisto.fi/en/state-environment/circular-economy/waste-and-recycling" TargetMode="External"/><Relationship Id="rId458" Type="http://schemas.openxmlformats.org/officeDocument/2006/relationships/hyperlink" Target="https://ec.europa.eu/eurostat/databrowser/view/env_ac_taxind2__custom_16151737/default/table?lang=en" TargetMode="External"/><Relationship Id="rId15" Type="http://schemas.openxmlformats.org/officeDocument/2006/relationships/hyperlink" Target="https://www.wien.gv.at/amtshelfer/umwelt/wasser/wasseranschluss/wassergebuehr.html" TargetMode="External"/><Relationship Id="rId57" Type="http://schemas.openxmlformats.org/officeDocument/2006/relationships/hyperlink" Target="https://narodne-novine.nn.hr/clanci/sluzbeni/2024_11_128_2133.html" TargetMode="External"/><Relationship Id="rId262" Type="http://schemas.openxmlformats.org/officeDocument/2006/relationships/hyperlink" Target="https://www.bwb.de/en/1720.php" TargetMode="External"/><Relationship Id="rId318" Type="http://schemas.openxmlformats.org/officeDocument/2006/relationships/hyperlink" Target="https://likumi.lv/ta/id/124707-dabas-resursu-nodokla-likums" TargetMode="External"/><Relationship Id="rId525" Type="http://schemas.openxmlformats.org/officeDocument/2006/relationships/hyperlink" Target="https://www.skatteverket.se/servicelankar/otherlanguages/inenglishengelska/businessesandemployers/startingandrunningaswedishbusiness/payingtaxesbusinesses/taxonchemicalsincertainelectronics.4.5c281c7015abecc2e2019351.html?q=chemical+tax" TargetMode="External"/><Relationship Id="rId99" Type="http://schemas.openxmlformats.org/officeDocument/2006/relationships/hyperlink" Target="https://ribarstvo.mps.hr/default.aspx?id=5010" TargetMode="External"/><Relationship Id="rId122" Type="http://schemas.openxmlformats.org/officeDocument/2006/relationships/hyperlink" Target="https://www.eea.europa.eu/en/topics/in-depth/waste-and-recycling/municipal-and-packaging-waste-management-country-profiles/hr-municipal-waste-factsheet.pdf/@@download/file" TargetMode="External"/><Relationship Id="rId164" Type="http://schemas.openxmlformats.org/officeDocument/2006/relationships/hyperlink" Target="https://www.eea.europa.eu/en/topics/in-depth/circular-economy/country-profiles-on-circular-economy/circular-economy-country-profiles-2024/czechia_2024-ce-country-profile_final.pdf/@@download/file" TargetMode="External"/><Relationship Id="rId371" Type="http://schemas.openxmlformats.org/officeDocument/2006/relationships/hyperlink" Target="https://www.pressreader.com/malta/the-malta-business-weekly/20141211/282222304092486?srsltid=AfmBOop_8KT1cYcPJ8eeemCe8UO7J1gOBraHEGbtxs3iEJnKthH3Um7N" TargetMode="External"/><Relationship Id="rId427" Type="http://schemas.openxmlformats.org/officeDocument/2006/relationships/hyperlink" Target="https://data.europa.eu/doi/10.2779/348402" TargetMode="External"/><Relationship Id="rId469" Type="http://schemas.openxmlformats.org/officeDocument/2006/relationships/hyperlink" Target="https://www.gov.si/zbirke/storitve/porocilo-o-obratovalnem-monitoringu-odpadnih-voda-za-industrijske-naprave/" TargetMode="External"/><Relationship Id="rId26" Type="http://schemas.openxmlformats.org/officeDocument/2006/relationships/hyperlink" Target="https://commission.europa.eu/document/download/7c4a6dd6-e086-41fa-aab0-7b6be0cd5b40_en?filename=COM_2025_202_1_EN_ACT_part1_v4.pdf" TargetMode="External"/><Relationship Id="rId231" Type="http://schemas.openxmlformats.org/officeDocument/2006/relationships/hyperlink" Target="https://ym.fi/en/environmental-damage-fund" TargetMode="External"/><Relationship Id="rId273" Type="http://schemas.openxmlformats.org/officeDocument/2006/relationships/hyperlink" Target="https://www.umweltbundesamt.de/sites/default/files/medien/5750/publikationen/2021-04-19_texte_60-2021_novelle_awag.pdf" TargetMode="External"/><Relationship Id="rId329" Type="http://schemas.openxmlformats.org/officeDocument/2006/relationships/hyperlink" Target="https://commission.europa.eu/publications/2024-european-semester-country-specific-recommendations-commission-recommendations_en" TargetMode="External"/><Relationship Id="rId480" Type="http://schemas.openxmlformats.org/officeDocument/2006/relationships/hyperlink" Target="https://www.fu.gov.si/davki_in_druge_dajatve/podrocja/okoljske_dajatve/" TargetMode="External"/><Relationship Id="rId536" Type="http://schemas.openxmlformats.org/officeDocument/2006/relationships/hyperlink" Target="https://ec.europa.eu/taxation_customs/tedb/" TargetMode="External"/><Relationship Id="rId68" Type="http://schemas.openxmlformats.org/officeDocument/2006/relationships/hyperlink" Target="http://narodne-novine.nn.hr/clanci/sluzbeni/2013_05_56_1140.html" TargetMode="External"/><Relationship Id="rId133" Type="http://schemas.openxmlformats.org/officeDocument/2006/relationships/hyperlink" Target="https://commission.europa.eu/publications/2025-european-semester-country-specific-recommendations-commission-recommendations_en" TargetMode="External"/><Relationship Id="rId175" Type="http://schemas.openxmlformats.org/officeDocument/2006/relationships/hyperlink" Target="https://ieep.eu/publications/assessing-the-potential-for-environmental-fiscal-reform-in-the-eu-28/" TargetMode="External"/><Relationship Id="rId340" Type="http://schemas.openxmlformats.org/officeDocument/2006/relationships/hyperlink" Target="https://finmin.lrv.lt/en/news/a-package-of-tax-proposals-is-presented-towards-a-more-socially-fair-and-efficient-tax-system/" TargetMode="External"/><Relationship Id="rId200" Type="http://schemas.openxmlformats.org/officeDocument/2006/relationships/hyperlink" Target="https://www.oecd.org/en/publications/oecd-environmental-performance-reviews-denmark-2019_1eeec492-en.html" TargetMode="External"/><Relationship Id="rId382" Type="http://schemas.openxmlformats.org/officeDocument/2006/relationships/hyperlink" Target="https://legislation.mt/eli/sl/549.139/eng" TargetMode="External"/><Relationship Id="rId438" Type="http://schemas.openxmlformats.org/officeDocument/2006/relationships/hyperlink" Target="https://ec.europa.eu/eurostat/cache/metadata/EN/env_ac_taxind2_simset_sk.htm" TargetMode="External"/><Relationship Id="rId242" Type="http://schemas.openxmlformats.org/officeDocument/2006/relationships/hyperlink" Target="https://faolex.fao.org/docs/pdf/fin180631.pdf" TargetMode="External"/><Relationship Id="rId284" Type="http://schemas.openxmlformats.org/officeDocument/2006/relationships/hyperlink" Target="https://ec.europa.eu/taxation_customs/tedb/" TargetMode="External"/><Relationship Id="rId491" Type="http://schemas.openxmlformats.org/officeDocument/2006/relationships/hyperlink" Target="https://www.eea.europa.eu/en/topics/in-depth/waste-and-recycling/municipal-and-packaging-waste-management-country-profiles-2025/si-municipal-waste-factsheet.pdf/@@download/file" TargetMode="External"/><Relationship Id="rId505" Type="http://schemas.openxmlformats.org/officeDocument/2006/relationships/hyperlink" Target="https://www.regeringen.se/contentassets/eb90ee4460e746c8a1fc8796cfcd9d18/skatt-pa-kadmium-i-vissa-produkter-och-kemiska-vaxtskyddsmedel-sou-2017102.pdf" TargetMode="External"/><Relationship Id="rId37" Type="http://schemas.openxmlformats.org/officeDocument/2006/relationships/hyperlink" Target="https://www.fzoeu.hr/naknada-gospodarenja-ee-otpadom-1419" TargetMode="External"/><Relationship Id="rId79" Type="http://schemas.openxmlformats.org/officeDocument/2006/relationships/hyperlink" Target="http://narodne-novine.nn.hr/clanci/sluzbeni/2011_08_90_1923.html" TargetMode="External"/><Relationship Id="rId102" Type="http://schemas.openxmlformats.org/officeDocument/2006/relationships/hyperlink" Target="https://total-croatia-news.com/lifestyle/croatian-forests-2/" TargetMode="External"/><Relationship Id="rId144" Type="http://schemas.openxmlformats.org/officeDocument/2006/relationships/hyperlink" Target="https://www.iaea.org/sites/default/files/22/10/czech_republic_nr_9th_cns.pdf" TargetMode="External"/><Relationship Id="rId547" Type="http://schemas.openxmlformats.org/officeDocument/2006/relationships/hyperlink" Target="https://op.europa.eu/en/publication-detail/-/publication/62bfa4a4-cbd4-11e5-a4b5-01aa75ed71a1" TargetMode="External"/><Relationship Id="rId90" Type="http://schemas.openxmlformats.org/officeDocument/2006/relationships/hyperlink" Target="https://www.voda.hr/sites/default/files/2022-04/naknada_za_koristenje_voda.pdf" TargetMode="External"/><Relationship Id="rId186" Type="http://schemas.openxmlformats.org/officeDocument/2006/relationships/hyperlink" Target="https://ieep.eu/publications/assessing-the-potential-for-environmental-fiscal-reform-in-the-eu-28/" TargetMode="External"/><Relationship Id="rId351" Type="http://schemas.openxmlformats.org/officeDocument/2006/relationships/hyperlink" Target="https://ec.europa.eu/eurostat/databrowser/view/gov_10a_taxag__custom_16484745/default/table?lang=en" TargetMode="External"/><Relationship Id="rId393" Type="http://schemas.openxmlformats.org/officeDocument/2006/relationships/hyperlink" Target="https://timesofmalta.com/article/hunters-licences-to-be-valid-for-five-years-cost-less.598617" TargetMode="External"/><Relationship Id="rId407" Type="http://schemas.openxmlformats.org/officeDocument/2006/relationships/hyperlink" Target="https://era.org.mt/wp-content/uploads/2022/02/Long-Term-Waste-Management-Plan-v1.4.3-Spreads-Digital-Version.pdf" TargetMode="External"/><Relationship Id="rId449" Type="http://schemas.openxmlformats.org/officeDocument/2006/relationships/hyperlink" Target="https://www.eea.europa.eu/publications/many-eu-member-states/early-warning-assessment-related-to" TargetMode="External"/><Relationship Id="rId211" Type="http://schemas.openxmlformats.org/officeDocument/2006/relationships/hyperlink" Target="https://commission.europa.eu/document/download/771b483b-1bd0-4b5c-8d6a-624a4fd11050_en?filename=COM_2025_206_1_EN_ACT_part1_v3.pdf" TargetMode="External"/><Relationship Id="rId253" Type="http://schemas.openxmlformats.org/officeDocument/2006/relationships/hyperlink" Target="https://www.iges.or.jp/en/publication_documents/pub/workingpaper/en/5983/The_Rise_of_Carbon_" TargetMode="External"/><Relationship Id="rId295" Type="http://schemas.openxmlformats.org/officeDocument/2006/relationships/hyperlink" Target="https://www.oecd.org/en/data/datasets/policy-instruments-for-the-environment-pine-database.html" TargetMode="External"/><Relationship Id="rId309" Type="http://schemas.openxmlformats.org/officeDocument/2006/relationships/hyperlink" Target="https://www.diritto.it/ecotassa-tributo-speciale-per-il-deposito-dei-rifiuti-solidi-in-discarica/" TargetMode="External"/><Relationship Id="rId460" Type="http://schemas.openxmlformats.org/officeDocument/2006/relationships/hyperlink" Target="https://www.oecd.org/en/data/datasets/policy-instruments-for-the-environment-pine-database.html" TargetMode="External"/><Relationship Id="rId516" Type="http://schemas.openxmlformats.org/officeDocument/2006/relationships/hyperlink" Target="https://ieep.eu/wp-content/uploads/2022/12/SE-Fertilizer-tax-final_REV.pdf" TargetMode="External"/><Relationship Id="rId48" Type="http://schemas.openxmlformats.org/officeDocument/2006/relationships/hyperlink" Target="https://narodne-novine.nn.hr/clanci/sluzbeni/2004_07_95_1809.html" TargetMode="External"/><Relationship Id="rId113" Type="http://schemas.openxmlformats.org/officeDocument/2006/relationships/hyperlink" Target="https://environment.ec.europa.eu/economy-and-finance/phasing-out-environmentally-harmful-subsidies/croatia-ehs-candidate-reform_en" TargetMode="External"/><Relationship Id="rId320" Type="http://schemas.openxmlformats.org/officeDocument/2006/relationships/hyperlink" Target="https://eur-lex.europa.eu/legal-content/EN/TXT/?uri=comnat:SWD_2022_0276_FIN" TargetMode="External"/><Relationship Id="rId155" Type="http://schemas.openxmlformats.org/officeDocument/2006/relationships/hyperlink" Target="https://www.e-sbirka.cz/sb/1990/565?zalozka=text" TargetMode="External"/><Relationship Id="rId197" Type="http://schemas.openxmlformats.org/officeDocument/2006/relationships/hyperlink" Target="https://ieep.eu/publications/assessing-the-potential-for-environmental-fiscal-reform-in-the-eu-28/" TargetMode="External"/><Relationship Id="rId362" Type="http://schemas.openxmlformats.org/officeDocument/2006/relationships/hyperlink" Target="https://www.smechamber.mt/excise-duty-on-plastic-bags-sacks-cones-films-sheets-or-tubes/" TargetMode="External"/><Relationship Id="rId418" Type="http://schemas.openxmlformats.org/officeDocument/2006/relationships/hyperlink" Target="https://sip.lex.pl/akty-prawne/dzu-dziennik-ustaw/substancje-zubozajace-warstwe-ozonowa-oraz-niektore-fluorowane-gazy-18204429" TargetMode="External"/><Relationship Id="rId222" Type="http://schemas.openxmlformats.org/officeDocument/2006/relationships/hyperlink" Target="https://data.europa.eu/doi/10.2779/773" TargetMode="External"/><Relationship Id="rId264" Type="http://schemas.openxmlformats.org/officeDocument/2006/relationships/hyperlink" Target="https://verwaltung.bund.de/leistungsverzeichnis/EN/leistung/99042010131000/herausgeber/BB-108986280/region/120600000000" TargetMode="External"/><Relationship Id="rId471" Type="http://schemas.openxmlformats.org/officeDocument/2006/relationships/hyperlink" Target="https://www.fu.gov.si/davki_in_druge_dajatve/podrocja/okoljske_dajatve/" TargetMode="External"/><Relationship Id="rId17" Type="http://schemas.openxmlformats.org/officeDocument/2006/relationships/hyperlink" Target="https://data.europa.eu/doi/10.2779/249540" TargetMode="External"/><Relationship Id="rId59" Type="http://schemas.openxmlformats.org/officeDocument/2006/relationships/hyperlink" Target="https://faolex.fao.org/docs/pdf/cro145591.pdf" TargetMode="External"/><Relationship Id="rId124" Type="http://schemas.openxmlformats.org/officeDocument/2006/relationships/hyperlink" Target="https://thedocs.worldbank.org/en/doc/c22f85216d0d23a3287250b550d05935-0080012022/original/Deliverable1bCroatiaProposedCEactionPlan.pdf" TargetMode="External"/><Relationship Id="rId527" Type="http://schemas.openxmlformats.org/officeDocument/2006/relationships/hyperlink" Target="https://skatteverket.se/download/18.569165a01749e7ae7891ef9/1603193061152/Evaluation%20of%20the%20Tax%20on%20Chemicals%20in%20Certain%20Electronics%20-%20English%20Summary.pdf" TargetMode="External"/><Relationship Id="rId70" Type="http://schemas.openxmlformats.org/officeDocument/2006/relationships/hyperlink" Target="https://narodne-novine.nn.hr/clanci/sluzbeni/2017_12_127_2879.html" TargetMode="External"/><Relationship Id="rId166" Type="http://schemas.openxmlformats.org/officeDocument/2006/relationships/hyperlink" Target="https://www.oecd.org/content/dam/oecd/en/publications/reports/2018/07/oecd-environmental-performance-reviews-czech-republic-2018_g1g8e052/9789264300958-en.pdf" TargetMode="External"/><Relationship Id="rId331" Type="http://schemas.openxmlformats.org/officeDocument/2006/relationships/hyperlink" Target="https://environment.ec.europa.eu/document/download/dfff60be-3c31-4fcb-93a6-fa6e2ea5f219_en?filename=Taxes%2C%20charges%20and%20fees.pdf" TargetMode="External"/><Relationship Id="rId373" Type="http://schemas.openxmlformats.org/officeDocument/2006/relationships/hyperlink" Target="https://nso.gov.mt/wp-content/uploads/Maltas-National-Tax-List.xlsx" TargetMode="External"/><Relationship Id="rId429" Type="http://schemas.openxmlformats.org/officeDocument/2006/relationships/hyperlink" Target="https://economy-finance.ec.europa.eu/document/download/52166ac9-de1e-4009-8921-39eb6f9673fc_en?filename=PT_CR_SWD_2025_222_1_EN_autre_document_travail_service_part1_v3.pdf" TargetMode="External"/><Relationship Id="rId1" Type="http://schemas.openxmlformats.org/officeDocument/2006/relationships/hyperlink" Target="https://www.altlasten.gv.at/finanzierung/altlastenbeitrag.html" TargetMode="External"/><Relationship Id="rId233" Type="http://schemas.openxmlformats.org/officeDocument/2006/relationships/hyperlink" Target="https://www.vero.fi/en/businesses-and-corporations/taxes-and-charges/excise-taxation/tax-on-mined-minerals/" TargetMode="External"/><Relationship Id="rId440" Type="http://schemas.openxmlformats.org/officeDocument/2006/relationships/hyperlink" Target="https://www.zakonypreludi.sk/zz/2018-329" TargetMode="External"/><Relationship Id="rId28" Type="http://schemas.openxmlformats.org/officeDocument/2006/relationships/hyperlink" Target="https://narodne-novine.nn.hr/clanci/sluzbeni/2004_05_71_1467.html" TargetMode="External"/><Relationship Id="rId275" Type="http://schemas.openxmlformats.org/officeDocument/2006/relationships/hyperlink" Target="https://minfin.gov.gr/wp-content/uploads/2024/11/&#904;&#963;&#959;&#948;&#945;-&#922;&#961;&#945;&#964;&#953;&#954;&#959;&#973;-&#928;&#961;&#959;&#971;&#960;&#959;&#955;&#959;&#947;&#953;&#963;&#956;&#959;&#973;-2023.pdf" TargetMode="External"/><Relationship Id="rId300" Type="http://schemas.openxmlformats.org/officeDocument/2006/relationships/hyperlink" Target="https://developmenteducation.ie/media/documents/Our%20sustainable%20future%20irish%20framework.pdf" TargetMode="External"/><Relationship Id="rId482" Type="http://schemas.openxmlformats.org/officeDocument/2006/relationships/hyperlink" Target="https://www.eea.europa.eu/en/topics/in-depth/waste-and-recycling/municipal-and-packaging-waste-management-country-profiles-2025/si-municipal-waste-factsheet.pdf/@@download/file" TargetMode="External"/><Relationship Id="rId538" Type="http://schemas.openxmlformats.org/officeDocument/2006/relationships/hyperlink" Target="https://www4.skatteverket.se/rattsligvagledning/27571.html?date=2025-01-01" TargetMode="External"/><Relationship Id="rId81" Type="http://schemas.openxmlformats.org/officeDocument/2006/relationships/hyperlink" Target="https://narodne-novine.nn.hr/clanci/sluzbeni/2016_12_120_2610.html" TargetMode="External"/><Relationship Id="rId135" Type="http://schemas.openxmlformats.org/officeDocument/2006/relationships/hyperlink" Target="https://www.e-sbirka.cz/sb/2001/254/2024-08-01?zalozka=text" TargetMode="External"/><Relationship Id="rId177" Type="http://schemas.openxmlformats.org/officeDocument/2006/relationships/hyperlink" Target="https://ec.europa.eu/taxation_customs/tedb/" TargetMode="External"/><Relationship Id="rId342" Type="http://schemas.openxmlformats.org/officeDocument/2006/relationships/hyperlink" Target="https://www.vdu.lt/cris/entities/etd/fc2fb0cf-9bbe-416c-a6d9-3ce9573ef660" TargetMode="External"/><Relationship Id="rId384" Type="http://schemas.openxmlformats.org/officeDocument/2006/relationships/hyperlink" Target="https://www.independent.com.mt/articles/2019-11-17/local-news/Most-construction-waste-cannot-be-dumped-at-sea-6736216300" TargetMode="External"/><Relationship Id="rId202" Type="http://schemas.openxmlformats.org/officeDocument/2006/relationships/hyperlink" Target="https://commission.europa.eu/document/download/76974591-a57c-4eaa-8d5d-20a011009c9b_en?filename=com_2024_605_1_en.pdf" TargetMode="External"/><Relationship Id="rId244" Type="http://schemas.openxmlformats.org/officeDocument/2006/relationships/hyperlink" Target="https://pub.norden.org/temanord2025-523/temanord2025-523.pdf" TargetMode="External"/><Relationship Id="rId39" Type="http://schemas.openxmlformats.org/officeDocument/2006/relationships/hyperlink" Target="https://www.fzoeu.hr/naknada-za-gospodarenje-otpadnim-vozilima-1417" TargetMode="External"/><Relationship Id="rId286" Type="http://schemas.openxmlformats.org/officeDocument/2006/relationships/hyperlink" Target="https://ieep.eu/wp-content/uploads/2022/12/ETR_in_Europe_-_Final_report_of_IEEP_study_-_30_May_2014.pdf" TargetMode="External"/><Relationship Id="rId451" Type="http://schemas.openxmlformats.org/officeDocument/2006/relationships/hyperlink" Target="https://www.oecd.org/content/dam/oecd/en/topics/policy-sub-issues/carbon-pricing-and-energy-taxes/carbon-pricing-slovak-republic.pdf" TargetMode="External"/><Relationship Id="rId493" Type="http://schemas.openxmlformats.org/officeDocument/2006/relationships/hyperlink" Target="https://curia.europa.eu/juris/document/document.jsf?text=&amp;docid=299095&amp;pageIndex=0&amp;doclang=fr&amp;mode=lst&amp;dir=&amp;occ=first&amp;part=1&amp;cid=241359" TargetMode="External"/><Relationship Id="rId507" Type="http://schemas.openxmlformats.org/officeDocument/2006/relationships/hyperlink" Target="https://ec.europa.eu/taxation_customs/tedb/" TargetMode="External"/><Relationship Id="rId549" Type="http://schemas.openxmlformats.org/officeDocument/2006/relationships/hyperlink" Target="https://economy-finance.ec.europa.eu/publications/2025-european-semester-country-reports_en" TargetMode="External"/><Relationship Id="rId50" Type="http://schemas.openxmlformats.org/officeDocument/2006/relationships/hyperlink" Target="https://vlada.gov.hr/UserDocsImages//2016/Sjednice/Arhiva//24-11a.pdf" TargetMode="External"/><Relationship Id="rId104" Type="http://schemas.openxmlformats.org/officeDocument/2006/relationships/hyperlink" Target="https://www.hrsume.hr/wp-content/uploads/2023/04/pravilnik_o_sakupljanju_nedrvnih_sumskih_proizvoda_i_koristenju_sume_i_sumskog_zemljista..pdf" TargetMode="External"/><Relationship Id="rId146" Type="http://schemas.openxmlformats.org/officeDocument/2006/relationships/hyperlink" Target="https://www.e-sbirka.cz/sb/1995/289/2022-02-01?odkazId=63703853&amp;zalozka=text" TargetMode="External"/><Relationship Id="rId188" Type="http://schemas.openxmlformats.org/officeDocument/2006/relationships/hyperlink" Target="https://doi.org/10.1016/j.jenvman.2024.120868" TargetMode="External"/><Relationship Id="rId311" Type="http://schemas.openxmlformats.org/officeDocument/2006/relationships/hyperlink" Target="https://ntplusentilocaliedilizia.ilsole24ore.com/art/imposta-regionale-emissioni-sonore-aerei-tributo-non-va-necessariamente-costruito-come-prelievo-ambientale-AEpbKgMC?refresh_ce=1" TargetMode="External"/><Relationship Id="rId353" Type="http://schemas.openxmlformats.org/officeDocument/2006/relationships/hyperlink" Target="https://economy-finance.ec.europa.eu/document/download/4288d41f-8809-4418-b398-c01668fca3ba_en?filename=LU_CR_SWD_2025_216_1_EN_autre_document_travail_service_part1_v4.pdf" TargetMode="External"/><Relationship Id="rId395" Type="http://schemas.openxmlformats.org/officeDocument/2006/relationships/hyperlink" Target="https://legislation.mt/eli/sl/549.7/eng/pdf" TargetMode="External"/><Relationship Id="rId409" Type="http://schemas.openxmlformats.org/officeDocument/2006/relationships/hyperlink" Target="https://www" TargetMode="External"/><Relationship Id="rId92" Type="http://schemas.openxmlformats.org/officeDocument/2006/relationships/hyperlink" Target="https://www.voda.hr/hr/vodne-naknade" TargetMode="External"/><Relationship Id="rId213" Type="http://schemas.openxmlformats.org/officeDocument/2006/relationships/hyperlink" Target="https://data.europa.eu/doi/10.2779/3575" TargetMode="External"/><Relationship Id="rId420" Type="http://schemas.openxmlformats.org/officeDocument/2006/relationships/hyperlink" Target="https://www.gov.pl/web/srodowisko/ustawa-prawo-geologiczne-i-gornicze-z-rozporzadzeniami-w-angielskiej-wersji-jezykowej" TargetMode="External"/><Relationship Id="rId255" Type="http://schemas.openxmlformats.org/officeDocument/2006/relationships/hyperlink" Target="https://data.europa.eu/doi/10.2779/392014" TargetMode="External"/><Relationship Id="rId297" Type="http://schemas.openxmlformats.org/officeDocument/2006/relationships/hyperlink" Target="https://www.gov.ie/en/department-of-the-environment-climate-and-communications/press-releases/introduction-of-new-environment-levies-will-incentivise-recycling-and-help-ireland-meet-our-eu-waste-targets/" TargetMode="External"/><Relationship Id="rId462" Type="http://schemas.openxmlformats.org/officeDocument/2006/relationships/hyperlink" Target="https://data.europa.eu/data/datasets/podatki-o-placanih-okoljskih-dajatvah?locale=en" TargetMode="External"/><Relationship Id="rId518" Type="http://schemas.openxmlformats.org/officeDocument/2006/relationships/hyperlink" Target="https://www.oecd.org/en/data/datasets/policy-instruments-for-the-environment-pine-database.html" TargetMode="External"/><Relationship Id="rId115" Type="http://schemas.openxmlformats.org/officeDocument/2006/relationships/hyperlink" Target="https://esavjetovanja.gov.hr/ECon/EconReport?entityId=1912" TargetMode="External"/><Relationship Id="rId157" Type="http://schemas.openxmlformats.org/officeDocument/2006/relationships/hyperlink" Target="https://environment.ec.europa.eu/economy-and-finance/phasing-out-environmentally-harmful-subsidies/czech-republic-ehs-candidate-reform_en" TargetMode="External"/><Relationship Id="rId322" Type="http://schemas.openxmlformats.org/officeDocument/2006/relationships/hyperlink" Target="https://pip" TargetMode="External"/><Relationship Id="rId364" Type="http://schemas.openxmlformats.org/officeDocument/2006/relationships/hyperlink" Target="https://tvmnews.mt/en/news/customs-explains-that-no-new-excise-duty-introduced-on-washing-up-products/" TargetMode="External"/><Relationship Id="rId61" Type="http://schemas.openxmlformats.org/officeDocument/2006/relationships/hyperlink" Target="https://narodne-novine.nn.hr/clanci/sluzbeni/2024_11_128_2133.html" TargetMode="External"/><Relationship Id="rId199" Type="http://schemas.openxmlformats.org/officeDocument/2006/relationships/hyperlink" Target="https://op.europa.eu/en/publication-detail/-/publication/2ac39da4-2e57-11ef-a61b-01aa75ed71a1/language-en" TargetMode="External"/><Relationship Id="rId19" Type="http://schemas.openxmlformats.org/officeDocument/2006/relationships/hyperlink" Target="https://economy-finance.ec.europa.eu/document/download/db66340f-3711-4f6e-aadd-81528e029de8_en?filename=BE_CR_SWD_2025_201_1_EN_autre_document_travail_service_part1_v5.pdf" TargetMode="External"/><Relationship Id="rId224" Type="http://schemas.openxmlformats.org/officeDocument/2006/relationships/hyperlink" Target="https://www.finlex.fi/api/media/statute-foreign-language-translation/244798/mainPdf/main.pdf?timestamp=1993-06-28T00%3A00%3A00.000Z&amp;" TargetMode="External"/><Relationship Id="rId266" Type="http://schemas.openxmlformats.org/officeDocument/2006/relationships/hyperlink" Target="https://www.eea.europa.eu/publications/many-eu-member-states/germany/view" TargetMode="External"/><Relationship Id="rId431" Type="http://schemas.openxmlformats.org/officeDocument/2006/relationships/hyperlink" Target="https://data.europa.eu/doi/10.2779/316155" TargetMode="External"/><Relationship Id="rId473" Type="http://schemas.openxmlformats.org/officeDocument/2006/relationships/hyperlink" Target="https://www.fu.gov.si/davki_in_druge_dajatve/podrocja/okoljske_dajatve/" TargetMode="External"/><Relationship Id="rId529" Type="http://schemas.openxmlformats.org/officeDocument/2006/relationships/hyperlink" Target="https://pdf.sciencedirectassets.com/272401/1-s2.0-S0095069621X00022/1-s2.0-S0095069621000279/main.pdf?X-Amz-Security-Token=IQoJb3JpZ2luX2VjEEQaCXVzLWVhc3QtMSJGMEQCIBscAH1ivYEIA6LRGMbNyjowDaxCPzoTxe6FmIZ5HRh5AiBf1F2ynZCymPFmOWexctqhmnOEjjcov%2BVNae1g4W%2F1YCq8BQi8%2F%2F%2F%2F%2F%2F%2F%2F%2F%2F8BEAUaDDA1OTAwMzU0Njg2NSIMACF1n6mrLr9a%2BPweKpAFMFqKTbR%2FSvndKDlRpE8DkgzNwevpP4r0OTrTPiMraRIMEPQjvXZWPAdme%2FxqjbLvGRap9oUU%2FcOp76PBG1AYscqPBA745YHFW4Fes6XugBsN335gPvXK5fzCwx2%2FWetCvvjedz3sWg1uDzsM%2FG2tgChTphN8WvH1k3z11iehwnbpMrrQYPj2bJELU5TJ4oiDuhQkfvoxblj5WlxUsPhmw4vCGkgokz7KWCg6jbgpRp7g5hrFco4MzPmpV5HanXEeI5l6Xiisr%2Bg4wdO4eoZYkAPVsDVMYXZCXAjyHkVtEutuuAYxb2Lz1RYTaTGto6MrGGUgIwKtgEjxWTQ8p82tUCpJRdU%2F%2F4Jbzq5LLGREDSLCvxCTE1WSoNQq3HH2ucJUvpEbcrNDeWT2f9llPDHu3oLOxJtMsHR0UtL%2B0wJnZE3JuvMVsn6TFqFwAEro8Y39Mk1y6b91pzrAN%2Fxy6tLt33tpmmvY6f73oNVIEiDxZ1pTYXzfamoVTy6h16%2FySimbfSSks7aQTGYwmYdFqDGx%2Feh2SmffsDujrQUrN7%2ByFSJe%2FUXpR354btjWaXNgPO4t%2FX6b91ZpCjSZsr4sr5OM6ndhC6PX7w4x7QAbdupW8%2BnKcxiNP5hk4clXGjMW4ay80N3cIAjVnJxplRc2Z1y4V2wfENaXjIn7vffTc%2FKVrpJ9uioVT3w5GvWBJUMg%2FSUSPguTcrpQGCVpU0xkDQ0QM5UFT458lvgCYrNT%2FN8o4Y4EZJESJIaHtqyvUdx%2FMQz4P5cDnDdaFw%2F818KxAF7g9o0i0%2BaA%2B5ePgX6ZsAa5L8DMjNwZr6KCxblPwcv%2Fp2H4c1Fxfju5XT6DuZDC0zDZnKU7cwPeN8tass1dN%2FYEZpcwhfPjvwY6sgHf57%2BJlXxFrHrfLO9nAGT6Lie%2FtYCp%2BnIu5dhakoat2pURxzYEtMyx8QUvkT%2BnZ314j8CRd0HbdMr5TebNbKXK5w4TjmGOzpy%2Fc8HFRRFuyTRMX5O4FTw89lLpuaLNhzNxfs1sO7Z2jwpfKvJgBzwR%2FucK%2FVC%2FwopZVJbYGHjaygekILyn3nI0EUUUvx%2BWUhuv%2Bhv6Pi706z%2FB5MzdNQMyHA4r%2Bsl71qe73Y%2FX8bdS%2F%2FQ8&amp;X-Amz-Algorithm=AWS4-HMAC-SHA256&amp;X-Amz-Date=20250411T122434Z&amp;X-Amz-SignedHeaders=host&amp;X-Amz-Expires=300&amp;X-Amz-Credential=ASIAQ3PHCVTY2PZCTSTM%2F20250411%2Fus-east-1%2Fs3%2Faws4_request&amp;X-Amz-Signature=0874f590ad05e738eeb78e656f3fcde1864232fde4cf4cc877009e1b8ba38607&amp;hash=6fcd9205db0f3d2984d06c29dd64887492b7efacb79960df3714002d5ad7063d&amp;host=68042c943591013ac2b2430a89b270f6af2c76d8dfd086a07176afe7c76c2c61&amp;pii=S0095069621000279&amp;tid=spdf-e0bbf2b7-e697-4446-85b7-2c2baf6294dc&amp;sid=1247484b3a19484d7f08f87904faedd746fdgxrqb&amp;type=client&amp;tsoh=d" TargetMode="External"/><Relationship Id="rId30" Type="http://schemas.openxmlformats.org/officeDocument/2006/relationships/hyperlink" Target="https://narodne-novine.nn.hr/clanci/sluzbeni/2015_10_115_2193.html" TargetMode="External"/><Relationship Id="rId126" Type="http://schemas.openxmlformats.org/officeDocument/2006/relationships/hyperlink" Target="https://vlada.gov.hr/news/croatia-remains-strongly-committed-to-decarbonizing-its-energy-system-and-intensifying-green-transition/43326" TargetMode="External"/><Relationship Id="rId168" Type="http://schemas.openxmlformats.org/officeDocument/2006/relationships/hyperlink" Target="https://environment.ec.europa.eu/system/files/2021-10/Czech%20Republic.pdf" TargetMode="External"/><Relationship Id="rId333" Type="http://schemas.openxmlformats.org/officeDocument/2006/relationships/hyperlink" Target="https://www.oecd.org/en/publications/reform-options-for-lithuanian-climate-neutrality-by-2050_0d570e99-en.html" TargetMode="External"/><Relationship Id="rId540" Type="http://schemas.openxmlformats.org/officeDocument/2006/relationships/hyperlink" Target="https://www.naturvardsverket.se/en/guidance/extended-producer-responsibility-epr/producers-responsibility-for-batteries/" TargetMode="External"/><Relationship Id="rId72" Type="http://schemas.openxmlformats.org/officeDocument/2006/relationships/hyperlink" Target="https://narodne-novine.nn.hr/clanci/sluzbeni/2024_03_36_577.html" TargetMode="External"/><Relationship Id="rId375" Type="http://schemas.openxmlformats.org/officeDocument/2006/relationships/hyperlink" Target="https://customs.gov.mt/mc/other-pages/new-newsresult/2015/10/14/notice-to-all-importers-and-producers-regarding-new-excise-commodities-as-from-today-the-13th-of-october-2015" TargetMode="External"/><Relationship Id="rId3" Type="http://schemas.openxmlformats.org/officeDocument/2006/relationships/hyperlink" Target="https://www.altlasten.gv.at/finanzierung/altlastenbeitrag.html" TargetMode="External"/><Relationship Id="rId235" Type="http://schemas.openxmlformats.org/officeDocument/2006/relationships/hyperlink" Target="https://avi.fi/en/services/businesses/guidance-and-advice/water-and-the-environment" TargetMode="External"/><Relationship Id="rId277" Type="http://schemas.openxmlformats.org/officeDocument/2006/relationships/hyperlink" Target="https://www" TargetMode="External"/><Relationship Id="rId400" Type="http://schemas.openxmlformats.org/officeDocument/2006/relationships/hyperlink" Target="https://www.rews.org.mt/" TargetMode="External"/><Relationship Id="rId442" Type="http://schemas.openxmlformats.org/officeDocument/2006/relationships/hyperlink" Target="https://www.spravcazaloh.sk/en/" TargetMode="External"/><Relationship Id="rId484" Type="http://schemas.openxmlformats.org/officeDocument/2006/relationships/hyperlink" Target="https://www.gov.si/zbirke/storitve/vodne-dajatve/" TargetMode="External"/><Relationship Id="rId137" Type="http://schemas.openxmlformats.org/officeDocument/2006/relationships/hyperlink" Target="https://www.sfzp.cz/en/about-us/what-we-do/" TargetMode="External"/><Relationship Id="rId302" Type="http://schemas.openxmlformats.org/officeDocument/2006/relationships/hyperlink" Target="https://economy-finance.ec.europa.eu/document/download/7ec5fe18-b881-4140-b86a-7b22cb7a8580_en?filename=IE_CR_SWD_2025_207_1_EN_autre_document_travail_service_part1_v3.pdf" TargetMode="External"/><Relationship Id="rId344" Type="http://schemas.openxmlformats.org/officeDocument/2006/relationships/hyperlink" Target="https://data.europa.eu/doi/10.2779/86822" TargetMode="External"/><Relationship Id="rId41" Type="http://schemas.openxmlformats.org/officeDocument/2006/relationships/hyperlink" Target="https://narodne-novine.nn.hr/clanci/sluzbeni/2023_10_124_1717.html" TargetMode="External"/><Relationship Id="rId83" Type="http://schemas.openxmlformats.org/officeDocument/2006/relationships/hyperlink" Target="https://narodne-novine.nn.hr/clanci/sluzbeni/2019_07_66_1292.html" TargetMode="External"/><Relationship Id="rId179" Type="http://schemas.openxmlformats.org/officeDocument/2006/relationships/hyperlink" Target="https://ieep.eu/publications/assessing-the-potential-for-environmental-fiscal-reform-in-the-eu-28/" TargetMode="External"/><Relationship Id="rId386" Type="http://schemas.openxmlformats.org/officeDocument/2006/relationships/hyperlink" Target="https://www.servizz.gov.mt/en/Pages/Environment_-Energy_-Agriculture-and-Fisheries/Environment/Industrial-Permits/WEB1887/default.aspx" TargetMode="External"/><Relationship Id="rId190" Type="http://schemas.openxmlformats.org/officeDocument/2006/relationships/hyperlink" Target="https://www.oecd.org/en/publications/oecd-environmental-performance-reviews-denmark-2019_1eeec492-en.html" TargetMode="External"/><Relationship Id="rId204" Type="http://schemas.openxmlformats.org/officeDocument/2006/relationships/hyperlink" Target="https://skm.dk/media/aupa0hkn/green-tax-reform-first-interim-report.pdf" TargetMode="External"/><Relationship Id="rId246" Type="http://schemas.openxmlformats.org/officeDocument/2006/relationships/hyperlink" Target="https://julkaisut.valtioneuvosto.fi/bitstream/handle/10024/161935/VN_2019_33.pdf" TargetMode="External"/><Relationship Id="rId288" Type="http://schemas.openxmlformats.org/officeDocument/2006/relationships/hyperlink" Target="https://ieep.eu/wp-content/uploads/2022/12/ETR_in_Europe_-_Final_report_of_IEEP_study_-_30_May_2014.pdf" TargetMode="External"/><Relationship Id="rId411" Type="http://schemas.openxmlformats.org/officeDocument/2006/relationships/hyperlink" Target="https://data.europa.eu/doi/10.2779/829239" TargetMode="External"/><Relationship Id="rId453" Type="http://schemas.openxmlformats.org/officeDocument/2006/relationships/hyperlink" Target="https://www.mfsr.sk/en/press/the-state-can-use-least-370-million-subsidies-more-efficiently.html?utm_source=chatgpt.com" TargetMode="External"/><Relationship Id="rId509" Type="http://schemas.openxmlformats.org/officeDocument/2006/relationships/hyperlink" Target="https://www.kemi.se/en/statistics-on-chemicals-in-sweden/statistics-on-pesticides" TargetMode="External"/><Relationship Id="rId106" Type="http://schemas.openxmlformats.org/officeDocument/2006/relationships/hyperlink" Target="https://www.iusinfo.hr/aktualno/u-sredistu/turisticka-pristojba-38091" TargetMode="External"/><Relationship Id="rId313" Type="http://schemas.openxmlformats.org/officeDocument/2006/relationships/hyperlink" Target="https://www.arera.it/atlante-per-il-consumatore/acqua/la-bolletta/tariffe-e-consumi/che-cosa-si-paga-con-la-bolletta" TargetMode="External"/><Relationship Id="rId495" Type="http://schemas.openxmlformats.org/officeDocument/2006/relationships/hyperlink" Target="https://economy-finance.ec.europa.eu/document/download/a712afe4-d94e-4333-8333-e8bc1ab63f1e_en?filename=ES_CR_SWD_2025_209_1_EN_autre_document_travail_service_part1_v4.pdf" TargetMode="External"/><Relationship Id="rId10" Type="http://schemas.openxmlformats.org/officeDocument/2006/relationships/hyperlink" Target="https://www.wien.gv.at/amtshelfer/umwelt/wasser/wasseranschluss/abwassergebuehr.html" TargetMode="External"/><Relationship Id="rId52" Type="http://schemas.openxmlformats.org/officeDocument/2006/relationships/hyperlink" Target="https://narodne-novine.nn.hr/clanci/sluzbeni/2004_07_95_1809.html" TargetMode="External"/><Relationship Id="rId94" Type="http://schemas.openxmlformats.org/officeDocument/2006/relationships/hyperlink" Target="https://narodne-novine.nn.hr/clanci/sluzbeni/2023_11_137_1864.html" TargetMode="External"/><Relationship Id="rId148" Type="http://schemas.openxmlformats.org/officeDocument/2006/relationships/hyperlink" Target="https://www.zakonyprolidi.cz/cs/1988-44" TargetMode="External"/><Relationship Id="rId355" Type="http://schemas.openxmlformats.org/officeDocument/2006/relationships/hyperlink" Target="https://op.europa.eu/en/publication-detail/-/publication/62bfa4a4-cbd4-11e5-a4b5-01aa75ed71a1" TargetMode="External"/><Relationship Id="rId397" Type="http://schemas.openxmlformats.org/officeDocument/2006/relationships/hyperlink" Target="https://www.eea.europa.eu/publications/economic-instruments-and-separate-collection" TargetMode="External"/><Relationship Id="rId520" Type="http://schemas.openxmlformats.org/officeDocument/2006/relationships/hyperlink" Target="https://www.kemi.se/en/pesticides-and-biocides/plant-protection-products/apply-for-authorisation-for-plant-protection-products/fees-for-plant-protection-products" TargetMode="External"/><Relationship Id="rId215" Type="http://schemas.openxmlformats.org/officeDocument/2006/relationships/hyperlink" Target="https://finlex.fi/fi/lainsaadanto/2010/1126" TargetMode="External"/><Relationship Id="rId257" Type="http://schemas.openxmlformats.org/officeDocument/2006/relationships/hyperlink" Target="https://www.destatis.de/EN/Themes/Society-Environment/Environment/Environmental-Economic-Accounting/taxes-other-duties/_node.html" TargetMode="External"/><Relationship Id="rId422" Type="http://schemas.openxmlformats.org/officeDocument/2006/relationships/hyperlink" Target="https://wts.com/global/publishing-article/20230525-poland-sup-directive~publishing-article" TargetMode="External"/><Relationship Id="rId464" Type="http://schemas.openxmlformats.org/officeDocument/2006/relationships/hyperlink" Target="https://pisrs.si/pregledPredpisa?id=URED6149" TargetMode="External"/><Relationship Id="rId299" Type="http://schemas.openxmlformats.org/officeDocument/2006/relationships/hyperlink" Target="https://ieep.eu/wp-content/uploads/2022/12/ETR_in_Europe_-_Final_report_of_IEEP_study_-_30_May_2014.pdf" TargetMode="External"/><Relationship Id="rId63" Type="http://schemas.openxmlformats.org/officeDocument/2006/relationships/hyperlink" Target="https://www.fzoeu.hr/naknada-na-opterecivanje-okolisa-otpadom-1401" TargetMode="External"/><Relationship Id="rId159" Type="http://schemas.openxmlformats.org/officeDocument/2006/relationships/hyperlink" Target="https://www.oecd.org/content/dam/oecd/en/publications/reports/2018/07/oecd-environmental-performance-reviews-czech-republic-2018_g1g8e052/9789264300958-en.pdf" TargetMode="External"/><Relationship Id="rId366" Type="http://schemas.openxmlformats.org/officeDocument/2006/relationships/hyperlink" Target="https://ec.europa.eu/taxation_customs/tedb/" TargetMode="External"/><Relationship Id="rId226" Type="http://schemas.openxmlformats.org/officeDocument/2006/relationships/hyperlink" Target="https://faolex.fao.org/docs/pdf/fin169562.pdf" TargetMode="External"/><Relationship Id="rId433" Type="http://schemas.openxmlformats.org/officeDocument/2006/relationships/hyperlink" Target="https://economy-finance.ec.europa.eu/document/download/7cb47fb4-4517-431a-95c8-17cb161d5078_en?filename=RO_CR_SWD_2025_223_1_EN_autre_document_travail_service_part1_v4.pdf" TargetMode="External"/><Relationship Id="rId74" Type="http://schemas.openxmlformats.org/officeDocument/2006/relationships/hyperlink" Target="http://narodne-novine.nn.hr/clanci/sluzbeni/2014_12_154_2904.html" TargetMode="External"/><Relationship Id="rId377" Type="http://schemas.openxmlformats.org/officeDocument/2006/relationships/hyperlink" Target="https://www.independent.com.mt/articles/2015-10-17/local-news/Beverage-companies-seeking-clarification-from-government-over-excise-tax-plans-6736143735" TargetMode="External"/><Relationship Id="rId500" Type="http://schemas.openxmlformats.org/officeDocument/2006/relationships/hyperlink" Target="https://ec.europa.eu/eurostat/databrowser/view/env_ac_taxind2__custom_16151737/default/table?lang=en" TargetMode="External"/><Relationship Id="rId5" Type="http://schemas.openxmlformats.org/officeDocument/2006/relationships/hyperlink" Target="https://www.sbg-jaegerschaft.at/fileadmin/user_upload/Buch_Sbg_Jagdgesetz_Stand_September_2022.pdf" TargetMode="External"/><Relationship Id="rId237" Type="http://schemas.openxmlformats.org/officeDocument/2006/relationships/hyperlink" Target="https://faolex.fao.org/docs/pdf/fin197264S.pdf" TargetMode="External"/><Relationship Id="rId444" Type="http://schemas.openxmlformats.org/officeDocument/2006/relationships/hyperlink" Target="https://www.minzp.sk/files/iep/greener_slovakia-strategy_of_the_environmental_policy_of_the_slovak_republic_until_2030.pdf" TargetMode="External"/><Relationship Id="rId290" Type="http://schemas.openxmlformats.org/officeDocument/2006/relationships/hyperlink" Target="https://www.oecd.org/en/data/datasets/policy-instruments-for-the-environment-pine-database.html" TargetMode="External"/><Relationship Id="rId304" Type="http://schemas.openxmlformats.org/officeDocument/2006/relationships/hyperlink" Target="https://data.europa.eu/doi/10.2779/378751" TargetMode="External"/><Relationship Id="rId388" Type="http://schemas.openxmlformats.org/officeDocument/2006/relationships/hyperlink" Target="https://www.wsc.com.mt/facilities/dpu/discharge-permit-unit-industrial/" TargetMode="External"/><Relationship Id="rId511" Type="http://schemas.openxmlformats.org/officeDocument/2006/relationships/hyperlink" Target="https://www.regeringen.se/contentassets/3e69b18e34ee4fdab67a3c9a87dfc45c/slopad-skatt-pa-godselmedel-promemoria" TargetMode="External"/><Relationship Id="rId85" Type="http://schemas.openxmlformats.org/officeDocument/2006/relationships/hyperlink" Target="http://narodne-novine.nn.hr/clanci/sluzbeni/2011_08_90_1923.html" TargetMode="External"/><Relationship Id="rId150" Type="http://schemas.openxmlformats.org/officeDocument/2006/relationships/hyperlink" Target="https://www.e-sbirka.cz/sb/2020/545?zalozka=text" TargetMode="External"/><Relationship Id="rId248" Type="http://schemas.openxmlformats.org/officeDocument/2006/relationships/hyperlink" Target="https://ex-tax.com/wp-content/uploads/2019/09/Aligning_Fiscal_Policy_with_the_Circular_Economy_Roadmap_in_Finland_Extax_Sitra_GBE_IEEP_Final_report_final-08-01-19.pdf" TargetMode="External"/><Relationship Id="rId455" Type="http://schemas.openxmlformats.org/officeDocument/2006/relationships/hyperlink" Target="https://www.eea.europa.eu/publications/many-eu-member-states/slovakia/view" TargetMode="External"/></Relationships>
</file>

<file path=word/documenttasks/documenttasks1.xml><?xml version="1.0" encoding="utf-8"?>
<t:Tasks xmlns:t="http://schemas.microsoft.com/office/tasks/2019/documenttasks" xmlns:oel="http://schemas.microsoft.com/office/2019/extlst">
  <t:Task id="{7921EDD4-ACFA-45CF-B29B-784E747C0E2D}">
    <t:Anchor>
      <t:Comment id="215199762"/>
    </t:Anchor>
    <t:History>
      <t:Event id="{AE76B141-95B5-4518-85CE-732FA7FAB9F9}" time="2025-07-03T12:55:49.253Z">
        <t:Attribution userId="S::Marie-Anne.HAURE@ec.europa.eu::e82cbf36-94e0-4b34-ab8b-ccb87c568606" userProvider="AD" userName="HAURE Marie-Anne (ENV)"/>
        <t:Anchor>
          <t:Comment id="215199762"/>
        </t:Anchor>
        <t:Create/>
      </t:Event>
      <t:Event id="{2910C3F9-2A89-4D09-BAD9-58BD5BB903EC}" time="2025-07-03T12:55:49.253Z">
        <t:Attribution userId="S::Marie-Anne.HAURE@ec.europa.eu::e82cbf36-94e0-4b34-ab8b-ccb87c568606" userProvider="AD" userName="HAURE Marie-Anne (ENV)"/>
        <t:Anchor>
          <t:Comment id="215199762"/>
        </t:Anchor>
        <t:Assign userId="S::Romain.PANIAGUA@ec.europa.eu::4a7e540a-54dd-4860-aa4f-bd5e9b9c1a24" userProvider="AD" userName="PANIAGUA Romain (ENV)"/>
      </t:Event>
      <t:Event id="{06AA3BD8-75B7-47E7-B113-649542850CB0}" time="2025-07-03T12:55:49.253Z">
        <t:Attribution userId="S::Marie-Anne.HAURE@ec.europa.eu::e82cbf36-94e0-4b34-ab8b-ccb87c568606" userProvider="AD" userName="HAURE Marie-Anne (ENV)"/>
        <t:Anchor>
          <t:Comment id="215199762"/>
        </t:Anchor>
        <t:SetTitle title="@PANIAGUA Romain (ENV) I don’t see any country factsheets for Hungary. It’s the only missing Member State? Is this by mistake or by choice? Would it be possible to have HU covered?"/>
      </t:Event>
    </t:History>
  </t:Task>
  <t:Task id="{A2F6AC48-549A-4834-87B7-16F891978C3D}">
    <t:Anchor>
      <t:Comment id="1670978345"/>
    </t:Anchor>
    <t:History>
      <t:Event id="{4E80ED22-D389-4F0C-AA25-99CFE0AE356F}" time="2025-07-03T12:58:50.459Z">
        <t:Attribution userId="S::Marie-Anne.HAURE@ec.europa.eu::e82cbf36-94e0-4b34-ab8b-ccb87c568606" userProvider="AD" userName="HAURE Marie-Anne (ENV)"/>
        <t:Anchor>
          <t:Comment id="1670978345"/>
        </t:Anchor>
        <t:Create/>
      </t:Event>
      <t:Event id="{9EAFB185-274A-4636-914F-589D214F1324}" time="2025-07-03T12:58:50.459Z">
        <t:Attribution userId="S::Marie-Anne.HAURE@ec.europa.eu::e82cbf36-94e0-4b34-ab8b-ccb87c568606" userProvider="AD" userName="HAURE Marie-Anne (ENV)"/>
        <t:Anchor>
          <t:Comment id="1670978345"/>
        </t:Anchor>
        <t:Assign userId="S::Romain.PANIAGUA@ec.europa.eu::4a7e540a-54dd-4860-aa4f-bd5e9b9c1a24" userProvider="AD" userName="PANIAGUA Romain (ENV)"/>
      </t:Event>
      <t:Event id="{68497228-15BC-4E81-B237-895A5BF57623}" time="2025-07-03T12:58:50.459Z">
        <t:Attribution userId="S::Marie-Anne.HAURE@ec.europa.eu::e82cbf36-94e0-4b34-ab8b-ccb87c568606" userProvider="AD" userName="HAURE Marie-Anne (ENV)"/>
        <t:Anchor>
          <t:Comment id="1670978345"/>
        </t:Anchor>
        <t:SetTitle title="@PANIAGUA Romain (ENV) As mentioned, it would be good to have more detailed explanations on how the graphs were built, and how to read them. This is a general comment but it is particularly true for the figure “Fifteen-year (2009-2023) change in absolute…"/>
      </t:Event>
      <t:Event id="{E40E8328-6690-5641-9CA2-23A42D500C25}" time="2025-11-03T14:37:52.061Z">
        <t:Attribution userId="S::marco.camboni@rpa-europe.eu::a16865f4-6be3-4259-937e-e0c1b2af748b" userProvider="AD" userName="Marco Camboni"/>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962B851-87D4-8E49-84F8-60E930AA77F6}"/>
      </w:docPartPr>
      <w:docPartBody>
        <w:p w:rsidR="000F16A9" w:rsidRDefault="006E4D6D">
          <w:r w:rsidRPr="00E807B3">
            <w:rPr>
              <w:rStyle w:val="PlaceholderText"/>
            </w:rPr>
            <w:t>Click or tap here to enter text.</w:t>
          </w:r>
        </w:p>
      </w:docPartBody>
    </w:docPart>
    <w:docPart>
      <w:docPartPr>
        <w:name w:val="2B6D0A5AEC5B9B42B77B8E5988D5A845"/>
        <w:category>
          <w:name w:val="General"/>
          <w:gallery w:val="placeholder"/>
        </w:category>
        <w:types>
          <w:type w:val="bbPlcHdr"/>
        </w:types>
        <w:behaviors>
          <w:behavior w:val="content"/>
        </w:behaviors>
        <w:guid w:val="{7F77672D-1B7F-0744-8E91-B742233559B3}"/>
      </w:docPartPr>
      <w:docPartBody>
        <w:p w:rsidR="003F0C9C" w:rsidRDefault="00E318D5" w:rsidP="00E318D5">
          <w:pPr>
            <w:pStyle w:val="2B6D0A5AEC5B9B42B77B8E5988D5A845"/>
          </w:pPr>
          <w:r w:rsidRPr="00E807B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Open Sans">
    <w:panose1 w:val="020B0604020202020204"/>
    <w:charset w:val="00"/>
    <w:family w:val="swiss"/>
    <w:pitch w:val="variable"/>
    <w:sig w:usb0="E00002EF" w:usb1="4000205B" w:usb2="00000028" w:usb3="00000000" w:csb0="0000019F" w:csb1="00000000"/>
  </w:font>
  <w:font w:name="Aptos">
    <w:panose1 w:val="020B0604020202020204"/>
    <w:charset w:val="00"/>
    <w:family w:val="swiss"/>
    <w:pitch w:val="variable"/>
    <w:sig w:usb0="20000287" w:usb1="00000003" w:usb2="00000000" w:usb3="00000000" w:csb0="0000019F" w:csb1="00000000"/>
  </w:font>
  <w:font w:name="Roboto">
    <w:panose1 w:val="020B0604020202020204"/>
    <w:charset w:val="00"/>
    <w:family w:val="auto"/>
    <w:pitch w:val="variable"/>
    <w:sig w:usb0="E0000AFF" w:usb1="5000217F" w:usb2="00000021" w:usb3="00000000" w:csb0="0000019F" w:csb1="00000000"/>
  </w:font>
  <w:font w:name="Calibri,Bold">
    <w:altName w:val="Calibri"/>
    <w:panose1 w:val="020B0604020202020204"/>
    <w:charset w:val="00"/>
    <w:family w:val="swiss"/>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6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D6D"/>
    <w:rsid w:val="000601AC"/>
    <w:rsid w:val="000F16A9"/>
    <w:rsid w:val="001003A0"/>
    <w:rsid w:val="0010189D"/>
    <w:rsid w:val="00106D33"/>
    <w:rsid w:val="001467A3"/>
    <w:rsid w:val="001F51DC"/>
    <w:rsid w:val="001F52B0"/>
    <w:rsid w:val="002572D0"/>
    <w:rsid w:val="00307475"/>
    <w:rsid w:val="00362BF2"/>
    <w:rsid w:val="00382427"/>
    <w:rsid w:val="003F0C9C"/>
    <w:rsid w:val="0040008D"/>
    <w:rsid w:val="00411A2F"/>
    <w:rsid w:val="00423CD3"/>
    <w:rsid w:val="00464A60"/>
    <w:rsid w:val="00516688"/>
    <w:rsid w:val="0059038F"/>
    <w:rsid w:val="00624171"/>
    <w:rsid w:val="006E4D6D"/>
    <w:rsid w:val="006E7B80"/>
    <w:rsid w:val="006F29C8"/>
    <w:rsid w:val="00723DED"/>
    <w:rsid w:val="007407D0"/>
    <w:rsid w:val="007438E5"/>
    <w:rsid w:val="00774ECE"/>
    <w:rsid w:val="0082274B"/>
    <w:rsid w:val="00941333"/>
    <w:rsid w:val="00965F54"/>
    <w:rsid w:val="00A645F2"/>
    <w:rsid w:val="00A64F71"/>
    <w:rsid w:val="00A858CE"/>
    <w:rsid w:val="00B176CA"/>
    <w:rsid w:val="00B8145A"/>
    <w:rsid w:val="00BF7F34"/>
    <w:rsid w:val="00C50815"/>
    <w:rsid w:val="00C76D70"/>
    <w:rsid w:val="00D109D5"/>
    <w:rsid w:val="00D23DCB"/>
    <w:rsid w:val="00D63338"/>
    <w:rsid w:val="00DE11D6"/>
    <w:rsid w:val="00E318D5"/>
    <w:rsid w:val="00EE0CCB"/>
    <w:rsid w:val="00EE5C5D"/>
    <w:rsid w:val="00EF564D"/>
    <w:rsid w:val="00EF6D20"/>
    <w:rsid w:val="00F43A34"/>
    <w:rsid w:val="00F508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18D5"/>
    <w:rPr>
      <w:color w:val="666666"/>
    </w:rPr>
  </w:style>
  <w:style w:type="paragraph" w:customStyle="1" w:styleId="2B6D0A5AEC5B9B42B77B8E5988D5A845">
    <w:name w:val="2B6D0A5AEC5B9B42B77B8E5988D5A845"/>
    <w:rsid w:val="00E318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569BBE"/>
      </a:accent1>
      <a:accent2>
        <a:srgbClr val="FF0000"/>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Ron18</b:Tag>
    <b:SourceType>Report</b:SourceType>
    <b:Guid>{33AB0477-F6A0-499F-ACD6-E73D3549D194}</b:Guid>
    <b:Author>
      <b:Author>
        <b:Corporate>Ronzon</b:Corporate>
      </b:Author>
    </b:Author>
    <b:Title>Socioeconomic Indicators to Monitor the EU’s Bioeconomy in Transition</b:Title>
    <b:Year>2018</b:Year>
    <b:Publisher>Sustainability 2018, 10(6), 1745</b:Publisher>
    <b:URL>https://www.mdpi.com/2071-1050/10/6/1745/htm</b:URL>
    <b:RefOrder>1</b:RefOrder>
  </b:Source>
  <b:Source>
    <b:Tag>Eur181</b:Tag>
    <b:SourceType>Report</b:SourceType>
    <b:Guid>{9B39DE12-FECD-4FC6-8CEF-033C6B1C69C4}</b:Guid>
    <b:Author>
      <b:Author>
        <b:Corporate>European Environment Agency</b:Corporate>
      </b:Author>
    </b:Author>
    <b:Title>The circular economy and the bioeconomy</b:Title>
    <b:Year>2018</b:Year>
    <b:RefOrder>2</b:RefOrder>
  </b:Source>
  <b:Source>
    <b:Tag>Eur161</b:Tag>
    <b:SourceType>Report</b:SourceType>
    <b:Guid>{9768EA56-312A-458C-8D9C-993C48F18FD6}</b:Guid>
    <b:Author>
      <b:Author>
        <b:Corporate>European Bioplastics</b:Corporate>
      </b:Author>
    </b:Author>
    <b:Title>Bioplastics — Facts and figures</b:Title>
    <b:Year>2016</b:Year>
    <b:RefOrder>3</b:RefOrder>
  </b:Source>
  <b:Source>
    <b:Tag>van17</b:Tag>
    <b:SourceType>Report</b:SourceType>
    <b:Guid>{4F6039D6-38E5-4023-945E-42BB19065CD2}</b:Guid>
    <b:Author>
      <b:Author>
        <b:Corporate>van den Oever</b:Corporate>
      </b:Author>
    </b:Author>
    <b:Title>Bio-based and biodegradable plastics: facts and figures: focus on food packaging in the Netherlands</b:Title>
    <b:Year>2017</b:Year>
    <b:Publisher>Wageningen Food &amp; Biobased Research 1722,</b:Publisher>
    <b:RefOrder>4</b:RefOrder>
  </b:Source>
  <b:Source>
    <b:Tag>Eur12</b:Tag>
    <b:SourceType>Report</b:SourceType>
    <b:Guid>{ACE96EE1-1A36-48D0-B080-9849E6E765D6}</b:Guid>
    <b:Author>
      <b:Author>
        <b:Corporate>European Commission</b:Corporate>
      </b:Author>
    </b:Author>
    <b:Title>Innovating for Sustainable Growth - A Bioeconomy for Europe</b:Title>
    <b:Year>2012</b:Year>
    <b:Publisher>Directorate-General for Research and Innovation</b:Publisher>
    <b:RefOrder>5</b:RefOrder>
  </b:Source>
  <b:Source>
    <b:Tag>Eur17</b:Tag>
    <b:SourceType>Report</b:SourceType>
    <b:Guid>{DEEB33DB-E67F-47BC-B072-7CA4924BDF25}</b:Guid>
    <b:Author>
      <b:Author>
        <b:Corporate>European Commission</b:Corporate>
      </b:Author>
    </b:Author>
    <b:Title>Bioplastics: Sustainable materials for building a strong and circular European bioeconomy</b:Title>
    <b:Year>2017</b:Year>
    <b:Publisher>The Community Research and Development Information Service (CORDIS)</b:Publisher>
    <b:RefOrder>6</b:RefOrder>
  </b:Source>
  <b:Source>
    <b:Tag>Eur121</b:Tag>
    <b:SourceType>Report</b:SourceType>
    <b:Guid>{40B5A240-AB49-4BF0-A149-822C4B29FD64}</b:Guid>
    <b:Author>
      <b:Author>
        <b:Corporate>European Commission</b:Corporate>
      </b:Author>
    </b:Author>
    <b:Year>2012</b:Year>
    <b:Title>Investing in European Success - Developing a Bioeconomy using resources from land and sea</b:Title>
    <b:Publisher>Directorate-General for Research and Innovation</b:Publisher>
    <b:RefOrder>7</b:RefOrder>
  </b:Source>
  <b:Source>
    <b:Tag>WEF16</b:Tag>
    <b:SourceType>Report</b:SourceType>
    <b:Guid>{0E9BB769-B994-484C-8763-49A3B6CD0C9A}</b:Guid>
    <b:Author>
      <b:Author>
        <b:Corporate>WEF et al</b:Corporate>
      </b:Author>
    </b:Author>
    <b:Title>The new plastics economy — Rethinking the future of plastics</b:Title>
    <b:Year>2016</b:Year>
    <b:Publisher>World Economic Forum and Ellen MacArthur Foundation</b:Publisher>
    <b:RefOrder>8</b:RefOrder>
  </b:Source>
  <b:Source xmlns:b="http://schemas.openxmlformats.org/officeDocument/2006/bibliography">
    <b:Tag>Red11</b:Tag>
    <b:SourceType>Report</b:SourceType>
    <b:Guid>{32E6B22F-7951-4B0A-8F3E-E23EC54F079A}</b:Guid>
    <b:Author>
      <b:Author>
        <b:NameList>
          <b:Person>
            <b:Last>Reddy</b:Last>
            <b:First>P.</b:First>
            <b:Middle>S. and Nandini, N.</b:Middle>
          </b:Person>
        </b:NameList>
      </b:Author>
    </b:Author>
    <b:Title>Leachate characterization and assessment of groundwater pollution near municipal solid waste landfill site</b:Title>
    <b:Year>2011</b:Year>
    <b:Publisher>Nature Environment and Pollution Technology 10(3), pp. 415-418</b:Publisher>
    <b:RefOrder>9</b:RefOrder>
  </b:Source>
  <b:Source>
    <b:Tag>Eur16</b:Tag>
    <b:SourceType>Report</b:SourceType>
    <b:Guid>{473ADD71-566E-4714-ABCA-D1298D2F7384}</b:Guid>
    <b:Author>
      <b:Author>
        <b:Corporate>European Commission</b:Corporate>
      </b:Author>
    </b:Author>
    <b:Title>Biodegradable waste</b:Title>
    <b:Year>2016</b:Year>
    <b:URL>http://ec.europa.eu/environment/waste/compost/index.htm</b:URL>
    <b:RefOrder>10</b:RefOrder>
  </b:Source>
  <b:Source>
    <b:Tag>Eur15</b:Tag>
    <b:SourceType>Report</b:SourceType>
    <b:Guid>{CEC1BAEA-59B4-4CDF-8067-8BC52F686137}</b:Guid>
    <b:Author>
      <b:Author>
        <b:Corporate>European Commission</b:Corporate>
      </b:Author>
    </b:Author>
    <b:Title>Closing the loop — An EU action plan for the circular</b:Title>
    <b:Year>2015</b:Year>
    <b:RefOrder>11</b:RefOrder>
  </b:Source>
  <b:Source>
    <b:Tag>Eur162</b:Tag>
    <b:SourceType>Report</b:SourceType>
    <b:Guid>{72EA6287-43BA-4D31-B950-503E059EAFD3}</b:Guid>
    <b:Author>
      <b:Author>
        <b:Corporate>European Environment Agency</b:Corporate>
      </b:Author>
    </b:Author>
    <b:Title>Circular economy in Europe - Developing the knowledge base</b:Title>
    <b:Year>2016</b:Year>
    <b:Publisher>EEA Report 2/2016</b:Publisher>
    <b:RefOrder>12</b:RefOrder>
  </b:Source>
  <b:Source>
    <b:Tag>Eur11</b:Tag>
    <b:SourceType>Report</b:SourceType>
    <b:Guid>{4D2F20A1-6D0B-4772-8538-862E9CF28F71}</b:Guid>
    <b:Author>
      <b:Author>
        <b:Corporate>European Environment Agency</b:Corporate>
      </b:Author>
    </b:Author>
    <b:Title>Earnings, jobs and innovation: the role of recycling in a green economy</b:Title>
    <b:Year>2011</b:Year>
    <b:RefOrder>13</b:RefOrder>
  </b:Source>
  <b:Source>
    <b:Tag>RIV16</b:Tag>
    <b:SourceType>Report</b:SourceType>
    <b:Guid>{77F8E4BF-AE08-4C7E-9FCB-66A065880948}</b:Guid>
    <b:Author>
      <b:Author>
        <b:Corporate>RIVM</b:Corporate>
      </b:Author>
    </b:Author>
    <b:Title>Waste handling and REACH - Recycling of materials containing SVHCs: daily practice challenges</b:Title>
    <b:Year>2016</b:Year>
    <b:URL>http://www.rivm.nl/dsresource?objectid=c4ff06a2-3f04-4d59-a756-f51c4a36d730&amp;type=pdf&amp;disposition=inline</b:URL>
    <b:RefOrder>14</b:RefOrder>
  </b:Source>
  <b:Source>
    <b:Tag>RIV17</b:Tag>
    <b:SourceType>Report</b:SourceType>
    <b:Guid>{F81FD951-24E8-4EB1-9587-816608F972D1}</b:Guid>
    <b:Author>
      <b:Author>
        <b:Corporate>RIVM</b:Corporate>
      </b:Author>
    </b:Author>
    <b:Title>Substances of very high concern and the transition to a circular economy</b:Title>
    <b:Year>2017</b:Year>
    <b:URL>http://www.rivm.nl/dsresource?objectid=12a77551-d36f-472b-a366-aa286f86a5e2&amp;type=org&amp;disposition=inline </b:URL>
    <b:RefOrder>15</b:RefOrder>
  </b:Source>
  <b:Source>
    <b:Tag>Piv15</b:Tag>
    <b:SourceType>Report</b:SourceType>
    <b:Guid>{F3AB8FC2-1016-43F7-BEC3-B07B84A80C78}</b:Guid>
    <b:Author>
      <b:Author>
        <b:Corporate>Pivnenko</b:Corporate>
      </b:Author>
    </b:Author>
    <b:Title>Waste paper for recycling: Overview and identification of potentially critical substances</b:Title>
    <b:Year>2015</b:Year>
    <b:Publisher>Waste management 45, 134-142.</b:Publisher>
    <b:URL>http://orbit.dtu.dk/files/118749330/Overview_post_print_.pdf</b:URL>
    <b:RefOrder>16</b:RefOrder>
  </b:Source>
  <b:Source>
    <b:Tag>Mil17</b:Tag>
    <b:SourceType>Report</b:SourceType>
    <b:Guid>{DDE40EA3-175F-46DF-9CB7-7927449A911A}</b:Guid>
    <b:Author>
      <b:Author>
        <b:Corporate>Milieu</b:Corporate>
      </b:Author>
    </b:Author>
    <b:Title>Study for the strategy for a non-toxic environment of the 7th Environment Action Programme</b:Title>
    <b:Year>2017</b:Year>
    <b:URL>https://publications.europa.eu/en/publication-detail/-/publication/89fbbb74-969c-11e7-b92d-01aa75ed71a1/language-en/format-PDF </b:URL>
    <b:RefOrder>17</b:RefOrder>
  </b:Source>
  <b:Source>
    <b:Tag>ECO01</b:Tag>
    <b:SourceType>Report</b:SourceType>
    <b:Guid>{CA5F5F27-59D4-4486-B609-6D289AFA3526}</b:Guid>
    <b:Author>
      <b:Author>
        <b:Corporate>ECOTEC</b:Corporate>
      </b:Author>
    </b:Author>
    <b:Title>Study on the Economic and Environmental Implications of the Use of Environmental Taxes and Charges in the European Union and its Member States</b:Title>
    <b:Year>2001</b:Year>
    <b:LCID>en-GB</b:LCID>
    <b:URL>https://pure.au.dk/portal/files/78859328/xsum_table_of_content.pdf</b:URL>
    <b:RefOrder>18</b:RefOrder>
  </b:Source>
  <b:Source>
    <b:Tag>Del21</b:Tag>
    <b:SourceType>Report</b:SourceType>
    <b:Guid>{D5724E9D-508E-4121-B73D-86C3D3355B2E}</b:Guid>
    <b:LCID>en-GB</b:LCID>
    <b:Author>
      <b:Author>
        <b:Corporate>Deloitte</b:Corporate>
      </b:Author>
    </b:Author>
    <b:Title>European environmental taxes and green tax incentives</b:Title>
    <b:Year>2021</b:Year>
    <b:URL>https://www2.deloitte.com/content/dam/Deloitte/global/Documents/Tax/dttl-tax-environmental-taxes-and-green-tax-incentives.pdf</b:URL>
    <b:RefOrder>19</b:RefOrder>
  </b:Source>
  <b:Source>
    <b:Tag>Gor22</b:Tag>
    <b:SourceType>Report</b:SourceType>
    <b:Guid>{FF792361-66F4-4FAA-9F70-3C080B3DA97C}</b:Guid>
    <b:Author>
      <b:Author>
        <b:NameList>
          <b:Person>
            <b:Last>Gore</b:Last>
            <b:First>Tim</b:First>
          </b:Person>
          <b:Person>
            <b:Last>Urios</b:Last>
            <b:First>Jesus</b:First>
          </b:Person>
          <b:Person>
            <b:Last>Karamperi</b:Last>
            <b:First>Michaela</b:First>
          </b:Person>
        </b:NameList>
      </b:Author>
    </b:Author>
    <b:Title>Green and fair taxation in the EU</b:Title>
    <b:Year>2022</b:Year>
    <b:Publisher>Institute for European Environmental Policy</b:Publisher>
    <b:LCID>en-GB</b:LCID>
    <b:URL>https://ieep.eu/publications/green-and-fair-taxation-in-the-eu/#:~:text=EU%20Member%20States%20with%20greener%20tax%20systems%20tend,are%2C%20overall%2C%20neither%20green%20enough%20nor%20fair%20enough.</b:URL>
    <b:RefOrder>20</b:RefOrder>
  </b:Source>
  <b:Source>
    <b:Tag>Eur241</b:Tag>
    <b:SourceType>Report</b:SourceType>
    <b:Guid>{B91D677A-C4E4-426F-A6CB-264094219AF7}</b:Guid>
    <b:Author>
      <b:Author>
        <b:Corporate>European Commission</b:Corporate>
      </b:Author>
    </b:Author>
    <b:Title>Candidates for taxing environmental bads at national level</b:Title>
    <b:Year>2024</b:Year>
    <b:Publisher>Publications Office of the European Union</b:Publisher>
    <b:LCID>en-GB</b:LCID>
    <b:URL>https://data.europa.eu/doi/10.2779/45539</b:URL>
    <b:RefOrder>21</b:RefOrder>
  </b:Source>
  <b:Source>
    <b:Tag>Eur231</b:Tag>
    <b:SourceType>Report</b:SourceType>
    <b:Guid>{2F2E03D9-0349-4C76-84EA-547CF941F748}</b:Guid>
    <b:LCID>en-GB</b:LCID>
    <b:Author>
      <b:Author>
        <b:Corporate>European Commission</b:Corporate>
      </b:Author>
    </b:Author>
    <b:Title>Green taxation and other economic instruments: Internalising environmental costs to make the polluter pay</b:Title>
    <b:Year>2023</b:Year>
    <b:Publisher>Publications Office of the European Union</b:Publisher>
    <b:URL>https://environment.ec.europa.eu/system/files/2021-11/Green%20taxation%20and%20other%20economic%20instruments%20%E2%80%93%20Internalising%20environmental%20costs%20to%20make%20the%20polluter%20pay_Study_</b:URL>
    <b:RefOrder>22</b:RefOrder>
  </b:Source>
  <b:Source>
    <b:Tag>Dmy24</b:Tag>
    <b:SourceType>JournalArticle</b:SourceType>
    <b:Guid>{F681610A-1B2D-4903-9A00-351DFA17592C}</b:Guid>
    <b:Title>The impact of environmental policy stringency and environmental taxes on GHG emissions in Western and Central European countries</b:Title>
    <b:Year>2024</b:Year>
    <b:Author>
      <b:Author>
        <b:NameList>
          <b:Person>
            <b:Last>Dmytrenko</b:Last>
            <b:First>Denys</b:First>
          </b:Person>
          <b:Person>
            <b:Last>Prokop</b:Last>
            <b:First>Viktor</b:First>
          </b:Person>
          <b:Person>
            <b:Last>Zapletal</b:Last>
            <b:First>David</b:First>
          </b:Person>
        </b:NameList>
      </b:Author>
    </b:Author>
    <b:JournalName>Energy Systems</b:JournalName>
    <b:LCID>en-GB</b:LCID>
    <b:URL>https://doi.org/10.1007/s12667-023-00651-7</b:URL>
    <b:RefOrder>23</b:RefOrder>
  </b:Source>
  <b:Source>
    <b:Tag>Dec14</b:Tag>
    <b:SourceType>Report</b:SourceType>
    <b:Guid>{12EC0030-25FB-49D7-A6CF-3E00D6B921E8}</b:Guid>
    <b:Author>
      <b:Author>
        <b:NameList>
          <b:Person>
            <b:Last>Dechezleprêtre</b:Last>
            <b:First>Antoine</b:First>
          </b:Person>
          <b:Person>
            <b:Last>Sato</b:Last>
            <b:First>Misato</b:First>
          </b:Person>
        </b:NameList>
      </b:Author>
    </b:Author>
    <b:Title>The impacts of environmental regulations on competitiveness</b:Title>
    <b:Year>2014</b:Year>
    <b:LCID>en-GB</b:LCID>
    <b:Publisher>Grantham Research Institute on Climate Change and the Environment</b:Publisher>
    <b:URL>https://www.researchgate.net/publication/273769970_The_impacts_of_environmental_regulations_on_competitiveness#:~:text=This%20review%20of%20the%20growing%20body%20of%20peer-reviewed,boost%20economic%20growth%20by%20encouraging%20innovation%20by%20business</b:URL>
    <b:RefOrder>24</b:RefOrder>
  </b:Source>
  <b:Source>
    <b:Tag>Hon24</b:Tag>
    <b:SourceType>JournalArticle</b:SourceType>
    <b:Guid>{61A246C3-DB4B-4474-B131-421FD2B938ED}</b:Guid>
    <b:Author>
      <b:Author>
        <b:NameList>
          <b:Person>
            <b:Last>Hondroyiannis</b:Last>
            <b:First>G.</b:First>
          </b:Person>
          <b:Person>
            <b:Last>Sardianou</b:Last>
            <b:First>E.</b:First>
          </b:Person>
          <b:Person>
            <b:Last>Nikou</b:Last>
            <b:First>V.</b:First>
          </b:Person>
          <b:Person>
            <b:Last>Evangelinos</b:Last>
            <b:First>K.</b:First>
          </b:Person>
          <b:Person>
            <b:Last>Nikolaou</b:Last>
            <b:First>I.</b:First>
          </b:Person>
        </b:NameList>
      </b:Author>
    </b:Author>
    <b:Title>Circular economy and macroeconomic performance: Evidence across 28 European countries</b:Title>
    <b:Year>2024</b:Year>
    <b:JournalName>Ecological Economics</b:JournalName>
    <b:LCID>en-GB</b:LCID>
    <b:Volume>215</b:Volume>
    <b:URL>https://doi.org/10.1016/j.ecolecon.2023.108002</b:URL>
    <b:RefOrder>25</b:RefOrder>
  </b:Source>
  <b:Source>
    <b:Tag>Jof24</b:Tag>
    <b:SourceType>JournalArticle</b:SourceType>
    <b:Guid>{731683F7-5CBC-4599-A768-F75F81A42FA5}</b:Guid>
    <b:LCID>en-GB</b:LCID>
    <b:Author>
      <b:Author>
        <b:NameList>
          <b:Person>
            <b:Last>Jofre-Monseny</b:Last>
            <b:First>Jordi</b:First>
          </b:Person>
          <b:Person>
            <b:Last>Sorribas-Navarro</b:Last>
            <b:First>Pilar</b:First>
          </b:Person>
        </b:NameList>
      </b:Author>
    </b:Author>
    <b:Title>Landfill tax and recycling</b:Title>
    <b:JournalName>Fiscal Studies</b:JournalName>
    <b:Year>2024</b:Year>
    <b:Pages>483-500</b:Pages>
    <b:URL>https://onlinelibrary.wiley.com/doi/10.1111/1475-5890.12360</b:URL>
    <b:RefOrder>26</b:RefOrder>
  </b:Source>
  <b:Source>
    <b:Tag>Koz20</b:Tag>
    <b:SourceType>JournalArticle</b:SourceType>
    <b:Guid>{8FA84BCB-0A8A-46E5-983F-A40F9A6BD7FF}</b:Guid>
    <b:Author>
      <b:Author>
        <b:NameList>
          <b:Person>
            <b:Last>Koziuk</b:Last>
            <b:First>Viktor</b:First>
          </b:Person>
          <b:Person>
            <b:Last>Hayda</b:Last>
            <b:First>Yu</b:First>
          </b:Person>
          <b:Person>
            <b:Last>Dluhopolskyi</b:Last>
            <b:First>Oleksandr</b:First>
          </b:Person>
          <b:Person>
            <b:Last>Martynyuk</b:Last>
            <b:First>V.</b:First>
          </b:Person>
          <b:Person>
            <b:Last>Klapkiv</b:Last>
            <b:First>Jurij</b:First>
          </b:Person>
        </b:NameList>
      </b:Author>
    </b:Author>
    <b:Title>Efficiency of environmental taxation in European countries: comparative analysis</b:Title>
    <b:JournalName>Naukovyi Visnyk Natsionalnoho Hirnychoho Universytetu</b:JournalName>
    <b:Year>2020</b:Year>
    <b:Pages>115-121</b:Pages>
    <b:LCID>en-GB</b:LCID>
    <b:URL>https://www.researchgate.net/publication/346500513_Efficiency_of_environmental_taxation_in_European_countries_comparative_analysis</b:URL>
    <b:RefOrder>27</b:RefOrder>
  </b:Source>
  <b:Source>
    <b:Tag>Oll24</b:Tag>
    <b:SourceType>JournalArticle</b:SourceType>
    <b:Guid>{F771D31C-6A20-495E-8250-28BC13700F4A}</b:Guid>
    <b:Author>
      <b:Author>
        <b:NameList>
          <b:Person>
            <b:Last>Ollier</b:Last>
            <b:First>Maxime</b:First>
          </b:Person>
          <b:Person>
            <b:Last>De Cara</b:Last>
            <b:First>Stéphane</b:First>
          </b:Person>
        </b:NameList>
      </b:Author>
    </b:Author>
    <b:Title>Give and take: An analysis of the distributional consequences of emission tax-and-rebate schemes with an application to greenhouse gas emissions from European agriculture</b:Title>
    <b:JournalName>Ecological Economics</b:JournalName>
    <b:Year>2024</b:Year>
    <b:LCID>en-GB</b:LCID>
    <b:Volume>219</b:Volume>
    <b:URL>https://doi.org/10.1016/j.ecolecon.2024.108154</b:URL>
    <b:RefOrder>28</b:RefOrder>
  </b:Source>
  <b:Source>
    <b:Tag>Par24</b:Tag>
    <b:SourceType>JournalArticle</b:SourceType>
    <b:Guid>{323DF42B-A332-4546-B7FC-0C00682918EA}</b:Guid>
    <b:Author>
      <b:Author>
        <b:NameList>
          <b:Person>
            <b:Last>Parente</b:Last>
            <b:First>Salvatore</b:First>
          </b:Person>
        </b:NameList>
      </b:Author>
    </b:Author>
    <b:Title>Environmental Taxation and the Circular Economy: What Are the Prospects in the European Context?</b:Title>
    <b:JournalName>Białostockie Studia Prawnicze</b:JournalName>
    <b:Year>2024</b:Year>
    <b:Pages>91-112</b:Pages>
    <b:LCID>en-GB</b:LCID>
    <b:Volume>29</b:Volume>
    <b:URL>https://www.researchgate.net/publication/378950346_Environmental_Taxation_and_the_Circular_Economy_What_Are_the_Prospects_in_the_European_Context</b:URL>
    <b:RefOrder>29</b:RefOrder>
  </b:Source>
  <b:Source>
    <b:Tag>Gha21</b:Tag>
    <b:SourceType>JournalArticle</b:SourceType>
    <b:Guid>{3AD03D48-E148-4750-AAD0-B5A9D809E959}</b:Guid>
    <b:Author>
      <b:Author>
        <b:NameList>
          <b:Person>
            <b:Last>Ghazouani</b:Last>
            <b:First>A.</b:First>
          </b:Person>
          <b:Person>
            <b:Last>Jebli</b:Last>
            <b:First>M.B.</b:First>
          </b:Person>
          <b:Person>
            <b:Last>Shahzad</b:Last>
            <b:First>U.</b:First>
          </b:Person>
        </b:NameList>
      </b:Author>
    </b:Author>
    <b:Title>Impacts of environmental taxes and technologies on greenhouse gas emissions: contextual evidence from leading emitter European countries</b:Title>
    <b:JournalName>Environmental Science and Pollution Research</b:JournalName>
    <b:Year>2021</b:Year>
    <b:Pages>22758–22767</b:Pages>
    <b:LCID>en-GB</b:LCID>
    <b:Volume>28</b:Volume>
    <b:URL>https://doi.org/10.1007/s11356-020-11911-9</b:URL>
    <b:RefOrder>30</b:RefOrder>
  </b:Source>
  <b:Source>
    <b:Tag>Sou24</b:Tag>
    <b:SourceType>BookSection</b:SourceType>
    <b:Guid>{93A0223C-7936-4090-8EF4-7EA3D083C136}</b:Guid>
    <b:Author>
      <b:Author>
        <b:NameList>
          <b:Person>
            <b:Last>Sousa</b:Last>
            <b:First>S.</b:First>
          </b:Person>
          <b:Person>
            <b:Last>Henriques</b:Last>
            <b:First>C.</b:First>
          </b:Person>
          <b:Person>
            <b:Last>Viseu</b:Last>
            <b:First>C.</b:First>
          </b:Person>
        </b:NameList>
      </b:Author>
      <b:BookAuthor>
        <b:NameList>
          <b:Person>
            <b:Last>Caetano</b:Last>
            <b:First>N.S.</b:First>
          </b:Person>
        </b:NameList>
      </b:BookAuthor>
    </b:Author>
    <b:Title>Are Green Taxes Efficient? An Exploratory Study of the EU Reality.</b:Title>
    <b:Year>2024</b:Year>
    <b:BookTitle>Sustainable Development with Renewable Energy</b:BookTitle>
    <b:Publisher>ICEER 2023. Environmental Science and Engineering</b:Publisher>
    <b:LCID>en-GB</b:LCID>
    <b:URL>https://doi.org/10.1007/978-3-031-54394-4_21</b:URL>
    <b:RefOrder>31</b:RefOrder>
  </b:Source>
  <b:Source>
    <b:Tag>Man23</b:Tag>
    <b:SourceType>JournalArticle</b:SourceType>
    <b:Guid>{07706CEB-825F-47CB-AF4B-10605C8C3026}</b:Guid>
    <b:Author>
      <b:Author>
        <b:NameList>
          <b:Person>
            <b:Last>Manjang</b:Last>
            <b:First>M.</b:First>
          </b:Person>
          <b:Person>
            <b:Last>Hao</b:Last>
            <b:First>X.</b:First>
          </b:Person>
          <b:Person>
            <b:Last>Husnain</b:Last>
            <b:First>M.A.</b:First>
          </b:Person>
        </b:NameList>
      </b:Author>
    </b:Author>
    <b:Title>Examining the impact of environmental technologies, environmental taxes, energy consumption, and natural resources on GHG emissions in G-7 economies</b:Title>
    <b:Year>2023</b:Year>
    <b:Pages>106611–106624</b:Pages>
    <b:JournalName>Environmental Science and Pollution Research</b:JournalName>
    <b:LCID>en-GB</b:LCID>
    <b:Volume>30</b:Volume>
    <b:URL>https://doi.org/10.1007/s11356-023-29885-9</b:URL>
    <b:RefOrder>32</b:RefOrder>
  </b:Source>
  <b:Source>
    <b:Tag>Bas20</b:Tag>
    <b:SourceType>JournalArticle</b:SourceType>
    <b:Guid>{BAEDB006-3AD2-4C0C-AF59-7BEDCD36ED2C}</b:Guid>
    <b:Author>
      <b:Author>
        <b:NameList>
          <b:Person>
            <b:Last>Bashir</b:Last>
            <b:First>M.F.</b:First>
          </b:Person>
          <b:Person>
            <b:Last>Benjiang</b:Last>
            <b:First>M.A.</b:First>
          </b:Person>
          <b:Person>
            <b:Last>Shahbaz</b:Last>
            <b:First>M.</b:First>
          </b:Person>
          <b:Person>
            <b:Last>Jiao</b:Last>
            <b:First>Z.</b:First>
          </b:Person>
        </b:NameList>
      </b:Author>
    </b:Author>
    <b:Title>The nexus between environmental tax and carbon emissions with the roles of environmental technology and financial development</b:Title>
    <b:JournalName>PLoS ONE</b:JournalName>
    <b:Year>2020</b:Year>
    <b:LCID>en-GB</b:LCID>
    <b:Volume>15</b:Volume>
    <b:Issue>11</b:Issue>
    <b:URL>https://doi.org/10.1371/journal.pone.0242412</b:URL>
    <b:RefOrder>33</b:RefOrder>
  </b:Source>
  <b:Source>
    <b:Tag>EEA22</b:Tag>
    <b:SourceType>Report</b:SourceType>
    <b:Guid>{E7065BE1-0928-4504-8B11-93FBA025EE42}</b:Guid>
    <b:Author>
      <b:Author>
        <b:Corporate>EEA</b:Corporate>
      </b:Author>
    </b:Author>
    <b:Title>The role of (environmental) taxation in supporting sustainability transitions</b:Title>
    <b:Year>2022</b:Year>
    <b:LCID>en-GB</b:LCID>
    <b:URL>https://www.eea.europa.eu/publications/the-role-of-environmental-taxation</b:URL>
    <b:RefOrder>34</b:RefOrder>
  </b:Source>
  <b:Source>
    <b:Tag>Eur242</b:Tag>
    <b:SourceType>Report</b:SourceType>
    <b:Guid>{3EFEE42A-48B6-4C1E-BAA4-B5A899694B21}</b:Guid>
    <b:LCID>en-GB</b:LCID>
    <b:Author>
      <b:Author>
        <b:Corporate>Eurostat</b:Corporate>
      </b:Author>
    </b:Author>
    <b:Title>Environmental taxes – A statistical guide</b:Title>
    <b:Year>2024</b:Year>
    <b:URL>https://ec.europa.eu/eurostat/documents/3859598/18358719/KS-GQ-23-016-EN-N.pdf/011c3fcd-c6c3-604c-320f-bba5da058efe?version=1.0&amp;t=1705926723782</b:URL>
    <b:RefOrder>35</b:RefOrder>
  </b:Source>
  <b:Source>
    <b:Tag>Sha20</b:Tag>
    <b:SourceType>JournalArticle</b:SourceType>
    <b:Guid>{CF5E7A14-E126-4275-B3B6-77E4688F28DE}</b:Guid>
    <b:Title>Environmental taxes, energy consumption, and environmental quality: Theoretical survey with policy implications</b:Title>
    <b:Year>2020</b:Year>
    <b:Author>
      <b:Author>
        <b:NameList>
          <b:Person>
            <b:Last>Shahzad</b:Last>
            <b:First>U.</b:First>
          </b:Person>
        </b:NameList>
      </b:Author>
    </b:Author>
    <b:JournalName>Environmental Science and Pollution Research</b:JournalName>
    <b:Pages>24848–24862</b:Pages>
    <b:LCID>en-GB</b:LCID>
    <b:URL>https://doi.org/10.1007/s11356-020-08349-4</b:URL>
    <b:RefOrder>36</b:RefOrder>
  </b:Source>
  <b:Source>
    <b:Tag>Wol21</b:Tag>
    <b:SourceType>JournalArticle</b:SourceType>
    <b:Guid>{1E4A4EA7-CDCF-475B-B4F6-CAF6F7456646}</b:Guid>
    <b:Author>
      <b:Author>
        <b:NameList>
          <b:Person>
            <b:Last>Wolde-Rufael</b:Last>
            <b:First>Y.</b:First>
          </b:Person>
          <b:Person>
            <b:Last>Mulat-Weldemeskel</b:Last>
            <b:First>E.</b:First>
          </b:Person>
        </b:NameList>
      </b:Author>
    </b:Author>
    <b:Title>Do environmental taxes and environmental stringency policies reduce CO2 emissions? Evidence from 7 emerging economies</b:Title>
    <b:JournalName>Environmental Science and Pollution Research</b:JournalName>
    <b:Year>2021</b:Year>
    <b:Pages>22392–22408</b:Pages>
    <b:LCID>en-GB</b:LCID>
    <b:Volume>28</b:Volume>
    <b:URL>https://doi.org/10.1007/s11356-020-11475-8</b:URL>
    <b:RefOrder>37</b:RefOrder>
  </b:Source>
  <b:Source>
    <b:Tag>Wol23</b:Tag>
    <b:SourceType>JournalArticle</b:SourceType>
    <b:Guid>{A8E44E2C-FDF7-4B04-94C7-3D3E0D175DEE}</b:Guid>
    <b:Author>
      <b:Author>
        <b:NameList>
          <b:Person>
            <b:Last>Wolde-Rufael</b:Last>
            <b:First>Y.</b:First>
          </b:Person>
          <b:Person>
            <b:Last>Mulat-weldemeskel</b:Last>
            <b:First>E.</b:First>
          </b:Person>
        </b:NameList>
      </b:Author>
    </b:Author>
    <b:Title>Effectiveness of environmental taxes and environmental stringent policies on CO2 emissions: the European experience</b:Title>
    <b:JournalName> Environment, Development and Sustainability</b:JournalName>
    <b:Year>2023</b:Year>
    <b:Pages>5211–5239</b:Pages>
    <b:LCID>en-GB</b:LCID>
    <b:Volume>25</b:Volume>
    <b:RefOrder>38</b:RefOrder>
  </b:Source>
  <b:Source>
    <b:Tag>Özm25</b:Tag>
    <b:SourceType>JournalArticle</b:SourceType>
    <b:Guid>{303B509D-58B6-4CFA-B9D0-68849899C009}</b:Guid>
    <b:Author>
      <b:Author>
        <b:NameList>
          <b:Person>
            <b:Last>Özmen</b:Last>
            <b:First>I.</b:First>
          </b:Person>
          <b:Person>
            <b:Last>Mutascu</b:Last>
            <b:First>M.</b:First>
          </b:Person>
        </b:NameList>
      </b:Author>
    </b:Author>
    <b:Title>Don’t look earth: environmental taxes effect on Co2 emissions, evidence from moments quantile regression for EU countries</b:Title>
    <b:JournalName>Environment, Development and Sustainability</b:JournalName>
    <b:Year>2025</b:Year>
    <b:Pages>4619–4658</b:Pages>
    <b:LCID>en-GB</b:LCID>
    <b:Volume>27</b:Volume>
    <b:URL>https://doi.org/10.1007/s10668-023-04092-1</b:URL>
    <b:RefOrder>39</b:RefOrder>
  </b:Source>
  <b:Source>
    <b:Tag>Gao23</b:Tag>
    <b:SourceType>JournalArticle</b:SourceType>
    <b:Guid>{613B339E-0EBB-48ED-8A0B-FE9D4A674E3A}</b:Guid>
    <b:Title>Environmental taxes, eco-innovation, and environmental sustainability in EU member countries</b:Title>
    <b:JournalName>Environmental Science and Pollution Research</b:JournalName>
    <b:Year>2023</b:Year>
    <b:Pages>101637–101652</b:Pages>
    <b:LCID>en-GB</b:LCID>
    <b:Author>
      <b:Author>
        <b:NameList>
          <b:Person>
            <b:Last>Gao</b:Last>
            <b:First>X.</b:First>
          </b:Person>
          <b:Person>
            <b:Last>Fan</b:Last>
            <b:First>M.</b:First>
          </b:Person>
        </b:NameList>
      </b:Author>
    </b:Author>
    <b:Volume>30</b:Volume>
    <b:URL>https://doi.org/10.1007/s11356-023-29361-4</b:URL>
    <b:RefOrder>40</b:RefOrder>
  </b:Source>
  <b:Source>
    <b:Tag>Sav24</b:Tag>
    <b:SourceType>JournalArticle</b:SourceType>
    <b:Guid>{77815D55-41DD-4E6A-8FEF-36F346471735}</b:Guid>
    <b:Title>The role of environmental tax on the environmental quality in EU counties: evidence from panel vector autoregression approach</b:Title>
    <b:JournalName>Environmental Science and Pollution Research</b:JournalName>
    <b:Year>2024</b:Year>
    <b:Pages>35769–35778</b:Pages>
    <b:LCID>en-GB</b:LCID>
    <b:Author>
      <b:Author>
        <b:NameList>
          <b:Person>
            <b:Last>Savranlar</b:Last>
            <b:First>B.</b:First>
          </b:Person>
          <b:Person>
            <b:Last>Ertas</b:Last>
            <b:First>S.A.</b:First>
          </b:Person>
          <b:Person>
            <b:Last>Aslan</b:Last>
            <b:First>A.</b:First>
          </b:Person>
        </b:NameList>
      </b:Author>
    </b:Author>
    <b:Volume>31</b:Volume>
    <b:URL>https://doi.org/10.1007/s11356-024-33632-z</b:URL>
    <b:RefOrder>41</b:RefOrder>
  </b:Source>
  <b:Source>
    <b:Tag>Ail</b:Tag>
    <b:SourceType>BookSection</b:SourceType>
    <b:Guid>{91391C33-7AE7-454B-A7CD-5B79CA8C9E20}</b:Guid>
    <b:Author>
      <b:Author>
        <b:NameList>
          <b:Person>
            <b:Last>Ailincă</b:Last>
            <b:First>A.G.</b:First>
          </b:Person>
          <b:Person>
            <b:Last>Piciu</b:Last>
            <b:First>G.C.</b:First>
          </b:Person>
        </b:NameList>
      </b:Author>
      <b:BookAuthor>
        <b:NameList>
          <b:Person>
            <b:Last>Chivu</b:Last>
            <b:First>L.</b:First>
          </b:Person>
          <b:Person>
            <b:Last>Ioan-Franc</b:Last>
            <b:First>V.</b:First>
          </b:Person>
          <b:Person>
            <b:Last>Georgescu</b:Last>
            <b:First>G.</b:First>
          </b:Person>
          <b:Person>
            <b:Last>De Los Ríos Carmenado</b:Last>
            <b:First>I.</b:First>
          </b:Person>
          <b:Person>
            <b:Last>Andrei</b:Last>
            <b:First>J.V.</b:First>
          </b:Person>
        </b:NameList>
      </b:BookAuthor>
    </b:Author>
    <b:Title>The Impact of Climate Change on Revenues from Environmental Taxes and Expenses for Environmental Protection in the EU for 2010–2020</b:Title>
    <b:BookTitle>Constraints and Opportunities in Shaping the Future: New Approaches to Economics and Policy Making</b:BookTitle>
    <b:LCID>en-GB</b:LCID>
    <b:URL>https://doi.org/10.1007/978-3-031-47925-0_23</b:URL>
    <b:Year>2024</b:Year>
    <b:RefOrder>42</b:RefOrder>
  </b:Source>
  <b:Source>
    <b:Tag>Ade22</b:Tag>
    <b:SourceType>JournalArticle</b:SourceType>
    <b:Guid>{8908FD4C-6D21-4B8A-8991-C690C0E370EA}</b:Guid>
    <b:Title>Do energy-pollution-resource-transport taxes yield double dividend for Nordic economies?</b:Title>
    <b:Year>2022</b:Year>
    <b:LCID>en-GB</b:LCID>
    <b:Author>
      <b:Author>
        <b:NameList>
          <b:Person>
            <b:Last>Adewale Alola</b:Last>
            <b:First>A.</b:First>
          </b:Person>
          <b:Person>
            <b:Last>Nwulu</b:Last>
            <b:First>N.</b:First>
          </b:Person>
        </b:NameList>
      </b:Author>
    </b:Author>
    <b:JournalName>Energy</b:JournalName>
    <b:Volume>254</b:Volume>
    <b:URL>https://doi.org/10.1016/j.energy.2022.124275</b:URL>
    <b:RefOrder>43</b:RefOrder>
  </b:Source>
  <b:Source>
    <b:Tag>AlS23</b:Tag>
    <b:SourceType>JournalArticle</b:SourceType>
    <b:Guid>{AE6921B5-DE7E-478A-80B6-F06BC8860A89}</b:Guid>
    <b:Author>
      <b:Author>
        <b:NameList>
          <b:Person>
            <b:Last>Al Shammre</b:Last>
            <b:First>A.S.</b:First>
          </b:Person>
          <b:Person>
            <b:Last>Benhamed</b:Last>
            <b:First>A.</b:First>
          </b:Person>
          <b:Person>
            <b:Last>Ben-Salha</b:Last>
            <b:First>O.</b:First>
          </b:Person>
          <b:Person>
            <b:Last>Jaidi</b:Last>
            <b:First>Z.</b:First>
          </b:Person>
        </b:NameList>
      </b:Author>
    </b:Author>
    <b:Title>Do Environmental Taxes Affect Carbon Dioxide Emissions in OECD Countries? Evidence from the Dynamic Panel Threshold Model</b:Title>
    <b:JournalName>Systems</b:JournalName>
    <b:Year>2023</b:Year>
    <b:LCID>en-GB</b:LCID>
    <b:Volume>11</b:Volume>
    <b:Issue>307</b:Issue>
    <b:URL>https://doi.org/10.3390/systems11060307</b:URL>
    <b:RefOrder>44</b:RefOrder>
  </b:Source>
  <b:Source>
    <b:Tag>Has20</b:Tag>
    <b:SourceType>JournalArticle</b:SourceType>
    <b:Guid>{BC4E3A4B-DFED-495D-8C3C-9B930A437350}</b:Guid>
    <b:Author>
      <b:Author>
        <b:NameList>
          <b:Person>
            <b:Last>Hassan</b:Last>
            <b:First>M.</b:First>
          </b:Person>
          <b:Person>
            <b:Last>Oueslati</b:Last>
            <b:First>W.</b:First>
          </b:Person>
          <b:Person>
            <b:Last>Rousselière</b:Last>
            <b:First>D.</b:First>
          </b:Person>
        </b:NameList>
      </b:Author>
    </b:Author>
    <b:Title>Environmental taxes, reforms and economic growth: an empirical analysis of panel data</b:Title>
    <b:JournalName>Economic Systems</b:JournalName>
    <b:Year>2020</b:Year>
    <b:LCID>en-GB</b:LCID>
    <b:Volume>44</b:Volume>
    <b:Issue>3</b:Issue>
    <b:URL>https://doi.org/10.1016/j.ecosys.2020.100806</b:URL>
    <b:RefOrder>45</b:RefOrder>
  </b:Source>
  <b:Source>
    <b:Tag>Cor21</b:Tag>
    <b:SourceType>JournalArticle</b:SourceType>
    <b:Guid>{312C3D37-E234-4C9C-A7D6-1A32B80AEBF3}</b:Guid>
    <b:Author>
      <b:Author>
        <b:NameList>
          <b:Person>
            <b:Last>Coria</b:Last>
            <b:First>J.</b:First>
          </b:Person>
          <b:Person>
            <b:Last>Hennlock</b:Last>
            <b:First>M.</b:First>
          </b:Person>
          <b:Person>
            <b:Last>Sterner</b:Last>
            <b:First>T.</b:First>
          </b:Person>
        </b:NameList>
      </b:Author>
    </b:Author>
    <b:Title>Interjurisdictional externalities, overlapping policies and NOx pollution control in Sweden</b:Title>
    <b:JournalName>Journal of Environmental Economics and Management</b:JournalName>
    <b:Year>2021</b:Year>
    <b:LCID>en-GB</b:LCID>
    <b:Volume>107</b:Volume>
    <b:URL>https://doi.org/10.1016/j.jeem.2021.102444</b:URL>
    <b:RefOrder>46</b:RefOrder>
  </b:Source>
  <b:Source>
    <b:Tag>Erb23</b:Tag>
    <b:SourceType>Report</b:SourceType>
    <b:Guid>{A940FB5B-D4C3-4078-A325-4FE099F871C1}</b:Guid>
    <b:Author>
      <b:Author>
        <b:NameList>
          <b:Person>
            <b:Last>Erbertseder</b:Last>
            <b:First>Thilo</b:First>
          </b:Person>
          <b:Person>
            <b:Last>Jacob</b:Last>
            <b:First>Martin</b:First>
          </b:Person>
          <b:Person>
            <b:Last>Taubenböck</b:Last>
            <b:First>Hannes</b:First>
          </b:Person>
          <b:Person>
            <b:Last>Zerwer</b:Last>
            <b:First>Kira,</b:First>
          </b:Person>
        </b:NameList>
      </b:Author>
    </b:Author>
    <b:Title>How effective are emission taxes in reducing air pollution?</b:Title>
    <b:Year>2023</b:Year>
    <b:Publisher>TRR 266 Accounting for Transparency Working Paper Series No. 114, HKU Jockey Club Enterprise Sustainability Global Research Institute</b:Publisher>
    <b:LCID>en-GB</b:LCID>
    <b:URL>https://papers.ssrn.com/sol3/papers.cfm?abstract_id=4353315</b:URL>
    <b:RefOrder>47</b:RefOrder>
  </b:Source>
  <b:Source>
    <b:Tag>Laa21</b:Tag>
    <b:SourceType>Report</b:SourceType>
    <b:Guid>{1D4E1C91-C91D-49F3-B9AF-45332374C6AA}</b:Guid>
    <b:Author>
      <b:Author>
        <b:NameList>
          <b:Person>
            <b:Last>Laan</b:Last>
            <b:First>T.</b:First>
          </b:Person>
          <b:Person>
            <b:Last>Roth</b:Last>
            <b:First>J.</b:First>
          </b:Person>
          <b:Person>
            <b:Last>Beedell</b:Last>
            <b:First>E.</b:First>
          </b:Person>
        </b:NameList>
      </b:Author>
    </b:Author>
    <b:Title>Nordic Environmental Fiscal Reform: Case studies and application for post-pandemic economic recovery</b:Title>
    <b:Year>2021</b:Year>
    <b:Publisher>International Institute for Sustainable Development (IISD)</b:Publisher>
    <b:LCID>en-GB</b:LCID>
    <b:URL>https://www.jstor.org/stable/resrep30872</b:URL>
    <b:RefOrder>48</b:RefOrder>
  </b:Source>
  <b:Source>
    <b:Tag>Sco23</b:Tag>
    <b:SourceType>JournalArticle</b:SourceType>
    <b:Guid>{CDF18A43-20EB-4087-98FC-C1E21A2EF380}</b:Guid>
    <b:Author>
      <b:Author>
        <b:NameList>
          <b:Person>
            <b:Last>Scorrano</b:Last>
            <b:First>M.</b:First>
          </b:Person>
          <b:Person>
            <b:Last>Mathisen</b:Last>
            <b:First>T.A.</b:First>
          </b:Person>
          <b:Person>
            <b:Last>Danielis</b:Last>
            <b:First>R.</b:First>
          </b:Person>
          <b:Person>
            <b:Last>Simsekoglu</b:Last>
            <b:First>O.</b:First>
          </b:Person>
          <b:Person>
            <b:Last>Marinelli</b:Last>
            <b:First>G.</b:First>
          </b:Person>
        </b:NameList>
      </b:Author>
    </b:Author>
    <b:Title>Fiscal policies and car choices in Italy and Norway: A scenario analysis based on a stated-preference survey</b:Title>
    <b:Year>2023</b:Year>
    <b:JournalName>Case Studies on Transport Policy</b:JournalName>
    <b:LCID>en-GB</b:LCID>
    <b:Volume>13</b:Volume>
    <b:URL>https://doi.org/10.1016/j.cstp.2023.101037</b:URL>
    <b:RefOrder>49</b:RefOrder>
  </b:Source>
  <b:Source>
    <b:Tag>Hah22</b:Tag>
    <b:SourceType>Report</b:SourceType>
    <b:Guid>{4E100A8F-D442-48DF-AE30-107B046C0D1B}</b:Guid>
    <b:Author>
      <b:Author>
        <b:NameList>
          <b:Person>
            <b:Last>Hahne</b:Last>
            <b:First>M.</b:First>
          </b:Person>
        </b:NameList>
      </b:Author>
    </b:Author>
    <b:Title>Top European electricity producers´eco-efficiency : And the role of policy instruments</b:Title>
    <b:Year>2022</b:Year>
    <b:Publisher>Umeå University, Faculty of Social Sciences, Umeå School of Business and Economics (USBE), Economics</b:Publisher>
    <b:LCID>en-GB</b:LCID>
    <b:URL>https://www.diva-portal.org/smash/record.jsf?pid=diva2%3A1676762&amp;dswid=7807</b:URL>
    <b:RefOrder>50</b:RefOrder>
  </b:Source>
  <b:Source>
    <b:Tag>Erg22</b:Tag>
    <b:SourceType>JournalArticle</b:SourceType>
    <b:Guid>{5A1CF09D-D9B4-49AF-B54F-B9C267CD3534}</b:Guid>
    <b:Title>A comparative study on the taxation of waste disposal in Europe</b:Title>
    <b:Year>2022</b:Year>
    <b:Author>
      <b:Author>
        <b:NameList>
          <b:Person>
            <b:Last>Ergun</b:Last>
            <b:First>Merve</b:First>
          </b:Person>
        </b:NameList>
      </b:Author>
    </b:Author>
    <b:JournalName>International Multidisciplinary Scientific GeoConference : SGEM</b:JournalName>
    <b:LCID>en-GB</b:LCID>
    <b:URL>https://www.proquest.com/openview/557c6a5a470bf3f2a7193826d7e11fc2/1?pq-origsite=gscholar&amp;cbl=1536338</b:URL>
    <b:RefOrder>51</b:RefOrder>
  </b:Source>
  <b:Source>
    <b:Tag>Dij20</b:Tag>
    <b:SourceType>JournalArticle</b:SourceType>
    <b:Guid>{CABF50D3-4AC8-4C5F-B3B7-42F1F51C3A8A}</b:Guid>
    <b:Author>
      <b:Author>
        <b:NameList>
          <b:Person>
            <b:Last>Dijk</b:Last>
            <b:First>M.</b:First>
          </b:Person>
          <b:Person>
            <b:Last>Iversen</b:Last>
            <b:First>E.</b:First>
          </b:Person>
          <b:Person>
            <b:Last>Klitkou</b:Last>
            <b:First>A.</b:First>
          </b:Person>
          <b:Person>
            <b:Last>Kemp</b:Last>
            <b:First>R.</b:First>
          </b:Person>
          <b:Person>
            <b:Last>Bolwig</b:Last>
            <b:First>S.</b:First>
          </b:Person>
          <b:Person>
            <b:Last>Borup</b:Last>
            <b:First>M.</b:First>
          </b:Person>
          <b:Person>
            <b:Last>Møllgaard</b:Last>
            <b:First>P.</b:First>
          </b:Person>
        </b:NameList>
      </b:Author>
    </b:Author>
    <b:Title>Forks in the Road to E-Mobility: An Evaluation of Instrument Interaction in National Policy Mixes in Northwest Europe</b:Title>
    <b:JournalName>Energies</b:JournalName>
    <b:Year>2020</b:Year>
    <b:LCID>en-GB</b:LCID>
    <b:Volume>13</b:Volume>
    <b:Issue>475</b:Issue>
    <b:URL>https://doi.org/10.3390/en13020475</b:URL>
    <b:RefOrder>52</b:RefOrder>
  </b:Source>
  <b:Source>
    <b:Tag>Mot21</b:Tag>
    <b:SourceType>Report</b:SourceType>
    <b:Guid>{81187FB8-81CF-4423-BA64-6430F69D9337}</b:Guid>
    <b:Author>
      <b:Author>
        <b:NameList>
          <b:Person>
            <b:Last>Mottershead</b:Last>
            <b:First>D.</b:First>
          </b:Person>
          <b:Person>
            <b:Last>Gore</b:Last>
            <b:First>T.</b:First>
          </b:Person>
          <b:Person>
            <b:Last>Watkins</b:Last>
            <b:First>E.</b:First>
          </b:Person>
          <b:Person>
            <b:Last>Skou Andersen</b:Last>
            <b:First>M.</b:First>
          </b:Person>
          <b:Person>
            <b:Last>Branth Pedersen</b:Last>
            <b:First>A.</b:First>
          </b:Person>
          <b:Person>
            <b:Last>Whiteoak</b:Last>
            <b:First>K.</b:First>
          </b:Person>
          <b:Person>
            <b:Last>de Bruyn</b:Last>
            <b:First>S.</b:First>
          </b:Person>
          <b:Person>
            <b:Last>Vergeer</b:Last>
            <b:First>R.</b:First>
          </b:Person>
          <b:Person>
            <b:Last>Chowdhury</b:Last>
            <b:First>T.</b:First>
          </b:Person>
          <b:Person>
            <b:Last>Van Hummelen</b:Last>
            <b:First>S.</b:First>
          </b:Person>
          <b:Person>
            <b:Last>Chewpreecha</b:Last>
            <b:First>U.</b:First>
          </b:Person>
        </b:NameList>
      </b:Author>
    </b:Author>
    <b:Title>How can taxes and other economic instruments help to make polluters pay?</b:Title>
    <b:Year>2021</b:Year>
    <b:Publisher>IEEP</b:Publisher>
    <b:LCID>en-GB</b:LCID>
    <b:URL>https://ieep.eu/publications/how-can-taxes-and-other-economic-instruments-help-to-make-polluters-pay/</b:URL>
    <b:RefOrder>53</b:RefOrder>
  </b:Source>
  <b:Source>
    <b:Tag>Mal23</b:Tag>
    <b:SourceType>JournalArticle</b:SourceType>
    <b:Guid>{6231BAA2-59F9-4C34-AB5D-631C952A549E}</b:Guid>
    <b:Author>
      <b:Author>
        <b:NameList>
          <b:Person>
            <b:Last>Malek</b:Last>
            <b:First>W.</b:First>
          </b:Person>
          <b:Person>
            <b:Last>Mortazavi</b:Last>
            <b:First>R.</b:First>
          </b:Person>
          <b:Person>
            <b:Last>Cialani</b:Last>
            <b:First>C.</b:First>
          </b:Person>
          <b:Person>
            <b:Last>Nordström</b:Last>
            <b:First>J.</b:First>
          </b:Person>
        </b:NameList>
      </b:Author>
    </b:Author>
    <b:Title>How have waste management policies impacted the flow of municipal waste? An empirical analysis of 14 European countries</b:Title>
    <b:Year>2023</b:Year>
    <b:JournalName>Waste Management</b:JournalName>
    <b:Pages>84-93</b:Pages>
    <b:LCID>en-GB</b:LCID>
    <b:Volume>164</b:Volume>
    <b:URL>https://doi.org/10.1016/j.wasman.2023.03.040</b:URL>
    <b:RefOrder>54</b:RefOrder>
  </b:Source>
  <b:Source>
    <b:Tag>Imr24</b:Tag>
    <b:SourceType>JournalArticle</b:SourceType>
    <b:Guid>{5BA2E45B-3B92-40B2-BEB8-EF1C673DFAA6}</b:Guid>
    <b:Author>
      <b:Author>
        <b:NameList>
          <b:Person>
            <b:Last>Imran</b:Last>
            <b:First>M.</b:First>
          </b:Person>
          <b:Person>
            <b:Last>Zhang</b:Last>
            <b:First>J.</b:First>
          </b:Person>
          <b:Person>
            <b:Last>Sharif</b:Last>
            <b:First>A.</b:First>
          </b:Person>
          <b:Person>
            <b:Last>Magazzino</b:Last>
            <b:First>C.</b:First>
          </b:Person>
        </b:NameList>
      </b:Author>
    </b:Author>
    <b:Title>Evolving waste management: The impact of environmental technology, taxes, and carbon emissions on incineration in EU countries</b:Title>
    <b:JournalName>Journal of Environmental Management</b:JournalName>
    <b:Year>2024</b:Year>
    <b:LCID>en-GB</b:LCID>
    <b:Volume>364</b:Volume>
    <b:URL>https://doi.org/10.1016/j.jenvman.2024.121440</b:URL>
    <b:RefOrder>55</b:RefOrder>
  </b:Source>
  <b:Source>
    <b:Tag>Sal23</b:Tag>
    <b:SourceType>BookSection</b:SourceType>
    <b:Guid>{A13DB02A-1A96-49CE-990E-ED61A6311285}</b:Guid>
    <b:Title>Chapter 11: The new Spanish tax on waste within the framework of the European Union goals on the circular economy</b:Title>
    <b:Year>2023</b:Year>
    <b:Pages>160-170</b:Pages>
    <b:Author>
      <b:Author>
        <b:NameList>
          <b:Person>
            <b:Last>Salassa Boix</b:Last>
            <b:First>R.</b:First>
          </b:Person>
        </b:NameList>
      </b:Author>
      <b:BookAuthor>
        <b:NameList>
          <b:Person>
            <b:Last>Comelli</b:Last>
            <b:First>A.</b:First>
          </b:Person>
          <b:Person>
            <b:Last>Milne</b:Last>
            <b:First>J.E.</b:First>
          </b:Person>
          <b:Person>
            <b:Last>Andersen</b:Last>
            <b:First>M.S.</b:First>
          </b:Person>
          <b:Person>
            <b:Last>Ashiabor</b:Last>
            <b:First>H.</b:First>
          </b:Person>
        </b:NameList>
      </b:BookAuthor>
    </b:Author>
    <b:BookTitle>Taxation and the Green Growth Challenge</b:BookTitle>
    <b:LCID>en-GB</b:LCID>
    <b:URL>https://www.elgaronline.com/edcollchap/book/9781035317844/book-part-9781035317844-24.xml</b:URL>
    <b:RefOrder>56</b:RefOrder>
  </b:Source>
  <b:Source>
    <b:Tag>Luc22</b:Tag>
    <b:SourceType>JournalArticle</b:SourceType>
    <b:Guid>{25634238-CC32-4D61-BDA3-8DA662EB4857}</b:Guid>
    <b:Title>Critical issues hindering a widespread construction and demolition waste (CDW) recycling practice in EU countries and actions to undertake: The stakeholder's perspective</b:Title>
    <b:Year>2022</b:Year>
    <b:Author>
      <b:Author>
        <b:NameList>
          <b:Person>
            <b:Last>Luciano</b:Last>
            <b:First>A.</b:First>
          </b:Person>
          <b:Person>
            <b:Last>Cutaia</b:Last>
            <b:First>L.</b:First>
          </b:Person>
          <b:Person>
            <b:Last>Altamura</b:Last>
            <b:First>P.</b:First>
          </b:Person>
          <b:Person>
            <b:Last>Penalvo</b:Last>
            <b:First>E.</b:First>
          </b:Person>
        </b:NameList>
      </b:Author>
    </b:Author>
    <b:JournalName>Sustainable Chemistry and Pharmacy</b:JournalName>
    <b:LCID>en-GB</b:LCID>
    <b:Volume>29</b:Volume>
    <b:URL>https://doi.org/10.1016/j.scp.2022.100745</b:URL>
    <b:RefOrder>57</b:RefOrder>
  </b:Source>
  <b:Source>
    <b:Tag>Cañ23</b:Tag>
    <b:SourceType>Report</b:SourceType>
    <b:Guid>{09592697-AA69-4DDA-8536-1460E6F25768}</b:Guid>
    <b:Title>The impact of green taxes on waste reduction – A case study of the impact of two Spanish taxes to support the transition to a Circular Economy</b:Title>
    <b:Year>2023</b:Year>
    <b:Author>
      <b:Author>
        <b:NameList>
          <b:Person>
            <b:Last>Cañas Rivera</b:Last>
            <b:First>Lucía</b:First>
          </b:Person>
        </b:NameList>
      </b:Author>
    </b:Author>
    <b:Publisher>Uppsala University, Disciplinary Domain of Science and Technology, Earth Sciences, Department of Earth Sciences</b:Publisher>
    <b:LCID>en-GB</b:LCID>
    <b:URL>https://www.diva-portal.org/smash/record.jsf?pid=diva2%3A1795780&amp;dswid=9303</b:URL>
    <b:RefOrder>58</b:RefOrder>
  </b:Source>
  <b:Source>
    <b:Tag>Bru21</b:Tag>
    <b:SourceType>JournalArticle</b:SourceType>
    <b:Guid>{E55BF2A0-BC02-4E47-BFE6-6454F230F632}</b:Guid>
    <b:Title>Material flow, economic and environmental assessment of municipal solid waste incineration bottom ash recycling potential in Europe</b:Title>
    <b:Year>2021</b:Year>
    <b:Author>
      <b:Author>
        <b:NameList>
          <b:Person>
            <b:Last>Bruno</b:Last>
            <b:First>M.</b:First>
          </b:Person>
          <b:Person>
            <b:Last>Abis</b:Last>
            <b:First>M.</b:First>
          </b:Person>
          <b:Person>
            <b:Last>Kuchta</b:Last>
            <b:First>K.</b:First>
          </b:Person>
          <b:Person>
            <b:Last>Simon</b:Last>
            <b:First>F.</b:First>
          </b:Person>
          <b:Person>
            <b:Last>Grönholm</b:Last>
            <b:First>R.</b:First>
          </b:Person>
          <b:Person>
            <b:Last>Hoppe</b:Last>
            <b:First>M.</b:First>
          </b:Person>
          <b:Person>
            <b:Last>Fiore</b:Last>
            <b:First>S.</b:First>
          </b:Person>
        </b:NameList>
      </b:Author>
    </b:Author>
    <b:JournalName>Journal of Cleaner Production</b:JournalName>
    <b:LCID>en-GB</b:LCID>
    <b:Volume>317</b:Volume>
    <b:URL>https://doi.org/10.1016/j.jclepro.2021.128511</b:URL>
    <b:RefOrder>59</b:RefOrder>
  </b:Source>
  <b:Source>
    <b:Tag>Car24</b:Tag>
    <b:SourceType>JournalArticle</b:SourceType>
    <b:Guid>{2BCDEBC5-BA59-400D-950C-6698254D4FF4}</b:Guid>
    <b:Author>
      <b:Author>
        <b:NameList>
          <b:Person>
            <b:Last>Caro</b:Last>
            <b:First>D.</b:First>
          </b:Person>
          <b:Person>
            <b:Last>Lodato</b:Last>
            <b:First>D.</b:First>
          </b:Person>
          <b:Person>
            <b:Last>Damgaard</b:Last>
            <b:First>A.</b:First>
          </b:Person>
          <b:Person>
            <b:Last>Cristóbal</b:Last>
            <b:First>J.</b:First>
          </b:Person>
          <b:Person>
            <b:Last>Foster</b:Last>
            <b:First>G.</b:First>
          </b:Person>
          <b:Person>
            <b:Last>Flachenecker</b:Last>
            <b:First>F.</b:First>
          </b:Person>
          <b:Person>
            <b:Last>Tonini</b:Last>
            <b:First>D.</b:First>
          </b:Person>
        </b:NameList>
      </b:Author>
    </b:Author>
    <b:Title>Environmental and socio-economic effects of construction and demolition waste recycling in the European Union</b:Title>
    <b:JournalName>Science of The Total Environment</b:JournalName>
    <b:Year>2024</b:Year>
    <b:LCID>en-GB</b:LCID>
    <b:Volume>908</b:Volume>
    <b:URL>https://doi.org/10.1016/j.scitotenv.2023.168295</b:URL>
    <b:RefOrder>60</b:RefOrder>
  </b:Source>
  <b:Source>
    <b:Tag>Del20</b:Tag>
    <b:SourceType>JournalArticle</b:SourceType>
    <b:Guid>{D5B18BA6-1761-465D-95BA-F6C9E29264B1}</b:Guid>
    <b:Author>
      <b:Author>
        <b:NameList>
          <b:Person>
            <b:Last>Delvoie</b:Last>
            <b:First>S.</b:First>
          </b:Person>
          <b:Person>
            <b:Last>Courard</b:Last>
            <b:First>L.</b:First>
          </b:Person>
          <b:Person>
            <b:Last>Hubert</b:Last>
            <b:First>J.</b:First>
          </b:Person>
          <b:Person>
            <b:Last>Zhao</b:Last>
            <b:First>Z.</b:First>
          </b:Person>
          <b:Person>
            <b:Last>Michel</b:Last>
            <b:First>F.</b:First>
          </b:Person>
        </b:NameList>
      </b:Author>
    </b:Author>
    <b:Title>Construction and Demolition Wastes: specific conditions for recycling in North West Europe</b:Title>
    <b:JournalName>Cement</b:JournalName>
    <b:Year>2020</b:Year>
    <b:Pages>3-20</b:Pages>
    <b:LCID>en-GB</b:LCID>
    <b:Volume>1</b:Volume>
    <b:URL>https://orbi.uliege.be/handle/2268/240250</b:URL>
    <b:RefOrder>61</b:RefOrder>
  </b:Source>
  <b:Source>
    <b:Tag>Erg221</b:Tag>
    <b:SourceType>Report</b:SourceType>
    <b:Guid>{74D14971-ECE2-4433-BD20-C552F698E9B5}</b:Guid>
    <b:Author>
      <b:Author>
        <b:NameList>
          <b:Person>
            <b:Last>Ergun</b:Last>
            <b:First>Merve</b:First>
          </b:Person>
        </b:NameList>
      </b:Author>
    </b:Author>
    <b:Title>The Waste Tax in Italy</b:Title>
    <b:Year>2022</b:Year>
    <b:LCID>en-GB</b:LCID>
    <b:URL>https://papers.ssrn.com/sol3/papers.cfm?abstract_id=4182310</b:URL>
    <b:RefOrder>62</b:RefOrder>
  </b:Source>
  <b:Source>
    <b:Tag>Mat22</b:Tag>
    <b:SourceType>JournalArticle</b:SourceType>
    <b:Guid>{AD53DE32-05B9-4209-8EF1-82BC2A6E00D4}</b:Guid>
    <b:Title>Disposal is not free: fiscal instruments to internalize the environmental costs of solid waste</b:Title>
    <b:Year>2022</b:Year>
    <b:Author>
      <b:Author>
        <b:NameList>
          <b:Person>
            <b:Last>Matheson</b:Last>
            <b:First>T.</b:First>
          </b:Person>
        </b:NameList>
      </b:Author>
    </b:Author>
    <b:JournalName>International Tax and Public Finance</b:JournalName>
    <b:Pages>1047–1073</b:Pages>
    <b:LCID>en-GB</b:LCID>
    <b:URL>https://doi.org/10.1007/s10797-022-09741-1</b:URL>
    <b:RefOrder>63</b:RefOrder>
  </b:Source>
  <b:Source>
    <b:Tag>DiM24</b:Tag>
    <b:SourceType>JournalArticle</b:SourceType>
    <b:Guid>{A59742A6-7BE6-4D33-8FD7-E4F048BD4626}</b:Guid>
    <b:Author>
      <b:Author>
        <b:NameList>
          <b:Person>
            <b:Last>Di Matteo</b:Last>
            <b:First>D.</b:First>
          </b:Person>
          <b:Person>
            <b:Last>Guadagno</b:Last>
            <b:First>E.</b:First>
          </b:Person>
        </b:NameList>
      </b:Author>
    </b:Author>
    <b:Title>Tax incentives and environmental performance: The pay-as-you-throw policy in Emilia-Romagna, Italy</b:Title>
    <b:JournalName>Journal of Cleaner Production</b:JournalName>
    <b:Year>2024</b:Year>
    <b:LCID>en-GB</b:LCID>
    <b:Volume>475</b:Volume>
    <b:URL>https://doi.org/10.1016/j.jclepro.2024.143659</b:URL>
    <b:RefOrder>64</b:RefOrder>
  </b:Source>
  <b:Source>
    <b:Tag>Rib20</b:Tag>
    <b:SourceType>JournalArticle</b:SourceType>
    <b:Guid>{7F6382F3-61AB-4A7E-A195-75B483998DCE}</b:Guid>
    <b:LCID>en-GB</b:LCID>
    <b:Author>
      <b:Author>
        <b:NameList>
          <b:Person>
            <b:Last>Ribas Alzamora</b:Last>
            <b:First>B.</b:First>
          </b:Person>
          <b:Person>
            <b:Last>Tobias de V. Barros</b:Last>
            <b:First>R.</b:First>
          </b:Person>
        </b:NameList>
      </b:Author>
    </b:Author>
    <b:Title>Review of municipal waste management charging methods in different countries</b:Title>
    <b:JournalName>Waste Management</b:JournalName>
    <b:Year>2020</b:Year>
    <b:Pages>47-55</b:Pages>
    <b:Volume>115</b:Volume>
    <b:URL>https://doi.org/10.1016/j.wasman.2020.07.020.</b:URL>
    <b:RefOrder>65</b:RefOrder>
  </b:Source>
  <b:Source>
    <b:Tag>Rom23</b:Tag>
    <b:SourceType>JournalArticle</b:SourceType>
    <b:Guid>{AFDA41B8-87AF-467F-9898-EC783E9BBB0F}</b:Guid>
    <b:LCID>en-GB</b:LCID>
    <b:Author>
      <b:Author>
        <b:NameList>
          <b:Person>
            <b:Last>Romano</b:Last>
            <b:First>G.</b:First>
          </b:Person>
          <b:Person>
            <b:Last>Masserini</b:Last>
            <b:First>L.</b:First>
          </b:Person>
        </b:NameList>
      </b:Author>
    </b:Author>
    <b:Title>Does a zero-waste strategy in sustainable urban waste management affect hierarchy targets and costs?</b:Title>
    <b:JournalName>Utilities Policy</b:JournalName>
    <b:Year>2023</b:Year>
    <b:Volume>85</b:Volume>
    <b:URL>https://doi.org/10.1016/j.jup.2023.101659</b:URL>
    <b:RefOrder>66</b:RefOrder>
  </b:Source>
  <b:Source>
    <b:Tag>Val21</b:Tag>
    <b:SourceType>JournalArticle</b:SourceType>
    <b:Guid>{C2D90DD0-6C24-464D-A813-0D80E15A5CFA}</b:Guid>
    <b:Author>
      <b:Author>
        <b:NameList>
          <b:Person>
            <b:Last>Vallés-Giménez</b:Last>
            <b:First>J.</b:First>
          </b:Person>
          <b:Person>
            <b:Last>Zárate-Marco</b:Last>
            <b:First>A.</b:First>
          </b:Person>
        </b:NameList>
      </b:Author>
    </b:Author>
    <b:Title>Industrial waste, green taxes and environmental policies in a regional perspective</b:Title>
    <b:JournalName>Regional Studies</b:JournalName>
    <b:Year>2021</b:Year>
    <b:Pages>1510–1523</b:Pages>
    <b:LCID>en-GB</b:LCID>
    <b:Volume>56</b:Volume>
    <b:Issue>9</b:Issue>
    <b:URL>https://doi.org/10.1080/00343404.2021.1990251</b:URL>
    <b:RefOrder>67</b:RefOrder>
  </b:Source>
  <b:Source>
    <b:Tag>Dog23</b:Tag>
    <b:SourceType>JournalArticle</b:SourceType>
    <b:Guid>{B0D8F617-D035-4F4A-B529-336FFF62A49E}</b:Guid>
    <b:LCID>en-GB</b:LCID>
    <b:Author>
      <b:Author>
        <b:NameList>
          <b:Person>
            <b:Last>Dogan</b:Last>
            <b:First>E.</b:First>
          </b:Person>
          <b:Person>
            <b:Last>Hodžić</b:Last>
            <b:First>S.</b:First>
          </b:Person>
          <b:Person>
            <b:Last>Šikić</b:Last>
            <b:First>T.F.</b:First>
          </b:Person>
        </b:NameList>
      </b:Author>
    </b:Author>
    <b:Title>Do energy and environmental taxes stimulate or inhibit renewable energy deployment in the European Union?</b:Title>
    <b:JournalName>Renewable Energy</b:JournalName>
    <b:Year>2023</b:Year>
    <b:Pages>1138-1145</b:Pages>
    <b:Volume>202</b:Volume>
    <b:URL>https://doi.org/10.1016/j.renene.2022.11.107</b:URL>
    <b:RefOrder>68</b:RefOrder>
  </b:Source>
  <b:Source>
    <b:Tag>Gra20</b:Tag>
    <b:SourceType>Report</b:SourceType>
    <b:Guid>{0220B379-7FE7-42CE-BE47-1DC1BB11108A}</b:Guid>
    <b:Author>
      <b:Author>
        <b:NameList>
          <b:Person>
            <b:Last>Gravers Skygebjerg</b:Last>
            <b:First>J.</b:First>
          </b:Person>
          <b:Person>
            <b:Last>Nybro Hansen</b:Last>
            <b:First>T.</b:First>
          </b:Person>
          <b:Person>
            <b:Last>Madsen</b:Last>
            <b:First>P.</b:First>
          </b:Person>
          <b:Person>
            <b:Last>Von Bahr</b:Last>
            <b:First>E.</b:First>
          </b:Person>
        </b:NameList>
      </b:Author>
    </b:Author>
    <b:Title>Distributional Impacts of environmental and energy taxes</b:Title>
    <b:Year>2020</b:Year>
    <b:Publisher>Nordic Council of Ministers</b:Publisher>
    <b:LCID>en-GB</b:LCID>
    <b:URL>https://norden.diva-portal.org/smash/record.jsf?pid=diva2%3A1484517&amp;dswid=-4637</b:URL>
    <b:RefOrder>69</b:RefOrder>
  </b:Source>
  <b:Source>
    <b:Tag>Țib21</b:Tag>
    <b:SourceType>JournalArticle</b:SourceType>
    <b:Guid>{52BDFA64-0739-42E9-B4D7-A8827F64204E}</b:Guid>
    <b:Author>
      <b:Author>
        <b:NameList>
          <b:Person>
            <b:Last>Țibulcă</b:Last>
            <b:First>Ioana-Laura</b:First>
          </b:Person>
        </b:NameList>
      </b:Author>
    </b:Author>
    <b:Title>Debt Sustainability: Can EU Member States Use Environmental Taxes to Regain Fiscal Space?</b:Title>
    <b:Year>2021</b:Year>
    <b:JournalName>Sustainability</b:JournalName>
    <b:LCID>en-GB</b:LCID>
    <b:Volume>13</b:Volume>
    <b:Issue>11</b:Issue>
    <b:URL>https://doi.org/10.3390/su13115952</b:URL>
    <b:RefOrder>70</b:RefOrder>
  </b:Source>
  <b:Source>
    <b:Tag>Sko18</b:Tag>
    <b:SourceType>Report</b:SourceType>
    <b:Guid>{144B1DBE-C66A-4282-B2E0-DAD107B4D7E5}</b:Guid>
    <b:Author>
      <b:Author>
        <b:NameList>
          <b:Person>
            <b:Last>Andersen</b:Last>
            <b:First>M.S.</b:First>
          </b:Person>
        </b:NameList>
      </b:Author>
    </b:Author>
    <b:Title>Fertilizer tax in Sweden</b:Title>
    <b:Year>2018</b:Year>
    <b:Publisher>IEEP</b:Publisher>
    <b:LCID>en-GB</b:LCID>
    <b:URL>https://ieep.eu/wp-content/uploads/2022/12/SE-Fertilizer-tax-final_REV.pdf</b:URL>
    <b:RefOrder>71</b:RefOrder>
  </b:Source>
  <b:Source>
    <b:Tag>Sai22</b:Tag>
    <b:SourceType>Report</b:SourceType>
    <b:Guid>{18BF5B0F-D3BF-4089-8F20-781F2D90648F}</b:Guid>
    <b:Author>
      <b:Author>
        <b:NameList>
          <b:Person>
            <b:Last>Sainteny</b:Last>
            <b:First>G.</b:First>
          </b:Person>
          <b:Person>
            <b:Last>Dupuis</b:Last>
            <b:First>L.</b:First>
          </b:Person>
        </b:NameList>
      </b:Author>
    </b:Author>
    <b:Title>Taxation of Agricultural Land in Europe: A Comparative Approach</b:Title>
    <b:Year>2022</b:Year>
    <b:Publisher>Fondation pour la recherche sur la biodiversité</b:Publisher>
    <b:LCID>en-GB</b:LCID>
    <b:URL>https://www.fondationbiodiversite.fr/en/la-taxation-des-terres-agricoles-en-europe-approche-comparative/</b:URL>
    <b:RefOrder>72</b:RefOrder>
  </b:Source>
  <b:Source>
    <b:Tag>Aba24</b:Tag>
    <b:SourceType>JournalArticle</b:SourceType>
    <b:Guid>{C0D13881-0924-4413-BF85-6A07C7EE4D2D}</b:Guid>
    <b:Title>Environmental taxation of plastic bags and substitutes: Balancing marine pollution and climate change</b:Title>
    <b:Year>2024</b:Year>
    <b:Author>
      <b:Author>
        <b:NameList>
          <b:Person>
            <b:Last>Abate</b:Last>
            <b:First>T.G.</b:First>
          </b:Person>
          <b:Person>
            <b:Last>Elofsson</b:Last>
            <b:First>K.</b:First>
          </b:Person>
        </b:NameList>
      </b:Author>
    </b:Author>
    <b:JournalName>Journal of Environmental Management</b:JournalName>
    <b:LCID>en-GB</b:LCID>
    <b:Volume>359</b:Volume>
    <b:URL>https://doi.org/10.1016/j.jenvman.2024.120868</b:URL>
    <b:RefOrder>73</b:RefOrder>
  </b:Source>
  <b:Source>
    <b:Tag>DeW22</b:Tag>
    <b:SourceType>JournalArticle</b:SourceType>
    <b:Guid>{90D27F04-08C0-4854-AD50-32A392AEC7C1}</b:Guid>
    <b:Author>
      <b:Author>
        <b:NameList>
          <b:Person>
            <b:Last>De Weerdt</b:Last>
            <b:First>L.</b:First>
          </b:Person>
          <b:Person>
            <b:Last>Sasao</b:Last>
            <b:First>T.</b:First>
          </b:Person>
          <b:Person>
            <b:Last>Compernolle</b:Last>
            <b:First>T.</b:First>
          </b:Person>
          <b:Person>
            <b:Last>Van Passel</b:Last>
            <b:First>S.</b:First>
          </b:Person>
          <b:Person>
            <b:Last>De Jaeger</b:Last>
            <b:First>S.</b:First>
          </b:Person>
        </b:NameList>
      </b:Author>
    </b:Author>
    <b:Title>The effect of waste incineration taxation on industrial plastic waste generation: A panel analysis</b:Title>
    <b:JournalName>Resources, Conservation and Recycling</b:JournalName>
    <b:Year>2022</b:Year>
    <b:LCID>en-GB</b:LCID>
    <b:Volume>157</b:Volume>
    <b:URL>https://doi.org/10.1016/j.resconrec.2020.104717</b:URL>
    <b:RefOrder>74</b:RefOrder>
  </b:Source>
  <b:Source>
    <b:Tag>Din24</b:Tag>
    <b:SourceType>JournalArticle</b:SourceType>
    <b:Guid>{39CBF243-5A30-419F-9B05-6BD542678CD1}</b:Guid>
    <b:LCID>en-GB</b:LCID>
    <b:Author>
      <b:Author>
        <b:NameList>
          <b:Person>
            <b:Last>Dinis</b:Last>
            <b:First>Ana</b:First>
          </b:Person>
          <b:Person>
            <b:Last>Carvalho</b:Last>
            <b:First>André</b:First>
          </b:Person>
          <b:Person>
            <b:Last>Pereira</b:Last>
            <b:First>Liliana</b:First>
          </b:Person>
        </b:NameList>
      </b:Author>
    </b:Author>
    <b:Title>Forest Protection Tax Policy in the Context of Portuguese Societies</b:Title>
    <b:JournalName>Revista Portuguesa de Estudos Regionais</b:JournalName>
    <b:Year>2024</b:Year>
    <b:Pages>161-181</b:Pages>
    <b:URL>https://www.researchgate.net/publication/380624008_Forest_Protection_Tax_Policy_in_the_Context_of_Portuguese_Societies</b:URL>
    <b:RefOrder>75</b:RefOrder>
  </b:Source>
  <b:Source>
    <b:Tag>Mei21</b:Tag>
    <b:SourceType>JournalArticle</b:SourceType>
    <b:Guid>{C57C33C1-37D4-400C-8CAE-F9CAA6EA6B1D}</b:Guid>
    <b:Author>
      <b:Author>
        <b:NameList>
          <b:Person>
            <b:Last>Meireles</b:Last>
            <b:First>M.</b:First>
          </b:Person>
          <b:Person>
            <b:Last>Robaina</b:Last>
            <b:First>M.</b:First>
          </b:Person>
          <b:Person>
            <b:Last>Magueta</b:Last>
            <b:First>D.</b:First>
          </b:Person>
        </b:NameList>
      </b:Author>
    </b:Author>
    <b:Title>The Effectiveness of Environmental Taxes in Reducing CO2 Emissions in Passenger Vehicles: The Case of Mediterranean Countries</b:Title>
    <b:JournalName>International Journal of Environmental Research and Public Health</b:JournalName>
    <b:Year>2021</b:Year>
    <b:LCID>en-GB</b:LCID>
    <b:Volume>18</b:Volume>
    <b:URL>https://doi.org/10.3390/ijerph18105442</b:URL>
    <b:RefOrder>76</b:RefOrder>
  </b:Source>
  <b:Source>
    <b:Tag>Dep23</b:Tag>
    <b:SourceType>JournalArticle</b:SourceType>
    <b:Guid>{BE2E4DAB-054D-4CDD-9729-BCCB775B3EFB}</b:Guid>
    <b:LCID>en-GB</b:LCID>
    <b:Author>
      <b:Author>
        <b:NameList>
          <b:Person>
            <b:Last>Depren</b:Last>
            <b:First>Ö.</b:First>
          </b:Person>
          <b:Person>
            <b:Last>Kartal</b:Last>
            <b:First>M.T.</b:First>
          </b:Person>
          <b:Person>
            <b:Last>Ayhan</b:Last>
            <b:First>F.</b:First>
          </b:Person>
          <b:Person>
            <b:Last>Depren</b:Last>
            <b:First>S.K.</b:First>
          </b:Person>
        </b:NameList>
      </b:Author>
    </b:Author>
    <b:Title>Heterogeneous impact of environmental taxes on environmental quality: Tax domain based evidence from the nordic countries by nonparametric quantile approaches</b:Title>
    <b:JournalName>Journal of Environmental Management</b:JournalName>
    <b:Year>2023</b:Year>
    <b:Volume>329</b:Volume>
    <b:URL>https://doi.org/10.1016/j.jenvman.2022.117031</b:URL>
    <b:RefOrder>77</b:RefOrder>
  </b:Source>
  <b:Source>
    <b:Tag>Bri21</b:Tag>
    <b:SourceType>JournalArticle</b:SourceType>
    <b:Guid>{971BF789-C2F1-4E4F-8ED2-3D340B37C6B3}</b:Guid>
    <b:Author>
      <b:Author>
        <b:NameList>
          <b:Person>
            <b:Last>Brizga</b:Last>
            <b:First>J.</b:First>
          </b:Person>
          <b:Person>
            <b:Last>Jurušs</b:Last>
            <b:First>M.</b:First>
          </b:Person>
          <b:Person>
            <b:Last>Šmite-Roķe</b:Last>
            <b:First>B.</b:First>
          </b:Person>
        </b:NameList>
      </b:Author>
    </b:Author>
    <b:Title>Impact of the environmental taxes on reduction of emission from transport in Latvia</b:Title>
    <b:JournalName>Post-Communist Economies</b:JournalName>
    <b:Year>2021</b:Year>
    <b:Pages>666-683</b:Pages>
    <b:LCID>en-GB</b:LCID>
    <b:Volume>34</b:Volume>
    <b:Issue>5</b:Issue>
    <b:URL>https://doi.org/10.1080/14631377.2021.1965358</b:URL>
    <b:RefOrder>78</b:RefOrder>
  </b:Source>
  <b:Source>
    <b:Tag>Ryb22</b:Tag>
    <b:SourceType>JournalArticle</b:SourceType>
    <b:Guid>{1328F2BE-5082-486A-B01C-BBEB36479E4D}</b:Guid>
    <b:Author>
      <b:Author>
        <b:NameList>
          <b:Person>
            <b:Last>Rybak</b:Last>
            <b:First>A.</b:First>
          </b:Person>
          <b:Person>
            <b:Last>Joostberens</b:Last>
            <b:First>J.</b:First>
          </b:Person>
          <b:Person>
            <b:Last>Manowska</b:Last>
            <b:First>A.</b:First>
          </b:Person>
          <b:Person>
            <b:Last>Pielot</b:Last>
            <b:First>J.</b:First>
          </b:Person>
        </b:NameList>
      </b:Author>
    </b:Author>
    <b:Title>The Impact of Environmental Taxes on the Level of Greenhouse Gas Emissions in Poland and Sweden</b:Title>
    <b:JournalName>Energies</b:JournalName>
    <b:Year>2022</b:Year>
    <b:LCID>en-GB</b:LCID>
    <b:Volume>15</b:Volume>
    <b:Issue>12</b:Issue>
    <b:URL>https://doi.org/10.3390/en15124465</b:URL>
    <b:RefOrder>79</b:RefOrder>
  </b:Source>
  <b:Source>
    <b:Tag>Ahm23</b:Tag>
    <b:SourceType>JournalArticle</b:SourceType>
    <b:Guid>{ADC10F99-E77A-4DE3-B780-8AD79845878C}</b:Guid>
    <b:Author>
      <b:Author>
        <b:NameList>
          <b:Person>
            <b:Last>Ahmad</b:Last>
            <b:First>M.</b:First>
          </b:Person>
          <b:Person>
            <b:Last>Satrovic</b:Last>
            <b:First>E.</b:First>
          </b:Person>
        </b:NameList>
      </b:Author>
    </b:Author>
    <b:Title>How do transportation-based environmental taxation and globalization contribute to ecological sustainability?</b:Title>
    <b:JournalName>Ecological Informatics</b:JournalName>
    <b:Year>2023</b:Year>
    <b:LCID>en-GB</b:LCID>
    <b:Volume>74</b:Volume>
    <b:URL>https://doi.org/10.1016/j.ecoinf.2023.102009</b:URL>
    <b:RefOrder>80</b:RefOrder>
  </b:Source>
  <b:Source>
    <b:Tag>Ayd22</b:Tag>
    <b:SourceType>JournalArticle</b:SourceType>
    <b:Guid>{E7AA5221-FBB2-4455-B1C7-EEA00FB8046D}</b:Guid>
    <b:Author>
      <b:Author>
        <b:NameList>
          <b:Person>
            <b:Last>Aydin</b:Last>
            <b:First>M.</b:First>
          </b:Person>
          <b:Person>
            <b:Last>Bozatli</b:Last>
            <b:First>O.</b:First>
          </b:Person>
        </b:NameList>
      </b:Author>
    </b:Author>
    <b:Title>Do transport taxes reduce air pollution in the top 10 countries with the highest transport tax revenues? A country-specific panel data analysis</b:Title>
    <b:JournalName>Environmental Science and Pollution Research</b:JournalName>
    <b:Year>2022</b:Year>
    <b:Pages>54181–54192</b:Pages>
    <b:LCID>en-GB</b:LCID>
    <b:Volume>29</b:Volume>
    <b:URL>https://doi.org/10.1007/s11356-022-19651-8</b:URL>
    <b:RefOrder>81</b:RefOrder>
  </b:Source>
  <b:Source>
    <b:Tag>Kar24</b:Tag>
    <b:SourceType>JournalArticle</b:SourceType>
    <b:Guid>{C38C30B6-BFFA-4D12-8CFF-980D7DFDEDEB}</b:Guid>
    <b:Title>Quantile-based effect of energy, transport, and total environmental tax on ecological footprint in EU5 countries</b:Title>
    <b:JournalName>Environmental Science and Pollution Research</b:JournalName>
    <b:Year>2024</b:Year>
    <b:Pages>20033–20047</b:Pages>
    <b:LCID>en-GB</b:LCID>
    <b:Author>
      <b:Author>
        <b:NameList>
          <b:Person>
            <b:Last>Kartal</b:Last>
            <b:First>M.T.</b:First>
          </b:Person>
        </b:NameList>
      </b:Author>
    </b:Author>
    <b:Volume>31</b:Volume>
    <b:URL>https://doi.org/10.1007/s11356-024-32214-3</b:URL>
    <b:RefOrder>82</b:RefOrder>
  </b:Source>
  <b:Source>
    <b:Tag>Ber24</b:Tag>
    <b:SourceType>JournalArticle</b:SourceType>
    <b:Guid>{1A32730F-543E-4A7A-99AB-0DF39C65B4BA}</b:Guid>
    <b:Author>
      <b:Author>
        <b:NameList>
          <b:Person>
            <b:Last>Bernardo</b:Last>
            <b:First>V.</b:First>
          </b:Person>
          <b:Person>
            <b:Last>Fageda</b:Last>
            <b:First>X.</b:First>
          </b:Person>
          <b:Person>
            <b:Last>Teixidó</b:Last>
            <b:First>J.</b:First>
          </b:Person>
        </b:NameList>
      </b:Author>
    </b:Author>
    <b:Title>Flight ticket taxes in Europe: Environmental and economic impact</b:Title>
    <b:JournalName>Transportation Research Part A: Policy and Practice</b:JournalName>
    <b:Year>2024</b:Year>
    <b:LCID>en-GB</b:LCID>
    <b:Volume>179</b:Volume>
    <b:URL>https://doi.org/10.1016/j.tra.2023.103892</b:URL>
    <b:RefOrder>83</b:RefOrder>
  </b:Source>
  <b:Source>
    <b:Tag>Bam24</b:Tag>
    <b:SourceType>JournalArticle</b:SourceType>
    <b:Guid>{94E72FF4-074F-413D-98D7-2F2A3581172A}</b:Guid>
    <b:Author>
      <b:Author>
        <b:NameList>
          <b:Person>
            <b:Last>Bampatsou</b:Last>
            <b:First>C.</b:First>
          </b:Person>
          <b:Person>
            <b:Last>Halkos</b:Last>
            <b:First>G.</b:First>
          </b:Person>
          <b:Person>
            <b:Last>Gkampoura</b:Last>
            <b:First>E.-C.</b:First>
          </b:Person>
        </b:NameList>
      </b:Author>
    </b:Author>
    <b:Title>Environmentally adjusted technical efficiency and the impact of energy and transport taxes on the eco‑efficiency index of Greek industry</b:Title>
    <b:JournalName>Journal of Industrial and Business Economics</b:JournalName>
    <b:Year>2024</b:Year>
    <b:Pages>73–97</b:Pages>
    <b:LCID>en-GB</b:LCID>
    <b:Volume>51</b:Volume>
    <b:URL>https://link.springer.com/content/pdf/10.1007/s40812-023-00292-y</b:URL>
    <b:RefOrder>84</b:RefOrder>
  </b:Source>
  <b:Source>
    <b:Tag>DeP21</b:Tag>
    <b:SourceType>JournalArticle</b:SourceType>
    <b:Guid>{C54A8B97-E10C-4CD8-B859-1C69915DD417}</b:Guid>
    <b:Author>
      <b:Author>
        <b:NameList>
          <b:Person>
            <b:Last>De Pascale</b:Last>
            <b:First>G.</b:First>
          </b:Person>
          <b:Person>
            <b:Last>Fiore</b:Last>
            <b:First>M.</b:First>
          </b:Person>
          <b:Person>
            <b:Last>Contò</b:Last>
            <b:First>F.</b:First>
          </b:Person>
        </b:NameList>
      </b:Author>
    </b:Author>
    <b:Title>Short and long run environmental tax buoyancy in EU-28: a panel study</b:Title>
    <b:JournalName>International Economics</b:JournalName>
    <b:Year>2021</b:Year>
    <b:Pages>1-9</b:Pages>
    <b:LCID>en-GB</b:LCID>
    <b:Volume>168</b:Volume>
    <b:URL>https://doi.org/10.1016/j.inteco.2021.07.005</b:URL>
    <b:RefOrder>85</b:RefOrder>
  </b:Source>
  <b:Source>
    <b:Tag>AIR23</b:Tag>
    <b:SourceType>Report</b:SourceType>
    <b:Guid>{127B0B53-3C00-4603-BF0E-3DCF4B5DB620}</b:Guid>
    <b:Author>
      <b:Author>
        <b:Corporate>AIReF</b:Corporate>
      </b:Author>
    </b:Author>
    <b:Title>Gestión de los Residuos Municipales</b:Title>
    <b:Year>2023</b:Year>
    <b:LCID>en-GB</b:LCID>
    <b:URL>https://www.airef.es/wp-content/uploads/2023/10/EVALUACI%C3%93N/Gestio%CC%81n-de-los-Residuos-Municipales_WEB.pdf</b:URL>
    <b:RefOrder>86</b:RefOrder>
  </b:Source>
  <b:Source>
    <b:Tag>Oos17</b:Tag>
    <b:SourceType>Report</b:SourceType>
    <b:Guid>{61B68B4E-FD64-4176-95BB-E793FCE04AEB}</b:Guid>
    <b:Title>Water abstraction charges (Redevances pour prélèvement sur la ressource en eau) in France</b:Title>
    <b:Year>2017</b:Year>
    <b:Author>
      <b:Author>
        <b:NameList>
          <b:Person>
            <b:Last>Oosterhuis</b:Last>
            <b:First>F.</b:First>
          </b:Person>
        </b:NameList>
      </b:Author>
    </b:Author>
    <b:Publisher>IEEP</b:Publisher>
    <b:LCID>en-GB</b:LCID>
    <b:URL>https://ieep.eu/wp-content/uploads/2022/12/FR-Water-Abstraction-Charges-final.pdf</b:URL>
    <b:RefOrder>87</b:RefOrder>
  </b:Source>
  <b:Source>
    <b:Tag>Bak07</b:Tag>
    <b:SourceType>JournalArticle</b:SourceType>
    <b:Guid>{829FB4D0-BB9E-4FC9-B236-405BC4BB3CBE}</b:Guid>
    <b:Author>
      <b:Author>
        <b:NameList>
          <b:Person>
            <b:Last>Baker</b:Last>
            <b:First>T.</b:First>
          </b:Person>
          <b:Person>
            <b:Last>Junankar</b:Last>
            <b:First>S.</b:First>
          </b:Person>
          <b:Person>
            <b:Last>Pollitt</b:Last>
            <b:First>H.</b:First>
          </b:Person>
          <b:Person>
            <b:Last>Summerton</b:Last>
            <b:First>P.</b:First>
          </b:Person>
        </b:NameList>
      </b:Author>
    </b:Author>
    <b:Title>Carbon leakage from unilateral Environmental Tax Reforms in Europe, 1995–2005</b:Title>
    <b:JournalName>Energy Policy</b:JournalName>
    <b:Year>2007</b:Year>
    <b:Pages>6281-6292</b:Pages>
    <b:LCID>en-GB</b:LCID>
    <b:Volume>35</b:Volume>
    <b:Issue>12</b:Issue>
    <b:URL>https://doi.org/10.1016/j.enpol.2007.06.021</b:URL>
    <b:RefOrder>88</b:RefOrder>
  </b:Source>
  <b:Source>
    <b:Tag>Băl24</b:Tag>
    <b:SourceType>JournalArticle</b:SourceType>
    <b:Guid>{FFD8F401-9829-4430-83BF-28D244CF9E2C}</b:Guid>
    <b:Title>Green Taxes and their Impact on Romanian’s Economy compared to Investments for Air and Climate Protection</b:Title>
    <b:JournalName>Athens Journal of Sciences</b:JournalName>
    <b:Year>2024</b:Year>
    <b:Pages>1-15</b:Pages>
    <b:LCID>en-GB</b:LCID>
    <b:Author>
      <b:Author>
        <b:NameList>
          <b:Person>
            <b:Last>Bălănică Dragomir</b:Last>
            <b:First>C.M.</b:First>
          </b:Person>
          <b:Person>
            <b:Last>Marin</b:Last>
            <b:First>C.</b:First>
          </b:Person>
          <b:Person>
            <b:Last>Garlea</b:Last>
            <b:First>C.</b:First>
          </b:Person>
        </b:NameList>
      </b:Author>
    </b:Author>
    <b:Volume>11</b:Volume>
    <b:URL>https://doi.org/10.30958/ajs.X-Y-Z</b:URL>
    <b:RefOrder>89</b:RefOrder>
  </b:Source>
  <b:Source>
    <b:Tag>Bar201</b:Tag>
    <b:SourceType>JournalArticle</b:SourceType>
    <b:Guid>{BD8E2A9C-3FA7-41A8-98B9-52C431DACA49}</b:Guid>
    <b:Title>Simulating the Market and Environmental Impacts of French Pesticide Policies: A Macroeconomic Assessment</b:Title>
    <b:Year>2020</b:Year>
    <b:Author>
      <b:Author>
        <b:NameList>
          <b:Person>
            <b:Last>Bareille</b:Last>
            <b:First>F.</b:First>
          </b:Person>
          <b:Person>
            <b:Last>Gohin</b:Last>
            <b:First>A.</b:First>
          </b:Person>
        </b:NameList>
      </b:Author>
    </b:Author>
    <b:JournalName>Annals of Economics and Statistics</b:JournalName>
    <b:Pages>1-28</b:Pages>
    <b:LCID>en-GB</b:LCID>
    <b:URL>https://doi.org/10.15609/annaeconstat2009.139.0001</b:URL>
    <b:RefOrder>90</b:RefOrder>
  </b:Source>
  <b:Source>
    <b:Tag>Bar05</b:Tag>
    <b:SourceType>Report</b:SourceType>
    <b:Guid>{9544B47B-AF45-46C1-8142-E01510ADED75}</b:Guid>
    <b:Title>Effectiveness of landfill taxation</b:Title>
    <b:Year>2005</b:Year>
    <b:Publisher>IVM Report; No. R-05/05, Department of Economics and Technology, Vrije Universiteit Amsterdam</b:Publisher>
    <b:Author>
      <b:Author>
        <b:NameList>
          <b:Person>
            <b:Last>Bartelings</b:Last>
            <b:First>H.</b:First>
          </b:Person>
          <b:Person>
            <b:Last>van Beukering</b:Last>
            <b:First>P.</b:First>
            <b:Middle>J. H.</b:Middle>
          </b:Person>
          <b:Person>
            <b:Last>Kuik</b:Last>
            <b:First>O.</b:First>
            <b:Middle>J.</b:Middle>
          </b:Person>
          <b:Person>
            <b:Last>Linderhof</b:Last>
            <b:First>V.</b:First>
            <b:Middle>G. M.</b:Middle>
          </b:Person>
          <b:Person>
            <b:Last>Oosterhuis</b:Last>
            <b:First>F.</b:First>
            <b:Middle>H.</b:Middle>
          </b:Person>
          <b:Person>
            <b:Last>Brander</b:Last>
            <b:First>L.</b:First>
            <b:Middle>M.</b:Middle>
          </b:Person>
          <b:Person>
            <b:Last>Wagtendonk</b:Last>
            <b:First>A.</b:First>
            <b:Middle>J.</b:Middle>
          </b:Person>
        </b:NameList>
      </b:Author>
    </b:Author>
    <b:LCID>en-GB</b:LCID>
    <b:URL>https://research.vu.nl/files/2046179/R05-05.pdf</b:URL>
    <b:RefOrder>91</b:RefOrder>
  </b:Source>
  <b:Source>
    <b:Tag>Bar06</b:Tag>
    <b:SourceType>Report</b:SourceType>
    <b:Guid>{4499ED9A-280E-4985-922A-92F14C6DD8FD}</b:Guid>
    <b:Author>
      <b:Author>
        <b:NameList>
          <b:Person>
            <b:Last>Bartelings</b:Last>
            <b:First>H.</b:First>
          </b:Person>
          <b:Person>
            <b:Last>Linderhof</b:Last>
            <b:First>V.</b:First>
          </b:Person>
        </b:NameList>
      </b:Author>
    </b:Author>
    <b:Title>Effective landfill taxation: A case study for the Netherlands</b:Title>
    <b:Year>2006</b:Year>
    <b:Publisher>ECOMOD 2006 conference</b:Publisher>
    <b:LCID>en-GB</b:LCID>
    <b:URL>https://p2infohouse.org/ref/48/47904.pdf</b:URL>
    <b:RefOrder>92</b:RefOrder>
  </b:Source>
  <b:Source>
    <b:Tag>Bas12</b:Tag>
    <b:SourceType>BookSection</b:SourceType>
    <b:Guid>{96B82314-C43E-446E-ACFD-C04296FE1776}</b:Guid>
    <b:Title>Chapter 15: Looking for evidence of landfill tax effectiveness in the European Union</b:Title>
    <b:Year>2012</b:Year>
    <b:LCID>en-GB</b:LCID>
    <b:Author>
      <b:Author>
        <b:NameList>
          <b:Person>
            <b:Last>Bassi</b:Last>
            <b:First>S.</b:First>
          </b:Person>
          <b:Person>
            <b:Last>Watkins</b:Last>
            <b:First>E.</b:First>
          </b:Person>
        </b:NameList>
      </b:Author>
      <b:BookAuthor>
        <b:NameList>
          <b:Person>
            <b:Last>Kreiser</b:Last>
            <b:First>L.</b:First>
          </b:Person>
          <b:Person>
            <b:Last>Yábar Sterling</b:Last>
            <b:First>A.</b:First>
          </b:Person>
          <b:Person>
            <b:Last>Herrera</b:Last>
            <b:First>P.</b:First>
          </b:Person>
          <b:Person>
            <b:Last>Milne</b:Last>
            <b:First>J.E.</b:First>
          </b:Person>
          <b:Person>
            <b:Last>Ashiabor</b:Last>
            <b:First>H.</b:First>
          </b:Person>
        </b:NameList>
      </b:BookAuthor>
    </b:Author>
    <b:BookTitle>Green Taxation and Environmental Sustainability</b:BookTitle>
    <b:URL>https://www.elgaronline.com/display/edcoll/9781781009024/9781781009024.00030.xml</b:URL>
    <b:RefOrder>93</b:RefOrder>
  </b:Source>
  <b:Source>
    <b:Tag>Bel24</b:Tag>
    <b:SourceType>Report</b:SourceType>
    <b:Guid>{7456D285-1091-4BDC-BF49-D2AA74601F94}</b:Guid>
    <b:Author>
      <b:Author>
        <b:NameList>
          <b:Person>
            <b:Last>Beltran</b:Last>
            <b:First>L.D.</b:First>
          </b:Person>
          <b:Person>
            <b:Last>Cardenete</b:Last>
            <b:First>M.A.</b:First>
          </b:Person>
          <b:Person>
            <b:Last>Sancho</b:Last>
            <b:First>F.</b:First>
          </b:Person>
        </b:NameList>
      </b:Author>
    </b:Author>
    <b:Title>Designing an environmental tax on carbon emissions to meet EU targets: a proposal for the Spanish economy</b:Title>
    <b:Year>2024</b:Year>
    <b:Publisher>UFAE and IAE Working Papers 975.24, Unitat de Fonaments de l'Anàlisi Econòmica (UAB) and Institut d'Anàlisi Econòmica (CSIC)</b:Publisher>
    <b:LCID>en-GB</b:LCID>
    <b:URL>https://ideas.repec.org/p/aub/autbar/975.24.html</b:URL>
    <b:RefOrder>94</b:RefOrder>
  </b:Source>
  <b:Source>
    <b:Tag>Ber213</b:Tag>
    <b:SourceType>JournalArticle</b:SourceType>
    <b:Guid>{75A4DD58-92E3-4889-BB9B-564D49EC6777}</b:Guid>
    <b:Title>New car taxation and its unintended environmental consequences</b:Title>
    <b:Year>2021</b:Year>
    <b:Author>
      <b:Author>
        <b:NameList>
          <b:Person>
            <b:Last>Bergantino</b:Last>
            <b:First>A.S.</b:First>
          </b:Person>
          <b:Person>
            <b:Last>Intini</b:Last>
            <b:First>M.</b:First>
          </b:Person>
          <b:Person>
            <b:Last>Percoco</b:Last>
            <b:First>M.</b:First>
          </b:Person>
        </b:NameList>
      </b:Author>
    </b:Author>
    <b:JournalName>Transportation Research Part A: Policy and Practice</b:JournalName>
    <b:Pages>36-48</b:Pages>
    <b:LCID>en-GB</b:LCID>
    <b:Volume>148</b:Volume>
    <b:URL>https://doi.org/10.1016/j.tra.2021.03.026</b:URL>
    <b:RefOrder>95</b:RefOrder>
  </b:Source>
  <b:Source>
    <b:Tag>Bjö07</b:Tag>
    <b:SourceType>JournalArticle</b:SourceType>
    <b:Guid>{EF530E14-D8D4-4283-8BEE-3A7C66353FC1}</b:Guid>
    <b:Author>
      <b:Author>
        <b:NameList>
          <b:Person>
            <b:Last>Björklund</b:Last>
            <b:First>A.E.</b:First>
          </b:Person>
          <b:Person>
            <b:Last>Finnveden</b:Last>
            <b:First>G.</b:First>
          </b:Person>
        </b:NameList>
      </b:Author>
    </b:Author>
    <b:Title>Life cycle assessment of a national policy proposal – The case of a Swedish waste incineration tax</b:Title>
    <b:Year>2007</b:Year>
    <b:JournalName>Waste Management</b:JournalName>
    <b:Pages>1046-1058</b:Pages>
    <b:LCID>en-GB</b:LCID>
    <b:Volume>27</b:Volume>
    <b:Issue>8</b:Issue>
    <b:URL>https://doi.org/10.1016/j.wasman.2007.02.027</b:URL>
    <b:RefOrder>96</b:RefOrder>
  </b:Source>
  <b:Source>
    <b:Tag>Bjö03</b:Tag>
    <b:SourceType>Report</b:SourceType>
    <b:Guid>{E7421938-B54A-4616-A4EF-AABF79AE09F3}</b:Guid>
    <b:Author>
      <b:Author>
        <b:NameList>
          <b:Person>
            <b:Last>Björklund</b:Last>
            <b:First>A.</b:First>
          </b:Person>
          <b:Person>
            <b:Last>Johansson</b:Last>
            <b:First>J.</b:First>
          </b:Person>
          <b:Person>
            <b:Last>Nilsson</b:Last>
            <b:First>M.</b:First>
          </b:Person>
          <b:Person>
            <b:Last>Eldh</b:Last>
            <b:First>P.</b:First>
          </b:Person>
          <b:Person>
            <b:Last>Finnveden</b:Last>
            <b:First>G.</b:First>
          </b:Person>
        </b:NameList>
      </b:Author>
    </b:Author>
    <b:Title>Environmental Assessment of a Waste Incineration Tax; case study and evaluation of a framework for strategic environmental assessment.</b:Title>
    <b:Year>2003</b:Year>
    <b:Publisher>SEI</b:Publisher>
    <b:LCID>en-GB</b:LCID>
    <b:URL>https://www.sei.org/publications/environmental-assessment-waste-incineration-tax-case-study-evaluation-framework-strategic-environmental-assessment/</b:URL>
    <b:RefOrder>97</b:RefOrder>
  </b:Source>
  <b:Source>
    <b:Tag>Bla231</b:Tag>
    <b:SourceType>JournalArticle</b:SourceType>
    <b:Guid>{4276FAF3-7F0F-481E-8EE0-5EBC50855D20}</b:Guid>
    <b:Author>
      <b:Author>
        <b:NameList>
          <b:Person>
            <b:Last>Blagoeva</b:Last>
            <b:First>N.</b:First>
          </b:Person>
          <b:Person>
            <b:Last>Georgieva</b:Last>
            <b:First>V.</b:First>
          </b:Person>
        </b:NameList>
      </b:Author>
    </b:Author>
    <b:Title>Pesticide tax – the new challenge in Europe’s green tax policy</b:Title>
    <b:JournalName>Bulgarian Journal of Agricultural Science</b:JournalName>
    <b:Year>2023</b:Year>
    <b:Pages>3-13</b:Pages>
    <b:LCID>en-GB</b:LCID>
    <b:Volume>29</b:Volume>
    <b:Issue>1</b:Issue>
    <b:URL>https://www.agrojournal.org/29/01-01.pdf</b:URL>
    <b:RefOrder>98</b:RefOrder>
  </b:Source>
  <b:Source>
    <b:Tag>Böc16</b:Tag>
    <b:SourceType>JournalArticle</b:SourceType>
    <b:Guid>{5C323630-1006-4655-97F5-8AC8004762F3}</b:Guid>
    <b:Author>
      <b:Author>
        <b:NameList>
          <b:Person>
            <b:Last>Böcker</b:Last>
            <b:First>T.</b:First>
          </b:Person>
          <b:Person>
            <b:Last>Finger</b:Last>
            <b:First>R.</b:First>
          </b:Person>
        </b:NameList>
      </b:Author>
    </b:Author>
    <b:Title>European Pesticide Tax Schemes in Comparison: An Analysis of Experiences and Developments</b:Title>
    <b:JournalName>Sustainability</b:JournalName>
    <b:Year>2016</b:Year>
    <b:LCID>en-GB</b:LCID>
    <b:Volume>8</b:Volume>
    <b:Issue>4</b:Issue>
    <b:URL>https://doi.org/10.3390/su8040378</b:URL>
    <b:RefOrder>99</b:RefOrder>
  </b:Source>
  <b:Source>
    <b:Tag>Bri211</b:Tag>
    <b:SourceType>JournalArticle</b:SourceType>
    <b:Guid>{39098482-8A3C-481C-AB45-3AC951E700CD}</b:Guid>
    <b:Author>
      <b:Author>
        <b:NameList>
          <b:Person>
            <b:Last>Briguglio</b:Last>
            <b:First>M.</b:First>
          </b:Person>
        </b:NameList>
      </b:Author>
    </b:Author>
    <b:Title>Taxing household waste: Intended and unintended consequences</b:Title>
    <b:JournalName>Journal of Cleaner Production</b:JournalName>
    <b:Year>2021</b:Year>
    <b:LCID>en-GB</b:LCID>
    <b:Volume>304</b:Volume>
    <b:URL>https://doi.org/10.1016/j.jclepro.2021.127034</b:URL>
    <b:RefOrder>100</b:RefOrder>
  </b:Source>
  <b:Source>
    <b:Tag>Cam13</b:Tag>
    <b:SourceType>Report</b:SourceType>
    <b:Guid>{EA5160FB-EA3A-4153-A0C2-A91E6C661598}</b:Guid>
    <b:LCID>en-GB</b:LCID>
    <b:Author>
      <b:Author>
        <b:Corporate>Cambridge Econometrics</b:Corporate>
      </b:Author>
    </b:Author>
    <b:Title>Modelling Milestones for Achieving Resource Efficiency: Economic Analysis of Waste Taxes</b:Title>
    <b:Year>2013</b:Year>
    <b:Publisher>Draft Report for the European Commission</b:Publisher>
    <b:RefOrder>101</b:RefOrder>
  </b:Source>
  <b:Source>
    <b:Tag>Cel11</b:Tag>
    <b:SourceType>BookSection</b:SourceType>
    <b:Guid>{CB5CE1CA-58B5-41E5-935A-BAA3397B54C9}</b:Guid>
    <b:Author>
      <b:Author>
        <b:NameList>
          <b:Person>
            <b:Last>Cela</b:Last>
            <b:First>E.</b:First>
          </b:Person>
          <b:Person>
            <b:Last>Kaneko</b:Last>
            <b:First>S.</b:First>
          </b:Person>
        </b:NameList>
      </b:Author>
      <b:BookAuthor>
        <b:NameList>
          <b:Person>
            <b:Last>Kreiser</b:Last>
            <b:First>L.</b:First>
          </b:Person>
          <b:Person>
            <b:Last>Sirisom</b:Last>
            <b:First>J.</b:First>
          </b:Person>
          <b:Person>
            <b:Last>Ashiabor</b:Last>
            <b:First>H.</b:First>
          </b:Person>
          <b:Person>
            <b:Last>Milne</b:Last>
            <b:First>J.E.</b:First>
          </b:Person>
        </b:NameList>
      </b:BookAuthor>
    </b:Author>
    <b:Title>Chapter 15: Effectiveness of the Danish Packaging Tax</b:Title>
    <b:Year>2011</b:Year>
    <b:BookTitle>Environmental Taxation and Climate Change</b:BookTitle>
    <b:LCID>en-GB</b:LCID>
    <b:URL>https://www.elgaronline.com/edcollchap/edcoll/9780857937865/9780857937865.00030.xml</b:URL>
    <b:RefOrder>102</b:RefOrder>
  </b:Source>
  <b:Source>
    <b:Tag>Cli59</b:Tag>
    <b:SourceType>JournalArticle</b:SourceType>
    <b:Guid>{3C9B6E5C-13E1-49D5-8BBF-26B3C0F4AE27}</b:Guid>
    <b:LCID>en-GB</b:LCID>
    <b:Author>
      <b:Author>
        <b:NameList>
          <b:Person>
            <b:Last>Clinch</b:Last>
            <b:First>J.P.</b:First>
          </b:Person>
          <b:Person>
            <b:Last>Dunne</b:Last>
            <b:First>L.</b:First>
          </b:Person>
        </b:NameList>
      </b:Author>
    </b:Author>
    <b:Title>Environmental tax reform: an assessment of social responses in Ireland</b:Title>
    <b:JournalName>Energy Policy</b:JournalName>
    <b:Year>2006</b:Year>
    <b:Pages>950-959</b:Pages>
    <b:Volume>34</b:Volume>
    <b:Issue>8</b:Issue>
    <b:URL>https://doi.org/10.1016/j.enpol.2004.08.055</b:URL>
    <b:RefOrder>103</b:RefOrder>
  </b:Source>
  <b:Source>
    <b:Tag>Com20</b:Tag>
    <b:SourceType>JournalArticle</b:SourceType>
    <b:Guid>{C4B5E4A9-789F-466E-8909-7BC1BEF3CE7A}</b:Guid>
    <b:Title>Regional policies for circular economy in Italy and an empirical analysis of pay-as-you-throw tax effects in Emilia Romagna</b:Title>
    <b:Year>2020</b:Year>
    <b:Author>
      <b:Author>
        <b:NameList>
          <b:Person>
            <b:Last>Compagnoni</b:Last>
            <b:First>Marco</b:First>
          </b:Person>
        </b:NameList>
      </b:Author>
    </b:Author>
    <b:JournalName>nvironmental Engineering and Management Journal</b:JournalName>
    <b:Pages>1711-1718</b:Pages>
    <b:LCID>en-GB</b:LCID>
    <b:Volume>19</b:Volume>
    <b:URL>https://www.researchgate.net/publication/349768250_Regional_policies_for_circular_economy_in_Italy_and_an_empirical_analysis_of_pay-as-you-throw_tax_effects_in_Emilia_Romagna</b:URL>
    <b:RefOrder>104</b:RefOrder>
  </b:Source>
  <b:Source>
    <b:Tag>Cur22</b:Tag>
    <b:SourceType>BookSection</b:SourceType>
    <b:Guid>{B3226BA8-89AF-408B-AE14-4E367CA567DC}</b:Guid>
    <b:Title>How Ireland Reduced its Active Landfills: A true tale of policy-driven change</b:Title>
    <b:Year>2022</b:Year>
    <b:LCID>en-GB</b:LCID>
    <b:Author>
      <b:Author>
        <b:NameList>
          <b:Person>
            <b:Last>Curran</b:Last>
            <b:First>T.P.</b:First>
          </b:Person>
          <b:Person>
            <b:Last>O'Sullivan</b:Last>
            <b:First>O.</b:First>
          </b:Person>
        </b:NameList>
      </b:Author>
    </b:Author>
    <b:BookTitle>SDG 11, Sustainable Cities and Communities</b:BookTitle>
    <b:Publisher>Routledge India</b:Publisher>
    <b:URL>https://www.taylorfrancis.com/chapters/edit/10.4324/9781003205975-4/ireland-reduced-active-landfills-thomas-curran-orna-sullivan</b:URL>
    <b:RefOrder>105</b:RefOrder>
  </b:Source>
  <b:Source>
    <b:Tag>Dav21</b:Tag>
    <b:SourceType>JournalArticle</b:SourceType>
    <b:Guid>{0C91FD8F-E557-40F7-8DE6-66A0E688FA3B}</b:Guid>
    <b:Author>
      <b:Author>
        <b:NameList>
          <b:Person>
            <b:Last>David</b:Last>
            <b:First>P.</b:First>
          </b:Person>
        </b:NameList>
      </b:Author>
    </b:Author>
    <b:Title>he Relationship between Road Tax Rate Reduction Depending on Vehicle Age and Emission Parameters of Taxed Vehicle Categories in the Czech Republic</b:Title>
    <b:JournalName>konomický časopis</b:JournalName>
    <b:Year>2021</b:Year>
    <b:Pages>775-795</b:Pages>
    <b:LCID>en-GB</b:LCID>
    <b:Volume>69</b:Volume>
    <b:URL>https://www.ceeol.com/search/article-detail?id=1005751</b:URL>
    <b:RefOrder>106</b:RefOrder>
  </b:Source>
  <b:Source>
    <b:Tag>Dav08</b:Tag>
    <b:SourceType>JournalArticle</b:SourceType>
    <b:Guid>{CE6B584E-7AA9-498D-A5C5-CF760D2A39EF}</b:Guid>
    <b:Title>Does Money Talk? Waste Charging in the Republic of Ireland: Government, Governance and Performance</b:Title>
    <b:Year>2008</b:Year>
    <b:Pages>271-287</b:Pages>
    <b:Author>
      <b:Author>
        <b:NameList>
          <b:Person>
            <b:Last>Davies</b:Last>
            <b:First>A.</b:First>
            <b:Middle>R.</b:Middle>
          </b:Person>
          <b:Person>
            <b:Last>O’Callaghan-Platt</b:Last>
            <b:First>A.</b:First>
          </b:Person>
        </b:NameList>
      </b:Author>
    </b:Author>
    <b:JournalName>Journal of Environmental Policy &amp; Planning</b:JournalName>
    <b:LCID>en-GB</b:LCID>
    <b:Volume>10</b:Volume>
    <b:URL>https://doi.org/10.1080/15239080802242753</b:URL>
    <b:Issue>3</b:Issue>
    <b:RefOrder>107</b:RefOrder>
  </b:Source>
  <b:Source>
    <b:Tag>DeB24</b:Tag>
    <b:SourceType>Report</b:SourceType>
    <b:Guid>{36CF1E52-0D3C-43C9-8C49-7D9B0288AADC}</b:Guid>
    <b:Title>From Taxation to Circularity: Assessing the Impact of Plastic Packaging Taxes on the Food Packaging Production in the UK, Spain, and Portugal</b:Title>
    <b:Year>2024</b:Year>
    <b:Publisher>EURAM Doctoral Colloquium 2024</b:Publisher>
    <b:Author>
      <b:Author>
        <b:NameList>
          <b:Person>
            <b:Last>De Boe</b:Last>
            <b:First>G.</b:First>
          </b:Person>
        </b:NameList>
      </b:Author>
    </b:Author>
    <b:LCID>en-GB</b:LCID>
    <b:URL>http://hdl.handle.net/2078.1/285603</b:URL>
    <b:RefOrder>108</b:RefOrder>
  </b:Source>
  <b:Source>
    <b:Tag>DeW221</b:Tag>
    <b:SourceType>JournalArticle</b:SourceType>
    <b:Guid>{89873D77-9C81-491E-929D-D62DC76C597F}</b:Guid>
    <b:Author>
      <b:Author>
        <b:NameList>
          <b:Person>
            <b:Last>De Weerdt</b:Last>
            <b:First>L.</b:First>
          </b:Person>
          <b:Person>
            <b:Last>De Jaeger</b:Last>
            <b:First>S.</b:First>
          </b:Person>
          <b:Person>
            <b:Last>Compernolle</b:Last>
            <b:First>T.</b:First>
          </b:Person>
          <b:Person>
            <b:Last>Van Passel</b:Last>
            <b:First>S.</b:First>
          </b:Person>
        </b:NameList>
      </b:Author>
    </b:Author>
    <b:Title>How an incineration tax changes waste management practices among firms</b:Title>
    <b:JournalName>Resources, Conservation and Recycling</b:JournalName>
    <b:Year>2022</b:Year>
    <b:LCID>en-GB</b:LCID>
    <b:Volume>180</b:Volume>
    <b:URL>https://doi.org/10.1016/j.resconrec.2022.106172</b:URL>
    <b:RefOrder>109</b:RefOrder>
  </b:Source>
  <b:Source>
    <b:Tag>DeB20</b:Tag>
    <b:SourceType>Report</b:SourceType>
    <b:Guid>{F26514F3-E124-4647-AD38-6E9D30530557}</b:Guid>
    <b:Title>Economic and environmental sustainability performance of environmental policies in agriculture</b:Title>
    <b:Year>2020</b:Year>
    <b:Author>
      <b:Author>
        <b:NameList>
          <b:Person>
            <b:Last>De Boe</b:Last>
            <b:First>G.</b:First>
          </b:Person>
        </b:NameList>
      </b:Author>
    </b:Author>
    <b:Publisher>OECD Food, Agriculture and Fisheries Papers, No. 140, OECD Publishing</b:Publisher>
    <b:LCID>en-GB</b:LCID>
    <b:URL>https://doi.org/10.1787/3d459f91-en</b:URL>
    <b:RefOrder>110</b:RefOrder>
  </b:Source>
  <b:Source>
    <b:Tag>Del22</b:Tag>
    <b:SourceType>JournalArticle</b:SourceType>
    <b:Guid>{03EAF83E-9425-449B-B277-E40A8D699DF0}</b:Guid>
    <b:LCID>en-GB</b:LCID>
    <b:Author>
      <b:Author>
        <b:NameList>
          <b:Person>
            <b:Last>Delgado</b:Last>
            <b:First>F.J.</b:First>
          </b:Person>
          <b:Person>
            <b:Last>Freire-González</b:Last>
            <b:First>J.</b:First>
          </b:Person>
          <b:Person>
            <b:Last>Presno</b:Last>
            <b:First>M.J.</b:First>
          </b:Person>
        </b:NameList>
      </b:Author>
    </b:Author>
    <b:Title>Environmental taxation in the European Union: Are there common trends?</b:Title>
    <b:JournalName>Economic Analysis and Policy</b:JournalName>
    <b:Year>2022</b:Year>
    <b:Pages>670-682</b:Pages>
    <b:Volume>73</b:Volume>
    <b:URL>https://doi.org/10.1016/j.eap.2021.12.019</b:URL>
    <b:RefOrder>111</b:RefOrder>
  </b:Source>
  <b:Source>
    <b:Tag>Dia</b:Tag>
    <b:SourceType>JournalArticle</b:SourceType>
    <b:Guid>{A6EAD328-373A-4A48-8AC7-82D851D44032}</b:Guid>
    <b:Author>
      <b:Author>
        <b:NameList>
          <b:Person>
            <b:Last>Dias</b:Last>
            <b:First>Sara</b:First>
          </b:Person>
          <b:Person>
            <b:Last>Ribeiro</b:Last>
            <b:First>João</b:First>
          </b:Person>
        </b:NameList>
      </b:Author>
    </b:Author>
    <b:Title>Taxation Policies as an Environmental Protection Instrument: The Portuguese Case</b:Title>
    <b:LCID>en-GB</b:LCID>
    <b:URL>https://www.researchgate.net/publication/373054353_Taxation_Policies_as_an_Environmental_Protection_Instrument_The_Portuguese_Case</b:URL>
    <b:Year>2023</b:Year>
    <b:RefOrder>112</b:RefOrder>
  </b:Source>
  <b:Source>
    <b:Tag>Doń22</b:Tag>
    <b:SourceType>JournalArticle</b:SourceType>
    <b:Guid>{584AE05E-C44E-4082-BA46-EFFC4ADB6290}</b:Guid>
    <b:Author>
      <b:Author>
        <b:NameList>
          <b:Person>
            <b:Last>Doński</b:Last>
            <b:First>A.</b:First>
          </b:Person>
          <b:Person>
            <b:Last>Paczosa</b:Last>
            <b:First>A.</b:First>
          </b:Person>
        </b:NameList>
      </b:Author>
    </b:Author>
    <b:Title>Efficiency of the System of Environmental Fees in Poland</b:Title>
    <b:Year>2022</b:Year>
    <b:LCID>en-GB</b:LCID>
    <b:JournalName>Environmental Protection and Natural Resources</b:JournalName>
    <b:Pages>17-31</b:Pages>
    <b:Volume>33</b:Volume>
    <b:Issue>1</b:Issue>
    <b:URL>https://doi.org/10.2478/oszn-2022-0002</b:URL>
    <b:RefOrder>113</b:RefOrder>
  </b:Source>
  <b:Source>
    <b:Tag>Eki11</b:Tag>
    <b:SourceType>JournalArticle</b:SourceType>
    <b:Guid>{830F12A1-B5B6-42E3-A9DE-96D0CD1C2AE3}</b:Guid>
    <b:LCID>en-GB</b:LCID>
    <b:Author>
      <b:Author>
        <b:NameList>
          <b:Person>
            <b:Last>Ekins</b:Last>
            <b:First>P.</b:First>
          </b:Person>
          <b:Person>
            <b:Last>Pollitt</b:Last>
            <b:First>H.</b:First>
          </b:Person>
          <b:Person>
            <b:Last>Barton</b:Last>
            <b:First>J.</b:First>
          </b:Person>
          <b:Person>
            <b:Last>Blobel</b:Last>
            <b:First>D.</b:First>
          </b:Person>
        </b:NameList>
      </b:Author>
    </b:Author>
    <b:Title>The implications for households of environmental tax reform (ETR) in Europe</b:Title>
    <b:JournalName>Ecological Economics</b:JournalName>
    <b:Year>2011</b:Year>
    <b:Pages>2472-2485</b:Pages>
    <b:Volume>70</b:Volume>
    <b:Issue>12</b:Issue>
    <b:URL>https://doi.org/10.1016/j.ecolecon.2011.08.004</b:URL>
    <b:RefOrder>114</b:RefOrder>
  </b:Source>
  <b:Source>
    <b:Tag>Eki12</b:Tag>
    <b:SourceType>JournalArticle</b:SourceType>
    <b:Guid>{6736265B-A2E6-49DE-8084-808CA70FE7D4}</b:Guid>
    <b:Author>
      <b:Author>
        <b:NameList>
          <b:Person>
            <b:Last>Ekins</b:Last>
            <b:First>P.</b:First>
          </b:Person>
          <b:Person>
            <b:Last>Pollitt</b:Last>
            <b:First>H.</b:First>
          </b:Person>
          <b:Person>
            <b:Last>Summerton</b:Last>
            <b:First>P.</b:First>
          </b:Person>
          <b:Person>
            <b:Last>Chewpreecha</b:Last>
            <b:First>U.</b:First>
          </b:Person>
        </b:NameList>
      </b:Author>
    </b:Author>
    <b:Title>Increasing carbon and material productivity through environmental tax reform</b:Title>
    <b:JournalName>Energy Policy</b:JournalName>
    <b:Year>2012</b:Year>
    <b:Pages>365-376</b:Pages>
    <b:LCID>en-GB</b:LCID>
    <b:Volume>42</b:Volume>
    <b:URL>https://doi.org/10.1016/j.enpol.2011.11.094</b:URL>
    <b:RefOrder>115</b:RefOrder>
  </b:Source>
  <b:Source>
    <b:Tag>Fal01</b:Tag>
    <b:SourceType>JournalArticle</b:SourceType>
    <b:Guid>{E4177CD2-E732-4203-99D5-A2CD2717072A}</b:Guid>
    <b:Author>
      <b:Author>
        <b:NameList>
          <b:Person>
            <b:Last>Falconer</b:Last>
            <b:First>K.</b:First>
          </b:Person>
          <b:Person>
            <b:Last>Hodge</b:Last>
            <b:First>I.</b:First>
          </b:Person>
        </b:NameList>
      </b:Author>
    </b:Author>
    <b:Title>Pesticide taxation and multi-objective policy-making: farm modelling to evaluate profit/environment trade-offs</b:Title>
    <b:Year>2001</b:Year>
    <b:Pages>263-279</b:Pages>
    <b:LCID>en-GB</b:LCID>
    <b:JournalName>Ecological Economics</b:JournalName>
    <b:Volume>36</b:Volume>
    <b:Issue>2</b:Issue>
    <b:URL>https://doi.org/10.1016/S0921-8009(00)00236-6</b:URL>
    <b:RefOrder>116</b:RefOrder>
  </b:Source>
  <b:Source>
    <b:Tag>Far20</b:Tag>
    <b:SourceType>Report</b:SourceType>
    <b:Guid>{EAF13A37-95F4-452E-98CA-DA5F0D5F25ED}</b:Guid>
    <b:Author>
      <b:Author>
        <b:NameList>
          <b:Person>
            <b:Last>Faraudello</b:Last>
            <b:First>A.</b:First>
          </b:Person>
        </b:NameList>
      </b:Author>
    </b:Author>
    <b:Title>The application and potential impact of plastic tax in Italy</b:Title>
    <b:Year>2020</b:Year>
    <b:Publisher>XV International Scientific Conference «Accounting, Analysis and Audit: History, Present and Prospects»</b:Publisher>
    <b:LCID>en-GB</b:LCID>
    <b:URL>https://iris.uniupo.it/handle/11579/122709#?mode=full</b:URL>
    <b:RefOrder>117</b:RefOrder>
  </b:Source>
  <b:Source>
    <b:Tag>Fló24</b:Tag>
    <b:SourceType>Report</b:SourceType>
    <b:Guid>{8937B082-270E-421E-B1B3-3BDC8076832C}</b:Guid>
    <b:Title>EU carbon border tax: General equilibrium effects on income and emissions</b:Title>
    <b:Year>2024</b:Year>
    <b:LCID>en-GB</b:LCID>
    <b:Author>
      <b:Author>
        <b:NameList>
          <b:Person>
            <b:Last>Flórez Mendoza</b:Last>
            <b:First>J.</b:First>
          </b:Person>
          <b:Person>
            <b:Last>Reiter</b:Last>
            <b:First>O.</b:First>
          </b:Person>
          <b:Person>
            <b:Last>Stehrer</b:Last>
            <b:First>R.</b:First>
          </b:Person>
        </b:NameList>
      </b:Author>
    </b:Author>
    <b:Publisher>Vienna Institute for International Economic Studies - Working Paper 254</b:Publisher>
    <b:URL>https://wiiw.ac.at/eu-carbon-border-tax-general-equilibrium-effects-on-income-and-emissions-dlp-7073.pdf</b:URL>
    <b:RefOrder>118</b:RefOrder>
  </b:Source>
  <b:Source>
    <b:Tag>Fre22</b:Tag>
    <b:SourceType>JournalArticle</b:SourceType>
    <b:Guid>{400AF55B-6B34-40B7-8CE1-2A0989844A79}</b:Guid>
    <b:Author>
      <b:Author>
        <b:NameList>
          <b:Person>
            <b:Last>Freire-González</b:Last>
            <b:First>J.</b:First>
          </b:Person>
          <b:Person>
            <b:Last>Martinez-Sanchez</b:Last>
            <b:First>V.</b:First>
          </b:Person>
          <b:Person>
            <b:Last>Puig-Ventosa</b:Last>
            <b:First>I.</b:First>
          </b:Person>
        </b:NameList>
      </b:Author>
    </b:Author>
    <b:Title>Tools for a circular economy: Assessing waste taxation in a CGE multi-pollutant framework</b:Title>
    <b:Year>2022</b:Year>
    <b:JournalName>Waste Management</b:JournalName>
    <b:Pages>50-59</b:Pages>
    <b:LCID>en-GB</b:LCID>
    <b:Volume>139</b:Volume>
    <b:URL>https://doi.org/10.1016/j.wasman.2021.12.016</b:URL>
    <b:RefOrder>119</b:RefOrder>
  </b:Source>
  <b:Source>
    <b:Tag>gag21</b:Tag>
    <b:SourceType>JournalArticle</b:SourceType>
    <b:Guid>{2371D1F3-ACC8-4AD5-ACC9-2DEAAE12693F}</b:Guid>
    <b:LCID>en-GB</b:LCID>
    <b:Author>
      <b:Author>
        <b:NameList>
          <b:Person>
            <b:Last>Gago</b:Last>
            <b:First>A.</b:First>
          </b:Person>
          <b:Person>
            <b:Last>Labandeira</b:Last>
            <b:First>X.</b:First>
          </b:Person>
          <b:Person>
            <b:Last>Labeaga</b:Last>
            <b:First>J.M.</b:First>
          </b:Person>
          <b:Person>
            <b:Last>López-Otero</b:Last>
            <b:First>X.</b:First>
          </b:Person>
        </b:NameList>
      </b:Author>
    </b:Author>
    <b:Title>Transport Taxes and Decarbonization in Spain: Distributional Impacts and Compensation</b:Title>
    <b:JournalName>Hacienda Pública Española / Review of Public Economics</b:JournalName>
    <b:Year>2021</b:Year>
    <b:Pages>101-136</b:Pages>
    <b:Volume>238</b:Volume>
    <b:URL>https: // dx.doi.org / 10.7866 / HPE-RPE.21.3.5</b:URL>
    <b:RefOrder>120</b:RefOrder>
  </b:Source>
  <b:Source>
    <b:Tag>Gar21</b:Tag>
    <b:SourceType>Report</b:SourceType>
    <b:Guid>{A9098694-C22F-408F-80D5-ED0B43EFF969}</b:Guid>
    <b:Title>Wastewater Tariffs in Spain</b:Title>
    <b:Year>2021</b:Year>
    <b:Publisher>Oxford Research Encyclopedia of Global Public Health</b:Publisher>
    <b:Author>
      <b:Author>
        <b:NameList>
          <b:Person>
            <b:Last>García-Valiñas</b:Last>
            <b:First>M.</b:First>
          </b:Person>
          <b:Person>
            <b:Last>Arbués</b:Last>
            <b:First>F.</b:First>
          </b:Person>
        </b:NameList>
      </b:Author>
    </b:Author>
    <b:LCID>en-GB</b:LCID>
    <b:URL>https://oxfordre.com/publichealth/view/10.1093/acrefore/9780190632366.001.0001/acrefore-9780190632366-e-282</b:URL>
    <b:RefOrder>121</b:RefOrder>
  </b:Source>
  <b:Source>
    <b:Tag>Gaz21</b:Tag>
    <b:SourceType>JournalArticle</b:SourceType>
    <b:Guid>{7F3D33BF-BB4A-4E5E-AD37-BA4D8C23D59E}</b:Guid>
    <b:Author>
      <b:Author>
        <b:NameList>
          <b:Person>
            <b:Last>Gazzani</b:Last>
            <b:First>F.</b:First>
          </b:Person>
        </b:NameList>
      </b:Author>
    </b:Author>
    <b:Title>Transition to social-ecological sustainability using the environmental fiscal reform</b:Title>
    <b:JournalName>International Journal of Social Economics</b:JournalName>
    <b:Year>2021</b:Year>
    <b:Pages>675-692</b:Pages>
    <b:LCID>en-GB</b:LCID>
    <b:Volume>58</b:Volume>
    <b:Issue>5</b:Issue>
    <b:URL>https://doi.org/10.1108/IJSE-09-2020-0656</b:URL>
    <b:RefOrder>122</b:RefOrder>
  </b:Source>
  <b:Source>
    <b:Tag>Geo23</b:Tag>
    <b:SourceType>JournalArticle</b:SourceType>
    <b:Guid>{620A3FBE-7806-4A64-82E4-B8D40EEC8B87}</b:Guid>
    <b:Title>A fair tax base for the municipal waste charge—key to an effective waste management policy in the Republic of Bulgaria</b:Title>
    <b:Year>2023</b:Year>
    <b:LCID>en-GB</b:LCID>
    <b:Author>
      <b:Author>
        <b:NameList>
          <b:Person>
            <b:Last>Georgieva</b:Last>
            <b:First>V.</b:First>
          </b:Person>
          <b:Person>
            <b:Last>Blagoeva</b:Last>
            <b:First>N.</b:First>
          </b:Person>
        </b:NameList>
      </b:Author>
    </b:Author>
    <b:JournalName>Scientific Papers Series Management, Economic Engineering in Agriculture and Rural Development</b:JournalName>
    <b:Volume>23</b:Volume>
    <b:Issue>2</b:Issue>
    <b:URL>https://managementjournal.usamv.ro/pdf/vol.23_2/Art28.pdf</b:URL>
    <b:RefOrder>123</b:RefOrder>
  </b:Source>
  <b:Source>
    <b:Tag>God24</b:Tag>
    <b:SourceType>JournalArticle</b:SourceType>
    <b:Guid>{34C034E2-B626-4561-829F-E88C2BFFEB3B}</b:Guid>
    <b:Author>
      <b:Author>
        <b:NameList>
          <b:Person>
            <b:Last>Godawska</b:Last>
            <b:First>J.</b:First>
          </b:Person>
        </b:NameList>
      </b:Author>
    </b:Author>
    <b:Title>The impact of environmental taxes on the level of NOx and SOx emissions</b:Title>
    <b:JournalName>Environment Policy and Management</b:JournalName>
    <b:Year>2024</b:Year>
    <b:LCID>en-GB</b:LCID>
    <b:Volume>89</b:Volume>
    <b:Issue>2</b:Issue>
    <b:URL>https://ekonomiaisrodowisko.pl/journal/article/view/744</b:URL>
    <b:RefOrder>124</b:RefOrder>
  </b:Source>
  <b:Source>
    <b:Tag>Han24</b:Tag>
    <b:SourceType>Report</b:SourceType>
    <b:Guid>{6AB51596-E83C-4BA7-9A25-2F8E261016AF}</b:Guid>
    <b:Title>How does CO2 Tax on Waste Incineration Facilitate New Business Opportunities for the Circular Economy?</b:Title>
    <b:Year>2024</b:Year>
    <b:LCID>en-GB</b:LCID>
    <b:Author>
      <b:Author>
        <b:NameList>
          <b:Person>
            <b:Last>Hansen</b:Last>
            <b:First>Eirik</b:First>
            <b:Middle>Hagerupsen</b:Middle>
          </b:Person>
          <b:Person>
            <b:Last>Yrke</b:Last>
            <b:First>Georg</b:First>
            <b:Middle>Bleie</b:Middle>
          </b:Person>
        </b:NameList>
      </b:Author>
    </b:Author>
    <b:Publisher>Norwegian University of Life Sciences</b:Publisher>
    <b:URL>https://nmbu.brage.unit.no/nmbu-xmlui/handle/11250/3148091</b:URL>
    <b:RefOrder>125</b:RefOrder>
  </b:Source>
  <b:Source>
    <b:Tag>Hod15</b:Tag>
    <b:SourceType>JournalArticle</b:SourceType>
    <b:Guid>{05D4F307-79E7-438E-952B-B27659F7DFFA}</b:Guid>
    <b:Title>Comparative Analysis Of Environmental Taxes In Eu And Croatia</b:Title>
    <b:Year>2015</b:Year>
    <b:Author>
      <b:Author>
        <b:NameList>
          <b:Person>
            <b:Last>Hodzic</b:Last>
            <b:First>S.</b:First>
          </b:Person>
          <b:Person>
            <b:Last>Bratic</b:Last>
            <b:First>V.</b:First>
          </b:Person>
        </b:NameList>
      </b:Author>
    </b:Author>
    <b:JournalName>Economic Thought and Practice, Department of Economics and Business, University of Dubrovnik</b:JournalName>
    <b:Pages>555-578</b:Pages>
    <b:LCID>en-GB</b:LCID>
    <b:Volume>24</b:Volume>
    <b:Issue>2</b:Issue>
    <b:URL>https://ideas.repec.org/a/avo/emipdu/v24y2015i2p555-578.html</b:URL>
    <b:RefOrder>126</b:RefOrder>
  </b:Source>
  <b:Source>
    <b:Tag>Hög10</b:Tag>
    <b:SourceType>Report</b:SourceType>
    <b:Guid>{9C812255-8691-4365-A84A-411A6CBF3CF0}</b:Guid>
    <b:Title>Innovation effects of the Swedish NOx charge</b:Title>
    <b:Year>2010</b:Year>
    <b:Author>
      <b:Author>
        <b:NameList>
          <b:Person>
            <b:Last>Höglund Isaksson</b:Last>
            <b:First>L.</b:First>
          </b:Person>
          <b:Person>
            <b:Last>Sterner</b:Last>
            <b:First>T.</b:First>
          </b:Person>
        </b:NameList>
      </b:Author>
    </b:Author>
    <b:Publisher>OECD Joint Meetings of Tax and Environment Experts</b:Publisher>
    <b:LCID>en-GB</b:LCID>
    <b:URL>https://pure.iiasa.ac.at/14600</b:URL>
    <b:RefOrder>127</b:RefOrder>
  </b:Source>
  <b:Source>
    <b:Tag>Ink21</b:Tag>
    <b:SourceType>JournalArticle</b:SourceType>
    <b:Guid>{2122CF74-CC75-483F-BC35-8B0874A02118}</b:Guid>
    <b:Author>
      <b:Author>
        <b:NameList>
          <b:Person>
            <b:Last>Inkábová</b:Last>
            <b:First>M.</b:First>
          </b:Person>
          <b:Person>
            <b:Last>Andrejovská</b:Last>
            <b:First>A.</b:First>
          </b:Person>
          <b:Person>
            <b:Last>Glova</b:Last>
            <b:First>J.</b:First>
          </b:Person>
        </b:NameList>
      </b:Author>
    </b:Author>
    <b:Title>The Impact of Environmental Taxes on Agriculture – the Case of Slovakia</b:Title>
    <b:JournalName>Polish Journal of Environmental Studies</b:JournalName>
    <b:Year>2021</b:Year>
    <b:LCID>en-GB</b:LCID>
    <b:Volume>30</b:Volume>
    <b:Issue>4</b:Issue>
    <b:URL>https://www.pjoes.com/pdf-130729-63840?filename=63840.pdf</b:URL>
    <b:RefOrder>128</b:RefOrder>
  </b:Source>
  <b:Source>
    <b:Tag>Joh23</b:Tag>
    <b:SourceType>JournalArticle</b:SourceType>
    <b:Guid>{AA5D114C-9A80-4FB6-AF40-C02DDE161D59}</b:Guid>
    <b:Author>
      <b:Author>
        <b:NameList>
          <b:Person>
            <b:Last>Johne</b:Last>
            <b:First>C.</b:First>
          </b:Person>
          <b:Person>
            <b:Last>Schröder</b:Last>
            <b:First>E.</b:First>
          </b:Person>
          <b:Person>
            <b:Last>Ward</b:Last>
            <b:First>H.</b:First>
          </b:Person>
        </b:NameList>
      </b:Author>
    </b:Author>
    <b:Title>The distributional effects of a nitrogen tax: Evidence from Germany</b:Title>
    <b:JournalName>Ecological Economics</b:JournalName>
    <b:Year>2023</b:Year>
    <b:LCID>en-GB</b:LCID>
    <b:Volume>208</b:Volume>
    <b:URL>https://doi.org/10.1016/j.ecolecon.2023.107815</b:URL>
    <b:RefOrder>129</b:RefOrder>
  </b:Source>
  <b:Source>
    <b:Tag>Joh98</b:Tag>
    <b:SourceType>Report</b:SourceType>
    <b:Guid>{7805F089-DD35-486D-87E1-984B34B9195E}</b:Guid>
    <b:Author>
      <b:Author>
        <b:NameList>
          <b:Person>
            <b:Last>Johnstone</b:Last>
            <b:First>N.</b:First>
          </b:Person>
          <b:Person>
            <b:Last>Alavalapati</b:Last>
            <b:First>J.</b:First>
          </b:Person>
        </b:NameList>
      </b:Author>
    </b:Author>
    <b:Title>Distributional effects of environmental tax reform</b:Title>
    <b:Year>1998</b:Year>
    <b:LCID>en-GB</b:LCID>
    <b:Publisher>IIED</b:Publisher>
    <b:URL>https://www.iied.org/8101iied</b:URL>
    <b:RefOrder>130</b:RefOrder>
  </b:Source>
  <b:Source>
    <b:Tag>Jon20</b:Tag>
    <b:SourceType>Report</b:SourceType>
    <b:Guid>{5CC84CE4-3F45-4AFE-8283-69140FAED507}</b:Guid>
    <b:LCID>en-GB</b:LCID>
    <b:Author>
      <b:Author>
        <b:NameList>
          <b:Person>
            <b:Last>Jonsson</b:Last>
            <b:First>S.</b:First>
          </b:Person>
          <b:Person>
            <b:Last>Ydstedt</b:Last>
            <b:First>A.</b:First>
          </b:Person>
          <b:Person>
            <b:Last>Asen</b:Last>
            <b:First>E.</b:First>
          </b:Person>
        </b:NameList>
      </b:Author>
    </b:Author>
    <b:Title>Looking Back on 30 Years of Carbon Taxes in Sweden</b:Title>
    <b:Year>2020</b:Year>
    <b:Publisher>Tax Foundation - Europe</b:Publisher>
    <b:URL>https://taxfoundation.org/research/all/eu/sweden-carbon-tax-revenue-greenhouse-gas-emissions/</b:URL>
    <b:RefOrder>131</b:RefOrder>
  </b:Source>
  <b:Source>
    <b:Tag>Juř21</b:Tag>
    <b:SourceType>Report</b:SourceType>
    <b:Guid>{F40238C1-2E4A-43CE-8351-346577970567}</b:Guid>
    <b:Author>
      <b:Author>
        <b:NameList>
          <b:Person>
            <b:Last>Juřík</b:Last>
            <b:First>R.</b:First>
          </b:Person>
          <b:Person>
            <b:Last>Braathen</b:Last>
            <b:First>N.</b:First>
          </b:Person>
        </b:NameList>
      </b:Author>
    </b:Author>
    <b:Title>Assessment of the air pollution tax and emission concentration limits in the Czech Republic</b:Title>
    <b:Year>2021</b:Year>
    <b:Publisher>OECD Environment Working Papers, No. 174, OECD Publishing</b:Publisher>
    <b:LCID>en-GB</b:LCID>
    <b:URL>https://doi.org/10.1787/172ad5b9-en</b:URL>
    <b:RefOrder>132</b:RefOrder>
  </b:Source>
  <b:Source>
    <b:Tag>Kas24</b:Tag>
    <b:SourceType>JournalArticle</b:SourceType>
    <b:Guid>{1D3E6A42-975B-4E0C-BE75-BE561716BAAF}</b:Guid>
    <b:Title>Stochastic and club convergence analysis of environmental tax revenues across EU countries</b:Title>
    <b:Year>2024</b:Year>
    <b:Author>
      <b:Author>
        <b:NameList>
          <b:Person>
            <b:Last>Kasman</b:Last>
            <b:First>A.</b:First>
          </b:Person>
          <b:Person>
            <b:Last>Kasman</b:Last>
            <b:First>S.</b:First>
          </b:Person>
        </b:NameList>
      </b:Author>
    </b:Author>
    <b:JournalName>Environmental Science and Pollution Research</b:JournalName>
    <b:LCID>en-GB</b:LCID>
    <b:URL>https://pubmed.ncbi.nlm.nih.gov/39636541/</b:URL>
    <b:RefOrder>133</b:RefOrder>
  </b:Source>
  <b:Source>
    <b:Tag>Kis14</b:Tag>
    <b:SourceType>JournalArticle</b:SourceType>
    <b:Guid>{783BA957-C6B3-4363-9A0C-CFE6F82B4F3D}</b:Guid>
    <b:LCID>en-GB</b:LCID>
    <b:Author>
      <b:Author>
        <b:NameList>
          <b:Person>
            <b:Last>Kiss</b:Last>
            <b:First>T.</b:First>
          </b:Person>
          <b:Person>
            <b:Last>Drescher</b:Last>
            <b:First>L.</b:First>
          </b:Person>
        </b:NameList>
      </b:Author>
    </b:Author>
    <b:Title>Effects of the landfill tax on waste management</b:Title>
    <b:JournalName>Pollack Periodica</b:JournalName>
    <b:Year>2014</b:Year>
    <b:Pages>31-42</b:Pages>
    <b:URL>https://akjournals.com/view/journals/606/9/Supplement-1/article-p31.xml</b:URL>
    <b:RefOrder>134</b:RefOrder>
  </b:Source>
  <b:Source>
    <b:Tag>Kop24</b:Tag>
    <b:SourceType>JournalArticle</b:SourceType>
    <b:Guid>{C4AE9BF8-0122-4070-ABE3-BEF59255BA81}</b:Guid>
    <b:Author>
      <b:Author>
        <b:NameList>
          <b:Person>
            <b:Last>Kopyściańska</b:Last>
            <b:First>K.</b:First>
          </b:Person>
        </b:NameList>
      </b:Author>
    </b:Author>
    <b:Title>Carbon tax and plastic levy as examples of tributes that can have an impact on environmental protection</b:Title>
    <b:Year>2024</b:Year>
    <b:JournalName>Acta Iuris Stetinensis</b:JournalName>
    <b:Pages>91-104</b:Pages>
    <b:LCID>en-GB</b:LCID>
    <b:Volume>4</b:Volume>
    <b:Issue>50</b:Issue>
    <b:URL>https://wnus.usz.edu.pl/ais/file/article/download/21200.pdf</b:URL>
    <b:RefOrder>135</b:RefOrder>
  </b:Source>
  <b:Source>
    <b:Tag>Kos99</b:Tag>
    <b:SourceType>JournalArticle</b:SourceType>
    <b:Guid>{F5D23628-4A56-4B75-A8B3-D033E53BEEF0}</b:Guid>
    <b:Title>Alleviating unemployment:: The case for green tax reforms</b:Title>
    <b:Year>1999</b:Year>
    <b:Pages>1723-1746</b:Pages>
    <b:LCID>en-GB</b:LCID>
    <b:Author>
      <b:Author>
        <b:NameList>
          <b:Person>
            <b:Last>Koskela</b:Last>
            <b:First>E.</b:First>
          </b:Person>
          <b:Person>
            <b:Last>Schöb</b:Last>
            <b:First>R.</b:First>
          </b:Person>
        </b:NameList>
      </b:Author>
    </b:Author>
    <b:JournalName>European Economic Review</b:JournalName>
    <b:Volume>43</b:Volume>
    <b:Issue>9</b:Issue>
    <b:URL>https://doi.org/10.1016/S0014-2921(98)00043-9</b:URL>
    <b:RefOrder>136</b:RefOrder>
  </b:Source>
  <b:Source>
    <b:Tag>Koz21</b:Tag>
    <b:SourceType>JournalArticle</b:SourceType>
    <b:Guid>{232E40DE-EB30-45CC-9F35-4EE2AF24728B}</b:Guid>
    <b:Title>Environmental taxes and emissions of pollutants in the EU: Empirical analysis</b:Title>
    <b:Year>2021</b:Year>
    <b:Author>
      <b:Author>
        <b:NameList>
          <b:Person>
            <b:Last>Koziuk</b:Last>
            <b:First>V.</b:First>
          </b:Person>
          <b:Person>
            <b:Last>Dluhopolskyi</b:Last>
            <b:First>O.</b:First>
          </b:Person>
          <b:Person>
            <b:Last>Voznyi</b:Last>
            <b:First>K.</b:First>
          </b:Person>
        </b:NameList>
      </b:Author>
    </b:Author>
    <b:JournalName>MEST Journal</b:JournalName>
    <b:Pages>68-74</b:Pages>
    <b:LCID>en-GB</b:LCID>
    <b:Volume>9</b:Volume>
    <b:Issue>1</b:Issue>
    <b:URL>https://mest.meste.org/MEST_1_2021/17_09.pdf</b:URL>
    <b:RefOrder>137</b:RefOrder>
  </b:Source>
  <b:Source>
    <b:Tag>Kru22</b:Tag>
    <b:SourceType>JournalArticle</b:SourceType>
    <b:Guid>{1BA77954-A65F-4EA2-BD00-6C7064D004F5}</b:Guid>
    <b:Author>
      <b:Author>
        <b:NameList>
          <b:Person>
            <b:Last>Kruse-Andersen</b:Last>
            <b:First>P.</b:First>
            <b:Middle>K.</b:Middle>
          </b:Person>
          <b:Person>
            <b:Last>Sørensen</b:Last>
            <b:First>P.</b:First>
            <b:Middle>B.</b:Middle>
          </b:Person>
        </b:NameList>
      </b:Author>
    </b:Author>
    <b:Title>Optimal carbon taxation in EU frontrunner countries: coordinating with the EU ETS and addressing leakage</b:Title>
    <b:JournalName>Climate Policy</b:JournalName>
    <b:Year>2022</b:Year>
    <b:Pages>26-38</b:Pages>
    <b:LCID>en-GB</b:LCID>
    <b:Volume>24</b:Volume>
    <b:Issue>1</b:Issue>
    <b:URL>https://doi.org/10.1080/14693062.2022.2145259</b:URL>
    <b:RefOrder>138</b:RefOrder>
  </b:Source>
  <b:Source>
    <b:Tag>Lab24</b:Tag>
    <b:SourceType>JournalArticle</b:SourceType>
    <b:Guid>{00CB8898-C366-4E08-B13D-86CD03E1FC5B}</b:Guid>
    <b:Author>
      <b:Author>
        <b:NameList>
          <b:Person>
            <b:Last>Labandeira</b:Last>
            <b:First>X.</b:First>
          </b:Person>
          <b:Person>
            <b:Last>Labeaga</b:Last>
            <b:First>J.M.</b:First>
          </b:Person>
          <b:Person>
            <b:Last>López-Otero</b:Last>
            <b:First>X.</b:First>
          </b:Person>
        </b:NameList>
      </b:Author>
    </b:Author>
    <b:Title>New Green Tax Reforms: Ex-Ante Assessments for Spain</b:Title>
    <b:JournalName>Sustainability</b:JournalName>
    <b:Year>2024</b:Year>
    <b:LCID>en-GB</b:LCID>
    <b:Volume>11</b:Volume>
    <b:Issue>20</b:Issue>
    <b:URL>https://doi.org/10.3390/su11205640</b:URL>
    <b:RefOrder>139</b:RefOrder>
  </b:Source>
  <b:Source>
    <b:Tag>Lei21</b:Tag>
    <b:SourceType>JournalArticle</b:SourceType>
    <b:Guid>{45380E69-1E66-455E-8D36-A7D4067EAFEF}</b:Guid>
    <b:Author>
      <b:Author>
        <b:NameList>
          <b:Person>
            <b:Last>Leite Pinto</b:Last>
            <b:First>R.</b:First>
          </b:Person>
        </b:NameList>
      </b:Author>
    </b:Author>
    <b:Title>The effects of introducing a carbon-meat tax in the EU - a literature review</b:Title>
    <b:JournalName>UNIO – EU Law Journal</b:JournalName>
    <b:Year>2021</b:Year>
    <b:Pages>106-123</b:Pages>
    <b:LCID>en-GB</b:LCID>
    <b:Volume>7</b:Volume>
    <b:Issue>2</b:Issue>
    <b:URL>https://dialnet.unirioja.es/servlet/articulo?codigo=9268601</b:URL>
    <b:RefOrder>140</b:RefOrder>
  </b:Source>
  <b:Source>
    <b:Tag>Let09</b:Tag>
    <b:SourceType>JournalArticle</b:SourceType>
    <b:Guid>{7BC76981-C950-4827-ABBD-2FEC75F56E92}</b:Guid>
    <b:Title>A Carbon Tax to Regulate CO2 Emissions:  the EU´s Road to an Environmental Taxation System</b:Title>
    <b:Year>2009</b:Year>
    <b:Author>
      <b:Author>
        <b:NameList>
          <b:Person>
            <b:Last>Letizia</b:Last>
            <b:First>L.</b:First>
          </b:Person>
        </b:NameList>
      </b:Author>
    </b:Author>
    <b:JournalName>Rivista scientifica trimestrale di diritto amministrativo</b:JournalName>
    <b:LCID>en-GB</b:LCID>
    <b:URL>https://www.amministrativamente.com/index.php/formez/article/view/13267/11990</b:URL>
    <b:RefOrder>141</b:RefOrder>
  </b:Source>
  <b:Source>
    <b:Tag>LiZ24</b:Tag>
    <b:SourceType>JournalArticle</b:SourceType>
    <b:Guid>{1248AA1B-BEAD-4E30-8771-3E7958B2059C}</b:Guid>
    <b:LCID>en-GB</b:LCID>
    <b:Author>
      <b:Author>
        <b:NameList>
          <b:Person>
            <b:Last>Li</b:Last>
            <b:First>Z.</b:First>
          </b:Person>
          <b:Person>
            <b:Last>Sun</b:Last>
            <b:First>Z.</b:First>
          </b:Person>
          <b:Person>
            <b:Last>Wang</b:Last>
            <b:First>K.</b:First>
          </b:Person>
          <b:Person>
            <b:Last>Lobonț</b:Last>
            <b:First>O.-R.</b:First>
          </b:Person>
        </b:NameList>
      </b:Author>
    </b:Author>
    <b:Title>Symphony or Solo: Does Convergence Exist in Environmental Taxation among EU Countries?</b:Title>
    <b:JournalName>Sustainability</b:JournalName>
    <b:Year>2024</b:Year>
    <b:Volume>16</b:Volume>
    <b:URL>https://doi.org/10.3390/su16177678</b:URL>
    <b:RefOrder>142</b:RefOrder>
  </b:Source>
  <b:Source>
    <b:Tag>Lun16</b:Tag>
    <b:SourceType>Report</b:SourceType>
    <b:Guid>{2A987966-8BD1-44C2-BADF-527FF3E463BF}</b:Guid>
    <b:Author>
      <b:Author>
        <b:NameList>
          <b:Person>
            <b:Last>Lundgren</b:Last>
            <b:First>Tommy</b:First>
          </b:Person>
          <b:Person>
            <b:Last>Marklund</b:Last>
            <b:First>Per-Olov</b:First>
          </b:Person>
        </b:NameList>
      </b:Author>
    </b:Author>
    <b:Title>n analysis of the Swedish CO2 tax and its impact on firm performance</b:Title>
    <b:Year>2016</b:Year>
    <b:LCID>en-GB</b:LCID>
    <b:Publisher>CERE working paper.</b:Publisher>
    <b:URL>https://www.researchgate.net/publication/293798461_An_analysis_of_the_Swedish_CO2_tax_and_its_impact_on_firm_performance</b:URL>
    <b:RefOrder>143</b:RefOrder>
  </b:Source>
  <b:Source>
    <b:Tag>Lut10</b:Tag>
    <b:SourceType>JournalArticle</b:SourceType>
    <b:Guid>{45C3C8CE-2EC4-4387-AF95-54A3BCD8402B}</b:Guid>
    <b:Author>
      <b:Author>
        <b:NameList>
          <b:Person>
            <b:Last>Lutz</b:Last>
            <b:First>C.</b:First>
          </b:Person>
          <b:Person>
            <b:Last>Meyer</b:Last>
            <b:First>B.</b:First>
          </b:Person>
        </b:NameList>
      </b:Author>
    </b:Author>
    <b:Title>Environmental Tax Reform in the European Union: Impact on CO2 Emissions and the Economy</b:Title>
    <b:JournalName>Zeitschrift für Energiewirtschaft</b:JournalName>
    <b:Year>2010</b:Year>
    <b:Pages>1-10</b:Pages>
    <b:LCID>en-GB</b:LCID>
    <b:Volume>34</b:Volume>
    <b:URL>https://doi.org/10.1007/s12398-010-0009-x</b:URL>
    <b:RefOrder>144</b:RefOrder>
  </b:Source>
  <b:Source>
    <b:Tag>Lyn24</b:Tag>
    <b:SourceType>Report</b:SourceType>
    <b:Guid>{B8C58994-86C1-4275-ACF5-22C2563223AC}</b:Guid>
    <b:Title>Environmental Taxation in Spain: Policy and Practice</b:Title>
    <b:Year>2024</b:Year>
    <b:Author>
      <b:Author>
        <b:NameList>
          <b:Person>
            <b:Last>Lynch</b:Last>
            <b:First>E.S.</b:First>
          </b:Person>
        </b:NameList>
      </b:Author>
    </b:Author>
    <b:Publisher>Honors Theses and Capstones. 791</b:Publisher>
    <b:LCID>en-GB</b:LCID>
    <b:URL>https://scholars.unh.edu/honors/791 </b:URL>
    <b:RefOrder>145</b:RefOrder>
  </b:Source>
  <b:Source>
    <b:Tag>Mai24</b:Tag>
    <b:SourceType>Report</b:SourceType>
    <b:Guid>{3074FCAF-05CB-48FB-A2B8-4743ED78C029}</b:Guid>
    <b:LCID>en-GB</b:LCID>
    <b:Author>
      <b:Author>
        <b:NameList>
          <b:Person>
            <b:Last>Maier</b:Last>
            <b:First>S.</b:First>
          </b:Person>
          <b:Person>
            <b:Last>De Poli</b:Last>
            <b:First>S.</b:First>
          </b:Person>
          <b:Person>
            <b:Last>Amores</b:Last>
            <b:First>A.F.</b:First>
          </b:Person>
        </b:NameList>
      </b:Author>
    </b:Author>
    <b:Title>Carbon taxes on consumption: distributional implications for a just transition in the EU</b:Title>
    <b:Year>2024</b:Year>
    <b:Publisher>European Commission</b:Publisher>
    <b:URL>https://publications.jrc.ec.europa.eu/repository/handle/JRC138420</b:URL>
    <b:RefOrder>146</b:RefOrder>
  </b:Source>
  <b:Source>
    <b:Tag>Mar16</b:Tag>
    <b:SourceType>JournalArticle</b:SourceType>
    <b:Guid>{92DB97A5-EB55-4058-ADE4-DB3A593E992B}</b:Guid>
    <b:Author>
      <b:Author>
        <b:NameList>
          <b:Person>
            <b:Last>Markandya</b:Last>
            <b:First>A.</b:First>
          </b:Person>
          <b:Person>
            <b:Last>Galarraga</b:Last>
            <b:First>I.</b:First>
          </b:Person>
          <b:Person>
            <b:Last>Abadie</b:Last>
            <b:First>L.M.</b:First>
          </b:Person>
          <b:Person>
            <b:Last>Lucas</b:Last>
            <b:First>J.</b:First>
          </b:Person>
          <b:Person>
            <b:Last>Spadaro</b:Last>
            <b:First>J.V.</b:First>
          </b:Person>
        </b:NameList>
      </b:Author>
    </b:Author>
    <b:Title>What Role Can Taxes and Subsidies Play in Changing Diets?</b:Title>
    <b:JournalName>FinanzArchiv: Public Finance Analysis, Mohr Siebeck</b:JournalName>
    <b:Year>2016</b:Year>
    <b:Pages>175-210</b:Pages>
    <b:LCID>en-GB</b:LCID>
    <b:Volume>72</b:Volume>
    <b:Issue>2</b:Issue>
    <b:URL>https://ideas.repec.org/a/mhr/finarc/urnsici0015-2218(201606)722_175wrcta_2.0.tx_2-b.html</b:URL>
    <b:RefOrder>147</b:RefOrder>
  </b:Source>
  <b:Source>
    <b:Tag>Mar24</b:Tag>
    <b:SourceType>JournalArticle</b:SourceType>
    <b:Guid>{67111CAD-6332-4F10-8FEC-5504AB0CE9FA}</b:Guid>
    <b:Title>The Effect of Carbon Pricing on Firm Emissions: Evidence from the Swedish CO2 Tax</b:Title>
    <b:Year>2024</b:Year>
    <b:LCID>en-GB</b:LCID>
    <b:Author>
      <b:Author>
        <b:NameList>
          <b:Person>
            <b:Last>Martinsson</b:Last>
            <b:First>G.</b:First>
          </b:Person>
          <b:Person>
            <b:Last>Sajtos</b:Last>
            <b:First>L.</b:First>
          </b:Person>
          <b:Person>
            <b:Last>Strömberg</b:Last>
            <b:First>P.</b:First>
          </b:Person>
          <b:Person>
            <b:Last>Thomann</b:Last>
            <b:First>C.</b:First>
          </b:Person>
        </b:NameList>
      </b:Author>
    </b:Author>
    <b:JournalName>The Review of Financial Studies</b:JournalName>
    <b:Pages>1848-1886</b:Pages>
    <b:Volume>37</b:Volume>
    <b:Issue>6</b:Issue>
    <b:URL>https://doi.org/10.1093/rfs/hhad097</b:URL>
    <b:RefOrder>148</b:RefOrder>
  </b:Source>
  <b:Source>
    <b:Tag>Men22</b:Tag>
    <b:SourceType>JournalArticle</b:SourceType>
    <b:Guid>{25340268-B979-4A78-BAE9-60449101A790}</b:Guid>
    <b:Title>The effects of environmental information provision on plastic bag use and marine environment status in the context of the environmental levy in Greece</b:Title>
    <b:Year>2022</b:Year>
    <b:Author>
      <b:Author>
        <b:NameList>
          <b:Person>
            <b:Last>Mentis</b:Last>
            <b:First>C.</b:First>
          </b:Person>
          <b:Person>
            <b:Last>Maroulis</b:Last>
            <b:First>G.</b:First>
          </b:Person>
          <b:Person>
            <b:Last>Latinopoulos</b:Last>
            <b:First>D.</b:First>
          </b:Person>
          <b:Person>
            <b:Last>Bithas</b:Last>
            <b:First>K.</b:First>
          </b:Person>
        </b:NameList>
      </b:Author>
    </b:Author>
    <b:JournalName>Environment, Development and Sustainability</b:JournalName>
    <b:LCID>en-GB</b:LCID>
    <b:URL>https://doi.org/10.1007/s10668-022-02465-6</b:URL>
    <b:RefOrder>149</b:RefOrder>
  </b:Source>
  <b:Source>
    <b:Tag>Mey20</b:Tag>
    <b:SourceType>JournalArticle</b:SourceType>
    <b:Guid>{9CD55C11-A8BF-4609-89E1-95F76742F15D}</b:Guid>
    <b:Author>
      <b:Author>
        <b:NameList>
          <b:Person>
            <b:Last>Meyer-Aurich</b:Last>
            <b:First>A.</b:First>
          </b:Person>
          <b:Person>
            <b:Last>Karatay</b:Last>
            <b:First>Y.N.</b:First>
          </b:Person>
          <b:Person>
            <b:Last>Nausediene</b:Last>
            <b:First>A.</b:First>
          </b:Person>
          <b:Person>
            <b:Last>Kirschke</b:Last>
            <b:First>D.</b:First>
          </b:Person>
        </b:NameList>
      </b:Author>
    </b:Author>
    <b:Title>Effectivity and Cost Efficiency of a Tax on Nitrogen Fertilizer to Reduce GHG Emissions from Agriculture</b:Title>
    <b:JournalName>Atmosphere</b:JournalName>
    <b:Year>2020</b:Year>
    <b:LCID>en-GB</b:LCID>
    <b:Volume>11</b:Volume>
    <b:Issue>6</b:Issue>
    <b:URL>https://doi.org/10.3390/atmos11060607</b:URL>
    <b:RefOrder>150</b:RefOrder>
  </b:Source>
  <b:Source>
    <b:Tag>Mic16</b:Tag>
    <b:SourceType>JournalArticle</b:SourceType>
    <b:Guid>{E5CA4782-1A5C-4B3F-BC35-0D946ECB31FC}</b:Guid>
    <b:Title>Comparative Evaluation of Experience in Environmental Tax Reforms in Chosen EU States</b:Title>
    <b:Year>2016</b:Year>
    <b:Author>
      <b:Author>
        <b:NameList>
          <b:Person>
            <b:Last>Miceikiene</b:Last>
            <b:First>Astrida</b:First>
          </b:Person>
          <b:Person>
            <b:Last>Makutenas</b:Last>
            <b:First>Valdemaras</b:First>
          </b:Person>
          <b:Person>
            <b:Last>Zukovskis</b:Last>
            <b:First>Jan</b:First>
          </b:Person>
          <b:Person>
            <b:Last>Kozuch</b:Last>
            <b:First>Artur</b:First>
          </b:Person>
        </b:NameList>
      </b:Author>
    </b:Author>
    <b:JournalName>Problems of Sustainable Development</b:JournalName>
    <b:Pages>87-99</b:Pages>
    <b:LCID>en-GB</b:LCID>
    <b:Volume>12</b:Volume>
    <b:Issue>1</b:Issue>
    <b:URL>https://papers.ssrn.com/sol3/papers.cfm?abstract_id=2856329</b:URL>
    <b:RefOrder>151</b:RefOrder>
  </b:Source>
  <b:Source>
    <b:Tag>Mic15</b:Tag>
    <b:SourceType>JournalArticle</b:SourceType>
    <b:Guid>{48875548-9F5F-4B76-A323-FAB675B3360E}</b:Guid>
    <b:Author>
      <b:Author>
        <b:NameList>
          <b:Person>
            <b:Last>Miceikiene</b:Last>
            <b:First>A.</b:First>
          </b:Person>
          <b:Person>
            <b:Last>Butvilaite</b:Last>
            <b:First>A.</b:First>
          </b:Person>
        </b:NameList>
      </b:Author>
    </b:Author>
    <b:Title>Evaluation of the experience in environmental tax reforms in the EU countries</b:Title>
    <b:JournalName>European Scientific Journal</b:JournalName>
    <b:Year>2015</b:Year>
    <b:LCID>en-GB</b:LCID>
    <b:Volume>11</b:Volume>
    <b:Issue>19</b:Issue>
    <b:URL>https://eujournal.org/index.php/esj/article/view/5944/5729</b:URL>
    <b:RefOrder>152</b:RefOrder>
  </b:Source>
  <b:Source>
    <b:Tag>Mic161</b:Tag>
    <b:SourceType>JournalArticle</b:SourceType>
    <b:Guid>{8D389579-4B80-4DE4-B01D-B51325790CF3}</b:Guid>
    <b:Author>
      <b:Author>
        <b:NameList>
          <b:Person>
            <b:Last>Miceikiene</b:Last>
            <b:First>A.</b:First>
          </b:Person>
          <b:Person>
            <b:Last>Makutenas</b:Last>
            <b:First>V.</b:First>
          </b:Person>
          <b:Person>
            <b:Last>Zukovskis</b:Last>
            <b:First>J.</b:First>
          </b:Person>
          <b:Person>
            <b:Last>Kożuch</b:Last>
            <b:First>A.</b:First>
            <b:Middle>J.</b:Middle>
          </b:Person>
        </b:NameList>
      </b:Author>
    </b:Author>
    <b:Title>Comparative Evaluation of Experience in Environmental Tax Reforms in Chosen EU States</b:Title>
    <b:JournalName>Problemy Ekorozwoju</b:JournalName>
    <b:Year>2016</b:Year>
    <b:Pages>87-99</b:Pages>
    <b:LCID>en-GB</b:LCID>
    <b:Volume>11</b:Volume>
    <b:Issue>1</b:Issue>
    <b:RefOrder>153</b:RefOrder>
  </b:Source>
  <b:Source>
    <b:Tag>Möc21</b:Tag>
    <b:SourceType>Report</b:SourceType>
    <b:Guid>{219177BC-0621-4FC2-B8FC-7D3F10930395}</b:Guid>
    <b:Author>
      <b:Author>
        <b:NameList>
          <b:Person>
            <b:Last>Möckel</b:Last>
            <b:First>S.</b:First>
          </b:Person>
          <b:Person>
            <b:Last>Gawel</b:Last>
            <b:First>E.</b:First>
          </b:Person>
          <b:Person>
            <b:Last>Liess</b:Last>
            <b:First>M.</b:First>
          </b:Person>
          <b:Person>
            <b:Last>Neumeister</b:Last>
            <b:First>L.</b:First>
          </b:Person>
        </b:NameList>
      </b:Author>
    </b:Author>
    <b:Title>Pesticide tax in the EU – Various levy concepts and their impact</b:Title>
    <b:JournalName>World Wide Fund for Nature</b:JournalName>
    <b:Year>2021</b:Year>
    <b:Publisher>World Wide Fund for Nature</b:Publisher>
    <b:LCID>en-GB</b:LCID>
    <b:URL>https://coilink.org/20.500.12592/vbkkw4</b:URL>
    <b:RefOrder>154</b:RefOrder>
  </b:Source>
  <b:Source>
    <b:Tag>Nau21</b:Tag>
    <b:SourceType>Report</b:SourceType>
    <b:Guid>{C2401F23-2938-4AFC-BFD0-8B5209F8BCF9}</b:Guid>
    <b:Author>
      <b:Author>
        <b:NameList>
          <b:Person>
            <b:Last>Nausėdienė</b:Last>
            <b:First>A.</b:First>
          </b:Person>
          <b:Person>
            <b:Last>Meyer-Aurich</b:Last>
            <b:First>A.</b:First>
          </b:Person>
          <b:Person>
            <b:Last>Miceikienė</b:Last>
            <b:First>A.</b:First>
          </b:Person>
        </b:NameList>
      </b:Author>
    </b:Author>
    <b:Title>Impact of nitrogen tax on nitrogen use in Lithuania</b:Title>
    <b:Year>2021</b:Year>
    <b:Publisher>10thInternational Scientific Conference Rural Development 2021</b:Publisher>
    <b:LCID>en-GB</b:LCID>
    <b:URL>https://ejournals.vdu.lt/index.php/rd/article/view/2855/1942</b:URL>
    <b:RefOrder>155</b:RefOrder>
  </b:Source>
  <b:Source>
    <b:Tag>Nic13</b:Tag>
    <b:SourceType>JournalArticle</b:SourceType>
    <b:Guid>{03720298-FC49-4EA5-A4FF-964E8A545F26}</b:Guid>
    <b:Title>Landfill diversion in a decentralized setting: A dynamic assessment of landfill taxes</b:Title>
    <b:Year>2013</b:Year>
    <b:Author>
      <b:Author>
        <b:NameList>
          <b:Person>
            <b:Last>Nicolli</b:Last>
            <b:First>F.</b:First>
          </b:Person>
          <b:Person>
            <b:Last>Mazzanti</b:Last>
            <b:First>M.</b:First>
          </b:Person>
        </b:NameList>
      </b:Author>
    </b:Author>
    <b:JournalName>Resources, Conservation and Recycling</b:JournalName>
    <b:Pages>17-23</b:Pages>
    <b:LCID>en-GB</b:LCID>
    <b:Volume>81</b:Volume>
    <b:URL>https://doi.org/10.1016/j.resconrec.2013.09.008</b:URL>
    <b:RefOrder>156</b:RefOrder>
  </b:Source>
  <b:Source>
    <b:Tag>Nie23</b:Tag>
    <b:SourceType>JournalArticle</b:SourceType>
    <b:Guid>{3E2BA8ED-B744-4160-9700-623795B6D809}</b:Guid>
    <b:Title>Ex-post evaluation of the Danish pesticide tax: A novel and effective tax design</b:Title>
    <b:JournalName>Land Use Policy</b:JournalName>
    <b:Year>2023</b:Year>
    <b:Author>
      <b:Author>
        <b:NameList>
          <b:Person>
            <b:Last>Nielsen</b:Last>
            <b:First>H.Ø.</b:First>
          </b:Person>
          <b:Person>
            <b:Last>Hedegaard Konrad</b:Last>
            <b:First>M.T.</b:First>
          </b:Person>
          <b:Person>
            <b:Last>Pedersen</b:Last>
            <b:First>A.B.</b:First>
          </b:Person>
          <b:Person>
            <b:Last>Gyldenkærne</b:Last>
            <b:First>S.</b:First>
          </b:Person>
        </b:NameList>
      </b:Author>
    </b:Author>
    <b:LCID>en-GB</b:LCID>
    <b:Volume>126</b:Volume>
    <b:URL>https://doi.org/10.1016/j.landusepol.2023.106549</b:URL>
    <b:RefOrder>157</b:RefOrder>
  </b:Source>
  <b:Source>
    <b:Tag>OEC11</b:Tag>
    <b:SourceType>Report</b:SourceType>
    <b:Guid>{DEA3EE1D-F245-4AF1-A86F-2FB99B7152AD}</b:Guid>
    <b:Title>Do car scrapping schemes help  the environment and increase safety?</b:Title>
    <b:Year>2011</b:Year>
    <b:Author>
      <b:Author>
        <b:Corporate>OECD</b:Corporate>
      </b:Author>
    </b:Author>
    <b:LCID>en-GB</b:LCID>
    <b:URL>https://www.itf-oecd.org/sites/default/files/docs/2011-10-01.pdf</b:URL>
    <b:RefOrder>158</b:RefOrder>
  </b:Source>
  <b:Source>
    <b:Tag>Par241</b:Tag>
    <b:SourceType>Report</b:SourceType>
    <b:Guid>{8325CF34-1D1F-4900-8A26-C0C4A693A328}</b:Guid>
    <b:Author>
      <b:Author>
        <b:NameList>
          <b:Person>
            <b:Last>Parente</b:Last>
            <b:First>S.A.</b:First>
          </b:Person>
        </b:NameList>
      </b:Author>
    </b:Author>
    <b:Title>European integration, circular economy and environmental taxation: the case of the "plastic tax”</b:Title>
    <b:Year>2024</b:Year>
    <b:LCID>en-GB</b:LCID>
    <b:URL>https://ricerca.uniba.it/handle/11586/473684?mode=simple#</b:URL>
    <b:RefOrder>159</b:RefOrder>
  </b:Source>
  <b:Source>
    <b:Tag>Ped17</b:Tag>
    <b:SourceType>BookSection</b:SourceType>
    <b:Guid>{81E51F16-FF95-4A29-AE76-82DB637F881D}</b:Guid>
    <b:Author>
      <b:Author>
        <b:NameList>
          <b:Person>
            <b:Last>Pedersen</b:Last>
            <b:First>A.B.</b:First>
          </b:Person>
          <b:Person>
            <b:Last>Nielsen</b:Last>
            <b:First>H.Ø.</b:First>
          </b:Person>
        </b:NameList>
      </b:Author>
      <b:BookAuthor>
        <b:NameList>
          <b:Person>
            <b:Last>Coll</b:Last>
            <b:First>M.</b:First>
          </b:Person>
          <b:Person>
            <b:Last>Wajnberg</b:Last>
            <b:First>E.</b:First>
          </b:Person>
        </b:NameList>
      </b:BookAuthor>
    </b:Author>
    <b:Title>Effectiveness of Pesticide Policies: Experiences from Danish Pesticide Regulation 1986–2015</b:Title>
    <b:Year>2017</b:Year>
    <b:BookTitle>Environmental Pest Management</b:BookTitle>
    <b:LCID>en-GB</b:LCID>
    <b:URL>https://pure.au.dk/portal/files/185342017/Effectiveness_of_Pesticide_Policies_Experiences_from_Danish_Pesticide_Regulation_1986_2015.pdf</b:URL>
    <b:RefOrder>160</b:RefOrder>
  </b:Source>
  <b:Source>
    <b:Tag>Pet10</b:Tag>
    <b:SourceType>Report</b:SourceType>
    <b:Guid>{87CE85AE-C37D-455D-BBFC-2443242B4686}</b:Guid>
    <b:Title>Evaluating the efficiency of a N-input tax under different policy scenarios at different scales</b:Title>
    <b:Year>2010</b:Year>
    <b:Publisher>120th Seminar, September 2-4, 2010, Chania, Crete 109397, European Association of Agricultural Economists.</b:Publisher>
    <b:Author>
      <b:Author>
        <b:NameList>
          <b:Person>
            <b:Last>Petsakos</b:Last>
            <b:First>Athanasios</b:First>
          </b:Person>
          <b:Person>
            <b:Last>Jayet</b:Last>
            <b:First>Pierre-Alain</b:First>
          </b:Person>
        </b:NameList>
      </b:Author>
    </b:Author>
    <b:LCID>en-GB</b:LCID>
    <b:URL>https://ideas.repec.org/p/ags/eaa120/109397.html</b:URL>
    <b:RefOrder>161</b:RefOrder>
  </b:Source>
  <b:Source>
    <b:Tag>Rad17</b:Tag>
    <b:SourceType>JournalArticle</b:SourceType>
    <b:Guid>{C1B14D50-0269-4059-B5AE-83092EBE845F}</b:Guid>
    <b:Title>Environmental Tax Policy in Romania in the Context of the EU: Double Dividend Theory</b:Title>
    <b:Year>2017</b:Year>
    <b:Author>
      <b:Author>
        <b:NameList>
          <b:Person>
            <b:Last>Radulescu</b:Last>
            <b:First>M.</b:First>
          </b:Person>
          <b:Person>
            <b:Last>Sinisi</b:Last>
            <b:First>C.I.</b:First>
          </b:Person>
          <b:Person>
            <b:Last>Popescu</b:Last>
            <b:First>C.</b:First>
          </b:Person>
          <b:Person>
            <b:Last>Iacob</b:Last>
            <b:First>S.E.</b:First>
          </b:Person>
          <b:Person>
            <b:Last>Popescu</b:Last>
            <b:First>L.</b:First>
          </b:Person>
        </b:NameList>
      </b:Author>
    </b:Author>
    <b:JournalName>Sustainability</b:JournalName>
    <b:LCID>en-GB</b:LCID>
    <b:Volume>9</b:Volume>
    <b:Issue>11</b:Issue>
    <b:URL>https://doi.org/10.3390/su9111986</b:URL>
    <b:RefOrder>162</b:RefOrder>
  </b:Source>
  <b:Source>
    <b:Tag>Rod19</b:Tag>
    <b:SourceType>JournalArticle</b:SourceType>
    <b:Guid>{E17206C5-86B6-4286-8597-A93BF8A70FDD}</b:Guid>
    <b:Title>Sectoral effects of a Green Tax Reform in Portugal</b:Title>
    <b:Year>2019</b:Year>
    <b:LCID>en-GB</b:LCID>
    <b:Author>
      <b:Author>
        <b:NameList>
          <b:Person>
            <b:Last>Rodríguez</b:Last>
            <b:First>M.</b:First>
          </b:Person>
          <b:Person>
            <b:Last>Robaina</b:Last>
            <b:First>M.</b:First>
          </b:Person>
          <b:Person>
            <b:Last>Teotónio</b:Last>
            <b:First>C.</b:First>
          </b:Person>
        </b:NameList>
      </b:Author>
    </b:Author>
    <b:JournalName>Renewable and Sustainable Energy Reviews</b:JournalName>
    <b:Pages>408-418</b:Pages>
    <b:Volume>104</b:Volume>
    <b:URL>https://doi.org/10.1016/j.rser.2019.01.016</b:URL>
    <b:RefOrder>163</b:RefOrder>
  </b:Source>
  <b:Source>
    <b:Tag>Ros23</b:Tag>
    <b:SourceType>Report</b:SourceType>
    <b:Guid>{2C3545C8-EDED-457A-8A44-CCE7D2B631CE}</b:Guid>
    <b:Author>
      <b:Author>
        <b:NameList>
          <b:Person>
            <b:Last>Rosenbaum</b:Last>
            <b:First>C.J</b:First>
          </b:Person>
        </b:NameList>
      </b:Author>
    </b:Author>
    <b:Title>Environmental tax reform: economic &amp; sustainability impacts</b:Title>
    <b:Year>2023</b:Year>
    <b:LCID>en-GB</b:LCID>
    <b:Publisher>State University of New York</b:Publisher>
    <b:URL>http://hdl.handle.net/20.500.12648/10480</b:URL>
    <b:RefOrder>164</b:RefOrder>
  </b:Source>
  <b:Source>
    <b:Tag>Ros15</b:Tag>
    <b:SourceType>Report</b:SourceType>
    <b:Guid>{63DC9C3B-208D-4678-B1E2-2027292B433C}</b:Guid>
    <b:Title>The impact of environmental tax policy on sustainable  development of the eu economies. Dea approach</b:Title>
    <b:Year>2015</b:Year>
    <b:Publisher>11th International Conference of ASECU</b:Publisher>
    <b:Author>
      <b:Author>
        <b:NameList>
          <b:Person>
            <b:Last>Rosiek</b:Last>
            <b:First>J.</b:First>
          </b:Person>
        </b:NameList>
      </b:Author>
    </b:Author>
    <b:LCID>en-GB</b:LCID>
    <b:URL>https://www.asecu.gr/files/11th_conf_files/18.pdf</b:URL>
    <b:RefOrder>165</b:RefOrder>
  </b:Source>
  <b:Source>
    <b:Tag>Šau11</b:Tag>
    <b:SourceType>JournalArticle</b:SourceType>
    <b:Guid>{5F30DDEA-DF21-41CA-901E-4C42312E6C17}</b:Guid>
    <b:Author>
      <b:Author>
        <b:NameList>
          <b:Person>
            <b:Last>Šauer</b:Last>
            <b:First>Petr</b:First>
          </b:Person>
          <b:Person>
            <b:Last>Vojáček</b:Last>
            <b:First>Ondřej</b:First>
          </b:Person>
          <b:Person>
            <b:Last>Klusák</b:Last>
            <b:First>Jaroslav</b:First>
          </b:Person>
          <b:Person>
            <b:Last>Zimmermannová</b:Last>
            <b:First>Jarmila</b:First>
          </b:Person>
        </b:NameList>
      </b:Author>
    </b:Author>
    <b:Title>Introducing Environmental Tax Reform: The Case of the Czech Republic</b:Title>
    <b:Year>2011</b:Year>
    <b:LCID>en-GB</b:LCID>
    <b:URL>https://www.researchgate.net/publication/290836331_Introducing_Environmental_Tax_Reform_The_Case_of_the_Czech_Republic</b:URL>
    <b:RefOrder>166</b:RefOrder>
  </b:Source>
  <b:Source>
    <b:Tag>Sch25</b:Tag>
    <b:SourceType>JournalArticle</b:SourceType>
    <b:Guid>{B366D046-F063-45BF-B086-A1A46B1F856E}</b:Guid>
    <b:LCID>en-GB</b:LCID>
    <b:Author>
      <b:Author>
        <b:NameList>
          <b:Person>
            <b:Last>Schaper</b:Last>
            <b:First>J.</b:First>
          </b:Person>
          <b:Person>
            <b:Last>Franks</b:Last>
            <b:First>M.</b:First>
          </b:Person>
          <b:Person>
            <b:Last>Koch</b:Last>
            <b:First>N.</b:First>
          </b:Person>
          <b:Person>
            <b:Last>Plinke</b:Last>
            <b:First>C.</b:First>
          </b:Person>
          <b:Person>
            <b:Last>Sureth</b:Last>
            <b:First>M.</b:First>
          </b:Person>
        </b:NameList>
      </b:Author>
    </b:Author>
    <b:Title>On the emission and distributional effects of a CO2eq-tax on agricultural goods—The case of Germany</b:Title>
    <b:JournalName>Food Policy</b:JournalName>
    <b:Year>2025</b:Year>
    <b:Volume>130</b:Volume>
    <b:URL>https://doi.org/10.1016/j.foodpol.2024.102794</b:URL>
    <b:RefOrder>167</b:RefOrder>
  </b:Source>
  <b:Source>
    <b:Tag>Sco09</b:Tag>
    <b:SourceType>Report</b:SourceType>
    <b:Guid>{9FDDF62B-5064-46B8-92D6-60771D036E74}</b:Guid>
    <b:Author>
      <b:Author>
        <b:NameList>
          <b:Person>
            <b:Last>Scott</b:Last>
            <b:First>Sue</b:First>
          </b:Person>
          <b:Person>
            <b:Last>Watson</b:Last>
            <b:First>Dorothy</b:First>
          </b:Person>
        </b:NameList>
      </b:Author>
    </b:Author>
    <b:Title>Cost-benefit analysis of the introduction of weight-based charges for domestic waste: West Cork's experience</b:Title>
    <b:Year>2009</b:Year>
    <b:Publisher>ESRI Working Paper, No. 335, The Economic and Social Research Institute (ESRI)</b:Publisher>
    <b:LCID>en-GB</b:LCID>
    <b:URL>https://www.econstor.eu/bitstream/10419/50136/1/619958480.pdf</b:URL>
    <b:RefOrder>168</b:RefOrder>
  </b:Source>
  <b:Source>
    <b:Tag>Scu21</b:Tag>
    <b:SourceType>JournalArticle</b:SourceType>
    <b:Guid>{BF04786B-685C-4870-8886-7A1F3060E2B2}</b:Guid>
    <b:Title>Towards a Plastic-Free Economy: The Italian Plastic Tax (Updated: December 2021) (December 2021). Scuderi, Erika (2021). Towards a plastic-free economy: the Italian plastic tax</b:Title>
    <b:Year>2021</b:Year>
    <b:Author>
      <b:Author>
        <b:NameList>
          <b:Person>
            <b:Last>Scuderi</b:Last>
            <b:First>Erika</b:First>
            <b:Middle>Isabella</b:Middle>
          </b:Person>
        </b:NameList>
      </b:Author>
    </b:Author>
    <b:JournalName>Rivista Telematica di Diritto Tributario</b:JournalName>
    <b:LCID>en-GB</b:LCID>
    <b:URL>https://papers.ssrn.com/sol3/papers.cfm?abstract_id=3822296</b:URL>
    <b:RefOrder>169</b:RefOrder>
  </b:Source>
  <b:Source>
    <b:Tag>Sie21</b:Tag>
    <b:SourceType>Report</b:SourceType>
    <b:Guid>{208DB9A1-34C8-45BF-A27D-B043122C3CC2}</b:Guid>
    <b:Author>
      <b:Author>
        <b:NameList>
          <b:Person>
            <b:Last>Siedschlag</b:Last>
            <b:First>I.</b:First>
          </b:Person>
          <b:Person>
            <b:Last>Yan</b:Last>
            <b:First>W.</b:First>
          </b:Person>
          <b:Person>
            <b:Last>Meneto</b:Last>
            <b:First>S.</b:First>
          </b:Person>
        </b:NameList>
      </b:Author>
    </b:Author>
    <b:Title>Ex-Post Analysis of the Impact of National Landfill Policy  for Greenhouse Gas Emissions in the Waste Sector</b:Title>
    <b:Year>2021</b:Year>
    <b:LCID>en-GB</b:LCID>
    <b:Publisher>epaResearch - ESRI</b:Publisher>
    <b:URL>https://www.epa.ie/publications/research/small--scale-studies/Ex-Post-Analysis-of-the-Impact-of-National-Landfill-Policy-for-Greenhouse-Gas-Emissions-in-the-Waste-Sector.pdf</b:URL>
    <b:RefOrder>170</b:RefOrder>
  </b:Source>
  <b:Source>
    <b:Tag>Ske19</b:Tag>
    <b:SourceType>JournalArticle</b:SourceType>
    <b:Guid>{8C260E4F-C2D8-483A-867D-21C120125ADB}</b:Guid>
    <b:Author>
      <b:Author>
        <b:NameList>
          <b:Person>
            <b:Last>Skevas</b:Last>
            <b:First>T.</b:First>
          </b:Person>
        </b:NameList>
      </b:Author>
    </b:Author>
    <b:Title>Evaluating alternative policies to reduce pesticide groundwater pollution in Dutch arable farming</b:Title>
    <b:JournalName>Journal of Environmental Planning and Management</b:JournalName>
    <b:Year>2019</b:Year>
    <b:Pages>733-750</b:Pages>
    <b:LCID>en-GB</b:LCID>
    <b:Volume>63</b:Volume>
    <b:Issue>4</b:Issue>
    <b:URL>https://doi.org/10.1080/09640568.2019.1606618</b:URL>
    <b:RefOrder>171</b:RefOrder>
  </b:Source>
  <b:Source>
    <b:Tag>Srd24</b:Tag>
    <b:SourceType>Report</b:SourceType>
    <b:Guid>{FF0E985F-7B36-4B8E-925F-A11ADD075145}</b:Guid>
    <b:Author>
      <b:Author>
        <b:NameList>
          <b:Person>
            <b:Last>Srdelić</b:Last>
            <b:First>Leonarda</b:First>
          </b:Person>
        </b:NameList>
      </b:Author>
    </b:Author>
    <b:Title>Environmental taxes in Croatia and the European Union</b:Title>
    <b:Year>2024</b:Year>
    <b:Publisher>IPF Notes</b:Publisher>
    <b:LCID>en-GB</b:LCID>
    <b:Pages>1-18</b:Pages>
    <b:RefOrder>172</b:RefOrder>
  </b:Source>
  <b:Source>
    <b:Tag>Sta24</b:Tag>
    <b:SourceType>JournalArticle</b:SourceType>
    <b:Guid>{02ACEACF-DCB8-463B-9358-DAE585891069}</b:Guid>
    <b:Author>
      <b:Author>
        <b:NameList>
          <b:Person>
            <b:Last>Stameski</b:Last>
            <b:First>N.</b:First>
          </b:Person>
          <b:Person>
            <b:Last>Radulescu</b:Last>
            <b:First>M.</b:First>
          </b:Person>
          <b:Person>
            <b:Last>Zelenović</b:Last>
            <b:First>V.</b:First>
          </b:Person>
          <b:Person>
            <b:Last>Mirović</b:Last>
            <b:First>V.</b:First>
          </b:Person>
          <b:Person>
            <b:Last>Kalaš</b:Last>
            <b:First>B.</b:First>
          </b:Person>
          <b:Person>
            <b:Last>Pavlović</b:Last>
            <b:First>N.</b:First>
          </b:Person>
        </b:NameList>
      </b:Author>
    </b:Author>
    <b:Title>Investigating the Effects of Environmental Tax Revenues on Economic Development: The Case of Nordic Countries</b:Title>
    <b:JournalName>Sustainability</b:JournalName>
    <b:Year>2024</b:Year>
    <b:LCID>en-GB</b:LCID>
    <b:Volume>16</b:Volume>
    <b:URL>https://doi.org/10.3390/su16187957</b:URL>
    <b:RefOrder>173</b:RefOrder>
  </b:Source>
  <b:Source>
    <b:Tag>Ste94</b:Tag>
    <b:SourceType>JournalArticle</b:SourceType>
    <b:Guid>{06C13221-051C-4D3F-9758-2D236F2558CA}</b:Guid>
    <b:Title>Environmental tax reform: The Swedish experience</b:Title>
    <b:Year>1994</b:Year>
    <b:Author>
      <b:Author>
        <b:NameList>
          <b:Person>
            <b:Last>Sterner</b:Last>
            <b:First>S.</b:First>
          </b:Person>
        </b:NameList>
      </b:Author>
    </b:Author>
    <b:JournalName>European Environment</b:JournalName>
    <b:Pages>20-25</b:Pages>
    <b:LCID>en-GB</b:LCID>
    <b:Volume>4</b:Volume>
    <b:Issue>6</b:Issue>
    <b:URL>https://doi.org/10.1002/eet.3320040606</b:URL>
    <b:RefOrder>174</b:RefOrder>
  </b:Source>
  <b:Source>
    <b:Tag>OEC20</b:Tag>
    <b:SourceType>Report</b:SourceType>
    <b:Guid>{3B606BD2-9C95-4F8D-8B7E-A8BDCD29DB24}</b:Guid>
    <b:Author>
      <b:Author>
        <b:NameList>
          <b:Person>
            <b:Last>Sud</b:Last>
            <b:First>M.</b:First>
          </b:Person>
        </b:NameList>
      </b:Author>
    </b:Author>
    <b:Title>Managing the Biodiversity Impacts of Fertiliser and Pesticide Use: Overview and insights from trends and policies across selected OECD countries</b:Title>
    <b:Year>2020</b:Year>
    <b:Publisher>OECD - Environment Working Paper N°155</b:Publisher>
    <b:LCID>en-GB</b:LCID>
    <b:URL>https://www.oecd.org/content/dam/oecd/en/publications/reports/2020/03/managing-the-biodiversity-impacts-of-fertiliser-and-pesticide-use_e51ab39d/63942249-en.pdf</b:URL>
    <b:RefOrder>175</b:RefOrder>
  </b:Source>
  <b:Source>
    <b:Tag>Tro22</b:Tag>
    <b:SourceType>Report</b:SourceType>
    <b:Guid>{1B6686D6-FB63-436E-9CF8-CDA3FCD34DF5}</b:Guid>
    <b:LCID>en-GB</b:LCID>
    <b:Author>
      <b:Author>
        <b:NameList>
          <b:Person>
            <b:Last>Trofymchuk</b:Last>
            <b:First>O.</b:First>
          </b:Person>
          <b:Person>
            <b:Last>Rivza</b:Last>
            <b:First>B.</b:First>
          </b:Person>
        </b:NameList>
      </b:Author>
    </b:Author>
    <b:Title>A comprehensive study on the taxation of waste disposal in Europe</b:Title>
    <b:Year>2022</b:Year>
    <b:Publisher>International Multidisciplinary Scientific GeoConference SGEM</b:Publisher>
    <b:URL>https://www.sgem.org/index.php/component/jresearch/?view=publication&amp;task=show&amp;id=8818&amp;Itemid=</b:URL>
    <b:RefOrder>176</b:RefOrder>
  </b:Source>
  <b:Source>
    <b:Tag>Vos22</b:Tag>
    <b:SourceType>JournalArticle</b:SourceType>
    <b:Guid>{B4DE72ED-27CD-4B7E-9CFB-A8FD989968CF}</b:Guid>
    <b:Author>
      <b:Author>
        <b:NameList>
          <b:Person>
            <b:Last>Vostrykov</b:Last>
            <b:First>P.</b:First>
          </b:Person>
          <b:Person>
            <b:Last>Jura</b:Last>
            <b:First>A.</b:First>
          </b:Person>
        </b:NameList>
      </b:Author>
    </b:Author>
    <b:Title>Environmental Taxes Impact for the Population Health Protection: Cross-Country Analysis</b:Title>
    <b:JournalName>Health Economics and Management Review</b:JournalName>
    <b:Year>2022</b:Year>
    <b:Pages>35-45</b:Pages>
    <b:LCID>en-GB</b:LCID>
    <b:Volume>3</b:Volume>
    <b:Issue>4</b:Issue>
    <b:URL>https://doi.org/10.21272/hem.2022.4-04</b:URL>
    <b:RefOrder>177</b:RefOrder>
  </b:Source>
  <b:Source>
    <b:Tag>Wal201</b:Tag>
    <b:SourceType>JournalArticle</b:SourceType>
    <b:Guid>{17277865-F383-4E88-97B6-3B80B65E5EA3}</b:Guid>
    <b:Title>The Case for a Plastic Tax: A Review of Its Benefits and Disadvantages Within a Circular Economy</b:Title>
    <b:Year>2020</b:Year>
    <b:Pages>185-211</b:Pages>
    <b:Author>
      <b:Author>
        <b:NameList>
          <b:Person>
            <b:Last>Walker</b:Last>
            <b:First>T.</b:First>
          </b:Person>
          <b:Person>
            <b:Last>Gramlich</b:Last>
            <b:First>D.</b:First>
          </b:Person>
          <b:Person>
            <b:Last>Dumont-Bergeron</b:Last>
            <b:First>A.</b:First>
          </b:Person>
        </b:NameList>
      </b:Author>
      <b:BookAuthor>
        <b:NameList>
          <b:Person>
            <b:Last>Wasieleski</b:Last>
            <b:First>D.M.</b:First>
          </b:Person>
          <b:Person>
            <b:Last>Weber</b:Last>
            <b:First>J.</b:First>
          </b:Person>
        </b:NameList>
      </b:BookAuthor>
    </b:Author>
    <b:JournalName>Sustainability (Business and Society)</b:JournalName>
    <b:LCID>en-GB</b:LCID>
    <b:Volume>4</b:Volume>
    <b:URL>https://doi.org/10.1108/S2514-175920200000004010</b:URL>
    <b:RefOrder>178</b:RefOrder>
  </b:Source>
  <b:Source>
    <b:Tag>Wal22</b:Tag>
    <b:SourceType>Report</b:SourceType>
    <b:Guid>{E786012F-3245-4656-B9A3-FCE568E025FD}</b:Guid>
    <b:Title>The eco-social tax reform in Austria: economy-wide and distributional effects of a CO2 tax under a region-specific revenue recycling scheme</b:Title>
    <b:Year>2022</b:Year>
    <b:LCID>en-GB</b:LCID>
    <b:Author>
      <b:Author>
        <b:NameList>
          <b:Person>
            <b:Last>Wallenko</b:Last>
            <b:First>L.</b:First>
          </b:Person>
        </b:NameList>
      </b:Author>
    </b:Author>
    <b:Publisher>University of Graz - Faculty of Environmental, Regional and Educational Sciences</b:Publisher>
    <b:URL>https://unipub.uni-graz.at/obvugrhs/content/titleinfo/8285735/full.pdf</b:URL>
    <b:RefOrder>179</b:RefOrder>
  </b:Source>
  <b:Source>
    <b:Tag>Eur243</b:Tag>
    <b:SourceType>Report</b:SourceType>
    <b:Guid>{AE53DD18-4ADD-4888-B7CC-9BC3EECF3817}</b:Guid>
    <b:LCID>en-GB</b:LCID>
    <b:Author>
      <b:Author>
        <b:Corporate>Eurostat</b:Corporate>
      </b:Author>
    </b:Author>
    <b:Title>Environmental taxes – A statistical guide. 2024 edition.</b:Title>
    <b:Year>2024</b:Year>
    <b:URL>https://doi.org/10.2785/730717</b:URL>
    <b:RefOrder>180</b:RefOrder>
  </b:Source>
  <b:Source>
    <b:Tag>Goo24</b:Tag>
    <b:SourceType>Report</b:SourceType>
    <b:Guid>{751010CC-FBCE-425A-BE53-D67A8DD3007B}</b:Guid>
    <b:Author>
      <b:Author>
        <b:NameList>
          <b:Person>
            <b:Last>Goonesekera</b:Last>
            <b:First>S.</b:First>
          </b:Person>
          <b:Person>
            <b:Last>Greño</b:Last>
            <b:First>F.</b:First>
          </b:Person>
          <b:Person>
            <b:Last>Markandya</b:Last>
            <b:First>A.</b:First>
          </b:Person>
          <b:Person>
            <b:Last>Camboni</b:Last>
            <b:First>M.</b:First>
          </b:Person>
          <b:Person>
            <b:Last>Akelytė</b:Last>
            <b:First>R.</b:First>
          </b:Person>
        </b:NameList>
      </b:Author>
    </b:Author>
    <b:Title>Candidates for taxing environmental bads at national level</b:Title>
    <b:Year>2024</b:Year>
    <b:RefOrder>181</b:RefOrder>
  </b:Source>
  <b:Source>
    <b:Tag>OEC08</b:Tag>
    <b:SourceType>Report</b:SourceType>
    <b:Guid>{1BF43C75-1F53-42FE-B9CB-83E88DFF7E0A}</b:Guid>
    <b:LCID>en-GB</b:LCID>
    <b:Author>
      <b:Author>
        <b:Corporate>OECD</b:Corporate>
      </b:Author>
    </b:Author>
    <b:Title>OECD glossary of statistical terms</b:Title>
    <b:Year>2008</b:Year>
    <b:Publisher>OECD</b:Publisher>
    <b:RefOrder>182</b:RefOrder>
  </b:Source>
  <b:Source>
    <b:Tag>OEC3a</b:Tag>
    <b:SourceType>Report</b:SourceType>
    <b:Guid>{0BBDD4A9-5C4E-4BA3-B49A-371F4D5BACC3}</b:Guid>
    <b:LCID>en-GB</b:LCID>
    <b:Author>
      <b:Author>
        <b:Corporate>OECD</b:Corporate>
      </b:Author>
    </b:Author>
    <b:Title>Methodological Guidelines for Environmentally Related Tax Revenue Accounts</b:Title>
    <b:Year>2023a</b:Year>
    <b:Publisher>Organization for Economic Cooperation &amp; Development</b:Publisher>
    <b:RefOrder>183</b:RefOrder>
  </b:Source>
  <b:Source>
    <b:Tag>OEC3b</b:Tag>
    <b:SourceType>Report</b:SourceType>
    <b:Guid>{9E3C96B1-C7F3-4834-82D2-488425044892}</b:Guid>
    <b:LCID>en-GB</b:LCID>
    <b:Author>
      <b:Author>
        <b:Corporate>OECD</b:Corporate>
      </b:Author>
    </b:Author>
    <b:Title>Revenue Statistics Interpretative Guide</b:Title>
    <b:Year>2023b</b:Year>
    <b:RefOrder>184</b:RefOrder>
  </b:Source>
  <b:Source>
    <b:Tag>Placeholder1</b:Tag>
    <b:SourceType>Report</b:SourceType>
    <b:Guid>{F13B7F2C-5115-47BF-AEA4-B026F47464F7}</b:Guid>
    <b:LCID>en-GB</b:LCID>
    <b:Author>
      <b:Author>
        <b:Corporate>IEEP</b:Corporate>
      </b:Author>
    </b:Author>
    <b:Title>Study on assessing the environmental fiscal reform potential for the EU28</b:Title>
    <b:Year>2016</b:Year>
    <b:URL>https://ieep.eu/wp-content/uploads/2022/12/Study_on_assessing_the_environmental_fiscal_reform_potential_for_the_EU28.pdf</b:URL>
    <b:RefOrder>185</b:RefOrder>
  </b:Source>
  <b:Source>
    <b:Tag>EEA24</b:Tag>
    <b:SourceType>Report</b:SourceType>
    <b:Guid>{522600E2-99F7-4DEB-9E16-4FCCBE9E3AC4}</b:Guid>
    <b:Author>
      <b:Author>
        <b:Corporate>EEA</b:Corporate>
      </b:Author>
    </b:Author>
    <b:Title>Overview of landfill taxes on municipal waste used in EU Member States, 2023</b:Title>
    <b:Year>2024</b:Year>
    <b:LCID>en-GB</b:LCID>
    <b:URL>https://www.eea.europa.eu/en/analysis/maps-and-charts/overview-of-landfill-taxes-on</b:URL>
    <b:RefOrder>186</b:RefOrder>
  </b:Source>
  <b:Source>
    <b:Tag>OEC23</b:Tag>
    <b:SourceType>Report</b:SourceType>
    <b:Guid>{794E9369-23BE-4DA1-A461-C326376EF66E}</b:Guid>
    <b:Author>
      <b:Author>
        <b:Corporate>OECD</b:Corporate>
      </b:Author>
    </b:Author>
    <b:Title>Methodological Guidelines for Environmentally Related Tax Revenue Accounts</b:Title>
    <b:Year>2023</b:Year>
    <b:Publisher>OECD Publishing</b:Publisher>
    <b:City>Paris</b:City>
    <b:LCID>en-GB</b:LCID>
    <b:URL>https://doi.org/10.1787/d752d120-en</b:URL>
    <b:RefOrder>1</b:RefOrder>
  </b:Source>
  <b:Source>
    <b:Tag>SMö21</b:Tag>
    <b:SourceType>JournalArticle</b:SourceType>
    <b:Guid>{0FEC9C15-5B29-446B-8D0B-09EDA0E984D3}</b:Guid>
    <b:Title>Pesticide tax in the EU - Various levy concepts and their impact on pesticide reduction</b:Title>
    <b:JournalName>Research Gate Technical Report</b:JournalName>
    <b:Year>2021</b:Year>
    <b:LCID>en-GB</b:LCID>
    <b:Author>
      <b:Author>
        <b:Corporate>Möckel, S. et al.</b:Corporate>
      </b:Author>
    </b:Author>
    <b:DOI>10.13140/RG.2.2.21626.82883.</b:DOI>
    <b:RefOrder>6</b:RefOrder>
  </b:Source>
  <b:Source>
    <b:Tag>OEC06</b:Tag>
    <b:SourceType>Report</b:SourceType>
    <b:Guid>{CA8ED5BC-7D51-4935-BC47-1537C09FC7ED}</b:Guid>
    <b:Author>
      <b:Author>
        <b:Corporate>OECD</b:Corporate>
      </b:Author>
    </b:Author>
    <b:Title>The Political Economy of Environmentally Related Taxes</b:Title>
    <b:Year>2006</b:Year>
    <b:LCID>en-GB</b:LCID>
    <b:Publisher>OECD</b:Publisher>
    <b:City>Paris</b:City>
    <b:RefOrder>7</b:RefOrder>
  </b:Source>
  <b:Source>
    <b:Tag>ECB</b:Tag>
    <b:SourceType>Report</b:SourceType>
    <b:Guid>{B1A48CFD-E80E-48AF-A12F-FCA1EF291F30}</b:Guid>
    <b:Title>Inflation and consumer prices</b:Title>
    <b:LCID>en-GB</b:LCID>
    <b:Author>
      <b:Author>
        <b:Corporate>ECB</b:Corporate>
      </b:Author>
    </b:Author>
    <b:URL>https://www.ecb.europa.eu/stats/macroeconomic_and_sectoral/hicp/html/index.en.html</b:URL>
    <b:RefOrder>1</b:RefOrder>
  </b:Source>
  <b:Source>
    <b:Tag>Juř211</b:Tag>
    <b:SourceType>Report</b:SourceType>
    <b:Guid>{1EBCE404-42EF-48D8-AF74-0561FEC876E8}</b:Guid>
    <b:Author>
      <b:Author>
        <b:NameList>
          <b:Person>
            <b:Last>Juřík</b:Last>
            <b:First>R.</b:First>
          </b:Person>
          <b:Person>
            <b:Last>Braathen</b:Last>
            <b:First>N.</b:First>
          </b:Person>
        </b:NameList>
      </b:Author>
    </b:Author>
    <b:Title>Assessment of the air pollution tax and emission concentration limits in the Czech Republic</b:Title>
    <b:Year>2021</b:Year>
    <b:LCID>en-GB</b:LCID>
    <b:URL>https://www.oecd.org/en/publications/assessment-of-the-air-pollution-tax-and-emission-concentration-limits-in-the-czech-republic_172ad5b9-en.html.</b:URL>
    <b:RefOrder>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C70B7C996C9F4F85B657AFF07CD771" ma:contentTypeVersion="4" ma:contentTypeDescription="Create a new document." ma:contentTypeScope="" ma:versionID="0bfee6990f2fea5d0416d7824c1398c1">
  <xsd:schema xmlns:xsd="http://www.w3.org/2001/XMLSchema" xmlns:xs="http://www.w3.org/2001/XMLSchema" xmlns:p="http://schemas.microsoft.com/office/2006/metadata/properties" xmlns:ns2="6ec48ee7-af62-47a4-8106-dabc8c23ba6b" targetNamespace="http://schemas.microsoft.com/office/2006/metadata/properties" ma:root="true" ma:fieldsID="61a6ebc1dd86483ba6f756c149273f29" ns2:_="">
    <xsd:import namespace="6ec48ee7-af62-47a4-8106-dabc8c23ba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c48ee7-af62-47a4-8106-dabc8c23b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896961-DFD9-D54E-A9AE-B2C674DDC727}">
  <ds:schemaRefs>
    <ds:schemaRef ds:uri="http://schemas.openxmlformats.org/officeDocument/2006/bibliography"/>
  </ds:schemaRefs>
</ds:datastoreItem>
</file>

<file path=customXml/itemProps2.xml><?xml version="1.0" encoding="utf-8"?>
<ds:datastoreItem xmlns:ds="http://schemas.openxmlformats.org/officeDocument/2006/customXml" ds:itemID="{4EF841A9-B73A-4128-BF75-3FF8130FC85E}">
  <ds:schemaRefs>
    <ds:schemaRef ds:uri="http://schemas.microsoft.com/sharepoint/v3/contenttype/forms"/>
  </ds:schemaRefs>
</ds:datastoreItem>
</file>

<file path=customXml/itemProps3.xml><?xml version="1.0" encoding="utf-8"?>
<ds:datastoreItem xmlns:ds="http://schemas.openxmlformats.org/officeDocument/2006/customXml" ds:itemID="{0B9C8470-2152-456D-8828-67E5CCC438F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EEB238-0492-435A-B6BA-520FC5E18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c48ee7-af62-47a4-8106-dabc8c23ba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285</Pages>
  <Words>127988</Words>
  <Characters>729537</Characters>
  <Application>Microsoft Office Word</Application>
  <DocSecurity>0</DocSecurity>
  <Lines>6079</Lines>
  <Paragraphs>1711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855814</CharactersWithSpaces>
  <SharedDoc>false</SharedDoc>
  <HLinks>
    <vt:vector size="4116" baseType="variant">
      <vt:variant>
        <vt:i4>262167</vt:i4>
      </vt:variant>
      <vt:variant>
        <vt:i4>1912</vt:i4>
      </vt:variant>
      <vt:variant>
        <vt:i4>0</vt:i4>
      </vt:variant>
      <vt:variant>
        <vt:i4>5</vt:i4>
      </vt:variant>
      <vt:variant>
        <vt:lpwstr>http://www.rpa-europe.eu/</vt:lpwstr>
      </vt:variant>
      <vt:variant>
        <vt:lpwstr/>
      </vt:variant>
      <vt:variant>
        <vt:i4>4456471</vt:i4>
      </vt:variant>
      <vt:variant>
        <vt:i4>1426</vt:i4>
      </vt:variant>
      <vt:variant>
        <vt:i4>0</vt:i4>
      </vt:variant>
      <vt:variant>
        <vt:i4>5</vt:i4>
      </vt:variant>
      <vt:variant>
        <vt:lpwstr>https://www.e-tar.lt/portal/lt/legalAct/TAR.2716576D8D0C/asr</vt:lpwstr>
      </vt:variant>
      <vt:variant>
        <vt:lpwstr/>
      </vt:variant>
      <vt:variant>
        <vt:i4>1835032</vt:i4>
      </vt:variant>
      <vt:variant>
        <vt:i4>1423</vt:i4>
      </vt:variant>
      <vt:variant>
        <vt:i4>0</vt:i4>
      </vt:variant>
      <vt:variant>
        <vt:i4>5</vt:i4>
      </vt:variant>
      <vt:variant>
        <vt:lpwstr>https://www.e-tar.lt/portal/lt/legalAct/TAR.793560F67ADF/asr</vt:lpwstr>
      </vt:variant>
      <vt:variant>
        <vt:lpwstr/>
      </vt:variant>
      <vt:variant>
        <vt:i4>327747</vt:i4>
      </vt:variant>
      <vt:variant>
        <vt:i4>1420</vt:i4>
      </vt:variant>
      <vt:variant>
        <vt:i4>0</vt:i4>
      </vt:variant>
      <vt:variant>
        <vt:i4>5</vt:i4>
      </vt:variant>
      <vt:variant>
        <vt:lpwstr>https://e-seimas.lrs.lt/portal/legalAct/lt/TAD/TAIS.6036/asr</vt:lpwstr>
      </vt:variant>
      <vt:variant>
        <vt:lpwstr/>
      </vt:variant>
      <vt:variant>
        <vt:i4>917582</vt:i4>
      </vt:variant>
      <vt:variant>
        <vt:i4>1417</vt:i4>
      </vt:variant>
      <vt:variant>
        <vt:i4>0</vt:i4>
      </vt:variant>
      <vt:variant>
        <vt:i4>5</vt:i4>
      </vt:variant>
      <vt:variant>
        <vt:lpwstr>https://www.e-tar.lt/portal/lt/legalActEditions/TAR.FFF9AE9162EE?faces-redirect=true</vt:lpwstr>
      </vt:variant>
      <vt:variant>
        <vt:lpwstr/>
      </vt:variant>
      <vt:variant>
        <vt:i4>5570567</vt:i4>
      </vt:variant>
      <vt:variant>
        <vt:i4>1351</vt:i4>
      </vt:variant>
      <vt:variant>
        <vt:i4>0</vt:i4>
      </vt:variant>
      <vt:variant>
        <vt:i4>5</vt:i4>
      </vt:variant>
      <vt:variant>
        <vt:lpwstr>file:///C:/Users/Ravazzilda/Downloads/35a7051a-en.pdf</vt:lpwstr>
      </vt:variant>
      <vt:variant>
        <vt:lpwstr/>
      </vt:variant>
      <vt:variant>
        <vt:i4>1441841</vt:i4>
      </vt:variant>
      <vt:variant>
        <vt:i4>818</vt:i4>
      </vt:variant>
      <vt:variant>
        <vt:i4>0</vt:i4>
      </vt:variant>
      <vt:variant>
        <vt:i4>5</vt:i4>
      </vt:variant>
      <vt:variant>
        <vt:lpwstr/>
      </vt:variant>
      <vt:variant>
        <vt:lpwstr>_Toc213084841</vt:lpwstr>
      </vt:variant>
      <vt:variant>
        <vt:i4>1441841</vt:i4>
      </vt:variant>
      <vt:variant>
        <vt:i4>812</vt:i4>
      </vt:variant>
      <vt:variant>
        <vt:i4>0</vt:i4>
      </vt:variant>
      <vt:variant>
        <vt:i4>5</vt:i4>
      </vt:variant>
      <vt:variant>
        <vt:lpwstr/>
      </vt:variant>
      <vt:variant>
        <vt:lpwstr>_Toc213084840</vt:lpwstr>
      </vt:variant>
      <vt:variant>
        <vt:i4>1114161</vt:i4>
      </vt:variant>
      <vt:variant>
        <vt:i4>806</vt:i4>
      </vt:variant>
      <vt:variant>
        <vt:i4>0</vt:i4>
      </vt:variant>
      <vt:variant>
        <vt:i4>5</vt:i4>
      </vt:variant>
      <vt:variant>
        <vt:lpwstr/>
      </vt:variant>
      <vt:variant>
        <vt:lpwstr>_Toc213084839</vt:lpwstr>
      </vt:variant>
      <vt:variant>
        <vt:i4>1114161</vt:i4>
      </vt:variant>
      <vt:variant>
        <vt:i4>800</vt:i4>
      </vt:variant>
      <vt:variant>
        <vt:i4>0</vt:i4>
      </vt:variant>
      <vt:variant>
        <vt:i4>5</vt:i4>
      </vt:variant>
      <vt:variant>
        <vt:lpwstr/>
      </vt:variant>
      <vt:variant>
        <vt:lpwstr>_Toc213084838</vt:lpwstr>
      </vt:variant>
      <vt:variant>
        <vt:i4>1114161</vt:i4>
      </vt:variant>
      <vt:variant>
        <vt:i4>794</vt:i4>
      </vt:variant>
      <vt:variant>
        <vt:i4>0</vt:i4>
      </vt:variant>
      <vt:variant>
        <vt:i4>5</vt:i4>
      </vt:variant>
      <vt:variant>
        <vt:lpwstr/>
      </vt:variant>
      <vt:variant>
        <vt:lpwstr>_Toc213084837</vt:lpwstr>
      </vt:variant>
      <vt:variant>
        <vt:i4>1114161</vt:i4>
      </vt:variant>
      <vt:variant>
        <vt:i4>788</vt:i4>
      </vt:variant>
      <vt:variant>
        <vt:i4>0</vt:i4>
      </vt:variant>
      <vt:variant>
        <vt:i4>5</vt:i4>
      </vt:variant>
      <vt:variant>
        <vt:lpwstr/>
      </vt:variant>
      <vt:variant>
        <vt:lpwstr>_Toc213084836</vt:lpwstr>
      </vt:variant>
      <vt:variant>
        <vt:i4>1114161</vt:i4>
      </vt:variant>
      <vt:variant>
        <vt:i4>782</vt:i4>
      </vt:variant>
      <vt:variant>
        <vt:i4>0</vt:i4>
      </vt:variant>
      <vt:variant>
        <vt:i4>5</vt:i4>
      </vt:variant>
      <vt:variant>
        <vt:lpwstr/>
      </vt:variant>
      <vt:variant>
        <vt:lpwstr>_Toc213084835</vt:lpwstr>
      </vt:variant>
      <vt:variant>
        <vt:i4>1114161</vt:i4>
      </vt:variant>
      <vt:variant>
        <vt:i4>776</vt:i4>
      </vt:variant>
      <vt:variant>
        <vt:i4>0</vt:i4>
      </vt:variant>
      <vt:variant>
        <vt:i4>5</vt:i4>
      </vt:variant>
      <vt:variant>
        <vt:lpwstr/>
      </vt:variant>
      <vt:variant>
        <vt:lpwstr>_Toc213084834</vt:lpwstr>
      </vt:variant>
      <vt:variant>
        <vt:i4>1114161</vt:i4>
      </vt:variant>
      <vt:variant>
        <vt:i4>770</vt:i4>
      </vt:variant>
      <vt:variant>
        <vt:i4>0</vt:i4>
      </vt:variant>
      <vt:variant>
        <vt:i4>5</vt:i4>
      </vt:variant>
      <vt:variant>
        <vt:lpwstr/>
      </vt:variant>
      <vt:variant>
        <vt:lpwstr>_Toc213084833</vt:lpwstr>
      </vt:variant>
      <vt:variant>
        <vt:i4>1114161</vt:i4>
      </vt:variant>
      <vt:variant>
        <vt:i4>764</vt:i4>
      </vt:variant>
      <vt:variant>
        <vt:i4>0</vt:i4>
      </vt:variant>
      <vt:variant>
        <vt:i4>5</vt:i4>
      </vt:variant>
      <vt:variant>
        <vt:lpwstr/>
      </vt:variant>
      <vt:variant>
        <vt:lpwstr>_Toc213084832</vt:lpwstr>
      </vt:variant>
      <vt:variant>
        <vt:i4>1114161</vt:i4>
      </vt:variant>
      <vt:variant>
        <vt:i4>758</vt:i4>
      </vt:variant>
      <vt:variant>
        <vt:i4>0</vt:i4>
      </vt:variant>
      <vt:variant>
        <vt:i4>5</vt:i4>
      </vt:variant>
      <vt:variant>
        <vt:lpwstr/>
      </vt:variant>
      <vt:variant>
        <vt:lpwstr>_Toc213084831</vt:lpwstr>
      </vt:variant>
      <vt:variant>
        <vt:i4>1114161</vt:i4>
      </vt:variant>
      <vt:variant>
        <vt:i4>752</vt:i4>
      </vt:variant>
      <vt:variant>
        <vt:i4>0</vt:i4>
      </vt:variant>
      <vt:variant>
        <vt:i4>5</vt:i4>
      </vt:variant>
      <vt:variant>
        <vt:lpwstr/>
      </vt:variant>
      <vt:variant>
        <vt:lpwstr>_Toc213084830</vt:lpwstr>
      </vt:variant>
      <vt:variant>
        <vt:i4>1048625</vt:i4>
      </vt:variant>
      <vt:variant>
        <vt:i4>746</vt:i4>
      </vt:variant>
      <vt:variant>
        <vt:i4>0</vt:i4>
      </vt:variant>
      <vt:variant>
        <vt:i4>5</vt:i4>
      </vt:variant>
      <vt:variant>
        <vt:lpwstr/>
      </vt:variant>
      <vt:variant>
        <vt:lpwstr>_Toc213084829</vt:lpwstr>
      </vt:variant>
      <vt:variant>
        <vt:i4>1048625</vt:i4>
      </vt:variant>
      <vt:variant>
        <vt:i4>740</vt:i4>
      </vt:variant>
      <vt:variant>
        <vt:i4>0</vt:i4>
      </vt:variant>
      <vt:variant>
        <vt:i4>5</vt:i4>
      </vt:variant>
      <vt:variant>
        <vt:lpwstr/>
      </vt:variant>
      <vt:variant>
        <vt:lpwstr>_Toc213084828</vt:lpwstr>
      </vt:variant>
      <vt:variant>
        <vt:i4>1048625</vt:i4>
      </vt:variant>
      <vt:variant>
        <vt:i4>734</vt:i4>
      </vt:variant>
      <vt:variant>
        <vt:i4>0</vt:i4>
      </vt:variant>
      <vt:variant>
        <vt:i4>5</vt:i4>
      </vt:variant>
      <vt:variant>
        <vt:lpwstr/>
      </vt:variant>
      <vt:variant>
        <vt:lpwstr>_Toc213084827</vt:lpwstr>
      </vt:variant>
      <vt:variant>
        <vt:i4>1048625</vt:i4>
      </vt:variant>
      <vt:variant>
        <vt:i4>728</vt:i4>
      </vt:variant>
      <vt:variant>
        <vt:i4>0</vt:i4>
      </vt:variant>
      <vt:variant>
        <vt:i4>5</vt:i4>
      </vt:variant>
      <vt:variant>
        <vt:lpwstr/>
      </vt:variant>
      <vt:variant>
        <vt:lpwstr>_Toc213084826</vt:lpwstr>
      </vt:variant>
      <vt:variant>
        <vt:i4>1048625</vt:i4>
      </vt:variant>
      <vt:variant>
        <vt:i4>722</vt:i4>
      </vt:variant>
      <vt:variant>
        <vt:i4>0</vt:i4>
      </vt:variant>
      <vt:variant>
        <vt:i4>5</vt:i4>
      </vt:variant>
      <vt:variant>
        <vt:lpwstr/>
      </vt:variant>
      <vt:variant>
        <vt:lpwstr>_Toc213084825</vt:lpwstr>
      </vt:variant>
      <vt:variant>
        <vt:i4>1048625</vt:i4>
      </vt:variant>
      <vt:variant>
        <vt:i4>716</vt:i4>
      </vt:variant>
      <vt:variant>
        <vt:i4>0</vt:i4>
      </vt:variant>
      <vt:variant>
        <vt:i4>5</vt:i4>
      </vt:variant>
      <vt:variant>
        <vt:lpwstr/>
      </vt:variant>
      <vt:variant>
        <vt:lpwstr>_Toc213084824</vt:lpwstr>
      </vt:variant>
      <vt:variant>
        <vt:i4>1048625</vt:i4>
      </vt:variant>
      <vt:variant>
        <vt:i4>710</vt:i4>
      </vt:variant>
      <vt:variant>
        <vt:i4>0</vt:i4>
      </vt:variant>
      <vt:variant>
        <vt:i4>5</vt:i4>
      </vt:variant>
      <vt:variant>
        <vt:lpwstr/>
      </vt:variant>
      <vt:variant>
        <vt:lpwstr>_Toc213084823</vt:lpwstr>
      </vt:variant>
      <vt:variant>
        <vt:i4>1048625</vt:i4>
      </vt:variant>
      <vt:variant>
        <vt:i4>704</vt:i4>
      </vt:variant>
      <vt:variant>
        <vt:i4>0</vt:i4>
      </vt:variant>
      <vt:variant>
        <vt:i4>5</vt:i4>
      </vt:variant>
      <vt:variant>
        <vt:lpwstr/>
      </vt:variant>
      <vt:variant>
        <vt:lpwstr>_Toc213084822</vt:lpwstr>
      </vt:variant>
      <vt:variant>
        <vt:i4>1048625</vt:i4>
      </vt:variant>
      <vt:variant>
        <vt:i4>698</vt:i4>
      </vt:variant>
      <vt:variant>
        <vt:i4>0</vt:i4>
      </vt:variant>
      <vt:variant>
        <vt:i4>5</vt:i4>
      </vt:variant>
      <vt:variant>
        <vt:lpwstr/>
      </vt:variant>
      <vt:variant>
        <vt:lpwstr>_Toc213084821</vt:lpwstr>
      </vt:variant>
      <vt:variant>
        <vt:i4>1048625</vt:i4>
      </vt:variant>
      <vt:variant>
        <vt:i4>692</vt:i4>
      </vt:variant>
      <vt:variant>
        <vt:i4>0</vt:i4>
      </vt:variant>
      <vt:variant>
        <vt:i4>5</vt:i4>
      </vt:variant>
      <vt:variant>
        <vt:lpwstr/>
      </vt:variant>
      <vt:variant>
        <vt:lpwstr>_Toc213084820</vt:lpwstr>
      </vt:variant>
      <vt:variant>
        <vt:i4>1245233</vt:i4>
      </vt:variant>
      <vt:variant>
        <vt:i4>686</vt:i4>
      </vt:variant>
      <vt:variant>
        <vt:i4>0</vt:i4>
      </vt:variant>
      <vt:variant>
        <vt:i4>5</vt:i4>
      </vt:variant>
      <vt:variant>
        <vt:lpwstr/>
      </vt:variant>
      <vt:variant>
        <vt:lpwstr>_Toc213084819</vt:lpwstr>
      </vt:variant>
      <vt:variant>
        <vt:i4>1245233</vt:i4>
      </vt:variant>
      <vt:variant>
        <vt:i4>680</vt:i4>
      </vt:variant>
      <vt:variant>
        <vt:i4>0</vt:i4>
      </vt:variant>
      <vt:variant>
        <vt:i4>5</vt:i4>
      </vt:variant>
      <vt:variant>
        <vt:lpwstr/>
      </vt:variant>
      <vt:variant>
        <vt:lpwstr>_Toc213084818</vt:lpwstr>
      </vt:variant>
      <vt:variant>
        <vt:i4>1245233</vt:i4>
      </vt:variant>
      <vt:variant>
        <vt:i4>674</vt:i4>
      </vt:variant>
      <vt:variant>
        <vt:i4>0</vt:i4>
      </vt:variant>
      <vt:variant>
        <vt:i4>5</vt:i4>
      </vt:variant>
      <vt:variant>
        <vt:lpwstr/>
      </vt:variant>
      <vt:variant>
        <vt:lpwstr>_Toc213084817</vt:lpwstr>
      </vt:variant>
      <vt:variant>
        <vt:i4>1245233</vt:i4>
      </vt:variant>
      <vt:variant>
        <vt:i4>668</vt:i4>
      </vt:variant>
      <vt:variant>
        <vt:i4>0</vt:i4>
      </vt:variant>
      <vt:variant>
        <vt:i4>5</vt:i4>
      </vt:variant>
      <vt:variant>
        <vt:lpwstr/>
      </vt:variant>
      <vt:variant>
        <vt:lpwstr>_Toc213084816</vt:lpwstr>
      </vt:variant>
      <vt:variant>
        <vt:i4>1245233</vt:i4>
      </vt:variant>
      <vt:variant>
        <vt:i4>662</vt:i4>
      </vt:variant>
      <vt:variant>
        <vt:i4>0</vt:i4>
      </vt:variant>
      <vt:variant>
        <vt:i4>5</vt:i4>
      </vt:variant>
      <vt:variant>
        <vt:lpwstr/>
      </vt:variant>
      <vt:variant>
        <vt:lpwstr>_Toc213084815</vt:lpwstr>
      </vt:variant>
      <vt:variant>
        <vt:i4>1245233</vt:i4>
      </vt:variant>
      <vt:variant>
        <vt:i4>656</vt:i4>
      </vt:variant>
      <vt:variant>
        <vt:i4>0</vt:i4>
      </vt:variant>
      <vt:variant>
        <vt:i4>5</vt:i4>
      </vt:variant>
      <vt:variant>
        <vt:lpwstr/>
      </vt:variant>
      <vt:variant>
        <vt:lpwstr>_Toc213084814</vt:lpwstr>
      </vt:variant>
      <vt:variant>
        <vt:i4>1245233</vt:i4>
      </vt:variant>
      <vt:variant>
        <vt:i4>650</vt:i4>
      </vt:variant>
      <vt:variant>
        <vt:i4>0</vt:i4>
      </vt:variant>
      <vt:variant>
        <vt:i4>5</vt:i4>
      </vt:variant>
      <vt:variant>
        <vt:lpwstr/>
      </vt:variant>
      <vt:variant>
        <vt:lpwstr>_Toc213084813</vt:lpwstr>
      </vt:variant>
      <vt:variant>
        <vt:i4>1245233</vt:i4>
      </vt:variant>
      <vt:variant>
        <vt:i4>644</vt:i4>
      </vt:variant>
      <vt:variant>
        <vt:i4>0</vt:i4>
      </vt:variant>
      <vt:variant>
        <vt:i4>5</vt:i4>
      </vt:variant>
      <vt:variant>
        <vt:lpwstr/>
      </vt:variant>
      <vt:variant>
        <vt:lpwstr>_Toc213084812</vt:lpwstr>
      </vt:variant>
      <vt:variant>
        <vt:i4>1245233</vt:i4>
      </vt:variant>
      <vt:variant>
        <vt:i4>638</vt:i4>
      </vt:variant>
      <vt:variant>
        <vt:i4>0</vt:i4>
      </vt:variant>
      <vt:variant>
        <vt:i4>5</vt:i4>
      </vt:variant>
      <vt:variant>
        <vt:lpwstr/>
      </vt:variant>
      <vt:variant>
        <vt:lpwstr>_Toc213084811</vt:lpwstr>
      </vt:variant>
      <vt:variant>
        <vt:i4>1245233</vt:i4>
      </vt:variant>
      <vt:variant>
        <vt:i4>632</vt:i4>
      </vt:variant>
      <vt:variant>
        <vt:i4>0</vt:i4>
      </vt:variant>
      <vt:variant>
        <vt:i4>5</vt:i4>
      </vt:variant>
      <vt:variant>
        <vt:lpwstr/>
      </vt:variant>
      <vt:variant>
        <vt:lpwstr>_Toc213084810</vt:lpwstr>
      </vt:variant>
      <vt:variant>
        <vt:i4>1179697</vt:i4>
      </vt:variant>
      <vt:variant>
        <vt:i4>626</vt:i4>
      </vt:variant>
      <vt:variant>
        <vt:i4>0</vt:i4>
      </vt:variant>
      <vt:variant>
        <vt:i4>5</vt:i4>
      </vt:variant>
      <vt:variant>
        <vt:lpwstr/>
      </vt:variant>
      <vt:variant>
        <vt:lpwstr>_Toc213084809</vt:lpwstr>
      </vt:variant>
      <vt:variant>
        <vt:i4>1179697</vt:i4>
      </vt:variant>
      <vt:variant>
        <vt:i4>620</vt:i4>
      </vt:variant>
      <vt:variant>
        <vt:i4>0</vt:i4>
      </vt:variant>
      <vt:variant>
        <vt:i4>5</vt:i4>
      </vt:variant>
      <vt:variant>
        <vt:lpwstr/>
      </vt:variant>
      <vt:variant>
        <vt:lpwstr>_Toc213084808</vt:lpwstr>
      </vt:variant>
      <vt:variant>
        <vt:i4>1179697</vt:i4>
      </vt:variant>
      <vt:variant>
        <vt:i4>614</vt:i4>
      </vt:variant>
      <vt:variant>
        <vt:i4>0</vt:i4>
      </vt:variant>
      <vt:variant>
        <vt:i4>5</vt:i4>
      </vt:variant>
      <vt:variant>
        <vt:lpwstr/>
      </vt:variant>
      <vt:variant>
        <vt:lpwstr>_Toc213084807</vt:lpwstr>
      </vt:variant>
      <vt:variant>
        <vt:i4>1179697</vt:i4>
      </vt:variant>
      <vt:variant>
        <vt:i4>608</vt:i4>
      </vt:variant>
      <vt:variant>
        <vt:i4>0</vt:i4>
      </vt:variant>
      <vt:variant>
        <vt:i4>5</vt:i4>
      </vt:variant>
      <vt:variant>
        <vt:lpwstr/>
      </vt:variant>
      <vt:variant>
        <vt:lpwstr>_Toc213084806</vt:lpwstr>
      </vt:variant>
      <vt:variant>
        <vt:i4>1179697</vt:i4>
      </vt:variant>
      <vt:variant>
        <vt:i4>602</vt:i4>
      </vt:variant>
      <vt:variant>
        <vt:i4>0</vt:i4>
      </vt:variant>
      <vt:variant>
        <vt:i4>5</vt:i4>
      </vt:variant>
      <vt:variant>
        <vt:lpwstr/>
      </vt:variant>
      <vt:variant>
        <vt:lpwstr>_Toc213084805</vt:lpwstr>
      </vt:variant>
      <vt:variant>
        <vt:i4>1179697</vt:i4>
      </vt:variant>
      <vt:variant>
        <vt:i4>596</vt:i4>
      </vt:variant>
      <vt:variant>
        <vt:i4>0</vt:i4>
      </vt:variant>
      <vt:variant>
        <vt:i4>5</vt:i4>
      </vt:variant>
      <vt:variant>
        <vt:lpwstr/>
      </vt:variant>
      <vt:variant>
        <vt:lpwstr>_Toc213084804</vt:lpwstr>
      </vt:variant>
      <vt:variant>
        <vt:i4>1179697</vt:i4>
      </vt:variant>
      <vt:variant>
        <vt:i4>590</vt:i4>
      </vt:variant>
      <vt:variant>
        <vt:i4>0</vt:i4>
      </vt:variant>
      <vt:variant>
        <vt:i4>5</vt:i4>
      </vt:variant>
      <vt:variant>
        <vt:lpwstr/>
      </vt:variant>
      <vt:variant>
        <vt:lpwstr>_Toc213084803</vt:lpwstr>
      </vt:variant>
      <vt:variant>
        <vt:i4>1179697</vt:i4>
      </vt:variant>
      <vt:variant>
        <vt:i4>584</vt:i4>
      </vt:variant>
      <vt:variant>
        <vt:i4>0</vt:i4>
      </vt:variant>
      <vt:variant>
        <vt:i4>5</vt:i4>
      </vt:variant>
      <vt:variant>
        <vt:lpwstr/>
      </vt:variant>
      <vt:variant>
        <vt:lpwstr>_Toc213084802</vt:lpwstr>
      </vt:variant>
      <vt:variant>
        <vt:i4>1179697</vt:i4>
      </vt:variant>
      <vt:variant>
        <vt:i4>578</vt:i4>
      </vt:variant>
      <vt:variant>
        <vt:i4>0</vt:i4>
      </vt:variant>
      <vt:variant>
        <vt:i4>5</vt:i4>
      </vt:variant>
      <vt:variant>
        <vt:lpwstr/>
      </vt:variant>
      <vt:variant>
        <vt:lpwstr>_Toc213084801</vt:lpwstr>
      </vt:variant>
      <vt:variant>
        <vt:i4>1179697</vt:i4>
      </vt:variant>
      <vt:variant>
        <vt:i4>572</vt:i4>
      </vt:variant>
      <vt:variant>
        <vt:i4>0</vt:i4>
      </vt:variant>
      <vt:variant>
        <vt:i4>5</vt:i4>
      </vt:variant>
      <vt:variant>
        <vt:lpwstr/>
      </vt:variant>
      <vt:variant>
        <vt:lpwstr>_Toc213084800</vt:lpwstr>
      </vt:variant>
      <vt:variant>
        <vt:i4>1769534</vt:i4>
      </vt:variant>
      <vt:variant>
        <vt:i4>566</vt:i4>
      </vt:variant>
      <vt:variant>
        <vt:i4>0</vt:i4>
      </vt:variant>
      <vt:variant>
        <vt:i4>5</vt:i4>
      </vt:variant>
      <vt:variant>
        <vt:lpwstr/>
      </vt:variant>
      <vt:variant>
        <vt:lpwstr>_Toc213084799</vt:lpwstr>
      </vt:variant>
      <vt:variant>
        <vt:i4>1769534</vt:i4>
      </vt:variant>
      <vt:variant>
        <vt:i4>560</vt:i4>
      </vt:variant>
      <vt:variant>
        <vt:i4>0</vt:i4>
      </vt:variant>
      <vt:variant>
        <vt:i4>5</vt:i4>
      </vt:variant>
      <vt:variant>
        <vt:lpwstr/>
      </vt:variant>
      <vt:variant>
        <vt:lpwstr>_Toc213084798</vt:lpwstr>
      </vt:variant>
      <vt:variant>
        <vt:i4>1769534</vt:i4>
      </vt:variant>
      <vt:variant>
        <vt:i4>554</vt:i4>
      </vt:variant>
      <vt:variant>
        <vt:i4>0</vt:i4>
      </vt:variant>
      <vt:variant>
        <vt:i4>5</vt:i4>
      </vt:variant>
      <vt:variant>
        <vt:lpwstr/>
      </vt:variant>
      <vt:variant>
        <vt:lpwstr>_Toc213084797</vt:lpwstr>
      </vt:variant>
      <vt:variant>
        <vt:i4>1769534</vt:i4>
      </vt:variant>
      <vt:variant>
        <vt:i4>548</vt:i4>
      </vt:variant>
      <vt:variant>
        <vt:i4>0</vt:i4>
      </vt:variant>
      <vt:variant>
        <vt:i4>5</vt:i4>
      </vt:variant>
      <vt:variant>
        <vt:lpwstr/>
      </vt:variant>
      <vt:variant>
        <vt:lpwstr>_Toc213084796</vt:lpwstr>
      </vt:variant>
      <vt:variant>
        <vt:i4>1769534</vt:i4>
      </vt:variant>
      <vt:variant>
        <vt:i4>542</vt:i4>
      </vt:variant>
      <vt:variant>
        <vt:i4>0</vt:i4>
      </vt:variant>
      <vt:variant>
        <vt:i4>5</vt:i4>
      </vt:variant>
      <vt:variant>
        <vt:lpwstr/>
      </vt:variant>
      <vt:variant>
        <vt:lpwstr>_Toc213084795</vt:lpwstr>
      </vt:variant>
      <vt:variant>
        <vt:i4>1769534</vt:i4>
      </vt:variant>
      <vt:variant>
        <vt:i4>536</vt:i4>
      </vt:variant>
      <vt:variant>
        <vt:i4>0</vt:i4>
      </vt:variant>
      <vt:variant>
        <vt:i4>5</vt:i4>
      </vt:variant>
      <vt:variant>
        <vt:lpwstr/>
      </vt:variant>
      <vt:variant>
        <vt:lpwstr>_Toc213084794</vt:lpwstr>
      </vt:variant>
      <vt:variant>
        <vt:i4>1769534</vt:i4>
      </vt:variant>
      <vt:variant>
        <vt:i4>530</vt:i4>
      </vt:variant>
      <vt:variant>
        <vt:i4>0</vt:i4>
      </vt:variant>
      <vt:variant>
        <vt:i4>5</vt:i4>
      </vt:variant>
      <vt:variant>
        <vt:lpwstr/>
      </vt:variant>
      <vt:variant>
        <vt:lpwstr>_Toc213084793</vt:lpwstr>
      </vt:variant>
      <vt:variant>
        <vt:i4>1769534</vt:i4>
      </vt:variant>
      <vt:variant>
        <vt:i4>524</vt:i4>
      </vt:variant>
      <vt:variant>
        <vt:i4>0</vt:i4>
      </vt:variant>
      <vt:variant>
        <vt:i4>5</vt:i4>
      </vt:variant>
      <vt:variant>
        <vt:lpwstr/>
      </vt:variant>
      <vt:variant>
        <vt:lpwstr>_Toc213084792</vt:lpwstr>
      </vt:variant>
      <vt:variant>
        <vt:i4>1769534</vt:i4>
      </vt:variant>
      <vt:variant>
        <vt:i4>518</vt:i4>
      </vt:variant>
      <vt:variant>
        <vt:i4>0</vt:i4>
      </vt:variant>
      <vt:variant>
        <vt:i4>5</vt:i4>
      </vt:variant>
      <vt:variant>
        <vt:lpwstr/>
      </vt:variant>
      <vt:variant>
        <vt:lpwstr>_Toc213084791</vt:lpwstr>
      </vt:variant>
      <vt:variant>
        <vt:i4>1769534</vt:i4>
      </vt:variant>
      <vt:variant>
        <vt:i4>512</vt:i4>
      </vt:variant>
      <vt:variant>
        <vt:i4>0</vt:i4>
      </vt:variant>
      <vt:variant>
        <vt:i4>5</vt:i4>
      </vt:variant>
      <vt:variant>
        <vt:lpwstr/>
      </vt:variant>
      <vt:variant>
        <vt:lpwstr>_Toc213084790</vt:lpwstr>
      </vt:variant>
      <vt:variant>
        <vt:i4>1703998</vt:i4>
      </vt:variant>
      <vt:variant>
        <vt:i4>506</vt:i4>
      </vt:variant>
      <vt:variant>
        <vt:i4>0</vt:i4>
      </vt:variant>
      <vt:variant>
        <vt:i4>5</vt:i4>
      </vt:variant>
      <vt:variant>
        <vt:lpwstr/>
      </vt:variant>
      <vt:variant>
        <vt:lpwstr>_Toc213084789</vt:lpwstr>
      </vt:variant>
      <vt:variant>
        <vt:i4>1703998</vt:i4>
      </vt:variant>
      <vt:variant>
        <vt:i4>500</vt:i4>
      </vt:variant>
      <vt:variant>
        <vt:i4>0</vt:i4>
      </vt:variant>
      <vt:variant>
        <vt:i4>5</vt:i4>
      </vt:variant>
      <vt:variant>
        <vt:lpwstr/>
      </vt:variant>
      <vt:variant>
        <vt:lpwstr>_Toc213084788</vt:lpwstr>
      </vt:variant>
      <vt:variant>
        <vt:i4>1703998</vt:i4>
      </vt:variant>
      <vt:variant>
        <vt:i4>494</vt:i4>
      </vt:variant>
      <vt:variant>
        <vt:i4>0</vt:i4>
      </vt:variant>
      <vt:variant>
        <vt:i4>5</vt:i4>
      </vt:variant>
      <vt:variant>
        <vt:lpwstr/>
      </vt:variant>
      <vt:variant>
        <vt:lpwstr>_Toc213084787</vt:lpwstr>
      </vt:variant>
      <vt:variant>
        <vt:i4>1703998</vt:i4>
      </vt:variant>
      <vt:variant>
        <vt:i4>488</vt:i4>
      </vt:variant>
      <vt:variant>
        <vt:i4>0</vt:i4>
      </vt:variant>
      <vt:variant>
        <vt:i4>5</vt:i4>
      </vt:variant>
      <vt:variant>
        <vt:lpwstr/>
      </vt:variant>
      <vt:variant>
        <vt:lpwstr>_Toc213084786</vt:lpwstr>
      </vt:variant>
      <vt:variant>
        <vt:i4>1703998</vt:i4>
      </vt:variant>
      <vt:variant>
        <vt:i4>482</vt:i4>
      </vt:variant>
      <vt:variant>
        <vt:i4>0</vt:i4>
      </vt:variant>
      <vt:variant>
        <vt:i4>5</vt:i4>
      </vt:variant>
      <vt:variant>
        <vt:lpwstr/>
      </vt:variant>
      <vt:variant>
        <vt:lpwstr>_Toc213084785</vt:lpwstr>
      </vt:variant>
      <vt:variant>
        <vt:i4>1703998</vt:i4>
      </vt:variant>
      <vt:variant>
        <vt:i4>476</vt:i4>
      </vt:variant>
      <vt:variant>
        <vt:i4>0</vt:i4>
      </vt:variant>
      <vt:variant>
        <vt:i4>5</vt:i4>
      </vt:variant>
      <vt:variant>
        <vt:lpwstr/>
      </vt:variant>
      <vt:variant>
        <vt:lpwstr>_Toc213084784</vt:lpwstr>
      </vt:variant>
      <vt:variant>
        <vt:i4>1703998</vt:i4>
      </vt:variant>
      <vt:variant>
        <vt:i4>470</vt:i4>
      </vt:variant>
      <vt:variant>
        <vt:i4>0</vt:i4>
      </vt:variant>
      <vt:variant>
        <vt:i4>5</vt:i4>
      </vt:variant>
      <vt:variant>
        <vt:lpwstr/>
      </vt:variant>
      <vt:variant>
        <vt:lpwstr>_Toc213084783</vt:lpwstr>
      </vt:variant>
      <vt:variant>
        <vt:i4>1703998</vt:i4>
      </vt:variant>
      <vt:variant>
        <vt:i4>464</vt:i4>
      </vt:variant>
      <vt:variant>
        <vt:i4>0</vt:i4>
      </vt:variant>
      <vt:variant>
        <vt:i4>5</vt:i4>
      </vt:variant>
      <vt:variant>
        <vt:lpwstr/>
      </vt:variant>
      <vt:variant>
        <vt:lpwstr>_Toc213084782</vt:lpwstr>
      </vt:variant>
      <vt:variant>
        <vt:i4>1703998</vt:i4>
      </vt:variant>
      <vt:variant>
        <vt:i4>458</vt:i4>
      </vt:variant>
      <vt:variant>
        <vt:i4>0</vt:i4>
      </vt:variant>
      <vt:variant>
        <vt:i4>5</vt:i4>
      </vt:variant>
      <vt:variant>
        <vt:lpwstr/>
      </vt:variant>
      <vt:variant>
        <vt:lpwstr>_Toc213084781</vt:lpwstr>
      </vt:variant>
      <vt:variant>
        <vt:i4>1703998</vt:i4>
      </vt:variant>
      <vt:variant>
        <vt:i4>452</vt:i4>
      </vt:variant>
      <vt:variant>
        <vt:i4>0</vt:i4>
      </vt:variant>
      <vt:variant>
        <vt:i4>5</vt:i4>
      </vt:variant>
      <vt:variant>
        <vt:lpwstr/>
      </vt:variant>
      <vt:variant>
        <vt:lpwstr>_Toc213084780</vt:lpwstr>
      </vt:variant>
      <vt:variant>
        <vt:i4>1376318</vt:i4>
      </vt:variant>
      <vt:variant>
        <vt:i4>446</vt:i4>
      </vt:variant>
      <vt:variant>
        <vt:i4>0</vt:i4>
      </vt:variant>
      <vt:variant>
        <vt:i4>5</vt:i4>
      </vt:variant>
      <vt:variant>
        <vt:lpwstr/>
      </vt:variant>
      <vt:variant>
        <vt:lpwstr>_Toc213084779</vt:lpwstr>
      </vt:variant>
      <vt:variant>
        <vt:i4>1376318</vt:i4>
      </vt:variant>
      <vt:variant>
        <vt:i4>440</vt:i4>
      </vt:variant>
      <vt:variant>
        <vt:i4>0</vt:i4>
      </vt:variant>
      <vt:variant>
        <vt:i4>5</vt:i4>
      </vt:variant>
      <vt:variant>
        <vt:lpwstr/>
      </vt:variant>
      <vt:variant>
        <vt:lpwstr>_Toc213084778</vt:lpwstr>
      </vt:variant>
      <vt:variant>
        <vt:i4>1376318</vt:i4>
      </vt:variant>
      <vt:variant>
        <vt:i4>434</vt:i4>
      </vt:variant>
      <vt:variant>
        <vt:i4>0</vt:i4>
      </vt:variant>
      <vt:variant>
        <vt:i4>5</vt:i4>
      </vt:variant>
      <vt:variant>
        <vt:lpwstr/>
      </vt:variant>
      <vt:variant>
        <vt:lpwstr>_Toc213084777</vt:lpwstr>
      </vt:variant>
      <vt:variant>
        <vt:i4>1376318</vt:i4>
      </vt:variant>
      <vt:variant>
        <vt:i4>428</vt:i4>
      </vt:variant>
      <vt:variant>
        <vt:i4>0</vt:i4>
      </vt:variant>
      <vt:variant>
        <vt:i4>5</vt:i4>
      </vt:variant>
      <vt:variant>
        <vt:lpwstr/>
      </vt:variant>
      <vt:variant>
        <vt:lpwstr>_Toc213084776</vt:lpwstr>
      </vt:variant>
      <vt:variant>
        <vt:i4>1376318</vt:i4>
      </vt:variant>
      <vt:variant>
        <vt:i4>422</vt:i4>
      </vt:variant>
      <vt:variant>
        <vt:i4>0</vt:i4>
      </vt:variant>
      <vt:variant>
        <vt:i4>5</vt:i4>
      </vt:variant>
      <vt:variant>
        <vt:lpwstr/>
      </vt:variant>
      <vt:variant>
        <vt:lpwstr>_Toc213084775</vt:lpwstr>
      </vt:variant>
      <vt:variant>
        <vt:i4>1376318</vt:i4>
      </vt:variant>
      <vt:variant>
        <vt:i4>416</vt:i4>
      </vt:variant>
      <vt:variant>
        <vt:i4>0</vt:i4>
      </vt:variant>
      <vt:variant>
        <vt:i4>5</vt:i4>
      </vt:variant>
      <vt:variant>
        <vt:lpwstr/>
      </vt:variant>
      <vt:variant>
        <vt:lpwstr>_Toc213084774</vt:lpwstr>
      </vt:variant>
      <vt:variant>
        <vt:i4>1376318</vt:i4>
      </vt:variant>
      <vt:variant>
        <vt:i4>410</vt:i4>
      </vt:variant>
      <vt:variant>
        <vt:i4>0</vt:i4>
      </vt:variant>
      <vt:variant>
        <vt:i4>5</vt:i4>
      </vt:variant>
      <vt:variant>
        <vt:lpwstr/>
      </vt:variant>
      <vt:variant>
        <vt:lpwstr>_Toc213084773</vt:lpwstr>
      </vt:variant>
      <vt:variant>
        <vt:i4>1376318</vt:i4>
      </vt:variant>
      <vt:variant>
        <vt:i4>404</vt:i4>
      </vt:variant>
      <vt:variant>
        <vt:i4>0</vt:i4>
      </vt:variant>
      <vt:variant>
        <vt:i4>5</vt:i4>
      </vt:variant>
      <vt:variant>
        <vt:lpwstr/>
      </vt:variant>
      <vt:variant>
        <vt:lpwstr>_Toc213084772</vt:lpwstr>
      </vt:variant>
      <vt:variant>
        <vt:i4>1376318</vt:i4>
      </vt:variant>
      <vt:variant>
        <vt:i4>398</vt:i4>
      </vt:variant>
      <vt:variant>
        <vt:i4>0</vt:i4>
      </vt:variant>
      <vt:variant>
        <vt:i4>5</vt:i4>
      </vt:variant>
      <vt:variant>
        <vt:lpwstr/>
      </vt:variant>
      <vt:variant>
        <vt:lpwstr>_Toc213084771</vt:lpwstr>
      </vt:variant>
      <vt:variant>
        <vt:i4>1376318</vt:i4>
      </vt:variant>
      <vt:variant>
        <vt:i4>392</vt:i4>
      </vt:variant>
      <vt:variant>
        <vt:i4>0</vt:i4>
      </vt:variant>
      <vt:variant>
        <vt:i4>5</vt:i4>
      </vt:variant>
      <vt:variant>
        <vt:lpwstr/>
      </vt:variant>
      <vt:variant>
        <vt:lpwstr>_Toc213084770</vt:lpwstr>
      </vt:variant>
      <vt:variant>
        <vt:i4>1310782</vt:i4>
      </vt:variant>
      <vt:variant>
        <vt:i4>386</vt:i4>
      </vt:variant>
      <vt:variant>
        <vt:i4>0</vt:i4>
      </vt:variant>
      <vt:variant>
        <vt:i4>5</vt:i4>
      </vt:variant>
      <vt:variant>
        <vt:lpwstr/>
      </vt:variant>
      <vt:variant>
        <vt:lpwstr>_Toc213084769</vt:lpwstr>
      </vt:variant>
      <vt:variant>
        <vt:i4>1310782</vt:i4>
      </vt:variant>
      <vt:variant>
        <vt:i4>380</vt:i4>
      </vt:variant>
      <vt:variant>
        <vt:i4>0</vt:i4>
      </vt:variant>
      <vt:variant>
        <vt:i4>5</vt:i4>
      </vt:variant>
      <vt:variant>
        <vt:lpwstr/>
      </vt:variant>
      <vt:variant>
        <vt:lpwstr>_Toc213084768</vt:lpwstr>
      </vt:variant>
      <vt:variant>
        <vt:i4>1310782</vt:i4>
      </vt:variant>
      <vt:variant>
        <vt:i4>374</vt:i4>
      </vt:variant>
      <vt:variant>
        <vt:i4>0</vt:i4>
      </vt:variant>
      <vt:variant>
        <vt:i4>5</vt:i4>
      </vt:variant>
      <vt:variant>
        <vt:lpwstr/>
      </vt:variant>
      <vt:variant>
        <vt:lpwstr>_Toc213084767</vt:lpwstr>
      </vt:variant>
      <vt:variant>
        <vt:i4>1310782</vt:i4>
      </vt:variant>
      <vt:variant>
        <vt:i4>368</vt:i4>
      </vt:variant>
      <vt:variant>
        <vt:i4>0</vt:i4>
      </vt:variant>
      <vt:variant>
        <vt:i4>5</vt:i4>
      </vt:variant>
      <vt:variant>
        <vt:lpwstr/>
      </vt:variant>
      <vt:variant>
        <vt:lpwstr>_Toc213084766</vt:lpwstr>
      </vt:variant>
      <vt:variant>
        <vt:i4>1310782</vt:i4>
      </vt:variant>
      <vt:variant>
        <vt:i4>362</vt:i4>
      </vt:variant>
      <vt:variant>
        <vt:i4>0</vt:i4>
      </vt:variant>
      <vt:variant>
        <vt:i4>5</vt:i4>
      </vt:variant>
      <vt:variant>
        <vt:lpwstr/>
      </vt:variant>
      <vt:variant>
        <vt:lpwstr>_Toc213084765</vt:lpwstr>
      </vt:variant>
      <vt:variant>
        <vt:i4>1310782</vt:i4>
      </vt:variant>
      <vt:variant>
        <vt:i4>356</vt:i4>
      </vt:variant>
      <vt:variant>
        <vt:i4>0</vt:i4>
      </vt:variant>
      <vt:variant>
        <vt:i4>5</vt:i4>
      </vt:variant>
      <vt:variant>
        <vt:lpwstr/>
      </vt:variant>
      <vt:variant>
        <vt:lpwstr>_Toc213084764</vt:lpwstr>
      </vt:variant>
      <vt:variant>
        <vt:i4>1310782</vt:i4>
      </vt:variant>
      <vt:variant>
        <vt:i4>350</vt:i4>
      </vt:variant>
      <vt:variant>
        <vt:i4>0</vt:i4>
      </vt:variant>
      <vt:variant>
        <vt:i4>5</vt:i4>
      </vt:variant>
      <vt:variant>
        <vt:lpwstr/>
      </vt:variant>
      <vt:variant>
        <vt:lpwstr>_Toc213084763</vt:lpwstr>
      </vt:variant>
      <vt:variant>
        <vt:i4>1310782</vt:i4>
      </vt:variant>
      <vt:variant>
        <vt:i4>344</vt:i4>
      </vt:variant>
      <vt:variant>
        <vt:i4>0</vt:i4>
      </vt:variant>
      <vt:variant>
        <vt:i4>5</vt:i4>
      </vt:variant>
      <vt:variant>
        <vt:lpwstr/>
      </vt:variant>
      <vt:variant>
        <vt:lpwstr>_Toc213084762</vt:lpwstr>
      </vt:variant>
      <vt:variant>
        <vt:i4>1310782</vt:i4>
      </vt:variant>
      <vt:variant>
        <vt:i4>338</vt:i4>
      </vt:variant>
      <vt:variant>
        <vt:i4>0</vt:i4>
      </vt:variant>
      <vt:variant>
        <vt:i4>5</vt:i4>
      </vt:variant>
      <vt:variant>
        <vt:lpwstr/>
      </vt:variant>
      <vt:variant>
        <vt:lpwstr>_Toc213084761</vt:lpwstr>
      </vt:variant>
      <vt:variant>
        <vt:i4>1310782</vt:i4>
      </vt:variant>
      <vt:variant>
        <vt:i4>332</vt:i4>
      </vt:variant>
      <vt:variant>
        <vt:i4>0</vt:i4>
      </vt:variant>
      <vt:variant>
        <vt:i4>5</vt:i4>
      </vt:variant>
      <vt:variant>
        <vt:lpwstr/>
      </vt:variant>
      <vt:variant>
        <vt:lpwstr>_Toc213084760</vt:lpwstr>
      </vt:variant>
      <vt:variant>
        <vt:i4>1507390</vt:i4>
      </vt:variant>
      <vt:variant>
        <vt:i4>326</vt:i4>
      </vt:variant>
      <vt:variant>
        <vt:i4>0</vt:i4>
      </vt:variant>
      <vt:variant>
        <vt:i4>5</vt:i4>
      </vt:variant>
      <vt:variant>
        <vt:lpwstr/>
      </vt:variant>
      <vt:variant>
        <vt:lpwstr>_Toc213084759</vt:lpwstr>
      </vt:variant>
      <vt:variant>
        <vt:i4>1507390</vt:i4>
      </vt:variant>
      <vt:variant>
        <vt:i4>320</vt:i4>
      </vt:variant>
      <vt:variant>
        <vt:i4>0</vt:i4>
      </vt:variant>
      <vt:variant>
        <vt:i4>5</vt:i4>
      </vt:variant>
      <vt:variant>
        <vt:lpwstr/>
      </vt:variant>
      <vt:variant>
        <vt:lpwstr>_Toc213084758</vt:lpwstr>
      </vt:variant>
      <vt:variant>
        <vt:i4>1507390</vt:i4>
      </vt:variant>
      <vt:variant>
        <vt:i4>314</vt:i4>
      </vt:variant>
      <vt:variant>
        <vt:i4>0</vt:i4>
      </vt:variant>
      <vt:variant>
        <vt:i4>5</vt:i4>
      </vt:variant>
      <vt:variant>
        <vt:lpwstr/>
      </vt:variant>
      <vt:variant>
        <vt:lpwstr>_Toc213084757</vt:lpwstr>
      </vt:variant>
      <vt:variant>
        <vt:i4>1507390</vt:i4>
      </vt:variant>
      <vt:variant>
        <vt:i4>308</vt:i4>
      </vt:variant>
      <vt:variant>
        <vt:i4>0</vt:i4>
      </vt:variant>
      <vt:variant>
        <vt:i4>5</vt:i4>
      </vt:variant>
      <vt:variant>
        <vt:lpwstr/>
      </vt:variant>
      <vt:variant>
        <vt:lpwstr>_Toc213084756</vt:lpwstr>
      </vt:variant>
      <vt:variant>
        <vt:i4>1507390</vt:i4>
      </vt:variant>
      <vt:variant>
        <vt:i4>302</vt:i4>
      </vt:variant>
      <vt:variant>
        <vt:i4>0</vt:i4>
      </vt:variant>
      <vt:variant>
        <vt:i4>5</vt:i4>
      </vt:variant>
      <vt:variant>
        <vt:lpwstr/>
      </vt:variant>
      <vt:variant>
        <vt:lpwstr>_Toc213084755</vt:lpwstr>
      </vt:variant>
      <vt:variant>
        <vt:i4>1507390</vt:i4>
      </vt:variant>
      <vt:variant>
        <vt:i4>296</vt:i4>
      </vt:variant>
      <vt:variant>
        <vt:i4>0</vt:i4>
      </vt:variant>
      <vt:variant>
        <vt:i4>5</vt:i4>
      </vt:variant>
      <vt:variant>
        <vt:lpwstr/>
      </vt:variant>
      <vt:variant>
        <vt:lpwstr>_Toc213084754</vt:lpwstr>
      </vt:variant>
      <vt:variant>
        <vt:i4>1507390</vt:i4>
      </vt:variant>
      <vt:variant>
        <vt:i4>290</vt:i4>
      </vt:variant>
      <vt:variant>
        <vt:i4>0</vt:i4>
      </vt:variant>
      <vt:variant>
        <vt:i4>5</vt:i4>
      </vt:variant>
      <vt:variant>
        <vt:lpwstr/>
      </vt:variant>
      <vt:variant>
        <vt:lpwstr>_Toc213084753</vt:lpwstr>
      </vt:variant>
      <vt:variant>
        <vt:i4>1507390</vt:i4>
      </vt:variant>
      <vt:variant>
        <vt:i4>284</vt:i4>
      </vt:variant>
      <vt:variant>
        <vt:i4>0</vt:i4>
      </vt:variant>
      <vt:variant>
        <vt:i4>5</vt:i4>
      </vt:variant>
      <vt:variant>
        <vt:lpwstr/>
      </vt:variant>
      <vt:variant>
        <vt:lpwstr>_Toc213084752</vt:lpwstr>
      </vt:variant>
      <vt:variant>
        <vt:i4>1507390</vt:i4>
      </vt:variant>
      <vt:variant>
        <vt:i4>278</vt:i4>
      </vt:variant>
      <vt:variant>
        <vt:i4>0</vt:i4>
      </vt:variant>
      <vt:variant>
        <vt:i4>5</vt:i4>
      </vt:variant>
      <vt:variant>
        <vt:lpwstr/>
      </vt:variant>
      <vt:variant>
        <vt:lpwstr>_Toc213084751</vt:lpwstr>
      </vt:variant>
      <vt:variant>
        <vt:i4>1507390</vt:i4>
      </vt:variant>
      <vt:variant>
        <vt:i4>272</vt:i4>
      </vt:variant>
      <vt:variant>
        <vt:i4>0</vt:i4>
      </vt:variant>
      <vt:variant>
        <vt:i4>5</vt:i4>
      </vt:variant>
      <vt:variant>
        <vt:lpwstr/>
      </vt:variant>
      <vt:variant>
        <vt:lpwstr>_Toc213084750</vt:lpwstr>
      </vt:variant>
      <vt:variant>
        <vt:i4>1441854</vt:i4>
      </vt:variant>
      <vt:variant>
        <vt:i4>266</vt:i4>
      </vt:variant>
      <vt:variant>
        <vt:i4>0</vt:i4>
      </vt:variant>
      <vt:variant>
        <vt:i4>5</vt:i4>
      </vt:variant>
      <vt:variant>
        <vt:lpwstr/>
      </vt:variant>
      <vt:variant>
        <vt:lpwstr>_Toc213084749</vt:lpwstr>
      </vt:variant>
      <vt:variant>
        <vt:i4>1441854</vt:i4>
      </vt:variant>
      <vt:variant>
        <vt:i4>260</vt:i4>
      </vt:variant>
      <vt:variant>
        <vt:i4>0</vt:i4>
      </vt:variant>
      <vt:variant>
        <vt:i4>5</vt:i4>
      </vt:variant>
      <vt:variant>
        <vt:lpwstr/>
      </vt:variant>
      <vt:variant>
        <vt:lpwstr>_Toc213084748</vt:lpwstr>
      </vt:variant>
      <vt:variant>
        <vt:i4>1441854</vt:i4>
      </vt:variant>
      <vt:variant>
        <vt:i4>254</vt:i4>
      </vt:variant>
      <vt:variant>
        <vt:i4>0</vt:i4>
      </vt:variant>
      <vt:variant>
        <vt:i4>5</vt:i4>
      </vt:variant>
      <vt:variant>
        <vt:lpwstr/>
      </vt:variant>
      <vt:variant>
        <vt:lpwstr>_Toc213084747</vt:lpwstr>
      </vt:variant>
      <vt:variant>
        <vt:i4>1441854</vt:i4>
      </vt:variant>
      <vt:variant>
        <vt:i4>248</vt:i4>
      </vt:variant>
      <vt:variant>
        <vt:i4>0</vt:i4>
      </vt:variant>
      <vt:variant>
        <vt:i4>5</vt:i4>
      </vt:variant>
      <vt:variant>
        <vt:lpwstr/>
      </vt:variant>
      <vt:variant>
        <vt:lpwstr>_Toc213084746</vt:lpwstr>
      </vt:variant>
      <vt:variant>
        <vt:i4>1441854</vt:i4>
      </vt:variant>
      <vt:variant>
        <vt:i4>242</vt:i4>
      </vt:variant>
      <vt:variant>
        <vt:i4>0</vt:i4>
      </vt:variant>
      <vt:variant>
        <vt:i4>5</vt:i4>
      </vt:variant>
      <vt:variant>
        <vt:lpwstr/>
      </vt:variant>
      <vt:variant>
        <vt:lpwstr>_Toc213084745</vt:lpwstr>
      </vt:variant>
      <vt:variant>
        <vt:i4>1441854</vt:i4>
      </vt:variant>
      <vt:variant>
        <vt:i4>236</vt:i4>
      </vt:variant>
      <vt:variant>
        <vt:i4>0</vt:i4>
      </vt:variant>
      <vt:variant>
        <vt:i4>5</vt:i4>
      </vt:variant>
      <vt:variant>
        <vt:lpwstr/>
      </vt:variant>
      <vt:variant>
        <vt:lpwstr>_Toc213084744</vt:lpwstr>
      </vt:variant>
      <vt:variant>
        <vt:i4>1441854</vt:i4>
      </vt:variant>
      <vt:variant>
        <vt:i4>230</vt:i4>
      </vt:variant>
      <vt:variant>
        <vt:i4>0</vt:i4>
      </vt:variant>
      <vt:variant>
        <vt:i4>5</vt:i4>
      </vt:variant>
      <vt:variant>
        <vt:lpwstr/>
      </vt:variant>
      <vt:variant>
        <vt:lpwstr>_Toc213084743</vt:lpwstr>
      </vt:variant>
      <vt:variant>
        <vt:i4>1441854</vt:i4>
      </vt:variant>
      <vt:variant>
        <vt:i4>224</vt:i4>
      </vt:variant>
      <vt:variant>
        <vt:i4>0</vt:i4>
      </vt:variant>
      <vt:variant>
        <vt:i4>5</vt:i4>
      </vt:variant>
      <vt:variant>
        <vt:lpwstr/>
      </vt:variant>
      <vt:variant>
        <vt:lpwstr>_Toc213084742</vt:lpwstr>
      </vt:variant>
      <vt:variant>
        <vt:i4>1441854</vt:i4>
      </vt:variant>
      <vt:variant>
        <vt:i4>218</vt:i4>
      </vt:variant>
      <vt:variant>
        <vt:i4>0</vt:i4>
      </vt:variant>
      <vt:variant>
        <vt:i4>5</vt:i4>
      </vt:variant>
      <vt:variant>
        <vt:lpwstr/>
      </vt:variant>
      <vt:variant>
        <vt:lpwstr>_Toc213084741</vt:lpwstr>
      </vt:variant>
      <vt:variant>
        <vt:i4>1441854</vt:i4>
      </vt:variant>
      <vt:variant>
        <vt:i4>212</vt:i4>
      </vt:variant>
      <vt:variant>
        <vt:i4>0</vt:i4>
      </vt:variant>
      <vt:variant>
        <vt:i4>5</vt:i4>
      </vt:variant>
      <vt:variant>
        <vt:lpwstr/>
      </vt:variant>
      <vt:variant>
        <vt:lpwstr>_Toc213084740</vt:lpwstr>
      </vt:variant>
      <vt:variant>
        <vt:i4>1114174</vt:i4>
      </vt:variant>
      <vt:variant>
        <vt:i4>206</vt:i4>
      </vt:variant>
      <vt:variant>
        <vt:i4>0</vt:i4>
      </vt:variant>
      <vt:variant>
        <vt:i4>5</vt:i4>
      </vt:variant>
      <vt:variant>
        <vt:lpwstr/>
      </vt:variant>
      <vt:variant>
        <vt:lpwstr>_Toc213084739</vt:lpwstr>
      </vt:variant>
      <vt:variant>
        <vt:i4>1114174</vt:i4>
      </vt:variant>
      <vt:variant>
        <vt:i4>200</vt:i4>
      </vt:variant>
      <vt:variant>
        <vt:i4>0</vt:i4>
      </vt:variant>
      <vt:variant>
        <vt:i4>5</vt:i4>
      </vt:variant>
      <vt:variant>
        <vt:lpwstr/>
      </vt:variant>
      <vt:variant>
        <vt:lpwstr>_Toc213084738</vt:lpwstr>
      </vt:variant>
      <vt:variant>
        <vt:i4>1114174</vt:i4>
      </vt:variant>
      <vt:variant>
        <vt:i4>194</vt:i4>
      </vt:variant>
      <vt:variant>
        <vt:i4>0</vt:i4>
      </vt:variant>
      <vt:variant>
        <vt:i4>5</vt:i4>
      </vt:variant>
      <vt:variant>
        <vt:lpwstr/>
      </vt:variant>
      <vt:variant>
        <vt:lpwstr>_Toc213084737</vt:lpwstr>
      </vt:variant>
      <vt:variant>
        <vt:i4>1114174</vt:i4>
      </vt:variant>
      <vt:variant>
        <vt:i4>188</vt:i4>
      </vt:variant>
      <vt:variant>
        <vt:i4>0</vt:i4>
      </vt:variant>
      <vt:variant>
        <vt:i4>5</vt:i4>
      </vt:variant>
      <vt:variant>
        <vt:lpwstr/>
      </vt:variant>
      <vt:variant>
        <vt:lpwstr>_Toc213084736</vt:lpwstr>
      </vt:variant>
      <vt:variant>
        <vt:i4>1114174</vt:i4>
      </vt:variant>
      <vt:variant>
        <vt:i4>182</vt:i4>
      </vt:variant>
      <vt:variant>
        <vt:i4>0</vt:i4>
      </vt:variant>
      <vt:variant>
        <vt:i4>5</vt:i4>
      </vt:variant>
      <vt:variant>
        <vt:lpwstr/>
      </vt:variant>
      <vt:variant>
        <vt:lpwstr>_Toc213084735</vt:lpwstr>
      </vt:variant>
      <vt:variant>
        <vt:i4>1114174</vt:i4>
      </vt:variant>
      <vt:variant>
        <vt:i4>176</vt:i4>
      </vt:variant>
      <vt:variant>
        <vt:i4>0</vt:i4>
      </vt:variant>
      <vt:variant>
        <vt:i4>5</vt:i4>
      </vt:variant>
      <vt:variant>
        <vt:lpwstr/>
      </vt:variant>
      <vt:variant>
        <vt:lpwstr>_Toc213084734</vt:lpwstr>
      </vt:variant>
      <vt:variant>
        <vt:i4>1114174</vt:i4>
      </vt:variant>
      <vt:variant>
        <vt:i4>170</vt:i4>
      </vt:variant>
      <vt:variant>
        <vt:i4>0</vt:i4>
      </vt:variant>
      <vt:variant>
        <vt:i4>5</vt:i4>
      </vt:variant>
      <vt:variant>
        <vt:lpwstr/>
      </vt:variant>
      <vt:variant>
        <vt:lpwstr>_Toc213084733</vt:lpwstr>
      </vt:variant>
      <vt:variant>
        <vt:i4>1114174</vt:i4>
      </vt:variant>
      <vt:variant>
        <vt:i4>164</vt:i4>
      </vt:variant>
      <vt:variant>
        <vt:i4>0</vt:i4>
      </vt:variant>
      <vt:variant>
        <vt:i4>5</vt:i4>
      </vt:variant>
      <vt:variant>
        <vt:lpwstr/>
      </vt:variant>
      <vt:variant>
        <vt:lpwstr>_Toc213084732</vt:lpwstr>
      </vt:variant>
      <vt:variant>
        <vt:i4>1114174</vt:i4>
      </vt:variant>
      <vt:variant>
        <vt:i4>158</vt:i4>
      </vt:variant>
      <vt:variant>
        <vt:i4>0</vt:i4>
      </vt:variant>
      <vt:variant>
        <vt:i4>5</vt:i4>
      </vt:variant>
      <vt:variant>
        <vt:lpwstr/>
      </vt:variant>
      <vt:variant>
        <vt:lpwstr>_Toc213084731</vt:lpwstr>
      </vt:variant>
      <vt:variant>
        <vt:i4>1114174</vt:i4>
      </vt:variant>
      <vt:variant>
        <vt:i4>152</vt:i4>
      </vt:variant>
      <vt:variant>
        <vt:i4>0</vt:i4>
      </vt:variant>
      <vt:variant>
        <vt:i4>5</vt:i4>
      </vt:variant>
      <vt:variant>
        <vt:lpwstr/>
      </vt:variant>
      <vt:variant>
        <vt:lpwstr>_Toc213084730</vt:lpwstr>
      </vt:variant>
      <vt:variant>
        <vt:i4>1048638</vt:i4>
      </vt:variant>
      <vt:variant>
        <vt:i4>146</vt:i4>
      </vt:variant>
      <vt:variant>
        <vt:i4>0</vt:i4>
      </vt:variant>
      <vt:variant>
        <vt:i4>5</vt:i4>
      </vt:variant>
      <vt:variant>
        <vt:lpwstr/>
      </vt:variant>
      <vt:variant>
        <vt:lpwstr>_Toc213084729</vt:lpwstr>
      </vt:variant>
      <vt:variant>
        <vt:i4>1048638</vt:i4>
      </vt:variant>
      <vt:variant>
        <vt:i4>140</vt:i4>
      </vt:variant>
      <vt:variant>
        <vt:i4>0</vt:i4>
      </vt:variant>
      <vt:variant>
        <vt:i4>5</vt:i4>
      </vt:variant>
      <vt:variant>
        <vt:lpwstr/>
      </vt:variant>
      <vt:variant>
        <vt:lpwstr>_Toc213084728</vt:lpwstr>
      </vt:variant>
      <vt:variant>
        <vt:i4>1048638</vt:i4>
      </vt:variant>
      <vt:variant>
        <vt:i4>134</vt:i4>
      </vt:variant>
      <vt:variant>
        <vt:i4>0</vt:i4>
      </vt:variant>
      <vt:variant>
        <vt:i4>5</vt:i4>
      </vt:variant>
      <vt:variant>
        <vt:lpwstr/>
      </vt:variant>
      <vt:variant>
        <vt:lpwstr>_Toc213084727</vt:lpwstr>
      </vt:variant>
      <vt:variant>
        <vt:i4>1048638</vt:i4>
      </vt:variant>
      <vt:variant>
        <vt:i4>128</vt:i4>
      </vt:variant>
      <vt:variant>
        <vt:i4>0</vt:i4>
      </vt:variant>
      <vt:variant>
        <vt:i4>5</vt:i4>
      </vt:variant>
      <vt:variant>
        <vt:lpwstr/>
      </vt:variant>
      <vt:variant>
        <vt:lpwstr>_Toc213084726</vt:lpwstr>
      </vt:variant>
      <vt:variant>
        <vt:i4>1048638</vt:i4>
      </vt:variant>
      <vt:variant>
        <vt:i4>122</vt:i4>
      </vt:variant>
      <vt:variant>
        <vt:i4>0</vt:i4>
      </vt:variant>
      <vt:variant>
        <vt:i4>5</vt:i4>
      </vt:variant>
      <vt:variant>
        <vt:lpwstr/>
      </vt:variant>
      <vt:variant>
        <vt:lpwstr>_Toc213084725</vt:lpwstr>
      </vt:variant>
      <vt:variant>
        <vt:i4>1048638</vt:i4>
      </vt:variant>
      <vt:variant>
        <vt:i4>116</vt:i4>
      </vt:variant>
      <vt:variant>
        <vt:i4>0</vt:i4>
      </vt:variant>
      <vt:variant>
        <vt:i4>5</vt:i4>
      </vt:variant>
      <vt:variant>
        <vt:lpwstr/>
      </vt:variant>
      <vt:variant>
        <vt:lpwstr>_Toc213084724</vt:lpwstr>
      </vt:variant>
      <vt:variant>
        <vt:i4>1048638</vt:i4>
      </vt:variant>
      <vt:variant>
        <vt:i4>110</vt:i4>
      </vt:variant>
      <vt:variant>
        <vt:i4>0</vt:i4>
      </vt:variant>
      <vt:variant>
        <vt:i4>5</vt:i4>
      </vt:variant>
      <vt:variant>
        <vt:lpwstr/>
      </vt:variant>
      <vt:variant>
        <vt:lpwstr>_Toc213084723</vt:lpwstr>
      </vt:variant>
      <vt:variant>
        <vt:i4>1048638</vt:i4>
      </vt:variant>
      <vt:variant>
        <vt:i4>104</vt:i4>
      </vt:variant>
      <vt:variant>
        <vt:i4>0</vt:i4>
      </vt:variant>
      <vt:variant>
        <vt:i4>5</vt:i4>
      </vt:variant>
      <vt:variant>
        <vt:lpwstr/>
      </vt:variant>
      <vt:variant>
        <vt:lpwstr>_Toc213084722</vt:lpwstr>
      </vt:variant>
      <vt:variant>
        <vt:i4>1048638</vt:i4>
      </vt:variant>
      <vt:variant>
        <vt:i4>98</vt:i4>
      </vt:variant>
      <vt:variant>
        <vt:i4>0</vt:i4>
      </vt:variant>
      <vt:variant>
        <vt:i4>5</vt:i4>
      </vt:variant>
      <vt:variant>
        <vt:lpwstr/>
      </vt:variant>
      <vt:variant>
        <vt:lpwstr>_Toc213084721</vt:lpwstr>
      </vt:variant>
      <vt:variant>
        <vt:i4>1048638</vt:i4>
      </vt:variant>
      <vt:variant>
        <vt:i4>92</vt:i4>
      </vt:variant>
      <vt:variant>
        <vt:i4>0</vt:i4>
      </vt:variant>
      <vt:variant>
        <vt:i4>5</vt:i4>
      </vt:variant>
      <vt:variant>
        <vt:lpwstr/>
      </vt:variant>
      <vt:variant>
        <vt:lpwstr>_Toc213084720</vt:lpwstr>
      </vt:variant>
      <vt:variant>
        <vt:i4>1245246</vt:i4>
      </vt:variant>
      <vt:variant>
        <vt:i4>86</vt:i4>
      </vt:variant>
      <vt:variant>
        <vt:i4>0</vt:i4>
      </vt:variant>
      <vt:variant>
        <vt:i4>5</vt:i4>
      </vt:variant>
      <vt:variant>
        <vt:lpwstr/>
      </vt:variant>
      <vt:variant>
        <vt:lpwstr>_Toc213084719</vt:lpwstr>
      </vt:variant>
      <vt:variant>
        <vt:i4>1245246</vt:i4>
      </vt:variant>
      <vt:variant>
        <vt:i4>80</vt:i4>
      </vt:variant>
      <vt:variant>
        <vt:i4>0</vt:i4>
      </vt:variant>
      <vt:variant>
        <vt:i4>5</vt:i4>
      </vt:variant>
      <vt:variant>
        <vt:lpwstr/>
      </vt:variant>
      <vt:variant>
        <vt:lpwstr>_Toc213084718</vt:lpwstr>
      </vt:variant>
      <vt:variant>
        <vt:i4>1245246</vt:i4>
      </vt:variant>
      <vt:variant>
        <vt:i4>74</vt:i4>
      </vt:variant>
      <vt:variant>
        <vt:i4>0</vt:i4>
      </vt:variant>
      <vt:variant>
        <vt:i4>5</vt:i4>
      </vt:variant>
      <vt:variant>
        <vt:lpwstr/>
      </vt:variant>
      <vt:variant>
        <vt:lpwstr>_Toc213084717</vt:lpwstr>
      </vt:variant>
      <vt:variant>
        <vt:i4>1245246</vt:i4>
      </vt:variant>
      <vt:variant>
        <vt:i4>68</vt:i4>
      </vt:variant>
      <vt:variant>
        <vt:i4>0</vt:i4>
      </vt:variant>
      <vt:variant>
        <vt:i4>5</vt:i4>
      </vt:variant>
      <vt:variant>
        <vt:lpwstr/>
      </vt:variant>
      <vt:variant>
        <vt:lpwstr>_Toc213084716</vt:lpwstr>
      </vt:variant>
      <vt:variant>
        <vt:i4>1245246</vt:i4>
      </vt:variant>
      <vt:variant>
        <vt:i4>62</vt:i4>
      </vt:variant>
      <vt:variant>
        <vt:i4>0</vt:i4>
      </vt:variant>
      <vt:variant>
        <vt:i4>5</vt:i4>
      </vt:variant>
      <vt:variant>
        <vt:lpwstr/>
      </vt:variant>
      <vt:variant>
        <vt:lpwstr>_Toc213084715</vt:lpwstr>
      </vt:variant>
      <vt:variant>
        <vt:i4>1245246</vt:i4>
      </vt:variant>
      <vt:variant>
        <vt:i4>56</vt:i4>
      </vt:variant>
      <vt:variant>
        <vt:i4>0</vt:i4>
      </vt:variant>
      <vt:variant>
        <vt:i4>5</vt:i4>
      </vt:variant>
      <vt:variant>
        <vt:lpwstr/>
      </vt:variant>
      <vt:variant>
        <vt:lpwstr>_Toc213084714</vt:lpwstr>
      </vt:variant>
      <vt:variant>
        <vt:i4>1245246</vt:i4>
      </vt:variant>
      <vt:variant>
        <vt:i4>50</vt:i4>
      </vt:variant>
      <vt:variant>
        <vt:i4>0</vt:i4>
      </vt:variant>
      <vt:variant>
        <vt:i4>5</vt:i4>
      </vt:variant>
      <vt:variant>
        <vt:lpwstr/>
      </vt:variant>
      <vt:variant>
        <vt:lpwstr>_Toc213084713</vt:lpwstr>
      </vt:variant>
      <vt:variant>
        <vt:i4>1245246</vt:i4>
      </vt:variant>
      <vt:variant>
        <vt:i4>44</vt:i4>
      </vt:variant>
      <vt:variant>
        <vt:i4>0</vt:i4>
      </vt:variant>
      <vt:variant>
        <vt:i4>5</vt:i4>
      </vt:variant>
      <vt:variant>
        <vt:lpwstr/>
      </vt:variant>
      <vt:variant>
        <vt:lpwstr>_Toc213084712</vt:lpwstr>
      </vt:variant>
      <vt:variant>
        <vt:i4>1245246</vt:i4>
      </vt:variant>
      <vt:variant>
        <vt:i4>38</vt:i4>
      </vt:variant>
      <vt:variant>
        <vt:i4>0</vt:i4>
      </vt:variant>
      <vt:variant>
        <vt:i4>5</vt:i4>
      </vt:variant>
      <vt:variant>
        <vt:lpwstr/>
      </vt:variant>
      <vt:variant>
        <vt:lpwstr>_Toc213084711</vt:lpwstr>
      </vt:variant>
      <vt:variant>
        <vt:i4>1245246</vt:i4>
      </vt:variant>
      <vt:variant>
        <vt:i4>32</vt:i4>
      </vt:variant>
      <vt:variant>
        <vt:i4>0</vt:i4>
      </vt:variant>
      <vt:variant>
        <vt:i4>5</vt:i4>
      </vt:variant>
      <vt:variant>
        <vt:lpwstr/>
      </vt:variant>
      <vt:variant>
        <vt:lpwstr>_Toc213084710</vt:lpwstr>
      </vt:variant>
      <vt:variant>
        <vt:i4>1179710</vt:i4>
      </vt:variant>
      <vt:variant>
        <vt:i4>26</vt:i4>
      </vt:variant>
      <vt:variant>
        <vt:i4>0</vt:i4>
      </vt:variant>
      <vt:variant>
        <vt:i4>5</vt:i4>
      </vt:variant>
      <vt:variant>
        <vt:lpwstr/>
      </vt:variant>
      <vt:variant>
        <vt:lpwstr>_Toc213084709</vt:lpwstr>
      </vt:variant>
      <vt:variant>
        <vt:i4>1179710</vt:i4>
      </vt:variant>
      <vt:variant>
        <vt:i4>20</vt:i4>
      </vt:variant>
      <vt:variant>
        <vt:i4>0</vt:i4>
      </vt:variant>
      <vt:variant>
        <vt:i4>5</vt:i4>
      </vt:variant>
      <vt:variant>
        <vt:lpwstr/>
      </vt:variant>
      <vt:variant>
        <vt:lpwstr>_Toc213084708</vt:lpwstr>
      </vt:variant>
      <vt:variant>
        <vt:i4>1179710</vt:i4>
      </vt:variant>
      <vt:variant>
        <vt:i4>14</vt:i4>
      </vt:variant>
      <vt:variant>
        <vt:i4>0</vt:i4>
      </vt:variant>
      <vt:variant>
        <vt:i4>5</vt:i4>
      </vt:variant>
      <vt:variant>
        <vt:lpwstr/>
      </vt:variant>
      <vt:variant>
        <vt:lpwstr>_Toc213084707</vt:lpwstr>
      </vt:variant>
      <vt:variant>
        <vt:i4>1179710</vt:i4>
      </vt:variant>
      <vt:variant>
        <vt:i4>8</vt:i4>
      </vt:variant>
      <vt:variant>
        <vt:i4>0</vt:i4>
      </vt:variant>
      <vt:variant>
        <vt:i4>5</vt:i4>
      </vt:variant>
      <vt:variant>
        <vt:lpwstr/>
      </vt:variant>
      <vt:variant>
        <vt:lpwstr>_Toc213084706</vt:lpwstr>
      </vt:variant>
      <vt:variant>
        <vt:i4>1179710</vt:i4>
      </vt:variant>
      <vt:variant>
        <vt:i4>2</vt:i4>
      </vt:variant>
      <vt:variant>
        <vt:i4>0</vt:i4>
      </vt:variant>
      <vt:variant>
        <vt:i4>5</vt:i4>
      </vt:variant>
      <vt:variant>
        <vt:lpwstr/>
      </vt:variant>
      <vt:variant>
        <vt:lpwstr>_Toc213084705</vt:lpwstr>
      </vt:variant>
      <vt:variant>
        <vt:i4>2162769</vt:i4>
      </vt:variant>
      <vt:variant>
        <vt:i4>1664</vt:i4>
      </vt:variant>
      <vt:variant>
        <vt:i4>0</vt:i4>
      </vt:variant>
      <vt:variant>
        <vt:i4>5</vt:i4>
      </vt:variant>
      <vt:variant>
        <vt:lpwstr>https://economy-finance.ec.europa.eu/publications/2025-european-semester-country-reports_en</vt:lpwstr>
      </vt:variant>
      <vt:variant>
        <vt:lpwstr/>
      </vt:variant>
      <vt:variant>
        <vt:i4>131079</vt:i4>
      </vt:variant>
      <vt:variant>
        <vt:i4>1661</vt:i4>
      </vt:variant>
      <vt:variant>
        <vt:i4>0</vt:i4>
      </vt:variant>
      <vt:variant>
        <vt:i4>5</vt:i4>
      </vt:variant>
      <vt:variant>
        <vt:lpwstr>https://www.regeringen.se/globalassets/government/dokument/regeringskansliet/statement-of-government-policy-20192.pdf</vt:lpwstr>
      </vt:variant>
      <vt:variant>
        <vt:lpwstr/>
      </vt:variant>
      <vt:variant>
        <vt:i4>65552</vt:i4>
      </vt:variant>
      <vt:variant>
        <vt:i4>1658</vt:i4>
      </vt:variant>
      <vt:variant>
        <vt:i4>0</vt:i4>
      </vt:variant>
      <vt:variant>
        <vt:i4>5</vt:i4>
      </vt:variant>
      <vt:variant>
        <vt:lpwstr>https://op.europa.eu/en/publication-detail/-/publication/62bfa4a4-cbd4-11e5-a4b5-01aa75ed71a1</vt:lpwstr>
      </vt:variant>
      <vt:variant>
        <vt:lpwstr/>
      </vt:variant>
      <vt:variant>
        <vt:i4>7471216</vt:i4>
      </vt:variant>
      <vt:variant>
        <vt:i4>1655</vt:i4>
      </vt:variant>
      <vt:variant>
        <vt:i4>0</vt:i4>
      </vt:variant>
      <vt:variant>
        <vt:i4>5</vt:i4>
      </vt:variant>
      <vt:variant>
        <vt:lpwstr>https://start.stockholm/en/about-the-city-of-stockholm/how-the-tax-money-is-used/municipal-tax/</vt:lpwstr>
      </vt:variant>
      <vt:variant>
        <vt:lpwstr/>
      </vt:variant>
      <vt:variant>
        <vt:i4>1114135</vt:i4>
      </vt:variant>
      <vt:variant>
        <vt:i4>1652</vt:i4>
      </vt:variant>
      <vt:variant>
        <vt:i4>0</vt:i4>
      </vt:variant>
      <vt:variant>
        <vt:i4>5</vt:i4>
      </vt:variant>
      <vt:variant>
        <vt:lpwstr>https://portal.cor.europa.eu/divisionpowers/Pages/Sweden-Fiscal-Powers.aspx</vt:lpwstr>
      </vt:variant>
      <vt:variant>
        <vt:lpwstr>:~:text=Technically%2C%20taxes%20are%20collected%20by,the%20basis%20of%20each%20tax</vt:lpwstr>
      </vt:variant>
      <vt:variant>
        <vt:i4>8192111</vt:i4>
      </vt:variant>
      <vt:variant>
        <vt:i4>1649</vt:i4>
      </vt:variant>
      <vt:variant>
        <vt:i4>0</vt:i4>
      </vt:variant>
      <vt:variant>
        <vt:i4>5</vt:i4>
      </vt:variant>
      <vt:variant>
        <vt:lpwstr>https://www.oecd.org/en/data/datasets/policy-instruments-for-the-environment-pine-database.html</vt:lpwstr>
      </vt:variant>
      <vt:variant>
        <vt:lpwstr/>
      </vt:variant>
      <vt:variant>
        <vt:i4>6553717</vt:i4>
      </vt:variant>
      <vt:variant>
        <vt:i4>1646</vt:i4>
      </vt:variant>
      <vt:variant>
        <vt:i4>0</vt:i4>
      </vt:variant>
      <vt:variant>
        <vt:i4>5</vt:i4>
      </vt:variant>
      <vt:variant>
        <vt:lpwstr>https://ieep.eu/wp-content/uploads/2022/12/SE-NOx-SO2-Tax-final.pdf</vt:lpwstr>
      </vt:variant>
      <vt:variant>
        <vt:lpwstr/>
      </vt:variant>
      <vt:variant>
        <vt:i4>4653146</vt:i4>
      </vt:variant>
      <vt:variant>
        <vt:i4>1643</vt:i4>
      </vt:variant>
      <vt:variant>
        <vt:i4>0</vt:i4>
      </vt:variant>
      <vt:variant>
        <vt:i4>5</vt:i4>
      </vt:variant>
      <vt:variant>
        <vt:lpwstr>https://ec.europa.eu/taxation_customs/tedb/</vt:lpwstr>
      </vt:variant>
      <vt:variant>
        <vt:lpwstr>/tax-details?taxId=512&amp;versionDate=1735686000&amp;isEuro=false&amp;taxType=OTHER_INDIRECT</vt:lpwstr>
      </vt:variant>
      <vt:variant>
        <vt:i4>5111827</vt:i4>
      </vt:variant>
      <vt:variant>
        <vt:i4>1640</vt:i4>
      </vt:variant>
      <vt:variant>
        <vt:i4>0</vt:i4>
      </vt:variant>
      <vt:variant>
        <vt:i4>5</vt:i4>
      </vt:variant>
      <vt:variant>
        <vt:lpwstr>https://www.naturvardsverket.se/en/guidance/extended-producer-responsibility-epr/producers-responsibility-for-batteries/</vt:lpwstr>
      </vt:variant>
      <vt:variant>
        <vt:lpwstr>E-1890501243</vt:lpwstr>
      </vt:variant>
      <vt:variant>
        <vt:i4>5111827</vt:i4>
      </vt:variant>
      <vt:variant>
        <vt:i4>1637</vt:i4>
      </vt:variant>
      <vt:variant>
        <vt:i4>0</vt:i4>
      </vt:variant>
      <vt:variant>
        <vt:i4>5</vt:i4>
      </vt:variant>
      <vt:variant>
        <vt:lpwstr>https://www.naturvardsverket.se/en/guidance/extended-producer-responsibility-epr/producers-responsibility-for-batteries/</vt:lpwstr>
      </vt:variant>
      <vt:variant>
        <vt:lpwstr>E-1890501243</vt:lpwstr>
      </vt:variant>
      <vt:variant>
        <vt:i4>5898318</vt:i4>
      </vt:variant>
      <vt:variant>
        <vt:i4>1634</vt:i4>
      </vt:variant>
      <vt:variant>
        <vt:i4>0</vt:i4>
      </vt:variant>
      <vt:variant>
        <vt:i4>5</vt:i4>
      </vt:variant>
      <vt:variant>
        <vt:lpwstr>https://www.naturvardsverket.se/en/guidance/extended-producer-responsibility-epr/producers-responsibility-for-batteries/</vt:lpwstr>
      </vt:variant>
      <vt:variant>
        <vt:lpwstr/>
      </vt:variant>
      <vt:variant>
        <vt:i4>1245269</vt:i4>
      </vt:variant>
      <vt:variant>
        <vt:i4>1631</vt:i4>
      </vt:variant>
      <vt:variant>
        <vt:i4>0</vt:i4>
      </vt:variant>
      <vt:variant>
        <vt:i4>5</vt:i4>
      </vt:variant>
      <vt:variant>
        <vt:lpwstr>https://www4.skatteverket.se/rattsligvagledning/27571.html?date=2025-01-01</vt:lpwstr>
      </vt:variant>
      <vt:variant>
        <vt:lpwstr>section1-7</vt:lpwstr>
      </vt:variant>
      <vt:variant>
        <vt:i4>1179733</vt:i4>
      </vt:variant>
      <vt:variant>
        <vt:i4>1628</vt:i4>
      </vt:variant>
      <vt:variant>
        <vt:i4>0</vt:i4>
      </vt:variant>
      <vt:variant>
        <vt:i4>5</vt:i4>
      </vt:variant>
      <vt:variant>
        <vt:lpwstr>https://www4.skatteverket.se/rattsligvagledning/27571.html?date=2025-01-01</vt:lpwstr>
      </vt:variant>
      <vt:variant>
        <vt:lpwstr>section1-6</vt:lpwstr>
      </vt:variant>
      <vt:variant>
        <vt:i4>4587610</vt:i4>
      </vt:variant>
      <vt:variant>
        <vt:i4>1625</vt:i4>
      </vt:variant>
      <vt:variant>
        <vt:i4>0</vt:i4>
      </vt:variant>
      <vt:variant>
        <vt:i4>5</vt:i4>
      </vt:variant>
      <vt:variant>
        <vt:lpwstr>https://ec.europa.eu/taxation_customs/tedb/</vt:lpwstr>
      </vt:variant>
      <vt:variant>
        <vt:lpwstr>/tax-details?taxId=513&amp;versionDate=1735686000&amp;isEuro=false&amp;taxType=OTHER_INDIRECT</vt:lpwstr>
      </vt:variant>
      <vt:variant>
        <vt:i4>8257657</vt:i4>
      </vt:variant>
      <vt:variant>
        <vt:i4>1622</vt:i4>
      </vt:variant>
      <vt:variant>
        <vt:i4>0</vt:i4>
      </vt:variant>
      <vt:variant>
        <vt:i4>5</vt:i4>
      </vt:variant>
      <vt:variant>
        <vt:lpwstr>https://task36.ieabioenergy.com/news/swedish-waste-incineration-tax-abolished/</vt:lpwstr>
      </vt:variant>
      <vt:variant>
        <vt:lpwstr/>
      </vt:variant>
      <vt:variant>
        <vt:i4>8257657</vt:i4>
      </vt:variant>
      <vt:variant>
        <vt:i4>1619</vt:i4>
      </vt:variant>
      <vt:variant>
        <vt:i4>0</vt:i4>
      </vt:variant>
      <vt:variant>
        <vt:i4>5</vt:i4>
      </vt:variant>
      <vt:variant>
        <vt:lpwstr>https://task36.ieabioenergy.com/news/swedish-waste-incineration-tax-abolished/</vt:lpwstr>
      </vt:variant>
      <vt:variant>
        <vt:lpwstr/>
      </vt:variant>
      <vt:variant>
        <vt:i4>3866679</vt:i4>
      </vt:variant>
      <vt:variant>
        <vt:i4>1616</vt:i4>
      </vt:variant>
      <vt:variant>
        <vt:i4>0</vt:i4>
      </vt:variant>
      <vt:variant>
        <vt:i4>5</vt:i4>
      </vt:variant>
      <vt:variant>
        <vt:lpwstr>https://www.skatteverket.se/foretag/skatterochavdrag/punktskatter/avfallsskatt.4.18e1b10334ebe8bc80002886.html</vt:lpwstr>
      </vt:variant>
      <vt:variant>
        <vt:lpwstr/>
      </vt:variant>
      <vt:variant>
        <vt:i4>6553717</vt:i4>
      </vt:variant>
      <vt:variant>
        <vt:i4>1613</vt:i4>
      </vt:variant>
      <vt:variant>
        <vt:i4>0</vt:i4>
      </vt:variant>
      <vt:variant>
        <vt:i4>5</vt:i4>
      </vt:variant>
      <vt:variant>
        <vt:lpwstr>https://ieep.eu/wp-content/uploads/2022/12/SE-NOx-SO2-Tax-final.pdf</vt:lpwstr>
      </vt:variant>
      <vt:variant>
        <vt:lpwstr/>
      </vt:variant>
      <vt:variant>
        <vt:i4>6553717</vt:i4>
      </vt:variant>
      <vt:variant>
        <vt:i4>1610</vt:i4>
      </vt:variant>
      <vt:variant>
        <vt:i4>0</vt:i4>
      </vt:variant>
      <vt:variant>
        <vt:i4>5</vt:i4>
      </vt:variant>
      <vt:variant>
        <vt:lpwstr>https://ieep.eu/wp-content/uploads/2022/12/SE-NOx-SO2-Tax-final.pdf</vt:lpwstr>
      </vt:variant>
      <vt:variant>
        <vt:lpwstr/>
      </vt:variant>
      <vt:variant>
        <vt:i4>6750323</vt:i4>
      </vt:variant>
      <vt:variant>
        <vt:i4>1607</vt:i4>
      </vt:variant>
      <vt:variant>
        <vt:i4>0</vt:i4>
      </vt:variant>
      <vt:variant>
        <vt:i4>5</vt:i4>
      </vt:variant>
      <vt:variant>
        <vt:lpwstr>https://www.naturvardsverket.se/4acece/contentassets/abe4e02774be45e996efda856a820969/emissions-of-nitrogen-oxides-from-energy-production-act-1990-630-1990-613.pdf</vt:lpwstr>
      </vt:variant>
      <vt:variant>
        <vt:lpwstr/>
      </vt:variant>
      <vt:variant>
        <vt:i4>7340068</vt:i4>
      </vt:variant>
      <vt:variant>
        <vt:i4>1604</vt:i4>
      </vt:variant>
      <vt:variant>
        <vt:i4>0</vt:i4>
      </vt:variant>
      <vt:variant>
        <vt:i4>5</vt:i4>
      </vt:variant>
      <vt:variant>
        <vt:lpwstr>https://pdf.sciencedirectassets.com/272401/1-s2.0-S0095069621X00022/1-s2.0-S0095069621000279/main.pdf?X-Amz-Security-Token=IQoJb3JpZ2luX2VjEEQaCXVzLWVhc3QtMSJGMEQCIBscAH1ivYEIA6LRGMbNyjowDaxCPzoTxe6FmIZ5HRh5AiBf1F2ynZCymPFmOWexctqhmnOEjjcov%2BVNae1g4W%2F1YCq8BQi8%2F%2F%2F%2F%2F%2F%2F%2F%2F%2F8BEAUaDDA1OTAwMzU0Njg2NSIMACF1n6mrLr9a%2BPweKpAFMFqKTbR%2FSvndKDlRpE8DkgzNwevpP4r0OTrTPiMraRIMEPQjvXZWPAdme%2FxqjbLvGRap9oUU%2FcOp76PBG1AYscqPBA745YHFW4Fes6XugBsN335gPvXK5fzCwx2%2FWetCvvjedz3sWg1uDzsM%2FG2tgChTphN8WvH1k3z11iehwnbpMrrQYPj2bJELU5TJ4oiDuhQkfvoxblj5WlxUsPhmw4vCGkgokz7KWCg6jbgpRp7g5hrFco4MzPmpV5HanXEeI5l6Xiisr%2Bg4wdO4eoZYkAPVsDVMYXZCXAjyHkVtEutuuAYxb2Lz1RYTaTGto6MrGGUgIwKtgEjxWTQ8p82tUCpJRdU%2F%2F4Jbzq5LLGREDSLCvxCTE1WSoNQq3HH2ucJUvpEbcrNDeWT2f9llPDHu3oLOxJtMsHR0UtL%2B0wJnZE3JuvMVsn6TFqFwAEro8Y39Mk1y6b91pzrAN%2Fxy6tLt33tpmmvY6f73oNVIEiDxZ1pTYXzfamoVTy6h16%2FySimbfSSks7aQTGYwmYdFqDGx%2Feh2SmffsDujrQUrN7%2ByFSJe%2FUXpR354btjWaXNgPO4t%2FX6b91ZpCjSZsr4sr5OM6ndhC6PX7w4x7QAbdupW8%2BnKcxiNP5hk4clXGjMW4ay80N3cIAjVnJxplRc2Z1y4V2wfENaXjIn7vffTc%2FKVrpJ9uioVT3w5GvWBJUMg%2FSUSPguTcrpQGCVpU0xkDQ0QM5UFT458lvgCYrNT%2FN8o4Y4EZJESJIaHtqyvUdx%2FMQz4P5cDnDdaFw%2F818KxAF7g9o0i0%2BaA%2B5ePgX6ZsAa5L8DMjNwZr6KCxblPwcv%2Fp2H4c1Fxfju5XT6DuZDC0zDZnKU7cwPeN8tass1dN%2FYEZpcwhfPjvwY6sgHf57%2BJlXxFrHrfLO9nAGT6Lie%2FtYCp%2BnIu5dhakoat2pURxzYEtMyx8QUvkT%2BnZ314j8CRd0HbdMr5TebNbKXK5w4TjmGOzpy%2Fc8HFRRFuyTRMX5O4FTw89lLpuaLNhzNxfs1sO7Z2jwpfKvJgBzwR%2FucK%2FVC%2FwopZVJbYGHjaygekILyn3nI0EUUUvx%2BWUhuv%2Bhv6Pi706z%2FB5MzdNQMyHA4r%2Bsl71qe73Y%2FX8bdS%2F%2FQ8&amp;X-Amz-Algorithm=AWS4-HMAC-SHA256&amp;X-Amz-Date=20250411T122434Z&amp;X-Amz-SignedHeaders=host&amp;X-Amz-Expires=300&amp;X-Amz-Credential=ASIAQ3PHCVTY2PZCTSTM%2F20250411%2Fus-east-1%2Fs3%2Faws4_request&amp;X-Amz-Signature=0874f590ad05e738eeb78e656f3fcde1864232fde4cf4cc877009e1b8ba38607&amp;hash=6fcd9205db0f3d2984d06c29dd64887492b7efacb79960df3714002d5ad7063d&amp;host=68042c943591013ac2b2430a89b270f6af2c76d8dfd086a07176afe7c76c2c61&amp;pii=S0095069621000279&amp;tid=spdf-e0bbf2b7-e697-4446-85b7-2c2baf6294dc&amp;sid=1247484b3a19484d7f08f87904faedd746fdgxrqb&amp;type=client&amp;tsoh=d</vt:lpwstr>
      </vt:variant>
      <vt:variant>
        <vt:lpwstr/>
      </vt:variant>
      <vt:variant>
        <vt:i4>3932218</vt:i4>
      </vt:variant>
      <vt:variant>
        <vt:i4>1601</vt:i4>
      </vt:variant>
      <vt:variant>
        <vt:i4>0</vt:i4>
      </vt:variant>
      <vt:variant>
        <vt:i4>5</vt:i4>
      </vt:variant>
      <vt:variant>
        <vt:lpwstr>https://www.svensktnaringsliv.se/bilder_och_dokument/f44lfj_greenwash-an-analysis-of-the-efficiency-of-swedish-environmental_1146913.html/Greenwash%253F+An+analysis+of+the+efficiency+of+Swedish+environmental+taxes.pdf</vt:lpwstr>
      </vt:variant>
      <vt:variant>
        <vt:lpwstr/>
      </vt:variant>
      <vt:variant>
        <vt:i4>5767238</vt:i4>
      </vt:variant>
      <vt:variant>
        <vt:i4>1598</vt:i4>
      </vt:variant>
      <vt:variant>
        <vt:i4>0</vt:i4>
      </vt:variant>
      <vt:variant>
        <vt:i4>5</vt:i4>
      </vt:variant>
      <vt:variant>
        <vt:lpwstr>https://skatteverket.se/download/18.569165a01749e7ae7891ef9/1603193061152/Evaluation of the Tax on Chemicals in Certain Electronics - English Summary.pdf</vt:lpwstr>
      </vt:variant>
      <vt:variant>
        <vt:lpwstr/>
      </vt:variant>
      <vt:variant>
        <vt:i4>1572888</vt:i4>
      </vt:variant>
      <vt:variant>
        <vt:i4>1595</vt:i4>
      </vt:variant>
      <vt:variant>
        <vt:i4>0</vt:i4>
      </vt:variant>
      <vt:variant>
        <vt:i4>5</vt:i4>
      </vt:variant>
      <vt:variant>
        <vt:lpwstr>https://www.skatteverket.se/servicelankar/otherlanguages/inenglishengelska/businessesandemployers/startingandrunningaswedishbusiness/payingtaxesbusinesses/paymentrespite.4.12815e4f14a62bc048f53b6.html</vt:lpwstr>
      </vt:variant>
      <vt:variant>
        <vt:lpwstr/>
      </vt:variant>
      <vt:variant>
        <vt:i4>589893</vt:i4>
      </vt:variant>
      <vt:variant>
        <vt:i4>1592</vt:i4>
      </vt:variant>
      <vt:variant>
        <vt:i4>0</vt:i4>
      </vt:variant>
      <vt:variant>
        <vt:i4>5</vt:i4>
      </vt:variant>
      <vt:variant>
        <vt:lpwstr>https://www.skatteverket.se/servicelankar/otherlanguages/inenglishengelska/businessesandemployers/startingandrunningaswedishbusiness/payingtaxesbusinesses/taxonchemicalsincertainelectronics.4.5c281c7015abecc2e2019351.html?q=chemical+tax</vt:lpwstr>
      </vt:variant>
      <vt:variant>
        <vt:lpwstr/>
      </vt:variant>
      <vt:variant>
        <vt:i4>589893</vt:i4>
      </vt:variant>
      <vt:variant>
        <vt:i4>1589</vt:i4>
      </vt:variant>
      <vt:variant>
        <vt:i4>0</vt:i4>
      </vt:variant>
      <vt:variant>
        <vt:i4>5</vt:i4>
      </vt:variant>
      <vt:variant>
        <vt:lpwstr>https://www.skatteverket.se/servicelankar/otherlanguages/inenglishengelska/businessesandemployers/startingandrunningaswedishbusiness/payingtaxesbusinesses/taxonchemicalsincertainelectronics.4.5c281c7015abecc2e2019351.html?q=chemical+tax</vt:lpwstr>
      </vt:variant>
      <vt:variant>
        <vt:lpwstr/>
      </vt:variant>
      <vt:variant>
        <vt:i4>4653153</vt:i4>
      </vt:variant>
      <vt:variant>
        <vt:i4>1586</vt:i4>
      </vt:variant>
      <vt:variant>
        <vt:i4>0</vt:i4>
      </vt:variant>
      <vt:variant>
        <vt:i4>5</vt:i4>
      </vt:variant>
      <vt:variant>
        <vt:lpwstr>https://ec.europa.eu/taxation_customs/tedb/</vt:lpwstr>
      </vt:variant>
      <vt:variant>
        <vt:lpwstr>/home</vt:lpwstr>
      </vt:variant>
      <vt:variant>
        <vt:i4>6750256</vt:i4>
      </vt:variant>
      <vt:variant>
        <vt:i4>1583</vt:i4>
      </vt:variant>
      <vt:variant>
        <vt:i4>0</vt:i4>
      </vt:variant>
      <vt:variant>
        <vt:i4>5</vt:i4>
      </vt:variant>
      <vt:variant>
        <vt:lpwstr>https://www.pincvision.com/news/swedish-tax-on-chemicals-in-certain-electronics</vt:lpwstr>
      </vt:variant>
      <vt:variant>
        <vt:lpwstr/>
      </vt:variant>
      <vt:variant>
        <vt:i4>983049</vt:i4>
      </vt:variant>
      <vt:variant>
        <vt:i4>1580</vt:i4>
      </vt:variant>
      <vt:variant>
        <vt:i4>0</vt:i4>
      </vt:variant>
      <vt:variant>
        <vt:i4>5</vt:i4>
      </vt:variant>
      <vt:variant>
        <vt:lpwstr>https://www.kemi.se/en/the-swedish-products-register/chemical-fee</vt:lpwstr>
      </vt:variant>
      <vt:variant>
        <vt:lpwstr/>
      </vt:variant>
      <vt:variant>
        <vt:i4>4259916</vt:i4>
      </vt:variant>
      <vt:variant>
        <vt:i4>1577</vt:i4>
      </vt:variant>
      <vt:variant>
        <vt:i4>0</vt:i4>
      </vt:variant>
      <vt:variant>
        <vt:i4>5</vt:i4>
      </vt:variant>
      <vt:variant>
        <vt:lpwstr>https://www.kemi.se/en/pesticides-and-biocides/plant-protection-products/apply-for-authorisation-for-plant-protection-products/fees-for-plant-protection-products</vt:lpwstr>
      </vt:variant>
      <vt:variant>
        <vt:lpwstr/>
      </vt:variant>
      <vt:variant>
        <vt:i4>983049</vt:i4>
      </vt:variant>
      <vt:variant>
        <vt:i4>1574</vt:i4>
      </vt:variant>
      <vt:variant>
        <vt:i4>0</vt:i4>
      </vt:variant>
      <vt:variant>
        <vt:i4>5</vt:i4>
      </vt:variant>
      <vt:variant>
        <vt:lpwstr>https://www.kemi.se/en/the-swedish-products-register/chemical-fee</vt:lpwstr>
      </vt:variant>
      <vt:variant>
        <vt:lpwstr/>
      </vt:variant>
      <vt:variant>
        <vt:i4>8192111</vt:i4>
      </vt:variant>
      <vt:variant>
        <vt:i4>1571</vt:i4>
      </vt:variant>
      <vt:variant>
        <vt:i4>0</vt:i4>
      </vt:variant>
      <vt:variant>
        <vt:i4>5</vt:i4>
      </vt:variant>
      <vt:variant>
        <vt:lpwstr>https://www.oecd.org/en/data/datasets/policy-instruments-for-the-environment-pine-database.html</vt:lpwstr>
      </vt:variant>
      <vt:variant>
        <vt:lpwstr/>
      </vt:variant>
      <vt:variant>
        <vt:i4>2359352</vt:i4>
      </vt:variant>
      <vt:variant>
        <vt:i4>1568</vt:i4>
      </vt:variant>
      <vt:variant>
        <vt:i4>0</vt:i4>
      </vt:variant>
      <vt:variant>
        <vt:i4>5</vt:i4>
      </vt:variant>
      <vt:variant>
        <vt:lpwstr>https://www.regeringen.se/rattsliga-dokument/statens-offentliga-utredningar/2003/02/sou-20039/</vt:lpwstr>
      </vt:variant>
      <vt:variant>
        <vt:lpwstr/>
      </vt:variant>
      <vt:variant>
        <vt:i4>6619218</vt:i4>
      </vt:variant>
      <vt:variant>
        <vt:i4>1565</vt:i4>
      </vt:variant>
      <vt:variant>
        <vt:i4>0</vt:i4>
      </vt:variant>
      <vt:variant>
        <vt:i4>5</vt:i4>
      </vt:variant>
      <vt:variant>
        <vt:lpwstr>https://ieep.eu/wp-content/uploads/2022/12/SE-Fertilizer-tax-final_REV.pdf</vt:lpwstr>
      </vt:variant>
      <vt:variant>
        <vt:lpwstr/>
      </vt:variant>
      <vt:variant>
        <vt:i4>6619218</vt:i4>
      </vt:variant>
      <vt:variant>
        <vt:i4>1562</vt:i4>
      </vt:variant>
      <vt:variant>
        <vt:i4>0</vt:i4>
      </vt:variant>
      <vt:variant>
        <vt:i4>5</vt:i4>
      </vt:variant>
      <vt:variant>
        <vt:lpwstr>https://ieep.eu/wp-content/uploads/2022/12/SE-Fertilizer-tax-final_REV.pdf</vt:lpwstr>
      </vt:variant>
      <vt:variant>
        <vt:lpwstr/>
      </vt:variant>
      <vt:variant>
        <vt:i4>327772</vt:i4>
      </vt:variant>
      <vt:variant>
        <vt:i4>1559</vt:i4>
      </vt:variant>
      <vt:variant>
        <vt:i4>0</vt:i4>
      </vt:variant>
      <vt:variant>
        <vt:i4>5</vt:i4>
      </vt:variant>
      <vt:variant>
        <vt:lpwstr>https://www.konj.se/download/18.42684e214e71a39d0722ed0/1436516834703/Milj%C3%B6+ekonomi+och+politik+2014.pdf</vt:lpwstr>
      </vt:variant>
      <vt:variant>
        <vt:lpwstr/>
      </vt:variant>
      <vt:variant>
        <vt:i4>524314</vt:i4>
      </vt:variant>
      <vt:variant>
        <vt:i4>1556</vt:i4>
      </vt:variant>
      <vt:variant>
        <vt:i4>0</vt:i4>
      </vt:variant>
      <vt:variant>
        <vt:i4>5</vt:i4>
      </vt:variant>
      <vt:variant>
        <vt:lpwstr>https://www.sverigesradio.se/artikel/3756255</vt:lpwstr>
      </vt:variant>
      <vt:variant>
        <vt:lpwstr/>
      </vt:variant>
      <vt:variant>
        <vt:i4>16</vt:i4>
      </vt:variant>
      <vt:variant>
        <vt:i4>1553</vt:i4>
      </vt:variant>
      <vt:variant>
        <vt:i4>0</vt:i4>
      </vt:variant>
      <vt:variant>
        <vt:i4>5</vt:i4>
      </vt:variant>
      <vt:variant>
        <vt:lpwstr>https://www.sverigesradio.se/artikel/3137881</vt:lpwstr>
      </vt:variant>
      <vt:variant>
        <vt:lpwstr/>
      </vt:variant>
      <vt:variant>
        <vt:i4>3735587</vt:i4>
      </vt:variant>
      <vt:variant>
        <vt:i4>1550</vt:i4>
      </vt:variant>
      <vt:variant>
        <vt:i4>0</vt:i4>
      </vt:variant>
      <vt:variant>
        <vt:i4>5</vt:i4>
      </vt:variant>
      <vt:variant>
        <vt:lpwstr>https://www.regeringen.se/contentassets/3e69b18e34ee4fdab67a3c9a87dfc45c/slopad-skatt-pa-godselmedel-promemoria</vt:lpwstr>
      </vt:variant>
      <vt:variant>
        <vt:lpwstr/>
      </vt:variant>
      <vt:variant>
        <vt:i4>3145854</vt:i4>
      </vt:variant>
      <vt:variant>
        <vt:i4>1547</vt:i4>
      </vt:variant>
      <vt:variant>
        <vt:i4>0</vt:i4>
      </vt:variant>
      <vt:variant>
        <vt:i4>5</vt:i4>
      </vt:variant>
      <vt:variant>
        <vt:lpwstr>https://www.kemi.se/webdav/files/Kemikaliestatistik/Bek%C3%A4mpningsmedel/forsalda_bkm_2021.pdf</vt:lpwstr>
      </vt:variant>
      <vt:variant>
        <vt:lpwstr/>
      </vt:variant>
      <vt:variant>
        <vt:i4>5505092</vt:i4>
      </vt:variant>
      <vt:variant>
        <vt:i4>1544</vt:i4>
      </vt:variant>
      <vt:variant>
        <vt:i4>0</vt:i4>
      </vt:variant>
      <vt:variant>
        <vt:i4>5</vt:i4>
      </vt:variant>
      <vt:variant>
        <vt:lpwstr>https://www.kemi.se/en/statistics-on-chemicals-in-sweden/statistics-on-pesticides</vt:lpwstr>
      </vt:variant>
      <vt:variant>
        <vt:lpwstr/>
      </vt:variant>
      <vt:variant>
        <vt:i4>7340143</vt:i4>
      </vt:variant>
      <vt:variant>
        <vt:i4>1541</vt:i4>
      </vt:variant>
      <vt:variant>
        <vt:i4>0</vt:i4>
      </vt:variant>
      <vt:variant>
        <vt:i4>5</vt:i4>
      </vt:variant>
      <vt:variant>
        <vt:lpwstr>https://www.regeringen.se/contentassets/eb90ee4460e746c8a1fc8796cfcd9d18/skatt-pa-kadmium-i-vissa-produkter-och-kemiska-vaxtskyddsmedel-sou-2017102.pdf</vt:lpwstr>
      </vt:variant>
      <vt:variant>
        <vt:lpwstr/>
      </vt:variant>
      <vt:variant>
        <vt:i4>5046361</vt:i4>
      </vt:variant>
      <vt:variant>
        <vt:i4>1538</vt:i4>
      </vt:variant>
      <vt:variant>
        <vt:i4>0</vt:i4>
      </vt:variant>
      <vt:variant>
        <vt:i4>5</vt:i4>
      </vt:variant>
      <vt:variant>
        <vt:lpwstr>https://ec.europa.eu/taxation_customs/tedb/</vt:lpwstr>
      </vt:variant>
      <vt:variant>
        <vt:lpwstr>/tax-details?taxId=528&amp;versionDate=1735686000&amp;isEuro=false&amp;taxType=OTHER_INDIRECT</vt:lpwstr>
      </vt:variant>
      <vt:variant>
        <vt:i4>4456478</vt:i4>
      </vt:variant>
      <vt:variant>
        <vt:i4>1535</vt:i4>
      </vt:variant>
      <vt:variant>
        <vt:i4>0</vt:i4>
      </vt:variant>
      <vt:variant>
        <vt:i4>5</vt:i4>
      </vt:variant>
      <vt:variant>
        <vt:lpwstr>https://www.riksbank.se/en-gb/statistics/interest-rates-and-exchange-rates/search-annual-and-monthly-average-exchange-rates/</vt:lpwstr>
      </vt:variant>
      <vt:variant>
        <vt:lpwstr/>
      </vt:variant>
      <vt:variant>
        <vt:i4>7340143</vt:i4>
      </vt:variant>
      <vt:variant>
        <vt:i4>1532</vt:i4>
      </vt:variant>
      <vt:variant>
        <vt:i4>0</vt:i4>
      </vt:variant>
      <vt:variant>
        <vt:i4>5</vt:i4>
      </vt:variant>
      <vt:variant>
        <vt:lpwstr>https://www.regeringen.se/contentassets/eb90ee4460e746c8a1fc8796cfcd9d18/skatt-pa-kadmium-i-vissa-produkter-och-kemiska-vaxtskyddsmedel-sou-2017102.pdf</vt:lpwstr>
      </vt:variant>
      <vt:variant>
        <vt:lpwstr/>
      </vt:variant>
      <vt:variant>
        <vt:i4>6225940</vt:i4>
      </vt:variant>
      <vt:variant>
        <vt:i4>1529</vt:i4>
      </vt:variant>
      <vt:variant>
        <vt:i4>0</vt:i4>
      </vt:variant>
      <vt:variant>
        <vt:i4>5</vt:i4>
      </vt:variant>
      <vt:variant>
        <vt:lpwstr>https://www.pan-europe.info/issues/pesticide-taxation</vt:lpwstr>
      </vt:variant>
      <vt:variant>
        <vt:lpwstr/>
      </vt:variant>
      <vt:variant>
        <vt:i4>4980752</vt:i4>
      </vt:variant>
      <vt:variant>
        <vt:i4>1526</vt:i4>
      </vt:variant>
      <vt:variant>
        <vt:i4>0</vt:i4>
      </vt:variant>
      <vt:variant>
        <vt:i4>5</vt:i4>
      </vt:variant>
      <vt:variant>
        <vt:lpwstr>https://www.agrojournal.org/29/01-01.pdf</vt:lpwstr>
      </vt:variant>
      <vt:variant>
        <vt:lpwstr/>
      </vt:variant>
      <vt:variant>
        <vt:i4>8192111</vt:i4>
      </vt:variant>
      <vt:variant>
        <vt:i4>1523</vt:i4>
      </vt:variant>
      <vt:variant>
        <vt:i4>0</vt:i4>
      </vt:variant>
      <vt:variant>
        <vt:i4>5</vt:i4>
      </vt:variant>
      <vt:variant>
        <vt:lpwstr>https://www.oecd.org/en/data/datasets/policy-instruments-for-the-environment-pine-database.html</vt:lpwstr>
      </vt:variant>
      <vt:variant>
        <vt:lpwstr/>
      </vt:variant>
      <vt:variant>
        <vt:i4>393299</vt:i4>
      </vt:variant>
      <vt:variant>
        <vt:i4>1520</vt:i4>
      </vt:variant>
      <vt:variant>
        <vt:i4>0</vt:i4>
      </vt:variant>
      <vt:variant>
        <vt:i4>5</vt:i4>
      </vt:variant>
      <vt:variant>
        <vt:lpwstr>https://view.officeapps.live.com/op/view.aspx?src=https%3A%2F%2Fec.europa.eu%2Feurostat%2Fstatistics-explained%2Fimages%2F9%2F9c%2FNational_tax_lists_2023_2025-04-25.xlsx&amp;wdOrigin=BROWSELINK</vt:lpwstr>
      </vt:variant>
      <vt:variant>
        <vt:lpwstr/>
      </vt:variant>
      <vt:variant>
        <vt:i4>2686986</vt:i4>
      </vt:variant>
      <vt:variant>
        <vt:i4>1517</vt:i4>
      </vt:variant>
      <vt:variant>
        <vt:i4>0</vt:i4>
      </vt:variant>
      <vt:variant>
        <vt:i4>5</vt:i4>
      </vt:variant>
      <vt:variant>
        <vt:lpwstr>https://ec.europa.eu/eurostat/databrowser/view/env_ac_taxind2__custom_16151737/default/table?lang=en</vt:lpwstr>
      </vt:variant>
      <vt:variant>
        <vt:lpwstr/>
      </vt:variant>
      <vt:variant>
        <vt:i4>2686986</vt:i4>
      </vt:variant>
      <vt:variant>
        <vt:i4>1514</vt:i4>
      </vt:variant>
      <vt:variant>
        <vt:i4>0</vt:i4>
      </vt:variant>
      <vt:variant>
        <vt:i4>5</vt:i4>
      </vt:variant>
      <vt:variant>
        <vt:lpwstr>https://ec.europa.eu/eurostat/databrowser/view/env_ac_taxind2__custom_16151737/default/table?lang=en</vt:lpwstr>
      </vt:variant>
      <vt:variant>
        <vt:lpwstr/>
      </vt:variant>
      <vt:variant>
        <vt:i4>2162769</vt:i4>
      </vt:variant>
      <vt:variant>
        <vt:i4>1508</vt:i4>
      </vt:variant>
      <vt:variant>
        <vt:i4>0</vt:i4>
      </vt:variant>
      <vt:variant>
        <vt:i4>5</vt:i4>
      </vt:variant>
      <vt:variant>
        <vt:lpwstr>https://economy-finance.ec.europa.eu/publications/2025-european-semester-country-reports_en</vt:lpwstr>
      </vt:variant>
      <vt:variant>
        <vt:lpwstr/>
      </vt:variant>
      <vt:variant>
        <vt:i4>1048616</vt:i4>
      </vt:variant>
      <vt:variant>
        <vt:i4>1505</vt:i4>
      </vt:variant>
      <vt:variant>
        <vt:i4>0</vt:i4>
      </vt:variant>
      <vt:variant>
        <vt:i4>5</vt:i4>
      </vt:variant>
      <vt:variant>
        <vt:lpwstr>https://economy-finance.ec.europa.eu/document/download/a712afe4-d94e-4333-8333-e8bc1ab63f1e_en?filename=ES_CR_SWD_2025_209_1_EN_autre_document_travail_service_part1_v4.pdf</vt:lpwstr>
      </vt:variant>
      <vt:variant>
        <vt:lpwstr/>
      </vt:variant>
      <vt:variant>
        <vt:i4>1179725</vt:i4>
      </vt:variant>
      <vt:variant>
        <vt:i4>1502</vt:i4>
      </vt:variant>
      <vt:variant>
        <vt:i4>0</vt:i4>
      </vt:variant>
      <vt:variant>
        <vt:i4>5</vt:i4>
      </vt:variant>
      <vt:variant>
        <vt:lpwstr>https://op.europa.eu/en/publication-detail/-/publication/a5002885-034d-11ee-87ec-01aa75ed71a1/language-en</vt:lpwstr>
      </vt:variant>
      <vt:variant>
        <vt:lpwstr/>
      </vt:variant>
      <vt:variant>
        <vt:i4>1048616</vt:i4>
      </vt:variant>
      <vt:variant>
        <vt:i4>1499</vt:i4>
      </vt:variant>
      <vt:variant>
        <vt:i4>0</vt:i4>
      </vt:variant>
      <vt:variant>
        <vt:i4>5</vt:i4>
      </vt:variant>
      <vt:variant>
        <vt:lpwstr>https://economy-finance.ec.europa.eu/document/download/a712afe4-d94e-4333-8333-e8bc1ab63f1e_en?filename=ES_CR_SWD_2025_209_1_EN_autre_document_travail_service_part1_v4.pdf</vt:lpwstr>
      </vt:variant>
      <vt:variant>
        <vt:lpwstr/>
      </vt:variant>
      <vt:variant>
        <vt:i4>2162769</vt:i4>
      </vt:variant>
      <vt:variant>
        <vt:i4>1496</vt:i4>
      </vt:variant>
      <vt:variant>
        <vt:i4>0</vt:i4>
      </vt:variant>
      <vt:variant>
        <vt:i4>5</vt:i4>
      </vt:variant>
      <vt:variant>
        <vt:lpwstr>https://economy-finance.ec.europa.eu/publications/2025-european-semester-country-reports_en</vt:lpwstr>
      </vt:variant>
      <vt:variant>
        <vt:lpwstr/>
      </vt:variant>
      <vt:variant>
        <vt:i4>3801128</vt:i4>
      </vt:variant>
      <vt:variant>
        <vt:i4>1493</vt:i4>
      </vt:variant>
      <vt:variant>
        <vt:i4>0</vt:i4>
      </vt:variant>
      <vt:variant>
        <vt:i4>5</vt:i4>
      </vt:variant>
      <vt:variant>
        <vt:lpwstr>https://curia.europa.eu/juris/document/document.jsf?text=&amp;docid=299095&amp;pageIndex=0&amp;doclang=fr&amp;mode=lst&amp;dir=&amp;occ=first&amp;part=1&amp;cid=241359</vt:lpwstr>
      </vt:variant>
      <vt:variant>
        <vt:lpwstr/>
      </vt:variant>
      <vt:variant>
        <vt:i4>1769472</vt:i4>
      </vt:variant>
      <vt:variant>
        <vt:i4>1490</vt:i4>
      </vt:variant>
      <vt:variant>
        <vt:i4>0</vt:i4>
      </vt:variant>
      <vt:variant>
        <vt:i4>5</vt:i4>
      </vt:variant>
      <vt:variant>
        <vt:lpwstr>https://eur-lex.europa.eu/legal-content/EN/TXT/?uri=CELEX%3A52022SC0273&amp;qid=1701952686349</vt:lpwstr>
      </vt:variant>
      <vt:variant>
        <vt:lpwstr/>
      </vt:variant>
      <vt:variant>
        <vt:i4>3276845</vt:i4>
      </vt:variant>
      <vt:variant>
        <vt:i4>1487</vt:i4>
      </vt:variant>
      <vt:variant>
        <vt:i4>0</vt:i4>
      </vt:variant>
      <vt:variant>
        <vt:i4>5</vt:i4>
      </vt:variant>
      <vt:variant>
        <vt:lpwstr>https://www.eea.europa.eu/en/topics/in-depth/waste-and-recycling/municipal-and-packaging-waste-management-country-profiles-2025/si-municipal-waste-factsheet.pdf/@@download/file</vt:lpwstr>
      </vt:variant>
      <vt:variant>
        <vt:lpwstr/>
      </vt:variant>
      <vt:variant>
        <vt:i4>3145815</vt:i4>
      </vt:variant>
      <vt:variant>
        <vt:i4>1484</vt:i4>
      </vt:variant>
      <vt:variant>
        <vt:i4>0</vt:i4>
      </vt:variant>
      <vt:variant>
        <vt:i4>5</vt:i4>
      </vt:variant>
      <vt:variant>
        <vt:lpwstr>https://view.officeapps.live.com/op/view.aspx?src=https%3A%2F%2Fwww.fu.gov.si%2Ffileadmin%2FInternet%2FDavki_in_druge_dajatve%2FPodrocja%2FOkoljske_dajatve%2FOpis%2FEnvironmental_taxes.docx&amp;wdOrigin=BROWSELINK</vt:lpwstr>
      </vt:variant>
      <vt:variant>
        <vt:lpwstr/>
      </vt:variant>
      <vt:variant>
        <vt:i4>8192111</vt:i4>
      </vt:variant>
      <vt:variant>
        <vt:i4>1481</vt:i4>
      </vt:variant>
      <vt:variant>
        <vt:i4>0</vt:i4>
      </vt:variant>
      <vt:variant>
        <vt:i4>5</vt:i4>
      </vt:variant>
      <vt:variant>
        <vt:lpwstr>https://www.oecd.org/en/data/datasets/policy-instruments-for-the-environment-pine-database.html</vt:lpwstr>
      </vt:variant>
      <vt:variant>
        <vt:lpwstr/>
      </vt:variant>
      <vt:variant>
        <vt:i4>5046288</vt:i4>
      </vt:variant>
      <vt:variant>
        <vt:i4>1478</vt:i4>
      </vt:variant>
      <vt:variant>
        <vt:i4>0</vt:i4>
      </vt:variant>
      <vt:variant>
        <vt:i4>5</vt:i4>
      </vt:variant>
      <vt:variant>
        <vt:lpwstr>https://www.ibisworld.com/slovenia/industry/paint-coatings-printing-ink-manufacturing/200450/</vt:lpwstr>
      </vt:variant>
      <vt:variant>
        <vt:lpwstr/>
      </vt:variant>
      <vt:variant>
        <vt:i4>8192111</vt:i4>
      </vt:variant>
      <vt:variant>
        <vt:i4>1475</vt:i4>
      </vt:variant>
      <vt:variant>
        <vt:i4>0</vt:i4>
      </vt:variant>
      <vt:variant>
        <vt:i4>5</vt:i4>
      </vt:variant>
      <vt:variant>
        <vt:lpwstr>https://www.oecd.org/en/data/datasets/policy-instruments-for-the-environment-pine-database.html</vt:lpwstr>
      </vt:variant>
      <vt:variant>
        <vt:lpwstr/>
      </vt:variant>
      <vt:variant>
        <vt:i4>3145815</vt:i4>
      </vt:variant>
      <vt:variant>
        <vt:i4>1472</vt:i4>
      </vt:variant>
      <vt:variant>
        <vt:i4>0</vt:i4>
      </vt:variant>
      <vt:variant>
        <vt:i4>5</vt:i4>
      </vt:variant>
      <vt:variant>
        <vt:lpwstr>https://view.officeapps.live.com/op/view.aspx?src=https%3A%2F%2Fwww.fu.gov.si%2Ffileadmin%2FInternet%2FDavki_in_druge_dajatve%2FPodrocja%2FOkoljske_dajatve%2FOpis%2FEnvironmental_taxes.docx&amp;wdOrigin=BROWSELINK</vt:lpwstr>
      </vt:variant>
      <vt:variant>
        <vt:lpwstr/>
      </vt:variant>
      <vt:variant>
        <vt:i4>4128834</vt:i4>
      </vt:variant>
      <vt:variant>
        <vt:i4>1469</vt:i4>
      </vt:variant>
      <vt:variant>
        <vt:i4>0</vt:i4>
      </vt:variant>
      <vt:variant>
        <vt:i4>5</vt:i4>
      </vt:variant>
      <vt:variant>
        <vt:lpwstr>https://www.uradni-list.si/files/RS_-2007-122-06166-OB~P001-0000.PDF</vt:lpwstr>
      </vt:variant>
      <vt:variant>
        <vt:lpwstr/>
      </vt:variant>
      <vt:variant>
        <vt:i4>4718606</vt:i4>
      </vt:variant>
      <vt:variant>
        <vt:i4>1466</vt:i4>
      </vt:variant>
      <vt:variant>
        <vt:i4>0</vt:i4>
      </vt:variant>
      <vt:variant>
        <vt:i4>5</vt:i4>
      </vt:variant>
      <vt:variant>
        <vt:lpwstr>https://www.gov.si/zbirke/storitve/vodne-dajatve/</vt:lpwstr>
      </vt:variant>
      <vt:variant>
        <vt:lpwstr/>
      </vt:variant>
      <vt:variant>
        <vt:i4>8192111</vt:i4>
      </vt:variant>
      <vt:variant>
        <vt:i4>1463</vt:i4>
      </vt:variant>
      <vt:variant>
        <vt:i4>0</vt:i4>
      </vt:variant>
      <vt:variant>
        <vt:i4>5</vt:i4>
      </vt:variant>
      <vt:variant>
        <vt:lpwstr>https://www.oecd.org/en/data/datasets/policy-instruments-for-the-environment-pine-database.html</vt:lpwstr>
      </vt:variant>
      <vt:variant>
        <vt:lpwstr/>
      </vt:variant>
      <vt:variant>
        <vt:i4>3276845</vt:i4>
      </vt:variant>
      <vt:variant>
        <vt:i4>1460</vt:i4>
      </vt:variant>
      <vt:variant>
        <vt:i4>0</vt:i4>
      </vt:variant>
      <vt:variant>
        <vt:i4>5</vt:i4>
      </vt:variant>
      <vt:variant>
        <vt:lpwstr>https://www.eea.europa.eu/en/topics/in-depth/waste-and-recycling/municipal-and-packaging-waste-management-country-profiles-2025/si-municipal-waste-factsheet.pdf/@@download/file</vt:lpwstr>
      </vt:variant>
      <vt:variant>
        <vt:lpwstr/>
      </vt:variant>
      <vt:variant>
        <vt:i4>8192111</vt:i4>
      </vt:variant>
      <vt:variant>
        <vt:i4>1457</vt:i4>
      </vt:variant>
      <vt:variant>
        <vt:i4>0</vt:i4>
      </vt:variant>
      <vt:variant>
        <vt:i4>5</vt:i4>
      </vt:variant>
      <vt:variant>
        <vt:lpwstr>https://www.oecd.org/en/data/datasets/policy-instruments-for-the-environment-pine-database.html</vt:lpwstr>
      </vt:variant>
      <vt:variant>
        <vt:lpwstr/>
      </vt:variant>
      <vt:variant>
        <vt:i4>1114140</vt:i4>
      </vt:variant>
      <vt:variant>
        <vt:i4>1454</vt:i4>
      </vt:variant>
      <vt:variant>
        <vt:i4>0</vt:i4>
      </vt:variant>
      <vt:variant>
        <vt:i4>5</vt:i4>
      </vt:variant>
      <vt:variant>
        <vt:lpwstr>https://www.fu.gov.si/davki_in_druge_dajatve/podrocja/okoljske_dajatve/</vt:lpwstr>
      </vt:variant>
      <vt:variant>
        <vt:lpwstr>c4651</vt:lpwstr>
      </vt:variant>
      <vt:variant>
        <vt:i4>8126585</vt:i4>
      </vt:variant>
      <vt:variant>
        <vt:i4>1451</vt:i4>
      </vt:variant>
      <vt:variant>
        <vt:i4>0</vt:i4>
      </vt:variant>
      <vt:variant>
        <vt:i4>5</vt:i4>
      </vt:variant>
      <vt:variant>
        <vt:lpwstr>https://eur-lex.europa.eu/legal-content/EN/TXT/?uri=celex%3A31994L0062</vt:lpwstr>
      </vt:variant>
      <vt:variant>
        <vt:lpwstr/>
      </vt:variant>
      <vt:variant>
        <vt:i4>1114140</vt:i4>
      </vt:variant>
      <vt:variant>
        <vt:i4>1448</vt:i4>
      </vt:variant>
      <vt:variant>
        <vt:i4>0</vt:i4>
      </vt:variant>
      <vt:variant>
        <vt:i4>5</vt:i4>
      </vt:variant>
      <vt:variant>
        <vt:lpwstr>https://www.fu.gov.si/davki_in_druge_dajatve/podrocja/okoljske_dajatve/</vt:lpwstr>
      </vt:variant>
      <vt:variant>
        <vt:lpwstr>c4651</vt:lpwstr>
      </vt:variant>
      <vt:variant>
        <vt:i4>7012473</vt:i4>
      </vt:variant>
      <vt:variant>
        <vt:i4>1445</vt:i4>
      </vt:variant>
      <vt:variant>
        <vt:i4>0</vt:i4>
      </vt:variant>
      <vt:variant>
        <vt:i4>5</vt:i4>
      </vt:variant>
      <vt:variant>
        <vt:lpwstr>https://view.officeapps.live.com/op/view.aspx?src=https%3A%2F%2Fwww.fu.gov.si%2Ffileadmin%2FInternet%2FDavki_in_druge_dajatve%2FPodrocja%2FOkoljske_dajatve%2FOpis%2FIG_priloga_1.doc&amp;wdOrigin=BROWSELINK</vt:lpwstr>
      </vt:variant>
      <vt:variant>
        <vt:lpwstr/>
      </vt:variant>
      <vt:variant>
        <vt:i4>852032</vt:i4>
      </vt:variant>
      <vt:variant>
        <vt:i4>1442</vt:i4>
      </vt:variant>
      <vt:variant>
        <vt:i4>0</vt:i4>
      </vt:variant>
      <vt:variant>
        <vt:i4>5</vt:i4>
      </vt:variant>
      <vt:variant>
        <vt:lpwstr>https://pisrs.si/pregledPredpisa?id=URED3928</vt:lpwstr>
      </vt:variant>
      <vt:variant>
        <vt:lpwstr/>
      </vt:variant>
      <vt:variant>
        <vt:i4>3145815</vt:i4>
      </vt:variant>
      <vt:variant>
        <vt:i4>1439</vt:i4>
      </vt:variant>
      <vt:variant>
        <vt:i4>0</vt:i4>
      </vt:variant>
      <vt:variant>
        <vt:i4>5</vt:i4>
      </vt:variant>
      <vt:variant>
        <vt:lpwstr>https://view.officeapps.live.com/op/view.aspx?src=https%3A%2F%2Fwww.fu.gov.si%2Ffileadmin%2FInternet%2FDavki_in_druge_dajatve%2FPodrocja%2FOkoljske_dajatve%2FOpis%2FEnvironmental_taxes.docx&amp;wdOrigin=BROWSELINK</vt:lpwstr>
      </vt:variant>
      <vt:variant>
        <vt:lpwstr/>
      </vt:variant>
      <vt:variant>
        <vt:i4>655431</vt:i4>
      </vt:variant>
      <vt:variant>
        <vt:i4>1436</vt:i4>
      </vt:variant>
      <vt:variant>
        <vt:i4>0</vt:i4>
      </vt:variant>
      <vt:variant>
        <vt:i4>5</vt:i4>
      </vt:variant>
      <vt:variant>
        <vt:lpwstr>https://pisrs.si/pregledPredpisa?id=URED6701</vt:lpwstr>
      </vt:variant>
      <vt:variant>
        <vt:lpwstr/>
      </vt:variant>
      <vt:variant>
        <vt:i4>1114140</vt:i4>
      </vt:variant>
      <vt:variant>
        <vt:i4>1433</vt:i4>
      </vt:variant>
      <vt:variant>
        <vt:i4>0</vt:i4>
      </vt:variant>
      <vt:variant>
        <vt:i4>5</vt:i4>
      </vt:variant>
      <vt:variant>
        <vt:lpwstr>https://www.fu.gov.si/davki_in_druge_dajatve/podrocja/okoljske_dajatve/</vt:lpwstr>
      </vt:variant>
      <vt:variant>
        <vt:lpwstr>c4651</vt:lpwstr>
      </vt:variant>
      <vt:variant>
        <vt:i4>3145815</vt:i4>
      </vt:variant>
      <vt:variant>
        <vt:i4>1430</vt:i4>
      </vt:variant>
      <vt:variant>
        <vt:i4>0</vt:i4>
      </vt:variant>
      <vt:variant>
        <vt:i4>5</vt:i4>
      </vt:variant>
      <vt:variant>
        <vt:lpwstr>https://view.officeapps.live.com/op/view.aspx?src=https%3A%2F%2Fwww.fu.gov.si%2Ffileadmin%2FInternet%2FDavki_in_druge_dajatve%2FPodrocja%2FOkoljske_dajatve%2FOpis%2FEnvironmental_taxes.docx&amp;wdOrigin=BROWSELINK</vt:lpwstr>
      </vt:variant>
      <vt:variant>
        <vt:lpwstr/>
      </vt:variant>
      <vt:variant>
        <vt:i4>1114140</vt:i4>
      </vt:variant>
      <vt:variant>
        <vt:i4>1427</vt:i4>
      </vt:variant>
      <vt:variant>
        <vt:i4>0</vt:i4>
      </vt:variant>
      <vt:variant>
        <vt:i4>5</vt:i4>
      </vt:variant>
      <vt:variant>
        <vt:lpwstr>https://www.fu.gov.si/davki_in_druge_dajatve/podrocja/okoljske_dajatve/</vt:lpwstr>
      </vt:variant>
      <vt:variant>
        <vt:lpwstr>c4651</vt:lpwstr>
      </vt:variant>
      <vt:variant>
        <vt:i4>2031644</vt:i4>
      </vt:variant>
      <vt:variant>
        <vt:i4>1424</vt:i4>
      </vt:variant>
      <vt:variant>
        <vt:i4>0</vt:i4>
      </vt:variant>
      <vt:variant>
        <vt:i4>5</vt:i4>
      </vt:variant>
      <vt:variant>
        <vt:lpwstr>https://circabc.europa.eu/ui/group/65764c73-4a57-45dc-8199-473014cf65bf/library/afe3a4d6-ca49-4ac0-be15-688fb4fbf5a9/details</vt:lpwstr>
      </vt:variant>
      <vt:variant>
        <vt:lpwstr/>
      </vt:variant>
      <vt:variant>
        <vt:i4>5308500</vt:i4>
      </vt:variant>
      <vt:variant>
        <vt:i4>1421</vt:i4>
      </vt:variant>
      <vt:variant>
        <vt:i4>0</vt:i4>
      </vt:variant>
      <vt:variant>
        <vt:i4>5</vt:i4>
      </vt:variant>
      <vt:variant>
        <vt:lpwstr>https://www.gov.si/zbirke/storitve/porocilo-o-obratovalnem-monitoringu-odpadnih-voda-za-industrijske-naprave/</vt:lpwstr>
      </vt:variant>
      <vt:variant>
        <vt:lpwstr/>
      </vt:variant>
      <vt:variant>
        <vt:i4>6094850</vt:i4>
      </vt:variant>
      <vt:variant>
        <vt:i4>1418</vt:i4>
      </vt:variant>
      <vt:variant>
        <vt:i4>0</vt:i4>
      </vt:variant>
      <vt:variant>
        <vt:i4>5</vt:i4>
      </vt:variant>
      <vt:variant>
        <vt:lpwstr>https://view.officeapps.live.com/op/view.aspx?src=https%3A%2F%2Fwww.fu.gov.si%2Ffileadmin%2FInternet%2FDavki_in_druge_dajatve%2FPodrocja%2FOkoljske_dajatve%2FOpis%2FOkoljska_dajatev_za_onesnazevanje_okolja_zaradi_odvajanja_odpadnih_voda.doc&amp;wdOrigin=BROWSELINK</vt:lpwstr>
      </vt:variant>
      <vt:variant>
        <vt:lpwstr/>
      </vt:variant>
      <vt:variant>
        <vt:i4>6946913</vt:i4>
      </vt:variant>
      <vt:variant>
        <vt:i4>1415</vt:i4>
      </vt:variant>
      <vt:variant>
        <vt:i4>0</vt:i4>
      </vt:variant>
      <vt:variant>
        <vt:i4>5</vt:i4>
      </vt:variant>
      <vt:variant>
        <vt:lpwstr>https://www.fu.gov.si/kontakti</vt:lpwstr>
      </vt:variant>
      <vt:variant>
        <vt:lpwstr>c5260</vt:lpwstr>
      </vt:variant>
      <vt:variant>
        <vt:i4>262211</vt:i4>
      </vt:variant>
      <vt:variant>
        <vt:i4>1412</vt:i4>
      </vt:variant>
      <vt:variant>
        <vt:i4>0</vt:i4>
      </vt:variant>
      <vt:variant>
        <vt:i4>5</vt:i4>
      </vt:variant>
      <vt:variant>
        <vt:lpwstr>https://pisrs.si/pregledPredpisa?id=URED6149</vt:lpwstr>
      </vt:variant>
      <vt:variant>
        <vt:lpwstr/>
      </vt:variant>
      <vt:variant>
        <vt:i4>1900608</vt:i4>
      </vt:variant>
      <vt:variant>
        <vt:i4>1409</vt:i4>
      </vt:variant>
      <vt:variant>
        <vt:i4>0</vt:i4>
      </vt:variant>
      <vt:variant>
        <vt:i4>5</vt:i4>
      </vt:variant>
      <vt:variant>
        <vt:lpwstr>https://pisrs.si/pregledPredpisa?id=PRAV12112</vt:lpwstr>
      </vt:variant>
      <vt:variant>
        <vt:lpwstr/>
      </vt:variant>
      <vt:variant>
        <vt:i4>262211</vt:i4>
      </vt:variant>
      <vt:variant>
        <vt:i4>1406</vt:i4>
      </vt:variant>
      <vt:variant>
        <vt:i4>0</vt:i4>
      </vt:variant>
      <vt:variant>
        <vt:i4>5</vt:i4>
      </vt:variant>
      <vt:variant>
        <vt:lpwstr>https://pisrs.si/pregledPredpisa?id=URED6149</vt:lpwstr>
      </vt:variant>
      <vt:variant>
        <vt:lpwstr/>
      </vt:variant>
      <vt:variant>
        <vt:i4>4194305</vt:i4>
      </vt:variant>
      <vt:variant>
        <vt:i4>1403</vt:i4>
      </vt:variant>
      <vt:variant>
        <vt:i4>0</vt:i4>
      </vt:variant>
      <vt:variant>
        <vt:i4>5</vt:i4>
      </vt:variant>
      <vt:variant>
        <vt:lpwstr>https://www.gov.si/zbirke/storitve/okoljska-dajatev-za-onesnazevanje-okolja-zaradi-odvajanja-industrijskih-odpadnih-voda/</vt:lpwstr>
      </vt:variant>
      <vt:variant>
        <vt:lpwstr/>
      </vt:variant>
      <vt:variant>
        <vt:i4>4718680</vt:i4>
      </vt:variant>
      <vt:variant>
        <vt:i4>1400</vt:i4>
      </vt:variant>
      <vt:variant>
        <vt:i4>0</vt:i4>
      </vt:variant>
      <vt:variant>
        <vt:i4>5</vt:i4>
      </vt:variant>
      <vt:variant>
        <vt:lpwstr>https://data.europa.eu/data/datasets/podatki-o-placanih-okoljskih-dajatvah?locale=en</vt:lpwstr>
      </vt:variant>
      <vt:variant>
        <vt:lpwstr/>
      </vt:variant>
      <vt:variant>
        <vt:i4>4718680</vt:i4>
      </vt:variant>
      <vt:variant>
        <vt:i4>1397</vt:i4>
      </vt:variant>
      <vt:variant>
        <vt:i4>0</vt:i4>
      </vt:variant>
      <vt:variant>
        <vt:i4>5</vt:i4>
      </vt:variant>
      <vt:variant>
        <vt:lpwstr>https://data.europa.eu/data/datasets/podatki-o-placanih-okoljskih-dajatvah?locale=en</vt:lpwstr>
      </vt:variant>
      <vt:variant>
        <vt:lpwstr/>
      </vt:variant>
      <vt:variant>
        <vt:i4>8192111</vt:i4>
      </vt:variant>
      <vt:variant>
        <vt:i4>1394</vt:i4>
      </vt:variant>
      <vt:variant>
        <vt:i4>0</vt:i4>
      </vt:variant>
      <vt:variant>
        <vt:i4>5</vt:i4>
      </vt:variant>
      <vt:variant>
        <vt:lpwstr>https://www.oecd.org/en/data/datasets/policy-instruments-for-the-environment-pine-database.html</vt:lpwstr>
      </vt:variant>
      <vt:variant>
        <vt:lpwstr/>
      </vt:variant>
      <vt:variant>
        <vt:i4>393299</vt:i4>
      </vt:variant>
      <vt:variant>
        <vt:i4>1391</vt:i4>
      </vt:variant>
      <vt:variant>
        <vt:i4>0</vt:i4>
      </vt:variant>
      <vt:variant>
        <vt:i4>5</vt:i4>
      </vt:variant>
      <vt:variant>
        <vt:lpwstr>https://view.officeapps.live.com/op/view.aspx?src=https%3A%2F%2Fec.europa.eu%2Feurostat%2Fstatistics-explained%2Fimages%2F9%2F9c%2FNational_tax_lists_2023_2025-04-25.xlsx&amp;wdOrigin=BROWSELINK</vt:lpwstr>
      </vt:variant>
      <vt:variant>
        <vt:lpwstr/>
      </vt:variant>
      <vt:variant>
        <vt:i4>2686986</vt:i4>
      </vt:variant>
      <vt:variant>
        <vt:i4>1388</vt:i4>
      </vt:variant>
      <vt:variant>
        <vt:i4>0</vt:i4>
      </vt:variant>
      <vt:variant>
        <vt:i4>5</vt:i4>
      </vt:variant>
      <vt:variant>
        <vt:lpwstr>https://ec.europa.eu/eurostat/databrowser/view/env_ac_taxind2__custom_16151737/default/table?lang=en</vt:lpwstr>
      </vt:variant>
      <vt:variant>
        <vt:lpwstr/>
      </vt:variant>
      <vt:variant>
        <vt:i4>2686986</vt:i4>
      </vt:variant>
      <vt:variant>
        <vt:i4>1385</vt:i4>
      </vt:variant>
      <vt:variant>
        <vt:i4>0</vt:i4>
      </vt:variant>
      <vt:variant>
        <vt:i4>5</vt:i4>
      </vt:variant>
      <vt:variant>
        <vt:lpwstr>https://ec.europa.eu/eurostat/databrowser/view/env_ac_taxind2__custom_16151737/default/table?lang=en</vt:lpwstr>
      </vt:variant>
      <vt:variant>
        <vt:lpwstr/>
      </vt:variant>
      <vt:variant>
        <vt:i4>6619188</vt:i4>
      </vt:variant>
      <vt:variant>
        <vt:i4>1382</vt:i4>
      </vt:variant>
      <vt:variant>
        <vt:i4>0</vt:i4>
      </vt:variant>
      <vt:variant>
        <vt:i4>5</vt:i4>
      </vt:variant>
      <vt:variant>
        <vt:lpwstr>https://www.eea.europa.eu/publications/many-eu-member-states/slovakia/view</vt:lpwstr>
      </vt:variant>
      <vt:variant>
        <vt:lpwstr/>
      </vt:variant>
      <vt:variant>
        <vt:i4>6619188</vt:i4>
      </vt:variant>
      <vt:variant>
        <vt:i4>1379</vt:i4>
      </vt:variant>
      <vt:variant>
        <vt:i4>0</vt:i4>
      </vt:variant>
      <vt:variant>
        <vt:i4>5</vt:i4>
      </vt:variant>
      <vt:variant>
        <vt:lpwstr>https://www.eea.europa.eu/publications/many-eu-member-states/slovakia/view</vt:lpwstr>
      </vt:variant>
      <vt:variant>
        <vt:lpwstr/>
      </vt:variant>
      <vt:variant>
        <vt:i4>6291536</vt:i4>
      </vt:variant>
      <vt:variant>
        <vt:i4>1376</vt:i4>
      </vt:variant>
      <vt:variant>
        <vt:i4>0</vt:i4>
      </vt:variant>
      <vt:variant>
        <vt:i4>5</vt:i4>
      </vt:variant>
      <vt:variant>
        <vt:lpwstr>https://www.mfsr.sk/en/press/the-state-can-use-least-370-million-subsidies-more-efficiently.html?utm_source=chatgpt.com</vt:lpwstr>
      </vt:variant>
      <vt:variant>
        <vt:lpwstr/>
      </vt:variant>
      <vt:variant>
        <vt:i4>5505026</vt:i4>
      </vt:variant>
      <vt:variant>
        <vt:i4>1373</vt:i4>
      </vt:variant>
      <vt:variant>
        <vt:i4>0</vt:i4>
      </vt:variant>
      <vt:variant>
        <vt:i4>5</vt:i4>
      </vt:variant>
      <vt:variant>
        <vt:lpwstr>http://dx.doi.org/10.15240/tul/001/2016-4-001</vt:lpwstr>
      </vt:variant>
      <vt:variant>
        <vt:lpwstr/>
      </vt:variant>
      <vt:variant>
        <vt:i4>5373953</vt:i4>
      </vt:variant>
      <vt:variant>
        <vt:i4>1370</vt:i4>
      </vt:variant>
      <vt:variant>
        <vt:i4>0</vt:i4>
      </vt:variant>
      <vt:variant>
        <vt:i4>5</vt:i4>
      </vt:variant>
      <vt:variant>
        <vt:lpwstr>https://www.oecd.org/content/dam/oecd/en/topics/policy-sub-issues/carbon-pricing-and-energy-taxes/carbon-pricing-slovak-republic.pdf</vt:lpwstr>
      </vt:variant>
      <vt:variant>
        <vt:lpwstr/>
      </vt:variant>
      <vt:variant>
        <vt:i4>262246</vt:i4>
      </vt:variant>
      <vt:variant>
        <vt:i4>1367</vt:i4>
      </vt:variant>
      <vt:variant>
        <vt:i4>0</vt:i4>
      </vt:variant>
      <vt:variant>
        <vt:i4>5</vt:i4>
      </vt:variant>
      <vt:variant>
        <vt:lpwstr>https://www.eionet.europa.eu/etcs/etc-ce/products/etc-ce-products/etc-ce-report-5-2022-country-profiles-on-circular-economy/slovakia-ce-country-profile-2022_for-publication.pdf</vt:lpwstr>
      </vt:variant>
      <vt:variant>
        <vt:lpwstr/>
      </vt:variant>
      <vt:variant>
        <vt:i4>4784213</vt:i4>
      </vt:variant>
      <vt:variant>
        <vt:i4>1364</vt:i4>
      </vt:variant>
      <vt:variant>
        <vt:i4>0</vt:i4>
      </vt:variant>
      <vt:variant>
        <vt:i4>5</vt:i4>
      </vt:variant>
      <vt:variant>
        <vt:lpwstr>https://www.eea.europa.eu/publications/many-eu-member-states/early-warning-assessment-related-to</vt:lpwstr>
      </vt:variant>
      <vt:variant>
        <vt:lpwstr/>
      </vt:variant>
      <vt:variant>
        <vt:i4>6094910</vt:i4>
      </vt:variant>
      <vt:variant>
        <vt:i4>1361</vt:i4>
      </vt:variant>
      <vt:variant>
        <vt:i4>0</vt:i4>
      </vt:variant>
      <vt:variant>
        <vt:i4>5</vt:i4>
      </vt:variant>
      <vt:variant>
        <vt:lpwstr>https://www.oecd.org/en/publications/towards-a-green-fiscal-reform-in-the-slovak-republic_1aa92a49-en.html</vt:lpwstr>
      </vt:variant>
      <vt:variant>
        <vt:lpwstr/>
      </vt:variant>
      <vt:variant>
        <vt:i4>6619188</vt:i4>
      </vt:variant>
      <vt:variant>
        <vt:i4>1358</vt:i4>
      </vt:variant>
      <vt:variant>
        <vt:i4>0</vt:i4>
      </vt:variant>
      <vt:variant>
        <vt:i4>5</vt:i4>
      </vt:variant>
      <vt:variant>
        <vt:lpwstr>https://www.eea.europa.eu/publications/many-eu-member-states/slovakia/view</vt:lpwstr>
      </vt:variant>
      <vt:variant>
        <vt:lpwstr/>
      </vt:variant>
      <vt:variant>
        <vt:i4>6029413</vt:i4>
      </vt:variant>
      <vt:variant>
        <vt:i4>1355</vt:i4>
      </vt:variant>
      <vt:variant>
        <vt:i4>0</vt:i4>
      </vt:variant>
      <vt:variant>
        <vt:i4>5</vt:i4>
      </vt:variant>
      <vt:variant>
        <vt:lpwstr>https://commission.europa.eu/document/download/62d6f5ed-3509-4015-ad4e-415fa5467006_en?filename=com_2024_625_1_en.pdf</vt:lpwstr>
      </vt:variant>
      <vt:variant>
        <vt:lpwstr/>
      </vt:variant>
      <vt:variant>
        <vt:i4>6225984</vt:i4>
      </vt:variant>
      <vt:variant>
        <vt:i4>1352</vt:i4>
      </vt:variant>
      <vt:variant>
        <vt:i4>0</vt:i4>
      </vt:variant>
      <vt:variant>
        <vt:i4>5</vt:i4>
      </vt:variant>
      <vt:variant>
        <vt:lpwstr>https://www.minzp.sk/files/iep/analyzy/epr-slovakia-2024-highlights-final-english-web.pdf</vt:lpwstr>
      </vt:variant>
      <vt:variant>
        <vt:lpwstr/>
      </vt:variant>
      <vt:variant>
        <vt:i4>1245247</vt:i4>
      </vt:variant>
      <vt:variant>
        <vt:i4>1349</vt:i4>
      </vt:variant>
      <vt:variant>
        <vt:i4>0</vt:i4>
      </vt:variant>
      <vt:variant>
        <vt:i4>5</vt:i4>
      </vt:variant>
      <vt:variant>
        <vt:lpwstr>https://www.minzp.sk/files/iep/greener_slovakia-strategy_of_the_environmental_policy_of_the_slovak_republic_until_2030.pdf</vt:lpwstr>
      </vt:variant>
      <vt:variant>
        <vt:lpwstr/>
      </vt:variant>
      <vt:variant>
        <vt:i4>196614</vt:i4>
      </vt:variant>
      <vt:variant>
        <vt:i4>1346</vt:i4>
      </vt:variant>
      <vt:variant>
        <vt:i4>0</vt:i4>
      </vt:variant>
      <vt:variant>
        <vt:i4>5</vt:i4>
      </vt:variant>
      <vt:variant>
        <vt:lpwstr>https://expatsk.com/hunting-and-fishing-in-slovakia/</vt:lpwstr>
      </vt:variant>
      <vt:variant>
        <vt:lpwstr/>
      </vt:variant>
      <vt:variant>
        <vt:i4>7733368</vt:i4>
      </vt:variant>
      <vt:variant>
        <vt:i4>1343</vt:i4>
      </vt:variant>
      <vt:variant>
        <vt:i4>0</vt:i4>
      </vt:variant>
      <vt:variant>
        <vt:i4>5</vt:i4>
      </vt:variant>
      <vt:variant>
        <vt:lpwstr>https://www.spravcazaloh.sk/en/</vt:lpwstr>
      </vt:variant>
      <vt:variant>
        <vt:lpwstr/>
      </vt:variant>
      <vt:variant>
        <vt:i4>1114206</vt:i4>
      </vt:variant>
      <vt:variant>
        <vt:i4>1340</vt:i4>
      </vt:variant>
      <vt:variant>
        <vt:i4>0</vt:i4>
      </vt:variant>
      <vt:variant>
        <vt:i4>5</vt:i4>
      </vt:variant>
      <vt:variant>
        <vt:lpwstr>https://ieep.eu/wp-content/uploads/2022/12/SK-Air-Pollution-Fee-final.pdf</vt:lpwstr>
      </vt:variant>
      <vt:variant>
        <vt:lpwstr/>
      </vt:variant>
      <vt:variant>
        <vt:i4>5701644</vt:i4>
      </vt:variant>
      <vt:variant>
        <vt:i4>1337</vt:i4>
      </vt:variant>
      <vt:variant>
        <vt:i4>0</vt:i4>
      </vt:variant>
      <vt:variant>
        <vt:i4>5</vt:i4>
      </vt:variant>
      <vt:variant>
        <vt:lpwstr>https://www.zakonypreludi.sk/zz/2018-329</vt:lpwstr>
      </vt:variant>
      <vt:variant>
        <vt:lpwstr/>
      </vt:variant>
      <vt:variant>
        <vt:i4>5439567</vt:i4>
      </vt:variant>
      <vt:variant>
        <vt:i4>1334</vt:i4>
      </vt:variant>
      <vt:variant>
        <vt:i4>0</vt:i4>
      </vt:variant>
      <vt:variant>
        <vt:i4>5</vt:i4>
      </vt:variant>
      <vt:variant>
        <vt:lpwstr>https://www.zakonypreludi.sk/zz/2002-50</vt:lpwstr>
      </vt:variant>
      <vt:variant>
        <vt:lpwstr>p1</vt:lpwstr>
      </vt:variant>
      <vt:variant>
        <vt:i4>4456532</vt:i4>
      </vt:variant>
      <vt:variant>
        <vt:i4>1331</vt:i4>
      </vt:variant>
      <vt:variant>
        <vt:i4>0</vt:i4>
      </vt:variant>
      <vt:variant>
        <vt:i4>5</vt:i4>
      </vt:variant>
      <vt:variant>
        <vt:lpwstr>https://ec.europa.eu/eurostat/cache/metadata/EN/env_ac_taxind2_simset_sk.htm</vt:lpwstr>
      </vt:variant>
      <vt:variant>
        <vt:lpwstr/>
      </vt:variant>
      <vt:variant>
        <vt:i4>5046291</vt:i4>
      </vt:variant>
      <vt:variant>
        <vt:i4>1328</vt:i4>
      </vt:variant>
      <vt:variant>
        <vt:i4>0</vt:i4>
      </vt:variant>
      <vt:variant>
        <vt:i4>5</vt:i4>
      </vt:variant>
      <vt:variant>
        <vt:lpwstr>https://www.slov-lex.sk/ezbierky/pravne-predpisy/SK/ZZ/2023/190/20240101</vt:lpwstr>
      </vt:variant>
      <vt:variant>
        <vt:lpwstr/>
      </vt:variant>
      <vt:variant>
        <vt:i4>7340100</vt:i4>
      </vt:variant>
      <vt:variant>
        <vt:i4>1325</vt:i4>
      </vt:variant>
      <vt:variant>
        <vt:i4>0</vt:i4>
      </vt:variant>
      <vt:variant>
        <vt:i4>5</vt:i4>
      </vt:variant>
      <vt:variant>
        <vt:lpwstr>https://www.slov-lex.sk/ezbierky/pravne-predpisy/SK/ZZ/2004/755/vyhlasene_znenie.html</vt:lpwstr>
      </vt:variant>
      <vt:variant>
        <vt:lpwstr/>
      </vt:variant>
      <vt:variant>
        <vt:i4>2883688</vt:i4>
      </vt:variant>
      <vt:variant>
        <vt:i4>1322</vt:i4>
      </vt:variant>
      <vt:variant>
        <vt:i4>0</vt:i4>
      </vt:variant>
      <vt:variant>
        <vt:i4>5</vt:i4>
      </vt:variant>
      <vt:variant>
        <vt:lpwstr>https://programme2014-20.interreg-central.eu/Content.Node/DEEPWATER-CE/D.T4.1.2-COMPARATIVE-CE-TRANSNATIONAL-REPORT-MAR-LEGISLATION.pdf</vt:lpwstr>
      </vt:variant>
      <vt:variant>
        <vt:lpwstr/>
      </vt:variant>
      <vt:variant>
        <vt:i4>327737</vt:i4>
      </vt:variant>
      <vt:variant>
        <vt:i4>1317</vt:i4>
      </vt:variant>
      <vt:variant>
        <vt:i4>0</vt:i4>
      </vt:variant>
      <vt:variant>
        <vt:i4>5</vt:i4>
      </vt:variant>
      <vt:variant>
        <vt:lpwstr>https://economy-finance.ec.europa.eu/document/download/7cb47fb4-4517-431a-95c8-17cb161d5078_en?filename=RO_CR_SWD_2025_223_1_EN_autre_document_travail_service_part1_v4.pdf</vt:lpwstr>
      </vt:variant>
      <vt:variant>
        <vt:lpwstr/>
      </vt:variant>
      <vt:variant>
        <vt:i4>327737</vt:i4>
      </vt:variant>
      <vt:variant>
        <vt:i4>1314</vt:i4>
      </vt:variant>
      <vt:variant>
        <vt:i4>0</vt:i4>
      </vt:variant>
      <vt:variant>
        <vt:i4>5</vt:i4>
      </vt:variant>
      <vt:variant>
        <vt:lpwstr>https://economy-finance.ec.europa.eu/document/download/7cb47fb4-4517-431a-95c8-17cb161d5078_en?filename=RO_CR_SWD_2025_223_1_EN_autre_document_travail_service_part1_v4.pdf</vt:lpwstr>
      </vt:variant>
      <vt:variant>
        <vt:lpwstr/>
      </vt:variant>
      <vt:variant>
        <vt:i4>327737</vt:i4>
      </vt:variant>
      <vt:variant>
        <vt:i4>1311</vt:i4>
      </vt:variant>
      <vt:variant>
        <vt:i4>0</vt:i4>
      </vt:variant>
      <vt:variant>
        <vt:i4>5</vt:i4>
      </vt:variant>
      <vt:variant>
        <vt:lpwstr>https://economy-finance.ec.europa.eu/document/download/7cb47fb4-4517-431a-95c8-17cb161d5078_en?filename=RO_CR_SWD_2025_223_1_EN_autre_document_travail_service_part1_v4.pdf</vt:lpwstr>
      </vt:variant>
      <vt:variant>
        <vt:lpwstr/>
      </vt:variant>
      <vt:variant>
        <vt:i4>3604581</vt:i4>
      </vt:variant>
      <vt:variant>
        <vt:i4>1308</vt:i4>
      </vt:variant>
      <vt:variant>
        <vt:i4>0</vt:i4>
      </vt:variant>
      <vt:variant>
        <vt:i4>5</vt:i4>
      </vt:variant>
      <vt:variant>
        <vt:lpwstr>https://causapublica.org/estudos/a-fiscalidade-em-portugal/</vt:lpwstr>
      </vt:variant>
      <vt:variant>
        <vt:lpwstr/>
      </vt:variant>
      <vt:variant>
        <vt:i4>1048682</vt:i4>
      </vt:variant>
      <vt:variant>
        <vt:i4>1305</vt:i4>
      </vt:variant>
      <vt:variant>
        <vt:i4>0</vt:i4>
      </vt:variant>
      <vt:variant>
        <vt:i4>5</vt:i4>
      </vt:variant>
      <vt:variant>
        <vt:lpwstr>https://economy-finance.ec.europa.eu/document/download/52166ac9-de1e-4009-8921-39eb6f9673fc_en?filename=PT_CR_SWD_2025_222_1_EN_autre_document_travail_service_part1_v3.pdf</vt:lpwstr>
      </vt:variant>
      <vt:variant>
        <vt:lpwstr/>
      </vt:variant>
      <vt:variant>
        <vt:i4>1048682</vt:i4>
      </vt:variant>
      <vt:variant>
        <vt:i4>1302</vt:i4>
      </vt:variant>
      <vt:variant>
        <vt:i4>0</vt:i4>
      </vt:variant>
      <vt:variant>
        <vt:i4>5</vt:i4>
      </vt:variant>
      <vt:variant>
        <vt:lpwstr>https://economy-finance.ec.europa.eu/document/download/52166ac9-de1e-4009-8921-39eb6f9673fc_en?filename=PT_CR_SWD_2025_222_1_EN_autre_document_travail_service_part1_v3.pdf</vt:lpwstr>
      </vt:variant>
      <vt:variant>
        <vt:lpwstr/>
      </vt:variant>
      <vt:variant>
        <vt:i4>6619261</vt:i4>
      </vt:variant>
      <vt:variant>
        <vt:i4>1299</vt:i4>
      </vt:variant>
      <vt:variant>
        <vt:i4>0</vt:i4>
      </vt:variant>
      <vt:variant>
        <vt:i4>5</vt:i4>
      </vt:variant>
      <vt:variant>
        <vt:lpwstr>https://sozosfera.pl/odpady/problem-nielegalnie-magazynowanych-lub-skladowanych-odpadow-w-tym-odpadow-niebezpiecznych/</vt:lpwstr>
      </vt:variant>
      <vt:variant>
        <vt:lpwstr/>
      </vt:variant>
      <vt:variant>
        <vt:i4>4522052</vt:i4>
      </vt:variant>
      <vt:variant>
        <vt:i4>1296</vt:i4>
      </vt:variant>
      <vt:variant>
        <vt:i4>0</vt:i4>
      </vt:variant>
      <vt:variant>
        <vt:i4>5</vt:i4>
      </vt:variant>
      <vt:variant>
        <vt:lpwstr>https://www.gov.pl/web/klimat/usuwanie-nielegalnych-skladowisk-wsparcie-dla-samorzadw-ustawa</vt:lpwstr>
      </vt:variant>
      <vt:variant>
        <vt:lpwstr/>
      </vt:variant>
      <vt:variant>
        <vt:i4>7602288</vt:i4>
      </vt:variant>
      <vt:variant>
        <vt:i4>1293</vt:i4>
      </vt:variant>
      <vt:variant>
        <vt:i4>0</vt:i4>
      </vt:variant>
      <vt:variant>
        <vt:i4>5</vt:i4>
      </vt:variant>
      <vt:variant>
        <vt:lpwstr>https://www.gov.pl/web/climate/deposit-refund-system-in-poland</vt:lpwstr>
      </vt:variant>
      <vt:variant>
        <vt:lpwstr/>
      </vt:variant>
      <vt:variant>
        <vt:i4>6160457</vt:i4>
      </vt:variant>
      <vt:variant>
        <vt:i4>1290</vt:i4>
      </vt:variant>
      <vt:variant>
        <vt:i4>0</vt:i4>
      </vt:variant>
      <vt:variant>
        <vt:i4>5</vt:i4>
      </vt:variant>
      <vt:variant>
        <vt:lpwstr>https://www.podatki.gov.pl/podatki-i-oplaty-lokalne/oplata-miejscowa/</vt:lpwstr>
      </vt:variant>
      <vt:variant>
        <vt:lpwstr/>
      </vt:variant>
      <vt:variant>
        <vt:i4>4849679</vt:i4>
      </vt:variant>
      <vt:variant>
        <vt:i4>1287</vt:i4>
      </vt:variant>
      <vt:variant>
        <vt:i4>0</vt:i4>
      </vt:variant>
      <vt:variant>
        <vt:i4>5</vt:i4>
      </vt:variant>
      <vt:variant>
        <vt:lpwstr>https://wts.com/global/publishing-article/20230525-poland-sup-directive~publishing-article</vt:lpwstr>
      </vt:variant>
      <vt:variant>
        <vt:lpwstr>:~:text=From%201%20January%202024%2C%20retail%20and%20food%20service,not%20be%20higher%20than%20PLN%201%20per%20piece.</vt:lpwstr>
      </vt:variant>
      <vt:variant>
        <vt:i4>655381</vt:i4>
      </vt:variant>
      <vt:variant>
        <vt:i4>1284</vt:i4>
      </vt:variant>
      <vt:variant>
        <vt:i4>0</vt:i4>
      </vt:variant>
      <vt:variant>
        <vt:i4>5</vt:i4>
      </vt:variant>
      <vt:variant>
        <vt:lpwstr>https://data.europa.eu/doi/10.2779/348402</vt:lpwstr>
      </vt:variant>
      <vt:variant>
        <vt:lpwstr/>
      </vt:variant>
      <vt:variant>
        <vt:i4>8192119</vt:i4>
      </vt:variant>
      <vt:variant>
        <vt:i4>1281</vt:i4>
      </vt:variant>
      <vt:variant>
        <vt:i4>0</vt:i4>
      </vt:variant>
      <vt:variant>
        <vt:i4>5</vt:i4>
      </vt:variant>
      <vt:variant>
        <vt:lpwstr>https://www.gov.pl/web/srodowisko/ustawa-prawo-geologiczne-i-gornicze-z-rozporzadzeniami-w-angielskiej-wersji-jezykowej</vt:lpwstr>
      </vt:variant>
      <vt:variant>
        <vt:lpwstr/>
      </vt:variant>
      <vt:variant>
        <vt:i4>4718659</vt:i4>
      </vt:variant>
      <vt:variant>
        <vt:i4>1278</vt:i4>
      </vt:variant>
      <vt:variant>
        <vt:i4>0</vt:i4>
      </vt:variant>
      <vt:variant>
        <vt:i4>5</vt:i4>
      </vt:variant>
      <vt:variant>
        <vt:lpwstr>https://www.biznes.gov.pl/pl/portal/00278</vt:lpwstr>
      </vt:variant>
      <vt:variant>
        <vt:lpwstr>:~:text=Prowadz%C4%85c%20sklep%20lub%20hurtowni%C4%99%2C%20w%20kt%C3%B3rej%20klienci%20pakuj%C4%85,urz%C4%99du%20marsza%C5%82kowskiego%20w%C5%82a%C5%9Bciwego%20dla%20miejsca%20prowadzenia%20twojej%20dzia%C5%82alno%C5%9Bci</vt:lpwstr>
      </vt:variant>
      <vt:variant>
        <vt:i4>7733307</vt:i4>
      </vt:variant>
      <vt:variant>
        <vt:i4>1275</vt:i4>
      </vt:variant>
      <vt:variant>
        <vt:i4>0</vt:i4>
      </vt:variant>
      <vt:variant>
        <vt:i4>5</vt:i4>
      </vt:variant>
      <vt:variant>
        <vt:lpwstr>https://sip.lex.pl/akty-prawne/dzu-dziennik-ustaw/substancje-zubozajace-warstwe-ozonowa-oraz-niektore-fluorowane-gazy-18204429</vt:lpwstr>
      </vt:variant>
      <vt:variant>
        <vt:lpwstr/>
      </vt:variant>
      <vt:variant>
        <vt:i4>5963847</vt:i4>
      </vt:variant>
      <vt:variant>
        <vt:i4>1272</vt:i4>
      </vt:variant>
      <vt:variant>
        <vt:i4>0</vt:i4>
      </vt:variant>
      <vt:variant>
        <vt:i4>5</vt:i4>
      </vt:variant>
      <vt:variant>
        <vt:lpwstr>https://api.sejm.gov.pl/eli/acts/DU/2023/877/text.pdf</vt:lpwstr>
      </vt:variant>
      <vt:variant>
        <vt:lpwstr/>
      </vt:variant>
      <vt:variant>
        <vt:i4>4587588</vt:i4>
      </vt:variant>
      <vt:variant>
        <vt:i4>1269</vt:i4>
      </vt:variant>
      <vt:variant>
        <vt:i4>0</vt:i4>
      </vt:variant>
      <vt:variant>
        <vt:i4>5</vt:i4>
      </vt:variant>
      <vt:variant>
        <vt:lpwstr>https://platformaodpadowa.interzero.pl/en/product-levy-2024-key-information-on-product-levy/</vt:lpwstr>
      </vt:variant>
      <vt:variant>
        <vt:lpwstr>elementor-toc__heading-anchor-0</vt:lpwstr>
      </vt:variant>
      <vt:variant>
        <vt:i4>3604514</vt:i4>
      </vt:variant>
      <vt:variant>
        <vt:i4>1266</vt:i4>
      </vt:variant>
      <vt:variant>
        <vt:i4>0</vt:i4>
      </vt:variant>
      <vt:variant>
        <vt:i4>5</vt:i4>
      </vt:variant>
      <vt:variant>
        <vt:lpwstr>https://sip.lex.pl/akty-prawne/dzu-dziennik-ustaw/jednostkowe-stawki-oplat-za-uslugi-wodne-18669415</vt:lpwstr>
      </vt:variant>
      <vt:variant>
        <vt:lpwstr/>
      </vt:variant>
      <vt:variant>
        <vt:i4>6619183</vt:i4>
      </vt:variant>
      <vt:variant>
        <vt:i4>1263</vt:i4>
      </vt:variant>
      <vt:variant>
        <vt:i4>0</vt:i4>
      </vt:variant>
      <vt:variant>
        <vt:i4>5</vt:i4>
      </vt:variant>
      <vt:variant>
        <vt:lpwstr>https://wody.gov.pl/nasze-dzialania/oplaty-za-uslugi-wodne</vt:lpwstr>
      </vt:variant>
      <vt:variant>
        <vt:lpwstr/>
      </vt:variant>
      <vt:variant>
        <vt:i4>2162802</vt:i4>
      </vt:variant>
      <vt:variant>
        <vt:i4>1260</vt:i4>
      </vt:variant>
      <vt:variant>
        <vt:i4>0</vt:i4>
      </vt:variant>
      <vt:variant>
        <vt:i4>5</vt:i4>
      </vt:variant>
      <vt:variant>
        <vt:lpwstr>https://sip.lex.pl/akty-prawne/dzu-dziennik-ustaw/prawo-wodne-18625895</vt:lpwstr>
      </vt:variant>
      <vt:variant>
        <vt:lpwstr/>
      </vt:variant>
      <vt:variant>
        <vt:i4>852035</vt:i4>
      </vt:variant>
      <vt:variant>
        <vt:i4>1257</vt:i4>
      </vt:variant>
      <vt:variant>
        <vt:i4>0</vt:i4>
      </vt:variant>
      <vt:variant>
        <vt:i4>5</vt:i4>
      </vt:variant>
      <vt:variant>
        <vt:lpwstr>https://sip.lex.pl/akty-prawne/mp-monitor-polski/wysokosc-stawek-oplat-za-korzystanie-ze-srodowiska-na-rok-2023-21733564</vt:lpwstr>
      </vt:variant>
      <vt:variant>
        <vt:lpwstr/>
      </vt:variant>
      <vt:variant>
        <vt:i4>196629</vt:i4>
      </vt:variant>
      <vt:variant>
        <vt:i4>1254</vt:i4>
      </vt:variant>
      <vt:variant>
        <vt:i4>0</vt:i4>
      </vt:variant>
      <vt:variant>
        <vt:i4>5</vt:i4>
      </vt:variant>
      <vt:variant>
        <vt:lpwstr>https://data.europa.eu/doi/10.2779/829239</vt:lpwstr>
      </vt:variant>
      <vt:variant>
        <vt:lpwstr/>
      </vt:variant>
      <vt:variant>
        <vt:i4>6881393</vt:i4>
      </vt:variant>
      <vt:variant>
        <vt:i4>1251</vt:i4>
      </vt:variant>
      <vt:variant>
        <vt:i4>0</vt:i4>
      </vt:variant>
      <vt:variant>
        <vt:i4>5</vt:i4>
      </vt:variant>
      <vt:variant>
        <vt:lpwstr>https://www.consilium.europa.eu/en/press/press-releases/2025/07/08/european-semester-2025-council-adopts-country-specific-recommendations/</vt:lpwstr>
      </vt:variant>
      <vt:variant>
        <vt:lpwstr/>
      </vt:variant>
      <vt:variant>
        <vt:i4>4784192</vt:i4>
      </vt:variant>
      <vt:variant>
        <vt:i4>1248</vt:i4>
      </vt:variant>
      <vt:variant>
        <vt:i4>0</vt:i4>
      </vt:variant>
      <vt:variant>
        <vt:i4>5</vt:i4>
      </vt:variant>
      <vt:variant>
        <vt:lpwstr>https://www/</vt:lpwstr>
      </vt:variant>
      <vt:variant>
        <vt:lpwstr/>
      </vt:variant>
      <vt:variant>
        <vt:i4>720927</vt:i4>
      </vt:variant>
      <vt:variant>
        <vt:i4>1245</vt:i4>
      </vt:variant>
      <vt:variant>
        <vt:i4>0</vt:i4>
      </vt:variant>
      <vt:variant>
        <vt:i4>5</vt:i4>
      </vt:variant>
      <vt:variant>
        <vt:lpwstr>https://data.europa.eu/doi/10.2779/132998</vt:lpwstr>
      </vt:variant>
      <vt:variant>
        <vt:lpwstr/>
      </vt:variant>
      <vt:variant>
        <vt:i4>5505026</vt:i4>
      </vt:variant>
      <vt:variant>
        <vt:i4>1242</vt:i4>
      </vt:variant>
      <vt:variant>
        <vt:i4>0</vt:i4>
      </vt:variant>
      <vt:variant>
        <vt:i4>5</vt:i4>
      </vt:variant>
      <vt:variant>
        <vt:lpwstr>https://era.org.mt/wp-content/uploads/2022/02/Long-Term-Waste-Management-Plan-v1.4.3-Spreads-Digital-Version.pdf</vt:lpwstr>
      </vt:variant>
      <vt:variant>
        <vt:lpwstr/>
      </vt:variant>
      <vt:variant>
        <vt:i4>1638489</vt:i4>
      </vt:variant>
      <vt:variant>
        <vt:i4>1239</vt:i4>
      </vt:variant>
      <vt:variant>
        <vt:i4>0</vt:i4>
      </vt:variant>
      <vt:variant>
        <vt:i4>5</vt:i4>
      </vt:variant>
      <vt:variant>
        <vt:lpwstr>https://greenbestpractice.jrc.ec.europa.eu/node/7</vt:lpwstr>
      </vt:variant>
      <vt:variant>
        <vt:lpwstr/>
      </vt:variant>
      <vt:variant>
        <vt:i4>196674</vt:i4>
      </vt:variant>
      <vt:variant>
        <vt:i4>1236</vt:i4>
      </vt:variant>
      <vt:variant>
        <vt:i4>0</vt:i4>
      </vt:variant>
      <vt:variant>
        <vt:i4>5</vt:i4>
      </vt:variant>
      <vt:variant>
        <vt:lpwstr>https://era.org.mt/wp-content/uploads/2021/10/Construction-and-Demolition-Waste-Strategy-for-Malta-2021-2030-Managing-Construction-Demolition.pdf</vt:lpwstr>
      </vt:variant>
      <vt:variant>
        <vt:lpwstr/>
      </vt:variant>
      <vt:variant>
        <vt:i4>4915293</vt:i4>
      </vt:variant>
      <vt:variant>
        <vt:i4>1233</vt:i4>
      </vt:variant>
      <vt:variant>
        <vt:i4>0</vt:i4>
      </vt:variant>
      <vt:variant>
        <vt:i4>5</vt:i4>
      </vt:variant>
      <vt:variant>
        <vt:lpwstr>https://energywateragency.gov.mt/public-consultation-on-proposals-of-groundwater-abstraction/</vt:lpwstr>
      </vt:variant>
      <vt:variant>
        <vt:lpwstr/>
      </vt:variant>
      <vt:variant>
        <vt:i4>3538977</vt:i4>
      </vt:variant>
      <vt:variant>
        <vt:i4>1230</vt:i4>
      </vt:variant>
      <vt:variant>
        <vt:i4>0</vt:i4>
      </vt:variant>
      <vt:variant>
        <vt:i4>5</vt:i4>
      </vt:variant>
      <vt:variant>
        <vt:lpwstr>https://www.rews.org.mt/</vt:lpwstr>
      </vt:variant>
      <vt:variant>
        <vt:lpwstr>/en/sdgr/241-authorisation-to-load-discharge-and-transfer-fuels-from-road-tanker-to-receiving-ship</vt:lpwstr>
      </vt:variant>
      <vt:variant>
        <vt:i4>7012472</vt:i4>
      </vt:variant>
      <vt:variant>
        <vt:i4>1227</vt:i4>
      </vt:variant>
      <vt:variant>
        <vt:i4>0</vt:i4>
      </vt:variant>
      <vt:variant>
        <vt:i4>5</vt:i4>
      </vt:variant>
      <vt:variant>
        <vt:lpwstr>https://divizjonitalgvernlokali.gov.mt/wp-content/uploads/2024/04/Fees-applicable-for-applications-which-require-a-permit-by-a-Local-Council-Uploaded-1.pdf</vt:lpwstr>
      </vt:variant>
      <vt:variant>
        <vt:lpwstr/>
      </vt:variant>
      <vt:variant>
        <vt:i4>7733372</vt:i4>
      </vt:variant>
      <vt:variant>
        <vt:i4>1224</vt:i4>
      </vt:variant>
      <vt:variant>
        <vt:i4>0</vt:i4>
      </vt:variant>
      <vt:variant>
        <vt:i4>5</vt:i4>
      </vt:variant>
      <vt:variant>
        <vt:lpwstr>https://landsauthority.org.mt/resources/policies/billboards-procedure/</vt:lpwstr>
      </vt:variant>
      <vt:variant>
        <vt:lpwstr/>
      </vt:variant>
      <vt:variant>
        <vt:i4>786507</vt:i4>
      </vt:variant>
      <vt:variant>
        <vt:i4>1221</vt:i4>
      </vt:variant>
      <vt:variant>
        <vt:i4>0</vt:i4>
      </vt:variant>
      <vt:variant>
        <vt:i4>5</vt:i4>
      </vt:variant>
      <vt:variant>
        <vt:lpwstr>https://www.rews.org.mt/</vt:lpwstr>
      </vt:variant>
      <vt:variant>
        <vt:lpwstr>/en/fa/35</vt:lpwstr>
      </vt:variant>
      <vt:variant>
        <vt:i4>7733369</vt:i4>
      </vt:variant>
      <vt:variant>
        <vt:i4>1218</vt:i4>
      </vt:variant>
      <vt:variant>
        <vt:i4>0</vt:i4>
      </vt:variant>
      <vt:variant>
        <vt:i4>5</vt:i4>
      </vt:variant>
      <vt:variant>
        <vt:lpwstr>https://legislation.mt/eli/sl/128.1/eng/pdf</vt:lpwstr>
      </vt:variant>
      <vt:variant>
        <vt:lpwstr/>
      </vt:variant>
      <vt:variant>
        <vt:i4>262226</vt:i4>
      </vt:variant>
      <vt:variant>
        <vt:i4>1215</vt:i4>
      </vt:variant>
      <vt:variant>
        <vt:i4>0</vt:i4>
      </vt:variant>
      <vt:variant>
        <vt:i4>5</vt:i4>
      </vt:variant>
      <vt:variant>
        <vt:lpwstr>https://legislation.mt/eli/sl/123.197/eng</vt:lpwstr>
      </vt:variant>
      <vt:variant>
        <vt:lpwstr/>
      </vt:variant>
      <vt:variant>
        <vt:i4>6291573</vt:i4>
      </vt:variant>
      <vt:variant>
        <vt:i4>1212</vt:i4>
      </vt:variant>
      <vt:variant>
        <vt:i4>0</vt:i4>
      </vt:variant>
      <vt:variant>
        <vt:i4>5</vt:i4>
      </vt:variant>
      <vt:variant>
        <vt:lpwstr>https://www.eea.europa.eu/publications/economic-instruments-and-separate-collection</vt:lpwstr>
      </vt:variant>
      <vt:variant>
        <vt:lpwstr/>
      </vt:variant>
      <vt:variant>
        <vt:i4>7143459</vt:i4>
      </vt:variant>
      <vt:variant>
        <vt:i4>1209</vt:i4>
      </vt:variant>
      <vt:variant>
        <vt:i4>0</vt:i4>
      </vt:variant>
      <vt:variant>
        <vt:i4>5</vt:i4>
      </vt:variant>
      <vt:variant>
        <vt:lpwstr>https://www.wsm.com.mt/en/gate-fees</vt:lpwstr>
      </vt:variant>
      <vt:variant>
        <vt:lpwstr/>
      </vt:variant>
      <vt:variant>
        <vt:i4>7340154</vt:i4>
      </vt:variant>
      <vt:variant>
        <vt:i4>1206</vt:i4>
      </vt:variant>
      <vt:variant>
        <vt:i4>0</vt:i4>
      </vt:variant>
      <vt:variant>
        <vt:i4>5</vt:i4>
      </vt:variant>
      <vt:variant>
        <vt:lpwstr>https://legislation.mt/eli/sl/549.7/eng/pdf</vt:lpwstr>
      </vt:variant>
      <vt:variant>
        <vt:lpwstr/>
      </vt:variant>
      <vt:variant>
        <vt:i4>4456465</vt:i4>
      </vt:variant>
      <vt:variant>
        <vt:i4>1203</vt:i4>
      </vt:variant>
      <vt:variant>
        <vt:i4>0</vt:i4>
      </vt:variant>
      <vt:variant>
        <vt:i4>5</vt:i4>
      </vt:variant>
      <vt:variant>
        <vt:lpwstr>https://timesofmalta.com/article/hunters-trappers-save-652500-in-licence-fees.599406</vt:lpwstr>
      </vt:variant>
      <vt:variant>
        <vt:lpwstr/>
      </vt:variant>
      <vt:variant>
        <vt:i4>65625</vt:i4>
      </vt:variant>
      <vt:variant>
        <vt:i4>1200</vt:i4>
      </vt:variant>
      <vt:variant>
        <vt:i4>0</vt:i4>
      </vt:variant>
      <vt:variant>
        <vt:i4>5</vt:i4>
      </vt:variant>
      <vt:variant>
        <vt:lpwstr>https://timesofmalta.com/article/hunters-licences-to-be-valid-for-five-years-cost-less.598617</vt:lpwstr>
      </vt:variant>
      <vt:variant>
        <vt:lpwstr/>
      </vt:variant>
      <vt:variant>
        <vt:i4>4980828</vt:i4>
      </vt:variant>
      <vt:variant>
        <vt:i4>1197</vt:i4>
      </vt:variant>
      <vt:variant>
        <vt:i4>0</vt:i4>
      </vt:variant>
      <vt:variant>
        <vt:i4>5</vt:i4>
      </vt:variant>
      <vt:variant>
        <vt:lpwstr>https://legislation.mt/eli/ln/2011/83/eng/pdf</vt:lpwstr>
      </vt:variant>
      <vt:variant>
        <vt:lpwstr/>
      </vt:variant>
      <vt:variant>
        <vt:i4>6881383</vt:i4>
      </vt:variant>
      <vt:variant>
        <vt:i4>1194</vt:i4>
      </vt:variant>
      <vt:variant>
        <vt:i4>0</vt:i4>
      </vt:variant>
      <vt:variant>
        <vt:i4>5</vt:i4>
      </vt:variant>
      <vt:variant>
        <vt:lpwstr>https://legislation.mt/eli/sl/10.39/eng/pdf</vt:lpwstr>
      </vt:variant>
      <vt:variant>
        <vt:lpwstr/>
      </vt:variant>
      <vt:variant>
        <vt:i4>5898249</vt:i4>
      </vt:variant>
      <vt:variant>
        <vt:i4>1191</vt:i4>
      </vt:variant>
      <vt:variant>
        <vt:i4>0</vt:i4>
      </vt:variant>
      <vt:variant>
        <vt:i4>5</vt:i4>
      </vt:variant>
      <vt:variant>
        <vt:lpwstr>https://legislation.mt/eli/sl/425.12/eng/pdf</vt:lpwstr>
      </vt:variant>
      <vt:variant>
        <vt:lpwstr/>
      </vt:variant>
      <vt:variant>
        <vt:i4>5177422</vt:i4>
      </vt:variant>
      <vt:variant>
        <vt:i4>1188</vt:i4>
      </vt:variant>
      <vt:variant>
        <vt:i4>0</vt:i4>
      </vt:variant>
      <vt:variant>
        <vt:i4>5</vt:i4>
      </vt:variant>
      <vt:variant>
        <vt:lpwstr>https://faolex.fao.org/docs/pdf/mlt34030.pdf</vt:lpwstr>
      </vt:variant>
      <vt:variant>
        <vt:lpwstr/>
      </vt:variant>
      <vt:variant>
        <vt:i4>3014699</vt:i4>
      </vt:variant>
      <vt:variant>
        <vt:i4>1185</vt:i4>
      </vt:variant>
      <vt:variant>
        <vt:i4>0</vt:i4>
      </vt:variant>
      <vt:variant>
        <vt:i4>5</vt:i4>
      </vt:variant>
      <vt:variant>
        <vt:lpwstr>https://www.wsc.com.mt/facilities/dpu/discharge-permit-unit-industrial/</vt:lpwstr>
      </vt:variant>
      <vt:variant>
        <vt:lpwstr/>
      </vt:variant>
      <vt:variant>
        <vt:i4>4128878</vt:i4>
      </vt:variant>
      <vt:variant>
        <vt:i4>1182</vt:i4>
      </vt:variant>
      <vt:variant>
        <vt:i4>0</vt:i4>
      </vt:variant>
      <vt:variant>
        <vt:i4>5</vt:i4>
      </vt:variant>
      <vt:variant>
        <vt:lpwstr>https://legislation.mt/eli/sl/409.5/eng</vt:lpwstr>
      </vt:variant>
      <vt:variant>
        <vt:lpwstr/>
      </vt:variant>
      <vt:variant>
        <vt:i4>3604580</vt:i4>
      </vt:variant>
      <vt:variant>
        <vt:i4>1179</vt:i4>
      </vt:variant>
      <vt:variant>
        <vt:i4>0</vt:i4>
      </vt:variant>
      <vt:variant>
        <vt:i4>5</vt:i4>
      </vt:variant>
      <vt:variant>
        <vt:lpwstr>https://www.servizz.gov.mt/en/Pages/Environment_-Energy_-Agriculture-and-Fisheries/Environment/Industrial-Permits/WEB1887/default.aspx</vt:lpwstr>
      </vt:variant>
      <vt:variant>
        <vt:lpwstr/>
      </vt:variant>
      <vt:variant>
        <vt:i4>7078010</vt:i4>
      </vt:variant>
      <vt:variant>
        <vt:i4>1176</vt:i4>
      </vt:variant>
      <vt:variant>
        <vt:i4>0</vt:i4>
      </vt:variant>
      <vt:variant>
        <vt:i4>5</vt:i4>
      </vt:variant>
      <vt:variant>
        <vt:lpwstr>https://legislation.mt/eli/sl/545.14/eng/pdf</vt:lpwstr>
      </vt:variant>
      <vt:variant>
        <vt:lpwstr>:~:text=In%20these%20regulations%2C%20unless%20the,network%2C%20pipeline%20or%20atanker</vt:lpwstr>
      </vt:variant>
      <vt:variant>
        <vt:i4>458842</vt:i4>
      </vt:variant>
      <vt:variant>
        <vt:i4>1173</vt:i4>
      </vt:variant>
      <vt:variant>
        <vt:i4>0</vt:i4>
      </vt:variant>
      <vt:variant>
        <vt:i4>5</vt:i4>
      </vt:variant>
      <vt:variant>
        <vt:lpwstr>https://www.independent.com.mt/articles/2019-11-17/local-news/Most-construction-waste-cannot-be-dumped-at-sea-6736216300</vt:lpwstr>
      </vt:variant>
      <vt:variant>
        <vt:lpwstr/>
      </vt:variant>
      <vt:variant>
        <vt:i4>7471137</vt:i4>
      </vt:variant>
      <vt:variant>
        <vt:i4>1170</vt:i4>
      </vt:variant>
      <vt:variant>
        <vt:i4>0</vt:i4>
      </vt:variant>
      <vt:variant>
        <vt:i4>5</vt:i4>
      </vt:variant>
      <vt:variant>
        <vt:lpwstr>https://timesofmalta.com/article/thin-plastic-bags-wet-wipes-balloons-excluded-from-single-use-plastics.843066</vt:lpwstr>
      </vt:variant>
      <vt:variant>
        <vt:lpwstr/>
      </vt:variant>
      <vt:variant>
        <vt:i4>524370</vt:i4>
      </vt:variant>
      <vt:variant>
        <vt:i4>1167</vt:i4>
      </vt:variant>
      <vt:variant>
        <vt:i4>0</vt:i4>
      </vt:variant>
      <vt:variant>
        <vt:i4>5</vt:i4>
      </vt:variant>
      <vt:variant>
        <vt:lpwstr>https://legislation.mt/eli/sl/549.139/eng</vt:lpwstr>
      </vt:variant>
      <vt:variant>
        <vt:lpwstr/>
      </vt:variant>
      <vt:variant>
        <vt:i4>1048579</vt:i4>
      </vt:variant>
      <vt:variant>
        <vt:i4>1164</vt:i4>
      </vt:variant>
      <vt:variant>
        <vt:i4>0</vt:i4>
      </vt:variant>
      <vt:variant>
        <vt:i4>5</vt:i4>
      </vt:variant>
      <vt:variant>
        <vt:lpwstr>https://timesofmalta.com/article/customs-department-clarifies-which-new-products-will-be-taxed.628364</vt:lpwstr>
      </vt:variant>
      <vt:variant>
        <vt:lpwstr/>
      </vt:variant>
      <vt:variant>
        <vt:i4>2228253</vt:i4>
      </vt:variant>
      <vt:variant>
        <vt:i4>1161</vt:i4>
      </vt:variant>
      <vt:variant>
        <vt:i4>0</vt:i4>
      </vt:variant>
      <vt:variant>
        <vt:i4>5</vt:i4>
      </vt:variant>
      <vt:variant>
        <vt:lpwstr>https://cfr.gov.mt/en/vat/eco_information/Documents/04. ln28 2005.pdf</vt:lpwstr>
      </vt:variant>
      <vt:variant>
        <vt:lpwstr/>
      </vt:variant>
      <vt:variant>
        <vt:i4>6291581</vt:i4>
      </vt:variant>
      <vt:variant>
        <vt:i4>1158</vt:i4>
      </vt:variant>
      <vt:variant>
        <vt:i4>0</vt:i4>
      </vt:variant>
      <vt:variant>
        <vt:i4>5</vt:i4>
      </vt:variant>
      <vt:variant>
        <vt:lpwstr>https://www.independent.com.mt/articles/2017-07-05/local-news/Lack-of-harmonisation-on-excise-duty-results-in-some-abuses-Customs-Dept-Head-6736176218</vt:lpwstr>
      </vt:variant>
      <vt:variant>
        <vt:lpwstr/>
      </vt:variant>
      <vt:variant>
        <vt:i4>5701650</vt:i4>
      </vt:variant>
      <vt:variant>
        <vt:i4>1155</vt:i4>
      </vt:variant>
      <vt:variant>
        <vt:i4>0</vt:i4>
      </vt:variant>
      <vt:variant>
        <vt:i4>5</vt:i4>
      </vt:variant>
      <vt:variant>
        <vt:lpwstr>https://www.reportlinker.com/clp/country/385/726375</vt:lpwstr>
      </vt:variant>
      <vt:variant>
        <vt:lpwstr>:~:text=Maltese%20bottled%20water%20imports%20are,a%2012.4%25%20increase%20since%201999</vt:lpwstr>
      </vt:variant>
      <vt:variant>
        <vt:i4>2424869</vt:i4>
      </vt:variant>
      <vt:variant>
        <vt:i4>1152</vt:i4>
      </vt:variant>
      <vt:variant>
        <vt:i4>0</vt:i4>
      </vt:variant>
      <vt:variant>
        <vt:i4>5</vt:i4>
      </vt:variant>
      <vt:variant>
        <vt:lpwstr>https://www.independent.com.mt/articles/2015-10-17/local-news/Beverage-companies-seeking-clarification-from-government-over-excise-tax-plans-6736143735</vt:lpwstr>
      </vt:variant>
      <vt:variant>
        <vt:lpwstr/>
      </vt:variant>
      <vt:variant>
        <vt:i4>8192041</vt:i4>
      </vt:variant>
      <vt:variant>
        <vt:i4>1149</vt:i4>
      </vt:variant>
      <vt:variant>
        <vt:i4>0</vt:i4>
      </vt:variant>
      <vt:variant>
        <vt:i4>5</vt:i4>
      </vt:variant>
      <vt:variant>
        <vt:lpwstr>https://timesofmalta.com/article/higher-tax-on-cement-cigarettes-and-chewing-gum.587957</vt:lpwstr>
      </vt:variant>
      <vt:variant>
        <vt:lpwstr/>
      </vt:variant>
      <vt:variant>
        <vt:i4>1048604</vt:i4>
      </vt:variant>
      <vt:variant>
        <vt:i4>1146</vt:i4>
      </vt:variant>
      <vt:variant>
        <vt:i4>0</vt:i4>
      </vt:variant>
      <vt:variant>
        <vt:i4>5</vt:i4>
      </vt:variant>
      <vt:variant>
        <vt:lpwstr>https://customs.gov.mt/mc/other-pages/new-newsresult/2015/10/14/notice-to-all-importers-and-producers-regarding-new-excise-commodities-as-from-today-the-13th-of-october-2015</vt:lpwstr>
      </vt:variant>
      <vt:variant>
        <vt:lpwstr/>
      </vt:variant>
      <vt:variant>
        <vt:i4>7274512</vt:i4>
      </vt:variant>
      <vt:variant>
        <vt:i4>1143</vt:i4>
      </vt:variant>
      <vt:variant>
        <vt:i4>0</vt:i4>
      </vt:variant>
      <vt:variant>
        <vt:i4>5</vt:i4>
      </vt:variant>
      <vt:variant>
        <vt:lpwstr>https://customs.gov.mt/docs/default-source/rates-of-exchange/annex-2---non-harmonised-goods.pdf?sfvrsn=25cb284b_1</vt:lpwstr>
      </vt:variant>
      <vt:variant>
        <vt:lpwstr/>
      </vt:variant>
      <vt:variant>
        <vt:i4>2621539</vt:i4>
      </vt:variant>
      <vt:variant>
        <vt:i4>1140</vt:i4>
      </vt:variant>
      <vt:variant>
        <vt:i4>0</vt:i4>
      </vt:variant>
      <vt:variant>
        <vt:i4>5</vt:i4>
      </vt:variant>
      <vt:variant>
        <vt:lpwstr>https://nso.gov.mt/wp-content/uploads/Maltas-National-Tax-List.xlsx</vt:lpwstr>
      </vt:variant>
      <vt:variant>
        <vt:lpwstr/>
      </vt:variant>
      <vt:variant>
        <vt:i4>1835083</vt:i4>
      </vt:variant>
      <vt:variant>
        <vt:i4>1137</vt:i4>
      </vt:variant>
      <vt:variant>
        <vt:i4>0</vt:i4>
      </vt:variant>
      <vt:variant>
        <vt:i4>5</vt:i4>
      </vt:variant>
      <vt:variant>
        <vt:lpwstr>https://www.independent.com.mt/articles/2014-12-16/local-news/Importers-up-in-arms-over-ammunition-storage-fees-fees-affecting-sport-shooters-6736127413</vt:lpwstr>
      </vt:variant>
      <vt:variant>
        <vt:lpwstr/>
      </vt:variant>
      <vt:variant>
        <vt:i4>4325501</vt:i4>
      </vt:variant>
      <vt:variant>
        <vt:i4>1134</vt:i4>
      </vt:variant>
      <vt:variant>
        <vt:i4>0</vt:i4>
      </vt:variant>
      <vt:variant>
        <vt:i4>5</vt:i4>
      </vt:variant>
      <vt:variant>
        <vt:lpwstr>https://www.pressreader.com/malta/the-malta-business-weekly/20141211/282222304092486?srsltid=AfmBOop_8KT1cYcPJ8eeemCe8UO7J1gOBraHEGbtxs3iEJnKthH3Um7N</vt:lpwstr>
      </vt:variant>
      <vt:variant>
        <vt:lpwstr/>
      </vt:variant>
      <vt:variant>
        <vt:i4>1507349</vt:i4>
      </vt:variant>
      <vt:variant>
        <vt:i4>1131</vt:i4>
      </vt:variant>
      <vt:variant>
        <vt:i4>0</vt:i4>
      </vt:variant>
      <vt:variant>
        <vt:i4>5</vt:i4>
      </vt:variant>
      <vt:variant>
        <vt:lpwstr>https://comtradeplus.un.org/</vt:lpwstr>
      </vt:variant>
      <vt:variant>
        <vt:lpwstr/>
      </vt:variant>
      <vt:variant>
        <vt:i4>7274597</vt:i4>
      </vt:variant>
      <vt:variant>
        <vt:i4>1128</vt:i4>
      </vt:variant>
      <vt:variant>
        <vt:i4>0</vt:i4>
      </vt:variant>
      <vt:variant>
        <vt:i4>5</vt:i4>
      </vt:variant>
      <vt:variant>
        <vt:lpwstr>https://legislation.mt/eli/cap/382/20240301/eng</vt:lpwstr>
      </vt:variant>
      <vt:variant>
        <vt:lpwstr/>
      </vt:variant>
      <vt:variant>
        <vt:i4>1966152</vt:i4>
      </vt:variant>
      <vt:variant>
        <vt:i4>1125</vt:i4>
      </vt:variant>
      <vt:variant>
        <vt:i4>0</vt:i4>
      </vt:variant>
      <vt:variant>
        <vt:i4>5</vt:i4>
      </vt:variant>
      <vt:variant>
        <vt:lpwstr>https://timesofmalta.com/article/new-tax-on-cement.333025</vt:lpwstr>
      </vt:variant>
      <vt:variant>
        <vt:lpwstr/>
      </vt:variant>
      <vt:variant>
        <vt:i4>7798899</vt:i4>
      </vt:variant>
      <vt:variant>
        <vt:i4>1122</vt:i4>
      </vt:variant>
      <vt:variant>
        <vt:i4>0</vt:i4>
      </vt:variant>
      <vt:variant>
        <vt:i4>5</vt:i4>
      </vt:variant>
      <vt:variant>
        <vt:lpwstr>https://www.independent.com.mt/articles/2010-10-27/local-news/%E2%82%AC9-Excise-duty-on-cement-will-make-things-difficult-%E2%80%93-Developers%E2%80%99-Association-282313</vt:lpwstr>
      </vt:variant>
      <vt:variant>
        <vt:lpwstr/>
      </vt:variant>
      <vt:variant>
        <vt:i4>8061054</vt:i4>
      </vt:variant>
      <vt:variant>
        <vt:i4>1119</vt:i4>
      </vt:variant>
      <vt:variant>
        <vt:i4>0</vt:i4>
      </vt:variant>
      <vt:variant>
        <vt:i4>5</vt:i4>
      </vt:variant>
      <vt:variant>
        <vt:lpwstr>https://ec.europa.eu/taxation_customs/tedb/</vt:lpwstr>
      </vt:variant>
      <vt:variant>
        <vt:lpwstr>/tax-details?taxId=421&amp;versionDate=1577833200&amp;isEuro=true&amp;taxType=OTHER_INDIRECT</vt:lpwstr>
      </vt:variant>
      <vt:variant>
        <vt:i4>4849690</vt:i4>
      </vt:variant>
      <vt:variant>
        <vt:i4>1116</vt:i4>
      </vt:variant>
      <vt:variant>
        <vt:i4>0</vt:i4>
      </vt:variant>
      <vt:variant>
        <vt:i4>5</vt:i4>
      </vt:variant>
      <vt:variant>
        <vt:lpwstr>https://www.mta.com.mt/en/environmental-contribution</vt:lpwstr>
      </vt:variant>
      <vt:variant>
        <vt:lpwstr/>
      </vt:variant>
      <vt:variant>
        <vt:i4>2818165</vt:i4>
      </vt:variant>
      <vt:variant>
        <vt:i4>1113</vt:i4>
      </vt:variant>
      <vt:variant>
        <vt:i4>0</vt:i4>
      </vt:variant>
      <vt:variant>
        <vt:i4>5</vt:i4>
      </vt:variant>
      <vt:variant>
        <vt:lpwstr>https://tvmnews.mt/en/news/customs-explains-that-no-new-excise-duty-introduced-on-washing-up-products/</vt:lpwstr>
      </vt:variant>
      <vt:variant>
        <vt:lpwstr/>
      </vt:variant>
      <vt:variant>
        <vt:i4>524372</vt:i4>
      </vt:variant>
      <vt:variant>
        <vt:i4>1110</vt:i4>
      </vt:variant>
      <vt:variant>
        <vt:i4>0</vt:i4>
      </vt:variant>
      <vt:variant>
        <vt:i4>5</vt:i4>
      </vt:variant>
      <vt:variant>
        <vt:lpwstr>https://era.org.mt/press-releases/waste-from-electrical-and-electronic-equipment-obligations-have-been-in-force-in-malta-since-2007/</vt:lpwstr>
      </vt:variant>
      <vt:variant>
        <vt:lpwstr/>
      </vt:variant>
      <vt:variant>
        <vt:i4>5636111</vt:i4>
      </vt:variant>
      <vt:variant>
        <vt:i4>1107</vt:i4>
      </vt:variant>
      <vt:variant>
        <vt:i4>0</vt:i4>
      </vt:variant>
      <vt:variant>
        <vt:i4>5</vt:i4>
      </vt:variant>
      <vt:variant>
        <vt:lpwstr>https://www.smechamber.mt/excise-duty-on-plastic-bags-sacks-cones-films-sheets-or-tubes/</vt:lpwstr>
      </vt:variant>
      <vt:variant>
        <vt:lpwstr/>
      </vt:variant>
      <vt:variant>
        <vt:i4>4063333</vt:i4>
      </vt:variant>
      <vt:variant>
        <vt:i4>1104</vt:i4>
      </vt:variant>
      <vt:variant>
        <vt:i4>0</vt:i4>
      </vt:variant>
      <vt:variant>
        <vt:i4>5</vt:i4>
      </vt:variant>
      <vt:variant>
        <vt:lpwstr>https://www.maltatoday.com.mt/environment/environment/27102/eco-contribution-should-be-abolished-malta-chamber-20130527</vt:lpwstr>
      </vt:variant>
      <vt:variant>
        <vt:lpwstr/>
      </vt:variant>
      <vt:variant>
        <vt:i4>2883613</vt:i4>
      </vt:variant>
      <vt:variant>
        <vt:i4>1101</vt:i4>
      </vt:variant>
      <vt:variant>
        <vt:i4>0</vt:i4>
      </vt:variant>
      <vt:variant>
        <vt:i4>5</vt:i4>
      </vt:variant>
      <vt:variant>
        <vt:lpwstr>https://cfr.gov.mt/en/vat/eco_information/Pages/Legislation-and-General-Information.aspx</vt:lpwstr>
      </vt:variant>
      <vt:variant>
        <vt:lpwstr/>
      </vt:variant>
      <vt:variant>
        <vt:i4>3997769</vt:i4>
      </vt:variant>
      <vt:variant>
        <vt:i4>1098</vt:i4>
      </vt:variant>
      <vt:variant>
        <vt:i4>0</vt:i4>
      </vt:variant>
      <vt:variant>
        <vt:i4>5</vt:i4>
      </vt:variant>
      <vt:variant>
        <vt:lpwstr>https://cfr.gov.mt/en/vat/eco_information/Documents/11. Eco Contribution Presentation - December 2009.pdf</vt:lpwstr>
      </vt:variant>
      <vt:variant>
        <vt:lpwstr/>
      </vt:variant>
      <vt:variant>
        <vt:i4>7405591</vt:i4>
      </vt:variant>
      <vt:variant>
        <vt:i4>1095</vt:i4>
      </vt:variant>
      <vt:variant>
        <vt:i4>0</vt:i4>
      </vt:variant>
      <vt:variant>
        <vt:i4>5</vt:i4>
      </vt:variant>
      <vt:variant>
        <vt:lpwstr>https://cfr.gov.mt/en/vat/eco_information/Documents/02. ECO contributiion act.pdf</vt:lpwstr>
      </vt:variant>
      <vt:variant>
        <vt:lpwstr/>
      </vt:variant>
      <vt:variant>
        <vt:i4>786462</vt:i4>
      </vt:variant>
      <vt:variant>
        <vt:i4>1092</vt:i4>
      </vt:variant>
      <vt:variant>
        <vt:i4>0</vt:i4>
      </vt:variant>
      <vt:variant>
        <vt:i4>5</vt:i4>
      </vt:variant>
      <vt:variant>
        <vt:lpwstr>https://nso.gov.mt/wp-content/uploads/NR-2023-193-Table-5.ods</vt:lpwstr>
      </vt:variant>
      <vt:variant>
        <vt:lpwstr/>
      </vt:variant>
      <vt:variant>
        <vt:i4>5505045</vt:i4>
      </vt:variant>
      <vt:variant>
        <vt:i4>1089</vt:i4>
      </vt:variant>
      <vt:variant>
        <vt:i4>0</vt:i4>
      </vt:variant>
      <vt:variant>
        <vt:i4>5</vt:i4>
      </vt:variant>
      <vt:variant>
        <vt:lpwstr>https://www.centralbankmalta.org/site/Publications/Economic Research/2022/Fiscal-policy-role-climate-change.pdf?revcount=4984</vt:lpwstr>
      </vt:variant>
      <vt:variant>
        <vt:lpwstr/>
      </vt:variant>
      <vt:variant>
        <vt:i4>524312</vt:i4>
      </vt:variant>
      <vt:variant>
        <vt:i4>1086</vt:i4>
      </vt:variant>
      <vt:variant>
        <vt:i4>0</vt:i4>
      </vt:variant>
      <vt:variant>
        <vt:i4>5</vt:i4>
      </vt:variant>
      <vt:variant>
        <vt:lpwstr>https://data.europa.eu/doi/10.2779/940903</vt:lpwstr>
      </vt:variant>
      <vt:variant>
        <vt:lpwstr/>
      </vt:variant>
      <vt:variant>
        <vt:i4>1507371</vt:i4>
      </vt:variant>
      <vt:variant>
        <vt:i4>1083</vt:i4>
      </vt:variant>
      <vt:variant>
        <vt:i4>0</vt:i4>
      </vt:variant>
      <vt:variant>
        <vt:i4>5</vt:i4>
      </vt:variant>
      <vt:variant>
        <vt:lpwstr>https://economy-finance.ec.europa.eu/document/download/4288d41f-8809-4418-b398-c01668fca3ba_en?filename=LU_CR_SWD_2025_216_1_EN_autre_document_travail_service_part1_v4.pdf</vt:lpwstr>
      </vt:variant>
      <vt:variant>
        <vt:lpwstr/>
      </vt:variant>
      <vt:variant>
        <vt:i4>1507371</vt:i4>
      </vt:variant>
      <vt:variant>
        <vt:i4>1080</vt:i4>
      </vt:variant>
      <vt:variant>
        <vt:i4>0</vt:i4>
      </vt:variant>
      <vt:variant>
        <vt:i4>5</vt:i4>
      </vt:variant>
      <vt:variant>
        <vt:lpwstr>https://economy-finance.ec.europa.eu/document/download/4288d41f-8809-4418-b398-c01668fca3ba_en?filename=LU_CR_SWD_2025_216_1_EN_autre_document_travail_service_part1_v4.pdf</vt:lpwstr>
      </vt:variant>
      <vt:variant>
        <vt:lpwstr/>
      </vt:variant>
      <vt:variant>
        <vt:i4>1048675</vt:i4>
      </vt:variant>
      <vt:variant>
        <vt:i4>1077</vt:i4>
      </vt:variant>
      <vt:variant>
        <vt:i4>0</vt:i4>
      </vt:variant>
      <vt:variant>
        <vt:i4>5</vt:i4>
      </vt:variant>
      <vt:variant>
        <vt:lpwstr>https://ec.europa.eu/eurostat/databrowser/view/gov_10a_taxag__custom_16484745/default/table?lang=en</vt:lpwstr>
      </vt:variant>
      <vt:variant>
        <vt:lpwstr/>
      </vt:variant>
      <vt:variant>
        <vt:i4>5046349</vt:i4>
      </vt:variant>
      <vt:variant>
        <vt:i4>1074</vt:i4>
      </vt:variant>
      <vt:variant>
        <vt:i4>0</vt:i4>
      </vt:variant>
      <vt:variant>
        <vt:i4>5</vt:i4>
      </vt:variant>
      <vt:variant>
        <vt:lpwstr>https://ec.europa.eu/eurostat/databrowser/view/env_ac_taxind2/default/table?lang=en</vt:lpwstr>
      </vt:variant>
      <vt:variant>
        <vt:lpwstr/>
      </vt:variant>
      <vt:variant>
        <vt:i4>0</vt:i4>
      </vt:variant>
      <vt:variant>
        <vt:i4>1071</vt:i4>
      </vt:variant>
      <vt:variant>
        <vt:i4>0</vt:i4>
      </vt:variant>
      <vt:variant>
        <vt:i4>5</vt:i4>
      </vt:variant>
      <vt:variant>
        <vt:lpwstr>https://www.eea.europa.eu/publications/the-role-of-environmental-taxation</vt:lpwstr>
      </vt:variant>
      <vt:variant>
        <vt:lpwstr>:~:text=Revenues%20from%20environmental%20taxes%20also,%27%20(EC%2C%202019).</vt:lpwstr>
      </vt:variant>
      <vt:variant>
        <vt:i4>65552</vt:i4>
      </vt:variant>
      <vt:variant>
        <vt:i4>1068</vt:i4>
      </vt:variant>
      <vt:variant>
        <vt:i4>0</vt:i4>
      </vt:variant>
      <vt:variant>
        <vt:i4>5</vt:i4>
      </vt:variant>
      <vt:variant>
        <vt:lpwstr>https://op.europa.eu/en/publication-detail/-/publication/62bfa4a4-cbd4-11e5-a4b5-01aa75ed71a1</vt:lpwstr>
      </vt:variant>
      <vt:variant>
        <vt:lpwstr/>
      </vt:variant>
      <vt:variant>
        <vt:i4>65552</vt:i4>
      </vt:variant>
      <vt:variant>
        <vt:i4>1065</vt:i4>
      </vt:variant>
      <vt:variant>
        <vt:i4>0</vt:i4>
      </vt:variant>
      <vt:variant>
        <vt:i4>5</vt:i4>
      </vt:variant>
      <vt:variant>
        <vt:lpwstr>https://op.europa.eu/en/publication-detail/-/publication/62bfa4a4-cbd4-11e5-a4b5-01aa75ed71a1</vt:lpwstr>
      </vt:variant>
      <vt:variant>
        <vt:lpwstr/>
      </vt:variant>
      <vt:variant>
        <vt:i4>1245258</vt:i4>
      </vt:variant>
      <vt:variant>
        <vt:i4>1062</vt:i4>
      </vt:variant>
      <vt:variant>
        <vt:i4>0</vt:i4>
      </vt:variant>
      <vt:variant>
        <vt:i4>5</vt:i4>
      </vt:variant>
      <vt:variant>
        <vt:lpwstr>https://legilux.public.lu/eli/etat/leg/loi/2008/12/19/n17/consolide/20250101</vt:lpwstr>
      </vt:variant>
      <vt:variant>
        <vt:lpwstr/>
      </vt:variant>
      <vt:variant>
        <vt:i4>2686986</vt:i4>
      </vt:variant>
      <vt:variant>
        <vt:i4>1059</vt:i4>
      </vt:variant>
      <vt:variant>
        <vt:i4>0</vt:i4>
      </vt:variant>
      <vt:variant>
        <vt:i4>5</vt:i4>
      </vt:variant>
      <vt:variant>
        <vt:lpwstr>https://ec.europa.eu/eurostat/databrowser/view/env_ac_taxind2__custom_16151737/default/table?lang=en</vt:lpwstr>
      </vt:variant>
      <vt:variant>
        <vt:lpwstr/>
      </vt:variant>
      <vt:variant>
        <vt:i4>65552</vt:i4>
      </vt:variant>
      <vt:variant>
        <vt:i4>1056</vt:i4>
      </vt:variant>
      <vt:variant>
        <vt:i4>0</vt:i4>
      </vt:variant>
      <vt:variant>
        <vt:i4>5</vt:i4>
      </vt:variant>
      <vt:variant>
        <vt:lpwstr>https://op.europa.eu/en/publication-detail/-/publication/62bfa4a4-cbd4-11e5-a4b5-01aa75ed71a1</vt:lpwstr>
      </vt:variant>
      <vt:variant>
        <vt:lpwstr/>
      </vt:variant>
      <vt:variant>
        <vt:i4>851978</vt:i4>
      </vt:variant>
      <vt:variant>
        <vt:i4>1053</vt:i4>
      </vt:variant>
      <vt:variant>
        <vt:i4>0</vt:i4>
      </vt:variant>
      <vt:variant>
        <vt:i4>5</vt:i4>
      </vt:variant>
      <vt:variant>
        <vt:lpwstr>https://finmin.lrv.lt/en/news/a-package-of-tax-proposals-is-presented-towards-a-more-socially-fair-and-efficient-tax-system/</vt:lpwstr>
      </vt:variant>
      <vt:variant>
        <vt:lpwstr/>
      </vt:variant>
      <vt:variant>
        <vt:i4>196625</vt:i4>
      </vt:variant>
      <vt:variant>
        <vt:i4>1050</vt:i4>
      </vt:variant>
      <vt:variant>
        <vt:i4>0</vt:i4>
      </vt:variant>
      <vt:variant>
        <vt:i4>5</vt:i4>
      </vt:variant>
      <vt:variant>
        <vt:lpwstr>https://data.europa.eu/doi/10.2779/86822</vt:lpwstr>
      </vt:variant>
      <vt:variant>
        <vt:lpwstr/>
      </vt:variant>
      <vt:variant>
        <vt:i4>131173</vt:i4>
      </vt:variant>
      <vt:variant>
        <vt:i4>1047</vt:i4>
      </vt:variant>
      <vt:variant>
        <vt:i4>0</vt:i4>
      </vt:variant>
      <vt:variant>
        <vt:i4>5</vt:i4>
      </vt:variant>
      <vt:variant>
        <vt:lpwstr>https://www.oecd.org/en/publications/reform-options-for-lithuanian-climate-neutrality-by-2050_0d570e99-en.html</vt:lpwstr>
      </vt:variant>
      <vt:variant>
        <vt:lpwstr/>
      </vt:variant>
      <vt:variant>
        <vt:i4>1048596</vt:i4>
      </vt:variant>
      <vt:variant>
        <vt:i4>1044</vt:i4>
      </vt:variant>
      <vt:variant>
        <vt:i4>0</vt:i4>
      </vt:variant>
      <vt:variant>
        <vt:i4>5</vt:i4>
      </vt:variant>
      <vt:variant>
        <vt:lpwstr>https://www.vdu.lt/cris/entities/etd/fc2fb0cf-9bbe-416c-a6d9-3ce9573ef660</vt:lpwstr>
      </vt:variant>
      <vt:variant>
        <vt:lpwstr/>
      </vt:variant>
      <vt:variant>
        <vt:i4>131173</vt:i4>
      </vt:variant>
      <vt:variant>
        <vt:i4>1041</vt:i4>
      </vt:variant>
      <vt:variant>
        <vt:i4>0</vt:i4>
      </vt:variant>
      <vt:variant>
        <vt:i4>5</vt:i4>
      </vt:variant>
      <vt:variant>
        <vt:lpwstr>https://www.oecd.org/en/publications/reform-options-for-lithuanian-climate-neutrality-by-2050_0d570e99-en.html</vt:lpwstr>
      </vt:variant>
      <vt:variant>
        <vt:lpwstr/>
      </vt:variant>
      <vt:variant>
        <vt:i4>7340093</vt:i4>
      </vt:variant>
      <vt:variant>
        <vt:i4>1038</vt:i4>
      </vt:variant>
      <vt:variant>
        <vt:i4>0</vt:i4>
      </vt:variant>
      <vt:variant>
        <vt:i4>5</vt:i4>
      </vt:variant>
      <vt:variant>
        <vt:lpwstr>https://am.lrv.lt/lt/naujienos/nuo-2025-m-sausio-1-d-isigalios-pakuociu-gamintojams-ir-importuotojams-aktualus-mokestiniai-pakeitimai/</vt:lpwstr>
      </vt:variant>
      <vt:variant>
        <vt:lpwstr/>
      </vt:variant>
      <vt:variant>
        <vt:i4>1376373</vt:i4>
      </vt:variant>
      <vt:variant>
        <vt:i4>1035</vt:i4>
      </vt:variant>
      <vt:variant>
        <vt:i4>0</vt:i4>
      </vt:variant>
      <vt:variant>
        <vt:i4>5</vt:i4>
      </vt:variant>
      <vt:variant>
        <vt:lpwstr>https://www.oecd.org/en/publications/oecd-economic-surveys-lithuania-2025_4abf1ea5-en.html</vt:lpwstr>
      </vt:variant>
      <vt:variant>
        <vt:lpwstr/>
      </vt:variant>
      <vt:variant>
        <vt:i4>131173</vt:i4>
      </vt:variant>
      <vt:variant>
        <vt:i4>1032</vt:i4>
      </vt:variant>
      <vt:variant>
        <vt:i4>0</vt:i4>
      </vt:variant>
      <vt:variant>
        <vt:i4>5</vt:i4>
      </vt:variant>
      <vt:variant>
        <vt:lpwstr>https://www.oecd.org/en/publications/reform-options-for-lithuanian-climate-neutrality-by-2050_0d570e99-en.html</vt:lpwstr>
      </vt:variant>
      <vt:variant>
        <vt:lpwstr/>
      </vt:variant>
      <vt:variant>
        <vt:i4>1376373</vt:i4>
      </vt:variant>
      <vt:variant>
        <vt:i4>1029</vt:i4>
      </vt:variant>
      <vt:variant>
        <vt:i4>0</vt:i4>
      </vt:variant>
      <vt:variant>
        <vt:i4>5</vt:i4>
      </vt:variant>
      <vt:variant>
        <vt:lpwstr>https://www.oecd.org/en/publications/oecd-economic-surveys-lithuania-2025_4abf1ea5-en.html</vt:lpwstr>
      </vt:variant>
      <vt:variant>
        <vt:lpwstr/>
      </vt:variant>
      <vt:variant>
        <vt:i4>1376373</vt:i4>
      </vt:variant>
      <vt:variant>
        <vt:i4>1026</vt:i4>
      </vt:variant>
      <vt:variant>
        <vt:i4>0</vt:i4>
      </vt:variant>
      <vt:variant>
        <vt:i4>5</vt:i4>
      </vt:variant>
      <vt:variant>
        <vt:lpwstr>https://www.oecd.org/en/publications/oecd-economic-surveys-lithuania-2025_4abf1ea5-en.html</vt:lpwstr>
      </vt:variant>
      <vt:variant>
        <vt:lpwstr/>
      </vt:variant>
      <vt:variant>
        <vt:i4>524379</vt:i4>
      </vt:variant>
      <vt:variant>
        <vt:i4>1023</vt:i4>
      </vt:variant>
      <vt:variant>
        <vt:i4>0</vt:i4>
      </vt:variant>
      <vt:variant>
        <vt:i4>5</vt:i4>
      </vt:variant>
      <vt:variant>
        <vt:lpwstr>https://www.imf.org/-/media/Files/Publications/CR/2024/English/1LTUEA2024001.ashx</vt:lpwstr>
      </vt:variant>
      <vt:variant>
        <vt:lpwstr/>
      </vt:variant>
      <vt:variant>
        <vt:i4>131173</vt:i4>
      </vt:variant>
      <vt:variant>
        <vt:i4>1020</vt:i4>
      </vt:variant>
      <vt:variant>
        <vt:i4>0</vt:i4>
      </vt:variant>
      <vt:variant>
        <vt:i4>5</vt:i4>
      </vt:variant>
      <vt:variant>
        <vt:lpwstr>https://www.oecd.org/en/publications/reform-options-for-lithuanian-climate-neutrality-by-2050_0d570e99-en.html</vt:lpwstr>
      </vt:variant>
      <vt:variant>
        <vt:lpwstr/>
      </vt:variant>
      <vt:variant>
        <vt:i4>8257560</vt:i4>
      </vt:variant>
      <vt:variant>
        <vt:i4>1017</vt:i4>
      </vt:variant>
      <vt:variant>
        <vt:i4>0</vt:i4>
      </vt:variant>
      <vt:variant>
        <vt:i4>5</vt:i4>
      </vt:variant>
      <vt:variant>
        <vt:lpwstr>https://www.oecd.org/en/publications/oecd-environmental-performance-reviews-lithuania-2021_48d82b17-en/full-report.html</vt:lpwstr>
      </vt:variant>
      <vt:variant>
        <vt:lpwstr/>
      </vt:variant>
      <vt:variant>
        <vt:i4>458805</vt:i4>
      </vt:variant>
      <vt:variant>
        <vt:i4>1014</vt:i4>
      </vt:variant>
      <vt:variant>
        <vt:i4>0</vt:i4>
      </vt:variant>
      <vt:variant>
        <vt:i4>5</vt:i4>
      </vt:variant>
      <vt:variant>
        <vt:lpwstr>https://environment.ec.europa.eu/document/download/dfff60be-3c31-4fcb-93a6-fa6e2ea5f219_en?filename=Taxes%2C%20charges%20and%20fees.pdf</vt:lpwstr>
      </vt:variant>
      <vt:variant>
        <vt:lpwstr/>
      </vt:variant>
      <vt:variant>
        <vt:i4>2228244</vt:i4>
      </vt:variant>
      <vt:variant>
        <vt:i4>1011</vt:i4>
      </vt:variant>
      <vt:variant>
        <vt:i4>0</vt:i4>
      </vt:variant>
      <vt:variant>
        <vt:i4>5</vt:i4>
      </vt:variant>
      <vt:variant>
        <vt:lpwstr>https://commission.europa.eu/publications/2022-european-semester-country-specific-recommendations-commission-recommendations_en</vt:lpwstr>
      </vt:variant>
      <vt:variant>
        <vt:lpwstr/>
      </vt:variant>
      <vt:variant>
        <vt:i4>2359316</vt:i4>
      </vt:variant>
      <vt:variant>
        <vt:i4>1008</vt:i4>
      </vt:variant>
      <vt:variant>
        <vt:i4>0</vt:i4>
      </vt:variant>
      <vt:variant>
        <vt:i4>5</vt:i4>
      </vt:variant>
      <vt:variant>
        <vt:lpwstr>https://commission.europa.eu/publications/2024-european-semester-country-specific-recommendations-commission-recommendations_en</vt:lpwstr>
      </vt:variant>
      <vt:variant>
        <vt:lpwstr/>
      </vt:variant>
      <vt:variant>
        <vt:i4>2424852</vt:i4>
      </vt:variant>
      <vt:variant>
        <vt:i4>1005</vt:i4>
      </vt:variant>
      <vt:variant>
        <vt:i4>0</vt:i4>
      </vt:variant>
      <vt:variant>
        <vt:i4>5</vt:i4>
      </vt:variant>
      <vt:variant>
        <vt:lpwstr>https://commission.europa.eu/publications/2025-european-semester-country-specific-recommendations-commission-recommendations_en</vt:lpwstr>
      </vt:variant>
      <vt:variant>
        <vt:lpwstr/>
      </vt:variant>
      <vt:variant>
        <vt:i4>131173</vt:i4>
      </vt:variant>
      <vt:variant>
        <vt:i4>1002</vt:i4>
      </vt:variant>
      <vt:variant>
        <vt:i4>0</vt:i4>
      </vt:variant>
      <vt:variant>
        <vt:i4>5</vt:i4>
      </vt:variant>
      <vt:variant>
        <vt:lpwstr>https://www.oecd.org/en/publications/reform-options-for-lithuanian-climate-neutrality-by-2050_0d570e99-en.html</vt:lpwstr>
      </vt:variant>
      <vt:variant>
        <vt:lpwstr/>
      </vt:variant>
      <vt:variant>
        <vt:i4>3211391</vt:i4>
      </vt:variant>
      <vt:variant>
        <vt:i4>999</vt:i4>
      </vt:variant>
      <vt:variant>
        <vt:i4>0</vt:i4>
      </vt:variant>
      <vt:variant>
        <vt:i4>5</vt:i4>
      </vt:variant>
      <vt:variant>
        <vt:lpwstr>https://e-seimas.lrs.lt/portal/legalAct/lt/TAD/TAIS.454394/asr</vt:lpwstr>
      </vt:variant>
      <vt:variant>
        <vt:lpwstr/>
      </vt:variant>
      <vt:variant>
        <vt:i4>5308442</vt:i4>
      </vt:variant>
      <vt:variant>
        <vt:i4>996</vt:i4>
      </vt:variant>
      <vt:variant>
        <vt:i4>0</vt:i4>
      </vt:variant>
      <vt:variant>
        <vt:i4>5</vt:i4>
      </vt:variant>
      <vt:variant>
        <vt:lpwstr>https://sciendo.com/pdf/10.15544/mts.2022.07</vt:lpwstr>
      </vt:variant>
      <vt:variant>
        <vt:lpwstr/>
      </vt:variant>
      <vt:variant>
        <vt:i4>5963864</vt:i4>
      </vt:variant>
      <vt:variant>
        <vt:i4>993</vt:i4>
      </vt:variant>
      <vt:variant>
        <vt:i4>0</vt:i4>
      </vt:variant>
      <vt:variant>
        <vt:i4>5</vt:i4>
      </vt:variant>
      <vt:variant>
        <vt:lpwstr>https://www.vmi.lt/evmi/biudzeto-pajamos</vt:lpwstr>
      </vt:variant>
      <vt:variant>
        <vt:lpwstr/>
      </vt:variant>
      <vt:variant>
        <vt:i4>655380</vt:i4>
      </vt:variant>
      <vt:variant>
        <vt:i4>990</vt:i4>
      </vt:variant>
      <vt:variant>
        <vt:i4>0</vt:i4>
      </vt:variant>
      <vt:variant>
        <vt:i4>5</vt:i4>
      </vt:variant>
      <vt:variant>
        <vt:lpwstr>https://data.europa.eu/doi/10.2779/079620</vt:lpwstr>
      </vt:variant>
      <vt:variant>
        <vt:lpwstr/>
      </vt:variant>
      <vt:variant>
        <vt:i4>5701696</vt:i4>
      </vt:variant>
      <vt:variant>
        <vt:i4>987</vt:i4>
      </vt:variant>
      <vt:variant>
        <vt:i4>0</vt:i4>
      </vt:variant>
      <vt:variant>
        <vt:i4>5</vt:i4>
      </vt:variant>
      <vt:variant>
        <vt:lpwstr>https://pip/</vt:lpwstr>
      </vt:variant>
      <vt:variant>
        <vt:lpwstr/>
      </vt:variant>
      <vt:variant>
        <vt:i4>6815803</vt:i4>
      </vt:variant>
      <vt:variant>
        <vt:i4>984</vt:i4>
      </vt:variant>
      <vt:variant>
        <vt:i4>0</vt:i4>
      </vt:variant>
      <vt:variant>
        <vt:i4>5</vt:i4>
      </vt:variant>
      <vt:variant>
        <vt:lpwstr>https://sciendo.com/article/10.1515/nispa-2017-0015</vt:lpwstr>
      </vt:variant>
      <vt:variant>
        <vt:lpwstr/>
      </vt:variant>
      <vt:variant>
        <vt:i4>7274571</vt:i4>
      </vt:variant>
      <vt:variant>
        <vt:i4>981</vt:i4>
      </vt:variant>
      <vt:variant>
        <vt:i4>0</vt:i4>
      </vt:variant>
      <vt:variant>
        <vt:i4>5</vt:i4>
      </vt:variant>
      <vt:variant>
        <vt:lpwstr>https://eur-lex.europa.eu/legal-content/EN/TXT/?uri=comnat:SWD_2022_0276_FIN</vt:lpwstr>
      </vt:variant>
      <vt:variant>
        <vt:lpwstr/>
      </vt:variant>
      <vt:variant>
        <vt:i4>1441820</vt:i4>
      </vt:variant>
      <vt:variant>
        <vt:i4>978</vt:i4>
      </vt:variant>
      <vt:variant>
        <vt:i4>0</vt:i4>
      </vt:variant>
      <vt:variant>
        <vt:i4>5</vt:i4>
      </vt:variant>
      <vt:variant>
        <vt:lpwstr>https://ieep.eu/publications/environmental-tax-reform-in-europe-opportunities-for-the-future/</vt:lpwstr>
      </vt:variant>
      <vt:variant>
        <vt:lpwstr/>
      </vt:variant>
      <vt:variant>
        <vt:i4>2818155</vt:i4>
      </vt:variant>
      <vt:variant>
        <vt:i4>975</vt:i4>
      </vt:variant>
      <vt:variant>
        <vt:i4>0</vt:i4>
      </vt:variant>
      <vt:variant>
        <vt:i4>5</vt:i4>
      </vt:variant>
      <vt:variant>
        <vt:lpwstr>https://likumi.lv/ta/id/124707-dabas-resursu-nodokla-likums</vt:lpwstr>
      </vt:variant>
      <vt:variant>
        <vt:lpwstr/>
      </vt:variant>
      <vt:variant>
        <vt:i4>327702</vt:i4>
      </vt:variant>
      <vt:variant>
        <vt:i4>972</vt:i4>
      </vt:variant>
      <vt:variant>
        <vt:i4>0</vt:i4>
      </vt:variant>
      <vt:variant>
        <vt:i4>5</vt:i4>
      </vt:variant>
      <vt:variant>
        <vt:lpwstr>https://data.europa.eu/doi/10.2779/61725</vt:lpwstr>
      </vt:variant>
      <vt:variant>
        <vt:lpwstr/>
      </vt:variant>
      <vt:variant>
        <vt:i4>3604509</vt:i4>
      </vt:variant>
      <vt:variant>
        <vt:i4>969</vt:i4>
      </vt:variant>
      <vt:variant>
        <vt:i4>0</vt:i4>
      </vt:variant>
      <vt:variant>
        <vt:i4>5</vt:i4>
      </vt:variant>
      <vt:variant>
        <vt:lpwstr>https://ec.europa.eu/economy_finance/country-specific-recommendations-database/</vt:lpwstr>
      </vt:variant>
      <vt:variant>
        <vt:lpwstr/>
      </vt:variant>
      <vt:variant>
        <vt:i4>2228329</vt:i4>
      </vt:variant>
      <vt:variant>
        <vt:i4>966</vt:i4>
      </vt:variant>
      <vt:variant>
        <vt:i4>0</vt:i4>
      </vt:variant>
      <vt:variant>
        <vt:i4>5</vt:i4>
      </vt:variant>
      <vt:variant>
        <vt:lpwstr>https://www.eea.europa.eu/publications/many-eu-member-states/italy/view</vt:lpwstr>
      </vt:variant>
      <vt:variant>
        <vt:lpwstr/>
      </vt:variant>
      <vt:variant>
        <vt:i4>6422578</vt:i4>
      </vt:variant>
      <vt:variant>
        <vt:i4>963</vt:i4>
      </vt:variant>
      <vt:variant>
        <vt:i4>0</vt:i4>
      </vt:variant>
      <vt:variant>
        <vt:i4>5</vt:i4>
      </vt:variant>
      <vt:variant>
        <vt:lpwstr>https://www.mase.gov.it/pagina/catalogo-dei-sussidi-ambientalmente-dannosi-e-dei-sussidi-ambientalmente-favorevoli</vt:lpwstr>
      </vt:variant>
      <vt:variant>
        <vt:lpwstr/>
      </vt:variant>
      <vt:variant>
        <vt:i4>1900571</vt:i4>
      </vt:variant>
      <vt:variant>
        <vt:i4>960</vt:i4>
      </vt:variant>
      <vt:variant>
        <vt:i4>0</vt:i4>
      </vt:variant>
      <vt:variant>
        <vt:i4>5</vt:i4>
      </vt:variant>
      <vt:variant>
        <vt:lpwstr>https://www.arera.it/atlante-per-il-consumatore/acqua/la-bolletta/tariffe-e-consumi/che-cosa-si-paga-con-la-bolletta</vt:lpwstr>
      </vt:variant>
      <vt:variant>
        <vt:lpwstr/>
      </vt:variant>
      <vt:variant>
        <vt:i4>5308428</vt:i4>
      </vt:variant>
      <vt:variant>
        <vt:i4>957</vt:i4>
      </vt:variant>
      <vt:variant>
        <vt:i4>0</vt:i4>
      </vt:variant>
      <vt:variant>
        <vt:i4>5</vt:i4>
      </vt:variant>
      <vt:variant>
        <vt:lpwstr>https://consulenzaagricola.it/circolari/fiscale/16941-contributo-per-la-vendita-di-prodotti-fitosanitari-e-fertilizzanti-dal-7-aprile-sanzioni-per-chi-non-effettua-tempestivamente-il-versamento</vt:lpwstr>
      </vt:variant>
      <vt:variant>
        <vt:lpwstr/>
      </vt:variant>
      <vt:variant>
        <vt:i4>65593</vt:i4>
      </vt:variant>
      <vt:variant>
        <vt:i4>954</vt:i4>
      </vt:variant>
      <vt:variant>
        <vt:i4>0</vt:i4>
      </vt:variant>
      <vt:variant>
        <vt:i4>5</vt:i4>
      </vt:variant>
      <vt:variant>
        <vt:lpwstr>https://ntplusentilocaliedilizia.ilsole24ore.com/art/imposta-regionale-emissioni-sonore-aerei-tributo-non-va-necessariamente-costruito-come-prelievo-ambientale-AEpbKgMC?refresh_ce=1</vt:lpwstr>
      </vt:variant>
      <vt:variant>
        <vt:lpwstr/>
      </vt:variant>
      <vt:variant>
        <vt:i4>589899</vt:i4>
      </vt:variant>
      <vt:variant>
        <vt:i4>951</vt:i4>
      </vt:variant>
      <vt:variant>
        <vt:i4>0</vt:i4>
      </vt:variant>
      <vt:variant>
        <vt:i4>5</vt:i4>
      </vt:variant>
      <vt:variant>
        <vt:lpwstr>https://www.reteambiente.it/news/19096/antitrust-l-iresa-regionale-sta-fallendo/</vt:lpwstr>
      </vt:variant>
      <vt:variant>
        <vt:lpwstr/>
      </vt:variant>
      <vt:variant>
        <vt:i4>262156</vt:i4>
      </vt:variant>
      <vt:variant>
        <vt:i4>948</vt:i4>
      </vt:variant>
      <vt:variant>
        <vt:i4>0</vt:i4>
      </vt:variant>
      <vt:variant>
        <vt:i4>5</vt:i4>
      </vt:variant>
      <vt:variant>
        <vt:lpwstr>https://www.diritto.it/ecotassa-tributo-speciale-per-il-deposito-dei-rifiuti-solidi-in-discarica/</vt:lpwstr>
      </vt:variant>
      <vt:variant>
        <vt:lpwstr/>
      </vt:variant>
      <vt:variant>
        <vt:i4>5177355</vt:i4>
      </vt:variant>
      <vt:variant>
        <vt:i4>945</vt:i4>
      </vt:variant>
      <vt:variant>
        <vt:i4>0</vt:i4>
      </vt:variant>
      <vt:variant>
        <vt:i4>5</vt:i4>
      </vt:variant>
      <vt:variant>
        <vt:lpwstr>http://portaleragioneria.provincia.roma.it/temi/tefa-tributo-lesercizio-delle-funzioni-ambientali</vt:lpwstr>
      </vt:variant>
      <vt:variant>
        <vt:lpwstr/>
      </vt:variant>
      <vt:variant>
        <vt:i4>5046350</vt:i4>
      </vt:variant>
      <vt:variant>
        <vt:i4>942</vt:i4>
      </vt:variant>
      <vt:variant>
        <vt:i4>0</vt:i4>
      </vt:variant>
      <vt:variant>
        <vt:i4>5</vt:i4>
      </vt:variant>
      <vt:variant>
        <vt:lpwstr>https://www.fiscoetasse.com/approfondimenti/10312-tributo-provinciale-tefa-per-la-tutela-protezione-ed-igiene-dell-ambiente.html</vt:lpwstr>
      </vt:variant>
      <vt:variant>
        <vt:lpwstr/>
      </vt:variant>
      <vt:variant>
        <vt:i4>6553654</vt:i4>
      </vt:variant>
      <vt:variant>
        <vt:i4>939</vt:i4>
      </vt:variant>
      <vt:variant>
        <vt:i4>0</vt:i4>
      </vt:variant>
      <vt:variant>
        <vt:i4>5</vt:i4>
      </vt:variant>
      <vt:variant>
        <vt:lpwstr>https://indicatoriambientali.isprambiente.it/it/economia-e-ambiente/imposte-ambientali</vt:lpwstr>
      </vt:variant>
      <vt:variant>
        <vt:lpwstr/>
      </vt:variant>
      <vt:variant>
        <vt:i4>6553654</vt:i4>
      </vt:variant>
      <vt:variant>
        <vt:i4>936</vt:i4>
      </vt:variant>
      <vt:variant>
        <vt:i4>0</vt:i4>
      </vt:variant>
      <vt:variant>
        <vt:i4>5</vt:i4>
      </vt:variant>
      <vt:variant>
        <vt:lpwstr>https://indicatoriambientali.isprambiente.it/it/economia-e-ambiente/imposte-ambientali</vt:lpwstr>
      </vt:variant>
      <vt:variant>
        <vt:lpwstr/>
      </vt:variant>
      <vt:variant>
        <vt:i4>983061</vt:i4>
      </vt:variant>
      <vt:variant>
        <vt:i4>933</vt:i4>
      </vt:variant>
      <vt:variant>
        <vt:i4>0</vt:i4>
      </vt:variant>
      <vt:variant>
        <vt:i4>5</vt:i4>
      </vt:variant>
      <vt:variant>
        <vt:lpwstr>https://data.europa.eu/doi/10.2779/378751</vt:lpwstr>
      </vt:variant>
      <vt:variant>
        <vt:lpwstr/>
      </vt:variant>
      <vt:variant>
        <vt:i4>5439604</vt:i4>
      </vt:variant>
      <vt:variant>
        <vt:i4>930</vt:i4>
      </vt:variant>
      <vt:variant>
        <vt:i4>0</vt:i4>
      </vt:variant>
      <vt:variant>
        <vt:i4>5</vt:i4>
      </vt:variant>
      <vt:variant>
        <vt:lpwstr>https://economy-finance.ec.europa.eu/document/download/7ec5fe18-b881-4140-b86a-7b22cb7a8580_en?filename=IE_CR_SWD_2025_207_1_EN_autre_document_travail_service_part1_v3.pdf</vt:lpwstr>
      </vt:variant>
      <vt:variant>
        <vt:lpwstr/>
      </vt:variant>
      <vt:variant>
        <vt:i4>5439604</vt:i4>
      </vt:variant>
      <vt:variant>
        <vt:i4>927</vt:i4>
      </vt:variant>
      <vt:variant>
        <vt:i4>0</vt:i4>
      </vt:variant>
      <vt:variant>
        <vt:i4>5</vt:i4>
      </vt:variant>
      <vt:variant>
        <vt:lpwstr>https://economy-finance.ec.europa.eu/document/download/7ec5fe18-b881-4140-b86a-7b22cb7a8580_en?filename=IE_CR_SWD_2025_207_1_EN_autre_document_travail_service_part1_v3.pdf</vt:lpwstr>
      </vt:variant>
      <vt:variant>
        <vt:lpwstr/>
      </vt:variant>
      <vt:variant>
        <vt:i4>7733311</vt:i4>
      </vt:variant>
      <vt:variant>
        <vt:i4>924</vt:i4>
      </vt:variant>
      <vt:variant>
        <vt:i4>0</vt:i4>
      </vt:variant>
      <vt:variant>
        <vt:i4>5</vt:i4>
      </vt:variant>
      <vt:variant>
        <vt:lpwstr>https://assets.gov.ie/static/documents/national-development-plan-2021-2030.pdf</vt:lpwstr>
      </vt:variant>
      <vt:variant>
        <vt:lpwstr/>
      </vt:variant>
      <vt:variant>
        <vt:i4>2555955</vt:i4>
      </vt:variant>
      <vt:variant>
        <vt:i4>921</vt:i4>
      </vt:variant>
      <vt:variant>
        <vt:i4>0</vt:i4>
      </vt:variant>
      <vt:variant>
        <vt:i4>5</vt:i4>
      </vt:variant>
      <vt:variant>
        <vt:lpwstr>https://developmenteducation.ie/media/documents/Our sustainable future irish framework.pdf</vt:lpwstr>
      </vt:variant>
      <vt:variant>
        <vt:lpwstr/>
      </vt:variant>
      <vt:variant>
        <vt:i4>4456453</vt:i4>
      </vt:variant>
      <vt:variant>
        <vt:i4>918</vt:i4>
      </vt:variant>
      <vt:variant>
        <vt:i4>0</vt:i4>
      </vt:variant>
      <vt:variant>
        <vt:i4>5</vt:i4>
      </vt:variant>
      <vt:variant>
        <vt:lpwstr>https://ieep.eu/wp-content/uploads/2022/12/ETR_in_Europe_-_Final_report_of_IEEP_study_-_30_May_2014.pdf</vt:lpwstr>
      </vt:variant>
      <vt:variant>
        <vt:lpwstr/>
      </vt:variant>
      <vt:variant>
        <vt:i4>5767262</vt:i4>
      </vt:variant>
      <vt:variant>
        <vt:i4>915</vt:i4>
      </vt:variant>
      <vt:variant>
        <vt:i4>0</vt:i4>
      </vt:variant>
      <vt:variant>
        <vt:i4>5</vt:i4>
      </vt:variant>
      <vt:variant>
        <vt:lpwstr>https://www.fingal.ie/waste-recovery-levy</vt:lpwstr>
      </vt:variant>
      <vt:variant>
        <vt:lpwstr/>
      </vt:variant>
      <vt:variant>
        <vt:i4>7471137</vt:i4>
      </vt:variant>
      <vt:variant>
        <vt:i4>912</vt:i4>
      </vt:variant>
      <vt:variant>
        <vt:i4>0</vt:i4>
      </vt:variant>
      <vt:variant>
        <vt:i4>5</vt:i4>
      </vt:variant>
      <vt:variant>
        <vt:lpwstr>https://www.gov.ie/en/department-of-the-environment-climate-and-communications/press-releases/introduction-of-new-environment-levies-will-incentivise-recycling-and-help-ireland-meet-our-eu-waste-targets/</vt:lpwstr>
      </vt:variant>
      <vt:variant>
        <vt:lpwstr/>
      </vt:variant>
      <vt:variant>
        <vt:i4>2818166</vt:i4>
      </vt:variant>
      <vt:variant>
        <vt:i4>909</vt:i4>
      </vt:variant>
      <vt:variant>
        <vt:i4>0</vt:i4>
      </vt:variant>
      <vt:variant>
        <vt:i4>5</vt:i4>
      </vt:variant>
      <vt:variant>
        <vt:lpwstr>https://www.irishstatutebook.ie/eli/2012/si/214/made/en/print</vt:lpwstr>
      </vt:variant>
      <vt:variant>
        <vt:lpwstr>:~:text=Annual%20composite%20harbour%20entry%20charge,5</vt:lpwstr>
      </vt:variant>
      <vt:variant>
        <vt:i4>8192111</vt:i4>
      </vt:variant>
      <vt:variant>
        <vt:i4>906</vt:i4>
      </vt:variant>
      <vt:variant>
        <vt:i4>0</vt:i4>
      </vt:variant>
      <vt:variant>
        <vt:i4>5</vt:i4>
      </vt:variant>
      <vt:variant>
        <vt:lpwstr>https://www.oecd.org/en/data/datasets/policy-instruments-for-the-environment-pine-database.html</vt:lpwstr>
      </vt:variant>
      <vt:variant>
        <vt:lpwstr/>
      </vt:variant>
      <vt:variant>
        <vt:i4>6291555</vt:i4>
      </vt:variant>
      <vt:variant>
        <vt:i4>903</vt:i4>
      </vt:variant>
      <vt:variant>
        <vt:i4>0</vt:i4>
      </vt:variant>
      <vt:variant>
        <vt:i4>5</vt:i4>
      </vt:variant>
      <vt:variant>
        <vt:lpwstr>https://www.google.com/url?sa=t&amp;rct=j&amp;q=&amp;esrc=s&amp;source=web&amp;cd=&amp;cad=rja&amp;uact=8&amp;ved=2ahUKEwjr1NPV3NSLAxUlQUEAHbtcG2AQFnoECBUQAQ&amp;url=https%3A%2F%2Fassets.gov.ie%2F234239%2F52e6e3a2-c2f7-4ed8-97a8-6881899c14e6.pdf&amp;usg=AOvVaw3W8oDLPqsV3z4WOlGvw7RB&amp;cshid=1740139480457657&amp;opi=89978449</vt:lpwstr>
      </vt:variant>
      <vt:variant>
        <vt:lpwstr/>
      </vt:variant>
      <vt:variant>
        <vt:i4>7471137</vt:i4>
      </vt:variant>
      <vt:variant>
        <vt:i4>900</vt:i4>
      </vt:variant>
      <vt:variant>
        <vt:i4>0</vt:i4>
      </vt:variant>
      <vt:variant>
        <vt:i4>5</vt:i4>
      </vt:variant>
      <vt:variant>
        <vt:lpwstr>https://www.gov.ie/en/department-of-the-environment-climate-and-communications/press-releases/introduction-of-new-environment-levies-will-incentivise-recycling-and-help-ireland-meet-our-eu-waste-targets/</vt:lpwstr>
      </vt:variant>
      <vt:variant>
        <vt:lpwstr/>
      </vt:variant>
      <vt:variant>
        <vt:i4>6291555</vt:i4>
      </vt:variant>
      <vt:variant>
        <vt:i4>897</vt:i4>
      </vt:variant>
      <vt:variant>
        <vt:i4>0</vt:i4>
      </vt:variant>
      <vt:variant>
        <vt:i4>5</vt:i4>
      </vt:variant>
      <vt:variant>
        <vt:lpwstr>https://www.google.com/url?sa=t&amp;rct=j&amp;q=&amp;esrc=s&amp;source=web&amp;cd=&amp;cad=rja&amp;uact=8&amp;ved=2ahUKEwjr1NPV3NSLAxUlQUEAHbtcG2AQFnoECBUQAQ&amp;url=https%3A%2F%2Fassets.gov.ie%2F234239%2F52e6e3a2-c2f7-4ed8-97a8-6881899c14e6.pdf&amp;usg=AOvVaw3W8oDLPqsV3z4WOlGvw7RB&amp;cshid=1740139480457657&amp;opi=89978449</vt:lpwstr>
      </vt:variant>
      <vt:variant>
        <vt:lpwstr/>
      </vt:variant>
      <vt:variant>
        <vt:i4>65552</vt:i4>
      </vt:variant>
      <vt:variant>
        <vt:i4>894</vt:i4>
      </vt:variant>
      <vt:variant>
        <vt:i4>0</vt:i4>
      </vt:variant>
      <vt:variant>
        <vt:i4>5</vt:i4>
      </vt:variant>
      <vt:variant>
        <vt:lpwstr>https://op.europa.eu/en/publication-detail/-/publication/62bfa4a4-cbd4-11e5-a4b5-01aa75ed71a1</vt:lpwstr>
      </vt:variant>
      <vt:variant>
        <vt:lpwstr/>
      </vt:variant>
      <vt:variant>
        <vt:i4>8192111</vt:i4>
      </vt:variant>
      <vt:variant>
        <vt:i4>891</vt:i4>
      </vt:variant>
      <vt:variant>
        <vt:i4>0</vt:i4>
      </vt:variant>
      <vt:variant>
        <vt:i4>5</vt:i4>
      </vt:variant>
      <vt:variant>
        <vt:lpwstr>https://www.oecd.org/en/data/datasets/policy-instruments-for-the-environment-pine-database.html</vt:lpwstr>
      </vt:variant>
      <vt:variant>
        <vt:lpwstr/>
      </vt:variant>
      <vt:variant>
        <vt:i4>8257648</vt:i4>
      </vt:variant>
      <vt:variant>
        <vt:i4>888</vt:i4>
      </vt:variant>
      <vt:variant>
        <vt:i4>0</vt:i4>
      </vt:variant>
      <vt:variant>
        <vt:i4>5</vt:i4>
      </vt:variant>
      <vt:variant>
        <vt:lpwstr>https://ec.europa.eu/taxation_customs/tedb/</vt:lpwstr>
      </vt:variant>
      <vt:variant>
        <vt:lpwstr>/tax-details?taxId=857&amp;versionDate=1735686000&amp;isEuro=true&amp;taxType=OTHER_INDIRECT</vt:lpwstr>
      </vt:variant>
      <vt:variant>
        <vt:i4>4456453</vt:i4>
      </vt:variant>
      <vt:variant>
        <vt:i4>885</vt:i4>
      </vt:variant>
      <vt:variant>
        <vt:i4>0</vt:i4>
      </vt:variant>
      <vt:variant>
        <vt:i4>5</vt:i4>
      </vt:variant>
      <vt:variant>
        <vt:lpwstr>https://ieep.eu/wp-content/uploads/2022/12/ETR_in_Europe_-_Final_report_of_IEEP_study_-_30_May_2014.pdf</vt:lpwstr>
      </vt:variant>
      <vt:variant>
        <vt:lpwstr/>
      </vt:variant>
      <vt:variant>
        <vt:i4>4456453</vt:i4>
      </vt:variant>
      <vt:variant>
        <vt:i4>882</vt:i4>
      </vt:variant>
      <vt:variant>
        <vt:i4>0</vt:i4>
      </vt:variant>
      <vt:variant>
        <vt:i4>5</vt:i4>
      </vt:variant>
      <vt:variant>
        <vt:lpwstr>https://ieep.eu/wp-content/uploads/2022/12/ETR_in_Europe_-_Final_report_of_IEEP_study_-_30_May_2014.pdf</vt:lpwstr>
      </vt:variant>
      <vt:variant>
        <vt:lpwstr/>
      </vt:variant>
      <vt:variant>
        <vt:i4>4456453</vt:i4>
      </vt:variant>
      <vt:variant>
        <vt:i4>879</vt:i4>
      </vt:variant>
      <vt:variant>
        <vt:i4>0</vt:i4>
      </vt:variant>
      <vt:variant>
        <vt:i4>5</vt:i4>
      </vt:variant>
      <vt:variant>
        <vt:lpwstr>https://ieep.eu/wp-content/uploads/2022/12/ETR_in_Europe_-_Final_report_of_IEEP_study_-_30_May_2014.pdf</vt:lpwstr>
      </vt:variant>
      <vt:variant>
        <vt:lpwstr/>
      </vt:variant>
      <vt:variant>
        <vt:i4>4456453</vt:i4>
      </vt:variant>
      <vt:variant>
        <vt:i4>876</vt:i4>
      </vt:variant>
      <vt:variant>
        <vt:i4>0</vt:i4>
      </vt:variant>
      <vt:variant>
        <vt:i4>5</vt:i4>
      </vt:variant>
      <vt:variant>
        <vt:lpwstr>https://ieep.eu/wp-content/uploads/2022/12/ETR_in_Europe_-_Final_report_of_IEEP_study_-_30_May_2014.pdf</vt:lpwstr>
      </vt:variant>
      <vt:variant>
        <vt:lpwstr/>
      </vt:variant>
      <vt:variant>
        <vt:i4>7864435</vt:i4>
      </vt:variant>
      <vt:variant>
        <vt:i4>873</vt:i4>
      </vt:variant>
      <vt:variant>
        <vt:i4>0</vt:i4>
      </vt:variant>
      <vt:variant>
        <vt:i4>5</vt:i4>
      </vt:variant>
      <vt:variant>
        <vt:lpwstr>https://ec.europa.eu/taxation_customs/tedb/</vt:lpwstr>
      </vt:variant>
      <vt:variant>
        <vt:lpwstr>/tax-details?taxId=861&amp;versionDate=1735686000&amp;isEuro=true&amp;taxType=OTHER_INDIRECT</vt:lpwstr>
      </vt:variant>
      <vt:variant>
        <vt:i4>8192111</vt:i4>
      </vt:variant>
      <vt:variant>
        <vt:i4>870</vt:i4>
      </vt:variant>
      <vt:variant>
        <vt:i4>0</vt:i4>
      </vt:variant>
      <vt:variant>
        <vt:i4>5</vt:i4>
      </vt:variant>
      <vt:variant>
        <vt:lpwstr>https://www.oecd.org/en/data/datasets/policy-instruments-for-the-environment-pine-database.html</vt:lpwstr>
      </vt:variant>
      <vt:variant>
        <vt:lpwstr/>
      </vt:variant>
      <vt:variant>
        <vt:i4>2686986</vt:i4>
      </vt:variant>
      <vt:variant>
        <vt:i4>867</vt:i4>
      </vt:variant>
      <vt:variant>
        <vt:i4>0</vt:i4>
      </vt:variant>
      <vt:variant>
        <vt:i4>5</vt:i4>
      </vt:variant>
      <vt:variant>
        <vt:lpwstr>https://ec.europa.eu/eurostat/databrowser/view/env_ac_taxind2__custom_16151737/default/table?lang=en</vt:lpwstr>
      </vt:variant>
      <vt:variant>
        <vt:lpwstr/>
      </vt:variant>
      <vt:variant>
        <vt:i4>2686986</vt:i4>
      </vt:variant>
      <vt:variant>
        <vt:i4>864</vt:i4>
      </vt:variant>
      <vt:variant>
        <vt:i4>0</vt:i4>
      </vt:variant>
      <vt:variant>
        <vt:i4>5</vt:i4>
      </vt:variant>
      <vt:variant>
        <vt:lpwstr>https://ec.europa.eu/eurostat/databrowser/view/env_ac_taxind2__custom_16151737/default/table?lang=en</vt:lpwstr>
      </vt:variant>
      <vt:variant>
        <vt:lpwstr/>
      </vt:variant>
      <vt:variant>
        <vt:i4>18</vt:i4>
      </vt:variant>
      <vt:variant>
        <vt:i4>861</vt:i4>
      </vt:variant>
      <vt:variant>
        <vt:i4>0</vt:i4>
      </vt:variant>
      <vt:variant>
        <vt:i4>5</vt:i4>
      </vt:variant>
      <vt:variant>
        <vt:lpwstr>https://data.europa.eu/doi/10.2779/51662</vt:lpwstr>
      </vt:variant>
      <vt:variant>
        <vt:lpwstr/>
      </vt:variant>
      <vt:variant>
        <vt:i4>917525</vt:i4>
      </vt:variant>
      <vt:variant>
        <vt:i4>858</vt:i4>
      </vt:variant>
      <vt:variant>
        <vt:i4>0</vt:i4>
      </vt:variant>
      <vt:variant>
        <vt:i4>5</vt:i4>
      </vt:variant>
      <vt:variant>
        <vt:lpwstr>https://data.europa.eu/doi/10.2779/688810</vt:lpwstr>
      </vt:variant>
      <vt:variant>
        <vt:lpwstr/>
      </vt:variant>
      <vt:variant>
        <vt:i4>2883636</vt:i4>
      </vt:variant>
      <vt:variant>
        <vt:i4>855</vt:i4>
      </vt:variant>
      <vt:variant>
        <vt:i4>0</vt:i4>
      </vt:variant>
      <vt:variant>
        <vt:i4>5</vt:i4>
      </vt:variant>
      <vt:variant>
        <vt:lpwstr>https://kglawfirm/</vt:lpwstr>
      </vt:variant>
      <vt:variant>
        <vt:lpwstr/>
      </vt:variant>
      <vt:variant>
        <vt:i4>4784192</vt:i4>
      </vt:variant>
      <vt:variant>
        <vt:i4>852</vt:i4>
      </vt:variant>
      <vt:variant>
        <vt:i4>0</vt:i4>
      </vt:variant>
      <vt:variant>
        <vt:i4>5</vt:i4>
      </vt:variant>
      <vt:variant>
        <vt:lpwstr>https://www/</vt:lpwstr>
      </vt:variant>
      <vt:variant>
        <vt:lpwstr/>
      </vt:variant>
      <vt:variant>
        <vt:i4>5964740</vt:i4>
      </vt:variant>
      <vt:variant>
        <vt:i4>849</vt:i4>
      </vt:variant>
      <vt:variant>
        <vt:i4>0</vt:i4>
      </vt:variant>
      <vt:variant>
        <vt:i4>5</vt:i4>
      </vt:variant>
      <vt:variant>
        <vt:lpwstr>https://minfin.gov.gr/wp-content/uploads/2024/11/Έσοδα-Κρατικού-Προϋπολογισμού-2023.pdf</vt:lpwstr>
      </vt:variant>
      <vt:variant>
        <vt:lpwstr/>
      </vt:variant>
      <vt:variant>
        <vt:i4>2752631</vt:i4>
      </vt:variant>
      <vt:variant>
        <vt:i4>846</vt:i4>
      </vt:variant>
      <vt:variant>
        <vt:i4>0</vt:i4>
      </vt:variant>
      <vt:variant>
        <vt:i4>5</vt:i4>
      </vt:variant>
      <vt:variant>
        <vt:lpwstr>https://www.clientearth.org/latest/news/we-are-taking-legal-action-over-pesticides-in-germany/</vt:lpwstr>
      </vt:variant>
      <vt:variant>
        <vt:lpwstr/>
      </vt:variant>
      <vt:variant>
        <vt:i4>2097213</vt:i4>
      </vt:variant>
      <vt:variant>
        <vt:i4>843</vt:i4>
      </vt:variant>
      <vt:variant>
        <vt:i4>0</vt:i4>
      </vt:variant>
      <vt:variant>
        <vt:i4>5</vt:i4>
      </vt:variant>
      <vt:variant>
        <vt:lpwstr>https://www.umweltbundesamt.de/sites/default/files/medien/5750/publikationen/2021-04-19_texte_60-2021_novelle_awag.pdf</vt:lpwstr>
      </vt:variant>
      <vt:variant>
        <vt:lpwstr/>
      </vt:variant>
      <vt:variant>
        <vt:i4>7274594</vt:i4>
      </vt:variant>
      <vt:variant>
        <vt:i4>840</vt:i4>
      </vt:variant>
      <vt:variant>
        <vt:i4>0</vt:i4>
      </vt:variant>
      <vt:variant>
        <vt:i4>5</vt:i4>
      </vt:variant>
      <vt:variant>
        <vt:lpwstr>https://igsvtu.lanuv.nrw.de/vtu/doc.app?DATEI=7/dokus/70203.pdf</vt:lpwstr>
      </vt:variant>
      <vt:variant>
        <vt:lpwstr/>
      </vt:variant>
      <vt:variant>
        <vt:i4>1310804</vt:i4>
      </vt:variant>
      <vt:variant>
        <vt:i4>837</vt:i4>
      </vt:variant>
      <vt:variant>
        <vt:i4>0</vt:i4>
      </vt:variant>
      <vt:variant>
        <vt:i4>5</vt:i4>
      </vt:variant>
      <vt:variant>
        <vt:lpwstr>https://www.hausundgrund.de/sites/default/files/downloads/abwassergebuhrenranking-2023-haus-grund-deutschland.pdf</vt:lpwstr>
      </vt:variant>
      <vt:variant>
        <vt:lpwstr/>
      </vt:variant>
      <vt:variant>
        <vt:i4>2097213</vt:i4>
      </vt:variant>
      <vt:variant>
        <vt:i4>834</vt:i4>
      </vt:variant>
      <vt:variant>
        <vt:i4>0</vt:i4>
      </vt:variant>
      <vt:variant>
        <vt:i4>5</vt:i4>
      </vt:variant>
      <vt:variant>
        <vt:lpwstr>https://www.umweltbundesamt.de/sites/default/files/medien/5750/publikationen/2021-04-19_texte_60-2021_novelle_awag.pdf</vt:lpwstr>
      </vt:variant>
      <vt:variant>
        <vt:lpwstr/>
      </vt:variant>
      <vt:variant>
        <vt:i4>6160407</vt:i4>
      </vt:variant>
      <vt:variant>
        <vt:i4>831</vt:i4>
      </vt:variant>
      <vt:variant>
        <vt:i4>0</vt:i4>
      </vt:variant>
      <vt:variant>
        <vt:i4>5</vt:i4>
      </vt:variant>
      <vt:variant>
        <vt:lpwstr>https://www.eea.europa.eu/publications/many-eu-member-states/germany/view</vt:lpwstr>
      </vt:variant>
      <vt:variant>
        <vt:lpwstr/>
      </vt:variant>
      <vt:variant>
        <vt:i4>7077924</vt:i4>
      </vt:variant>
      <vt:variant>
        <vt:i4>828</vt:i4>
      </vt:variant>
      <vt:variant>
        <vt:i4>0</vt:i4>
      </vt:variant>
      <vt:variant>
        <vt:i4>5</vt:i4>
      </vt:variant>
      <vt:variant>
        <vt:lpwstr>https://www.bmuv.de/faq/welche-neuerung-bringt-das-einwegkunststofffondsgesetz</vt:lpwstr>
      </vt:variant>
      <vt:variant>
        <vt:lpwstr/>
      </vt:variant>
      <vt:variant>
        <vt:i4>131101</vt:i4>
      </vt:variant>
      <vt:variant>
        <vt:i4>825</vt:i4>
      </vt:variant>
      <vt:variant>
        <vt:i4>0</vt:i4>
      </vt:variant>
      <vt:variant>
        <vt:i4>5</vt:i4>
      </vt:variant>
      <vt:variant>
        <vt:lpwstr>https://data.europa.eu/doi/10.2779/209889</vt:lpwstr>
      </vt:variant>
      <vt:variant>
        <vt:lpwstr/>
      </vt:variant>
      <vt:variant>
        <vt:i4>6160407</vt:i4>
      </vt:variant>
      <vt:variant>
        <vt:i4>822</vt:i4>
      </vt:variant>
      <vt:variant>
        <vt:i4>0</vt:i4>
      </vt:variant>
      <vt:variant>
        <vt:i4>5</vt:i4>
      </vt:variant>
      <vt:variant>
        <vt:lpwstr>https://www.eea.europa.eu/publications/many-eu-member-states/germany/view</vt:lpwstr>
      </vt:variant>
      <vt:variant>
        <vt:lpwstr/>
      </vt:variant>
      <vt:variant>
        <vt:i4>7667746</vt:i4>
      </vt:variant>
      <vt:variant>
        <vt:i4>819</vt:i4>
      </vt:variant>
      <vt:variant>
        <vt:i4>0</vt:i4>
      </vt:variant>
      <vt:variant>
        <vt:i4>5</vt:i4>
      </vt:variant>
      <vt:variant>
        <vt:lpwstr>https://www.destatis.de/EN/Themes/Society-Environment/Environment/Environmental-Economic-Accounting/taxes-other-duties/environment-related-tax-revenue.html</vt:lpwstr>
      </vt:variant>
      <vt:variant>
        <vt:lpwstr/>
      </vt:variant>
      <vt:variant>
        <vt:i4>7471203</vt:i4>
      </vt:variant>
      <vt:variant>
        <vt:i4>816</vt:i4>
      </vt:variant>
      <vt:variant>
        <vt:i4>0</vt:i4>
      </vt:variant>
      <vt:variant>
        <vt:i4>5</vt:i4>
      </vt:variant>
      <vt:variant>
        <vt:lpwstr>https://verwaltung.bund.de/leistungsverzeichnis/EN/leistung/99042010131000/herausgeber/BB-108986280/region/120600000000</vt:lpwstr>
      </vt:variant>
      <vt:variant>
        <vt:lpwstr/>
      </vt:variant>
      <vt:variant>
        <vt:i4>2687029</vt:i4>
      </vt:variant>
      <vt:variant>
        <vt:i4>813</vt:i4>
      </vt:variant>
      <vt:variant>
        <vt:i4>0</vt:i4>
      </vt:variant>
      <vt:variant>
        <vt:i4>5</vt:i4>
      </vt:variant>
      <vt:variant>
        <vt:lpwstr>https://www.destatis.de/EN/Themes/Society-Environment/Environment/Water-Management/Tables/tw-08-charges-for-drinking-water-tariff-areas-2020-2022.html</vt:lpwstr>
      </vt:variant>
      <vt:variant>
        <vt:lpwstr>fussnote-3-643118</vt:lpwstr>
      </vt:variant>
      <vt:variant>
        <vt:i4>3735584</vt:i4>
      </vt:variant>
      <vt:variant>
        <vt:i4>810</vt:i4>
      </vt:variant>
      <vt:variant>
        <vt:i4>0</vt:i4>
      </vt:variant>
      <vt:variant>
        <vt:i4>5</vt:i4>
      </vt:variant>
      <vt:variant>
        <vt:lpwstr>https://www.bwb.de/en/1720.php</vt:lpwstr>
      </vt:variant>
      <vt:variant>
        <vt:lpwstr/>
      </vt:variant>
      <vt:variant>
        <vt:i4>2228287</vt:i4>
      </vt:variant>
      <vt:variant>
        <vt:i4>807</vt:i4>
      </vt:variant>
      <vt:variant>
        <vt:i4>0</vt:i4>
      </vt:variant>
      <vt:variant>
        <vt:i4>5</vt:i4>
      </vt:variant>
      <vt:variant>
        <vt:lpwstr>https://www.destatis.de/EN/Themes/Society-Environment/Environment/Water-Management/Tables/tw-08-charges-for-drinking-water-tariff-areas-2020-2022.html</vt:lpwstr>
      </vt:variant>
      <vt:variant>
        <vt:lpwstr/>
      </vt:variant>
      <vt:variant>
        <vt:i4>4849684</vt:i4>
      </vt:variant>
      <vt:variant>
        <vt:i4>804</vt:i4>
      </vt:variant>
      <vt:variant>
        <vt:i4>0</vt:i4>
      </vt:variant>
      <vt:variant>
        <vt:i4>5</vt:i4>
      </vt:variant>
      <vt:variant>
        <vt:lpwstr>https://icapcarbonaction.com/en/ets/german-national-emissions-trading-system</vt:lpwstr>
      </vt:variant>
      <vt:variant>
        <vt:lpwstr/>
      </vt:variant>
      <vt:variant>
        <vt:i4>7667755</vt:i4>
      </vt:variant>
      <vt:variant>
        <vt:i4>801</vt:i4>
      </vt:variant>
      <vt:variant>
        <vt:i4>0</vt:i4>
      </vt:variant>
      <vt:variant>
        <vt:i4>5</vt:i4>
      </vt:variant>
      <vt:variant>
        <vt:lpwstr>https://www.bundesregierung.de/breg-de/aktuelles/co2-preis-kohle-abfallbrennstoffe-2061622</vt:lpwstr>
      </vt:variant>
      <vt:variant>
        <vt:lpwstr/>
      </vt:variant>
      <vt:variant>
        <vt:i4>7667746</vt:i4>
      </vt:variant>
      <vt:variant>
        <vt:i4>798</vt:i4>
      </vt:variant>
      <vt:variant>
        <vt:i4>0</vt:i4>
      </vt:variant>
      <vt:variant>
        <vt:i4>5</vt:i4>
      </vt:variant>
      <vt:variant>
        <vt:lpwstr>https://www.destatis.de/EN/Themes/Society-Environment/Environment/Environmental-Economic-Accounting/taxes-other-duties/environment-related-tax-revenue.html</vt:lpwstr>
      </vt:variant>
      <vt:variant>
        <vt:lpwstr/>
      </vt:variant>
      <vt:variant>
        <vt:i4>458797</vt:i4>
      </vt:variant>
      <vt:variant>
        <vt:i4>795</vt:i4>
      </vt:variant>
      <vt:variant>
        <vt:i4>0</vt:i4>
      </vt:variant>
      <vt:variant>
        <vt:i4>5</vt:i4>
      </vt:variant>
      <vt:variant>
        <vt:lpwstr>https://www.destatis.de/EN/Themes/Society-Environment/Environment/Environmental-Economic-Accounting/taxes-other-duties/_node.html</vt:lpwstr>
      </vt:variant>
      <vt:variant>
        <vt:lpwstr>475172</vt:lpwstr>
      </vt:variant>
      <vt:variant>
        <vt:i4>4391031</vt:i4>
      </vt:variant>
      <vt:variant>
        <vt:i4>792</vt:i4>
      </vt:variant>
      <vt:variant>
        <vt:i4>0</vt:i4>
      </vt:variant>
      <vt:variant>
        <vt:i4>5</vt:i4>
      </vt:variant>
      <vt:variant>
        <vt:lpwstr>https://economy-finance.ec.europa.eu/document/download/9f4d2810-f2df-4b16-8eb8-7189923a7622_en?filename=FR_CR_SWD_2025_210_1_EN_autre_document_travail_service_part1_v3.pdf</vt:lpwstr>
      </vt:variant>
      <vt:variant>
        <vt:lpwstr/>
      </vt:variant>
      <vt:variant>
        <vt:i4>65564</vt:i4>
      </vt:variant>
      <vt:variant>
        <vt:i4>789</vt:i4>
      </vt:variant>
      <vt:variant>
        <vt:i4>0</vt:i4>
      </vt:variant>
      <vt:variant>
        <vt:i4>5</vt:i4>
      </vt:variant>
      <vt:variant>
        <vt:lpwstr>https://data.europa.eu/doi/10.2779/392014</vt:lpwstr>
      </vt:variant>
      <vt:variant>
        <vt:lpwstr/>
      </vt:variant>
      <vt:variant>
        <vt:i4>4391031</vt:i4>
      </vt:variant>
      <vt:variant>
        <vt:i4>786</vt:i4>
      </vt:variant>
      <vt:variant>
        <vt:i4>0</vt:i4>
      </vt:variant>
      <vt:variant>
        <vt:i4>5</vt:i4>
      </vt:variant>
      <vt:variant>
        <vt:lpwstr>https://economy-finance.ec.europa.eu/document/download/9f4d2810-f2df-4b16-8eb8-7189923a7622_en?filename=FR_CR_SWD_2025_210_1_EN_autre_document_travail_service_part1_v3.pdf</vt:lpwstr>
      </vt:variant>
      <vt:variant>
        <vt:lpwstr/>
      </vt:variant>
      <vt:variant>
        <vt:i4>3604553</vt:i4>
      </vt:variant>
      <vt:variant>
        <vt:i4>783</vt:i4>
      </vt:variant>
      <vt:variant>
        <vt:i4>0</vt:i4>
      </vt:variant>
      <vt:variant>
        <vt:i4>5</vt:i4>
      </vt:variant>
      <vt:variant>
        <vt:lpwstr>https://www.iges.or.jp/en/publication_documents/pub/workingpaper/en/5983/The_Rise_of_Carbon_</vt:lpwstr>
      </vt:variant>
      <vt:variant>
        <vt:lpwstr/>
      </vt:variant>
      <vt:variant>
        <vt:i4>4391031</vt:i4>
      </vt:variant>
      <vt:variant>
        <vt:i4>780</vt:i4>
      </vt:variant>
      <vt:variant>
        <vt:i4>0</vt:i4>
      </vt:variant>
      <vt:variant>
        <vt:i4>5</vt:i4>
      </vt:variant>
      <vt:variant>
        <vt:lpwstr>https://economy-finance.ec.europa.eu/document/download/9f4d2810-f2df-4b16-8eb8-7189923a7622_en?filename=FR_CR_SWD_2025_210_1_EN_autre_document_travail_service_part1_v3.pdf</vt:lpwstr>
      </vt:variant>
      <vt:variant>
        <vt:lpwstr/>
      </vt:variant>
      <vt:variant>
        <vt:i4>5570654</vt:i4>
      </vt:variant>
      <vt:variant>
        <vt:i4>777</vt:i4>
      </vt:variant>
      <vt:variant>
        <vt:i4>0</vt:i4>
      </vt:variant>
      <vt:variant>
        <vt:i4>5</vt:i4>
      </vt:variant>
      <vt:variant>
        <vt:lpwstr>https://environment/</vt:lpwstr>
      </vt:variant>
      <vt:variant>
        <vt:lpwstr/>
      </vt:variant>
      <vt:variant>
        <vt:i4>458842</vt:i4>
      </vt:variant>
      <vt:variant>
        <vt:i4>771</vt:i4>
      </vt:variant>
      <vt:variant>
        <vt:i4>0</vt:i4>
      </vt:variant>
      <vt:variant>
        <vt:i4>5</vt:i4>
      </vt:variant>
      <vt:variant>
        <vt:lpwstr>https://ieep.eu/wp-content/uploads/2022/12/FR-Water-Abstraction-Charges-final.pdf</vt:lpwstr>
      </vt:variant>
      <vt:variant>
        <vt:lpwstr/>
      </vt:variant>
      <vt:variant>
        <vt:i4>3604601</vt:i4>
      </vt:variant>
      <vt:variant>
        <vt:i4>768</vt:i4>
      </vt:variant>
      <vt:variant>
        <vt:i4>0</vt:i4>
      </vt:variant>
      <vt:variant>
        <vt:i4>5</vt:i4>
      </vt:variant>
      <vt:variant>
        <vt:lpwstr>https://pub.norden.org/temanord2024-524/2-legislative-frameworks-and-circular-economy-impacts.html</vt:lpwstr>
      </vt:variant>
      <vt:variant>
        <vt:lpwstr/>
      </vt:variant>
      <vt:variant>
        <vt:i4>5832707</vt:i4>
      </vt:variant>
      <vt:variant>
        <vt:i4>765</vt:i4>
      </vt:variant>
      <vt:variant>
        <vt:i4>0</vt:i4>
      </vt:variant>
      <vt:variant>
        <vt:i4>5</vt:i4>
      </vt:variant>
      <vt:variant>
        <vt:lpwstr>https://ex-tax.com/wp-content/uploads/2019/09/Aligning_Fiscal_Policy_with_the_Circular_Economy_Roadmap_in_Finland_Extax_Sitra_GBE_IEEP_Final_report_final-08-01-19.pdf</vt:lpwstr>
      </vt:variant>
      <vt:variant>
        <vt:lpwstr/>
      </vt:variant>
      <vt:variant>
        <vt:i4>262206</vt:i4>
      </vt:variant>
      <vt:variant>
        <vt:i4>762</vt:i4>
      </vt:variant>
      <vt:variant>
        <vt:i4>0</vt:i4>
      </vt:variant>
      <vt:variant>
        <vt:i4>5</vt:i4>
      </vt:variant>
      <vt:variant>
        <vt:lpwstr>https://valtioneuvosto.fi/en/governments/government-programme</vt:lpwstr>
      </vt:variant>
      <vt:variant>
        <vt:lpwstr>/</vt:lpwstr>
      </vt:variant>
      <vt:variant>
        <vt:i4>7929973</vt:i4>
      </vt:variant>
      <vt:variant>
        <vt:i4>759</vt:i4>
      </vt:variant>
      <vt:variant>
        <vt:i4>0</vt:i4>
      </vt:variant>
      <vt:variant>
        <vt:i4>5</vt:i4>
      </vt:variant>
      <vt:variant>
        <vt:lpwstr>https://julkaisut.valtioneuvosto.fi/bitstream/handle/10024/161935/VN_2019_33.pdf</vt:lpwstr>
      </vt:variant>
      <vt:variant>
        <vt:lpwstr/>
      </vt:variant>
      <vt:variant>
        <vt:i4>5439581</vt:i4>
      </vt:variant>
      <vt:variant>
        <vt:i4>756</vt:i4>
      </vt:variant>
      <vt:variant>
        <vt:i4>0</vt:i4>
      </vt:variant>
      <vt:variant>
        <vt:i4>5</vt:i4>
      </vt:variant>
      <vt:variant>
        <vt:lpwstr>http://files.foes.de/de/downloads/tagungvilm2005/scandinaviastudy.pdf</vt:lpwstr>
      </vt:variant>
      <vt:variant>
        <vt:lpwstr/>
      </vt:variant>
      <vt:variant>
        <vt:i4>7012450</vt:i4>
      </vt:variant>
      <vt:variant>
        <vt:i4>753</vt:i4>
      </vt:variant>
      <vt:variant>
        <vt:i4>0</vt:i4>
      </vt:variant>
      <vt:variant>
        <vt:i4>5</vt:i4>
      </vt:variant>
      <vt:variant>
        <vt:lpwstr>https://pub.norden.org/temanord2025-523/temanord2025-523.pdf</vt:lpwstr>
      </vt:variant>
      <vt:variant>
        <vt:lpwstr>:~:text=The%20tax%20on%20pesticides%20in%20Finland%20is,pesticides%20was%20designed%20at%203.5%%2C%20with%20no</vt:lpwstr>
      </vt:variant>
      <vt:variant>
        <vt:i4>786536</vt:i4>
      </vt:variant>
      <vt:variant>
        <vt:i4>750</vt:i4>
      </vt:variant>
      <vt:variant>
        <vt:i4>0</vt:i4>
      </vt:variant>
      <vt:variant>
        <vt:i4>5</vt:i4>
      </vt:variant>
      <vt:variant>
        <vt:lpwstr>https://tukes.fi/en/chemicals/submitting-information-on-chemicals?utm_</vt:lpwstr>
      </vt:variant>
      <vt:variant>
        <vt:lpwstr/>
      </vt:variant>
      <vt:variant>
        <vt:i4>1507421</vt:i4>
      </vt:variant>
      <vt:variant>
        <vt:i4>747</vt:i4>
      </vt:variant>
      <vt:variant>
        <vt:i4>0</vt:i4>
      </vt:variant>
      <vt:variant>
        <vt:i4>5</vt:i4>
      </vt:variant>
      <vt:variant>
        <vt:lpwstr>https://faolex.fao.org/docs/pdf/fin180631.pdf</vt:lpwstr>
      </vt:variant>
      <vt:variant>
        <vt:lpwstr/>
      </vt:variant>
      <vt:variant>
        <vt:i4>3080260</vt:i4>
      </vt:variant>
      <vt:variant>
        <vt:i4>744</vt:i4>
      </vt:variant>
      <vt:variant>
        <vt:i4>0</vt:i4>
      </vt:variant>
      <vt:variant>
        <vt:i4>5</vt:i4>
      </vt:variant>
      <vt:variant>
        <vt:lpwstr>https://leap.unep.org/en/countries/fi/national-legislation/act-environmental-protection-maritime-transport-no-1672-2009?utm_</vt:lpwstr>
      </vt:variant>
      <vt:variant>
        <vt:lpwstr/>
      </vt:variant>
      <vt:variant>
        <vt:i4>1310751</vt:i4>
      </vt:variant>
      <vt:variant>
        <vt:i4>741</vt:i4>
      </vt:variant>
      <vt:variant>
        <vt:i4>0</vt:i4>
      </vt:variant>
      <vt:variant>
        <vt:i4>5</vt:i4>
      </vt:variant>
      <vt:variant>
        <vt:lpwstr>https://onlinelibrary.wiley.com/doi/full/10.1155/2014/457372?utm_</vt:lpwstr>
      </vt:variant>
      <vt:variant>
        <vt:lpwstr/>
      </vt:variant>
      <vt:variant>
        <vt:i4>2162721</vt:i4>
      </vt:variant>
      <vt:variant>
        <vt:i4>738</vt:i4>
      </vt:variant>
      <vt:variant>
        <vt:i4>0</vt:i4>
      </vt:variant>
      <vt:variant>
        <vt:i4>5</vt:i4>
      </vt:variant>
      <vt:variant>
        <vt:lpwstr>https://www.rengaskierratys.com/en/about_us?utm_</vt:lpwstr>
      </vt:variant>
      <vt:variant>
        <vt:lpwstr/>
      </vt:variant>
      <vt:variant>
        <vt:i4>6946921</vt:i4>
      </vt:variant>
      <vt:variant>
        <vt:i4>735</vt:i4>
      </vt:variant>
      <vt:variant>
        <vt:i4>0</vt:i4>
      </vt:variant>
      <vt:variant>
        <vt:i4>5</vt:i4>
      </vt:variant>
      <vt:variant>
        <vt:lpwstr>https://finlex.fi/api/media/statute-foreign-language-translation/123999/mainPdf/main.pdf?timestamp=2011-06-17T00%3A00%3A00.000Z</vt:lpwstr>
      </vt:variant>
      <vt:variant>
        <vt:lpwstr/>
      </vt:variant>
      <vt:variant>
        <vt:i4>3801191</vt:i4>
      </vt:variant>
      <vt:variant>
        <vt:i4>732</vt:i4>
      </vt:variant>
      <vt:variant>
        <vt:i4>0</vt:i4>
      </vt:variant>
      <vt:variant>
        <vt:i4>5</vt:i4>
      </vt:variant>
      <vt:variant>
        <vt:lpwstr>https://faolex.fao.org/docs/pdf/fin197264S.pdf</vt:lpwstr>
      </vt:variant>
      <vt:variant>
        <vt:lpwstr/>
      </vt:variant>
      <vt:variant>
        <vt:i4>7471136</vt:i4>
      </vt:variant>
      <vt:variant>
        <vt:i4>729</vt:i4>
      </vt:variant>
      <vt:variant>
        <vt:i4>0</vt:i4>
      </vt:variant>
      <vt:variant>
        <vt:i4>5</vt:i4>
      </vt:variant>
      <vt:variant>
        <vt:lpwstr>https://www.vesi.fi/en/water-topics/why-do-we-pay-water-rates/</vt:lpwstr>
      </vt:variant>
      <vt:variant>
        <vt:lpwstr>:~:text=Two%20types%20of%20rates%20are%20charged%20to,fees%20and%20those%20based%20on%20water%20consumption.&amp;text=The%20basic%20rate%20covers%20the%20maintenance%20of,water%20and%20supplying%20it%20to%20the%20consumer</vt:lpwstr>
      </vt:variant>
      <vt:variant>
        <vt:i4>3080241</vt:i4>
      </vt:variant>
      <vt:variant>
        <vt:i4>726</vt:i4>
      </vt:variant>
      <vt:variant>
        <vt:i4>0</vt:i4>
      </vt:variant>
      <vt:variant>
        <vt:i4>5</vt:i4>
      </vt:variant>
      <vt:variant>
        <vt:lpwstr>https://avi.fi/en/services/businesses/guidance-and-advice/water-and-the-environment</vt:lpwstr>
      </vt:variant>
      <vt:variant>
        <vt:lpwstr/>
      </vt:variant>
      <vt:variant>
        <vt:i4>3932193</vt:i4>
      </vt:variant>
      <vt:variant>
        <vt:i4>723</vt:i4>
      </vt:variant>
      <vt:variant>
        <vt:i4>0</vt:i4>
      </vt:variant>
      <vt:variant>
        <vt:i4>5</vt:i4>
      </vt:variant>
      <vt:variant>
        <vt:lpwstr>https://www.ielrc.org/content/e0107.pdf</vt:lpwstr>
      </vt:variant>
      <vt:variant>
        <vt:lpwstr/>
      </vt:variant>
      <vt:variant>
        <vt:i4>7929897</vt:i4>
      </vt:variant>
      <vt:variant>
        <vt:i4>720</vt:i4>
      </vt:variant>
      <vt:variant>
        <vt:i4>0</vt:i4>
      </vt:variant>
      <vt:variant>
        <vt:i4>5</vt:i4>
      </vt:variant>
      <vt:variant>
        <vt:lpwstr>https://www.vero.fi/en/businesses-and-corporations/taxes-and-charges/excise-taxation/tax-on-mined-minerals/</vt:lpwstr>
      </vt:variant>
      <vt:variant>
        <vt:lpwstr>:~:text=The%20new%20tax%20went%20into,exploitation%20of%20non%2Drenewable%20resources</vt:lpwstr>
      </vt:variant>
      <vt:variant>
        <vt:i4>1572962</vt:i4>
      </vt:variant>
      <vt:variant>
        <vt:i4>717</vt:i4>
      </vt:variant>
      <vt:variant>
        <vt:i4>0</vt:i4>
      </vt:variant>
      <vt:variant>
        <vt:i4>5</vt:i4>
      </vt:variant>
      <vt:variant>
        <vt:lpwstr>https://www.oecd.org/content/dam/oecd/en/publications/reports/1998/02/the-environmental-effects-of-reforming-agricultural-policies_g1gh1770/9789264162440-en.pdf</vt:lpwstr>
      </vt:variant>
      <vt:variant>
        <vt:lpwstr/>
      </vt:variant>
      <vt:variant>
        <vt:i4>8061054</vt:i4>
      </vt:variant>
      <vt:variant>
        <vt:i4>714</vt:i4>
      </vt:variant>
      <vt:variant>
        <vt:i4>0</vt:i4>
      </vt:variant>
      <vt:variant>
        <vt:i4>5</vt:i4>
      </vt:variant>
      <vt:variant>
        <vt:lpwstr>https://ym.fi/en/environmental-damage-fund</vt:lpwstr>
      </vt:variant>
      <vt:variant>
        <vt:lpwstr/>
      </vt:variant>
      <vt:variant>
        <vt:i4>4128876</vt:i4>
      </vt:variant>
      <vt:variant>
        <vt:i4>711</vt:i4>
      </vt:variant>
      <vt:variant>
        <vt:i4>0</vt:i4>
      </vt:variant>
      <vt:variant>
        <vt:i4>5</vt:i4>
      </vt:variant>
      <vt:variant>
        <vt:lpwstr>https://leap.unep.org/en/countries/fi/national-legislation/act-oil-pollution-compensation-fund-no-379-1974</vt:lpwstr>
      </vt:variant>
      <vt:variant>
        <vt:lpwstr/>
      </vt:variant>
      <vt:variant>
        <vt:i4>1376269</vt:i4>
      </vt:variant>
      <vt:variant>
        <vt:i4>708</vt:i4>
      </vt:variant>
      <vt:variant>
        <vt:i4>0</vt:i4>
      </vt:variant>
      <vt:variant>
        <vt:i4>5</vt:i4>
      </vt:variant>
      <vt:variant>
        <vt:lpwstr>https://valtioneuvosto.fi/-/1410903/ymparistoalan-ja-valtion-valinen-sopimus-edistaa-oljyjatteen-keraysta-ja-kierratysta</vt:lpwstr>
      </vt:variant>
      <vt:variant>
        <vt:lpwstr/>
      </vt:variant>
      <vt:variant>
        <vt:i4>4915227</vt:i4>
      </vt:variant>
      <vt:variant>
        <vt:i4>705</vt:i4>
      </vt:variant>
      <vt:variant>
        <vt:i4>0</vt:i4>
      </vt:variant>
      <vt:variant>
        <vt:i4>5</vt:i4>
      </vt:variant>
      <vt:variant>
        <vt:lpwstr>https://julkaisut.valtioneuvosto.fi/bitstream/handle/10024/162104/YM_2020_06.pdf?sequence=1&amp;isAllowed=y</vt:lpwstr>
      </vt:variant>
      <vt:variant>
        <vt:lpwstr/>
      </vt:variant>
      <vt:variant>
        <vt:i4>2293809</vt:i4>
      </vt:variant>
      <vt:variant>
        <vt:i4>702</vt:i4>
      </vt:variant>
      <vt:variant>
        <vt:i4>0</vt:i4>
      </vt:variant>
      <vt:variant>
        <vt:i4>5</vt:i4>
      </vt:variant>
      <vt:variant>
        <vt:lpwstr>https://www.luke.fi/en/news/number-of-active-hunters-decreased-in-2023</vt:lpwstr>
      </vt:variant>
      <vt:variant>
        <vt:lpwstr/>
      </vt:variant>
      <vt:variant>
        <vt:i4>1769555</vt:i4>
      </vt:variant>
      <vt:variant>
        <vt:i4>699</vt:i4>
      </vt:variant>
      <vt:variant>
        <vt:i4>0</vt:i4>
      </vt:variant>
      <vt:variant>
        <vt:i4>5</vt:i4>
      </vt:variant>
      <vt:variant>
        <vt:lpwstr>https://faolex.fao.org/docs/pdf/fin169562.pdf</vt:lpwstr>
      </vt:variant>
      <vt:variant>
        <vt:lpwstr/>
      </vt:variant>
      <vt:variant>
        <vt:i4>4325402</vt:i4>
      </vt:variant>
      <vt:variant>
        <vt:i4>696</vt:i4>
      </vt:variant>
      <vt:variant>
        <vt:i4>0</vt:i4>
      </vt:variant>
      <vt:variant>
        <vt:i4>5</vt:i4>
      </vt:variant>
      <vt:variant>
        <vt:lpwstr>https://fishinginfinland.fi/fishing-permits/</vt:lpwstr>
      </vt:variant>
      <vt:variant>
        <vt:lpwstr/>
      </vt:variant>
      <vt:variant>
        <vt:i4>1638430</vt:i4>
      </vt:variant>
      <vt:variant>
        <vt:i4>693</vt:i4>
      </vt:variant>
      <vt:variant>
        <vt:i4>0</vt:i4>
      </vt:variant>
      <vt:variant>
        <vt:i4>5</vt:i4>
      </vt:variant>
      <vt:variant>
        <vt:lpwstr>https://www.finlex.fi/api/media/statute-foreign-language-translation/244798/mainPdf/main.pdf?timestamp=1993-06-28T00%3A00%3A00.000Z&amp;</vt:lpwstr>
      </vt:variant>
      <vt:variant>
        <vt:lpwstr/>
      </vt:variant>
      <vt:variant>
        <vt:i4>4653111</vt:i4>
      </vt:variant>
      <vt:variant>
        <vt:i4>690</vt:i4>
      </vt:variant>
      <vt:variant>
        <vt:i4>0</vt:i4>
      </vt:variant>
      <vt:variant>
        <vt:i4>5</vt:i4>
      </vt:variant>
      <vt:variant>
        <vt:lpwstr>https://riista.fi/wp-content/uploads/2023/10/suomi_-riistamaana_2023_eng_03.pdf?utm_</vt:lpwstr>
      </vt:variant>
      <vt:variant>
        <vt:lpwstr/>
      </vt:variant>
      <vt:variant>
        <vt:i4>3473442</vt:i4>
      </vt:variant>
      <vt:variant>
        <vt:i4>687</vt:i4>
      </vt:variant>
      <vt:variant>
        <vt:i4>0</vt:i4>
      </vt:variant>
      <vt:variant>
        <vt:i4>5</vt:i4>
      </vt:variant>
      <vt:variant>
        <vt:lpwstr>https://data.europa.eu/doi/10.2779/773</vt:lpwstr>
      </vt:variant>
      <vt:variant>
        <vt:lpwstr/>
      </vt:variant>
      <vt:variant>
        <vt:i4>6029317</vt:i4>
      </vt:variant>
      <vt:variant>
        <vt:i4>684</vt:i4>
      </vt:variant>
      <vt:variant>
        <vt:i4>0</vt:i4>
      </vt:variant>
      <vt:variant>
        <vt:i4>5</vt:i4>
      </vt:variant>
      <vt:variant>
        <vt:lpwstr>https://ieep.eu/wp-content/uploads/2022/12/FI-Deposit-Refund-Scheme-final.pdf</vt:lpwstr>
      </vt:variant>
      <vt:variant>
        <vt:lpwstr/>
      </vt:variant>
      <vt:variant>
        <vt:i4>2949227</vt:i4>
      </vt:variant>
      <vt:variant>
        <vt:i4>681</vt:i4>
      </vt:variant>
      <vt:variant>
        <vt:i4>0</vt:i4>
      </vt:variant>
      <vt:variant>
        <vt:i4>5</vt:i4>
      </vt:variant>
      <vt:variant>
        <vt:lpwstr>https://www.ymparisto.fi/en/state-environment/circular-economy/waste-and-recycling</vt:lpwstr>
      </vt:variant>
      <vt:variant>
        <vt:lpwstr/>
      </vt:variant>
      <vt:variant>
        <vt:i4>6553709</vt:i4>
      </vt:variant>
      <vt:variant>
        <vt:i4>678</vt:i4>
      </vt:variant>
      <vt:variant>
        <vt:i4>0</vt:i4>
      </vt:variant>
      <vt:variant>
        <vt:i4>5</vt:i4>
      </vt:variant>
      <vt:variant>
        <vt:lpwstr>https://economy-finance.ec.europa.eu/document/download/7d853774-4ed7-4496-9bb3-c54d78ac3ea0_en?filename=2025_dbp_fi_en.pdf</vt:lpwstr>
      </vt:variant>
      <vt:variant>
        <vt:lpwstr/>
      </vt:variant>
      <vt:variant>
        <vt:i4>7471203</vt:i4>
      </vt:variant>
      <vt:variant>
        <vt:i4>675</vt:i4>
      </vt:variant>
      <vt:variant>
        <vt:i4>0</vt:i4>
      </vt:variant>
      <vt:variant>
        <vt:i4>5</vt:i4>
      </vt:variant>
      <vt:variant>
        <vt:lpwstr>https://ym.fi/en/strategic-programme-to-promote-a-circular-economy/circular-economy-incentives?utm_</vt:lpwstr>
      </vt:variant>
      <vt:variant>
        <vt:lpwstr/>
      </vt:variant>
      <vt:variant>
        <vt:i4>7733355</vt:i4>
      </vt:variant>
      <vt:variant>
        <vt:i4>672</vt:i4>
      </vt:variant>
      <vt:variant>
        <vt:i4>0</vt:i4>
      </vt:variant>
      <vt:variant>
        <vt:i4>5</vt:i4>
      </vt:variant>
      <vt:variant>
        <vt:lpwstr>https://ym.fi/documents/1410903/38678498/Jäteveroselvitys+kaatopaikalle+sijoitettavista+jätteistä.+Taustamuistio+9.11.2020.pdf/ac6dd988-34cc-05f4-7221-8f9908f59a9a/Jäteveroselvitys+kaatopaikalle+sijoitettavista+jätteistä.+Taustamuistio+9.11.2020.pdf?t=1605094912038</vt:lpwstr>
      </vt:variant>
      <vt:variant>
        <vt:lpwstr>:~:text=Jäteveroa%20maksetaan%20kaatopaikalle%20toimitettavasta%20jätteestä,lisääntyy%20ja%20kaatopaikalle%20sijoittaminen%20vähenee</vt:lpwstr>
      </vt:variant>
      <vt:variant>
        <vt:i4>5046364</vt:i4>
      </vt:variant>
      <vt:variant>
        <vt:i4>669</vt:i4>
      </vt:variant>
      <vt:variant>
        <vt:i4>0</vt:i4>
      </vt:variant>
      <vt:variant>
        <vt:i4>5</vt:i4>
      </vt:variant>
      <vt:variant>
        <vt:lpwstr>https://www.eea.europa.eu/publications/many-eu-member-states/finland</vt:lpwstr>
      </vt:variant>
      <vt:variant>
        <vt:lpwstr/>
      </vt:variant>
      <vt:variant>
        <vt:i4>4980807</vt:i4>
      </vt:variant>
      <vt:variant>
        <vt:i4>666</vt:i4>
      </vt:variant>
      <vt:variant>
        <vt:i4>0</vt:i4>
      </vt:variant>
      <vt:variant>
        <vt:i4>5</vt:i4>
      </vt:variant>
      <vt:variant>
        <vt:lpwstr>https://www.vero.fi/syventavat-vero-ohjeet/ohje-hakusivu/56196/jateverotu/</vt:lpwstr>
      </vt:variant>
      <vt:variant>
        <vt:lpwstr>:~:text=Kaatopaikoille%20toimitetuista%20j%C3%A4tteist%C3%A4%20on%20suoritettava,kantamisesta%20ja%20valvonnasta%20huolehtii%20Verohallinto</vt:lpwstr>
      </vt:variant>
      <vt:variant>
        <vt:i4>2162795</vt:i4>
      </vt:variant>
      <vt:variant>
        <vt:i4>663</vt:i4>
      </vt:variant>
      <vt:variant>
        <vt:i4>0</vt:i4>
      </vt:variant>
      <vt:variant>
        <vt:i4>5</vt:i4>
      </vt:variant>
      <vt:variant>
        <vt:lpwstr>https://finlex.fi/fi/lainsaadanto/2010/1126</vt:lpwstr>
      </vt:variant>
      <vt:variant>
        <vt:lpwstr>OT17</vt:lpwstr>
      </vt:variant>
      <vt:variant>
        <vt:i4>2162730</vt:i4>
      </vt:variant>
      <vt:variant>
        <vt:i4>660</vt:i4>
      </vt:variant>
      <vt:variant>
        <vt:i4>0</vt:i4>
      </vt:variant>
      <vt:variant>
        <vt:i4>5</vt:i4>
      </vt:variant>
      <vt:variant>
        <vt:lpwstr>https://finlex.fi/fi/lainsaadanto/1996/495</vt:lpwstr>
      </vt:variant>
      <vt:variant>
        <vt:lpwstr>sec_6__subsec_1</vt:lpwstr>
      </vt:variant>
      <vt:variant>
        <vt:i4>3473440</vt:i4>
      </vt:variant>
      <vt:variant>
        <vt:i4>657</vt:i4>
      </vt:variant>
      <vt:variant>
        <vt:i4>0</vt:i4>
      </vt:variant>
      <vt:variant>
        <vt:i4>5</vt:i4>
      </vt:variant>
      <vt:variant>
        <vt:lpwstr>https://data.europa.eu/doi/10.2779/3575</vt:lpwstr>
      </vt:variant>
      <vt:variant>
        <vt:lpwstr/>
      </vt:variant>
      <vt:variant>
        <vt:i4>1507336</vt:i4>
      </vt:variant>
      <vt:variant>
        <vt:i4>654</vt:i4>
      </vt:variant>
      <vt:variant>
        <vt:i4>0</vt:i4>
      </vt:variant>
      <vt:variant>
        <vt:i4>5</vt:i4>
      </vt:variant>
      <vt:variant>
        <vt:lpwstr>https://commission.europa.eu/document/download/771b483b-1bd0-4b5c-8d6a-624a4fd11050_en?filename=COM_2025_206_1_EN_ACT_part1_v3.pdf</vt:lpwstr>
      </vt:variant>
      <vt:variant>
        <vt:lpwstr/>
      </vt:variant>
      <vt:variant>
        <vt:i4>1507336</vt:i4>
      </vt:variant>
      <vt:variant>
        <vt:i4>651</vt:i4>
      </vt:variant>
      <vt:variant>
        <vt:i4>0</vt:i4>
      </vt:variant>
      <vt:variant>
        <vt:i4>5</vt:i4>
      </vt:variant>
      <vt:variant>
        <vt:lpwstr>https://commission.europa.eu/document/download/771b483b-1bd0-4b5c-8d6a-624a4fd11050_en?filename=COM_2025_206_1_EN_ACT_part1_v3.pdf</vt:lpwstr>
      </vt:variant>
      <vt:variant>
        <vt:lpwstr/>
      </vt:variant>
      <vt:variant>
        <vt:i4>655364</vt:i4>
      </vt:variant>
      <vt:variant>
        <vt:i4>648</vt:i4>
      </vt:variant>
      <vt:variant>
        <vt:i4>0</vt:i4>
      </vt:variant>
      <vt:variant>
        <vt:i4>5</vt:i4>
      </vt:variant>
      <vt:variant>
        <vt:lpwstr>https://www.dmu.dk/Pub/COMETR_Summary_Report.pdf</vt:lpwstr>
      </vt:variant>
      <vt:variant>
        <vt:lpwstr/>
      </vt:variant>
      <vt:variant>
        <vt:i4>6946856</vt:i4>
      </vt:variant>
      <vt:variant>
        <vt:i4>645</vt:i4>
      </vt:variant>
      <vt:variant>
        <vt:i4>0</vt:i4>
      </vt:variant>
      <vt:variant>
        <vt:i4>5</vt:i4>
      </vt:variant>
      <vt:variant>
        <vt:lpwstr>https://www.imf.org/en/Publications/WP/Issues/2020/11/12/Climate-Mitigation-Policy-in-Denmark-A-Prototype-for-Other-Countries-49882</vt:lpwstr>
      </vt:variant>
      <vt:variant>
        <vt:lpwstr/>
      </vt:variant>
      <vt:variant>
        <vt:i4>3735667</vt:i4>
      </vt:variant>
      <vt:variant>
        <vt:i4>642</vt:i4>
      </vt:variant>
      <vt:variant>
        <vt:i4>0</vt:i4>
      </vt:variant>
      <vt:variant>
        <vt:i4>5</vt:i4>
      </vt:variant>
      <vt:variant>
        <vt:lpwstr>https://www.mfat.govt.nz/en/trade/mfat-market-reports/a-green-denmark-first-country-to-tax-agricultural-emissions-november-2024</vt:lpwstr>
      </vt:variant>
      <vt:variant>
        <vt:lpwstr>:~:text=Denmark%20will%20tax%20livestock%20farmers%20for%20the%20greenhouse,gas%20emissions%20and%20their%20contribution%20to%20global%20warming</vt:lpwstr>
      </vt:variant>
      <vt:variant>
        <vt:i4>4849751</vt:i4>
      </vt:variant>
      <vt:variant>
        <vt:i4>639</vt:i4>
      </vt:variant>
      <vt:variant>
        <vt:i4>0</vt:i4>
      </vt:variant>
      <vt:variant>
        <vt:i4>5</vt:i4>
      </vt:variant>
      <vt:variant>
        <vt:lpwstr>https://commission.europa.eu/document/download/1273b8a0-2c62-40d3-a942-2775deb13fae_en?filename=COM_2025_204_1_EN_ACT_part1_v3.pdf</vt:lpwstr>
      </vt:variant>
      <vt:variant>
        <vt:lpwstr/>
      </vt:variant>
      <vt:variant>
        <vt:i4>3932187</vt:i4>
      </vt:variant>
      <vt:variant>
        <vt:i4>636</vt:i4>
      </vt:variant>
      <vt:variant>
        <vt:i4>0</vt:i4>
      </vt:variant>
      <vt:variant>
        <vt:i4>5</vt:i4>
      </vt:variant>
      <vt:variant>
        <vt:lpwstr>https://op.europa.eu/en/publication-detail/-/publication/250f8093-2e57-11ef-a61b-01aa75ed71a1/language-en?utm_source=chatgpt.com</vt:lpwstr>
      </vt:variant>
      <vt:variant>
        <vt:lpwstr/>
      </vt:variant>
      <vt:variant>
        <vt:i4>8061049</vt:i4>
      </vt:variant>
      <vt:variant>
        <vt:i4>633</vt:i4>
      </vt:variant>
      <vt:variant>
        <vt:i4>0</vt:i4>
      </vt:variant>
      <vt:variant>
        <vt:i4>5</vt:i4>
      </vt:variant>
      <vt:variant>
        <vt:lpwstr>https://skm.dk/media/aupa0hkn/green-tax-reform-first-interim-report.pdf</vt:lpwstr>
      </vt:variant>
      <vt:variant>
        <vt:lpwstr/>
      </vt:variant>
      <vt:variant>
        <vt:i4>4522058</vt:i4>
      </vt:variant>
      <vt:variant>
        <vt:i4>630</vt:i4>
      </vt:variant>
      <vt:variant>
        <vt:i4>0</vt:i4>
      </vt:variant>
      <vt:variant>
        <vt:i4>5</vt:i4>
      </vt:variant>
      <vt:variant>
        <vt:lpwstr>https://op.europa.eu/en/publication-detail/-/publication/2ac39da4-2e57-11ef-a61b-01aa75ed71a1/language-en</vt:lpwstr>
      </vt:variant>
      <vt:variant>
        <vt:lpwstr/>
      </vt:variant>
      <vt:variant>
        <vt:i4>262249</vt:i4>
      </vt:variant>
      <vt:variant>
        <vt:i4>627</vt:i4>
      </vt:variant>
      <vt:variant>
        <vt:i4>0</vt:i4>
      </vt:variant>
      <vt:variant>
        <vt:i4>5</vt:i4>
      </vt:variant>
      <vt:variant>
        <vt:lpwstr>https://commission.europa.eu/document/download/76974591-a57c-4eaa-8d5d-20a011009c9b_en?filename=com_2024_605_1_en.pdf</vt:lpwstr>
      </vt:variant>
      <vt:variant>
        <vt:lpwstr/>
      </vt:variant>
      <vt:variant>
        <vt:i4>65644</vt:i4>
      </vt:variant>
      <vt:variant>
        <vt:i4>624</vt:i4>
      </vt:variant>
      <vt:variant>
        <vt:i4>0</vt:i4>
      </vt:variant>
      <vt:variant>
        <vt:i4>5</vt:i4>
      </vt:variant>
      <vt:variant>
        <vt:lpwstr>https://www.oecd.org/en/publications/oecd-environmental-performance-reviews-denmark-2019_1eeec492-en.html</vt:lpwstr>
      </vt:variant>
      <vt:variant>
        <vt:lpwstr/>
      </vt:variant>
      <vt:variant>
        <vt:i4>65644</vt:i4>
      </vt:variant>
      <vt:variant>
        <vt:i4>621</vt:i4>
      </vt:variant>
      <vt:variant>
        <vt:i4>0</vt:i4>
      </vt:variant>
      <vt:variant>
        <vt:i4>5</vt:i4>
      </vt:variant>
      <vt:variant>
        <vt:lpwstr>https://www.oecd.org/en/publications/oecd-environmental-performance-reviews-denmark-2019_1eeec492-en.html</vt:lpwstr>
      </vt:variant>
      <vt:variant>
        <vt:lpwstr/>
      </vt:variant>
      <vt:variant>
        <vt:i4>4522058</vt:i4>
      </vt:variant>
      <vt:variant>
        <vt:i4>618</vt:i4>
      </vt:variant>
      <vt:variant>
        <vt:i4>0</vt:i4>
      </vt:variant>
      <vt:variant>
        <vt:i4>5</vt:i4>
      </vt:variant>
      <vt:variant>
        <vt:lpwstr>https://op.europa.eu/en/publication-detail/-/publication/2ac39da4-2e57-11ef-a61b-01aa75ed71a1/language-en</vt:lpwstr>
      </vt:variant>
      <vt:variant>
        <vt:lpwstr/>
      </vt:variant>
      <vt:variant>
        <vt:i4>8126515</vt:i4>
      </vt:variant>
      <vt:variant>
        <vt:i4>615</vt:i4>
      </vt:variant>
      <vt:variant>
        <vt:i4>0</vt:i4>
      </vt:variant>
      <vt:variant>
        <vt:i4>5</vt:i4>
      </vt:variant>
      <vt:variant>
        <vt:lpwstr>https://ieep.eu/publications/assessing-the-potential-for-environmental-fiscal-reform-in-the-eu-28/</vt:lpwstr>
      </vt:variant>
      <vt:variant>
        <vt:lpwstr/>
      </vt:variant>
      <vt:variant>
        <vt:i4>8126515</vt:i4>
      </vt:variant>
      <vt:variant>
        <vt:i4>612</vt:i4>
      </vt:variant>
      <vt:variant>
        <vt:i4>0</vt:i4>
      </vt:variant>
      <vt:variant>
        <vt:i4>5</vt:i4>
      </vt:variant>
      <vt:variant>
        <vt:lpwstr>https://ieep.eu/publications/assessing-the-potential-for-environmental-fiscal-reform-in-the-eu-28/</vt:lpwstr>
      </vt:variant>
      <vt:variant>
        <vt:lpwstr/>
      </vt:variant>
      <vt:variant>
        <vt:i4>4522058</vt:i4>
      </vt:variant>
      <vt:variant>
        <vt:i4>609</vt:i4>
      </vt:variant>
      <vt:variant>
        <vt:i4>0</vt:i4>
      </vt:variant>
      <vt:variant>
        <vt:i4>5</vt:i4>
      </vt:variant>
      <vt:variant>
        <vt:lpwstr>https://op.europa.eu/en/publication-detail/-/publication/2ac39da4-2e57-11ef-a61b-01aa75ed71a1/language-en</vt:lpwstr>
      </vt:variant>
      <vt:variant>
        <vt:lpwstr/>
      </vt:variant>
      <vt:variant>
        <vt:i4>65644</vt:i4>
      </vt:variant>
      <vt:variant>
        <vt:i4>606</vt:i4>
      </vt:variant>
      <vt:variant>
        <vt:i4>0</vt:i4>
      </vt:variant>
      <vt:variant>
        <vt:i4>5</vt:i4>
      </vt:variant>
      <vt:variant>
        <vt:lpwstr>https://www.oecd.org/en/publications/oecd-environmental-performance-reviews-denmark-2019_1eeec492-en.html</vt:lpwstr>
      </vt:variant>
      <vt:variant>
        <vt:lpwstr/>
      </vt:variant>
      <vt:variant>
        <vt:i4>2162720</vt:i4>
      </vt:variant>
      <vt:variant>
        <vt:i4>603</vt:i4>
      </vt:variant>
      <vt:variant>
        <vt:i4>0</vt:i4>
      </vt:variant>
      <vt:variant>
        <vt:i4>5</vt:i4>
      </vt:variant>
      <vt:variant>
        <vt:lpwstr>https://skm.dk/media/tngh1b4r/green-tax-reform-final-report.pdf</vt:lpwstr>
      </vt:variant>
      <vt:variant>
        <vt:lpwstr/>
      </vt:variant>
      <vt:variant>
        <vt:i4>8126515</vt:i4>
      </vt:variant>
      <vt:variant>
        <vt:i4>600</vt:i4>
      </vt:variant>
      <vt:variant>
        <vt:i4>0</vt:i4>
      </vt:variant>
      <vt:variant>
        <vt:i4>5</vt:i4>
      </vt:variant>
      <vt:variant>
        <vt:lpwstr>https://ieep.eu/publications/assessing-the-potential-for-environmental-fiscal-reform-in-the-eu-28/</vt:lpwstr>
      </vt:variant>
      <vt:variant>
        <vt:lpwstr/>
      </vt:variant>
      <vt:variant>
        <vt:i4>65644</vt:i4>
      </vt:variant>
      <vt:variant>
        <vt:i4>597</vt:i4>
      </vt:variant>
      <vt:variant>
        <vt:i4>0</vt:i4>
      </vt:variant>
      <vt:variant>
        <vt:i4>5</vt:i4>
      </vt:variant>
      <vt:variant>
        <vt:lpwstr>https://www.oecd.org/en/publications/oecd-environmental-performance-reviews-denmark-2019_1eeec492-en.html</vt:lpwstr>
      </vt:variant>
      <vt:variant>
        <vt:lpwstr/>
      </vt:variant>
      <vt:variant>
        <vt:i4>65644</vt:i4>
      </vt:variant>
      <vt:variant>
        <vt:i4>594</vt:i4>
      </vt:variant>
      <vt:variant>
        <vt:i4>0</vt:i4>
      </vt:variant>
      <vt:variant>
        <vt:i4>5</vt:i4>
      </vt:variant>
      <vt:variant>
        <vt:lpwstr>https://www.oecd.org/en/publications/oecd-environmental-performance-reviews-denmark-2019_1eeec492-en.html</vt:lpwstr>
      </vt:variant>
      <vt:variant>
        <vt:lpwstr/>
      </vt:variant>
      <vt:variant>
        <vt:i4>65644</vt:i4>
      </vt:variant>
      <vt:variant>
        <vt:i4>591</vt:i4>
      </vt:variant>
      <vt:variant>
        <vt:i4>0</vt:i4>
      </vt:variant>
      <vt:variant>
        <vt:i4>5</vt:i4>
      </vt:variant>
      <vt:variant>
        <vt:lpwstr>https://www.oecd.org/en/publications/oecd-environmental-performance-reviews-denmark-2019_1eeec492-en.html</vt:lpwstr>
      </vt:variant>
      <vt:variant>
        <vt:lpwstr/>
      </vt:variant>
      <vt:variant>
        <vt:i4>8126515</vt:i4>
      </vt:variant>
      <vt:variant>
        <vt:i4>588</vt:i4>
      </vt:variant>
      <vt:variant>
        <vt:i4>0</vt:i4>
      </vt:variant>
      <vt:variant>
        <vt:i4>5</vt:i4>
      </vt:variant>
      <vt:variant>
        <vt:lpwstr>https://ieep.eu/publications/assessing-the-potential-for-environmental-fiscal-reform-in-the-eu-28/</vt:lpwstr>
      </vt:variant>
      <vt:variant>
        <vt:lpwstr/>
      </vt:variant>
      <vt:variant>
        <vt:i4>5439509</vt:i4>
      </vt:variant>
      <vt:variant>
        <vt:i4>585</vt:i4>
      </vt:variant>
      <vt:variant>
        <vt:i4>0</vt:i4>
      </vt:variant>
      <vt:variant>
        <vt:i4>5</vt:i4>
      </vt:variant>
      <vt:variant>
        <vt:lpwstr>https://doi.org/10.1016/j.jenvman.2024.120868</vt:lpwstr>
      </vt:variant>
      <vt:variant>
        <vt:lpwstr/>
      </vt:variant>
      <vt:variant>
        <vt:i4>65644</vt:i4>
      </vt:variant>
      <vt:variant>
        <vt:i4>582</vt:i4>
      </vt:variant>
      <vt:variant>
        <vt:i4>0</vt:i4>
      </vt:variant>
      <vt:variant>
        <vt:i4>5</vt:i4>
      </vt:variant>
      <vt:variant>
        <vt:lpwstr>https://www.oecd.org/en/publications/oecd-environmental-performance-reviews-denmark-2019_1eeec492-en.html</vt:lpwstr>
      </vt:variant>
      <vt:variant>
        <vt:lpwstr/>
      </vt:variant>
      <vt:variant>
        <vt:i4>8126515</vt:i4>
      </vt:variant>
      <vt:variant>
        <vt:i4>579</vt:i4>
      </vt:variant>
      <vt:variant>
        <vt:i4>0</vt:i4>
      </vt:variant>
      <vt:variant>
        <vt:i4>5</vt:i4>
      </vt:variant>
      <vt:variant>
        <vt:lpwstr>https://ieep.eu/publications/assessing-the-potential-for-environmental-fiscal-reform-in-the-eu-28/</vt:lpwstr>
      </vt:variant>
      <vt:variant>
        <vt:lpwstr/>
      </vt:variant>
      <vt:variant>
        <vt:i4>8126515</vt:i4>
      </vt:variant>
      <vt:variant>
        <vt:i4>576</vt:i4>
      </vt:variant>
      <vt:variant>
        <vt:i4>0</vt:i4>
      </vt:variant>
      <vt:variant>
        <vt:i4>5</vt:i4>
      </vt:variant>
      <vt:variant>
        <vt:lpwstr>https://ieep.eu/publications/assessing-the-potential-for-environmental-fiscal-reform-in-the-eu-28/</vt:lpwstr>
      </vt:variant>
      <vt:variant>
        <vt:lpwstr/>
      </vt:variant>
      <vt:variant>
        <vt:i4>65644</vt:i4>
      </vt:variant>
      <vt:variant>
        <vt:i4>573</vt:i4>
      </vt:variant>
      <vt:variant>
        <vt:i4>0</vt:i4>
      </vt:variant>
      <vt:variant>
        <vt:i4>5</vt:i4>
      </vt:variant>
      <vt:variant>
        <vt:lpwstr>https://www.oecd.org/en/publications/oecd-environmental-performance-reviews-denmark-2019_1eeec492-en.html</vt:lpwstr>
      </vt:variant>
      <vt:variant>
        <vt:lpwstr/>
      </vt:variant>
      <vt:variant>
        <vt:i4>65644</vt:i4>
      </vt:variant>
      <vt:variant>
        <vt:i4>570</vt:i4>
      </vt:variant>
      <vt:variant>
        <vt:i4>0</vt:i4>
      </vt:variant>
      <vt:variant>
        <vt:i4>5</vt:i4>
      </vt:variant>
      <vt:variant>
        <vt:lpwstr>https://www.oecd.org/en/publications/oecd-environmental-performance-reviews-denmark-2019_1eeec492-en.html</vt:lpwstr>
      </vt:variant>
      <vt:variant>
        <vt:lpwstr/>
      </vt:variant>
      <vt:variant>
        <vt:i4>65644</vt:i4>
      </vt:variant>
      <vt:variant>
        <vt:i4>567</vt:i4>
      </vt:variant>
      <vt:variant>
        <vt:i4>0</vt:i4>
      </vt:variant>
      <vt:variant>
        <vt:i4>5</vt:i4>
      </vt:variant>
      <vt:variant>
        <vt:lpwstr>https://www.oecd.org/en/publications/oecd-environmental-performance-reviews-denmark-2019_1eeec492-en.html</vt:lpwstr>
      </vt:variant>
      <vt:variant>
        <vt:lpwstr/>
      </vt:variant>
      <vt:variant>
        <vt:i4>65644</vt:i4>
      </vt:variant>
      <vt:variant>
        <vt:i4>564</vt:i4>
      </vt:variant>
      <vt:variant>
        <vt:i4>0</vt:i4>
      </vt:variant>
      <vt:variant>
        <vt:i4>5</vt:i4>
      </vt:variant>
      <vt:variant>
        <vt:lpwstr>https://www.oecd.org/en/publications/oecd-environmental-performance-reviews-denmark-2019_1eeec492-en.html</vt:lpwstr>
      </vt:variant>
      <vt:variant>
        <vt:lpwstr/>
      </vt:variant>
      <vt:variant>
        <vt:i4>8126515</vt:i4>
      </vt:variant>
      <vt:variant>
        <vt:i4>561</vt:i4>
      </vt:variant>
      <vt:variant>
        <vt:i4>0</vt:i4>
      </vt:variant>
      <vt:variant>
        <vt:i4>5</vt:i4>
      </vt:variant>
      <vt:variant>
        <vt:lpwstr>https://ieep.eu/publications/assessing-the-potential-for-environmental-fiscal-reform-in-the-eu-28/</vt:lpwstr>
      </vt:variant>
      <vt:variant>
        <vt:lpwstr/>
      </vt:variant>
      <vt:variant>
        <vt:i4>8126515</vt:i4>
      </vt:variant>
      <vt:variant>
        <vt:i4>558</vt:i4>
      </vt:variant>
      <vt:variant>
        <vt:i4>0</vt:i4>
      </vt:variant>
      <vt:variant>
        <vt:i4>5</vt:i4>
      </vt:variant>
      <vt:variant>
        <vt:lpwstr>https://ieep.eu/publications/assessing-the-potential-for-environmental-fiscal-reform-in-the-eu-28/</vt:lpwstr>
      </vt:variant>
      <vt:variant>
        <vt:lpwstr/>
      </vt:variant>
      <vt:variant>
        <vt:i4>8126515</vt:i4>
      </vt:variant>
      <vt:variant>
        <vt:i4>555</vt:i4>
      </vt:variant>
      <vt:variant>
        <vt:i4>0</vt:i4>
      </vt:variant>
      <vt:variant>
        <vt:i4>5</vt:i4>
      </vt:variant>
      <vt:variant>
        <vt:lpwstr>https://ieep.eu/publications/assessing-the-potential-for-environmental-fiscal-reform-in-the-eu-28/</vt:lpwstr>
      </vt:variant>
      <vt:variant>
        <vt:lpwstr/>
      </vt:variant>
      <vt:variant>
        <vt:i4>7340147</vt:i4>
      </vt:variant>
      <vt:variant>
        <vt:i4>552</vt:i4>
      </vt:variant>
      <vt:variant>
        <vt:i4>0</vt:i4>
      </vt:variant>
      <vt:variant>
        <vt:i4>5</vt:i4>
      </vt:variant>
      <vt:variant>
        <vt:lpwstr>https://ec.europa.eu/taxation_customs/tedb/</vt:lpwstr>
      </vt:variant>
      <vt:variant>
        <vt:lpwstr>/tax-details?taxId=160&amp;versionDate=1735686000&amp;isEuro=true&amp;taxType=OTHER_INDIRECT</vt:lpwstr>
      </vt:variant>
      <vt:variant>
        <vt:i4>65644</vt:i4>
      </vt:variant>
      <vt:variant>
        <vt:i4>549</vt:i4>
      </vt:variant>
      <vt:variant>
        <vt:i4>0</vt:i4>
      </vt:variant>
      <vt:variant>
        <vt:i4>5</vt:i4>
      </vt:variant>
      <vt:variant>
        <vt:lpwstr>https://www.oecd.org/en/publications/oecd-environmental-performance-reviews-denmark-2019_1eeec492-en.html</vt:lpwstr>
      </vt:variant>
      <vt:variant>
        <vt:lpwstr/>
      </vt:variant>
      <vt:variant>
        <vt:i4>8126515</vt:i4>
      </vt:variant>
      <vt:variant>
        <vt:i4>546</vt:i4>
      </vt:variant>
      <vt:variant>
        <vt:i4>0</vt:i4>
      </vt:variant>
      <vt:variant>
        <vt:i4>5</vt:i4>
      </vt:variant>
      <vt:variant>
        <vt:lpwstr>https://ieep.eu/publications/assessing-the-potential-for-environmental-fiscal-reform-in-the-eu-28/</vt:lpwstr>
      </vt:variant>
      <vt:variant>
        <vt:lpwstr/>
      </vt:variant>
      <vt:variant>
        <vt:i4>5046285</vt:i4>
      </vt:variant>
      <vt:variant>
        <vt:i4>543</vt:i4>
      </vt:variant>
      <vt:variant>
        <vt:i4>0</vt:i4>
      </vt:variant>
      <vt:variant>
        <vt:i4>5</vt:i4>
      </vt:variant>
      <vt:variant>
        <vt:lpwstr>https://environment.ec.europa.eu/system/files/2021-10/Czech Republic.pdf</vt:lpwstr>
      </vt:variant>
      <vt:variant>
        <vt:lpwstr/>
      </vt:variant>
      <vt:variant>
        <vt:i4>5046285</vt:i4>
      </vt:variant>
      <vt:variant>
        <vt:i4>540</vt:i4>
      </vt:variant>
      <vt:variant>
        <vt:i4>0</vt:i4>
      </vt:variant>
      <vt:variant>
        <vt:i4>5</vt:i4>
      </vt:variant>
      <vt:variant>
        <vt:lpwstr>https://environment.ec.europa.eu/system/files/2021-10/Czech Republic.pdf</vt:lpwstr>
      </vt:variant>
      <vt:variant>
        <vt:lpwstr/>
      </vt:variant>
      <vt:variant>
        <vt:i4>5046285</vt:i4>
      </vt:variant>
      <vt:variant>
        <vt:i4>537</vt:i4>
      </vt:variant>
      <vt:variant>
        <vt:i4>0</vt:i4>
      </vt:variant>
      <vt:variant>
        <vt:i4>5</vt:i4>
      </vt:variant>
      <vt:variant>
        <vt:lpwstr>https://environment.ec.europa.eu/system/files/2021-10/Czech Republic.pdf</vt:lpwstr>
      </vt:variant>
      <vt:variant>
        <vt:lpwstr/>
      </vt:variant>
      <vt:variant>
        <vt:i4>4456551</vt:i4>
      </vt:variant>
      <vt:variant>
        <vt:i4>534</vt:i4>
      </vt:variant>
      <vt:variant>
        <vt:i4>0</vt:i4>
      </vt:variant>
      <vt:variant>
        <vt:i4>5</vt:i4>
      </vt:variant>
      <vt:variant>
        <vt:lpwstr>https://eulacfoundation.org/system/files/digital_library/2023-07/5d33734d-en.pdf</vt:lpwstr>
      </vt:variant>
      <vt:variant>
        <vt:lpwstr/>
      </vt:variant>
      <vt:variant>
        <vt:i4>1507410</vt:i4>
      </vt:variant>
      <vt:variant>
        <vt:i4>531</vt:i4>
      </vt:variant>
      <vt:variant>
        <vt:i4>0</vt:i4>
      </vt:variant>
      <vt:variant>
        <vt:i4>5</vt:i4>
      </vt:variant>
      <vt:variant>
        <vt:lpwstr>https://mzp.gov.cz/sites/mzp.cz/files/tiskove-zpravy/AP_C%C4%8C_2040.pdf</vt:lpwstr>
      </vt:variant>
      <vt:variant>
        <vt:lpwstr/>
      </vt:variant>
      <vt:variant>
        <vt:i4>786451</vt:i4>
      </vt:variant>
      <vt:variant>
        <vt:i4>528</vt:i4>
      </vt:variant>
      <vt:variant>
        <vt:i4>0</vt:i4>
      </vt:variant>
      <vt:variant>
        <vt:i4>5</vt:i4>
      </vt:variant>
      <vt:variant>
        <vt:lpwstr>https://data.europa.eu/doi/10.2779/871144</vt:lpwstr>
      </vt:variant>
      <vt:variant>
        <vt:lpwstr/>
      </vt:variant>
      <vt:variant>
        <vt:i4>5046285</vt:i4>
      </vt:variant>
      <vt:variant>
        <vt:i4>525</vt:i4>
      </vt:variant>
      <vt:variant>
        <vt:i4>0</vt:i4>
      </vt:variant>
      <vt:variant>
        <vt:i4>5</vt:i4>
      </vt:variant>
      <vt:variant>
        <vt:lpwstr>https://environment.ec.europa.eu/system/files/2021-10/Czech Republic.pdf</vt:lpwstr>
      </vt:variant>
      <vt:variant>
        <vt:lpwstr/>
      </vt:variant>
      <vt:variant>
        <vt:i4>5046285</vt:i4>
      </vt:variant>
      <vt:variant>
        <vt:i4>522</vt:i4>
      </vt:variant>
      <vt:variant>
        <vt:i4>0</vt:i4>
      </vt:variant>
      <vt:variant>
        <vt:i4>5</vt:i4>
      </vt:variant>
      <vt:variant>
        <vt:lpwstr>https://environment.ec.europa.eu/system/files/2021-10/Czech Republic.pdf</vt:lpwstr>
      </vt:variant>
      <vt:variant>
        <vt:lpwstr/>
      </vt:variant>
      <vt:variant>
        <vt:i4>6356993</vt:i4>
      </vt:variant>
      <vt:variant>
        <vt:i4>519</vt:i4>
      </vt:variant>
      <vt:variant>
        <vt:i4>0</vt:i4>
      </vt:variant>
      <vt:variant>
        <vt:i4>5</vt:i4>
      </vt:variant>
      <vt:variant>
        <vt:lpwstr>https://www.oecd.org/content/dam/oecd/en/publications/reports/2018/07/oecd-environmental-performance-reviews-czech-republic-2018_g1g8e052/9789264300958-en.pdf</vt:lpwstr>
      </vt:variant>
      <vt:variant>
        <vt:lpwstr/>
      </vt:variant>
      <vt:variant>
        <vt:i4>1507410</vt:i4>
      </vt:variant>
      <vt:variant>
        <vt:i4>516</vt:i4>
      </vt:variant>
      <vt:variant>
        <vt:i4>0</vt:i4>
      </vt:variant>
      <vt:variant>
        <vt:i4>5</vt:i4>
      </vt:variant>
      <vt:variant>
        <vt:lpwstr>https://mzp.gov.cz/sites/mzp.cz/files/tiskove-zpravy/AP_C%C4%8C_2040.pdf</vt:lpwstr>
      </vt:variant>
      <vt:variant>
        <vt:lpwstr/>
      </vt:variant>
      <vt:variant>
        <vt:i4>7733284</vt:i4>
      </vt:variant>
      <vt:variant>
        <vt:i4>513</vt:i4>
      </vt:variant>
      <vt:variant>
        <vt:i4>0</vt:i4>
      </vt:variant>
      <vt:variant>
        <vt:i4>5</vt:i4>
      </vt:variant>
      <vt:variant>
        <vt:lpwstr>https://www.eea.europa.eu/en/topics/in-depth/circular-economy/country-profiles-on-circular-economy/circular-economy-country-profiles-2024/czechia_2024-ce-country-profile_final.pdf/@@download/file</vt:lpwstr>
      </vt:variant>
      <vt:variant>
        <vt:lpwstr>:~:text=Czechia%20adopted%20a%20dedicated%20national,and%20social%20benefits%20to%20Czechia</vt:lpwstr>
      </vt:variant>
      <vt:variant>
        <vt:i4>4456551</vt:i4>
      </vt:variant>
      <vt:variant>
        <vt:i4>510</vt:i4>
      </vt:variant>
      <vt:variant>
        <vt:i4>0</vt:i4>
      </vt:variant>
      <vt:variant>
        <vt:i4>5</vt:i4>
      </vt:variant>
      <vt:variant>
        <vt:lpwstr>https://eulacfoundation.org/system/files/digital_library/2023-07/5d33734d-en.pdf</vt:lpwstr>
      </vt:variant>
      <vt:variant>
        <vt:lpwstr/>
      </vt:variant>
      <vt:variant>
        <vt:i4>5046285</vt:i4>
      </vt:variant>
      <vt:variant>
        <vt:i4>507</vt:i4>
      </vt:variant>
      <vt:variant>
        <vt:i4>0</vt:i4>
      </vt:variant>
      <vt:variant>
        <vt:i4>5</vt:i4>
      </vt:variant>
      <vt:variant>
        <vt:lpwstr>https://environment.ec.europa.eu/system/files/2021-10/Czech Republic.pdf</vt:lpwstr>
      </vt:variant>
      <vt:variant>
        <vt:lpwstr/>
      </vt:variant>
      <vt:variant>
        <vt:i4>4456551</vt:i4>
      </vt:variant>
      <vt:variant>
        <vt:i4>504</vt:i4>
      </vt:variant>
      <vt:variant>
        <vt:i4>0</vt:i4>
      </vt:variant>
      <vt:variant>
        <vt:i4>5</vt:i4>
      </vt:variant>
      <vt:variant>
        <vt:lpwstr>https://eulacfoundation.org/system/files/digital_library/2023-07/5d33734d-en.pdf</vt:lpwstr>
      </vt:variant>
      <vt:variant>
        <vt:lpwstr/>
      </vt:variant>
      <vt:variant>
        <vt:i4>6356993</vt:i4>
      </vt:variant>
      <vt:variant>
        <vt:i4>501</vt:i4>
      </vt:variant>
      <vt:variant>
        <vt:i4>0</vt:i4>
      </vt:variant>
      <vt:variant>
        <vt:i4>5</vt:i4>
      </vt:variant>
      <vt:variant>
        <vt:lpwstr>https://www.oecd.org/content/dam/oecd/en/publications/reports/2018/07/oecd-environmental-performance-reviews-czech-republic-2018_g1g8e052/9789264300958-en.pdf</vt:lpwstr>
      </vt:variant>
      <vt:variant>
        <vt:lpwstr/>
      </vt:variant>
      <vt:variant>
        <vt:i4>6356993</vt:i4>
      </vt:variant>
      <vt:variant>
        <vt:i4>498</vt:i4>
      </vt:variant>
      <vt:variant>
        <vt:i4>0</vt:i4>
      </vt:variant>
      <vt:variant>
        <vt:i4>5</vt:i4>
      </vt:variant>
      <vt:variant>
        <vt:lpwstr>https://www.oecd.org/content/dam/oecd/en/publications/reports/2018/07/oecd-environmental-performance-reviews-czech-republic-2018_g1g8e052/9789264300958-en.pdf</vt:lpwstr>
      </vt:variant>
      <vt:variant>
        <vt:lpwstr/>
      </vt:variant>
      <vt:variant>
        <vt:i4>3932274</vt:i4>
      </vt:variant>
      <vt:variant>
        <vt:i4>495</vt:i4>
      </vt:variant>
      <vt:variant>
        <vt:i4>0</vt:i4>
      </vt:variant>
      <vt:variant>
        <vt:i4>5</vt:i4>
      </vt:variant>
      <vt:variant>
        <vt:lpwstr>https://www.grantthornton.cz/en/news/tax-reliefs-of-czech-government-to-combat-the-crisis/</vt:lpwstr>
      </vt:variant>
      <vt:variant>
        <vt:lpwstr/>
      </vt:variant>
      <vt:variant>
        <vt:i4>983088</vt:i4>
      </vt:variant>
      <vt:variant>
        <vt:i4>492</vt:i4>
      </vt:variant>
      <vt:variant>
        <vt:i4>0</vt:i4>
      </vt:variant>
      <vt:variant>
        <vt:i4>5</vt:i4>
      </vt:variant>
      <vt:variant>
        <vt:lpwstr>https://environment.ec.europa.eu/economy-and-finance/phasing-out-environmentally-harmful-subsidies/czech-republic-ehs-candidate-reform_en</vt:lpwstr>
      </vt:variant>
      <vt:variant>
        <vt:lpwstr>:~:text=The%20excise%20tax%20refund%20for%20diesel%20reduces%20the%20cost%20of,and%20land%20and%20water%20use</vt:lpwstr>
      </vt:variant>
      <vt:variant>
        <vt:i4>4259860</vt:i4>
      </vt:variant>
      <vt:variant>
        <vt:i4>489</vt:i4>
      </vt:variant>
      <vt:variant>
        <vt:i4>0</vt:i4>
      </vt:variant>
      <vt:variant>
        <vt:i4>5</vt:i4>
      </vt:variant>
      <vt:variant>
        <vt:lpwstr>https://circabc.europa.eu/ui/group/c1a5a4e9-7563-4d0e-9697-68d9cd24ed34/library/7ff9e898-823f-4b06-985a-119d9e25e529/details</vt:lpwstr>
      </vt:variant>
      <vt:variant>
        <vt:lpwstr/>
      </vt:variant>
      <vt:variant>
        <vt:i4>6094932</vt:i4>
      </vt:variant>
      <vt:variant>
        <vt:i4>486</vt:i4>
      </vt:variant>
      <vt:variant>
        <vt:i4>0</vt:i4>
      </vt:variant>
      <vt:variant>
        <vt:i4>5</vt:i4>
      </vt:variant>
      <vt:variant>
        <vt:lpwstr>https://www.e-sbirka.cz/sb/1990/565?zalozka=text</vt:lpwstr>
      </vt:variant>
      <vt:variant>
        <vt:lpwstr/>
      </vt:variant>
      <vt:variant>
        <vt:i4>8126516</vt:i4>
      </vt:variant>
      <vt:variant>
        <vt:i4>483</vt:i4>
      </vt:variant>
      <vt:variant>
        <vt:i4>0</vt:i4>
      </vt:variant>
      <vt:variant>
        <vt:i4>5</vt:i4>
      </vt:variant>
      <vt:variant>
        <vt:lpwstr>https://english.radio.cz/authorities-will-not-curb-czechs-passion-mushroom-hunting-8790978</vt:lpwstr>
      </vt:variant>
      <vt:variant>
        <vt:lpwstr/>
      </vt:variant>
      <vt:variant>
        <vt:i4>6684794</vt:i4>
      </vt:variant>
      <vt:variant>
        <vt:i4>480</vt:i4>
      </vt:variant>
      <vt:variant>
        <vt:i4>0</vt:i4>
      </vt:variant>
      <vt:variant>
        <vt:i4>5</vt:i4>
      </vt:variant>
      <vt:variant>
        <vt:lpwstr>https://www.e-sbirka.cz/sb/2012/73/2023-03-23?f=73%2F2012&amp;zalozka=text</vt:lpwstr>
      </vt:variant>
      <vt:variant>
        <vt:lpwstr/>
      </vt:variant>
      <vt:variant>
        <vt:i4>4784223</vt:i4>
      </vt:variant>
      <vt:variant>
        <vt:i4>477</vt:i4>
      </vt:variant>
      <vt:variant>
        <vt:i4>0</vt:i4>
      </vt:variant>
      <vt:variant>
        <vt:i4>5</vt:i4>
      </vt:variant>
      <vt:variant>
        <vt:lpwstr>https://www.e-sbirka.cz/sb/2000/240?odkazId=40605277&amp;zalozka=text</vt:lpwstr>
      </vt:variant>
      <vt:variant>
        <vt:lpwstr/>
      </vt:variant>
      <vt:variant>
        <vt:i4>5701721</vt:i4>
      </vt:variant>
      <vt:variant>
        <vt:i4>474</vt:i4>
      </vt:variant>
      <vt:variant>
        <vt:i4>0</vt:i4>
      </vt:variant>
      <vt:variant>
        <vt:i4>5</vt:i4>
      </vt:variant>
      <vt:variant>
        <vt:lpwstr>https://www.e-sbirka.cz/sb/2020/541?zalozka=text</vt:lpwstr>
      </vt:variant>
      <vt:variant>
        <vt:lpwstr/>
      </vt:variant>
      <vt:variant>
        <vt:i4>5701725</vt:i4>
      </vt:variant>
      <vt:variant>
        <vt:i4>471</vt:i4>
      </vt:variant>
      <vt:variant>
        <vt:i4>0</vt:i4>
      </vt:variant>
      <vt:variant>
        <vt:i4>5</vt:i4>
      </vt:variant>
      <vt:variant>
        <vt:lpwstr>https://www.e-sbirka.cz/sb/2020/545?zalozka=text</vt:lpwstr>
      </vt:variant>
      <vt:variant>
        <vt:lpwstr/>
      </vt:variant>
      <vt:variant>
        <vt:i4>6619172</vt:i4>
      </vt:variant>
      <vt:variant>
        <vt:i4>468</vt:i4>
      </vt:variant>
      <vt:variant>
        <vt:i4>0</vt:i4>
      </vt:variant>
      <vt:variant>
        <vt:i4>5</vt:i4>
      </vt:variant>
      <vt:variant>
        <vt:lpwstr>https://www.zakonyprolidi.cz/cs/2016-89/zneni-20170101</vt:lpwstr>
      </vt:variant>
      <vt:variant>
        <vt:lpwstr>f5779011</vt:lpwstr>
      </vt:variant>
      <vt:variant>
        <vt:i4>6815803</vt:i4>
      </vt:variant>
      <vt:variant>
        <vt:i4>465</vt:i4>
      </vt:variant>
      <vt:variant>
        <vt:i4>0</vt:i4>
      </vt:variant>
      <vt:variant>
        <vt:i4>5</vt:i4>
      </vt:variant>
      <vt:variant>
        <vt:lpwstr>https://www.zakonyprolidi.cz/cs/1988-44</vt:lpwstr>
      </vt:variant>
      <vt:variant>
        <vt:lpwstr/>
      </vt:variant>
      <vt:variant>
        <vt:i4>5767249</vt:i4>
      </vt:variant>
      <vt:variant>
        <vt:i4>462</vt:i4>
      </vt:variant>
      <vt:variant>
        <vt:i4>0</vt:i4>
      </vt:variant>
      <vt:variant>
        <vt:i4>5</vt:i4>
      </vt:variant>
      <vt:variant>
        <vt:lpwstr>https://www.e-sbirka.cz/sb/1992/334?zalozka=text</vt:lpwstr>
      </vt:variant>
      <vt:variant>
        <vt:lpwstr/>
      </vt:variant>
      <vt:variant>
        <vt:i4>5636115</vt:i4>
      </vt:variant>
      <vt:variant>
        <vt:i4>459</vt:i4>
      </vt:variant>
      <vt:variant>
        <vt:i4>0</vt:i4>
      </vt:variant>
      <vt:variant>
        <vt:i4>5</vt:i4>
      </vt:variant>
      <vt:variant>
        <vt:lpwstr>https://www.e-sbirka.cz/sb/1995/289/2022-02-01?odkazId=63703853&amp;zalozka=text</vt:lpwstr>
      </vt:variant>
      <vt:variant>
        <vt:lpwstr/>
      </vt:variant>
      <vt:variant>
        <vt:i4>5242974</vt:i4>
      </vt:variant>
      <vt:variant>
        <vt:i4>456</vt:i4>
      </vt:variant>
      <vt:variant>
        <vt:i4>0</vt:i4>
      </vt:variant>
      <vt:variant>
        <vt:i4>5</vt:i4>
      </vt:variant>
      <vt:variant>
        <vt:lpwstr>https://cms.law/en/int/expert-guides/cms-expert-guide-to-climate-change-tax-reforms-and-incentives/czech-republic</vt:lpwstr>
      </vt:variant>
      <vt:variant>
        <vt:lpwstr/>
      </vt:variant>
      <vt:variant>
        <vt:i4>8257587</vt:i4>
      </vt:variant>
      <vt:variant>
        <vt:i4>453</vt:i4>
      </vt:variant>
      <vt:variant>
        <vt:i4>0</vt:i4>
      </vt:variant>
      <vt:variant>
        <vt:i4>5</vt:i4>
      </vt:variant>
      <vt:variant>
        <vt:lpwstr>https://www.iaea.org/sites/default/files/22/10/czech_republic_nr_9th_cns.pdf</vt:lpwstr>
      </vt:variant>
      <vt:variant>
        <vt:lpwstr/>
      </vt:variant>
      <vt:variant>
        <vt:i4>5636103</vt:i4>
      </vt:variant>
      <vt:variant>
        <vt:i4>450</vt:i4>
      </vt:variant>
      <vt:variant>
        <vt:i4>0</vt:i4>
      </vt:variant>
      <vt:variant>
        <vt:i4>5</vt:i4>
      </vt:variant>
      <vt:variant>
        <vt:lpwstr>https://www.ensreg.eu/country-profile/Czech Republic</vt:lpwstr>
      </vt:variant>
      <vt:variant>
        <vt:lpwstr/>
      </vt:variant>
      <vt:variant>
        <vt:i4>2752582</vt:i4>
      </vt:variant>
      <vt:variant>
        <vt:i4>447</vt:i4>
      </vt:variant>
      <vt:variant>
        <vt:i4>0</vt:i4>
      </vt:variant>
      <vt:variant>
        <vt:i4>5</vt:i4>
      </vt:variant>
      <vt:variant>
        <vt:lpwstr>https://www.e-sbirka.cz/sb/2016/263/2024-01-01?zalozka=text</vt:lpwstr>
      </vt:variant>
      <vt:variant>
        <vt:lpwstr>par_128</vt:lpwstr>
      </vt:variant>
      <vt:variant>
        <vt:i4>5832789</vt:i4>
      </vt:variant>
      <vt:variant>
        <vt:i4>444</vt:i4>
      </vt:variant>
      <vt:variant>
        <vt:i4>0</vt:i4>
      </vt:variant>
      <vt:variant>
        <vt:i4>5</vt:i4>
      </vt:variant>
      <vt:variant>
        <vt:lpwstr>https://www.e-sbirka.cz/sb/2008/383?zalozka=text</vt:lpwstr>
      </vt:variant>
      <vt:variant>
        <vt:lpwstr/>
      </vt:variant>
      <vt:variant>
        <vt:i4>1114124</vt:i4>
      </vt:variant>
      <vt:variant>
        <vt:i4>441</vt:i4>
      </vt:variant>
      <vt:variant>
        <vt:i4>0</vt:i4>
      </vt:variant>
      <vt:variant>
        <vt:i4>5</vt:i4>
      </vt:variant>
      <vt:variant>
        <vt:lpwstr>https://www.e-sbirka.cz/sb/2001/185/2020-01-01?f=185%2F2001&amp;zalozka=text</vt:lpwstr>
      </vt:variant>
      <vt:variant>
        <vt:lpwstr/>
      </vt:variant>
      <vt:variant>
        <vt:i4>2752583</vt:i4>
      </vt:variant>
      <vt:variant>
        <vt:i4>438</vt:i4>
      </vt:variant>
      <vt:variant>
        <vt:i4>0</vt:i4>
      </vt:variant>
      <vt:variant>
        <vt:i4>5</vt:i4>
      </vt:variant>
      <vt:variant>
        <vt:lpwstr>https://www.e-sbirka.cz/sb/2001/254/2024-08-01?zalozka=text</vt:lpwstr>
      </vt:variant>
      <vt:variant>
        <vt:lpwstr>par_90</vt:lpwstr>
      </vt:variant>
      <vt:variant>
        <vt:i4>1769473</vt:i4>
      </vt:variant>
      <vt:variant>
        <vt:i4>435</vt:i4>
      </vt:variant>
      <vt:variant>
        <vt:i4>0</vt:i4>
      </vt:variant>
      <vt:variant>
        <vt:i4>5</vt:i4>
      </vt:variant>
      <vt:variant>
        <vt:lpwstr>https://www.e-sbirka.cz/sb/2012/201/2025-03-01?f=201%2F2012&amp;zalozka=text</vt:lpwstr>
      </vt:variant>
      <vt:variant>
        <vt:lpwstr/>
      </vt:variant>
      <vt:variant>
        <vt:i4>7667748</vt:i4>
      </vt:variant>
      <vt:variant>
        <vt:i4>432</vt:i4>
      </vt:variant>
      <vt:variant>
        <vt:i4>0</vt:i4>
      </vt:variant>
      <vt:variant>
        <vt:i4>5</vt:i4>
      </vt:variant>
      <vt:variant>
        <vt:lpwstr>https://www.sfzp.cz/en/about-us/what-we-do/</vt:lpwstr>
      </vt:variant>
      <vt:variant>
        <vt:lpwstr/>
      </vt:variant>
      <vt:variant>
        <vt:i4>1507451</vt:i4>
      </vt:variant>
      <vt:variant>
        <vt:i4>429</vt:i4>
      </vt:variant>
      <vt:variant>
        <vt:i4>0</vt:i4>
      </vt:variant>
      <vt:variant>
        <vt:i4>5</vt:i4>
      </vt:variant>
      <vt:variant>
        <vt:lpwstr>https://www.e-sbirka.cz/sb/2009/280/2024-01-01?zalozka=text</vt:lpwstr>
      </vt:variant>
      <vt:variant>
        <vt:lpwstr>par_1</vt:lpwstr>
      </vt:variant>
      <vt:variant>
        <vt:i4>2293830</vt:i4>
      </vt:variant>
      <vt:variant>
        <vt:i4>426</vt:i4>
      </vt:variant>
      <vt:variant>
        <vt:i4>0</vt:i4>
      </vt:variant>
      <vt:variant>
        <vt:i4>5</vt:i4>
      </vt:variant>
      <vt:variant>
        <vt:lpwstr>https://www.e-sbirka.cz/sb/2001/254/2024-08-01?zalozka=text</vt:lpwstr>
      </vt:variant>
      <vt:variant>
        <vt:lpwstr>par_89</vt:lpwstr>
      </vt:variant>
      <vt:variant>
        <vt:i4>720920</vt:i4>
      </vt:variant>
      <vt:variant>
        <vt:i4>423</vt:i4>
      </vt:variant>
      <vt:variant>
        <vt:i4>0</vt:i4>
      </vt:variant>
      <vt:variant>
        <vt:i4>5</vt:i4>
      </vt:variant>
      <vt:variant>
        <vt:lpwstr>https://data.europa.eu/doi/10.2779/351886</vt:lpwstr>
      </vt:variant>
      <vt:variant>
        <vt:lpwstr/>
      </vt:variant>
      <vt:variant>
        <vt:i4>4718618</vt:i4>
      </vt:variant>
      <vt:variant>
        <vt:i4>420</vt:i4>
      </vt:variant>
      <vt:variant>
        <vt:i4>0</vt:i4>
      </vt:variant>
      <vt:variant>
        <vt:i4>5</vt:i4>
      </vt:variant>
      <vt:variant>
        <vt:lpwstr>https://www.propertyguides.com/cyprus/buying/taxes/</vt:lpwstr>
      </vt:variant>
      <vt:variant>
        <vt:lpwstr>:~:text=Sewerage%20tax,is%20connecting%20to%20mains%20sewerage</vt:lpwstr>
      </vt:variant>
      <vt:variant>
        <vt:i4>655439</vt:i4>
      </vt:variant>
      <vt:variant>
        <vt:i4>417</vt:i4>
      </vt:variant>
      <vt:variant>
        <vt:i4>0</vt:i4>
      </vt:variant>
      <vt:variant>
        <vt:i4>5</vt:i4>
      </vt:variant>
      <vt:variant>
        <vt:lpwstr>https://www.croatiaweek.com/lightweight-plastic-bags-wont-be-free-in-croatia-from-1-jan/?utm_</vt:lpwstr>
      </vt:variant>
      <vt:variant>
        <vt:lpwstr/>
      </vt:variant>
      <vt:variant>
        <vt:i4>1835086</vt:i4>
      </vt:variant>
      <vt:variant>
        <vt:i4>414</vt:i4>
      </vt:variant>
      <vt:variant>
        <vt:i4>0</vt:i4>
      </vt:variant>
      <vt:variant>
        <vt:i4>5</vt:i4>
      </vt:variant>
      <vt:variant>
        <vt:lpwstr>https://www.eea.europa.eu/en/topics/in-depth/waste-and-recycling/municipal-and-packaging-waste-management-country-profiles/hr-municipal-waste-factsheet.pdf/@@download/file</vt:lpwstr>
      </vt:variant>
      <vt:variant>
        <vt:lpwstr/>
      </vt:variant>
      <vt:variant>
        <vt:i4>2424883</vt:i4>
      </vt:variant>
      <vt:variant>
        <vt:i4>411</vt:i4>
      </vt:variant>
      <vt:variant>
        <vt:i4>0</vt:i4>
      </vt:variant>
      <vt:variant>
        <vt:i4>5</vt:i4>
      </vt:variant>
      <vt:variant>
        <vt:lpwstr>https://www.elibrary.imf.org/view/journals/002/2023/234/article-A002-en.xml</vt:lpwstr>
      </vt:variant>
      <vt:variant>
        <vt:lpwstr/>
      </vt:variant>
      <vt:variant>
        <vt:i4>1245250</vt:i4>
      </vt:variant>
      <vt:variant>
        <vt:i4>408</vt:i4>
      </vt:variant>
      <vt:variant>
        <vt:i4>0</vt:i4>
      </vt:variant>
      <vt:variant>
        <vt:i4>5</vt:i4>
      </vt:variant>
      <vt:variant>
        <vt:lpwstr>https://repozitorij.ijf.hr/en/islandora/object/ijf:969/datastream/FILE0/view</vt:lpwstr>
      </vt:variant>
      <vt:variant>
        <vt:lpwstr/>
      </vt:variant>
      <vt:variant>
        <vt:i4>2293814</vt:i4>
      </vt:variant>
      <vt:variant>
        <vt:i4>405</vt:i4>
      </vt:variant>
      <vt:variant>
        <vt:i4>0</vt:i4>
      </vt:variant>
      <vt:variant>
        <vt:i4>5</vt:i4>
      </vt:variant>
      <vt:variant>
        <vt:lpwstr>https://www.elibrary.imf.org/view/journals/002/2024/246/article-A003-en.xml</vt:lpwstr>
      </vt:variant>
      <vt:variant>
        <vt:lpwstr/>
      </vt:variant>
      <vt:variant>
        <vt:i4>2097202</vt:i4>
      </vt:variant>
      <vt:variant>
        <vt:i4>402</vt:i4>
      </vt:variant>
      <vt:variant>
        <vt:i4>0</vt:i4>
      </vt:variant>
      <vt:variant>
        <vt:i4>5</vt:i4>
      </vt:variant>
      <vt:variant>
        <vt:lpwstr>https://vlada.gov.hr/news/croatia-remains-strongly-committed-to-decarbonizing-its-energy-system-and-intensifying-green-transition/43326</vt:lpwstr>
      </vt:variant>
      <vt:variant>
        <vt:lpwstr/>
      </vt:variant>
      <vt:variant>
        <vt:i4>4784192</vt:i4>
      </vt:variant>
      <vt:variant>
        <vt:i4>399</vt:i4>
      </vt:variant>
      <vt:variant>
        <vt:i4>0</vt:i4>
      </vt:variant>
      <vt:variant>
        <vt:i4>5</vt:i4>
      </vt:variant>
      <vt:variant>
        <vt:lpwstr>https://www/</vt:lpwstr>
      </vt:variant>
      <vt:variant>
        <vt:lpwstr/>
      </vt:variant>
      <vt:variant>
        <vt:i4>3997747</vt:i4>
      </vt:variant>
      <vt:variant>
        <vt:i4>396</vt:i4>
      </vt:variant>
      <vt:variant>
        <vt:i4>0</vt:i4>
      </vt:variant>
      <vt:variant>
        <vt:i4>5</vt:i4>
      </vt:variant>
      <vt:variant>
        <vt:lpwstr>https://thedocs.worldbank.org/en/doc/c22f85216d0d23a3287250b550d05935-0080012022/original/Deliverable1bCroatiaProposedCEactionPlan.pdf</vt:lpwstr>
      </vt:variant>
      <vt:variant>
        <vt:lpwstr/>
      </vt:variant>
      <vt:variant>
        <vt:i4>1835025</vt:i4>
      </vt:variant>
      <vt:variant>
        <vt:i4>393</vt:i4>
      </vt:variant>
      <vt:variant>
        <vt:i4>0</vt:i4>
      </vt:variant>
      <vt:variant>
        <vt:i4>5</vt:i4>
      </vt:variant>
      <vt:variant>
        <vt:lpwstr>https://www.zakon.hr/c/podzakonski-propis/540245/nn-137-2024-%2829.11.2024.%29%2C-uredba-o-jedinicnoj-naknadi-za-odlaganje-otpada</vt:lpwstr>
      </vt:variant>
      <vt:variant>
        <vt:lpwstr/>
      </vt:variant>
      <vt:variant>
        <vt:i4>1835086</vt:i4>
      </vt:variant>
      <vt:variant>
        <vt:i4>390</vt:i4>
      </vt:variant>
      <vt:variant>
        <vt:i4>0</vt:i4>
      </vt:variant>
      <vt:variant>
        <vt:i4>5</vt:i4>
      </vt:variant>
      <vt:variant>
        <vt:lpwstr>https://www.eea.europa.eu/en/topics/in-depth/waste-and-recycling/municipal-and-packaging-waste-management-country-profiles/hr-municipal-waste-factsheet.pdf/@@download/file</vt:lpwstr>
      </vt:variant>
      <vt:variant>
        <vt:lpwstr/>
      </vt:variant>
      <vt:variant>
        <vt:i4>5046345</vt:i4>
      </vt:variant>
      <vt:variant>
        <vt:i4>387</vt:i4>
      </vt:variant>
      <vt:variant>
        <vt:i4>0</vt:i4>
      </vt:variant>
      <vt:variant>
        <vt:i4>5</vt:i4>
      </vt:variant>
      <vt:variant>
        <vt:lpwstr>https://environment.ec.europa.eu/system/files/2021-10/Croatia.pdf</vt:lpwstr>
      </vt:variant>
      <vt:variant>
        <vt:lpwstr/>
      </vt:variant>
      <vt:variant>
        <vt:i4>1507348</vt:i4>
      </vt:variant>
      <vt:variant>
        <vt:i4>384</vt:i4>
      </vt:variant>
      <vt:variant>
        <vt:i4>0</vt:i4>
      </vt:variant>
      <vt:variant>
        <vt:i4>5</vt:i4>
      </vt:variant>
      <vt:variant>
        <vt:lpwstr>https://ieep.eu/wp-content/uploads/2022/12/HR-Forest-Public-Benefit-Fee-final.pdf</vt:lpwstr>
      </vt:variant>
      <vt:variant>
        <vt:lpwstr/>
      </vt:variant>
      <vt:variant>
        <vt:i4>1507348</vt:i4>
      </vt:variant>
      <vt:variant>
        <vt:i4>381</vt:i4>
      </vt:variant>
      <vt:variant>
        <vt:i4>0</vt:i4>
      </vt:variant>
      <vt:variant>
        <vt:i4>5</vt:i4>
      </vt:variant>
      <vt:variant>
        <vt:lpwstr>https://ieep.eu/wp-content/uploads/2022/12/HR-Forest-Public-Benefit-Fee-final.pdf</vt:lpwstr>
      </vt:variant>
      <vt:variant>
        <vt:lpwstr/>
      </vt:variant>
      <vt:variant>
        <vt:i4>5046345</vt:i4>
      </vt:variant>
      <vt:variant>
        <vt:i4>378</vt:i4>
      </vt:variant>
      <vt:variant>
        <vt:i4>0</vt:i4>
      </vt:variant>
      <vt:variant>
        <vt:i4>5</vt:i4>
      </vt:variant>
      <vt:variant>
        <vt:lpwstr>https://environment.ec.europa.eu/system/files/2021-10/Croatia.pdf</vt:lpwstr>
      </vt:variant>
      <vt:variant>
        <vt:lpwstr/>
      </vt:variant>
      <vt:variant>
        <vt:i4>1245250</vt:i4>
      </vt:variant>
      <vt:variant>
        <vt:i4>375</vt:i4>
      </vt:variant>
      <vt:variant>
        <vt:i4>0</vt:i4>
      </vt:variant>
      <vt:variant>
        <vt:i4>5</vt:i4>
      </vt:variant>
      <vt:variant>
        <vt:lpwstr>https://repozitorij.ijf.hr/en/islandora/object/ijf:969/datastream/FILE0/view</vt:lpwstr>
      </vt:variant>
      <vt:variant>
        <vt:lpwstr/>
      </vt:variant>
      <vt:variant>
        <vt:i4>1245250</vt:i4>
      </vt:variant>
      <vt:variant>
        <vt:i4>372</vt:i4>
      </vt:variant>
      <vt:variant>
        <vt:i4>0</vt:i4>
      </vt:variant>
      <vt:variant>
        <vt:i4>5</vt:i4>
      </vt:variant>
      <vt:variant>
        <vt:lpwstr>https://repozitorij.ijf.hr/en/islandora/object/ijf:969/datastream/FILE0/view</vt:lpwstr>
      </vt:variant>
      <vt:variant>
        <vt:lpwstr/>
      </vt:variant>
      <vt:variant>
        <vt:i4>6553639</vt:i4>
      </vt:variant>
      <vt:variant>
        <vt:i4>369</vt:i4>
      </vt:variant>
      <vt:variant>
        <vt:i4>0</vt:i4>
      </vt:variant>
      <vt:variant>
        <vt:i4>5</vt:i4>
      </vt:variant>
      <vt:variant>
        <vt:lpwstr>https://esavjetovanja.gov.hr/ECon/EconReport?entityId=1912</vt:lpwstr>
      </vt:variant>
      <vt:variant>
        <vt:lpwstr/>
      </vt:variant>
      <vt:variant>
        <vt:i4>786528</vt:i4>
      </vt:variant>
      <vt:variant>
        <vt:i4>366</vt:i4>
      </vt:variant>
      <vt:variant>
        <vt:i4>0</vt:i4>
      </vt:variant>
      <vt:variant>
        <vt:i4>5</vt:i4>
      </vt:variant>
      <vt:variant>
        <vt:lpwstr>https://narodne-novine.nn.hr/clanci/sluzbeni/2015_10_115_2193.html</vt:lpwstr>
      </vt:variant>
      <vt:variant>
        <vt:lpwstr/>
      </vt:variant>
      <vt:variant>
        <vt:i4>5505137</vt:i4>
      </vt:variant>
      <vt:variant>
        <vt:i4>363</vt:i4>
      </vt:variant>
      <vt:variant>
        <vt:i4>0</vt:i4>
      </vt:variant>
      <vt:variant>
        <vt:i4>5</vt:i4>
      </vt:variant>
      <vt:variant>
        <vt:lpwstr>https://environment.ec.europa.eu/economy-and-finance/phasing-out-environmentally-harmful-subsidies/croatia-ehs-candidate-reform_en</vt:lpwstr>
      </vt:variant>
      <vt:variant>
        <vt:lpwstr/>
      </vt:variant>
      <vt:variant>
        <vt:i4>5046345</vt:i4>
      </vt:variant>
      <vt:variant>
        <vt:i4>360</vt:i4>
      </vt:variant>
      <vt:variant>
        <vt:i4>0</vt:i4>
      </vt:variant>
      <vt:variant>
        <vt:i4>5</vt:i4>
      </vt:variant>
      <vt:variant>
        <vt:lpwstr>https://environment.ec.europa.eu/system/files/2021-10/Croatia.pdf</vt:lpwstr>
      </vt:variant>
      <vt:variant>
        <vt:lpwstr/>
      </vt:variant>
      <vt:variant>
        <vt:i4>5505137</vt:i4>
      </vt:variant>
      <vt:variant>
        <vt:i4>357</vt:i4>
      </vt:variant>
      <vt:variant>
        <vt:i4>0</vt:i4>
      </vt:variant>
      <vt:variant>
        <vt:i4>5</vt:i4>
      </vt:variant>
      <vt:variant>
        <vt:lpwstr>https://environment.ec.europa.eu/economy-and-finance/phasing-out-environmentally-harmful-subsidies/croatia-ehs-candidate-reform_en</vt:lpwstr>
      </vt:variant>
      <vt:variant>
        <vt:lpwstr/>
      </vt:variant>
      <vt:variant>
        <vt:i4>2424883</vt:i4>
      </vt:variant>
      <vt:variant>
        <vt:i4>354</vt:i4>
      </vt:variant>
      <vt:variant>
        <vt:i4>0</vt:i4>
      </vt:variant>
      <vt:variant>
        <vt:i4>5</vt:i4>
      </vt:variant>
      <vt:variant>
        <vt:lpwstr>https://www.elibrary.imf.org/view/journals/002/2023/234/article-A002-en.xml</vt:lpwstr>
      </vt:variant>
      <vt:variant>
        <vt:lpwstr/>
      </vt:variant>
      <vt:variant>
        <vt:i4>2424883</vt:i4>
      </vt:variant>
      <vt:variant>
        <vt:i4>351</vt:i4>
      </vt:variant>
      <vt:variant>
        <vt:i4>0</vt:i4>
      </vt:variant>
      <vt:variant>
        <vt:i4>5</vt:i4>
      </vt:variant>
      <vt:variant>
        <vt:lpwstr>https://www.elibrary.imf.org/view/journals/002/2023/234/article-A002-en.xml</vt:lpwstr>
      </vt:variant>
      <vt:variant>
        <vt:lpwstr/>
      </vt:variant>
      <vt:variant>
        <vt:i4>1245200</vt:i4>
      </vt:variant>
      <vt:variant>
        <vt:i4>348</vt:i4>
      </vt:variant>
      <vt:variant>
        <vt:i4>0</vt:i4>
      </vt:variant>
      <vt:variant>
        <vt:i4>5</vt:i4>
      </vt:variant>
      <vt:variant>
        <vt:lpwstr>https://www.dw.com/en/in-croatia-tourism-boom-has-environmentalists-worried/a-66696830</vt:lpwstr>
      </vt:variant>
      <vt:variant>
        <vt:lpwstr>:~:text=Croatian%20government%20aims%20to%20make,however%2C%20and%20not%20before%202025</vt:lpwstr>
      </vt:variant>
      <vt:variant>
        <vt:i4>1835103</vt:i4>
      </vt:variant>
      <vt:variant>
        <vt:i4>345</vt:i4>
      </vt:variant>
      <vt:variant>
        <vt:i4>0</vt:i4>
      </vt:variant>
      <vt:variant>
        <vt:i4>5</vt:i4>
      </vt:variant>
      <vt:variant>
        <vt:lpwstr>https://www.iusinfo.hr/aktualno/u-sredistu/turisticka-pristojba-38091</vt:lpwstr>
      </vt:variant>
      <vt:variant>
        <vt:lpwstr/>
      </vt:variant>
      <vt:variant>
        <vt:i4>1441810</vt:i4>
      </vt:variant>
      <vt:variant>
        <vt:i4>342</vt:i4>
      </vt:variant>
      <vt:variant>
        <vt:i4>0</vt:i4>
      </vt:variant>
      <vt:variant>
        <vt:i4>5</vt:i4>
      </vt:variant>
      <vt:variant>
        <vt:lpwstr>http://nwfp-policies.efi.int/wiki/Collection_permits_for_harvesting_asparagus_in_Croatia%E2%80%99s_state_forests</vt:lpwstr>
      </vt:variant>
      <vt:variant>
        <vt:lpwstr/>
      </vt:variant>
      <vt:variant>
        <vt:i4>262261</vt:i4>
      </vt:variant>
      <vt:variant>
        <vt:i4>339</vt:i4>
      </vt:variant>
      <vt:variant>
        <vt:i4>0</vt:i4>
      </vt:variant>
      <vt:variant>
        <vt:i4>5</vt:i4>
      </vt:variant>
      <vt:variant>
        <vt:lpwstr>https://www.hrsume.hr/wp-content/uploads/2023/04/pravilnik_o_sakupljanju_nedrvnih_sumskih_proizvoda_i_koristenju_sume_i_sumskog_zemljista..pdf</vt:lpwstr>
      </vt:variant>
      <vt:variant>
        <vt:lpwstr/>
      </vt:variant>
      <vt:variant>
        <vt:i4>8192108</vt:i4>
      </vt:variant>
      <vt:variant>
        <vt:i4>336</vt:i4>
      </vt:variant>
      <vt:variant>
        <vt:i4>0</vt:i4>
      </vt:variant>
      <vt:variant>
        <vt:i4>5</vt:i4>
      </vt:variant>
      <vt:variant>
        <vt:lpwstr>https://www.hrsume.hr/gradjani/dozvola-nsp/</vt:lpwstr>
      </vt:variant>
      <vt:variant>
        <vt:lpwstr/>
      </vt:variant>
      <vt:variant>
        <vt:i4>5242955</vt:i4>
      </vt:variant>
      <vt:variant>
        <vt:i4>333</vt:i4>
      </vt:variant>
      <vt:variant>
        <vt:i4>0</vt:i4>
      </vt:variant>
      <vt:variant>
        <vt:i4>5</vt:i4>
      </vt:variant>
      <vt:variant>
        <vt:lpwstr>https://total-croatia-news.com/lifestyle/croatian-forests-2/</vt:lpwstr>
      </vt:variant>
      <vt:variant>
        <vt:lpwstr/>
      </vt:variant>
      <vt:variant>
        <vt:i4>3145830</vt:i4>
      </vt:variant>
      <vt:variant>
        <vt:i4>330</vt:i4>
      </vt:variant>
      <vt:variant>
        <vt:i4>0</vt:i4>
      </vt:variant>
      <vt:variant>
        <vt:i4>5</vt:i4>
      </vt:variant>
      <vt:variant>
        <vt:lpwstr>https://www.expatincroatia.com/fishing-license/</vt:lpwstr>
      </vt:variant>
      <vt:variant>
        <vt:lpwstr/>
      </vt:variant>
      <vt:variant>
        <vt:i4>5570625</vt:i4>
      </vt:variant>
      <vt:variant>
        <vt:i4>327</vt:i4>
      </vt:variant>
      <vt:variant>
        <vt:i4>0</vt:i4>
      </vt:variant>
      <vt:variant>
        <vt:i4>5</vt:i4>
      </vt:variant>
      <vt:variant>
        <vt:lpwstr>https://ribarstvo.mps.hr/default.aspx?id=2802</vt:lpwstr>
      </vt:variant>
      <vt:variant>
        <vt:lpwstr/>
      </vt:variant>
      <vt:variant>
        <vt:i4>5439561</vt:i4>
      </vt:variant>
      <vt:variant>
        <vt:i4>324</vt:i4>
      </vt:variant>
      <vt:variant>
        <vt:i4>0</vt:i4>
      </vt:variant>
      <vt:variant>
        <vt:i4>5</vt:i4>
      </vt:variant>
      <vt:variant>
        <vt:lpwstr>https://ribarstvo.mps.hr/default.aspx?id=5010</vt:lpwstr>
      </vt:variant>
      <vt:variant>
        <vt:lpwstr/>
      </vt:variant>
      <vt:variant>
        <vt:i4>3145830</vt:i4>
      </vt:variant>
      <vt:variant>
        <vt:i4>321</vt:i4>
      </vt:variant>
      <vt:variant>
        <vt:i4>0</vt:i4>
      </vt:variant>
      <vt:variant>
        <vt:i4>5</vt:i4>
      </vt:variant>
      <vt:variant>
        <vt:lpwstr>https://www.expatincroatia.com/fishing-license/</vt:lpwstr>
      </vt:variant>
      <vt:variant>
        <vt:lpwstr/>
      </vt:variant>
      <vt:variant>
        <vt:i4>7602235</vt:i4>
      </vt:variant>
      <vt:variant>
        <vt:i4>318</vt:i4>
      </vt:variant>
      <vt:variant>
        <vt:i4>0</vt:i4>
      </vt:variant>
      <vt:variant>
        <vt:i4>5</vt:i4>
      </vt:variant>
      <vt:variant>
        <vt:lpwstr>https://gov.hr/en/marine-recreational-and-sport-fisheries/1542</vt:lpwstr>
      </vt:variant>
      <vt:variant>
        <vt:lpwstr/>
      </vt:variant>
      <vt:variant>
        <vt:i4>7864370</vt:i4>
      </vt:variant>
      <vt:variant>
        <vt:i4>315</vt:i4>
      </vt:variant>
      <vt:variant>
        <vt:i4>0</vt:i4>
      </vt:variant>
      <vt:variant>
        <vt:i4>5</vt:i4>
      </vt:variant>
      <vt:variant>
        <vt:lpwstr>https://psc.hr/en/game-hunting/</vt:lpwstr>
      </vt:variant>
      <vt:variant>
        <vt:lpwstr/>
      </vt:variant>
      <vt:variant>
        <vt:i4>3014763</vt:i4>
      </vt:variant>
      <vt:variant>
        <vt:i4>312</vt:i4>
      </vt:variant>
      <vt:variant>
        <vt:i4>0</vt:i4>
      </vt:variant>
      <vt:variant>
        <vt:i4>5</vt:i4>
      </vt:variant>
      <vt:variant>
        <vt:lpwstr>https://www.fzoeu.hr/naknada-za-ambalazu-i-ambalazni-otpad-1407</vt:lpwstr>
      </vt:variant>
      <vt:variant>
        <vt:lpwstr/>
      </vt:variant>
      <vt:variant>
        <vt:i4>106</vt:i4>
      </vt:variant>
      <vt:variant>
        <vt:i4>309</vt:i4>
      </vt:variant>
      <vt:variant>
        <vt:i4>0</vt:i4>
      </vt:variant>
      <vt:variant>
        <vt:i4>5</vt:i4>
      </vt:variant>
      <vt:variant>
        <vt:lpwstr>https://narodne-novine.nn.hr/clanci/sluzbeni/2023_11_137_1864.html</vt:lpwstr>
      </vt:variant>
      <vt:variant>
        <vt:lpwstr/>
      </vt:variant>
      <vt:variant>
        <vt:i4>3211374</vt:i4>
      </vt:variant>
      <vt:variant>
        <vt:i4>306</vt:i4>
      </vt:variant>
      <vt:variant>
        <vt:i4>0</vt:i4>
      </vt:variant>
      <vt:variant>
        <vt:i4>5</vt:i4>
      </vt:variant>
      <vt:variant>
        <vt:lpwstr>https://www.szp.hr/UserDocsImages/dokumenti/publikacije/naknada_gospodarenja_ambalaznim_otpadom_info_letak_v1.pdf</vt:lpwstr>
      </vt:variant>
      <vt:variant>
        <vt:lpwstr/>
      </vt:variant>
      <vt:variant>
        <vt:i4>327694</vt:i4>
      </vt:variant>
      <vt:variant>
        <vt:i4>303</vt:i4>
      </vt:variant>
      <vt:variant>
        <vt:i4>0</vt:i4>
      </vt:variant>
      <vt:variant>
        <vt:i4>5</vt:i4>
      </vt:variant>
      <vt:variant>
        <vt:lpwstr>https://www.voda.hr/hr/vodne-naknade</vt:lpwstr>
      </vt:variant>
      <vt:variant>
        <vt:lpwstr/>
      </vt:variant>
      <vt:variant>
        <vt:i4>327694</vt:i4>
      </vt:variant>
      <vt:variant>
        <vt:i4>300</vt:i4>
      </vt:variant>
      <vt:variant>
        <vt:i4>0</vt:i4>
      </vt:variant>
      <vt:variant>
        <vt:i4>5</vt:i4>
      </vt:variant>
      <vt:variant>
        <vt:lpwstr>https://www.voda.hr/hr/vodne-naknade</vt:lpwstr>
      </vt:variant>
      <vt:variant>
        <vt:lpwstr/>
      </vt:variant>
      <vt:variant>
        <vt:i4>2883608</vt:i4>
      </vt:variant>
      <vt:variant>
        <vt:i4>297</vt:i4>
      </vt:variant>
      <vt:variant>
        <vt:i4>0</vt:i4>
      </vt:variant>
      <vt:variant>
        <vt:i4>5</vt:i4>
      </vt:variant>
      <vt:variant>
        <vt:lpwstr>https://www.voda.hr/sites/default/files/2022-04/naknada_za_koristenje_voda.pdf</vt:lpwstr>
      </vt:variant>
      <vt:variant>
        <vt:lpwstr/>
      </vt:variant>
      <vt:variant>
        <vt:i4>327694</vt:i4>
      </vt:variant>
      <vt:variant>
        <vt:i4>294</vt:i4>
      </vt:variant>
      <vt:variant>
        <vt:i4>0</vt:i4>
      </vt:variant>
      <vt:variant>
        <vt:i4>5</vt:i4>
      </vt:variant>
      <vt:variant>
        <vt:lpwstr>https://www.voda.hr/hr/vodne-naknade</vt:lpwstr>
      </vt:variant>
      <vt:variant>
        <vt:lpwstr/>
      </vt:variant>
      <vt:variant>
        <vt:i4>327694</vt:i4>
      </vt:variant>
      <vt:variant>
        <vt:i4>291</vt:i4>
      </vt:variant>
      <vt:variant>
        <vt:i4>0</vt:i4>
      </vt:variant>
      <vt:variant>
        <vt:i4>5</vt:i4>
      </vt:variant>
      <vt:variant>
        <vt:lpwstr>https://www.voda.hr/hr/vodne-naknade</vt:lpwstr>
      </vt:variant>
      <vt:variant>
        <vt:lpwstr/>
      </vt:variant>
      <vt:variant>
        <vt:i4>983161</vt:i4>
      </vt:variant>
      <vt:variant>
        <vt:i4>288</vt:i4>
      </vt:variant>
      <vt:variant>
        <vt:i4>0</vt:i4>
      </vt:variant>
      <vt:variant>
        <vt:i4>5</vt:i4>
      </vt:variant>
      <vt:variant>
        <vt:lpwstr>http://narodne-novine.nn.hr/clanci/sluzbeni/2015_10_119_2244.html</vt:lpwstr>
      </vt:variant>
      <vt:variant>
        <vt:lpwstr/>
      </vt:variant>
      <vt:variant>
        <vt:i4>65650</vt:i4>
      </vt:variant>
      <vt:variant>
        <vt:i4>285</vt:i4>
      </vt:variant>
      <vt:variant>
        <vt:i4>0</vt:i4>
      </vt:variant>
      <vt:variant>
        <vt:i4>5</vt:i4>
      </vt:variant>
      <vt:variant>
        <vt:lpwstr>http://narodne-novine.nn.hr/clanci/sluzbeni/2014_12_154_2904.html</vt:lpwstr>
      </vt:variant>
      <vt:variant>
        <vt:lpwstr/>
      </vt:variant>
      <vt:variant>
        <vt:i4>6422604</vt:i4>
      </vt:variant>
      <vt:variant>
        <vt:i4>282</vt:i4>
      </vt:variant>
      <vt:variant>
        <vt:i4>0</vt:i4>
      </vt:variant>
      <vt:variant>
        <vt:i4>5</vt:i4>
      </vt:variant>
      <vt:variant>
        <vt:lpwstr>http://narodne-novine.nn.hr/clanci/sluzbeni/2011_08_90_1923.html</vt:lpwstr>
      </vt:variant>
      <vt:variant>
        <vt:lpwstr/>
      </vt:variant>
      <vt:variant>
        <vt:i4>5767224</vt:i4>
      </vt:variant>
      <vt:variant>
        <vt:i4>279</vt:i4>
      </vt:variant>
      <vt:variant>
        <vt:i4>0</vt:i4>
      </vt:variant>
      <vt:variant>
        <vt:i4>5</vt:i4>
      </vt:variant>
      <vt:variant>
        <vt:lpwstr>https://narodne-novine.nn.hr/clanci/sluzbeni/2024_03_36_577.html</vt:lpwstr>
      </vt:variant>
      <vt:variant>
        <vt:lpwstr/>
      </vt:variant>
      <vt:variant>
        <vt:i4>6160480</vt:i4>
      </vt:variant>
      <vt:variant>
        <vt:i4>276</vt:i4>
      </vt:variant>
      <vt:variant>
        <vt:i4>0</vt:i4>
      </vt:variant>
      <vt:variant>
        <vt:i4>5</vt:i4>
      </vt:variant>
      <vt:variant>
        <vt:lpwstr>https://narodne-novine.nn.hr/clanci/sluzbeni/2019_07_66_1292.html</vt:lpwstr>
      </vt:variant>
      <vt:variant>
        <vt:lpwstr/>
      </vt:variant>
      <vt:variant>
        <vt:i4>131170</vt:i4>
      </vt:variant>
      <vt:variant>
        <vt:i4>273</vt:i4>
      </vt:variant>
      <vt:variant>
        <vt:i4>0</vt:i4>
      </vt:variant>
      <vt:variant>
        <vt:i4>5</vt:i4>
      </vt:variant>
      <vt:variant>
        <vt:lpwstr>https://narodne-novine.nn.hr/clanci/sluzbeni/2017_12_127_2879.html</vt:lpwstr>
      </vt:variant>
      <vt:variant>
        <vt:lpwstr/>
      </vt:variant>
      <vt:variant>
        <vt:i4>196708</vt:i4>
      </vt:variant>
      <vt:variant>
        <vt:i4>270</vt:i4>
      </vt:variant>
      <vt:variant>
        <vt:i4>0</vt:i4>
      </vt:variant>
      <vt:variant>
        <vt:i4>5</vt:i4>
      </vt:variant>
      <vt:variant>
        <vt:lpwstr>https://narodne-novine.nn.hr/clanci/sluzbeni/2016_12_120_2610.html</vt:lpwstr>
      </vt:variant>
      <vt:variant>
        <vt:lpwstr/>
      </vt:variant>
      <vt:variant>
        <vt:i4>6291526</vt:i4>
      </vt:variant>
      <vt:variant>
        <vt:i4>267</vt:i4>
      </vt:variant>
      <vt:variant>
        <vt:i4>0</vt:i4>
      </vt:variant>
      <vt:variant>
        <vt:i4>5</vt:i4>
      </vt:variant>
      <vt:variant>
        <vt:lpwstr>http://narodne-novine.nn.hr/clanci/sluzbeni/2013_05_56_1140.html</vt:lpwstr>
      </vt:variant>
      <vt:variant>
        <vt:lpwstr/>
      </vt:variant>
      <vt:variant>
        <vt:i4>6422604</vt:i4>
      </vt:variant>
      <vt:variant>
        <vt:i4>264</vt:i4>
      </vt:variant>
      <vt:variant>
        <vt:i4>0</vt:i4>
      </vt:variant>
      <vt:variant>
        <vt:i4>5</vt:i4>
      </vt:variant>
      <vt:variant>
        <vt:lpwstr>http://narodne-novine.nn.hr/clanci/sluzbeni/2011_08_90_1923.html</vt:lpwstr>
      </vt:variant>
      <vt:variant>
        <vt:lpwstr/>
      </vt:variant>
      <vt:variant>
        <vt:i4>131185</vt:i4>
      </vt:variant>
      <vt:variant>
        <vt:i4>261</vt:i4>
      </vt:variant>
      <vt:variant>
        <vt:i4>0</vt:i4>
      </vt:variant>
      <vt:variant>
        <vt:i4>5</vt:i4>
      </vt:variant>
      <vt:variant>
        <vt:lpwstr>http://narodne-novine.nn.hr/clanci/sluzbeni/2009_12_153_3744.html</vt:lpwstr>
      </vt:variant>
      <vt:variant>
        <vt:lpwstr/>
      </vt:variant>
      <vt:variant>
        <vt:i4>7733282</vt:i4>
      </vt:variant>
      <vt:variant>
        <vt:i4>258</vt:i4>
      </vt:variant>
      <vt:variant>
        <vt:i4>0</vt:i4>
      </vt:variant>
      <vt:variant>
        <vt:i4>5</vt:i4>
      </vt:variant>
      <vt:variant>
        <vt:lpwstr>https://www.voda.hr/hr/hrvatsko-vodno-zakonodavstvo</vt:lpwstr>
      </vt:variant>
      <vt:variant>
        <vt:lpwstr/>
      </vt:variant>
      <vt:variant>
        <vt:i4>327694</vt:i4>
      </vt:variant>
      <vt:variant>
        <vt:i4>255</vt:i4>
      </vt:variant>
      <vt:variant>
        <vt:i4>0</vt:i4>
      </vt:variant>
      <vt:variant>
        <vt:i4>5</vt:i4>
      </vt:variant>
      <vt:variant>
        <vt:lpwstr>https://www.voda.hr/hr/vodne-naknade</vt:lpwstr>
      </vt:variant>
      <vt:variant>
        <vt:lpwstr/>
      </vt:variant>
      <vt:variant>
        <vt:i4>983161</vt:i4>
      </vt:variant>
      <vt:variant>
        <vt:i4>252</vt:i4>
      </vt:variant>
      <vt:variant>
        <vt:i4>0</vt:i4>
      </vt:variant>
      <vt:variant>
        <vt:i4>5</vt:i4>
      </vt:variant>
      <vt:variant>
        <vt:lpwstr>http://narodne-novine.nn.hr/clanci/sluzbeni/2015_10_119_2244.html</vt:lpwstr>
      </vt:variant>
      <vt:variant>
        <vt:lpwstr/>
      </vt:variant>
      <vt:variant>
        <vt:i4>65650</vt:i4>
      </vt:variant>
      <vt:variant>
        <vt:i4>249</vt:i4>
      </vt:variant>
      <vt:variant>
        <vt:i4>0</vt:i4>
      </vt:variant>
      <vt:variant>
        <vt:i4>5</vt:i4>
      </vt:variant>
      <vt:variant>
        <vt:lpwstr>http://narodne-novine.nn.hr/clanci/sluzbeni/2014_12_154_2904.html</vt:lpwstr>
      </vt:variant>
      <vt:variant>
        <vt:lpwstr/>
      </vt:variant>
      <vt:variant>
        <vt:i4>6422604</vt:i4>
      </vt:variant>
      <vt:variant>
        <vt:i4>246</vt:i4>
      </vt:variant>
      <vt:variant>
        <vt:i4>0</vt:i4>
      </vt:variant>
      <vt:variant>
        <vt:i4>5</vt:i4>
      </vt:variant>
      <vt:variant>
        <vt:lpwstr>http://narodne-novine.nn.hr/clanci/sluzbeni/2011_08_90_1923.html</vt:lpwstr>
      </vt:variant>
      <vt:variant>
        <vt:lpwstr/>
      </vt:variant>
      <vt:variant>
        <vt:i4>5767224</vt:i4>
      </vt:variant>
      <vt:variant>
        <vt:i4>243</vt:i4>
      </vt:variant>
      <vt:variant>
        <vt:i4>0</vt:i4>
      </vt:variant>
      <vt:variant>
        <vt:i4>5</vt:i4>
      </vt:variant>
      <vt:variant>
        <vt:lpwstr>https://narodne-novine.nn.hr/clanci/sluzbeni/2024_03_36_577.html</vt:lpwstr>
      </vt:variant>
      <vt:variant>
        <vt:lpwstr/>
      </vt:variant>
      <vt:variant>
        <vt:i4>6160480</vt:i4>
      </vt:variant>
      <vt:variant>
        <vt:i4>240</vt:i4>
      </vt:variant>
      <vt:variant>
        <vt:i4>0</vt:i4>
      </vt:variant>
      <vt:variant>
        <vt:i4>5</vt:i4>
      </vt:variant>
      <vt:variant>
        <vt:lpwstr>https://narodne-novine.nn.hr/clanci/sluzbeni/2019_07_66_1292.html</vt:lpwstr>
      </vt:variant>
      <vt:variant>
        <vt:lpwstr/>
      </vt:variant>
      <vt:variant>
        <vt:i4>131170</vt:i4>
      </vt:variant>
      <vt:variant>
        <vt:i4>237</vt:i4>
      </vt:variant>
      <vt:variant>
        <vt:i4>0</vt:i4>
      </vt:variant>
      <vt:variant>
        <vt:i4>5</vt:i4>
      </vt:variant>
      <vt:variant>
        <vt:lpwstr>https://narodne-novine.nn.hr/clanci/sluzbeni/2017_12_127_2879.html</vt:lpwstr>
      </vt:variant>
      <vt:variant>
        <vt:lpwstr/>
      </vt:variant>
      <vt:variant>
        <vt:i4>196708</vt:i4>
      </vt:variant>
      <vt:variant>
        <vt:i4>234</vt:i4>
      </vt:variant>
      <vt:variant>
        <vt:i4>0</vt:i4>
      </vt:variant>
      <vt:variant>
        <vt:i4>5</vt:i4>
      </vt:variant>
      <vt:variant>
        <vt:lpwstr>https://narodne-novine.nn.hr/clanci/sluzbeni/2016_12_120_2610.html</vt:lpwstr>
      </vt:variant>
      <vt:variant>
        <vt:lpwstr/>
      </vt:variant>
      <vt:variant>
        <vt:i4>6291526</vt:i4>
      </vt:variant>
      <vt:variant>
        <vt:i4>231</vt:i4>
      </vt:variant>
      <vt:variant>
        <vt:i4>0</vt:i4>
      </vt:variant>
      <vt:variant>
        <vt:i4>5</vt:i4>
      </vt:variant>
      <vt:variant>
        <vt:lpwstr>http://narodne-novine.nn.hr/clanci/sluzbeni/2013_05_56_1140.html</vt:lpwstr>
      </vt:variant>
      <vt:variant>
        <vt:lpwstr/>
      </vt:variant>
      <vt:variant>
        <vt:i4>6422604</vt:i4>
      </vt:variant>
      <vt:variant>
        <vt:i4>228</vt:i4>
      </vt:variant>
      <vt:variant>
        <vt:i4>0</vt:i4>
      </vt:variant>
      <vt:variant>
        <vt:i4>5</vt:i4>
      </vt:variant>
      <vt:variant>
        <vt:lpwstr>http://narodne-novine.nn.hr/clanci/sluzbeni/2011_08_90_1923.html</vt:lpwstr>
      </vt:variant>
      <vt:variant>
        <vt:lpwstr/>
      </vt:variant>
      <vt:variant>
        <vt:i4>131185</vt:i4>
      </vt:variant>
      <vt:variant>
        <vt:i4>225</vt:i4>
      </vt:variant>
      <vt:variant>
        <vt:i4>0</vt:i4>
      </vt:variant>
      <vt:variant>
        <vt:i4>5</vt:i4>
      </vt:variant>
      <vt:variant>
        <vt:lpwstr>http://narodne-novine.nn.hr/clanci/sluzbeni/2009_12_153_3744.html</vt:lpwstr>
      </vt:variant>
      <vt:variant>
        <vt:lpwstr/>
      </vt:variant>
      <vt:variant>
        <vt:i4>7733282</vt:i4>
      </vt:variant>
      <vt:variant>
        <vt:i4>222</vt:i4>
      </vt:variant>
      <vt:variant>
        <vt:i4>0</vt:i4>
      </vt:variant>
      <vt:variant>
        <vt:i4>5</vt:i4>
      </vt:variant>
      <vt:variant>
        <vt:lpwstr>https://www.voda.hr/hr/hrvatsko-vodno-zakonodavstvo</vt:lpwstr>
      </vt:variant>
      <vt:variant>
        <vt:lpwstr/>
      </vt:variant>
      <vt:variant>
        <vt:i4>1048656</vt:i4>
      </vt:variant>
      <vt:variant>
        <vt:i4>219</vt:i4>
      </vt:variant>
      <vt:variant>
        <vt:i4>0</vt:i4>
      </vt:variant>
      <vt:variant>
        <vt:i4>5</vt:i4>
      </vt:variant>
      <vt:variant>
        <vt:lpwstr>https://www.zakon.hr/z/560/Zakon-o-Fondu-za-za%C5%A1titu-okoli%C5%A1a-i-energetsku-u%C4%8Dinkovitost</vt:lpwstr>
      </vt:variant>
      <vt:variant>
        <vt:lpwstr/>
      </vt:variant>
      <vt:variant>
        <vt:i4>7929908</vt:i4>
      </vt:variant>
      <vt:variant>
        <vt:i4>216</vt:i4>
      </vt:variant>
      <vt:variant>
        <vt:i4>0</vt:i4>
      </vt:variant>
      <vt:variant>
        <vt:i4>5</vt:i4>
      </vt:variant>
      <vt:variant>
        <vt:lpwstr>https://www.fzoeu.hr/naknada-na-opterecivanje-okolisa-otpadom-1401</vt:lpwstr>
      </vt:variant>
      <vt:variant>
        <vt:lpwstr/>
      </vt:variant>
      <vt:variant>
        <vt:i4>1572887</vt:i4>
      </vt:variant>
      <vt:variant>
        <vt:i4>213</vt:i4>
      </vt:variant>
      <vt:variant>
        <vt:i4>0</vt:i4>
      </vt:variant>
      <vt:variant>
        <vt:i4>5</vt:i4>
      </vt:variant>
      <vt:variant>
        <vt:lpwstr>https://poljoprivreda.gov.hr/istaknute-teme/sume-112/sumarstvo/obavijest-uplate-naknade-za-koristenje-okfs-a/248</vt:lpwstr>
      </vt:variant>
      <vt:variant>
        <vt:lpwstr/>
      </vt:variant>
      <vt:variant>
        <vt:i4>589922</vt:i4>
      </vt:variant>
      <vt:variant>
        <vt:i4>210</vt:i4>
      </vt:variant>
      <vt:variant>
        <vt:i4>0</vt:i4>
      </vt:variant>
      <vt:variant>
        <vt:i4>5</vt:i4>
      </vt:variant>
      <vt:variant>
        <vt:lpwstr>https://narodne-novine.nn.hr/clanci/sluzbeni/2024_11_128_2133.html</vt:lpwstr>
      </vt:variant>
      <vt:variant>
        <vt:lpwstr/>
      </vt:variant>
      <vt:variant>
        <vt:i4>4522069</vt:i4>
      </vt:variant>
      <vt:variant>
        <vt:i4>207</vt:i4>
      </vt:variant>
      <vt:variant>
        <vt:i4>0</vt:i4>
      </vt:variant>
      <vt:variant>
        <vt:i4>5</vt:i4>
      </vt:variant>
      <vt:variant>
        <vt:lpwstr>https://zapresic.hr/wp-content/uploads/2022/11/7.2.-Program-utroska-sumski-doprinos-2023.pdf</vt:lpwstr>
      </vt:variant>
      <vt:variant>
        <vt:lpwstr/>
      </vt:variant>
      <vt:variant>
        <vt:i4>196694</vt:i4>
      </vt:variant>
      <vt:variant>
        <vt:i4>204</vt:i4>
      </vt:variant>
      <vt:variant>
        <vt:i4>0</vt:i4>
      </vt:variant>
      <vt:variant>
        <vt:i4>5</vt:i4>
      </vt:variant>
      <vt:variant>
        <vt:lpwstr>https://faolex.fao.org/docs/pdf/cro145591.pdf</vt:lpwstr>
      </vt:variant>
      <vt:variant>
        <vt:lpwstr/>
      </vt:variant>
      <vt:variant>
        <vt:i4>589922</vt:i4>
      </vt:variant>
      <vt:variant>
        <vt:i4>201</vt:i4>
      </vt:variant>
      <vt:variant>
        <vt:i4>0</vt:i4>
      </vt:variant>
      <vt:variant>
        <vt:i4>5</vt:i4>
      </vt:variant>
      <vt:variant>
        <vt:lpwstr>https://narodne-novine.nn.hr/clanci/sluzbeni/2024_11_128_2133.html</vt:lpwstr>
      </vt:variant>
      <vt:variant>
        <vt:lpwstr/>
      </vt:variant>
      <vt:variant>
        <vt:i4>589922</vt:i4>
      </vt:variant>
      <vt:variant>
        <vt:i4>198</vt:i4>
      </vt:variant>
      <vt:variant>
        <vt:i4>0</vt:i4>
      </vt:variant>
      <vt:variant>
        <vt:i4>5</vt:i4>
      </vt:variant>
      <vt:variant>
        <vt:lpwstr>https://narodne-novine.nn.hr/clanci/sluzbeni/2024_11_128_2133.html</vt:lpwstr>
      </vt:variant>
      <vt:variant>
        <vt:lpwstr/>
      </vt:variant>
      <vt:variant>
        <vt:i4>7929908</vt:i4>
      </vt:variant>
      <vt:variant>
        <vt:i4>195</vt:i4>
      </vt:variant>
      <vt:variant>
        <vt:i4>0</vt:i4>
      </vt:variant>
      <vt:variant>
        <vt:i4>5</vt:i4>
      </vt:variant>
      <vt:variant>
        <vt:lpwstr>https://www.fzoeu.hr/naknada-na-opterecivanje-okolisa-otpadom-1401</vt:lpwstr>
      </vt:variant>
      <vt:variant>
        <vt:lpwstr/>
      </vt:variant>
      <vt:variant>
        <vt:i4>4915288</vt:i4>
      </vt:variant>
      <vt:variant>
        <vt:i4>192</vt:i4>
      </vt:variant>
      <vt:variant>
        <vt:i4>0</vt:i4>
      </vt:variant>
      <vt:variant>
        <vt:i4>5</vt:i4>
      </vt:variant>
      <vt:variant>
        <vt:lpwstr>https://vlada.gov.hr/UserDocsImages//2016/Sjednice/Arhiva//24-11a.pdf</vt:lpwstr>
      </vt:variant>
      <vt:variant>
        <vt:lpwstr/>
      </vt:variant>
      <vt:variant>
        <vt:i4>7929908</vt:i4>
      </vt:variant>
      <vt:variant>
        <vt:i4>189</vt:i4>
      </vt:variant>
      <vt:variant>
        <vt:i4>0</vt:i4>
      </vt:variant>
      <vt:variant>
        <vt:i4>5</vt:i4>
      </vt:variant>
      <vt:variant>
        <vt:lpwstr>https://www.fzoeu.hr/naknada-na-opterecivanje-okolisa-otpadom-1401</vt:lpwstr>
      </vt:variant>
      <vt:variant>
        <vt:lpwstr/>
      </vt:variant>
      <vt:variant>
        <vt:i4>5242981</vt:i4>
      </vt:variant>
      <vt:variant>
        <vt:i4>186</vt:i4>
      </vt:variant>
      <vt:variant>
        <vt:i4>0</vt:i4>
      </vt:variant>
      <vt:variant>
        <vt:i4>5</vt:i4>
      </vt:variant>
      <vt:variant>
        <vt:lpwstr>https://narodne-novine.nn.hr/clanci/sluzbeni/2004_05_71_1468.html</vt:lpwstr>
      </vt:variant>
      <vt:variant>
        <vt:lpwstr/>
      </vt:variant>
      <vt:variant>
        <vt:i4>5308519</vt:i4>
      </vt:variant>
      <vt:variant>
        <vt:i4>183</vt:i4>
      </vt:variant>
      <vt:variant>
        <vt:i4>0</vt:i4>
      </vt:variant>
      <vt:variant>
        <vt:i4>5</vt:i4>
      </vt:variant>
      <vt:variant>
        <vt:lpwstr>https://narodne-novine.nn.hr/clanci/sluzbeni/2004_07_95_1809.html</vt:lpwstr>
      </vt:variant>
      <vt:variant>
        <vt:lpwstr/>
      </vt:variant>
      <vt:variant>
        <vt:i4>7929908</vt:i4>
      </vt:variant>
      <vt:variant>
        <vt:i4>180</vt:i4>
      </vt:variant>
      <vt:variant>
        <vt:i4>0</vt:i4>
      </vt:variant>
      <vt:variant>
        <vt:i4>5</vt:i4>
      </vt:variant>
      <vt:variant>
        <vt:lpwstr>https://www.fzoeu.hr/naknada-na-opterecivanje-okolisa-otpadom-1401</vt:lpwstr>
      </vt:variant>
      <vt:variant>
        <vt:lpwstr/>
      </vt:variant>
      <vt:variant>
        <vt:i4>4915288</vt:i4>
      </vt:variant>
      <vt:variant>
        <vt:i4>177</vt:i4>
      </vt:variant>
      <vt:variant>
        <vt:i4>0</vt:i4>
      </vt:variant>
      <vt:variant>
        <vt:i4>5</vt:i4>
      </vt:variant>
      <vt:variant>
        <vt:lpwstr>https://vlada.gov.hr/UserDocsImages//2016/Sjednice/Arhiva//24-11a.pdf</vt:lpwstr>
      </vt:variant>
      <vt:variant>
        <vt:lpwstr/>
      </vt:variant>
      <vt:variant>
        <vt:i4>5242981</vt:i4>
      </vt:variant>
      <vt:variant>
        <vt:i4>174</vt:i4>
      </vt:variant>
      <vt:variant>
        <vt:i4>0</vt:i4>
      </vt:variant>
      <vt:variant>
        <vt:i4>5</vt:i4>
      </vt:variant>
      <vt:variant>
        <vt:lpwstr>https://narodne-novine.nn.hr/clanci/sluzbeni/2004_05_71_1468.html</vt:lpwstr>
      </vt:variant>
      <vt:variant>
        <vt:lpwstr/>
      </vt:variant>
      <vt:variant>
        <vt:i4>5308519</vt:i4>
      </vt:variant>
      <vt:variant>
        <vt:i4>171</vt:i4>
      </vt:variant>
      <vt:variant>
        <vt:i4>0</vt:i4>
      </vt:variant>
      <vt:variant>
        <vt:i4>5</vt:i4>
      </vt:variant>
      <vt:variant>
        <vt:lpwstr>https://narodne-novine.nn.hr/clanci/sluzbeni/2004_07_95_1809.html</vt:lpwstr>
      </vt:variant>
      <vt:variant>
        <vt:lpwstr/>
      </vt:variant>
      <vt:variant>
        <vt:i4>2097210</vt:i4>
      </vt:variant>
      <vt:variant>
        <vt:i4>168</vt:i4>
      </vt:variant>
      <vt:variant>
        <vt:i4>0</vt:i4>
      </vt:variant>
      <vt:variant>
        <vt:i4>5</vt:i4>
      </vt:variant>
      <vt:variant>
        <vt:lpwstr>https://www.fzoeu.hr/naknade-8395-8395</vt:lpwstr>
      </vt:variant>
      <vt:variant>
        <vt:lpwstr/>
      </vt:variant>
      <vt:variant>
        <vt:i4>91</vt:i4>
      </vt:variant>
      <vt:variant>
        <vt:i4>165</vt:i4>
      </vt:variant>
      <vt:variant>
        <vt:i4>0</vt:i4>
      </vt:variant>
      <vt:variant>
        <vt:i4>5</vt:i4>
      </vt:variant>
      <vt:variant>
        <vt:lpwstr>https://www.fzoeu.hr/naknada-zbrinjavanja-otpadnih-mazivih-ulja-1413</vt:lpwstr>
      </vt:variant>
      <vt:variant>
        <vt:lpwstr/>
      </vt:variant>
      <vt:variant>
        <vt:i4>327783</vt:i4>
      </vt:variant>
      <vt:variant>
        <vt:i4>162</vt:i4>
      </vt:variant>
      <vt:variant>
        <vt:i4>0</vt:i4>
      </vt:variant>
      <vt:variant>
        <vt:i4>5</vt:i4>
      </vt:variant>
      <vt:variant>
        <vt:lpwstr>https://narodne-novine.nn.hr/clanci/sluzbeni/2023_10_124_1717.html</vt:lpwstr>
      </vt:variant>
      <vt:variant>
        <vt:lpwstr/>
      </vt:variant>
      <vt:variant>
        <vt:i4>6094948</vt:i4>
      </vt:variant>
      <vt:variant>
        <vt:i4>159</vt:i4>
      </vt:variant>
      <vt:variant>
        <vt:i4>0</vt:i4>
      </vt:variant>
      <vt:variant>
        <vt:i4>5</vt:i4>
      </vt:variant>
      <vt:variant>
        <vt:lpwstr>https://narodne-novine.nn.hr/clanci/sluzbeni/2020_05_57_1150.html</vt:lpwstr>
      </vt:variant>
      <vt:variant>
        <vt:lpwstr/>
      </vt:variant>
      <vt:variant>
        <vt:i4>2293817</vt:i4>
      </vt:variant>
      <vt:variant>
        <vt:i4>156</vt:i4>
      </vt:variant>
      <vt:variant>
        <vt:i4>0</vt:i4>
      </vt:variant>
      <vt:variant>
        <vt:i4>5</vt:i4>
      </vt:variant>
      <vt:variant>
        <vt:lpwstr>https://www.fzoeu.hr/naknade-8387-8387</vt:lpwstr>
      </vt:variant>
      <vt:variant>
        <vt:lpwstr/>
      </vt:variant>
      <vt:variant>
        <vt:i4>6422561</vt:i4>
      </vt:variant>
      <vt:variant>
        <vt:i4>153</vt:i4>
      </vt:variant>
      <vt:variant>
        <vt:i4>0</vt:i4>
      </vt:variant>
      <vt:variant>
        <vt:i4>5</vt:i4>
      </vt:variant>
      <vt:variant>
        <vt:lpwstr>https://www.fzoeu.hr/naknada-za-gospodarenje-s-otpadnim-gumama-1411</vt:lpwstr>
      </vt:variant>
      <vt:variant>
        <vt:lpwstr/>
      </vt:variant>
      <vt:variant>
        <vt:i4>327783</vt:i4>
      </vt:variant>
      <vt:variant>
        <vt:i4>150</vt:i4>
      </vt:variant>
      <vt:variant>
        <vt:i4>0</vt:i4>
      </vt:variant>
      <vt:variant>
        <vt:i4>5</vt:i4>
      </vt:variant>
      <vt:variant>
        <vt:lpwstr>https://narodne-novine.nn.hr/clanci/sluzbeni/2023_10_124_1717.html</vt:lpwstr>
      </vt:variant>
      <vt:variant>
        <vt:lpwstr/>
      </vt:variant>
      <vt:variant>
        <vt:i4>3014708</vt:i4>
      </vt:variant>
      <vt:variant>
        <vt:i4>147</vt:i4>
      </vt:variant>
      <vt:variant>
        <vt:i4>0</vt:i4>
      </vt:variant>
      <vt:variant>
        <vt:i4>5</vt:i4>
      </vt:variant>
      <vt:variant>
        <vt:lpwstr>https://www.fzoeu.hr/naknade-8405-8405</vt:lpwstr>
      </vt:variant>
      <vt:variant>
        <vt:lpwstr/>
      </vt:variant>
      <vt:variant>
        <vt:i4>6946918</vt:i4>
      </vt:variant>
      <vt:variant>
        <vt:i4>144</vt:i4>
      </vt:variant>
      <vt:variant>
        <vt:i4>0</vt:i4>
      </vt:variant>
      <vt:variant>
        <vt:i4>5</vt:i4>
      </vt:variant>
      <vt:variant>
        <vt:lpwstr>https://www.fzoeu.hr/naknada-za-gospodarenje-otpadnim-vozilima-1417</vt:lpwstr>
      </vt:variant>
      <vt:variant>
        <vt:lpwstr/>
      </vt:variant>
      <vt:variant>
        <vt:i4>327783</vt:i4>
      </vt:variant>
      <vt:variant>
        <vt:i4>141</vt:i4>
      </vt:variant>
      <vt:variant>
        <vt:i4>0</vt:i4>
      </vt:variant>
      <vt:variant>
        <vt:i4>5</vt:i4>
      </vt:variant>
      <vt:variant>
        <vt:lpwstr>https://narodne-novine.nn.hr/clanci/sluzbeni/2023_10_124_1717.html</vt:lpwstr>
      </vt:variant>
      <vt:variant>
        <vt:lpwstr/>
      </vt:variant>
      <vt:variant>
        <vt:i4>4522000</vt:i4>
      </vt:variant>
      <vt:variant>
        <vt:i4>138</vt:i4>
      </vt:variant>
      <vt:variant>
        <vt:i4>0</vt:i4>
      </vt:variant>
      <vt:variant>
        <vt:i4>5</vt:i4>
      </vt:variant>
      <vt:variant>
        <vt:lpwstr>https://www.fzoeu.hr/naknada-gospodarenja-ee-otpadom-1419</vt:lpwstr>
      </vt:variant>
      <vt:variant>
        <vt:lpwstr/>
      </vt:variant>
      <vt:variant>
        <vt:i4>4194323</vt:i4>
      </vt:variant>
      <vt:variant>
        <vt:i4>135</vt:i4>
      </vt:variant>
      <vt:variant>
        <vt:i4>0</vt:i4>
      </vt:variant>
      <vt:variant>
        <vt:i4>5</vt:i4>
      </vt:variant>
      <vt:variant>
        <vt:lpwstr>https://kruzna-ekonomija.com/2021/04/22/naknada-gospodarenja-ee-otpadom/</vt:lpwstr>
      </vt:variant>
      <vt:variant>
        <vt:lpwstr/>
      </vt:variant>
      <vt:variant>
        <vt:i4>4522000</vt:i4>
      </vt:variant>
      <vt:variant>
        <vt:i4>132</vt:i4>
      </vt:variant>
      <vt:variant>
        <vt:i4>0</vt:i4>
      </vt:variant>
      <vt:variant>
        <vt:i4>5</vt:i4>
      </vt:variant>
      <vt:variant>
        <vt:lpwstr>https://www.fzoeu.hr/naknada-gospodarenja-ee-otpadom-1419</vt:lpwstr>
      </vt:variant>
      <vt:variant>
        <vt:lpwstr/>
      </vt:variant>
      <vt:variant>
        <vt:i4>327783</vt:i4>
      </vt:variant>
      <vt:variant>
        <vt:i4>129</vt:i4>
      </vt:variant>
      <vt:variant>
        <vt:i4>0</vt:i4>
      </vt:variant>
      <vt:variant>
        <vt:i4>5</vt:i4>
      </vt:variant>
      <vt:variant>
        <vt:lpwstr>https://narodne-novine.nn.hr/clanci/sluzbeni/2023_10_124_1717.html</vt:lpwstr>
      </vt:variant>
      <vt:variant>
        <vt:lpwstr/>
      </vt:variant>
      <vt:variant>
        <vt:i4>786528</vt:i4>
      </vt:variant>
      <vt:variant>
        <vt:i4>126</vt:i4>
      </vt:variant>
      <vt:variant>
        <vt:i4>0</vt:i4>
      </vt:variant>
      <vt:variant>
        <vt:i4>5</vt:i4>
      </vt:variant>
      <vt:variant>
        <vt:lpwstr>https://narodne-novine.nn.hr/clanci/sluzbeni/2015_10_115_2193.html</vt:lpwstr>
      </vt:variant>
      <vt:variant>
        <vt:lpwstr/>
      </vt:variant>
      <vt:variant>
        <vt:i4>786528</vt:i4>
      </vt:variant>
      <vt:variant>
        <vt:i4>123</vt:i4>
      </vt:variant>
      <vt:variant>
        <vt:i4>0</vt:i4>
      </vt:variant>
      <vt:variant>
        <vt:i4>5</vt:i4>
      </vt:variant>
      <vt:variant>
        <vt:lpwstr>https://narodne-novine.nn.hr/clanci/sluzbeni/2015_10_115_2193.html</vt:lpwstr>
      </vt:variant>
      <vt:variant>
        <vt:lpwstr/>
      </vt:variant>
      <vt:variant>
        <vt:i4>6226021</vt:i4>
      </vt:variant>
      <vt:variant>
        <vt:i4>120</vt:i4>
      </vt:variant>
      <vt:variant>
        <vt:i4>0</vt:i4>
      </vt:variant>
      <vt:variant>
        <vt:i4>5</vt:i4>
      </vt:variant>
      <vt:variant>
        <vt:lpwstr>https://narodne-novine.nn.hr/clanci/sluzbeni/2004_05_71_1467.html</vt:lpwstr>
      </vt:variant>
      <vt:variant>
        <vt:lpwstr/>
      </vt:variant>
      <vt:variant>
        <vt:i4>786528</vt:i4>
      </vt:variant>
      <vt:variant>
        <vt:i4>117</vt:i4>
      </vt:variant>
      <vt:variant>
        <vt:i4>0</vt:i4>
      </vt:variant>
      <vt:variant>
        <vt:i4>5</vt:i4>
      </vt:variant>
      <vt:variant>
        <vt:lpwstr>https://narodne-novine.nn.hr/clanci/sluzbeni/2015_10_115_2193.html</vt:lpwstr>
      </vt:variant>
      <vt:variant>
        <vt:lpwstr/>
      </vt:variant>
      <vt:variant>
        <vt:i4>786528</vt:i4>
      </vt:variant>
      <vt:variant>
        <vt:i4>114</vt:i4>
      </vt:variant>
      <vt:variant>
        <vt:i4>0</vt:i4>
      </vt:variant>
      <vt:variant>
        <vt:i4>5</vt:i4>
      </vt:variant>
      <vt:variant>
        <vt:lpwstr>https://narodne-novine.nn.hr/clanci/sluzbeni/2015_10_115_2193.html</vt:lpwstr>
      </vt:variant>
      <vt:variant>
        <vt:lpwstr/>
      </vt:variant>
      <vt:variant>
        <vt:i4>6226021</vt:i4>
      </vt:variant>
      <vt:variant>
        <vt:i4>111</vt:i4>
      </vt:variant>
      <vt:variant>
        <vt:i4>0</vt:i4>
      </vt:variant>
      <vt:variant>
        <vt:i4>5</vt:i4>
      </vt:variant>
      <vt:variant>
        <vt:lpwstr>https://narodne-novine.nn.hr/clanci/sluzbeni/2004_05_71_1467.html</vt:lpwstr>
      </vt:variant>
      <vt:variant>
        <vt:lpwstr/>
      </vt:variant>
      <vt:variant>
        <vt:i4>917524</vt:i4>
      </vt:variant>
      <vt:variant>
        <vt:i4>108</vt:i4>
      </vt:variant>
      <vt:variant>
        <vt:i4>0</vt:i4>
      </vt:variant>
      <vt:variant>
        <vt:i4>5</vt:i4>
      </vt:variant>
      <vt:variant>
        <vt:lpwstr>https://data.europa.eu/doi/10.2779/187999</vt:lpwstr>
      </vt:variant>
      <vt:variant>
        <vt:lpwstr/>
      </vt:variant>
      <vt:variant>
        <vt:i4>4653057</vt:i4>
      </vt:variant>
      <vt:variant>
        <vt:i4>105</vt:i4>
      </vt:variant>
      <vt:variant>
        <vt:i4>0</vt:i4>
      </vt:variant>
      <vt:variant>
        <vt:i4>5</vt:i4>
      </vt:variant>
      <vt:variant>
        <vt:lpwstr>https://commission.europa.eu/document/download/7c4a6dd6-e086-41fa-aab0-7b6be0cd5b40_en?filename=COM_2025_202_1_EN_ACT_part1_v4.pdf</vt:lpwstr>
      </vt:variant>
      <vt:variant>
        <vt:lpwstr/>
      </vt:variant>
      <vt:variant>
        <vt:i4>4653057</vt:i4>
      </vt:variant>
      <vt:variant>
        <vt:i4>102</vt:i4>
      </vt:variant>
      <vt:variant>
        <vt:i4>0</vt:i4>
      </vt:variant>
      <vt:variant>
        <vt:i4>5</vt:i4>
      </vt:variant>
      <vt:variant>
        <vt:lpwstr>https://commission.europa.eu/document/download/7c4a6dd6-e086-41fa-aab0-7b6be0cd5b40_en?filename=COM_2025_202_1_EN_ACT_part1_v4.pdf</vt:lpwstr>
      </vt:variant>
      <vt:variant>
        <vt:lpwstr/>
      </vt:variant>
      <vt:variant>
        <vt:i4>917524</vt:i4>
      </vt:variant>
      <vt:variant>
        <vt:i4>99</vt:i4>
      </vt:variant>
      <vt:variant>
        <vt:i4>0</vt:i4>
      </vt:variant>
      <vt:variant>
        <vt:i4>5</vt:i4>
      </vt:variant>
      <vt:variant>
        <vt:lpwstr>https://data.europa.eu/doi/10.2779/187999</vt:lpwstr>
      </vt:variant>
      <vt:variant>
        <vt:lpwstr/>
      </vt:variant>
      <vt:variant>
        <vt:i4>2293815</vt:i4>
      </vt:variant>
      <vt:variant>
        <vt:i4>96</vt:i4>
      </vt:variant>
      <vt:variant>
        <vt:i4>0</vt:i4>
      </vt:variant>
      <vt:variant>
        <vt:i4>5</vt:i4>
      </vt:variant>
      <vt:variant>
        <vt:lpwstr>https://www.plan.be/fr/publications/depenses-fiscales-liees-aux-voitures-de-societe</vt:lpwstr>
      </vt:variant>
      <vt:variant>
        <vt:lpwstr/>
      </vt:variant>
      <vt:variant>
        <vt:i4>6881393</vt:i4>
      </vt:variant>
      <vt:variant>
        <vt:i4>93</vt:i4>
      </vt:variant>
      <vt:variant>
        <vt:i4>0</vt:i4>
      </vt:variant>
      <vt:variant>
        <vt:i4>5</vt:i4>
      </vt:variant>
      <vt:variant>
        <vt:lpwstr>https://www.consilium.europa.eu/en/press/press-releases/2025/07/08/european-semester-2025-council-adopts-country-specific-recommendations/</vt:lpwstr>
      </vt:variant>
      <vt:variant>
        <vt:lpwstr/>
      </vt:variant>
      <vt:variant>
        <vt:i4>6160423</vt:i4>
      </vt:variant>
      <vt:variant>
        <vt:i4>90</vt:i4>
      </vt:variant>
      <vt:variant>
        <vt:i4>0</vt:i4>
      </vt:variant>
      <vt:variant>
        <vt:i4>5</vt:i4>
      </vt:variant>
      <vt:variant>
        <vt:lpwstr>https://economy-finance.ec.europa.eu/document/download/db66340f-3711-4f6e-aadd-81528e029de8_en?filename=BE_CR_SWD_2025_201_1_EN_autre_document_travail_service_part1_v5.pdf</vt:lpwstr>
      </vt:variant>
      <vt:variant>
        <vt:lpwstr/>
      </vt:variant>
      <vt:variant>
        <vt:i4>6160423</vt:i4>
      </vt:variant>
      <vt:variant>
        <vt:i4>87</vt:i4>
      </vt:variant>
      <vt:variant>
        <vt:i4>0</vt:i4>
      </vt:variant>
      <vt:variant>
        <vt:i4>5</vt:i4>
      </vt:variant>
      <vt:variant>
        <vt:lpwstr>https://economy-finance.ec.europa.eu/document/download/db66340f-3711-4f6e-aadd-81528e029de8_en?filename=BE_CR_SWD_2025_201_1_EN_autre_document_travail_service_part1_v5.pdf</vt:lpwstr>
      </vt:variant>
      <vt:variant>
        <vt:lpwstr/>
      </vt:variant>
      <vt:variant>
        <vt:i4>6160423</vt:i4>
      </vt:variant>
      <vt:variant>
        <vt:i4>84</vt:i4>
      </vt:variant>
      <vt:variant>
        <vt:i4>0</vt:i4>
      </vt:variant>
      <vt:variant>
        <vt:i4>5</vt:i4>
      </vt:variant>
      <vt:variant>
        <vt:lpwstr>https://economy-finance.ec.europa.eu/document/download/db66340f-3711-4f6e-aadd-81528e029de8_en?filename=BE_CR_SWD_2025_201_1_EN_autre_document_travail_service_part1_v5.pdf</vt:lpwstr>
      </vt:variant>
      <vt:variant>
        <vt:lpwstr/>
      </vt:variant>
      <vt:variant>
        <vt:i4>6160423</vt:i4>
      </vt:variant>
      <vt:variant>
        <vt:i4>81</vt:i4>
      </vt:variant>
      <vt:variant>
        <vt:i4>0</vt:i4>
      </vt:variant>
      <vt:variant>
        <vt:i4>5</vt:i4>
      </vt:variant>
      <vt:variant>
        <vt:lpwstr>https://economy-finance.ec.europa.eu/document/download/db66340f-3711-4f6e-aadd-81528e029de8_en?filename=BE_CR_SWD_2025_201_1_EN_autre_document_travail_service_part1_v5.pdf</vt:lpwstr>
      </vt:variant>
      <vt:variant>
        <vt:lpwstr/>
      </vt:variant>
      <vt:variant>
        <vt:i4>917524</vt:i4>
      </vt:variant>
      <vt:variant>
        <vt:i4>78</vt:i4>
      </vt:variant>
      <vt:variant>
        <vt:i4>0</vt:i4>
      </vt:variant>
      <vt:variant>
        <vt:i4>5</vt:i4>
      </vt:variant>
      <vt:variant>
        <vt:lpwstr>https://data.europa.eu/doi/10.2779/249540</vt:lpwstr>
      </vt:variant>
      <vt:variant>
        <vt:lpwstr/>
      </vt:variant>
      <vt:variant>
        <vt:i4>6291566</vt:i4>
      </vt:variant>
      <vt:variant>
        <vt:i4>75</vt:i4>
      </vt:variant>
      <vt:variant>
        <vt:i4>0</vt:i4>
      </vt:variant>
      <vt:variant>
        <vt:i4>5</vt:i4>
      </vt:variant>
      <vt:variant>
        <vt:lpwstr>https://wts.com/wts.com/publications/climate-protection-green-tax-energy/2023/wtsglobal-plastic-taxation-in-europe-2023.pdf</vt:lpwstr>
      </vt:variant>
      <vt:variant>
        <vt:lpwstr/>
      </vt:variant>
      <vt:variant>
        <vt:i4>6815841</vt:i4>
      </vt:variant>
      <vt:variant>
        <vt:i4>51</vt:i4>
      </vt:variant>
      <vt:variant>
        <vt:i4>0</vt:i4>
      </vt:variant>
      <vt:variant>
        <vt:i4>5</vt:i4>
      </vt:variant>
      <vt:variant>
        <vt:lpwstr>https://www.wien.gv.at/amtshelfer/umwelt/wasser/wasseranschluss/wassergebuehr.html</vt:lpwstr>
      </vt:variant>
      <vt:variant>
        <vt:lpwstr/>
      </vt:variant>
      <vt:variant>
        <vt:i4>6684788</vt:i4>
      </vt:variant>
      <vt:variant>
        <vt:i4>48</vt:i4>
      </vt:variant>
      <vt:variant>
        <vt:i4>0</vt:i4>
      </vt:variant>
      <vt:variant>
        <vt:i4>5</vt:i4>
      </vt:variant>
      <vt:variant>
        <vt:lpwstr>https://www.ris.bka.gv.at/GeltendeFassung.wxe?Abfrage=LrVbg&amp;Gesetzesnummer=20000466</vt:lpwstr>
      </vt:variant>
      <vt:variant>
        <vt:lpwstr/>
      </vt:variant>
      <vt:variant>
        <vt:i4>3604590</vt:i4>
      </vt:variant>
      <vt:variant>
        <vt:i4>45</vt:i4>
      </vt:variant>
      <vt:variant>
        <vt:i4>0</vt:i4>
      </vt:variant>
      <vt:variant>
        <vt:i4>5</vt:i4>
      </vt:variant>
      <vt:variant>
        <vt:lpwstr>https://ris.bka.gv.at/GeltendeFassung.wxe?Abfrage=LrT&amp;Gesetzesnummer=20000252&amp;FassungVom=2023-05-07</vt:lpwstr>
      </vt:variant>
      <vt:variant>
        <vt:lpwstr/>
      </vt:variant>
      <vt:variant>
        <vt:i4>2555949</vt:i4>
      </vt:variant>
      <vt:variant>
        <vt:i4>42</vt:i4>
      </vt:variant>
      <vt:variant>
        <vt:i4>0</vt:i4>
      </vt:variant>
      <vt:variant>
        <vt:i4>5</vt:i4>
      </vt:variant>
      <vt:variant>
        <vt:lpwstr>https://www.bmf.gv.at/themen/steuern/immobilien-grundstuecke/grundbesitzabgaben-einheitsbewertung/grundsteuer.html</vt:lpwstr>
      </vt:variant>
      <vt:variant>
        <vt:lpwstr/>
      </vt:variant>
      <vt:variant>
        <vt:i4>6946864</vt:i4>
      </vt:variant>
      <vt:variant>
        <vt:i4>39</vt:i4>
      </vt:variant>
      <vt:variant>
        <vt:i4>0</vt:i4>
      </vt:variant>
      <vt:variant>
        <vt:i4>5</vt:i4>
      </vt:variant>
      <vt:variant>
        <vt:lpwstr>https://www.ris.bka.gv.at/GeltendeFassung.wxe?Abfrage=Bundesnormen&amp;Gesetzesnummer=10003845</vt:lpwstr>
      </vt:variant>
      <vt:variant>
        <vt:lpwstr/>
      </vt:variant>
      <vt:variant>
        <vt:i4>655360</vt:i4>
      </vt:variant>
      <vt:variant>
        <vt:i4>36</vt:i4>
      </vt:variant>
      <vt:variant>
        <vt:i4>0</vt:i4>
      </vt:variant>
      <vt:variant>
        <vt:i4>5</vt:i4>
      </vt:variant>
      <vt:variant>
        <vt:lpwstr>https://www.wien.gv.at/amtshelfer/umwelt/wasser/wasseranschluss/abwassergebuehr.html</vt:lpwstr>
      </vt:variant>
      <vt:variant>
        <vt:lpwstr/>
      </vt:variant>
      <vt:variant>
        <vt:i4>5374028</vt:i4>
      </vt:variant>
      <vt:variant>
        <vt:i4>33</vt:i4>
      </vt:variant>
      <vt:variant>
        <vt:i4>0</vt:i4>
      </vt:variant>
      <vt:variant>
        <vt:i4>5</vt:i4>
      </vt:variant>
      <vt:variant>
        <vt:lpwstr>https://www.wasserwirtschaft.steiermark.at/cms/beitrag/12799991/160281757</vt:lpwstr>
      </vt:variant>
      <vt:variant>
        <vt:lpwstr/>
      </vt:variant>
      <vt:variant>
        <vt:i4>917524</vt:i4>
      </vt:variant>
      <vt:variant>
        <vt:i4>30</vt:i4>
      </vt:variant>
      <vt:variant>
        <vt:i4>0</vt:i4>
      </vt:variant>
      <vt:variant>
        <vt:i4>5</vt:i4>
      </vt:variant>
      <vt:variant>
        <vt:lpwstr>https://data.europa.eu/doi/10.2779/249540</vt:lpwstr>
      </vt:variant>
      <vt:variant>
        <vt:lpwstr/>
      </vt:variant>
      <vt:variant>
        <vt:i4>3932206</vt:i4>
      </vt:variant>
      <vt:variant>
        <vt:i4>27</vt:i4>
      </vt:variant>
      <vt:variant>
        <vt:i4>0</vt:i4>
      </vt:variant>
      <vt:variant>
        <vt:i4>5</vt:i4>
      </vt:variant>
      <vt:variant>
        <vt:lpwstr>https://www.stadt-salzburg.at/fileadmin/user_upload/04013/abfallwirtschaftsgebuehr_2025.pdf</vt:lpwstr>
      </vt:variant>
      <vt:variant>
        <vt:lpwstr/>
      </vt:variant>
      <vt:variant>
        <vt:i4>393239</vt:i4>
      </vt:variant>
      <vt:variant>
        <vt:i4>24</vt:i4>
      </vt:variant>
      <vt:variant>
        <vt:i4>0</vt:i4>
      </vt:variant>
      <vt:variant>
        <vt:i4>5</vt:i4>
      </vt:variant>
      <vt:variant>
        <vt:lpwstr>https://www.ris.bka.gv.at/GeltendeFassung.wxe?Abfrage=LrW&amp;Gesetzesnummer=20000141</vt:lpwstr>
      </vt:variant>
      <vt:variant>
        <vt:lpwstr/>
      </vt:variant>
      <vt:variant>
        <vt:i4>2031635</vt:i4>
      </vt:variant>
      <vt:variant>
        <vt:i4>21</vt:i4>
      </vt:variant>
      <vt:variant>
        <vt:i4>0</vt:i4>
      </vt:variant>
      <vt:variant>
        <vt:i4>5</vt:i4>
      </vt:variant>
      <vt:variant>
        <vt:lpwstr>https://www.sbg-jaegerschaft.at/fileadmin/user_upload/Buch_Sbg_Jagdgesetz_Stand_September_2022.pdf</vt:lpwstr>
      </vt:variant>
      <vt:variant>
        <vt:lpwstr/>
      </vt:variant>
      <vt:variant>
        <vt:i4>1507412</vt:i4>
      </vt:variant>
      <vt:variant>
        <vt:i4>9</vt:i4>
      </vt:variant>
      <vt:variant>
        <vt:i4>0</vt:i4>
      </vt:variant>
      <vt:variant>
        <vt:i4>5</vt:i4>
      </vt:variant>
      <vt:variant>
        <vt:lpwstr>https://www.wko.at/wien/verkehr-betriebsstandort/baumschutzgesetz</vt:lpwstr>
      </vt:variant>
      <vt:variant>
        <vt:lpwstr/>
      </vt:variant>
      <vt:variant>
        <vt:i4>6619170</vt:i4>
      </vt:variant>
      <vt:variant>
        <vt:i4>6</vt:i4>
      </vt:variant>
      <vt:variant>
        <vt:i4>0</vt:i4>
      </vt:variant>
      <vt:variant>
        <vt:i4>5</vt:i4>
      </vt:variant>
      <vt:variant>
        <vt:lpwstr>https://www.altlasten.gv.at/finanzierung/altlastenbeitrag.html</vt:lpwstr>
      </vt:variant>
      <vt:variant>
        <vt:lpwstr/>
      </vt:variant>
      <vt:variant>
        <vt:i4>5963845</vt:i4>
      </vt:variant>
      <vt:variant>
        <vt:i4>3</vt:i4>
      </vt:variant>
      <vt:variant>
        <vt:i4>0</vt:i4>
      </vt:variant>
      <vt:variant>
        <vt:i4>5</vt:i4>
      </vt:variant>
      <vt:variant>
        <vt:lpwstr>https://www.bmf.gv.at/themen/zoll/fuer-unternehmen/altlastenbeitrag.html</vt:lpwstr>
      </vt:variant>
      <vt:variant>
        <vt:lpwstr/>
      </vt:variant>
      <vt:variant>
        <vt:i4>6619170</vt:i4>
      </vt:variant>
      <vt:variant>
        <vt:i4>0</vt:i4>
      </vt:variant>
      <vt:variant>
        <vt:i4>0</vt:i4>
      </vt:variant>
      <vt:variant>
        <vt:i4>5</vt:i4>
      </vt:variant>
      <vt:variant>
        <vt:lpwstr>https://www.altlasten.gv.at/finanzierung/altlastenbeitrag.html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Marco Camboni</cp:lastModifiedBy>
  <cp:revision>7</cp:revision>
  <dcterms:created xsi:type="dcterms:W3CDTF">2025-11-14T08:06:00Z</dcterms:created>
  <dcterms:modified xsi:type="dcterms:W3CDTF">2025-11-14T08:38:00Z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SIP_Label_6bd9ddd1-4d20-43f6-abfa-fc3c07406f94_Enabled">
    <vt:lpwstr>true</vt:lpwstr>
  </property>
  <property fmtid="{D5CDD505-2E9C-101B-9397-08002B2CF9AE}" pid="23" name="MSIP_Label_6bd9ddd1-4d20-43f6-abfa-fc3c07406f94_SetDate">
    <vt:lpwstr>2025-03-12T10:29:30Z</vt:lpwstr>
  </property>
  <property fmtid="{D5CDD505-2E9C-101B-9397-08002B2CF9AE}" pid="24" name="MSIP_Label_6bd9ddd1-4d20-43f6-abfa-fc3c07406f94_Method">
    <vt:lpwstr>Standard</vt:lpwstr>
  </property>
  <property fmtid="{D5CDD505-2E9C-101B-9397-08002B2CF9AE}" pid="25" name="MSIP_Label_6bd9ddd1-4d20-43f6-abfa-fc3c07406f94_Name">
    <vt:lpwstr>Commission Use</vt:lpwstr>
  </property>
  <property fmtid="{D5CDD505-2E9C-101B-9397-08002B2CF9AE}" pid="26" name="MSIP_Label_6bd9ddd1-4d20-43f6-abfa-fc3c07406f94_SiteId">
    <vt:lpwstr>b24c8b06-522c-46fe-9080-70926f8dddb1</vt:lpwstr>
  </property>
  <property fmtid="{D5CDD505-2E9C-101B-9397-08002B2CF9AE}" pid="27" name="MSIP_Label_6bd9ddd1-4d20-43f6-abfa-fc3c07406f94_ActionId">
    <vt:lpwstr>2cd799a7-a1cc-4c7a-a697-bea6810e859e</vt:lpwstr>
  </property>
  <property fmtid="{D5CDD505-2E9C-101B-9397-08002B2CF9AE}" pid="28" name="MSIP_Label_6bd9ddd1-4d20-43f6-abfa-fc3c07406f94_ContentBits">
    <vt:lpwstr>0</vt:lpwstr>
  </property>
  <property fmtid="{D5CDD505-2E9C-101B-9397-08002B2CF9AE}" pid="29" name="MSIP_Label_6bd9ddd1-4d20-43f6-abfa-fc3c07406f94_Tag">
    <vt:lpwstr>10, 3, 0, 2</vt:lpwstr>
  </property>
  <property fmtid="{D5CDD505-2E9C-101B-9397-08002B2CF9AE}" pid="30" name="MediaServiceImageTags">
    <vt:lpwstr/>
  </property>
  <property fmtid="{D5CDD505-2E9C-101B-9397-08002B2CF9AE}" pid="31" name="ContentTypeId">
    <vt:lpwstr>0x01010073C70B7C996C9F4F85B657AFF07CD771</vt:lpwstr>
  </property>
</Properties>
</file>